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01D1C2" w14:textId="77777777" w:rsidR="00844F61" w:rsidRDefault="00E91F89" w:rsidP="00844F61">
      <w:pPr>
        <w:adjustRightInd w:val="0"/>
        <w:snapToGrid w:val="0"/>
        <w:ind w:rightChars="-360" w:right="-792"/>
        <w:jc w:val="center"/>
        <w:rPr>
          <w:color w:val="808000"/>
          <w:sz w:val="18"/>
          <w:szCs w:val="20"/>
        </w:rPr>
      </w:pPr>
      <w:bookmarkStart w:id="0" w:name="top"/>
      <w:bookmarkStart w:id="1" w:name="_GoBack"/>
      <w:bookmarkEnd w:id="0"/>
      <w:bookmarkEnd w:id="1"/>
      <w:r>
        <w:rPr>
          <w:noProof/>
          <w:color w:val="808000"/>
        </w:rPr>
        <w:drawing>
          <wp:inline distT="0" distB="0" distL="0" distR="0" wp14:anchorId="2522F2C6" wp14:editId="48C851DF">
            <wp:extent cx="5206696" cy="610235"/>
            <wp:effectExtent l="0" t="0" r="0" b="0"/>
            <wp:docPr id="6" name="圖片 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a:hlinkClick r:id="rId8"/>
                    </pic:cNvPr>
                    <pic:cNvPicPr/>
                  </pic:nvPicPr>
                  <pic:blipFill>
                    <a:blip r:embed="rId9">
                      <a:extLst>
                        <a:ext uri="{28A0092B-C50C-407E-A947-70E740481C1C}">
                          <a14:useLocalDpi xmlns:a14="http://schemas.microsoft.com/office/drawing/2010/main" val="0"/>
                        </a:ext>
                      </a:extLst>
                    </a:blip>
                    <a:stretch>
                      <a:fillRect/>
                    </a:stretch>
                  </pic:blipFill>
                  <pic:spPr>
                    <a:xfrm>
                      <a:off x="0" y="0"/>
                      <a:ext cx="5633714" cy="660282"/>
                    </a:xfrm>
                    <a:prstGeom prst="rect">
                      <a:avLst/>
                    </a:prstGeom>
                  </pic:spPr>
                </pic:pic>
              </a:graphicData>
            </a:graphic>
          </wp:inline>
        </w:drawing>
      </w:r>
    </w:p>
    <w:p w14:paraId="7DD8C6F4" w14:textId="77777777" w:rsidR="00203F72" w:rsidRPr="00D12E33" w:rsidRDefault="00203F72" w:rsidP="006B2266">
      <w:pPr>
        <w:jc w:val="right"/>
      </w:pPr>
    </w:p>
    <w:p w14:paraId="005589C9" w14:textId="77777777" w:rsidR="00E37EEF" w:rsidRPr="00A33265" w:rsidRDefault="00E37EEF" w:rsidP="00E37EEF">
      <w:pPr>
        <w:ind w:rightChars="-284" w:right="-625"/>
        <w:jc w:val="right"/>
      </w:pPr>
      <w:r w:rsidRPr="007D336B">
        <w:rPr>
          <w:rFonts w:hint="eastAsia"/>
          <w:color w:val="808000"/>
          <w:sz w:val="18"/>
          <w:szCs w:val="20"/>
        </w:rPr>
        <w:t>（建議使用工具列</w:t>
      </w:r>
      <w:r w:rsidRPr="007D336B">
        <w:rPr>
          <w:rFonts w:hint="eastAsia"/>
          <w:color w:val="808000"/>
          <w:sz w:val="18"/>
          <w:szCs w:val="20"/>
        </w:rPr>
        <w:t>--</w:t>
      </w:r>
      <w:r w:rsidR="00E91F89">
        <w:rPr>
          <w:rFonts w:hint="eastAsia"/>
          <w:color w:val="808000"/>
          <w:sz w:val="18"/>
          <w:szCs w:val="20"/>
        </w:rPr>
        <w:t>〉</w:t>
      </w:r>
      <w:r w:rsidRPr="007D336B">
        <w:rPr>
          <w:rFonts w:hint="eastAsia"/>
          <w:color w:val="808000"/>
          <w:sz w:val="18"/>
          <w:szCs w:val="20"/>
        </w:rPr>
        <w:t>檢</w:t>
      </w:r>
      <w:r>
        <w:rPr>
          <w:rFonts w:hint="eastAsia"/>
          <w:color w:val="808000"/>
          <w:sz w:val="18"/>
          <w:szCs w:val="20"/>
        </w:rPr>
        <w:t>視</w:t>
      </w:r>
      <w:r w:rsidRPr="007D336B">
        <w:rPr>
          <w:rFonts w:hint="eastAsia"/>
          <w:color w:val="808000"/>
          <w:sz w:val="18"/>
          <w:szCs w:val="20"/>
        </w:rPr>
        <w:t>--</w:t>
      </w:r>
      <w:r w:rsidR="00E91F89">
        <w:rPr>
          <w:rFonts w:hint="eastAsia"/>
          <w:color w:val="808000"/>
          <w:sz w:val="18"/>
          <w:szCs w:val="20"/>
        </w:rPr>
        <w:t>〉</w:t>
      </w:r>
      <w:r w:rsidRPr="007D336B">
        <w:rPr>
          <w:rFonts w:hint="eastAsia"/>
          <w:color w:val="808000"/>
          <w:sz w:val="18"/>
          <w:szCs w:val="20"/>
        </w:rPr>
        <w:t>文件引導模式</w:t>
      </w:r>
      <w:r w:rsidRPr="007D336B">
        <w:rPr>
          <w:rFonts w:hint="eastAsia"/>
          <w:color w:val="808000"/>
          <w:sz w:val="18"/>
          <w:szCs w:val="20"/>
        </w:rPr>
        <w:t>/</w:t>
      </w:r>
      <w:r w:rsidRPr="007D336B">
        <w:rPr>
          <w:rFonts w:eastAsiaTheme="minorEastAsia" w:hint="eastAsia"/>
          <w:color w:val="808000"/>
          <w:sz w:val="18"/>
          <w:szCs w:val="20"/>
        </w:rPr>
        <w:t>功能窗格</w:t>
      </w:r>
      <w:r w:rsidRPr="007D336B">
        <w:rPr>
          <w:rFonts w:hint="eastAsia"/>
          <w:color w:val="808000"/>
          <w:sz w:val="18"/>
          <w:szCs w:val="20"/>
        </w:rPr>
        <w:t>）</w:t>
      </w:r>
    </w:p>
    <w:p w14:paraId="6C93A355" w14:textId="77777777" w:rsidR="00A360B5" w:rsidRPr="00E37EEF" w:rsidRDefault="00A360B5" w:rsidP="00D87D91">
      <w:pPr>
        <w:rPr>
          <w:sz w:val="36"/>
          <w:szCs w:val="36"/>
        </w:rPr>
      </w:pPr>
    </w:p>
    <w:p w14:paraId="76EDE060" w14:textId="77777777" w:rsidR="00203F72" w:rsidRPr="00E25187" w:rsidRDefault="00844F61" w:rsidP="00E25187">
      <w:pPr>
        <w:jc w:val="center"/>
        <w:rPr>
          <w:rFonts w:ascii="標楷體" w:eastAsia="標楷體" w:hAnsi="標楷體"/>
          <w:b/>
          <w:color w:val="990000"/>
          <w:sz w:val="40"/>
          <w:szCs w:val="36"/>
        </w:rPr>
      </w:pPr>
      <w:r w:rsidRPr="00844F61">
        <w:rPr>
          <w:rFonts w:ascii="標楷體" w:eastAsia="標楷體" w:hAnsi="標楷體" w:hint="eastAsia"/>
          <w:b/>
          <w:color w:val="990000"/>
          <w:sz w:val="40"/>
          <w:szCs w:val="36"/>
          <w14:shadow w14:blurRad="50800" w14:dist="38100" w14:dir="5400000" w14:sx="100000" w14:sy="100000" w14:kx="0" w14:ky="0" w14:algn="t">
            <w14:srgbClr w14:val="000000">
              <w14:alpha w14:val="60000"/>
            </w14:srgbClr>
          </w14:shadow>
        </w:rPr>
        <w:t>《憲法逐條釋義與人權保障》</w:t>
      </w:r>
    </w:p>
    <w:p w14:paraId="1EC5ABB4" w14:textId="77777777" w:rsidR="009534F2" w:rsidRPr="00E25187" w:rsidRDefault="009534F2" w:rsidP="00E25187">
      <w:pPr>
        <w:jc w:val="center"/>
        <w:rPr>
          <w:rFonts w:ascii="標楷體" w:eastAsia="標楷體" w:hAnsi="標楷體"/>
          <w:sz w:val="32"/>
          <w:szCs w:val="36"/>
        </w:rPr>
      </w:pPr>
      <w:r w:rsidRPr="00E25187">
        <w:rPr>
          <w:rFonts w:ascii="標楷體" w:eastAsia="標楷體" w:hAnsi="標楷體" w:hint="eastAsia"/>
          <w:color w:val="FFFFFF" w:themeColor="background1"/>
          <w:sz w:val="32"/>
          <w:szCs w:val="36"/>
        </w:rPr>
        <w:t>*</w:t>
      </w:r>
      <w:r w:rsidRPr="00E25187">
        <w:rPr>
          <w:rFonts w:ascii="標楷體" w:eastAsia="標楷體" w:hAnsi="標楷體"/>
          <w:sz w:val="32"/>
          <w:szCs w:val="36"/>
        </w:rPr>
        <w:t>柯雨瑞</w:t>
      </w:r>
      <w:r w:rsidRPr="00E25187">
        <w:rPr>
          <w:rFonts w:ascii="標楷體" w:eastAsia="標楷體" w:hAnsi="標楷體" w:hint="eastAsia"/>
          <w:sz w:val="32"/>
          <w:szCs w:val="36"/>
        </w:rPr>
        <w:t xml:space="preserve">  </w:t>
      </w:r>
      <w:r w:rsidRPr="00E25187">
        <w:rPr>
          <w:rFonts w:ascii="標楷體" w:eastAsia="標楷體" w:hAnsi="標楷體"/>
          <w:sz w:val="32"/>
          <w:szCs w:val="36"/>
        </w:rPr>
        <w:t>侯夙芳 著</w:t>
      </w:r>
    </w:p>
    <w:p w14:paraId="2058D05D" w14:textId="77777777" w:rsidR="009534F2" w:rsidRPr="00E25187" w:rsidRDefault="009534F2" w:rsidP="00E25187">
      <w:pPr>
        <w:jc w:val="center"/>
        <w:rPr>
          <w:rFonts w:ascii="標楷體" w:eastAsia="標楷體" w:hAnsi="標楷體"/>
        </w:rPr>
      </w:pPr>
    </w:p>
    <w:p w14:paraId="0A3E4D90" w14:textId="77777777" w:rsidR="00953151" w:rsidRPr="00E25187" w:rsidRDefault="00B12EE9" w:rsidP="00E25187">
      <w:pPr>
        <w:jc w:val="center"/>
        <w:rPr>
          <w:rFonts w:ascii="標楷體" w:eastAsia="標楷體" w:hAnsi="標楷體"/>
          <w:sz w:val="26"/>
        </w:rPr>
      </w:pPr>
      <w:r w:rsidRPr="00E25187">
        <w:rPr>
          <w:rFonts w:ascii="標楷體" w:eastAsia="標楷體" w:hAnsi="標楷體" w:hint="eastAsia"/>
          <w:color w:val="FFFFFF" w:themeColor="background1"/>
          <w:sz w:val="26"/>
        </w:rPr>
        <w:t>*</w:t>
      </w:r>
      <w:r w:rsidR="005E1EA8" w:rsidRPr="00E25187">
        <w:rPr>
          <w:rFonts w:ascii="標楷體" w:eastAsia="標楷體" w:hAnsi="標楷體"/>
          <w:sz w:val="26"/>
        </w:rPr>
        <w:t>憲法與人權保障叢書(增訂2版)</w:t>
      </w:r>
    </w:p>
    <w:p w14:paraId="1332559F" w14:textId="77777777" w:rsidR="00953151" w:rsidRPr="00E25187" w:rsidRDefault="00B12EE9" w:rsidP="00E25187">
      <w:pPr>
        <w:jc w:val="center"/>
        <w:rPr>
          <w:rFonts w:ascii="標楷體" w:eastAsia="標楷體" w:hAnsi="標楷體"/>
          <w:sz w:val="26"/>
        </w:rPr>
      </w:pPr>
      <w:r w:rsidRPr="00E25187">
        <w:rPr>
          <w:rFonts w:ascii="標楷體" w:eastAsia="標楷體" w:hAnsi="標楷體" w:hint="eastAsia"/>
          <w:color w:val="FFFFFF" w:themeColor="background1"/>
          <w:sz w:val="26"/>
        </w:rPr>
        <w:t>*</w:t>
      </w:r>
      <w:r w:rsidR="00203F72" w:rsidRPr="00E25187">
        <w:rPr>
          <w:rFonts w:ascii="標楷體" w:eastAsia="標楷體" w:hAnsi="標楷體"/>
          <w:sz w:val="26"/>
        </w:rPr>
        <w:t>中華民國104年04月出版</w:t>
      </w:r>
    </w:p>
    <w:p w14:paraId="0D0B731B" w14:textId="77777777" w:rsidR="005E1EA8" w:rsidRPr="00F0328A" w:rsidRDefault="005E1EA8" w:rsidP="00D87D91"/>
    <w:p w14:paraId="0B4B8B15" w14:textId="77777777"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作者簡介" w:history="1">
        <w:r w:rsidR="005E1EA8" w:rsidRPr="00E319A4">
          <w:rPr>
            <w:rStyle w:val="a5"/>
            <w:rFonts w:ascii="標楷體" w:eastAsia="標楷體" w:hAnsi="標楷體" w:hint="eastAsia"/>
            <w:sz w:val="26"/>
          </w:rPr>
          <w:t>作者簡介</w:t>
        </w:r>
      </w:hyperlink>
    </w:p>
    <w:p w14:paraId="6C2367EA" w14:textId="77777777"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作者自序" w:history="1">
        <w:r w:rsidR="005E1EA8" w:rsidRPr="00E319A4">
          <w:rPr>
            <w:rStyle w:val="a5"/>
            <w:rFonts w:ascii="標楷體" w:eastAsia="標楷體" w:hAnsi="標楷體" w:hint="eastAsia"/>
            <w:sz w:val="26"/>
          </w:rPr>
          <w:t>作者自序</w:t>
        </w:r>
      </w:hyperlink>
    </w:p>
    <w:p w14:paraId="25565A32" w14:textId="77777777" w:rsidR="005E1EA8" w:rsidRPr="00E319A4" w:rsidRDefault="00670577" w:rsidP="00D87D91">
      <w:r w:rsidRPr="00E319A4">
        <w:rPr>
          <w:rFonts w:ascii="標楷體" w:eastAsia="標楷體" w:hAnsi="標楷體" w:hint="eastAsia"/>
          <w:sz w:val="26"/>
        </w:rPr>
        <w:t>◎</w:t>
      </w:r>
      <w:hyperlink w:anchor="_作者(柯雨瑞教授)與其家眷親戚們紀念敬愛的與尊貴的柯清波老居士(已往生" w:history="1">
        <w:r w:rsidR="005E1EA8" w:rsidRPr="00E319A4">
          <w:rPr>
            <w:rStyle w:val="a5"/>
            <w:rFonts w:ascii="標楷體" w:eastAsia="標楷體" w:hAnsi="標楷體" w:hint="eastAsia"/>
            <w:sz w:val="26"/>
          </w:rPr>
          <w:t>作者(柯雨瑞教授)與其家眷親戚們紀念敬愛的與尊貴的柯清波老居士(已往生)的追思、懷念與感恩文(願以本書呈獻給作者之家父)</w:t>
        </w:r>
      </w:hyperlink>
    </w:p>
    <w:p w14:paraId="7CCEF013" w14:textId="77777777"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佛教正德慈善醫療機構創辦人開山和尚_常律法師_推薦序" w:history="1">
        <w:r w:rsidR="005E1EA8" w:rsidRPr="00E319A4">
          <w:rPr>
            <w:rStyle w:val="a5"/>
            <w:rFonts w:ascii="標楷體" w:eastAsia="標楷體" w:hAnsi="標楷體" w:hint="eastAsia"/>
            <w:sz w:val="26"/>
          </w:rPr>
          <w:t>佛教正德慈善醫療機構創辦人開山和尚 常律法師 推薦序</w:t>
        </w:r>
      </w:hyperlink>
    </w:p>
    <w:p w14:paraId="29DD06C9" w14:textId="77777777"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釋從慈法師_推薦序" w:history="1">
        <w:r w:rsidR="005E1EA8" w:rsidRPr="00E319A4">
          <w:rPr>
            <w:rStyle w:val="a5"/>
            <w:rFonts w:ascii="標楷體" w:eastAsia="標楷體" w:hAnsi="標楷體" w:hint="eastAsia"/>
            <w:sz w:val="26"/>
          </w:rPr>
          <w:t>釋從慈法師 推薦序</w:t>
        </w:r>
      </w:hyperlink>
    </w:p>
    <w:p w14:paraId="1F5A067E" w14:textId="77777777"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高副校長哲翰_推薦序" w:history="1">
        <w:r w:rsidR="005E1EA8" w:rsidRPr="00E319A4">
          <w:rPr>
            <w:rStyle w:val="a5"/>
            <w:rFonts w:ascii="標楷體" w:eastAsia="標楷體" w:hAnsi="標楷體" w:hint="eastAsia"/>
            <w:sz w:val="26"/>
          </w:rPr>
          <w:t>高副校長哲翰 推薦序</w:t>
        </w:r>
      </w:hyperlink>
    </w:p>
    <w:p w14:paraId="5BB7CF76" w14:textId="77777777"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章院長光明_推薦序" w:history="1">
        <w:r w:rsidR="005E1EA8" w:rsidRPr="00E319A4">
          <w:rPr>
            <w:rStyle w:val="a5"/>
            <w:rFonts w:ascii="標楷體" w:eastAsia="標楷體" w:hAnsi="標楷體" w:hint="eastAsia"/>
            <w:sz w:val="26"/>
          </w:rPr>
          <w:t>章院長光明 推薦序</w:t>
        </w:r>
      </w:hyperlink>
    </w:p>
    <w:p w14:paraId="359ECAD8" w14:textId="77777777"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陳主任明傳_推薦序" w:history="1">
        <w:r w:rsidR="005E1EA8" w:rsidRPr="00E319A4">
          <w:rPr>
            <w:rStyle w:val="a5"/>
            <w:rFonts w:ascii="標楷體" w:eastAsia="標楷體" w:hAnsi="標楷體" w:hint="eastAsia"/>
            <w:sz w:val="26"/>
          </w:rPr>
          <w:t>陳主任明傳 推薦序</w:t>
        </w:r>
      </w:hyperlink>
    </w:p>
    <w:p w14:paraId="27D8864E" w14:textId="77777777"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吳教授東明_推薦序" w:history="1">
        <w:r w:rsidR="005E1EA8" w:rsidRPr="00E319A4">
          <w:rPr>
            <w:rStyle w:val="a5"/>
            <w:rFonts w:ascii="標楷體" w:eastAsia="標楷體" w:hAnsi="標楷體" w:hint="eastAsia"/>
            <w:sz w:val="26"/>
          </w:rPr>
          <w:t>吳教授東明 推薦序</w:t>
        </w:r>
      </w:hyperlink>
    </w:p>
    <w:p w14:paraId="38A51CE7" w14:textId="77777777"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翁館長萃芳_推薦序" w:history="1">
        <w:r w:rsidR="005E1EA8" w:rsidRPr="00E319A4">
          <w:rPr>
            <w:rStyle w:val="a5"/>
            <w:rFonts w:ascii="標楷體" w:eastAsia="標楷體" w:hAnsi="標楷體" w:hint="eastAsia"/>
            <w:sz w:val="26"/>
          </w:rPr>
          <w:t>翁館長萃芳 推薦序</w:t>
        </w:r>
      </w:hyperlink>
    </w:p>
    <w:p w14:paraId="31529718" w14:textId="77777777" w:rsidR="0024309F" w:rsidRPr="00E319A4" w:rsidRDefault="0024309F" w:rsidP="00D87D91">
      <w:pPr>
        <w:rPr>
          <w:rStyle w:val="a5"/>
          <w:rFonts w:ascii="標楷體" w:eastAsia="標楷體" w:hAnsi="標楷體"/>
          <w:sz w:val="26"/>
        </w:rPr>
      </w:pPr>
      <w:r w:rsidRPr="00E319A4">
        <w:rPr>
          <w:rFonts w:ascii="標楷體" w:eastAsia="標楷體" w:hAnsi="標楷體" w:hint="eastAsia"/>
          <w:sz w:val="26"/>
        </w:rPr>
        <w:t>◎</w:t>
      </w:r>
      <w:hyperlink w:anchor="_參考書目" w:history="1">
        <w:r w:rsidRPr="00E319A4">
          <w:rPr>
            <w:rStyle w:val="a5"/>
            <w:rFonts w:ascii="標楷體" w:eastAsia="標楷體" w:hAnsi="標楷體" w:hint="eastAsia"/>
            <w:sz w:val="26"/>
          </w:rPr>
          <w:t>參考書目</w:t>
        </w:r>
      </w:hyperlink>
    </w:p>
    <w:p w14:paraId="487B5101" w14:textId="77777777" w:rsidR="00953151" w:rsidRPr="00E319A4" w:rsidRDefault="00953151" w:rsidP="00D87D91">
      <w:pPr>
        <w:rPr>
          <w:rStyle w:val="a5"/>
          <w:rFonts w:ascii="標楷體" w:eastAsia="標楷體" w:hAnsi="標楷體"/>
          <w:sz w:val="26"/>
        </w:rPr>
      </w:pPr>
      <w:r w:rsidRPr="00E319A4">
        <w:rPr>
          <w:rFonts w:hint="eastAsia"/>
          <w:b/>
          <w:sz w:val="24"/>
        </w:rPr>
        <w:t>》</w:t>
      </w:r>
      <w:hyperlink w:anchor="_中文參考文獻" w:history="1">
        <w:r w:rsidRPr="00E319A4">
          <w:rPr>
            <w:rStyle w:val="a5"/>
            <w:rFonts w:ascii="標楷體" w:eastAsia="標楷體" w:hAnsi="標楷體" w:hint="eastAsia"/>
            <w:sz w:val="26"/>
          </w:rPr>
          <w:t>中文參考文獻</w:t>
        </w:r>
      </w:hyperlink>
    </w:p>
    <w:p w14:paraId="3DDF72AC" w14:textId="77777777" w:rsidR="00953151" w:rsidRPr="00E319A4" w:rsidRDefault="00953151" w:rsidP="00D87D91">
      <w:pPr>
        <w:rPr>
          <w:rStyle w:val="a5"/>
          <w:rFonts w:ascii="標楷體" w:eastAsia="標楷體" w:hAnsi="標楷體"/>
          <w:sz w:val="26"/>
        </w:rPr>
      </w:pPr>
      <w:r w:rsidRPr="00E319A4">
        <w:rPr>
          <w:rFonts w:hint="eastAsia"/>
          <w:b/>
          <w:sz w:val="24"/>
        </w:rPr>
        <w:t>》</w:t>
      </w:r>
      <w:hyperlink w:anchor="_英文參考文獻" w:history="1">
        <w:r w:rsidRPr="00E319A4">
          <w:rPr>
            <w:rStyle w:val="a5"/>
            <w:rFonts w:ascii="標楷體" w:eastAsia="標楷體" w:hAnsi="標楷體" w:hint="eastAsia"/>
            <w:sz w:val="26"/>
          </w:rPr>
          <w:t>英文參考文獻</w:t>
        </w:r>
      </w:hyperlink>
    </w:p>
    <w:p w14:paraId="403F0C1F" w14:textId="77777777" w:rsidR="00A360B5" w:rsidRPr="00E319A4" w:rsidRDefault="00A360B5" w:rsidP="00D87D91">
      <w:pPr>
        <w:rPr>
          <w:rStyle w:val="a5"/>
          <w:rFonts w:ascii="標楷體" w:eastAsia="標楷體" w:hAnsi="標楷體"/>
          <w:sz w:val="26"/>
        </w:rPr>
      </w:pPr>
      <w:r w:rsidRPr="00E319A4">
        <w:rPr>
          <w:rFonts w:hint="eastAsia"/>
          <w:b/>
          <w:sz w:val="24"/>
        </w:rPr>
        <w:t>》</w:t>
      </w:r>
      <w:hyperlink w:anchor="_日文參考文獻" w:history="1">
        <w:r w:rsidRPr="00E319A4">
          <w:rPr>
            <w:rStyle w:val="a5"/>
            <w:rFonts w:ascii="標楷體" w:eastAsia="標楷體" w:hAnsi="標楷體"/>
            <w:sz w:val="26"/>
          </w:rPr>
          <w:t>日文參考文獻</w:t>
        </w:r>
      </w:hyperlink>
    </w:p>
    <w:p w14:paraId="4DC0E0B8" w14:textId="77777777" w:rsidR="00953151" w:rsidRPr="00E319A4" w:rsidRDefault="00A360B5" w:rsidP="00D87D91">
      <w:pPr>
        <w:rPr>
          <w:rFonts w:ascii="標楷體" w:eastAsia="標楷體" w:hAnsi="標楷體"/>
          <w:sz w:val="26"/>
        </w:rPr>
      </w:pPr>
      <w:r w:rsidRPr="00E319A4">
        <w:rPr>
          <w:rFonts w:hint="eastAsia"/>
          <w:b/>
          <w:sz w:val="24"/>
        </w:rPr>
        <w:t>》</w:t>
      </w:r>
      <w:hyperlink w:anchor="_其他參考文獻" w:history="1">
        <w:r w:rsidRPr="00E319A4">
          <w:rPr>
            <w:rStyle w:val="a5"/>
            <w:rFonts w:ascii="標楷體" w:eastAsia="標楷體" w:hAnsi="標楷體" w:hint="eastAsia"/>
            <w:sz w:val="26"/>
          </w:rPr>
          <w:t>其他參考文獻</w:t>
        </w:r>
      </w:hyperlink>
    </w:p>
    <w:p w14:paraId="7B79DC6A" w14:textId="77777777" w:rsidR="00A360B5" w:rsidRPr="00AE653C" w:rsidRDefault="00AE653C" w:rsidP="00D87D91">
      <w:pPr>
        <w:rPr>
          <w:color w:val="FFFFFF" w:themeColor="background1"/>
        </w:rPr>
      </w:pPr>
      <w:r w:rsidRPr="00AE653C">
        <w:rPr>
          <w:rFonts w:ascii="標楷體" w:eastAsia="標楷體" w:hAnsi="標楷體" w:hint="eastAsia"/>
          <w:color w:val="FFFFFF" w:themeColor="background1"/>
          <w:sz w:val="24"/>
        </w:rPr>
        <w:t>*</w:t>
      </w:r>
    </w:p>
    <w:bookmarkStart w:id="2" w:name="a目次"/>
    <w:bookmarkEnd w:id="2"/>
    <w:p w14:paraId="0D09CC17" w14:textId="77777777" w:rsidR="005E1EA8" w:rsidRPr="005E1EA8" w:rsidRDefault="00AE653C" w:rsidP="00D87D91">
      <w:r>
        <w:fldChar w:fldCharType="begin"/>
      </w:r>
      <w:r>
        <w:instrText xml:space="preserve"> HYPERLINK \l "_</w:instrText>
      </w:r>
      <w:r>
        <w:instrText>第一篇</w:instrText>
      </w:r>
      <w:r>
        <w:instrText>_</w:instrText>
      </w:r>
      <w:r>
        <w:instrText>憲法本文逐條釋義</w:instrText>
      </w:r>
      <w:r>
        <w:instrText xml:space="preserve">" </w:instrText>
      </w:r>
      <w:r>
        <w:fldChar w:fldCharType="separate"/>
      </w:r>
      <w:r w:rsidR="0024309F" w:rsidRPr="0024309F">
        <w:rPr>
          <w:rStyle w:val="a5"/>
          <w:rFonts w:ascii="標楷體" w:eastAsia="標楷體" w:hAnsi="標楷體" w:hint="eastAsia"/>
          <w:sz w:val="24"/>
        </w:rPr>
        <w:t>目次</w:t>
      </w:r>
      <w:r>
        <w:rPr>
          <w:rStyle w:val="a5"/>
          <w:rFonts w:ascii="標楷體" w:eastAsia="標楷體" w:hAnsi="標楷體"/>
          <w:sz w:val="24"/>
        </w:rPr>
        <w:fldChar w:fldCharType="end"/>
      </w:r>
      <w:r w:rsidR="0024309F" w:rsidRPr="005E1EA8">
        <w:rPr>
          <w:rFonts w:ascii="標楷體" w:eastAsia="標楷體" w:hAnsi="標楷體" w:hint="eastAsia"/>
          <w:sz w:val="24"/>
        </w:rPr>
        <w:t>(Inhaltsverzeichnis)</w:t>
      </w:r>
    </w:p>
    <w:p w14:paraId="4BE75251" w14:textId="77777777" w:rsidR="005E1EA8" w:rsidRPr="005E1EA8" w:rsidRDefault="0024309F" w:rsidP="00D87D91">
      <w:pPr>
        <w:rPr>
          <w:b/>
        </w:rPr>
      </w:pPr>
      <w:r w:rsidRPr="0024309F">
        <w:rPr>
          <w:rFonts w:hint="eastAsia"/>
          <w:b/>
        </w:rPr>
        <w:t>◎</w:t>
      </w:r>
      <w:r w:rsidR="005E1EA8" w:rsidRPr="005E1EA8">
        <w:rPr>
          <w:rFonts w:hint="eastAsia"/>
          <w:b/>
        </w:rPr>
        <w:t>第一篇</w:t>
      </w:r>
      <w:r w:rsidR="005E1EA8" w:rsidRPr="005E1EA8">
        <w:rPr>
          <w:rFonts w:hint="eastAsia"/>
          <w:b/>
        </w:rPr>
        <w:t xml:space="preserve"> </w:t>
      </w:r>
      <w:hyperlink w:anchor="_第一篇_憲法本文逐條釋義" w:history="1">
        <w:r w:rsidR="005E1EA8" w:rsidRPr="0024309F">
          <w:rPr>
            <w:rStyle w:val="a5"/>
            <w:rFonts w:ascii="Times New Roman" w:hAnsi="Times New Roman" w:hint="eastAsia"/>
            <w:b/>
          </w:rPr>
          <w:t>憲法本文逐條釋義</w:t>
        </w:r>
      </w:hyperlink>
    </w:p>
    <w:p w14:paraId="044DBD9A" w14:textId="77777777" w:rsidR="005E1EA8" w:rsidRPr="005E1EA8" w:rsidRDefault="005E1EA8" w:rsidP="00D87D91">
      <w:r w:rsidRPr="005E1EA8">
        <w:rPr>
          <w:rFonts w:hint="eastAsia"/>
          <w:b/>
        </w:rPr>
        <w:t>》</w:t>
      </w:r>
      <w:hyperlink w:anchor="_憲法前言" w:history="1">
        <w:r w:rsidRPr="00545D58">
          <w:rPr>
            <w:rStyle w:val="a5"/>
            <w:rFonts w:ascii="Times New Roman" w:hAnsi="Times New Roman" w:hint="eastAsia"/>
          </w:rPr>
          <w:t>憲法前言</w:t>
        </w:r>
      </w:hyperlink>
    </w:p>
    <w:p w14:paraId="356F7E0F" w14:textId="77777777" w:rsidR="005E1EA8" w:rsidRPr="005E1EA8" w:rsidRDefault="005E1EA8" w:rsidP="00D87D91">
      <w:r w:rsidRPr="005E1EA8">
        <w:rPr>
          <w:rFonts w:hint="eastAsia"/>
          <w:b/>
        </w:rPr>
        <w:t>》</w:t>
      </w:r>
      <w:hyperlink w:anchor="_第一章_總綱" w:history="1">
        <w:r w:rsidRPr="00C94B4E">
          <w:rPr>
            <w:rStyle w:val="a5"/>
            <w:rFonts w:ascii="Times New Roman" w:hAnsi="Times New Roman" w:hint="eastAsia"/>
          </w:rPr>
          <w:t>第一章</w:t>
        </w:r>
        <w:r w:rsidRPr="00C94B4E">
          <w:rPr>
            <w:rStyle w:val="a5"/>
            <w:rFonts w:ascii="Times New Roman" w:hAnsi="Times New Roman" w:hint="eastAsia"/>
          </w:rPr>
          <w:t xml:space="preserve"> </w:t>
        </w:r>
        <w:r w:rsidRPr="00C94B4E">
          <w:rPr>
            <w:rStyle w:val="a5"/>
            <w:rFonts w:ascii="Times New Roman" w:hAnsi="Times New Roman" w:hint="eastAsia"/>
          </w:rPr>
          <w:t>總綱</w:t>
        </w:r>
      </w:hyperlink>
    </w:p>
    <w:p w14:paraId="1143D95F" w14:textId="77777777" w:rsidR="005E1EA8" w:rsidRPr="005E1EA8" w:rsidRDefault="005E1EA8" w:rsidP="00D87D91">
      <w:r w:rsidRPr="005E1EA8">
        <w:rPr>
          <w:rFonts w:hint="eastAsia"/>
          <w:b/>
        </w:rPr>
        <w:t>》</w:t>
      </w:r>
      <w:hyperlink w:anchor="_第二章_人民之權利義務" w:history="1">
        <w:r w:rsidRPr="00C94B4E">
          <w:rPr>
            <w:rStyle w:val="a5"/>
            <w:rFonts w:ascii="Times New Roman" w:hAnsi="Times New Roman" w:hint="eastAsia"/>
          </w:rPr>
          <w:t>第二章</w:t>
        </w:r>
        <w:r w:rsidRPr="00C94B4E">
          <w:rPr>
            <w:rStyle w:val="a5"/>
            <w:rFonts w:ascii="Times New Roman" w:hAnsi="Times New Roman" w:hint="eastAsia"/>
          </w:rPr>
          <w:t xml:space="preserve"> </w:t>
        </w:r>
        <w:r w:rsidRPr="00C94B4E">
          <w:rPr>
            <w:rStyle w:val="a5"/>
            <w:rFonts w:ascii="Times New Roman" w:hAnsi="Times New Roman" w:hint="eastAsia"/>
          </w:rPr>
          <w:t>人民之權利義務</w:t>
        </w:r>
      </w:hyperlink>
    </w:p>
    <w:p w14:paraId="72F6D5C5" w14:textId="77777777" w:rsidR="005E1EA8" w:rsidRPr="005E1EA8" w:rsidRDefault="005E1EA8" w:rsidP="00D87D91">
      <w:r w:rsidRPr="005E1EA8">
        <w:rPr>
          <w:rFonts w:hint="eastAsia"/>
          <w:b/>
        </w:rPr>
        <w:t>》</w:t>
      </w:r>
      <w:hyperlink w:anchor="_第三章_國民大會" w:history="1">
        <w:r w:rsidRPr="00C94B4E">
          <w:rPr>
            <w:rStyle w:val="a5"/>
            <w:rFonts w:ascii="Times New Roman" w:hAnsi="Times New Roman" w:hint="eastAsia"/>
          </w:rPr>
          <w:t>第三章</w:t>
        </w:r>
        <w:r w:rsidRPr="00C94B4E">
          <w:rPr>
            <w:rStyle w:val="a5"/>
            <w:rFonts w:ascii="Times New Roman" w:hAnsi="Times New Roman" w:hint="eastAsia"/>
          </w:rPr>
          <w:t xml:space="preserve"> </w:t>
        </w:r>
        <w:r w:rsidRPr="00C94B4E">
          <w:rPr>
            <w:rStyle w:val="a5"/>
            <w:rFonts w:ascii="Times New Roman" w:hAnsi="Times New Roman" w:hint="eastAsia"/>
          </w:rPr>
          <w:t>國民大會</w:t>
        </w:r>
      </w:hyperlink>
    </w:p>
    <w:p w14:paraId="0273D29E" w14:textId="77777777" w:rsidR="005E1EA8" w:rsidRPr="005E1EA8" w:rsidRDefault="005E1EA8" w:rsidP="00D87D91">
      <w:r w:rsidRPr="005E1EA8">
        <w:rPr>
          <w:rFonts w:hint="eastAsia"/>
          <w:b/>
        </w:rPr>
        <w:t>》</w:t>
      </w:r>
      <w:hyperlink w:anchor="_第四章_總統" w:history="1">
        <w:r w:rsidRPr="00C94B4E">
          <w:rPr>
            <w:rStyle w:val="a5"/>
            <w:rFonts w:ascii="Times New Roman" w:hAnsi="Times New Roman" w:hint="eastAsia"/>
          </w:rPr>
          <w:t>第四章</w:t>
        </w:r>
        <w:r w:rsidRPr="00C94B4E">
          <w:rPr>
            <w:rStyle w:val="a5"/>
            <w:rFonts w:ascii="Times New Roman" w:hAnsi="Times New Roman" w:hint="eastAsia"/>
          </w:rPr>
          <w:t xml:space="preserve"> </w:t>
        </w:r>
        <w:r w:rsidRPr="00C94B4E">
          <w:rPr>
            <w:rStyle w:val="a5"/>
            <w:rFonts w:ascii="Times New Roman" w:hAnsi="Times New Roman" w:hint="eastAsia"/>
          </w:rPr>
          <w:t>總統</w:t>
        </w:r>
      </w:hyperlink>
    </w:p>
    <w:p w14:paraId="3063A82E" w14:textId="77777777" w:rsidR="005E1EA8" w:rsidRPr="005E1EA8" w:rsidRDefault="005E1EA8" w:rsidP="00D87D91">
      <w:r w:rsidRPr="005E1EA8">
        <w:rPr>
          <w:rFonts w:hint="eastAsia"/>
          <w:b/>
        </w:rPr>
        <w:t>》</w:t>
      </w:r>
      <w:hyperlink w:anchor="_第五章_行政" w:history="1">
        <w:r w:rsidRPr="00C94B4E">
          <w:rPr>
            <w:rStyle w:val="a5"/>
            <w:rFonts w:ascii="Times New Roman" w:hAnsi="Times New Roman" w:hint="eastAsia"/>
          </w:rPr>
          <w:t>第五章</w:t>
        </w:r>
        <w:r w:rsidRPr="00C94B4E">
          <w:rPr>
            <w:rStyle w:val="a5"/>
            <w:rFonts w:ascii="Times New Roman" w:hAnsi="Times New Roman" w:hint="eastAsia"/>
          </w:rPr>
          <w:t xml:space="preserve"> </w:t>
        </w:r>
        <w:r w:rsidRPr="00C94B4E">
          <w:rPr>
            <w:rStyle w:val="a5"/>
            <w:rFonts w:ascii="Times New Roman" w:hAnsi="Times New Roman" w:hint="eastAsia"/>
          </w:rPr>
          <w:t>行政</w:t>
        </w:r>
      </w:hyperlink>
    </w:p>
    <w:p w14:paraId="7A37A9B4" w14:textId="77777777" w:rsidR="005E1EA8" w:rsidRPr="005E1EA8" w:rsidRDefault="005E1EA8" w:rsidP="00D87D91">
      <w:r w:rsidRPr="005E1EA8">
        <w:rPr>
          <w:rFonts w:hint="eastAsia"/>
          <w:b/>
        </w:rPr>
        <w:t>》</w:t>
      </w:r>
      <w:hyperlink w:anchor="_第六章_立法" w:history="1">
        <w:r w:rsidRPr="00C94B4E">
          <w:rPr>
            <w:rStyle w:val="a5"/>
            <w:rFonts w:ascii="Times New Roman" w:hAnsi="Times New Roman" w:hint="eastAsia"/>
          </w:rPr>
          <w:t>第六章</w:t>
        </w:r>
        <w:r w:rsidRPr="00C94B4E">
          <w:rPr>
            <w:rStyle w:val="a5"/>
            <w:rFonts w:ascii="Times New Roman" w:hAnsi="Times New Roman" w:hint="eastAsia"/>
          </w:rPr>
          <w:t xml:space="preserve"> </w:t>
        </w:r>
        <w:r w:rsidRPr="00C94B4E">
          <w:rPr>
            <w:rStyle w:val="a5"/>
            <w:rFonts w:ascii="Times New Roman" w:hAnsi="Times New Roman" w:hint="eastAsia"/>
          </w:rPr>
          <w:t>立法</w:t>
        </w:r>
      </w:hyperlink>
    </w:p>
    <w:p w14:paraId="447649B0" w14:textId="77777777" w:rsidR="005E1EA8" w:rsidRPr="005E1EA8" w:rsidRDefault="005E1EA8" w:rsidP="00D87D91">
      <w:r w:rsidRPr="005E1EA8">
        <w:rPr>
          <w:rFonts w:hint="eastAsia"/>
          <w:b/>
        </w:rPr>
        <w:t>》</w:t>
      </w:r>
      <w:hyperlink w:anchor="_第七章_司法" w:history="1">
        <w:r w:rsidRPr="00C94B4E">
          <w:rPr>
            <w:rStyle w:val="a5"/>
            <w:rFonts w:ascii="Times New Roman" w:hAnsi="Times New Roman" w:hint="eastAsia"/>
          </w:rPr>
          <w:t>第七章</w:t>
        </w:r>
        <w:r w:rsidRPr="00C94B4E">
          <w:rPr>
            <w:rStyle w:val="a5"/>
            <w:rFonts w:ascii="Times New Roman" w:hAnsi="Times New Roman" w:hint="eastAsia"/>
          </w:rPr>
          <w:t xml:space="preserve"> </w:t>
        </w:r>
        <w:r w:rsidRPr="00C94B4E">
          <w:rPr>
            <w:rStyle w:val="a5"/>
            <w:rFonts w:ascii="Times New Roman" w:hAnsi="Times New Roman" w:hint="eastAsia"/>
          </w:rPr>
          <w:t>司法</w:t>
        </w:r>
      </w:hyperlink>
    </w:p>
    <w:p w14:paraId="08F5C2FA" w14:textId="77777777" w:rsidR="005E1EA8" w:rsidRPr="005E1EA8" w:rsidRDefault="005E1EA8" w:rsidP="00D87D91">
      <w:r w:rsidRPr="005E1EA8">
        <w:rPr>
          <w:rFonts w:hint="eastAsia"/>
          <w:b/>
        </w:rPr>
        <w:t>》</w:t>
      </w:r>
      <w:hyperlink w:anchor="_第八章_考試" w:history="1">
        <w:r w:rsidRPr="00C94B4E">
          <w:rPr>
            <w:rStyle w:val="a5"/>
            <w:rFonts w:ascii="Times New Roman" w:hAnsi="Times New Roman" w:hint="eastAsia"/>
          </w:rPr>
          <w:t>第八章</w:t>
        </w:r>
        <w:r w:rsidRPr="00C94B4E">
          <w:rPr>
            <w:rStyle w:val="a5"/>
            <w:rFonts w:ascii="Times New Roman" w:hAnsi="Times New Roman" w:hint="eastAsia"/>
          </w:rPr>
          <w:t xml:space="preserve"> </w:t>
        </w:r>
        <w:r w:rsidRPr="00C94B4E">
          <w:rPr>
            <w:rStyle w:val="a5"/>
            <w:rFonts w:ascii="Times New Roman" w:hAnsi="Times New Roman" w:hint="eastAsia"/>
          </w:rPr>
          <w:t>考試</w:t>
        </w:r>
      </w:hyperlink>
    </w:p>
    <w:p w14:paraId="5745A2B9" w14:textId="77777777" w:rsidR="005E1EA8" w:rsidRPr="005E1EA8" w:rsidRDefault="005E1EA8" w:rsidP="00D87D91">
      <w:r w:rsidRPr="005E1EA8">
        <w:rPr>
          <w:rFonts w:hint="eastAsia"/>
          <w:b/>
        </w:rPr>
        <w:t>》</w:t>
      </w:r>
      <w:hyperlink w:anchor="_第九章_監察" w:history="1">
        <w:r w:rsidRPr="00C94B4E">
          <w:rPr>
            <w:rStyle w:val="a5"/>
            <w:rFonts w:ascii="Times New Roman" w:hAnsi="Times New Roman" w:hint="eastAsia"/>
          </w:rPr>
          <w:t>第九章</w:t>
        </w:r>
        <w:r w:rsidRPr="00C94B4E">
          <w:rPr>
            <w:rStyle w:val="a5"/>
            <w:rFonts w:ascii="Times New Roman" w:hAnsi="Times New Roman" w:hint="eastAsia"/>
          </w:rPr>
          <w:t xml:space="preserve"> </w:t>
        </w:r>
        <w:r w:rsidRPr="00C94B4E">
          <w:rPr>
            <w:rStyle w:val="a5"/>
            <w:rFonts w:ascii="Times New Roman" w:hAnsi="Times New Roman" w:hint="eastAsia"/>
          </w:rPr>
          <w:t>監察</w:t>
        </w:r>
      </w:hyperlink>
    </w:p>
    <w:p w14:paraId="25806C00" w14:textId="77777777" w:rsidR="005E1EA8" w:rsidRPr="005E1EA8" w:rsidRDefault="005E1EA8" w:rsidP="00D87D91">
      <w:r w:rsidRPr="005E1EA8">
        <w:rPr>
          <w:rFonts w:hint="eastAsia"/>
          <w:b/>
        </w:rPr>
        <w:t>》</w:t>
      </w:r>
      <w:hyperlink w:anchor="_第十章_中央與地方之權限" w:history="1">
        <w:r w:rsidRPr="00C94B4E">
          <w:rPr>
            <w:rStyle w:val="a5"/>
            <w:rFonts w:ascii="Times New Roman" w:hAnsi="Times New Roman" w:hint="eastAsia"/>
          </w:rPr>
          <w:t>第十章</w:t>
        </w:r>
        <w:r w:rsidRPr="00C94B4E">
          <w:rPr>
            <w:rStyle w:val="a5"/>
            <w:rFonts w:ascii="Times New Roman" w:hAnsi="Times New Roman" w:hint="eastAsia"/>
          </w:rPr>
          <w:t xml:space="preserve"> </w:t>
        </w:r>
        <w:r w:rsidRPr="00C94B4E">
          <w:rPr>
            <w:rStyle w:val="a5"/>
            <w:rFonts w:ascii="Times New Roman" w:hAnsi="Times New Roman" w:hint="eastAsia"/>
          </w:rPr>
          <w:t>中央與地方之權限</w:t>
        </w:r>
      </w:hyperlink>
    </w:p>
    <w:p w14:paraId="4ABBF8D7" w14:textId="77777777" w:rsidR="005E1EA8" w:rsidRPr="005E1EA8" w:rsidRDefault="005E1EA8" w:rsidP="00D87D91">
      <w:r w:rsidRPr="005E1EA8">
        <w:rPr>
          <w:rFonts w:hint="eastAsia"/>
          <w:b/>
        </w:rPr>
        <w:t>》</w:t>
      </w:r>
      <w:hyperlink w:anchor="_第十一章_地方制度_" w:history="1">
        <w:r w:rsidRPr="00C94B4E">
          <w:rPr>
            <w:rStyle w:val="a5"/>
            <w:rFonts w:ascii="Times New Roman" w:hAnsi="Times New Roman" w:hint="eastAsia"/>
          </w:rPr>
          <w:t>第十一章</w:t>
        </w:r>
        <w:r w:rsidRPr="00C94B4E">
          <w:rPr>
            <w:rStyle w:val="a5"/>
            <w:rFonts w:ascii="Times New Roman" w:hAnsi="Times New Roman" w:hint="eastAsia"/>
          </w:rPr>
          <w:t xml:space="preserve"> </w:t>
        </w:r>
        <w:r w:rsidRPr="00C94B4E">
          <w:rPr>
            <w:rStyle w:val="a5"/>
            <w:rFonts w:ascii="Times New Roman" w:hAnsi="Times New Roman" w:hint="eastAsia"/>
          </w:rPr>
          <w:t>地方制度</w:t>
        </w:r>
      </w:hyperlink>
    </w:p>
    <w:p w14:paraId="28463CD4" w14:textId="77777777" w:rsidR="005E1EA8" w:rsidRPr="005E1EA8" w:rsidRDefault="005E1EA8" w:rsidP="00D87D91">
      <w:r w:rsidRPr="005E1EA8">
        <w:rPr>
          <w:rFonts w:hint="eastAsia"/>
          <w:b/>
        </w:rPr>
        <w:lastRenderedPageBreak/>
        <w:t>》</w:t>
      </w:r>
      <w:hyperlink w:anchor="_第十二章_選舉、罷免、創制、複決" w:history="1">
        <w:r w:rsidRPr="00C94B4E">
          <w:rPr>
            <w:rStyle w:val="a5"/>
            <w:rFonts w:ascii="Times New Roman" w:hAnsi="Times New Roman" w:hint="eastAsia"/>
          </w:rPr>
          <w:t>第十二章</w:t>
        </w:r>
        <w:r w:rsidRPr="00C94B4E">
          <w:rPr>
            <w:rStyle w:val="a5"/>
            <w:rFonts w:ascii="Times New Roman" w:hAnsi="Times New Roman" w:hint="eastAsia"/>
          </w:rPr>
          <w:t xml:space="preserve"> </w:t>
        </w:r>
        <w:r w:rsidRPr="00C94B4E">
          <w:rPr>
            <w:rStyle w:val="a5"/>
            <w:rFonts w:ascii="Times New Roman" w:hAnsi="Times New Roman" w:hint="eastAsia"/>
          </w:rPr>
          <w:t>選舉、罷免、創制、複決</w:t>
        </w:r>
      </w:hyperlink>
    </w:p>
    <w:p w14:paraId="299859FF" w14:textId="77777777" w:rsidR="005E1EA8" w:rsidRPr="005E1EA8" w:rsidRDefault="005E1EA8" w:rsidP="00D87D91">
      <w:r w:rsidRPr="005E1EA8">
        <w:rPr>
          <w:rFonts w:hint="eastAsia"/>
          <w:b/>
        </w:rPr>
        <w:t>》</w:t>
      </w:r>
      <w:hyperlink w:anchor="_第十三章_基本國策" w:history="1">
        <w:r w:rsidRPr="00C94B4E">
          <w:rPr>
            <w:rStyle w:val="a5"/>
            <w:rFonts w:ascii="Times New Roman" w:hAnsi="Times New Roman" w:hint="eastAsia"/>
          </w:rPr>
          <w:t>第十三章</w:t>
        </w:r>
        <w:r w:rsidRPr="00C94B4E">
          <w:rPr>
            <w:rStyle w:val="a5"/>
            <w:rFonts w:ascii="Times New Roman" w:hAnsi="Times New Roman" w:hint="eastAsia"/>
          </w:rPr>
          <w:t xml:space="preserve"> </w:t>
        </w:r>
        <w:r w:rsidRPr="00C94B4E">
          <w:rPr>
            <w:rStyle w:val="a5"/>
            <w:rFonts w:ascii="Times New Roman" w:hAnsi="Times New Roman" w:hint="eastAsia"/>
          </w:rPr>
          <w:t>基本國策</w:t>
        </w:r>
      </w:hyperlink>
    </w:p>
    <w:p w14:paraId="54C16254" w14:textId="77777777" w:rsidR="00953151" w:rsidRDefault="005E1EA8" w:rsidP="00D87D91">
      <w:r w:rsidRPr="005E1EA8">
        <w:rPr>
          <w:rFonts w:hint="eastAsia"/>
          <w:b/>
        </w:rPr>
        <w:t>》</w:t>
      </w:r>
      <w:hyperlink w:anchor="_第十四章_憲法之施行及修改" w:history="1">
        <w:r w:rsidRPr="00C94B4E">
          <w:rPr>
            <w:rStyle w:val="a5"/>
            <w:rFonts w:ascii="Times New Roman" w:hAnsi="Times New Roman" w:hint="eastAsia"/>
          </w:rPr>
          <w:t>第十四章</w:t>
        </w:r>
        <w:r w:rsidRPr="00C94B4E">
          <w:rPr>
            <w:rStyle w:val="a5"/>
            <w:rFonts w:ascii="Times New Roman" w:hAnsi="Times New Roman" w:hint="eastAsia"/>
          </w:rPr>
          <w:t xml:space="preserve"> </w:t>
        </w:r>
        <w:r w:rsidRPr="00C94B4E">
          <w:rPr>
            <w:rStyle w:val="a5"/>
            <w:rFonts w:ascii="Times New Roman" w:hAnsi="Times New Roman" w:hint="eastAsia"/>
          </w:rPr>
          <w:t>憲法之施行及修改</w:t>
        </w:r>
      </w:hyperlink>
      <w:r w:rsidR="00A61463" w:rsidRPr="00A61463">
        <w:rPr>
          <w:rFonts w:hint="eastAsia"/>
          <w:b/>
          <w:color w:val="FFFFFF" w:themeColor="background1"/>
        </w:rPr>
        <w:t>**</w:t>
      </w:r>
    </w:p>
    <w:p w14:paraId="19E6106D" w14:textId="77777777" w:rsidR="00C94B4E" w:rsidRPr="00C94B4E" w:rsidRDefault="008B3153" w:rsidP="00670577">
      <w:pPr>
        <w:jc w:val="right"/>
        <w:rPr>
          <w:b/>
          <w:color w:val="FFFFFF" w:themeColor="background1"/>
        </w:rPr>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2A10EC42" w14:textId="77777777" w:rsidR="005E1EA8" w:rsidRPr="005E1EA8" w:rsidRDefault="0024309F" w:rsidP="00D87D91">
      <w:r w:rsidRPr="0024309F">
        <w:rPr>
          <w:rFonts w:hint="eastAsia"/>
        </w:rPr>
        <w:t>◎</w:t>
      </w:r>
      <w:bookmarkStart w:id="3" w:name="a目次2"/>
      <w:bookmarkEnd w:id="3"/>
      <w:r w:rsidR="005E1EA8" w:rsidRPr="005E1EA8">
        <w:rPr>
          <w:rFonts w:hint="eastAsia"/>
        </w:rPr>
        <w:t>第二篇</w:t>
      </w:r>
      <w:r w:rsidR="005E1EA8" w:rsidRPr="005E1EA8">
        <w:rPr>
          <w:rFonts w:hint="eastAsia"/>
        </w:rPr>
        <w:t xml:space="preserve"> </w:t>
      </w:r>
      <w:r w:rsidR="005E1EA8" w:rsidRPr="005E1EA8">
        <w:rPr>
          <w:rFonts w:hint="eastAsia"/>
        </w:rPr>
        <w:t>憲法增修條文逐條釋義</w:t>
      </w:r>
    </w:p>
    <w:p w14:paraId="66445E77" w14:textId="77777777" w:rsidR="005E1EA8" w:rsidRPr="00687BCD" w:rsidRDefault="005E1EA8" w:rsidP="00D87D91">
      <w:r w:rsidRPr="00687BCD">
        <w:rPr>
          <w:rFonts w:hint="eastAsia"/>
        </w:rPr>
        <w:t>》</w:t>
      </w:r>
      <w:hyperlink w:anchor="_憲法增修條文前言" w:history="1">
        <w:r w:rsidRPr="00687BCD">
          <w:rPr>
            <w:rStyle w:val="a5"/>
            <w:rFonts w:hint="eastAsia"/>
          </w:rPr>
          <w:t>憲法增修條文前言</w:t>
        </w:r>
      </w:hyperlink>
    </w:p>
    <w:p w14:paraId="67E8E7CD" w14:textId="77777777" w:rsidR="005E1EA8" w:rsidRPr="005E1EA8" w:rsidRDefault="005E1EA8" w:rsidP="00D87D91">
      <w:r w:rsidRPr="005E1EA8">
        <w:rPr>
          <w:rFonts w:hint="eastAsia"/>
          <w:b/>
        </w:rPr>
        <w:t>》》</w:t>
      </w:r>
      <w:hyperlink w:anchor="_第1條（人民行使直接民權）" w:history="1">
        <w:r w:rsidRPr="00275BF1">
          <w:rPr>
            <w:rStyle w:val="a5"/>
            <w:rFonts w:ascii="Times New Roman" w:hAnsi="Times New Roman" w:hint="eastAsia"/>
          </w:rPr>
          <w:t>第</w:t>
        </w:r>
        <w:r w:rsidRPr="00275BF1">
          <w:rPr>
            <w:rStyle w:val="a5"/>
            <w:rFonts w:ascii="Times New Roman" w:hAnsi="Times New Roman" w:hint="eastAsia"/>
          </w:rPr>
          <w:t>1</w:t>
        </w:r>
        <w:r w:rsidRPr="00275BF1">
          <w:rPr>
            <w:rStyle w:val="a5"/>
            <w:rFonts w:ascii="Times New Roman" w:hAnsi="Times New Roman" w:hint="eastAsia"/>
          </w:rPr>
          <w:t>條（人民行使直接民權）</w:t>
        </w:r>
      </w:hyperlink>
    </w:p>
    <w:p w14:paraId="6D1184E1" w14:textId="77777777" w:rsidR="005E1EA8" w:rsidRPr="005E1EA8" w:rsidRDefault="005E1EA8" w:rsidP="00D87D91">
      <w:r w:rsidRPr="005E1EA8">
        <w:rPr>
          <w:rFonts w:hint="eastAsia"/>
          <w:b/>
        </w:rPr>
        <w:t>》》</w:t>
      </w:r>
      <w:hyperlink w:anchor="_第2條（總統、副總統）" w:history="1">
        <w:r w:rsidRPr="009E1FF0">
          <w:rPr>
            <w:rStyle w:val="a5"/>
            <w:rFonts w:ascii="Times New Roman" w:hAnsi="Times New Roman" w:hint="eastAsia"/>
          </w:rPr>
          <w:t>第</w:t>
        </w:r>
        <w:r w:rsidRPr="009E1FF0">
          <w:rPr>
            <w:rStyle w:val="a5"/>
            <w:rFonts w:ascii="Times New Roman" w:hAnsi="Times New Roman" w:hint="eastAsia"/>
          </w:rPr>
          <w:t>2</w:t>
        </w:r>
        <w:r w:rsidRPr="009E1FF0">
          <w:rPr>
            <w:rStyle w:val="a5"/>
            <w:rFonts w:ascii="Times New Roman" w:hAnsi="Times New Roman" w:hint="eastAsia"/>
          </w:rPr>
          <w:t>條（總統、副總統）</w:t>
        </w:r>
      </w:hyperlink>
    </w:p>
    <w:p w14:paraId="54238AAC" w14:textId="77777777" w:rsidR="005E1EA8" w:rsidRPr="005E1EA8" w:rsidRDefault="005E1EA8" w:rsidP="00D87D91">
      <w:r w:rsidRPr="005E1EA8">
        <w:rPr>
          <w:rFonts w:hint="eastAsia"/>
          <w:b/>
        </w:rPr>
        <w:t>》》</w:t>
      </w:r>
      <w:hyperlink w:anchor="_第3條（行政院）" w:history="1">
        <w:r w:rsidRPr="009E1FF0">
          <w:rPr>
            <w:rStyle w:val="a5"/>
            <w:rFonts w:ascii="Times New Roman" w:hAnsi="Times New Roman" w:hint="eastAsia"/>
          </w:rPr>
          <w:t>第</w:t>
        </w:r>
        <w:r w:rsidRPr="009E1FF0">
          <w:rPr>
            <w:rStyle w:val="a5"/>
            <w:rFonts w:ascii="Times New Roman" w:hAnsi="Times New Roman" w:hint="eastAsia"/>
          </w:rPr>
          <w:t>3</w:t>
        </w:r>
        <w:r w:rsidRPr="009E1FF0">
          <w:rPr>
            <w:rStyle w:val="a5"/>
            <w:rFonts w:ascii="Times New Roman" w:hAnsi="Times New Roman" w:hint="eastAsia"/>
          </w:rPr>
          <w:t>條（行政院）</w:t>
        </w:r>
      </w:hyperlink>
    </w:p>
    <w:p w14:paraId="728BC7B7" w14:textId="77777777" w:rsidR="005E1EA8" w:rsidRPr="005E1EA8" w:rsidRDefault="005E1EA8" w:rsidP="00D87D91">
      <w:r w:rsidRPr="005E1EA8">
        <w:rPr>
          <w:rFonts w:hint="eastAsia"/>
          <w:b/>
        </w:rPr>
        <w:t>》》</w:t>
      </w:r>
      <w:hyperlink w:anchor="_第4條（立法委員之選舉）" w:history="1">
        <w:r w:rsidRPr="009E1FF0">
          <w:rPr>
            <w:rStyle w:val="a5"/>
            <w:rFonts w:ascii="Times New Roman" w:hAnsi="Times New Roman" w:hint="eastAsia"/>
          </w:rPr>
          <w:t>第</w:t>
        </w:r>
        <w:r w:rsidRPr="009E1FF0">
          <w:rPr>
            <w:rStyle w:val="a5"/>
            <w:rFonts w:ascii="Times New Roman" w:hAnsi="Times New Roman" w:hint="eastAsia"/>
          </w:rPr>
          <w:t>4</w:t>
        </w:r>
        <w:r w:rsidRPr="009E1FF0">
          <w:rPr>
            <w:rStyle w:val="a5"/>
            <w:rFonts w:ascii="Times New Roman" w:hAnsi="Times New Roman" w:hint="eastAsia"/>
          </w:rPr>
          <w:t>條（立法委員之選舉）</w:t>
        </w:r>
      </w:hyperlink>
    </w:p>
    <w:p w14:paraId="7779B282" w14:textId="77777777" w:rsidR="005E1EA8" w:rsidRPr="005E1EA8" w:rsidRDefault="005E1EA8" w:rsidP="00D87D91">
      <w:r w:rsidRPr="005E1EA8">
        <w:rPr>
          <w:rFonts w:hint="eastAsia"/>
          <w:b/>
        </w:rPr>
        <w:t>》》</w:t>
      </w:r>
      <w:hyperlink w:anchor="_第5條（司法院）" w:history="1">
        <w:r w:rsidRPr="009E1FF0">
          <w:rPr>
            <w:rStyle w:val="a5"/>
            <w:rFonts w:ascii="Times New Roman" w:hAnsi="Times New Roman" w:hint="eastAsia"/>
          </w:rPr>
          <w:t>第</w:t>
        </w:r>
        <w:r w:rsidRPr="009E1FF0">
          <w:rPr>
            <w:rStyle w:val="a5"/>
            <w:rFonts w:ascii="Times New Roman" w:hAnsi="Times New Roman" w:hint="eastAsia"/>
          </w:rPr>
          <w:t>5</w:t>
        </w:r>
        <w:r w:rsidRPr="009E1FF0">
          <w:rPr>
            <w:rStyle w:val="a5"/>
            <w:rFonts w:ascii="Times New Roman" w:hAnsi="Times New Roman" w:hint="eastAsia"/>
          </w:rPr>
          <w:t>條（司法院）</w:t>
        </w:r>
      </w:hyperlink>
    </w:p>
    <w:p w14:paraId="12C22F53" w14:textId="77777777" w:rsidR="005E1EA8" w:rsidRPr="005E1EA8" w:rsidRDefault="005E1EA8" w:rsidP="00D87D91">
      <w:r w:rsidRPr="005E1EA8">
        <w:rPr>
          <w:rFonts w:hint="eastAsia"/>
          <w:b/>
        </w:rPr>
        <w:t>》》</w:t>
      </w:r>
      <w:hyperlink w:anchor="_第6條（考試院）" w:history="1">
        <w:r w:rsidRPr="009E1FF0">
          <w:rPr>
            <w:rStyle w:val="a5"/>
            <w:rFonts w:ascii="Times New Roman" w:hAnsi="Times New Roman" w:hint="eastAsia"/>
          </w:rPr>
          <w:t>第</w:t>
        </w:r>
        <w:r w:rsidRPr="009E1FF0">
          <w:rPr>
            <w:rStyle w:val="a5"/>
            <w:rFonts w:ascii="Times New Roman" w:hAnsi="Times New Roman" w:hint="eastAsia"/>
          </w:rPr>
          <w:t>6</w:t>
        </w:r>
        <w:r w:rsidRPr="009E1FF0">
          <w:rPr>
            <w:rStyle w:val="a5"/>
            <w:rFonts w:ascii="Times New Roman" w:hAnsi="Times New Roman" w:hint="eastAsia"/>
          </w:rPr>
          <w:t>條（考試院）</w:t>
        </w:r>
      </w:hyperlink>
    </w:p>
    <w:p w14:paraId="3E9E2DA3" w14:textId="77777777" w:rsidR="005E1EA8" w:rsidRPr="005E1EA8" w:rsidRDefault="005E1EA8" w:rsidP="00D87D91">
      <w:r w:rsidRPr="005E1EA8">
        <w:rPr>
          <w:rFonts w:hint="eastAsia"/>
          <w:b/>
        </w:rPr>
        <w:t>》》</w:t>
      </w:r>
      <w:hyperlink w:anchor="_第7條（監察院）" w:history="1">
        <w:r w:rsidRPr="009160CF">
          <w:rPr>
            <w:rStyle w:val="a5"/>
            <w:rFonts w:ascii="Times New Roman" w:hAnsi="Times New Roman" w:hint="eastAsia"/>
          </w:rPr>
          <w:t>第</w:t>
        </w:r>
        <w:r w:rsidRPr="009160CF">
          <w:rPr>
            <w:rStyle w:val="a5"/>
            <w:rFonts w:ascii="Times New Roman" w:hAnsi="Times New Roman" w:hint="eastAsia"/>
          </w:rPr>
          <w:t>7</w:t>
        </w:r>
        <w:r w:rsidRPr="009160CF">
          <w:rPr>
            <w:rStyle w:val="a5"/>
            <w:rFonts w:ascii="Times New Roman" w:hAnsi="Times New Roman" w:hint="eastAsia"/>
          </w:rPr>
          <w:t>條（監察院）</w:t>
        </w:r>
      </w:hyperlink>
    </w:p>
    <w:p w14:paraId="55499FAE" w14:textId="77777777" w:rsidR="005E1EA8" w:rsidRPr="005E1EA8" w:rsidRDefault="005E1EA8" w:rsidP="00D87D91">
      <w:r w:rsidRPr="005E1EA8">
        <w:rPr>
          <w:rFonts w:hint="eastAsia"/>
          <w:b/>
        </w:rPr>
        <w:t>》》</w:t>
      </w:r>
      <w:hyperlink w:anchor="_第8條(立法委員報酬、待遇之調整及利益迴避原則)" w:history="1">
        <w:r w:rsidRPr="009160CF">
          <w:rPr>
            <w:rStyle w:val="a5"/>
            <w:rFonts w:ascii="Times New Roman" w:hAnsi="Times New Roman" w:hint="eastAsia"/>
          </w:rPr>
          <w:t>第</w:t>
        </w:r>
        <w:r w:rsidRPr="009160CF">
          <w:rPr>
            <w:rStyle w:val="a5"/>
            <w:rFonts w:ascii="Times New Roman" w:hAnsi="Times New Roman" w:hint="eastAsia"/>
          </w:rPr>
          <w:t>8</w:t>
        </w:r>
        <w:r w:rsidRPr="009160CF">
          <w:rPr>
            <w:rStyle w:val="a5"/>
            <w:rFonts w:ascii="Times New Roman" w:hAnsi="Times New Roman" w:hint="eastAsia"/>
          </w:rPr>
          <w:t>條</w:t>
        </w:r>
        <w:r w:rsidRPr="009160CF">
          <w:rPr>
            <w:rStyle w:val="a5"/>
            <w:rFonts w:ascii="Times New Roman" w:hAnsi="Times New Roman" w:hint="eastAsia"/>
          </w:rPr>
          <w:t>(</w:t>
        </w:r>
        <w:r w:rsidRPr="009160CF">
          <w:rPr>
            <w:rStyle w:val="a5"/>
            <w:rFonts w:ascii="Times New Roman" w:hAnsi="Times New Roman" w:hint="eastAsia"/>
          </w:rPr>
          <w:t>立法委員報酬、待遇之調整及利益迴避原則</w:t>
        </w:r>
        <w:r w:rsidRPr="009160CF">
          <w:rPr>
            <w:rStyle w:val="a5"/>
            <w:rFonts w:ascii="Times New Roman" w:hAnsi="Times New Roman" w:hint="eastAsia"/>
          </w:rPr>
          <w:t>)</w:t>
        </w:r>
      </w:hyperlink>
    </w:p>
    <w:p w14:paraId="047FAB69" w14:textId="77777777" w:rsidR="005E1EA8" w:rsidRPr="005E1EA8" w:rsidRDefault="005E1EA8" w:rsidP="00D87D91">
      <w:r w:rsidRPr="005E1EA8">
        <w:rPr>
          <w:rFonts w:hint="eastAsia"/>
          <w:b/>
        </w:rPr>
        <w:t>》》</w:t>
      </w:r>
      <w:hyperlink w:anchor="_第9條（省縣自治）" w:history="1">
        <w:r w:rsidRPr="0026266A">
          <w:rPr>
            <w:rStyle w:val="a5"/>
            <w:rFonts w:ascii="Times New Roman" w:hAnsi="Times New Roman" w:hint="eastAsia"/>
          </w:rPr>
          <w:t>第</w:t>
        </w:r>
        <w:r w:rsidRPr="0026266A">
          <w:rPr>
            <w:rStyle w:val="a5"/>
            <w:rFonts w:ascii="Times New Roman" w:hAnsi="Times New Roman" w:hint="eastAsia"/>
          </w:rPr>
          <w:t>9</w:t>
        </w:r>
        <w:r w:rsidRPr="0026266A">
          <w:rPr>
            <w:rStyle w:val="a5"/>
            <w:rFonts w:ascii="Times New Roman" w:hAnsi="Times New Roman" w:hint="eastAsia"/>
          </w:rPr>
          <w:t>條（省縣自治）</w:t>
        </w:r>
      </w:hyperlink>
    </w:p>
    <w:p w14:paraId="30DF7C6A" w14:textId="77777777" w:rsidR="005E1EA8" w:rsidRPr="005E1EA8" w:rsidRDefault="005E1EA8" w:rsidP="00D87D91">
      <w:r w:rsidRPr="005E1EA8">
        <w:rPr>
          <w:rFonts w:hint="eastAsia"/>
          <w:b/>
        </w:rPr>
        <w:t>》》</w:t>
      </w:r>
      <w:hyperlink w:anchor="_第10條（基本國策）" w:history="1">
        <w:r w:rsidRPr="0026266A">
          <w:rPr>
            <w:rStyle w:val="a5"/>
            <w:rFonts w:ascii="Times New Roman" w:hAnsi="Times New Roman" w:hint="eastAsia"/>
          </w:rPr>
          <w:t>第</w:t>
        </w:r>
        <w:r w:rsidRPr="0026266A">
          <w:rPr>
            <w:rStyle w:val="a5"/>
            <w:rFonts w:ascii="Times New Roman" w:hAnsi="Times New Roman" w:hint="eastAsia"/>
          </w:rPr>
          <w:t>10</w:t>
        </w:r>
        <w:r w:rsidRPr="0026266A">
          <w:rPr>
            <w:rStyle w:val="a5"/>
            <w:rFonts w:ascii="Times New Roman" w:hAnsi="Times New Roman" w:hint="eastAsia"/>
          </w:rPr>
          <w:t>條（基本國策）</w:t>
        </w:r>
      </w:hyperlink>
    </w:p>
    <w:p w14:paraId="08B4BADD" w14:textId="77777777" w:rsidR="005E1EA8" w:rsidRPr="005E1EA8" w:rsidRDefault="005E1EA8" w:rsidP="00D87D91">
      <w:r w:rsidRPr="005E1EA8">
        <w:rPr>
          <w:rFonts w:hint="eastAsia"/>
          <w:b/>
        </w:rPr>
        <w:t>》》</w:t>
      </w:r>
      <w:hyperlink w:anchor="_第11條(兩岸關係)" w:history="1">
        <w:r w:rsidRPr="0026266A">
          <w:rPr>
            <w:rStyle w:val="a5"/>
            <w:rFonts w:ascii="Times New Roman" w:hAnsi="Times New Roman" w:hint="eastAsia"/>
          </w:rPr>
          <w:t>第</w:t>
        </w:r>
        <w:r w:rsidRPr="0026266A">
          <w:rPr>
            <w:rStyle w:val="a5"/>
            <w:rFonts w:ascii="Times New Roman" w:hAnsi="Times New Roman" w:hint="eastAsia"/>
          </w:rPr>
          <w:t>11</w:t>
        </w:r>
        <w:r w:rsidRPr="0026266A">
          <w:rPr>
            <w:rStyle w:val="a5"/>
            <w:rFonts w:ascii="Times New Roman" w:hAnsi="Times New Roman" w:hint="eastAsia"/>
          </w:rPr>
          <w:t>條</w:t>
        </w:r>
        <w:r w:rsidRPr="0026266A">
          <w:rPr>
            <w:rStyle w:val="a5"/>
            <w:rFonts w:ascii="Times New Roman" w:hAnsi="Times New Roman" w:hint="eastAsia"/>
          </w:rPr>
          <w:t>(</w:t>
        </w:r>
        <w:r w:rsidRPr="0026266A">
          <w:rPr>
            <w:rStyle w:val="a5"/>
            <w:rFonts w:ascii="Times New Roman" w:hAnsi="Times New Roman" w:hint="eastAsia"/>
          </w:rPr>
          <w:t>兩岸關係</w:t>
        </w:r>
        <w:r w:rsidRPr="0026266A">
          <w:rPr>
            <w:rStyle w:val="a5"/>
            <w:rFonts w:ascii="Times New Roman" w:hAnsi="Times New Roman" w:hint="eastAsia"/>
          </w:rPr>
          <w:t>)</w:t>
        </w:r>
      </w:hyperlink>
    </w:p>
    <w:p w14:paraId="18716749" w14:textId="77777777" w:rsidR="00953151" w:rsidRDefault="005E1EA8" w:rsidP="00D87D91">
      <w:r w:rsidRPr="005E1EA8">
        <w:rPr>
          <w:rFonts w:hint="eastAsia"/>
          <w:b/>
        </w:rPr>
        <w:t>》》</w:t>
      </w:r>
      <w:hyperlink w:anchor="_第12條(修改憲法之程序)" w:history="1">
        <w:r w:rsidRPr="0026266A">
          <w:rPr>
            <w:rStyle w:val="a5"/>
            <w:rFonts w:ascii="Times New Roman" w:hAnsi="Times New Roman" w:hint="eastAsia"/>
          </w:rPr>
          <w:t>第</w:t>
        </w:r>
        <w:r w:rsidRPr="0026266A">
          <w:rPr>
            <w:rStyle w:val="a5"/>
            <w:rFonts w:ascii="Times New Roman" w:hAnsi="Times New Roman" w:hint="eastAsia"/>
          </w:rPr>
          <w:t>12</w:t>
        </w:r>
        <w:r w:rsidRPr="0026266A">
          <w:rPr>
            <w:rStyle w:val="a5"/>
            <w:rFonts w:ascii="Times New Roman" w:hAnsi="Times New Roman" w:hint="eastAsia"/>
          </w:rPr>
          <w:t>條</w:t>
        </w:r>
        <w:r w:rsidRPr="0026266A">
          <w:rPr>
            <w:rStyle w:val="a5"/>
            <w:rFonts w:ascii="Times New Roman" w:hAnsi="Times New Roman" w:hint="eastAsia"/>
          </w:rPr>
          <w:t>(</w:t>
        </w:r>
        <w:r w:rsidRPr="0026266A">
          <w:rPr>
            <w:rStyle w:val="a5"/>
            <w:rFonts w:ascii="Times New Roman" w:hAnsi="Times New Roman" w:hint="eastAsia"/>
          </w:rPr>
          <w:t>修改憲法之程序</w:t>
        </w:r>
        <w:r w:rsidRPr="0026266A">
          <w:rPr>
            <w:rStyle w:val="a5"/>
            <w:rFonts w:ascii="Times New Roman" w:hAnsi="Times New Roman" w:hint="eastAsia"/>
          </w:rPr>
          <w:t>)</w:t>
        </w:r>
      </w:hyperlink>
      <w:r w:rsidR="00A61463" w:rsidRPr="00A61463">
        <w:rPr>
          <w:rFonts w:hint="eastAsia"/>
          <w:b/>
          <w:color w:val="FFFFFF" w:themeColor="background1"/>
        </w:rPr>
        <w:t xml:space="preserve"> **</w:t>
      </w:r>
    </w:p>
    <w:p w14:paraId="51941B6F" w14:textId="77777777" w:rsidR="00322C68" w:rsidRDefault="008B3153" w:rsidP="00D87D91">
      <w:pPr>
        <w:rPr>
          <w:b/>
        </w:rPr>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39ED48D7" w14:textId="77777777" w:rsidR="005E1EA8" w:rsidRPr="005E1EA8" w:rsidRDefault="0024309F" w:rsidP="00D87D91">
      <w:pPr>
        <w:rPr>
          <w:b/>
        </w:rPr>
      </w:pPr>
      <w:r w:rsidRPr="0024309F">
        <w:rPr>
          <w:rFonts w:hint="eastAsia"/>
          <w:b/>
        </w:rPr>
        <w:t>◎</w:t>
      </w:r>
      <w:bookmarkStart w:id="4" w:name="a目次3"/>
      <w:bookmarkEnd w:id="4"/>
      <w:r w:rsidR="005E1EA8" w:rsidRPr="005E1EA8">
        <w:rPr>
          <w:rFonts w:hint="eastAsia"/>
          <w:b/>
        </w:rPr>
        <w:t>第三篇</w:t>
      </w:r>
      <w:r w:rsidR="005E1EA8" w:rsidRPr="005E1EA8">
        <w:rPr>
          <w:rFonts w:hint="eastAsia"/>
          <w:b/>
        </w:rPr>
        <w:t xml:space="preserve"> </w:t>
      </w:r>
      <w:hyperlink w:anchor="_第三篇_憲法與人權保障專題研究" w:history="1">
        <w:r w:rsidR="005E1EA8" w:rsidRPr="0026266A">
          <w:rPr>
            <w:rStyle w:val="a5"/>
            <w:rFonts w:ascii="Times New Roman" w:hAnsi="Times New Roman" w:hint="eastAsia"/>
            <w:b/>
          </w:rPr>
          <w:t>憲法與人權保障專題研究</w:t>
        </w:r>
      </w:hyperlink>
    </w:p>
    <w:p w14:paraId="5F103FF0" w14:textId="77777777" w:rsidR="005E1EA8" w:rsidRPr="005E1EA8" w:rsidRDefault="00B03E84" w:rsidP="00D87D91">
      <w:pPr>
        <w:rPr>
          <w:color w:val="990000"/>
        </w:rPr>
      </w:pPr>
      <w:r w:rsidRPr="00B03E84">
        <w:rPr>
          <w:rFonts w:hint="eastAsia"/>
          <w:b/>
          <w:color w:val="990000"/>
        </w:rPr>
        <w:t>》</w:t>
      </w:r>
      <w:r w:rsidR="005E1EA8" w:rsidRPr="005E1EA8">
        <w:rPr>
          <w:rFonts w:hint="eastAsia"/>
          <w:color w:val="990000"/>
        </w:rPr>
        <w:t>第一章</w:t>
      </w:r>
      <w:r w:rsidR="005E1EA8" w:rsidRPr="005E1EA8">
        <w:rPr>
          <w:rFonts w:hint="eastAsia"/>
          <w:color w:val="990000"/>
        </w:rPr>
        <w:t xml:space="preserve"> </w:t>
      </w:r>
      <w:hyperlink w:anchor="_第一章_論人類胚胎生命權與生存權之保障" w:history="1">
        <w:r w:rsidR="005E1EA8" w:rsidRPr="0026266A">
          <w:rPr>
            <w:rStyle w:val="a5"/>
            <w:rFonts w:ascii="Times New Roman" w:hAnsi="Times New Roman" w:hint="eastAsia"/>
          </w:rPr>
          <w:t>論人類胚胎生命權與生存權之保障</w:t>
        </w:r>
      </w:hyperlink>
    </w:p>
    <w:p w14:paraId="0D71C03E" w14:textId="77777777" w:rsidR="005E1EA8" w:rsidRPr="005E1EA8" w:rsidRDefault="00B03E84" w:rsidP="00D87D91">
      <w:r w:rsidRPr="005E1EA8">
        <w:rPr>
          <w:rFonts w:hint="eastAsia"/>
          <w:b/>
        </w:rPr>
        <w:t>》》</w:t>
      </w:r>
      <w:r w:rsidR="005E1EA8" w:rsidRPr="005E1EA8">
        <w:rPr>
          <w:rFonts w:hint="eastAsia"/>
        </w:rPr>
        <w:t>壹、</w:t>
      </w:r>
      <w:hyperlink w:anchor="_壹、人類幹細胞的分類" w:history="1">
        <w:r w:rsidR="005E1EA8" w:rsidRPr="0026266A">
          <w:rPr>
            <w:rStyle w:val="a5"/>
            <w:rFonts w:ascii="Times New Roman" w:hAnsi="Times New Roman" w:hint="eastAsia"/>
          </w:rPr>
          <w:t>人類幹細胞的分類</w:t>
        </w:r>
      </w:hyperlink>
    </w:p>
    <w:p w14:paraId="5FE8CD22" w14:textId="77777777" w:rsidR="005E1EA8" w:rsidRPr="005E1EA8" w:rsidRDefault="00B03E84" w:rsidP="00D87D91">
      <w:r w:rsidRPr="005E1EA8">
        <w:rPr>
          <w:rFonts w:hint="eastAsia"/>
          <w:b/>
        </w:rPr>
        <w:t>》》</w:t>
      </w:r>
      <w:r w:rsidR="005E1EA8" w:rsidRPr="005E1EA8">
        <w:rPr>
          <w:rFonts w:hint="eastAsia"/>
        </w:rPr>
        <w:t>貮、</w:t>
      </w:r>
      <w:hyperlink w:anchor="_貮、人類胚胎幹細胞的應用涉及生命倫理的爭議" w:history="1">
        <w:r w:rsidR="005E1EA8" w:rsidRPr="0026266A">
          <w:rPr>
            <w:rStyle w:val="a5"/>
            <w:rFonts w:ascii="Times New Roman" w:hAnsi="Times New Roman" w:hint="eastAsia"/>
          </w:rPr>
          <w:t>人類胚胎幹細胞的應用涉及生命倫理的爭議</w:t>
        </w:r>
      </w:hyperlink>
    </w:p>
    <w:p w14:paraId="01127D8D" w14:textId="77777777" w:rsidR="005E1EA8" w:rsidRPr="005E1EA8" w:rsidRDefault="00B03E84" w:rsidP="00D87D91">
      <w:r w:rsidRPr="005E1EA8">
        <w:rPr>
          <w:rFonts w:hint="eastAsia"/>
          <w:b/>
        </w:rPr>
        <w:t>》》</w:t>
      </w:r>
      <w:r w:rsidR="005E1EA8" w:rsidRPr="005E1EA8">
        <w:rPr>
          <w:rFonts w:hint="eastAsia"/>
        </w:rPr>
        <w:t>參、</w:t>
      </w:r>
      <w:hyperlink w:anchor="_參、成體幹細胞可以用來取代涉及生命倫理爭議的人類胚胎幹細胞" w:history="1">
        <w:r w:rsidR="005E1EA8" w:rsidRPr="0026266A">
          <w:rPr>
            <w:rStyle w:val="a5"/>
            <w:rFonts w:ascii="Times New Roman" w:hAnsi="Times New Roman" w:hint="eastAsia"/>
          </w:rPr>
          <w:t>成體幹細胞可以用來取代涉及生命倫理爭議的人類胚胎幹細胞</w:t>
        </w:r>
      </w:hyperlink>
    </w:p>
    <w:p w14:paraId="3D6748CA" w14:textId="77777777" w:rsidR="005E1EA8" w:rsidRPr="005E1EA8" w:rsidRDefault="00B03E84" w:rsidP="00D87D91">
      <w:r w:rsidRPr="005E1EA8">
        <w:rPr>
          <w:rFonts w:hint="eastAsia"/>
          <w:b/>
        </w:rPr>
        <w:t>》》</w:t>
      </w:r>
      <w:r w:rsidR="005E1EA8" w:rsidRPr="005E1EA8">
        <w:rPr>
          <w:rFonts w:hint="eastAsia"/>
        </w:rPr>
        <w:t>肆、</w:t>
      </w:r>
      <w:hyperlink w:anchor="_肆、用法律保護人類胚胎(zygote)的困境與不足" w:history="1">
        <w:r w:rsidR="005E1EA8" w:rsidRPr="0026266A">
          <w:rPr>
            <w:rStyle w:val="a5"/>
            <w:rFonts w:ascii="Times New Roman" w:hAnsi="Times New Roman" w:hint="eastAsia"/>
          </w:rPr>
          <w:t>用法律保護人類胚胎</w:t>
        </w:r>
        <w:r w:rsidR="005E1EA8" w:rsidRPr="0026266A">
          <w:rPr>
            <w:rStyle w:val="a5"/>
            <w:rFonts w:ascii="Times New Roman" w:hAnsi="Times New Roman" w:hint="eastAsia"/>
          </w:rPr>
          <w:t>(zygote)</w:t>
        </w:r>
        <w:r w:rsidR="005E1EA8" w:rsidRPr="0026266A">
          <w:rPr>
            <w:rStyle w:val="a5"/>
            <w:rFonts w:ascii="Times New Roman" w:hAnsi="Times New Roman" w:hint="eastAsia"/>
          </w:rPr>
          <w:t>的困境與不足</w:t>
        </w:r>
      </w:hyperlink>
    </w:p>
    <w:p w14:paraId="3E603A8F" w14:textId="77777777" w:rsidR="005E1EA8" w:rsidRPr="005E1EA8" w:rsidRDefault="00B03E84" w:rsidP="00D87D91">
      <w:r w:rsidRPr="005E1EA8">
        <w:rPr>
          <w:rFonts w:hint="eastAsia"/>
          <w:b/>
        </w:rPr>
        <w:t>》》</w:t>
      </w:r>
      <w:r w:rsidR="005E1EA8" w:rsidRPr="005E1EA8">
        <w:rPr>
          <w:rFonts w:hint="eastAsia"/>
        </w:rPr>
        <w:t>伍、</w:t>
      </w:r>
      <w:hyperlink w:anchor="_伍、人類胚胎(zygote)生命權之保障之必要性〜代結論" w:history="1">
        <w:r w:rsidR="005E1EA8" w:rsidRPr="0026266A">
          <w:rPr>
            <w:rStyle w:val="a5"/>
            <w:rFonts w:ascii="Times New Roman" w:hAnsi="Times New Roman" w:hint="eastAsia"/>
          </w:rPr>
          <w:t>人類胚胎</w:t>
        </w:r>
        <w:r w:rsidR="005E1EA8" w:rsidRPr="0026266A">
          <w:rPr>
            <w:rStyle w:val="a5"/>
            <w:rFonts w:ascii="Times New Roman" w:hAnsi="Times New Roman" w:hint="eastAsia"/>
          </w:rPr>
          <w:t>(zygote)</w:t>
        </w:r>
        <w:r w:rsidR="005E1EA8" w:rsidRPr="0026266A">
          <w:rPr>
            <w:rStyle w:val="a5"/>
            <w:rFonts w:ascii="Times New Roman" w:hAnsi="Times New Roman" w:hint="eastAsia"/>
          </w:rPr>
          <w:t>生命權之保障之必要性</w:t>
        </w:r>
        <w:r w:rsidR="00BC4811" w:rsidRPr="0026266A">
          <w:rPr>
            <w:rStyle w:val="a5"/>
            <w:rFonts w:ascii="Times New Roman" w:hAnsi="Times New Roman" w:hint="eastAsia"/>
          </w:rPr>
          <w:t>〜</w:t>
        </w:r>
        <w:r w:rsidR="005E1EA8" w:rsidRPr="0026266A">
          <w:rPr>
            <w:rStyle w:val="a5"/>
            <w:rFonts w:ascii="Times New Roman" w:hAnsi="Times New Roman" w:hint="eastAsia"/>
          </w:rPr>
          <w:t>代結論</w:t>
        </w:r>
      </w:hyperlink>
    </w:p>
    <w:p w14:paraId="0CB368B4" w14:textId="77777777" w:rsidR="005E1EA8" w:rsidRPr="005E1EA8" w:rsidRDefault="00B03E84" w:rsidP="00D87D91">
      <w:pPr>
        <w:rPr>
          <w:color w:val="990000"/>
        </w:rPr>
      </w:pPr>
      <w:r w:rsidRPr="00B03E84">
        <w:rPr>
          <w:rFonts w:hint="eastAsia"/>
          <w:b/>
          <w:color w:val="990000"/>
        </w:rPr>
        <w:t>》</w:t>
      </w:r>
      <w:r w:rsidR="005E1EA8" w:rsidRPr="005E1EA8">
        <w:rPr>
          <w:rFonts w:hint="eastAsia"/>
          <w:color w:val="990000"/>
        </w:rPr>
        <w:t>第二章</w:t>
      </w:r>
      <w:r w:rsidR="005E1EA8" w:rsidRPr="005E1EA8">
        <w:rPr>
          <w:rFonts w:hint="eastAsia"/>
          <w:color w:val="990000"/>
        </w:rPr>
        <w:t xml:space="preserve"> </w:t>
      </w:r>
      <w:hyperlink w:anchor="_第二章_我國憲法應將國防力量明文定位為「防衛型」及「正義型」兵役用途-" w:history="1">
        <w:r w:rsidR="005E1EA8" w:rsidRPr="0026266A">
          <w:rPr>
            <w:rStyle w:val="a5"/>
            <w:rFonts w:ascii="Times New Roman" w:hAnsi="Times New Roman" w:hint="eastAsia"/>
          </w:rPr>
          <w:t>我國憲法應將國防力量明文定位為「防衛型」及「正義型」兵役用途</w:t>
        </w:r>
        <w:r w:rsidR="00D92F56">
          <w:rPr>
            <w:rStyle w:val="a5"/>
            <w:rFonts w:ascii="Times New Roman" w:hAnsi="Times New Roman" w:hint="eastAsia"/>
          </w:rPr>
          <w:t>〜</w:t>
        </w:r>
        <w:r w:rsidR="005E1EA8" w:rsidRPr="0026266A">
          <w:rPr>
            <w:rStyle w:val="a5"/>
            <w:rFonts w:ascii="Times New Roman" w:hAnsi="Times New Roman" w:hint="eastAsia"/>
          </w:rPr>
          <w:t>以我國擬對中國長江三峽大壩進行攻擊之戰略為中心</w:t>
        </w:r>
      </w:hyperlink>
    </w:p>
    <w:p w14:paraId="59C47251" w14:textId="77777777" w:rsidR="005E1EA8" w:rsidRPr="005E1EA8" w:rsidRDefault="00B03E84" w:rsidP="00D87D91">
      <w:r w:rsidRPr="005E1EA8">
        <w:rPr>
          <w:rFonts w:hint="eastAsia"/>
          <w:b/>
        </w:rPr>
        <w:t>》》</w:t>
      </w:r>
      <w:r w:rsidR="005E1EA8" w:rsidRPr="005E1EA8">
        <w:rPr>
          <w:rFonts w:hint="eastAsia"/>
        </w:rPr>
        <w:t>壹、</w:t>
      </w:r>
      <w:hyperlink w:anchor="_壹、緣起" w:history="1">
        <w:r w:rsidR="005E1EA8" w:rsidRPr="0026266A">
          <w:rPr>
            <w:rStyle w:val="a5"/>
            <w:rFonts w:ascii="Times New Roman" w:hAnsi="Times New Roman" w:hint="eastAsia"/>
          </w:rPr>
          <w:t>緣起</w:t>
        </w:r>
      </w:hyperlink>
    </w:p>
    <w:p w14:paraId="60627EB7" w14:textId="77777777" w:rsidR="005E1EA8" w:rsidRPr="005E1EA8" w:rsidRDefault="00B03E84" w:rsidP="00D87D91">
      <w:r w:rsidRPr="005E1EA8">
        <w:rPr>
          <w:rFonts w:hint="eastAsia"/>
          <w:b/>
        </w:rPr>
        <w:t>》》</w:t>
      </w:r>
      <w:r w:rsidR="005E1EA8" w:rsidRPr="005E1EA8">
        <w:rPr>
          <w:rFonts w:hint="eastAsia"/>
        </w:rPr>
        <w:t>貳、</w:t>
      </w:r>
      <w:hyperlink w:anchor="_貳、我國以飛彈對長江三峽大壩進行軍事攻擊之嚴重後果" w:history="1">
        <w:r w:rsidR="005E1EA8" w:rsidRPr="0026266A">
          <w:rPr>
            <w:rStyle w:val="a5"/>
            <w:rFonts w:ascii="Times New Roman" w:hAnsi="Times New Roman" w:hint="eastAsia"/>
          </w:rPr>
          <w:t>我國以飛彈對長江三峽大壩進行軍事攻擊之嚴重後果</w:t>
        </w:r>
      </w:hyperlink>
    </w:p>
    <w:p w14:paraId="3DA424E5" w14:textId="77777777" w:rsidR="005E1EA8" w:rsidRPr="005E1EA8" w:rsidRDefault="00B03E84" w:rsidP="00D87D91">
      <w:r w:rsidRPr="005E1EA8">
        <w:rPr>
          <w:rFonts w:hint="eastAsia"/>
          <w:b/>
        </w:rPr>
        <w:t>》》</w:t>
      </w:r>
      <w:r w:rsidR="005E1EA8" w:rsidRPr="005E1EA8">
        <w:rPr>
          <w:rFonts w:hint="eastAsia"/>
        </w:rPr>
        <w:t>參、</w:t>
      </w:r>
      <w:hyperlink w:anchor="_參、從「關於保護非國際性武裝衝突受難者的附加議定書（第二議定書）」觀點" w:history="1">
        <w:r w:rsidR="005E1EA8" w:rsidRPr="0026266A">
          <w:rPr>
            <w:rStyle w:val="a5"/>
            <w:rFonts w:ascii="Times New Roman" w:hAnsi="Times New Roman" w:hint="eastAsia"/>
          </w:rPr>
          <w:t>從「關於保護非國際性武裝衝突受難者的附加議定書（第二議定書）」觀點探討我國以飛彈對長江三峽水壩進行軍事攻擊是否違反國際法之相關規定</w:t>
        </w:r>
      </w:hyperlink>
    </w:p>
    <w:p w14:paraId="5D284D0A" w14:textId="77777777" w:rsidR="005E1EA8" w:rsidRPr="005E1EA8" w:rsidRDefault="00B03E84" w:rsidP="00D87D91">
      <w:r w:rsidRPr="005E1EA8">
        <w:rPr>
          <w:rFonts w:hint="eastAsia"/>
          <w:b/>
        </w:rPr>
        <w:t>》》</w:t>
      </w:r>
      <w:r w:rsidR="005E1EA8" w:rsidRPr="005E1EA8">
        <w:rPr>
          <w:rFonts w:hint="eastAsia"/>
        </w:rPr>
        <w:t>肆、</w:t>
      </w:r>
      <w:hyperlink w:anchor="_肆、結論與建議" w:history="1">
        <w:r w:rsidR="005E1EA8" w:rsidRPr="0026266A">
          <w:rPr>
            <w:rStyle w:val="a5"/>
            <w:rFonts w:ascii="Times New Roman" w:hAnsi="Times New Roman" w:hint="eastAsia"/>
          </w:rPr>
          <w:t>結論與建議</w:t>
        </w:r>
      </w:hyperlink>
    </w:p>
    <w:p w14:paraId="6E206F64" w14:textId="77777777" w:rsidR="005E1EA8" w:rsidRPr="005E1EA8" w:rsidRDefault="00B03E84" w:rsidP="00D87D91">
      <w:pPr>
        <w:rPr>
          <w:color w:val="990000"/>
        </w:rPr>
      </w:pPr>
      <w:r w:rsidRPr="00B03E84">
        <w:rPr>
          <w:rFonts w:hint="eastAsia"/>
          <w:b/>
          <w:color w:val="990000"/>
        </w:rPr>
        <w:t>》</w:t>
      </w:r>
      <w:bookmarkStart w:id="5" w:name="a目次33"/>
      <w:bookmarkEnd w:id="5"/>
      <w:r w:rsidR="005E1EA8" w:rsidRPr="005E1EA8">
        <w:rPr>
          <w:rFonts w:hint="eastAsia"/>
          <w:color w:val="990000"/>
        </w:rPr>
        <w:t>第三章</w:t>
      </w:r>
      <w:r w:rsidR="005E1EA8" w:rsidRPr="005E1EA8">
        <w:rPr>
          <w:rFonts w:hint="eastAsia"/>
          <w:color w:val="990000"/>
        </w:rPr>
        <w:t xml:space="preserve"> </w:t>
      </w:r>
      <w:hyperlink w:anchor="_第三章_論「保障毒品病患健康權」與「抗制毒品犯罪之刑事政策」之折衝與平" w:history="1">
        <w:r w:rsidR="005E1EA8" w:rsidRPr="003E2825">
          <w:rPr>
            <w:rStyle w:val="a5"/>
            <w:rFonts w:ascii="Times New Roman" w:hAnsi="Times New Roman" w:hint="eastAsia"/>
          </w:rPr>
          <w:t>論「保障毒品病患健康權」與「抗制毒品犯罪之刑事政策」之折衝與平衡</w:t>
        </w:r>
      </w:hyperlink>
    </w:p>
    <w:p w14:paraId="6D5E4BB5" w14:textId="77777777" w:rsidR="005E1EA8" w:rsidRPr="005E1EA8" w:rsidRDefault="00B03E84" w:rsidP="00D87D91">
      <w:r w:rsidRPr="005E1EA8">
        <w:rPr>
          <w:rFonts w:hint="eastAsia"/>
          <w:b/>
        </w:rPr>
        <w:t>》》</w:t>
      </w:r>
      <w:r w:rsidR="005E1EA8" w:rsidRPr="005E1EA8">
        <w:rPr>
          <w:rFonts w:hint="eastAsia"/>
        </w:rPr>
        <w:t>壹、</w:t>
      </w:r>
      <w:hyperlink w:anchor="_壹、前言" w:history="1">
        <w:r w:rsidR="005E1EA8" w:rsidRPr="003E2825">
          <w:rPr>
            <w:rStyle w:val="a5"/>
            <w:rFonts w:ascii="Times New Roman" w:hAnsi="Times New Roman" w:hint="eastAsia"/>
          </w:rPr>
          <w:t>前言</w:t>
        </w:r>
      </w:hyperlink>
    </w:p>
    <w:p w14:paraId="558B4CAC" w14:textId="77777777" w:rsidR="005E1EA8" w:rsidRPr="005E1EA8" w:rsidRDefault="00B03E84" w:rsidP="00D87D91">
      <w:r w:rsidRPr="005E1EA8">
        <w:rPr>
          <w:rFonts w:hint="eastAsia"/>
          <w:b/>
        </w:rPr>
        <w:t>》》</w:t>
      </w:r>
      <w:r w:rsidR="005E1EA8" w:rsidRPr="005E1EA8">
        <w:rPr>
          <w:rFonts w:hint="eastAsia"/>
        </w:rPr>
        <w:t>貮、</w:t>
      </w:r>
      <w:hyperlink w:anchor="_貮、毒品病患享有健康權" w:history="1">
        <w:r w:rsidR="005E1EA8" w:rsidRPr="003E2825">
          <w:rPr>
            <w:rStyle w:val="a5"/>
            <w:rFonts w:ascii="Times New Roman" w:hAnsi="Times New Roman" w:hint="eastAsia"/>
          </w:rPr>
          <w:t>毒品病患享有健康權</w:t>
        </w:r>
      </w:hyperlink>
    </w:p>
    <w:p w14:paraId="5C094E4E" w14:textId="77777777" w:rsidR="005E1EA8" w:rsidRPr="005E1EA8" w:rsidRDefault="00B03E84" w:rsidP="00D87D91">
      <w:r w:rsidRPr="005E1EA8">
        <w:rPr>
          <w:rFonts w:hint="eastAsia"/>
          <w:b/>
        </w:rPr>
        <w:t>》》</w:t>
      </w:r>
      <w:r w:rsidR="005E1EA8" w:rsidRPr="005E1EA8">
        <w:rPr>
          <w:rFonts w:hint="eastAsia"/>
        </w:rPr>
        <w:t>參、</w:t>
      </w:r>
      <w:hyperlink w:anchor="_參、清朝時期之毒品刑事政策(1730至1895年)：先嚴厲禁煙後合法化" w:history="1">
        <w:r w:rsidR="005E1EA8" w:rsidRPr="003E2825">
          <w:rPr>
            <w:rStyle w:val="a5"/>
            <w:rFonts w:ascii="Times New Roman" w:hAnsi="Times New Roman" w:hint="eastAsia"/>
          </w:rPr>
          <w:t>清朝時期之毒品刑事政策</w:t>
        </w:r>
        <w:r w:rsidR="005E1EA8" w:rsidRPr="003E2825">
          <w:rPr>
            <w:rStyle w:val="a5"/>
            <w:rFonts w:ascii="Times New Roman" w:hAnsi="Times New Roman" w:hint="eastAsia"/>
          </w:rPr>
          <w:t>(1730</w:t>
        </w:r>
        <w:r w:rsidR="005E1EA8" w:rsidRPr="003E2825">
          <w:rPr>
            <w:rStyle w:val="a5"/>
            <w:rFonts w:ascii="Times New Roman" w:hAnsi="Times New Roman" w:hint="eastAsia"/>
          </w:rPr>
          <w:t>至</w:t>
        </w:r>
        <w:r w:rsidR="005E1EA8" w:rsidRPr="003E2825">
          <w:rPr>
            <w:rStyle w:val="a5"/>
            <w:rFonts w:ascii="Times New Roman" w:hAnsi="Times New Roman" w:hint="eastAsia"/>
          </w:rPr>
          <w:t>1895</w:t>
        </w:r>
        <w:r w:rsidR="005E1EA8" w:rsidRPr="003E2825">
          <w:rPr>
            <w:rStyle w:val="a5"/>
            <w:rFonts w:ascii="Times New Roman" w:hAnsi="Times New Roman" w:hint="eastAsia"/>
          </w:rPr>
          <w:t>年</w:t>
        </w:r>
        <w:r w:rsidR="005E1EA8" w:rsidRPr="003E2825">
          <w:rPr>
            <w:rStyle w:val="a5"/>
            <w:rFonts w:ascii="Times New Roman" w:hAnsi="Times New Roman" w:hint="eastAsia"/>
          </w:rPr>
          <w:t>)</w:t>
        </w:r>
        <w:r w:rsidR="005E1EA8" w:rsidRPr="003E2825">
          <w:rPr>
            <w:rStyle w:val="a5"/>
            <w:rFonts w:ascii="Times New Roman" w:hAnsi="Times New Roman" w:hint="eastAsia"/>
          </w:rPr>
          <w:t>：先嚴厲禁煙後合法化</w:t>
        </w:r>
      </w:hyperlink>
    </w:p>
    <w:p w14:paraId="6C0DEEC9" w14:textId="77777777" w:rsidR="005E1EA8" w:rsidRPr="005E1EA8" w:rsidRDefault="00B03E84" w:rsidP="00D87D91">
      <w:r w:rsidRPr="005E1EA8">
        <w:rPr>
          <w:rFonts w:hint="eastAsia"/>
          <w:b/>
        </w:rPr>
        <w:t>》》</w:t>
      </w:r>
      <w:r w:rsidR="005E1EA8" w:rsidRPr="005E1EA8">
        <w:rPr>
          <w:rFonts w:hint="eastAsia"/>
        </w:rPr>
        <w:t>肆、</w:t>
      </w:r>
      <w:hyperlink w:anchor="_肆、日據時代之毒品刑事政策(1895至1945年)：鴉片專賣、吸食特許" w:history="1">
        <w:r w:rsidR="005E1EA8" w:rsidRPr="003E2825">
          <w:rPr>
            <w:rStyle w:val="a5"/>
            <w:rFonts w:ascii="Times New Roman" w:hAnsi="Times New Roman" w:hint="eastAsia"/>
          </w:rPr>
          <w:t>日據時代之毒品刑事政策</w:t>
        </w:r>
        <w:r w:rsidR="005E1EA8" w:rsidRPr="003E2825">
          <w:rPr>
            <w:rStyle w:val="a5"/>
            <w:rFonts w:ascii="Times New Roman" w:hAnsi="Times New Roman" w:hint="eastAsia"/>
          </w:rPr>
          <w:t>(1895</w:t>
        </w:r>
        <w:r w:rsidR="005E1EA8" w:rsidRPr="003E2825">
          <w:rPr>
            <w:rStyle w:val="a5"/>
            <w:rFonts w:ascii="Times New Roman" w:hAnsi="Times New Roman" w:hint="eastAsia"/>
          </w:rPr>
          <w:t>至</w:t>
        </w:r>
        <w:r w:rsidR="005E1EA8" w:rsidRPr="003E2825">
          <w:rPr>
            <w:rStyle w:val="a5"/>
            <w:rFonts w:ascii="Times New Roman" w:hAnsi="Times New Roman" w:hint="eastAsia"/>
          </w:rPr>
          <w:t>1945</w:t>
        </w:r>
        <w:r w:rsidR="005E1EA8" w:rsidRPr="003E2825">
          <w:rPr>
            <w:rStyle w:val="a5"/>
            <w:rFonts w:ascii="Times New Roman" w:hAnsi="Times New Roman" w:hint="eastAsia"/>
          </w:rPr>
          <w:t>年</w:t>
        </w:r>
        <w:r w:rsidR="005E1EA8" w:rsidRPr="003E2825">
          <w:rPr>
            <w:rStyle w:val="a5"/>
            <w:rFonts w:ascii="Times New Roman" w:hAnsi="Times New Roman" w:hint="eastAsia"/>
          </w:rPr>
          <w:t>)</w:t>
        </w:r>
        <w:r w:rsidR="005E1EA8" w:rsidRPr="003E2825">
          <w:rPr>
            <w:rStyle w:val="a5"/>
            <w:rFonts w:ascii="Times New Roman" w:hAnsi="Times New Roman" w:hint="eastAsia"/>
          </w:rPr>
          <w:t>：鴉片專賣、吸食特許、漸禁施用鴉片</w:t>
        </w:r>
      </w:hyperlink>
    </w:p>
    <w:p w14:paraId="6D8E76CC" w14:textId="77777777" w:rsidR="005E1EA8" w:rsidRPr="005E1EA8" w:rsidRDefault="00B03E84" w:rsidP="00D87D91">
      <w:r w:rsidRPr="005E1EA8">
        <w:rPr>
          <w:rFonts w:hint="eastAsia"/>
          <w:b/>
        </w:rPr>
        <w:t>》》</w:t>
      </w:r>
      <w:r w:rsidR="005E1EA8" w:rsidRPr="005E1EA8">
        <w:rPr>
          <w:rFonts w:hint="eastAsia"/>
        </w:rPr>
        <w:t>伍、</w:t>
      </w:r>
      <w:hyperlink w:anchor="_伍、(戡亂時期)肅清煙毒條例時期之毒品刑事政策(1945至1998年)" w:history="1">
        <w:r w:rsidR="005E1EA8" w:rsidRPr="003E2825">
          <w:rPr>
            <w:rStyle w:val="a5"/>
            <w:rFonts w:ascii="Times New Roman" w:hAnsi="Times New Roman" w:hint="eastAsia"/>
          </w:rPr>
          <w:t>(</w:t>
        </w:r>
        <w:r w:rsidR="005E1EA8" w:rsidRPr="003E2825">
          <w:rPr>
            <w:rStyle w:val="a5"/>
            <w:rFonts w:ascii="Times New Roman" w:hAnsi="Times New Roman" w:hint="eastAsia"/>
          </w:rPr>
          <w:t>戡亂時期</w:t>
        </w:r>
        <w:r w:rsidR="005E1EA8" w:rsidRPr="003E2825">
          <w:rPr>
            <w:rStyle w:val="a5"/>
            <w:rFonts w:ascii="Times New Roman" w:hAnsi="Times New Roman" w:hint="eastAsia"/>
          </w:rPr>
          <w:t>)</w:t>
        </w:r>
        <w:r w:rsidR="005E1EA8" w:rsidRPr="003E2825">
          <w:rPr>
            <w:rStyle w:val="a5"/>
            <w:rFonts w:ascii="Times New Roman" w:hAnsi="Times New Roman" w:hint="eastAsia"/>
          </w:rPr>
          <w:t>肅清煙毒條例時期之毒品刑事政策</w:t>
        </w:r>
        <w:r w:rsidR="005E1EA8" w:rsidRPr="003E2825">
          <w:rPr>
            <w:rStyle w:val="a5"/>
            <w:rFonts w:ascii="Times New Roman" w:hAnsi="Times New Roman" w:hint="eastAsia"/>
          </w:rPr>
          <w:t>(1945</w:t>
        </w:r>
        <w:r w:rsidR="005E1EA8" w:rsidRPr="003E2825">
          <w:rPr>
            <w:rStyle w:val="a5"/>
            <w:rFonts w:ascii="Times New Roman" w:hAnsi="Times New Roman" w:hint="eastAsia"/>
          </w:rPr>
          <w:t>至</w:t>
        </w:r>
        <w:r w:rsidR="005E1EA8" w:rsidRPr="003E2825">
          <w:rPr>
            <w:rStyle w:val="a5"/>
            <w:rFonts w:ascii="Times New Roman" w:hAnsi="Times New Roman" w:hint="eastAsia"/>
          </w:rPr>
          <w:t>1998</w:t>
        </w:r>
        <w:r w:rsidR="005E1EA8" w:rsidRPr="003E2825">
          <w:rPr>
            <w:rStyle w:val="a5"/>
            <w:rFonts w:ascii="Times New Roman" w:hAnsi="Times New Roman" w:hint="eastAsia"/>
          </w:rPr>
          <w:t>年</w:t>
        </w:r>
        <w:r w:rsidR="005E1EA8" w:rsidRPr="003E2825">
          <w:rPr>
            <w:rStyle w:val="a5"/>
            <w:rFonts w:ascii="Times New Roman" w:hAnsi="Times New Roman" w:hint="eastAsia"/>
          </w:rPr>
          <w:t>)</w:t>
        </w:r>
        <w:r w:rsidR="005E1EA8" w:rsidRPr="003E2825">
          <w:rPr>
            <w:rStyle w:val="a5"/>
            <w:rFonts w:ascii="Times New Roman" w:hAnsi="Times New Roman" w:hint="eastAsia"/>
          </w:rPr>
          <w:t>：嚴刑峻罰禁煙禁毒</w:t>
        </w:r>
      </w:hyperlink>
    </w:p>
    <w:p w14:paraId="0D7071F7" w14:textId="77777777" w:rsidR="005E1EA8" w:rsidRPr="005E1EA8" w:rsidRDefault="00B03E84" w:rsidP="00D87D91">
      <w:r w:rsidRPr="005E1EA8">
        <w:rPr>
          <w:rFonts w:hint="eastAsia"/>
          <w:b/>
        </w:rPr>
        <w:t>》》</w:t>
      </w:r>
      <w:r w:rsidR="005E1EA8" w:rsidRPr="005E1EA8">
        <w:rPr>
          <w:rFonts w:hint="eastAsia"/>
        </w:rPr>
        <w:t>陸、</w:t>
      </w:r>
      <w:hyperlink w:anchor="_陸、當前毒品危害防制條例時期之毒品刑事政策(1998至迄今)：病犯並存" w:history="1">
        <w:r w:rsidR="005E1EA8" w:rsidRPr="003E2825">
          <w:rPr>
            <w:rStyle w:val="a5"/>
            <w:rFonts w:ascii="Times New Roman" w:hAnsi="Times New Roman" w:hint="eastAsia"/>
          </w:rPr>
          <w:t>當前毒品危害防制條例時期之毒品刑事政策</w:t>
        </w:r>
        <w:r w:rsidR="005E1EA8" w:rsidRPr="003E2825">
          <w:rPr>
            <w:rStyle w:val="a5"/>
            <w:rFonts w:ascii="Times New Roman" w:hAnsi="Times New Roman" w:hint="eastAsia"/>
          </w:rPr>
          <w:t>(1998</w:t>
        </w:r>
        <w:r w:rsidR="005E1EA8" w:rsidRPr="003E2825">
          <w:rPr>
            <w:rStyle w:val="a5"/>
            <w:rFonts w:ascii="Times New Roman" w:hAnsi="Times New Roman" w:hint="eastAsia"/>
          </w:rPr>
          <w:t>至迄今</w:t>
        </w:r>
        <w:r w:rsidR="005E1EA8" w:rsidRPr="003E2825">
          <w:rPr>
            <w:rStyle w:val="a5"/>
            <w:rFonts w:ascii="Times New Roman" w:hAnsi="Times New Roman" w:hint="eastAsia"/>
          </w:rPr>
          <w:t>)</w:t>
        </w:r>
        <w:r w:rsidR="005E1EA8" w:rsidRPr="003E2825">
          <w:rPr>
            <w:rStyle w:val="a5"/>
            <w:rFonts w:ascii="Times New Roman" w:hAnsi="Times New Roman" w:hint="eastAsia"/>
          </w:rPr>
          <w:t>：病犯並存、務實處理</w:t>
        </w:r>
      </w:hyperlink>
    </w:p>
    <w:p w14:paraId="2DD0BBF7" w14:textId="77777777" w:rsidR="005E1EA8" w:rsidRPr="005E1EA8" w:rsidRDefault="00B03E84" w:rsidP="00D87D91">
      <w:r w:rsidRPr="005E1EA8">
        <w:rPr>
          <w:rFonts w:hint="eastAsia"/>
          <w:b/>
        </w:rPr>
        <w:t>》》</w:t>
      </w:r>
      <w:r w:rsidR="005E1EA8" w:rsidRPr="005E1EA8">
        <w:rPr>
          <w:rFonts w:hint="eastAsia"/>
        </w:rPr>
        <w:t>柒、</w:t>
      </w:r>
      <w:hyperlink w:anchor="_柒、我國毒品施用行為之刑事政策之檢討與未來可行之發展" w:history="1">
        <w:r w:rsidR="005E1EA8" w:rsidRPr="003E2825">
          <w:rPr>
            <w:rStyle w:val="a5"/>
            <w:rFonts w:ascii="Times New Roman" w:hAnsi="Times New Roman" w:hint="eastAsia"/>
          </w:rPr>
          <w:t>我國毒品施用行為之刑事政策之檢討與未來可行之發展</w:t>
        </w:r>
      </w:hyperlink>
    </w:p>
    <w:p w14:paraId="3BC7C527" w14:textId="77777777" w:rsidR="005E1EA8" w:rsidRPr="005E1EA8" w:rsidRDefault="00B03E84" w:rsidP="00D87D91">
      <w:r w:rsidRPr="005E1EA8">
        <w:rPr>
          <w:rFonts w:hint="eastAsia"/>
          <w:b/>
        </w:rPr>
        <w:t>》》</w:t>
      </w:r>
      <w:r w:rsidR="005E1EA8" w:rsidRPr="005E1EA8">
        <w:rPr>
          <w:rFonts w:hint="eastAsia"/>
        </w:rPr>
        <w:t>捌、</w:t>
      </w:r>
      <w:hyperlink w:anchor="_捌、結論與建議" w:history="1">
        <w:r w:rsidR="005E1EA8" w:rsidRPr="003E2825">
          <w:rPr>
            <w:rStyle w:val="a5"/>
            <w:rFonts w:ascii="Times New Roman" w:hAnsi="Times New Roman" w:hint="eastAsia"/>
          </w:rPr>
          <w:t>結論與建議</w:t>
        </w:r>
      </w:hyperlink>
    </w:p>
    <w:p w14:paraId="79E33B83" w14:textId="77777777" w:rsidR="005E1EA8" w:rsidRPr="005E1EA8" w:rsidRDefault="00B03E84" w:rsidP="00D87D91">
      <w:pPr>
        <w:rPr>
          <w:color w:val="990000"/>
        </w:rPr>
      </w:pPr>
      <w:r w:rsidRPr="00B03E84">
        <w:rPr>
          <w:rFonts w:hint="eastAsia"/>
          <w:b/>
          <w:color w:val="990000"/>
        </w:rPr>
        <w:t>》</w:t>
      </w:r>
      <w:bookmarkStart w:id="6" w:name="a目次34"/>
      <w:bookmarkEnd w:id="6"/>
      <w:r w:rsidR="005E1EA8" w:rsidRPr="005E1EA8">
        <w:rPr>
          <w:rFonts w:hint="eastAsia"/>
          <w:color w:val="990000"/>
        </w:rPr>
        <w:t>第四章</w:t>
      </w:r>
      <w:r w:rsidR="005E1EA8" w:rsidRPr="005E1EA8">
        <w:rPr>
          <w:rFonts w:hint="eastAsia"/>
          <w:color w:val="990000"/>
        </w:rPr>
        <w:t xml:space="preserve"> </w:t>
      </w:r>
      <w:hyperlink w:anchor="_第四章_論外國人工作權及相關權利之保障〜以外籍勞工為中心" w:history="1">
        <w:r w:rsidR="005E1EA8" w:rsidRPr="002D7C67">
          <w:rPr>
            <w:rStyle w:val="a5"/>
            <w:rFonts w:ascii="Times New Roman" w:hAnsi="Times New Roman" w:hint="eastAsia"/>
          </w:rPr>
          <w:t>論外國人工作權及相關權利之保障</w:t>
        </w:r>
        <w:r w:rsidR="00BC4811" w:rsidRPr="002D7C67">
          <w:rPr>
            <w:rStyle w:val="a5"/>
            <w:rFonts w:ascii="Times New Roman" w:hAnsi="Times New Roman" w:hint="eastAsia"/>
          </w:rPr>
          <w:t>〜</w:t>
        </w:r>
        <w:r w:rsidR="005E1EA8" w:rsidRPr="002D7C67">
          <w:rPr>
            <w:rStyle w:val="a5"/>
            <w:rFonts w:ascii="Times New Roman" w:hAnsi="Times New Roman" w:hint="eastAsia"/>
          </w:rPr>
          <w:t>以外籍勞工為中心</w:t>
        </w:r>
      </w:hyperlink>
    </w:p>
    <w:p w14:paraId="1D6F0255" w14:textId="77777777" w:rsidR="005E1EA8" w:rsidRPr="005E1EA8" w:rsidRDefault="00B03E84" w:rsidP="00D87D91">
      <w:r w:rsidRPr="005E1EA8">
        <w:rPr>
          <w:rFonts w:hint="eastAsia"/>
          <w:b/>
        </w:rPr>
        <w:t>》》</w:t>
      </w:r>
      <w:r w:rsidR="005E1EA8" w:rsidRPr="005E1EA8">
        <w:rPr>
          <w:rFonts w:hint="eastAsia"/>
        </w:rPr>
        <w:t>壹、</w:t>
      </w:r>
      <w:hyperlink w:anchor="_壹、前言_1" w:history="1">
        <w:r w:rsidR="005E1EA8" w:rsidRPr="002D7C67">
          <w:rPr>
            <w:rStyle w:val="a5"/>
            <w:rFonts w:ascii="Times New Roman" w:hAnsi="Times New Roman" w:hint="eastAsia"/>
          </w:rPr>
          <w:t>前言</w:t>
        </w:r>
      </w:hyperlink>
    </w:p>
    <w:p w14:paraId="46B94687" w14:textId="77777777" w:rsidR="005E1EA8" w:rsidRPr="005E1EA8" w:rsidRDefault="00B03E84" w:rsidP="00D87D91">
      <w:r w:rsidRPr="005E1EA8">
        <w:rPr>
          <w:rFonts w:hint="eastAsia"/>
          <w:b/>
        </w:rPr>
        <w:t>》》</w:t>
      </w:r>
      <w:r w:rsidR="005E1EA8" w:rsidRPr="005E1EA8">
        <w:rPr>
          <w:rFonts w:hint="eastAsia"/>
        </w:rPr>
        <w:t>貳、</w:t>
      </w:r>
      <w:hyperlink w:anchor="_貳、加國安大略省「就業標準法」外籍家事勞工工作權之保障" w:history="1">
        <w:r w:rsidR="005E1EA8" w:rsidRPr="002D7C67">
          <w:rPr>
            <w:rStyle w:val="a5"/>
            <w:rFonts w:ascii="Times New Roman" w:hAnsi="Times New Roman" w:hint="eastAsia"/>
          </w:rPr>
          <w:t>加國安大略省「就業標準法」外籍家事勞工工作權之保障</w:t>
        </w:r>
      </w:hyperlink>
    </w:p>
    <w:p w14:paraId="4CD3861A" w14:textId="77777777" w:rsidR="005E1EA8" w:rsidRPr="005E1EA8" w:rsidRDefault="00B03E84" w:rsidP="00D87D91">
      <w:r w:rsidRPr="005E1EA8">
        <w:rPr>
          <w:rFonts w:hint="eastAsia"/>
          <w:b/>
        </w:rPr>
        <w:lastRenderedPageBreak/>
        <w:t>》》</w:t>
      </w:r>
      <w:r w:rsidR="005E1EA8" w:rsidRPr="005E1EA8">
        <w:rPr>
          <w:rFonts w:hint="eastAsia"/>
        </w:rPr>
        <w:t>參、</w:t>
      </w:r>
      <w:hyperlink w:anchor="_參、我國「就業服務法」之考察" w:history="1">
        <w:r w:rsidR="005E1EA8" w:rsidRPr="002D7C67">
          <w:rPr>
            <w:rStyle w:val="a5"/>
            <w:rFonts w:ascii="Times New Roman" w:hAnsi="Times New Roman" w:hint="eastAsia"/>
          </w:rPr>
          <w:t>我國「就業服務法」之考察</w:t>
        </w:r>
      </w:hyperlink>
    </w:p>
    <w:p w14:paraId="69CC8436" w14:textId="77777777" w:rsidR="005E1EA8" w:rsidRPr="005E1EA8" w:rsidRDefault="00B03E84" w:rsidP="00D87D91">
      <w:r w:rsidRPr="005E1EA8">
        <w:rPr>
          <w:rFonts w:hint="eastAsia"/>
          <w:b/>
        </w:rPr>
        <w:t>》》</w:t>
      </w:r>
      <w:r w:rsidR="005E1EA8" w:rsidRPr="005E1EA8">
        <w:rPr>
          <w:rFonts w:hint="eastAsia"/>
        </w:rPr>
        <w:t>肆、</w:t>
      </w:r>
      <w:hyperlink w:anchor="_肆、我國與其他國家有關於外國人工作權保障之差異比較" w:history="1">
        <w:r w:rsidR="005E1EA8" w:rsidRPr="002D7C67">
          <w:rPr>
            <w:rStyle w:val="a5"/>
            <w:rFonts w:ascii="Times New Roman" w:hAnsi="Times New Roman" w:hint="eastAsia"/>
          </w:rPr>
          <w:t>我國與其他國家有關於外國人工作權保障之差異比較</w:t>
        </w:r>
      </w:hyperlink>
    </w:p>
    <w:p w14:paraId="65F8F39E" w14:textId="77777777" w:rsidR="005E1EA8" w:rsidRPr="005E1EA8" w:rsidRDefault="00B03E84" w:rsidP="00D87D91">
      <w:r w:rsidRPr="005E1EA8">
        <w:rPr>
          <w:rFonts w:hint="eastAsia"/>
          <w:b/>
        </w:rPr>
        <w:t>》》</w:t>
      </w:r>
      <w:r w:rsidR="005E1EA8" w:rsidRPr="005E1EA8">
        <w:rPr>
          <w:rFonts w:hint="eastAsia"/>
        </w:rPr>
        <w:t>伍、</w:t>
      </w:r>
      <w:hyperlink w:anchor="_伍、台灣勞動基準法之適用對象之再省思" w:history="1">
        <w:r w:rsidR="005E1EA8" w:rsidRPr="002D7C67">
          <w:rPr>
            <w:rStyle w:val="a5"/>
            <w:rFonts w:ascii="Times New Roman" w:hAnsi="Times New Roman" w:hint="eastAsia"/>
          </w:rPr>
          <w:t>台灣勞動基準法之適用對象之再省思</w:t>
        </w:r>
      </w:hyperlink>
    </w:p>
    <w:p w14:paraId="1AA6D2BC" w14:textId="77777777" w:rsidR="005E1EA8" w:rsidRPr="005E1EA8" w:rsidRDefault="00B03E84" w:rsidP="00D87D91">
      <w:r w:rsidRPr="005E1EA8">
        <w:rPr>
          <w:rFonts w:hint="eastAsia"/>
          <w:b/>
        </w:rPr>
        <w:t>》》</w:t>
      </w:r>
      <w:r w:rsidR="005E1EA8" w:rsidRPr="005E1EA8">
        <w:rPr>
          <w:rFonts w:hint="eastAsia"/>
        </w:rPr>
        <w:t>陸、</w:t>
      </w:r>
      <w:hyperlink w:anchor="_陸、主管機關對於外籍家事勞工與僱主間勞資契約之管控機制" w:history="1">
        <w:r w:rsidR="005E1EA8" w:rsidRPr="002D7C67">
          <w:rPr>
            <w:rStyle w:val="a5"/>
            <w:rFonts w:ascii="Times New Roman" w:hAnsi="Times New Roman" w:hint="eastAsia"/>
          </w:rPr>
          <w:t>主管機關對於外籍家事勞工與僱主間勞資契約之管控機制</w:t>
        </w:r>
      </w:hyperlink>
    </w:p>
    <w:p w14:paraId="0CEF4413" w14:textId="77777777" w:rsidR="005E1EA8" w:rsidRPr="005E1EA8" w:rsidRDefault="00B03E84" w:rsidP="00D87D91">
      <w:r w:rsidRPr="005E1EA8">
        <w:rPr>
          <w:rFonts w:hint="eastAsia"/>
          <w:b/>
        </w:rPr>
        <w:t>》》</w:t>
      </w:r>
      <w:r w:rsidR="005E1EA8" w:rsidRPr="005E1EA8">
        <w:rPr>
          <w:rFonts w:hint="eastAsia"/>
        </w:rPr>
        <w:t>柒、</w:t>
      </w:r>
      <w:hyperlink w:anchor="_柒、認定家事外勞工作時間（段）是否逾時之計算公式" w:history="1">
        <w:r w:rsidR="005E1EA8" w:rsidRPr="002D7C67">
          <w:rPr>
            <w:rStyle w:val="a5"/>
            <w:rFonts w:ascii="Times New Roman" w:hAnsi="Times New Roman" w:hint="eastAsia"/>
          </w:rPr>
          <w:t>認定家事外勞工作時間（段）是否逾時之計算公式</w:t>
        </w:r>
      </w:hyperlink>
    </w:p>
    <w:p w14:paraId="52135535" w14:textId="77777777" w:rsidR="005E1EA8" w:rsidRPr="005E1EA8" w:rsidRDefault="00B03E84" w:rsidP="00D87D91">
      <w:r w:rsidRPr="005E1EA8">
        <w:rPr>
          <w:rFonts w:hint="eastAsia"/>
          <w:b/>
        </w:rPr>
        <w:t>》》</w:t>
      </w:r>
      <w:r w:rsidR="005E1EA8" w:rsidRPr="005E1EA8">
        <w:rPr>
          <w:rFonts w:hint="eastAsia"/>
        </w:rPr>
        <w:t>捌、</w:t>
      </w:r>
      <w:hyperlink w:anchor="_捌、家事外勞逾時工作之工資標準" w:history="1">
        <w:r w:rsidR="005E1EA8" w:rsidRPr="002D7C67">
          <w:rPr>
            <w:rStyle w:val="a5"/>
            <w:rFonts w:ascii="Times New Roman" w:hAnsi="Times New Roman" w:hint="eastAsia"/>
          </w:rPr>
          <w:t>家事外勞逾時工作之工資標準</w:t>
        </w:r>
      </w:hyperlink>
    </w:p>
    <w:p w14:paraId="4AB8B6F5" w14:textId="77777777" w:rsidR="005E1EA8" w:rsidRDefault="00B03E84" w:rsidP="00D87D91">
      <w:r w:rsidRPr="005E1EA8">
        <w:rPr>
          <w:rFonts w:hint="eastAsia"/>
          <w:b/>
        </w:rPr>
        <w:t>》》</w:t>
      </w:r>
      <w:r w:rsidR="005E1EA8" w:rsidRPr="005E1EA8">
        <w:rPr>
          <w:rFonts w:hint="eastAsia"/>
        </w:rPr>
        <w:t>玖、</w:t>
      </w:r>
      <w:hyperlink w:anchor="_玖、結論與建議" w:history="1">
        <w:r w:rsidR="005E1EA8" w:rsidRPr="002D7C67">
          <w:rPr>
            <w:rStyle w:val="a5"/>
            <w:rFonts w:ascii="Times New Roman" w:hAnsi="Times New Roman" w:hint="eastAsia"/>
          </w:rPr>
          <w:t>結論與建議</w:t>
        </w:r>
      </w:hyperlink>
      <w:r w:rsidR="00A61463" w:rsidRPr="00A61463">
        <w:rPr>
          <w:rFonts w:hint="eastAsia"/>
          <w:b/>
          <w:color w:val="FFFFFF" w:themeColor="background1"/>
        </w:rPr>
        <w:t>**</w:t>
      </w:r>
    </w:p>
    <w:p w14:paraId="2B4FB3A4" w14:textId="77777777" w:rsidR="008B3153" w:rsidRPr="005E1EA8" w:rsidRDefault="008B3153" w:rsidP="00D87D91">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2BAB5DDE" w14:textId="77777777" w:rsidR="005E1EA8" w:rsidRPr="005E1EA8" w:rsidRDefault="00B03E84" w:rsidP="00D87D91">
      <w:pPr>
        <w:rPr>
          <w:color w:val="990000"/>
        </w:rPr>
      </w:pPr>
      <w:r w:rsidRPr="00B03E84">
        <w:rPr>
          <w:rFonts w:hint="eastAsia"/>
          <w:b/>
          <w:color w:val="990000"/>
        </w:rPr>
        <w:t>》</w:t>
      </w:r>
      <w:bookmarkStart w:id="7" w:name="a目次35"/>
      <w:bookmarkEnd w:id="7"/>
      <w:r w:rsidR="005E1EA8" w:rsidRPr="005E1EA8">
        <w:rPr>
          <w:rFonts w:hint="eastAsia"/>
          <w:color w:val="990000"/>
        </w:rPr>
        <w:t>第五章</w:t>
      </w:r>
      <w:r w:rsidR="005E1EA8" w:rsidRPr="005E1EA8">
        <w:rPr>
          <w:rFonts w:hint="eastAsia"/>
          <w:color w:val="990000"/>
        </w:rPr>
        <w:t xml:space="preserve"> </w:t>
      </w:r>
      <w:hyperlink w:anchor="_第五章_論遷徙自由權、政治庇護權、參政權、社會權與受強制驅逐出國影響相" w:history="1">
        <w:r w:rsidR="005E1EA8" w:rsidRPr="002D7C67">
          <w:rPr>
            <w:rStyle w:val="a5"/>
            <w:rFonts w:ascii="Times New Roman" w:hAnsi="Times New Roman" w:hint="eastAsia"/>
          </w:rPr>
          <w:t>論遷徙自由權、政治庇護權、參政權、社會權與受強制驅逐出國影響相關權利之保障</w:t>
        </w:r>
      </w:hyperlink>
    </w:p>
    <w:p w14:paraId="683CC578" w14:textId="77777777" w:rsidR="005E1EA8" w:rsidRPr="005E1EA8" w:rsidRDefault="00B03E84" w:rsidP="00D87D91">
      <w:r w:rsidRPr="005E1EA8">
        <w:rPr>
          <w:rFonts w:hint="eastAsia"/>
          <w:b/>
        </w:rPr>
        <w:t>》》</w:t>
      </w:r>
      <w:r w:rsidR="005E1EA8" w:rsidRPr="005E1EA8">
        <w:rPr>
          <w:rFonts w:hint="eastAsia"/>
        </w:rPr>
        <w:t>壹、</w:t>
      </w:r>
      <w:hyperlink w:anchor="_壹、前言_" w:history="1">
        <w:r w:rsidR="005E1EA8" w:rsidRPr="002D7C67">
          <w:rPr>
            <w:rStyle w:val="a5"/>
            <w:rFonts w:ascii="Times New Roman" w:hAnsi="Times New Roman" w:hint="eastAsia"/>
          </w:rPr>
          <w:t>前言</w:t>
        </w:r>
      </w:hyperlink>
    </w:p>
    <w:p w14:paraId="7E7072CB" w14:textId="77777777" w:rsidR="005E1EA8" w:rsidRPr="005E1EA8" w:rsidRDefault="00B03E84" w:rsidP="00D87D91">
      <w:r w:rsidRPr="005E1EA8">
        <w:rPr>
          <w:rFonts w:hint="eastAsia"/>
          <w:b/>
        </w:rPr>
        <w:t>》》</w:t>
      </w:r>
      <w:r w:rsidR="005E1EA8" w:rsidRPr="005E1EA8">
        <w:rPr>
          <w:rFonts w:hint="eastAsia"/>
        </w:rPr>
        <w:t>貳、</w:t>
      </w:r>
      <w:hyperlink w:anchor="_貳、國民入出國自由與限制" w:history="1">
        <w:r w:rsidR="005E1EA8" w:rsidRPr="005A482C">
          <w:rPr>
            <w:rStyle w:val="a5"/>
            <w:rFonts w:ascii="Times New Roman" w:hAnsi="Times New Roman" w:hint="eastAsia"/>
          </w:rPr>
          <w:t>國民入出國自由與限制</w:t>
        </w:r>
      </w:hyperlink>
    </w:p>
    <w:p w14:paraId="3AF0CCA8" w14:textId="77777777" w:rsidR="005E1EA8" w:rsidRPr="005E1EA8" w:rsidRDefault="00B03E84" w:rsidP="00D87D91">
      <w:r w:rsidRPr="005E1EA8">
        <w:rPr>
          <w:rFonts w:hint="eastAsia"/>
          <w:b/>
        </w:rPr>
        <w:t>》》</w:t>
      </w:r>
      <w:r w:rsidR="005E1EA8" w:rsidRPr="005E1EA8">
        <w:rPr>
          <w:rFonts w:hint="eastAsia"/>
        </w:rPr>
        <w:t>參、</w:t>
      </w:r>
      <w:hyperlink w:anchor="_參、外國人入出國自由與限制__" w:history="1">
        <w:r w:rsidR="005E1EA8" w:rsidRPr="005A482C">
          <w:rPr>
            <w:rStyle w:val="a5"/>
            <w:rFonts w:ascii="Times New Roman" w:hAnsi="Times New Roman" w:hint="eastAsia"/>
          </w:rPr>
          <w:t>外國人入出國自由與限制</w:t>
        </w:r>
      </w:hyperlink>
    </w:p>
    <w:p w14:paraId="42E82D10" w14:textId="77777777" w:rsidR="005E1EA8" w:rsidRPr="005E1EA8" w:rsidRDefault="00B03E84" w:rsidP="00D87D91">
      <w:r w:rsidRPr="005E1EA8">
        <w:rPr>
          <w:rFonts w:hint="eastAsia"/>
          <w:b/>
        </w:rPr>
        <w:t>》》</w:t>
      </w:r>
      <w:r w:rsidR="005E1EA8" w:rsidRPr="005E1EA8">
        <w:rPr>
          <w:rFonts w:hint="eastAsia"/>
        </w:rPr>
        <w:t>肆、</w:t>
      </w:r>
      <w:hyperlink w:anchor="_肆、我國入出國管理法制之檢討" w:history="1">
        <w:r w:rsidR="005E1EA8" w:rsidRPr="005A482C">
          <w:rPr>
            <w:rStyle w:val="a5"/>
            <w:rFonts w:ascii="Times New Roman" w:hAnsi="Times New Roman" w:hint="eastAsia"/>
          </w:rPr>
          <w:t>我國入出國管理法制之檢討</w:t>
        </w:r>
      </w:hyperlink>
    </w:p>
    <w:p w14:paraId="60158518" w14:textId="77777777" w:rsidR="005E1EA8" w:rsidRPr="005E1EA8" w:rsidRDefault="00B03E84" w:rsidP="00D87D91">
      <w:r w:rsidRPr="005E1EA8">
        <w:rPr>
          <w:rFonts w:hint="eastAsia"/>
          <w:b/>
        </w:rPr>
        <w:t>》》</w:t>
      </w:r>
      <w:r w:rsidR="005E1EA8" w:rsidRPr="005E1EA8">
        <w:rPr>
          <w:rFonts w:hint="eastAsia"/>
        </w:rPr>
        <w:t>伍、</w:t>
      </w:r>
      <w:hyperlink w:anchor="_伍、結論與建議_1" w:history="1">
        <w:r w:rsidR="005E1EA8" w:rsidRPr="005A482C">
          <w:rPr>
            <w:rStyle w:val="a5"/>
            <w:rFonts w:ascii="Times New Roman" w:hAnsi="Times New Roman" w:hint="eastAsia"/>
          </w:rPr>
          <w:t>結論與建議</w:t>
        </w:r>
      </w:hyperlink>
    </w:p>
    <w:p w14:paraId="349FD218" w14:textId="77777777" w:rsidR="005E1EA8" w:rsidRPr="005E1EA8" w:rsidRDefault="00B03E84" w:rsidP="00D87D91">
      <w:pPr>
        <w:rPr>
          <w:color w:val="990000"/>
        </w:rPr>
      </w:pPr>
      <w:r w:rsidRPr="00B03E84">
        <w:rPr>
          <w:rFonts w:hint="eastAsia"/>
          <w:b/>
          <w:color w:val="990000"/>
        </w:rPr>
        <w:t>》</w:t>
      </w:r>
      <w:bookmarkStart w:id="8" w:name="a目次36"/>
      <w:bookmarkEnd w:id="8"/>
      <w:r w:rsidR="005E1EA8" w:rsidRPr="005E1EA8">
        <w:rPr>
          <w:rFonts w:hint="eastAsia"/>
          <w:color w:val="990000"/>
        </w:rPr>
        <w:t>第六章</w:t>
      </w:r>
      <w:r w:rsidR="005E1EA8" w:rsidRPr="005E1EA8">
        <w:rPr>
          <w:rFonts w:hint="eastAsia"/>
          <w:color w:val="990000"/>
        </w:rPr>
        <w:t xml:space="preserve"> </w:t>
      </w:r>
      <w:hyperlink w:anchor="_第六章_論外國人訴訟權、程序基本權與人身自由權之保障〜以2010" w:history="1">
        <w:r w:rsidR="005E1EA8" w:rsidRPr="005A482C">
          <w:rPr>
            <w:rStyle w:val="a5"/>
            <w:rFonts w:ascii="Times New Roman" w:hAnsi="Times New Roman" w:hint="eastAsia"/>
          </w:rPr>
          <w:t>論外國人訴訟權、程序基本權與人身自由權之保障</w:t>
        </w:r>
        <w:r w:rsidR="00BC4811" w:rsidRPr="005A482C">
          <w:rPr>
            <w:rStyle w:val="a5"/>
            <w:rFonts w:ascii="Times New Roman" w:hAnsi="Times New Roman" w:hint="eastAsia"/>
          </w:rPr>
          <w:t>〜</w:t>
        </w:r>
        <w:r w:rsidR="005E1EA8" w:rsidRPr="005A482C">
          <w:rPr>
            <w:rStyle w:val="a5"/>
            <w:rFonts w:ascii="Times New Roman" w:hAnsi="Times New Roman" w:hint="eastAsia"/>
          </w:rPr>
          <w:t>以</w:t>
        </w:r>
        <w:r w:rsidR="005E1EA8" w:rsidRPr="005A482C">
          <w:rPr>
            <w:rStyle w:val="a5"/>
            <w:rFonts w:ascii="Times New Roman" w:hAnsi="Times New Roman" w:hint="eastAsia"/>
          </w:rPr>
          <w:t>2010</w:t>
        </w:r>
        <w:r w:rsidR="005E1EA8" w:rsidRPr="005A482C">
          <w:rPr>
            <w:rStyle w:val="a5"/>
            <w:rFonts w:ascii="Times New Roman" w:hAnsi="Times New Roman" w:hint="eastAsia"/>
          </w:rPr>
          <w:t>年聯合國國際法院</w:t>
        </w:r>
        <w:r w:rsidR="005E1EA8" w:rsidRPr="005A482C">
          <w:rPr>
            <w:rStyle w:val="a5"/>
            <w:rFonts w:ascii="Times New Roman" w:hAnsi="Times New Roman" w:hint="eastAsia"/>
          </w:rPr>
          <w:t>DIALLO</w:t>
        </w:r>
        <w:r w:rsidR="005E1EA8" w:rsidRPr="005A482C">
          <w:rPr>
            <w:rStyle w:val="a5"/>
            <w:rFonts w:ascii="Times New Roman" w:hAnsi="Times New Roman" w:hint="eastAsia"/>
          </w:rPr>
          <w:t>驅逐出國案例為論述中心</w:t>
        </w:r>
      </w:hyperlink>
    </w:p>
    <w:p w14:paraId="724BBD87" w14:textId="77777777" w:rsidR="005E1EA8" w:rsidRPr="005E1EA8" w:rsidRDefault="00B03E84" w:rsidP="00D87D91">
      <w:r w:rsidRPr="005E1EA8">
        <w:rPr>
          <w:rFonts w:hint="eastAsia"/>
          <w:b/>
        </w:rPr>
        <w:t>》》</w:t>
      </w:r>
      <w:r w:rsidR="005E1EA8" w:rsidRPr="005E1EA8">
        <w:rPr>
          <w:rFonts w:hint="eastAsia"/>
        </w:rPr>
        <w:t>壹、</w:t>
      </w:r>
      <w:hyperlink w:anchor="_壹、前言_2" w:history="1">
        <w:r w:rsidR="005E1EA8" w:rsidRPr="006B0FD6">
          <w:rPr>
            <w:rStyle w:val="a5"/>
            <w:rFonts w:ascii="Times New Roman" w:hAnsi="Times New Roman" w:hint="eastAsia"/>
          </w:rPr>
          <w:t>前言</w:t>
        </w:r>
      </w:hyperlink>
    </w:p>
    <w:p w14:paraId="5EB2E9F0" w14:textId="77777777" w:rsidR="005E1EA8" w:rsidRPr="005E1EA8" w:rsidRDefault="00B03E84" w:rsidP="00D87D91">
      <w:r w:rsidRPr="005E1EA8">
        <w:rPr>
          <w:rFonts w:hint="eastAsia"/>
          <w:b/>
        </w:rPr>
        <w:t>》》</w:t>
      </w:r>
      <w:r w:rsidR="005E1EA8" w:rsidRPr="005E1EA8">
        <w:rPr>
          <w:rFonts w:hint="eastAsia"/>
        </w:rPr>
        <w:t>貳、</w:t>
      </w:r>
      <w:hyperlink w:anchor="_貳、2010年聯合國國際法院Diallo驅逐出國案例之案情簡介" w:history="1">
        <w:r w:rsidR="005E1EA8" w:rsidRPr="006879EB">
          <w:rPr>
            <w:rStyle w:val="a5"/>
            <w:rFonts w:ascii="Times New Roman" w:hAnsi="Times New Roman" w:hint="eastAsia"/>
          </w:rPr>
          <w:t>2010</w:t>
        </w:r>
        <w:r w:rsidR="005E1EA8" w:rsidRPr="006879EB">
          <w:rPr>
            <w:rStyle w:val="a5"/>
            <w:rFonts w:ascii="Times New Roman" w:hAnsi="Times New Roman" w:hint="eastAsia"/>
          </w:rPr>
          <w:t>年聯合國國際法院</w:t>
        </w:r>
        <w:r w:rsidR="005E1EA8" w:rsidRPr="006879EB">
          <w:rPr>
            <w:rStyle w:val="a5"/>
            <w:rFonts w:ascii="Times New Roman" w:hAnsi="Times New Roman" w:hint="eastAsia"/>
          </w:rPr>
          <w:t>Diallo</w:t>
        </w:r>
        <w:r w:rsidR="005E1EA8" w:rsidRPr="006879EB">
          <w:rPr>
            <w:rStyle w:val="a5"/>
            <w:rFonts w:ascii="Times New Roman" w:hAnsi="Times New Roman" w:hint="eastAsia"/>
          </w:rPr>
          <w:t>驅逐出國案例之案情簡介</w:t>
        </w:r>
      </w:hyperlink>
    </w:p>
    <w:p w14:paraId="10C58CCF" w14:textId="77777777" w:rsidR="005E1EA8" w:rsidRPr="005E1EA8" w:rsidRDefault="00B03E84" w:rsidP="00D87D91">
      <w:r w:rsidRPr="005E1EA8">
        <w:rPr>
          <w:rFonts w:hint="eastAsia"/>
          <w:b/>
        </w:rPr>
        <w:t>》》</w:t>
      </w:r>
      <w:r w:rsidR="005E1EA8" w:rsidRPr="005E1EA8">
        <w:rPr>
          <w:rFonts w:hint="eastAsia"/>
        </w:rPr>
        <w:t>參、</w:t>
      </w:r>
      <w:hyperlink w:anchor="_參、Diallo驅逐出國案例之重要特色" w:history="1">
        <w:r w:rsidR="005E1EA8" w:rsidRPr="006879EB">
          <w:rPr>
            <w:rStyle w:val="a5"/>
            <w:rFonts w:ascii="Times New Roman" w:hAnsi="Times New Roman" w:hint="eastAsia"/>
          </w:rPr>
          <w:t>Diallo</w:t>
        </w:r>
        <w:r w:rsidR="005E1EA8" w:rsidRPr="006879EB">
          <w:rPr>
            <w:rStyle w:val="a5"/>
            <w:rFonts w:ascii="Times New Roman" w:hAnsi="Times New Roman" w:hint="eastAsia"/>
          </w:rPr>
          <w:t>驅逐出國案例之重要特色</w:t>
        </w:r>
      </w:hyperlink>
    </w:p>
    <w:p w14:paraId="05B794E7" w14:textId="77777777" w:rsidR="005E1EA8" w:rsidRPr="005E1EA8" w:rsidRDefault="00B03E84" w:rsidP="00D87D91">
      <w:r w:rsidRPr="005E1EA8">
        <w:rPr>
          <w:rFonts w:hint="eastAsia"/>
          <w:b/>
        </w:rPr>
        <w:t>》》</w:t>
      </w:r>
      <w:r w:rsidR="005E1EA8" w:rsidRPr="005E1EA8">
        <w:rPr>
          <w:rFonts w:hint="eastAsia"/>
        </w:rPr>
        <w:t>肆、</w:t>
      </w:r>
      <w:hyperlink w:anchor="_肆、台灣強制驅逐外國人出國之現況及面臨之困境" w:history="1">
        <w:r w:rsidR="005E1EA8" w:rsidRPr="006879EB">
          <w:rPr>
            <w:rStyle w:val="a5"/>
            <w:rFonts w:ascii="Times New Roman" w:hAnsi="Times New Roman" w:hint="eastAsia"/>
          </w:rPr>
          <w:t>台灣強制驅逐外國人出國之現況及面臨之困境</w:t>
        </w:r>
      </w:hyperlink>
    </w:p>
    <w:p w14:paraId="6ED82221" w14:textId="77777777" w:rsidR="005E1EA8" w:rsidRPr="005E1EA8" w:rsidRDefault="00B03E84" w:rsidP="00D87D91">
      <w:r w:rsidRPr="005E1EA8">
        <w:rPr>
          <w:rFonts w:hint="eastAsia"/>
          <w:b/>
        </w:rPr>
        <w:t>》》</w:t>
      </w:r>
      <w:r w:rsidR="005E1EA8" w:rsidRPr="005E1EA8">
        <w:rPr>
          <w:rFonts w:hint="eastAsia"/>
        </w:rPr>
        <w:t>伍、</w:t>
      </w:r>
      <w:hyperlink w:anchor="_伍、結論與建議_2" w:history="1">
        <w:r w:rsidR="005E1EA8" w:rsidRPr="006879EB">
          <w:rPr>
            <w:rStyle w:val="a5"/>
            <w:rFonts w:ascii="Times New Roman" w:hAnsi="Times New Roman" w:hint="eastAsia"/>
          </w:rPr>
          <w:t>結論與建議</w:t>
        </w:r>
      </w:hyperlink>
    </w:p>
    <w:p w14:paraId="74A23F60" w14:textId="77777777" w:rsidR="005E1EA8" w:rsidRPr="005E1EA8" w:rsidRDefault="00B03E84" w:rsidP="00D87D91">
      <w:pPr>
        <w:rPr>
          <w:color w:val="990000"/>
        </w:rPr>
      </w:pPr>
      <w:r w:rsidRPr="00B03E84">
        <w:rPr>
          <w:rFonts w:hint="eastAsia"/>
          <w:b/>
          <w:color w:val="990000"/>
        </w:rPr>
        <w:t>》</w:t>
      </w:r>
      <w:bookmarkStart w:id="9" w:name="a目次37"/>
      <w:bookmarkEnd w:id="9"/>
      <w:r w:rsidR="005E1EA8" w:rsidRPr="005E1EA8">
        <w:rPr>
          <w:rFonts w:hint="eastAsia"/>
          <w:color w:val="990000"/>
        </w:rPr>
        <w:t>第七章</w:t>
      </w:r>
      <w:r w:rsidR="005E1EA8" w:rsidRPr="005E1EA8">
        <w:rPr>
          <w:rFonts w:hint="eastAsia"/>
          <w:color w:val="990000"/>
        </w:rPr>
        <w:t xml:space="preserve"> </w:t>
      </w:r>
      <w:hyperlink w:anchor="_第七章_論外國人人身自由權、程序基本權與身體權之保障〜以2004年" w:history="1">
        <w:r w:rsidR="005E1EA8" w:rsidRPr="006879EB">
          <w:rPr>
            <w:rStyle w:val="a5"/>
            <w:rFonts w:ascii="Times New Roman" w:hAnsi="Times New Roman" w:hint="eastAsia"/>
          </w:rPr>
          <w:t>論外國人人身自由權、程序基本權與身體權之保障</w:t>
        </w:r>
        <w:r w:rsidR="00D92F56">
          <w:rPr>
            <w:rStyle w:val="a5"/>
            <w:rFonts w:ascii="Times New Roman" w:hAnsi="Times New Roman" w:hint="eastAsia"/>
          </w:rPr>
          <w:t>〜</w:t>
        </w:r>
        <w:r w:rsidR="005E1EA8" w:rsidRPr="006879EB">
          <w:rPr>
            <w:rStyle w:val="a5"/>
            <w:rFonts w:ascii="Times New Roman" w:hAnsi="Times New Roman" w:hint="eastAsia"/>
          </w:rPr>
          <w:t>以</w:t>
        </w:r>
        <w:r w:rsidR="005E1EA8" w:rsidRPr="006879EB">
          <w:rPr>
            <w:rStyle w:val="a5"/>
            <w:rFonts w:ascii="Times New Roman" w:hAnsi="Times New Roman" w:hint="eastAsia"/>
          </w:rPr>
          <w:t>2004</w:t>
        </w:r>
        <w:r w:rsidR="005E1EA8" w:rsidRPr="006879EB">
          <w:rPr>
            <w:rStyle w:val="a5"/>
            <w:rFonts w:ascii="Times New Roman" w:hAnsi="Times New Roman" w:hint="eastAsia"/>
          </w:rPr>
          <w:t>年聯合國人權事務委員會</w:t>
        </w:r>
        <w:r w:rsidR="005E1EA8" w:rsidRPr="006879EB">
          <w:rPr>
            <w:rStyle w:val="a5"/>
            <w:rFonts w:ascii="Times New Roman" w:hAnsi="Times New Roman" w:hint="eastAsia"/>
          </w:rPr>
          <w:t>AHANI</w:t>
        </w:r>
        <w:r w:rsidR="005E1EA8" w:rsidRPr="006879EB">
          <w:rPr>
            <w:rStyle w:val="a5"/>
            <w:rFonts w:ascii="Times New Roman" w:hAnsi="Times New Roman" w:hint="eastAsia"/>
          </w:rPr>
          <w:t>驅逐出國案例為中心</w:t>
        </w:r>
      </w:hyperlink>
    </w:p>
    <w:p w14:paraId="0F663B97" w14:textId="77777777" w:rsidR="005E1EA8" w:rsidRPr="005E1EA8" w:rsidRDefault="00B03E84" w:rsidP="00D87D91">
      <w:r w:rsidRPr="005E1EA8">
        <w:rPr>
          <w:rFonts w:hint="eastAsia"/>
          <w:b/>
        </w:rPr>
        <w:t>》》</w:t>
      </w:r>
      <w:r w:rsidR="005E1EA8" w:rsidRPr="005E1EA8">
        <w:rPr>
          <w:rFonts w:hint="eastAsia"/>
        </w:rPr>
        <w:t>壹、</w:t>
      </w:r>
      <w:hyperlink w:anchor="_壹、前言_3" w:history="1">
        <w:r w:rsidR="005E1EA8" w:rsidRPr="006879EB">
          <w:rPr>
            <w:rStyle w:val="a5"/>
            <w:rFonts w:ascii="Times New Roman" w:hAnsi="Times New Roman" w:hint="eastAsia"/>
          </w:rPr>
          <w:t>前言</w:t>
        </w:r>
      </w:hyperlink>
    </w:p>
    <w:p w14:paraId="6008D11E" w14:textId="77777777" w:rsidR="005E1EA8" w:rsidRPr="005E1EA8" w:rsidRDefault="00B03E84" w:rsidP="00D87D91">
      <w:r w:rsidRPr="005E1EA8">
        <w:rPr>
          <w:rFonts w:hint="eastAsia"/>
          <w:b/>
        </w:rPr>
        <w:t>》》</w:t>
      </w:r>
      <w:r w:rsidR="005E1EA8" w:rsidRPr="005E1EA8">
        <w:rPr>
          <w:rFonts w:hint="eastAsia"/>
        </w:rPr>
        <w:t>貳、</w:t>
      </w:r>
      <w:hyperlink w:anchor="_貳、聯合國人權事務委員會之角色與功能" w:history="1">
        <w:r w:rsidR="005E1EA8" w:rsidRPr="006879EB">
          <w:rPr>
            <w:rStyle w:val="a5"/>
            <w:rFonts w:ascii="Times New Roman" w:hAnsi="Times New Roman" w:hint="eastAsia"/>
          </w:rPr>
          <w:t>聯合國人權事務委員會之角色與功能</w:t>
        </w:r>
      </w:hyperlink>
    </w:p>
    <w:p w14:paraId="4D4B4DC1" w14:textId="77777777" w:rsidR="005E1EA8" w:rsidRPr="005E1EA8" w:rsidRDefault="00B03E84" w:rsidP="00D87D91">
      <w:r w:rsidRPr="005E1EA8">
        <w:rPr>
          <w:rFonts w:hint="eastAsia"/>
          <w:b/>
        </w:rPr>
        <w:t>》》</w:t>
      </w:r>
      <w:r w:rsidR="005E1EA8" w:rsidRPr="005E1EA8">
        <w:rPr>
          <w:rFonts w:hint="eastAsia"/>
        </w:rPr>
        <w:t>參、</w:t>
      </w:r>
      <w:hyperlink w:anchor="_參、聯合國人權事務委員會Ahani驅逐出國案例之案情介紹" w:history="1">
        <w:r w:rsidR="005E1EA8" w:rsidRPr="006879EB">
          <w:rPr>
            <w:rStyle w:val="a5"/>
            <w:rFonts w:ascii="Times New Roman" w:hAnsi="Times New Roman" w:hint="eastAsia"/>
          </w:rPr>
          <w:t>聯合國人權事務委員會</w:t>
        </w:r>
        <w:r w:rsidR="005E1EA8" w:rsidRPr="006879EB">
          <w:rPr>
            <w:rStyle w:val="a5"/>
            <w:rFonts w:ascii="Times New Roman" w:hAnsi="Times New Roman" w:hint="eastAsia"/>
          </w:rPr>
          <w:t>Ahani</w:t>
        </w:r>
        <w:r w:rsidR="005E1EA8" w:rsidRPr="006879EB">
          <w:rPr>
            <w:rStyle w:val="a5"/>
            <w:rFonts w:ascii="Times New Roman" w:hAnsi="Times New Roman" w:hint="eastAsia"/>
          </w:rPr>
          <w:t>驅逐出國案例之案情介紹</w:t>
        </w:r>
      </w:hyperlink>
    </w:p>
    <w:p w14:paraId="5CF2C77E" w14:textId="77777777" w:rsidR="005E1EA8" w:rsidRPr="005E1EA8" w:rsidRDefault="00B03E84" w:rsidP="00D87D91">
      <w:r w:rsidRPr="005E1EA8">
        <w:rPr>
          <w:rFonts w:hint="eastAsia"/>
          <w:b/>
        </w:rPr>
        <w:t>》》</w:t>
      </w:r>
      <w:r w:rsidR="005E1EA8" w:rsidRPr="005E1EA8">
        <w:rPr>
          <w:rFonts w:hint="eastAsia"/>
        </w:rPr>
        <w:t>肆、</w:t>
      </w:r>
      <w:hyperlink w:anchor="_肆、聯合國HRC對於Ahani案件之見解與決定" w:history="1">
        <w:r w:rsidR="005E1EA8" w:rsidRPr="006879EB">
          <w:rPr>
            <w:rStyle w:val="a5"/>
            <w:rFonts w:ascii="Times New Roman" w:hAnsi="Times New Roman" w:hint="eastAsia"/>
          </w:rPr>
          <w:t>聯合國</w:t>
        </w:r>
        <w:r w:rsidR="005E1EA8" w:rsidRPr="006879EB">
          <w:rPr>
            <w:rStyle w:val="a5"/>
            <w:rFonts w:ascii="Times New Roman" w:hAnsi="Times New Roman" w:hint="eastAsia"/>
          </w:rPr>
          <w:t>HRC</w:t>
        </w:r>
        <w:r w:rsidR="005E1EA8" w:rsidRPr="006879EB">
          <w:rPr>
            <w:rStyle w:val="a5"/>
            <w:rFonts w:ascii="Times New Roman" w:hAnsi="Times New Roman" w:hint="eastAsia"/>
          </w:rPr>
          <w:t>對於</w:t>
        </w:r>
        <w:r w:rsidR="005E1EA8" w:rsidRPr="006879EB">
          <w:rPr>
            <w:rStyle w:val="a5"/>
            <w:rFonts w:ascii="Times New Roman" w:hAnsi="Times New Roman" w:hint="eastAsia"/>
          </w:rPr>
          <w:t>Ahani</w:t>
        </w:r>
        <w:r w:rsidR="005E1EA8" w:rsidRPr="006879EB">
          <w:rPr>
            <w:rStyle w:val="a5"/>
            <w:rFonts w:ascii="Times New Roman" w:hAnsi="Times New Roman" w:hint="eastAsia"/>
          </w:rPr>
          <w:t>案件之見解與決定</w:t>
        </w:r>
      </w:hyperlink>
    </w:p>
    <w:p w14:paraId="68DC1991" w14:textId="77777777" w:rsidR="005E1EA8" w:rsidRPr="005E1EA8" w:rsidRDefault="00B03E84" w:rsidP="00D87D91">
      <w:r w:rsidRPr="005E1EA8">
        <w:rPr>
          <w:rFonts w:hint="eastAsia"/>
          <w:b/>
        </w:rPr>
        <w:t>》》</w:t>
      </w:r>
      <w:r w:rsidR="005E1EA8" w:rsidRPr="005E1EA8">
        <w:rPr>
          <w:rFonts w:hint="eastAsia"/>
        </w:rPr>
        <w:t>伍、</w:t>
      </w:r>
      <w:hyperlink w:anchor="_伍、本案之重要特色" w:history="1">
        <w:r w:rsidR="005E1EA8" w:rsidRPr="006879EB">
          <w:rPr>
            <w:rStyle w:val="a5"/>
            <w:rFonts w:ascii="Times New Roman" w:hAnsi="Times New Roman" w:hint="eastAsia"/>
          </w:rPr>
          <w:t>本案之重要特色</w:t>
        </w:r>
      </w:hyperlink>
    </w:p>
    <w:p w14:paraId="5ECDC5FC" w14:textId="77777777" w:rsidR="005E1EA8" w:rsidRPr="005E1EA8" w:rsidRDefault="00B03E84" w:rsidP="00D87D91">
      <w:r w:rsidRPr="005E1EA8">
        <w:rPr>
          <w:rFonts w:hint="eastAsia"/>
          <w:b/>
        </w:rPr>
        <w:t>》》</w:t>
      </w:r>
      <w:r w:rsidR="005E1EA8" w:rsidRPr="005E1EA8">
        <w:rPr>
          <w:rFonts w:hint="eastAsia"/>
        </w:rPr>
        <w:t>陸、</w:t>
      </w:r>
      <w:hyperlink w:anchor="_陸、Ahani驅逐出國案例對台灣之啟迪〜代結論" w:history="1">
        <w:r w:rsidR="005E1EA8" w:rsidRPr="00D92F56">
          <w:rPr>
            <w:rStyle w:val="a5"/>
            <w:rFonts w:ascii="Times New Roman" w:hAnsi="Times New Roman" w:hint="eastAsia"/>
          </w:rPr>
          <w:t>Ahani</w:t>
        </w:r>
        <w:r w:rsidR="005E1EA8" w:rsidRPr="00D92F56">
          <w:rPr>
            <w:rStyle w:val="a5"/>
            <w:rFonts w:ascii="Times New Roman" w:hAnsi="Times New Roman" w:hint="eastAsia"/>
          </w:rPr>
          <w:t>驅逐出國案例對台灣之啟迪</w:t>
        </w:r>
        <w:r w:rsidR="006879EB" w:rsidRPr="00D92F56">
          <w:rPr>
            <w:rStyle w:val="a5"/>
            <w:rFonts w:ascii="Times New Roman" w:hAnsi="Times New Roman" w:hint="eastAsia"/>
          </w:rPr>
          <w:t>〜</w:t>
        </w:r>
        <w:r w:rsidR="005E1EA8" w:rsidRPr="00D92F56">
          <w:rPr>
            <w:rStyle w:val="a5"/>
            <w:rFonts w:ascii="Times New Roman" w:hAnsi="Times New Roman" w:hint="eastAsia"/>
          </w:rPr>
          <w:t>代結論</w:t>
        </w:r>
      </w:hyperlink>
    </w:p>
    <w:p w14:paraId="17314D7C" w14:textId="77777777" w:rsidR="005E1EA8" w:rsidRPr="005E1EA8" w:rsidRDefault="00B03E84" w:rsidP="00D87D91">
      <w:pPr>
        <w:rPr>
          <w:color w:val="990000"/>
        </w:rPr>
      </w:pPr>
      <w:r w:rsidRPr="00B03E84">
        <w:rPr>
          <w:rFonts w:hint="eastAsia"/>
          <w:b/>
          <w:color w:val="990000"/>
        </w:rPr>
        <w:t>》</w:t>
      </w:r>
      <w:bookmarkStart w:id="10" w:name="a目次38"/>
      <w:bookmarkEnd w:id="10"/>
      <w:r w:rsidR="005E1EA8" w:rsidRPr="005E1EA8">
        <w:rPr>
          <w:rFonts w:hint="eastAsia"/>
          <w:color w:val="990000"/>
        </w:rPr>
        <w:t>第八章</w:t>
      </w:r>
      <w:r w:rsidR="005E1EA8" w:rsidRPr="005E1EA8">
        <w:rPr>
          <w:rFonts w:hint="eastAsia"/>
          <w:color w:val="990000"/>
        </w:rPr>
        <w:t xml:space="preserve"> </w:t>
      </w:r>
      <w:hyperlink w:anchor="_第八章_人口販運被害人人性尊嚴之保障" w:history="1">
        <w:r w:rsidR="005E1EA8" w:rsidRPr="00D92F56">
          <w:rPr>
            <w:rStyle w:val="a5"/>
            <w:rFonts w:ascii="Times New Roman" w:hAnsi="Times New Roman" w:hint="eastAsia"/>
          </w:rPr>
          <w:t>人口販運被害人人性尊嚴之保障</w:t>
        </w:r>
      </w:hyperlink>
    </w:p>
    <w:p w14:paraId="597647F7" w14:textId="77777777" w:rsidR="005E1EA8" w:rsidRPr="005E1EA8" w:rsidRDefault="00B03E84" w:rsidP="00D87D91">
      <w:r w:rsidRPr="005E1EA8">
        <w:rPr>
          <w:rFonts w:hint="eastAsia"/>
          <w:b/>
        </w:rPr>
        <w:t>》》</w:t>
      </w:r>
      <w:r w:rsidR="005E1EA8" w:rsidRPr="005E1EA8">
        <w:rPr>
          <w:rFonts w:hint="eastAsia"/>
        </w:rPr>
        <w:t>壹、</w:t>
      </w:r>
      <w:hyperlink w:anchor="_壹、前言_4" w:history="1">
        <w:r w:rsidR="005E1EA8" w:rsidRPr="00D92F56">
          <w:rPr>
            <w:rStyle w:val="a5"/>
            <w:rFonts w:ascii="Times New Roman" w:hAnsi="Times New Roman" w:hint="eastAsia"/>
          </w:rPr>
          <w:t>前言</w:t>
        </w:r>
      </w:hyperlink>
    </w:p>
    <w:p w14:paraId="29B3B83B" w14:textId="77777777" w:rsidR="005E1EA8" w:rsidRPr="005E1EA8" w:rsidRDefault="00B03E84" w:rsidP="00D87D91">
      <w:r w:rsidRPr="005E1EA8">
        <w:rPr>
          <w:rFonts w:hint="eastAsia"/>
          <w:b/>
        </w:rPr>
        <w:t>》》</w:t>
      </w:r>
      <w:r w:rsidR="005E1EA8" w:rsidRPr="005E1EA8">
        <w:rPr>
          <w:rFonts w:hint="eastAsia"/>
        </w:rPr>
        <w:t>貳、</w:t>
      </w:r>
      <w:hyperlink w:anchor="_貳、國際人口販運之現象、特色與防治作為" w:history="1">
        <w:r w:rsidR="005E1EA8" w:rsidRPr="00D92F56">
          <w:rPr>
            <w:rStyle w:val="a5"/>
            <w:rFonts w:ascii="Times New Roman" w:hAnsi="Times New Roman" w:hint="eastAsia"/>
          </w:rPr>
          <w:t>國際人口販運之現象、特色與防治作為</w:t>
        </w:r>
      </w:hyperlink>
    </w:p>
    <w:p w14:paraId="6EAF7FAE" w14:textId="77777777" w:rsidR="005E1EA8" w:rsidRPr="005E1EA8" w:rsidRDefault="00B03E84" w:rsidP="00D87D91">
      <w:r w:rsidRPr="005E1EA8">
        <w:rPr>
          <w:rFonts w:hint="eastAsia"/>
          <w:b/>
        </w:rPr>
        <w:t>》》</w:t>
      </w:r>
      <w:r w:rsidR="005E1EA8" w:rsidRPr="005E1EA8">
        <w:rPr>
          <w:rFonts w:hint="eastAsia"/>
        </w:rPr>
        <w:t>參、</w:t>
      </w:r>
      <w:hyperlink w:anchor="_參、全球打擊人口販運犯罪之重大新興挑戰〜2C3D1I1R" w:history="1">
        <w:r w:rsidR="005E1EA8" w:rsidRPr="00D92F56">
          <w:rPr>
            <w:rStyle w:val="a5"/>
            <w:rFonts w:ascii="Times New Roman" w:hAnsi="Times New Roman" w:hint="eastAsia"/>
          </w:rPr>
          <w:t>全球打擊人口販運犯罪之重大新興挑戰</w:t>
        </w:r>
        <w:r w:rsidR="00BC4811" w:rsidRPr="00D92F56">
          <w:rPr>
            <w:rStyle w:val="a5"/>
            <w:rFonts w:ascii="Times New Roman" w:hAnsi="Times New Roman" w:hint="eastAsia"/>
          </w:rPr>
          <w:t>〜</w:t>
        </w:r>
        <w:r w:rsidR="005E1EA8" w:rsidRPr="00D92F56">
          <w:rPr>
            <w:rStyle w:val="a5"/>
            <w:rFonts w:ascii="Times New Roman" w:hAnsi="Times New Roman" w:hint="eastAsia"/>
          </w:rPr>
          <w:t>2C3D1I1R</w:t>
        </w:r>
      </w:hyperlink>
    </w:p>
    <w:p w14:paraId="5DC224A7" w14:textId="77777777" w:rsidR="005E1EA8" w:rsidRPr="005E1EA8" w:rsidRDefault="00B03E84" w:rsidP="00D87D91">
      <w:r w:rsidRPr="005E1EA8">
        <w:rPr>
          <w:rFonts w:hint="eastAsia"/>
          <w:b/>
        </w:rPr>
        <w:t>》》</w:t>
      </w:r>
      <w:r w:rsidR="005E1EA8" w:rsidRPr="005E1EA8">
        <w:rPr>
          <w:rFonts w:hint="eastAsia"/>
        </w:rPr>
        <w:t>肆、</w:t>
      </w:r>
      <w:hyperlink w:anchor="_肆、台灣面臨人口販運問題之檢討與回顧" w:history="1">
        <w:r w:rsidR="005E1EA8" w:rsidRPr="00AE223E">
          <w:rPr>
            <w:rStyle w:val="a5"/>
            <w:rFonts w:ascii="Times New Roman" w:hAnsi="Times New Roman" w:hint="eastAsia"/>
          </w:rPr>
          <w:t>台灣面臨人口販運問題之檢討與回顧</w:t>
        </w:r>
      </w:hyperlink>
    </w:p>
    <w:p w14:paraId="7C0510FA" w14:textId="77777777" w:rsidR="005E1EA8" w:rsidRPr="005E1EA8" w:rsidRDefault="00B03E84" w:rsidP="00D87D91">
      <w:r w:rsidRPr="005E1EA8">
        <w:rPr>
          <w:rFonts w:hint="eastAsia"/>
          <w:b/>
        </w:rPr>
        <w:t>》》</w:t>
      </w:r>
      <w:r w:rsidR="005E1EA8" w:rsidRPr="005E1EA8">
        <w:rPr>
          <w:rFonts w:hint="eastAsia"/>
        </w:rPr>
        <w:t>伍、</w:t>
      </w:r>
      <w:hyperlink w:anchor="_伍、台灣因應人口販運問題可行之回應對策" w:history="1">
        <w:r w:rsidR="005E1EA8" w:rsidRPr="00AE223E">
          <w:rPr>
            <w:rStyle w:val="a5"/>
            <w:rFonts w:ascii="Times New Roman" w:hAnsi="Times New Roman" w:hint="eastAsia"/>
          </w:rPr>
          <w:t>台灣因應人口販運問題可行之回應對策</w:t>
        </w:r>
      </w:hyperlink>
    </w:p>
    <w:p w14:paraId="69693FC1" w14:textId="77777777" w:rsidR="005E1EA8" w:rsidRPr="005E1EA8" w:rsidRDefault="00B03E84" w:rsidP="00D87D91">
      <w:r w:rsidRPr="005E1EA8">
        <w:rPr>
          <w:rFonts w:hint="eastAsia"/>
          <w:b/>
        </w:rPr>
        <w:t>》》</w:t>
      </w:r>
      <w:r w:rsidR="005E1EA8" w:rsidRPr="005E1EA8">
        <w:rPr>
          <w:rFonts w:hint="eastAsia"/>
        </w:rPr>
        <w:t>陸、</w:t>
      </w:r>
      <w:hyperlink w:anchor="_陸、結論與建議" w:history="1">
        <w:r w:rsidR="005E1EA8" w:rsidRPr="00AE223E">
          <w:rPr>
            <w:rStyle w:val="a5"/>
            <w:rFonts w:ascii="Times New Roman" w:hAnsi="Times New Roman" w:hint="eastAsia"/>
          </w:rPr>
          <w:t>結論與建議</w:t>
        </w:r>
      </w:hyperlink>
    </w:p>
    <w:p w14:paraId="05BFAF8D" w14:textId="77777777" w:rsidR="005E1EA8" w:rsidRPr="005E1EA8" w:rsidRDefault="00B03E84" w:rsidP="00D87D91">
      <w:pPr>
        <w:rPr>
          <w:color w:val="990000"/>
        </w:rPr>
      </w:pPr>
      <w:r w:rsidRPr="00B03E84">
        <w:rPr>
          <w:rFonts w:hint="eastAsia"/>
          <w:b/>
          <w:color w:val="990000"/>
        </w:rPr>
        <w:t>》</w:t>
      </w:r>
      <w:bookmarkStart w:id="11" w:name="a目次39"/>
      <w:bookmarkEnd w:id="11"/>
      <w:r w:rsidR="005E1EA8" w:rsidRPr="005E1EA8">
        <w:rPr>
          <w:rFonts w:hint="eastAsia"/>
          <w:color w:val="990000"/>
        </w:rPr>
        <w:t>第九章</w:t>
      </w:r>
      <w:r w:rsidR="005E1EA8" w:rsidRPr="005E1EA8">
        <w:rPr>
          <w:rFonts w:hint="eastAsia"/>
          <w:color w:val="990000"/>
        </w:rPr>
        <w:t xml:space="preserve"> </w:t>
      </w:r>
      <w:hyperlink w:anchor="_第九章_我國憲法明文規範「廢止死刑」必要性之研究" w:history="1">
        <w:r w:rsidR="005E1EA8" w:rsidRPr="00AE223E">
          <w:rPr>
            <w:rStyle w:val="a5"/>
            <w:rFonts w:ascii="Times New Roman" w:hAnsi="Times New Roman" w:hint="eastAsia"/>
          </w:rPr>
          <w:t>我國憲法明文規範「廢止死刑」必要性之研究</w:t>
        </w:r>
      </w:hyperlink>
    </w:p>
    <w:p w14:paraId="25BE5EEF" w14:textId="77777777" w:rsidR="005E1EA8" w:rsidRPr="005E1EA8" w:rsidRDefault="00B03E84" w:rsidP="00D87D91">
      <w:r w:rsidRPr="005E1EA8">
        <w:rPr>
          <w:rFonts w:hint="eastAsia"/>
          <w:b/>
        </w:rPr>
        <w:t>》》</w:t>
      </w:r>
      <w:r w:rsidR="005E1EA8" w:rsidRPr="005E1EA8">
        <w:rPr>
          <w:rFonts w:hint="eastAsia"/>
        </w:rPr>
        <w:t>壹、</w:t>
      </w:r>
      <w:hyperlink w:anchor="_壹、前言_5" w:history="1">
        <w:r w:rsidR="005E1EA8" w:rsidRPr="00AE223E">
          <w:rPr>
            <w:rStyle w:val="a5"/>
            <w:rFonts w:ascii="Times New Roman" w:hAnsi="Times New Roman" w:hint="eastAsia"/>
          </w:rPr>
          <w:t>前言</w:t>
        </w:r>
      </w:hyperlink>
    </w:p>
    <w:p w14:paraId="134CBED5" w14:textId="77777777" w:rsidR="005E1EA8" w:rsidRPr="005E1EA8" w:rsidRDefault="00B03E84" w:rsidP="00D87D91">
      <w:r w:rsidRPr="005E1EA8">
        <w:rPr>
          <w:rFonts w:hint="eastAsia"/>
          <w:b/>
        </w:rPr>
        <w:t>》》</w:t>
      </w:r>
      <w:r w:rsidR="005E1EA8" w:rsidRPr="005E1EA8">
        <w:rPr>
          <w:rFonts w:hint="eastAsia"/>
        </w:rPr>
        <w:t>貳、</w:t>
      </w:r>
      <w:hyperlink w:anchor="_貳、民主先進國家針對廢止死刑的立憲體例" w:history="1">
        <w:r w:rsidR="005E1EA8" w:rsidRPr="00AE223E">
          <w:rPr>
            <w:rStyle w:val="a5"/>
            <w:rFonts w:ascii="Times New Roman" w:hAnsi="Times New Roman" w:hint="eastAsia"/>
          </w:rPr>
          <w:t>民主先進國家針對廢止死刑的立憲體例</w:t>
        </w:r>
      </w:hyperlink>
    </w:p>
    <w:p w14:paraId="0241BA37" w14:textId="77777777" w:rsidR="005E1EA8" w:rsidRPr="005E1EA8" w:rsidRDefault="00B03E84" w:rsidP="00D87D91">
      <w:r w:rsidRPr="005E1EA8">
        <w:rPr>
          <w:rFonts w:hint="eastAsia"/>
          <w:b/>
        </w:rPr>
        <w:t>》》</w:t>
      </w:r>
      <w:r w:rsidR="005E1EA8" w:rsidRPr="005E1EA8">
        <w:rPr>
          <w:rFonts w:hint="eastAsia"/>
        </w:rPr>
        <w:t>參、</w:t>
      </w:r>
      <w:hyperlink w:anchor="_參、「廢死」業已成為國際社會非常主流之人權運動" w:history="1">
        <w:r w:rsidR="005E1EA8" w:rsidRPr="00AE223E">
          <w:rPr>
            <w:rStyle w:val="a5"/>
            <w:rFonts w:ascii="Times New Roman" w:hAnsi="Times New Roman" w:hint="eastAsia"/>
          </w:rPr>
          <w:t>「廢死」業已成為國際社會非常主流之人權運動</w:t>
        </w:r>
      </w:hyperlink>
    </w:p>
    <w:p w14:paraId="2E917260" w14:textId="77777777" w:rsidR="005E1EA8" w:rsidRPr="005E1EA8" w:rsidRDefault="00B03E84" w:rsidP="00D87D91">
      <w:r w:rsidRPr="005E1EA8">
        <w:rPr>
          <w:rFonts w:hint="eastAsia"/>
          <w:b/>
        </w:rPr>
        <w:t>》》</w:t>
      </w:r>
      <w:r w:rsidR="005E1EA8" w:rsidRPr="005E1EA8">
        <w:rPr>
          <w:rFonts w:hint="eastAsia"/>
        </w:rPr>
        <w:t>肆、</w:t>
      </w:r>
      <w:hyperlink w:anchor="_肆、執行死刑機制積極地促發各類型犯罪〜「死刑積極促發各類型犯罪理論」之" w:history="1">
        <w:r w:rsidR="005E1EA8" w:rsidRPr="00AE223E">
          <w:rPr>
            <w:rStyle w:val="a5"/>
            <w:rFonts w:ascii="Times New Roman" w:hAnsi="Times New Roman" w:hint="eastAsia"/>
          </w:rPr>
          <w:t>執行死刑機制積極地促發各類型犯罪</w:t>
        </w:r>
        <w:r w:rsidR="00D92F56" w:rsidRPr="00AE223E">
          <w:rPr>
            <w:rStyle w:val="a5"/>
            <w:rFonts w:ascii="Times New Roman" w:hAnsi="Times New Roman" w:hint="eastAsia"/>
          </w:rPr>
          <w:t>〜</w:t>
        </w:r>
        <w:r w:rsidR="005E1EA8" w:rsidRPr="00AE223E">
          <w:rPr>
            <w:rStyle w:val="a5"/>
            <w:rFonts w:ascii="Times New Roman" w:hAnsi="Times New Roman" w:hint="eastAsia"/>
          </w:rPr>
          <w:t>「死刑積極促發各類型犯罪理論」之剖析</w:t>
        </w:r>
      </w:hyperlink>
    </w:p>
    <w:p w14:paraId="1CDD8EAB" w14:textId="77777777" w:rsidR="005E1EA8" w:rsidRPr="005E1EA8" w:rsidRDefault="00B03E84" w:rsidP="00D87D91">
      <w:r w:rsidRPr="005E1EA8">
        <w:rPr>
          <w:rFonts w:hint="eastAsia"/>
          <w:b/>
        </w:rPr>
        <w:t>》》</w:t>
      </w:r>
      <w:r w:rsidR="005E1EA8" w:rsidRPr="005E1EA8">
        <w:rPr>
          <w:rFonts w:hint="eastAsia"/>
        </w:rPr>
        <w:t>伍、</w:t>
      </w:r>
      <w:hyperlink w:anchor="_伍、結論" w:history="1">
        <w:r w:rsidR="005E1EA8" w:rsidRPr="00AE223E">
          <w:rPr>
            <w:rStyle w:val="a5"/>
            <w:rFonts w:ascii="Times New Roman" w:hAnsi="Times New Roman" w:hint="eastAsia"/>
          </w:rPr>
          <w:t>結論</w:t>
        </w:r>
      </w:hyperlink>
    </w:p>
    <w:p w14:paraId="7AB6ECAA" w14:textId="77777777" w:rsidR="005E1EA8" w:rsidRPr="005E1EA8" w:rsidRDefault="00B03E84" w:rsidP="00D87D91">
      <w:pPr>
        <w:rPr>
          <w:color w:val="990000"/>
        </w:rPr>
      </w:pPr>
      <w:r w:rsidRPr="00B03E84">
        <w:rPr>
          <w:rFonts w:hint="eastAsia"/>
          <w:b/>
          <w:color w:val="990000"/>
        </w:rPr>
        <w:t>》</w:t>
      </w:r>
      <w:bookmarkStart w:id="12" w:name="a目次310"/>
      <w:bookmarkEnd w:id="12"/>
      <w:r w:rsidR="005E1EA8" w:rsidRPr="005E1EA8">
        <w:rPr>
          <w:rFonts w:hint="eastAsia"/>
          <w:color w:val="990000"/>
        </w:rPr>
        <w:t>第十章</w:t>
      </w:r>
      <w:hyperlink w:anchor="_第十章中華民國國家主權_V.S._中國大陸「反分裂國家法第8條」〜以「" w:history="1">
        <w:r w:rsidR="005E1EA8" w:rsidRPr="00402015">
          <w:rPr>
            <w:rStyle w:val="a5"/>
            <w:rFonts w:ascii="Times New Roman" w:hAnsi="Times New Roman" w:hint="eastAsia"/>
          </w:rPr>
          <w:t>中華民國國家主權</w:t>
        </w:r>
        <w:r w:rsidR="005E1EA8" w:rsidRPr="00402015">
          <w:rPr>
            <w:rStyle w:val="a5"/>
            <w:rFonts w:ascii="Times New Roman" w:hAnsi="Times New Roman" w:hint="eastAsia"/>
          </w:rPr>
          <w:t xml:space="preserve"> V.S. </w:t>
        </w:r>
        <w:r w:rsidR="005E1EA8" w:rsidRPr="00402015">
          <w:rPr>
            <w:rStyle w:val="a5"/>
            <w:rFonts w:ascii="Times New Roman" w:hAnsi="Times New Roman" w:hint="eastAsia"/>
          </w:rPr>
          <w:t>中國大陸「反分裂國家法第</w:t>
        </w:r>
        <w:r w:rsidR="005E1EA8" w:rsidRPr="00402015">
          <w:rPr>
            <w:rStyle w:val="a5"/>
            <w:rFonts w:ascii="Times New Roman" w:hAnsi="Times New Roman" w:hint="eastAsia"/>
          </w:rPr>
          <w:t>8</w:t>
        </w:r>
        <w:r w:rsidR="005E1EA8" w:rsidRPr="00402015">
          <w:rPr>
            <w:rStyle w:val="a5"/>
            <w:rFonts w:ascii="Times New Roman" w:hAnsi="Times New Roman" w:hint="eastAsia"/>
          </w:rPr>
          <w:t>條」</w:t>
        </w:r>
        <w:r w:rsidR="00E579D0" w:rsidRPr="00402015">
          <w:rPr>
            <w:rStyle w:val="a5"/>
            <w:rFonts w:ascii="Times New Roman" w:hAnsi="Times New Roman" w:hint="eastAsia"/>
          </w:rPr>
          <w:t>〜</w:t>
        </w:r>
        <w:r w:rsidR="005E1EA8" w:rsidRPr="00402015">
          <w:rPr>
            <w:rStyle w:val="a5"/>
            <w:rFonts w:ascii="Times New Roman" w:hAnsi="Times New Roman" w:hint="eastAsia"/>
          </w:rPr>
          <w:t>以「禁止使用核武器」為中心</w:t>
        </w:r>
      </w:hyperlink>
    </w:p>
    <w:p w14:paraId="56A23EF3" w14:textId="77777777" w:rsidR="005E1EA8" w:rsidRPr="005E1EA8" w:rsidRDefault="00B03E84" w:rsidP="00D87D91">
      <w:r w:rsidRPr="005E1EA8">
        <w:rPr>
          <w:rFonts w:hint="eastAsia"/>
          <w:b/>
        </w:rPr>
        <w:t>》》</w:t>
      </w:r>
      <w:r w:rsidR="005E1EA8" w:rsidRPr="005E1EA8">
        <w:rPr>
          <w:rFonts w:hint="eastAsia"/>
        </w:rPr>
        <w:t>壹、</w:t>
      </w:r>
      <w:hyperlink w:anchor="_壹、緣起_1" w:history="1">
        <w:r w:rsidR="005E1EA8" w:rsidRPr="00402015">
          <w:rPr>
            <w:rStyle w:val="a5"/>
            <w:rFonts w:ascii="Times New Roman" w:hAnsi="Times New Roman" w:hint="eastAsia"/>
          </w:rPr>
          <w:t>緣起</w:t>
        </w:r>
      </w:hyperlink>
    </w:p>
    <w:p w14:paraId="2955E099" w14:textId="77777777" w:rsidR="005E1EA8" w:rsidRPr="005E1EA8" w:rsidRDefault="00B03E84" w:rsidP="00D87D91">
      <w:r w:rsidRPr="005E1EA8">
        <w:rPr>
          <w:rFonts w:hint="eastAsia"/>
          <w:b/>
        </w:rPr>
        <w:t>》》</w:t>
      </w:r>
      <w:r w:rsidR="005E1EA8" w:rsidRPr="005E1EA8">
        <w:rPr>
          <w:rFonts w:hint="eastAsia"/>
        </w:rPr>
        <w:t>貳、</w:t>
      </w:r>
      <w:hyperlink w:anchor="_貳、《反分裂國家法》第8條「非和平方式及其他必要措施」的意涵" w:history="1">
        <w:r w:rsidR="00264F18">
          <w:rPr>
            <w:rStyle w:val="a5"/>
            <w:rFonts w:ascii="Times New Roman" w:hAnsi="Times New Roman" w:hint="eastAsia"/>
          </w:rPr>
          <w:t>《反分裂國家法》第</w:t>
        </w:r>
        <w:r w:rsidR="00264F18">
          <w:rPr>
            <w:rStyle w:val="a5"/>
            <w:rFonts w:ascii="Times New Roman" w:hAnsi="Times New Roman" w:hint="eastAsia"/>
          </w:rPr>
          <w:t>8</w:t>
        </w:r>
        <w:r w:rsidR="00264F18">
          <w:rPr>
            <w:rStyle w:val="a5"/>
            <w:rFonts w:ascii="Times New Roman" w:hAnsi="Times New Roman" w:hint="eastAsia"/>
          </w:rPr>
          <w:t>條「非和平方式及其他必要措施」的意涵</w:t>
        </w:r>
      </w:hyperlink>
    </w:p>
    <w:p w14:paraId="5E960BC5" w14:textId="77777777" w:rsidR="005E1EA8" w:rsidRPr="005E1EA8" w:rsidRDefault="00B03E84" w:rsidP="00D87D91">
      <w:r w:rsidRPr="005E1EA8">
        <w:rPr>
          <w:rFonts w:hint="eastAsia"/>
          <w:b/>
        </w:rPr>
        <w:lastRenderedPageBreak/>
        <w:t>》》</w:t>
      </w:r>
      <w:r w:rsidR="005E1EA8" w:rsidRPr="005E1EA8">
        <w:rPr>
          <w:rFonts w:hint="eastAsia"/>
        </w:rPr>
        <w:t>參、</w:t>
      </w:r>
      <w:hyperlink w:anchor="_參、假若中國對台灣使用核武器將嚴重違反國際法的相關規定" w:history="1">
        <w:r w:rsidR="005E1EA8" w:rsidRPr="00402015">
          <w:rPr>
            <w:rStyle w:val="a5"/>
            <w:rFonts w:ascii="Times New Roman" w:hAnsi="Times New Roman" w:hint="eastAsia"/>
          </w:rPr>
          <w:t>假若中國對台灣使用核武器將嚴重違反國際法的相關規定</w:t>
        </w:r>
      </w:hyperlink>
    </w:p>
    <w:p w14:paraId="3D4E7BA1" w14:textId="77777777" w:rsidR="005E1EA8" w:rsidRPr="005E1EA8" w:rsidRDefault="00B03E84" w:rsidP="00D87D91">
      <w:r w:rsidRPr="005E1EA8">
        <w:rPr>
          <w:rFonts w:hint="eastAsia"/>
          <w:b/>
        </w:rPr>
        <w:t>》》</w:t>
      </w:r>
      <w:r w:rsidR="005E1EA8" w:rsidRPr="005E1EA8">
        <w:rPr>
          <w:rFonts w:hint="eastAsia"/>
        </w:rPr>
        <w:t>肆、</w:t>
      </w:r>
      <w:hyperlink w:anchor="_肆、假若中國對台灣使用核武器終將導致兩岸人民情感與政治上的對立與衝突" w:history="1">
        <w:r w:rsidR="005E1EA8" w:rsidRPr="00402015">
          <w:rPr>
            <w:rStyle w:val="a5"/>
            <w:rFonts w:ascii="Times New Roman" w:hAnsi="Times New Roman" w:hint="eastAsia"/>
          </w:rPr>
          <w:t>假若中國對台灣使用核武器終將導致兩岸人民情感與政治上的對立與衝突</w:t>
        </w:r>
      </w:hyperlink>
    </w:p>
    <w:p w14:paraId="06E99B05" w14:textId="77777777" w:rsidR="00953151" w:rsidRDefault="00B03E84" w:rsidP="00D87D91">
      <w:r w:rsidRPr="005E1EA8">
        <w:rPr>
          <w:rFonts w:hint="eastAsia"/>
          <w:b/>
        </w:rPr>
        <w:t>》》</w:t>
      </w:r>
      <w:r w:rsidR="005E1EA8" w:rsidRPr="005E1EA8">
        <w:rPr>
          <w:rFonts w:hint="eastAsia"/>
        </w:rPr>
        <w:t>伍</w:t>
      </w:r>
      <w:r w:rsidR="0026266A" w:rsidRPr="005E1EA8">
        <w:rPr>
          <w:rFonts w:hint="eastAsia"/>
        </w:rPr>
        <w:t>、</w:t>
      </w:r>
      <w:hyperlink w:anchor="_伍、結論與建議" w:history="1">
        <w:r w:rsidR="0026266A" w:rsidRPr="0026266A">
          <w:rPr>
            <w:rStyle w:val="a5"/>
            <w:rFonts w:ascii="Times New Roman" w:hAnsi="Times New Roman" w:hint="eastAsia"/>
          </w:rPr>
          <w:t>結論與建議</w:t>
        </w:r>
      </w:hyperlink>
      <w:r w:rsidR="00A61463" w:rsidRPr="00A61463">
        <w:rPr>
          <w:rFonts w:hint="eastAsia"/>
          <w:b/>
          <w:color w:val="FFFFFF" w:themeColor="background1"/>
        </w:rPr>
        <w:t>**</w:t>
      </w:r>
    </w:p>
    <w:p w14:paraId="4AECC5E3" w14:textId="77777777" w:rsidR="008B3153" w:rsidRDefault="008B3153" w:rsidP="00D87D91">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787082B5" w14:textId="77777777" w:rsidR="005E1EA8" w:rsidRPr="005E1EA8" w:rsidRDefault="0024309F" w:rsidP="00D87D91">
      <w:r w:rsidRPr="0024309F">
        <w:rPr>
          <w:rFonts w:hint="eastAsia"/>
        </w:rPr>
        <w:t>◎</w:t>
      </w:r>
      <w:bookmarkStart w:id="13" w:name="a目次4"/>
      <w:bookmarkEnd w:id="13"/>
      <w:r w:rsidR="005E1EA8" w:rsidRPr="005E1EA8">
        <w:rPr>
          <w:rFonts w:hint="eastAsia"/>
        </w:rPr>
        <w:t>第四篇</w:t>
      </w:r>
      <w:r w:rsidR="005E1EA8" w:rsidRPr="005E1EA8">
        <w:rPr>
          <w:rFonts w:hint="eastAsia"/>
        </w:rPr>
        <w:t xml:space="preserve"> </w:t>
      </w:r>
      <w:r w:rsidR="005E1EA8" w:rsidRPr="005E1EA8">
        <w:rPr>
          <w:rFonts w:hint="eastAsia"/>
        </w:rPr>
        <w:t>中華民國憲法未來可行之發展方向</w:t>
      </w:r>
    </w:p>
    <w:p w14:paraId="0F535384" w14:textId="77777777" w:rsidR="005E1EA8" w:rsidRPr="005E1EA8" w:rsidRDefault="00B03E84" w:rsidP="00D87D91">
      <w:r w:rsidRPr="005E1EA8">
        <w:rPr>
          <w:rFonts w:hint="eastAsia"/>
          <w:b/>
        </w:rPr>
        <w:t>》</w:t>
      </w:r>
      <w:r w:rsidR="005E1EA8" w:rsidRPr="005E1EA8">
        <w:rPr>
          <w:rFonts w:hint="eastAsia"/>
        </w:rPr>
        <w:t>壹、</w:t>
      </w:r>
      <w:hyperlink w:anchor="_壹、重新制定適合於台灣地區之暫行（臨時）憲法" w:history="1">
        <w:r w:rsidR="005E1EA8" w:rsidRPr="00A54DAC">
          <w:rPr>
            <w:rStyle w:val="a5"/>
            <w:rFonts w:ascii="Times New Roman" w:hAnsi="Times New Roman" w:hint="eastAsia"/>
          </w:rPr>
          <w:t>重新制定適合於台灣地區之暫行（臨時）憲法</w:t>
        </w:r>
      </w:hyperlink>
    </w:p>
    <w:p w14:paraId="0AB7A8E0" w14:textId="77777777" w:rsidR="005E1EA8" w:rsidRPr="005E1EA8" w:rsidRDefault="00B03E84" w:rsidP="00D87D91">
      <w:r w:rsidRPr="005E1EA8">
        <w:rPr>
          <w:rFonts w:hint="eastAsia"/>
          <w:b/>
        </w:rPr>
        <w:t>》</w:t>
      </w:r>
      <w:r w:rsidR="005E1EA8" w:rsidRPr="005E1EA8">
        <w:rPr>
          <w:rFonts w:hint="eastAsia"/>
        </w:rPr>
        <w:t>貮、</w:t>
      </w:r>
      <w:hyperlink w:anchor="_貮、憲法序言宜闡明我國負有國際上之責任與義務" w:history="1">
        <w:r w:rsidR="005E1EA8" w:rsidRPr="00A54DAC">
          <w:rPr>
            <w:rStyle w:val="a5"/>
            <w:rFonts w:ascii="Times New Roman" w:hAnsi="Times New Roman" w:hint="eastAsia"/>
          </w:rPr>
          <w:t>憲法序言宜闡明我國負有國際上之責任與義務</w:t>
        </w:r>
      </w:hyperlink>
    </w:p>
    <w:p w14:paraId="42D65C83" w14:textId="77777777" w:rsidR="005E1EA8" w:rsidRPr="005E1EA8" w:rsidRDefault="00B03E84" w:rsidP="00D87D91">
      <w:r w:rsidRPr="005E1EA8">
        <w:rPr>
          <w:rFonts w:hint="eastAsia"/>
          <w:b/>
        </w:rPr>
        <w:t>》</w:t>
      </w:r>
      <w:r w:rsidR="005E1EA8" w:rsidRPr="005E1EA8">
        <w:rPr>
          <w:rFonts w:hint="eastAsia"/>
        </w:rPr>
        <w:t>參、</w:t>
      </w:r>
      <w:hyperlink w:anchor="_參、憲法宜明文規範「中華民國」係為一個擁有主權自主且獨立之國家" w:history="1">
        <w:r w:rsidR="005E1EA8" w:rsidRPr="00A54DAC">
          <w:rPr>
            <w:rStyle w:val="a5"/>
            <w:rFonts w:ascii="Times New Roman" w:hAnsi="Times New Roman" w:hint="eastAsia"/>
          </w:rPr>
          <w:t>憲法宜明文規範「中華民國」係為一個擁有主權自主且獨立之國家</w:t>
        </w:r>
      </w:hyperlink>
    </w:p>
    <w:p w14:paraId="34A7DDD7" w14:textId="77777777" w:rsidR="005E1EA8" w:rsidRPr="005E1EA8" w:rsidRDefault="00B03E84" w:rsidP="00D87D91">
      <w:r w:rsidRPr="005E1EA8">
        <w:rPr>
          <w:rFonts w:hint="eastAsia"/>
          <w:b/>
        </w:rPr>
        <w:t>》</w:t>
      </w:r>
      <w:r w:rsidR="005E1EA8" w:rsidRPr="005E1EA8">
        <w:rPr>
          <w:rFonts w:hint="eastAsia"/>
        </w:rPr>
        <w:t>肆、</w:t>
      </w:r>
      <w:hyperlink w:anchor="_肆、憲法宜增列對於「人性尊嚴」之尊重與保障之規定" w:history="1">
        <w:r w:rsidR="005E1EA8" w:rsidRPr="00A54DAC">
          <w:rPr>
            <w:rStyle w:val="a5"/>
            <w:rFonts w:ascii="Times New Roman" w:hAnsi="Times New Roman" w:hint="eastAsia"/>
          </w:rPr>
          <w:t>憲法宜增列對於「人性尊嚴」之尊重與保障之規定</w:t>
        </w:r>
      </w:hyperlink>
    </w:p>
    <w:p w14:paraId="26F64930" w14:textId="77777777" w:rsidR="005E1EA8" w:rsidRPr="005E1EA8" w:rsidRDefault="00B03E84" w:rsidP="00D87D91">
      <w:r w:rsidRPr="005E1EA8">
        <w:rPr>
          <w:rFonts w:hint="eastAsia"/>
          <w:b/>
        </w:rPr>
        <w:t>》</w:t>
      </w:r>
      <w:r w:rsidR="005E1EA8" w:rsidRPr="005E1EA8">
        <w:rPr>
          <w:rFonts w:hint="eastAsia"/>
        </w:rPr>
        <w:t>伍、</w:t>
      </w:r>
      <w:hyperlink w:anchor="_伍、將國際人權法典之人權內涵與精神適切地融入（注入）我國憲法之中" w:history="1">
        <w:r w:rsidR="005E1EA8" w:rsidRPr="00A54DAC">
          <w:rPr>
            <w:rStyle w:val="a5"/>
            <w:rFonts w:ascii="Times New Roman" w:hAnsi="Times New Roman" w:hint="eastAsia"/>
          </w:rPr>
          <w:t>將國際人權法典之人權內涵與精神適切地融入（注入）我國憲法之中</w:t>
        </w:r>
      </w:hyperlink>
    </w:p>
    <w:p w14:paraId="5162863C" w14:textId="77777777" w:rsidR="005E1EA8" w:rsidRPr="005E1EA8" w:rsidRDefault="00B03E84" w:rsidP="00D87D91">
      <w:r w:rsidRPr="005E1EA8">
        <w:rPr>
          <w:rFonts w:hint="eastAsia"/>
          <w:b/>
        </w:rPr>
        <w:t>》</w:t>
      </w:r>
      <w:r w:rsidR="005E1EA8" w:rsidRPr="005E1EA8">
        <w:rPr>
          <w:rFonts w:hint="eastAsia"/>
        </w:rPr>
        <w:t>陸、</w:t>
      </w:r>
      <w:hyperlink w:anchor="_陸、我國憲法宜比照民主先進國家之立憲例，明文規範「廢止死刑」" w:history="1">
        <w:r w:rsidR="005E1EA8" w:rsidRPr="00A54DAC">
          <w:rPr>
            <w:rStyle w:val="a5"/>
            <w:rFonts w:ascii="Times New Roman" w:hAnsi="Times New Roman" w:hint="eastAsia"/>
          </w:rPr>
          <w:t>我國憲法宜比照民主先進國家之立憲例，明文規範「廢止死刑」</w:t>
        </w:r>
      </w:hyperlink>
    </w:p>
    <w:p w14:paraId="4BC496CB" w14:textId="77777777" w:rsidR="005E1EA8" w:rsidRPr="005E1EA8" w:rsidRDefault="00B03E84" w:rsidP="00D87D91">
      <w:r w:rsidRPr="005E1EA8">
        <w:rPr>
          <w:rFonts w:hint="eastAsia"/>
          <w:b/>
        </w:rPr>
        <w:t>》</w:t>
      </w:r>
      <w:r w:rsidR="005E1EA8" w:rsidRPr="005E1EA8">
        <w:rPr>
          <w:rFonts w:hint="eastAsia"/>
        </w:rPr>
        <w:t>柒、</w:t>
      </w:r>
      <w:hyperlink w:anchor="_柒、保障人類胚胎之生命權及生存權" w:history="1">
        <w:r w:rsidR="005E1EA8" w:rsidRPr="00A54DAC">
          <w:rPr>
            <w:rStyle w:val="a5"/>
            <w:rFonts w:ascii="Times New Roman" w:hAnsi="Times New Roman" w:hint="eastAsia"/>
          </w:rPr>
          <w:t>保障人類胚胎之生命權及生存權</w:t>
        </w:r>
      </w:hyperlink>
    </w:p>
    <w:p w14:paraId="4FD9D245" w14:textId="77777777" w:rsidR="005E1EA8" w:rsidRPr="005E1EA8" w:rsidRDefault="00B03E84" w:rsidP="00D87D91">
      <w:r w:rsidRPr="005E1EA8">
        <w:rPr>
          <w:rFonts w:hint="eastAsia"/>
          <w:b/>
        </w:rPr>
        <w:t>》</w:t>
      </w:r>
      <w:r w:rsidR="005E1EA8" w:rsidRPr="005E1EA8">
        <w:rPr>
          <w:rFonts w:hint="eastAsia"/>
        </w:rPr>
        <w:t>捌、</w:t>
      </w:r>
      <w:hyperlink w:anchor="_捌、我國憲法是否賦予同性戀者之婚姻權與家庭權，尚待進一步地評估與討論" w:history="1">
        <w:r w:rsidR="005E1EA8" w:rsidRPr="00200AF7">
          <w:rPr>
            <w:rStyle w:val="a5"/>
            <w:rFonts w:ascii="Times New Roman" w:hAnsi="Times New Roman" w:hint="eastAsia"/>
          </w:rPr>
          <w:t>我國憲法是否賦予同性戀者之婚姻權與家庭權，尚待進一步地評估與討論</w:t>
        </w:r>
      </w:hyperlink>
    </w:p>
    <w:p w14:paraId="726489D0" w14:textId="77777777" w:rsidR="005E1EA8" w:rsidRPr="005E1EA8" w:rsidRDefault="00B03E84" w:rsidP="00D87D91">
      <w:r w:rsidRPr="005E1EA8">
        <w:rPr>
          <w:rFonts w:hint="eastAsia"/>
          <w:b/>
        </w:rPr>
        <w:t>》</w:t>
      </w:r>
      <w:r w:rsidR="005E1EA8" w:rsidRPr="005E1EA8">
        <w:rPr>
          <w:rFonts w:hint="eastAsia"/>
        </w:rPr>
        <w:t>玖、</w:t>
      </w:r>
      <w:hyperlink w:anchor="_玖、安樂死不應被合憲化與合法化" w:history="1">
        <w:r w:rsidR="005E1EA8" w:rsidRPr="00200AF7">
          <w:rPr>
            <w:rStyle w:val="a5"/>
            <w:rFonts w:ascii="Times New Roman" w:hAnsi="Times New Roman" w:hint="eastAsia"/>
          </w:rPr>
          <w:t>安樂死不應被合憲化與合法化</w:t>
        </w:r>
      </w:hyperlink>
    </w:p>
    <w:p w14:paraId="1607EE38" w14:textId="77777777" w:rsidR="005E1EA8" w:rsidRPr="005E1EA8" w:rsidRDefault="00B03E84" w:rsidP="00D87D91">
      <w:r w:rsidRPr="005E1EA8">
        <w:rPr>
          <w:rFonts w:hint="eastAsia"/>
          <w:b/>
        </w:rPr>
        <w:t>》</w:t>
      </w:r>
      <w:r w:rsidR="005E1EA8" w:rsidRPr="005E1EA8">
        <w:rPr>
          <w:rFonts w:hint="eastAsia"/>
        </w:rPr>
        <w:t>拾、</w:t>
      </w:r>
      <w:hyperlink w:anchor="_拾、賦予國民憲法上之「抵抗權」(Right_of_resistance" w:history="1">
        <w:r w:rsidR="005E1EA8" w:rsidRPr="00200AF7">
          <w:rPr>
            <w:rStyle w:val="a5"/>
            <w:rFonts w:ascii="Times New Roman" w:hAnsi="Times New Roman" w:hint="eastAsia"/>
          </w:rPr>
          <w:t>賦予國民憲法上之「抵抗權」</w:t>
        </w:r>
        <w:r w:rsidR="005E1EA8" w:rsidRPr="00200AF7">
          <w:rPr>
            <w:rStyle w:val="a5"/>
            <w:rFonts w:ascii="Times New Roman" w:hAnsi="Times New Roman" w:hint="eastAsia"/>
          </w:rPr>
          <w:t>(RIGHT OF RESISTANCE)</w:t>
        </w:r>
      </w:hyperlink>
    </w:p>
    <w:p w14:paraId="494AA559" w14:textId="77777777" w:rsidR="005E1EA8" w:rsidRPr="005E1EA8" w:rsidRDefault="00B03E84" w:rsidP="00D87D91">
      <w:r w:rsidRPr="005E1EA8">
        <w:rPr>
          <w:rFonts w:hint="eastAsia"/>
          <w:b/>
        </w:rPr>
        <w:t>》</w:t>
      </w:r>
      <w:r w:rsidR="005E1EA8" w:rsidRPr="005E1EA8">
        <w:rPr>
          <w:rFonts w:hint="eastAsia"/>
        </w:rPr>
        <w:t>拾壹、</w:t>
      </w:r>
      <w:hyperlink w:anchor="_拾壹、我國憲法宜明文地保障「發展權」(Development_Righ" w:history="1">
        <w:r w:rsidR="005E1EA8" w:rsidRPr="00200AF7">
          <w:rPr>
            <w:rStyle w:val="a5"/>
            <w:rFonts w:ascii="Times New Roman" w:hAnsi="Times New Roman" w:hint="eastAsia"/>
          </w:rPr>
          <w:t>我國憲法宜明文地保障「發展權」</w:t>
        </w:r>
        <w:r w:rsidR="005E1EA8" w:rsidRPr="00200AF7">
          <w:rPr>
            <w:rStyle w:val="a5"/>
            <w:rFonts w:ascii="Times New Roman" w:hAnsi="Times New Roman" w:hint="eastAsia"/>
          </w:rPr>
          <w:t>(DEVELOPMENT RIGHTS)</w:t>
        </w:r>
      </w:hyperlink>
    </w:p>
    <w:p w14:paraId="4FB61A5A" w14:textId="77777777" w:rsidR="005E1EA8" w:rsidRPr="005E1EA8" w:rsidRDefault="00B03E84" w:rsidP="00D87D91">
      <w:r w:rsidRPr="005E1EA8">
        <w:rPr>
          <w:rFonts w:hint="eastAsia"/>
          <w:b/>
        </w:rPr>
        <w:t>》</w:t>
      </w:r>
      <w:r w:rsidR="005E1EA8" w:rsidRPr="005E1EA8">
        <w:rPr>
          <w:rFonts w:hint="eastAsia"/>
        </w:rPr>
        <w:t>拾貳、</w:t>
      </w:r>
      <w:hyperlink w:anchor="_拾貳、我國憲法宜明文地保障「資訊自由權」_(freedom_of" w:history="1">
        <w:r w:rsidR="005E1EA8" w:rsidRPr="00200AF7">
          <w:rPr>
            <w:rStyle w:val="a5"/>
            <w:rFonts w:ascii="Times New Roman" w:hAnsi="Times New Roman" w:hint="eastAsia"/>
          </w:rPr>
          <w:t>我國憲法宜明文地保障「資訊自由權」</w:t>
        </w:r>
        <w:r w:rsidR="005E1EA8" w:rsidRPr="00200AF7">
          <w:rPr>
            <w:rStyle w:val="a5"/>
            <w:rFonts w:ascii="Times New Roman" w:hAnsi="Times New Roman" w:hint="eastAsia"/>
          </w:rPr>
          <w:t xml:space="preserve"> (FREEDOM OF INFORMATION)</w:t>
        </w:r>
      </w:hyperlink>
    </w:p>
    <w:p w14:paraId="181DD26D" w14:textId="77777777" w:rsidR="005E1EA8" w:rsidRPr="005E1EA8" w:rsidRDefault="00B03E84" w:rsidP="00D87D91">
      <w:r w:rsidRPr="005E1EA8">
        <w:rPr>
          <w:rFonts w:hint="eastAsia"/>
          <w:b/>
        </w:rPr>
        <w:t>》</w:t>
      </w:r>
      <w:r w:rsidR="005E1EA8" w:rsidRPr="005E1EA8">
        <w:rPr>
          <w:rFonts w:hint="eastAsia"/>
        </w:rPr>
        <w:t>拾參、</w:t>
      </w:r>
      <w:hyperlink w:anchor="_拾參、我國憲法在「平等權」之保障部分宜更加完整化" w:history="1">
        <w:r w:rsidR="005E1EA8" w:rsidRPr="00200AF7">
          <w:rPr>
            <w:rStyle w:val="a5"/>
            <w:rFonts w:ascii="Times New Roman" w:hAnsi="Times New Roman" w:hint="eastAsia"/>
          </w:rPr>
          <w:t>我國憲法在「平等權」之保障部分宜更加完整化</w:t>
        </w:r>
      </w:hyperlink>
    </w:p>
    <w:p w14:paraId="4B1E705F" w14:textId="77777777" w:rsidR="005E1EA8" w:rsidRPr="005E1EA8" w:rsidRDefault="00B03E84" w:rsidP="00D87D91">
      <w:r w:rsidRPr="005E1EA8">
        <w:rPr>
          <w:rFonts w:hint="eastAsia"/>
          <w:b/>
        </w:rPr>
        <w:t>》</w:t>
      </w:r>
      <w:r w:rsidR="005E1EA8" w:rsidRPr="005E1EA8">
        <w:rPr>
          <w:rFonts w:hint="eastAsia"/>
        </w:rPr>
        <w:t>拾肆、</w:t>
      </w:r>
      <w:hyperlink w:anchor="_拾肆、我國憲法宜明文規範人民之權益，受到法律之明確性保障而享有「被審理" w:history="1">
        <w:r w:rsidR="005E1EA8" w:rsidRPr="00200AF7">
          <w:rPr>
            <w:rStyle w:val="a5"/>
            <w:rFonts w:ascii="Times New Roman" w:hAnsi="Times New Roman" w:hint="eastAsia"/>
          </w:rPr>
          <w:t>我國憲法宜明文規範人民之權益，受到法律之明確性保障而享有「被審理權」、「聽證權」、「被裁決權」、「接收裁決書權」與「上訴權」</w:t>
        </w:r>
      </w:hyperlink>
    </w:p>
    <w:p w14:paraId="69C9BF01" w14:textId="77777777" w:rsidR="005E1EA8" w:rsidRPr="005E1EA8" w:rsidRDefault="00B03E84" w:rsidP="00D87D91">
      <w:r w:rsidRPr="005E1EA8">
        <w:rPr>
          <w:rFonts w:hint="eastAsia"/>
          <w:b/>
        </w:rPr>
        <w:t>》</w:t>
      </w:r>
      <w:r w:rsidR="005E1EA8" w:rsidRPr="005E1EA8">
        <w:rPr>
          <w:rFonts w:hint="eastAsia"/>
        </w:rPr>
        <w:t>拾伍、</w:t>
      </w:r>
      <w:hyperlink w:anchor="_拾伍、人民集會與遊行，無須事前申請許可" w:history="1">
        <w:r w:rsidR="005E1EA8" w:rsidRPr="00200AF7">
          <w:rPr>
            <w:rStyle w:val="a5"/>
            <w:rFonts w:ascii="Times New Roman" w:hAnsi="Times New Roman" w:hint="eastAsia"/>
          </w:rPr>
          <w:t>人民集會與遊行，無須事前申請許可</w:t>
        </w:r>
      </w:hyperlink>
    </w:p>
    <w:p w14:paraId="7BB1890A" w14:textId="77777777" w:rsidR="005E1EA8" w:rsidRPr="005E1EA8" w:rsidRDefault="00B03E84" w:rsidP="00D87D91">
      <w:r w:rsidRPr="005E1EA8">
        <w:rPr>
          <w:rFonts w:hint="eastAsia"/>
          <w:b/>
        </w:rPr>
        <w:t>》</w:t>
      </w:r>
      <w:r w:rsidR="005E1EA8" w:rsidRPr="005E1EA8">
        <w:rPr>
          <w:rFonts w:hint="eastAsia"/>
        </w:rPr>
        <w:t>拾陸、</w:t>
      </w:r>
      <w:hyperlink w:anchor="_拾陸、憲法宜明文保障「正當法律程序」" w:history="1">
        <w:r w:rsidR="005E1EA8" w:rsidRPr="00200AF7">
          <w:rPr>
            <w:rStyle w:val="a5"/>
            <w:rFonts w:ascii="Times New Roman" w:hAnsi="Times New Roman" w:hint="eastAsia"/>
          </w:rPr>
          <w:t>憲法宜明文保障「正當法律程序」</w:t>
        </w:r>
      </w:hyperlink>
    </w:p>
    <w:p w14:paraId="64E33240" w14:textId="77777777" w:rsidR="005E1EA8" w:rsidRPr="005E1EA8" w:rsidRDefault="00B03E84" w:rsidP="00D87D91">
      <w:r w:rsidRPr="005E1EA8">
        <w:rPr>
          <w:rFonts w:hint="eastAsia"/>
          <w:b/>
        </w:rPr>
        <w:t>》</w:t>
      </w:r>
      <w:r w:rsidR="005E1EA8" w:rsidRPr="005E1EA8">
        <w:rPr>
          <w:rFonts w:hint="eastAsia"/>
        </w:rPr>
        <w:t>拾柒、</w:t>
      </w:r>
      <w:hyperlink w:anchor="_拾柒、賦予並保障外來人口出入國、居留、遷徙自由、選擇住所自由及不遭受違" w:history="1">
        <w:r w:rsidR="005E1EA8" w:rsidRPr="00200AF7">
          <w:rPr>
            <w:rStyle w:val="a5"/>
            <w:rFonts w:ascii="Times New Roman" w:hAnsi="Times New Roman" w:hint="eastAsia"/>
          </w:rPr>
          <w:t>賦予並保障外來人口出入國、居留、遷徙自由、選擇住所自由及不遭受違法驅逐出國之權利</w:t>
        </w:r>
      </w:hyperlink>
    </w:p>
    <w:p w14:paraId="7B0BB78F" w14:textId="77777777" w:rsidR="005E1EA8" w:rsidRPr="005E1EA8" w:rsidRDefault="00B03E84" w:rsidP="00D87D91">
      <w:r w:rsidRPr="005E1EA8">
        <w:rPr>
          <w:rFonts w:hint="eastAsia"/>
          <w:b/>
        </w:rPr>
        <w:t>》</w:t>
      </w:r>
      <w:r w:rsidR="005E1EA8" w:rsidRPr="005E1EA8">
        <w:rPr>
          <w:rFonts w:hint="eastAsia"/>
        </w:rPr>
        <w:t>拾捌、</w:t>
      </w:r>
      <w:hyperlink w:anchor="_拾捌、站在憲法之高度與位階，積極保障人類胎兒之生命權及生存權" w:history="1">
        <w:r w:rsidR="005E1EA8" w:rsidRPr="00200AF7">
          <w:rPr>
            <w:rStyle w:val="a5"/>
            <w:rFonts w:ascii="Times New Roman" w:hAnsi="Times New Roman" w:hint="eastAsia"/>
          </w:rPr>
          <w:t>站在憲法之高度與位階，積極保障人類胎兒之生命權及生存權</w:t>
        </w:r>
      </w:hyperlink>
    </w:p>
    <w:p w14:paraId="0B8DE1E3" w14:textId="77777777" w:rsidR="005E1EA8" w:rsidRPr="005E1EA8" w:rsidRDefault="00B03E84" w:rsidP="00D87D91">
      <w:r w:rsidRPr="005E1EA8">
        <w:rPr>
          <w:rFonts w:hint="eastAsia"/>
          <w:b/>
        </w:rPr>
        <w:t>》</w:t>
      </w:r>
      <w:r w:rsidR="005E1EA8" w:rsidRPr="005E1EA8">
        <w:rPr>
          <w:rFonts w:hint="eastAsia"/>
        </w:rPr>
        <w:t>拾玖、</w:t>
      </w:r>
      <w:hyperlink w:anchor="_拾玖、「外來人口」與本國人享有同等之人身自由保障" w:history="1">
        <w:r w:rsidR="005E1EA8" w:rsidRPr="00200AF7">
          <w:rPr>
            <w:rStyle w:val="a5"/>
            <w:rFonts w:ascii="Times New Roman" w:hAnsi="Times New Roman" w:hint="eastAsia"/>
          </w:rPr>
          <w:t>「外來人口」與本國人享有同等之人身自由保障</w:t>
        </w:r>
      </w:hyperlink>
    </w:p>
    <w:p w14:paraId="5D1F7B88" w14:textId="77777777" w:rsidR="005E1EA8" w:rsidRPr="005E1EA8" w:rsidRDefault="00B03E84" w:rsidP="00D87D91">
      <w:r w:rsidRPr="005E1EA8">
        <w:rPr>
          <w:rFonts w:hint="eastAsia"/>
          <w:b/>
        </w:rPr>
        <w:t>》</w:t>
      </w:r>
      <w:r w:rsidR="005E1EA8" w:rsidRPr="005E1EA8">
        <w:rPr>
          <w:rFonts w:hint="eastAsia"/>
        </w:rPr>
        <w:t>貳拾、</w:t>
      </w:r>
      <w:hyperlink w:anchor="_貳拾、我國憲法實宜賦予外來人口享有「政治上庇護權」(Right_of_" w:history="1">
        <w:r w:rsidR="005E1EA8" w:rsidRPr="00200AF7">
          <w:rPr>
            <w:rStyle w:val="a5"/>
            <w:rFonts w:ascii="Times New Roman" w:hAnsi="Times New Roman" w:hint="eastAsia"/>
          </w:rPr>
          <w:t>我國憲法實宜賦予外來人口享有「政治上庇護權」</w:t>
        </w:r>
        <w:r w:rsidR="005E1EA8" w:rsidRPr="00200AF7">
          <w:rPr>
            <w:rStyle w:val="a5"/>
            <w:rFonts w:ascii="Times New Roman" w:hAnsi="Times New Roman" w:hint="eastAsia"/>
          </w:rPr>
          <w:t>(RIGHT OF ASYLUM)</w:t>
        </w:r>
      </w:hyperlink>
    </w:p>
    <w:p w14:paraId="1BD307D8" w14:textId="77777777" w:rsidR="005E1EA8" w:rsidRPr="005E1EA8" w:rsidRDefault="00B03E84" w:rsidP="00D87D91">
      <w:r w:rsidRPr="005E1EA8">
        <w:rPr>
          <w:rFonts w:hint="eastAsia"/>
          <w:b/>
        </w:rPr>
        <w:t>》</w:t>
      </w:r>
      <w:r w:rsidR="005E1EA8" w:rsidRPr="005E1EA8">
        <w:rPr>
          <w:rFonts w:hint="eastAsia"/>
        </w:rPr>
        <w:t>貳拾壹、</w:t>
      </w:r>
      <w:hyperlink w:anchor="_貳拾壹、外國人所享有之權利與應盡之義務，宜於憲法之中，與本國公民作非常" w:history="1">
        <w:r w:rsidR="005E1EA8" w:rsidRPr="00200AF7">
          <w:rPr>
            <w:rStyle w:val="a5"/>
            <w:rFonts w:ascii="Times New Roman" w:hAnsi="Times New Roman" w:hint="eastAsia"/>
          </w:rPr>
          <w:t>外國人所享有之權利與應盡之義務，宜於憲法之中，與本國公民作非常明確之切割，並明文規範之</w:t>
        </w:r>
      </w:hyperlink>
    </w:p>
    <w:p w14:paraId="09E0B17A" w14:textId="77777777" w:rsidR="005E1EA8" w:rsidRPr="005E1EA8" w:rsidRDefault="00B03E84" w:rsidP="00D87D91">
      <w:r w:rsidRPr="005E1EA8">
        <w:rPr>
          <w:rFonts w:hint="eastAsia"/>
          <w:b/>
        </w:rPr>
        <w:t>》</w:t>
      </w:r>
      <w:r w:rsidR="005E1EA8" w:rsidRPr="005E1EA8">
        <w:rPr>
          <w:rFonts w:hint="eastAsia"/>
        </w:rPr>
        <w:t>貳拾貳、</w:t>
      </w:r>
      <w:hyperlink w:anchor="_貳拾貳、對婦女人權之具體保障內容、射程與範圍，宜入憲化" w:history="1">
        <w:r w:rsidR="005E1EA8" w:rsidRPr="00200AF7">
          <w:rPr>
            <w:rStyle w:val="a5"/>
            <w:rFonts w:ascii="Times New Roman" w:hAnsi="Times New Roman" w:hint="eastAsia"/>
          </w:rPr>
          <w:t>對婦女人權之具體保障內容、射程與範圍，宜入憲化</w:t>
        </w:r>
      </w:hyperlink>
    </w:p>
    <w:p w14:paraId="0C055E27" w14:textId="77777777" w:rsidR="005E1EA8" w:rsidRPr="005E1EA8" w:rsidRDefault="00B03E84" w:rsidP="00D87D91">
      <w:r w:rsidRPr="005E1EA8">
        <w:rPr>
          <w:rFonts w:hint="eastAsia"/>
          <w:b/>
        </w:rPr>
        <w:t>》</w:t>
      </w:r>
      <w:r w:rsidR="005E1EA8" w:rsidRPr="005E1EA8">
        <w:rPr>
          <w:rFonts w:hint="eastAsia"/>
        </w:rPr>
        <w:t>貳拾參、</w:t>
      </w:r>
      <w:hyperlink w:anchor="_貳拾參、對兒童人權之具體保障內容、射程與範圍，均宜入憲化" w:history="1">
        <w:r w:rsidR="005E1EA8" w:rsidRPr="00200AF7">
          <w:rPr>
            <w:rStyle w:val="a5"/>
            <w:rFonts w:ascii="Times New Roman" w:hAnsi="Times New Roman" w:hint="eastAsia"/>
          </w:rPr>
          <w:t>對兒童人權之具體保障內容、射程與範圍，均宜入憲化</w:t>
        </w:r>
      </w:hyperlink>
    </w:p>
    <w:p w14:paraId="44F9C6EC" w14:textId="77777777" w:rsidR="005E1EA8" w:rsidRPr="005E1EA8" w:rsidRDefault="00B03E84" w:rsidP="00D87D91">
      <w:r w:rsidRPr="005E1EA8">
        <w:rPr>
          <w:rFonts w:hint="eastAsia"/>
          <w:b/>
        </w:rPr>
        <w:t>》</w:t>
      </w:r>
      <w:r w:rsidR="005E1EA8" w:rsidRPr="005E1EA8">
        <w:rPr>
          <w:rFonts w:hint="eastAsia"/>
        </w:rPr>
        <w:t>貳拾肆、</w:t>
      </w:r>
      <w:hyperlink w:anchor="_貳拾肆、憲法宜明文規範保障外國人工作權、工作條件及勞動基本權" w:history="1">
        <w:r w:rsidR="005E1EA8" w:rsidRPr="00200AF7">
          <w:rPr>
            <w:rStyle w:val="a5"/>
            <w:rFonts w:ascii="Times New Roman" w:hAnsi="Times New Roman" w:hint="eastAsia"/>
          </w:rPr>
          <w:t>憲法宜明文規範保障外國人工作權、工作條件及勞動基本權</w:t>
        </w:r>
      </w:hyperlink>
    </w:p>
    <w:p w14:paraId="3D5133E3" w14:textId="77777777" w:rsidR="005E1EA8" w:rsidRPr="005E1EA8" w:rsidRDefault="00B03E84" w:rsidP="00D87D91">
      <w:r w:rsidRPr="005E1EA8">
        <w:rPr>
          <w:rFonts w:hint="eastAsia"/>
          <w:b/>
        </w:rPr>
        <w:t>》</w:t>
      </w:r>
      <w:r w:rsidR="005E1EA8" w:rsidRPr="005E1EA8">
        <w:rPr>
          <w:rFonts w:hint="eastAsia"/>
        </w:rPr>
        <w:t>貳拾伍、</w:t>
      </w:r>
      <w:hyperlink w:anchor="_貳拾伍、憲法宜明文規範與保障已取得永久居留資格外國人享有政治上之選舉權" w:history="1">
        <w:r w:rsidR="005E1EA8" w:rsidRPr="00200AF7">
          <w:rPr>
            <w:rStyle w:val="a5"/>
            <w:rFonts w:ascii="Times New Roman" w:hAnsi="Times New Roman" w:hint="eastAsia"/>
          </w:rPr>
          <w:t>憲法宜明文規範與保障已取得永久居留資格外國人享有政治上之選舉權與任公職權利</w:t>
        </w:r>
      </w:hyperlink>
    </w:p>
    <w:p w14:paraId="6F40515F" w14:textId="77777777" w:rsidR="005E1EA8" w:rsidRPr="005E1EA8" w:rsidRDefault="00B03E84" w:rsidP="00D87D91">
      <w:r w:rsidRPr="005E1EA8">
        <w:rPr>
          <w:rFonts w:hint="eastAsia"/>
          <w:b/>
        </w:rPr>
        <w:t>》</w:t>
      </w:r>
      <w:r w:rsidR="005E1EA8" w:rsidRPr="005E1EA8">
        <w:rPr>
          <w:rFonts w:hint="eastAsia"/>
        </w:rPr>
        <w:t>貮拾陸、</w:t>
      </w:r>
      <w:hyperlink w:anchor="_貮拾陸、憲法宜明文保障「後世代權」(right_of_future" w:history="1">
        <w:r w:rsidR="005E1EA8" w:rsidRPr="00200AF7">
          <w:rPr>
            <w:rStyle w:val="a5"/>
            <w:rFonts w:ascii="Times New Roman" w:hAnsi="Times New Roman" w:hint="eastAsia"/>
          </w:rPr>
          <w:t>憲法宜明文保障「後世代權」</w:t>
        </w:r>
        <w:r w:rsidR="005E1EA8" w:rsidRPr="00200AF7">
          <w:rPr>
            <w:rStyle w:val="a5"/>
            <w:rFonts w:ascii="Times New Roman" w:hAnsi="Times New Roman"/>
          </w:rPr>
          <w:t>(RIGHT OF FUTURE GENERATIONS)</w:t>
        </w:r>
        <w:r w:rsidR="005E1EA8" w:rsidRPr="00200AF7">
          <w:rPr>
            <w:rStyle w:val="a5"/>
            <w:rFonts w:ascii="Times New Roman" w:hAnsi="Times New Roman" w:hint="eastAsia"/>
          </w:rPr>
          <w:t>及「動物權」</w:t>
        </w:r>
      </w:hyperlink>
    </w:p>
    <w:p w14:paraId="117E9569" w14:textId="77777777" w:rsidR="005E1EA8" w:rsidRPr="005E1EA8" w:rsidRDefault="00B03E84" w:rsidP="00D87D91">
      <w:r w:rsidRPr="005E1EA8">
        <w:rPr>
          <w:rFonts w:hint="eastAsia"/>
          <w:b/>
        </w:rPr>
        <w:t>》</w:t>
      </w:r>
      <w:r w:rsidR="005E1EA8" w:rsidRPr="005E1EA8">
        <w:rPr>
          <w:rFonts w:hint="eastAsia"/>
        </w:rPr>
        <w:t>貮拾柒、</w:t>
      </w:r>
      <w:hyperlink w:anchor="_貮拾柒、憲法宜明定所有人民對於社會應承擔義務" w:history="1">
        <w:r w:rsidR="005E1EA8" w:rsidRPr="00200AF7">
          <w:rPr>
            <w:rStyle w:val="a5"/>
            <w:rFonts w:ascii="Times New Roman" w:hAnsi="Times New Roman" w:hint="eastAsia"/>
          </w:rPr>
          <w:t>憲法宜明定所有人民對於社會應承擔義務</w:t>
        </w:r>
      </w:hyperlink>
    </w:p>
    <w:p w14:paraId="4036A633" w14:textId="77777777" w:rsidR="005E1EA8" w:rsidRPr="005E1EA8" w:rsidRDefault="00B03E84" w:rsidP="00D87D91">
      <w:r w:rsidRPr="005E1EA8">
        <w:rPr>
          <w:rFonts w:hint="eastAsia"/>
          <w:b/>
        </w:rPr>
        <w:t>》</w:t>
      </w:r>
      <w:r w:rsidR="005E1EA8" w:rsidRPr="005E1EA8">
        <w:rPr>
          <w:rFonts w:hint="eastAsia"/>
        </w:rPr>
        <w:t>貮拾捌、</w:t>
      </w:r>
      <w:hyperlink w:anchor="_貮拾捌、建構一套將國際條約或國際法一般法律原則，轉化為國內法之機制" w:history="1">
        <w:r w:rsidR="005E1EA8" w:rsidRPr="00200AF7">
          <w:rPr>
            <w:rStyle w:val="a5"/>
            <w:rFonts w:ascii="Times New Roman" w:hAnsi="Times New Roman" w:hint="eastAsia"/>
          </w:rPr>
          <w:t>建構一套將國際條約或國際法一般法律原則，轉化為國內法之機制</w:t>
        </w:r>
      </w:hyperlink>
    </w:p>
    <w:p w14:paraId="0B92D031" w14:textId="77777777" w:rsidR="005E1EA8" w:rsidRPr="005E1EA8" w:rsidRDefault="00B03E84" w:rsidP="00D87D91">
      <w:r w:rsidRPr="005E1EA8">
        <w:rPr>
          <w:rFonts w:hint="eastAsia"/>
          <w:b/>
        </w:rPr>
        <w:t>》</w:t>
      </w:r>
      <w:r w:rsidR="005E1EA8" w:rsidRPr="005E1EA8">
        <w:rPr>
          <w:rFonts w:hint="eastAsia"/>
        </w:rPr>
        <w:t>貮拾玖、</w:t>
      </w:r>
      <w:hyperlink w:anchor="_貮拾玖、宜削弱總統之權力" w:history="1">
        <w:r w:rsidR="005E1EA8" w:rsidRPr="00200AF7">
          <w:rPr>
            <w:rStyle w:val="a5"/>
            <w:rFonts w:ascii="Times New Roman" w:hAnsi="Times New Roman" w:hint="eastAsia"/>
          </w:rPr>
          <w:t>宜削弱總統之權力</w:t>
        </w:r>
      </w:hyperlink>
    </w:p>
    <w:p w14:paraId="1A499D3A" w14:textId="77777777" w:rsidR="005E1EA8" w:rsidRPr="005E1EA8" w:rsidRDefault="00B03E84" w:rsidP="00D87D91">
      <w:r w:rsidRPr="005E1EA8">
        <w:rPr>
          <w:rFonts w:hint="eastAsia"/>
          <w:b/>
        </w:rPr>
        <w:t>》</w:t>
      </w:r>
      <w:r w:rsidR="005E1EA8" w:rsidRPr="005E1EA8">
        <w:rPr>
          <w:rFonts w:hint="eastAsia"/>
        </w:rPr>
        <w:t>參拾、</w:t>
      </w:r>
      <w:hyperlink w:anchor="_參拾、總統締結條約議案、公布法律或發布各式命令，均須經副總統副署" w:history="1">
        <w:r w:rsidR="005E1EA8" w:rsidRPr="00200AF7">
          <w:rPr>
            <w:rStyle w:val="a5"/>
            <w:rFonts w:ascii="Times New Roman" w:hAnsi="Times New Roman" w:hint="eastAsia"/>
          </w:rPr>
          <w:t>總統締結條約議案、公布法律或發布各式命令，均須經副總統副署</w:t>
        </w:r>
      </w:hyperlink>
    </w:p>
    <w:p w14:paraId="1521811B" w14:textId="77777777" w:rsidR="005E1EA8" w:rsidRPr="005E1EA8" w:rsidRDefault="00B03E84" w:rsidP="00D87D91">
      <w:r w:rsidRPr="005E1EA8">
        <w:rPr>
          <w:rFonts w:hint="eastAsia"/>
          <w:b/>
        </w:rPr>
        <w:t>》</w:t>
      </w:r>
      <w:r w:rsidR="005E1EA8" w:rsidRPr="005E1EA8">
        <w:rPr>
          <w:rFonts w:hint="eastAsia"/>
        </w:rPr>
        <w:t>參拾壹、</w:t>
      </w:r>
      <w:hyperlink w:anchor="_參拾壹、行政院院長之任命同意權，應回歸立法院" w:history="1">
        <w:r w:rsidR="005E1EA8" w:rsidRPr="00621F10">
          <w:rPr>
            <w:rStyle w:val="a5"/>
            <w:rFonts w:ascii="Times New Roman" w:hAnsi="Times New Roman" w:hint="eastAsia"/>
          </w:rPr>
          <w:t>行政院院長之任命同意權，應回歸立法院</w:t>
        </w:r>
      </w:hyperlink>
    </w:p>
    <w:p w14:paraId="4162A3C7" w14:textId="77777777" w:rsidR="005E1EA8" w:rsidRPr="005E1EA8" w:rsidRDefault="00B03E84" w:rsidP="00D87D91">
      <w:r w:rsidRPr="005E1EA8">
        <w:rPr>
          <w:rFonts w:hint="eastAsia"/>
          <w:b/>
        </w:rPr>
        <w:t>》</w:t>
      </w:r>
      <w:r w:rsidR="005E1EA8" w:rsidRPr="005E1EA8">
        <w:rPr>
          <w:rFonts w:hint="eastAsia"/>
        </w:rPr>
        <w:t>參拾貳、</w:t>
      </w:r>
      <w:hyperlink w:anchor="_參拾貳、憲法宜增加立委名額" w:history="1">
        <w:r w:rsidR="005E1EA8" w:rsidRPr="00621F10">
          <w:rPr>
            <w:rStyle w:val="a5"/>
            <w:rFonts w:ascii="Times New Roman" w:hAnsi="Times New Roman" w:hint="eastAsia"/>
          </w:rPr>
          <w:t>憲法宜增加立委名額</w:t>
        </w:r>
      </w:hyperlink>
    </w:p>
    <w:p w14:paraId="0031E143" w14:textId="77777777" w:rsidR="005E1EA8" w:rsidRPr="00E108EB" w:rsidRDefault="00B03E84" w:rsidP="00D87D91">
      <w:r w:rsidRPr="005E1EA8">
        <w:rPr>
          <w:rFonts w:hint="eastAsia"/>
          <w:b/>
        </w:rPr>
        <w:t>》</w:t>
      </w:r>
      <w:r w:rsidR="005E1EA8" w:rsidRPr="005E1EA8">
        <w:rPr>
          <w:rFonts w:hint="eastAsia"/>
        </w:rPr>
        <w:t>參拾參、</w:t>
      </w:r>
      <w:hyperlink w:anchor="_參拾參、我國憲法宜明文規範國會對違法立法委員之處罰與除名機制" w:history="1">
        <w:r w:rsidR="00E108EB">
          <w:rPr>
            <w:rStyle w:val="a5"/>
            <w:rFonts w:ascii="Times New Roman" w:hAnsi="Times New Roman" w:hint="eastAsia"/>
          </w:rPr>
          <w:t>我國憲法宜明文規範國會對違法立法委員之處罰與除名機制</w:t>
        </w:r>
      </w:hyperlink>
    </w:p>
    <w:p w14:paraId="149B8442" w14:textId="77777777" w:rsidR="005E1EA8" w:rsidRPr="005E1EA8" w:rsidRDefault="00B03E84" w:rsidP="00D87D91">
      <w:r w:rsidRPr="005E1EA8">
        <w:rPr>
          <w:rFonts w:hint="eastAsia"/>
          <w:b/>
        </w:rPr>
        <w:t>》</w:t>
      </w:r>
      <w:r w:rsidR="005E1EA8" w:rsidRPr="005E1EA8">
        <w:rPr>
          <w:rFonts w:hint="eastAsia"/>
        </w:rPr>
        <w:t>參拾肆、</w:t>
      </w:r>
      <w:hyperlink w:anchor="_參拾肆、憲法宜降低彈劾(impeachment)總統之門檻標準" w:history="1">
        <w:r w:rsidR="005E1EA8" w:rsidRPr="00621F10">
          <w:rPr>
            <w:rStyle w:val="a5"/>
            <w:rFonts w:ascii="Times New Roman" w:hAnsi="Times New Roman" w:hint="eastAsia"/>
          </w:rPr>
          <w:t>憲法宜降低彈劾</w:t>
        </w:r>
        <w:r w:rsidR="005E1EA8" w:rsidRPr="00621F10">
          <w:rPr>
            <w:rStyle w:val="a5"/>
            <w:rFonts w:ascii="Times New Roman" w:hAnsi="Times New Roman" w:hint="eastAsia"/>
          </w:rPr>
          <w:t>(IMPEACHMENT)</w:t>
        </w:r>
        <w:r w:rsidR="005E1EA8" w:rsidRPr="00621F10">
          <w:rPr>
            <w:rStyle w:val="a5"/>
            <w:rFonts w:ascii="Times New Roman" w:hAnsi="Times New Roman" w:hint="eastAsia"/>
          </w:rPr>
          <w:t>總統之門檻標準</w:t>
        </w:r>
      </w:hyperlink>
    </w:p>
    <w:p w14:paraId="2D2DA54E" w14:textId="77777777" w:rsidR="005E1EA8" w:rsidRPr="005E1EA8" w:rsidRDefault="00B03E84" w:rsidP="00D87D91">
      <w:r w:rsidRPr="005E1EA8">
        <w:rPr>
          <w:rFonts w:hint="eastAsia"/>
          <w:b/>
        </w:rPr>
        <w:t>》</w:t>
      </w:r>
      <w:r w:rsidR="005E1EA8" w:rsidRPr="005E1EA8">
        <w:rPr>
          <w:rFonts w:hint="eastAsia"/>
        </w:rPr>
        <w:t>參拾伍、</w:t>
      </w:r>
      <w:hyperlink w:anchor="_參拾伍、大法官、考試委員及監察委員之人選，避免由總統提名" w:history="1">
        <w:r w:rsidR="005E1EA8" w:rsidRPr="00621F10">
          <w:rPr>
            <w:rStyle w:val="a5"/>
            <w:rFonts w:ascii="Times New Roman" w:hAnsi="Times New Roman" w:hint="eastAsia"/>
          </w:rPr>
          <w:t>大法官、考試委員及監察委員之人選，避免由總統提名</w:t>
        </w:r>
      </w:hyperlink>
    </w:p>
    <w:p w14:paraId="4B2B7490" w14:textId="77777777" w:rsidR="005E1EA8" w:rsidRPr="005E1EA8" w:rsidRDefault="00B03E84" w:rsidP="00D87D91">
      <w:r w:rsidRPr="005E1EA8">
        <w:rPr>
          <w:rFonts w:hint="eastAsia"/>
          <w:b/>
        </w:rPr>
        <w:t>》</w:t>
      </w:r>
      <w:r w:rsidR="005E1EA8" w:rsidRPr="005E1EA8">
        <w:rPr>
          <w:rFonts w:hint="eastAsia"/>
        </w:rPr>
        <w:t>參拾陸、</w:t>
      </w:r>
      <w:hyperlink w:anchor="_參拾陸、我國憲政體制仍宜保留五院制為佳(維續考試院及監察院)" w:history="1">
        <w:r w:rsidR="005E1EA8" w:rsidRPr="00621F10">
          <w:rPr>
            <w:rStyle w:val="a5"/>
            <w:rFonts w:ascii="Times New Roman" w:hAnsi="Times New Roman" w:hint="eastAsia"/>
          </w:rPr>
          <w:t>我國憲政體制仍宜保留五院制為佳</w:t>
        </w:r>
        <w:r w:rsidR="005E1EA8" w:rsidRPr="00621F10">
          <w:rPr>
            <w:rStyle w:val="a5"/>
            <w:rFonts w:ascii="Times New Roman" w:hAnsi="Times New Roman" w:hint="eastAsia"/>
          </w:rPr>
          <w:t>(</w:t>
        </w:r>
        <w:r w:rsidR="005E1EA8" w:rsidRPr="00621F10">
          <w:rPr>
            <w:rStyle w:val="a5"/>
            <w:rFonts w:ascii="Times New Roman" w:hAnsi="Times New Roman" w:hint="eastAsia"/>
          </w:rPr>
          <w:t>維續考試院及監察院</w:t>
        </w:r>
        <w:r w:rsidR="005E1EA8" w:rsidRPr="00621F10">
          <w:rPr>
            <w:rStyle w:val="a5"/>
            <w:rFonts w:ascii="Times New Roman" w:hAnsi="Times New Roman" w:hint="eastAsia"/>
          </w:rPr>
          <w:t>)</w:t>
        </w:r>
      </w:hyperlink>
    </w:p>
    <w:p w14:paraId="5D239273" w14:textId="77777777" w:rsidR="005E1EA8" w:rsidRPr="005E1EA8" w:rsidRDefault="00B03E84" w:rsidP="00D87D91">
      <w:r w:rsidRPr="005E1EA8">
        <w:rPr>
          <w:rFonts w:hint="eastAsia"/>
          <w:b/>
        </w:rPr>
        <w:t>》</w:t>
      </w:r>
      <w:r w:rsidR="005E1EA8" w:rsidRPr="005E1EA8">
        <w:rPr>
          <w:rFonts w:hint="eastAsia"/>
        </w:rPr>
        <w:t>參拾柒、</w:t>
      </w:r>
      <w:hyperlink w:anchor="_參拾柒、憲法增修條文宜賦予監察委員具有言論免責權" w:history="1">
        <w:r w:rsidR="005E1EA8" w:rsidRPr="00621F10">
          <w:rPr>
            <w:rStyle w:val="a5"/>
            <w:rFonts w:ascii="Times New Roman" w:hAnsi="Times New Roman" w:hint="eastAsia"/>
          </w:rPr>
          <w:t>憲法增修條文宜賦予監察委員具有言論免責權</w:t>
        </w:r>
      </w:hyperlink>
    </w:p>
    <w:p w14:paraId="38B63353" w14:textId="77777777" w:rsidR="005E1EA8" w:rsidRPr="005E1EA8" w:rsidRDefault="00B03E84" w:rsidP="00D87D91">
      <w:r w:rsidRPr="005E1EA8">
        <w:rPr>
          <w:rFonts w:hint="eastAsia"/>
          <w:b/>
        </w:rPr>
        <w:t>》</w:t>
      </w:r>
      <w:r w:rsidR="005E1EA8" w:rsidRPr="005E1EA8">
        <w:rPr>
          <w:rFonts w:hint="eastAsia"/>
        </w:rPr>
        <w:t>參拾捌、</w:t>
      </w:r>
      <w:hyperlink w:anchor="_參拾捌、我國憲法可比照德國基本法第10章財政專章之憲法規範，明文規範中" w:history="1">
        <w:r w:rsidR="005E1EA8" w:rsidRPr="00145751">
          <w:rPr>
            <w:rStyle w:val="a5"/>
            <w:rFonts w:ascii="Times New Roman" w:hAnsi="Times New Roman" w:hint="eastAsia"/>
          </w:rPr>
          <w:t>我國憲法可比照德國基本法第</w:t>
        </w:r>
        <w:r w:rsidR="005E1EA8" w:rsidRPr="00145751">
          <w:rPr>
            <w:rStyle w:val="a5"/>
            <w:rFonts w:ascii="Times New Roman" w:hAnsi="Times New Roman" w:hint="eastAsia"/>
          </w:rPr>
          <w:t>10</w:t>
        </w:r>
        <w:r w:rsidR="005E1EA8" w:rsidRPr="00145751">
          <w:rPr>
            <w:rStyle w:val="a5"/>
            <w:rFonts w:ascii="Times New Roman" w:hAnsi="Times New Roman" w:hint="eastAsia"/>
          </w:rPr>
          <w:t>章財政專章之憲法規範，明文規範中央與</w:t>
        </w:r>
        <w:r w:rsidR="005E1EA8" w:rsidRPr="00145751">
          <w:rPr>
            <w:rStyle w:val="a5"/>
            <w:rFonts w:ascii="Times New Roman" w:hAnsi="Times New Roman" w:hint="eastAsia"/>
          </w:rPr>
          <w:lastRenderedPageBreak/>
          <w:t>地方政府關於財政收支之合理劃分機制</w:t>
        </w:r>
      </w:hyperlink>
    </w:p>
    <w:p w14:paraId="40DBC00F" w14:textId="77777777" w:rsidR="005E1EA8" w:rsidRPr="005E1EA8" w:rsidRDefault="00B03E84" w:rsidP="00D87D91">
      <w:r w:rsidRPr="005E1EA8">
        <w:rPr>
          <w:rFonts w:hint="eastAsia"/>
          <w:b/>
        </w:rPr>
        <w:t>》</w:t>
      </w:r>
      <w:r w:rsidR="005E1EA8" w:rsidRPr="005E1EA8">
        <w:rPr>
          <w:rFonts w:hint="eastAsia"/>
        </w:rPr>
        <w:t>參拾玖、</w:t>
      </w:r>
      <w:hyperlink w:anchor="_參拾玖、我國憲法宜將國防力量明文定位為「防衛型」及「正義型」之兵役用途" w:history="1">
        <w:r w:rsidR="005E1EA8" w:rsidRPr="00145751">
          <w:rPr>
            <w:rStyle w:val="a5"/>
            <w:rFonts w:ascii="Times New Roman" w:hAnsi="Times New Roman" w:hint="eastAsia"/>
          </w:rPr>
          <w:t>我國憲法宜將國防力量明文定位為「防衛型」及「正義型」之兵役用途</w:t>
        </w:r>
      </w:hyperlink>
    </w:p>
    <w:p w14:paraId="4963CF2C" w14:textId="77777777" w:rsidR="005E1EA8" w:rsidRPr="005E1EA8" w:rsidRDefault="00B03E84" w:rsidP="00D87D91">
      <w:r w:rsidRPr="005E1EA8">
        <w:rPr>
          <w:rFonts w:hint="eastAsia"/>
          <w:b/>
        </w:rPr>
        <w:t>》</w:t>
      </w:r>
      <w:r w:rsidR="005E1EA8" w:rsidRPr="005E1EA8">
        <w:rPr>
          <w:rFonts w:hint="eastAsia"/>
        </w:rPr>
        <w:t>肆拾、</w:t>
      </w:r>
      <w:hyperlink w:anchor="_肆拾、婦女有從事民事、衛生、醫護，但非第一線戰鬥性及攻擊性勤務之兵役義" w:history="1">
        <w:r w:rsidR="005E1EA8" w:rsidRPr="00145751">
          <w:rPr>
            <w:rStyle w:val="a5"/>
            <w:rFonts w:ascii="Times New Roman" w:hAnsi="Times New Roman" w:hint="eastAsia"/>
          </w:rPr>
          <w:t>婦女有從事民事、衛生、醫護，但非第一線戰鬥性及攻擊性勤務之兵役義務</w:t>
        </w:r>
      </w:hyperlink>
    </w:p>
    <w:p w14:paraId="150FAF04" w14:textId="77777777" w:rsidR="005E1EA8" w:rsidRPr="005E1EA8" w:rsidRDefault="00B03E84" w:rsidP="00D87D91">
      <w:r w:rsidRPr="005E1EA8">
        <w:rPr>
          <w:rFonts w:hint="eastAsia"/>
          <w:b/>
        </w:rPr>
        <w:t>》</w:t>
      </w:r>
      <w:r w:rsidR="005E1EA8" w:rsidRPr="005E1EA8">
        <w:rPr>
          <w:rFonts w:hint="eastAsia"/>
        </w:rPr>
        <w:t>肆拾壹、</w:t>
      </w:r>
      <w:hyperlink w:anchor="_肆拾壹、我國憲法宜承認蒙古國之國際法地位" w:history="1">
        <w:r w:rsidR="005E1EA8" w:rsidRPr="00145751">
          <w:rPr>
            <w:rStyle w:val="a5"/>
            <w:rFonts w:ascii="Times New Roman" w:hAnsi="Times New Roman" w:hint="eastAsia"/>
          </w:rPr>
          <w:t>我國憲法宜承認蒙古國之國際法地位</w:t>
        </w:r>
      </w:hyperlink>
    </w:p>
    <w:p w14:paraId="15B9F2BD" w14:textId="77777777" w:rsidR="005E1EA8" w:rsidRPr="005E1EA8" w:rsidRDefault="00B03E84" w:rsidP="00D87D91">
      <w:r w:rsidRPr="005E1EA8">
        <w:rPr>
          <w:rFonts w:hint="eastAsia"/>
          <w:b/>
        </w:rPr>
        <w:t>》</w:t>
      </w:r>
      <w:r w:rsidR="005E1EA8" w:rsidRPr="005E1EA8">
        <w:rPr>
          <w:rFonts w:hint="eastAsia"/>
        </w:rPr>
        <w:t>肆拾貳、</w:t>
      </w:r>
      <w:hyperlink w:anchor="_肆拾貳、基本國策宜新增若干項目(諸如：兩岸應和平發展，互蒙其利，並建立" w:history="1">
        <w:r w:rsidR="005E1EA8" w:rsidRPr="00145751">
          <w:rPr>
            <w:rStyle w:val="a5"/>
            <w:rFonts w:ascii="Times New Roman" w:hAnsi="Times New Roman" w:hint="eastAsia"/>
          </w:rPr>
          <w:t>基本國策宜新增若干項目</w:t>
        </w:r>
        <w:r w:rsidR="005E1EA8" w:rsidRPr="00145751">
          <w:rPr>
            <w:rStyle w:val="a5"/>
            <w:rFonts w:ascii="Times New Roman" w:hAnsi="Times New Roman" w:hint="eastAsia"/>
          </w:rPr>
          <w:t>(</w:t>
        </w:r>
        <w:r w:rsidR="005E1EA8" w:rsidRPr="00145751">
          <w:rPr>
            <w:rStyle w:val="a5"/>
            <w:rFonts w:ascii="Times New Roman" w:hAnsi="Times New Roman" w:hint="eastAsia"/>
          </w:rPr>
          <w:t>諸如：兩岸應和平發展，互蒙其利，並建立互信之政治與軍事機制</w:t>
        </w:r>
        <w:r w:rsidR="005E1EA8" w:rsidRPr="00145751">
          <w:rPr>
            <w:rStyle w:val="a5"/>
            <w:rFonts w:ascii="Times New Roman" w:hAnsi="Times New Roman" w:hint="eastAsia"/>
          </w:rPr>
          <w:t>)</w:t>
        </w:r>
      </w:hyperlink>
    </w:p>
    <w:p w14:paraId="19A1FEAD" w14:textId="77777777" w:rsidR="005E1EA8" w:rsidRPr="005E1EA8" w:rsidRDefault="00B03E84" w:rsidP="00D87D91">
      <w:r w:rsidRPr="005E1EA8">
        <w:rPr>
          <w:rFonts w:hint="eastAsia"/>
          <w:b/>
        </w:rPr>
        <w:t>》</w:t>
      </w:r>
      <w:r w:rsidR="005E1EA8" w:rsidRPr="005E1EA8">
        <w:rPr>
          <w:rFonts w:hint="eastAsia"/>
        </w:rPr>
        <w:t>肆拾參、</w:t>
      </w:r>
      <w:hyperlink w:anchor="_肆拾參、區分為承平時期及國家遭遇緊急狀況時期之不同修憲機制" w:history="1">
        <w:r w:rsidR="005E1EA8" w:rsidRPr="00145751">
          <w:rPr>
            <w:rStyle w:val="a5"/>
            <w:rFonts w:ascii="Times New Roman" w:hAnsi="Times New Roman" w:hint="eastAsia"/>
          </w:rPr>
          <w:t>區分為承平時期及國家遭遇緊急狀況時期之不同修憲機制</w:t>
        </w:r>
      </w:hyperlink>
    </w:p>
    <w:p w14:paraId="76B3E74B" w14:textId="77777777" w:rsidR="005E1EA8" w:rsidRPr="005E1EA8" w:rsidRDefault="00B03E84" w:rsidP="00D87D91">
      <w:r w:rsidRPr="005E1EA8">
        <w:rPr>
          <w:rFonts w:hint="eastAsia"/>
          <w:b/>
        </w:rPr>
        <w:t>》</w:t>
      </w:r>
      <w:r w:rsidR="005E1EA8" w:rsidRPr="005E1EA8">
        <w:rPr>
          <w:rFonts w:hint="eastAsia"/>
        </w:rPr>
        <w:t>肆拾肆、</w:t>
      </w:r>
      <w:hyperlink w:anchor="_肆拾肆、憲法條文分項內容之規範體例，宜加以數字化" w:history="1">
        <w:r w:rsidR="005E1EA8" w:rsidRPr="00145751">
          <w:rPr>
            <w:rStyle w:val="a5"/>
            <w:rFonts w:ascii="Times New Roman" w:hAnsi="Times New Roman" w:hint="eastAsia"/>
          </w:rPr>
          <w:t>憲法條文分項內容之規範體例，宜加以數字化</w:t>
        </w:r>
      </w:hyperlink>
    </w:p>
    <w:p w14:paraId="6EBD2E24" w14:textId="77777777" w:rsidR="005E1EA8" w:rsidRPr="005E1EA8" w:rsidRDefault="00B03E84" w:rsidP="00D87D91">
      <w:r w:rsidRPr="005E1EA8">
        <w:rPr>
          <w:rFonts w:hint="eastAsia"/>
          <w:b/>
        </w:rPr>
        <w:t>》</w:t>
      </w:r>
      <w:r w:rsidR="005E1EA8" w:rsidRPr="005E1EA8">
        <w:rPr>
          <w:rFonts w:hint="eastAsia"/>
        </w:rPr>
        <w:t>肆拾伍、</w:t>
      </w:r>
      <w:hyperlink w:anchor="_肆拾伍、宜站在憲法之高度保障刑事訴訟程序中犯罪嫌疑人與被告之基本權利" w:history="1">
        <w:r w:rsidR="005E1EA8" w:rsidRPr="00145751">
          <w:rPr>
            <w:rStyle w:val="a5"/>
            <w:rFonts w:ascii="Times New Roman" w:hAnsi="Times New Roman" w:hint="eastAsia"/>
          </w:rPr>
          <w:t>宜站在憲法之高度保障刑事訴訟程序中犯罪嫌疑人與被告之基本權利</w:t>
        </w:r>
      </w:hyperlink>
    </w:p>
    <w:p w14:paraId="6AA00BB1" w14:textId="77777777" w:rsidR="00953151" w:rsidRDefault="00B03E84" w:rsidP="00D87D91">
      <w:r w:rsidRPr="005E1EA8">
        <w:rPr>
          <w:rFonts w:hint="eastAsia"/>
          <w:b/>
        </w:rPr>
        <w:t>》</w:t>
      </w:r>
      <w:r w:rsidR="005E1EA8" w:rsidRPr="003B41D4">
        <w:rPr>
          <w:rFonts w:hint="eastAsia"/>
        </w:rPr>
        <w:t>肆拾陸</w:t>
      </w:r>
      <w:r w:rsidR="005E1EA8" w:rsidRPr="005E1EA8">
        <w:rPr>
          <w:rFonts w:hint="eastAsia"/>
        </w:rPr>
        <w:t>、</w:t>
      </w:r>
      <w:hyperlink w:anchor="_肆拾陸、憲法有關「人身自由權」與「身體權」保障之條文用語宜再精進化與精" w:history="1">
        <w:r w:rsidR="005E1EA8" w:rsidRPr="00145751">
          <w:rPr>
            <w:rStyle w:val="a5"/>
            <w:rFonts w:ascii="Times New Roman" w:hAnsi="Times New Roman" w:hint="eastAsia"/>
          </w:rPr>
          <w:t>憲法有關「人身自由權」與「身體權」保障之條文用語宜再精進化與精準化</w:t>
        </w:r>
      </w:hyperlink>
      <w:r w:rsidR="00A61463" w:rsidRPr="00A61463">
        <w:rPr>
          <w:rFonts w:hint="eastAsia"/>
          <w:b/>
          <w:color w:val="FFFFFF" w:themeColor="background1"/>
        </w:rPr>
        <w:t>**</w:t>
      </w:r>
    </w:p>
    <w:p w14:paraId="18ED85CE" w14:textId="77777777" w:rsidR="005A482C" w:rsidRDefault="005A482C" w:rsidP="00670577">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6B32F704" w14:textId="77777777" w:rsidR="00953151" w:rsidRDefault="00953151" w:rsidP="00D87D91"/>
    <w:p w14:paraId="1D3B43B9" w14:textId="77777777" w:rsidR="00203F72" w:rsidRPr="002E2143" w:rsidRDefault="00203F72" w:rsidP="00D87D91">
      <w:pPr>
        <w:pStyle w:val="1"/>
      </w:pPr>
      <w:bookmarkStart w:id="14" w:name="_作者簡介"/>
      <w:bookmarkEnd w:id="14"/>
      <w:r w:rsidRPr="002E2143">
        <w:t>作者簡介</w:t>
      </w:r>
      <w:r w:rsidRPr="002E2143">
        <w:t xml:space="preserve"> </w:t>
      </w:r>
    </w:p>
    <w:p w14:paraId="05A1E002" w14:textId="77777777" w:rsidR="00203F72" w:rsidRPr="00E13106" w:rsidRDefault="00203F72" w:rsidP="00D87D91">
      <w:pPr>
        <w:pStyle w:val="1"/>
      </w:pPr>
      <w:r w:rsidRPr="00E13106">
        <w:t>柯雨瑞教授</w:t>
      </w:r>
    </w:p>
    <w:p w14:paraId="2E1B715D" w14:textId="77777777" w:rsidR="00953151" w:rsidRDefault="00E13106" w:rsidP="00D87D91">
      <w:r w:rsidRPr="00E13106">
        <w:rPr>
          <w:rFonts w:hint="eastAsia"/>
        </w:rPr>
        <w:t>【</w:t>
      </w:r>
      <w:r w:rsidR="00203F72" w:rsidRPr="00A53581">
        <w:t>現任</w:t>
      </w:r>
      <w:r w:rsidRPr="00E13106">
        <w:rPr>
          <w:rFonts w:hint="eastAsia"/>
        </w:rPr>
        <w:t>】</w:t>
      </w:r>
      <w:r w:rsidR="00203F72" w:rsidRPr="00A53581">
        <w:t>中央警察大學國境警察學系專任教授；</w:t>
      </w:r>
      <w:r w:rsidR="00203F72" w:rsidRPr="00A53581">
        <w:rPr>
          <w:kern w:val="0"/>
        </w:rPr>
        <w:t>中央警察大學國境警察學系教師評審會委員、課程會委員；中央警察大學警政管理學院課程會委員；中央警察大學電子公文節能減紙執行小組工作成員；</w:t>
      </w:r>
      <w:r w:rsidR="00203F72" w:rsidRPr="00A53581">
        <w:t>中華國土安全研究協會理事；教育部人權教育諮詢暨資源中心網站電子報編輯諮詢顧問；桃園市「毒品危害防制中心推動委員會」委員</w:t>
      </w:r>
    </w:p>
    <w:p w14:paraId="6DD8BEF2" w14:textId="77777777" w:rsidR="00953151" w:rsidRDefault="00E13106" w:rsidP="00D87D91">
      <w:r w:rsidRPr="00E13106">
        <w:rPr>
          <w:rFonts w:hint="eastAsia"/>
        </w:rPr>
        <w:t>【</w:t>
      </w:r>
      <w:r w:rsidR="00203F72" w:rsidRPr="00A53581">
        <w:t>學歷</w:t>
      </w:r>
      <w:r w:rsidRPr="00E13106">
        <w:rPr>
          <w:rFonts w:hint="eastAsia"/>
        </w:rPr>
        <w:t>】</w:t>
      </w:r>
      <w:r w:rsidR="00203F72" w:rsidRPr="00A53581">
        <w:t>中央警察大學行政警察學系法學學士</w:t>
      </w:r>
      <w:r w:rsidR="00203F72" w:rsidRPr="00A53581">
        <w:t>(</w:t>
      </w:r>
      <w:r w:rsidR="00203F72" w:rsidRPr="00A53581">
        <w:t>民國</w:t>
      </w:r>
      <w:r w:rsidR="00203F72" w:rsidRPr="00A53581">
        <w:t>74-78</w:t>
      </w:r>
      <w:r w:rsidR="00203F72" w:rsidRPr="00A53581">
        <w:t>年</w:t>
      </w:r>
      <w:r w:rsidR="00203F72" w:rsidRPr="00A53581">
        <w:t>)</w:t>
      </w:r>
      <w:r w:rsidR="00203F72" w:rsidRPr="00A53581">
        <w:t>；中央警察大學行政警察研究所法學碩士</w:t>
      </w:r>
      <w:r w:rsidR="00203F72" w:rsidRPr="00A53581">
        <w:t>(</w:t>
      </w:r>
      <w:r w:rsidR="00203F72" w:rsidRPr="00A53581">
        <w:t>民國</w:t>
      </w:r>
      <w:r w:rsidR="00203F72" w:rsidRPr="00A53581">
        <w:t>81-83</w:t>
      </w:r>
      <w:r w:rsidR="00203F72" w:rsidRPr="00A53581">
        <w:t>年</w:t>
      </w:r>
      <w:r w:rsidR="00203F72" w:rsidRPr="00A53581">
        <w:t>)</w:t>
      </w:r>
      <w:r w:rsidR="00203F72" w:rsidRPr="00A53581">
        <w:t>；中央警察大學犯罪防治研究所法學博士</w:t>
      </w:r>
      <w:r w:rsidR="00203F72" w:rsidRPr="00A53581">
        <w:t>(</w:t>
      </w:r>
      <w:r w:rsidR="00203F72" w:rsidRPr="00A53581">
        <w:t>民國</w:t>
      </w:r>
      <w:r w:rsidR="00203F72" w:rsidRPr="00A53581">
        <w:t>88-96</w:t>
      </w:r>
      <w:r w:rsidR="00203F72" w:rsidRPr="00A53581">
        <w:t>年</w:t>
      </w:r>
      <w:r w:rsidR="00203F72" w:rsidRPr="00A53581">
        <w:t>)</w:t>
      </w:r>
    </w:p>
    <w:p w14:paraId="2F2232AA" w14:textId="77777777" w:rsidR="00953151" w:rsidRDefault="00E13106" w:rsidP="00D87D91">
      <w:r w:rsidRPr="00E13106">
        <w:rPr>
          <w:rFonts w:hint="eastAsia"/>
        </w:rPr>
        <w:t>【</w:t>
      </w:r>
      <w:r w:rsidR="00203F72" w:rsidRPr="00A53581">
        <w:t>經歷</w:t>
      </w:r>
      <w:r w:rsidRPr="00E13106">
        <w:rPr>
          <w:rFonts w:hint="eastAsia"/>
        </w:rPr>
        <w:t>】</w:t>
      </w:r>
      <w:r w:rsidR="00203F72" w:rsidRPr="00A53581">
        <w:t>曾任內政部警政署保安警察第三總隊第二大隊</w:t>
      </w:r>
      <w:r w:rsidR="00203F72" w:rsidRPr="00A53581">
        <w:t>(</w:t>
      </w:r>
      <w:r w:rsidR="00203F72" w:rsidRPr="00A53581">
        <w:t>基隆</w:t>
      </w:r>
      <w:r w:rsidR="00203F72" w:rsidRPr="00A53581">
        <w:t>)</w:t>
      </w:r>
      <w:r w:rsidR="00203F72" w:rsidRPr="00A53581">
        <w:t>第三中隊分隊長、第一大隊</w:t>
      </w:r>
      <w:r w:rsidR="00203F72" w:rsidRPr="00A53581">
        <w:t>(</w:t>
      </w:r>
      <w:r w:rsidR="00203F72" w:rsidRPr="00A53581">
        <w:t>台北</w:t>
      </w:r>
      <w:r w:rsidR="00203F72" w:rsidRPr="00A53581">
        <w:t>)</w:t>
      </w:r>
      <w:r w:rsidR="00203F72" w:rsidRPr="00A53581">
        <w:t>第一中隊警務員；中央警察大學國境警察學系助教、講師、副教授；</w:t>
      </w:r>
      <w:r w:rsidR="00203F72" w:rsidRPr="00A53581">
        <w:rPr>
          <w:kern w:val="0"/>
        </w:rPr>
        <w:t>中央警察大學外事警察學系教師評審會委員；中央警察大學訓育委員會委員；中央警察大學移民研究中心執行秘書；中央警察大學</w:t>
      </w:r>
      <w:r w:rsidR="00203F72" w:rsidRPr="00A53581">
        <w:t>圖書諮詢委員會委員；</w:t>
      </w:r>
      <w:r w:rsidR="00203F72" w:rsidRPr="00A53581">
        <w:rPr>
          <w:kern w:val="0"/>
        </w:rPr>
        <w:t>中央警察大學電話禮貌抽測小組工作委</w:t>
      </w:r>
      <w:r w:rsidR="00203F72" w:rsidRPr="00A53581">
        <w:rPr>
          <w:kern w:val="0"/>
        </w:rPr>
        <w:t>(</w:t>
      </w:r>
      <w:r w:rsidR="00203F72" w:rsidRPr="00A53581">
        <w:rPr>
          <w:kern w:val="0"/>
        </w:rPr>
        <w:t>成</w:t>
      </w:r>
      <w:r w:rsidR="00203F72" w:rsidRPr="00A53581">
        <w:rPr>
          <w:kern w:val="0"/>
        </w:rPr>
        <w:t>)</w:t>
      </w:r>
      <w:r w:rsidR="00203F72" w:rsidRPr="00A53581">
        <w:rPr>
          <w:kern w:val="0"/>
        </w:rPr>
        <w:t>員；</w:t>
      </w:r>
      <w:r w:rsidR="00203F72" w:rsidRPr="00A53581">
        <w:t>台灣警察專科學校兼任講師；民國</w:t>
      </w:r>
      <w:r w:rsidR="00203F72" w:rsidRPr="00A53581">
        <w:t>97</w:t>
      </w:r>
      <w:r w:rsidR="00203F72" w:rsidRPr="00A53581">
        <w:t>年行政院人事行政局人力評鑑服務團訪</w:t>
      </w:r>
      <w:r w:rsidR="003E240E">
        <w:t>視</w:t>
      </w:r>
      <w:r w:rsidR="00203F72" w:rsidRPr="00A53581">
        <w:t>兩岸週末包機各直航航空站評鑑委員；二等移民特考專業訓練班講座；四等移民特考專業訓練班講座；「警學叢刊」、「國土安全與國境管理學報」、「涉外執法與政策學報」、「航空安全及管理季刊」、「犯罪學期刊」之學術期刊論文之審查委員</w:t>
      </w:r>
    </w:p>
    <w:p w14:paraId="4DFE7B33" w14:textId="77777777" w:rsidR="00953151" w:rsidRDefault="00E13106" w:rsidP="00D87D91">
      <w:r w:rsidRPr="00E13106">
        <w:rPr>
          <w:rFonts w:hint="eastAsia"/>
        </w:rPr>
        <w:t>【</w:t>
      </w:r>
      <w:r w:rsidR="00203F72" w:rsidRPr="00A53581">
        <w:t>國家考試及格</w:t>
      </w:r>
      <w:r w:rsidRPr="00E13106">
        <w:rPr>
          <w:rFonts w:hint="eastAsia"/>
        </w:rPr>
        <w:t>】</w:t>
      </w:r>
      <w:r w:rsidR="00203F72" w:rsidRPr="00A53581">
        <w:t>民國</w:t>
      </w:r>
      <w:r w:rsidR="00203F72" w:rsidRPr="00A53581">
        <w:t>78</w:t>
      </w:r>
      <w:r w:rsidR="00203F72" w:rsidRPr="00A53581">
        <w:t>年行政警察特考乙等及丙等考試雙榜及格</w:t>
      </w:r>
      <w:r w:rsidR="00203F72" w:rsidRPr="00A53581">
        <w:t xml:space="preserve"> </w:t>
      </w:r>
    </w:p>
    <w:p w14:paraId="36C92C65" w14:textId="77777777" w:rsidR="00953151" w:rsidRDefault="00E13106" w:rsidP="00D87D91">
      <w:r w:rsidRPr="00E13106">
        <w:rPr>
          <w:rFonts w:hint="eastAsia"/>
        </w:rPr>
        <w:t>【</w:t>
      </w:r>
      <w:r w:rsidR="00203F72" w:rsidRPr="00A53581">
        <w:t>學術專長領域</w:t>
      </w:r>
      <w:r w:rsidRPr="00E13106">
        <w:rPr>
          <w:rFonts w:hint="eastAsia"/>
        </w:rPr>
        <w:t>】</w:t>
      </w:r>
      <w:r w:rsidR="00203F72" w:rsidRPr="00A53581">
        <w:t>憲法、入出國</w:t>
      </w:r>
      <w:r w:rsidR="00203F72" w:rsidRPr="00A53581">
        <w:t>(</w:t>
      </w:r>
      <w:r w:rsidR="00203F72" w:rsidRPr="00A53581">
        <w:t>境</w:t>
      </w:r>
      <w:r w:rsidR="00203F72" w:rsidRPr="00A53581">
        <w:t>)</w:t>
      </w:r>
      <w:r w:rsidR="00203F72" w:rsidRPr="00A53581">
        <w:t>管理、移民法制、移民政策、國境執法、犯罪學、警察與犯罪預防、非法移民、人口販運、毒品犯罪、跨國</w:t>
      </w:r>
      <w:r w:rsidR="00203F72" w:rsidRPr="00A53581">
        <w:t>(</w:t>
      </w:r>
      <w:r w:rsidR="00203F72" w:rsidRPr="00A53581">
        <w:t>境</w:t>
      </w:r>
      <w:r w:rsidR="00203F72" w:rsidRPr="00A53581">
        <w:t>)</w:t>
      </w:r>
      <w:r w:rsidR="00203F72" w:rsidRPr="00A53581">
        <w:t>犯罪、刑事政策</w:t>
      </w:r>
    </w:p>
    <w:p w14:paraId="5EB8E280" w14:textId="77777777" w:rsidR="00953151" w:rsidRDefault="00E13106" w:rsidP="00D87D91">
      <w:r w:rsidRPr="00E13106">
        <w:rPr>
          <w:rFonts w:hint="eastAsia"/>
        </w:rPr>
        <w:t>【</w:t>
      </w:r>
      <w:r w:rsidR="00203F72" w:rsidRPr="00A53581">
        <w:t>授課課程</w:t>
      </w:r>
      <w:r w:rsidRPr="00E13106">
        <w:rPr>
          <w:rFonts w:hint="eastAsia"/>
        </w:rPr>
        <w:t>】</w:t>
      </w:r>
      <w:r w:rsidR="00203F72" w:rsidRPr="00A53581">
        <w:t>曾教授以下課程</w:t>
      </w:r>
      <w:r w:rsidR="00D92F56">
        <w:t>〜</w:t>
      </w:r>
      <w:r w:rsidR="00203F72" w:rsidRPr="00A53581">
        <w:t>國際公法、</w:t>
      </w:r>
      <w:hyperlink r:id="rId10" w:history="1">
        <w:r w:rsidR="00203F72" w:rsidRPr="001F6A1B">
          <w:rPr>
            <w:rStyle w:val="a5"/>
            <w:rFonts w:eastAsia="新細明體"/>
          </w:rPr>
          <w:t>刑法</w:t>
        </w:r>
      </w:hyperlink>
      <w:r w:rsidR="00203F72" w:rsidRPr="00A53581">
        <w:t>總則、國家安全法及安檢法規、安檢法規與實務、國境安全檢查專題研究、主要移入國移民政策與法規、兩岸關係與法制、移民犯罪偵查法制與實務、各國國境安全法規、人流管理與警察執法、國際安全組織運作、犯罪學、婦幼安全、犯罪預防、經濟犯罪、全球化與經濟犯罪、青少年犯罪、跨境犯罪、跨境犯罪專題研究、跨國境犯罪理論與實踐、犯罪心理學、恐佈活動與組織犯罪、研究方法與資料處理、研究方法、統計學、研究方法與統計、國境警察理論與實務</w:t>
      </w:r>
      <w:r w:rsidR="00203F72" w:rsidRPr="00A53581">
        <w:t>(1)</w:t>
      </w:r>
      <w:r w:rsidR="00203F72" w:rsidRPr="00A53581">
        <w:t>、國境警察理論與實務</w:t>
      </w:r>
      <w:r w:rsidR="00203F72" w:rsidRPr="00A53581">
        <w:t>(2)</w:t>
      </w:r>
      <w:r w:rsidR="00203F72" w:rsidRPr="00A53581">
        <w:t>、國境警察專題研究、國際政治經濟學、國際移民與面談機制研究、移民與人權保障、各國移民政策分析、非法移民與難民研究、國境與大眾運輸保安、國境安全管理政策與實務、國境管理理論與實務、人口移動理論與實務、外事警察學、警察學、外籍勞工之管理及聘雇、外籍勞工管理、各國警察制度</w:t>
      </w:r>
    </w:p>
    <w:p w14:paraId="75D63119" w14:textId="77777777" w:rsidR="00953151" w:rsidRDefault="00E13106" w:rsidP="00D87D91">
      <w:r w:rsidRPr="00E13106">
        <w:rPr>
          <w:rFonts w:hint="eastAsia"/>
        </w:rPr>
        <w:t>【</w:t>
      </w:r>
      <w:r w:rsidR="00203F72" w:rsidRPr="00A53581">
        <w:t>學術專門著作</w:t>
      </w:r>
      <w:r w:rsidRPr="00E13106">
        <w:rPr>
          <w:rFonts w:hint="eastAsia"/>
        </w:rPr>
        <w:t>】</w:t>
      </w:r>
      <w:r w:rsidR="00203F72" w:rsidRPr="00A53581">
        <w:t>專業之學術期刊論文、學術專書、收錄於學術專書中之論文、學術研討會所發表之論文，及參與之研究案所撰寫之學術專案成果報告，合計約</w:t>
      </w:r>
      <w:r w:rsidR="00203F72" w:rsidRPr="00A53581">
        <w:t>110</w:t>
      </w:r>
      <w:r w:rsidR="00203F72" w:rsidRPr="00A53581">
        <w:t>餘篇之學術專門著作，總字數近約</w:t>
      </w:r>
      <w:r w:rsidR="00203F72" w:rsidRPr="00A53581">
        <w:t>350</w:t>
      </w:r>
      <w:r w:rsidR="00203F72" w:rsidRPr="00A53581">
        <w:t>萬字左右</w:t>
      </w:r>
      <w:r w:rsidR="00193290" w:rsidRPr="0065661E">
        <w:rPr>
          <w:rFonts w:hint="eastAsia"/>
          <w:color w:val="FFFFFF" w:themeColor="background1"/>
        </w:rPr>
        <w:t>◇◆</w:t>
      </w:r>
    </w:p>
    <w:p w14:paraId="35267BCD" w14:textId="77777777" w:rsidR="00203F72" w:rsidRPr="00A53581" w:rsidRDefault="00203F72" w:rsidP="00D87D91">
      <w:r>
        <w:rPr>
          <w:rFonts w:hint="eastAsia"/>
          <w:noProof/>
        </w:rPr>
        <w:lastRenderedPageBreak/>
        <w:drawing>
          <wp:inline distT="0" distB="0" distL="0" distR="0" wp14:anchorId="598C439F" wp14:editId="750B1D66">
            <wp:extent cx="2853055" cy="2671445"/>
            <wp:effectExtent l="0" t="0" r="444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3055" cy="2671445"/>
                    </a:xfrm>
                    <a:prstGeom prst="rect">
                      <a:avLst/>
                    </a:prstGeom>
                    <a:noFill/>
                    <a:ln>
                      <a:noFill/>
                    </a:ln>
                  </pic:spPr>
                </pic:pic>
              </a:graphicData>
            </a:graphic>
          </wp:inline>
        </w:drawing>
      </w:r>
    </w:p>
    <w:p w14:paraId="20683AB8" w14:textId="4560E4D3" w:rsidR="00953151" w:rsidRDefault="00B03E84" w:rsidP="00D87D91">
      <w:pPr>
        <w:pStyle w:val="aff4"/>
        <w:rPr>
          <w:rFonts w:ascii="新細明體" w:hAnsi="新細明體"/>
        </w:rPr>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w:t>
      </w:r>
      <w:r w:rsidR="00076467">
        <w:rPr>
          <w:noProof/>
        </w:rPr>
        <w:fldChar w:fldCharType="end"/>
      </w:r>
      <w:r w:rsidR="00203F72" w:rsidRPr="00A53581">
        <w:rPr>
          <w:rFonts w:ascii="新細明體" w:hAnsi="新細明體" w:hint="eastAsia"/>
        </w:rPr>
        <w:t>筆者就讀於南投市平和國小時之畢業照片(民國68年6月)</w:t>
      </w:r>
      <w:r w:rsidR="00193290" w:rsidRPr="00A61463">
        <w:rPr>
          <w:rFonts w:hint="eastAsia"/>
          <w:color w:val="FFFFFF" w:themeColor="background1"/>
        </w:rPr>
        <w:t>◇◆</w:t>
      </w:r>
    </w:p>
    <w:p w14:paraId="59A1771D" w14:textId="77777777" w:rsidR="00203F72" w:rsidRPr="00A53581" w:rsidRDefault="00203F72" w:rsidP="00D87D91">
      <w:r>
        <w:rPr>
          <w:noProof/>
        </w:rPr>
        <w:drawing>
          <wp:inline distT="0" distB="0" distL="0" distR="0" wp14:anchorId="4673CECF" wp14:editId="63D1C5AC">
            <wp:extent cx="4584700" cy="4262755"/>
            <wp:effectExtent l="0" t="0" r="6350" b="4445"/>
            <wp:docPr id="2" name="圖片 2" descr="a960614畢業典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960614畢業典禮"/>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84700" cy="4262755"/>
                    </a:xfrm>
                    <a:prstGeom prst="rect">
                      <a:avLst/>
                    </a:prstGeom>
                    <a:noFill/>
                    <a:ln>
                      <a:noFill/>
                    </a:ln>
                  </pic:spPr>
                </pic:pic>
              </a:graphicData>
            </a:graphic>
          </wp:inline>
        </w:drawing>
      </w:r>
    </w:p>
    <w:p w14:paraId="22637E4F" w14:textId="692DC8E1" w:rsidR="00203F72" w:rsidRPr="00A5358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w:t>
      </w:r>
      <w:r w:rsidR="00076467">
        <w:rPr>
          <w:noProof/>
        </w:rPr>
        <w:fldChar w:fldCharType="end"/>
      </w:r>
      <w:r w:rsidR="00203F72" w:rsidRPr="00A53581">
        <w:rPr>
          <w:rFonts w:hint="eastAsia"/>
        </w:rPr>
        <w:t>筆者就讀於中央警察大學犯罪防治研究所博士班畢業時之上台領取博士畢業證書之照片</w:t>
      </w:r>
      <w:r w:rsidR="00203F72" w:rsidRPr="00A53581">
        <w:rPr>
          <w:rFonts w:hint="eastAsia"/>
        </w:rPr>
        <w:t>(</w:t>
      </w:r>
      <w:r w:rsidR="00203F72" w:rsidRPr="00A53581">
        <w:rPr>
          <w:rFonts w:hint="eastAsia"/>
        </w:rPr>
        <w:t>民國</w:t>
      </w:r>
      <w:r w:rsidR="00203F72" w:rsidRPr="00A53581">
        <w:rPr>
          <w:rFonts w:hint="eastAsia"/>
        </w:rPr>
        <w:t>96</w:t>
      </w:r>
      <w:r w:rsidR="00203F72" w:rsidRPr="00A53581">
        <w:rPr>
          <w:rFonts w:hint="eastAsia"/>
        </w:rPr>
        <w:t>年</w:t>
      </w:r>
      <w:r w:rsidR="00203F72" w:rsidRPr="00A53581">
        <w:rPr>
          <w:rFonts w:hint="eastAsia"/>
        </w:rPr>
        <w:t>6</w:t>
      </w:r>
      <w:r w:rsidR="00203F72" w:rsidRPr="00A53581">
        <w:rPr>
          <w:rFonts w:hint="eastAsia"/>
        </w:rPr>
        <w:t>月</w:t>
      </w:r>
      <w:r w:rsidR="00203F72" w:rsidRPr="00A53581">
        <w:rPr>
          <w:rFonts w:hint="eastAsia"/>
        </w:rPr>
        <w:t>)</w:t>
      </w:r>
    </w:p>
    <w:p w14:paraId="5DF17051" w14:textId="77777777" w:rsidR="00203F72" w:rsidRPr="00A53581" w:rsidRDefault="00203F72" w:rsidP="00D87D91"/>
    <w:p w14:paraId="126EC88B" w14:textId="77777777" w:rsidR="00203F72" w:rsidRPr="008F5A4E" w:rsidRDefault="00203F72" w:rsidP="00D87D91">
      <w:pPr>
        <w:pStyle w:val="1"/>
      </w:pPr>
      <w:r w:rsidRPr="008F5A4E">
        <w:t>作者簡介</w:t>
      </w:r>
    </w:p>
    <w:p w14:paraId="3F102C4D" w14:textId="77777777" w:rsidR="00203F72" w:rsidRPr="00A53581" w:rsidRDefault="00203F72" w:rsidP="00D87D91">
      <w:pPr>
        <w:pStyle w:val="1"/>
      </w:pPr>
      <w:r w:rsidRPr="00A53581">
        <w:t>侯夙芳</w:t>
      </w:r>
      <w:r w:rsidRPr="00A53581">
        <w:t xml:space="preserve"> </w:t>
      </w:r>
      <w:r w:rsidRPr="00A53581">
        <w:t>講師</w:t>
      </w:r>
    </w:p>
    <w:p w14:paraId="6A805B77" w14:textId="77777777" w:rsidR="00E070CD" w:rsidRDefault="00E13106" w:rsidP="00D87D91">
      <w:r w:rsidRPr="00E13106">
        <w:rPr>
          <w:rFonts w:hint="eastAsia"/>
        </w:rPr>
        <w:t>【</w:t>
      </w:r>
      <w:r w:rsidR="00203F72" w:rsidRPr="00A53581">
        <w:t>現任</w:t>
      </w:r>
      <w:r w:rsidRPr="00E13106">
        <w:rPr>
          <w:rFonts w:hint="eastAsia"/>
        </w:rPr>
        <w:t>】</w:t>
      </w:r>
      <w:r w:rsidR="00203F72" w:rsidRPr="00A53581">
        <w:t>中央警察大學通識教育中心專任講師</w:t>
      </w:r>
    </w:p>
    <w:p w14:paraId="5941C7BC" w14:textId="77777777" w:rsidR="00203F72" w:rsidRDefault="00E13106" w:rsidP="00D87D91">
      <w:r w:rsidRPr="00E13106">
        <w:rPr>
          <w:rFonts w:hint="eastAsia"/>
        </w:rPr>
        <w:t>【</w:t>
      </w:r>
      <w:r w:rsidR="00203F72" w:rsidRPr="00A53581">
        <w:t>學歷</w:t>
      </w:r>
      <w:r w:rsidRPr="00E13106">
        <w:rPr>
          <w:rFonts w:hint="eastAsia"/>
        </w:rPr>
        <w:t>】</w:t>
      </w:r>
      <w:r w:rsidR="00203F72" w:rsidRPr="00A53581">
        <w:t>中央警察大學行政警察學系法學學士；中央警察大學犯罪防治研究所法學碩士</w:t>
      </w:r>
    </w:p>
    <w:p w14:paraId="4B985987" w14:textId="77777777" w:rsidR="00203F72" w:rsidRPr="00A53581" w:rsidRDefault="00E13106" w:rsidP="00D87D91">
      <w:r w:rsidRPr="00E13106">
        <w:rPr>
          <w:rFonts w:hint="eastAsia"/>
        </w:rPr>
        <w:t>【</w:t>
      </w:r>
      <w:r w:rsidR="00203F72" w:rsidRPr="00A53581">
        <w:t>經歷</w:t>
      </w:r>
      <w:r w:rsidRPr="00E13106">
        <w:rPr>
          <w:rFonts w:hint="eastAsia"/>
        </w:rPr>
        <w:t>】</w:t>
      </w:r>
      <w:r w:rsidR="00203F72" w:rsidRPr="00A53581">
        <w:t>台南縣警察局佳里分局巡官；中央警察大學助教；台南市警察局巡官；內政部</w:t>
      </w:r>
      <w:r w:rsidR="00203F72" w:rsidRPr="00A53581">
        <w:lastRenderedPageBreak/>
        <w:t>警政署科員；內政部警政署刑事警察局科員；美國加州柏克萊大學東亞研究所訪問學者</w:t>
      </w:r>
    </w:p>
    <w:p w14:paraId="2EAF6EE7" w14:textId="77777777" w:rsidR="00953151" w:rsidRDefault="00E13106" w:rsidP="00D87D91">
      <w:r w:rsidRPr="00E13106">
        <w:rPr>
          <w:rFonts w:hint="eastAsia"/>
        </w:rPr>
        <w:t>【</w:t>
      </w:r>
      <w:r w:rsidR="00203F72" w:rsidRPr="00A53581">
        <w:t>國家考試及格</w:t>
      </w:r>
      <w:r w:rsidRPr="00E13106">
        <w:rPr>
          <w:rFonts w:hint="eastAsia"/>
        </w:rPr>
        <w:t>】</w:t>
      </w:r>
      <w:r w:rsidR="00203F72" w:rsidRPr="00A53581">
        <w:t>民國</w:t>
      </w:r>
      <w:r w:rsidR="00203F72" w:rsidRPr="00A53581">
        <w:t>78</w:t>
      </w:r>
      <w:r w:rsidR="00203F72" w:rsidRPr="00A53581">
        <w:t>年行政警察特考乙等考試及格</w:t>
      </w:r>
      <w:r w:rsidR="00203F72" w:rsidRPr="00A53581">
        <w:t xml:space="preserve"> </w:t>
      </w:r>
    </w:p>
    <w:p w14:paraId="1B3E6C1C" w14:textId="77777777" w:rsidR="00953151" w:rsidRDefault="00E13106" w:rsidP="00D87D91">
      <w:r w:rsidRPr="00E13106">
        <w:rPr>
          <w:rFonts w:hint="eastAsia"/>
        </w:rPr>
        <w:t>【</w:t>
      </w:r>
      <w:r w:rsidR="00203F72" w:rsidRPr="00A53581">
        <w:t>學術專長領域</w:t>
      </w:r>
      <w:r w:rsidRPr="00E13106">
        <w:rPr>
          <w:rFonts w:hint="eastAsia"/>
        </w:rPr>
        <w:t>】</w:t>
      </w:r>
      <w:r w:rsidR="00203F72" w:rsidRPr="00A53581">
        <w:t>憲法、犯罪學、通識教育</w:t>
      </w:r>
      <w:r w:rsidR="00203F72" w:rsidRPr="00A53581">
        <w:t>(</w:t>
      </w:r>
      <w:r w:rsidR="00203F72" w:rsidRPr="00A53581">
        <w:t>生涯規劃、情緒管理</w:t>
      </w:r>
      <w:r w:rsidR="00203F72" w:rsidRPr="00A53581">
        <w:t>)</w:t>
      </w:r>
    </w:p>
    <w:p w14:paraId="44C63FFE" w14:textId="77777777" w:rsidR="00953151" w:rsidRDefault="00E13106" w:rsidP="00D87D91">
      <w:r w:rsidRPr="00E13106">
        <w:rPr>
          <w:rFonts w:hint="eastAsia"/>
        </w:rPr>
        <w:t>【</w:t>
      </w:r>
      <w:r w:rsidR="00203F72" w:rsidRPr="00A53581">
        <w:t>授課課程</w:t>
      </w:r>
      <w:r w:rsidRPr="00E13106">
        <w:rPr>
          <w:rFonts w:hint="eastAsia"/>
        </w:rPr>
        <w:t>】</w:t>
      </w:r>
      <w:r w:rsidR="00203F72" w:rsidRPr="00A53581">
        <w:t>曾教授以下課程</w:t>
      </w:r>
      <w:r w:rsidR="00BC4811">
        <w:t>〜</w:t>
      </w:r>
      <w:r w:rsidR="00203F72" w:rsidRPr="00A53581">
        <w:t>憲法、生涯規劃、情緒管理</w:t>
      </w:r>
      <w:r w:rsidR="00203F72" w:rsidRPr="00A53581">
        <w:t xml:space="preserve"> </w:t>
      </w:r>
    </w:p>
    <w:p w14:paraId="0491DA9A" w14:textId="77777777" w:rsidR="005A482C" w:rsidRDefault="005A482C" w:rsidP="00E108EB">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6A7C0BED" w14:textId="77777777" w:rsidR="005A482C" w:rsidRDefault="005A482C" w:rsidP="00D87D91"/>
    <w:p w14:paraId="33E275F7" w14:textId="77777777" w:rsidR="00203F72" w:rsidRPr="008F5A4E" w:rsidRDefault="00203F72" w:rsidP="00D87D91">
      <w:pPr>
        <w:pStyle w:val="1"/>
      </w:pPr>
      <w:bookmarkStart w:id="15" w:name="_作者自序"/>
      <w:bookmarkEnd w:id="15"/>
      <w:r w:rsidRPr="008F5A4E">
        <w:t>作者自序</w:t>
      </w:r>
    </w:p>
    <w:p w14:paraId="11D449AB" w14:textId="77777777" w:rsidR="00953151" w:rsidRDefault="00E13106" w:rsidP="00D87D91">
      <w:r>
        <w:t xml:space="preserve">　　</w:t>
      </w:r>
      <w:r w:rsidR="00203F72" w:rsidRPr="00A53581">
        <w:t>憲法係為我國之根本大法與母法，作者為了提升自身教學及研究之力度</w:t>
      </w:r>
      <w:r w:rsidR="00203F72" w:rsidRPr="00A53581">
        <w:t>(</w:t>
      </w:r>
      <w:r w:rsidR="00203F72" w:rsidRPr="00A53581">
        <w:t>道</w:t>
      </w:r>
      <w:r w:rsidR="00203F72" w:rsidRPr="00A53581">
        <w:t>)</w:t>
      </w:r>
      <w:r w:rsidR="00203F72" w:rsidRPr="00A53581">
        <w:t>與能量，有鑑於此，遂進行憲法相關議題之研究。本書共分為以下數個部分：第一篇、憲法逐條釋義，由侯夙芳講師負責主筆，撰寫約</w:t>
      </w:r>
      <w:r w:rsidR="00203F72" w:rsidRPr="00A53581">
        <w:t>10</w:t>
      </w:r>
      <w:r w:rsidR="00203F72" w:rsidRPr="00A53581">
        <w:t>萬字之內容，並經由柯雨瑞教授進行若干之新增與修正；第二篇、憲法增修條文逐條釋義，由柯雨瑞教授主筆；第三篇、憲法與人權保障專題研究，主要係由柯雨瑞教授主筆；並由侯夙芳講師負責主筆本篇之部分內容，侯老師撰寫的區塊，主要係集中於：</w:t>
      </w:r>
      <w:r w:rsidR="00203F72" w:rsidRPr="00A53581">
        <w:t>1</w:t>
      </w:r>
      <w:r w:rsidR="00203F72" w:rsidRPr="00A53581">
        <w:t>、論外國人訴訟權、程序基本權與人身自由權之保障</w:t>
      </w:r>
      <w:r w:rsidR="00BC4811">
        <w:t>〜</w:t>
      </w:r>
      <w:r w:rsidR="00203F72" w:rsidRPr="00A53581">
        <w:t>以</w:t>
      </w:r>
      <w:r w:rsidR="00203F72" w:rsidRPr="00A53581">
        <w:t>2010</w:t>
      </w:r>
      <w:r w:rsidR="00203F72" w:rsidRPr="00A53581">
        <w:t>年聯合國國際法院</w:t>
      </w:r>
      <w:r w:rsidR="00203F72" w:rsidRPr="00A53581">
        <w:t>DIALLO</w:t>
      </w:r>
      <w:r w:rsidR="00203F72" w:rsidRPr="00A53581">
        <w:t>驅逐出國案例為論述中心；</w:t>
      </w:r>
      <w:r w:rsidR="00203F72" w:rsidRPr="00A53581">
        <w:t>2</w:t>
      </w:r>
      <w:r w:rsidR="00203F72" w:rsidRPr="00A53581">
        <w:t>、</w:t>
      </w:r>
      <w:r w:rsidR="00203F72" w:rsidRPr="00A53581">
        <w:t xml:space="preserve"> </w:t>
      </w:r>
      <w:r w:rsidR="00203F72" w:rsidRPr="00A53581">
        <w:t>論外國人人身自由權、程序基本權與身體權之保障</w:t>
      </w:r>
      <w:r w:rsidR="00D92F56">
        <w:t>〜</w:t>
      </w:r>
      <w:r w:rsidR="00203F72" w:rsidRPr="00A53581">
        <w:t>以</w:t>
      </w:r>
      <w:r w:rsidR="00203F72" w:rsidRPr="00A53581">
        <w:t>2004</w:t>
      </w:r>
      <w:r w:rsidR="00203F72" w:rsidRPr="00A53581">
        <w:t>年聯合國人權事務委員會</w:t>
      </w:r>
      <w:r w:rsidR="00203F72" w:rsidRPr="00A53581">
        <w:t>AHANI</w:t>
      </w:r>
      <w:r w:rsidR="00203F72" w:rsidRPr="00A53581">
        <w:t>驅逐出國案例為中心等兩篇文章中之部分範圍</w:t>
      </w:r>
      <w:r w:rsidR="00203F72" w:rsidRPr="00A53581">
        <w:t>(</w:t>
      </w:r>
      <w:r w:rsidR="00203F72" w:rsidRPr="00A53581">
        <w:t>侯夙芳講師約撰寫</w:t>
      </w:r>
      <w:r w:rsidR="00203F72" w:rsidRPr="00A53581">
        <w:t>4</w:t>
      </w:r>
      <w:r w:rsidR="00203F72" w:rsidRPr="00A53581">
        <w:t>萬餘字</w:t>
      </w:r>
      <w:r w:rsidR="00203F72" w:rsidRPr="00A53581">
        <w:t>)</w:t>
      </w:r>
      <w:r w:rsidR="00203F72" w:rsidRPr="00A53581">
        <w:t>；第四篇、憲法未來可行之發展方向，由柯雨瑞教授主筆。</w:t>
      </w:r>
    </w:p>
    <w:p w14:paraId="181ADCCC" w14:textId="77777777" w:rsidR="00953151" w:rsidRDefault="00E13106" w:rsidP="00D87D91">
      <w:pPr>
        <w:rPr>
          <w:rFonts w:ascii="新細明體" w:hAnsi="新細明體"/>
        </w:rPr>
      </w:pPr>
      <w:r>
        <w:rPr>
          <w:rFonts w:ascii="新細明體" w:hAnsi="新細明體"/>
        </w:rPr>
        <w:t xml:space="preserve">　　</w:t>
      </w:r>
      <w:r w:rsidR="00203F72" w:rsidRPr="00A53581">
        <w:rPr>
          <w:rFonts w:ascii="新細明體" w:hAnsi="新細明體"/>
        </w:rPr>
        <w:t>在</w:t>
      </w:r>
      <w:r w:rsidR="00203F72" w:rsidRPr="00A53581">
        <w:rPr>
          <w:rFonts w:ascii="新細明體" w:hAnsi="新細明體"/>
          <w:kern w:val="0"/>
        </w:rPr>
        <w:t>我國憲法未來可行之發展方向方面，本書共計提出以下之建言，供各界參考之用：</w:t>
      </w:r>
      <w:r w:rsidR="00203F72" w:rsidRPr="00A53581">
        <w:rPr>
          <w:rFonts w:hint="eastAsia"/>
        </w:rPr>
        <w:t>1</w:t>
      </w:r>
      <w:r w:rsidR="00203F72" w:rsidRPr="00A53581">
        <w:rPr>
          <w:rFonts w:hint="eastAsia"/>
        </w:rPr>
        <w:t>、重新制定適合於台灣地區之暫行（臨時）憲法；</w:t>
      </w:r>
      <w:r w:rsidR="00203F72" w:rsidRPr="00A53581">
        <w:rPr>
          <w:rFonts w:hint="eastAsia"/>
        </w:rPr>
        <w:t>2</w:t>
      </w:r>
      <w:r w:rsidR="00203F72" w:rsidRPr="00A53581">
        <w:rPr>
          <w:rFonts w:hint="eastAsia"/>
        </w:rPr>
        <w:t>、憲法序言宜闡明我國負有國際上之責任與義務；</w:t>
      </w:r>
      <w:r w:rsidR="00203F72" w:rsidRPr="00A53581">
        <w:rPr>
          <w:rFonts w:hint="eastAsia"/>
        </w:rPr>
        <w:t>3</w:t>
      </w:r>
      <w:r w:rsidR="00203F72" w:rsidRPr="00A53581">
        <w:rPr>
          <w:rFonts w:hint="eastAsia"/>
        </w:rPr>
        <w:t>、憲法宜明文規範「中華民國」係為一個擁有主權自主且獨立之國家；</w:t>
      </w:r>
      <w:r w:rsidR="00203F72" w:rsidRPr="00A53581">
        <w:rPr>
          <w:rFonts w:hint="eastAsia"/>
        </w:rPr>
        <w:t>4</w:t>
      </w:r>
      <w:r w:rsidR="00203F72" w:rsidRPr="00A53581">
        <w:rPr>
          <w:rFonts w:hint="eastAsia"/>
        </w:rPr>
        <w:t>、憲法宜增列對於「人性尊嚴」之尊重與保障之規定；</w:t>
      </w:r>
      <w:r w:rsidR="00203F72" w:rsidRPr="00A53581">
        <w:rPr>
          <w:rFonts w:hint="eastAsia"/>
        </w:rPr>
        <w:t>5</w:t>
      </w:r>
      <w:r w:rsidR="00203F72" w:rsidRPr="00A53581">
        <w:rPr>
          <w:rFonts w:hint="eastAsia"/>
        </w:rPr>
        <w:t>、將國際人權法典之人權內涵與精神適切地融入（注入）我國憲法之中；</w:t>
      </w:r>
      <w:r w:rsidR="00203F72" w:rsidRPr="00A53581">
        <w:rPr>
          <w:rFonts w:hint="eastAsia"/>
        </w:rPr>
        <w:t>6</w:t>
      </w:r>
      <w:r w:rsidR="00203F72" w:rsidRPr="00A53581">
        <w:rPr>
          <w:rFonts w:hint="eastAsia"/>
        </w:rPr>
        <w:t>、我國憲法宜比照民主先進國家之立憲例，明文規範「廢止死刑」；</w:t>
      </w:r>
      <w:r w:rsidR="00203F72" w:rsidRPr="00A53581">
        <w:rPr>
          <w:rFonts w:hint="eastAsia"/>
        </w:rPr>
        <w:t>7</w:t>
      </w:r>
      <w:r w:rsidR="00203F72" w:rsidRPr="00A53581">
        <w:rPr>
          <w:rFonts w:hint="eastAsia"/>
        </w:rPr>
        <w:t>、保障人類胚胎之生命權及生存權；</w:t>
      </w:r>
      <w:r w:rsidR="00203F72" w:rsidRPr="00A53581">
        <w:rPr>
          <w:rFonts w:hint="eastAsia"/>
        </w:rPr>
        <w:t>8</w:t>
      </w:r>
      <w:r w:rsidR="00203F72" w:rsidRPr="00A53581">
        <w:rPr>
          <w:rFonts w:hint="eastAsia"/>
        </w:rPr>
        <w:t>、我國憲法是否賦予同性戀者之婚姻權與家庭權，尚待進一步地評估與討論；</w:t>
      </w:r>
      <w:r w:rsidR="00203F72" w:rsidRPr="00A53581">
        <w:rPr>
          <w:rFonts w:hint="eastAsia"/>
        </w:rPr>
        <w:t>9</w:t>
      </w:r>
      <w:r w:rsidR="00203F72" w:rsidRPr="00A53581">
        <w:rPr>
          <w:rFonts w:hint="eastAsia"/>
        </w:rPr>
        <w:t>、安樂死不應被合憲化與合法化；</w:t>
      </w:r>
      <w:r w:rsidR="00203F72" w:rsidRPr="00A53581">
        <w:rPr>
          <w:rFonts w:hint="eastAsia"/>
        </w:rPr>
        <w:t>10</w:t>
      </w:r>
      <w:r w:rsidR="00203F72" w:rsidRPr="00A53581">
        <w:rPr>
          <w:rFonts w:hint="eastAsia"/>
        </w:rPr>
        <w:t>、賦予國民憲法上之「抵抗權」</w:t>
      </w:r>
      <w:r w:rsidR="00203F72" w:rsidRPr="00A53581">
        <w:rPr>
          <w:rFonts w:hint="eastAsia"/>
        </w:rPr>
        <w:t>(RIGHT OF RESISTANCE)</w:t>
      </w:r>
      <w:r w:rsidR="00203F72" w:rsidRPr="00A53581">
        <w:rPr>
          <w:rFonts w:hint="eastAsia"/>
        </w:rPr>
        <w:t>；</w:t>
      </w:r>
      <w:r w:rsidR="00203F72" w:rsidRPr="00A53581">
        <w:rPr>
          <w:rFonts w:hint="eastAsia"/>
        </w:rPr>
        <w:t>11</w:t>
      </w:r>
      <w:r w:rsidR="00203F72" w:rsidRPr="00A53581">
        <w:rPr>
          <w:rFonts w:hint="eastAsia"/>
        </w:rPr>
        <w:t>、我國憲法宜明文地保障「發展權」</w:t>
      </w:r>
      <w:r w:rsidR="00203F72" w:rsidRPr="00A53581">
        <w:rPr>
          <w:rFonts w:hint="eastAsia"/>
        </w:rPr>
        <w:t>(DEVELOPMENT RIGHTS)</w:t>
      </w:r>
      <w:r w:rsidR="00203F72" w:rsidRPr="00A53581">
        <w:rPr>
          <w:rFonts w:hint="eastAsia"/>
        </w:rPr>
        <w:t>；</w:t>
      </w:r>
      <w:r w:rsidR="00203F72" w:rsidRPr="00A53581">
        <w:rPr>
          <w:rFonts w:hint="eastAsia"/>
        </w:rPr>
        <w:t>12</w:t>
      </w:r>
      <w:r w:rsidR="00203F72" w:rsidRPr="00A53581">
        <w:rPr>
          <w:rFonts w:hint="eastAsia"/>
        </w:rPr>
        <w:t>、我國憲法宜明文地保障「資訊自由權」</w:t>
      </w:r>
      <w:r w:rsidR="00203F72" w:rsidRPr="00A53581">
        <w:rPr>
          <w:rFonts w:hint="eastAsia"/>
        </w:rPr>
        <w:t xml:space="preserve"> (FREEDOM OF INFORMATION)</w:t>
      </w:r>
      <w:r w:rsidR="00203F72" w:rsidRPr="00A53581">
        <w:rPr>
          <w:rFonts w:hint="eastAsia"/>
        </w:rPr>
        <w:t>；</w:t>
      </w:r>
      <w:r w:rsidR="00203F72" w:rsidRPr="00A53581">
        <w:rPr>
          <w:rFonts w:hint="eastAsia"/>
        </w:rPr>
        <w:t>13</w:t>
      </w:r>
      <w:r w:rsidR="00203F72" w:rsidRPr="00A53581">
        <w:rPr>
          <w:rFonts w:hint="eastAsia"/>
        </w:rPr>
        <w:t>、我國憲法在「平等權」之保障部分宜更加完整化；</w:t>
      </w:r>
      <w:r w:rsidR="00203F72" w:rsidRPr="00A53581">
        <w:rPr>
          <w:rFonts w:hint="eastAsia"/>
        </w:rPr>
        <w:t>14</w:t>
      </w:r>
      <w:r w:rsidR="00203F72" w:rsidRPr="00A53581">
        <w:rPr>
          <w:rFonts w:hint="eastAsia"/>
        </w:rPr>
        <w:t>、我國憲法宜明文規範人民之權益，受到法律之明確性保障而享有「被審理權」、「聽證權」、「被裁決權」、「接收裁決書權」與「上訴權」；</w:t>
      </w:r>
      <w:r w:rsidR="00203F72" w:rsidRPr="00A53581">
        <w:rPr>
          <w:rFonts w:hint="eastAsia"/>
        </w:rPr>
        <w:t>15</w:t>
      </w:r>
      <w:r w:rsidR="00203F72" w:rsidRPr="00A53581">
        <w:rPr>
          <w:rFonts w:hint="eastAsia"/>
        </w:rPr>
        <w:t>、人民集會與遊行，無須事前申請許可；</w:t>
      </w:r>
      <w:r w:rsidR="00203F72" w:rsidRPr="00A53581">
        <w:rPr>
          <w:rFonts w:hint="eastAsia"/>
        </w:rPr>
        <w:t>16</w:t>
      </w:r>
      <w:r w:rsidR="00203F72" w:rsidRPr="00A53581">
        <w:rPr>
          <w:rFonts w:hint="eastAsia"/>
        </w:rPr>
        <w:t>、憲法宜明文保障「正當法律程序」；</w:t>
      </w:r>
      <w:r w:rsidR="00203F72" w:rsidRPr="00A53581">
        <w:rPr>
          <w:rFonts w:hint="eastAsia"/>
        </w:rPr>
        <w:t>17</w:t>
      </w:r>
      <w:r w:rsidR="00203F72" w:rsidRPr="00A53581">
        <w:rPr>
          <w:rFonts w:hint="eastAsia"/>
        </w:rPr>
        <w:t>、賦予並保障外來人口出入國、居留、遷徙自由、選擇住所自由及不遭受違法驅逐出國之權利；</w:t>
      </w:r>
      <w:r w:rsidR="00203F72" w:rsidRPr="00A53581">
        <w:rPr>
          <w:rFonts w:hint="eastAsia"/>
        </w:rPr>
        <w:t>18</w:t>
      </w:r>
      <w:r w:rsidR="00203F72" w:rsidRPr="00A53581">
        <w:rPr>
          <w:rFonts w:hint="eastAsia"/>
        </w:rPr>
        <w:t>、站在憲法之高度與位階，積極保障人類胎兒之生命權及生存權；</w:t>
      </w:r>
      <w:r w:rsidR="00203F72" w:rsidRPr="00A53581">
        <w:rPr>
          <w:rFonts w:hint="eastAsia"/>
        </w:rPr>
        <w:t>19</w:t>
      </w:r>
      <w:r w:rsidR="00203F72" w:rsidRPr="00A53581">
        <w:rPr>
          <w:rFonts w:hint="eastAsia"/>
        </w:rPr>
        <w:t>、「外來人口」與本國人享有同等之人身自由保障；</w:t>
      </w:r>
      <w:r w:rsidR="00203F72" w:rsidRPr="00A53581">
        <w:rPr>
          <w:rFonts w:hint="eastAsia"/>
        </w:rPr>
        <w:t>20</w:t>
      </w:r>
      <w:r w:rsidR="00203F72" w:rsidRPr="00A53581">
        <w:rPr>
          <w:rFonts w:hint="eastAsia"/>
        </w:rPr>
        <w:t>、我國憲法實宜賦予外來人口享有「政治上庇護權」</w:t>
      </w:r>
      <w:r w:rsidR="00203F72" w:rsidRPr="00A53581">
        <w:rPr>
          <w:rFonts w:hint="eastAsia"/>
        </w:rPr>
        <w:t>(RIGHT OF ASYLUM)</w:t>
      </w:r>
      <w:r w:rsidR="00203F72" w:rsidRPr="00A53581">
        <w:rPr>
          <w:rFonts w:hint="eastAsia"/>
        </w:rPr>
        <w:t>；</w:t>
      </w:r>
      <w:r w:rsidR="00203F72" w:rsidRPr="00A53581">
        <w:rPr>
          <w:rFonts w:hint="eastAsia"/>
        </w:rPr>
        <w:t>21</w:t>
      </w:r>
      <w:r w:rsidR="00203F72" w:rsidRPr="00A53581">
        <w:rPr>
          <w:rFonts w:hint="eastAsia"/>
        </w:rPr>
        <w:t>、外國人所享有之權利與應盡之義務，宜於憲法之中，與本國公民作非常明確之切割，並明文規範之；</w:t>
      </w:r>
      <w:r w:rsidR="00203F72" w:rsidRPr="00A53581">
        <w:rPr>
          <w:rFonts w:hint="eastAsia"/>
        </w:rPr>
        <w:t>22</w:t>
      </w:r>
      <w:r w:rsidR="00203F72" w:rsidRPr="00A53581">
        <w:rPr>
          <w:rFonts w:hint="eastAsia"/>
        </w:rPr>
        <w:t>、對婦女人權之具體保障內容、射程與範圍，宜入憲化；</w:t>
      </w:r>
      <w:r w:rsidR="00203F72" w:rsidRPr="00A53581">
        <w:rPr>
          <w:rFonts w:hint="eastAsia"/>
        </w:rPr>
        <w:t>23</w:t>
      </w:r>
      <w:r w:rsidR="00203F72" w:rsidRPr="00A53581">
        <w:rPr>
          <w:rFonts w:hint="eastAsia"/>
        </w:rPr>
        <w:t>、對兒童人權之具體保障內容、射程與範圍，均宜入憲化</w:t>
      </w:r>
      <w:r w:rsidR="00203F72" w:rsidRPr="00A53581">
        <w:rPr>
          <w:rFonts w:hint="eastAsia"/>
        </w:rPr>
        <w:tab/>
      </w:r>
      <w:r w:rsidR="00203F72" w:rsidRPr="00A53581">
        <w:rPr>
          <w:rFonts w:hint="eastAsia"/>
        </w:rPr>
        <w:t>；</w:t>
      </w:r>
      <w:r w:rsidR="00203F72" w:rsidRPr="00A53581">
        <w:rPr>
          <w:rFonts w:hint="eastAsia"/>
        </w:rPr>
        <w:t>24</w:t>
      </w:r>
      <w:r w:rsidR="00203F72" w:rsidRPr="00A53581">
        <w:rPr>
          <w:rFonts w:hint="eastAsia"/>
        </w:rPr>
        <w:t>、憲法宜明文規範保障外國人工作權、工作條件及勞動基本權；</w:t>
      </w:r>
      <w:r w:rsidR="00203F72" w:rsidRPr="00A53581">
        <w:rPr>
          <w:rFonts w:hint="eastAsia"/>
        </w:rPr>
        <w:t>25</w:t>
      </w:r>
      <w:r w:rsidR="00203F72" w:rsidRPr="00A53581">
        <w:rPr>
          <w:rFonts w:hint="eastAsia"/>
        </w:rPr>
        <w:t>、憲法宜明文規範與保障已取得永久居留資格外國人享有政治上之選舉權與任公職權利；</w:t>
      </w:r>
      <w:r w:rsidR="00203F72" w:rsidRPr="00A53581">
        <w:rPr>
          <w:rFonts w:hint="eastAsia"/>
        </w:rPr>
        <w:t>26</w:t>
      </w:r>
      <w:r w:rsidR="00203F72" w:rsidRPr="00A53581">
        <w:rPr>
          <w:rFonts w:hint="eastAsia"/>
        </w:rPr>
        <w:t>、憲法宜明文保障「後世代權」</w:t>
      </w:r>
      <w:r w:rsidR="00203F72" w:rsidRPr="00A53581">
        <w:t>(RIGHT OF FUTURE GENERATIONS)</w:t>
      </w:r>
      <w:r w:rsidR="00203F72" w:rsidRPr="00A53581">
        <w:rPr>
          <w:rFonts w:hint="eastAsia"/>
        </w:rPr>
        <w:t>及「動物權」；</w:t>
      </w:r>
      <w:r w:rsidR="00203F72" w:rsidRPr="00A53581">
        <w:rPr>
          <w:rFonts w:hint="eastAsia"/>
        </w:rPr>
        <w:t>27</w:t>
      </w:r>
      <w:r w:rsidR="00203F72" w:rsidRPr="00A53581">
        <w:rPr>
          <w:rFonts w:hint="eastAsia"/>
        </w:rPr>
        <w:t>、憲法宜明定所有人民對於社會應承擔義務；</w:t>
      </w:r>
      <w:r w:rsidR="00203F72" w:rsidRPr="00A53581">
        <w:rPr>
          <w:rFonts w:hint="eastAsia"/>
        </w:rPr>
        <w:t>28</w:t>
      </w:r>
      <w:r w:rsidR="00203F72" w:rsidRPr="00A53581">
        <w:rPr>
          <w:rFonts w:hint="eastAsia"/>
        </w:rPr>
        <w:t>、建構一套將國際條約或國際法一般法律原則，轉化為國內法之機制；</w:t>
      </w:r>
      <w:r w:rsidR="00203F72" w:rsidRPr="00A53581">
        <w:rPr>
          <w:rFonts w:hint="eastAsia"/>
        </w:rPr>
        <w:t>29</w:t>
      </w:r>
      <w:r w:rsidR="00203F72" w:rsidRPr="00A53581">
        <w:rPr>
          <w:rFonts w:hint="eastAsia"/>
        </w:rPr>
        <w:t>、宜削弱總統之權力</w:t>
      </w:r>
      <w:r w:rsidR="00203F72" w:rsidRPr="00A53581">
        <w:t>；</w:t>
      </w:r>
      <w:r w:rsidR="00203F72" w:rsidRPr="00A53581">
        <w:rPr>
          <w:rFonts w:hint="eastAsia"/>
        </w:rPr>
        <w:t>30</w:t>
      </w:r>
      <w:r w:rsidR="00203F72" w:rsidRPr="00A53581">
        <w:rPr>
          <w:rFonts w:hint="eastAsia"/>
        </w:rPr>
        <w:t>、總統締結條約議案、公布法律或發布各式命令，均須經副總統副署；</w:t>
      </w:r>
      <w:r w:rsidR="00203F72" w:rsidRPr="00A53581">
        <w:rPr>
          <w:rFonts w:hint="eastAsia"/>
        </w:rPr>
        <w:t>31</w:t>
      </w:r>
      <w:r w:rsidR="00203F72" w:rsidRPr="00A53581">
        <w:rPr>
          <w:rFonts w:hint="eastAsia"/>
        </w:rPr>
        <w:t>、行政院院長之任命同意權，應回歸立法院；</w:t>
      </w:r>
      <w:r w:rsidR="00203F72" w:rsidRPr="00A53581">
        <w:rPr>
          <w:rFonts w:hint="eastAsia"/>
        </w:rPr>
        <w:t>32</w:t>
      </w:r>
      <w:r w:rsidR="00203F72" w:rsidRPr="00A53581">
        <w:rPr>
          <w:rFonts w:hint="eastAsia"/>
        </w:rPr>
        <w:t>、憲法宜增加立委名額；</w:t>
      </w:r>
      <w:r w:rsidR="00203F72" w:rsidRPr="00A53581">
        <w:rPr>
          <w:rFonts w:hint="eastAsia"/>
        </w:rPr>
        <w:t>33</w:t>
      </w:r>
      <w:r w:rsidR="00203F72" w:rsidRPr="00A53581">
        <w:rPr>
          <w:rFonts w:hint="eastAsia"/>
        </w:rPr>
        <w:t>、我國憲法宜明文規範國會對違法立法委員之處罰與除名機制；</w:t>
      </w:r>
      <w:r w:rsidR="00203F72" w:rsidRPr="00A53581">
        <w:rPr>
          <w:rFonts w:hint="eastAsia"/>
        </w:rPr>
        <w:t>34</w:t>
      </w:r>
      <w:r w:rsidR="00203F72" w:rsidRPr="00A53581">
        <w:rPr>
          <w:rFonts w:hint="eastAsia"/>
        </w:rPr>
        <w:t>、憲法宜降低彈劾</w:t>
      </w:r>
      <w:r w:rsidR="00203F72" w:rsidRPr="00A53581">
        <w:rPr>
          <w:rFonts w:hint="eastAsia"/>
        </w:rPr>
        <w:t>(IMPEACHMENT)</w:t>
      </w:r>
      <w:r w:rsidR="00203F72" w:rsidRPr="00A53581">
        <w:rPr>
          <w:rFonts w:hint="eastAsia"/>
        </w:rPr>
        <w:t>總統之門檻標準；</w:t>
      </w:r>
      <w:r w:rsidR="00203F72" w:rsidRPr="00A53581">
        <w:rPr>
          <w:rFonts w:hint="eastAsia"/>
        </w:rPr>
        <w:t>35</w:t>
      </w:r>
      <w:r w:rsidR="00203F72" w:rsidRPr="00A53581">
        <w:rPr>
          <w:rFonts w:hint="eastAsia"/>
        </w:rPr>
        <w:t>、大法官、考試委員及監察委員之人選，避免由總統提名；</w:t>
      </w:r>
      <w:r w:rsidR="00203F72" w:rsidRPr="00A53581">
        <w:rPr>
          <w:rFonts w:hint="eastAsia"/>
        </w:rPr>
        <w:t>36</w:t>
      </w:r>
      <w:r w:rsidR="00203F72" w:rsidRPr="00A53581">
        <w:rPr>
          <w:rFonts w:hint="eastAsia"/>
        </w:rPr>
        <w:t>、我國憲政體制仍宜保留五院制為佳</w:t>
      </w:r>
      <w:r w:rsidR="00203F72" w:rsidRPr="00A53581">
        <w:rPr>
          <w:rFonts w:hint="eastAsia"/>
        </w:rPr>
        <w:t>(</w:t>
      </w:r>
      <w:r w:rsidR="00203F72" w:rsidRPr="00A53581">
        <w:rPr>
          <w:rFonts w:hint="eastAsia"/>
        </w:rPr>
        <w:t>維續考試院及監察院</w:t>
      </w:r>
      <w:r w:rsidR="00203F72" w:rsidRPr="00A53581">
        <w:rPr>
          <w:rFonts w:hint="eastAsia"/>
        </w:rPr>
        <w:t>)</w:t>
      </w:r>
      <w:r w:rsidR="00203F72" w:rsidRPr="00A53581">
        <w:rPr>
          <w:rFonts w:hint="eastAsia"/>
        </w:rPr>
        <w:t>；</w:t>
      </w:r>
      <w:r w:rsidR="00203F72" w:rsidRPr="00A53581">
        <w:rPr>
          <w:rFonts w:hint="eastAsia"/>
        </w:rPr>
        <w:t>37</w:t>
      </w:r>
      <w:r w:rsidR="00203F72" w:rsidRPr="00A53581">
        <w:rPr>
          <w:rFonts w:hint="eastAsia"/>
        </w:rPr>
        <w:t>、憲法增修條文宜賦予監察委員具有言論免責權；</w:t>
      </w:r>
      <w:r w:rsidR="00203F72" w:rsidRPr="00A53581">
        <w:rPr>
          <w:rFonts w:hint="eastAsia"/>
        </w:rPr>
        <w:t>38</w:t>
      </w:r>
      <w:r w:rsidR="00203F72" w:rsidRPr="00A53581">
        <w:rPr>
          <w:rFonts w:hint="eastAsia"/>
        </w:rPr>
        <w:t>、我國憲法可比照德國基本法第</w:t>
      </w:r>
      <w:r w:rsidR="00203F72" w:rsidRPr="00A53581">
        <w:rPr>
          <w:rFonts w:hint="eastAsia"/>
        </w:rPr>
        <w:t>10</w:t>
      </w:r>
      <w:r w:rsidR="00203F72" w:rsidRPr="00A53581">
        <w:rPr>
          <w:rFonts w:hint="eastAsia"/>
        </w:rPr>
        <w:t>章財政專章之憲法規範，明文規範中央與地方政府關於財政收支之合理劃分機制；</w:t>
      </w:r>
      <w:r w:rsidR="00203F72" w:rsidRPr="00A53581">
        <w:rPr>
          <w:rFonts w:hint="eastAsia"/>
        </w:rPr>
        <w:t>39</w:t>
      </w:r>
      <w:r w:rsidR="00203F72" w:rsidRPr="00A53581">
        <w:rPr>
          <w:rFonts w:hint="eastAsia"/>
        </w:rPr>
        <w:t>、我國憲法宜將國防力量明文定位為「防衛型」及「正義型」之兵役用途</w:t>
      </w:r>
      <w:r w:rsidR="00203F72" w:rsidRPr="00A53581">
        <w:rPr>
          <w:rFonts w:hint="eastAsia"/>
        </w:rPr>
        <w:tab/>
      </w:r>
      <w:r w:rsidR="00203F72" w:rsidRPr="00A53581">
        <w:rPr>
          <w:rFonts w:hint="eastAsia"/>
        </w:rPr>
        <w:t>；</w:t>
      </w:r>
      <w:r w:rsidR="00203F72" w:rsidRPr="00A53581">
        <w:rPr>
          <w:rFonts w:hint="eastAsia"/>
        </w:rPr>
        <w:t>40</w:t>
      </w:r>
      <w:r w:rsidR="00203F72" w:rsidRPr="00A53581">
        <w:rPr>
          <w:rFonts w:hint="eastAsia"/>
        </w:rPr>
        <w:t>、婦女有從事民</w:t>
      </w:r>
      <w:r w:rsidR="00203F72" w:rsidRPr="00A53581">
        <w:rPr>
          <w:rFonts w:hint="eastAsia"/>
        </w:rPr>
        <w:lastRenderedPageBreak/>
        <w:t>事、衛生、醫護，但非第一線戰鬥性及攻擊性勤務之兵役義務；</w:t>
      </w:r>
      <w:r w:rsidR="00203F72" w:rsidRPr="00A53581">
        <w:rPr>
          <w:rFonts w:hint="eastAsia"/>
        </w:rPr>
        <w:t>41</w:t>
      </w:r>
      <w:r w:rsidR="00203F72" w:rsidRPr="00A53581">
        <w:rPr>
          <w:rFonts w:hint="eastAsia"/>
        </w:rPr>
        <w:t>、我國憲法宜承認蒙古國之國際法地位；</w:t>
      </w:r>
      <w:r w:rsidR="00203F72" w:rsidRPr="00A53581">
        <w:rPr>
          <w:rFonts w:hint="eastAsia"/>
        </w:rPr>
        <w:t>42</w:t>
      </w:r>
      <w:r w:rsidR="00203F72" w:rsidRPr="00A53581">
        <w:rPr>
          <w:rFonts w:hint="eastAsia"/>
        </w:rPr>
        <w:t>、基本國策宜新增若干項目</w:t>
      </w:r>
      <w:r w:rsidR="00203F72" w:rsidRPr="00A53581">
        <w:rPr>
          <w:rFonts w:hint="eastAsia"/>
        </w:rPr>
        <w:t>(</w:t>
      </w:r>
      <w:r w:rsidR="00203F72" w:rsidRPr="00A53581">
        <w:rPr>
          <w:rFonts w:hint="eastAsia"/>
        </w:rPr>
        <w:t>諸如：兩岸應和平發展，互蒙其利，並建立互信之政治與軍事機制</w:t>
      </w:r>
      <w:r w:rsidR="00203F72" w:rsidRPr="00A53581">
        <w:rPr>
          <w:rFonts w:hint="eastAsia"/>
        </w:rPr>
        <w:t>)</w:t>
      </w:r>
      <w:r w:rsidR="00203F72" w:rsidRPr="00A53581">
        <w:rPr>
          <w:rFonts w:hint="eastAsia"/>
        </w:rPr>
        <w:t>；</w:t>
      </w:r>
      <w:r w:rsidR="00203F72" w:rsidRPr="00A53581">
        <w:rPr>
          <w:rFonts w:hint="eastAsia"/>
        </w:rPr>
        <w:t>43</w:t>
      </w:r>
      <w:r w:rsidR="00203F72" w:rsidRPr="00A53581">
        <w:rPr>
          <w:rFonts w:hint="eastAsia"/>
        </w:rPr>
        <w:t>、區分為承平時期及國家遭遇緊急狀況時期之不同修憲機制；</w:t>
      </w:r>
      <w:r w:rsidR="00203F72" w:rsidRPr="00A53581">
        <w:rPr>
          <w:rFonts w:hint="eastAsia"/>
        </w:rPr>
        <w:t>44</w:t>
      </w:r>
      <w:r w:rsidR="00203F72" w:rsidRPr="00A53581">
        <w:rPr>
          <w:rFonts w:hint="eastAsia"/>
        </w:rPr>
        <w:t>、憲法條文分項內容之規範體例，宜加以數字化</w:t>
      </w:r>
      <w:r w:rsidR="00203F72" w:rsidRPr="00A53581">
        <w:rPr>
          <w:rFonts w:ascii="新細明體" w:hAnsi="新細明體"/>
        </w:rPr>
        <w:t>；</w:t>
      </w:r>
      <w:r w:rsidR="00203F72" w:rsidRPr="00A53581">
        <w:rPr>
          <w:rFonts w:ascii="新細明體" w:hAnsi="新細明體" w:hint="eastAsia"/>
        </w:rPr>
        <w:t>45、宜站在憲法之高度，保障刑事訴訟程序中，犯罪嫌疑人與被告之基本權利；46、憲法有關「人身自由權」與「身體權」保障之條文用語，宜再精進化與精準化。</w:t>
      </w:r>
    </w:p>
    <w:p w14:paraId="59953003" w14:textId="77777777" w:rsidR="00953151" w:rsidRDefault="00E13106" w:rsidP="00D87D91">
      <w:r>
        <w:t xml:space="preserve">　　</w:t>
      </w:r>
      <w:r w:rsidR="00203F72" w:rsidRPr="00A53581">
        <w:t>本書之完成，特別感謝以下尊貴的</w:t>
      </w:r>
      <w:r w:rsidR="00203F72" w:rsidRPr="00A53581">
        <w:rPr>
          <w:rFonts w:hint="eastAsia"/>
        </w:rPr>
        <w:t>(honorable)</w:t>
      </w:r>
      <w:r w:rsidR="00203F72" w:rsidRPr="00A53581">
        <w:t>與令人尊敬的</w:t>
      </w:r>
      <w:r w:rsidR="00203F72" w:rsidRPr="00A53581">
        <w:rPr>
          <w:rFonts w:hint="eastAsia"/>
        </w:rPr>
        <w:t>(respectable)</w:t>
      </w:r>
      <w:r w:rsidR="00203F72" w:rsidRPr="00A53581">
        <w:t>師長們之費心作序，本書兩位作者特別感謝</w:t>
      </w:r>
      <w:r w:rsidR="00203F72" w:rsidRPr="00A53581">
        <w:rPr>
          <w:rFonts w:hint="eastAsia"/>
        </w:rPr>
        <w:t>以下之</w:t>
      </w:r>
      <w:r w:rsidR="00203F72" w:rsidRPr="00A53581">
        <w:t>師長們：常律大和尚、從慈大法師、高哲翰副校長、章光明院長、陳明傳主任、吳東明教授與翁翠芳館長等人撥冗作序。由於您們之作序，於實質上，為本書提供更加廣泛、更全面、更深入、更詳盡與更周延之觀點，令作者能作更深層、多面向與多角度之再三思考與再修正。</w:t>
      </w:r>
    </w:p>
    <w:p w14:paraId="4B5FBBE1" w14:textId="77777777" w:rsidR="00953151" w:rsidRDefault="00E13106" w:rsidP="00D87D91">
      <w:r>
        <w:t xml:space="preserve">　　</w:t>
      </w:r>
      <w:r w:rsidR="00203F72" w:rsidRPr="00A53581">
        <w:t>此外，作者亦要再次</w:t>
      </w:r>
      <w:r w:rsidR="00203F72" w:rsidRPr="00A53581">
        <w:rPr>
          <w:kern w:val="0"/>
        </w:rPr>
        <w:t>特別向曾經給予作者</w:t>
      </w:r>
      <w:r w:rsidR="00203F72" w:rsidRPr="00A53581">
        <w:t>指導與協助之人，致上十二萬分之謝意，諸如：中央警察大學犯罪防治研究所郭教授佩棻</w:t>
      </w:r>
      <w:r w:rsidR="00203F72" w:rsidRPr="00A53581">
        <w:t xml:space="preserve"> (</w:t>
      </w:r>
      <w:r w:rsidR="00203F72" w:rsidRPr="00A53581">
        <w:t>郭教授學歷：美國德州農工大學土木工程研究所博士；郭教授專長：空間統計和</w:t>
      </w:r>
      <w:r w:rsidR="00203F72" w:rsidRPr="00A53581">
        <w:t>GIS</w:t>
      </w:r>
      <w:r w:rsidR="00203F72" w:rsidRPr="00A53581">
        <w:t>應用、資料探勘、警察派遣管理、安全和風險分析、貝氏統計、時間序列</w:t>
      </w:r>
      <w:r w:rsidR="00203F72" w:rsidRPr="00A53581">
        <w:t>)</w:t>
      </w:r>
      <w:r w:rsidR="00203F72" w:rsidRPr="00A53581">
        <w:t>，給予本書統計上的解說與指導。本書在撰寫的過程之中，由於遇到若干統計上的困難與問題，作者先行向郭佩棻教授請益與學習所遭遇到之若干統計上的困難與問題，經作者正確瞭解之後，先撰寫若干的部分，再由郭佩棻教授修改與確認所撰寫的統計內容是否無誤？經由郭佩棻教授指導與修正之後，再由作者繼續撰寫未完成之內容，力求內容的正確性。本書之作者，再次對於郭佩棻教授表達十二萬分之誠摯謝意。</w:t>
      </w:r>
    </w:p>
    <w:p w14:paraId="32B789F2" w14:textId="77777777" w:rsidR="00953151" w:rsidRDefault="00E13106" w:rsidP="00D87D91">
      <w:r>
        <w:t xml:space="preserve">　　</w:t>
      </w:r>
      <w:r w:rsidR="00203F72" w:rsidRPr="00A53581">
        <w:t>另外，本書之作者，亦要特別感謝以下人士之學術上與行政上之指導與協助</w:t>
      </w:r>
      <w:r w:rsidR="00203F72" w:rsidRPr="00A53581">
        <w:t>(</w:t>
      </w:r>
      <w:r w:rsidR="00203F72" w:rsidRPr="00A53581">
        <w:t>按姓名之筆劃順序加以排列</w:t>
      </w:r>
      <w:r w:rsidR="00203F72" w:rsidRPr="00A53581">
        <w:t>)</w:t>
      </w:r>
      <w:r w:rsidR="00203F72" w:rsidRPr="00A53581">
        <w:t>：中央警察大學國境警察學系之傑出與優質之老師們、王士帆教授</w:t>
      </w:r>
      <w:r w:rsidR="00203F72" w:rsidRPr="00A53581">
        <w:t>(</w:t>
      </w:r>
      <w:r w:rsidR="00203F72" w:rsidRPr="00A53581">
        <w:t>成大法研所</w:t>
      </w:r>
      <w:r w:rsidR="00203F72" w:rsidRPr="00A53581">
        <w:t>)</w:t>
      </w:r>
      <w:r w:rsidR="00203F72" w:rsidRPr="00A53581">
        <w:t>、王寬弘教授</w:t>
      </w:r>
      <w:r w:rsidR="00203F72" w:rsidRPr="00A53581">
        <w:t>(</w:t>
      </w:r>
      <w:r w:rsidR="00203F72" w:rsidRPr="00A53581">
        <w:t>警大國境系</w:t>
      </w:r>
      <w:r w:rsidR="00203F72" w:rsidRPr="00A53581">
        <w:t>)</w:t>
      </w:r>
      <w:r w:rsidR="00203F72" w:rsidRPr="00A53581">
        <w:t>、正蓮師姐</w:t>
      </w:r>
      <w:r w:rsidR="00203F72" w:rsidRPr="00A53581">
        <w:t>(</w:t>
      </w:r>
      <w:r w:rsidR="00203F72" w:rsidRPr="00A53581">
        <w:t>正德佛堂</w:t>
      </w:r>
      <w:r w:rsidR="00203F72" w:rsidRPr="00A53581">
        <w:t>)</w:t>
      </w:r>
      <w:r w:rsidR="00203F72" w:rsidRPr="00A53581">
        <w:t>、周慶東教授</w:t>
      </w:r>
      <w:r w:rsidR="00203F72" w:rsidRPr="00A53581">
        <w:t>(</w:t>
      </w:r>
      <w:r w:rsidR="00203F72" w:rsidRPr="00A53581">
        <w:t>警大法研所</w:t>
      </w:r>
      <w:r w:rsidR="00203F72" w:rsidRPr="00A53581">
        <w:t>)</w:t>
      </w:r>
      <w:r w:rsidR="00203F72" w:rsidRPr="00A53581">
        <w:t>、林佩萱小姐、林弘傑副隊長</w:t>
      </w:r>
      <w:r w:rsidR="00203F72" w:rsidRPr="00A53581">
        <w:t>(</w:t>
      </w:r>
      <w:r w:rsidR="00203F72" w:rsidRPr="00A53581">
        <w:t>移民署國境事務大隊</w:t>
      </w:r>
      <w:r w:rsidR="00203F72" w:rsidRPr="00A53581">
        <w:t>)</w:t>
      </w:r>
      <w:r w:rsidR="00203F72" w:rsidRPr="00A53581">
        <w:t>、洪文玲教授</w:t>
      </w:r>
      <w:r w:rsidR="00203F72" w:rsidRPr="00A53581">
        <w:t>(</w:t>
      </w:r>
      <w:r w:rsidR="00203F72" w:rsidRPr="00A53581">
        <w:t>警大警察政策研究所前所長</w:t>
      </w:r>
      <w:r w:rsidR="00203F72" w:rsidRPr="00A53581">
        <w:t>)</w:t>
      </w:r>
      <w:r w:rsidR="00203F72" w:rsidRPr="00A53581">
        <w:t>、柯智虔先生</w:t>
      </w:r>
      <w:r w:rsidR="00203F72" w:rsidRPr="00A53581">
        <w:rPr>
          <w:rFonts w:hint="eastAsia"/>
        </w:rPr>
        <w:t>、</w:t>
      </w:r>
      <w:r w:rsidR="00203F72" w:rsidRPr="00A53581">
        <w:t>梁添盛教授</w:t>
      </w:r>
      <w:r w:rsidR="00203F72" w:rsidRPr="00A53581">
        <w:t>(</w:t>
      </w:r>
      <w:r w:rsidR="00203F72" w:rsidRPr="00A53581">
        <w:t>警大法研所前所長、警大警察政策研究所</w:t>
      </w:r>
      <w:r w:rsidR="00203F72" w:rsidRPr="00A53581">
        <w:t>)</w:t>
      </w:r>
      <w:r w:rsidR="00203F72" w:rsidRPr="00A53581">
        <w:t>、移民署相關之長官與前輩等人、郭志裕博士、陳家福教官</w:t>
      </w:r>
      <w:r w:rsidR="00203F72" w:rsidRPr="00A53581">
        <w:t>(</w:t>
      </w:r>
      <w:r w:rsidR="00203F72" w:rsidRPr="00A53581">
        <w:t>警大交通系</w:t>
      </w:r>
      <w:r w:rsidR="00203F72" w:rsidRPr="00A53581">
        <w:t>)</w:t>
      </w:r>
      <w:r w:rsidR="00203F72" w:rsidRPr="00A53581">
        <w:t>、陳秀花女士、陳豔紅教授</w:t>
      </w:r>
      <w:r w:rsidR="00203F72" w:rsidRPr="00A53581">
        <w:t>(</w:t>
      </w:r>
      <w:r w:rsidR="00203F72" w:rsidRPr="00A53581">
        <w:t>警大通識教育中心</w:t>
      </w:r>
      <w:r w:rsidR="00203F72" w:rsidRPr="00A53581">
        <w:rPr>
          <w:rFonts w:hint="eastAsia"/>
        </w:rPr>
        <w:t>前主任</w:t>
      </w:r>
      <w:r w:rsidR="00203F72" w:rsidRPr="00A53581">
        <w:t>)</w:t>
      </w:r>
      <w:r w:rsidR="00203F72" w:rsidRPr="00A53581">
        <w:t>、陳色美女士、陳素珍師母</w:t>
      </w:r>
      <w:r w:rsidR="00203F72" w:rsidRPr="00A53581">
        <w:t>(</w:t>
      </w:r>
      <w:r w:rsidR="00203F72" w:rsidRPr="00A53581">
        <w:t>警大國境系</w:t>
      </w:r>
      <w:r w:rsidR="00203F72" w:rsidRPr="00A53581">
        <w:t>)</w:t>
      </w:r>
      <w:r w:rsidR="00203F72" w:rsidRPr="00A53581">
        <w:t>、葉毓蘭教授</w:t>
      </w:r>
      <w:r w:rsidR="00203F72" w:rsidRPr="00A53581">
        <w:t>(</w:t>
      </w:r>
      <w:r w:rsidR="00203F72" w:rsidRPr="00A53581">
        <w:t>警大警察政策研究所前所長</w:t>
      </w:r>
      <w:r w:rsidR="00203F72" w:rsidRPr="00A53581">
        <w:t>)</w:t>
      </w:r>
      <w:r w:rsidR="00203F72" w:rsidRPr="00A53581">
        <w:t>、詹雪雍警官</w:t>
      </w:r>
      <w:r w:rsidR="00203F72" w:rsidRPr="00A53581">
        <w:t>(</w:t>
      </w:r>
      <w:r w:rsidR="00203F72" w:rsidRPr="00A53581">
        <w:t>宜蘭縣警察局</w:t>
      </w:r>
      <w:r w:rsidR="00203F72" w:rsidRPr="00A53581">
        <w:t>)</w:t>
      </w:r>
      <w:r w:rsidR="00203F72" w:rsidRPr="00A53581">
        <w:t>、演音法師</w:t>
      </w:r>
      <w:r w:rsidR="00203F72" w:rsidRPr="00A53581">
        <w:t>(</w:t>
      </w:r>
      <w:r w:rsidR="00203F72" w:rsidRPr="00A53581">
        <w:t>正德佛堂</w:t>
      </w:r>
      <w:r w:rsidR="00203F72" w:rsidRPr="00A53581">
        <w:t>)</w:t>
      </w:r>
      <w:r w:rsidR="00203F72" w:rsidRPr="00A53581">
        <w:t>、劉嘉發教授</w:t>
      </w:r>
      <w:r w:rsidR="00203F72" w:rsidRPr="00A53581">
        <w:t>(</w:t>
      </w:r>
      <w:r w:rsidR="00203F72" w:rsidRPr="00A53581">
        <w:t>警大公關室前主任、警大警察政策研究所</w:t>
      </w:r>
      <w:r w:rsidR="00203F72" w:rsidRPr="00A53581">
        <w:t>)</w:t>
      </w:r>
      <w:r w:rsidR="00203F72" w:rsidRPr="00A53581">
        <w:t>、由樊秋蘭女士所帶領之廣益打字行之卓越、認真、優質與優秀之工作夥伴們、德慧法師</w:t>
      </w:r>
      <w:r w:rsidR="00203F72" w:rsidRPr="00A53581">
        <w:t>(</w:t>
      </w:r>
      <w:r w:rsidR="00203F72" w:rsidRPr="00A53581">
        <w:t>龍泉寺</w:t>
      </w:r>
      <w:r w:rsidR="00203F72" w:rsidRPr="00A53581">
        <w:t>)</w:t>
      </w:r>
      <w:r w:rsidR="00203F72" w:rsidRPr="00A53581">
        <w:t>、蔡田木教授</w:t>
      </w:r>
      <w:r w:rsidR="00203F72" w:rsidRPr="00A53581">
        <w:t>(</w:t>
      </w:r>
      <w:r w:rsidR="00203F72" w:rsidRPr="00A53581">
        <w:t>警大通識教育中心前主任、現為警大犯防所所長</w:t>
      </w:r>
      <w:r w:rsidR="00203F72" w:rsidRPr="00A53581">
        <w:t>)</w:t>
      </w:r>
      <w:r w:rsidR="00203F72" w:rsidRPr="00A53581">
        <w:t>、蔡庭榕教授</w:t>
      </w:r>
      <w:r w:rsidR="00203F72" w:rsidRPr="00A53581">
        <w:t>(</w:t>
      </w:r>
      <w:r w:rsidR="00203F72" w:rsidRPr="00A53581">
        <w:t>警大法研所前所長、警大犯防所</w:t>
      </w:r>
      <w:r w:rsidR="00203F72" w:rsidRPr="00A53581">
        <w:t>)</w:t>
      </w:r>
      <w:r w:rsidR="00203F72" w:rsidRPr="00A53581">
        <w:t>、鄭善印教授</w:t>
      </w:r>
      <w:r w:rsidR="00203F72" w:rsidRPr="00A53581">
        <w:t>(</w:t>
      </w:r>
      <w:r w:rsidR="00203F72" w:rsidRPr="00A53581">
        <w:t>警大警察政策研究所前所長、開南大學法律系</w:t>
      </w:r>
      <w:r w:rsidR="00203F72" w:rsidRPr="00A53581">
        <w:t>)</w:t>
      </w:r>
      <w:r w:rsidR="00203F72" w:rsidRPr="00A53581">
        <w:t>、蕭智仁老闆</w:t>
      </w:r>
      <w:r w:rsidR="00203F72" w:rsidRPr="00A53581">
        <w:t>(</w:t>
      </w:r>
      <w:r w:rsidR="00203F72" w:rsidRPr="00A53581">
        <w:t>昌明影印行</w:t>
      </w:r>
      <w:r w:rsidR="00203F72" w:rsidRPr="00A53581">
        <w:t>)</w:t>
      </w:r>
      <w:r w:rsidR="00203F72" w:rsidRPr="00A53581">
        <w:t>、簡茂榮先生、簡建章教官、簡瑞昌秘書</w:t>
      </w:r>
      <w:r w:rsidR="00203F72" w:rsidRPr="00A53581">
        <w:t>(</w:t>
      </w:r>
      <w:r w:rsidR="00203F72" w:rsidRPr="00A53581">
        <w:t>警大學務處</w:t>
      </w:r>
      <w:r w:rsidR="00203F72" w:rsidRPr="00A53581">
        <w:t>)</w:t>
      </w:r>
      <w:r w:rsidR="00203F72" w:rsidRPr="00A53581">
        <w:t>等人。由於您們之指導與協助，對於本書提供高度建設性之貢獻，作者再次誠摯地感謝您們之指導與協助，並向您們致上最高的敬意與謝意。</w:t>
      </w:r>
    </w:p>
    <w:p w14:paraId="4633CF46" w14:textId="77777777" w:rsidR="00953151" w:rsidRDefault="00E13106" w:rsidP="00D87D91">
      <w:r>
        <w:t xml:space="preserve">　　</w:t>
      </w:r>
      <w:r w:rsidR="00203F72" w:rsidRPr="00A53581">
        <w:t>再者，本書亦要特別感謝中央警察大學外事警察研究所孟維德教授（警大外事所前所長）與李宗勳所長（警大行管所前所長）之心理層面之鼓勵，感謝您們之加油、打氣與支持。其中，李宗勳所長亦曾對本書提供若干之建言，諸如：考試院考試委員之提名機制與其弊端之議題，在此，作者亦特別感謝中央警察大學外事警察研究所李宗勳所長之寶貴意見，與經驗分享，令作者能作更詳盡之研究、反思與剖析。</w:t>
      </w:r>
    </w:p>
    <w:p w14:paraId="4CA37969" w14:textId="77777777" w:rsidR="00203F72" w:rsidRPr="00A53581" w:rsidRDefault="00E13106" w:rsidP="00D87D91">
      <w:r>
        <w:t xml:space="preserve">　　</w:t>
      </w:r>
      <w:r w:rsidR="00203F72" w:rsidRPr="00A53581">
        <w:t>同時，本書之作者，以非常誠摯之心，感謝中央警察大學國境警察學系</w:t>
      </w:r>
      <w:r w:rsidR="00203F72" w:rsidRPr="00A53581">
        <w:t>801</w:t>
      </w:r>
      <w:r w:rsidR="00203F72" w:rsidRPr="00A53581">
        <w:t>移民組許晉豪先生，與</w:t>
      </w:r>
      <w:r w:rsidR="00203F72" w:rsidRPr="00A53581">
        <w:t>831</w:t>
      </w:r>
      <w:r w:rsidR="00203F72" w:rsidRPr="00A53581">
        <w:t>移民組朱柏翰先生，兩位先生均相當優秀與負責，非常熱心地、認真地及細心地，協助作者製作與編輯相關之憲法圖解表格，一併致謝。</w:t>
      </w:r>
    </w:p>
    <w:p w14:paraId="367587D6" w14:textId="77777777" w:rsidR="00953151" w:rsidRDefault="00E13106" w:rsidP="00D87D91">
      <w:r>
        <w:t xml:space="preserve">　　</w:t>
      </w:r>
      <w:r w:rsidR="00203F72" w:rsidRPr="00A53581">
        <w:t>本書之能夠順利再版，亦相當感謝國家圖書館「電子書刊送存閱覽服務系統</w:t>
      </w:r>
      <w:r w:rsidR="00203F72" w:rsidRPr="00A53581">
        <w:t>(EPS)</w:t>
      </w:r>
      <w:r w:rsidR="00203F72" w:rsidRPr="00A53581">
        <w:t>」部門之相關主管、承辦與工作人員，諸如：魏家惠小姐等人，從旁給予協助與指導，令本書能完成上網取得</w:t>
      </w:r>
      <w:r w:rsidR="00203F72" w:rsidRPr="00A53581">
        <w:t>ISBN</w:t>
      </w:r>
      <w:r w:rsidR="00203F72" w:rsidRPr="00A53581">
        <w:t>碼、編碼及相關「電子書刊送存閱覽服務系統</w:t>
      </w:r>
      <w:r w:rsidR="00203F72" w:rsidRPr="00A53581">
        <w:t>(EPS)</w:t>
      </w:r>
      <w:r w:rsidR="00203F72" w:rsidRPr="00A53581">
        <w:t>」作業之工作，在此，特別致上十二萬分感謝之意。</w:t>
      </w:r>
    </w:p>
    <w:p w14:paraId="55E8FCA6" w14:textId="77777777" w:rsidR="00953151" w:rsidRDefault="00E13106" w:rsidP="00D87D91">
      <w:r>
        <w:t xml:space="preserve">　　</w:t>
      </w:r>
      <w:r w:rsidR="00203F72" w:rsidRPr="00A53581">
        <w:t>因本書原訂預計出版之時間</w:t>
      </w:r>
      <w:r w:rsidR="00203F72" w:rsidRPr="00A53581">
        <w:rPr>
          <w:rFonts w:hint="eastAsia"/>
        </w:rPr>
        <w:t>(</w:t>
      </w:r>
      <w:r w:rsidR="00203F72" w:rsidRPr="00A53581">
        <w:t>完成上網取得</w:t>
      </w:r>
      <w:r w:rsidR="00203F72" w:rsidRPr="00A53581">
        <w:t>ISBN</w:t>
      </w:r>
      <w:r w:rsidR="00203F72" w:rsidRPr="00A53581">
        <w:t>碼之時間</w:t>
      </w:r>
      <w:r w:rsidR="00203F72" w:rsidRPr="00A53581">
        <w:rPr>
          <w:rFonts w:hint="eastAsia"/>
        </w:rPr>
        <w:t>)</w:t>
      </w:r>
      <w:r w:rsidR="00203F72" w:rsidRPr="00A53581">
        <w:t>，係為</w:t>
      </w:r>
      <w:r w:rsidR="00203F72" w:rsidRPr="00A53581">
        <w:t>2015</w:t>
      </w:r>
      <w:r w:rsidR="00203F72" w:rsidRPr="00A53581">
        <w:t>年</w:t>
      </w:r>
      <w:r w:rsidR="00203F72" w:rsidRPr="00A53581">
        <w:t>04</w:t>
      </w:r>
      <w:r w:rsidR="00203F72" w:rsidRPr="00A53581">
        <w:t>月，</w:t>
      </w:r>
      <w:r w:rsidR="00203F72" w:rsidRPr="00A53581">
        <w:lastRenderedPageBreak/>
        <w:t>但因兩位作者持續一直增加新內容，導致延後</w:t>
      </w:r>
      <w:r w:rsidR="00203F72" w:rsidRPr="00A53581">
        <w:rPr>
          <w:rFonts w:hint="eastAsia"/>
        </w:rPr>
        <w:t>4</w:t>
      </w:r>
      <w:r w:rsidR="00203F72" w:rsidRPr="00A53581">
        <w:t>個月，始正式出版</w:t>
      </w:r>
      <w:r w:rsidR="00203F72" w:rsidRPr="00A53581">
        <w:rPr>
          <w:rFonts w:hint="eastAsia"/>
        </w:rPr>
        <w:t>(</w:t>
      </w:r>
      <w:r w:rsidR="00203F72" w:rsidRPr="00A53581">
        <w:t>2015</w:t>
      </w:r>
      <w:r w:rsidR="00203F72" w:rsidRPr="00A53581">
        <w:t>年</w:t>
      </w:r>
      <w:r w:rsidR="00203F72" w:rsidRPr="00A53581">
        <w:t>0</w:t>
      </w:r>
      <w:r w:rsidR="00203F72" w:rsidRPr="00A53581">
        <w:rPr>
          <w:rFonts w:hint="eastAsia"/>
        </w:rPr>
        <w:t>8</w:t>
      </w:r>
      <w:r w:rsidR="00203F72" w:rsidRPr="00A53581">
        <w:t>月</w:t>
      </w:r>
      <w:r w:rsidR="00203F72" w:rsidRPr="00A53581">
        <w:rPr>
          <w:rFonts w:hint="eastAsia"/>
        </w:rPr>
        <w:t>)</w:t>
      </w:r>
      <w:r w:rsidR="00203F72" w:rsidRPr="00A53581">
        <w:t>，故會出現本書中之若干時間，諸如：推薦序之簽名時間，及若干文獻之引用時間，係在</w:t>
      </w:r>
      <w:r w:rsidR="00203F72" w:rsidRPr="00A53581">
        <w:t>2015</w:t>
      </w:r>
      <w:r w:rsidR="00203F72" w:rsidRPr="00A53581">
        <w:t>年</w:t>
      </w:r>
      <w:r w:rsidR="00203F72" w:rsidRPr="00A53581">
        <w:t>04</w:t>
      </w:r>
      <w:r w:rsidR="00203F72" w:rsidRPr="00A53581">
        <w:t>月之後，恭請讀者諸君諒察與包容。</w:t>
      </w:r>
    </w:p>
    <w:p w14:paraId="66315953" w14:textId="77777777" w:rsidR="00203F72" w:rsidRPr="00A53581" w:rsidRDefault="00E13106" w:rsidP="00E070CD">
      <w:pPr>
        <w:pStyle w:val="af4"/>
        <w:spacing w:line="0" w:lineRule="atLeast"/>
        <w:rPr>
          <w:rFonts w:ascii="新細明體" w:hAnsi="新細明體"/>
          <w:kern w:val="0"/>
          <w:sz w:val="22"/>
        </w:rPr>
      </w:pPr>
      <w:r>
        <w:rPr>
          <w:rFonts w:ascii="新細明體" w:hAnsi="新細明體"/>
          <w:sz w:val="22"/>
        </w:rPr>
        <w:t xml:space="preserve">　　</w:t>
      </w:r>
      <w:r w:rsidR="00203F72" w:rsidRPr="00A53581">
        <w:rPr>
          <w:rFonts w:ascii="新細明體" w:hAnsi="新細明體"/>
          <w:sz w:val="22"/>
        </w:rPr>
        <w:t>柯雨瑞 2015年0</w:t>
      </w:r>
      <w:r w:rsidR="00203F72" w:rsidRPr="00A53581">
        <w:rPr>
          <w:rFonts w:ascii="新細明體" w:hAnsi="新細明體" w:hint="eastAsia"/>
          <w:sz w:val="22"/>
        </w:rPr>
        <w:t>8</w:t>
      </w:r>
      <w:r w:rsidR="00203F72" w:rsidRPr="00A53581">
        <w:rPr>
          <w:rFonts w:ascii="新細明體" w:hAnsi="新細明體"/>
          <w:sz w:val="22"/>
        </w:rPr>
        <w:t>月　 於中央警察大學 研究大樓　318研究室</w:t>
      </w:r>
    </w:p>
    <w:p w14:paraId="0E3CAA02" w14:textId="77777777" w:rsidR="00203F72" w:rsidRPr="00A53581" w:rsidRDefault="00E13106" w:rsidP="00E070CD">
      <w:pPr>
        <w:pStyle w:val="af4"/>
        <w:spacing w:line="0" w:lineRule="atLeast"/>
        <w:rPr>
          <w:rFonts w:ascii="新細明體" w:hAnsi="新細明體"/>
          <w:b/>
          <w:bCs/>
          <w:sz w:val="22"/>
        </w:rPr>
      </w:pPr>
      <w:r>
        <w:rPr>
          <w:rFonts w:ascii="新細明體" w:hAnsi="新細明體"/>
          <w:sz w:val="22"/>
        </w:rPr>
        <w:t xml:space="preserve">　　</w:t>
      </w:r>
      <w:r w:rsidR="00203F72" w:rsidRPr="00A53581">
        <w:rPr>
          <w:rFonts w:ascii="新細明體" w:hAnsi="新細明體"/>
          <w:sz w:val="22"/>
        </w:rPr>
        <w:t>侯夙芳 2015年0</w:t>
      </w:r>
      <w:r w:rsidR="00203F72" w:rsidRPr="00A53581">
        <w:rPr>
          <w:rFonts w:ascii="新細明體" w:hAnsi="新細明體" w:hint="eastAsia"/>
          <w:sz w:val="22"/>
        </w:rPr>
        <w:t>8</w:t>
      </w:r>
      <w:r w:rsidR="00203F72" w:rsidRPr="00A53581">
        <w:rPr>
          <w:rFonts w:ascii="新細明體" w:hAnsi="新細明體"/>
          <w:sz w:val="22"/>
        </w:rPr>
        <w:t>月　 於中央警察大學 通識教育中心</w:t>
      </w:r>
    </w:p>
    <w:p w14:paraId="4852D4EF" w14:textId="77777777" w:rsidR="00804F3A" w:rsidRDefault="00804F3A" w:rsidP="00E108EB">
      <w:pPr>
        <w:jc w:val="right"/>
      </w:pPr>
      <w:bookmarkStart w:id="16" w:name="_作者(柯雨瑞教授)與其家眷親戚們紀念敬愛的與尊貴的柯清波老居士(已往生"/>
      <w:bookmarkEnd w:id="16"/>
      <w:r w:rsidRPr="00E108EB">
        <w:rPr>
          <w:rFonts w:hint="eastAsia"/>
        </w:rPr>
        <w:t>。。。。。。。。。。。。。。。。。。。。。。。。。</w:t>
      </w:r>
      <w:hyperlink w:anchor="top" w:history="1">
        <w:r w:rsidRPr="00E5474F">
          <w:rPr>
            <w:rStyle w:val="a5"/>
            <w:sz w:val="18"/>
          </w:rPr>
          <w:t>回首頁</w:t>
        </w:r>
      </w:hyperlink>
      <w:r w:rsidR="00E91F89">
        <w:rPr>
          <w:rFonts w:ascii="新細明體" w:hAnsi="新細明體"/>
          <w:color w:val="808000"/>
        </w:rPr>
        <w:t>〉〉</w:t>
      </w:r>
    </w:p>
    <w:p w14:paraId="2CBFB63C" w14:textId="77777777" w:rsidR="00302768" w:rsidRPr="00302768" w:rsidRDefault="00302768" w:rsidP="00D87D91"/>
    <w:p w14:paraId="51BED45E" w14:textId="77777777" w:rsidR="00953151" w:rsidRDefault="00203F72" w:rsidP="00D87D91">
      <w:pPr>
        <w:pStyle w:val="1"/>
      </w:pPr>
      <w:r w:rsidRPr="007214F9">
        <w:t>作者</w:t>
      </w:r>
      <w:r w:rsidRPr="007214F9">
        <w:t>(</w:t>
      </w:r>
      <w:r w:rsidRPr="007214F9">
        <w:t>柯雨瑞教授</w:t>
      </w:r>
      <w:r w:rsidRPr="007214F9">
        <w:t>)</w:t>
      </w:r>
      <w:r w:rsidRPr="007214F9">
        <w:t>與其家眷親戚們紀念敬愛的與尊貴的柯清波老居士</w:t>
      </w:r>
      <w:r w:rsidRPr="007214F9">
        <w:t>(</w:t>
      </w:r>
      <w:r w:rsidRPr="007214F9">
        <w:t>已往生</w:t>
      </w:r>
      <w:r w:rsidRPr="007214F9">
        <w:t>)</w:t>
      </w:r>
      <w:r w:rsidRPr="007214F9">
        <w:t>的追思、懷念與感恩文</w:t>
      </w:r>
      <w:r w:rsidRPr="007214F9">
        <w:t>(</w:t>
      </w:r>
      <w:r w:rsidRPr="007214F9">
        <w:t>願以本書呈獻給作者之家父</w:t>
      </w:r>
      <w:r w:rsidRPr="007214F9">
        <w:t>)</w:t>
      </w:r>
    </w:p>
    <w:p w14:paraId="20E5F94F" w14:textId="77777777" w:rsidR="00953151" w:rsidRDefault="00E13106" w:rsidP="00D87D91">
      <w:r>
        <w:t xml:space="preserve">　　</w:t>
      </w:r>
      <w:r w:rsidR="00203F72" w:rsidRPr="00A53581">
        <w:t>作者</w:t>
      </w:r>
      <w:r w:rsidR="00203F72" w:rsidRPr="00A53581">
        <w:t>(</w:t>
      </w:r>
      <w:r w:rsidR="00203F72" w:rsidRPr="00A53581">
        <w:t>柯雨瑞教授</w:t>
      </w:r>
      <w:r w:rsidR="00203F72" w:rsidRPr="00A53581">
        <w:t>)</w:t>
      </w:r>
      <w:r w:rsidR="00203F72" w:rsidRPr="00A53581">
        <w:t>願以本書紀念與呈獻給我非常敬愛的父親</w:t>
      </w:r>
      <w:r w:rsidR="00BC4811">
        <w:t>〜</w:t>
      </w:r>
      <w:r w:rsidR="00203F72" w:rsidRPr="00A53581">
        <w:t>柯清波老居士</w:t>
      </w:r>
      <w:r w:rsidR="00203F72" w:rsidRPr="00A53581">
        <w:t>(</w:t>
      </w:r>
      <w:r w:rsidR="00203F72" w:rsidRPr="00A53581">
        <w:t>已往生</w:t>
      </w:r>
      <w:r w:rsidR="00203F72" w:rsidRPr="00A53581">
        <w:t>)</w:t>
      </w:r>
      <w:r w:rsidR="00203F72" w:rsidRPr="00A53581">
        <w:t>，相關的追思、懷念與感恩文，彙整如下所述。</w:t>
      </w:r>
    </w:p>
    <w:p w14:paraId="319A1967" w14:textId="77777777" w:rsidR="00953151" w:rsidRDefault="00203F72" w:rsidP="00767F37">
      <w:pPr>
        <w:pStyle w:val="2"/>
      </w:pPr>
      <w:r w:rsidRPr="00A53581">
        <w:t>一、作者</w:t>
      </w:r>
      <w:r w:rsidRPr="00A53581">
        <w:t>(</w:t>
      </w:r>
      <w:r w:rsidRPr="00A53581">
        <w:t>柯雨瑞教授</w:t>
      </w:r>
      <w:r w:rsidRPr="00A53581">
        <w:t>)</w:t>
      </w:r>
      <w:r w:rsidRPr="00A53581">
        <w:t>本人對於家父的追思、懷念與感恩文</w:t>
      </w:r>
      <w:r w:rsidR="00BC4811">
        <w:t>〜</w:t>
      </w:r>
    </w:p>
    <w:p w14:paraId="7FCD45C0" w14:textId="77777777" w:rsidR="00953151" w:rsidRDefault="00E13106" w:rsidP="00D87D91">
      <w:r>
        <w:t xml:space="preserve">　　</w:t>
      </w:r>
      <w:r w:rsidR="00203F72" w:rsidRPr="00A53581">
        <w:t>我的家父，名為「柯清波」，生於民國</w:t>
      </w:r>
      <w:r w:rsidR="00203F72" w:rsidRPr="00A53581">
        <w:t>29</w:t>
      </w:r>
      <w:r w:rsidR="00203F72" w:rsidRPr="00A53581">
        <w:t>年</w:t>
      </w:r>
      <w:r w:rsidR="00203F72" w:rsidRPr="00A53581">
        <w:t>9</w:t>
      </w:r>
      <w:r w:rsidR="00203F72" w:rsidRPr="00A53581">
        <w:t>月</w:t>
      </w:r>
      <w:r w:rsidR="00203F72" w:rsidRPr="00A53581">
        <w:t>28</w:t>
      </w:r>
      <w:r w:rsidR="00203F72" w:rsidRPr="00A53581">
        <w:t>日，在民國</w:t>
      </w:r>
      <w:r w:rsidR="00203F72" w:rsidRPr="00A53581">
        <w:t>96</w:t>
      </w:r>
      <w:r w:rsidR="00203F72" w:rsidRPr="00A53581">
        <w:t>年</w:t>
      </w:r>
      <w:r w:rsidR="00203F72" w:rsidRPr="00A53581">
        <w:t>6</w:t>
      </w:r>
      <w:r w:rsidR="00203F72" w:rsidRPr="00A53581">
        <w:t>月</w:t>
      </w:r>
      <w:r w:rsidR="00203F72" w:rsidRPr="00A53581">
        <w:t>23</w:t>
      </w:r>
      <w:r w:rsidR="00203F72" w:rsidRPr="00A53581">
        <w:t>日下午，於台中榮民總醫院加護病房之中往生，世壽為</w:t>
      </w:r>
      <w:r w:rsidR="00203F72" w:rsidRPr="00A53581">
        <w:t>68</w:t>
      </w:r>
      <w:r w:rsidR="00203F72" w:rsidRPr="00A53581">
        <w:t>歲。父親之出生地，係為南投縣中寮鄉永和村龍南路</w:t>
      </w:r>
      <w:r w:rsidR="00203F72" w:rsidRPr="00A53581">
        <w:t>351</w:t>
      </w:r>
      <w:r w:rsidR="00203F72" w:rsidRPr="00A53581">
        <w:t>號。在求學歷程之方面，待父親年長至可就讀國小之年齡時，他須徒步走路約</w:t>
      </w:r>
      <w:r w:rsidR="00203F72" w:rsidRPr="00A53581">
        <w:t>1</w:t>
      </w:r>
      <w:r w:rsidR="00203F72" w:rsidRPr="00A53581">
        <w:t>個小時左右，始可到達南投巿平和國小，頗為辛苦。因吾家及果園，係座落於中寮鄉永和村之山丘之上，其中，須涉水橫渡一條小溪；當大雨過後，小溪河水會暴漲，對於一位就讀國民小學之小孩童而言，徒手橫渡暴漲的滾滾溪水，是一件相當恐怖與危險的行為。父親為了怕國民小學的課本被溪水沖走，通常，會將裝有課本的提袋，頂載在頭上，以如此之方式，橫渡溪水。國小畢業後，為了改善家中之經濟，父親即協助家務，未再就學。</w:t>
      </w:r>
    </w:p>
    <w:p w14:paraId="00F9E5F1" w14:textId="77777777" w:rsidR="00953151" w:rsidRDefault="00E13106" w:rsidP="00D87D91">
      <w:r>
        <w:t xml:space="preserve">　　</w:t>
      </w:r>
      <w:r w:rsidR="00203F72" w:rsidRPr="00A53581">
        <w:t>在父親一生的過程中，就工作層面而論，他曾從事以下之工作：果園的農夫、工廠之作業工人、貨運行之隨車搬運工人、建築工地的工人與零工。因母親曾數年之期間，在南投巿</w:t>
      </w:r>
      <w:r w:rsidR="00DF7BD9" w:rsidRPr="00DF7BD9">
        <w:rPr>
          <w:rFonts w:hint="eastAsia"/>
        </w:rPr>
        <w:t>果</w:t>
      </w:r>
      <w:r w:rsidR="00203F72" w:rsidRPr="00A53581">
        <w:t>菜巿場中</w:t>
      </w:r>
      <w:r w:rsidR="00203F72" w:rsidRPr="00A53581">
        <w:t>(</w:t>
      </w:r>
      <w:r w:rsidR="00203F72" w:rsidRPr="00A53581">
        <w:t>育樂路與信義街之交叉路口旁</w:t>
      </w:r>
      <w:r w:rsidR="00203F72" w:rsidRPr="00A53581">
        <w:t>)</w:t>
      </w:r>
      <w:r w:rsidR="00203F72" w:rsidRPr="00A53581">
        <w:t>，擺設麵攤，需要人手幫忙；父親通常會凌晨</w:t>
      </w:r>
      <w:r w:rsidR="00203F72" w:rsidRPr="00A53581">
        <w:t>4</w:t>
      </w:r>
      <w:r w:rsidR="00203F72" w:rsidRPr="00A53581">
        <w:t>點多起床，將麵攤從南投市平和里信義街</w:t>
      </w:r>
      <w:r w:rsidR="00203F72" w:rsidRPr="00A53581">
        <w:t>152</w:t>
      </w:r>
      <w:r w:rsidR="00203F72" w:rsidRPr="00A53581">
        <w:t>巷</w:t>
      </w:r>
      <w:r w:rsidR="00203F72" w:rsidRPr="00A53581">
        <w:t>9</w:t>
      </w:r>
      <w:r w:rsidR="00203F72" w:rsidRPr="00A53581">
        <w:t>弄</w:t>
      </w:r>
      <w:r w:rsidR="00203F72" w:rsidRPr="00A53581">
        <w:t>27</w:t>
      </w:r>
      <w:r w:rsidR="00203F72" w:rsidRPr="00A53581">
        <w:t>號之巷子內之家中，手推至市場，協助賣麵；約上午</w:t>
      </w:r>
      <w:r w:rsidR="00203F72" w:rsidRPr="00A53581">
        <w:t>7</w:t>
      </w:r>
      <w:r w:rsidR="00203F72" w:rsidRPr="00A53581">
        <w:t>時左右，再至工地工作；假日時，亦須協助母親賣麵，工作頗為勞累與辛苦。</w:t>
      </w:r>
    </w:p>
    <w:p w14:paraId="0DF70687" w14:textId="77777777" w:rsidR="00953151" w:rsidRDefault="00E13106" w:rsidP="00D87D91">
      <w:r>
        <w:t xml:space="preserve">　　</w:t>
      </w:r>
      <w:r w:rsidR="00203F72" w:rsidRPr="00A53581">
        <w:t>綜觀父親一生之工作態度，可謂：「積極」、「勇敢」、「認真」、「耐勞」與「刻苦」。父親一生一直均在工作，持續至往生前一週，仍是處在工作之狀態。因為有工作，會取得工資與報酬，可改善家中之經濟與生活品質。在此思維之下，父親是相當熱愛工作與勞動的。</w:t>
      </w:r>
    </w:p>
    <w:p w14:paraId="58C21075" w14:textId="77777777" w:rsidR="00953151" w:rsidRDefault="00E13106" w:rsidP="00D87D91">
      <w:r>
        <w:t xml:space="preserve">　　</w:t>
      </w:r>
      <w:r w:rsidR="00203F72" w:rsidRPr="00A53581">
        <w:t>在孝養父母方面，父親在國小畢業後，即未再升學，以實際之工作與勞動，為父母減輕種植果園勞作之壓力。我的奶奶（柯江良老居士，已往生），對於父親，非常疼愛有加，母子的感情，相當濃厚與溫馨。父親在孝養外婆（陳劉滿妹老居士，已往生）部分，亦是可圈可點。外婆曾有一度與吾家家人共住（家宅位於台中巿大里區大明里中興路</w:t>
      </w:r>
      <w:r w:rsidR="00203F72" w:rsidRPr="00A53581">
        <w:t>2</w:t>
      </w:r>
      <w:r w:rsidR="00203F72" w:rsidRPr="00A53581">
        <w:t>段</w:t>
      </w:r>
      <w:r w:rsidR="00203F72" w:rsidRPr="00A53581">
        <w:t>671</w:t>
      </w:r>
      <w:r w:rsidR="00203F72" w:rsidRPr="00A53581">
        <w:t>巷</w:t>
      </w:r>
      <w:r w:rsidR="00203F72" w:rsidRPr="00A53581">
        <w:t>5</w:t>
      </w:r>
      <w:r w:rsidR="00203F72" w:rsidRPr="00A53581">
        <w:t>號），因外婆生病，夜間須有人看顧她之大小號，父親遂與外婆住在同一個房間內，俾利深夜時，隨時可照顧外婆大小號之需求。這是相當不簡單之事，因父親隔天仍須至工地工作，體力之支出，是相當巨大的。</w:t>
      </w:r>
    </w:p>
    <w:p w14:paraId="27FE2C50" w14:textId="77777777" w:rsidR="00203F72" w:rsidRPr="00A53581" w:rsidRDefault="00E13106" w:rsidP="00D87D91">
      <w:r>
        <w:t xml:space="preserve">　　</w:t>
      </w:r>
      <w:r w:rsidR="00203F72" w:rsidRPr="00A53581">
        <w:t>父親在回饋社會方面，他於壯年開始，即投入此項工作。有可能因我的兩位妹妹（柯淑娟與柯淑容小姐）均因意外事故往生，令父親往「人生哲學」與「宗教」之方面，更加關注與投入。父親在中年時，即開始加入慈濟功德會之團體，他非常熱愛資源回收的工作，亦曾參與慈濟功德會之助念工作。筆者家住台中大里之那段時期，筆者亦曾與父親、慈濟功德會之師兄、師姐等人，共同參與</w:t>
      </w:r>
      <w:r w:rsidR="00203F72" w:rsidRPr="00A53581">
        <w:rPr>
          <w:rFonts w:hint="eastAsia"/>
        </w:rPr>
        <w:t>過</w:t>
      </w:r>
      <w:r w:rsidR="00203F72" w:rsidRPr="00A53581">
        <w:t>慈濟功德會之助念工作。父親對於助念亡者，助其往生西方極樂世界、早日成佛之工作，亦是相當重</w:t>
      </w:r>
      <w:r w:rsidR="003E240E">
        <w:t>視</w:t>
      </w:r>
      <w:r w:rsidR="00203F72" w:rsidRPr="00A53581">
        <w:t>。</w:t>
      </w:r>
    </w:p>
    <w:p w14:paraId="5CF6C616" w14:textId="77777777" w:rsidR="00953151" w:rsidRDefault="00E13106" w:rsidP="00D87D91">
      <w:r>
        <w:t xml:space="preserve">　　</w:t>
      </w:r>
      <w:r w:rsidR="00203F72" w:rsidRPr="00A53581">
        <w:t>父親一生最尊敬之人，即為慈濟功德會之創辦人：「證嚴上人」。父親對於證嚴上人之敬佩、服從與感動，係發自於內心之最深處，澈澈底底地，願意向證嚴上人之慈悲、</w:t>
      </w:r>
      <w:r w:rsidR="00203F72" w:rsidRPr="00A53581">
        <w:lastRenderedPageBreak/>
        <w:t>大愛、智慧與悲願，努力學習之。</w:t>
      </w:r>
    </w:p>
    <w:p w14:paraId="021A2FB5" w14:textId="77777777" w:rsidR="00953151" w:rsidRDefault="00E13106" w:rsidP="00D87D91">
      <w:r>
        <w:t xml:space="preserve">　　</w:t>
      </w:r>
      <w:r w:rsidR="00203F72" w:rsidRPr="00A53581">
        <w:t>故，證嚴上人一直強調之「動中修」與「作中修」之修行哲學，一直相當深刻地影響父親的人生觀。亦即，勿枯坐學禪，須在勞動中修行，最好之「動之修」，即投入慈濟之各項慈善與助念工作，以實際之工作與活動，諸如：資源回收、助念亡者與種種慈善工作，回饋社會。</w:t>
      </w:r>
    </w:p>
    <w:p w14:paraId="41A4F3F1" w14:textId="77777777" w:rsidR="00953151" w:rsidRDefault="00E13106" w:rsidP="00D87D91">
      <w:r>
        <w:t xml:space="preserve">　　</w:t>
      </w:r>
      <w:r w:rsidR="00203F72" w:rsidRPr="00A53581">
        <w:t>於民國</w:t>
      </w:r>
      <w:r w:rsidR="00203F72" w:rsidRPr="00A53581">
        <w:t>96</w:t>
      </w:r>
      <w:r w:rsidR="00203F72" w:rsidRPr="00A53581">
        <w:t>年</w:t>
      </w:r>
      <w:r w:rsidR="00203F72" w:rsidRPr="00A53581">
        <w:t>6</w:t>
      </w:r>
      <w:r w:rsidR="00203F72" w:rsidRPr="00A53581">
        <w:t>月，父親這一期的生命，已快走到人生的盡頭。在台中榮總的加護病房中的一週期間，父親的心臟功能，退化相當快速，於一週之內，即往生。在此期間，作者本人非常感謝台中榮總加護病房之醫護人員的細心照顧。感謝醫生盡力地維持父親之生命，令家父能延長一週之壽命使家屬有緩衝之時間。亦感謝台中榮總加護病房之卓越護理人員之付出、專業、與辛勞，小心翼翼地照顧父親，並得隨時注意維生儀器上之各項數據之變化。</w:t>
      </w:r>
    </w:p>
    <w:p w14:paraId="702F3F70" w14:textId="77777777" w:rsidR="00953151" w:rsidRDefault="00E13106" w:rsidP="00D87D91">
      <w:r>
        <w:t xml:space="preserve">　　</w:t>
      </w:r>
      <w:r w:rsidR="00203F72" w:rsidRPr="00A53581">
        <w:t>在家父這一生的最後一日</w:t>
      </w:r>
      <w:r w:rsidR="00BC4811">
        <w:t>〜</w:t>
      </w:r>
      <w:r w:rsidR="00203F72" w:rsidRPr="00A53581">
        <w:t>民國</w:t>
      </w:r>
      <w:r w:rsidR="00203F72" w:rsidRPr="00A53581">
        <w:t>96</w:t>
      </w:r>
      <w:r w:rsidR="00203F72" w:rsidRPr="00A53581">
        <w:t>年</w:t>
      </w:r>
      <w:r w:rsidR="00203F72" w:rsidRPr="00A53581">
        <w:t>6</w:t>
      </w:r>
      <w:r w:rsidR="00203F72" w:rsidRPr="00A53581">
        <w:t>月</w:t>
      </w:r>
      <w:r w:rsidR="00203F72" w:rsidRPr="00A53581">
        <w:t>23</w:t>
      </w:r>
      <w:r w:rsidR="00203F72" w:rsidRPr="00A53581">
        <w:t>日之上午，作者電洽台中市北屯區、水湳、淨願寺的主持：「果法法師」，恭請其至台中榮總加護病房為家父開示，承蒙慈悲的果法法師之允諾，令家父在人生的最後一日，仍可親聞佛法，並再次昄依三寶；在此，特別地感謝果法法師的大慈、大悲與大愛。果法法師的大慈、大悲與大愛，令作者感到人生有愛與溫暖。</w:t>
      </w:r>
    </w:p>
    <w:p w14:paraId="5FA1A931" w14:textId="77777777" w:rsidR="00953151" w:rsidRDefault="00E13106" w:rsidP="00D87D91">
      <w:r>
        <w:t xml:space="preserve">　　</w:t>
      </w:r>
      <w:r w:rsidR="00203F72" w:rsidRPr="00A53581">
        <w:t>家父臨終的當日</w:t>
      </w:r>
      <w:r w:rsidR="00203F72" w:rsidRPr="00A53581">
        <w:t>(</w:t>
      </w:r>
      <w:r w:rsidR="00203F72" w:rsidRPr="00A53581">
        <w:t>民國</w:t>
      </w:r>
      <w:r w:rsidR="00203F72" w:rsidRPr="00A53581">
        <w:t>96</w:t>
      </w:r>
      <w:r w:rsidR="00203F72" w:rsidRPr="00A53581">
        <w:t>年</w:t>
      </w:r>
      <w:r w:rsidR="00203F72" w:rsidRPr="00A53581">
        <w:t>6</w:t>
      </w:r>
      <w:r w:rsidR="00203F72" w:rsidRPr="00A53581">
        <w:t>月</w:t>
      </w:r>
      <w:r w:rsidR="00203F72" w:rsidRPr="00A53581">
        <w:t>23</w:t>
      </w:r>
      <w:r w:rsidR="00203F72" w:rsidRPr="00A53581">
        <w:t>日</w:t>
      </w:r>
      <w:r w:rsidR="00203F72" w:rsidRPr="00A53581">
        <w:t>)</w:t>
      </w:r>
      <w:r w:rsidR="00203F72" w:rsidRPr="00A53581">
        <w:t>之晚上，特別感謝：「正德佛堂彰化分院」與「諾那華藏精舍」（台中區台中分舍）之師兄與師姐，合力為家父進行</w:t>
      </w:r>
      <w:r w:rsidR="00203F72" w:rsidRPr="00A53581">
        <w:t>2</w:t>
      </w:r>
      <w:r w:rsidR="00203F72" w:rsidRPr="00A53581">
        <w:t>個小時之助念與開示，令家父之亡靈，在臨終當下，不致於恐慌、緊張、徬徨與無助。數日之後，承蒙彰化員林蓮社鑑因法師，率助念團親自蒞臨台中榮總往生室，為家父助念與開示，作者表達十二萬分感恩之意。之後，在七七之四十九日之內，父親之臨時牌位，放置於正德佛堂台中分社，在此期間，特別感謝尊貴的與慈悲的演照法師之開示，與正德佛堂台中分社師兄師姐之協助，非常感謝您們，辛苦您們了。</w:t>
      </w:r>
    </w:p>
    <w:p w14:paraId="57E4A03B" w14:textId="77777777" w:rsidR="00953151" w:rsidRDefault="00E13106" w:rsidP="00D87D91">
      <w:r>
        <w:t xml:space="preserve">　　</w:t>
      </w:r>
      <w:r w:rsidR="00203F72" w:rsidRPr="00A53581">
        <w:t>父親往生之後，作者與家弟，為了瞭解家父往生何道？曾兩次至正德佛堂彰化分院，透由師父，向南無觀世音菩薩請示，期間，承蒙大慈、大悲、大愛之演照法師，代為請示、鼓勵與開示。第一次向菩薩請示之時間，係為民國</w:t>
      </w:r>
      <w:r w:rsidR="00203F72" w:rsidRPr="00A53581">
        <w:t>96</w:t>
      </w:r>
      <w:r w:rsidR="00203F72" w:rsidRPr="00A53581">
        <w:t>年</w:t>
      </w:r>
      <w:r w:rsidR="00203F72" w:rsidRPr="00A53581">
        <w:t>8</w:t>
      </w:r>
      <w:r w:rsidR="00203F72" w:rsidRPr="00A53581">
        <w:t>月</w:t>
      </w:r>
      <w:r w:rsidR="00203F72" w:rsidRPr="00A53581">
        <w:t>14</w:t>
      </w:r>
      <w:r w:rsidR="00203F72" w:rsidRPr="00A53581">
        <w:t>日，請示之結果，父親往生人道；請示之結果，不是很理想，父親尚在六道輪迴之內，仍未往生至西方極樂世界。作者及弟妹，將上開請示結果，所須完成之功課及功德金，完成之後，並繼續至正德佛堂彰化分院，透由師父，作第</w:t>
      </w:r>
      <w:r w:rsidR="00203F72" w:rsidRPr="00A53581">
        <w:t>2</w:t>
      </w:r>
      <w:r w:rsidR="00203F72" w:rsidRPr="00A53581">
        <w:t>次之請示。</w:t>
      </w:r>
    </w:p>
    <w:p w14:paraId="78E3D2B1" w14:textId="77777777" w:rsidR="00953151" w:rsidRDefault="00E13106" w:rsidP="00D87D91">
      <w:r>
        <w:t xml:space="preserve">　　</w:t>
      </w:r>
      <w:r w:rsidR="00203F72" w:rsidRPr="00A53581">
        <w:t>第</w:t>
      </w:r>
      <w:r w:rsidR="00203F72" w:rsidRPr="00A53581">
        <w:t>2</w:t>
      </w:r>
      <w:r w:rsidR="00203F72" w:rsidRPr="00A53581">
        <w:t>次透由大慈、大悲、大愛之演照法師，向南無觀世音菩薩請示之時間，係為民國</w:t>
      </w:r>
      <w:r w:rsidR="00203F72" w:rsidRPr="00A53581">
        <w:t>96</w:t>
      </w:r>
      <w:r w:rsidR="00203F72" w:rsidRPr="00A53581">
        <w:t>年</w:t>
      </w:r>
      <w:r w:rsidR="00203F72" w:rsidRPr="00A53581">
        <w:t>10</w:t>
      </w:r>
      <w:r w:rsidR="00203F72" w:rsidRPr="00A53581">
        <w:t>月</w:t>
      </w:r>
      <w:r w:rsidR="00203F72" w:rsidRPr="00A53581">
        <w:t>4</w:t>
      </w:r>
      <w:r w:rsidR="00203F72" w:rsidRPr="00A53581">
        <w:t>日，請示之結果，父親之亡靈，往生阿修羅道，有出現連續之</w:t>
      </w:r>
      <w:r w:rsidR="00203F72" w:rsidRPr="00A53581">
        <w:t>3</w:t>
      </w:r>
      <w:r w:rsidR="00203F72" w:rsidRPr="00A53581">
        <w:t>個聖杯，可信度應該是很高。上開之結果，不是很理想，父親仍尚在六道輪迴之內，仍未往生至西方極樂世界。當下，尊貴的演照法師，得知我們兄弟</w:t>
      </w:r>
      <w:r w:rsidR="00203F72" w:rsidRPr="00A53581">
        <w:t>2</w:t>
      </w:r>
      <w:r w:rsidR="00203F72" w:rsidRPr="00A53581">
        <w:t>人之心情，有些失望，即不斷鼓勵作者兄弟</w:t>
      </w:r>
      <w:r w:rsidR="00203F72" w:rsidRPr="00A53581">
        <w:t>2</w:t>
      </w:r>
      <w:r w:rsidR="00203F72" w:rsidRPr="00A53581">
        <w:t>人，雖已超過</w:t>
      </w:r>
      <w:r w:rsidR="00203F72" w:rsidRPr="00A53581">
        <w:t>7</w:t>
      </w:r>
      <w:r w:rsidR="00203F72" w:rsidRPr="00A53581">
        <w:t>＊</w:t>
      </w:r>
      <w:r w:rsidR="00203F72" w:rsidRPr="00A53581">
        <w:t>7</w:t>
      </w:r>
      <w:r w:rsidR="00203F72" w:rsidRPr="00A53581">
        <w:t>之</w:t>
      </w:r>
      <w:r w:rsidR="00203F72" w:rsidRPr="00A53581">
        <w:t>49</w:t>
      </w:r>
      <w:r w:rsidR="00203F72" w:rsidRPr="00A53581">
        <w:t>日，仍宜不斷地作功課與功德，迴向給父親，則家父往生之處，會不斷地向上提升。尊貴的演照法師，並舉出實際之案例，鼓勵作者兄弟</w:t>
      </w:r>
      <w:r w:rsidR="00203F72" w:rsidRPr="00A53581">
        <w:t>2</w:t>
      </w:r>
      <w:r w:rsidR="00203F72" w:rsidRPr="00A53581">
        <w:t>人。在尊貴的演照法師之期勉之下，作者與弟妹，分配應完成之功課，各自完成上述之功課及功德金，期待父親往生之層次，會更加向上提升。</w:t>
      </w:r>
    </w:p>
    <w:p w14:paraId="5716D9A5" w14:textId="77777777" w:rsidR="00953151" w:rsidRDefault="00E13106" w:rsidP="00D87D91">
      <w:r>
        <w:t xml:space="preserve">　　</w:t>
      </w:r>
      <w:r w:rsidR="00203F72" w:rsidRPr="00A53581">
        <w:t>父親往生後迄今</w:t>
      </w:r>
      <w:r w:rsidR="00203F72" w:rsidRPr="00A53581">
        <w:t>(</w:t>
      </w:r>
      <w:r w:rsidR="00203F72" w:rsidRPr="00A53581">
        <w:t>民</w:t>
      </w:r>
      <w:r w:rsidR="00203F72" w:rsidRPr="00A53581">
        <w:t>104</w:t>
      </w:r>
      <w:r w:rsidR="00203F72" w:rsidRPr="00A53581">
        <w:t>年上半年</w:t>
      </w:r>
      <w:r w:rsidR="00203F72" w:rsidRPr="00A53581">
        <w:t>)</w:t>
      </w:r>
      <w:r w:rsidR="00203F72" w:rsidRPr="00A53581">
        <w:t>，作者很慚愧，僅斷斷續續為父親作功課與功德金。於民國</w:t>
      </w:r>
      <w:r w:rsidR="00203F72" w:rsidRPr="00A53581">
        <w:t>103</w:t>
      </w:r>
      <w:r w:rsidR="00203F72" w:rsidRPr="00A53581">
        <w:t>年元月</w:t>
      </w:r>
      <w:r w:rsidR="00203F72" w:rsidRPr="00A53581">
        <w:t>7</w:t>
      </w:r>
      <w:r w:rsidR="00203F72" w:rsidRPr="00A53581">
        <w:t>日下午，作者再次至正德佛堂台北分院，請示父親之亡靈，究竟係往生何道？承蒙慈悲的與令人尊敬的「林份霞」師姐之協助及代為請示，向「南無觀世音菩薩」擲杯請示之結果，父親終於往生至西方極樂世界之本地</w:t>
      </w:r>
      <w:r w:rsidR="00203F72" w:rsidRPr="00A53581">
        <w:t>(</w:t>
      </w:r>
      <w:r w:rsidR="00203F72" w:rsidRPr="00A53581">
        <w:t>有聖杯</w:t>
      </w:r>
      <w:r w:rsidR="00203F72" w:rsidRPr="00A53581">
        <w:t>3</w:t>
      </w:r>
      <w:r w:rsidR="00203F72" w:rsidRPr="00A53581">
        <w:t>杯</w:t>
      </w:r>
      <w:r w:rsidR="00203F72" w:rsidRPr="00A53581">
        <w:t>)</w:t>
      </w:r>
      <w:r w:rsidR="00203F72" w:rsidRPr="00A53581">
        <w:t>；但仍須持續作若干之功課與功德金，俾利家父之蓮品，能向上高昇。</w:t>
      </w:r>
    </w:p>
    <w:p w14:paraId="22A866D6" w14:textId="77777777" w:rsidR="00953151" w:rsidRDefault="00E13106" w:rsidP="00D87D91">
      <w:r>
        <w:t xml:space="preserve">　　</w:t>
      </w:r>
      <w:r w:rsidR="00203F72" w:rsidRPr="00A53581">
        <w:t>在此，特別感謝：尊貴的常律大和尚</w:t>
      </w:r>
      <w:r w:rsidR="00203F72" w:rsidRPr="00A53581">
        <w:t>(</w:t>
      </w:r>
      <w:r w:rsidR="00203F72" w:rsidRPr="00A53581">
        <w:t>正德佛堂、醫療財團法人正德癌症醫療基金會、與正德癌症醫院之創辦人</w:t>
      </w:r>
      <w:r w:rsidR="00203F72" w:rsidRPr="00A53581">
        <w:t>)</w:t>
      </w:r>
      <w:r w:rsidR="00203F72" w:rsidRPr="00A53581">
        <w:t>、演照法師、慧通法師、演音法師、其他之師父與師兄、師姐，由於您們之協助、付出與功德力之加持，令家父得以榮登極樂世界之本地，不再六道生死輪迴。再者，筆者除了於正德佛堂埔里大佛山為父親立牌位之外，亦在南投縣名間鄉靈山寺，為家父另外立一個牌位，合計有</w:t>
      </w:r>
      <w:r w:rsidR="00203F72" w:rsidRPr="00A53581">
        <w:t>2</w:t>
      </w:r>
      <w:r w:rsidR="00203F72" w:rsidRPr="00A53581">
        <w:t>個牌位；作者亦相當感謝南投名間鄉之靈山寺尊貴的師父們的加持與付出，令家父能心開意解，往生極樂世界。</w:t>
      </w:r>
    </w:p>
    <w:p w14:paraId="317DD5B1" w14:textId="77777777" w:rsidR="00203F72" w:rsidRDefault="00E13106" w:rsidP="00D87D91">
      <w:r>
        <w:lastRenderedPageBreak/>
        <w:t xml:space="preserve">　　</w:t>
      </w:r>
      <w:r w:rsidR="00203F72" w:rsidRPr="00A53581">
        <w:t>總的來說，我的父親</w:t>
      </w:r>
      <w:r w:rsidR="00BC4811">
        <w:t>〜</w:t>
      </w:r>
      <w:r w:rsidR="00203F72" w:rsidRPr="00A53581">
        <w:t>柯清波老居士的這一生，具有以下之若干正向的特色（點）：</w:t>
      </w:r>
      <w:r w:rsidR="00203F72" w:rsidRPr="00A53581">
        <w:t>1.</w:t>
      </w:r>
      <w:r w:rsidR="00203F72" w:rsidRPr="00A53581">
        <w:t>孝養父母與岳母，為下一代，作出相當良好的身教典範；</w:t>
      </w:r>
      <w:r w:rsidR="00203F72" w:rsidRPr="00A53581">
        <w:t>2.</w:t>
      </w:r>
      <w:r w:rsidR="00203F72" w:rsidRPr="00A53581">
        <w:t>對於子女，嚴管勤教；</w:t>
      </w:r>
      <w:r w:rsidR="00203F72" w:rsidRPr="00A53581">
        <w:t>3.</w:t>
      </w:r>
      <w:r w:rsidR="00203F72" w:rsidRPr="00A53581">
        <w:t>發自內心地遵從慈濟功德會創辦人證嚴上人之開示：熱心公益，回饋社會（如捐血、助念與從事資源回收）；</w:t>
      </w:r>
      <w:r w:rsidR="00203F72" w:rsidRPr="00A53581">
        <w:t>4.</w:t>
      </w:r>
      <w:r w:rsidR="00203F72" w:rsidRPr="00A53581">
        <w:t>疼愛與包容妻子，至往生前一週，仍將工作所得之工資，多數交給我的母親，用實際行動，表達對妻子深沈、負責、認真、厚實的愛與情；</w:t>
      </w:r>
      <w:r w:rsidR="00203F72" w:rsidRPr="00A53581">
        <w:t>5.</w:t>
      </w:r>
      <w:r w:rsidR="00203F72" w:rsidRPr="00A53581">
        <w:t>關愛家庭，為家人付出極大之汗與血，及愛與情；</w:t>
      </w:r>
      <w:r w:rsidR="00203F72" w:rsidRPr="00A53581">
        <w:t>6.</w:t>
      </w:r>
      <w:r w:rsidR="00203F72" w:rsidRPr="00A53581">
        <w:t>一生熱愛工作與勞動；</w:t>
      </w:r>
      <w:r w:rsidR="00203F72" w:rsidRPr="00A53581">
        <w:t>7.</w:t>
      </w:r>
      <w:r w:rsidR="00203F72" w:rsidRPr="00A53581">
        <w:t>不畏懼家庭在不同之人生時期，所面臨之種種困境，積極進取、勇敢、認真、耐勞、吃苦、刻苦、堅忍、樂於助人與勇敢；</w:t>
      </w:r>
      <w:r w:rsidR="00203F72" w:rsidRPr="00A53581">
        <w:t>8.</w:t>
      </w:r>
      <w:r w:rsidR="00203F72" w:rsidRPr="00A53581">
        <w:t>研修佛法，禮敬師父，皈依三寶，護持佛教；</w:t>
      </w:r>
      <w:r w:rsidR="00203F72" w:rsidRPr="00A53581">
        <w:t>9.</w:t>
      </w:r>
      <w:r w:rsidR="00203F72" w:rsidRPr="00A53581">
        <w:t>對於子女，身教與言教並重，重</w:t>
      </w:r>
      <w:r w:rsidR="003E240E">
        <w:t>視</w:t>
      </w:r>
      <w:r w:rsidR="00203F72" w:rsidRPr="00A53581">
        <w:t>子女之教育、品行</w:t>
      </w:r>
      <w:r w:rsidR="00203F72" w:rsidRPr="00A53581">
        <w:t>(</w:t>
      </w:r>
      <w:r w:rsidR="00203F72" w:rsidRPr="00A53581">
        <w:t>德</w:t>
      </w:r>
      <w:r w:rsidR="00203F72" w:rsidRPr="00A53581">
        <w:t>)</w:t>
      </w:r>
      <w:r w:rsidR="00203F72" w:rsidRPr="00A53581">
        <w:t>、操守與工作；</w:t>
      </w:r>
      <w:r w:rsidR="00203F72" w:rsidRPr="00A53581">
        <w:t>10.</w:t>
      </w:r>
      <w:r w:rsidR="00203F72" w:rsidRPr="00A53581">
        <w:t>家父與其兄弟姐妹，相處融洽，重</w:t>
      </w:r>
      <w:r w:rsidR="003E240E">
        <w:t>視</w:t>
      </w:r>
      <w:r w:rsidR="00203F72" w:rsidRPr="00A53581">
        <w:t>手足之情誼；</w:t>
      </w:r>
      <w:r w:rsidR="00203F72" w:rsidRPr="00A53581">
        <w:t>11.</w:t>
      </w:r>
      <w:r w:rsidR="00203F72" w:rsidRPr="00A53581">
        <w:t>勤儉持家、任勞任怨，為作者這一個家庭之每一位成員，用其體力、勞力、智力、與血汗，作出巨大的與實質性之貢獻。</w:t>
      </w:r>
    </w:p>
    <w:p w14:paraId="437BB8BF" w14:textId="77777777" w:rsidR="00E108EB" w:rsidRDefault="00E108EB" w:rsidP="00E108EB">
      <w:pPr>
        <w:jc w:val="right"/>
      </w:pPr>
      <w:r w:rsidRPr="00E108EB">
        <w:rPr>
          <w:rFonts w:hint="eastAsia"/>
        </w:rPr>
        <w:t>。。。。。。。。。。。。。。。。。。。。。。。。。</w:t>
      </w:r>
      <w:hyperlink w:anchor="top" w:history="1">
        <w:r w:rsidRPr="00E5474F">
          <w:rPr>
            <w:rStyle w:val="a5"/>
            <w:sz w:val="18"/>
          </w:rPr>
          <w:t>回首頁</w:t>
        </w:r>
      </w:hyperlink>
      <w:r w:rsidR="00E91F89">
        <w:rPr>
          <w:rFonts w:ascii="新細明體" w:hAnsi="新細明體"/>
          <w:color w:val="808000"/>
        </w:rPr>
        <w:t>〉〉</w:t>
      </w:r>
    </w:p>
    <w:p w14:paraId="7C6B623B" w14:textId="77777777" w:rsidR="00953151" w:rsidRDefault="00203F72" w:rsidP="00767F37">
      <w:pPr>
        <w:pStyle w:val="2"/>
      </w:pPr>
      <w:r w:rsidRPr="00E13106">
        <w:t>二、作者</w:t>
      </w:r>
      <w:r w:rsidRPr="00E13106">
        <w:t>(</w:t>
      </w:r>
      <w:r w:rsidRPr="00E13106">
        <w:t>柯雨瑞教授</w:t>
      </w:r>
      <w:r w:rsidRPr="00E13106">
        <w:t xml:space="preserve">) </w:t>
      </w:r>
      <w:r w:rsidRPr="00E13106">
        <w:t>的弟弟柯智虔先生對於家父的追思、懷念與感恩文</w:t>
      </w:r>
    </w:p>
    <w:p w14:paraId="3EA47263" w14:textId="77777777" w:rsidR="00203F72" w:rsidRPr="00A53581" w:rsidRDefault="00E13106" w:rsidP="00D87D91">
      <w:r>
        <w:rPr>
          <w:b/>
          <w:bCs/>
        </w:rPr>
        <w:t xml:space="preserve">　　</w:t>
      </w:r>
      <w:r w:rsidR="00203F72" w:rsidRPr="00A53581">
        <w:rPr>
          <w:bCs/>
        </w:rPr>
        <w:t>首先要先感謝大哥，特別將本書紀念與</w:t>
      </w:r>
      <w:r w:rsidR="00203F72" w:rsidRPr="00A53581">
        <w:t>呈獻給我們最敬愛的父親，這是非常有意義，且值得紀念的事，我的父親</w:t>
      </w:r>
      <w:r w:rsidR="00203F72" w:rsidRPr="00A53581">
        <w:t>:</w:t>
      </w:r>
      <w:r w:rsidR="00203F72" w:rsidRPr="00A53581">
        <w:t>柯清波居士。</w:t>
      </w:r>
    </w:p>
    <w:p w14:paraId="45C50AAB" w14:textId="77777777" w:rsidR="00203F72" w:rsidRPr="00A53581" w:rsidRDefault="00E13106" w:rsidP="00D87D91">
      <w:r>
        <w:t xml:space="preserve">　　</w:t>
      </w:r>
      <w:r w:rsidR="00203F72" w:rsidRPr="00A53581">
        <w:t>父親出生於南投縣中寮鄉的山上，小時，家中經濟非常拮据，為了要減輕阿公、阿嬤的負擔，國小畢業後，就開始在山上務農的工作，生活過得非常的辛苦，小小年紀，就開始了過著大人般的生活。在馬祖服役退伍沒幾年，大伯</w:t>
      </w:r>
      <w:r w:rsidR="00203F72" w:rsidRPr="00A53581">
        <w:t>(</w:t>
      </w:r>
      <w:r w:rsidR="00203F72" w:rsidRPr="00A53581">
        <w:t>柯清海先生</w:t>
      </w:r>
      <w:r w:rsidR="00203F72" w:rsidRPr="00A53581">
        <w:t>)</w:t>
      </w:r>
      <w:r w:rsidR="00203F72" w:rsidRPr="00A53581">
        <w:t>又得了重病，需要一筆費用醫治，以致須將變賣土地來治病，後來，父親慢慢調整腳步，到南投市從事工地水泥工。每次聽姑姑提到父親，就說他是個工作勤奮且腳踏實地的人，都會將辛苦工作的薪水，全部拿給父、母親使用與保管。</w:t>
      </w:r>
    </w:p>
    <w:p w14:paraId="33371FA2" w14:textId="77777777" w:rsidR="00203F72" w:rsidRPr="00A53581" w:rsidRDefault="00E13106" w:rsidP="00D87D91">
      <w:r>
        <w:t xml:space="preserve">　　</w:t>
      </w:r>
      <w:r w:rsidR="00203F72" w:rsidRPr="00A53581">
        <w:t>約三十歲左右，父親完成了他的終生大事，開始有了自己的家庭，且哥哥、姐姐相繼出生，此時的父親擔子更是加重了，因為大伯生病往生了，那時阿公、阿嬤也年長了，無法再工作維持家庭，所以家中整個重擔，就落在父親的身上，為了改善家中經濟，父親還特地到彰化的造紙廠，從事輪班工作，離鄉背井好幾年，為了就是要讓我們這些小孩能夠平安的長大。</w:t>
      </w:r>
    </w:p>
    <w:p w14:paraId="64C557B3" w14:textId="77777777" w:rsidR="00203F72" w:rsidRPr="00A53581" w:rsidRDefault="00E13106" w:rsidP="00D87D91">
      <w:r>
        <w:t xml:space="preserve">　　</w:t>
      </w:r>
      <w:r w:rsidR="00203F72" w:rsidRPr="00A53581">
        <w:t>父親雖然國小畢業，且從事勞力的工作，但對我們的教育卻是非常的重</w:t>
      </w:r>
      <w:r w:rsidR="003E240E">
        <w:t>視</w:t>
      </w:r>
      <w:r w:rsidR="00203F72" w:rsidRPr="00A53581">
        <w:t>，希望我們能夠多讀一點書，不要跟父親一樣從事勞力工作。所以，小時候成績不好，父親總是非常嚴厲處罰我們，以前很害怕父親的處罰，但現在再回想起來，還好小時有嚴厲管教我們，現在，我們才能夠在社會上立足。</w:t>
      </w:r>
    </w:p>
    <w:p w14:paraId="01C263AB" w14:textId="77777777" w:rsidR="00203F72" w:rsidRPr="00A53581" w:rsidRDefault="00E13106" w:rsidP="00D87D91">
      <w:r>
        <w:t xml:space="preserve">　　</w:t>
      </w:r>
      <w:r w:rsidR="00203F72" w:rsidRPr="00A53581">
        <w:t>雖然，我們是一個貧困家庭，但父親要行善的念頭，非常的強烈，每個月領薪水，總是會固定買白米至孤兒院與老人院，給那些孤兒與老人。如果沒有多餘的金錢可佈施，父親就會到慈濟，做環保回收。另外；父親也很喜歡捐血，印象中，捐血已經超過三十次以上，拿了好幾張獎狀。父親還有一個特別的興趣，就是補馬路的坑洞，會找我一起去買馬路柏油材料，然後，騎機車去街上找，有坑洞就馬上補起來，此善舉也持續好幾年。在行善佈施方面，是父親讓我最感動的地方，自己的生活雖然不好過，但只要有能力，卻很樂意幫助別人。</w:t>
      </w:r>
    </w:p>
    <w:p w14:paraId="19765158" w14:textId="77777777" w:rsidR="00953151" w:rsidRDefault="00E13106" w:rsidP="00D87D91">
      <w:r>
        <w:t xml:space="preserve">　　</w:t>
      </w:r>
      <w:r w:rsidR="00203F72" w:rsidRPr="00A53581">
        <w:t>父親亡生也快八年了，因為寫這篇紀念文，讓我再次仔細回想起父親辛苦的一生，最後，要跟父親說聲，請您放心的到天國去，我們會永遠懷念您。</w:t>
      </w:r>
    </w:p>
    <w:p w14:paraId="6B1B559D" w14:textId="77777777" w:rsidR="00203F72" w:rsidRPr="008A7C7F" w:rsidRDefault="007F7377" w:rsidP="00D87D91">
      <w:r w:rsidRPr="008A7C7F">
        <w:t>【備註】</w:t>
      </w:r>
    </w:p>
    <w:p w14:paraId="12B0652B" w14:textId="77777777" w:rsidR="00203F72" w:rsidRPr="008A7C7F" w:rsidRDefault="00E13106" w:rsidP="00D87D91">
      <w:r w:rsidRPr="008A7C7F">
        <w:t xml:space="preserve">　　</w:t>
      </w:r>
      <w:r w:rsidR="00203F72" w:rsidRPr="008A7C7F">
        <w:t>柯智虔先生的學經歷如下：</w:t>
      </w:r>
    </w:p>
    <w:p w14:paraId="1425E34A" w14:textId="77777777" w:rsidR="00203F72" w:rsidRPr="008A7C7F" w:rsidRDefault="00E13106" w:rsidP="00D87D91">
      <w:r w:rsidRPr="008A7C7F">
        <w:t xml:space="preserve">　　</w:t>
      </w:r>
      <w:r w:rsidR="00203F72" w:rsidRPr="008A7C7F">
        <w:t>學歷：國立中興大學</w:t>
      </w:r>
      <w:r w:rsidR="00203F72" w:rsidRPr="008A7C7F">
        <w:t xml:space="preserve"> </w:t>
      </w:r>
      <w:r w:rsidR="00203F72" w:rsidRPr="008A7C7F">
        <w:t>機械研究所</w:t>
      </w:r>
      <w:r w:rsidR="00203F72" w:rsidRPr="008A7C7F">
        <w:t xml:space="preserve"> </w:t>
      </w:r>
      <w:r w:rsidR="00203F72" w:rsidRPr="008A7C7F">
        <w:t>碩士</w:t>
      </w:r>
    </w:p>
    <w:p w14:paraId="0C8D37FF" w14:textId="77777777" w:rsidR="00203F72" w:rsidRDefault="00E13106" w:rsidP="00D87D91">
      <w:r w:rsidRPr="008A7C7F">
        <w:t xml:space="preserve">　　</w:t>
      </w:r>
      <w:r w:rsidR="00203F72" w:rsidRPr="008A7C7F">
        <w:t>現職：捷安特</w:t>
      </w:r>
      <w:r w:rsidR="00203F72" w:rsidRPr="008A7C7F">
        <w:t xml:space="preserve"> </w:t>
      </w:r>
      <w:r w:rsidR="00203F72" w:rsidRPr="008A7C7F">
        <w:t>彰化</w:t>
      </w:r>
      <w:r w:rsidR="00203F72" w:rsidRPr="008A7C7F">
        <w:t xml:space="preserve"> YouBike </w:t>
      </w:r>
      <w:r w:rsidR="00203F72" w:rsidRPr="008A7C7F">
        <w:t>維調領班</w:t>
      </w:r>
    </w:p>
    <w:p w14:paraId="20A9E843" w14:textId="77777777" w:rsidR="00CB20C4" w:rsidRPr="008A7C7F" w:rsidRDefault="00CB20C4" w:rsidP="00D87D91"/>
    <w:p w14:paraId="314015C7" w14:textId="77777777" w:rsidR="00953151" w:rsidRDefault="00203F72" w:rsidP="00767F37">
      <w:pPr>
        <w:pStyle w:val="2"/>
      </w:pPr>
      <w:r w:rsidRPr="00A53581">
        <w:t>三、作者</w:t>
      </w:r>
      <w:r w:rsidRPr="00A53581">
        <w:t>(</w:t>
      </w:r>
      <w:r w:rsidRPr="00A53581">
        <w:t>柯雨瑞教授</w:t>
      </w:r>
      <w:r w:rsidRPr="00A53581">
        <w:t>)</w:t>
      </w:r>
      <w:r w:rsidRPr="00A53581">
        <w:t>的外甥女林佩萱小姐對於其外祖父</w:t>
      </w:r>
      <w:r w:rsidRPr="00A53581">
        <w:t>(</w:t>
      </w:r>
      <w:r w:rsidRPr="00A53581">
        <w:t>柯清波老居士</w:t>
      </w:r>
      <w:r w:rsidRPr="00A53581">
        <w:t>)</w:t>
      </w:r>
      <w:r w:rsidRPr="00A53581">
        <w:t>的追思、懷念</w:t>
      </w:r>
      <w:r w:rsidRPr="00A53581">
        <w:lastRenderedPageBreak/>
        <w:t>與感恩文</w:t>
      </w:r>
    </w:p>
    <w:p w14:paraId="0290390E" w14:textId="77777777" w:rsidR="00953151" w:rsidRDefault="00E13106" w:rsidP="00D87D91">
      <w:r>
        <w:t xml:space="preserve">　　</w:t>
      </w:r>
      <w:r w:rsidR="00203F72" w:rsidRPr="00A53581">
        <w:t>雖然，外公</w:t>
      </w:r>
      <w:r w:rsidR="00203F72" w:rsidRPr="00A53581">
        <w:t>(</w:t>
      </w:r>
      <w:r w:rsidR="00203F72" w:rsidRPr="00A53581">
        <w:t>外祖父</w:t>
      </w:r>
      <w:r w:rsidR="00203F72" w:rsidRPr="00A53581">
        <w:t>)</w:t>
      </w:r>
      <w:r w:rsidR="00203F72" w:rsidRPr="00A53581">
        <w:t>過世已久，但是，他仍然還留在我心中。還記得小時候，每當我們去外婆</w:t>
      </w:r>
      <w:r w:rsidR="00203F72" w:rsidRPr="00A53581">
        <w:t>(</w:t>
      </w:r>
      <w:r w:rsidR="00203F72" w:rsidRPr="00A53581">
        <w:t>外祖母</w:t>
      </w:r>
      <w:r w:rsidR="00203F72" w:rsidRPr="00A53581">
        <w:t>)</w:t>
      </w:r>
      <w:r w:rsidR="00203F72" w:rsidRPr="00A53581">
        <w:t>家玩時，外公總是會很開心的牽著我跟弟弟的手，去附近的便利商店，買我們愛吃的零食。</w:t>
      </w:r>
    </w:p>
    <w:p w14:paraId="71E985AE" w14:textId="77777777" w:rsidR="00953151" w:rsidRDefault="00E13106" w:rsidP="00D87D91">
      <w:r>
        <w:t xml:space="preserve">　　</w:t>
      </w:r>
      <w:r w:rsidR="00203F72" w:rsidRPr="00A53581">
        <w:t>當我們覺得無聊，還會帶我們去附近的小公園玩。外公總是疼愛我們孫子，他那和藹的笑容，我到現在之時，都還記憶猶存。</w:t>
      </w:r>
    </w:p>
    <w:p w14:paraId="26BA5BE0" w14:textId="77777777" w:rsidR="00E13106" w:rsidRPr="008A7C7F" w:rsidRDefault="007F7377" w:rsidP="00D87D91">
      <w:r w:rsidRPr="008A7C7F">
        <w:t>【備註】</w:t>
      </w:r>
      <w:r w:rsidR="00203F72" w:rsidRPr="008A7C7F">
        <w:t>林佩萱小姐的學歷與現職如下：</w:t>
      </w:r>
    </w:p>
    <w:p w14:paraId="56636DED" w14:textId="77777777" w:rsidR="00203F72" w:rsidRPr="008A7C7F" w:rsidRDefault="005E1EA8" w:rsidP="00D87D91">
      <w:r w:rsidRPr="008A7C7F">
        <w:rPr>
          <w:rFonts w:hint="eastAsia"/>
        </w:rPr>
        <w:t xml:space="preserve">　　</w:t>
      </w:r>
      <w:r w:rsidR="00203F72" w:rsidRPr="008A7C7F">
        <w:t>「中臺科技大學護理系」大四學生</w:t>
      </w:r>
    </w:p>
    <w:p w14:paraId="3F7CF6DD" w14:textId="77777777" w:rsidR="00953151" w:rsidRDefault="00203F72" w:rsidP="00767F37">
      <w:pPr>
        <w:pStyle w:val="2"/>
      </w:pPr>
      <w:r w:rsidRPr="00A53581">
        <w:t>四、作者</w:t>
      </w:r>
      <w:r w:rsidRPr="00A53581">
        <w:t>(</w:t>
      </w:r>
      <w:r w:rsidRPr="00A53581">
        <w:t>柯雨瑞教授</w:t>
      </w:r>
      <w:r w:rsidRPr="00A53581">
        <w:t>)</w:t>
      </w:r>
      <w:r w:rsidRPr="00A53581">
        <w:t>的表兄簡茂榮先生對於其舅父</w:t>
      </w:r>
      <w:r w:rsidRPr="00A53581">
        <w:t>(</w:t>
      </w:r>
      <w:r w:rsidRPr="00A53581">
        <w:t>柯清波老居士</w:t>
      </w:r>
      <w:r w:rsidRPr="00A53581">
        <w:t>)</w:t>
      </w:r>
      <w:r w:rsidRPr="00A53581">
        <w:t>的追思、懷念與感恩文</w:t>
      </w:r>
    </w:p>
    <w:p w14:paraId="381746FD" w14:textId="77777777" w:rsidR="00953151" w:rsidRDefault="00E13106" w:rsidP="00D87D91">
      <w:pPr>
        <w:rPr>
          <w:kern w:val="0"/>
        </w:rPr>
      </w:pPr>
      <w:r>
        <w:t xml:space="preserve">　　</w:t>
      </w:r>
      <w:r w:rsidR="00203F72" w:rsidRPr="00A53581">
        <w:t>在我青少年時期的印象中，如欲到舅父家</w:t>
      </w:r>
      <w:r w:rsidR="00203F72" w:rsidRPr="00A53581">
        <w:t>(</w:t>
      </w:r>
      <w:r w:rsidR="00203F72" w:rsidRPr="00A53581">
        <w:t>南投縣中寮鄉、永和村</w:t>
      </w:r>
      <w:r w:rsidR="00203F72" w:rsidRPr="00A53581">
        <w:t>)</w:t>
      </w:r>
      <w:r w:rsidR="00203F72" w:rsidRPr="00A53581">
        <w:t>，並不好前往；我會先將腳踏車放在馬路旁邊，之後，再走路前往舅舅家</w:t>
      </w:r>
      <w:r w:rsidR="00203F72" w:rsidRPr="00A53581">
        <w:rPr>
          <w:kern w:val="0"/>
        </w:rPr>
        <w:t>。山路是一階、一階的，彎來彎去。</w:t>
      </w:r>
    </w:p>
    <w:p w14:paraId="700B356B" w14:textId="77777777" w:rsidR="00953151" w:rsidRDefault="00E13106" w:rsidP="00D87D91">
      <w:r>
        <w:t xml:space="preserve">　　</w:t>
      </w:r>
      <w:r w:rsidR="00203F72" w:rsidRPr="00A53581">
        <w:t>而我常到舅舅家的那一段時間，是舅父與舅媽剛結婚不久的時期。舅舅在其自己的山上果園中，工作很勤勞；對我們晚輩亦是很好，逢年過節時，亦有相互往來。我約</w:t>
      </w:r>
      <w:r w:rsidR="00203F72" w:rsidRPr="00A53581">
        <w:t>15</w:t>
      </w:r>
      <w:r w:rsidR="00203F72" w:rsidRPr="00A53581">
        <w:t>歲或</w:t>
      </w:r>
      <w:r w:rsidR="00203F72" w:rsidRPr="00A53581">
        <w:t>16</w:t>
      </w:r>
      <w:r w:rsidR="00203F72" w:rsidRPr="00A53581">
        <w:t>歲左右時，會騎腳踏車至舅舅山上家遊玩，那時，舅舅與舅媽會拿鳳梨乾、龍眼乾請我享用；舅舅晚年之時，亦與我們有相互往來；我們覺得舅舅作人很有趣，是一位老實人。</w:t>
      </w:r>
    </w:p>
    <w:p w14:paraId="790D3E15" w14:textId="77777777" w:rsidR="00203F72" w:rsidRPr="008A7C7F" w:rsidRDefault="007F7377" w:rsidP="00D87D91">
      <w:r w:rsidRPr="008A7C7F">
        <w:t>【備註】</w:t>
      </w:r>
      <w:r w:rsidR="00203F72" w:rsidRPr="008A7C7F">
        <w:t>簡茂榮先生的學歷與現職如下：</w:t>
      </w:r>
    </w:p>
    <w:p w14:paraId="0C13A158" w14:textId="77777777" w:rsidR="00203F72" w:rsidRPr="008A7C7F" w:rsidRDefault="00203F72" w:rsidP="00D87D91">
      <w:r w:rsidRPr="008A7C7F">
        <w:t>學歷：國小</w:t>
      </w:r>
    </w:p>
    <w:p w14:paraId="68216E3B" w14:textId="77777777" w:rsidR="00203F72" w:rsidRPr="008A7C7F" w:rsidRDefault="00203F72" w:rsidP="00D87D91">
      <w:r w:rsidRPr="008A7C7F">
        <w:t>現職：家事</w:t>
      </w:r>
    </w:p>
    <w:p w14:paraId="658EAF4A" w14:textId="77777777" w:rsidR="00953151" w:rsidRDefault="00203F72" w:rsidP="00767F37">
      <w:pPr>
        <w:pStyle w:val="2"/>
      </w:pPr>
      <w:r w:rsidRPr="00A53581">
        <w:t>五、作者</w:t>
      </w:r>
      <w:r w:rsidRPr="00A53581">
        <w:t>(</w:t>
      </w:r>
      <w:r w:rsidRPr="00A53581">
        <w:t>柯雨瑞教授</w:t>
      </w:r>
      <w:r w:rsidRPr="00A53581">
        <w:t>)</w:t>
      </w:r>
      <w:r w:rsidRPr="00A53581">
        <w:t>的表姐陳色美女士對於其姑丈</w:t>
      </w:r>
      <w:r w:rsidRPr="00A53581">
        <w:t>(</w:t>
      </w:r>
      <w:r w:rsidRPr="00A53581">
        <w:t>柯清波老居士</w:t>
      </w:r>
      <w:r w:rsidRPr="00A53581">
        <w:t>)</w:t>
      </w:r>
      <w:r w:rsidRPr="00A53581">
        <w:t>的追思、懷念與感恩文</w:t>
      </w:r>
    </w:p>
    <w:p w14:paraId="2DE78C44" w14:textId="77777777" w:rsidR="00953151" w:rsidRDefault="00E13106" w:rsidP="00D87D91">
      <w:r>
        <w:t xml:space="preserve">　　</w:t>
      </w:r>
      <w:r w:rsidR="00203F72" w:rsidRPr="00A53581">
        <w:t>姑丈的為人，可謂是一生刻苦耐勞，為子女作出很多的貢獻，為子女付出，無怨無悔，我覺得很偉大；我覺得他的為人很好，常常是無聲無言，很少發言，看到我時，總會面帶微笑，作人客氣。他是一位好姑丈，好爸爸。</w:t>
      </w:r>
    </w:p>
    <w:p w14:paraId="26FCD323" w14:textId="77777777" w:rsidR="005E1EA8" w:rsidRPr="008A7C7F" w:rsidRDefault="007F7377" w:rsidP="00D87D91">
      <w:r w:rsidRPr="008A7C7F">
        <w:t>【備註】</w:t>
      </w:r>
    </w:p>
    <w:p w14:paraId="4C3CB5AA" w14:textId="77777777" w:rsidR="00203F72" w:rsidRPr="008A7C7F" w:rsidRDefault="005E1EA8" w:rsidP="00D87D91">
      <w:r w:rsidRPr="008A7C7F">
        <w:rPr>
          <w:rFonts w:hint="eastAsia"/>
        </w:rPr>
        <w:t xml:space="preserve">　　</w:t>
      </w:r>
      <w:r w:rsidR="00203F72" w:rsidRPr="008A7C7F">
        <w:t>陳色美女士的學歷與現職如下：</w:t>
      </w:r>
    </w:p>
    <w:p w14:paraId="50120D54" w14:textId="77777777" w:rsidR="00203F72" w:rsidRPr="008A7C7F" w:rsidRDefault="005E1EA8" w:rsidP="00D87D91">
      <w:r w:rsidRPr="008A7C7F">
        <w:t xml:space="preserve">　　</w:t>
      </w:r>
      <w:r w:rsidR="00203F72" w:rsidRPr="008A7C7F">
        <w:t>學歷：南投縣中寮國中畢業</w:t>
      </w:r>
    </w:p>
    <w:p w14:paraId="5F962FCC" w14:textId="77777777" w:rsidR="00953151" w:rsidRDefault="005E1EA8" w:rsidP="00D87D91">
      <w:r w:rsidRPr="008A7C7F">
        <w:t xml:space="preserve">　　</w:t>
      </w:r>
      <w:r w:rsidR="00203F72" w:rsidRPr="008A7C7F">
        <w:t>現職：公司作業員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835"/>
        <w:gridCol w:w="2976"/>
      </w:tblGrid>
      <w:tr w:rsidR="00203F72" w:rsidRPr="00A53581" w14:paraId="2AF94C06" w14:textId="77777777" w:rsidTr="00203F72">
        <w:trPr>
          <w:trHeight w:val="2870"/>
        </w:trPr>
        <w:tc>
          <w:tcPr>
            <w:tcW w:w="2235" w:type="dxa"/>
            <w:shd w:val="clear" w:color="auto" w:fill="auto"/>
          </w:tcPr>
          <w:p w14:paraId="1FB48E9C" w14:textId="77777777" w:rsidR="00203F72" w:rsidRPr="00193290" w:rsidRDefault="00203F72" w:rsidP="00D87D91">
            <w:r w:rsidRPr="00193290">
              <w:rPr>
                <w:noProof/>
              </w:rPr>
              <w:drawing>
                <wp:inline distT="0" distB="0" distL="0" distR="0" wp14:anchorId="01993599" wp14:editId="6DA9E773">
                  <wp:extent cx="1312545" cy="2366645"/>
                  <wp:effectExtent l="0" t="0" r="1905" b="0"/>
                  <wp:docPr id="3" name="圖片 3" descr="02父親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2父親照片"/>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12545" cy="2366645"/>
                          </a:xfrm>
                          <a:prstGeom prst="rect">
                            <a:avLst/>
                          </a:prstGeom>
                          <a:noFill/>
                          <a:ln>
                            <a:noFill/>
                          </a:ln>
                        </pic:spPr>
                      </pic:pic>
                    </a:graphicData>
                  </a:graphic>
                </wp:inline>
              </w:drawing>
            </w:r>
            <w:r w:rsidR="00193290" w:rsidRPr="0065661E">
              <w:rPr>
                <w:rFonts w:hint="eastAsia"/>
                <w:color w:val="FFFFFF" w:themeColor="background1"/>
              </w:rPr>
              <w:lastRenderedPageBreak/>
              <w:t>◇</w:t>
            </w:r>
          </w:p>
        </w:tc>
        <w:tc>
          <w:tcPr>
            <w:tcW w:w="2835" w:type="dxa"/>
            <w:shd w:val="clear" w:color="auto" w:fill="auto"/>
          </w:tcPr>
          <w:p w14:paraId="6CCFC6EB" w14:textId="77777777" w:rsidR="00203F72" w:rsidRPr="00193290" w:rsidRDefault="00203F72" w:rsidP="00D87D91">
            <w:r w:rsidRPr="00193290">
              <w:rPr>
                <w:noProof/>
              </w:rPr>
              <w:lastRenderedPageBreak/>
              <w:drawing>
                <wp:inline distT="0" distB="0" distL="0" distR="0" wp14:anchorId="2A2121D0" wp14:editId="541AF151">
                  <wp:extent cx="1748155" cy="2247900"/>
                  <wp:effectExtent l="0" t="0" r="444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48155" cy="2247900"/>
                          </a:xfrm>
                          <a:prstGeom prst="rect">
                            <a:avLst/>
                          </a:prstGeom>
                          <a:noFill/>
                          <a:ln>
                            <a:noFill/>
                          </a:ln>
                        </pic:spPr>
                      </pic:pic>
                    </a:graphicData>
                  </a:graphic>
                </wp:inline>
              </w:drawing>
            </w:r>
          </w:p>
          <w:p w14:paraId="7A0F13D0" w14:textId="77777777" w:rsidR="00203F72" w:rsidRPr="00193290" w:rsidRDefault="00193290" w:rsidP="00D87D91">
            <w:r w:rsidRPr="0065661E">
              <w:rPr>
                <w:rFonts w:hint="eastAsia"/>
              </w:rPr>
              <w:lastRenderedPageBreak/>
              <w:t>◇</w:t>
            </w:r>
          </w:p>
        </w:tc>
        <w:tc>
          <w:tcPr>
            <w:tcW w:w="2976" w:type="dxa"/>
            <w:shd w:val="clear" w:color="auto" w:fill="auto"/>
          </w:tcPr>
          <w:p w14:paraId="2F7808E0" w14:textId="77777777" w:rsidR="00203F72" w:rsidRPr="00193290" w:rsidRDefault="00193290" w:rsidP="00D87D91">
            <w:r w:rsidRPr="0065661E">
              <w:rPr>
                <w:rFonts w:hint="eastAsia"/>
                <w:color w:val="FFFFFF" w:themeColor="background1"/>
              </w:rPr>
              <w:lastRenderedPageBreak/>
              <w:t>◇</w:t>
            </w:r>
            <w:r w:rsidR="00203F72" w:rsidRPr="00193290">
              <w:rPr>
                <w:noProof/>
              </w:rPr>
              <w:drawing>
                <wp:inline distT="0" distB="0" distL="0" distR="0" wp14:anchorId="28A89894" wp14:editId="66F22BAC">
                  <wp:extent cx="1820545" cy="2023745"/>
                  <wp:effectExtent l="0" t="0" r="8255"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0545" cy="2023745"/>
                          </a:xfrm>
                          <a:prstGeom prst="rect">
                            <a:avLst/>
                          </a:prstGeom>
                          <a:noFill/>
                          <a:ln>
                            <a:noFill/>
                          </a:ln>
                        </pic:spPr>
                      </pic:pic>
                    </a:graphicData>
                  </a:graphic>
                </wp:inline>
              </w:drawing>
            </w:r>
          </w:p>
        </w:tc>
      </w:tr>
    </w:tbl>
    <w:p w14:paraId="38E64311" w14:textId="7263020E" w:rsidR="00953151" w:rsidRDefault="00B03E84" w:rsidP="00D87D91">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w:t>
      </w:r>
      <w:r w:rsidR="00076467">
        <w:rPr>
          <w:noProof/>
        </w:rPr>
        <w:fldChar w:fldCharType="end"/>
      </w:r>
      <w:r w:rsidR="00203F72" w:rsidRPr="00A53581">
        <w:t xml:space="preserve"> </w:t>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的家父</w:t>
      </w:r>
      <w:r w:rsidR="00BC4811">
        <w:rPr>
          <w:bCs/>
        </w:rPr>
        <w:t>〜</w:t>
      </w:r>
      <w:r w:rsidR="00203F72" w:rsidRPr="00A53581">
        <w:rPr>
          <w:bCs/>
        </w:rPr>
        <w:t>柯清波父親</w:t>
      </w:r>
      <w:r w:rsidR="00203F72" w:rsidRPr="00A53581">
        <w:rPr>
          <w:bCs/>
        </w:rPr>
        <w:t>(</w:t>
      </w:r>
      <w:r w:rsidR="00203F72" w:rsidRPr="00A53581">
        <w:rPr>
          <w:bCs/>
        </w:rPr>
        <w:t>已往生</w:t>
      </w:r>
      <w:r w:rsidR="00203F72" w:rsidRPr="00A53581">
        <w:rPr>
          <w:bCs/>
        </w:rPr>
        <w:t>)</w:t>
      </w:r>
      <w:r w:rsidR="00203F72" w:rsidRPr="00A53581">
        <w:rPr>
          <w:bCs/>
        </w:rPr>
        <w:t>的照片圖示</w:t>
      </w:r>
      <w:r w:rsidR="005A1C1A" w:rsidRPr="0065661E">
        <w:rPr>
          <w:rFonts w:hint="eastAsia"/>
          <w:color w:val="FFFFFF" w:themeColor="background1"/>
        </w:rPr>
        <w:t>◇◆</w:t>
      </w:r>
    </w:p>
    <w:p w14:paraId="74A7C88D" w14:textId="77777777" w:rsidR="00203F72" w:rsidRDefault="00203F72" w:rsidP="00D87D91"/>
    <w:p w14:paraId="63C5C035" w14:textId="77777777" w:rsidR="005A1C1A" w:rsidRPr="00A53581" w:rsidRDefault="005A1C1A" w:rsidP="00D87D91">
      <w:r>
        <w:rPr>
          <w:noProof/>
        </w:rPr>
        <w:drawing>
          <wp:inline distT="0" distB="0" distL="0" distR="0" wp14:anchorId="73825161" wp14:editId="6978E5A8">
            <wp:extent cx="4613275" cy="3609340"/>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3275" cy="3609340"/>
                    </a:xfrm>
                    <a:prstGeom prst="rect">
                      <a:avLst/>
                    </a:prstGeom>
                    <a:noFill/>
                    <a:ln>
                      <a:noFill/>
                    </a:ln>
                  </pic:spPr>
                </pic:pic>
              </a:graphicData>
            </a:graphic>
          </wp:inline>
        </w:drawing>
      </w:r>
    </w:p>
    <w:p w14:paraId="346B9C2D" w14:textId="1A99A5D2" w:rsidR="005A1C1A" w:rsidRDefault="00B03E84" w:rsidP="00D87D91">
      <w:pPr>
        <w:pStyle w:val="aff4"/>
        <w:rPr>
          <w:bCs/>
        </w:rPr>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4</w:t>
      </w:r>
      <w:r w:rsidR="00076467">
        <w:rPr>
          <w:noProof/>
        </w:rPr>
        <w:fldChar w:fldCharType="end"/>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的全家福</w:t>
      </w:r>
      <w:r w:rsidR="00203F72" w:rsidRPr="00A53581">
        <w:rPr>
          <w:bCs/>
        </w:rPr>
        <w:t>(</w:t>
      </w:r>
      <w:r w:rsidR="00203F72" w:rsidRPr="00A53581">
        <w:rPr>
          <w:bCs/>
        </w:rPr>
        <w:t>前排右邊為父親照片</w:t>
      </w:r>
      <w:r w:rsidR="00203F72" w:rsidRPr="00A53581">
        <w:rPr>
          <w:bCs/>
        </w:rPr>
        <w:t>)</w:t>
      </w:r>
      <w:r w:rsidR="00203F72" w:rsidRPr="00A53581">
        <w:rPr>
          <w:bCs/>
        </w:rPr>
        <w:t>圖示</w:t>
      </w:r>
    </w:p>
    <w:p w14:paraId="1F534BE8" w14:textId="77777777" w:rsidR="00203F72" w:rsidRPr="00E108EB" w:rsidRDefault="005A1C1A" w:rsidP="00D87D91">
      <w:pPr>
        <w:pStyle w:val="aff4"/>
        <w:rPr>
          <w:rFonts w:ascii="新細明體" w:hAnsi="新細明體"/>
          <w:bCs/>
          <w:color w:val="FFFFFF" w:themeColor="background1"/>
        </w:rPr>
      </w:pPr>
      <w:r w:rsidRPr="00E108EB">
        <w:rPr>
          <w:rFonts w:hint="eastAsia"/>
          <w:color w:val="FFFFFF" w:themeColor="background1"/>
        </w:rPr>
        <w:t>◇◆</w:t>
      </w:r>
    </w:p>
    <w:p w14:paraId="5993C9CA" w14:textId="77777777" w:rsidR="00203F72" w:rsidRPr="00A53581" w:rsidRDefault="00203F72" w:rsidP="00D87D91">
      <w:r>
        <w:rPr>
          <w:noProof/>
        </w:rPr>
        <w:lastRenderedPageBreak/>
        <w:drawing>
          <wp:inline distT="0" distB="0" distL="0" distR="0" wp14:anchorId="5E0F3BC4" wp14:editId="0974B0F6">
            <wp:extent cx="4745355" cy="3830955"/>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l="4419" t="-735" r="10075" b="2702"/>
                    <a:stretch>
                      <a:fillRect/>
                    </a:stretch>
                  </pic:blipFill>
                  <pic:spPr bwMode="auto">
                    <a:xfrm>
                      <a:off x="0" y="0"/>
                      <a:ext cx="4745355" cy="3830955"/>
                    </a:xfrm>
                    <a:prstGeom prst="rect">
                      <a:avLst/>
                    </a:prstGeom>
                    <a:noFill/>
                    <a:ln>
                      <a:noFill/>
                    </a:ln>
                  </pic:spPr>
                </pic:pic>
              </a:graphicData>
            </a:graphic>
          </wp:inline>
        </w:drawing>
      </w:r>
    </w:p>
    <w:p w14:paraId="15B1214D" w14:textId="56BF4C00" w:rsidR="00193290" w:rsidRDefault="00B03E84" w:rsidP="00D87D91">
      <w:pPr>
        <w:pStyle w:val="aff4"/>
        <w:rPr>
          <w:b/>
          <w:bCs/>
        </w:rPr>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5</w:t>
      </w:r>
      <w:r w:rsidR="00076467">
        <w:rPr>
          <w:noProof/>
        </w:rPr>
        <w:fldChar w:fldCharType="end"/>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之父</w:t>
      </w:r>
      <w:r w:rsidR="00203F72" w:rsidRPr="00A53581">
        <w:rPr>
          <w:b/>
          <w:bCs/>
        </w:rPr>
        <w:t>親與母親合照圖示</w:t>
      </w:r>
    </w:p>
    <w:p w14:paraId="4757556C" w14:textId="77777777" w:rsidR="00203F72" w:rsidRPr="00E108EB" w:rsidRDefault="00193290" w:rsidP="00D87D91">
      <w:pPr>
        <w:pStyle w:val="aff4"/>
        <w:rPr>
          <w:color w:val="FFFFFF" w:themeColor="background1"/>
        </w:rPr>
      </w:pPr>
      <w:r w:rsidRPr="00E108EB">
        <w:rPr>
          <w:rFonts w:hint="eastAsia"/>
          <w:color w:val="FFFFFF" w:themeColor="background1"/>
        </w:rPr>
        <w:t>◇◆</w:t>
      </w:r>
      <w:r w:rsidR="00203F72" w:rsidRPr="00E108EB">
        <w:rPr>
          <w:color w:val="FFFFFF" w:themeColor="background1"/>
        </w:rPr>
        <w:t xml:space="preserve"> </w:t>
      </w:r>
    </w:p>
    <w:p w14:paraId="7C74F0E3" w14:textId="77777777" w:rsidR="00203F72" w:rsidRPr="00A53581" w:rsidRDefault="00203F72" w:rsidP="00D87D91">
      <w:r>
        <w:rPr>
          <w:noProof/>
        </w:rPr>
        <w:drawing>
          <wp:inline distT="0" distB="0" distL="0" distR="0" wp14:anchorId="5CB59047" wp14:editId="3C6CD580">
            <wp:extent cx="4495800" cy="3395345"/>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t="6235" r="7851" b="32176"/>
                    <a:stretch>
                      <a:fillRect/>
                    </a:stretch>
                  </pic:blipFill>
                  <pic:spPr bwMode="auto">
                    <a:xfrm>
                      <a:off x="0" y="0"/>
                      <a:ext cx="4495800" cy="3395345"/>
                    </a:xfrm>
                    <a:prstGeom prst="rect">
                      <a:avLst/>
                    </a:prstGeom>
                    <a:noFill/>
                    <a:ln>
                      <a:noFill/>
                    </a:ln>
                  </pic:spPr>
                </pic:pic>
              </a:graphicData>
            </a:graphic>
          </wp:inline>
        </w:drawing>
      </w:r>
    </w:p>
    <w:p w14:paraId="2D4A40CF" w14:textId="04216AFF" w:rsidR="00953151" w:rsidRDefault="00B03E84" w:rsidP="00D87D91">
      <w:pPr>
        <w:pStyle w:val="aff4"/>
        <w:rPr>
          <w:b/>
          <w:bCs/>
        </w:rPr>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6</w:t>
      </w:r>
      <w:r w:rsidR="00076467">
        <w:rPr>
          <w:noProof/>
        </w:rPr>
        <w:fldChar w:fldCharType="end"/>
      </w:r>
      <w:r w:rsidR="00203F72" w:rsidRPr="00A53581">
        <w:rPr>
          <w:b/>
          <w:bCs/>
        </w:rPr>
        <w:t>作者</w:t>
      </w:r>
      <w:r w:rsidR="00203F72" w:rsidRPr="00A53581">
        <w:rPr>
          <w:b/>
          <w:bCs/>
        </w:rPr>
        <w:t>(</w:t>
      </w:r>
      <w:r w:rsidR="00203F72" w:rsidRPr="00A53581">
        <w:rPr>
          <w:b/>
          <w:bCs/>
        </w:rPr>
        <w:t>柯雨瑞教授</w:t>
      </w:r>
      <w:r w:rsidR="00203F72" w:rsidRPr="00A53581">
        <w:rPr>
          <w:b/>
          <w:bCs/>
        </w:rPr>
        <w:t>)</w:t>
      </w:r>
      <w:r w:rsidR="00203F72" w:rsidRPr="00A53581">
        <w:rPr>
          <w:b/>
          <w:bCs/>
        </w:rPr>
        <w:t>與父親合照圖示</w:t>
      </w:r>
      <w:r w:rsidR="00203F72" w:rsidRPr="00A53581">
        <w:rPr>
          <w:b/>
          <w:bCs/>
        </w:rPr>
        <w:t>(</w:t>
      </w:r>
      <w:r w:rsidR="00203F72" w:rsidRPr="00A53581">
        <w:rPr>
          <w:b/>
          <w:bCs/>
        </w:rPr>
        <w:t>右邊為父親照片</w:t>
      </w:r>
      <w:r w:rsidR="00203F72" w:rsidRPr="00A53581">
        <w:rPr>
          <w:b/>
          <w:bCs/>
        </w:rPr>
        <w:t>)</w:t>
      </w:r>
    </w:p>
    <w:p w14:paraId="14A500EC" w14:textId="77777777" w:rsidR="00203F72" w:rsidRDefault="00203F72" w:rsidP="00D87D91"/>
    <w:p w14:paraId="1921084C" w14:textId="77777777" w:rsidR="00193290" w:rsidRPr="00E108EB" w:rsidRDefault="00193290" w:rsidP="00D87D91">
      <w:pPr>
        <w:rPr>
          <w:color w:val="FFFFFF" w:themeColor="background1"/>
        </w:rPr>
      </w:pPr>
      <w:r w:rsidRPr="00E108EB">
        <w:rPr>
          <w:rFonts w:hint="eastAsia"/>
          <w:color w:val="FFFFFF" w:themeColor="background1"/>
        </w:rPr>
        <w:t>◇◆</w:t>
      </w:r>
    </w:p>
    <w:p w14:paraId="234805AE" w14:textId="77777777" w:rsidR="00203F72" w:rsidRPr="00A53581" w:rsidRDefault="00203F72" w:rsidP="00D87D91">
      <w:r>
        <w:rPr>
          <w:noProof/>
        </w:rPr>
        <w:lastRenderedPageBreak/>
        <w:drawing>
          <wp:inline distT="0" distB="0" distL="0" distR="0" wp14:anchorId="364763F2" wp14:editId="6BD20996">
            <wp:extent cx="4559300" cy="3894455"/>
            <wp:effectExtent l="0" t="0" r="0" b="0"/>
            <wp:docPr id="9" name="圖片 9" descr="1323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32311_1"/>
                    <pic:cNvPicPr>
                      <a:picLocks noChangeAspect="1" noChangeArrowheads="1"/>
                    </pic:cNvPicPr>
                  </pic:nvPicPr>
                  <pic:blipFill>
                    <a:blip r:embed="rId19">
                      <a:extLst>
                        <a:ext uri="{28A0092B-C50C-407E-A947-70E740481C1C}">
                          <a14:useLocalDpi xmlns:a14="http://schemas.microsoft.com/office/drawing/2010/main" val="0"/>
                        </a:ext>
                      </a:extLst>
                    </a:blip>
                    <a:srcRect r="50127" b="39444"/>
                    <a:stretch>
                      <a:fillRect/>
                    </a:stretch>
                  </pic:blipFill>
                  <pic:spPr bwMode="auto">
                    <a:xfrm>
                      <a:off x="0" y="0"/>
                      <a:ext cx="4559300" cy="3894455"/>
                    </a:xfrm>
                    <a:prstGeom prst="rect">
                      <a:avLst/>
                    </a:prstGeom>
                    <a:noFill/>
                    <a:ln>
                      <a:noFill/>
                    </a:ln>
                  </pic:spPr>
                </pic:pic>
              </a:graphicData>
            </a:graphic>
          </wp:inline>
        </w:drawing>
      </w:r>
    </w:p>
    <w:p w14:paraId="1D0EB549" w14:textId="6CB90DF9" w:rsidR="00953151" w:rsidRDefault="00B03E84" w:rsidP="00D87D91">
      <w:pPr>
        <w:pStyle w:val="aff4"/>
        <w:rPr>
          <w:bCs/>
        </w:rPr>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7</w:t>
      </w:r>
      <w:r w:rsidR="00076467">
        <w:rPr>
          <w:noProof/>
        </w:rPr>
        <w:fldChar w:fldCharType="end"/>
      </w:r>
      <w:r w:rsidR="00203F72" w:rsidRPr="00A53581">
        <w:t xml:space="preserve"> </w:t>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之父親之捐款收據圖示</w:t>
      </w:r>
    </w:p>
    <w:p w14:paraId="584D7986" w14:textId="77777777" w:rsidR="00193290" w:rsidRPr="00193290" w:rsidRDefault="00193290" w:rsidP="00D87D91"/>
    <w:p w14:paraId="2F3BF8E0" w14:textId="77777777" w:rsidR="00193290" w:rsidRPr="00E108EB" w:rsidRDefault="00193290" w:rsidP="00D87D91">
      <w:pPr>
        <w:rPr>
          <w:color w:val="FFFFFF" w:themeColor="background1"/>
        </w:rPr>
      </w:pPr>
      <w:r w:rsidRPr="00E108EB">
        <w:rPr>
          <w:rFonts w:hint="eastAsia"/>
          <w:color w:val="FFFFFF" w:themeColor="background1"/>
        </w:rPr>
        <w:t>◇◆</w:t>
      </w:r>
    </w:p>
    <w:p w14:paraId="2AC77222" w14:textId="77777777" w:rsidR="00193290" w:rsidRDefault="00203F72" w:rsidP="00D87D91">
      <w:pPr>
        <w:rPr>
          <w:color w:val="FFFFFF" w:themeColor="background1"/>
        </w:rPr>
      </w:pPr>
      <w:r>
        <w:rPr>
          <w:noProof/>
        </w:rPr>
        <w:drawing>
          <wp:inline distT="0" distB="0" distL="0" distR="0" wp14:anchorId="73C6B50D" wp14:editId="291CB3C7">
            <wp:extent cx="4897755" cy="3281045"/>
            <wp:effectExtent l="0" t="0" r="0" b="0"/>
            <wp:docPr id="10" name="圖片 10" descr="13231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32311_2"/>
                    <pic:cNvPicPr>
                      <a:picLocks noChangeAspect="1" noChangeArrowheads="1"/>
                    </pic:cNvPicPr>
                  </pic:nvPicPr>
                  <pic:blipFill>
                    <a:blip r:embed="rId20" cstate="print">
                      <a:extLst>
                        <a:ext uri="{28A0092B-C50C-407E-A947-70E740481C1C}">
                          <a14:useLocalDpi xmlns:a14="http://schemas.microsoft.com/office/drawing/2010/main" val="0"/>
                        </a:ext>
                      </a:extLst>
                    </a:blip>
                    <a:srcRect l="9686" t="2785" r="1324" b="7690"/>
                    <a:stretch>
                      <a:fillRect/>
                    </a:stretch>
                  </pic:blipFill>
                  <pic:spPr bwMode="auto">
                    <a:xfrm>
                      <a:off x="0" y="0"/>
                      <a:ext cx="4897755" cy="3281045"/>
                    </a:xfrm>
                    <a:prstGeom prst="rect">
                      <a:avLst/>
                    </a:prstGeom>
                    <a:noFill/>
                    <a:ln>
                      <a:noFill/>
                    </a:ln>
                  </pic:spPr>
                </pic:pic>
              </a:graphicData>
            </a:graphic>
          </wp:inline>
        </w:drawing>
      </w:r>
    </w:p>
    <w:p w14:paraId="40724424" w14:textId="19DD1E44" w:rsidR="00193290" w:rsidRPr="00A53581" w:rsidRDefault="00B03E84" w:rsidP="00D87D91">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8</w:t>
      </w:r>
      <w:r w:rsidR="00076467">
        <w:rPr>
          <w:noProof/>
        </w:rPr>
        <w:fldChar w:fldCharType="end"/>
      </w:r>
      <w:r w:rsidR="00203F72" w:rsidRPr="00A53581">
        <w:t xml:space="preserve"> </w:t>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之父親之捐血獎狀圖示</w:t>
      </w:r>
    </w:p>
    <w:p w14:paraId="7AACDEFC" w14:textId="77777777" w:rsidR="00203F72" w:rsidRDefault="00203F72" w:rsidP="00D87D91">
      <w:pPr>
        <w:pStyle w:val="aff4"/>
      </w:pPr>
    </w:p>
    <w:p w14:paraId="54F35571" w14:textId="77777777" w:rsidR="00804F3A" w:rsidRDefault="00804F3A" w:rsidP="00E108EB">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1621BF79" w14:textId="77777777" w:rsidR="00804F3A" w:rsidRPr="00804F3A" w:rsidRDefault="00804F3A" w:rsidP="00D87D91"/>
    <w:p w14:paraId="27BB3C42" w14:textId="77777777" w:rsidR="00953151" w:rsidRDefault="00203F72" w:rsidP="00D87D91">
      <w:pPr>
        <w:pStyle w:val="1"/>
      </w:pPr>
      <w:bookmarkStart w:id="17" w:name="_佛教正德慈善醫療機構創辦人開山和尚_常律法師_推薦序"/>
      <w:bookmarkEnd w:id="17"/>
      <w:r w:rsidRPr="00BF34F6">
        <w:t>佛教正德慈善醫療機構創辦人開山和尚</w:t>
      </w:r>
      <w:r w:rsidRPr="00BF34F6">
        <w:t xml:space="preserve"> </w:t>
      </w:r>
      <w:r w:rsidRPr="00BF34F6">
        <w:t>常律法師</w:t>
      </w:r>
      <w:r w:rsidRPr="00BF34F6">
        <w:t xml:space="preserve"> </w:t>
      </w:r>
      <w:r w:rsidRPr="00BF34F6">
        <w:t>推薦序</w:t>
      </w:r>
    </w:p>
    <w:p w14:paraId="55036566" w14:textId="77777777" w:rsidR="00953151" w:rsidRDefault="00E13106" w:rsidP="00D87D91">
      <w:r>
        <w:t xml:space="preserve">　　</w:t>
      </w:r>
      <w:r w:rsidR="00203F72" w:rsidRPr="00A53581">
        <w:t>老衲忝受中央警察大學柯雨瑞教授之請，為其與侯夙芳講師合著之大作示序，即撥</w:t>
      </w:r>
      <w:r w:rsidR="00203F72" w:rsidRPr="00A53581">
        <w:lastRenderedPageBreak/>
        <w:t>冗數日，審閱</w:t>
      </w:r>
      <w:r w:rsidR="00E91F89">
        <w:t>〈</w:t>
      </w:r>
      <w:r w:rsidR="00203F72" w:rsidRPr="00A53581">
        <w:t>憲法逐條釋義與人權保障</w:t>
      </w:r>
      <w:r w:rsidR="00203F72" w:rsidRPr="00A53581">
        <w:t>(</w:t>
      </w:r>
      <w:r w:rsidR="00203F72" w:rsidRPr="00A53581">
        <w:t>增訂</w:t>
      </w:r>
      <w:r w:rsidR="00203F72" w:rsidRPr="00A53581">
        <w:t>2</w:t>
      </w:r>
      <w:r w:rsidR="00203F72" w:rsidRPr="00A53581">
        <w:t>版</w:t>
      </w:r>
      <w:r w:rsidR="00203F72" w:rsidRPr="00A53581">
        <w:t>)</w:t>
      </w:r>
      <w:r w:rsidR="00E91F89">
        <w:t>〉</w:t>
      </w:r>
      <w:r w:rsidR="00203F72" w:rsidRPr="00A53581">
        <w:t>，兩人之卓見，彈射臧否，剖析毫釐，擘肌分理，令人激賞。</w:t>
      </w:r>
    </w:p>
    <w:p w14:paraId="7E55E772" w14:textId="77777777" w:rsidR="00203F72" w:rsidRPr="00A53581" w:rsidRDefault="00E13106" w:rsidP="00D87D91">
      <w:pPr>
        <w:rPr>
          <w:bCs/>
        </w:rPr>
      </w:pPr>
      <w:r>
        <w:t xml:space="preserve">　　</w:t>
      </w:r>
      <w:r w:rsidR="00203F72" w:rsidRPr="00A53581">
        <w:t>憲法，乃安社稷定邦國之法，亦為治國之圭臬，然憲法之臧否圓缺，執法者之嚴鬆，人民守法之良窳，攸關國家社稷之興衰安定。引用愛爾蘭名政治家布克</w:t>
      </w:r>
      <w:r w:rsidR="00203F72" w:rsidRPr="00A53581">
        <w:t>Burke</w:t>
      </w:r>
      <w:r w:rsidR="00203F72" w:rsidRPr="00A53581">
        <w:t>所言：</w:t>
      </w:r>
    </w:p>
    <w:p w14:paraId="409D081C" w14:textId="77777777" w:rsidR="00953151" w:rsidRPr="00804F3A" w:rsidRDefault="00E13106" w:rsidP="00D87D91">
      <w:r w:rsidRPr="00804F3A">
        <w:t xml:space="preserve">　　</w:t>
      </w:r>
      <w:r w:rsidR="00203F72" w:rsidRPr="00804F3A">
        <w:t>「</w:t>
      </w:r>
      <w:r w:rsidR="00203F72" w:rsidRPr="00804F3A">
        <w:t>Among a people generally corrupt, liberty cannot long exist.Liberty, too, must be limited in order to be possessed.</w:t>
      </w:r>
      <w:r w:rsidR="00203F72" w:rsidRPr="00804F3A">
        <w:t>」</w:t>
      </w:r>
      <w:r w:rsidR="00203F72" w:rsidRPr="00804F3A">
        <w:t xml:space="preserve"> </w:t>
      </w:r>
    </w:p>
    <w:p w14:paraId="634CF236" w14:textId="77777777" w:rsidR="00953151" w:rsidRPr="00804F3A" w:rsidRDefault="00E13106" w:rsidP="00D87D91">
      <w:r w:rsidRPr="00804F3A">
        <w:t xml:space="preserve">　　</w:t>
      </w:r>
      <w:r w:rsidR="00203F72" w:rsidRPr="00804F3A">
        <w:t>「一個國家的人民若是腐化，自由就不能長存，若想長保自由，自由必須設限」，自由的設限當藉憲法之力，而周延適宜之憲法，方可維護人民真正自由及人權，則國長治久安耳！</w:t>
      </w:r>
    </w:p>
    <w:p w14:paraId="19F4EBDE" w14:textId="77777777" w:rsidR="00953151" w:rsidRDefault="00E13106" w:rsidP="00D87D91">
      <w:r>
        <w:t xml:space="preserve">　　</w:t>
      </w:r>
      <w:r w:rsidR="00203F72" w:rsidRPr="00A53581">
        <w:t>以老衲對於民國三十年舊時代所定之憲法條文，經過時代更迭，民風巨變，人心道德式微，世界政治局勢的波動，民心所向與昔大大異同，實違民心民情，本人強烈主張整本憲法當重新制訂，以符民心民情，方是治國安邦之本也。</w:t>
      </w:r>
    </w:p>
    <w:p w14:paraId="64096CDA" w14:textId="77777777" w:rsidR="00953151" w:rsidRDefault="00E13106" w:rsidP="00D87D91">
      <w:r>
        <w:t xml:space="preserve">　　</w:t>
      </w:r>
      <w:r w:rsidR="00203F72" w:rsidRPr="00A53581">
        <w:t>對應於本書中柯雨瑞教授所提到憲法中，有諸多條文，已被停止適用；既然已被停止適用，是否考量重新制定適合台灣地區之憲法？又言前後半部之憲法內容，就同一之事項，有不同之規範方式，易令人感到錯亂，並模糊憲法規範之內涵。又憲法中之條文內涵，業已與現存之台灣</w:t>
      </w:r>
      <w:r w:rsidR="00203F72" w:rsidRPr="00A53581">
        <w:t>21</w:t>
      </w:r>
      <w:r w:rsidR="00203F72" w:rsidRPr="00A53581">
        <w:t>世紀社會環境及政治體制，有諸多不相符合實況之處；基於以上之諸多理由，本書認為，就現階段而言，我國宜考量重新制定一部適合於台灣地區暫行之憲法。</w:t>
      </w:r>
    </w:p>
    <w:p w14:paraId="58A1D2CB" w14:textId="77777777" w:rsidR="00953151" w:rsidRPr="00804F3A" w:rsidRDefault="00E13106" w:rsidP="00D87D91">
      <w:r w:rsidRPr="00804F3A">
        <w:t xml:space="preserve">　　</w:t>
      </w:r>
      <w:r w:rsidR="00203F72" w:rsidRPr="00804F3A">
        <w:t>足證此部憲法已是瑕疵重重，制訂新憲法是當今國家重大國事，不容遲緩，故對一本不符現代民情民心的憲法之種種條文，則本人不便彈射評論，但本書第四篇，柯教授所擬憲法未來可行之發展方向，針對本國之司法、立法、監察、財政、軍事、國防、總統職權有其獨特見解，具深知灼見，可為制憲者之參酌，是為民之幸、國之福也。</w:t>
      </w:r>
    </w:p>
    <w:p w14:paraId="5320894A" w14:textId="77777777" w:rsidR="00203F72" w:rsidRPr="00A53581" w:rsidRDefault="00E13106" w:rsidP="00D87D91">
      <w:r>
        <w:t xml:space="preserve">　　</w:t>
      </w:r>
      <w:r w:rsidR="00203F72" w:rsidRPr="00A53581">
        <w:t>老衲深覺作者能不吝廣納各方珍貴意見為本書之證言，可謂豁達大度，</w:t>
      </w:r>
      <w:r w:rsidR="00203F72" w:rsidRPr="00E108EB">
        <w:rPr>
          <w:rStyle w:val="key4"/>
          <w:rFonts w:ascii="新細明體" w:hAnsi="新細明體"/>
          <w:b w:val="0"/>
          <w:color w:val="auto"/>
        </w:rPr>
        <w:t>納</w:t>
      </w:r>
      <w:r w:rsidR="00203F72" w:rsidRPr="00A53581">
        <w:t>諫如流，作者採納我和尚接見馬總統時，所提治國之道</w:t>
      </w:r>
      <w:r w:rsidR="00D92F56">
        <w:t>〜</w:t>
      </w:r>
      <w:r w:rsidR="00203F72" w:rsidRPr="00A53581">
        <w:t>與馬英九淺談治國津要中，針對軍事國防司法監察之論述，特提示如下：</w:t>
      </w:r>
    </w:p>
    <w:p w14:paraId="223FCA08" w14:textId="77777777" w:rsidR="00203F72" w:rsidRPr="00A53581" w:rsidRDefault="00E13106" w:rsidP="00D87D91">
      <w:r>
        <w:t xml:space="preserve">　　</w:t>
      </w:r>
      <w:r w:rsidR="00203F72" w:rsidRPr="00A53581">
        <w:t>1</w:t>
      </w:r>
      <w:r w:rsidR="00203F72" w:rsidRPr="00A53581">
        <w:t>、根據常律和尚的見解，他亦極力主張在我國憲法的憲政設計中，宜維持監察院的機制與運作，他力主維持監察院的制度，可制衡司法權之濫權與獨大，本書認同上述常律和尚的意見。</w:t>
      </w:r>
    </w:p>
    <w:p w14:paraId="043648D6" w14:textId="77777777" w:rsidR="00953151" w:rsidRDefault="00E13106" w:rsidP="00D87D91">
      <w:r>
        <w:t xml:space="preserve">　　</w:t>
      </w:r>
      <w:r w:rsidR="00203F72" w:rsidRPr="00A53581">
        <w:t>2</w:t>
      </w:r>
      <w:r w:rsidR="00203F72" w:rsidRPr="00A53581">
        <w:t>、本書相當認同上述常律和尚的見解，亦即，中華民國的國防力量，應聚焦於防衛型的兵役用途，放棄攻擊型的戰略與戰術。</w:t>
      </w:r>
    </w:p>
    <w:p w14:paraId="3194E880" w14:textId="77777777" w:rsidR="00953151" w:rsidRDefault="00E13106" w:rsidP="00D87D91">
      <w:r>
        <w:t xml:space="preserve">　　</w:t>
      </w:r>
      <w:r w:rsidR="00203F72" w:rsidRPr="00A53581">
        <w:t>又作者深令老衲感佩之處，即在佛法具深度之造詣，以廣義佛法極力主張醫界使用人類胚胎幹細胞的過程中，對於人類胚胎之破壞及傷害，已嚴重地違反了上述的自律原則、公正原則、仁愛原則，必要嚴格地加以禁止及杜絕，不得輕易實施人工流產。</w:t>
      </w:r>
    </w:p>
    <w:p w14:paraId="38A8372A" w14:textId="77777777" w:rsidR="00953151" w:rsidRDefault="00E13106" w:rsidP="00D87D91">
      <w:r>
        <w:t xml:space="preserve">　　</w:t>
      </w:r>
      <w:r w:rsidR="00203F72" w:rsidRPr="00A53581">
        <w:t>談到對人類胚胎幹細胞之實驗，因涉及到人類胚胎生命之剝奪，有殺害人類胚胎生命之嫌，當以憲法保障之，實為作者菩薩仁慈心之表露。</w:t>
      </w:r>
    </w:p>
    <w:p w14:paraId="285916BC" w14:textId="77777777" w:rsidR="00953151" w:rsidRDefault="00E13106" w:rsidP="00D87D91">
      <w:r>
        <w:t xml:space="preserve">　　</w:t>
      </w:r>
      <w:r w:rsidR="00203F72" w:rsidRPr="00A53581">
        <w:t>序末，和尚列舉美國起草獨立宣言，為立憲圭臬之政治賢士之名言，提供國之政治賢達制憲參考，更呼應作者對人權之主張與正知見。</w:t>
      </w:r>
    </w:p>
    <w:p w14:paraId="7CC9E0EB" w14:textId="77777777" w:rsidR="00953151" w:rsidRDefault="00E13106" w:rsidP="00D87D91">
      <w:r>
        <w:t xml:space="preserve">　　</w:t>
      </w:r>
      <w:r w:rsidR="00203F72" w:rsidRPr="00A53581">
        <w:t>私德主宰整個國家命運</w:t>
      </w:r>
    </w:p>
    <w:p w14:paraId="67C6812B" w14:textId="77777777" w:rsidR="00203F72" w:rsidRPr="00A53581" w:rsidRDefault="00E13106" w:rsidP="00D87D91">
      <w:r>
        <w:t xml:space="preserve">　　</w:t>
      </w:r>
      <w:r w:rsidR="00203F72" w:rsidRPr="00A53581">
        <w:t>美國名學政治家富蘭克林</w:t>
      </w:r>
      <w:r w:rsidR="00203F72" w:rsidRPr="00A53581">
        <w:t>Franklin</w:t>
      </w:r>
      <w:r w:rsidR="00203F72" w:rsidRPr="00A53581">
        <w:t>說：</w:t>
      </w:r>
    </w:p>
    <w:p w14:paraId="45563ABE" w14:textId="77777777" w:rsidR="00203F72" w:rsidRPr="00804F3A" w:rsidRDefault="00E13106" w:rsidP="00D87D91">
      <w:r w:rsidRPr="00804F3A">
        <w:t xml:space="preserve">　　</w:t>
      </w:r>
      <w:r w:rsidR="00203F72" w:rsidRPr="00804F3A">
        <w:t>「</w:t>
      </w:r>
      <w:r w:rsidR="00203F72" w:rsidRPr="00804F3A">
        <w:t>Be in general virtuous, and you will be happy.</w:t>
      </w:r>
      <w:r w:rsidR="00203F72" w:rsidRPr="00804F3A">
        <w:t>」</w:t>
      </w:r>
    </w:p>
    <w:p w14:paraId="181868FC" w14:textId="77777777" w:rsidR="00953151" w:rsidRPr="00804F3A" w:rsidRDefault="00E13106" w:rsidP="00D87D91">
      <w:r w:rsidRPr="00804F3A">
        <w:t xml:space="preserve">　　</w:t>
      </w:r>
      <w:r w:rsidR="00203F72" w:rsidRPr="00804F3A">
        <w:t>「人要常守私德，一生將永遠快活。」</w:t>
      </w:r>
    </w:p>
    <w:p w14:paraId="7B805CD7" w14:textId="77777777" w:rsidR="00953151" w:rsidRPr="00804F3A" w:rsidRDefault="00E13106" w:rsidP="00D87D91">
      <w:r>
        <w:t xml:space="preserve">　　</w:t>
      </w:r>
      <w:r w:rsidR="00203F72" w:rsidRPr="00A53581">
        <w:t>富蘭克林為美國獨立宣言起草人之一，他起草獨立宣言的主要精神，即是建立在這句話意涵之上。美國脫離英國統治，而獨立建國的兩大精神，就是為了自由、平等，設若個人無私德，自由與平等都是空談，無法落實。即所謂齊頭式的平等，並非</w:t>
      </w:r>
      <w:r w:rsidR="001253E2" w:rsidRPr="001253E2">
        <w:rPr>
          <w:rFonts w:hint="eastAsia"/>
        </w:rPr>
        <w:t>真</w:t>
      </w:r>
      <w:r w:rsidR="00203F72" w:rsidRPr="00A53581">
        <w:t>平等；所謂的自由，也是假象的自由，並非真實的自由，平等與自由即須建立在私德上。</w:t>
      </w:r>
      <w:r w:rsidR="00203F72" w:rsidRPr="00804F3A">
        <w:rPr>
          <w:color w:val="FF0000"/>
          <w:u w:val="single"/>
        </w:rPr>
        <w:t>以私德為基礎，架構民主的法制，國家人民才能永享快樂，就是美國建國起草獨立宣言，最主要的精神圭臬。</w:t>
      </w:r>
    </w:p>
    <w:p w14:paraId="0676A762" w14:textId="77777777" w:rsidR="00953151" w:rsidRPr="00804F3A" w:rsidRDefault="00E13106" w:rsidP="00D87D91">
      <w:r w:rsidRPr="00804F3A">
        <w:t xml:space="preserve">　　</w:t>
      </w:r>
      <w:r w:rsidR="00203F72" w:rsidRPr="00804F3A">
        <w:t>一個國家的人民，若不遵守個人基本的私德及國家規範，一生將會活的很不快樂，</w:t>
      </w:r>
      <w:r w:rsidR="00203F72" w:rsidRPr="00804F3A">
        <w:lastRenderedPageBreak/>
        <w:t>個人要守私德規範，人生才會光明幸福，團體要守團德，團體才有紀律健全，個人除要遵守私德外，還要少造業、多念佛，心才會清淨智慧。</w:t>
      </w:r>
    </w:p>
    <w:p w14:paraId="11001712" w14:textId="77777777" w:rsidR="00953151" w:rsidRPr="00804F3A" w:rsidRDefault="00E13106" w:rsidP="00D87D91">
      <w:r w:rsidRPr="00804F3A">
        <w:t xml:space="preserve">　　</w:t>
      </w:r>
      <w:r w:rsidR="00203F72" w:rsidRPr="00804F3A">
        <w:t>尤其，台灣所面臨的最大問題，其實不是中共的武力威脅，而是國人的道德觀念的式微，政黨的惡鬥，社會治安的敗壞。外面的盜匪不可怕，最可怕的是我們內心的敵人，就是貪、瞋、癡、邪見及我慢，若無法將其消除，則會使整個社會國家，未來走入極悲慘的命運。所以，台灣目前最要擔心的是，民眾的社會道德力量與守法精神，方是當務之急的改革重事。</w:t>
      </w:r>
    </w:p>
    <w:p w14:paraId="4B81D76B" w14:textId="77777777" w:rsidR="00953151" w:rsidRPr="00804F3A" w:rsidRDefault="00E13106" w:rsidP="00D87D91">
      <w:r w:rsidRPr="00804F3A">
        <w:t xml:space="preserve">　　</w:t>
      </w:r>
      <w:r w:rsidR="00203F72" w:rsidRPr="00804F3A">
        <w:t>真正的平等真正的自由</w:t>
      </w:r>
    </w:p>
    <w:p w14:paraId="4F320175" w14:textId="77777777" w:rsidR="00953151" w:rsidRPr="00804F3A" w:rsidRDefault="00E13106" w:rsidP="00D87D91">
      <w:r w:rsidRPr="00804F3A">
        <w:t xml:space="preserve">　　</w:t>
      </w:r>
      <w:r w:rsidR="00203F72" w:rsidRPr="00804F3A">
        <w:t>美國第三任的總統</w:t>
      </w:r>
      <w:r w:rsidR="00203F72" w:rsidRPr="00804F3A">
        <w:t>Thomas Jefferson</w:t>
      </w:r>
      <w:r w:rsidR="00203F72" w:rsidRPr="00804F3A">
        <w:t>傑弗遜，他是一位建築師，發明家也是科學家，他曾經參與草擬美國建國獨立宣言的草案，它的內容是這樣寫著：</w:t>
      </w:r>
    </w:p>
    <w:p w14:paraId="4C6EBA53" w14:textId="77777777" w:rsidR="00953151" w:rsidRPr="00804F3A" w:rsidRDefault="00E13106" w:rsidP="00D87D91">
      <w:r w:rsidRPr="00804F3A">
        <w:t xml:space="preserve">　　</w:t>
      </w:r>
      <w:r w:rsidR="00203F72" w:rsidRPr="00804F3A">
        <w:t>「</w:t>
      </w:r>
      <w:r w:rsidR="00203F72" w:rsidRPr="00804F3A">
        <w:t>We hold these truths to be sacred and undeniable; that all men are created equal and independent, that from that equal creation they derive rights inherent and inalienable, among which are the preservation of life, and liberty, and the pursuit of happiness.</w:t>
      </w:r>
      <w:r w:rsidR="00203F72" w:rsidRPr="00804F3A">
        <w:rPr>
          <w:lang w:val="en-CA"/>
        </w:rPr>
        <w:t>（</w:t>
      </w:r>
      <w:r w:rsidR="00203F72" w:rsidRPr="00804F3A">
        <w:t>Original draft for the Declaration of Independence</w:t>
      </w:r>
      <w:r w:rsidR="00203F72" w:rsidRPr="00804F3A">
        <w:rPr>
          <w:lang w:val="en-CA"/>
        </w:rPr>
        <w:t>）」</w:t>
      </w:r>
    </w:p>
    <w:p w14:paraId="4EEECD4E" w14:textId="77777777" w:rsidR="00953151" w:rsidRPr="00804F3A" w:rsidRDefault="00E13106" w:rsidP="00D87D91">
      <w:r w:rsidRPr="00804F3A">
        <w:t xml:space="preserve">　　</w:t>
      </w:r>
      <w:r w:rsidR="00203F72" w:rsidRPr="00804F3A">
        <w:t>「我們認為，這些真理是神聖不可否定的，人皆生而平等而且獨立的，在平等的立足點上，人們取得生而具有著不可剝奪的權利，包括維持生存與自由之權，以及追求幸福之權。」</w:t>
      </w:r>
    </w:p>
    <w:p w14:paraId="3A470A4B" w14:textId="77777777" w:rsidR="00953151" w:rsidRPr="00804F3A" w:rsidRDefault="00E13106" w:rsidP="00D87D91">
      <w:r w:rsidRPr="00804F3A">
        <w:t xml:space="preserve">　　</w:t>
      </w:r>
      <w:r w:rsidR="00203F72" w:rsidRPr="00804F3A">
        <w:t>這就是美國脫離英國的統治獨立建國，由華盛頓</w:t>
      </w:r>
      <w:r w:rsidR="00D92F56">
        <w:t>〜</w:t>
      </w:r>
      <w:r w:rsidR="00203F72" w:rsidRPr="00804F3A">
        <w:t>第一任美國總統率領了一些獨立人士，共同來擬定美國的獨立宣言的內容。</w:t>
      </w:r>
    </w:p>
    <w:p w14:paraId="5262BABC" w14:textId="77777777" w:rsidR="00953151" w:rsidRPr="00804F3A" w:rsidRDefault="00E13106" w:rsidP="00D87D91">
      <w:r w:rsidRPr="00804F3A">
        <w:t xml:space="preserve">　　</w:t>
      </w:r>
      <w:r w:rsidR="00203F72" w:rsidRPr="00804F3A">
        <w:t>美國獨立宣言強調，人是生而平等，而且，是獨立的，人有追求有自由平等幸福的生存權利，是不可剝奪的，即是佛教所言，眾生平等的教義。</w:t>
      </w:r>
    </w:p>
    <w:p w14:paraId="30A28FD2" w14:textId="77777777" w:rsidR="00203F72" w:rsidRPr="00A53581" w:rsidRDefault="00E13106" w:rsidP="00D87D91">
      <w:r>
        <w:t xml:space="preserve">　　</w:t>
      </w:r>
      <w:r w:rsidR="00203F72" w:rsidRPr="00A53581">
        <w:t>佛教正德慈善醫療機構創辦人開山和尚</w:t>
      </w:r>
      <w:r w:rsidR="00203F72" w:rsidRPr="00BF34F6">
        <w:rPr>
          <w:rFonts w:ascii="標楷體" w:eastAsia="標楷體" w:hAnsi="標楷體"/>
          <w:b/>
          <w:sz w:val="28"/>
          <w:szCs w:val="28"/>
        </w:rPr>
        <w:t>常律法師</w:t>
      </w:r>
    </w:p>
    <w:p w14:paraId="677436BD" w14:textId="77777777" w:rsidR="00203F72" w:rsidRDefault="00E13106" w:rsidP="00D87D91">
      <w:r>
        <w:t xml:space="preserve">　　</w:t>
      </w:r>
      <w:r w:rsidR="00203F72" w:rsidRPr="00A53581">
        <w:t xml:space="preserve">2015 </w:t>
      </w:r>
      <w:r w:rsidR="00203F72" w:rsidRPr="00A53581">
        <w:t>年</w:t>
      </w:r>
      <w:r w:rsidR="00203F72" w:rsidRPr="00A53581">
        <w:t xml:space="preserve"> 06 </w:t>
      </w:r>
      <w:r w:rsidR="00203F72" w:rsidRPr="00A53581">
        <w:t>月</w:t>
      </w:r>
      <w:r w:rsidR="00203F72" w:rsidRPr="00A53581">
        <w:t xml:space="preserve"> 30 </w:t>
      </w:r>
      <w:r w:rsidR="00203F72" w:rsidRPr="00A53581">
        <w:t>日</w:t>
      </w:r>
    </w:p>
    <w:p w14:paraId="7064ED7D" w14:textId="77777777" w:rsidR="00A360B5" w:rsidRDefault="00A360B5" w:rsidP="00E108EB">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6AF7C5C6" w14:textId="77777777" w:rsidR="00A360B5" w:rsidRPr="00A53581" w:rsidRDefault="00A360B5" w:rsidP="00D87D91"/>
    <w:p w14:paraId="3E6B3664" w14:textId="77777777" w:rsidR="00953151" w:rsidRDefault="00203F72" w:rsidP="00D87D91">
      <w:pPr>
        <w:pStyle w:val="1"/>
      </w:pPr>
      <w:bookmarkStart w:id="18" w:name="_釋從慈法師_推薦序"/>
      <w:bookmarkEnd w:id="18"/>
      <w:r w:rsidRPr="00BF34F6">
        <w:rPr>
          <w:rFonts w:hint="eastAsia"/>
        </w:rPr>
        <w:t>釋</w:t>
      </w:r>
      <w:r w:rsidRPr="00BF34F6">
        <w:t>從慈法師</w:t>
      </w:r>
      <w:r w:rsidRPr="00BF34F6">
        <w:rPr>
          <w:rFonts w:hint="eastAsia"/>
        </w:rPr>
        <w:t xml:space="preserve"> </w:t>
      </w:r>
      <w:r w:rsidRPr="00BF34F6">
        <w:t>推薦</w:t>
      </w:r>
      <w:r w:rsidRPr="00BF34F6">
        <w:rPr>
          <w:rFonts w:hint="eastAsia"/>
        </w:rPr>
        <w:t>序</w:t>
      </w:r>
    </w:p>
    <w:p w14:paraId="32125EBD" w14:textId="77777777" w:rsidR="00203F72" w:rsidRPr="00A53581" w:rsidRDefault="005E1EA8" w:rsidP="00D87D91">
      <w:r>
        <w:rPr>
          <w:rFonts w:hint="eastAsia"/>
        </w:rPr>
        <w:t xml:space="preserve">　　</w:t>
      </w:r>
      <w:r w:rsidR="00203F72" w:rsidRPr="00A53581">
        <w:rPr>
          <w:rFonts w:hint="eastAsia"/>
        </w:rPr>
        <w:t>中</w:t>
      </w:r>
      <w:r w:rsidR="00203F72" w:rsidRPr="00A53581">
        <w:t>華民國憲法於</w:t>
      </w:r>
      <w:r w:rsidR="00203F72" w:rsidRPr="00A53581">
        <w:rPr>
          <w:rFonts w:hint="eastAsia"/>
        </w:rPr>
        <w:t>民</w:t>
      </w:r>
      <w:r w:rsidR="00203F72" w:rsidRPr="00A53581">
        <w:t>國三十六年一月</w:t>
      </w:r>
      <w:r w:rsidR="00203F72" w:rsidRPr="00A53581">
        <w:rPr>
          <w:rFonts w:hint="eastAsia"/>
        </w:rPr>
        <w:t>一</w:t>
      </w:r>
      <w:r w:rsidR="00203F72" w:rsidRPr="00A53581">
        <w:t>日，由國民政府公布</w:t>
      </w:r>
      <w:r w:rsidR="00203F72" w:rsidRPr="00A53581">
        <w:rPr>
          <w:rFonts w:hint="eastAsia"/>
        </w:rPr>
        <w:t>，</w:t>
      </w:r>
      <w:r w:rsidR="00203F72" w:rsidRPr="00A53581">
        <w:t>同年十二月二十五日實行</w:t>
      </w:r>
      <w:r w:rsidR="00203F72" w:rsidRPr="00A53581">
        <w:rPr>
          <w:rFonts w:hint="eastAsia"/>
        </w:rPr>
        <w:t>。憲</w:t>
      </w:r>
      <w:r w:rsidR="00203F72" w:rsidRPr="00A53581">
        <w:t>法乃治理國家</w:t>
      </w:r>
      <w:r w:rsidR="00203F72" w:rsidRPr="00A53581">
        <w:rPr>
          <w:rFonts w:hint="eastAsia"/>
        </w:rPr>
        <w:t>之</w:t>
      </w:r>
      <w:r w:rsidR="00203F72" w:rsidRPr="00A53581">
        <w:t>體，</w:t>
      </w:r>
      <w:r w:rsidR="00203F72" w:rsidRPr="00A53581">
        <w:rPr>
          <w:rFonts w:hint="eastAsia"/>
        </w:rPr>
        <w:t>制</w:t>
      </w:r>
      <w:r w:rsidR="00203F72" w:rsidRPr="00A53581">
        <w:t>訂時，需從長</w:t>
      </w:r>
      <w:r w:rsidR="00203F72" w:rsidRPr="00A53581">
        <w:rPr>
          <w:rFonts w:hint="eastAsia"/>
        </w:rPr>
        <w:t>智</w:t>
      </w:r>
      <w:r w:rsidR="00203F72" w:rsidRPr="00A53581">
        <w:t>慧考慮</w:t>
      </w:r>
      <w:r w:rsidR="00203F72" w:rsidRPr="00A53581">
        <w:rPr>
          <w:rFonts w:hint="eastAsia"/>
        </w:rPr>
        <w:t>，憲</w:t>
      </w:r>
      <w:r w:rsidR="00203F72" w:rsidRPr="00A53581">
        <w:t>法起用，</w:t>
      </w:r>
      <w:r w:rsidR="00203F72" w:rsidRPr="00A53581">
        <w:rPr>
          <w:rFonts w:hint="eastAsia"/>
        </w:rPr>
        <w:t>又</w:t>
      </w:r>
      <w:r w:rsidR="00203F72" w:rsidRPr="00A53581">
        <w:t>需依人</w:t>
      </w:r>
      <w:r w:rsidR="00203F72" w:rsidRPr="00A53581">
        <w:rPr>
          <w:rFonts w:hint="eastAsia"/>
        </w:rPr>
        <w:t>、</w:t>
      </w:r>
      <w:r w:rsidR="00203F72" w:rsidRPr="00A53581">
        <w:t>事</w:t>
      </w:r>
      <w:r w:rsidR="00203F72" w:rsidRPr="00A53581">
        <w:rPr>
          <w:rFonts w:hint="eastAsia"/>
        </w:rPr>
        <w:t>、</w:t>
      </w:r>
      <w:r w:rsidR="00203F72" w:rsidRPr="00A53581">
        <w:t>物</w:t>
      </w:r>
      <w:r w:rsidR="00203F72" w:rsidRPr="00A53581">
        <w:rPr>
          <w:rFonts w:hint="eastAsia"/>
        </w:rPr>
        <w:t>、</w:t>
      </w:r>
      <w:r w:rsidR="00203F72" w:rsidRPr="00A53581">
        <w:t>時</w:t>
      </w:r>
      <w:r w:rsidR="00203F72" w:rsidRPr="00A53581">
        <w:rPr>
          <w:rFonts w:hint="eastAsia"/>
        </w:rPr>
        <w:t>而</w:t>
      </w:r>
      <w:r w:rsidR="00203F72" w:rsidRPr="00A53581">
        <w:t>權變</w:t>
      </w:r>
      <w:r w:rsidR="00203F72" w:rsidRPr="00A53581">
        <w:rPr>
          <w:rFonts w:hint="eastAsia"/>
        </w:rPr>
        <w:t>。因</w:t>
      </w:r>
      <w:r w:rsidR="00203F72" w:rsidRPr="00A53581">
        <w:t>此，修憲有時</w:t>
      </w:r>
      <w:r w:rsidR="00203F72" w:rsidRPr="00A53581">
        <w:rPr>
          <w:rFonts w:hint="eastAsia"/>
        </w:rPr>
        <w:t>勢</w:t>
      </w:r>
      <w:r w:rsidR="00203F72" w:rsidRPr="00A53581">
        <w:t>可難免。柯雨瑞教</w:t>
      </w:r>
      <w:r w:rsidR="00203F72" w:rsidRPr="00A53581">
        <w:rPr>
          <w:rFonts w:hint="eastAsia"/>
        </w:rPr>
        <w:t>授</w:t>
      </w:r>
      <w:r w:rsidR="00203F72" w:rsidRPr="00A53581">
        <w:t>與</w:t>
      </w:r>
      <w:r w:rsidR="00203F72" w:rsidRPr="00A53581">
        <w:rPr>
          <w:rFonts w:hint="eastAsia"/>
        </w:rPr>
        <w:t>侯夙</w:t>
      </w:r>
      <w:r w:rsidR="00203F72" w:rsidRPr="00A53581">
        <w:t>芳</w:t>
      </w:r>
      <w:r w:rsidR="00203F72" w:rsidRPr="00A53581">
        <w:rPr>
          <w:rFonts w:hint="eastAsia"/>
        </w:rPr>
        <w:t>講</w:t>
      </w:r>
      <w:r w:rsidR="00203F72" w:rsidRPr="00A53581">
        <w:t>師</w:t>
      </w:r>
      <w:r w:rsidR="00203F72" w:rsidRPr="00A53581">
        <w:rPr>
          <w:rFonts w:hint="eastAsia"/>
        </w:rPr>
        <w:t>同</w:t>
      </w:r>
      <w:r w:rsidR="00203F72" w:rsidRPr="00A53581">
        <w:t>著</w:t>
      </w:r>
      <w:r w:rsidR="00203F72" w:rsidRPr="00A53581">
        <w:rPr>
          <w:rFonts w:hint="eastAsia"/>
        </w:rPr>
        <w:t>《憲</w:t>
      </w:r>
      <w:r w:rsidR="00203F72" w:rsidRPr="00A53581">
        <w:t>法逐條釋義</w:t>
      </w:r>
      <w:r w:rsidR="00203F72" w:rsidRPr="00A53581">
        <w:rPr>
          <w:rFonts w:hint="eastAsia"/>
        </w:rPr>
        <w:t>與</w:t>
      </w:r>
      <w:r w:rsidR="00203F72" w:rsidRPr="00A53581">
        <w:t>人權保障》，書中將憲法逐條釋義與人權</w:t>
      </w:r>
      <w:r w:rsidR="00203F72" w:rsidRPr="00A53581">
        <w:rPr>
          <w:rFonts w:hint="eastAsia"/>
        </w:rPr>
        <w:t>保</w:t>
      </w:r>
      <w:r w:rsidR="00203F72" w:rsidRPr="00A53581">
        <w:t>障</w:t>
      </w:r>
      <w:r w:rsidR="00203F72" w:rsidRPr="00A53581">
        <w:rPr>
          <w:rFonts w:hint="eastAsia"/>
        </w:rPr>
        <w:t>詳</w:t>
      </w:r>
      <w:r w:rsidR="00203F72" w:rsidRPr="00A53581">
        <w:t>解</w:t>
      </w:r>
      <w:r w:rsidR="00203F72" w:rsidRPr="00A53581">
        <w:rPr>
          <w:rFonts w:hint="eastAsia"/>
        </w:rPr>
        <w:t>與</w:t>
      </w:r>
      <w:r w:rsidR="00203F72" w:rsidRPr="00A53581">
        <w:t>內容解析，</w:t>
      </w:r>
      <w:r w:rsidR="00203F72" w:rsidRPr="00A53581">
        <w:rPr>
          <w:rFonts w:hint="eastAsia"/>
        </w:rPr>
        <w:t>乃</w:t>
      </w:r>
      <w:r w:rsidR="00203F72" w:rsidRPr="00A53581">
        <w:t>是</w:t>
      </w:r>
      <w:r w:rsidR="00203F72" w:rsidRPr="00A53581">
        <w:rPr>
          <w:rFonts w:hint="eastAsia"/>
        </w:rPr>
        <w:t>兩</w:t>
      </w:r>
      <w:r w:rsidR="00203F72" w:rsidRPr="00A53581">
        <w:t>位作者於中央警察大學多年教育</w:t>
      </w:r>
      <w:r w:rsidR="00203F72" w:rsidRPr="00A53581">
        <w:rPr>
          <w:rFonts w:hint="eastAsia"/>
        </w:rPr>
        <w:t>心血</w:t>
      </w:r>
      <w:r w:rsidR="00203F72" w:rsidRPr="00A53581">
        <w:t>的智慧</w:t>
      </w:r>
      <w:r w:rsidR="00203F72" w:rsidRPr="00A53581">
        <w:rPr>
          <w:rFonts w:hint="eastAsia"/>
        </w:rPr>
        <w:t>結</w:t>
      </w:r>
      <w:r w:rsidR="00203F72" w:rsidRPr="00A53581">
        <w:t>晶。柯</w:t>
      </w:r>
      <w:r w:rsidR="00203F72" w:rsidRPr="00A53581">
        <w:rPr>
          <w:rFonts w:hint="eastAsia"/>
        </w:rPr>
        <w:t>教</w:t>
      </w:r>
      <w:r w:rsidR="00203F72" w:rsidRPr="00A53581">
        <w:t>授乃是南投一位</w:t>
      </w:r>
      <w:r w:rsidR="00203F72" w:rsidRPr="00A53581">
        <w:rPr>
          <w:rFonts w:hint="eastAsia"/>
        </w:rPr>
        <w:t>孝</w:t>
      </w:r>
      <w:r w:rsidR="00203F72" w:rsidRPr="00A53581">
        <w:t>子，其母親常至南投龍泉寺共修，</w:t>
      </w:r>
      <w:r w:rsidR="00203F72" w:rsidRPr="00A53581">
        <w:rPr>
          <w:rFonts w:hint="eastAsia"/>
        </w:rPr>
        <w:t>發</w:t>
      </w:r>
      <w:r w:rsidR="00203F72" w:rsidRPr="00A53581">
        <w:t>心護持，乃希望末學方外人給予著書寫序，實感力不從心，但希望不負母子虔誠所求，淺</w:t>
      </w:r>
      <w:r w:rsidR="00203F72" w:rsidRPr="00A53581">
        <w:rPr>
          <w:rFonts w:hint="eastAsia"/>
        </w:rPr>
        <w:t>識</w:t>
      </w:r>
      <w:r w:rsidR="00203F72" w:rsidRPr="00A53581">
        <w:t>之文</w:t>
      </w:r>
      <w:r w:rsidR="00203F72" w:rsidRPr="00A53581">
        <w:rPr>
          <w:rFonts w:hint="eastAsia"/>
        </w:rPr>
        <w:t>，芸</w:t>
      </w:r>
      <w:r w:rsidR="00203F72" w:rsidRPr="00A53581">
        <w:t>芸</w:t>
      </w:r>
      <w:r w:rsidR="00203F72" w:rsidRPr="00A53581">
        <w:rPr>
          <w:rFonts w:hint="eastAsia"/>
        </w:rPr>
        <w:t>幾</w:t>
      </w:r>
      <w:r w:rsidR="00203F72" w:rsidRPr="00A53581">
        <w:t>字，</w:t>
      </w:r>
      <w:r w:rsidR="00203F72" w:rsidRPr="00A53581">
        <w:rPr>
          <w:rFonts w:hint="eastAsia"/>
        </w:rPr>
        <w:t>以</w:t>
      </w:r>
      <w:r w:rsidR="00203F72" w:rsidRPr="00A53581">
        <w:t>滿母子之誠</w:t>
      </w:r>
      <w:r w:rsidR="00203F72" w:rsidRPr="00A53581">
        <w:rPr>
          <w:rFonts w:hint="eastAsia"/>
        </w:rPr>
        <w:t>。</w:t>
      </w:r>
    </w:p>
    <w:p w14:paraId="05C94C49" w14:textId="77777777" w:rsidR="00203F72" w:rsidRPr="00A53581" w:rsidRDefault="005E1EA8" w:rsidP="00D87D91">
      <w:r>
        <w:rPr>
          <w:rFonts w:hint="eastAsia"/>
        </w:rPr>
        <w:t xml:space="preserve">　　</w:t>
      </w:r>
      <w:r w:rsidR="00203F72" w:rsidRPr="00A53581">
        <w:rPr>
          <w:rFonts w:hint="eastAsia"/>
        </w:rPr>
        <w:t>中</w:t>
      </w:r>
      <w:r w:rsidR="00203F72" w:rsidRPr="00A53581">
        <w:t>華民國</w:t>
      </w:r>
      <w:r w:rsidR="00203F72" w:rsidRPr="00A53581">
        <w:rPr>
          <w:rFonts w:hint="eastAsia"/>
        </w:rPr>
        <w:t>是</w:t>
      </w:r>
      <w:r w:rsidR="00203F72" w:rsidRPr="00A53581">
        <w:t>有主權的國家，但</w:t>
      </w:r>
      <w:r w:rsidR="00203F72" w:rsidRPr="00A53581">
        <w:rPr>
          <w:rFonts w:hint="eastAsia"/>
        </w:rPr>
        <w:t>經</w:t>
      </w:r>
      <w:r w:rsidR="00203F72" w:rsidRPr="00A53581">
        <w:t>過時代變遷</w:t>
      </w:r>
      <w:r w:rsidR="00203F72" w:rsidRPr="00A53581">
        <w:rPr>
          <w:rFonts w:hint="eastAsia"/>
        </w:rPr>
        <w:t>與</w:t>
      </w:r>
      <w:r w:rsidR="00203F72" w:rsidRPr="00A53581">
        <w:t>世界潮</w:t>
      </w:r>
      <w:r w:rsidR="00203F72" w:rsidRPr="00A53581">
        <w:rPr>
          <w:rFonts w:hint="eastAsia"/>
        </w:rPr>
        <w:t>流的</w:t>
      </w:r>
      <w:r w:rsidR="00203F72" w:rsidRPr="00A53581">
        <w:t>衝</w:t>
      </w:r>
      <w:r w:rsidR="00203F72" w:rsidRPr="00A53581">
        <w:rPr>
          <w:rFonts w:hint="eastAsia"/>
        </w:rPr>
        <w:t>擊</w:t>
      </w:r>
      <w:r w:rsidR="00203F72" w:rsidRPr="00A53581">
        <w:t>，</w:t>
      </w:r>
      <w:r w:rsidR="00203F72" w:rsidRPr="00A53581">
        <w:rPr>
          <w:rFonts w:hint="eastAsia"/>
        </w:rPr>
        <w:t>致</w:t>
      </w:r>
      <w:r w:rsidR="00203F72" w:rsidRPr="00A53581">
        <w:t>使於世界中，有實無名</w:t>
      </w:r>
      <w:r w:rsidR="00203F72" w:rsidRPr="00A53581">
        <w:rPr>
          <w:rFonts w:hint="eastAsia"/>
        </w:rPr>
        <w:t>。</w:t>
      </w:r>
      <w:r w:rsidR="00203F72" w:rsidRPr="00A53581">
        <w:t>國</w:t>
      </w:r>
      <w:r w:rsidR="00203F72" w:rsidRPr="00A53581">
        <w:rPr>
          <w:rFonts w:hint="eastAsia"/>
        </w:rPr>
        <w:t>家</w:t>
      </w:r>
      <w:r w:rsidR="00203F72" w:rsidRPr="00A53581">
        <w:t>的未來，</w:t>
      </w:r>
      <w:r w:rsidR="00203F72" w:rsidRPr="00A53581">
        <w:rPr>
          <w:rFonts w:hint="eastAsia"/>
        </w:rPr>
        <w:t>依於</w:t>
      </w:r>
      <w:r w:rsidR="00203F72" w:rsidRPr="00A53581">
        <w:t>人民的共業，唯有人民努力於道德修養，方有望改變</w:t>
      </w:r>
      <w:r w:rsidR="00203F72" w:rsidRPr="00A53581">
        <w:rPr>
          <w:rFonts w:hint="eastAsia"/>
        </w:rPr>
        <w:t>國</w:t>
      </w:r>
      <w:r w:rsidR="00203F72" w:rsidRPr="00A53581">
        <w:t>運</w:t>
      </w:r>
      <w:r w:rsidR="00203F72" w:rsidRPr="00A53581">
        <w:rPr>
          <w:rFonts w:hint="eastAsia"/>
        </w:rPr>
        <w:t>的</w:t>
      </w:r>
      <w:r w:rsidR="00203F72" w:rsidRPr="00A53581">
        <w:t>希望</w:t>
      </w:r>
      <w:r w:rsidR="00203F72" w:rsidRPr="00A53581">
        <w:rPr>
          <w:rFonts w:hint="eastAsia"/>
        </w:rPr>
        <w:t>。</w:t>
      </w:r>
    </w:p>
    <w:p w14:paraId="168034E9" w14:textId="77777777" w:rsidR="00203F72" w:rsidRPr="00A53581" w:rsidRDefault="005E1EA8" w:rsidP="00D87D91">
      <w:r>
        <w:rPr>
          <w:rFonts w:hint="eastAsia"/>
        </w:rPr>
        <w:t xml:space="preserve">　　</w:t>
      </w:r>
      <w:r w:rsidR="00203F72" w:rsidRPr="00A53581">
        <w:rPr>
          <w:rFonts w:hint="eastAsia"/>
        </w:rPr>
        <w:t>福</w:t>
      </w:r>
      <w:r w:rsidR="00203F72" w:rsidRPr="00A53581">
        <w:t>德</w:t>
      </w:r>
      <w:r w:rsidR="00203F72" w:rsidRPr="00A53581">
        <w:rPr>
          <w:rFonts w:hint="eastAsia"/>
        </w:rPr>
        <w:t>與</w:t>
      </w:r>
      <w:r w:rsidR="00203F72" w:rsidRPr="00A53581">
        <w:t>智慧，是</w:t>
      </w:r>
      <w:r w:rsidR="00203F72" w:rsidRPr="00A53581">
        <w:rPr>
          <w:rFonts w:hint="eastAsia"/>
        </w:rPr>
        <w:t>終</w:t>
      </w:r>
      <w:r w:rsidR="00203F72" w:rsidRPr="00A53581">
        <w:t>究</w:t>
      </w:r>
      <w:r w:rsidR="00203F72" w:rsidRPr="00A53581">
        <w:rPr>
          <w:rFonts w:hint="eastAsia"/>
        </w:rPr>
        <w:t>成</w:t>
      </w:r>
      <w:r w:rsidR="00203F72" w:rsidRPr="00A53581">
        <w:t>功的資糧</w:t>
      </w:r>
      <w:r w:rsidR="00203F72" w:rsidRPr="00A53581">
        <w:rPr>
          <w:rFonts w:hint="eastAsia"/>
        </w:rPr>
        <w:t>。</w:t>
      </w:r>
      <w:r w:rsidR="00203F72" w:rsidRPr="00A53581">
        <w:t>經濟</w:t>
      </w:r>
      <w:r w:rsidR="00203F72" w:rsidRPr="00A53581">
        <w:rPr>
          <w:rFonts w:hint="eastAsia"/>
        </w:rPr>
        <w:t>富</w:t>
      </w:r>
      <w:r w:rsidR="00203F72" w:rsidRPr="00A53581">
        <w:t>庶的</w:t>
      </w:r>
      <w:r w:rsidR="00203F72" w:rsidRPr="00A53581">
        <w:rPr>
          <w:rFonts w:hint="eastAsia"/>
        </w:rPr>
        <w:t>成就</w:t>
      </w:r>
      <w:r w:rsidR="00203F72" w:rsidRPr="00A53581">
        <w:t>，人</w:t>
      </w:r>
      <w:r w:rsidR="00203F72" w:rsidRPr="00A53581">
        <w:rPr>
          <w:rFonts w:hint="eastAsia"/>
        </w:rPr>
        <w:t>民</w:t>
      </w:r>
      <w:r w:rsidR="00203F72" w:rsidRPr="00A53581">
        <w:t>道德修養素質的提升，是世界各國肯定的基石</w:t>
      </w:r>
      <w:r w:rsidR="00203F72" w:rsidRPr="00A53581">
        <w:rPr>
          <w:rFonts w:hint="eastAsia"/>
        </w:rPr>
        <w:t>。期</w:t>
      </w:r>
      <w:r w:rsidR="00203F72" w:rsidRPr="00A53581">
        <w:t>望柯</w:t>
      </w:r>
      <w:r w:rsidR="00203F72" w:rsidRPr="00A53581">
        <w:rPr>
          <w:rFonts w:hint="eastAsia"/>
        </w:rPr>
        <w:t>教</w:t>
      </w:r>
      <w:r w:rsidR="00203F72" w:rsidRPr="00A53581">
        <w:t>授這本書，能給青年學子更多</w:t>
      </w:r>
      <w:r w:rsidR="00203F72" w:rsidRPr="00A53581">
        <w:rPr>
          <w:rFonts w:hint="eastAsia"/>
        </w:rPr>
        <w:t>智</w:t>
      </w:r>
      <w:r w:rsidR="00203F72" w:rsidRPr="00A53581">
        <w:t>慧的啟示，以助國家光明</w:t>
      </w:r>
      <w:r w:rsidR="00203F72" w:rsidRPr="00A53581">
        <w:rPr>
          <w:rFonts w:hint="eastAsia"/>
        </w:rPr>
        <w:t>幸</w:t>
      </w:r>
      <w:r w:rsidR="00203F72" w:rsidRPr="00A53581">
        <w:t>福的未來。</w:t>
      </w:r>
    </w:p>
    <w:p w14:paraId="4F7A7E73" w14:textId="77777777" w:rsidR="00203F72" w:rsidRPr="00A53581" w:rsidRDefault="005E1EA8" w:rsidP="00D87D91">
      <w:r>
        <w:t xml:space="preserve">　　</w:t>
      </w:r>
      <w:r w:rsidR="00203F72" w:rsidRPr="00A53581">
        <w:t>南投市龍泉寺、</w:t>
      </w:r>
      <w:r w:rsidR="00203F72" w:rsidRPr="00A53581">
        <w:rPr>
          <w:rFonts w:cs="Arial"/>
          <w:color w:val="444444"/>
        </w:rPr>
        <w:t>南投縣國姓鄉「德林念佛寺」、南投縣</w:t>
      </w:r>
      <w:r w:rsidR="00203F72" w:rsidRPr="00A53581">
        <w:t>日月潭玄奘寺</w:t>
      </w:r>
      <w:r w:rsidR="00203F72" w:rsidRPr="00A53581">
        <w:rPr>
          <w:rFonts w:hint="eastAsia"/>
        </w:rPr>
        <w:t xml:space="preserve"> </w:t>
      </w:r>
    </w:p>
    <w:p w14:paraId="2951D746" w14:textId="77777777" w:rsidR="00203F72" w:rsidRPr="00A53581" w:rsidRDefault="00D62F4A" w:rsidP="00D87D91">
      <w:r>
        <w:t xml:space="preserve">　　</w:t>
      </w:r>
      <w:r w:rsidR="00203F72">
        <w:t>住</w:t>
      </w:r>
      <w:r w:rsidR="00203F72" w:rsidRPr="00A53581">
        <w:t>持</w:t>
      </w:r>
      <w:r w:rsidR="00203F72" w:rsidRPr="00A53581">
        <w:rPr>
          <w:rFonts w:hint="eastAsia"/>
        </w:rPr>
        <w:t xml:space="preserve"> </w:t>
      </w:r>
      <w:r w:rsidR="00203F72" w:rsidRPr="00BF34F6">
        <w:rPr>
          <w:rFonts w:ascii="標楷體" w:eastAsia="標楷體" w:hAnsi="標楷體" w:hint="eastAsia"/>
          <w:b/>
          <w:sz w:val="28"/>
          <w:szCs w:val="28"/>
        </w:rPr>
        <w:t>釋</w:t>
      </w:r>
      <w:r w:rsidR="00203F72" w:rsidRPr="00BF34F6">
        <w:rPr>
          <w:rFonts w:ascii="標楷體" w:eastAsia="標楷體" w:hAnsi="標楷體"/>
          <w:b/>
          <w:sz w:val="28"/>
          <w:szCs w:val="28"/>
        </w:rPr>
        <w:t>從慈</w:t>
      </w:r>
      <w:r w:rsidR="00203F72" w:rsidRPr="00BF34F6">
        <w:rPr>
          <w:rFonts w:ascii="標楷體" w:eastAsia="標楷體" w:hAnsi="標楷體" w:hint="eastAsia"/>
          <w:b/>
          <w:sz w:val="28"/>
          <w:szCs w:val="28"/>
        </w:rPr>
        <w:t xml:space="preserve"> </w:t>
      </w:r>
      <w:r w:rsidR="00203F72" w:rsidRPr="00BF34F6">
        <w:rPr>
          <w:rFonts w:ascii="標楷體" w:eastAsia="標楷體" w:hAnsi="標楷體"/>
          <w:b/>
          <w:sz w:val="28"/>
          <w:szCs w:val="28"/>
        </w:rPr>
        <w:t>法師</w:t>
      </w:r>
      <w:r w:rsidR="00203F72" w:rsidRPr="00A53581">
        <w:rPr>
          <w:rFonts w:hint="eastAsia"/>
        </w:rPr>
        <w:t xml:space="preserve"> </w:t>
      </w:r>
      <w:r w:rsidR="00203F72" w:rsidRPr="00A53581">
        <w:t>敬序</w:t>
      </w:r>
    </w:p>
    <w:p w14:paraId="43BC5592" w14:textId="77777777" w:rsidR="00953151" w:rsidRDefault="00D62F4A" w:rsidP="00D87D91">
      <w:r>
        <w:t xml:space="preserve">　　</w:t>
      </w:r>
      <w:r w:rsidR="00203F72" w:rsidRPr="00A53581">
        <w:rPr>
          <w:rFonts w:hint="eastAsia"/>
        </w:rPr>
        <w:t>中</w:t>
      </w:r>
      <w:r w:rsidR="00203F72" w:rsidRPr="00A53581">
        <w:t>華民國</w:t>
      </w:r>
      <w:r w:rsidR="00203F72" w:rsidRPr="00A53581">
        <w:rPr>
          <w:rFonts w:hint="eastAsia"/>
        </w:rPr>
        <w:t>104</w:t>
      </w:r>
      <w:r w:rsidR="00203F72" w:rsidRPr="00A53581">
        <w:rPr>
          <w:rFonts w:hint="eastAsia"/>
        </w:rPr>
        <w:t>年</w:t>
      </w:r>
      <w:r w:rsidR="00203F72" w:rsidRPr="00A53581">
        <w:rPr>
          <w:rFonts w:hint="eastAsia"/>
        </w:rPr>
        <w:t>7</w:t>
      </w:r>
      <w:r w:rsidR="00203F72" w:rsidRPr="00A53581">
        <w:rPr>
          <w:rFonts w:hint="eastAsia"/>
        </w:rPr>
        <w:t>月</w:t>
      </w:r>
      <w:r w:rsidR="00203F72" w:rsidRPr="00A53581">
        <w:rPr>
          <w:rFonts w:hint="eastAsia"/>
        </w:rPr>
        <w:t>23</w:t>
      </w:r>
      <w:r w:rsidR="00203F72" w:rsidRPr="00A53581">
        <w:rPr>
          <w:rFonts w:hint="eastAsia"/>
        </w:rPr>
        <w:t>日</w:t>
      </w:r>
    </w:p>
    <w:p w14:paraId="2B2BA446" w14:textId="77777777" w:rsidR="00953151" w:rsidRDefault="00953151" w:rsidP="00D87D91"/>
    <w:p w14:paraId="4449C9ED" w14:textId="77777777" w:rsidR="00A360B5" w:rsidRDefault="00A360B5" w:rsidP="00E108EB">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5DD46149" w14:textId="77777777" w:rsidR="00953151" w:rsidRDefault="00953151" w:rsidP="00D87D91"/>
    <w:p w14:paraId="37A525B5" w14:textId="77777777" w:rsidR="00203F72" w:rsidRPr="00747902" w:rsidRDefault="00203F72" w:rsidP="00D87D91">
      <w:pPr>
        <w:pStyle w:val="1"/>
        <w:rPr>
          <w:kern w:val="0"/>
        </w:rPr>
      </w:pPr>
      <w:bookmarkStart w:id="19" w:name="_高副校長哲翰_推薦序"/>
      <w:bookmarkEnd w:id="19"/>
      <w:r w:rsidRPr="00747902">
        <w:t>高副校長哲翰</w:t>
      </w:r>
      <w:r w:rsidRPr="00747902">
        <w:t xml:space="preserve"> </w:t>
      </w:r>
      <w:r w:rsidRPr="00747902">
        <w:t>推薦序</w:t>
      </w:r>
    </w:p>
    <w:p w14:paraId="55A451B7" w14:textId="77777777" w:rsidR="00953151" w:rsidRDefault="005E1EA8" w:rsidP="00D87D91">
      <w:r>
        <w:t xml:space="preserve">　　</w:t>
      </w:r>
      <w:r w:rsidR="00203F72" w:rsidRPr="00A53581">
        <w:t>本書的兩位作者</w:t>
      </w:r>
      <w:r w:rsidR="00D92F56">
        <w:t>〜</w:t>
      </w:r>
      <w:r w:rsidR="00203F72" w:rsidRPr="00A53581">
        <w:t>雨瑞與夙芳，均是當年我在中央警察大學任教時的同事與後輩，</w:t>
      </w:r>
      <w:r w:rsidR="00203F72" w:rsidRPr="00A53581">
        <w:lastRenderedPageBreak/>
        <w:t>兩位作者擬共同出版電子書</w:t>
      </w:r>
      <w:r w:rsidR="00D92F56">
        <w:t>〜</w:t>
      </w:r>
      <w:r w:rsidR="00203F72" w:rsidRPr="00A53581">
        <w:rPr>
          <w:bCs/>
        </w:rPr>
        <w:t>憲法逐條釋義與人權保障</w:t>
      </w:r>
      <w:r w:rsidR="00203F72" w:rsidRPr="00A53581">
        <w:t>(</w:t>
      </w:r>
      <w:r w:rsidR="00203F72" w:rsidRPr="00A53581">
        <w:t>增訂</w:t>
      </w:r>
      <w:r w:rsidR="00203F72" w:rsidRPr="00A53581">
        <w:t>2</w:t>
      </w:r>
      <w:r w:rsidR="00203F72" w:rsidRPr="00A53581">
        <w:t>版</w:t>
      </w:r>
      <w:r w:rsidR="00203F72" w:rsidRPr="00A53581">
        <w:t>)</w:t>
      </w:r>
      <w:r w:rsidR="00203F72" w:rsidRPr="00A53581">
        <w:t>，並找我作序，我欣然同意。個人認為，人民必須了解憲法，透過憲法，來保障自己的權利。在我教書授課的過程中，曾有學生問我：「高教授，台灣是不是一個國家？」，並引用「總統馬英九先生說兩岸關係不是國際關係」詢問我之意見。個人之想法如下，依憲法之內容，中華民國是一個主權獨立之國家，至於國際上承不承認中華民國？並不影響中華民國是一個主權獨立之國家的事實與狀況。我當時反問該名學生：「如果別人都不承認你是人？難道你就真的不是人了嗎？」我當時這樣的回應，或許，有可能傷了這名同學作為一個人之尊嚴與人格，但卻非常清楚地表達了我的看法，即中華民國是一個主權自主與獨立之國家，她並非中國大陸、日本或美國的領土。</w:t>
      </w:r>
    </w:p>
    <w:p w14:paraId="1BDFC5D4" w14:textId="77777777" w:rsidR="00953151" w:rsidRDefault="005E1EA8" w:rsidP="00D87D91">
      <w:r>
        <w:rPr>
          <w:kern w:val="0"/>
        </w:rPr>
        <w:t xml:space="preserve">　　</w:t>
      </w:r>
      <w:r w:rsidR="00203F72" w:rsidRPr="00A53581">
        <w:rPr>
          <w:kern w:val="0"/>
        </w:rPr>
        <w:t>我認為兩岸關係不是國際關係，但也不是國內關係，而是特殊的關係，這點，多數人都能認同。台灣社會現在最大的問題，是「公平」，政府每年公布的</w:t>
      </w:r>
      <w:r w:rsidR="00203F72" w:rsidRPr="00A53581">
        <w:rPr>
          <w:kern w:val="0"/>
        </w:rPr>
        <w:t>GDP</w:t>
      </w:r>
      <w:r w:rsidR="00203F72" w:rsidRPr="00A53581">
        <w:rPr>
          <w:kern w:val="0"/>
        </w:rPr>
        <w:t>數字，很漂亮，但多數人卻無感；民眾要學習如何用憲法當武器，去爭取基本的，及自己的生存權利。本</w:t>
      </w:r>
      <w:r w:rsidR="00203F72" w:rsidRPr="00A53581">
        <w:t>電子書</w:t>
      </w:r>
      <w:r w:rsidR="00D92F56">
        <w:t>〜</w:t>
      </w:r>
      <w:r w:rsidR="00203F72" w:rsidRPr="00A53581">
        <w:rPr>
          <w:bCs/>
        </w:rPr>
        <w:t>憲法逐條釋義與人權保障</w:t>
      </w:r>
      <w:r w:rsidR="00203F72" w:rsidRPr="00A53581">
        <w:t>(</w:t>
      </w:r>
      <w:r w:rsidR="00203F72" w:rsidRPr="00A53581">
        <w:t>增訂</w:t>
      </w:r>
      <w:r w:rsidR="00203F72" w:rsidRPr="00A53581">
        <w:t>2</w:t>
      </w:r>
      <w:r w:rsidR="00203F72" w:rsidRPr="00A53581">
        <w:t>版</w:t>
      </w:r>
      <w:r w:rsidR="00203F72" w:rsidRPr="00A53581">
        <w:t>)</w:t>
      </w:r>
      <w:r w:rsidR="00203F72" w:rsidRPr="00A53581">
        <w:t>中所提供的諸多觀點，甚值得讀者參考之，作為爭取</w:t>
      </w:r>
      <w:r w:rsidR="00203F72" w:rsidRPr="00A53581">
        <w:rPr>
          <w:kern w:val="0"/>
        </w:rPr>
        <w:t>自己的生存權利之用</w:t>
      </w:r>
      <w:r w:rsidR="00203F72" w:rsidRPr="00A53581">
        <w:t>。在本書之中，有一個觀點，亦頗值得台灣社會民眾深思，即胎兒究竟是否具有人性尊嚴之問題？台灣每年的墮胎數，就我個人之了解，約達</w:t>
      </w:r>
      <w:r w:rsidR="00203F72" w:rsidRPr="00A53581">
        <w:t>30</w:t>
      </w:r>
      <w:r w:rsidR="00203F72" w:rsidRPr="00A53581">
        <w:t>萬，甚至高達</w:t>
      </w:r>
      <w:r w:rsidR="00203F72" w:rsidRPr="00A53581">
        <w:t>50</w:t>
      </w:r>
      <w:r w:rsidR="00203F72" w:rsidRPr="00A53581">
        <w:t>萬。假若一年</w:t>
      </w:r>
      <w:r w:rsidR="00203F72" w:rsidRPr="00A53581">
        <w:t>50</w:t>
      </w:r>
      <w:r w:rsidR="00203F72" w:rsidRPr="00A53581">
        <w:t>萬名胎兒被</w:t>
      </w:r>
      <w:r w:rsidR="003E240E">
        <w:t>墮</w:t>
      </w:r>
      <w:r w:rsidR="00203F72" w:rsidRPr="00A53581">
        <w:t>胎，</w:t>
      </w:r>
      <w:r w:rsidR="00203F72" w:rsidRPr="00A53581">
        <w:t>10</w:t>
      </w:r>
      <w:r w:rsidR="00203F72" w:rsidRPr="00A53581">
        <w:t>年即為</w:t>
      </w:r>
      <w:r w:rsidR="00203F72" w:rsidRPr="00A53581">
        <w:t>500</w:t>
      </w:r>
      <w:r w:rsidR="00203F72" w:rsidRPr="00A53581">
        <w:t>萬名胎兒被</w:t>
      </w:r>
      <w:r w:rsidR="003E240E">
        <w:t>墮</w:t>
      </w:r>
      <w:r w:rsidR="00203F72" w:rsidRPr="00A53581">
        <w:t>胎，</w:t>
      </w:r>
      <w:r w:rsidR="00203F72" w:rsidRPr="00A53581">
        <w:t>20</w:t>
      </w:r>
      <w:r w:rsidR="00203F72" w:rsidRPr="00A53581">
        <w:t>年即為</w:t>
      </w:r>
      <w:r w:rsidR="00203F72" w:rsidRPr="00A53581">
        <w:t>1000</w:t>
      </w:r>
      <w:r w:rsidR="00203F72" w:rsidRPr="00A53581">
        <w:t>萬名胎兒被</w:t>
      </w:r>
      <w:r w:rsidR="003E240E">
        <w:t>墮</w:t>
      </w:r>
      <w:r w:rsidR="00203F72" w:rsidRPr="00A53581">
        <w:t>胎，這一個問題，憲法有必要面對它。台灣生育率偏低，其中之主因，乃是墮胎數過多，個人認為，現行《</w:t>
      </w:r>
      <w:hyperlink r:id="rId21" w:history="1">
        <w:r w:rsidR="00203F72" w:rsidRPr="001408FD">
          <w:rPr>
            <w:rStyle w:val="a5"/>
          </w:rPr>
          <w:t>優生保健法</w:t>
        </w:r>
      </w:hyperlink>
      <w:r w:rsidR="00203F72" w:rsidRPr="00A53581">
        <w:t>》讓墮胎太過容易，恐須檢討《優生保健法》</w:t>
      </w:r>
      <w:hyperlink r:id="rId22" w:anchor="a9" w:history="1">
        <w:r w:rsidR="00203F72" w:rsidRPr="001408FD">
          <w:rPr>
            <w:rStyle w:val="a5"/>
          </w:rPr>
          <w:t>第九條</w:t>
        </w:r>
      </w:hyperlink>
      <w:r w:rsidR="00203F72" w:rsidRPr="00A53581">
        <w:t>第一項諸款立法之妥適性。</w:t>
      </w:r>
    </w:p>
    <w:p w14:paraId="72B52284" w14:textId="77777777" w:rsidR="00953151" w:rsidRDefault="005E1EA8" w:rsidP="00D87D91">
      <w:r>
        <w:t xml:space="preserve">　　</w:t>
      </w:r>
      <w:r w:rsidR="00203F72" w:rsidRPr="00A53581">
        <w:t>在台灣，約有</w:t>
      </w:r>
      <w:r w:rsidR="00203F72" w:rsidRPr="00A53581">
        <w:t>95</w:t>
      </w:r>
      <w:r w:rsidR="00203F72" w:rsidRPr="00A53581">
        <w:t>％以上的墮胎女性，大多引用優生保健法第三章</w:t>
      </w:r>
      <w:hyperlink r:id="rId23" w:anchor="a9" w:history="1">
        <w:r w:rsidR="001408FD" w:rsidRPr="001408FD">
          <w:rPr>
            <w:rStyle w:val="a5"/>
          </w:rPr>
          <w:t>第九條</w:t>
        </w:r>
      </w:hyperlink>
      <w:r w:rsidR="00203F72" w:rsidRPr="00A53581">
        <w:t>第一項第六款「因懷孕或生產，將影響其心理健康或家庭生活者」，個人認為，現行《優生保健法》第三章</w:t>
      </w:r>
      <w:hyperlink r:id="rId24" w:anchor="a9" w:history="1">
        <w:r w:rsidR="001408FD" w:rsidRPr="001408FD">
          <w:rPr>
            <w:rStyle w:val="a5"/>
          </w:rPr>
          <w:t>第九條</w:t>
        </w:r>
      </w:hyperlink>
      <w:r w:rsidR="00203F72" w:rsidRPr="00A53581">
        <w:t>第一項第六款之規定，讓女性墮胎太過容易。何謂影響其心理健康或家庭生活？定義為何？是否讓女性墮胎太過寬鬆？恐有修法之必要性。</w:t>
      </w:r>
    </w:p>
    <w:p w14:paraId="29FA0D41" w14:textId="77777777" w:rsidR="00953151" w:rsidRDefault="005E1EA8" w:rsidP="00D87D91">
      <w:pPr>
        <w:rPr>
          <w:kern w:val="0"/>
        </w:rPr>
      </w:pPr>
      <w:r>
        <w:t xml:space="preserve">　　</w:t>
      </w:r>
      <w:r w:rsidR="00203F72" w:rsidRPr="00A53581">
        <w:t>個人對於人權保障之議題，向來即相當重</w:t>
      </w:r>
      <w:r w:rsidR="003E240E">
        <w:t>視</w:t>
      </w:r>
      <w:r w:rsidR="00203F72" w:rsidRPr="00A53581">
        <w:t>之，我的本性，事實上，是相當有愛心與慈悲心的，故我比較贊同與肯定本書之觀點，即似宜從憲法之角度，保護胎兒的生命權、人性尊嚴與生存權。本書有關胎兒究竟是否具有人性尊嚴，及其他議題之闡釋，均進行深入的討論，相當值得讀者們參閱之。</w:t>
      </w:r>
    </w:p>
    <w:p w14:paraId="78DB2E48" w14:textId="77777777" w:rsidR="00203F72" w:rsidRPr="00A53581" w:rsidRDefault="005E1EA8" w:rsidP="00D87D91">
      <w:pPr>
        <w:pStyle w:val="afa"/>
      </w:pPr>
      <w:r>
        <w:t xml:space="preserve">　　</w:t>
      </w:r>
      <w:r w:rsidR="00203F72" w:rsidRPr="00A53581">
        <w:t>華夏科技大學 教授兼副校長</w:t>
      </w:r>
      <w:r w:rsidR="00203F72" w:rsidRPr="00747902">
        <w:rPr>
          <w:rFonts w:ascii="標楷體" w:eastAsia="標楷體" w:hAnsi="標楷體"/>
          <w:b/>
          <w:sz w:val="28"/>
          <w:szCs w:val="28"/>
        </w:rPr>
        <w:t>高哲翰</w:t>
      </w:r>
    </w:p>
    <w:p w14:paraId="0B8B7ECA" w14:textId="77777777" w:rsidR="00203F72" w:rsidRDefault="005E1EA8" w:rsidP="00D87D91">
      <w:r>
        <w:t xml:space="preserve">　　</w:t>
      </w:r>
      <w:r w:rsidR="00203F72" w:rsidRPr="00A53581">
        <w:t xml:space="preserve">2015 </w:t>
      </w:r>
      <w:r w:rsidR="00203F72" w:rsidRPr="00A53581">
        <w:t>年</w:t>
      </w:r>
      <w:r w:rsidR="00203F72" w:rsidRPr="00A53581">
        <w:t xml:space="preserve"> 05 </w:t>
      </w:r>
      <w:r w:rsidR="00203F72" w:rsidRPr="00A53581">
        <w:t>月</w:t>
      </w:r>
      <w:r w:rsidR="00203F72" w:rsidRPr="00A53581">
        <w:t xml:space="preserve"> 31 </w:t>
      </w:r>
      <w:r w:rsidR="00203F72" w:rsidRPr="00A53581">
        <w:t>日</w:t>
      </w:r>
    </w:p>
    <w:p w14:paraId="018BBDF7" w14:textId="77777777" w:rsidR="00A360B5" w:rsidRDefault="00A360B5" w:rsidP="00E108EB">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69035125" w14:textId="77777777" w:rsidR="00A360B5" w:rsidRPr="00A53581" w:rsidRDefault="00A360B5" w:rsidP="00D87D91"/>
    <w:p w14:paraId="3F4CDCEC" w14:textId="77777777" w:rsidR="00953151" w:rsidRDefault="00203F72" w:rsidP="00D87D91">
      <w:pPr>
        <w:pStyle w:val="1"/>
      </w:pPr>
      <w:bookmarkStart w:id="20" w:name="_章院長光明_推薦序"/>
      <w:bookmarkEnd w:id="20"/>
      <w:r w:rsidRPr="009D3AEB">
        <w:t>章院長光明</w:t>
      </w:r>
      <w:r w:rsidRPr="009D3AEB">
        <w:t xml:space="preserve"> </w:t>
      </w:r>
      <w:r w:rsidRPr="009D3AEB">
        <w:t>推薦序</w:t>
      </w:r>
    </w:p>
    <w:p w14:paraId="02C41EEF" w14:textId="77777777" w:rsidR="00953151" w:rsidRDefault="005E1EA8" w:rsidP="00D87D91">
      <w:r>
        <w:t xml:space="preserve">　　</w:t>
      </w:r>
      <w:r w:rsidR="00203F72" w:rsidRPr="00A53581">
        <w:t>本書二位作者都是警大的老師，也是我的學弟學妹。他們在教學之餘，不忘整理資料，彙集成書，值得鼓勵，我因此答應他們作序。</w:t>
      </w:r>
    </w:p>
    <w:p w14:paraId="38E35818" w14:textId="77777777" w:rsidR="00953151" w:rsidRDefault="00861160" w:rsidP="00D87D91">
      <w:r>
        <w:rPr>
          <w:rFonts w:hint="eastAsia"/>
        </w:rPr>
        <w:t xml:space="preserve">　　</w:t>
      </w:r>
      <w:r w:rsidR="00203F72" w:rsidRPr="00A53581">
        <w:t>幾經思索，我決定以和作者討論對話的方式寫序。作者在本書第四篇提出若干修憲建議，我的討論，聚焦於此。首先，作者提出的大半建議，圍繞在人權議題。若從方法論思考，我以為人權的樣態與範圍是人類的主觀建構，有別於普世的客觀實存。當我們說，憲法概念須與其所屬社會與時俱進，意思是，憲法中的若干基本人權乃隨社會進步方可能存在落實。另一方面，人權範圍並不絕對，它涉及基本人權與公共利益之間的界線，其分配界線是否符合比例原則</w:t>
      </w:r>
      <w:r w:rsidR="00203F72" w:rsidRPr="00A53581">
        <w:t>(</w:t>
      </w:r>
      <w:r w:rsidR="00203F72" w:rsidRPr="00A53581">
        <w:t>我國憲法</w:t>
      </w:r>
      <w:hyperlink r:id="rId25" w:anchor="a23" w:history="1">
        <w:r w:rsidR="00203F72" w:rsidRPr="003D02B1">
          <w:rPr>
            <w:rStyle w:val="a5"/>
          </w:rPr>
          <w:t>第23條</w:t>
        </w:r>
      </w:hyperlink>
      <w:r w:rsidR="00203F72" w:rsidRPr="00A53581">
        <w:t>)</w:t>
      </w:r>
      <w:r w:rsidR="00203F72" w:rsidRPr="00A53581">
        <w:t>，亦隨不同時空內，政、經、社、文的情況而流動。從而，死刑是否廢止、抵抗權入憲與否、生命尊嚴的內涵、同性戀者的婚姻權、集會遊行事前須否申請，都要回到該當社會的政、經、社、文脈絡</w:t>
      </w:r>
      <w:r w:rsidR="00203F72" w:rsidRPr="00A53581">
        <w:t>(context)</w:t>
      </w:r>
      <w:r w:rsidR="00203F72" w:rsidRPr="00A53581">
        <w:t>中找尋。也就是說，就算有他山之石，這顆石頭也須相容於在地的草根，社會方能和諧而有機地運作。</w:t>
      </w:r>
    </w:p>
    <w:p w14:paraId="04B75D14" w14:textId="77777777" w:rsidR="00953151" w:rsidRDefault="005E1EA8" w:rsidP="00D87D91">
      <w:r>
        <w:t xml:space="preserve">　　</w:t>
      </w:r>
      <w:r w:rsidR="00203F72" w:rsidRPr="00A53581">
        <w:t>在政府權力方面，本書作者提出削弱總統權力、維持五院設計等建議。我從政府效能的角度看這個問題，也就是政府體制，既要能有跑得快的速度，又能夠掌握正確的方向。前者靠的是行政部門的效率，後者則賴權力分立的制衡機制，如此國家才有競爭力。若說人權有賴政府保障，則政府也要有能力，人權方得確保。更何況，政府還要有追求</w:t>
      </w:r>
      <w:r w:rsidR="00203F72" w:rsidRPr="00A53581">
        <w:lastRenderedPageBreak/>
        <w:t>公共利益的能力。政府效率有賴行政首長的單一指揮與權責相符的課責機制，我國憲法在總統制、內閣制與雙首長制之間，始終未能找到定位。憲法明白規定，行政院長是最高行政首長，行政院向立法院負責，實際上，行政院長的權力來自總統，總統掌有實權，實權總統卻不須受國會監督。權責不符的結果，過去許多國政問題與民怨累積，源自於此。而所謂雙首長制精神，也只停留在學界的論述，從未形成憲政慣例。復次，民主之外，效率，是憲法隱含的價值，世界各國憲法之所以採三權，是因為三權之間的制衡，既能確保民主，防止恣意，卻也能使行政部門有一定程度的彈性，以追求效率。從三權到五權，制衡防弊機制等比增加，將五個部門緊緊纏住，綑綁的結果，失去了彈性，失去了行政效率，也失去了國家的發展力。解嚴後的臺灣，正是寫照。</w:t>
      </w:r>
    </w:p>
    <w:p w14:paraId="097A6FE8" w14:textId="77777777" w:rsidR="00953151" w:rsidRDefault="005E1EA8" w:rsidP="00D87D91">
      <w:r>
        <w:t xml:space="preserve">　　</w:t>
      </w:r>
      <w:r w:rsidR="00203F72" w:rsidRPr="00A53581">
        <w:t>綜言之，人權態樣與人權範圍反映時空環境與社會變遷。政府體制的設計須兼顧效率（速度）與民主（方向），當然也要遵循單一指揮與權責相符的原則。這些都是憲法設計的根本問題，欣見二位作者釋義憲法，謹提出以上思考，就教作者，就教讀者。</w:t>
      </w:r>
    </w:p>
    <w:p w14:paraId="3923CE21" w14:textId="77777777" w:rsidR="00203F72" w:rsidRPr="00A53581" w:rsidRDefault="005E1EA8" w:rsidP="00D87D91">
      <w:r>
        <w:t xml:space="preserve">　　</w:t>
      </w:r>
      <w:r w:rsidR="00203F72" w:rsidRPr="00A53581">
        <w:t>中央警察大學警政學院</w:t>
      </w:r>
      <w:r w:rsidR="00203F72" w:rsidRPr="00A53581">
        <w:t xml:space="preserve"> </w:t>
      </w:r>
      <w:r w:rsidR="00203F72" w:rsidRPr="00A53581">
        <w:t>教授兼院長</w:t>
      </w:r>
      <w:r w:rsidR="00203F72" w:rsidRPr="009D3AEB">
        <w:rPr>
          <w:rFonts w:ascii="標楷體" w:eastAsia="標楷體" w:hAnsi="標楷體"/>
          <w:b/>
          <w:sz w:val="28"/>
          <w:szCs w:val="28"/>
        </w:rPr>
        <w:t>章光明</w:t>
      </w:r>
      <w:r w:rsidR="00203F72" w:rsidRPr="00A53581">
        <w:rPr>
          <w:b/>
        </w:rPr>
        <w:t xml:space="preserve"> </w:t>
      </w:r>
    </w:p>
    <w:p w14:paraId="2DA7A055" w14:textId="77777777" w:rsidR="00953151" w:rsidRDefault="005E1EA8" w:rsidP="00D87D91">
      <w:r>
        <w:t xml:space="preserve">　　</w:t>
      </w:r>
      <w:r w:rsidR="00203F72" w:rsidRPr="00A53581">
        <w:t xml:space="preserve">2015 </w:t>
      </w:r>
      <w:r w:rsidR="00203F72" w:rsidRPr="00A53581">
        <w:t>年</w:t>
      </w:r>
      <w:r w:rsidR="00203F72" w:rsidRPr="00A53581">
        <w:t xml:space="preserve"> 06 </w:t>
      </w:r>
      <w:r w:rsidR="00203F72" w:rsidRPr="00A53581">
        <w:t>月</w:t>
      </w:r>
      <w:r w:rsidR="00203F72" w:rsidRPr="00A53581">
        <w:t xml:space="preserve"> 22 </w:t>
      </w:r>
      <w:r w:rsidR="00203F72" w:rsidRPr="00A53581">
        <w:t>日</w:t>
      </w:r>
    </w:p>
    <w:p w14:paraId="12BE9647" w14:textId="77777777" w:rsidR="00A360B5" w:rsidRDefault="00A360B5" w:rsidP="00E108EB">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3497DA84" w14:textId="77777777" w:rsidR="00A360B5" w:rsidRDefault="00A360B5" w:rsidP="00D87D91"/>
    <w:p w14:paraId="40A6C0B0" w14:textId="77777777" w:rsidR="00203F72" w:rsidRPr="00E51E7B" w:rsidRDefault="00203F72" w:rsidP="00D87D91">
      <w:pPr>
        <w:pStyle w:val="1"/>
      </w:pPr>
      <w:bookmarkStart w:id="21" w:name="_陳主任明傳_推薦序"/>
      <w:bookmarkEnd w:id="21"/>
      <w:r w:rsidRPr="00E51E7B">
        <w:t>陳主任明傳</w:t>
      </w:r>
      <w:r w:rsidRPr="00E51E7B">
        <w:t xml:space="preserve"> </w:t>
      </w:r>
      <w:r w:rsidRPr="00E51E7B">
        <w:t>推薦序</w:t>
      </w:r>
    </w:p>
    <w:p w14:paraId="583AE565" w14:textId="77777777" w:rsidR="00203F72" w:rsidRPr="00A53581" w:rsidRDefault="005E1EA8" w:rsidP="00D87D91">
      <w:r>
        <w:rPr>
          <w:b/>
        </w:rPr>
        <w:t xml:space="preserve">　　</w:t>
      </w:r>
      <w:r w:rsidR="00203F72" w:rsidRPr="00A53581">
        <w:t>自</w:t>
      </w:r>
      <w:r w:rsidR="00203F72" w:rsidRPr="00A53581">
        <w:t>1986</w:t>
      </w:r>
      <w:r w:rsidR="00203F72" w:rsidRPr="00A53581">
        <w:t>年負笈至美國德州聖</w:t>
      </w:r>
      <w:r w:rsidR="00203F72" w:rsidRPr="00A53581">
        <w:t>·</w:t>
      </w:r>
      <w:r w:rsidR="00203F72" w:rsidRPr="00A53581">
        <w:t>休士頓大學</w:t>
      </w:r>
      <w:r w:rsidR="00203F72" w:rsidRPr="00A53581">
        <w:t>(Sam Houston State University)</w:t>
      </w:r>
      <w:r w:rsidR="00203F72" w:rsidRPr="00A53581">
        <w:t>，取得刑事司法博士學位回國之後，即在當時之警官學校行政警察學系任教副教授乙職，本書之作者雨瑞與夙芳，當時為行政警察學系大四學生，均曾是我所授課程－「各國警察制度」一科的學生。雨瑞在就讀本校碩士班與博士班時，愚亦分別是其管理科學與刑事司法課程之授課教師。雨瑞在就讀本校碩士班之時，我亦是其碩士論文之指導教授。當時，我擔任警官學校國境警察學系系主任乙職，其曾向我表示，碩士班畢業之後，有意願擔任國境警察學系助教乙職，在符合本校聘用法令規定之下，我應其所願，聘請其擔任該職。本電子書－</w:t>
      </w:r>
      <w:r w:rsidR="00203F72" w:rsidRPr="00A53581">
        <w:rPr>
          <w:bCs/>
        </w:rPr>
        <w:t>憲法逐條釋義與人權保障</w:t>
      </w:r>
      <w:r w:rsidR="00203F72" w:rsidRPr="00A53581">
        <w:t>(</w:t>
      </w:r>
      <w:r w:rsidR="00203F72" w:rsidRPr="00A53581">
        <w:t>增訂</w:t>
      </w:r>
      <w:r w:rsidR="00203F72" w:rsidRPr="00A53581">
        <w:t>2</w:t>
      </w:r>
      <w:r w:rsidR="00203F72" w:rsidRPr="00A53581">
        <w:t>版</w:t>
      </w:r>
      <w:r w:rsidR="00203F72" w:rsidRPr="00A53581">
        <w:t>)</w:t>
      </w:r>
      <w:r w:rsidR="00203F72" w:rsidRPr="00A53581">
        <w:t>之問世，我看到了兩位作者之大幅成長。在本書之中，作者展現了憲法學上之實力，兩位老師有如此般之進步，著實令所有系上同仁感到相當的欣慰。</w:t>
      </w:r>
    </w:p>
    <w:p w14:paraId="667F3C24" w14:textId="77777777" w:rsidR="00203F72" w:rsidRPr="00A53581" w:rsidRDefault="005E1EA8" w:rsidP="00D87D91">
      <w:r>
        <w:t xml:space="preserve">　　</w:t>
      </w:r>
      <w:r w:rsidR="00203F72" w:rsidRPr="00A53581">
        <w:t>兩位作者於本書之中，運用了學術中立、科學、客觀、宏觀、微觀、多元與非常嚴謹之治學方法，撰寫本書之內容。本書之諸多憲法議題之討論與建言，經詳加閱讀之後，認為相當值得向國內、外讀者諸君們推薦之。在本書之憲法議題之中，以下之課題，具有極高度之爭議性，兩位作者花了相當多之心思，進行論述，特別值得讀者之參酌。其一，乃為人類胚胎之保護。當人類胚胎成形之後，即有生命權及生存權之課題，兩位作者認為有必要在憲法本文之中，明文加以保護，甚值得學術與實務界之援引與參考。</w:t>
      </w:r>
    </w:p>
    <w:p w14:paraId="3A3312DC" w14:textId="77777777" w:rsidR="00203F72" w:rsidRPr="00A53581" w:rsidRDefault="005E1EA8" w:rsidP="00D87D91">
      <w:r>
        <w:t xml:space="preserve">　　</w:t>
      </w:r>
      <w:r w:rsidR="00203F72" w:rsidRPr="00A53581">
        <w:t>其次乃在動物權之保障方面，近</w:t>
      </w:r>
      <w:r w:rsidR="00203F72" w:rsidRPr="00A53581">
        <w:t>10</w:t>
      </w:r>
      <w:r w:rsidR="00203F72" w:rsidRPr="00A53581">
        <w:t>多年來，國內力倡人性尊嚴</w:t>
      </w:r>
      <w:r w:rsidR="00203F72" w:rsidRPr="00A53581">
        <w:t>(human dignity)</w:t>
      </w:r>
      <w:r w:rsidR="00203F72" w:rsidRPr="00A53581">
        <w:t>立憲化，兩位作者更進一步提出動物尊嚴</w:t>
      </w:r>
      <w:r w:rsidR="00203F72" w:rsidRPr="00A53581">
        <w:t>(animal dignity)</w:t>
      </w:r>
      <w:r w:rsidR="00203F72" w:rsidRPr="00A53581">
        <w:t>之立憲議題，亦甚值得肯定。再者，有關同性戀者之婚姻權與家庭權方面，此議題除了須考量當事人之主張外，憲法學恐亦須與傳統倫理、宗教與道德之規範，進行良性與深層之對話。是否有必要對其提供憲法上婚姻權與家庭權之保障，愚亦肯定兩位作者之論點，恐需要有更廣泛的進一步之研議與探討的必要。</w:t>
      </w:r>
    </w:p>
    <w:p w14:paraId="54675D55" w14:textId="77777777" w:rsidR="00953151" w:rsidRDefault="005E1EA8" w:rsidP="00D87D91">
      <w:r>
        <w:t xml:space="preserve">　　</w:t>
      </w:r>
      <w:r w:rsidR="00203F72" w:rsidRPr="00A53581">
        <w:t>本書之兩位作者，將其對憲法學之研習心得，整理出此電子書，並提出先進化之觀點，作為我國未來修憲之參考與指引之用，誠屬難能可貴，值得鼓勵與推廣，本人爰樂為之序。</w:t>
      </w:r>
    </w:p>
    <w:p w14:paraId="1C7476CC" w14:textId="77777777" w:rsidR="00203F72" w:rsidRPr="00A53581" w:rsidRDefault="005E1EA8" w:rsidP="00D87D91">
      <w:r>
        <w:t xml:space="preserve">　　</w:t>
      </w:r>
      <w:r w:rsidR="00203F72" w:rsidRPr="00A53581">
        <w:t>中央警察大學國境警察學系</w:t>
      </w:r>
      <w:r w:rsidR="00203F72" w:rsidRPr="00A53581">
        <w:t xml:space="preserve"> </w:t>
      </w:r>
      <w:r w:rsidR="00203F72" w:rsidRPr="00A53581">
        <w:t>教授兼系主任</w:t>
      </w:r>
      <w:r w:rsidR="00203F72" w:rsidRPr="00A53581">
        <w:t xml:space="preserve"> </w:t>
      </w:r>
      <w:r w:rsidR="00203F72" w:rsidRPr="00E51E7B">
        <w:rPr>
          <w:rFonts w:ascii="標楷體" w:eastAsia="標楷體" w:hAnsi="標楷體"/>
          <w:b/>
          <w:sz w:val="28"/>
          <w:szCs w:val="28"/>
        </w:rPr>
        <w:t>陳 明 傳</w:t>
      </w:r>
    </w:p>
    <w:p w14:paraId="3AFE3FAF" w14:textId="77777777" w:rsidR="00203F72" w:rsidRDefault="005E1EA8" w:rsidP="00D87D91">
      <w:r>
        <w:t xml:space="preserve">　　</w:t>
      </w:r>
      <w:r w:rsidR="00203F72" w:rsidRPr="00A53581">
        <w:t xml:space="preserve">2015 </w:t>
      </w:r>
      <w:r w:rsidR="00203F72" w:rsidRPr="00A53581">
        <w:t>年</w:t>
      </w:r>
      <w:r w:rsidR="00203F72" w:rsidRPr="00A53581">
        <w:t xml:space="preserve"> 05 </w:t>
      </w:r>
      <w:r w:rsidR="00203F72" w:rsidRPr="00A53581">
        <w:t>月</w:t>
      </w:r>
      <w:r w:rsidR="00203F72" w:rsidRPr="00A53581">
        <w:t xml:space="preserve"> 20 </w:t>
      </w:r>
      <w:r w:rsidR="00203F72" w:rsidRPr="00A53581">
        <w:t>日</w:t>
      </w:r>
    </w:p>
    <w:p w14:paraId="46DDF2AB" w14:textId="77777777" w:rsidR="00A360B5" w:rsidRDefault="00A360B5" w:rsidP="00E108EB">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4BB358A5" w14:textId="77777777" w:rsidR="00A360B5" w:rsidRPr="00A53581" w:rsidRDefault="00A360B5" w:rsidP="00D87D91"/>
    <w:p w14:paraId="3A5C9991" w14:textId="77777777" w:rsidR="00953151" w:rsidRDefault="00203F72" w:rsidP="00D87D91">
      <w:pPr>
        <w:pStyle w:val="1"/>
      </w:pPr>
      <w:bookmarkStart w:id="22" w:name="_吳教授東明_推薦序"/>
      <w:bookmarkEnd w:id="22"/>
      <w:r w:rsidRPr="000D1D9A">
        <w:lastRenderedPageBreak/>
        <w:t>吳教授東明</w:t>
      </w:r>
      <w:r w:rsidRPr="000D1D9A">
        <w:t xml:space="preserve"> </w:t>
      </w:r>
      <w:r w:rsidRPr="000D1D9A">
        <w:t>推薦序</w:t>
      </w:r>
    </w:p>
    <w:p w14:paraId="0D7C3189" w14:textId="77777777" w:rsidR="00203F72" w:rsidRPr="00A53581" w:rsidRDefault="005E1EA8" w:rsidP="00D87D91">
      <w:r>
        <w:rPr>
          <w:rFonts w:hint="eastAsia"/>
        </w:rPr>
        <w:t xml:space="preserve">　　</w:t>
      </w:r>
      <w:r w:rsidR="00203F72" w:rsidRPr="00A53581">
        <w:rPr>
          <w:rFonts w:hint="eastAsia"/>
        </w:rPr>
        <w:t>現行《</w:t>
      </w:r>
      <w:r w:rsidR="00203F72" w:rsidRPr="00A53581">
        <w:rPr>
          <w:rFonts w:hint="eastAsia"/>
          <w:bCs/>
        </w:rPr>
        <w:t>中華民國憲法</w:t>
      </w:r>
      <w:r w:rsidR="00203F72" w:rsidRPr="00A53581">
        <w:rPr>
          <w:rFonts w:hint="eastAsia"/>
        </w:rPr>
        <w:t>》是我國的根本大法，其擁有最高位階的法規範之至高權力。</w:t>
      </w:r>
      <w:r w:rsidR="00203F72" w:rsidRPr="00A53581">
        <w:rPr>
          <w:rFonts w:cs="新細明體" w:hint="eastAsia"/>
          <w:kern w:val="0"/>
        </w:rPr>
        <w:t>在民國</w:t>
      </w:r>
      <w:r w:rsidR="00203F72" w:rsidRPr="00A53581">
        <w:rPr>
          <w:rFonts w:cs="新細明體" w:hint="eastAsia"/>
          <w:kern w:val="0"/>
        </w:rPr>
        <w:t>25</w:t>
      </w:r>
      <w:r w:rsidR="00203F72" w:rsidRPr="00A53581">
        <w:rPr>
          <w:rFonts w:cs="新細明體" w:hint="eastAsia"/>
          <w:kern w:val="0"/>
        </w:rPr>
        <w:t>年</w:t>
      </w:r>
      <w:r w:rsidR="00203F72" w:rsidRPr="00A53581">
        <w:rPr>
          <w:rFonts w:hint="eastAsia"/>
        </w:rPr>
        <w:t>（</w:t>
      </w:r>
      <w:r w:rsidR="00203F72" w:rsidRPr="00A53581">
        <w:rPr>
          <w:rFonts w:hint="eastAsia"/>
        </w:rPr>
        <w:t>1936</w:t>
      </w:r>
      <w:r w:rsidR="00203F72" w:rsidRPr="00A53581">
        <w:rPr>
          <w:rFonts w:hint="eastAsia"/>
        </w:rPr>
        <w:t>年）</w:t>
      </w:r>
      <w:r w:rsidR="00203F72" w:rsidRPr="00A53581">
        <w:rPr>
          <w:rFonts w:cs="新細明體" w:hint="eastAsia"/>
          <w:kern w:val="0"/>
        </w:rPr>
        <w:t>，當時立法院組成「憲法起草委員會」，係由國民黨主導此憲法起草委員會，並議決通過</w:t>
      </w:r>
      <w:r w:rsidR="00203F72" w:rsidRPr="00A53581">
        <w:rPr>
          <w:rFonts w:cs="新細明體" w:hint="eastAsia"/>
          <w:kern w:val="0"/>
        </w:rPr>
        <w:t>25</w:t>
      </w:r>
      <w:r w:rsidR="00203F72" w:rsidRPr="00A53581">
        <w:rPr>
          <w:rFonts w:cs="新細明體" w:hint="eastAsia"/>
          <w:kern w:val="0"/>
        </w:rPr>
        <w:t>項原則，再經國民政府於</w:t>
      </w:r>
      <w:r w:rsidR="00203F72" w:rsidRPr="00A53581">
        <w:rPr>
          <w:rFonts w:hint="eastAsia"/>
        </w:rPr>
        <w:t>民國</w:t>
      </w:r>
      <w:r w:rsidR="00203F72" w:rsidRPr="00A53581">
        <w:rPr>
          <w:rFonts w:hint="eastAsia"/>
        </w:rPr>
        <w:t>25</w:t>
      </w:r>
      <w:r w:rsidR="00203F72" w:rsidRPr="00A53581">
        <w:rPr>
          <w:rFonts w:hint="eastAsia"/>
        </w:rPr>
        <w:t>年（</w:t>
      </w:r>
      <w:r w:rsidR="00203F72" w:rsidRPr="00A53581">
        <w:rPr>
          <w:rFonts w:hint="eastAsia"/>
        </w:rPr>
        <w:t>1936</w:t>
      </w:r>
      <w:r w:rsidR="00203F72" w:rsidRPr="00A53581">
        <w:rPr>
          <w:rFonts w:hint="eastAsia"/>
        </w:rPr>
        <w:t>年）</w:t>
      </w:r>
      <w:r w:rsidR="00203F72" w:rsidRPr="00A53581">
        <w:rPr>
          <w:rFonts w:hint="eastAsia"/>
        </w:rPr>
        <w:t>5</w:t>
      </w:r>
      <w:r w:rsidR="00203F72" w:rsidRPr="00A53581">
        <w:rPr>
          <w:rFonts w:hint="eastAsia"/>
        </w:rPr>
        <w:t>月</w:t>
      </w:r>
      <w:r w:rsidR="00203F72" w:rsidRPr="00A53581">
        <w:rPr>
          <w:rFonts w:hint="eastAsia"/>
        </w:rPr>
        <w:t>5</w:t>
      </w:r>
      <w:r w:rsidR="00203F72" w:rsidRPr="00A53581">
        <w:rPr>
          <w:rFonts w:hint="eastAsia"/>
        </w:rPr>
        <w:t>日</w:t>
      </w:r>
      <w:r w:rsidR="00203F72" w:rsidRPr="00A53581">
        <w:rPr>
          <w:rFonts w:cs="新細明體" w:hint="eastAsia"/>
          <w:kern w:val="0"/>
        </w:rPr>
        <w:t>公布，名為</w:t>
      </w:r>
      <w:r w:rsidR="00203F72" w:rsidRPr="00A53581">
        <w:rPr>
          <w:rFonts w:hint="eastAsia"/>
        </w:rPr>
        <w:t>《中華民國憲法草案》</w:t>
      </w:r>
      <w:r w:rsidR="00203F72" w:rsidRPr="00A53581">
        <w:rPr>
          <w:rFonts w:hint="eastAsia"/>
        </w:rPr>
        <w:t>(</w:t>
      </w:r>
      <w:r w:rsidR="00203F72" w:rsidRPr="00A53581">
        <w:rPr>
          <w:rFonts w:hint="eastAsia"/>
        </w:rPr>
        <w:t>又被稱為</w:t>
      </w:r>
      <w:r w:rsidR="00203F72" w:rsidRPr="00A53581">
        <w:rPr>
          <w:rFonts w:cs="新細明體" w:hint="eastAsia"/>
          <w:kern w:val="0"/>
        </w:rPr>
        <w:t>「五五憲草」</w:t>
      </w:r>
      <w:r w:rsidR="00203F72" w:rsidRPr="00A53581">
        <w:rPr>
          <w:rFonts w:cs="新細明體" w:hint="eastAsia"/>
          <w:kern w:val="0"/>
        </w:rPr>
        <w:t>)</w:t>
      </w:r>
      <w:r w:rsidR="00203F72" w:rsidRPr="00A53581">
        <w:rPr>
          <w:rFonts w:cs="新細明體" w:hint="eastAsia"/>
          <w:kern w:val="0"/>
        </w:rPr>
        <w:t>，此為</w:t>
      </w:r>
      <w:r w:rsidR="00203F72" w:rsidRPr="00A53581">
        <w:rPr>
          <w:rFonts w:hint="eastAsia"/>
        </w:rPr>
        <w:t>《中華民國憲法》的最早雛形版本。</w:t>
      </w:r>
    </w:p>
    <w:p w14:paraId="708510C9" w14:textId="77777777" w:rsidR="00203F72" w:rsidRPr="00A53581" w:rsidRDefault="005E1EA8" w:rsidP="00D87D91">
      <w:r>
        <w:rPr>
          <w:rFonts w:cs="新細明體" w:hint="eastAsia"/>
          <w:kern w:val="0"/>
        </w:rPr>
        <w:t xml:space="preserve">　　</w:t>
      </w:r>
      <w:r w:rsidR="00203F72" w:rsidRPr="00A53581">
        <w:rPr>
          <w:rFonts w:cs="新細明體" w:hint="eastAsia"/>
          <w:kern w:val="0"/>
        </w:rPr>
        <w:t>當時</w:t>
      </w:r>
      <w:r w:rsidR="00203F72" w:rsidRPr="00A53581">
        <w:rPr>
          <w:rFonts w:hint="eastAsia"/>
        </w:rPr>
        <w:t>預計於民國</w:t>
      </w:r>
      <w:r w:rsidR="00203F72" w:rsidRPr="00A53581">
        <w:rPr>
          <w:rFonts w:hint="eastAsia"/>
        </w:rPr>
        <w:t>25</w:t>
      </w:r>
      <w:r w:rsidR="00203F72" w:rsidRPr="00A53581">
        <w:rPr>
          <w:rFonts w:hint="eastAsia"/>
        </w:rPr>
        <w:t>年（</w:t>
      </w:r>
      <w:r w:rsidR="00203F72" w:rsidRPr="00A53581">
        <w:rPr>
          <w:rFonts w:hint="eastAsia"/>
        </w:rPr>
        <w:t>1936</w:t>
      </w:r>
      <w:r w:rsidR="00203F72" w:rsidRPr="00A53581">
        <w:rPr>
          <w:rFonts w:hint="eastAsia"/>
        </w:rPr>
        <w:t>年）召開制憲國民大會中通過，後</w:t>
      </w:r>
      <w:r w:rsidR="00203F72" w:rsidRPr="00A53581">
        <w:rPr>
          <w:rFonts w:cs="新細明體" w:hint="eastAsia"/>
          <w:kern w:val="0"/>
        </w:rPr>
        <w:t>因中日戰爭之故，制憲國民大會之制憲工作遂停擺。</w:t>
      </w:r>
      <w:r w:rsidR="00203F72" w:rsidRPr="00A53581">
        <w:rPr>
          <w:rFonts w:hint="eastAsia"/>
        </w:rPr>
        <w:t>我國抗戰勝利後，於民國</w:t>
      </w:r>
      <w:r w:rsidR="00203F72" w:rsidRPr="00A53581">
        <w:rPr>
          <w:rFonts w:hint="eastAsia"/>
        </w:rPr>
        <w:t>35</w:t>
      </w:r>
      <w:r w:rsidR="00203F72" w:rsidRPr="00A53581">
        <w:rPr>
          <w:rFonts w:hint="eastAsia"/>
        </w:rPr>
        <w:t>年（</w:t>
      </w:r>
      <w:r w:rsidR="00203F72" w:rsidRPr="00A53581">
        <w:rPr>
          <w:rFonts w:hint="eastAsia"/>
        </w:rPr>
        <w:t>1946</w:t>
      </w:r>
      <w:r w:rsidR="00203F72" w:rsidRPr="00A53581">
        <w:rPr>
          <w:rFonts w:hint="eastAsia"/>
        </w:rPr>
        <w:t>年），當時「</w:t>
      </w:r>
      <w:r w:rsidR="00203F72" w:rsidRPr="00A53581">
        <w:rPr>
          <w:rFonts w:cs="新細明體" w:hint="eastAsia"/>
          <w:kern w:val="0"/>
        </w:rPr>
        <w:t>制憲國民大會」於中國大陸之南京集會，從事制憲工作。</w:t>
      </w:r>
      <w:r w:rsidR="00203F72" w:rsidRPr="00A53581">
        <w:rPr>
          <w:rFonts w:hint="eastAsia"/>
        </w:rPr>
        <w:t>民國</w:t>
      </w:r>
      <w:r w:rsidR="00203F72" w:rsidRPr="00A53581">
        <w:rPr>
          <w:rFonts w:hint="eastAsia"/>
        </w:rPr>
        <w:t>35</w:t>
      </w:r>
      <w:r w:rsidR="00203F72" w:rsidRPr="00A53581">
        <w:rPr>
          <w:rFonts w:hint="eastAsia"/>
        </w:rPr>
        <w:t>年（</w:t>
      </w:r>
      <w:r w:rsidR="00203F72" w:rsidRPr="00A53581">
        <w:rPr>
          <w:rFonts w:hint="eastAsia"/>
        </w:rPr>
        <w:t>1946</w:t>
      </w:r>
      <w:r w:rsidR="00203F72" w:rsidRPr="00A53581">
        <w:rPr>
          <w:rFonts w:hint="eastAsia"/>
        </w:rPr>
        <w:t>年）</w:t>
      </w:r>
      <w:r w:rsidR="00203F72" w:rsidRPr="00A53581">
        <w:rPr>
          <w:rFonts w:hint="eastAsia"/>
        </w:rPr>
        <w:t>12</w:t>
      </w:r>
      <w:r w:rsidR="00203F72" w:rsidRPr="00A53581">
        <w:rPr>
          <w:rFonts w:hint="eastAsia"/>
        </w:rPr>
        <w:t>月</w:t>
      </w:r>
      <w:r w:rsidR="00203F72" w:rsidRPr="00A53581">
        <w:rPr>
          <w:rFonts w:hint="eastAsia"/>
        </w:rPr>
        <w:t>25</w:t>
      </w:r>
      <w:r w:rsidR="00203F72" w:rsidRPr="00A53581">
        <w:rPr>
          <w:rFonts w:hint="eastAsia"/>
        </w:rPr>
        <w:t>日，由制憲國民大會三讀正式議決通過之。民國</w:t>
      </w:r>
      <w:r w:rsidR="00203F72" w:rsidRPr="00A53581">
        <w:rPr>
          <w:rFonts w:hint="eastAsia"/>
        </w:rPr>
        <w:t>36</w:t>
      </w:r>
      <w:r w:rsidR="00203F72" w:rsidRPr="00A53581">
        <w:rPr>
          <w:rFonts w:hint="eastAsia"/>
        </w:rPr>
        <w:t>年（</w:t>
      </w:r>
      <w:r w:rsidR="00203F72" w:rsidRPr="00A53581">
        <w:rPr>
          <w:rFonts w:hint="eastAsia"/>
        </w:rPr>
        <w:t>1947</w:t>
      </w:r>
      <w:r w:rsidR="00203F72" w:rsidRPr="00A53581">
        <w:rPr>
          <w:rFonts w:hint="eastAsia"/>
        </w:rPr>
        <w:t>年）</w:t>
      </w:r>
      <w:r w:rsidR="00203F72" w:rsidRPr="00A53581">
        <w:rPr>
          <w:rFonts w:hint="eastAsia"/>
        </w:rPr>
        <w:t>1</w:t>
      </w:r>
      <w:r w:rsidR="00203F72" w:rsidRPr="00A53581">
        <w:rPr>
          <w:rFonts w:hint="eastAsia"/>
        </w:rPr>
        <w:t>月</w:t>
      </w:r>
      <w:r w:rsidR="00203F72" w:rsidRPr="00A53581">
        <w:rPr>
          <w:rFonts w:hint="eastAsia"/>
        </w:rPr>
        <w:t>1</w:t>
      </w:r>
      <w:r w:rsidR="00203F72" w:rsidRPr="00A53581">
        <w:rPr>
          <w:rFonts w:hint="eastAsia"/>
        </w:rPr>
        <w:t>日，國民政府公布《中華民國憲法》，同年</w:t>
      </w:r>
      <w:r w:rsidR="00203F72" w:rsidRPr="00A53581">
        <w:rPr>
          <w:rFonts w:hint="eastAsia"/>
        </w:rPr>
        <w:t>12</w:t>
      </w:r>
      <w:r w:rsidR="00203F72" w:rsidRPr="00A53581">
        <w:rPr>
          <w:rFonts w:hint="eastAsia"/>
        </w:rPr>
        <w:t>月</w:t>
      </w:r>
      <w:r w:rsidR="00203F72" w:rsidRPr="00A53581">
        <w:rPr>
          <w:rFonts w:hint="eastAsia"/>
        </w:rPr>
        <w:t>25</w:t>
      </w:r>
      <w:r w:rsidR="00203F72" w:rsidRPr="00A53581">
        <w:rPr>
          <w:rFonts w:hint="eastAsia"/>
        </w:rPr>
        <w:t>日正式施行。迄至</w:t>
      </w:r>
      <w:r w:rsidR="00203F72" w:rsidRPr="00A53581">
        <w:rPr>
          <w:rFonts w:hint="eastAsia"/>
        </w:rPr>
        <w:t>2015</w:t>
      </w:r>
      <w:r w:rsidR="00203F72" w:rsidRPr="00A53581">
        <w:rPr>
          <w:rFonts w:hint="eastAsia"/>
        </w:rPr>
        <w:t>年為止，此部憲法業已施行近</w:t>
      </w:r>
      <w:r w:rsidR="00203F72" w:rsidRPr="00A53581">
        <w:rPr>
          <w:rFonts w:hint="eastAsia"/>
        </w:rPr>
        <w:t>70</w:t>
      </w:r>
      <w:r w:rsidR="00203F72" w:rsidRPr="00A53581">
        <w:rPr>
          <w:rFonts w:hint="eastAsia"/>
        </w:rPr>
        <w:t>年。</w:t>
      </w:r>
    </w:p>
    <w:p w14:paraId="3BE1DBD1" w14:textId="77777777" w:rsidR="00203F72" w:rsidRPr="00A53581" w:rsidRDefault="005E1EA8" w:rsidP="00D87D91">
      <w:r>
        <w:rPr>
          <w:rFonts w:hint="eastAsia"/>
        </w:rPr>
        <w:t xml:space="preserve">　　</w:t>
      </w:r>
      <w:r w:rsidR="00203F72" w:rsidRPr="00A53581">
        <w:rPr>
          <w:rFonts w:hint="eastAsia"/>
        </w:rPr>
        <w:t>雨瑞與夙芳老師皆為我校的優秀專業學者，其所共同出版電子書</w:t>
      </w:r>
      <w:r w:rsidR="00203F72" w:rsidRPr="00A53581">
        <w:rPr>
          <w:rFonts w:hint="eastAsia"/>
        </w:rPr>
        <w:t xml:space="preserve"> -</w:t>
      </w:r>
      <w:r w:rsidR="00203F72" w:rsidRPr="00A53581">
        <w:rPr>
          <w:rFonts w:hint="eastAsia"/>
        </w:rPr>
        <w:t>「</w:t>
      </w:r>
      <w:r w:rsidR="00203F72" w:rsidRPr="00A53581">
        <w:rPr>
          <w:rFonts w:hint="eastAsia"/>
          <w:bCs/>
        </w:rPr>
        <w:t>憲法逐條釋義與人權保障」</w:t>
      </w:r>
      <w:r w:rsidR="00203F72" w:rsidRPr="00A53581">
        <w:rPr>
          <w:rFonts w:hint="eastAsia"/>
        </w:rPr>
        <w:t>(</w:t>
      </w:r>
      <w:r w:rsidR="00203F72" w:rsidRPr="00A53581">
        <w:rPr>
          <w:rFonts w:hint="eastAsia"/>
        </w:rPr>
        <w:t>增訂</w:t>
      </w:r>
      <w:r w:rsidR="00203F72" w:rsidRPr="00A53581">
        <w:rPr>
          <w:rFonts w:hint="eastAsia"/>
        </w:rPr>
        <w:t>2</w:t>
      </w:r>
      <w:r w:rsidR="00203F72" w:rsidRPr="00A53581">
        <w:rPr>
          <w:rFonts w:hint="eastAsia"/>
        </w:rPr>
        <w:t>版</w:t>
      </w:r>
      <w:r w:rsidR="00203F72" w:rsidRPr="00A53581">
        <w:rPr>
          <w:rFonts w:hint="eastAsia"/>
        </w:rPr>
        <w:t>)</w:t>
      </w:r>
      <w:r w:rsidR="00203F72" w:rsidRPr="00A53581">
        <w:rPr>
          <w:rFonts w:hint="eastAsia"/>
        </w:rPr>
        <w:t>，誠能彰顯其對國家根本大法的高度重</w:t>
      </w:r>
      <w:r w:rsidR="003E240E">
        <w:rPr>
          <w:rFonts w:hint="eastAsia"/>
        </w:rPr>
        <w:t>視</w:t>
      </w:r>
      <w:r w:rsidR="00203F72" w:rsidRPr="00A53581">
        <w:rPr>
          <w:rFonts w:hint="eastAsia"/>
        </w:rPr>
        <w:t>。</w:t>
      </w:r>
      <w:r w:rsidR="00203F72" w:rsidRPr="00A53581">
        <w:t>對於本電子書之出版，個人給予高度的讚賞與推崇。</w:t>
      </w:r>
      <w:r w:rsidR="00203F72" w:rsidRPr="00A53581">
        <w:rPr>
          <w:rFonts w:hint="eastAsia"/>
        </w:rPr>
        <w:t>尤其</w:t>
      </w:r>
      <w:r w:rsidR="00203F72" w:rsidRPr="00A53581">
        <w:t>推出</w:t>
      </w:r>
      <w:r w:rsidR="00203F72" w:rsidRPr="00A53581">
        <w:rPr>
          <w:rFonts w:hint="eastAsia"/>
        </w:rPr>
        <w:t>40</w:t>
      </w:r>
      <w:r w:rsidR="00203F72" w:rsidRPr="00A53581">
        <w:rPr>
          <w:rFonts w:hint="eastAsia"/>
        </w:rPr>
        <w:t>餘項未來修憲意見，相信對於我國未來修憲工程，應有舉足助益，值得社會公眾參卓。另在本書建議中，特別在基本國策中，注入對於海洋資源與藍色國土之重</w:t>
      </w:r>
      <w:r w:rsidR="003E240E">
        <w:rPr>
          <w:rFonts w:hint="eastAsia"/>
        </w:rPr>
        <w:t>視</w:t>
      </w:r>
      <w:r w:rsidR="00203F72" w:rsidRPr="00A53581">
        <w:rPr>
          <w:rFonts w:hint="eastAsia"/>
        </w:rPr>
        <w:t>與維護，更是令人驚艷。</w:t>
      </w:r>
    </w:p>
    <w:p w14:paraId="62BAB0DF" w14:textId="77777777" w:rsidR="00203F72" w:rsidRPr="00A53581" w:rsidRDefault="005E1EA8" w:rsidP="00D87D91">
      <w:r>
        <w:rPr>
          <w:rFonts w:hint="eastAsia"/>
        </w:rPr>
        <w:t xml:space="preserve">　　</w:t>
      </w:r>
      <w:r w:rsidR="00203F72" w:rsidRPr="00A53581">
        <w:rPr>
          <w:rFonts w:hint="eastAsia"/>
        </w:rPr>
        <w:t>在我國「</w:t>
      </w:r>
      <w:r w:rsidR="00203F72" w:rsidRPr="00A53581">
        <w:t>國家海洋政策綱領」</w:t>
      </w:r>
      <w:r w:rsidR="00203F72" w:rsidRPr="00A53581">
        <w:rPr>
          <w:rFonts w:hint="eastAsia"/>
        </w:rPr>
        <w:t>的</w:t>
      </w:r>
      <w:r w:rsidR="00203F72" w:rsidRPr="00A53581">
        <w:t>前言</w:t>
      </w:r>
      <w:r w:rsidR="00203F72" w:rsidRPr="00A53581">
        <w:rPr>
          <w:rFonts w:hint="eastAsia"/>
        </w:rPr>
        <w:t>中，明文揭示：</w:t>
      </w:r>
      <w:r w:rsidR="00203F72" w:rsidRPr="00A53581">
        <w:t>台灣四面環海，東臨世界最大洋區，處西太平洋海上交通門戶，扼東亞南北往來樞紐，其生態﹑歷史﹑文化﹑政治與經濟﹐莫不與海洋息息相關</w:t>
      </w:r>
      <w:r w:rsidR="00203F72" w:rsidRPr="00A53581">
        <w:rPr>
          <w:rFonts w:cs="標楷體" w:hint="eastAsia"/>
        </w:rPr>
        <w:t>，</w:t>
      </w:r>
      <w:r w:rsidR="00203F72" w:rsidRPr="00A53581">
        <w:t>既是海洋國家</w:t>
      </w:r>
      <w:r w:rsidR="00203F72" w:rsidRPr="00A53581">
        <w:rPr>
          <w:rFonts w:hint="eastAsia"/>
        </w:rPr>
        <w:t>，</w:t>
      </w:r>
      <w:r w:rsidR="00203F72" w:rsidRPr="00A53581">
        <w:t>自當喚起國民海洋意識</w:t>
      </w:r>
      <w:r w:rsidR="00203F72" w:rsidRPr="00A53581">
        <w:rPr>
          <w:rFonts w:hint="eastAsia"/>
        </w:rPr>
        <w:t>，</w:t>
      </w:r>
      <w:r w:rsidR="00203F72" w:rsidRPr="00A53581">
        <w:t>振作國家海洋權益</w:t>
      </w:r>
      <w:r w:rsidR="00203F72" w:rsidRPr="00A53581">
        <w:rPr>
          <w:rFonts w:hint="eastAsia"/>
        </w:rPr>
        <w:t>，</w:t>
      </w:r>
      <w:r w:rsidR="00203F72" w:rsidRPr="00A53581">
        <w:t>積極保護海洋生態為子孫萬代</w:t>
      </w:r>
      <w:r w:rsidR="00203F72" w:rsidRPr="00A53581">
        <w:rPr>
          <w:rFonts w:hint="eastAsia"/>
        </w:rPr>
        <w:t>，</w:t>
      </w:r>
      <w:r w:rsidR="00203F72" w:rsidRPr="00A53581">
        <w:t>立永續家園，為創造健康的海洋環境</w:t>
      </w:r>
      <w:r w:rsidR="00203F72" w:rsidRPr="00A53581">
        <w:rPr>
          <w:rFonts w:hint="eastAsia"/>
        </w:rPr>
        <w:t>、</w:t>
      </w:r>
      <w:r w:rsidR="00203F72" w:rsidRPr="00A53581">
        <w:t>安全的海洋活動與繁榮的海洋產業</w:t>
      </w:r>
      <w:r w:rsidR="00203F72" w:rsidRPr="00A53581">
        <w:rPr>
          <w:rFonts w:hint="eastAsia"/>
        </w:rPr>
        <w:t>，</w:t>
      </w:r>
      <w:r w:rsidR="00203F72" w:rsidRPr="00A53581">
        <w:t>進而邁向優質海洋國家。是以，我</w:t>
      </w:r>
      <w:r w:rsidR="00203F72" w:rsidRPr="00A53581">
        <w:rPr>
          <w:rFonts w:hint="eastAsia"/>
        </w:rPr>
        <w:t>國</w:t>
      </w:r>
      <w:r w:rsidR="00203F72" w:rsidRPr="00A53581">
        <w:t>願景即為打造一個「生態</w:t>
      </w:r>
      <w:r w:rsidR="00203F72" w:rsidRPr="00A53581">
        <w:rPr>
          <w:rFonts w:hint="eastAsia"/>
        </w:rPr>
        <w:t>、</w:t>
      </w:r>
      <w:r w:rsidR="00203F72" w:rsidRPr="00A53581">
        <w:t>安全</w:t>
      </w:r>
      <w:r w:rsidR="00203F72" w:rsidRPr="00A53581">
        <w:rPr>
          <w:rFonts w:hint="eastAsia"/>
        </w:rPr>
        <w:t>、</w:t>
      </w:r>
      <w:r w:rsidR="00203F72" w:rsidRPr="00A53581">
        <w:t>繁榮的海洋國家。」我</w:t>
      </w:r>
      <w:r w:rsidR="00203F72" w:rsidRPr="00A53581">
        <w:rPr>
          <w:rFonts w:hint="eastAsia"/>
        </w:rPr>
        <w:t>國係為</w:t>
      </w:r>
      <w:r w:rsidR="00203F72" w:rsidRPr="00A53581">
        <w:t>一個海洋國家</w:t>
      </w:r>
      <w:r w:rsidR="00203F72" w:rsidRPr="00A53581">
        <w:rPr>
          <w:rFonts w:hint="eastAsia"/>
        </w:rPr>
        <w:t>，</w:t>
      </w:r>
      <w:r w:rsidR="00203F72" w:rsidRPr="00A53581">
        <w:t>故</w:t>
      </w:r>
      <w:r w:rsidR="00203F72" w:rsidRPr="00A53581">
        <w:rPr>
          <w:rFonts w:hint="eastAsia"/>
        </w:rPr>
        <w:t>「</w:t>
      </w:r>
      <w:r w:rsidR="00203F72" w:rsidRPr="00A53581">
        <w:t>國家海洋政策綱領」</w:t>
      </w:r>
      <w:r w:rsidR="00203F72" w:rsidRPr="00A53581">
        <w:rPr>
          <w:rFonts w:hint="eastAsia"/>
        </w:rPr>
        <w:t>之</w:t>
      </w:r>
      <w:r w:rsidR="00203F72" w:rsidRPr="00A53581">
        <w:t>政策主張</w:t>
      </w:r>
      <w:r w:rsidR="00203F72" w:rsidRPr="00A53581">
        <w:rPr>
          <w:rFonts w:hint="eastAsia"/>
        </w:rPr>
        <w:t>包括有</w:t>
      </w:r>
      <w:r w:rsidR="00203F72" w:rsidRPr="00A53581">
        <w:t>：</w:t>
      </w:r>
    </w:p>
    <w:p w14:paraId="2F2053F3" w14:textId="77777777" w:rsidR="00203F72" w:rsidRPr="00A53581" w:rsidRDefault="005E1EA8" w:rsidP="00D87D91">
      <w:r>
        <w:t xml:space="preserve">　　</w:t>
      </w:r>
      <w:r w:rsidR="00203F72" w:rsidRPr="00A53581">
        <w:t>一</w:t>
      </w:r>
      <w:r w:rsidR="00203F72" w:rsidRPr="00A53581">
        <w:rPr>
          <w:rFonts w:hint="eastAsia"/>
        </w:rPr>
        <w:t>、</w:t>
      </w:r>
      <w:r w:rsidR="00203F72" w:rsidRPr="00A53581">
        <w:t>確認我國是海洋國家</w:t>
      </w:r>
      <w:r w:rsidR="00203F72" w:rsidRPr="00A53581">
        <w:rPr>
          <w:rFonts w:hint="eastAsia"/>
        </w:rPr>
        <w:t>，</w:t>
      </w:r>
      <w:r w:rsidR="00203F72" w:rsidRPr="00A53581">
        <w:t>海洋是我國的資產</w:t>
      </w:r>
      <w:r w:rsidR="00203F72" w:rsidRPr="00A53581">
        <w:rPr>
          <w:rFonts w:hint="eastAsia"/>
        </w:rPr>
        <w:t>，</w:t>
      </w:r>
      <w:r w:rsidR="00203F72" w:rsidRPr="00A53581">
        <w:t>體認我們國家的生存發展依賴海洋；</w:t>
      </w:r>
    </w:p>
    <w:p w14:paraId="06414B33" w14:textId="77777777" w:rsidR="00203F72" w:rsidRPr="00A53581" w:rsidRDefault="005E1EA8" w:rsidP="00D87D91">
      <w:pPr>
        <w:rPr>
          <w:rFonts w:cs="標楷體"/>
        </w:rPr>
      </w:pPr>
      <w:r>
        <w:t xml:space="preserve">　　</w:t>
      </w:r>
      <w:r w:rsidR="00203F72" w:rsidRPr="00A53581">
        <w:t>二</w:t>
      </w:r>
      <w:r w:rsidR="00203F72" w:rsidRPr="00A53581">
        <w:rPr>
          <w:rFonts w:hint="eastAsia"/>
        </w:rPr>
        <w:t>、</w:t>
      </w:r>
      <w:r w:rsidR="00203F72" w:rsidRPr="00A53581">
        <w:t>享有與履行國際海洋法賦與國家在海洋上的權利與義務</w:t>
      </w:r>
      <w:r w:rsidR="00203F72" w:rsidRPr="00A53581">
        <w:rPr>
          <w:rFonts w:hint="eastAsia"/>
        </w:rPr>
        <w:t>，</w:t>
      </w:r>
      <w:r w:rsidR="00203F72" w:rsidRPr="00A53581">
        <w:t>並響應國際社會倡議之永續發展理念</w:t>
      </w:r>
      <w:r w:rsidR="00203F72" w:rsidRPr="00A53581">
        <w:rPr>
          <w:rFonts w:cs="標楷體" w:hint="eastAsia"/>
        </w:rPr>
        <w:t>；</w:t>
      </w:r>
    </w:p>
    <w:p w14:paraId="11EEA6AB" w14:textId="77777777" w:rsidR="00203F72" w:rsidRPr="00A53581" w:rsidRDefault="005E1EA8" w:rsidP="00D87D91">
      <w:pPr>
        <w:rPr>
          <w:rFonts w:cs="標楷體"/>
        </w:rPr>
      </w:pPr>
      <w:r>
        <w:t xml:space="preserve">　　</w:t>
      </w:r>
      <w:r w:rsidR="00203F72" w:rsidRPr="00A53581">
        <w:t>三</w:t>
      </w:r>
      <w:r w:rsidR="00203F72" w:rsidRPr="00A53581">
        <w:rPr>
          <w:rFonts w:hint="eastAsia"/>
        </w:rPr>
        <w:t>、</w:t>
      </w:r>
      <w:r w:rsidR="00203F72" w:rsidRPr="00A53581">
        <w:t>重行認識國家發展中之海洋元素</w:t>
      </w:r>
      <w:r w:rsidR="00203F72" w:rsidRPr="00A53581">
        <w:rPr>
          <w:rFonts w:hint="eastAsia"/>
        </w:rPr>
        <w:t>，</w:t>
      </w:r>
      <w:r w:rsidR="00203F72" w:rsidRPr="00A53581">
        <w:t>尊重原住民族海洋經驗與智慧</w:t>
      </w:r>
      <w:r w:rsidR="00203F72" w:rsidRPr="00A53581">
        <w:rPr>
          <w:rFonts w:hint="eastAsia"/>
        </w:rPr>
        <w:t>，</w:t>
      </w:r>
      <w:r w:rsidR="00203F72" w:rsidRPr="00A53581">
        <w:t>並建立符合國家權益之海洋觀</w:t>
      </w:r>
      <w:r w:rsidR="00203F72" w:rsidRPr="00A53581">
        <w:rPr>
          <w:rFonts w:cs="標楷體" w:hint="eastAsia"/>
        </w:rPr>
        <w:t>；</w:t>
      </w:r>
    </w:p>
    <w:p w14:paraId="0B7C9802" w14:textId="77777777" w:rsidR="00203F72" w:rsidRPr="00A53581" w:rsidRDefault="005E1EA8" w:rsidP="00D87D91">
      <w:r>
        <w:t xml:space="preserve">　　</w:t>
      </w:r>
      <w:r w:rsidR="00203F72" w:rsidRPr="00A53581">
        <w:t>四</w:t>
      </w:r>
      <w:r w:rsidR="00203F72" w:rsidRPr="00A53581">
        <w:rPr>
          <w:rFonts w:hint="eastAsia"/>
        </w:rPr>
        <w:t>、</w:t>
      </w:r>
      <w:r w:rsidR="00203F72" w:rsidRPr="00A53581">
        <w:t>調查國家海洋資產</w:t>
      </w:r>
      <w:r w:rsidR="00203F72" w:rsidRPr="00A53581">
        <w:rPr>
          <w:rFonts w:hint="eastAsia"/>
        </w:rPr>
        <w:t>，</w:t>
      </w:r>
      <w:r w:rsidR="00203F72" w:rsidRPr="00A53581">
        <w:t>瞭解社會對海洋之需求</w:t>
      </w:r>
      <w:r w:rsidR="00203F72" w:rsidRPr="00A53581">
        <w:rPr>
          <w:rFonts w:hint="eastAsia"/>
        </w:rPr>
        <w:t>，</w:t>
      </w:r>
      <w:r w:rsidR="00203F72" w:rsidRPr="00A53581">
        <w:t>掌握海洋活動本質</w:t>
      </w:r>
      <w:r w:rsidR="00203F72" w:rsidRPr="00A53581">
        <w:rPr>
          <w:rFonts w:hint="eastAsia"/>
        </w:rPr>
        <w:t>，</w:t>
      </w:r>
      <w:r w:rsidR="00203F72" w:rsidRPr="00A53581">
        <w:t>規劃國家海洋發展；</w:t>
      </w:r>
    </w:p>
    <w:p w14:paraId="45E04CCF" w14:textId="77777777" w:rsidR="00203F72" w:rsidRPr="00A53581" w:rsidRDefault="005E1EA8" w:rsidP="00D87D91">
      <w:pPr>
        <w:rPr>
          <w:rFonts w:cs="標楷體"/>
        </w:rPr>
      </w:pPr>
      <w:r>
        <w:t xml:space="preserve">　　</w:t>
      </w:r>
      <w:r w:rsidR="00203F72" w:rsidRPr="00A53581">
        <w:t>五</w:t>
      </w:r>
      <w:r w:rsidR="00203F72" w:rsidRPr="00A53581">
        <w:rPr>
          <w:rFonts w:hint="eastAsia"/>
        </w:rPr>
        <w:t>、</w:t>
      </w:r>
      <w:r w:rsidR="00203F72" w:rsidRPr="00A53581">
        <w:t>採行永續海洋生態及世代正義的觀點</w:t>
      </w:r>
      <w:r w:rsidR="00203F72" w:rsidRPr="00A53581">
        <w:rPr>
          <w:rFonts w:hint="eastAsia"/>
        </w:rPr>
        <w:t>，</w:t>
      </w:r>
      <w:r w:rsidR="00203F72" w:rsidRPr="00A53581">
        <w:t>建立海洋環境保護</w:t>
      </w:r>
      <w:r w:rsidR="00203F72" w:rsidRPr="00A53581">
        <w:rPr>
          <w:rFonts w:hint="eastAsia"/>
        </w:rPr>
        <w:t>，</w:t>
      </w:r>
      <w:r w:rsidR="00203F72" w:rsidRPr="00A53581">
        <w:t>海洋生物資源養護及合理利用海洋之海洋管理體制</w:t>
      </w:r>
      <w:r w:rsidR="00203F72" w:rsidRPr="00A53581">
        <w:rPr>
          <w:rFonts w:cs="標楷體" w:hint="eastAsia"/>
        </w:rPr>
        <w:t>；</w:t>
      </w:r>
    </w:p>
    <w:p w14:paraId="48EF70FF" w14:textId="77777777" w:rsidR="00203F72" w:rsidRPr="00A53581" w:rsidRDefault="005E1EA8" w:rsidP="00D87D91">
      <w:pPr>
        <w:rPr>
          <w:rFonts w:cs="標楷體"/>
        </w:rPr>
      </w:pPr>
      <w:r>
        <w:t xml:space="preserve">　　</w:t>
      </w:r>
      <w:r w:rsidR="00203F72" w:rsidRPr="00A53581">
        <w:t>六</w:t>
      </w:r>
      <w:r w:rsidR="00203F72" w:rsidRPr="00A53581">
        <w:rPr>
          <w:rFonts w:hint="eastAsia"/>
        </w:rPr>
        <w:t>、</w:t>
      </w:r>
      <w:r w:rsidR="00203F72" w:rsidRPr="00A53581">
        <w:t>強化海洋執法量能</w:t>
      </w:r>
      <w:r w:rsidR="00203F72" w:rsidRPr="00A53581">
        <w:rPr>
          <w:rFonts w:hint="eastAsia"/>
        </w:rPr>
        <w:t>，</w:t>
      </w:r>
      <w:r w:rsidR="00203F72" w:rsidRPr="00A53581">
        <w:t>以創造穩定之海洋法律秩序與安全之海洋環境</w:t>
      </w:r>
      <w:r w:rsidR="00203F72" w:rsidRPr="00A53581">
        <w:rPr>
          <w:rFonts w:cs="標楷體" w:hint="eastAsia"/>
        </w:rPr>
        <w:t>；</w:t>
      </w:r>
    </w:p>
    <w:p w14:paraId="24CED1A3" w14:textId="77777777" w:rsidR="00203F72" w:rsidRPr="00A53581" w:rsidRDefault="005E1EA8" w:rsidP="00D87D91">
      <w:pPr>
        <w:rPr>
          <w:rFonts w:cs="標楷體"/>
        </w:rPr>
      </w:pPr>
      <w:r>
        <w:t xml:space="preserve">　　</w:t>
      </w:r>
      <w:r w:rsidR="00203F72" w:rsidRPr="00A53581">
        <w:t>七</w:t>
      </w:r>
      <w:r w:rsidR="00203F72" w:rsidRPr="00A53581">
        <w:rPr>
          <w:rFonts w:hint="eastAsia"/>
        </w:rPr>
        <w:t>、</w:t>
      </w:r>
      <w:r w:rsidR="00203F72" w:rsidRPr="00A53581">
        <w:t>創造有利之策與實務環境</w:t>
      </w:r>
      <w:r w:rsidR="00203F72" w:rsidRPr="00A53581">
        <w:rPr>
          <w:rFonts w:hint="eastAsia"/>
        </w:rPr>
        <w:t>，</w:t>
      </w:r>
      <w:r w:rsidR="00203F72" w:rsidRPr="00A53581">
        <w:t>實質鼓勵海洋事業發展</w:t>
      </w:r>
      <w:r w:rsidR="00203F72" w:rsidRPr="00A53581">
        <w:rPr>
          <w:rFonts w:cs="標楷體" w:hint="eastAsia"/>
        </w:rPr>
        <w:t>；</w:t>
      </w:r>
    </w:p>
    <w:p w14:paraId="2D4D1C61" w14:textId="77777777" w:rsidR="00203F72" w:rsidRPr="00A53581" w:rsidRDefault="005E1EA8" w:rsidP="00D87D91">
      <w:r>
        <w:t xml:space="preserve">　　</w:t>
      </w:r>
      <w:r w:rsidR="00203F72" w:rsidRPr="00A53581">
        <w:t>八</w:t>
      </w:r>
      <w:r w:rsidR="00203F72" w:rsidRPr="00A53581">
        <w:rPr>
          <w:rFonts w:hint="eastAsia"/>
        </w:rPr>
        <w:t>、</w:t>
      </w:r>
      <w:r w:rsidR="00203F72" w:rsidRPr="00A53581">
        <w:t>推動以國家發展為導向之海洋科學研究</w:t>
      </w:r>
      <w:r w:rsidR="00203F72" w:rsidRPr="00A53581">
        <w:rPr>
          <w:rFonts w:hint="eastAsia"/>
        </w:rPr>
        <w:t>，</w:t>
      </w:r>
      <w:r w:rsidR="00203F72" w:rsidRPr="00A53581">
        <w:t>引導各級水產</w:t>
      </w:r>
      <w:r w:rsidR="00203F72" w:rsidRPr="00A53581">
        <w:rPr>
          <w:rFonts w:hint="eastAsia"/>
        </w:rPr>
        <w:t>、</w:t>
      </w:r>
      <w:r w:rsidR="00203F72" w:rsidRPr="00A53581">
        <w:t>海事</w:t>
      </w:r>
      <w:r w:rsidR="00203F72" w:rsidRPr="00A53581">
        <w:rPr>
          <w:rFonts w:hint="eastAsia"/>
        </w:rPr>
        <w:t>、</w:t>
      </w:r>
      <w:r w:rsidR="00203F72" w:rsidRPr="00A53581">
        <w:t>海洋教育發展</w:t>
      </w:r>
      <w:r w:rsidR="00203F72" w:rsidRPr="00A53581">
        <w:rPr>
          <w:rFonts w:hint="eastAsia"/>
        </w:rPr>
        <w:t>，</w:t>
      </w:r>
      <w:r w:rsidR="00203F72" w:rsidRPr="00A53581">
        <w:t>以利海洋人才之培育；</w:t>
      </w:r>
    </w:p>
    <w:p w14:paraId="024677A1" w14:textId="77777777" w:rsidR="00203F72" w:rsidRPr="00A53581" w:rsidRDefault="005E1EA8" w:rsidP="00D87D91">
      <w:r>
        <w:t xml:space="preserve">　　</w:t>
      </w:r>
      <w:r w:rsidR="00203F72" w:rsidRPr="00A53581">
        <w:t>九</w:t>
      </w:r>
      <w:r w:rsidR="00203F72" w:rsidRPr="00A53581">
        <w:rPr>
          <w:rFonts w:hint="eastAsia"/>
        </w:rPr>
        <w:t>、</w:t>
      </w:r>
      <w:r w:rsidR="00203F72" w:rsidRPr="00A53581">
        <w:t>提供安全</w:t>
      </w:r>
      <w:r w:rsidR="00203F72" w:rsidRPr="00A53581">
        <w:rPr>
          <w:rFonts w:hint="eastAsia"/>
        </w:rPr>
        <w:t>、</w:t>
      </w:r>
      <w:r w:rsidR="00203F72" w:rsidRPr="00A53581">
        <w:t>穩定之海洋環境</w:t>
      </w:r>
      <w:r w:rsidR="00203F72" w:rsidRPr="00A53581">
        <w:rPr>
          <w:rFonts w:hint="eastAsia"/>
        </w:rPr>
        <w:t>，</w:t>
      </w:r>
      <w:r w:rsidR="00203F72" w:rsidRPr="00A53581">
        <w:t>鼓勵民眾親近海洋</w:t>
      </w:r>
      <w:r w:rsidR="00203F72" w:rsidRPr="00A53581">
        <w:rPr>
          <w:rFonts w:hint="eastAsia"/>
        </w:rPr>
        <w:t>，</w:t>
      </w:r>
      <w:r w:rsidR="00203F72" w:rsidRPr="00A53581">
        <w:t>培養海洋意識與文化。</w:t>
      </w:r>
    </w:p>
    <w:p w14:paraId="64680C6A" w14:textId="77777777" w:rsidR="00203F72" w:rsidRPr="00A53581" w:rsidRDefault="00203F72" w:rsidP="00D87D91">
      <w:pPr>
        <w:rPr>
          <w:rFonts w:cs="標楷體"/>
        </w:rPr>
      </w:pPr>
      <w:r w:rsidRPr="00A53581">
        <w:rPr>
          <w:rFonts w:hint="eastAsia"/>
        </w:rPr>
        <w:t>為求達到</w:t>
      </w:r>
      <w:r w:rsidRPr="00A53581">
        <w:t>打造一個「生態</w:t>
      </w:r>
      <w:r w:rsidRPr="00A53581">
        <w:rPr>
          <w:rFonts w:hint="eastAsia"/>
        </w:rPr>
        <w:t>、</w:t>
      </w:r>
      <w:r w:rsidRPr="00A53581">
        <w:t>安全</w:t>
      </w:r>
      <w:r w:rsidRPr="00A53581">
        <w:rPr>
          <w:rFonts w:hint="eastAsia"/>
        </w:rPr>
        <w:t>、</w:t>
      </w:r>
      <w:r w:rsidRPr="00A53581">
        <w:t>繁榮的優質海洋國家」之目的，我</w:t>
      </w:r>
      <w:r w:rsidRPr="00A53581">
        <w:rPr>
          <w:rFonts w:hint="eastAsia"/>
        </w:rPr>
        <w:t>國「</w:t>
      </w:r>
      <w:r w:rsidRPr="00A53581">
        <w:t>國家海洋政策綱領」之目標與策略</w:t>
      </w:r>
      <w:r w:rsidRPr="00A53581">
        <w:rPr>
          <w:rFonts w:cs="標楷體" w:hint="eastAsia"/>
        </w:rPr>
        <w:t>有：</w:t>
      </w:r>
    </w:p>
    <w:p w14:paraId="06B12FCE" w14:textId="77777777" w:rsidR="00203F72" w:rsidRPr="00A53581" w:rsidRDefault="005E1EA8" w:rsidP="00D87D91">
      <w:r>
        <w:t xml:space="preserve">　　</w:t>
      </w:r>
      <w:r w:rsidR="00203F72" w:rsidRPr="00A53581">
        <w:t>一</w:t>
      </w:r>
      <w:r w:rsidR="00203F72" w:rsidRPr="00A53581">
        <w:rPr>
          <w:rFonts w:hint="eastAsia"/>
        </w:rPr>
        <w:t>、</w:t>
      </w:r>
      <w:r w:rsidR="00203F72" w:rsidRPr="00A53581">
        <w:t>維護海洋權益</w:t>
      </w:r>
      <w:r w:rsidR="00203F72" w:rsidRPr="00A53581">
        <w:rPr>
          <w:rFonts w:hint="eastAsia"/>
        </w:rPr>
        <w:t>，</w:t>
      </w:r>
      <w:r w:rsidR="00203F72" w:rsidRPr="00A53581">
        <w:t>確保國家發展；</w:t>
      </w:r>
    </w:p>
    <w:p w14:paraId="5683AE87" w14:textId="77777777" w:rsidR="00203F72" w:rsidRPr="00A53581" w:rsidRDefault="005E1EA8" w:rsidP="00D87D91">
      <w:r>
        <w:t xml:space="preserve">　　</w:t>
      </w:r>
      <w:r w:rsidR="00203F72" w:rsidRPr="00A53581">
        <w:t>二</w:t>
      </w:r>
      <w:r w:rsidR="00203F72" w:rsidRPr="00A53581">
        <w:rPr>
          <w:rFonts w:hint="eastAsia"/>
        </w:rPr>
        <w:t>、</w:t>
      </w:r>
      <w:r w:rsidR="00203F72" w:rsidRPr="00A53581">
        <w:t>強化海域執法</w:t>
      </w:r>
      <w:r w:rsidR="00203F72" w:rsidRPr="00A53581">
        <w:rPr>
          <w:rFonts w:hint="eastAsia"/>
        </w:rPr>
        <w:t>，</w:t>
      </w:r>
      <w:r w:rsidR="00203F72" w:rsidRPr="00A53581">
        <w:t>維護海上安全；</w:t>
      </w:r>
    </w:p>
    <w:p w14:paraId="14CB4FD5" w14:textId="77777777" w:rsidR="00203F72" w:rsidRPr="00A53581" w:rsidRDefault="005E1EA8" w:rsidP="00D87D91">
      <w:r>
        <w:t xml:space="preserve">　　</w:t>
      </w:r>
      <w:r w:rsidR="00203F72" w:rsidRPr="00A53581">
        <w:t>三</w:t>
      </w:r>
      <w:r w:rsidR="00203F72" w:rsidRPr="00A53581">
        <w:rPr>
          <w:rFonts w:hint="eastAsia"/>
        </w:rPr>
        <w:t>、</w:t>
      </w:r>
      <w:r w:rsidR="00203F72" w:rsidRPr="00A53581">
        <w:t>保護海洋環境</w:t>
      </w:r>
      <w:r w:rsidR="00203F72" w:rsidRPr="00A53581">
        <w:rPr>
          <w:rFonts w:hint="eastAsia"/>
        </w:rPr>
        <w:t>，</w:t>
      </w:r>
      <w:r w:rsidR="00203F72" w:rsidRPr="00A53581">
        <w:t>厚埴海域資源；</w:t>
      </w:r>
    </w:p>
    <w:p w14:paraId="56C2493D" w14:textId="77777777" w:rsidR="00203F72" w:rsidRPr="00A53581" w:rsidRDefault="005E1EA8" w:rsidP="00D87D91">
      <w:r>
        <w:t xml:space="preserve">　　</w:t>
      </w:r>
      <w:r w:rsidR="00203F72" w:rsidRPr="00A53581">
        <w:t>四</w:t>
      </w:r>
      <w:r w:rsidR="00203F72" w:rsidRPr="00A53581">
        <w:rPr>
          <w:rFonts w:hint="eastAsia"/>
        </w:rPr>
        <w:t>、</w:t>
      </w:r>
      <w:r w:rsidR="00203F72" w:rsidRPr="00A53581">
        <w:t>健全經營環境</w:t>
      </w:r>
      <w:r w:rsidR="00203F72" w:rsidRPr="00A53581">
        <w:rPr>
          <w:rFonts w:hint="eastAsia"/>
        </w:rPr>
        <w:t>，</w:t>
      </w:r>
      <w:r w:rsidR="00203F72" w:rsidRPr="00A53581">
        <w:t>發展海洋產；</w:t>
      </w:r>
    </w:p>
    <w:p w14:paraId="76807F1A" w14:textId="77777777" w:rsidR="00203F72" w:rsidRPr="00A53581" w:rsidRDefault="005E1EA8" w:rsidP="00D87D91">
      <w:r>
        <w:t xml:space="preserve">　　</w:t>
      </w:r>
      <w:r w:rsidR="00203F72" w:rsidRPr="00A53581">
        <w:t>五</w:t>
      </w:r>
      <w:r w:rsidR="00203F72" w:rsidRPr="00A53581">
        <w:rPr>
          <w:rFonts w:hint="eastAsia"/>
        </w:rPr>
        <w:t>、</w:t>
      </w:r>
      <w:r w:rsidR="00203F72" w:rsidRPr="00A53581">
        <w:t>深耕海洋文化</w:t>
      </w:r>
      <w:r w:rsidR="00203F72" w:rsidRPr="00A53581">
        <w:rPr>
          <w:rFonts w:hint="eastAsia"/>
        </w:rPr>
        <w:t>，</w:t>
      </w:r>
      <w:r w:rsidR="00203F72" w:rsidRPr="00A53581">
        <w:t>形塑民族特質；</w:t>
      </w:r>
    </w:p>
    <w:p w14:paraId="3A98EF66" w14:textId="77777777" w:rsidR="00203F72" w:rsidRPr="00A53581" w:rsidRDefault="005E1EA8" w:rsidP="00D87D91">
      <w:r>
        <w:t xml:space="preserve">　　</w:t>
      </w:r>
      <w:r w:rsidR="00203F72" w:rsidRPr="00A53581">
        <w:t>六</w:t>
      </w:r>
      <w:r w:rsidR="00203F72" w:rsidRPr="00A53581">
        <w:rPr>
          <w:rFonts w:hint="eastAsia"/>
        </w:rPr>
        <w:t>、</w:t>
      </w:r>
      <w:r w:rsidR="00203F72" w:rsidRPr="00A53581">
        <w:t>培育海洋人才</w:t>
      </w:r>
      <w:r w:rsidR="00203F72" w:rsidRPr="00A53581">
        <w:rPr>
          <w:rFonts w:hint="eastAsia"/>
        </w:rPr>
        <w:t>，</w:t>
      </w:r>
      <w:r w:rsidR="00203F72" w:rsidRPr="00A53581">
        <w:t>深耕海洋科研。</w:t>
      </w:r>
    </w:p>
    <w:p w14:paraId="1824E5B6" w14:textId="77777777" w:rsidR="00953151" w:rsidRDefault="005E1EA8" w:rsidP="00D87D91">
      <w:r>
        <w:t xml:space="preserve">　　</w:t>
      </w:r>
      <w:r w:rsidR="00203F72" w:rsidRPr="00A53581">
        <w:t>基此，個人</w:t>
      </w:r>
      <w:r w:rsidR="00203F72" w:rsidRPr="00A53581">
        <w:rPr>
          <w:rFonts w:hint="eastAsia"/>
        </w:rPr>
        <w:t>欣感契合</w:t>
      </w:r>
      <w:r w:rsidR="00203F72" w:rsidRPr="00A53581">
        <w:t>本書</w:t>
      </w:r>
      <w:r w:rsidR="00203F72" w:rsidRPr="00A53581">
        <w:rPr>
          <w:rFonts w:hint="eastAsia"/>
        </w:rPr>
        <w:t>論述</w:t>
      </w:r>
      <w:r w:rsidR="00203F72" w:rsidRPr="00A53581">
        <w:t>，</w:t>
      </w:r>
      <w:r w:rsidR="00203F72" w:rsidRPr="00A53581">
        <w:rPr>
          <w:rFonts w:hint="eastAsia"/>
        </w:rPr>
        <w:t>於我國基本國策中，應加入前述新興國策，進而</w:t>
      </w:r>
      <w:r w:rsidR="00203F72" w:rsidRPr="00A53581">
        <w:t>打造一個生態</w:t>
      </w:r>
      <w:r w:rsidR="00203F72" w:rsidRPr="00A53581">
        <w:rPr>
          <w:rFonts w:hint="eastAsia"/>
        </w:rPr>
        <w:t>、</w:t>
      </w:r>
      <w:r w:rsidR="00203F72" w:rsidRPr="00A53581">
        <w:t>安全</w:t>
      </w:r>
      <w:r w:rsidR="00203F72" w:rsidRPr="00A53581">
        <w:rPr>
          <w:rFonts w:hint="eastAsia"/>
        </w:rPr>
        <w:t>、</w:t>
      </w:r>
      <w:r w:rsidR="00203F72" w:rsidRPr="00A53581">
        <w:t>繁榮的海洋國家，用以彰顯我國</w:t>
      </w:r>
      <w:r w:rsidR="00203F72" w:rsidRPr="00A53581">
        <w:rPr>
          <w:rFonts w:hint="eastAsia"/>
        </w:rPr>
        <w:t>海洋發展</w:t>
      </w:r>
      <w:r w:rsidR="00203F72" w:rsidRPr="00A53581">
        <w:t>願景。綜上，</w:t>
      </w:r>
      <w:r w:rsidR="00203F72" w:rsidRPr="00A53581">
        <w:rPr>
          <w:rFonts w:hint="eastAsia"/>
        </w:rPr>
        <w:t>更顯兩位作</w:t>
      </w:r>
      <w:r w:rsidR="00203F72" w:rsidRPr="00A53581">
        <w:rPr>
          <w:rFonts w:hint="eastAsia"/>
        </w:rPr>
        <w:lastRenderedPageBreak/>
        <w:t>者於撰寫本書時，高度用心與專注投入的治學研究精神，因此，由衷敬佩，真誠推薦，值得讀者參卓之。</w:t>
      </w:r>
    </w:p>
    <w:p w14:paraId="5A8D3FCC" w14:textId="77777777" w:rsidR="00203F72" w:rsidRPr="00A53581" w:rsidRDefault="005E1EA8" w:rsidP="00D87D91">
      <w:r>
        <w:t xml:space="preserve">　　</w:t>
      </w:r>
      <w:r w:rsidR="00203F72" w:rsidRPr="00A53581">
        <w:t>中央警察大學水上警察學系暨水上警察研究所前所長</w:t>
      </w:r>
    </w:p>
    <w:p w14:paraId="77D5564A" w14:textId="77777777" w:rsidR="00203F72" w:rsidRPr="00A53581" w:rsidRDefault="00193290" w:rsidP="00D87D91">
      <w:pPr>
        <w:rPr>
          <w:noProof/>
        </w:rPr>
      </w:pPr>
      <w:r w:rsidRPr="00E108EB">
        <w:rPr>
          <w:rFonts w:hint="eastAsia"/>
          <w:color w:val="FFFFFF" w:themeColor="background1"/>
        </w:rPr>
        <w:t>◇◆</w:t>
      </w:r>
      <w:r w:rsidR="00203F72">
        <w:rPr>
          <w:noProof/>
        </w:rPr>
        <w:drawing>
          <wp:inline distT="0" distB="0" distL="0" distR="0" wp14:anchorId="4D299D1A" wp14:editId="507CD70B">
            <wp:extent cx="1460500" cy="897255"/>
            <wp:effectExtent l="0" t="0" r="6350" b="0"/>
            <wp:docPr id="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0500" cy="897255"/>
                    </a:xfrm>
                    <a:prstGeom prst="rect">
                      <a:avLst/>
                    </a:prstGeom>
                    <a:noFill/>
                    <a:ln>
                      <a:noFill/>
                    </a:ln>
                  </pic:spPr>
                </pic:pic>
              </a:graphicData>
            </a:graphic>
          </wp:inline>
        </w:drawing>
      </w:r>
    </w:p>
    <w:p w14:paraId="4E5C4546" w14:textId="77777777" w:rsidR="00953151" w:rsidRDefault="005E1EA8" w:rsidP="00D87D91">
      <w:r>
        <w:t xml:space="preserve">　　</w:t>
      </w:r>
      <w:r w:rsidR="00203F72" w:rsidRPr="00A53581">
        <w:t>中華民國</w:t>
      </w:r>
      <w:r w:rsidR="00203F72" w:rsidRPr="00A53581">
        <w:rPr>
          <w:rFonts w:hint="eastAsia"/>
        </w:rPr>
        <w:t>104</w:t>
      </w:r>
      <w:r w:rsidR="00203F72" w:rsidRPr="00A53581">
        <w:t>年</w:t>
      </w:r>
      <w:r w:rsidR="00203F72" w:rsidRPr="00A53581">
        <w:rPr>
          <w:rFonts w:hint="eastAsia"/>
        </w:rPr>
        <w:t>07</w:t>
      </w:r>
      <w:r w:rsidR="00203F72" w:rsidRPr="00A53581">
        <w:t>月</w:t>
      </w:r>
      <w:r w:rsidR="00203F72" w:rsidRPr="00A53581">
        <w:rPr>
          <w:rFonts w:hint="eastAsia"/>
        </w:rPr>
        <w:t>30</w:t>
      </w:r>
      <w:r w:rsidR="00203F72" w:rsidRPr="00A53581">
        <w:t>日</w:t>
      </w:r>
    </w:p>
    <w:p w14:paraId="44DA79F4" w14:textId="77777777" w:rsidR="00A360B5" w:rsidRDefault="00A360B5" w:rsidP="00E108EB">
      <w:pPr>
        <w:jc w:val="right"/>
        <w:rPr>
          <w:rFonts w:ascii="新細明體" w:hAnsi="新細明體"/>
        </w:rPr>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0C855239" w14:textId="77777777" w:rsidR="00203F72" w:rsidRPr="00A53581" w:rsidRDefault="00203F72" w:rsidP="00D87D91"/>
    <w:p w14:paraId="71AFFA3E" w14:textId="77777777" w:rsidR="00203F72" w:rsidRPr="000D1D9A" w:rsidRDefault="00203F72" w:rsidP="00D87D91">
      <w:pPr>
        <w:pStyle w:val="1"/>
      </w:pPr>
      <w:bookmarkStart w:id="23" w:name="_翁館長萃芳_推薦序"/>
      <w:bookmarkEnd w:id="23"/>
      <w:r w:rsidRPr="000D1D9A">
        <w:t>翁館長萃芳</w:t>
      </w:r>
      <w:r w:rsidRPr="000D1D9A">
        <w:t xml:space="preserve"> </w:t>
      </w:r>
      <w:r w:rsidRPr="000D1D9A">
        <w:t>推薦序</w:t>
      </w:r>
    </w:p>
    <w:p w14:paraId="07201CCE" w14:textId="77777777" w:rsidR="00203F72" w:rsidRPr="00D87D91" w:rsidRDefault="005E1EA8" w:rsidP="00D87D91">
      <w:r w:rsidRPr="00D87D91">
        <w:t xml:space="preserve">　　</w:t>
      </w:r>
      <w:r w:rsidR="00203F72" w:rsidRPr="00D87D91">
        <w:t>雨瑞與夙芳，都是我擔任本校正科</w:t>
      </w:r>
      <w:r w:rsidR="00203F72" w:rsidRPr="00D87D91">
        <w:t>54</w:t>
      </w:r>
      <w:r w:rsidR="00203F72" w:rsidRPr="00D87D91">
        <w:t>期</w:t>
      </w:r>
      <w:r w:rsidR="00203F72" w:rsidRPr="00D87D91">
        <w:t>1</w:t>
      </w:r>
      <w:r w:rsidR="00203F72" w:rsidRPr="00D87D91">
        <w:t>隊區隊長時的學生。他們共同出版之「憲法逐條釋義與人權保障」</w:t>
      </w:r>
      <w:r w:rsidR="00203F72" w:rsidRPr="00D87D91">
        <w:t>(</w:t>
      </w:r>
      <w:r w:rsidR="00203F72" w:rsidRPr="00D87D91">
        <w:t>增訂</w:t>
      </w:r>
      <w:r w:rsidR="00203F72" w:rsidRPr="00D87D91">
        <w:t>2</w:t>
      </w:r>
      <w:r w:rsidR="00203F72" w:rsidRPr="00D87D91">
        <w:t>版</w:t>
      </w:r>
      <w:r w:rsidR="00203F72" w:rsidRPr="00D87D91">
        <w:t>)</w:t>
      </w:r>
      <w:r w:rsidR="00203F72" w:rsidRPr="00D87D91">
        <w:t>電子書籍，係以外國先進國家的憲法為借鏡，反思台灣所面臨之諸多憲政問題，而提出我國未來可行之修憲方向。個人深切期盼，本電子書之出版與問世，能激發政府與民間，對我國憲政議題的重</w:t>
      </w:r>
      <w:r w:rsidR="003E240E">
        <w:t>視</w:t>
      </w:r>
      <w:r w:rsidR="00203F72" w:rsidRPr="00D87D91">
        <w:t>與廣泛的討論，正</w:t>
      </w:r>
      <w:r w:rsidR="003E240E">
        <w:t>視</w:t>
      </w:r>
      <w:r w:rsidR="00203F72" w:rsidRPr="00D87D91">
        <w:t>台灣當前所面臨之諸多憲政困境，進而推出合適台灣國情未來發展之憲政改革方案或對策。對於本電子書之出版，個人給予兩位作者高度的肯定。</w:t>
      </w:r>
    </w:p>
    <w:p w14:paraId="75FDBD1C" w14:textId="77777777" w:rsidR="00203F72" w:rsidRPr="00D87D91" w:rsidRDefault="005E1EA8" w:rsidP="00D87D91">
      <w:r w:rsidRPr="00D87D91">
        <w:t xml:space="preserve">　　</w:t>
      </w:r>
      <w:r w:rsidR="00203F72" w:rsidRPr="00D87D91">
        <w:t>本書論及立法院修憲委員會於本（</w:t>
      </w:r>
      <w:r w:rsidR="00203F72" w:rsidRPr="00D87D91">
        <w:t>104</w:t>
      </w:r>
      <w:r w:rsidR="00203F72" w:rsidRPr="00D87D91">
        <w:t>）年</w:t>
      </w:r>
      <w:r w:rsidR="00203F72" w:rsidRPr="00D87D91">
        <w:t>6</w:t>
      </w:r>
      <w:r w:rsidR="00203F72" w:rsidRPr="00D87D91">
        <w:t>月，業已召開</w:t>
      </w:r>
      <w:r w:rsidR="00203F72" w:rsidRPr="00D87D91">
        <w:t>10</w:t>
      </w:r>
      <w:r w:rsidR="00203F72" w:rsidRPr="00D87D91">
        <w:t>餘次之審查會。最後，共提出</w:t>
      </w:r>
      <w:r w:rsidR="00203F72" w:rsidRPr="00D87D91">
        <w:t>34</w:t>
      </w:r>
      <w:r w:rsidR="00203F72" w:rsidRPr="00D87D91">
        <w:t>個修憲提議案，此</w:t>
      </w:r>
      <w:r w:rsidR="00203F72" w:rsidRPr="00D87D91">
        <w:t>34</w:t>
      </w:r>
      <w:r w:rsidR="00203F72" w:rsidRPr="00D87D91">
        <w:t>個修憲案，採取不併案與不包裹之模式，送交立法院朝野黨團進行協商。今</w:t>
      </w:r>
      <w:r w:rsidR="00203F72" w:rsidRPr="00D87D91">
        <w:t>(104)</w:t>
      </w:r>
      <w:r w:rsidR="00203F72" w:rsidRPr="00D87D91">
        <w:t>年</w:t>
      </w:r>
      <w:r w:rsidR="00203F72" w:rsidRPr="00D87D91">
        <w:t>6</w:t>
      </w:r>
      <w:r w:rsidR="00203F72" w:rsidRPr="00D87D91">
        <w:t>月</w:t>
      </w:r>
      <w:r w:rsidR="00203F72" w:rsidRPr="00D87D91">
        <w:t>16</w:t>
      </w:r>
      <w:r w:rsidR="00203F72" w:rsidRPr="00D87D91">
        <w:t>日之修憲案協商會中，修憲案業已增為</w:t>
      </w:r>
      <w:r w:rsidR="00203F72" w:rsidRPr="00D87D91">
        <w:t>35</w:t>
      </w:r>
      <w:r w:rsidR="00203F72" w:rsidRPr="00D87D91">
        <w:t>個，在表決方式部分，改為採取包裹通過修憲提議案之方式。然因若干立法委員對於包裹修憲之模式，存有不同意見，導致修憲案未能完成。</w:t>
      </w:r>
    </w:p>
    <w:p w14:paraId="224CD6CE" w14:textId="77777777" w:rsidR="00203F72" w:rsidRPr="00D87D91" w:rsidRDefault="005E1EA8" w:rsidP="00D87D91">
      <w:r w:rsidRPr="00D87D91">
        <w:t xml:space="preserve">　　</w:t>
      </w:r>
      <w:r w:rsidR="00203F72" w:rsidRPr="00D87D91">
        <w:t>因此，作者總結上述</w:t>
      </w:r>
      <w:r w:rsidR="00203F72" w:rsidRPr="00D87D91">
        <w:t>35</w:t>
      </w:r>
      <w:r w:rsidR="00203F72" w:rsidRPr="00D87D91">
        <w:t>個修憲提議案，歸結出</w:t>
      </w:r>
      <w:r w:rsidR="00203F72" w:rsidRPr="00D87D91">
        <w:t>9</w:t>
      </w:r>
      <w:r w:rsidR="00203F72" w:rsidRPr="00D87D91">
        <w:t>大修憲議題</w:t>
      </w:r>
      <w:r w:rsidR="00203F72" w:rsidRPr="00D87D91">
        <w:t>(</w:t>
      </w:r>
      <w:r w:rsidR="00203F72" w:rsidRPr="00D87D91">
        <w:t>區塊</w:t>
      </w:r>
      <w:r w:rsidR="00203F72" w:rsidRPr="00D87D91">
        <w:t>)</w:t>
      </w:r>
      <w:r w:rsidR="00203F72" w:rsidRPr="00D87D91">
        <w:t>：（一）於憲法增修條文之中，增訂基本國策；（二）人民權利、義務與人性尊嚴入憲（三）刪減監察院監察委員之人數，並明定監委之任期，另外，正式廢除台灣省政府與台灣省諮議會；（四）調降我國修憲要求之門檻規定；（五）刪減司法院大法官與考試院考試委員之人數，並明定考試委員之任期；（六）將不在籍投票機制入憲化；（七）恢復立法院對於行政院院長之任命同意權；（八）調降選舉人與被選舉人之年齡；（九）各個政黨所獲分配不分區之立委門檻之百分比例，從</w:t>
      </w:r>
      <w:r w:rsidR="00203F72" w:rsidRPr="00D87D91">
        <w:t>5%</w:t>
      </w:r>
      <w:r w:rsidR="00203F72" w:rsidRPr="00D87D91">
        <w:t>下降至</w:t>
      </w:r>
      <w:r w:rsidR="00203F72" w:rsidRPr="00D87D91">
        <w:t>3%</w:t>
      </w:r>
      <w:r w:rsidR="00203F72" w:rsidRPr="00D87D91">
        <w:t>。而本書作者對「動物權」之保障、考試院與監察院之存廢問題，以及在基本人權與人性尊嚴之入憲部分，均有精闢見解，相信對於台灣未來之修憲工程，當有相當之啟發作用。本電子書之問世，頗值得研究憲法及關心憲政與國家未來發展的學生及社會大眾加以參考。</w:t>
      </w:r>
    </w:p>
    <w:p w14:paraId="78D96B95" w14:textId="77777777" w:rsidR="00203F72" w:rsidRPr="00A53581" w:rsidRDefault="005E1EA8" w:rsidP="00D87D91">
      <w:r>
        <w:t xml:space="preserve">　　</w:t>
      </w:r>
      <w:r w:rsidR="00203F72" w:rsidRPr="00A53581">
        <w:t>中央警察大學圖書館館長</w:t>
      </w:r>
      <w:r w:rsidR="00203F72" w:rsidRPr="00A53581">
        <w:t xml:space="preserve"> </w:t>
      </w:r>
      <w:r w:rsidR="00203F72" w:rsidRPr="000D1D9A">
        <w:rPr>
          <w:rFonts w:ascii="標楷體" w:eastAsia="標楷體" w:hAnsi="標楷體"/>
          <w:b/>
          <w:sz w:val="28"/>
          <w:szCs w:val="28"/>
        </w:rPr>
        <w:t>翁萃芳</w:t>
      </w:r>
      <w:r w:rsidR="00203F72" w:rsidRPr="00A53581">
        <w:t xml:space="preserve"> </w:t>
      </w:r>
    </w:p>
    <w:p w14:paraId="48012FA9" w14:textId="77777777" w:rsidR="00203F72" w:rsidRDefault="005E1EA8" w:rsidP="00D87D91">
      <w:r>
        <w:t xml:space="preserve">　　</w:t>
      </w:r>
      <w:r w:rsidR="00203F72" w:rsidRPr="00A53581">
        <w:t>中華民國</w:t>
      </w:r>
      <w:r w:rsidR="00203F72" w:rsidRPr="00A53581">
        <w:t>104</w:t>
      </w:r>
      <w:r w:rsidR="00203F72" w:rsidRPr="00A53581">
        <w:t>年</w:t>
      </w:r>
      <w:r w:rsidR="00203F72" w:rsidRPr="00A53581">
        <w:t>06</w:t>
      </w:r>
      <w:r w:rsidR="00203F72" w:rsidRPr="00A53581">
        <w:t>月</w:t>
      </w:r>
      <w:r w:rsidR="00203F72" w:rsidRPr="00A53581">
        <w:t>29</w:t>
      </w:r>
      <w:r w:rsidR="00203F72" w:rsidRPr="00A53581">
        <w:t>日</w:t>
      </w:r>
    </w:p>
    <w:p w14:paraId="708E3C09" w14:textId="77777777" w:rsidR="00302768" w:rsidRPr="00A53581" w:rsidRDefault="0026266A" w:rsidP="00E108EB">
      <w:pPr>
        <w:jc w:val="right"/>
        <w:rPr>
          <w:rFonts w:ascii="新細明體" w:hAnsi="新細明體"/>
        </w:rPr>
      </w:pPr>
      <w:r w:rsidRPr="0026266A">
        <w:rPr>
          <w:rFonts w:hint="eastAsia"/>
        </w:rPr>
        <w:t>。。。。。。。。。。。。。。。。。。。。。。。。。</w:t>
      </w:r>
      <w:hyperlink w:anchor="a目次" w:history="1">
        <w:r w:rsidR="00302768">
          <w:rPr>
            <w:rStyle w:val="a5"/>
            <w:sz w:val="18"/>
          </w:rPr>
          <w:t>回目次</w:t>
        </w:r>
      </w:hyperlink>
      <w:r w:rsidR="00E91F89">
        <w:rPr>
          <w:rFonts w:ascii="新細明體" w:hAnsi="新細明體"/>
          <w:color w:val="808000"/>
        </w:rPr>
        <w:t>〉〉</w:t>
      </w:r>
    </w:p>
    <w:p w14:paraId="1BA216B7" w14:textId="77777777" w:rsidR="00953151" w:rsidRDefault="00953151" w:rsidP="00D87D91"/>
    <w:p w14:paraId="344E1E42" w14:textId="77777777" w:rsidR="00203F72" w:rsidRPr="00A53581" w:rsidRDefault="00203F72" w:rsidP="00D87D91">
      <w:pPr>
        <w:pStyle w:val="1"/>
        <w:rPr>
          <w:rFonts w:ascii="新細明體" w:hAnsi="新細明體"/>
          <w:sz w:val="22"/>
        </w:rPr>
      </w:pPr>
      <w:bookmarkStart w:id="24" w:name="_第一篇_憲法本文逐條釋義"/>
      <w:bookmarkEnd w:id="24"/>
      <w:r w:rsidRPr="00BF3A22">
        <w:t>第一篇</w:t>
      </w:r>
      <w:r w:rsidRPr="00BF3A22">
        <w:t xml:space="preserve"> </w:t>
      </w:r>
      <w:r w:rsidRPr="00BF3A22">
        <w:t>憲法本文逐條釋義</w:t>
      </w:r>
    </w:p>
    <w:p w14:paraId="33EB9129" w14:textId="77777777" w:rsidR="00953151" w:rsidRDefault="00203F72" w:rsidP="00767F37">
      <w:pPr>
        <w:pStyle w:val="2"/>
      </w:pPr>
      <w:bookmarkStart w:id="25" w:name="_憲法前言"/>
      <w:bookmarkEnd w:id="25"/>
      <w:r w:rsidRPr="00A53581">
        <w:t>憲法前言</w:t>
      </w:r>
      <w:r w:rsidRPr="00A53581">
        <w:t xml:space="preserve"> </w:t>
      </w:r>
    </w:p>
    <w:p w14:paraId="6F2C9ACC" w14:textId="77777777" w:rsidR="00953151" w:rsidRDefault="00B03E84" w:rsidP="00D87D91">
      <w:r>
        <w:t xml:space="preserve">　　</w:t>
      </w:r>
      <w:r w:rsidR="00203F72" w:rsidRPr="00A53581">
        <w:t>依據</w:t>
      </w:r>
      <w:hyperlink r:id="rId27" w:history="1">
        <w:r w:rsidR="00203F72" w:rsidRPr="003D02B1">
          <w:rPr>
            <w:rStyle w:val="a5"/>
          </w:rPr>
          <w:t>中華民國憲法</w:t>
        </w:r>
      </w:hyperlink>
      <w:r w:rsidR="00203F72" w:rsidRPr="00A53581">
        <w:t>前言之規定，「中華民國國民大會受全體國民之付託，依據孫中山先生創立中華民國之遺教，為鞏固國權，保障民權，奠定社會安寧，增進人民福利，制定本憲法，頒行全國，永矢鹹遵。」</w:t>
      </w:r>
    </w:p>
    <w:p w14:paraId="1D3B7A33" w14:textId="77777777" w:rsidR="00441941" w:rsidRDefault="00441941" w:rsidP="00D87D91"/>
    <w:p w14:paraId="0DCBB432" w14:textId="31F6BC7E" w:rsidR="00203F72" w:rsidRPr="00687BCD" w:rsidRDefault="00B03E84" w:rsidP="00D87D91">
      <w:r w:rsidRPr="00687BCD">
        <w:lastRenderedPageBreak/>
        <w:t>【</w:t>
      </w:r>
      <w:r w:rsidRPr="00687BCD">
        <w:t>table</w:t>
      </w:r>
      <w:r w:rsidR="005E23E3" w:rsidRPr="00687BCD">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w:t>
      </w:r>
      <w:r w:rsidR="00076467">
        <w:rPr>
          <w:noProof/>
        </w:rPr>
        <w:fldChar w:fldCharType="end"/>
      </w:r>
      <w:r w:rsidR="00203F72" w:rsidRPr="00687BCD">
        <w:t>修憲前後政府體制之演化</w:t>
      </w:r>
      <w:r w:rsidR="00203F72" w:rsidRPr="00687BCD">
        <w:footnoteReference w:id="1"/>
      </w:r>
    </w:p>
    <w:tbl>
      <w:tblPr>
        <w:tblW w:w="7928"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2610"/>
        <w:gridCol w:w="1810"/>
        <w:gridCol w:w="3508"/>
      </w:tblGrid>
      <w:tr w:rsidR="00203F72" w:rsidRPr="00A53581" w14:paraId="786705C9" w14:textId="77777777" w:rsidTr="00E108EB">
        <w:trPr>
          <w:tblCellSpacing w:w="15" w:type="dxa"/>
        </w:trPr>
        <w:tc>
          <w:tcPr>
            <w:tcW w:w="7868" w:type="dxa"/>
            <w:gridSpan w:val="3"/>
            <w:tcBorders>
              <w:top w:val="single" w:sz="6" w:space="0" w:color="AAAAAA"/>
              <w:left w:val="single" w:sz="4" w:space="0" w:color="auto"/>
              <w:bottom w:val="single" w:sz="4" w:space="0" w:color="auto"/>
              <w:right w:val="single" w:sz="4" w:space="0" w:color="auto"/>
            </w:tcBorders>
            <w:shd w:val="clear" w:color="auto" w:fill="FAF0FA"/>
            <w:vAlign w:val="center"/>
            <w:hideMark/>
          </w:tcPr>
          <w:p w14:paraId="5ACCA872" w14:textId="77777777" w:rsidR="00203F72" w:rsidRPr="00A53581" w:rsidRDefault="00203F72" w:rsidP="00D87D91">
            <w:pPr>
              <w:rPr>
                <w:rFonts w:cs="新細明體"/>
              </w:rPr>
            </w:pPr>
            <w:r w:rsidRPr="00A53581">
              <w:t>修憲前後政府體制之演化</w:t>
            </w:r>
            <w:r w:rsidRPr="00A53581">
              <w:rPr>
                <w:rFonts w:hint="eastAsia"/>
              </w:rPr>
              <w:t xml:space="preserve"> </w:t>
            </w:r>
          </w:p>
        </w:tc>
      </w:tr>
      <w:tr w:rsidR="00203F72" w:rsidRPr="00A53581" w14:paraId="0062875B"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355F133" w14:textId="77777777" w:rsidR="00203F72" w:rsidRPr="00A53581" w:rsidRDefault="00203F72" w:rsidP="00D87D91">
            <w:pPr>
              <w:rPr>
                <w:rFonts w:cs="新細明體"/>
              </w:rPr>
            </w:pPr>
            <w:r w:rsidRPr="00A53581">
              <w:t>法案</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312EAB3" w14:textId="77777777" w:rsidR="00203F72" w:rsidRPr="00A53581" w:rsidRDefault="00203F72" w:rsidP="00D87D91">
            <w:pPr>
              <w:rPr>
                <w:rFonts w:cs="新細明體"/>
              </w:rPr>
            </w:pPr>
            <w:r w:rsidRPr="00A53581">
              <w:t>政府體制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7C29F34" w14:textId="77777777" w:rsidR="00203F72" w:rsidRPr="00A53581" w:rsidRDefault="00203F72" w:rsidP="00D87D91"/>
        </w:tc>
      </w:tr>
      <w:tr w:rsidR="00203F72" w:rsidRPr="00A53581" w14:paraId="57DE7874"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EEF4C1A" w14:textId="77777777" w:rsidR="00203F72" w:rsidRPr="00A53581" w:rsidRDefault="00203F72" w:rsidP="00D87D91">
            <w:pPr>
              <w:rPr>
                <w:rFonts w:cs="新細明體"/>
              </w:rPr>
            </w:pPr>
            <w:r w:rsidRPr="00A53581">
              <w:t>五五憲草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1D477B6F" w14:textId="77777777" w:rsidR="00203F72" w:rsidRPr="00A53581" w:rsidRDefault="00203F72" w:rsidP="00D87D91">
            <w:pPr>
              <w:rPr>
                <w:rFonts w:cs="新細明體"/>
              </w:rPr>
            </w:pPr>
            <w:r w:rsidRPr="00A53581">
              <w:t>總統制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A570818" w14:textId="77777777" w:rsidR="00203F72" w:rsidRPr="00A53581" w:rsidRDefault="00203F72" w:rsidP="00D87D91"/>
        </w:tc>
      </w:tr>
      <w:tr w:rsidR="00203F72" w:rsidRPr="00A53581" w14:paraId="295B72AD"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CBFDE06" w14:textId="77777777" w:rsidR="00203F72" w:rsidRPr="00A53581" w:rsidRDefault="00203F72" w:rsidP="00D87D91">
            <w:pPr>
              <w:rPr>
                <w:rFonts w:cs="新細明體"/>
              </w:rPr>
            </w:pPr>
            <w:r w:rsidRPr="00A53581">
              <w:t>民國憲法</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7B54487" w14:textId="77777777" w:rsidR="00203F72" w:rsidRPr="00A53581" w:rsidRDefault="00203F72" w:rsidP="00D87D91">
            <w:pPr>
              <w:rPr>
                <w:rFonts w:cs="新細明體"/>
              </w:rPr>
            </w:pPr>
            <w:r w:rsidRPr="00A53581">
              <w:t>內閣制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012B94C" w14:textId="77777777" w:rsidR="00203F72" w:rsidRPr="00A53581" w:rsidRDefault="00203F72" w:rsidP="00D87D91"/>
        </w:tc>
      </w:tr>
      <w:tr w:rsidR="00203F72" w:rsidRPr="00A53581" w14:paraId="12CB89B2"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44B1710" w14:textId="77777777" w:rsidR="00203F72" w:rsidRPr="00A53581" w:rsidRDefault="00203F72" w:rsidP="00D87D91">
            <w:pPr>
              <w:rPr>
                <w:rFonts w:cs="新細明體"/>
              </w:rPr>
            </w:pPr>
            <w:r w:rsidRPr="00A53581">
              <w:t>動員戡亂條款</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FC08DD7" w14:textId="77777777" w:rsidR="00203F72" w:rsidRPr="00A53581" w:rsidRDefault="00203F72" w:rsidP="00D87D91">
            <w:pPr>
              <w:rPr>
                <w:rFonts w:cs="新細明體"/>
              </w:rPr>
            </w:pPr>
            <w:r w:rsidRPr="00A53581">
              <w:t>總統制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90E4074" w14:textId="77777777" w:rsidR="00203F72" w:rsidRPr="00A53581" w:rsidRDefault="00203F72" w:rsidP="00D87D91"/>
        </w:tc>
      </w:tr>
      <w:tr w:rsidR="00203F72" w:rsidRPr="00A53581" w14:paraId="19307825"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56E2631" w14:textId="77777777" w:rsidR="00203F72" w:rsidRPr="00A53581" w:rsidRDefault="00203F72" w:rsidP="00D87D91">
            <w:pPr>
              <w:rPr>
                <w:rFonts w:cs="新細明體"/>
              </w:rPr>
            </w:pPr>
            <w:r w:rsidRPr="00A53581">
              <w:t>增修條文</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DBBE5F1" w14:textId="77777777" w:rsidR="00203F72" w:rsidRPr="00A53581" w:rsidRDefault="00203F72" w:rsidP="00D87D91">
            <w:pPr>
              <w:rPr>
                <w:rFonts w:cs="新細明體"/>
              </w:rPr>
            </w:pPr>
            <w:r w:rsidRPr="00A53581">
              <w:t>半總統制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C71149B" w14:textId="77777777" w:rsidR="00203F72" w:rsidRPr="00A53581" w:rsidRDefault="00203F72" w:rsidP="00D87D91"/>
        </w:tc>
      </w:tr>
    </w:tbl>
    <w:p w14:paraId="737DE467" w14:textId="77777777" w:rsidR="00953151" w:rsidRPr="00302768" w:rsidRDefault="00B03E84" w:rsidP="00D87D91">
      <w:r w:rsidRPr="00302768">
        <w:rPr>
          <w:rFonts w:hint="eastAsia"/>
        </w:rPr>
        <w:t>【資料來源】</w:t>
      </w:r>
      <w:r w:rsidR="00203F72" w:rsidRPr="00302768">
        <w:rPr>
          <w:rFonts w:hint="eastAsia"/>
        </w:rPr>
        <w:t>維基百科</w:t>
      </w:r>
      <w:r w:rsidR="00203F72" w:rsidRPr="00302768">
        <w:rPr>
          <w:rFonts w:hint="eastAsia"/>
        </w:rPr>
        <w:t>(2015)</w:t>
      </w:r>
      <w:r w:rsidR="00203F72" w:rsidRPr="00302768">
        <w:rPr>
          <w:rFonts w:hint="eastAsia"/>
        </w:rPr>
        <w:t>，中華民國憲法，上網瀏覽時日：</w:t>
      </w:r>
      <w:r w:rsidR="00203F72" w:rsidRPr="00302768">
        <w:rPr>
          <w:rFonts w:hint="eastAsia"/>
        </w:rPr>
        <w:t>2015/08/02</w:t>
      </w:r>
      <w:r w:rsidR="00203F72" w:rsidRPr="00302768">
        <w:rPr>
          <w:rFonts w:hint="eastAsia"/>
        </w:rPr>
        <w:t>，</w:t>
      </w:r>
      <w:hyperlink r:id="rId28" w:history="1">
        <w:r w:rsidR="00203F72" w:rsidRPr="00302768">
          <w:rPr>
            <w:rStyle w:val="a5"/>
          </w:rPr>
          <w:t>https://zh.wikipedia.org/wiki/%E4%B8%AD%E8%8F%AF%E6%B0%91%E5%9C%8B%E6%86%B2%E6%B3%95</w:t>
        </w:r>
      </w:hyperlink>
      <w:r w:rsidR="00203F72" w:rsidRPr="00302768">
        <w:t>。</w:t>
      </w:r>
    </w:p>
    <w:p w14:paraId="3FB02FC4" w14:textId="77777777" w:rsidR="00953151" w:rsidRDefault="00B03E84" w:rsidP="00D87D91">
      <w:r>
        <w:t xml:space="preserve">　　</w:t>
      </w:r>
      <w:r w:rsidR="00203F72" w:rsidRPr="00A53581">
        <w:t>我國憲法之發展歷程，經武昌革命成功後，於</w:t>
      </w:r>
      <w:r w:rsidR="00203F72" w:rsidRPr="00A53581">
        <w:t>10</w:t>
      </w:r>
      <w:r w:rsidR="00203F72" w:rsidRPr="00A53581">
        <w:t>月</w:t>
      </w:r>
      <w:r w:rsidR="00203F72" w:rsidRPr="00A53581">
        <w:t>13</w:t>
      </w:r>
      <w:r w:rsidR="00203F72" w:rsidRPr="00A53581">
        <w:t>日起草完成「臨時政府組織大綱」，並經議決通過，公布實施，成為我國第一部臨時憲法。中華民國元年</w:t>
      </w:r>
      <w:r w:rsidR="00203F72" w:rsidRPr="00A53581">
        <w:t>2</w:t>
      </w:r>
      <w:r w:rsidR="00203F72" w:rsidRPr="00A53581">
        <w:t>月</w:t>
      </w:r>
      <w:r w:rsidR="00203F72" w:rsidRPr="00A53581">
        <w:t>12</w:t>
      </w:r>
      <w:r w:rsidR="00203F72" w:rsidRPr="00A53581">
        <w:t>日，清廷下詔退位，袁世凱為大總統，民國元年</w:t>
      </w:r>
      <w:r w:rsidR="00203F72" w:rsidRPr="00A53581">
        <w:t>3</w:t>
      </w:r>
      <w:r w:rsidR="00203F72" w:rsidRPr="00A53581">
        <w:t>月</w:t>
      </w:r>
      <w:r w:rsidR="00203F72" w:rsidRPr="00A53581">
        <w:t>8</w:t>
      </w:r>
      <w:r w:rsidR="00203F72" w:rsidRPr="00A53581">
        <w:t>日通過「臨時約法」，取代「臨時政府組織大綱」。民國</w:t>
      </w:r>
      <w:r w:rsidR="00203F72" w:rsidRPr="00A53581">
        <w:t>2</w:t>
      </w:r>
      <w:r w:rsidR="00203F72" w:rsidRPr="00A53581">
        <w:t>年</w:t>
      </w:r>
      <w:r w:rsidR="00203F72" w:rsidRPr="00A53581">
        <w:t>4</w:t>
      </w:r>
      <w:r w:rsidR="00203F72" w:rsidRPr="00A53581">
        <w:t>月</w:t>
      </w:r>
      <w:r w:rsidR="00203F72" w:rsidRPr="00A53581">
        <w:t>8</w:t>
      </w:r>
      <w:r w:rsidR="00203F72" w:rsidRPr="00A53581">
        <w:t>日國會成立，民國</w:t>
      </w:r>
      <w:r w:rsidR="00203F72" w:rsidRPr="00A53581">
        <w:t>2</w:t>
      </w:r>
      <w:r w:rsidR="00203F72" w:rsidRPr="00A53581">
        <w:t>年</w:t>
      </w:r>
      <w:r w:rsidR="00203F72" w:rsidRPr="00A53581">
        <w:t>10</w:t>
      </w:r>
      <w:r w:rsidR="00203F72" w:rsidRPr="00A53581">
        <w:t>月</w:t>
      </w:r>
      <w:r w:rsidR="00203F72" w:rsidRPr="00A53581">
        <w:t>31</w:t>
      </w:r>
      <w:r w:rsidR="00203F72" w:rsidRPr="00A53581">
        <w:t>日完成「中華民國憲法草案」，此即「天壇憲法草案」，民國</w:t>
      </w:r>
      <w:r w:rsidR="00203F72" w:rsidRPr="00A53581">
        <w:t>2</w:t>
      </w:r>
      <w:r w:rsidR="00203F72" w:rsidRPr="00A53581">
        <w:t>年</w:t>
      </w:r>
      <w:r w:rsidR="00203F72" w:rsidRPr="00A53581">
        <w:t>11</w:t>
      </w:r>
      <w:r w:rsidR="00203F72" w:rsidRPr="00A53581">
        <w:t>月</w:t>
      </w:r>
      <w:r w:rsidR="00203F72" w:rsidRPr="00A53581">
        <w:t>4</w:t>
      </w:r>
      <w:r w:rsidR="00203F72" w:rsidRPr="00A53581">
        <w:t>日袁氏通令解散國民黨，民國</w:t>
      </w:r>
      <w:r w:rsidR="00203F72" w:rsidRPr="00A53581">
        <w:t>3</w:t>
      </w:r>
      <w:r w:rsidR="00203F72" w:rsidRPr="00A53581">
        <w:t>年宣佈停止兩院議員職務，國會遂被毀。</w:t>
      </w:r>
      <w:r w:rsidR="00193290" w:rsidRPr="0065661E">
        <w:rPr>
          <w:rFonts w:hint="eastAsia"/>
          <w:color w:val="FFFFFF" w:themeColor="background1"/>
        </w:rPr>
        <w:t>◇◆</w:t>
      </w:r>
    </w:p>
    <w:p w14:paraId="65253EDA" w14:textId="77777777" w:rsidR="00203F72" w:rsidRPr="00A53581" w:rsidRDefault="00203F72" w:rsidP="00D87D91">
      <w:r>
        <w:rPr>
          <w:noProof/>
        </w:rPr>
        <w:drawing>
          <wp:inline distT="0" distB="0" distL="0" distR="0" wp14:anchorId="6052B0B6" wp14:editId="5F522FA6">
            <wp:extent cx="4944745" cy="4110355"/>
            <wp:effectExtent l="0" t="0" r="8255" b="4445"/>
            <wp:docPr id="12" name="圖片 12" descr="260px-%E6%86%B2%E6%B3%95%E8%8D%89%E6%A1%88%E6%AD%A3%E6%96%87%E8%B5%B7%E8%8D%89%E8%80%85">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60px-%E6%86%B2%E6%B3%95%E8%8D%89%E6%A1%88%E6%AD%A3%E6%96%87%E8%B5%B7%E8%8D%89%E8%80%8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44745" cy="4110355"/>
                    </a:xfrm>
                    <a:prstGeom prst="rect">
                      <a:avLst/>
                    </a:prstGeom>
                    <a:noFill/>
                    <a:ln>
                      <a:noFill/>
                    </a:ln>
                  </pic:spPr>
                </pic:pic>
              </a:graphicData>
            </a:graphic>
          </wp:inline>
        </w:drawing>
      </w:r>
    </w:p>
    <w:p w14:paraId="60E92A6D" w14:textId="16D490E0" w:rsidR="0095315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9</w:t>
      </w:r>
      <w:r w:rsidR="00076467">
        <w:rPr>
          <w:noProof/>
        </w:rPr>
        <w:fldChar w:fldCharType="end"/>
      </w:r>
      <w:r w:rsidR="00203F72" w:rsidRPr="00A53581">
        <w:t>一九一三</w:t>
      </w:r>
      <w:r w:rsidR="00203F72" w:rsidRPr="00A53581">
        <w:rPr>
          <w:rFonts w:hint="eastAsia"/>
        </w:rPr>
        <w:t>年天壇憲法草案起草者</w:t>
      </w:r>
      <w:r w:rsidR="00203F72" w:rsidRPr="00E108EB">
        <w:footnoteReference w:id="2"/>
      </w:r>
    </w:p>
    <w:p w14:paraId="6C0D93C0" w14:textId="77777777" w:rsidR="00953151" w:rsidRDefault="00B03E84" w:rsidP="00D87D91">
      <w:r>
        <w:rPr>
          <w:rFonts w:hint="eastAsia"/>
        </w:rPr>
        <w:lastRenderedPageBreak/>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31" w:history="1">
        <w:r w:rsidR="00203F72" w:rsidRPr="00A53581">
          <w:rPr>
            <w:rStyle w:val="a5"/>
          </w:rPr>
          <w:t>https://zh.wikipedia.org/wiki/%E4%B8%AD%E8%8F%AF%E6%B0%91%E5%9C%8B%E6%86%B2%E6%B3%95</w:t>
        </w:r>
      </w:hyperlink>
      <w:r w:rsidR="00203F72" w:rsidRPr="00A53581">
        <w:t>。</w:t>
      </w:r>
    </w:p>
    <w:p w14:paraId="5FEA2C20" w14:textId="77777777" w:rsidR="00953151" w:rsidRDefault="00B03E84" w:rsidP="00D87D91">
      <w:r>
        <w:t xml:space="preserve">　　</w:t>
      </w:r>
      <w:r w:rsidR="00203F72" w:rsidRPr="00A53581">
        <w:t>民國</w:t>
      </w:r>
      <w:r w:rsidR="00203F72" w:rsidRPr="00A53581">
        <w:t>3</w:t>
      </w:r>
      <w:r w:rsidR="00203F72" w:rsidRPr="00A53581">
        <w:t>年</w:t>
      </w:r>
      <w:r w:rsidR="00203F72" w:rsidRPr="00A53581">
        <w:t>3</w:t>
      </w:r>
      <w:r w:rsidR="00203F72" w:rsidRPr="00A53581">
        <w:t>月</w:t>
      </w:r>
      <w:r w:rsidR="00203F72" w:rsidRPr="00A53581">
        <w:t>18</w:t>
      </w:r>
      <w:r w:rsidR="00203F72" w:rsidRPr="00A53581">
        <w:t>日組織「約法會議議決增修約法案及附屬於約法之重要法案」，民國</w:t>
      </w:r>
      <w:r w:rsidR="00203F72" w:rsidRPr="00A53581">
        <w:t>3</w:t>
      </w:r>
      <w:r w:rsidR="00203F72" w:rsidRPr="00A53581">
        <w:t>年</w:t>
      </w:r>
      <w:r w:rsidR="00203F72" w:rsidRPr="00A53581">
        <w:t>4</w:t>
      </w:r>
      <w:r w:rsidR="00203F72" w:rsidRPr="00A53581">
        <w:t>月</w:t>
      </w:r>
      <w:r w:rsidR="00203F72" w:rsidRPr="00A53581">
        <w:t>29</w:t>
      </w:r>
      <w:r w:rsidR="00203F72" w:rsidRPr="00A53581">
        <w:t>日完成三讀，民國</w:t>
      </w:r>
      <w:r w:rsidR="00203F72" w:rsidRPr="00A53581">
        <w:t>3</w:t>
      </w:r>
      <w:r w:rsidR="00203F72" w:rsidRPr="00A53581">
        <w:t>年</w:t>
      </w:r>
      <w:r w:rsidR="00203F72" w:rsidRPr="00A53581">
        <w:t>5</w:t>
      </w:r>
      <w:r w:rsidR="00203F72" w:rsidRPr="00A53581">
        <w:t>月</w:t>
      </w:r>
      <w:r w:rsidR="00203F72" w:rsidRPr="00A53581">
        <w:t>1</w:t>
      </w:r>
      <w:r w:rsidR="00203F72" w:rsidRPr="00A53581">
        <w:t>日公布施行，為「中華民國約法」，或稱「袁氏約法」，而「天壇憲法草案」則廢除。袁氏不以任大總統為滿足，一心想實施帝制，於民國</w:t>
      </w:r>
      <w:r w:rsidR="00203F72" w:rsidRPr="00A53581">
        <w:t>4</w:t>
      </w:r>
      <w:r w:rsidR="00203F72" w:rsidRPr="00A53581">
        <w:t>年</w:t>
      </w:r>
      <w:r w:rsidR="00203F72" w:rsidRPr="00A53581">
        <w:t>12</w:t>
      </w:r>
      <w:r w:rsidR="00203F72" w:rsidRPr="00A53581">
        <w:t>月</w:t>
      </w:r>
      <w:r w:rsidR="00203F72" w:rsidRPr="00A53581">
        <w:t>12</w:t>
      </w:r>
      <w:r w:rsidR="00203F72" w:rsidRPr="00A53581">
        <w:t>日稱帝，民國</w:t>
      </w:r>
      <w:r w:rsidR="00203F72" w:rsidRPr="00A53581">
        <w:t>4</w:t>
      </w:r>
      <w:r w:rsidR="00203F72" w:rsidRPr="00A53581">
        <w:t>年</w:t>
      </w:r>
      <w:r w:rsidR="00203F72" w:rsidRPr="00A53581">
        <w:t>12</w:t>
      </w:r>
      <w:r w:rsidR="00203F72" w:rsidRPr="00A53581">
        <w:t>月</w:t>
      </w:r>
      <w:r w:rsidR="00203F72" w:rsidRPr="00A53581">
        <w:t>14</w:t>
      </w:r>
      <w:r w:rsidR="00203F72" w:rsidRPr="00A53581">
        <w:t>日令制定君主立憲憲法，民國</w:t>
      </w:r>
      <w:r w:rsidR="00203F72" w:rsidRPr="00A53581">
        <w:t>4</w:t>
      </w:r>
      <w:r w:rsidR="00203F72" w:rsidRPr="00A53581">
        <w:t>年</w:t>
      </w:r>
      <w:r w:rsidR="00203F72" w:rsidRPr="00A53581">
        <w:t>12</w:t>
      </w:r>
      <w:r w:rsidR="00203F72" w:rsidRPr="00A53581">
        <w:t>月</w:t>
      </w:r>
      <w:r w:rsidR="00203F72" w:rsidRPr="00A53581">
        <w:t>31</w:t>
      </w:r>
      <w:r w:rsidR="00203F72" w:rsidRPr="00A53581">
        <w:t>日申令，民國</w:t>
      </w:r>
      <w:r w:rsidR="00203F72" w:rsidRPr="00A53581">
        <w:t>5</w:t>
      </w:r>
      <w:r w:rsidR="00203F72" w:rsidRPr="00A53581">
        <w:t>年為洪憲元年。之後，蔡鍔組護國軍討伐袁氏，袁氏乃於民國</w:t>
      </w:r>
      <w:r w:rsidR="00203F72" w:rsidRPr="00A53581">
        <w:t>5</w:t>
      </w:r>
      <w:r w:rsidR="00203F72" w:rsidRPr="00A53581">
        <w:t>年</w:t>
      </w:r>
      <w:r w:rsidR="00203F72" w:rsidRPr="00A53581">
        <w:t>3</w:t>
      </w:r>
      <w:r w:rsidR="00203F72" w:rsidRPr="00A53581">
        <w:t>月</w:t>
      </w:r>
      <w:r w:rsidR="00203F72" w:rsidRPr="00A53581">
        <w:t>22</w:t>
      </w:r>
      <w:r w:rsidR="00203F72" w:rsidRPr="00A53581">
        <w:t>日下令撤銷帝位，自稱大總統，不過仍難平眾怒，於民國</w:t>
      </w:r>
      <w:r w:rsidR="00203F72" w:rsidRPr="00A53581">
        <w:t>5</w:t>
      </w:r>
      <w:r w:rsidR="00203F72" w:rsidRPr="00A53581">
        <w:t>年</w:t>
      </w:r>
      <w:r w:rsidR="00203F72" w:rsidRPr="00A53581">
        <w:t>6</w:t>
      </w:r>
      <w:r w:rsidR="00203F72" w:rsidRPr="00A53581">
        <w:t>月</w:t>
      </w:r>
      <w:r w:rsidR="00203F72" w:rsidRPr="00A53581">
        <w:t>6</w:t>
      </w:r>
      <w:r w:rsidR="00203F72" w:rsidRPr="00A53581">
        <w:t>日憂憤而死。</w:t>
      </w:r>
    </w:p>
    <w:p w14:paraId="35ABBFBC" w14:textId="77777777" w:rsidR="00953151" w:rsidRDefault="00B03E84" w:rsidP="00D87D91">
      <w:r>
        <w:t xml:space="preserve">　　</w:t>
      </w:r>
      <w:r w:rsidR="00203F72" w:rsidRPr="00A53581">
        <w:t>民國</w:t>
      </w:r>
      <w:r w:rsidR="00203F72" w:rsidRPr="00A53581">
        <w:t>12</w:t>
      </w:r>
      <w:r w:rsidR="00203F72" w:rsidRPr="00A53581">
        <w:t>年</w:t>
      </w:r>
      <w:r w:rsidR="00203F72" w:rsidRPr="00A53581">
        <w:t>10</w:t>
      </w:r>
      <w:r w:rsidR="00203F72" w:rsidRPr="00A53581">
        <w:t>月</w:t>
      </w:r>
      <w:r w:rsidR="00203F72" w:rsidRPr="00A53581">
        <w:t>5</w:t>
      </w:r>
      <w:r w:rsidR="00203F72" w:rsidRPr="00A53581">
        <w:t>日，曹錕以五千元至萬元，賄選為總統，民國</w:t>
      </w:r>
      <w:r w:rsidR="00203F72" w:rsidRPr="00A53581">
        <w:t>12</w:t>
      </w:r>
      <w:r w:rsidR="00203F72" w:rsidRPr="00A53581">
        <w:t>年</w:t>
      </w:r>
      <w:r w:rsidR="00203F72" w:rsidRPr="00A53581">
        <w:t>10</w:t>
      </w:r>
      <w:r w:rsidR="00203F72" w:rsidRPr="00A53581">
        <w:t>月</w:t>
      </w:r>
      <w:r w:rsidR="00203F72" w:rsidRPr="00A53581">
        <w:t>10</w:t>
      </w:r>
      <w:r w:rsidR="00203F72" w:rsidRPr="00A53581">
        <w:t>日公布憲法，稱為「曹錕憲法」或「賄選憲法」，民國</w:t>
      </w:r>
      <w:r w:rsidR="00203F72" w:rsidRPr="00A53581">
        <w:t>13</w:t>
      </w:r>
      <w:r w:rsidR="00203F72" w:rsidRPr="00A53581">
        <w:t>年段祺瑞組臨時政府，公布「中華民國臨時政府制」。民國</w:t>
      </w:r>
      <w:r w:rsidR="00203F72" w:rsidRPr="00A53581">
        <w:t>14</w:t>
      </w:r>
      <w:r w:rsidR="00203F72" w:rsidRPr="00A53581">
        <w:t>年</w:t>
      </w:r>
      <w:r w:rsidR="00203F72" w:rsidRPr="00A53581">
        <w:t>12</w:t>
      </w:r>
      <w:r w:rsidR="00203F72" w:rsidRPr="00A53581">
        <w:t>月</w:t>
      </w:r>
      <w:r w:rsidR="00203F72" w:rsidRPr="00A53581">
        <w:t>11</w:t>
      </w:r>
      <w:r w:rsidR="00203F72" w:rsidRPr="00A53581">
        <w:t>日三讀通過「中華民國憲法草案」，世稱「十四年憲法草案」。民國</w:t>
      </w:r>
      <w:r w:rsidR="00203F72" w:rsidRPr="00A53581">
        <w:t>17</w:t>
      </w:r>
      <w:r w:rsidR="00203F72" w:rsidRPr="00A53581">
        <w:t>年，北伐成功，</w:t>
      </w:r>
      <w:r w:rsidR="00203F72" w:rsidRPr="00A53581">
        <w:t>10</w:t>
      </w:r>
      <w:r w:rsidR="00203F72" w:rsidRPr="00A53581">
        <w:t>月</w:t>
      </w:r>
      <w:r w:rsidR="00203F72" w:rsidRPr="00A53581">
        <w:t>8</w:t>
      </w:r>
      <w:r w:rsidR="00203F72" w:rsidRPr="00A53581">
        <w:t>日通過修正「國民政府組織法」施行五權制度，民國</w:t>
      </w:r>
      <w:r w:rsidR="00203F72" w:rsidRPr="00A53581">
        <w:t>20</w:t>
      </w:r>
      <w:r w:rsidR="00203F72" w:rsidRPr="00A53581">
        <w:t>年</w:t>
      </w:r>
      <w:r w:rsidR="00203F72" w:rsidRPr="00A53581">
        <w:t>6</w:t>
      </w:r>
      <w:r w:rsidR="00203F72" w:rsidRPr="00A53581">
        <w:t>月</w:t>
      </w:r>
      <w:r w:rsidR="00203F72" w:rsidRPr="00A53581">
        <w:t>1</w:t>
      </w:r>
      <w:r w:rsidR="00203F72" w:rsidRPr="00A53581">
        <w:t>日公布「訓政時期約法」，共</w:t>
      </w:r>
      <w:r w:rsidR="00203F72" w:rsidRPr="00A53581">
        <w:t>8</w:t>
      </w:r>
      <w:r w:rsidR="00203F72" w:rsidRPr="00A53581">
        <w:t>章、</w:t>
      </w:r>
      <w:r w:rsidR="00203F72" w:rsidRPr="00A53581">
        <w:t>89</w:t>
      </w:r>
      <w:r w:rsidR="00203F72" w:rsidRPr="00A53581">
        <w:t>條。</w:t>
      </w:r>
    </w:p>
    <w:p w14:paraId="18E76FA8" w14:textId="77777777" w:rsidR="00953151" w:rsidRPr="00687BCD" w:rsidRDefault="00B03E84" w:rsidP="00D87D91">
      <w:r>
        <w:t xml:space="preserve">　　</w:t>
      </w:r>
      <w:r w:rsidR="00203F72" w:rsidRPr="00A53581">
        <w:t>民國</w:t>
      </w:r>
      <w:r w:rsidR="00203F72" w:rsidRPr="00A53581">
        <w:t>22</w:t>
      </w:r>
      <w:r w:rsidR="00203F72" w:rsidRPr="00A53581">
        <w:t>年</w:t>
      </w:r>
      <w:r w:rsidR="00203F72" w:rsidRPr="00A53581">
        <w:t>1</w:t>
      </w:r>
      <w:r w:rsidR="00203F72" w:rsidRPr="00A53581">
        <w:t>月組成憲法起草委員會，開始憲法起草工作。民國</w:t>
      </w:r>
      <w:r w:rsidR="00203F72" w:rsidRPr="00A53581">
        <w:t>25</w:t>
      </w:r>
      <w:r w:rsidR="00203F72" w:rsidRPr="00A53581">
        <w:t>年</w:t>
      </w:r>
      <w:r w:rsidR="00203F72" w:rsidRPr="00A53581">
        <w:t>5</w:t>
      </w:r>
      <w:r w:rsidR="00203F72" w:rsidRPr="00A53581">
        <w:t>月</w:t>
      </w:r>
      <w:r w:rsidR="00203F72" w:rsidRPr="00A53581">
        <w:t>1</w:t>
      </w:r>
      <w:r w:rsidR="00203F72" w:rsidRPr="00A53581">
        <w:t>日修正完成，民國</w:t>
      </w:r>
      <w:r w:rsidR="00203F72" w:rsidRPr="00A53581">
        <w:t>25</w:t>
      </w:r>
      <w:r w:rsidR="00203F72" w:rsidRPr="00A53581">
        <w:t>年</w:t>
      </w:r>
      <w:r w:rsidR="00203F72" w:rsidRPr="00A53581">
        <w:t>5</w:t>
      </w:r>
      <w:r w:rsidR="00203F72" w:rsidRPr="00A53581">
        <w:t>月</w:t>
      </w:r>
      <w:r w:rsidR="00203F72" w:rsidRPr="00A53581">
        <w:t>5</w:t>
      </w:r>
      <w:r w:rsidR="00203F72" w:rsidRPr="00A53581">
        <w:t>日公布，此即「五五憲草」。抗戰勝利之後，國民大會於</w:t>
      </w:r>
      <w:r w:rsidR="00203F72" w:rsidRPr="00A53581">
        <w:t>35</w:t>
      </w:r>
      <w:r w:rsidR="00203F72" w:rsidRPr="00A53581">
        <w:t>年</w:t>
      </w:r>
      <w:r w:rsidR="00203F72" w:rsidRPr="00A53581">
        <w:t>12</w:t>
      </w:r>
      <w:r w:rsidR="00203F72" w:rsidRPr="00A53581">
        <w:t>月</w:t>
      </w:r>
      <w:r w:rsidR="00203F72" w:rsidRPr="00A53581">
        <w:t>25</w:t>
      </w:r>
      <w:r w:rsidR="00203F72" w:rsidRPr="00A53581">
        <w:t>日</w:t>
      </w:r>
      <w:r w:rsidR="00203F72" w:rsidRPr="00687BCD">
        <w:t>三讀通過「中華民國憲法草案」，民國</w:t>
      </w:r>
      <w:r w:rsidR="00203F72" w:rsidRPr="00687BCD">
        <w:t>36</w:t>
      </w:r>
      <w:r w:rsidR="00203F72" w:rsidRPr="00687BCD">
        <w:t>年元旦公布，同年</w:t>
      </w:r>
      <w:r w:rsidR="00203F72" w:rsidRPr="00687BCD">
        <w:t>12</w:t>
      </w:r>
      <w:r w:rsidR="00203F72" w:rsidRPr="00687BCD">
        <w:t>月</w:t>
      </w:r>
      <w:r w:rsidR="00203F72" w:rsidRPr="00687BCD">
        <w:t>25</w:t>
      </w:r>
      <w:r w:rsidR="00203F72" w:rsidRPr="00687BCD">
        <w:t>日施行</w:t>
      </w:r>
      <w:r w:rsidR="00203F72" w:rsidRPr="00687BCD">
        <w:footnoteReference w:id="3"/>
      </w:r>
      <w:r w:rsidR="00203F72" w:rsidRPr="00687BCD">
        <w:t>。</w:t>
      </w:r>
      <w:r w:rsidR="00193290" w:rsidRPr="00687BCD">
        <w:rPr>
          <w:rFonts w:hint="eastAsia"/>
          <w:color w:val="FFFFFF" w:themeColor="background1"/>
        </w:rPr>
        <w:t>◇◆</w:t>
      </w:r>
    </w:p>
    <w:p w14:paraId="01B34A24" w14:textId="77777777" w:rsidR="00203F72" w:rsidRPr="00A53581" w:rsidRDefault="00203F72" w:rsidP="00D87D91">
      <w:r>
        <w:rPr>
          <w:noProof/>
        </w:rPr>
        <w:drawing>
          <wp:inline distT="0" distB="0" distL="0" distR="0" wp14:anchorId="6EFAE4F8" wp14:editId="2A2EECFD">
            <wp:extent cx="4872355" cy="2374900"/>
            <wp:effectExtent l="0" t="0" r="4445" b="6350"/>
            <wp:docPr id="13" name="圖片 13" descr="250px-Chungking_1946_Jan">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50px-Chungking_1946_Ja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2355" cy="2374900"/>
                    </a:xfrm>
                    <a:prstGeom prst="rect">
                      <a:avLst/>
                    </a:prstGeom>
                    <a:noFill/>
                    <a:ln>
                      <a:noFill/>
                    </a:ln>
                  </pic:spPr>
                </pic:pic>
              </a:graphicData>
            </a:graphic>
          </wp:inline>
        </w:drawing>
      </w:r>
      <w:r w:rsidR="00193290" w:rsidRPr="0065661E">
        <w:rPr>
          <w:rFonts w:hint="eastAsia"/>
          <w:color w:val="FFFFFF" w:themeColor="background1"/>
        </w:rPr>
        <w:t>◇</w:t>
      </w:r>
    </w:p>
    <w:p w14:paraId="562FECD7" w14:textId="05C3A0C4" w:rsidR="00203F72" w:rsidRPr="00E108EB" w:rsidRDefault="00B03E84" w:rsidP="00E108EB">
      <w:r w:rsidRPr="00E108EB">
        <w:t>【</w:t>
      </w:r>
      <w:r w:rsidRPr="00E108EB">
        <w:t>figure</w:t>
      </w:r>
      <w:r w:rsidR="005E23E3" w:rsidRPr="00E108EB">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10</w:t>
      </w:r>
      <w:r w:rsidR="00076467">
        <w:rPr>
          <w:noProof/>
        </w:rPr>
        <w:fldChar w:fldCharType="end"/>
      </w:r>
      <w:r w:rsidR="00203F72" w:rsidRPr="00E108EB">
        <w:rPr>
          <w:rFonts w:hint="eastAsia"/>
        </w:rPr>
        <w:t>民國三十五年國共兩黨在政治協商會議上達成政協憲草決議案圖示</w:t>
      </w:r>
    </w:p>
    <w:p w14:paraId="079DE2EE" w14:textId="77777777" w:rsidR="00953151" w:rsidRDefault="00B03E84" w:rsidP="00E108EB">
      <w:r w:rsidRPr="00E108EB">
        <w:rPr>
          <w:rFonts w:hint="eastAsia"/>
        </w:rPr>
        <w:t>【資料來源】</w:t>
      </w:r>
      <w:r w:rsidR="00203F72" w:rsidRPr="00E108EB">
        <w:rPr>
          <w:rFonts w:hint="eastAsia"/>
        </w:rPr>
        <w:t>維基百科</w:t>
      </w:r>
      <w:r w:rsidR="00203F72" w:rsidRPr="00E108EB">
        <w:rPr>
          <w:rFonts w:hint="eastAsia"/>
        </w:rPr>
        <w:t>(2015)</w:t>
      </w:r>
      <w:r w:rsidR="00203F72" w:rsidRPr="00E108EB">
        <w:rPr>
          <w:rFonts w:hint="eastAsia"/>
        </w:rPr>
        <w:t>，中華民國憲法，上網瀏覽時日：</w:t>
      </w:r>
      <w:r w:rsidR="00203F72" w:rsidRPr="00E108EB">
        <w:rPr>
          <w:rFonts w:hint="eastAsia"/>
        </w:rPr>
        <w:t>2015/08/02</w:t>
      </w:r>
      <w:r w:rsidR="00203F72" w:rsidRPr="00E108EB">
        <w:rPr>
          <w:rFonts w:hint="eastAsia"/>
        </w:rPr>
        <w:t>，</w:t>
      </w:r>
      <w:hyperlink r:id="rId34" w:history="1">
        <w:r w:rsidR="00203F72" w:rsidRPr="00E108EB">
          <w:rPr>
            <w:rStyle w:val="a5"/>
          </w:rPr>
          <w:t>https://zh.wikipedia.org/wiki/%E4%B8%AD%E8%8F%AF%E6%B0%91%E5%9C%8B%E6%86%B2%E6%B3%95</w:t>
        </w:r>
      </w:hyperlink>
      <w:r w:rsidR="00203F72" w:rsidRPr="00E108EB">
        <w:t>。</w:t>
      </w:r>
    </w:p>
    <w:p w14:paraId="4F178161" w14:textId="77777777" w:rsidR="00E108EB" w:rsidRPr="00E108EB" w:rsidRDefault="00E108EB" w:rsidP="00E108EB"/>
    <w:p w14:paraId="53CB3390" w14:textId="01FE3E0E" w:rsidR="00203F72" w:rsidRPr="00B03E84" w:rsidRDefault="00B03E84" w:rsidP="00D87D91">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2</w:t>
      </w:r>
      <w:r w:rsidR="00076467">
        <w:rPr>
          <w:noProof/>
        </w:rPr>
        <w:fldChar w:fldCharType="end"/>
      </w:r>
      <w:r w:rsidR="00203F72" w:rsidRPr="00687BCD">
        <w:rPr>
          <w:rFonts w:hint="eastAsia"/>
        </w:rPr>
        <w:t>我國制憲經過歷程表</w:t>
      </w:r>
      <w:r w:rsidR="00203F72" w:rsidRPr="00687BCD">
        <w:footnoteReference w:id="4"/>
      </w:r>
      <w:r w:rsidR="00193290" w:rsidRPr="0065661E">
        <w:rPr>
          <w:rFonts w:hint="eastAsia"/>
          <w:color w:val="FFFFFF" w:themeColor="background1"/>
        </w:rPr>
        <w:t>◇◆</w:t>
      </w:r>
    </w:p>
    <w:tbl>
      <w:tblPr>
        <w:tblW w:w="7371" w:type="dxa"/>
        <w:tblCellSpacing w:w="15" w:type="dxa"/>
        <w:tblInd w:w="655"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851"/>
        <w:gridCol w:w="1134"/>
        <w:gridCol w:w="2268"/>
        <w:gridCol w:w="3118"/>
      </w:tblGrid>
      <w:tr w:rsidR="00203F72" w:rsidRPr="00A53581" w14:paraId="71B58CD5" w14:textId="77777777" w:rsidTr="00E108EB">
        <w:trPr>
          <w:tblCellSpacing w:w="15" w:type="dxa"/>
        </w:trPr>
        <w:tc>
          <w:tcPr>
            <w:tcW w:w="7311" w:type="dxa"/>
            <w:gridSpan w:val="4"/>
            <w:tcBorders>
              <w:top w:val="single" w:sz="6" w:space="0" w:color="AAAAAA"/>
              <w:left w:val="single" w:sz="4" w:space="0" w:color="auto"/>
              <w:bottom w:val="single" w:sz="4" w:space="0" w:color="auto"/>
              <w:right w:val="single" w:sz="4" w:space="0" w:color="auto"/>
            </w:tcBorders>
            <w:shd w:val="clear" w:color="auto" w:fill="FAF0FA"/>
            <w:vAlign w:val="center"/>
            <w:hideMark/>
          </w:tcPr>
          <w:p w14:paraId="35860689" w14:textId="77777777" w:rsidR="00203F72" w:rsidRPr="00A53581" w:rsidRDefault="00203F72" w:rsidP="00D87D91">
            <w:pPr>
              <w:rPr>
                <w:rFonts w:cs="新細明體"/>
              </w:rPr>
            </w:pPr>
            <w:r w:rsidRPr="00A53581">
              <w:lastRenderedPageBreak/>
              <w:t>三十五年憲法制定經過</w:t>
            </w:r>
          </w:p>
        </w:tc>
      </w:tr>
      <w:tr w:rsidR="00203F72" w:rsidRPr="00A53581" w14:paraId="3C751D17" w14:textId="77777777"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CE8CA21" w14:textId="77777777" w:rsidR="00203F72" w:rsidRPr="00A53581" w:rsidRDefault="00203F72" w:rsidP="00D87D91">
            <w:pPr>
              <w:rPr>
                <w:rFonts w:cs="新細明體"/>
              </w:rPr>
            </w:pPr>
            <w:r w:rsidRPr="00A53581">
              <w:t>會議</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99F2C7A" w14:textId="77777777" w:rsidR="00203F72" w:rsidRPr="00A53581" w:rsidRDefault="00203F72" w:rsidP="00D87D91">
            <w:pPr>
              <w:rPr>
                <w:rFonts w:cs="新細明體"/>
              </w:rPr>
            </w:pPr>
            <w:r w:rsidRPr="00A53581">
              <w:t>時間</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A7A3205" w14:textId="77777777" w:rsidR="00203F72" w:rsidRPr="00A53581" w:rsidRDefault="00203F72" w:rsidP="00D87D91">
            <w:pPr>
              <w:rPr>
                <w:rFonts w:cs="新細明體"/>
              </w:rPr>
            </w:pPr>
            <w:r w:rsidRPr="00A53581">
              <w:t>參與黨派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CDD9A4B" w14:textId="77777777" w:rsidR="00203F72" w:rsidRPr="00A53581" w:rsidRDefault="00203F72" w:rsidP="00D87D91">
            <w:pPr>
              <w:rPr>
                <w:rFonts w:cs="新細明體"/>
              </w:rPr>
            </w:pPr>
            <w:r w:rsidRPr="00A53581">
              <w:t>內容結果</w:t>
            </w:r>
          </w:p>
        </w:tc>
      </w:tr>
      <w:tr w:rsidR="00203F72" w:rsidRPr="00A53581" w14:paraId="0E002E44" w14:textId="77777777"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3E9E022" w14:textId="77777777" w:rsidR="00203F72" w:rsidRPr="00A53581" w:rsidRDefault="00203F72" w:rsidP="00D87D91">
            <w:pPr>
              <w:rPr>
                <w:rFonts w:cs="新細明體"/>
              </w:rPr>
            </w:pPr>
            <w:r w:rsidRPr="00A53581">
              <w:t>憲草起草委員會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E485DF4" w14:textId="77777777" w:rsidR="00203F72" w:rsidRPr="00A53581" w:rsidRDefault="00203F72" w:rsidP="00D87D91">
            <w:pPr>
              <w:rPr>
                <w:rFonts w:cs="新細明體"/>
              </w:rPr>
            </w:pPr>
            <w:r w:rsidRPr="00A53581">
              <w:t>1936.5</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9493F2B" w14:textId="77777777" w:rsidR="00203F72" w:rsidRPr="00A53581" w:rsidRDefault="00203F72" w:rsidP="00D87D91">
            <w:pPr>
              <w:rPr>
                <w:rFonts w:cs="新細明體"/>
              </w:rPr>
            </w:pPr>
            <w:r w:rsidRPr="00A53581">
              <w:t>國民黨</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A093342" w14:textId="77777777" w:rsidR="00203F72" w:rsidRPr="00A53581" w:rsidRDefault="00203F72" w:rsidP="00D87D91">
            <w:pPr>
              <w:rPr>
                <w:rFonts w:cs="新細明體"/>
              </w:rPr>
            </w:pPr>
            <w:r w:rsidRPr="00A53581">
              <w:t>五五憲法草案</w:t>
            </w:r>
          </w:p>
        </w:tc>
      </w:tr>
      <w:tr w:rsidR="00203F72" w:rsidRPr="00A53581" w14:paraId="3CF67BCE" w14:textId="77777777"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7FB9E87" w14:textId="77777777" w:rsidR="00203F72" w:rsidRPr="00A53581" w:rsidRDefault="00203F72" w:rsidP="00D87D91">
            <w:pPr>
              <w:rPr>
                <w:rFonts w:cs="新細明體"/>
              </w:rPr>
            </w:pPr>
            <w:r w:rsidRPr="00A53581">
              <w:t>憲政期成會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AFD60E2" w14:textId="77777777" w:rsidR="00203F72" w:rsidRPr="00A53581" w:rsidRDefault="00203F72" w:rsidP="00D87D91">
            <w:pPr>
              <w:rPr>
                <w:rFonts w:cs="新細明體"/>
              </w:rPr>
            </w:pPr>
            <w:r w:rsidRPr="00A53581">
              <w:t>1940.3</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57A8EA6" w14:textId="77777777" w:rsidR="00203F72" w:rsidRPr="00A53581" w:rsidRDefault="00203F72" w:rsidP="00D87D91">
            <w:pPr>
              <w:rPr>
                <w:rFonts w:cs="新細明體"/>
              </w:rPr>
            </w:pPr>
            <w:r w:rsidRPr="00A53581">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9BF5A41" w14:textId="77777777" w:rsidR="00203F72" w:rsidRPr="00A53581" w:rsidRDefault="00203F72" w:rsidP="00D87D91">
            <w:pPr>
              <w:rPr>
                <w:rFonts w:cs="新細明體"/>
              </w:rPr>
            </w:pPr>
            <w:r w:rsidRPr="00A53581">
              <w:t>期成憲草</w:t>
            </w:r>
          </w:p>
        </w:tc>
      </w:tr>
      <w:tr w:rsidR="00203F72" w:rsidRPr="00A53581" w14:paraId="1F379DE5" w14:textId="77777777"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6F861FB" w14:textId="77777777" w:rsidR="00203F72" w:rsidRPr="00A53581" w:rsidRDefault="00203F72" w:rsidP="00D87D91">
            <w:pPr>
              <w:rPr>
                <w:rFonts w:cs="新細明體"/>
              </w:rPr>
            </w:pPr>
            <w:r w:rsidRPr="00A53581">
              <w:t>憲政實施協進會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1D3B35A" w14:textId="77777777" w:rsidR="00203F72" w:rsidRPr="00A53581" w:rsidRDefault="00203F72" w:rsidP="00D87D91">
            <w:pPr>
              <w:rPr>
                <w:rFonts w:cs="新細明體"/>
              </w:rPr>
            </w:pPr>
            <w:r w:rsidRPr="00A53581">
              <w:t>1943.11</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1943D05" w14:textId="77777777" w:rsidR="00203F72" w:rsidRPr="00A53581" w:rsidRDefault="00203F72" w:rsidP="00D87D91">
            <w:pPr>
              <w:rPr>
                <w:rFonts w:cs="新細明體"/>
              </w:rPr>
            </w:pPr>
            <w:r w:rsidRPr="00A53581">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EF59A92" w14:textId="77777777" w:rsidR="00203F72" w:rsidRPr="00A53581" w:rsidRDefault="00203F72" w:rsidP="00D87D91">
            <w:pPr>
              <w:rPr>
                <w:rFonts w:cs="新細明體"/>
              </w:rPr>
            </w:pPr>
            <w:r w:rsidRPr="00A53581">
              <w:t>對五五憲草修改意見</w:t>
            </w:r>
          </w:p>
        </w:tc>
      </w:tr>
      <w:tr w:rsidR="00203F72" w:rsidRPr="00A53581" w14:paraId="32571B29" w14:textId="77777777"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3B12AC7" w14:textId="77777777" w:rsidR="00203F72" w:rsidRPr="00A53581" w:rsidRDefault="00203F72" w:rsidP="00D87D91">
            <w:pPr>
              <w:rPr>
                <w:rFonts w:cs="新細明體"/>
              </w:rPr>
            </w:pPr>
            <w:r w:rsidRPr="00A53581">
              <w:t>政治協商會議</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EC2E88D" w14:textId="77777777" w:rsidR="00203F72" w:rsidRPr="00A53581" w:rsidRDefault="00203F72" w:rsidP="00D87D91">
            <w:pPr>
              <w:rPr>
                <w:rFonts w:cs="新細明體"/>
              </w:rPr>
            </w:pPr>
            <w:r w:rsidRPr="00A53581">
              <w:t>1946.1</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66039A9" w14:textId="77777777" w:rsidR="00203F72" w:rsidRPr="00A53581" w:rsidRDefault="00203F72" w:rsidP="00D87D91">
            <w:pPr>
              <w:rPr>
                <w:rFonts w:cs="新細明體"/>
              </w:rPr>
            </w:pPr>
            <w:r w:rsidRPr="00A53581">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490CEB7" w14:textId="77777777" w:rsidR="00203F72" w:rsidRPr="00A53581" w:rsidRDefault="00203F72" w:rsidP="00D87D91">
            <w:pPr>
              <w:rPr>
                <w:rFonts w:cs="新細明體"/>
              </w:rPr>
            </w:pPr>
            <w:r w:rsidRPr="00A53581">
              <w:t>政協憲草決議案</w:t>
            </w:r>
          </w:p>
        </w:tc>
      </w:tr>
      <w:tr w:rsidR="00203F72" w:rsidRPr="00A53581" w14:paraId="693522EC" w14:textId="77777777"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2B9B977" w14:textId="77777777" w:rsidR="00203F72" w:rsidRPr="00A53581" w:rsidRDefault="00203F72" w:rsidP="00D87D91">
            <w:pPr>
              <w:rPr>
                <w:rFonts w:cs="新細明體"/>
              </w:rPr>
            </w:pPr>
            <w:r w:rsidRPr="00A53581">
              <w:t>憲草審議委員會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A0CE9F4" w14:textId="77777777" w:rsidR="00203F72" w:rsidRPr="00A53581" w:rsidRDefault="00203F72" w:rsidP="00D87D91">
            <w:pPr>
              <w:rPr>
                <w:rFonts w:cs="新細明體"/>
              </w:rPr>
            </w:pPr>
            <w:r w:rsidRPr="00A53581">
              <w:t>1946.4</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C77FE06" w14:textId="77777777" w:rsidR="00203F72" w:rsidRPr="00A53581" w:rsidRDefault="00203F72" w:rsidP="00D87D91">
            <w:pPr>
              <w:rPr>
                <w:rFonts w:cs="新細明體"/>
              </w:rPr>
            </w:pPr>
            <w:r w:rsidRPr="00A53581">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258F17D" w14:textId="77777777" w:rsidR="00203F72" w:rsidRPr="00A53581" w:rsidRDefault="00203F72" w:rsidP="00D87D91">
            <w:pPr>
              <w:rPr>
                <w:rFonts w:cs="新細明體"/>
              </w:rPr>
            </w:pPr>
            <w:r w:rsidRPr="00A53581">
              <w:t>政協憲草</w:t>
            </w:r>
          </w:p>
        </w:tc>
      </w:tr>
      <w:tr w:rsidR="00203F72" w:rsidRPr="00A53581" w14:paraId="5BCC0469" w14:textId="77777777"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689A1C2" w14:textId="77777777" w:rsidR="00203F72" w:rsidRPr="00A53581" w:rsidRDefault="00203F72" w:rsidP="00D87D91">
            <w:pPr>
              <w:rPr>
                <w:rFonts w:cs="新細明體"/>
              </w:rPr>
            </w:pPr>
            <w:r w:rsidRPr="00A53581">
              <w:t>制憲國民大會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90F6A23" w14:textId="77777777" w:rsidR="00203F72" w:rsidRPr="00A53581" w:rsidRDefault="00203F72" w:rsidP="00D87D91">
            <w:pPr>
              <w:rPr>
                <w:rFonts w:cs="新細明體"/>
              </w:rPr>
            </w:pPr>
            <w:r w:rsidRPr="00A53581">
              <w:t>1946.12</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F67B8AD" w14:textId="77777777" w:rsidR="00203F72" w:rsidRPr="00A53581" w:rsidRDefault="00203F72" w:rsidP="00D87D91">
            <w:pPr>
              <w:rPr>
                <w:rFonts w:cs="新細明體"/>
              </w:rPr>
            </w:pPr>
            <w:r w:rsidRPr="00A53581">
              <w:t>國民黨，民社黨，青年黨</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9249746" w14:textId="77777777" w:rsidR="00203F72" w:rsidRPr="00A53581" w:rsidRDefault="00203F72" w:rsidP="00D87D91">
            <w:pPr>
              <w:rPr>
                <w:rFonts w:cs="新細明體"/>
              </w:rPr>
            </w:pPr>
            <w:r w:rsidRPr="00A53581">
              <w:t>政協憲草小改後，成為正式憲法</w:t>
            </w:r>
          </w:p>
        </w:tc>
      </w:tr>
    </w:tbl>
    <w:p w14:paraId="3CD221E3" w14:textId="77777777"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35" w:history="1">
        <w:r w:rsidR="00203F72" w:rsidRPr="00A53581">
          <w:rPr>
            <w:rStyle w:val="a5"/>
          </w:rPr>
          <w:t>https://zh.wikipedia.org/wiki/%E4%B8%AD%E8%8F%AF%E6%B0%91%E5%9C%8B%E6%86%B2%E6%B3%95</w:t>
        </w:r>
      </w:hyperlink>
      <w:r w:rsidR="00203F72" w:rsidRPr="00A53581">
        <w:t>。</w:t>
      </w:r>
    </w:p>
    <w:p w14:paraId="646AD0F6" w14:textId="77777777" w:rsidR="00953151" w:rsidRDefault="00B03E84" w:rsidP="00D87D91">
      <w:pPr>
        <w:rPr>
          <w:rFonts w:ascii="新細明體" w:hAnsi="新細明體"/>
        </w:rPr>
      </w:pPr>
      <w:r>
        <w:rPr>
          <w:rFonts w:ascii="新細明體" w:hAnsi="新細明體"/>
        </w:rPr>
        <w:t xml:space="preserve">　　</w:t>
      </w:r>
      <w:r w:rsidR="00203F72" w:rsidRPr="00A53581">
        <w:rPr>
          <w:rFonts w:ascii="新細明體" w:hAnsi="新細明體"/>
        </w:rPr>
        <w:t>中華民國憲法全文一百七十五條，分十四章：</w:t>
      </w:r>
      <w:hyperlink r:id="rId36" w:anchor="a1" w:history="1">
        <w:r w:rsidR="00203F72" w:rsidRPr="003D02B1">
          <w:rPr>
            <w:rStyle w:val="a5"/>
          </w:rPr>
          <w:t>第一章</w:t>
        </w:r>
      </w:hyperlink>
      <w:r w:rsidR="00203F72" w:rsidRPr="00A53581">
        <w:rPr>
          <w:rFonts w:ascii="新細明體" w:hAnsi="新細明體"/>
        </w:rPr>
        <w:t>、總綱；</w:t>
      </w:r>
      <w:hyperlink r:id="rId37" w:anchor="a7" w:history="1">
        <w:r w:rsidR="00203F72" w:rsidRPr="003D02B1">
          <w:rPr>
            <w:rStyle w:val="a5"/>
          </w:rPr>
          <w:t>第二章</w:t>
        </w:r>
      </w:hyperlink>
      <w:r w:rsidR="00203F72" w:rsidRPr="00A53581">
        <w:rPr>
          <w:rFonts w:ascii="新細明體" w:hAnsi="新細明體"/>
        </w:rPr>
        <w:t>、人民之權利義務；</w:t>
      </w:r>
      <w:hyperlink r:id="rId38" w:anchor="a25" w:history="1">
        <w:r w:rsidR="00203F72" w:rsidRPr="003D02B1">
          <w:rPr>
            <w:rStyle w:val="a5"/>
          </w:rPr>
          <w:t>第三章</w:t>
        </w:r>
      </w:hyperlink>
      <w:r w:rsidR="00203F72" w:rsidRPr="00A53581">
        <w:rPr>
          <w:rFonts w:ascii="新細明體" w:hAnsi="新細明體"/>
        </w:rPr>
        <w:t>、國民大會；</w:t>
      </w:r>
      <w:hyperlink r:id="rId39" w:anchor="a35" w:history="1">
        <w:r w:rsidR="00203F72" w:rsidRPr="003D02B1">
          <w:rPr>
            <w:rStyle w:val="a5"/>
          </w:rPr>
          <w:t>第四章</w:t>
        </w:r>
      </w:hyperlink>
      <w:r w:rsidR="00203F72" w:rsidRPr="00A53581">
        <w:rPr>
          <w:rFonts w:ascii="新細明體" w:hAnsi="新細明體"/>
        </w:rPr>
        <w:t>、總統；</w:t>
      </w:r>
      <w:hyperlink r:id="rId40" w:anchor="a53" w:history="1">
        <w:r w:rsidR="00203F72" w:rsidRPr="003D02B1">
          <w:rPr>
            <w:rStyle w:val="a5"/>
          </w:rPr>
          <w:t>第五章</w:t>
        </w:r>
      </w:hyperlink>
      <w:r w:rsidR="00203F72" w:rsidRPr="00A53581">
        <w:rPr>
          <w:rFonts w:ascii="新細明體" w:hAnsi="新細明體"/>
        </w:rPr>
        <w:t>、行政院之組織及權限；</w:t>
      </w:r>
      <w:hyperlink r:id="rId41" w:anchor="a62" w:history="1">
        <w:r w:rsidR="00203F72" w:rsidRPr="003D02B1">
          <w:rPr>
            <w:rStyle w:val="a5"/>
          </w:rPr>
          <w:t>第六章</w:t>
        </w:r>
      </w:hyperlink>
      <w:r w:rsidR="00203F72" w:rsidRPr="00A53581">
        <w:rPr>
          <w:rFonts w:ascii="新細明體" w:hAnsi="新細明體"/>
        </w:rPr>
        <w:t>、立法院之組織及權限；</w:t>
      </w:r>
      <w:hyperlink r:id="rId42" w:anchor="a77" w:history="1">
        <w:r w:rsidR="00203F72" w:rsidRPr="003D02B1">
          <w:rPr>
            <w:rStyle w:val="a5"/>
          </w:rPr>
          <w:t>第七章</w:t>
        </w:r>
      </w:hyperlink>
      <w:r w:rsidR="00203F72" w:rsidRPr="00A53581">
        <w:rPr>
          <w:rFonts w:ascii="新細明體" w:hAnsi="新細明體"/>
        </w:rPr>
        <w:t>、司法院之組織及權限；</w:t>
      </w:r>
      <w:hyperlink r:id="rId43" w:anchor="a83" w:history="1">
        <w:r w:rsidR="00203F72" w:rsidRPr="003D02B1">
          <w:rPr>
            <w:rStyle w:val="a5"/>
          </w:rPr>
          <w:t>第八章</w:t>
        </w:r>
      </w:hyperlink>
      <w:r w:rsidR="00203F72" w:rsidRPr="00A53581">
        <w:rPr>
          <w:rFonts w:ascii="新細明體" w:hAnsi="新細明體"/>
        </w:rPr>
        <w:t>、考試院之組織及權限；</w:t>
      </w:r>
      <w:hyperlink r:id="rId44" w:anchor="a90" w:history="1">
        <w:r w:rsidR="00203F72" w:rsidRPr="003D02B1">
          <w:rPr>
            <w:rStyle w:val="a5"/>
          </w:rPr>
          <w:t>第九章</w:t>
        </w:r>
      </w:hyperlink>
      <w:r w:rsidR="00203F72" w:rsidRPr="00A53581">
        <w:rPr>
          <w:rFonts w:ascii="新細明體" w:hAnsi="新細明體"/>
        </w:rPr>
        <w:t>、監察院之組織及權限；</w:t>
      </w:r>
      <w:hyperlink r:id="rId45" w:anchor="a107" w:history="1">
        <w:r w:rsidR="00203F72" w:rsidRPr="003D02B1">
          <w:rPr>
            <w:rStyle w:val="a5"/>
          </w:rPr>
          <w:t>第十章</w:t>
        </w:r>
      </w:hyperlink>
      <w:r w:rsidR="00203F72" w:rsidRPr="00A53581">
        <w:rPr>
          <w:rFonts w:ascii="新細明體" w:hAnsi="新細明體"/>
        </w:rPr>
        <w:t>、中央與地方權限；第</w:t>
      </w:r>
      <w:hyperlink r:id="rId46" w:anchor="a112" w:history="1">
        <w:r w:rsidR="00203F72" w:rsidRPr="003D02B1">
          <w:rPr>
            <w:rStyle w:val="a5"/>
          </w:rPr>
          <w:t>十一</w:t>
        </w:r>
      </w:hyperlink>
      <w:r w:rsidR="00203F72" w:rsidRPr="00A53581">
        <w:rPr>
          <w:rFonts w:ascii="新細明體" w:hAnsi="新細明體"/>
        </w:rPr>
        <w:t>章、地方制度；第</w:t>
      </w:r>
      <w:hyperlink r:id="rId47" w:anchor="a129" w:history="1">
        <w:r w:rsidR="00203F72" w:rsidRPr="003D02B1">
          <w:rPr>
            <w:rStyle w:val="a5"/>
          </w:rPr>
          <w:t>十二</w:t>
        </w:r>
      </w:hyperlink>
      <w:r w:rsidR="00203F72" w:rsidRPr="00A53581">
        <w:rPr>
          <w:rFonts w:ascii="新細明體" w:hAnsi="新細明體"/>
        </w:rPr>
        <w:t>章、規定選舉罷免創制複決權之行使；第</w:t>
      </w:r>
      <w:hyperlink r:id="rId48" w:anchor="a137" w:history="1">
        <w:r w:rsidR="00203F72" w:rsidRPr="003D02B1">
          <w:rPr>
            <w:rStyle w:val="a5"/>
          </w:rPr>
          <w:t>十三</w:t>
        </w:r>
      </w:hyperlink>
      <w:r w:rsidR="00203F72" w:rsidRPr="00A53581">
        <w:rPr>
          <w:rFonts w:ascii="新細明體" w:hAnsi="新細明體"/>
        </w:rPr>
        <w:t>章、基本國策；第</w:t>
      </w:r>
      <w:hyperlink r:id="rId49" w:anchor="a170" w:history="1">
        <w:r w:rsidR="00203F72" w:rsidRPr="003D02B1">
          <w:rPr>
            <w:rStyle w:val="a5"/>
          </w:rPr>
          <w:t>十四</w:t>
        </w:r>
      </w:hyperlink>
      <w:r w:rsidR="00203F72" w:rsidRPr="00A53581">
        <w:rPr>
          <w:rFonts w:ascii="新細明體" w:hAnsi="新細明體"/>
        </w:rPr>
        <w:t>章、憲法之施行及修改。</w:t>
      </w:r>
    </w:p>
    <w:p w14:paraId="70DF62DA" w14:textId="77777777" w:rsidR="00953151" w:rsidRDefault="00B03E84" w:rsidP="00D87D91">
      <w:r>
        <w:t xml:space="preserve">　　</w:t>
      </w:r>
      <w:r w:rsidR="00203F72" w:rsidRPr="00A53581">
        <w:t>民國</w:t>
      </w:r>
      <w:r w:rsidR="00203F72" w:rsidRPr="00A53581">
        <w:t>37</w:t>
      </w:r>
      <w:r w:rsidR="00203F72" w:rsidRPr="00A53581">
        <w:t>年</w:t>
      </w:r>
      <w:r w:rsidR="00203F72" w:rsidRPr="00A53581">
        <w:t>4</w:t>
      </w:r>
      <w:r w:rsidR="00203F72" w:rsidRPr="00A53581">
        <w:t>月</w:t>
      </w:r>
      <w:r w:rsidR="00203F72" w:rsidRPr="00A53581">
        <w:t>18</w:t>
      </w:r>
      <w:r w:rsidR="00203F72" w:rsidRPr="00A53581">
        <w:t>日因國家遭到存亡關鍵性之危機，國民大會為適應當局局勢之變化，並為保有憲法之尊嚴，制定「動員戡亂時期臨時條款」，於民國</w:t>
      </w:r>
      <w:r w:rsidR="00203F72" w:rsidRPr="00A53581">
        <w:t>37</w:t>
      </w:r>
      <w:r w:rsidR="00203F72" w:rsidRPr="00A53581">
        <w:t>年</w:t>
      </w:r>
      <w:r w:rsidR="00203F72" w:rsidRPr="00A53581">
        <w:t>5</w:t>
      </w:r>
      <w:r w:rsidR="00203F72" w:rsidRPr="00A53581">
        <w:t>月</w:t>
      </w:r>
      <w:r w:rsidR="00203F72" w:rsidRPr="00A53581">
        <w:t>10</w:t>
      </w:r>
      <w:r w:rsidR="00203F72" w:rsidRPr="00A53581">
        <w:t>日施行，賦予政府緊急應變能力，以應付動亂局勢，挽救國家危機。該條款並經民國</w:t>
      </w:r>
      <w:r w:rsidR="00203F72" w:rsidRPr="00A53581">
        <w:t>49</w:t>
      </w:r>
      <w:r w:rsidR="00203F72" w:rsidRPr="00A53581">
        <w:t>年</w:t>
      </w:r>
      <w:r w:rsidR="00203F72" w:rsidRPr="00A53581">
        <w:t>3</w:t>
      </w:r>
      <w:r w:rsidR="00203F72" w:rsidRPr="00A53581">
        <w:t>月、民國</w:t>
      </w:r>
      <w:r w:rsidR="00203F72" w:rsidRPr="00A53581">
        <w:t>55</w:t>
      </w:r>
      <w:r w:rsidR="00203F72" w:rsidRPr="00A53581">
        <w:t>年</w:t>
      </w:r>
      <w:r w:rsidR="00203F72" w:rsidRPr="00A53581">
        <w:t>2</w:t>
      </w:r>
      <w:r w:rsidR="00203F72" w:rsidRPr="00A53581">
        <w:t>月、民國</w:t>
      </w:r>
      <w:r w:rsidR="00203F72" w:rsidRPr="00A53581">
        <w:t>55</w:t>
      </w:r>
      <w:r w:rsidR="00203F72" w:rsidRPr="00A53581">
        <w:t>年</w:t>
      </w:r>
      <w:r w:rsidR="00203F72" w:rsidRPr="00A53581">
        <w:t>3</w:t>
      </w:r>
      <w:r w:rsidR="00203F72" w:rsidRPr="00A53581">
        <w:t>月、民國</w:t>
      </w:r>
      <w:r w:rsidR="00203F72" w:rsidRPr="00A53581">
        <w:t>61</w:t>
      </w:r>
      <w:r w:rsidR="00203F72" w:rsidRPr="00A53581">
        <w:t>年四次增修，至民國</w:t>
      </w:r>
      <w:r w:rsidR="00203F72" w:rsidRPr="00A53581">
        <w:t>80</w:t>
      </w:r>
      <w:r w:rsidR="00203F72" w:rsidRPr="00A53581">
        <w:t>年</w:t>
      </w:r>
      <w:r w:rsidR="00203F72" w:rsidRPr="00A53581">
        <w:t>4</w:t>
      </w:r>
      <w:r w:rsidR="00203F72" w:rsidRPr="00A53581">
        <w:t>月</w:t>
      </w:r>
      <w:r w:rsidR="00203F72" w:rsidRPr="00A53581">
        <w:t>22</w:t>
      </w:r>
      <w:r w:rsidR="00203F72" w:rsidRPr="00A53581">
        <w:t>日國民大會議決廢止，民國</w:t>
      </w:r>
      <w:r w:rsidR="00203F72" w:rsidRPr="00A53581">
        <w:t>80</w:t>
      </w:r>
      <w:r w:rsidR="00203F72" w:rsidRPr="00A53581">
        <w:t>年民國</w:t>
      </w:r>
      <w:r w:rsidR="00203F72" w:rsidRPr="00A53581">
        <w:t>5</w:t>
      </w:r>
      <w:r w:rsidR="00203F72" w:rsidRPr="00A53581">
        <w:t>月</w:t>
      </w:r>
      <w:r w:rsidR="00203F72" w:rsidRPr="00A53581">
        <w:t>1</w:t>
      </w:r>
      <w:r w:rsidR="00203F72" w:rsidRPr="00A53581">
        <w:t>日總統公布，中止我國動員戡亂時期。</w:t>
      </w:r>
    </w:p>
    <w:p w14:paraId="44E03E34" w14:textId="77777777" w:rsidR="00953151" w:rsidRDefault="00B03E84" w:rsidP="00D87D91">
      <w:r>
        <w:t xml:space="preserve">　　</w:t>
      </w:r>
      <w:r w:rsidR="00203F72" w:rsidRPr="00A53581">
        <w:t>國父　孫中山先生主張：「憲法者，國家之構成法，亦即人民權利之保障書。」可知憲法為國家基本大法，規定國家基本國策、政府之組織、權限，人民之權利、義務，並為一切法律之母法，享有崇高之地位，對一國發展影響深遠。但因為時代風氣、政經局勢之演化，對於憲法之詮釋，也應當與時俱進。我國憲法之固有性及穩定性，使憲法修改不易，難以因應社會態勢之變化，故有所不足，必須加以增修。因此乃有增修條款，增修條款之目的乃為弭補憲法周延性、時代性而產生。</w:t>
      </w:r>
    </w:p>
    <w:p w14:paraId="69BF3837" w14:textId="77777777" w:rsidR="00953151" w:rsidRPr="00D87D91" w:rsidRDefault="00B03E84" w:rsidP="00D87D91">
      <w:r w:rsidRPr="00687BCD">
        <w:t xml:space="preserve">　　</w:t>
      </w:r>
      <w:r w:rsidR="00203F72" w:rsidRPr="00687BCD">
        <w:t>於民國</w:t>
      </w:r>
      <w:r w:rsidR="00203F72" w:rsidRPr="00687BCD">
        <w:t>80</w:t>
      </w:r>
      <w:r w:rsidR="00203F72" w:rsidRPr="00687BCD">
        <w:t>年</w:t>
      </w:r>
      <w:r w:rsidR="00203F72" w:rsidRPr="00687BCD">
        <w:t>4</w:t>
      </w:r>
      <w:r w:rsidR="00203F72" w:rsidRPr="00687BCD">
        <w:t>月</w:t>
      </w:r>
      <w:r w:rsidR="00203F72" w:rsidRPr="00687BCD">
        <w:t>8</w:t>
      </w:r>
      <w:r w:rsidR="00203F72" w:rsidRPr="00687BCD">
        <w:t>日，國民大會通過中華民國憲法增修條文十條，並廢止動員戡亂時期臨</w:t>
      </w:r>
      <w:r w:rsidR="00203F72" w:rsidRPr="00D87D91">
        <w:t>時條款。於民國</w:t>
      </w:r>
      <w:r w:rsidR="00203F72" w:rsidRPr="00D87D91">
        <w:t>81</w:t>
      </w:r>
      <w:r w:rsidR="00203F72" w:rsidRPr="00D87D91">
        <w:t>年，我國進行第二次增修，增訂憲法增修條</w:t>
      </w:r>
      <w:r w:rsidR="00314F65" w:rsidRPr="00D87D91">
        <w:t>文</w:t>
      </w:r>
      <w:hyperlink r:id="rId50" w:anchor="b11" w:history="1">
        <w:r w:rsidR="00314F65" w:rsidRPr="00D87D91">
          <w:t>第</w:t>
        </w:r>
        <w:r w:rsidR="00314F65" w:rsidRPr="00D87D91">
          <w:t>11</w:t>
        </w:r>
        <w:r w:rsidR="00314F65" w:rsidRPr="00D87D91">
          <w:t>條</w:t>
        </w:r>
      </w:hyperlink>
      <w:r w:rsidR="00203F72" w:rsidRPr="00D87D91">
        <w:t>至第十八條。於民國</w:t>
      </w:r>
      <w:r w:rsidR="00203F72" w:rsidRPr="00D87D91">
        <w:t>83</w:t>
      </w:r>
      <w:r w:rsidR="00203F72" w:rsidRPr="00D87D91">
        <w:t>年，我國進行第三次增修，增訂憲法增修條文十條，並將過去兩次通過之增修條文重新檢討整理為十條。於民國</w:t>
      </w:r>
      <w:r w:rsidR="00203F72" w:rsidRPr="00D87D91">
        <w:t>86</w:t>
      </w:r>
      <w:r w:rsidR="00203F72" w:rsidRPr="00D87D91">
        <w:t>年，我國則進行第四次增修；於民國</w:t>
      </w:r>
      <w:r w:rsidR="00203F72" w:rsidRPr="00D87D91">
        <w:t>88</w:t>
      </w:r>
      <w:r w:rsidR="00203F72" w:rsidRPr="00D87D91">
        <w:t>年，我國進行憲法第五次增修；有關於第六次憲法方面，於民國</w:t>
      </w:r>
      <w:r w:rsidR="00203F72" w:rsidRPr="00D87D91">
        <w:t>89</w:t>
      </w:r>
      <w:r w:rsidR="00203F72" w:rsidRPr="00D87D91">
        <w:t>年</w:t>
      </w:r>
      <w:r w:rsidR="00203F72" w:rsidRPr="00D87D91">
        <w:t>4</w:t>
      </w:r>
      <w:r w:rsidR="00203F72" w:rsidRPr="00D87D91">
        <w:t>月間，第三屆國民大會第五次會議將第五次憲法增修條文以全文修正模式予以修正，修正後，憲法增修條文全文共計十一條，於民國</w:t>
      </w:r>
      <w:r w:rsidR="00203F72" w:rsidRPr="00D87D91">
        <w:t>89</w:t>
      </w:r>
      <w:r w:rsidR="00203F72" w:rsidRPr="00D87D91">
        <w:t>年</w:t>
      </w:r>
      <w:r w:rsidR="00203F72" w:rsidRPr="00D87D91">
        <w:t>4</w:t>
      </w:r>
      <w:r w:rsidR="00203F72" w:rsidRPr="00D87D91">
        <w:t>月</w:t>
      </w:r>
      <w:r w:rsidR="00203F72" w:rsidRPr="00D87D91">
        <w:t>24</w:t>
      </w:r>
      <w:r w:rsidR="00203F72" w:rsidRPr="00D87D91">
        <w:t>日議決通過，民國</w:t>
      </w:r>
      <w:r w:rsidR="00203F72" w:rsidRPr="00D87D91">
        <w:t>89</w:t>
      </w:r>
      <w:r w:rsidR="00203F72" w:rsidRPr="00D87D91">
        <w:t>年</w:t>
      </w:r>
      <w:r w:rsidR="00203F72" w:rsidRPr="00D87D91">
        <w:t>4</w:t>
      </w:r>
      <w:r w:rsidR="00203F72" w:rsidRPr="00D87D91">
        <w:t>月</w:t>
      </w:r>
      <w:r w:rsidR="00203F72" w:rsidRPr="00D87D91">
        <w:t>25</w:t>
      </w:r>
      <w:r w:rsidR="00203F72" w:rsidRPr="00D87D91">
        <w:t>日由總</w:t>
      </w:r>
      <w:r w:rsidR="00203F72" w:rsidRPr="00D87D91">
        <w:lastRenderedPageBreak/>
        <w:t>統公布，係為第六次憲法增修之歷史；於民國</w:t>
      </w:r>
      <w:r w:rsidR="00203F72" w:rsidRPr="00D87D91">
        <w:t>94</w:t>
      </w:r>
      <w:r w:rsidR="00203F72" w:rsidRPr="00D87D91">
        <w:t>年，我國進行憲法第七次之增修，由總統公布施行。故，我國憲法為了配合社會變遷、時代需求，共經過七次增修。</w:t>
      </w:r>
    </w:p>
    <w:p w14:paraId="67DC8253" w14:textId="77777777" w:rsidR="00953151" w:rsidRDefault="00B03E84" w:rsidP="00D87D91">
      <w:r>
        <w:t xml:space="preserve">　　</w:t>
      </w:r>
      <w:r w:rsidR="00203F72" w:rsidRPr="00A53581">
        <w:t>憲法前言，雖僅</w:t>
      </w:r>
      <w:r w:rsidR="00203F72" w:rsidRPr="00A53581">
        <w:t>66</w:t>
      </w:r>
      <w:r w:rsidR="00203F72" w:rsidRPr="00A53581">
        <w:t>字，但明白宣示我國制憲機關為國民大會，國民大會制憲之權利係來自于全體國民之託付，由全體國民選出之機關制定憲法，又稱為「民定憲法」。同時也表明只有民選出之國民大會，係中華民國政府惟一具有制憲權、修憲權之單位。而我國憲法制定之依據，前言也明確表示係國父孫中山先生之遺教，亦即國父遺教為制定、修改、解釋憲法之最高依據。依建國大綱第一條之規定：「國民政府本三民主義、五權憲法，以建設中華民國」。國父遺囑、建國方略、建國大綱、三民主義及第一次全國代表大會宣言，這些均為國父孫中山先生之遺教，也均為制憲之依據，及憲法之基本精神。</w:t>
      </w:r>
      <w:r w:rsidR="00193290" w:rsidRPr="0065661E">
        <w:rPr>
          <w:rFonts w:hint="eastAsia"/>
          <w:color w:val="FFFFFF" w:themeColor="background1"/>
        </w:rPr>
        <w:t>◇◆</w:t>
      </w:r>
    </w:p>
    <w:p w14:paraId="11809D05" w14:textId="77777777" w:rsidR="00203F72" w:rsidRDefault="00203F72" w:rsidP="00D87D91">
      <w:r>
        <w:rPr>
          <w:noProof/>
        </w:rPr>
        <w:drawing>
          <wp:inline distT="0" distB="0" distL="0" distR="0" wp14:anchorId="65467927" wp14:editId="5BA2C5CD">
            <wp:extent cx="5130800" cy="3792855"/>
            <wp:effectExtent l="0" t="0" r="0" b="0"/>
            <wp:docPr id="14" name="圖片 14" descr="%E6%B0%91%E5%9B%BD%E5%AE%AA%E6%B3%95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6%B0%91%E5%9B%BD%E5%AE%AA%E6%B3%95_cop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30800" cy="3792855"/>
                    </a:xfrm>
                    <a:prstGeom prst="rect">
                      <a:avLst/>
                    </a:prstGeom>
                    <a:noFill/>
                    <a:ln>
                      <a:noFill/>
                    </a:ln>
                  </pic:spPr>
                </pic:pic>
              </a:graphicData>
            </a:graphic>
          </wp:inline>
        </w:drawing>
      </w:r>
    </w:p>
    <w:p w14:paraId="0E148DC1" w14:textId="42530621" w:rsidR="00203F72" w:rsidRPr="00E108EB" w:rsidRDefault="00B03E84" w:rsidP="00E108EB">
      <w:r w:rsidRPr="00E108EB">
        <w:rPr>
          <w:rFonts w:hint="eastAsia"/>
        </w:rPr>
        <w:t>【</w:t>
      </w:r>
      <w:r w:rsidRPr="00E108EB">
        <w:t>figure</w:t>
      </w:r>
      <w:r w:rsidR="005E23E3" w:rsidRPr="00E108EB">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11</w:t>
      </w:r>
      <w:r w:rsidR="00076467">
        <w:rPr>
          <w:noProof/>
        </w:rPr>
        <w:fldChar w:fldCharType="end"/>
      </w:r>
      <w:r w:rsidR="00203F72" w:rsidRPr="00E108EB">
        <w:rPr>
          <w:rFonts w:hint="eastAsia"/>
        </w:rPr>
        <w:t>民國三十五年制憲之時中華民國憲法架構之示意圖</w:t>
      </w:r>
    </w:p>
    <w:p w14:paraId="458EDCC9" w14:textId="77777777" w:rsidR="00953151" w:rsidRPr="00E108EB" w:rsidRDefault="00B03E84" w:rsidP="00E108EB">
      <w:r w:rsidRPr="00E108EB">
        <w:rPr>
          <w:rFonts w:hint="eastAsia"/>
        </w:rPr>
        <w:t>【資料來源】</w:t>
      </w:r>
      <w:r w:rsidR="00203F72" w:rsidRPr="00E108EB">
        <w:rPr>
          <w:rFonts w:hint="eastAsia"/>
        </w:rPr>
        <w:t>維基百科</w:t>
      </w:r>
      <w:r w:rsidR="00203F72" w:rsidRPr="00E108EB">
        <w:rPr>
          <w:rFonts w:hint="eastAsia"/>
        </w:rPr>
        <w:t>(2015)</w:t>
      </w:r>
      <w:r w:rsidR="00203F72" w:rsidRPr="00E108EB">
        <w:rPr>
          <w:rFonts w:hint="eastAsia"/>
        </w:rPr>
        <w:t>，中華民國憲法，上網瀏覽時日：</w:t>
      </w:r>
      <w:r w:rsidR="00203F72" w:rsidRPr="00E108EB">
        <w:rPr>
          <w:rFonts w:hint="eastAsia"/>
        </w:rPr>
        <w:t>2015/08/02</w:t>
      </w:r>
      <w:r w:rsidR="00203F72" w:rsidRPr="00E108EB">
        <w:rPr>
          <w:rFonts w:hint="eastAsia"/>
        </w:rPr>
        <w:t>，</w:t>
      </w:r>
      <w:hyperlink r:id="rId52" w:history="1">
        <w:r w:rsidR="00203F72" w:rsidRPr="00E108EB">
          <w:rPr>
            <w:rStyle w:val="a5"/>
          </w:rPr>
          <w:t>https://zh.wikipedia.org/wiki/%E4%B8%AD%E8%8F%AF%E6%B0%91%E5%9C%8B%E6%86%B2%E6%B3%95</w:t>
        </w:r>
      </w:hyperlink>
      <w:r w:rsidR="00203F72" w:rsidRPr="00E108EB">
        <w:t>。</w:t>
      </w:r>
    </w:p>
    <w:p w14:paraId="14B8E34A" w14:textId="77777777" w:rsidR="00953151" w:rsidRPr="00F962A7" w:rsidRDefault="00B03E84" w:rsidP="00F962A7">
      <w:r w:rsidRPr="00F962A7">
        <w:t xml:space="preserve">　　</w:t>
      </w:r>
      <w:r w:rsidR="00203F72" w:rsidRPr="00F962A7">
        <w:t>至於制憲之目的乃為鞏固國權，保障民權，奠定社會安寧，增進人民福利。此謂鞏固國權，乃為達到國父孫中山先生民族主義之理念。保障民權為達到國父孫中山先生民權主義之理念，奠定社會安寧為達到國父孫中山先生民生主義之理念。至於頒行全國，永矢咸遵之意思，亦即全國人民不論社經地位如何，上至總統下至販夫走族一</w:t>
      </w:r>
      <w:r w:rsidR="003E240E">
        <w:t>視</w:t>
      </w:r>
      <w:r w:rsidR="00203F72" w:rsidRPr="00F962A7">
        <w:t>同仁，在任何情況都須遵守，不得違背憲法之規定</w:t>
      </w:r>
      <w:r w:rsidR="00203F72" w:rsidRPr="00F962A7">
        <w:footnoteReference w:id="5"/>
      </w:r>
      <w:r w:rsidR="00203F72" w:rsidRPr="00F962A7">
        <w:t>。</w:t>
      </w:r>
    </w:p>
    <w:p w14:paraId="13F44050" w14:textId="77777777" w:rsidR="00545D58" w:rsidRDefault="00545D58" w:rsidP="00E108EB">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1C53F9E8" w14:textId="77777777" w:rsidR="00953151" w:rsidRDefault="00203F72" w:rsidP="00767F37">
      <w:pPr>
        <w:pStyle w:val="2"/>
      </w:pPr>
      <w:bookmarkStart w:id="26" w:name="_第一章_總綱"/>
      <w:bookmarkEnd w:id="26"/>
      <w:r w:rsidRPr="00A53581">
        <w:lastRenderedPageBreak/>
        <w:t>第一章</w:t>
      </w:r>
      <w:r w:rsidRPr="00A53581">
        <w:t xml:space="preserve"> </w:t>
      </w:r>
      <w:r w:rsidRPr="00A53581">
        <w:t>總綱</w:t>
      </w:r>
    </w:p>
    <w:bookmarkStart w:id="27" w:name="_第_1_條中華民國基於三民主義，為民有民治民享之民主共和國。"/>
    <w:bookmarkEnd w:id="27"/>
    <w:p w14:paraId="5CA6FFA3" w14:textId="77777777" w:rsidR="00953151" w:rsidRDefault="00182A9D"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憲法</w:instrText>
      </w:r>
      <w:r w:rsidR="00DB62EB">
        <w:instrText>.htm</w:instrText>
      </w:r>
      <w:r w:rsidR="00346D06">
        <w:instrText>" \l "a1"</w:instrText>
      </w:r>
      <w:r>
        <w:fldChar w:fldCharType="separate"/>
      </w:r>
      <w:r w:rsidR="005D5A46">
        <w:rPr>
          <w:rStyle w:val="a5"/>
          <w:rFonts w:ascii="Arial Unicode MS" w:hAnsi="Arial Unicode MS"/>
        </w:rPr>
        <w:t>第</w:t>
      </w:r>
      <w:r w:rsidR="00203F72" w:rsidRPr="00CC3396">
        <w:rPr>
          <w:rStyle w:val="a5"/>
          <w:rFonts w:ascii="Arial Unicode MS" w:hAnsi="Arial Unicode MS"/>
        </w:rPr>
        <w:t>1</w:t>
      </w:r>
      <w:r w:rsidR="005D5A46">
        <w:rPr>
          <w:rStyle w:val="a5"/>
          <w:rFonts w:ascii="Arial Unicode MS" w:hAnsi="Arial Unicode MS"/>
        </w:rPr>
        <w:t>條</w:t>
      </w:r>
      <w:r>
        <w:rPr>
          <w:rStyle w:val="a5"/>
          <w:rFonts w:ascii="Arial Unicode MS" w:hAnsi="Arial Unicode MS"/>
        </w:rPr>
        <w:fldChar w:fldCharType="end"/>
      </w:r>
      <w:r w:rsidR="00203F72" w:rsidRPr="00A53581">
        <w:t>中華民國基於三民主義，為民有民治民享之民主共和國。</w:t>
      </w:r>
    </w:p>
    <w:p w14:paraId="0DA9FF90" w14:textId="77777777" w:rsidR="00203F72" w:rsidRPr="00A53581" w:rsidRDefault="00B03E84" w:rsidP="00D87D91">
      <w:r>
        <w:t>【內容解析】</w:t>
      </w:r>
    </w:p>
    <w:p w14:paraId="4DBDE7A4" w14:textId="77777777" w:rsidR="00953151" w:rsidRDefault="00B03E84" w:rsidP="00D87D91">
      <w:r>
        <w:t xml:space="preserve">　　</w:t>
      </w:r>
      <w:r w:rsidR="00203F72" w:rsidRPr="00A53581">
        <w:t>本條文主要揭櫫中華民國之核心價值，係實施民主政治，為「民有、民治、民享」或主權在民之民主共和國。</w:t>
      </w:r>
      <w:r w:rsidR="00203F72" w:rsidRPr="00A53581">
        <w:rPr>
          <w:kern w:val="0"/>
        </w:rPr>
        <w:t>一般依國家主權所在，即國家統治權之主體為何人，來區分國體，此又稱為</w:t>
      </w:r>
      <w:r w:rsidR="00203F72" w:rsidRPr="00A53581">
        <w:t>「主權之體」。以</w:t>
      </w:r>
      <w:r w:rsidR="00203F72" w:rsidRPr="00A53581">
        <w:rPr>
          <w:kern w:val="0"/>
        </w:rPr>
        <w:t>主權行使之形式，即統治權行使之方法，稱政體，此又稱為</w:t>
      </w:r>
      <w:r w:rsidR="00203F72" w:rsidRPr="00A53581">
        <w:t>「主體之用」。國體約分為君主國與共和國、專制國與立憲國、單一國與複合國及永久中立國。</w:t>
      </w:r>
    </w:p>
    <w:p w14:paraId="096C5E7D" w14:textId="77777777" w:rsidR="00441941" w:rsidRDefault="00441941" w:rsidP="00D87D91"/>
    <w:p w14:paraId="1D71A812" w14:textId="0E42C5CC" w:rsidR="00203F72" w:rsidRPr="00AA59B6" w:rsidRDefault="00B03E84" w:rsidP="00D87D91">
      <w:r w:rsidRPr="00AA59B6">
        <w:t>【</w:t>
      </w:r>
      <w:r w:rsidRPr="00AA59B6">
        <w:t>table</w:t>
      </w:r>
      <w:r w:rsidR="005E23E3" w:rsidRPr="00AA59B6">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w:t>
      </w:r>
      <w:r w:rsidR="00076467">
        <w:rPr>
          <w:noProof/>
        </w:rPr>
        <w:fldChar w:fldCharType="end"/>
      </w:r>
      <w:r w:rsidR="00203F72" w:rsidRPr="00AA59B6">
        <w:t>憲法之基本原則</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9"/>
        <w:gridCol w:w="2830"/>
        <w:gridCol w:w="2636"/>
      </w:tblGrid>
      <w:tr w:rsidR="00203F72" w:rsidRPr="00A53581" w14:paraId="4D1FAFF1" w14:textId="77777777" w:rsidTr="00203F72">
        <w:tc>
          <w:tcPr>
            <w:tcW w:w="1543" w:type="pct"/>
            <w:tcBorders>
              <w:top w:val="single" w:sz="4" w:space="0" w:color="auto"/>
              <w:left w:val="single" w:sz="4" w:space="0" w:color="auto"/>
              <w:bottom w:val="single" w:sz="4" w:space="0" w:color="auto"/>
              <w:right w:val="single" w:sz="4" w:space="0" w:color="auto"/>
            </w:tcBorders>
            <w:shd w:val="clear" w:color="auto" w:fill="auto"/>
          </w:tcPr>
          <w:p w14:paraId="2C497908" w14:textId="77777777" w:rsidR="00203F72" w:rsidRPr="00A53581" w:rsidRDefault="00203F72" w:rsidP="00D87D91">
            <w:r w:rsidRPr="00A53581">
              <w:t>民主共和國原則</w:t>
            </w:r>
          </w:p>
        </w:tc>
        <w:tc>
          <w:tcPr>
            <w:tcW w:w="3457" w:type="pct"/>
            <w:gridSpan w:val="2"/>
            <w:tcBorders>
              <w:top w:val="single" w:sz="4" w:space="0" w:color="auto"/>
              <w:left w:val="single" w:sz="4" w:space="0" w:color="auto"/>
              <w:bottom w:val="single" w:sz="4" w:space="0" w:color="auto"/>
              <w:right w:val="single" w:sz="4" w:space="0" w:color="auto"/>
            </w:tcBorders>
            <w:shd w:val="clear" w:color="auto" w:fill="auto"/>
          </w:tcPr>
          <w:p w14:paraId="19B4EE1E" w14:textId="77777777" w:rsidR="00203F72" w:rsidRPr="00AA59B6" w:rsidRDefault="00203F72" w:rsidP="00D87D91">
            <w:r w:rsidRPr="00AA59B6">
              <w:t>憲法</w:t>
            </w:r>
            <w:hyperlink r:id="rId53" w:anchor="a1" w:history="1">
              <w:r w:rsidRPr="00AA59B6">
                <w:rPr>
                  <w:rStyle w:val="a5"/>
                </w:rPr>
                <w:t>第1條</w:t>
              </w:r>
            </w:hyperlink>
          </w:p>
        </w:tc>
      </w:tr>
      <w:tr w:rsidR="00203F72" w:rsidRPr="00A53581" w14:paraId="279229F5" w14:textId="77777777" w:rsidTr="00203F72">
        <w:tc>
          <w:tcPr>
            <w:tcW w:w="1543" w:type="pct"/>
            <w:tcBorders>
              <w:top w:val="single" w:sz="4" w:space="0" w:color="auto"/>
              <w:left w:val="single" w:sz="4" w:space="0" w:color="auto"/>
              <w:bottom w:val="single" w:sz="4" w:space="0" w:color="auto"/>
              <w:right w:val="single" w:sz="4" w:space="0" w:color="auto"/>
            </w:tcBorders>
            <w:shd w:val="clear" w:color="auto" w:fill="auto"/>
          </w:tcPr>
          <w:p w14:paraId="53AD8F7C" w14:textId="77777777" w:rsidR="00203F72" w:rsidRPr="00A53581" w:rsidRDefault="00203F72" w:rsidP="00D87D91">
            <w:r w:rsidRPr="00A53581">
              <w:t>國民主權原則</w:t>
            </w:r>
          </w:p>
        </w:tc>
        <w:tc>
          <w:tcPr>
            <w:tcW w:w="3457" w:type="pct"/>
            <w:gridSpan w:val="2"/>
            <w:tcBorders>
              <w:top w:val="single" w:sz="4" w:space="0" w:color="auto"/>
              <w:left w:val="single" w:sz="4" w:space="0" w:color="auto"/>
              <w:bottom w:val="single" w:sz="4" w:space="0" w:color="auto"/>
              <w:right w:val="single" w:sz="4" w:space="0" w:color="auto"/>
            </w:tcBorders>
            <w:shd w:val="clear" w:color="auto" w:fill="auto"/>
          </w:tcPr>
          <w:p w14:paraId="44666735" w14:textId="77777777" w:rsidR="00203F72" w:rsidRPr="00AA59B6" w:rsidRDefault="00203F72" w:rsidP="00D87D91">
            <w:r w:rsidRPr="00AA59B6">
              <w:t>憲法</w:t>
            </w:r>
            <w:hyperlink r:id="rId54" w:anchor="a2" w:history="1">
              <w:r w:rsidR="00687BCD" w:rsidRPr="00AA59B6">
                <w:rPr>
                  <w:rStyle w:val="a5"/>
                </w:rPr>
                <w:t>第2條</w:t>
              </w:r>
            </w:hyperlink>
          </w:p>
        </w:tc>
      </w:tr>
      <w:tr w:rsidR="00203F72" w:rsidRPr="00A53581" w14:paraId="1FADD684" w14:textId="77777777" w:rsidTr="00203F72">
        <w:tc>
          <w:tcPr>
            <w:tcW w:w="1543" w:type="pct"/>
            <w:vMerge w:val="restart"/>
            <w:tcBorders>
              <w:top w:val="single" w:sz="4" w:space="0" w:color="auto"/>
              <w:left w:val="single" w:sz="4" w:space="0" w:color="auto"/>
              <w:bottom w:val="single" w:sz="4" w:space="0" w:color="auto"/>
              <w:right w:val="single" w:sz="4" w:space="0" w:color="auto"/>
            </w:tcBorders>
            <w:shd w:val="clear" w:color="auto" w:fill="auto"/>
          </w:tcPr>
          <w:p w14:paraId="2D605D58" w14:textId="77777777" w:rsidR="00203F72" w:rsidRPr="00A53581" w:rsidRDefault="00203F72" w:rsidP="00D87D91">
            <w:r w:rsidRPr="00A53581">
              <w:t>法治國原則</w:t>
            </w:r>
          </w:p>
        </w:tc>
        <w:tc>
          <w:tcPr>
            <w:tcW w:w="1790" w:type="pct"/>
            <w:vMerge w:val="restart"/>
            <w:tcBorders>
              <w:top w:val="single" w:sz="4" w:space="0" w:color="auto"/>
              <w:left w:val="single" w:sz="4" w:space="0" w:color="auto"/>
              <w:bottom w:val="single" w:sz="4" w:space="0" w:color="auto"/>
              <w:right w:val="single" w:sz="4" w:space="0" w:color="auto"/>
            </w:tcBorders>
            <w:shd w:val="clear" w:color="auto" w:fill="auto"/>
          </w:tcPr>
          <w:p w14:paraId="64E9BB6E" w14:textId="77777777" w:rsidR="00203F72" w:rsidRPr="00A53581" w:rsidRDefault="00203F72" w:rsidP="00D87D91">
            <w:r w:rsidRPr="00A53581">
              <w:t>權力分立與制衡原則</w:t>
            </w:r>
          </w:p>
        </w:tc>
        <w:tc>
          <w:tcPr>
            <w:tcW w:w="1667" w:type="pct"/>
            <w:tcBorders>
              <w:top w:val="single" w:sz="4" w:space="0" w:color="auto"/>
              <w:left w:val="single" w:sz="4" w:space="0" w:color="auto"/>
              <w:bottom w:val="single" w:sz="4" w:space="0" w:color="auto"/>
              <w:right w:val="single" w:sz="4" w:space="0" w:color="auto"/>
            </w:tcBorders>
            <w:shd w:val="clear" w:color="auto" w:fill="auto"/>
          </w:tcPr>
          <w:p w14:paraId="75C84938" w14:textId="77777777" w:rsidR="00203F72" w:rsidRPr="00A53581" w:rsidRDefault="00203F72" w:rsidP="00D87D91">
            <w:r w:rsidRPr="00A53581">
              <w:t>(</w:t>
            </w:r>
            <w:r w:rsidRPr="00A53581">
              <w:t>水平</w:t>
            </w:r>
            <w:r w:rsidRPr="00A53581">
              <w:t>)</w:t>
            </w:r>
            <w:r w:rsidRPr="00A53581">
              <w:t>五權分立</w:t>
            </w:r>
          </w:p>
        </w:tc>
      </w:tr>
      <w:tr w:rsidR="00203F72" w:rsidRPr="00A53581" w14:paraId="7D7DEE78" w14:textId="77777777"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14:paraId="6B0B5274" w14:textId="77777777" w:rsidR="00203F72" w:rsidRPr="00A53581" w:rsidRDefault="00203F72" w:rsidP="00D87D91"/>
        </w:tc>
        <w:tc>
          <w:tcPr>
            <w:tcW w:w="1790" w:type="pct"/>
            <w:vMerge/>
            <w:tcBorders>
              <w:top w:val="single" w:sz="4" w:space="0" w:color="auto"/>
              <w:left w:val="single" w:sz="4" w:space="0" w:color="auto"/>
              <w:bottom w:val="single" w:sz="4" w:space="0" w:color="auto"/>
              <w:right w:val="single" w:sz="4" w:space="0" w:color="auto"/>
            </w:tcBorders>
            <w:shd w:val="clear" w:color="auto" w:fill="auto"/>
          </w:tcPr>
          <w:p w14:paraId="2C671771" w14:textId="77777777" w:rsidR="00203F72" w:rsidRPr="00A53581" w:rsidRDefault="00203F72" w:rsidP="00D87D91"/>
        </w:tc>
        <w:tc>
          <w:tcPr>
            <w:tcW w:w="1667" w:type="pct"/>
            <w:tcBorders>
              <w:top w:val="single" w:sz="4" w:space="0" w:color="auto"/>
              <w:left w:val="single" w:sz="4" w:space="0" w:color="auto"/>
              <w:bottom w:val="single" w:sz="4" w:space="0" w:color="auto"/>
              <w:right w:val="single" w:sz="4" w:space="0" w:color="auto"/>
            </w:tcBorders>
            <w:shd w:val="clear" w:color="auto" w:fill="auto"/>
          </w:tcPr>
          <w:p w14:paraId="09FB01BA" w14:textId="77777777" w:rsidR="00203F72" w:rsidRPr="00A53581" w:rsidRDefault="00203F72" w:rsidP="00D87D91">
            <w:r w:rsidRPr="00A53581">
              <w:t>（垂直）地方自治</w:t>
            </w:r>
          </w:p>
        </w:tc>
      </w:tr>
      <w:tr w:rsidR="00203F72" w:rsidRPr="00A53581" w14:paraId="4A4EDBA3" w14:textId="77777777"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14:paraId="633270BF" w14:textId="77777777" w:rsidR="00203F72" w:rsidRPr="00A53581" w:rsidRDefault="00203F72" w:rsidP="00D87D91"/>
        </w:tc>
        <w:tc>
          <w:tcPr>
            <w:tcW w:w="1790" w:type="pct"/>
            <w:vMerge w:val="restart"/>
            <w:tcBorders>
              <w:top w:val="single" w:sz="4" w:space="0" w:color="auto"/>
              <w:left w:val="single" w:sz="4" w:space="0" w:color="auto"/>
              <w:bottom w:val="single" w:sz="4" w:space="0" w:color="auto"/>
              <w:right w:val="single" w:sz="4" w:space="0" w:color="auto"/>
            </w:tcBorders>
            <w:shd w:val="clear" w:color="auto" w:fill="auto"/>
          </w:tcPr>
          <w:p w14:paraId="211C32AB" w14:textId="77777777" w:rsidR="00203F72" w:rsidRPr="00A53581" w:rsidRDefault="00203F72" w:rsidP="00D87D91">
            <w:r w:rsidRPr="00A53581">
              <w:t>法治主義</w:t>
            </w:r>
          </w:p>
        </w:tc>
        <w:tc>
          <w:tcPr>
            <w:tcW w:w="1667" w:type="pct"/>
            <w:tcBorders>
              <w:top w:val="single" w:sz="4" w:space="0" w:color="auto"/>
              <w:left w:val="single" w:sz="4" w:space="0" w:color="auto"/>
              <w:bottom w:val="single" w:sz="4" w:space="0" w:color="auto"/>
              <w:right w:val="single" w:sz="4" w:space="0" w:color="auto"/>
            </w:tcBorders>
            <w:shd w:val="clear" w:color="auto" w:fill="auto"/>
          </w:tcPr>
          <w:p w14:paraId="51D09772" w14:textId="77777777" w:rsidR="00203F72" w:rsidRPr="00A53581" w:rsidRDefault="00203F72" w:rsidP="00D87D91">
            <w:r w:rsidRPr="00A53581">
              <w:t>依法行政</w:t>
            </w:r>
          </w:p>
        </w:tc>
      </w:tr>
      <w:tr w:rsidR="00203F72" w:rsidRPr="00A53581" w14:paraId="006AC260" w14:textId="77777777"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14:paraId="4E4CD348" w14:textId="77777777" w:rsidR="00203F72" w:rsidRPr="00A53581" w:rsidRDefault="00203F72" w:rsidP="00D87D91"/>
        </w:tc>
        <w:tc>
          <w:tcPr>
            <w:tcW w:w="1790" w:type="pct"/>
            <w:vMerge/>
            <w:tcBorders>
              <w:top w:val="single" w:sz="4" w:space="0" w:color="auto"/>
              <w:left w:val="single" w:sz="4" w:space="0" w:color="auto"/>
              <w:bottom w:val="single" w:sz="4" w:space="0" w:color="auto"/>
              <w:right w:val="single" w:sz="4" w:space="0" w:color="auto"/>
            </w:tcBorders>
            <w:shd w:val="clear" w:color="auto" w:fill="auto"/>
          </w:tcPr>
          <w:p w14:paraId="74524D8A" w14:textId="77777777" w:rsidR="00203F72" w:rsidRPr="00A53581" w:rsidRDefault="00203F72" w:rsidP="00D87D91"/>
        </w:tc>
        <w:tc>
          <w:tcPr>
            <w:tcW w:w="1667" w:type="pct"/>
            <w:tcBorders>
              <w:top w:val="single" w:sz="4" w:space="0" w:color="auto"/>
              <w:left w:val="single" w:sz="4" w:space="0" w:color="auto"/>
              <w:bottom w:val="single" w:sz="4" w:space="0" w:color="auto"/>
              <w:right w:val="single" w:sz="4" w:space="0" w:color="auto"/>
            </w:tcBorders>
            <w:shd w:val="clear" w:color="auto" w:fill="auto"/>
          </w:tcPr>
          <w:p w14:paraId="1475A5EA" w14:textId="77777777" w:rsidR="00203F72" w:rsidRPr="00A53581" w:rsidRDefault="00203F72" w:rsidP="00D87D91">
            <w:r w:rsidRPr="00A53581">
              <w:t>依法立法</w:t>
            </w:r>
          </w:p>
        </w:tc>
      </w:tr>
      <w:tr w:rsidR="00203F72" w:rsidRPr="00A53581" w14:paraId="69C14C82" w14:textId="77777777"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14:paraId="1AAF917A" w14:textId="77777777" w:rsidR="00203F72" w:rsidRPr="00A53581" w:rsidRDefault="00203F72" w:rsidP="00D87D91"/>
        </w:tc>
        <w:tc>
          <w:tcPr>
            <w:tcW w:w="1790" w:type="pct"/>
            <w:vMerge/>
            <w:tcBorders>
              <w:top w:val="single" w:sz="4" w:space="0" w:color="auto"/>
              <w:left w:val="single" w:sz="4" w:space="0" w:color="auto"/>
              <w:bottom w:val="single" w:sz="4" w:space="0" w:color="auto"/>
              <w:right w:val="single" w:sz="4" w:space="0" w:color="auto"/>
            </w:tcBorders>
            <w:shd w:val="clear" w:color="auto" w:fill="auto"/>
          </w:tcPr>
          <w:p w14:paraId="5C6CBC6D" w14:textId="77777777" w:rsidR="00203F72" w:rsidRPr="00A53581" w:rsidRDefault="00203F72" w:rsidP="00D87D91"/>
        </w:tc>
        <w:tc>
          <w:tcPr>
            <w:tcW w:w="1667" w:type="pct"/>
            <w:tcBorders>
              <w:top w:val="single" w:sz="4" w:space="0" w:color="auto"/>
              <w:left w:val="single" w:sz="4" w:space="0" w:color="auto"/>
              <w:bottom w:val="single" w:sz="4" w:space="0" w:color="auto"/>
              <w:right w:val="single" w:sz="4" w:space="0" w:color="auto"/>
            </w:tcBorders>
            <w:shd w:val="clear" w:color="auto" w:fill="auto"/>
          </w:tcPr>
          <w:p w14:paraId="52859566" w14:textId="77777777" w:rsidR="00203F72" w:rsidRPr="00A53581" w:rsidRDefault="00203F72" w:rsidP="00D87D91">
            <w:r w:rsidRPr="00A53581">
              <w:t>依法審判</w:t>
            </w:r>
          </w:p>
        </w:tc>
      </w:tr>
      <w:tr w:rsidR="00203F72" w:rsidRPr="00A53581" w14:paraId="1ACE9F18" w14:textId="77777777" w:rsidTr="00203F72">
        <w:tc>
          <w:tcPr>
            <w:tcW w:w="1543" w:type="pct"/>
            <w:vMerge w:val="restart"/>
            <w:tcBorders>
              <w:top w:val="single" w:sz="4" w:space="0" w:color="auto"/>
              <w:left w:val="single" w:sz="4" w:space="0" w:color="auto"/>
              <w:bottom w:val="single" w:sz="4" w:space="0" w:color="auto"/>
              <w:right w:val="single" w:sz="4" w:space="0" w:color="auto"/>
            </w:tcBorders>
            <w:shd w:val="clear" w:color="auto" w:fill="auto"/>
          </w:tcPr>
          <w:p w14:paraId="37A10AFE" w14:textId="77777777" w:rsidR="00203F72" w:rsidRPr="00A53581" w:rsidRDefault="00203F72" w:rsidP="00D87D91">
            <w:r w:rsidRPr="00A53581">
              <w:t>社會國</w:t>
            </w:r>
            <w:r w:rsidRPr="00A53581">
              <w:t>(</w:t>
            </w:r>
            <w:r w:rsidRPr="00A53581">
              <w:t>福利國家</w:t>
            </w:r>
            <w:r w:rsidRPr="00A53581">
              <w:t>)</w:t>
            </w:r>
            <w:r w:rsidRPr="00A53581">
              <w:t>原則</w:t>
            </w:r>
          </w:p>
        </w:tc>
        <w:tc>
          <w:tcPr>
            <w:tcW w:w="1790" w:type="pct"/>
            <w:tcBorders>
              <w:top w:val="single" w:sz="4" w:space="0" w:color="auto"/>
              <w:left w:val="single" w:sz="4" w:space="0" w:color="auto"/>
              <w:bottom w:val="single" w:sz="4" w:space="0" w:color="auto"/>
              <w:right w:val="single" w:sz="4" w:space="0" w:color="auto"/>
            </w:tcBorders>
            <w:shd w:val="clear" w:color="auto" w:fill="auto"/>
          </w:tcPr>
          <w:p w14:paraId="382F7E1A" w14:textId="77777777" w:rsidR="00203F72" w:rsidRPr="00A53581" w:rsidRDefault="00203F72" w:rsidP="00D87D91">
            <w:r w:rsidRPr="00A53581">
              <w:t>國家基本義務</w:t>
            </w:r>
          </w:p>
        </w:tc>
        <w:tc>
          <w:tcPr>
            <w:tcW w:w="1667" w:type="pct"/>
            <w:tcBorders>
              <w:top w:val="single" w:sz="4" w:space="0" w:color="auto"/>
              <w:left w:val="single" w:sz="4" w:space="0" w:color="auto"/>
              <w:bottom w:val="single" w:sz="4" w:space="0" w:color="auto"/>
              <w:right w:val="single" w:sz="4" w:space="0" w:color="auto"/>
            </w:tcBorders>
            <w:shd w:val="clear" w:color="auto" w:fill="auto"/>
          </w:tcPr>
          <w:p w14:paraId="11057E65" w14:textId="77777777" w:rsidR="00203F72" w:rsidRPr="00A53581" w:rsidRDefault="00203F72" w:rsidP="00D87D91">
            <w:r w:rsidRPr="00A53581">
              <w:t>最低生活限度</w:t>
            </w:r>
          </w:p>
        </w:tc>
      </w:tr>
      <w:tr w:rsidR="00203F72" w:rsidRPr="00A53581" w14:paraId="4937EA32" w14:textId="77777777"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14:paraId="03BA0A41" w14:textId="77777777" w:rsidR="00203F72" w:rsidRPr="00A53581" w:rsidRDefault="00203F72" w:rsidP="00D87D91"/>
        </w:tc>
        <w:tc>
          <w:tcPr>
            <w:tcW w:w="1790" w:type="pct"/>
            <w:tcBorders>
              <w:top w:val="single" w:sz="4" w:space="0" w:color="auto"/>
              <w:left w:val="single" w:sz="4" w:space="0" w:color="auto"/>
              <w:bottom w:val="single" w:sz="4" w:space="0" w:color="auto"/>
              <w:right w:val="single" w:sz="4" w:space="0" w:color="auto"/>
            </w:tcBorders>
            <w:shd w:val="clear" w:color="auto" w:fill="auto"/>
          </w:tcPr>
          <w:p w14:paraId="13280B60" w14:textId="77777777" w:rsidR="00203F72" w:rsidRPr="00A53581" w:rsidRDefault="00203F72" w:rsidP="00D87D91">
            <w:r w:rsidRPr="00A53581">
              <w:t>國家更多義務</w:t>
            </w:r>
          </w:p>
        </w:tc>
        <w:tc>
          <w:tcPr>
            <w:tcW w:w="1667" w:type="pct"/>
            <w:tcBorders>
              <w:top w:val="single" w:sz="4" w:space="0" w:color="auto"/>
              <w:left w:val="single" w:sz="4" w:space="0" w:color="auto"/>
              <w:bottom w:val="single" w:sz="4" w:space="0" w:color="auto"/>
              <w:right w:val="single" w:sz="4" w:space="0" w:color="auto"/>
            </w:tcBorders>
            <w:shd w:val="clear" w:color="auto" w:fill="auto"/>
          </w:tcPr>
          <w:p w14:paraId="0249185A" w14:textId="77777777" w:rsidR="00203F72" w:rsidRPr="00A53581" w:rsidRDefault="00203F72" w:rsidP="00D87D91">
            <w:r w:rsidRPr="00A53581">
              <w:t>增進人民福利</w:t>
            </w:r>
          </w:p>
        </w:tc>
      </w:tr>
    </w:tbl>
    <w:p w14:paraId="01204E2C" w14:textId="77777777" w:rsidR="00203F72" w:rsidRPr="00A53581" w:rsidRDefault="00B03E84" w:rsidP="00D87D91">
      <w:r>
        <w:t>【</w:t>
      </w:r>
      <w:r w:rsidR="00203F72" w:rsidRPr="00A53581">
        <w:t>本表格</w:t>
      </w:r>
      <w:r>
        <w:t>資料來源】</w:t>
      </w:r>
    </w:p>
    <w:p w14:paraId="4F639579" w14:textId="77777777" w:rsidR="00203F72" w:rsidRPr="00A53581" w:rsidRDefault="00B03E84" w:rsidP="00D87D91">
      <w:r>
        <w:t xml:space="preserve">　　</w:t>
      </w:r>
      <w:r w:rsidR="00203F72" w:rsidRPr="00A53581">
        <w:t>吳庚</w:t>
      </w:r>
      <w:r w:rsidR="00203F72" w:rsidRPr="00A53581">
        <w:rPr>
          <w:rFonts w:hint="eastAsia"/>
        </w:rPr>
        <w:t>(2004)</w:t>
      </w:r>
      <w:r w:rsidR="00203F72" w:rsidRPr="00A53581">
        <w:t>，憲法的解釋與適用，三版，第</w:t>
      </w:r>
      <w:r w:rsidR="00203F72" w:rsidRPr="00A53581">
        <w:t>24~25</w:t>
      </w:r>
      <w:r w:rsidR="00203F72" w:rsidRPr="00A53581">
        <w:t>頁。</w:t>
      </w:r>
    </w:p>
    <w:p w14:paraId="3A6A123C" w14:textId="77777777" w:rsidR="0046135A" w:rsidRDefault="00B03E84" w:rsidP="00D87D91">
      <w:r>
        <w:t xml:space="preserve">　　</w:t>
      </w:r>
      <w:r w:rsidR="00203F72" w:rsidRPr="00A53581">
        <w:t>廖其偉</w:t>
      </w:r>
      <w:r w:rsidR="00203F72" w:rsidRPr="00A53581">
        <w:t>(2011)</w:t>
      </w:r>
      <w:r w:rsidR="00203F72" w:rsidRPr="00A53581">
        <w:t>，中華民國憲法，初版，台北市：鼎文</w:t>
      </w:r>
      <w:r w:rsidR="00203F72" w:rsidRPr="00A53581">
        <w:rPr>
          <w:rFonts w:hint="eastAsia"/>
        </w:rPr>
        <w:t>書局</w:t>
      </w:r>
      <w:r w:rsidR="00203F72" w:rsidRPr="00A53581">
        <w:t>，第</w:t>
      </w:r>
      <w:r w:rsidR="00203F72" w:rsidRPr="00A53581">
        <w:t>13</w:t>
      </w:r>
      <w:r w:rsidR="00203F72" w:rsidRPr="00A53581">
        <w:t>頁。</w:t>
      </w:r>
    </w:p>
    <w:p w14:paraId="124A4D7C" w14:textId="77777777" w:rsidR="0046135A" w:rsidRDefault="00B03E84" w:rsidP="00D87D91">
      <w:r>
        <w:t xml:space="preserve">　　</w:t>
      </w:r>
      <w:r w:rsidR="00203F72" w:rsidRPr="00A53581">
        <w:t>政體約分為君主制、共和制。依我國憲法</w:t>
      </w:r>
      <w:hyperlink r:id="rId55" w:anchor="a1" w:history="1">
        <w:r w:rsidR="00203F72" w:rsidRPr="004651E8">
          <w:rPr>
            <w:rStyle w:val="a5"/>
          </w:rPr>
          <w:t>第一條</w:t>
        </w:r>
      </w:hyperlink>
      <w:r w:rsidR="00203F72" w:rsidRPr="00A53581">
        <w:t>之規定，我國為共和國，且為民主政體。所謂民主政體，乃指主權在民之國家。主權在民之意義在於，國家為人民所有，政治為人民所共理，利益為人民所共用。並且連續憲法前言之規定「依據孫中山先生創立中華民國之遺教」，秉此一貫精神，創建中華民國。因此國父遺教為中華民國國體之所本。</w:t>
      </w:r>
    </w:p>
    <w:p w14:paraId="478B3EAD" w14:textId="77777777" w:rsidR="00953151" w:rsidRDefault="00B03E84" w:rsidP="00D87D91">
      <w:r>
        <w:rPr>
          <w:spacing w:val="24"/>
        </w:rPr>
        <w:t xml:space="preserve">　　</w:t>
      </w:r>
      <w:r w:rsidR="00203F72" w:rsidRPr="00A53581">
        <w:rPr>
          <w:spacing w:val="24"/>
        </w:rPr>
        <w:t>司法院釋字第</w:t>
      </w:r>
      <w:hyperlink r:id="rId56" w:anchor="r499" w:history="1">
        <w:r w:rsidR="00203F72" w:rsidRPr="00314F65">
          <w:rPr>
            <w:rStyle w:val="a5"/>
            <w:spacing w:val="24"/>
          </w:rPr>
          <w:t>四九九</w:t>
        </w:r>
      </w:hyperlink>
      <w:r w:rsidR="00203F72" w:rsidRPr="00A53581">
        <w:rPr>
          <w:spacing w:val="24"/>
        </w:rPr>
        <w:t>號解釋指出：「</w:t>
      </w:r>
      <w:r w:rsidR="00203F72" w:rsidRPr="00A53581">
        <w:t>憲法條文中，諸如：</w:t>
      </w:r>
      <w:hyperlink r:id="rId57" w:anchor="a1" w:history="1">
        <w:r w:rsidR="004651E8" w:rsidRPr="004651E8">
          <w:rPr>
            <w:rStyle w:val="a5"/>
          </w:rPr>
          <w:t>第一條</w:t>
        </w:r>
      </w:hyperlink>
      <w:r w:rsidR="00203F72" w:rsidRPr="00A53581">
        <w:t>所樹立之民主共和國原則、第二條國民主權原則、第二章保障人民權利、以及有關權力分立與制衡之原則，具有本質之重要性，亦為憲法整體基本原則之所在。基於前述規定所形成之自由民主憲政秩序，乃現行憲法賴以存立之基礎，凡憲法設置之機關均有遵守之義務。」故，本條之規定各級政府都應遵守，不得違背。</w:t>
      </w:r>
    </w:p>
    <w:p w14:paraId="43F04844" w14:textId="77777777" w:rsidR="00953151" w:rsidRDefault="00076467" w:rsidP="00767F37">
      <w:pPr>
        <w:pStyle w:val="2"/>
      </w:pPr>
      <w:hyperlink r:id="rId58" w:anchor="a2" w:history="1">
        <w:r w:rsidR="005D5A46">
          <w:rPr>
            <w:rStyle w:val="a5"/>
            <w:rFonts w:ascii="Arial Unicode MS" w:hAnsi="Arial Unicode MS"/>
          </w:rPr>
          <w:t>第</w:t>
        </w:r>
        <w:r w:rsidR="00203F72" w:rsidRPr="00CC3396">
          <w:rPr>
            <w:rStyle w:val="a5"/>
            <w:rFonts w:ascii="Arial Unicode MS" w:hAnsi="Arial Unicode MS"/>
          </w:rPr>
          <w:t>2</w:t>
        </w:r>
        <w:r w:rsidR="005D5A46">
          <w:rPr>
            <w:rStyle w:val="a5"/>
            <w:rFonts w:ascii="Arial Unicode MS" w:hAnsi="Arial Unicode MS"/>
          </w:rPr>
          <w:t>條</w:t>
        </w:r>
      </w:hyperlink>
      <w:r w:rsidR="00203F72" w:rsidRPr="00A53581">
        <w:t>中華民國之主權屬於國民全體。</w:t>
      </w:r>
    </w:p>
    <w:p w14:paraId="7411353D" w14:textId="77777777" w:rsidR="00203F72" w:rsidRPr="00A53581" w:rsidRDefault="00B03E84" w:rsidP="00D87D91">
      <w:r>
        <w:t>【內容解析】</w:t>
      </w:r>
    </w:p>
    <w:p w14:paraId="53344B83" w14:textId="77777777" w:rsidR="00953151" w:rsidRDefault="00B03E84" w:rsidP="00D87D91">
      <w:r>
        <w:t xml:space="preserve">　　</w:t>
      </w:r>
      <w:r w:rsidR="00203F72" w:rsidRPr="00A53581">
        <w:t>主權（</w:t>
      </w:r>
      <w:r w:rsidR="00203F72" w:rsidRPr="00A53581">
        <w:rPr>
          <w:rStyle w:val="langwithname"/>
          <w:rFonts w:ascii="新細明體" w:hAnsi="新細明體"/>
          <w:lang w:val="en"/>
        </w:rPr>
        <w:t>Sovereignty</w:t>
      </w:r>
      <w:r w:rsidR="00203F72" w:rsidRPr="00A53581">
        <w:t>）係指一個國家在其領土內可以獨立自主之處理其國內及國外事物之權力。一般而言，主權可分政權與治權，國父曾說：「治係管理眾人之事，集合管理眾人之事之大力量，便叫做治權，治權就可以說是政府權。」簡言之，政權屬於國民全體，治權屬於政府或治理。再詳細說明，政權可分選舉、罷免、創制、複決等四種；治權則可分行政、立法、司法、考試、監察等五種，或依國父之說明，係五權分立之精神。</w:t>
      </w:r>
    </w:p>
    <w:p w14:paraId="1841BF3A" w14:textId="77777777" w:rsidR="00953151" w:rsidRDefault="00B03E84" w:rsidP="00D87D91">
      <w:r>
        <w:t xml:space="preserve">　　</w:t>
      </w:r>
      <w:r w:rsidR="00203F72" w:rsidRPr="00A53581">
        <w:t>透過五權分立組成政府，同時有效治理國家。綜言之，主權乃一個國家最根本、最至高無上之權利，係單一、不可分、不可讓渡。必須擁有主權始可以稱為一個獨立自主之國家。而一個國家之主權究屬何人所有</w:t>
      </w:r>
      <w:r w:rsidR="00203F72" w:rsidRPr="00A53581">
        <w:t>?</w:t>
      </w:r>
      <w:r w:rsidR="00203F72" w:rsidRPr="00A53581">
        <w:t>通常規定在一國之憲法中，由我國憲法第二條之規定可以明白看出，我國係採主權在民之規定，何謂主權在民</w:t>
      </w:r>
      <w:r w:rsidR="00203F72" w:rsidRPr="00A53581">
        <w:t>?</w:t>
      </w:r>
      <w:r w:rsidR="00203F72" w:rsidRPr="00A53581">
        <w:t>係一國之主權屬於</w:t>
      </w:r>
      <w:r w:rsidR="00203F72" w:rsidRPr="00A53581">
        <w:lastRenderedPageBreak/>
        <w:t>全國人民所有，政府是人民選出來，代替人民行使主權之機構，而非主權擁有者。國民通常以選舉、罷免、創制、複決四種方式來行使其主權。</w:t>
      </w:r>
    </w:p>
    <w:p w14:paraId="2D51D75B" w14:textId="77777777" w:rsidR="00441941" w:rsidRDefault="00441941" w:rsidP="00D87D91"/>
    <w:p w14:paraId="37BF9C3F" w14:textId="14FC726E" w:rsidR="00203F72" w:rsidRPr="00F5469C" w:rsidRDefault="00B03E84" w:rsidP="00D87D91">
      <w:r w:rsidRPr="00F5469C">
        <w:t>【</w:t>
      </w:r>
      <w:r w:rsidRPr="00F5469C">
        <w:t>table</w:t>
      </w:r>
      <w:r w:rsidR="005E23E3" w:rsidRPr="00F5469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w:t>
      </w:r>
      <w:r w:rsidR="00076467">
        <w:rPr>
          <w:noProof/>
        </w:rPr>
        <w:fldChar w:fldCharType="end"/>
      </w:r>
      <w:r w:rsidR="00203F72" w:rsidRPr="00F5469C">
        <w:rPr>
          <w:rFonts w:hint="eastAsia"/>
        </w:rPr>
        <w:t>各方</w:t>
      </w:r>
      <w:r w:rsidR="00203F72" w:rsidRPr="00F5469C">
        <w:t>對於中華民國憲法之評價</w:t>
      </w:r>
      <w:r w:rsidR="00203F72" w:rsidRPr="00F5469C">
        <w:footnoteReference w:id="6"/>
      </w:r>
    </w:p>
    <w:tbl>
      <w:tblPr>
        <w:tblW w:w="0" w:type="auto"/>
        <w:tblInd w:w="182"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134"/>
        <w:gridCol w:w="992"/>
        <w:gridCol w:w="5765"/>
      </w:tblGrid>
      <w:tr w:rsidR="00203F72" w:rsidRPr="00A53581" w14:paraId="3A0DA6E0" w14:textId="77777777" w:rsidTr="00AA59B6">
        <w:tc>
          <w:tcPr>
            <w:tcW w:w="1134"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4CD9DCBA" w14:textId="77777777" w:rsidR="00203F72" w:rsidRPr="00A53581" w:rsidRDefault="00203F72" w:rsidP="00D87D91">
            <w:pPr>
              <w:rPr>
                <w:rFonts w:cs="新細明體"/>
              </w:rPr>
            </w:pPr>
            <w:r w:rsidRPr="00A53581">
              <w:t>各方</w:t>
            </w:r>
          </w:p>
        </w:tc>
        <w:tc>
          <w:tcPr>
            <w:tcW w:w="992"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5CF59C1E" w14:textId="77777777" w:rsidR="00203F72" w:rsidRPr="00A53581" w:rsidRDefault="00203F72" w:rsidP="00D87D91">
            <w:pPr>
              <w:rPr>
                <w:rFonts w:cs="新細明體"/>
              </w:rPr>
            </w:pPr>
            <w:r w:rsidRPr="00A53581">
              <w:t>地區</w:t>
            </w:r>
          </w:p>
        </w:tc>
        <w:tc>
          <w:tcPr>
            <w:tcW w:w="5765"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55730EDA" w14:textId="77777777" w:rsidR="00203F72" w:rsidRPr="00A53581" w:rsidRDefault="00203F72" w:rsidP="00D87D91">
            <w:pPr>
              <w:rPr>
                <w:rFonts w:cs="新細明體"/>
              </w:rPr>
            </w:pPr>
            <w:r w:rsidRPr="00A53581">
              <w:t>對於中華民國憲法之評價</w:t>
            </w:r>
          </w:p>
        </w:tc>
      </w:tr>
      <w:tr w:rsidR="00203F72" w:rsidRPr="00A53581" w14:paraId="53B56C59" w14:textId="77777777" w:rsidTr="00203F72">
        <w:tc>
          <w:tcPr>
            <w:tcW w:w="1134" w:type="dxa"/>
            <w:tcBorders>
              <w:top w:val="outset" w:sz="6" w:space="0" w:color="auto"/>
              <w:left w:val="outset" w:sz="6" w:space="0" w:color="auto"/>
              <w:bottom w:val="outset" w:sz="6" w:space="0" w:color="auto"/>
              <w:right w:val="outset" w:sz="6" w:space="0" w:color="auto"/>
            </w:tcBorders>
            <w:vAlign w:val="center"/>
            <w:hideMark/>
          </w:tcPr>
          <w:p w14:paraId="38C7A582" w14:textId="77777777" w:rsidR="00203F72" w:rsidRPr="00A53581" w:rsidRDefault="00203F72" w:rsidP="00D87D91">
            <w:pPr>
              <w:rPr>
                <w:rFonts w:cs="新細明體"/>
              </w:rPr>
            </w:pPr>
            <w:r w:rsidRPr="00A53581">
              <w:t>中共及民盟</w:t>
            </w:r>
          </w:p>
        </w:tc>
        <w:tc>
          <w:tcPr>
            <w:tcW w:w="992" w:type="dxa"/>
            <w:tcBorders>
              <w:top w:val="outset" w:sz="6" w:space="0" w:color="auto"/>
              <w:left w:val="outset" w:sz="6" w:space="0" w:color="auto"/>
              <w:bottom w:val="outset" w:sz="6" w:space="0" w:color="auto"/>
              <w:right w:val="outset" w:sz="6" w:space="0" w:color="auto"/>
            </w:tcBorders>
            <w:vAlign w:val="center"/>
            <w:hideMark/>
          </w:tcPr>
          <w:p w14:paraId="5E2546AA" w14:textId="77777777" w:rsidR="00203F72" w:rsidRPr="00A53581" w:rsidRDefault="00203F72" w:rsidP="00D87D91">
            <w:pPr>
              <w:rPr>
                <w:rFonts w:cs="新細明體"/>
              </w:rPr>
            </w:pPr>
            <w:r w:rsidRPr="00A53581">
              <w:t>中國大陸</w:t>
            </w:r>
          </w:p>
        </w:tc>
        <w:tc>
          <w:tcPr>
            <w:tcW w:w="5765" w:type="dxa"/>
            <w:tcBorders>
              <w:top w:val="outset" w:sz="6" w:space="0" w:color="auto"/>
              <w:left w:val="outset" w:sz="6" w:space="0" w:color="auto"/>
              <w:bottom w:val="outset" w:sz="6" w:space="0" w:color="auto"/>
              <w:right w:val="outset" w:sz="6" w:space="0" w:color="auto"/>
            </w:tcBorders>
            <w:vAlign w:val="center"/>
            <w:hideMark/>
          </w:tcPr>
          <w:p w14:paraId="5714CAD0" w14:textId="77777777" w:rsidR="00203F72" w:rsidRPr="00A53581" w:rsidRDefault="00203F72" w:rsidP="00D87D91">
            <w:pPr>
              <w:rPr>
                <w:rFonts w:cs="新細明體"/>
              </w:rPr>
            </w:pPr>
            <w:r w:rsidRPr="00A53581">
              <w:t>總統獨裁偽憲法，限制人權，違背政協決議</w:t>
            </w:r>
          </w:p>
        </w:tc>
      </w:tr>
      <w:tr w:rsidR="00203F72" w:rsidRPr="00A53581" w14:paraId="71E29102" w14:textId="77777777" w:rsidTr="00203F72">
        <w:tc>
          <w:tcPr>
            <w:tcW w:w="1134" w:type="dxa"/>
            <w:tcBorders>
              <w:top w:val="outset" w:sz="6" w:space="0" w:color="auto"/>
              <w:left w:val="outset" w:sz="6" w:space="0" w:color="auto"/>
              <w:bottom w:val="outset" w:sz="6" w:space="0" w:color="auto"/>
              <w:right w:val="outset" w:sz="6" w:space="0" w:color="auto"/>
            </w:tcBorders>
            <w:vAlign w:val="center"/>
            <w:hideMark/>
          </w:tcPr>
          <w:p w14:paraId="720A638D" w14:textId="77777777" w:rsidR="00203F72" w:rsidRPr="00A53581" w:rsidRDefault="00203F72" w:rsidP="00D87D91">
            <w:pPr>
              <w:rPr>
                <w:rFonts w:cs="新細明體"/>
              </w:rPr>
            </w:pPr>
            <w:r w:rsidRPr="00A53581">
              <w:t>美國政府</w:t>
            </w:r>
          </w:p>
        </w:tc>
        <w:tc>
          <w:tcPr>
            <w:tcW w:w="992" w:type="dxa"/>
            <w:tcBorders>
              <w:top w:val="outset" w:sz="6" w:space="0" w:color="auto"/>
              <w:left w:val="outset" w:sz="6" w:space="0" w:color="auto"/>
              <w:bottom w:val="outset" w:sz="6" w:space="0" w:color="auto"/>
              <w:right w:val="outset" w:sz="6" w:space="0" w:color="auto"/>
            </w:tcBorders>
            <w:vAlign w:val="center"/>
            <w:hideMark/>
          </w:tcPr>
          <w:p w14:paraId="139A1488" w14:textId="77777777" w:rsidR="00203F72" w:rsidRPr="00A53581" w:rsidRDefault="00203F72" w:rsidP="00D87D91">
            <w:pPr>
              <w:rPr>
                <w:rFonts w:cs="新細明體"/>
              </w:rPr>
            </w:pPr>
            <w:r w:rsidRPr="00A53581">
              <w:t>美國</w:t>
            </w:r>
          </w:p>
        </w:tc>
        <w:tc>
          <w:tcPr>
            <w:tcW w:w="5765" w:type="dxa"/>
            <w:tcBorders>
              <w:top w:val="outset" w:sz="6" w:space="0" w:color="auto"/>
              <w:left w:val="outset" w:sz="6" w:space="0" w:color="auto"/>
              <w:bottom w:val="outset" w:sz="6" w:space="0" w:color="auto"/>
              <w:right w:val="outset" w:sz="6" w:space="0" w:color="auto"/>
            </w:tcBorders>
            <w:vAlign w:val="center"/>
            <w:hideMark/>
          </w:tcPr>
          <w:p w14:paraId="19126612" w14:textId="77777777" w:rsidR="00203F72" w:rsidRPr="00A53581" w:rsidRDefault="00203F72" w:rsidP="00D87D91">
            <w:pPr>
              <w:rPr>
                <w:rFonts w:cs="新細明體"/>
              </w:rPr>
            </w:pPr>
            <w:r w:rsidRPr="00A53581">
              <w:t>「確已通過一部民主的憲法」，「主要方面均與政協會議決議之原則相符」</w:t>
            </w:r>
          </w:p>
        </w:tc>
      </w:tr>
      <w:tr w:rsidR="00203F72" w:rsidRPr="00A53581" w14:paraId="0CCE9FA9" w14:textId="77777777" w:rsidTr="00203F72">
        <w:tc>
          <w:tcPr>
            <w:tcW w:w="1134" w:type="dxa"/>
            <w:tcBorders>
              <w:top w:val="outset" w:sz="6" w:space="0" w:color="auto"/>
              <w:left w:val="outset" w:sz="6" w:space="0" w:color="auto"/>
              <w:bottom w:val="outset" w:sz="6" w:space="0" w:color="auto"/>
              <w:right w:val="outset" w:sz="6" w:space="0" w:color="auto"/>
            </w:tcBorders>
            <w:vAlign w:val="center"/>
            <w:hideMark/>
          </w:tcPr>
          <w:p w14:paraId="1BE1FD14" w14:textId="77777777" w:rsidR="00203F72" w:rsidRPr="00A53581" w:rsidRDefault="00203F72" w:rsidP="00D87D91">
            <w:pPr>
              <w:rPr>
                <w:rFonts w:cs="新細明體"/>
              </w:rPr>
            </w:pPr>
            <w:r w:rsidRPr="00A53581">
              <w:t>民進黨</w:t>
            </w:r>
          </w:p>
        </w:tc>
        <w:tc>
          <w:tcPr>
            <w:tcW w:w="992" w:type="dxa"/>
            <w:tcBorders>
              <w:top w:val="outset" w:sz="6" w:space="0" w:color="auto"/>
              <w:left w:val="outset" w:sz="6" w:space="0" w:color="auto"/>
              <w:bottom w:val="outset" w:sz="6" w:space="0" w:color="auto"/>
              <w:right w:val="outset" w:sz="6" w:space="0" w:color="auto"/>
            </w:tcBorders>
            <w:vAlign w:val="center"/>
            <w:hideMark/>
          </w:tcPr>
          <w:p w14:paraId="47B6ABC7" w14:textId="77777777" w:rsidR="00203F72" w:rsidRPr="00A53581" w:rsidRDefault="00203F72" w:rsidP="00D87D91">
            <w:pPr>
              <w:rPr>
                <w:rFonts w:cs="新細明體"/>
              </w:rPr>
            </w:pPr>
            <w:r w:rsidRPr="00A53581">
              <w:t>台灣</w:t>
            </w:r>
          </w:p>
        </w:tc>
        <w:tc>
          <w:tcPr>
            <w:tcW w:w="5765" w:type="dxa"/>
            <w:tcBorders>
              <w:top w:val="outset" w:sz="6" w:space="0" w:color="auto"/>
              <w:left w:val="outset" w:sz="6" w:space="0" w:color="auto"/>
              <w:bottom w:val="outset" w:sz="6" w:space="0" w:color="auto"/>
              <w:right w:val="outset" w:sz="6" w:space="0" w:color="auto"/>
            </w:tcBorders>
            <w:vAlign w:val="center"/>
            <w:hideMark/>
          </w:tcPr>
          <w:p w14:paraId="45E8BE05" w14:textId="77777777" w:rsidR="00203F72" w:rsidRPr="00A53581" w:rsidRDefault="00203F72" w:rsidP="00D87D91">
            <w:pPr>
              <w:rPr>
                <w:rFonts w:cs="新細明體"/>
              </w:rPr>
            </w:pPr>
            <w:r w:rsidRPr="00A53581">
              <w:t>不符合台灣現狀，大而無當</w:t>
            </w:r>
          </w:p>
        </w:tc>
      </w:tr>
    </w:tbl>
    <w:p w14:paraId="6DCFC1B3" w14:textId="77777777"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59" w:history="1">
        <w:r w:rsidR="00203F72" w:rsidRPr="00A53581">
          <w:rPr>
            <w:rStyle w:val="a5"/>
          </w:rPr>
          <w:t>https://zh.wikipedia.org/wiki/%E4%B8%AD%E8%8F%AF%E6%B0%91%E5%9C%8B%E6%86%B2%E6%B3%95</w:t>
        </w:r>
      </w:hyperlink>
      <w:r w:rsidR="00203F72" w:rsidRPr="00A53581">
        <w:t>。</w:t>
      </w:r>
    </w:p>
    <w:bookmarkStart w:id="28" w:name="_第_3_條具中華民國國籍者為中華民國國民。"/>
    <w:bookmarkEnd w:id="28"/>
    <w:p w14:paraId="5646EFC7" w14:textId="77777777" w:rsidR="00953151" w:rsidRDefault="00182A9D"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憲法</w:instrText>
      </w:r>
      <w:r w:rsidR="00DB62EB">
        <w:instrText>.htm</w:instrText>
      </w:r>
      <w:r w:rsidR="00346D06">
        <w:instrText>" \l "a3"</w:instrText>
      </w:r>
      <w:r>
        <w:fldChar w:fldCharType="separate"/>
      </w:r>
      <w:r w:rsidR="005D5A46">
        <w:rPr>
          <w:rStyle w:val="a5"/>
          <w:rFonts w:ascii="Arial Unicode MS" w:hAnsi="Arial Unicode MS"/>
        </w:rPr>
        <w:t>第</w:t>
      </w:r>
      <w:r w:rsidR="00203F72" w:rsidRPr="00CC3396">
        <w:rPr>
          <w:rStyle w:val="a5"/>
          <w:rFonts w:ascii="Arial Unicode MS" w:hAnsi="Arial Unicode MS"/>
        </w:rPr>
        <w:t>3</w:t>
      </w:r>
      <w:r w:rsidR="005D5A46">
        <w:rPr>
          <w:rStyle w:val="a5"/>
          <w:rFonts w:ascii="Arial Unicode MS" w:hAnsi="Arial Unicode MS"/>
        </w:rPr>
        <w:t>條</w:t>
      </w:r>
      <w:r>
        <w:rPr>
          <w:rStyle w:val="a5"/>
          <w:rFonts w:ascii="Arial Unicode MS" w:hAnsi="Arial Unicode MS"/>
        </w:rPr>
        <w:fldChar w:fldCharType="end"/>
      </w:r>
      <w:r w:rsidR="00203F72" w:rsidRPr="00A53581">
        <w:t>具中華民國國籍者為中華民國國民。</w:t>
      </w:r>
    </w:p>
    <w:p w14:paraId="7A6999F4" w14:textId="77777777" w:rsidR="0046135A" w:rsidRDefault="00B03E84" w:rsidP="00D87D91">
      <w:r>
        <w:t>【內容解析】</w:t>
      </w:r>
    </w:p>
    <w:p w14:paraId="40441EBA" w14:textId="77777777" w:rsidR="00953151" w:rsidRPr="0016063F" w:rsidRDefault="00B03E84" w:rsidP="00D87D91">
      <w:r w:rsidRPr="0016063F">
        <w:t xml:space="preserve">　　</w:t>
      </w:r>
      <w:r w:rsidR="00203F72" w:rsidRPr="0016063F">
        <w:t>如憲</w:t>
      </w:r>
      <w:r w:rsidR="00687BCD" w:rsidRPr="0016063F">
        <w:t>法</w:t>
      </w:r>
      <w:hyperlink r:id="rId60" w:anchor="a2" w:history="1">
        <w:r w:rsidR="00687BCD" w:rsidRPr="0016063F">
          <w:rPr>
            <w:rStyle w:val="a5"/>
          </w:rPr>
          <w:t>第2條</w:t>
        </w:r>
      </w:hyperlink>
      <w:r w:rsidR="00203F72" w:rsidRPr="0016063F">
        <w:t>之條文所載，中華民國主權屬國民全體。所謂中華民國國民，則指具有中華民國國籍者。而國籍，簡單說係屬於某個國家之人民，亦即，擁有某一國家人民之身分。取得國籍之方式各國規定不同，有因生下來就自然取得者，稱為「固有國籍」，有因後天依規定而取得者，稱為「取得國籍」。</w:t>
      </w:r>
    </w:p>
    <w:p w14:paraId="105B8D6E" w14:textId="77777777" w:rsidR="00441941" w:rsidRDefault="00441941" w:rsidP="00D87D91"/>
    <w:p w14:paraId="234D6FDB" w14:textId="35C90568" w:rsidR="00203F72" w:rsidRPr="00F5469C" w:rsidRDefault="00B03E84" w:rsidP="00D87D91">
      <w:r w:rsidRPr="00F5469C">
        <w:t>【</w:t>
      </w:r>
      <w:r w:rsidRPr="00F5469C">
        <w:t>table</w:t>
      </w:r>
      <w:r w:rsidR="005E23E3" w:rsidRPr="00F5469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w:t>
      </w:r>
      <w:r w:rsidR="00076467">
        <w:rPr>
          <w:noProof/>
        </w:rPr>
        <w:fldChar w:fldCharType="end"/>
      </w:r>
      <w:r w:rsidR="00203F72" w:rsidRPr="00F5469C">
        <w:t>我國之華僑與國籍之屬性</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5963"/>
      </w:tblGrid>
      <w:tr w:rsidR="00203F72" w:rsidRPr="00A53581" w14:paraId="1B1AC9DD" w14:textId="77777777" w:rsidTr="00203F72">
        <w:tc>
          <w:tcPr>
            <w:tcW w:w="1244" w:type="pct"/>
            <w:shd w:val="clear" w:color="auto" w:fill="auto"/>
          </w:tcPr>
          <w:p w14:paraId="6CC8F58E" w14:textId="77777777" w:rsidR="00203F72" w:rsidRPr="00A53581" w:rsidRDefault="00203F72" w:rsidP="00D87D91">
            <w:r w:rsidRPr="00A53581">
              <w:t>1.</w:t>
            </w:r>
            <w:r w:rsidRPr="00A53581">
              <w:t>華僑之國籍</w:t>
            </w:r>
          </w:p>
        </w:tc>
        <w:tc>
          <w:tcPr>
            <w:tcW w:w="3756" w:type="pct"/>
            <w:shd w:val="clear" w:color="auto" w:fill="auto"/>
          </w:tcPr>
          <w:p w14:paraId="74812FFC" w14:textId="77777777" w:rsidR="00203F72" w:rsidRPr="00A53581" w:rsidRDefault="00203F72" w:rsidP="00D87D91">
            <w:r w:rsidRPr="00A53581">
              <w:t>依憲法</w:t>
            </w:r>
            <w:hyperlink r:id="rId61" w:anchor="a3" w:history="1">
              <w:r w:rsidRPr="00026C6F">
                <w:rPr>
                  <w:rStyle w:val="a5"/>
                </w:rPr>
                <w:t>第3條</w:t>
              </w:r>
            </w:hyperlink>
            <w:r w:rsidRPr="00A53581">
              <w:t>：</w:t>
            </w:r>
            <w:r w:rsidRPr="00A53581">
              <w:rPr>
                <w:kern w:val="0"/>
              </w:rPr>
              <w:t>「具有中華民國國籍者，為中華民國國民」。此在憲法上與國內國民相同，仍具有參政之權利。</w:t>
            </w:r>
          </w:p>
        </w:tc>
      </w:tr>
      <w:tr w:rsidR="00203F72" w:rsidRPr="00A53581" w14:paraId="4EBBC9BE" w14:textId="77777777" w:rsidTr="00203F72">
        <w:tc>
          <w:tcPr>
            <w:tcW w:w="1244" w:type="pct"/>
            <w:shd w:val="clear" w:color="auto" w:fill="auto"/>
          </w:tcPr>
          <w:p w14:paraId="6DBEEBBD" w14:textId="77777777" w:rsidR="00203F72" w:rsidRPr="00A53581" w:rsidRDefault="00203F72" w:rsidP="00D87D91">
            <w:r w:rsidRPr="00A53581">
              <w:t>2.</w:t>
            </w:r>
            <w:r w:rsidRPr="00A53581">
              <w:t>我國華僑政策</w:t>
            </w:r>
          </w:p>
        </w:tc>
        <w:tc>
          <w:tcPr>
            <w:tcW w:w="3756" w:type="pct"/>
            <w:shd w:val="clear" w:color="auto" w:fill="auto"/>
          </w:tcPr>
          <w:p w14:paraId="5066A44D" w14:textId="77777777" w:rsidR="00203F72" w:rsidRPr="00A53581" w:rsidRDefault="00203F72" w:rsidP="00D87D91">
            <w:r w:rsidRPr="00A53581">
              <w:t>(1)</w:t>
            </w:r>
            <w:r w:rsidRPr="00A53581">
              <w:t>在政治上：憲法增修條文並訂有僑居國外國民應選出立法委員</w:t>
            </w:r>
            <w:r w:rsidRPr="00A53581">
              <w:t>8</w:t>
            </w:r>
            <w:r w:rsidRPr="00A53581">
              <w:t>人</w:t>
            </w:r>
            <w:r w:rsidRPr="00A53581">
              <w:t>(</w:t>
            </w:r>
            <w:r w:rsidRPr="00A53581">
              <w:t>憲修</w:t>
            </w:r>
            <w:r w:rsidRPr="00AA59B6">
              <w:t>4</w:t>
            </w:r>
            <w:r w:rsidRPr="00A53581">
              <w:rPr>
                <w:rFonts w:hint="eastAsia"/>
              </w:rPr>
              <w:t>Ⅰ</w:t>
            </w:r>
            <w:r w:rsidRPr="00A53581">
              <w:t>)</w:t>
            </w:r>
            <w:r w:rsidRPr="00A53581">
              <w:t>。其對總統、副總統之選舉，在國外之中華民國自由地區人民返國行使選舉權，以法律定之</w:t>
            </w:r>
            <w:r w:rsidRPr="00A53581">
              <w:t>(</w:t>
            </w:r>
            <w:r w:rsidRPr="00A53581">
              <w:t>憲修</w:t>
            </w:r>
            <w:r w:rsidRPr="00A53581">
              <w:t>2</w:t>
            </w:r>
            <w:r w:rsidRPr="00A53581">
              <w:rPr>
                <w:rFonts w:hint="eastAsia"/>
              </w:rPr>
              <w:t>Ⅰ</w:t>
            </w:r>
            <w:r w:rsidRPr="00A53581">
              <w:t>)</w:t>
            </w:r>
            <w:r w:rsidRPr="00A53581">
              <w:t>。國家對於僑居國外國民之政治參與，應予保障</w:t>
            </w:r>
            <w:r w:rsidRPr="00A53581">
              <w:t>(</w:t>
            </w:r>
            <w:r w:rsidRPr="00A53581">
              <w:t>憲修</w:t>
            </w:r>
            <w:r w:rsidRPr="00A53581">
              <w:t>10</w:t>
            </w:r>
            <w:r w:rsidRPr="00A53581">
              <w:rPr>
                <w:rFonts w:hint="eastAsia"/>
              </w:rPr>
              <w:t>Ⅷ</w:t>
            </w:r>
            <w:r w:rsidRPr="00A53581">
              <w:t>)</w:t>
            </w:r>
            <w:r w:rsidRPr="00A53581">
              <w:t>。</w:t>
            </w:r>
          </w:p>
          <w:p w14:paraId="0CB9F485" w14:textId="77777777" w:rsidR="00203F72" w:rsidRPr="00A53581" w:rsidRDefault="00203F72" w:rsidP="00D87D91">
            <w:r w:rsidRPr="00A53581">
              <w:t>(2)</w:t>
            </w:r>
            <w:r w:rsidRPr="00A53581">
              <w:t>在經濟上：國家對僑居國外之國民，應扶助並保障其經濟事業之發展（憲</w:t>
            </w:r>
            <w:hyperlink r:id="rId62" w:anchor="a151" w:history="1">
              <w:r w:rsidRPr="00AA59B6">
                <w:rPr>
                  <w:rStyle w:val="a5"/>
                </w:rPr>
                <w:t>151</w:t>
              </w:r>
            </w:hyperlink>
            <w:r w:rsidRPr="00A53581">
              <w:t>）</w:t>
            </w:r>
            <w:r w:rsidRPr="00A53581">
              <w:rPr>
                <w:kern w:val="0"/>
              </w:rPr>
              <w:t>。</w:t>
            </w:r>
          </w:p>
          <w:p w14:paraId="54E63DEC" w14:textId="77777777" w:rsidR="00203F72" w:rsidRPr="00A53581" w:rsidRDefault="00203F72" w:rsidP="00D87D91">
            <w:r w:rsidRPr="00A53581">
              <w:t>(3)</w:t>
            </w:r>
            <w:r w:rsidRPr="00A53581">
              <w:t>在教育上：僑居國外國民之教育事業成績優良者。應受國家獎勵或補助之列</w:t>
            </w:r>
            <w:r w:rsidRPr="00A53581">
              <w:t>(</w:t>
            </w:r>
            <w:r w:rsidRPr="00A53581">
              <w:t>憲</w:t>
            </w:r>
            <w:hyperlink r:id="rId63" w:anchor="a167" w:history="1">
              <w:r w:rsidRPr="00AA59B6">
                <w:rPr>
                  <w:rStyle w:val="a5"/>
                  <w:kern w:val="0"/>
                </w:rPr>
                <w:t>167</w:t>
              </w:r>
            </w:hyperlink>
            <w:r w:rsidR="003420CC">
              <w:rPr>
                <w:rFonts w:cs="細明體_HKSCS" w:hint="eastAsia"/>
              </w:rPr>
              <w:t>(2)</w:t>
            </w:r>
            <w:r w:rsidRPr="00A53581">
              <w:t>)</w:t>
            </w:r>
            <w:r w:rsidRPr="00A53581">
              <w:t>。</w:t>
            </w:r>
          </w:p>
          <w:p w14:paraId="1FE27C00" w14:textId="77777777" w:rsidR="00203F72" w:rsidRPr="00A53581" w:rsidRDefault="00203F72" w:rsidP="00D87D91">
            <w:r w:rsidRPr="00A53581">
              <w:t>(4)</w:t>
            </w:r>
            <w:r w:rsidRPr="00A53581">
              <w:t>在外交上：外交上應保護僑民權益</w:t>
            </w:r>
            <w:r w:rsidRPr="00A53581">
              <w:t>(</w:t>
            </w:r>
            <w:r w:rsidRPr="00A53581">
              <w:t>憲</w:t>
            </w:r>
            <w:r w:rsidRPr="00A53581">
              <w:t>141)</w:t>
            </w:r>
            <w:r w:rsidRPr="00A53581">
              <w:rPr>
                <w:kern w:val="0"/>
              </w:rPr>
              <w:t>。</w:t>
            </w:r>
          </w:p>
        </w:tc>
      </w:tr>
    </w:tbl>
    <w:p w14:paraId="15374B47" w14:textId="77777777" w:rsidR="0046135A" w:rsidRPr="0016063F" w:rsidRDefault="00B03E84" w:rsidP="00D87D91">
      <w:r w:rsidRPr="0016063F">
        <w:t>【</w:t>
      </w:r>
      <w:r w:rsidR="00203F72" w:rsidRPr="0016063F">
        <w:t>本表</w:t>
      </w:r>
      <w:r w:rsidRPr="0016063F">
        <w:t>資料來源】</w:t>
      </w:r>
      <w:r w:rsidR="00203F72" w:rsidRPr="0016063F">
        <w:t>謝瑞智、謝世維</w:t>
      </w:r>
      <w:r w:rsidR="00203F72" w:rsidRPr="0016063F">
        <w:t>(2010)</w:t>
      </w:r>
      <w:r w:rsidR="00203F72" w:rsidRPr="0016063F">
        <w:t>，憲法概要，增訂</w:t>
      </w:r>
      <w:r w:rsidR="00203F72" w:rsidRPr="0016063F">
        <w:t>14</w:t>
      </w:r>
      <w:r w:rsidR="00203F72" w:rsidRPr="0016063F">
        <w:t>版，台北市：文笙書局，第</w:t>
      </w:r>
      <w:r w:rsidR="00203F72" w:rsidRPr="0016063F">
        <w:t>45</w:t>
      </w:r>
      <w:r w:rsidR="00203F72" w:rsidRPr="0016063F">
        <w:rPr>
          <w:rFonts w:hint="eastAsia"/>
        </w:rPr>
        <w:t>-</w:t>
      </w:r>
      <w:r w:rsidR="00203F72" w:rsidRPr="0016063F">
        <w:t>46</w:t>
      </w:r>
      <w:r w:rsidR="00203F72" w:rsidRPr="0016063F">
        <w:t>頁。</w:t>
      </w:r>
    </w:p>
    <w:p w14:paraId="054FA0B0" w14:textId="77777777" w:rsidR="00953151" w:rsidRPr="0016063F" w:rsidRDefault="00B03E84" w:rsidP="00D87D91">
      <w:r w:rsidRPr="0016063F">
        <w:t xml:space="preserve">　　</w:t>
      </w:r>
      <w:r w:rsidR="00203F72" w:rsidRPr="0016063F">
        <w:t>「固有國籍」又分為血統主義、出生地主義、合併主義。血統主義又稱屬人主義指無論在何地出生，都必取得其父母所屬之國籍，如日本。出生地主義又稱屬地主義指無論父母屬於何國籍，凡在該國統治之領土內出生，就取得該國國籍，如美國。合併主義又稱折衷主義，採上述兩種合併為用，如以血統主義為原則，以出生地主義為輔者。或以出生地主義為原則，以血統主義為輔者。「取得國籍」之方式通常有：因親屬法之原因而取得者，如結婚、收養等，或居住該國一段時間申請歸化者，或其他因領土割讓等</w:t>
      </w:r>
      <w:r w:rsidR="00203F72" w:rsidRPr="0016063F">
        <w:lastRenderedPageBreak/>
        <w:t>而發生國籍變更者。我國國籍取得係規定在國籍法中，以屬人主義為原則，以屬地主義為輔之折衷主義。取得我國國籍者即為我國國民，擁有我國國民享有之一切權利及應盡之義務</w:t>
      </w:r>
      <w:r w:rsidR="00203F72" w:rsidRPr="0016063F">
        <w:footnoteReference w:id="7"/>
      </w:r>
      <w:r w:rsidR="00203F72" w:rsidRPr="0016063F">
        <w:t>。</w:t>
      </w:r>
    </w:p>
    <w:p w14:paraId="5AD434C3" w14:textId="77777777" w:rsidR="00953151" w:rsidRDefault="00076467" w:rsidP="00767F37">
      <w:pPr>
        <w:pStyle w:val="2"/>
      </w:pPr>
      <w:hyperlink r:id="rId64" w:anchor="a4" w:history="1">
        <w:r w:rsidR="005D5A46">
          <w:rPr>
            <w:rStyle w:val="a5"/>
            <w:rFonts w:ascii="Arial Unicode MS" w:hAnsi="Arial Unicode MS"/>
          </w:rPr>
          <w:t>第</w:t>
        </w:r>
        <w:r w:rsidR="00203F72" w:rsidRPr="00CC3396">
          <w:rPr>
            <w:rStyle w:val="a5"/>
            <w:rFonts w:ascii="Arial Unicode MS" w:hAnsi="Arial Unicode MS"/>
          </w:rPr>
          <w:t>4</w:t>
        </w:r>
        <w:r w:rsidR="005D5A46">
          <w:rPr>
            <w:rStyle w:val="a5"/>
            <w:rFonts w:ascii="Arial Unicode MS" w:hAnsi="Arial Unicode MS"/>
          </w:rPr>
          <w:t>條</w:t>
        </w:r>
      </w:hyperlink>
      <w:r w:rsidR="00203F72" w:rsidRPr="00A53581">
        <w:t>中華民國領土，依其固有之疆域，非經國民大會之決議，不得變更之。</w:t>
      </w:r>
    </w:p>
    <w:p w14:paraId="19F8F8DB" w14:textId="77777777" w:rsidR="0046135A" w:rsidRDefault="00B03E84" w:rsidP="00D87D91">
      <w:r>
        <w:t>【內容解析】</w:t>
      </w:r>
    </w:p>
    <w:p w14:paraId="7F6F9F21" w14:textId="77777777" w:rsidR="0046135A" w:rsidRDefault="00B03E84" w:rsidP="00D87D91">
      <w:r>
        <w:t xml:space="preserve">　　</w:t>
      </w:r>
      <w:r w:rsidR="00203F72" w:rsidRPr="00A53581">
        <w:t>依本條文之意旨，中華民國領土屬全體國民，這也是主權在民之意義；因此，無法及不宜由僅具有治權之政府決定疆域之變更，故非經國民大會之決議，不得變更之。這背後其實也是制衡，另一原因是，單一議題若要經過全體國民表達意見，可能需建立如公投相關機制，唯民國建立之初世界各國不見得有這樣之作法。再詳細論述，對國土，對領土之規範，分為列舉式與概括式。列舉式乃指對國家領土之範圍一一列舉清清楚楚，我國係屬於概括方式，概括方式之缺點是常因領域不明確，引發質疑、爭議。</w:t>
      </w:r>
    </w:p>
    <w:p w14:paraId="7838B051" w14:textId="77777777" w:rsidR="0046135A" w:rsidRDefault="00B03E84" w:rsidP="00D87D91">
      <w:pPr>
        <w:rPr>
          <w:rFonts w:ascii="新細明體" w:hAnsi="新細明體"/>
        </w:rPr>
      </w:pPr>
      <w:r>
        <w:rPr>
          <w:rFonts w:ascii="新細明體" w:hAnsi="新細明體"/>
        </w:rPr>
        <w:t xml:space="preserve">　　</w:t>
      </w:r>
      <w:r w:rsidR="00203F72" w:rsidRPr="00A53581">
        <w:rPr>
          <w:rFonts w:ascii="新細明體" w:hAnsi="新細明體"/>
        </w:rPr>
        <w:t>依據司法院釋字</w:t>
      </w:r>
      <w:hyperlink r:id="rId65" w:anchor="r328" w:history="1">
        <w:r w:rsidR="00203F72" w:rsidRPr="00F5469C">
          <w:rPr>
            <w:rStyle w:val="a5"/>
          </w:rPr>
          <w:t>第328號</w:t>
        </w:r>
      </w:hyperlink>
      <w:r w:rsidR="00203F72" w:rsidRPr="00A53581">
        <w:rPr>
          <w:rFonts w:ascii="新細明體" w:hAnsi="新細明體"/>
        </w:rPr>
        <w:t>解釋之意旨：「中華民國領土，憲法</w:t>
      </w:r>
      <w:hyperlink r:id="rId66" w:anchor="a4" w:history="1">
        <w:r w:rsidR="001B1539" w:rsidRPr="001B1539">
          <w:rPr>
            <w:rStyle w:val="a5"/>
            <w:kern w:val="0"/>
          </w:rPr>
          <w:t>第四條</w:t>
        </w:r>
      </w:hyperlink>
      <w:r w:rsidR="00203F72" w:rsidRPr="00A53581">
        <w:rPr>
          <w:rFonts w:ascii="新細明體" w:hAnsi="新細明體"/>
        </w:rPr>
        <w:t>不採列舉方式，而為「依其固有之疆域」之概括規定，並設領土變更之程序，以為限制，有其政治上及歷史上之理由。其所稱固有疆域範圍之界定，為重大之政治問題。」同號釋</w:t>
      </w:r>
      <w:r w:rsidR="00F5469C" w:rsidRPr="00A53581">
        <w:rPr>
          <w:rFonts w:ascii="新細明體" w:hAnsi="新細明體"/>
        </w:rPr>
        <w:t>字</w:t>
      </w:r>
      <w:hyperlink r:id="rId67" w:anchor="r328" w:history="1">
        <w:r w:rsidR="00F5469C" w:rsidRPr="00F5469C">
          <w:rPr>
            <w:rStyle w:val="a5"/>
          </w:rPr>
          <w:t>第328號</w:t>
        </w:r>
      </w:hyperlink>
      <w:r w:rsidR="00203F72" w:rsidRPr="00A53581">
        <w:rPr>
          <w:rFonts w:ascii="新細明體" w:hAnsi="新細明體"/>
        </w:rPr>
        <w:t>解釋理由書進一步說明：「國家領土之範圍如何界定，純屬政治問題；其界定之行為，學理上稱之為統治行為，依權力分立之憲政原則，不受司法審查。依我國憲法</w:t>
      </w:r>
      <w:hyperlink r:id="rId68" w:anchor="a4" w:history="1">
        <w:r w:rsidR="001B1539" w:rsidRPr="001B1539">
          <w:rPr>
            <w:rStyle w:val="a5"/>
            <w:kern w:val="0"/>
          </w:rPr>
          <w:t>第四條</w:t>
        </w:r>
      </w:hyperlink>
      <w:r w:rsidR="00203F72" w:rsidRPr="00A53581">
        <w:rPr>
          <w:rFonts w:ascii="新細明體" w:hAnsi="新細明體"/>
        </w:rPr>
        <w:t>之規定，「中華民國領土，依其固有之疆域，非經國民大會之決議，不得變更之」，對於領土之範圍，不採列舉方式而為概括規定，並設領土變更之程序，以為限制，有其政治上及歷史上之理由。其所稱「固有之疆域」究何所指，若予解釋，必涉及領土範圍之界定，為重大之政治問題。…依本條規定我國領土非經由人民選出之國民大會代表，依一定程序議決不得變更。」上述司法院釋</w:t>
      </w:r>
      <w:r w:rsidR="00F5469C" w:rsidRPr="00A53581">
        <w:rPr>
          <w:rFonts w:ascii="新細明體" w:hAnsi="新細明體"/>
        </w:rPr>
        <w:t>字</w:t>
      </w:r>
      <w:hyperlink r:id="rId69" w:anchor="r328" w:history="1">
        <w:r w:rsidR="00F5469C" w:rsidRPr="00F5469C">
          <w:rPr>
            <w:rStyle w:val="a5"/>
          </w:rPr>
          <w:t>第328號</w:t>
        </w:r>
      </w:hyperlink>
      <w:r w:rsidR="00203F72" w:rsidRPr="00A53581">
        <w:rPr>
          <w:rFonts w:ascii="新細明體" w:hAnsi="新細明體"/>
        </w:rPr>
        <w:t>解釋明白地指出，國家領土之範圍如何界定，純屬政治問題，而我國憲法上領土之範圍，不採列舉方式而為概括規定，並設領土變更之程序，乃因政治及歷史上之理由。</w:t>
      </w:r>
    </w:p>
    <w:p w14:paraId="31D11308" w14:textId="77777777" w:rsidR="00953151" w:rsidRDefault="00B03E84" w:rsidP="00D87D91">
      <w:pPr>
        <w:rPr>
          <w:rFonts w:ascii="新細明體" w:hAnsi="新細明體"/>
        </w:rPr>
      </w:pPr>
      <w:r>
        <w:rPr>
          <w:rFonts w:ascii="新細明體" w:hAnsi="新細明體"/>
        </w:rPr>
        <w:t xml:space="preserve">　　</w:t>
      </w:r>
      <w:r w:rsidR="00203F72" w:rsidRPr="00A53581">
        <w:rPr>
          <w:rFonts w:ascii="新細明體" w:hAnsi="新細明體"/>
        </w:rPr>
        <w:t>然</w:t>
      </w:r>
      <w:r w:rsidR="00203F72" w:rsidRPr="00A53581">
        <w:rPr>
          <w:rFonts w:ascii="新細明體" w:hAnsi="新細明體"/>
          <w:kern w:val="0"/>
        </w:rPr>
        <w:t>為因應國家統一前之需要，依憲法增修條文</w:t>
      </w:r>
      <w:hyperlink r:id="rId70" w:anchor="b1" w:history="1">
        <w:r w:rsidR="004651E8" w:rsidRPr="004651E8">
          <w:rPr>
            <w:rStyle w:val="a5"/>
          </w:rPr>
          <w:t>第一條</w:t>
        </w:r>
      </w:hyperlink>
      <w:r w:rsidR="00203F72" w:rsidRPr="00A53581">
        <w:rPr>
          <w:rFonts w:ascii="新細明體" w:hAnsi="新細明體"/>
          <w:kern w:val="0"/>
        </w:rPr>
        <w:t>之規定：中華民國自由地區選舉人於立法院提出憲法修正案、領土變更案，經公告半年，應於三個月內投票複決，不適用憲法</w:t>
      </w:r>
      <w:hyperlink r:id="rId71" w:anchor="a4" w:history="1">
        <w:r w:rsidR="00203F72" w:rsidRPr="001B1539">
          <w:rPr>
            <w:rStyle w:val="a5"/>
            <w:kern w:val="0"/>
          </w:rPr>
          <w:t>第四條</w:t>
        </w:r>
      </w:hyperlink>
      <w:r w:rsidR="00203F72" w:rsidRPr="00A53581">
        <w:rPr>
          <w:rFonts w:ascii="新細明體" w:hAnsi="新細明體"/>
          <w:kern w:val="0"/>
        </w:rPr>
        <w:t>、</w:t>
      </w:r>
      <w:r w:rsidR="00541C0B" w:rsidRPr="00A53581">
        <w:rPr>
          <w:rFonts w:ascii="新細明體" w:hAnsi="新細明體"/>
          <w:kern w:val="0"/>
          <w:lang w:bidi="bn-IN"/>
        </w:rPr>
        <w:t>第</w:t>
      </w:r>
      <w:hyperlink r:id="rId72" w:anchor="a174" w:history="1">
        <w:r w:rsidR="00541C0B" w:rsidRPr="00541C0B">
          <w:rPr>
            <w:rStyle w:val="a5"/>
            <w:kern w:val="0"/>
            <w:lang w:bidi="bn-IN"/>
          </w:rPr>
          <w:t>一百七十四</w:t>
        </w:r>
      </w:hyperlink>
      <w:r w:rsidR="00541C0B" w:rsidRPr="00A53581">
        <w:rPr>
          <w:rFonts w:ascii="新細明體" w:hAnsi="新細明體"/>
          <w:kern w:val="0"/>
          <w:lang w:bidi="bn-IN"/>
        </w:rPr>
        <w:t>條</w:t>
      </w:r>
      <w:r w:rsidR="00203F72" w:rsidRPr="00A53581">
        <w:rPr>
          <w:rFonts w:ascii="新細明體" w:hAnsi="新細明體"/>
          <w:kern w:val="0"/>
        </w:rPr>
        <w:t>之規定。另依增修條文</w:t>
      </w:r>
      <w:hyperlink r:id="rId73" w:anchor="b4" w:history="1">
        <w:r w:rsidR="00203F72" w:rsidRPr="00F5469C">
          <w:rPr>
            <w:rStyle w:val="a5"/>
            <w:kern w:val="0"/>
          </w:rPr>
          <w:t>第四條</w:t>
        </w:r>
      </w:hyperlink>
      <w:r w:rsidR="00203F72" w:rsidRPr="00A53581">
        <w:rPr>
          <w:rFonts w:ascii="新細明體" w:hAnsi="新細明體"/>
          <w:kern w:val="0"/>
        </w:rPr>
        <w:t>之規定：</w:t>
      </w:r>
      <w:r w:rsidR="00203F72" w:rsidRPr="00A53581">
        <w:rPr>
          <w:rFonts w:ascii="新細明體" w:hAnsi="新細明體"/>
        </w:rPr>
        <w:t>中華民國領土，依其固有疆域，非經全體立法委員四分之一之提議，全體立法委員四分之三之出席，及出席委員四分之三之決議，提出領土變更案，並於公告半年後，經中華民國自由地區選舉人投票複決，有效同意票過選舉人總額之半數，不得變更之。</w:t>
      </w:r>
    </w:p>
    <w:p w14:paraId="3CD3DA45" w14:textId="77777777" w:rsidR="00953151" w:rsidRDefault="00076467" w:rsidP="00767F37">
      <w:pPr>
        <w:pStyle w:val="2"/>
      </w:pPr>
      <w:hyperlink r:id="rId74" w:anchor="a5" w:history="1">
        <w:r w:rsidR="005D5A46">
          <w:rPr>
            <w:rStyle w:val="a5"/>
            <w:rFonts w:ascii="Arial Unicode MS" w:hAnsi="Arial Unicode MS"/>
          </w:rPr>
          <w:t>第</w:t>
        </w:r>
        <w:r w:rsidR="00203F72" w:rsidRPr="00CC3396">
          <w:rPr>
            <w:rStyle w:val="a5"/>
            <w:rFonts w:ascii="Arial Unicode MS" w:hAnsi="Arial Unicode MS"/>
          </w:rPr>
          <w:t>5</w:t>
        </w:r>
        <w:r w:rsidR="005D5A46">
          <w:rPr>
            <w:rStyle w:val="a5"/>
            <w:rFonts w:ascii="Arial Unicode MS" w:hAnsi="Arial Unicode MS"/>
          </w:rPr>
          <w:t>條</w:t>
        </w:r>
      </w:hyperlink>
      <w:r w:rsidR="00203F72" w:rsidRPr="00A53581">
        <w:t>中華民國各民族一律平等。</w:t>
      </w:r>
    </w:p>
    <w:p w14:paraId="26696408" w14:textId="77777777" w:rsidR="0046135A" w:rsidRDefault="00B03E84" w:rsidP="00D87D91">
      <w:r>
        <w:t>【內容解析】</w:t>
      </w:r>
    </w:p>
    <w:p w14:paraId="342F4E04" w14:textId="77777777" w:rsidR="00953151" w:rsidRDefault="0046135A" w:rsidP="00D87D91">
      <w:r>
        <w:t xml:space="preserve">　　</w:t>
      </w:r>
      <w:r w:rsidR="00203F72" w:rsidRPr="00A53581">
        <w:t>依本條規定各民族在中華民國境內一律平等，以實踐國父民族主義之理念：「中華民族自求解除壓迫，國內各民族一律平等，世界各民族一律平等」。民族平等之意義，除了尊重各民族，消除各民族之岐見，尚須積極保障各民族之權利與生存。人人生而平等，平等是人類與生俱來之權利，所謂之真平等是立足點之平等，每個人之價值應得到同等之尊重和保護，同時也防止國家之濫權。美國獨立宣言中所稱「一切之人均為生而平等」，法國人權宣言第六條指出：「法律對任何人，其保護或懲罰，應為平等。」與此意義相同。憲</w:t>
      </w:r>
      <w:r w:rsidR="004651E8" w:rsidRPr="00A53581">
        <w:t>法</w:t>
      </w:r>
      <w:hyperlink r:id="rId75" w:anchor="a119" w:history="1">
        <w:r w:rsidR="004651E8" w:rsidRPr="004651E8">
          <w:rPr>
            <w:rStyle w:val="a5"/>
          </w:rPr>
          <w:t>第119條</w:t>
        </w:r>
      </w:hyperlink>
      <w:r w:rsidR="00203F72" w:rsidRPr="00A53581">
        <w:t>指出，蒙古各盟旗地方自治制度，以法律定之，及憲法</w:t>
      </w:r>
      <w:hyperlink r:id="rId76" w:anchor="a120" w:history="1">
        <w:r w:rsidR="00203F72" w:rsidRPr="004651E8">
          <w:rPr>
            <w:rStyle w:val="a5"/>
          </w:rPr>
          <w:t>第120條</w:t>
        </w:r>
      </w:hyperlink>
      <w:r w:rsidR="00203F72" w:rsidRPr="00A53581">
        <w:t>西藏自治制度，應予以保障，係對少數、弱勢族群之保護。</w:t>
      </w:r>
    </w:p>
    <w:p w14:paraId="15D0B165" w14:textId="77777777" w:rsidR="00953151" w:rsidRDefault="00076467" w:rsidP="00767F37">
      <w:pPr>
        <w:pStyle w:val="2"/>
      </w:pPr>
      <w:hyperlink r:id="rId77" w:anchor="a6" w:history="1">
        <w:r w:rsidR="005D5A46">
          <w:rPr>
            <w:rStyle w:val="a5"/>
            <w:rFonts w:ascii="Arial Unicode MS" w:hAnsi="Arial Unicode MS"/>
          </w:rPr>
          <w:t>第</w:t>
        </w:r>
        <w:r w:rsidR="00203F72" w:rsidRPr="00CC3396">
          <w:rPr>
            <w:rStyle w:val="a5"/>
            <w:rFonts w:ascii="Arial Unicode MS" w:hAnsi="Arial Unicode MS"/>
          </w:rPr>
          <w:t>6</w:t>
        </w:r>
        <w:r w:rsidR="005D5A46">
          <w:rPr>
            <w:rStyle w:val="a5"/>
            <w:rFonts w:ascii="Arial Unicode MS" w:hAnsi="Arial Unicode MS"/>
          </w:rPr>
          <w:t>條</w:t>
        </w:r>
      </w:hyperlink>
      <w:r w:rsidR="00203F72" w:rsidRPr="00A53581">
        <w:t>中華民國國旗定為紅地，左上角青天白日。</w:t>
      </w:r>
    </w:p>
    <w:p w14:paraId="02321D2D" w14:textId="77777777" w:rsidR="0046135A" w:rsidRDefault="00B03E84" w:rsidP="00D87D91">
      <w:r>
        <w:t>【內容解析】</w:t>
      </w:r>
    </w:p>
    <w:p w14:paraId="579604A3" w14:textId="77777777" w:rsidR="0046135A" w:rsidRDefault="00B03E84" w:rsidP="00D87D91">
      <w:r>
        <w:t xml:space="preserve">　　</w:t>
      </w:r>
      <w:r w:rsidR="00203F72" w:rsidRPr="00A53581">
        <w:t>國旗是代表國家之表徵，每項細部設計都代表著對國家之認同，因此不應隨意更動，因此將國旗之具體內涵規定於憲法。民國元年，國父孫中山先生指出，「夫國旗之頒用，所重有三：一旗之歷史，二旗之取義，三旗之美觀也。武漢之旗（用內外十八省之徽誌），以之為全國之首義尚矣；蘇浙之旗（用五色之徽誌），以之克復南京；而天日之旗，則為漢族共和黨人用之南方起義者十餘年。自乙未年陸皓東身殉此旗後，如黃岡、防城、鎮南關、河口，最近如民國紀元前二年廣東新軍之反正，倪映典等流血，前一年廣東城之起義，七十二人之流血，皆以此旗。南洋美洲各埠華僑同情於共和者，亦已多年升用，外人總認為民國之旗。至於取義，則武漢多有極正大之主張，而青天白日，取象宏美，中國為遠東大國，日出東方為恒星之最者，且青天白日，示光明正照自由平等之義，著於赤幟，亦為三色，其主張之理由尚多。而有謂三色國旗一方足以代表自由、平等、博愛，一方亦為三民主義</w:t>
      </w:r>
      <w:r w:rsidR="00203F72" w:rsidRPr="00A53581">
        <w:t>(</w:t>
      </w:r>
      <w:r w:rsidR="00203F72" w:rsidRPr="00A53581">
        <w:t>民族、民權、民生</w:t>
      </w:r>
      <w:r w:rsidR="00203F72" w:rsidRPr="00A53581">
        <w:t>)</w:t>
      </w:r>
      <w:r w:rsidR="00203F72" w:rsidRPr="00A53581">
        <w:t>之象徵，而青天白日之形象，更是顯示中華民族之正大光明。」</w:t>
      </w:r>
    </w:p>
    <w:p w14:paraId="313CD163" w14:textId="77777777" w:rsidR="00953151" w:rsidRDefault="00B03E84" w:rsidP="00D87D91">
      <w:r>
        <w:t xml:space="preserve">　　</w:t>
      </w:r>
      <w:r w:rsidR="00203F72" w:rsidRPr="00A53581">
        <w:t>可知青天代表自由，白日代表平等，紅地代表熱血，亦為三民主義</w:t>
      </w:r>
      <w:r w:rsidR="00203F72" w:rsidRPr="00A53581">
        <w:t>(</w:t>
      </w:r>
      <w:r w:rsidR="00203F72" w:rsidRPr="00A53581">
        <w:t>民族、民權、民生</w:t>
      </w:r>
      <w:r w:rsidR="00203F72" w:rsidRPr="00A53581">
        <w:t>)</w:t>
      </w:r>
      <w:r w:rsidR="00203F72" w:rsidRPr="00A53581">
        <w:t>之象徵。十二道光芒代表一日之十二個時辰，一年中之十二個月，生生不息永不間斷。民國十七年，北伐成功，全國統一，同年十二月十七日，青天白日滿地紅旗正式經由國民政府立法通過，頒行全國。</w:t>
      </w:r>
    </w:p>
    <w:p w14:paraId="05398A3A" w14:textId="77777777" w:rsidR="00545D58" w:rsidRDefault="00545D58" w:rsidP="00E108EB">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0B787C96" w14:textId="77777777" w:rsidR="00545D58" w:rsidRDefault="00545D58" w:rsidP="00D87D91"/>
    <w:p w14:paraId="28502BBC" w14:textId="77777777" w:rsidR="00953151" w:rsidRDefault="00203F72" w:rsidP="00767F37">
      <w:pPr>
        <w:pStyle w:val="2"/>
      </w:pPr>
      <w:bookmarkStart w:id="29" w:name="_第二章_人民之權利義務"/>
      <w:bookmarkEnd w:id="29"/>
      <w:r w:rsidRPr="00A53581">
        <w:t>第二章</w:t>
      </w:r>
      <w:r w:rsidRPr="00A53581">
        <w:t xml:space="preserve"> </w:t>
      </w:r>
      <w:r w:rsidRPr="00A53581">
        <w:t>人民之權利義務</w:t>
      </w:r>
    </w:p>
    <w:p w14:paraId="26AA8957" w14:textId="77777777" w:rsidR="00953151" w:rsidRDefault="00076467" w:rsidP="00767F37">
      <w:pPr>
        <w:pStyle w:val="2"/>
      </w:pPr>
      <w:hyperlink r:id="rId78" w:anchor="a7" w:history="1">
        <w:r w:rsidR="005D5A46">
          <w:rPr>
            <w:rStyle w:val="a5"/>
            <w:rFonts w:ascii="Arial Unicode MS" w:hAnsi="Arial Unicode MS"/>
          </w:rPr>
          <w:t>第</w:t>
        </w:r>
        <w:r w:rsidR="00203F72" w:rsidRPr="00CC3396">
          <w:rPr>
            <w:rStyle w:val="a5"/>
            <w:rFonts w:ascii="Arial Unicode MS" w:hAnsi="Arial Unicode MS"/>
          </w:rPr>
          <w:t>7</w:t>
        </w:r>
        <w:r w:rsidR="005D5A46">
          <w:rPr>
            <w:rStyle w:val="a5"/>
            <w:rFonts w:ascii="Arial Unicode MS" w:hAnsi="Arial Unicode MS"/>
          </w:rPr>
          <w:t>條</w:t>
        </w:r>
      </w:hyperlink>
      <w:r w:rsidR="00203F72" w:rsidRPr="00A53581">
        <w:t>中華民國人民，無分男女、宗教、種族、階級、黨派，在法律上一律平等。</w:t>
      </w:r>
    </w:p>
    <w:p w14:paraId="7763915D" w14:textId="77777777" w:rsidR="0046135A" w:rsidRPr="00410BD1" w:rsidRDefault="00B03E84" w:rsidP="00D87D91">
      <w:r w:rsidRPr="00410BD1">
        <w:t>【內容解析】</w:t>
      </w:r>
    </w:p>
    <w:p w14:paraId="41CC96EB" w14:textId="77777777" w:rsidR="0046135A" w:rsidRPr="00410BD1" w:rsidRDefault="00B03E84" w:rsidP="00D87D91">
      <w:r w:rsidRPr="00410BD1">
        <w:t xml:space="preserve">　　</w:t>
      </w:r>
      <w:r w:rsidR="00203F72" w:rsidRPr="00410BD1">
        <w:t>本條文主要在闡述人生而平等之概念，其基本精神在於平等權應受重</w:t>
      </w:r>
      <w:r w:rsidR="003E240E">
        <w:t>視</w:t>
      </w:r>
      <w:r w:rsidR="00203F72" w:rsidRPr="00410BD1">
        <w:t>。延伸之意前在於這個人、團體或組織，不論其性別、信仰、族群、階級、政治價值（或黨派），應受平等對待或有平等權。換言之，平等權</w:t>
      </w:r>
      <w:r w:rsidR="00203F72" w:rsidRPr="00410BD1">
        <w:t>(right to equality)</w:t>
      </w:r>
      <w:r w:rsidR="00203F72" w:rsidRPr="00410BD1">
        <w:t>是屬於基本權利</w:t>
      </w:r>
      <w:r w:rsidR="00203F72" w:rsidRPr="00410BD1">
        <w:t>(fundamental rights)</w:t>
      </w:r>
      <w:r w:rsidR="00203F72" w:rsidRPr="00410BD1">
        <w:t>之一種，與平等權意義相同或相</w:t>
      </w:r>
      <w:r w:rsidR="00203F72" w:rsidRPr="00410BD1">
        <w:t>(</w:t>
      </w:r>
      <w:r w:rsidR="00203F72" w:rsidRPr="00410BD1">
        <w:t>近</w:t>
      </w:r>
      <w:r w:rsidR="00203F72" w:rsidRPr="00410BD1">
        <w:t>)</w:t>
      </w:r>
      <w:r w:rsidR="00203F72" w:rsidRPr="00410BD1">
        <w:t>似之語詞，計有：平等原則</w:t>
      </w:r>
      <w:r w:rsidR="00203F72" w:rsidRPr="00410BD1">
        <w:t>(principle of equality)</w:t>
      </w:r>
      <w:r w:rsidR="00203F72" w:rsidRPr="00410BD1">
        <w:t>；法律上之平等權</w:t>
      </w:r>
      <w:r w:rsidR="00203F72" w:rsidRPr="00410BD1">
        <w:t xml:space="preserve">(legal equality) </w:t>
      </w:r>
      <w:r w:rsidR="00203F72" w:rsidRPr="00410BD1">
        <w:t>；法律之前之平等權</w:t>
      </w:r>
      <w:r w:rsidR="00203F72" w:rsidRPr="00410BD1">
        <w:t>(Equality before the law</w:t>
      </w:r>
      <w:r w:rsidR="00203F72" w:rsidRPr="00410BD1">
        <w:t>；</w:t>
      </w:r>
      <w:r w:rsidR="00203F72" w:rsidRPr="00410BD1">
        <w:t>The rights to equality before the law)</w:t>
      </w:r>
      <w:r w:rsidR="00203F72" w:rsidRPr="00410BD1">
        <w:t>；不受差別</w:t>
      </w:r>
      <w:r w:rsidR="00203F72" w:rsidRPr="00410BD1">
        <w:t>(</w:t>
      </w:r>
      <w:r w:rsidR="00203F72" w:rsidRPr="00410BD1">
        <w:t>區別</w:t>
      </w:r>
      <w:r w:rsidR="00203F72" w:rsidRPr="00410BD1">
        <w:t>)</w:t>
      </w:r>
      <w:r w:rsidR="00203F72" w:rsidRPr="00410BD1">
        <w:t>待遇</w:t>
      </w:r>
      <w:r w:rsidR="00203F72" w:rsidRPr="00410BD1">
        <w:t>(</w:t>
      </w:r>
      <w:r w:rsidR="00203F72" w:rsidRPr="00410BD1">
        <w:t>歧</w:t>
      </w:r>
      <w:r w:rsidR="003E240E">
        <w:t>視</w:t>
      </w:r>
      <w:r w:rsidR="00203F72" w:rsidRPr="00410BD1">
        <w:t>)</w:t>
      </w:r>
      <w:r w:rsidR="00203F72" w:rsidRPr="00410BD1">
        <w:t>權</w:t>
      </w:r>
      <w:r w:rsidR="00203F72" w:rsidRPr="00410BD1">
        <w:t xml:space="preserve">(right not to be discriminated against) </w:t>
      </w:r>
      <w:r w:rsidR="00203F72" w:rsidRPr="00410BD1">
        <w:t>；禁止差別</w:t>
      </w:r>
      <w:r w:rsidR="00203F72" w:rsidRPr="00410BD1">
        <w:t>(</w:t>
      </w:r>
      <w:r w:rsidR="00203F72" w:rsidRPr="00410BD1">
        <w:t>區別</w:t>
      </w:r>
      <w:r w:rsidR="00203F72" w:rsidRPr="00410BD1">
        <w:t>)</w:t>
      </w:r>
      <w:r w:rsidR="00203F72" w:rsidRPr="00410BD1">
        <w:t>待遇</w:t>
      </w:r>
      <w:r w:rsidR="00203F72" w:rsidRPr="00410BD1">
        <w:t>(</w:t>
      </w:r>
      <w:r w:rsidR="00203F72" w:rsidRPr="00410BD1">
        <w:t>歧</w:t>
      </w:r>
      <w:r w:rsidR="003E240E">
        <w:t>視</w:t>
      </w:r>
      <w:r w:rsidR="00203F72" w:rsidRPr="00410BD1">
        <w:t>)</w:t>
      </w:r>
      <w:r w:rsidR="00203F72" w:rsidRPr="00410BD1">
        <w:t>原則</w:t>
      </w:r>
      <w:r w:rsidR="00203F72" w:rsidRPr="00410BD1">
        <w:t>(the principle of Non-discrimination)</w:t>
      </w:r>
      <w:r w:rsidR="00203F72" w:rsidRPr="00410BD1">
        <w:t>；機會平等權</w:t>
      </w:r>
      <w:r w:rsidR="00203F72" w:rsidRPr="00410BD1">
        <w:t>(Equality of opportunity</w:t>
      </w:r>
      <w:r w:rsidR="00203F72" w:rsidRPr="00410BD1">
        <w:t>；</w:t>
      </w:r>
      <w:r w:rsidR="00203F72" w:rsidRPr="00410BD1">
        <w:t xml:space="preserve">Equal opportunity) </w:t>
      </w:r>
      <w:r w:rsidR="00203F72" w:rsidRPr="00410BD1">
        <w:t>；機會平等理論</w:t>
      </w:r>
      <w:r w:rsidR="00203F72" w:rsidRPr="00410BD1">
        <w:t>(Theory of equal opportunity)</w:t>
      </w:r>
      <w:r w:rsidR="00203F72" w:rsidRPr="00410BD1">
        <w:t>；公平機會之平等權</w:t>
      </w:r>
      <w:r w:rsidR="00203F72" w:rsidRPr="00410BD1">
        <w:t>(Equality of fair opportunity)</w:t>
      </w:r>
      <w:r w:rsidR="00203F72" w:rsidRPr="00410BD1">
        <w:t>；免受差別待遇</w:t>
      </w:r>
      <w:r w:rsidR="00203F72" w:rsidRPr="00410BD1">
        <w:t>(</w:t>
      </w:r>
      <w:r w:rsidR="00203F72" w:rsidRPr="00410BD1">
        <w:t>歧</w:t>
      </w:r>
      <w:r w:rsidR="003E240E">
        <w:t>視</w:t>
      </w:r>
      <w:r w:rsidR="00203F72" w:rsidRPr="00410BD1">
        <w:t>)</w:t>
      </w:r>
      <w:r w:rsidR="00203F72" w:rsidRPr="00410BD1">
        <w:t>權</w:t>
      </w:r>
      <w:r w:rsidR="00203F72" w:rsidRPr="00410BD1">
        <w:t>(The right to freedom from discrimination)</w:t>
      </w:r>
      <w:r w:rsidR="00203F72" w:rsidRPr="00410BD1">
        <w:t>及平等原則</w:t>
      </w:r>
      <w:r w:rsidR="00203F72" w:rsidRPr="00410BD1">
        <w:t>(the principle of egalitarianism)</w:t>
      </w:r>
      <w:r w:rsidR="00203F72" w:rsidRPr="00410BD1">
        <w:t>等。</w:t>
      </w:r>
    </w:p>
    <w:p w14:paraId="60C69235" w14:textId="77777777" w:rsidR="0046135A" w:rsidRPr="00410BD1" w:rsidRDefault="00B03E84" w:rsidP="00D87D91">
      <w:r w:rsidRPr="00410BD1">
        <w:t xml:space="preserve">　　</w:t>
      </w:r>
      <w:r w:rsidR="00203F72" w:rsidRPr="00410BD1">
        <w:t>在探討有關平等</w:t>
      </w:r>
      <w:r w:rsidR="00203F72" w:rsidRPr="00410BD1">
        <w:t>(Equality)</w:t>
      </w:r>
      <w:r w:rsidR="00203F72" w:rsidRPr="00410BD1">
        <w:t>與禁止差別</w:t>
      </w:r>
      <w:r w:rsidR="00203F72" w:rsidRPr="00410BD1">
        <w:t>(</w:t>
      </w:r>
      <w:r w:rsidR="00203F72" w:rsidRPr="00410BD1">
        <w:t>區別</w:t>
      </w:r>
      <w:r w:rsidR="00203F72" w:rsidRPr="00410BD1">
        <w:t>)</w:t>
      </w:r>
      <w:r w:rsidR="00203F72" w:rsidRPr="00410BD1">
        <w:t>待遇</w:t>
      </w:r>
      <w:r w:rsidR="00203F72" w:rsidRPr="00410BD1">
        <w:t>(</w:t>
      </w:r>
      <w:r w:rsidR="00203F72" w:rsidRPr="00410BD1">
        <w:t>歧</w:t>
      </w:r>
      <w:r w:rsidR="003E240E">
        <w:t>視</w:t>
      </w:r>
      <w:r w:rsidR="00203F72" w:rsidRPr="00410BD1">
        <w:t>)(Non-Discrimination)</w:t>
      </w:r>
      <w:r w:rsidR="00203F72" w:rsidRPr="00410BD1">
        <w:t>之問題時，有必要從國際人權條約加以著手。依據</w:t>
      </w:r>
      <w:hyperlink r:id="rId79" w:history="1">
        <w:r w:rsidR="00203F72" w:rsidRPr="00410BD1">
          <w:rPr>
            <w:rStyle w:val="a5"/>
          </w:rPr>
          <w:t>世界人權宣言</w:t>
        </w:r>
      </w:hyperlink>
      <w:r w:rsidR="00203F72" w:rsidRPr="00410BD1">
        <w:t>(the Universal Declaration of Human Rights)</w:t>
      </w:r>
      <w:hyperlink r:id="rId80" w:anchor="a2" w:history="1">
        <w:r w:rsidR="007D50BB" w:rsidRPr="00410BD1">
          <w:rPr>
            <w:rStyle w:val="a5"/>
          </w:rPr>
          <w:t>第2條</w:t>
        </w:r>
      </w:hyperlink>
      <w:r w:rsidR="00203F72" w:rsidRPr="00410BD1">
        <w:t>之規範，「人人有資格享有本宣言所載之一切權利和自由，不分種族、膚色、性別、語言、宗教、政治或其他見解、國籍或社會出身、財產、出生或其他身分等任何區別。並且不得因一人所屬之國家或領土之政治、行政或者國際之地位之不同而有所區別，無論該領土是獨立領土、託管領土、非自治領土或者處於其他任何主權受限制之情況之下。」</w:t>
      </w:r>
    </w:p>
    <w:p w14:paraId="3CE3D71E" w14:textId="77777777" w:rsidR="0046135A" w:rsidRPr="00410BD1" w:rsidRDefault="00B03E84" w:rsidP="00D87D91">
      <w:r w:rsidRPr="00410BD1">
        <w:t xml:space="preserve">　　</w:t>
      </w:r>
      <w:r w:rsidR="00203F72" w:rsidRPr="00410BD1">
        <w:t>在上述之條文中，特別強調之核心重點，係為個人根據本宣言所享有之一切權利和自由，不得因種族、膚色、性別、語言、宗教、政治或其他見解、國籍或社會出身、財產、出生、其他身分、所隸屬之國家政治及行政等等之因素，作出任何區別。亦即，每一位個體，均以平等之方式，享有</w:t>
      </w:r>
      <w:hyperlink r:id="rId81" w:history="1">
        <w:r w:rsidR="00F35C5F" w:rsidRPr="00410BD1">
          <w:rPr>
            <w:rStyle w:val="a5"/>
          </w:rPr>
          <w:t>世界人權宣言</w:t>
        </w:r>
      </w:hyperlink>
      <w:r w:rsidR="00203F72" w:rsidRPr="00410BD1">
        <w:t>所保障之一切權利和自由。世界人權宣</w:t>
      </w:r>
      <w:r w:rsidR="00203F72" w:rsidRPr="00410BD1">
        <w:lastRenderedPageBreak/>
        <w:t>言</w:t>
      </w:r>
      <w:hyperlink r:id="rId82" w:anchor="a2" w:history="1">
        <w:r w:rsidR="00203F72" w:rsidRPr="00410BD1">
          <w:rPr>
            <w:rStyle w:val="a5"/>
          </w:rPr>
          <w:t>第2條</w:t>
        </w:r>
      </w:hyperlink>
      <w:r w:rsidR="00203F72" w:rsidRPr="00410BD1">
        <w:t>所揭示之平等，主要係著重於禁止任何形式之區別。</w:t>
      </w:r>
    </w:p>
    <w:p w14:paraId="0BC067E7" w14:textId="77777777" w:rsidR="0046135A" w:rsidRPr="00410BD1" w:rsidRDefault="00B03E84" w:rsidP="00D87D91">
      <w:r w:rsidRPr="00410BD1">
        <w:t xml:space="preserve">　　</w:t>
      </w:r>
      <w:r w:rsidR="00203F72" w:rsidRPr="00410BD1">
        <w:t>再者，依據公民與政治權利國際公約</w:t>
      </w:r>
      <w:r w:rsidR="00203F72" w:rsidRPr="00410BD1">
        <w:t>(the International Covenant on Civil and Political Rights)(</w:t>
      </w:r>
      <w:r w:rsidR="00203F72" w:rsidRPr="00410BD1">
        <w:t>簡稱為</w:t>
      </w:r>
      <w:r w:rsidR="00203F72" w:rsidRPr="00410BD1">
        <w:t>ICCPR)</w:t>
      </w:r>
      <w:hyperlink r:id="rId83" w:anchor="a2" w:history="1">
        <w:r w:rsidR="00203F72" w:rsidRPr="00410BD1">
          <w:rPr>
            <w:rStyle w:val="a5"/>
          </w:rPr>
          <w:t>第2條</w:t>
        </w:r>
      </w:hyperlink>
      <w:r w:rsidR="00203F72" w:rsidRPr="00410BD1">
        <w:t>第</w:t>
      </w:r>
      <w:r w:rsidR="00203F72" w:rsidRPr="00410BD1">
        <w:t>1</w:t>
      </w:r>
      <w:r w:rsidR="00203F72" w:rsidRPr="00410BD1">
        <w:t>項之規定，「本盟約締約國承允尊重並確保所有境內受其管轄之人，無分種族、膚色、性別、語言、宗教、政見或其他主張、民族本源、社會階級、財產、出生或其他身分等等，一律享受本盟約所確認之權利。」在上述之規定中，特別重</w:t>
      </w:r>
      <w:r w:rsidR="003E240E">
        <w:t>視</w:t>
      </w:r>
      <w:r w:rsidR="00203F72" w:rsidRPr="00410BD1">
        <w:t>於個人所享有本公約之權利之保障之方式，係以一種無差別待遇之形式加以實踐。亦即，禁止針對於種族、膚色、性別、語言、宗教、政見或其他主張、民族本源、社會階級、財產、出生或其他身分等等之因素，作出任何之區別待遇。</w:t>
      </w:r>
    </w:p>
    <w:p w14:paraId="6F5EBFC3" w14:textId="77777777" w:rsidR="0046135A" w:rsidRPr="00410BD1" w:rsidRDefault="00B03E84" w:rsidP="00D87D91">
      <w:r w:rsidRPr="00410BD1">
        <w:t xml:space="preserve">　　</w:t>
      </w:r>
      <w:r w:rsidR="00203F72" w:rsidRPr="00410BD1">
        <w:t>儘管上開世界人權宣</w:t>
      </w:r>
      <w:r w:rsidR="00410BD1" w:rsidRPr="00410BD1">
        <w:t>言</w:t>
      </w:r>
      <w:hyperlink r:id="rId84" w:anchor="a2" w:history="1">
        <w:r w:rsidR="00410BD1" w:rsidRPr="00410BD1">
          <w:rPr>
            <w:rStyle w:val="a5"/>
          </w:rPr>
          <w:t>第2條</w:t>
        </w:r>
      </w:hyperlink>
      <w:r w:rsidR="00203F72" w:rsidRPr="00410BD1">
        <w:t>及公民與政治權利國際公約</w:t>
      </w:r>
      <w:hyperlink r:id="rId85" w:anchor="a2" w:history="1">
        <w:r w:rsidR="00456F6D" w:rsidRPr="00410BD1">
          <w:rPr>
            <w:rStyle w:val="a5"/>
          </w:rPr>
          <w:t>第2條</w:t>
        </w:r>
      </w:hyperlink>
      <w:r w:rsidR="00203F72" w:rsidRPr="00410BD1">
        <w:t>第</w:t>
      </w:r>
      <w:r w:rsidR="00203F72" w:rsidRPr="00410BD1">
        <w:t>1</w:t>
      </w:r>
      <w:r w:rsidR="00203F72" w:rsidRPr="00410BD1">
        <w:t>項均明文規定，禁止就個人所享有之一切權利及自由，作出任何差別式之對待。然而，並非所有針對於不同之人別與群體所作出之區別處遇，均可被</w:t>
      </w:r>
      <w:r w:rsidR="003E240E">
        <w:t>視</w:t>
      </w:r>
      <w:r w:rsidR="00203F72" w:rsidRPr="00410BD1">
        <w:t>為差別對待。事實上，針對人別所作出之差別待遇，如其擬欲追求客觀及合法之目的，且在手段之運用上，上述之區別手法</w:t>
      </w:r>
      <w:r w:rsidR="00203F72" w:rsidRPr="00410BD1">
        <w:t>(</w:t>
      </w:r>
      <w:r w:rsidR="00203F72" w:rsidRPr="00410BD1">
        <w:t>手段</w:t>
      </w:r>
      <w:r w:rsidR="00203F72" w:rsidRPr="00410BD1">
        <w:t>)</w:t>
      </w:r>
      <w:r w:rsidR="00203F72" w:rsidRPr="00410BD1">
        <w:t>，具有合理性；換言之，係採用合理化之手段，此時，上述之人別差別待遇，可被加以正當化</w:t>
      </w:r>
      <w:r w:rsidR="00203F72" w:rsidRPr="00410BD1">
        <w:footnoteReference w:id="8"/>
      </w:r>
      <w:r w:rsidR="00203F72" w:rsidRPr="00410BD1">
        <w:t>。</w:t>
      </w:r>
    </w:p>
    <w:p w14:paraId="20EF9A8C" w14:textId="77777777" w:rsidR="0046135A" w:rsidRPr="00410BD1" w:rsidRDefault="00B03E84" w:rsidP="00D87D91">
      <w:r w:rsidRPr="00410BD1">
        <w:t xml:space="preserve">　　</w:t>
      </w:r>
      <w:r w:rsidR="00203F72" w:rsidRPr="00410BD1">
        <w:t>公民與政治權利國際公約人權</w:t>
      </w:r>
      <w:r w:rsidR="00203F72" w:rsidRPr="00410BD1">
        <w:t>(</w:t>
      </w:r>
      <w:r w:rsidR="00203F72" w:rsidRPr="00410BD1">
        <w:t>事務</w:t>
      </w:r>
      <w:r w:rsidR="00203F72" w:rsidRPr="00410BD1">
        <w:t>)</w:t>
      </w:r>
      <w:r w:rsidR="00203F72" w:rsidRPr="00410BD1">
        <w:t>委員會</w:t>
      </w:r>
      <w:r w:rsidR="00203F72" w:rsidRPr="00410BD1">
        <w:t>(the Human Rights Committee</w:t>
      </w:r>
      <w:r w:rsidR="00203F72" w:rsidRPr="00410BD1">
        <w:t>，簡稱為</w:t>
      </w:r>
      <w:r w:rsidR="00203F72" w:rsidRPr="00410BD1">
        <w:t>HRC)</w:t>
      </w:r>
      <w:r w:rsidR="00203F72" w:rsidRPr="00410BD1">
        <w:footnoteReference w:id="9"/>
      </w:r>
      <w:r w:rsidR="00203F72" w:rsidRPr="00410BD1">
        <w:t>曾針對於差別</w:t>
      </w:r>
      <w:r w:rsidR="00203F72" w:rsidRPr="00410BD1">
        <w:t>(</w:t>
      </w:r>
      <w:r w:rsidR="00203F72" w:rsidRPr="00410BD1">
        <w:t>區別</w:t>
      </w:r>
      <w:r w:rsidR="00203F72" w:rsidRPr="00410BD1">
        <w:t>)</w:t>
      </w:r>
      <w:r w:rsidR="00203F72" w:rsidRPr="00410BD1">
        <w:t>待遇之定義，進行意義上之闡釋。</w:t>
      </w:r>
      <w:hyperlink r:id="rId86" w:history="1">
        <w:r w:rsidR="00203F72" w:rsidRPr="004A35C7">
          <w:rPr>
            <w:rStyle w:val="a5"/>
            <w:rFonts w:ascii="Times New Roman" w:hAnsi="Times New Roman"/>
          </w:rPr>
          <w:t>公民與政治權利國際公約</w:t>
        </w:r>
      </w:hyperlink>
      <w:r w:rsidR="00203F72" w:rsidRPr="00410BD1">
        <w:t>(</w:t>
      </w:r>
      <w:r w:rsidR="00203F72" w:rsidRPr="00410BD1">
        <w:t>簡稱為</w:t>
      </w:r>
      <w:hyperlink r:id="rId87" w:history="1">
        <w:r w:rsidR="00203F72" w:rsidRPr="005532CF">
          <w:rPr>
            <w:rStyle w:val="a5"/>
            <w:rFonts w:ascii="Times New Roman" w:eastAsia="新細明體" w:hAnsi="Times New Roman"/>
          </w:rPr>
          <w:t>ICCPR</w:t>
        </w:r>
      </w:hyperlink>
      <w:r w:rsidR="00203F72" w:rsidRPr="00410BD1">
        <w:t>)</w:t>
      </w:r>
      <w:r w:rsidR="00203F72" w:rsidRPr="00410BD1">
        <w:t>規範體系中之差別</w:t>
      </w:r>
      <w:r w:rsidR="00203F72" w:rsidRPr="00410BD1">
        <w:t>(</w:t>
      </w:r>
      <w:r w:rsidR="00203F72" w:rsidRPr="00410BD1">
        <w:t>區別</w:t>
      </w:r>
      <w:r w:rsidR="00203F72" w:rsidRPr="00410BD1">
        <w:t>)</w:t>
      </w:r>
      <w:r w:rsidR="00203F72" w:rsidRPr="00410BD1">
        <w:t>待遇</w:t>
      </w:r>
      <w:r w:rsidR="00203F72" w:rsidRPr="00410BD1">
        <w:t>(discrimination)</w:t>
      </w:r>
      <w:r w:rsidR="00203F72" w:rsidRPr="00410BD1">
        <w:t>，乃指植基於各種之理由，諸如基於種族、膚色、性別、語言、宗教、政治或其他意見、國籍或社會出身、財產、出生或其他身分地位等等之因素，進行區別對待、排拒</w:t>
      </w:r>
      <w:r w:rsidR="00203F72" w:rsidRPr="00410BD1">
        <w:t>(</w:t>
      </w:r>
      <w:r w:rsidR="00203F72" w:rsidRPr="00410BD1">
        <w:t>斥</w:t>
      </w:r>
      <w:r w:rsidR="00203F72" w:rsidRPr="00410BD1">
        <w:t>)</w:t>
      </w:r>
      <w:r w:rsidR="00203F72" w:rsidRPr="00410BD1">
        <w:t>、限制或設定優先權利之作法；且此等之區別措施，對於任何人站在平等之基石上</w:t>
      </w:r>
      <w:r w:rsidR="00203F72" w:rsidRPr="00410BD1">
        <w:t>(on an equal footing)</w:t>
      </w:r>
      <w:r w:rsidR="00203F72" w:rsidRPr="00410BD1">
        <w:t>，所認知</w:t>
      </w:r>
      <w:r w:rsidR="00203F72" w:rsidRPr="00410BD1">
        <w:t xml:space="preserve">(the </w:t>
      </w:r>
      <w:r w:rsidR="00203F72" w:rsidRPr="00410BD1">
        <w:lastRenderedPageBreak/>
        <w:t>recognition)</w:t>
      </w:r>
      <w:r w:rsidR="00203F72" w:rsidRPr="00410BD1">
        <w:t>、享有</w:t>
      </w:r>
      <w:r w:rsidR="00203F72" w:rsidRPr="00410BD1">
        <w:t>(enjoyment)</w:t>
      </w:r>
      <w:r w:rsidR="00203F72" w:rsidRPr="00410BD1">
        <w:t>或行使</w:t>
      </w:r>
      <w:r w:rsidR="00203F72" w:rsidRPr="00410BD1">
        <w:t>(exercise)</w:t>
      </w:r>
      <w:r w:rsidR="00203F72" w:rsidRPr="00410BD1">
        <w:t>之所有權利或自由</w:t>
      </w:r>
      <w:r w:rsidR="00203F72" w:rsidRPr="00410BD1">
        <w:t>(all rights and freedoms)</w:t>
      </w:r>
      <w:r w:rsidR="00203F72" w:rsidRPr="00410BD1">
        <w:t>，會產生一種無效或損害</w:t>
      </w:r>
      <w:r w:rsidR="00203F72" w:rsidRPr="00410BD1">
        <w:t>(</w:t>
      </w:r>
      <w:r w:rsidR="00203F72" w:rsidRPr="00410BD1">
        <w:t>破壞</w:t>
      </w:r>
      <w:r w:rsidR="00203F72" w:rsidRPr="00410BD1">
        <w:t>)</w:t>
      </w:r>
      <w:r w:rsidR="00203F72" w:rsidRPr="00410BD1">
        <w:t>之目的或效果</w:t>
      </w:r>
      <w:r w:rsidR="00203F72" w:rsidRPr="00410BD1">
        <w:t>(has the purpose or effect of nullifying or impairing)</w:t>
      </w:r>
      <w:r w:rsidR="00203F72" w:rsidRPr="00410BD1">
        <w:t>。依據上述公民與政治權利國際公約</w:t>
      </w:r>
      <w:r w:rsidR="00203F72" w:rsidRPr="00410BD1">
        <w:t>HRC</w:t>
      </w:r>
      <w:r w:rsidR="00203F72" w:rsidRPr="00410BD1">
        <w:t>之意見，區別化之措施</w:t>
      </w:r>
      <w:r w:rsidR="00203F72" w:rsidRPr="00410BD1">
        <w:t>(</w:t>
      </w:r>
      <w:r w:rsidR="00203F72" w:rsidRPr="00410BD1">
        <w:t>手段</w:t>
      </w:r>
      <w:r w:rsidR="00203F72" w:rsidRPr="00410BD1">
        <w:t>)</w:t>
      </w:r>
      <w:r w:rsidR="00203F72" w:rsidRPr="00410BD1">
        <w:t>，須對於權利或自由，產生廢棄、無效或損害之目的或效果，始符合差別</w:t>
      </w:r>
      <w:r w:rsidR="00203F72" w:rsidRPr="00410BD1">
        <w:t>(</w:t>
      </w:r>
      <w:r w:rsidR="00203F72" w:rsidRPr="00410BD1">
        <w:t>區別</w:t>
      </w:r>
      <w:r w:rsidR="00203F72" w:rsidRPr="00410BD1">
        <w:t>)</w:t>
      </w:r>
      <w:r w:rsidR="00203F72" w:rsidRPr="00410BD1">
        <w:t>待遇之定義</w:t>
      </w:r>
      <w:r w:rsidR="00203F72" w:rsidRPr="00410BD1">
        <w:footnoteReference w:id="10"/>
      </w:r>
      <w:r w:rsidR="00203F72" w:rsidRPr="00410BD1">
        <w:t>。</w:t>
      </w:r>
    </w:p>
    <w:p w14:paraId="2308A655" w14:textId="77777777" w:rsidR="0046135A" w:rsidRPr="00410BD1" w:rsidRDefault="00B03E84" w:rsidP="00D87D91">
      <w:r w:rsidRPr="00410BD1">
        <w:t xml:space="preserve">　　</w:t>
      </w:r>
      <w:r w:rsidR="00203F72" w:rsidRPr="00410BD1">
        <w:t>承上所述，公民與政治權利國際公約</w:t>
      </w:r>
      <w:r w:rsidR="00203F72" w:rsidRPr="00410BD1">
        <w:t>HRC</w:t>
      </w:r>
      <w:r w:rsidR="00203F72" w:rsidRPr="00410BD1">
        <w:t>認為任何人站在平等之基石上，所享有之權利或自由之意含，並不意味著對於每一個個案</w:t>
      </w:r>
      <w:r w:rsidR="00203F72" w:rsidRPr="00410BD1">
        <w:t>(</w:t>
      </w:r>
      <w:r w:rsidR="00203F72" w:rsidRPr="00410BD1">
        <w:t>情境</w:t>
      </w:r>
      <w:r w:rsidR="00203F72" w:rsidRPr="00410BD1">
        <w:t>)</w:t>
      </w:r>
      <w:r w:rsidR="00203F72" w:rsidRPr="00410BD1">
        <w:t>而論，均需採取相同之對待</w:t>
      </w:r>
      <w:r w:rsidR="00203F72" w:rsidRPr="00410BD1">
        <w:t>(</w:t>
      </w:r>
      <w:r w:rsidR="00203F72" w:rsidRPr="00410BD1">
        <w:t>處置</w:t>
      </w:r>
      <w:r w:rsidR="00203F72" w:rsidRPr="00410BD1">
        <w:t>)( does not mean identical treatment in every instance)</w:t>
      </w:r>
      <w:r w:rsidR="00203F72" w:rsidRPr="00410BD1">
        <w:t>。公民與政治權利國際公約</w:t>
      </w:r>
      <w:r w:rsidR="00203F72" w:rsidRPr="00410BD1">
        <w:t>HRC</w:t>
      </w:r>
      <w:r w:rsidR="00203F72" w:rsidRPr="00410BD1">
        <w:t>並以</w:t>
      </w:r>
      <w:r w:rsidR="00410BD1" w:rsidRPr="00410BD1">
        <w:t>ICCPR</w:t>
      </w:r>
      <w:hyperlink r:id="rId88" w:anchor="a6" w:history="1">
        <w:r w:rsidR="00410BD1" w:rsidRPr="00410BD1">
          <w:rPr>
            <w:rStyle w:val="a5"/>
          </w:rPr>
          <w:t>第6條</w:t>
        </w:r>
      </w:hyperlink>
      <w:r w:rsidR="00203F72" w:rsidRPr="00410BD1">
        <w:t>第</w:t>
      </w:r>
      <w:r w:rsidR="00203F72" w:rsidRPr="00410BD1">
        <w:t>5</w:t>
      </w:r>
      <w:r w:rsidR="00203F72" w:rsidRPr="00410BD1">
        <w:t>項為例，闡釋上述之法理。</w:t>
      </w:r>
    </w:p>
    <w:p w14:paraId="1DE1CA92" w14:textId="77777777" w:rsidR="00953151" w:rsidRPr="00410BD1" w:rsidRDefault="00B03E84" w:rsidP="00D87D91">
      <w:r w:rsidRPr="00410BD1">
        <w:t xml:space="preserve">　　</w:t>
      </w:r>
      <w:r w:rsidR="00203F72" w:rsidRPr="00410BD1">
        <w:t>根據</w:t>
      </w:r>
      <w:r w:rsidR="00203F72" w:rsidRPr="00410BD1">
        <w:t>ICCPR</w:t>
      </w:r>
      <w:hyperlink r:id="rId89" w:anchor="a6" w:history="1">
        <w:r w:rsidR="00203F72" w:rsidRPr="00410BD1">
          <w:rPr>
            <w:rStyle w:val="a5"/>
          </w:rPr>
          <w:t>第6條</w:t>
        </w:r>
      </w:hyperlink>
      <w:r w:rsidR="00203F72" w:rsidRPr="00410BD1">
        <w:t>第</w:t>
      </w:r>
      <w:r w:rsidR="00203F72" w:rsidRPr="00410BD1">
        <w:t>5</w:t>
      </w:r>
      <w:r w:rsidR="00203F72" w:rsidRPr="00410BD1">
        <w:t>項之規定，「未滿十八歲之人犯罪，不得判處死刑；懷胎婦女被判死刑，不得執行其刑。」上述之規範，即是採用一種不同方式之對待</w:t>
      </w:r>
      <w:r w:rsidR="00203F72" w:rsidRPr="00410BD1">
        <w:t>(</w:t>
      </w:r>
      <w:r w:rsidR="00203F72" w:rsidRPr="00410BD1">
        <w:t>處置</w:t>
      </w:r>
      <w:r w:rsidR="00203F72" w:rsidRPr="00410BD1">
        <w:t>)</w:t>
      </w:r>
      <w:r w:rsidR="00203F72" w:rsidRPr="00410BD1">
        <w:t>。然而，即使</w:t>
      </w:r>
      <w:r w:rsidR="00410BD1" w:rsidRPr="00410BD1">
        <w:t>ICCPR</w:t>
      </w:r>
      <w:hyperlink r:id="rId90" w:anchor="a6" w:history="1">
        <w:r w:rsidR="00410BD1" w:rsidRPr="00410BD1">
          <w:rPr>
            <w:rStyle w:val="a5"/>
          </w:rPr>
          <w:t>第6條</w:t>
        </w:r>
      </w:hyperlink>
      <w:r w:rsidR="00203F72" w:rsidRPr="00410BD1">
        <w:t>第</w:t>
      </w:r>
      <w:r w:rsidR="00203F72" w:rsidRPr="00410BD1">
        <w:t>5</w:t>
      </w:r>
      <w:r w:rsidR="00203F72" w:rsidRPr="00410BD1">
        <w:t>項採取不同方式之對待</w:t>
      </w:r>
      <w:r w:rsidR="00203F72" w:rsidRPr="00410BD1">
        <w:t>(</w:t>
      </w:r>
      <w:r w:rsidR="00203F72" w:rsidRPr="00410BD1">
        <w:t>處置</w:t>
      </w:r>
      <w:r w:rsidR="00203F72" w:rsidRPr="00410BD1">
        <w:t>)</w:t>
      </w:r>
      <w:r w:rsidR="00203F72" w:rsidRPr="00410BD1">
        <w:t>，仍是屬於合法之作法，並未違法。由此，亦可發現，針對於不同個案之案情，採取不同方式之對待</w:t>
      </w:r>
      <w:r w:rsidR="00203F72" w:rsidRPr="00410BD1">
        <w:t>(</w:t>
      </w:r>
      <w:r w:rsidR="00203F72" w:rsidRPr="00410BD1">
        <w:t>處置</w:t>
      </w:r>
      <w:r w:rsidR="00203F72" w:rsidRPr="00410BD1">
        <w:t>)</w:t>
      </w:r>
      <w:r w:rsidR="00203F72" w:rsidRPr="00410BD1">
        <w:t>，仍是符合世界人權宣</w:t>
      </w:r>
      <w:r w:rsidR="00410BD1" w:rsidRPr="00410BD1">
        <w:t>言</w:t>
      </w:r>
      <w:hyperlink r:id="rId91" w:anchor="a2" w:history="1">
        <w:r w:rsidR="00410BD1" w:rsidRPr="00410BD1">
          <w:rPr>
            <w:rStyle w:val="a5"/>
          </w:rPr>
          <w:t>第2條</w:t>
        </w:r>
      </w:hyperlink>
      <w:r w:rsidR="00203F72" w:rsidRPr="00410BD1">
        <w:t>及公民與政治權利國際公約</w:t>
      </w:r>
      <w:hyperlink r:id="rId92" w:anchor="a2" w:history="1">
        <w:r w:rsidR="005532CF" w:rsidRPr="00410BD1">
          <w:rPr>
            <w:rStyle w:val="a5"/>
          </w:rPr>
          <w:t>第2條</w:t>
        </w:r>
      </w:hyperlink>
      <w:r w:rsidR="00203F72" w:rsidRPr="00410BD1">
        <w:t>第</w:t>
      </w:r>
      <w:r w:rsidR="00203F72" w:rsidRPr="00410BD1">
        <w:t>1</w:t>
      </w:r>
      <w:r w:rsidR="00203F72" w:rsidRPr="00410BD1">
        <w:t>項之要求</w:t>
      </w:r>
      <w:r w:rsidR="00203F72" w:rsidRPr="00410BD1">
        <w:footnoteReference w:id="11"/>
      </w:r>
      <w:r w:rsidR="00203F72" w:rsidRPr="00410BD1">
        <w:t>。</w:t>
      </w:r>
    </w:p>
    <w:p w14:paraId="7A2505A6" w14:textId="77777777" w:rsidR="0046135A" w:rsidRPr="00410BD1" w:rsidRDefault="00B03E84" w:rsidP="00D87D91">
      <w:r w:rsidRPr="00410BD1">
        <w:t xml:space="preserve">　　</w:t>
      </w:r>
      <w:r w:rsidR="00203F72" w:rsidRPr="00410BD1">
        <w:t>站在</w:t>
      </w:r>
      <w:hyperlink r:id="rId93" w:history="1">
        <w:r w:rsidR="005532CF" w:rsidRPr="005532CF">
          <w:rPr>
            <w:rStyle w:val="a5"/>
            <w:rFonts w:ascii="Times New Roman" w:eastAsia="新細明體" w:hAnsi="Times New Roman"/>
          </w:rPr>
          <w:t>ICCPR</w:t>
        </w:r>
      </w:hyperlink>
      <w:r w:rsidR="00203F72" w:rsidRPr="00410BD1">
        <w:t>締約國之立場，締約國為了保障平等權之實踐，有時，須針對於會產生或有助於造成被</w:t>
      </w:r>
      <w:r w:rsidR="00203F72" w:rsidRPr="00410BD1">
        <w:t>ICCPR</w:t>
      </w:r>
      <w:r w:rsidR="00203F72" w:rsidRPr="00410BD1">
        <w:t>所禁止之永久性差別</w:t>
      </w:r>
      <w:r w:rsidR="00203F72" w:rsidRPr="00410BD1">
        <w:t>(</w:t>
      </w:r>
      <w:r w:rsidR="00203F72" w:rsidRPr="00410BD1">
        <w:t>區別</w:t>
      </w:r>
      <w:r w:rsidR="00203F72" w:rsidRPr="00410BD1">
        <w:t>)</w:t>
      </w:r>
      <w:r w:rsidR="00203F72" w:rsidRPr="00410BD1">
        <w:t>待遇之情境，採取主動援助弱勢族群行動</w:t>
      </w:r>
      <w:r w:rsidR="00203F72" w:rsidRPr="00410BD1">
        <w:t>(to take affirmative action</w:t>
      </w:r>
      <w:r w:rsidR="00203F72" w:rsidRPr="00410BD1">
        <w:t>，或稱為反歧</w:t>
      </w:r>
      <w:r w:rsidR="003E240E">
        <w:t>視</w:t>
      </w:r>
      <w:r w:rsidR="00203F72" w:rsidRPr="00410BD1">
        <w:t>行動、平權行動</w:t>
      </w:r>
      <w:r w:rsidR="00203F72" w:rsidRPr="00410BD1">
        <w:t>)</w:t>
      </w:r>
      <w:r w:rsidR="00203F72" w:rsidRPr="00410BD1">
        <w:t>之作法，俾利於削減或消除上述之不利條件之發生</w:t>
      </w:r>
      <w:r w:rsidR="00203F72" w:rsidRPr="00410BD1">
        <w:t>(in order to diminish or eliminate conditions)</w:t>
      </w:r>
      <w:r w:rsidR="00203F72" w:rsidRPr="00410BD1">
        <w:t>。舉例而言，假若於某一個締約國之境內，對於特定之人口族群而言，存在著共通性之情境</w:t>
      </w:r>
      <w:r w:rsidR="00203F72" w:rsidRPr="00410BD1">
        <w:t>(the general conditions of a certain part of the population)</w:t>
      </w:r>
      <w:r w:rsidR="00203F72" w:rsidRPr="00410BD1">
        <w:t>，此種之情境會妨礙或損傷該特定人口族群對於人權之享有</w:t>
      </w:r>
      <w:r w:rsidR="00203F72" w:rsidRPr="00410BD1">
        <w:t>(prevent or impair their enjoyment of human rights)</w:t>
      </w:r>
      <w:r w:rsidR="00203F72" w:rsidRPr="00410BD1">
        <w:t>。</w:t>
      </w:r>
    </w:p>
    <w:p w14:paraId="79569D7F" w14:textId="77777777" w:rsidR="0046135A" w:rsidRPr="00410BD1" w:rsidRDefault="00B03E84" w:rsidP="00D87D91">
      <w:r w:rsidRPr="00410BD1">
        <w:t xml:space="preserve">　　</w:t>
      </w:r>
      <w:r w:rsidR="00203F72" w:rsidRPr="00410BD1">
        <w:t>此時，主權國家須採取特定性之行動，以利矯正上述之情境。主權國家為了達到矯正上述不利之情境</w:t>
      </w:r>
      <w:r w:rsidR="00203F72" w:rsidRPr="00410BD1">
        <w:t>(to correct those conditions)</w:t>
      </w:r>
      <w:r w:rsidR="00203F72" w:rsidRPr="00410BD1">
        <w:t>，有可能會針對上述特定之人口族群，在一定之時程之內，就特定之事項部分，採取特定處遇之作為</w:t>
      </w:r>
      <w:r w:rsidR="00203F72" w:rsidRPr="00410BD1">
        <w:t>(the State should take specific action)</w:t>
      </w:r>
      <w:r w:rsidR="00203F72" w:rsidRPr="00410BD1">
        <w:t>；而此種特定處遇之作為，若與其他人口族群相較，則具有特定優先處置</w:t>
      </w:r>
      <w:r w:rsidR="00203F72" w:rsidRPr="00410BD1">
        <w:t>(</w:t>
      </w:r>
      <w:r w:rsidR="00203F72" w:rsidRPr="00410BD1">
        <w:t>遇</w:t>
      </w:r>
      <w:r w:rsidR="00203F72" w:rsidRPr="00410BD1">
        <w:t>)</w:t>
      </w:r>
      <w:r w:rsidR="00203F72" w:rsidRPr="00410BD1">
        <w:t>之性質。假若主權國家係基於為了矯正特定之人口族群遭受歧</w:t>
      </w:r>
      <w:r w:rsidR="003E240E">
        <w:t>視</w:t>
      </w:r>
      <w:r w:rsidR="00203F72" w:rsidRPr="00410BD1">
        <w:t>之問題，所採取上述必需之特定優先處置</w:t>
      </w:r>
      <w:r w:rsidR="00203F72" w:rsidRPr="00410BD1">
        <w:t>(</w:t>
      </w:r>
      <w:r w:rsidR="00203F72" w:rsidRPr="00410BD1">
        <w:t>遇</w:t>
      </w:r>
      <w:r w:rsidR="00203F72" w:rsidRPr="00410BD1">
        <w:t>)</w:t>
      </w:r>
      <w:r w:rsidR="00203F72" w:rsidRPr="00410BD1">
        <w:t>之措施，則在</w:t>
      </w:r>
      <w:hyperlink r:id="rId94" w:history="1">
        <w:r w:rsidR="005532CF" w:rsidRPr="005532CF">
          <w:rPr>
            <w:rStyle w:val="a5"/>
            <w:rFonts w:ascii="Times New Roman" w:eastAsia="新細明體" w:hAnsi="Times New Roman"/>
          </w:rPr>
          <w:t>ICCPR</w:t>
        </w:r>
      </w:hyperlink>
      <w:r w:rsidR="00203F72" w:rsidRPr="00410BD1">
        <w:t>之法律規範下，此係屬於合法之差別處遇作為</w:t>
      </w:r>
      <w:r w:rsidR="00203F72" w:rsidRPr="00410BD1">
        <w:footnoteReference w:id="12"/>
      </w:r>
      <w:r w:rsidR="00203F72" w:rsidRPr="00410BD1">
        <w:t>。</w:t>
      </w:r>
    </w:p>
    <w:p w14:paraId="0AE51C6F" w14:textId="77777777" w:rsidR="00953151" w:rsidRPr="00410BD1" w:rsidRDefault="00B03E84" w:rsidP="00D87D91">
      <w:r w:rsidRPr="00410BD1">
        <w:t xml:space="preserve">　　</w:t>
      </w:r>
      <w:r w:rsidR="00203F72" w:rsidRPr="00410BD1">
        <w:t>再者，</w:t>
      </w:r>
      <w:r w:rsidR="00410BD1" w:rsidRPr="00410BD1">
        <w:t>ICCPR</w:t>
      </w:r>
      <w:hyperlink r:id="rId95" w:anchor="a26" w:history="1">
        <w:r w:rsidR="00410BD1" w:rsidRPr="00410BD1">
          <w:rPr>
            <w:rStyle w:val="a5"/>
          </w:rPr>
          <w:t>第26條</w:t>
        </w:r>
      </w:hyperlink>
      <w:r w:rsidR="00203F72" w:rsidRPr="00410BD1">
        <w:t>就有關於平等權涵義之規定方面，亦作出相對應之規範。根據</w:t>
      </w:r>
      <w:r w:rsidR="00410BD1" w:rsidRPr="00410BD1">
        <w:t>ICCPR</w:t>
      </w:r>
      <w:hyperlink r:id="rId96" w:anchor="a26" w:history="1">
        <w:r w:rsidR="00410BD1" w:rsidRPr="00410BD1">
          <w:rPr>
            <w:rStyle w:val="a5"/>
          </w:rPr>
          <w:t>第26條</w:t>
        </w:r>
      </w:hyperlink>
      <w:r w:rsidR="00203F72" w:rsidRPr="00410BD1">
        <w:t>之規定，「人人在法律上一律平等，且應受法律平等保護，無所歧</w:t>
      </w:r>
      <w:r w:rsidR="003E240E">
        <w:t>視</w:t>
      </w:r>
      <w:r w:rsidR="00203F72" w:rsidRPr="00410BD1">
        <w:t>。在此方面，法律應禁止任何歧</w:t>
      </w:r>
      <w:r w:rsidR="003E240E">
        <w:t>視</w:t>
      </w:r>
      <w:r w:rsidR="00203F72" w:rsidRPr="00410BD1">
        <w:t>，並保證人人享受平等而有效之保護，以防因種族、膚色、性別、語言、宗教、政見或其他主張、民族本源或社會階級。財產、出生或其他身分而生之歧</w:t>
      </w:r>
      <w:r w:rsidR="003E240E">
        <w:t>視</w:t>
      </w:r>
      <w:r w:rsidR="00203F72" w:rsidRPr="00410BD1">
        <w:t>。」依據上述</w:t>
      </w:r>
      <w:r w:rsidR="00410BD1" w:rsidRPr="00410BD1">
        <w:t>ICCPR</w:t>
      </w:r>
      <w:hyperlink r:id="rId97" w:anchor="a26" w:history="1">
        <w:r w:rsidR="00410BD1" w:rsidRPr="00410BD1">
          <w:rPr>
            <w:rStyle w:val="a5"/>
          </w:rPr>
          <w:t>第26條</w:t>
        </w:r>
      </w:hyperlink>
      <w:r w:rsidR="00203F72" w:rsidRPr="00410BD1">
        <w:t>之規定，人人均有權享有法律上之平等權利，且此種之平等權，不受任何之歧</w:t>
      </w:r>
      <w:r w:rsidR="003E240E">
        <w:t>視</w:t>
      </w:r>
      <w:r w:rsidR="00203F72" w:rsidRPr="00410BD1">
        <w:t>，並受平等之保障。根據公民與政治權利國際公約之</w:t>
      </w:r>
      <w:r w:rsidR="00203F72" w:rsidRPr="00410BD1">
        <w:t>HRC</w:t>
      </w:r>
      <w:r w:rsidR="00203F72" w:rsidRPr="00410BD1">
        <w:footnoteReference w:id="13"/>
      </w:r>
      <w:r w:rsidR="00203F72" w:rsidRPr="00410BD1">
        <w:t>審理個人</w:t>
      </w:r>
      <w:r w:rsidR="00203F72" w:rsidRPr="00410BD1">
        <w:t>(</w:t>
      </w:r>
      <w:r w:rsidR="00203F72" w:rsidRPr="00410BD1">
        <w:t>受害人</w:t>
      </w:r>
      <w:r w:rsidR="00203F72" w:rsidRPr="00410BD1">
        <w:t>)</w:t>
      </w:r>
      <w:r w:rsidR="00203F72" w:rsidRPr="00410BD1">
        <w:t>控訴加害國違反</w:t>
      </w:r>
      <w:r w:rsidR="00410BD1" w:rsidRPr="00410BD1">
        <w:t>ICCPR</w:t>
      </w:r>
      <w:hyperlink r:id="rId98" w:anchor="a26" w:history="1">
        <w:r w:rsidR="00410BD1" w:rsidRPr="00410BD1">
          <w:rPr>
            <w:rStyle w:val="a5"/>
          </w:rPr>
          <w:t>第26條</w:t>
        </w:r>
      </w:hyperlink>
      <w:r w:rsidR="00203F72" w:rsidRPr="00410BD1">
        <w:t>相關案件之意見與看法，</w:t>
      </w:r>
      <w:r w:rsidR="00203F72" w:rsidRPr="00410BD1">
        <w:t>HRC</w:t>
      </w:r>
      <w:r w:rsidR="00203F72" w:rsidRPr="00410BD1">
        <w:lastRenderedPageBreak/>
        <w:t>認為所謂之「人人在法律上一律平等</w:t>
      </w:r>
      <w:r w:rsidR="00203F72" w:rsidRPr="00410BD1">
        <w:t>(the right to equality before the law)</w:t>
      </w:r>
      <w:r w:rsidR="00203F72" w:rsidRPr="00410BD1">
        <w:t>，且應受法律平等保護</w:t>
      </w:r>
      <w:r w:rsidR="00203F72" w:rsidRPr="00410BD1">
        <w:t>(and equal protection of the law)</w:t>
      </w:r>
      <w:r w:rsidR="00203F72" w:rsidRPr="00410BD1">
        <w:t>，無所歧</w:t>
      </w:r>
      <w:r w:rsidR="003E240E">
        <w:t>視</w:t>
      </w:r>
      <w:r w:rsidR="00203F72" w:rsidRPr="00410BD1">
        <w:t>」</w:t>
      </w:r>
      <w:r w:rsidR="00203F72" w:rsidRPr="00410BD1">
        <w:t>(without any discrimination)</w:t>
      </w:r>
      <w:r w:rsidR="00203F72" w:rsidRPr="00410BD1">
        <w:t>之真實性意義，乃在於其與國家採取之差異性處置</w:t>
      </w:r>
      <w:r w:rsidR="00203F72" w:rsidRPr="00410BD1">
        <w:t>(</w:t>
      </w:r>
      <w:r w:rsidR="00203F72" w:rsidRPr="00410BD1">
        <w:t>措施</w:t>
      </w:r>
      <w:r w:rsidR="00203F72" w:rsidRPr="00410BD1">
        <w:t>)(treatment discriminatory)</w:t>
      </w:r>
      <w:r w:rsidR="00203F72" w:rsidRPr="00410BD1">
        <w:t>之間，並非具有完全之差異性</w:t>
      </w:r>
      <w:r w:rsidR="00203F72" w:rsidRPr="00410BD1">
        <w:t>(does not make all differences )</w:t>
      </w:r>
      <w:r w:rsidR="00203F72" w:rsidRPr="00410BD1">
        <w:t>；亦即，兩者之間，並非完全之不同。換言之，兩者有可能具有部分之相同性。</w:t>
      </w:r>
    </w:p>
    <w:p w14:paraId="12807537" w14:textId="77777777" w:rsidR="00953151" w:rsidRPr="00410BD1" w:rsidRDefault="00B03E84" w:rsidP="00D87D91">
      <w:r w:rsidRPr="00410BD1">
        <w:t xml:space="preserve">　　</w:t>
      </w:r>
      <w:r w:rsidR="00203F72" w:rsidRPr="00410BD1">
        <w:t>在</w:t>
      </w:r>
      <w:r w:rsidR="00410BD1" w:rsidRPr="00410BD1">
        <w:t>ICCPR</w:t>
      </w:r>
      <w:hyperlink r:id="rId99" w:anchor="a26" w:history="1">
        <w:r w:rsidR="00410BD1" w:rsidRPr="00410BD1">
          <w:rPr>
            <w:rStyle w:val="a5"/>
          </w:rPr>
          <w:t>第26條</w:t>
        </w:r>
      </w:hyperlink>
      <w:r w:rsidR="00203F72" w:rsidRPr="00410BD1">
        <w:t>之法律意涵之下，植基於合理化與客觀化之標準</w:t>
      </w:r>
      <w:r w:rsidR="00203F72" w:rsidRPr="00410BD1">
        <w:t>(reasonable and objective criteria)</w:t>
      </w:r>
      <w:r w:rsidR="00203F72" w:rsidRPr="00410BD1">
        <w:t>，所採取之差異性措施</w:t>
      </w:r>
      <w:r w:rsidR="00203F72" w:rsidRPr="00410BD1">
        <w:t>(</w:t>
      </w:r>
      <w:r w:rsidR="00203F72" w:rsidRPr="00410BD1">
        <w:t>作為</w:t>
      </w:r>
      <w:r w:rsidR="00203F72" w:rsidRPr="00410BD1">
        <w:t>)(differentiation)</w:t>
      </w:r>
      <w:r w:rsidR="00203F72" w:rsidRPr="00410BD1">
        <w:t>，並不等同於</w:t>
      </w:r>
      <w:r w:rsidR="00410BD1" w:rsidRPr="00410BD1">
        <w:t>ICCPR</w:t>
      </w:r>
      <w:hyperlink r:id="rId100" w:anchor="a26" w:history="1">
        <w:r w:rsidR="00410BD1" w:rsidRPr="00410BD1">
          <w:rPr>
            <w:rStyle w:val="a5"/>
          </w:rPr>
          <w:t>第26條</w:t>
        </w:r>
      </w:hyperlink>
      <w:r w:rsidR="00203F72" w:rsidRPr="00410BD1">
        <w:t>所禁止之任何差別化歧</w:t>
      </w:r>
      <w:r w:rsidR="003E240E">
        <w:t>視</w:t>
      </w:r>
      <w:r w:rsidR="00203F72" w:rsidRPr="00410BD1">
        <w:t>(does not amount to prohibited discrimination)</w:t>
      </w:r>
      <w:r w:rsidR="00203F72" w:rsidRPr="00410BD1">
        <w:t>。而</w:t>
      </w:r>
      <w:r w:rsidR="00203F72" w:rsidRPr="00410BD1">
        <w:t>HRC</w:t>
      </w:r>
      <w:r w:rsidR="00203F72" w:rsidRPr="00410BD1">
        <w:t>之任務，即在於審查締約國所採取之上述差異性措施</w:t>
      </w:r>
      <w:r w:rsidR="00203F72" w:rsidRPr="00410BD1">
        <w:t>(</w:t>
      </w:r>
      <w:r w:rsidR="00203F72" w:rsidRPr="00410BD1">
        <w:t>作為</w:t>
      </w:r>
      <w:r w:rsidR="00203F72" w:rsidRPr="00410BD1">
        <w:t>)</w:t>
      </w:r>
      <w:r w:rsidR="00203F72" w:rsidRPr="00410BD1">
        <w:t>，是否符合合理化與客觀化之標準</w:t>
      </w:r>
      <w:r w:rsidR="00203F72" w:rsidRPr="00410BD1">
        <w:footnoteReference w:id="14"/>
      </w:r>
      <w:r w:rsidR="00203F72" w:rsidRPr="00410BD1">
        <w:t>。假若上述之差異性</w:t>
      </w:r>
      <w:r w:rsidR="00203F72" w:rsidRPr="00410BD1">
        <w:t>(</w:t>
      </w:r>
      <w:r w:rsidR="00203F72" w:rsidRPr="00410BD1">
        <w:t>區別性</w:t>
      </w:r>
      <w:r w:rsidR="00203F72" w:rsidRPr="00410BD1">
        <w:t>)</w:t>
      </w:r>
      <w:r w:rsidR="00203F72" w:rsidRPr="00410BD1">
        <w:t>措施，符合合理化與客觀化之標準，則此種差異性</w:t>
      </w:r>
      <w:r w:rsidR="00203F72" w:rsidRPr="00410BD1">
        <w:t>(</w:t>
      </w:r>
      <w:r w:rsidR="00203F72" w:rsidRPr="00410BD1">
        <w:t>區別性</w:t>
      </w:r>
      <w:r w:rsidR="00203F72" w:rsidRPr="00410BD1">
        <w:t>)</w:t>
      </w:r>
      <w:r w:rsidR="00203F72" w:rsidRPr="00410BD1">
        <w:t>措施，並未違反</w:t>
      </w:r>
      <w:r w:rsidR="00410BD1" w:rsidRPr="00410BD1">
        <w:t>ICCPR</w:t>
      </w:r>
      <w:hyperlink r:id="rId101" w:anchor="a26" w:history="1">
        <w:r w:rsidR="00410BD1" w:rsidRPr="00410BD1">
          <w:rPr>
            <w:rStyle w:val="a5"/>
          </w:rPr>
          <w:t>第26條</w:t>
        </w:r>
      </w:hyperlink>
      <w:r w:rsidR="00203F72" w:rsidRPr="00410BD1">
        <w:t>所禁止之任何差別化歧</w:t>
      </w:r>
      <w:r w:rsidR="003E240E">
        <w:t>視</w:t>
      </w:r>
      <w:r w:rsidR="00203F72" w:rsidRPr="00410BD1">
        <w:t>之規定。反之，假若上述之差異性</w:t>
      </w:r>
      <w:r w:rsidR="00203F72" w:rsidRPr="00410BD1">
        <w:t>(</w:t>
      </w:r>
      <w:r w:rsidR="00203F72" w:rsidRPr="00410BD1">
        <w:t>區別性</w:t>
      </w:r>
      <w:r w:rsidR="00203F72" w:rsidRPr="00410BD1">
        <w:t>)</w:t>
      </w:r>
      <w:r w:rsidR="00203F72" w:rsidRPr="00410BD1">
        <w:t>措施，未符合合理化與客觀化之標準，則此種差異性</w:t>
      </w:r>
      <w:r w:rsidR="00203F72" w:rsidRPr="00410BD1">
        <w:t>(</w:t>
      </w:r>
      <w:r w:rsidR="00203F72" w:rsidRPr="00410BD1">
        <w:t>區別性</w:t>
      </w:r>
      <w:r w:rsidR="00203F72" w:rsidRPr="00410BD1">
        <w:t>)</w:t>
      </w:r>
      <w:r w:rsidR="00203F72" w:rsidRPr="00410BD1">
        <w:t>之措施，業已明顯地違反</w:t>
      </w:r>
      <w:r w:rsidR="00410BD1" w:rsidRPr="00410BD1">
        <w:t>ICCPR</w:t>
      </w:r>
      <w:hyperlink r:id="rId102" w:anchor="a26" w:history="1">
        <w:r w:rsidR="00410BD1" w:rsidRPr="00410BD1">
          <w:rPr>
            <w:rStyle w:val="a5"/>
          </w:rPr>
          <w:t>第26條</w:t>
        </w:r>
      </w:hyperlink>
      <w:r w:rsidR="00203F72" w:rsidRPr="00410BD1">
        <w:t>所禁止之任何差別化歧</w:t>
      </w:r>
      <w:r w:rsidR="003E240E">
        <w:t>視</w:t>
      </w:r>
      <w:r w:rsidR="00203F72" w:rsidRPr="00410BD1">
        <w:t>之規定。</w:t>
      </w:r>
    </w:p>
    <w:p w14:paraId="651D7CDF" w14:textId="77777777" w:rsidR="00953151" w:rsidRPr="00410BD1" w:rsidRDefault="00B03E84" w:rsidP="00D87D91">
      <w:r w:rsidRPr="00410BD1">
        <w:t xml:space="preserve">　　</w:t>
      </w:r>
      <w:r w:rsidR="00203F72" w:rsidRPr="00410BD1">
        <w:t>在美洲地區，有關於平等權之法律保障</w:t>
      </w:r>
      <w:r w:rsidR="00203F72" w:rsidRPr="00410BD1">
        <w:t>(Right to Equal Protection)</w:t>
      </w:r>
      <w:r w:rsidR="00203F72" w:rsidRPr="00410BD1">
        <w:t>法制方面，係受到美洲人權公約</w:t>
      </w:r>
      <w:r w:rsidR="00203F72" w:rsidRPr="00410BD1">
        <w:footnoteReference w:id="15"/>
      </w:r>
      <w:r w:rsidR="00203F72" w:rsidRPr="00410BD1">
        <w:t>(American Convention on Human Rights</w:t>
      </w:r>
      <w:r w:rsidR="00203F72" w:rsidRPr="00410BD1">
        <w:t>，簡稱為</w:t>
      </w:r>
      <w:r w:rsidR="00203F72" w:rsidRPr="00410BD1">
        <w:t>ACHR)</w:t>
      </w:r>
      <w:r w:rsidR="00203F72" w:rsidRPr="00410BD1">
        <w:footnoteReference w:id="16"/>
      </w:r>
      <w:r w:rsidR="00203F72" w:rsidRPr="00410BD1">
        <w:t>第</w:t>
      </w:r>
      <w:r w:rsidR="00203F72" w:rsidRPr="00410BD1">
        <w:t>1</w:t>
      </w:r>
      <w:r w:rsidR="00203F72" w:rsidRPr="00410BD1">
        <w:t>條及第</w:t>
      </w:r>
      <w:r w:rsidR="00203F72" w:rsidRPr="00410BD1">
        <w:t>24</w:t>
      </w:r>
      <w:r w:rsidR="00203F72" w:rsidRPr="00410BD1">
        <w:t>條之保障</w:t>
      </w:r>
      <w:r w:rsidR="00203F72" w:rsidRPr="00410BD1">
        <w:t>(</w:t>
      </w:r>
      <w:r w:rsidR="00203F72" w:rsidRPr="00410BD1">
        <w:t>平等保護之權利</w:t>
      </w:r>
      <w:r w:rsidR="00203F72" w:rsidRPr="00410BD1">
        <w:t>)</w:t>
      </w:r>
      <w:r w:rsidR="00203F72" w:rsidRPr="00410BD1">
        <w:t>。依據上述</w:t>
      </w:r>
      <w:r w:rsidR="00203F72" w:rsidRPr="00410BD1">
        <w:t>ACHR</w:t>
      </w:r>
      <w:r w:rsidR="00203F72" w:rsidRPr="00410BD1">
        <w:t>第</w:t>
      </w:r>
      <w:r w:rsidR="00203F72" w:rsidRPr="00410BD1">
        <w:t>1</w:t>
      </w:r>
      <w:r w:rsidR="00203F72" w:rsidRPr="00410BD1">
        <w:t>條</w:t>
      </w:r>
      <w:r w:rsidR="00203F72" w:rsidRPr="00410BD1">
        <w:footnoteReference w:id="17"/>
      </w:r>
      <w:r w:rsidR="00203F72" w:rsidRPr="00410BD1">
        <w:t>第</w:t>
      </w:r>
      <w:r w:rsidR="00203F72" w:rsidRPr="00410BD1">
        <w:t>1</w:t>
      </w:r>
      <w:r w:rsidR="00203F72" w:rsidRPr="00410BD1">
        <w:t>款之規定，「本公約各締約國承允尊重本公約所承認之各項權利和自由</w:t>
      </w:r>
      <w:r w:rsidR="00203F72" w:rsidRPr="00410BD1">
        <w:t>(The States Parties to this Convention undertake to respect the rights and freedoms recognized herein)</w:t>
      </w:r>
      <w:r w:rsidR="00203F72" w:rsidRPr="00410BD1">
        <w:t>，並保證在它們管轄下之所有之人，都能自由地、全部地行使這些權利和自由</w:t>
      </w:r>
      <w:r w:rsidR="00203F72" w:rsidRPr="00410BD1">
        <w:t>(to ensure to all persons subject to their jurisdiction the free and full exercise of those rights and freedoms)</w:t>
      </w:r>
      <w:r w:rsidR="00203F72" w:rsidRPr="00410BD1">
        <w:t>，不因種族、膚色、性別、語言、宗教、政治見解或其他主張、民族或社會出身、經濟地位、出生或其他任何社會條件</w:t>
      </w:r>
      <w:r w:rsidR="00203F72" w:rsidRPr="00410BD1">
        <w:t>(for reasons of race, color, sex, language, religion, political or other opinion, national or social origin, economic status, birth, or any other social condition)</w:t>
      </w:r>
      <w:r w:rsidR="00203F72" w:rsidRPr="00410BD1">
        <w:t>而受到任何歧</w:t>
      </w:r>
      <w:r w:rsidR="003E240E">
        <w:t>視</w:t>
      </w:r>
      <w:r w:rsidR="00203F72" w:rsidRPr="00410BD1">
        <w:t>(without any discrimination)</w:t>
      </w:r>
      <w:r w:rsidR="00203F72" w:rsidRPr="00410BD1">
        <w:t>。」</w:t>
      </w:r>
    </w:p>
    <w:p w14:paraId="374C5233" w14:textId="77777777" w:rsidR="00953151" w:rsidRPr="00410BD1" w:rsidRDefault="00B03E84" w:rsidP="00D87D91">
      <w:r w:rsidRPr="00410BD1">
        <w:t xml:space="preserve">　　</w:t>
      </w:r>
      <w:r w:rsidR="00203F72" w:rsidRPr="00410BD1">
        <w:t>依據上述</w:t>
      </w:r>
      <w:r w:rsidR="00203F72" w:rsidRPr="00410BD1">
        <w:t>ACHR</w:t>
      </w:r>
      <w:r w:rsidR="00203F72" w:rsidRPr="00410BD1">
        <w:t>第</w:t>
      </w:r>
      <w:r w:rsidR="00203F72" w:rsidRPr="00410BD1">
        <w:t>1</w:t>
      </w:r>
      <w:r w:rsidR="00203F72" w:rsidRPr="00410BD1">
        <w:t>條第</w:t>
      </w:r>
      <w:r w:rsidR="00203F72" w:rsidRPr="00410BD1">
        <w:t>1</w:t>
      </w:r>
      <w:r w:rsidR="00203F72" w:rsidRPr="00410BD1">
        <w:t>款之規定，個人在行使</w:t>
      </w:r>
      <w:r w:rsidR="00203F72" w:rsidRPr="00410BD1">
        <w:t>ACHR</w:t>
      </w:r>
      <w:r w:rsidR="00203F72" w:rsidRPr="00410BD1">
        <w:t>所承認之各項權利和自由時，不會受到任何之歧</w:t>
      </w:r>
      <w:r w:rsidR="003E240E">
        <w:t>視</w:t>
      </w:r>
      <w:r w:rsidR="00203F72" w:rsidRPr="00410BD1">
        <w:t>(without any discrimination)</w:t>
      </w:r>
      <w:r w:rsidR="00203F72" w:rsidRPr="00410BD1">
        <w:t>。因</w:t>
      </w:r>
      <w:r w:rsidR="00203F72" w:rsidRPr="00410BD1">
        <w:t>ACHR</w:t>
      </w:r>
      <w:r w:rsidR="00203F72" w:rsidRPr="00410BD1">
        <w:t>第</w:t>
      </w:r>
      <w:r w:rsidR="00203F72" w:rsidRPr="00410BD1">
        <w:t>1</w:t>
      </w:r>
      <w:r w:rsidR="00203F72" w:rsidRPr="00410BD1">
        <w:t>條第</w:t>
      </w:r>
      <w:r w:rsidR="00203F72" w:rsidRPr="00410BD1">
        <w:t>1</w:t>
      </w:r>
      <w:r w:rsidR="00203F72" w:rsidRPr="00410BD1">
        <w:t>款所指之各項權利和自由，實已包含第</w:t>
      </w:r>
      <w:r w:rsidR="00203F72" w:rsidRPr="00410BD1">
        <w:t>24</w:t>
      </w:r>
      <w:r w:rsidR="00203F72" w:rsidRPr="00410BD1">
        <w:t>條之平等權。再者，</w:t>
      </w:r>
      <w:r w:rsidR="00203F72" w:rsidRPr="00410BD1">
        <w:t>ACHR</w:t>
      </w:r>
      <w:r w:rsidR="00203F72" w:rsidRPr="00410BD1">
        <w:t>第</w:t>
      </w:r>
      <w:r w:rsidR="00203F72" w:rsidRPr="00410BD1">
        <w:t>1</w:t>
      </w:r>
      <w:r w:rsidR="00203F72" w:rsidRPr="00410BD1">
        <w:t>條第</w:t>
      </w:r>
      <w:r w:rsidR="00203F72" w:rsidRPr="00410BD1">
        <w:t>1</w:t>
      </w:r>
      <w:r w:rsidR="00203F72" w:rsidRPr="00410BD1">
        <w:t>款亦特別強調個人在行使各項權利和自由之際，不受到任何之歧</w:t>
      </w:r>
      <w:r w:rsidR="003E240E">
        <w:t>視</w:t>
      </w:r>
      <w:r w:rsidR="00203F72" w:rsidRPr="00410BD1">
        <w:t>(without any discrimination)</w:t>
      </w:r>
      <w:r w:rsidR="00203F72" w:rsidRPr="00410BD1">
        <w:t>。綜上，在</w:t>
      </w:r>
      <w:r w:rsidR="00203F72" w:rsidRPr="00410BD1">
        <w:t>ACHR</w:t>
      </w:r>
      <w:r w:rsidR="00203F72" w:rsidRPr="00410BD1">
        <w:t>第</w:t>
      </w:r>
      <w:r w:rsidR="00203F72" w:rsidRPr="00410BD1">
        <w:t>1</w:t>
      </w:r>
      <w:r w:rsidR="00203F72" w:rsidRPr="00410BD1">
        <w:t>條第</w:t>
      </w:r>
      <w:r w:rsidR="00203F72" w:rsidRPr="00410BD1">
        <w:t>1</w:t>
      </w:r>
      <w:r w:rsidR="00203F72" w:rsidRPr="00410BD1">
        <w:t>款之中，似已包括某種程度之平等權意含</w:t>
      </w:r>
      <w:r w:rsidR="00203F72" w:rsidRPr="00410BD1">
        <w:footnoteReference w:id="18"/>
      </w:r>
      <w:r w:rsidR="00203F72" w:rsidRPr="00410BD1">
        <w:t>。</w:t>
      </w:r>
    </w:p>
    <w:p w14:paraId="05FA4A8B" w14:textId="77777777" w:rsidR="00203F72" w:rsidRPr="00410BD1" w:rsidRDefault="00B03E84" w:rsidP="00D87D91">
      <w:r w:rsidRPr="00410BD1">
        <w:rPr>
          <w:rFonts w:hint="eastAsia"/>
        </w:rPr>
        <w:t xml:space="preserve">　　</w:t>
      </w:r>
      <w:r w:rsidR="00203F72" w:rsidRPr="00410BD1">
        <w:t>另外，依據上述</w:t>
      </w:r>
      <w:r w:rsidR="00203F72" w:rsidRPr="00410BD1">
        <w:t>ACHR</w:t>
      </w:r>
      <w:r w:rsidR="00203F72" w:rsidRPr="00410BD1">
        <w:t>第</w:t>
      </w:r>
      <w:r w:rsidR="00203F72" w:rsidRPr="00410BD1">
        <w:t>24</w:t>
      </w:r>
      <w:r w:rsidR="00203F72" w:rsidRPr="00410BD1">
        <w:t>條之規定，「在法律面前人人平等。因此，他們有權不受歧</w:t>
      </w:r>
      <w:r w:rsidR="003E240E">
        <w:t>視</w:t>
      </w:r>
      <w:r w:rsidR="00203F72" w:rsidRPr="00410BD1">
        <w:t>地享有法律之平等保護。」</w:t>
      </w:r>
      <w:r w:rsidR="00203F72" w:rsidRPr="00410BD1">
        <w:t>(All persons are equal before the law. Consequently, they are entitled, without discrimination, to equal protection of the law)</w:t>
      </w:r>
      <w:r w:rsidR="00203F72" w:rsidRPr="00410BD1">
        <w:t>。</w:t>
      </w:r>
      <w:r w:rsidR="00203F72" w:rsidRPr="00410BD1">
        <w:t>ACHR</w:t>
      </w:r>
      <w:r w:rsidR="00203F72" w:rsidRPr="00410BD1">
        <w:t>第</w:t>
      </w:r>
      <w:r w:rsidR="00203F72" w:rsidRPr="00410BD1">
        <w:t>24</w:t>
      </w:r>
      <w:r w:rsidR="00203F72" w:rsidRPr="00410BD1">
        <w:t>條之中，</w:t>
      </w:r>
      <w:r w:rsidR="00203F72" w:rsidRPr="00410BD1">
        <w:lastRenderedPageBreak/>
        <w:t>所謂平等權之概念，係指在法律面前，人人平等。此處之平等權，特別重</w:t>
      </w:r>
      <w:r w:rsidR="003E240E">
        <w:t>視</w:t>
      </w:r>
      <w:r w:rsidR="00203F72" w:rsidRPr="00410BD1">
        <w:t>於「法律之前」</w:t>
      </w:r>
      <w:r w:rsidR="00203F72" w:rsidRPr="00410BD1">
        <w:t>(before the law)</w:t>
      </w:r>
      <w:r w:rsidR="00203F72" w:rsidRPr="00410BD1">
        <w:t>，人人平等。而所謂之「法律之前」，乃指受到法律之平等保護</w:t>
      </w:r>
      <w:r w:rsidR="00203F72" w:rsidRPr="00410BD1">
        <w:t>(to equal protection of the law)</w:t>
      </w:r>
      <w:r w:rsidR="00203F72" w:rsidRPr="00410BD1">
        <w:t>；</w:t>
      </w:r>
      <w:r w:rsidR="00203F72" w:rsidRPr="00410BD1">
        <w:t>ACHR</w:t>
      </w:r>
      <w:r w:rsidR="00203F72" w:rsidRPr="00410BD1">
        <w:t>第</w:t>
      </w:r>
      <w:r w:rsidR="00203F72" w:rsidRPr="00410BD1">
        <w:t>24</w:t>
      </w:r>
      <w:r w:rsidR="00203F72" w:rsidRPr="00410BD1">
        <w:t>條為了再次突顯個人受到法律之平等保護，故明文規範係以「不受歧</w:t>
      </w:r>
      <w:r w:rsidR="003E240E">
        <w:t>視</w:t>
      </w:r>
      <w:r w:rsidR="00203F72" w:rsidRPr="00410BD1">
        <w:t>」</w:t>
      </w:r>
      <w:r w:rsidR="00203F72" w:rsidRPr="00410BD1">
        <w:t>(without discrimination)</w:t>
      </w:r>
      <w:r w:rsidR="00203F72" w:rsidRPr="00410BD1">
        <w:t>之方式，受到法律之平等保護。</w:t>
      </w:r>
    </w:p>
    <w:p w14:paraId="6E0A6C11" w14:textId="77777777" w:rsidR="00953151" w:rsidRPr="00410BD1" w:rsidRDefault="00B03E84" w:rsidP="00D87D91">
      <w:r w:rsidRPr="00410BD1">
        <w:t xml:space="preserve">　　</w:t>
      </w:r>
      <w:r w:rsidR="00203F72" w:rsidRPr="00410BD1">
        <w:t>「美洲國家間人權法院」</w:t>
      </w:r>
      <w:r w:rsidR="00203F72" w:rsidRPr="00410BD1">
        <w:t>(the Inter-American Court of Human Rights</w:t>
      </w:r>
      <w:r w:rsidR="00203F72" w:rsidRPr="00410BD1">
        <w:t>，簡稱為</w:t>
      </w:r>
      <w:r w:rsidR="00203F72" w:rsidRPr="00410BD1">
        <w:t>IACHR)</w:t>
      </w:r>
      <w:r w:rsidR="00203F72" w:rsidRPr="00410BD1">
        <w:t>對於</w:t>
      </w:r>
      <w:r w:rsidR="00203F72" w:rsidRPr="00410BD1">
        <w:t>ACHR</w:t>
      </w:r>
      <w:r w:rsidR="00203F72" w:rsidRPr="00410BD1">
        <w:t>第</w:t>
      </w:r>
      <w:r w:rsidR="00203F72" w:rsidRPr="00410BD1">
        <w:t>24</w:t>
      </w:r>
      <w:r w:rsidR="00203F72" w:rsidRPr="00410BD1">
        <w:t>條平等權之真實意涵，作出</w:t>
      </w:r>
      <w:r w:rsidR="00203F72" w:rsidRPr="00410BD1">
        <w:t>(</w:t>
      </w:r>
      <w:r w:rsidR="00203F72" w:rsidRPr="00410BD1">
        <w:t>表達</w:t>
      </w:r>
      <w:r w:rsidR="00203F72" w:rsidRPr="00410BD1">
        <w:t>)</w:t>
      </w:r>
      <w:r w:rsidR="00203F72" w:rsidRPr="00410BD1">
        <w:t>以下之看法</w:t>
      </w:r>
      <w:r w:rsidR="00203F72" w:rsidRPr="00410BD1">
        <w:footnoteReference w:id="19"/>
      </w:r>
      <w:r w:rsidR="00203F72" w:rsidRPr="00410BD1">
        <w:t>；首先，在概念上，</w:t>
      </w:r>
      <w:r w:rsidR="00203F72" w:rsidRPr="00410BD1">
        <w:t>ACHR</w:t>
      </w:r>
      <w:r w:rsidR="00203F72" w:rsidRPr="00410BD1">
        <w:t>第</w:t>
      </w:r>
      <w:r w:rsidR="00203F72" w:rsidRPr="00410BD1">
        <w:t>24</w:t>
      </w:r>
      <w:r w:rsidR="00203F72" w:rsidRPr="00410BD1">
        <w:t>條平等權之意涵，並不完全地等同於</w:t>
      </w:r>
      <w:r w:rsidR="00203F72" w:rsidRPr="00410BD1">
        <w:t>ACHR</w:t>
      </w:r>
      <w:r w:rsidR="00203F72" w:rsidRPr="00410BD1">
        <w:t>第</w:t>
      </w:r>
      <w:r w:rsidR="00203F72" w:rsidRPr="00410BD1">
        <w:t>1</w:t>
      </w:r>
      <w:r w:rsidR="00203F72" w:rsidRPr="00410BD1">
        <w:t>條，兩者之規範體系及內容，不盡相同。</w:t>
      </w:r>
    </w:p>
    <w:p w14:paraId="20E0C383" w14:textId="77777777" w:rsidR="00953151" w:rsidRPr="00410BD1" w:rsidRDefault="00B03E84" w:rsidP="00D87D91">
      <w:r w:rsidRPr="00410BD1">
        <w:t xml:space="preserve">　　</w:t>
      </w:r>
      <w:r w:rsidR="00203F72" w:rsidRPr="00410BD1">
        <w:t>但，就某種程度而論，</w:t>
      </w:r>
      <w:r w:rsidR="00203F72" w:rsidRPr="00410BD1">
        <w:t>ACHR</w:t>
      </w:r>
      <w:r w:rsidR="00203F72" w:rsidRPr="00410BD1">
        <w:t>第</w:t>
      </w:r>
      <w:r w:rsidR="00203F72" w:rsidRPr="00410BD1">
        <w:t>24</w:t>
      </w:r>
      <w:r w:rsidR="00203F72" w:rsidRPr="00410BD1">
        <w:t>條平等權之規範重申</w:t>
      </w:r>
      <w:r w:rsidR="00203F72" w:rsidRPr="00410BD1">
        <w:t>ACHR</w:t>
      </w:r>
      <w:r w:rsidR="00203F72" w:rsidRPr="00410BD1">
        <w:t>第</w:t>
      </w:r>
      <w:r w:rsidR="00203F72" w:rsidRPr="00410BD1">
        <w:t>1</w:t>
      </w:r>
      <w:r w:rsidR="00203F72" w:rsidRPr="00410BD1">
        <w:t>條之規定。</w:t>
      </w:r>
      <w:r w:rsidR="00203F72" w:rsidRPr="00410BD1">
        <w:t>IACHR</w:t>
      </w:r>
      <w:r w:rsidR="00203F72" w:rsidRPr="00410BD1">
        <w:t>為何作出如此之見解，因</w:t>
      </w:r>
      <w:r w:rsidR="00203F72" w:rsidRPr="00410BD1">
        <w:t>ACHR</w:t>
      </w:r>
      <w:r w:rsidR="00203F72" w:rsidRPr="00410BD1">
        <w:t>第</w:t>
      </w:r>
      <w:r w:rsidR="00203F72" w:rsidRPr="00410BD1">
        <w:t>24</w:t>
      </w:r>
      <w:r w:rsidR="00203F72" w:rsidRPr="00410BD1">
        <w:t>條之重點，在於保障平等權之概念，而所謂之平等權，係指「在法律面前，人人平等」。它禁止所有源自於法律上之規制</w:t>
      </w:r>
      <w:r w:rsidR="00203F72" w:rsidRPr="00410BD1">
        <w:t>(</w:t>
      </w:r>
      <w:r w:rsidR="00203F72" w:rsidRPr="00410BD1">
        <w:t>範</w:t>
      </w:r>
      <w:r w:rsidR="00203F72" w:rsidRPr="00410BD1">
        <w:t>)</w:t>
      </w:r>
      <w:r w:rsidR="00203F72" w:rsidRPr="00410BD1">
        <w:t>，而採取差異化</w:t>
      </w:r>
      <w:r w:rsidR="00203F72" w:rsidRPr="00410BD1">
        <w:t>(</w:t>
      </w:r>
      <w:r w:rsidR="00203F72" w:rsidRPr="00410BD1">
        <w:t>區別化</w:t>
      </w:r>
      <w:r w:rsidR="00203F72" w:rsidRPr="00410BD1">
        <w:t>)</w:t>
      </w:r>
      <w:r w:rsidR="00203F72" w:rsidRPr="00410BD1">
        <w:t>之待遇。</w:t>
      </w:r>
    </w:p>
    <w:p w14:paraId="69B92B77" w14:textId="77777777" w:rsidR="00953151" w:rsidRPr="00410BD1" w:rsidRDefault="00B03E84" w:rsidP="00D87D91">
      <w:r w:rsidRPr="00410BD1">
        <w:t xml:space="preserve">　　</w:t>
      </w:r>
      <w:r w:rsidR="00203F72" w:rsidRPr="00410BD1">
        <w:t>IACHR</w:t>
      </w:r>
      <w:r w:rsidR="00203F72" w:rsidRPr="00410BD1">
        <w:t>指出「平等」之概念，係直接源自於人類家庭之完整性</w:t>
      </w:r>
      <w:r w:rsidR="00203F72" w:rsidRPr="00410BD1">
        <w:t>(</w:t>
      </w:r>
      <w:r w:rsidR="00203F72" w:rsidRPr="00410BD1">
        <w:t>單一性、統一性</w:t>
      </w:r>
      <w:r w:rsidR="00203F72" w:rsidRPr="00410BD1">
        <w:t>)(springs directly from the oneness of the human family)</w:t>
      </w:r>
      <w:r w:rsidR="00203F72" w:rsidRPr="00410BD1">
        <w:t>，同時，「平等」概念被連結至個人之基本尊嚴</w:t>
      </w:r>
      <w:r w:rsidR="00203F72" w:rsidRPr="00410BD1">
        <w:t>(is linked to the essential dignity of the individual)</w:t>
      </w:r>
      <w:r w:rsidR="00203F72" w:rsidRPr="00410BD1">
        <w:t>。「平等原則」與「特權原則」是無法妥協</w:t>
      </w:r>
      <w:r w:rsidR="00203F72" w:rsidRPr="00410BD1">
        <w:t>(cannot be reconciled with)</w:t>
      </w:r>
      <w:r w:rsidR="00203F72" w:rsidRPr="00410BD1">
        <w:t>；所謂之「特權原則」，乃指某一個群體自恃</w:t>
      </w:r>
      <w:r w:rsidR="00203F72" w:rsidRPr="00410BD1">
        <w:t>(</w:t>
      </w:r>
      <w:r w:rsidR="00203F72" w:rsidRPr="00410BD1">
        <w:t>覺</w:t>
      </w:r>
      <w:r w:rsidR="00203F72" w:rsidRPr="00410BD1">
        <w:t>)</w:t>
      </w:r>
      <w:r w:rsidR="00203F72" w:rsidRPr="00410BD1">
        <w:t>具有優越感</w:t>
      </w:r>
      <w:r w:rsidR="00203F72" w:rsidRPr="00410BD1">
        <w:t>(perceived superiority)</w:t>
      </w:r>
      <w:r w:rsidR="00203F72" w:rsidRPr="00410BD1">
        <w:t>，遂主張其擁有受到特殊處遇之特權權利</w:t>
      </w:r>
      <w:r w:rsidR="00203F72" w:rsidRPr="00410BD1">
        <w:t>(the right to privileged treatment)</w:t>
      </w:r>
      <w:r w:rsidR="00203F72" w:rsidRPr="00410BD1">
        <w:t>。此種之「特權原則」，無法與「平等原則」相容。「平等原則」與「特權原則」之間，兩者具有互斥性。「平等原則」亦無法與「次等化</w:t>
      </w:r>
      <w:r w:rsidR="00203F72" w:rsidRPr="00410BD1">
        <w:t>(</w:t>
      </w:r>
      <w:r w:rsidR="00203F72" w:rsidRPr="00410BD1">
        <w:t>劣等化</w:t>
      </w:r>
      <w:r w:rsidR="00203F72" w:rsidRPr="00410BD1">
        <w:t>)</w:t>
      </w:r>
      <w:r w:rsidR="00203F72" w:rsidRPr="00410BD1">
        <w:t>原則」進行調和，而所謂之「次等化</w:t>
      </w:r>
      <w:r w:rsidR="00203F72" w:rsidRPr="00410BD1">
        <w:t>(</w:t>
      </w:r>
      <w:r w:rsidR="00203F72" w:rsidRPr="00410BD1">
        <w:t>劣等化</w:t>
      </w:r>
      <w:r w:rsidR="00203F72" w:rsidRPr="00410BD1">
        <w:t>)</w:t>
      </w:r>
      <w:r w:rsidR="00203F72" w:rsidRPr="00410BD1">
        <w:t>原則」，乃指將某一群體標示為「次等化</w:t>
      </w:r>
      <w:r w:rsidR="00203F72" w:rsidRPr="00410BD1">
        <w:t>(</w:t>
      </w:r>
      <w:r w:rsidR="00203F72" w:rsidRPr="00410BD1">
        <w:t>劣等化</w:t>
      </w:r>
      <w:r w:rsidR="00203F72" w:rsidRPr="00410BD1">
        <w:t>)</w:t>
      </w:r>
      <w:r w:rsidR="00203F72" w:rsidRPr="00410BD1">
        <w:t>」人口</w:t>
      </w:r>
      <w:r w:rsidR="00203F72" w:rsidRPr="00410BD1">
        <w:t>(characterize a group as inferior)</w:t>
      </w:r>
      <w:r w:rsidR="00203F72" w:rsidRPr="00410BD1">
        <w:t>；與其他正常之一般人相較，係屬於較低劣之人口，因其具有「次等化</w:t>
      </w:r>
      <w:r w:rsidR="00203F72" w:rsidRPr="00410BD1">
        <w:t>(</w:t>
      </w:r>
      <w:r w:rsidR="00203F72" w:rsidRPr="00410BD1">
        <w:t>劣等化</w:t>
      </w:r>
      <w:r w:rsidR="00203F72" w:rsidRPr="00410BD1">
        <w:t>)</w:t>
      </w:r>
      <w:r w:rsidR="00203F72" w:rsidRPr="00410BD1">
        <w:t>」之屬性，故對其所應享有之權利，以一種具有敵意性或差異化之方式，加以對待。</w:t>
      </w:r>
    </w:p>
    <w:p w14:paraId="7FC55AE1" w14:textId="77777777" w:rsidR="00953151" w:rsidRPr="00410BD1" w:rsidRDefault="00B03E84" w:rsidP="00D87D91">
      <w:r w:rsidRPr="00410BD1">
        <w:t xml:space="preserve">　　</w:t>
      </w:r>
      <w:r w:rsidR="00203F72" w:rsidRPr="00410BD1">
        <w:t>亦即，以敵意或區別化之手段，對待上述已被標示為「次等化</w:t>
      </w:r>
      <w:r w:rsidR="00203F72" w:rsidRPr="00410BD1">
        <w:t>(</w:t>
      </w:r>
      <w:r w:rsidR="00203F72" w:rsidRPr="00410BD1">
        <w:t>劣等化</w:t>
      </w:r>
      <w:r w:rsidR="00203F72" w:rsidRPr="00410BD1">
        <w:t>)</w:t>
      </w:r>
      <w:r w:rsidR="00203F72" w:rsidRPr="00410BD1">
        <w:t>」之人口。如以違背個人所具有之獨特性及同源性之人類屬性，對其施以差異化</w:t>
      </w:r>
      <w:r w:rsidR="00203F72" w:rsidRPr="00410BD1">
        <w:t>(</w:t>
      </w:r>
      <w:r w:rsidR="00203F72" w:rsidRPr="00410BD1">
        <w:t>區別化</w:t>
      </w:r>
      <w:r w:rsidR="00203F72" w:rsidRPr="00410BD1">
        <w:t>)</w:t>
      </w:r>
      <w:r w:rsidR="00203F72" w:rsidRPr="00410BD1">
        <w:t>之處遇，則此種差異化</w:t>
      </w:r>
      <w:r w:rsidR="00203F72" w:rsidRPr="00410BD1">
        <w:t>(</w:t>
      </w:r>
      <w:r w:rsidR="00203F72" w:rsidRPr="00410BD1">
        <w:t>區別化</w:t>
      </w:r>
      <w:r w:rsidR="00203F72" w:rsidRPr="00410BD1">
        <w:t>)</w:t>
      </w:r>
      <w:r w:rsidR="00203F72" w:rsidRPr="00410BD1">
        <w:t>之對待方式，是不被許可，業已違反</w:t>
      </w:r>
      <w:r w:rsidR="00203F72" w:rsidRPr="00410BD1">
        <w:t>ACHR</w:t>
      </w:r>
      <w:r w:rsidR="00203F72" w:rsidRPr="00410BD1">
        <w:t>第</w:t>
      </w:r>
      <w:r w:rsidR="00203F72" w:rsidRPr="00410BD1">
        <w:t>1</w:t>
      </w:r>
      <w:r w:rsidR="00203F72" w:rsidRPr="00410BD1">
        <w:t>條及第</w:t>
      </w:r>
      <w:r w:rsidR="00203F72" w:rsidRPr="00410BD1">
        <w:t>24</w:t>
      </w:r>
      <w:r w:rsidR="00203F72" w:rsidRPr="00410BD1">
        <w:t>條之規定。上述之「特權原則」與「次等化</w:t>
      </w:r>
      <w:r w:rsidR="00203F72" w:rsidRPr="00410BD1">
        <w:t>(</w:t>
      </w:r>
      <w:r w:rsidR="00203F72" w:rsidRPr="00410BD1">
        <w:t>劣等化</w:t>
      </w:r>
      <w:r w:rsidR="00203F72" w:rsidRPr="00410BD1">
        <w:t>)</w:t>
      </w:r>
      <w:r w:rsidR="00203F72" w:rsidRPr="00410BD1">
        <w:t>原則」，均同時違反</w:t>
      </w:r>
      <w:r w:rsidR="00203F72" w:rsidRPr="00410BD1">
        <w:t>ACHR</w:t>
      </w:r>
      <w:r w:rsidR="00203F72" w:rsidRPr="00410BD1">
        <w:t>第</w:t>
      </w:r>
      <w:r w:rsidR="00203F72" w:rsidRPr="00410BD1">
        <w:t>1</w:t>
      </w:r>
      <w:r w:rsidR="00203F72" w:rsidRPr="00410BD1">
        <w:t>條及第</w:t>
      </w:r>
      <w:r w:rsidR="00203F72" w:rsidRPr="00410BD1">
        <w:t>24</w:t>
      </w:r>
      <w:r w:rsidR="00203F72" w:rsidRPr="00410BD1">
        <w:t>條之規定</w:t>
      </w:r>
      <w:r w:rsidR="00203F72" w:rsidRPr="00410BD1">
        <w:footnoteReference w:id="20"/>
      </w:r>
      <w:r w:rsidR="00203F72" w:rsidRPr="00410BD1">
        <w:t>。</w:t>
      </w:r>
    </w:p>
    <w:p w14:paraId="513C6418" w14:textId="77777777" w:rsidR="00953151" w:rsidRPr="00410BD1" w:rsidRDefault="00B03E84" w:rsidP="00D87D91">
      <w:r w:rsidRPr="00410BD1">
        <w:t xml:space="preserve">　　</w:t>
      </w:r>
      <w:r w:rsidR="00203F72" w:rsidRPr="00410BD1">
        <w:t>有關於平等原則及禁止差別待遇原則</w:t>
      </w:r>
      <w:r w:rsidR="00203F72" w:rsidRPr="00410BD1">
        <w:t>(equality and nondiscrimination)</w:t>
      </w:r>
      <w:r w:rsidR="00203F72" w:rsidRPr="00410BD1">
        <w:t>之起源方面，兩者均是與生俱來地源自於人類全體所共有之尊嚴及價值之完整性</w:t>
      </w:r>
      <w:r w:rsidR="00203F72" w:rsidRPr="00410BD1">
        <w:t>(</w:t>
      </w:r>
      <w:r w:rsidR="00203F72" w:rsidRPr="00410BD1">
        <w:t>單一性、統一性</w:t>
      </w:r>
      <w:r w:rsidR="00203F72" w:rsidRPr="00410BD1">
        <w:t>) (the oneness in dignity and worth of all human beings)</w:t>
      </w:r>
      <w:r w:rsidR="00203F72" w:rsidRPr="00410BD1">
        <w:t>。</w:t>
      </w:r>
      <w:r w:rsidR="00203F72" w:rsidRPr="00410BD1">
        <w:t>IACHR</w:t>
      </w:r>
      <w:r w:rsidR="00203F72" w:rsidRPr="00410BD1">
        <w:t>認為並非所有在法律層級上之差異化</w:t>
      </w:r>
      <w:r w:rsidR="00203F72" w:rsidRPr="00410BD1">
        <w:t>(</w:t>
      </w:r>
      <w:r w:rsidR="00203F72" w:rsidRPr="00410BD1">
        <w:t>差別化</w:t>
      </w:r>
      <w:r w:rsidR="00203F72" w:rsidRPr="00410BD1">
        <w:t>)</w:t>
      </w:r>
      <w:r w:rsidR="00203F72" w:rsidRPr="00410BD1">
        <w:t>處遇</w:t>
      </w:r>
      <w:r w:rsidR="00203F72" w:rsidRPr="00410BD1">
        <w:t>(</w:t>
      </w:r>
      <w:r w:rsidR="00203F72" w:rsidRPr="00410BD1">
        <w:t>對待</w:t>
      </w:r>
      <w:r w:rsidR="00203F72" w:rsidRPr="00410BD1">
        <w:t>)</w:t>
      </w:r>
      <w:r w:rsidR="00203F72" w:rsidRPr="00410BD1">
        <w:t>，均構成差別對待</w:t>
      </w:r>
      <w:r w:rsidR="00203F72" w:rsidRPr="00410BD1">
        <w:t>(not all differences in legal treatment are discriminatory)</w:t>
      </w:r>
      <w:r w:rsidR="00203F72" w:rsidRPr="00410BD1">
        <w:t>；亦即，並非所有差異化</w:t>
      </w:r>
      <w:r w:rsidR="00203F72" w:rsidRPr="00410BD1">
        <w:t>(</w:t>
      </w:r>
      <w:r w:rsidR="00203F72" w:rsidRPr="00410BD1">
        <w:t>差別化</w:t>
      </w:r>
      <w:r w:rsidR="00203F72" w:rsidRPr="00410BD1">
        <w:t>)</w:t>
      </w:r>
      <w:r w:rsidR="00203F72" w:rsidRPr="00410BD1">
        <w:t>之處遇</w:t>
      </w:r>
      <w:r w:rsidR="00203F72" w:rsidRPr="00410BD1">
        <w:t>(</w:t>
      </w:r>
      <w:r w:rsidR="00203F72" w:rsidRPr="00410BD1">
        <w:t>對待</w:t>
      </w:r>
      <w:r w:rsidR="00203F72" w:rsidRPr="00410BD1">
        <w:t>)(for not all differences in treatment)</w:t>
      </w:r>
      <w:r w:rsidR="00203F72" w:rsidRPr="00410BD1">
        <w:t>，均會違犯人性尊嚴</w:t>
      </w:r>
      <w:r w:rsidR="00203F72" w:rsidRPr="00410BD1">
        <w:t>(are in themselves offensive to human dignity)</w:t>
      </w:r>
      <w:r w:rsidR="00203F72" w:rsidRPr="00410BD1">
        <w:t>。</w:t>
      </w:r>
    </w:p>
    <w:p w14:paraId="14D8DE63" w14:textId="77777777" w:rsidR="00953151" w:rsidRPr="00410BD1" w:rsidRDefault="00B03E84" w:rsidP="00D87D91">
      <w:r w:rsidRPr="00410BD1">
        <w:t xml:space="preserve">　　</w:t>
      </w:r>
      <w:r w:rsidR="00203F72" w:rsidRPr="00410BD1">
        <w:t>IACHR</w:t>
      </w:r>
      <w:r w:rsidR="00203F72" w:rsidRPr="00410BD1">
        <w:t>並轉引歐洲人權法院</w:t>
      </w:r>
      <w:r w:rsidR="00203F72" w:rsidRPr="00410BD1">
        <w:t>(</w:t>
      </w:r>
      <w:r w:rsidR="00203F72" w:rsidRPr="00410BD1">
        <w:t>簡稱為</w:t>
      </w:r>
      <w:r w:rsidR="00203F72" w:rsidRPr="00410BD1">
        <w:t>ECHR)</w:t>
      </w:r>
      <w:r w:rsidR="00203F72" w:rsidRPr="00410BD1">
        <w:t>之見解，即從大多數民主法治國家之法律實務運作之經驗中，可抽取出以下若干之原則，假若差異化</w:t>
      </w:r>
      <w:r w:rsidR="00203F72" w:rsidRPr="00410BD1">
        <w:t>(</w:t>
      </w:r>
      <w:r w:rsidR="00203F72" w:rsidRPr="00410BD1">
        <w:t>差別化</w:t>
      </w:r>
      <w:r w:rsidR="00203F72" w:rsidRPr="00410BD1">
        <w:t>)</w:t>
      </w:r>
      <w:r w:rsidR="00203F72" w:rsidRPr="00410BD1">
        <w:t>之處遇</w:t>
      </w:r>
      <w:r w:rsidR="00203F72" w:rsidRPr="00410BD1">
        <w:t>(</w:t>
      </w:r>
      <w:r w:rsidR="00203F72" w:rsidRPr="00410BD1">
        <w:t>對待</w:t>
      </w:r>
      <w:r w:rsidR="00203F72" w:rsidRPr="00410BD1">
        <w:t>)</w:t>
      </w:r>
      <w:r w:rsidR="00203F72" w:rsidRPr="00410BD1">
        <w:t>方式</w:t>
      </w:r>
      <w:r w:rsidR="00203F72" w:rsidRPr="00410BD1">
        <w:t>(difference in treatment)</w:t>
      </w:r>
      <w:r w:rsidR="00203F72" w:rsidRPr="00410BD1">
        <w:t>，手段本身未具有客觀化與合理化之正當性</w:t>
      </w:r>
      <w:r w:rsidR="00203F72" w:rsidRPr="00410BD1">
        <w:t>(has no objective and reasonable justification)</w:t>
      </w:r>
      <w:r w:rsidR="00203F72" w:rsidRPr="00410BD1">
        <w:t>，此時，差異化</w:t>
      </w:r>
      <w:r w:rsidR="00203F72" w:rsidRPr="00410BD1">
        <w:t>(</w:t>
      </w:r>
      <w:r w:rsidR="00203F72" w:rsidRPr="00410BD1">
        <w:t>差別化</w:t>
      </w:r>
      <w:r w:rsidR="00203F72" w:rsidRPr="00410BD1">
        <w:t>)</w:t>
      </w:r>
      <w:r w:rsidR="00203F72" w:rsidRPr="00410BD1">
        <w:t>之處遇</w:t>
      </w:r>
      <w:r w:rsidR="00203F72" w:rsidRPr="00410BD1">
        <w:t>(</w:t>
      </w:r>
      <w:r w:rsidR="00203F72" w:rsidRPr="00410BD1">
        <w:t>對待</w:t>
      </w:r>
      <w:r w:rsidR="00203F72" w:rsidRPr="00410BD1">
        <w:t>)</w:t>
      </w:r>
      <w:r w:rsidR="00203F72" w:rsidRPr="00410BD1">
        <w:t>，即會具有歧</w:t>
      </w:r>
      <w:r w:rsidR="003E240E">
        <w:t>視</w:t>
      </w:r>
      <w:r w:rsidR="00203F72" w:rsidRPr="00410BD1">
        <w:t>性</w:t>
      </w:r>
      <w:r w:rsidR="00203F72" w:rsidRPr="00410BD1">
        <w:t>(is only discriminatory)</w:t>
      </w:r>
      <w:r w:rsidR="00203F72" w:rsidRPr="00410BD1">
        <w:t>，違反禁止歧</w:t>
      </w:r>
      <w:r w:rsidR="003E240E">
        <w:t>視</w:t>
      </w:r>
      <w:r w:rsidR="00203F72" w:rsidRPr="00410BD1">
        <w:t>原則。</w:t>
      </w:r>
      <w:r w:rsidR="00203F72" w:rsidRPr="00410BD1">
        <w:t>ECHR</w:t>
      </w:r>
      <w:r w:rsidR="00203F72" w:rsidRPr="00410BD1">
        <w:t>認為就事實上之不平等而論，為瞭解決事實上之不平等</w:t>
      </w:r>
      <w:r w:rsidR="00203F72" w:rsidRPr="00410BD1">
        <w:t>(certain factual inequalities)</w:t>
      </w:r>
      <w:r w:rsidR="00203F72" w:rsidRPr="00410BD1">
        <w:t>，在法律層級上所採取之差異化處遇措施，所造成之不平等，有可能會被加以合法化</w:t>
      </w:r>
      <w:r w:rsidR="00203F72" w:rsidRPr="00410BD1">
        <w:t>(legitimately give rise to inequalities in legal treatment)</w:t>
      </w:r>
      <w:r w:rsidR="00203F72" w:rsidRPr="00410BD1">
        <w:t>，且並未違反正義</w:t>
      </w:r>
      <w:r w:rsidR="00203F72" w:rsidRPr="00410BD1">
        <w:t>(</w:t>
      </w:r>
      <w:r w:rsidR="00203F72" w:rsidRPr="00410BD1">
        <w:t>公正</w:t>
      </w:r>
      <w:r w:rsidR="00203F72" w:rsidRPr="00410BD1">
        <w:t>)</w:t>
      </w:r>
      <w:r w:rsidR="00203F72" w:rsidRPr="00410BD1">
        <w:t>原則</w:t>
      </w:r>
      <w:r w:rsidR="00203F72" w:rsidRPr="00410BD1">
        <w:t>(do not violate principles of justice)</w:t>
      </w:r>
      <w:r w:rsidR="00203F72" w:rsidRPr="00410BD1">
        <w:t>。</w:t>
      </w:r>
    </w:p>
    <w:p w14:paraId="5ED8447E" w14:textId="77777777" w:rsidR="00953151" w:rsidRPr="00410BD1" w:rsidRDefault="00B03E84" w:rsidP="00D87D91">
      <w:r w:rsidRPr="00410BD1">
        <w:t xml:space="preserve">　　</w:t>
      </w:r>
      <w:r w:rsidR="00203F72" w:rsidRPr="00410BD1">
        <w:t>上述於法律層級上所採取之差異化處遇</w:t>
      </w:r>
      <w:r w:rsidR="00203F72" w:rsidRPr="00410BD1">
        <w:t>(</w:t>
      </w:r>
      <w:r w:rsidR="00203F72" w:rsidRPr="00410BD1">
        <w:t>措施</w:t>
      </w:r>
      <w:r w:rsidR="00203F72" w:rsidRPr="00410BD1">
        <w:t>)</w:t>
      </w:r>
      <w:r w:rsidR="00203F72" w:rsidRPr="00410BD1">
        <w:t>，其本身之屬性，具有工具化之性質</w:t>
      </w:r>
      <w:r w:rsidR="00203F72" w:rsidRPr="00410BD1">
        <w:lastRenderedPageBreak/>
        <w:t>(may in fact be instrumental)</w:t>
      </w:r>
      <w:r w:rsidR="00203F72" w:rsidRPr="00410BD1">
        <w:t>，亦即，它是一種工具，亦是一種手段，並非最終極之目的；真正最終極之目的，係在於達到正義</w:t>
      </w:r>
      <w:r w:rsidR="00203F72" w:rsidRPr="00410BD1">
        <w:t>(</w:t>
      </w:r>
      <w:r w:rsidR="00203F72" w:rsidRPr="00410BD1">
        <w:t>公正</w:t>
      </w:r>
      <w:r w:rsidR="00203F72" w:rsidRPr="00410BD1">
        <w:t>)(in achieving justice)</w:t>
      </w:r>
      <w:r w:rsidR="00203F72" w:rsidRPr="00410BD1">
        <w:t>，或保護處於脆弱之法律地位之人口</w:t>
      </w:r>
      <w:r w:rsidR="00203F72" w:rsidRPr="00410BD1">
        <w:t>(or in protecting those who find themselves in a weak legal position)</w:t>
      </w:r>
      <w:r w:rsidR="00203F72" w:rsidRPr="00410BD1">
        <w:t>。為了達到上述之目的，在手段上，有可能會使用上述法律層級上之差異化處遇</w:t>
      </w:r>
      <w:r w:rsidR="00203F72" w:rsidRPr="00410BD1">
        <w:t>(</w:t>
      </w:r>
      <w:r w:rsidR="00203F72" w:rsidRPr="00410BD1">
        <w:t>措施</w:t>
      </w:r>
      <w:r w:rsidR="00203F72" w:rsidRPr="00410BD1">
        <w:t>)</w:t>
      </w:r>
      <w:r w:rsidR="00203F72" w:rsidRPr="00410BD1">
        <w:t>。於上述之情形下，差異化之處遇</w:t>
      </w:r>
      <w:r w:rsidR="00203F72" w:rsidRPr="00410BD1">
        <w:t>(</w:t>
      </w:r>
      <w:r w:rsidR="00203F72" w:rsidRPr="00410BD1">
        <w:t>措施</w:t>
      </w:r>
      <w:r w:rsidR="00203F72" w:rsidRPr="00410BD1">
        <w:t>)</w:t>
      </w:r>
      <w:r w:rsidR="00203F72" w:rsidRPr="00410BD1">
        <w:t>未違反正義</w:t>
      </w:r>
      <w:r w:rsidR="00203F72" w:rsidRPr="00410BD1">
        <w:t>(</w:t>
      </w:r>
      <w:r w:rsidR="00203F72" w:rsidRPr="00410BD1">
        <w:t>公正</w:t>
      </w:r>
      <w:r w:rsidR="00203F72" w:rsidRPr="00410BD1">
        <w:t>)</w:t>
      </w:r>
      <w:r w:rsidR="00203F72" w:rsidRPr="00410BD1">
        <w:t>原則。</w:t>
      </w:r>
    </w:p>
    <w:p w14:paraId="29C88F62" w14:textId="77777777" w:rsidR="00953151" w:rsidRPr="00410BD1" w:rsidRDefault="00B03E84" w:rsidP="00D87D91">
      <w:r w:rsidRPr="00410BD1">
        <w:t xml:space="preserve">　　</w:t>
      </w:r>
      <w:r w:rsidR="00203F72" w:rsidRPr="00410BD1">
        <w:t>ECHR</w:t>
      </w:r>
      <w:r w:rsidR="00203F72" w:rsidRPr="00410BD1">
        <w:t>並指出，對於缺乏足夠能力，以保護其本身利益之青少年，或心智有缺陷之人，基於法律上之要求，所施加之限制，無法被</w:t>
      </w:r>
      <w:r w:rsidR="003E240E">
        <w:t>視</w:t>
      </w:r>
      <w:r w:rsidR="00203F72" w:rsidRPr="00410BD1">
        <w:t>為係基於年齡或社會地位之理由，而加以歧</w:t>
      </w:r>
      <w:r w:rsidR="003E240E">
        <w:t>視</w:t>
      </w:r>
      <w:r w:rsidR="00203F72" w:rsidRPr="00410BD1">
        <w:t>。雖然，上述之限制措施，是屬於差異化之處遇</w:t>
      </w:r>
      <w:r w:rsidR="00203F72" w:rsidRPr="00410BD1">
        <w:t>(</w:t>
      </w:r>
      <w:r w:rsidR="00203F72" w:rsidRPr="00410BD1">
        <w:t>措施</w:t>
      </w:r>
      <w:r w:rsidR="00203F72" w:rsidRPr="00410BD1">
        <w:t>)</w:t>
      </w:r>
      <w:r w:rsidR="00203F72" w:rsidRPr="00410BD1">
        <w:t>，但因真正最終極之目的，係在保護上述處於脆弱之法律地位之人口。故，上述之限制措施，未違反正義</w:t>
      </w:r>
      <w:r w:rsidR="00203F72" w:rsidRPr="00410BD1">
        <w:t>(</w:t>
      </w:r>
      <w:r w:rsidR="00203F72" w:rsidRPr="00410BD1">
        <w:t>公正</w:t>
      </w:r>
      <w:r w:rsidR="00203F72" w:rsidRPr="00410BD1">
        <w:t>)</w:t>
      </w:r>
      <w:r w:rsidR="00203F72" w:rsidRPr="00410BD1">
        <w:t>原則，它已被合法化</w:t>
      </w:r>
      <w:r w:rsidR="00203F72" w:rsidRPr="00410BD1">
        <w:footnoteReference w:id="21"/>
      </w:r>
      <w:r w:rsidR="00203F72" w:rsidRPr="00410BD1">
        <w:t>。</w:t>
      </w:r>
    </w:p>
    <w:p w14:paraId="0E3174E0" w14:textId="77777777" w:rsidR="00953151" w:rsidRPr="00410BD1" w:rsidRDefault="00B03E84" w:rsidP="00D87D91">
      <w:r w:rsidRPr="00410BD1">
        <w:t xml:space="preserve">　　</w:t>
      </w:r>
      <w:r w:rsidR="00203F72" w:rsidRPr="00410BD1">
        <w:t>根據</w:t>
      </w:r>
      <w:r w:rsidR="00203F72" w:rsidRPr="00410BD1">
        <w:t>IACHR</w:t>
      </w:r>
      <w:r w:rsidR="00203F72" w:rsidRPr="00410BD1">
        <w:t>之見解，假若差異化處遇</w:t>
      </w:r>
      <w:r w:rsidR="00203F72" w:rsidRPr="00410BD1">
        <w:t>(</w:t>
      </w:r>
      <w:r w:rsidR="00203F72" w:rsidRPr="00410BD1">
        <w:t>措施</w:t>
      </w:r>
      <w:r w:rsidR="00203F72" w:rsidRPr="00410BD1">
        <w:t>)</w:t>
      </w:r>
      <w:r w:rsidR="00203F72" w:rsidRPr="00410BD1">
        <w:t>具有一個合法化之目的</w:t>
      </w:r>
      <w:r w:rsidR="00203F72" w:rsidRPr="00410BD1">
        <w:t>(the difference in treatment has a legitimate purpose)</w:t>
      </w:r>
      <w:r w:rsidR="00203F72" w:rsidRPr="00410BD1">
        <w:t>，且採取差異化處遇</w:t>
      </w:r>
      <w:r w:rsidR="00203F72" w:rsidRPr="00410BD1">
        <w:t>(</w:t>
      </w:r>
      <w:r w:rsidR="00203F72" w:rsidRPr="00410BD1">
        <w:t>措施</w:t>
      </w:r>
      <w:r w:rsidR="00203F72" w:rsidRPr="00410BD1">
        <w:t>)</w:t>
      </w:r>
      <w:r w:rsidR="00203F72" w:rsidRPr="00410BD1">
        <w:t>，並未導致發生違犯正義</w:t>
      </w:r>
      <w:r w:rsidR="00203F72" w:rsidRPr="00410BD1">
        <w:t>(</w:t>
      </w:r>
      <w:r w:rsidR="00203F72" w:rsidRPr="00410BD1">
        <w:t>公正</w:t>
      </w:r>
      <w:r w:rsidR="00203F72" w:rsidRPr="00410BD1">
        <w:t>) (it does not lead to situations which are contrary to justice)</w:t>
      </w:r>
      <w:r w:rsidR="00203F72" w:rsidRPr="00410BD1">
        <w:t>、情理</w:t>
      </w:r>
      <w:r w:rsidR="00203F72" w:rsidRPr="00410BD1">
        <w:t>(reason)</w:t>
      </w:r>
      <w:r w:rsidR="00203F72" w:rsidRPr="00410BD1">
        <w:t>與事務之本質之情事</w:t>
      </w:r>
      <w:r w:rsidR="00203F72" w:rsidRPr="00410BD1">
        <w:t>(the nature of things)</w:t>
      </w:r>
      <w:r w:rsidR="00203F72" w:rsidRPr="00410BD1">
        <w:t>，此時，上述之差異化處遇</w:t>
      </w:r>
      <w:r w:rsidR="00203F72" w:rsidRPr="00410BD1">
        <w:t>(</w:t>
      </w:r>
      <w:r w:rsidR="00203F72" w:rsidRPr="00410BD1">
        <w:t>措施</w:t>
      </w:r>
      <w:r w:rsidR="00203F72" w:rsidRPr="00410BD1">
        <w:t>)</w:t>
      </w:r>
      <w:r w:rsidR="00203F72" w:rsidRPr="00410BD1">
        <w:t>，並非屬於一種差別歧</w:t>
      </w:r>
      <w:r w:rsidR="003E240E">
        <w:t>視</w:t>
      </w:r>
      <w:r w:rsidR="00203F72" w:rsidRPr="00410BD1">
        <w:t>作為，不構成歧</w:t>
      </w:r>
      <w:r w:rsidR="003E240E">
        <w:t>視</w:t>
      </w:r>
      <w:r w:rsidR="00203F72" w:rsidRPr="00410BD1">
        <w:t>(no discrimination exists)</w:t>
      </w:r>
      <w:r w:rsidR="00203F72" w:rsidRPr="00410BD1">
        <w:t>。國家對於個人所施加之差異化處遇</w:t>
      </w:r>
      <w:r w:rsidR="00203F72" w:rsidRPr="00410BD1">
        <w:t>(</w:t>
      </w:r>
      <w:r w:rsidR="00203F72" w:rsidRPr="00410BD1">
        <w:t>措施</w:t>
      </w:r>
      <w:r w:rsidR="00203F72" w:rsidRPr="00410BD1">
        <w:t>)</w:t>
      </w:r>
      <w:r w:rsidR="00203F72" w:rsidRPr="00410BD1">
        <w:t>，在符合一定之要件</w:t>
      </w:r>
      <w:r w:rsidR="00203F72" w:rsidRPr="00410BD1">
        <w:t>(</w:t>
      </w:r>
      <w:r w:rsidR="00203F72" w:rsidRPr="00410BD1">
        <w:t>條件</w:t>
      </w:r>
      <w:r w:rsidR="00203F72" w:rsidRPr="00410BD1">
        <w:t>)</w:t>
      </w:r>
      <w:r w:rsidR="00203F72" w:rsidRPr="00410BD1">
        <w:t>下，並不構成歧</w:t>
      </w:r>
      <w:r w:rsidR="003E240E">
        <w:t>視</w:t>
      </w:r>
      <w:r w:rsidR="00203F72" w:rsidRPr="00410BD1">
        <w:t>之要件。上述所言及之一定要件</w:t>
      </w:r>
      <w:r w:rsidR="00203F72" w:rsidRPr="00410BD1">
        <w:t>(</w:t>
      </w:r>
      <w:r w:rsidR="00203F72" w:rsidRPr="00410BD1">
        <w:t>條件</w:t>
      </w:r>
      <w:r w:rsidR="00203F72" w:rsidRPr="00410BD1">
        <w:t>)</w:t>
      </w:r>
      <w:r w:rsidR="00203F72" w:rsidRPr="00410BD1">
        <w:t>，乃指國家係基於實質上及事實上之差異性之故</w:t>
      </w:r>
      <w:r w:rsidR="00203F72" w:rsidRPr="00410BD1">
        <w:t>(are based on substantial factual differences)</w:t>
      </w:r>
      <w:r w:rsidR="00203F72" w:rsidRPr="00410BD1">
        <w:t>，而運用差異化處遇</w:t>
      </w:r>
      <w:r w:rsidR="00203F72" w:rsidRPr="00410BD1">
        <w:t>(</w:t>
      </w:r>
      <w:r w:rsidR="00203F72" w:rsidRPr="00410BD1">
        <w:t>措施</w:t>
      </w:r>
      <w:r w:rsidR="00203F72" w:rsidRPr="00410BD1">
        <w:t>)</w:t>
      </w:r>
      <w:r w:rsidR="00203F72" w:rsidRPr="00410BD1">
        <w:t>；且國家所欲追逐之法律上目的</w:t>
      </w:r>
      <w:r w:rsidR="00203F72" w:rsidRPr="00410BD1">
        <w:t>(the aims)</w:t>
      </w:r>
      <w:r w:rsidR="00203F72" w:rsidRPr="00410BD1">
        <w:t>，與差異化處遇</w:t>
      </w:r>
      <w:r w:rsidR="00203F72" w:rsidRPr="00410BD1">
        <w:t>(</w:t>
      </w:r>
      <w:r w:rsidR="00203F72" w:rsidRPr="00410BD1">
        <w:t>措施</w:t>
      </w:r>
      <w:r w:rsidR="00203F72" w:rsidRPr="00410BD1">
        <w:t>)</w:t>
      </w:r>
      <w:r w:rsidR="00203F72" w:rsidRPr="00410BD1">
        <w:t>之手段</w:t>
      </w:r>
      <w:r w:rsidR="00203F72" w:rsidRPr="00410BD1">
        <w:t>(these differences)</w:t>
      </w:r>
      <w:r w:rsidR="00203F72" w:rsidRPr="00410BD1">
        <w:t>，兩者之間，存有合理化之比例關係</w:t>
      </w:r>
      <w:r w:rsidR="00203F72" w:rsidRPr="00410BD1">
        <w:t>(there exists a reasonable relationship of proportionality)</w:t>
      </w:r>
      <w:r w:rsidR="00203F72" w:rsidRPr="00410BD1">
        <w:t>。</w:t>
      </w:r>
    </w:p>
    <w:p w14:paraId="1A5D79CA" w14:textId="77777777" w:rsidR="00953151" w:rsidRPr="00410BD1" w:rsidRDefault="00B03E84" w:rsidP="00D87D91">
      <w:r w:rsidRPr="00410BD1">
        <w:t xml:space="preserve">　　</w:t>
      </w:r>
      <w:r w:rsidR="00203F72" w:rsidRPr="00410BD1">
        <w:t>國家所欲追逐之法律上目的，不應具有不正義</w:t>
      </w:r>
      <w:r w:rsidR="00203F72" w:rsidRPr="00410BD1">
        <w:t>(</w:t>
      </w:r>
      <w:r w:rsidR="00203F72" w:rsidRPr="00410BD1">
        <w:t>不公正</w:t>
      </w:r>
      <w:r w:rsidR="00203F72" w:rsidRPr="00410BD1">
        <w:t>) (These aims may not be unjust)</w:t>
      </w:r>
      <w:r w:rsidR="00203F72" w:rsidRPr="00410BD1">
        <w:t>、不合理</w:t>
      </w:r>
      <w:r w:rsidR="00203F72" w:rsidRPr="00410BD1">
        <w:t>(unreasonable)</w:t>
      </w:r>
      <w:r w:rsidR="00203F72" w:rsidRPr="00410BD1">
        <w:t>、恣意獨斷、任意善變、暴虐專橫之情形，或有背於人類之基本完整性與尊嚴</w:t>
      </w:r>
      <w:r w:rsidR="00203F72" w:rsidRPr="00410BD1">
        <w:t>(they may not be arbitrary, capricious, despotic or in conflict with the essential oneness and dignity of humankind)</w:t>
      </w:r>
      <w:r w:rsidR="00203F72" w:rsidRPr="00410BD1">
        <w:t>。根據</w:t>
      </w:r>
      <w:r w:rsidR="00203F72" w:rsidRPr="00410BD1">
        <w:t>IACHR</w:t>
      </w:r>
      <w:r w:rsidR="00203F72" w:rsidRPr="00410BD1">
        <w:t>之上述見解，國家基於合法化之目的，對於特定人口所採行之差異化處遇</w:t>
      </w:r>
      <w:r w:rsidR="00203F72" w:rsidRPr="00410BD1">
        <w:footnoteReference w:id="22"/>
      </w:r>
      <w:r w:rsidR="00203F72" w:rsidRPr="00410BD1">
        <w:t>，兩者之間，如存有合理化之比例關係，則對於個人所施加之差異化之處遇</w:t>
      </w:r>
      <w:r w:rsidR="00203F72" w:rsidRPr="00410BD1">
        <w:t>(</w:t>
      </w:r>
      <w:r w:rsidR="00203F72" w:rsidRPr="00410BD1">
        <w:t>措施</w:t>
      </w:r>
      <w:r w:rsidR="00203F72" w:rsidRPr="00410BD1">
        <w:t>)</w:t>
      </w:r>
      <w:r w:rsidR="00203F72" w:rsidRPr="00410BD1">
        <w:t>，不應被</w:t>
      </w:r>
      <w:r w:rsidR="003E240E">
        <w:t>視</w:t>
      </w:r>
      <w:r w:rsidR="00203F72" w:rsidRPr="00410BD1">
        <w:t>為是一種歧</w:t>
      </w:r>
      <w:r w:rsidR="003E240E">
        <w:t>視</w:t>
      </w:r>
      <w:r w:rsidR="00203F72" w:rsidRPr="00410BD1">
        <w:t>性作為</w:t>
      </w:r>
      <w:r w:rsidR="00203F72" w:rsidRPr="00410BD1">
        <w:t>(there would be no discrimination in differences in treatment of individuals)</w:t>
      </w:r>
      <w:r w:rsidR="00203F72" w:rsidRPr="00410BD1">
        <w:t>。</w:t>
      </w:r>
      <w:r w:rsidR="00203F72" w:rsidRPr="00410BD1">
        <w:t>IACHR</w:t>
      </w:r>
      <w:r w:rsidR="00203F72" w:rsidRPr="00410BD1">
        <w:t>於審查某一個案是否符合平等權之要求時，係以比例原則作為審查之重大標準。如國家所採取差異化之處遇</w:t>
      </w:r>
      <w:r w:rsidR="00203F72" w:rsidRPr="00410BD1">
        <w:t>(</w:t>
      </w:r>
      <w:r w:rsidR="00203F72" w:rsidRPr="00410BD1">
        <w:t>措施</w:t>
      </w:r>
      <w:r w:rsidR="00203F72" w:rsidRPr="00410BD1">
        <w:t>)</w:t>
      </w:r>
      <w:r w:rsidR="00203F72" w:rsidRPr="00410BD1">
        <w:t>符合比例原則，則未違背平等原則；反之，如國家所採取差異化之處遇</w:t>
      </w:r>
      <w:r w:rsidR="00203F72" w:rsidRPr="00410BD1">
        <w:t>(</w:t>
      </w:r>
      <w:r w:rsidR="00203F72" w:rsidRPr="00410BD1">
        <w:t>措施</w:t>
      </w:r>
      <w:r w:rsidR="00203F72" w:rsidRPr="00410BD1">
        <w:t>)</w:t>
      </w:r>
      <w:r w:rsidR="00203F72" w:rsidRPr="00410BD1">
        <w:t>，並未符合比例原則，則違背平等原則</w:t>
      </w:r>
      <w:r w:rsidR="00203F72" w:rsidRPr="00410BD1">
        <w:footnoteReference w:id="23"/>
      </w:r>
      <w:r w:rsidR="00203F72" w:rsidRPr="00410BD1">
        <w:t>。</w:t>
      </w:r>
    </w:p>
    <w:p w14:paraId="0F15E7A5" w14:textId="77777777" w:rsidR="00953151" w:rsidRPr="00410BD1" w:rsidRDefault="00B03E84" w:rsidP="00D87D91">
      <w:r w:rsidRPr="00410BD1">
        <w:t xml:space="preserve">　　</w:t>
      </w:r>
      <w:r w:rsidR="00203F72" w:rsidRPr="00410BD1">
        <w:t>在台灣司法院釋字</w:t>
      </w:r>
      <w:hyperlink r:id="rId103" w:anchor="r701" w:history="1">
        <w:r w:rsidR="00203F72" w:rsidRPr="007D50BB">
          <w:rPr>
            <w:rStyle w:val="a5"/>
            <w:rFonts w:ascii="Times New Roman" w:hAnsi="Times New Roman"/>
          </w:rPr>
          <w:t>第</w:t>
        </w:r>
        <w:r w:rsidR="00203F72" w:rsidRPr="007D50BB">
          <w:rPr>
            <w:rStyle w:val="a5"/>
            <w:rFonts w:ascii="Times New Roman" w:hAnsi="Times New Roman"/>
          </w:rPr>
          <w:t>701</w:t>
        </w:r>
        <w:r w:rsidR="00203F72" w:rsidRPr="007D50BB">
          <w:rPr>
            <w:rStyle w:val="a5"/>
            <w:rFonts w:ascii="Times New Roman" w:hAnsi="Times New Roman"/>
          </w:rPr>
          <w:t>號</w:t>
        </w:r>
      </w:hyperlink>
      <w:r w:rsidR="00203F72" w:rsidRPr="00410BD1">
        <w:t>(</w:t>
      </w:r>
      <w:r w:rsidR="00203F72" w:rsidRPr="00410BD1">
        <w:t>長期照護醫藥費列舉扣除額差別待遇案</w:t>
      </w:r>
      <w:r w:rsidR="00203F72" w:rsidRPr="00410BD1">
        <w:t>)</w:t>
      </w:r>
      <w:r w:rsidR="00203F72" w:rsidRPr="00410BD1">
        <w:t>之解釋中，亦有相類似之規定。司法院大法官指出憲法</w:t>
      </w:r>
      <w:hyperlink r:id="rId104" w:anchor="a7" w:history="1">
        <w:r w:rsidR="00203F72" w:rsidRPr="007D50BB">
          <w:rPr>
            <w:rStyle w:val="a5"/>
            <w:rFonts w:ascii="Times New Roman" w:hAnsi="Times New Roman"/>
          </w:rPr>
          <w:t>第七條</w:t>
        </w:r>
      </w:hyperlink>
      <w:r w:rsidR="00203F72" w:rsidRPr="00410BD1">
        <w:t>規定人民之平等權之意義，係指法規範是否符合平等權保障之要求，其判斷應取決於該法規範所以為差別待遇之目的是否合憲，其所採取之分類與規範目的之達成之間，是否存有一定程度之關聯性而定。根據司法院釋</w:t>
      </w:r>
      <w:r w:rsidR="007D50BB" w:rsidRPr="00410BD1">
        <w:t>字</w:t>
      </w:r>
      <w:hyperlink r:id="rId105" w:anchor="r701" w:history="1">
        <w:r w:rsidR="007D50BB" w:rsidRPr="007D50BB">
          <w:rPr>
            <w:rStyle w:val="a5"/>
            <w:rFonts w:ascii="Times New Roman" w:hAnsi="Times New Roman"/>
          </w:rPr>
          <w:t>第</w:t>
        </w:r>
        <w:r w:rsidR="007D50BB" w:rsidRPr="007D50BB">
          <w:rPr>
            <w:rStyle w:val="a5"/>
            <w:rFonts w:ascii="Times New Roman" w:hAnsi="Times New Roman"/>
          </w:rPr>
          <w:t>701</w:t>
        </w:r>
        <w:r w:rsidR="007D50BB" w:rsidRPr="007D50BB">
          <w:rPr>
            <w:rStyle w:val="a5"/>
            <w:rFonts w:ascii="Times New Roman" w:hAnsi="Times New Roman"/>
          </w:rPr>
          <w:t>號</w:t>
        </w:r>
      </w:hyperlink>
      <w:r w:rsidR="00203F72" w:rsidRPr="00410BD1">
        <w:t>之意旨，就目的而論，法規範所以為差別待遇之目的，須符合憲法之誡命要求，再者，差別待遇之「手段」與「規範目的」之達成之間，兩者之間，須存有一定程度之關聯性而定。另外，依據上述</w:t>
      </w:r>
      <w:r w:rsidR="00203F72" w:rsidRPr="00410BD1">
        <w:t>IACHR</w:t>
      </w:r>
      <w:r w:rsidR="00203F72" w:rsidRPr="00410BD1">
        <w:t>之見解，國家所欲追逐之合法化目的，與對於特定人口所採行之差異化處遇，兩者之間，須存有合理化之比例關係，始符合平等權之意義。我國則是強調差別待遇之手段</w:t>
      </w:r>
      <w:r w:rsidR="00203F72" w:rsidRPr="00410BD1">
        <w:t>(</w:t>
      </w:r>
      <w:r w:rsidR="00203F72" w:rsidRPr="00410BD1">
        <w:t>工具</w:t>
      </w:r>
      <w:r w:rsidR="00203F72" w:rsidRPr="00410BD1">
        <w:t>)</w:t>
      </w:r>
      <w:r w:rsidR="00203F72" w:rsidRPr="00410BD1">
        <w:t>與規範目的之達成之間，須存有一定程度之關聯性而定，兩者具有一定程度之相似性。</w:t>
      </w:r>
    </w:p>
    <w:p w14:paraId="56644D54" w14:textId="77777777" w:rsidR="00953151" w:rsidRPr="00410BD1" w:rsidRDefault="00B03E84" w:rsidP="00D87D91">
      <w:r w:rsidRPr="00410BD1">
        <w:t xml:space="preserve">　　</w:t>
      </w:r>
      <w:r w:rsidR="00203F72" w:rsidRPr="00410BD1">
        <w:t>不過，</w:t>
      </w:r>
      <w:r w:rsidR="00203F72" w:rsidRPr="00410BD1">
        <w:t>IACHR</w:t>
      </w:r>
      <w:r w:rsidR="00203F72" w:rsidRPr="00410BD1">
        <w:t>考量實際之現實狀況，亦即，任何政府有可能會面臨頗為特殊之情</w:t>
      </w:r>
      <w:r w:rsidR="00203F72" w:rsidRPr="00410BD1">
        <w:lastRenderedPageBreak/>
        <w:t>境，在此種之狀況下，</w:t>
      </w:r>
      <w:r w:rsidR="00203F72" w:rsidRPr="00410BD1">
        <w:t>IACHR</w:t>
      </w:r>
      <w:r w:rsidR="00203F72" w:rsidRPr="00410BD1">
        <w:t>對於平等權之審查標準，採取較為寬鬆之態度。上述之特殊情境，乃指國家在面臨較特殊之情境下，因基於公眾福址之考量</w:t>
      </w:r>
      <w:r w:rsidR="00203F72" w:rsidRPr="00410BD1">
        <w:t>(considerations of public welfare)</w:t>
      </w:r>
      <w:r w:rsidR="00203F72" w:rsidRPr="00410BD1">
        <w:t>與需求，所採取差異化之處遇</w:t>
      </w:r>
      <w:r w:rsidR="00203F72" w:rsidRPr="00410BD1">
        <w:t>(</w:t>
      </w:r>
      <w:r w:rsidR="00203F72" w:rsidRPr="00410BD1">
        <w:t>措施</w:t>
      </w:r>
      <w:r w:rsidR="00203F72" w:rsidRPr="00410BD1">
        <w:t>)</w:t>
      </w:r>
      <w:r w:rsidR="00203F72" w:rsidRPr="00410BD1">
        <w:t>，或多或少地偏離上述</w:t>
      </w:r>
      <w:r w:rsidR="00203F72" w:rsidRPr="00410BD1">
        <w:t>IACHR</w:t>
      </w:r>
      <w:r w:rsidR="00203F72" w:rsidRPr="00410BD1">
        <w:t>建構之標準</w:t>
      </w:r>
      <w:r w:rsidR="00203F72" w:rsidRPr="00410BD1">
        <w:t>(departures to a greater or lesser degree from the standards)</w:t>
      </w:r>
      <w:r w:rsidR="00203F72" w:rsidRPr="00410BD1">
        <w:t>；換言之，國家基於合法化之目的，所採取之差異化處遇手段，目的與手段兩者之間，或多或少地業已偏離合理化之比例關係，此時，究竟是否仍符合平等權之原則？</w:t>
      </w:r>
      <w:r w:rsidR="00203F72" w:rsidRPr="00410BD1">
        <w:t>IACHR</w:t>
      </w:r>
      <w:r w:rsidR="00203F72" w:rsidRPr="00410BD1">
        <w:t>主張在上述之情境下，基於公眾福址之考量因素，可以被加以正當化</w:t>
      </w:r>
      <w:r w:rsidR="00203F72" w:rsidRPr="00410BD1">
        <w:t>(</w:t>
      </w:r>
      <w:r w:rsidR="00203F72" w:rsidRPr="00410BD1">
        <w:t>合法化</w:t>
      </w:r>
      <w:r w:rsidR="00203F72" w:rsidRPr="00410BD1">
        <w:t>) (may justify)</w:t>
      </w:r>
      <w:r w:rsidR="00203F72" w:rsidRPr="00410BD1">
        <w:footnoteReference w:id="24"/>
      </w:r>
      <w:r w:rsidR="00203F72" w:rsidRPr="00410BD1">
        <w:t>。</w:t>
      </w:r>
    </w:p>
    <w:p w14:paraId="60F765AE" w14:textId="77777777" w:rsidR="00953151" w:rsidRPr="00410BD1" w:rsidRDefault="00B03E84" w:rsidP="00D87D91">
      <w:r w:rsidRPr="00410BD1">
        <w:t xml:space="preserve">　　</w:t>
      </w:r>
      <w:r w:rsidR="00203F72" w:rsidRPr="00410BD1">
        <w:t>此處，所處理之議題，係為一種「價值」</w:t>
      </w:r>
      <w:r w:rsidR="00203F72" w:rsidRPr="00410BD1">
        <w:t>(dealing with values)</w:t>
      </w:r>
      <w:r w:rsidR="00203F72" w:rsidRPr="00410BD1">
        <w:t>之課題；亦即，國家在面對真實之情境下</w:t>
      </w:r>
      <w:r w:rsidR="00203F72" w:rsidRPr="00410BD1">
        <w:t>(in the face of those real situations)</w:t>
      </w:r>
      <w:r w:rsidR="00203F72" w:rsidRPr="00410BD1">
        <w:t>，須採取具體之面向</w:t>
      </w:r>
      <w:r w:rsidR="00203F72" w:rsidRPr="00410BD1">
        <w:t>(take on concrete dimensions)</w:t>
      </w:r>
      <w:r w:rsidR="00203F72" w:rsidRPr="00410BD1">
        <w:t>，俾利處理所面臨之問題；就每一個個案而論，國家採取之差異化處遇</w:t>
      </w:r>
      <w:r w:rsidR="00203F72" w:rsidRPr="00410BD1">
        <w:t>(</w:t>
      </w:r>
      <w:r w:rsidR="00203F72" w:rsidRPr="00410BD1">
        <w:t>措施</w:t>
      </w:r>
      <w:r w:rsidR="00203F72" w:rsidRPr="00410BD1">
        <w:t>)</w:t>
      </w:r>
      <w:r w:rsidR="00203F72" w:rsidRPr="00410BD1">
        <w:t>之手段，究竟是否仍符合平等權之真義？存在著某種程度之「判斷餘地」</w:t>
      </w:r>
      <w:r w:rsidR="00203F72" w:rsidRPr="00410BD1">
        <w:t>(a certain margin of appreciation)</w:t>
      </w:r>
      <w:r w:rsidR="00203F72" w:rsidRPr="00410BD1">
        <w:t>。假若國家係基於公眾福址之考量</w:t>
      </w:r>
      <w:r w:rsidR="00203F72" w:rsidRPr="00410BD1">
        <w:t>(considerations of public welfare)</w:t>
      </w:r>
      <w:r w:rsidR="00203F72" w:rsidRPr="00410BD1">
        <w:t>與需求，即使採取之差異化處遇</w:t>
      </w:r>
      <w:r w:rsidR="00203F72" w:rsidRPr="00410BD1">
        <w:t>(</w:t>
      </w:r>
      <w:r w:rsidR="00203F72" w:rsidRPr="00410BD1">
        <w:t>措施</w:t>
      </w:r>
      <w:r w:rsidR="00203F72" w:rsidRPr="00410BD1">
        <w:t>)</w:t>
      </w:r>
      <w:r w:rsidR="00203F72" w:rsidRPr="00410BD1">
        <w:t>，業已偏離上述</w:t>
      </w:r>
      <w:r w:rsidR="00203F72" w:rsidRPr="00410BD1">
        <w:t>IACHR</w:t>
      </w:r>
      <w:r w:rsidR="00203F72" w:rsidRPr="00410BD1">
        <w:t>所建構之審查標準</w:t>
      </w:r>
      <w:r w:rsidR="00203F72" w:rsidRPr="00410BD1">
        <w:t>(departures from the standards)</w:t>
      </w:r>
      <w:r w:rsidR="00203F72" w:rsidRPr="00410BD1">
        <w:t>，仍可以被加以正當化</w:t>
      </w:r>
      <w:r w:rsidR="00203F72" w:rsidRPr="00410BD1">
        <w:t>(</w:t>
      </w:r>
      <w:r w:rsidR="00203F72" w:rsidRPr="00410BD1">
        <w:t>合法化</w:t>
      </w:r>
      <w:r w:rsidR="00203F72" w:rsidRPr="00410BD1">
        <w:t>)(justify)</w:t>
      </w:r>
      <w:r w:rsidR="00203F72" w:rsidRPr="00410BD1">
        <w:t>。然而，究竟偏離至何種之幅度，始未構成正當化</w:t>
      </w:r>
      <w:r w:rsidR="00203F72" w:rsidRPr="00410BD1">
        <w:t>(</w:t>
      </w:r>
      <w:r w:rsidR="00203F72" w:rsidRPr="00410BD1">
        <w:t>合法化</w:t>
      </w:r>
      <w:r w:rsidR="00203F72" w:rsidRPr="00410BD1">
        <w:t>)</w:t>
      </w:r>
      <w:r w:rsidR="00203F72" w:rsidRPr="00410BD1">
        <w:t>？此即為上述「判斷餘地」</w:t>
      </w:r>
      <w:r w:rsidR="00203F72" w:rsidRPr="00410BD1">
        <w:t>(a certain margin of appreciation)</w:t>
      </w:r>
      <w:r w:rsidR="00203F72" w:rsidRPr="00410BD1">
        <w:t>之課題。基本上，</w:t>
      </w:r>
      <w:r w:rsidR="00203F72" w:rsidRPr="00410BD1">
        <w:t>IACHR</w:t>
      </w:r>
      <w:r w:rsidR="00203F72" w:rsidRPr="00410BD1">
        <w:t>承認上述「判斷餘地」之存在，並容許由國家加以自行表述。以上，係國家在處置較為特殊化之情境時，</w:t>
      </w:r>
      <w:r w:rsidR="00203F72" w:rsidRPr="00410BD1">
        <w:t>IACHR</w:t>
      </w:r>
      <w:r w:rsidR="00203F72" w:rsidRPr="00410BD1">
        <w:t>對於平等權之審查標準，容許採取較為寬鬆之態度</w:t>
      </w:r>
      <w:r w:rsidR="00203F72" w:rsidRPr="00410BD1">
        <w:footnoteReference w:id="25"/>
      </w:r>
      <w:r w:rsidR="00203F72" w:rsidRPr="00410BD1">
        <w:t>。</w:t>
      </w:r>
    </w:p>
    <w:p w14:paraId="0E04C012" w14:textId="77777777" w:rsidR="00953151" w:rsidRPr="00410BD1" w:rsidRDefault="00B03E84" w:rsidP="00D87D91">
      <w:r w:rsidRPr="00410BD1">
        <w:t xml:space="preserve">　　</w:t>
      </w:r>
      <w:r w:rsidR="00203F72" w:rsidRPr="00410BD1">
        <w:t>在歐洲方面，根據歐洲人權公約</w:t>
      </w:r>
      <w:r w:rsidR="00203F72" w:rsidRPr="00410BD1">
        <w:t>(European Convention on Human Rights</w:t>
      </w:r>
      <w:r w:rsidR="00203F72" w:rsidRPr="00410BD1">
        <w:t>；本公約亦有稱為</w:t>
      </w:r>
      <w:r w:rsidR="00203F72" w:rsidRPr="00410BD1">
        <w:t>Convention for the Protection of Human Rights and Fundamental Freedoms)</w:t>
      </w:r>
      <w:r w:rsidR="00203F72" w:rsidRPr="00410BD1">
        <w:t>第</w:t>
      </w:r>
      <w:r w:rsidR="00203F72" w:rsidRPr="00410BD1">
        <w:t>14</w:t>
      </w:r>
      <w:r w:rsidR="00203F72" w:rsidRPr="00410BD1">
        <w:t>條之規範，「人人對本公約列舉之權利與自由之享受</w:t>
      </w:r>
      <w:r w:rsidR="00203F72" w:rsidRPr="00410BD1">
        <w:t>(The enjoyment of the rights and freedoms set forth in this Convention)</w:t>
      </w:r>
      <w:r w:rsidR="00203F72" w:rsidRPr="00410BD1">
        <w:t>，應予保證，不得因性別、種族、膚色、語文、宗教、政治或其他見解民族或社會之出身、同少數民族之聯繫、財產、出生或其他地位而有所歧</w:t>
      </w:r>
      <w:r w:rsidR="003E240E">
        <w:t>視</w:t>
      </w:r>
      <w:r w:rsidR="00203F72" w:rsidRPr="00410BD1">
        <w:t>(shall be secured without discrimination on any ground such as sex, race, colour, language, religion, political or other opinion, national or social origin, association with a national minority, property, birth or other status)</w:t>
      </w:r>
      <w:r w:rsidR="00203F72" w:rsidRPr="00410BD1">
        <w:t>。」上述歐洲人權公約第</w:t>
      </w:r>
      <w:r w:rsidR="00203F72" w:rsidRPr="00410BD1">
        <w:t>14</w:t>
      </w:r>
      <w:r w:rsidR="00203F72" w:rsidRPr="00410BD1">
        <w:t>條之規範重點，在於禁止歧</w:t>
      </w:r>
      <w:r w:rsidR="003E240E">
        <w:t>視</w:t>
      </w:r>
      <w:r w:rsidR="00203F72" w:rsidRPr="00410BD1">
        <w:t>(Prohibition of discrimination)</w:t>
      </w:r>
      <w:r w:rsidR="00203F72" w:rsidRPr="00410BD1">
        <w:t>。</w:t>
      </w:r>
    </w:p>
    <w:p w14:paraId="67492FAE" w14:textId="77777777" w:rsidR="00953151" w:rsidRPr="00410BD1" w:rsidRDefault="00B03E84" w:rsidP="00D87D91">
      <w:r w:rsidRPr="00410BD1">
        <w:t xml:space="preserve">　　</w:t>
      </w:r>
      <w:r w:rsidR="00203F72" w:rsidRPr="00410BD1">
        <w:t>歐洲人權法院</w:t>
      </w:r>
      <w:r w:rsidR="00203F72" w:rsidRPr="00410BD1">
        <w:t>(the European Court of Human Rights</w:t>
      </w:r>
      <w:r w:rsidR="00203F72" w:rsidRPr="00410BD1">
        <w:t>，簡稱為</w:t>
      </w:r>
      <w:r w:rsidR="00203F72" w:rsidRPr="00410BD1">
        <w:t>ECHR)</w:t>
      </w:r>
      <w:r w:rsidR="00203F72" w:rsidRPr="00410BD1">
        <w:t>認為假若差異化處遇</w:t>
      </w:r>
      <w:r w:rsidR="00203F72" w:rsidRPr="00410BD1">
        <w:t>(</w:t>
      </w:r>
      <w:r w:rsidR="00203F72" w:rsidRPr="00410BD1">
        <w:t>措施</w:t>
      </w:r>
      <w:r w:rsidR="00203F72" w:rsidRPr="00410BD1">
        <w:t>) (the distinction)</w:t>
      </w:r>
      <w:r w:rsidR="00203F72" w:rsidRPr="00410BD1">
        <w:t>未具有客觀化與合理化之正當性</w:t>
      </w:r>
      <w:r w:rsidR="00203F72" w:rsidRPr="00410BD1">
        <w:t>(</w:t>
      </w:r>
      <w:r w:rsidR="00203F72" w:rsidRPr="00410BD1">
        <w:t>合法性</w:t>
      </w:r>
      <w:r w:rsidR="00203F72" w:rsidRPr="00410BD1">
        <w:t>) (has no objective and reasonable justification)</w:t>
      </w:r>
      <w:r w:rsidR="00203F72" w:rsidRPr="00410BD1">
        <w:t>，此時，則違反平等對待之原則。如何評量上述是否存在正當性</w:t>
      </w:r>
      <w:r w:rsidR="00203F72" w:rsidRPr="00410BD1">
        <w:t>(</w:t>
      </w:r>
      <w:r w:rsidR="00203F72" w:rsidRPr="00410BD1">
        <w:t>合法性</w:t>
      </w:r>
      <w:r w:rsidR="00203F72" w:rsidRPr="00410BD1">
        <w:t>) (The existence of such a justification)</w:t>
      </w:r>
      <w:r w:rsidR="00203F72" w:rsidRPr="00410BD1">
        <w:t>？</w:t>
      </w:r>
      <w:r w:rsidR="00203F72" w:rsidRPr="00410BD1">
        <w:t>ECHR</w:t>
      </w:r>
      <w:r w:rsidR="00203F72" w:rsidRPr="00410BD1">
        <w:t>指出評估之方法，係考量在民主國家中所普遍施行之原則</w:t>
      </w:r>
      <w:r w:rsidR="00203F72" w:rsidRPr="00410BD1">
        <w:t>(the principles which normally prevail in democratic societies)</w:t>
      </w:r>
      <w:r w:rsidR="00203F72" w:rsidRPr="00410BD1">
        <w:t>，即須考慮目的與差異化處遇</w:t>
      </w:r>
      <w:r w:rsidR="00203F72" w:rsidRPr="00410BD1">
        <w:t>(</w:t>
      </w:r>
      <w:r w:rsidR="00203F72" w:rsidRPr="00410BD1">
        <w:t>措施</w:t>
      </w:r>
      <w:r w:rsidR="00203F72" w:rsidRPr="00410BD1">
        <w:t>)</w:t>
      </w:r>
      <w:r w:rsidR="00203F72" w:rsidRPr="00410BD1">
        <w:t>效果之關聯性</w:t>
      </w:r>
      <w:r w:rsidR="00203F72" w:rsidRPr="00410BD1">
        <w:t>(in relation to the aim and effects of the measure under consideration)</w:t>
      </w:r>
      <w:r w:rsidR="00203F72" w:rsidRPr="00410BD1">
        <w:t>，換言之，須考量目的與差異化手段所產生之效果之關聯性。如擬對於上述歐洲人權公約所揭示之諸多權利，進行差異化之處遇</w:t>
      </w:r>
      <w:r w:rsidR="00203F72" w:rsidRPr="00410BD1">
        <w:t>(</w:t>
      </w:r>
      <w:r w:rsidR="00203F72" w:rsidRPr="00410BD1">
        <w:t>措施</w:t>
      </w:r>
      <w:r w:rsidR="00203F72" w:rsidRPr="00410BD1">
        <w:t>)(A difference of treatment)</w:t>
      </w:r>
      <w:r w:rsidR="00203F72" w:rsidRPr="00410BD1">
        <w:t>，不應被限制為僅是追求合法化之目的</w:t>
      </w:r>
      <w:r w:rsidR="00203F72" w:rsidRPr="00410BD1">
        <w:t>(not only pursue a legitimate aim)</w:t>
      </w:r>
      <w:r w:rsidR="00203F72" w:rsidRPr="00410BD1">
        <w:t>，尚須進一步考量目的與差異化手段之比例性關係；假若所採用差異化處遇</w:t>
      </w:r>
      <w:r w:rsidR="00203F72" w:rsidRPr="00410BD1">
        <w:t>(</w:t>
      </w:r>
      <w:r w:rsidR="00203F72" w:rsidRPr="00410BD1">
        <w:t>措施</w:t>
      </w:r>
      <w:r w:rsidR="00203F72" w:rsidRPr="00410BD1">
        <w:t>)</w:t>
      </w:r>
      <w:r w:rsidR="00203F72" w:rsidRPr="00410BD1">
        <w:t>之手段</w:t>
      </w:r>
      <w:r w:rsidR="00203F72" w:rsidRPr="00410BD1">
        <w:t>(the means employed)</w:t>
      </w:r>
      <w:r w:rsidR="00203F72" w:rsidRPr="00410BD1">
        <w:t>，與欲被加以實踐之目的</w:t>
      </w:r>
      <w:r w:rsidR="00203F72" w:rsidRPr="00410BD1">
        <w:t>(the aim sought to be realized)</w:t>
      </w:r>
      <w:r w:rsidR="00203F72" w:rsidRPr="00410BD1">
        <w:t>，兩者之間，未具有合理化之比例性</w:t>
      </w:r>
      <w:r w:rsidR="00203F72" w:rsidRPr="00410BD1">
        <w:t>(there is no reasonable relationship of proportionality)</w:t>
      </w:r>
      <w:r w:rsidR="00203F72" w:rsidRPr="00410BD1">
        <w:t>，則很有可能會違犯上述歐洲人權公約第</w:t>
      </w:r>
      <w:r w:rsidR="00203F72" w:rsidRPr="00410BD1">
        <w:t>14</w:t>
      </w:r>
      <w:r w:rsidR="00203F72" w:rsidRPr="00410BD1">
        <w:t>條禁止歧</w:t>
      </w:r>
      <w:r w:rsidR="003E240E">
        <w:t>視</w:t>
      </w:r>
      <w:r w:rsidR="00203F72" w:rsidRPr="00410BD1">
        <w:t>(Prohibition of discrimination)</w:t>
      </w:r>
      <w:r w:rsidR="00203F72" w:rsidRPr="00410BD1">
        <w:t>之規範。亦即，違</w:t>
      </w:r>
      <w:r w:rsidR="00203F72" w:rsidRPr="00410BD1">
        <w:lastRenderedPageBreak/>
        <w:t>反平等地對待之原則</w:t>
      </w:r>
      <w:r w:rsidR="00203F72" w:rsidRPr="00410BD1">
        <w:t>(the principle of equality of treatment is violated)</w:t>
      </w:r>
      <w:r w:rsidR="00203F72" w:rsidRPr="00410BD1">
        <w:footnoteReference w:id="26"/>
      </w:r>
      <w:r w:rsidR="00203F72" w:rsidRPr="00410BD1">
        <w:t>。</w:t>
      </w:r>
    </w:p>
    <w:p w14:paraId="7DB70870" w14:textId="77777777" w:rsidR="00953151" w:rsidRPr="00410BD1" w:rsidRDefault="00B03E84" w:rsidP="00D87D91">
      <w:r w:rsidRPr="00410BD1">
        <w:t xml:space="preserve">　　</w:t>
      </w:r>
      <w:r w:rsidR="00203F72" w:rsidRPr="00410BD1">
        <w:t>上開</w:t>
      </w:r>
      <w:r w:rsidR="00203F72" w:rsidRPr="00410BD1">
        <w:t>ECHR</w:t>
      </w:r>
      <w:r w:rsidR="00203F72" w:rsidRPr="00410BD1">
        <w:t>之見解，在我國司法院釋字第</w:t>
      </w:r>
      <w:hyperlink r:id="rId106" w:anchor="r694" w:history="1">
        <w:r w:rsidR="00203F72" w:rsidRPr="007D50BB">
          <w:rPr>
            <w:rStyle w:val="a5"/>
            <w:rFonts w:ascii="Times New Roman" w:hAnsi="Times New Roman"/>
          </w:rPr>
          <w:t>六九四</w:t>
        </w:r>
      </w:hyperlink>
      <w:r w:rsidR="00203F72" w:rsidRPr="00410BD1">
        <w:t>號之解釋中，亦有相類似之意旨。根據台灣司法院釋</w:t>
      </w:r>
      <w:r w:rsidR="007D50BB" w:rsidRPr="00410BD1">
        <w:t>字第</w:t>
      </w:r>
      <w:hyperlink r:id="rId107" w:anchor="r694" w:history="1">
        <w:r w:rsidR="007D50BB" w:rsidRPr="007D50BB">
          <w:rPr>
            <w:rStyle w:val="a5"/>
            <w:rFonts w:ascii="Times New Roman" w:hAnsi="Times New Roman"/>
          </w:rPr>
          <w:t>六九四</w:t>
        </w:r>
      </w:hyperlink>
      <w:r w:rsidR="00203F72" w:rsidRPr="00410BD1">
        <w:t>號解釋之內容，憲法</w:t>
      </w:r>
      <w:hyperlink r:id="rId108" w:anchor="a7" w:history="1">
        <w:r w:rsidR="007D50BB" w:rsidRPr="007D50BB">
          <w:rPr>
            <w:rStyle w:val="a5"/>
            <w:rFonts w:ascii="Times New Roman" w:hAnsi="Times New Roman"/>
          </w:rPr>
          <w:t>第七條</w:t>
        </w:r>
      </w:hyperlink>
      <w:r w:rsidR="00203F72" w:rsidRPr="00410BD1">
        <w:t>所揭示之平等原則非指絕對、機械之形式上平等，而係保障人民在法律上地位之實質平等，要求本質上相同之事物應為相同之處理，不得恣意為無正當理由之差別待遇。法規範是否符合平等權保障之要求，其判斷應取決於該法規範所以為差別待遇之目的是否合憲，其所採取之分類與規範目的之達成之間，是否存有一定程度之關聯性而定</w:t>
      </w:r>
      <w:r w:rsidR="00203F72" w:rsidRPr="00410BD1">
        <w:t>(</w:t>
      </w:r>
      <w:r w:rsidR="00203F72" w:rsidRPr="00410BD1">
        <w:t>司法院釋字第</w:t>
      </w:r>
      <w:hyperlink r:id="rId109" w:anchor="r547" w:history="1">
        <w:r w:rsidR="00203F72" w:rsidRPr="005670A4">
          <w:rPr>
            <w:rStyle w:val="a5"/>
            <w:rFonts w:ascii="Times New Roman" w:eastAsia="新細明體" w:hAnsi="Times New Roman"/>
          </w:rPr>
          <w:t>五四七</w:t>
        </w:r>
      </w:hyperlink>
      <w:r w:rsidR="00203F72" w:rsidRPr="00410BD1">
        <w:t>號、第</w:t>
      </w:r>
      <w:hyperlink r:id="rId110" w:anchor="r584" w:history="1">
        <w:r w:rsidR="00203F72" w:rsidRPr="005670A4">
          <w:rPr>
            <w:rStyle w:val="a5"/>
            <w:rFonts w:ascii="Times New Roman" w:eastAsia="新細明體" w:hAnsi="Times New Roman"/>
          </w:rPr>
          <w:t>五八四</w:t>
        </w:r>
      </w:hyperlink>
      <w:r w:rsidR="00203F72" w:rsidRPr="00410BD1">
        <w:t>號、第</w:t>
      </w:r>
      <w:hyperlink r:id="rId111" w:anchor="r596" w:history="1">
        <w:r w:rsidR="00203F72" w:rsidRPr="005670A4">
          <w:rPr>
            <w:rStyle w:val="a5"/>
            <w:rFonts w:ascii="Times New Roman" w:eastAsia="新細明體" w:hAnsi="Times New Roman"/>
          </w:rPr>
          <w:t>五九六</w:t>
        </w:r>
      </w:hyperlink>
      <w:r w:rsidR="00203F72" w:rsidRPr="00410BD1">
        <w:t>號、第</w:t>
      </w:r>
      <w:hyperlink r:id="rId112" w:anchor="r605" w:history="1">
        <w:r w:rsidR="00203F72" w:rsidRPr="005670A4">
          <w:rPr>
            <w:rStyle w:val="a5"/>
            <w:rFonts w:ascii="Times New Roman" w:eastAsia="新細明體" w:hAnsi="Times New Roman"/>
          </w:rPr>
          <w:t>六</w:t>
        </w:r>
        <w:r w:rsidR="007F3288">
          <w:rPr>
            <w:rStyle w:val="a5"/>
            <w:rFonts w:ascii="Times New Roman" w:eastAsia="新細明體" w:hAnsi="Times New Roman"/>
          </w:rPr>
          <w:t>0</w:t>
        </w:r>
        <w:r w:rsidR="00203F72" w:rsidRPr="005670A4">
          <w:rPr>
            <w:rStyle w:val="a5"/>
            <w:rFonts w:ascii="Times New Roman" w:eastAsia="新細明體" w:hAnsi="Times New Roman"/>
          </w:rPr>
          <w:t>五</w:t>
        </w:r>
      </w:hyperlink>
      <w:r w:rsidR="00203F72" w:rsidRPr="00410BD1">
        <w:t>號、第</w:t>
      </w:r>
      <w:hyperlink r:id="rId113" w:anchor="r614" w:history="1">
        <w:r w:rsidR="00203F72" w:rsidRPr="005670A4">
          <w:rPr>
            <w:rStyle w:val="a5"/>
            <w:rFonts w:ascii="Times New Roman" w:eastAsia="新細明體" w:hAnsi="Times New Roman"/>
          </w:rPr>
          <w:t>六一四</w:t>
        </w:r>
      </w:hyperlink>
      <w:r w:rsidR="00203F72" w:rsidRPr="00410BD1">
        <w:t>號、第</w:t>
      </w:r>
      <w:hyperlink r:id="rId114" w:anchor="r647" w:history="1">
        <w:r w:rsidR="00203F72" w:rsidRPr="005670A4">
          <w:rPr>
            <w:rStyle w:val="a5"/>
            <w:rFonts w:ascii="Times New Roman" w:eastAsia="新細明體" w:hAnsi="Times New Roman"/>
          </w:rPr>
          <w:t>六四七</w:t>
        </w:r>
      </w:hyperlink>
      <w:r w:rsidR="00203F72" w:rsidRPr="00410BD1">
        <w:t>號、第</w:t>
      </w:r>
      <w:hyperlink r:id="rId115" w:anchor="r648" w:history="1">
        <w:r w:rsidR="00203F72" w:rsidRPr="005670A4">
          <w:rPr>
            <w:rStyle w:val="a5"/>
            <w:rFonts w:ascii="Times New Roman" w:eastAsia="新細明體" w:hAnsi="Times New Roman"/>
          </w:rPr>
          <w:t>六四八</w:t>
        </w:r>
      </w:hyperlink>
      <w:r w:rsidR="00203F72" w:rsidRPr="00410BD1">
        <w:t>號、第</w:t>
      </w:r>
      <w:hyperlink r:id="rId116" w:anchor="r666" w:history="1">
        <w:r w:rsidR="00203F72" w:rsidRPr="005670A4">
          <w:rPr>
            <w:rStyle w:val="a5"/>
            <w:rFonts w:ascii="Times New Roman" w:eastAsia="新細明體" w:hAnsi="Times New Roman"/>
          </w:rPr>
          <w:t>六六六</w:t>
        </w:r>
      </w:hyperlink>
      <w:r w:rsidR="00203F72" w:rsidRPr="00410BD1">
        <w:t>號及第</w:t>
      </w:r>
      <w:hyperlink r:id="rId117" w:anchor="r682" w:history="1">
        <w:r w:rsidR="00203F72" w:rsidRPr="005670A4">
          <w:rPr>
            <w:rStyle w:val="a5"/>
            <w:rFonts w:ascii="Times New Roman" w:eastAsia="新細明體" w:hAnsi="Times New Roman"/>
          </w:rPr>
          <w:t>六八二</w:t>
        </w:r>
      </w:hyperlink>
      <w:r w:rsidR="00203F72" w:rsidRPr="00410BD1">
        <w:t>號均有相類似之規定</w:t>
      </w:r>
      <w:r w:rsidR="00203F72" w:rsidRPr="00410BD1">
        <w:t>)</w:t>
      </w:r>
      <w:r w:rsidR="00203F72" w:rsidRPr="00410BD1">
        <w:t>。上述</w:t>
      </w:r>
      <w:r w:rsidR="00203F72" w:rsidRPr="00410BD1">
        <w:t>ECHR</w:t>
      </w:r>
      <w:r w:rsidR="00203F72" w:rsidRPr="00410BD1">
        <w:t>所指稱須考慮「目的」與「差異化處遇</w:t>
      </w:r>
      <w:r w:rsidR="00203F72" w:rsidRPr="00410BD1">
        <w:t>(</w:t>
      </w:r>
      <w:r w:rsidR="00203F72" w:rsidRPr="00410BD1">
        <w:t>措施</w:t>
      </w:r>
      <w:r w:rsidR="00203F72" w:rsidRPr="00410BD1">
        <w:t>)</w:t>
      </w:r>
      <w:r w:rsidR="00203F72" w:rsidRPr="00410BD1">
        <w:t>效果」之關聯性</w:t>
      </w:r>
      <w:r w:rsidR="00203F72" w:rsidRPr="00410BD1">
        <w:t>(in relation to the aim and effects of the measure under consideration)</w:t>
      </w:r>
      <w:r w:rsidR="00203F72" w:rsidRPr="00410BD1">
        <w:t>，約略近似於我國司法院大法官所闡釋之以下論理，即採取差別待遇之分類</w:t>
      </w:r>
      <w:r w:rsidR="00203F72" w:rsidRPr="00410BD1">
        <w:t>(</w:t>
      </w:r>
      <w:r w:rsidR="00203F72" w:rsidRPr="00410BD1">
        <w:t>手段</w:t>
      </w:r>
      <w:r w:rsidR="00203F72" w:rsidRPr="00410BD1">
        <w:t>)</w:t>
      </w:r>
      <w:r w:rsidR="00203F72" w:rsidRPr="00410BD1">
        <w:t>與規範目的之達成之間，須存有一定程度之關聯性。</w:t>
      </w:r>
    </w:p>
    <w:p w14:paraId="71CBB5E8" w14:textId="77777777" w:rsidR="00953151" w:rsidRPr="00410BD1" w:rsidRDefault="00B03E84" w:rsidP="00D87D91">
      <w:r w:rsidRPr="00410BD1">
        <w:t xml:space="preserve">　　</w:t>
      </w:r>
      <w:r w:rsidR="00203F72" w:rsidRPr="00410BD1">
        <w:t>對於歐洲人權公約所規範之諸多事項與範疇，</w:t>
      </w:r>
      <w:r w:rsidR="00203F72" w:rsidRPr="00410BD1">
        <w:t>ECHR</w:t>
      </w:r>
      <w:r w:rsidR="00203F72" w:rsidRPr="00410BD1">
        <w:t>認為國家機關仍保有選擇措施</w:t>
      </w:r>
      <w:r w:rsidR="00203F72" w:rsidRPr="00410BD1">
        <w:t>(</w:t>
      </w:r>
      <w:r w:rsidR="00203F72" w:rsidRPr="00410BD1">
        <w:t>手段</w:t>
      </w:r>
      <w:r w:rsidR="00203F72" w:rsidRPr="00410BD1">
        <w:t>)</w:t>
      </w:r>
      <w:r w:rsidR="00203F72" w:rsidRPr="00410BD1">
        <w:t>之裁量自由</w:t>
      </w:r>
      <w:r w:rsidR="00203F72" w:rsidRPr="00410BD1">
        <w:t>(remain free to choose the measures)</w:t>
      </w:r>
      <w:r w:rsidR="00203F72" w:rsidRPr="00410BD1">
        <w:t>；如國家機關認為對於上述之事項與範疇，選用某種之措施</w:t>
      </w:r>
      <w:r w:rsidR="00203F72" w:rsidRPr="00410BD1">
        <w:t>(</w:t>
      </w:r>
      <w:r w:rsidR="00203F72" w:rsidRPr="00410BD1">
        <w:t>手段</w:t>
      </w:r>
      <w:r w:rsidR="00203F72" w:rsidRPr="00410BD1">
        <w:t>)</w:t>
      </w:r>
      <w:r w:rsidR="00203F72" w:rsidRPr="00410BD1">
        <w:t>，係屬於適當</w:t>
      </w:r>
      <w:r w:rsidR="00203F72" w:rsidRPr="00410BD1">
        <w:t>(which they consider appropriate)</w:t>
      </w:r>
      <w:r w:rsidR="00203F72" w:rsidRPr="00410BD1">
        <w:t>，則國家機關擁有自由之權限，決定選用何種之措施</w:t>
      </w:r>
      <w:r w:rsidR="00203F72" w:rsidRPr="00410BD1">
        <w:t>(</w:t>
      </w:r>
      <w:r w:rsidR="00203F72" w:rsidRPr="00410BD1">
        <w:t>手段</w:t>
      </w:r>
      <w:r w:rsidR="00203F72" w:rsidRPr="00410BD1">
        <w:t>)</w:t>
      </w:r>
      <w:r w:rsidR="00203F72" w:rsidRPr="00410BD1">
        <w:t>。</w:t>
      </w:r>
      <w:r w:rsidR="00203F72" w:rsidRPr="00410BD1">
        <w:t>ECHR</w:t>
      </w:r>
      <w:r w:rsidR="00203F72" w:rsidRPr="00410BD1">
        <w:t>於審理個案之案情時，係聚焦於國家機關所選擇之措施</w:t>
      </w:r>
      <w:r w:rsidR="00203F72" w:rsidRPr="00410BD1">
        <w:t>(</w:t>
      </w:r>
      <w:r w:rsidR="00203F72" w:rsidRPr="00410BD1">
        <w:t>手段</w:t>
      </w:r>
      <w:r w:rsidR="00203F72" w:rsidRPr="00410BD1">
        <w:t>)</w:t>
      </w:r>
      <w:r w:rsidR="00203F72" w:rsidRPr="00410BD1">
        <w:t>，與歐洲人權公約所規範之法律構成要件之間，是否具有一致性</w:t>
      </w:r>
      <w:r w:rsidR="00203F72" w:rsidRPr="00410BD1">
        <w:t>(the conformity of those measures with the requirements of the Convention)</w:t>
      </w:r>
      <w:r w:rsidR="00203F72" w:rsidRPr="00410BD1">
        <w:t>。亦即，</w:t>
      </w:r>
      <w:r w:rsidR="00203F72" w:rsidRPr="00410BD1">
        <w:t>ECHR</w:t>
      </w:r>
      <w:r w:rsidR="00203F72" w:rsidRPr="00410BD1">
        <w:t>審查上述之措施</w:t>
      </w:r>
      <w:r w:rsidR="00203F72" w:rsidRPr="00410BD1">
        <w:t>(</w:t>
      </w:r>
      <w:r w:rsidR="00203F72" w:rsidRPr="00410BD1">
        <w:t>手段</w:t>
      </w:r>
      <w:r w:rsidR="00203F72" w:rsidRPr="00410BD1">
        <w:t>)</w:t>
      </w:r>
      <w:r w:rsidR="00203F72" w:rsidRPr="00410BD1">
        <w:t>，是否符合歐洲人權公約所規範之法律構成要件</w:t>
      </w:r>
      <w:r w:rsidR="00203F72" w:rsidRPr="00410BD1">
        <w:footnoteReference w:id="27"/>
      </w:r>
      <w:r w:rsidR="00203F72" w:rsidRPr="00410BD1">
        <w:t>。</w:t>
      </w:r>
    </w:p>
    <w:p w14:paraId="2F0E83FD" w14:textId="77777777" w:rsidR="00953151" w:rsidRPr="00410BD1" w:rsidRDefault="00B03E84" w:rsidP="00D87D91">
      <w:r w:rsidRPr="00410BD1">
        <w:t xml:space="preserve">　　</w:t>
      </w:r>
      <w:r w:rsidR="00203F72" w:rsidRPr="00410BD1">
        <w:t>承上所述，</w:t>
      </w:r>
      <w:r w:rsidR="00203F72" w:rsidRPr="00410BD1">
        <w:t>ECHR</w:t>
      </w:r>
      <w:r w:rsidR="00203F72" w:rsidRPr="00410BD1">
        <w:t>所指稱之國家機關保有選擇措施</w:t>
      </w:r>
      <w:r w:rsidR="00203F72" w:rsidRPr="00410BD1">
        <w:t>(</w:t>
      </w:r>
      <w:r w:rsidR="00203F72" w:rsidRPr="00410BD1">
        <w:t>手段</w:t>
      </w:r>
      <w:r w:rsidR="00203F72" w:rsidRPr="00410BD1">
        <w:t>)</w:t>
      </w:r>
      <w:r w:rsidR="00203F72" w:rsidRPr="00410BD1">
        <w:t>之裁量自由部分，在台灣司法院釋字</w:t>
      </w:r>
      <w:hyperlink r:id="rId118" w:anchor="r697" w:history="1">
        <w:r w:rsidR="00203F72" w:rsidRPr="005C4210">
          <w:rPr>
            <w:rStyle w:val="a5"/>
            <w:rFonts w:ascii="Times New Roman" w:eastAsia="新細明體" w:hAnsi="Times New Roman"/>
          </w:rPr>
          <w:t>第</w:t>
        </w:r>
        <w:r w:rsidR="00203F72" w:rsidRPr="005C4210">
          <w:rPr>
            <w:rStyle w:val="a5"/>
            <w:rFonts w:ascii="Times New Roman" w:eastAsia="新細明體" w:hAnsi="Times New Roman"/>
          </w:rPr>
          <w:t>697</w:t>
        </w:r>
        <w:r w:rsidR="00203F72" w:rsidRPr="005C4210">
          <w:rPr>
            <w:rStyle w:val="a5"/>
            <w:rFonts w:ascii="Times New Roman" w:eastAsia="新細明體" w:hAnsi="Times New Roman"/>
          </w:rPr>
          <w:t>號</w:t>
        </w:r>
      </w:hyperlink>
      <w:r w:rsidR="00203F72" w:rsidRPr="00410BD1">
        <w:t>及</w:t>
      </w:r>
      <w:hyperlink r:id="rId119" w:anchor="r698" w:history="1">
        <w:r w:rsidR="00203F72" w:rsidRPr="005C4210">
          <w:rPr>
            <w:rStyle w:val="a5"/>
            <w:rFonts w:ascii="Times New Roman" w:eastAsia="新細明體" w:hAnsi="Times New Roman"/>
          </w:rPr>
          <w:t>第</w:t>
        </w:r>
        <w:r w:rsidR="00203F72" w:rsidRPr="005C4210">
          <w:rPr>
            <w:rStyle w:val="a5"/>
            <w:rFonts w:ascii="Times New Roman" w:eastAsia="新細明體" w:hAnsi="Times New Roman"/>
          </w:rPr>
          <w:t>698</w:t>
        </w:r>
        <w:r w:rsidR="00203F72" w:rsidRPr="005C4210">
          <w:rPr>
            <w:rStyle w:val="a5"/>
            <w:rFonts w:ascii="Times New Roman" w:eastAsia="新細明體" w:hAnsi="Times New Roman"/>
          </w:rPr>
          <w:t>號</w:t>
        </w:r>
      </w:hyperlink>
      <w:r w:rsidR="00203F72" w:rsidRPr="00410BD1">
        <w:t>之中，亦有相類似之規定。於釋</w:t>
      </w:r>
      <w:r w:rsidR="005C4210" w:rsidRPr="00410BD1">
        <w:t>字</w:t>
      </w:r>
      <w:hyperlink r:id="rId120" w:anchor="r697"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697</w:t>
        </w:r>
        <w:r w:rsidR="005C4210" w:rsidRPr="005C4210">
          <w:rPr>
            <w:rStyle w:val="a5"/>
            <w:rFonts w:ascii="Times New Roman" w:eastAsia="新細明體" w:hAnsi="Times New Roman"/>
          </w:rPr>
          <w:t>號</w:t>
        </w:r>
      </w:hyperlink>
      <w:r w:rsidR="00203F72" w:rsidRPr="00410BD1">
        <w:t>之理由書中，司法院大法官認為貨物稅之課徵，乃立法者針對國內產製或自國外輸入特定類別貨物所課徵之一種單一階段銷售稅，原則上以設廠集中生產、產量較大與標準化生產為課徵對象。立法者選擇設廠機製之清涼飲料品課稅，係基於國家經濟、財政政策之考量，自非恣意。是本條例第八條僅對設廠機製之清涼飲料品課徵貨物稅，而未對非設廠機製者課徵貨物稅，屬於立法裁量之範圍，並不違反憲法</w:t>
      </w:r>
      <w:hyperlink r:id="rId121" w:anchor="a7" w:history="1">
        <w:r w:rsidR="007D50BB" w:rsidRPr="007D50BB">
          <w:rPr>
            <w:rStyle w:val="a5"/>
            <w:rFonts w:ascii="Times New Roman" w:hAnsi="Times New Roman"/>
          </w:rPr>
          <w:t>第七條</w:t>
        </w:r>
      </w:hyperlink>
      <w:r w:rsidR="00203F72" w:rsidRPr="00410BD1">
        <w:t>之平等原則。</w:t>
      </w:r>
    </w:p>
    <w:p w14:paraId="5AEA3A61" w14:textId="77777777" w:rsidR="00953151" w:rsidRPr="00410BD1" w:rsidRDefault="00B03E84" w:rsidP="00D87D91">
      <w:r w:rsidRPr="00410BD1">
        <w:t xml:space="preserve">　　</w:t>
      </w:r>
      <w:r w:rsidR="00203F72" w:rsidRPr="00410BD1">
        <w:t>於釋字</w:t>
      </w:r>
      <w:hyperlink r:id="rId122" w:anchor="r698"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698</w:t>
        </w:r>
        <w:r w:rsidR="005C4210" w:rsidRPr="005C4210">
          <w:rPr>
            <w:rStyle w:val="a5"/>
            <w:rFonts w:ascii="Times New Roman" w:eastAsia="新細明體" w:hAnsi="Times New Roman"/>
          </w:rPr>
          <w:t>號</w:t>
        </w:r>
      </w:hyperlink>
      <w:r w:rsidR="00203F72" w:rsidRPr="00410BD1">
        <w:t>之中，司法院大法官指出彩色電</w:t>
      </w:r>
      <w:r w:rsidR="003E240E">
        <w:t>視</w:t>
      </w:r>
      <w:r w:rsidR="00203F72" w:rsidRPr="00410BD1">
        <w:t>機可分為顯示器及電</w:t>
      </w:r>
      <w:r w:rsidR="003E240E">
        <w:t>視</w:t>
      </w:r>
      <w:r w:rsidR="00203F72" w:rsidRPr="00410BD1">
        <w:t>調諧器二大主要部分，倘顯示器未標示電</w:t>
      </w:r>
      <w:r w:rsidR="003E240E">
        <w:t>視</w:t>
      </w:r>
      <w:r w:rsidR="00203F72" w:rsidRPr="00410BD1">
        <w:t>字樣，二者亦未併同出廠，即非屬彩色電</w:t>
      </w:r>
      <w:r w:rsidR="003E240E">
        <w:t>視</w:t>
      </w:r>
      <w:r w:rsidR="00203F72" w:rsidRPr="00410BD1">
        <w:t>機之範圍，免於出廠時課徵貨物稅。財政部中華民國九十六年六月十四日台財稅字第</w:t>
      </w:r>
      <w:r w:rsidR="007F3288">
        <w:t>0</w:t>
      </w:r>
      <w:r w:rsidR="00203F72" w:rsidRPr="00410BD1">
        <w:t>九六</w:t>
      </w:r>
      <w:r w:rsidR="007F3288">
        <w:t>0</w:t>
      </w:r>
      <w:r w:rsidR="00203F72" w:rsidRPr="00410BD1">
        <w:t>四五</w:t>
      </w:r>
      <w:r w:rsidR="007F3288">
        <w:t>0</w:t>
      </w:r>
      <w:r w:rsidR="00203F72" w:rsidRPr="00410BD1">
        <w:t>一八七</w:t>
      </w:r>
      <w:r w:rsidR="007F3288">
        <w:t>0</w:t>
      </w:r>
      <w:r w:rsidR="00203F72" w:rsidRPr="00410BD1">
        <w:t>號令釋</w:t>
      </w:r>
      <w:r w:rsidR="00203F72" w:rsidRPr="00410BD1">
        <w:footnoteReference w:id="28"/>
      </w:r>
      <w:r w:rsidR="00203F72" w:rsidRPr="00410BD1">
        <w:t>既未不當擴張應稅貨物之定義，又未對其他情形造成差別待遇，應不違反租稅法律主義及平等原則。司法院大法官另外亦指出，貨物稅條例</w:t>
      </w:r>
      <w:r w:rsidR="00C454F8" w:rsidRPr="00410BD1">
        <w:t>第</w:t>
      </w:r>
      <w:hyperlink r:id="rId123" w:anchor="a11" w:history="1">
        <w:r w:rsidR="00C454F8" w:rsidRPr="00410BD1">
          <w:rPr>
            <w:rStyle w:val="a5"/>
          </w:rPr>
          <w:t>十一</w:t>
        </w:r>
      </w:hyperlink>
      <w:r w:rsidR="00C454F8" w:rsidRPr="00410BD1">
        <w:t>條</w:t>
      </w:r>
      <w:r w:rsidR="00203F72" w:rsidRPr="00410BD1">
        <w:t>第一項第二款規定：「電器類之課稅項目及稅率如左：</w:t>
      </w:r>
      <w:r w:rsidR="00203F72" w:rsidRPr="00410BD1">
        <w:t>……</w:t>
      </w:r>
      <w:r w:rsidR="00203F72" w:rsidRPr="00410BD1">
        <w:t>二、彩色電</w:t>
      </w:r>
      <w:r w:rsidR="003E240E">
        <w:t>視</w:t>
      </w:r>
      <w:r w:rsidR="00203F72" w:rsidRPr="00410BD1">
        <w:t>機：從價徵收百分之十三。」查立法者選擇對彩色電</w:t>
      </w:r>
      <w:r w:rsidR="003E240E">
        <w:t>視</w:t>
      </w:r>
      <w:r w:rsidR="00203F72" w:rsidRPr="00410BD1">
        <w:t>機課徵貨物稅，而未對其他具有彩色收</w:t>
      </w:r>
      <w:r w:rsidR="003E240E">
        <w:t>視</w:t>
      </w:r>
      <w:r w:rsidR="00203F72" w:rsidRPr="00410BD1">
        <w:t>功能之電器產品課徵貨物稅，原寓有國家稅收、產業政策、節約能源等多種考量，並未逾越立法裁量之範圍，尚難謂為恣意，與憲法平等原則無違。</w:t>
      </w:r>
    </w:p>
    <w:p w14:paraId="66CE814A" w14:textId="77777777" w:rsidR="00953151" w:rsidRPr="00410BD1" w:rsidRDefault="00B03E84" w:rsidP="00D87D91">
      <w:r w:rsidRPr="00410BD1">
        <w:t xml:space="preserve">　　</w:t>
      </w:r>
      <w:r w:rsidR="00203F72" w:rsidRPr="00410BD1">
        <w:t>根據上述司法院釋字</w:t>
      </w:r>
      <w:hyperlink r:id="rId124" w:anchor="r698"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698</w:t>
        </w:r>
        <w:r w:rsidR="005C4210" w:rsidRPr="005C4210">
          <w:rPr>
            <w:rStyle w:val="a5"/>
            <w:rFonts w:ascii="Times New Roman" w:eastAsia="新細明體" w:hAnsi="Times New Roman"/>
          </w:rPr>
          <w:t>號</w:t>
        </w:r>
      </w:hyperlink>
      <w:r w:rsidR="00203F72" w:rsidRPr="00410BD1">
        <w:t>之意旨，立法者選擇對彩色電</w:t>
      </w:r>
      <w:r w:rsidR="003E240E">
        <w:t>視</w:t>
      </w:r>
      <w:r w:rsidR="00203F72" w:rsidRPr="00410BD1">
        <w:t>機課徵貨物稅，而未</w:t>
      </w:r>
      <w:r w:rsidR="00203F72" w:rsidRPr="00410BD1">
        <w:lastRenderedPageBreak/>
        <w:t>對其他具有彩色收</w:t>
      </w:r>
      <w:r w:rsidR="003E240E">
        <w:t>視</w:t>
      </w:r>
      <w:r w:rsidR="00203F72" w:rsidRPr="00410BD1">
        <w:t>功能之電器產品課徵貨物稅，係屬於立法裁量之範圍，立法裁量並非恣意。上述司法院釋</w:t>
      </w:r>
      <w:r w:rsidR="005C4210" w:rsidRPr="00410BD1">
        <w:t>字</w:t>
      </w:r>
      <w:hyperlink r:id="rId125" w:anchor="r697"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697</w:t>
        </w:r>
        <w:r w:rsidR="005C4210" w:rsidRPr="005C4210">
          <w:rPr>
            <w:rStyle w:val="a5"/>
            <w:rFonts w:ascii="Times New Roman" w:eastAsia="新細明體" w:hAnsi="Times New Roman"/>
          </w:rPr>
          <w:t>號</w:t>
        </w:r>
      </w:hyperlink>
      <w:r w:rsidR="00203F72" w:rsidRPr="00410BD1">
        <w:t>及</w:t>
      </w:r>
      <w:hyperlink r:id="rId126" w:anchor="r698"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698</w:t>
        </w:r>
        <w:r w:rsidR="005C4210" w:rsidRPr="005C4210">
          <w:rPr>
            <w:rStyle w:val="a5"/>
            <w:rFonts w:ascii="Times New Roman" w:eastAsia="新細明體" w:hAnsi="Times New Roman"/>
          </w:rPr>
          <w:t>號</w:t>
        </w:r>
      </w:hyperlink>
      <w:r w:rsidR="00203F72" w:rsidRPr="00410BD1">
        <w:t>所指立法裁量之自由，此即為</w:t>
      </w:r>
      <w:r w:rsidR="00203F72" w:rsidRPr="00410BD1">
        <w:t>ECHR</w:t>
      </w:r>
      <w:r w:rsidR="00203F72" w:rsidRPr="00410BD1">
        <w:t>所指稱之國家機關對於差異化處遇</w:t>
      </w:r>
      <w:r w:rsidR="00203F72" w:rsidRPr="00410BD1">
        <w:t>(</w:t>
      </w:r>
      <w:r w:rsidR="00203F72" w:rsidRPr="00410BD1">
        <w:t>措施</w:t>
      </w:r>
      <w:r w:rsidR="00203F72" w:rsidRPr="00410BD1">
        <w:t>)</w:t>
      </w:r>
      <w:r w:rsidR="00203F72" w:rsidRPr="00410BD1">
        <w:t>手段之選擇，係具有裁量自由。國家機關擁有自由之權限，可自由決定選用何種之差異化處遇</w:t>
      </w:r>
      <w:r w:rsidR="00203F72" w:rsidRPr="00410BD1">
        <w:t>(</w:t>
      </w:r>
      <w:r w:rsidR="00203F72" w:rsidRPr="00410BD1">
        <w:t>措施</w:t>
      </w:r>
      <w:r w:rsidR="00203F72" w:rsidRPr="00410BD1">
        <w:t>)</w:t>
      </w:r>
      <w:r w:rsidR="00203F72" w:rsidRPr="00410BD1">
        <w:t>手段，尚難謂為恣意，並不違反平等原則。</w:t>
      </w:r>
    </w:p>
    <w:p w14:paraId="1B42DCDC" w14:textId="77777777" w:rsidR="00953151" w:rsidRPr="00410BD1" w:rsidRDefault="00B03E84" w:rsidP="00D87D91">
      <w:r w:rsidRPr="00410BD1">
        <w:t xml:space="preserve">　　</w:t>
      </w:r>
      <w:r w:rsidR="00203F72" w:rsidRPr="00410BD1">
        <w:t>ECHR</w:t>
      </w:r>
      <w:r w:rsidR="00203F72" w:rsidRPr="00410BD1">
        <w:t>對於歐洲人權公約第</w:t>
      </w:r>
      <w:r w:rsidR="00203F72" w:rsidRPr="00410BD1">
        <w:t>14</w:t>
      </w:r>
      <w:r w:rsidR="00203F72" w:rsidRPr="00410BD1">
        <w:t>條禁止歧</w:t>
      </w:r>
      <w:r w:rsidR="003E240E">
        <w:t>視</w:t>
      </w:r>
      <w:r w:rsidR="00203F72" w:rsidRPr="00410BD1">
        <w:t>(Prohibition of discrimination)</w:t>
      </w:r>
      <w:r w:rsidR="00203F72" w:rsidRPr="00410BD1">
        <w:t>之規範內容，業已發展出更進一步之審查標準。亦即，針對於具有重大差異性之情境</w:t>
      </w:r>
      <w:r w:rsidR="00203F72" w:rsidRPr="00410BD1">
        <w:t>(</w:t>
      </w:r>
      <w:r w:rsidR="00203F72" w:rsidRPr="00410BD1">
        <w:t>情事</w:t>
      </w:r>
      <w:r w:rsidR="00203F72" w:rsidRPr="00410BD1">
        <w:t>)(whose situations are significantly different)</w:t>
      </w:r>
      <w:r w:rsidR="00203F72" w:rsidRPr="00410BD1">
        <w:t>，國家須採用差異化處遇</w:t>
      </w:r>
      <w:r w:rsidR="00203F72" w:rsidRPr="00410BD1">
        <w:t>(</w:t>
      </w:r>
      <w:r w:rsidR="00203F72" w:rsidRPr="00410BD1">
        <w:t>措施</w:t>
      </w:r>
      <w:r w:rsidR="00203F72" w:rsidRPr="00410BD1">
        <w:t>)</w:t>
      </w:r>
      <w:r w:rsidR="00203F72" w:rsidRPr="00410BD1">
        <w:t>之手段加以回應；如國家未採用差異化之處遇</w:t>
      </w:r>
      <w:r w:rsidR="00203F72" w:rsidRPr="00410BD1">
        <w:t>(</w:t>
      </w:r>
      <w:r w:rsidR="00203F72" w:rsidRPr="00410BD1">
        <w:t>措施</w:t>
      </w:r>
      <w:r w:rsidR="00203F72" w:rsidRPr="00410BD1">
        <w:t>) (fail to treat differently persons)</w:t>
      </w:r>
      <w:r w:rsidR="00203F72" w:rsidRPr="00410BD1">
        <w:t>，則須符合具有客觀化與合理化之正當性</w:t>
      </w:r>
      <w:r w:rsidR="00203F72" w:rsidRPr="00410BD1">
        <w:t>(</w:t>
      </w:r>
      <w:r w:rsidR="00203F72" w:rsidRPr="00410BD1">
        <w:t>合法性</w:t>
      </w:r>
      <w:r w:rsidR="00203F72" w:rsidRPr="00410BD1">
        <w:t>)</w:t>
      </w:r>
      <w:r w:rsidR="00203F72" w:rsidRPr="00410BD1">
        <w:t>之要件。如未具有客觀化與合理化之正當性</w:t>
      </w:r>
      <w:r w:rsidR="00203F72" w:rsidRPr="00410BD1">
        <w:t>(</w:t>
      </w:r>
      <w:r w:rsidR="00203F72" w:rsidRPr="00410BD1">
        <w:t>合法性</w:t>
      </w:r>
      <w:r w:rsidR="00203F72" w:rsidRPr="00410BD1">
        <w:t>)(without objective and reasonable justification)</w:t>
      </w:r>
      <w:r w:rsidR="00203F72" w:rsidRPr="00410BD1">
        <w:t>，在此種狀況下，國家未採用差異化處遇</w:t>
      </w:r>
      <w:r w:rsidR="00203F72" w:rsidRPr="00410BD1">
        <w:t>(</w:t>
      </w:r>
      <w:r w:rsidR="00203F72" w:rsidRPr="00410BD1">
        <w:t>措施</w:t>
      </w:r>
      <w:r w:rsidR="00203F72" w:rsidRPr="00410BD1">
        <w:t>)</w:t>
      </w:r>
      <w:r w:rsidR="00203F72" w:rsidRPr="00410BD1">
        <w:t>之消極性不作為</w:t>
      </w:r>
      <w:r w:rsidR="00203F72" w:rsidRPr="00410BD1">
        <w:t>(fail to treat differently persons)</w:t>
      </w:r>
      <w:r w:rsidR="00203F72" w:rsidRPr="00410BD1">
        <w:t>，已違反歐洲人權公約第</w:t>
      </w:r>
      <w:r w:rsidR="00203F72" w:rsidRPr="00410BD1">
        <w:t>14</w:t>
      </w:r>
      <w:r w:rsidR="00203F72" w:rsidRPr="00410BD1">
        <w:t>條禁止歧</w:t>
      </w:r>
      <w:r w:rsidR="003E240E">
        <w:t>視</w:t>
      </w:r>
      <w:r w:rsidR="00203F72" w:rsidRPr="00410BD1">
        <w:t>(Prohibition of discrimination)</w:t>
      </w:r>
      <w:r w:rsidR="00203F72" w:rsidRPr="00410BD1">
        <w:t>之規範。依據</w:t>
      </w:r>
      <w:r w:rsidR="00203F72" w:rsidRPr="00410BD1">
        <w:t>ECHR</w:t>
      </w:r>
      <w:r w:rsidR="00203F72" w:rsidRPr="00410BD1">
        <w:t>上述之見解，針對於具有重大差異性之事項，國家有義務採行差異化處遇</w:t>
      </w:r>
      <w:r w:rsidR="00203F72" w:rsidRPr="00410BD1">
        <w:t>(</w:t>
      </w:r>
      <w:r w:rsidR="00203F72" w:rsidRPr="00410BD1">
        <w:t>措施</w:t>
      </w:r>
      <w:r w:rsidR="00203F72" w:rsidRPr="00410BD1">
        <w:t>)</w:t>
      </w:r>
      <w:r w:rsidR="00203F72" w:rsidRPr="00410BD1">
        <w:t>加以回應。假若國家採行消極性之不作為，則須舉證具有客觀化與合理化之正當性</w:t>
      </w:r>
      <w:r w:rsidR="00203F72" w:rsidRPr="00410BD1">
        <w:t>(</w:t>
      </w:r>
      <w:r w:rsidR="00203F72" w:rsidRPr="00410BD1">
        <w:t>合法性</w:t>
      </w:r>
      <w:r w:rsidR="00203F72" w:rsidRPr="00410BD1">
        <w:t>)</w:t>
      </w:r>
      <w:r w:rsidR="00203F72" w:rsidRPr="00410BD1">
        <w:t>之存在</w:t>
      </w:r>
      <w:r w:rsidR="00203F72" w:rsidRPr="00410BD1">
        <w:t>(objective and reasonable justification)</w:t>
      </w:r>
      <w:r w:rsidR="00203F72" w:rsidRPr="00410BD1">
        <w:t>，俾利於將上述消極性之不作為，加以正當化</w:t>
      </w:r>
      <w:r w:rsidR="00203F72" w:rsidRPr="00410BD1">
        <w:t>(</w:t>
      </w:r>
      <w:r w:rsidR="00203F72" w:rsidRPr="00410BD1">
        <w:t>合法化</w:t>
      </w:r>
      <w:r w:rsidR="00203F72" w:rsidRPr="00410BD1">
        <w:t>)</w:t>
      </w:r>
      <w:r w:rsidR="00203F72" w:rsidRPr="00410BD1">
        <w:footnoteReference w:id="29"/>
      </w:r>
      <w:r w:rsidR="00203F72" w:rsidRPr="00410BD1">
        <w:t>。</w:t>
      </w:r>
    </w:p>
    <w:p w14:paraId="6F1FA9C1" w14:textId="77777777" w:rsidR="00953151" w:rsidRPr="00410BD1" w:rsidRDefault="00B03E84" w:rsidP="00D87D91">
      <w:r w:rsidRPr="00410BD1">
        <w:t xml:space="preserve">　　</w:t>
      </w:r>
      <w:r w:rsidR="00203F72" w:rsidRPr="00410BD1">
        <w:t>在「判斷餘地」之領域，</w:t>
      </w:r>
      <w:r w:rsidR="00203F72" w:rsidRPr="00410BD1">
        <w:t>ECHR</w:t>
      </w:r>
      <w:r w:rsidR="00203F72" w:rsidRPr="00410BD1">
        <w:t>亦與</w:t>
      </w:r>
      <w:r w:rsidR="00203F72" w:rsidRPr="00410BD1">
        <w:t>IACHR</w:t>
      </w:r>
      <w:r w:rsidR="00203F72" w:rsidRPr="00410BD1">
        <w:t>之見解，具有若干之相似性；</w:t>
      </w:r>
      <w:r w:rsidR="00203F72" w:rsidRPr="00410BD1">
        <w:t>ECHR</w:t>
      </w:r>
      <w:r w:rsidR="00203F72" w:rsidRPr="00410BD1">
        <w:t>亦承認締約國擁有一定程度之「判斷餘地」</w:t>
      </w:r>
      <w:r w:rsidR="00203F72" w:rsidRPr="00410BD1">
        <w:t>(the Contracting States enjoy a certain margin of appreciation)</w:t>
      </w:r>
      <w:r w:rsidR="00203F72" w:rsidRPr="00410BD1">
        <w:t>。在其他方面具有相似性之情境之下</w:t>
      </w:r>
      <w:r w:rsidR="00203F72" w:rsidRPr="00410BD1">
        <w:t>(in otherwise similar situations )</w:t>
      </w:r>
      <w:r w:rsidR="00203F72" w:rsidRPr="00410BD1">
        <w:t>，究竟可否將國家採取之某一種差異化之處遇</w:t>
      </w:r>
      <w:r w:rsidR="00203F72" w:rsidRPr="00410BD1">
        <w:t>(</w:t>
      </w:r>
      <w:r w:rsidR="00203F72" w:rsidRPr="00410BD1">
        <w:t>措施</w:t>
      </w:r>
      <w:r w:rsidR="00203F72" w:rsidRPr="00410BD1">
        <w:t>)</w:t>
      </w:r>
      <w:r w:rsidR="00203F72" w:rsidRPr="00410BD1">
        <w:t>，加以正當化</w:t>
      </w:r>
      <w:r w:rsidR="00203F72" w:rsidRPr="00410BD1">
        <w:t>(</w:t>
      </w:r>
      <w:r w:rsidR="00203F72" w:rsidRPr="00410BD1">
        <w:t>合法化</w:t>
      </w:r>
      <w:r w:rsidR="00203F72" w:rsidRPr="00410BD1">
        <w:t>)</w:t>
      </w:r>
      <w:r w:rsidR="00203F72" w:rsidRPr="00410BD1">
        <w:t>？及上述之正當化</w:t>
      </w:r>
      <w:r w:rsidR="00203F72" w:rsidRPr="00410BD1">
        <w:t>(</w:t>
      </w:r>
      <w:r w:rsidR="00203F72" w:rsidRPr="00410BD1">
        <w:t>合法化</w:t>
      </w:r>
      <w:r w:rsidR="00203F72" w:rsidRPr="00410BD1">
        <w:t>)</w:t>
      </w:r>
      <w:r w:rsidR="00203F72" w:rsidRPr="00410BD1">
        <w:t>，本身可容許何種程度範圍之變異性</w:t>
      </w:r>
      <w:r w:rsidR="00203F72" w:rsidRPr="00410BD1">
        <w:t>(whether and to what extent differences)</w:t>
      </w:r>
      <w:r w:rsidR="00203F72" w:rsidRPr="00410BD1">
        <w:t>？</w:t>
      </w:r>
      <w:r w:rsidR="00203F72" w:rsidRPr="00410BD1">
        <w:t>ECHR</w:t>
      </w:r>
      <w:r w:rsidR="00203F72" w:rsidRPr="00410BD1">
        <w:t>認為締約國擁有「判斷餘地」。此處所欲處理之問題，係聚焦於將差異化之處遇</w:t>
      </w:r>
      <w:r w:rsidR="00203F72" w:rsidRPr="00410BD1">
        <w:t>(</w:t>
      </w:r>
      <w:r w:rsidR="00203F72" w:rsidRPr="00410BD1">
        <w:t>措施</w:t>
      </w:r>
      <w:r w:rsidR="00203F72" w:rsidRPr="00410BD1">
        <w:t>)</w:t>
      </w:r>
      <w:r w:rsidR="00203F72" w:rsidRPr="00410BD1">
        <w:t>，加以正當化</w:t>
      </w:r>
      <w:r w:rsidR="00203F72" w:rsidRPr="00410BD1">
        <w:t>(</w:t>
      </w:r>
      <w:r w:rsidR="00203F72" w:rsidRPr="00410BD1">
        <w:t>合法化</w:t>
      </w:r>
      <w:r w:rsidR="00203F72" w:rsidRPr="00410BD1">
        <w:t>)</w:t>
      </w:r>
      <w:r w:rsidR="00203F72" w:rsidRPr="00410BD1">
        <w:t>之課題。在此一課題之上，國家擁有「判斷餘地」</w:t>
      </w:r>
      <w:r w:rsidR="00203F72" w:rsidRPr="00410BD1">
        <w:footnoteReference w:id="30"/>
      </w:r>
      <w:r w:rsidR="00203F72" w:rsidRPr="00410BD1">
        <w:t>。</w:t>
      </w:r>
    </w:p>
    <w:p w14:paraId="2CC0360B" w14:textId="77777777" w:rsidR="00953151" w:rsidRPr="00410BD1" w:rsidRDefault="00B03E84" w:rsidP="00D87D91">
      <w:r w:rsidRPr="00410BD1">
        <w:t xml:space="preserve">　　</w:t>
      </w:r>
      <w:r w:rsidR="00203F72" w:rsidRPr="00410BD1">
        <w:t>一旦權利受損害個人質疑上述之差異化處遇</w:t>
      </w:r>
      <w:r w:rsidR="00203F72" w:rsidRPr="00410BD1">
        <w:t>(</w:t>
      </w:r>
      <w:r w:rsidR="00203F72" w:rsidRPr="00410BD1">
        <w:t>措施</w:t>
      </w:r>
      <w:r w:rsidR="00203F72" w:rsidRPr="00410BD1">
        <w:t>)</w:t>
      </w:r>
      <w:r w:rsidR="00203F72" w:rsidRPr="00410BD1">
        <w:t>之合法性，並將案件提交於</w:t>
      </w:r>
      <w:r w:rsidR="00203F72" w:rsidRPr="00410BD1">
        <w:t>ECHR</w:t>
      </w:r>
      <w:r w:rsidR="00203F72" w:rsidRPr="00410BD1">
        <w:t>；如被控告國家有意圖擬說服</w:t>
      </w:r>
      <w:r w:rsidR="00203F72" w:rsidRPr="00410BD1">
        <w:t>ECHR</w:t>
      </w:r>
      <w:r w:rsidR="00203F72" w:rsidRPr="00410BD1">
        <w:t>，將其所實施之差異化處遇</w:t>
      </w:r>
      <w:r w:rsidR="00203F72" w:rsidRPr="00410BD1">
        <w:t>(</w:t>
      </w:r>
      <w:r w:rsidR="00203F72" w:rsidRPr="00410BD1">
        <w:t>措施</w:t>
      </w:r>
      <w:r w:rsidR="00203F72" w:rsidRPr="00410BD1">
        <w:t>)( a difference in treatment)</w:t>
      </w:r>
      <w:r w:rsidR="00203F72" w:rsidRPr="00410BD1">
        <w:t>，特別是以排他性之作法，基於性別或源自於婚姻之出生別</w:t>
      </w:r>
      <w:r w:rsidR="00203F72" w:rsidRPr="00410BD1">
        <w:t>(particularly if it was based exclusively on gender or birth out of wedlock)</w:t>
      </w:r>
      <w:r w:rsidR="00203F72" w:rsidRPr="00410BD1">
        <w:t>之差別性措施，</w:t>
      </w:r>
      <w:r w:rsidR="003E240E">
        <w:t>視</w:t>
      </w:r>
      <w:r w:rsidR="00203F72" w:rsidRPr="00410BD1">
        <w:t>為符合歐洲人權公約第</w:t>
      </w:r>
      <w:r w:rsidR="00203F72" w:rsidRPr="00410BD1">
        <w:t>14</w:t>
      </w:r>
      <w:r w:rsidR="00203F72" w:rsidRPr="00410BD1">
        <w:t>條所要求之合法化之差別性作為</w:t>
      </w:r>
      <w:r w:rsidR="00203F72" w:rsidRPr="00410BD1">
        <w:t>(as a legitimate differentiation under article 14)</w:t>
      </w:r>
      <w:r w:rsidR="00203F72" w:rsidRPr="00410BD1">
        <w:t>。此時，被控告國家有法律上之義務，須提交具有非常重大性之理由</w:t>
      </w:r>
      <w:r w:rsidR="00203F72" w:rsidRPr="00410BD1">
        <w:t>(very weighty reasons)</w:t>
      </w:r>
      <w:r w:rsidR="00203F72" w:rsidRPr="00410BD1">
        <w:t>至</w:t>
      </w:r>
      <w:r w:rsidR="00203F72" w:rsidRPr="00410BD1">
        <w:t>ECHR</w:t>
      </w:r>
      <w:r w:rsidR="00203F72" w:rsidRPr="00410BD1">
        <w:t>，用以證明其所實施之差異化處遇</w:t>
      </w:r>
      <w:r w:rsidR="00203F72" w:rsidRPr="00410BD1">
        <w:t>(</w:t>
      </w:r>
      <w:r w:rsidR="00203F72" w:rsidRPr="00410BD1">
        <w:t>措施</w:t>
      </w:r>
      <w:r w:rsidR="00203F72" w:rsidRPr="00410BD1">
        <w:t>)</w:t>
      </w:r>
      <w:r w:rsidR="00203F72" w:rsidRPr="00410BD1">
        <w:t>，具有正當性</w:t>
      </w:r>
      <w:r w:rsidR="00203F72" w:rsidRPr="00410BD1">
        <w:t>(</w:t>
      </w:r>
      <w:r w:rsidR="00203F72" w:rsidRPr="00410BD1">
        <w:t>合法性</w:t>
      </w:r>
      <w:r w:rsidR="00203F72" w:rsidRPr="00410BD1">
        <w:t>)</w:t>
      </w:r>
      <w:r w:rsidR="00203F72" w:rsidRPr="00410BD1">
        <w:footnoteReference w:id="31"/>
      </w:r>
      <w:r w:rsidR="00203F72" w:rsidRPr="00410BD1">
        <w:t>。</w:t>
      </w:r>
    </w:p>
    <w:p w14:paraId="64E6113F" w14:textId="77777777" w:rsidR="00203F72" w:rsidRPr="00410BD1" w:rsidRDefault="00B03E84" w:rsidP="00D87D91">
      <w:r w:rsidRPr="00410BD1">
        <w:t xml:space="preserve">　　</w:t>
      </w:r>
      <w:r w:rsidR="00203F72" w:rsidRPr="00410BD1">
        <w:t>此外，根據聯合國人權高級專員辦事處</w:t>
      </w:r>
      <w:r w:rsidR="00203F72" w:rsidRPr="00410BD1">
        <w:t>(Office of the High Commissioner for Human Rights</w:t>
      </w:r>
      <w:r w:rsidR="00203F72" w:rsidRPr="00410BD1">
        <w:t>，簡稱為</w:t>
      </w:r>
      <w:r w:rsidR="00203F72" w:rsidRPr="00410BD1">
        <w:t>OHCHR)</w:t>
      </w:r>
      <w:r w:rsidR="00203F72" w:rsidRPr="00410BD1">
        <w:t>之見解，平等對待及禁止歧</w:t>
      </w:r>
      <w:r w:rsidR="003E240E">
        <w:t>視</w:t>
      </w:r>
      <w:r w:rsidR="00203F72" w:rsidRPr="00410BD1">
        <w:t>原則具有以下重要之特性</w:t>
      </w:r>
      <w:r w:rsidR="00203F72" w:rsidRPr="00410BD1">
        <w:footnoteReference w:id="32"/>
      </w:r>
      <w:r w:rsidR="00203F72" w:rsidRPr="00410BD1">
        <w:t>：</w:t>
      </w:r>
    </w:p>
    <w:p w14:paraId="69308223" w14:textId="77777777" w:rsidR="00203F72" w:rsidRPr="00410BD1" w:rsidRDefault="00B03E84" w:rsidP="00D87D91">
      <w:r w:rsidRPr="00410BD1">
        <w:t xml:space="preserve">　　</w:t>
      </w:r>
      <w:r w:rsidR="00203F72" w:rsidRPr="00410BD1">
        <w:t>1</w:t>
      </w:r>
      <w:r w:rsidR="00203F72" w:rsidRPr="00410BD1">
        <w:t>、所謂之平等對待及禁止歧</w:t>
      </w:r>
      <w:r w:rsidR="003E240E">
        <w:t>視</w:t>
      </w:r>
      <w:r w:rsidR="00203F72" w:rsidRPr="00410BD1">
        <w:t>之原則</w:t>
      </w:r>
      <w:r w:rsidR="00203F72" w:rsidRPr="00410BD1">
        <w:t>(The principle of equality and non-discrimination)</w:t>
      </w:r>
      <w:r w:rsidR="00203F72" w:rsidRPr="00410BD1">
        <w:t>，在國際法體系下之意義，並非指施加於人類身上之所有差異性</w:t>
      </w:r>
      <w:r w:rsidR="00203F72" w:rsidRPr="00410BD1">
        <w:t>(</w:t>
      </w:r>
      <w:r w:rsidR="00203F72" w:rsidRPr="00410BD1">
        <w:t>差別性</w:t>
      </w:r>
      <w:r w:rsidR="00203F72" w:rsidRPr="00410BD1">
        <w:t>)</w:t>
      </w:r>
      <w:r w:rsidR="00203F72" w:rsidRPr="00410BD1">
        <w:t>之措施</w:t>
      </w:r>
      <w:r w:rsidR="00203F72" w:rsidRPr="00410BD1">
        <w:t>(does not mean that all distinctions between people)</w:t>
      </w:r>
      <w:r w:rsidR="00203F72" w:rsidRPr="00410BD1">
        <w:t>，均構成非法</w:t>
      </w:r>
      <w:r w:rsidR="00203F72" w:rsidRPr="00410BD1">
        <w:t>(are illegal)</w:t>
      </w:r>
      <w:r w:rsidR="00203F72" w:rsidRPr="00410BD1">
        <w:t>；</w:t>
      </w:r>
    </w:p>
    <w:p w14:paraId="04FD7A45" w14:textId="77777777" w:rsidR="00203F72" w:rsidRPr="00410BD1" w:rsidRDefault="00B03E84" w:rsidP="00D87D91">
      <w:r w:rsidRPr="00410BD1">
        <w:t xml:space="preserve">　　</w:t>
      </w:r>
      <w:r w:rsidR="00203F72" w:rsidRPr="00410BD1">
        <w:t>2</w:t>
      </w:r>
      <w:r w:rsidR="00203F72" w:rsidRPr="00410BD1">
        <w:t>、施加於人類身上之差異化處遇</w:t>
      </w:r>
      <w:r w:rsidR="00203F72" w:rsidRPr="00410BD1">
        <w:t>(</w:t>
      </w:r>
      <w:r w:rsidR="00203F72" w:rsidRPr="00410BD1">
        <w:t>措施</w:t>
      </w:r>
      <w:r w:rsidR="00203F72" w:rsidRPr="00410BD1">
        <w:t>)</w:t>
      </w:r>
      <w:r w:rsidR="00203F72" w:rsidRPr="00410BD1">
        <w:t>，如符合以下之構成要件，則仍屬於合法之性質</w:t>
      </w:r>
      <w:r w:rsidR="00203F72" w:rsidRPr="00410BD1">
        <w:t>(Differentiations are legitimate)</w:t>
      </w:r>
      <w:r w:rsidR="00203F72" w:rsidRPr="00410BD1">
        <w:t>：</w:t>
      </w:r>
      <w:r w:rsidR="00203F72" w:rsidRPr="00410BD1">
        <w:t>(1)</w:t>
      </w:r>
      <w:r w:rsidR="00203F72" w:rsidRPr="00410BD1">
        <w:t>國家透由追逐一項合法化之目的</w:t>
      </w:r>
      <w:r w:rsidR="00203F72" w:rsidRPr="00410BD1">
        <w:t>(pursue a legitimate aim)</w:t>
      </w:r>
      <w:r w:rsidR="00203F72" w:rsidRPr="00410BD1">
        <w:t>，諸如採行主動援助弱勢族群之行動</w:t>
      </w:r>
      <w:r w:rsidR="00203F72" w:rsidRPr="00410BD1">
        <w:t>(</w:t>
      </w:r>
      <w:r w:rsidR="00203F72" w:rsidRPr="00410BD1">
        <w:t>或稱為機會均等行動、平權法案之</w:t>
      </w:r>
      <w:r w:rsidR="00203F72" w:rsidRPr="00410BD1">
        <w:lastRenderedPageBreak/>
        <w:t>行動</w:t>
      </w:r>
      <w:r w:rsidR="00203F72" w:rsidRPr="00410BD1">
        <w:t>) (affirmative action)</w:t>
      </w:r>
      <w:r w:rsidR="00203F72" w:rsidRPr="00410BD1">
        <w:t>，俾利於處理事實上已存在之不平等情事</w:t>
      </w:r>
      <w:r w:rsidR="00203F72" w:rsidRPr="00410BD1">
        <w:t>(to deal with factual inequalities)</w:t>
      </w:r>
      <w:r w:rsidR="00203F72" w:rsidRPr="00410BD1">
        <w:t>；</w:t>
      </w:r>
      <w:r w:rsidR="00203F72" w:rsidRPr="00410BD1">
        <w:t>(2)</w:t>
      </w:r>
      <w:r w:rsidR="00203F72" w:rsidRPr="00410BD1">
        <w:t>就合法化之目的著眼，此種之目的具有合理性</w:t>
      </w:r>
      <w:r w:rsidR="00203F72" w:rsidRPr="00410BD1">
        <w:t>(are reasonable in the light of their legitimate aim)</w:t>
      </w:r>
      <w:r w:rsidR="00203F72" w:rsidRPr="00410BD1">
        <w:t>；</w:t>
      </w:r>
    </w:p>
    <w:p w14:paraId="0B485EB8" w14:textId="77777777" w:rsidR="00203F72" w:rsidRPr="00410BD1" w:rsidRDefault="00B03E84" w:rsidP="00D87D91">
      <w:r w:rsidRPr="00410BD1">
        <w:t xml:space="preserve">　　</w:t>
      </w:r>
      <w:r w:rsidR="00203F72" w:rsidRPr="00410BD1">
        <w:t>3</w:t>
      </w:r>
      <w:r w:rsidR="00203F72" w:rsidRPr="00410BD1">
        <w:t>、在國際人權法之體系下，國家所採行之差異化處遇</w:t>
      </w:r>
      <w:r w:rsidR="00203F72" w:rsidRPr="00410BD1">
        <w:t>(</w:t>
      </w:r>
      <w:r w:rsidR="00203F72" w:rsidRPr="00410BD1">
        <w:t>措施</w:t>
      </w:r>
      <w:r w:rsidR="00203F72" w:rsidRPr="00410BD1">
        <w:t>)</w:t>
      </w:r>
      <w:r w:rsidR="00203F72" w:rsidRPr="00410BD1">
        <w:t>，如符合以下之構成要件，則屬於非法之性質，且與國際人權法之規範有所衝突：</w:t>
      </w:r>
      <w:r w:rsidR="00203F72" w:rsidRPr="00410BD1">
        <w:t>(1)</w:t>
      </w:r>
      <w:r w:rsidR="00203F72" w:rsidRPr="00410BD1">
        <w:t>被聲稱採行差異化處遇</w:t>
      </w:r>
      <w:r w:rsidR="00203F72" w:rsidRPr="00410BD1">
        <w:t>(</w:t>
      </w:r>
      <w:r w:rsidR="00203F72" w:rsidRPr="00410BD1">
        <w:t>措施</w:t>
      </w:r>
      <w:r w:rsidR="00203F72" w:rsidRPr="00410BD1">
        <w:t>)</w:t>
      </w:r>
      <w:r w:rsidR="00203F72" w:rsidRPr="00410BD1">
        <w:t>之目的</w:t>
      </w:r>
      <w:r w:rsidR="00203F72" w:rsidRPr="00410BD1">
        <w:t>(purposes for differential treatment)</w:t>
      </w:r>
      <w:r w:rsidR="00203F72" w:rsidRPr="00410BD1">
        <w:t>，無法以客觀化之方式，將目的加以正當化</w:t>
      </w:r>
      <w:r w:rsidR="00203F72" w:rsidRPr="00410BD1">
        <w:t>(</w:t>
      </w:r>
      <w:r w:rsidR="00203F72" w:rsidRPr="00410BD1">
        <w:t>合法化</w:t>
      </w:r>
      <w:r w:rsidR="00203F72" w:rsidRPr="00410BD1">
        <w:t>) (that cannot be objectively justified)</w:t>
      </w:r>
      <w:r w:rsidR="00203F72" w:rsidRPr="00410BD1">
        <w:t>；</w:t>
      </w:r>
      <w:r w:rsidR="00203F72" w:rsidRPr="00410BD1">
        <w:t>(2)</w:t>
      </w:r>
      <w:r w:rsidR="00203F72" w:rsidRPr="00410BD1">
        <w:t>國家為了達到合法化之目的</w:t>
      </w:r>
      <w:r w:rsidR="00203F72" w:rsidRPr="00410BD1">
        <w:t>(to the attainment of a legitimate aim)</w:t>
      </w:r>
      <w:r w:rsidR="00203F72" w:rsidRPr="00410BD1">
        <w:t>，所採行差異化之措施，目的與手段兩者之間，未具有比例性</w:t>
      </w:r>
      <w:r w:rsidR="00203F72" w:rsidRPr="00410BD1">
        <w:t>(</w:t>
      </w:r>
      <w:r w:rsidR="00203F72" w:rsidRPr="00410BD1">
        <w:t>不符合比例性</w:t>
      </w:r>
      <w:r w:rsidR="00203F72" w:rsidRPr="00410BD1">
        <w:t>)(measures that are disproportionate)</w:t>
      </w:r>
      <w:r w:rsidR="00203F72" w:rsidRPr="00410BD1">
        <w:t>；</w:t>
      </w:r>
    </w:p>
    <w:p w14:paraId="72666E6A" w14:textId="77777777" w:rsidR="00953151" w:rsidRPr="00410BD1" w:rsidRDefault="00B03E84" w:rsidP="00D87D91">
      <w:r w:rsidRPr="00410BD1">
        <w:t xml:space="preserve">　　</w:t>
      </w:r>
      <w:r w:rsidR="00203F72" w:rsidRPr="00410BD1">
        <w:t>4</w:t>
      </w:r>
      <w:r w:rsidR="00203F72" w:rsidRPr="00410BD1">
        <w:t>、國家為了保障人民之平等權</w:t>
      </w:r>
      <w:r w:rsidR="00203F72" w:rsidRPr="00410BD1">
        <w:t>(To ensure the right to equality)</w:t>
      </w:r>
      <w:r w:rsidR="00203F72" w:rsidRPr="00410BD1">
        <w:t>，針對於具有重大差異性之情境</w:t>
      </w:r>
      <w:r w:rsidR="00203F72" w:rsidRPr="00410BD1">
        <w:t>(</w:t>
      </w:r>
      <w:r w:rsidR="00203F72" w:rsidRPr="00410BD1">
        <w:t>情事</w:t>
      </w:r>
      <w:r w:rsidR="00203F72" w:rsidRPr="00410BD1">
        <w:t>) (whose situations are significantly different)</w:t>
      </w:r>
      <w:r w:rsidR="00203F72" w:rsidRPr="00410BD1">
        <w:t>，容許國家機關以差異化處遇</w:t>
      </w:r>
      <w:r w:rsidR="00203F72" w:rsidRPr="00410BD1">
        <w:t>(</w:t>
      </w:r>
      <w:r w:rsidR="00203F72" w:rsidRPr="00410BD1">
        <w:t>措施</w:t>
      </w:r>
      <w:r w:rsidR="00203F72" w:rsidRPr="00410BD1">
        <w:t>)</w:t>
      </w:r>
      <w:r w:rsidR="00203F72" w:rsidRPr="00410BD1">
        <w:t>之方式對待民眾</w:t>
      </w:r>
      <w:r w:rsidR="00203F72" w:rsidRPr="00410BD1">
        <w:t>(States may have to treat differently persons)</w:t>
      </w:r>
      <w:r w:rsidR="00203F72" w:rsidRPr="00410BD1">
        <w:t>。</w:t>
      </w:r>
    </w:p>
    <w:p w14:paraId="5EA6D3D7" w14:textId="77777777" w:rsidR="00203F72" w:rsidRPr="00410BD1" w:rsidRDefault="00B03E84" w:rsidP="00D87D91">
      <w:r w:rsidRPr="00410BD1">
        <w:t xml:space="preserve">　　</w:t>
      </w:r>
      <w:r w:rsidR="00203F72" w:rsidRPr="00410BD1">
        <w:t>本書綜整上述</w:t>
      </w:r>
      <w:r w:rsidR="00203F72" w:rsidRPr="00410BD1">
        <w:t>HRC</w:t>
      </w:r>
      <w:r w:rsidR="00203F72" w:rsidRPr="00410BD1">
        <w:t>、</w:t>
      </w:r>
      <w:r w:rsidR="00203F72" w:rsidRPr="00410BD1">
        <w:t>IACHR</w:t>
      </w:r>
      <w:r w:rsidR="00203F72" w:rsidRPr="00410BD1">
        <w:t>、</w:t>
      </w:r>
      <w:r w:rsidR="00203F72" w:rsidRPr="00410BD1">
        <w:t>ECHR</w:t>
      </w:r>
      <w:r w:rsidR="00203F72" w:rsidRPr="00410BD1">
        <w:t>及</w:t>
      </w:r>
      <w:r w:rsidR="00203F72" w:rsidRPr="00410BD1">
        <w:t>OHCHR</w:t>
      </w:r>
      <w:r w:rsidR="00203F72" w:rsidRPr="00410BD1">
        <w:t>等機關</w:t>
      </w:r>
      <w:r w:rsidR="00203F72" w:rsidRPr="00410BD1">
        <w:t>(</w:t>
      </w:r>
      <w:r w:rsidR="00203F72" w:rsidRPr="00410BD1">
        <w:t>構</w:t>
      </w:r>
      <w:r w:rsidR="00203F72" w:rsidRPr="00410BD1">
        <w:t>)</w:t>
      </w:r>
      <w:r w:rsidR="00203F72" w:rsidRPr="00410BD1">
        <w:t>對於平等對待及禁止歧</w:t>
      </w:r>
      <w:r w:rsidR="003E240E">
        <w:t>視</w:t>
      </w:r>
      <w:r w:rsidR="00203F72" w:rsidRPr="00410BD1">
        <w:t>原則之相關見解，可發現上述之原則，具有以下頗為重要之特徵</w:t>
      </w:r>
      <w:r w:rsidR="00203F72" w:rsidRPr="00410BD1">
        <w:t>(</w:t>
      </w:r>
      <w:r w:rsidR="00203F72" w:rsidRPr="00410BD1">
        <w:t>色</w:t>
      </w:r>
      <w:r w:rsidR="00203F72" w:rsidRPr="00410BD1">
        <w:t>)</w:t>
      </w:r>
      <w:r w:rsidR="00203F72" w:rsidRPr="00410BD1">
        <w:t>：</w:t>
      </w:r>
    </w:p>
    <w:p w14:paraId="4119B858" w14:textId="77777777" w:rsidR="00B03E84" w:rsidRPr="00410BD1" w:rsidRDefault="00B03E84" w:rsidP="00D87D91">
      <w:r w:rsidRPr="00410BD1">
        <w:rPr>
          <w:rFonts w:hint="eastAsia"/>
        </w:rPr>
        <w:t xml:space="preserve">　　</w:t>
      </w:r>
      <w:r w:rsidRPr="00410BD1">
        <w:rPr>
          <w:rFonts w:hint="eastAsia"/>
        </w:rPr>
        <w:t>1</w:t>
      </w:r>
      <w:r w:rsidRPr="00410BD1">
        <w:rPr>
          <w:rFonts w:hint="eastAsia"/>
        </w:rPr>
        <w:t>、有關於平等對待及禁止歧</w:t>
      </w:r>
      <w:r w:rsidR="003E240E">
        <w:rPr>
          <w:rFonts w:hint="eastAsia"/>
        </w:rPr>
        <w:t>視</w:t>
      </w:r>
      <w:r w:rsidRPr="00410BD1">
        <w:rPr>
          <w:rFonts w:hint="eastAsia"/>
        </w:rPr>
        <w:t>之原則，普遍地受到全球及區域國際</w:t>
      </w:r>
      <w:r w:rsidRPr="00410BD1">
        <w:rPr>
          <w:rFonts w:hint="eastAsia"/>
        </w:rPr>
        <w:t>(</w:t>
      </w:r>
      <w:r w:rsidRPr="00410BD1">
        <w:rPr>
          <w:rFonts w:hint="eastAsia"/>
        </w:rPr>
        <w:t>人權</w:t>
      </w:r>
      <w:r w:rsidRPr="00410BD1">
        <w:rPr>
          <w:rFonts w:hint="eastAsia"/>
        </w:rPr>
        <w:t>)</w:t>
      </w:r>
      <w:r w:rsidRPr="00410BD1">
        <w:rPr>
          <w:rFonts w:hint="eastAsia"/>
        </w:rPr>
        <w:t>法之保障；</w:t>
      </w:r>
    </w:p>
    <w:p w14:paraId="12C1EEA0" w14:textId="77777777" w:rsidR="00B03E84" w:rsidRPr="00410BD1" w:rsidRDefault="00B03E84" w:rsidP="00D87D91">
      <w:r w:rsidRPr="00410BD1">
        <w:rPr>
          <w:rFonts w:hint="eastAsia"/>
        </w:rPr>
        <w:t xml:space="preserve">　　</w:t>
      </w:r>
      <w:r w:rsidRPr="00410BD1">
        <w:rPr>
          <w:rFonts w:hint="eastAsia"/>
        </w:rPr>
        <w:t>2</w:t>
      </w:r>
      <w:r w:rsidRPr="00410BD1">
        <w:rPr>
          <w:rFonts w:hint="eastAsia"/>
        </w:rPr>
        <w:t>、並非所有針對於不同之人口</w:t>
      </w:r>
      <w:r w:rsidRPr="00410BD1">
        <w:rPr>
          <w:rFonts w:hint="eastAsia"/>
        </w:rPr>
        <w:t>(</w:t>
      </w:r>
      <w:r w:rsidRPr="00410BD1">
        <w:rPr>
          <w:rFonts w:hint="eastAsia"/>
        </w:rPr>
        <w:t>事項</w:t>
      </w:r>
      <w:r w:rsidRPr="00410BD1">
        <w:rPr>
          <w:rFonts w:hint="eastAsia"/>
        </w:rPr>
        <w:t>)</w:t>
      </w:r>
      <w:r w:rsidRPr="00410BD1">
        <w:rPr>
          <w:rFonts w:hint="eastAsia"/>
        </w:rPr>
        <w:t>所作出之差異化處遇</w:t>
      </w:r>
      <w:r w:rsidRPr="00410BD1">
        <w:rPr>
          <w:rFonts w:hint="eastAsia"/>
        </w:rPr>
        <w:t>(</w:t>
      </w:r>
      <w:r w:rsidRPr="00410BD1">
        <w:rPr>
          <w:rFonts w:hint="eastAsia"/>
        </w:rPr>
        <w:t>措施</w:t>
      </w:r>
      <w:r w:rsidRPr="00410BD1">
        <w:rPr>
          <w:rFonts w:hint="eastAsia"/>
        </w:rPr>
        <w:t>)</w:t>
      </w:r>
      <w:r w:rsidRPr="00410BD1">
        <w:rPr>
          <w:rFonts w:hint="eastAsia"/>
        </w:rPr>
        <w:t>，均可被</w:t>
      </w:r>
      <w:r w:rsidR="003E240E">
        <w:rPr>
          <w:rFonts w:hint="eastAsia"/>
        </w:rPr>
        <w:t>視</w:t>
      </w:r>
      <w:r w:rsidRPr="00410BD1">
        <w:rPr>
          <w:rFonts w:hint="eastAsia"/>
        </w:rPr>
        <w:t>為差別對待</w:t>
      </w:r>
      <w:r w:rsidRPr="00410BD1">
        <w:rPr>
          <w:rFonts w:hint="eastAsia"/>
        </w:rPr>
        <w:t>(</w:t>
      </w:r>
      <w:r w:rsidRPr="00410BD1">
        <w:rPr>
          <w:rFonts w:hint="eastAsia"/>
        </w:rPr>
        <w:t>歧</w:t>
      </w:r>
      <w:r w:rsidR="003E240E">
        <w:rPr>
          <w:rFonts w:hint="eastAsia"/>
        </w:rPr>
        <w:t>視</w:t>
      </w:r>
      <w:r w:rsidRPr="00410BD1">
        <w:rPr>
          <w:rFonts w:hint="eastAsia"/>
        </w:rPr>
        <w:t>)</w:t>
      </w:r>
      <w:r w:rsidRPr="00410BD1">
        <w:rPr>
          <w:rFonts w:hint="eastAsia"/>
        </w:rPr>
        <w:t>；亦即，並非所有在法律層級上之差異化</w:t>
      </w:r>
      <w:r w:rsidRPr="00410BD1">
        <w:rPr>
          <w:rFonts w:hint="eastAsia"/>
        </w:rPr>
        <w:t>(</w:t>
      </w:r>
      <w:r w:rsidRPr="00410BD1">
        <w:rPr>
          <w:rFonts w:hint="eastAsia"/>
        </w:rPr>
        <w:t>差別化</w:t>
      </w:r>
      <w:r w:rsidRPr="00410BD1">
        <w:rPr>
          <w:rFonts w:hint="eastAsia"/>
        </w:rPr>
        <w:t>)</w:t>
      </w:r>
      <w:r w:rsidRPr="00410BD1">
        <w:rPr>
          <w:rFonts w:hint="eastAsia"/>
        </w:rPr>
        <w:t>處遇</w:t>
      </w:r>
      <w:r w:rsidRPr="00410BD1">
        <w:rPr>
          <w:rFonts w:hint="eastAsia"/>
        </w:rPr>
        <w:t>(</w:t>
      </w:r>
      <w:r w:rsidRPr="00410BD1">
        <w:rPr>
          <w:rFonts w:hint="eastAsia"/>
        </w:rPr>
        <w:t>對待</w:t>
      </w:r>
      <w:r w:rsidRPr="00410BD1">
        <w:rPr>
          <w:rFonts w:hint="eastAsia"/>
        </w:rPr>
        <w:t>)</w:t>
      </w:r>
      <w:r w:rsidRPr="00410BD1">
        <w:rPr>
          <w:rFonts w:hint="eastAsia"/>
        </w:rPr>
        <w:t>，均構成差別對待</w:t>
      </w:r>
      <w:r w:rsidRPr="00410BD1">
        <w:rPr>
          <w:rFonts w:hint="eastAsia"/>
        </w:rPr>
        <w:t>(</w:t>
      </w:r>
      <w:r w:rsidRPr="00410BD1">
        <w:rPr>
          <w:rFonts w:hint="eastAsia"/>
        </w:rPr>
        <w:t>歧</w:t>
      </w:r>
      <w:r w:rsidR="003E240E">
        <w:rPr>
          <w:rFonts w:hint="eastAsia"/>
        </w:rPr>
        <w:t>視</w:t>
      </w:r>
      <w:r w:rsidRPr="00410BD1">
        <w:rPr>
          <w:rFonts w:hint="eastAsia"/>
        </w:rPr>
        <w:t>)</w:t>
      </w:r>
      <w:r w:rsidRPr="00410BD1">
        <w:rPr>
          <w:rFonts w:hint="eastAsia"/>
        </w:rPr>
        <w:t>；並非所有差異化</w:t>
      </w:r>
      <w:r w:rsidRPr="00410BD1">
        <w:rPr>
          <w:rFonts w:hint="eastAsia"/>
        </w:rPr>
        <w:t>(</w:t>
      </w:r>
      <w:r w:rsidRPr="00410BD1">
        <w:rPr>
          <w:rFonts w:hint="eastAsia"/>
        </w:rPr>
        <w:t>差別化</w:t>
      </w:r>
      <w:r w:rsidRPr="00410BD1">
        <w:rPr>
          <w:rFonts w:hint="eastAsia"/>
        </w:rPr>
        <w:t>)</w:t>
      </w:r>
      <w:r w:rsidRPr="00410BD1">
        <w:rPr>
          <w:rFonts w:hint="eastAsia"/>
        </w:rPr>
        <w:t>之處遇</w:t>
      </w:r>
      <w:r w:rsidRPr="00410BD1">
        <w:rPr>
          <w:rFonts w:hint="eastAsia"/>
        </w:rPr>
        <w:t>(</w:t>
      </w:r>
      <w:r w:rsidRPr="00410BD1">
        <w:rPr>
          <w:rFonts w:hint="eastAsia"/>
        </w:rPr>
        <w:t>對待</w:t>
      </w:r>
      <w:r w:rsidRPr="00410BD1">
        <w:rPr>
          <w:rFonts w:hint="eastAsia"/>
        </w:rPr>
        <w:t>)</w:t>
      </w:r>
      <w:r w:rsidRPr="00410BD1">
        <w:rPr>
          <w:rFonts w:hint="eastAsia"/>
        </w:rPr>
        <w:t>，均會違犯人性尊嚴；</w:t>
      </w:r>
    </w:p>
    <w:p w14:paraId="34EC1DC2" w14:textId="77777777" w:rsidR="00B03E84" w:rsidRPr="00410BD1" w:rsidRDefault="00B03E84" w:rsidP="00D87D91">
      <w:r w:rsidRPr="00410BD1">
        <w:rPr>
          <w:rFonts w:hint="eastAsia"/>
        </w:rPr>
        <w:t xml:space="preserve">　　</w:t>
      </w:r>
      <w:r w:rsidRPr="00410BD1">
        <w:rPr>
          <w:rFonts w:hint="eastAsia"/>
        </w:rPr>
        <w:t>3</w:t>
      </w:r>
      <w:r w:rsidRPr="00410BD1">
        <w:rPr>
          <w:rFonts w:hint="eastAsia"/>
        </w:rPr>
        <w:t>、並非對於每一個個案</w:t>
      </w:r>
      <w:r w:rsidRPr="00410BD1">
        <w:rPr>
          <w:rFonts w:hint="eastAsia"/>
        </w:rPr>
        <w:t>(</w:t>
      </w:r>
      <w:r w:rsidRPr="00410BD1">
        <w:rPr>
          <w:rFonts w:hint="eastAsia"/>
        </w:rPr>
        <w:t>情境</w:t>
      </w:r>
      <w:r w:rsidRPr="00410BD1">
        <w:rPr>
          <w:rFonts w:hint="eastAsia"/>
        </w:rPr>
        <w:t>)</w:t>
      </w:r>
      <w:r w:rsidRPr="00410BD1">
        <w:rPr>
          <w:rFonts w:hint="eastAsia"/>
        </w:rPr>
        <w:t>而論，均需採取相同之對待</w:t>
      </w:r>
      <w:r w:rsidRPr="00410BD1">
        <w:rPr>
          <w:rFonts w:hint="eastAsia"/>
        </w:rPr>
        <w:t>(</w:t>
      </w:r>
      <w:r w:rsidRPr="00410BD1">
        <w:rPr>
          <w:rFonts w:hint="eastAsia"/>
        </w:rPr>
        <w:t>處置</w:t>
      </w:r>
      <w:r w:rsidRPr="00410BD1">
        <w:rPr>
          <w:rFonts w:hint="eastAsia"/>
        </w:rPr>
        <w:t>)</w:t>
      </w:r>
      <w:r w:rsidRPr="00410BD1">
        <w:rPr>
          <w:rFonts w:hint="eastAsia"/>
        </w:rPr>
        <w:t>；</w:t>
      </w:r>
    </w:p>
    <w:p w14:paraId="613E66B4" w14:textId="77777777" w:rsidR="00B03E84" w:rsidRPr="00410BD1" w:rsidRDefault="00B03E84" w:rsidP="00D87D91">
      <w:r w:rsidRPr="00410BD1">
        <w:rPr>
          <w:rFonts w:hint="eastAsia"/>
        </w:rPr>
        <w:t xml:space="preserve">　　</w:t>
      </w:r>
      <w:r w:rsidRPr="00410BD1">
        <w:rPr>
          <w:rFonts w:hint="eastAsia"/>
        </w:rPr>
        <w:t>4</w:t>
      </w:r>
      <w:r w:rsidRPr="00410BD1">
        <w:rPr>
          <w:rFonts w:hint="eastAsia"/>
        </w:rPr>
        <w:t>、針對於不同個案之案情，採取不同方式之對待</w:t>
      </w:r>
      <w:r w:rsidRPr="00410BD1">
        <w:rPr>
          <w:rFonts w:hint="eastAsia"/>
        </w:rPr>
        <w:t>(</w:t>
      </w:r>
      <w:r w:rsidRPr="00410BD1">
        <w:rPr>
          <w:rFonts w:hint="eastAsia"/>
        </w:rPr>
        <w:t>處置</w:t>
      </w:r>
      <w:r w:rsidRPr="00410BD1">
        <w:rPr>
          <w:rFonts w:hint="eastAsia"/>
        </w:rPr>
        <w:t>)</w:t>
      </w:r>
      <w:r w:rsidRPr="00410BD1">
        <w:rPr>
          <w:rFonts w:hint="eastAsia"/>
        </w:rPr>
        <w:t>，亦有可能會符合平等對待及禁止歧</w:t>
      </w:r>
      <w:r w:rsidR="003E240E">
        <w:rPr>
          <w:rFonts w:hint="eastAsia"/>
        </w:rPr>
        <w:t>視</w:t>
      </w:r>
      <w:r w:rsidRPr="00410BD1">
        <w:rPr>
          <w:rFonts w:hint="eastAsia"/>
        </w:rPr>
        <w:t>原則；</w:t>
      </w:r>
    </w:p>
    <w:p w14:paraId="31F6EF51" w14:textId="77777777" w:rsidR="00B03E84" w:rsidRPr="00410BD1" w:rsidRDefault="00B03E84" w:rsidP="00D87D91">
      <w:r w:rsidRPr="00410BD1">
        <w:rPr>
          <w:rFonts w:hint="eastAsia"/>
        </w:rPr>
        <w:t xml:space="preserve">　　</w:t>
      </w:r>
      <w:r w:rsidRPr="00410BD1">
        <w:rPr>
          <w:rFonts w:hint="eastAsia"/>
        </w:rPr>
        <w:t>5</w:t>
      </w:r>
      <w:r w:rsidRPr="00410BD1">
        <w:rPr>
          <w:rFonts w:hint="eastAsia"/>
        </w:rPr>
        <w:t>、如國家所欲追求之目的，目的本身具有客觀性及合法性，即真正最終極之目的，係在於達到正義</w:t>
      </w:r>
      <w:r w:rsidRPr="00410BD1">
        <w:rPr>
          <w:rFonts w:hint="eastAsia"/>
        </w:rPr>
        <w:t>(</w:t>
      </w:r>
      <w:r w:rsidRPr="00410BD1">
        <w:rPr>
          <w:rFonts w:hint="eastAsia"/>
        </w:rPr>
        <w:t>公正</w:t>
      </w:r>
      <w:r w:rsidRPr="00410BD1">
        <w:rPr>
          <w:rFonts w:hint="eastAsia"/>
        </w:rPr>
        <w:t>)</w:t>
      </w:r>
      <w:r w:rsidRPr="00410BD1">
        <w:rPr>
          <w:rFonts w:hint="eastAsia"/>
        </w:rPr>
        <w:t>之誡命要求，或保護處於脆弱之法律地位之人口；目的不應具有不正義</w:t>
      </w:r>
      <w:r w:rsidRPr="00410BD1">
        <w:rPr>
          <w:rFonts w:hint="eastAsia"/>
        </w:rPr>
        <w:t>(</w:t>
      </w:r>
      <w:r w:rsidRPr="00410BD1">
        <w:rPr>
          <w:rFonts w:hint="eastAsia"/>
        </w:rPr>
        <w:t>不公正</w:t>
      </w:r>
      <w:r w:rsidRPr="00410BD1">
        <w:rPr>
          <w:rFonts w:hint="eastAsia"/>
        </w:rPr>
        <w:t>)</w:t>
      </w:r>
      <w:r w:rsidRPr="00410BD1">
        <w:rPr>
          <w:rFonts w:hint="eastAsia"/>
        </w:rPr>
        <w:t>、不合理、恣意獨斷、任意善變、暴虐專橫之情形，或有背於人類之基本完整性與尊嚴之情形；且差異化處遇</w:t>
      </w:r>
      <w:r w:rsidRPr="00410BD1">
        <w:rPr>
          <w:rFonts w:hint="eastAsia"/>
        </w:rPr>
        <w:t>(</w:t>
      </w:r>
      <w:r w:rsidRPr="00410BD1">
        <w:rPr>
          <w:rFonts w:hint="eastAsia"/>
        </w:rPr>
        <w:t>措施</w:t>
      </w:r>
      <w:r w:rsidRPr="00410BD1">
        <w:rPr>
          <w:rFonts w:hint="eastAsia"/>
        </w:rPr>
        <w:t>)(differentiation)</w:t>
      </w:r>
      <w:r w:rsidRPr="00410BD1">
        <w:rPr>
          <w:rFonts w:hint="eastAsia"/>
        </w:rPr>
        <w:t>本身亦具有合理性與客觀性，或者，未導致發生違犯正義</w:t>
      </w:r>
      <w:r w:rsidRPr="00410BD1">
        <w:rPr>
          <w:rFonts w:hint="eastAsia"/>
        </w:rPr>
        <w:t>(</w:t>
      </w:r>
      <w:r w:rsidRPr="00410BD1">
        <w:rPr>
          <w:rFonts w:hint="eastAsia"/>
        </w:rPr>
        <w:t>公正</w:t>
      </w:r>
      <w:r w:rsidRPr="00410BD1">
        <w:rPr>
          <w:rFonts w:hint="eastAsia"/>
        </w:rPr>
        <w:t>)</w:t>
      </w:r>
      <w:r w:rsidRPr="00410BD1">
        <w:rPr>
          <w:rFonts w:hint="eastAsia"/>
        </w:rPr>
        <w:t>、情理與事務之本質之情事；換言之，係採用合理化與客觀化之手段</w:t>
      </w:r>
      <w:r w:rsidRPr="00410BD1">
        <w:rPr>
          <w:rFonts w:hint="eastAsia"/>
        </w:rPr>
        <w:t>(</w:t>
      </w:r>
      <w:r w:rsidRPr="00410BD1">
        <w:rPr>
          <w:rFonts w:hint="eastAsia"/>
        </w:rPr>
        <w:t>工具</w:t>
      </w:r>
      <w:r w:rsidRPr="00410BD1">
        <w:rPr>
          <w:rFonts w:hint="eastAsia"/>
        </w:rPr>
        <w:t>)</w:t>
      </w:r>
      <w:r w:rsidRPr="00410BD1">
        <w:rPr>
          <w:rFonts w:hint="eastAsia"/>
        </w:rPr>
        <w:t>，則此種之差別待遇，可被加以正當化</w:t>
      </w:r>
      <w:r w:rsidRPr="00410BD1">
        <w:rPr>
          <w:rFonts w:hint="eastAsia"/>
        </w:rPr>
        <w:t>(</w:t>
      </w:r>
      <w:r w:rsidRPr="00410BD1">
        <w:rPr>
          <w:rFonts w:hint="eastAsia"/>
        </w:rPr>
        <w:t>合法化</w:t>
      </w:r>
      <w:r w:rsidRPr="00410BD1">
        <w:rPr>
          <w:rFonts w:hint="eastAsia"/>
        </w:rPr>
        <w:t>)</w:t>
      </w:r>
      <w:r w:rsidRPr="00410BD1">
        <w:rPr>
          <w:rFonts w:hint="eastAsia"/>
        </w:rPr>
        <w:t>；</w:t>
      </w:r>
    </w:p>
    <w:p w14:paraId="6947CDCA" w14:textId="77777777" w:rsidR="00B03E84" w:rsidRPr="00410BD1" w:rsidRDefault="00B03E84" w:rsidP="00D87D91">
      <w:r w:rsidRPr="00410BD1">
        <w:rPr>
          <w:rFonts w:hint="eastAsia"/>
        </w:rPr>
        <w:t xml:space="preserve">　　</w:t>
      </w:r>
      <w:r w:rsidRPr="00410BD1">
        <w:rPr>
          <w:rFonts w:hint="eastAsia"/>
        </w:rPr>
        <w:t>6</w:t>
      </w:r>
      <w:r w:rsidRPr="00410BD1">
        <w:rPr>
          <w:rFonts w:hint="eastAsia"/>
        </w:rPr>
        <w:t>、「平等」之概念，源自於人類全體所共有之尊嚴、價值與人類家庭之完整性</w:t>
      </w:r>
      <w:r w:rsidRPr="00410BD1">
        <w:rPr>
          <w:rFonts w:hint="eastAsia"/>
        </w:rPr>
        <w:t>(</w:t>
      </w:r>
      <w:r w:rsidRPr="00410BD1">
        <w:rPr>
          <w:rFonts w:hint="eastAsia"/>
        </w:rPr>
        <w:t>單一性、統一性</w:t>
      </w:r>
      <w:r w:rsidRPr="00410BD1">
        <w:rPr>
          <w:rFonts w:hint="eastAsia"/>
        </w:rPr>
        <w:t>)</w:t>
      </w:r>
      <w:r w:rsidRPr="00410BD1">
        <w:rPr>
          <w:rFonts w:hint="eastAsia"/>
        </w:rPr>
        <w:t>；</w:t>
      </w:r>
    </w:p>
    <w:p w14:paraId="02AEB6A6" w14:textId="77777777" w:rsidR="00B03E84" w:rsidRPr="00410BD1" w:rsidRDefault="00B03E84" w:rsidP="00D87D91">
      <w:r w:rsidRPr="00410BD1">
        <w:rPr>
          <w:rFonts w:hint="eastAsia"/>
        </w:rPr>
        <w:t xml:space="preserve">　　</w:t>
      </w:r>
      <w:r w:rsidRPr="00410BD1">
        <w:rPr>
          <w:rFonts w:hint="eastAsia"/>
        </w:rPr>
        <w:t>7</w:t>
      </w:r>
      <w:r w:rsidRPr="00410BD1">
        <w:rPr>
          <w:rFonts w:hint="eastAsia"/>
        </w:rPr>
        <w:t>、「平等原則」與「特權原則」是無法妥協，再者，「平等原則」與「次等化</w:t>
      </w:r>
      <w:r w:rsidRPr="00410BD1">
        <w:rPr>
          <w:rFonts w:hint="eastAsia"/>
        </w:rPr>
        <w:t>(</w:t>
      </w:r>
      <w:r w:rsidRPr="00410BD1">
        <w:rPr>
          <w:rFonts w:hint="eastAsia"/>
        </w:rPr>
        <w:t>劣等化</w:t>
      </w:r>
      <w:r w:rsidRPr="00410BD1">
        <w:rPr>
          <w:rFonts w:hint="eastAsia"/>
        </w:rPr>
        <w:t>)</w:t>
      </w:r>
      <w:r w:rsidRPr="00410BD1">
        <w:rPr>
          <w:rFonts w:hint="eastAsia"/>
        </w:rPr>
        <w:t>原則」之間，兩者具有互斥性；</w:t>
      </w:r>
    </w:p>
    <w:p w14:paraId="03A19FE0" w14:textId="77777777" w:rsidR="00B03E84" w:rsidRPr="00410BD1" w:rsidRDefault="00B03E84" w:rsidP="00D87D91">
      <w:r w:rsidRPr="00410BD1">
        <w:rPr>
          <w:rFonts w:hint="eastAsia"/>
        </w:rPr>
        <w:t xml:space="preserve">　　</w:t>
      </w:r>
      <w:r w:rsidRPr="00410BD1">
        <w:rPr>
          <w:rFonts w:hint="eastAsia"/>
        </w:rPr>
        <w:t>8</w:t>
      </w:r>
      <w:r w:rsidRPr="00410BD1">
        <w:rPr>
          <w:rFonts w:hint="eastAsia"/>
        </w:rPr>
        <w:t>、國家所欲追逐之法律上目的，與差異化處遇</w:t>
      </w:r>
      <w:r w:rsidRPr="00410BD1">
        <w:rPr>
          <w:rFonts w:hint="eastAsia"/>
        </w:rPr>
        <w:t>(</w:t>
      </w:r>
      <w:r w:rsidRPr="00410BD1">
        <w:rPr>
          <w:rFonts w:hint="eastAsia"/>
        </w:rPr>
        <w:t>措施</w:t>
      </w:r>
      <w:r w:rsidRPr="00410BD1">
        <w:rPr>
          <w:rFonts w:hint="eastAsia"/>
        </w:rPr>
        <w:t>)</w:t>
      </w:r>
      <w:r w:rsidRPr="00410BD1">
        <w:rPr>
          <w:rFonts w:hint="eastAsia"/>
        </w:rPr>
        <w:t>之手段，兩者之間，須存有合理化之比例關係；國家因基於公眾福址之考量，所採取差異化之處遇</w:t>
      </w:r>
      <w:r w:rsidRPr="00410BD1">
        <w:rPr>
          <w:rFonts w:hint="eastAsia"/>
        </w:rPr>
        <w:t>(</w:t>
      </w:r>
      <w:r w:rsidRPr="00410BD1">
        <w:rPr>
          <w:rFonts w:hint="eastAsia"/>
        </w:rPr>
        <w:t>措施</w:t>
      </w:r>
      <w:r w:rsidRPr="00410BD1">
        <w:rPr>
          <w:rFonts w:hint="eastAsia"/>
        </w:rPr>
        <w:t>)</w:t>
      </w:r>
      <w:r w:rsidRPr="00410BD1">
        <w:rPr>
          <w:rFonts w:hint="eastAsia"/>
        </w:rPr>
        <w:t>，如或多或少地偏離合理化之比例關係之標準，是否可判斷為違反平等原則，存有爭議性；</w:t>
      </w:r>
    </w:p>
    <w:p w14:paraId="6A7F163D" w14:textId="77777777" w:rsidR="00B03E84" w:rsidRPr="00410BD1" w:rsidRDefault="00B03E84" w:rsidP="00D87D91">
      <w:r w:rsidRPr="00410BD1">
        <w:rPr>
          <w:rFonts w:hint="eastAsia"/>
        </w:rPr>
        <w:t xml:space="preserve">　　</w:t>
      </w:r>
      <w:r w:rsidRPr="00410BD1">
        <w:rPr>
          <w:rFonts w:hint="eastAsia"/>
        </w:rPr>
        <w:t>9</w:t>
      </w:r>
      <w:r w:rsidRPr="00410BD1">
        <w:rPr>
          <w:rFonts w:hint="eastAsia"/>
        </w:rPr>
        <w:t>、國家採取之差異化處遇</w:t>
      </w:r>
      <w:r w:rsidRPr="00410BD1">
        <w:rPr>
          <w:rFonts w:hint="eastAsia"/>
        </w:rPr>
        <w:t>(</w:t>
      </w:r>
      <w:r w:rsidRPr="00410BD1">
        <w:rPr>
          <w:rFonts w:hint="eastAsia"/>
        </w:rPr>
        <w:t>措施</w:t>
      </w:r>
      <w:r w:rsidRPr="00410BD1">
        <w:rPr>
          <w:rFonts w:hint="eastAsia"/>
        </w:rPr>
        <w:t>)</w:t>
      </w:r>
      <w:r w:rsidRPr="00410BD1">
        <w:rPr>
          <w:rFonts w:hint="eastAsia"/>
        </w:rPr>
        <w:t>之手段，究竟是否符合平等權之真義？存在著某種程度之「判斷餘地」，容許由國家加以自行表述；亦即，究竟可否將國家採取之某種差異化之處遇</w:t>
      </w:r>
      <w:r w:rsidRPr="00410BD1">
        <w:rPr>
          <w:rFonts w:hint="eastAsia"/>
        </w:rPr>
        <w:t>(</w:t>
      </w:r>
      <w:r w:rsidRPr="00410BD1">
        <w:rPr>
          <w:rFonts w:hint="eastAsia"/>
        </w:rPr>
        <w:t>措施</w:t>
      </w:r>
      <w:r w:rsidRPr="00410BD1">
        <w:rPr>
          <w:rFonts w:hint="eastAsia"/>
        </w:rPr>
        <w:t>)</w:t>
      </w:r>
      <w:r w:rsidRPr="00410BD1">
        <w:rPr>
          <w:rFonts w:hint="eastAsia"/>
        </w:rPr>
        <w:t>，加以正當化</w:t>
      </w:r>
      <w:r w:rsidRPr="00410BD1">
        <w:rPr>
          <w:rFonts w:hint="eastAsia"/>
        </w:rPr>
        <w:t>(</w:t>
      </w:r>
      <w:r w:rsidRPr="00410BD1">
        <w:rPr>
          <w:rFonts w:hint="eastAsia"/>
        </w:rPr>
        <w:t>合法化</w:t>
      </w:r>
      <w:r w:rsidRPr="00410BD1">
        <w:rPr>
          <w:rFonts w:hint="eastAsia"/>
        </w:rPr>
        <w:t>)</w:t>
      </w:r>
      <w:r w:rsidRPr="00410BD1">
        <w:rPr>
          <w:rFonts w:hint="eastAsia"/>
        </w:rPr>
        <w:t>？及上述之正當化</w:t>
      </w:r>
      <w:r w:rsidRPr="00410BD1">
        <w:rPr>
          <w:rFonts w:hint="eastAsia"/>
        </w:rPr>
        <w:t>(</w:t>
      </w:r>
      <w:r w:rsidRPr="00410BD1">
        <w:rPr>
          <w:rFonts w:hint="eastAsia"/>
        </w:rPr>
        <w:t>合法化</w:t>
      </w:r>
      <w:r w:rsidRPr="00410BD1">
        <w:rPr>
          <w:rFonts w:hint="eastAsia"/>
        </w:rPr>
        <w:t>)</w:t>
      </w:r>
      <w:r w:rsidRPr="00410BD1">
        <w:rPr>
          <w:rFonts w:hint="eastAsia"/>
        </w:rPr>
        <w:t>，本身可容許何種程度範圍之變異</w:t>
      </w:r>
      <w:r w:rsidRPr="00410BD1">
        <w:rPr>
          <w:rFonts w:hint="eastAsia"/>
        </w:rPr>
        <w:t>(</w:t>
      </w:r>
      <w:r w:rsidRPr="00410BD1">
        <w:rPr>
          <w:rFonts w:hint="eastAsia"/>
        </w:rPr>
        <w:t>化</w:t>
      </w:r>
      <w:r w:rsidRPr="00410BD1">
        <w:rPr>
          <w:rFonts w:hint="eastAsia"/>
        </w:rPr>
        <w:t>)</w:t>
      </w:r>
      <w:r w:rsidRPr="00410BD1">
        <w:rPr>
          <w:rFonts w:hint="eastAsia"/>
        </w:rPr>
        <w:t>性，國家擁有「判斷餘地」；</w:t>
      </w:r>
    </w:p>
    <w:p w14:paraId="28850608" w14:textId="77777777" w:rsidR="00B03E84" w:rsidRPr="00410BD1" w:rsidRDefault="00B03E84" w:rsidP="00D87D91">
      <w:r w:rsidRPr="00410BD1">
        <w:rPr>
          <w:rFonts w:hint="eastAsia"/>
        </w:rPr>
        <w:t xml:space="preserve">　　</w:t>
      </w:r>
      <w:r w:rsidRPr="00410BD1">
        <w:rPr>
          <w:rFonts w:hint="eastAsia"/>
        </w:rPr>
        <w:t>10</w:t>
      </w:r>
      <w:r w:rsidRPr="00410BD1">
        <w:rPr>
          <w:rFonts w:hint="eastAsia"/>
        </w:rPr>
        <w:t>、假若國家所採用差異化處遇</w:t>
      </w:r>
      <w:r w:rsidRPr="00410BD1">
        <w:rPr>
          <w:rFonts w:hint="eastAsia"/>
        </w:rPr>
        <w:t>(</w:t>
      </w:r>
      <w:r w:rsidRPr="00410BD1">
        <w:rPr>
          <w:rFonts w:hint="eastAsia"/>
        </w:rPr>
        <w:t>措施</w:t>
      </w:r>
      <w:r w:rsidRPr="00410BD1">
        <w:rPr>
          <w:rFonts w:hint="eastAsia"/>
        </w:rPr>
        <w:t>)</w:t>
      </w:r>
      <w:r w:rsidRPr="00410BD1">
        <w:rPr>
          <w:rFonts w:hint="eastAsia"/>
        </w:rPr>
        <w:t>未具有客觀化與合理化之正當性</w:t>
      </w:r>
      <w:r w:rsidRPr="00410BD1">
        <w:rPr>
          <w:rFonts w:hint="eastAsia"/>
        </w:rPr>
        <w:t>(</w:t>
      </w:r>
      <w:r w:rsidRPr="00410BD1">
        <w:rPr>
          <w:rFonts w:hint="eastAsia"/>
        </w:rPr>
        <w:t>合法性</w:t>
      </w:r>
      <w:r w:rsidRPr="00410BD1">
        <w:rPr>
          <w:rFonts w:hint="eastAsia"/>
        </w:rPr>
        <w:t>)</w:t>
      </w:r>
      <w:r w:rsidRPr="00410BD1">
        <w:rPr>
          <w:rFonts w:hint="eastAsia"/>
        </w:rPr>
        <w:t>，則違反平等原則；</w:t>
      </w:r>
    </w:p>
    <w:p w14:paraId="12453055" w14:textId="77777777" w:rsidR="00953151" w:rsidRPr="00410BD1" w:rsidRDefault="00B03E84" w:rsidP="00D87D91">
      <w:r w:rsidRPr="00410BD1">
        <w:rPr>
          <w:rFonts w:hint="eastAsia"/>
        </w:rPr>
        <w:t xml:space="preserve">　　</w:t>
      </w:r>
      <w:r w:rsidRPr="00410BD1">
        <w:rPr>
          <w:rFonts w:hint="eastAsia"/>
        </w:rPr>
        <w:t>11</w:t>
      </w:r>
      <w:r w:rsidRPr="00410BD1">
        <w:rPr>
          <w:rFonts w:hint="eastAsia"/>
        </w:rPr>
        <w:t>、針對於具有重大差異性之情境</w:t>
      </w:r>
      <w:r w:rsidRPr="00410BD1">
        <w:rPr>
          <w:rFonts w:hint="eastAsia"/>
        </w:rPr>
        <w:t>(</w:t>
      </w:r>
      <w:r w:rsidRPr="00410BD1">
        <w:rPr>
          <w:rFonts w:hint="eastAsia"/>
        </w:rPr>
        <w:t>情事</w:t>
      </w:r>
      <w:r w:rsidRPr="00410BD1">
        <w:rPr>
          <w:rFonts w:hint="eastAsia"/>
        </w:rPr>
        <w:t>)</w:t>
      </w:r>
      <w:r w:rsidRPr="00410BD1">
        <w:rPr>
          <w:rFonts w:hint="eastAsia"/>
        </w:rPr>
        <w:t>，國家須採用差異化處遇</w:t>
      </w:r>
      <w:r w:rsidRPr="00410BD1">
        <w:rPr>
          <w:rFonts w:hint="eastAsia"/>
        </w:rPr>
        <w:t>(</w:t>
      </w:r>
      <w:r w:rsidRPr="00410BD1">
        <w:rPr>
          <w:rFonts w:hint="eastAsia"/>
        </w:rPr>
        <w:t>措施</w:t>
      </w:r>
      <w:r w:rsidRPr="00410BD1">
        <w:rPr>
          <w:rFonts w:hint="eastAsia"/>
        </w:rPr>
        <w:t>)</w:t>
      </w:r>
      <w:r w:rsidRPr="00410BD1">
        <w:rPr>
          <w:rFonts w:hint="eastAsia"/>
        </w:rPr>
        <w:t>之手段加以回應；亦即，對於具有重大差異性之情境</w:t>
      </w:r>
      <w:r w:rsidRPr="00410BD1">
        <w:rPr>
          <w:rFonts w:hint="eastAsia"/>
        </w:rPr>
        <w:t>(</w:t>
      </w:r>
      <w:r w:rsidRPr="00410BD1">
        <w:rPr>
          <w:rFonts w:hint="eastAsia"/>
        </w:rPr>
        <w:t>情事</w:t>
      </w:r>
      <w:r w:rsidRPr="00410BD1">
        <w:rPr>
          <w:rFonts w:hint="eastAsia"/>
        </w:rPr>
        <w:t>)</w:t>
      </w:r>
      <w:r w:rsidRPr="00410BD1">
        <w:rPr>
          <w:rFonts w:hint="eastAsia"/>
        </w:rPr>
        <w:t>，容許國家機關以差異化處遇</w:t>
      </w:r>
      <w:r w:rsidRPr="00410BD1">
        <w:rPr>
          <w:rFonts w:hint="eastAsia"/>
        </w:rPr>
        <w:t>(</w:t>
      </w:r>
      <w:r w:rsidRPr="00410BD1">
        <w:rPr>
          <w:rFonts w:hint="eastAsia"/>
        </w:rPr>
        <w:t>措施</w:t>
      </w:r>
      <w:r w:rsidRPr="00410BD1">
        <w:rPr>
          <w:rFonts w:hint="eastAsia"/>
        </w:rPr>
        <w:t>)</w:t>
      </w:r>
      <w:r w:rsidRPr="00410BD1">
        <w:rPr>
          <w:rFonts w:hint="eastAsia"/>
        </w:rPr>
        <w:t>之方式加以回應與處置。如國家未採用差異化之處遇</w:t>
      </w:r>
      <w:r w:rsidRPr="00410BD1">
        <w:rPr>
          <w:rFonts w:hint="eastAsia"/>
        </w:rPr>
        <w:t>(</w:t>
      </w:r>
      <w:r w:rsidRPr="00410BD1">
        <w:rPr>
          <w:rFonts w:hint="eastAsia"/>
        </w:rPr>
        <w:t>措施</w:t>
      </w:r>
      <w:r w:rsidRPr="00410BD1">
        <w:rPr>
          <w:rFonts w:hint="eastAsia"/>
        </w:rPr>
        <w:t>)</w:t>
      </w:r>
      <w:r w:rsidRPr="00410BD1">
        <w:rPr>
          <w:rFonts w:hint="eastAsia"/>
        </w:rPr>
        <w:t>，則須符合具有客觀化與合理化之正當性</w:t>
      </w:r>
      <w:r w:rsidRPr="00410BD1">
        <w:rPr>
          <w:rFonts w:hint="eastAsia"/>
        </w:rPr>
        <w:t>(</w:t>
      </w:r>
      <w:r w:rsidRPr="00410BD1">
        <w:rPr>
          <w:rFonts w:hint="eastAsia"/>
        </w:rPr>
        <w:t>合法性</w:t>
      </w:r>
      <w:r w:rsidRPr="00410BD1">
        <w:rPr>
          <w:rFonts w:hint="eastAsia"/>
        </w:rPr>
        <w:t>)</w:t>
      </w:r>
      <w:r w:rsidRPr="00410BD1">
        <w:rPr>
          <w:rFonts w:hint="eastAsia"/>
        </w:rPr>
        <w:t>之要件。如未具有客觀化與合理化之正當性</w:t>
      </w:r>
      <w:r w:rsidRPr="00410BD1">
        <w:rPr>
          <w:rFonts w:hint="eastAsia"/>
        </w:rPr>
        <w:t>(</w:t>
      </w:r>
      <w:r w:rsidRPr="00410BD1">
        <w:rPr>
          <w:rFonts w:hint="eastAsia"/>
        </w:rPr>
        <w:t>合法性</w:t>
      </w:r>
      <w:r w:rsidRPr="00410BD1">
        <w:rPr>
          <w:rFonts w:hint="eastAsia"/>
        </w:rPr>
        <w:t>)</w:t>
      </w:r>
      <w:r w:rsidRPr="00410BD1">
        <w:rPr>
          <w:rFonts w:hint="eastAsia"/>
        </w:rPr>
        <w:t>，則有違反平等原則之嫌。</w:t>
      </w:r>
    </w:p>
    <w:p w14:paraId="035BF50A" w14:textId="77777777" w:rsidR="00953151" w:rsidRPr="00410BD1" w:rsidRDefault="00B03E84" w:rsidP="00D87D91">
      <w:r w:rsidRPr="00410BD1">
        <w:t xml:space="preserve">　　</w:t>
      </w:r>
      <w:r w:rsidR="00203F72" w:rsidRPr="00410BD1">
        <w:t>就美國之平等權發展趨勢而論，美國聯邦最高法院於</w:t>
      </w:r>
      <w:r w:rsidR="00203F72" w:rsidRPr="00410BD1">
        <w:t>2013</w:t>
      </w:r>
      <w:r w:rsidR="00203F72" w:rsidRPr="00410BD1">
        <w:t>年</w:t>
      </w:r>
      <w:r w:rsidR="00203F72" w:rsidRPr="00410BD1">
        <w:t>6</w:t>
      </w:r>
      <w:r w:rsidR="00203F72" w:rsidRPr="00410BD1">
        <w:t>月，宣告「婚姻保護法」中未賦予同性戀夫妻和異性戀夫妻相同權利之部分，係屬於違憲。由此美國最高</w:t>
      </w:r>
      <w:r w:rsidR="00203F72" w:rsidRPr="00410BD1">
        <w:lastRenderedPageBreak/>
        <w:t>法院之判決，可發現同性戀者之人性尊嚴與基本人權，與非同性戀者之人性尊嚴與基本人權，在國際社會之發展趨勢上，在不同之領域上，包括「婚姻權」與「家庭權」方面，有逐漸平等之趨勢</w:t>
      </w:r>
      <w:r w:rsidR="00203F72" w:rsidRPr="00410BD1">
        <w:t>(</w:t>
      </w:r>
      <w:r w:rsidR="00203F72" w:rsidRPr="00410BD1">
        <w:t>尚未完全平等</w:t>
      </w:r>
      <w:r w:rsidR="00203F72" w:rsidRPr="00410BD1">
        <w:t>)</w:t>
      </w:r>
      <w:r w:rsidR="00203F72" w:rsidRPr="00410BD1">
        <w:t>。此種之平等權保障，在美國，就婚姻權與家庭權而論，已有</w:t>
      </w:r>
      <w:r w:rsidR="00203F72" w:rsidRPr="00410BD1">
        <w:t>12</w:t>
      </w:r>
      <w:r w:rsidR="00203F72" w:rsidRPr="00410BD1">
        <w:t>州，已達到完全平等之地步。不過，截至</w:t>
      </w:r>
      <w:r w:rsidR="00203F72" w:rsidRPr="00410BD1">
        <w:t>2013</w:t>
      </w:r>
      <w:r w:rsidR="00203F72" w:rsidRPr="00410BD1">
        <w:t>年為止，美國多數之州，州政府仍不願意賦予同志婚姻享有合法之「婚姻權」與「家庭權」，但民意調查之結果，多數之美國人，仍認為同志婚姻最終仍會在全美全部加以合法化。</w:t>
      </w:r>
    </w:p>
    <w:p w14:paraId="79D43109" w14:textId="77777777" w:rsidR="00953151" w:rsidRPr="00410BD1" w:rsidRDefault="00B03E84" w:rsidP="00D87D91">
      <w:r w:rsidRPr="00410BD1">
        <w:t xml:space="preserve">　　</w:t>
      </w:r>
      <w:r w:rsidR="00203F72" w:rsidRPr="00410BD1">
        <w:t>就我國憲法平等權之意涵而論，有關於同性戀者之人性尊嚴與基本人權，與非同性戀者之人性尊嚴與基本人權，那些區塊須加以平權化，值得加以重</w:t>
      </w:r>
      <w:r w:rsidR="003E240E">
        <w:t>視</w:t>
      </w:r>
      <w:r w:rsidR="00203F72" w:rsidRPr="00410BD1">
        <w:t>與深入探討。對於須加以平權化之領域，應透由法律之立法與執行，有效地保障同性戀者之人性尊嚴與基本人權。至於那些之領域，須加以平權化？理論上，絕大部分之領域，宜加以平權化。就我國而論，比較爭議之部分，係為婚姻權與家庭權。有關於同性戀者是否具有法律上之婚姻權與家庭權，除了考量國民法律情感之外，亦宜兼顧人權、宗教、文化、倫理、道德、醫療衛生、人口政策與國際最新之發展趨勢等。亦即，宜進行多方之考量，避免淪為單元之法律思考模式，始能包容各種不同之想法與見解。</w:t>
      </w:r>
    </w:p>
    <w:p w14:paraId="5C6A0D25" w14:textId="77777777" w:rsidR="00953151" w:rsidRPr="00410BD1" w:rsidRDefault="00B03E84" w:rsidP="00D87D91">
      <w:r w:rsidRPr="00410BD1">
        <w:t xml:space="preserve">　　</w:t>
      </w:r>
      <w:r w:rsidR="00203F72" w:rsidRPr="00410BD1">
        <w:t>由於傳統之倫理、道德與宗教之觀點，尤其是部分宗教之立場，尚無法承認同性戀者具有婚姻權與家庭權，是以，我國或可再從人權、宗教、文化、倫理、道德、醫療衛生、人口政策、法律與國際最新之發展趨勢等多元不同之觀點，再詳加討論與評估其可行性。就同性戀者是否具有婚姻權與家庭權議題而論，本書認為，由於問題之本身，極具有複雜性、爭議性及人權性，故有必要進行科學化、多元化學門之評估，再作進一步之取捨為佳，並不急於一時，從憲法之觀點與高度，作出明文之決定與規範。</w:t>
      </w:r>
    </w:p>
    <w:p w14:paraId="6B872D6A" w14:textId="77777777" w:rsidR="00203F72" w:rsidRPr="00A53581" w:rsidRDefault="00076467" w:rsidP="00767F37">
      <w:pPr>
        <w:pStyle w:val="2"/>
      </w:pPr>
      <w:hyperlink r:id="rId127" w:anchor="a8" w:history="1">
        <w:r w:rsidR="005D5A46">
          <w:rPr>
            <w:rStyle w:val="a5"/>
            <w:rFonts w:ascii="Arial Unicode MS" w:hAnsi="Arial Unicode MS"/>
          </w:rPr>
          <w:t>第</w:t>
        </w:r>
        <w:r w:rsidR="00203F72" w:rsidRPr="00CC3396">
          <w:rPr>
            <w:rStyle w:val="a5"/>
            <w:rFonts w:ascii="Arial Unicode MS" w:hAnsi="Arial Unicode MS"/>
          </w:rPr>
          <w:t>8</w:t>
        </w:r>
        <w:r w:rsidR="005D5A46">
          <w:rPr>
            <w:rStyle w:val="a5"/>
            <w:rFonts w:ascii="Arial Unicode MS" w:hAnsi="Arial Unicode MS"/>
          </w:rPr>
          <w:t>條</w:t>
        </w:r>
      </w:hyperlink>
      <w:r w:rsidR="00203F72" w:rsidRPr="00A53581">
        <w:t>人民身體之自由應予保障。除現行犯之逮捕由法律另定外，非經司法或警察機關依法定程序，不得逮捕拘禁。非由法院依法定程序，不得審問處罰。非依法定程序之逮捕、拘禁、審問、處罰，得拒絕之。</w:t>
      </w:r>
    </w:p>
    <w:p w14:paraId="3BE627B4" w14:textId="77777777" w:rsidR="00203F72" w:rsidRPr="00CA2E17" w:rsidRDefault="00B03E84" w:rsidP="00D87D91">
      <w:r w:rsidRPr="00CA2E17">
        <w:t xml:space="preserve">　　</w:t>
      </w:r>
      <w:r w:rsidR="00203F72" w:rsidRPr="00CA2E17">
        <w:t>人民因犯罪嫌疑被逮捕拘禁時，其逮捕拘禁機關應將逮捕拘禁原因，以書面告知本人及其本人指定之親友，並至遲於二十四小時內移送該管法院審問。本人或他人亦得聲請該管法院，於二十四小時內向逮捕之機關提審。</w:t>
      </w:r>
    </w:p>
    <w:p w14:paraId="078E0953" w14:textId="77777777" w:rsidR="00203F72" w:rsidRPr="00CA2E17" w:rsidRDefault="00B03E84" w:rsidP="00D87D91">
      <w:r w:rsidRPr="00CA2E17">
        <w:t xml:space="preserve">　　</w:t>
      </w:r>
      <w:r w:rsidR="00203F72" w:rsidRPr="00CA2E17">
        <w:t>法院對於前項聲請，不得拒絕，並不得先令逮捕拘禁之機關查覆。逮捕拘禁之機關，對於法院之提審，不得拒絕或遲延。</w:t>
      </w:r>
    </w:p>
    <w:p w14:paraId="6F085BF6" w14:textId="77777777" w:rsidR="00953151" w:rsidRPr="00CA2E17" w:rsidRDefault="00B03E84" w:rsidP="00D87D91">
      <w:r w:rsidRPr="00CA2E17">
        <w:t xml:space="preserve">　　</w:t>
      </w:r>
      <w:r w:rsidR="00203F72" w:rsidRPr="00CA2E17">
        <w:t>人民遭受任何機關非法逮捕拘禁時，其本人或他人得向法院聲請追究，法院不得拒絕，並應於二十四小時內向逮捕拘禁之機關追究，依法處理。</w:t>
      </w:r>
    </w:p>
    <w:p w14:paraId="2EBCF005" w14:textId="77777777" w:rsidR="00953151" w:rsidRPr="00CA2E17" w:rsidRDefault="00B03E84" w:rsidP="00D87D91">
      <w:r w:rsidRPr="00CA2E17">
        <w:t>【內容解析】</w:t>
      </w:r>
    </w:p>
    <w:p w14:paraId="2150A8D7" w14:textId="77777777" w:rsidR="00953151" w:rsidRDefault="00B03E84" w:rsidP="00D87D91">
      <w:r w:rsidRPr="00CA2E17">
        <w:t xml:space="preserve">　　</w:t>
      </w:r>
      <w:r w:rsidR="00203F72" w:rsidRPr="00CA2E17">
        <w:t>匈牙利自由烈士「</w:t>
      </w:r>
      <w:r w:rsidR="00203F72" w:rsidRPr="00CA2E17">
        <w:rPr>
          <w:rFonts w:hint="eastAsia"/>
        </w:rPr>
        <w:t>裴多菲</w:t>
      </w:r>
      <w:r w:rsidR="003420CC">
        <w:rPr>
          <w:rFonts w:hint="eastAsia"/>
        </w:rPr>
        <w:t>．</w:t>
      </w:r>
      <w:r w:rsidR="00203F72" w:rsidRPr="00CA2E17">
        <w:rPr>
          <w:rFonts w:hint="eastAsia"/>
        </w:rPr>
        <w:t>山多爾」（</w:t>
      </w:r>
      <w:r w:rsidR="00203F72" w:rsidRPr="00CA2E17">
        <w:t>Pet</w:t>
      </w:r>
      <w:r w:rsidR="00203F72" w:rsidRPr="00CA2E17">
        <w:rPr>
          <w:rFonts w:ascii="MS Gothic" w:eastAsia="MS Gothic" w:hAnsi="MS Gothic" w:cs="MS Gothic" w:hint="eastAsia"/>
        </w:rPr>
        <w:t>ő</w:t>
      </w:r>
      <w:r w:rsidR="00203F72" w:rsidRPr="00CA2E17">
        <w:t>fi S</w:t>
      </w:r>
      <w:r w:rsidR="00203F72" w:rsidRPr="00CA2E17">
        <w:rPr>
          <w:rFonts w:hint="eastAsia"/>
        </w:rPr>
        <w:t>á</w:t>
      </w:r>
      <w:r w:rsidR="00203F72" w:rsidRPr="00CA2E17">
        <w:t>ndor</w:t>
      </w:r>
      <w:r w:rsidR="00203F72" w:rsidRPr="00CA2E17">
        <w:rPr>
          <w:rFonts w:hint="eastAsia"/>
        </w:rPr>
        <w:t>）曾言：「生命誠可貴，愛情價更高；若為自由故，兩者皆可拋</w:t>
      </w:r>
      <w:r w:rsidR="00203F72" w:rsidRPr="00CA2E17">
        <w:rPr>
          <w:rFonts w:hint="eastAsia"/>
        </w:rPr>
        <w:t>(</w:t>
      </w:r>
      <w:r w:rsidR="00203F72" w:rsidRPr="00CA2E17">
        <w:t>Life is dear, love is dearer. Both can be given up for freedom</w:t>
      </w:r>
      <w:r w:rsidR="00203F72" w:rsidRPr="00CA2E17">
        <w:rPr>
          <w:rFonts w:hint="eastAsia"/>
        </w:rPr>
        <w:t>)</w:t>
      </w:r>
      <w:r w:rsidR="00203F72" w:rsidRPr="00CA2E17">
        <w:rPr>
          <w:rFonts w:hint="eastAsia"/>
        </w:rPr>
        <w:t>。」可知，自由</w:t>
      </w:r>
      <w:r w:rsidR="00203F72" w:rsidRPr="00CA2E17">
        <w:rPr>
          <w:rFonts w:hint="eastAsia"/>
        </w:rPr>
        <w:t>(</w:t>
      </w:r>
      <w:r w:rsidR="00203F72" w:rsidRPr="00CA2E17">
        <w:t>freedom</w:t>
      </w:r>
      <w:r w:rsidR="00203F72" w:rsidRPr="00CA2E17">
        <w:rPr>
          <w:rFonts w:hint="eastAsia"/>
        </w:rPr>
        <w:t>)</w:t>
      </w:r>
      <w:r w:rsidR="00203F72" w:rsidRPr="00CA2E17">
        <w:rPr>
          <w:rFonts w:hint="eastAsia"/>
        </w:rPr>
        <w:t>具有無上之價值。自由是一個偉大的字眼。追求自由，是人的一種權利</w:t>
      </w:r>
      <w:r w:rsidR="00203F72" w:rsidRPr="00CA2E17">
        <w:rPr>
          <w:rFonts w:hint="eastAsia"/>
        </w:rPr>
        <w:t>(right)</w:t>
      </w:r>
      <w:r w:rsidR="00203F72" w:rsidRPr="00CA2E17">
        <w:rPr>
          <w:rFonts w:hint="eastAsia"/>
        </w:rPr>
        <w:t>。</w:t>
      </w:r>
    </w:p>
    <w:p w14:paraId="2E69FC59" w14:textId="77777777" w:rsidR="005670A4" w:rsidRPr="00CA2E17" w:rsidRDefault="005670A4" w:rsidP="00D87D91"/>
    <w:p w14:paraId="3302BDAC" w14:textId="787AA709" w:rsidR="00203F72" w:rsidRPr="00CA2E17" w:rsidRDefault="00B03E84" w:rsidP="00D87D91">
      <w:r w:rsidRPr="00CA2E17">
        <w:t>【</w:t>
      </w:r>
      <w:r w:rsidRPr="00CA2E17">
        <w:t>table</w:t>
      </w:r>
      <w:r w:rsidR="005E23E3" w:rsidRPr="00CA2E1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w:t>
      </w:r>
      <w:r w:rsidR="00076467">
        <w:rPr>
          <w:noProof/>
        </w:rPr>
        <w:fldChar w:fldCharType="end"/>
      </w:r>
      <w:r w:rsidR="00203F72" w:rsidRPr="00CA2E17">
        <w:t>司法院釋字第</w:t>
      </w:r>
      <w:hyperlink r:id="rId128" w:anchor="r443" w:history="1">
        <w:r w:rsidR="00203F72" w:rsidRPr="005670A4">
          <w:rPr>
            <w:rStyle w:val="a5"/>
            <w:rFonts w:ascii="Times New Roman" w:eastAsia="新細明體" w:hAnsi="Times New Roman"/>
          </w:rPr>
          <w:t>四四三</w:t>
        </w:r>
      </w:hyperlink>
      <w:r w:rsidR="00203F72" w:rsidRPr="00CA2E17">
        <w:t>號解釋理由書中有關「法律保留」之闡釋說明一覽表</w:t>
      </w:r>
    </w:p>
    <w:tbl>
      <w:tblPr>
        <w:tblW w:w="467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6385"/>
      </w:tblGrid>
      <w:tr w:rsidR="00203F72" w:rsidRPr="00A53581" w14:paraId="62778C83" w14:textId="77777777" w:rsidTr="00203F72">
        <w:tc>
          <w:tcPr>
            <w:tcW w:w="978" w:type="pct"/>
            <w:shd w:val="clear" w:color="auto" w:fill="auto"/>
          </w:tcPr>
          <w:p w14:paraId="0B333313" w14:textId="77777777" w:rsidR="00203F72" w:rsidRPr="00A53581" w:rsidRDefault="00203F72" w:rsidP="00D87D91">
            <w:r w:rsidRPr="00A53581">
              <w:t>憲法保留事項</w:t>
            </w:r>
          </w:p>
        </w:tc>
        <w:tc>
          <w:tcPr>
            <w:tcW w:w="4022" w:type="pct"/>
            <w:shd w:val="clear" w:color="auto" w:fill="auto"/>
          </w:tcPr>
          <w:p w14:paraId="463B0D3C" w14:textId="77777777" w:rsidR="00203F72" w:rsidRPr="00A53581" w:rsidRDefault="00203F72" w:rsidP="00D87D91">
            <w:r w:rsidRPr="00A53581">
              <w:rPr>
                <w:rFonts w:hint="eastAsia"/>
              </w:rPr>
              <w:t>關於人民身體自由，憲</w:t>
            </w:r>
            <w:r w:rsidR="00690E4D" w:rsidRPr="00A53581">
              <w:rPr>
                <w:rFonts w:hint="eastAsia"/>
              </w:rPr>
              <w:t>法</w:t>
            </w:r>
            <w:hyperlink r:id="rId129" w:anchor="a8" w:history="1">
              <w:r w:rsidR="00690E4D" w:rsidRPr="00F84373">
                <w:rPr>
                  <w:rStyle w:val="a5"/>
                  <w:rFonts w:eastAsia="新細明體" w:hint="eastAsia"/>
                  <w:kern w:val="0"/>
                </w:rPr>
                <w:t>第八條</w:t>
              </w:r>
            </w:hyperlink>
            <w:r w:rsidRPr="00A53581">
              <w:rPr>
                <w:rFonts w:hint="eastAsia"/>
              </w:rPr>
              <w:t>規定即較為詳盡，其中內容屬於憲法保留之事項者，縱令立法機關，亦不得制定法律加以限制。</w:t>
            </w:r>
          </w:p>
        </w:tc>
      </w:tr>
      <w:tr w:rsidR="00203F72" w:rsidRPr="00A53581" w14:paraId="50762BA2" w14:textId="77777777" w:rsidTr="00203F72">
        <w:tc>
          <w:tcPr>
            <w:tcW w:w="978" w:type="pct"/>
            <w:shd w:val="clear" w:color="auto" w:fill="auto"/>
          </w:tcPr>
          <w:p w14:paraId="1F567600" w14:textId="77777777" w:rsidR="00203F72" w:rsidRPr="00A53581" w:rsidRDefault="00203F72" w:rsidP="00D87D91">
            <w:r w:rsidRPr="00A53581">
              <w:t>絕對與相對法律保留事項</w:t>
            </w:r>
          </w:p>
        </w:tc>
        <w:tc>
          <w:tcPr>
            <w:tcW w:w="4022" w:type="pct"/>
            <w:shd w:val="clear" w:color="auto" w:fill="auto"/>
          </w:tcPr>
          <w:p w14:paraId="52F9B3DE" w14:textId="77777777" w:rsidR="00203F72" w:rsidRPr="00A53581" w:rsidRDefault="00203F72" w:rsidP="00D87D91">
            <w:r w:rsidRPr="00A53581">
              <w:rPr>
                <w:rFonts w:hint="eastAsia"/>
              </w:rPr>
              <w:t>至何種事項應以法律直接規範或得委由命令予以規定，與所謂規範密度有關，應</w:t>
            </w:r>
            <w:r w:rsidR="003E240E">
              <w:rPr>
                <w:rFonts w:hint="eastAsia"/>
              </w:rPr>
              <w:t>視</w:t>
            </w:r>
            <w:r w:rsidRPr="00A53581">
              <w:rPr>
                <w:rFonts w:hint="eastAsia"/>
              </w:rPr>
              <w:t>規範對象、內容或法益本身及其所受限制之輕重而容許合理之差異：諸如剝奪人民生命或限制人民身體自由者，必須遵守罪刑法定主義，以制定法律之方式為之；涉及人民其他自由權利之限制者，亦應由法律加以規定，如以法律授權主管機關發布命令為補充規定時，其授權應符合具體明確之原則。</w:t>
            </w:r>
          </w:p>
        </w:tc>
      </w:tr>
      <w:tr w:rsidR="00203F72" w:rsidRPr="00A53581" w14:paraId="063E4FAC" w14:textId="77777777" w:rsidTr="00203F72">
        <w:tc>
          <w:tcPr>
            <w:tcW w:w="978" w:type="pct"/>
            <w:shd w:val="clear" w:color="auto" w:fill="auto"/>
          </w:tcPr>
          <w:p w14:paraId="6074B37A" w14:textId="77777777" w:rsidR="00203F72" w:rsidRPr="00A53581" w:rsidRDefault="00203F72" w:rsidP="00D87D91">
            <w:r w:rsidRPr="00A53581">
              <w:t>無須法律保留</w:t>
            </w:r>
            <w:r w:rsidRPr="00A53581">
              <w:lastRenderedPageBreak/>
              <w:t>事項</w:t>
            </w:r>
          </w:p>
        </w:tc>
        <w:tc>
          <w:tcPr>
            <w:tcW w:w="4022" w:type="pct"/>
            <w:shd w:val="clear" w:color="auto" w:fill="auto"/>
          </w:tcPr>
          <w:p w14:paraId="7816300D" w14:textId="77777777" w:rsidR="00203F72" w:rsidRPr="00A53581" w:rsidRDefault="00203F72" w:rsidP="00D87D91">
            <w:r w:rsidRPr="00A53581">
              <w:rPr>
                <w:rFonts w:hint="eastAsia"/>
              </w:rPr>
              <w:lastRenderedPageBreak/>
              <w:t>若僅屬與執行法律之明細性、技術性次要事項，則得由主管機關</w:t>
            </w:r>
            <w:r w:rsidRPr="00A53581">
              <w:rPr>
                <w:rFonts w:hint="eastAsia"/>
              </w:rPr>
              <w:lastRenderedPageBreak/>
              <w:t>發布命令為必要之規範，雖因而對人民產生不便或輕微影響，尚非憲法所不許。</w:t>
            </w:r>
          </w:p>
        </w:tc>
      </w:tr>
      <w:tr w:rsidR="00203F72" w:rsidRPr="00A53581" w14:paraId="64F5A1E6" w14:textId="77777777" w:rsidTr="00203F72">
        <w:tc>
          <w:tcPr>
            <w:tcW w:w="978" w:type="pct"/>
            <w:shd w:val="clear" w:color="auto" w:fill="auto"/>
          </w:tcPr>
          <w:p w14:paraId="1F833129" w14:textId="77777777" w:rsidR="00203F72" w:rsidRPr="00A53581" w:rsidRDefault="00203F72" w:rsidP="00D87D91">
            <w:r w:rsidRPr="00A53581">
              <w:lastRenderedPageBreak/>
              <w:t>給付行政事項</w:t>
            </w:r>
          </w:p>
        </w:tc>
        <w:tc>
          <w:tcPr>
            <w:tcW w:w="4022" w:type="pct"/>
            <w:shd w:val="clear" w:color="auto" w:fill="auto"/>
          </w:tcPr>
          <w:p w14:paraId="0701A3CD" w14:textId="77777777" w:rsidR="00203F72" w:rsidRPr="00A53581" w:rsidRDefault="00203F72" w:rsidP="00D87D91">
            <w:r w:rsidRPr="00A53581">
              <w:rPr>
                <w:rFonts w:hint="eastAsia"/>
              </w:rPr>
              <w:t>又關於給付行政措施，其受法律規範之密度，自較限制人民權益者寬鬆，倘涉及公共利益之重大事項者，應有法律或法律授權之命令為依據之必要，乃屬當然。</w:t>
            </w:r>
          </w:p>
        </w:tc>
      </w:tr>
    </w:tbl>
    <w:p w14:paraId="3E50D7C3" w14:textId="77777777" w:rsidR="00203F72" w:rsidRPr="00690E4D" w:rsidRDefault="00B03E84" w:rsidP="00D87D91">
      <w:r w:rsidRPr="00690E4D">
        <w:t>【</w:t>
      </w:r>
      <w:r w:rsidR="00203F72" w:rsidRPr="00690E4D">
        <w:t>本表</w:t>
      </w:r>
      <w:r w:rsidRPr="00690E4D">
        <w:t>資料來源】</w:t>
      </w:r>
      <w:r w:rsidR="00203F72" w:rsidRPr="00690E4D">
        <w:t>賀祥宏</w:t>
      </w:r>
      <w:r w:rsidR="00203F72" w:rsidRPr="00690E4D">
        <w:t>(2010)</w:t>
      </w:r>
      <w:r w:rsidR="00203F72" w:rsidRPr="00690E4D">
        <w:t>，中華民國憲法，第</w:t>
      </w:r>
      <w:r w:rsidR="00203F72" w:rsidRPr="00690E4D">
        <w:t>11</w:t>
      </w:r>
      <w:r w:rsidR="00203F72" w:rsidRPr="00690E4D">
        <w:t>版，台北市：高點，第</w:t>
      </w:r>
      <w:r w:rsidR="00203F72" w:rsidRPr="00690E4D">
        <w:t>1-115</w:t>
      </w:r>
      <w:r w:rsidR="00203F72" w:rsidRPr="00690E4D">
        <w:t>頁。</w:t>
      </w:r>
    </w:p>
    <w:p w14:paraId="3E721A33" w14:textId="77777777" w:rsidR="00953151" w:rsidRPr="00690E4D" w:rsidRDefault="00B03E84" w:rsidP="00D87D91">
      <w:r w:rsidRPr="00690E4D">
        <w:t xml:space="preserve">　　</w:t>
      </w:r>
      <w:r w:rsidR="00203F72" w:rsidRPr="00690E4D">
        <w:t>身體自由乃一切自由之基礎，喪失身體自由，則其他一切自由都成為空談。必須人民身體得到了適當之保障，始能享受到其他之自由。因此，司法機關限制人民自由，必須有法律規定，同時經過一定之法訂程序，方可為之。但人身自由之保障，並不是放任個人為所欲為，觸犯刑章者，仍要接受一定之懲罰。本法條即針對違反法律規定之人民，有必要限制或剝奪人民之自由，所作之詳細規定。</w:t>
      </w:r>
    </w:p>
    <w:p w14:paraId="3A63DF82" w14:textId="77777777" w:rsidR="001F6A1B" w:rsidRDefault="001F6A1B" w:rsidP="00D87D91"/>
    <w:p w14:paraId="248254EC" w14:textId="09DFC568" w:rsidR="00203F72" w:rsidRPr="00690E4D" w:rsidRDefault="00B03E84" w:rsidP="00D87D91">
      <w:r w:rsidRPr="00690E4D">
        <w:t>【</w:t>
      </w:r>
      <w:r w:rsidRPr="00690E4D">
        <w:t>table</w:t>
      </w:r>
      <w:r w:rsidR="005E23E3" w:rsidRPr="00690E4D">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w:t>
      </w:r>
      <w:r w:rsidR="00076467">
        <w:rPr>
          <w:noProof/>
        </w:rPr>
        <w:fldChar w:fldCharType="end"/>
      </w:r>
      <w:r w:rsidR="00203F72" w:rsidRPr="00690E4D">
        <w:t>憲法</w:t>
      </w:r>
      <w:hyperlink r:id="rId130" w:anchor="a8" w:history="1">
        <w:r w:rsidR="001F6A1B">
          <w:rPr>
            <w:rStyle w:val="a5"/>
            <w:rFonts w:ascii="Arial Unicode MS" w:hAnsi="Arial Unicode MS"/>
          </w:rPr>
          <w:t>第</w:t>
        </w:r>
        <w:r w:rsidR="001F6A1B" w:rsidRPr="00CC3396">
          <w:rPr>
            <w:rStyle w:val="a5"/>
            <w:rFonts w:ascii="Arial Unicode MS" w:hAnsi="Arial Unicode MS"/>
          </w:rPr>
          <w:t>8</w:t>
        </w:r>
        <w:r w:rsidR="001F6A1B">
          <w:rPr>
            <w:rStyle w:val="a5"/>
            <w:rFonts w:ascii="Arial Unicode MS" w:hAnsi="Arial Unicode MS"/>
          </w:rPr>
          <w:t>條</w:t>
        </w:r>
      </w:hyperlink>
      <w:r w:rsidR="00203F72" w:rsidRPr="00690E4D">
        <w:t>第</w:t>
      </w:r>
      <w:r w:rsidR="00203F72" w:rsidRPr="00690E4D">
        <w:t>1</w:t>
      </w:r>
      <w:r w:rsidR="00203F72" w:rsidRPr="00690E4D">
        <w:t>項「法定程序」之內涵分析表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1130"/>
        <w:gridCol w:w="6386"/>
      </w:tblGrid>
      <w:tr w:rsidR="00203F72" w:rsidRPr="00A53581" w14:paraId="6C69B614" w14:textId="77777777" w:rsidTr="00686D2C">
        <w:trPr>
          <w:tblHeader/>
        </w:trPr>
        <w:tc>
          <w:tcPr>
            <w:tcW w:w="349" w:type="pct"/>
            <w:shd w:val="clear" w:color="auto" w:fill="FAF0FA"/>
          </w:tcPr>
          <w:p w14:paraId="37009B48" w14:textId="77777777" w:rsidR="00203F72" w:rsidRPr="00A53581" w:rsidRDefault="00203F72" w:rsidP="00D87D91"/>
        </w:tc>
        <w:tc>
          <w:tcPr>
            <w:tcW w:w="699" w:type="pct"/>
            <w:shd w:val="clear" w:color="auto" w:fill="FAF0FA"/>
          </w:tcPr>
          <w:p w14:paraId="2D51DFD1" w14:textId="77777777" w:rsidR="00203F72" w:rsidRPr="00A53581" w:rsidRDefault="00203F72" w:rsidP="00D87D91">
            <w:r w:rsidRPr="00A53581">
              <w:t>司法院釋字號別</w:t>
            </w:r>
          </w:p>
        </w:tc>
        <w:tc>
          <w:tcPr>
            <w:tcW w:w="3952" w:type="pct"/>
            <w:shd w:val="clear" w:color="auto" w:fill="FAF0FA"/>
          </w:tcPr>
          <w:p w14:paraId="3904136B" w14:textId="77777777" w:rsidR="00203F72" w:rsidRPr="00A53581" w:rsidRDefault="00203F72" w:rsidP="00D87D91">
            <w:r w:rsidRPr="00A53581">
              <w:t>內涵</w:t>
            </w:r>
          </w:p>
        </w:tc>
      </w:tr>
      <w:tr w:rsidR="00203F72" w:rsidRPr="00A53581" w14:paraId="125D098C" w14:textId="77777777" w:rsidTr="00203F72">
        <w:tc>
          <w:tcPr>
            <w:tcW w:w="349" w:type="pct"/>
            <w:shd w:val="clear" w:color="auto" w:fill="auto"/>
          </w:tcPr>
          <w:p w14:paraId="2E7AFEAC" w14:textId="77777777" w:rsidR="00203F72" w:rsidRPr="00A53581" w:rsidRDefault="00203F72" w:rsidP="00D87D91">
            <w:r w:rsidRPr="00A53581">
              <w:t>刑事</w:t>
            </w:r>
          </w:p>
        </w:tc>
        <w:tc>
          <w:tcPr>
            <w:tcW w:w="699" w:type="pct"/>
            <w:shd w:val="clear" w:color="auto" w:fill="auto"/>
          </w:tcPr>
          <w:p w14:paraId="3F88EB6B" w14:textId="77777777" w:rsidR="00203F72" w:rsidRPr="00A53581" w:rsidRDefault="00203F72" w:rsidP="00D87D91">
            <w:r w:rsidRPr="00A53581">
              <w:t>384</w:t>
            </w:r>
          </w:p>
        </w:tc>
        <w:tc>
          <w:tcPr>
            <w:tcW w:w="3952" w:type="pct"/>
            <w:shd w:val="clear" w:color="auto" w:fill="auto"/>
          </w:tcPr>
          <w:p w14:paraId="02BC4709" w14:textId="77777777" w:rsidR="00203F72" w:rsidRPr="00A53581" w:rsidRDefault="00203F72" w:rsidP="00D87D91">
            <w:r w:rsidRPr="00A53581">
              <w:t>等同美國法之實質正當法律程序：</w:t>
            </w:r>
          </w:p>
          <w:p w14:paraId="0BFDCB9C" w14:textId="77777777" w:rsidR="00203F72" w:rsidRPr="00690E4D" w:rsidRDefault="00690E4D" w:rsidP="00D87D91">
            <w:r>
              <w:rPr>
                <w:rFonts w:ascii="Segoe UI Emoji" w:hAnsi="Segoe UI Emoji" w:cs="Segoe UI Emoji" w:hint="eastAsia"/>
                <w:color w:val="000000"/>
                <w:kern w:val="0"/>
                <w:sz w:val="21"/>
                <w:szCs w:val="21"/>
                <w:lang w:val="zh-TW"/>
              </w:rPr>
              <w:t xml:space="preserve">　　</w:t>
            </w:r>
            <w:r w:rsidRPr="00690E4D">
              <w:rPr>
                <w:rFonts w:ascii="Segoe UI Emoji" w:hAnsi="Segoe UI Emoji" w:cs="Segoe UI Emoji"/>
                <w:color w:val="000000"/>
                <w:kern w:val="0"/>
                <w:sz w:val="21"/>
                <w:szCs w:val="21"/>
                <w:lang w:val="zh-TW"/>
              </w:rPr>
              <w:t>1</w:t>
            </w:r>
            <w:r w:rsidRPr="00690E4D">
              <w:rPr>
                <w:rFonts w:ascii="Segoe UI Emoji" w:hAnsi="Segoe UI Emoji" w:cs="Segoe UI Emoji"/>
                <w:color w:val="000000"/>
                <w:kern w:val="0"/>
                <w:sz w:val="21"/>
                <w:szCs w:val="21"/>
                <w:lang w:val="zh-TW"/>
              </w:rPr>
              <w:t>、</w:t>
            </w:r>
            <w:r w:rsidR="00203F72" w:rsidRPr="00690E4D">
              <w:t>實體法：遵守罪刑法定主義。</w:t>
            </w:r>
          </w:p>
          <w:p w14:paraId="2278E104" w14:textId="77777777" w:rsidR="00203F72" w:rsidRPr="00690E4D" w:rsidRDefault="00690E4D" w:rsidP="00D87D91">
            <w:r>
              <w:rPr>
                <w:rFonts w:ascii="Segoe UI Emoji" w:hAnsi="Segoe UI Emoji" w:cs="Segoe UI Emoji" w:hint="eastAsia"/>
                <w:color w:val="000000"/>
                <w:kern w:val="0"/>
                <w:sz w:val="21"/>
                <w:szCs w:val="21"/>
                <w:lang w:val="zh-TW"/>
              </w:rPr>
              <w:t xml:space="preserve">　　</w:t>
            </w:r>
            <w:r w:rsidRPr="00690E4D">
              <w:rPr>
                <w:rFonts w:ascii="Segoe UI Emoji" w:hAnsi="Segoe UI Emoji" w:cs="Segoe UI Emoji" w:hint="eastAsia"/>
                <w:color w:val="000000"/>
                <w:kern w:val="0"/>
                <w:sz w:val="21"/>
                <w:szCs w:val="21"/>
                <w:lang w:val="zh-TW"/>
              </w:rPr>
              <w:t>2</w:t>
            </w:r>
            <w:r w:rsidRPr="00690E4D">
              <w:rPr>
                <w:rFonts w:ascii="Segoe UI Emoji" w:hAnsi="Segoe UI Emoji" w:cs="Segoe UI Emoji"/>
                <w:color w:val="000000"/>
                <w:kern w:val="0"/>
                <w:sz w:val="21"/>
                <w:szCs w:val="21"/>
                <w:lang w:val="zh-TW"/>
              </w:rPr>
              <w:t>、</w:t>
            </w:r>
            <w:r w:rsidR="00203F72" w:rsidRPr="00690E4D">
              <w:t>程序法：如犯罪嫌疑人除現行犯外，其逮捕應踐行必要之司法程序、被告自白須出於自由意志、犯罪事實應依證據認定、同一行為不得重覆處罰、當事人有與證人對質或詰問證人之權利、審判與檢察之分離、審判過程以公開為原則及對裁判不服提供審級救濟等為其要者。</w:t>
            </w:r>
          </w:p>
        </w:tc>
      </w:tr>
      <w:tr w:rsidR="00203F72" w:rsidRPr="00A53581" w14:paraId="1ABF9B1E" w14:textId="77777777" w:rsidTr="00203F72">
        <w:tc>
          <w:tcPr>
            <w:tcW w:w="349" w:type="pct"/>
            <w:shd w:val="clear" w:color="auto" w:fill="auto"/>
          </w:tcPr>
          <w:p w14:paraId="164405CF" w14:textId="77777777" w:rsidR="00203F72" w:rsidRPr="00A53581" w:rsidRDefault="00203F72" w:rsidP="00D87D91">
            <w:r w:rsidRPr="00A53581">
              <w:t>非刑事</w:t>
            </w:r>
          </w:p>
        </w:tc>
        <w:tc>
          <w:tcPr>
            <w:tcW w:w="699" w:type="pct"/>
            <w:shd w:val="clear" w:color="auto" w:fill="auto"/>
          </w:tcPr>
          <w:p w14:paraId="4A9F8C09" w14:textId="77777777" w:rsidR="00203F72" w:rsidRPr="00A53581" w:rsidRDefault="00203F72" w:rsidP="00D87D91">
            <w:r w:rsidRPr="00A53581">
              <w:t>384</w:t>
            </w:r>
          </w:p>
          <w:p w14:paraId="65CC0F72" w14:textId="77777777" w:rsidR="00203F72" w:rsidRPr="00A53581" w:rsidRDefault="00203F72" w:rsidP="00D87D91">
            <w:r w:rsidRPr="00A53581">
              <w:t>588</w:t>
            </w:r>
          </w:p>
        </w:tc>
        <w:tc>
          <w:tcPr>
            <w:tcW w:w="3952" w:type="pct"/>
            <w:shd w:val="clear" w:color="auto" w:fill="auto"/>
          </w:tcPr>
          <w:p w14:paraId="60796639" w14:textId="77777777" w:rsidR="00203F72" w:rsidRPr="00690E4D" w:rsidRDefault="00690E4D" w:rsidP="00D87D91">
            <w:r>
              <w:rPr>
                <w:rFonts w:ascii="Segoe UI Emoji" w:hAnsi="Segoe UI Emoji" w:cs="Segoe UI Emoji" w:hint="eastAsia"/>
                <w:color w:val="000000"/>
                <w:kern w:val="0"/>
                <w:sz w:val="21"/>
                <w:szCs w:val="21"/>
                <w:lang w:val="zh-TW"/>
              </w:rPr>
              <w:t xml:space="preserve">　　</w:t>
            </w:r>
            <w:r w:rsidRPr="00690E4D">
              <w:rPr>
                <w:rFonts w:ascii="Segoe UI Emoji" w:hAnsi="Segoe UI Emoji" w:cs="Segoe UI Emoji"/>
                <w:color w:val="000000"/>
                <w:kern w:val="0"/>
                <w:sz w:val="21"/>
                <w:szCs w:val="21"/>
                <w:lang w:val="zh-TW"/>
              </w:rPr>
              <w:t>1</w:t>
            </w:r>
            <w:r w:rsidRPr="00690E4D">
              <w:rPr>
                <w:rFonts w:ascii="Segoe UI Emoji" w:hAnsi="Segoe UI Emoji" w:cs="Segoe UI Emoji"/>
                <w:color w:val="000000"/>
                <w:kern w:val="0"/>
                <w:sz w:val="21"/>
                <w:szCs w:val="21"/>
                <w:lang w:val="zh-TW"/>
              </w:rPr>
              <w:t>、</w:t>
            </w:r>
            <w:r w:rsidR="00203F72" w:rsidRPr="00690E4D">
              <w:t>與刑事程序得有所差異：</w:t>
            </w:r>
            <w:r w:rsidR="00203F72" w:rsidRPr="001F6A1B">
              <w:t>憲</w:t>
            </w:r>
            <w:r w:rsidR="001F6A1B" w:rsidRPr="001F6A1B">
              <w:t>法</w:t>
            </w:r>
            <w:hyperlink r:id="rId131" w:anchor="a8" w:history="1">
              <w:r w:rsidR="001F6A1B" w:rsidRPr="001F6A1B">
                <w:rPr>
                  <w:rStyle w:val="a5"/>
                </w:rPr>
                <w:t>第8條</w:t>
              </w:r>
            </w:hyperlink>
            <w:r w:rsidR="00203F72" w:rsidRPr="001F6A1B">
              <w:t>第</w:t>
            </w:r>
            <w:r w:rsidR="00203F72" w:rsidRPr="00690E4D">
              <w:t>1</w:t>
            </w:r>
            <w:r w:rsidR="00203F72" w:rsidRPr="00690E4D">
              <w:t>項規定所稱「法定程序」，係指凡限制人民身體自由之處置，不問其是否屬於刑事被告之身分，除須有法律之依據外，尚須分別踐行必要之司法程序或其他正當法律程序，始得為之。此項程序固屬憲法保留之範疇，縱係立法機關亦不得制定法律而遽予剝奪；惟刑事被告與非刑事被告之人身自由限制，畢竟有其本質上之差異，是其必須踐行之司法程序或其他正當法律程序，自非均須同一不可。</w:t>
            </w:r>
          </w:p>
          <w:p w14:paraId="2C53826F" w14:textId="77777777" w:rsidR="00203F72" w:rsidRPr="00690E4D" w:rsidRDefault="00690E4D" w:rsidP="00D87D91">
            <w:r>
              <w:rPr>
                <w:rFonts w:ascii="Segoe UI Emoji" w:hAnsi="Segoe UI Emoji" w:cs="Segoe UI Emoji" w:hint="eastAsia"/>
                <w:color w:val="000000"/>
                <w:kern w:val="0"/>
                <w:sz w:val="21"/>
                <w:szCs w:val="21"/>
                <w:lang w:val="zh-TW"/>
              </w:rPr>
              <w:t xml:space="preserve">　　</w:t>
            </w:r>
            <w:r w:rsidRPr="00690E4D">
              <w:rPr>
                <w:rFonts w:ascii="Segoe UI Emoji" w:hAnsi="Segoe UI Emoji" w:cs="Segoe UI Emoji" w:hint="eastAsia"/>
                <w:color w:val="000000"/>
                <w:kern w:val="0"/>
                <w:sz w:val="21"/>
                <w:szCs w:val="21"/>
                <w:lang w:val="zh-TW"/>
              </w:rPr>
              <w:t>2</w:t>
            </w:r>
            <w:r w:rsidRPr="00690E4D">
              <w:rPr>
                <w:rFonts w:ascii="Segoe UI Emoji" w:hAnsi="Segoe UI Emoji" w:cs="Segoe UI Emoji"/>
                <w:color w:val="000000"/>
                <w:kern w:val="0"/>
                <w:sz w:val="21"/>
                <w:szCs w:val="21"/>
                <w:lang w:val="zh-TW"/>
              </w:rPr>
              <w:t>、</w:t>
            </w:r>
            <w:r w:rsidR="00203F72" w:rsidRPr="00690E4D">
              <w:t>核心為法官保留：管收係於一定期間內拘束人民身體自由一定之處所，亦屬憲法</w:t>
            </w:r>
            <w:hyperlink r:id="rId132" w:anchor="a8" w:history="1">
              <w:r w:rsidR="001F6A1B" w:rsidRPr="001F6A1B">
                <w:rPr>
                  <w:rStyle w:val="a5"/>
                </w:rPr>
                <w:t>第8條</w:t>
              </w:r>
            </w:hyperlink>
            <w:r w:rsidR="00203F72" w:rsidRPr="00690E4D">
              <w:t>第</w:t>
            </w:r>
            <w:r w:rsidR="00203F72" w:rsidRPr="00690E4D">
              <w:t>1</w:t>
            </w:r>
            <w:r w:rsidR="00203F72" w:rsidRPr="00690E4D">
              <w:t>項所規定之「拘禁」，其於決定管收之前，自應踐行必要之程序、即由中立、公正第三者之法院審問，並使法定義務人到瑒為程序之參與，除藉之以明管收之是否合乎法定要件暨有無管收之必要外，並使法定義務人得有防禦之機會，提出有利之相關抗辯以供法院調查，期以實現憲法對人身自由之保障。</w:t>
            </w:r>
          </w:p>
        </w:tc>
      </w:tr>
    </w:tbl>
    <w:p w14:paraId="43AE899E" w14:textId="77777777" w:rsidR="00953151" w:rsidRPr="00686D2C" w:rsidRDefault="00B03E84" w:rsidP="00D87D91">
      <w:r w:rsidRPr="00686D2C">
        <w:t>【</w:t>
      </w:r>
      <w:r w:rsidR="00203F72" w:rsidRPr="00686D2C">
        <w:t>本表</w:t>
      </w:r>
      <w:r w:rsidRPr="00686D2C">
        <w:t>資料來源】</w:t>
      </w:r>
      <w:r w:rsidR="00203F72" w:rsidRPr="00686D2C">
        <w:t>宣政大</w:t>
      </w:r>
      <w:r w:rsidR="00203F72" w:rsidRPr="00686D2C">
        <w:t>(2011)</w:t>
      </w:r>
      <w:r w:rsidR="00203F72" w:rsidRPr="00686D2C">
        <w:t>，憲法精要，第</w:t>
      </w:r>
      <w:r w:rsidR="00203F72" w:rsidRPr="00686D2C">
        <w:t>2</w:t>
      </w:r>
      <w:r w:rsidR="00203F72" w:rsidRPr="00686D2C">
        <w:t>版，台北市：來勝文化公司，第</w:t>
      </w:r>
      <w:r w:rsidR="00203F72" w:rsidRPr="00686D2C">
        <w:t>1-30</w:t>
      </w:r>
      <w:r w:rsidR="00203F72" w:rsidRPr="00686D2C">
        <w:t>頁，第</w:t>
      </w:r>
      <w:r w:rsidR="00203F72" w:rsidRPr="00686D2C">
        <w:t>1-31</w:t>
      </w:r>
      <w:r w:rsidR="00203F72" w:rsidRPr="00686D2C">
        <w:t>頁。</w:t>
      </w:r>
    </w:p>
    <w:p w14:paraId="19E24353" w14:textId="77777777" w:rsidR="00953151" w:rsidRDefault="00B03E84" w:rsidP="00D87D91">
      <w:r w:rsidRPr="00686D2C">
        <w:t xml:space="preserve">　　</w:t>
      </w:r>
      <w:r w:rsidR="00203F72" w:rsidRPr="00686D2C">
        <w:t>對人身自由之保障，依據我國憲</w:t>
      </w:r>
      <w:r w:rsidR="00F84373" w:rsidRPr="00A53581">
        <w:rPr>
          <w:rFonts w:ascii="新細明體" w:hAnsi="新細明體" w:hint="eastAsia"/>
          <w:kern w:val="0"/>
        </w:rPr>
        <w:t>法</w:t>
      </w:r>
      <w:hyperlink r:id="rId133" w:anchor="a8" w:history="1">
        <w:r w:rsidR="00F84373" w:rsidRPr="00F84373">
          <w:rPr>
            <w:rStyle w:val="a5"/>
            <w:rFonts w:eastAsia="新細明體" w:hint="eastAsia"/>
            <w:kern w:val="0"/>
          </w:rPr>
          <w:t>第八條</w:t>
        </w:r>
      </w:hyperlink>
      <w:r w:rsidR="00203F72" w:rsidRPr="00686D2C">
        <w:t>之規定，其開宗明義指出，人民身體之自由應予保障，至於如何保障？本法條之要旨包括：</w:t>
      </w:r>
      <w:r w:rsidR="00203F72" w:rsidRPr="00686D2C">
        <w:t>1.</w:t>
      </w:r>
      <w:r w:rsidR="00203F72" w:rsidRPr="00686D2C">
        <w:t>罪刑法定主義：人民沒有觸犯法律明文規定者不為犯罪，沒有法律明文規定亦不受處罰。</w:t>
      </w:r>
      <w:r w:rsidR="00203F72" w:rsidRPr="00686D2C">
        <w:t>2.</w:t>
      </w:r>
      <w:r w:rsidR="00203F72" w:rsidRPr="00686D2C">
        <w:t>司法一元主義：人民犯罪只能由司法機關處理，不能由其他機關處理。本條規定：非經司法或警察機關依法定程序，不得逮捕拘禁，非由法院依法定程序，不得審問、處罰，係司法一元制之精神</w:t>
      </w:r>
      <w:r w:rsidR="00203F72" w:rsidRPr="00686D2C">
        <w:footnoteReference w:id="33"/>
      </w:r>
      <w:r w:rsidR="00203F72" w:rsidRPr="00686D2C">
        <w:t>。憲法</w:t>
      </w:r>
      <w:hyperlink r:id="rId134" w:anchor="a9" w:history="1">
        <w:r w:rsidR="00203F72" w:rsidRPr="00410BD1">
          <w:rPr>
            <w:rStyle w:val="a5"/>
            <w:rFonts w:ascii="Times New Roman" w:hAnsi="Times New Roman"/>
          </w:rPr>
          <w:t>第</w:t>
        </w:r>
        <w:r w:rsidR="00203F72" w:rsidRPr="00410BD1">
          <w:rPr>
            <w:rStyle w:val="a5"/>
            <w:rFonts w:ascii="Times New Roman" w:hAnsi="Times New Roman"/>
          </w:rPr>
          <w:t>9</w:t>
        </w:r>
        <w:r w:rsidR="00203F72" w:rsidRPr="00410BD1">
          <w:rPr>
            <w:rStyle w:val="a5"/>
            <w:rFonts w:ascii="Times New Roman" w:hAnsi="Times New Roman"/>
          </w:rPr>
          <w:t>條</w:t>
        </w:r>
      </w:hyperlink>
      <w:r w:rsidR="00203F72" w:rsidRPr="00686D2C">
        <w:t>規定人</w:t>
      </w:r>
      <w:r w:rsidR="00203F72" w:rsidRPr="00A53581">
        <w:t>民除現役軍人外，不受軍事審判，這也是司法一元制之意義。</w:t>
      </w:r>
      <w:r w:rsidR="00203F72" w:rsidRPr="00A53581">
        <w:t>3.</w:t>
      </w:r>
      <w:r w:rsidR="00203F72" w:rsidRPr="00A53581">
        <w:t>提審制度：人民因犯罪嫌疑被逮捕拘禁時，應交由法院審問。本人或他人亦得聲請法院，向逮捕之機關提審。我國憲法規</w:t>
      </w:r>
      <w:r w:rsidR="00203F72" w:rsidRPr="006B7176">
        <w:t>定有：</w:t>
      </w:r>
      <w:r w:rsidR="00203F72" w:rsidRPr="006B7176">
        <w:t>(1)</w:t>
      </w:r>
      <w:r w:rsidR="00203F72" w:rsidRPr="006B7176">
        <w:t>、限期移審之機制，即人民因犯罪嫌疑被逮捕拘禁時，其逮捕拘禁機關應將逮捕拘禁原因，以書面告知本人及其本人指定之親友，並至遲於二十四小時內移送該管法院審問。</w:t>
      </w:r>
      <w:r w:rsidR="00203F72" w:rsidRPr="006B7176">
        <w:t>(2)</w:t>
      </w:r>
      <w:r w:rsidR="00203F72" w:rsidRPr="006B7176">
        <w:t>、聲請提審：本人或他人亦得聲請該管法院，於二十四小時內向逮捕之機關提審。</w:t>
      </w:r>
      <w:r w:rsidR="00203F72" w:rsidRPr="006B7176">
        <w:t>(3)</w:t>
      </w:r>
      <w:r w:rsidR="00203F72" w:rsidRPr="006B7176">
        <w:t>、強制提審：</w:t>
      </w:r>
      <w:r w:rsidR="00203F72" w:rsidRPr="006B7176">
        <w:t xml:space="preserve"> </w:t>
      </w:r>
      <w:r w:rsidR="00203F72" w:rsidRPr="006B7176">
        <w:t>法院對於前項聲請，不得拒絕，並不得先令逮捕拘禁之機關查覆。逮捕拘禁之機關，對於法院之提審，不得拒絕或遲延</w:t>
      </w:r>
      <w:r w:rsidR="00203F72" w:rsidRPr="006B7176">
        <w:footnoteReference w:id="34"/>
      </w:r>
      <w:r w:rsidR="00203F72" w:rsidRPr="006B7176">
        <w:t>。</w:t>
      </w:r>
      <w:r w:rsidR="00203F72" w:rsidRPr="006B7176">
        <w:t>4.</w:t>
      </w:r>
      <w:r w:rsidR="00203F72" w:rsidRPr="006B7176">
        <w:t>冤獄賠償制度：人民身體遭受任何機關非法逮捕拘禁時，其本人或他人得向法院聲請追究。</w:t>
      </w:r>
    </w:p>
    <w:p w14:paraId="183D8139" w14:textId="77777777" w:rsidR="005670A4" w:rsidRDefault="005670A4" w:rsidP="00D87D91"/>
    <w:p w14:paraId="0A9338C8" w14:textId="1DC9E660" w:rsidR="00203F72" w:rsidRPr="00686D2C" w:rsidRDefault="00B03E84" w:rsidP="00D87D91">
      <w:r w:rsidRPr="00686D2C">
        <w:t>【</w:t>
      </w:r>
      <w:r w:rsidRPr="00686D2C">
        <w:t>table</w:t>
      </w:r>
      <w:r w:rsidR="005E23E3" w:rsidRPr="00686D2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w:t>
      </w:r>
      <w:r w:rsidR="00076467">
        <w:rPr>
          <w:noProof/>
        </w:rPr>
        <w:fldChar w:fldCharType="end"/>
      </w:r>
      <w:r w:rsidR="00203F72" w:rsidRPr="00686D2C">
        <w:t>中華民國憲法</w:t>
      </w:r>
      <w:hyperlink r:id="rId135" w:anchor="a8" w:history="1">
        <w:r w:rsidR="001F6A1B" w:rsidRPr="001F6A1B">
          <w:rPr>
            <w:rStyle w:val="a5"/>
          </w:rPr>
          <w:t>第8條</w:t>
        </w:r>
      </w:hyperlink>
      <w:r w:rsidR="00203F72" w:rsidRPr="00686D2C">
        <w:t>之內容與結構</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51"/>
        <w:gridCol w:w="2267"/>
        <w:gridCol w:w="4220"/>
      </w:tblGrid>
      <w:tr w:rsidR="00203F72" w:rsidRPr="00A53581" w14:paraId="4E3DDF8F" w14:textId="77777777" w:rsidTr="00686D2C">
        <w:trPr>
          <w:tblHeader/>
        </w:trPr>
        <w:tc>
          <w:tcPr>
            <w:tcW w:w="359" w:type="pct"/>
            <w:shd w:val="clear" w:color="auto" w:fill="FAF0FA"/>
          </w:tcPr>
          <w:p w14:paraId="4CF618A9" w14:textId="77777777" w:rsidR="00203F72" w:rsidRPr="00A53581" w:rsidRDefault="00203F72" w:rsidP="00D87D91">
            <w:r w:rsidRPr="00A53581">
              <w:t>項次</w:t>
            </w:r>
          </w:p>
        </w:tc>
        <w:tc>
          <w:tcPr>
            <w:tcW w:w="538" w:type="pct"/>
            <w:shd w:val="clear" w:color="auto" w:fill="FAF0FA"/>
          </w:tcPr>
          <w:p w14:paraId="181CFA97" w14:textId="77777777" w:rsidR="00203F72" w:rsidRPr="00A53581" w:rsidRDefault="00203F72" w:rsidP="00D87D91">
            <w:r w:rsidRPr="00A53581">
              <w:t>主要規範標的</w:t>
            </w:r>
          </w:p>
        </w:tc>
        <w:tc>
          <w:tcPr>
            <w:tcW w:w="1434" w:type="pct"/>
            <w:shd w:val="clear" w:color="auto" w:fill="FAF0FA"/>
          </w:tcPr>
          <w:p w14:paraId="2AC63B9D" w14:textId="77777777" w:rsidR="00203F72" w:rsidRPr="00A53581" w:rsidRDefault="00203F72" w:rsidP="00D87D91">
            <w:r w:rsidRPr="00A53581">
              <w:t>條文內容</w:t>
            </w:r>
          </w:p>
        </w:tc>
        <w:tc>
          <w:tcPr>
            <w:tcW w:w="2669" w:type="pct"/>
            <w:shd w:val="clear" w:color="auto" w:fill="FAF0FA"/>
          </w:tcPr>
          <w:p w14:paraId="11E9B7D3" w14:textId="77777777" w:rsidR="00203F72" w:rsidRPr="00A53581" w:rsidRDefault="00203F72" w:rsidP="00D87D91">
            <w:r w:rsidRPr="00A53581">
              <w:t>條文說明</w:t>
            </w:r>
          </w:p>
        </w:tc>
      </w:tr>
      <w:tr w:rsidR="00203F72" w:rsidRPr="00A53581" w14:paraId="12196A1D" w14:textId="77777777" w:rsidTr="00B03E84">
        <w:tc>
          <w:tcPr>
            <w:tcW w:w="359" w:type="pct"/>
            <w:shd w:val="clear" w:color="auto" w:fill="auto"/>
          </w:tcPr>
          <w:p w14:paraId="36B65CD9" w14:textId="77777777" w:rsidR="00203F72" w:rsidRPr="00A53581" w:rsidRDefault="00203F72" w:rsidP="00D87D91">
            <w:r w:rsidRPr="00A53581">
              <w:t>第一項</w:t>
            </w:r>
          </w:p>
        </w:tc>
        <w:tc>
          <w:tcPr>
            <w:tcW w:w="538" w:type="pct"/>
            <w:shd w:val="clear" w:color="auto" w:fill="auto"/>
          </w:tcPr>
          <w:p w14:paraId="0D14B9E4" w14:textId="77777777" w:rsidR="00203F72" w:rsidRPr="00A53581" w:rsidRDefault="00203F72" w:rsidP="00D87D91">
            <w:r w:rsidRPr="00A53581">
              <w:t>一般原則宣示正當法定程序</w:t>
            </w:r>
          </w:p>
        </w:tc>
        <w:tc>
          <w:tcPr>
            <w:tcW w:w="1434" w:type="pct"/>
            <w:shd w:val="clear" w:color="auto" w:fill="auto"/>
          </w:tcPr>
          <w:p w14:paraId="6F2C171F" w14:textId="77777777" w:rsidR="00203F72" w:rsidRPr="00A53581" w:rsidRDefault="00203F72" w:rsidP="00D87D91">
            <w:r w:rsidRPr="00A53581">
              <w:t>人民身體之自由應予保障。除現行犯之逮捕由法律另定外，非經司法或警察機關依法定程序，不得逮捕拘禁。非由法院依法定程序，不得審問處罰。非依法定程序之逮捕、拘禁、審問、處罰，得拒絶之。</w:t>
            </w:r>
          </w:p>
        </w:tc>
        <w:tc>
          <w:tcPr>
            <w:tcW w:w="2669" w:type="pct"/>
            <w:shd w:val="clear" w:color="auto" w:fill="auto"/>
          </w:tcPr>
          <w:p w14:paraId="0980026A" w14:textId="77777777" w:rsidR="001F6A1B" w:rsidRDefault="001F6A1B" w:rsidP="00D87D91">
            <w:pPr>
              <w:rPr>
                <w:kern w:val="0"/>
              </w:rPr>
            </w:pPr>
            <w:r>
              <w:t xml:space="preserve">　　</w:t>
            </w:r>
            <w:r w:rsidR="00203F72" w:rsidRPr="00A53581">
              <w:t>1.</w:t>
            </w:r>
            <w:r w:rsidR="00203F72" w:rsidRPr="00A53581">
              <w:t>首先揭示「人民身體自由，應予保障」之原則，因人身自由為一切自由之基礎，無身體自由，則其他一切自由權將會落空</w:t>
            </w:r>
            <w:r w:rsidR="00203F72" w:rsidRPr="00A53581">
              <w:rPr>
                <w:kern w:val="0"/>
              </w:rPr>
              <w:t>。</w:t>
            </w:r>
          </w:p>
          <w:p w14:paraId="0EE9639E" w14:textId="77777777" w:rsidR="001F6A1B" w:rsidRDefault="001F6A1B" w:rsidP="00D87D91">
            <w:r>
              <w:t xml:space="preserve">　　</w:t>
            </w:r>
            <w:r w:rsidR="00203F72" w:rsidRPr="00A53581">
              <w:t>2.</w:t>
            </w:r>
            <w:r w:rsidR="00203F72" w:rsidRPr="00A53581">
              <w:t>「現行犯之逮捕由法律另定」，即《刑事訴訟法》</w:t>
            </w:r>
            <w:hyperlink r:id="rId136" w:anchor="a88" w:history="1">
              <w:r w:rsidR="00203F72" w:rsidRPr="001F6A1B">
                <w:rPr>
                  <w:rStyle w:val="a5"/>
                  <w:rFonts w:eastAsia="新細明體"/>
                  <w:kern w:val="0"/>
                </w:rPr>
                <w:t>第88條</w:t>
              </w:r>
            </w:hyperlink>
            <w:r w:rsidR="00203F72" w:rsidRPr="00A53581">
              <w:t>第</w:t>
            </w:r>
            <w:r w:rsidR="00203F72" w:rsidRPr="00A53581">
              <w:t>1</w:t>
            </w:r>
            <w:r w:rsidR="00203F72" w:rsidRPr="00A53581">
              <w:t>項所規定：「現行犯，不問何人得逕行逮捕之。」所謂「現行犯」，依《刑事訴訟法</w:t>
            </w:r>
            <w:r w:rsidRPr="00A53581">
              <w:t>》</w:t>
            </w:r>
            <w:hyperlink r:id="rId137" w:anchor="a88" w:history="1">
              <w:r w:rsidRPr="001F6A1B">
                <w:rPr>
                  <w:rStyle w:val="a5"/>
                  <w:rFonts w:eastAsia="新細明體"/>
                  <w:kern w:val="0"/>
                </w:rPr>
                <w:t>第88條</w:t>
              </w:r>
            </w:hyperlink>
            <w:r w:rsidR="00203F72" w:rsidRPr="00A53581">
              <w:t>第</w:t>
            </w:r>
            <w:r w:rsidR="00203F72" w:rsidRPr="00A53581">
              <w:t>2</w:t>
            </w:r>
            <w:r w:rsidR="00203F72" w:rsidRPr="00A53581">
              <w:t>項及第</w:t>
            </w:r>
            <w:r w:rsidR="00203F72" w:rsidRPr="00A53581">
              <w:t>3</w:t>
            </w:r>
            <w:r w:rsidR="00203F72" w:rsidRPr="00A53581">
              <w:t>項，指犯罪在實施中或實施後即時發覺者，或有下列情形之一者，以現行犯論：一為被追呼為犯罪人者，二為因持有兇器、贓物或其他物件、或於身體、衣服等處露有犯罪痕跡，顯可疑為犯罪人者。</w:t>
            </w:r>
          </w:p>
          <w:p w14:paraId="2A9F6656" w14:textId="77777777" w:rsidR="001F6A1B" w:rsidRDefault="001F6A1B" w:rsidP="00D87D91">
            <w:r>
              <w:t xml:space="preserve">　　</w:t>
            </w:r>
            <w:r w:rsidR="00203F72" w:rsidRPr="00A53581">
              <w:t>3.</w:t>
            </w:r>
            <w:r w:rsidR="00203F72" w:rsidRPr="00A53581">
              <w:t>「非經司法或警察機關依法定程序，不得逮捕拘禁」。對於人民倘有犯罪嫌疑或犯罪行為，限由司法或警察機關為之，並限定必「依法定程序」。「依法定程序」就實體法而言，須遵守《</w:t>
            </w:r>
            <w:hyperlink r:id="rId138" w:history="1">
              <w:r w:rsidR="00203F72" w:rsidRPr="006B7176">
                <w:rPr>
                  <w:rStyle w:val="a5"/>
                  <w:rFonts w:eastAsia="新細明體"/>
                  <w:kern w:val="0"/>
                </w:rPr>
                <w:t>刑法</w:t>
              </w:r>
            </w:hyperlink>
            <w:r w:rsidR="00203F72" w:rsidRPr="00A53581">
              <w:t>》規定，例如行為之處罰，以行為時法律有明文規定者為限</w:t>
            </w:r>
            <w:r w:rsidR="00203F72" w:rsidRPr="00A53581">
              <w:t>(</w:t>
            </w:r>
            <w:hyperlink r:id="rId139" w:anchor="a1" w:history="1">
              <w:r w:rsidR="00203F72" w:rsidRPr="001F6A1B">
                <w:rPr>
                  <w:rStyle w:val="a5"/>
                  <w:rFonts w:eastAsia="新細明體"/>
                  <w:kern w:val="0"/>
                </w:rPr>
                <w:t>第1條</w:t>
              </w:r>
            </w:hyperlink>
            <w:r w:rsidR="00203F72" w:rsidRPr="00A53581">
              <w:t>)</w:t>
            </w:r>
            <w:r w:rsidR="00203F72" w:rsidRPr="00A53581">
              <w:t>。就程序法而言，須遵守刑事訴訟法所規定之程序，例如：傳喚被告，應用傳票</w:t>
            </w:r>
            <w:r w:rsidR="00203F72" w:rsidRPr="00A53581">
              <w:t>(</w:t>
            </w:r>
            <w:hyperlink r:id="rId140" w:anchor="a71" w:history="1">
              <w:r w:rsidR="00203F72" w:rsidRPr="001F6A1B">
                <w:rPr>
                  <w:rStyle w:val="a5"/>
                  <w:rFonts w:eastAsia="新細明體"/>
                  <w:kern w:val="0"/>
                </w:rPr>
                <w:t>第71條</w:t>
              </w:r>
            </w:hyperlink>
            <w:r w:rsidR="00203F72" w:rsidRPr="00A53581">
              <w:t>1</w:t>
            </w:r>
            <w:r w:rsidR="00203F72" w:rsidRPr="00A53581">
              <w:t>項</w:t>
            </w:r>
            <w:r w:rsidR="00203F72" w:rsidRPr="00A53581">
              <w:t>)</w:t>
            </w:r>
            <w:r w:rsidR="00203F72" w:rsidRPr="00A53581">
              <w:t>；拘提被告，應用拘票</w:t>
            </w:r>
            <w:r w:rsidR="00203F72" w:rsidRPr="00A53581">
              <w:t>(</w:t>
            </w:r>
            <w:hyperlink r:id="rId141" w:anchor="a77" w:history="1">
              <w:r w:rsidR="00203F72" w:rsidRPr="00E108EB">
                <w:rPr>
                  <w:rStyle w:val="a5"/>
                  <w:rFonts w:ascii="Times New Roman" w:eastAsia="新細明體" w:hAnsi="Times New Roman"/>
                </w:rPr>
                <w:t>第</w:t>
              </w:r>
              <w:r w:rsidR="00203F72" w:rsidRPr="00E108EB">
                <w:rPr>
                  <w:rStyle w:val="a5"/>
                  <w:rFonts w:ascii="Times New Roman" w:eastAsia="新細明體" w:hAnsi="Times New Roman"/>
                </w:rPr>
                <w:t>77</w:t>
              </w:r>
              <w:r w:rsidR="00203F72" w:rsidRPr="00E108EB">
                <w:rPr>
                  <w:rStyle w:val="a5"/>
                  <w:rFonts w:ascii="Times New Roman" w:eastAsia="新細明體" w:hAnsi="Times New Roman"/>
                </w:rPr>
                <w:t>條</w:t>
              </w:r>
            </w:hyperlink>
            <w:r w:rsidR="00203F72" w:rsidRPr="00A53581">
              <w:t>第</w:t>
            </w:r>
            <w:r w:rsidR="00203F72" w:rsidRPr="00A53581">
              <w:t>1</w:t>
            </w:r>
            <w:r w:rsidR="00203F72" w:rsidRPr="00A53581">
              <w:t>項</w:t>
            </w:r>
            <w:r w:rsidR="00203F72" w:rsidRPr="00A53581">
              <w:t>)</w:t>
            </w:r>
            <w:r w:rsidR="00203F72" w:rsidRPr="00A53581">
              <w:t>；通緝被告，應用通緝</w:t>
            </w:r>
            <w:r w:rsidR="00203F72" w:rsidRPr="006B7176">
              <w:t>書</w:t>
            </w:r>
            <w:r w:rsidR="00203F72" w:rsidRPr="006B7176">
              <w:t>(</w:t>
            </w:r>
            <w:hyperlink r:id="rId142" w:anchor="a85" w:history="1">
              <w:r w:rsidR="00306E89" w:rsidRPr="006B7176">
                <w:rPr>
                  <w:rStyle w:val="a5"/>
                  <w:rFonts w:ascii="Times New Roman" w:hAnsi="Times New Roman"/>
                </w:rPr>
                <w:t>第</w:t>
              </w:r>
              <w:r w:rsidR="00306E89" w:rsidRPr="006B7176">
                <w:rPr>
                  <w:rStyle w:val="a5"/>
                  <w:rFonts w:ascii="Times New Roman" w:hAnsi="Times New Roman"/>
                </w:rPr>
                <w:t>85</w:t>
              </w:r>
              <w:r w:rsidR="00306E89" w:rsidRPr="006B7176">
                <w:rPr>
                  <w:rStyle w:val="a5"/>
                  <w:rFonts w:ascii="Times New Roman" w:hAnsi="Times New Roman"/>
                </w:rPr>
                <w:t>條</w:t>
              </w:r>
            </w:hyperlink>
            <w:r w:rsidR="00203F72" w:rsidRPr="00A53581">
              <w:t>第</w:t>
            </w:r>
            <w:r w:rsidR="00203F72" w:rsidRPr="00A53581">
              <w:t>1</w:t>
            </w:r>
            <w:r w:rsidR="00203F72" w:rsidRPr="00A53581">
              <w:t>項</w:t>
            </w:r>
            <w:r w:rsidR="00203F72" w:rsidRPr="00A53581">
              <w:t>)</w:t>
            </w:r>
            <w:r w:rsidR="00203F72" w:rsidRPr="00A53581">
              <w:t>，羈押被告，應</w:t>
            </w:r>
            <w:r w:rsidR="00203F72" w:rsidRPr="00A53581">
              <w:lastRenderedPageBreak/>
              <w:t>用押票</w:t>
            </w:r>
            <w:r w:rsidR="00203F72" w:rsidRPr="00A53581">
              <w:t>(</w:t>
            </w:r>
            <w:r w:rsidR="00203F72" w:rsidRPr="00A53581">
              <w:t>第</w:t>
            </w:r>
            <w:r w:rsidR="00203F72" w:rsidRPr="00A53581">
              <w:t>102</w:t>
            </w:r>
            <w:r w:rsidR="00203F72" w:rsidRPr="00A53581">
              <w:t>條第</w:t>
            </w:r>
            <w:r w:rsidR="00203F72" w:rsidRPr="00A53581">
              <w:t>1</w:t>
            </w:r>
            <w:r w:rsidR="00203F72" w:rsidRPr="00A53581">
              <w:t>項</w:t>
            </w:r>
            <w:r w:rsidR="00203F72" w:rsidRPr="00A53581">
              <w:t>)</w:t>
            </w:r>
            <w:r w:rsidR="00203F72" w:rsidRPr="00A53581">
              <w:t>；搜索，應用搜索票</w:t>
            </w:r>
            <w:r w:rsidR="00203F72" w:rsidRPr="00A53581">
              <w:t>(</w:t>
            </w:r>
            <w:hyperlink r:id="rId143" w:anchor="a128" w:history="1">
              <w:r w:rsidR="00203F72" w:rsidRPr="001F6A1B">
                <w:rPr>
                  <w:rStyle w:val="a5"/>
                  <w:rFonts w:eastAsia="新細明體"/>
                  <w:kern w:val="0"/>
                </w:rPr>
                <w:t>第128條</w:t>
              </w:r>
            </w:hyperlink>
            <w:r w:rsidR="00203F72" w:rsidRPr="00A53581">
              <w:t>第</w:t>
            </w:r>
            <w:r w:rsidR="00203F72" w:rsidRPr="00A53581">
              <w:t>1</w:t>
            </w:r>
            <w:r w:rsidR="00203F72" w:rsidRPr="00A53581">
              <w:t>項</w:t>
            </w:r>
            <w:r w:rsidR="00203F72" w:rsidRPr="00A53581">
              <w:t>)</w:t>
            </w:r>
            <w:r w:rsidR="00203F72" w:rsidRPr="00A53581">
              <w:t>；被告自白須出自由意志</w:t>
            </w:r>
            <w:r w:rsidR="00203F72" w:rsidRPr="00A53581">
              <w:t>(</w:t>
            </w:r>
            <w:hyperlink r:id="rId144" w:anchor="a156" w:history="1">
              <w:r w:rsidR="00203F72" w:rsidRPr="001F6A1B">
                <w:rPr>
                  <w:rStyle w:val="a5"/>
                  <w:rFonts w:eastAsia="新細明體"/>
                  <w:kern w:val="0"/>
                </w:rPr>
                <w:t>第156條</w:t>
              </w:r>
            </w:hyperlink>
            <w:r w:rsidR="00203F72" w:rsidRPr="00A53581">
              <w:t>)</w:t>
            </w:r>
            <w:r w:rsidR="00203F72" w:rsidRPr="00A53581">
              <w:t>等是。</w:t>
            </w:r>
          </w:p>
          <w:p w14:paraId="4025C516" w14:textId="77777777" w:rsidR="001F6A1B" w:rsidRDefault="001F6A1B" w:rsidP="00D87D91">
            <w:r>
              <w:t xml:space="preserve">　　</w:t>
            </w:r>
            <w:r w:rsidR="00203F72" w:rsidRPr="00A53581">
              <w:t>4.</w:t>
            </w:r>
            <w:r w:rsidR="00203F72" w:rsidRPr="00A53581">
              <w:t>「非由法院依法定程序，不得審問、處罰」。即有權審問處罰之機關，以普通法限為限，且依據法定程序為之。</w:t>
            </w:r>
          </w:p>
          <w:p w14:paraId="0406C0A7" w14:textId="77777777" w:rsidR="00203F72" w:rsidRPr="00A53581" w:rsidRDefault="001F6A1B" w:rsidP="00D87D91">
            <w:r>
              <w:t xml:space="preserve">　　</w:t>
            </w:r>
            <w:r w:rsidR="00203F72" w:rsidRPr="00A53581">
              <w:t>5.</w:t>
            </w:r>
            <w:r w:rsidR="00203F72" w:rsidRPr="00A53581">
              <w:t>「非法定程序之逮捕、拘禁、審問、處罰，得拒絕之」。非依法定程序之逮捕、拘禁、審問、處罰者，人民有權拒絕之以保障人身自由。</w:t>
            </w:r>
          </w:p>
        </w:tc>
      </w:tr>
      <w:tr w:rsidR="00203F72" w:rsidRPr="00A53581" w14:paraId="79C1C722" w14:textId="77777777" w:rsidTr="00B03E84">
        <w:tc>
          <w:tcPr>
            <w:tcW w:w="359" w:type="pct"/>
            <w:shd w:val="clear" w:color="auto" w:fill="auto"/>
          </w:tcPr>
          <w:p w14:paraId="74088AC9" w14:textId="77777777" w:rsidR="00203F72" w:rsidRPr="00A53581" w:rsidRDefault="00203F72" w:rsidP="00D87D91">
            <w:r w:rsidRPr="00A53581">
              <w:lastRenderedPageBreak/>
              <w:t>第二項</w:t>
            </w:r>
          </w:p>
        </w:tc>
        <w:tc>
          <w:tcPr>
            <w:tcW w:w="538" w:type="pct"/>
            <w:shd w:val="clear" w:color="auto" w:fill="auto"/>
          </w:tcPr>
          <w:p w14:paraId="06C14054" w14:textId="77777777" w:rsidR="00203F72" w:rsidRPr="00A53581" w:rsidRDefault="00203F72" w:rsidP="00D87D91">
            <w:r w:rsidRPr="00A53581">
              <w:t>逮捕拘禁提審制度</w:t>
            </w:r>
          </w:p>
        </w:tc>
        <w:tc>
          <w:tcPr>
            <w:tcW w:w="1434" w:type="pct"/>
            <w:shd w:val="clear" w:color="auto" w:fill="auto"/>
          </w:tcPr>
          <w:p w14:paraId="3ECD7B02" w14:textId="77777777" w:rsidR="00203F72" w:rsidRPr="00A53581" w:rsidRDefault="00203F72" w:rsidP="00D87D91">
            <w:r w:rsidRPr="00A53581">
              <w:t>人民因犯罪嫌疑被逮捕拘禁時，其逮捕拘禁機關應將逮捕拘禁原因，以書面告知本人及其本人指定之親友，並至遲於二十四小時內移送該管法院審問。本人或他人亦得聲請該管法院，於二十四小時內向逮捕之機關提審。</w:t>
            </w:r>
          </w:p>
        </w:tc>
        <w:tc>
          <w:tcPr>
            <w:tcW w:w="2669" w:type="pct"/>
            <w:shd w:val="clear" w:color="auto" w:fill="auto"/>
          </w:tcPr>
          <w:p w14:paraId="6BF4C0CF" w14:textId="77777777" w:rsidR="001F6A1B" w:rsidRDefault="001F6A1B" w:rsidP="00D87D91">
            <w:pPr>
              <w:rPr>
                <w:kern w:val="0"/>
              </w:rPr>
            </w:pPr>
            <w:r>
              <w:t xml:space="preserve">　　</w:t>
            </w:r>
            <w:r w:rsidR="00203F72" w:rsidRPr="00A53581">
              <w:t>1.</w:t>
            </w:r>
            <w:r w:rsidR="00203F72" w:rsidRPr="00A53581">
              <w:t>人民因犯罪嫌疑被逮捕拘禁時，其逮捕拘禁機關應將逮捕拘禁原因，以書面告知本人及其指定之親友</w:t>
            </w:r>
            <w:r w:rsidR="00203F72" w:rsidRPr="00A53581">
              <w:rPr>
                <w:kern w:val="0"/>
              </w:rPr>
              <w:t>。</w:t>
            </w:r>
          </w:p>
          <w:p w14:paraId="2795B12C" w14:textId="77777777" w:rsidR="001F6A1B" w:rsidRDefault="001F6A1B" w:rsidP="00D87D91">
            <w:r>
              <w:t xml:space="preserve">　　</w:t>
            </w:r>
            <w:r w:rsidR="00203F72" w:rsidRPr="00A53581">
              <w:t xml:space="preserve">2. </w:t>
            </w:r>
            <w:r w:rsidR="00203F72" w:rsidRPr="00A53581">
              <w:t>「應至遲至二十四小時內移送該管法院審問」。至遲於二十四小時內移送之時限，不包括因交通障，或其他不可抗力事由所生不得已之遲滯，以及在途解送等時間在內。惟其間不得有不必要之遲延，亦不適用訴訟法上關於扣除在途期間之規定。</w:t>
            </w:r>
            <w:r w:rsidR="00203F72" w:rsidRPr="00A53581">
              <w:t>(</w:t>
            </w:r>
            <w:r w:rsidR="00203F72" w:rsidRPr="00A53581">
              <w:t>釋字第</w:t>
            </w:r>
            <w:hyperlink r:id="rId145" w:anchor="r130" w:history="1">
              <w:r w:rsidR="00203F72" w:rsidRPr="006B7176">
                <w:rPr>
                  <w:rStyle w:val="a5"/>
                  <w:rFonts w:eastAsia="新細明體"/>
                  <w:kern w:val="0"/>
                </w:rPr>
                <w:t>一三○</w:t>
              </w:r>
            </w:hyperlink>
            <w:r w:rsidR="00203F72" w:rsidRPr="00A53581">
              <w:t>號解釋</w:t>
            </w:r>
            <w:r w:rsidR="00203F72" w:rsidRPr="00A53581">
              <w:t xml:space="preserve">) </w:t>
            </w:r>
            <w:r w:rsidR="00203F72" w:rsidRPr="00A53581">
              <w:t>。</w:t>
            </w:r>
          </w:p>
          <w:p w14:paraId="34BAB515" w14:textId="77777777" w:rsidR="00203F72" w:rsidRPr="00A53581" w:rsidRDefault="001F6A1B" w:rsidP="00D87D91">
            <w:r>
              <w:rPr>
                <w:rFonts w:hint="eastAsia"/>
              </w:rPr>
              <w:t xml:space="preserve">　　</w:t>
            </w:r>
            <w:r w:rsidR="00203F72" w:rsidRPr="00A53581">
              <w:t>3.</w:t>
            </w:r>
            <w:r w:rsidR="00203F72" w:rsidRPr="00A53581">
              <w:t>「本人或他人亦得聲請該管法院，於二十四小時內向逮捕拘禁之機關提審」。此為人民遭受國家機關非法侵害人身自由之救濟規定。即人民因犯罪嫌疑而被法院以外之機關或個人逮捕拘禁，其本人或親友均可請求適當管轄之法院發出命令狀</w:t>
            </w:r>
            <w:r w:rsidR="00203F72" w:rsidRPr="00A53581">
              <w:t>(</w:t>
            </w:r>
            <w:r w:rsidR="00203F72" w:rsidRPr="00A53581">
              <w:t>提審票</w:t>
            </w:r>
            <w:r w:rsidR="00203F72" w:rsidRPr="00A53581">
              <w:t>)</w:t>
            </w:r>
            <w:r w:rsidR="00203F72" w:rsidRPr="00A53581">
              <w:t>，令其將被拘禁者於二十四小時內交由法院審理。審理結束，如屬有罪，依法判處，如無犯罪情事，當即釋放。</w:t>
            </w:r>
          </w:p>
        </w:tc>
      </w:tr>
      <w:tr w:rsidR="00203F72" w:rsidRPr="00A53581" w14:paraId="577CD70C" w14:textId="77777777" w:rsidTr="00B03E84">
        <w:tc>
          <w:tcPr>
            <w:tcW w:w="359" w:type="pct"/>
            <w:shd w:val="clear" w:color="auto" w:fill="auto"/>
          </w:tcPr>
          <w:p w14:paraId="1A0161C2" w14:textId="77777777" w:rsidR="00203F72" w:rsidRPr="00A53581" w:rsidRDefault="00203F72" w:rsidP="00D87D91">
            <w:r w:rsidRPr="00A53581">
              <w:t>第三項</w:t>
            </w:r>
          </w:p>
        </w:tc>
        <w:tc>
          <w:tcPr>
            <w:tcW w:w="538" w:type="pct"/>
            <w:shd w:val="clear" w:color="auto" w:fill="auto"/>
          </w:tcPr>
          <w:p w14:paraId="42101370" w14:textId="77777777" w:rsidR="00203F72" w:rsidRPr="00A53581" w:rsidRDefault="00203F72" w:rsidP="00D87D91">
            <w:r w:rsidRPr="00A53581">
              <w:t>提審制度審問</w:t>
            </w:r>
          </w:p>
        </w:tc>
        <w:tc>
          <w:tcPr>
            <w:tcW w:w="1434" w:type="pct"/>
            <w:shd w:val="clear" w:color="auto" w:fill="auto"/>
          </w:tcPr>
          <w:p w14:paraId="7DC67FDB" w14:textId="77777777" w:rsidR="00203F72" w:rsidRPr="00A53581" w:rsidRDefault="00203F72" w:rsidP="00D87D91">
            <w:r w:rsidRPr="00A53581">
              <w:t>法院對於前項聲請，不得拒絕，並不得先令逮捕拘禁之機關查覆。逮捕拘禁之機關，對於法院之提審，不得拒絕或遲延。</w:t>
            </w:r>
          </w:p>
        </w:tc>
        <w:tc>
          <w:tcPr>
            <w:tcW w:w="2669" w:type="pct"/>
            <w:shd w:val="clear" w:color="auto" w:fill="auto"/>
          </w:tcPr>
          <w:p w14:paraId="43240266" w14:textId="77777777" w:rsidR="00203F72" w:rsidRPr="00A53581" w:rsidRDefault="00203F72" w:rsidP="00D87D91">
            <w:r w:rsidRPr="00A53581">
              <w:t>本項明文規定：「法院對於提審之聲請，逮捕拘禁機關，對於法院之提審，均不得拒絕或延遲」，以杜流弊，而達徹底保護人身自由之目的。</w:t>
            </w:r>
          </w:p>
        </w:tc>
      </w:tr>
      <w:tr w:rsidR="00203F72" w:rsidRPr="00A53581" w14:paraId="35F0A833" w14:textId="77777777" w:rsidTr="00B03E84">
        <w:tc>
          <w:tcPr>
            <w:tcW w:w="359" w:type="pct"/>
            <w:shd w:val="clear" w:color="auto" w:fill="auto"/>
          </w:tcPr>
          <w:p w14:paraId="6B52D8F3" w14:textId="77777777" w:rsidR="00203F72" w:rsidRPr="00A53581" w:rsidRDefault="00203F72" w:rsidP="00D87D91">
            <w:r w:rsidRPr="00A53581">
              <w:t>第四項</w:t>
            </w:r>
          </w:p>
        </w:tc>
        <w:tc>
          <w:tcPr>
            <w:tcW w:w="538" w:type="pct"/>
            <w:shd w:val="clear" w:color="auto" w:fill="auto"/>
          </w:tcPr>
          <w:p w14:paraId="6459CA33" w14:textId="77777777" w:rsidR="00203F72" w:rsidRPr="00A53581" w:rsidRDefault="00203F72" w:rsidP="00D87D91">
            <w:r w:rsidRPr="00A53581">
              <w:t>法院追究責任冤獄賠償</w:t>
            </w:r>
          </w:p>
        </w:tc>
        <w:tc>
          <w:tcPr>
            <w:tcW w:w="1434" w:type="pct"/>
            <w:shd w:val="clear" w:color="auto" w:fill="auto"/>
          </w:tcPr>
          <w:p w14:paraId="63AF0455" w14:textId="77777777" w:rsidR="00203F72" w:rsidRPr="00A53581" w:rsidRDefault="00203F72" w:rsidP="00D87D91">
            <w:r w:rsidRPr="00A53581">
              <w:t>人民遭受任何機關非法逮捕拘禁時，其本人或他人得向法院聲請追究，法院不得拒絕，並應於二十四小時內向逮捕拘禁之機關追究，依法處理。</w:t>
            </w:r>
          </w:p>
        </w:tc>
        <w:tc>
          <w:tcPr>
            <w:tcW w:w="2669" w:type="pct"/>
            <w:shd w:val="clear" w:color="auto" w:fill="auto"/>
          </w:tcPr>
          <w:p w14:paraId="4C4609BE" w14:textId="77777777" w:rsidR="00203F72" w:rsidRPr="00A53581" w:rsidRDefault="00203F72" w:rsidP="00D87D91">
            <w:r w:rsidRPr="00A53581">
              <w:t>本項為關於追究逮捕拘禁責任之規定。如司法或警察機關之逮捕扣禁並非合法，或其他機關擅為逮捕拘禁時，則除適用提審之規定外，並應由法院追究責任，依法處理。</w:t>
            </w:r>
          </w:p>
        </w:tc>
      </w:tr>
    </w:tbl>
    <w:p w14:paraId="6C716EC3" w14:textId="77777777" w:rsidR="00203F72" w:rsidRPr="00686D2C" w:rsidRDefault="00B03E84" w:rsidP="00D87D91">
      <w:r w:rsidRPr="00686D2C">
        <w:t>【</w:t>
      </w:r>
      <w:r w:rsidR="00203F72" w:rsidRPr="00686D2C">
        <w:t>本表格</w:t>
      </w:r>
      <w:r w:rsidRPr="00686D2C">
        <w:t>資料來源】</w:t>
      </w:r>
    </w:p>
    <w:p w14:paraId="56B31E8F" w14:textId="77777777" w:rsidR="00203F72" w:rsidRPr="00686D2C" w:rsidRDefault="00B03E84" w:rsidP="00D87D91">
      <w:r w:rsidRPr="00686D2C">
        <w:t xml:space="preserve">　　</w:t>
      </w:r>
      <w:r w:rsidR="00203F72" w:rsidRPr="00686D2C">
        <w:t>楊三東</w:t>
      </w:r>
      <w:r w:rsidR="00203F72" w:rsidRPr="00686D2C">
        <w:rPr>
          <w:rFonts w:hint="eastAsia"/>
        </w:rPr>
        <w:t>(2008)</w:t>
      </w:r>
      <w:r w:rsidR="00203F72" w:rsidRPr="00686D2C">
        <w:t>，憲</w:t>
      </w:r>
      <w:r w:rsidR="00F84373" w:rsidRPr="00A53581">
        <w:rPr>
          <w:rFonts w:ascii="新細明體" w:hAnsi="新細明體" w:hint="eastAsia"/>
          <w:kern w:val="0"/>
        </w:rPr>
        <w:t>法</w:t>
      </w:r>
      <w:hyperlink r:id="rId146" w:anchor="a8" w:history="1">
        <w:r w:rsidR="00F84373" w:rsidRPr="00F84373">
          <w:rPr>
            <w:rStyle w:val="a5"/>
            <w:rFonts w:eastAsia="新細明體" w:hint="eastAsia"/>
            <w:kern w:val="0"/>
          </w:rPr>
          <w:t>第八條</w:t>
        </w:r>
      </w:hyperlink>
      <w:r w:rsidR="00203F72" w:rsidRPr="00686D2C">
        <w:t>人身自由權案例分析，載於李銘義主編</w:t>
      </w:r>
      <w:r w:rsidR="00203F72" w:rsidRPr="00686D2C">
        <w:rPr>
          <w:rFonts w:hint="eastAsia"/>
        </w:rPr>
        <w:t>(2008)</w:t>
      </w:r>
      <w:r w:rsidR="00203F72" w:rsidRPr="00686D2C">
        <w:t>，《憲法體制與人權教學：本土案例分析》，頁</w:t>
      </w:r>
      <w:r w:rsidR="00203F72" w:rsidRPr="00686D2C">
        <w:t>81-83</w:t>
      </w:r>
      <w:r w:rsidR="00203F72" w:rsidRPr="00686D2C">
        <w:t>。</w:t>
      </w:r>
    </w:p>
    <w:p w14:paraId="30A82732" w14:textId="77777777" w:rsidR="00203F72" w:rsidRPr="00686D2C" w:rsidRDefault="00B03E84" w:rsidP="00D87D91">
      <w:r w:rsidRPr="00686D2C">
        <w:lastRenderedPageBreak/>
        <w:t xml:space="preserve">　　</w:t>
      </w:r>
      <w:r w:rsidR="00203F72" w:rsidRPr="00686D2C">
        <w:t>湯德宗</w:t>
      </w:r>
      <w:r w:rsidR="00203F72" w:rsidRPr="00686D2C">
        <w:rPr>
          <w:rFonts w:hint="eastAsia"/>
        </w:rPr>
        <w:t>(2004)</w:t>
      </w:r>
      <w:r w:rsidR="00203F72" w:rsidRPr="00686D2C">
        <w:t>，具體違憲審查與正當程序保障：大法官釋字第</w:t>
      </w:r>
      <w:hyperlink r:id="rId147" w:anchor="r535" w:history="1">
        <w:r w:rsidR="00203F72" w:rsidRPr="006B7176">
          <w:rPr>
            <w:rStyle w:val="a5"/>
            <w:rFonts w:ascii="Times New Roman" w:eastAsia="新細明體" w:hAnsi="Times New Roman"/>
          </w:rPr>
          <w:t>五三五</w:t>
        </w:r>
      </w:hyperlink>
      <w:r w:rsidR="00203F72" w:rsidRPr="00686D2C">
        <w:t>號解釋的續構與改造，《憲政時代》，第</w:t>
      </w:r>
      <w:r w:rsidR="00203F72" w:rsidRPr="00686D2C">
        <w:t>29</w:t>
      </w:r>
      <w:r w:rsidR="00203F72" w:rsidRPr="00686D2C">
        <w:t>卷第</w:t>
      </w:r>
      <w:r w:rsidR="00203F72" w:rsidRPr="00686D2C">
        <w:t>4</w:t>
      </w:r>
      <w:r w:rsidR="00203F72" w:rsidRPr="00686D2C">
        <w:t>期，頁</w:t>
      </w:r>
      <w:r w:rsidR="00203F72" w:rsidRPr="00686D2C">
        <w:t>474</w:t>
      </w:r>
      <w:r w:rsidR="00203F72" w:rsidRPr="00686D2C">
        <w:t>。</w:t>
      </w:r>
    </w:p>
    <w:p w14:paraId="3DF47B70" w14:textId="77777777" w:rsidR="00953151" w:rsidRPr="00686D2C" w:rsidRDefault="00A32AD8" w:rsidP="00D87D91">
      <w:r>
        <w:rPr>
          <w:rFonts w:hint="eastAsia"/>
        </w:rPr>
        <w:t xml:space="preserve">　　</w:t>
      </w:r>
      <w:r w:rsidR="00203F72" w:rsidRPr="00686D2C">
        <w:t>劉兆隆、林麗香、林宗達、柳金財、梁文興、陳朝政、葉怡君、蔡志昇</w:t>
      </w:r>
      <w:r w:rsidR="00203F72" w:rsidRPr="00686D2C">
        <w:t>(2011)</w:t>
      </w:r>
      <w:r w:rsidR="00203F72" w:rsidRPr="00686D2C">
        <w:t>，中華民國憲法綜論，新北市：晶典文化出版社，第</w:t>
      </w:r>
      <w:r w:rsidR="00203F72" w:rsidRPr="00686D2C">
        <w:t>114</w:t>
      </w:r>
      <w:r w:rsidR="00203F72" w:rsidRPr="00686D2C">
        <w:rPr>
          <w:rFonts w:hint="eastAsia"/>
        </w:rPr>
        <w:t>-</w:t>
      </w:r>
      <w:r w:rsidR="00203F72" w:rsidRPr="00686D2C">
        <w:t>115</w:t>
      </w:r>
      <w:r w:rsidR="00203F72" w:rsidRPr="00686D2C">
        <w:t>頁。</w:t>
      </w:r>
    </w:p>
    <w:p w14:paraId="67303C18" w14:textId="77777777" w:rsidR="00953151" w:rsidRPr="00686D2C" w:rsidRDefault="00B03E84" w:rsidP="00D87D91">
      <w:r w:rsidRPr="00686D2C">
        <w:t xml:space="preserve">　　</w:t>
      </w:r>
      <w:r w:rsidR="00203F72" w:rsidRPr="00686D2C">
        <w:t>另司法院釋字</w:t>
      </w:r>
      <w:hyperlink r:id="rId148" w:anchor="r384" w:history="1">
        <w:r w:rsidR="00203F72" w:rsidRPr="00A32AD8">
          <w:rPr>
            <w:rStyle w:val="a5"/>
            <w:rFonts w:ascii="Times New Roman" w:hAnsi="Times New Roman"/>
          </w:rPr>
          <w:t>第</w:t>
        </w:r>
        <w:r w:rsidR="00203F72" w:rsidRPr="00A32AD8">
          <w:rPr>
            <w:rStyle w:val="a5"/>
            <w:rFonts w:ascii="Times New Roman" w:hAnsi="Times New Roman"/>
          </w:rPr>
          <w:t>384</w:t>
        </w:r>
        <w:r w:rsidR="00203F72" w:rsidRPr="00A32AD8">
          <w:rPr>
            <w:rStyle w:val="a5"/>
            <w:rFonts w:ascii="Times New Roman" w:hAnsi="Times New Roman"/>
          </w:rPr>
          <w:t>號</w:t>
        </w:r>
      </w:hyperlink>
      <w:r w:rsidR="00203F72" w:rsidRPr="00686D2C">
        <w:t>解釋指出：「憲</w:t>
      </w:r>
      <w:r w:rsidR="00F84373" w:rsidRPr="00A53581">
        <w:rPr>
          <w:rFonts w:ascii="新細明體" w:hAnsi="新細明體" w:hint="eastAsia"/>
          <w:kern w:val="0"/>
        </w:rPr>
        <w:t>法</w:t>
      </w:r>
      <w:hyperlink r:id="rId149" w:anchor="a8" w:history="1">
        <w:r w:rsidR="00F84373" w:rsidRPr="00F84373">
          <w:rPr>
            <w:rStyle w:val="a5"/>
            <w:rFonts w:eastAsia="新細明體" w:hint="eastAsia"/>
            <w:kern w:val="0"/>
          </w:rPr>
          <w:t>第八條</w:t>
        </w:r>
      </w:hyperlink>
      <w:r w:rsidR="00203F72" w:rsidRPr="00686D2C">
        <w:t>第一項規定：「人民身體之自由應予保障。除現行犯之逮捕由法律另定外，非經司法或警察機關依法定程序，不得逮捕拘禁。非由法院依法定程序，不得審問處罰。非依法定程序之逮捕、拘禁、審問、處罰，得拒絕之。」其所稱「依法定程序」，係指凡限制人民身體自由之處置，不問其是否屬於刑事被告之身分，國家機關所依據之程序，須以法律規定，其內容更須實質正當，並符合憲法第</w:t>
      </w:r>
      <w:hyperlink r:id="rId150" w:anchor="a23" w:history="1">
        <w:r w:rsidR="00203F72" w:rsidRPr="00686D2C">
          <w:rPr>
            <w:rStyle w:val="a5"/>
          </w:rPr>
          <w:t>二十三</w:t>
        </w:r>
      </w:hyperlink>
      <w:r w:rsidR="00203F72" w:rsidRPr="00686D2C">
        <w:t>條所定相關之條件。」人身自由依此解釋包括制度性保障、實質正當法律程序、比例原則。</w:t>
      </w:r>
    </w:p>
    <w:p w14:paraId="407E5EB4" w14:textId="77777777" w:rsidR="00953151" w:rsidRPr="00686D2C" w:rsidRDefault="00B03E84" w:rsidP="00D87D91">
      <w:r w:rsidRPr="00686D2C">
        <w:t xml:space="preserve">　　</w:t>
      </w:r>
      <w:r w:rsidR="00203F72" w:rsidRPr="00686D2C">
        <w:t>司法院釋</w:t>
      </w:r>
      <w:r w:rsidR="00A32AD8" w:rsidRPr="00686D2C">
        <w:t>字</w:t>
      </w:r>
      <w:hyperlink r:id="rId151" w:anchor="r443" w:history="1">
        <w:r w:rsidR="00A32AD8" w:rsidRPr="00A32AD8">
          <w:rPr>
            <w:rStyle w:val="a5"/>
            <w:rFonts w:ascii="Times New Roman" w:hAnsi="Times New Roman"/>
          </w:rPr>
          <w:t>第</w:t>
        </w:r>
        <w:r w:rsidR="00A32AD8" w:rsidRPr="00A32AD8">
          <w:rPr>
            <w:rStyle w:val="a5"/>
            <w:rFonts w:ascii="Times New Roman" w:hAnsi="Times New Roman"/>
          </w:rPr>
          <w:t>443</w:t>
        </w:r>
        <w:r w:rsidR="00A32AD8" w:rsidRPr="00A32AD8">
          <w:rPr>
            <w:rStyle w:val="a5"/>
            <w:rFonts w:ascii="Times New Roman" w:hAnsi="Times New Roman"/>
          </w:rPr>
          <w:t>號</w:t>
        </w:r>
      </w:hyperlink>
      <w:r w:rsidR="00203F72" w:rsidRPr="00686D2C">
        <w:t>解釋指出：「關於人民身體之自由，憲</w:t>
      </w:r>
      <w:r w:rsidR="00F84373" w:rsidRPr="00A53581">
        <w:rPr>
          <w:rFonts w:ascii="新細明體" w:hAnsi="新細明體" w:hint="eastAsia"/>
          <w:kern w:val="0"/>
        </w:rPr>
        <w:t>法</w:t>
      </w:r>
      <w:hyperlink r:id="rId152" w:anchor="a8" w:history="1">
        <w:r w:rsidR="00F84373" w:rsidRPr="00F84373">
          <w:rPr>
            <w:rStyle w:val="a5"/>
            <w:rFonts w:eastAsia="新細明體" w:hint="eastAsia"/>
            <w:kern w:val="0"/>
          </w:rPr>
          <w:t>第八條</w:t>
        </w:r>
      </w:hyperlink>
      <w:r w:rsidR="00203F72" w:rsidRPr="00686D2C">
        <w:t>規定即較為詳盡，其中內容屬於憲法保留之事項者，縱令立法機關，亦不得制定法律加以限制</w:t>
      </w:r>
      <w:r w:rsidR="00203F72" w:rsidRPr="00686D2C">
        <w:t>….</w:t>
      </w:r>
      <w:r w:rsidR="00203F72" w:rsidRPr="00686D2C">
        <w:t>諸如剝奪人民生命或限制人民身體自由者，必須遵守罪刑法定主義，以制定法律之方式為之；</w:t>
      </w:r>
      <w:r w:rsidR="00203F72" w:rsidRPr="00686D2C">
        <w:t>…</w:t>
      </w:r>
      <w:r w:rsidR="00203F72" w:rsidRPr="00686D2C">
        <w:t>。」</w:t>
      </w:r>
    </w:p>
    <w:p w14:paraId="4B03EE24" w14:textId="77777777" w:rsidR="00953151" w:rsidRPr="00686D2C" w:rsidRDefault="00B03E84" w:rsidP="00D87D91">
      <w:r w:rsidRPr="00686D2C">
        <w:t xml:space="preserve">　　</w:t>
      </w:r>
      <w:r w:rsidR="00203F72" w:rsidRPr="00686D2C">
        <w:t>此外，再依據司法院釋字</w:t>
      </w:r>
      <w:hyperlink r:id="rId153" w:anchor="r567" w:history="1">
        <w:r w:rsidR="006B7176" w:rsidRPr="00B525CE">
          <w:rPr>
            <w:rStyle w:val="a5"/>
          </w:rPr>
          <w:t>第567號</w:t>
        </w:r>
      </w:hyperlink>
      <w:r w:rsidR="00203F72" w:rsidRPr="00686D2C">
        <w:t>解釋之意旨：「</w:t>
      </w:r>
      <w:r w:rsidR="00203F72" w:rsidRPr="00686D2C">
        <w:t>…</w:t>
      </w:r>
      <w:r w:rsidR="00203F72" w:rsidRPr="00686D2C">
        <w:t>惟關於限制人身自由之處罰，仍應以法律規定，且其內容須實質正當，並經審判程序，始得為之。</w:t>
      </w:r>
      <w:r w:rsidR="00203F72" w:rsidRPr="00686D2C">
        <w:t xml:space="preserve">…. </w:t>
      </w:r>
      <w:r w:rsidR="00203F72" w:rsidRPr="00686D2C">
        <w:t>」；另依司法院釋字</w:t>
      </w:r>
      <w:hyperlink r:id="rId154" w:anchor="r636" w:history="1">
        <w:r w:rsidR="00203F72" w:rsidRPr="00981964">
          <w:rPr>
            <w:rStyle w:val="a5"/>
            <w:rFonts w:ascii="Times New Roman" w:eastAsia="新細明體" w:hAnsi="Times New Roman"/>
          </w:rPr>
          <w:t>第</w:t>
        </w:r>
        <w:r w:rsidR="00203F72" w:rsidRPr="00981964">
          <w:rPr>
            <w:rStyle w:val="a5"/>
            <w:rFonts w:ascii="Times New Roman" w:eastAsia="新細明體" w:hAnsi="Times New Roman"/>
          </w:rPr>
          <w:t>636</w:t>
        </w:r>
        <w:r w:rsidR="00203F72" w:rsidRPr="00981964">
          <w:rPr>
            <w:rStyle w:val="a5"/>
            <w:rFonts w:ascii="Times New Roman" w:eastAsia="新細明體" w:hAnsi="Times New Roman"/>
          </w:rPr>
          <w:t>號</w:t>
        </w:r>
      </w:hyperlink>
      <w:r w:rsidR="00203F72" w:rsidRPr="00686D2C">
        <w:t>解釋理由書之見解：「</w:t>
      </w:r>
      <w:r w:rsidR="00203F72" w:rsidRPr="00686D2C">
        <w:t xml:space="preserve">…. </w:t>
      </w:r>
      <w:r w:rsidR="00203F72" w:rsidRPr="00686D2C">
        <w:t>人民身體自由享有充分保障，乃行使憲法所保障其他自由權利之前提，為重要之基本人權。故憲</w:t>
      </w:r>
      <w:r w:rsidR="00F84373" w:rsidRPr="00A53581">
        <w:rPr>
          <w:rFonts w:ascii="新細明體" w:hAnsi="新細明體" w:hint="eastAsia"/>
          <w:kern w:val="0"/>
        </w:rPr>
        <w:t>法</w:t>
      </w:r>
      <w:hyperlink r:id="rId155" w:anchor="a8" w:history="1">
        <w:r w:rsidR="00F84373" w:rsidRPr="00F84373">
          <w:rPr>
            <w:rStyle w:val="a5"/>
            <w:rFonts w:eastAsia="新細明體" w:hint="eastAsia"/>
            <w:kern w:val="0"/>
          </w:rPr>
          <w:t>第八條</w:t>
        </w:r>
      </w:hyperlink>
      <w:r w:rsidR="00203F72" w:rsidRPr="00686D2C">
        <w:t>對人民身體自由之保障，特詳加規定，其第一項規定「人民身體之自由應予保障。除現行犯之逮捕由法律另定外，非經司法或警察機關依法定程序，不得逮捕拘禁。非由法院依法定程序，不得審問處罰。非依法定程序之逮捕、拘禁、審問、處罰，得拒絕之。」</w:t>
      </w:r>
    </w:p>
    <w:p w14:paraId="70D3B13E" w14:textId="77777777" w:rsidR="00953151" w:rsidRPr="00686D2C" w:rsidRDefault="00B03E84" w:rsidP="00D87D91">
      <w:r w:rsidRPr="00686D2C">
        <w:t xml:space="preserve">　　</w:t>
      </w:r>
      <w:r w:rsidR="00203F72" w:rsidRPr="00686D2C">
        <w:t>再者，司法院釋</w:t>
      </w:r>
      <w:r w:rsidR="00943369" w:rsidRPr="00A53581">
        <w:rPr>
          <w:rFonts w:ascii="新細明體" w:hAnsi="新細明體" w:cs="細明體_HKSCS" w:hint="eastAsia"/>
        </w:rPr>
        <w:t>字</w:t>
      </w:r>
      <w:hyperlink r:id="rId156" w:anchor="r710" w:history="1">
        <w:r w:rsidR="00943369" w:rsidRPr="00943369">
          <w:rPr>
            <w:rStyle w:val="a5"/>
            <w:rFonts w:cs="細明體_HKSCS" w:hint="eastAsia"/>
          </w:rPr>
          <w:t>第710號</w:t>
        </w:r>
      </w:hyperlink>
      <w:r w:rsidR="00203F72" w:rsidRPr="00686D2C">
        <w:t>解釋指出</w:t>
      </w:r>
      <w:r w:rsidR="00203F72" w:rsidRPr="00686D2C">
        <w:footnoteReference w:id="35"/>
      </w:r>
      <w:r w:rsidR="00203F72" w:rsidRPr="00686D2C">
        <w:t>：「憲</w:t>
      </w:r>
      <w:r w:rsidR="00F84373" w:rsidRPr="00A53581">
        <w:rPr>
          <w:rFonts w:ascii="新細明體" w:hAnsi="新細明體" w:hint="eastAsia"/>
          <w:kern w:val="0"/>
        </w:rPr>
        <w:t>法</w:t>
      </w:r>
      <w:hyperlink r:id="rId157" w:anchor="a8" w:history="1">
        <w:r w:rsidR="00F84373" w:rsidRPr="00F84373">
          <w:rPr>
            <w:rStyle w:val="a5"/>
            <w:rFonts w:eastAsia="新細明體" w:hint="eastAsia"/>
            <w:kern w:val="0"/>
          </w:rPr>
          <w:t>第八條</w:t>
        </w:r>
      </w:hyperlink>
      <w:r w:rsidR="00203F72" w:rsidRPr="00686D2C">
        <w:t>第一項規定：「人民身體之自由應予保障。除現行犯之逮捕由法律另定外，非經司法或警察機關依法定程序，不得逮捕拘禁。非由法院依法定程序，不得審問處罰。非依法定程序之逮捕、拘禁、審問、處罰，得拒絕之。」是國家剝奪或限制人民身體自由之處置，不問其是否屬於刑事被告之身分，除須有法律之依據外，尚應踐行必要之司法程序或其他正當法律程序，始符合上開憲法之意旨</w:t>
      </w:r>
      <w:r w:rsidR="00203F72" w:rsidRPr="00686D2C">
        <w:footnoteReference w:id="36"/>
      </w:r>
      <w:r w:rsidR="00203F72" w:rsidRPr="00686D2C">
        <w:t>。憲法上正當法律程序原則之內涵，應</w:t>
      </w:r>
      <w:r w:rsidR="003E240E">
        <w:t>視</w:t>
      </w:r>
      <w:r w:rsidR="00203F72" w:rsidRPr="00686D2C">
        <w:t>所涉基本權之種類、限制之強度及範圍、所欲追求之公共利益、決定機關之功能合適性、有無替代程序或各項可能程序之成本等因素綜合考量，由立法者制定相應之適當程序（本院釋字</w:t>
      </w:r>
      <w:r w:rsidR="005670A4" w:rsidRPr="00A53581">
        <w:rPr>
          <w:rFonts w:ascii="新細明體" w:hAnsi="新細明體" w:hint="eastAsia"/>
        </w:rPr>
        <w:t>第</w:t>
      </w:r>
      <w:hyperlink r:id="rId158" w:anchor="r689" w:history="1">
        <w:r w:rsidR="005670A4" w:rsidRPr="00AC7348">
          <w:rPr>
            <w:rStyle w:val="a5"/>
            <w:rFonts w:hint="eastAsia"/>
          </w:rPr>
          <w:t>六八九</w:t>
        </w:r>
      </w:hyperlink>
      <w:r w:rsidR="005670A4" w:rsidRPr="00A53581">
        <w:rPr>
          <w:rFonts w:ascii="新細明體" w:hAnsi="新細明體" w:hint="eastAsia"/>
        </w:rPr>
        <w:t>號</w:t>
      </w:r>
      <w:r w:rsidR="00203F72" w:rsidRPr="00686D2C">
        <w:t>解釋參照）。又憲法</w:t>
      </w:r>
      <w:hyperlink r:id="rId159" w:anchor="a10" w:history="1">
        <w:r w:rsidR="00203F72" w:rsidRPr="00ED34D8">
          <w:rPr>
            <w:rStyle w:val="a5"/>
            <w:rFonts w:ascii="Times New Roman" w:hAnsi="Times New Roman"/>
          </w:rPr>
          <w:t>第十條</w:t>
        </w:r>
      </w:hyperlink>
      <w:r w:rsidR="00203F72" w:rsidRPr="00686D2C">
        <w:t>規定：「人民有居住及遷徙之自由」，係指人民有選擇其居住處所，營私人生活不受幹預之自由，且有得依個人意願自由遷徙或旅居各地之權利（本院釋字</w:t>
      </w:r>
      <w:r w:rsidR="005670A4" w:rsidRPr="00CA2E17">
        <w:t>第</w:t>
      </w:r>
      <w:hyperlink r:id="rId160" w:anchor="r443" w:history="1">
        <w:r w:rsidR="005670A4" w:rsidRPr="005670A4">
          <w:rPr>
            <w:rStyle w:val="a5"/>
            <w:rFonts w:ascii="Times New Roman" w:eastAsia="新細明體" w:hAnsi="Times New Roman"/>
          </w:rPr>
          <w:t>四四三</w:t>
        </w:r>
      </w:hyperlink>
      <w:r w:rsidR="005670A4" w:rsidRPr="00CA2E17">
        <w:t>號</w:t>
      </w:r>
      <w:r w:rsidR="00203F72" w:rsidRPr="00686D2C">
        <w:t>解釋參照）。</w:t>
      </w:r>
    </w:p>
    <w:p w14:paraId="04439362" w14:textId="77777777" w:rsidR="00953151" w:rsidRPr="00686D2C" w:rsidRDefault="00B03E84" w:rsidP="00D87D91">
      <w:r w:rsidRPr="00686D2C">
        <w:t xml:space="preserve">　　</w:t>
      </w:r>
      <w:r w:rsidR="00203F72" w:rsidRPr="00686D2C">
        <w:t>憲法增修條文前言明揭：「為因應國家統一前之需要，依照憲法</w:t>
      </w:r>
      <w:r w:rsidR="00541C0B" w:rsidRPr="00686D2C">
        <w:t>第</w:t>
      </w:r>
      <w:hyperlink r:id="rId161" w:anchor="a27" w:history="1">
        <w:r w:rsidR="00541C0B" w:rsidRPr="00686D2C">
          <w:rPr>
            <w:rStyle w:val="a5"/>
          </w:rPr>
          <w:t>二十七</w:t>
        </w:r>
      </w:hyperlink>
      <w:r w:rsidR="00541C0B" w:rsidRPr="00686D2C">
        <w:t>條</w:t>
      </w:r>
      <w:r w:rsidR="00203F72" w:rsidRPr="00686D2C">
        <w:t>第一項第三款及第</w:t>
      </w:r>
      <w:hyperlink r:id="rId162" w:anchor="a174" w:history="1">
        <w:r w:rsidR="00203F72" w:rsidRPr="00686D2C">
          <w:rPr>
            <w:rStyle w:val="a5"/>
          </w:rPr>
          <w:t>一百七十四</w:t>
        </w:r>
      </w:hyperlink>
      <w:r w:rsidR="00203F72" w:rsidRPr="00686D2C">
        <w:t>條第一款之規定，增修本憲法條文如左：</w:t>
      </w:r>
      <w:r w:rsidR="00203F72" w:rsidRPr="00686D2C">
        <w:t>……</w:t>
      </w:r>
      <w:r w:rsidR="00203F72" w:rsidRPr="00686D2C">
        <w:t>」憲法增修條文</w:t>
      </w:r>
      <w:r w:rsidR="00C454F8" w:rsidRPr="006B7176">
        <w:t>第</w:t>
      </w:r>
      <w:hyperlink r:id="rId163" w:anchor="b11" w:history="1">
        <w:r w:rsidR="00C454F8" w:rsidRPr="006B7176">
          <w:rPr>
            <w:rStyle w:val="a5"/>
            <w:rFonts w:ascii="Times New Roman" w:hAnsi="Times New Roman"/>
          </w:rPr>
          <w:t>十一</w:t>
        </w:r>
      </w:hyperlink>
      <w:r w:rsidR="00C454F8" w:rsidRPr="006B7176">
        <w:t>條</w:t>
      </w:r>
      <w:r w:rsidR="00203F72" w:rsidRPr="00686D2C">
        <w:t>明定：「自由地區與大陸地區間人民權利義務關係及其他事務之處理，得以法律</w:t>
      </w:r>
      <w:r w:rsidR="00203F72" w:rsidRPr="00686D2C">
        <w:lastRenderedPageBreak/>
        <w:t>為特別之規定。」</w:t>
      </w:r>
      <w:hyperlink r:id="rId164" w:history="1">
        <w:r w:rsidR="00203F72" w:rsidRPr="006B7176">
          <w:rPr>
            <w:rStyle w:val="a5"/>
            <w:rFonts w:ascii="Times New Roman" w:eastAsia="新細明體" w:hAnsi="Times New Roman"/>
          </w:rPr>
          <w:t>臺灣地區與大陸地區人民關係條例</w:t>
        </w:r>
      </w:hyperlink>
      <w:r w:rsidR="00203F72" w:rsidRPr="00686D2C">
        <w:t>（下稱兩岸關係條例）即為規範國家統一前，臺灣地區與大陸地區間人民權利義務及其他事務，所制定之特別立法</w:t>
      </w:r>
      <w:r w:rsidR="00203F72" w:rsidRPr="00686D2C">
        <w:footnoteReference w:id="37"/>
      </w:r>
      <w:r w:rsidR="00203F72" w:rsidRPr="00686D2C">
        <w:t>。兩岸關係條例</w:t>
      </w:r>
      <w:hyperlink r:id="rId165" w:anchor="b10" w:history="1">
        <w:r w:rsidR="00203F72" w:rsidRPr="006B7176">
          <w:rPr>
            <w:rStyle w:val="a5"/>
            <w:rFonts w:ascii="Times New Roman" w:eastAsia="新細明體" w:hAnsi="Times New Roman"/>
          </w:rPr>
          <w:t>第十條</w:t>
        </w:r>
      </w:hyperlink>
      <w:r w:rsidR="00203F72" w:rsidRPr="00686D2C">
        <w:t>第一項規定：「大陸地區人民非經主管機關許可，不得進入臺灣地區。」是在兩岸分治之現況下，大陸地區人民入境臺灣地區之自由受有限制</w:t>
      </w:r>
      <w:r w:rsidR="00203F72" w:rsidRPr="00686D2C">
        <w:footnoteReference w:id="38"/>
      </w:r>
      <w:r w:rsidR="00203F72" w:rsidRPr="00686D2C">
        <w:t>。惟大陸地區人民形式上經主管機關許可，且已合法入境臺灣地區者，其遷徙之自由原則上即應受憲法保障</w:t>
      </w:r>
      <w:r w:rsidR="00203F72" w:rsidRPr="00686D2C">
        <w:footnoteReference w:id="39"/>
      </w:r>
      <w:r w:rsidR="00203F72" w:rsidRPr="00686D2C">
        <w:t>。除因危害國家安全或社會秩序而須為急速處分者外，強制經許可合法入境之大陸地區人民出境，應踐行相應之正當程序</w:t>
      </w:r>
      <w:r w:rsidR="00203F72" w:rsidRPr="00686D2C">
        <w:footnoteReference w:id="40"/>
      </w:r>
      <w:r w:rsidR="00203F72" w:rsidRPr="00686D2C">
        <w:t>。尤其強制經許可合法入境之大陸配偶出境，影響人民之婚姻及家庭關係至</w:t>
      </w:r>
      <w:r w:rsidR="003420CC" w:rsidRPr="003420CC">
        <w:rPr>
          <w:rFonts w:hint="eastAsia"/>
        </w:rPr>
        <w:t>鉅</w:t>
      </w:r>
      <w:r w:rsidR="00203F72" w:rsidRPr="00686D2C">
        <w:t>，更應審慎。九十二年十月二十九日修正公布之兩岸關係條例</w:t>
      </w:r>
      <w:r w:rsidR="00306E89" w:rsidRPr="00306E89">
        <w:t>第</w:t>
      </w:r>
      <w:hyperlink r:id="rId166" w:anchor="b18" w:history="1">
        <w:r w:rsidR="00306E89" w:rsidRPr="00306E89">
          <w:rPr>
            <w:rStyle w:val="a5"/>
            <w:rFonts w:ascii="Times New Roman" w:hAnsi="Times New Roman"/>
          </w:rPr>
          <w:t>十八</w:t>
        </w:r>
      </w:hyperlink>
      <w:r w:rsidR="00306E89" w:rsidRPr="00306E89">
        <w:t>條</w:t>
      </w:r>
      <w:r w:rsidR="00203F72" w:rsidRPr="00686D2C">
        <w:t>第一項規定：「進入臺灣地區之大陸地區人民，有下列情形之一者，治安機關得逕行強制出境。但其所涉案件已進入司法程序者，應先經司法機關之同意：一、未經許可入境者。二、經許可入境，已逾停留、居留期限者。三、從事與許可目的不符之活動或工作者。四、有事實足認為有犯罪行為者。五、有事實足認為有危害國家安全或社會安定之虞者。</w:t>
      </w:r>
      <w:r w:rsidR="00203F72" w:rsidRPr="00686D2C">
        <w:footnoteReference w:id="41"/>
      </w:r>
      <w:r w:rsidR="00203F72" w:rsidRPr="00686D2C">
        <w:t>」九十八年七月一日修正公布同條例</w:t>
      </w:r>
      <w:r w:rsidR="00306E89" w:rsidRPr="00306E89">
        <w:t>第</w:t>
      </w:r>
      <w:hyperlink r:id="rId167" w:anchor="b18" w:history="1">
        <w:r w:rsidR="00306E89" w:rsidRPr="00306E89">
          <w:rPr>
            <w:rStyle w:val="a5"/>
            <w:rFonts w:ascii="Times New Roman" w:hAnsi="Times New Roman"/>
          </w:rPr>
          <w:t>十八</w:t>
        </w:r>
      </w:hyperlink>
      <w:r w:rsidR="00306E89" w:rsidRPr="00306E89">
        <w:t>條</w:t>
      </w:r>
      <w:r w:rsidR="00203F72" w:rsidRPr="00686D2C">
        <w:t>第二項固增訂：「進入臺灣地區之大陸地區人民已取得居留許可而有前項第三款至第五款情形之一者，內政部入出國及移民署於強制其出境前，得召開審查會，並給予當事人陳述意見之機會。」惟上開</w:t>
      </w:r>
      <w:r w:rsidR="00306E89" w:rsidRPr="00306E89">
        <w:t>第</w:t>
      </w:r>
      <w:hyperlink r:id="rId168" w:anchor="b18" w:history="1">
        <w:r w:rsidR="00306E89" w:rsidRPr="00306E89">
          <w:rPr>
            <w:rStyle w:val="a5"/>
            <w:rFonts w:ascii="Times New Roman" w:hAnsi="Times New Roman"/>
          </w:rPr>
          <w:t>十八</w:t>
        </w:r>
      </w:hyperlink>
      <w:r w:rsidR="00306E89" w:rsidRPr="00306E89">
        <w:t>條</w:t>
      </w:r>
      <w:r w:rsidR="00203F72" w:rsidRPr="00686D2C">
        <w:t>第一項規定就因危害國家安全或社會秩序而須為急速處分以外之情形，於強制經許可合法入境之大陸地區人民出境前，並未明定治安機關應給予申辯之機會，有違憲法上正當法律程序原則，不符憲法</w:t>
      </w:r>
      <w:hyperlink r:id="rId169" w:anchor="a10" w:history="1">
        <w:r w:rsidR="00ED34D8" w:rsidRPr="00ED34D8">
          <w:rPr>
            <w:rStyle w:val="a5"/>
            <w:rFonts w:ascii="Times New Roman" w:hAnsi="Times New Roman"/>
          </w:rPr>
          <w:t>第十條</w:t>
        </w:r>
      </w:hyperlink>
      <w:r w:rsidR="00203F72" w:rsidRPr="00686D2C">
        <w:t>保障遷徙自由之意旨。此規定與本解釋意旨不符部分，應自本解釋公布之日起，至遲於屆滿二年時失其效力</w:t>
      </w:r>
      <w:r w:rsidR="00203F72" w:rsidRPr="00686D2C">
        <w:footnoteReference w:id="42"/>
      </w:r>
      <w:r w:rsidR="00203F72" w:rsidRPr="00686D2C">
        <w:t>。</w:t>
      </w:r>
    </w:p>
    <w:p w14:paraId="2F79D3D2" w14:textId="77777777" w:rsidR="00953151" w:rsidRPr="00686D2C" w:rsidRDefault="00B03E84" w:rsidP="00D87D91">
      <w:r w:rsidRPr="00686D2C">
        <w:t xml:space="preserve">　　</w:t>
      </w:r>
      <w:r w:rsidR="00203F72" w:rsidRPr="00686D2C">
        <w:t>民國九十二年十月二十九日修正公布之兩岸關係條例</w:t>
      </w:r>
      <w:r w:rsidR="00306E89" w:rsidRPr="00306E89">
        <w:t>第</w:t>
      </w:r>
      <w:hyperlink r:id="rId170" w:anchor="b18" w:history="1">
        <w:r w:rsidR="00306E89" w:rsidRPr="00306E89">
          <w:rPr>
            <w:rStyle w:val="a5"/>
            <w:rFonts w:ascii="Times New Roman" w:hAnsi="Times New Roman"/>
          </w:rPr>
          <w:t>十八</w:t>
        </w:r>
      </w:hyperlink>
      <w:r w:rsidR="00306E89" w:rsidRPr="00306E89">
        <w:t>條</w:t>
      </w:r>
      <w:r w:rsidR="00203F72" w:rsidRPr="00686D2C">
        <w:t>第二項規定：「前項大陸地區人民，於強制出境前，得暫予收容</w:t>
      </w:r>
      <w:r w:rsidR="00203F72" w:rsidRPr="00686D2C">
        <w:t>……</w:t>
      </w:r>
      <w:r w:rsidR="00203F72" w:rsidRPr="00686D2C">
        <w:t>。</w:t>
      </w:r>
      <w:r w:rsidR="00203F72" w:rsidRPr="00686D2C">
        <w:footnoteReference w:id="43"/>
      </w:r>
      <w:r w:rsidR="00203F72" w:rsidRPr="00686D2C">
        <w:t>」按暫予收容既拘束受收容人於一定處所，使與外界隔離</w:t>
      </w:r>
      <w:r w:rsidR="00203F72" w:rsidRPr="00686D2C">
        <w:footnoteReference w:id="44"/>
      </w:r>
      <w:r w:rsidR="00203F72" w:rsidRPr="00686D2C">
        <w:t>，自屬對人民身體自由之剝奪。暫予收容之事由爰應以法律直接規定或法律具體明確授權之命令定之</w:t>
      </w:r>
      <w:r w:rsidR="00203F72" w:rsidRPr="00686D2C">
        <w:footnoteReference w:id="45"/>
      </w:r>
      <w:r w:rsidR="00203F72" w:rsidRPr="00686D2C">
        <w:t>，始符合法律保留原則；法律規定之內容並應明確，始符合法律明確性原則</w:t>
      </w:r>
      <w:r w:rsidR="00203F72" w:rsidRPr="00686D2C">
        <w:footnoteReference w:id="46"/>
      </w:r>
      <w:r w:rsidR="00203F72" w:rsidRPr="00686D2C">
        <w:t>。前揭</w:t>
      </w:r>
      <w:r w:rsidR="00306E89" w:rsidRPr="00306E89">
        <w:t>第</w:t>
      </w:r>
      <w:hyperlink r:id="rId171" w:anchor="b18" w:history="1">
        <w:r w:rsidR="00306E89" w:rsidRPr="00306E89">
          <w:rPr>
            <w:rStyle w:val="a5"/>
            <w:rFonts w:ascii="Times New Roman" w:hAnsi="Times New Roman"/>
          </w:rPr>
          <w:t>十八</w:t>
        </w:r>
      </w:hyperlink>
      <w:r w:rsidR="00306E89" w:rsidRPr="00306E89">
        <w:t>條</w:t>
      </w:r>
      <w:r w:rsidR="00203F72" w:rsidRPr="00686D2C">
        <w:t>第二項僅規定大陸地區人民受強制出境處分者，於強制出境前得暫予收容，其文義過於寬泛，未能顯示應限於非暫予收容顯難強制出境者，始得暫予收容之意旨，亦未明定暫予收容之事由，與法律明確性原則不符。次按人身自由乃人民行使其憲法上各項自由權利所不可或缺之前提，國家以法律明確規定限制人民之身體自由者，須踐行正當法律程序，並須符合憲</w:t>
      </w:r>
      <w:r w:rsidR="00B525CE" w:rsidRPr="00686D2C">
        <w:t>法第</w:t>
      </w:r>
      <w:hyperlink r:id="rId172" w:anchor="a23" w:history="1">
        <w:r w:rsidR="00B525CE" w:rsidRPr="00686D2C">
          <w:rPr>
            <w:rStyle w:val="a5"/>
          </w:rPr>
          <w:t>二十三</w:t>
        </w:r>
      </w:hyperlink>
      <w:r w:rsidR="00B525CE" w:rsidRPr="00686D2C">
        <w:t>條</w:t>
      </w:r>
      <w:r w:rsidR="00203F72" w:rsidRPr="00686D2C">
        <w:t>之比例原則，方為憲法所許</w:t>
      </w:r>
      <w:r w:rsidR="00203F72" w:rsidRPr="00686D2C">
        <w:footnoteReference w:id="47"/>
      </w:r>
      <w:r w:rsidR="00203F72" w:rsidRPr="00686D2C">
        <w:t>。鑑於刑事被告與非刑事被告之人身自由限制，在目的、方式與程序上均有差異，是兩者應踐行之司法程序或其他正當法律程序，自非均須相同</w:t>
      </w:r>
      <w:r w:rsidR="00203F72" w:rsidRPr="00686D2C">
        <w:footnoteReference w:id="48"/>
      </w:r>
      <w:r w:rsidR="00203F72" w:rsidRPr="00686D2C">
        <w:t>。為防範受強制出境之大陸地區人民脫逃，俾能迅速將之遣送出境，治安機關依前揭</w:t>
      </w:r>
      <w:r w:rsidR="00306E89" w:rsidRPr="00306E89">
        <w:t>第</w:t>
      </w:r>
      <w:hyperlink r:id="rId173" w:anchor="b18" w:history="1">
        <w:r w:rsidR="00306E89" w:rsidRPr="00306E89">
          <w:rPr>
            <w:rStyle w:val="a5"/>
            <w:rFonts w:ascii="Times New Roman" w:hAnsi="Times New Roman"/>
          </w:rPr>
          <w:t>十八</w:t>
        </w:r>
      </w:hyperlink>
      <w:r w:rsidR="00306E89" w:rsidRPr="00306E89">
        <w:t>條</w:t>
      </w:r>
      <w:r w:rsidR="00203F72" w:rsidRPr="00686D2C">
        <w:t>第二項規定暫時收容受強制出境之大陸地區人民，於合理之遣送作業期間內，尚屬合理、必要，此暫時收容之處分固無須經由法院為之，惟仍應予受收容人即時司法救濟之機會，始符合憲</w:t>
      </w:r>
      <w:r w:rsidR="00F84373" w:rsidRPr="00A53581">
        <w:rPr>
          <w:rFonts w:ascii="新細明體" w:hAnsi="新細明體" w:hint="eastAsia"/>
          <w:kern w:val="0"/>
        </w:rPr>
        <w:t>法</w:t>
      </w:r>
      <w:hyperlink r:id="rId174" w:anchor="a8" w:history="1">
        <w:r w:rsidR="00F84373" w:rsidRPr="00F84373">
          <w:rPr>
            <w:rStyle w:val="a5"/>
            <w:rFonts w:eastAsia="新細明體" w:hint="eastAsia"/>
            <w:kern w:val="0"/>
          </w:rPr>
          <w:t>第八條</w:t>
        </w:r>
      </w:hyperlink>
      <w:r w:rsidR="00203F72" w:rsidRPr="00686D2C">
        <w:t>第一項正當法律程序之意旨。是治安機關依前揭兩岸關係條例</w:t>
      </w:r>
      <w:r w:rsidR="00306E89" w:rsidRPr="00306E89">
        <w:t>第</w:t>
      </w:r>
      <w:hyperlink r:id="rId175" w:anchor="b18" w:history="1">
        <w:r w:rsidR="00306E89" w:rsidRPr="00306E89">
          <w:rPr>
            <w:rStyle w:val="a5"/>
            <w:rFonts w:ascii="Times New Roman" w:hAnsi="Times New Roman"/>
          </w:rPr>
          <w:t>十八</w:t>
        </w:r>
      </w:hyperlink>
      <w:r w:rsidR="00306E89" w:rsidRPr="00306E89">
        <w:t>條</w:t>
      </w:r>
      <w:r w:rsidR="00203F72" w:rsidRPr="00686D2C">
        <w:t>第二項作成暫時收容之處分時，應以書面告知受收容人暫時收容之原因及不服之救濟</w:t>
      </w:r>
      <w:r w:rsidR="00203F72" w:rsidRPr="00686D2C">
        <w:lastRenderedPageBreak/>
        <w:t>方法，並通知其所指定在臺之親友或有關機關；受收容人一經表示不服，或要求由法院審查決定是否予以收容者，暫時收容機關應即於二十四小時內移送法院迅速裁定是否收容。至於暫時收容期間屆滿前，未能遣送出境者，暫時收容機關應將受暫時收容人移送法院聲請裁定收容，始能續予收容</w:t>
      </w:r>
      <w:r w:rsidR="00203F72" w:rsidRPr="00686D2C">
        <w:footnoteReference w:id="49"/>
      </w:r>
      <w:r w:rsidR="00203F72" w:rsidRPr="00686D2C">
        <w:t>。另兩岸關係條例關於暫予收容之期限未設有規定，不符合「迅速將受收容人強制出境」之目的，並有導致受收容人身體自由遭受過度剝奪之虞，有違憲</w:t>
      </w:r>
      <w:r w:rsidR="00B525CE" w:rsidRPr="00686D2C">
        <w:t>法第</w:t>
      </w:r>
      <w:hyperlink r:id="rId176" w:anchor="a23" w:history="1">
        <w:r w:rsidR="00B525CE" w:rsidRPr="00686D2C">
          <w:rPr>
            <w:rStyle w:val="a5"/>
          </w:rPr>
          <w:t>二十三</w:t>
        </w:r>
      </w:hyperlink>
      <w:r w:rsidR="00B525CE" w:rsidRPr="00686D2C">
        <w:t>條</w:t>
      </w:r>
      <w:r w:rsidR="00203F72" w:rsidRPr="00686D2C">
        <w:t>比例原則，亦不符第八條保障人民身體自由之意旨。相關機關應自本解釋公布之日起二年內，依本解釋之意旨，審酌實際需要並避免過度幹預人身自由，以法律或法律具體明確授權之命令規定得暫予收容之具體事由，並以法律規定執行遣送所需合理作業期間、合理之暫予收容期間及相應之正當法律程序。屆期未完成者，前揭兩岸關係條例</w:t>
      </w:r>
      <w:r w:rsidR="00306E89" w:rsidRPr="00306E89">
        <w:t>第</w:t>
      </w:r>
      <w:hyperlink r:id="rId177" w:anchor="b18" w:history="1">
        <w:r w:rsidR="00306E89" w:rsidRPr="00306E89">
          <w:rPr>
            <w:rStyle w:val="a5"/>
            <w:rFonts w:ascii="Times New Roman" w:hAnsi="Times New Roman"/>
          </w:rPr>
          <w:t>十八</w:t>
        </w:r>
      </w:hyperlink>
      <w:r w:rsidR="00306E89" w:rsidRPr="00306E89">
        <w:t>條</w:t>
      </w:r>
      <w:r w:rsidR="00203F72" w:rsidRPr="00686D2C">
        <w:t>第二項關於「得暫予收容」部分失其效力。</w:t>
      </w:r>
      <w:r w:rsidR="00203F72" w:rsidRPr="00686D2C">
        <w:footnoteReference w:id="50"/>
      </w:r>
      <w:r w:rsidR="00203F72" w:rsidRPr="00686D2C">
        <w:t>」</w:t>
      </w:r>
    </w:p>
    <w:p w14:paraId="6FBFE21F" w14:textId="77777777" w:rsidR="00953151" w:rsidRPr="00686D2C" w:rsidRDefault="00B03E84" w:rsidP="00D87D91">
      <w:r w:rsidRPr="00686D2C">
        <w:t xml:space="preserve">　　</w:t>
      </w:r>
      <w:r w:rsidR="00203F72" w:rsidRPr="00686D2C">
        <w:t>身體自由是一切自由之基礎，憲</w:t>
      </w:r>
      <w:r w:rsidR="00F84373" w:rsidRPr="00A53581">
        <w:rPr>
          <w:rFonts w:ascii="新細明體" w:hAnsi="新細明體" w:hint="eastAsia"/>
          <w:kern w:val="0"/>
        </w:rPr>
        <w:t>法</w:t>
      </w:r>
      <w:hyperlink r:id="rId178" w:anchor="a8" w:history="1">
        <w:r w:rsidR="00F84373" w:rsidRPr="00F84373">
          <w:rPr>
            <w:rStyle w:val="a5"/>
            <w:rFonts w:eastAsia="新細明體" w:hint="eastAsia"/>
            <w:kern w:val="0"/>
          </w:rPr>
          <w:t>第八條</w:t>
        </w:r>
      </w:hyperlink>
      <w:r w:rsidR="00203F72" w:rsidRPr="00686D2C">
        <w:t>之規定，可以落實人身自由之保障，消除人民恐懼不安。國家對於人民身體之拘禁，除非除現行犯之逮捕由法律另定外，法官保留及提審制，仍是憲法規定應予保護之基本權益，世界上很多國家還是有如此之做法，目的在確保人權之落實。有關於我國憲法</w:t>
      </w:r>
      <w:hyperlink r:id="rId179" w:anchor="a8" w:history="1">
        <w:r w:rsidR="001F6A1B" w:rsidRPr="001F6A1B">
          <w:rPr>
            <w:rStyle w:val="a5"/>
          </w:rPr>
          <w:t>第8條</w:t>
        </w:r>
      </w:hyperlink>
      <w:r w:rsidR="00203F72" w:rsidRPr="00686D2C">
        <w:t>之適用，另外一個非常重要之議題，係如何適用至臺灣地區與大陸地區人民關係條例中之大陸地區人民之人身自由之保障。</w:t>
      </w:r>
    </w:p>
    <w:p w14:paraId="2F52C05D" w14:textId="77777777" w:rsidR="00953151" w:rsidRPr="00686D2C" w:rsidRDefault="00B03E84" w:rsidP="00D87D91">
      <w:r w:rsidRPr="00686D2C">
        <w:t xml:space="preserve">　　</w:t>
      </w:r>
      <w:r w:rsidR="00203F72" w:rsidRPr="00686D2C">
        <w:t>依據司法院釋</w:t>
      </w:r>
      <w:r w:rsidR="00943369" w:rsidRPr="00A53581">
        <w:rPr>
          <w:rFonts w:ascii="新細明體" w:hAnsi="新細明體" w:cs="細明體_HKSCS" w:hint="eastAsia"/>
        </w:rPr>
        <w:t>字</w:t>
      </w:r>
      <w:hyperlink r:id="rId180" w:anchor="r710" w:history="1">
        <w:r w:rsidR="00943369" w:rsidRPr="00943369">
          <w:rPr>
            <w:rStyle w:val="a5"/>
            <w:rFonts w:cs="細明體_HKSCS" w:hint="eastAsia"/>
          </w:rPr>
          <w:t>第710號</w:t>
        </w:r>
      </w:hyperlink>
      <w:r w:rsidR="00203F72" w:rsidRPr="00686D2C">
        <w:t>之解釋，使得在台灣之大陸地區人民之人身自由得到更多之保障，是我國人權一大進步，本解釋明確指出收容須符合憲</w:t>
      </w:r>
      <w:r w:rsidR="00F84373" w:rsidRPr="00A53581">
        <w:rPr>
          <w:rFonts w:ascii="新細明體" w:hAnsi="新細明體" w:hint="eastAsia"/>
          <w:kern w:val="0"/>
        </w:rPr>
        <w:t>法</w:t>
      </w:r>
      <w:hyperlink r:id="rId181" w:anchor="a8" w:history="1">
        <w:r w:rsidR="00F84373" w:rsidRPr="00F84373">
          <w:rPr>
            <w:rStyle w:val="a5"/>
            <w:rFonts w:eastAsia="新細明體" w:hint="eastAsia"/>
            <w:kern w:val="0"/>
          </w:rPr>
          <w:t>第八條</w:t>
        </w:r>
      </w:hyperlink>
      <w:r w:rsidR="00203F72" w:rsidRPr="00686D2C">
        <w:t>保障人身自由之意旨：</w:t>
      </w:r>
      <w:r w:rsidR="00203F72" w:rsidRPr="00686D2C">
        <w:t>1</w:t>
      </w:r>
      <w:r w:rsidR="00203F72" w:rsidRPr="00686D2C">
        <w:t>、法律明確性原則，卽收容之事由需由法律明定。</w:t>
      </w:r>
      <w:r w:rsidR="00203F72" w:rsidRPr="00686D2C">
        <w:t>2</w:t>
      </w:r>
      <w:r w:rsidR="00203F72" w:rsidRPr="00686D2C">
        <w:t>、暫時收容部分，應給予即時之司法救濟。</w:t>
      </w:r>
      <w:r w:rsidR="00203F72" w:rsidRPr="00686D2C">
        <w:t>3</w:t>
      </w:r>
      <w:r w:rsidR="00203F72" w:rsidRPr="00686D2C">
        <w:t>、逾越前開暫時收容期間之收容，需由法院審查決定。如此，方符合憲法正當法律程序原則，我國對人權保護將更周全。不過，暫時收容部分，如能適用法官保留，則會更適切。</w:t>
      </w:r>
    </w:p>
    <w:p w14:paraId="14AA886E" w14:textId="77777777" w:rsidR="00953151" w:rsidRDefault="00076467" w:rsidP="00767F37">
      <w:pPr>
        <w:pStyle w:val="2"/>
      </w:pPr>
      <w:hyperlink r:id="rId182" w:anchor="a9" w:history="1">
        <w:r w:rsidR="005D5A46">
          <w:rPr>
            <w:rStyle w:val="a5"/>
            <w:rFonts w:ascii="Arial Unicode MS" w:hAnsi="Arial Unicode MS"/>
          </w:rPr>
          <w:t>第</w:t>
        </w:r>
        <w:r w:rsidR="00203F72" w:rsidRPr="00CC3396">
          <w:rPr>
            <w:rStyle w:val="a5"/>
            <w:rFonts w:ascii="Arial Unicode MS" w:hAnsi="Arial Unicode MS"/>
          </w:rPr>
          <w:t>9</w:t>
        </w:r>
        <w:r w:rsidR="005D5A46">
          <w:rPr>
            <w:rStyle w:val="a5"/>
            <w:rFonts w:ascii="Arial Unicode MS" w:hAnsi="Arial Unicode MS"/>
          </w:rPr>
          <w:t>條</w:t>
        </w:r>
      </w:hyperlink>
      <w:r w:rsidR="00203F72" w:rsidRPr="00A53581">
        <w:t>人民除現役軍人外，不受軍事審判。</w:t>
      </w:r>
    </w:p>
    <w:p w14:paraId="6D4092DD" w14:textId="77777777" w:rsidR="00203F72" w:rsidRPr="00686D2C" w:rsidRDefault="00B03E84" w:rsidP="00D87D91">
      <w:r w:rsidRPr="00686D2C">
        <w:t>【內容解析】</w:t>
      </w:r>
    </w:p>
    <w:p w14:paraId="614F1D3F" w14:textId="77777777" w:rsidR="00953151" w:rsidRPr="00686D2C" w:rsidRDefault="00686D2C" w:rsidP="00D87D91">
      <w:r w:rsidRPr="00686D2C">
        <w:t xml:space="preserve">　　</w:t>
      </w:r>
      <w:r w:rsidR="00203F72" w:rsidRPr="00686D2C">
        <w:t>由於軍事審判講求嚴格、快速與效率，特別在戰時，可能因為審判之延誤，造成軍令或士氣負面影響。但講求效率之過程，可能造成人民基本人權例如自由遭剝奪之疑慮。因此，我國憲法在審判度之適用上，把人民區分為現役軍人跟非現役軍人，不是現役軍人只能由一般之司法審判，不能施以軍事審判，非現役軍人之一般人民不需接受軍事審判。依本條之規定，關於非現役軍人不受軍事審判，係司法一元化之表現。</w:t>
      </w:r>
    </w:p>
    <w:p w14:paraId="3321E88F" w14:textId="77777777" w:rsidR="00953151" w:rsidRPr="00686D2C" w:rsidRDefault="00B03E84" w:rsidP="00D87D91">
      <w:r w:rsidRPr="00686D2C">
        <w:t xml:space="preserve">　　</w:t>
      </w:r>
      <w:r w:rsidR="00203F72" w:rsidRPr="00686D2C">
        <w:t>依司法院釋字</w:t>
      </w:r>
      <w:hyperlink r:id="rId183" w:anchor="r436" w:history="1">
        <w:r w:rsidR="00203F72" w:rsidRPr="00C15E9F">
          <w:rPr>
            <w:rStyle w:val="a5"/>
            <w:rFonts w:ascii="Times New Roman" w:eastAsia="新細明體" w:hAnsi="Times New Roman"/>
          </w:rPr>
          <w:t>第</w:t>
        </w:r>
        <w:r w:rsidR="00203F72" w:rsidRPr="00C15E9F">
          <w:rPr>
            <w:rStyle w:val="a5"/>
            <w:rFonts w:ascii="Times New Roman" w:eastAsia="新細明體" w:hAnsi="Times New Roman"/>
          </w:rPr>
          <w:t>436</w:t>
        </w:r>
        <w:r w:rsidR="00203F72" w:rsidRPr="00C15E9F">
          <w:rPr>
            <w:rStyle w:val="a5"/>
            <w:rFonts w:ascii="Times New Roman" w:eastAsia="新細明體" w:hAnsi="Times New Roman"/>
          </w:rPr>
          <w:t>號</w:t>
        </w:r>
      </w:hyperlink>
      <w:r w:rsidR="00203F72" w:rsidRPr="00686D2C">
        <w:t>解釋之闡釋：「憲</w:t>
      </w:r>
      <w:r w:rsidR="00F84373" w:rsidRPr="00A53581">
        <w:rPr>
          <w:rFonts w:ascii="新細明體" w:hAnsi="新細明體" w:hint="eastAsia"/>
          <w:kern w:val="0"/>
        </w:rPr>
        <w:t>法</w:t>
      </w:r>
      <w:hyperlink r:id="rId184" w:anchor="a8" w:history="1">
        <w:r w:rsidR="00F84373" w:rsidRPr="00F84373">
          <w:rPr>
            <w:rStyle w:val="a5"/>
            <w:rFonts w:eastAsia="新細明體" w:hint="eastAsia"/>
            <w:kern w:val="0"/>
          </w:rPr>
          <w:t>第八條</w:t>
        </w:r>
      </w:hyperlink>
      <w:r w:rsidR="00203F72" w:rsidRPr="00686D2C">
        <w:t>第一項規定，人民身體之自由應予保障，非由法院依法定程序不得審問處罰；憲法第十六條並規定人民有訴訟之權。現役軍人亦為人民，自應同受上開規定之保障。又憲法</w:t>
      </w:r>
      <w:hyperlink r:id="rId185" w:anchor="a9" w:history="1">
        <w:r w:rsidR="00BD43D3" w:rsidRPr="001408FD">
          <w:rPr>
            <w:rStyle w:val="a5"/>
          </w:rPr>
          <w:t>第九條</w:t>
        </w:r>
      </w:hyperlink>
      <w:r w:rsidR="00203F72" w:rsidRPr="00686D2C">
        <w:t>規定：「人民除現役軍人外，不受軍事審判」，乃因現役軍人負有保衛國家之特別義務，基於國家安全與軍事需要，對其犯罪行為得設軍事審判之特別訴訟程序，非謂軍事審判機關對於軍人之犯罪有專屬之審判權。至軍事審判之建制，憲法未設明文規定，雖得以法律定之，惟軍事審判機關所行使者，亦屬國家刑罰權之一種，其發動與運作，必須符合正當法律程序之最低要求，包括獨立、公正之審判機關與程序，並不得違背憲法</w:t>
      </w:r>
      <w:r w:rsidR="006B7176" w:rsidRPr="00B167C2">
        <w:t>第</w:t>
      </w:r>
      <w:hyperlink r:id="rId186" w:anchor="a77" w:history="1">
        <w:r w:rsidR="006B7176" w:rsidRPr="00B167C2">
          <w:rPr>
            <w:rStyle w:val="a5"/>
          </w:rPr>
          <w:t>七十七</w:t>
        </w:r>
      </w:hyperlink>
      <w:r w:rsidR="006B7176" w:rsidRPr="00B167C2">
        <w:t>條</w:t>
      </w:r>
      <w:r w:rsidR="00203F72" w:rsidRPr="00686D2C">
        <w:t>、第</w:t>
      </w:r>
      <w:hyperlink r:id="rId187" w:anchor="a80" w:history="1">
        <w:r w:rsidR="00203F72" w:rsidRPr="006B7176">
          <w:rPr>
            <w:rStyle w:val="a5"/>
            <w:rFonts w:ascii="Times New Roman" w:eastAsia="新細明體" w:hAnsi="Times New Roman"/>
          </w:rPr>
          <w:t>八十</w:t>
        </w:r>
      </w:hyperlink>
      <w:r w:rsidR="00203F72" w:rsidRPr="00686D2C">
        <w:t>條等有關司法權建制之憲政原理；規定軍事審判程序之法律涉及軍人權利之限制者，亦應遵守憲</w:t>
      </w:r>
      <w:r w:rsidR="00B525CE" w:rsidRPr="00686D2C">
        <w:t>法第</w:t>
      </w:r>
      <w:hyperlink r:id="rId188" w:anchor="a23" w:history="1">
        <w:r w:rsidR="00B525CE" w:rsidRPr="00686D2C">
          <w:rPr>
            <w:rStyle w:val="a5"/>
          </w:rPr>
          <w:t>二十三</w:t>
        </w:r>
      </w:hyperlink>
      <w:r w:rsidR="00B525CE" w:rsidRPr="00686D2C">
        <w:t>條</w:t>
      </w:r>
      <w:r w:rsidR="00203F72" w:rsidRPr="00686D2C">
        <w:t>之比例原則」。</w:t>
      </w:r>
    </w:p>
    <w:p w14:paraId="36E3744A" w14:textId="77777777" w:rsidR="00953151" w:rsidRPr="00686D2C" w:rsidRDefault="00B03E84" w:rsidP="00D87D91">
      <w:r w:rsidRPr="00686D2C">
        <w:t xml:space="preserve">　　</w:t>
      </w:r>
      <w:r w:rsidR="00203F72" w:rsidRPr="00686D2C">
        <w:t>另依司法院釋字</w:t>
      </w:r>
      <w:hyperlink r:id="rId189" w:anchor="r262" w:history="1">
        <w:r w:rsidR="00203F72" w:rsidRPr="00C15E9F">
          <w:rPr>
            <w:rStyle w:val="a5"/>
            <w:rFonts w:ascii="Times New Roman" w:eastAsia="新細明體" w:hAnsi="Times New Roman"/>
          </w:rPr>
          <w:t>第</w:t>
        </w:r>
        <w:r w:rsidR="00203F72" w:rsidRPr="00C15E9F">
          <w:rPr>
            <w:rStyle w:val="a5"/>
            <w:rFonts w:ascii="Times New Roman" w:eastAsia="新細明體" w:hAnsi="Times New Roman"/>
          </w:rPr>
          <w:t>262</w:t>
        </w:r>
        <w:r w:rsidR="00203F72" w:rsidRPr="00C15E9F">
          <w:rPr>
            <w:rStyle w:val="a5"/>
            <w:rFonts w:ascii="Times New Roman" w:eastAsia="新細明體" w:hAnsi="Times New Roman"/>
          </w:rPr>
          <w:t>號</w:t>
        </w:r>
      </w:hyperlink>
      <w:r w:rsidR="00203F72" w:rsidRPr="00686D2C">
        <w:t>解釋之理由書：「至陸海空軍現役軍人之過犯，不涉及刑事範圍者，除彈劾案成立者外，為維護軍事指揮權與賞罰權之合一，確保統帥權及軍令之貫徹執行，其懲罰仍應依</w:t>
      </w:r>
      <w:hyperlink r:id="rId190" w:history="1">
        <w:r w:rsidR="00203F72" w:rsidRPr="00B213D8">
          <w:rPr>
            <w:rStyle w:val="a5"/>
            <w:rFonts w:ascii="Times New Roman" w:eastAsia="新細明體" w:hAnsi="Times New Roman"/>
          </w:rPr>
          <w:t>陸海空軍懲罰法</w:t>
        </w:r>
      </w:hyperlink>
      <w:r w:rsidR="00203F72" w:rsidRPr="00686D2C">
        <w:t>行之。」</w:t>
      </w:r>
    </w:p>
    <w:p w14:paraId="4EF11984" w14:textId="77777777" w:rsidR="00953151" w:rsidRPr="00686D2C" w:rsidRDefault="00B03E84" w:rsidP="00D87D91">
      <w:r w:rsidRPr="00686D2C">
        <w:t xml:space="preserve">　　</w:t>
      </w:r>
      <w:r w:rsidR="00203F72" w:rsidRPr="00686D2C">
        <w:t>可知因現役軍人負有保衛國家之特別義務，為維護軍事指揮權與賞罰權之合一，確保統帥權及軍令之貫徹執行，基於國家安全與軍事需要，乃對其犯罪行為得設軍事審判</w:t>
      </w:r>
      <w:r w:rsidR="00203F72" w:rsidRPr="00686D2C">
        <w:lastRenderedPageBreak/>
        <w:t>之特別訴訟程序，但軍人仍擁有人身自由與訴訟權，軍事審判機關對於軍人之犯罪未有專屬審判權。軍事審判發動與運作，仍必須符合正當法律程序之最低要求，包括獨立、公正之審判機關與程序，亦應遵守憲</w:t>
      </w:r>
      <w:r w:rsidR="00B525CE" w:rsidRPr="00686D2C">
        <w:t>法第</w:t>
      </w:r>
      <w:hyperlink r:id="rId191" w:anchor="a23" w:history="1">
        <w:r w:rsidR="00B525CE" w:rsidRPr="00686D2C">
          <w:rPr>
            <w:rStyle w:val="a5"/>
          </w:rPr>
          <w:t>二十三</w:t>
        </w:r>
      </w:hyperlink>
      <w:r w:rsidR="00B525CE" w:rsidRPr="00686D2C">
        <w:t>條</w:t>
      </w:r>
      <w:r w:rsidR="00203F72" w:rsidRPr="00686D2C">
        <w:t>之比例原則。</w:t>
      </w:r>
    </w:p>
    <w:p w14:paraId="126CC69B" w14:textId="77777777" w:rsidR="00953151" w:rsidRPr="00686D2C" w:rsidRDefault="00B03E84" w:rsidP="00D87D91">
      <w:r w:rsidRPr="00686D2C">
        <w:t xml:space="preserve">　　</w:t>
      </w:r>
      <w:r w:rsidR="00203F72" w:rsidRPr="00686D2C">
        <w:t>不過，於民國</w:t>
      </w:r>
      <w:r w:rsidR="00203F72" w:rsidRPr="00686D2C">
        <w:t>102</w:t>
      </w:r>
      <w:r w:rsidR="00203F72" w:rsidRPr="00686D2C">
        <w:t>年，我國發生現役軍人下士洪仲丘於軍中服役時，因觸犯相關軍中使用手機之規定，被處以禁閉處分；然於禁閉室內，被體罰致死案，導致全國民意非常沸騰，要求儘速修改</w:t>
      </w:r>
      <w:hyperlink r:id="rId192" w:history="1">
        <w:r w:rsidR="00350075" w:rsidRPr="00350075">
          <w:rPr>
            <w:rStyle w:val="a5"/>
            <w:rFonts w:ascii="Times New Roman" w:eastAsia="新細明體" w:hAnsi="Times New Roman"/>
          </w:rPr>
          <w:t>軍事審判法</w:t>
        </w:r>
      </w:hyperlink>
      <w:r w:rsidR="00203F72" w:rsidRPr="00686D2C">
        <w:t>。立法院遂於民國</w:t>
      </w:r>
      <w:r w:rsidR="00203F72" w:rsidRPr="00686D2C">
        <w:t>102</w:t>
      </w:r>
      <w:r w:rsidR="00203F72" w:rsidRPr="00686D2C">
        <w:t>年</w:t>
      </w:r>
      <w:r w:rsidR="00203F72" w:rsidRPr="00686D2C">
        <w:t>8</w:t>
      </w:r>
      <w:r w:rsidR="00203F72" w:rsidRPr="00686D2C">
        <w:t>月</w:t>
      </w:r>
      <w:r w:rsidR="00203F72" w:rsidRPr="00686D2C">
        <w:t>6</w:t>
      </w:r>
      <w:r w:rsidR="00203F72" w:rsidRPr="00686D2C">
        <w:t>日三讀通過軍事審判</w:t>
      </w:r>
      <w:r w:rsidR="00687BCD" w:rsidRPr="00686D2C">
        <w:t>法</w:t>
      </w:r>
      <w:hyperlink r:id="rId193" w:anchor="a1" w:history="1">
        <w:r w:rsidR="00687BCD" w:rsidRPr="00686D2C">
          <w:rPr>
            <w:rStyle w:val="a5"/>
          </w:rPr>
          <w:t>第1條</w:t>
        </w:r>
      </w:hyperlink>
      <w:r w:rsidR="00203F72" w:rsidRPr="00686D2C">
        <w:t>、</w:t>
      </w:r>
      <w:hyperlink r:id="rId194" w:anchor="a34" w:history="1">
        <w:r w:rsidR="00203F72" w:rsidRPr="00350075">
          <w:rPr>
            <w:rStyle w:val="a5"/>
            <w:rFonts w:ascii="Times New Roman" w:eastAsia="新細明體" w:hAnsi="Times New Roman"/>
          </w:rPr>
          <w:t>第</w:t>
        </w:r>
        <w:r w:rsidR="00203F72" w:rsidRPr="00350075">
          <w:rPr>
            <w:rStyle w:val="a5"/>
            <w:rFonts w:ascii="Times New Roman" w:eastAsia="新細明體" w:hAnsi="Times New Roman"/>
          </w:rPr>
          <w:t>34</w:t>
        </w:r>
        <w:r w:rsidR="00203F72" w:rsidRPr="00350075">
          <w:rPr>
            <w:rStyle w:val="a5"/>
            <w:rFonts w:ascii="Times New Roman" w:eastAsia="新細明體" w:hAnsi="Times New Roman"/>
          </w:rPr>
          <w:t>條</w:t>
        </w:r>
      </w:hyperlink>
      <w:r w:rsidR="00203F72" w:rsidRPr="00686D2C">
        <w:t>及</w:t>
      </w:r>
      <w:hyperlink r:id="rId195" w:anchor="a237" w:history="1">
        <w:r w:rsidR="00203F72" w:rsidRPr="00350075">
          <w:rPr>
            <w:rStyle w:val="a5"/>
            <w:rFonts w:ascii="Times New Roman" w:eastAsia="新細明體" w:hAnsi="Times New Roman"/>
          </w:rPr>
          <w:t>第</w:t>
        </w:r>
        <w:r w:rsidR="00203F72" w:rsidRPr="00350075">
          <w:rPr>
            <w:rStyle w:val="a5"/>
            <w:rFonts w:ascii="Times New Roman" w:eastAsia="新細明體" w:hAnsi="Times New Roman"/>
          </w:rPr>
          <w:t>237</w:t>
        </w:r>
        <w:r w:rsidR="00203F72" w:rsidRPr="00350075">
          <w:rPr>
            <w:rStyle w:val="a5"/>
            <w:rFonts w:ascii="Times New Roman" w:eastAsia="新細明體" w:hAnsi="Times New Roman"/>
          </w:rPr>
          <w:t>條</w:t>
        </w:r>
      </w:hyperlink>
      <w:r w:rsidR="00203F72" w:rsidRPr="00686D2C">
        <w:t>條文之修法案，馬總統英九先生並火速於民國</w:t>
      </w:r>
      <w:r w:rsidR="00203F72" w:rsidRPr="00686D2C">
        <w:t>102</w:t>
      </w:r>
      <w:r w:rsidR="00203F72" w:rsidRPr="00686D2C">
        <w:t>年</w:t>
      </w:r>
      <w:r w:rsidR="00203F72" w:rsidRPr="00686D2C">
        <w:t>8</w:t>
      </w:r>
      <w:r w:rsidR="00203F72" w:rsidRPr="00686D2C">
        <w:t>月</w:t>
      </w:r>
      <w:r w:rsidR="00203F72" w:rsidRPr="00686D2C">
        <w:t>13</w:t>
      </w:r>
      <w:r w:rsidR="00203F72" w:rsidRPr="00686D2C">
        <w:t>日公布，本法並於民國</w:t>
      </w:r>
      <w:r w:rsidR="00203F72" w:rsidRPr="00686D2C">
        <w:t>102</w:t>
      </w:r>
      <w:r w:rsidR="00203F72" w:rsidRPr="00686D2C">
        <w:t>年</w:t>
      </w:r>
      <w:r w:rsidR="00203F72" w:rsidRPr="00686D2C">
        <w:t>8</w:t>
      </w:r>
      <w:r w:rsidR="00203F72" w:rsidRPr="00686D2C">
        <w:t>月</w:t>
      </w:r>
      <w:r w:rsidR="00203F72" w:rsidRPr="00686D2C">
        <w:t>15</w:t>
      </w:r>
      <w:r w:rsidR="00203F72" w:rsidRPr="00686D2C">
        <w:t>日生效。</w:t>
      </w:r>
    </w:p>
    <w:p w14:paraId="720BE021" w14:textId="77777777" w:rsidR="00953151" w:rsidRPr="00686D2C" w:rsidRDefault="00B03E84" w:rsidP="00D87D91">
      <w:r w:rsidRPr="00686D2C">
        <w:t xml:space="preserve">　　</w:t>
      </w:r>
      <w:r w:rsidR="00203F72" w:rsidRPr="00686D2C">
        <w:t>本次修正</w:t>
      </w:r>
      <w:hyperlink r:id="rId196" w:history="1">
        <w:r w:rsidR="00203F72" w:rsidRPr="00350075">
          <w:rPr>
            <w:rStyle w:val="a5"/>
            <w:rFonts w:ascii="Times New Roman" w:eastAsia="新細明體" w:hAnsi="Times New Roman"/>
          </w:rPr>
          <w:t>軍事審判法</w:t>
        </w:r>
      </w:hyperlink>
      <w:r w:rsidR="00203F72" w:rsidRPr="00686D2C">
        <w:t>，係採一次修法，二階段生效之方式處理。第一階段，先將平時現役軍人違反陸海空刑法</w:t>
      </w:r>
      <w:hyperlink r:id="rId197" w:anchor="a44" w:history="1">
        <w:r w:rsidR="00203F72" w:rsidRPr="006B7176">
          <w:rPr>
            <w:rStyle w:val="a5"/>
            <w:rFonts w:ascii="Times New Roman" w:eastAsia="新細明體" w:hAnsi="Times New Roman"/>
          </w:rPr>
          <w:t>第</w:t>
        </w:r>
        <w:r w:rsidR="00203F72" w:rsidRPr="006B7176">
          <w:rPr>
            <w:rStyle w:val="a5"/>
            <w:rFonts w:ascii="Times New Roman" w:eastAsia="新細明體" w:hAnsi="Times New Roman"/>
          </w:rPr>
          <w:t>44</w:t>
        </w:r>
        <w:r w:rsidR="00203F72" w:rsidRPr="006B7176">
          <w:rPr>
            <w:rStyle w:val="a5"/>
            <w:rFonts w:ascii="Times New Roman" w:eastAsia="新細明體" w:hAnsi="Times New Roman"/>
          </w:rPr>
          <w:t>條</w:t>
        </w:r>
      </w:hyperlink>
      <w:r w:rsidR="00203F72" w:rsidRPr="00686D2C">
        <w:t>淩虐部屬罪、</w:t>
      </w:r>
      <w:hyperlink r:id="rId198" w:anchor="a45" w:history="1">
        <w:r w:rsidR="00203F72" w:rsidRPr="006B7176">
          <w:rPr>
            <w:rStyle w:val="a5"/>
            <w:rFonts w:ascii="Times New Roman" w:eastAsia="新細明體" w:hAnsi="Times New Roman"/>
          </w:rPr>
          <w:t>第</w:t>
        </w:r>
        <w:r w:rsidR="00203F72" w:rsidRPr="006B7176">
          <w:rPr>
            <w:rStyle w:val="a5"/>
            <w:rFonts w:ascii="Times New Roman" w:eastAsia="新細明體" w:hAnsi="Times New Roman"/>
          </w:rPr>
          <w:t>45</w:t>
        </w:r>
        <w:r w:rsidR="00203F72" w:rsidRPr="006B7176">
          <w:rPr>
            <w:rStyle w:val="a5"/>
            <w:rFonts w:ascii="Times New Roman" w:eastAsia="新細明體" w:hAnsi="Times New Roman"/>
          </w:rPr>
          <w:t>條</w:t>
        </w:r>
      </w:hyperlink>
      <w:r w:rsidR="00203F72" w:rsidRPr="00686D2C">
        <w:t>不應懲罰而懲罰罪</w:t>
      </w:r>
      <w:r w:rsidR="00203F72" w:rsidRPr="00686D2C">
        <w:t>(</w:t>
      </w:r>
      <w:r w:rsidR="00203F72" w:rsidRPr="00686D2C">
        <w:t>違法處罰罪</w:t>
      </w:r>
      <w:r w:rsidR="00203F72" w:rsidRPr="00686D2C">
        <w:t>)</w:t>
      </w:r>
      <w:r w:rsidR="00203F72" w:rsidRPr="00686D2C">
        <w:t>、</w:t>
      </w:r>
      <w:hyperlink r:id="rId199" w:anchor="a46" w:history="1">
        <w:r w:rsidR="00203F72" w:rsidRPr="006B7176">
          <w:rPr>
            <w:rStyle w:val="a5"/>
            <w:rFonts w:ascii="Times New Roman" w:eastAsia="新細明體" w:hAnsi="Times New Roman"/>
          </w:rPr>
          <w:t>第</w:t>
        </w:r>
        <w:r w:rsidR="00203F72" w:rsidRPr="006B7176">
          <w:rPr>
            <w:rStyle w:val="a5"/>
            <w:rFonts w:ascii="Times New Roman" w:eastAsia="新細明體" w:hAnsi="Times New Roman"/>
          </w:rPr>
          <w:t>46</w:t>
        </w:r>
        <w:r w:rsidR="00203F72" w:rsidRPr="006B7176">
          <w:rPr>
            <w:rStyle w:val="a5"/>
            <w:rFonts w:ascii="Times New Roman" w:eastAsia="新細明體" w:hAnsi="Times New Roman"/>
          </w:rPr>
          <w:t>條</w:t>
        </w:r>
      </w:hyperlink>
      <w:r w:rsidR="00203F72" w:rsidRPr="00686D2C">
        <w:t>阻撓部屬陳情罪及</w:t>
      </w:r>
      <w:hyperlink r:id="rId200" w:anchor="a76" w:history="1">
        <w:r w:rsidR="00203F72" w:rsidRPr="006B7176">
          <w:rPr>
            <w:rStyle w:val="a5"/>
            <w:rFonts w:ascii="Times New Roman" w:eastAsia="新細明體" w:hAnsi="Times New Roman"/>
          </w:rPr>
          <w:t>第</w:t>
        </w:r>
        <w:r w:rsidR="00203F72" w:rsidRPr="006B7176">
          <w:rPr>
            <w:rStyle w:val="a5"/>
            <w:rFonts w:ascii="Times New Roman" w:eastAsia="新細明體" w:hAnsi="Times New Roman"/>
          </w:rPr>
          <w:t>76</w:t>
        </w:r>
        <w:r w:rsidR="00203F72" w:rsidRPr="006B7176">
          <w:rPr>
            <w:rStyle w:val="a5"/>
            <w:rFonts w:ascii="Times New Roman" w:eastAsia="新細明體" w:hAnsi="Times New Roman"/>
          </w:rPr>
          <w:t>條</w:t>
        </w:r>
      </w:hyperlink>
      <w:r w:rsidR="00203F72" w:rsidRPr="00686D2C">
        <w:t>第</w:t>
      </w:r>
      <w:r w:rsidR="00203F72" w:rsidRPr="00686D2C">
        <w:t>1</w:t>
      </w:r>
      <w:r w:rsidR="00203F72" w:rsidRPr="00686D2C">
        <w:t>項所列各罪</w:t>
      </w:r>
      <w:r w:rsidR="00BC4811" w:rsidRPr="00686D2C">
        <w:t>〜</w:t>
      </w:r>
      <w:r w:rsidR="00203F72" w:rsidRPr="00686D2C">
        <w:t>外患、瀆職、公共危險、偽造文書、殺人、傷害、妨害性自主、在營區竊盜、搶奪強盜、恐嚇及擄人勒贖等</w:t>
      </w:r>
      <w:r w:rsidR="00203F72" w:rsidRPr="00686D2C">
        <w:t>10</w:t>
      </w:r>
      <w:r w:rsidR="00203F72" w:rsidRPr="00686D2C">
        <w:t>項罪名之案件，全部改移由司法機關追訴、審判；其餘案件</w:t>
      </w:r>
      <w:r w:rsidR="00D92F56" w:rsidRPr="00686D2C">
        <w:t>〜</w:t>
      </w:r>
      <w:r w:rsidR="00203F72" w:rsidRPr="00686D2C">
        <w:t>《</w:t>
      </w:r>
      <w:hyperlink r:id="rId201" w:history="1">
        <w:r w:rsidR="00203F72" w:rsidRPr="006B7176">
          <w:rPr>
            <w:rStyle w:val="a5"/>
            <w:rFonts w:ascii="Times New Roman" w:eastAsia="新細明體" w:hAnsi="Times New Roman"/>
          </w:rPr>
          <w:t>陸海空軍刑法</w:t>
        </w:r>
      </w:hyperlink>
      <w:r w:rsidR="00203F72" w:rsidRPr="00686D2C">
        <w:t>》中有關酒駕、毒品、顛覆政府、暴動、洩露軍事機密等罪名，</w:t>
      </w:r>
      <w:hyperlink r:id="rId202" w:history="1">
        <w:r w:rsidR="00350075" w:rsidRPr="00350075">
          <w:rPr>
            <w:rStyle w:val="a5"/>
            <w:rFonts w:ascii="Times New Roman" w:eastAsia="新細明體" w:hAnsi="Times New Roman"/>
          </w:rPr>
          <w:t>軍事審判法</w:t>
        </w:r>
      </w:hyperlink>
      <w:r w:rsidR="00203F72" w:rsidRPr="00686D2C">
        <w:t>訂定</w:t>
      </w:r>
      <w:r w:rsidR="00203F72" w:rsidRPr="00686D2C">
        <w:t>5</w:t>
      </w:r>
      <w:r w:rsidR="00203F72" w:rsidRPr="00686D2C">
        <w:t>個月之「過渡條款」，給予準備期，於</w:t>
      </w:r>
      <w:hyperlink r:id="rId203" w:history="1">
        <w:r w:rsidR="00350075" w:rsidRPr="00350075">
          <w:rPr>
            <w:rStyle w:val="a5"/>
            <w:rFonts w:ascii="Times New Roman" w:eastAsia="新細明體" w:hAnsi="Times New Roman"/>
          </w:rPr>
          <w:t>軍事審判法</w:t>
        </w:r>
      </w:hyperlink>
      <w:r w:rsidR="00203F72" w:rsidRPr="00686D2C">
        <w:t>公布修正後</w:t>
      </w:r>
      <w:r w:rsidR="00203F72" w:rsidRPr="00686D2C">
        <w:t>5</w:t>
      </w:r>
      <w:r w:rsidR="00203F72" w:rsidRPr="00686D2C">
        <w:t>個月生效（即</w:t>
      </w:r>
      <w:r w:rsidR="00203F72" w:rsidRPr="00686D2C">
        <w:t>103</w:t>
      </w:r>
      <w:r w:rsidR="00203F72" w:rsidRPr="00686D2C">
        <w:t>年</w:t>
      </w:r>
      <w:r w:rsidR="00203F72" w:rsidRPr="00686D2C">
        <w:t>1</w:t>
      </w:r>
      <w:r w:rsidR="00203F72" w:rsidRPr="00686D2C">
        <w:t>月</w:t>
      </w:r>
      <w:r w:rsidR="00203F72" w:rsidRPr="00686D2C">
        <w:t>13</w:t>
      </w:r>
      <w:r w:rsidR="00203F72" w:rsidRPr="00686D2C">
        <w:t>日），亦移送司法機關追訴、審判</w:t>
      </w:r>
      <w:r w:rsidR="00203F72" w:rsidRPr="00686D2C">
        <w:footnoteReference w:id="51"/>
      </w:r>
      <w:r w:rsidR="00203F72" w:rsidRPr="00686D2C">
        <w:t>。針對本次之修法，本書亦贊同之。</w:t>
      </w:r>
    </w:p>
    <w:p w14:paraId="4CA23831" w14:textId="77777777" w:rsidR="00953151" w:rsidRDefault="00076467" w:rsidP="00767F37">
      <w:pPr>
        <w:pStyle w:val="2"/>
      </w:pPr>
      <w:hyperlink r:id="rId204" w:anchor="a10" w:history="1">
        <w:r w:rsidR="005D5A46">
          <w:rPr>
            <w:rStyle w:val="a5"/>
            <w:rFonts w:ascii="Arial Unicode MS" w:hAnsi="Arial Unicode MS"/>
          </w:rPr>
          <w:t>第</w:t>
        </w:r>
        <w:r w:rsidR="00203F72" w:rsidRPr="00CC3396">
          <w:rPr>
            <w:rStyle w:val="a5"/>
            <w:rFonts w:ascii="Arial Unicode MS" w:hAnsi="Arial Unicode MS"/>
          </w:rPr>
          <w:t>10</w:t>
        </w:r>
        <w:r w:rsidR="005D5A46">
          <w:rPr>
            <w:rStyle w:val="a5"/>
            <w:rFonts w:ascii="Arial Unicode MS" w:hAnsi="Arial Unicode MS"/>
          </w:rPr>
          <w:t>條</w:t>
        </w:r>
      </w:hyperlink>
      <w:r w:rsidR="00203F72" w:rsidRPr="00A53581">
        <w:t>人民有居住及遷徙之自由。</w:t>
      </w:r>
    </w:p>
    <w:p w14:paraId="0652805A" w14:textId="77777777" w:rsidR="00953151" w:rsidRPr="00686D2C" w:rsidRDefault="00B03E84" w:rsidP="00D87D91">
      <w:r w:rsidRPr="00686D2C">
        <w:t>【內容解析】</w:t>
      </w:r>
    </w:p>
    <w:p w14:paraId="2612BA4A" w14:textId="77777777" w:rsidR="00953151" w:rsidRPr="00686D2C" w:rsidRDefault="00B03E84" w:rsidP="00D87D91">
      <w:r w:rsidRPr="00686D2C">
        <w:t xml:space="preserve">　　</w:t>
      </w:r>
      <w:r w:rsidR="00203F72" w:rsidRPr="00686D2C">
        <w:t>指人民有自己決定居住處所及任意搬遷居處地及隨意旅遊之自由。司法院釋字</w:t>
      </w:r>
      <w:hyperlink r:id="rId205" w:anchor="r443" w:history="1">
        <w:r w:rsidR="00203F72" w:rsidRPr="00A32AD8">
          <w:rPr>
            <w:rStyle w:val="a5"/>
            <w:rFonts w:ascii="Times New Roman" w:hAnsi="Times New Roman"/>
          </w:rPr>
          <w:t>第</w:t>
        </w:r>
        <w:r w:rsidR="00203F72" w:rsidRPr="00A32AD8">
          <w:rPr>
            <w:rStyle w:val="a5"/>
            <w:rFonts w:ascii="Times New Roman" w:hAnsi="Times New Roman"/>
          </w:rPr>
          <w:t>443</w:t>
        </w:r>
        <w:r w:rsidR="00203F72" w:rsidRPr="00A32AD8">
          <w:rPr>
            <w:rStyle w:val="a5"/>
            <w:rFonts w:ascii="Times New Roman" w:hAnsi="Times New Roman"/>
          </w:rPr>
          <w:t>號</w:t>
        </w:r>
      </w:hyperlink>
      <w:r w:rsidR="00203F72" w:rsidRPr="00686D2C">
        <w:t>解釋指出：「憲法</w:t>
      </w:r>
      <w:hyperlink r:id="rId206" w:anchor="a10" w:history="1">
        <w:r w:rsidR="00ED34D8" w:rsidRPr="00ED34D8">
          <w:rPr>
            <w:rStyle w:val="a5"/>
            <w:rFonts w:ascii="Times New Roman" w:hAnsi="Times New Roman"/>
          </w:rPr>
          <w:t>第十條</w:t>
        </w:r>
      </w:hyperlink>
      <w:r w:rsidR="00203F72" w:rsidRPr="00686D2C">
        <w:t>規定人民有居住及遷徙之自由，旨在保障人民有任意移居或旅行各地之權利</w:t>
      </w:r>
      <w:r w:rsidR="00203F72" w:rsidRPr="00686D2C">
        <w:t>….</w:t>
      </w:r>
      <w:r w:rsidR="00203F72" w:rsidRPr="00686D2C">
        <w:t>係指人民有選擇其居住處所，營私人生活不受幹預之自由，且有得依個人意願自由遷徙或旅居各地之權利。</w:t>
      </w:r>
      <w:r w:rsidR="00203F72" w:rsidRPr="00686D2C">
        <w:t>…</w:t>
      </w:r>
      <w:r w:rsidR="00203F72" w:rsidRPr="00686D2C">
        <w:t>」但此自由並非完全毫不受拘束。</w:t>
      </w:r>
      <w:r w:rsidR="00203F72" w:rsidRPr="00686D2C">
        <w:t>…</w:t>
      </w:r>
      <w:r w:rsidR="00203F72" w:rsidRPr="00686D2C">
        <w:t>若欲對人民之自由權利加以限制，必須符合憲</w:t>
      </w:r>
      <w:r w:rsidR="00B525CE" w:rsidRPr="00686D2C">
        <w:t>法第</w:t>
      </w:r>
      <w:hyperlink r:id="rId207" w:anchor="a23" w:history="1">
        <w:r w:rsidR="00B525CE" w:rsidRPr="00686D2C">
          <w:rPr>
            <w:rStyle w:val="a5"/>
          </w:rPr>
          <w:t>二十三</w:t>
        </w:r>
      </w:hyperlink>
      <w:r w:rsidR="00B525CE" w:rsidRPr="00686D2C">
        <w:t>條</w:t>
      </w:r>
      <w:r w:rsidR="00203F72" w:rsidRPr="00686D2C">
        <w:t>所定必要之程度，並以法律定之或經立法機關明確授權由行政機關以命令訂定。」</w:t>
      </w:r>
    </w:p>
    <w:p w14:paraId="37816833" w14:textId="77777777" w:rsidR="00953151" w:rsidRPr="00686D2C" w:rsidRDefault="00B03E84" w:rsidP="00D87D91">
      <w:r w:rsidRPr="00686D2C">
        <w:t xml:space="preserve">　　</w:t>
      </w:r>
      <w:r w:rsidR="00203F72" w:rsidRPr="00686D2C">
        <w:t>司法院釋字</w:t>
      </w:r>
      <w:hyperlink r:id="rId208" w:anchor="r454" w:history="1">
        <w:r w:rsidR="00203F72" w:rsidRPr="00C454F8">
          <w:rPr>
            <w:rStyle w:val="a5"/>
            <w:rFonts w:ascii="Times New Roman" w:hAnsi="Times New Roman"/>
          </w:rPr>
          <w:t>第</w:t>
        </w:r>
        <w:r w:rsidR="00203F72" w:rsidRPr="00C454F8">
          <w:rPr>
            <w:rStyle w:val="a5"/>
            <w:rFonts w:ascii="Times New Roman" w:hAnsi="Times New Roman"/>
          </w:rPr>
          <w:t>454</w:t>
        </w:r>
        <w:r w:rsidR="00203F72" w:rsidRPr="00C454F8">
          <w:rPr>
            <w:rStyle w:val="a5"/>
            <w:rFonts w:ascii="Times New Roman" w:hAnsi="Times New Roman"/>
          </w:rPr>
          <w:t>號</w:t>
        </w:r>
      </w:hyperlink>
      <w:r w:rsidR="00203F72" w:rsidRPr="00686D2C">
        <w:t>解釋指出：『</w:t>
      </w:r>
      <w:r w:rsidR="00203F72" w:rsidRPr="00686D2C">
        <w:t> </w:t>
      </w:r>
      <w:r w:rsidR="00203F72" w:rsidRPr="00686D2C">
        <w:t>憲法</w:t>
      </w:r>
      <w:hyperlink r:id="rId209" w:anchor="a10" w:history="1">
        <w:r w:rsidR="00ED34D8" w:rsidRPr="00ED34D8">
          <w:rPr>
            <w:rStyle w:val="a5"/>
            <w:rFonts w:ascii="Times New Roman" w:hAnsi="Times New Roman"/>
          </w:rPr>
          <w:t>第十條</w:t>
        </w:r>
      </w:hyperlink>
      <w:r w:rsidR="00203F72" w:rsidRPr="00686D2C">
        <w:t>規定人民有居住及遷徙之自由，旨在保障人民有自由設定住居所、遷徙、旅行，包括出境或入境之權利。對人民上述自由或權利加以限制，必須符合憲</w:t>
      </w:r>
      <w:r w:rsidR="00B525CE" w:rsidRPr="00686D2C">
        <w:t>法第</w:t>
      </w:r>
      <w:hyperlink r:id="rId210" w:anchor="a23" w:history="1">
        <w:r w:rsidR="00B525CE" w:rsidRPr="00686D2C">
          <w:rPr>
            <w:rStyle w:val="a5"/>
          </w:rPr>
          <w:t>二十三</w:t>
        </w:r>
      </w:hyperlink>
      <w:r w:rsidR="00B525CE" w:rsidRPr="00686D2C">
        <w:t>條</w:t>
      </w:r>
      <w:r w:rsidR="00203F72" w:rsidRPr="00686D2C">
        <w:t>所定必要之程度，並以法律定之。』」人民居住及遷徙之自由，除了指在國內之搬遷、旅遊，也包括出入國境之權利。</w:t>
      </w:r>
    </w:p>
    <w:p w14:paraId="7A8732A8" w14:textId="77777777" w:rsidR="00953151" w:rsidRPr="00686D2C" w:rsidRDefault="00B03E84" w:rsidP="00D87D91">
      <w:r w:rsidRPr="00686D2C">
        <w:t xml:space="preserve">　　</w:t>
      </w:r>
      <w:r w:rsidR="00203F72" w:rsidRPr="00686D2C">
        <w:t>司法院釋</w:t>
      </w:r>
      <w:r w:rsidR="00943369" w:rsidRPr="00A53581">
        <w:rPr>
          <w:rFonts w:ascii="新細明體" w:hAnsi="新細明體" w:cs="細明體_HKSCS" w:hint="eastAsia"/>
        </w:rPr>
        <w:t>字</w:t>
      </w:r>
      <w:hyperlink r:id="rId211" w:anchor="r710" w:history="1">
        <w:r w:rsidR="00943369" w:rsidRPr="00943369">
          <w:rPr>
            <w:rStyle w:val="a5"/>
            <w:rFonts w:cs="細明體_HKSCS" w:hint="eastAsia"/>
          </w:rPr>
          <w:t>第710號</w:t>
        </w:r>
      </w:hyperlink>
      <w:r w:rsidR="00203F72" w:rsidRPr="00686D2C">
        <w:t>解釋指出：「中華民國九十二年十月二十九日修正公布之臺灣地區與大陸地區人民關係條例</w:t>
      </w:r>
      <w:r w:rsidR="00306E89" w:rsidRPr="00306E89">
        <w:t>第</w:t>
      </w:r>
      <w:hyperlink r:id="rId212" w:anchor="b18" w:history="1">
        <w:r w:rsidR="00306E89" w:rsidRPr="00306E89">
          <w:rPr>
            <w:rStyle w:val="a5"/>
            <w:rFonts w:ascii="Times New Roman" w:hAnsi="Times New Roman"/>
          </w:rPr>
          <w:t>十八</w:t>
        </w:r>
      </w:hyperlink>
      <w:r w:rsidR="00306E89" w:rsidRPr="00306E89">
        <w:t>條</w:t>
      </w:r>
      <w:r w:rsidR="00203F72" w:rsidRPr="00686D2C">
        <w:t>第一項規定：「進入臺灣地區之大陸地區人民，有下列情形之一者，治安機關得逕行強制出境。</w:t>
      </w:r>
      <w:r w:rsidR="00203F72" w:rsidRPr="00686D2C">
        <w:t>……</w:t>
      </w:r>
      <w:r w:rsidR="00203F72" w:rsidRPr="00686D2C">
        <w:t>」（該條於九十八年七月一日為文字修正）除因危害國家安全或社會秩序而須為急速處分之情形外，對於經許可合法入境之大陸地區人民，未予申辯之機會，即得逕行強制出境部分，有違憲法正當法律程序原則，不符憲法</w:t>
      </w:r>
      <w:hyperlink r:id="rId213" w:anchor="a10" w:history="1">
        <w:r w:rsidR="00ED34D8" w:rsidRPr="00ED34D8">
          <w:rPr>
            <w:rStyle w:val="a5"/>
            <w:rFonts w:ascii="Times New Roman" w:hAnsi="Times New Roman"/>
          </w:rPr>
          <w:t>第十條</w:t>
        </w:r>
      </w:hyperlink>
      <w:r w:rsidR="00203F72" w:rsidRPr="00686D2C">
        <w:t>保障遷徙自由之意旨。」人民居住及遷徙之自由，除了保障本國人，亦包括在台灣之大陸地區人民。</w:t>
      </w:r>
    </w:p>
    <w:p w14:paraId="2FAF57D6" w14:textId="77777777" w:rsidR="00953151" w:rsidRDefault="00076467" w:rsidP="00767F37">
      <w:pPr>
        <w:pStyle w:val="2"/>
      </w:pPr>
      <w:hyperlink r:id="rId214" w:anchor="a11" w:history="1">
        <w:r w:rsidR="005D5A46">
          <w:rPr>
            <w:rStyle w:val="a5"/>
            <w:rFonts w:ascii="Arial Unicode MS" w:hAnsi="Arial Unicode MS"/>
          </w:rPr>
          <w:t>第</w:t>
        </w:r>
        <w:r w:rsidR="00203F72" w:rsidRPr="00CC3396">
          <w:rPr>
            <w:rStyle w:val="a5"/>
            <w:rFonts w:ascii="Arial Unicode MS" w:hAnsi="Arial Unicode MS"/>
          </w:rPr>
          <w:t>11</w:t>
        </w:r>
        <w:r w:rsidR="005D5A46">
          <w:rPr>
            <w:rStyle w:val="a5"/>
            <w:rFonts w:ascii="Arial Unicode MS" w:hAnsi="Arial Unicode MS"/>
          </w:rPr>
          <w:t>條</w:t>
        </w:r>
      </w:hyperlink>
      <w:r w:rsidR="00203F72" w:rsidRPr="00A53581">
        <w:t>人民有言論、講學、著作及出版之自由。</w:t>
      </w:r>
    </w:p>
    <w:p w14:paraId="74C96982" w14:textId="77777777" w:rsidR="00203F72" w:rsidRPr="00686D2C" w:rsidRDefault="00B03E84" w:rsidP="00D87D91">
      <w:r w:rsidRPr="00686D2C">
        <w:t>【內容解析】</w:t>
      </w:r>
    </w:p>
    <w:p w14:paraId="6DE185FA" w14:textId="77777777" w:rsidR="00953151" w:rsidRPr="00686D2C" w:rsidRDefault="00B03E84" w:rsidP="00D87D91">
      <w:r w:rsidRPr="00686D2C">
        <w:t xml:space="preserve">　　</w:t>
      </w:r>
      <w:r w:rsidR="00203F72" w:rsidRPr="00686D2C">
        <w:t>本條主要在表達言論自由之意涵，係人民任何形式之言論自由，都應獲得保障；當然若損及公共利益，則不在保障範圍。其邏輯乃是人民有自由表達其思想、意見之權利。也有將其思想、意見以言論、講學、著作或出版等方式自由傳達之權力。</w:t>
      </w:r>
    </w:p>
    <w:p w14:paraId="7FDDBB6E" w14:textId="77777777" w:rsidR="00953151" w:rsidRPr="00686D2C" w:rsidRDefault="00B03E84" w:rsidP="00D87D91">
      <w:r w:rsidRPr="00686D2C">
        <w:lastRenderedPageBreak/>
        <w:t xml:space="preserve">　　</w:t>
      </w:r>
      <w:r w:rsidR="00203F72" w:rsidRPr="00686D2C">
        <w:t>每一個人都有發表言論之自由，但非無限制，司法院釋字</w:t>
      </w:r>
      <w:hyperlink r:id="rId215" w:anchor="r509" w:history="1">
        <w:r w:rsidR="00203F72" w:rsidRPr="00C454F8">
          <w:rPr>
            <w:rStyle w:val="a5"/>
            <w:rFonts w:ascii="Times New Roman" w:hAnsi="Times New Roman"/>
          </w:rPr>
          <w:t>第</w:t>
        </w:r>
        <w:r w:rsidR="00203F72" w:rsidRPr="00C454F8">
          <w:rPr>
            <w:rStyle w:val="a5"/>
            <w:rFonts w:ascii="Times New Roman" w:hAnsi="Times New Roman"/>
          </w:rPr>
          <w:t>509</w:t>
        </w:r>
        <w:r w:rsidR="00203F72" w:rsidRPr="00C454F8">
          <w:rPr>
            <w:rStyle w:val="a5"/>
            <w:rFonts w:ascii="Times New Roman" w:hAnsi="Times New Roman"/>
          </w:rPr>
          <w:t>號</w:t>
        </w:r>
      </w:hyperlink>
      <w:r w:rsidR="00203F72" w:rsidRPr="00686D2C">
        <w:t>解釋文認為：「言論自由為人民之基本權利，憲法第</w:t>
      </w:r>
      <w:hyperlink r:id="rId216" w:anchor="a11" w:history="1">
        <w:r w:rsidR="00203F72" w:rsidRPr="00C454F8">
          <w:rPr>
            <w:rStyle w:val="a5"/>
            <w:rFonts w:ascii="Times New Roman" w:hAnsi="Times New Roman"/>
          </w:rPr>
          <w:t>十一</w:t>
        </w:r>
      </w:hyperlink>
      <w:r w:rsidR="00203F72" w:rsidRPr="00686D2C">
        <w:t>條有明文保障，國家應給予最大限度之維護，俾其實現自我、溝通意見、追求真理及監督各種政治或社會活動之功能得以發揮。惟為兼顧對個人名譽、隱私及公共利益之保護，法律尚非不得對言論自由依其傳播方式為合理之限制。」</w:t>
      </w:r>
    </w:p>
    <w:p w14:paraId="786C75A6" w14:textId="77777777" w:rsidR="00953151" w:rsidRPr="00686D2C" w:rsidRDefault="00B03E84" w:rsidP="00D87D91">
      <w:r w:rsidRPr="00686D2C">
        <w:t xml:space="preserve">　　</w:t>
      </w:r>
      <w:r w:rsidR="00203F72" w:rsidRPr="00686D2C">
        <w:t>就言論自由之範圍而論，並非沒有限制，司法院釋</w:t>
      </w:r>
      <w:r w:rsidR="00C454F8" w:rsidRPr="00686D2C">
        <w:t>字</w:t>
      </w:r>
      <w:hyperlink r:id="rId217" w:anchor="r509" w:history="1">
        <w:r w:rsidR="00C454F8" w:rsidRPr="00C454F8">
          <w:rPr>
            <w:rStyle w:val="a5"/>
            <w:rFonts w:ascii="Times New Roman" w:hAnsi="Times New Roman"/>
          </w:rPr>
          <w:t>第</w:t>
        </w:r>
        <w:r w:rsidR="00C454F8" w:rsidRPr="00C454F8">
          <w:rPr>
            <w:rStyle w:val="a5"/>
            <w:rFonts w:ascii="Times New Roman" w:hAnsi="Times New Roman"/>
          </w:rPr>
          <w:t>509</w:t>
        </w:r>
        <w:r w:rsidR="00C454F8" w:rsidRPr="00C454F8">
          <w:rPr>
            <w:rStyle w:val="a5"/>
            <w:rFonts w:ascii="Times New Roman" w:hAnsi="Times New Roman"/>
          </w:rPr>
          <w:t>號</w:t>
        </w:r>
      </w:hyperlink>
      <w:r w:rsidR="00203F72" w:rsidRPr="00686D2C">
        <w:t>解釋文亦指出：「刑法第三百十條第一項及第二項誹謗罪即係保護個人法益而設，為防止妨礙他人之自由權利所必要，符合憲</w:t>
      </w:r>
      <w:r w:rsidR="00B525CE" w:rsidRPr="00686D2C">
        <w:t>法第</w:t>
      </w:r>
      <w:hyperlink r:id="rId218" w:anchor="a23" w:history="1">
        <w:r w:rsidR="00B525CE" w:rsidRPr="00686D2C">
          <w:rPr>
            <w:rStyle w:val="a5"/>
          </w:rPr>
          <w:t>二十三</w:t>
        </w:r>
      </w:hyperlink>
      <w:r w:rsidR="00B525CE" w:rsidRPr="00686D2C">
        <w:t>條</w:t>
      </w:r>
      <w:r w:rsidR="00203F72" w:rsidRPr="00686D2C">
        <w:t>規定之意旨。至</w:t>
      </w:r>
      <w:hyperlink r:id="rId219" w:history="1">
        <w:r w:rsidR="006B7176" w:rsidRPr="006B7176">
          <w:rPr>
            <w:rStyle w:val="a5"/>
            <w:rFonts w:eastAsia="新細明體"/>
            <w:kern w:val="0"/>
          </w:rPr>
          <w:t>刑法</w:t>
        </w:r>
      </w:hyperlink>
      <w:r w:rsidR="00203F72" w:rsidRPr="00686D2C">
        <w:t>同條第三項前段以對誹謗之事，能證明其為真實者不罰，係針對言論內容與事實相符者之保障，並藉以限定刑罰權之範圍，非謂指摘或傳述誹謗事項之行為人，必須自行證明其言論內容確屬真實，始能免於刑責。</w:t>
      </w:r>
      <w:r w:rsidR="00203F72" w:rsidRPr="00686D2C">
        <w:t xml:space="preserve">…. </w:t>
      </w:r>
      <w:r w:rsidR="00203F72" w:rsidRPr="00686D2C">
        <w:t>。」同號進一步在說明書中說明：「憲</w:t>
      </w:r>
      <w:r w:rsidR="00C454F8" w:rsidRPr="00686D2C">
        <w:t>法第</w:t>
      </w:r>
      <w:hyperlink r:id="rId220" w:anchor="a11" w:history="1">
        <w:r w:rsidR="00C454F8" w:rsidRPr="00C454F8">
          <w:rPr>
            <w:rStyle w:val="a5"/>
            <w:rFonts w:ascii="Times New Roman" w:hAnsi="Times New Roman"/>
          </w:rPr>
          <w:t>十一</w:t>
        </w:r>
      </w:hyperlink>
      <w:r w:rsidR="00C454F8" w:rsidRPr="00686D2C">
        <w:t>條</w:t>
      </w:r>
      <w:r w:rsidR="00203F72" w:rsidRPr="00686D2C">
        <w:t>規定，人民之言論自由應予保障，鑑於言論自由有實現自我、溝通意見、追求真理、滿足人民知之權利，形成公意，促進各種合理之政治及社會活動之功能，乃維持民主多元社會正常發展不可或缺之機制，國家應給予最大限度之保障。惟為保護個人名譽、隱私等法益及維護公共利益，國家對言論自由尚非不得依其傳播方式為適當限制。至於限制之手段究應採用民事賠償抑或兼採刑事處罰，則應就國民守法精神、對他人權利尊重之態度、現行民事賠償制度之功能、媒體工作者對本身職業規範遵守之程度及其違背時所受同業紀律制裁之效果等各項因素，綜合考量</w:t>
      </w:r>
      <w:r w:rsidR="00203F72" w:rsidRPr="00686D2C">
        <w:t>…..</w:t>
      </w:r>
      <w:r w:rsidR="00203F72" w:rsidRPr="00686D2C">
        <w:t>法律就誹謗罪特設之阻卻違法事由，目的即在維護善意發表意見之自由，不生牴觸憲法問題。」故逾越正當言論自由，涉及妨害他人、社會安定及國家安全情形下，國家亦得以限制並處罰。</w:t>
      </w:r>
    </w:p>
    <w:p w14:paraId="73EA69E5" w14:textId="77777777" w:rsidR="00953151" w:rsidRDefault="00B03E84" w:rsidP="00D87D91">
      <w:r w:rsidRPr="00686D2C">
        <w:t xml:space="preserve">　　</w:t>
      </w:r>
      <w:r w:rsidR="00203F72" w:rsidRPr="00686D2C">
        <w:t>另本條規定每個人均有講學自由，司法院釋字</w:t>
      </w:r>
      <w:hyperlink r:id="rId221" w:anchor="r380" w:history="1">
        <w:r w:rsidR="005D5A46" w:rsidRPr="00AC7348">
          <w:rPr>
            <w:rStyle w:val="a5"/>
            <w:rFonts w:ascii="Times New Roman" w:hAnsi="Times New Roman"/>
          </w:rPr>
          <w:t>第</w:t>
        </w:r>
        <w:r w:rsidR="00203F72" w:rsidRPr="00AC7348">
          <w:rPr>
            <w:rStyle w:val="a5"/>
            <w:rFonts w:ascii="Times New Roman" w:hAnsi="Times New Roman"/>
          </w:rPr>
          <w:t>380</w:t>
        </w:r>
        <w:r w:rsidR="00F5469C" w:rsidRPr="00AC7348">
          <w:rPr>
            <w:rStyle w:val="a5"/>
            <w:rFonts w:ascii="Times New Roman" w:hAnsi="Times New Roman"/>
          </w:rPr>
          <w:t>號</w:t>
        </w:r>
      </w:hyperlink>
      <w:r w:rsidR="00203F72" w:rsidRPr="00686D2C">
        <w:t>指出：「憲法</w:t>
      </w:r>
      <w:r w:rsidR="00C454F8" w:rsidRPr="00686D2C">
        <w:t>第</w:t>
      </w:r>
      <w:hyperlink r:id="rId222" w:anchor="a11" w:history="1">
        <w:r w:rsidR="00C454F8" w:rsidRPr="00C454F8">
          <w:rPr>
            <w:rStyle w:val="a5"/>
            <w:rFonts w:ascii="Times New Roman" w:hAnsi="Times New Roman"/>
          </w:rPr>
          <w:t>十一</w:t>
        </w:r>
      </w:hyperlink>
      <w:r w:rsidR="00C454F8" w:rsidRPr="00686D2C">
        <w:t>條</w:t>
      </w:r>
      <w:r w:rsidR="00203F72" w:rsidRPr="00686D2C">
        <w:t>關於講學自由之規定，以保障學術自由為目的，學術自由之保障，應自大學組織及其他建制方面，加以確保，亦即為制度性之保障。</w:t>
      </w:r>
      <w:r w:rsidR="00203F72" w:rsidRPr="00686D2C">
        <w:t>…</w:t>
      </w:r>
      <w:r w:rsidR="00203F72" w:rsidRPr="00686D2C">
        <w:t>對於研究、教學及學習等活動，擔保其不受不當之干涉，</w:t>
      </w:r>
      <w:r w:rsidR="00203F72" w:rsidRPr="00686D2C">
        <w:t>…</w:t>
      </w:r>
      <w:r w:rsidR="00203F72" w:rsidRPr="00686D2C">
        <w:t>按學術自由與教育之發展具有密切關係，就其發展之過程而言，免於國家權力幹預之學術自由，首先表現於研究之自由與教學之自由，其保障範圍並應延伸至其他重要學術活動，舉凡與探討學問，發現真理有關者，諸如研究動機之形成，計畫之提出，研究人員之組成，預算之籌措分配，研究成果之發表，非但應受保障並得分享社會資源之供應。研究以外屬於教學與學習範疇之事項，諸如課程設計、科目訂定、講授內容、學力評定、考試規則、學生選擇科系與課程之自由，以及學生自治等亦在保障之列</w:t>
      </w:r>
      <w:r w:rsidR="00203F72" w:rsidRPr="00686D2C">
        <w:t>…</w:t>
      </w:r>
      <w:r w:rsidR="00203F72" w:rsidRPr="00686D2C">
        <w:t>。」</w:t>
      </w:r>
    </w:p>
    <w:p w14:paraId="02ED7B7E" w14:textId="77777777" w:rsidR="006B7176" w:rsidRPr="00686D2C" w:rsidRDefault="006B7176" w:rsidP="00D87D91"/>
    <w:p w14:paraId="6BA749A4" w14:textId="313E140D" w:rsidR="00203F72" w:rsidRPr="00686D2C" w:rsidRDefault="00B03E84" w:rsidP="00D87D91">
      <w:r w:rsidRPr="00686D2C">
        <w:t>【</w:t>
      </w:r>
      <w:r w:rsidRPr="00686D2C">
        <w:t>table</w:t>
      </w:r>
      <w:r w:rsidR="005E23E3" w:rsidRPr="00686D2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w:t>
      </w:r>
      <w:r w:rsidR="00076467">
        <w:rPr>
          <w:noProof/>
        </w:rPr>
        <w:fldChar w:fldCharType="end"/>
      </w:r>
      <w:r w:rsidR="00203F72" w:rsidRPr="00686D2C">
        <w:t>司法院大法官會議對於講學自由之解釋文一覽表</w:t>
      </w:r>
    </w:p>
    <w:tbl>
      <w:tblPr>
        <w:tblW w:w="478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988"/>
        <w:gridCol w:w="6432"/>
      </w:tblGrid>
      <w:tr w:rsidR="00203F72" w:rsidRPr="00A53581" w14:paraId="024CBFD8" w14:textId="77777777" w:rsidTr="006B7176">
        <w:tc>
          <w:tcPr>
            <w:tcW w:w="434" w:type="pct"/>
            <w:shd w:val="clear" w:color="auto" w:fill="auto"/>
          </w:tcPr>
          <w:p w14:paraId="0BC1139E" w14:textId="77777777" w:rsidR="00203F72" w:rsidRPr="00A53581" w:rsidRDefault="00203F72" w:rsidP="00D87D91">
            <w:pPr>
              <w:rPr>
                <w:rFonts w:ascii="新細明體" w:hAnsi="新細明體"/>
              </w:rPr>
            </w:pPr>
            <w:r w:rsidRPr="00A53581">
              <w:rPr>
                <w:rFonts w:ascii="新細明體" w:hAnsi="新細明體"/>
              </w:rPr>
              <w:t>釋</w:t>
            </w:r>
            <w:r w:rsidR="00AC7348" w:rsidRPr="00686D2C">
              <w:t>字</w:t>
            </w:r>
            <w:hyperlink r:id="rId223" w:anchor="r380" w:history="1">
              <w:r w:rsidR="00AC7348" w:rsidRPr="00AC7348">
                <w:rPr>
                  <w:rStyle w:val="a5"/>
                  <w:rFonts w:ascii="Times New Roman" w:hAnsi="Times New Roman"/>
                </w:rPr>
                <w:t>第</w:t>
              </w:r>
              <w:r w:rsidR="00AC7348" w:rsidRPr="00AC7348">
                <w:rPr>
                  <w:rStyle w:val="a5"/>
                  <w:rFonts w:ascii="Times New Roman" w:hAnsi="Times New Roman"/>
                </w:rPr>
                <w:t>380</w:t>
              </w:r>
              <w:r w:rsidR="00AC7348" w:rsidRPr="00AC7348">
                <w:rPr>
                  <w:rStyle w:val="a5"/>
                  <w:rFonts w:ascii="Times New Roman" w:hAnsi="Times New Roman"/>
                </w:rPr>
                <w:t>號</w:t>
              </w:r>
            </w:hyperlink>
          </w:p>
        </w:tc>
        <w:tc>
          <w:tcPr>
            <w:tcW w:w="608" w:type="pct"/>
            <w:shd w:val="clear" w:color="auto" w:fill="auto"/>
          </w:tcPr>
          <w:p w14:paraId="091A4255" w14:textId="77777777" w:rsidR="00203F72" w:rsidRPr="00A53581" w:rsidRDefault="00203F72" w:rsidP="00D87D91">
            <w:r w:rsidRPr="00A53581">
              <w:t>學術自由</w:t>
            </w:r>
          </w:p>
        </w:tc>
        <w:tc>
          <w:tcPr>
            <w:tcW w:w="3958" w:type="pct"/>
            <w:shd w:val="clear" w:color="auto" w:fill="auto"/>
          </w:tcPr>
          <w:p w14:paraId="4F6F779E" w14:textId="77777777" w:rsidR="00203F72" w:rsidRPr="00A53581" w:rsidRDefault="00203F72" w:rsidP="00D87D91">
            <w:r w:rsidRPr="00A53581">
              <w:t>憲</w:t>
            </w:r>
            <w:r w:rsidR="006B7176" w:rsidRPr="00482FC4">
              <w:t>法</w:t>
            </w:r>
            <w:hyperlink r:id="rId224" w:anchor="a11" w:history="1">
              <w:r w:rsidR="006B7176" w:rsidRPr="001F6A1B">
                <w:rPr>
                  <w:rStyle w:val="a5"/>
                  <w:rFonts w:ascii="Times New Roman" w:eastAsia="新細明體" w:hAnsi="Times New Roman"/>
                </w:rPr>
                <w:t>第</w:t>
              </w:r>
              <w:r w:rsidR="006B7176" w:rsidRPr="001F6A1B">
                <w:rPr>
                  <w:rStyle w:val="a5"/>
                  <w:rFonts w:ascii="Times New Roman" w:eastAsia="新細明體" w:hAnsi="Times New Roman"/>
                </w:rPr>
                <w:t>11</w:t>
              </w:r>
              <w:r w:rsidR="006B7176" w:rsidRPr="001F6A1B">
                <w:rPr>
                  <w:rStyle w:val="a5"/>
                  <w:rFonts w:ascii="Times New Roman" w:eastAsia="新細明體" w:hAnsi="Times New Roman"/>
                </w:rPr>
                <w:t>條</w:t>
              </w:r>
            </w:hyperlink>
            <w:r w:rsidRPr="00A53581">
              <w:t>關於講學自由之規定，係對學術自由之制度性保障；就大學教育而言，應包含研究自由、教學自由及學習自由等事項。大學</w:t>
            </w:r>
            <w:r w:rsidR="00687BCD" w:rsidRPr="00C454F8">
              <w:t>法</w:t>
            </w:r>
            <w:hyperlink r:id="rId225" w:anchor="b1" w:history="1">
              <w:r w:rsidR="00687BCD" w:rsidRPr="00C454F8">
                <w:rPr>
                  <w:rStyle w:val="a5"/>
                </w:rPr>
                <w:t>第1條</w:t>
              </w:r>
            </w:hyperlink>
            <w:r w:rsidRPr="00A53581">
              <w:t>第</w:t>
            </w:r>
            <w:r w:rsidRPr="00A53581">
              <w:t>2</w:t>
            </w:r>
            <w:r w:rsidRPr="00A53581">
              <w:t>項規定：</w:t>
            </w:r>
            <w:r w:rsidRPr="00A53581">
              <w:rPr>
                <w:kern w:val="0"/>
              </w:rPr>
              <w:t>「大學應受學術自由之保障，並在法律規定範圍內，享有自治權」，其自治權之範圍，應包含直接涉及研究與教學之學術重要事項。大學課程如何訂定，</w:t>
            </w:r>
            <w:hyperlink r:id="rId226" w:history="1">
              <w:r w:rsidRPr="00C454F8">
                <w:rPr>
                  <w:rStyle w:val="a5"/>
                  <w:kern w:val="0"/>
                </w:rPr>
                <w:t>大學法</w:t>
              </w:r>
            </w:hyperlink>
            <w:r w:rsidRPr="00A53581">
              <w:rPr>
                <w:kern w:val="0"/>
              </w:rPr>
              <w:t>未定有明文，然因直接與教學、學習自由相關，亦屬學術之重要事項，為大學自治之範圍</w:t>
            </w:r>
          </w:p>
        </w:tc>
      </w:tr>
      <w:tr w:rsidR="00203F72" w:rsidRPr="00A53581" w14:paraId="309CF9FD" w14:textId="77777777" w:rsidTr="006B7176">
        <w:tc>
          <w:tcPr>
            <w:tcW w:w="434" w:type="pct"/>
            <w:shd w:val="clear" w:color="auto" w:fill="auto"/>
          </w:tcPr>
          <w:p w14:paraId="556873F8" w14:textId="77777777" w:rsidR="00203F72" w:rsidRPr="00A53581" w:rsidRDefault="00203F72" w:rsidP="00D87D91">
            <w:r w:rsidRPr="00A53581">
              <w:t>釋字</w:t>
            </w:r>
            <w:hyperlink r:id="rId227" w:anchor="r450" w:history="1">
              <w:r w:rsidRPr="00060676">
                <w:rPr>
                  <w:rStyle w:val="a5"/>
                  <w:rFonts w:ascii="Times New Roman" w:eastAsia="新細明體" w:hAnsi="Times New Roman"/>
                </w:rPr>
                <w:t>第</w:t>
              </w:r>
              <w:r w:rsidRPr="00060676">
                <w:rPr>
                  <w:rStyle w:val="a5"/>
                  <w:rFonts w:ascii="Times New Roman" w:eastAsia="新細明體" w:hAnsi="Times New Roman"/>
                </w:rPr>
                <w:t>450</w:t>
              </w:r>
              <w:r w:rsidRPr="00060676">
                <w:rPr>
                  <w:rStyle w:val="a5"/>
                  <w:rFonts w:ascii="Times New Roman" w:eastAsia="新細明體" w:hAnsi="Times New Roman"/>
                </w:rPr>
                <w:t>號</w:t>
              </w:r>
            </w:hyperlink>
          </w:p>
        </w:tc>
        <w:tc>
          <w:tcPr>
            <w:tcW w:w="608" w:type="pct"/>
            <w:shd w:val="clear" w:color="auto" w:fill="auto"/>
          </w:tcPr>
          <w:p w14:paraId="2335DB46" w14:textId="77777777" w:rsidR="00203F72" w:rsidRPr="00A53581" w:rsidRDefault="00203F72" w:rsidP="00D87D91">
            <w:r w:rsidRPr="00A53581">
              <w:t>大學內部組織自主權</w:t>
            </w:r>
          </w:p>
        </w:tc>
        <w:tc>
          <w:tcPr>
            <w:tcW w:w="3958" w:type="pct"/>
            <w:shd w:val="clear" w:color="auto" w:fill="auto"/>
          </w:tcPr>
          <w:p w14:paraId="6429BF4E" w14:textId="77777777" w:rsidR="00203F72" w:rsidRPr="00A53581" w:rsidRDefault="00203F72" w:rsidP="00D87D91">
            <w:pPr>
              <w:rPr>
                <w:rFonts w:ascii="新細明體" w:hAnsi="新細明體"/>
              </w:rPr>
            </w:pPr>
            <w:r w:rsidRPr="00A53581">
              <w:rPr>
                <w:rFonts w:ascii="新細明體" w:hAnsi="新細明體"/>
              </w:rPr>
              <w:t>大學自治屬於憲</w:t>
            </w:r>
            <w:r w:rsidR="006B7176" w:rsidRPr="00482FC4">
              <w:t>法</w:t>
            </w:r>
            <w:hyperlink r:id="rId228" w:anchor="a11" w:history="1">
              <w:r w:rsidR="006B7176" w:rsidRPr="001F6A1B">
                <w:rPr>
                  <w:rStyle w:val="a5"/>
                  <w:rFonts w:ascii="Times New Roman" w:eastAsia="新細明體" w:hAnsi="Times New Roman"/>
                </w:rPr>
                <w:t>第</w:t>
              </w:r>
              <w:r w:rsidR="006B7176" w:rsidRPr="001F6A1B">
                <w:rPr>
                  <w:rStyle w:val="a5"/>
                  <w:rFonts w:ascii="Times New Roman" w:eastAsia="新細明體" w:hAnsi="Times New Roman"/>
                </w:rPr>
                <w:t>11</w:t>
              </w:r>
              <w:r w:rsidR="006B7176" w:rsidRPr="001F6A1B">
                <w:rPr>
                  <w:rStyle w:val="a5"/>
                  <w:rFonts w:ascii="Times New Roman" w:eastAsia="新細明體" w:hAnsi="Times New Roman"/>
                </w:rPr>
                <w:t>條</w:t>
              </w:r>
            </w:hyperlink>
            <w:r w:rsidRPr="00A53581">
              <w:rPr>
                <w:rFonts w:ascii="新細明體" w:hAnsi="新細明體"/>
              </w:rPr>
              <w:t>講學自由之保障範圍，舉凡教學、學習自由有關之重要事項，均屬大學自治之項目，又國家對大學之監督除應以法律明定外，其訂定亦應符合大學自治之原則，業經大院釋</w:t>
            </w:r>
            <w:r w:rsidR="00AC7348" w:rsidRPr="00686D2C">
              <w:t>字</w:t>
            </w:r>
            <w:hyperlink r:id="rId229" w:anchor="r380" w:history="1">
              <w:r w:rsidR="00AC7348" w:rsidRPr="00AC7348">
                <w:rPr>
                  <w:rStyle w:val="a5"/>
                  <w:rFonts w:ascii="Times New Roman" w:hAnsi="Times New Roman"/>
                </w:rPr>
                <w:t>第</w:t>
              </w:r>
              <w:r w:rsidR="00AC7348" w:rsidRPr="00AC7348">
                <w:rPr>
                  <w:rStyle w:val="a5"/>
                  <w:rFonts w:ascii="Times New Roman" w:hAnsi="Times New Roman"/>
                </w:rPr>
                <w:t>380</w:t>
              </w:r>
              <w:r w:rsidR="00AC7348" w:rsidRPr="00AC7348">
                <w:rPr>
                  <w:rStyle w:val="a5"/>
                  <w:rFonts w:ascii="Times New Roman" w:hAnsi="Times New Roman"/>
                </w:rPr>
                <w:t>號</w:t>
              </w:r>
            </w:hyperlink>
            <w:r w:rsidRPr="00A53581">
              <w:rPr>
                <w:rFonts w:ascii="新細明體" w:hAnsi="新細明體"/>
              </w:rPr>
              <w:t>解釋釋示在案</w:t>
            </w:r>
          </w:p>
        </w:tc>
      </w:tr>
      <w:tr w:rsidR="00203F72" w:rsidRPr="00A53581" w14:paraId="556EE789" w14:textId="77777777" w:rsidTr="006B7176">
        <w:tc>
          <w:tcPr>
            <w:tcW w:w="434" w:type="pct"/>
            <w:shd w:val="clear" w:color="auto" w:fill="auto"/>
          </w:tcPr>
          <w:p w14:paraId="112F32E8" w14:textId="77777777" w:rsidR="00203F72" w:rsidRPr="00A53581" w:rsidRDefault="00203F72" w:rsidP="00D87D91">
            <w:r w:rsidRPr="00A53581">
              <w:t>釋字</w:t>
            </w:r>
            <w:hyperlink r:id="rId230" w:anchor="r462" w:history="1">
              <w:r w:rsidRPr="00060676">
                <w:rPr>
                  <w:rStyle w:val="a5"/>
                  <w:rFonts w:ascii="Times New Roman" w:eastAsia="新細明體" w:hAnsi="Times New Roman"/>
                </w:rPr>
                <w:t>第</w:t>
              </w:r>
              <w:r w:rsidRPr="00060676">
                <w:rPr>
                  <w:rStyle w:val="a5"/>
                  <w:rFonts w:ascii="Times New Roman" w:eastAsia="新細明體" w:hAnsi="Times New Roman"/>
                </w:rPr>
                <w:t>462</w:t>
              </w:r>
              <w:r w:rsidRPr="00060676">
                <w:rPr>
                  <w:rStyle w:val="a5"/>
                  <w:rFonts w:ascii="Times New Roman" w:eastAsia="新細明體" w:hAnsi="Times New Roman"/>
                </w:rPr>
                <w:t>號</w:t>
              </w:r>
            </w:hyperlink>
          </w:p>
        </w:tc>
        <w:tc>
          <w:tcPr>
            <w:tcW w:w="608" w:type="pct"/>
            <w:shd w:val="clear" w:color="auto" w:fill="auto"/>
          </w:tcPr>
          <w:p w14:paraId="5AC0B982" w14:textId="77777777" w:rsidR="00203F72" w:rsidRPr="00A53581" w:rsidRDefault="00203F72" w:rsidP="00D87D91">
            <w:r w:rsidRPr="00A53581">
              <w:t>教師資格評量</w:t>
            </w:r>
          </w:p>
        </w:tc>
        <w:tc>
          <w:tcPr>
            <w:tcW w:w="3958" w:type="pct"/>
            <w:shd w:val="clear" w:color="auto" w:fill="auto"/>
          </w:tcPr>
          <w:p w14:paraId="2E999827" w14:textId="77777777" w:rsidR="00203F72" w:rsidRPr="00A53581" w:rsidRDefault="00203F72" w:rsidP="00D87D91">
            <w:r w:rsidRPr="00A53581">
              <w:t>教師升等資格評審程序既為維持學術研究與教學之品質所設，其決定之作成應基於客觀專業知識與學術成就之考量，此亦為憲法保障學術自由真諦之所在。故各大學校、院、系</w:t>
            </w:r>
            <w:r w:rsidRPr="00A53581">
              <w:t>(</w:t>
            </w:r>
            <w:r w:rsidRPr="00A53581">
              <w:t>所</w:t>
            </w:r>
            <w:r w:rsidRPr="00A53581">
              <w:t>)</w:t>
            </w:r>
            <w:r w:rsidRPr="00A53581">
              <w:t>教師評審委員會，本於專業評量之原則，應選任各該專業領域具有充分專業能力之學者專家先行審查，將其結果報請教師評審委員會評議</w:t>
            </w:r>
          </w:p>
        </w:tc>
      </w:tr>
      <w:tr w:rsidR="00203F72" w:rsidRPr="00A53581" w14:paraId="168C6528" w14:textId="77777777" w:rsidTr="006B7176">
        <w:tc>
          <w:tcPr>
            <w:tcW w:w="434" w:type="pct"/>
            <w:shd w:val="clear" w:color="auto" w:fill="auto"/>
          </w:tcPr>
          <w:p w14:paraId="1AB544AB" w14:textId="77777777" w:rsidR="00203F72" w:rsidRPr="00A53581" w:rsidRDefault="00203F72" w:rsidP="00D87D91">
            <w:r w:rsidRPr="00A53581">
              <w:lastRenderedPageBreak/>
              <w:t>釋字</w:t>
            </w:r>
            <w:hyperlink r:id="rId231" w:anchor="r563" w:history="1">
              <w:r w:rsidRPr="00060676">
                <w:rPr>
                  <w:rStyle w:val="a5"/>
                  <w:rFonts w:ascii="Times New Roman" w:eastAsia="新細明體" w:hAnsi="Times New Roman"/>
                </w:rPr>
                <w:t>第</w:t>
              </w:r>
              <w:r w:rsidRPr="00060676">
                <w:rPr>
                  <w:rStyle w:val="a5"/>
                  <w:rFonts w:ascii="Times New Roman" w:eastAsia="新細明體" w:hAnsi="Times New Roman"/>
                </w:rPr>
                <w:t>563</w:t>
              </w:r>
              <w:r w:rsidRPr="00060676">
                <w:rPr>
                  <w:rStyle w:val="a5"/>
                  <w:rFonts w:ascii="Times New Roman" w:eastAsia="新細明體" w:hAnsi="Times New Roman"/>
                </w:rPr>
                <w:t>號</w:t>
              </w:r>
            </w:hyperlink>
          </w:p>
        </w:tc>
        <w:tc>
          <w:tcPr>
            <w:tcW w:w="608" w:type="pct"/>
            <w:shd w:val="clear" w:color="auto" w:fill="auto"/>
          </w:tcPr>
          <w:p w14:paraId="37181C0E" w14:textId="77777777" w:rsidR="00203F72" w:rsidRPr="00A53581" w:rsidRDefault="00203F72" w:rsidP="00D87D91">
            <w:r w:rsidRPr="00A53581">
              <w:t>授予學位與考核學業及品行</w:t>
            </w:r>
          </w:p>
        </w:tc>
        <w:tc>
          <w:tcPr>
            <w:tcW w:w="3958" w:type="pct"/>
            <w:shd w:val="clear" w:color="auto" w:fill="auto"/>
          </w:tcPr>
          <w:p w14:paraId="32F906F3" w14:textId="77777777" w:rsidR="00203F72" w:rsidRPr="00A53581" w:rsidRDefault="00203F72" w:rsidP="00D87D91">
            <w:r w:rsidRPr="00A53581">
              <w:t>憲</w:t>
            </w:r>
            <w:r w:rsidR="006B7176" w:rsidRPr="00482FC4">
              <w:t>法</w:t>
            </w:r>
            <w:hyperlink r:id="rId232" w:anchor="a11" w:history="1">
              <w:r w:rsidR="006B7176" w:rsidRPr="001F6A1B">
                <w:rPr>
                  <w:rStyle w:val="a5"/>
                  <w:rFonts w:ascii="Times New Roman" w:eastAsia="新細明體" w:hAnsi="Times New Roman"/>
                </w:rPr>
                <w:t>第</w:t>
              </w:r>
              <w:r w:rsidR="006B7176" w:rsidRPr="001F6A1B">
                <w:rPr>
                  <w:rStyle w:val="a5"/>
                  <w:rFonts w:ascii="Times New Roman" w:eastAsia="新細明體" w:hAnsi="Times New Roman"/>
                </w:rPr>
                <w:t>11</w:t>
              </w:r>
              <w:r w:rsidR="006B7176" w:rsidRPr="001F6A1B">
                <w:rPr>
                  <w:rStyle w:val="a5"/>
                  <w:rFonts w:ascii="Times New Roman" w:eastAsia="新細明體" w:hAnsi="Times New Roman"/>
                </w:rPr>
                <w:t>條</w:t>
              </w:r>
            </w:hyperlink>
            <w:r w:rsidRPr="00A53581">
              <w:t>之講學自由賦予大學教學、研究與學習之自由，並於直接關涉教學、研究之學術事項，享有自治權。國家對於大學之監督，依憲</w:t>
            </w:r>
            <w:r w:rsidRPr="006B7176">
              <w:t>法</w:t>
            </w:r>
            <w:hyperlink r:id="rId233" w:anchor="a162" w:history="1">
              <w:r w:rsidR="006B7176" w:rsidRPr="006B7176">
                <w:rPr>
                  <w:rStyle w:val="a5"/>
                </w:rPr>
                <w:t>第162條</w:t>
              </w:r>
            </w:hyperlink>
            <w:r w:rsidRPr="006B7176">
              <w:t>規定</w:t>
            </w:r>
            <w:r w:rsidRPr="00A53581">
              <w:t>，應以法律為之，惟仍應符合大學自治之原則</w:t>
            </w:r>
            <w:r w:rsidRPr="00A53581">
              <w:rPr>
                <w:kern w:val="0"/>
              </w:rPr>
              <w:t>。是立法機關不得任意以法律強制大學設置特定之單位，致侵害大學之內部組織自主權；行政機關亦不得以命令干預大學教學之內容及課程之訂定，而妨礙教學、研究之自由，立法及行政措施之規範密度，於大學自治範圍內，均應受適度之限制</w:t>
            </w:r>
          </w:p>
        </w:tc>
      </w:tr>
    </w:tbl>
    <w:p w14:paraId="231170F2" w14:textId="77777777" w:rsidR="00953151" w:rsidRPr="00686D2C" w:rsidRDefault="00B76D62" w:rsidP="00D87D91">
      <w:r w:rsidRPr="00686D2C">
        <w:t>【</w:t>
      </w:r>
      <w:r w:rsidR="00203F72" w:rsidRPr="00686D2C">
        <w:t>本表格</w:t>
      </w:r>
      <w:r w:rsidR="00B03E84" w:rsidRPr="00686D2C">
        <w:t>資料來源】</w:t>
      </w:r>
      <w:r w:rsidR="00203F72" w:rsidRPr="00686D2C">
        <w:t>洪嘉仁、王士榮、張若霖、廖瓊樅</w:t>
      </w:r>
      <w:r w:rsidR="00203F72" w:rsidRPr="00686D2C">
        <w:t>(2011)</w:t>
      </w:r>
      <w:r w:rsidR="00203F72" w:rsidRPr="00686D2C">
        <w:t>，憲法與立國精神，初版，台北：高立，第</w:t>
      </w:r>
      <w:r w:rsidR="00203F72" w:rsidRPr="00686D2C">
        <w:t>82</w:t>
      </w:r>
      <w:r w:rsidR="00203F72" w:rsidRPr="00686D2C">
        <w:t>頁。</w:t>
      </w:r>
    </w:p>
    <w:p w14:paraId="6F26BD57" w14:textId="77777777" w:rsidR="00953151" w:rsidRPr="00686D2C" w:rsidRDefault="00B76D62" w:rsidP="00D87D91">
      <w:r w:rsidRPr="00686D2C">
        <w:t xml:space="preserve">　　</w:t>
      </w:r>
      <w:r w:rsidR="00203F72" w:rsidRPr="00686D2C">
        <w:t>另依司法院釋</w:t>
      </w:r>
      <w:r w:rsidR="006B7176" w:rsidRPr="00A53581">
        <w:rPr>
          <w:rFonts w:ascii="新細明體" w:hAnsi="新細明體"/>
          <w:kern w:val="0"/>
        </w:rPr>
        <w:t>字</w:t>
      </w:r>
      <w:hyperlink r:id="rId234" w:anchor="r626" w:history="1">
        <w:r w:rsidR="006B7176" w:rsidRPr="006B7176">
          <w:rPr>
            <w:rStyle w:val="a5"/>
            <w:rFonts w:eastAsia="新細明體"/>
            <w:kern w:val="0"/>
          </w:rPr>
          <w:t>第626號</w:t>
        </w:r>
      </w:hyperlink>
      <w:r w:rsidR="00203F72" w:rsidRPr="00686D2C">
        <w:t>之意旨：「大學自治為憲法</w:t>
      </w:r>
      <w:r w:rsidR="006B7176" w:rsidRPr="00686D2C">
        <w:t>第</w:t>
      </w:r>
      <w:hyperlink r:id="rId235" w:anchor="a11" w:history="1">
        <w:r w:rsidR="006B7176" w:rsidRPr="00C454F8">
          <w:rPr>
            <w:rStyle w:val="a5"/>
            <w:rFonts w:ascii="Times New Roman" w:hAnsi="Times New Roman"/>
          </w:rPr>
          <w:t>十一</w:t>
        </w:r>
      </w:hyperlink>
      <w:r w:rsidR="006B7176" w:rsidRPr="00686D2C">
        <w:t>條</w:t>
      </w:r>
      <w:r w:rsidR="00203F72" w:rsidRPr="00686D2C">
        <w:t>講學自由之保障範圍，大學對於教學、研究與學習之事項，享有自治權，其自治事項範圍除內部組織、課程設計、研究內容、學力評鑑、考試規則及畢業條件等外（釋字第三八</w:t>
      </w:r>
      <w:r w:rsidR="007F3288">
        <w:t>0</w:t>
      </w:r>
      <w:r w:rsidR="00203F72" w:rsidRPr="00686D2C">
        <w:t>號、第四五</w:t>
      </w:r>
      <w:r w:rsidR="007F3288">
        <w:t>0</w:t>
      </w:r>
      <w:r w:rsidR="00203F72" w:rsidRPr="00686D2C">
        <w:t>號及第五六三號解釋參照），亦包括入學資格在內，俾大學得藉以篩選學生，維繫學校品質，提升競爭力，並發展特色，實現教育理念。大學對於入學資格既享有自治權，自得以其自治規章，於合理及必要之範圍內，訂定相關入學資格條件，不生違反憲</w:t>
      </w:r>
      <w:r w:rsidR="00B525CE" w:rsidRPr="00686D2C">
        <w:t>法第</w:t>
      </w:r>
      <w:hyperlink r:id="rId236" w:anchor="a23" w:history="1">
        <w:r w:rsidR="00B525CE" w:rsidRPr="00686D2C">
          <w:rPr>
            <w:rStyle w:val="a5"/>
          </w:rPr>
          <w:t>二十三</w:t>
        </w:r>
      </w:hyperlink>
      <w:r w:rsidR="00B525CE" w:rsidRPr="00686D2C">
        <w:t>條</w:t>
      </w:r>
      <w:r w:rsidR="00203F72" w:rsidRPr="00686D2C">
        <w:t>法律保留原則之問題。」</w:t>
      </w:r>
    </w:p>
    <w:p w14:paraId="3C3AB31C" w14:textId="77777777" w:rsidR="00953151" w:rsidRPr="00686D2C" w:rsidRDefault="00B76D62" w:rsidP="00D87D91">
      <w:r w:rsidRPr="00686D2C">
        <w:t xml:space="preserve">　　</w:t>
      </w:r>
      <w:r w:rsidR="00203F72" w:rsidRPr="00686D2C">
        <w:t>教育是民族強盛發展重要事項，應免於國家權力幹預，俾完善教育文化之興盛，但同樣此自由亦非無限制，司法院釋</w:t>
      </w:r>
      <w:r w:rsidR="00AC7348" w:rsidRPr="00686D2C">
        <w:t>字</w:t>
      </w:r>
      <w:hyperlink r:id="rId237" w:anchor="r380" w:history="1">
        <w:r w:rsidR="00AC7348" w:rsidRPr="00AC7348">
          <w:rPr>
            <w:rStyle w:val="a5"/>
            <w:rFonts w:ascii="Times New Roman" w:hAnsi="Times New Roman"/>
          </w:rPr>
          <w:t>第</w:t>
        </w:r>
        <w:r w:rsidR="00AC7348" w:rsidRPr="00AC7348">
          <w:rPr>
            <w:rStyle w:val="a5"/>
            <w:rFonts w:ascii="Times New Roman" w:hAnsi="Times New Roman"/>
          </w:rPr>
          <w:t>380</w:t>
        </w:r>
        <w:r w:rsidR="00AC7348" w:rsidRPr="00AC7348">
          <w:rPr>
            <w:rStyle w:val="a5"/>
            <w:rFonts w:ascii="Times New Roman" w:hAnsi="Times New Roman"/>
          </w:rPr>
          <w:t>號</w:t>
        </w:r>
      </w:hyperlink>
      <w:r w:rsidR="00203F72" w:rsidRPr="00686D2C">
        <w:t>解釋指出：「是教育主管機關對大學之監督，應有法律之授權，且法律本身亦須符合憲</w:t>
      </w:r>
      <w:r w:rsidR="00B525CE" w:rsidRPr="00686D2C">
        <w:t>法第</w:t>
      </w:r>
      <w:hyperlink r:id="rId238" w:anchor="a23" w:history="1">
        <w:r w:rsidR="00B525CE" w:rsidRPr="00686D2C">
          <w:rPr>
            <w:rStyle w:val="a5"/>
          </w:rPr>
          <w:t>二十三</w:t>
        </w:r>
      </w:hyperlink>
      <w:r w:rsidR="00B525CE" w:rsidRPr="00686D2C">
        <w:t>條</w:t>
      </w:r>
      <w:r w:rsidR="00203F72" w:rsidRPr="00686D2C">
        <w:t>規定之法律保留原則。」每個人有著作、出版自由，司法院釋</w:t>
      </w:r>
      <w:r w:rsidR="00AC7348" w:rsidRPr="003D02B1">
        <w:t>字</w:t>
      </w:r>
      <w:hyperlink r:id="rId239" w:anchor="r617" w:history="1">
        <w:r w:rsidR="00AC7348" w:rsidRPr="00AC7348">
          <w:rPr>
            <w:rStyle w:val="a5"/>
            <w:rFonts w:ascii="Times New Roman" w:hAnsi="Times New Roman"/>
          </w:rPr>
          <w:t>第</w:t>
        </w:r>
        <w:r w:rsidR="00AC7348" w:rsidRPr="00AC7348">
          <w:rPr>
            <w:rStyle w:val="a5"/>
            <w:rFonts w:ascii="Times New Roman" w:hAnsi="Times New Roman"/>
          </w:rPr>
          <w:t>617</w:t>
        </w:r>
        <w:r w:rsidR="00AC7348" w:rsidRPr="00AC7348">
          <w:rPr>
            <w:rStyle w:val="a5"/>
            <w:rFonts w:ascii="Times New Roman" w:hAnsi="Times New Roman"/>
          </w:rPr>
          <w:t>號</w:t>
        </w:r>
      </w:hyperlink>
      <w:r w:rsidR="00203F72" w:rsidRPr="00686D2C">
        <w:t>指出：「憲法</w:t>
      </w:r>
      <w:r w:rsidR="00C454F8" w:rsidRPr="00686D2C">
        <w:t>第</w:t>
      </w:r>
      <w:hyperlink r:id="rId240" w:anchor="a11" w:history="1">
        <w:r w:rsidR="00C454F8" w:rsidRPr="00C454F8">
          <w:rPr>
            <w:rStyle w:val="a5"/>
            <w:rFonts w:ascii="Times New Roman" w:hAnsi="Times New Roman"/>
          </w:rPr>
          <w:t>十一</w:t>
        </w:r>
      </w:hyperlink>
      <w:r w:rsidR="00C454F8" w:rsidRPr="00686D2C">
        <w:t>條</w:t>
      </w:r>
      <w:r w:rsidR="00203F72" w:rsidRPr="00686D2C">
        <w:t>保障人民之言論及出版自由，旨在確保意見之自由流通，使人民有取得充分資訊及實現自我之機會。性言論之表現與性資訊之流通，不問是否出於營利之目的，亦應受上開憲法對言論及出版自由之保障。」</w:t>
      </w:r>
    </w:p>
    <w:p w14:paraId="32F6006E" w14:textId="77777777" w:rsidR="00953151" w:rsidRPr="00686D2C" w:rsidRDefault="00B76D62" w:rsidP="00D87D91">
      <w:r w:rsidRPr="00686D2C">
        <w:t xml:space="preserve">　　</w:t>
      </w:r>
      <w:r w:rsidR="00203F72" w:rsidRPr="00686D2C">
        <w:t>保障人民著作、出版之自由，讓人民之意見能自由流通，使人民有取得充分資訊及實現自我之機會。同樣，此自由非無限制，依釋</w:t>
      </w:r>
      <w:r w:rsidR="00AC7348" w:rsidRPr="003D02B1">
        <w:t>字</w:t>
      </w:r>
      <w:hyperlink r:id="rId241" w:anchor="r617" w:history="1">
        <w:r w:rsidR="00AC7348" w:rsidRPr="00AC7348">
          <w:rPr>
            <w:rStyle w:val="a5"/>
            <w:rFonts w:ascii="Times New Roman" w:hAnsi="Times New Roman"/>
          </w:rPr>
          <w:t>第</w:t>
        </w:r>
        <w:r w:rsidR="00AC7348" w:rsidRPr="00AC7348">
          <w:rPr>
            <w:rStyle w:val="a5"/>
            <w:rFonts w:ascii="Times New Roman" w:hAnsi="Times New Roman"/>
          </w:rPr>
          <w:t>617</w:t>
        </w:r>
        <w:r w:rsidR="00AC7348" w:rsidRPr="00AC7348">
          <w:rPr>
            <w:rStyle w:val="a5"/>
            <w:rFonts w:ascii="Times New Roman" w:hAnsi="Times New Roman"/>
          </w:rPr>
          <w:t>號</w:t>
        </w:r>
      </w:hyperlink>
      <w:r w:rsidR="00203F72" w:rsidRPr="00686D2C">
        <w:t>之內涵：「惟憲法對言論及出版自由之保障並非絕對，應依其性質而有不同之保護範疇及限制之準則，國家於符合憲</w:t>
      </w:r>
      <w:r w:rsidR="00B525CE" w:rsidRPr="00686D2C">
        <w:t>法第</w:t>
      </w:r>
      <w:hyperlink r:id="rId242" w:anchor="a23" w:history="1">
        <w:r w:rsidR="00B525CE" w:rsidRPr="00686D2C">
          <w:rPr>
            <w:rStyle w:val="a5"/>
          </w:rPr>
          <w:t>二十三</w:t>
        </w:r>
      </w:hyperlink>
      <w:r w:rsidR="00B525CE" w:rsidRPr="00686D2C">
        <w:t>條</w:t>
      </w:r>
      <w:r w:rsidR="00203F72" w:rsidRPr="00686D2C">
        <w:t>規定意旨之範圍內，得以法律明確規定對之予以適當之限制。</w:t>
      </w:r>
      <w:r w:rsidR="00203F72" w:rsidRPr="00686D2C">
        <w:t>…….</w:t>
      </w:r>
      <w:r w:rsidR="00203F72" w:rsidRPr="00686D2C">
        <w:t>在客觀上足以引起普通一般人羞恥或厭惡感而侵害性之道德感情，有礙於社會風化者，對於平等和諧之社會性價值秩序顯有危害。侵害此等社會共同價值秩序之行為，即違反憲法上所保障之社會秩序，立法者制定法律加以管制，其管制目的核屬正當</w:t>
      </w:r>
      <w:r w:rsidR="00203F72" w:rsidRPr="00686D2C">
        <w:t>…</w:t>
      </w:r>
      <w:r w:rsidR="00203F72" w:rsidRPr="00686D2C">
        <w:t>」人民之言論、講學、著作及出版之自由，都應獲得保障；但若損及公共利益，違反憲法上所保障之社會秩序，則不在保障範圍。綜上，我國憲法對言論及出版自由之保障，並非絕對之保障，會依其性質，而有不同之保護範疇及限制。</w:t>
      </w:r>
    </w:p>
    <w:p w14:paraId="227B4BD6" w14:textId="77777777" w:rsidR="00953151" w:rsidRDefault="00076467" w:rsidP="00767F37">
      <w:pPr>
        <w:pStyle w:val="2"/>
      </w:pPr>
      <w:hyperlink r:id="rId243" w:anchor="a12" w:history="1">
        <w:r w:rsidR="005D5A46">
          <w:rPr>
            <w:rStyle w:val="a5"/>
            <w:rFonts w:ascii="Arial Unicode MS" w:hAnsi="Arial Unicode MS"/>
          </w:rPr>
          <w:t>第</w:t>
        </w:r>
        <w:r w:rsidR="00203F72" w:rsidRPr="00CC3396">
          <w:rPr>
            <w:rStyle w:val="a5"/>
            <w:rFonts w:ascii="Arial Unicode MS" w:hAnsi="Arial Unicode MS"/>
          </w:rPr>
          <w:t>12</w:t>
        </w:r>
        <w:r w:rsidR="005D5A46">
          <w:rPr>
            <w:rStyle w:val="a5"/>
            <w:rFonts w:ascii="Arial Unicode MS" w:hAnsi="Arial Unicode MS"/>
          </w:rPr>
          <w:t>條</w:t>
        </w:r>
      </w:hyperlink>
      <w:r w:rsidR="00203F72" w:rsidRPr="00A53581">
        <w:t>人民有秘密通訊之自由。</w:t>
      </w:r>
    </w:p>
    <w:p w14:paraId="6F191C58" w14:textId="77777777" w:rsidR="00953151" w:rsidRPr="00686D2C" w:rsidRDefault="00B03E84" w:rsidP="00D87D91">
      <w:r w:rsidRPr="00686D2C">
        <w:t>【內容解析】</w:t>
      </w:r>
    </w:p>
    <w:p w14:paraId="31614060" w14:textId="77777777" w:rsidR="00953151" w:rsidRPr="00686D2C" w:rsidRDefault="00B76D62" w:rsidP="00D87D91">
      <w:r w:rsidRPr="00686D2C">
        <w:t xml:space="preserve">　　</w:t>
      </w:r>
      <w:r w:rsidR="00203F72" w:rsidRPr="00686D2C">
        <w:t>秘密通訊自由和言論自由之概念類似，人民有秘密傳達思想、意見，交換彼此想法之自由，不受國家公權力之侵犯。但此種自由也須符合一定規範。司法院釋字</w:t>
      </w:r>
      <w:hyperlink r:id="rId244" w:anchor="631" w:history="1">
        <w:r w:rsidR="005D5A46" w:rsidRPr="00AC7348">
          <w:rPr>
            <w:rStyle w:val="a5"/>
            <w:rFonts w:ascii="Times New Roman" w:hAnsi="Times New Roman"/>
          </w:rPr>
          <w:t>第</w:t>
        </w:r>
        <w:r w:rsidR="00203F72" w:rsidRPr="00AC7348">
          <w:rPr>
            <w:rStyle w:val="a5"/>
            <w:rFonts w:ascii="Times New Roman" w:hAnsi="Times New Roman"/>
          </w:rPr>
          <w:t>631</w:t>
        </w:r>
        <w:r w:rsidR="00F5469C" w:rsidRPr="00AC7348">
          <w:rPr>
            <w:rStyle w:val="a5"/>
            <w:rFonts w:ascii="Times New Roman" w:hAnsi="Times New Roman"/>
          </w:rPr>
          <w:t>號</w:t>
        </w:r>
      </w:hyperlink>
      <w:r w:rsidR="00203F72" w:rsidRPr="00686D2C">
        <w:t>文指出：「憲法第十二條規定：「人民有秘密通訊之自由。」旨在確保人民就通訊之有無、對象、時間、方式及內容等事項，有不受國家及他人任意侵擾之權利。國家採取限制手段時，除應有法律依據外，限制之要件應具體、明確，不得逾越必要之範圍，所踐行之程序並應合理、正當，方符憲法保護人民秘密通訊自由之意旨。</w:t>
      </w:r>
      <w:r w:rsidR="00203F72" w:rsidRPr="00686D2C">
        <w:t>…</w:t>
      </w:r>
      <w:r w:rsidR="00203F72" w:rsidRPr="00686D2C">
        <w:t>」人民有通訊及不通訊之自由，通訊之對象、時間、方式及內容等事項，有不受國家及他人任意侵擾之權利，但若有法律規定，國家仍可以限制人民秘密通訊自由，不過限制之要件應具體、明確，並且不得逾越必要之範圍，程序也應合理、正當。</w:t>
      </w:r>
    </w:p>
    <w:p w14:paraId="7AEF65A2" w14:textId="77777777" w:rsidR="00953151" w:rsidRPr="00686D2C" w:rsidRDefault="00B76D62" w:rsidP="00D87D91">
      <w:r w:rsidRPr="00686D2C">
        <w:t xml:space="preserve">　　</w:t>
      </w:r>
      <w:r w:rsidR="00203F72" w:rsidRPr="00686D2C">
        <w:t>為保障人民秘密通訊自由及隱私權不受非法侵害，並確保國家安全，維護社會秩序，我國特制定</w:t>
      </w:r>
      <w:hyperlink r:id="rId245" w:history="1">
        <w:r w:rsidR="00203F72" w:rsidRPr="00697741">
          <w:rPr>
            <w:rStyle w:val="a5"/>
            <w:rFonts w:ascii="Times New Roman" w:eastAsia="新細明體" w:hAnsi="Times New Roman"/>
          </w:rPr>
          <w:t>通訊保障及監察法</w:t>
        </w:r>
      </w:hyperlink>
      <w:r w:rsidR="00203F72" w:rsidRPr="00686D2C">
        <w:t>。</w:t>
      </w:r>
    </w:p>
    <w:p w14:paraId="4D1AF1FC" w14:textId="77777777" w:rsidR="001F6A1B" w:rsidRDefault="001F6A1B" w:rsidP="00D87D91"/>
    <w:p w14:paraId="1DC22D63" w14:textId="5F674D90" w:rsidR="00203F72" w:rsidRPr="00686D2C" w:rsidRDefault="00B03E84" w:rsidP="00D87D91">
      <w:r w:rsidRPr="00686D2C">
        <w:t>【</w:t>
      </w:r>
      <w:r w:rsidRPr="00686D2C">
        <w:t>table</w:t>
      </w:r>
      <w:r w:rsidR="005E23E3" w:rsidRPr="00686D2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w:t>
      </w:r>
      <w:r w:rsidR="00076467">
        <w:rPr>
          <w:noProof/>
        </w:rPr>
        <w:fldChar w:fldCharType="end"/>
      </w:r>
      <w:r w:rsidR="00203F72" w:rsidRPr="00686D2C">
        <w:t>（通訊）秘密之自由之保障之條文與其內涵</w:t>
      </w:r>
    </w:p>
    <w:tbl>
      <w:tblPr>
        <w:tblW w:w="47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6070"/>
      </w:tblGrid>
      <w:tr w:rsidR="00203F72" w:rsidRPr="00A53581" w14:paraId="59E86548" w14:textId="77777777" w:rsidTr="00203F72">
        <w:tc>
          <w:tcPr>
            <w:tcW w:w="1229" w:type="pct"/>
            <w:shd w:val="clear" w:color="auto" w:fill="auto"/>
          </w:tcPr>
          <w:p w14:paraId="3D53E477" w14:textId="77777777" w:rsidR="00203F72" w:rsidRPr="00A53581" w:rsidRDefault="00203F72" w:rsidP="00D87D91">
            <w:r w:rsidRPr="00A53581">
              <w:t>1.</w:t>
            </w:r>
            <w:hyperlink r:id="rId246" w:history="1">
              <w:r w:rsidRPr="0038242A">
                <w:rPr>
                  <w:rStyle w:val="a5"/>
                  <w:rFonts w:eastAsia="新細明體"/>
                </w:rPr>
                <w:t>郵政法</w:t>
              </w:r>
            </w:hyperlink>
          </w:p>
        </w:tc>
        <w:tc>
          <w:tcPr>
            <w:tcW w:w="3771" w:type="pct"/>
            <w:shd w:val="clear" w:color="auto" w:fill="auto"/>
          </w:tcPr>
          <w:p w14:paraId="5670773B" w14:textId="77777777" w:rsidR="00203F72" w:rsidRPr="00A53581" w:rsidRDefault="00203F72" w:rsidP="00D87D91">
            <w:r w:rsidRPr="00A53581">
              <w:t>(1)</w:t>
            </w:r>
            <w:r w:rsidRPr="00A53581">
              <w:t>從事郵務人員因職務知悉他人情形者，均應嚴守秘密</w:t>
            </w:r>
            <w:r w:rsidRPr="00A53581">
              <w:t>(</w:t>
            </w:r>
            <w:r w:rsidRPr="00A53581">
              <w:t>郵</w:t>
            </w:r>
            <w:r w:rsidRPr="00A53581">
              <w:t>23)</w:t>
            </w:r>
            <w:r w:rsidRPr="00A53581">
              <w:rPr>
                <w:kern w:val="0"/>
              </w:rPr>
              <w:t xml:space="preserve"> </w:t>
            </w:r>
            <w:r w:rsidRPr="00A53581">
              <w:rPr>
                <w:kern w:val="0"/>
              </w:rPr>
              <w:t>。</w:t>
            </w:r>
          </w:p>
          <w:p w14:paraId="339AEFA5" w14:textId="77777777" w:rsidR="00203F72" w:rsidRPr="00A53581" w:rsidRDefault="00203F72" w:rsidP="00D87D91">
            <w:r w:rsidRPr="00A53581">
              <w:t>(2)</w:t>
            </w:r>
            <w:r w:rsidRPr="00A53581">
              <w:t>中華郵政公司或其服務人員不得開拆他人之郵件，但除信函外，得依法令拆驗者，不在此限</w:t>
            </w:r>
            <w:r w:rsidRPr="00A53581">
              <w:t>(</w:t>
            </w:r>
            <w:hyperlink r:id="rId247" w:anchor="b10" w:history="1">
              <w:r w:rsidRPr="0038242A">
                <w:rPr>
                  <w:rStyle w:val="a5"/>
                  <w:rFonts w:eastAsia="新細明體"/>
                </w:rPr>
                <w:t>郵10</w:t>
              </w:r>
            </w:hyperlink>
            <w:r w:rsidRPr="00A53581">
              <w:t>)</w:t>
            </w:r>
            <w:r w:rsidRPr="00A53581">
              <w:rPr>
                <w:kern w:val="0"/>
              </w:rPr>
              <w:t xml:space="preserve"> </w:t>
            </w:r>
            <w:r w:rsidRPr="00A53581">
              <w:rPr>
                <w:kern w:val="0"/>
              </w:rPr>
              <w:t>。</w:t>
            </w:r>
          </w:p>
        </w:tc>
      </w:tr>
      <w:tr w:rsidR="00203F72" w:rsidRPr="00A53581" w14:paraId="40F0C21B" w14:textId="77777777" w:rsidTr="00203F72">
        <w:tc>
          <w:tcPr>
            <w:tcW w:w="1229" w:type="pct"/>
            <w:shd w:val="clear" w:color="auto" w:fill="auto"/>
          </w:tcPr>
          <w:p w14:paraId="43825AEA" w14:textId="77777777" w:rsidR="00203F72" w:rsidRPr="00A53581" w:rsidRDefault="00203F72" w:rsidP="00D87D91">
            <w:r w:rsidRPr="00A53581">
              <w:t>2.</w:t>
            </w:r>
            <w:hyperlink r:id="rId248" w:history="1">
              <w:r w:rsidRPr="0038242A">
                <w:rPr>
                  <w:rStyle w:val="a5"/>
                  <w:rFonts w:eastAsia="新細明體"/>
                </w:rPr>
                <w:t>電信法</w:t>
              </w:r>
            </w:hyperlink>
          </w:p>
        </w:tc>
        <w:tc>
          <w:tcPr>
            <w:tcW w:w="3771" w:type="pct"/>
            <w:shd w:val="clear" w:color="auto" w:fill="auto"/>
          </w:tcPr>
          <w:p w14:paraId="7AE6A217" w14:textId="77777777" w:rsidR="00203F72" w:rsidRPr="00A53581" w:rsidRDefault="00203F72" w:rsidP="00D87D91">
            <w:r w:rsidRPr="00A53581">
              <w:t>(1)</w:t>
            </w:r>
            <w:r w:rsidRPr="00A53581">
              <w:t>電信事業與專用電信處理之通信，他人不得盜接、盜錄、或以其他非法之方法侵犯其秘密。電信事業並應採適當並必要之措施，以保障其處理通信之秘密</w:t>
            </w:r>
            <w:r w:rsidRPr="00A53581">
              <w:t>(</w:t>
            </w:r>
            <w:hyperlink r:id="rId249" w:anchor="a6" w:history="1">
              <w:r w:rsidRPr="0038242A">
                <w:rPr>
                  <w:rStyle w:val="a5"/>
                  <w:rFonts w:eastAsia="新細明體"/>
                  <w:kern w:val="0"/>
                </w:rPr>
                <w:t>電6</w:t>
              </w:r>
            </w:hyperlink>
            <w:r w:rsidRPr="00A53581">
              <w:t>)</w:t>
            </w:r>
            <w:r w:rsidRPr="00A53581">
              <w:t>。</w:t>
            </w:r>
          </w:p>
          <w:p w14:paraId="7CE53973" w14:textId="77777777" w:rsidR="00203F72" w:rsidRPr="00A53581" w:rsidRDefault="00203F72" w:rsidP="00D87D91">
            <w:r w:rsidRPr="00A53581">
              <w:t>(2)</w:t>
            </w:r>
            <w:r w:rsidRPr="00A53581">
              <w:t>電信事業或其服務人員對於電信之有無及其內容，應嚴守秘密；退職人員亦同</w:t>
            </w:r>
            <w:r w:rsidRPr="00A53581">
              <w:t>(</w:t>
            </w:r>
            <w:hyperlink r:id="rId250" w:anchor="a7" w:history="1">
              <w:r w:rsidRPr="0038242A">
                <w:rPr>
                  <w:rStyle w:val="a5"/>
                  <w:rFonts w:eastAsia="新細明體"/>
                </w:rPr>
                <w:t>電7</w:t>
              </w:r>
            </w:hyperlink>
            <w:r w:rsidRPr="00A53581">
              <w:t>)</w:t>
            </w:r>
            <w:r w:rsidRPr="00A53581">
              <w:rPr>
                <w:kern w:val="0"/>
              </w:rPr>
              <w:t xml:space="preserve"> </w:t>
            </w:r>
            <w:r w:rsidRPr="00A53581">
              <w:rPr>
                <w:kern w:val="0"/>
              </w:rPr>
              <w:t>。</w:t>
            </w:r>
          </w:p>
          <w:p w14:paraId="00D9DC9A" w14:textId="77777777" w:rsidR="00203F72" w:rsidRPr="00A53581" w:rsidRDefault="00203F72" w:rsidP="00D87D91">
            <w:r w:rsidRPr="00A53581">
              <w:t>(3)</w:t>
            </w:r>
            <w:r w:rsidRPr="00A53581">
              <w:t>意圖為自己或第三人不法之利益，以有線、無線或其他電磁方式，盜接或盜用他人電信設備通信者，處</w:t>
            </w:r>
            <w:r w:rsidRPr="00A53581">
              <w:t>5</w:t>
            </w:r>
            <w:r w:rsidRPr="00A53581">
              <w:t>年以下有期徒刑，得併科新臺幣</w:t>
            </w:r>
            <w:r w:rsidRPr="00A53581">
              <w:t>150</w:t>
            </w:r>
            <w:r w:rsidRPr="00A53581">
              <w:t>萬以下罰金</w:t>
            </w:r>
            <w:r w:rsidRPr="00A53581">
              <w:t>(</w:t>
            </w:r>
            <w:hyperlink r:id="rId251" w:anchor="a56" w:history="1">
              <w:r w:rsidRPr="0038242A">
                <w:rPr>
                  <w:rStyle w:val="a5"/>
                  <w:rFonts w:eastAsia="新細明體"/>
                </w:rPr>
                <w:t>電56</w:t>
              </w:r>
            </w:hyperlink>
            <w:r w:rsidRPr="00A53581">
              <w:t>)</w:t>
            </w:r>
            <w:r w:rsidRPr="00A53581">
              <w:rPr>
                <w:kern w:val="0"/>
              </w:rPr>
              <w:t>。</w:t>
            </w:r>
          </w:p>
        </w:tc>
      </w:tr>
      <w:tr w:rsidR="00203F72" w:rsidRPr="00A53581" w14:paraId="3BC72B48" w14:textId="77777777" w:rsidTr="00203F72">
        <w:tc>
          <w:tcPr>
            <w:tcW w:w="1229" w:type="pct"/>
            <w:shd w:val="clear" w:color="auto" w:fill="auto"/>
          </w:tcPr>
          <w:p w14:paraId="6F536E8F" w14:textId="77777777" w:rsidR="00203F72" w:rsidRPr="00A53581" w:rsidRDefault="00203F72" w:rsidP="00D87D91">
            <w:r w:rsidRPr="00A53581">
              <w:t>3.</w:t>
            </w:r>
            <w:r w:rsidR="006B7176">
              <w:rPr>
                <w:rFonts w:hint="eastAsia"/>
              </w:rPr>
              <w:t xml:space="preserve"> </w:t>
            </w:r>
            <w:hyperlink r:id="rId252" w:history="1">
              <w:r w:rsidR="006B7176" w:rsidRPr="006B7176">
                <w:rPr>
                  <w:rStyle w:val="a5"/>
                  <w:rFonts w:eastAsia="新細明體"/>
                  <w:kern w:val="0"/>
                </w:rPr>
                <w:t>刑法</w:t>
              </w:r>
            </w:hyperlink>
            <w:r w:rsidRPr="00A53581">
              <w:t>對秘密之保障</w:t>
            </w:r>
          </w:p>
        </w:tc>
        <w:tc>
          <w:tcPr>
            <w:tcW w:w="3771" w:type="pct"/>
            <w:shd w:val="clear" w:color="auto" w:fill="auto"/>
          </w:tcPr>
          <w:p w14:paraId="6EC546B4" w14:textId="77777777" w:rsidR="00203F72" w:rsidRPr="00A53581" w:rsidRDefault="00203F72" w:rsidP="00D87D91">
            <w:r w:rsidRPr="00A53581">
              <w:t>(1)</w:t>
            </w:r>
            <w:r w:rsidRPr="00A53581">
              <w:t>郵電人員妨害郵電秘密之處罰：在郵務或電報機關執行職務之公務員，開拆或隱匿投寄之郵件或電報者，處</w:t>
            </w:r>
            <w:r w:rsidRPr="00A53581">
              <w:t>3</w:t>
            </w:r>
            <w:r w:rsidRPr="00A53581">
              <w:t>年以下有期徒刑、拘役或</w:t>
            </w:r>
            <w:r w:rsidRPr="00A53581">
              <w:t>500</w:t>
            </w:r>
            <w:r w:rsidRPr="00A53581">
              <w:t>元以下罰金</w:t>
            </w:r>
            <w:r w:rsidRPr="00A53581">
              <w:t>(</w:t>
            </w:r>
            <w:r w:rsidRPr="00A53581">
              <w:t>刑</w:t>
            </w:r>
            <w:hyperlink r:id="rId253" w:anchor="a133" w:history="1">
              <w:r w:rsidRPr="0038242A">
                <w:rPr>
                  <w:rStyle w:val="a5"/>
                  <w:rFonts w:eastAsia="新細明體"/>
                </w:rPr>
                <w:t>133</w:t>
              </w:r>
            </w:hyperlink>
            <w:r w:rsidRPr="00A53581">
              <w:t>)</w:t>
            </w:r>
            <w:r w:rsidRPr="00A53581">
              <w:rPr>
                <w:kern w:val="0"/>
              </w:rPr>
              <w:t xml:space="preserve"> </w:t>
            </w:r>
            <w:r w:rsidRPr="00A53581">
              <w:rPr>
                <w:kern w:val="0"/>
              </w:rPr>
              <w:t>。</w:t>
            </w:r>
          </w:p>
          <w:p w14:paraId="213650D1" w14:textId="77777777" w:rsidR="00203F72" w:rsidRPr="00A53581" w:rsidRDefault="00203F72" w:rsidP="00D87D91">
            <w:r w:rsidRPr="00A53581">
              <w:t>(2)</w:t>
            </w:r>
            <w:r w:rsidRPr="00A53581">
              <w:t>一般人民妨害書信秘密之處罰：無故開拆或隱匿他人之封緘信函文書或圖畫者，處拘役或三千元以下罰金（刑</w:t>
            </w:r>
            <w:hyperlink r:id="rId254" w:anchor="a315" w:history="1">
              <w:r w:rsidRPr="0038242A">
                <w:rPr>
                  <w:rStyle w:val="a5"/>
                  <w:rFonts w:eastAsia="新細明體"/>
                </w:rPr>
                <w:t>315</w:t>
              </w:r>
            </w:hyperlink>
            <w:r w:rsidRPr="00A53581">
              <w:t>）</w:t>
            </w:r>
            <w:r w:rsidRPr="00A53581">
              <w:rPr>
                <w:kern w:val="0"/>
              </w:rPr>
              <w:t>。</w:t>
            </w:r>
          </w:p>
        </w:tc>
      </w:tr>
    </w:tbl>
    <w:p w14:paraId="62D43C53" w14:textId="77777777" w:rsidR="00953151" w:rsidRDefault="00B76D62" w:rsidP="00D87D91">
      <w:r>
        <w:t>【</w:t>
      </w:r>
      <w:r w:rsidR="00203F72" w:rsidRPr="00A53581">
        <w:t>本表</w:t>
      </w:r>
      <w:r w:rsidR="00B03E84">
        <w:t>資料來源】</w:t>
      </w:r>
      <w:r w:rsidR="00203F72" w:rsidRPr="00A53581">
        <w:t>謝瑞智、謝世維</w:t>
      </w:r>
      <w:r w:rsidR="00203F72" w:rsidRPr="00A53581">
        <w:t>(2010)</w:t>
      </w:r>
      <w:r w:rsidR="00203F72" w:rsidRPr="00A53581">
        <w:t>，憲法概要，增訂</w:t>
      </w:r>
      <w:r w:rsidR="00203F72" w:rsidRPr="00A53581">
        <w:t>14</w:t>
      </w:r>
      <w:r w:rsidR="00203F72" w:rsidRPr="00A53581">
        <w:t>版，台北市：文笙書局，第</w:t>
      </w:r>
      <w:r w:rsidR="00203F72" w:rsidRPr="00A53581">
        <w:t>87</w:t>
      </w:r>
      <w:r w:rsidR="00203F72" w:rsidRPr="00A53581">
        <w:t>頁。</w:t>
      </w:r>
    </w:p>
    <w:p w14:paraId="031B2DD3" w14:textId="77777777" w:rsidR="00953151" w:rsidRDefault="00076467" w:rsidP="00767F37">
      <w:pPr>
        <w:pStyle w:val="2"/>
      </w:pPr>
      <w:hyperlink r:id="rId255" w:anchor="a13" w:history="1">
        <w:r w:rsidR="005D5A46">
          <w:rPr>
            <w:rStyle w:val="a5"/>
            <w:rFonts w:ascii="Arial Unicode MS" w:hAnsi="Arial Unicode MS"/>
          </w:rPr>
          <w:t>第</w:t>
        </w:r>
        <w:r w:rsidR="00203F72" w:rsidRPr="00CC3396">
          <w:rPr>
            <w:rStyle w:val="a5"/>
            <w:rFonts w:ascii="Arial Unicode MS" w:hAnsi="Arial Unicode MS"/>
          </w:rPr>
          <w:t>13</w:t>
        </w:r>
        <w:r w:rsidR="005D5A46">
          <w:rPr>
            <w:rStyle w:val="a5"/>
            <w:rFonts w:ascii="Arial Unicode MS" w:hAnsi="Arial Unicode MS"/>
          </w:rPr>
          <w:t>條</w:t>
        </w:r>
      </w:hyperlink>
      <w:r w:rsidR="00203F72" w:rsidRPr="00A53581">
        <w:t>人民有信仰宗教之自由。</w:t>
      </w:r>
    </w:p>
    <w:p w14:paraId="44B999D2" w14:textId="77777777" w:rsidR="00953151" w:rsidRDefault="00B03E84" w:rsidP="00D87D91">
      <w:r>
        <w:t>【內容解析】</w:t>
      </w:r>
    </w:p>
    <w:p w14:paraId="1F4EE08A" w14:textId="77777777" w:rsidR="00953151" w:rsidRDefault="00686D2C" w:rsidP="00D87D91">
      <w:pPr>
        <w:rPr>
          <w:kern w:val="0"/>
        </w:rPr>
      </w:pPr>
      <w:r>
        <w:t xml:space="preserve">　　</w:t>
      </w:r>
      <w:r w:rsidR="00203F72" w:rsidRPr="00A53581">
        <w:t>人民有自由決定宗教信仰之權利，包括信仰或不信仰宗教之自由，傳教之自由及信仰何種宗教之自由等，都不受到國家公權力之干涉。司法院釋字</w:t>
      </w:r>
      <w:hyperlink r:id="rId256" w:anchor="r460" w:history="1">
        <w:r w:rsidR="005D5A46" w:rsidRPr="000D79C4">
          <w:rPr>
            <w:rStyle w:val="a5"/>
          </w:rPr>
          <w:t>第</w:t>
        </w:r>
        <w:r w:rsidR="00203F72" w:rsidRPr="000D79C4">
          <w:rPr>
            <w:rStyle w:val="a5"/>
          </w:rPr>
          <w:t>460號</w:t>
        </w:r>
      </w:hyperlink>
      <w:r w:rsidR="00203F72" w:rsidRPr="00A53581">
        <w:t>解釋指出</w:t>
      </w:r>
      <w:r w:rsidR="00203F72" w:rsidRPr="00A53581">
        <w:rPr>
          <w:kern w:val="0"/>
          <w:lang w:bidi="bn-IN"/>
        </w:rPr>
        <w:t>：</w:t>
      </w:r>
      <w:r w:rsidR="00203F72" w:rsidRPr="00A53581">
        <w:t>「</w:t>
      </w:r>
      <w:r w:rsidR="00203F72" w:rsidRPr="00A53581">
        <w:rPr>
          <w:kern w:val="0"/>
        </w:rPr>
        <w:t>憲法第</w:t>
      </w:r>
      <w:hyperlink r:id="rId257" w:anchor="a13" w:history="1">
        <w:r w:rsidR="00203F72" w:rsidRPr="000D79C4">
          <w:rPr>
            <w:rStyle w:val="a5"/>
            <w:kern w:val="0"/>
          </w:rPr>
          <w:t>十三</w:t>
        </w:r>
      </w:hyperlink>
      <w:r w:rsidR="00203F72" w:rsidRPr="00A53581">
        <w:rPr>
          <w:kern w:val="0"/>
        </w:rPr>
        <w:t>條規定：「人民有信仰宗教之自由。」係指人民有信仰與不信仰任何宗教之自由，以及參與或不參與宗教活動之自由；國家不得對特定之宗教加以獎勵或禁制，或對人民特定信仰給予優待或不利益。</w:t>
      </w:r>
      <w:r w:rsidR="00203F72" w:rsidRPr="00A53581">
        <w:t>」根據上述司法院釋</w:t>
      </w:r>
      <w:r w:rsidR="000D79C4" w:rsidRPr="00A53581">
        <w:t>字</w:t>
      </w:r>
      <w:hyperlink r:id="rId258" w:anchor="r460" w:history="1">
        <w:r w:rsidR="000D79C4" w:rsidRPr="000D79C4">
          <w:rPr>
            <w:rStyle w:val="a5"/>
          </w:rPr>
          <w:t>第460號</w:t>
        </w:r>
      </w:hyperlink>
      <w:r w:rsidR="00203F72" w:rsidRPr="00A53581">
        <w:t>解釋之意旨，乃指人民有信仰與不信仰任何宗教之自由與選擇權利，以及參與或不參與宗教活動之自由與選擇；國家亦不得對特定之宗教加以獎助或禁止，或基於人民之特定信仰為理由予以優待或不利益。但人民宗教信仰也非無限度，需符合</w:t>
      </w:r>
      <w:r w:rsidR="00203F72" w:rsidRPr="004A35C7">
        <w:t>憲</w:t>
      </w:r>
      <w:r w:rsidR="000D79C4" w:rsidRPr="004A35C7">
        <w:t>法</w:t>
      </w:r>
      <w:hyperlink r:id="rId259" w:anchor="a22" w:history="1">
        <w:r w:rsidR="000D79C4" w:rsidRPr="004A35C7">
          <w:rPr>
            <w:rStyle w:val="a5"/>
          </w:rPr>
          <w:t>第22條</w:t>
        </w:r>
      </w:hyperlink>
      <w:r w:rsidR="00203F72" w:rsidRPr="004A35C7">
        <w:t>及</w:t>
      </w:r>
      <w:hyperlink r:id="rId260" w:anchor="a23" w:history="1">
        <w:r w:rsidR="000D79C4" w:rsidRPr="003D02B1">
          <w:rPr>
            <w:rStyle w:val="a5"/>
          </w:rPr>
          <w:t>第23條</w:t>
        </w:r>
      </w:hyperlink>
      <w:r w:rsidR="00203F72" w:rsidRPr="00A53581">
        <w:t>之規範。</w:t>
      </w:r>
    </w:p>
    <w:p w14:paraId="3008D10C" w14:textId="77777777" w:rsidR="00953151" w:rsidRDefault="00076467" w:rsidP="00767F37">
      <w:pPr>
        <w:pStyle w:val="2"/>
      </w:pPr>
      <w:hyperlink r:id="rId261" w:anchor="a14" w:history="1">
        <w:r w:rsidR="005D5A46">
          <w:rPr>
            <w:rStyle w:val="a5"/>
            <w:rFonts w:ascii="Arial Unicode MS" w:hAnsi="Arial Unicode MS"/>
          </w:rPr>
          <w:t>第</w:t>
        </w:r>
        <w:r w:rsidR="00203F72" w:rsidRPr="00BC2F5A">
          <w:rPr>
            <w:rStyle w:val="a5"/>
            <w:rFonts w:ascii="Arial Unicode MS" w:hAnsi="Arial Unicode MS"/>
          </w:rPr>
          <w:t>14</w:t>
        </w:r>
        <w:r w:rsidR="005D5A46">
          <w:rPr>
            <w:rStyle w:val="a5"/>
            <w:rFonts w:ascii="Arial Unicode MS" w:hAnsi="Arial Unicode MS"/>
          </w:rPr>
          <w:t>條</w:t>
        </w:r>
      </w:hyperlink>
      <w:r w:rsidR="00203F72" w:rsidRPr="00A53581">
        <w:t>人民有集會及結社之自由。</w:t>
      </w:r>
    </w:p>
    <w:p w14:paraId="5D4874B3" w14:textId="77777777" w:rsidR="00203F72" w:rsidRPr="00686D2C" w:rsidRDefault="00B03E84" w:rsidP="00D87D91">
      <w:r w:rsidRPr="00686D2C">
        <w:t>【內容解析】</w:t>
      </w:r>
    </w:p>
    <w:p w14:paraId="3FB1F1D6" w14:textId="77777777" w:rsidR="00953151" w:rsidRPr="00686D2C" w:rsidRDefault="00686D2C" w:rsidP="00D87D91">
      <w:r w:rsidRPr="00686D2C">
        <w:t xml:space="preserve">　　</w:t>
      </w:r>
      <w:r w:rsidR="00203F72" w:rsidRPr="00686D2C">
        <w:t>集會與結社自由也是人民自由意志之表達，集會是指多數人為特定之目的，一時聚集在一起。依場所分為室外集會與室內集會。集會自由基本是指參與和不參與集會之自由及召開或不召開集會之自由。結社是指多數人為某一個共同之目的而組織成為有持續性質之團體。如犯罪防治學會、法律協會等。結社可以簡單之區分為以營利為目的之營利性質結社，及非以營利為目的之非營利性質結社。一般集會、結社較簡單之區別為，集會無固定組織制度，無固定會址，乃一群人臨時聚在一起討論或交換、宣傳某些事情。結社為永久性之組織，有一定章程，有固定之制度及社址，某一群特定之人為實現某特定共同目的而結合在一起，人民有集會結社之自由，始方便交換意見、表達思想、爭取權益、發揮集體力量，促進社會之利益</w:t>
      </w:r>
      <w:r w:rsidR="00203F72" w:rsidRPr="00686D2C">
        <w:footnoteReference w:id="52"/>
      </w:r>
      <w:r w:rsidR="00203F72" w:rsidRPr="00686D2C">
        <w:t>，故，國家對於人民之集會及結社之自由應予</w:t>
      </w:r>
      <w:r w:rsidR="00203F72" w:rsidRPr="00686D2C">
        <w:lastRenderedPageBreak/>
        <w:t>保障。</w:t>
      </w:r>
    </w:p>
    <w:p w14:paraId="28976D6B" w14:textId="77777777" w:rsidR="00953151" w:rsidRDefault="00076467" w:rsidP="00767F37">
      <w:pPr>
        <w:pStyle w:val="2"/>
      </w:pPr>
      <w:hyperlink r:id="rId262" w:anchor="a15" w:history="1">
        <w:r w:rsidR="005D5A46">
          <w:rPr>
            <w:rStyle w:val="a5"/>
            <w:rFonts w:ascii="Arial Unicode MS" w:hAnsi="Arial Unicode MS"/>
          </w:rPr>
          <w:t>第</w:t>
        </w:r>
        <w:r w:rsidR="00203F72" w:rsidRPr="00BC2F5A">
          <w:rPr>
            <w:rStyle w:val="a5"/>
            <w:rFonts w:ascii="Arial Unicode MS" w:hAnsi="Arial Unicode MS"/>
          </w:rPr>
          <w:t>15</w:t>
        </w:r>
        <w:r w:rsidR="005D5A46">
          <w:rPr>
            <w:rStyle w:val="a5"/>
            <w:rFonts w:ascii="Arial Unicode MS" w:hAnsi="Arial Unicode MS"/>
          </w:rPr>
          <w:t>條</w:t>
        </w:r>
      </w:hyperlink>
      <w:r w:rsidR="00203F72" w:rsidRPr="00A53581">
        <w:t>人民之生存權、工作權及財產權，應予保障。</w:t>
      </w:r>
    </w:p>
    <w:p w14:paraId="544D7112" w14:textId="77777777" w:rsidR="00953151" w:rsidRPr="00686D2C" w:rsidRDefault="00B03E84" w:rsidP="00D87D91">
      <w:r w:rsidRPr="00686D2C">
        <w:t>【內容解析】</w:t>
      </w:r>
    </w:p>
    <w:p w14:paraId="39F79927" w14:textId="77777777" w:rsidR="00953151" w:rsidRPr="00686D2C" w:rsidRDefault="00B76D62" w:rsidP="00D87D91">
      <w:r w:rsidRPr="00686D2C">
        <w:t xml:space="preserve">　　</w:t>
      </w:r>
      <w:r w:rsidR="00203F72" w:rsidRPr="00686D2C">
        <w:t>人民之生存權、工作權及財產權，均為基本權利。憲法第</w:t>
      </w:r>
      <w:hyperlink r:id="rId263" w:anchor="a15" w:history="1">
        <w:r w:rsidR="00203F72" w:rsidRPr="004A35C7">
          <w:rPr>
            <w:rStyle w:val="a5"/>
            <w:rFonts w:ascii="Times New Roman" w:eastAsia="新細明體" w:hAnsi="Times New Roman"/>
          </w:rPr>
          <w:t>十五</w:t>
        </w:r>
      </w:hyperlink>
      <w:r w:rsidR="00203F72" w:rsidRPr="00686D2C">
        <w:t>、</w:t>
      </w:r>
      <w:hyperlink r:id="rId264" w:anchor="a16" w:history="1">
        <w:r w:rsidR="00203F72" w:rsidRPr="004A35C7">
          <w:rPr>
            <w:rStyle w:val="a5"/>
            <w:rFonts w:ascii="Times New Roman" w:eastAsia="新細明體" w:hAnsi="Times New Roman"/>
          </w:rPr>
          <w:t>十六</w:t>
        </w:r>
      </w:hyperlink>
      <w:r w:rsidR="00203F72" w:rsidRPr="00686D2C">
        <w:t>、</w:t>
      </w:r>
      <w:hyperlink r:id="rId265" w:anchor="a21" w:history="1">
        <w:r w:rsidR="00203F72" w:rsidRPr="004A35C7">
          <w:rPr>
            <w:rStyle w:val="a5"/>
            <w:rFonts w:ascii="Times New Roman" w:eastAsia="新細明體" w:hAnsi="Times New Roman"/>
          </w:rPr>
          <w:t>二十一</w:t>
        </w:r>
      </w:hyperlink>
      <w:r w:rsidR="00203F72" w:rsidRPr="00686D2C">
        <w:t>條，為受益權之規定，憲法明定之受益權有：生存權、工作權、財產權、請願權、訴願權、訴訟權、受國民教育權。憲法第</w:t>
      </w:r>
      <w:hyperlink r:id="rId266" w:anchor="a15" w:history="1">
        <w:r w:rsidR="00203F72" w:rsidRPr="004A35C7">
          <w:rPr>
            <w:rStyle w:val="a5"/>
            <w:rFonts w:ascii="Times New Roman" w:eastAsia="新細明體" w:hAnsi="Times New Roman"/>
          </w:rPr>
          <w:t>十五</w:t>
        </w:r>
      </w:hyperlink>
      <w:r w:rsidR="00203F72" w:rsidRPr="00686D2C">
        <w:t>條為經濟上受益權之規定，生存權是指政府不可以隨意侵犯人民生存之權利，甚且人民可以進一</w:t>
      </w:r>
      <w:r w:rsidR="003420CC" w:rsidRPr="003420CC">
        <w:rPr>
          <w:rFonts w:hint="eastAsia"/>
        </w:rPr>
        <w:t>步</w:t>
      </w:r>
      <w:r w:rsidR="00203F72" w:rsidRPr="00686D2C">
        <w:t>要求政府施行積極有效之作為，保障其生存，增加其生活安適度。</w:t>
      </w:r>
    </w:p>
    <w:p w14:paraId="6ABB504C" w14:textId="77777777" w:rsidR="00953151" w:rsidRPr="00686D2C" w:rsidRDefault="00B76D62" w:rsidP="00D87D91">
      <w:r w:rsidRPr="00686D2C">
        <w:t xml:space="preserve">　　</w:t>
      </w:r>
      <w:r w:rsidR="00203F72" w:rsidRPr="00686D2C">
        <w:t>首先，人民要得到尊嚴之生存，就必須有工作，故憲法</w:t>
      </w:r>
      <w:hyperlink r:id="rId267" w:anchor="a152" w:history="1">
        <w:r w:rsidR="00203F72" w:rsidRPr="004A35C7">
          <w:rPr>
            <w:rStyle w:val="a5"/>
            <w:rFonts w:ascii="Times New Roman" w:eastAsia="新細明體" w:hAnsi="Times New Roman"/>
          </w:rPr>
          <w:t>第</w:t>
        </w:r>
        <w:r w:rsidR="00203F72" w:rsidRPr="004A35C7">
          <w:rPr>
            <w:rStyle w:val="a5"/>
            <w:rFonts w:ascii="Times New Roman" w:eastAsia="新細明體" w:hAnsi="Times New Roman"/>
          </w:rPr>
          <w:t>152</w:t>
        </w:r>
        <w:r w:rsidR="00203F72" w:rsidRPr="004A35C7">
          <w:rPr>
            <w:rStyle w:val="a5"/>
            <w:rFonts w:ascii="Times New Roman" w:eastAsia="新細明體" w:hAnsi="Times New Roman"/>
          </w:rPr>
          <w:t>條</w:t>
        </w:r>
      </w:hyperlink>
      <w:r w:rsidR="00203F72" w:rsidRPr="00686D2C">
        <w:t>規定：「人民具有工作能力者，國家應予以適當之工作機會」。藉由工作取得財產，得到生活必須之物質。</w:t>
      </w:r>
    </w:p>
    <w:p w14:paraId="2F04595D" w14:textId="77777777" w:rsidR="004A35C7" w:rsidRDefault="004A35C7" w:rsidP="00D87D91"/>
    <w:p w14:paraId="54E511E3" w14:textId="48468BAD" w:rsidR="00203F72" w:rsidRPr="00686D2C" w:rsidRDefault="00B03E84" w:rsidP="00D87D91">
      <w:r w:rsidRPr="00686D2C">
        <w:t>【</w:t>
      </w:r>
      <w:r w:rsidRPr="00686D2C">
        <w:t>table</w:t>
      </w:r>
      <w:r w:rsidR="005E23E3" w:rsidRPr="00686D2C">
        <w:t>】</w:t>
      </w:r>
      <w:r w:rsidR="00076467">
        <w:rPr>
          <w:noProof/>
        </w:rPr>
        <w:fldChar w:fldCharType="begin"/>
      </w:r>
      <w:r w:rsidR="00076467">
        <w:rPr>
          <w:noProof/>
        </w:rPr>
        <w:instrText xml:space="preserve"> S</w:instrText>
      </w:r>
      <w:r w:rsidR="00076467">
        <w:rPr>
          <w:noProof/>
        </w:rPr>
        <w:instrText xml:space="preserve">EQ table \* ARABIC </w:instrText>
      </w:r>
      <w:r w:rsidR="00076467">
        <w:rPr>
          <w:noProof/>
        </w:rPr>
        <w:fldChar w:fldCharType="separate"/>
      </w:r>
      <w:r w:rsidR="00D935B9">
        <w:rPr>
          <w:noProof/>
        </w:rPr>
        <w:t>11</w:t>
      </w:r>
      <w:r w:rsidR="00076467">
        <w:rPr>
          <w:noProof/>
        </w:rPr>
        <w:fldChar w:fldCharType="end"/>
      </w:r>
      <w:r w:rsidR="00203F72" w:rsidRPr="00686D2C">
        <w:t>司法院釋字</w:t>
      </w:r>
      <w:hyperlink r:id="rId268" w:anchor="r649" w:history="1">
        <w:r w:rsidR="00203F72" w:rsidRPr="00000883">
          <w:rPr>
            <w:rStyle w:val="a5"/>
            <w:rFonts w:ascii="Times New Roman" w:eastAsia="新細明體" w:hAnsi="Times New Roman"/>
          </w:rPr>
          <w:t>第</w:t>
        </w:r>
        <w:r w:rsidR="00203F72" w:rsidRPr="00000883">
          <w:rPr>
            <w:rStyle w:val="a5"/>
            <w:rFonts w:ascii="Times New Roman" w:eastAsia="新細明體" w:hAnsi="Times New Roman"/>
          </w:rPr>
          <w:t>649</w:t>
        </w:r>
        <w:r w:rsidR="00203F72" w:rsidRPr="00000883">
          <w:rPr>
            <w:rStyle w:val="a5"/>
            <w:rFonts w:ascii="Times New Roman" w:eastAsia="新細明體" w:hAnsi="Times New Roman"/>
          </w:rPr>
          <w:t>號</w:t>
        </w:r>
      </w:hyperlink>
      <w:r w:rsidR="00203F72" w:rsidRPr="00686D2C">
        <w:t>解釋文有關工作權限制之種類與應具備目的之不同強度之內涵說明一覽表</w:t>
      </w:r>
    </w:p>
    <w:tbl>
      <w:tblPr>
        <w:tblW w:w="48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7"/>
        <w:gridCol w:w="4051"/>
      </w:tblGrid>
      <w:tr w:rsidR="00203F72" w:rsidRPr="00A53581" w14:paraId="0BC69255" w14:textId="77777777" w:rsidTr="00203F72">
        <w:trPr>
          <w:tblHeader/>
        </w:trPr>
        <w:tc>
          <w:tcPr>
            <w:tcW w:w="2559" w:type="pct"/>
            <w:shd w:val="clear" w:color="auto" w:fill="auto"/>
          </w:tcPr>
          <w:p w14:paraId="72EC07C8" w14:textId="77777777" w:rsidR="00203F72" w:rsidRPr="00A53581" w:rsidRDefault="00203F72" w:rsidP="00D87D91">
            <w:r w:rsidRPr="00A53581">
              <w:t>工作權限制之種類</w:t>
            </w:r>
          </w:p>
        </w:tc>
        <w:tc>
          <w:tcPr>
            <w:tcW w:w="2441" w:type="pct"/>
            <w:shd w:val="clear" w:color="auto" w:fill="auto"/>
          </w:tcPr>
          <w:p w14:paraId="63F36716" w14:textId="77777777" w:rsidR="00203F72" w:rsidRPr="00A53581" w:rsidRDefault="00203F72" w:rsidP="00D87D91">
            <w:r w:rsidRPr="00A53581">
              <w:t>應具備之公益要件</w:t>
            </w:r>
          </w:p>
        </w:tc>
      </w:tr>
      <w:tr w:rsidR="00203F72" w:rsidRPr="00A53581" w14:paraId="4FB9BBD1" w14:textId="77777777" w:rsidTr="00203F72">
        <w:tc>
          <w:tcPr>
            <w:tcW w:w="2559" w:type="pct"/>
            <w:shd w:val="clear" w:color="auto" w:fill="auto"/>
          </w:tcPr>
          <w:p w14:paraId="5BE88A76" w14:textId="77777777" w:rsidR="00203F72" w:rsidRPr="00A53581" w:rsidRDefault="00203F72" w:rsidP="00D87D91">
            <w:r w:rsidRPr="00A53581">
              <w:t>職業方法之限制</w:t>
            </w:r>
          </w:p>
        </w:tc>
        <w:tc>
          <w:tcPr>
            <w:tcW w:w="2441" w:type="pct"/>
            <w:shd w:val="clear" w:color="auto" w:fill="auto"/>
          </w:tcPr>
          <w:p w14:paraId="0314CAEE" w14:textId="77777777" w:rsidR="00203F72" w:rsidRPr="00A53581" w:rsidRDefault="00203F72" w:rsidP="00D87D91">
            <w:r w:rsidRPr="00A53581">
              <w:t>一般公共利益</w:t>
            </w:r>
          </w:p>
        </w:tc>
      </w:tr>
      <w:tr w:rsidR="00203F72" w:rsidRPr="00A53581" w14:paraId="439EB86F" w14:textId="77777777" w:rsidTr="00203F72">
        <w:tc>
          <w:tcPr>
            <w:tcW w:w="2559" w:type="pct"/>
            <w:shd w:val="clear" w:color="auto" w:fill="auto"/>
          </w:tcPr>
          <w:p w14:paraId="236712FA" w14:textId="77777777" w:rsidR="00203F72" w:rsidRPr="00A53581" w:rsidRDefault="00203F72" w:rsidP="00D87D91">
            <w:r w:rsidRPr="00A53581">
              <w:t>職業主觀條件之限制</w:t>
            </w:r>
          </w:p>
        </w:tc>
        <w:tc>
          <w:tcPr>
            <w:tcW w:w="2441" w:type="pct"/>
            <w:shd w:val="clear" w:color="auto" w:fill="auto"/>
          </w:tcPr>
          <w:p w14:paraId="444FC754" w14:textId="77777777" w:rsidR="00203F72" w:rsidRPr="00A53581" w:rsidRDefault="00203F72" w:rsidP="00D87D91">
            <w:r w:rsidRPr="00A53581">
              <w:t>重要公共利益</w:t>
            </w:r>
          </w:p>
        </w:tc>
      </w:tr>
      <w:tr w:rsidR="00203F72" w:rsidRPr="00A53581" w14:paraId="5A06C478" w14:textId="77777777" w:rsidTr="00203F72">
        <w:tc>
          <w:tcPr>
            <w:tcW w:w="2559" w:type="pct"/>
            <w:shd w:val="clear" w:color="auto" w:fill="auto"/>
          </w:tcPr>
          <w:p w14:paraId="3B1648C6" w14:textId="77777777" w:rsidR="00203F72" w:rsidRPr="00A53581" w:rsidRDefault="00203F72" w:rsidP="00D87D91">
            <w:r w:rsidRPr="00A53581">
              <w:t>職業客觀條件之限制</w:t>
            </w:r>
          </w:p>
        </w:tc>
        <w:tc>
          <w:tcPr>
            <w:tcW w:w="2441" w:type="pct"/>
            <w:shd w:val="clear" w:color="auto" w:fill="auto"/>
          </w:tcPr>
          <w:p w14:paraId="60F2B496" w14:textId="77777777" w:rsidR="00203F72" w:rsidRPr="00A53581" w:rsidRDefault="00203F72" w:rsidP="00D87D91">
            <w:r w:rsidRPr="00A53581">
              <w:t>特別重要之公共利益</w:t>
            </w:r>
          </w:p>
        </w:tc>
      </w:tr>
    </w:tbl>
    <w:p w14:paraId="50AC1199" w14:textId="77777777" w:rsidR="00953151" w:rsidRPr="00686D2C" w:rsidRDefault="00B76D62" w:rsidP="00D87D91">
      <w:r w:rsidRPr="00686D2C">
        <w:t>【</w:t>
      </w:r>
      <w:r w:rsidR="00203F72" w:rsidRPr="00686D2C">
        <w:t>本表</w:t>
      </w:r>
      <w:r w:rsidR="00B03E84" w:rsidRPr="00686D2C">
        <w:t>資料來源】</w:t>
      </w:r>
      <w:r w:rsidR="00203F72" w:rsidRPr="00686D2C">
        <w:t>賀祥宏</w:t>
      </w:r>
      <w:r w:rsidR="00203F72" w:rsidRPr="00686D2C">
        <w:t>(2010)</w:t>
      </w:r>
      <w:r w:rsidR="00203F72" w:rsidRPr="00686D2C">
        <w:t>，中華民國憲法，第</w:t>
      </w:r>
      <w:r w:rsidR="00203F72" w:rsidRPr="00686D2C">
        <w:t>11</w:t>
      </w:r>
      <w:r w:rsidR="00203F72" w:rsidRPr="00686D2C">
        <w:t>版，台北市：高點，第</w:t>
      </w:r>
      <w:r w:rsidR="00203F72" w:rsidRPr="00686D2C">
        <w:t>2-239</w:t>
      </w:r>
      <w:r w:rsidR="00203F72" w:rsidRPr="00686D2C">
        <w:t>頁。</w:t>
      </w:r>
    </w:p>
    <w:p w14:paraId="742C0AE6" w14:textId="77777777" w:rsidR="004A35C7" w:rsidRDefault="004A35C7" w:rsidP="00D87D91"/>
    <w:p w14:paraId="58AAFE1B" w14:textId="77777777" w:rsidR="00953151" w:rsidRPr="00686D2C" w:rsidRDefault="00B76D62" w:rsidP="00D87D91">
      <w:r w:rsidRPr="00686D2C">
        <w:t xml:space="preserve">　　</w:t>
      </w:r>
      <w:r w:rsidR="00203F72" w:rsidRPr="00686D2C">
        <w:t>司法院釋字</w:t>
      </w:r>
      <w:hyperlink r:id="rId269" w:anchor="r682" w:history="1">
        <w:r w:rsidR="00203F72" w:rsidRPr="00306E89">
          <w:rPr>
            <w:rStyle w:val="a5"/>
            <w:rFonts w:ascii="Times New Roman" w:hAnsi="Times New Roman"/>
          </w:rPr>
          <w:t>第</w:t>
        </w:r>
        <w:r w:rsidR="00203F72" w:rsidRPr="00306E89">
          <w:rPr>
            <w:rStyle w:val="a5"/>
            <w:rFonts w:ascii="Times New Roman" w:hAnsi="Times New Roman"/>
          </w:rPr>
          <w:t>682</w:t>
        </w:r>
        <w:r w:rsidR="00203F72" w:rsidRPr="00306E89">
          <w:rPr>
            <w:rStyle w:val="a5"/>
            <w:rFonts w:ascii="Times New Roman" w:hAnsi="Times New Roman"/>
          </w:rPr>
          <w:t>號</w:t>
        </w:r>
      </w:hyperlink>
      <w:r w:rsidR="00203F72" w:rsidRPr="00686D2C">
        <w:t>解釋指出：「人民之工作權受憲法</w:t>
      </w:r>
      <w:r w:rsidR="00000883" w:rsidRPr="00686D2C">
        <w:t>第</w:t>
      </w:r>
      <w:hyperlink r:id="rId270" w:anchor="a15" w:history="1">
        <w:r w:rsidR="00000883" w:rsidRPr="004A35C7">
          <w:rPr>
            <w:rStyle w:val="a5"/>
            <w:rFonts w:ascii="Times New Roman" w:eastAsia="新細明體" w:hAnsi="Times New Roman"/>
          </w:rPr>
          <w:t>十五</w:t>
        </w:r>
      </w:hyperlink>
      <w:r w:rsidR="00000883" w:rsidRPr="00686D2C">
        <w:t>條</w:t>
      </w:r>
      <w:r w:rsidR="00203F72" w:rsidRPr="00686D2C">
        <w:t>所保障，其內涵包括選擇及執行職業之自由</w:t>
      </w:r>
      <w:r w:rsidR="00203F72" w:rsidRPr="00686D2C">
        <w:t>….</w:t>
      </w:r>
      <w:r w:rsidR="00203F72" w:rsidRPr="00686D2C">
        <w:t>對於參加考試資格或考試方法之規定，性質上如屬應考試權及工作權之限制，自應符合法律保留原則、比例原則及平等權保障等憲法原則。」</w:t>
      </w:r>
    </w:p>
    <w:p w14:paraId="32E34905" w14:textId="77777777" w:rsidR="00306E89" w:rsidRDefault="00306E89" w:rsidP="00D87D91"/>
    <w:p w14:paraId="54751E48" w14:textId="19FCF2C5" w:rsidR="00203F72" w:rsidRPr="00686D2C" w:rsidRDefault="00B03E84" w:rsidP="00D87D91">
      <w:r w:rsidRPr="00686D2C">
        <w:t>【</w:t>
      </w:r>
      <w:r w:rsidRPr="00686D2C">
        <w:t>table</w:t>
      </w:r>
      <w:r w:rsidR="005E23E3" w:rsidRPr="00686D2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w:t>
      </w:r>
      <w:r w:rsidR="00076467">
        <w:rPr>
          <w:noProof/>
        </w:rPr>
        <w:fldChar w:fldCharType="end"/>
      </w:r>
      <w:r w:rsidR="00203F72" w:rsidRPr="00686D2C">
        <w:t>與工作權有關之司法院大法官會議解釋文一覽表</w:t>
      </w:r>
    </w:p>
    <w:tbl>
      <w:tblPr>
        <w:tblW w:w="48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4"/>
        <w:gridCol w:w="6952"/>
      </w:tblGrid>
      <w:tr w:rsidR="00203F72" w:rsidRPr="00A53581" w14:paraId="106483DF" w14:textId="77777777" w:rsidTr="00306E89">
        <w:trPr>
          <w:tblHeader/>
        </w:trPr>
        <w:tc>
          <w:tcPr>
            <w:tcW w:w="769" w:type="pct"/>
            <w:shd w:val="clear" w:color="auto" w:fill="auto"/>
          </w:tcPr>
          <w:p w14:paraId="2C17855A" w14:textId="77777777" w:rsidR="00203F72" w:rsidRPr="00A53581" w:rsidRDefault="00203F72" w:rsidP="00D87D91">
            <w:r w:rsidRPr="00A53581">
              <w:t>司法院大法官會議釋字解釋文一覽別</w:t>
            </w:r>
          </w:p>
        </w:tc>
        <w:tc>
          <w:tcPr>
            <w:tcW w:w="4231" w:type="pct"/>
            <w:shd w:val="clear" w:color="auto" w:fill="auto"/>
          </w:tcPr>
          <w:p w14:paraId="1D639554" w14:textId="77777777" w:rsidR="00203F72" w:rsidRPr="00A53581" w:rsidRDefault="00203F72" w:rsidP="00D87D91">
            <w:r w:rsidRPr="00A53581">
              <w:t>內容</w:t>
            </w:r>
          </w:p>
        </w:tc>
      </w:tr>
      <w:tr w:rsidR="00203F72" w:rsidRPr="00A53581" w14:paraId="7A0BC5F4" w14:textId="77777777" w:rsidTr="00306E89">
        <w:tc>
          <w:tcPr>
            <w:tcW w:w="769" w:type="pct"/>
            <w:shd w:val="clear" w:color="auto" w:fill="auto"/>
          </w:tcPr>
          <w:p w14:paraId="7B23B901" w14:textId="77777777" w:rsidR="00203F72" w:rsidRPr="00A53581" w:rsidRDefault="00076467" w:rsidP="00D87D91">
            <w:hyperlink r:id="rId271" w:anchor="r404" w:history="1">
              <w:r w:rsidR="00203F72" w:rsidRPr="00000883">
                <w:rPr>
                  <w:rStyle w:val="a5"/>
                  <w:rFonts w:eastAsia="新細明體"/>
                </w:rPr>
                <w:t>404</w:t>
              </w:r>
            </w:hyperlink>
          </w:p>
        </w:tc>
        <w:tc>
          <w:tcPr>
            <w:tcW w:w="4231" w:type="pct"/>
            <w:shd w:val="clear" w:color="auto" w:fill="auto"/>
          </w:tcPr>
          <w:p w14:paraId="247D6801" w14:textId="77777777" w:rsidR="00203F72" w:rsidRPr="00A53581" w:rsidRDefault="00203F72" w:rsidP="00D87D91">
            <w:r w:rsidRPr="00A53581">
              <w:t>為增進公共利益，對於人民工作之方法及應具備之資格或要件，得以法律為適當之限制</w:t>
            </w:r>
          </w:p>
        </w:tc>
      </w:tr>
      <w:tr w:rsidR="00203F72" w:rsidRPr="00A53581" w14:paraId="7CBB5E88" w14:textId="77777777" w:rsidTr="00306E89">
        <w:tc>
          <w:tcPr>
            <w:tcW w:w="769" w:type="pct"/>
            <w:shd w:val="clear" w:color="auto" w:fill="auto"/>
          </w:tcPr>
          <w:p w14:paraId="30B60872" w14:textId="77777777" w:rsidR="00203F72" w:rsidRPr="00A53581" w:rsidRDefault="00076467" w:rsidP="00D87D91">
            <w:hyperlink r:id="rId272" w:anchor="r411" w:history="1">
              <w:r w:rsidR="00203F72" w:rsidRPr="00000883">
                <w:rPr>
                  <w:rStyle w:val="a5"/>
                  <w:rFonts w:eastAsia="新細明體"/>
                </w:rPr>
                <w:t>411</w:t>
              </w:r>
            </w:hyperlink>
          </w:p>
        </w:tc>
        <w:tc>
          <w:tcPr>
            <w:tcW w:w="4231" w:type="pct"/>
            <w:shd w:val="clear" w:color="auto" w:fill="auto"/>
          </w:tcPr>
          <w:p w14:paraId="526EB8FB" w14:textId="77777777" w:rsidR="00203F72" w:rsidRPr="00A53581" w:rsidRDefault="00203F72" w:rsidP="00D87D91">
            <w:r w:rsidRPr="00A53581">
              <w:t>對於職業選擇概念加以釐清</w:t>
            </w:r>
          </w:p>
        </w:tc>
      </w:tr>
      <w:tr w:rsidR="00203F72" w:rsidRPr="00A53581" w14:paraId="303C3090" w14:textId="77777777" w:rsidTr="00306E89">
        <w:tc>
          <w:tcPr>
            <w:tcW w:w="769" w:type="pct"/>
            <w:shd w:val="clear" w:color="auto" w:fill="auto"/>
          </w:tcPr>
          <w:p w14:paraId="3B267015" w14:textId="77777777" w:rsidR="00203F72" w:rsidRPr="00A53581" w:rsidRDefault="00076467" w:rsidP="00D87D91">
            <w:hyperlink r:id="rId273" w:anchor="r412" w:history="1">
              <w:r w:rsidR="00203F72" w:rsidRPr="00000883">
                <w:rPr>
                  <w:rStyle w:val="a5"/>
                  <w:rFonts w:eastAsia="新細明體"/>
                </w:rPr>
                <w:t>412</w:t>
              </w:r>
            </w:hyperlink>
          </w:p>
        </w:tc>
        <w:tc>
          <w:tcPr>
            <w:tcW w:w="4231" w:type="pct"/>
            <w:shd w:val="clear" w:color="auto" w:fill="auto"/>
          </w:tcPr>
          <w:p w14:paraId="4CA6A607" w14:textId="77777777" w:rsidR="00203F72" w:rsidRPr="00A53581" w:rsidRDefault="00203F72" w:rsidP="00D87D91">
            <w:r w:rsidRPr="00A53581">
              <w:t>工作權之平等保障概念</w:t>
            </w:r>
          </w:p>
        </w:tc>
      </w:tr>
      <w:tr w:rsidR="00203F72" w:rsidRPr="00A53581" w14:paraId="6CD8D72C" w14:textId="77777777" w:rsidTr="00306E89">
        <w:tc>
          <w:tcPr>
            <w:tcW w:w="769" w:type="pct"/>
            <w:shd w:val="clear" w:color="auto" w:fill="auto"/>
          </w:tcPr>
          <w:p w14:paraId="101FCBDF" w14:textId="77777777" w:rsidR="00203F72" w:rsidRPr="00A53581" w:rsidRDefault="00076467" w:rsidP="00D87D91">
            <w:hyperlink r:id="rId274" w:anchor="r510" w:history="1">
              <w:r w:rsidR="00203F72" w:rsidRPr="00000883">
                <w:rPr>
                  <w:rStyle w:val="a5"/>
                  <w:rFonts w:eastAsia="新細明體"/>
                </w:rPr>
                <w:t>510</w:t>
              </w:r>
            </w:hyperlink>
          </w:p>
        </w:tc>
        <w:tc>
          <w:tcPr>
            <w:tcW w:w="4231" w:type="pct"/>
            <w:shd w:val="clear" w:color="auto" w:fill="auto"/>
          </w:tcPr>
          <w:p w14:paraId="2EDCEF66" w14:textId="77777777" w:rsidR="00203F72" w:rsidRPr="00A53581" w:rsidRDefault="00203F72" w:rsidP="00D87D91">
            <w:r w:rsidRPr="00A53581">
              <w:t>對於工作之方式及必備資格或其他要件，得以法律或</w:t>
            </w:r>
            <w:r w:rsidR="003E240E">
              <w:t>視</w:t>
            </w:r>
            <w:r w:rsidRPr="00A53581">
              <w:t>工作權限制之性質，以有法律明確授權之命令加以規範</w:t>
            </w:r>
          </w:p>
        </w:tc>
      </w:tr>
      <w:tr w:rsidR="00203F72" w:rsidRPr="00A53581" w14:paraId="160B7DF1" w14:textId="77777777" w:rsidTr="00306E89">
        <w:tc>
          <w:tcPr>
            <w:tcW w:w="769" w:type="pct"/>
            <w:shd w:val="clear" w:color="auto" w:fill="auto"/>
          </w:tcPr>
          <w:p w14:paraId="55C398E3" w14:textId="77777777" w:rsidR="00203F72" w:rsidRPr="00A53581" w:rsidRDefault="00076467" w:rsidP="00D87D91">
            <w:hyperlink r:id="rId275" w:anchor="r514" w:history="1">
              <w:r w:rsidR="00203F72" w:rsidRPr="00000883">
                <w:rPr>
                  <w:rStyle w:val="a5"/>
                  <w:rFonts w:eastAsia="新細明體"/>
                </w:rPr>
                <w:t>514</w:t>
              </w:r>
            </w:hyperlink>
          </w:p>
        </w:tc>
        <w:tc>
          <w:tcPr>
            <w:tcW w:w="4231" w:type="pct"/>
            <w:shd w:val="clear" w:color="auto" w:fill="auto"/>
          </w:tcPr>
          <w:p w14:paraId="4BCD1781" w14:textId="77777777" w:rsidR="00203F72" w:rsidRPr="00A53581" w:rsidRDefault="00203F72" w:rsidP="00D87D91">
            <w:r w:rsidRPr="00A53581">
              <w:t>職業自由之限制，須符合法律保留原則及授權明確性原則</w:t>
            </w:r>
          </w:p>
        </w:tc>
      </w:tr>
      <w:tr w:rsidR="00203F72" w:rsidRPr="00A53581" w14:paraId="318A5C48" w14:textId="77777777" w:rsidTr="00306E89">
        <w:tc>
          <w:tcPr>
            <w:tcW w:w="769" w:type="pct"/>
            <w:shd w:val="clear" w:color="auto" w:fill="auto"/>
          </w:tcPr>
          <w:p w14:paraId="51EB445E" w14:textId="77777777" w:rsidR="00203F72" w:rsidRPr="00A53581" w:rsidRDefault="00076467" w:rsidP="00D87D91">
            <w:hyperlink r:id="rId276" w:anchor="r584" w:history="1">
              <w:r w:rsidR="00203F72" w:rsidRPr="00000883">
                <w:rPr>
                  <w:rStyle w:val="a5"/>
                  <w:rFonts w:eastAsia="新細明體"/>
                </w:rPr>
                <w:t>584</w:t>
              </w:r>
            </w:hyperlink>
          </w:p>
        </w:tc>
        <w:tc>
          <w:tcPr>
            <w:tcW w:w="4231" w:type="pct"/>
            <w:shd w:val="clear" w:color="auto" w:fill="auto"/>
          </w:tcPr>
          <w:p w14:paraId="49AA9E5E" w14:textId="77777777" w:rsidR="00203F72" w:rsidRPr="00A53581" w:rsidRDefault="00203F72" w:rsidP="00D87D91">
            <w:r w:rsidRPr="00A53581">
              <w:t>工作權之內涵包括人民選擇職業之自由</w:t>
            </w:r>
          </w:p>
        </w:tc>
      </w:tr>
      <w:tr w:rsidR="00203F72" w:rsidRPr="00A53581" w14:paraId="319FE293" w14:textId="77777777" w:rsidTr="00306E89">
        <w:tc>
          <w:tcPr>
            <w:tcW w:w="769" w:type="pct"/>
            <w:shd w:val="clear" w:color="auto" w:fill="auto"/>
          </w:tcPr>
          <w:p w14:paraId="240311B8" w14:textId="77777777" w:rsidR="00203F72" w:rsidRPr="00A53581" w:rsidRDefault="00076467" w:rsidP="00D87D91">
            <w:hyperlink r:id="rId277" w:anchor="r612" w:history="1">
              <w:r w:rsidR="00203F72" w:rsidRPr="00000883">
                <w:rPr>
                  <w:rStyle w:val="a5"/>
                  <w:rFonts w:eastAsia="新細明體"/>
                </w:rPr>
                <w:t>612</w:t>
              </w:r>
            </w:hyperlink>
          </w:p>
        </w:tc>
        <w:tc>
          <w:tcPr>
            <w:tcW w:w="4231" w:type="pct"/>
            <w:shd w:val="clear" w:color="auto" w:fill="auto"/>
          </w:tcPr>
          <w:p w14:paraId="24CB9856" w14:textId="77777777" w:rsidR="00203F72" w:rsidRPr="00A53581" w:rsidRDefault="00203F72" w:rsidP="00D87D91">
            <w:r w:rsidRPr="00A53581">
              <w:t>憲法</w:t>
            </w:r>
            <w:hyperlink r:id="rId278" w:anchor="a15" w:history="1">
              <w:r w:rsidRPr="00B167C2">
                <w:rPr>
                  <w:rStyle w:val="a5"/>
                </w:rPr>
                <w:t>第15條</w:t>
              </w:r>
            </w:hyperlink>
            <w:r w:rsidRPr="00A53581">
              <w:t>規定人民之工作權應予保障，人民從事工作並有選擇職業之自由，如為增進公共利益，於符合憲</w:t>
            </w:r>
            <w:r w:rsidR="003D02B1" w:rsidRPr="00A53581">
              <w:t>法</w:t>
            </w:r>
            <w:hyperlink r:id="rId279" w:anchor="a23" w:history="1">
              <w:r w:rsidR="003D02B1" w:rsidRPr="003D02B1">
                <w:rPr>
                  <w:rStyle w:val="a5"/>
                </w:rPr>
                <w:t>第23條</w:t>
              </w:r>
            </w:hyperlink>
            <w:r w:rsidRPr="00A53581">
              <w:t>規定之限度內，對於從事工作之方式及必備之資格或其他要件，得以法律或經法律授權之命令限制之</w:t>
            </w:r>
          </w:p>
        </w:tc>
      </w:tr>
      <w:tr w:rsidR="00203F72" w:rsidRPr="00A53581" w14:paraId="13730AEE" w14:textId="77777777" w:rsidTr="00306E89">
        <w:tc>
          <w:tcPr>
            <w:tcW w:w="769" w:type="pct"/>
            <w:shd w:val="clear" w:color="auto" w:fill="auto"/>
          </w:tcPr>
          <w:p w14:paraId="5DC3F83E" w14:textId="77777777" w:rsidR="00203F72" w:rsidRPr="00A53581" w:rsidRDefault="00076467" w:rsidP="00D87D91">
            <w:hyperlink r:id="rId280" w:anchor="r634" w:history="1">
              <w:r w:rsidR="00203F72" w:rsidRPr="00000883">
                <w:rPr>
                  <w:rStyle w:val="a5"/>
                  <w:rFonts w:eastAsia="新細明體"/>
                </w:rPr>
                <w:t>634</w:t>
              </w:r>
            </w:hyperlink>
          </w:p>
        </w:tc>
        <w:tc>
          <w:tcPr>
            <w:tcW w:w="4231" w:type="pct"/>
            <w:shd w:val="clear" w:color="auto" w:fill="auto"/>
          </w:tcPr>
          <w:p w14:paraId="4217505E" w14:textId="77777777" w:rsidR="00203F72" w:rsidRPr="00A53581" w:rsidRDefault="00203F72" w:rsidP="00D87D91">
            <w:r w:rsidRPr="00A53581">
              <w:t>人民之職業與公共福祉有密切關係，故對於選擇職業應具備之主觀條件加以限制者，於符合憲</w:t>
            </w:r>
            <w:r w:rsidR="003D02B1" w:rsidRPr="00A53581">
              <w:t>法</w:t>
            </w:r>
            <w:hyperlink r:id="rId281" w:anchor="a23" w:history="1">
              <w:r w:rsidR="003D02B1" w:rsidRPr="003D02B1">
                <w:rPr>
                  <w:rStyle w:val="a5"/>
                </w:rPr>
                <w:t>第23條</w:t>
              </w:r>
            </w:hyperlink>
            <w:r w:rsidRPr="00A53581">
              <w:t>規定之限度內，得以法律或法律明確授權之命令加以限制，惟其目的須為重要之公共利益，且其手段與目的之達成有實質關聯，始符比例原則之要求</w:t>
            </w:r>
          </w:p>
        </w:tc>
      </w:tr>
      <w:tr w:rsidR="00203F72" w:rsidRPr="00A53581" w14:paraId="4A76A125" w14:textId="77777777" w:rsidTr="00306E89">
        <w:tc>
          <w:tcPr>
            <w:tcW w:w="769" w:type="pct"/>
            <w:shd w:val="clear" w:color="auto" w:fill="auto"/>
          </w:tcPr>
          <w:p w14:paraId="3F770BB3" w14:textId="77777777" w:rsidR="00203F72" w:rsidRPr="00A53581" w:rsidRDefault="00076467" w:rsidP="00D87D91">
            <w:hyperlink r:id="rId282" w:anchor="r637" w:history="1">
              <w:r w:rsidR="00203F72" w:rsidRPr="00000883">
                <w:rPr>
                  <w:rStyle w:val="a5"/>
                  <w:rFonts w:eastAsia="新細明體"/>
                </w:rPr>
                <w:t>637</w:t>
              </w:r>
            </w:hyperlink>
          </w:p>
        </w:tc>
        <w:tc>
          <w:tcPr>
            <w:tcW w:w="4231" w:type="pct"/>
            <w:shd w:val="clear" w:color="auto" w:fill="auto"/>
          </w:tcPr>
          <w:p w14:paraId="5508B78E" w14:textId="77777777" w:rsidR="00203F72" w:rsidRPr="00A53581" w:rsidRDefault="00203F72" w:rsidP="00D87D91">
            <w:r w:rsidRPr="00A53581">
              <w:t>公務員服務法</w:t>
            </w:r>
            <w:hyperlink r:id="rId283" w:anchor="a14b1" w:history="1">
              <w:r w:rsidRPr="00000883">
                <w:rPr>
                  <w:rStyle w:val="a5"/>
                  <w:rFonts w:eastAsia="新細明體"/>
                </w:rPr>
                <w:t>第14-1條</w:t>
              </w:r>
            </w:hyperlink>
            <w:r w:rsidRPr="00A53581">
              <w:t>之規定：「公務員於其離職後</w:t>
            </w:r>
            <w:r w:rsidRPr="00A53581">
              <w:t>3</w:t>
            </w:r>
            <w:r w:rsidRPr="00A53581">
              <w:t>年內，不得擔任與其離職前</w:t>
            </w:r>
            <w:r w:rsidRPr="00A53581">
              <w:t>5</w:t>
            </w:r>
            <w:r w:rsidRPr="00A53581">
              <w:t>年內之職務直接相關之營利事業董事、監察人、經理、執</w:t>
            </w:r>
            <w:r w:rsidRPr="00A53581">
              <w:lastRenderedPageBreak/>
              <w:t>行業務之股東或顧問。」旨在維護公務員公正廉明之重要公益，而對離職公務員選擇職業自由予以限制，其目的洵屬正當；其所採取之限制手段與目的達成間具實質關聯性，乃為保護重要公益所必要，並未牴觸憲</w:t>
            </w:r>
            <w:r w:rsidR="003D02B1" w:rsidRPr="00A53581">
              <w:t>法</w:t>
            </w:r>
            <w:hyperlink r:id="rId284" w:anchor="a23" w:history="1">
              <w:r w:rsidR="003D02B1" w:rsidRPr="003D02B1">
                <w:rPr>
                  <w:rStyle w:val="a5"/>
                </w:rPr>
                <w:t>第23條</w:t>
              </w:r>
            </w:hyperlink>
            <w:r w:rsidRPr="00A53581">
              <w:t>之規定，與憲法保障人民工作權之意旨尚無違背</w:t>
            </w:r>
          </w:p>
        </w:tc>
      </w:tr>
    </w:tbl>
    <w:p w14:paraId="4410EB1F" w14:textId="77777777" w:rsidR="00953151" w:rsidRPr="00686D2C" w:rsidRDefault="00B76D62" w:rsidP="00D87D91">
      <w:r w:rsidRPr="00686D2C">
        <w:lastRenderedPageBreak/>
        <w:t>【</w:t>
      </w:r>
      <w:r w:rsidR="00203F72" w:rsidRPr="00686D2C">
        <w:t>本表格</w:t>
      </w:r>
      <w:r w:rsidR="00B03E84" w:rsidRPr="00686D2C">
        <w:t>資料來源】</w:t>
      </w:r>
      <w:r w:rsidR="00203F72" w:rsidRPr="00686D2C">
        <w:t>洪嘉仁、王士榮、張若霖、廖瓊樅</w:t>
      </w:r>
      <w:r w:rsidR="00203F72" w:rsidRPr="00686D2C">
        <w:t>(2011)</w:t>
      </w:r>
      <w:r w:rsidR="00203F72" w:rsidRPr="00686D2C">
        <w:t>，憲法與立國精神，初版，台北：高立，第</w:t>
      </w:r>
      <w:r w:rsidR="00203F72" w:rsidRPr="00686D2C">
        <w:t>104</w:t>
      </w:r>
      <w:r w:rsidR="00203F72" w:rsidRPr="00686D2C">
        <w:rPr>
          <w:rFonts w:hint="eastAsia"/>
        </w:rPr>
        <w:t>-</w:t>
      </w:r>
      <w:r w:rsidR="00203F72" w:rsidRPr="00686D2C">
        <w:t>105</w:t>
      </w:r>
      <w:r w:rsidR="00203F72" w:rsidRPr="00686D2C">
        <w:t>頁</w:t>
      </w:r>
      <w:r w:rsidR="00545D58" w:rsidRPr="00686D2C">
        <w:t>。</w:t>
      </w:r>
    </w:p>
    <w:p w14:paraId="5818E691" w14:textId="77777777" w:rsidR="00953151" w:rsidRPr="00686D2C" w:rsidRDefault="00B76D62" w:rsidP="00D87D91">
      <w:r w:rsidRPr="00686D2C">
        <w:rPr>
          <w:rFonts w:hint="eastAsia"/>
        </w:rPr>
        <w:t xml:space="preserve">　　</w:t>
      </w:r>
      <w:r w:rsidR="00203F72" w:rsidRPr="00686D2C">
        <w:rPr>
          <w:rFonts w:hint="eastAsia"/>
        </w:rPr>
        <w:t>一般而言，社會權包括：</w:t>
      </w:r>
      <w:r w:rsidR="00203F72" w:rsidRPr="00686D2C">
        <w:t>生存權、工作權、受教育之權、受健康照顧之權，但不含財產權。財產權之本質與性質，應屬於自由權一種，財產權並非</w:t>
      </w:r>
      <w:r w:rsidR="00203F72" w:rsidRPr="00686D2C">
        <w:rPr>
          <w:rFonts w:hint="eastAsia"/>
        </w:rPr>
        <w:t>社會權。</w:t>
      </w:r>
      <w:r w:rsidR="00203F72" w:rsidRPr="00686D2C">
        <w:t>人民財產權之保障，除了指國家不可以非法侵犯人民財產，同時也應保障其財產不受侵犯，使人民得因財產而得到一定生活水準，同時促進社會繁榮進步。依上所述，財產權、工作權保障之目的係為維持人民生存。但人民擁有生存權、工作權及財產權之保障，應不違反憲法</w:t>
      </w:r>
      <w:hyperlink r:id="rId285" w:anchor="a22" w:history="1">
        <w:r w:rsidR="000D79C4" w:rsidRPr="00686D2C">
          <w:rPr>
            <w:rStyle w:val="a5"/>
          </w:rPr>
          <w:t>第22條</w:t>
        </w:r>
      </w:hyperlink>
      <w:r w:rsidR="00203F72" w:rsidRPr="00686D2C">
        <w:t>及</w:t>
      </w:r>
      <w:hyperlink r:id="rId286" w:anchor="a23" w:history="1">
        <w:r w:rsidR="000D79C4" w:rsidRPr="00686D2C">
          <w:rPr>
            <w:rStyle w:val="a5"/>
          </w:rPr>
          <w:t>第23條</w:t>
        </w:r>
      </w:hyperlink>
      <w:r w:rsidR="00203F72" w:rsidRPr="00686D2C">
        <w:t>之規範精神。</w:t>
      </w:r>
    </w:p>
    <w:p w14:paraId="4E522E81" w14:textId="77777777" w:rsidR="00306E89" w:rsidRDefault="00306E89" w:rsidP="00D87D91"/>
    <w:p w14:paraId="41CEDEEF" w14:textId="407CA4EB" w:rsidR="00203F72" w:rsidRPr="00686D2C" w:rsidRDefault="00B03E84" w:rsidP="00D87D91">
      <w:r w:rsidRPr="00686D2C">
        <w:t>【</w:t>
      </w:r>
      <w:r w:rsidRPr="00686D2C">
        <w:t>table</w:t>
      </w:r>
      <w:r w:rsidR="005E23E3" w:rsidRPr="00686D2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13</w:t>
      </w:r>
      <w:r w:rsidR="00076467">
        <w:rPr>
          <w:noProof/>
        </w:rPr>
        <w:fldChar w:fldCharType="end"/>
      </w:r>
      <w:r w:rsidR="00203F72" w:rsidRPr="00686D2C">
        <w:t>自由權與社會權基本理念之差異比較表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393"/>
        <w:gridCol w:w="3844"/>
      </w:tblGrid>
      <w:tr w:rsidR="00203F72" w:rsidRPr="00A53581" w14:paraId="6A60AA3C" w14:textId="77777777" w:rsidTr="00686D2C">
        <w:trPr>
          <w:tblHeader/>
        </w:trPr>
        <w:tc>
          <w:tcPr>
            <w:tcW w:w="1071" w:type="pct"/>
            <w:shd w:val="clear" w:color="auto" w:fill="FAF0FA"/>
          </w:tcPr>
          <w:p w14:paraId="384B4905" w14:textId="77777777" w:rsidR="00203F72" w:rsidRPr="00A53581" w:rsidRDefault="00203F72" w:rsidP="00D87D91">
            <w:r w:rsidRPr="00A53581">
              <w:t>區分基準</w:t>
            </w:r>
          </w:p>
        </w:tc>
        <w:tc>
          <w:tcPr>
            <w:tcW w:w="1507" w:type="pct"/>
            <w:shd w:val="clear" w:color="auto" w:fill="FAF0FA"/>
          </w:tcPr>
          <w:p w14:paraId="3B3D289F" w14:textId="77777777" w:rsidR="00203F72" w:rsidRPr="00A53581" w:rsidRDefault="00203F72" w:rsidP="00D87D91">
            <w:r w:rsidRPr="00A53581">
              <w:t>自由權</w:t>
            </w:r>
          </w:p>
        </w:tc>
        <w:tc>
          <w:tcPr>
            <w:tcW w:w="2421" w:type="pct"/>
            <w:shd w:val="clear" w:color="auto" w:fill="FAF0FA"/>
          </w:tcPr>
          <w:p w14:paraId="344C3381" w14:textId="77777777" w:rsidR="00203F72" w:rsidRPr="00A53581" w:rsidRDefault="00203F72" w:rsidP="00D87D91">
            <w:r w:rsidRPr="00A53581">
              <w:t>社會權</w:t>
            </w:r>
          </w:p>
        </w:tc>
      </w:tr>
      <w:tr w:rsidR="00203F72" w:rsidRPr="00A53581" w14:paraId="5CC35B45" w14:textId="77777777" w:rsidTr="00203F72">
        <w:tc>
          <w:tcPr>
            <w:tcW w:w="1071" w:type="pct"/>
            <w:shd w:val="clear" w:color="auto" w:fill="auto"/>
          </w:tcPr>
          <w:p w14:paraId="196FBFDA" w14:textId="77777777" w:rsidR="00203F72" w:rsidRPr="00A53581" w:rsidRDefault="00203F72" w:rsidP="00D87D91">
            <w:r w:rsidRPr="00A53581">
              <w:t>1.</w:t>
            </w:r>
            <w:r w:rsidRPr="00A53581">
              <w:t>基本理念</w:t>
            </w:r>
          </w:p>
        </w:tc>
        <w:tc>
          <w:tcPr>
            <w:tcW w:w="1507" w:type="pct"/>
            <w:shd w:val="clear" w:color="auto" w:fill="auto"/>
          </w:tcPr>
          <w:p w14:paraId="6F1FD1EE" w14:textId="77777777" w:rsidR="00203F72" w:rsidRPr="00A53581" w:rsidRDefault="00203F72" w:rsidP="00D87D91">
            <w:r w:rsidRPr="00A53581">
              <w:t>以自由主權要求國家以消極不作為而保障人民自由權</w:t>
            </w:r>
            <w:r w:rsidRPr="00A53581">
              <w:rPr>
                <w:kern w:val="0"/>
              </w:rPr>
              <w:t>。</w:t>
            </w:r>
          </w:p>
        </w:tc>
        <w:tc>
          <w:tcPr>
            <w:tcW w:w="2421" w:type="pct"/>
            <w:shd w:val="clear" w:color="auto" w:fill="auto"/>
          </w:tcPr>
          <w:p w14:paraId="32C57918" w14:textId="77777777" w:rsidR="00203F72" w:rsidRPr="00A53581" w:rsidRDefault="00203F72" w:rsidP="00D87D91">
            <w:r w:rsidRPr="00A53581">
              <w:t>要求國家以積極之作為促進人民福利</w:t>
            </w:r>
            <w:r w:rsidRPr="00A53581">
              <w:rPr>
                <w:kern w:val="0"/>
              </w:rPr>
              <w:t>。</w:t>
            </w:r>
          </w:p>
        </w:tc>
      </w:tr>
      <w:tr w:rsidR="00203F72" w:rsidRPr="00A53581" w14:paraId="5CDC6AED" w14:textId="77777777" w:rsidTr="00203F72">
        <w:tc>
          <w:tcPr>
            <w:tcW w:w="1071" w:type="pct"/>
            <w:shd w:val="clear" w:color="auto" w:fill="auto"/>
          </w:tcPr>
          <w:p w14:paraId="4D913FD4" w14:textId="77777777" w:rsidR="00203F72" w:rsidRPr="00A53581" w:rsidRDefault="00203F72" w:rsidP="00D87D91">
            <w:r w:rsidRPr="00A53581">
              <w:t>2.</w:t>
            </w:r>
            <w:r w:rsidRPr="00A53581">
              <w:t>思想淵源</w:t>
            </w:r>
          </w:p>
        </w:tc>
        <w:tc>
          <w:tcPr>
            <w:tcW w:w="1507" w:type="pct"/>
            <w:shd w:val="clear" w:color="auto" w:fill="auto"/>
          </w:tcPr>
          <w:p w14:paraId="584A9915" w14:textId="77777777" w:rsidR="00203F72" w:rsidRPr="00A53581" w:rsidRDefault="00203F72" w:rsidP="00D87D91">
            <w:r w:rsidRPr="00A53581">
              <w:t>以自然法為依據發展而成</w:t>
            </w:r>
            <w:r w:rsidRPr="00A53581">
              <w:rPr>
                <w:kern w:val="0"/>
              </w:rPr>
              <w:t>。</w:t>
            </w:r>
          </w:p>
        </w:tc>
        <w:tc>
          <w:tcPr>
            <w:tcW w:w="2421" w:type="pct"/>
            <w:shd w:val="clear" w:color="auto" w:fill="auto"/>
          </w:tcPr>
          <w:p w14:paraId="40DF9824" w14:textId="77777777" w:rsidR="00203F72" w:rsidRPr="00A53581" w:rsidRDefault="00203F72" w:rsidP="00D87D91">
            <w:r w:rsidRPr="00A53581">
              <w:t>在人權體系中，社會權之發展原先自由權，其後為彌補自由權之高度發展而產生之弊端乃發展社會福利思想</w:t>
            </w:r>
            <w:r w:rsidRPr="00A53581">
              <w:rPr>
                <w:kern w:val="0"/>
              </w:rPr>
              <w:t>。</w:t>
            </w:r>
          </w:p>
        </w:tc>
      </w:tr>
      <w:tr w:rsidR="00203F72" w:rsidRPr="00A53581" w14:paraId="5A835683" w14:textId="77777777" w:rsidTr="00203F72">
        <w:tc>
          <w:tcPr>
            <w:tcW w:w="1071" w:type="pct"/>
            <w:shd w:val="clear" w:color="auto" w:fill="auto"/>
          </w:tcPr>
          <w:p w14:paraId="0EFEFBBD" w14:textId="77777777" w:rsidR="00203F72" w:rsidRPr="00A53581" w:rsidRDefault="00203F72" w:rsidP="00D87D91">
            <w:r w:rsidRPr="00A53581">
              <w:t>3.</w:t>
            </w:r>
            <w:r w:rsidRPr="00A53581">
              <w:t>權利性質</w:t>
            </w:r>
          </w:p>
        </w:tc>
        <w:tc>
          <w:tcPr>
            <w:tcW w:w="1507" w:type="pct"/>
            <w:shd w:val="clear" w:color="auto" w:fill="auto"/>
          </w:tcPr>
          <w:p w14:paraId="670C3BE1" w14:textId="77777777" w:rsidR="00203F72" w:rsidRPr="00A53581" w:rsidRDefault="00203F72" w:rsidP="00D87D91">
            <w:r w:rsidRPr="00A53581">
              <w:t>是消極之權利。以保障人民不受國家公權力之侵害為內容。</w:t>
            </w:r>
          </w:p>
        </w:tc>
        <w:tc>
          <w:tcPr>
            <w:tcW w:w="2421" w:type="pct"/>
            <w:shd w:val="clear" w:color="auto" w:fill="auto"/>
          </w:tcPr>
          <w:p w14:paraId="5B6205BF" w14:textId="77777777" w:rsidR="00203F72" w:rsidRPr="00A53581" w:rsidRDefault="00203F72" w:rsidP="00D87D91">
            <w:r w:rsidRPr="00A53581">
              <w:t>是積極之權利。要求國家積極之作為，以維護社會福利為目的。</w:t>
            </w:r>
          </w:p>
        </w:tc>
      </w:tr>
      <w:tr w:rsidR="00203F72" w:rsidRPr="00A53581" w14:paraId="6BAE1682" w14:textId="77777777" w:rsidTr="00203F72">
        <w:tc>
          <w:tcPr>
            <w:tcW w:w="1071" w:type="pct"/>
            <w:shd w:val="clear" w:color="auto" w:fill="auto"/>
          </w:tcPr>
          <w:p w14:paraId="7B9ACF88" w14:textId="77777777" w:rsidR="00203F72" w:rsidRPr="00A53581" w:rsidRDefault="00203F72" w:rsidP="00D87D91">
            <w:r w:rsidRPr="00A53581">
              <w:t>4.</w:t>
            </w:r>
            <w:r w:rsidRPr="00A53581">
              <w:t>權利界限</w:t>
            </w:r>
          </w:p>
        </w:tc>
        <w:tc>
          <w:tcPr>
            <w:tcW w:w="1507" w:type="pct"/>
            <w:shd w:val="clear" w:color="auto" w:fill="auto"/>
          </w:tcPr>
          <w:p w14:paraId="7D187C7A" w14:textId="77777777" w:rsidR="00203F72" w:rsidRPr="00A53581" w:rsidRDefault="00203F72" w:rsidP="00D87D91">
            <w:r w:rsidRPr="00A53581">
              <w:t>自由權原則上並無界限，亦不附條件</w:t>
            </w:r>
            <w:r w:rsidRPr="00A53581">
              <w:rPr>
                <w:kern w:val="0"/>
              </w:rPr>
              <w:t>。</w:t>
            </w:r>
          </w:p>
        </w:tc>
        <w:tc>
          <w:tcPr>
            <w:tcW w:w="2421" w:type="pct"/>
            <w:shd w:val="clear" w:color="auto" w:fill="auto"/>
          </w:tcPr>
          <w:p w14:paraId="2F6C6010" w14:textId="77777777" w:rsidR="00203F72" w:rsidRPr="00A53581" w:rsidRDefault="00203F72" w:rsidP="00D87D91">
            <w:r w:rsidRPr="00A53581">
              <w:t>社會權仍須權衡國家財力，無法漫無限制之實施，仍有其界限與條件</w:t>
            </w:r>
            <w:r w:rsidRPr="00A53581">
              <w:rPr>
                <w:kern w:val="0"/>
              </w:rPr>
              <w:t>。</w:t>
            </w:r>
          </w:p>
        </w:tc>
      </w:tr>
    </w:tbl>
    <w:p w14:paraId="10A26B1F" w14:textId="77777777" w:rsidR="00953151" w:rsidRPr="00686D2C" w:rsidRDefault="00B76D62" w:rsidP="00D87D91">
      <w:r w:rsidRPr="00686D2C">
        <w:t>【</w:t>
      </w:r>
      <w:r w:rsidR="00203F72" w:rsidRPr="00686D2C">
        <w:t>本表</w:t>
      </w:r>
      <w:r w:rsidR="00B03E84" w:rsidRPr="00686D2C">
        <w:t>資料來源】</w:t>
      </w:r>
      <w:r w:rsidR="00203F72" w:rsidRPr="00686D2C">
        <w:t>謝瑞智、謝世維</w:t>
      </w:r>
      <w:r w:rsidR="00203F72" w:rsidRPr="00686D2C">
        <w:t>(2010)</w:t>
      </w:r>
      <w:r w:rsidR="00203F72" w:rsidRPr="00686D2C">
        <w:t>，憲法概要，增訂</w:t>
      </w:r>
      <w:r w:rsidR="00203F72" w:rsidRPr="00686D2C">
        <w:t>14</w:t>
      </w:r>
      <w:r w:rsidR="00203F72" w:rsidRPr="00686D2C">
        <w:t>版，台北市：文笙書局，第</w:t>
      </w:r>
      <w:r w:rsidR="00203F72" w:rsidRPr="00686D2C">
        <w:t>99</w:t>
      </w:r>
      <w:r w:rsidR="00203F72" w:rsidRPr="00686D2C">
        <w:t>頁。</w:t>
      </w:r>
    </w:p>
    <w:p w14:paraId="41F43B56" w14:textId="77777777" w:rsidR="00953151" w:rsidRDefault="00076467" w:rsidP="00767F37">
      <w:pPr>
        <w:pStyle w:val="2"/>
      </w:pPr>
      <w:hyperlink r:id="rId287" w:anchor="a16" w:history="1">
        <w:r w:rsidR="005D5A46">
          <w:rPr>
            <w:rStyle w:val="a5"/>
            <w:rFonts w:ascii="Arial Unicode MS" w:hAnsi="Arial Unicode MS"/>
          </w:rPr>
          <w:t>第</w:t>
        </w:r>
        <w:r w:rsidR="00203F72" w:rsidRPr="001B53A5">
          <w:rPr>
            <w:rStyle w:val="a5"/>
            <w:rFonts w:ascii="Arial Unicode MS" w:hAnsi="Arial Unicode MS"/>
          </w:rPr>
          <w:t>16</w:t>
        </w:r>
        <w:r w:rsidR="005D5A46">
          <w:rPr>
            <w:rStyle w:val="a5"/>
            <w:rFonts w:ascii="Arial Unicode MS" w:hAnsi="Arial Unicode MS"/>
          </w:rPr>
          <w:t>條</w:t>
        </w:r>
      </w:hyperlink>
      <w:r w:rsidR="00203F72" w:rsidRPr="00A53581">
        <w:t>人民有請願、訴願及訴訟之權。</w:t>
      </w:r>
    </w:p>
    <w:p w14:paraId="51951920" w14:textId="77777777" w:rsidR="00953151" w:rsidRPr="00686D2C" w:rsidRDefault="00B03E84" w:rsidP="00D87D91">
      <w:r w:rsidRPr="00686D2C">
        <w:t>【內容解析】</w:t>
      </w:r>
    </w:p>
    <w:p w14:paraId="5FF1B405" w14:textId="77777777" w:rsidR="00953151" w:rsidRPr="00686D2C" w:rsidRDefault="00B76D62" w:rsidP="00D87D91">
      <w:r w:rsidRPr="00686D2C">
        <w:t xml:space="preserve">　　</w:t>
      </w:r>
      <w:r w:rsidR="00203F72" w:rsidRPr="00686D2C">
        <w:t>本條意旨在讓人民有管道表達內心不同之意見，此條為行政上及司法上受益權之規定，請願、訴願為行政上受益權，訴訟係司法上受益權。請願權係人民得以依自己之願望，向政府提出請求之權利，無論此請求是因公益或為為了維護個人之私益，此請求不但可以對行政機關提出，還可以對立法、考試、監察等各國家機關提出。不過，請願之事項不得牴觸憲法或幹預審判。訴願權是指人民因為政府施行之政策違法或不當，使其權益遭受到損害，在規定期限內依一定程序，向管轄之政府機關，提出訴願，要求撤銷或變更原處分。訴訟權指人民權利遭受損害之時候，有權利向法院提起訴訟，請求法院為其做出裁判之權利，可分為民事訴訟、刑事訴訟、行政訴訟和選舉訴訟。</w:t>
      </w:r>
    </w:p>
    <w:p w14:paraId="56940406" w14:textId="77777777" w:rsidR="00953151" w:rsidRDefault="00076467" w:rsidP="00767F37">
      <w:pPr>
        <w:pStyle w:val="2"/>
      </w:pPr>
      <w:hyperlink r:id="rId288" w:anchor="a17" w:history="1">
        <w:r w:rsidR="005D5A46">
          <w:rPr>
            <w:rStyle w:val="a5"/>
            <w:rFonts w:ascii="Arial Unicode MS" w:hAnsi="Arial Unicode MS"/>
          </w:rPr>
          <w:t>第</w:t>
        </w:r>
        <w:r w:rsidR="00203F72" w:rsidRPr="001B53A5">
          <w:rPr>
            <w:rStyle w:val="a5"/>
            <w:rFonts w:ascii="Arial Unicode MS" w:hAnsi="Arial Unicode MS"/>
          </w:rPr>
          <w:t>17</w:t>
        </w:r>
        <w:r w:rsidR="005D5A46">
          <w:rPr>
            <w:rStyle w:val="a5"/>
            <w:rFonts w:ascii="Arial Unicode MS" w:hAnsi="Arial Unicode MS"/>
          </w:rPr>
          <w:t>條</w:t>
        </w:r>
      </w:hyperlink>
      <w:r w:rsidR="00203F72" w:rsidRPr="00A53581">
        <w:t>人民有選舉、罷免、創制及複決之權。</w:t>
      </w:r>
    </w:p>
    <w:p w14:paraId="076B3CB7" w14:textId="77777777" w:rsidR="00953151" w:rsidRPr="00686D2C" w:rsidRDefault="00B03E84" w:rsidP="00D87D91">
      <w:r w:rsidRPr="00686D2C">
        <w:t>【內容解析】</w:t>
      </w:r>
    </w:p>
    <w:p w14:paraId="3804E67D" w14:textId="77777777" w:rsidR="00953151" w:rsidRPr="00686D2C" w:rsidRDefault="00B76D62" w:rsidP="00D87D91">
      <w:r w:rsidRPr="00686D2C">
        <w:lastRenderedPageBreak/>
        <w:t xml:space="preserve">　　</w:t>
      </w:r>
      <w:r w:rsidR="00203F72" w:rsidRPr="00686D2C">
        <w:t>選舉、罷免、創制及複決四權，即為政權或主權在民之重要內涵，為國民直接民權之行使。國父主張人民有權，這個權係由人民行使選舉、罷免、創制及複決四種政權，俾利管理政府。政權是人民保障自己權益、參與政策、監督政府之重要權力。選舉權簡單說係投票之行為，公民用投票選出民意代表或官員之權利。選舉權為參政權之一，選舉權可以有作為或不作為，即可以自由決定投票或不投票，並不是強制規定非去投票不可。因此，選舉權並不屬於人民之義務之一。</w:t>
      </w:r>
    </w:p>
    <w:p w14:paraId="2F0B111E" w14:textId="77777777" w:rsidR="00000883" w:rsidRDefault="00000883" w:rsidP="00D87D91"/>
    <w:p w14:paraId="569C7F38" w14:textId="26125303" w:rsidR="00203F72" w:rsidRPr="00686D2C" w:rsidRDefault="00B03E84" w:rsidP="00D87D91">
      <w:r w:rsidRPr="00686D2C">
        <w:t>【</w:t>
      </w:r>
      <w:r w:rsidRPr="00686D2C">
        <w:t>table</w:t>
      </w:r>
      <w:r w:rsidR="005E23E3" w:rsidRPr="00686D2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14</w:t>
      </w:r>
      <w:r w:rsidR="00076467">
        <w:rPr>
          <w:noProof/>
        </w:rPr>
        <w:fldChar w:fldCharType="end"/>
      </w:r>
      <w:r w:rsidR="00203F72" w:rsidRPr="00686D2C">
        <w:t>大法官對於選舉權之相關解釋彙整表</w:t>
      </w:r>
    </w:p>
    <w:tbl>
      <w:tblPr>
        <w:tblW w:w="486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130"/>
        <w:gridCol w:w="846"/>
        <w:gridCol w:w="1115"/>
        <w:gridCol w:w="4605"/>
      </w:tblGrid>
      <w:tr w:rsidR="00203F72" w:rsidRPr="00A53581" w14:paraId="10E95A45" w14:textId="77777777" w:rsidTr="00000883">
        <w:trPr>
          <w:tblHeader/>
        </w:trPr>
        <w:tc>
          <w:tcPr>
            <w:tcW w:w="342" w:type="pct"/>
            <w:shd w:val="clear" w:color="auto" w:fill="FAF0FA"/>
          </w:tcPr>
          <w:p w14:paraId="4CC96095" w14:textId="77777777" w:rsidR="00203F72" w:rsidRPr="00A53581" w:rsidRDefault="00203F72" w:rsidP="00D87D91"/>
        </w:tc>
        <w:tc>
          <w:tcPr>
            <w:tcW w:w="684" w:type="pct"/>
            <w:shd w:val="clear" w:color="auto" w:fill="FAF0FA"/>
          </w:tcPr>
          <w:p w14:paraId="648B1AC7" w14:textId="77777777" w:rsidR="00203F72" w:rsidRPr="00A53581" w:rsidRDefault="00203F72" w:rsidP="00D87D91">
            <w:r w:rsidRPr="00A53581">
              <w:t>司法院釋字文號別</w:t>
            </w:r>
          </w:p>
        </w:tc>
        <w:tc>
          <w:tcPr>
            <w:tcW w:w="512" w:type="pct"/>
            <w:shd w:val="clear" w:color="auto" w:fill="FAF0FA"/>
          </w:tcPr>
          <w:p w14:paraId="478F3EA7" w14:textId="77777777" w:rsidR="00203F72" w:rsidRPr="00A53581" w:rsidRDefault="00203F72" w:rsidP="00D87D91">
            <w:r w:rsidRPr="00A53581">
              <w:t>公布日期</w:t>
            </w:r>
          </w:p>
        </w:tc>
        <w:tc>
          <w:tcPr>
            <w:tcW w:w="675" w:type="pct"/>
            <w:shd w:val="clear" w:color="auto" w:fill="FAF0FA"/>
          </w:tcPr>
          <w:p w14:paraId="5D6357E5" w14:textId="77777777" w:rsidR="00203F72" w:rsidRPr="00A53581" w:rsidRDefault="00203F72" w:rsidP="00D87D91">
            <w:r w:rsidRPr="00A53581">
              <w:t>解釋爭點</w:t>
            </w:r>
          </w:p>
        </w:tc>
        <w:tc>
          <w:tcPr>
            <w:tcW w:w="2787" w:type="pct"/>
            <w:shd w:val="clear" w:color="auto" w:fill="FAF0FA"/>
          </w:tcPr>
          <w:p w14:paraId="472FD41E" w14:textId="77777777" w:rsidR="00203F72" w:rsidRPr="00A53581" w:rsidRDefault="00203F72" w:rsidP="00D87D91">
            <w:r w:rsidRPr="00A53581">
              <w:t>解釋文</w:t>
            </w:r>
          </w:p>
        </w:tc>
      </w:tr>
      <w:tr w:rsidR="00203F72" w:rsidRPr="00A53581" w14:paraId="372DD173" w14:textId="77777777" w:rsidTr="00000883">
        <w:tc>
          <w:tcPr>
            <w:tcW w:w="342" w:type="pct"/>
            <w:vMerge w:val="restart"/>
            <w:shd w:val="clear" w:color="auto" w:fill="auto"/>
          </w:tcPr>
          <w:p w14:paraId="6338B499" w14:textId="77777777" w:rsidR="00203F72" w:rsidRPr="00A53581" w:rsidRDefault="00203F72" w:rsidP="00D87D91">
            <w:r w:rsidRPr="00A53581">
              <w:t>大法官相關解釋</w:t>
            </w:r>
          </w:p>
        </w:tc>
        <w:tc>
          <w:tcPr>
            <w:tcW w:w="684" w:type="pct"/>
            <w:shd w:val="clear" w:color="auto" w:fill="auto"/>
          </w:tcPr>
          <w:p w14:paraId="11753FE1" w14:textId="77777777" w:rsidR="00203F72" w:rsidRPr="00A53581" w:rsidRDefault="00203F72" w:rsidP="00D87D91">
            <w:r w:rsidRPr="00A53581">
              <w:t>釋字</w:t>
            </w:r>
            <w:hyperlink r:id="rId289" w:anchor="r290" w:history="1">
              <w:r w:rsidRPr="00000883">
                <w:rPr>
                  <w:rStyle w:val="a5"/>
                  <w:rFonts w:eastAsia="新細明體"/>
                </w:rPr>
                <w:t>第290號</w:t>
              </w:r>
            </w:hyperlink>
          </w:p>
        </w:tc>
        <w:tc>
          <w:tcPr>
            <w:tcW w:w="512" w:type="pct"/>
            <w:shd w:val="clear" w:color="auto" w:fill="auto"/>
          </w:tcPr>
          <w:p w14:paraId="5A205C99" w14:textId="77777777" w:rsidR="00203F72" w:rsidRPr="00A53581" w:rsidRDefault="00203F72" w:rsidP="00D87D91">
            <w:r w:rsidRPr="00A53581">
              <w:t>民國</w:t>
            </w:r>
            <w:r w:rsidRPr="00A53581">
              <w:t>81</w:t>
            </w:r>
            <w:r w:rsidRPr="00A53581">
              <w:t>年</w:t>
            </w:r>
            <w:r w:rsidRPr="00A53581">
              <w:t>1</w:t>
            </w:r>
            <w:r w:rsidRPr="00A53581">
              <w:t>月</w:t>
            </w:r>
            <w:r w:rsidRPr="00A53581">
              <w:t>24</w:t>
            </w:r>
            <w:r w:rsidRPr="00A53581">
              <w:t>日</w:t>
            </w:r>
          </w:p>
        </w:tc>
        <w:tc>
          <w:tcPr>
            <w:tcW w:w="675" w:type="pct"/>
            <w:shd w:val="clear" w:color="auto" w:fill="auto"/>
          </w:tcPr>
          <w:p w14:paraId="268D4CD3" w14:textId="77777777" w:rsidR="00203F72" w:rsidRPr="00A53581" w:rsidRDefault="00203F72" w:rsidP="00D87D91">
            <w:r w:rsidRPr="00A53581">
              <w:t>公職選罷法候選人學經歷限制規定違憲？</w:t>
            </w:r>
          </w:p>
        </w:tc>
        <w:tc>
          <w:tcPr>
            <w:tcW w:w="2787" w:type="pct"/>
            <w:shd w:val="clear" w:color="auto" w:fill="auto"/>
          </w:tcPr>
          <w:p w14:paraId="15C8FC11" w14:textId="77777777" w:rsidR="00203F72" w:rsidRPr="00A53581" w:rsidRDefault="00000883" w:rsidP="00D87D91">
            <w:pPr>
              <w:rPr>
                <w:kern w:val="0"/>
              </w:rPr>
            </w:pPr>
            <w:r>
              <w:t xml:space="preserve">　　</w:t>
            </w:r>
            <w:r w:rsidR="00203F72" w:rsidRPr="00A53581">
              <w:t>中華民國七十八年二月三日修正公布之動員戡亂時期公職人員選舉罷免法</w:t>
            </w:r>
            <w:r w:rsidR="00203F72" w:rsidRPr="00A53581">
              <w:t>(</w:t>
            </w:r>
            <w:r w:rsidR="00203F72" w:rsidRPr="00A53581">
              <w:t>八十年八月二日法律名稱修正為公職人員選舉罷免法</w:t>
            </w:r>
            <w:r w:rsidR="00203F72" w:rsidRPr="00A53581">
              <w:t>)</w:t>
            </w:r>
            <w:hyperlink r:id="rId290" w:anchor="b32" w:history="1">
              <w:r w:rsidR="00203F72" w:rsidRPr="00615247">
                <w:rPr>
                  <w:rStyle w:val="a5"/>
                  <w:rFonts w:eastAsia="新細明體"/>
                </w:rPr>
                <w:t>第32條</w:t>
              </w:r>
            </w:hyperlink>
            <w:r w:rsidR="00203F72" w:rsidRPr="00A53581">
              <w:t>第</w:t>
            </w:r>
            <w:r w:rsidR="00203F72" w:rsidRPr="00A53581">
              <w:t>1</w:t>
            </w:r>
            <w:r w:rsidR="00203F72" w:rsidRPr="00A53581">
              <w:t>項有關各級民意代表候選人學、經歷之限制，與憲法尚無牴觸</w:t>
            </w:r>
            <w:r w:rsidR="00203F72" w:rsidRPr="00A53581">
              <w:rPr>
                <w:kern w:val="0"/>
              </w:rPr>
              <w:t>。惟此項學、經歷之限制，應隨國民之教育普及加以檢討，如認為仍有維持之必要，亦宜重</w:t>
            </w:r>
            <w:r w:rsidR="003E240E">
              <w:rPr>
                <w:kern w:val="0"/>
              </w:rPr>
              <w:t>視</w:t>
            </w:r>
            <w:r w:rsidR="00203F72" w:rsidRPr="00A53581">
              <w:rPr>
                <w:kern w:val="0"/>
              </w:rPr>
              <w:t>其實質意義，並斟酌就學有實際因難者，而為適當之規定，此當由立法機關為合理之裁量。</w:t>
            </w:r>
          </w:p>
          <w:p w14:paraId="5A7AE19B" w14:textId="77777777" w:rsidR="00203F72" w:rsidRPr="00A53581" w:rsidRDefault="00000883" w:rsidP="00D87D91">
            <w:r>
              <w:t xml:space="preserve">　　</w:t>
            </w:r>
            <w:r w:rsidR="00203F72" w:rsidRPr="00A53581">
              <w:t>人民對於行政處分有所不服，應循訴願及行政訴訟程序請求救濟。惟現行國家賠償法對於涉及前提要件之行政處分是否違法，判斷應否先行政訴訟程序，未設明文，致民事判決有就行政處分之違法性併為判斷者，本件既經民事確定終局判決，故仍予受理解釋，併此說明。</w:t>
            </w:r>
          </w:p>
        </w:tc>
      </w:tr>
      <w:tr w:rsidR="00203F72" w:rsidRPr="00A53581" w14:paraId="17E1EF9E" w14:textId="77777777" w:rsidTr="00000883">
        <w:tc>
          <w:tcPr>
            <w:tcW w:w="342" w:type="pct"/>
            <w:vMerge/>
            <w:shd w:val="clear" w:color="auto" w:fill="auto"/>
          </w:tcPr>
          <w:p w14:paraId="73C8EFF5" w14:textId="77777777" w:rsidR="00203F72" w:rsidRPr="00A53581" w:rsidRDefault="00203F72" w:rsidP="00D87D91"/>
        </w:tc>
        <w:tc>
          <w:tcPr>
            <w:tcW w:w="684" w:type="pct"/>
            <w:shd w:val="clear" w:color="auto" w:fill="auto"/>
          </w:tcPr>
          <w:p w14:paraId="7EAA7945" w14:textId="77777777" w:rsidR="00203F72" w:rsidRPr="00A53581" w:rsidRDefault="00203F72" w:rsidP="00D87D91">
            <w:r w:rsidRPr="00A53581">
              <w:t>釋字</w:t>
            </w:r>
            <w:hyperlink r:id="rId291" w:anchor="r340" w:history="1">
              <w:r w:rsidRPr="00000883">
                <w:rPr>
                  <w:rStyle w:val="a5"/>
                  <w:rFonts w:eastAsia="新細明體"/>
                </w:rPr>
                <w:t>第340號</w:t>
              </w:r>
            </w:hyperlink>
          </w:p>
        </w:tc>
        <w:tc>
          <w:tcPr>
            <w:tcW w:w="512" w:type="pct"/>
            <w:shd w:val="clear" w:color="auto" w:fill="auto"/>
          </w:tcPr>
          <w:p w14:paraId="6CFB423A" w14:textId="77777777" w:rsidR="00203F72" w:rsidRPr="00A53581" w:rsidRDefault="00203F72" w:rsidP="00D87D91">
            <w:r w:rsidRPr="00A53581">
              <w:t>民國</w:t>
            </w:r>
            <w:r w:rsidRPr="00A53581">
              <w:t>83</w:t>
            </w:r>
            <w:r w:rsidRPr="00A53581">
              <w:t>年</w:t>
            </w:r>
            <w:r w:rsidRPr="00A53581">
              <w:t>2</w:t>
            </w:r>
            <w:r w:rsidRPr="00A53581">
              <w:t>月</w:t>
            </w:r>
            <w:r w:rsidRPr="00A53581">
              <w:t>25</w:t>
            </w:r>
            <w:r w:rsidRPr="00A53581">
              <w:t>日</w:t>
            </w:r>
          </w:p>
        </w:tc>
        <w:tc>
          <w:tcPr>
            <w:tcW w:w="675" w:type="pct"/>
            <w:shd w:val="clear" w:color="auto" w:fill="auto"/>
          </w:tcPr>
          <w:p w14:paraId="7E289624" w14:textId="77777777" w:rsidR="00203F72" w:rsidRPr="00A53581" w:rsidRDefault="00203F72" w:rsidP="00D87D91">
            <w:r w:rsidRPr="00A53581">
              <w:t>公職選罷法對政黨推薦候選人之保證金減半之規定違憲？</w:t>
            </w:r>
          </w:p>
        </w:tc>
        <w:tc>
          <w:tcPr>
            <w:tcW w:w="2787" w:type="pct"/>
            <w:shd w:val="clear" w:color="auto" w:fill="auto"/>
          </w:tcPr>
          <w:p w14:paraId="7614D2A5" w14:textId="77777777" w:rsidR="00203F72" w:rsidRPr="00A53581" w:rsidRDefault="00203F72" w:rsidP="00D87D91">
            <w:r w:rsidRPr="00A53581">
              <w:t>公職人員選舉罷免法</w:t>
            </w:r>
            <w:hyperlink r:id="rId292" w:anchor="b38" w:history="1">
              <w:r w:rsidRPr="007E1B23">
                <w:rPr>
                  <w:rStyle w:val="a5"/>
                  <w:rFonts w:eastAsia="新細明體"/>
                </w:rPr>
                <w:t>第38條</w:t>
              </w:r>
            </w:hyperlink>
            <w:r w:rsidRPr="00A53581">
              <w:t>第</w:t>
            </w:r>
            <w:r w:rsidRPr="00A53581">
              <w:t>2</w:t>
            </w:r>
            <w:r w:rsidRPr="00A53581">
              <w:t>項規定：</w:t>
            </w:r>
            <w:r w:rsidRPr="00A53581">
              <w:rPr>
                <w:kern w:val="0"/>
              </w:rPr>
              <w:t>「政黨推薦之區域、山胞候選人，其保證金減半繳納。但政黨撤回推薦者，應全額繳納」，無異使無政黨推薦之候選人，須繳納較高額之保證金，形成不合理之差別待遇，與憲法</w:t>
            </w:r>
            <w:hyperlink r:id="rId293" w:anchor="a7" w:history="1">
              <w:r w:rsidR="007D50BB" w:rsidRPr="007D50BB">
                <w:rPr>
                  <w:rStyle w:val="a5"/>
                  <w:rFonts w:ascii="Times New Roman" w:hAnsi="Times New Roman"/>
                </w:rPr>
                <w:t>第七條</w:t>
              </w:r>
            </w:hyperlink>
            <w:r w:rsidRPr="00A53581">
              <w:rPr>
                <w:kern w:val="0"/>
              </w:rPr>
              <w:t>之意旨有違，應不再適用。</w:t>
            </w:r>
          </w:p>
        </w:tc>
      </w:tr>
      <w:tr w:rsidR="00203F72" w:rsidRPr="00A53581" w14:paraId="53B2D82F" w14:textId="77777777" w:rsidTr="00000883">
        <w:tc>
          <w:tcPr>
            <w:tcW w:w="342" w:type="pct"/>
            <w:vMerge/>
            <w:shd w:val="clear" w:color="auto" w:fill="auto"/>
          </w:tcPr>
          <w:p w14:paraId="51B2349F" w14:textId="77777777" w:rsidR="00203F72" w:rsidRPr="00A53581" w:rsidRDefault="00203F72" w:rsidP="00D87D91"/>
        </w:tc>
        <w:tc>
          <w:tcPr>
            <w:tcW w:w="684" w:type="pct"/>
            <w:shd w:val="clear" w:color="auto" w:fill="auto"/>
          </w:tcPr>
          <w:p w14:paraId="3C99A8C1" w14:textId="77777777" w:rsidR="00203F72" w:rsidRPr="00A53581" w:rsidRDefault="00203F72" w:rsidP="00D87D91">
            <w:r w:rsidRPr="00A53581">
              <w:t>釋字</w:t>
            </w:r>
            <w:hyperlink r:id="rId294" w:anchor="r468" w:history="1">
              <w:r w:rsidRPr="00707676">
                <w:rPr>
                  <w:rStyle w:val="a5"/>
                </w:rPr>
                <w:t>第468號</w:t>
              </w:r>
            </w:hyperlink>
          </w:p>
        </w:tc>
        <w:tc>
          <w:tcPr>
            <w:tcW w:w="512" w:type="pct"/>
            <w:shd w:val="clear" w:color="auto" w:fill="auto"/>
          </w:tcPr>
          <w:p w14:paraId="6DEBCAA7" w14:textId="77777777" w:rsidR="00203F72" w:rsidRPr="00A53581" w:rsidRDefault="00203F72" w:rsidP="00D87D91">
            <w:r w:rsidRPr="00A53581">
              <w:t>民國</w:t>
            </w:r>
            <w:r w:rsidRPr="00A53581">
              <w:t>87</w:t>
            </w:r>
            <w:r w:rsidRPr="00A53581">
              <w:t>年</w:t>
            </w:r>
            <w:r w:rsidRPr="00A53581">
              <w:t>10</w:t>
            </w:r>
            <w:r w:rsidRPr="00A53581">
              <w:t>月</w:t>
            </w:r>
            <w:r w:rsidRPr="00A53581">
              <w:t>22</w:t>
            </w:r>
            <w:r w:rsidRPr="00A53581">
              <w:t>日</w:t>
            </w:r>
          </w:p>
        </w:tc>
        <w:tc>
          <w:tcPr>
            <w:tcW w:w="675" w:type="pct"/>
            <w:shd w:val="clear" w:color="auto" w:fill="auto"/>
          </w:tcPr>
          <w:p w14:paraId="09CA6102" w14:textId="77777777" w:rsidR="00203F72" w:rsidRPr="00A53581" w:rsidRDefault="00203F72" w:rsidP="00D87D91">
            <w:r w:rsidRPr="00A53581">
              <w:t>總統副總統選罷法等法規就連署及保證金之規定違憲？</w:t>
            </w:r>
          </w:p>
        </w:tc>
        <w:tc>
          <w:tcPr>
            <w:tcW w:w="2787" w:type="pct"/>
            <w:shd w:val="clear" w:color="auto" w:fill="auto"/>
          </w:tcPr>
          <w:p w14:paraId="33F8326A" w14:textId="77777777" w:rsidR="00203F72" w:rsidRPr="00707676" w:rsidRDefault="00203F72" w:rsidP="00D87D91">
            <w:r w:rsidRPr="00707676">
              <w:t>憲法</w:t>
            </w:r>
            <w:hyperlink r:id="rId295" w:anchor="a46" w:history="1">
              <w:r w:rsidR="00707676" w:rsidRPr="00707676">
                <w:rPr>
                  <w:rStyle w:val="a5"/>
                </w:rPr>
                <w:t>第46條</w:t>
              </w:r>
            </w:hyperlink>
            <w:r w:rsidRPr="00707676">
              <w:t>規定：總統、副總統之選舉，以法律定之。立法機關依此制定法律，規範總統、副總統之選舉程序，應符合公平合理之原則。總統副總統選舉罷免</w:t>
            </w:r>
            <w:r w:rsidR="000D79C4" w:rsidRPr="00707676">
              <w:t>法</w:t>
            </w:r>
            <w:hyperlink r:id="rId296" w:anchor="a23" w:history="1">
              <w:r w:rsidR="000D79C4" w:rsidRPr="00707676">
                <w:rPr>
                  <w:rStyle w:val="a5"/>
                </w:rPr>
                <w:t>第23條</w:t>
              </w:r>
            </w:hyperlink>
            <w:r w:rsidRPr="00707676">
              <w:t>第</w:t>
            </w:r>
            <w:r w:rsidRPr="00707676">
              <w:t>2</w:t>
            </w:r>
            <w:r w:rsidRPr="00707676">
              <w:t>項及第</w:t>
            </w:r>
            <w:r w:rsidRPr="00707676">
              <w:t>4</w:t>
            </w:r>
            <w:r w:rsidRPr="00707676">
              <w:t>項規定，總統、副總統候選人須於法定期間內尋求最近一次中央民意代表選舉選舉人總數百分之一點五以上之連署，旨在採行連署制度，以表達被連署人有相當程度之政治支持，藉與政黨推薦候選人之要件相平衡，並防止人民任意參與總統、副總統之候選，耗費社會資源，在合理範圍內所為適當之規範，尚難認為對總統、副總統之被選舉權為不必要之限制，與憲法規定之平等權亦無違背。又為保證連署人數確有同條第四項所定人數二分之一以上，由被連署人依同條第一項提供保證金新台幣一百萬元，並未逾越立法裁量之範圍，與憲</w:t>
            </w:r>
            <w:r w:rsidR="003D02B1" w:rsidRPr="00707676">
              <w:t>法</w:t>
            </w:r>
            <w:hyperlink r:id="rId297" w:anchor="a23" w:history="1">
              <w:r w:rsidR="003D02B1" w:rsidRPr="00707676">
                <w:rPr>
                  <w:rStyle w:val="a5"/>
                </w:rPr>
                <w:t>第23條</w:t>
              </w:r>
            </w:hyperlink>
            <w:r w:rsidRPr="00707676">
              <w:t>規定尚無違背。總統副總統選舉連署及查核辦法係主管機關依總統副總統選舉罷免</w:t>
            </w:r>
            <w:r w:rsidR="004A35C7" w:rsidRPr="00707676">
              <w:t>法</w:t>
            </w:r>
            <w:hyperlink r:id="rId298" w:anchor="b23" w:history="1">
              <w:r w:rsidR="004A35C7" w:rsidRPr="00707676">
                <w:rPr>
                  <w:rStyle w:val="a5"/>
                </w:rPr>
                <w:t>第23條</w:t>
              </w:r>
            </w:hyperlink>
            <w:r w:rsidRPr="00707676">
              <w:t>第</w:t>
            </w:r>
            <w:r w:rsidRPr="00707676">
              <w:t>9</w:t>
            </w:r>
            <w:r w:rsidRPr="00707676">
              <w:t>項授權所訂定，其授權有明確之目的及範圍，同辦</w:t>
            </w:r>
            <w:r w:rsidR="00687BCD" w:rsidRPr="00707676">
              <w:t>法</w:t>
            </w:r>
            <w:hyperlink r:id="rId299" w:anchor="a2" w:history="1">
              <w:r w:rsidR="00687BCD" w:rsidRPr="00707676">
                <w:rPr>
                  <w:rStyle w:val="a5"/>
                </w:rPr>
                <w:t>第2條</w:t>
              </w:r>
            </w:hyperlink>
            <w:r w:rsidRPr="00707676">
              <w:t>第</w:t>
            </w:r>
            <w:r w:rsidRPr="00707676">
              <w:t>3</w:t>
            </w:r>
            <w:r w:rsidRPr="00707676">
              <w:t>項關於書件不全、不符規定或保證金不足者，中央選舉委員會應拒絕受理其申請之規定，符合法律授權之意旨，與憲法並無牴觸。惟關於上開被選舉權行使之要件，應隨社會變遷及政治發展之情形，適時檢討改進，以副憲法保障人民參政權之本旨，乃屬當然。</w:t>
            </w:r>
          </w:p>
        </w:tc>
      </w:tr>
      <w:tr w:rsidR="00203F72" w:rsidRPr="00A53581" w14:paraId="6D5EF9BE" w14:textId="77777777" w:rsidTr="00000883">
        <w:tc>
          <w:tcPr>
            <w:tcW w:w="342" w:type="pct"/>
            <w:vMerge/>
            <w:shd w:val="clear" w:color="auto" w:fill="auto"/>
          </w:tcPr>
          <w:p w14:paraId="0F1C6E73" w14:textId="77777777" w:rsidR="00203F72" w:rsidRPr="00A53581" w:rsidRDefault="00203F72" w:rsidP="00D87D91"/>
        </w:tc>
        <w:tc>
          <w:tcPr>
            <w:tcW w:w="684" w:type="pct"/>
            <w:shd w:val="clear" w:color="auto" w:fill="auto"/>
          </w:tcPr>
          <w:p w14:paraId="50C5F06B" w14:textId="77777777" w:rsidR="00203F72" w:rsidRPr="00A53581" w:rsidRDefault="00203F72" w:rsidP="00D87D91">
            <w:r w:rsidRPr="00A53581">
              <w:t>釋字</w:t>
            </w:r>
            <w:hyperlink r:id="rId300" w:anchor="r546" w:history="1">
              <w:r w:rsidRPr="004A35C7">
                <w:rPr>
                  <w:rStyle w:val="a5"/>
                </w:rPr>
                <w:t>第546號</w:t>
              </w:r>
            </w:hyperlink>
          </w:p>
        </w:tc>
        <w:tc>
          <w:tcPr>
            <w:tcW w:w="512" w:type="pct"/>
            <w:shd w:val="clear" w:color="auto" w:fill="auto"/>
          </w:tcPr>
          <w:p w14:paraId="54A50D04" w14:textId="77777777" w:rsidR="00203F72" w:rsidRPr="00A53581" w:rsidRDefault="00203F72" w:rsidP="00D87D91">
            <w:r w:rsidRPr="00A53581">
              <w:t>民國</w:t>
            </w:r>
            <w:r w:rsidRPr="00A53581">
              <w:t>91</w:t>
            </w:r>
            <w:r w:rsidRPr="00A53581">
              <w:t>年</w:t>
            </w:r>
            <w:r w:rsidRPr="00A53581">
              <w:t>5</w:t>
            </w:r>
            <w:r w:rsidRPr="00A53581">
              <w:t>月</w:t>
            </w:r>
            <w:r w:rsidRPr="00A53581">
              <w:t>31</w:t>
            </w:r>
            <w:r w:rsidRPr="00A53581">
              <w:t>日</w:t>
            </w:r>
          </w:p>
        </w:tc>
        <w:tc>
          <w:tcPr>
            <w:tcW w:w="675" w:type="pct"/>
            <w:shd w:val="clear" w:color="auto" w:fill="auto"/>
          </w:tcPr>
          <w:p w14:paraId="5AF12B9E" w14:textId="77777777" w:rsidR="00203F72" w:rsidRPr="00A53581" w:rsidRDefault="00076467" w:rsidP="00D87D91">
            <w:hyperlink r:id="rId301" w:anchor="a2810" w:history="1">
              <w:r w:rsidR="003E43C4" w:rsidRPr="003E43C4">
                <w:rPr>
                  <w:rStyle w:val="a5"/>
                  <w:rFonts w:eastAsia="新細明體"/>
                </w:rPr>
                <w:t>第2810號</w:t>
              </w:r>
            </w:hyperlink>
            <w:r w:rsidR="00203F72" w:rsidRPr="00A53581">
              <w:t>就訴願為無實益之解釋違憲？</w:t>
            </w:r>
          </w:p>
        </w:tc>
        <w:tc>
          <w:tcPr>
            <w:tcW w:w="2787" w:type="pct"/>
            <w:shd w:val="clear" w:color="auto" w:fill="auto"/>
          </w:tcPr>
          <w:p w14:paraId="71232C14" w14:textId="77777777" w:rsidR="00203F72" w:rsidRPr="00A53581" w:rsidRDefault="00203F72" w:rsidP="00D87D91">
            <w:r w:rsidRPr="00A53581">
              <w:t>本院院字</w:t>
            </w:r>
            <w:hyperlink r:id="rId302" w:anchor="a2810" w:history="1">
              <w:r w:rsidRPr="003E43C4">
                <w:rPr>
                  <w:rStyle w:val="a5"/>
                  <w:rFonts w:eastAsia="新細明體"/>
                </w:rPr>
                <w:t>第2810號</w:t>
              </w:r>
            </w:hyperlink>
            <w:r w:rsidRPr="00A53581">
              <w:t>解釋：</w:t>
            </w:r>
            <w:r w:rsidRPr="00A53581">
              <w:rPr>
                <w:kern w:val="0"/>
              </w:rPr>
              <w:t>「依考試法舉行之考試，對於應考資格體格試驗，或檢覈經決定不及格者，此項決定，自屬行政處分。其處分違法或不當者，依訴願</w:t>
            </w:r>
            <w:r w:rsidR="004651E8" w:rsidRPr="000D79C4">
              <w:t>法</w:t>
            </w:r>
            <w:hyperlink r:id="rId303" w:anchor="a1" w:history="1">
              <w:r w:rsidR="004651E8" w:rsidRPr="000D79C4">
                <w:rPr>
                  <w:rStyle w:val="a5"/>
                </w:rPr>
                <w:t>第一條</w:t>
              </w:r>
            </w:hyperlink>
            <w:r w:rsidRPr="00A53581">
              <w:rPr>
                <w:kern w:val="0"/>
              </w:rPr>
              <w:t>之規定，應考人得提起訴願。惟為訴願決定時，已屬無法補救者，其訴願為無實益，應不受理，依訴願法</w:t>
            </w:r>
            <w:hyperlink r:id="rId304" w:anchor="a7" w:history="1">
              <w:r w:rsidR="007D50BB" w:rsidRPr="004A35C7">
                <w:rPr>
                  <w:rStyle w:val="a5"/>
                  <w:rFonts w:ascii="Times New Roman" w:hAnsi="Times New Roman"/>
                </w:rPr>
                <w:t>第七條</w:t>
              </w:r>
            </w:hyperlink>
            <w:r w:rsidRPr="004A35C7">
              <w:rPr>
                <w:kern w:val="0"/>
              </w:rPr>
              <w:t>應予駁回。」旨在闡釋提起行政爭訟，</w:t>
            </w:r>
            <w:r w:rsidRPr="00A53581">
              <w:rPr>
                <w:kern w:val="0"/>
              </w:rPr>
              <w:t>須其爭訟有權利保護必要，即具有爭訟之利益為前提，倘對於當事人被侵害之權利或法律上利益，縱經審議或審判之結果，亦無從補救，或無法回復其法律上之地位或其他利益者，即無進行爭訟而為實質審查之實益。惟所謂被侵害之權利或利益，經審議或審判結果，無從補救或無法回復者，並不包括依國家制度設計，性質上屬於重複發生之權利或法律上利益，人民因參與或分享，得反覆行使之情形。是人民申請為公職人員選舉候選人時，因主管機關認其資格與規定不合，而予以核駁，申請人不服提起行政爭訟，雖選舉已辦理完畢，但人民之被選舉權，既為憲法所保障，且性質上得反覆行使，若該項選舉制度繼續存在，則審議或審判結果對其參與另次選舉成為候選人資格之權利仍具實益者，並非無權利保護必要者可比，此類訴訟相關法院自應予以受理，本院上開解釋，應予補充。</w:t>
            </w:r>
          </w:p>
        </w:tc>
      </w:tr>
    </w:tbl>
    <w:p w14:paraId="6F9FDF3D" w14:textId="77777777" w:rsidR="00953151" w:rsidRPr="000D79C4" w:rsidRDefault="00B76D62" w:rsidP="00D87D91">
      <w:r w:rsidRPr="000D79C4">
        <w:t xml:space="preserve">　　</w:t>
      </w:r>
      <w:r w:rsidR="00203F72" w:rsidRPr="000D79C4">
        <w:t>本表格資料來源劉兆隆、林麗香、林宗達、柳金財、梁文興、陳朝政、葉怡君、蔡志昇</w:t>
      </w:r>
      <w:r w:rsidR="00203F72" w:rsidRPr="000D79C4">
        <w:t>(2011)</w:t>
      </w:r>
      <w:r w:rsidR="00203F72" w:rsidRPr="000D79C4">
        <w:t>，中華民國憲法綜論，新北市：晶典文化出版社，第</w:t>
      </w:r>
      <w:r w:rsidR="00203F72" w:rsidRPr="000D79C4">
        <w:t>181</w:t>
      </w:r>
      <w:r w:rsidR="00203F72" w:rsidRPr="000D79C4">
        <w:rPr>
          <w:rFonts w:hint="eastAsia"/>
        </w:rPr>
        <w:t>-</w:t>
      </w:r>
      <w:r w:rsidR="00203F72" w:rsidRPr="000D79C4">
        <w:t>183</w:t>
      </w:r>
      <w:r w:rsidR="00203F72" w:rsidRPr="000D79C4">
        <w:t>頁。</w:t>
      </w:r>
    </w:p>
    <w:p w14:paraId="634412AE" w14:textId="77777777" w:rsidR="00953151" w:rsidRPr="000D79C4" w:rsidRDefault="00B76D62" w:rsidP="00D87D91">
      <w:r w:rsidRPr="000D79C4">
        <w:t xml:space="preserve">　　</w:t>
      </w:r>
      <w:r w:rsidR="00203F72" w:rsidRPr="000D79C4">
        <w:t>依本憲法</w:t>
      </w:r>
      <w:hyperlink r:id="rId305" w:anchor="a130" w:history="1">
        <w:r w:rsidR="004A35C7" w:rsidRPr="004A35C7">
          <w:rPr>
            <w:rStyle w:val="a5"/>
          </w:rPr>
          <w:t>第130條</w:t>
        </w:r>
      </w:hyperlink>
      <w:r w:rsidR="00203F72" w:rsidRPr="000D79C4">
        <w:t>之規定：「中華民國國民年滿二十歲者，有依法選舉之權，除本憲法及法律別有規定者外，年滿二十三歲者，有依法被選舉之權」。故，選舉權應包含選舉與被選舉兩種。罷免權指公民對於選出來之民意代表或官員，認為其不適任，用投票取消其資格之權利。創制權指公民希望制定某個覺得頗佳之法案，得以投票之方式，直接制定法律，或依法定之人數，提出法案，要求立法機關修改、制定相關法律之權利。複決權指公民利用投票之方式，決定其是否同意憲法修改案或立法機關議決之法律草案</w:t>
      </w:r>
      <w:r w:rsidR="00203F72" w:rsidRPr="000D79C4">
        <w:footnoteReference w:id="53"/>
      </w:r>
      <w:r w:rsidR="00203F72" w:rsidRPr="000D79C4">
        <w:t>。依本</w:t>
      </w:r>
      <w:r w:rsidR="00203F72" w:rsidRPr="004A35C7">
        <w:t>憲法</w:t>
      </w:r>
      <w:hyperlink r:id="rId306" w:anchor="a136" w:history="1">
        <w:r w:rsidR="004A35C7" w:rsidRPr="004A35C7">
          <w:rPr>
            <w:rStyle w:val="a5"/>
          </w:rPr>
          <w:t>第136條</w:t>
        </w:r>
      </w:hyperlink>
      <w:r w:rsidR="00203F72" w:rsidRPr="004A35C7">
        <w:t>之規定：「創制複決兩權之行使，以法律定之」，我國為落實憲法主權在民之原則，</w:t>
      </w:r>
      <w:r w:rsidR="00203F72" w:rsidRPr="000D79C4">
        <w:t>確保國民直接民權之行使，特制定「</w:t>
      </w:r>
      <w:hyperlink r:id="rId307" w:history="1">
        <w:r w:rsidR="006E0E2F" w:rsidRPr="006E0E2F">
          <w:rPr>
            <w:rStyle w:val="a5"/>
            <w:rFonts w:ascii="Times New Roman" w:hAnsi="Times New Roman"/>
          </w:rPr>
          <w:t>公民投票法</w:t>
        </w:r>
      </w:hyperlink>
      <w:r w:rsidR="00203F72" w:rsidRPr="000D79C4">
        <w:t>」。</w:t>
      </w:r>
    </w:p>
    <w:p w14:paraId="458D903A" w14:textId="77777777" w:rsidR="00953151" w:rsidRDefault="00076467" w:rsidP="00767F37">
      <w:pPr>
        <w:pStyle w:val="2"/>
      </w:pPr>
      <w:hyperlink r:id="rId308" w:anchor="a18" w:history="1">
        <w:r w:rsidR="005D5A46">
          <w:rPr>
            <w:rStyle w:val="a5"/>
            <w:rFonts w:ascii="Arial Unicode MS" w:hAnsi="Arial Unicode MS"/>
          </w:rPr>
          <w:t>第</w:t>
        </w:r>
        <w:r w:rsidR="00203F72" w:rsidRPr="001B53A5">
          <w:rPr>
            <w:rStyle w:val="a5"/>
            <w:rFonts w:ascii="Arial Unicode MS" w:hAnsi="Arial Unicode MS"/>
          </w:rPr>
          <w:t>18</w:t>
        </w:r>
        <w:r w:rsidR="005D5A46">
          <w:rPr>
            <w:rStyle w:val="a5"/>
            <w:rFonts w:ascii="Arial Unicode MS" w:hAnsi="Arial Unicode MS"/>
          </w:rPr>
          <w:t>條</w:t>
        </w:r>
      </w:hyperlink>
      <w:r w:rsidR="00203F72" w:rsidRPr="00A53581">
        <w:t>人民有應考試服公職之權。</w:t>
      </w:r>
    </w:p>
    <w:p w14:paraId="62E2D3F0" w14:textId="77777777" w:rsidR="00953151" w:rsidRDefault="00B03E84" w:rsidP="00D87D91">
      <w:r>
        <w:t>【內容解析】</w:t>
      </w:r>
    </w:p>
    <w:p w14:paraId="32E99A58" w14:textId="77777777" w:rsidR="00953151" w:rsidRPr="000D79C4" w:rsidRDefault="00B76D62" w:rsidP="00D87D91">
      <w:r w:rsidRPr="000D79C4">
        <w:t xml:space="preserve">　　</w:t>
      </w:r>
      <w:r w:rsidR="00203F72" w:rsidRPr="000D79C4">
        <w:t>服公職係工作權之一，因此人民有服公職之意願時，應有公平、公正與公開之管道。本條屬於人民參與國家政治或治理之一種規定。考試指為選拔公務人員，政府機關所舉行之考試。另公職之定義，司法院釋字</w:t>
      </w:r>
      <w:hyperlink r:id="rId309" w:anchor="r42" w:history="1">
        <w:r w:rsidR="00203F72" w:rsidRPr="00AD6CFF">
          <w:rPr>
            <w:rStyle w:val="a5"/>
            <w:rFonts w:ascii="Times New Roman" w:hAnsi="Times New Roman"/>
          </w:rPr>
          <w:t>第</w:t>
        </w:r>
        <w:r w:rsidR="00203F72" w:rsidRPr="00AD6CFF">
          <w:rPr>
            <w:rStyle w:val="a5"/>
            <w:rFonts w:ascii="Times New Roman" w:hAnsi="Times New Roman"/>
          </w:rPr>
          <w:t>42</w:t>
        </w:r>
        <w:r w:rsidR="00203F72" w:rsidRPr="00AD6CFF">
          <w:rPr>
            <w:rStyle w:val="a5"/>
            <w:rFonts w:ascii="Times New Roman" w:hAnsi="Times New Roman"/>
          </w:rPr>
          <w:t>號</w:t>
        </w:r>
      </w:hyperlink>
      <w:r w:rsidR="00203F72" w:rsidRPr="000D79C4">
        <w:t>文指出：「憲法第</w:t>
      </w:r>
      <w:hyperlink r:id="rId310" w:anchor="a18" w:history="1">
        <w:r w:rsidR="00203F72" w:rsidRPr="00306E89">
          <w:rPr>
            <w:rStyle w:val="a5"/>
            <w:rFonts w:ascii="Times New Roman" w:hAnsi="Times New Roman"/>
          </w:rPr>
          <w:t>十八</w:t>
        </w:r>
      </w:hyperlink>
      <w:r w:rsidR="00203F72" w:rsidRPr="000D79C4">
        <w:t>條所稱之公職涵義甚廣，凡各級民意代表、中央與地方機關之公務員及其他依法令從事於公務者皆屬之。」另外，司法院釋</w:t>
      </w:r>
      <w:r w:rsidR="004A35C7" w:rsidRPr="00A53581">
        <w:rPr>
          <w:rFonts w:ascii="新細明體" w:hAnsi="新細明體"/>
        </w:rPr>
        <w:t>字</w:t>
      </w:r>
      <w:hyperlink r:id="rId311" w:anchor="r546" w:history="1">
        <w:r w:rsidR="004A35C7" w:rsidRPr="004A35C7">
          <w:rPr>
            <w:rStyle w:val="a5"/>
          </w:rPr>
          <w:t>第546號</w:t>
        </w:r>
      </w:hyperlink>
      <w:r w:rsidR="00203F72" w:rsidRPr="000D79C4">
        <w:t>解釋指出：「人民依憲法規定有應考試、服公職之權。其中應考試之權，係指具備一定資格之人民有報考國家所舉辦公務人員任用資格暨專門職業及技術人員執業資格考試之權利；服公職之權，則指人民享有擔任依法進用或選舉產生之各種公職、貢獻能力服務公眾之權利。」而依本憲</w:t>
      </w:r>
      <w:r w:rsidR="00306E89" w:rsidRPr="00515D85">
        <w:t>法</w:t>
      </w:r>
      <w:hyperlink r:id="rId312" w:anchor="a85" w:history="1">
        <w:r w:rsidR="00306E89" w:rsidRPr="00306E89">
          <w:rPr>
            <w:rStyle w:val="a5"/>
            <w:rFonts w:ascii="Times New Roman" w:hAnsi="Times New Roman"/>
          </w:rPr>
          <w:t>第</w:t>
        </w:r>
        <w:r w:rsidR="00306E89" w:rsidRPr="00306E89">
          <w:rPr>
            <w:rStyle w:val="a5"/>
            <w:rFonts w:ascii="Times New Roman" w:hAnsi="Times New Roman"/>
          </w:rPr>
          <w:t>85</w:t>
        </w:r>
        <w:r w:rsidR="00306E89" w:rsidRPr="00306E89">
          <w:rPr>
            <w:rStyle w:val="a5"/>
            <w:rFonts w:ascii="Times New Roman" w:hAnsi="Times New Roman"/>
          </w:rPr>
          <w:t>條</w:t>
        </w:r>
      </w:hyperlink>
      <w:r w:rsidR="00203F72" w:rsidRPr="000D79C4">
        <w:t>之規定：「公務人員之選拔，應實行公開競爭之考試制度，</w:t>
      </w:r>
      <w:r w:rsidR="00203F72" w:rsidRPr="000D79C4">
        <w:t>…</w:t>
      </w:r>
      <w:r w:rsidR="00203F72" w:rsidRPr="000D79C4">
        <w:t>非經考試及格者，不得任用」。</w:t>
      </w:r>
    </w:p>
    <w:p w14:paraId="46D2FAFC" w14:textId="77777777" w:rsidR="00953151" w:rsidRPr="000D79C4" w:rsidRDefault="00B76D62" w:rsidP="00D87D91">
      <w:r w:rsidRPr="000D79C4">
        <w:t xml:space="preserve">　　</w:t>
      </w:r>
      <w:r w:rsidR="00203F72" w:rsidRPr="000D79C4">
        <w:t>司法院釋</w:t>
      </w:r>
      <w:r w:rsidR="00306E89" w:rsidRPr="00686D2C">
        <w:t>字</w:t>
      </w:r>
      <w:hyperlink r:id="rId313" w:anchor="r682" w:history="1">
        <w:r w:rsidR="00306E89" w:rsidRPr="00306E89">
          <w:rPr>
            <w:rStyle w:val="a5"/>
            <w:rFonts w:ascii="Times New Roman" w:hAnsi="Times New Roman"/>
          </w:rPr>
          <w:t>第</w:t>
        </w:r>
        <w:r w:rsidR="00306E89" w:rsidRPr="00306E89">
          <w:rPr>
            <w:rStyle w:val="a5"/>
            <w:rFonts w:ascii="Times New Roman" w:hAnsi="Times New Roman"/>
          </w:rPr>
          <w:t>682</w:t>
        </w:r>
        <w:r w:rsidR="00306E89" w:rsidRPr="00306E89">
          <w:rPr>
            <w:rStyle w:val="a5"/>
            <w:rFonts w:ascii="Times New Roman" w:hAnsi="Times New Roman"/>
          </w:rPr>
          <w:t>號</w:t>
        </w:r>
      </w:hyperlink>
      <w:r w:rsidR="00203F72" w:rsidRPr="000D79C4">
        <w:t>解釋認為：「憲法</w:t>
      </w:r>
      <w:r w:rsidR="00306E89" w:rsidRPr="000D79C4">
        <w:t>第</w:t>
      </w:r>
      <w:hyperlink r:id="rId314" w:anchor="a18" w:history="1">
        <w:r w:rsidR="00306E89" w:rsidRPr="00306E89">
          <w:rPr>
            <w:rStyle w:val="a5"/>
            <w:rFonts w:ascii="Times New Roman" w:hAnsi="Times New Roman"/>
          </w:rPr>
          <w:t>十八</w:t>
        </w:r>
      </w:hyperlink>
      <w:r w:rsidR="00306E89" w:rsidRPr="000D79C4">
        <w:t>條</w:t>
      </w:r>
      <w:r w:rsidR="00203F72" w:rsidRPr="000D79C4">
        <w:t>對人民應考試權之規定，除保障人民參加考試取得公務人員任用資格之權利外，亦包含人民參加考試取得專門職業及技術人員執業資格之權利，以符憲法保障人民工作權之意旨。又為實踐憲法保障人民應考試權之意旨，國家須設有客觀公平之考試制度，並確保整體考試結果之公正。對於參加考試資格或考試方法之規定，性質上如屬應考試權及工作權之限制，自應符合法律保留原則、比例原則及平等權保障等憲法原則。」人民應考試、服公職之權利，除了是人民工作權之保障，也有為國舉才之意義，故國家須設有客觀公平之考試制度，並確保整體考試結果之公正。如果，對於參加考試資格或考試方法之規定，性質上屬於應考試權及工作權之限制，應符合法律保留原則、比例原則及平等權保障等憲法原則始可。</w:t>
      </w:r>
    </w:p>
    <w:p w14:paraId="26F3674C" w14:textId="77777777" w:rsidR="00953151" w:rsidRDefault="00076467" w:rsidP="00767F37">
      <w:pPr>
        <w:pStyle w:val="2"/>
      </w:pPr>
      <w:hyperlink r:id="rId315" w:anchor="a19" w:history="1">
        <w:r w:rsidR="005D5A46">
          <w:rPr>
            <w:rStyle w:val="a5"/>
            <w:rFonts w:ascii="Arial Unicode MS" w:hAnsi="Arial Unicode MS"/>
          </w:rPr>
          <w:t>第</w:t>
        </w:r>
        <w:r w:rsidR="00203F72" w:rsidRPr="001B53A5">
          <w:rPr>
            <w:rStyle w:val="a5"/>
            <w:rFonts w:ascii="Arial Unicode MS" w:hAnsi="Arial Unicode MS"/>
          </w:rPr>
          <w:t>19</w:t>
        </w:r>
        <w:r w:rsidR="005D5A46">
          <w:rPr>
            <w:rStyle w:val="a5"/>
            <w:rFonts w:ascii="Arial Unicode MS" w:hAnsi="Arial Unicode MS"/>
          </w:rPr>
          <w:t>條</w:t>
        </w:r>
      </w:hyperlink>
      <w:r w:rsidR="00203F72" w:rsidRPr="00A53581">
        <w:t>人民有依法律納稅之義務。</w:t>
      </w:r>
    </w:p>
    <w:p w14:paraId="62CE889A" w14:textId="77777777" w:rsidR="00953151" w:rsidRPr="00C454F8" w:rsidRDefault="00B03E84" w:rsidP="00D87D91">
      <w:r w:rsidRPr="00C454F8">
        <w:t>【內容解析】</w:t>
      </w:r>
    </w:p>
    <w:p w14:paraId="285B6C6A" w14:textId="77777777" w:rsidR="00953151" w:rsidRPr="00C454F8" w:rsidRDefault="00B76D62" w:rsidP="00D87D91">
      <w:r w:rsidRPr="00C454F8">
        <w:t xml:space="preserve">　　</w:t>
      </w:r>
      <w:r w:rsidR="00203F72" w:rsidRPr="00C454F8">
        <w:t>憲法規定人民之義務有三，包括納稅、服兵役、受國民教育。此條規定人民需納稅之義務，凡國家建設，社會秩序之維護，政府機關運作，都需要靠人民納稅，故為謀國家富強，人民安樂，人民需依法律規定納稅，人民如不依法納稅，國家得依規定處罰。</w:t>
      </w:r>
    </w:p>
    <w:p w14:paraId="565AEAA2" w14:textId="77777777" w:rsidR="00C454F8" w:rsidRDefault="00C454F8" w:rsidP="00D87D91"/>
    <w:p w14:paraId="78E837AB" w14:textId="5E763405" w:rsidR="00203F72" w:rsidRPr="00C454F8" w:rsidRDefault="00B03E84" w:rsidP="00D87D91">
      <w:r w:rsidRPr="00C454F8">
        <w:t>【</w:t>
      </w:r>
      <w:r w:rsidRPr="00C454F8">
        <w:t>table</w:t>
      </w:r>
      <w:r w:rsidR="005E23E3" w:rsidRPr="00C454F8">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15</w:t>
      </w:r>
      <w:r w:rsidR="00076467">
        <w:rPr>
          <w:noProof/>
        </w:rPr>
        <w:fldChar w:fldCharType="end"/>
      </w:r>
      <w:r w:rsidR="00203F72" w:rsidRPr="00C454F8">
        <w:t>我國憲法有關權利與義務之規範內涵一覽表</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
        <w:gridCol w:w="2674"/>
        <w:gridCol w:w="3390"/>
      </w:tblGrid>
      <w:tr w:rsidR="00203F72" w:rsidRPr="00A53581" w14:paraId="1EE91B2D" w14:textId="77777777" w:rsidTr="00203F72">
        <w:tc>
          <w:tcPr>
            <w:tcW w:w="705" w:type="pct"/>
            <w:vMerge w:val="restart"/>
            <w:shd w:val="clear" w:color="auto" w:fill="auto"/>
          </w:tcPr>
          <w:p w14:paraId="7FAC8DC2" w14:textId="77777777" w:rsidR="00203F72" w:rsidRPr="00A53581" w:rsidRDefault="00203F72" w:rsidP="00D87D91">
            <w:r w:rsidRPr="00A53581">
              <w:t>權利</w:t>
            </w:r>
          </w:p>
        </w:tc>
        <w:tc>
          <w:tcPr>
            <w:tcW w:w="528" w:type="pct"/>
            <w:shd w:val="clear" w:color="auto" w:fill="auto"/>
          </w:tcPr>
          <w:p w14:paraId="19C74862" w14:textId="77777777" w:rsidR="00203F72" w:rsidRPr="00A53581" w:rsidRDefault="00203F72" w:rsidP="00D87D91">
            <w:r w:rsidRPr="00A53581">
              <w:t>平等權</w:t>
            </w:r>
          </w:p>
        </w:tc>
        <w:tc>
          <w:tcPr>
            <w:tcW w:w="3767" w:type="pct"/>
            <w:gridSpan w:val="2"/>
            <w:shd w:val="clear" w:color="auto" w:fill="auto"/>
          </w:tcPr>
          <w:p w14:paraId="0D30A9A7" w14:textId="77777777" w:rsidR="00203F72" w:rsidRPr="00A53581" w:rsidRDefault="00203F72" w:rsidP="00D87D91">
            <w:r w:rsidRPr="00A53581">
              <w:rPr>
                <w:rFonts w:hint="eastAsia"/>
              </w:rPr>
              <w:t>中華民國人民，無分男女、宗教、種族、階級、黨派，在法律上一律平等</w:t>
            </w:r>
            <w:r w:rsidRPr="00A53581">
              <w:rPr>
                <w:rFonts w:hint="eastAsia"/>
                <w:kern w:val="0"/>
              </w:rPr>
              <w:t>。</w:t>
            </w:r>
          </w:p>
        </w:tc>
      </w:tr>
      <w:tr w:rsidR="00203F72" w:rsidRPr="00A53581" w14:paraId="2627C2B0" w14:textId="77777777" w:rsidTr="00203F72">
        <w:tc>
          <w:tcPr>
            <w:tcW w:w="705" w:type="pct"/>
            <w:vMerge/>
            <w:shd w:val="clear" w:color="auto" w:fill="auto"/>
          </w:tcPr>
          <w:p w14:paraId="6FC446F7" w14:textId="77777777" w:rsidR="00203F72" w:rsidRPr="00A53581" w:rsidRDefault="00203F72" w:rsidP="00D87D91"/>
        </w:tc>
        <w:tc>
          <w:tcPr>
            <w:tcW w:w="528" w:type="pct"/>
            <w:shd w:val="clear" w:color="auto" w:fill="auto"/>
          </w:tcPr>
          <w:p w14:paraId="57E365B8" w14:textId="77777777" w:rsidR="00203F72" w:rsidRPr="00A53581" w:rsidRDefault="00203F72" w:rsidP="00D87D91">
            <w:r w:rsidRPr="00A53581">
              <w:t>自由權</w:t>
            </w:r>
          </w:p>
        </w:tc>
        <w:tc>
          <w:tcPr>
            <w:tcW w:w="3767" w:type="pct"/>
            <w:gridSpan w:val="2"/>
            <w:shd w:val="clear" w:color="auto" w:fill="auto"/>
          </w:tcPr>
          <w:p w14:paraId="49C22493" w14:textId="77777777" w:rsidR="00203F72" w:rsidRPr="00A53581" w:rsidRDefault="003E43C4" w:rsidP="00D87D91">
            <w:r>
              <w:rPr>
                <w:rFonts w:hint="eastAsia"/>
              </w:rPr>
              <w:t xml:space="preserve">　　</w:t>
            </w:r>
            <w:r w:rsidR="00203F72" w:rsidRPr="00A53581">
              <w:rPr>
                <w:rFonts w:hint="eastAsia"/>
              </w:rPr>
              <w:t>1.</w:t>
            </w:r>
            <w:r w:rsidR="00203F72" w:rsidRPr="00A53581">
              <w:rPr>
                <w:rFonts w:hint="eastAsia"/>
              </w:rPr>
              <w:t>人身自由：</w:t>
            </w:r>
          </w:p>
          <w:p w14:paraId="38020859" w14:textId="77777777" w:rsidR="00203F72" w:rsidRPr="00A53581" w:rsidRDefault="003E43C4" w:rsidP="00D87D91">
            <w:r>
              <w:rPr>
                <w:rFonts w:hint="eastAsia"/>
              </w:rPr>
              <w:t xml:space="preserve">　　</w:t>
            </w:r>
            <w:r w:rsidR="00203F72" w:rsidRPr="00A53581">
              <w:rPr>
                <w:rFonts w:hint="eastAsia"/>
              </w:rPr>
              <w:t>(1)</w:t>
            </w:r>
            <w:r w:rsidR="00203F72" w:rsidRPr="00A53581">
              <w:rPr>
                <w:rFonts w:hint="eastAsia"/>
              </w:rPr>
              <w:t>除現行犯外，非經司法或警察機關依法定程序，不得逮捕拘禁。非由法院依法定程序，不得審問處罰。非法程序之捕、拘、審、罰得拒絕之。</w:t>
            </w:r>
          </w:p>
          <w:p w14:paraId="41071C38" w14:textId="77777777" w:rsidR="00203F72" w:rsidRPr="00A53581" w:rsidRDefault="003E43C4" w:rsidP="00D87D91">
            <w:r>
              <w:rPr>
                <w:rFonts w:hint="eastAsia"/>
              </w:rPr>
              <w:t xml:space="preserve">　　</w:t>
            </w:r>
            <w:r w:rsidR="00203F72" w:rsidRPr="00A53581">
              <w:rPr>
                <w:rFonts w:hint="eastAsia"/>
              </w:rPr>
              <w:t>(2)</w:t>
            </w:r>
            <w:r w:rsidR="00203F72" w:rsidRPr="00A53581">
              <w:rPr>
                <w:rFonts w:hint="eastAsia"/>
              </w:rPr>
              <w:t>人民因犯罪嫌疑被逮捕拘禁時，應將逮捕拘禁原因以書面告知本人及其本人指定之親友，並至遲於</w:t>
            </w:r>
            <w:r w:rsidR="00203F72" w:rsidRPr="00A53581">
              <w:rPr>
                <w:rFonts w:hint="eastAsia"/>
              </w:rPr>
              <w:t>24</w:t>
            </w:r>
            <w:r w:rsidR="00203F72" w:rsidRPr="00A53581">
              <w:rPr>
                <w:rFonts w:hint="eastAsia"/>
              </w:rPr>
              <w:t>小時內移送該管法院審問或經聲請該管法院向逮捕之機關提審。</w:t>
            </w:r>
          </w:p>
          <w:p w14:paraId="48D25AAC" w14:textId="77777777" w:rsidR="00203F72" w:rsidRPr="00A53581" w:rsidRDefault="003E43C4" w:rsidP="00D87D91">
            <w:r>
              <w:rPr>
                <w:rFonts w:hint="eastAsia"/>
              </w:rPr>
              <w:t xml:space="preserve">　　</w:t>
            </w:r>
            <w:r w:rsidR="00203F72" w:rsidRPr="00A53581">
              <w:rPr>
                <w:rFonts w:hint="eastAsia"/>
              </w:rPr>
              <w:t>(3)</w:t>
            </w:r>
            <w:r w:rsidR="00203F72" w:rsidRPr="00A53581">
              <w:rPr>
                <w:rFonts w:hint="eastAsia"/>
              </w:rPr>
              <w:t>法院對於前項聲請，不得拒絕，並不得先令逮捕拘禁之機關查覆。逮捕拘禁之機關對於法院之提審，不得拒絕或遲延。</w:t>
            </w:r>
          </w:p>
          <w:p w14:paraId="48ED5984" w14:textId="77777777" w:rsidR="00203F72" w:rsidRPr="00A53581" w:rsidRDefault="003E43C4" w:rsidP="00D87D91">
            <w:r>
              <w:rPr>
                <w:rFonts w:hint="eastAsia"/>
              </w:rPr>
              <w:t xml:space="preserve">　　</w:t>
            </w:r>
            <w:r w:rsidR="00203F72" w:rsidRPr="00A53581">
              <w:rPr>
                <w:rFonts w:hint="eastAsia"/>
              </w:rPr>
              <w:t>(4)</w:t>
            </w:r>
            <w:r w:rsidR="00203F72" w:rsidRPr="00A53581">
              <w:rPr>
                <w:rFonts w:hint="eastAsia"/>
              </w:rPr>
              <w:t>人民遭受任何機關非法逮捕拘禁時，其本人或他人得向法院聲請追究，法院不得拒絕，並應於</w:t>
            </w:r>
            <w:r w:rsidR="00203F72" w:rsidRPr="00A53581">
              <w:rPr>
                <w:rFonts w:hint="eastAsia"/>
              </w:rPr>
              <w:t>24</w:t>
            </w:r>
            <w:r w:rsidR="00203F72" w:rsidRPr="00A53581">
              <w:rPr>
                <w:rFonts w:hint="eastAsia"/>
              </w:rPr>
              <w:t>小時內向逮捕拘禁之機關追究，依法處理。</w:t>
            </w:r>
          </w:p>
          <w:p w14:paraId="548FFF68" w14:textId="77777777" w:rsidR="00203F72" w:rsidRPr="00A53581" w:rsidRDefault="003E43C4" w:rsidP="00D87D91">
            <w:r>
              <w:rPr>
                <w:rFonts w:hint="eastAsia"/>
              </w:rPr>
              <w:t xml:space="preserve">　　</w:t>
            </w:r>
            <w:r w:rsidR="00203F72" w:rsidRPr="00A53581">
              <w:rPr>
                <w:rFonts w:hint="eastAsia"/>
              </w:rPr>
              <w:t>(5)</w:t>
            </w:r>
            <w:r w:rsidR="00203F72" w:rsidRPr="00A53581">
              <w:rPr>
                <w:rFonts w:hint="eastAsia"/>
              </w:rPr>
              <w:t>人民除現役軍人外，不受軍事審判。</w:t>
            </w:r>
          </w:p>
          <w:p w14:paraId="33462C8C" w14:textId="77777777" w:rsidR="00203F72" w:rsidRPr="00A53581" w:rsidRDefault="003E43C4" w:rsidP="00D87D91">
            <w:r>
              <w:rPr>
                <w:rFonts w:hint="eastAsia"/>
              </w:rPr>
              <w:t xml:space="preserve">　　</w:t>
            </w:r>
            <w:r w:rsidR="00203F72" w:rsidRPr="00A53581">
              <w:rPr>
                <w:rFonts w:hint="eastAsia"/>
              </w:rPr>
              <w:t>2.</w:t>
            </w:r>
            <w:r w:rsidR="00203F72" w:rsidRPr="00A53581">
              <w:rPr>
                <w:rFonts w:hint="eastAsia"/>
              </w:rPr>
              <w:t>居住、遷徙、言論、講學、著作、出版、秘密通訊、信仰宗教、集會及結社自由</w:t>
            </w:r>
            <w:r w:rsidR="00203F72" w:rsidRPr="00A53581">
              <w:rPr>
                <w:rFonts w:hint="eastAsia"/>
                <w:kern w:val="0"/>
              </w:rPr>
              <w:t>。</w:t>
            </w:r>
          </w:p>
        </w:tc>
      </w:tr>
      <w:tr w:rsidR="00203F72" w:rsidRPr="00A53581" w14:paraId="74A83877" w14:textId="77777777" w:rsidTr="00203F72">
        <w:tc>
          <w:tcPr>
            <w:tcW w:w="705" w:type="pct"/>
            <w:vMerge/>
            <w:shd w:val="clear" w:color="auto" w:fill="auto"/>
          </w:tcPr>
          <w:p w14:paraId="5E64ACE2" w14:textId="77777777" w:rsidR="00203F72" w:rsidRPr="00A53581" w:rsidRDefault="00203F72" w:rsidP="00D87D91"/>
        </w:tc>
        <w:tc>
          <w:tcPr>
            <w:tcW w:w="528" w:type="pct"/>
            <w:shd w:val="clear" w:color="auto" w:fill="auto"/>
          </w:tcPr>
          <w:p w14:paraId="574936DD" w14:textId="77777777" w:rsidR="00203F72" w:rsidRPr="00A53581" w:rsidRDefault="00203F72" w:rsidP="00D87D91">
            <w:r w:rsidRPr="00A53581">
              <w:t>受益權</w:t>
            </w:r>
          </w:p>
        </w:tc>
        <w:tc>
          <w:tcPr>
            <w:tcW w:w="3767" w:type="pct"/>
            <w:gridSpan w:val="2"/>
            <w:shd w:val="clear" w:color="auto" w:fill="auto"/>
          </w:tcPr>
          <w:p w14:paraId="2ECA912E" w14:textId="77777777" w:rsidR="00203F72" w:rsidRPr="003E43C4" w:rsidRDefault="003E43C4" w:rsidP="00D87D91">
            <w:pPr>
              <w:rPr>
                <w:kern w:val="0"/>
              </w:rPr>
            </w:pPr>
            <w:r>
              <w:rPr>
                <w:rFonts w:hint="eastAsia"/>
              </w:rPr>
              <w:t xml:space="preserve">　　</w:t>
            </w:r>
            <w:r w:rsidRPr="003E43C4">
              <w:rPr>
                <w:rFonts w:hint="eastAsia"/>
              </w:rPr>
              <w:t>1</w:t>
            </w:r>
            <w:r w:rsidRPr="003E43C4">
              <w:rPr>
                <w:rFonts w:hint="eastAsia"/>
              </w:rPr>
              <w:t>、</w:t>
            </w:r>
            <w:r w:rsidR="00203F72" w:rsidRPr="003E43C4">
              <w:rPr>
                <w:rFonts w:hint="eastAsia"/>
              </w:rPr>
              <w:t>經濟上：保障生存權、工作權及財產權</w:t>
            </w:r>
            <w:r w:rsidR="00203F72" w:rsidRPr="003E43C4">
              <w:rPr>
                <w:rFonts w:hint="eastAsia"/>
                <w:kern w:val="0"/>
              </w:rPr>
              <w:t>。</w:t>
            </w:r>
          </w:p>
          <w:p w14:paraId="2C3063D5" w14:textId="77777777" w:rsidR="00203F72" w:rsidRPr="003E43C4" w:rsidRDefault="003E43C4" w:rsidP="00D87D91">
            <w:r>
              <w:rPr>
                <w:rFonts w:hint="eastAsia"/>
              </w:rPr>
              <w:t xml:space="preserve">　　</w:t>
            </w:r>
            <w:r w:rsidRPr="003E43C4">
              <w:rPr>
                <w:rFonts w:hint="eastAsia"/>
              </w:rPr>
              <w:t>2</w:t>
            </w:r>
            <w:r w:rsidRPr="003E43C4">
              <w:rPr>
                <w:rFonts w:hint="eastAsia"/>
              </w:rPr>
              <w:t>、</w:t>
            </w:r>
            <w:r w:rsidR="00203F72" w:rsidRPr="003E43C4">
              <w:rPr>
                <w:rFonts w:hint="eastAsia"/>
              </w:rPr>
              <w:t>行政上：有請願、訴願之權</w:t>
            </w:r>
            <w:r w:rsidR="00203F72" w:rsidRPr="003E43C4">
              <w:rPr>
                <w:rFonts w:hint="eastAsia"/>
                <w:kern w:val="0"/>
              </w:rPr>
              <w:t>。</w:t>
            </w:r>
          </w:p>
          <w:p w14:paraId="5772BF37" w14:textId="77777777" w:rsidR="00203F72" w:rsidRPr="003E43C4" w:rsidRDefault="003E43C4" w:rsidP="00D87D91">
            <w:r>
              <w:rPr>
                <w:rFonts w:hint="eastAsia"/>
              </w:rPr>
              <w:t xml:space="preserve">　　</w:t>
            </w:r>
            <w:r w:rsidRPr="003E43C4">
              <w:rPr>
                <w:rFonts w:hint="eastAsia"/>
              </w:rPr>
              <w:t>3</w:t>
            </w:r>
            <w:r w:rsidRPr="003E43C4">
              <w:rPr>
                <w:rFonts w:hint="eastAsia"/>
              </w:rPr>
              <w:t>、</w:t>
            </w:r>
            <w:r w:rsidR="00203F72" w:rsidRPr="003E43C4">
              <w:rPr>
                <w:rFonts w:hint="eastAsia"/>
              </w:rPr>
              <w:t>司法上：有訴訟之權。</w:t>
            </w:r>
          </w:p>
          <w:p w14:paraId="681E7CD7" w14:textId="77777777" w:rsidR="00203F72" w:rsidRPr="003E43C4" w:rsidRDefault="003E43C4" w:rsidP="00D87D91">
            <w:r>
              <w:rPr>
                <w:rFonts w:hint="eastAsia"/>
              </w:rPr>
              <w:t xml:space="preserve">　　</w:t>
            </w:r>
            <w:r w:rsidRPr="003E43C4">
              <w:rPr>
                <w:rFonts w:hint="eastAsia"/>
              </w:rPr>
              <w:t>4</w:t>
            </w:r>
            <w:r w:rsidRPr="003E43C4">
              <w:rPr>
                <w:rFonts w:hint="eastAsia"/>
              </w:rPr>
              <w:t>、</w:t>
            </w:r>
            <w:r w:rsidR="00203F72" w:rsidRPr="003E43C4">
              <w:rPr>
                <w:rFonts w:hint="eastAsia"/>
              </w:rPr>
              <w:t>教育上：有受國民教育之權利。</w:t>
            </w:r>
          </w:p>
        </w:tc>
      </w:tr>
      <w:tr w:rsidR="00203F72" w:rsidRPr="00A53581" w14:paraId="134DCFC4" w14:textId="77777777" w:rsidTr="00203F72">
        <w:tc>
          <w:tcPr>
            <w:tcW w:w="705" w:type="pct"/>
            <w:vMerge/>
            <w:shd w:val="clear" w:color="auto" w:fill="auto"/>
          </w:tcPr>
          <w:p w14:paraId="748B30CD" w14:textId="77777777" w:rsidR="00203F72" w:rsidRPr="00A53581" w:rsidRDefault="00203F72" w:rsidP="00D87D91"/>
        </w:tc>
        <w:tc>
          <w:tcPr>
            <w:tcW w:w="528" w:type="pct"/>
            <w:shd w:val="clear" w:color="auto" w:fill="auto"/>
          </w:tcPr>
          <w:p w14:paraId="1ADC272E" w14:textId="77777777" w:rsidR="00203F72" w:rsidRPr="00A53581" w:rsidRDefault="00203F72" w:rsidP="00D87D91">
            <w:r w:rsidRPr="00A53581">
              <w:t>參政權</w:t>
            </w:r>
          </w:p>
        </w:tc>
        <w:tc>
          <w:tcPr>
            <w:tcW w:w="3767" w:type="pct"/>
            <w:gridSpan w:val="2"/>
            <w:shd w:val="clear" w:color="auto" w:fill="auto"/>
          </w:tcPr>
          <w:p w14:paraId="0AD7C92F" w14:textId="77777777" w:rsidR="00203F72" w:rsidRPr="00A53581" w:rsidRDefault="00203F72" w:rsidP="00D87D91">
            <w:r w:rsidRPr="00A53581">
              <w:rPr>
                <w:rFonts w:hint="eastAsia"/>
              </w:rPr>
              <w:t>選舉、罷免、創制、複決、應考試及服公職之權</w:t>
            </w:r>
            <w:r w:rsidRPr="00A53581">
              <w:rPr>
                <w:rFonts w:hint="eastAsia"/>
                <w:kern w:val="0"/>
              </w:rPr>
              <w:t>。</w:t>
            </w:r>
          </w:p>
        </w:tc>
      </w:tr>
      <w:tr w:rsidR="00203F72" w:rsidRPr="00A53581" w14:paraId="27E8244B" w14:textId="77777777" w:rsidTr="00203F72">
        <w:tc>
          <w:tcPr>
            <w:tcW w:w="705" w:type="pct"/>
            <w:vMerge/>
            <w:shd w:val="clear" w:color="auto" w:fill="auto"/>
          </w:tcPr>
          <w:p w14:paraId="2B2854D1" w14:textId="77777777" w:rsidR="00203F72" w:rsidRPr="00A53581" w:rsidRDefault="00203F72" w:rsidP="00D87D91"/>
        </w:tc>
        <w:tc>
          <w:tcPr>
            <w:tcW w:w="4295" w:type="pct"/>
            <w:gridSpan w:val="3"/>
            <w:shd w:val="clear" w:color="auto" w:fill="auto"/>
          </w:tcPr>
          <w:p w14:paraId="454A9BC2" w14:textId="77777777" w:rsidR="00203F72" w:rsidRPr="00A53581" w:rsidRDefault="003E43C4" w:rsidP="00D87D91">
            <w:r>
              <w:t xml:space="preserve">　　</w:t>
            </w:r>
            <w:r w:rsidR="00203F72" w:rsidRPr="00A53581">
              <w:t>1.</w:t>
            </w:r>
            <w:r w:rsidR="00203F72" w:rsidRPr="00A53581">
              <w:rPr>
                <w:rFonts w:hint="eastAsia"/>
              </w:rPr>
              <w:t>權利之保障：不妨害社會秩序、公共利益，均受憲法之保障</w:t>
            </w:r>
            <w:r w:rsidR="00203F72" w:rsidRPr="00A53581">
              <w:rPr>
                <w:rFonts w:hint="eastAsia"/>
                <w:kern w:val="0"/>
              </w:rPr>
              <w:t>。</w:t>
            </w:r>
          </w:p>
          <w:p w14:paraId="5A464667" w14:textId="77777777" w:rsidR="00203F72" w:rsidRPr="00A53581" w:rsidRDefault="003E43C4" w:rsidP="00D87D91">
            <w:r>
              <w:t xml:space="preserve">　　</w:t>
            </w:r>
            <w:r w:rsidR="00203F72" w:rsidRPr="00A53581">
              <w:t>2.</w:t>
            </w:r>
            <w:r w:rsidR="00203F72" w:rsidRPr="00A53581">
              <w:rPr>
                <w:rFonts w:hint="eastAsia"/>
              </w:rPr>
              <w:t>權利之限制：除為防止妨礙他人自由、避免緊急危難、維持社會秩序或增進公共利益所必要外，不得以法律限制之</w:t>
            </w:r>
            <w:r w:rsidR="00203F72" w:rsidRPr="00A53581">
              <w:rPr>
                <w:rFonts w:hint="eastAsia"/>
                <w:kern w:val="0"/>
              </w:rPr>
              <w:t>。</w:t>
            </w:r>
          </w:p>
          <w:p w14:paraId="5507D0F5" w14:textId="77777777" w:rsidR="00203F72" w:rsidRPr="00A53581" w:rsidRDefault="003E43C4" w:rsidP="00D87D91">
            <w:r>
              <w:t xml:space="preserve">　　</w:t>
            </w:r>
            <w:r w:rsidR="00203F72" w:rsidRPr="00A53581">
              <w:t>3.</w:t>
            </w:r>
            <w:r w:rsidR="00203F72" w:rsidRPr="00A53581">
              <w:rPr>
                <w:rFonts w:hint="eastAsia"/>
              </w:rPr>
              <w:t>權利之救濟：公務員違法侵害人民之自由或權利者，依法律受懲戒、負刑、民事責任</w:t>
            </w:r>
            <w:r w:rsidR="00203F72" w:rsidRPr="00A53581">
              <w:rPr>
                <w:rFonts w:hint="eastAsia"/>
                <w:kern w:val="0"/>
              </w:rPr>
              <w:t>。被害人民得向國家請求賠償。</w:t>
            </w:r>
          </w:p>
        </w:tc>
      </w:tr>
      <w:tr w:rsidR="00203F72" w:rsidRPr="00A53581" w14:paraId="5689D6EA" w14:textId="77777777" w:rsidTr="00203F72">
        <w:tc>
          <w:tcPr>
            <w:tcW w:w="705" w:type="pct"/>
            <w:shd w:val="clear" w:color="auto" w:fill="auto"/>
          </w:tcPr>
          <w:p w14:paraId="0FC50A32" w14:textId="77777777" w:rsidR="00203F72" w:rsidRPr="00A53581" w:rsidRDefault="00203F72" w:rsidP="00D87D91">
            <w:r w:rsidRPr="00A53581">
              <w:t>義務</w:t>
            </w:r>
          </w:p>
        </w:tc>
        <w:tc>
          <w:tcPr>
            <w:tcW w:w="2189" w:type="pct"/>
            <w:gridSpan w:val="2"/>
            <w:shd w:val="clear" w:color="auto" w:fill="auto"/>
          </w:tcPr>
          <w:p w14:paraId="1524D571" w14:textId="77777777" w:rsidR="00203F72" w:rsidRPr="00A53581" w:rsidRDefault="003E43C4" w:rsidP="00D87D91">
            <w:r>
              <w:rPr>
                <w:rFonts w:hint="eastAsia"/>
              </w:rPr>
              <w:t xml:space="preserve">　　</w:t>
            </w:r>
            <w:r w:rsidR="00203F72" w:rsidRPr="00A53581">
              <w:rPr>
                <w:rFonts w:hint="eastAsia"/>
              </w:rPr>
              <w:t>1.</w:t>
            </w:r>
            <w:r w:rsidR="00203F72" w:rsidRPr="00A53581">
              <w:t>納</w:t>
            </w:r>
            <w:r w:rsidR="00203F72" w:rsidRPr="00A53581">
              <w:rPr>
                <w:rFonts w:hint="eastAsia"/>
              </w:rPr>
              <w:t>稅：人民有依法律納稅之義務</w:t>
            </w:r>
            <w:r w:rsidR="00203F72" w:rsidRPr="00A53581">
              <w:rPr>
                <w:rFonts w:hint="eastAsia"/>
                <w:kern w:val="0"/>
              </w:rPr>
              <w:t>。</w:t>
            </w:r>
          </w:p>
          <w:p w14:paraId="411D0925" w14:textId="77777777" w:rsidR="00203F72" w:rsidRPr="00A53581" w:rsidRDefault="003E43C4" w:rsidP="00D87D91">
            <w:r>
              <w:t xml:space="preserve">　　</w:t>
            </w:r>
            <w:r w:rsidR="00203F72" w:rsidRPr="00A53581">
              <w:t>2.</w:t>
            </w:r>
            <w:r w:rsidR="00203F72" w:rsidRPr="00A53581">
              <w:rPr>
                <w:rFonts w:hint="eastAsia"/>
              </w:rPr>
              <w:t>服兵役：人民有依法律服兵役之義務</w:t>
            </w:r>
            <w:r w:rsidR="00203F72" w:rsidRPr="00A53581">
              <w:rPr>
                <w:rFonts w:hint="eastAsia"/>
                <w:kern w:val="0"/>
              </w:rPr>
              <w:t>。</w:t>
            </w:r>
          </w:p>
          <w:p w14:paraId="11F4BA05" w14:textId="77777777" w:rsidR="00203F72" w:rsidRPr="00A53581" w:rsidRDefault="003E43C4" w:rsidP="00D87D91">
            <w:r>
              <w:t xml:space="preserve">　　</w:t>
            </w:r>
            <w:r w:rsidR="00203F72" w:rsidRPr="00A53581">
              <w:t>3.</w:t>
            </w:r>
            <w:r w:rsidR="00203F72" w:rsidRPr="00A53581">
              <w:rPr>
                <w:rFonts w:hint="eastAsia"/>
              </w:rPr>
              <w:t>受教育：人民有受國民教育之義務</w:t>
            </w:r>
            <w:r w:rsidR="00203F72" w:rsidRPr="00A53581">
              <w:rPr>
                <w:rFonts w:hint="eastAsia"/>
                <w:kern w:val="0"/>
              </w:rPr>
              <w:t>。</w:t>
            </w:r>
          </w:p>
        </w:tc>
        <w:tc>
          <w:tcPr>
            <w:tcW w:w="2106" w:type="pct"/>
            <w:shd w:val="clear" w:color="auto" w:fill="auto"/>
          </w:tcPr>
          <w:p w14:paraId="749102AB" w14:textId="77777777" w:rsidR="00203F72" w:rsidRPr="00A53581" w:rsidRDefault="003E43C4" w:rsidP="00D87D91">
            <w:r>
              <w:t xml:space="preserve">　　</w:t>
            </w:r>
            <w:r w:rsidR="00203F72" w:rsidRPr="00A53581">
              <w:t>違反</w:t>
            </w:r>
            <w:r w:rsidR="00203F72" w:rsidRPr="00A53581">
              <w:rPr>
                <w:rFonts w:hint="eastAsia"/>
              </w:rPr>
              <w:t>義務之處罰：</w:t>
            </w:r>
          </w:p>
          <w:p w14:paraId="7A204471" w14:textId="77777777" w:rsidR="00203F72" w:rsidRPr="00C454F8" w:rsidRDefault="003E43C4" w:rsidP="00D87D91">
            <w:r>
              <w:rPr>
                <w:rFonts w:hint="eastAsia"/>
              </w:rPr>
              <w:t xml:space="preserve">　　</w:t>
            </w:r>
            <w:r w:rsidR="00C454F8" w:rsidRPr="00C454F8">
              <w:rPr>
                <w:rFonts w:hint="eastAsia"/>
              </w:rPr>
              <w:t>1</w:t>
            </w:r>
            <w:r w:rsidR="00C454F8" w:rsidRPr="00C454F8">
              <w:rPr>
                <w:rFonts w:hint="eastAsia"/>
              </w:rPr>
              <w:t>、</w:t>
            </w:r>
            <w:r w:rsidR="00203F72" w:rsidRPr="00C454F8">
              <w:rPr>
                <w:rFonts w:hint="eastAsia"/>
              </w:rPr>
              <w:t>刑事上之處罰；</w:t>
            </w:r>
          </w:p>
          <w:p w14:paraId="42EE99AA" w14:textId="77777777" w:rsidR="00203F72" w:rsidRPr="00C454F8" w:rsidRDefault="003E43C4" w:rsidP="00D87D91">
            <w:r>
              <w:rPr>
                <w:rFonts w:hint="eastAsia"/>
              </w:rPr>
              <w:t xml:space="preserve">　　</w:t>
            </w:r>
            <w:r w:rsidR="00C454F8" w:rsidRPr="00C454F8">
              <w:rPr>
                <w:rFonts w:hint="eastAsia"/>
              </w:rPr>
              <w:t>2</w:t>
            </w:r>
            <w:r w:rsidR="00C454F8" w:rsidRPr="00C454F8">
              <w:rPr>
                <w:rFonts w:hint="eastAsia"/>
              </w:rPr>
              <w:t>、</w:t>
            </w:r>
            <w:r w:rsidR="00203F72" w:rsidRPr="00C454F8">
              <w:rPr>
                <w:rFonts w:hint="eastAsia"/>
              </w:rPr>
              <w:t>行政上之強制執行與罰鍰</w:t>
            </w:r>
            <w:r w:rsidR="00203F72" w:rsidRPr="00C454F8">
              <w:rPr>
                <w:rFonts w:hint="eastAsia"/>
                <w:kern w:val="0"/>
              </w:rPr>
              <w:t>。</w:t>
            </w:r>
          </w:p>
        </w:tc>
      </w:tr>
    </w:tbl>
    <w:p w14:paraId="0106A5C7" w14:textId="77777777" w:rsidR="00953151" w:rsidRPr="000D79C4" w:rsidRDefault="00B76D62" w:rsidP="00D87D91">
      <w:r w:rsidRPr="000D79C4">
        <w:t>【</w:t>
      </w:r>
      <w:r w:rsidR="00203F72" w:rsidRPr="000D79C4">
        <w:t>本表格</w:t>
      </w:r>
      <w:r w:rsidR="00B03E84" w:rsidRPr="000D79C4">
        <w:t>資料來源】</w:t>
      </w:r>
      <w:r w:rsidR="00203F72" w:rsidRPr="000D79C4">
        <w:t>廖其偉</w:t>
      </w:r>
      <w:r w:rsidR="00203F72" w:rsidRPr="000D79C4">
        <w:t>(2011)</w:t>
      </w:r>
      <w:r w:rsidR="00203F72" w:rsidRPr="000D79C4">
        <w:t>，中華民國憲法，初版，台北市：鼎文</w:t>
      </w:r>
      <w:r w:rsidR="00203F72" w:rsidRPr="000D79C4">
        <w:rPr>
          <w:rFonts w:hint="eastAsia"/>
        </w:rPr>
        <w:t>書局</w:t>
      </w:r>
      <w:r w:rsidR="00203F72" w:rsidRPr="000D79C4">
        <w:t>，第</w:t>
      </w:r>
      <w:r w:rsidR="00203F72" w:rsidRPr="000D79C4">
        <w:t>39</w:t>
      </w:r>
      <w:r w:rsidR="00203F72" w:rsidRPr="000D79C4">
        <w:t>頁。</w:t>
      </w:r>
    </w:p>
    <w:p w14:paraId="771283CE" w14:textId="77777777" w:rsidR="00953151" w:rsidRDefault="00B76D62" w:rsidP="00D87D91">
      <w:r w:rsidRPr="000D79C4">
        <w:t xml:space="preserve">　　</w:t>
      </w:r>
      <w:r w:rsidR="00203F72" w:rsidRPr="000D79C4">
        <w:t>司法院釋字</w:t>
      </w:r>
      <w:hyperlink r:id="rId316" w:anchor="r42" w:history="1">
        <w:r w:rsidR="00203F72" w:rsidRPr="00907B83">
          <w:rPr>
            <w:rStyle w:val="a5"/>
            <w:rFonts w:ascii="Times New Roman" w:hAnsi="Times New Roman"/>
          </w:rPr>
          <w:t>第</w:t>
        </w:r>
        <w:r w:rsidR="00203F72" w:rsidRPr="00907B83">
          <w:rPr>
            <w:rStyle w:val="a5"/>
            <w:rFonts w:ascii="Times New Roman" w:hAnsi="Times New Roman"/>
          </w:rPr>
          <w:t>42</w:t>
        </w:r>
        <w:r w:rsidR="00203F72" w:rsidRPr="00907B83">
          <w:rPr>
            <w:rStyle w:val="a5"/>
            <w:rFonts w:ascii="Times New Roman" w:hAnsi="Times New Roman"/>
          </w:rPr>
          <w:t>號</w:t>
        </w:r>
      </w:hyperlink>
      <w:r w:rsidR="00203F72" w:rsidRPr="000D79C4">
        <w:t>解釋認為：「憲法</w:t>
      </w:r>
      <w:r w:rsidR="003E43C4" w:rsidRPr="00A53581">
        <w:rPr>
          <w:rFonts w:ascii="新細明體" w:hAnsi="新細明體"/>
        </w:rPr>
        <w:t>第</w:t>
      </w:r>
      <w:hyperlink r:id="rId317" w:anchor="a19" w:history="1">
        <w:r w:rsidR="003E43C4" w:rsidRPr="00DF3454">
          <w:rPr>
            <w:rStyle w:val="a5"/>
          </w:rPr>
          <w:t>十九</w:t>
        </w:r>
      </w:hyperlink>
      <w:r w:rsidR="003E43C4" w:rsidRPr="00A53581">
        <w:rPr>
          <w:rFonts w:ascii="新細明體" w:hAnsi="新細明體"/>
        </w:rPr>
        <w:t>條</w:t>
      </w:r>
      <w:r w:rsidR="00203F72" w:rsidRPr="000D79C4">
        <w:t>規定，人民有依法律納稅之義務，係指國家課人民以繳納稅捐之義務或給予人民減免稅捐之優惠時，應就租稅主體、租稅客體、租稅客體對租稅主體之歸屬、稅基、稅率、納稅方法及納稅期間等租稅構成要件，以法律定之。」</w:t>
      </w:r>
    </w:p>
    <w:p w14:paraId="1C575EBD" w14:textId="77777777" w:rsidR="00C454F8" w:rsidRPr="000D79C4" w:rsidRDefault="00C454F8" w:rsidP="00D87D91"/>
    <w:p w14:paraId="5EDA4310" w14:textId="3C9E6754" w:rsidR="00203F72" w:rsidRPr="000D79C4" w:rsidRDefault="00B03E84" w:rsidP="00D87D91">
      <w:r w:rsidRPr="000D79C4">
        <w:t>【</w:t>
      </w:r>
      <w:r w:rsidRPr="000D79C4">
        <w:t>table</w:t>
      </w:r>
      <w:r w:rsidR="005E23E3" w:rsidRPr="000D79C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16</w:t>
      </w:r>
      <w:r w:rsidR="00076467">
        <w:rPr>
          <w:noProof/>
        </w:rPr>
        <w:fldChar w:fldCharType="end"/>
      </w:r>
      <w:r w:rsidR="00203F72" w:rsidRPr="000D79C4">
        <w:t>我國憲法規定人民權利義務之方式</w:t>
      </w:r>
    </w:p>
    <w:tbl>
      <w:tblPr>
        <w:tblW w:w="475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25"/>
        <w:gridCol w:w="1693"/>
        <w:gridCol w:w="4127"/>
      </w:tblGrid>
      <w:tr w:rsidR="00203F72" w:rsidRPr="00A53581" w14:paraId="410CE8AB" w14:textId="77777777" w:rsidTr="00146738">
        <w:tc>
          <w:tcPr>
            <w:tcW w:w="702" w:type="pct"/>
            <w:vMerge w:val="restart"/>
            <w:shd w:val="clear" w:color="auto" w:fill="auto"/>
          </w:tcPr>
          <w:p w14:paraId="764BA4CF" w14:textId="77777777" w:rsidR="00203F72" w:rsidRPr="00A53581" w:rsidRDefault="00203F72" w:rsidP="00D87D91">
            <w:r w:rsidRPr="00A53581">
              <w:t>列舉式</w:t>
            </w:r>
          </w:p>
        </w:tc>
        <w:tc>
          <w:tcPr>
            <w:tcW w:w="696" w:type="pct"/>
            <w:vMerge w:val="restart"/>
            <w:shd w:val="clear" w:color="auto" w:fill="auto"/>
          </w:tcPr>
          <w:p w14:paraId="4EFE9DE6" w14:textId="77777777" w:rsidR="00203F72" w:rsidRPr="00A53581" w:rsidRDefault="00203F72" w:rsidP="00D87D91">
            <w:r w:rsidRPr="00A53581">
              <w:t>(</w:t>
            </w:r>
            <w:r w:rsidRPr="00A53581">
              <w:t>一</w:t>
            </w:r>
            <w:r w:rsidRPr="00A53581">
              <w:t>)</w:t>
            </w:r>
            <w:r w:rsidRPr="00A53581">
              <w:t>平等權</w:t>
            </w:r>
          </w:p>
        </w:tc>
        <w:tc>
          <w:tcPr>
            <w:tcW w:w="1048" w:type="pct"/>
            <w:shd w:val="clear" w:color="auto" w:fill="auto"/>
          </w:tcPr>
          <w:p w14:paraId="18FC4E68" w14:textId="77777777" w:rsidR="00203F72" w:rsidRPr="00A53581" w:rsidRDefault="00203F72" w:rsidP="00D87D91">
            <w:r w:rsidRPr="00A53581">
              <w:t>法律之前人人平等</w:t>
            </w:r>
          </w:p>
        </w:tc>
        <w:tc>
          <w:tcPr>
            <w:tcW w:w="2554" w:type="pct"/>
            <w:shd w:val="clear" w:color="auto" w:fill="auto"/>
          </w:tcPr>
          <w:p w14:paraId="2258BB0F" w14:textId="77777777" w:rsidR="00203F72" w:rsidRPr="00A53581" w:rsidRDefault="00203F72" w:rsidP="00D87D91">
            <w:r w:rsidRPr="00A53581">
              <w:t>無分男女、宗教、種族、階級、黨派，在法律上一律平等</w:t>
            </w:r>
            <w:r w:rsidRPr="00A53581">
              <w:t>(</w:t>
            </w:r>
            <w:hyperlink r:id="rId318" w:anchor="a7" w:history="1">
              <w:r w:rsidRPr="00146738">
                <w:rPr>
                  <w:rStyle w:val="a5"/>
                  <w:rFonts w:eastAsia="新細明體"/>
                </w:rPr>
                <w:t>憲7</w:t>
              </w:r>
            </w:hyperlink>
            <w:r w:rsidRPr="00A53581">
              <w:t>)</w:t>
            </w:r>
            <w:r w:rsidRPr="00A53581">
              <w:rPr>
                <w:kern w:val="0"/>
              </w:rPr>
              <w:t xml:space="preserve"> </w:t>
            </w:r>
            <w:r w:rsidRPr="00A53581">
              <w:rPr>
                <w:kern w:val="0"/>
              </w:rPr>
              <w:t>。</w:t>
            </w:r>
          </w:p>
        </w:tc>
      </w:tr>
      <w:tr w:rsidR="00203F72" w:rsidRPr="00A53581" w14:paraId="3C3CAEFF" w14:textId="77777777" w:rsidTr="00146738">
        <w:tc>
          <w:tcPr>
            <w:tcW w:w="702" w:type="pct"/>
            <w:vMerge/>
            <w:shd w:val="clear" w:color="auto" w:fill="auto"/>
          </w:tcPr>
          <w:p w14:paraId="2746C722" w14:textId="77777777" w:rsidR="00203F72" w:rsidRPr="00A53581" w:rsidRDefault="00203F72" w:rsidP="00D87D91"/>
        </w:tc>
        <w:tc>
          <w:tcPr>
            <w:tcW w:w="696" w:type="pct"/>
            <w:vMerge/>
            <w:shd w:val="clear" w:color="auto" w:fill="auto"/>
          </w:tcPr>
          <w:p w14:paraId="6152231D" w14:textId="77777777" w:rsidR="00203F72" w:rsidRPr="00A53581" w:rsidRDefault="00203F72" w:rsidP="00D87D91"/>
        </w:tc>
        <w:tc>
          <w:tcPr>
            <w:tcW w:w="1048" w:type="pct"/>
            <w:shd w:val="clear" w:color="auto" w:fill="auto"/>
          </w:tcPr>
          <w:p w14:paraId="2719FF7B" w14:textId="77777777" w:rsidR="00203F72" w:rsidRPr="00A53581" w:rsidRDefault="00203F72" w:rsidP="00D87D91">
            <w:r w:rsidRPr="00A53581">
              <w:t>男女實質平等</w:t>
            </w:r>
          </w:p>
        </w:tc>
        <w:tc>
          <w:tcPr>
            <w:tcW w:w="2554" w:type="pct"/>
            <w:shd w:val="clear" w:color="auto" w:fill="auto"/>
          </w:tcPr>
          <w:p w14:paraId="2B6AD366" w14:textId="77777777" w:rsidR="00203F72" w:rsidRPr="00A53581" w:rsidRDefault="00203F72" w:rsidP="00D87D91">
            <w:r w:rsidRPr="00A53581">
              <w:t>國家應消除性別歧</w:t>
            </w:r>
            <w:r w:rsidR="003E240E">
              <w:t>視</w:t>
            </w:r>
            <w:r w:rsidRPr="00A53581">
              <w:t>，促進兩性地位之實質平等</w:t>
            </w:r>
            <w:r w:rsidRPr="00A53581">
              <w:t>(</w:t>
            </w:r>
            <w:r w:rsidRPr="00A53581">
              <w:t>憲修</w:t>
            </w:r>
            <w:hyperlink r:id="rId319" w:anchor="b10" w:history="1">
              <w:r w:rsidRPr="00146738">
                <w:rPr>
                  <w:rStyle w:val="a5"/>
                  <w:rFonts w:eastAsia="新細明體"/>
                </w:rPr>
                <w:t>10</w:t>
              </w:r>
            </w:hyperlink>
            <w:r w:rsidRPr="00A53581">
              <w:rPr>
                <w:rFonts w:hint="eastAsia"/>
              </w:rPr>
              <w:t>Ⅵ</w:t>
            </w:r>
            <w:r w:rsidRPr="00A53581">
              <w:t>)</w:t>
            </w:r>
            <w:r w:rsidRPr="00A53581">
              <w:rPr>
                <w:kern w:val="0"/>
              </w:rPr>
              <w:t xml:space="preserve"> </w:t>
            </w:r>
            <w:r w:rsidRPr="00A53581">
              <w:rPr>
                <w:kern w:val="0"/>
              </w:rPr>
              <w:t>。</w:t>
            </w:r>
          </w:p>
        </w:tc>
      </w:tr>
      <w:tr w:rsidR="00203F72" w:rsidRPr="00A53581" w14:paraId="79B4EA3F" w14:textId="77777777" w:rsidTr="00146738">
        <w:tc>
          <w:tcPr>
            <w:tcW w:w="702" w:type="pct"/>
            <w:vMerge/>
            <w:shd w:val="clear" w:color="auto" w:fill="auto"/>
          </w:tcPr>
          <w:p w14:paraId="7F12364A" w14:textId="77777777" w:rsidR="00203F72" w:rsidRPr="00A53581" w:rsidRDefault="00203F72" w:rsidP="00D87D91"/>
        </w:tc>
        <w:tc>
          <w:tcPr>
            <w:tcW w:w="696" w:type="pct"/>
            <w:vMerge/>
            <w:shd w:val="clear" w:color="auto" w:fill="auto"/>
          </w:tcPr>
          <w:p w14:paraId="78B9A3EC" w14:textId="77777777" w:rsidR="00203F72" w:rsidRPr="00A53581" w:rsidRDefault="00203F72" w:rsidP="00D87D91"/>
        </w:tc>
        <w:tc>
          <w:tcPr>
            <w:tcW w:w="1048" w:type="pct"/>
            <w:shd w:val="clear" w:color="auto" w:fill="auto"/>
          </w:tcPr>
          <w:p w14:paraId="04D29C6F" w14:textId="77777777" w:rsidR="00203F72" w:rsidRPr="00A53581" w:rsidRDefault="00203F72" w:rsidP="00D87D91">
            <w:r w:rsidRPr="00A53581">
              <w:t>教育機會均等</w:t>
            </w:r>
          </w:p>
        </w:tc>
        <w:tc>
          <w:tcPr>
            <w:tcW w:w="2554" w:type="pct"/>
            <w:shd w:val="clear" w:color="auto" w:fill="auto"/>
          </w:tcPr>
          <w:p w14:paraId="1EC80001" w14:textId="77777777" w:rsidR="00203F72" w:rsidRPr="00A53581" w:rsidRDefault="00203F72" w:rsidP="00D87D91">
            <w:r w:rsidRPr="00A53581">
              <w:t>國民受教育之機會一律平等</w:t>
            </w:r>
            <w:r w:rsidRPr="00A53581">
              <w:t>(</w:t>
            </w:r>
            <w:r w:rsidRPr="00A53581">
              <w:t>憲</w:t>
            </w:r>
            <w:hyperlink r:id="rId320" w:anchor="a159" w:history="1">
              <w:r w:rsidRPr="00146738">
                <w:rPr>
                  <w:rStyle w:val="a5"/>
                  <w:rFonts w:eastAsia="新細明體"/>
                </w:rPr>
                <w:t>159</w:t>
              </w:r>
            </w:hyperlink>
            <w:r w:rsidRPr="00A53581">
              <w:t>)</w:t>
            </w:r>
            <w:r w:rsidRPr="00A53581">
              <w:rPr>
                <w:kern w:val="0"/>
              </w:rPr>
              <w:t xml:space="preserve"> </w:t>
            </w:r>
            <w:r w:rsidRPr="00A53581">
              <w:rPr>
                <w:kern w:val="0"/>
              </w:rPr>
              <w:t>。</w:t>
            </w:r>
          </w:p>
        </w:tc>
      </w:tr>
      <w:tr w:rsidR="00203F72" w:rsidRPr="00A53581" w14:paraId="73AD11D5" w14:textId="77777777" w:rsidTr="00146738">
        <w:tc>
          <w:tcPr>
            <w:tcW w:w="702" w:type="pct"/>
            <w:vMerge/>
            <w:shd w:val="clear" w:color="auto" w:fill="auto"/>
          </w:tcPr>
          <w:p w14:paraId="2C8B6275" w14:textId="77777777" w:rsidR="00203F72" w:rsidRPr="00A53581" w:rsidRDefault="00203F72" w:rsidP="00D87D91"/>
        </w:tc>
        <w:tc>
          <w:tcPr>
            <w:tcW w:w="696" w:type="pct"/>
            <w:vMerge w:val="restart"/>
            <w:shd w:val="clear" w:color="auto" w:fill="auto"/>
          </w:tcPr>
          <w:p w14:paraId="7A4CE7CF" w14:textId="77777777" w:rsidR="00203F72" w:rsidRPr="00A53581" w:rsidRDefault="00203F72" w:rsidP="00D87D91">
            <w:r w:rsidRPr="00A53581">
              <w:t>(</w:t>
            </w:r>
            <w:r w:rsidRPr="00A53581">
              <w:t>二</w:t>
            </w:r>
            <w:r w:rsidRPr="00A53581">
              <w:t>)</w:t>
            </w:r>
            <w:r w:rsidRPr="00A53581">
              <w:t>自由權</w:t>
            </w:r>
          </w:p>
        </w:tc>
        <w:tc>
          <w:tcPr>
            <w:tcW w:w="1048" w:type="pct"/>
            <w:shd w:val="clear" w:color="auto" w:fill="auto"/>
          </w:tcPr>
          <w:p w14:paraId="7365F113" w14:textId="77777777" w:rsidR="00203F72" w:rsidRPr="00A53581" w:rsidRDefault="00203F72" w:rsidP="00D87D91">
            <w:r w:rsidRPr="00A53581">
              <w:t>一般自由權</w:t>
            </w:r>
          </w:p>
        </w:tc>
        <w:tc>
          <w:tcPr>
            <w:tcW w:w="2554" w:type="pct"/>
            <w:shd w:val="clear" w:color="auto" w:fill="auto"/>
          </w:tcPr>
          <w:p w14:paraId="28DE4FED" w14:textId="77777777" w:rsidR="00203F72" w:rsidRPr="00A53581" w:rsidRDefault="00203F72" w:rsidP="00D87D91">
            <w:r w:rsidRPr="00A53581">
              <w:t>人身自由、居住及遷徙自由、言論、講學、著作及出版之自由、秘密通訊自由、信仰宗教自由、集會結社自由</w:t>
            </w:r>
            <w:r w:rsidRPr="00A53581">
              <w:t>(</w:t>
            </w:r>
            <w:r w:rsidRPr="00A53581">
              <w:t>憲</w:t>
            </w:r>
            <w:hyperlink r:id="rId321" w:anchor="a8" w:history="1">
              <w:r w:rsidRPr="00146738">
                <w:rPr>
                  <w:rStyle w:val="a5"/>
                  <w:rFonts w:eastAsia="新細明體"/>
                </w:rPr>
                <w:t>8</w:t>
              </w:r>
            </w:hyperlink>
            <w:r w:rsidRPr="00A53581">
              <w:t>-14)</w:t>
            </w:r>
            <w:r w:rsidRPr="00A53581">
              <w:rPr>
                <w:kern w:val="0"/>
              </w:rPr>
              <w:t xml:space="preserve"> </w:t>
            </w:r>
            <w:r w:rsidRPr="00A53581">
              <w:rPr>
                <w:kern w:val="0"/>
              </w:rPr>
              <w:t>。</w:t>
            </w:r>
          </w:p>
        </w:tc>
      </w:tr>
      <w:tr w:rsidR="00203F72" w:rsidRPr="00A53581" w14:paraId="6B8E6637" w14:textId="77777777" w:rsidTr="00146738">
        <w:tc>
          <w:tcPr>
            <w:tcW w:w="702" w:type="pct"/>
            <w:vMerge/>
            <w:shd w:val="clear" w:color="auto" w:fill="auto"/>
          </w:tcPr>
          <w:p w14:paraId="5192174F" w14:textId="77777777" w:rsidR="00203F72" w:rsidRPr="00A53581" w:rsidRDefault="00203F72" w:rsidP="00D87D91"/>
        </w:tc>
        <w:tc>
          <w:tcPr>
            <w:tcW w:w="696" w:type="pct"/>
            <w:vMerge/>
            <w:shd w:val="clear" w:color="auto" w:fill="auto"/>
          </w:tcPr>
          <w:p w14:paraId="6C950026" w14:textId="77777777" w:rsidR="00203F72" w:rsidRPr="00A53581" w:rsidRDefault="00203F72" w:rsidP="00D87D91"/>
        </w:tc>
        <w:tc>
          <w:tcPr>
            <w:tcW w:w="1048" w:type="pct"/>
            <w:shd w:val="clear" w:color="auto" w:fill="auto"/>
          </w:tcPr>
          <w:p w14:paraId="2B339277" w14:textId="77777777" w:rsidR="00203F72" w:rsidRPr="00A53581" w:rsidRDefault="00203F72" w:rsidP="00D87D91">
            <w:r w:rsidRPr="00A53581">
              <w:t>財產自由權</w:t>
            </w:r>
          </w:p>
        </w:tc>
        <w:tc>
          <w:tcPr>
            <w:tcW w:w="2554" w:type="pct"/>
            <w:shd w:val="clear" w:color="auto" w:fill="auto"/>
          </w:tcPr>
          <w:p w14:paraId="74869EFE" w14:textId="77777777" w:rsidR="00203F72" w:rsidRPr="00A53581" w:rsidRDefault="00203F72" w:rsidP="00D87D91">
            <w:r w:rsidRPr="00A53581">
              <w:t>人民之生存權、工作權與財產權之保障</w:t>
            </w:r>
            <w:r w:rsidRPr="00A53581">
              <w:t>(</w:t>
            </w:r>
            <w:r w:rsidRPr="00A53581">
              <w:t>憲</w:t>
            </w:r>
            <w:hyperlink r:id="rId322" w:anchor="a15" w:history="1">
              <w:r w:rsidRPr="00146738">
                <w:rPr>
                  <w:rStyle w:val="a5"/>
                  <w:rFonts w:eastAsia="新細明體"/>
                </w:rPr>
                <w:t>15</w:t>
              </w:r>
            </w:hyperlink>
            <w:r w:rsidRPr="00A53581">
              <w:t>)</w:t>
            </w:r>
            <w:r w:rsidRPr="00A53581">
              <w:rPr>
                <w:kern w:val="0"/>
              </w:rPr>
              <w:t xml:space="preserve"> </w:t>
            </w:r>
            <w:r w:rsidRPr="00A53581">
              <w:rPr>
                <w:kern w:val="0"/>
              </w:rPr>
              <w:t>。</w:t>
            </w:r>
          </w:p>
        </w:tc>
      </w:tr>
      <w:tr w:rsidR="00203F72" w:rsidRPr="00A53581" w14:paraId="420C8431" w14:textId="77777777" w:rsidTr="00146738">
        <w:tc>
          <w:tcPr>
            <w:tcW w:w="702" w:type="pct"/>
            <w:vMerge/>
            <w:shd w:val="clear" w:color="auto" w:fill="auto"/>
          </w:tcPr>
          <w:p w14:paraId="50F43434" w14:textId="77777777" w:rsidR="00203F72" w:rsidRPr="00A53581" w:rsidRDefault="00203F72" w:rsidP="00D87D91"/>
        </w:tc>
        <w:tc>
          <w:tcPr>
            <w:tcW w:w="696" w:type="pct"/>
            <w:vMerge w:val="restart"/>
            <w:shd w:val="clear" w:color="auto" w:fill="auto"/>
          </w:tcPr>
          <w:p w14:paraId="4383A235" w14:textId="77777777" w:rsidR="00203F72" w:rsidRPr="00A53581" w:rsidRDefault="00203F72" w:rsidP="00D87D91">
            <w:r w:rsidRPr="00A53581">
              <w:t>(</w:t>
            </w:r>
            <w:r w:rsidRPr="00A53581">
              <w:t>三</w:t>
            </w:r>
            <w:r w:rsidRPr="00A53581">
              <w:t>)</w:t>
            </w:r>
            <w:r w:rsidRPr="00A53581">
              <w:t>受益權</w:t>
            </w:r>
          </w:p>
        </w:tc>
        <w:tc>
          <w:tcPr>
            <w:tcW w:w="1048" w:type="pct"/>
            <w:shd w:val="clear" w:color="auto" w:fill="auto"/>
          </w:tcPr>
          <w:p w14:paraId="2BF293A3" w14:textId="77777777" w:rsidR="00203F72" w:rsidRPr="00A53581" w:rsidRDefault="00203F72" w:rsidP="00D87D91">
            <w:r w:rsidRPr="00A53581">
              <w:t>行政及司法上受益權</w:t>
            </w:r>
          </w:p>
        </w:tc>
        <w:tc>
          <w:tcPr>
            <w:tcW w:w="2554" w:type="pct"/>
            <w:shd w:val="clear" w:color="auto" w:fill="auto"/>
          </w:tcPr>
          <w:p w14:paraId="14169987" w14:textId="77777777" w:rsidR="00203F72" w:rsidRPr="00A53581" w:rsidRDefault="00203F72" w:rsidP="00D87D91">
            <w:r w:rsidRPr="00A53581">
              <w:t>人民有請願、訴願及訴訟之權</w:t>
            </w:r>
            <w:r w:rsidRPr="00A53581">
              <w:t>(</w:t>
            </w:r>
            <w:r w:rsidRPr="00A53581">
              <w:t>憲</w:t>
            </w:r>
            <w:hyperlink r:id="rId323" w:anchor="a16" w:history="1">
              <w:r w:rsidRPr="00146738">
                <w:rPr>
                  <w:rStyle w:val="a5"/>
                  <w:rFonts w:eastAsia="新細明體"/>
                </w:rPr>
                <w:t>16</w:t>
              </w:r>
            </w:hyperlink>
            <w:r w:rsidRPr="00A53581">
              <w:t>)</w:t>
            </w:r>
            <w:r w:rsidRPr="00A53581">
              <w:rPr>
                <w:kern w:val="0"/>
              </w:rPr>
              <w:t xml:space="preserve"> </w:t>
            </w:r>
            <w:r w:rsidRPr="00A53581">
              <w:rPr>
                <w:kern w:val="0"/>
              </w:rPr>
              <w:t>。</w:t>
            </w:r>
          </w:p>
        </w:tc>
      </w:tr>
      <w:tr w:rsidR="00203F72" w:rsidRPr="00A53581" w14:paraId="45129113" w14:textId="77777777" w:rsidTr="00146738">
        <w:tc>
          <w:tcPr>
            <w:tcW w:w="702" w:type="pct"/>
            <w:vMerge/>
            <w:shd w:val="clear" w:color="auto" w:fill="auto"/>
          </w:tcPr>
          <w:p w14:paraId="753835D2" w14:textId="77777777" w:rsidR="00203F72" w:rsidRPr="00A53581" w:rsidRDefault="00203F72" w:rsidP="00D87D91"/>
        </w:tc>
        <w:tc>
          <w:tcPr>
            <w:tcW w:w="696" w:type="pct"/>
            <w:vMerge/>
            <w:shd w:val="clear" w:color="auto" w:fill="auto"/>
          </w:tcPr>
          <w:p w14:paraId="0875BA52" w14:textId="77777777" w:rsidR="00203F72" w:rsidRPr="00A53581" w:rsidRDefault="00203F72" w:rsidP="00D87D91"/>
        </w:tc>
        <w:tc>
          <w:tcPr>
            <w:tcW w:w="1048" w:type="pct"/>
            <w:shd w:val="clear" w:color="auto" w:fill="auto"/>
          </w:tcPr>
          <w:p w14:paraId="2779872D" w14:textId="77777777" w:rsidR="00203F72" w:rsidRPr="00A53581" w:rsidRDefault="00203F72" w:rsidP="00D87D91">
            <w:r w:rsidRPr="00A53581">
              <w:t>教育上受益權</w:t>
            </w:r>
          </w:p>
        </w:tc>
        <w:tc>
          <w:tcPr>
            <w:tcW w:w="2554" w:type="pct"/>
            <w:shd w:val="clear" w:color="auto" w:fill="auto"/>
          </w:tcPr>
          <w:p w14:paraId="7C438357" w14:textId="77777777" w:rsidR="00203F72" w:rsidRPr="00A53581" w:rsidRDefault="00203F72" w:rsidP="00D87D91">
            <w:r w:rsidRPr="00A53581">
              <w:t>人民有受國民教育之權利</w:t>
            </w:r>
            <w:r w:rsidRPr="00A53581">
              <w:t>(</w:t>
            </w:r>
            <w:r w:rsidRPr="00A53581">
              <w:t>憲</w:t>
            </w:r>
            <w:hyperlink r:id="rId324" w:anchor="a21" w:history="1">
              <w:r w:rsidRPr="00146738">
                <w:rPr>
                  <w:rStyle w:val="a5"/>
                  <w:rFonts w:eastAsia="新細明體"/>
                </w:rPr>
                <w:t>21</w:t>
              </w:r>
            </w:hyperlink>
            <w:r w:rsidRPr="00A53581">
              <w:t>)</w:t>
            </w:r>
            <w:r w:rsidRPr="00A53581">
              <w:rPr>
                <w:kern w:val="0"/>
              </w:rPr>
              <w:t xml:space="preserve"> </w:t>
            </w:r>
            <w:r w:rsidRPr="00A53581">
              <w:rPr>
                <w:kern w:val="0"/>
              </w:rPr>
              <w:t>。</w:t>
            </w:r>
          </w:p>
        </w:tc>
      </w:tr>
      <w:tr w:rsidR="00203F72" w:rsidRPr="00A53581" w14:paraId="7C22CDA8" w14:textId="77777777" w:rsidTr="00146738">
        <w:tc>
          <w:tcPr>
            <w:tcW w:w="702" w:type="pct"/>
            <w:vMerge/>
            <w:shd w:val="clear" w:color="auto" w:fill="auto"/>
          </w:tcPr>
          <w:p w14:paraId="7454521A" w14:textId="77777777" w:rsidR="00203F72" w:rsidRPr="00A53581" w:rsidRDefault="00203F72" w:rsidP="00D87D91"/>
        </w:tc>
        <w:tc>
          <w:tcPr>
            <w:tcW w:w="696" w:type="pct"/>
            <w:vMerge/>
            <w:shd w:val="clear" w:color="auto" w:fill="auto"/>
          </w:tcPr>
          <w:p w14:paraId="61DEA53B" w14:textId="77777777" w:rsidR="00203F72" w:rsidRPr="00A53581" w:rsidRDefault="00203F72" w:rsidP="00D87D91"/>
        </w:tc>
        <w:tc>
          <w:tcPr>
            <w:tcW w:w="1048" w:type="pct"/>
            <w:shd w:val="clear" w:color="auto" w:fill="auto"/>
          </w:tcPr>
          <w:p w14:paraId="3575B6F4" w14:textId="77777777" w:rsidR="00203F72" w:rsidRPr="00A53581" w:rsidRDefault="00203F72" w:rsidP="00D87D91">
            <w:r w:rsidRPr="00A53581">
              <w:t>國家賠償請求權</w:t>
            </w:r>
          </w:p>
        </w:tc>
        <w:tc>
          <w:tcPr>
            <w:tcW w:w="2554" w:type="pct"/>
            <w:shd w:val="clear" w:color="auto" w:fill="auto"/>
          </w:tcPr>
          <w:p w14:paraId="7FF88567" w14:textId="77777777" w:rsidR="00203F72" w:rsidRPr="00A53581" w:rsidRDefault="00203F72" w:rsidP="00D87D91">
            <w:r w:rsidRPr="00A53581">
              <w:t>凡公務員違法侵害人民之自由或權利者，除依法律受懲戒外，應負刑事及民事責任。被害人民就其所受損害，並得依法律向國家請求賠償</w:t>
            </w:r>
            <w:r w:rsidRPr="00A53581">
              <w:t>(</w:t>
            </w:r>
            <w:r w:rsidRPr="00A53581">
              <w:t>憲</w:t>
            </w:r>
            <w:hyperlink r:id="rId325" w:anchor="a24" w:history="1">
              <w:r w:rsidRPr="00146738">
                <w:rPr>
                  <w:rStyle w:val="a5"/>
                  <w:rFonts w:eastAsia="新細明體"/>
                  <w:kern w:val="0"/>
                </w:rPr>
                <w:t>24</w:t>
              </w:r>
            </w:hyperlink>
            <w:r w:rsidRPr="00A53581">
              <w:t xml:space="preserve">) </w:t>
            </w:r>
            <w:r w:rsidRPr="00A53581">
              <w:t>。</w:t>
            </w:r>
          </w:p>
        </w:tc>
      </w:tr>
      <w:tr w:rsidR="00203F72" w:rsidRPr="00A53581" w14:paraId="597DAD7F" w14:textId="77777777" w:rsidTr="00146738">
        <w:tc>
          <w:tcPr>
            <w:tcW w:w="702" w:type="pct"/>
            <w:vMerge/>
            <w:shd w:val="clear" w:color="auto" w:fill="auto"/>
          </w:tcPr>
          <w:p w14:paraId="5E388F01" w14:textId="77777777" w:rsidR="00203F72" w:rsidRPr="00A53581" w:rsidRDefault="00203F72" w:rsidP="00D87D91"/>
        </w:tc>
        <w:tc>
          <w:tcPr>
            <w:tcW w:w="696" w:type="pct"/>
            <w:vMerge w:val="restart"/>
            <w:shd w:val="clear" w:color="auto" w:fill="auto"/>
          </w:tcPr>
          <w:p w14:paraId="3AD305A3" w14:textId="77777777" w:rsidR="00203F72" w:rsidRPr="00A53581" w:rsidRDefault="00203F72" w:rsidP="00D87D91">
            <w:r w:rsidRPr="00A53581">
              <w:t>(</w:t>
            </w:r>
            <w:r w:rsidRPr="00A53581">
              <w:t>四</w:t>
            </w:r>
            <w:r w:rsidRPr="00A53581">
              <w:t>)</w:t>
            </w:r>
            <w:r w:rsidRPr="00A53581">
              <w:t>參政權</w:t>
            </w:r>
          </w:p>
        </w:tc>
        <w:tc>
          <w:tcPr>
            <w:tcW w:w="1048" w:type="pct"/>
            <w:shd w:val="clear" w:color="auto" w:fill="auto"/>
          </w:tcPr>
          <w:p w14:paraId="4C8C03BF" w14:textId="77777777" w:rsidR="00203F72" w:rsidRPr="00A53581" w:rsidRDefault="00203F72" w:rsidP="00D87D91">
            <w:r w:rsidRPr="00A53581">
              <w:t>行使四權</w:t>
            </w:r>
          </w:p>
        </w:tc>
        <w:tc>
          <w:tcPr>
            <w:tcW w:w="2554" w:type="pct"/>
            <w:shd w:val="clear" w:color="auto" w:fill="auto"/>
          </w:tcPr>
          <w:p w14:paraId="3278A5CE" w14:textId="77777777" w:rsidR="00203F72" w:rsidRPr="00A53581" w:rsidRDefault="00203F72" w:rsidP="00D87D91">
            <w:r w:rsidRPr="00A53581">
              <w:t>選舉、罷免、創制、複決四權</w:t>
            </w:r>
            <w:r w:rsidRPr="00A53581">
              <w:t>(</w:t>
            </w:r>
            <w:r w:rsidRPr="00A53581">
              <w:t>憲</w:t>
            </w:r>
            <w:hyperlink r:id="rId326" w:anchor="a17" w:history="1">
              <w:r w:rsidRPr="00146738">
                <w:rPr>
                  <w:rStyle w:val="a5"/>
                  <w:rFonts w:eastAsia="新細明體"/>
                </w:rPr>
                <w:t>17</w:t>
              </w:r>
            </w:hyperlink>
            <w:r w:rsidRPr="00A53581">
              <w:t>)</w:t>
            </w:r>
            <w:r w:rsidRPr="00A53581">
              <w:rPr>
                <w:kern w:val="0"/>
              </w:rPr>
              <w:t xml:space="preserve"> </w:t>
            </w:r>
            <w:r w:rsidRPr="00A53581">
              <w:rPr>
                <w:kern w:val="0"/>
              </w:rPr>
              <w:t>。</w:t>
            </w:r>
          </w:p>
        </w:tc>
      </w:tr>
      <w:tr w:rsidR="00203F72" w:rsidRPr="00A53581" w14:paraId="2C426A65" w14:textId="77777777" w:rsidTr="00146738">
        <w:tc>
          <w:tcPr>
            <w:tcW w:w="702" w:type="pct"/>
            <w:vMerge/>
            <w:shd w:val="clear" w:color="auto" w:fill="auto"/>
          </w:tcPr>
          <w:p w14:paraId="4575BCED" w14:textId="77777777" w:rsidR="00203F72" w:rsidRPr="00A53581" w:rsidRDefault="00203F72" w:rsidP="00D87D91"/>
        </w:tc>
        <w:tc>
          <w:tcPr>
            <w:tcW w:w="696" w:type="pct"/>
            <w:vMerge/>
            <w:shd w:val="clear" w:color="auto" w:fill="auto"/>
          </w:tcPr>
          <w:p w14:paraId="50DD9721" w14:textId="77777777" w:rsidR="00203F72" w:rsidRPr="00A53581" w:rsidRDefault="00203F72" w:rsidP="00D87D91"/>
        </w:tc>
        <w:tc>
          <w:tcPr>
            <w:tcW w:w="1048" w:type="pct"/>
            <w:shd w:val="clear" w:color="auto" w:fill="auto"/>
          </w:tcPr>
          <w:p w14:paraId="5FFBAE52" w14:textId="77777777" w:rsidR="00203F72" w:rsidRPr="00A53581" w:rsidRDefault="00203F72" w:rsidP="00D87D91">
            <w:r w:rsidRPr="00A53581">
              <w:t>就任公務員</w:t>
            </w:r>
          </w:p>
        </w:tc>
        <w:tc>
          <w:tcPr>
            <w:tcW w:w="2554" w:type="pct"/>
            <w:shd w:val="clear" w:color="auto" w:fill="auto"/>
          </w:tcPr>
          <w:p w14:paraId="555B57C1" w14:textId="77777777" w:rsidR="00203F72" w:rsidRPr="00A53581" w:rsidRDefault="00203F72" w:rsidP="00D87D91">
            <w:r w:rsidRPr="00A53581">
              <w:t>人民有應考試與服公務之權（憲</w:t>
            </w:r>
            <w:hyperlink r:id="rId327" w:anchor="a18" w:history="1">
              <w:r w:rsidRPr="00146738">
                <w:rPr>
                  <w:rStyle w:val="a5"/>
                  <w:rFonts w:eastAsia="新細明體"/>
                </w:rPr>
                <w:t>18</w:t>
              </w:r>
            </w:hyperlink>
            <w:r w:rsidRPr="00A53581">
              <w:t>）</w:t>
            </w:r>
            <w:r w:rsidRPr="00A53581">
              <w:rPr>
                <w:kern w:val="0"/>
              </w:rPr>
              <w:t>。</w:t>
            </w:r>
          </w:p>
        </w:tc>
      </w:tr>
      <w:tr w:rsidR="00203F72" w:rsidRPr="00A53581" w14:paraId="07E339EB" w14:textId="77777777" w:rsidTr="00146738">
        <w:tc>
          <w:tcPr>
            <w:tcW w:w="702" w:type="pct"/>
            <w:shd w:val="clear" w:color="auto" w:fill="auto"/>
          </w:tcPr>
          <w:p w14:paraId="0AF87205" w14:textId="77777777" w:rsidR="00203F72" w:rsidRPr="00A53581" w:rsidRDefault="00203F72" w:rsidP="00D87D91">
            <w:r w:rsidRPr="00A53581">
              <w:t>概括式</w:t>
            </w:r>
            <w:r w:rsidRPr="00A53581">
              <w:t>(</w:t>
            </w:r>
            <w:r w:rsidRPr="00A53581">
              <w:t>未列舉</w:t>
            </w:r>
            <w:r w:rsidRPr="00A53581">
              <w:t>)</w:t>
            </w:r>
          </w:p>
        </w:tc>
        <w:tc>
          <w:tcPr>
            <w:tcW w:w="4298" w:type="pct"/>
            <w:gridSpan w:val="3"/>
            <w:shd w:val="clear" w:color="auto" w:fill="auto"/>
          </w:tcPr>
          <w:p w14:paraId="783AEEAC" w14:textId="77777777" w:rsidR="00203F72" w:rsidRPr="00A53581" w:rsidRDefault="00203F72" w:rsidP="00D87D91">
            <w:r w:rsidRPr="00A53581">
              <w:t>凡人民之其他自由及權利，不妨害社會秩序公共利益者，均受憲法保障</w:t>
            </w:r>
            <w:r w:rsidRPr="00A53581">
              <w:t>(</w:t>
            </w:r>
            <w:r w:rsidRPr="00A53581">
              <w:t>憲</w:t>
            </w:r>
            <w:hyperlink r:id="rId328" w:anchor="a22" w:history="1">
              <w:r w:rsidRPr="00146738">
                <w:rPr>
                  <w:rStyle w:val="a5"/>
                  <w:rFonts w:eastAsia="新細明體"/>
                </w:rPr>
                <w:t>22</w:t>
              </w:r>
            </w:hyperlink>
            <w:r w:rsidRPr="00A53581">
              <w:t>)</w:t>
            </w:r>
            <w:r w:rsidRPr="00A53581">
              <w:rPr>
                <w:kern w:val="0"/>
              </w:rPr>
              <w:t xml:space="preserve"> </w:t>
            </w:r>
            <w:r w:rsidRPr="00A53581">
              <w:rPr>
                <w:kern w:val="0"/>
              </w:rPr>
              <w:t>。</w:t>
            </w:r>
          </w:p>
        </w:tc>
      </w:tr>
      <w:tr w:rsidR="00203F72" w:rsidRPr="00A53581" w14:paraId="2C9C2751" w14:textId="77777777" w:rsidTr="00146738">
        <w:tc>
          <w:tcPr>
            <w:tcW w:w="702" w:type="pct"/>
            <w:shd w:val="clear" w:color="auto" w:fill="auto"/>
          </w:tcPr>
          <w:p w14:paraId="3331A28C" w14:textId="77777777" w:rsidR="00203F72" w:rsidRPr="00A53581" w:rsidRDefault="00203F72" w:rsidP="00D87D91">
            <w:r w:rsidRPr="00A53581">
              <w:t>人民義務</w:t>
            </w:r>
          </w:p>
        </w:tc>
        <w:tc>
          <w:tcPr>
            <w:tcW w:w="4298" w:type="pct"/>
            <w:gridSpan w:val="3"/>
            <w:shd w:val="clear" w:color="auto" w:fill="auto"/>
          </w:tcPr>
          <w:p w14:paraId="123594DA" w14:textId="77777777" w:rsidR="00203F72" w:rsidRPr="00A53581" w:rsidRDefault="00203F72" w:rsidP="00D87D91">
            <w:r w:rsidRPr="00A53581">
              <w:t>納稅義務</w:t>
            </w:r>
            <w:r w:rsidRPr="00A53581">
              <w:t>(</w:t>
            </w:r>
            <w:r w:rsidRPr="00A53581">
              <w:t>憲</w:t>
            </w:r>
            <w:hyperlink r:id="rId329" w:anchor="a19" w:history="1">
              <w:r w:rsidRPr="00146738">
                <w:rPr>
                  <w:rStyle w:val="a5"/>
                  <w:rFonts w:eastAsia="新細明體"/>
                </w:rPr>
                <w:t>19</w:t>
              </w:r>
            </w:hyperlink>
            <w:r w:rsidRPr="00A53581">
              <w:t xml:space="preserve">) </w:t>
            </w:r>
            <w:r w:rsidRPr="00A53581">
              <w:t>。服兵役義務</w:t>
            </w:r>
            <w:r w:rsidRPr="00A53581">
              <w:t>(</w:t>
            </w:r>
            <w:r w:rsidRPr="00A53581">
              <w:t>憲</w:t>
            </w:r>
            <w:hyperlink r:id="rId330" w:anchor="a20" w:history="1">
              <w:r w:rsidRPr="00146738">
                <w:rPr>
                  <w:rStyle w:val="a5"/>
                  <w:rFonts w:eastAsia="新細明體"/>
                  <w:kern w:val="0"/>
                </w:rPr>
                <w:t>20</w:t>
              </w:r>
            </w:hyperlink>
            <w:r w:rsidRPr="00A53581">
              <w:t xml:space="preserve">) </w:t>
            </w:r>
            <w:r w:rsidRPr="00A53581">
              <w:t>。受國民教育義務</w:t>
            </w:r>
            <w:r w:rsidRPr="00A53581">
              <w:t>(</w:t>
            </w:r>
            <w:r w:rsidRPr="00A53581">
              <w:t>憲</w:t>
            </w:r>
            <w:hyperlink r:id="rId331" w:anchor="a21" w:history="1">
              <w:r w:rsidR="00146738">
                <w:rPr>
                  <w:rStyle w:val="a5"/>
                  <w:rFonts w:eastAsia="新細明體"/>
                  <w:kern w:val="0"/>
                </w:rPr>
                <w:t>21</w:t>
              </w:r>
            </w:hyperlink>
            <w:r w:rsidRPr="00A53581">
              <w:t xml:space="preserve">) </w:t>
            </w:r>
            <w:r w:rsidRPr="00A53581">
              <w:t>。</w:t>
            </w:r>
          </w:p>
        </w:tc>
      </w:tr>
    </w:tbl>
    <w:p w14:paraId="7D9D2A22" w14:textId="77777777" w:rsidR="00953151" w:rsidRPr="000D79C4" w:rsidRDefault="00B76D62" w:rsidP="00D87D91">
      <w:r w:rsidRPr="000D79C4">
        <w:t>【本表資料來源】</w:t>
      </w:r>
      <w:r w:rsidR="00203F72" w:rsidRPr="000D79C4">
        <w:t>謝瑞智、謝世維</w:t>
      </w:r>
      <w:r w:rsidR="00203F72" w:rsidRPr="000D79C4">
        <w:t>(2010)</w:t>
      </w:r>
      <w:r w:rsidR="00203F72" w:rsidRPr="000D79C4">
        <w:t>，憲法概要，增訂</w:t>
      </w:r>
      <w:r w:rsidR="00203F72" w:rsidRPr="000D79C4">
        <w:t>14</w:t>
      </w:r>
      <w:r w:rsidR="00203F72" w:rsidRPr="000D79C4">
        <w:t>版，台北市：文笙書局，第</w:t>
      </w:r>
      <w:r w:rsidR="00203F72" w:rsidRPr="000D79C4">
        <w:t>58</w:t>
      </w:r>
      <w:r w:rsidR="00203F72" w:rsidRPr="000D79C4">
        <w:rPr>
          <w:rFonts w:hint="eastAsia"/>
        </w:rPr>
        <w:t>-</w:t>
      </w:r>
      <w:r w:rsidR="00203F72" w:rsidRPr="000D79C4">
        <w:t>59</w:t>
      </w:r>
      <w:r w:rsidR="00203F72" w:rsidRPr="000D79C4">
        <w:t>頁</w:t>
      </w:r>
    </w:p>
    <w:p w14:paraId="11666725" w14:textId="77777777" w:rsidR="00953151" w:rsidRPr="000D79C4" w:rsidRDefault="00B76D62" w:rsidP="00D87D91">
      <w:r w:rsidRPr="000D79C4">
        <w:t xml:space="preserve">　　</w:t>
      </w:r>
      <w:r w:rsidR="00203F72" w:rsidRPr="000D79C4">
        <w:t>再者，司法院釋字</w:t>
      </w:r>
      <w:hyperlink r:id="rId332" w:anchor="r198" w:history="1">
        <w:r w:rsidR="00203F72" w:rsidRPr="00907B83">
          <w:rPr>
            <w:rStyle w:val="a5"/>
            <w:rFonts w:ascii="Times New Roman" w:hAnsi="Times New Roman"/>
          </w:rPr>
          <w:t>第</w:t>
        </w:r>
        <w:r w:rsidR="00203F72" w:rsidRPr="00907B83">
          <w:rPr>
            <w:rStyle w:val="a5"/>
            <w:rFonts w:ascii="Times New Roman" w:hAnsi="Times New Roman"/>
          </w:rPr>
          <w:t>198</w:t>
        </w:r>
        <w:r w:rsidR="00203F72" w:rsidRPr="00907B83">
          <w:rPr>
            <w:rStyle w:val="a5"/>
            <w:rFonts w:ascii="Times New Roman" w:hAnsi="Times New Roman"/>
          </w:rPr>
          <w:t>號</w:t>
        </w:r>
      </w:hyperlink>
      <w:r w:rsidR="00203F72" w:rsidRPr="000D79C4">
        <w:t>解釋指出：「按憲法</w:t>
      </w:r>
      <w:r w:rsidR="003E43C4" w:rsidRPr="00A53581">
        <w:rPr>
          <w:rFonts w:ascii="新細明體" w:hAnsi="新細明體"/>
        </w:rPr>
        <w:t>第</w:t>
      </w:r>
      <w:hyperlink r:id="rId333" w:anchor="a19" w:history="1">
        <w:r w:rsidR="003E43C4" w:rsidRPr="00DF3454">
          <w:rPr>
            <w:rStyle w:val="a5"/>
          </w:rPr>
          <w:t>十九</w:t>
        </w:r>
      </w:hyperlink>
      <w:r w:rsidR="003E43C4" w:rsidRPr="00A53581">
        <w:rPr>
          <w:rFonts w:ascii="新細明體" w:hAnsi="新細明體"/>
        </w:rPr>
        <w:t>條</w:t>
      </w:r>
      <w:r w:rsidR="00203F72" w:rsidRPr="000D79C4">
        <w:t>規定「人民有依法律納稅之義務」，乃揭示「租稅法律主義」之原則。</w:t>
      </w:r>
      <w:hyperlink r:id="rId334" w:history="1">
        <w:r w:rsidR="00203F72" w:rsidRPr="00F66280">
          <w:rPr>
            <w:rStyle w:val="a5"/>
            <w:rFonts w:ascii="Times New Roman" w:eastAsia="新細明體" w:hAnsi="Times New Roman"/>
          </w:rPr>
          <w:t>所得稅法</w:t>
        </w:r>
      </w:hyperlink>
      <w:r w:rsidR="00203F72" w:rsidRPr="000D79C4">
        <w:t>係規定國家對於人民課徵所得稅之法律，依同法</w:t>
      </w:r>
      <w:hyperlink r:id="rId335" w:anchor="a2" w:history="1">
        <w:r w:rsidR="00203F72" w:rsidRPr="00F66280">
          <w:rPr>
            <w:rStyle w:val="a5"/>
            <w:rFonts w:ascii="Times New Roman" w:eastAsia="新細明體" w:hAnsi="Times New Roman"/>
          </w:rPr>
          <w:t>第二條</w:t>
        </w:r>
      </w:hyperlink>
      <w:r w:rsidR="00203F72" w:rsidRPr="000D79C4">
        <w:t>第一項及第</w:t>
      </w:r>
      <w:hyperlink r:id="rId336" w:anchor="a71" w:history="1">
        <w:r w:rsidR="00203F72" w:rsidRPr="00F66280">
          <w:rPr>
            <w:rStyle w:val="a5"/>
            <w:rFonts w:ascii="Times New Roman" w:eastAsia="新細明體" w:hAnsi="Times New Roman"/>
          </w:rPr>
          <w:t>七十一</w:t>
        </w:r>
      </w:hyperlink>
      <w:r w:rsidR="00203F72" w:rsidRPr="000D79C4">
        <w:t>條之規定，凡中華民國境內居住之個人，均應就其全年綜合所得或營利事業所得，辦理結算申報。又同法</w:t>
      </w:r>
      <w:hyperlink r:id="rId337" w:anchor="a7" w:history="1">
        <w:r w:rsidR="007D50BB" w:rsidRPr="007D50BB">
          <w:rPr>
            <w:rStyle w:val="a5"/>
            <w:rFonts w:ascii="Times New Roman" w:hAnsi="Times New Roman"/>
          </w:rPr>
          <w:t>第七條</w:t>
        </w:r>
      </w:hyperlink>
      <w:r w:rsidR="00203F72" w:rsidRPr="000D79C4">
        <w:t>第二項規定：「本法稱中華民國境內居住之個人，指左列二種：一、在中華民國境內有住所，並經常居住中華民國境內者。二、在中華民國境內無住所，而於一課稅年度內在中華民國境內居留合計滿一百八十三天者」，乃以納稅義務人在中華民國境內有無住所為標準，分別就「中華民國境內居住之個人」乙詞所設定義，兩款情形不同，不容彼此混淆。故依第一款規定，祇須納稅義務人在中華民國境內有住所，並有經常居住之事實，縱於一課稅年度內未居住屆滿一百八十三天，亦應認其為「中華民國境內居住之個人」，從而該項規定與租稅法律主義並無違背。」故凡居住在中華民國境內者，就有依</w:t>
      </w:r>
      <w:hyperlink r:id="rId338" w:history="1">
        <w:r w:rsidR="00D53F68" w:rsidRPr="00D53F68">
          <w:rPr>
            <w:rStyle w:val="a5"/>
            <w:rFonts w:ascii="Times New Roman" w:eastAsia="新細明體" w:hAnsi="Times New Roman"/>
          </w:rPr>
          <w:t>所得稅法</w:t>
        </w:r>
      </w:hyperlink>
      <w:r w:rsidR="00203F72" w:rsidRPr="000D79C4">
        <w:t>規定，納稅之義務。</w:t>
      </w:r>
    </w:p>
    <w:p w14:paraId="208FB59C" w14:textId="77777777" w:rsidR="00953151" w:rsidRDefault="00076467" w:rsidP="00767F37">
      <w:pPr>
        <w:pStyle w:val="2"/>
      </w:pPr>
      <w:hyperlink r:id="rId339" w:anchor="a20" w:history="1">
        <w:r w:rsidR="005D5A46">
          <w:rPr>
            <w:rStyle w:val="a5"/>
            <w:rFonts w:ascii="Arial Unicode MS" w:hAnsi="Arial Unicode MS"/>
          </w:rPr>
          <w:t>第</w:t>
        </w:r>
        <w:r w:rsidR="00203F72" w:rsidRPr="001B53A5">
          <w:rPr>
            <w:rStyle w:val="a5"/>
            <w:rFonts w:ascii="Arial Unicode MS" w:hAnsi="Arial Unicode MS"/>
          </w:rPr>
          <w:t>20</w:t>
        </w:r>
        <w:r w:rsidR="005D5A46">
          <w:rPr>
            <w:rStyle w:val="a5"/>
            <w:rFonts w:ascii="Arial Unicode MS" w:hAnsi="Arial Unicode MS"/>
          </w:rPr>
          <w:t>條</w:t>
        </w:r>
      </w:hyperlink>
      <w:r w:rsidR="00203F72" w:rsidRPr="00A53581">
        <w:t>人民有依法律服兵役之義務。</w:t>
      </w:r>
    </w:p>
    <w:p w14:paraId="4436D9DE" w14:textId="77777777" w:rsidR="00953151" w:rsidRPr="000D79C4" w:rsidRDefault="00B03E84" w:rsidP="00D87D91">
      <w:r w:rsidRPr="000D79C4">
        <w:t>【內容解析】</w:t>
      </w:r>
    </w:p>
    <w:p w14:paraId="0750FC55" w14:textId="77777777" w:rsidR="00953151" w:rsidRPr="000D79C4" w:rsidRDefault="00B76D62" w:rsidP="00D87D91">
      <w:r w:rsidRPr="000D79C4">
        <w:t xml:space="preserve">　　</w:t>
      </w:r>
      <w:r w:rsidR="00203F72" w:rsidRPr="000D79C4">
        <w:t>為了維護國家完整、人民生命財產安全及社會安定繁榮，防止外國侵犯，男子年滿十八歲，依法有服兵役之義務。不履行服兵役之義務，將依法規定論處。兵役</w:t>
      </w:r>
      <w:r w:rsidR="004651E8" w:rsidRPr="000D79C4">
        <w:t>法</w:t>
      </w:r>
      <w:hyperlink r:id="rId340" w:anchor="a1" w:history="1">
        <w:r w:rsidR="004651E8" w:rsidRPr="000D79C4">
          <w:rPr>
            <w:rStyle w:val="a5"/>
          </w:rPr>
          <w:t>第一條</w:t>
        </w:r>
      </w:hyperlink>
      <w:r w:rsidR="00203F72" w:rsidRPr="000D79C4">
        <w:t>規定中華民國男子依法皆有服兵役之義務。第二條規定本法所稱兵役，為軍官役、士官役、士兵役、替代役。</w:t>
      </w:r>
      <w:hyperlink r:id="rId341" w:anchor="a3" w:history="1">
        <w:r w:rsidR="00203F72" w:rsidRPr="000D79C4">
          <w:rPr>
            <w:rStyle w:val="a5"/>
          </w:rPr>
          <w:t>第三條</w:t>
        </w:r>
      </w:hyperlink>
      <w:r w:rsidR="00203F72" w:rsidRPr="000D79C4">
        <w:t>規定男子年滿十八歲之翌年一月一日起役，至屆滿四十歲之年十二月三十一日除役，稱為役齡男子。但軍官、士官除役年齡，不在此限。男子年滿十五歲之翌年一月一日起，至屆滿十八歲之年十二月三十一日止，稱為接近役齡男子。</w:t>
      </w:r>
    </w:p>
    <w:p w14:paraId="48ED04D2" w14:textId="77777777" w:rsidR="00953151" w:rsidRPr="000D79C4" w:rsidRDefault="00B76D62" w:rsidP="00D87D91">
      <w:r w:rsidRPr="000D79C4">
        <w:t xml:space="preserve">　　</w:t>
      </w:r>
      <w:r w:rsidR="00203F72" w:rsidRPr="000D79C4">
        <w:t>司法院釋字</w:t>
      </w:r>
      <w:hyperlink r:id="rId342" w:anchor="r490" w:history="1">
        <w:r w:rsidR="005D5A46" w:rsidRPr="000D79C4">
          <w:rPr>
            <w:rStyle w:val="a5"/>
          </w:rPr>
          <w:t>第</w:t>
        </w:r>
        <w:r w:rsidR="00203F72" w:rsidRPr="000D79C4">
          <w:rPr>
            <w:rStyle w:val="a5"/>
          </w:rPr>
          <w:t>490號</w:t>
        </w:r>
      </w:hyperlink>
      <w:r w:rsidR="00203F72" w:rsidRPr="000D79C4">
        <w:t>解釋認為：「人民有依法律服兵役之義務，為憲法第</w:t>
      </w:r>
      <w:hyperlink r:id="rId343" w:anchor="a20" w:history="1">
        <w:r w:rsidR="00203F72" w:rsidRPr="00F66280">
          <w:rPr>
            <w:rStyle w:val="a5"/>
            <w:rFonts w:ascii="Times New Roman" w:eastAsia="新細明體" w:hAnsi="Times New Roman"/>
          </w:rPr>
          <w:t>二十</w:t>
        </w:r>
      </w:hyperlink>
      <w:r w:rsidR="00203F72" w:rsidRPr="000D79C4">
        <w:t>條所明定。惟人民如何履行兵役義務，憲法本身並無明文規定，有關人民服兵役之重要事項，應由立法者斟酌國家安全、社會發展之需要，以法律定之。憲法</w:t>
      </w:r>
      <w:r w:rsidR="000D79C4" w:rsidRPr="00A53581">
        <w:rPr>
          <w:rFonts w:ascii="新細明體" w:hAnsi="新細明體"/>
          <w:kern w:val="0"/>
        </w:rPr>
        <w:t>第</w:t>
      </w:r>
      <w:hyperlink r:id="rId344" w:anchor="a13" w:history="1">
        <w:r w:rsidR="000D79C4" w:rsidRPr="000D79C4">
          <w:rPr>
            <w:rStyle w:val="a5"/>
            <w:kern w:val="0"/>
          </w:rPr>
          <w:t>十三</w:t>
        </w:r>
      </w:hyperlink>
      <w:r w:rsidR="000D79C4" w:rsidRPr="00A53581">
        <w:rPr>
          <w:rFonts w:ascii="新細明體" w:hAnsi="新細明體"/>
          <w:kern w:val="0"/>
        </w:rPr>
        <w:t>條</w:t>
      </w:r>
      <w:r w:rsidR="00203F72" w:rsidRPr="000D79C4">
        <w:t>規定：「人民有信仰宗教之自由。」係指人民有信仰與不信仰任何宗教之自由，以及參與或不參與宗教活動之自由；國家不得對特定之宗教加以獎勵或禁制，或對人民特定信仰給予優待或不利益。立法者鑒於男女生理上之差異及因此種差異所生之社會生活功能角色之不同，於兵役</w:t>
      </w:r>
      <w:r w:rsidR="00F5469C" w:rsidRPr="000D79C4">
        <w:t>法</w:t>
      </w:r>
      <w:hyperlink r:id="rId345" w:anchor="a1" w:history="1">
        <w:r w:rsidR="00F5469C" w:rsidRPr="000D79C4">
          <w:rPr>
            <w:rStyle w:val="a5"/>
          </w:rPr>
          <w:t>第一條</w:t>
        </w:r>
      </w:hyperlink>
      <w:r w:rsidR="00203F72" w:rsidRPr="000D79C4">
        <w:t>規定：中華民國男子依法皆有服兵役之義務，係為實踐國家目的及憲法上人民之基本義務而為之規定，原屬立法政策之考量，非為助長、促進或限制宗教而設，且無助長、促進或限制宗教之效果。復次，服兵役之義務，並無違反人性尊嚴亦未動搖憲法價值體系之基礎，且為大多數國家之法律所明定，更為保護人民，防衛國家之安全所必需，與憲法</w:t>
      </w:r>
      <w:hyperlink r:id="rId346" w:anchor="a7" w:history="1">
        <w:r w:rsidR="007D50BB" w:rsidRPr="007D50BB">
          <w:rPr>
            <w:rStyle w:val="a5"/>
            <w:rFonts w:ascii="Times New Roman" w:hAnsi="Times New Roman"/>
          </w:rPr>
          <w:t>第七條</w:t>
        </w:r>
      </w:hyperlink>
      <w:r w:rsidR="00203F72" w:rsidRPr="000D79C4">
        <w:t>平等原則及</w:t>
      </w:r>
      <w:r w:rsidR="000D79C4" w:rsidRPr="00A53581">
        <w:rPr>
          <w:rFonts w:ascii="新細明體" w:hAnsi="新細明體"/>
          <w:kern w:val="0"/>
        </w:rPr>
        <w:t>第</w:t>
      </w:r>
      <w:hyperlink r:id="rId347" w:anchor="a13" w:history="1">
        <w:r w:rsidR="000D79C4" w:rsidRPr="000D79C4">
          <w:rPr>
            <w:rStyle w:val="a5"/>
            <w:kern w:val="0"/>
          </w:rPr>
          <w:t>十三</w:t>
        </w:r>
      </w:hyperlink>
      <w:r w:rsidR="000D79C4" w:rsidRPr="00A53581">
        <w:rPr>
          <w:rFonts w:ascii="新細明體" w:hAnsi="新細明體"/>
          <w:kern w:val="0"/>
        </w:rPr>
        <w:t>條</w:t>
      </w:r>
      <w:r w:rsidR="00203F72" w:rsidRPr="000D79C4">
        <w:t>宗教信仰自由之保障，並無牴觸。又</w:t>
      </w:r>
      <w:hyperlink r:id="rId348" w:history="1">
        <w:r w:rsidR="00203F72" w:rsidRPr="00E07281">
          <w:rPr>
            <w:rStyle w:val="a5"/>
            <w:rFonts w:ascii="Times New Roman" w:hAnsi="Times New Roman"/>
          </w:rPr>
          <w:t>兵役法施行法</w:t>
        </w:r>
      </w:hyperlink>
      <w:r w:rsidR="00203F72" w:rsidRPr="000D79C4">
        <w:t>第五十九條第二項規定：同條第一項判處徒刑人員，經依法赦免、減刑、緩刑、假釋後，其禁役者，如實際執行徒刑時間不滿四年時，免除禁役。故免除禁役者，倘仍在適役年齡，其服兵役之義務，並不因此而免除，兵役法施行法第</w:t>
      </w:r>
      <w:hyperlink r:id="rId349" w:anchor="a59" w:history="1">
        <w:r w:rsidR="00203F72" w:rsidRPr="000D79C4">
          <w:rPr>
            <w:rStyle w:val="a5"/>
          </w:rPr>
          <w:t>五十九</w:t>
        </w:r>
      </w:hyperlink>
      <w:r w:rsidR="00203F72" w:rsidRPr="000D79C4">
        <w:t>條第二項因而規定，由各該管轄司法機關通知其所屬縣（市）政府處理。若另有違反</w:t>
      </w:r>
      <w:hyperlink r:id="rId350" w:history="1">
        <w:r w:rsidR="00203F72" w:rsidRPr="000D79C4">
          <w:rPr>
            <w:rStyle w:val="a5"/>
          </w:rPr>
          <w:t>兵役法</w:t>
        </w:r>
      </w:hyperlink>
      <w:r w:rsidR="00203F72" w:rsidRPr="000D79C4">
        <w:t>之規定而符合處罰之要件者，仍應依妨害兵役治罪條例之規定處斷，並不構成一行為重複處罰問題，亦與憲法</w:t>
      </w:r>
      <w:r w:rsidR="000D79C4" w:rsidRPr="00A53581">
        <w:rPr>
          <w:rFonts w:ascii="新細明體" w:hAnsi="新細明體"/>
          <w:kern w:val="0"/>
        </w:rPr>
        <w:t>第</w:t>
      </w:r>
      <w:hyperlink r:id="rId351" w:anchor="a13" w:history="1">
        <w:r w:rsidR="000D79C4" w:rsidRPr="000D79C4">
          <w:rPr>
            <w:rStyle w:val="a5"/>
            <w:kern w:val="0"/>
          </w:rPr>
          <w:t>十三</w:t>
        </w:r>
      </w:hyperlink>
      <w:r w:rsidR="000D79C4" w:rsidRPr="00A53581">
        <w:rPr>
          <w:rFonts w:ascii="新細明體" w:hAnsi="新細明體"/>
          <w:kern w:val="0"/>
        </w:rPr>
        <w:t>條</w:t>
      </w:r>
      <w:r w:rsidR="00203F72" w:rsidRPr="000D79C4">
        <w:t>宗教信仰自由之保障及</w:t>
      </w:r>
      <w:r w:rsidR="00F66280" w:rsidRPr="00A53581">
        <w:rPr>
          <w:rFonts w:ascii="新細明體" w:hAnsi="新細明體"/>
        </w:rPr>
        <w:t>第</w:t>
      </w:r>
      <w:hyperlink r:id="rId352" w:anchor="a23" w:history="1">
        <w:r w:rsidR="00F66280" w:rsidRPr="00B525CE">
          <w:rPr>
            <w:rStyle w:val="a5"/>
          </w:rPr>
          <w:t>二十三</w:t>
        </w:r>
      </w:hyperlink>
      <w:r w:rsidR="00F66280" w:rsidRPr="00A53581">
        <w:rPr>
          <w:rFonts w:ascii="新細明體" w:hAnsi="新細明體"/>
        </w:rPr>
        <w:t>條</w:t>
      </w:r>
      <w:r w:rsidR="00203F72" w:rsidRPr="000D79C4">
        <w:t>比例原則之規定，不相牴觸。」依據本號解釋之內容，國民屨行服兵役之義務，並未違反人性尊嚴，亦未動搖憲法價值體系之基礎，故凡中華民國男子都有服兵役之義務。</w:t>
      </w:r>
    </w:p>
    <w:p w14:paraId="47DED21E" w14:textId="77777777" w:rsidR="00953151" w:rsidRDefault="00076467" w:rsidP="00767F37">
      <w:pPr>
        <w:pStyle w:val="2"/>
      </w:pPr>
      <w:hyperlink r:id="rId353" w:anchor="a21" w:history="1">
        <w:r w:rsidR="005D5A46">
          <w:rPr>
            <w:rStyle w:val="a5"/>
            <w:rFonts w:ascii="Arial Unicode MS" w:hAnsi="Arial Unicode MS"/>
          </w:rPr>
          <w:t>第</w:t>
        </w:r>
        <w:r w:rsidR="00203F72" w:rsidRPr="001B53A5">
          <w:rPr>
            <w:rStyle w:val="a5"/>
            <w:rFonts w:ascii="Arial Unicode MS" w:hAnsi="Arial Unicode MS"/>
          </w:rPr>
          <w:t>21</w:t>
        </w:r>
        <w:r w:rsidR="005D5A46">
          <w:rPr>
            <w:rStyle w:val="a5"/>
            <w:rFonts w:ascii="Arial Unicode MS" w:hAnsi="Arial Unicode MS"/>
          </w:rPr>
          <w:t>條</w:t>
        </w:r>
      </w:hyperlink>
      <w:r w:rsidR="00203F72" w:rsidRPr="00A53581">
        <w:t>人民有受國民教育之權利與義務。</w:t>
      </w:r>
    </w:p>
    <w:p w14:paraId="4A2F9CF8" w14:textId="77777777" w:rsidR="00953151" w:rsidRDefault="00B03E84" w:rsidP="00D87D91">
      <w:r>
        <w:t>【內容解析】</w:t>
      </w:r>
    </w:p>
    <w:p w14:paraId="1FA5A84B" w14:textId="77777777" w:rsidR="00953151" w:rsidRPr="000B1683" w:rsidRDefault="00B76D62" w:rsidP="00D87D91">
      <w:r w:rsidRPr="000B1683">
        <w:t xml:space="preserve">　　</w:t>
      </w:r>
      <w:r w:rsidR="00203F72" w:rsidRPr="000B1683">
        <w:t>國家要富強，社會要進步，必須使國民均受到相當之教育，如不履行國民教育，政府將強制執行，因此，受國民教育是國民之權利也是義務。我國民教育現為九年（即將改為十二年國教），強迫入學，學齡兒童家長及監護人都有讓學齡兒童受國民教育之責任。</w:t>
      </w:r>
    </w:p>
    <w:p w14:paraId="313602B0" w14:textId="77777777" w:rsidR="00953151" w:rsidRPr="000B1683" w:rsidRDefault="00B76D62" w:rsidP="00D87D91">
      <w:r w:rsidRPr="000B1683">
        <w:t xml:space="preserve">　　</w:t>
      </w:r>
      <w:r w:rsidR="00203F72" w:rsidRPr="000B1683">
        <w:t>依本憲法</w:t>
      </w:r>
      <w:hyperlink r:id="rId354" w:anchor="a160" w:history="1">
        <w:r w:rsidR="000B1683" w:rsidRPr="000B1683">
          <w:rPr>
            <w:rStyle w:val="a5"/>
          </w:rPr>
          <w:t>第160條</w:t>
        </w:r>
      </w:hyperlink>
      <w:r w:rsidR="00203F72" w:rsidRPr="000B1683">
        <w:t>之規定：「六歲至十二歲之學齡兒童，一律受基本教育，免納學費。其貧苦者，由政府供給書籍。已逾學齡未受基本教育之國民，一律受補習教育，免納學費，其書籍亦由政府供給。」依據上述憲法條文之規定，學齡兒童免納學費，貧苦者，由政府供給書籍，一律必須入學就讀。人民接受教育之權利，除了「受國民教育之權利」之外，尚包括：「受國民教育以外教育之權利」，如下表所述。</w:t>
      </w:r>
    </w:p>
    <w:p w14:paraId="0011F1AF" w14:textId="77777777" w:rsidR="000B1683" w:rsidRDefault="000B1683" w:rsidP="00D87D91"/>
    <w:p w14:paraId="4B716E96" w14:textId="01B308F4" w:rsidR="00203F72" w:rsidRPr="00907B83" w:rsidRDefault="00B03E84" w:rsidP="00D87D91">
      <w:r w:rsidRPr="00907B83">
        <w:t>【</w:t>
      </w:r>
      <w:r w:rsidRPr="00907B83">
        <w:t>table</w:t>
      </w:r>
      <w:r w:rsidR="005E23E3" w:rsidRPr="00907B8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17</w:t>
      </w:r>
      <w:r w:rsidR="00076467">
        <w:rPr>
          <w:noProof/>
        </w:rPr>
        <w:fldChar w:fldCharType="end"/>
      </w:r>
      <w:r w:rsidR="00203F72" w:rsidRPr="00907B83">
        <w:t>我國憲法本文未加以列舉之基本權一覽表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1411"/>
        <w:gridCol w:w="5821"/>
      </w:tblGrid>
      <w:tr w:rsidR="00203F72" w:rsidRPr="00A53581" w14:paraId="5022BEF4" w14:textId="77777777" w:rsidTr="00707676">
        <w:trPr>
          <w:tblHeader/>
        </w:trPr>
        <w:tc>
          <w:tcPr>
            <w:tcW w:w="525" w:type="pct"/>
            <w:shd w:val="clear" w:color="auto" w:fill="FAF0FA"/>
          </w:tcPr>
          <w:p w14:paraId="59AC4A2E" w14:textId="77777777" w:rsidR="00203F72" w:rsidRPr="00A53581" w:rsidRDefault="00203F72" w:rsidP="00D87D91">
            <w:r w:rsidRPr="00A53581">
              <w:t>權利</w:t>
            </w:r>
          </w:p>
        </w:tc>
        <w:tc>
          <w:tcPr>
            <w:tcW w:w="873" w:type="pct"/>
            <w:shd w:val="clear" w:color="auto" w:fill="FAF0FA"/>
          </w:tcPr>
          <w:p w14:paraId="41A6BE72" w14:textId="77777777" w:rsidR="00203F72" w:rsidRPr="00A53581" w:rsidRDefault="00203F72" w:rsidP="00D87D91">
            <w:r w:rsidRPr="00A53581">
              <w:t>司法院釋字號別</w:t>
            </w:r>
          </w:p>
        </w:tc>
        <w:tc>
          <w:tcPr>
            <w:tcW w:w="3603" w:type="pct"/>
            <w:shd w:val="clear" w:color="auto" w:fill="FAF0FA"/>
          </w:tcPr>
          <w:p w14:paraId="34E4FF4B" w14:textId="77777777" w:rsidR="00203F72" w:rsidRPr="00A53581" w:rsidRDefault="00203F72" w:rsidP="00D87D91">
            <w:r w:rsidRPr="00A53581">
              <w:t>內容</w:t>
            </w:r>
          </w:p>
        </w:tc>
      </w:tr>
      <w:tr w:rsidR="00203F72" w:rsidRPr="00A53581" w14:paraId="1223C3A6" w14:textId="77777777" w:rsidTr="00707676">
        <w:tc>
          <w:tcPr>
            <w:tcW w:w="525" w:type="pct"/>
            <w:shd w:val="clear" w:color="auto" w:fill="auto"/>
          </w:tcPr>
          <w:p w14:paraId="60048742" w14:textId="77777777" w:rsidR="00203F72" w:rsidRPr="00A53581" w:rsidRDefault="00203F72" w:rsidP="00D87D91">
            <w:r w:rsidRPr="00A53581">
              <w:t>人格權</w:t>
            </w:r>
          </w:p>
        </w:tc>
        <w:tc>
          <w:tcPr>
            <w:tcW w:w="873" w:type="pct"/>
            <w:shd w:val="clear" w:color="auto" w:fill="auto"/>
          </w:tcPr>
          <w:p w14:paraId="28C5C90B" w14:textId="77777777" w:rsidR="00203F72" w:rsidRPr="00A53581" w:rsidRDefault="00203F72" w:rsidP="00D87D91">
            <w:r w:rsidRPr="00A53581">
              <w:t>司法院釋字</w:t>
            </w:r>
            <w:hyperlink r:id="rId355" w:anchor="r664" w:history="1">
              <w:r w:rsidRPr="00707676">
                <w:rPr>
                  <w:rStyle w:val="a5"/>
                  <w:rFonts w:eastAsia="新細明體"/>
                </w:rPr>
                <w:t>第664號</w:t>
              </w:r>
            </w:hyperlink>
            <w:r w:rsidRPr="00A53581">
              <w:t>解釋理由書</w:t>
            </w:r>
          </w:p>
        </w:tc>
        <w:tc>
          <w:tcPr>
            <w:tcW w:w="3603" w:type="pct"/>
            <w:shd w:val="clear" w:color="auto" w:fill="auto"/>
          </w:tcPr>
          <w:p w14:paraId="46BE6B36" w14:textId="77777777" w:rsidR="00203F72" w:rsidRPr="00A53581" w:rsidRDefault="00203F72" w:rsidP="00D87D91">
            <w:r w:rsidRPr="00A53581">
              <w:t>人格權乃維護個人主體性及人格自由發展所不可或缺，亦與維護人性尊嚴關係密切，是人格權應受憲法</w:t>
            </w:r>
            <w:r w:rsidR="00707676" w:rsidRPr="003D02B1">
              <w:t>第</w:t>
            </w:r>
            <w:hyperlink r:id="rId356" w:anchor="a22" w:history="1">
              <w:r w:rsidR="00707676" w:rsidRPr="00227FE7">
                <w:rPr>
                  <w:rStyle w:val="a5"/>
                  <w:rFonts w:ascii="Times New Roman" w:eastAsia="新細明體" w:hAnsi="Times New Roman"/>
                </w:rPr>
                <w:t>二十二</w:t>
              </w:r>
            </w:hyperlink>
            <w:r w:rsidR="00707676" w:rsidRPr="003D02B1">
              <w:t>條</w:t>
            </w:r>
            <w:r w:rsidRPr="00A53581">
              <w:t>保障</w:t>
            </w:r>
            <w:r w:rsidRPr="00A53581">
              <w:rPr>
                <w:kern w:val="0"/>
              </w:rPr>
              <w:t>。</w:t>
            </w:r>
          </w:p>
        </w:tc>
      </w:tr>
      <w:tr w:rsidR="00203F72" w:rsidRPr="00A53581" w14:paraId="2C20C09F" w14:textId="77777777" w:rsidTr="00707676">
        <w:tc>
          <w:tcPr>
            <w:tcW w:w="525" w:type="pct"/>
            <w:vMerge w:val="restart"/>
            <w:shd w:val="clear" w:color="auto" w:fill="auto"/>
          </w:tcPr>
          <w:p w14:paraId="0115604B" w14:textId="77777777" w:rsidR="00203F72" w:rsidRPr="00A53581" w:rsidRDefault="00203F72" w:rsidP="00D87D91">
            <w:r w:rsidRPr="00A53581">
              <w:t>婚姻與家庭權</w:t>
            </w:r>
          </w:p>
        </w:tc>
        <w:tc>
          <w:tcPr>
            <w:tcW w:w="873" w:type="pct"/>
            <w:shd w:val="clear" w:color="auto" w:fill="auto"/>
          </w:tcPr>
          <w:p w14:paraId="2C1BDE6F" w14:textId="77777777" w:rsidR="00203F72" w:rsidRPr="00A53581" w:rsidRDefault="00203F72" w:rsidP="00D87D91">
            <w:r w:rsidRPr="00A53581">
              <w:t>司法院釋字</w:t>
            </w:r>
            <w:hyperlink r:id="rId357" w:anchor="r242" w:history="1">
              <w:r w:rsidRPr="00707676">
                <w:rPr>
                  <w:rStyle w:val="a5"/>
                  <w:rFonts w:eastAsia="新細明體"/>
                </w:rPr>
                <w:t>第242號</w:t>
              </w:r>
            </w:hyperlink>
            <w:r w:rsidRPr="00A53581">
              <w:t>解釋理由書</w:t>
            </w:r>
          </w:p>
        </w:tc>
        <w:tc>
          <w:tcPr>
            <w:tcW w:w="3603" w:type="pct"/>
            <w:shd w:val="clear" w:color="auto" w:fill="auto"/>
          </w:tcPr>
          <w:p w14:paraId="44312337" w14:textId="77777777" w:rsidR="00203F72" w:rsidRPr="00A53581" w:rsidRDefault="00203F72" w:rsidP="00D87D91">
            <w:r w:rsidRPr="00A53581">
              <w:t>對於此種有長期實際共同生活事實之後婚姻關係，仍得適用上開第</w:t>
            </w:r>
            <w:hyperlink r:id="rId358" w:anchor="a992" w:history="1">
              <w:r w:rsidRPr="008F066C">
                <w:rPr>
                  <w:rStyle w:val="a5"/>
                  <w:rFonts w:eastAsia="新細明體"/>
                </w:rPr>
                <w:t>九百九十二</w:t>
              </w:r>
            </w:hyperlink>
            <w:r w:rsidRPr="00A53581">
              <w:t>條之規定予以撤銷，其結果將致人民不得享有正常婚姻生活，嚴重影響後婚姻當事人及其親屬之家庭生活及人倫關係，反足以妨害社會秩序，就此而言，自與憲法</w:t>
            </w:r>
            <w:r w:rsidR="00707676" w:rsidRPr="003D02B1">
              <w:t>第</w:t>
            </w:r>
            <w:hyperlink r:id="rId359" w:anchor="a22" w:history="1">
              <w:r w:rsidR="00707676" w:rsidRPr="00227FE7">
                <w:rPr>
                  <w:rStyle w:val="a5"/>
                  <w:rFonts w:ascii="Times New Roman" w:eastAsia="新細明體" w:hAnsi="Times New Roman"/>
                </w:rPr>
                <w:t>二十二</w:t>
              </w:r>
            </w:hyperlink>
            <w:r w:rsidR="00707676" w:rsidRPr="003D02B1">
              <w:t>條</w:t>
            </w:r>
            <w:r w:rsidRPr="00A53581">
              <w:t>保障人民自由及權利之規定，有所牴觸</w:t>
            </w:r>
            <w:r w:rsidRPr="00A53581">
              <w:rPr>
                <w:kern w:val="0"/>
              </w:rPr>
              <w:t>。</w:t>
            </w:r>
          </w:p>
        </w:tc>
      </w:tr>
      <w:tr w:rsidR="00203F72" w:rsidRPr="00A53581" w14:paraId="23E0F191" w14:textId="77777777" w:rsidTr="00707676">
        <w:tc>
          <w:tcPr>
            <w:tcW w:w="525" w:type="pct"/>
            <w:vMerge/>
            <w:shd w:val="clear" w:color="auto" w:fill="auto"/>
          </w:tcPr>
          <w:p w14:paraId="7F8A686D" w14:textId="77777777" w:rsidR="00203F72" w:rsidRPr="00A53581" w:rsidRDefault="00203F72" w:rsidP="00D87D91"/>
        </w:tc>
        <w:tc>
          <w:tcPr>
            <w:tcW w:w="873" w:type="pct"/>
            <w:shd w:val="clear" w:color="auto" w:fill="auto"/>
          </w:tcPr>
          <w:p w14:paraId="7BD5278A" w14:textId="77777777" w:rsidR="00203F72" w:rsidRPr="00A53581" w:rsidRDefault="00203F72" w:rsidP="00D87D91">
            <w:r w:rsidRPr="00A53581">
              <w:t>司法院釋字</w:t>
            </w:r>
            <w:hyperlink r:id="rId360" w:anchor="r362" w:history="1">
              <w:r w:rsidRPr="00707676">
                <w:rPr>
                  <w:rStyle w:val="a5"/>
                  <w:rFonts w:eastAsia="新細明體"/>
                </w:rPr>
                <w:t>第362號</w:t>
              </w:r>
            </w:hyperlink>
            <w:r w:rsidRPr="00A53581">
              <w:t>解釋理由書</w:t>
            </w:r>
          </w:p>
        </w:tc>
        <w:tc>
          <w:tcPr>
            <w:tcW w:w="3603" w:type="pct"/>
            <w:shd w:val="clear" w:color="auto" w:fill="auto"/>
          </w:tcPr>
          <w:p w14:paraId="3B5AC268" w14:textId="77777777" w:rsidR="00203F72" w:rsidRPr="00A53581" w:rsidRDefault="00203F72" w:rsidP="00D87D91">
            <w:r w:rsidRPr="00A53581">
              <w:t>民法第</w:t>
            </w:r>
            <w:hyperlink r:id="rId361" w:anchor="a988" w:history="1">
              <w:r w:rsidRPr="008F066C">
                <w:rPr>
                  <w:rStyle w:val="a5"/>
                  <w:rFonts w:eastAsia="新細明體"/>
                </w:rPr>
                <w:t>九百八十八</w:t>
              </w:r>
            </w:hyperlink>
            <w:r w:rsidRPr="00A53581">
              <w:t>條第二款關於重婚無效之規定，仍所以維持一夫一妻婚姻制度之社會秩序，就一般情形而言，與憲法尚無牴觸</w:t>
            </w:r>
            <w:r w:rsidRPr="00A53581">
              <w:rPr>
                <w:kern w:val="0"/>
              </w:rPr>
              <w:t>。惟適婚之人無配偶者，本有結婚之自由，他人亦有與之相婚之自由。此種自由，依憲法</w:t>
            </w:r>
            <w:r w:rsidR="00707676" w:rsidRPr="003D02B1">
              <w:t>第</w:t>
            </w:r>
            <w:hyperlink r:id="rId362" w:anchor="a22" w:history="1">
              <w:r w:rsidR="00707676" w:rsidRPr="00227FE7">
                <w:rPr>
                  <w:rStyle w:val="a5"/>
                  <w:rFonts w:ascii="Times New Roman" w:eastAsia="新細明體" w:hAnsi="Times New Roman"/>
                </w:rPr>
                <w:t>二十二</w:t>
              </w:r>
            </w:hyperlink>
            <w:r w:rsidR="00707676" w:rsidRPr="003D02B1">
              <w:t>條</w:t>
            </w:r>
            <w:r w:rsidRPr="00A53581">
              <w:rPr>
                <w:kern w:val="0"/>
              </w:rPr>
              <w:t>規定，應受保障。</w:t>
            </w:r>
          </w:p>
        </w:tc>
      </w:tr>
      <w:tr w:rsidR="00203F72" w:rsidRPr="00A53581" w14:paraId="12EB2F9F" w14:textId="77777777" w:rsidTr="00707676">
        <w:tc>
          <w:tcPr>
            <w:tcW w:w="525" w:type="pct"/>
            <w:shd w:val="clear" w:color="auto" w:fill="auto"/>
          </w:tcPr>
          <w:p w14:paraId="079FFCBB" w14:textId="77777777" w:rsidR="00203F72" w:rsidRPr="00A53581" w:rsidRDefault="00203F72" w:rsidP="00D87D91">
            <w:r w:rsidRPr="00A53581">
              <w:t>姓名權</w:t>
            </w:r>
          </w:p>
        </w:tc>
        <w:tc>
          <w:tcPr>
            <w:tcW w:w="873" w:type="pct"/>
            <w:shd w:val="clear" w:color="auto" w:fill="auto"/>
          </w:tcPr>
          <w:p w14:paraId="1FAF3620" w14:textId="77777777" w:rsidR="00203F72" w:rsidRPr="00A53581" w:rsidRDefault="00203F72" w:rsidP="00D87D91">
            <w:r w:rsidRPr="00A53581">
              <w:t>司法院釋字</w:t>
            </w:r>
            <w:hyperlink r:id="rId363" w:anchor="r399" w:history="1">
              <w:r w:rsidRPr="00707676">
                <w:rPr>
                  <w:rStyle w:val="a5"/>
                  <w:rFonts w:eastAsia="新細明體"/>
                  <w:kern w:val="0"/>
                </w:rPr>
                <w:t>第399號</w:t>
              </w:r>
            </w:hyperlink>
            <w:r w:rsidRPr="00A53581">
              <w:t>解釋</w:t>
            </w:r>
          </w:p>
        </w:tc>
        <w:tc>
          <w:tcPr>
            <w:tcW w:w="3603" w:type="pct"/>
            <w:shd w:val="clear" w:color="auto" w:fill="auto"/>
          </w:tcPr>
          <w:p w14:paraId="1FBC3933" w14:textId="77777777" w:rsidR="00203F72" w:rsidRPr="00A53581" w:rsidRDefault="00203F72" w:rsidP="00D87D91">
            <w:r w:rsidRPr="00A53581">
              <w:t>姓名權為人格權之一種，人之姓名為其人格之表現，故如何命名為人民之自由，應為憲法</w:t>
            </w:r>
            <w:r w:rsidR="00707676" w:rsidRPr="003D02B1">
              <w:t>第</w:t>
            </w:r>
            <w:hyperlink r:id="rId364" w:anchor="a22" w:history="1">
              <w:r w:rsidR="00707676" w:rsidRPr="00227FE7">
                <w:rPr>
                  <w:rStyle w:val="a5"/>
                  <w:rFonts w:ascii="Times New Roman" w:eastAsia="新細明體" w:hAnsi="Times New Roman"/>
                </w:rPr>
                <w:t>二十二</w:t>
              </w:r>
            </w:hyperlink>
            <w:r w:rsidR="00707676" w:rsidRPr="003D02B1">
              <w:t>條</w:t>
            </w:r>
            <w:r w:rsidRPr="00A53581">
              <w:t>所保障。</w:t>
            </w:r>
          </w:p>
        </w:tc>
      </w:tr>
      <w:tr w:rsidR="00203F72" w:rsidRPr="00A53581" w14:paraId="535A0024" w14:textId="77777777" w:rsidTr="00707676">
        <w:tc>
          <w:tcPr>
            <w:tcW w:w="525" w:type="pct"/>
            <w:shd w:val="clear" w:color="auto" w:fill="auto"/>
          </w:tcPr>
          <w:p w14:paraId="638EB549" w14:textId="77777777" w:rsidR="00203F72" w:rsidRPr="00A53581" w:rsidRDefault="00203F72" w:rsidP="00D87D91">
            <w:r w:rsidRPr="00A53581">
              <w:t>子女獲知血統來源之權利</w:t>
            </w:r>
          </w:p>
        </w:tc>
        <w:tc>
          <w:tcPr>
            <w:tcW w:w="873" w:type="pct"/>
            <w:shd w:val="clear" w:color="auto" w:fill="auto"/>
          </w:tcPr>
          <w:p w14:paraId="74CD9924" w14:textId="77777777" w:rsidR="00203F72" w:rsidRPr="00A53581" w:rsidRDefault="00203F72" w:rsidP="00D87D91">
            <w:r w:rsidRPr="00A53581">
              <w:t>司法院釋字</w:t>
            </w:r>
            <w:hyperlink r:id="rId365" w:anchor="r587" w:history="1">
              <w:r w:rsidRPr="00707676">
                <w:rPr>
                  <w:rStyle w:val="a5"/>
                  <w:rFonts w:eastAsia="新細明體"/>
                  <w:kern w:val="0"/>
                </w:rPr>
                <w:t>第587號</w:t>
              </w:r>
            </w:hyperlink>
            <w:r w:rsidRPr="00A53581">
              <w:t>解釋</w:t>
            </w:r>
          </w:p>
        </w:tc>
        <w:tc>
          <w:tcPr>
            <w:tcW w:w="3603" w:type="pct"/>
            <w:shd w:val="clear" w:color="auto" w:fill="auto"/>
          </w:tcPr>
          <w:p w14:paraId="0E79024D" w14:textId="77777777" w:rsidR="00203F72" w:rsidRPr="00A53581" w:rsidRDefault="00203F72" w:rsidP="00D87D91">
            <w:r w:rsidRPr="00A53581">
              <w:t>子女獲知其血統來源，確定其真實父子身分關係，攸關子女之人格權，應受憲法保障。</w:t>
            </w:r>
          </w:p>
        </w:tc>
      </w:tr>
      <w:tr w:rsidR="00203F72" w:rsidRPr="00A53581" w14:paraId="50182F63" w14:textId="77777777" w:rsidTr="00707676">
        <w:tc>
          <w:tcPr>
            <w:tcW w:w="525" w:type="pct"/>
            <w:vMerge w:val="restart"/>
            <w:shd w:val="clear" w:color="auto" w:fill="auto"/>
          </w:tcPr>
          <w:p w14:paraId="3EC43973" w14:textId="77777777" w:rsidR="00203F72" w:rsidRPr="00A53581" w:rsidRDefault="00203F72" w:rsidP="00D87D91">
            <w:r w:rsidRPr="00A53581">
              <w:t>隱私權</w:t>
            </w:r>
          </w:p>
        </w:tc>
        <w:tc>
          <w:tcPr>
            <w:tcW w:w="873" w:type="pct"/>
            <w:shd w:val="clear" w:color="auto" w:fill="auto"/>
          </w:tcPr>
          <w:p w14:paraId="08DCB87D" w14:textId="77777777" w:rsidR="00203F72" w:rsidRPr="00A53581" w:rsidRDefault="00203F72" w:rsidP="00D87D91">
            <w:r w:rsidRPr="00A53581">
              <w:t>司法院釋字</w:t>
            </w:r>
            <w:hyperlink r:id="rId366" w:anchor="r293" w:history="1">
              <w:r w:rsidRPr="00707676">
                <w:rPr>
                  <w:rStyle w:val="a5"/>
                  <w:rFonts w:eastAsia="新細明體"/>
                  <w:kern w:val="0"/>
                </w:rPr>
                <w:t>第293號</w:t>
              </w:r>
            </w:hyperlink>
            <w:r w:rsidRPr="00A53581">
              <w:t>解釋</w:t>
            </w:r>
          </w:p>
        </w:tc>
        <w:tc>
          <w:tcPr>
            <w:tcW w:w="3603" w:type="pct"/>
            <w:shd w:val="clear" w:color="auto" w:fill="auto"/>
          </w:tcPr>
          <w:p w14:paraId="169E405F" w14:textId="77777777" w:rsidR="00203F72" w:rsidRPr="00A53581" w:rsidRDefault="00203F72" w:rsidP="00D87D91">
            <w:r w:rsidRPr="00A53581">
              <w:t>銀行法第</w:t>
            </w:r>
            <w:hyperlink r:id="rId367" w:anchor="a48" w:history="1">
              <w:r w:rsidRPr="00707676">
                <w:rPr>
                  <w:rStyle w:val="a5"/>
                  <w:rFonts w:eastAsia="新細明體"/>
                  <w:kern w:val="0"/>
                </w:rPr>
                <w:t>四十八</w:t>
              </w:r>
            </w:hyperlink>
            <w:r w:rsidRPr="00A53581">
              <w:t>條第二項規定：「銀行對於顧客之存款、放款或匯款等有關資料，除其他法律或中央主管機關另有規定者外，應保守秘密」，旨在保障銀行之一般客戶財產上之秘密及防止客戶與銀行往來資料之任意公開，以維護人民之隱私權。惟公營銀行之預算、決算依法應受議會之審議，議會因審議上之必要，就公營銀行依規定已屬逾期放款中，除收回無望或已報呆帳部分，依依現行規定處理外，其餘部分，有相當理由足認其放款顯有不當者，經議會之決議，在銀行不透露個別客戶姓名及議會不公開有關資料之條件下，要求銀行提供該項資料時，為兼顧議會對公營銀行之監督，仍應予以提供。</w:t>
            </w:r>
          </w:p>
        </w:tc>
      </w:tr>
      <w:tr w:rsidR="00203F72" w:rsidRPr="00A53581" w14:paraId="407B8C4C" w14:textId="77777777" w:rsidTr="00707676">
        <w:tc>
          <w:tcPr>
            <w:tcW w:w="525" w:type="pct"/>
            <w:vMerge/>
            <w:shd w:val="clear" w:color="auto" w:fill="auto"/>
          </w:tcPr>
          <w:p w14:paraId="4ADECF9E" w14:textId="77777777" w:rsidR="00203F72" w:rsidRPr="00A53581" w:rsidRDefault="00203F72" w:rsidP="00D87D91"/>
        </w:tc>
        <w:tc>
          <w:tcPr>
            <w:tcW w:w="873" w:type="pct"/>
            <w:shd w:val="clear" w:color="auto" w:fill="auto"/>
          </w:tcPr>
          <w:p w14:paraId="60CFB464" w14:textId="77777777" w:rsidR="00203F72" w:rsidRPr="00A53581" w:rsidRDefault="00203F72" w:rsidP="00D87D91">
            <w:r w:rsidRPr="00A53581">
              <w:t>司法院釋字</w:t>
            </w:r>
            <w:hyperlink r:id="rId368" w:anchor="r603" w:history="1">
              <w:r w:rsidRPr="00707676">
                <w:rPr>
                  <w:rStyle w:val="a5"/>
                  <w:rFonts w:eastAsia="新細明體"/>
                  <w:kern w:val="0"/>
                </w:rPr>
                <w:t>第603號</w:t>
              </w:r>
            </w:hyperlink>
            <w:r w:rsidRPr="00A53581">
              <w:t>解釋理由書</w:t>
            </w:r>
          </w:p>
        </w:tc>
        <w:tc>
          <w:tcPr>
            <w:tcW w:w="3603" w:type="pct"/>
            <w:shd w:val="clear" w:color="auto" w:fill="auto"/>
          </w:tcPr>
          <w:p w14:paraId="1B4851EC" w14:textId="77777777" w:rsidR="00203F72" w:rsidRPr="00A53581" w:rsidRDefault="00203F72" w:rsidP="00D87D91">
            <w:r w:rsidRPr="00A53581">
              <w:t>維護人性尊嚴與尊重人格自由發展，乃自由民主憲政秩序之核心價值。隱私權雖非憲法明文列舉之權利，惟基於人性尊嚴與個人主體性之維護及人格發展之完整，並為保障個人生活私密領域免於他人侵擾及個人資料之自主控制，隱私權乃為不可或缺之基本權利，而受憲法</w:t>
            </w:r>
            <w:r w:rsidR="00707676" w:rsidRPr="003D02B1">
              <w:t>第</w:t>
            </w:r>
            <w:hyperlink r:id="rId369" w:anchor="a22" w:history="1">
              <w:r w:rsidR="00707676" w:rsidRPr="00227FE7">
                <w:rPr>
                  <w:rStyle w:val="a5"/>
                  <w:rFonts w:ascii="Times New Roman" w:eastAsia="新細明體" w:hAnsi="Times New Roman"/>
                </w:rPr>
                <w:t>二十二</w:t>
              </w:r>
            </w:hyperlink>
            <w:r w:rsidR="00707676" w:rsidRPr="003D02B1">
              <w:t>條</w:t>
            </w:r>
            <w:r w:rsidRPr="00A53581">
              <w:t>所保障（本院釋字第</w:t>
            </w:r>
            <w:hyperlink r:id="rId370" w:anchor="r585" w:history="1">
              <w:r w:rsidRPr="008F066C">
                <w:rPr>
                  <w:rStyle w:val="a5"/>
                  <w:rFonts w:eastAsia="新細明體"/>
                  <w:kern w:val="0"/>
                </w:rPr>
                <w:t>五八五</w:t>
              </w:r>
            </w:hyperlink>
            <w:r w:rsidRPr="00A53581">
              <w:t>號解釋參照）。其中就個人自主控制個人資料之資訊隱私權而言，乃保障人民決定是否揭露其個人資料、及在何種範圍內、於何時、以何種方式、向何人揭露之決定權，並保障人民對其個人資料之使用有知悉與控制權及資料記載錯誤之更正權。</w:t>
            </w:r>
          </w:p>
        </w:tc>
      </w:tr>
      <w:tr w:rsidR="00203F72" w:rsidRPr="00A53581" w14:paraId="44CC3C28" w14:textId="77777777" w:rsidTr="00707676">
        <w:tc>
          <w:tcPr>
            <w:tcW w:w="525" w:type="pct"/>
            <w:shd w:val="clear" w:color="auto" w:fill="auto"/>
          </w:tcPr>
          <w:p w14:paraId="5EC216F9" w14:textId="77777777" w:rsidR="00203F72" w:rsidRPr="00A53581" w:rsidRDefault="00203F72" w:rsidP="00D87D91">
            <w:r w:rsidRPr="00A53581">
              <w:t>性自主權</w:t>
            </w:r>
          </w:p>
        </w:tc>
        <w:tc>
          <w:tcPr>
            <w:tcW w:w="873" w:type="pct"/>
            <w:shd w:val="clear" w:color="auto" w:fill="auto"/>
          </w:tcPr>
          <w:p w14:paraId="56F846B7" w14:textId="77777777" w:rsidR="00203F72" w:rsidRPr="00A53581" w:rsidRDefault="00203F72" w:rsidP="00D87D91">
            <w:r w:rsidRPr="00A53581">
              <w:t>司法院釋字第</w:t>
            </w:r>
            <w:r w:rsidRPr="00A53581">
              <w:t>554</w:t>
            </w:r>
            <w:r w:rsidRPr="00A53581">
              <w:t>號解釋</w:t>
            </w:r>
          </w:p>
        </w:tc>
        <w:tc>
          <w:tcPr>
            <w:tcW w:w="3603" w:type="pct"/>
            <w:shd w:val="clear" w:color="auto" w:fill="auto"/>
          </w:tcPr>
          <w:p w14:paraId="0DBDC8C7" w14:textId="77777777" w:rsidR="00203F72" w:rsidRPr="00A53581" w:rsidRDefault="00203F72" w:rsidP="00D87D91">
            <w:r w:rsidRPr="00A53581">
              <w:t>性行為自由與個人之人格有不可分離之關係，固得自主決定是否及與何人發生性行為，惟依憲法</w:t>
            </w:r>
            <w:r w:rsidR="00707676" w:rsidRPr="003D02B1">
              <w:t>第</w:t>
            </w:r>
            <w:hyperlink r:id="rId371" w:anchor="a22" w:history="1">
              <w:r w:rsidR="00707676" w:rsidRPr="00227FE7">
                <w:rPr>
                  <w:rStyle w:val="a5"/>
                  <w:rFonts w:ascii="Times New Roman" w:eastAsia="新細明體" w:hAnsi="Times New Roman"/>
                </w:rPr>
                <w:t>二十二</w:t>
              </w:r>
            </w:hyperlink>
            <w:r w:rsidR="00707676" w:rsidRPr="003D02B1">
              <w:t>條</w:t>
            </w:r>
            <w:r w:rsidRPr="00A53581">
              <w:t>規定，於不妨害社會秩序公共利益之前提下，始受保障。是性行為之自由，自應受婚姻與家庭制度之制約。</w:t>
            </w:r>
          </w:p>
        </w:tc>
      </w:tr>
      <w:tr w:rsidR="00203F72" w:rsidRPr="00A53581" w14:paraId="7D317660" w14:textId="77777777" w:rsidTr="00707676">
        <w:tc>
          <w:tcPr>
            <w:tcW w:w="525" w:type="pct"/>
            <w:shd w:val="clear" w:color="auto" w:fill="auto"/>
          </w:tcPr>
          <w:p w14:paraId="6A2C9768" w14:textId="77777777" w:rsidR="00203F72" w:rsidRPr="00A53581" w:rsidRDefault="00203F72" w:rsidP="00D87D91">
            <w:r w:rsidRPr="00A53581">
              <w:t>契約自由</w:t>
            </w:r>
          </w:p>
        </w:tc>
        <w:tc>
          <w:tcPr>
            <w:tcW w:w="873" w:type="pct"/>
            <w:shd w:val="clear" w:color="auto" w:fill="auto"/>
          </w:tcPr>
          <w:p w14:paraId="4BB9588E" w14:textId="77777777" w:rsidR="00203F72" w:rsidRPr="00A53581" w:rsidRDefault="00203F72" w:rsidP="00D87D91">
            <w:r w:rsidRPr="00A53581">
              <w:t>司法院釋字第</w:t>
            </w:r>
            <w:r w:rsidRPr="00A53581">
              <w:t>576</w:t>
            </w:r>
            <w:r w:rsidRPr="00A53581">
              <w:t>號解釋</w:t>
            </w:r>
          </w:p>
        </w:tc>
        <w:tc>
          <w:tcPr>
            <w:tcW w:w="3603" w:type="pct"/>
            <w:shd w:val="clear" w:color="auto" w:fill="auto"/>
          </w:tcPr>
          <w:p w14:paraId="20872F62" w14:textId="77777777" w:rsidR="00203F72" w:rsidRPr="00A53581" w:rsidRDefault="00203F72" w:rsidP="00D87D91">
            <w:pPr>
              <w:rPr>
                <w:kern w:val="0"/>
              </w:rPr>
            </w:pPr>
            <w:r w:rsidRPr="00A53581">
              <w:t>契約自由為個人自主發展與實現自我之重要機制，並為私法自治之基礎，除依契約之具體內容受憲法各相關基本權利規定保障外，亦屬憲法</w:t>
            </w:r>
            <w:r w:rsidR="00707676" w:rsidRPr="003D02B1">
              <w:t>第</w:t>
            </w:r>
            <w:hyperlink r:id="rId372" w:anchor="a22" w:history="1">
              <w:r w:rsidR="00707676" w:rsidRPr="00227FE7">
                <w:rPr>
                  <w:rStyle w:val="a5"/>
                  <w:rFonts w:ascii="Times New Roman" w:eastAsia="新細明體" w:hAnsi="Times New Roman"/>
                </w:rPr>
                <w:t>二十二</w:t>
              </w:r>
            </w:hyperlink>
            <w:r w:rsidR="00707676" w:rsidRPr="003D02B1">
              <w:t>條</w:t>
            </w:r>
            <w:r w:rsidRPr="00A53581">
              <w:t>所保障其他自由權利之一種</w:t>
            </w:r>
            <w:r w:rsidRPr="00A53581">
              <w:rPr>
                <w:kern w:val="0"/>
              </w:rPr>
              <w:t>。惟國家基於維護公益之必要，尚非不得以法律對之為合理之限制。</w:t>
            </w:r>
          </w:p>
        </w:tc>
      </w:tr>
      <w:tr w:rsidR="00203F72" w:rsidRPr="00A53581" w14:paraId="5ADCCFC2" w14:textId="77777777" w:rsidTr="00707676">
        <w:tc>
          <w:tcPr>
            <w:tcW w:w="525" w:type="pct"/>
            <w:shd w:val="clear" w:color="auto" w:fill="auto"/>
          </w:tcPr>
          <w:p w14:paraId="6D972E6B" w14:textId="77777777" w:rsidR="00203F72" w:rsidRPr="00A53581" w:rsidRDefault="00203F72" w:rsidP="00D87D91">
            <w:r w:rsidRPr="00A53581">
              <w:t>名譽權、</w:t>
            </w:r>
            <w:r w:rsidRPr="00A53581">
              <w:rPr>
                <w:rFonts w:cs="Arial"/>
              </w:rPr>
              <w:t>人性尊嚴</w:t>
            </w:r>
          </w:p>
        </w:tc>
        <w:tc>
          <w:tcPr>
            <w:tcW w:w="873" w:type="pct"/>
            <w:shd w:val="clear" w:color="auto" w:fill="auto"/>
          </w:tcPr>
          <w:p w14:paraId="5BDCAE4A" w14:textId="77777777" w:rsidR="00203F72" w:rsidRPr="00A53581" w:rsidRDefault="00203F72" w:rsidP="00D87D91">
            <w:r w:rsidRPr="00A53581">
              <w:t>釋字</w:t>
            </w:r>
            <w:hyperlink r:id="rId373" w:anchor="r656" w:history="1">
              <w:r w:rsidRPr="00707676">
                <w:rPr>
                  <w:rStyle w:val="a5"/>
                  <w:rFonts w:eastAsia="新細明體"/>
                  <w:kern w:val="0"/>
                </w:rPr>
                <w:t>第656號</w:t>
              </w:r>
            </w:hyperlink>
            <w:r w:rsidRPr="00A53581">
              <w:t>解釋文與理由書</w:t>
            </w:r>
          </w:p>
        </w:tc>
        <w:tc>
          <w:tcPr>
            <w:tcW w:w="3603" w:type="pct"/>
            <w:shd w:val="clear" w:color="auto" w:fill="auto"/>
          </w:tcPr>
          <w:p w14:paraId="3C172A9E" w14:textId="77777777" w:rsidR="00953151" w:rsidRDefault="00203F72" w:rsidP="00D87D91">
            <w:pPr>
              <w:rPr>
                <w:kern w:val="0"/>
              </w:rPr>
            </w:pPr>
            <w:r w:rsidRPr="00A53581">
              <w:rPr>
                <w:kern w:val="0"/>
              </w:rPr>
              <w:t>釋</w:t>
            </w:r>
            <w:r w:rsidR="00707676" w:rsidRPr="00A53581">
              <w:rPr>
                <w:kern w:val="0"/>
              </w:rPr>
              <w:t>字</w:t>
            </w:r>
            <w:hyperlink r:id="rId374" w:anchor="r656" w:history="1">
              <w:r w:rsidR="00707676" w:rsidRPr="00707676">
                <w:rPr>
                  <w:rStyle w:val="a5"/>
                  <w:rFonts w:eastAsia="新細明體"/>
                  <w:kern w:val="0"/>
                </w:rPr>
                <w:t>第656號</w:t>
              </w:r>
            </w:hyperlink>
            <w:r w:rsidRPr="00A53581">
              <w:rPr>
                <w:kern w:val="0"/>
              </w:rPr>
              <w:t>解釋文</w:t>
            </w:r>
            <w:r w:rsidR="00D92F56">
              <w:rPr>
                <w:rFonts w:hint="eastAsia"/>
                <w:kern w:val="0"/>
              </w:rPr>
              <w:t>〜</w:t>
            </w:r>
            <w:r w:rsidRPr="00A53581">
              <w:rPr>
                <w:rFonts w:cs="Arial"/>
              </w:rPr>
              <w:t>民法</w:t>
            </w:r>
            <w:r w:rsidR="00707676" w:rsidRPr="00A53581">
              <w:rPr>
                <w:kern w:val="0"/>
              </w:rPr>
              <w:t>第</w:t>
            </w:r>
            <w:hyperlink r:id="rId375" w:anchor="a195" w:history="1">
              <w:r w:rsidR="00707676" w:rsidRPr="00707676">
                <w:rPr>
                  <w:rStyle w:val="a5"/>
                  <w:rFonts w:eastAsia="新細明體"/>
                  <w:kern w:val="0"/>
                </w:rPr>
                <w:t>一百九十五</w:t>
              </w:r>
            </w:hyperlink>
            <w:r w:rsidR="00707676" w:rsidRPr="00A53581">
              <w:rPr>
                <w:kern w:val="0"/>
              </w:rPr>
              <w:t>條</w:t>
            </w:r>
            <w:r w:rsidRPr="00A53581">
              <w:rPr>
                <w:rFonts w:cs="Arial"/>
              </w:rPr>
              <w:t>第一項後段規定：「其名譽被侵害者，並得請求回復名譽之適當處分。」所謂回復名譽之適當處分，如屬以判決命加害人公開道歉，而未涉及加害人自我羞辱等損及人性尊嚴之情事者，即未違背憲</w:t>
            </w:r>
            <w:r w:rsidR="00B525CE" w:rsidRPr="00A53581">
              <w:t>法第</w:t>
            </w:r>
            <w:hyperlink r:id="rId376" w:anchor="a23" w:history="1">
              <w:r w:rsidR="00B525CE" w:rsidRPr="00B525CE">
                <w:rPr>
                  <w:rStyle w:val="a5"/>
                </w:rPr>
                <w:t>二十三</w:t>
              </w:r>
            </w:hyperlink>
            <w:r w:rsidR="00B525CE" w:rsidRPr="00A53581">
              <w:t>條</w:t>
            </w:r>
            <w:r w:rsidRPr="00A53581">
              <w:rPr>
                <w:rFonts w:cs="Arial"/>
              </w:rPr>
              <w:t>比例原則，而不牴觸憲法對不表意自由之保障。</w:t>
            </w:r>
          </w:p>
          <w:p w14:paraId="5FCAD227" w14:textId="77777777" w:rsidR="00707676" w:rsidRDefault="00707676" w:rsidP="00D87D91">
            <w:r>
              <w:t xml:space="preserve">　　</w:t>
            </w:r>
            <w:r w:rsidR="00203F72" w:rsidRPr="00A53581">
              <w:t>釋</w:t>
            </w:r>
            <w:r w:rsidRPr="00A53581">
              <w:t>字</w:t>
            </w:r>
            <w:hyperlink r:id="rId377" w:anchor="r656" w:history="1">
              <w:r w:rsidRPr="00707676">
                <w:rPr>
                  <w:rStyle w:val="a5"/>
                  <w:rFonts w:eastAsia="新細明體"/>
                  <w:kern w:val="0"/>
                </w:rPr>
                <w:t>第656號</w:t>
              </w:r>
            </w:hyperlink>
            <w:r w:rsidR="00203F72" w:rsidRPr="00A53581">
              <w:t>理由書</w:t>
            </w:r>
            <w:r w:rsidR="00D92F56">
              <w:rPr>
                <w:rFonts w:hint="eastAsia"/>
              </w:rPr>
              <w:t>〜</w:t>
            </w:r>
            <w:r w:rsidR="00203F72" w:rsidRPr="00A53581">
              <w:t>名譽權旨在維護個人主體性及人格之完整，為實現人性尊嚴所必要，受憲法</w:t>
            </w:r>
            <w:r w:rsidRPr="003D02B1">
              <w:t>第</w:t>
            </w:r>
            <w:hyperlink r:id="rId378" w:anchor="a22" w:history="1">
              <w:r w:rsidRPr="00227FE7">
                <w:rPr>
                  <w:rStyle w:val="a5"/>
                  <w:rFonts w:ascii="Times New Roman" w:eastAsia="新細明體" w:hAnsi="Times New Roman"/>
                </w:rPr>
                <w:t>二十二</w:t>
              </w:r>
            </w:hyperlink>
            <w:r w:rsidRPr="003D02B1">
              <w:t>條</w:t>
            </w:r>
            <w:r w:rsidR="00203F72" w:rsidRPr="00A53581">
              <w:t>所保障。民法第</w:t>
            </w:r>
            <w:hyperlink r:id="rId379" w:anchor="a195" w:history="1">
              <w:r w:rsidR="00203F72" w:rsidRPr="00707676">
                <w:rPr>
                  <w:rStyle w:val="a5"/>
                  <w:rFonts w:eastAsia="新細明體"/>
                  <w:kern w:val="0"/>
                </w:rPr>
                <w:t>一百九十五</w:t>
              </w:r>
            </w:hyperlink>
            <w:r w:rsidR="00203F72" w:rsidRPr="00A53581">
              <w:t>條第一項規定：「不法侵害他人之身體、健康、名譽、自由、信用、隱私、貞操，或不法侵害其他人格法益而情節重大者，被害人雖非財產上之損害，亦得請求賠償相當之金額。其名譽被侵害者，並得請求回復名譽之適當處分。」</w:t>
            </w:r>
          </w:p>
          <w:p w14:paraId="02ED0B72" w14:textId="77777777" w:rsidR="00203F72" w:rsidRPr="00A53581" w:rsidRDefault="00707676" w:rsidP="00D87D91">
            <w:r>
              <w:t xml:space="preserve">　　</w:t>
            </w:r>
            <w:r w:rsidR="00203F72" w:rsidRPr="00A53581">
              <w:t>其後段之規定，即在使名譽被侵害者除金錢賠償外，尚得請求法院於裁判中權衡個案具體情形，藉適當處分以回復其名譽。至於回復名譽之方法，民事審判實務上不乏以判命登報道歉作為回復名譽之適當處分，且著有判決先例。</w:t>
            </w:r>
          </w:p>
        </w:tc>
      </w:tr>
      <w:tr w:rsidR="00203F72" w:rsidRPr="00A53581" w14:paraId="67E98E04" w14:textId="77777777" w:rsidTr="00707676">
        <w:tc>
          <w:tcPr>
            <w:tcW w:w="525" w:type="pct"/>
            <w:shd w:val="clear" w:color="auto" w:fill="auto"/>
          </w:tcPr>
          <w:p w14:paraId="641B19EC" w14:textId="77777777" w:rsidR="00203F72" w:rsidRPr="00A53581" w:rsidRDefault="00203F72" w:rsidP="00D87D91">
            <w:r w:rsidRPr="00A53581">
              <w:t>受國民教育以外之受教育權</w:t>
            </w:r>
          </w:p>
        </w:tc>
        <w:tc>
          <w:tcPr>
            <w:tcW w:w="873" w:type="pct"/>
            <w:shd w:val="clear" w:color="auto" w:fill="auto"/>
          </w:tcPr>
          <w:p w14:paraId="7EBE5869" w14:textId="77777777" w:rsidR="00203F72" w:rsidRPr="00A53581" w:rsidRDefault="00203F72" w:rsidP="00D87D91">
            <w:r w:rsidRPr="00A53581">
              <w:t>司法院釋字</w:t>
            </w:r>
            <w:hyperlink r:id="rId380" w:anchor="r626" w:history="1">
              <w:r w:rsidRPr="006B7176">
                <w:rPr>
                  <w:rStyle w:val="a5"/>
                  <w:rFonts w:eastAsia="新細明體"/>
                  <w:kern w:val="0"/>
                </w:rPr>
                <w:t>第626號</w:t>
              </w:r>
            </w:hyperlink>
            <w:r w:rsidRPr="00A53581">
              <w:t>解釋理由書</w:t>
            </w:r>
          </w:p>
        </w:tc>
        <w:tc>
          <w:tcPr>
            <w:tcW w:w="3603" w:type="pct"/>
            <w:shd w:val="clear" w:color="auto" w:fill="auto"/>
          </w:tcPr>
          <w:p w14:paraId="6752A0A3" w14:textId="77777777" w:rsidR="00203F72" w:rsidRPr="00A53581" w:rsidRDefault="00203F72" w:rsidP="00D87D91">
            <w:r w:rsidRPr="00A53581">
              <w:t>按人民受教育之權利，依其憲法規範基礎之不同，可區分為「受國民教育之權利」及「受國民教育以外教育之權利」。前者明定於憲法</w:t>
            </w:r>
            <w:r w:rsidR="00707676" w:rsidRPr="003D02B1">
              <w:t>第</w:t>
            </w:r>
            <w:hyperlink r:id="rId381" w:anchor="a21" w:history="1">
              <w:r w:rsidR="00707676" w:rsidRPr="00707676">
                <w:rPr>
                  <w:rStyle w:val="a5"/>
                  <w:rFonts w:ascii="Times New Roman" w:eastAsia="新細明體" w:hAnsi="Times New Roman"/>
                </w:rPr>
                <w:t>二十一</w:t>
              </w:r>
            </w:hyperlink>
            <w:r w:rsidR="00707676" w:rsidRPr="003D02B1">
              <w:t>條</w:t>
            </w:r>
            <w:r w:rsidRPr="00A53581">
              <w:t>，旨在使人民得請求國家提供以國民教育為內容之給付，國家亦有履行該項給付之義務。至於人民受國民教育以外教育之權利，固為憲法</w:t>
            </w:r>
            <w:r w:rsidR="00707676" w:rsidRPr="003D02B1">
              <w:t>第</w:t>
            </w:r>
            <w:hyperlink r:id="rId382" w:anchor="a22" w:history="1">
              <w:r w:rsidR="00707676" w:rsidRPr="00227FE7">
                <w:rPr>
                  <w:rStyle w:val="a5"/>
                  <w:rFonts w:ascii="Times New Roman" w:eastAsia="新細明體" w:hAnsi="Times New Roman"/>
                </w:rPr>
                <w:t>二十二</w:t>
              </w:r>
            </w:hyperlink>
            <w:r w:rsidR="00707676" w:rsidRPr="003D02B1">
              <w:t>條</w:t>
            </w:r>
            <w:r w:rsidRPr="00A53581">
              <w:t>所保障（本院釋字第</w:t>
            </w:r>
            <w:hyperlink r:id="rId383" w:anchor="r382" w:history="1">
              <w:r w:rsidRPr="00707676">
                <w:rPr>
                  <w:rStyle w:val="a5"/>
                  <w:rFonts w:eastAsia="新細明體"/>
                  <w:kern w:val="0"/>
                </w:rPr>
                <w:t>三八二</w:t>
              </w:r>
            </w:hyperlink>
            <w:r w:rsidRPr="00A53581">
              <w:t>號解釋參照），惟鑑於教育資源有限，所保障者係以學生在校接受教育之權利不受國家恣意限制或剝奪為主要內容，並不包括賦予人民請求給予入學許可、提供特定教育給付之權利。</w:t>
            </w:r>
          </w:p>
        </w:tc>
      </w:tr>
      <w:tr w:rsidR="00203F72" w:rsidRPr="00A53581" w14:paraId="0DCD8B02" w14:textId="77777777" w:rsidTr="00707676">
        <w:tc>
          <w:tcPr>
            <w:tcW w:w="525" w:type="pct"/>
            <w:shd w:val="clear" w:color="auto" w:fill="auto"/>
          </w:tcPr>
          <w:p w14:paraId="05FA1283" w14:textId="77777777" w:rsidR="00203F72" w:rsidRPr="00A53581" w:rsidRDefault="00203F72" w:rsidP="00D87D91">
            <w:pPr>
              <w:rPr>
                <w:kern w:val="0"/>
              </w:rPr>
            </w:pPr>
            <w:r w:rsidRPr="00A53581">
              <w:rPr>
                <w:kern w:val="0"/>
              </w:rPr>
              <w:t>收養</w:t>
            </w:r>
            <w:r w:rsidRPr="00A53581">
              <w:rPr>
                <w:rFonts w:hint="eastAsia"/>
              </w:rPr>
              <w:t>子女之自由</w:t>
            </w:r>
            <w:r w:rsidRPr="00A53581">
              <w:rPr>
                <w:kern w:val="0"/>
              </w:rPr>
              <w:t>權</w:t>
            </w:r>
          </w:p>
        </w:tc>
        <w:tc>
          <w:tcPr>
            <w:tcW w:w="873" w:type="pct"/>
            <w:shd w:val="clear" w:color="auto" w:fill="auto"/>
          </w:tcPr>
          <w:p w14:paraId="65A4E402" w14:textId="77777777" w:rsidR="00203F72" w:rsidRPr="00A53581" w:rsidRDefault="00203F72" w:rsidP="00D87D91">
            <w:r w:rsidRPr="00A53581">
              <w:t>司法院釋字</w:t>
            </w:r>
            <w:hyperlink r:id="rId384" w:anchor="r712" w:history="1">
              <w:r w:rsidRPr="00707676">
                <w:rPr>
                  <w:rStyle w:val="a5"/>
                  <w:rFonts w:eastAsia="新細明體"/>
                  <w:kern w:val="0"/>
                </w:rPr>
                <w:t>第</w:t>
              </w:r>
              <w:r w:rsidRPr="00707676">
                <w:rPr>
                  <w:rStyle w:val="a5"/>
                  <w:rFonts w:eastAsia="新細明體" w:hint="eastAsia"/>
                  <w:kern w:val="0"/>
                </w:rPr>
                <w:t>712</w:t>
              </w:r>
              <w:r w:rsidRPr="00707676">
                <w:rPr>
                  <w:rStyle w:val="a5"/>
                  <w:rFonts w:eastAsia="新細明體"/>
                  <w:kern w:val="0"/>
                </w:rPr>
                <w:t>號</w:t>
              </w:r>
            </w:hyperlink>
            <w:r w:rsidRPr="00A53581">
              <w:t>解釋文</w:t>
            </w:r>
          </w:p>
        </w:tc>
        <w:tc>
          <w:tcPr>
            <w:tcW w:w="3603" w:type="pct"/>
            <w:shd w:val="clear" w:color="auto" w:fill="auto"/>
          </w:tcPr>
          <w:p w14:paraId="01CC1851" w14:textId="77777777" w:rsidR="00203F72" w:rsidRPr="00A53581" w:rsidRDefault="00203F72" w:rsidP="00D87D91">
            <w:r w:rsidRPr="00A53581">
              <w:rPr>
                <w:rFonts w:hint="eastAsia"/>
              </w:rPr>
              <w:t>基於人性尊嚴之理念，個人主體性及人格之自由發展，應受憲法保障（釋字第</w:t>
            </w:r>
            <w:hyperlink r:id="rId385" w:anchor="r689" w:history="1">
              <w:r w:rsidRPr="00AC7348">
                <w:rPr>
                  <w:rStyle w:val="a5"/>
                  <w:rFonts w:hint="eastAsia"/>
                </w:rPr>
                <w:t>六八九</w:t>
              </w:r>
            </w:hyperlink>
            <w:r w:rsidRPr="00A53581">
              <w:rPr>
                <w:rFonts w:hint="eastAsia"/>
              </w:rPr>
              <w:t>號解釋參照）。婚姻與家庭為社會形成與發展之基礎，受憲法制度性保障（釋字第</w:t>
            </w:r>
            <w:hyperlink r:id="rId386" w:anchor="r362" w:history="1">
              <w:r w:rsidRPr="00707676">
                <w:rPr>
                  <w:rStyle w:val="a5"/>
                  <w:rFonts w:eastAsia="新細明體" w:hint="eastAsia"/>
                </w:rPr>
                <w:t>三六二</w:t>
              </w:r>
            </w:hyperlink>
            <w:r w:rsidRPr="00A53581">
              <w:rPr>
                <w:rFonts w:hint="eastAsia"/>
              </w:rPr>
              <w:t>號、第</w:t>
            </w:r>
            <w:hyperlink r:id="rId387" w:anchor="r552" w:history="1">
              <w:r w:rsidRPr="00707676">
                <w:rPr>
                  <w:rStyle w:val="a5"/>
                  <w:rFonts w:eastAsia="新細明體" w:hint="eastAsia"/>
                </w:rPr>
                <w:t>五五二</w:t>
              </w:r>
            </w:hyperlink>
            <w:r w:rsidRPr="00A53581">
              <w:rPr>
                <w:rFonts w:hint="eastAsia"/>
              </w:rPr>
              <w:t>號、第</w:t>
            </w:r>
            <w:hyperlink r:id="rId388" w:anchor="r554" w:history="1">
              <w:r w:rsidRPr="00707676">
                <w:rPr>
                  <w:rStyle w:val="a5"/>
                  <w:rFonts w:eastAsia="新細明體" w:hint="eastAsia"/>
                </w:rPr>
                <w:t>五五四</w:t>
              </w:r>
            </w:hyperlink>
            <w:r w:rsidRPr="00A53581">
              <w:rPr>
                <w:rFonts w:hint="eastAsia"/>
              </w:rPr>
              <w:t>號及第</w:t>
            </w:r>
            <w:hyperlink r:id="rId389" w:anchor="r696" w:history="1">
              <w:r w:rsidRPr="00AC7348">
                <w:rPr>
                  <w:rStyle w:val="a5"/>
                  <w:rFonts w:hint="eastAsia"/>
                </w:rPr>
                <w:t>六九六</w:t>
              </w:r>
            </w:hyperlink>
            <w:r w:rsidRPr="00A53581">
              <w:rPr>
                <w:rFonts w:hint="eastAsia"/>
              </w:rPr>
              <w:t>號解釋參照）。家庭制度植基於人格自由，具有繁衍、教育、經濟、文化等多重功能，乃提供個人於社會生活之必要支持，並為社會形成與發展之基礎。而收養為我國家庭制度之一環，係以創設親子關係為目的之身分行為，藉此形成收養人與被收養人間教養、撫育、扶持、認同、家傳承之人倫關係，對於收養人及被收養人之身心發展與人格之形塑具有重要功能。是人民收養子女之自由，攸關收養人及被收養人之人格自由發展，應受憲法</w:t>
            </w:r>
            <w:r w:rsidR="00707676" w:rsidRPr="003D02B1">
              <w:t>第</w:t>
            </w:r>
            <w:hyperlink r:id="rId390" w:anchor="a22" w:history="1">
              <w:r w:rsidR="00707676" w:rsidRPr="00227FE7">
                <w:rPr>
                  <w:rStyle w:val="a5"/>
                  <w:rFonts w:ascii="Times New Roman" w:eastAsia="新細明體" w:hAnsi="Times New Roman"/>
                </w:rPr>
                <w:t>二十二</w:t>
              </w:r>
            </w:hyperlink>
            <w:r w:rsidR="00707676" w:rsidRPr="003D02B1">
              <w:t>條</w:t>
            </w:r>
            <w:r w:rsidRPr="00A53581">
              <w:rPr>
                <w:rFonts w:hint="eastAsia"/>
              </w:rPr>
              <w:t>所保障。</w:t>
            </w:r>
          </w:p>
        </w:tc>
      </w:tr>
    </w:tbl>
    <w:p w14:paraId="215A8C52" w14:textId="77777777" w:rsidR="00953151" w:rsidRDefault="00B76D62" w:rsidP="00D87D91">
      <w:r>
        <w:t>【本表資料來源】</w:t>
      </w:r>
      <w:r w:rsidR="00203F72" w:rsidRPr="00A53581">
        <w:t>宣政大</w:t>
      </w:r>
      <w:r w:rsidR="00203F72" w:rsidRPr="00A53581">
        <w:t>(2011)</w:t>
      </w:r>
      <w:r w:rsidR="00203F72" w:rsidRPr="00A53581">
        <w:t>，憲法精要，第</w:t>
      </w:r>
      <w:r w:rsidR="00203F72" w:rsidRPr="00A53581">
        <w:t>2</w:t>
      </w:r>
      <w:r w:rsidR="00203F72" w:rsidRPr="00A53581">
        <w:t>版，台北市：來勝文化公司，第</w:t>
      </w:r>
      <w:r w:rsidR="00203F72" w:rsidRPr="00A53581">
        <w:t>1-60</w:t>
      </w:r>
      <w:r w:rsidR="00203F72" w:rsidRPr="00A53581">
        <w:t>頁，第</w:t>
      </w:r>
      <w:r w:rsidR="00203F72" w:rsidRPr="00A53581">
        <w:t>1-61</w:t>
      </w:r>
      <w:r w:rsidR="00203F72" w:rsidRPr="00A53581">
        <w:t>頁，第</w:t>
      </w:r>
      <w:r w:rsidR="00203F72" w:rsidRPr="00A53581">
        <w:t>1-62</w:t>
      </w:r>
      <w:r w:rsidR="00203F72" w:rsidRPr="00A53581">
        <w:t>頁，本表格並經作者增修之</w:t>
      </w:r>
      <w:r w:rsidR="00545D58">
        <w:t>。</w:t>
      </w:r>
    </w:p>
    <w:p w14:paraId="29C5DFEF" w14:textId="77777777" w:rsidR="00953151" w:rsidRDefault="00076467" w:rsidP="00767F37">
      <w:pPr>
        <w:pStyle w:val="2"/>
      </w:pPr>
      <w:hyperlink r:id="rId391" w:anchor="a22" w:history="1">
        <w:r w:rsidR="005D5A46">
          <w:rPr>
            <w:rStyle w:val="a5"/>
            <w:rFonts w:ascii="Arial Unicode MS" w:hAnsi="Arial Unicode MS"/>
          </w:rPr>
          <w:t>第</w:t>
        </w:r>
        <w:r w:rsidR="00203F72" w:rsidRPr="001B53A5">
          <w:rPr>
            <w:rStyle w:val="a5"/>
            <w:rFonts w:ascii="Arial Unicode MS" w:hAnsi="Arial Unicode MS"/>
          </w:rPr>
          <w:t>22</w:t>
        </w:r>
        <w:r w:rsidR="005D5A46">
          <w:rPr>
            <w:rStyle w:val="a5"/>
            <w:rFonts w:ascii="Arial Unicode MS" w:hAnsi="Arial Unicode MS"/>
          </w:rPr>
          <w:t>條</w:t>
        </w:r>
      </w:hyperlink>
      <w:r w:rsidR="00203F72" w:rsidRPr="00A53581">
        <w:t>凡人民之其他自由及權利，不妨害社會秩序公共利益者，均受憲法之保障。</w:t>
      </w:r>
    </w:p>
    <w:p w14:paraId="272CABDE" w14:textId="77777777" w:rsidR="00953151" w:rsidRPr="00AC7348" w:rsidRDefault="00B03E84" w:rsidP="00D87D91">
      <w:r w:rsidRPr="00AC7348">
        <w:t>【內容解析】</w:t>
      </w:r>
    </w:p>
    <w:p w14:paraId="77CA2788" w14:textId="77777777" w:rsidR="00953151" w:rsidRPr="00AC7348" w:rsidRDefault="00B76D62" w:rsidP="00D87D91">
      <w:r w:rsidRPr="00AC7348">
        <w:t xml:space="preserve">　　</w:t>
      </w:r>
      <w:r w:rsidR="00203F72" w:rsidRPr="00AC7348">
        <w:t>人民自由權利保障之規定，有些國家法律規定採「直接保障主義」者，即由憲法明文詳細規定，故「直接保障主義」，又稱「憲法保障主義」或「絕對保障主義」。有些國家法律規定採「間接保障主義」，卽憲法制定人民自由權利時，使用「依法律」或「非依法律」不得限制之規定，依此準則，立法機關就可使用立法權訂定相關法律，限制人民之自由權利，此種規定又稱為「法律保障主義」或「相對保障主義」。我國憲法對人民自由權利之規定，是採「直接保障主義」為原則，如憲法</w:t>
      </w:r>
      <w:hyperlink r:id="rId392" w:anchor="a7" w:history="1">
        <w:r w:rsidR="00203F72" w:rsidRPr="00707676">
          <w:rPr>
            <w:rStyle w:val="a5"/>
            <w:rFonts w:ascii="Times New Roman" w:eastAsia="新細明體" w:hAnsi="Times New Roman"/>
          </w:rPr>
          <w:t>第二章</w:t>
        </w:r>
      </w:hyperlink>
      <w:r w:rsidR="00203F72" w:rsidRPr="00AC7348">
        <w:t>各條列舉之人民應享有之權利義務，及本條以概括方式規定之「均受憲法之保障」。同時，以「間接保障主義」為例外，如</w:t>
      </w:r>
      <w:hyperlink r:id="rId393" w:anchor="a23" w:history="1">
        <w:r w:rsidR="00AC00F5" w:rsidRPr="00AC7348">
          <w:rPr>
            <w:rStyle w:val="a5"/>
          </w:rPr>
          <w:t>第23條</w:t>
        </w:r>
      </w:hyperlink>
      <w:r w:rsidR="00203F72" w:rsidRPr="00AC7348">
        <w:t>以上各條列舉之自由權利，除為防止妨礙他人自由、避免緊急危難、維持社會秩序，或增進公共利益所必要者外，不得以法律限制之</w:t>
      </w:r>
      <w:r w:rsidR="00203F72" w:rsidRPr="00AC7348">
        <w:footnoteReference w:id="54"/>
      </w:r>
      <w:r w:rsidR="00203F72" w:rsidRPr="00AC7348">
        <w:t>。本條主要在說明，對於不在憲法列舉範圍內之人民自由權利，只要是在不妨害社會秩序及公共利益之情形下，都受到國家應有之保障。</w:t>
      </w:r>
    </w:p>
    <w:p w14:paraId="215B7BFA" w14:textId="77777777" w:rsidR="00953151" w:rsidRDefault="00076467" w:rsidP="00767F37">
      <w:pPr>
        <w:pStyle w:val="2"/>
      </w:pPr>
      <w:hyperlink r:id="rId394" w:anchor="a23" w:history="1">
        <w:r w:rsidR="005D5A46">
          <w:rPr>
            <w:rStyle w:val="a5"/>
            <w:rFonts w:ascii="Arial Unicode MS" w:hAnsi="Arial Unicode MS"/>
          </w:rPr>
          <w:t>第</w:t>
        </w:r>
        <w:r w:rsidR="00203F72" w:rsidRPr="001B53A5">
          <w:rPr>
            <w:rStyle w:val="a5"/>
            <w:rFonts w:ascii="Arial Unicode MS" w:hAnsi="Arial Unicode MS"/>
          </w:rPr>
          <w:t>23</w:t>
        </w:r>
        <w:r w:rsidR="005D5A46">
          <w:rPr>
            <w:rStyle w:val="a5"/>
            <w:rFonts w:ascii="Arial Unicode MS" w:hAnsi="Arial Unicode MS"/>
          </w:rPr>
          <w:t>條</w:t>
        </w:r>
      </w:hyperlink>
      <w:r w:rsidR="00203F72" w:rsidRPr="00A53581">
        <w:t>以上各條列舉之自由權利，除為防止妨礙他人自由、避免緊急危難、維持社會秩序，或增進公共利益所必要者外，不得以法律限制之。</w:t>
      </w:r>
    </w:p>
    <w:p w14:paraId="4DAFEB21" w14:textId="77777777" w:rsidR="00953151" w:rsidRPr="003D02B1" w:rsidRDefault="00B03E84" w:rsidP="00D87D91">
      <w:r w:rsidRPr="003D02B1">
        <w:t>【內容解析】</w:t>
      </w:r>
    </w:p>
    <w:p w14:paraId="70DC2B80" w14:textId="77777777" w:rsidR="00953151" w:rsidRPr="003D02B1" w:rsidRDefault="00B76D62" w:rsidP="00D87D91">
      <w:r w:rsidRPr="003D02B1">
        <w:t xml:space="preserve">　　</w:t>
      </w:r>
      <w:r w:rsidR="00203F72" w:rsidRPr="003D02B1">
        <w:t>本條明文闡述人民之自由權利，國家並非完全不能限制，在妨礙他人自由、避免緊急危難、維持社會秩序，或增進公共利益所必要時，立法機關得制定法律限制人民之自由權利，此種規定稱人民自由權利之憲法保留。根據司法院釋</w:t>
      </w:r>
      <w:r w:rsidR="00A32AD8" w:rsidRPr="00686D2C">
        <w:t>字</w:t>
      </w:r>
      <w:hyperlink r:id="rId395" w:anchor="r443" w:history="1">
        <w:r w:rsidR="00A32AD8" w:rsidRPr="00A32AD8">
          <w:rPr>
            <w:rStyle w:val="a5"/>
            <w:rFonts w:ascii="Times New Roman" w:hAnsi="Times New Roman"/>
          </w:rPr>
          <w:t>第</w:t>
        </w:r>
        <w:r w:rsidR="00A32AD8" w:rsidRPr="00A32AD8">
          <w:rPr>
            <w:rStyle w:val="a5"/>
            <w:rFonts w:ascii="Times New Roman" w:hAnsi="Times New Roman"/>
          </w:rPr>
          <w:t>443</w:t>
        </w:r>
        <w:r w:rsidR="00A32AD8" w:rsidRPr="00A32AD8">
          <w:rPr>
            <w:rStyle w:val="a5"/>
            <w:rFonts w:ascii="Times New Roman" w:hAnsi="Times New Roman"/>
          </w:rPr>
          <w:t>號</w:t>
        </w:r>
      </w:hyperlink>
      <w:r w:rsidR="00203F72" w:rsidRPr="003D02B1">
        <w:t>解釋理由書中之闡述：「憲法所定人民之自由及權利範圍甚廣，凡不妨害社會秩序公共利益者，均受保障。惟並非一切自由及權利均無分軒輊受憲法毫無差別之保障</w:t>
      </w:r>
      <w:r w:rsidR="00203F72" w:rsidRPr="003D02B1">
        <w:t>…</w:t>
      </w:r>
      <w:r w:rsidR="00203F72" w:rsidRPr="003D02B1">
        <w:t>憲法</w:t>
      </w:r>
      <w:hyperlink r:id="rId396" w:anchor="a7" w:history="1">
        <w:r w:rsidR="007D50BB" w:rsidRPr="007D50BB">
          <w:rPr>
            <w:rStyle w:val="a5"/>
            <w:rFonts w:ascii="Times New Roman" w:hAnsi="Times New Roman"/>
          </w:rPr>
          <w:t>第七條</w:t>
        </w:r>
      </w:hyperlink>
      <w:r w:rsidR="00203F72" w:rsidRPr="003D02B1">
        <w:t>、</w:t>
      </w:r>
      <w:hyperlink r:id="rId397" w:anchor="a9" w:history="1">
        <w:r w:rsidR="00BD43D3" w:rsidRPr="001408FD">
          <w:rPr>
            <w:rStyle w:val="a5"/>
          </w:rPr>
          <w:t>第九條</w:t>
        </w:r>
      </w:hyperlink>
      <w:r w:rsidR="00203F72" w:rsidRPr="003D02B1">
        <w:t>至</w:t>
      </w:r>
      <w:r w:rsidR="00306E89" w:rsidRPr="000D79C4">
        <w:t>第</w:t>
      </w:r>
      <w:hyperlink r:id="rId398" w:anchor="a18" w:history="1">
        <w:r w:rsidR="00306E89" w:rsidRPr="00306E89">
          <w:rPr>
            <w:rStyle w:val="a5"/>
            <w:rFonts w:ascii="Times New Roman" w:hAnsi="Times New Roman"/>
          </w:rPr>
          <w:t>十八</w:t>
        </w:r>
      </w:hyperlink>
      <w:r w:rsidR="00306E89" w:rsidRPr="000D79C4">
        <w:t>條</w:t>
      </w:r>
      <w:r w:rsidR="00203F72" w:rsidRPr="003D02B1">
        <w:t>、第</w:t>
      </w:r>
      <w:hyperlink r:id="rId399" w:anchor="a21" w:history="1">
        <w:r w:rsidR="00203F72" w:rsidRPr="00707676">
          <w:rPr>
            <w:rStyle w:val="a5"/>
            <w:rFonts w:ascii="Times New Roman" w:eastAsia="新細明體" w:hAnsi="Times New Roman"/>
          </w:rPr>
          <w:t>二十一</w:t>
        </w:r>
      </w:hyperlink>
      <w:r w:rsidR="00203F72" w:rsidRPr="003D02B1">
        <w:t>條及第</w:t>
      </w:r>
      <w:hyperlink r:id="rId400" w:anchor="a22" w:history="1">
        <w:r w:rsidR="00203F72" w:rsidRPr="00227FE7">
          <w:rPr>
            <w:rStyle w:val="a5"/>
            <w:rFonts w:ascii="Times New Roman" w:eastAsia="新細明體" w:hAnsi="Times New Roman"/>
          </w:rPr>
          <w:t>二十二</w:t>
        </w:r>
      </w:hyperlink>
      <w:r w:rsidR="00203F72" w:rsidRPr="003D02B1">
        <w:t>條之各種自由及權利，則於符合憲</w:t>
      </w:r>
      <w:r w:rsidR="00B525CE" w:rsidRPr="00A53581">
        <w:rPr>
          <w:rFonts w:ascii="新細明體" w:hAnsi="新細明體"/>
        </w:rPr>
        <w:t>法第</w:t>
      </w:r>
      <w:hyperlink r:id="rId401" w:anchor="a23" w:history="1">
        <w:r w:rsidR="00B525CE" w:rsidRPr="00B525CE">
          <w:rPr>
            <w:rStyle w:val="a5"/>
          </w:rPr>
          <w:t>二十三</w:t>
        </w:r>
      </w:hyperlink>
      <w:r w:rsidR="00B525CE" w:rsidRPr="00A53581">
        <w:rPr>
          <w:rFonts w:ascii="新細明體" w:hAnsi="新細明體"/>
        </w:rPr>
        <w:t>條</w:t>
      </w:r>
      <w:r w:rsidR="00203F72" w:rsidRPr="003D02B1">
        <w:t>之條件下，得以法律限制之。</w:t>
      </w:r>
      <w:r w:rsidR="00203F72" w:rsidRPr="003D02B1">
        <w:t>….</w:t>
      </w:r>
      <w:r w:rsidR="00203F72" w:rsidRPr="003D02B1">
        <w:t>至何種事項應以法律直接規範或得委由命令予以規定，與所謂規範密度有關，應</w:t>
      </w:r>
      <w:r w:rsidR="003E240E">
        <w:t>視</w:t>
      </w:r>
      <w:r w:rsidR="00203F72" w:rsidRPr="003D02B1">
        <w:t>規範對象、內容或法益本身及其所受限制之輕重而容許合理之差異：諸如剝奪人民生命或限制人民身體自由者，必須遵守罪刑法定主義，以制定法律之方式為之；涉及人民其他自由權利之限制者，亦應由法律加以規定，如以法律授權主管機關發布命令為補充規定時，其授權應符合具體明確之原則；若僅屬與執行法律之細節性、技術性次要事項，則得由主管機關發布命令為必要之規範，雖因而對人民產生不便或輕微影響，尚非憲法所不許。又關於給付行政措施，其受法律規範之密度，自較限制人民權益者寬鬆，倘涉及公共利益之重大事項者，應有法律或法律授權之命令為依據之必要，乃屬當然</w:t>
      </w:r>
      <w:r w:rsidR="00203F72" w:rsidRPr="003D02B1">
        <w:t>…</w:t>
      </w:r>
      <w:r w:rsidR="00203F72" w:rsidRPr="003D02B1">
        <w:t>。」故，各種自由及權利得以法律限制，應以法律直接規範或得委由命令予以規定，應</w:t>
      </w:r>
      <w:r w:rsidR="003E240E">
        <w:t>視</w:t>
      </w:r>
      <w:r w:rsidR="00203F72" w:rsidRPr="003D02B1">
        <w:t>規範對象、內容或法益本身，及其所受限制之輕重，而容許合理之差異性。</w:t>
      </w:r>
    </w:p>
    <w:p w14:paraId="497DB786" w14:textId="77777777" w:rsidR="00953151" w:rsidRPr="003D02B1" w:rsidRDefault="00B76D62" w:rsidP="00D87D91">
      <w:r w:rsidRPr="003D02B1">
        <w:t xml:space="preserve">　　</w:t>
      </w:r>
      <w:r w:rsidR="00203F72" w:rsidRPr="003D02B1">
        <w:t>就規範密度而論，司法院釋字</w:t>
      </w:r>
      <w:hyperlink r:id="rId402" w:anchor="r617" w:history="1">
        <w:r w:rsidR="00203F72" w:rsidRPr="00AC7348">
          <w:rPr>
            <w:rStyle w:val="a5"/>
            <w:rFonts w:ascii="Times New Roman" w:hAnsi="Times New Roman"/>
          </w:rPr>
          <w:t>第</w:t>
        </w:r>
        <w:r w:rsidR="00203F72" w:rsidRPr="00AC7348">
          <w:rPr>
            <w:rStyle w:val="a5"/>
            <w:rFonts w:ascii="Times New Roman" w:hAnsi="Times New Roman"/>
          </w:rPr>
          <w:t>617</w:t>
        </w:r>
        <w:r w:rsidR="00203F72" w:rsidRPr="00AC7348">
          <w:rPr>
            <w:rStyle w:val="a5"/>
            <w:rFonts w:ascii="Times New Roman" w:hAnsi="Times New Roman"/>
          </w:rPr>
          <w:t>號</w:t>
        </w:r>
      </w:hyperlink>
      <w:r w:rsidR="00203F72" w:rsidRPr="003D02B1">
        <w:t>解釋亦對於本議題加以論及；依司法院釋</w:t>
      </w:r>
      <w:r w:rsidR="00AC7348" w:rsidRPr="003D02B1">
        <w:t>字</w:t>
      </w:r>
      <w:hyperlink r:id="rId403" w:anchor="r617" w:history="1">
        <w:r w:rsidR="00AC7348" w:rsidRPr="00AC7348">
          <w:rPr>
            <w:rStyle w:val="a5"/>
            <w:rFonts w:ascii="Times New Roman" w:hAnsi="Times New Roman"/>
          </w:rPr>
          <w:t>第</w:t>
        </w:r>
        <w:r w:rsidR="00AC7348" w:rsidRPr="00AC7348">
          <w:rPr>
            <w:rStyle w:val="a5"/>
            <w:rFonts w:ascii="Times New Roman" w:hAnsi="Times New Roman"/>
          </w:rPr>
          <w:t>617</w:t>
        </w:r>
        <w:r w:rsidR="00AC7348" w:rsidRPr="00AC7348">
          <w:rPr>
            <w:rStyle w:val="a5"/>
            <w:rFonts w:ascii="Times New Roman" w:hAnsi="Times New Roman"/>
          </w:rPr>
          <w:t>號</w:t>
        </w:r>
      </w:hyperlink>
      <w:r w:rsidR="00203F72" w:rsidRPr="003D02B1">
        <w:t>解釋之見解：「惟憲法對言論及出版自由之保障並非絕對，應依其性質而有不同之保護範疇及限制之準則，國家於符合憲</w:t>
      </w:r>
      <w:r w:rsidR="00B525CE" w:rsidRPr="00A53581">
        <w:rPr>
          <w:rFonts w:ascii="新細明體" w:hAnsi="新細明體"/>
        </w:rPr>
        <w:t>法第</w:t>
      </w:r>
      <w:hyperlink r:id="rId404" w:anchor="a23" w:history="1">
        <w:r w:rsidR="00B525CE" w:rsidRPr="00B525CE">
          <w:rPr>
            <w:rStyle w:val="a5"/>
          </w:rPr>
          <w:t>二十三</w:t>
        </w:r>
      </w:hyperlink>
      <w:r w:rsidR="00B525CE" w:rsidRPr="00A53581">
        <w:rPr>
          <w:rFonts w:ascii="新細明體" w:hAnsi="新細明體"/>
        </w:rPr>
        <w:t>條</w:t>
      </w:r>
      <w:r w:rsidR="00203F72" w:rsidRPr="003D02B1">
        <w:t>規定意旨之範圍內，得以法律明確規定對之予以適當之限制</w:t>
      </w:r>
      <w:r w:rsidR="00545D58" w:rsidRPr="003D02B1">
        <w:t>。</w:t>
      </w:r>
      <w:r w:rsidR="00203F72" w:rsidRPr="003D02B1">
        <w:t>為維持男女生活中之性道德感情與社會風化，立法機關如制定法律加以規範，</w:t>
      </w:r>
      <w:r w:rsidR="00203F72" w:rsidRPr="003D02B1">
        <w:t>….</w:t>
      </w:r>
      <w:r w:rsidR="00203F72" w:rsidRPr="003D02B1">
        <w:t>在客觀上足以引起普通一般人羞恥或厭惡感而侵害性之道德感情，有礙於社會風化者，對於平等和諧之社會性價值秩序顯有危害。侵害此等社會共同價值秩序之行為，即違反憲法上所保障之社會秩序，立法者制定法律加以管制，其管制目的核屬正當</w:t>
      </w:r>
      <w:r w:rsidR="00203F72" w:rsidRPr="003D02B1">
        <w:t>…</w:t>
      </w:r>
      <w:r w:rsidR="00203F72" w:rsidRPr="003D02B1">
        <w:t>」。</w:t>
      </w:r>
    </w:p>
    <w:p w14:paraId="76F66A6A" w14:textId="77777777" w:rsidR="00953151" w:rsidRPr="003D02B1" w:rsidRDefault="00B76D62" w:rsidP="00D87D91">
      <w:r w:rsidRPr="003D02B1">
        <w:t xml:space="preserve">　　</w:t>
      </w:r>
      <w:r w:rsidR="00203F72" w:rsidRPr="003D02B1">
        <w:t>行使個人自由時，須不能妨礙到他人自由，關於此點，立法機關定了一些法律加以規範，如我國民法、</w:t>
      </w:r>
      <w:hyperlink r:id="rId405" w:history="1">
        <w:r w:rsidR="006B7176" w:rsidRPr="006B7176">
          <w:rPr>
            <w:rStyle w:val="a5"/>
            <w:rFonts w:eastAsia="新細明體"/>
            <w:kern w:val="0"/>
          </w:rPr>
          <w:t>刑法</w:t>
        </w:r>
      </w:hyperlink>
      <w:r w:rsidR="00203F72" w:rsidRPr="003D02B1">
        <w:t>都有不能損害他人自由之規定，如果違反法律規定是會遭到一定處罰。同時為了國家安全考量，避免國家遭到急迫之傷害，亦得制定法律限制人民之自由，如戒嚴法。而為了維持社會秩序，亦得制定相關法律保障人民生活之安全，如制定社會秩序維護法等，限制人民部分之自由，以達到社會安定、安全之目的。另為增進公共利益，也可以訂定一些法律來要求人民遵守，如稅捐稽徵法，要求人民納稅以建設國家，使國家富強。</w:t>
      </w:r>
    </w:p>
    <w:p w14:paraId="665D636F" w14:textId="77777777" w:rsidR="00953151" w:rsidRPr="003D02B1" w:rsidRDefault="00B76D62" w:rsidP="00D87D91">
      <w:r w:rsidRPr="003D02B1">
        <w:t xml:space="preserve">　　</w:t>
      </w:r>
      <w:r w:rsidR="00203F72" w:rsidRPr="003D02B1">
        <w:t>本條所規範之內涵及精神，即為公法上之比例原則。所謂之「比例原則」，又被稱為「過度之禁止」（</w:t>
      </w:r>
      <w:r w:rsidR="00203F72" w:rsidRPr="003D02B1">
        <w:t>Übermaßverbot</w:t>
      </w:r>
      <w:r w:rsidR="00203F72" w:rsidRPr="003D02B1">
        <w:t>）</w:t>
      </w:r>
      <w:r w:rsidR="00203F72" w:rsidRPr="003D02B1">
        <w:footnoteReference w:id="55"/>
      </w:r>
      <w:r w:rsidR="00203F72" w:rsidRPr="003D02B1">
        <w:t>；比例原則是為達目的之手段選擇之準則，是「手段」與「手段」之間，以及「手段」與「目的」之間之考量；「比例原則」共計包括以下</w:t>
      </w:r>
      <w:r w:rsidR="00203F72" w:rsidRPr="003D02B1">
        <w:t>3</w:t>
      </w:r>
      <w:r w:rsidR="00203F72" w:rsidRPr="003D02B1">
        <w:t>項之子原則</w:t>
      </w:r>
      <w:r w:rsidR="00203F72" w:rsidRPr="003D02B1">
        <w:footnoteReference w:id="56"/>
      </w:r>
      <w:r w:rsidR="00203F72" w:rsidRPr="003D02B1">
        <w:t>：</w:t>
      </w:r>
      <w:r w:rsidR="00203F72" w:rsidRPr="003D02B1">
        <w:t>1.</w:t>
      </w:r>
      <w:r w:rsidR="00203F72" w:rsidRPr="003D02B1">
        <w:t>適當性原則：在手段之選擇上，是否適當（適切）之問題；</w:t>
      </w:r>
      <w:r w:rsidR="00203F72" w:rsidRPr="003D02B1">
        <w:t>2.</w:t>
      </w:r>
      <w:r w:rsidR="00203F72" w:rsidRPr="003D02B1">
        <w:t>必要性原則：手段不得逾越所欲達成目的之必要限度，且就達到目的之多種可行之手段間，執法人員選擇</w:t>
      </w:r>
      <w:r w:rsidR="00203F72" w:rsidRPr="003D02B1">
        <w:t>—</w:t>
      </w:r>
      <w:r w:rsidR="00203F72" w:rsidRPr="003D02B1">
        <w:t>損害最小之手段；</w:t>
      </w:r>
      <w:r w:rsidR="00203F72" w:rsidRPr="003D02B1">
        <w:t>3.</w:t>
      </w:r>
      <w:r w:rsidR="00203F72" w:rsidRPr="003D02B1">
        <w:t>狹義比例原則：本原則是屬於「目的」與「結果」間關聯性之考量；乃指主管機關所採行之措施，所欲達到之「目的」</w:t>
      </w:r>
      <w:r w:rsidR="00203F72" w:rsidRPr="003D02B1">
        <w:t>(</w:t>
      </w:r>
      <w:r w:rsidR="00203F72" w:rsidRPr="003D02B1">
        <w:t>法規之目的</w:t>
      </w:r>
      <w:r w:rsidR="00203F72" w:rsidRPr="003D02B1">
        <w:t>)</w:t>
      </w:r>
      <w:r w:rsidR="00203F72" w:rsidRPr="003D02B1">
        <w:t>，與執行上開目的對人民所產生之「不利後果」</w:t>
      </w:r>
      <w:r w:rsidR="00203F72" w:rsidRPr="003D02B1">
        <w:t>(</w:t>
      </w:r>
      <w:r w:rsidR="00203F72" w:rsidRPr="003D02B1">
        <w:t>負作用</w:t>
      </w:r>
      <w:r w:rsidR="00203F72" w:rsidRPr="003D02B1">
        <w:t>)</w:t>
      </w:r>
      <w:r w:rsidR="00203F72" w:rsidRPr="003D02B1">
        <w:t>，兩者之間，不得不成比例性。</w:t>
      </w:r>
    </w:p>
    <w:p w14:paraId="27BC8E24" w14:textId="77777777" w:rsidR="00953151" w:rsidRPr="003D02B1" w:rsidRDefault="00B76D62" w:rsidP="00D87D91">
      <w:r w:rsidRPr="003D02B1">
        <w:t xml:space="preserve">　　</w:t>
      </w:r>
      <w:r w:rsidR="00203F72" w:rsidRPr="003D02B1">
        <w:t>上開之「比例原則」，具有以下重要之特徵</w:t>
      </w:r>
      <w:r w:rsidR="00203F72" w:rsidRPr="003D02B1">
        <w:footnoteReference w:id="57"/>
      </w:r>
      <w:r w:rsidR="00203F72" w:rsidRPr="003D02B1">
        <w:t>：</w:t>
      </w:r>
      <w:r w:rsidR="00203F72" w:rsidRPr="003D02B1">
        <w:t xml:space="preserve">1. </w:t>
      </w:r>
      <w:r w:rsidR="00203F72" w:rsidRPr="003D02B1">
        <w:t>比例原則具有憲法層次之位階效力，可拘束行政、立法及司法；</w:t>
      </w:r>
      <w:r w:rsidR="00203F72" w:rsidRPr="003D02B1">
        <w:t>2.</w:t>
      </w:r>
      <w:r w:rsidR="00203F72" w:rsidRPr="003D02B1">
        <w:t>比例原則在憲法層次之法源依據，係為憲</w:t>
      </w:r>
      <w:r w:rsidR="003D02B1" w:rsidRPr="00A53581">
        <w:rPr>
          <w:rFonts w:ascii="新細明體" w:hAnsi="新細明體"/>
        </w:rPr>
        <w:t>法</w:t>
      </w:r>
      <w:hyperlink r:id="rId406" w:anchor="a23" w:history="1">
        <w:r w:rsidR="003D02B1" w:rsidRPr="003D02B1">
          <w:rPr>
            <w:rStyle w:val="a5"/>
          </w:rPr>
          <w:t>第23條</w:t>
        </w:r>
      </w:hyperlink>
      <w:r w:rsidR="00203F72" w:rsidRPr="003D02B1">
        <w:t>；</w:t>
      </w:r>
      <w:r w:rsidR="00203F72" w:rsidRPr="003D02B1">
        <w:t>3.</w:t>
      </w:r>
      <w:r w:rsidR="00203F72" w:rsidRPr="003D02B1">
        <w:t>「狹義比例原則」又被稱為「不得以砲擊雀原則」；</w:t>
      </w:r>
      <w:r w:rsidR="00203F72" w:rsidRPr="003D02B1">
        <w:t>4.</w:t>
      </w:r>
      <w:r w:rsidR="00203F72" w:rsidRPr="003D02B1">
        <w:t>「比例原則」被尊崇為「帝王條款」；</w:t>
      </w:r>
      <w:r w:rsidR="00203F72" w:rsidRPr="003D02B1">
        <w:t>5.</w:t>
      </w:r>
      <w:r w:rsidR="00203F72" w:rsidRPr="003D02B1">
        <w:t>「比例原則」可避免恣意執法而導致不當限制或剝奪人民</w:t>
      </w:r>
      <w:r w:rsidR="00203F72" w:rsidRPr="003D02B1">
        <w:t>(</w:t>
      </w:r>
      <w:r w:rsidR="00203F72" w:rsidRPr="003D02B1">
        <w:t>含外國人</w:t>
      </w:r>
      <w:r w:rsidR="00203F72" w:rsidRPr="003D02B1">
        <w:t>)</w:t>
      </w:r>
      <w:r w:rsidR="00203F72" w:rsidRPr="003D02B1">
        <w:t>權益；</w:t>
      </w:r>
      <w:r w:rsidR="00203F72" w:rsidRPr="003D02B1">
        <w:t>6.</w:t>
      </w:r>
      <w:r w:rsidR="00203F72" w:rsidRPr="003D02B1">
        <w:t>「比例原則」散見於相關法令規範之中，諸如：</w:t>
      </w:r>
      <w:hyperlink r:id="rId407" w:history="1">
        <w:r w:rsidR="00203F72" w:rsidRPr="009B5E3C">
          <w:rPr>
            <w:rStyle w:val="a5"/>
            <w:rFonts w:ascii="Times New Roman" w:eastAsia="新細明體" w:hAnsi="Times New Roman"/>
          </w:rPr>
          <w:t>行政程序法</w:t>
        </w:r>
      </w:hyperlink>
      <w:r w:rsidR="00203F72" w:rsidRPr="003D02B1">
        <w:t>、</w:t>
      </w:r>
      <w:hyperlink r:id="rId408" w:history="1">
        <w:r w:rsidR="00203F72" w:rsidRPr="009B5E3C">
          <w:rPr>
            <w:rStyle w:val="a5"/>
            <w:rFonts w:ascii="Times New Roman" w:eastAsia="新細明體" w:hAnsi="Times New Roman"/>
          </w:rPr>
          <w:t>行政執行法</w:t>
        </w:r>
      </w:hyperlink>
      <w:r w:rsidR="00203F72" w:rsidRPr="003D02B1">
        <w:t>、</w:t>
      </w:r>
      <w:hyperlink r:id="rId409" w:history="1">
        <w:r w:rsidR="00203F72" w:rsidRPr="009B5E3C">
          <w:rPr>
            <w:rStyle w:val="a5"/>
            <w:rFonts w:ascii="Times New Roman" w:eastAsia="新細明體" w:hAnsi="Times New Roman"/>
          </w:rPr>
          <w:t>集會遊行法</w:t>
        </w:r>
      </w:hyperlink>
      <w:r w:rsidR="00203F72" w:rsidRPr="003D02B1">
        <w:t>、</w:t>
      </w:r>
      <w:hyperlink r:id="rId410" w:history="1">
        <w:r w:rsidR="00203F72" w:rsidRPr="009B5E3C">
          <w:rPr>
            <w:rStyle w:val="a5"/>
            <w:rFonts w:ascii="Times New Roman" w:eastAsia="新細明體" w:hAnsi="Times New Roman"/>
          </w:rPr>
          <w:t>社會秩序維護法</w:t>
        </w:r>
      </w:hyperlink>
      <w:r w:rsidR="00203F72" w:rsidRPr="003D02B1">
        <w:t>、</w:t>
      </w:r>
      <w:hyperlink r:id="rId411" w:history="1">
        <w:r w:rsidR="00203F72" w:rsidRPr="009B5E3C">
          <w:rPr>
            <w:rStyle w:val="a5"/>
            <w:rFonts w:ascii="Times New Roman" w:eastAsia="新細明體" w:hAnsi="Times New Roman"/>
          </w:rPr>
          <w:t>警察職權行使法</w:t>
        </w:r>
      </w:hyperlink>
      <w:r w:rsidR="00203F72" w:rsidRPr="003D02B1">
        <w:t>、</w:t>
      </w:r>
      <w:hyperlink r:id="rId412" w:history="1">
        <w:r w:rsidR="00203F72" w:rsidRPr="009B5E3C">
          <w:rPr>
            <w:rStyle w:val="a5"/>
            <w:rFonts w:ascii="Times New Roman" w:eastAsia="新細明體" w:hAnsi="Times New Roman"/>
          </w:rPr>
          <w:t>三一九槍擊事件真相調查特別委員會條例</w:t>
        </w:r>
      </w:hyperlink>
      <w:r w:rsidR="00203F72" w:rsidRPr="003D02B1">
        <w:t>、</w:t>
      </w:r>
      <w:hyperlink r:id="rId413" w:history="1">
        <w:r w:rsidR="00203F72" w:rsidRPr="009B5E3C">
          <w:rPr>
            <w:rStyle w:val="a5"/>
            <w:rFonts w:ascii="Times New Roman" w:eastAsia="新細明體" w:hAnsi="Times New Roman"/>
          </w:rPr>
          <w:t>人口販運被害人及疑似人口販運被害人安置保護管理規則</w:t>
        </w:r>
      </w:hyperlink>
      <w:r w:rsidR="00203F72" w:rsidRPr="003D02B1">
        <w:t>、</w:t>
      </w:r>
      <w:hyperlink r:id="rId414" w:history="1">
        <w:r w:rsidR="00203F72" w:rsidRPr="009B5E3C">
          <w:rPr>
            <w:rStyle w:val="a5"/>
            <w:rFonts w:ascii="Times New Roman" w:eastAsia="新細明體" w:hAnsi="Times New Roman"/>
          </w:rPr>
          <w:t>大眾運輸事業補貼辦法</w:t>
        </w:r>
      </w:hyperlink>
      <w:r w:rsidR="00203F72" w:rsidRPr="003D02B1">
        <w:t>、</w:t>
      </w:r>
      <w:hyperlink r:id="rId415" w:history="1">
        <w:r w:rsidR="00203F72" w:rsidRPr="009B5E3C">
          <w:rPr>
            <w:rStyle w:val="a5"/>
            <w:rFonts w:ascii="Times New Roman" w:eastAsia="新細明體" w:hAnsi="Times New Roman"/>
          </w:rPr>
          <w:t>大陸地區人民及香港澳門居民收容處所設置及管理辦法</w:t>
        </w:r>
      </w:hyperlink>
      <w:r w:rsidR="00203F72" w:rsidRPr="003D02B1">
        <w:t>、</w:t>
      </w:r>
      <w:hyperlink r:id="rId416" w:history="1">
        <w:r w:rsidR="00203F72" w:rsidRPr="009B5E3C">
          <w:rPr>
            <w:rStyle w:val="a5"/>
            <w:rFonts w:ascii="Times New Roman" w:eastAsia="新細明體" w:hAnsi="Times New Roman"/>
          </w:rPr>
          <w:t>外國人收容管理規則</w:t>
        </w:r>
      </w:hyperlink>
      <w:r w:rsidR="00203F72" w:rsidRPr="003D02B1">
        <w:t>、</w:t>
      </w:r>
      <w:hyperlink r:id="rId417" w:history="1">
        <w:r w:rsidR="00203F72" w:rsidRPr="009B5E3C">
          <w:rPr>
            <w:rStyle w:val="a5"/>
            <w:rFonts w:ascii="Times New Roman" w:eastAsia="新細明體" w:hAnsi="Times New Roman"/>
          </w:rPr>
          <w:t>工會法施行細則</w:t>
        </w:r>
      </w:hyperlink>
      <w:r w:rsidR="00203F72" w:rsidRPr="003D02B1">
        <w:t>、</w:t>
      </w:r>
      <w:hyperlink r:id="rId418" w:history="1">
        <w:r w:rsidR="00203F72" w:rsidRPr="009B5E3C">
          <w:rPr>
            <w:rStyle w:val="a5"/>
            <w:rFonts w:ascii="Times New Roman" w:eastAsia="新細明體" w:hAnsi="Times New Roman"/>
          </w:rPr>
          <w:t>全民健康保險資料調閱與查詢及訪查辦法</w:t>
        </w:r>
      </w:hyperlink>
      <w:r w:rsidR="00203F72" w:rsidRPr="003D02B1">
        <w:t>、、、等；</w:t>
      </w:r>
      <w:r w:rsidR="00203F72" w:rsidRPr="003D02B1">
        <w:t>7.</w:t>
      </w:r>
      <w:r w:rsidR="00203F72" w:rsidRPr="003D02B1">
        <w:t>「適當性原則」與「必要性原則」所要處理之議題，係為在一個「目的」之下，「手段」選擇之考量問題；</w:t>
      </w:r>
      <w:r w:rsidR="00203F72" w:rsidRPr="003D02B1">
        <w:t>8.</w:t>
      </w:r>
      <w:r w:rsidR="00203F72" w:rsidRPr="003D02B1">
        <w:t>「狹義比例原則」之焦點所在，係在處理「目的之價值」與「不利後果之價值」之間，兩種價值之比較；</w:t>
      </w:r>
      <w:r w:rsidR="00203F72" w:rsidRPr="003D02B1">
        <w:t>9.</w:t>
      </w:r>
      <w:r w:rsidR="00203F72" w:rsidRPr="003D02B1">
        <w:t>在實務運用上，比例原則所屬之</w:t>
      </w:r>
      <w:r w:rsidR="00203F72" w:rsidRPr="003D02B1">
        <w:t>3</w:t>
      </w:r>
      <w:r w:rsidR="00203F72" w:rsidRPr="003D02B1">
        <w:t>項次要原則，在程序上有先後之順位，首先應加以考量者，係「適當性」；其次，為「必要性」；最後考量者，則為「狹義比例原則」；</w:t>
      </w:r>
      <w:r w:rsidR="00203F72" w:rsidRPr="003D02B1">
        <w:t>10.</w:t>
      </w:r>
      <w:r w:rsidR="00203F72" w:rsidRPr="003D02B1">
        <w:t>「適當性」與「必要性」原則，係在「法規範下</w:t>
      </w:r>
      <w:r w:rsidR="00203F72" w:rsidRPr="003D02B1">
        <w:t>(</w:t>
      </w:r>
      <w:r w:rsidR="00203F72" w:rsidRPr="003D02B1">
        <w:t>內</w:t>
      </w:r>
      <w:r w:rsidR="00203F72" w:rsidRPr="003D02B1">
        <w:t>)</w:t>
      </w:r>
      <w:r w:rsidR="00203F72" w:rsidRPr="003D02B1">
        <w:t>」之考量；而「狹義比例原則」，則是「超越法規目的」之考量，在相當特殊之情形下，為保障人民之權益，於符合期待可能性之條件時，甚至有放棄法規目的之考量；</w:t>
      </w:r>
      <w:r w:rsidR="00203F72" w:rsidRPr="003D02B1">
        <w:t xml:space="preserve">11. </w:t>
      </w:r>
      <w:r w:rsidR="00203F72" w:rsidRPr="003D02B1">
        <w:t>「比例原則」之精神，主要在於強調對於人民</w:t>
      </w:r>
      <w:r w:rsidR="00203F72" w:rsidRPr="003D02B1">
        <w:t>(</w:t>
      </w:r>
      <w:r w:rsidR="00203F72" w:rsidRPr="003D02B1">
        <w:t>包括外國人</w:t>
      </w:r>
      <w:r w:rsidR="00203F72" w:rsidRPr="003D02B1">
        <w:t>)</w:t>
      </w:r>
      <w:r w:rsidR="00203F72" w:rsidRPr="003D02B1">
        <w:t>自由權利之限制，必須在「必要範圍」之內為之，亦即不得發生過分之情形，故「比例原則」除了被稱為「禁止過度」</w:t>
      </w:r>
      <w:r w:rsidR="00203F72" w:rsidRPr="003D02B1">
        <w:t>(</w:t>
      </w:r>
      <w:r w:rsidR="00203F72" w:rsidRPr="003D02B1">
        <w:t>禁止過分</w:t>
      </w:r>
      <w:r w:rsidR="00203F72" w:rsidRPr="003D02B1">
        <w:t>)</w:t>
      </w:r>
      <w:r w:rsidR="00203F72" w:rsidRPr="003D02B1">
        <w:t>原則之外，亦被稱為「過當禁止」原則；</w:t>
      </w:r>
      <w:r w:rsidR="00203F72" w:rsidRPr="003D02B1">
        <w:t>12.</w:t>
      </w:r>
      <w:r w:rsidR="00203F72" w:rsidRPr="003D02B1">
        <w:t>「比例原則」中之「適當性原則」，亦有學者將其稱為「適合性原則」或「相當性原則」；此外，「狹義之比例原則」，亦有學者稱為「相當性」原則；故在論及「比例原則」中之「相當性原則」時，有可能係指「適合性」原則</w:t>
      </w:r>
      <w:r w:rsidR="00203F72" w:rsidRPr="003D02B1">
        <w:t>(</w:t>
      </w:r>
      <w:r w:rsidR="00203F72" w:rsidRPr="003D02B1">
        <w:t>適當性原則</w:t>
      </w:r>
      <w:r w:rsidR="00203F72" w:rsidRPr="003D02B1">
        <w:t>)</w:t>
      </w:r>
      <w:r w:rsidR="00203F72" w:rsidRPr="003D02B1">
        <w:t>；亦有可能指稱「狹義比例原則」；</w:t>
      </w:r>
      <w:r w:rsidR="00203F72" w:rsidRPr="003D02B1">
        <w:t>13.</w:t>
      </w:r>
      <w:r w:rsidR="00203F72" w:rsidRPr="003D02B1">
        <w:t>狹義比例原則所欲處理之問題，係為「目的」與「目的」（保障基本人權）間之考量；</w:t>
      </w:r>
      <w:r w:rsidR="00203F72" w:rsidRPr="003D02B1">
        <w:t>14.</w:t>
      </w:r>
      <w:r w:rsidR="00203F72" w:rsidRPr="003D02B1">
        <w:t>「比例原則」被稱為公法領域之軟化劑（</w:t>
      </w:r>
      <w:r w:rsidR="00203F72" w:rsidRPr="003D02B1">
        <w:t>Weichmacher</w:t>
      </w:r>
      <w:r w:rsidR="00203F72" w:rsidRPr="003D02B1">
        <w:t>）</w:t>
      </w:r>
      <w:r w:rsidR="00203F72" w:rsidRPr="003D02B1">
        <w:footnoteReference w:id="58"/>
      </w:r>
      <w:r w:rsidR="00203F72" w:rsidRPr="003D02B1">
        <w:t>，但，比例原則之運用，不限於公法，亦及於</w:t>
      </w:r>
      <w:hyperlink r:id="rId419" w:history="1">
        <w:r w:rsidR="00203F72" w:rsidRPr="00707676">
          <w:rPr>
            <w:rStyle w:val="a5"/>
            <w:rFonts w:ascii="Times New Roman" w:eastAsia="新細明體" w:hAnsi="Times New Roman"/>
          </w:rPr>
          <w:t>民法</w:t>
        </w:r>
      </w:hyperlink>
      <w:r w:rsidR="00203F72" w:rsidRPr="003D02B1">
        <w:t>及一切政府施政之行為；故有論者主張「比例原則」係為國家行為（施政）之指引規定（</w:t>
      </w:r>
      <w:r w:rsidR="00203F72" w:rsidRPr="003D02B1">
        <w:t>Leitregeln</w:t>
      </w:r>
      <w:r w:rsidR="00203F72" w:rsidRPr="003D02B1">
        <w:t>）</w:t>
      </w:r>
      <w:r w:rsidR="00203F72" w:rsidRPr="003D02B1">
        <w:footnoteReference w:id="59"/>
      </w:r>
      <w:r w:rsidR="00203F72" w:rsidRPr="003D02B1">
        <w:t>；</w:t>
      </w:r>
      <w:r w:rsidR="00203F72" w:rsidRPr="003D02B1">
        <w:t>15.</w:t>
      </w:r>
      <w:r w:rsidR="00203F72" w:rsidRPr="003D02B1">
        <w:t>「利益衡量」（</w:t>
      </w:r>
      <w:r w:rsidR="00203F72" w:rsidRPr="003D02B1">
        <w:t>Interesseabwägung</w:t>
      </w:r>
      <w:r w:rsidR="00203F72" w:rsidRPr="003D02B1">
        <w:t>）</w:t>
      </w:r>
      <w:r w:rsidR="00203F72" w:rsidRPr="003D02B1">
        <w:footnoteReference w:id="60"/>
      </w:r>
      <w:r w:rsidR="00203F72" w:rsidRPr="003D02B1">
        <w:t>與「狹義比例原則」實際上內容具有一致性，僅是用詞之不同，但為了避免混淆，故原則上，宜以「狹義比例原則」取代「利益衡量」或「法益衡量」（</w:t>
      </w:r>
      <w:r w:rsidR="00203F72" w:rsidRPr="003D02B1">
        <w:t>Güterabwägung</w:t>
      </w:r>
      <w:r w:rsidR="00203F72" w:rsidRPr="003D02B1">
        <w:t>）為佳</w:t>
      </w:r>
      <w:r w:rsidR="00203F72" w:rsidRPr="003D02B1">
        <w:footnoteReference w:id="61"/>
      </w:r>
      <w:r w:rsidR="00203F72" w:rsidRPr="003D02B1">
        <w:t>；</w:t>
      </w:r>
      <w:r w:rsidR="00203F72" w:rsidRPr="003D02B1">
        <w:t>16.</w:t>
      </w:r>
      <w:r w:rsidR="00203F72" w:rsidRPr="003D02B1">
        <w:t>就保護人權之角度而論，「狹義比例原則」之重要性，比「適當性原則」（又稱為適合性原則、相當性原則）與「必要性原則」更加重要；</w:t>
      </w:r>
      <w:r w:rsidR="00203F72" w:rsidRPr="003D02B1">
        <w:t>17.</w:t>
      </w:r>
      <w:r w:rsidR="00203F72" w:rsidRPr="003D02B1">
        <w:t>由於「比例原則」具有憲法之位階，故國家之所有施政行為，均須接受「比例原則」（尤其是狹義比例原則）之審核；</w:t>
      </w:r>
      <w:r w:rsidR="00203F72" w:rsidRPr="003D02B1">
        <w:t>18.</w:t>
      </w:r>
      <w:r w:rsidR="00203F72" w:rsidRPr="003D02B1">
        <w:t>如以「法律保留」原則作為限制人民（含外國人）憲法上基本權利之準則者，原則上，均會以「比例原則」作為「法律保留」之內在界限；</w:t>
      </w:r>
      <w:r w:rsidR="00203F72" w:rsidRPr="003D02B1">
        <w:t>19.</w:t>
      </w:r>
      <w:r w:rsidR="00203F72" w:rsidRPr="003D02B1">
        <w:t>「比例原則」在保護人權之意義上，乃為法治國家中最重要之機制；</w:t>
      </w:r>
      <w:r w:rsidR="00203F72" w:rsidRPr="003D02B1">
        <w:t>20.</w:t>
      </w:r>
      <w:r w:rsidR="00203F72" w:rsidRPr="003D02B1">
        <w:t>「比例原則」經常被我國司法機關援引，玆舉一例說明之，根據最高行政法院</w:t>
      </w:r>
      <w:r w:rsidR="00203F72" w:rsidRPr="003D02B1">
        <w:t>83</w:t>
      </w:r>
      <w:r w:rsidR="00203F72" w:rsidRPr="003D02B1">
        <w:t>年判字第</w:t>
      </w:r>
      <w:r w:rsidR="00203F72" w:rsidRPr="003D02B1">
        <w:t>2291</w:t>
      </w:r>
      <w:r w:rsidR="00203F72" w:rsidRPr="003D02B1">
        <w:t>號之判決文指出，行政機關於選擇達成行政目的之手段時，其所作成之行政處分，必須符合比例原則，換言之，除該行政處分須最適合於行政目的之要求，並不得逾越必要範圍外，尚須與所欲達成之行政目的保持一定之比例，始足當之；</w:t>
      </w:r>
      <w:r w:rsidR="00203F72" w:rsidRPr="003D02B1">
        <w:t>21.</w:t>
      </w:r>
      <w:r w:rsidR="00203F72" w:rsidRPr="003D02B1">
        <w:t>「狹義比例原則」或可被稱為「帝王條款中之帝王條款」，係「比例原則」之</w:t>
      </w:r>
      <w:r w:rsidR="00203F72" w:rsidRPr="003D02B1">
        <w:t>3</w:t>
      </w:r>
      <w:r w:rsidR="00203F72" w:rsidRPr="003D02B1">
        <w:t>項子原則中，屬於最核心之原則。</w:t>
      </w:r>
    </w:p>
    <w:p w14:paraId="07A5B560" w14:textId="77777777" w:rsidR="00203F72" w:rsidRPr="003D02B1" w:rsidRDefault="00B76D62" w:rsidP="00D87D91">
      <w:r w:rsidRPr="003D02B1">
        <w:t xml:space="preserve">　　</w:t>
      </w:r>
      <w:r w:rsidR="00203F72" w:rsidRPr="003D02B1">
        <w:t>近年來，「比例原則」在上述所提及之三大派生子原則</w:t>
      </w:r>
      <w:r w:rsidR="00BC4811" w:rsidRPr="003D02B1">
        <w:t>〜</w:t>
      </w:r>
      <w:r w:rsidR="00203F72" w:rsidRPr="003D02B1">
        <w:t>適當性原則、必要性原則及狹義比例原則外，尚且增加「目的正當性原則」，意即國家所欲達到的目的須正當。根據比例原則，創造不同的審查密度，針對不同的案件，採取不同的審查密度</w:t>
      </w:r>
      <w:r w:rsidR="00203F72" w:rsidRPr="003D02B1">
        <w:footnoteReference w:id="62"/>
      </w:r>
      <w:r w:rsidR="00203F72" w:rsidRPr="003D02B1">
        <w:t>：</w:t>
      </w:r>
    </w:p>
    <w:p w14:paraId="7B2BE37C" w14:textId="77777777" w:rsidR="002107CE" w:rsidRPr="003D02B1" w:rsidRDefault="002107CE" w:rsidP="00D87D91">
      <w:r w:rsidRPr="003D02B1">
        <w:rPr>
          <w:rFonts w:hint="eastAsia"/>
        </w:rPr>
        <w:t xml:space="preserve">　　</w:t>
      </w:r>
      <w:r w:rsidRPr="003D02B1">
        <w:rPr>
          <w:rFonts w:hint="eastAsia"/>
        </w:rPr>
        <w:t>1.</w:t>
      </w:r>
      <w:r w:rsidRPr="003D02B1">
        <w:rPr>
          <w:rFonts w:hint="eastAsia"/>
        </w:rPr>
        <w:t>強烈內容審查標準（</w:t>
      </w:r>
      <w:r w:rsidRPr="003D02B1">
        <w:rPr>
          <w:rFonts w:hint="eastAsia"/>
        </w:rPr>
        <w:t>IntensiveInhaltskontrolle</w:t>
      </w:r>
      <w:r w:rsidRPr="003D02B1">
        <w:rPr>
          <w:rFonts w:hint="eastAsia"/>
        </w:rPr>
        <w:t>）：措施必須要非常合目的、侵害必須非常小，方屬合憲。</w:t>
      </w:r>
    </w:p>
    <w:p w14:paraId="5DC3146A" w14:textId="77777777" w:rsidR="002107CE" w:rsidRPr="003D02B1" w:rsidRDefault="002107CE" w:rsidP="00D87D91">
      <w:r w:rsidRPr="003D02B1">
        <w:rPr>
          <w:rFonts w:hint="eastAsia"/>
        </w:rPr>
        <w:t xml:space="preserve">　　</w:t>
      </w:r>
      <w:r w:rsidRPr="003D02B1">
        <w:rPr>
          <w:rFonts w:hint="eastAsia"/>
        </w:rPr>
        <w:t>2.</w:t>
      </w:r>
      <w:r w:rsidRPr="003D02B1">
        <w:rPr>
          <w:rFonts w:hint="eastAsia"/>
        </w:rPr>
        <w:t>可支援性審查標準（</w:t>
      </w:r>
      <w:r w:rsidRPr="003D02B1">
        <w:rPr>
          <w:rFonts w:hint="eastAsia"/>
        </w:rPr>
        <w:t>Vertretbarkeitskontrolle</w:t>
      </w:r>
      <w:r w:rsidRPr="003D02B1">
        <w:rPr>
          <w:rFonts w:hint="eastAsia"/>
        </w:rPr>
        <w:t>）：措施與目的間之關聯須合理、侵害須合理，方屬合憲。</w:t>
      </w:r>
    </w:p>
    <w:p w14:paraId="1FF316D4" w14:textId="77777777" w:rsidR="00953151" w:rsidRDefault="002107CE" w:rsidP="00D87D91">
      <w:r w:rsidRPr="003D02B1">
        <w:rPr>
          <w:rFonts w:hint="eastAsia"/>
        </w:rPr>
        <w:t xml:space="preserve">　　</w:t>
      </w:r>
      <w:r w:rsidRPr="003D02B1">
        <w:rPr>
          <w:rFonts w:hint="eastAsia"/>
        </w:rPr>
        <w:t>3.</w:t>
      </w:r>
      <w:r w:rsidRPr="003D02B1">
        <w:rPr>
          <w:rFonts w:hint="eastAsia"/>
        </w:rPr>
        <w:t>明顯性審查標準（</w:t>
      </w:r>
      <w:r w:rsidRPr="003D02B1">
        <w:rPr>
          <w:rFonts w:hint="eastAsia"/>
        </w:rPr>
        <w:t>Evidenzkontrolle</w:t>
      </w:r>
      <w:r w:rsidRPr="003D02B1">
        <w:rPr>
          <w:rFonts w:hint="eastAsia"/>
        </w:rPr>
        <w:t>）：措施不可明顯與目的無關聯、侵害不可明顯非最小，方屬合憲。</w:t>
      </w:r>
    </w:p>
    <w:p w14:paraId="4BBF8135" w14:textId="77777777" w:rsidR="008F066C" w:rsidRPr="003D02B1" w:rsidRDefault="008F066C" w:rsidP="00D87D91"/>
    <w:p w14:paraId="0CCC9EF5" w14:textId="73F79A66" w:rsidR="00203F72" w:rsidRPr="00E07281" w:rsidRDefault="00B03E84" w:rsidP="00D87D91">
      <w:r w:rsidRPr="00E07281">
        <w:t>【</w:t>
      </w:r>
      <w:r w:rsidRPr="00E07281">
        <w:t>table</w:t>
      </w:r>
      <w:r w:rsidR="005E23E3" w:rsidRPr="00E07281">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18</w:t>
      </w:r>
      <w:r w:rsidR="00076467">
        <w:rPr>
          <w:noProof/>
        </w:rPr>
        <w:fldChar w:fldCharType="end"/>
      </w:r>
      <w:r w:rsidR="00203F72" w:rsidRPr="00E07281">
        <w:t>「比例原則」結合「三重審查標準」表</w:t>
      </w:r>
    </w:p>
    <w:tbl>
      <w:tblPr>
        <w:tblW w:w="492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408"/>
        <w:gridCol w:w="2554"/>
        <w:gridCol w:w="2266"/>
      </w:tblGrid>
      <w:tr w:rsidR="00203F72" w:rsidRPr="00A53581" w14:paraId="64A7382F" w14:textId="77777777" w:rsidTr="001475BC">
        <w:trPr>
          <w:tblHeader/>
        </w:trPr>
        <w:tc>
          <w:tcPr>
            <w:tcW w:w="678" w:type="pct"/>
            <w:shd w:val="clear" w:color="auto" w:fill="FAF0FA"/>
          </w:tcPr>
          <w:p w14:paraId="20FAC22C" w14:textId="77777777" w:rsidR="00203F72" w:rsidRPr="00A53581" w:rsidRDefault="00203F72" w:rsidP="00D87D91"/>
        </w:tc>
        <w:tc>
          <w:tcPr>
            <w:tcW w:w="1440" w:type="pct"/>
            <w:shd w:val="clear" w:color="auto" w:fill="FAF0FA"/>
          </w:tcPr>
          <w:p w14:paraId="4EF7C90E" w14:textId="77777777" w:rsidR="00203F72" w:rsidRPr="00A53581" w:rsidRDefault="00203F72" w:rsidP="00D87D91">
            <w:r w:rsidRPr="00A53581">
              <w:t>嚴格審查標準</w:t>
            </w:r>
          </w:p>
          <w:p w14:paraId="12E90B56" w14:textId="77777777" w:rsidR="00203F72" w:rsidRPr="00A53581" w:rsidRDefault="00203F72" w:rsidP="00D87D91">
            <w:r w:rsidRPr="00A53581">
              <w:t>(strict scrutiny test)</w:t>
            </w:r>
          </w:p>
        </w:tc>
        <w:tc>
          <w:tcPr>
            <w:tcW w:w="1527" w:type="pct"/>
            <w:shd w:val="clear" w:color="auto" w:fill="FAF0FA"/>
          </w:tcPr>
          <w:p w14:paraId="11648F47" w14:textId="77777777" w:rsidR="00203F72" w:rsidRPr="00A53581" w:rsidRDefault="00203F72" w:rsidP="00D87D91">
            <w:r w:rsidRPr="00A53581">
              <w:t>中度審查標準</w:t>
            </w:r>
          </w:p>
          <w:p w14:paraId="59D950A3" w14:textId="77777777" w:rsidR="00203F72" w:rsidRPr="00A53581" w:rsidRDefault="00203F72" w:rsidP="00D87D91">
            <w:r w:rsidRPr="00A53581">
              <w:t>(intermediate scrutiny test)</w:t>
            </w:r>
          </w:p>
        </w:tc>
        <w:tc>
          <w:tcPr>
            <w:tcW w:w="1356" w:type="pct"/>
            <w:shd w:val="clear" w:color="auto" w:fill="FAF0FA"/>
          </w:tcPr>
          <w:p w14:paraId="00F75FC0" w14:textId="77777777" w:rsidR="00203F72" w:rsidRPr="00A53581" w:rsidRDefault="00203F72" w:rsidP="00D87D91">
            <w:r w:rsidRPr="00A53581">
              <w:t>合理審查標準</w:t>
            </w:r>
          </w:p>
          <w:p w14:paraId="2D20F6C2" w14:textId="77777777" w:rsidR="00203F72" w:rsidRPr="00A53581" w:rsidRDefault="00203F72" w:rsidP="00D87D91">
            <w:r w:rsidRPr="00A53581">
              <w:t>(rationality review test)</w:t>
            </w:r>
          </w:p>
        </w:tc>
      </w:tr>
      <w:tr w:rsidR="00203F72" w:rsidRPr="00A53581" w14:paraId="0A7BE915" w14:textId="77777777" w:rsidTr="001475BC">
        <w:tc>
          <w:tcPr>
            <w:tcW w:w="678" w:type="pct"/>
            <w:shd w:val="clear" w:color="auto" w:fill="auto"/>
          </w:tcPr>
          <w:p w14:paraId="7E2341E4" w14:textId="77777777" w:rsidR="00203F72" w:rsidRPr="00A53581" w:rsidRDefault="00203F72" w:rsidP="00D87D91">
            <w:r w:rsidRPr="00A53581">
              <w:t>目的</w:t>
            </w:r>
          </w:p>
        </w:tc>
        <w:tc>
          <w:tcPr>
            <w:tcW w:w="1440" w:type="pct"/>
            <w:shd w:val="clear" w:color="auto" w:fill="auto"/>
          </w:tcPr>
          <w:p w14:paraId="29A3D60B" w14:textId="77777777" w:rsidR="00203F72" w:rsidRPr="00A53581" w:rsidRDefault="001475BC" w:rsidP="00D87D91">
            <w:pPr>
              <w:rPr>
                <w:kern w:val="0"/>
              </w:rPr>
            </w:pPr>
            <w:r>
              <w:t xml:space="preserve">　　</w:t>
            </w:r>
            <w:r w:rsidR="00203F72" w:rsidRPr="00A53581">
              <w:t>必須是追求「重大迫切利益」（</w:t>
            </w:r>
            <w:r w:rsidR="00203F72" w:rsidRPr="00A53581">
              <w:t>compelling interests</w:t>
            </w:r>
            <w:r w:rsidR="00203F72" w:rsidRPr="00A53581">
              <w:t>），而不只是「正當」或「合法」之利益</w:t>
            </w:r>
            <w:r w:rsidR="00203F72" w:rsidRPr="00A53581">
              <w:rPr>
                <w:kern w:val="0"/>
              </w:rPr>
              <w:t>。</w:t>
            </w:r>
          </w:p>
          <w:p w14:paraId="0D57348C" w14:textId="77777777" w:rsidR="00203F72" w:rsidRPr="00A53581" w:rsidRDefault="001475BC" w:rsidP="00D87D91">
            <w:r>
              <w:t xml:space="preserve">　　</w:t>
            </w:r>
            <w:r w:rsidR="00203F72" w:rsidRPr="00A53581">
              <w:t>這既是程度也是種類之要求。例如：行政成本或效率通常不被認為是重大迫切利益，因此不構成合憲目的。</w:t>
            </w:r>
          </w:p>
          <w:p w14:paraId="65879C73" w14:textId="77777777" w:rsidR="00203F72" w:rsidRPr="00A53581" w:rsidRDefault="001475BC" w:rsidP="00D87D91">
            <w:r>
              <w:t xml:space="preserve">　　</w:t>
            </w:r>
            <w:r w:rsidR="00203F72" w:rsidRPr="00A53581">
              <w:t>如果目的在立法當時已經違憲，不能以事後出現之政府利益來正當化自始違憲之目的。</w:t>
            </w:r>
          </w:p>
        </w:tc>
        <w:tc>
          <w:tcPr>
            <w:tcW w:w="1527" w:type="pct"/>
            <w:shd w:val="clear" w:color="auto" w:fill="auto"/>
          </w:tcPr>
          <w:p w14:paraId="1E89CD75" w14:textId="77777777" w:rsidR="00203F72" w:rsidRPr="00A53581" w:rsidRDefault="001475BC" w:rsidP="00D87D91">
            <w:pPr>
              <w:rPr>
                <w:kern w:val="0"/>
              </w:rPr>
            </w:pPr>
            <w:r>
              <w:t xml:space="preserve">　　</w:t>
            </w:r>
            <w:r w:rsidR="00203F72" w:rsidRPr="00A53581">
              <w:t>必須具備「重要利益」（</w:t>
            </w:r>
            <w:r w:rsidR="00203F72" w:rsidRPr="00A53581">
              <w:t>important interests</w:t>
            </w:r>
            <w:r w:rsidR="00203F72" w:rsidRPr="00A53581">
              <w:t>）</w:t>
            </w:r>
            <w:r w:rsidR="00203F72" w:rsidRPr="00A53581">
              <w:rPr>
                <w:kern w:val="0"/>
              </w:rPr>
              <w:t>。程度上高於</w:t>
            </w:r>
            <w:r w:rsidR="00203F72" w:rsidRPr="00A53581">
              <w:t>「正當」或「合法」，但低於「重大迫切」之要求</w:t>
            </w:r>
            <w:r w:rsidR="00203F72" w:rsidRPr="00A53581">
              <w:rPr>
                <w:kern w:val="0"/>
              </w:rPr>
              <w:t>。</w:t>
            </w:r>
          </w:p>
          <w:p w14:paraId="279BC7A3" w14:textId="77777777" w:rsidR="00203F72" w:rsidRPr="00A53581" w:rsidRDefault="001475BC" w:rsidP="00D87D91">
            <w:r>
              <w:t xml:space="preserve">　　</w:t>
            </w:r>
            <w:r w:rsidR="00203F72" w:rsidRPr="00A53581">
              <w:t>僅追求行政成本與效率之立法目的原則上也難以成為合憲之重要利益。</w:t>
            </w:r>
          </w:p>
          <w:p w14:paraId="1E4692A8" w14:textId="77777777" w:rsidR="00203F72" w:rsidRPr="00A53581" w:rsidRDefault="001475BC" w:rsidP="00D87D91">
            <w:r>
              <w:t xml:space="preserve">　　</w:t>
            </w:r>
            <w:r w:rsidR="00203F72" w:rsidRPr="00A53581">
              <w:t>限於立法者於立法當時就已經實際考量之政府利益。如果目的在立法當時已經違憲，原則上不能以事後出現之利益來正當化自始違憲之目的。</w:t>
            </w:r>
          </w:p>
        </w:tc>
        <w:tc>
          <w:tcPr>
            <w:tcW w:w="1356" w:type="pct"/>
            <w:shd w:val="clear" w:color="auto" w:fill="auto"/>
          </w:tcPr>
          <w:p w14:paraId="1474F3BA" w14:textId="77777777" w:rsidR="00203F72" w:rsidRPr="00A53581" w:rsidRDefault="001475BC" w:rsidP="00D87D91">
            <w:pPr>
              <w:rPr>
                <w:kern w:val="0"/>
              </w:rPr>
            </w:pPr>
            <w:r>
              <w:t xml:space="preserve">　　</w:t>
            </w:r>
            <w:r w:rsidR="00203F72" w:rsidRPr="00A53581">
              <w:t>只需有「正當利益」（</w:t>
            </w:r>
            <w:r w:rsidR="00203F72" w:rsidRPr="00A53581">
              <w:t>legitimate interests</w:t>
            </w:r>
            <w:r w:rsidR="00203F72" w:rsidRPr="00A53581">
              <w:t>）即可</w:t>
            </w:r>
            <w:r w:rsidR="00203F72" w:rsidRPr="00A53581">
              <w:rPr>
                <w:kern w:val="0"/>
              </w:rPr>
              <w:t>。</w:t>
            </w:r>
          </w:p>
          <w:p w14:paraId="65B6DEFD" w14:textId="77777777" w:rsidR="00203F72" w:rsidRPr="00A53581" w:rsidRDefault="001475BC" w:rsidP="00D87D91">
            <w:r>
              <w:t xml:space="preserve">　　</w:t>
            </w:r>
            <w:r w:rsidR="00203F72" w:rsidRPr="00A53581">
              <w:t>多半尊重立法者之決定，而不會實際審查。行政成本或效率通常都可成為正當利益。</w:t>
            </w:r>
          </w:p>
          <w:p w14:paraId="3395877F" w14:textId="77777777" w:rsidR="00203F72" w:rsidRPr="00A53581" w:rsidRDefault="001475BC" w:rsidP="00D87D91">
            <w:r>
              <w:rPr>
                <w:kern w:val="0"/>
              </w:rPr>
              <w:t xml:space="preserve">　　</w:t>
            </w:r>
            <w:r w:rsidR="00203F72" w:rsidRPr="00A53581">
              <w:rPr>
                <w:kern w:val="0"/>
              </w:rPr>
              <w:t>包括立法者於立法當時之</w:t>
            </w:r>
            <w:r w:rsidR="00203F72" w:rsidRPr="00A53581">
              <w:t>「實際目的」或法院事後發現之「可想像之目的」（</w:t>
            </w:r>
            <w:r w:rsidR="00203F72" w:rsidRPr="00A53581">
              <w:t>conceivable purposes</w:t>
            </w:r>
            <w:r w:rsidR="00203F72" w:rsidRPr="00A53581">
              <w:t>），都可算是正當目的</w:t>
            </w:r>
            <w:r w:rsidR="00203F72" w:rsidRPr="00A53581">
              <w:rPr>
                <w:kern w:val="0"/>
              </w:rPr>
              <w:t>。</w:t>
            </w:r>
          </w:p>
        </w:tc>
      </w:tr>
      <w:tr w:rsidR="00203F72" w:rsidRPr="00A53581" w14:paraId="42B70742" w14:textId="77777777" w:rsidTr="001475BC">
        <w:tc>
          <w:tcPr>
            <w:tcW w:w="678" w:type="pct"/>
            <w:shd w:val="clear" w:color="auto" w:fill="auto"/>
          </w:tcPr>
          <w:p w14:paraId="4EA98B37" w14:textId="77777777" w:rsidR="00203F72" w:rsidRPr="00A53581" w:rsidRDefault="00203F72" w:rsidP="00D87D91">
            <w:r w:rsidRPr="00A53581">
              <w:t>手段關聯性</w:t>
            </w:r>
          </w:p>
        </w:tc>
        <w:tc>
          <w:tcPr>
            <w:tcW w:w="1440" w:type="pct"/>
            <w:shd w:val="clear" w:color="auto" w:fill="auto"/>
          </w:tcPr>
          <w:p w14:paraId="594EACD9" w14:textId="77777777" w:rsidR="00203F72" w:rsidRPr="00A53581" w:rsidRDefault="001475BC" w:rsidP="00D87D91">
            <w:r>
              <w:rPr>
                <w:rFonts w:hint="eastAsia"/>
              </w:rPr>
              <w:t xml:space="preserve">　　</w:t>
            </w:r>
            <w:r w:rsidR="00203F72" w:rsidRPr="00A53581">
              <w:rPr>
                <w:rFonts w:hint="eastAsia"/>
              </w:rPr>
              <w:t>手段與目的間必須具有「必要」（</w:t>
            </w:r>
            <w:r w:rsidR="00203F72" w:rsidRPr="00A53581">
              <w:rPr>
                <w:rFonts w:hint="eastAsia"/>
              </w:rPr>
              <w:t>necessary</w:t>
            </w:r>
            <w:r w:rsidR="00203F72" w:rsidRPr="00A53581">
              <w:rPr>
                <w:rFonts w:hint="eastAsia"/>
              </w:rPr>
              <w:t>）或「嚴密剪裁」（</w:t>
            </w:r>
            <w:r w:rsidR="00203F72" w:rsidRPr="00A53581">
              <w:rPr>
                <w:rFonts w:hint="eastAsia"/>
              </w:rPr>
              <w:t>narrowly tailored</w:t>
            </w:r>
            <w:r w:rsidR="00203F72" w:rsidRPr="00A53581">
              <w:rPr>
                <w:rFonts w:hint="eastAsia"/>
              </w:rPr>
              <w:t>）或「完美吻合」（</w:t>
            </w:r>
            <w:r w:rsidR="00203F72" w:rsidRPr="00A53581">
              <w:rPr>
                <w:rFonts w:hint="eastAsia"/>
              </w:rPr>
              <w:t>perfect fit</w:t>
            </w:r>
            <w:r w:rsidR="00203F72" w:rsidRPr="00A53581">
              <w:rPr>
                <w:rFonts w:hint="eastAsia"/>
              </w:rPr>
              <w:t>）之關聯性。</w:t>
            </w:r>
          </w:p>
          <w:p w14:paraId="3A49E1F1" w14:textId="77777777" w:rsidR="00203F72" w:rsidRPr="00A53581" w:rsidRDefault="001475BC" w:rsidP="00D87D91">
            <w:r>
              <w:rPr>
                <w:rFonts w:hint="eastAsia"/>
              </w:rPr>
              <w:t xml:space="preserve">　　</w:t>
            </w:r>
            <w:r w:rsidR="00203F72" w:rsidRPr="00A53581">
              <w:rPr>
                <w:rFonts w:hint="eastAsia"/>
              </w:rPr>
              <w:t>類似比例原則第二個次原則「手段必要性」之要求。但強調「別無較小侵憲之替代手段」，不當然等於最小侵害手段。</w:t>
            </w:r>
          </w:p>
          <w:p w14:paraId="3F6D9D9D" w14:textId="77777777" w:rsidR="00203F72" w:rsidRPr="00A53581" w:rsidRDefault="001475BC" w:rsidP="00D87D91">
            <w:r>
              <w:rPr>
                <w:rFonts w:hint="eastAsia"/>
              </w:rPr>
              <w:t xml:space="preserve">　　</w:t>
            </w:r>
            <w:r w:rsidR="00203F72" w:rsidRPr="00A53581">
              <w:rPr>
                <w:rFonts w:hint="eastAsia"/>
              </w:rPr>
              <w:t>在平等權案件，原則上不容許涵蓋過廣或過窄之限制。</w:t>
            </w:r>
          </w:p>
        </w:tc>
        <w:tc>
          <w:tcPr>
            <w:tcW w:w="1527" w:type="pct"/>
            <w:shd w:val="clear" w:color="auto" w:fill="auto"/>
          </w:tcPr>
          <w:p w14:paraId="6B445950" w14:textId="77777777" w:rsidR="00203F72" w:rsidRPr="00A53581" w:rsidRDefault="001475BC" w:rsidP="00D87D91">
            <w:r>
              <w:rPr>
                <w:rFonts w:hint="eastAsia"/>
              </w:rPr>
              <w:t xml:space="preserve">　　</w:t>
            </w:r>
            <w:r w:rsidR="00203F72" w:rsidRPr="00A53581">
              <w:rPr>
                <w:rFonts w:hint="eastAsia"/>
              </w:rPr>
              <w:t>手段與目的間必須具有「實質關聯」（</w:t>
            </w:r>
            <w:r w:rsidR="00203F72" w:rsidRPr="00A53581">
              <w:rPr>
                <w:rFonts w:hint="eastAsia"/>
              </w:rPr>
              <w:t>substantially related</w:t>
            </w:r>
            <w:r w:rsidR="00203F72" w:rsidRPr="00A53581">
              <w:rPr>
                <w:rFonts w:hint="eastAsia"/>
              </w:rPr>
              <w:t>）或「緊急契合」（</w:t>
            </w:r>
            <w:r w:rsidR="00203F72" w:rsidRPr="00A53581">
              <w:rPr>
                <w:rFonts w:hint="eastAsia"/>
              </w:rPr>
              <w:t>close fit</w:t>
            </w:r>
            <w:r w:rsidR="00203F72" w:rsidRPr="00A53581">
              <w:rPr>
                <w:rFonts w:hint="eastAsia"/>
              </w:rPr>
              <w:t>）之關聯性。</w:t>
            </w:r>
          </w:p>
          <w:p w14:paraId="382344A1" w14:textId="77777777" w:rsidR="00203F72" w:rsidRPr="00A53581" w:rsidRDefault="001475BC" w:rsidP="00D87D91">
            <w:r>
              <w:rPr>
                <w:rFonts w:hint="eastAsia"/>
              </w:rPr>
              <w:t xml:space="preserve">　　</w:t>
            </w:r>
            <w:r w:rsidR="00203F72" w:rsidRPr="00A53581">
              <w:rPr>
                <w:rFonts w:hint="eastAsia"/>
              </w:rPr>
              <w:t>容許有例外，不要求手段百分之百契合目的之達成。契合程度之要求比嚴格審查標準略微放鬆。</w:t>
            </w:r>
          </w:p>
        </w:tc>
        <w:tc>
          <w:tcPr>
            <w:tcW w:w="1356" w:type="pct"/>
            <w:shd w:val="clear" w:color="auto" w:fill="auto"/>
          </w:tcPr>
          <w:p w14:paraId="3C0CA3FD" w14:textId="77777777" w:rsidR="00203F72" w:rsidRPr="00A53581" w:rsidRDefault="001475BC" w:rsidP="00D87D91">
            <w:r>
              <w:rPr>
                <w:rFonts w:hint="eastAsia"/>
              </w:rPr>
              <w:t xml:space="preserve">　　</w:t>
            </w:r>
            <w:r w:rsidR="00203F72" w:rsidRPr="00A53581">
              <w:rPr>
                <w:rFonts w:hint="eastAsia"/>
              </w:rPr>
              <w:t>手段與目的間只需具有「合理關聯」（</w:t>
            </w:r>
            <w:r w:rsidR="00203F72" w:rsidRPr="00A53581">
              <w:rPr>
                <w:rFonts w:hint="eastAsia"/>
              </w:rPr>
              <w:t>reasonable relation</w:t>
            </w:r>
            <w:r w:rsidR="00203F72" w:rsidRPr="00A53581">
              <w:rPr>
                <w:rFonts w:hint="eastAsia"/>
              </w:rPr>
              <w:t>）。</w:t>
            </w:r>
          </w:p>
          <w:p w14:paraId="4BFBF009" w14:textId="77777777" w:rsidR="00203F72" w:rsidRPr="00A53581" w:rsidRDefault="001475BC" w:rsidP="00D87D91">
            <w:r>
              <w:rPr>
                <w:rFonts w:hint="eastAsia"/>
              </w:rPr>
              <w:t xml:space="preserve">　　</w:t>
            </w:r>
            <w:r w:rsidR="00203F72" w:rsidRPr="00A53581">
              <w:rPr>
                <w:rFonts w:hint="eastAsia"/>
              </w:rPr>
              <w:t>相當寬鬆之要求，類似比例原則第一次原則「手段適合性」之要求。</w:t>
            </w:r>
          </w:p>
          <w:p w14:paraId="1B345BEB" w14:textId="77777777" w:rsidR="00203F72" w:rsidRPr="00A53581" w:rsidRDefault="001475BC" w:rsidP="00D87D91">
            <w:r>
              <w:rPr>
                <w:rFonts w:hint="eastAsia"/>
              </w:rPr>
              <w:t xml:space="preserve">　　</w:t>
            </w:r>
            <w:r w:rsidR="00203F72" w:rsidRPr="00A53581">
              <w:rPr>
                <w:rFonts w:hint="eastAsia"/>
              </w:rPr>
              <w:t>在平等權案件，容許涵蓋過廣或過窄（一次走一步），不要求精確之分類；在自由權案件，也容許過多限制，只要不構成恣意即可。</w:t>
            </w:r>
          </w:p>
        </w:tc>
      </w:tr>
      <w:tr w:rsidR="00203F72" w:rsidRPr="00A53581" w14:paraId="68814231" w14:textId="77777777" w:rsidTr="001475BC">
        <w:tc>
          <w:tcPr>
            <w:tcW w:w="678" w:type="pct"/>
            <w:shd w:val="clear" w:color="auto" w:fill="auto"/>
          </w:tcPr>
          <w:p w14:paraId="029E545C" w14:textId="77777777" w:rsidR="00203F72" w:rsidRPr="00A53581" w:rsidRDefault="00203F72" w:rsidP="00D87D91">
            <w:r w:rsidRPr="00A53581">
              <w:t>適用結果</w:t>
            </w:r>
          </w:p>
        </w:tc>
        <w:tc>
          <w:tcPr>
            <w:tcW w:w="1440" w:type="pct"/>
            <w:shd w:val="clear" w:color="auto" w:fill="auto"/>
          </w:tcPr>
          <w:p w14:paraId="0F16F7AF" w14:textId="77777777" w:rsidR="00203F72" w:rsidRPr="00A53581" w:rsidRDefault="00203F72" w:rsidP="00D87D91">
            <w:r w:rsidRPr="00A53581">
              <w:rPr>
                <w:rFonts w:hint="eastAsia"/>
              </w:rPr>
              <w:t>推定違憲，所謂「理論上嚴格，實際上致命」（</w:t>
            </w:r>
            <w:r w:rsidRPr="00A53581">
              <w:t>strict in theory, fatal in practice</w:t>
            </w:r>
            <w:r w:rsidRPr="00A53581">
              <w:rPr>
                <w:rFonts w:hint="eastAsia"/>
              </w:rPr>
              <w:t>）。</w:t>
            </w:r>
          </w:p>
          <w:p w14:paraId="7F28B922" w14:textId="77777777" w:rsidR="00203F72" w:rsidRPr="00A53581" w:rsidRDefault="001475BC" w:rsidP="00D87D91">
            <w:r>
              <w:rPr>
                <w:rFonts w:hint="eastAsia"/>
              </w:rPr>
              <w:t xml:space="preserve">　　</w:t>
            </w:r>
            <w:r w:rsidR="00203F72" w:rsidRPr="00A53581">
              <w:rPr>
                <w:rFonts w:hint="eastAsia"/>
              </w:rPr>
              <w:t>例外時仍可能合憲。例如歧</w:t>
            </w:r>
            <w:r w:rsidR="003E240E">
              <w:rPr>
                <w:rFonts w:hint="eastAsia"/>
              </w:rPr>
              <w:t>視</w:t>
            </w:r>
            <w:r w:rsidR="00203F72" w:rsidRPr="00A53581">
              <w:rPr>
                <w:rFonts w:hint="eastAsia"/>
              </w:rPr>
              <w:t>少數種族之平等案件通常會違憲，但種族分類之優惠性待遇案件則可能合憲。</w:t>
            </w:r>
          </w:p>
        </w:tc>
        <w:tc>
          <w:tcPr>
            <w:tcW w:w="1527" w:type="pct"/>
            <w:shd w:val="clear" w:color="auto" w:fill="auto"/>
          </w:tcPr>
          <w:p w14:paraId="585345E9" w14:textId="77777777" w:rsidR="00203F72" w:rsidRPr="00A53581" w:rsidRDefault="001475BC" w:rsidP="00D87D91">
            <w:pPr>
              <w:rPr>
                <w:kern w:val="0"/>
              </w:rPr>
            </w:pPr>
            <w:r>
              <w:t xml:space="preserve">　　</w:t>
            </w:r>
            <w:r w:rsidR="00203F72" w:rsidRPr="00A53581">
              <w:t>不確定，一般而言會傾向違憲，但容許較大之個案衡量</w:t>
            </w:r>
            <w:r w:rsidR="00203F72" w:rsidRPr="00A53581">
              <w:rPr>
                <w:kern w:val="0"/>
              </w:rPr>
              <w:t>。</w:t>
            </w:r>
          </w:p>
          <w:p w14:paraId="0DADDF87" w14:textId="77777777" w:rsidR="00203F72" w:rsidRPr="00A53581" w:rsidRDefault="001475BC" w:rsidP="00D87D91">
            <w:r>
              <w:t xml:space="preserve">　　</w:t>
            </w:r>
            <w:r w:rsidR="00203F72" w:rsidRPr="00A53581">
              <w:t>在性別平等案件，有從嚴適用而接近嚴格審查標準之趨勢。</w:t>
            </w:r>
          </w:p>
        </w:tc>
        <w:tc>
          <w:tcPr>
            <w:tcW w:w="1356" w:type="pct"/>
            <w:shd w:val="clear" w:color="auto" w:fill="auto"/>
          </w:tcPr>
          <w:p w14:paraId="6264F663" w14:textId="77777777" w:rsidR="00203F72" w:rsidRPr="00A53581" w:rsidRDefault="00203F72" w:rsidP="00D87D91">
            <w:r w:rsidRPr="00A53581">
              <w:t>推定合憲，所謂「表面上合理，實際上無審查」。</w:t>
            </w:r>
          </w:p>
          <w:p w14:paraId="564D2495" w14:textId="77777777" w:rsidR="00203F72" w:rsidRPr="00A53581" w:rsidRDefault="001475BC" w:rsidP="00D87D91">
            <w:r>
              <w:t xml:space="preserve">　　</w:t>
            </w:r>
            <w:r w:rsidR="00203F72" w:rsidRPr="00A53581">
              <w:t>例外時仍會違憲，所謂「會咬人」或「長牙齒」之合理審查。</w:t>
            </w:r>
          </w:p>
        </w:tc>
      </w:tr>
      <w:tr w:rsidR="00203F72" w:rsidRPr="00A53581" w14:paraId="313AF052" w14:textId="77777777" w:rsidTr="001475BC">
        <w:tc>
          <w:tcPr>
            <w:tcW w:w="678" w:type="pct"/>
            <w:shd w:val="clear" w:color="auto" w:fill="auto"/>
          </w:tcPr>
          <w:p w14:paraId="41D53861" w14:textId="77777777" w:rsidR="00203F72" w:rsidRPr="00A53581" w:rsidRDefault="00203F72" w:rsidP="00D87D91">
            <w:r w:rsidRPr="00A53581">
              <w:t>舉證責任</w:t>
            </w:r>
          </w:p>
        </w:tc>
        <w:tc>
          <w:tcPr>
            <w:tcW w:w="1440" w:type="pct"/>
            <w:shd w:val="clear" w:color="auto" w:fill="auto"/>
          </w:tcPr>
          <w:p w14:paraId="2BE0AE44" w14:textId="77777777" w:rsidR="00203F72" w:rsidRPr="00A53581" w:rsidRDefault="00203F72" w:rsidP="00D87D91">
            <w:r w:rsidRPr="00A53581">
              <w:t>由政府證明合憲，無合憲性推定原則之適用</w:t>
            </w:r>
            <w:r w:rsidRPr="00A53581">
              <w:rPr>
                <w:kern w:val="0"/>
              </w:rPr>
              <w:t>。</w:t>
            </w:r>
          </w:p>
        </w:tc>
        <w:tc>
          <w:tcPr>
            <w:tcW w:w="1527" w:type="pct"/>
            <w:shd w:val="clear" w:color="auto" w:fill="auto"/>
          </w:tcPr>
          <w:p w14:paraId="658A360D" w14:textId="77777777" w:rsidR="00203F72" w:rsidRPr="00A53581" w:rsidRDefault="00203F72" w:rsidP="00D87D91">
            <w:r w:rsidRPr="00A53581">
              <w:t>由政府證明合憲，無合憲性推定原則之適用</w:t>
            </w:r>
            <w:r w:rsidRPr="00A53581">
              <w:rPr>
                <w:kern w:val="0"/>
              </w:rPr>
              <w:t>。</w:t>
            </w:r>
          </w:p>
        </w:tc>
        <w:tc>
          <w:tcPr>
            <w:tcW w:w="1356" w:type="pct"/>
            <w:shd w:val="clear" w:color="auto" w:fill="auto"/>
          </w:tcPr>
          <w:p w14:paraId="02487847" w14:textId="77777777" w:rsidR="00203F72" w:rsidRPr="00A53581" w:rsidRDefault="00203F72" w:rsidP="00D87D91">
            <w:r w:rsidRPr="00A53581">
              <w:t>適用合憲性推定原則，由人民證明違憲</w:t>
            </w:r>
            <w:r w:rsidRPr="00A53581">
              <w:rPr>
                <w:kern w:val="0"/>
              </w:rPr>
              <w:t>。</w:t>
            </w:r>
          </w:p>
        </w:tc>
      </w:tr>
    </w:tbl>
    <w:p w14:paraId="3D2239EE" w14:textId="77777777" w:rsidR="00203F72" w:rsidRPr="003D02B1" w:rsidRDefault="002107CE" w:rsidP="00D87D91">
      <w:r w:rsidRPr="003D02B1">
        <w:t>【</w:t>
      </w:r>
      <w:r w:rsidR="00203F72" w:rsidRPr="003D02B1">
        <w:t>本表格</w:t>
      </w:r>
      <w:r w:rsidR="00B03E84" w:rsidRPr="003D02B1">
        <w:t>資料來源】</w:t>
      </w:r>
    </w:p>
    <w:p w14:paraId="65153C85" w14:textId="77777777" w:rsidR="00203F72" w:rsidRPr="003D02B1" w:rsidRDefault="002107CE" w:rsidP="00D87D91">
      <w:r w:rsidRPr="003D02B1">
        <w:t xml:space="preserve">　　</w:t>
      </w:r>
      <w:r w:rsidR="00203F72" w:rsidRPr="003D02B1">
        <w:t>植憲</w:t>
      </w:r>
      <w:r w:rsidR="00203F72" w:rsidRPr="003D02B1">
        <w:t>(2012)</w:t>
      </w:r>
      <w:r w:rsidR="00203F72" w:rsidRPr="003D02B1">
        <w:t>，憲法必背釋字精研，</w:t>
      </w:r>
      <w:r w:rsidR="00203F72" w:rsidRPr="003D02B1">
        <w:t>7</w:t>
      </w:r>
      <w:r w:rsidR="00203F72" w:rsidRPr="003D02B1">
        <w:t>版</w:t>
      </w:r>
      <w:r w:rsidR="00203F72" w:rsidRPr="003D02B1">
        <w:t>2</w:t>
      </w:r>
      <w:r w:rsidR="00203F72" w:rsidRPr="003D02B1">
        <w:t>刷，台北市：植憲，第</w:t>
      </w:r>
      <w:r w:rsidR="00203F72" w:rsidRPr="003D02B1">
        <w:t>1-51</w:t>
      </w:r>
      <w:r w:rsidR="00203F72" w:rsidRPr="003D02B1">
        <w:t>頁。</w:t>
      </w:r>
    </w:p>
    <w:p w14:paraId="7ABFAB15" w14:textId="77777777" w:rsidR="00953151" w:rsidRPr="003D02B1" w:rsidRDefault="002107CE" w:rsidP="00D87D91">
      <w:r w:rsidRPr="003D02B1">
        <w:t xml:space="preserve">　　</w:t>
      </w:r>
      <w:r w:rsidR="00203F72" w:rsidRPr="003D02B1">
        <w:t>司法院釋字</w:t>
      </w:r>
      <w:hyperlink r:id="rId420" w:anchor="r578" w:history="1">
        <w:r w:rsidR="00203F72" w:rsidRPr="008F066C">
          <w:rPr>
            <w:rStyle w:val="a5"/>
            <w:rFonts w:ascii="Times New Roman" w:eastAsia="新細明體" w:hAnsi="Times New Roman"/>
          </w:rPr>
          <w:t>第</w:t>
        </w:r>
        <w:r w:rsidR="00203F72" w:rsidRPr="008F066C">
          <w:rPr>
            <w:rStyle w:val="a5"/>
            <w:rFonts w:ascii="Times New Roman" w:eastAsia="新細明體" w:hAnsi="Times New Roman"/>
          </w:rPr>
          <w:t>578</w:t>
        </w:r>
        <w:r w:rsidR="00203F72" w:rsidRPr="008F066C">
          <w:rPr>
            <w:rStyle w:val="a5"/>
            <w:rFonts w:ascii="Times New Roman" w:eastAsia="新細明體" w:hAnsi="Times New Roman"/>
          </w:rPr>
          <w:t>號</w:t>
        </w:r>
      </w:hyperlink>
      <w:r w:rsidR="00203F72" w:rsidRPr="003D02B1">
        <w:t>及</w:t>
      </w:r>
      <w:hyperlink r:id="rId421" w:anchor="r584" w:history="1">
        <w:r w:rsidR="00203F72" w:rsidRPr="008F066C">
          <w:rPr>
            <w:rStyle w:val="a5"/>
            <w:rFonts w:ascii="Times New Roman" w:eastAsia="新細明體" w:hAnsi="Times New Roman"/>
          </w:rPr>
          <w:t>第</w:t>
        </w:r>
        <w:r w:rsidR="00203F72" w:rsidRPr="008F066C">
          <w:rPr>
            <w:rStyle w:val="a5"/>
            <w:rFonts w:ascii="Times New Roman" w:eastAsia="新細明體" w:hAnsi="Times New Roman" w:hint="eastAsia"/>
          </w:rPr>
          <w:t>584</w:t>
        </w:r>
        <w:r w:rsidR="00203F72" w:rsidRPr="008F066C">
          <w:rPr>
            <w:rStyle w:val="a5"/>
            <w:rFonts w:ascii="Times New Roman" w:eastAsia="新細明體" w:hAnsi="Times New Roman" w:hint="eastAsia"/>
          </w:rPr>
          <w:t>號</w:t>
        </w:r>
      </w:hyperlink>
      <w:r w:rsidR="00203F72" w:rsidRPr="003D02B1">
        <w:t>解釋文中之許宗力大法官協同意書</w:t>
      </w:r>
      <w:r w:rsidR="00203F72" w:rsidRPr="003D02B1">
        <w:rPr>
          <w:rFonts w:hint="eastAsia"/>
        </w:rPr>
        <w:t>。</w:t>
      </w:r>
    </w:p>
    <w:p w14:paraId="26132CA2" w14:textId="77777777" w:rsidR="00953151" w:rsidRDefault="00076467" w:rsidP="00767F37">
      <w:pPr>
        <w:pStyle w:val="2"/>
      </w:pPr>
      <w:hyperlink r:id="rId422" w:anchor="a24" w:history="1">
        <w:r w:rsidR="005D5A46">
          <w:rPr>
            <w:rStyle w:val="a5"/>
            <w:rFonts w:ascii="Arial Unicode MS" w:hAnsi="Arial Unicode MS"/>
          </w:rPr>
          <w:t>第</w:t>
        </w:r>
        <w:r w:rsidR="00203F72" w:rsidRPr="001B53A5">
          <w:rPr>
            <w:rStyle w:val="a5"/>
            <w:rFonts w:ascii="Arial Unicode MS" w:hAnsi="Arial Unicode MS"/>
          </w:rPr>
          <w:t>24</w:t>
        </w:r>
        <w:r w:rsidR="005D5A46">
          <w:rPr>
            <w:rStyle w:val="a5"/>
            <w:rFonts w:ascii="Arial Unicode MS" w:hAnsi="Arial Unicode MS"/>
          </w:rPr>
          <w:t>條</w:t>
        </w:r>
      </w:hyperlink>
      <w:r w:rsidR="00203F72" w:rsidRPr="00A53581">
        <w:t>凡公務員違法侵害人民之自由或權利者，除依法律受懲戒外，應負刑事及民事責任。被害人民就其所受損害，並得依法律向國家請求賠償。</w:t>
      </w:r>
    </w:p>
    <w:p w14:paraId="48A3FAD3" w14:textId="77777777" w:rsidR="00953151" w:rsidRPr="003D02B1" w:rsidRDefault="00B03E84" w:rsidP="00D87D91">
      <w:r w:rsidRPr="003D02B1">
        <w:t>【內容解析】</w:t>
      </w:r>
    </w:p>
    <w:p w14:paraId="55DA3E6D" w14:textId="77777777" w:rsidR="00953151" w:rsidRDefault="002107CE" w:rsidP="00D87D91">
      <w:r w:rsidRPr="003D02B1">
        <w:t xml:space="preserve">　　</w:t>
      </w:r>
      <w:r w:rsidR="00203F72" w:rsidRPr="003D02B1">
        <w:t>人民之自由或權利，遭到公務員違法之侵害，公務人員除依法須受到公務人員懲戒法中規定之懲戒，降級、減俸、記過等處分，如公務員該行為觸犯</w:t>
      </w:r>
      <w:hyperlink r:id="rId423" w:history="1">
        <w:r w:rsidR="006B7176" w:rsidRPr="006B7176">
          <w:rPr>
            <w:rStyle w:val="a5"/>
            <w:rFonts w:eastAsia="新細明體"/>
            <w:kern w:val="0"/>
          </w:rPr>
          <w:t>刑法</w:t>
        </w:r>
      </w:hyperlink>
      <w:r w:rsidR="00203F72" w:rsidRPr="003D02B1">
        <w:t>、</w:t>
      </w:r>
      <w:hyperlink r:id="rId424" w:history="1">
        <w:r w:rsidR="00203F72" w:rsidRPr="00707676">
          <w:rPr>
            <w:rStyle w:val="a5"/>
            <w:rFonts w:ascii="Times New Roman" w:eastAsia="新細明體" w:hAnsi="Times New Roman"/>
          </w:rPr>
          <w:t>民法</w:t>
        </w:r>
      </w:hyperlink>
      <w:r w:rsidR="00203F72" w:rsidRPr="003D02B1">
        <w:t>規定時，還應負起刑事及民事上之責任。同時受到侵害之人民，也可以依其所受到損害向國家請求賠償，我國有關賠償之規定，</w:t>
      </w:r>
      <w:r w:rsidR="00203F72" w:rsidRPr="003D02B1">
        <w:rPr>
          <w:rFonts w:hint="eastAsia"/>
        </w:rPr>
        <w:t>計</w:t>
      </w:r>
      <w:r w:rsidR="00203F72" w:rsidRPr="003D02B1">
        <w:t>有：</w:t>
      </w:r>
      <w:hyperlink r:id="rId425" w:history="1">
        <w:r w:rsidR="00203F72" w:rsidRPr="008F066C">
          <w:rPr>
            <w:rStyle w:val="a5"/>
            <w:rFonts w:ascii="Times New Roman" w:eastAsia="新細明體" w:hAnsi="Times New Roman"/>
          </w:rPr>
          <w:t>國家賠償法</w:t>
        </w:r>
      </w:hyperlink>
      <w:r w:rsidR="00203F72" w:rsidRPr="003D02B1">
        <w:t>、</w:t>
      </w:r>
      <w:hyperlink r:id="rId426" w:history="1">
        <w:r w:rsidR="00203F72" w:rsidRPr="008F066C">
          <w:rPr>
            <w:rStyle w:val="a5"/>
            <w:rFonts w:ascii="Times New Roman" w:eastAsia="新細明體" w:hAnsi="Times New Roman"/>
          </w:rPr>
          <w:t>冤獄賠償法</w:t>
        </w:r>
      </w:hyperlink>
      <w:r w:rsidR="00203F72" w:rsidRPr="003D02B1">
        <w:t>等。</w:t>
      </w:r>
    </w:p>
    <w:p w14:paraId="3099CA45" w14:textId="77777777" w:rsidR="008F066C" w:rsidRPr="003D02B1" w:rsidRDefault="008F066C" w:rsidP="00D87D91"/>
    <w:p w14:paraId="16F17769" w14:textId="1526E653" w:rsidR="00203F72" w:rsidRPr="00E07281" w:rsidRDefault="00B03E84" w:rsidP="00D87D91">
      <w:r w:rsidRPr="00E07281">
        <w:t>【</w:t>
      </w:r>
      <w:r w:rsidRPr="00E07281">
        <w:t>table</w:t>
      </w:r>
      <w:r w:rsidR="005E23E3" w:rsidRPr="00E07281">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19</w:t>
      </w:r>
      <w:r w:rsidR="00076467">
        <w:rPr>
          <w:noProof/>
        </w:rPr>
        <w:fldChar w:fldCharType="end"/>
      </w:r>
      <w:r w:rsidR="00203F72" w:rsidRPr="00E07281">
        <w:t>我國國家賠償機制（第二次權利救濟）</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3"/>
        <w:gridCol w:w="6355"/>
      </w:tblGrid>
      <w:tr w:rsidR="00203F72" w:rsidRPr="00A53581" w14:paraId="1E13D5AF" w14:textId="77777777" w:rsidTr="00203F72">
        <w:tc>
          <w:tcPr>
            <w:tcW w:w="1052" w:type="pct"/>
            <w:shd w:val="clear" w:color="auto" w:fill="auto"/>
          </w:tcPr>
          <w:p w14:paraId="487EAF6A" w14:textId="77777777" w:rsidR="00203F72" w:rsidRPr="00A53581" w:rsidRDefault="00203F72" w:rsidP="00D87D91">
            <w:r w:rsidRPr="00A53581">
              <w:t>國家</w:t>
            </w:r>
            <w:r w:rsidRPr="00A53581">
              <w:rPr>
                <w:rFonts w:hint="eastAsia"/>
              </w:rPr>
              <w:t>應負損害賠償責任</w:t>
            </w:r>
          </w:p>
        </w:tc>
        <w:tc>
          <w:tcPr>
            <w:tcW w:w="3948" w:type="pct"/>
            <w:shd w:val="clear" w:color="auto" w:fill="auto"/>
          </w:tcPr>
          <w:p w14:paraId="3F1C5F28" w14:textId="77777777" w:rsidR="00203F72" w:rsidRPr="00A53581" w:rsidRDefault="008F066C" w:rsidP="00D87D91">
            <w:r>
              <w:rPr>
                <w:rFonts w:hint="eastAsia"/>
              </w:rPr>
              <w:t xml:space="preserve">　　</w:t>
            </w:r>
            <w:r w:rsidR="00203F72" w:rsidRPr="00A53581">
              <w:rPr>
                <w:rFonts w:hint="eastAsia"/>
              </w:rPr>
              <w:t>1.</w:t>
            </w:r>
            <w:r w:rsidR="00203F72" w:rsidRPr="00A53581">
              <w:rPr>
                <w:rFonts w:hint="eastAsia"/>
              </w:rPr>
              <w:t>公務員於執行職務行使公權力時，因故意或過失，或怠於執行職務，致人民自由或權利遭受不法侵害或損害者</w:t>
            </w:r>
            <w:r w:rsidR="00203F72" w:rsidRPr="00A53581">
              <w:rPr>
                <w:rFonts w:hint="eastAsia"/>
                <w:kern w:val="0"/>
              </w:rPr>
              <w:t>。</w:t>
            </w:r>
          </w:p>
          <w:p w14:paraId="3E7B5FB7" w14:textId="77777777" w:rsidR="00203F72" w:rsidRPr="00A53581" w:rsidRDefault="008F066C" w:rsidP="00D87D91">
            <w:r>
              <w:rPr>
                <w:rFonts w:hint="eastAsia"/>
              </w:rPr>
              <w:t xml:space="preserve">　　</w:t>
            </w:r>
            <w:r w:rsidR="00203F72" w:rsidRPr="00A53581">
              <w:rPr>
                <w:rFonts w:hint="eastAsia"/>
              </w:rPr>
              <w:t>2.</w:t>
            </w:r>
            <w:r w:rsidR="00203F72" w:rsidRPr="00A53581">
              <w:rPr>
                <w:rFonts w:hint="eastAsia"/>
              </w:rPr>
              <w:t>公有公共設施因設置或管理有欠缺，致人民生命、身體或財產受損害者。</w:t>
            </w:r>
          </w:p>
        </w:tc>
      </w:tr>
      <w:tr w:rsidR="00203F72" w:rsidRPr="00A53581" w14:paraId="6D6C3857" w14:textId="77777777" w:rsidTr="00203F72">
        <w:tc>
          <w:tcPr>
            <w:tcW w:w="1052" w:type="pct"/>
            <w:shd w:val="clear" w:color="auto" w:fill="auto"/>
          </w:tcPr>
          <w:p w14:paraId="79F96B1E" w14:textId="77777777" w:rsidR="00203F72" w:rsidRPr="00A53581" w:rsidRDefault="00203F72" w:rsidP="00D87D91">
            <w:r w:rsidRPr="00A53581">
              <w:t>賠償</w:t>
            </w:r>
            <w:r w:rsidRPr="00A53581">
              <w:rPr>
                <w:rFonts w:hint="eastAsia"/>
              </w:rPr>
              <w:t>義務機關之求償權</w:t>
            </w:r>
          </w:p>
        </w:tc>
        <w:tc>
          <w:tcPr>
            <w:tcW w:w="3948" w:type="pct"/>
            <w:shd w:val="clear" w:color="auto" w:fill="auto"/>
          </w:tcPr>
          <w:p w14:paraId="708F6837" w14:textId="77777777" w:rsidR="00203F72" w:rsidRPr="00A53581" w:rsidRDefault="008F066C" w:rsidP="00D87D91">
            <w:r>
              <w:rPr>
                <w:rFonts w:hint="eastAsia"/>
              </w:rPr>
              <w:t xml:space="preserve">　　</w:t>
            </w:r>
            <w:r w:rsidR="00203F72" w:rsidRPr="00A53581">
              <w:rPr>
                <w:rFonts w:hint="eastAsia"/>
              </w:rPr>
              <w:t>1.</w:t>
            </w:r>
            <w:r w:rsidR="00203F72" w:rsidRPr="00A53581">
              <w:rPr>
                <w:rFonts w:hint="eastAsia"/>
              </w:rPr>
              <w:t>不法侵害人民之自由或權利者，如有故意或重大過失時，得對該公務員、受委託之團體或個人有求償權</w:t>
            </w:r>
            <w:r w:rsidR="00203F72" w:rsidRPr="00A53581">
              <w:rPr>
                <w:rFonts w:hint="eastAsia"/>
                <w:kern w:val="0"/>
              </w:rPr>
              <w:t>。</w:t>
            </w:r>
          </w:p>
          <w:p w14:paraId="489DEBCF" w14:textId="77777777" w:rsidR="00203F72" w:rsidRPr="00A53581" w:rsidRDefault="008F066C" w:rsidP="00D87D91">
            <w:r>
              <w:rPr>
                <w:rFonts w:hint="eastAsia"/>
              </w:rPr>
              <w:t xml:space="preserve">　　</w:t>
            </w:r>
            <w:r w:rsidR="00203F72" w:rsidRPr="00A53581">
              <w:rPr>
                <w:rFonts w:hint="eastAsia"/>
              </w:rPr>
              <w:t>2.</w:t>
            </w:r>
            <w:r w:rsidR="00203F72" w:rsidRPr="00A53581">
              <w:rPr>
                <w:rFonts w:hint="eastAsia"/>
              </w:rPr>
              <w:t>造成人民生命、身體或財產受損者，得對應負責任之人有求償權</w:t>
            </w:r>
            <w:r w:rsidR="00203F72" w:rsidRPr="00A53581">
              <w:rPr>
                <w:rFonts w:hint="eastAsia"/>
                <w:kern w:val="0"/>
              </w:rPr>
              <w:t>。</w:t>
            </w:r>
          </w:p>
        </w:tc>
      </w:tr>
      <w:tr w:rsidR="00203F72" w:rsidRPr="00A53581" w14:paraId="295E3234" w14:textId="77777777" w:rsidTr="00203F72">
        <w:tc>
          <w:tcPr>
            <w:tcW w:w="1052" w:type="pct"/>
            <w:shd w:val="clear" w:color="auto" w:fill="auto"/>
          </w:tcPr>
          <w:p w14:paraId="6BBA6122" w14:textId="77777777" w:rsidR="00203F72" w:rsidRPr="00A53581" w:rsidRDefault="00203F72" w:rsidP="00D87D91">
            <w:r w:rsidRPr="00A53581">
              <w:t>適用順序</w:t>
            </w:r>
          </w:p>
        </w:tc>
        <w:tc>
          <w:tcPr>
            <w:tcW w:w="3948" w:type="pct"/>
            <w:shd w:val="clear" w:color="auto" w:fill="auto"/>
          </w:tcPr>
          <w:p w14:paraId="682D352F" w14:textId="77777777" w:rsidR="00203F72" w:rsidRPr="00A53581" w:rsidRDefault="00203F72" w:rsidP="00D87D91">
            <w:pPr>
              <w:rPr>
                <w:rFonts w:ascii="新細明體" w:hAnsi="新細明體"/>
              </w:rPr>
            </w:pPr>
            <w:r w:rsidRPr="00A53581">
              <w:rPr>
                <w:rFonts w:ascii="新細明體" w:hAnsi="新細明體" w:hint="eastAsia"/>
              </w:rPr>
              <w:t>其他法律（如</w:t>
            </w:r>
            <w:hyperlink r:id="rId427" w:history="1">
              <w:r w:rsidR="008F066C" w:rsidRPr="008F066C">
                <w:rPr>
                  <w:rStyle w:val="a5"/>
                  <w:rFonts w:ascii="Times New Roman" w:eastAsia="新細明體" w:hAnsi="Times New Roman"/>
                </w:rPr>
                <w:t>冤獄賠償法</w:t>
              </w:r>
            </w:hyperlink>
            <w:r w:rsidRPr="00A53581">
              <w:rPr>
                <w:rFonts w:ascii="新細明體" w:hAnsi="新細明體" w:hint="eastAsia"/>
              </w:rPr>
              <w:t>）→本法→</w:t>
            </w:r>
            <w:hyperlink r:id="rId428" w:history="1">
              <w:r w:rsidR="008F066C" w:rsidRPr="00707676">
                <w:rPr>
                  <w:rStyle w:val="a5"/>
                  <w:rFonts w:ascii="Times New Roman" w:eastAsia="新細明體" w:hAnsi="Times New Roman"/>
                </w:rPr>
                <w:t>民法</w:t>
              </w:r>
            </w:hyperlink>
          </w:p>
        </w:tc>
      </w:tr>
      <w:tr w:rsidR="00203F72" w:rsidRPr="00A53581" w14:paraId="28BC6141" w14:textId="77777777" w:rsidTr="00203F72">
        <w:tc>
          <w:tcPr>
            <w:tcW w:w="1052" w:type="pct"/>
            <w:shd w:val="clear" w:color="auto" w:fill="auto"/>
          </w:tcPr>
          <w:p w14:paraId="1DB8BE79" w14:textId="77777777" w:rsidR="00203F72" w:rsidRPr="00A53581" w:rsidRDefault="00203F72" w:rsidP="00D87D91">
            <w:r w:rsidRPr="00A53581">
              <w:t>責任履行</w:t>
            </w:r>
          </w:p>
        </w:tc>
        <w:tc>
          <w:tcPr>
            <w:tcW w:w="3948" w:type="pct"/>
            <w:shd w:val="clear" w:color="auto" w:fill="auto"/>
          </w:tcPr>
          <w:p w14:paraId="536FE9AB" w14:textId="77777777" w:rsidR="00203F72" w:rsidRPr="00A53581" w:rsidRDefault="008F066C" w:rsidP="00D87D91">
            <w:r>
              <w:rPr>
                <w:rFonts w:hint="eastAsia"/>
              </w:rPr>
              <w:t xml:space="preserve">　　</w:t>
            </w:r>
            <w:r w:rsidR="00203F72" w:rsidRPr="00A53581">
              <w:rPr>
                <w:rFonts w:hint="eastAsia"/>
              </w:rPr>
              <w:t>1.</w:t>
            </w:r>
            <w:r w:rsidR="00203F72" w:rsidRPr="00A53581">
              <w:rPr>
                <w:rFonts w:hint="eastAsia"/>
              </w:rPr>
              <w:t>應以金錢為之，並由各級政府編列預算支應</w:t>
            </w:r>
            <w:r w:rsidR="00203F72" w:rsidRPr="00A53581">
              <w:rPr>
                <w:rFonts w:hint="eastAsia"/>
                <w:kern w:val="0"/>
              </w:rPr>
              <w:t>。</w:t>
            </w:r>
          </w:p>
          <w:p w14:paraId="07642A6E" w14:textId="77777777" w:rsidR="00203F72" w:rsidRPr="00A53581" w:rsidRDefault="008F066C" w:rsidP="00D87D91">
            <w:r>
              <w:rPr>
                <w:rFonts w:hint="eastAsia"/>
              </w:rPr>
              <w:t xml:space="preserve">　　</w:t>
            </w:r>
            <w:r w:rsidR="00203F72" w:rsidRPr="00A53581">
              <w:rPr>
                <w:rFonts w:hint="eastAsia"/>
              </w:rPr>
              <w:t>2.</w:t>
            </w:r>
            <w:r w:rsidR="00203F72" w:rsidRPr="00A53581">
              <w:rPr>
                <w:rFonts w:hint="eastAsia"/>
              </w:rPr>
              <w:t>以回復原狀為適當者，得依請求回復損害發生前原狀</w:t>
            </w:r>
            <w:r w:rsidR="00203F72" w:rsidRPr="00A53581">
              <w:rPr>
                <w:rFonts w:hint="eastAsia"/>
                <w:kern w:val="0"/>
              </w:rPr>
              <w:t>。</w:t>
            </w:r>
          </w:p>
        </w:tc>
      </w:tr>
      <w:tr w:rsidR="00203F72" w:rsidRPr="00A53581" w14:paraId="021B4370" w14:textId="77777777" w:rsidTr="00203F72">
        <w:tc>
          <w:tcPr>
            <w:tcW w:w="1052" w:type="pct"/>
            <w:shd w:val="clear" w:color="auto" w:fill="auto"/>
          </w:tcPr>
          <w:p w14:paraId="5DEBC34B" w14:textId="77777777" w:rsidR="00203F72" w:rsidRPr="00A53581" w:rsidRDefault="00203F72" w:rsidP="00D87D91">
            <w:r w:rsidRPr="00A53581">
              <w:t>賠償請求權</w:t>
            </w:r>
          </w:p>
        </w:tc>
        <w:tc>
          <w:tcPr>
            <w:tcW w:w="3948" w:type="pct"/>
            <w:shd w:val="clear" w:color="auto" w:fill="auto"/>
          </w:tcPr>
          <w:p w14:paraId="38AFF56E" w14:textId="77777777" w:rsidR="00203F72" w:rsidRPr="00A53581" w:rsidRDefault="008F066C" w:rsidP="00D87D91">
            <w:r>
              <w:rPr>
                <w:rFonts w:hint="eastAsia"/>
              </w:rPr>
              <w:t xml:space="preserve">　　</w:t>
            </w:r>
            <w:r w:rsidR="00203F72" w:rsidRPr="00A53581">
              <w:rPr>
                <w:rFonts w:hint="eastAsia"/>
              </w:rPr>
              <w:t>1.</w:t>
            </w:r>
            <w:r w:rsidR="00203F72" w:rsidRPr="00A53581">
              <w:rPr>
                <w:rFonts w:hint="eastAsia"/>
              </w:rPr>
              <w:t>自請求權人知有損害時起，因</w:t>
            </w:r>
            <w:r w:rsidR="00203F72" w:rsidRPr="00A53581">
              <w:rPr>
                <w:rFonts w:hint="eastAsia"/>
              </w:rPr>
              <w:t>2</w:t>
            </w:r>
            <w:r w:rsidR="00203F72" w:rsidRPr="00A53581">
              <w:rPr>
                <w:rFonts w:hint="eastAsia"/>
              </w:rPr>
              <w:t>年間不行使而消滅</w:t>
            </w:r>
            <w:r w:rsidR="00203F72" w:rsidRPr="00A53581">
              <w:rPr>
                <w:rFonts w:hint="eastAsia"/>
                <w:kern w:val="0"/>
              </w:rPr>
              <w:t>。</w:t>
            </w:r>
          </w:p>
          <w:p w14:paraId="516746FD" w14:textId="77777777" w:rsidR="00203F72" w:rsidRPr="00A53581" w:rsidRDefault="008F066C" w:rsidP="00D87D91">
            <w:r>
              <w:rPr>
                <w:rFonts w:hint="eastAsia"/>
              </w:rPr>
              <w:t xml:space="preserve">　　</w:t>
            </w:r>
            <w:r w:rsidR="00203F72" w:rsidRPr="00A53581">
              <w:rPr>
                <w:rFonts w:hint="eastAsia"/>
              </w:rPr>
              <w:t>2.</w:t>
            </w:r>
            <w:r w:rsidR="00203F72" w:rsidRPr="00A53581">
              <w:rPr>
                <w:rFonts w:hint="eastAsia"/>
              </w:rPr>
              <w:t>自損害發生時起，逾</w:t>
            </w:r>
            <w:r w:rsidR="00203F72" w:rsidRPr="00A53581">
              <w:rPr>
                <w:rFonts w:hint="eastAsia"/>
              </w:rPr>
              <w:t>5</w:t>
            </w:r>
            <w:r w:rsidR="00203F72" w:rsidRPr="00A53581">
              <w:rPr>
                <w:rFonts w:hint="eastAsia"/>
              </w:rPr>
              <w:t>年間不行使而消滅</w:t>
            </w:r>
            <w:r w:rsidR="00203F72" w:rsidRPr="00A53581">
              <w:rPr>
                <w:rFonts w:hint="eastAsia"/>
                <w:kern w:val="0"/>
              </w:rPr>
              <w:t>。</w:t>
            </w:r>
          </w:p>
        </w:tc>
      </w:tr>
      <w:tr w:rsidR="00203F72" w:rsidRPr="00A53581" w14:paraId="2B2D3B35" w14:textId="77777777" w:rsidTr="008F066C">
        <w:trPr>
          <w:trHeight w:val="495"/>
        </w:trPr>
        <w:tc>
          <w:tcPr>
            <w:tcW w:w="1052" w:type="pct"/>
            <w:shd w:val="clear" w:color="auto" w:fill="auto"/>
          </w:tcPr>
          <w:p w14:paraId="6AF6C5E6" w14:textId="77777777" w:rsidR="00203F72" w:rsidRPr="00A53581" w:rsidRDefault="00203F72" w:rsidP="00D87D91">
            <w:r w:rsidRPr="00A53581">
              <w:t>求償權</w:t>
            </w:r>
          </w:p>
        </w:tc>
        <w:tc>
          <w:tcPr>
            <w:tcW w:w="3948" w:type="pct"/>
            <w:shd w:val="clear" w:color="auto" w:fill="auto"/>
            <w:vAlign w:val="center"/>
          </w:tcPr>
          <w:p w14:paraId="1812FAD3" w14:textId="77777777" w:rsidR="00203F72" w:rsidRPr="00A53581" w:rsidRDefault="00203F72" w:rsidP="00D87D91">
            <w:r w:rsidRPr="00A53581">
              <w:rPr>
                <w:rFonts w:hint="eastAsia"/>
              </w:rPr>
              <w:t>自支付</w:t>
            </w:r>
            <w:r w:rsidRPr="00A53581">
              <w:t>賠償</w:t>
            </w:r>
            <w:r w:rsidRPr="00A53581">
              <w:rPr>
                <w:rFonts w:hint="eastAsia"/>
              </w:rPr>
              <w:t>金或回復原狀之日起，因</w:t>
            </w:r>
            <w:r w:rsidRPr="00A53581">
              <w:rPr>
                <w:rFonts w:hint="eastAsia"/>
              </w:rPr>
              <w:t>2</w:t>
            </w:r>
            <w:r w:rsidRPr="00A53581">
              <w:rPr>
                <w:rFonts w:hint="eastAsia"/>
              </w:rPr>
              <w:t>年間不行使而消滅</w:t>
            </w:r>
            <w:r w:rsidRPr="00A53581">
              <w:rPr>
                <w:rFonts w:hint="eastAsia"/>
                <w:kern w:val="0"/>
              </w:rPr>
              <w:t>。</w:t>
            </w:r>
          </w:p>
        </w:tc>
      </w:tr>
      <w:tr w:rsidR="00203F72" w:rsidRPr="00A53581" w14:paraId="1EC7D851" w14:textId="77777777" w:rsidTr="00203F72">
        <w:tc>
          <w:tcPr>
            <w:tcW w:w="1052" w:type="pct"/>
            <w:shd w:val="clear" w:color="auto" w:fill="auto"/>
          </w:tcPr>
          <w:p w14:paraId="01452FD5" w14:textId="77777777" w:rsidR="00203F72" w:rsidRPr="00A53581" w:rsidRDefault="00203F72" w:rsidP="00D87D91">
            <w:r w:rsidRPr="00A53581">
              <w:t>賠償義務機關</w:t>
            </w:r>
          </w:p>
        </w:tc>
        <w:tc>
          <w:tcPr>
            <w:tcW w:w="3948" w:type="pct"/>
            <w:shd w:val="clear" w:color="auto" w:fill="auto"/>
          </w:tcPr>
          <w:p w14:paraId="5648AE1B" w14:textId="77777777" w:rsidR="00203F72" w:rsidRPr="00A53581" w:rsidRDefault="008F066C" w:rsidP="00D87D91">
            <w:r>
              <w:rPr>
                <w:rFonts w:hint="eastAsia"/>
              </w:rPr>
              <w:t xml:space="preserve">　　</w:t>
            </w:r>
            <w:r w:rsidR="00203F72" w:rsidRPr="00A53581">
              <w:rPr>
                <w:rFonts w:hint="eastAsia"/>
              </w:rPr>
              <w:t>1.</w:t>
            </w:r>
            <w:r w:rsidR="00203F72" w:rsidRPr="00A53581">
              <w:rPr>
                <w:rFonts w:hint="eastAsia"/>
              </w:rPr>
              <w:t>損害人民自由權利金：公務員所屬機關</w:t>
            </w:r>
            <w:r w:rsidR="00203F72" w:rsidRPr="00A53581">
              <w:rPr>
                <w:rFonts w:hint="eastAsia"/>
                <w:kern w:val="0"/>
              </w:rPr>
              <w:t>。</w:t>
            </w:r>
          </w:p>
          <w:p w14:paraId="3D4C36B3" w14:textId="77777777" w:rsidR="00203F72" w:rsidRPr="00A53581" w:rsidRDefault="008F066C" w:rsidP="00D87D91">
            <w:r>
              <w:rPr>
                <w:rFonts w:hint="eastAsia"/>
              </w:rPr>
              <w:t xml:space="preserve">　　</w:t>
            </w:r>
            <w:r w:rsidR="00203F72" w:rsidRPr="00A53581">
              <w:rPr>
                <w:rFonts w:hint="eastAsia"/>
              </w:rPr>
              <w:t>2.</w:t>
            </w:r>
            <w:r w:rsidR="00203F72" w:rsidRPr="00A53581">
              <w:rPr>
                <w:rFonts w:hint="eastAsia"/>
              </w:rPr>
              <w:t>損害人民生命、身體或財產者：公共設施之設置或管理機關</w:t>
            </w:r>
            <w:r w:rsidR="00203F72" w:rsidRPr="00A53581">
              <w:rPr>
                <w:rFonts w:hint="eastAsia"/>
                <w:kern w:val="0"/>
              </w:rPr>
              <w:t>。</w:t>
            </w:r>
          </w:p>
          <w:p w14:paraId="2FDB3DC1" w14:textId="77777777" w:rsidR="00203F72" w:rsidRPr="00A53581" w:rsidRDefault="008F066C" w:rsidP="00D87D91">
            <w:r>
              <w:rPr>
                <w:rFonts w:hint="eastAsia"/>
              </w:rPr>
              <w:t xml:space="preserve">　　</w:t>
            </w:r>
            <w:r w:rsidR="00203F72" w:rsidRPr="00A53581">
              <w:rPr>
                <w:rFonts w:hint="eastAsia"/>
              </w:rPr>
              <w:t>3.</w:t>
            </w:r>
            <w:r w:rsidR="00203F72" w:rsidRPr="00A53581">
              <w:rPr>
                <w:rFonts w:hint="eastAsia"/>
              </w:rPr>
              <w:t>機關裁撤或改組時：承受其業務之機關；無承受業務機關者，則為其上級機關</w:t>
            </w:r>
            <w:r w:rsidR="00203F72" w:rsidRPr="00A53581">
              <w:rPr>
                <w:rFonts w:hint="eastAsia"/>
                <w:kern w:val="0"/>
              </w:rPr>
              <w:t>。</w:t>
            </w:r>
          </w:p>
          <w:p w14:paraId="08DCEEF5" w14:textId="77777777" w:rsidR="00203F72" w:rsidRPr="00A53581" w:rsidRDefault="008F066C" w:rsidP="00D87D91">
            <w:r>
              <w:rPr>
                <w:rFonts w:hint="eastAsia"/>
              </w:rPr>
              <w:t xml:space="preserve">　　</w:t>
            </w:r>
            <w:r w:rsidR="00203F72" w:rsidRPr="00A53581">
              <w:rPr>
                <w:rFonts w:hint="eastAsia"/>
              </w:rPr>
              <w:t>4.</w:t>
            </w:r>
            <w:r w:rsidR="00203F72" w:rsidRPr="00A53581">
              <w:rPr>
                <w:rFonts w:hint="eastAsia"/>
              </w:rPr>
              <w:t>不能確定或有爭議時：得請求其上級機關確定之；自被請求之日起逾</w:t>
            </w:r>
            <w:r w:rsidR="00203F72" w:rsidRPr="00A53581">
              <w:rPr>
                <w:rFonts w:hint="eastAsia"/>
              </w:rPr>
              <w:t>20</w:t>
            </w:r>
            <w:r w:rsidR="00203F72" w:rsidRPr="00A53581">
              <w:rPr>
                <w:rFonts w:hint="eastAsia"/>
              </w:rPr>
              <w:t>日不為確定者，則逕為該上級機關</w:t>
            </w:r>
            <w:r w:rsidR="00203F72" w:rsidRPr="00A53581">
              <w:rPr>
                <w:rFonts w:hint="eastAsia"/>
                <w:kern w:val="0"/>
              </w:rPr>
              <w:t>。</w:t>
            </w:r>
          </w:p>
        </w:tc>
      </w:tr>
      <w:tr w:rsidR="00203F72" w:rsidRPr="00A53581" w14:paraId="2050AC76" w14:textId="77777777" w:rsidTr="00203F72">
        <w:tc>
          <w:tcPr>
            <w:tcW w:w="1052" w:type="pct"/>
            <w:shd w:val="clear" w:color="auto" w:fill="auto"/>
          </w:tcPr>
          <w:p w14:paraId="73C24E73" w14:textId="77777777" w:rsidR="00203F72" w:rsidRPr="00A53581" w:rsidRDefault="00203F72" w:rsidP="00D87D91">
            <w:r w:rsidRPr="00A53581">
              <w:t>請求程序</w:t>
            </w:r>
          </w:p>
        </w:tc>
        <w:tc>
          <w:tcPr>
            <w:tcW w:w="3948" w:type="pct"/>
            <w:shd w:val="clear" w:color="auto" w:fill="auto"/>
          </w:tcPr>
          <w:p w14:paraId="0048865F" w14:textId="77777777" w:rsidR="00203F72" w:rsidRPr="00A53581" w:rsidRDefault="008F066C" w:rsidP="00D87D91">
            <w:r>
              <w:rPr>
                <w:rFonts w:hint="eastAsia"/>
              </w:rPr>
              <w:t xml:space="preserve">　　</w:t>
            </w:r>
            <w:r w:rsidR="00203F72" w:rsidRPr="00A53581">
              <w:rPr>
                <w:rFonts w:hint="eastAsia"/>
              </w:rPr>
              <w:t>1.</w:t>
            </w:r>
            <w:r w:rsidR="00203F72" w:rsidRPr="00A53581">
              <w:rPr>
                <w:rFonts w:hint="eastAsia"/>
              </w:rPr>
              <w:t>請求損害賠償時，應先以書面向賠償義務機關請求之。賠償義務機關對於該請求應即與請求權人協議，並作成協議書（得為執行名義）。</w:t>
            </w:r>
          </w:p>
          <w:p w14:paraId="79578FE6" w14:textId="77777777" w:rsidR="00203F72" w:rsidRPr="00A53581" w:rsidRDefault="008F066C" w:rsidP="00D87D91">
            <w:r>
              <w:rPr>
                <w:rFonts w:hint="eastAsia"/>
              </w:rPr>
              <w:t xml:space="preserve">　　</w:t>
            </w:r>
            <w:r w:rsidR="00203F72" w:rsidRPr="00A53581">
              <w:rPr>
                <w:rFonts w:hint="eastAsia"/>
              </w:rPr>
              <w:t>2.</w:t>
            </w:r>
            <w:r w:rsidR="00203F72" w:rsidRPr="00A53581">
              <w:rPr>
                <w:rFonts w:hint="eastAsia"/>
              </w:rPr>
              <w:t>賠償義務機關拒絕賠償、或自提出請求之日起逾</w:t>
            </w:r>
            <w:r w:rsidR="00203F72" w:rsidRPr="00A53581">
              <w:rPr>
                <w:rFonts w:hint="eastAsia"/>
              </w:rPr>
              <w:t>30</w:t>
            </w:r>
            <w:r w:rsidR="00203F72" w:rsidRPr="00A53581">
              <w:rPr>
                <w:rFonts w:hint="eastAsia"/>
              </w:rPr>
              <w:t>日不開始協議、或自開始協議之日起逾</w:t>
            </w:r>
            <w:r w:rsidR="00203F72" w:rsidRPr="00A53581">
              <w:rPr>
                <w:rFonts w:hint="eastAsia"/>
              </w:rPr>
              <w:t>60</w:t>
            </w:r>
            <w:r w:rsidR="00203F72" w:rsidRPr="00A53581">
              <w:rPr>
                <w:rFonts w:hint="eastAsia"/>
              </w:rPr>
              <w:t>日協議不成立時，請求權人得提起損害賠償之訴；但已依行政訴訟法規定，附帶請求損害賠償者，就同一原因事實，不得更行起訴。</w:t>
            </w:r>
          </w:p>
          <w:p w14:paraId="2F385CE6" w14:textId="77777777" w:rsidR="00203F72" w:rsidRPr="00A53581" w:rsidRDefault="008F066C" w:rsidP="00D87D91">
            <w:r>
              <w:rPr>
                <w:rFonts w:hint="eastAsia"/>
              </w:rPr>
              <w:t xml:space="preserve">　　</w:t>
            </w:r>
            <w:r w:rsidR="00203F72" w:rsidRPr="00A53581">
              <w:rPr>
                <w:rFonts w:hint="eastAsia"/>
              </w:rPr>
              <w:t>3.</w:t>
            </w:r>
            <w:r w:rsidR="00203F72" w:rsidRPr="00A53581">
              <w:rPr>
                <w:rFonts w:hint="eastAsia"/>
              </w:rPr>
              <w:t>請求損害賠償時，法院得依聲請為假處分，命</w:t>
            </w:r>
            <w:r w:rsidR="00203F72" w:rsidRPr="00A53581">
              <w:rPr>
                <w:rFonts w:hint="eastAsia"/>
                <w:kern w:val="0"/>
              </w:rPr>
              <w:t>賠償義務機關暫先支付醫療費用或喪葬費。</w:t>
            </w:r>
          </w:p>
        </w:tc>
      </w:tr>
      <w:tr w:rsidR="00203F72" w:rsidRPr="00A53581" w14:paraId="7B946FC2" w14:textId="77777777" w:rsidTr="00203F72">
        <w:tc>
          <w:tcPr>
            <w:tcW w:w="5000" w:type="pct"/>
            <w:gridSpan w:val="2"/>
            <w:shd w:val="clear" w:color="auto" w:fill="auto"/>
          </w:tcPr>
          <w:p w14:paraId="51F4FA97" w14:textId="77777777" w:rsidR="00203F72" w:rsidRPr="00A53581" w:rsidRDefault="00203F72" w:rsidP="00D87D91">
            <w:r w:rsidRPr="00A53581">
              <w:rPr>
                <w:rFonts w:hint="eastAsia"/>
              </w:rPr>
              <w:t>※</w:t>
            </w:r>
            <w:r w:rsidRPr="00A53581">
              <w:t>公務員之定義：</w:t>
            </w:r>
          </w:p>
          <w:p w14:paraId="3E3E56E3" w14:textId="77777777" w:rsidR="00203F72" w:rsidRPr="00A53581" w:rsidRDefault="008F066C" w:rsidP="00D87D91">
            <w:pPr>
              <w:rPr>
                <w:kern w:val="0"/>
              </w:rPr>
            </w:pPr>
            <w:r>
              <w:rPr>
                <w:rFonts w:hint="eastAsia"/>
              </w:rPr>
              <w:t xml:space="preserve">　　</w:t>
            </w:r>
            <w:r w:rsidR="00203F72" w:rsidRPr="00A53581">
              <w:rPr>
                <w:rFonts w:hint="eastAsia"/>
              </w:rPr>
              <w:t>1.</w:t>
            </w:r>
            <w:r w:rsidR="00203F72" w:rsidRPr="00A53581">
              <w:rPr>
                <w:rFonts w:hint="eastAsia"/>
              </w:rPr>
              <w:t>依法令從事於公務之人員</w:t>
            </w:r>
            <w:r w:rsidR="00203F72" w:rsidRPr="00A53581">
              <w:rPr>
                <w:rFonts w:hint="eastAsia"/>
                <w:kern w:val="0"/>
              </w:rPr>
              <w:t>。</w:t>
            </w:r>
          </w:p>
          <w:p w14:paraId="789808BF" w14:textId="77777777" w:rsidR="00203F72" w:rsidRPr="00A53581" w:rsidRDefault="008F066C" w:rsidP="00D87D91">
            <w:r>
              <w:rPr>
                <w:rFonts w:hint="eastAsia"/>
              </w:rPr>
              <w:t xml:space="preserve">　　</w:t>
            </w:r>
            <w:r w:rsidR="00203F72" w:rsidRPr="00A53581">
              <w:rPr>
                <w:rFonts w:hint="eastAsia"/>
              </w:rPr>
              <w:t>2.</w:t>
            </w:r>
            <w:r w:rsidR="00203F72" w:rsidRPr="00A53581">
              <w:rPr>
                <w:rFonts w:hint="eastAsia"/>
              </w:rPr>
              <w:t>受委託行使公權力之團體，其執行職務之人於行使公權力時，</w:t>
            </w:r>
            <w:r w:rsidR="003E240E">
              <w:rPr>
                <w:rFonts w:hint="eastAsia"/>
              </w:rPr>
              <w:t>視</w:t>
            </w:r>
            <w:r w:rsidR="00203F72" w:rsidRPr="00A53581">
              <w:rPr>
                <w:rFonts w:hint="eastAsia"/>
              </w:rPr>
              <w:t>同委託機關之公務員。</w:t>
            </w:r>
          </w:p>
        </w:tc>
      </w:tr>
    </w:tbl>
    <w:p w14:paraId="089066BB" w14:textId="77777777" w:rsidR="00953151" w:rsidRDefault="002107CE" w:rsidP="00D87D91">
      <w:r>
        <w:t>【本表格資料來源】</w:t>
      </w:r>
      <w:r w:rsidR="00203F72" w:rsidRPr="00A53581">
        <w:t>廖其偉</w:t>
      </w:r>
      <w:r w:rsidR="00203F72" w:rsidRPr="00A53581">
        <w:t>(2011)</w:t>
      </w:r>
      <w:r w:rsidR="00203F72" w:rsidRPr="00A53581">
        <w:t>，中華民國憲法，初版，台北市：鼎文</w:t>
      </w:r>
      <w:r w:rsidR="00203F72" w:rsidRPr="00A53581">
        <w:rPr>
          <w:rFonts w:hint="eastAsia"/>
        </w:rPr>
        <w:t>書局</w:t>
      </w:r>
      <w:r w:rsidR="00203F72" w:rsidRPr="00A53581">
        <w:t>，第</w:t>
      </w:r>
      <w:r w:rsidR="00203F72" w:rsidRPr="00A53581">
        <w:rPr>
          <w:rFonts w:hint="eastAsia"/>
        </w:rPr>
        <w:t>122</w:t>
      </w:r>
      <w:r w:rsidR="00203F72" w:rsidRPr="00A53581">
        <w:t>頁。</w:t>
      </w:r>
    </w:p>
    <w:p w14:paraId="26C1D426" w14:textId="77777777"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74F482D4" w14:textId="77777777" w:rsidR="00953151" w:rsidRDefault="00203F72" w:rsidP="00767F37">
      <w:pPr>
        <w:pStyle w:val="2"/>
      </w:pPr>
      <w:bookmarkStart w:id="30" w:name="_第三章_國民大會"/>
      <w:bookmarkEnd w:id="30"/>
      <w:r w:rsidRPr="00A53581">
        <w:t>第三章</w:t>
      </w:r>
      <w:r w:rsidRPr="00A53581">
        <w:t xml:space="preserve"> </w:t>
      </w:r>
      <w:r w:rsidRPr="00A53581">
        <w:t>國民大會</w:t>
      </w:r>
      <w:r w:rsidRPr="00A53581">
        <w:t xml:space="preserve"> </w:t>
      </w:r>
    </w:p>
    <w:p w14:paraId="634BF4BA" w14:textId="77777777" w:rsidR="00953151" w:rsidRDefault="00076467" w:rsidP="00767F37">
      <w:pPr>
        <w:pStyle w:val="2"/>
      </w:pPr>
      <w:hyperlink r:id="rId429" w:anchor="a25" w:history="1">
        <w:r w:rsidR="005D5A46">
          <w:rPr>
            <w:rStyle w:val="a5"/>
            <w:rFonts w:ascii="Arial Unicode MS" w:hAnsi="Arial Unicode MS"/>
          </w:rPr>
          <w:t>第</w:t>
        </w:r>
        <w:r w:rsidR="00203F72" w:rsidRPr="001B53A5">
          <w:rPr>
            <w:rStyle w:val="a5"/>
            <w:rFonts w:ascii="Arial Unicode MS" w:hAnsi="Arial Unicode MS"/>
          </w:rPr>
          <w:t>25</w:t>
        </w:r>
        <w:r w:rsidR="005D5A46">
          <w:rPr>
            <w:rStyle w:val="a5"/>
            <w:rFonts w:ascii="Arial Unicode MS" w:hAnsi="Arial Unicode MS"/>
          </w:rPr>
          <w:t>條</w:t>
        </w:r>
      </w:hyperlink>
      <w:r w:rsidR="00203F72" w:rsidRPr="00A53581">
        <w:t>國民大會依本憲法之規定，代表全國國民行使政權。</w:t>
      </w:r>
    </w:p>
    <w:p w14:paraId="73F86B31" w14:textId="77777777" w:rsidR="00203F72" w:rsidRPr="003D02B1" w:rsidRDefault="00B03E84" w:rsidP="00D87D91">
      <w:r w:rsidRPr="003D02B1">
        <w:t>【內容解析】</w:t>
      </w:r>
    </w:p>
    <w:p w14:paraId="1C353F06" w14:textId="77777777" w:rsidR="003D02B1" w:rsidRPr="003D02B1" w:rsidRDefault="003D02B1" w:rsidP="00D87D91">
      <w:r w:rsidRPr="003D02B1">
        <w:t xml:space="preserve">　　</w:t>
      </w:r>
      <w:r w:rsidR="00203F72" w:rsidRPr="003D02B1">
        <w:t>國民大會代表係由地方人民選舉產生，代表人民到中央行使選舉、罷免、創制及複決四種政權。於民國</w:t>
      </w:r>
      <w:r w:rsidR="00203F72" w:rsidRPr="003D02B1">
        <w:t>35</w:t>
      </w:r>
      <w:r w:rsidR="00203F72" w:rsidRPr="003D02B1">
        <w:t>年，我國第一屆國民大會</w:t>
      </w:r>
      <w:r w:rsidR="00203F72" w:rsidRPr="003D02B1">
        <w:rPr>
          <w:rFonts w:hint="eastAsia"/>
        </w:rPr>
        <w:t>(</w:t>
      </w:r>
      <w:r w:rsidR="00203F72" w:rsidRPr="003D02B1">
        <w:rPr>
          <w:rFonts w:hint="eastAsia"/>
        </w:rPr>
        <w:t>制憲國民大會</w:t>
      </w:r>
      <w:r w:rsidR="00203F72" w:rsidRPr="003D02B1">
        <w:rPr>
          <w:rFonts w:hint="eastAsia"/>
        </w:rPr>
        <w:t>)</w:t>
      </w:r>
      <w:r w:rsidR="00203F72" w:rsidRPr="003D02B1">
        <w:t>制定中華民國憲法，並於民國</w:t>
      </w:r>
      <w:r w:rsidR="00203F72" w:rsidRPr="003D02B1">
        <w:t>36</w:t>
      </w:r>
      <w:r w:rsidR="00203F72" w:rsidRPr="003D02B1">
        <w:t>年</w:t>
      </w:r>
      <w:r w:rsidR="00203F72" w:rsidRPr="003D02B1">
        <w:t>1</w:t>
      </w:r>
      <w:r w:rsidR="00203F72" w:rsidRPr="003D02B1">
        <w:t>月</w:t>
      </w:r>
      <w:r w:rsidR="00203F72" w:rsidRPr="003D02B1">
        <w:t>1</w:t>
      </w:r>
      <w:r w:rsidR="00203F72" w:rsidRPr="003D02B1">
        <w:t>日公布，同年之</w:t>
      </w:r>
      <w:r w:rsidR="00203F72" w:rsidRPr="003D02B1">
        <w:t>12</w:t>
      </w:r>
      <w:r w:rsidR="00203F72" w:rsidRPr="003D02B1">
        <w:t>月</w:t>
      </w:r>
      <w:r w:rsidR="00203F72" w:rsidRPr="003D02B1">
        <w:t>25</w:t>
      </w:r>
      <w:r w:rsidR="00203F72" w:rsidRPr="003D02B1">
        <w:t>日施行。是以，我國之憲法，係由第一屆國民大會</w:t>
      </w:r>
      <w:r w:rsidR="00203F72" w:rsidRPr="003D02B1">
        <w:rPr>
          <w:rFonts w:hint="eastAsia"/>
        </w:rPr>
        <w:t>(</w:t>
      </w:r>
      <w:r w:rsidR="00203F72" w:rsidRPr="003D02B1">
        <w:rPr>
          <w:rFonts w:hint="eastAsia"/>
        </w:rPr>
        <w:t>制憲國民大會</w:t>
      </w:r>
      <w:r w:rsidR="00203F72" w:rsidRPr="003D02B1">
        <w:rPr>
          <w:rFonts w:hint="eastAsia"/>
        </w:rPr>
        <w:t>)</w:t>
      </w:r>
      <w:r w:rsidR="00203F72" w:rsidRPr="003D02B1">
        <w:t>所加以制定，國民大會對我國制憲而論，貢獻頗為巨大。</w:t>
      </w:r>
    </w:p>
    <w:p w14:paraId="41BF8559" w14:textId="77777777" w:rsidR="00953151" w:rsidRPr="00314E1E" w:rsidRDefault="00C05BAB" w:rsidP="00D87D91">
      <w:pPr>
        <w:rPr>
          <w:rFonts w:ascii="新細明體" w:hAnsi="新細明體"/>
          <w:color w:val="FFFFFF" w:themeColor="background1"/>
        </w:rPr>
      </w:pPr>
      <w:r w:rsidRPr="00314E1E">
        <w:rPr>
          <w:rFonts w:hint="eastAsia"/>
          <w:color w:val="FFFFFF" w:themeColor="background1"/>
        </w:rPr>
        <w:t>◇◆</w:t>
      </w:r>
    </w:p>
    <w:p w14:paraId="6B6B7BB3" w14:textId="77777777" w:rsidR="00203F72" w:rsidRPr="00A53581" w:rsidRDefault="00203F72" w:rsidP="00D87D91">
      <w:r>
        <w:rPr>
          <w:noProof/>
        </w:rPr>
        <w:drawing>
          <wp:inline distT="0" distB="0" distL="0" distR="0" wp14:anchorId="0E8B3440" wp14:editId="0D602883">
            <wp:extent cx="5062855" cy="3627755"/>
            <wp:effectExtent l="0" t="0" r="4445" b="0"/>
            <wp:docPr id="15" name="圖片 15" descr="Delivering_ceremony_of_the_Constitution_of_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livering_ceremony_of_the_Constitution_of_ROC"/>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062855" cy="3627755"/>
                    </a:xfrm>
                    <a:prstGeom prst="rect">
                      <a:avLst/>
                    </a:prstGeom>
                    <a:noFill/>
                    <a:ln>
                      <a:noFill/>
                    </a:ln>
                  </pic:spPr>
                </pic:pic>
              </a:graphicData>
            </a:graphic>
          </wp:inline>
        </w:drawing>
      </w:r>
    </w:p>
    <w:p w14:paraId="1575701A" w14:textId="545DFF06" w:rsidR="00203F72" w:rsidRPr="00E07281" w:rsidRDefault="00B03E84" w:rsidP="00D87D91">
      <w:r w:rsidRPr="00E07281">
        <w:t>【</w:t>
      </w:r>
      <w:r w:rsidRPr="00E07281">
        <w:t>figure</w:t>
      </w:r>
      <w:r w:rsidR="005E23E3" w:rsidRPr="00E07281">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12</w:t>
      </w:r>
      <w:r w:rsidR="00076467">
        <w:rPr>
          <w:noProof/>
        </w:rPr>
        <w:fldChar w:fldCharType="end"/>
      </w:r>
      <w:r w:rsidR="00203F72" w:rsidRPr="00E07281">
        <w:rPr>
          <w:rFonts w:hint="eastAsia"/>
        </w:rPr>
        <w:t>民國</w:t>
      </w:r>
      <w:r w:rsidR="00203F72" w:rsidRPr="00E07281">
        <w:rPr>
          <w:rFonts w:hint="eastAsia"/>
        </w:rPr>
        <w:t>35</w:t>
      </w:r>
      <w:r w:rsidR="00203F72" w:rsidRPr="00E07281">
        <w:rPr>
          <w:rFonts w:hint="eastAsia"/>
        </w:rPr>
        <w:t>年（</w:t>
      </w:r>
      <w:r w:rsidR="00203F72" w:rsidRPr="00E07281">
        <w:rPr>
          <w:rFonts w:hint="eastAsia"/>
        </w:rPr>
        <w:t>1946</w:t>
      </w:r>
      <w:r w:rsidR="00203F72" w:rsidRPr="00E07281">
        <w:rPr>
          <w:rFonts w:hint="eastAsia"/>
        </w:rPr>
        <w:t>年）</w:t>
      </w:r>
      <w:r w:rsidR="00203F72" w:rsidRPr="00E07281">
        <w:rPr>
          <w:rFonts w:hint="eastAsia"/>
        </w:rPr>
        <w:t>12</w:t>
      </w:r>
      <w:r w:rsidR="00203F72" w:rsidRPr="00E07281">
        <w:rPr>
          <w:rFonts w:hint="eastAsia"/>
        </w:rPr>
        <w:t>月</w:t>
      </w:r>
      <w:r w:rsidR="00203F72" w:rsidRPr="00E07281">
        <w:rPr>
          <w:rFonts w:hint="eastAsia"/>
        </w:rPr>
        <w:t>25</w:t>
      </w:r>
      <w:r w:rsidR="00203F72" w:rsidRPr="00E07281">
        <w:rPr>
          <w:rFonts w:hint="eastAsia"/>
        </w:rPr>
        <w:t>日制憲國民大會主席吳敬恆</w:t>
      </w:r>
      <w:r w:rsidR="00203F72" w:rsidRPr="00E07281">
        <w:rPr>
          <w:rFonts w:hint="eastAsia"/>
        </w:rPr>
        <w:t>(</w:t>
      </w:r>
      <w:r w:rsidR="00203F72" w:rsidRPr="00E07281">
        <w:rPr>
          <w:rFonts w:hint="eastAsia"/>
        </w:rPr>
        <w:t>吳稚暉</w:t>
      </w:r>
      <w:r w:rsidR="00203F72" w:rsidRPr="00E07281">
        <w:rPr>
          <w:rFonts w:hint="eastAsia"/>
        </w:rPr>
        <w:t>)</w:t>
      </w:r>
      <w:r w:rsidR="00203F72" w:rsidRPr="00E07281">
        <w:rPr>
          <w:rFonts w:hint="eastAsia"/>
        </w:rPr>
        <w:t>先生將《中華民國憲法》交給國民政府主席蔣中正總統圖示</w:t>
      </w:r>
    </w:p>
    <w:p w14:paraId="555A427A" w14:textId="77777777" w:rsidR="00953151" w:rsidRPr="00E07281" w:rsidRDefault="00B03E84" w:rsidP="00D87D91">
      <w:r w:rsidRPr="00E07281">
        <w:rPr>
          <w:rFonts w:hint="eastAsia"/>
        </w:rPr>
        <w:t>【資料來源】</w:t>
      </w:r>
      <w:r w:rsidR="00203F72" w:rsidRPr="00E07281">
        <w:rPr>
          <w:rFonts w:hint="eastAsia"/>
        </w:rPr>
        <w:t>維基百科</w:t>
      </w:r>
      <w:r w:rsidR="00203F72" w:rsidRPr="00E07281">
        <w:rPr>
          <w:rFonts w:hint="eastAsia"/>
        </w:rPr>
        <w:t>(2015)</w:t>
      </w:r>
      <w:r w:rsidR="00203F72" w:rsidRPr="00E07281">
        <w:rPr>
          <w:rFonts w:hint="eastAsia"/>
        </w:rPr>
        <w:t>，中華民國憲法，上網瀏覽時日：</w:t>
      </w:r>
      <w:r w:rsidR="00203F72" w:rsidRPr="00E07281">
        <w:rPr>
          <w:rFonts w:hint="eastAsia"/>
        </w:rPr>
        <w:t>2015/08/02</w:t>
      </w:r>
      <w:r w:rsidR="00203F72" w:rsidRPr="00E07281">
        <w:rPr>
          <w:rFonts w:hint="eastAsia"/>
        </w:rPr>
        <w:t>，</w:t>
      </w:r>
      <w:hyperlink r:id="rId431" w:history="1">
        <w:r w:rsidR="00203F72" w:rsidRPr="00E07281">
          <w:rPr>
            <w:rStyle w:val="a5"/>
          </w:rPr>
          <w:t>https://zh.wikipedia.org/wiki/%E4%B8%AD%E8%8F%AF%E6%B0%91%E5%9C%8B%E6%86%B2%E6%B3%95</w:t>
        </w:r>
      </w:hyperlink>
      <w:r w:rsidR="00203F72" w:rsidRPr="00E07281">
        <w:t>。</w:t>
      </w:r>
    </w:p>
    <w:p w14:paraId="02B52288" w14:textId="77777777" w:rsidR="00953151" w:rsidRPr="00E07281" w:rsidRDefault="007F7377" w:rsidP="00D87D91">
      <w:r w:rsidRPr="00E07281">
        <w:t xml:space="preserve">　　</w:t>
      </w:r>
      <w:r w:rsidR="00203F72" w:rsidRPr="00E07281">
        <w:t>不過，政府遷台之後，國民大會之定位，受到很大之質疑。於民國</w:t>
      </w:r>
      <w:r w:rsidR="00203F72" w:rsidRPr="00E07281">
        <w:t>94</w:t>
      </w:r>
      <w:r w:rsidR="00203F72" w:rsidRPr="00E07281">
        <w:t>年時，我國依照比例代表制，選出任務型國民大會代表，共計選出</w:t>
      </w:r>
      <w:r w:rsidR="00203F72" w:rsidRPr="00E07281">
        <w:t>300</w:t>
      </w:r>
      <w:r w:rsidR="00203F72" w:rsidRPr="00E07281">
        <w:t>位國民大會代表；任務型國民大會之重大任務，在於複決立法院所提之憲法增修條文修正案。於民國</w:t>
      </w:r>
      <w:r w:rsidR="00203F72" w:rsidRPr="00E07281">
        <w:t>94</w:t>
      </w:r>
      <w:r w:rsidR="00203F72" w:rsidRPr="00E07281">
        <w:t>年</w:t>
      </w:r>
      <w:r w:rsidR="00203F72" w:rsidRPr="00E07281">
        <w:t>6</w:t>
      </w:r>
      <w:r w:rsidR="00203F72" w:rsidRPr="00E07281">
        <w:t>月</w:t>
      </w:r>
      <w:r w:rsidR="00203F72" w:rsidRPr="00E07281">
        <w:t>7</w:t>
      </w:r>
      <w:r w:rsidR="00203F72" w:rsidRPr="00E07281">
        <w:t>日，上述任務型國民大會正式複決通過立法院所提</w:t>
      </w:r>
      <w:hyperlink r:id="rId432" w:history="1">
        <w:r w:rsidR="00203F72" w:rsidRPr="008F066C">
          <w:rPr>
            <w:rStyle w:val="a5"/>
            <w:rFonts w:ascii="Times New Roman" w:eastAsia="新細明體" w:hAnsi="Times New Roman"/>
          </w:rPr>
          <w:t>憲法增修條文</w:t>
        </w:r>
      </w:hyperlink>
      <w:r w:rsidR="00203F72" w:rsidRPr="00E07281">
        <w:t>修正案，裁撤國民大會。</w:t>
      </w:r>
    </w:p>
    <w:p w14:paraId="79FA7792" w14:textId="77777777" w:rsidR="00953151" w:rsidRPr="00E07281" w:rsidRDefault="007F7377" w:rsidP="00D87D91">
      <w:r w:rsidRPr="00E07281">
        <w:t xml:space="preserve">　　</w:t>
      </w:r>
      <w:r w:rsidR="00203F72" w:rsidRPr="00E07281">
        <w:t>原本應由國民大會所享有之複決職權，轉由公民公投複決，國民大會從此走入歷史</w:t>
      </w:r>
      <w:r w:rsidR="00203F72" w:rsidRPr="00E07281">
        <w:footnoteReference w:id="63"/>
      </w:r>
      <w:r w:rsidR="00203F72" w:rsidRPr="00E07281">
        <w:t>。故本憲法</w:t>
      </w:r>
      <w:hyperlink r:id="rId433" w:anchor="a25" w:history="1">
        <w:r w:rsidR="008F066C" w:rsidRPr="008F066C">
          <w:rPr>
            <w:rStyle w:val="a5"/>
          </w:rPr>
          <w:t>第25條</w:t>
        </w:r>
      </w:hyperlink>
      <w:r w:rsidR="00203F72" w:rsidRPr="008F066C">
        <w:t>雖</w:t>
      </w:r>
      <w:r w:rsidR="00203F72" w:rsidRPr="00E07281">
        <w:t>規範，國民大會依本憲法之規定，代表全國國民行使政權。然而，事實上，在台灣地區，於民國</w:t>
      </w:r>
      <w:r w:rsidR="00203F72" w:rsidRPr="00E07281">
        <w:t>94</w:t>
      </w:r>
      <w:r w:rsidR="00203F72" w:rsidRPr="00E07281">
        <w:t>年之後，國民大會已未在集會與行使任何之職權。</w:t>
      </w:r>
    </w:p>
    <w:p w14:paraId="18CA16C7" w14:textId="77777777" w:rsidR="00953151" w:rsidRPr="00E07281" w:rsidRDefault="007F7377" w:rsidP="00D87D91">
      <w:r w:rsidRPr="00E07281">
        <w:t xml:space="preserve">　　</w:t>
      </w:r>
      <w:r w:rsidR="00203F72" w:rsidRPr="00E07281">
        <w:t>為因應國家統一前之需要，依照憲法</w:t>
      </w:r>
      <w:r w:rsidR="00541C0B" w:rsidRPr="00E07281">
        <w:t>第</w:t>
      </w:r>
      <w:hyperlink r:id="rId434" w:anchor="a27" w:history="1">
        <w:r w:rsidR="00541C0B" w:rsidRPr="00E07281">
          <w:rPr>
            <w:rStyle w:val="a5"/>
          </w:rPr>
          <w:t>二十七</w:t>
        </w:r>
      </w:hyperlink>
      <w:r w:rsidR="00541C0B" w:rsidRPr="00E07281">
        <w:t>條</w:t>
      </w:r>
      <w:r w:rsidR="00203F72" w:rsidRPr="00E07281">
        <w:t>第一項第三款及</w:t>
      </w:r>
      <w:r w:rsidR="00541C0B" w:rsidRPr="00E07281">
        <w:t>第</w:t>
      </w:r>
      <w:hyperlink r:id="rId435" w:anchor="a174" w:history="1">
        <w:r w:rsidR="00541C0B" w:rsidRPr="00E07281">
          <w:rPr>
            <w:rStyle w:val="a5"/>
          </w:rPr>
          <w:t>一百七十四</w:t>
        </w:r>
      </w:hyperlink>
      <w:r w:rsidR="00541C0B" w:rsidRPr="00E07281">
        <w:t>條</w:t>
      </w:r>
      <w:r w:rsidR="00203F72" w:rsidRPr="00E07281">
        <w:t>第一款之規定，增修憲法條文。依增修條文</w:t>
      </w:r>
      <w:hyperlink r:id="rId436" w:anchor="b1" w:history="1">
        <w:r w:rsidR="00203F72" w:rsidRPr="00E07281">
          <w:rPr>
            <w:rStyle w:val="a5"/>
          </w:rPr>
          <w:t>第1條</w:t>
        </w:r>
      </w:hyperlink>
      <w:r w:rsidR="00203F72" w:rsidRPr="00E07281">
        <w:t>之規定，中華民國自由地區選舉人於立法院提出憲法修正案、領土變更案，經公告半年，應於三個月內投票複決，不適用憲法</w:t>
      </w:r>
      <w:hyperlink r:id="rId437" w:anchor="a4" w:history="1">
        <w:r w:rsidR="001B1539" w:rsidRPr="00E07281">
          <w:rPr>
            <w:rStyle w:val="a5"/>
          </w:rPr>
          <w:t>第四條</w:t>
        </w:r>
      </w:hyperlink>
      <w:r w:rsidR="00203F72" w:rsidRPr="00E07281">
        <w:t>、</w:t>
      </w:r>
      <w:r w:rsidR="00541C0B" w:rsidRPr="00E07281">
        <w:t>第</w:t>
      </w:r>
      <w:hyperlink r:id="rId438" w:anchor="a174" w:history="1">
        <w:r w:rsidR="00541C0B" w:rsidRPr="00E07281">
          <w:rPr>
            <w:rStyle w:val="a5"/>
          </w:rPr>
          <w:t>一百七十四</w:t>
        </w:r>
      </w:hyperlink>
      <w:r w:rsidR="00541C0B" w:rsidRPr="00E07281">
        <w:t>條</w:t>
      </w:r>
      <w:r w:rsidR="00203F72" w:rsidRPr="00E07281">
        <w:t>之規定。憲法第</w:t>
      </w:r>
      <w:hyperlink r:id="rId439" w:anchor="a25" w:history="1">
        <w:r w:rsidR="00203F72" w:rsidRPr="00E07281">
          <w:rPr>
            <w:rStyle w:val="a5"/>
          </w:rPr>
          <w:t>二十五</w:t>
        </w:r>
      </w:hyperlink>
      <w:r w:rsidR="00203F72" w:rsidRPr="00E07281">
        <w:t>條至第三十四條及第</w:t>
      </w:r>
      <w:hyperlink r:id="rId440" w:anchor="a135" w:history="1">
        <w:r w:rsidR="00203F72" w:rsidRPr="00E07281">
          <w:rPr>
            <w:rStyle w:val="a5"/>
          </w:rPr>
          <w:t>一百三十五</w:t>
        </w:r>
      </w:hyperlink>
      <w:r w:rsidR="00203F72" w:rsidRPr="00E07281">
        <w:t>條之規定，停止適用，是以，本法條依憲法增修條</w:t>
      </w:r>
      <w:r w:rsidR="001B1539" w:rsidRPr="00E07281">
        <w:t>文</w:t>
      </w:r>
      <w:hyperlink r:id="rId441" w:anchor="b1" w:history="1">
        <w:r w:rsidR="001B1539" w:rsidRPr="00E07281">
          <w:rPr>
            <w:rStyle w:val="a5"/>
          </w:rPr>
          <w:t>第1條</w:t>
        </w:r>
      </w:hyperlink>
      <w:r w:rsidR="00203F72" w:rsidRPr="00E07281">
        <w:t>之規定，業已停止適用。</w:t>
      </w:r>
    </w:p>
    <w:p w14:paraId="1BD888B7" w14:textId="77777777" w:rsidR="008F066C" w:rsidRDefault="008F066C" w:rsidP="00D87D91"/>
    <w:p w14:paraId="5D01A5B4" w14:textId="08ACF73D" w:rsidR="00203F72" w:rsidRPr="00E07281" w:rsidRDefault="00B03E84" w:rsidP="00D87D91">
      <w:r w:rsidRPr="00E07281">
        <w:t>【</w:t>
      </w:r>
      <w:r w:rsidRPr="00E07281">
        <w:t>table</w:t>
      </w:r>
      <w:r w:rsidR="005E23E3" w:rsidRPr="00E07281">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20</w:t>
      </w:r>
      <w:r w:rsidR="00076467">
        <w:rPr>
          <w:noProof/>
        </w:rPr>
        <w:fldChar w:fldCharType="end"/>
      </w:r>
      <w:r w:rsidR="00203F72" w:rsidRPr="00E07281">
        <w:rPr>
          <w:rFonts w:hint="eastAsia"/>
        </w:rPr>
        <w:t>歷屆國民大會所完成之修憲工程</w:t>
      </w:r>
      <w:r w:rsidR="00203F72" w:rsidRPr="00E07281">
        <w:t xml:space="preserve"> (</w:t>
      </w:r>
      <w:r w:rsidR="00203F72" w:rsidRPr="00E07281">
        <w:rPr>
          <w:rFonts w:hint="eastAsia"/>
        </w:rPr>
        <w:t>含修憲年代、國大屆別、執政政黨與修憲運作機制</w:t>
      </w:r>
      <w:r w:rsidR="00203F72" w:rsidRPr="00E07281">
        <w:t>)</w:t>
      </w:r>
    </w:p>
    <w:tbl>
      <w:tblPr>
        <w:tblW w:w="465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9"/>
        <w:gridCol w:w="2206"/>
        <w:gridCol w:w="1740"/>
        <w:gridCol w:w="1632"/>
      </w:tblGrid>
      <w:tr w:rsidR="00203F72" w:rsidRPr="00A53581" w14:paraId="7BBA80AD" w14:textId="77777777" w:rsidTr="001F6A1B">
        <w:trPr>
          <w:tblHeader/>
        </w:trPr>
        <w:tc>
          <w:tcPr>
            <w:tcW w:w="1473" w:type="pct"/>
            <w:tcBorders>
              <w:top w:val="single" w:sz="4" w:space="0" w:color="auto"/>
              <w:left w:val="single" w:sz="4" w:space="0" w:color="auto"/>
              <w:bottom w:val="single" w:sz="4" w:space="0" w:color="auto"/>
              <w:right w:val="single" w:sz="4" w:space="0" w:color="auto"/>
            </w:tcBorders>
            <w:shd w:val="clear" w:color="auto" w:fill="FAF0FA"/>
            <w:vAlign w:val="center"/>
            <w:hideMark/>
          </w:tcPr>
          <w:p w14:paraId="233EC056" w14:textId="77777777" w:rsidR="00203F72" w:rsidRPr="00A53581" w:rsidRDefault="00203F72" w:rsidP="00D87D91">
            <w:r w:rsidRPr="00A53581">
              <w:rPr>
                <w:rFonts w:hint="eastAsia"/>
              </w:rPr>
              <w:t>修憲次序</w:t>
            </w:r>
          </w:p>
        </w:tc>
        <w:tc>
          <w:tcPr>
            <w:tcW w:w="1395" w:type="pct"/>
            <w:tcBorders>
              <w:top w:val="single" w:sz="4" w:space="0" w:color="auto"/>
              <w:left w:val="single" w:sz="4" w:space="0" w:color="auto"/>
              <w:bottom w:val="single" w:sz="4" w:space="0" w:color="auto"/>
              <w:right w:val="single" w:sz="4" w:space="0" w:color="auto"/>
            </w:tcBorders>
            <w:shd w:val="clear" w:color="auto" w:fill="FAF0FA"/>
            <w:vAlign w:val="center"/>
            <w:hideMark/>
          </w:tcPr>
          <w:p w14:paraId="396563D5" w14:textId="77777777" w:rsidR="00203F72" w:rsidRPr="00A53581" w:rsidRDefault="00203F72" w:rsidP="00D87D91">
            <w:r w:rsidRPr="00A53581">
              <w:rPr>
                <w:rFonts w:hint="eastAsia"/>
              </w:rPr>
              <w:t>修憲國大</w:t>
            </w:r>
          </w:p>
        </w:tc>
        <w:tc>
          <w:tcPr>
            <w:tcW w:w="1100" w:type="pct"/>
            <w:tcBorders>
              <w:top w:val="single" w:sz="4" w:space="0" w:color="auto"/>
              <w:left w:val="single" w:sz="4" w:space="0" w:color="auto"/>
              <w:bottom w:val="single" w:sz="4" w:space="0" w:color="auto"/>
              <w:right w:val="single" w:sz="4" w:space="0" w:color="auto"/>
            </w:tcBorders>
            <w:shd w:val="clear" w:color="auto" w:fill="FAF0FA"/>
            <w:vAlign w:val="center"/>
            <w:hideMark/>
          </w:tcPr>
          <w:p w14:paraId="01B3ABE3" w14:textId="77777777" w:rsidR="00203F72" w:rsidRPr="00A53581" w:rsidRDefault="00203F72" w:rsidP="00D87D91">
            <w:r w:rsidRPr="00A53581">
              <w:rPr>
                <w:rFonts w:hint="eastAsia"/>
              </w:rPr>
              <w:t>執政政黨</w:t>
            </w:r>
          </w:p>
        </w:tc>
        <w:tc>
          <w:tcPr>
            <w:tcW w:w="1033" w:type="pct"/>
            <w:tcBorders>
              <w:top w:val="single" w:sz="4" w:space="0" w:color="auto"/>
              <w:left w:val="single" w:sz="4" w:space="0" w:color="auto"/>
              <w:bottom w:val="single" w:sz="4" w:space="0" w:color="auto"/>
              <w:right w:val="single" w:sz="4" w:space="0" w:color="auto"/>
            </w:tcBorders>
            <w:shd w:val="clear" w:color="auto" w:fill="FAF0FA"/>
            <w:vAlign w:val="center"/>
            <w:hideMark/>
          </w:tcPr>
          <w:p w14:paraId="64D5DE35" w14:textId="77777777" w:rsidR="00203F72" w:rsidRPr="00A53581" w:rsidRDefault="00203F72" w:rsidP="00D87D91">
            <w:r w:rsidRPr="00A53581">
              <w:rPr>
                <w:rFonts w:hint="eastAsia"/>
              </w:rPr>
              <w:t>修憲運作</w:t>
            </w:r>
          </w:p>
        </w:tc>
      </w:tr>
      <w:tr w:rsidR="00203F72" w:rsidRPr="00A53581" w14:paraId="7882C75C" w14:textId="77777777" w:rsidTr="00203F72">
        <w:trPr>
          <w:trHeight w:val="662"/>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E7737F" w14:textId="77777777" w:rsidR="00203F72" w:rsidRPr="00A53581" w:rsidRDefault="00203F72" w:rsidP="00D87D91">
            <w:r w:rsidRPr="00A53581">
              <w:rPr>
                <w:rFonts w:hint="eastAsia"/>
              </w:rPr>
              <w:t>第一次修憲</w:t>
            </w:r>
            <w:r w:rsidRPr="00A53581">
              <w:t>(1991)</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6925A" w14:textId="77777777" w:rsidR="00203F72" w:rsidRPr="00A53581" w:rsidRDefault="00203F72" w:rsidP="00D87D91">
            <w:r w:rsidRPr="00A53581">
              <w:rPr>
                <w:rFonts w:hint="eastAsia"/>
              </w:rPr>
              <w:t>第一屆</w:t>
            </w:r>
          </w:p>
          <w:p w14:paraId="2C69378D" w14:textId="77777777" w:rsidR="00203F72" w:rsidRPr="00A53581" w:rsidRDefault="00203F72" w:rsidP="00D87D91">
            <w:r w:rsidRPr="00A53581">
              <w:rPr>
                <w:rFonts w:hint="eastAsia"/>
              </w:rPr>
              <w:t>資深國大代表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84E02E" w14:textId="77777777"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993B40" w14:textId="77777777" w:rsidR="00203F72" w:rsidRPr="00A53581" w:rsidRDefault="00203F72" w:rsidP="00D87D91">
            <w:r w:rsidRPr="00A53581">
              <w:rPr>
                <w:rFonts w:hint="eastAsia"/>
              </w:rPr>
              <w:t>一黨主導</w:t>
            </w:r>
          </w:p>
        </w:tc>
      </w:tr>
      <w:tr w:rsidR="00203F72" w:rsidRPr="00A53581" w14:paraId="5DE3C764" w14:textId="77777777"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270EB4" w14:textId="77777777" w:rsidR="00203F72" w:rsidRPr="00A53581" w:rsidRDefault="00203F72" w:rsidP="00D87D91">
            <w:r w:rsidRPr="00A53581">
              <w:rPr>
                <w:rFonts w:hint="eastAsia"/>
              </w:rPr>
              <w:t>第二次修憲</w:t>
            </w:r>
            <w:r w:rsidRPr="00A53581">
              <w:t>(1992)</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6BFA04" w14:textId="77777777" w:rsidR="00203F72" w:rsidRPr="00A53581" w:rsidRDefault="00203F72" w:rsidP="00D87D91">
            <w:r w:rsidRPr="00A53581">
              <w:rPr>
                <w:rFonts w:hint="eastAsia"/>
              </w:rPr>
              <w:t>第二屆</w:t>
            </w:r>
          </w:p>
          <w:p w14:paraId="76633122" w14:textId="77777777"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60E2B5" w14:textId="77777777"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E60F3F" w14:textId="77777777" w:rsidR="00203F72" w:rsidRPr="00A53581" w:rsidRDefault="00203F72" w:rsidP="00D87D91">
            <w:r w:rsidRPr="00A53581">
              <w:rPr>
                <w:rFonts w:hint="eastAsia"/>
              </w:rPr>
              <w:t>一黨主導</w:t>
            </w:r>
          </w:p>
        </w:tc>
      </w:tr>
      <w:tr w:rsidR="00203F72" w:rsidRPr="00A53581" w14:paraId="1E94ED3A" w14:textId="77777777"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52990" w14:textId="77777777" w:rsidR="00203F72" w:rsidRPr="00A53581" w:rsidRDefault="00203F72" w:rsidP="00D87D91">
            <w:r w:rsidRPr="00A53581">
              <w:rPr>
                <w:rFonts w:hint="eastAsia"/>
              </w:rPr>
              <w:t>第三次修憲</w:t>
            </w:r>
            <w:r w:rsidRPr="00A53581">
              <w:t>(1994)</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F831CE" w14:textId="77777777" w:rsidR="00203F72" w:rsidRPr="00A53581" w:rsidRDefault="00203F72" w:rsidP="00D87D91">
            <w:r w:rsidRPr="00A53581">
              <w:rPr>
                <w:rFonts w:hint="eastAsia"/>
              </w:rPr>
              <w:t>第二屆</w:t>
            </w:r>
          </w:p>
          <w:p w14:paraId="599BAA63" w14:textId="77777777"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4903A" w14:textId="77777777"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7DC901" w14:textId="77777777" w:rsidR="00203F72" w:rsidRPr="00A53581" w:rsidRDefault="00203F72" w:rsidP="00D87D91">
            <w:r w:rsidRPr="00A53581">
              <w:rPr>
                <w:rFonts w:hint="eastAsia"/>
              </w:rPr>
              <w:t>一黨主導</w:t>
            </w:r>
          </w:p>
        </w:tc>
      </w:tr>
      <w:tr w:rsidR="00203F72" w:rsidRPr="00A53581" w14:paraId="06B178C6" w14:textId="77777777"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D96F2" w14:textId="77777777" w:rsidR="00203F72" w:rsidRPr="00A53581" w:rsidRDefault="00203F72" w:rsidP="00D87D91">
            <w:r w:rsidRPr="00A53581">
              <w:rPr>
                <w:rFonts w:hint="eastAsia"/>
              </w:rPr>
              <w:t>第四次修憲</w:t>
            </w:r>
            <w:r w:rsidRPr="00A53581">
              <w:t>(1997)</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74A9B0" w14:textId="77777777" w:rsidR="00203F72" w:rsidRPr="00A53581" w:rsidRDefault="00203F72" w:rsidP="00D87D91">
            <w:r w:rsidRPr="00A53581">
              <w:rPr>
                <w:rFonts w:hint="eastAsia"/>
              </w:rPr>
              <w:t>第三屆</w:t>
            </w:r>
          </w:p>
          <w:p w14:paraId="759EB4BA" w14:textId="77777777"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884412" w14:textId="77777777"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A85428" w14:textId="77777777" w:rsidR="00203F72" w:rsidRPr="00A53581" w:rsidRDefault="00203F72" w:rsidP="00D87D91">
            <w:r w:rsidRPr="00A53581">
              <w:rPr>
                <w:rFonts w:hint="eastAsia"/>
              </w:rPr>
              <w:t>多黨合作</w:t>
            </w:r>
          </w:p>
        </w:tc>
      </w:tr>
      <w:tr w:rsidR="00203F72" w:rsidRPr="00A53581" w14:paraId="5745C5B3" w14:textId="77777777"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72E92B" w14:textId="77777777" w:rsidR="00203F72" w:rsidRPr="00A53581" w:rsidRDefault="00203F72" w:rsidP="00D87D91">
            <w:r w:rsidRPr="00A53581">
              <w:rPr>
                <w:rFonts w:hint="eastAsia"/>
              </w:rPr>
              <w:t>第五次修憲</w:t>
            </w:r>
            <w:r w:rsidRPr="00A53581">
              <w:t>(1999)</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67FB07" w14:textId="77777777" w:rsidR="00203F72" w:rsidRPr="00A53581" w:rsidRDefault="00203F72" w:rsidP="00D87D91">
            <w:r w:rsidRPr="00A53581">
              <w:rPr>
                <w:rFonts w:hint="eastAsia"/>
              </w:rPr>
              <w:t>第三屆</w:t>
            </w:r>
          </w:p>
          <w:p w14:paraId="0015FE4F" w14:textId="77777777"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C9CA1B" w14:textId="77777777"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5B4A7F" w14:textId="77777777" w:rsidR="00203F72" w:rsidRPr="00A53581" w:rsidRDefault="00203F72" w:rsidP="00D87D91">
            <w:r w:rsidRPr="00A53581">
              <w:rPr>
                <w:rFonts w:hint="eastAsia"/>
              </w:rPr>
              <w:t>多黨合作</w:t>
            </w:r>
          </w:p>
        </w:tc>
      </w:tr>
      <w:tr w:rsidR="00203F72" w:rsidRPr="00A53581" w14:paraId="789D8F49" w14:textId="77777777"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E3C85" w14:textId="77777777" w:rsidR="00203F72" w:rsidRPr="00A53581" w:rsidRDefault="00203F72" w:rsidP="00D87D91">
            <w:r w:rsidRPr="00A53581">
              <w:rPr>
                <w:rFonts w:hint="eastAsia"/>
              </w:rPr>
              <w:t>第六次修憲</w:t>
            </w:r>
            <w:r w:rsidRPr="00A53581">
              <w:t>(2000)</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2481A6" w14:textId="77777777" w:rsidR="00203F72" w:rsidRPr="00A53581" w:rsidRDefault="00203F72" w:rsidP="00D87D91">
            <w:r w:rsidRPr="00A53581">
              <w:rPr>
                <w:rFonts w:hint="eastAsia"/>
              </w:rPr>
              <w:t>第三屆</w:t>
            </w:r>
          </w:p>
          <w:p w14:paraId="168E9426" w14:textId="77777777"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D63D49" w14:textId="77777777"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F9FE4D" w14:textId="77777777" w:rsidR="00203F72" w:rsidRPr="00A53581" w:rsidRDefault="00203F72" w:rsidP="00D87D91">
            <w:r w:rsidRPr="00A53581">
              <w:rPr>
                <w:rFonts w:hint="eastAsia"/>
              </w:rPr>
              <w:t>多黨合作</w:t>
            </w:r>
          </w:p>
        </w:tc>
      </w:tr>
      <w:tr w:rsidR="00203F72" w:rsidRPr="00A53581" w14:paraId="538FE6E1" w14:textId="77777777"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ED004" w14:textId="77777777" w:rsidR="00203F72" w:rsidRPr="00A53581" w:rsidRDefault="00203F72" w:rsidP="00D87D91">
            <w:r w:rsidRPr="00A53581">
              <w:rPr>
                <w:rFonts w:hint="eastAsia"/>
              </w:rPr>
              <w:t>第七次修憲</w:t>
            </w:r>
            <w:r w:rsidRPr="00A53581">
              <w:t>(2005)</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CF03E5" w14:textId="77777777" w:rsidR="00203F72" w:rsidRPr="00A53581" w:rsidRDefault="00203F72" w:rsidP="00D87D91">
            <w:r w:rsidRPr="00A53581">
              <w:rPr>
                <w:rFonts w:hint="eastAsia"/>
              </w:rPr>
              <w:t>任務型</w:t>
            </w:r>
          </w:p>
          <w:p w14:paraId="04D524E3" w14:textId="77777777" w:rsidR="00203F72" w:rsidRPr="00A53581" w:rsidRDefault="00203F72" w:rsidP="00D87D91">
            <w:r w:rsidRPr="00A53581">
              <w:rPr>
                <w:rFonts w:hint="eastAsia"/>
              </w:rPr>
              <w:t>國民大會代表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F4D0E2" w14:textId="77777777" w:rsidR="00203F72" w:rsidRPr="00A53581" w:rsidRDefault="00203F72" w:rsidP="00D87D91">
            <w:r w:rsidRPr="00A53581">
              <w:rPr>
                <w:rFonts w:hint="eastAsia"/>
              </w:rPr>
              <w:t>民進黨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FE65AF" w14:textId="77777777" w:rsidR="00203F72" w:rsidRPr="00A53581" w:rsidRDefault="00203F72" w:rsidP="00D87D91">
            <w:r w:rsidRPr="00A53581">
              <w:rPr>
                <w:rFonts w:hint="eastAsia"/>
              </w:rPr>
              <w:t>多黨合作</w:t>
            </w:r>
          </w:p>
        </w:tc>
      </w:tr>
    </w:tbl>
    <w:p w14:paraId="52992CC4" w14:textId="77777777" w:rsidR="00953151" w:rsidRDefault="002107CE" w:rsidP="00D87D91">
      <w:r>
        <w:rPr>
          <w:rFonts w:hint="eastAsia"/>
        </w:rPr>
        <w:t>【本表格資料來源】</w:t>
      </w:r>
      <w:r w:rsidR="00203F72" w:rsidRPr="00A53581">
        <w:rPr>
          <w:rFonts w:hint="eastAsia"/>
        </w:rPr>
        <w:t>張淑中，姚中原</w:t>
      </w:r>
      <w:r w:rsidR="00203F72" w:rsidRPr="00A53581">
        <w:t>(2012)</w:t>
      </w:r>
      <w:r w:rsidR="00203F72" w:rsidRPr="00A53581">
        <w:rPr>
          <w:rFonts w:hint="eastAsia"/>
        </w:rPr>
        <w:t>台灣憲政改革─修憲理論、政治過程與制度影響，初版，台北：五南圖書公司，第</w:t>
      </w:r>
      <w:r w:rsidR="00203F72" w:rsidRPr="00A53581">
        <w:t>107</w:t>
      </w:r>
      <w:r w:rsidR="00203F72" w:rsidRPr="00A53581">
        <w:rPr>
          <w:rFonts w:hint="eastAsia"/>
        </w:rPr>
        <w:t>頁。</w:t>
      </w:r>
    </w:p>
    <w:p w14:paraId="59572BAD" w14:textId="77777777" w:rsidR="00203F72" w:rsidRPr="00A53581" w:rsidRDefault="00076467" w:rsidP="00767F37">
      <w:pPr>
        <w:pStyle w:val="2"/>
      </w:pPr>
      <w:hyperlink r:id="rId442" w:anchor="a26" w:history="1">
        <w:r w:rsidR="005D5A46">
          <w:rPr>
            <w:rStyle w:val="a5"/>
            <w:rFonts w:ascii="Arial Unicode MS" w:hAnsi="Arial Unicode MS"/>
          </w:rPr>
          <w:t>第</w:t>
        </w:r>
        <w:r w:rsidR="00203F72" w:rsidRPr="001B53A5">
          <w:rPr>
            <w:rStyle w:val="a5"/>
            <w:rFonts w:ascii="Arial Unicode MS" w:hAnsi="Arial Unicode MS"/>
          </w:rPr>
          <w:t>26</w:t>
        </w:r>
        <w:r w:rsidR="005D5A46">
          <w:rPr>
            <w:rStyle w:val="a5"/>
            <w:rFonts w:ascii="Arial Unicode MS" w:hAnsi="Arial Unicode MS"/>
          </w:rPr>
          <w:t>條</w:t>
        </w:r>
      </w:hyperlink>
      <w:r w:rsidR="00203F72" w:rsidRPr="00A53581">
        <w:t>國民大會以左列代表組織之：</w:t>
      </w:r>
    </w:p>
    <w:p w14:paraId="003368D6" w14:textId="77777777" w:rsidR="00203F72" w:rsidRPr="001B1539" w:rsidRDefault="007F7377" w:rsidP="00D87D91">
      <w:r w:rsidRPr="001B1539">
        <w:t xml:space="preserve">　　</w:t>
      </w:r>
      <w:r w:rsidR="00203F72" w:rsidRPr="001B1539">
        <w:t>一、每縣市及其同等區域各選出代表一人，但其人口逾五十萬人者，每增加五十萬人，增選代表一人。縣市同等區域以法律定之。</w:t>
      </w:r>
    </w:p>
    <w:p w14:paraId="4F499D2D" w14:textId="77777777" w:rsidR="00203F72" w:rsidRPr="001B1539" w:rsidRDefault="007F7377" w:rsidP="00D87D91">
      <w:r w:rsidRPr="001B1539">
        <w:t xml:space="preserve">　　</w:t>
      </w:r>
      <w:r w:rsidR="00203F72" w:rsidRPr="001B1539">
        <w:t>二、蒙古選出代表，每盟四人，每特別旗一人。</w:t>
      </w:r>
    </w:p>
    <w:p w14:paraId="561FB378" w14:textId="77777777" w:rsidR="00203F72" w:rsidRPr="001B1539" w:rsidRDefault="007F7377" w:rsidP="00D87D91">
      <w:r w:rsidRPr="001B1539">
        <w:t xml:space="preserve">　　</w:t>
      </w:r>
      <w:r w:rsidR="00203F72" w:rsidRPr="001B1539">
        <w:t>三、西藏選出代表，其名額以法律定之。</w:t>
      </w:r>
    </w:p>
    <w:p w14:paraId="1934EEF1" w14:textId="77777777" w:rsidR="00203F72" w:rsidRPr="001B1539" w:rsidRDefault="007F7377" w:rsidP="00D87D91">
      <w:r w:rsidRPr="001B1539">
        <w:t xml:space="preserve">　　</w:t>
      </w:r>
      <w:r w:rsidR="00203F72" w:rsidRPr="001B1539">
        <w:t>四、各民族在邊疆地區選出代表，其名額以法律定之。</w:t>
      </w:r>
    </w:p>
    <w:p w14:paraId="1EBF600E" w14:textId="77777777" w:rsidR="00203F72" w:rsidRPr="001B1539" w:rsidRDefault="007F7377" w:rsidP="00D87D91">
      <w:r w:rsidRPr="001B1539">
        <w:t xml:space="preserve">　　</w:t>
      </w:r>
      <w:r w:rsidR="00203F72" w:rsidRPr="001B1539">
        <w:t>五、僑居國外之國民選出代表，其名額以法律定之。</w:t>
      </w:r>
    </w:p>
    <w:p w14:paraId="2ED4BE05" w14:textId="77777777" w:rsidR="00203F72" w:rsidRPr="001B1539" w:rsidRDefault="007F7377" w:rsidP="00D87D91">
      <w:r w:rsidRPr="001B1539">
        <w:t xml:space="preserve">　　</w:t>
      </w:r>
      <w:r w:rsidR="00203F72" w:rsidRPr="001B1539">
        <w:t>六、職業團體選出代表，其名額以法律定之。</w:t>
      </w:r>
    </w:p>
    <w:p w14:paraId="328AA3DA" w14:textId="77777777" w:rsidR="00953151" w:rsidRPr="001B1539" w:rsidRDefault="007F7377" w:rsidP="00D87D91">
      <w:r w:rsidRPr="001B1539">
        <w:t xml:space="preserve">　　</w:t>
      </w:r>
      <w:r w:rsidR="00203F72" w:rsidRPr="001B1539">
        <w:t>七、婦女團體選出代表，其名額以法律定之。</w:t>
      </w:r>
    </w:p>
    <w:p w14:paraId="0BBCBA77" w14:textId="77777777" w:rsidR="00953151" w:rsidRDefault="00B03E84" w:rsidP="00D87D91">
      <w:r>
        <w:t>【內容解析】</w:t>
      </w:r>
    </w:p>
    <w:p w14:paraId="624A19A8" w14:textId="77777777" w:rsidR="00953151" w:rsidRDefault="007F7377" w:rsidP="00D87D91">
      <w:r w:rsidRPr="001B1539">
        <w:t xml:space="preserve">　　</w:t>
      </w:r>
      <w:r w:rsidR="00203F72" w:rsidRPr="001B1539">
        <w:t>依據憲法</w:t>
      </w:r>
      <w:hyperlink r:id="rId443" w:anchor="a26" w:history="1">
        <w:r w:rsidR="00203F72" w:rsidRPr="001B1539">
          <w:rPr>
            <w:rStyle w:val="a5"/>
          </w:rPr>
          <w:t>第26條</w:t>
        </w:r>
      </w:hyperlink>
      <w:r w:rsidR="00203F72" w:rsidRPr="001B1539">
        <w:t>之規定，事實上，我國曾進行國民大會之選舉，其時程係為於民國</w:t>
      </w:r>
      <w:r w:rsidR="00203F72" w:rsidRPr="001B1539">
        <w:t>36</w:t>
      </w:r>
      <w:r w:rsidR="00203F72" w:rsidRPr="001B1539">
        <w:t>年</w:t>
      </w:r>
      <w:r w:rsidR="00203F72" w:rsidRPr="001B1539">
        <w:t>11</w:t>
      </w:r>
      <w:r w:rsidR="00203F72" w:rsidRPr="001B1539">
        <w:t>月</w:t>
      </w:r>
      <w:r w:rsidR="00203F72" w:rsidRPr="001B1539">
        <w:t>21</w:t>
      </w:r>
      <w:r w:rsidR="00203F72" w:rsidRPr="001B1539">
        <w:t>日至</w:t>
      </w:r>
      <w:r w:rsidR="00203F72" w:rsidRPr="001B1539">
        <w:t>23</w:t>
      </w:r>
      <w:r w:rsidR="00203F72" w:rsidRPr="001B1539">
        <w:t>日，國民大會代表由全國每縣市及其同等區域、蒙古各盟旗、西藏、各民族在邊疆地區、僑居國外之國民、職業團體、婦女團體、內地生活習慣特殊之國民之中，依法選出第</w:t>
      </w:r>
      <w:r w:rsidR="00203F72" w:rsidRPr="001B1539">
        <w:t>1</w:t>
      </w:r>
      <w:r w:rsidR="00203F72" w:rsidRPr="001B1539">
        <w:t>屆國民大會</w:t>
      </w:r>
      <w:r w:rsidR="00203F72" w:rsidRPr="001B1539">
        <w:rPr>
          <w:rFonts w:hint="eastAsia"/>
        </w:rPr>
        <w:t>(</w:t>
      </w:r>
      <w:r w:rsidR="00203F72" w:rsidRPr="001B1539">
        <w:t>制憲國大</w:t>
      </w:r>
      <w:r w:rsidR="00203F72" w:rsidRPr="001B1539">
        <w:rPr>
          <w:rFonts w:hint="eastAsia"/>
        </w:rPr>
        <w:t>)</w:t>
      </w:r>
      <w:r w:rsidR="00203F72" w:rsidRPr="001B1539">
        <w:t>之代表，共選出第</w:t>
      </w:r>
      <w:r w:rsidR="00203F72" w:rsidRPr="001B1539">
        <w:t>1</w:t>
      </w:r>
      <w:r w:rsidR="00203F72" w:rsidRPr="001B1539">
        <w:t>屆國民大會</w:t>
      </w:r>
      <w:r w:rsidR="00203F72" w:rsidRPr="001B1539">
        <w:rPr>
          <w:rFonts w:hint="eastAsia"/>
        </w:rPr>
        <w:t>(</w:t>
      </w:r>
      <w:r w:rsidR="00203F72" w:rsidRPr="001B1539">
        <w:t>制憲國大</w:t>
      </w:r>
      <w:r w:rsidR="00203F72" w:rsidRPr="001B1539">
        <w:rPr>
          <w:rFonts w:hint="eastAsia"/>
        </w:rPr>
        <w:t>)</w:t>
      </w:r>
      <w:r w:rsidR="00203F72" w:rsidRPr="001B1539">
        <w:t>代表，計有</w:t>
      </w:r>
      <w:r w:rsidR="00203F72" w:rsidRPr="001B1539">
        <w:t>2961</w:t>
      </w:r>
      <w:r w:rsidR="00203F72" w:rsidRPr="001B1539">
        <w:t>人，近約</w:t>
      </w:r>
      <w:r w:rsidR="00203F72" w:rsidRPr="001B1539">
        <w:t>3000</w:t>
      </w:r>
      <w:r w:rsidR="00203F72" w:rsidRPr="001B1539">
        <w:t>人</w:t>
      </w:r>
      <w:r w:rsidR="00203F72" w:rsidRPr="001B1539">
        <w:footnoteReference w:id="64"/>
      </w:r>
      <w:r w:rsidR="00203F72" w:rsidRPr="001B1539">
        <w:t>。然而，為了因應國家統一前之需要，本法條依憲法增修條</w:t>
      </w:r>
      <w:r w:rsidR="001B1539" w:rsidRPr="001B1539">
        <w:t>文</w:t>
      </w:r>
      <w:hyperlink r:id="rId444" w:anchor="b1" w:history="1">
        <w:r w:rsidR="001B1539" w:rsidRPr="001B1539">
          <w:rPr>
            <w:rStyle w:val="a5"/>
          </w:rPr>
          <w:t>第1條</w:t>
        </w:r>
      </w:hyperlink>
      <w:r w:rsidR="00203F72" w:rsidRPr="001B1539">
        <w:t>之規定停止適用。</w:t>
      </w:r>
    </w:p>
    <w:p w14:paraId="4FC7253C" w14:textId="77777777" w:rsidR="008F066C" w:rsidRPr="001B1539" w:rsidRDefault="008F066C" w:rsidP="00D87D91"/>
    <w:p w14:paraId="25EC5B85" w14:textId="4668880C"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SEQ tab</w:instrText>
      </w:r>
      <w:r w:rsidR="00076467">
        <w:rPr>
          <w:noProof/>
        </w:rPr>
        <w:instrText xml:space="preserve">le \* ARABIC </w:instrText>
      </w:r>
      <w:r w:rsidR="00076467">
        <w:rPr>
          <w:noProof/>
        </w:rPr>
        <w:fldChar w:fldCharType="separate"/>
      </w:r>
      <w:r w:rsidR="00D935B9">
        <w:rPr>
          <w:noProof/>
        </w:rPr>
        <w:t>21</w:t>
      </w:r>
      <w:r w:rsidR="00076467">
        <w:rPr>
          <w:noProof/>
        </w:rPr>
        <w:fldChar w:fldCharType="end"/>
      </w:r>
      <w:r w:rsidR="00203F72" w:rsidRPr="001B1539">
        <w:rPr>
          <w:rFonts w:hint="eastAsia"/>
        </w:rPr>
        <w:t>一九四六年</w:t>
      </w:r>
      <w:r w:rsidR="00203F72" w:rsidRPr="001B1539">
        <w:t>制憲國大代表出席情況</w:t>
      </w:r>
    </w:p>
    <w:tbl>
      <w:tblPr>
        <w:tblW w:w="7928"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796"/>
        <w:gridCol w:w="1419"/>
        <w:gridCol w:w="864"/>
        <w:gridCol w:w="864"/>
        <w:gridCol w:w="3985"/>
      </w:tblGrid>
      <w:tr w:rsidR="00203F72" w:rsidRPr="00A53581" w14:paraId="7BE7284C" w14:textId="77777777" w:rsidTr="00314E1E">
        <w:trPr>
          <w:tblCellSpacing w:w="15" w:type="dxa"/>
        </w:trPr>
        <w:tc>
          <w:tcPr>
            <w:tcW w:w="7868" w:type="dxa"/>
            <w:gridSpan w:val="5"/>
            <w:tcBorders>
              <w:top w:val="single" w:sz="6" w:space="0" w:color="AAAAAA"/>
              <w:left w:val="single" w:sz="4" w:space="0" w:color="auto"/>
              <w:bottom w:val="single" w:sz="4" w:space="0" w:color="auto"/>
              <w:right w:val="single" w:sz="4" w:space="0" w:color="auto"/>
            </w:tcBorders>
            <w:shd w:val="clear" w:color="auto" w:fill="FAF0FA"/>
            <w:vAlign w:val="center"/>
            <w:hideMark/>
          </w:tcPr>
          <w:p w14:paraId="777FC64B" w14:textId="77777777" w:rsidR="00203F72" w:rsidRPr="00A53581" w:rsidRDefault="00203F72" w:rsidP="00314E1E">
            <w:pPr>
              <w:jc w:val="center"/>
              <w:rPr>
                <w:rFonts w:cs="新細明體"/>
              </w:rPr>
            </w:pPr>
            <w:r w:rsidRPr="00A53581">
              <w:rPr>
                <w:rFonts w:hint="eastAsia"/>
              </w:rPr>
              <w:t>1946</w:t>
            </w:r>
            <w:r w:rsidRPr="00A53581">
              <w:rPr>
                <w:rFonts w:hint="eastAsia"/>
              </w:rPr>
              <w:t>年</w:t>
            </w:r>
            <w:r w:rsidRPr="00A53581">
              <w:t>制憲國大代表出席情況</w:t>
            </w:r>
          </w:p>
        </w:tc>
      </w:tr>
      <w:tr w:rsidR="00203F72" w:rsidRPr="00A53581" w14:paraId="28DE39DD" w14:textId="77777777"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14:paraId="6E01F1F4" w14:textId="77777777" w:rsidR="00203F72" w:rsidRPr="00A53581" w:rsidRDefault="00203F72" w:rsidP="00D87D91">
            <w:pPr>
              <w:rPr>
                <w:rFonts w:cs="新細明體"/>
              </w:rPr>
            </w:pPr>
            <w:r w:rsidRPr="00A53581">
              <w:t>代表類別</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BAC11B4" w14:textId="77777777" w:rsidR="00203F72" w:rsidRPr="00A53581" w:rsidRDefault="00203F72" w:rsidP="00314E1E">
            <w:pPr>
              <w:jc w:val="center"/>
              <w:rPr>
                <w:rFonts w:cs="新細明體"/>
              </w:rPr>
            </w:pPr>
            <w:r w:rsidRPr="00A53581">
              <w:t>法定人數</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73300E2A" w14:textId="77777777" w:rsidR="00203F72" w:rsidRPr="00A53581" w:rsidRDefault="00203F72" w:rsidP="00314E1E">
            <w:pPr>
              <w:jc w:val="center"/>
              <w:rPr>
                <w:rFonts w:cs="新細明體"/>
              </w:rPr>
            </w:pPr>
            <w:r w:rsidRPr="00A53581">
              <w:t>報到人數</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59C510E" w14:textId="77777777" w:rsidR="00203F72" w:rsidRPr="00A53581" w:rsidRDefault="00203F72" w:rsidP="00D87D91">
            <w:pPr>
              <w:rPr>
                <w:rFonts w:cs="新細明體"/>
              </w:rPr>
            </w:pPr>
            <w:r w:rsidRPr="00A53581">
              <w:t>備註</w:t>
            </w:r>
          </w:p>
        </w:tc>
      </w:tr>
      <w:tr w:rsidR="00203F72" w:rsidRPr="00A53581" w14:paraId="251F54C8" w14:textId="77777777"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14:paraId="705E9A77" w14:textId="77777777" w:rsidR="00203F72" w:rsidRPr="00A53581" w:rsidRDefault="00203F72" w:rsidP="00D87D91">
            <w:pPr>
              <w:rPr>
                <w:rFonts w:cs="新細明體"/>
              </w:rPr>
            </w:pPr>
            <w:r w:rsidRPr="00A53581">
              <w:t>區域選舉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7858B67F" w14:textId="77777777" w:rsidR="00203F72" w:rsidRPr="00A53581" w:rsidRDefault="00203F72" w:rsidP="00314E1E">
            <w:pPr>
              <w:jc w:val="center"/>
              <w:rPr>
                <w:rFonts w:cs="新細明體"/>
              </w:rPr>
            </w:pPr>
            <w:r w:rsidRPr="00A53581">
              <w:t>770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7E5E1C4C" w14:textId="77777777" w:rsidR="00203F72" w:rsidRPr="00A53581" w:rsidRDefault="00203F72" w:rsidP="00314E1E">
            <w:pPr>
              <w:jc w:val="center"/>
              <w:rPr>
                <w:rFonts w:cs="新細明體"/>
              </w:rPr>
            </w:pPr>
            <w:r w:rsidRPr="00A53581">
              <w:t>735</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B707AAE" w14:textId="77777777" w:rsidR="00203F72" w:rsidRPr="00A53581" w:rsidRDefault="00203F72" w:rsidP="00D87D91">
            <w:pPr>
              <w:rPr>
                <w:rFonts w:cs="新細明體"/>
              </w:rPr>
            </w:pPr>
            <w:r w:rsidRPr="00A53581">
              <w:t>由各省人民直選產生</w:t>
            </w:r>
          </w:p>
        </w:tc>
      </w:tr>
      <w:tr w:rsidR="00203F72" w:rsidRPr="00A53581" w14:paraId="5FE58246" w14:textId="77777777"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14:paraId="3E0441F7" w14:textId="77777777" w:rsidR="00203F72" w:rsidRPr="00A53581" w:rsidRDefault="00203F72" w:rsidP="00D87D91">
            <w:pPr>
              <w:rPr>
                <w:rFonts w:cs="新細明體"/>
              </w:rPr>
            </w:pPr>
            <w:r w:rsidRPr="00A53581">
              <w:t>職業選舉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4637B3E" w14:textId="77777777" w:rsidR="00203F72" w:rsidRPr="00A53581" w:rsidRDefault="00203F72" w:rsidP="00314E1E">
            <w:pPr>
              <w:jc w:val="center"/>
              <w:rPr>
                <w:rFonts w:cs="新細明體"/>
              </w:rPr>
            </w:pPr>
            <w:r w:rsidRPr="00A53581">
              <w:t>437</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77BE38C" w14:textId="77777777" w:rsidR="00203F72" w:rsidRPr="00A53581" w:rsidRDefault="00203F72" w:rsidP="00314E1E">
            <w:pPr>
              <w:jc w:val="center"/>
              <w:rPr>
                <w:rFonts w:cs="新細明體"/>
              </w:rPr>
            </w:pPr>
            <w:r w:rsidRPr="00A53581">
              <w:t>406</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6D54C86" w14:textId="77777777" w:rsidR="00203F72" w:rsidRPr="00A53581" w:rsidRDefault="00203F72" w:rsidP="00D87D91">
            <w:pPr>
              <w:rPr>
                <w:rFonts w:cs="新細明體"/>
              </w:rPr>
            </w:pPr>
            <w:r w:rsidRPr="00A53581">
              <w:t>由各職業團體選舉產生</w:t>
            </w:r>
          </w:p>
        </w:tc>
      </w:tr>
      <w:tr w:rsidR="00203F72" w:rsidRPr="00A53581" w14:paraId="097E96BA" w14:textId="77777777"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14:paraId="02C3B038" w14:textId="77777777" w:rsidR="00203F72" w:rsidRPr="00A53581" w:rsidRDefault="00203F72" w:rsidP="00D87D91">
            <w:pPr>
              <w:rPr>
                <w:rFonts w:cs="新細明體"/>
              </w:rPr>
            </w:pPr>
            <w:r w:rsidRPr="00A53581">
              <w:t>特種選舉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84C0054" w14:textId="77777777" w:rsidR="00203F72" w:rsidRPr="00A53581" w:rsidRDefault="00203F72" w:rsidP="00314E1E">
            <w:pPr>
              <w:jc w:val="center"/>
              <w:rPr>
                <w:rFonts w:cs="新細明體"/>
              </w:rPr>
            </w:pPr>
            <w:r w:rsidRPr="00A53581">
              <w:t>143</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6B561E6" w14:textId="77777777" w:rsidR="00203F72" w:rsidRPr="00A53581" w:rsidRDefault="00203F72" w:rsidP="00314E1E">
            <w:pPr>
              <w:jc w:val="center"/>
              <w:rPr>
                <w:rFonts w:cs="新細明體"/>
              </w:rPr>
            </w:pPr>
            <w:r w:rsidRPr="00A53581">
              <w:t>142</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77974B1" w14:textId="77777777" w:rsidR="00203F72" w:rsidRPr="00A53581" w:rsidRDefault="00203F72" w:rsidP="00D87D91">
            <w:pPr>
              <w:rPr>
                <w:rFonts w:cs="新細明體"/>
              </w:rPr>
            </w:pPr>
            <w:r w:rsidRPr="00A53581">
              <w:t>由政府遴選產生</w:t>
            </w:r>
          </w:p>
        </w:tc>
      </w:tr>
      <w:tr w:rsidR="00203F72" w:rsidRPr="00A53581" w14:paraId="3FBF98F9" w14:textId="77777777" w:rsidTr="00203F72">
        <w:trPr>
          <w:tblCellSpacing w:w="15" w:type="dxa"/>
        </w:trPr>
        <w:tc>
          <w:tcPr>
            <w:tcW w:w="0" w:type="auto"/>
            <w:vMerge w:val="restart"/>
            <w:tcBorders>
              <w:top w:val="single" w:sz="4" w:space="0" w:color="auto"/>
              <w:left w:val="single" w:sz="4" w:space="0" w:color="auto"/>
              <w:bottom w:val="single" w:sz="4" w:space="0" w:color="auto"/>
              <w:right w:val="single" w:sz="4" w:space="0" w:color="auto"/>
            </w:tcBorders>
            <w:shd w:val="clear" w:color="auto" w:fill="F9F9F9"/>
            <w:vAlign w:val="center"/>
            <w:hideMark/>
          </w:tcPr>
          <w:p w14:paraId="58690AC0" w14:textId="77777777" w:rsidR="00203F72" w:rsidRPr="00A53581" w:rsidRDefault="00203F72" w:rsidP="00D87D91">
            <w:pPr>
              <w:rPr>
                <w:rFonts w:cs="新細明體"/>
              </w:rPr>
            </w:pPr>
            <w:r w:rsidRPr="00A53581">
              <w:t>黨派代表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0CE55E5" w14:textId="77777777" w:rsidR="00203F72" w:rsidRPr="00A53581" w:rsidRDefault="00203F72" w:rsidP="00D87D91">
            <w:pPr>
              <w:rPr>
                <w:rFonts w:cs="新細明體"/>
              </w:rPr>
            </w:pPr>
            <w:r w:rsidRPr="00A53581">
              <w:t>國民黨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16C20C7C" w14:textId="77777777" w:rsidR="00203F72" w:rsidRPr="00A53581" w:rsidRDefault="00203F72" w:rsidP="00314E1E">
            <w:pPr>
              <w:jc w:val="center"/>
              <w:rPr>
                <w:rFonts w:cs="新細明體"/>
              </w:rPr>
            </w:pPr>
            <w:r w:rsidRPr="00A53581">
              <w:t>220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D659FCE" w14:textId="77777777" w:rsidR="00203F72" w:rsidRPr="00A53581" w:rsidRDefault="00203F72" w:rsidP="00314E1E">
            <w:pPr>
              <w:jc w:val="center"/>
              <w:rPr>
                <w:rFonts w:cs="新細明體"/>
              </w:rPr>
            </w:pPr>
            <w:r w:rsidRPr="00A53581">
              <w:t>216</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EB06280" w14:textId="77777777" w:rsidR="00203F72" w:rsidRPr="00A53581" w:rsidRDefault="00203F72" w:rsidP="00D87D91"/>
        </w:tc>
      </w:tr>
      <w:tr w:rsidR="00203F72" w:rsidRPr="00A53581" w14:paraId="2B81BF70" w14:textId="77777777"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14:paraId="345C6572" w14:textId="77777777"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7AC89D9" w14:textId="77777777" w:rsidR="00203F72" w:rsidRPr="00A53581" w:rsidRDefault="00203F72" w:rsidP="00D87D91">
            <w:pPr>
              <w:rPr>
                <w:rFonts w:cs="新細明體"/>
              </w:rPr>
            </w:pPr>
            <w:r w:rsidRPr="00A53581">
              <w:t>共產黨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113135F5" w14:textId="77777777" w:rsidR="00203F72" w:rsidRPr="00A53581" w:rsidRDefault="00203F72" w:rsidP="00314E1E">
            <w:pPr>
              <w:jc w:val="center"/>
              <w:rPr>
                <w:rFonts w:cs="新細明體"/>
              </w:rPr>
            </w:pPr>
            <w:r w:rsidRPr="00A53581">
              <w:t>190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7EFAF9A" w14:textId="77777777" w:rsidR="00203F72" w:rsidRPr="00A53581" w:rsidRDefault="00203F72" w:rsidP="00314E1E">
            <w:pPr>
              <w:jc w:val="center"/>
              <w:rPr>
                <w:rFonts w:cs="新細明體"/>
              </w:rPr>
            </w:pPr>
            <w:r w:rsidRPr="00A53581">
              <w:t>0</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130783E" w14:textId="77777777" w:rsidR="00203F72" w:rsidRPr="00A53581" w:rsidRDefault="00203F72" w:rsidP="00D87D91">
            <w:pPr>
              <w:rPr>
                <w:rFonts w:cs="新細明體"/>
              </w:rPr>
            </w:pPr>
            <w:r w:rsidRPr="00A53581">
              <w:t>共產黨拒絕參加</w:t>
            </w:r>
          </w:p>
        </w:tc>
      </w:tr>
      <w:tr w:rsidR="00203F72" w:rsidRPr="00A53581" w14:paraId="032DC3AA" w14:textId="77777777"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14:paraId="2B99E828" w14:textId="77777777"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A6C1069" w14:textId="77777777" w:rsidR="00203F72" w:rsidRPr="00A53581" w:rsidRDefault="00203F72" w:rsidP="00D87D91">
            <w:pPr>
              <w:rPr>
                <w:rFonts w:cs="新細明體"/>
              </w:rPr>
            </w:pPr>
            <w:r w:rsidRPr="00A53581">
              <w:t>民盟（除民社黨）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EBE69BB" w14:textId="77777777" w:rsidR="00203F72" w:rsidRPr="00A53581" w:rsidRDefault="00203F72" w:rsidP="00314E1E">
            <w:pPr>
              <w:jc w:val="center"/>
              <w:rPr>
                <w:rFonts w:cs="新細明體"/>
              </w:rPr>
            </w:pPr>
            <w:r w:rsidRPr="00A53581">
              <w:t>80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9EAFFC0" w14:textId="77777777" w:rsidR="00203F72" w:rsidRPr="00A53581" w:rsidRDefault="00203F72" w:rsidP="00314E1E">
            <w:pPr>
              <w:jc w:val="center"/>
              <w:rPr>
                <w:rFonts w:cs="新細明體"/>
              </w:rPr>
            </w:pPr>
            <w:r w:rsidRPr="00A53581">
              <w:t>0</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7625A45" w14:textId="77777777" w:rsidR="00203F72" w:rsidRPr="00A53581" w:rsidRDefault="00203F72" w:rsidP="00D87D91">
            <w:pPr>
              <w:rPr>
                <w:rFonts w:cs="新細明體"/>
              </w:rPr>
            </w:pPr>
            <w:r w:rsidRPr="00A53581">
              <w:t>民盟拒絕參加</w:t>
            </w:r>
          </w:p>
        </w:tc>
      </w:tr>
      <w:tr w:rsidR="00203F72" w:rsidRPr="00A53581" w14:paraId="7DE9DEBD" w14:textId="77777777"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14:paraId="0DB805E3" w14:textId="77777777"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7C680A0" w14:textId="77777777" w:rsidR="00203F72" w:rsidRPr="00A53581" w:rsidRDefault="00203F72" w:rsidP="00D87D91">
            <w:pPr>
              <w:rPr>
                <w:rFonts w:cs="新細明體"/>
              </w:rPr>
            </w:pPr>
            <w:r w:rsidRPr="00A53581">
              <w:t>民社黨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5415C95" w14:textId="77777777" w:rsidR="00203F72" w:rsidRPr="00A53581" w:rsidRDefault="00203F72" w:rsidP="00314E1E">
            <w:pPr>
              <w:jc w:val="center"/>
              <w:rPr>
                <w:rFonts w:cs="新細明體"/>
              </w:rPr>
            </w:pPr>
            <w:r w:rsidRPr="00A53581">
              <w:t>40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77898D87" w14:textId="77777777" w:rsidR="00203F72" w:rsidRPr="00A53581" w:rsidRDefault="00203F72" w:rsidP="00314E1E">
            <w:pPr>
              <w:jc w:val="center"/>
              <w:rPr>
                <w:rFonts w:cs="新細明體"/>
              </w:rPr>
            </w:pPr>
            <w:r w:rsidRPr="00A53581">
              <w:t>39</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307663B" w14:textId="77777777" w:rsidR="00203F72" w:rsidRPr="00A53581" w:rsidRDefault="00203F72" w:rsidP="00D87D91">
            <w:pPr>
              <w:rPr>
                <w:rFonts w:cs="新細明體"/>
              </w:rPr>
            </w:pPr>
            <w:r w:rsidRPr="00A53581">
              <w:t>民社黨脫離民盟單獨參加</w:t>
            </w:r>
            <w:r w:rsidRPr="00A53581">
              <w:t>,</w:t>
            </w:r>
            <w:r w:rsidRPr="00A53581">
              <w:t>並僅用其原有名額</w:t>
            </w:r>
            <w:r w:rsidRPr="00A53581">
              <w:t>40</w:t>
            </w:r>
          </w:p>
        </w:tc>
      </w:tr>
      <w:tr w:rsidR="00203F72" w:rsidRPr="00A53581" w14:paraId="477FF13B" w14:textId="77777777"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14:paraId="1012FBDD" w14:textId="77777777"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35502DC" w14:textId="77777777" w:rsidR="00203F72" w:rsidRPr="00A53581" w:rsidRDefault="00203F72" w:rsidP="00D87D91">
            <w:pPr>
              <w:rPr>
                <w:rFonts w:cs="新細明體"/>
              </w:rPr>
            </w:pPr>
            <w:r w:rsidRPr="00A53581">
              <w:t>青年黨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F5B86E4" w14:textId="77777777" w:rsidR="00203F72" w:rsidRPr="00A53581" w:rsidRDefault="00203F72" w:rsidP="00314E1E">
            <w:pPr>
              <w:jc w:val="center"/>
              <w:rPr>
                <w:rFonts w:cs="新細明體"/>
              </w:rPr>
            </w:pPr>
            <w:r w:rsidRPr="00A53581">
              <w:t>100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552B1EA" w14:textId="77777777" w:rsidR="00203F72" w:rsidRPr="00A53581" w:rsidRDefault="00203F72" w:rsidP="00314E1E">
            <w:pPr>
              <w:jc w:val="center"/>
              <w:rPr>
                <w:rFonts w:cs="新細明體"/>
              </w:rPr>
            </w:pPr>
            <w:r w:rsidRPr="00A53581">
              <w:t>99</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0805D16" w14:textId="77777777" w:rsidR="00203F72" w:rsidRPr="00A53581" w:rsidRDefault="00203F72" w:rsidP="00D87D91"/>
        </w:tc>
      </w:tr>
      <w:tr w:rsidR="00203F72" w:rsidRPr="00A53581" w14:paraId="4CA24FDC" w14:textId="77777777"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14:paraId="12562EEA" w14:textId="77777777"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F528F9E" w14:textId="77777777" w:rsidR="00203F72" w:rsidRPr="00A53581" w:rsidRDefault="00203F72" w:rsidP="00D87D91">
            <w:pPr>
              <w:rPr>
                <w:rFonts w:cs="新細明體"/>
              </w:rPr>
            </w:pPr>
            <w:r w:rsidRPr="00A53581">
              <w:t>社會賢達</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D5C543F" w14:textId="77777777" w:rsidR="00203F72" w:rsidRPr="00A53581" w:rsidRDefault="00203F72" w:rsidP="00314E1E">
            <w:pPr>
              <w:jc w:val="center"/>
              <w:rPr>
                <w:rFonts w:cs="新細明體"/>
              </w:rPr>
            </w:pPr>
            <w:r w:rsidRPr="00A53581">
              <w:t>40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A18E967" w14:textId="77777777" w:rsidR="00203F72" w:rsidRPr="00A53581" w:rsidRDefault="00203F72" w:rsidP="00314E1E">
            <w:pPr>
              <w:jc w:val="center"/>
              <w:rPr>
                <w:rFonts w:cs="新細明體"/>
              </w:rPr>
            </w:pPr>
            <w:r w:rsidRPr="00A53581">
              <w:t>39</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8BED946" w14:textId="77777777" w:rsidR="00203F72" w:rsidRPr="00A53581" w:rsidRDefault="00203F72" w:rsidP="00D87D91">
            <w:pPr>
              <w:rPr>
                <w:rFonts w:cs="新細明體"/>
              </w:rPr>
            </w:pPr>
            <w:r w:rsidRPr="00A53581">
              <w:t>主要為無黨派國民參議員</w:t>
            </w:r>
          </w:p>
        </w:tc>
      </w:tr>
      <w:tr w:rsidR="00203F72" w:rsidRPr="00A53581" w14:paraId="66E7702E" w14:textId="77777777"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14:paraId="09DE8776" w14:textId="77777777" w:rsidR="00203F72" w:rsidRPr="00A53581" w:rsidRDefault="00203F72" w:rsidP="00D87D91">
            <w:pPr>
              <w:rPr>
                <w:rFonts w:cs="新細明體"/>
              </w:rPr>
            </w:pPr>
            <w:r w:rsidRPr="00A53581">
              <w:t>總計</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8FF79DB" w14:textId="77777777" w:rsidR="00203F72" w:rsidRPr="00A53581" w:rsidRDefault="00203F72" w:rsidP="00314E1E">
            <w:pPr>
              <w:jc w:val="center"/>
              <w:rPr>
                <w:rFonts w:cs="新細明體"/>
              </w:rPr>
            </w:pPr>
            <w:r w:rsidRPr="00A53581">
              <w:t>2050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BF2A50B" w14:textId="77777777" w:rsidR="00203F72" w:rsidRPr="00A53581" w:rsidRDefault="00203F72" w:rsidP="00314E1E">
            <w:pPr>
              <w:jc w:val="center"/>
              <w:rPr>
                <w:rFonts w:cs="新細明體"/>
              </w:rPr>
            </w:pPr>
            <w:r w:rsidRPr="00A53581">
              <w:t>1701</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6B272B5" w14:textId="77777777" w:rsidR="00203F72" w:rsidRPr="00A53581" w:rsidRDefault="00203F72" w:rsidP="00D87D91">
            <w:pPr>
              <w:rPr>
                <w:rFonts w:cs="新細明體"/>
              </w:rPr>
            </w:pPr>
            <w:r w:rsidRPr="00A53581">
              <w:t>到會率</w:t>
            </w:r>
            <w:r w:rsidRPr="00A53581">
              <w:t>82.98%</w:t>
            </w:r>
            <w:r w:rsidRPr="00A53581">
              <w:t>超過</w:t>
            </w:r>
            <w:r w:rsidRPr="00A53581">
              <w:t>3/4</w:t>
            </w:r>
          </w:p>
        </w:tc>
      </w:tr>
    </w:tbl>
    <w:p w14:paraId="57C77A2A" w14:textId="77777777" w:rsidR="00953151" w:rsidRDefault="00B03E84" w:rsidP="00D87D91">
      <w:r>
        <w:rPr>
          <w:rStyle w:val="reference-text"/>
          <w:rFonts w:ascii="新細明體" w:hAnsi="新細明體" w:hint="eastAsia"/>
        </w:rPr>
        <w:t>【資料來源】</w:t>
      </w:r>
      <w:r w:rsidR="00203F72" w:rsidRPr="00A53581">
        <w:rPr>
          <w:rFonts w:hint="eastAsia"/>
        </w:rPr>
        <w:t>維基百科</w:t>
      </w:r>
      <w:r w:rsidR="00203F72" w:rsidRPr="00A53581">
        <w:rPr>
          <w:rFonts w:hint="eastAsia"/>
        </w:rPr>
        <w:t>(2015)</w:t>
      </w:r>
      <w:r w:rsidR="00203F72" w:rsidRPr="00A53581">
        <w:rPr>
          <w:rFonts w:hint="eastAsia"/>
        </w:rPr>
        <w:t>，制憲國民大會，上網瀏覽時日：</w:t>
      </w:r>
      <w:r w:rsidR="00203F72" w:rsidRPr="00A53581">
        <w:rPr>
          <w:rFonts w:hint="eastAsia"/>
        </w:rPr>
        <w:t>2015/08/02</w:t>
      </w:r>
      <w:r w:rsidR="00203F72" w:rsidRPr="00A53581">
        <w:rPr>
          <w:rFonts w:hint="eastAsia"/>
        </w:rPr>
        <w:t>，</w:t>
      </w:r>
      <w:hyperlink r:id="rId445" w:history="1">
        <w:r w:rsidR="00203F72" w:rsidRPr="00A53581">
          <w:rPr>
            <w:rStyle w:val="a5"/>
          </w:rPr>
          <w:t>https://zh.wikipedia.org/wiki/%E5%88%B6%E6%86%B2%E5%9C%8B%E6%B0%91%E5%A4%A7%E6%9C%83</w:t>
        </w:r>
      </w:hyperlink>
      <w:r w:rsidR="00545D58">
        <w:t>。</w:t>
      </w:r>
    </w:p>
    <w:p w14:paraId="1AA674DA" w14:textId="77777777" w:rsidR="00203F72" w:rsidRPr="00A53581" w:rsidRDefault="00076467" w:rsidP="00767F37">
      <w:pPr>
        <w:pStyle w:val="2"/>
      </w:pPr>
      <w:hyperlink r:id="rId446" w:anchor="a27" w:history="1">
        <w:r w:rsidR="005D5A46">
          <w:rPr>
            <w:rStyle w:val="a5"/>
            <w:rFonts w:ascii="Arial Unicode MS" w:hAnsi="Arial Unicode MS"/>
          </w:rPr>
          <w:t>第</w:t>
        </w:r>
        <w:r w:rsidR="00203F72" w:rsidRPr="001B53A5">
          <w:rPr>
            <w:rStyle w:val="a5"/>
            <w:rFonts w:ascii="Arial Unicode MS" w:hAnsi="Arial Unicode MS"/>
          </w:rPr>
          <w:t>27</w:t>
        </w:r>
        <w:r w:rsidR="005D5A46">
          <w:rPr>
            <w:rStyle w:val="a5"/>
            <w:rFonts w:ascii="Arial Unicode MS" w:hAnsi="Arial Unicode MS"/>
          </w:rPr>
          <w:t>條</w:t>
        </w:r>
      </w:hyperlink>
      <w:r w:rsidR="00203F72" w:rsidRPr="00A53581">
        <w:t>國民大會之職權如左：</w:t>
      </w:r>
    </w:p>
    <w:p w14:paraId="7EDD8FA1" w14:textId="77777777" w:rsidR="00203F72" w:rsidRPr="00A53581" w:rsidRDefault="007F7377" w:rsidP="00D87D91">
      <w:r>
        <w:t xml:space="preserve">　　</w:t>
      </w:r>
      <w:r w:rsidR="00203F72" w:rsidRPr="00A53581">
        <w:t>一</w:t>
      </w:r>
      <w:r w:rsidRPr="00A53581">
        <w:t>、</w:t>
      </w:r>
      <w:r w:rsidR="00203F72" w:rsidRPr="00A53581">
        <w:t>選舉總統、副總統。</w:t>
      </w:r>
    </w:p>
    <w:p w14:paraId="14DC1BC9" w14:textId="77777777" w:rsidR="00203F72" w:rsidRPr="00A53581" w:rsidRDefault="007F7377" w:rsidP="00D87D91">
      <w:r>
        <w:t xml:space="preserve">　　</w:t>
      </w:r>
      <w:r w:rsidR="00203F72" w:rsidRPr="00A53581">
        <w:t>二</w:t>
      </w:r>
      <w:r w:rsidRPr="00A53581">
        <w:t>、</w:t>
      </w:r>
      <w:r w:rsidR="00203F72" w:rsidRPr="00A53581">
        <w:t>罷免總統、副總統。</w:t>
      </w:r>
    </w:p>
    <w:p w14:paraId="5B22B114" w14:textId="77777777" w:rsidR="00203F72" w:rsidRPr="00A53581" w:rsidRDefault="007F7377" w:rsidP="00D87D91">
      <w:r>
        <w:t xml:space="preserve">　　</w:t>
      </w:r>
      <w:r w:rsidR="00203F72" w:rsidRPr="00A53581">
        <w:t>三</w:t>
      </w:r>
      <w:r w:rsidRPr="00A53581">
        <w:t>、</w:t>
      </w:r>
      <w:r w:rsidR="00203F72" w:rsidRPr="00A53581">
        <w:t>修改憲法。</w:t>
      </w:r>
    </w:p>
    <w:p w14:paraId="5CF03BE8" w14:textId="77777777" w:rsidR="00203F72" w:rsidRPr="00A53581" w:rsidRDefault="007F7377" w:rsidP="00D87D91">
      <w:r>
        <w:t xml:space="preserve">　　</w:t>
      </w:r>
      <w:r w:rsidR="00203F72" w:rsidRPr="00A53581">
        <w:t>四</w:t>
      </w:r>
      <w:r w:rsidRPr="00A53581">
        <w:t>、</w:t>
      </w:r>
      <w:r w:rsidR="00203F72" w:rsidRPr="00A53581">
        <w:t>複決立法院所提之憲法修正案。</w:t>
      </w:r>
    </w:p>
    <w:p w14:paraId="073725DA" w14:textId="77777777" w:rsidR="00953151" w:rsidRDefault="007F7377" w:rsidP="00D87D91">
      <w:r>
        <w:t xml:space="preserve">　　</w:t>
      </w:r>
      <w:r w:rsidR="00203F72" w:rsidRPr="00A53581">
        <w:t>關於創制複決兩權，除前項第三、第四兩款規定外，俟全國有半數之縣市曾經行使創制複決兩項政權時，由國民大會制定辦法並行使之。</w:t>
      </w:r>
    </w:p>
    <w:p w14:paraId="69B3C541" w14:textId="77777777" w:rsidR="00953151" w:rsidRPr="001B1539" w:rsidRDefault="00B03E84" w:rsidP="00D87D91">
      <w:r w:rsidRPr="001B1539">
        <w:t>【內容解析】</w:t>
      </w:r>
    </w:p>
    <w:p w14:paraId="30A33D22" w14:textId="77777777" w:rsidR="00953151" w:rsidRPr="001B1539" w:rsidRDefault="007F7377" w:rsidP="00D87D91">
      <w:r w:rsidRPr="001B1539">
        <w:t xml:space="preserve">　　</w:t>
      </w:r>
      <w:r w:rsidR="00203F72" w:rsidRPr="001B1539">
        <w:t>為因應國家統一前之需要，本法條依憲法增修條</w:t>
      </w:r>
      <w:r w:rsidR="001B1539" w:rsidRPr="001B1539">
        <w:t>文</w:t>
      </w:r>
      <w:hyperlink r:id="rId447" w:anchor="b1" w:history="1">
        <w:r w:rsidR="001B1539" w:rsidRPr="001B1539">
          <w:rPr>
            <w:rStyle w:val="a5"/>
          </w:rPr>
          <w:t>第1條</w:t>
        </w:r>
      </w:hyperlink>
      <w:r w:rsidR="00203F72" w:rsidRPr="001B1539">
        <w:t>之規定停止適用。</w:t>
      </w:r>
    </w:p>
    <w:p w14:paraId="016D181F" w14:textId="77777777" w:rsidR="008F066C" w:rsidRDefault="008F066C" w:rsidP="00D87D91"/>
    <w:p w14:paraId="51431DC6" w14:textId="7423C656"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w:instrText>
      </w:r>
      <w:r w:rsidR="00076467">
        <w:rPr>
          <w:noProof/>
        </w:rPr>
        <w:instrText xml:space="preserve">EQ table \* ARABIC </w:instrText>
      </w:r>
      <w:r w:rsidR="00076467">
        <w:rPr>
          <w:noProof/>
        </w:rPr>
        <w:fldChar w:fldCharType="separate"/>
      </w:r>
      <w:r w:rsidR="00D935B9">
        <w:rPr>
          <w:noProof/>
        </w:rPr>
        <w:t>22</w:t>
      </w:r>
      <w:r w:rsidR="00076467">
        <w:rPr>
          <w:noProof/>
        </w:rPr>
        <w:fldChar w:fldCharType="end"/>
      </w:r>
      <w:r w:rsidR="00203F72" w:rsidRPr="001B1539">
        <w:rPr>
          <w:rFonts w:hint="eastAsia"/>
        </w:rPr>
        <w:t>一九四六年中華民國</w:t>
      </w:r>
      <w:r w:rsidR="00203F72" w:rsidRPr="001B1539">
        <w:t>制憲國民大會會期之延期經過</w:t>
      </w:r>
    </w:p>
    <w:tbl>
      <w:tblPr>
        <w:tblW w:w="7928"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480"/>
        <w:gridCol w:w="2560"/>
        <w:gridCol w:w="770"/>
        <w:gridCol w:w="3118"/>
      </w:tblGrid>
      <w:tr w:rsidR="00203F72" w:rsidRPr="00A53581" w14:paraId="48B73EB5" w14:textId="77777777" w:rsidTr="00314E1E">
        <w:trPr>
          <w:tblCellSpacing w:w="15" w:type="dxa"/>
        </w:trPr>
        <w:tc>
          <w:tcPr>
            <w:tcW w:w="7868" w:type="dxa"/>
            <w:gridSpan w:val="4"/>
            <w:tcBorders>
              <w:top w:val="single" w:sz="6" w:space="0" w:color="AAAAAA"/>
              <w:left w:val="single" w:sz="4" w:space="0" w:color="auto"/>
              <w:bottom w:val="single" w:sz="4" w:space="0" w:color="auto"/>
              <w:right w:val="single" w:sz="4" w:space="0" w:color="auto"/>
            </w:tcBorders>
            <w:shd w:val="clear" w:color="auto" w:fill="FAF0FA"/>
            <w:vAlign w:val="center"/>
            <w:hideMark/>
          </w:tcPr>
          <w:p w14:paraId="16DA1DD5" w14:textId="77777777" w:rsidR="00203F72" w:rsidRPr="00A53581" w:rsidRDefault="00203F72" w:rsidP="00D87D91">
            <w:pPr>
              <w:rPr>
                <w:rFonts w:cs="新細明體"/>
              </w:rPr>
            </w:pPr>
            <w:r w:rsidRPr="00A53581">
              <w:rPr>
                <w:rFonts w:hint="eastAsia"/>
              </w:rPr>
              <w:t>1946</w:t>
            </w:r>
            <w:r w:rsidRPr="00A53581">
              <w:rPr>
                <w:rFonts w:hint="eastAsia"/>
              </w:rPr>
              <w:t>年中華民國</w:t>
            </w:r>
            <w:r w:rsidRPr="00A53581">
              <w:t>制憲國民大會延期經過</w:t>
            </w:r>
          </w:p>
        </w:tc>
      </w:tr>
      <w:tr w:rsidR="00203F72" w:rsidRPr="00A53581" w14:paraId="23E06538" w14:textId="77777777"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8ED86C9" w14:textId="77777777" w:rsidR="00203F72" w:rsidRPr="00A53581" w:rsidRDefault="00203F72" w:rsidP="00D87D91">
            <w:pPr>
              <w:rPr>
                <w:rFonts w:cs="新細明體"/>
              </w:rPr>
            </w:pPr>
            <w:r w:rsidRPr="00A53581">
              <w:t>預定開會時間</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B58AF7B" w14:textId="77777777" w:rsidR="00203F72" w:rsidRPr="00A53581" w:rsidRDefault="00203F72" w:rsidP="00D87D91">
            <w:pPr>
              <w:rPr>
                <w:rFonts w:cs="新細明體"/>
              </w:rPr>
            </w:pPr>
            <w:r w:rsidRPr="00A53581">
              <w:t>制訂計劃者</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450A8B8" w14:textId="77777777" w:rsidR="00203F72" w:rsidRPr="00A53581" w:rsidRDefault="00203F72" w:rsidP="00D87D91">
            <w:pPr>
              <w:rPr>
                <w:rFonts w:cs="新細明體"/>
              </w:rPr>
            </w:pPr>
            <w:r w:rsidRPr="00A53581">
              <w:t>實況</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5658D0A" w14:textId="77777777" w:rsidR="00203F72" w:rsidRPr="00A53581" w:rsidRDefault="00203F72" w:rsidP="00D87D91">
            <w:pPr>
              <w:rPr>
                <w:rFonts w:cs="新細明體"/>
              </w:rPr>
            </w:pPr>
            <w:r w:rsidRPr="00A53581">
              <w:t>原因</w:t>
            </w:r>
          </w:p>
        </w:tc>
      </w:tr>
      <w:tr w:rsidR="00203F72" w:rsidRPr="00A53581" w14:paraId="6412F96C" w14:textId="77777777"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7297CBBD" w14:textId="77777777" w:rsidR="00203F72" w:rsidRPr="00A53581" w:rsidRDefault="00203F72" w:rsidP="00D87D91">
            <w:pPr>
              <w:rPr>
                <w:rFonts w:cs="新細明體"/>
              </w:rPr>
            </w:pPr>
            <w:r w:rsidRPr="00A53581">
              <w:t>1936.11.12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4700CEB" w14:textId="77777777" w:rsidR="00203F72" w:rsidRPr="00A53581" w:rsidRDefault="00203F72" w:rsidP="00D87D91">
            <w:pPr>
              <w:rPr>
                <w:rFonts w:cs="新細明體"/>
              </w:rPr>
            </w:pPr>
            <w:r w:rsidRPr="00A53581">
              <w:t>國民黨五大</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9AC6592" w14:textId="77777777"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5C14F7C" w14:textId="77777777" w:rsidR="00203F72" w:rsidRPr="00A53581" w:rsidRDefault="00203F72" w:rsidP="00D87D91">
            <w:pPr>
              <w:rPr>
                <w:rFonts w:cs="新細明體"/>
              </w:rPr>
            </w:pPr>
            <w:r w:rsidRPr="00A53581">
              <w:t>各省代表未能全部選出</w:t>
            </w:r>
          </w:p>
        </w:tc>
      </w:tr>
      <w:tr w:rsidR="00203F72" w:rsidRPr="00A53581" w14:paraId="0389E6AF" w14:textId="77777777"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6F798F9" w14:textId="77777777" w:rsidR="00203F72" w:rsidRPr="00A53581" w:rsidRDefault="00203F72" w:rsidP="00D87D91">
            <w:pPr>
              <w:rPr>
                <w:rFonts w:cs="新細明體"/>
              </w:rPr>
            </w:pPr>
            <w:r w:rsidRPr="00A53581">
              <w:t>1937.11.12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3B46226" w14:textId="77777777" w:rsidR="00203F72" w:rsidRPr="00A53581" w:rsidRDefault="00203F72" w:rsidP="00D87D91">
            <w:pPr>
              <w:rPr>
                <w:rFonts w:cs="新細明體"/>
              </w:rPr>
            </w:pPr>
            <w:r w:rsidRPr="00A53581">
              <w:t>國民黨五屆三中全會</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A260F8A" w14:textId="77777777"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12F02C5" w14:textId="77777777" w:rsidR="00203F72" w:rsidRPr="00A53581" w:rsidRDefault="00203F72" w:rsidP="00D87D91">
            <w:pPr>
              <w:rPr>
                <w:rFonts w:cs="新細明體"/>
              </w:rPr>
            </w:pPr>
            <w:r w:rsidRPr="00A53581">
              <w:t>抗戰爆發</w:t>
            </w:r>
          </w:p>
        </w:tc>
      </w:tr>
      <w:tr w:rsidR="00203F72" w:rsidRPr="00A53581" w14:paraId="39A51DB3" w14:textId="77777777"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C637402" w14:textId="77777777" w:rsidR="00203F72" w:rsidRPr="00A53581" w:rsidRDefault="00203F72" w:rsidP="00D87D91">
            <w:pPr>
              <w:rPr>
                <w:rFonts w:cs="新細明體"/>
              </w:rPr>
            </w:pPr>
            <w:r w:rsidRPr="00A53581">
              <w:t>1940.11.12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E664B0C" w14:textId="77777777" w:rsidR="00203F72" w:rsidRPr="00A53581" w:rsidRDefault="00203F72" w:rsidP="00D87D91">
            <w:pPr>
              <w:rPr>
                <w:rFonts w:cs="新細明體"/>
              </w:rPr>
            </w:pPr>
            <w:r w:rsidRPr="00A53581">
              <w:t>國民黨五屆六中全會</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559EF89" w14:textId="77777777"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647556D" w14:textId="77777777" w:rsidR="00203F72" w:rsidRPr="00A53581" w:rsidRDefault="00203F72" w:rsidP="00D87D91">
            <w:pPr>
              <w:rPr>
                <w:rFonts w:cs="新細明體"/>
              </w:rPr>
            </w:pPr>
            <w:r w:rsidRPr="00A53581">
              <w:t>因戰亂代表集會困難</w:t>
            </w:r>
          </w:p>
        </w:tc>
      </w:tr>
      <w:tr w:rsidR="00203F72" w:rsidRPr="00A53581" w14:paraId="1E12AF22" w14:textId="77777777"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E713379" w14:textId="77777777" w:rsidR="00203F72" w:rsidRPr="00A53581" w:rsidRDefault="00203F72" w:rsidP="00D87D91">
            <w:pPr>
              <w:rPr>
                <w:rFonts w:cs="新細明體"/>
              </w:rPr>
            </w:pPr>
            <w:r w:rsidRPr="00A53581">
              <w:t>1945.11.12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7D05B76" w14:textId="77777777" w:rsidR="00203F72" w:rsidRPr="00A53581" w:rsidRDefault="00203F72" w:rsidP="00D87D91">
            <w:pPr>
              <w:rPr>
                <w:rFonts w:cs="新細明體"/>
              </w:rPr>
            </w:pPr>
            <w:r w:rsidRPr="00A53581">
              <w:t>國民政府</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F5181AC" w14:textId="77777777"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4E8B272" w14:textId="77777777" w:rsidR="00203F72" w:rsidRPr="00A53581" w:rsidRDefault="00203F72" w:rsidP="00D87D91">
            <w:pPr>
              <w:rPr>
                <w:rFonts w:cs="新細明體"/>
              </w:rPr>
            </w:pPr>
            <w:r w:rsidRPr="00A53581">
              <w:t>中共要求先改組政府</w:t>
            </w:r>
          </w:p>
        </w:tc>
      </w:tr>
      <w:tr w:rsidR="00203F72" w:rsidRPr="00A53581" w14:paraId="2392BA3C" w14:textId="77777777"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DD57E99" w14:textId="77777777" w:rsidR="00203F72" w:rsidRPr="00A53581" w:rsidRDefault="00203F72" w:rsidP="00D87D91">
            <w:pPr>
              <w:rPr>
                <w:rFonts w:cs="新細明體"/>
              </w:rPr>
            </w:pPr>
            <w:r w:rsidRPr="00A53581">
              <w:t>1946.5.5</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126685DB" w14:textId="77777777" w:rsidR="00203F72" w:rsidRPr="00A53581" w:rsidRDefault="00203F72" w:rsidP="00D87D91">
            <w:pPr>
              <w:rPr>
                <w:rFonts w:cs="新細明體"/>
              </w:rPr>
            </w:pPr>
            <w:r w:rsidRPr="00A53581">
              <w:t>政協會議</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229E6F9" w14:textId="77777777"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C8E8BB7" w14:textId="77777777" w:rsidR="00203F72" w:rsidRPr="00A53581" w:rsidRDefault="00203F72" w:rsidP="00D87D91">
            <w:pPr>
              <w:rPr>
                <w:rFonts w:cs="新細明體"/>
              </w:rPr>
            </w:pPr>
            <w:r w:rsidRPr="00A53581">
              <w:t>中共拒絕提交名單</w:t>
            </w:r>
          </w:p>
        </w:tc>
      </w:tr>
      <w:tr w:rsidR="00203F72" w:rsidRPr="00A53581" w14:paraId="1CA4720D" w14:textId="77777777"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EFF569B" w14:textId="77777777" w:rsidR="00203F72" w:rsidRPr="00A53581" w:rsidRDefault="00203F72" w:rsidP="00D87D91">
            <w:pPr>
              <w:rPr>
                <w:rFonts w:cs="新細明體"/>
              </w:rPr>
            </w:pPr>
            <w:r w:rsidRPr="00A53581">
              <w:t>1946.11.12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4AA44BD" w14:textId="77777777" w:rsidR="00203F72" w:rsidRPr="00A53581" w:rsidRDefault="00203F72" w:rsidP="00D87D91">
            <w:pPr>
              <w:rPr>
                <w:rFonts w:cs="新細明體"/>
              </w:rPr>
            </w:pPr>
            <w:r w:rsidRPr="00A53581">
              <w:t>國民政府最高國防委員會</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31BC4A1" w14:textId="77777777"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B531048" w14:textId="77777777" w:rsidR="00203F72" w:rsidRPr="00A53581" w:rsidRDefault="00203F72" w:rsidP="00D87D91">
            <w:pPr>
              <w:rPr>
                <w:rFonts w:cs="新細明體"/>
              </w:rPr>
            </w:pPr>
            <w:r w:rsidRPr="00A53581">
              <w:t>等待中共，民盟提交名單</w:t>
            </w:r>
          </w:p>
        </w:tc>
      </w:tr>
      <w:tr w:rsidR="00203F72" w:rsidRPr="00A53581" w14:paraId="3228EA93" w14:textId="77777777"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BB829AC" w14:textId="77777777" w:rsidR="00203F72" w:rsidRPr="00A53581" w:rsidRDefault="00203F72" w:rsidP="00D87D91">
            <w:pPr>
              <w:rPr>
                <w:rFonts w:cs="新細明體"/>
              </w:rPr>
            </w:pPr>
            <w:r w:rsidRPr="00A53581">
              <w:t>1946.11.15</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13239A3B" w14:textId="77777777" w:rsidR="00203F72" w:rsidRPr="00A53581" w:rsidRDefault="00203F72" w:rsidP="00D87D91">
            <w:pPr>
              <w:rPr>
                <w:rFonts w:cs="新細明體"/>
              </w:rPr>
            </w:pPr>
            <w:r w:rsidRPr="00A53581">
              <w:t>國民政府</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7E08EE4" w14:textId="77777777" w:rsidR="00203F72" w:rsidRPr="00A53581" w:rsidRDefault="00203F72" w:rsidP="00D87D91">
            <w:pPr>
              <w:rPr>
                <w:rFonts w:cs="新細明體"/>
              </w:rPr>
            </w:pPr>
            <w:r w:rsidRPr="00A53581">
              <w:t>召開</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CD6A947" w14:textId="77777777" w:rsidR="00203F72" w:rsidRPr="00A53581" w:rsidRDefault="00203F72" w:rsidP="00D87D91">
            <w:pPr>
              <w:rPr>
                <w:rFonts w:cs="新細明體"/>
              </w:rPr>
            </w:pPr>
            <w:r w:rsidRPr="00A53581">
              <w:t>青年黨民社黨提交名單</w:t>
            </w:r>
          </w:p>
        </w:tc>
      </w:tr>
    </w:tbl>
    <w:p w14:paraId="66BBE4D0" w14:textId="77777777" w:rsidR="00953151" w:rsidRDefault="00B03E84" w:rsidP="00D87D91">
      <w:r>
        <w:rPr>
          <w:rStyle w:val="reference-text"/>
          <w:rFonts w:ascii="新細明體" w:hAnsi="新細明體" w:hint="eastAsia"/>
        </w:rPr>
        <w:t>【資料來源】</w:t>
      </w:r>
      <w:r w:rsidR="00203F72" w:rsidRPr="00A53581">
        <w:rPr>
          <w:rFonts w:hint="eastAsia"/>
        </w:rPr>
        <w:t>維基百科</w:t>
      </w:r>
      <w:r w:rsidR="00203F72" w:rsidRPr="00A53581">
        <w:rPr>
          <w:rFonts w:hint="eastAsia"/>
        </w:rPr>
        <w:t>(2015)</w:t>
      </w:r>
      <w:r w:rsidR="00203F72" w:rsidRPr="00A53581">
        <w:rPr>
          <w:rFonts w:hint="eastAsia"/>
        </w:rPr>
        <w:t>，制憲國民大會，上網瀏覽時日：</w:t>
      </w:r>
      <w:r w:rsidR="00203F72" w:rsidRPr="00A53581">
        <w:rPr>
          <w:rFonts w:hint="eastAsia"/>
        </w:rPr>
        <w:t>2015/08/02</w:t>
      </w:r>
      <w:r w:rsidR="00203F72" w:rsidRPr="00A53581">
        <w:rPr>
          <w:rFonts w:hint="eastAsia"/>
        </w:rPr>
        <w:t>，</w:t>
      </w:r>
      <w:hyperlink r:id="rId448" w:history="1">
        <w:r w:rsidR="00203F72" w:rsidRPr="00A53581">
          <w:rPr>
            <w:rStyle w:val="a5"/>
          </w:rPr>
          <w:t>https://zh.wikipedia.org/wiki/%E5%88%B6%E6%86%B2%E5%9C%8B%E6%B0%91%E5%A4%A7%E6%9C%83</w:t>
        </w:r>
      </w:hyperlink>
      <w:r w:rsidR="00545D58">
        <w:t>。</w:t>
      </w:r>
    </w:p>
    <w:p w14:paraId="5145F07B" w14:textId="77777777" w:rsidR="008F066C" w:rsidRDefault="008F066C" w:rsidP="00D87D91"/>
    <w:p w14:paraId="03276E43" w14:textId="67B49F4C" w:rsidR="00203F72" w:rsidRPr="00314E1E" w:rsidRDefault="00B03E84" w:rsidP="00314E1E">
      <w:r w:rsidRPr="00314E1E">
        <w:t>【</w:t>
      </w:r>
      <w:r w:rsidRPr="00314E1E">
        <w:t>table</w:t>
      </w:r>
      <w:r w:rsidR="005E23E3" w:rsidRPr="00314E1E">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23</w:t>
      </w:r>
      <w:r w:rsidR="00076467">
        <w:rPr>
          <w:noProof/>
        </w:rPr>
        <w:fldChar w:fldCharType="end"/>
      </w:r>
      <w:r w:rsidR="00203F72" w:rsidRPr="00314E1E">
        <w:rPr>
          <w:rFonts w:hint="eastAsia"/>
        </w:rPr>
        <w:t>民國</w:t>
      </w:r>
      <w:r w:rsidR="00203F72" w:rsidRPr="00314E1E">
        <w:rPr>
          <w:rFonts w:hint="eastAsia"/>
        </w:rPr>
        <w:t>35</w:t>
      </w:r>
      <w:r w:rsidR="00203F72" w:rsidRPr="00314E1E">
        <w:rPr>
          <w:rFonts w:hint="eastAsia"/>
        </w:rPr>
        <w:t>年（</w:t>
      </w:r>
      <w:r w:rsidR="00203F72" w:rsidRPr="00314E1E">
        <w:rPr>
          <w:rFonts w:hint="eastAsia"/>
        </w:rPr>
        <w:t>1946</w:t>
      </w:r>
      <w:r w:rsidR="00203F72" w:rsidRPr="00314E1E">
        <w:rPr>
          <w:rFonts w:hint="eastAsia"/>
        </w:rPr>
        <w:t>年）政協會議決議涉及制憲國民大會之內容</w:t>
      </w:r>
    </w:p>
    <w:p w14:paraId="1ABDB012" w14:textId="77777777" w:rsidR="00203F72" w:rsidRPr="00314E1E" w:rsidRDefault="00203F72" w:rsidP="00314E1E">
      <w:r w:rsidRPr="00314E1E">
        <w:rPr>
          <w:rFonts w:hint="eastAsia"/>
        </w:rPr>
        <w:t>政協會議決議涉及制憲國民大會之內容</w:t>
      </w:r>
    </w:p>
    <w:p w14:paraId="7A187110" w14:textId="77777777" w:rsidR="00203F72" w:rsidRPr="00314E1E" w:rsidRDefault="001B1539" w:rsidP="00314E1E">
      <w:r w:rsidRPr="00314E1E">
        <w:rPr>
          <w:rFonts w:hint="eastAsia"/>
        </w:rPr>
        <w:t xml:space="preserve">　　</w:t>
      </w:r>
      <w:r w:rsidR="00203F72" w:rsidRPr="00314E1E">
        <w:rPr>
          <w:rFonts w:hint="eastAsia"/>
        </w:rPr>
        <w:t>一、民國三十五年五月五日召開國民大會。</w:t>
      </w:r>
    </w:p>
    <w:p w14:paraId="16B67172" w14:textId="77777777" w:rsidR="00203F72" w:rsidRPr="00314E1E" w:rsidRDefault="001B1539" w:rsidP="00314E1E">
      <w:r w:rsidRPr="00314E1E">
        <w:rPr>
          <w:rFonts w:hint="eastAsia"/>
        </w:rPr>
        <w:t xml:space="preserve">　　</w:t>
      </w:r>
      <w:r w:rsidR="00203F72" w:rsidRPr="00314E1E">
        <w:rPr>
          <w:rFonts w:hint="eastAsia"/>
        </w:rPr>
        <w:t>二、第一屆國民大會之職權為制定憲法。</w:t>
      </w:r>
    </w:p>
    <w:p w14:paraId="702AD4FD" w14:textId="77777777" w:rsidR="00203F72" w:rsidRPr="00314E1E" w:rsidRDefault="001B1539" w:rsidP="00314E1E">
      <w:r w:rsidRPr="00314E1E">
        <w:rPr>
          <w:rFonts w:hint="eastAsia"/>
        </w:rPr>
        <w:t xml:space="preserve">　　</w:t>
      </w:r>
      <w:r w:rsidR="00203F72" w:rsidRPr="00314E1E">
        <w:rPr>
          <w:rFonts w:hint="eastAsia"/>
        </w:rPr>
        <w:t>三、憲法之通過須經出席代表四分之三之同意為之。</w:t>
      </w:r>
    </w:p>
    <w:p w14:paraId="3639DF0E" w14:textId="77777777" w:rsidR="00203F72" w:rsidRPr="00314E1E" w:rsidRDefault="001B1539" w:rsidP="00314E1E">
      <w:r w:rsidRPr="00314E1E">
        <w:rPr>
          <w:rFonts w:hint="eastAsia"/>
        </w:rPr>
        <w:t xml:space="preserve">　　</w:t>
      </w:r>
      <w:r w:rsidR="00203F72" w:rsidRPr="00314E1E">
        <w:rPr>
          <w:rFonts w:hint="eastAsia"/>
        </w:rPr>
        <w:t>四、依選舉法規定之區域及職業代表壹千二百名照舊。</w:t>
      </w:r>
    </w:p>
    <w:p w14:paraId="652EDA59" w14:textId="77777777" w:rsidR="00203F72" w:rsidRPr="00314E1E" w:rsidRDefault="001B1539" w:rsidP="00314E1E">
      <w:r w:rsidRPr="00314E1E">
        <w:rPr>
          <w:rFonts w:hint="eastAsia"/>
        </w:rPr>
        <w:t xml:space="preserve">　　</w:t>
      </w:r>
      <w:r w:rsidR="00203F72" w:rsidRPr="00314E1E">
        <w:rPr>
          <w:rFonts w:hint="eastAsia"/>
        </w:rPr>
        <w:t>五、台灣，東北等新增各該區域及其職業代表共一百五十名。</w:t>
      </w:r>
    </w:p>
    <w:p w14:paraId="517B865C" w14:textId="77777777" w:rsidR="00203F72" w:rsidRPr="00314E1E" w:rsidRDefault="001B1539" w:rsidP="00314E1E">
      <w:r w:rsidRPr="00314E1E">
        <w:rPr>
          <w:rFonts w:hint="eastAsia"/>
        </w:rPr>
        <w:t xml:space="preserve">　　</w:t>
      </w:r>
      <w:r w:rsidR="00203F72" w:rsidRPr="00314E1E">
        <w:rPr>
          <w:rFonts w:hint="eastAsia"/>
        </w:rPr>
        <w:t>六、增加黨派及社會賢達代表七百名，其分配另定之。</w:t>
      </w:r>
    </w:p>
    <w:p w14:paraId="0ADE6532" w14:textId="77777777" w:rsidR="00203F72" w:rsidRPr="00314E1E" w:rsidRDefault="001B1539" w:rsidP="00314E1E">
      <w:r w:rsidRPr="00314E1E">
        <w:rPr>
          <w:rFonts w:hint="eastAsia"/>
        </w:rPr>
        <w:t xml:space="preserve">　　</w:t>
      </w:r>
      <w:r w:rsidR="00203F72" w:rsidRPr="00314E1E">
        <w:rPr>
          <w:rFonts w:hint="eastAsia"/>
        </w:rPr>
        <w:t>七、總計國民大會代表為兩千零五十名。</w:t>
      </w:r>
    </w:p>
    <w:p w14:paraId="10DCE69D" w14:textId="77777777" w:rsidR="00953151" w:rsidRPr="00314E1E" w:rsidRDefault="001B1539" w:rsidP="00314E1E">
      <w:r w:rsidRPr="00314E1E">
        <w:rPr>
          <w:rFonts w:hint="eastAsia"/>
        </w:rPr>
        <w:t xml:space="preserve">　　</w:t>
      </w:r>
      <w:r w:rsidR="00203F72" w:rsidRPr="00314E1E">
        <w:rPr>
          <w:rFonts w:hint="eastAsia"/>
        </w:rPr>
        <w:t>八、依據憲法規定之行憲機關，於憲法頒布六個月內，依憲法之規定選舉召集之。</w:t>
      </w:r>
    </w:p>
    <w:p w14:paraId="0587D866" w14:textId="77777777" w:rsidR="00203F72" w:rsidRPr="00314E1E" w:rsidRDefault="001B1539" w:rsidP="00314E1E">
      <w:r w:rsidRPr="00314E1E">
        <w:rPr>
          <w:rFonts w:hint="eastAsia"/>
        </w:rPr>
        <w:t>【</w:t>
      </w:r>
      <w:r w:rsidR="00203F72" w:rsidRPr="00314E1E">
        <w:rPr>
          <w:rFonts w:hint="eastAsia"/>
        </w:rPr>
        <w:t>附</w:t>
      </w:r>
      <w:r w:rsidR="00353CFF" w:rsidRPr="00314E1E">
        <w:rPr>
          <w:rFonts w:hint="eastAsia"/>
        </w:rPr>
        <w:t>註】</w:t>
      </w:r>
    </w:p>
    <w:p w14:paraId="47857FD8" w14:textId="77777777" w:rsidR="00203F72" w:rsidRPr="00314E1E" w:rsidRDefault="001B1539" w:rsidP="00314E1E">
      <w:r w:rsidRPr="00314E1E">
        <w:rPr>
          <w:rFonts w:hint="eastAsia"/>
        </w:rPr>
        <w:t xml:space="preserve">　　</w:t>
      </w:r>
      <w:r w:rsidR="00203F72" w:rsidRPr="00314E1E">
        <w:rPr>
          <w:rFonts w:hint="eastAsia"/>
        </w:rPr>
        <w:t>1</w:t>
      </w:r>
      <w:r w:rsidR="00203F72" w:rsidRPr="00314E1E">
        <w:rPr>
          <w:rFonts w:hint="eastAsia"/>
        </w:rPr>
        <w:t>，各黨派負責使其出席國民大會之黨員，在國民大會中，維持政治協商會議所修正之憲法草案。</w:t>
      </w:r>
    </w:p>
    <w:p w14:paraId="6786638C" w14:textId="77777777" w:rsidR="00203F72" w:rsidRPr="00314E1E" w:rsidRDefault="001B1539" w:rsidP="00314E1E">
      <w:r w:rsidRPr="00314E1E">
        <w:rPr>
          <w:rFonts w:hint="eastAsia"/>
        </w:rPr>
        <w:t xml:space="preserve">　　</w:t>
      </w:r>
      <w:r w:rsidR="00203F72" w:rsidRPr="00314E1E">
        <w:rPr>
          <w:rFonts w:hint="eastAsia"/>
        </w:rPr>
        <w:t>2</w:t>
      </w:r>
      <w:r w:rsidR="00203F72" w:rsidRPr="00314E1E">
        <w:rPr>
          <w:rFonts w:hint="eastAsia"/>
        </w:rPr>
        <w:t>，如有其它較好之憲草意見，由黨派臨時協商定之。</w:t>
      </w:r>
    </w:p>
    <w:p w14:paraId="29A5E926" w14:textId="77777777" w:rsidR="00203F72" w:rsidRPr="00314E1E" w:rsidRDefault="001B1539" w:rsidP="00314E1E">
      <w:r w:rsidRPr="00314E1E">
        <w:rPr>
          <w:rFonts w:hint="eastAsia"/>
        </w:rPr>
        <w:t xml:space="preserve">　　</w:t>
      </w:r>
      <w:r w:rsidR="00203F72" w:rsidRPr="00314E1E">
        <w:rPr>
          <w:rFonts w:hint="eastAsia"/>
        </w:rPr>
        <w:t>3</w:t>
      </w:r>
      <w:r w:rsidR="00203F72" w:rsidRPr="00314E1E">
        <w:rPr>
          <w:rFonts w:hint="eastAsia"/>
        </w:rPr>
        <w:t>，增加黨派及社會賢達代表七百名，其分配如次</w:t>
      </w:r>
    </w:p>
    <w:p w14:paraId="5CEE10DF" w14:textId="77777777" w:rsidR="00203F72" w:rsidRPr="00314E1E" w:rsidRDefault="001B1539" w:rsidP="00314E1E">
      <w:r w:rsidRPr="00314E1E">
        <w:rPr>
          <w:rFonts w:hint="eastAsia"/>
        </w:rPr>
        <w:t xml:space="preserve">　　</w:t>
      </w:r>
      <w:r w:rsidR="00203F72" w:rsidRPr="00314E1E">
        <w:rPr>
          <w:rFonts w:hint="eastAsia"/>
        </w:rPr>
        <w:t>國民黨</w:t>
      </w:r>
      <w:r w:rsidR="00203F72" w:rsidRPr="00314E1E">
        <w:rPr>
          <w:rFonts w:hint="eastAsia"/>
        </w:rPr>
        <w:t xml:space="preserve"> </w:t>
      </w:r>
      <w:r w:rsidR="00203F72" w:rsidRPr="00314E1E">
        <w:rPr>
          <w:rFonts w:hint="eastAsia"/>
        </w:rPr>
        <w:t>二百三十名</w:t>
      </w:r>
    </w:p>
    <w:p w14:paraId="340A3273" w14:textId="77777777" w:rsidR="00203F72" w:rsidRPr="00314E1E" w:rsidRDefault="001B1539" w:rsidP="00314E1E">
      <w:r w:rsidRPr="00314E1E">
        <w:rPr>
          <w:rFonts w:hint="eastAsia"/>
        </w:rPr>
        <w:t xml:space="preserve">　　</w:t>
      </w:r>
      <w:r w:rsidR="00203F72" w:rsidRPr="00314E1E">
        <w:rPr>
          <w:rFonts w:hint="eastAsia"/>
        </w:rPr>
        <w:t>共產黨</w:t>
      </w:r>
      <w:r w:rsidR="00203F72" w:rsidRPr="00314E1E">
        <w:rPr>
          <w:rFonts w:hint="eastAsia"/>
        </w:rPr>
        <w:t xml:space="preserve"> </w:t>
      </w:r>
      <w:r w:rsidR="00203F72" w:rsidRPr="00314E1E">
        <w:rPr>
          <w:rFonts w:hint="eastAsia"/>
        </w:rPr>
        <w:t>二百名</w:t>
      </w:r>
    </w:p>
    <w:p w14:paraId="063E2DCA" w14:textId="77777777" w:rsidR="00203F72" w:rsidRPr="00314E1E" w:rsidRDefault="001B1539" w:rsidP="00314E1E">
      <w:r w:rsidRPr="00314E1E">
        <w:rPr>
          <w:rFonts w:hint="eastAsia"/>
        </w:rPr>
        <w:t xml:space="preserve">　　</w:t>
      </w:r>
      <w:r w:rsidR="00203F72" w:rsidRPr="00314E1E">
        <w:rPr>
          <w:rFonts w:hint="eastAsia"/>
        </w:rPr>
        <w:t>青年黨</w:t>
      </w:r>
      <w:r w:rsidR="00203F72" w:rsidRPr="00314E1E">
        <w:rPr>
          <w:rFonts w:hint="eastAsia"/>
        </w:rPr>
        <w:t xml:space="preserve"> </w:t>
      </w:r>
      <w:r w:rsidR="00203F72" w:rsidRPr="00314E1E">
        <w:rPr>
          <w:rFonts w:hint="eastAsia"/>
        </w:rPr>
        <w:t>一百名</w:t>
      </w:r>
    </w:p>
    <w:p w14:paraId="1A6F40DA" w14:textId="77777777" w:rsidR="00203F72" w:rsidRPr="00314E1E" w:rsidRDefault="001B1539" w:rsidP="00314E1E">
      <w:r w:rsidRPr="00314E1E">
        <w:rPr>
          <w:rFonts w:hint="eastAsia"/>
        </w:rPr>
        <w:t xml:space="preserve">　　</w:t>
      </w:r>
      <w:r w:rsidR="00203F72" w:rsidRPr="00314E1E">
        <w:rPr>
          <w:rFonts w:hint="eastAsia"/>
        </w:rPr>
        <w:t>民主同盟</w:t>
      </w:r>
      <w:r w:rsidR="00203F72" w:rsidRPr="00314E1E">
        <w:rPr>
          <w:rFonts w:hint="eastAsia"/>
        </w:rPr>
        <w:t xml:space="preserve"> </w:t>
      </w:r>
      <w:r w:rsidR="00203F72" w:rsidRPr="00314E1E">
        <w:rPr>
          <w:rFonts w:hint="eastAsia"/>
        </w:rPr>
        <w:t>一百名</w:t>
      </w:r>
    </w:p>
    <w:p w14:paraId="3917B3F4" w14:textId="77777777" w:rsidR="00203F72" w:rsidRPr="00314E1E" w:rsidRDefault="001B1539" w:rsidP="00314E1E">
      <w:r w:rsidRPr="00314E1E">
        <w:rPr>
          <w:rFonts w:hint="eastAsia"/>
        </w:rPr>
        <w:t xml:space="preserve">　　</w:t>
      </w:r>
      <w:r w:rsidR="00203F72" w:rsidRPr="00314E1E">
        <w:rPr>
          <w:rFonts w:hint="eastAsia"/>
        </w:rPr>
        <w:t>社會賢達</w:t>
      </w:r>
      <w:r w:rsidR="00203F72" w:rsidRPr="00314E1E">
        <w:rPr>
          <w:rFonts w:hint="eastAsia"/>
        </w:rPr>
        <w:t xml:space="preserve"> </w:t>
      </w:r>
      <w:r w:rsidR="00203F72" w:rsidRPr="00314E1E">
        <w:rPr>
          <w:rFonts w:hint="eastAsia"/>
        </w:rPr>
        <w:t>一百名</w:t>
      </w:r>
    </w:p>
    <w:p w14:paraId="5D5F596D" w14:textId="77777777" w:rsidR="00203F72" w:rsidRPr="00314E1E" w:rsidRDefault="001B1539" w:rsidP="00314E1E">
      <w:r w:rsidRPr="00314E1E">
        <w:rPr>
          <w:rFonts w:hint="eastAsia"/>
        </w:rPr>
        <w:t xml:space="preserve">　　</w:t>
      </w:r>
      <w:r w:rsidR="00203F72" w:rsidRPr="00314E1E">
        <w:rPr>
          <w:rFonts w:hint="eastAsia"/>
        </w:rPr>
        <w:t>4</w:t>
      </w:r>
      <w:r w:rsidR="00203F72" w:rsidRPr="00314E1E">
        <w:rPr>
          <w:rFonts w:hint="eastAsia"/>
        </w:rPr>
        <w:t>，國民黨與共產黨於上項該兩黨名額中</w:t>
      </w:r>
      <w:r w:rsidR="00203F72" w:rsidRPr="00314E1E">
        <w:rPr>
          <w:rFonts w:hint="eastAsia"/>
        </w:rPr>
        <w:t>,</w:t>
      </w:r>
      <w:r w:rsidR="00203F72" w:rsidRPr="00314E1E">
        <w:rPr>
          <w:rFonts w:hint="eastAsia"/>
        </w:rPr>
        <w:t>各讓出十名與民主同盟。</w:t>
      </w:r>
    </w:p>
    <w:p w14:paraId="2DF696DF" w14:textId="77777777" w:rsidR="00203F72" w:rsidRPr="00314E1E" w:rsidRDefault="001B1539" w:rsidP="00314E1E">
      <w:r w:rsidRPr="00314E1E">
        <w:rPr>
          <w:rFonts w:hint="eastAsia"/>
        </w:rPr>
        <w:t xml:space="preserve">　　</w:t>
      </w:r>
      <w:r w:rsidR="00203F72" w:rsidRPr="00314E1E">
        <w:rPr>
          <w:rFonts w:hint="eastAsia"/>
        </w:rPr>
        <w:t>（按：附註</w:t>
      </w:r>
      <w:r w:rsidR="00203F72" w:rsidRPr="00314E1E">
        <w:rPr>
          <w:rFonts w:hint="eastAsia"/>
        </w:rPr>
        <w:t>4</w:t>
      </w:r>
      <w:r w:rsidR="00203F72" w:rsidRPr="00314E1E">
        <w:rPr>
          <w:rFonts w:hint="eastAsia"/>
        </w:rPr>
        <w:t>為不報告大會且不發表之商定事項）</w:t>
      </w:r>
    </w:p>
    <w:p w14:paraId="6806AE8B" w14:textId="77777777" w:rsidR="00953151" w:rsidRDefault="00B03E84" w:rsidP="00D87D91">
      <w:r w:rsidRPr="001B1539">
        <w:rPr>
          <w:rFonts w:hint="eastAsia"/>
        </w:rPr>
        <w:t>【資料來源】</w:t>
      </w:r>
      <w:r w:rsidR="00203F72" w:rsidRPr="001B1539">
        <w:rPr>
          <w:rFonts w:hint="eastAsia"/>
        </w:rPr>
        <w:t>維基百科</w:t>
      </w:r>
      <w:r w:rsidR="00203F72" w:rsidRPr="001B1539">
        <w:rPr>
          <w:rFonts w:hint="eastAsia"/>
        </w:rPr>
        <w:t>(2015)</w:t>
      </w:r>
      <w:r w:rsidR="00203F72" w:rsidRPr="001B1539">
        <w:rPr>
          <w:rFonts w:hint="eastAsia"/>
        </w:rPr>
        <w:t>，制憲國民大會，上網瀏覽時日：</w:t>
      </w:r>
      <w:r w:rsidR="00203F72" w:rsidRPr="001B1539">
        <w:rPr>
          <w:rFonts w:hint="eastAsia"/>
        </w:rPr>
        <w:t>2015/08/02</w:t>
      </w:r>
      <w:r w:rsidR="00203F72" w:rsidRPr="001B1539">
        <w:rPr>
          <w:rFonts w:hint="eastAsia"/>
        </w:rPr>
        <w:t>，</w:t>
      </w:r>
      <w:hyperlink r:id="rId449" w:history="1">
        <w:r w:rsidR="00203F72" w:rsidRPr="001B1539">
          <w:rPr>
            <w:rStyle w:val="a5"/>
          </w:rPr>
          <w:t>https://zh.wikipedia.org/wiki/%E5%88%B6%E6%86%B2%E5%9C%8B%E6%B0%91%E5%A4%A7%E6%9C%83</w:t>
        </w:r>
      </w:hyperlink>
      <w:r w:rsidR="00545D58" w:rsidRPr="001B1539">
        <w:t>。</w:t>
      </w:r>
    </w:p>
    <w:p w14:paraId="6362F9EA" w14:textId="77777777" w:rsidR="008F066C" w:rsidRPr="001B1539" w:rsidRDefault="008F066C" w:rsidP="00D87D91"/>
    <w:p w14:paraId="671A63AB" w14:textId="682CFB49"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24</w:t>
      </w:r>
      <w:r w:rsidR="00076467">
        <w:rPr>
          <w:noProof/>
        </w:rPr>
        <w:fldChar w:fldCharType="end"/>
      </w:r>
      <w:r w:rsidR="00203F72" w:rsidRPr="001B1539">
        <w:rPr>
          <w:rFonts w:hint="eastAsia"/>
        </w:rPr>
        <w:t>國民大會前六次修憲之結果和重要內容一覽表</w:t>
      </w:r>
    </w:p>
    <w:tbl>
      <w:tblPr>
        <w:tblW w:w="473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106"/>
        <w:gridCol w:w="1725"/>
        <w:gridCol w:w="3656"/>
      </w:tblGrid>
      <w:tr w:rsidR="00203F72" w:rsidRPr="00A53581" w14:paraId="5A0A40FF" w14:textId="77777777" w:rsidTr="00E07281">
        <w:trPr>
          <w:tblHeader/>
        </w:trPr>
        <w:tc>
          <w:tcPr>
            <w:tcW w:w="969" w:type="pct"/>
            <w:tcBorders>
              <w:top w:val="single" w:sz="4" w:space="0" w:color="auto"/>
              <w:left w:val="single" w:sz="4" w:space="0" w:color="auto"/>
              <w:bottom w:val="single" w:sz="4" w:space="0" w:color="auto"/>
              <w:right w:val="single" w:sz="4" w:space="0" w:color="auto"/>
            </w:tcBorders>
            <w:shd w:val="clear" w:color="auto" w:fill="FAF0FA"/>
            <w:hideMark/>
          </w:tcPr>
          <w:p w14:paraId="7A6E72E8" w14:textId="77777777" w:rsidR="00203F72" w:rsidRPr="00A53581" w:rsidRDefault="00203F72" w:rsidP="00D87D91">
            <w:r w:rsidRPr="00A53581">
              <w:rPr>
                <w:rFonts w:hint="eastAsia"/>
              </w:rPr>
              <w:t>修憲次序</w:t>
            </w:r>
          </w:p>
        </w:tc>
        <w:tc>
          <w:tcPr>
            <w:tcW w:w="687" w:type="pct"/>
            <w:tcBorders>
              <w:top w:val="single" w:sz="4" w:space="0" w:color="auto"/>
              <w:left w:val="single" w:sz="4" w:space="0" w:color="auto"/>
              <w:bottom w:val="single" w:sz="4" w:space="0" w:color="auto"/>
              <w:right w:val="single" w:sz="4" w:space="0" w:color="auto"/>
            </w:tcBorders>
            <w:shd w:val="clear" w:color="auto" w:fill="FAF0FA"/>
            <w:hideMark/>
          </w:tcPr>
          <w:p w14:paraId="7A3B1BAC" w14:textId="77777777" w:rsidR="00203F72" w:rsidRPr="00A53581" w:rsidRDefault="00203F72" w:rsidP="00D87D91">
            <w:r w:rsidRPr="00A53581">
              <w:rPr>
                <w:rFonts w:hint="eastAsia"/>
              </w:rPr>
              <w:t>修憲年代</w:t>
            </w:r>
          </w:p>
        </w:tc>
        <w:tc>
          <w:tcPr>
            <w:tcW w:w="1072" w:type="pct"/>
            <w:tcBorders>
              <w:top w:val="single" w:sz="4" w:space="0" w:color="auto"/>
              <w:left w:val="single" w:sz="4" w:space="0" w:color="auto"/>
              <w:bottom w:val="single" w:sz="4" w:space="0" w:color="auto"/>
              <w:right w:val="single" w:sz="4" w:space="0" w:color="auto"/>
            </w:tcBorders>
            <w:shd w:val="clear" w:color="auto" w:fill="FAF0FA"/>
            <w:hideMark/>
          </w:tcPr>
          <w:p w14:paraId="48A19D2E" w14:textId="77777777" w:rsidR="00203F72" w:rsidRPr="00A53581" w:rsidRDefault="00203F72" w:rsidP="00D87D91">
            <w:r w:rsidRPr="00A53581">
              <w:rPr>
                <w:rFonts w:hint="eastAsia"/>
              </w:rPr>
              <w:t>修憲通過條文</w:t>
            </w:r>
          </w:p>
        </w:tc>
        <w:tc>
          <w:tcPr>
            <w:tcW w:w="2272" w:type="pct"/>
            <w:tcBorders>
              <w:top w:val="single" w:sz="4" w:space="0" w:color="auto"/>
              <w:left w:val="single" w:sz="4" w:space="0" w:color="auto"/>
              <w:bottom w:val="single" w:sz="4" w:space="0" w:color="auto"/>
              <w:right w:val="single" w:sz="4" w:space="0" w:color="auto"/>
            </w:tcBorders>
            <w:shd w:val="clear" w:color="auto" w:fill="FAF0FA"/>
            <w:hideMark/>
          </w:tcPr>
          <w:p w14:paraId="7B17C5C0" w14:textId="77777777" w:rsidR="00203F72" w:rsidRPr="00A53581" w:rsidRDefault="00203F72" w:rsidP="00D87D91">
            <w:r w:rsidRPr="00A53581">
              <w:rPr>
                <w:rFonts w:hint="eastAsia"/>
              </w:rPr>
              <w:t>修憲重要內容</w:t>
            </w:r>
          </w:p>
        </w:tc>
      </w:tr>
      <w:tr w:rsidR="00203F72" w:rsidRPr="00A53581" w14:paraId="08DA1123" w14:textId="77777777" w:rsidTr="00203F72">
        <w:trPr>
          <w:trHeight w:val="946"/>
        </w:trPr>
        <w:tc>
          <w:tcPr>
            <w:tcW w:w="969" w:type="pct"/>
            <w:tcBorders>
              <w:top w:val="single" w:sz="4" w:space="0" w:color="auto"/>
              <w:left w:val="single" w:sz="4" w:space="0" w:color="auto"/>
              <w:bottom w:val="single" w:sz="4" w:space="0" w:color="auto"/>
              <w:right w:val="single" w:sz="4" w:space="0" w:color="auto"/>
            </w:tcBorders>
            <w:shd w:val="clear" w:color="auto" w:fill="auto"/>
            <w:hideMark/>
          </w:tcPr>
          <w:p w14:paraId="566C665B" w14:textId="77777777" w:rsidR="00203F72" w:rsidRPr="00A53581" w:rsidRDefault="00203F72" w:rsidP="00D87D91">
            <w:r w:rsidRPr="00A53581">
              <w:rPr>
                <w:rFonts w:hint="eastAsia"/>
              </w:rPr>
              <w:t>第一次修憲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14:paraId="179F843B" w14:textId="77777777" w:rsidR="00203F72" w:rsidRPr="00A53581" w:rsidRDefault="00203F72" w:rsidP="00D87D91">
            <w:r w:rsidRPr="00A53581">
              <w:t>1991</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14:paraId="5DA096BC" w14:textId="77777777" w:rsidR="00203F72" w:rsidRPr="00A53581" w:rsidRDefault="00203F72" w:rsidP="00D87D91">
            <w:r w:rsidRPr="00A53581">
              <w:rPr>
                <w:rFonts w:hint="eastAsia"/>
              </w:rPr>
              <w:t>第一屆國大通過憲法增修條文十條；並廢止動員戡亂臨時條款。</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14:paraId="74C39930" w14:textId="77777777" w:rsidR="00203F72" w:rsidRPr="00A53581" w:rsidRDefault="008F066C" w:rsidP="00D87D91">
            <w:r>
              <w:t xml:space="preserve">　　</w:t>
            </w:r>
            <w:r w:rsidR="00203F72" w:rsidRPr="00A53581">
              <w:t>1.</w:t>
            </w:r>
            <w:r w:rsidR="00203F72" w:rsidRPr="00A53581">
              <w:rPr>
                <w:rFonts w:hint="eastAsia"/>
              </w:rPr>
              <w:t>萬年國會結束；第一屆資深民意代表全部退職完畢。</w:t>
            </w:r>
          </w:p>
          <w:p w14:paraId="0ED8C00D" w14:textId="77777777" w:rsidR="00203F72" w:rsidRPr="00A53581" w:rsidRDefault="008F066C" w:rsidP="00D87D91">
            <w:r>
              <w:t xml:space="preserve">　　</w:t>
            </w:r>
            <w:r w:rsidR="00203F72" w:rsidRPr="00A53581">
              <w:t>2.</w:t>
            </w:r>
            <w:r w:rsidR="00203F72" w:rsidRPr="00A53581">
              <w:rPr>
                <w:rFonts w:hint="eastAsia"/>
              </w:rPr>
              <w:t>賦予中央民代未來民選之法源。</w:t>
            </w:r>
          </w:p>
          <w:p w14:paraId="2C4C5EB5" w14:textId="77777777" w:rsidR="00203F72" w:rsidRPr="00A53581" w:rsidRDefault="008F066C" w:rsidP="00D87D91">
            <w:r>
              <w:t xml:space="preserve">　　</w:t>
            </w:r>
            <w:r w:rsidR="00203F72" w:rsidRPr="00A53581">
              <w:t>3.</w:t>
            </w:r>
            <w:r w:rsidR="00203F72" w:rsidRPr="00A53581">
              <w:rPr>
                <w:rFonts w:hint="eastAsia"/>
              </w:rPr>
              <w:t>總統決定國家安全大政方針。</w:t>
            </w:r>
          </w:p>
        </w:tc>
      </w:tr>
      <w:tr w:rsidR="00203F72" w:rsidRPr="00A53581" w14:paraId="70C34EB7" w14:textId="77777777"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14:paraId="30D014DA" w14:textId="77777777" w:rsidR="00203F72" w:rsidRPr="00A53581" w:rsidRDefault="00203F72" w:rsidP="00D87D91">
            <w:r w:rsidRPr="00A53581">
              <w:rPr>
                <w:rFonts w:hint="eastAsia"/>
              </w:rPr>
              <w:t>第二次修憲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14:paraId="39BCBE52" w14:textId="77777777" w:rsidR="00203F72" w:rsidRPr="00A53581" w:rsidRDefault="00203F72" w:rsidP="00D87D91">
            <w:r w:rsidRPr="00A53581">
              <w:t>1992</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14:paraId="18DE2270" w14:textId="77777777" w:rsidR="00203F72" w:rsidRPr="00A53581" w:rsidRDefault="00203F72" w:rsidP="00D87D91">
            <w:r w:rsidRPr="00A53581">
              <w:rPr>
                <w:rFonts w:hint="eastAsia"/>
              </w:rPr>
              <w:t>第二屆國大通過憲法增修條</w:t>
            </w:r>
            <w:hyperlink r:id="rId450" w:anchor="b11" w:history="1">
              <w:r w:rsidRPr="008F066C">
                <w:rPr>
                  <w:rStyle w:val="a5"/>
                  <w:rFonts w:eastAsia="新細明體" w:hint="eastAsia"/>
                </w:rPr>
                <w:t>文</w:t>
              </w:r>
              <w:r w:rsidRPr="008F066C">
                <w:rPr>
                  <w:rStyle w:val="a5"/>
                  <w:rFonts w:eastAsia="新細明體"/>
                </w:rPr>
                <w:t>11</w:t>
              </w:r>
              <w:r w:rsidRPr="008F066C">
                <w:rPr>
                  <w:rStyle w:val="a5"/>
                  <w:rFonts w:eastAsia="新細明體" w:hint="eastAsia"/>
                </w:rPr>
                <w:t>條</w:t>
              </w:r>
            </w:hyperlink>
            <w:r w:rsidRPr="00A53581">
              <w:rPr>
                <w:rFonts w:hint="eastAsia"/>
              </w:rPr>
              <w:t>至第</w:t>
            </w:r>
            <w:r w:rsidRPr="00A53581">
              <w:t>18</w:t>
            </w:r>
            <w:r w:rsidRPr="00A53581">
              <w:rPr>
                <w:rFonts w:hint="eastAsia"/>
              </w:rPr>
              <w:t>條。</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14:paraId="1CDBE394" w14:textId="77777777" w:rsidR="00203F72" w:rsidRPr="00A53581" w:rsidRDefault="008F066C" w:rsidP="00D87D91">
            <w:r>
              <w:t xml:space="preserve">　　</w:t>
            </w:r>
            <w:r w:rsidR="00203F72" w:rsidRPr="00A53581">
              <w:t>1.</w:t>
            </w:r>
            <w:r w:rsidR="00203F72" w:rsidRPr="00A53581">
              <w:rPr>
                <w:rFonts w:hint="eastAsia"/>
              </w:rPr>
              <w:t>確定總統、副總統游自由地區人民直接選舉。</w:t>
            </w:r>
          </w:p>
          <w:p w14:paraId="3AB663C8" w14:textId="77777777" w:rsidR="00203F72" w:rsidRPr="00A53581" w:rsidRDefault="008F066C" w:rsidP="00D87D91">
            <w:r>
              <w:t xml:space="preserve">　　</w:t>
            </w:r>
            <w:r w:rsidR="00203F72" w:rsidRPr="00A53581">
              <w:t>2.</w:t>
            </w:r>
            <w:r w:rsidR="00203F72" w:rsidRPr="00A53581">
              <w:rPr>
                <w:rFonts w:hint="eastAsia"/>
              </w:rPr>
              <w:t>賦予地方自治法源。</w:t>
            </w:r>
          </w:p>
          <w:p w14:paraId="021EC048" w14:textId="77777777" w:rsidR="00203F72" w:rsidRPr="00A53581" w:rsidRDefault="008F066C" w:rsidP="00D87D91">
            <w:r>
              <w:t xml:space="preserve">　　</w:t>
            </w:r>
            <w:r w:rsidR="00203F72" w:rsidRPr="00A53581">
              <w:t>3.</w:t>
            </w:r>
            <w:r w:rsidR="00203F72" w:rsidRPr="00A53581">
              <w:rPr>
                <w:rFonts w:hint="eastAsia"/>
              </w:rPr>
              <w:t>總統與國代任期同為四年。</w:t>
            </w:r>
          </w:p>
        </w:tc>
      </w:tr>
      <w:tr w:rsidR="00203F72" w:rsidRPr="00A53581" w14:paraId="11F7BB59" w14:textId="77777777"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14:paraId="0FAFA40B" w14:textId="77777777" w:rsidR="00203F72" w:rsidRPr="00A53581" w:rsidRDefault="00203F72" w:rsidP="00D87D91">
            <w:r w:rsidRPr="00A53581">
              <w:rPr>
                <w:rFonts w:hint="eastAsia"/>
              </w:rPr>
              <w:t>第三次修憲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14:paraId="6034F137" w14:textId="77777777" w:rsidR="00203F72" w:rsidRPr="00A53581" w:rsidRDefault="00203F72" w:rsidP="00D87D91">
            <w:r w:rsidRPr="00A53581">
              <w:t>1994</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14:paraId="6A16C629" w14:textId="77777777" w:rsidR="00203F72" w:rsidRPr="00A53581" w:rsidRDefault="00203F72" w:rsidP="00D87D91">
            <w:r w:rsidRPr="00A53581">
              <w:rPr>
                <w:rFonts w:hint="eastAsia"/>
              </w:rPr>
              <w:t>第二屆國大將過去兩次通過之十八條增修條文，一併重予整理為</w:t>
            </w:r>
            <w:r w:rsidRPr="00A53581">
              <w:t>10</w:t>
            </w:r>
            <w:r w:rsidRPr="00A53581">
              <w:rPr>
                <w:rFonts w:hint="eastAsia"/>
              </w:rPr>
              <w:t>條。</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14:paraId="06BD046A" w14:textId="77777777" w:rsidR="00203F72" w:rsidRPr="00A53581" w:rsidRDefault="008F066C" w:rsidP="00D87D91">
            <w:r>
              <w:t xml:space="preserve">　　</w:t>
            </w:r>
            <w:r w:rsidR="00203F72" w:rsidRPr="00A53581">
              <w:t>1.</w:t>
            </w:r>
            <w:r w:rsidR="00203F72" w:rsidRPr="00A53581">
              <w:rPr>
                <w:rFonts w:hint="eastAsia"/>
              </w:rPr>
              <w:t>確定總統公民直選。</w:t>
            </w:r>
          </w:p>
          <w:p w14:paraId="1C5F111B" w14:textId="77777777" w:rsidR="00203F72" w:rsidRPr="00A53581" w:rsidRDefault="008F066C" w:rsidP="00D87D91">
            <w:r>
              <w:t xml:space="preserve">　　</w:t>
            </w:r>
            <w:r w:rsidR="00203F72" w:rsidRPr="00A53581">
              <w:t>2.</w:t>
            </w:r>
            <w:r w:rsidR="00203F72" w:rsidRPr="00A53581">
              <w:rPr>
                <w:rFonts w:hint="eastAsia"/>
              </w:rPr>
              <w:t>國大設議長，國大常設化。</w:t>
            </w:r>
          </w:p>
          <w:p w14:paraId="061FEDF0" w14:textId="77777777" w:rsidR="00203F72" w:rsidRPr="00A53581" w:rsidRDefault="008F066C" w:rsidP="00D87D91">
            <w:r>
              <w:t xml:space="preserve">　　</w:t>
            </w:r>
            <w:r w:rsidR="00203F72" w:rsidRPr="00A53581">
              <w:t>3.</w:t>
            </w:r>
            <w:r w:rsidR="00203F72" w:rsidRPr="00A53581">
              <w:rPr>
                <w:rFonts w:hint="eastAsia"/>
              </w:rPr>
              <w:t>總統與副總統罷免方式之確立。</w:t>
            </w:r>
          </w:p>
        </w:tc>
      </w:tr>
      <w:tr w:rsidR="00203F72" w:rsidRPr="00A53581" w14:paraId="53C69EDA" w14:textId="77777777"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14:paraId="67DB10C8" w14:textId="77777777" w:rsidR="00203F72" w:rsidRPr="00A53581" w:rsidRDefault="00203F72" w:rsidP="00D87D91">
            <w:r w:rsidRPr="00A53581">
              <w:rPr>
                <w:rFonts w:hint="eastAsia"/>
              </w:rPr>
              <w:t>第四次修憲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14:paraId="5A1FC57C" w14:textId="77777777" w:rsidR="00203F72" w:rsidRPr="00A53581" w:rsidRDefault="00203F72" w:rsidP="00D87D91">
            <w:r w:rsidRPr="00A53581">
              <w:t>1997</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14:paraId="0FE8176B" w14:textId="77777777" w:rsidR="00203F72" w:rsidRPr="00A53581" w:rsidRDefault="00203F72" w:rsidP="00D87D91">
            <w:pPr>
              <w:rPr>
                <w:rFonts w:ascii="新細明體" w:hAnsi="新細明體"/>
              </w:rPr>
            </w:pPr>
            <w:r w:rsidRPr="00A53581">
              <w:rPr>
                <w:rFonts w:ascii="新細明體" w:hAnsi="新細明體" w:hint="eastAsia"/>
              </w:rPr>
              <w:t>第三屆國大通過憲法增修條</w:t>
            </w:r>
            <w:r w:rsidR="006B7176" w:rsidRPr="00686D2C">
              <w:t>文</w:t>
            </w:r>
            <w:r w:rsidR="006B7176" w:rsidRPr="006B7176">
              <w:t>第</w:t>
            </w:r>
            <w:hyperlink r:id="rId451" w:anchor="b11" w:history="1">
              <w:r w:rsidR="006B7176" w:rsidRPr="006B7176">
                <w:rPr>
                  <w:rStyle w:val="a5"/>
                  <w:rFonts w:ascii="Times New Roman" w:hAnsi="Times New Roman"/>
                </w:rPr>
                <w:t>十一</w:t>
              </w:r>
            </w:hyperlink>
            <w:r w:rsidR="006B7176" w:rsidRPr="006B7176">
              <w:t>條</w:t>
            </w:r>
            <w:r w:rsidRPr="00A53581">
              <w:rPr>
                <w:rFonts w:ascii="新細明體" w:hAnsi="新細明體" w:hint="eastAsia"/>
              </w:rPr>
              <w:t>。</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14:paraId="55D71087" w14:textId="77777777" w:rsidR="00203F72" w:rsidRPr="00A53581" w:rsidRDefault="008F066C" w:rsidP="00D87D91">
            <w:r>
              <w:t xml:space="preserve">　　</w:t>
            </w:r>
            <w:r w:rsidR="00203F72" w:rsidRPr="00A53581">
              <w:t>1.</w:t>
            </w:r>
            <w:r w:rsidR="00203F72" w:rsidRPr="00A53581">
              <w:rPr>
                <w:rFonts w:hint="eastAsia"/>
              </w:rPr>
              <w:t>行政院長由總統任命，不需立法院同意。</w:t>
            </w:r>
          </w:p>
          <w:p w14:paraId="36A1EEC6" w14:textId="77777777" w:rsidR="00203F72" w:rsidRPr="00A53581" w:rsidRDefault="008F066C" w:rsidP="00D87D91">
            <w:r>
              <w:t xml:space="preserve">　　</w:t>
            </w:r>
            <w:r w:rsidR="00203F72" w:rsidRPr="00A53581">
              <w:t>2.</w:t>
            </w:r>
            <w:r w:rsidR="00203F72" w:rsidRPr="00A53581">
              <w:rPr>
                <w:rFonts w:hint="eastAsia"/>
              </w:rPr>
              <w:t>引進不信任案及解散國會權之機制設計。</w:t>
            </w:r>
          </w:p>
          <w:p w14:paraId="7D51F2B3" w14:textId="77777777" w:rsidR="00203F72" w:rsidRPr="00A53581" w:rsidRDefault="008F066C" w:rsidP="00D87D91">
            <w:r>
              <w:t xml:space="preserve">　　</w:t>
            </w:r>
            <w:r w:rsidR="00203F72" w:rsidRPr="00A53581">
              <w:t>3.</w:t>
            </w:r>
            <w:r w:rsidR="00203F72" w:rsidRPr="00A53581">
              <w:rPr>
                <w:rFonts w:hint="eastAsia"/>
              </w:rPr>
              <w:t>精省：政府體制及程及調整。</w:t>
            </w:r>
          </w:p>
          <w:p w14:paraId="4BD8B5E3" w14:textId="77777777" w:rsidR="00203F72" w:rsidRPr="00A53581" w:rsidRDefault="008F066C" w:rsidP="00D87D91">
            <w:r>
              <w:t xml:space="preserve">　　</w:t>
            </w:r>
            <w:r w:rsidR="00203F72" w:rsidRPr="00A53581">
              <w:t>4.</w:t>
            </w:r>
            <w:r w:rsidR="00203F72" w:rsidRPr="00A53581">
              <w:rPr>
                <w:rFonts w:hint="eastAsia"/>
              </w:rPr>
              <w:t>建立傾總統制之雙首長制之中央政府體制。</w:t>
            </w:r>
          </w:p>
        </w:tc>
      </w:tr>
      <w:tr w:rsidR="00203F72" w:rsidRPr="00A53581" w14:paraId="67064343" w14:textId="77777777"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14:paraId="05C905CA" w14:textId="77777777" w:rsidR="00203F72" w:rsidRPr="00A53581" w:rsidRDefault="00203F72" w:rsidP="00D87D91">
            <w:r w:rsidRPr="00A53581">
              <w:rPr>
                <w:rFonts w:hint="eastAsia"/>
              </w:rPr>
              <w:t>第五次修憲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14:paraId="0BEFBBC7" w14:textId="77777777" w:rsidR="00203F72" w:rsidRPr="00A53581" w:rsidRDefault="00203F72" w:rsidP="00D87D91">
            <w:r w:rsidRPr="00A53581">
              <w:t>1999</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14:paraId="070366E9" w14:textId="77777777" w:rsidR="00203F72" w:rsidRPr="00A53581" w:rsidRDefault="00203F72" w:rsidP="00D87D91">
            <w:pPr>
              <w:rPr>
                <w:rFonts w:ascii="新細明體" w:hAnsi="新細明體"/>
              </w:rPr>
            </w:pPr>
            <w:r w:rsidRPr="00A53581">
              <w:rPr>
                <w:rFonts w:ascii="新細明體" w:hAnsi="新細明體" w:hint="eastAsia"/>
              </w:rPr>
              <w:t>第三屆國大通過憲法增修條</w:t>
            </w:r>
            <w:r w:rsidR="006B7176" w:rsidRPr="00686D2C">
              <w:t>文</w:t>
            </w:r>
            <w:r w:rsidR="006B7176" w:rsidRPr="006B7176">
              <w:t>第</w:t>
            </w:r>
            <w:hyperlink r:id="rId452" w:anchor="b11" w:history="1">
              <w:r w:rsidR="006B7176" w:rsidRPr="006B7176">
                <w:rPr>
                  <w:rStyle w:val="a5"/>
                  <w:rFonts w:ascii="Times New Roman" w:hAnsi="Times New Roman"/>
                </w:rPr>
                <w:t>十一</w:t>
              </w:r>
            </w:hyperlink>
            <w:r w:rsidR="006B7176" w:rsidRPr="006B7176">
              <w:t>條</w:t>
            </w:r>
            <w:r w:rsidRPr="00A53581">
              <w:rPr>
                <w:rFonts w:ascii="新細明體" w:hAnsi="新細明體" w:hint="eastAsia"/>
              </w:rPr>
              <w:t>。</w:t>
            </w:r>
            <w:r w:rsidRPr="00A53581">
              <w:rPr>
                <w:rFonts w:ascii="新細明體" w:hAnsi="新細明體"/>
              </w:rPr>
              <w:t>(</w:t>
            </w:r>
            <w:r w:rsidRPr="00A53581">
              <w:rPr>
                <w:rFonts w:ascii="新細明體" w:hAnsi="新細明體" w:hint="eastAsia"/>
              </w:rPr>
              <w:t>但此次修憲，後經大法官解釋無效。</w:t>
            </w:r>
            <w:r w:rsidRPr="00A53581">
              <w:rPr>
                <w:rFonts w:ascii="新細明體" w:hAnsi="新細明體"/>
              </w:rPr>
              <w:t>)</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14:paraId="288FB32A" w14:textId="77777777" w:rsidR="00203F72" w:rsidRPr="00A53581" w:rsidRDefault="008F066C" w:rsidP="00D87D91">
            <w:r>
              <w:t xml:space="preserve">　　</w:t>
            </w:r>
            <w:r w:rsidR="00203F72" w:rsidRPr="00A53581">
              <w:t>1.</w:t>
            </w:r>
            <w:r w:rsidR="00203F72" w:rsidRPr="00A53581">
              <w:rPr>
                <w:rFonts w:hint="eastAsia"/>
              </w:rPr>
              <w:t>通過國代及立委延任案。</w:t>
            </w:r>
          </w:p>
          <w:p w14:paraId="2BD926C7" w14:textId="77777777" w:rsidR="00203F72" w:rsidRPr="00A53581" w:rsidRDefault="008F066C" w:rsidP="00D87D91">
            <w:r>
              <w:t xml:space="preserve">　　</w:t>
            </w:r>
            <w:r w:rsidR="00203F72" w:rsidRPr="00A53581">
              <w:t>2.</w:t>
            </w:r>
            <w:r w:rsidR="00203F72" w:rsidRPr="00A53581">
              <w:rPr>
                <w:rFonts w:hint="eastAsia"/>
              </w:rPr>
              <w:t>立委任其調整為四年，與總統一致。</w:t>
            </w:r>
          </w:p>
          <w:p w14:paraId="44B175F0" w14:textId="77777777" w:rsidR="00203F72" w:rsidRPr="00A53581" w:rsidRDefault="008F066C" w:rsidP="00D87D91">
            <w:r>
              <w:t xml:space="preserve">　　</w:t>
            </w:r>
            <w:r w:rsidR="00203F72" w:rsidRPr="00A53581">
              <w:t>3.</w:t>
            </w:r>
            <w:r w:rsidR="00203F72" w:rsidRPr="00A53581">
              <w:rPr>
                <w:rFonts w:hint="eastAsia"/>
              </w:rPr>
              <w:t>國代</w:t>
            </w:r>
            <w:r w:rsidR="00203F72" w:rsidRPr="00A53581">
              <w:t>300</w:t>
            </w:r>
            <w:r w:rsidR="00203F72" w:rsidRPr="00A53581">
              <w:rPr>
                <w:rFonts w:hint="eastAsia"/>
              </w:rPr>
              <w:t>名以政黨比例方式選出。</w:t>
            </w:r>
          </w:p>
        </w:tc>
      </w:tr>
      <w:tr w:rsidR="00203F72" w:rsidRPr="00A53581" w14:paraId="2034FF22" w14:textId="77777777"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14:paraId="764F61B0" w14:textId="77777777" w:rsidR="00203F72" w:rsidRPr="00A53581" w:rsidRDefault="00203F72" w:rsidP="00D87D91">
            <w:r w:rsidRPr="00A53581">
              <w:rPr>
                <w:rFonts w:hint="eastAsia"/>
              </w:rPr>
              <w:t>第六次修憲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14:paraId="5E63A2E8" w14:textId="77777777" w:rsidR="00203F72" w:rsidRPr="00A53581" w:rsidRDefault="00203F72" w:rsidP="00D87D91">
            <w:r w:rsidRPr="00A53581">
              <w:t>2000</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14:paraId="2F6D95CB" w14:textId="77777777" w:rsidR="00203F72" w:rsidRPr="00A53581" w:rsidRDefault="00203F72" w:rsidP="00D87D91">
            <w:pPr>
              <w:rPr>
                <w:rFonts w:ascii="新細明體" w:hAnsi="新細明體"/>
              </w:rPr>
            </w:pPr>
            <w:r w:rsidRPr="00A53581">
              <w:rPr>
                <w:rFonts w:ascii="新細明體" w:hAnsi="新細明體" w:hint="eastAsia"/>
              </w:rPr>
              <w:t>第三屆國大通過憲法增修條</w:t>
            </w:r>
            <w:r w:rsidR="006B7176" w:rsidRPr="00686D2C">
              <w:t>文</w:t>
            </w:r>
            <w:r w:rsidR="006B7176" w:rsidRPr="006B7176">
              <w:t>第</w:t>
            </w:r>
            <w:hyperlink r:id="rId453" w:anchor="b11" w:history="1">
              <w:r w:rsidR="006B7176" w:rsidRPr="006B7176">
                <w:rPr>
                  <w:rStyle w:val="a5"/>
                  <w:rFonts w:ascii="Times New Roman" w:hAnsi="Times New Roman"/>
                </w:rPr>
                <w:t>十一</w:t>
              </w:r>
            </w:hyperlink>
            <w:r w:rsidR="006B7176" w:rsidRPr="006B7176">
              <w:t>條</w:t>
            </w:r>
            <w:r w:rsidRPr="00A53581">
              <w:rPr>
                <w:rFonts w:ascii="新細明體" w:hAnsi="新細明體" w:hint="eastAsia"/>
              </w:rPr>
              <w:t>。</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14:paraId="1A185BB9" w14:textId="77777777" w:rsidR="00203F72" w:rsidRPr="00A53581" w:rsidRDefault="008F066C" w:rsidP="00D87D91">
            <w:r>
              <w:t xml:space="preserve">　　</w:t>
            </w:r>
            <w:r w:rsidR="00203F72" w:rsidRPr="00A53581">
              <w:t>1.</w:t>
            </w:r>
            <w:r w:rsidR="00203F72" w:rsidRPr="00A53581">
              <w:rPr>
                <w:rFonts w:hint="eastAsia"/>
              </w:rPr>
              <w:t>國大職權虛級化，重要職權宜由立法院行使。</w:t>
            </w:r>
          </w:p>
          <w:p w14:paraId="33838CEB" w14:textId="77777777" w:rsidR="00203F72" w:rsidRPr="00A53581" w:rsidRDefault="008F066C" w:rsidP="00D87D91">
            <w:r>
              <w:t xml:space="preserve">　　</w:t>
            </w:r>
            <w:r w:rsidR="00203F72" w:rsidRPr="00A53581">
              <w:t>2.</w:t>
            </w:r>
            <w:r w:rsidR="00203F72" w:rsidRPr="00A53581">
              <w:rPr>
                <w:rFonts w:hint="eastAsia"/>
              </w:rPr>
              <w:t>國代未來成為「任務型國代」性質。</w:t>
            </w:r>
          </w:p>
          <w:p w14:paraId="58C1DC80" w14:textId="77777777" w:rsidR="00203F72" w:rsidRPr="00A53581" w:rsidRDefault="008F066C" w:rsidP="00D87D91">
            <w:r>
              <w:t xml:space="preserve">　　</w:t>
            </w:r>
            <w:r w:rsidR="00203F72" w:rsidRPr="00A53581">
              <w:t>3.</w:t>
            </w:r>
            <w:r w:rsidR="00203F72" w:rsidRPr="00A53581">
              <w:rPr>
                <w:rFonts w:hint="eastAsia"/>
              </w:rPr>
              <w:t>排除大法官終身職優遇。</w:t>
            </w:r>
          </w:p>
        </w:tc>
      </w:tr>
    </w:tbl>
    <w:p w14:paraId="2C2C6CA8" w14:textId="77777777" w:rsidR="00203F72" w:rsidRPr="00A53581" w:rsidRDefault="007F7377" w:rsidP="00D87D91">
      <w:r>
        <w:t>【</w:t>
      </w:r>
      <w:r w:rsidR="00203F72" w:rsidRPr="00A53581">
        <w:rPr>
          <w:rFonts w:hint="eastAsia"/>
        </w:rPr>
        <w:t>本表格資料來源</w:t>
      </w:r>
      <w:r>
        <w:t>】</w:t>
      </w:r>
      <w:r w:rsidR="00203F72" w:rsidRPr="00A53581">
        <w:rPr>
          <w:rFonts w:hint="eastAsia"/>
        </w:rPr>
        <w:t>國民大會秘書處</w:t>
      </w:r>
      <w:r w:rsidR="00203F72" w:rsidRPr="00A53581">
        <w:t xml:space="preserve">(2000) </w:t>
      </w:r>
      <w:r w:rsidR="00203F72" w:rsidRPr="00A53581">
        <w:t>，</w:t>
      </w:r>
      <w:r w:rsidR="00203F72" w:rsidRPr="00A53581">
        <w:rPr>
          <w:rFonts w:hint="eastAsia"/>
        </w:rPr>
        <w:t>第三屆國民大會第五次會議實錄。</w:t>
      </w:r>
    </w:p>
    <w:p w14:paraId="3F513070" w14:textId="77777777" w:rsidR="00953151" w:rsidRDefault="007F7377" w:rsidP="00D87D91">
      <w:r>
        <w:rPr>
          <w:rFonts w:hint="eastAsia"/>
        </w:rPr>
        <w:t xml:space="preserve">　　</w:t>
      </w:r>
      <w:r w:rsidR="00203F72" w:rsidRPr="00A53581">
        <w:rPr>
          <w:rFonts w:hint="eastAsia"/>
        </w:rPr>
        <w:t>張淑中，姚中原</w:t>
      </w:r>
      <w:r w:rsidR="00203F72" w:rsidRPr="00A53581">
        <w:t>(2012)</w:t>
      </w:r>
      <w:r w:rsidR="00203F72" w:rsidRPr="00A53581">
        <w:t>，</w:t>
      </w:r>
      <w:r w:rsidR="00203F72" w:rsidRPr="00A53581">
        <w:rPr>
          <w:rFonts w:hint="eastAsia"/>
        </w:rPr>
        <w:t>台灣憲政改革─修憲理論、政治過程與制度影響，初版</w:t>
      </w:r>
      <w:r w:rsidR="00203F72" w:rsidRPr="00A53581">
        <w:rPr>
          <w:rFonts w:hint="eastAsia"/>
        </w:rPr>
        <w:t>1</w:t>
      </w:r>
      <w:r w:rsidR="00203F72" w:rsidRPr="00A53581">
        <w:rPr>
          <w:rFonts w:hint="eastAsia"/>
        </w:rPr>
        <w:t>刷，台北：五南圖書公司，第</w:t>
      </w:r>
      <w:r w:rsidR="00203F72" w:rsidRPr="00A53581">
        <w:t>87</w:t>
      </w:r>
      <w:r w:rsidR="00203F72" w:rsidRPr="00A53581">
        <w:rPr>
          <w:rFonts w:hint="eastAsia"/>
        </w:rPr>
        <w:t>頁。</w:t>
      </w:r>
    </w:p>
    <w:p w14:paraId="28BC1680" w14:textId="77777777" w:rsidR="008F066C" w:rsidRDefault="008F066C" w:rsidP="00D87D91"/>
    <w:p w14:paraId="52B7EFDC" w14:textId="77777777" w:rsidR="00203F72" w:rsidRPr="00A53581" w:rsidRDefault="00076467" w:rsidP="00767F37">
      <w:pPr>
        <w:pStyle w:val="2"/>
      </w:pPr>
      <w:hyperlink r:id="rId454" w:anchor="a28" w:history="1">
        <w:r w:rsidR="005D5A46">
          <w:rPr>
            <w:rStyle w:val="a5"/>
            <w:rFonts w:ascii="Arial Unicode MS" w:hAnsi="Arial Unicode MS"/>
          </w:rPr>
          <w:t>第</w:t>
        </w:r>
        <w:r w:rsidR="00203F72" w:rsidRPr="001B53A5">
          <w:rPr>
            <w:rStyle w:val="a5"/>
            <w:rFonts w:ascii="Arial Unicode MS" w:hAnsi="Arial Unicode MS"/>
          </w:rPr>
          <w:t>28</w:t>
        </w:r>
        <w:r w:rsidR="005D5A46">
          <w:rPr>
            <w:rStyle w:val="a5"/>
            <w:rFonts w:ascii="Arial Unicode MS" w:hAnsi="Arial Unicode MS"/>
          </w:rPr>
          <w:t>條</w:t>
        </w:r>
      </w:hyperlink>
      <w:r w:rsidR="00203F72" w:rsidRPr="00A53581">
        <w:t>國民大會代表每六年改選一次。</w:t>
      </w:r>
    </w:p>
    <w:p w14:paraId="7579B012" w14:textId="77777777" w:rsidR="00203F72" w:rsidRPr="00A53581" w:rsidRDefault="007F7377" w:rsidP="00D87D91">
      <w:r>
        <w:t xml:space="preserve">　　</w:t>
      </w:r>
      <w:r w:rsidR="00203F72" w:rsidRPr="00A53581">
        <w:t>每屆國民大會代表之任期，至次屆國民大會開會之日為止。</w:t>
      </w:r>
    </w:p>
    <w:p w14:paraId="5864AAFB" w14:textId="77777777" w:rsidR="00953151" w:rsidRDefault="007F7377" w:rsidP="00D87D91">
      <w:r>
        <w:t xml:space="preserve">　　</w:t>
      </w:r>
      <w:r w:rsidR="00203F72" w:rsidRPr="00A53581">
        <w:t>現任官吏不得於其任所所在地之選舉區當選為國民大會代表。</w:t>
      </w:r>
    </w:p>
    <w:p w14:paraId="2900568C" w14:textId="77777777" w:rsidR="00203F72" w:rsidRPr="00A53581" w:rsidRDefault="00B03E84" w:rsidP="00D87D91">
      <w:r>
        <w:t>【內容解析】</w:t>
      </w:r>
    </w:p>
    <w:p w14:paraId="0D04F9E7" w14:textId="77777777" w:rsidR="00953151" w:rsidRPr="001B1539" w:rsidRDefault="006B7176" w:rsidP="00D87D91">
      <w:r>
        <w:rPr>
          <w:rFonts w:hint="eastAsia"/>
        </w:rPr>
        <w:t xml:space="preserve">　　</w:t>
      </w:r>
      <w:r w:rsidR="00203F72" w:rsidRPr="001B1539">
        <w:t>為因應國家統一前之需要，本法條依憲法增修條</w:t>
      </w:r>
      <w:r w:rsidR="001B1539" w:rsidRPr="001B1539">
        <w:t>文</w:t>
      </w:r>
      <w:hyperlink r:id="rId455" w:anchor="b1" w:history="1">
        <w:r w:rsidR="001B1539" w:rsidRPr="001B1539">
          <w:rPr>
            <w:rStyle w:val="a5"/>
          </w:rPr>
          <w:t>第1條</w:t>
        </w:r>
      </w:hyperlink>
      <w:r w:rsidR="00203F72" w:rsidRPr="001B1539">
        <w:t>之規定停止適用。</w:t>
      </w:r>
    </w:p>
    <w:p w14:paraId="12F3B982" w14:textId="77777777" w:rsidR="006B7176" w:rsidRDefault="006B7176" w:rsidP="00D87D91"/>
    <w:p w14:paraId="2B20789C" w14:textId="6ED34F80"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25</w:t>
      </w:r>
      <w:r w:rsidR="00076467">
        <w:rPr>
          <w:noProof/>
        </w:rPr>
        <w:fldChar w:fldCharType="end"/>
      </w:r>
      <w:r w:rsidR="00203F72" w:rsidRPr="001B1539">
        <w:t>國民大會問題始末之演進</w:t>
      </w:r>
    </w:p>
    <w:tbl>
      <w:tblPr>
        <w:tblW w:w="7796"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2126"/>
        <w:gridCol w:w="1560"/>
        <w:gridCol w:w="1559"/>
        <w:gridCol w:w="2551"/>
      </w:tblGrid>
      <w:tr w:rsidR="00203F72" w:rsidRPr="00A53581" w14:paraId="31E820B3" w14:textId="77777777" w:rsidTr="008F066C">
        <w:trPr>
          <w:tblCellSpacing w:w="15" w:type="dxa"/>
        </w:trPr>
        <w:tc>
          <w:tcPr>
            <w:tcW w:w="7736" w:type="dxa"/>
            <w:gridSpan w:val="4"/>
            <w:tcBorders>
              <w:top w:val="single" w:sz="4" w:space="0" w:color="auto"/>
              <w:left w:val="single" w:sz="4" w:space="0" w:color="auto"/>
              <w:bottom w:val="single" w:sz="4" w:space="0" w:color="auto"/>
              <w:right w:val="single" w:sz="4" w:space="0" w:color="auto"/>
            </w:tcBorders>
            <w:shd w:val="clear" w:color="auto" w:fill="EFEFEF"/>
            <w:vAlign w:val="center"/>
            <w:hideMark/>
          </w:tcPr>
          <w:p w14:paraId="17BFBDFC" w14:textId="77777777" w:rsidR="00203F72" w:rsidRPr="00A53581" w:rsidRDefault="00203F72" w:rsidP="00D87D91">
            <w:pPr>
              <w:rPr>
                <w:rFonts w:cs="新細明體"/>
              </w:rPr>
            </w:pPr>
            <w:r w:rsidRPr="00A53581">
              <w:t>國民大會問題始末</w:t>
            </w:r>
          </w:p>
        </w:tc>
      </w:tr>
      <w:tr w:rsidR="00203F72" w:rsidRPr="00A53581" w14:paraId="5E725CB7" w14:textId="77777777"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13B36B0" w14:textId="77777777" w:rsidR="00203F72" w:rsidRPr="00A53581" w:rsidRDefault="00203F72" w:rsidP="00D87D91">
            <w:pPr>
              <w:rPr>
                <w:rFonts w:cs="新細明體"/>
              </w:rPr>
            </w:pPr>
            <w:r w:rsidRPr="00A53581">
              <w:t>法案</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7ADD89A" w14:textId="77777777" w:rsidR="00203F72" w:rsidRPr="00A53581" w:rsidRDefault="00203F72" w:rsidP="00D87D91">
            <w:pPr>
              <w:rPr>
                <w:rFonts w:cs="新細明體"/>
              </w:rPr>
            </w:pPr>
            <w:r w:rsidRPr="00A53581">
              <w:t>國民大會組成</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35B5D8A" w14:textId="77777777" w:rsidR="00203F72" w:rsidRPr="00A53581" w:rsidRDefault="00203F72" w:rsidP="00D87D91">
            <w:pPr>
              <w:rPr>
                <w:rFonts w:cs="新細明體"/>
              </w:rPr>
            </w:pPr>
            <w:r w:rsidRPr="00A53581">
              <w:t>集會頻率</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3206FEC" w14:textId="77777777" w:rsidR="00203F72" w:rsidRPr="00A53581" w:rsidRDefault="00203F72" w:rsidP="00D87D91">
            <w:pPr>
              <w:rPr>
                <w:rFonts w:cs="新細明體"/>
              </w:rPr>
            </w:pPr>
            <w:r w:rsidRPr="00A53581">
              <w:t>職權</w:t>
            </w:r>
          </w:p>
        </w:tc>
      </w:tr>
      <w:tr w:rsidR="00203F72" w:rsidRPr="00A53581" w14:paraId="599C405A" w14:textId="77777777"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45BCA38" w14:textId="77777777" w:rsidR="00203F72" w:rsidRPr="00A53581" w:rsidRDefault="00203F72" w:rsidP="00D87D91">
            <w:pPr>
              <w:rPr>
                <w:rFonts w:cs="新細明體"/>
              </w:rPr>
            </w:pPr>
            <w:r w:rsidRPr="00A53581">
              <w:t>五五憲草</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069BC35" w14:textId="77777777" w:rsidR="00203F72" w:rsidRPr="00A53581" w:rsidRDefault="00203F72" w:rsidP="00D87D91">
            <w:pPr>
              <w:rPr>
                <w:rFonts w:cs="新細明體"/>
              </w:rPr>
            </w:pPr>
            <w:r w:rsidRPr="00A53581">
              <w:t>民選國大代表</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3660C60" w14:textId="77777777" w:rsidR="00203F72" w:rsidRPr="00A53581" w:rsidRDefault="00203F72" w:rsidP="00D87D91">
            <w:pPr>
              <w:rPr>
                <w:rFonts w:cs="新細明體"/>
              </w:rPr>
            </w:pPr>
            <w:r w:rsidRPr="00A53581">
              <w:t>3</w:t>
            </w:r>
            <w:r w:rsidRPr="00A53581">
              <w:t>年一次</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CF5B7E2" w14:textId="77777777" w:rsidR="00203F72" w:rsidRPr="00A53581" w:rsidRDefault="00203F72" w:rsidP="00D87D91">
            <w:pPr>
              <w:rPr>
                <w:rFonts w:cs="新細明體"/>
              </w:rPr>
            </w:pPr>
            <w:r w:rsidRPr="00A53581">
              <w:t>政權機關</w:t>
            </w:r>
          </w:p>
        </w:tc>
      </w:tr>
      <w:tr w:rsidR="00203F72" w:rsidRPr="00A53581" w14:paraId="78AEE25E" w14:textId="77777777"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A5DA212" w14:textId="77777777" w:rsidR="00203F72" w:rsidRPr="00A53581" w:rsidRDefault="00203F72" w:rsidP="00D87D91">
            <w:pPr>
              <w:rPr>
                <w:rFonts w:cs="新細明體"/>
              </w:rPr>
            </w:pPr>
            <w:r w:rsidRPr="00A53581">
              <w:t>期成憲草</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51F8386" w14:textId="77777777" w:rsidR="00203F72" w:rsidRPr="00A53581" w:rsidRDefault="00203F72" w:rsidP="00D87D91">
            <w:pPr>
              <w:rPr>
                <w:rFonts w:cs="新細明體"/>
              </w:rPr>
            </w:pPr>
            <w:r w:rsidRPr="00A53581">
              <w:t>代表大會及議政會</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505969A" w14:textId="77777777" w:rsidR="00203F72" w:rsidRPr="00A53581" w:rsidRDefault="00203F72" w:rsidP="00D87D91">
            <w:pPr>
              <w:rPr>
                <w:rFonts w:cs="新細明體"/>
              </w:rPr>
            </w:pPr>
            <w:r w:rsidRPr="00A53581">
              <w:t>3</w:t>
            </w:r>
            <w:r w:rsidRPr="00A53581">
              <w:t>年一次</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26F7381" w14:textId="77777777" w:rsidR="00203F72" w:rsidRPr="00A53581" w:rsidRDefault="00203F72" w:rsidP="00D87D91">
            <w:pPr>
              <w:rPr>
                <w:rFonts w:cs="新細明體"/>
              </w:rPr>
            </w:pPr>
            <w:r w:rsidRPr="00A53581">
              <w:t>政權，治權機關</w:t>
            </w:r>
          </w:p>
        </w:tc>
      </w:tr>
      <w:tr w:rsidR="00203F72" w:rsidRPr="00A53581" w14:paraId="5113EE87" w14:textId="77777777"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82F2D6D" w14:textId="77777777" w:rsidR="00203F72" w:rsidRPr="00A53581" w:rsidRDefault="00203F72" w:rsidP="00D87D91">
            <w:pPr>
              <w:rPr>
                <w:rFonts w:cs="新細明體"/>
              </w:rPr>
            </w:pPr>
            <w:r w:rsidRPr="00A53581">
              <w:t>政協憲草</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4EEA368" w14:textId="77777777" w:rsidR="00203F72" w:rsidRPr="00A53581" w:rsidRDefault="00203F72" w:rsidP="00D87D91">
            <w:pPr>
              <w:rPr>
                <w:rFonts w:cs="新細明體"/>
              </w:rPr>
            </w:pPr>
            <w:r w:rsidRPr="00A53581">
              <w:t>中央地方議會組合</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1FFD3CE" w14:textId="77777777" w:rsidR="00203F72" w:rsidRPr="00A53581" w:rsidRDefault="00203F72" w:rsidP="00D87D91">
            <w:pPr>
              <w:rPr>
                <w:rFonts w:cs="新細明體"/>
              </w:rPr>
            </w:pPr>
            <w:r w:rsidRPr="00A53581">
              <w:t>3</w:t>
            </w:r>
            <w:r w:rsidRPr="00A53581">
              <w:t>年一次</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E6D4599" w14:textId="77777777" w:rsidR="00203F72" w:rsidRPr="00A53581" w:rsidRDefault="00203F72" w:rsidP="00D87D91">
            <w:pPr>
              <w:rPr>
                <w:rFonts w:cs="新細明體"/>
              </w:rPr>
            </w:pPr>
            <w:r w:rsidRPr="00A53581">
              <w:t>選舉機關</w:t>
            </w:r>
          </w:p>
        </w:tc>
      </w:tr>
      <w:tr w:rsidR="00203F72" w:rsidRPr="00A53581" w14:paraId="65CC00AB" w14:textId="77777777"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4B289C3" w14:textId="77777777" w:rsidR="00203F72" w:rsidRPr="00A53581" w:rsidRDefault="00203F72" w:rsidP="00D87D91">
            <w:pPr>
              <w:rPr>
                <w:rFonts w:cs="新細明體"/>
              </w:rPr>
            </w:pPr>
            <w:r w:rsidRPr="00A53581">
              <w:t>民國憲法</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05BB3B6" w14:textId="77777777" w:rsidR="00203F72" w:rsidRPr="00A53581" w:rsidRDefault="00203F72" w:rsidP="00D87D91">
            <w:pPr>
              <w:rPr>
                <w:rFonts w:cs="新細明體"/>
              </w:rPr>
            </w:pPr>
            <w:r w:rsidRPr="00A53581">
              <w:t>民選國大代表</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90A3DF5" w14:textId="77777777" w:rsidR="00203F72" w:rsidRPr="00A53581" w:rsidRDefault="00203F72" w:rsidP="00D87D91">
            <w:pPr>
              <w:rPr>
                <w:rFonts w:cs="新細明體"/>
              </w:rPr>
            </w:pPr>
            <w:r w:rsidRPr="00A53581">
              <w:t>6</w:t>
            </w:r>
            <w:r w:rsidRPr="00A53581">
              <w:t>年一次</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8F7CEF9" w14:textId="77777777" w:rsidR="00203F72" w:rsidRPr="00A53581" w:rsidRDefault="00203F72" w:rsidP="00D87D91">
            <w:pPr>
              <w:rPr>
                <w:rFonts w:cs="新細明體"/>
              </w:rPr>
            </w:pPr>
            <w:r w:rsidRPr="00A53581">
              <w:t>政權機關（創復延宕）</w:t>
            </w:r>
          </w:p>
        </w:tc>
      </w:tr>
      <w:tr w:rsidR="00203F72" w:rsidRPr="00A53581" w14:paraId="551759E5" w14:textId="77777777"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E4294A2" w14:textId="77777777" w:rsidR="00203F72" w:rsidRPr="00A53581" w:rsidRDefault="00203F72" w:rsidP="00D87D91">
            <w:pPr>
              <w:rPr>
                <w:rFonts w:cs="新細明體"/>
              </w:rPr>
            </w:pPr>
            <w:r w:rsidRPr="00A53581">
              <w:t>增修條文﹝一至六次﹞</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B4CF600" w14:textId="77777777" w:rsidR="00203F72" w:rsidRPr="00A53581" w:rsidRDefault="00203F72" w:rsidP="00D87D91">
            <w:pPr>
              <w:rPr>
                <w:rFonts w:cs="新細明體"/>
              </w:rPr>
            </w:pPr>
            <w:r w:rsidRPr="00A53581">
              <w:t>民選國大代表</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2862E1A" w14:textId="77777777" w:rsidR="00203F72" w:rsidRPr="00A53581" w:rsidRDefault="00203F72" w:rsidP="00D87D91">
            <w:pPr>
              <w:rPr>
                <w:rFonts w:cs="新細明體"/>
              </w:rPr>
            </w:pPr>
            <w:r w:rsidRPr="00A53581">
              <w:t>4</w:t>
            </w:r>
            <w:r w:rsidRPr="00A53581">
              <w:t>年一次</w:t>
            </w:r>
            <w:r w:rsidRPr="00A53581">
              <w:t>→</w:t>
            </w:r>
            <w:r w:rsidRPr="00A53581">
              <w:t>不定期﹝一月為限﹞</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0A35597" w14:textId="77777777" w:rsidR="00203F72" w:rsidRPr="00A53581" w:rsidRDefault="00203F72" w:rsidP="00D87D91">
            <w:pPr>
              <w:rPr>
                <w:rFonts w:cs="新細明體"/>
              </w:rPr>
            </w:pPr>
            <w:r w:rsidRPr="00A53581">
              <w:t>行使政權</w:t>
            </w:r>
          </w:p>
        </w:tc>
      </w:tr>
      <w:tr w:rsidR="00203F72" w:rsidRPr="00A53581" w14:paraId="750194CC" w14:textId="77777777"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BE09070" w14:textId="77777777" w:rsidR="00203F72" w:rsidRPr="00A53581" w:rsidRDefault="00203F72" w:rsidP="00D87D91">
            <w:pPr>
              <w:rPr>
                <w:rFonts w:cs="新細明體"/>
              </w:rPr>
            </w:pPr>
            <w:r w:rsidRPr="00A53581">
              <w:t>增修條文﹝現今﹞</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1120841" w14:textId="77777777" w:rsidR="00203F72" w:rsidRPr="00A53581" w:rsidRDefault="00203F72" w:rsidP="00D87D91">
            <w:pPr>
              <w:rPr>
                <w:rFonts w:cs="新細明體"/>
              </w:rPr>
            </w:pPr>
            <w:r w:rsidRPr="00A53581">
              <w:t>國大廢除</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BD39149" w14:textId="77777777" w:rsidR="00203F72" w:rsidRPr="00A53581" w:rsidRDefault="00203F72" w:rsidP="00D87D91">
            <w:pPr>
              <w:rPr>
                <w:rFonts w:cs="新細明體"/>
              </w:rPr>
            </w:pPr>
            <w:r w:rsidRPr="00A53581">
              <w:t>2005</w:t>
            </w:r>
            <w:r w:rsidRPr="00A53581">
              <w:t>年</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E79781B" w14:textId="77777777" w:rsidR="00203F72" w:rsidRPr="00A53581" w:rsidRDefault="00203F72" w:rsidP="00D87D91">
            <w:pPr>
              <w:rPr>
                <w:rFonts w:cs="新細明體"/>
              </w:rPr>
            </w:pPr>
            <w:r w:rsidRPr="00A53581">
              <w:t>還權於民（公投入憲）</w:t>
            </w:r>
          </w:p>
        </w:tc>
      </w:tr>
    </w:tbl>
    <w:p w14:paraId="58B65303" w14:textId="77777777" w:rsidR="00953151" w:rsidRPr="006B7176" w:rsidRDefault="00B03E84" w:rsidP="00D87D91">
      <w:r w:rsidRPr="006B7176">
        <w:rPr>
          <w:rFonts w:hint="eastAsia"/>
        </w:rPr>
        <w:t>【資料來源】</w:t>
      </w:r>
      <w:r w:rsidR="00203F72" w:rsidRPr="006B7176">
        <w:rPr>
          <w:rFonts w:hint="eastAsia"/>
        </w:rPr>
        <w:t>維基百科</w:t>
      </w:r>
      <w:r w:rsidR="00203F72" w:rsidRPr="006B7176">
        <w:rPr>
          <w:rFonts w:hint="eastAsia"/>
        </w:rPr>
        <w:t>(2015)</w:t>
      </w:r>
      <w:r w:rsidR="00203F72" w:rsidRPr="006B7176">
        <w:rPr>
          <w:rFonts w:hint="eastAsia"/>
        </w:rPr>
        <w:t>，中華民國憲法，上網瀏覽時日：</w:t>
      </w:r>
      <w:r w:rsidR="00203F72" w:rsidRPr="006B7176">
        <w:rPr>
          <w:rFonts w:hint="eastAsia"/>
        </w:rPr>
        <w:t>2015/08/02</w:t>
      </w:r>
      <w:r w:rsidR="00203F72" w:rsidRPr="006B7176">
        <w:rPr>
          <w:rFonts w:hint="eastAsia"/>
        </w:rPr>
        <w:t>，</w:t>
      </w:r>
      <w:hyperlink r:id="rId456" w:history="1">
        <w:r w:rsidR="00203F72" w:rsidRPr="006B7176">
          <w:rPr>
            <w:rStyle w:val="a5"/>
          </w:rPr>
          <w:t>https://zh.wikipedia.org/wiki/%E4%B8%AD%E8%8F%AF%E6%B0%91%E5%9C%8B%E6%86%B2%E6%B3%95</w:t>
        </w:r>
      </w:hyperlink>
      <w:r w:rsidR="00203F72" w:rsidRPr="006B7176">
        <w:t>。</w:t>
      </w:r>
    </w:p>
    <w:p w14:paraId="659B927F" w14:textId="77777777" w:rsidR="00953151" w:rsidRDefault="00076467" w:rsidP="00767F37">
      <w:pPr>
        <w:pStyle w:val="2"/>
      </w:pPr>
      <w:hyperlink r:id="rId457" w:anchor="a29" w:history="1">
        <w:r w:rsidR="005D5A46">
          <w:rPr>
            <w:rStyle w:val="a5"/>
            <w:rFonts w:ascii="Arial Unicode MS" w:hAnsi="Arial Unicode MS"/>
          </w:rPr>
          <w:t>第</w:t>
        </w:r>
        <w:r w:rsidR="00203F72" w:rsidRPr="001B53A5">
          <w:rPr>
            <w:rStyle w:val="a5"/>
            <w:rFonts w:ascii="Arial Unicode MS" w:hAnsi="Arial Unicode MS"/>
          </w:rPr>
          <w:t>29</w:t>
        </w:r>
        <w:r w:rsidR="005D5A46">
          <w:rPr>
            <w:rStyle w:val="a5"/>
            <w:rFonts w:ascii="Arial Unicode MS" w:hAnsi="Arial Unicode MS"/>
          </w:rPr>
          <w:t>條</w:t>
        </w:r>
      </w:hyperlink>
      <w:r w:rsidR="00203F72" w:rsidRPr="00A53581">
        <w:t>國民大會於每屆總統任滿前九十日集會，由總統召集之。</w:t>
      </w:r>
    </w:p>
    <w:p w14:paraId="1C500E5F" w14:textId="77777777" w:rsidR="00203F72" w:rsidRPr="00A53581" w:rsidRDefault="00B03E84" w:rsidP="00D87D91">
      <w:r>
        <w:t>【內容解析】</w:t>
      </w:r>
    </w:p>
    <w:p w14:paraId="46440C22" w14:textId="77777777" w:rsidR="00953151" w:rsidRDefault="008F066C" w:rsidP="00D87D91">
      <w:pPr>
        <w:rPr>
          <w:rFonts w:ascii="新細明體" w:hAnsi="新細明體"/>
        </w:rPr>
      </w:pPr>
      <w:r>
        <w:rPr>
          <w:rFonts w:ascii="新細明體" w:hAnsi="新細明體"/>
        </w:rPr>
        <w:t xml:space="preserve">　　</w:t>
      </w:r>
      <w:r w:rsidR="00203F72" w:rsidRPr="00A53581">
        <w:rPr>
          <w:rFonts w:ascii="新細明體" w:hAnsi="新細明體"/>
        </w:rPr>
        <w:t>為因應國家統一前之需要，本法條依憲法增修條</w:t>
      </w:r>
      <w:r w:rsidR="001B1539" w:rsidRPr="00A53581">
        <w:rPr>
          <w:rFonts w:ascii="新細明體" w:hAnsi="新細明體"/>
        </w:rPr>
        <w:t>文</w:t>
      </w:r>
      <w:hyperlink r:id="rId458" w:anchor="b1" w:history="1">
        <w:r w:rsidR="001B1539" w:rsidRPr="001B1539">
          <w:rPr>
            <w:rStyle w:val="a5"/>
          </w:rPr>
          <w:t>第1條</w:t>
        </w:r>
      </w:hyperlink>
      <w:r w:rsidR="00203F72" w:rsidRPr="00A53581">
        <w:rPr>
          <w:rFonts w:ascii="新細明體" w:hAnsi="新細明體"/>
        </w:rPr>
        <w:t>之規定停止適用。</w:t>
      </w:r>
    </w:p>
    <w:p w14:paraId="3B9241FA" w14:textId="77777777" w:rsidR="00203F72" w:rsidRPr="00A53581" w:rsidRDefault="00076467" w:rsidP="00767F37">
      <w:pPr>
        <w:pStyle w:val="2"/>
      </w:pPr>
      <w:hyperlink r:id="rId459" w:anchor="a30" w:history="1">
        <w:r w:rsidR="005D5A46">
          <w:rPr>
            <w:rStyle w:val="a5"/>
            <w:rFonts w:ascii="Arial Unicode MS" w:hAnsi="Arial Unicode MS"/>
          </w:rPr>
          <w:t>第</w:t>
        </w:r>
        <w:r w:rsidR="00203F72" w:rsidRPr="001B53A5">
          <w:rPr>
            <w:rStyle w:val="a5"/>
            <w:rFonts w:ascii="Arial Unicode MS" w:hAnsi="Arial Unicode MS"/>
          </w:rPr>
          <w:t>30</w:t>
        </w:r>
        <w:r w:rsidR="005D5A46">
          <w:rPr>
            <w:rStyle w:val="a5"/>
            <w:rFonts w:ascii="Arial Unicode MS" w:hAnsi="Arial Unicode MS"/>
          </w:rPr>
          <w:t>條</w:t>
        </w:r>
      </w:hyperlink>
      <w:r w:rsidR="00203F72" w:rsidRPr="00A53581">
        <w:t>國民大會遇有左列情形之一時，召集臨時會：</w:t>
      </w:r>
    </w:p>
    <w:p w14:paraId="74F9F48D" w14:textId="77777777" w:rsidR="00203F72" w:rsidRPr="00A53581" w:rsidRDefault="007F7377" w:rsidP="00D87D91">
      <w:pPr>
        <w:rPr>
          <w:rFonts w:ascii="新細明體" w:hAnsi="新細明體"/>
        </w:rPr>
      </w:pPr>
      <w:r>
        <w:rPr>
          <w:rFonts w:ascii="新細明體" w:hAnsi="新細明體"/>
        </w:rPr>
        <w:t xml:space="preserve">　　</w:t>
      </w:r>
      <w:r w:rsidR="00203F72" w:rsidRPr="00A53581">
        <w:rPr>
          <w:rFonts w:ascii="新細明體" w:hAnsi="新細明體"/>
        </w:rPr>
        <w:t>一</w:t>
      </w:r>
      <w:r w:rsidRPr="00A53581">
        <w:rPr>
          <w:rFonts w:ascii="新細明體" w:hAnsi="新細明體"/>
        </w:rPr>
        <w:t>、</w:t>
      </w:r>
      <w:r w:rsidR="00203F72" w:rsidRPr="00A53581">
        <w:rPr>
          <w:rFonts w:ascii="新細明體" w:hAnsi="新細明體"/>
        </w:rPr>
        <w:t>依本憲法</w:t>
      </w:r>
      <w:r w:rsidR="008F066C" w:rsidRPr="006E0E2F">
        <w:t>第</w:t>
      </w:r>
      <w:hyperlink r:id="rId460" w:anchor="a49" w:history="1">
        <w:r w:rsidR="008F066C" w:rsidRPr="006E0E2F">
          <w:rPr>
            <w:rStyle w:val="a5"/>
          </w:rPr>
          <w:t>四十九</w:t>
        </w:r>
      </w:hyperlink>
      <w:r w:rsidR="008F066C" w:rsidRPr="006E0E2F">
        <w:t>條</w:t>
      </w:r>
      <w:r w:rsidR="00203F72" w:rsidRPr="00A53581">
        <w:rPr>
          <w:rFonts w:ascii="新細明體" w:hAnsi="新細明體"/>
        </w:rPr>
        <w:t>之規定，應補選總統、副總統時。</w:t>
      </w:r>
    </w:p>
    <w:p w14:paraId="3427B22B" w14:textId="77777777" w:rsidR="00203F72" w:rsidRPr="00A53581" w:rsidRDefault="007F7377" w:rsidP="00D87D91">
      <w:r>
        <w:t xml:space="preserve">　　</w:t>
      </w:r>
      <w:r w:rsidR="00203F72" w:rsidRPr="00A53581">
        <w:t>二</w:t>
      </w:r>
      <w:r w:rsidRPr="00A53581">
        <w:t>、</w:t>
      </w:r>
      <w:r w:rsidR="00203F72" w:rsidRPr="00A53581">
        <w:t>依監察院之決議，對於總統、副總統提出彈劾案時。</w:t>
      </w:r>
    </w:p>
    <w:p w14:paraId="71EAF9A7" w14:textId="77777777" w:rsidR="00203F72" w:rsidRPr="00A53581" w:rsidRDefault="007F7377" w:rsidP="00D87D91">
      <w:r>
        <w:t xml:space="preserve">　　</w:t>
      </w:r>
      <w:r w:rsidR="00203F72" w:rsidRPr="00A53581">
        <w:t>三</w:t>
      </w:r>
      <w:r w:rsidRPr="00A53581">
        <w:t>、</w:t>
      </w:r>
      <w:r w:rsidR="00203F72" w:rsidRPr="00A53581">
        <w:t>依立法院之決議，提出憲法修正案時。</w:t>
      </w:r>
    </w:p>
    <w:p w14:paraId="5E787A4C" w14:textId="77777777" w:rsidR="00203F72" w:rsidRPr="00A53581" w:rsidRDefault="007F7377" w:rsidP="00D87D91">
      <w:r>
        <w:t xml:space="preserve">　　</w:t>
      </w:r>
      <w:r w:rsidR="00203F72" w:rsidRPr="00A53581">
        <w:t>四</w:t>
      </w:r>
      <w:r w:rsidRPr="00A53581">
        <w:t>、</w:t>
      </w:r>
      <w:r w:rsidR="00203F72" w:rsidRPr="00A53581">
        <w:t>國民大會代表五分之二以上請求召集時。</w:t>
      </w:r>
    </w:p>
    <w:p w14:paraId="4EF88E8C" w14:textId="77777777" w:rsidR="00953151" w:rsidRDefault="007F7377" w:rsidP="00D87D91">
      <w:r>
        <w:t xml:space="preserve">　　</w:t>
      </w:r>
      <w:r w:rsidR="00203F72" w:rsidRPr="00A53581">
        <w:t>國民大會臨時會，如依前項第一款或第二款應召集時，由立法院院長通告集會。依第三款或第四款應召集時，由總統召集之。</w:t>
      </w:r>
    </w:p>
    <w:p w14:paraId="30818201" w14:textId="77777777" w:rsidR="00203F72" w:rsidRPr="00A53581" w:rsidRDefault="00B03E84" w:rsidP="00D87D91">
      <w:r>
        <w:t>【內容解析】</w:t>
      </w:r>
    </w:p>
    <w:p w14:paraId="73651E7A" w14:textId="77777777" w:rsidR="00953151" w:rsidRDefault="007F7377" w:rsidP="00D87D91">
      <w:r>
        <w:t xml:space="preserve">　　</w:t>
      </w:r>
      <w:r w:rsidR="00203F72" w:rsidRPr="00A53581">
        <w:t>為因應國家統一前之需要，本法條依憲法增修條</w:t>
      </w:r>
      <w:r w:rsidR="001B1539" w:rsidRPr="00A53581">
        <w:t>文</w:t>
      </w:r>
      <w:hyperlink r:id="rId461" w:anchor="b1" w:history="1">
        <w:r w:rsidR="001B1539" w:rsidRPr="001B1539">
          <w:rPr>
            <w:rStyle w:val="a5"/>
          </w:rPr>
          <w:t>第1條</w:t>
        </w:r>
      </w:hyperlink>
      <w:r w:rsidR="00203F72" w:rsidRPr="00A53581">
        <w:t>之規定停止適用。</w:t>
      </w:r>
      <w:r w:rsidR="00203F72" w:rsidRPr="00A53581">
        <w:rPr>
          <w:rFonts w:hint="eastAsia"/>
        </w:rPr>
        <w:t>臺灣歷次憲改之修憲提案與表決機關，如下表所述。</w:t>
      </w:r>
    </w:p>
    <w:p w14:paraId="094F1E6B" w14:textId="77777777" w:rsidR="006B7176" w:rsidRDefault="006B7176" w:rsidP="00D87D91"/>
    <w:p w14:paraId="3B4E9828" w14:textId="77777777" w:rsidR="00203F72" w:rsidRPr="001B1539" w:rsidRDefault="00B03E84" w:rsidP="00D87D91">
      <w:r w:rsidRPr="001B1539">
        <w:t>【</w:t>
      </w:r>
      <w:r w:rsidRPr="001B1539">
        <w:t>table</w:t>
      </w:r>
      <w:r w:rsidR="005E23E3" w:rsidRPr="001B1539">
        <w:t>】</w:t>
      </w:r>
      <w:r w:rsidR="00203F72" w:rsidRPr="001B1539">
        <w:rPr>
          <w:rFonts w:hint="eastAsia"/>
        </w:rPr>
        <w:t>19</w:t>
      </w:r>
      <w:r w:rsidR="00203F72" w:rsidRPr="001B1539">
        <w:rPr>
          <w:rFonts w:hint="eastAsia"/>
        </w:rPr>
        <w:t>臺灣歷次憲改之修憲提案與表決機關</w:t>
      </w:r>
      <w:r w:rsidR="00203F72" w:rsidRPr="001B1539">
        <w:rPr>
          <w:rFonts w:hint="eastAsia"/>
        </w:rPr>
        <w:t xml:space="preserve"> </w:t>
      </w:r>
    </w:p>
    <w:tbl>
      <w:tblPr>
        <w:tblW w:w="765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2"/>
        <w:gridCol w:w="2074"/>
        <w:gridCol w:w="2074"/>
        <w:gridCol w:w="1824"/>
      </w:tblGrid>
      <w:tr w:rsidR="00203F72" w:rsidRPr="00A53581" w14:paraId="7F8C121F" w14:textId="77777777" w:rsidTr="001B1539">
        <w:trPr>
          <w:tblHeader/>
        </w:trPr>
        <w:tc>
          <w:tcPr>
            <w:tcW w:w="1682" w:type="dxa"/>
            <w:tcBorders>
              <w:top w:val="single" w:sz="4" w:space="0" w:color="auto"/>
              <w:left w:val="single" w:sz="4" w:space="0" w:color="auto"/>
              <w:bottom w:val="single" w:sz="4" w:space="0" w:color="auto"/>
              <w:right w:val="single" w:sz="4" w:space="0" w:color="auto"/>
            </w:tcBorders>
            <w:shd w:val="clear" w:color="auto" w:fill="FAF0FA"/>
            <w:hideMark/>
          </w:tcPr>
          <w:p w14:paraId="51301397" w14:textId="77777777" w:rsidR="00203F72" w:rsidRPr="00A53581" w:rsidRDefault="00203F72" w:rsidP="00D87D91">
            <w:r w:rsidRPr="00A53581">
              <w:rPr>
                <w:rFonts w:hint="eastAsia"/>
              </w:rPr>
              <w:t>修憲次序</w:t>
            </w:r>
          </w:p>
        </w:tc>
        <w:tc>
          <w:tcPr>
            <w:tcW w:w="2074" w:type="dxa"/>
            <w:tcBorders>
              <w:top w:val="single" w:sz="4" w:space="0" w:color="auto"/>
              <w:left w:val="single" w:sz="4" w:space="0" w:color="auto"/>
              <w:bottom w:val="single" w:sz="4" w:space="0" w:color="auto"/>
              <w:right w:val="single" w:sz="4" w:space="0" w:color="auto"/>
            </w:tcBorders>
            <w:shd w:val="clear" w:color="auto" w:fill="FAF0FA"/>
            <w:hideMark/>
          </w:tcPr>
          <w:p w14:paraId="3C6C78A0" w14:textId="77777777" w:rsidR="00203F72" w:rsidRPr="00A53581" w:rsidRDefault="00203F72" w:rsidP="00D87D91">
            <w:r w:rsidRPr="00A53581">
              <w:rPr>
                <w:rFonts w:hint="eastAsia"/>
              </w:rPr>
              <w:t>提案機關</w:t>
            </w:r>
          </w:p>
        </w:tc>
        <w:tc>
          <w:tcPr>
            <w:tcW w:w="2074" w:type="dxa"/>
            <w:tcBorders>
              <w:top w:val="single" w:sz="4" w:space="0" w:color="auto"/>
              <w:left w:val="single" w:sz="4" w:space="0" w:color="auto"/>
              <w:bottom w:val="single" w:sz="4" w:space="0" w:color="auto"/>
              <w:right w:val="single" w:sz="4" w:space="0" w:color="auto"/>
            </w:tcBorders>
            <w:shd w:val="clear" w:color="auto" w:fill="FAF0FA"/>
            <w:hideMark/>
          </w:tcPr>
          <w:p w14:paraId="285C53C4" w14:textId="77777777" w:rsidR="00203F72" w:rsidRPr="00A53581" w:rsidRDefault="00203F72" w:rsidP="00D87D91">
            <w:r w:rsidRPr="00A53581">
              <w:rPr>
                <w:rFonts w:hint="eastAsia"/>
              </w:rPr>
              <w:t>表決機關</w:t>
            </w:r>
          </w:p>
        </w:tc>
        <w:tc>
          <w:tcPr>
            <w:tcW w:w="1824" w:type="dxa"/>
            <w:tcBorders>
              <w:top w:val="single" w:sz="4" w:space="0" w:color="auto"/>
              <w:left w:val="single" w:sz="4" w:space="0" w:color="auto"/>
              <w:bottom w:val="single" w:sz="4" w:space="0" w:color="auto"/>
              <w:right w:val="single" w:sz="4" w:space="0" w:color="auto"/>
            </w:tcBorders>
            <w:shd w:val="clear" w:color="auto" w:fill="FAF0FA"/>
            <w:hideMark/>
          </w:tcPr>
          <w:p w14:paraId="79063E2C" w14:textId="77777777" w:rsidR="00203F72" w:rsidRPr="00A53581" w:rsidRDefault="00203F72" w:rsidP="00D87D91">
            <w:r w:rsidRPr="00A53581">
              <w:rPr>
                <w:rFonts w:hint="eastAsia"/>
              </w:rPr>
              <w:t>修憲機關數目</w:t>
            </w:r>
          </w:p>
        </w:tc>
      </w:tr>
      <w:tr w:rsidR="00203F72" w:rsidRPr="00A53581" w14:paraId="151D1273" w14:textId="77777777"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14:paraId="3BA01E15" w14:textId="77777777" w:rsidR="00203F72" w:rsidRPr="00A53581" w:rsidRDefault="00203F72" w:rsidP="00D87D91">
            <w:r w:rsidRPr="00A53581">
              <w:rPr>
                <w:rFonts w:hint="eastAsia"/>
              </w:rPr>
              <w:t>第一次修憲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08AED7FC" w14:textId="77777777"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36A0958C" w14:textId="77777777"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14:paraId="4995DBC6" w14:textId="77777777" w:rsidR="00203F72" w:rsidRPr="00A53581" w:rsidRDefault="00203F72" w:rsidP="00D87D91">
            <w:r w:rsidRPr="00A53581">
              <w:rPr>
                <w:rFonts w:hint="eastAsia"/>
              </w:rPr>
              <w:t>一個</w:t>
            </w:r>
          </w:p>
        </w:tc>
      </w:tr>
      <w:tr w:rsidR="00203F72" w:rsidRPr="00A53581" w14:paraId="230CC149" w14:textId="77777777"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14:paraId="17597F40" w14:textId="77777777" w:rsidR="00203F72" w:rsidRPr="00A53581" w:rsidRDefault="00203F72" w:rsidP="00D87D91">
            <w:r w:rsidRPr="00A53581">
              <w:rPr>
                <w:rFonts w:hint="eastAsia"/>
              </w:rPr>
              <w:t>第二次修憲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5F7379F0" w14:textId="77777777"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6C19D529" w14:textId="77777777"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14:paraId="36137218" w14:textId="77777777" w:rsidR="00203F72" w:rsidRPr="00A53581" w:rsidRDefault="00203F72" w:rsidP="00D87D91">
            <w:r w:rsidRPr="00A53581">
              <w:rPr>
                <w:rFonts w:hint="eastAsia"/>
              </w:rPr>
              <w:t>一個</w:t>
            </w:r>
          </w:p>
        </w:tc>
      </w:tr>
      <w:tr w:rsidR="00203F72" w:rsidRPr="00A53581" w14:paraId="09080773" w14:textId="77777777"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14:paraId="3B5FDAB2" w14:textId="77777777" w:rsidR="00203F72" w:rsidRPr="00A53581" w:rsidRDefault="00203F72" w:rsidP="00D87D91">
            <w:r w:rsidRPr="00A53581">
              <w:rPr>
                <w:rFonts w:hint="eastAsia"/>
              </w:rPr>
              <w:t>第三次修憲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6755BBF3" w14:textId="77777777"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5F183896" w14:textId="77777777"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14:paraId="3F3FAE21" w14:textId="77777777" w:rsidR="00203F72" w:rsidRPr="00A53581" w:rsidRDefault="00203F72" w:rsidP="00D87D91">
            <w:r w:rsidRPr="00A53581">
              <w:rPr>
                <w:rFonts w:hint="eastAsia"/>
              </w:rPr>
              <w:t>一個</w:t>
            </w:r>
          </w:p>
        </w:tc>
      </w:tr>
      <w:tr w:rsidR="00203F72" w:rsidRPr="00A53581" w14:paraId="632AF040" w14:textId="77777777"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14:paraId="141289FE" w14:textId="77777777" w:rsidR="00203F72" w:rsidRPr="00A53581" w:rsidRDefault="00203F72" w:rsidP="00D87D91">
            <w:r w:rsidRPr="00A53581">
              <w:rPr>
                <w:rFonts w:hint="eastAsia"/>
              </w:rPr>
              <w:t>第四次修憲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26448621" w14:textId="77777777"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2DDA63F3" w14:textId="77777777"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14:paraId="2E393174" w14:textId="77777777" w:rsidR="00203F72" w:rsidRPr="00A53581" w:rsidRDefault="00203F72" w:rsidP="00D87D91">
            <w:r w:rsidRPr="00A53581">
              <w:rPr>
                <w:rFonts w:hint="eastAsia"/>
              </w:rPr>
              <w:t>一個</w:t>
            </w:r>
          </w:p>
        </w:tc>
      </w:tr>
      <w:tr w:rsidR="00203F72" w:rsidRPr="00A53581" w14:paraId="4A4E0655" w14:textId="77777777"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14:paraId="014FC18A" w14:textId="77777777" w:rsidR="00203F72" w:rsidRPr="00A53581" w:rsidRDefault="00203F72" w:rsidP="00D87D91">
            <w:r w:rsidRPr="00A53581">
              <w:rPr>
                <w:rFonts w:hint="eastAsia"/>
              </w:rPr>
              <w:t>第五次修憲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6BC06907" w14:textId="77777777"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4F8A1D97" w14:textId="77777777"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14:paraId="009E0C64" w14:textId="77777777" w:rsidR="00203F72" w:rsidRPr="00A53581" w:rsidRDefault="00203F72" w:rsidP="00D87D91">
            <w:r w:rsidRPr="00A53581">
              <w:rPr>
                <w:rFonts w:hint="eastAsia"/>
              </w:rPr>
              <w:t>一個</w:t>
            </w:r>
          </w:p>
        </w:tc>
      </w:tr>
      <w:tr w:rsidR="00203F72" w:rsidRPr="00A53581" w14:paraId="1FBF0592" w14:textId="77777777"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14:paraId="2E55D8F3" w14:textId="77777777" w:rsidR="00203F72" w:rsidRPr="00A53581" w:rsidRDefault="00203F72" w:rsidP="00D87D91">
            <w:r w:rsidRPr="00A53581">
              <w:rPr>
                <w:rFonts w:hint="eastAsia"/>
              </w:rPr>
              <w:t>第六次修憲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2E70C110" w14:textId="77777777"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36AB5409" w14:textId="77777777"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14:paraId="65C3B336" w14:textId="77777777" w:rsidR="00203F72" w:rsidRPr="00A53581" w:rsidRDefault="00203F72" w:rsidP="00D87D91">
            <w:r w:rsidRPr="00A53581">
              <w:rPr>
                <w:rFonts w:hint="eastAsia"/>
              </w:rPr>
              <w:t>一個</w:t>
            </w:r>
          </w:p>
        </w:tc>
      </w:tr>
      <w:tr w:rsidR="00203F72" w:rsidRPr="00A53581" w14:paraId="120BA1F4" w14:textId="77777777"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14:paraId="7E457B8A" w14:textId="77777777" w:rsidR="00203F72" w:rsidRPr="00A53581" w:rsidRDefault="00203F72" w:rsidP="00D87D91">
            <w:r w:rsidRPr="00A53581">
              <w:rPr>
                <w:rFonts w:hint="eastAsia"/>
              </w:rPr>
              <w:t>第七次修憲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4AA1649A" w14:textId="77777777" w:rsidR="00203F72" w:rsidRPr="00A53581" w:rsidRDefault="00203F72" w:rsidP="00D87D91">
            <w:r w:rsidRPr="00A53581">
              <w:rPr>
                <w:rFonts w:hint="eastAsia"/>
              </w:rPr>
              <w:t>立法院</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14:paraId="2C9D515F" w14:textId="77777777" w:rsidR="00203F72" w:rsidRPr="00A53581" w:rsidRDefault="00203F72" w:rsidP="00D87D91">
            <w:r w:rsidRPr="00A53581">
              <w:rPr>
                <w:rFonts w:hint="eastAsia"/>
              </w:rPr>
              <w:t>任務型國大</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14:paraId="2A4772CB" w14:textId="77777777" w:rsidR="00203F72" w:rsidRPr="00A53581" w:rsidRDefault="00203F72" w:rsidP="00D87D91">
            <w:r w:rsidRPr="00A53581">
              <w:rPr>
                <w:rFonts w:hint="eastAsia"/>
              </w:rPr>
              <w:t>兩個</w:t>
            </w:r>
          </w:p>
        </w:tc>
      </w:tr>
    </w:tbl>
    <w:p w14:paraId="6350B6B3" w14:textId="77777777" w:rsidR="00203F72" w:rsidRPr="001B1539" w:rsidRDefault="002107CE" w:rsidP="00D87D91">
      <w:r w:rsidRPr="001B1539">
        <w:rPr>
          <w:rFonts w:hint="eastAsia"/>
        </w:rPr>
        <w:t>【本表格資料來源】</w:t>
      </w:r>
    </w:p>
    <w:p w14:paraId="2A7DDF8C" w14:textId="77777777" w:rsidR="00953151" w:rsidRDefault="007F7377" w:rsidP="00D87D91">
      <w:r w:rsidRPr="001B1539">
        <w:rPr>
          <w:rFonts w:hint="eastAsia"/>
        </w:rPr>
        <w:t xml:space="preserve">　　</w:t>
      </w:r>
      <w:r w:rsidR="00203F72" w:rsidRPr="001B1539">
        <w:rPr>
          <w:rFonts w:hint="eastAsia"/>
        </w:rPr>
        <w:t>張淑中，姚中原</w:t>
      </w:r>
      <w:r w:rsidR="00203F72" w:rsidRPr="001B1539">
        <w:t>(2012)</w:t>
      </w:r>
      <w:r w:rsidR="00203F72" w:rsidRPr="001B1539">
        <w:t>，</w:t>
      </w:r>
      <w:r w:rsidR="00203F72" w:rsidRPr="001B1539">
        <w:rPr>
          <w:rFonts w:hint="eastAsia"/>
        </w:rPr>
        <w:t>台灣憲政改革─修憲理論、政治過程與制度影響，初版，台北：五南圖書公司，第</w:t>
      </w:r>
      <w:r w:rsidR="00203F72" w:rsidRPr="001B1539">
        <w:t>113</w:t>
      </w:r>
      <w:r w:rsidR="00203F72" w:rsidRPr="001B1539">
        <w:rPr>
          <w:rFonts w:hint="eastAsia"/>
        </w:rPr>
        <w:t>頁。</w:t>
      </w:r>
    </w:p>
    <w:p w14:paraId="39F5D4A1" w14:textId="77777777" w:rsidR="006B7176" w:rsidRPr="001B1539" w:rsidRDefault="006B7176" w:rsidP="00D87D91"/>
    <w:p w14:paraId="26EAE501" w14:textId="142976AA"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26</w:t>
      </w:r>
      <w:r w:rsidR="00076467">
        <w:rPr>
          <w:noProof/>
        </w:rPr>
        <w:fldChar w:fldCharType="end"/>
      </w:r>
      <w:r w:rsidR="00203F72" w:rsidRPr="001B1539">
        <w:rPr>
          <w:rFonts w:hint="eastAsia"/>
        </w:rPr>
        <w:t>國民大會歷次集會情形表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9"/>
      </w:tblGrid>
      <w:tr w:rsidR="00203F72" w:rsidRPr="00A53581" w14:paraId="74BCC4C1" w14:textId="77777777" w:rsidTr="00203F72">
        <w:tc>
          <w:tcPr>
            <w:tcW w:w="8049" w:type="dxa"/>
            <w:shd w:val="clear" w:color="auto" w:fill="auto"/>
          </w:tcPr>
          <w:p w14:paraId="1C6019E7" w14:textId="77777777" w:rsidR="001B53A5" w:rsidRDefault="001B53A5" w:rsidP="00D87D91">
            <w:r w:rsidRPr="001B53A5">
              <w:rPr>
                <w:rFonts w:hint="eastAsia"/>
              </w:rPr>
              <w:t xml:space="preserve">　　一、第一屆國民大會（</w:t>
            </w:r>
            <w:r w:rsidRPr="001B53A5">
              <w:rPr>
                <w:rFonts w:hint="eastAsia"/>
              </w:rPr>
              <w:t>1948</w:t>
            </w:r>
            <w:r w:rsidRPr="001B53A5">
              <w:rPr>
                <w:rFonts w:hint="eastAsia"/>
              </w:rPr>
              <w:t>年—</w:t>
            </w:r>
            <w:r w:rsidRPr="001B53A5">
              <w:rPr>
                <w:rFonts w:hint="eastAsia"/>
              </w:rPr>
              <w:t>1991</w:t>
            </w:r>
            <w:r w:rsidRPr="001B53A5">
              <w:rPr>
                <w:rFonts w:hint="eastAsia"/>
              </w:rPr>
              <w:t>年）</w:t>
            </w:r>
          </w:p>
          <w:p w14:paraId="2DCE71C9" w14:textId="77777777" w:rsidR="001B53A5" w:rsidRPr="001B53A5" w:rsidRDefault="001B53A5" w:rsidP="00D87D91">
            <w:r>
              <w:rPr>
                <w:rFonts w:hint="eastAsia"/>
              </w:rPr>
              <w:t xml:space="preserve">　　</w:t>
            </w:r>
            <w:r w:rsidRPr="001B53A5">
              <w:rPr>
                <w:rFonts w:hint="eastAsia"/>
              </w:rPr>
              <w:t>1.</w:t>
            </w:r>
            <w:r w:rsidRPr="001B53A5">
              <w:rPr>
                <w:rFonts w:hint="eastAsia"/>
              </w:rPr>
              <w:t>第一屆國民大會第一次會議</w:t>
            </w:r>
          </w:p>
          <w:p w14:paraId="63EFEEB4" w14:textId="77777777" w:rsidR="001B53A5" w:rsidRPr="001B53A5" w:rsidRDefault="001B53A5" w:rsidP="00D87D91">
            <w:r w:rsidRPr="001B53A5">
              <w:rPr>
                <w:rFonts w:hint="eastAsia"/>
              </w:rPr>
              <w:t xml:space="preserve">　　</w:t>
            </w:r>
            <w:r w:rsidRPr="001B53A5">
              <w:rPr>
                <w:rFonts w:hint="eastAsia"/>
              </w:rPr>
              <w:t>2.</w:t>
            </w:r>
            <w:r w:rsidRPr="001B53A5">
              <w:rPr>
                <w:rFonts w:hint="eastAsia"/>
              </w:rPr>
              <w:t>第一屆國民大會第二次會議</w:t>
            </w:r>
          </w:p>
          <w:p w14:paraId="06A5628F" w14:textId="77777777" w:rsidR="001B53A5" w:rsidRPr="001B53A5" w:rsidRDefault="001B53A5" w:rsidP="00D87D91">
            <w:r w:rsidRPr="001B53A5">
              <w:rPr>
                <w:rFonts w:hint="eastAsia"/>
              </w:rPr>
              <w:t xml:space="preserve">　　</w:t>
            </w:r>
            <w:r w:rsidRPr="001B53A5">
              <w:rPr>
                <w:rFonts w:hint="eastAsia"/>
              </w:rPr>
              <w:t>3.</w:t>
            </w:r>
            <w:r w:rsidRPr="001B53A5">
              <w:rPr>
                <w:rFonts w:hint="eastAsia"/>
              </w:rPr>
              <w:t>第一屆國民大會第三次會議</w:t>
            </w:r>
          </w:p>
          <w:p w14:paraId="11C2C265" w14:textId="77777777" w:rsidR="001B53A5" w:rsidRPr="001B53A5" w:rsidRDefault="001B53A5" w:rsidP="00D87D91">
            <w:r w:rsidRPr="001B53A5">
              <w:rPr>
                <w:rFonts w:hint="eastAsia"/>
              </w:rPr>
              <w:t xml:space="preserve">　　</w:t>
            </w:r>
            <w:r w:rsidRPr="001B53A5">
              <w:rPr>
                <w:rFonts w:hint="eastAsia"/>
              </w:rPr>
              <w:t>4.</w:t>
            </w:r>
            <w:r w:rsidRPr="001B53A5">
              <w:rPr>
                <w:rFonts w:hint="eastAsia"/>
              </w:rPr>
              <w:t>第一屆國民大會臨時會</w:t>
            </w:r>
          </w:p>
          <w:p w14:paraId="77A86A3D" w14:textId="77777777" w:rsidR="001B53A5" w:rsidRPr="001B53A5" w:rsidRDefault="001B53A5" w:rsidP="00D87D91">
            <w:r w:rsidRPr="001B53A5">
              <w:rPr>
                <w:rFonts w:hint="eastAsia"/>
              </w:rPr>
              <w:t xml:space="preserve">　　</w:t>
            </w:r>
            <w:r w:rsidRPr="001B53A5">
              <w:rPr>
                <w:rFonts w:hint="eastAsia"/>
              </w:rPr>
              <w:t>5.</w:t>
            </w:r>
            <w:r w:rsidRPr="001B53A5">
              <w:rPr>
                <w:rFonts w:hint="eastAsia"/>
              </w:rPr>
              <w:t>第一屆國民大會第四次會議</w:t>
            </w:r>
          </w:p>
          <w:p w14:paraId="1300A64A" w14:textId="77777777" w:rsidR="001B53A5" w:rsidRPr="001B53A5" w:rsidRDefault="001B53A5" w:rsidP="00D87D91">
            <w:r w:rsidRPr="001B53A5">
              <w:rPr>
                <w:rFonts w:hint="eastAsia"/>
              </w:rPr>
              <w:t xml:space="preserve">　　</w:t>
            </w:r>
            <w:r w:rsidRPr="001B53A5">
              <w:rPr>
                <w:rFonts w:hint="eastAsia"/>
              </w:rPr>
              <w:t>6.</w:t>
            </w:r>
            <w:r w:rsidRPr="001B53A5">
              <w:rPr>
                <w:rFonts w:hint="eastAsia"/>
              </w:rPr>
              <w:t>第一屆國民大會第五次會議</w:t>
            </w:r>
          </w:p>
          <w:p w14:paraId="1AF82FBD" w14:textId="77777777" w:rsidR="001B53A5" w:rsidRPr="001B53A5" w:rsidRDefault="001B53A5" w:rsidP="00D87D91">
            <w:r w:rsidRPr="001B53A5">
              <w:rPr>
                <w:rFonts w:hint="eastAsia"/>
              </w:rPr>
              <w:t xml:space="preserve">　　</w:t>
            </w:r>
            <w:r w:rsidRPr="001B53A5">
              <w:rPr>
                <w:rFonts w:hint="eastAsia"/>
              </w:rPr>
              <w:t>7.</w:t>
            </w:r>
            <w:r w:rsidRPr="001B53A5">
              <w:rPr>
                <w:rFonts w:hint="eastAsia"/>
              </w:rPr>
              <w:t>第一屆國民大會第六次會議</w:t>
            </w:r>
          </w:p>
          <w:p w14:paraId="3E4C2ABF" w14:textId="77777777" w:rsidR="001B53A5" w:rsidRPr="001B53A5" w:rsidRDefault="001B53A5" w:rsidP="00D87D91">
            <w:r w:rsidRPr="001B53A5">
              <w:rPr>
                <w:rFonts w:hint="eastAsia"/>
              </w:rPr>
              <w:t xml:space="preserve">　　</w:t>
            </w:r>
            <w:r w:rsidRPr="001B53A5">
              <w:rPr>
                <w:rFonts w:hint="eastAsia"/>
              </w:rPr>
              <w:t>8.</w:t>
            </w:r>
            <w:r w:rsidRPr="001B53A5">
              <w:rPr>
                <w:rFonts w:hint="eastAsia"/>
              </w:rPr>
              <w:t>第一屆國民大會第七次會議</w:t>
            </w:r>
          </w:p>
          <w:p w14:paraId="0B10A700" w14:textId="77777777" w:rsidR="001B53A5" w:rsidRPr="001B53A5" w:rsidRDefault="001B53A5" w:rsidP="00D87D91">
            <w:r w:rsidRPr="001B53A5">
              <w:rPr>
                <w:rFonts w:hint="eastAsia"/>
              </w:rPr>
              <w:t xml:space="preserve">　　</w:t>
            </w:r>
            <w:r w:rsidRPr="001B53A5">
              <w:rPr>
                <w:rFonts w:hint="eastAsia"/>
              </w:rPr>
              <w:t>9.</w:t>
            </w:r>
            <w:r w:rsidRPr="001B53A5">
              <w:rPr>
                <w:rFonts w:hint="eastAsia"/>
              </w:rPr>
              <w:t>第一屆國民大會第八次會議</w:t>
            </w:r>
          </w:p>
          <w:p w14:paraId="18E354AA" w14:textId="77777777" w:rsidR="001B53A5" w:rsidRPr="001B53A5" w:rsidRDefault="001B53A5" w:rsidP="00D87D91">
            <w:r w:rsidRPr="001B53A5">
              <w:rPr>
                <w:rFonts w:hint="eastAsia"/>
              </w:rPr>
              <w:t xml:space="preserve">　　</w:t>
            </w:r>
            <w:r w:rsidRPr="001B53A5">
              <w:rPr>
                <w:rFonts w:hint="eastAsia"/>
              </w:rPr>
              <w:t>10.</w:t>
            </w:r>
            <w:r w:rsidRPr="001B53A5">
              <w:rPr>
                <w:rFonts w:hint="eastAsia"/>
              </w:rPr>
              <w:t>第一屆國民大會第二次臨時會</w:t>
            </w:r>
          </w:p>
          <w:p w14:paraId="6433B0EF" w14:textId="77777777" w:rsidR="001B53A5" w:rsidRDefault="001B53A5" w:rsidP="00D87D91">
            <w:r w:rsidRPr="001B53A5">
              <w:rPr>
                <w:rFonts w:hint="eastAsia"/>
              </w:rPr>
              <w:t xml:space="preserve">　　二、第二屆國民大會（</w:t>
            </w:r>
            <w:r w:rsidRPr="001B53A5">
              <w:rPr>
                <w:rFonts w:hint="eastAsia"/>
              </w:rPr>
              <w:t>1992</w:t>
            </w:r>
            <w:r w:rsidRPr="001B53A5">
              <w:rPr>
                <w:rFonts w:hint="eastAsia"/>
              </w:rPr>
              <w:t>年—</w:t>
            </w:r>
            <w:r w:rsidRPr="001B53A5">
              <w:rPr>
                <w:rFonts w:hint="eastAsia"/>
              </w:rPr>
              <w:t>1996</w:t>
            </w:r>
            <w:r w:rsidRPr="001B53A5">
              <w:rPr>
                <w:rFonts w:hint="eastAsia"/>
              </w:rPr>
              <w:t>年）</w:t>
            </w:r>
          </w:p>
          <w:p w14:paraId="2E179CFD" w14:textId="77777777" w:rsidR="001B53A5" w:rsidRPr="001B53A5" w:rsidRDefault="001B53A5" w:rsidP="00D87D91">
            <w:r>
              <w:rPr>
                <w:rFonts w:hint="eastAsia"/>
              </w:rPr>
              <w:t xml:space="preserve">　　</w:t>
            </w:r>
            <w:r w:rsidRPr="001B53A5">
              <w:rPr>
                <w:rFonts w:hint="eastAsia"/>
              </w:rPr>
              <w:t>1.</w:t>
            </w:r>
            <w:r w:rsidRPr="001B53A5">
              <w:rPr>
                <w:rFonts w:hint="eastAsia"/>
              </w:rPr>
              <w:t>第二屆國民大會臨時會</w:t>
            </w:r>
          </w:p>
          <w:p w14:paraId="5AEE596B" w14:textId="77777777" w:rsidR="001B53A5" w:rsidRPr="001B53A5" w:rsidRDefault="001B53A5" w:rsidP="00D87D91">
            <w:r w:rsidRPr="001B53A5">
              <w:rPr>
                <w:rFonts w:hint="eastAsia"/>
              </w:rPr>
              <w:t xml:space="preserve">　　</w:t>
            </w:r>
            <w:r w:rsidRPr="001B53A5">
              <w:rPr>
                <w:rFonts w:hint="eastAsia"/>
              </w:rPr>
              <w:t>2.</w:t>
            </w:r>
            <w:r w:rsidRPr="001B53A5">
              <w:rPr>
                <w:rFonts w:hint="eastAsia"/>
              </w:rPr>
              <w:t>第二屆國民大會第二次臨時會</w:t>
            </w:r>
          </w:p>
          <w:p w14:paraId="04E950F7" w14:textId="77777777" w:rsidR="001B53A5" w:rsidRPr="001B53A5" w:rsidRDefault="001B53A5" w:rsidP="00D87D91">
            <w:r w:rsidRPr="001B53A5">
              <w:rPr>
                <w:rFonts w:hint="eastAsia"/>
              </w:rPr>
              <w:t xml:space="preserve">　　</w:t>
            </w:r>
            <w:r w:rsidRPr="001B53A5">
              <w:rPr>
                <w:rFonts w:hint="eastAsia"/>
              </w:rPr>
              <w:t>3.</w:t>
            </w:r>
            <w:r w:rsidRPr="001B53A5">
              <w:rPr>
                <w:rFonts w:hint="eastAsia"/>
              </w:rPr>
              <w:t>第二屆國民大會第三次臨時會</w:t>
            </w:r>
          </w:p>
          <w:p w14:paraId="05D3C736" w14:textId="77777777" w:rsidR="001B53A5" w:rsidRPr="001B53A5" w:rsidRDefault="001B53A5" w:rsidP="00D87D91">
            <w:r w:rsidRPr="001B53A5">
              <w:rPr>
                <w:rFonts w:hint="eastAsia"/>
              </w:rPr>
              <w:t xml:space="preserve">　　</w:t>
            </w:r>
            <w:r w:rsidRPr="001B53A5">
              <w:rPr>
                <w:rFonts w:hint="eastAsia"/>
              </w:rPr>
              <w:t>4.</w:t>
            </w:r>
            <w:r w:rsidRPr="001B53A5">
              <w:rPr>
                <w:rFonts w:hint="eastAsia"/>
              </w:rPr>
              <w:t>第二屆國民大會第四次臨時會</w:t>
            </w:r>
          </w:p>
          <w:p w14:paraId="288E0DED" w14:textId="77777777" w:rsidR="001B53A5" w:rsidRPr="001B53A5" w:rsidRDefault="001B53A5" w:rsidP="00D87D91">
            <w:r w:rsidRPr="001B53A5">
              <w:rPr>
                <w:rFonts w:hint="eastAsia"/>
              </w:rPr>
              <w:t xml:space="preserve">　　</w:t>
            </w:r>
            <w:r w:rsidRPr="001B53A5">
              <w:rPr>
                <w:rFonts w:hint="eastAsia"/>
              </w:rPr>
              <w:t>5.</w:t>
            </w:r>
            <w:r w:rsidRPr="001B53A5">
              <w:rPr>
                <w:rFonts w:hint="eastAsia"/>
              </w:rPr>
              <w:t>第二屆國民大會第五次會議</w:t>
            </w:r>
          </w:p>
          <w:p w14:paraId="6CB9167C" w14:textId="77777777" w:rsidR="001B53A5" w:rsidRPr="001B53A5" w:rsidRDefault="001B53A5" w:rsidP="00D87D91">
            <w:r w:rsidRPr="001B53A5">
              <w:rPr>
                <w:rFonts w:hint="eastAsia"/>
              </w:rPr>
              <w:t xml:space="preserve">　　三、第三屆國民大會（</w:t>
            </w:r>
            <w:r w:rsidRPr="001B53A5">
              <w:rPr>
                <w:rFonts w:hint="eastAsia"/>
              </w:rPr>
              <w:t>1996</w:t>
            </w:r>
            <w:r w:rsidRPr="001B53A5">
              <w:rPr>
                <w:rFonts w:hint="eastAsia"/>
              </w:rPr>
              <w:t>年—</w:t>
            </w:r>
            <w:r w:rsidRPr="001B53A5">
              <w:rPr>
                <w:rFonts w:hint="eastAsia"/>
              </w:rPr>
              <w:t>2000</w:t>
            </w:r>
            <w:r w:rsidRPr="001B53A5">
              <w:rPr>
                <w:rFonts w:hint="eastAsia"/>
              </w:rPr>
              <w:t>年）</w:t>
            </w:r>
            <w:r w:rsidRPr="001B53A5">
              <w:rPr>
                <w:rFonts w:hint="eastAsia"/>
              </w:rPr>
              <w:t>1.</w:t>
            </w:r>
            <w:r w:rsidRPr="001B53A5">
              <w:rPr>
                <w:rFonts w:hint="eastAsia"/>
              </w:rPr>
              <w:t>第三屆國民大會第一次會議</w:t>
            </w:r>
          </w:p>
          <w:p w14:paraId="13A087A3" w14:textId="77777777" w:rsidR="001B53A5" w:rsidRPr="001B53A5" w:rsidRDefault="001B53A5" w:rsidP="00D87D91">
            <w:r w:rsidRPr="001B53A5">
              <w:rPr>
                <w:rFonts w:hint="eastAsia"/>
              </w:rPr>
              <w:t xml:space="preserve">　　</w:t>
            </w:r>
            <w:r w:rsidRPr="001B53A5">
              <w:rPr>
                <w:rFonts w:hint="eastAsia"/>
              </w:rPr>
              <w:t>2.</w:t>
            </w:r>
            <w:r w:rsidRPr="001B53A5">
              <w:rPr>
                <w:rFonts w:hint="eastAsia"/>
              </w:rPr>
              <w:t>第三屆國民大會第二次會議</w:t>
            </w:r>
          </w:p>
          <w:p w14:paraId="108043F8" w14:textId="77777777" w:rsidR="001B53A5" w:rsidRPr="001B53A5" w:rsidRDefault="001B53A5" w:rsidP="00D87D91">
            <w:r w:rsidRPr="001B53A5">
              <w:rPr>
                <w:rFonts w:hint="eastAsia"/>
              </w:rPr>
              <w:t xml:space="preserve">　　</w:t>
            </w:r>
            <w:r w:rsidRPr="001B53A5">
              <w:rPr>
                <w:rFonts w:hint="eastAsia"/>
              </w:rPr>
              <w:t>3.</w:t>
            </w:r>
            <w:r w:rsidRPr="001B53A5">
              <w:rPr>
                <w:rFonts w:hint="eastAsia"/>
              </w:rPr>
              <w:t>第三屆國民大會第三次會議</w:t>
            </w:r>
          </w:p>
          <w:p w14:paraId="23BC4D13" w14:textId="77777777" w:rsidR="001B53A5" w:rsidRPr="001B53A5" w:rsidRDefault="001B53A5" w:rsidP="00D87D91">
            <w:r w:rsidRPr="001B53A5">
              <w:rPr>
                <w:rFonts w:hint="eastAsia"/>
              </w:rPr>
              <w:t xml:space="preserve">　　</w:t>
            </w:r>
            <w:r w:rsidRPr="001B53A5">
              <w:rPr>
                <w:rFonts w:hint="eastAsia"/>
              </w:rPr>
              <w:t>4.</w:t>
            </w:r>
            <w:r w:rsidRPr="001B53A5">
              <w:rPr>
                <w:rFonts w:hint="eastAsia"/>
              </w:rPr>
              <w:t>第三屆國民大會第四次會議</w:t>
            </w:r>
          </w:p>
          <w:p w14:paraId="09E58C6D" w14:textId="77777777" w:rsidR="001B53A5" w:rsidRPr="001B53A5" w:rsidRDefault="001B53A5" w:rsidP="00D87D91">
            <w:r w:rsidRPr="001B53A5">
              <w:rPr>
                <w:rFonts w:hint="eastAsia"/>
              </w:rPr>
              <w:t xml:space="preserve">　　</w:t>
            </w:r>
            <w:r w:rsidRPr="001B53A5">
              <w:rPr>
                <w:rFonts w:hint="eastAsia"/>
              </w:rPr>
              <w:t>5.</w:t>
            </w:r>
            <w:r w:rsidRPr="001B53A5">
              <w:rPr>
                <w:rFonts w:hint="eastAsia"/>
              </w:rPr>
              <w:t>第三屆國民大會第五次會議</w:t>
            </w:r>
          </w:p>
          <w:p w14:paraId="4648DFC1" w14:textId="77777777" w:rsidR="00203F72" w:rsidRPr="00A53581" w:rsidRDefault="001B53A5" w:rsidP="00D87D91">
            <w:r w:rsidRPr="001B53A5">
              <w:rPr>
                <w:rFonts w:hint="eastAsia"/>
              </w:rPr>
              <w:t xml:space="preserve">　　四、「任務型」國民大會（</w:t>
            </w:r>
            <w:r w:rsidRPr="001B53A5">
              <w:rPr>
                <w:rFonts w:hint="eastAsia"/>
              </w:rPr>
              <w:t>2005</w:t>
            </w:r>
            <w:r w:rsidRPr="001B53A5">
              <w:rPr>
                <w:rFonts w:hint="eastAsia"/>
              </w:rPr>
              <w:t>年）</w:t>
            </w:r>
          </w:p>
        </w:tc>
      </w:tr>
    </w:tbl>
    <w:p w14:paraId="08D5118F" w14:textId="77777777" w:rsidR="00953151" w:rsidRDefault="002107CE" w:rsidP="00D87D91">
      <w:r>
        <w:rPr>
          <w:rFonts w:hint="eastAsia"/>
        </w:rPr>
        <w:t>【本表格資料來源】</w:t>
      </w:r>
      <w:r w:rsidR="00203F72" w:rsidRPr="00A53581">
        <w:rPr>
          <w:rFonts w:hint="eastAsia"/>
        </w:rPr>
        <w:t>維基百科</w:t>
      </w:r>
      <w:r w:rsidR="00203F72" w:rsidRPr="00A53581">
        <w:rPr>
          <w:rFonts w:hint="eastAsia"/>
        </w:rPr>
        <w:t>(2015)</w:t>
      </w:r>
      <w:r w:rsidR="00203F72" w:rsidRPr="00A53581">
        <w:rPr>
          <w:rFonts w:hint="eastAsia"/>
        </w:rPr>
        <w:t>，國民大會，上網瀏覽時日：</w:t>
      </w:r>
      <w:r w:rsidR="00203F72" w:rsidRPr="00A53581">
        <w:rPr>
          <w:rFonts w:hint="eastAsia"/>
        </w:rPr>
        <w:t>2015/08/02</w:t>
      </w:r>
      <w:r w:rsidR="00203F72" w:rsidRPr="00A53581">
        <w:rPr>
          <w:rFonts w:hint="eastAsia"/>
        </w:rPr>
        <w:t>，</w:t>
      </w:r>
      <w:hyperlink r:id="rId462" w:history="1">
        <w:r w:rsidR="00203F72" w:rsidRPr="008F066C">
          <w:rPr>
            <w:rStyle w:val="a5"/>
            <w:rFonts w:eastAsia="新細明體"/>
          </w:rPr>
          <w:t>https://zh.wikipedia.org/wiki/%E5%9C%8B%E6%B0%91%E5%A4%A7%E6%9C%83</w:t>
        </w:r>
      </w:hyperlink>
      <w:r w:rsidR="00203F72" w:rsidRPr="00A53581">
        <w:t>。</w:t>
      </w:r>
    </w:p>
    <w:p w14:paraId="710F4EB9" w14:textId="77777777" w:rsidR="00953151" w:rsidRDefault="00076467" w:rsidP="00767F37">
      <w:pPr>
        <w:pStyle w:val="2"/>
      </w:pPr>
      <w:hyperlink r:id="rId463" w:anchor="a31" w:history="1">
        <w:r w:rsidR="005D5A46">
          <w:rPr>
            <w:rStyle w:val="a5"/>
            <w:rFonts w:ascii="Arial Unicode MS" w:hAnsi="Arial Unicode MS"/>
          </w:rPr>
          <w:t>第</w:t>
        </w:r>
        <w:r w:rsidR="00203F72" w:rsidRPr="001B53A5">
          <w:rPr>
            <w:rStyle w:val="a5"/>
            <w:rFonts w:ascii="Arial Unicode MS" w:hAnsi="Arial Unicode MS"/>
          </w:rPr>
          <w:t>31</w:t>
        </w:r>
        <w:r w:rsidR="005D5A46">
          <w:rPr>
            <w:rStyle w:val="a5"/>
            <w:rFonts w:ascii="Arial Unicode MS" w:hAnsi="Arial Unicode MS"/>
          </w:rPr>
          <w:t>條</w:t>
        </w:r>
      </w:hyperlink>
      <w:r w:rsidR="00203F72" w:rsidRPr="00A53581">
        <w:t>國民大會之開會地點在中央政府所在地。</w:t>
      </w:r>
    </w:p>
    <w:p w14:paraId="734BFCC0" w14:textId="77777777" w:rsidR="00203F72" w:rsidRPr="00A53581" w:rsidRDefault="00B03E84" w:rsidP="00D87D91">
      <w:r>
        <w:t>【內容解析】</w:t>
      </w:r>
    </w:p>
    <w:p w14:paraId="452C412B" w14:textId="77777777" w:rsidR="00953151" w:rsidRDefault="007F7377" w:rsidP="00D87D91">
      <w:pPr>
        <w:rPr>
          <w:rFonts w:ascii="新細明體" w:hAnsi="新細明體"/>
        </w:rPr>
      </w:pPr>
      <w:r>
        <w:rPr>
          <w:rFonts w:ascii="新細明體" w:hAnsi="新細明體"/>
        </w:rPr>
        <w:t xml:space="preserve">　　</w:t>
      </w:r>
      <w:r w:rsidR="00203F72" w:rsidRPr="00A53581">
        <w:rPr>
          <w:rFonts w:ascii="新細明體" w:hAnsi="新細明體"/>
        </w:rPr>
        <w:t>為因應國家統一前之需要，本法條依憲法增修條</w:t>
      </w:r>
      <w:r w:rsidR="001B1539" w:rsidRPr="00A53581">
        <w:rPr>
          <w:rFonts w:ascii="新細明體" w:hAnsi="新細明體"/>
        </w:rPr>
        <w:t>文</w:t>
      </w:r>
      <w:hyperlink r:id="rId464" w:anchor="b1" w:history="1">
        <w:r w:rsidR="001B1539" w:rsidRPr="001B1539">
          <w:rPr>
            <w:rStyle w:val="a5"/>
          </w:rPr>
          <w:t>第1條</w:t>
        </w:r>
      </w:hyperlink>
      <w:r w:rsidR="00203F72" w:rsidRPr="00A53581">
        <w:rPr>
          <w:rFonts w:ascii="新細明體" w:hAnsi="新細明體"/>
        </w:rPr>
        <w:t>之規定停止適用。</w:t>
      </w:r>
      <w:r w:rsidR="00193290" w:rsidRPr="0065661E">
        <w:rPr>
          <w:rFonts w:hint="eastAsia"/>
          <w:color w:val="FFFFFF" w:themeColor="background1"/>
        </w:rPr>
        <w:t>◇◆</w:t>
      </w:r>
    </w:p>
    <w:p w14:paraId="4DCCEC5B" w14:textId="77777777" w:rsidR="00203F72" w:rsidRPr="00A53581" w:rsidRDefault="00203F72" w:rsidP="00D87D91"/>
    <w:p w14:paraId="499441D0" w14:textId="77777777" w:rsidR="00203F72" w:rsidRPr="00A53581" w:rsidRDefault="00203F72" w:rsidP="00D87D91">
      <w:r>
        <w:rPr>
          <w:noProof/>
        </w:rPr>
        <w:drawing>
          <wp:inline distT="0" distB="0" distL="0" distR="0" wp14:anchorId="3CFED1FA" wp14:editId="16CA39FE">
            <wp:extent cx="4953000" cy="1896745"/>
            <wp:effectExtent l="0" t="0" r="0" b="8255"/>
            <wp:docPr id="16" name="圖片 16" descr="1946_National_Assembly_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46_National_Assembly_China"/>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953000" cy="1896745"/>
                    </a:xfrm>
                    <a:prstGeom prst="rect">
                      <a:avLst/>
                    </a:prstGeom>
                    <a:noFill/>
                    <a:ln>
                      <a:noFill/>
                    </a:ln>
                  </pic:spPr>
                </pic:pic>
              </a:graphicData>
            </a:graphic>
          </wp:inline>
        </w:drawing>
      </w:r>
    </w:p>
    <w:p w14:paraId="57ADB1D6" w14:textId="47BD2392" w:rsidR="00203F72" w:rsidRPr="00A5358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13</w:t>
      </w:r>
      <w:r w:rsidR="00076467">
        <w:rPr>
          <w:noProof/>
        </w:rPr>
        <w:fldChar w:fldCharType="end"/>
      </w:r>
      <w:r w:rsidR="00203F72" w:rsidRPr="00A53581">
        <w:rPr>
          <w:rFonts w:hint="eastAsia"/>
        </w:rPr>
        <w:t>1946</w:t>
      </w:r>
      <w:r w:rsidR="00203F72" w:rsidRPr="00A53581">
        <w:rPr>
          <w:rFonts w:hint="eastAsia"/>
        </w:rPr>
        <w:t>年制憲國民大會場景</w:t>
      </w:r>
    </w:p>
    <w:p w14:paraId="3D8C4073" w14:textId="77777777" w:rsidR="00953151" w:rsidRPr="006B7176" w:rsidRDefault="007F7377" w:rsidP="00D87D91">
      <w:r w:rsidRPr="006B7176">
        <w:rPr>
          <w:rFonts w:hint="eastAsia"/>
        </w:rPr>
        <w:t xml:space="preserve">　　</w:t>
      </w:r>
      <w:r w:rsidR="00203F72" w:rsidRPr="006B7176">
        <w:rPr>
          <w:rFonts w:hint="eastAsia"/>
        </w:rPr>
        <w:t>維基百科</w:t>
      </w:r>
      <w:r w:rsidR="00203F72" w:rsidRPr="006B7176">
        <w:rPr>
          <w:rFonts w:hint="eastAsia"/>
        </w:rPr>
        <w:t>(2015)</w:t>
      </w:r>
      <w:r w:rsidR="00203F72" w:rsidRPr="006B7176">
        <w:rPr>
          <w:rFonts w:hint="eastAsia"/>
        </w:rPr>
        <w:t>，制憲國民大會，上網瀏覽時日：</w:t>
      </w:r>
      <w:r w:rsidR="00203F72" w:rsidRPr="006B7176">
        <w:rPr>
          <w:rFonts w:hint="eastAsia"/>
        </w:rPr>
        <w:t>2015/08/02</w:t>
      </w:r>
      <w:r w:rsidR="00203F72" w:rsidRPr="006B7176">
        <w:rPr>
          <w:rFonts w:hint="eastAsia"/>
        </w:rPr>
        <w:t>，</w:t>
      </w:r>
      <w:hyperlink r:id="rId466" w:history="1">
        <w:r w:rsidR="00203F72" w:rsidRPr="006B7176">
          <w:rPr>
            <w:rStyle w:val="a5"/>
          </w:rPr>
          <w:t>https://zh.wikipedia.org/wiki/%E5%88%B6%E6%86%B2%E5%9C%8B%E6%B0%91%E5%A4%A7%E6%9C%83</w:t>
        </w:r>
      </w:hyperlink>
      <w:r w:rsidR="00545D58" w:rsidRPr="006B7176">
        <w:t>。</w:t>
      </w:r>
    </w:p>
    <w:p w14:paraId="48915039" w14:textId="77777777" w:rsidR="00953151" w:rsidRDefault="00953151" w:rsidP="00D87D91"/>
    <w:p w14:paraId="09BF6963" w14:textId="77777777" w:rsidR="00203F72" w:rsidRPr="00A53581" w:rsidRDefault="00C05BAB" w:rsidP="00E108EB">
      <w:pPr>
        <w:jc w:val="left"/>
        <w:rPr>
          <w:rFonts w:ascii="新細明體" w:hAnsi="新細明體"/>
        </w:rPr>
      </w:pPr>
      <w:r w:rsidRPr="00E108EB">
        <w:rPr>
          <w:rFonts w:hint="eastAsia"/>
          <w:color w:val="FFFFFF" w:themeColor="background1"/>
        </w:rPr>
        <w:t>◇◆</w:t>
      </w:r>
      <w:r w:rsidR="00203F72">
        <w:rPr>
          <w:rFonts w:ascii="新細明體" w:hAnsi="新細明體"/>
          <w:noProof/>
        </w:rPr>
        <w:drawing>
          <wp:inline distT="0" distB="0" distL="0" distR="0" wp14:anchorId="671F7467" wp14:editId="3CC176EC">
            <wp:extent cx="5050155" cy="4491355"/>
            <wp:effectExtent l="0" t="0" r="0" b="4445"/>
            <wp:docPr id="17" name="圖片 17" descr="Congress_father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gress_fatherROC"/>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050155" cy="4491355"/>
                    </a:xfrm>
                    <a:prstGeom prst="rect">
                      <a:avLst/>
                    </a:prstGeom>
                    <a:noFill/>
                    <a:ln>
                      <a:noFill/>
                    </a:ln>
                  </pic:spPr>
                </pic:pic>
              </a:graphicData>
            </a:graphic>
          </wp:inline>
        </w:drawing>
      </w:r>
    </w:p>
    <w:p w14:paraId="0F3AA3CE" w14:textId="096223E0" w:rsidR="00203F72" w:rsidRPr="00A5358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14</w:t>
      </w:r>
      <w:r w:rsidR="00076467">
        <w:rPr>
          <w:noProof/>
        </w:rPr>
        <w:fldChar w:fldCharType="end"/>
      </w:r>
      <w:r w:rsidR="00203F72" w:rsidRPr="00A53581">
        <w:rPr>
          <w:rFonts w:hint="eastAsia"/>
        </w:rPr>
        <w:t>1946</w:t>
      </w:r>
      <w:r w:rsidR="00203F72" w:rsidRPr="00A53581">
        <w:rPr>
          <w:rFonts w:hint="eastAsia"/>
        </w:rPr>
        <w:t>年制憲國民大會於開會前之</w:t>
      </w:r>
      <w:r w:rsidR="00203F72" w:rsidRPr="00A53581">
        <w:rPr>
          <w:rFonts w:hint="eastAsia"/>
        </w:rPr>
        <w:t>11</w:t>
      </w:r>
      <w:r w:rsidR="00203F72" w:rsidRPr="00A53581">
        <w:rPr>
          <w:rFonts w:hint="eastAsia"/>
        </w:rPr>
        <w:t>月</w:t>
      </w:r>
      <w:r w:rsidR="00203F72" w:rsidRPr="00A53581">
        <w:rPr>
          <w:rFonts w:hint="eastAsia"/>
        </w:rPr>
        <w:t>12</w:t>
      </w:r>
      <w:r w:rsidR="00203F72" w:rsidRPr="00A53581">
        <w:rPr>
          <w:rFonts w:hint="eastAsia"/>
        </w:rPr>
        <w:t>日由國府主席蔣中正總統率全體代表拜謁與祭奠國父孫中山先生之中山遺陵圖示</w:t>
      </w:r>
    </w:p>
    <w:p w14:paraId="57AAC916" w14:textId="77777777" w:rsidR="00953151" w:rsidRDefault="00203F72" w:rsidP="00D87D91">
      <w:r w:rsidRPr="00A53581">
        <w:rPr>
          <w:rFonts w:hint="eastAsia"/>
        </w:rPr>
        <w:t>維基百科</w:t>
      </w:r>
      <w:r w:rsidRPr="00A53581">
        <w:rPr>
          <w:rFonts w:hint="eastAsia"/>
        </w:rPr>
        <w:t>(2015)</w:t>
      </w:r>
      <w:r w:rsidRPr="00A53581">
        <w:rPr>
          <w:rFonts w:hint="eastAsia"/>
        </w:rPr>
        <w:t>，制憲國民大會，上網瀏覽時日：</w:t>
      </w:r>
      <w:r w:rsidRPr="00A53581">
        <w:rPr>
          <w:rFonts w:hint="eastAsia"/>
        </w:rPr>
        <w:t>2015/08/02</w:t>
      </w:r>
      <w:r w:rsidRPr="00A53581">
        <w:rPr>
          <w:rFonts w:hint="eastAsia"/>
        </w:rPr>
        <w:t>，</w:t>
      </w:r>
      <w:hyperlink r:id="rId468" w:history="1">
        <w:r w:rsidRPr="00A53581">
          <w:rPr>
            <w:rStyle w:val="a5"/>
          </w:rPr>
          <w:t>https://zh.wikipedia.org/wiki/%E5%88%B6%E6%86%B2%E5%9C%8B%E6%B0%91%E5%A4%A7%E6%9C%83</w:t>
        </w:r>
      </w:hyperlink>
      <w:r w:rsidRPr="00A53581">
        <w:t>。</w:t>
      </w:r>
    </w:p>
    <w:p w14:paraId="4DF1341F" w14:textId="77777777" w:rsidR="00203F72" w:rsidRPr="00A53581" w:rsidRDefault="00076467" w:rsidP="00767F37">
      <w:pPr>
        <w:pStyle w:val="2"/>
      </w:pPr>
      <w:hyperlink r:id="rId469" w:anchor="a32" w:history="1">
        <w:r w:rsidR="005D5A46">
          <w:rPr>
            <w:rStyle w:val="a5"/>
            <w:rFonts w:ascii="Arial Unicode MS" w:hAnsi="Arial Unicode MS"/>
          </w:rPr>
          <w:t>第</w:t>
        </w:r>
        <w:r w:rsidR="00203F72" w:rsidRPr="001B53A5">
          <w:rPr>
            <w:rStyle w:val="a5"/>
            <w:rFonts w:ascii="Arial Unicode MS" w:hAnsi="Arial Unicode MS"/>
          </w:rPr>
          <w:t>32</w:t>
        </w:r>
        <w:r w:rsidR="005D5A46">
          <w:rPr>
            <w:rStyle w:val="a5"/>
            <w:rFonts w:ascii="Arial Unicode MS" w:hAnsi="Arial Unicode MS"/>
          </w:rPr>
          <w:t>條</w:t>
        </w:r>
      </w:hyperlink>
      <w:r w:rsidR="00203F72" w:rsidRPr="00A53581">
        <w:t>國民大會代表在會議時所為之言論及表決，對會外不負責任。</w:t>
      </w:r>
    </w:p>
    <w:p w14:paraId="39696F04" w14:textId="77777777" w:rsidR="00203F72" w:rsidRPr="00A53581" w:rsidRDefault="00B03E84" w:rsidP="00D87D91">
      <w:r>
        <w:t>【內容解析】</w:t>
      </w:r>
    </w:p>
    <w:p w14:paraId="1CD4B98F" w14:textId="77777777" w:rsidR="00953151" w:rsidRDefault="00B03E84" w:rsidP="00D87D91">
      <w:pPr>
        <w:rPr>
          <w:rFonts w:ascii="新細明體" w:hAnsi="新細明體"/>
        </w:rPr>
      </w:pPr>
      <w:r>
        <w:rPr>
          <w:rFonts w:ascii="新細明體" w:hAnsi="新細明體"/>
        </w:rPr>
        <w:t xml:space="preserve">　　</w:t>
      </w:r>
      <w:r w:rsidR="00203F72" w:rsidRPr="00A53581">
        <w:rPr>
          <w:rFonts w:ascii="新細明體" w:hAnsi="新細明體"/>
        </w:rPr>
        <w:t>為因應國家統一前之需要，本法條依憲法增修條</w:t>
      </w:r>
      <w:r w:rsidR="001B1539" w:rsidRPr="00A53581">
        <w:rPr>
          <w:rFonts w:ascii="新細明體" w:hAnsi="新細明體"/>
        </w:rPr>
        <w:t>文</w:t>
      </w:r>
      <w:hyperlink r:id="rId470" w:anchor="b1" w:history="1">
        <w:r w:rsidR="001B1539" w:rsidRPr="001B1539">
          <w:rPr>
            <w:rStyle w:val="a5"/>
          </w:rPr>
          <w:t>第1條</w:t>
        </w:r>
      </w:hyperlink>
      <w:r w:rsidR="00203F72" w:rsidRPr="00A53581">
        <w:rPr>
          <w:rFonts w:ascii="新細明體" w:hAnsi="新細明體"/>
        </w:rPr>
        <w:t>之規定停止適用。</w:t>
      </w:r>
    </w:p>
    <w:p w14:paraId="27DF52E8" w14:textId="77777777" w:rsidR="00953151" w:rsidRDefault="00076467" w:rsidP="00767F37">
      <w:pPr>
        <w:pStyle w:val="2"/>
      </w:pPr>
      <w:hyperlink r:id="rId471" w:anchor="a33" w:history="1">
        <w:r w:rsidR="005D5A46">
          <w:rPr>
            <w:rStyle w:val="a5"/>
            <w:rFonts w:ascii="Arial Unicode MS" w:hAnsi="Arial Unicode MS"/>
          </w:rPr>
          <w:t>第</w:t>
        </w:r>
        <w:r w:rsidR="00203F72" w:rsidRPr="001B53A5">
          <w:rPr>
            <w:rStyle w:val="a5"/>
            <w:rFonts w:ascii="Arial Unicode MS" w:hAnsi="Arial Unicode MS"/>
          </w:rPr>
          <w:t>33</w:t>
        </w:r>
        <w:r w:rsidR="005D5A46">
          <w:rPr>
            <w:rStyle w:val="a5"/>
            <w:rFonts w:ascii="Arial Unicode MS" w:hAnsi="Arial Unicode MS"/>
          </w:rPr>
          <w:t>條</w:t>
        </w:r>
      </w:hyperlink>
      <w:r w:rsidR="00203F72" w:rsidRPr="00A53581">
        <w:t>國民大會代表，除現行犯外，在會期中，非經國民大會許可，不得逮捕或拘禁。</w:t>
      </w:r>
    </w:p>
    <w:p w14:paraId="3D7C4B59" w14:textId="77777777" w:rsidR="00203F72" w:rsidRPr="00A53581" w:rsidRDefault="00B03E84" w:rsidP="00D87D91">
      <w:r>
        <w:t>【內容解析】</w:t>
      </w:r>
    </w:p>
    <w:p w14:paraId="64637098" w14:textId="77777777" w:rsidR="00953151" w:rsidRDefault="00B03E84" w:rsidP="00D87D91">
      <w:r>
        <w:t xml:space="preserve">　　</w:t>
      </w:r>
      <w:r w:rsidR="00203F72" w:rsidRPr="00A53581">
        <w:t>本法條主要在保障國民大會代表，得以充分表達意見，並避免遭不當力量介入其治理之權限。為因應國家統一前之需要，本法條依憲法增修條</w:t>
      </w:r>
      <w:r w:rsidR="001B1539" w:rsidRPr="00A53581">
        <w:t>文</w:t>
      </w:r>
      <w:hyperlink r:id="rId472" w:anchor="b1" w:history="1">
        <w:r w:rsidR="001B1539" w:rsidRPr="001B1539">
          <w:rPr>
            <w:rStyle w:val="a5"/>
          </w:rPr>
          <w:t>第1條</w:t>
        </w:r>
      </w:hyperlink>
      <w:r w:rsidR="00203F72" w:rsidRPr="00A53581">
        <w:t>之規定停止適用。</w:t>
      </w:r>
    </w:p>
    <w:p w14:paraId="55E35A33" w14:textId="77777777" w:rsidR="00953151" w:rsidRDefault="00076467" w:rsidP="00767F37">
      <w:pPr>
        <w:pStyle w:val="2"/>
      </w:pPr>
      <w:hyperlink r:id="rId473" w:anchor="a34" w:history="1">
        <w:r w:rsidR="005D5A46">
          <w:rPr>
            <w:rStyle w:val="a5"/>
            <w:rFonts w:ascii="Arial Unicode MS" w:hAnsi="Arial Unicode MS"/>
          </w:rPr>
          <w:t>第</w:t>
        </w:r>
        <w:r w:rsidR="00203F72" w:rsidRPr="001B53A5">
          <w:rPr>
            <w:rStyle w:val="a5"/>
            <w:rFonts w:ascii="Arial Unicode MS" w:hAnsi="Arial Unicode MS"/>
          </w:rPr>
          <w:t>34</w:t>
        </w:r>
        <w:r w:rsidR="005D5A46">
          <w:rPr>
            <w:rStyle w:val="a5"/>
            <w:rFonts w:ascii="Arial Unicode MS" w:hAnsi="Arial Unicode MS"/>
          </w:rPr>
          <w:t>條</w:t>
        </w:r>
      </w:hyperlink>
      <w:r w:rsidR="00203F72" w:rsidRPr="00A53581">
        <w:t>國民大會之組織，國民大會代表選舉、罷免，及國民大會行使職權之程序，以法律定之。</w:t>
      </w:r>
    </w:p>
    <w:p w14:paraId="0E082E59" w14:textId="77777777" w:rsidR="00203F72" w:rsidRPr="001B1539" w:rsidRDefault="00B03E84" w:rsidP="00D87D91">
      <w:r w:rsidRPr="001B1539">
        <w:t>【內容解析】</w:t>
      </w:r>
    </w:p>
    <w:p w14:paraId="6AE6BB4F" w14:textId="77777777" w:rsidR="00953151" w:rsidRDefault="007F7377" w:rsidP="00D87D91">
      <w:r w:rsidRPr="001B1539">
        <w:t xml:space="preserve">　　</w:t>
      </w:r>
      <w:r w:rsidR="00203F72" w:rsidRPr="001B1539">
        <w:t>為因應國家統一前之需要，本法條依憲法增修條</w:t>
      </w:r>
      <w:r w:rsidR="001B1539" w:rsidRPr="001B1539">
        <w:t>文</w:t>
      </w:r>
      <w:hyperlink r:id="rId474" w:anchor="b1" w:history="1">
        <w:r w:rsidR="001B1539" w:rsidRPr="001B1539">
          <w:rPr>
            <w:rStyle w:val="a5"/>
          </w:rPr>
          <w:t>第1條</w:t>
        </w:r>
      </w:hyperlink>
      <w:r w:rsidR="00203F72" w:rsidRPr="001B1539">
        <w:t>之規定停止適用。</w:t>
      </w:r>
      <w:r w:rsidR="00203F72" w:rsidRPr="001B1539">
        <w:rPr>
          <w:rFonts w:hint="eastAsia"/>
        </w:rPr>
        <w:t>第七次修憲時，正式廢除國民大會</w:t>
      </w:r>
      <w:r w:rsidR="00545D58" w:rsidRPr="001B1539">
        <w:rPr>
          <w:rFonts w:hint="eastAsia"/>
        </w:rPr>
        <w:t>。</w:t>
      </w:r>
    </w:p>
    <w:p w14:paraId="30ACC1A2" w14:textId="77777777" w:rsidR="003B623C" w:rsidRPr="001B1539" w:rsidRDefault="003B623C" w:rsidP="00D87D91"/>
    <w:p w14:paraId="6E8D281C" w14:textId="71AE8E52"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27</w:t>
      </w:r>
      <w:r w:rsidR="00076467">
        <w:rPr>
          <w:noProof/>
        </w:rPr>
        <w:fldChar w:fldCharType="end"/>
      </w:r>
      <w:r w:rsidR="00203F72" w:rsidRPr="001B1539">
        <w:rPr>
          <w:rFonts w:hint="eastAsia"/>
        </w:rPr>
        <w:t>歷次修憲後國民大會之權利變化增減表</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1130"/>
        <w:gridCol w:w="4829"/>
        <w:gridCol w:w="1103"/>
      </w:tblGrid>
      <w:tr w:rsidR="00203F72" w:rsidRPr="00A53581" w14:paraId="5239D7E2" w14:textId="77777777" w:rsidTr="006937CE">
        <w:trPr>
          <w:tblHeader/>
        </w:trPr>
        <w:tc>
          <w:tcPr>
            <w:tcW w:w="613" w:type="pct"/>
            <w:tcBorders>
              <w:top w:val="single" w:sz="4" w:space="0" w:color="auto"/>
              <w:left w:val="single" w:sz="4" w:space="0" w:color="auto"/>
              <w:bottom w:val="single" w:sz="4" w:space="0" w:color="auto"/>
              <w:right w:val="single" w:sz="4" w:space="0" w:color="auto"/>
            </w:tcBorders>
            <w:shd w:val="clear" w:color="auto" w:fill="FAF0FA"/>
            <w:hideMark/>
          </w:tcPr>
          <w:p w14:paraId="3848A638" w14:textId="77777777" w:rsidR="00203F72" w:rsidRPr="00A53581" w:rsidRDefault="00203F72" w:rsidP="00D87D91">
            <w:r w:rsidRPr="00A53581">
              <w:rPr>
                <w:rFonts w:hint="eastAsia"/>
              </w:rPr>
              <w:t>修憲次序</w:t>
            </w:r>
          </w:p>
        </w:tc>
        <w:tc>
          <w:tcPr>
            <w:tcW w:w="702" w:type="pct"/>
            <w:tcBorders>
              <w:top w:val="single" w:sz="4" w:space="0" w:color="auto"/>
              <w:left w:val="single" w:sz="4" w:space="0" w:color="auto"/>
              <w:bottom w:val="single" w:sz="4" w:space="0" w:color="auto"/>
              <w:right w:val="single" w:sz="4" w:space="0" w:color="auto"/>
            </w:tcBorders>
            <w:shd w:val="clear" w:color="auto" w:fill="FAF0FA"/>
            <w:hideMark/>
          </w:tcPr>
          <w:p w14:paraId="561D897C" w14:textId="77777777" w:rsidR="00203F72" w:rsidRPr="00A53581" w:rsidRDefault="00203F72" w:rsidP="00D87D91">
            <w:r w:rsidRPr="00A53581">
              <w:rPr>
                <w:rFonts w:hint="eastAsia"/>
              </w:rPr>
              <w:t>修憲</w:t>
            </w:r>
          </w:p>
          <w:p w14:paraId="46303D67" w14:textId="77777777" w:rsidR="00203F72" w:rsidRPr="00A53581" w:rsidRDefault="00203F72" w:rsidP="00D87D91">
            <w:r w:rsidRPr="00A53581">
              <w:rPr>
                <w:rFonts w:hint="eastAsia"/>
              </w:rPr>
              <w:t>年代</w:t>
            </w:r>
          </w:p>
        </w:tc>
        <w:tc>
          <w:tcPr>
            <w:tcW w:w="3000" w:type="pct"/>
            <w:tcBorders>
              <w:top w:val="single" w:sz="4" w:space="0" w:color="auto"/>
              <w:left w:val="single" w:sz="4" w:space="0" w:color="auto"/>
              <w:bottom w:val="single" w:sz="4" w:space="0" w:color="auto"/>
              <w:right w:val="single" w:sz="4" w:space="0" w:color="auto"/>
            </w:tcBorders>
            <w:shd w:val="clear" w:color="auto" w:fill="FAF0FA"/>
          </w:tcPr>
          <w:p w14:paraId="43B06CB6" w14:textId="77777777" w:rsidR="00203F72" w:rsidRPr="00A53581" w:rsidRDefault="00203F72" w:rsidP="00D87D91"/>
        </w:tc>
        <w:tc>
          <w:tcPr>
            <w:tcW w:w="685" w:type="pct"/>
            <w:tcBorders>
              <w:top w:val="single" w:sz="4" w:space="0" w:color="auto"/>
              <w:left w:val="single" w:sz="4" w:space="0" w:color="auto"/>
              <w:bottom w:val="single" w:sz="4" w:space="0" w:color="auto"/>
              <w:right w:val="single" w:sz="4" w:space="0" w:color="auto"/>
            </w:tcBorders>
            <w:shd w:val="clear" w:color="auto" w:fill="FAF0FA"/>
            <w:hideMark/>
          </w:tcPr>
          <w:p w14:paraId="62476937" w14:textId="77777777" w:rsidR="00203F72" w:rsidRPr="00A53581" w:rsidRDefault="00203F72" w:rsidP="00D87D91">
            <w:r w:rsidRPr="00A53581">
              <w:rPr>
                <w:rFonts w:hint="eastAsia"/>
              </w:rPr>
              <w:t>權利</w:t>
            </w:r>
          </w:p>
          <w:p w14:paraId="689C60C8" w14:textId="77777777" w:rsidR="00203F72" w:rsidRPr="00A53581" w:rsidRDefault="00203F72" w:rsidP="00D87D91">
            <w:r w:rsidRPr="00A53581">
              <w:rPr>
                <w:rFonts w:hint="eastAsia"/>
              </w:rPr>
              <w:t>增減</w:t>
            </w:r>
          </w:p>
        </w:tc>
      </w:tr>
      <w:tr w:rsidR="00203F72" w:rsidRPr="00A53581" w14:paraId="0C81E2E5" w14:textId="77777777" w:rsidTr="006937CE">
        <w:trPr>
          <w:trHeight w:val="946"/>
        </w:trPr>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101BE347" w14:textId="77777777" w:rsidR="00203F72" w:rsidRPr="00A53581" w:rsidRDefault="00203F72" w:rsidP="00D87D91">
            <w:r w:rsidRPr="00A53581">
              <w:rPr>
                <w:rFonts w:hint="eastAsia"/>
              </w:rPr>
              <w:t>第一次修憲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14:paraId="18EADD08" w14:textId="77777777" w:rsidR="00203F72" w:rsidRPr="00A53581" w:rsidRDefault="00203F72" w:rsidP="00D87D91">
            <w:r w:rsidRPr="00A53581">
              <w:t>1991</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14:paraId="052E4544" w14:textId="77777777" w:rsidR="00203F72" w:rsidRPr="00A53581" w:rsidRDefault="00203F72" w:rsidP="00D87D91">
            <w:r w:rsidRPr="00A53581">
              <w:rPr>
                <w:rFonts w:hint="eastAsia"/>
              </w:rPr>
              <w:t>使第二屆國大取得民選法源，即改由自由地區與政黨比例代表選出。</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14:paraId="5B23EE82" w14:textId="77777777" w:rsidR="00203F72" w:rsidRPr="00A53581" w:rsidRDefault="00203F72" w:rsidP="00D87D91">
            <w:r w:rsidRPr="00A53581">
              <w:rPr>
                <w:rFonts w:hint="eastAsia"/>
              </w:rPr>
              <w:t>增加</w:t>
            </w:r>
          </w:p>
        </w:tc>
      </w:tr>
      <w:tr w:rsidR="00203F72" w:rsidRPr="00A53581" w14:paraId="73D9B9B7" w14:textId="77777777"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6DEA33B8" w14:textId="77777777" w:rsidR="00203F72" w:rsidRPr="00A53581" w:rsidRDefault="00203F72" w:rsidP="00D87D91">
            <w:r w:rsidRPr="00A53581">
              <w:rPr>
                <w:rFonts w:hint="eastAsia"/>
              </w:rPr>
              <w:t>第二次修憲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14:paraId="4CCF1374" w14:textId="77777777" w:rsidR="00203F72" w:rsidRPr="00A53581" w:rsidRDefault="00203F72" w:rsidP="00D87D91">
            <w:r w:rsidRPr="00A53581">
              <w:t>1992</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14:paraId="3F2A1B7D" w14:textId="77777777" w:rsidR="00203F72" w:rsidRPr="00A53581" w:rsidRDefault="00203F72" w:rsidP="00D87D91">
            <w:r w:rsidRPr="00A53581">
              <w:t>1.</w:t>
            </w:r>
            <w:r w:rsidRPr="00A53581">
              <w:rPr>
                <w:rFonts w:hint="eastAsia"/>
              </w:rPr>
              <w:t>國民大會集會期間得聽取總統國情報告，並檢討國是、提供建言。</w:t>
            </w:r>
          </w:p>
          <w:p w14:paraId="4D6D55CA" w14:textId="77777777" w:rsidR="00203F72" w:rsidRPr="00A53581" w:rsidRDefault="00203F72" w:rsidP="00D87D91">
            <w:r w:rsidRPr="00A53581">
              <w:t>2.</w:t>
            </w:r>
            <w:r w:rsidRPr="00A53581">
              <w:rPr>
                <w:rFonts w:hint="eastAsia"/>
              </w:rPr>
              <w:t>總統提名司法、考試、監察三院之重要人事，須經國民大會同意。</w:t>
            </w:r>
          </w:p>
          <w:p w14:paraId="7680F5E1" w14:textId="77777777" w:rsidR="00203F72" w:rsidRPr="00A53581" w:rsidRDefault="00203F72" w:rsidP="00D87D91">
            <w:r w:rsidRPr="00A53581">
              <w:t>3.</w:t>
            </w:r>
            <w:r w:rsidRPr="00A53581">
              <w:rPr>
                <w:rFonts w:hint="eastAsia"/>
              </w:rPr>
              <w:t>國大每年至少集會一次。</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14:paraId="4C65AE3A" w14:textId="77777777" w:rsidR="00203F72" w:rsidRPr="00A53581" w:rsidRDefault="00203F72" w:rsidP="00D87D91">
            <w:r w:rsidRPr="00A53581">
              <w:rPr>
                <w:rFonts w:hint="eastAsia"/>
              </w:rPr>
              <w:t>增加</w:t>
            </w:r>
          </w:p>
        </w:tc>
      </w:tr>
      <w:tr w:rsidR="00203F72" w:rsidRPr="00A53581" w14:paraId="12F84909" w14:textId="77777777"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02B688BC" w14:textId="77777777" w:rsidR="00203F72" w:rsidRPr="00A53581" w:rsidRDefault="00203F72" w:rsidP="00D87D91">
            <w:r w:rsidRPr="00A53581">
              <w:rPr>
                <w:rFonts w:hint="eastAsia"/>
              </w:rPr>
              <w:t>第三次修憲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14:paraId="2FA85376" w14:textId="77777777" w:rsidR="00203F72" w:rsidRPr="00A53581" w:rsidRDefault="00203F72" w:rsidP="00D87D91">
            <w:r w:rsidRPr="00A53581">
              <w:t>1994</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14:paraId="6796B46D" w14:textId="77777777" w:rsidR="00203F72" w:rsidRPr="00A53581" w:rsidRDefault="00203F72" w:rsidP="00D87D91">
            <w:r w:rsidRPr="00A53581">
              <w:rPr>
                <w:rFonts w:hint="eastAsia"/>
              </w:rPr>
              <w:t>國民大會自第三屆起增設議長和副議長。</w:t>
            </w:r>
          </w:p>
          <w:p w14:paraId="1B94B349" w14:textId="77777777" w:rsidR="00203F72" w:rsidRPr="00A53581" w:rsidRDefault="00203F72" w:rsidP="00D87D91">
            <w:r w:rsidRPr="00A53581">
              <w:rPr>
                <w:rFonts w:hint="eastAsia"/>
              </w:rPr>
              <w:t>國民大會行使職權之程序，由國民大會自行定之，不是用憲法第三十四條規定。</w:t>
            </w:r>
          </w:p>
          <w:p w14:paraId="32AEAA66" w14:textId="77777777" w:rsidR="00203F72" w:rsidRPr="00A53581" w:rsidRDefault="00203F72" w:rsidP="00D87D91">
            <w:r w:rsidRPr="00A53581">
              <w:rPr>
                <w:rFonts w:hint="eastAsia"/>
              </w:rPr>
              <w:t>補選副總統。</w:t>
            </w:r>
          </w:p>
          <w:p w14:paraId="71CBCB57" w14:textId="77777777" w:rsidR="00203F72" w:rsidRPr="00A53581" w:rsidRDefault="00203F72" w:rsidP="00D87D91">
            <w:r w:rsidRPr="00A53581">
              <w:rPr>
                <w:rFonts w:hint="eastAsia"/>
              </w:rPr>
              <w:t>提出總統、副總統罷免案。</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14:paraId="3244C2F7" w14:textId="77777777" w:rsidR="00203F72" w:rsidRPr="00A53581" w:rsidRDefault="00203F72" w:rsidP="00D87D91">
            <w:r w:rsidRPr="00A53581">
              <w:rPr>
                <w:rFonts w:hint="eastAsia"/>
              </w:rPr>
              <w:t>增加</w:t>
            </w:r>
          </w:p>
        </w:tc>
      </w:tr>
      <w:tr w:rsidR="00203F72" w:rsidRPr="00A53581" w14:paraId="07518B53" w14:textId="77777777"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5A16A6CD" w14:textId="77777777" w:rsidR="00203F72" w:rsidRPr="00A53581" w:rsidRDefault="00203F72" w:rsidP="00D87D91">
            <w:r w:rsidRPr="00A53581">
              <w:rPr>
                <w:rFonts w:hint="eastAsia"/>
              </w:rPr>
              <w:t>第四次修憲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14:paraId="3209D9B8" w14:textId="77777777" w:rsidR="00203F72" w:rsidRPr="00A53581" w:rsidRDefault="00203F72" w:rsidP="00D87D91">
            <w:r w:rsidRPr="00A53581">
              <w:t>1997</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14:paraId="3EF23A1E" w14:textId="77777777" w:rsidR="00203F72" w:rsidRPr="00A53581" w:rsidRDefault="00203F72" w:rsidP="00D87D91">
            <w:r w:rsidRPr="00A53581">
              <w:rPr>
                <w:rFonts w:hint="eastAsia"/>
              </w:rPr>
              <w:t>除上述權利外，另外對立法院提出之總統、副總統彈劾有議決權。</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14:paraId="6DAC554E" w14:textId="77777777" w:rsidR="00203F72" w:rsidRPr="00A53581" w:rsidRDefault="00203F72" w:rsidP="00D87D91">
            <w:r w:rsidRPr="00A53581">
              <w:rPr>
                <w:rFonts w:hint="eastAsia"/>
              </w:rPr>
              <w:t>增加</w:t>
            </w:r>
          </w:p>
        </w:tc>
      </w:tr>
      <w:tr w:rsidR="00203F72" w:rsidRPr="00A53581" w14:paraId="560211E7" w14:textId="77777777"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5E5A978A" w14:textId="77777777" w:rsidR="00203F72" w:rsidRPr="00A53581" w:rsidRDefault="00203F72" w:rsidP="00D87D91">
            <w:r w:rsidRPr="00A53581">
              <w:rPr>
                <w:rFonts w:hint="eastAsia"/>
              </w:rPr>
              <w:t>第五次修憲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14:paraId="54745F4D" w14:textId="77777777" w:rsidR="00203F72" w:rsidRPr="00A53581" w:rsidRDefault="00203F72" w:rsidP="00D87D91">
            <w:r w:rsidRPr="00A53581">
              <w:t>1999</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14:paraId="0F78E278" w14:textId="77777777" w:rsidR="00203F72" w:rsidRPr="00A53581" w:rsidRDefault="00203F72" w:rsidP="00D87D91">
            <w:r w:rsidRPr="00A53581">
              <w:rPr>
                <w:rFonts w:hint="eastAsia"/>
              </w:rPr>
              <w:t>國民大會代表自行延長任期兩年一個月。</w:t>
            </w:r>
          </w:p>
          <w:p w14:paraId="2B94D2BD" w14:textId="77777777" w:rsidR="00203F72" w:rsidRPr="00A53581" w:rsidRDefault="00203F72" w:rsidP="00D87D91">
            <w:r w:rsidRPr="00A53581">
              <w:rPr>
                <w:rFonts w:hint="eastAsia"/>
              </w:rPr>
              <w:t>國民大會原有權利不變，但未來國大代表依附立法委員選舉而產生。</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14:paraId="07655888" w14:textId="77777777" w:rsidR="00203F72" w:rsidRPr="00A53581" w:rsidRDefault="00203F72" w:rsidP="00D87D91">
            <w:r w:rsidRPr="00A53581">
              <w:rPr>
                <w:rFonts w:hint="eastAsia"/>
              </w:rPr>
              <w:t>增加</w:t>
            </w:r>
          </w:p>
        </w:tc>
      </w:tr>
      <w:tr w:rsidR="00203F72" w:rsidRPr="00A53581" w14:paraId="3C5634AA" w14:textId="77777777"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2875A31C" w14:textId="77777777" w:rsidR="00203F72" w:rsidRPr="00A53581" w:rsidRDefault="00203F72" w:rsidP="00D87D91">
            <w:r w:rsidRPr="00A53581">
              <w:rPr>
                <w:rFonts w:hint="eastAsia"/>
              </w:rPr>
              <w:t>第六次修憲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14:paraId="43FF3AFE" w14:textId="77777777" w:rsidR="00203F72" w:rsidRPr="00A53581" w:rsidRDefault="00203F72" w:rsidP="00D87D91">
            <w:r w:rsidRPr="00A53581">
              <w:t>2000</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14:paraId="3187099A" w14:textId="77777777" w:rsidR="00203F72" w:rsidRPr="00A53581" w:rsidRDefault="00203F72" w:rsidP="00D87D91">
            <w:r w:rsidRPr="00A53581">
              <w:rPr>
                <w:rFonts w:hint="eastAsia"/>
              </w:rPr>
              <w:t>國大職權虛級化，未來成為「任務型國大」性質。</w:t>
            </w:r>
          </w:p>
          <w:p w14:paraId="24881EEE" w14:textId="77777777" w:rsidR="00203F72" w:rsidRPr="00A53581" w:rsidRDefault="00203F72" w:rsidP="00D87D91">
            <w:r w:rsidRPr="00A53581">
              <w:rPr>
                <w:rFonts w:hint="eastAsia"/>
              </w:rPr>
              <w:t>國大重要職權移交由立法院行使。</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14:paraId="15175CF7" w14:textId="77777777" w:rsidR="00203F72" w:rsidRPr="00A53581" w:rsidRDefault="00203F72" w:rsidP="00D87D91">
            <w:r w:rsidRPr="00A53581">
              <w:rPr>
                <w:rFonts w:hint="eastAsia"/>
              </w:rPr>
              <w:t>減少</w:t>
            </w:r>
          </w:p>
        </w:tc>
      </w:tr>
      <w:tr w:rsidR="00203F72" w:rsidRPr="00A53581" w14:paraId="43113E24" w14:textId="77777777"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522F3BCB" w14:textId="77777777" w:rsidR="00203F72" w:rsidRPr="00A53581" w:rsidRDefault="00203F72" w:rsidP="00D87D91">
            <w:r w:rsidRPr="00A53581">
              <w:rPr>
                <w:rFonts w:hint="eastAsia"/>
              </w:rPr>
              <w:t>第七次修憲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14:paraId="7915B302" w14:textId="77777777" w:rsidR="00203F72" w:rsidRPr="00A53581" w:rsidRDefault="00203F72" w:rsidP="00D87D91">
            <w:r w:rsidRPr="00A53581">
              <w:t>2005</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14:paraId="508152E1" w14:textId="77777777" w:rsidR="00203F72" w:rsidRPr="00A53581" w:rsidRDefault="00203F72" w:rsidP="00D87D91">
            <w:r w:rsidRPr="00A53581">
              <w:rPr>
                <w:rFonts w:hint="eastAsia"/>
              </w:rPr>
              <w:t>正式將國民大會廢除。</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14:paraId="0C556506" w14:textId="77777777" w:rsidR="00203F72" w:rsidRPr="00A53581" w:rsidRDefault="00203F72" w:rsidP="00D87D91">
            <w:r w:rsidRPr="00A53581">
              <w:rPr>
                <w:rFonts w:hint="eastAsia"/>
              </w:rPr>
              <w:t>喪失</w:t>
            </w:r>
          </w:p>
        </w:tc>
      </w:tr>
    </w:tbl>
    <w:p w14:paraId="0789D64E" w14:textId="77777777" w:rsidR="00953151" w:rsidRDefault="002107CE" w:rsidP="00D87D91">
      <w:r>
        <w:rPr>
          <w:rFonts w:hint="eastAsia"/>
        </w:rPr>
        <w:t>【本表格資料來源】</w:t>
      </w:r>
      <w:r w:rsidR="00203F72" w:rsidRPr="00A53581">
        <w:rPr>
          <w:rFonts w:hint="eastAsia"/>
        </w:rPr>
        <w:t>張淑中，姚中原</w:t>
      </w:r>
      <w:r w:rsidR="00203F72" w:rsidRPr="00A53581">
        <w:t>(2012)</w:t>
      </w:r>
      <w:r w:rsidR="00203F72" w:rsidRPr="00A53581">
        <w:t>，</w:t>
      </w:r>
      <w:r w:rsidR="00203F72" w:rsidRPr="00A53581">
        <w:rPr>
          <w:rFonts w:hint="eastAsia"/>
        </w:rPr>
        <w:t>台灣憲政改革─修憲理論、政治過程與制度影響，初版，台北：五南圖書公司，第</w:t>
      </w:r>
      <w:r w:rsidR="00203F72" w:rsidRPr="00A53581">
        <w:t>114</w:t>
      </w:r>
      <w:r w:rsidR="00203F72" w:rsidRPr="00A53581">
        <w:rPr>
          <w:rFonts w:hint="eastAsia"/>
        </w:rPr>
        <w:t>頁。</w:t>
      </w:r>
    </w:p>
    <w:p w14:paraId="4DEF1F0A" w14:textId="77777777"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69869F04" w14:textId="77777777" w:rsidR="00953151" w:rsidRDefault="00203F72" w:rsidP="00767F37">
      <w:pPr>
        <w:pStyle w:val="2"/>
      </w:pPr>
      <w:bookmarkStart w:id="31" w:name="_第四章_總統"/>
      <w:bookmarkEnd w:id="31"/>
      <w:r w:rsidRPr="00A53581">
        <w:t>第四章</w:t>
      </w:r>
      <w:r w:rsidRPr="00A53581">
        <w:t xml:space="preserve"> </w:t>
      </w:r>
      <w:r w:rsidRPr="00A53581">
        <w:t>總統</w:t>
      </w:r>
    </w:p>
    <w:p w14:paraId="6C8F5B3B" w14:textId="77777777" w:rsidR="00953151" w:rsidRDefault="00076467" w:rsidP="00767F37">
      <w:pPr>
        <w:pStyle w:val="2"/>
      </w:pPr>
      <w:hyperlink r:id="rId475" w:anchor="a35" w:history="1">
        <w:r w:rsidR="005D5A46">
          <w:rPr>
            <w:rStyle w:val="a5"/>
            <w:rFonts w:ascii="Arial Unicode MS" w:hAnsi="Arial Unicode MS"/>
          </w:rPr>
          <w:t>第</w:t>
        </w:r>
        <w:r w:rsidR="00203F72" w:rsidRPr="001B53A5">
          <w:rPr>
            <w:rStyle w:val="a5"/>
            <w:rFonts w:ascii="Arial Unicode MS" w:hAnsi="Arial Unicode MS"/>
          </w:rPr>
          <w:t>35</w:t>
        </w:r>
        <w:r w:rsidR="005D5A46">
          <w:rPr>
            <w:rStyle w:val="a5"/>
            <w:rFonts w:ascii="Arial Unicode MS" w:hAnsi="Arial Unicode MS"/>
          </w:rPr>
          <w:t>條</w:t>
        </w:r>
      </w:hyperlink>
      <w:r w:rsidR="00203F72" w:rsidRPr="00A53581">
        <w:t>總統為國家元首，對外代表中華民國。</w:t>
      </w:r>
    </w:p>
    <w:p w14:paraId="52ABCD29" w14:textId="77777777" w:rsidR="00953151" w:rsidRDefault="00B03E84" w:rsidP="00D87D91">
      <w:r>
        <w:t>【內容解析】</w:t>
      </w:r>
    </w:p>
    <w:p w14:paraId="23EA78EF" w14:textId="77777777" w:rsidR="00953151" w:rsidRPr="001B1539" w:rsidRDefault="007F7377" w:rsidP="00D87D91">
      <w:r w:rsidRPr="001B1539">
        <w:t xml:space="preserve">　　</w:t>
      </w:r>
      <w:r w:rsidR="00203F72" w:rsidRPr="001B1539">
        <w:t>中華民國目前採雙首長制，總統對外代表中華民國；總統直接民選後，總統受期待之權力大增，因此又漸偏總統制發展。總統之身分，是一個受到尊崇之莫高地位，一旦當選為總統，自然就擁有憲法規定之職權，憲法賦予總統一定之憲法上之身分，總統在國際上得以代表國家與各國往來，如參加各種國際慶典、訪問他國、派遣、接待各國使節等，代表國家行使國際行儀。</w:t>
      </w:r>
      <w:r w:rsidR="00193290" w:rsidRPr="001B1539">
        <w:rPr>
          <w:rFonts w:hint="eastAsia"/>
          <w:color w:val="FFFFFF" w:themeColor="background1"/>
        </w:rPr>
        <w:t>◇◆</w:t>
      </w:r>
    </w:p>
    <w:p w14:paraId="752E36E6" w14:textId="77777777" w:rsidR="00953151" w:rsidRDefault="00953151" w:rsidP="00D87D91"/>
    <w:p w14:paraId="08FCF9BD" w14:textId="77777777" w:rsidR="00203F72" w:rsidRPr="00A53581" w:rsidRDefault="00203F72" w:rsidP="00D87D91">
      <w:r>
        <w:rPr>
          <w:noProof/>
        </w:rPr>
        <w:drawing>
          <wp:inline distT="0" distB="0" distL="0" distR="0" wp14:anchorId="64FC1DF7" wp14:editId="37166B97">
            <wp:extent cx="4995545" cy="3449955"/>
            <wp:effectExtent l="0" t="0" r="0" b="0"/>
            <wp:docPr id="18" name="圖片 18" descr="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oc"/>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4995545" cy="3449955"/>
                    </a:xfrm>
                    <a:prstGeom prst="rect">
                      <a:avLst/>
                    </a:prstGeom>
                    <a:noFill/>
                    <a:ln>
                      <a:noFill/>
                    </a:ln>
                  </pic:spPr>
                </pic:pic>
              </a:graphicData>
            </a:graphic>
          </wp:inline>
        </w:drawing>
      </w:r>
    </w:p>
    <w:p w14:paraId="6C057597" w14:textId="745F345F" w:rsidR="00953151" w:rsidRPr="001B1539" w:rsidRDefault="00B03E84" w:rsidP="00D87D91">
      <w:r w:rsidRPr="001B1539">
        <w:t>【</w:t>
      </w:r>
      <w:r w:rsidRPr="001B1539">
        <w:t>figure</w:t>
      </w:r>
      <w:r w:rsidR="005E23E3" w:rsidRPr="001B1539">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15</w:t>
      </w:r>
      <w:r w:rsidR="00076467">
        <w:rPr>
          <w:noProof/>
        </w:rPr>
        <w:fldChar w:fldCharType="end"/>
      </w:r>
      <w:r w:rsidR="00203F72" w:rsidRPr="001B1539">
        <w:rPr>
          <w:rFonts w:hint="eastAsia"/>
        </w:rPr>
        <w:t>中華民國雙首長制下民選國會、民選總統、行政首長間之權力互動制衡圖示</w:t>
      </w:r>
    </w:p>
    <w:p w14:paraId="287D08F5" w14:textId="77777777" w:rsidR="00953151" w:rsidRPr="001B1539" w:rsidRDefault="00B03E84" w:rsidP="00D87D91">
      <w:r w:rsidRPr="001B1539">
        <w:rPr>
          <w:rFonts w:hint="eastAsia"/>
        </w:rPr>
        <w:t>【資料來源】</w:t>
      </w:r>
      <w:r w:rsidR="00203F72" w:rsidRPr="001B1539">
        <w:rPr>
          <w:rFonts w:hint="eastAsia"/>
        </w:rPr>
        <w:t>維基百科</w:t>
      </w:r>
      <w:r w:rsidR="00203F72" w:rsidRPr="001B1539">
        <w:rPr>
          <w:rFonts w:hint="eastAsia"/>
        </w:rPr>
        <w:t>(2015)</w:t>
      </w:r>
      <w:r w:rsidR="00203F72" w:rsidRPr="001B1539">
        <w:rPr>
          <w:rFonts w:hint="eastAsia"/>
        </w:rPr>
        <w:t>，立法院對行政院院長之不信任案，上網瀏覽時日：</w:t>
      </w:r>
      <w:r w:rsidR="00203F72" w:rsidRPr="001B1539">
        <w:rPr>
          <w:rFonts w:hint="eastAsia"/>
        </w:rPr>
        <w:t>2015/08/02</w:t>
      </w:r>
      <w:r w:rsidR="00203F72" w:rsidRPr="001B1539">
        <w:rPr>
          <w:rFonts w:hint="eastAsia"/>
        </w:rPr>
        <w:t>，</w:t>
      </w:r>
      <w:hyperlink r:id="rId477" w:history="1">
        <w:r w:rsidR="00203F72" w:rsidRPr="002618BA">
          <w:rPr>
            <w:rStyle w:val="a5"/>
            <w:rFonts w:ascii="Times New Roman" w:hAnsi="Times New Roman"/>
          </w:rPr>
          <w:t>https://zh.wikipedia.org/wiki/</w:t>
        </w:r>
        <w:r w:rsidR="002618BA" w:rsidRPr="002618BA">
          <w:rPr>
            <w:rStyle w:val="a5"/>
            <w:rFonts w:ascii="Times New Roman" w:eastAsia="新細明體" w:hAnsi="Times New Roman" w:hint="eastAsia"/>
          </w:rPr>
          <w:t>立法院對行政院院長之不信任案</w:t>
        </w:r>
      </w:hyperlink>
      <w:r w:rsidR="00203F72" w:rsidRPr="001B1539">
        <w:t>。</w:t>
      </w:r>
    </w:p>
    <w:p w14:paraId="5FCD7672" w14:textId="77777777" w:rsidR="00953151" w:rsidRPr="001B1539" w:rsidRDefault="007F7377" w:rsidP="00D87D91">
      <w:r w:rsidRPr="001B1539">
        <w:t xml:space="preserve">　　</w:t>
      </w:r>
      <w:r w:rsidR="00203F72" w:rsidRPr="001B1539">
        <w:t>就我國而言，目前之問題，在於總統職權過大，極易造成總統之濫權，而未受拘束。</w:t>
      </w:r>
      <w:r w:rsidR="00203F72" w:rsidRPr="001B1539">
        <w:rPr>
          <w:rFonts w:hint="eastAsia"/>
        </w:rPr>
        <w:t>雙首長制</w:t>
      </w:r>
      <w:r w:rsidR="00203F72" w:rsidRPr="001B1539">
        <w:rPr>
          <w:rFonts w:hint="eastAsia"/>
        </w:rPr>
        <w:t>(</w:t>
      </w:r>
      <w:r w:rsidR="00203F72" w:rsidRPr="001B1539">
        <w:rPr>
          <w:rFonts w:hint="eastAsia"/>
        </w:rPr>
        <w:t>半總統制</w:t>
      </w:r>
      <w:r w:rsidR="00203F72" w:rsidRPr="001B1539">
        <w:rPr>
          <w:rFonts w:hint="eastAsia"/>
        </w:rPr>
        <w:t>)</w:t>
      </w:r>
      <w:r w:rsidR="00203F72" w:rsidRPr="001B1539">
        <w:rPr>
          <w:rFonts w:hint="eastAsia"/>
        </w:rPr>
        <w:t>下之民意政治要求與主要權力分立制衡機制，以及</w:t>
      </w:r>
      <w:r w:rsidR="00203F72" w:rsidRPr="001B1539">
        <w:t>我國中央政制</w:t>
      </w:r>
      <w:r w:rsidR="00203F72" w:rsidRPr="001B1539">
        <w:t>(</w:t>
      </w:r>
      <w:r w:rsidR="00203F72" w:rsidRPr="001B1539">
        <w:t>體</w:t>
      </w:r>
      <w:r w:rsidR="00203F72" w:rsidRPr="001B1539">
        <w:t>)</w:t>
      </w:r>
      <w:r w:rsidR="00203F72" w:rsidRPr="001B1539">
        <w:t>與各國之比較分析，詳如下表。</w:t>
      </w:r>
    </w:p>
    <w:p w14:paraId="6845CC47" w14:textId="77777777" w:rsidR="003B623C" w:rsidRDefault="003B623C" w:rsidP="00D87D91"/>
    <w:p w14:paraId="58BAA9F7" w14:textId="297498EE"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28</w:t>
      </w:r>
      <w:r w:rsidR="00076467">
        <w:rPr>
          <w:noProof/>
        </w:rPr>
        <w:fldChar w:fldCharType="end"/>
      </w:r>
      <w:r w:rsidR="00203F72" w:rsidRPr="001B1539">
        <w:rPr>
          <w:rFonts w:hint="eastAsia"/>
        </w:rPr>
        <w:t>雙首長制</w:t>
      </w:r>
      <w:r w:rsidR="00203F72" w:rsidRPr="001B1539">
        <w:rPr>
          <w:rFonts w:hint="eastAsia"/>
        </w:rPr>
        <w:t>(</w:t>
      </w:r>
      <w:r w:rsidR="00203F72" w:rsidRPr="001B1539">
        <w:rPr>
          <w:rFonts w:hint="eastAsia"/>
        </w:rPr>
        <w:t>半總統制</w:t>
      </w:r>
      <w:r w:rsidR="00203F72" w:rsidRPr="001B1539">
        <w:rPr>
          <w:rFonts w:hint="eastAsia"/>
        </w:rPr>
        <w:t>)</w:t>
      </w:r>
      <w:r w:rsidR="00203F72" w:rsidRPr="001B1539">
        <w:rPr>
          <w:rFonts w:hint="eastAsia"/>
        </w:rPr>
        <w:t>下之民意政治要求與主要權力分立制衡機制</w:t>
      </w:r>
    </w:p>
    <w:tbl>
      <w:tblPr>
        <w:tblW w:w="765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4961"/>
      </w:tblGrid>
      <w:tr w:rsidR="00203F72" w:rsidRPr="00A53581" w14:paraId="615B17F7" w14:textId="77777777" w:rsidTr="001B1539">
        <w:trPr>
          <w:tblHeader/>
        </w:trPr>
        <w:tc>
          <w:tcPr>
            <w:tcW w:w="2693" w:type="dxa"/>
            <w:tcBorders>
              <w:top w:val="single" w:sz="4" w:space="0" w:color="auto"/>
              <w:left w:val="single" w:sz="4" w:space="0" w:color="auto"/>
              <w:bottom w:val="single" w:sz="4" w:space="0" w:color="auto"/>
              <w:right w:val="single" w:sz="4" w:space="0" w:color="auto"/>
            </w:tcBorders>
            <w:shd w:val="clear" w:color="auto" w:fill="FAF0FA"/>
            <w:hideMark/>
          </w:tcPr>
          <w:p w14:paraId="0C175155" w14:textId="77777777" w:rsidR="00203F72" w:rsidRPr="00A53581" w:rsidRDefault="00203F72" w:rsidP="00D87D91">
            <w:r w:rsidRPr="00A53581">
              <w:rPr>
                <w:rFonts w:hint="eastAsia"/>
              </w:rPr>
              <w:t>「責任政治」之要求</w:t>
            </w:r>
          </w:p>
        </w:tc>
        <w:tc>
          <w:tcPr>
            <w:tcW w:w="4961" w:type="dxa"/>
            <w:tcBorders>
              <w:top w:val="single" w:sz="4" w:space="0" w:color="auto"/>
              <w:left w:val="single" w:sz="4" w:space="0" w:color="auto"/>
              <w:bottom w:val="single" w:sz="4" w:space="0" w:color="auto"/>
              <w:right w:val="single" w:sz="4" w:space="0" w:color="auto"/>
            </w:tcBorders>
            <w:shd w:val="clear" w:color="auto" w:fill="FAF0FA"/>
            <w:hideMark/>
          </w:tcPr>
          <w:p w14:paraId="7597F33B" w14:textId="77777777" w:rsidR="00203F72" w:rsidRPr="00A53581" w:rsidRDefault="00203F72" w:rsidP="00D87D91">
            <w:r w:rsidRPr="00A53581">
              <w:rPr>
                <w:rFonts w:hint="eastAsia"/>
              </w:rPr>
              <w:t>「權力分立制衡」之主要機制</w:t>
            </w:r>
          </w:p>
        </w:tc>
      </w:tr>
      <w:tr w:rsidR="00203F72" w:rsidRPr="00A53581" w14:paraId="5D4245C0" w14:textId="77777777" w:rsidTr="00203F72">
        <w:tc>
          <w:tcPr>
            <w:tcW w:w="2693" w:type="dxa"/>
            <w:tcBorders>
              <w:top w:val="single" w:sz="4" w:space="0" w:color="auto"/>
              <w:left w:val="single" w:sz="4" w:space="0" w:color="auto"/>
              <w:bottom w:val="single" w:sz="4" w:space="0" w:color="auto"/>
              <w:right w:val="single" w:sz="4" w:space="0" w:color="auto"/>
            </w:tcBorders>
            <w:shd w:val="clear" w:color="auto" w:fill="auto"/>
            <w:hideMark/>
          </w:tcPr>
          <w:p w14:paraId="7EB3508B" w14:textId="77777777" w:rsidR="00203F72" w:rsidRPr="00A53581" w:rsidRDefault="00203F72" w:rsidP="00D87D91">
            <w:r w:rsidRPr="00A53581">
              <w:rPr>
                <w:rFonts w:hint="eastAsia"/>
              </w:rPr>
              <w:t>總統→定期改選、罷免制度設計向人民負責</w:t>
            </w:r>
            <w:r w:rsidRPr="00A53581">
              <w:t>(</w:t>
            </w:r>
            <w:r w:rsidRPr="00A53581">
              <w:rPr>
                <w:rFonts w:hint="eastAsia"/>
              </w:rPr>
              <w:t>民意政治</w:t>
            </w:r>
            <w:r w:rsidRPr="00A53581">
              <w:t>)</w:t>
            </w:r>
            <w:r w:rsidRPr="00A53581">
              <w:rPr>
                <w:rFonts w:hint="eastAsia"/>
              </w:rPr>
              <w:t>。</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025E154" w14:textId="77777777" w:rsidR="00203F72" w:rsidRPr="00A53581" w:rsidRDefault="00203F72" w:rsidP="00D87D91">
            <w:r w:rsidRPr="00A53581">
              <w:rPr>
                <w:rFonts w:hint="eastAsia"/>
              </w:rPr>
              <w:t>總統</w:t>
            </w:r>
            <w:r w:rsidR="00D92F56" w:rsidRPr="00A53581">
              <w:rPr>
                <w:rFonts w:hint="eastAsia"/>
              </w:rPr>
              <w:t>→</w:t>
            </w:r>
            <w:r w:rsidRPr="00A53581">
              <w:rPr>
                <w:rFonts w:hint="eastAsia"/>
              </w:rPr>
              <w:t>對國會→解散國會、公民投票、覆議。</w:t>
            </w:r>
          </w:p>
          <w:p w14:paraId="08421EAC" w14:textId="77777777" w:rsidR="00203F72" w:rsidRPr="00A53581" w:rsidRDefault="00203F72" w:rsidP="00D87D91">
            <w:r w:rsidRPr="00A53581">
              <w:rPr>
                <w:rFonts w:hint="eastAsia"/>
              </w:rPr>
              <w:t>總統</w:t>
            </w:r>
            <w:r w:rsidR="00D92F56" w:rsidRPr="00A53581">
              <w:rPr>
                <w:rFonts w:hint="eastAsia"/>
              </w:rPr>
              <w:t>→</w:t>
            </w:r>
            <w:r w:rsidRPr="00A53581">
              <w:rPr>
                <w:rFonts w:hint="eastAsia"/>
              </w:rPr>
              <w:t>對內閣→任命總理、分享行政權</w:t>
            </w:r>
          </w:p>
          <w:p w14:paraId="6B9F6713" w14:textId="77777777" w:rsidR="00203F72" w:rsidRPr="00A53581" w:rsidRDefault="00203F72" w:rsidP="00D87D91">
            <w:r w:rsidRPr="00A53581">
              <w:t>(</w:t>
            </w:r>
            <w:r w:rsidRPr="00A53581">
              <w:rPr>
                <w:rFonts w:hint="eastAsia"/>
              </w:rPr>
              <w:t>主持部長會議、主持國防最高會議</w:t>
            </w:r>
            <w:r w:rsidRPr="00A53581">
              <w:t>)</w:t>
            </w:r>
            <w:r w:rsidRPr="00A53581">
              <w:rPr>
                <w:rFonts w:hint="eastAsia"/>
              </w:rPr>
              <w:t>。</w:t>
            </w:r>
          </w:p>
        </w:tc>
      </w:tr>
      <w:tr w:rsidR="00203F72" w:rsidRPr="00A53581" w14:paraId="1AD39810" w14:textId="77777777" w:rsidTr="00203F72">
        <w:tc>
          <w:tcPr>
            <w:tcW w:w="2693" w:type="dxa"/>
            <w:tcBorders>
              <w:top w:val="single" w:sz="4" w:space="0" w:color="auto"/>
              <w:left w:val="single" w:sz="4" w:space="0" w:color="auto"/>
              <w:bottom w:val="single" w:sz="4" w:space="0" w:color="auto"/>
              <w:right w:val="single" w:sz="4" w:space="0" w:color="auto"/>
            </w:tcBorders>
            <w:shd w:val="clear" w:color="auto" w:fill="auto"/>
            <w:hideMark/>
          </w:tcPr>
          <w:p w14:paraId="527ACEB6" w14:textId="77777777" w:rsidR="00203F72" w:rsidRPr="00A53581" w:rsidRDefault="00203F72" w:rsidP="00D87D91">
            <w:r w:rsidRPr="00A53581">
              <w:rPr>
                <w:rFonts w:hint="eastAsia"/>
              </w:rPr>
              <w:t>國會→定期改選、罷免制度設計，向人民負責</w:t>
            </w:r>
            <w:r w:rsidRPr="00A53581">
              <w:t>(</w:t>
            </w:r>
            <w:r w:rsidRPr="00A53581">
              <w:rPr>
                <w:rFonts w:hint="eastAsia"/>
              </w:rPr>
              <w:t>民意政治</w:t>
            </w:r>
            <w:r w:rsidRPr="00A53581">
              <w:t>)</w:t>
            </w:r>
            <w:r w:rsidRPr="00A53581">
              <w:rPr>
                <w:rFonts w:hint="eastAsia"/>
              </w:rPr>
              <w:t>。</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C58EE8A" w14:textId="77777777" w:rsidR="00203F72" w:rsidRPr="00A53581" w:rsidRDefault="00203F72" w:rsidP="00D87D91">
            <w:r w:rsidRPr="00A53581">
              <w:rPr>
                <w:rFonts w:hint="eastAsia"/>
              </w:rPr>
              <w:t>國會</w:t>
            </w:r>
            <w:r w:rsidR="00D92F56" w:rsidRPr="00A53581">
              <w:rPr>
                <w:rFonts w:hint="eastAsia"/>
              </w:rPr>
              <w:t>→</w:t>
            </w:r>
            <w:r w:rsidRPr="00A53581">
              <w:rPr>
                <w:rFonts w:hint="eastAsia"/>
              </w:rPr>
              <w:t>對總統→預算與法案監控。</w:t>
            </w:r>
          </w:p>
          <w:p w14:paraId="0AC3F67C" w14:textId="77777777" w:rsidR="00203F72" w:rsidRPr="00A53581" w:rsidRDefault="00203F72" w:rsidP="00D87D91">
            <w:r w:rsidRPr="00A53581">
              <w:rPr>
                <w:rFonts w:hint="eastAsia"/>
              </w:rPr>
              <w:t>國會</w:t>
            </w:r>
            <w:r w:rsidR="00D92F56" w:rsidRPr="00A53581">
              <w:rPr>
                <w:rFonts w:hint="eastAsia"/>
              </w:rPr>
              <w:t>→</w:t>
            </w:r>
            <w:r w:rsidRPr="00A53581">
              <w:rPr>
                <w:rFonts w:hint="eastAsia"/>
              </w:rPr>
              <w:t>對內閣→不信任案。</w:t>
            </w:r>
          </w:p>
        </w:tc>
      </w:tr>
      <w:tr w:rsidR="00203F72" w:rsidRPr="00A53581" w14:paraId="539CCDE1" w14:textId="77777777" w:rsidTr="00203F72">
        <w:tc>
          <w:tcPr>
            <w:tcW w:w="2693" w:type="dxa"/>
            <w:tcBorders>
              <w:top w:val="single" w:sz="4" w:space="0" w:color="auto"/>
              <w:left w:val="single" w:sz="4" w:space="0" w:color="auto"/>
              <w:bottom w:val="single" w:sz="4" w:space="0" w:color="auto"/>
              <w:right w:val="single" w:sz="4" w:space="0" w:color="auto"/>
            </w:tcBorders>
            <w:shd w:val="clear" w:color="auto" w:fill="auto"/>
            <w:hideMark/>
          </w:tcPr>
          <w:p w14:paraId="427D6D50" w14:textId="77777777" w:rsidR="00203F72" w:rsidRPr="00A53581" w:rsidRDefault="00203F72" w:rsidP="00D87D91">
            <w:r w:rsidRPr="00A53581">
              <w:rPr>
                <w:rFonts w:hint="eastAsia"/>
              </w:rPr>
              <w:t>內閣→</w:t>
            </w:r>
            <w:r w:rsidR="003E240E">
              <w:rPr>
                <w:rFonts w:hint="eastAsia"/>
              </w:rPr>
              <w:t>視</w:t>
            </w:r>
            <w:r w:rsidRPr="00A53581">
              <w:rPr>
                <w:rFonts w:hint="eastAsia"/>
              </w:rPr>
              <w:t>擺盪情形而有差異</w:t>
            </w:r>
            <w:r w:rsidRPr="00A53581">
              <w:t>(</w:t>
            </w:r>
            <w:r w:rsidRPr="00A53581">
              <w:rPr>
                <w:rFonts w:hint="eastAsia"/>
              </w:rPr>
              <w:t>間接民意政治</w:t>
            </w:r>
            <w:r w:rsidRPr="00A53581">
              <w:t>)</w:t>
            </w:r>
            <w:r w:rsidRPr="00A53581">
              <w:rPr>
                <w:rFonts w:hint="eastAsia"/>
              </w:rPr>
              <w:t>。</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60D7652F" w14:textId="77777777" w:rsidR="00203F72" w:rsidRPr="00A53581" w:rsidRDefault="00203F72" w:rsidP="00D87D91">
            <w:r w:rsidRPr="00A53581">
              <w:rPr>
                <w:rFonts w:hint="eastAsia"/>
              </w:rPr>
              <w:t>內閣</w:t>
            </w:r>
            <w:r w:rsidR="00D92F56" w:rsidRPr="00A53581">
              <w:rPr>
                <w:rFonts w:hint="eastAsia"/>
              </w:rPr>
              <w:t>→</w:t>
            </w:r>
            <w:r w:rsidRPr="00A53581">
              <w:rPr>
                <w:rFonts w:hint="eastAsia"/>
              </w:rPr>
              <w:t>對總統→分享行政權。</w:t>
            </w:r>
          </w:p>
          <w:p w14:paraId="4251B515" w14:textId="77777777" w:rsidR="00203F72" w:rsidRPr="00A53581" w:rsidRDefault="00203F72" w:rsidP="00D87D91">
            <w:r w:rsidRPr="00A53581">
              <w:rPr>
                <w:rFonts w:hint="eastAsia"/>
              </w:rPr>
              <w:t>內閣</w:t>
            </w:r>
            <w:r w:rsidR="00D92F56" w:rsidRPr="00A53581">
              <w:rPr>
                <w:rFonts w:hint="eastAsia"/>
              </w:rPr>
              <w:t>→</w:t>
            </w:r>
            <w:r w:rsidRPr="00A53581">
              <w:rPr>
                <w:rFonts w:hint="eastAsia"/>
              </w:rPr>
              <w:t>對國會→解散國會。</w:t>
            </w:r>
          </w:p>
        </w:tc>
      </w:tr>
    </w:tbl>
    <w:p w14:paraId="4193161E" w14:textId="77777777" w:rsidR="00953151" w:rsidRPr="001B1539" w:rsidRDefault="002107CE" w:rsidP="00D87D91">
      <w:r w:rsidRPr="001B1539">
        <w:rPr>
          <w:rFonts w:hint="eastAsia"/>
        </w:rPr>
        <w:t>【本表格資料來源】</w:t>
      </w:r>
      <w:r w:rsidR="00203F72" w:rsidRPr="001B1539">
        <w:rPr>
          <w:rFonts w:hint="eastAsia"/>
        </w:rPr>
        <w:t>植憲</w:t>
      </w:r>
      <w:r w:rsidR="00203F72" w:rsidRPr="001B1539">
        <w:t>(2011)</w:t>
      </w:r>
      <w:r w:rsidR="00203F72" w:rsidRPr="001B1539">
        <w:rPr>
          <w:rFonts w:hint="eastAsia"/>
        </w:rPr>
        <w:t>，憲法解題概念操作</w:t>
      </w:r>
      <w:r w:rsidR="00203F72" w:rsidRPr="001B1539">
        <w:t>(</w:t>
      </w:r>
      <w:r w:rsidR="00203F72" w:rsidRPr="001B1539">
        <w:rPr>
          <w:rFonts w:hint="eastAsia"/>
        </w:rPr>
        <w:t>下</w:t>
      </w:r>
      <w:r w:rsidR="00203F72" w:rsidRPr="001B1539">
        <w:t>)</w:t>
      </w:r>
      <w:r w:rsidR="00203F72" w:rsidRPr="001B1539">
        <w:rPr>
          <w:rFonts w:hint="eastAsia"/>
        </w:rPr>
        <w:t>，</w:t>
      </w:r>
      <w:r w:rsidR="00203F72" w:rsidRPr="001B1539">
        <w:t>6</w:t>
      </w:r>
      <w:r w:rsidR="00203F72" w:rsidRPr="001B1539">
        <w:rPr>
          <w:rFonts w:hint="eastAsia"/>
        </w:rPr>
        <w:t>版，台北：高點文化公司，第</w:t>
      </w:r>
      <w:r w:rsidR="00203F72" w:rsidRPr="001B1539">
        <w:t>86</w:t>
      </w:r>
      <w:r w:rsidR="00203F72" w:rsidRPr="001B1539">
        <w:rPr>
          <w:rFonts w:hint="eastAsia"/>
        </w:rPr>
        <w:t>頁。</w:t>
      </w:r>
    </w:p>
    <w:p w14:paraId="42C44D85" w14:textId="77777777" w:rsidR="003B623C" w:rsidRDefault="003B623C" w:rsidP="00D87D91"/>
    <w:p w14:paraId="7FDED23C" w14:textId="7913EE7C"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29</w:t>
      </w:r>
      <w:r w:rsidR="00076467">
        <w:rPr>
          <w:noProof/>
        </w:rPr>
        <w:fldChar w:fldCharType="end"/>
      </w:r>
      <w:r w:rsidR="00203F72" w:rsidRPr="001B1539">
        <w:t>我國中央政制</w:t>
      </w:r>
      <w:r w:rsidR="00203F72" w:rsidRPr="001B1539">
        <w:t>(</w:t>
      </w:r>
      <w:r w:rsidR="00203F72" w:rsidRPr="001B1539">
        <w:t>體</w:t>
      </w:r>
      <w:r w:rsidR="00203F72" w:rsidRPr="001B1539">
        <w:t>)</w:t>
      </w:r>
      <w:r w:rsidR="00203F72" w:rsidRPr="001B1539">
        <w:t>與各國之比較分析</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986"/>
        <w:gridCol w:w="1388"/>
        <w:gridCol w:w="1064"/>
        <w:gridCol w:w="1061"/>
        <w:gridCol w:w="1292"/>
        <w:gridCol w:w="706"/>
        <w:gridCol w:w="873"/>
      </w:tblGrid>
      <w:tr w:rsidR="00203F72" w:rsidRPr="00A53581" w14:paraId="792BDB85" w14:textId="77777777" w:rsidTr="006937CE">
        <w:trPr>
          <w:tblHeader/>
        </w:trPr>
        <w:tc>
          <w:tcPr>
            <w:tcW w:w="357" w:type="pct"/>
            <w:shd w:val="clear" w:color="auto" w:fill="FAF0FA"/>
          </w:tcPr>
          <w:p w14:paraId="22344FB8" w14:textId="77777777" w:rsidR="00203F72" w:rsidRPr="00A53581" w:rsidRDefault="00203F72" w:rsidP="00D87D91"/>
        </w:tc>
        <w:tc>
          <w:tcPr>
            <w:tcW w:w="621" w:type="pct"/>
            <w:shd w:val="clear" w:color="auto" w:fill="FAF0FA"/>
          </w:tcPr>
          <w:p w14:paraId="4BE30C80" w14:textId="77777777" w:rsidR="00203F72" w:rsidRPr="00A53581" w:rsidRDefault="00203F72" w:rsidP="00D87D91">
            <w:r w:rsidRPr="00A53581">
              <w:t>問題分析</w:t>
            </w:r>
          </w:p>
        </w:tc>
        <w:tc>
          <w:tcPr>
            <w:tcW w:w="874" w:type="pct"/>
            <w:shd w:val="clear" w:color="auto" w:fill="FAF0FA"/>
          </w:tcPr>
          <w:p w14:paraId="60636F5A" w14:textId="77777777" w:rsidR="00203F72" w:rsidRPr="00A53581" w:rsidRDefault="00203F72" w:rsidP="00D87D91">
            <w:r w:rsidRPr="00A53581">
              <w:t>總統制</w:t>
            </w:r>
          </w:p>
        </w:tc>
        <w:tc>
          <w:tcPr>
            <w:tcW w:w="670" w:type="pct"/>
            <w:shd w:val="clear" w:color="auto" w:fill="FAF0FA"/>
          </w:tcPr>
          <w:p w14:paraId="61B3BC44" w14:textId="77777777" w:rsidR="00203F72" w:rsidRPr="00A53581" w:rsidRDefault="00203F72" w:rsidP="00D87D91">
            <w:r w:rsidRPr="00A53581">
              <w:t>內閣制</w:t>
            </w:r>
          </w:p>
        </w:tc>
        <w:tc>
          <w:tcPr>
            <w:tcW w:w="668" w:type="pct"/>
            <w:shd w:val="clear" w:color="auto" w:fill="FAF0FA"/>
          </w:tcPr>
          <w:p w14:paraId="474A5E1C" w14:textId="77777777" w:rsidR="00203F72" w:rsidRPr="00A53581" w:rsidRDefault="00203F72" w:rsidP="00D87D91">
            <w:r w:rsidRPr="00A53581">
              <w:t>法國混合制</w:t>
            </w:r>
          </w:p>
        </w:tc>
        <w:tc>
          <w:tcPr>
            <w:tcW w:w="814" w:type="pct"/>
            <w:shd w:val="clear" w:color="auto" w:fill="FAF0FA"/>
          </w:tcPr>
          <w:p w14:paraId="0B09371C" w14:textId="77777777" w:rsidR="00203F72" w:rsidRPr="00A53581" w:rsidRDefault="00203F72" w:rsidP="00D87D91">
            <w:r w:rsidRPr="00A53581">
              <w:t>我國政制</w:t>
            </w:r>
          </w:p>
        </w:tc>
        <w:tc>
          <w:tcPr>
            <w:tcW w:w="445" w:type="pct"/>
            <w:shd w:val="clear" w:color="auto" w:fill="FAF0FA"/>
          </w:tcPr>
          <w:p w14:paraId="7B93E5F7" w14:textId="77777777" w:rsidR="00203F72" w:rsidRPr="00A53581" w:rsidRDefault="00203F72" w:rsidP="00D87D91">
            <w:r w:rsidRPr="00A53581">
              <w:t>類似總統制</w:t>
            </w:r>
          </w:p>
        </w:tc>
        <w:tc>
          <w:tcPr>
            <w:tcW w:w="550" w:type="pct"/>
            <w:shd w:val="clear" w:color="auto" w:fill="FAF0FA"/>
          </w:tcPr>
          <w:p w14:paraId="73EA28CB" w14:textId="77777777" w:rsidR="00203F72" w:rsidRPr="00A53581" w:rsidRDefault="00203F72" w:rsidP="00D87D91">
            <w:r w:rsidRPr="00A53581">
              <w:t>類似內閣制</w:t>
            </w:r>
          </w:p>
        </w:tc>
      </w:tr>
      <w:tr w:rsidR="00203F72" w:rsidRPr="00A53581" w14:paraId="3E3C8A8C" w14:textId="77777777" w:rsidTr="006937CE">
        <w:tc>
          <w:tcPr>
            <w:tcW w:w="357" w:type="pct"/>
            <w:shd w:val="clear" w:color="auto" w:fill="auto"/>
          </w:tcPr>
          <w:p w14:paraId="22916D30" w14:textId="77777777" w:rsidR="00203F72" w:rsidRPr="00A53581" w:rsidRDefault="00203F72" w:rsidP="00D87D91">
            <w:r w:rsidRPr="00A53581">
              <w:t>1</w:t>
            </w:r>
          </w:p>
        </w:tc>
        <w:tc>
          <w:tcPr>
            <w:tcW w:w="621" w:type="pct"/>
            <w:shd w:val="clear" w:color="auto" w:fill="auto"/>
          </w:tcPr>
          <w:p w14:paraId="40168542" w14:textId="77777777" w:rsidR="00203F72" w:rsidRPr="00A53581" w:rsidRDefault="00203F72" w:rsidP="00D87D91">
            <w:r w:rsidRPr="00A53581">
              <w:t>代表性之憲法</w:t>
            </w:r>
          </w:p>
        </w:tc>
        <w:tc>
          <w:tcPr>
            <w:tcW w:w="874" w:type="pct"/>
            <w:shd w:val="clear" w:color="auto" w:fill="auto"/>
          </w:tcPr>
          <w:p w14:paraId="3B02FF02" w14:textId="77777777" w:rsidR="00203F72" w:rsidRPr="00A53581" w:rsidRDefault="00203F72" w:rsidP="00D87D91">
            <w:r w:rsidRPr="00A53581">
              <w:t>1987</w:t>
            </w:r>
            <w:r w:rsidRPr="00A53581">
              <w:t>年美國憲法與若干修正條文</w:t>
            </w:r>
            <w:r w:rsidRPr="00A53581">
              <w:rPr>
                <w:kern w:val="0"/>
              </w:rPr>
              <w:t>。</w:t>
            </w:r>
          </w:p>
        </w:tc>
        <w:tc>
          <w:tcPr>
            <w:tcW w:w="670" w:type="pct"/>
            <w:shd w:val="clear" w:color="auto" w:fill="auto"/>
          </w:tcPr>
          <w:p w14:paraId="7CFDB4E2" w14:textId="77777777" w:rsidR="00203F72" w:rsidRPr="00A53581" w:rsidRDefault="00203F72" w:rsidP="00D87D91">
            <w:r w:rsidRPr="00A53581">
              <w:t>英國之不成文憲法</w:t>
            </w:r>
            <w:r w:rsidRPr="00A53581">
              <w:rPr>
                <w:kern w:val="0"/>
              </w:rPr>
              <w:t>。</w:t>
            </w:r>
          </w:p>
        </w:tc>
        <w:tc>
          <w:tcPr>
            <w:tcW w:w="668" w:type="pct"/>
            <w:shd w:val="clear" w:color="auto" w:fill="auto"/>
          </w:tcPr>
          <w:p w14:paraId="2C11350B" w14:textId="77777777" w:rsidR="00203F72" w:rsidRPr="00A53581" w:rsidRDefault="00203F72" w:rsidP="00D87D91">
            <w:r w:rsidRPr="00A53581">
              <w:t>1974</w:t>
            </w:r>
            <w:r w:rsidRPr="00A53581">
              <w:t>年法國第五共和憲法</w:t>
            </w:r>
            <w:r w:rsidRPr="00A53581">
              <w:rPr>
                <w:kern w:val="0"/>
              </w:rPr>
              <w:t>。</w:t>
            </w:r>
          </w:p>
        </w:tc>
        <w:tc>
          <w:tcPr>
            <w:tcW w:w="814" w:type="pct"/>
            <w:shd w:val="clear" w:color="auto" w:fill="auto"/>
          </w:tcPr>
          <w:p w14:paraId="2B2CB30D" w14:textId="77777777" w:rsidR="00203F72" w:rsidRPr="00A53581" w:rsidRDefault="00203F72" w:rsidP="00D87D91">
            <w:r w:rsidRPr="00A53581">
              <w:t>民國</w:t>
            </w:r>
            <w:r w:rsidRPr="00A53581">
              <w:t>36</w:t>
            </w:r>
            <w:r w:rsidRPr="00A53581">
              <w:t>年中華民國憲法與</w:t>
            </w:r>
            <w:r w:rsidRPr="00A53581">
              <w:t>94</w:t>
            </w:r>
            <w:r w:rsidRPr="00A53581">
              <w:t>年增修條文</w:t>
            </w:r>
            <w:r w:rsidRPr="00A53581">
              <w:rPr>
                <w:kern w:val="0"/>
              </w:rPr>
              <w:t>。</w:t>
            </w:r>
          </w:p>
        </w:tc>
        <w:tc>
          <w:tcPr>
            <w:tcW w:w="445" w:type="pct"/>
            <w:shd w:val="clear" w:color="auto" w:fill="auto"/>
          </w:tcPr>
          <w:p w14:paraId="6CDDBB35" w14:textId="77777777" w:rsidR="00203F72" w:rsidRPr="00A53581" w:rsidRDefault="00203F72" w:rsidP="00D87D91"/>
        </w:tc>
        <w:tc>
          <w:tcPr>
            <w:tcW w:w="550" w:type="pct"/>
            <w:shd w:val="clear" w:color="auto" w:fill="auto"/>
          </w:tcPr>
          <w:p w14:paraId="1163D705" w14:textId="77777777" w:rsidR="00203F72" w:rsidRPr="00A53581" w:rsidRDefault="00203F72" w:rsidP="00D87D91"/>
        </w:tc>
      </w:tr>
      <w:tr w:rsidR="00203F72" w:rsidRPr="00A53581" w14:paraId="25224D7D" w14:textId="77777777" w:rsidTr="006937CE">
        <w:tc>
          <w:tcPr>
            <w:tcW w:w="357" w:type="pct"/>
            <w:shd w:val="clear" w:color="auto" w:fill="auto"/>
          </w:tcPr>
          <w:p w14:paraId="339BEB63" w14:textId="77777777" w:rsidR="00203F72" w:rsidRPr="00A53581" w:rsidRDefault="00203F72" w:rsidP="00D87D91">
            <w:r w:rsidRPr="00A53581">
              <w:t>2.</w:t>
            </w:r>
          </w:p>
        </w:tc>
        <w:tc>
          <w:tcPr>
            <w:tcW w:w="621" w:type="pct"/>
            <w:shd w:val="clear" w:color="auto" w:fill="auto"/>
          </w:tcPr>
          <w:p w14:paraId="7FA1F639" w14:textId="77777777" w:rsidR="00203F72" w:rsidRPr="00A53581" w:rsidRDefault="00203F72" w:rsidP="00D87D91">
            <w:r w:rsidRPr="00A53581">
              <w:t>元首之產生</w:t>
            </w:r>
          </w:p>
        </w:tc>
        <w:tc>
          <w:tcPr>
            <w:tcW w:w="874" w:type="pct"/>
            <w:shd w:val="clear" w:color="auto" w:fill="auto"/>
          </w:tcPr>
          <w:p w14:paraId="036FF0EE" w14:textId="77777777" w:rsidR="00203F72" w:rsidRPr="00A53581" w:rsidRDefault="00203F72" w:rsidP="00D87D91">
            <w:r w:rsidRPr="00A53581">
              <w:t>總統由人民選出之「總統選舉人」選舉產生。</w:t>
            </w:r>
          </w:p>
        </w:tc>
        <w:tc>
          <w:tcPr>
            <w:tcW w:w="670" w:type="pct"/>
            <w:shd w:val="clear" w:color="auto" w:fill="auto"/>
          </w:tcPr>
          <w:p w14:paraId="787A96A0" w14:textId="77777777" w:rsidR="00203F72" w:rsidRPr="00A53581" w:rsidRDefault="00203F72" w:rsidP="00D87D91">
            <w:r w:rsidRPr="00A53581">
              <w:t>元首採世襲繼承制</w:t>
            </w:r>
            <w:r w:rsidRPr="00A53581">
              <w:rPr>
                <w:kern w:val="0"/>
              </w:rPr>
              <w:t>。</w:t>
            </w:r>
          </w:p>
        </w:tc>
        <w:tc>
          <w:tcPr>
            <w:tcW w:w="668" w:type="pct"/>
            <w:shd w:val="clear" w:color="auto" w:fill="auto"/>
          </w:tcPr>
          <w:p w14:paraId="11F172DC" w14:textId="77777777" w:rsidR="00203F72" w:rsidRPr="00A53581" w:rsidRDefault="00203F72" w:rsidP="00D87D91">
            <w:r w:rsidRPr="00A53581">
              <w:t>1962</w:t>
            </w:r>
            <w:r w:rsidRPr="00A53581">
              <w:t>年以前由選舉團選出，其後由人民直接選舉</w:t>
            </w:r>
            <w:r w:rsidRPr="00A53581">
              <w:rPr>
                <w:kern w:val="0"/>
              </w:rPr>
              <w:t>。</w:t>
            </w:r>
          </w:p>
        </w:tc>
        <w:tc>
          <w:tcPr>
            <w:tcW w:w="814" w:type="pct"/>
            <w:shd w:val="clear" w:color="auto" w:fill="auto"/>
          </w:tcPr>
          <w:p w14:paraId="76D029C6" w14:textId="77777777" w:rsidR="00203F72" w:rsidRPr="00A53581" w:rsidRDefault="00203F72" w:rsidP="00D87D91">
            <w:r w:rsidRPr="00A53581">
              <w:t>增修條文規定總統由人民直接選舉</w:t>
            </w:r>
            <w:r w:rsidRPr="00A53581">
              <w:rPr>
                <w:kern w:val="0"/>
              </w:rPr>
              <w:t>。</w:t>
            </w:r>
          </w:p>
        </w:tc>
        <w:tc>
          <w:tcPr>
            <w:tcW w:w="445" w:type="pct"/>
            <w:shd w:val="clear" w:color="auto" w:fill="auto"/>
          </w:tcPr>
          <w:p w14:paraId="2ADF988D" w14:textId="77777777" w:rsidR="00203F72" w:rsidRPr="00A53581" w:rsidRDefault="00203F72" w:rsidP="00D87D91">
            <w:r w:rsidRPr="00A53581">
              <w:t>○</w:t>
            </w:r>
          </w:p>
        </w:tc>
        <w:tc>
          <w:tcPr>
            <w:tcW w:w="550" w:type="pct"/>
            <w:shd w:val="clear" w:color="auto" w:fill="auto"/>
          </w:tcPr>
          <w:p w14:paraId="5EEC2A5E" w14:textId="77777777" w:rsidR="00203F72" w:rsidRPr="00A53581" w:rsidRDefault="00203F72" w:rsidP="00D87D91"/>
        </w:tc>
      </w:tr>
      <w:tr w:rsidR="00203F72" w:rsidRPr="00A53581" w14:paraId="7E3817AF" w14:textId="77777777" w:rsidTr="006937CE">
        <w:tc>
          <w:tcPr>
            <w:tcW w:w="357" w:type="pct"/>
            <w:shd w:val="clear" w:color="auto" w:fill="auto"/>
          </w:tcPr>
          <w:p w14:paraId="3003791F" w14:textId="77777777" w:rsidR="00203F72" w:rsidRPr="00A53581" w:rsidRDefault="00203F72" w:rsidP="00D87D91">
            <w:r w:rsidRPr="00A53581">
              <w:t>3.</w:t>
            </w:r>
          </w:p>
        </w:tc>
        <w:tc>
          <w:tcPr>
            <w:tcW w:w="621" w:type="pct"/>
            <w:shd w:val="clear" w:color="auto" w:fill="auto"/>
          </w:tcPr>
          <w:p w14:paraId="104A6365" w14:textId="77777777" w:rsidR="00203F72" w:rsidRPr="00A53581" w:rsidRDefault="00203F72" w:rsidP="00D87D91">
            <w:r w:rsidRPr="00A53581">
              <w:t>對總統能罷免或彈劾否？</w:t>
            </w:r>
          </w:p>
        </w:tc>
        <w:tc>
          <w:tcPr>
            <w:tcW w:w="874" w:type="pct"/>
            <w:shd w:val="clear" w:color="auto" w:fill="auto"/>
          </w:tcPr>
          <w:p w14:paraId="10D3D7F6" w14:textId="77777777" w:rsidR="00203F72" w:rsidRPr="00A53581" w:rsidRDefault="00203F72" w:rsidP="00D87D91">
            <w:r w:rsidRPr="00A53581">
              <w:t>總統、副總統及所有文官，因判國、受賄或其他重大罪刑與不端行為，可以彈劾、判罪並撤職</w:t>
            </w:r>
            <w:r w:rsidRPr="00A53581">
              <w:rPr>
                <w:kern w:val="0"/>
              </w:rPr>
              <w:t>。</w:t>
            </w:r>
          </w:p>
        </w:tc>
        <w:tc>
          <w:tcPr>
            <w:tcW w:w="670" w:type="pct"/>
            <w:shd w:val="clear" w:color="auto" w:fill="auto"/>
          </w:tcPr>
          <w:p w14:paraId="2A10A9AC" w14:textId="77777777" w:rsidR="00203F72" w:rsidRPr="00A53581" w:rsidRDefault="00203F72" w:rsidP="00D87D91">
            <w:r w:rsidRPr="00A53581">
              <w:t>除國王外，對總統能提出彈劾</w:t>
            </w:r>
          </w:p>
        </w:tc>
        <w:tc>
          <w:tcPr>
            <w:tcW w:w="668" w:type="pct"/>
            <w:shd w:val="clear" w:color="auto" w:fill="auto"/>
          </w:tcPr>
          <w:p w14:paraId="5C49F2E4" w14:textId="77777777" w:rsidR="00203F72" w:rsidRPr="00A53581" w:rsidRDefault="00203F72" w:rsidP="00D87D91">
            <w:r w:rsidRPr="00A53581">
              <w:t>總統有判國行為時，由國會兩院投票，由特級法院審判</w:t>
            </w:r>
          </w:p>
        </w:tc>
        <w:tc>
          <w:tcPr>
            <w:tcW w:w="814" w:type="pct"/>
            <w:shd w:val="clear" w:color="auto" w:fill="auto"/>
          </w:tcPr>
          <w:p w14:paraId="1BF7F2A4" w14:textId="77777777" w:rsidR="00203F72" w:rsidRPr="00A53581" w:rsidRDefault="00203F72" w:rsidP="00D87D91">
            <w:r w:rsidRPr="00A53581">
              <w:t>雖可罷免及彈劾，但須立法委員三分之二提議，故幾乎不可能</w:t>
            </w:r>
            <w:r w:rsidRPr="00A53581">
              <w:rPr>
                <w:kern w:val="0"/>
              </w:rPr>
              <w:t>。</w:t>
            </w:r>
          </w:p>
        </w:tc>
        <w:tc>
          <w:tcPr>
            <w:tcW w:w="445" w:type="pct"/>
            <w:shd w:val="clear" w:color="auto" w:fill="auto"/>
          </w:tcPr>
          <w:p w14:paraId="122440F1" w14:textId="77777777" w:rsidR="00203F72" w:rsidRPr="00A53581" w:rsidRDefault="00203F72" w:rsidP="00D87D91">
            <w:r w:rsidRPr="00A53581">
              <w:t>○</w:t>
            </w:r>
          </w:p>
        </w:tc>
        <w:tc>
          <w:tcPr>
            <w:tcW w:w="550" w:type="pct"/>
            <w:shd w:val="clear" w:color="auto" w:fill="auto"/>
          </w:tcPr>
          <w:p w14:paraId="13DC1C58" w14:textId="77777777" w:rsidR="00203F72" w:rsidRPr="00A53581" w:rsidRDefault="00203F72" w:rsidP="00D87D91"/>
        </w:tc>
      </w:tr>
      <w:tr w:rsidR="00203F72" w:rsidRPr="00A53581" w14:paraId="21945B57" w14:textId="77777777" w:rsidTr="006937CE">
        <w:tc>
          <w:tcPr>
            <w:tcW w:w="357" w:type="pct"/>
            <w:shd w:val="clear" w:color="auto" w:fill="auto"/>
          </w:tcPr>
          <w:p w14:paraId="48F18BDC" w14:textId="77777777" w:rsidR="00203F72" w:rsidRPr="00A53581" w:rsidRDefault="00203F72" w:rsidP="00D87D91">
            <w:r w:rsidRPr="00A53581">
              <w:t>4.</w:t>
            </w:r>
          </w:p>
        </w:tc>
        <w:tc>
          <w:tcPr>
            <w:tcW w:w="621" w:type="pct"/>
            <w:shd w:val="clear" w:color="auto" w:fill="auto"/>
          </w:tcPr>
          <w:p w14:paraId="758F575A" w14:textId="77777777" w:rsidR="00203F72" w:rsidRPr="00A53581" w:rsidRDefault="00203F72" w:rsidP="00D87D91">
            <w:r w:rsidRPr="00A53581">
              <w:t>行政首長之任命是否須經立法機關同意？</w:t>
            </w:r>
          </w:p>
        </w:tc>
        <w:tc>
          <w:tcPr>
            <w:tcW w:w="874" w:type="pct"/>
            <w:shd w:val="clear" w:color="auto" w:fill="auto"/>
          </w:tcPr>
          <w:p w14:paraId="17170F22" w14:textId="77777777" w:rsidR="00203F72" w:rsidRPr="00A53581" w:rsidRDefault="00203F72" w:rsidP="00D87D91">
            <w:r w:rsidRPr="00A53581">
              <w:t>總統任命國務員須經參議院同意</w:t>
            </w:r>
            <w:r w:rsidRPr="00A53581">
              <w:rPr>
                <w:rFonts w:hint="eastAsia"/>
              </w:rPr>
              <w:t>(</w:t>
            </w:r>
            <w:r w:rsidRPr="00A53581">
              <w:rPr>
                <w:rFonts w:hint="eastAsia"/>
              </w:rPr>
              <w:t>但實際上，均未表示不同意</w:t>
            </w:r>
            <w:r w:rsidRPr="00A53581">
              <w:rPr>
                <w:rFonts w:hint="eastAsia"/>
              </w:rPr>
              <w:t>)</w:t>
            </w:r>
            <w:r w:rsidRPr="00A53581">
              <w:t>。</w:t>
            </w:r>
          </w:p>
        </w:tc>
        <w:tc>
          <w:tcPr>
            <w:tcW w:w="670" w:type="pct"/>
            <w:shd w:val="clear" w:color="auto" w:fill="auto"/>
          </w:tcPr>
          <w:p w14:paraId="6AAC5381" w14:textId="77777777" w:rsidR="00203F72" w:rsidRPr="00A53581" w:rsidRDefault="00203F72" w:rsidP="00D87D91">
            <w:r w:rsidRPr="00A53581">
              <w:t>須經同意</w:t>
            </w:r>
            <w:r w:rsidRPr="00A53581">
              <w:rPr>
                <w:kern w:val="0"/>
              </w:rPr>
              <w:t>。</w:t>
            </w:r>
          </w:p>
        </w:tc>
        <w:tc>
          <w:tcPr>
            <w:tcW w:w="668" w:type="pct"/>
            <w:shd w:val="clear" w:color="auto" w:fill="auto"/>
          </w:tcPr>
          <w:p w14:paraId="700C78FE" w14:textId="77777777" w:rsidR="00203F72" w:rsidRPr="00A53581" w:rsidRDefault="00203F72" w:rsidP="00D87D91">
            <w:r w:rsidRPr="00A53581">
              <w:t>總統任命內閣總理不須同意</w:t>
            </w:r>
            <w:r w:rsidRPr="00A53581">
              <w:rPr>
                <w:kern w:val="0"/>
              </w:rPr>
              <w:t>。</w:t>
            </w:r>
          </w:p>
        </w:tc>
        <w:tc>
          <w:tcPr>
            <w:tcW w:w="814" w:type="pct"/>
            <w:shd w:val="clear" w:color="auto" w:fill="auto"/>
          </w:tcPr>
          <w:p w14:paraId="298A8F27" w14:textId="77777777" w:rsidR="00203F72" w:rsidRPr="00A53581" w:rsidRDefault="00203F72" w:rsidP="00D87D91">
            <w:r w:rsidRPr="00A53581">
              <w:t>總統任命行政院長不須立法院同意，但其他之司法、考試、及監察之重要人事，均須立法院同意。</w:t>
            </w:r>
          </w:p>
        </w:tc>
        <w:tc>
          <w:tcPr>
            <w:tcW w:w="445" w:type="pct"/>
            <w:shd w:val="clear" w:color="auto" w:fill="auto"/>
          </w:tcPr>
          <w:p w14:paraId="43A28DC8" w14:textId="77777777" w:rsidR="00203F72" w:rsidRPr="00A53581" w:rsidRDefault="00203F72" w:rsidP="00D87D91">
            <w:r w:rsidRPr="00A53581">
              <w:t>○</w:t>
            </w:r>
          </w:p>
        </w:tc>
        <w:tc>
          <w:tcPr>
            <w:tcW w:w="550" w:type="pct"/>
            <w:shd w:val="clear" w:color="auto" w:fill="auto"/>
          </w:tcPr>
          <w:p w14:paraId="4E25F77D" w14:textId="77777777" w:rsidR="00203F72" w:rsidRPr="00A53581" w:rsidRDefault="00203F72" w:rsidP="00D87D91"/>
        </w:tc>
      </w:tr>
      <w:tr w:rsidR="00203F72" w:rsidRPr="00A53581" w14:paraId="4101BA49" w14:textId="77777777" w:rsidTr="006937CE">
        <w:tc>
          <w:tcPr>
            <w:tcW w:w="357" w:type="pct"/>
            <w:shd w:val="clear" w:color="auto" w:fill="auto"/>
          </w:tcPr>
          <w:p w14:paraId="5380E5C8" w14:textId="77777777" w:rsidR="00203F72" w:rsidRPr="00A53581" w:rsidRDefault="00203F72" w:rsidP="00D87D91">
            <w:r w:rsidRPr="00A53581">
              <w:t>5.</w:t>
            </w:r>
          </w:p>
        </w:tc>
        <w:tc>
          <w:tcPr>
            <w:tcW w:w="621" w:type="pct"/>
            <w:shd w:val="clear" w:color="auto" w:fill="auto"/>
          </w:tcPr>
          <w:p w14:paraId="12FC06F2" w14:textId="77777777" w:rsidR="00203F72" w:rsidRPr="00A53581" w:rsidRDefault="00203F72" w:rsidP="00D87D91">
            <w:r w:rsidRPr="00A53581">
              <w:t>元首是否負法律及政治責任？</w:t>
            </w:r>
          </w:p>
        </w:tc>
        <w:tc>
          <w:tcPr>
            <w:tcW w:w="874" w:type="pct"/>
            <w:shd w:val="clear" w:color="auto" w:fill="auto"/>
          </w:tcPr>
          <w:p w14:paraId="69A32ADB" w14:textId="77777777" w:rsidR="00203F72" w:rsidRPr="00A53581" w:rsidRDefault="00203F72" w:rsidP="00D87D91">
            <w:r w:rsidRPr="00A53581">
              <w:t>是</w:t>
            </w:r>
          </w:p>
        </w:tc>
        <w:tc>
          <w:tcPr>
            <w:tcW w:w="670" w:type="pct"/>
            <w:shd w:val="clear" w:color="auto" w:fill="auto"/>
          </w:tcPr>
          <w:p w14:paraId="33B0158F" w14:textId="77777777" w:rsidR="00203F72" w:rsidRPr="00A53581" w:rsidRDefault="00203F72" w:rsidP="00D87D91">
            <w:r w:rsidRPr="00A53581">
              <w:t>否</w:t>
            </w:r>
          </w:p>
        </w:tc>
        <w:tc>
          <w:tcPr>
            <w:tcW w:w="668" w:type="pct"/>
            <w:shd w:val="clear" w:color="auto" w:fill="auto"/>
          </w:tcPr>
          <w:p w14:paraId="0537EE69" w14:textId="77777777" w:rsidR="00203F72" w:rsidRPr="00A53581" w:rsidRDefault="00203F72" w:rsidP="00D87D91">
            <w:r w:rsidRPr="00A53581">
              <w:t>是</w:t>
            </w:r>
          </w:p>
        </w:tc>
        <w:tc>
          <w:tcPr>
            <w:tcW w:w="814" w:type="pct"/>
            <w:shd w:val="clear" w:color="auto" w:fill="auto"/>
          </w:tcPr>
          <w:p w14:paraId="4DC1F55B" w14:textId="77777777" w:rsidR="00203F72" w:rsidRPr="00A53581" w:rsidRDefault="00203F72" w:rsidP="00D87D91">
            <w:r w:rsidRPr="00A53581">
              <w:t>是</w:t>
            </w:r>
          </w:p>
        </w:tc>
        <w:tc>
          <w:tcPr>
            <w:tcW w:w="445" w:type="pct"/>
            <w:shd w:val="clear" w:color="auto" w:fill="auto"/>
          </w:tcPr>
          <w:p w14:paraId="24EE7B47" w14:textId="77777777" w:rsidR="00203F72" w:rsidRPr="00A53581" w:rsidRDefault="00203F72" w:rsidP="00D87D91">
            <w:r w:rsidRPr="00A53581">
              <w:t>○</w:t>
            </w:r>
          </w:p>
        </w:tc>
        <w:tc>
          <w:tcPr>
            <w:tcW w:w="550" w:type="pct"/>
            <w:shd w:val="clear" w:color="auto" w:fill="auto"/>
          </w:tcPr>
          <w:p w14:paraId="6BFC16C0" w14:textId="77777777" w:rsidR="00203F72" w:rsidRPr="00A53581" w:rsidRDefault="00203F72" w:rsidP="00D87D91"/>
        </w:tc>
      </w:tr>
      <w:tr w:rsidR="00203F72" w:rsidRPr="00A53581" w14:paraId="473D75AC" w14:textId="77777777" w:rsidTr="006937CE">
        <w:tc>
          <w:tcPr>
            <w:tcW w:w="357" w:type="pct"/>
            <w:shd w:val="clear" w:color="auto" w:fill="auto"/>
          </w:tcPr>
          <w:p w14:paraId="7A546A24" w14:textId="77777777" w:rsidR="00203F72" w:rsidRPr="00A53581" w:rsidRDefault="00203F72" w:rsidP="00D87D91">
            <w:r w:rsidRPr="00A53581">
              <w:t>6.</w:t>
            </w:r>
          </w:p>
        </w:tc>
        <w:tc>
          <w:tcPr>
            <w:tcW w:w="621" w:type="pct"/>
            <w:shd w:val="clear" w:color="auto" w:fill="auto"/>
          </w:tcPr>
          <w:p w14:paraId="1378EF4D" w14:textId="77777777" w:rsidR="00203F72" w:rsidRPr="00A53581" w:rsidRDefault="00203F72" w:rsidP="00D87D91">
            <w:r w:rsidRPr="00A53581">
              <w:t>元首公布法令是否須經行政首長之副署？</w:t>
            </w:r>
          </w:p>
        </w:tc>
        <w:tc>
          <w:tcPr>
            <w:tcW w:w="874" w:type="pct"/>
            <w:shd w:val="clear" w:color="auto" w:fill="auto"/>
          </w:tcPr>
          <w:p w14:paraId="21811924" w14:textId="77777777" w:rsidR="00203F72" w:rsidRPr="00A53581" w:rsidRDefault="00203F72" w:rsidP="00D87D91">
            <w:r w:rsidRPr="00A53581">
              <w:t>不須國務員副署</w:t>
            </w:r>
            <w:r w:rsidRPr="00A53581">
              <w:rPr>
                <w:kern w:val="0"/>
              </w:rPr>
              <w:t>。</w:t>
            </w:r>
          </w:p>
        </w:tc>
        <w:tc>
          <w:tcPr>
            <w:tcW w:w="670" w:type="pct"/>
            <w:shd w:val="clear" w:color="auto" w:fill="auto"/>
          </w:tcPr>
          <w:p w14:paraId="70AE4E72" w14:textId="77777777" w:rsidR="00203F72" w:rsidRPr="00A53581" w:rsidRDefault="00203F72" w:rsidP="00D87D91">
            <w:r w:rsidRPr="00A53581">
              <w:t>須內閣副署</w:t>
            </w:r>
            <w:r w:rsidRPr="00A53581">
              <w:rPr>
                <w:kern w:val="0"/>
              </w:rPr>
              <w:t>。</w:t>
            </w:r>
          </w:p>
        </w:tc>
        <w:tc>
          <w:tcPr>
            <w:tcW w:w="668" w:type="pct"/>
            <w:shd w:val="clear" w:color="auto" w:fill="auto"/>
          </w:tcPr>
          <w:p w14:paraId="6A04597B" w14:textId="77777777" w:rsidR="00203F72" w:rsidRPr="00A53581" w:rsidRDefault="00203F72" w:rsidP="00D87D91">
            <w:r w:rsidRPr="00A53581">
              <w:t>除部分不須副署外，原則上均須副署</w:t>
            </w:r>
            <w:r w:rsidRPr="00A53581">
              <w:rPr>
                <w:kern w:val="0"/>
              </w:rPr>
              <w:t>。</w:t>
            </w:r>
          </w:p>
        </w:tc>
        <w:tc>
          <w:tcPr>
            <w:tcW w:w="814" w:type="pct"/>
            <w:shd w:val="clear" w:color="auto" w:fill="auto"/>
          </w:tcPr>
          <w:p w14:paraId="43E9BD71" w14:textId="77777777" w:rsidR="00203F72" w:rsidRPr="00A53581" w:rsidRDefault="00203F72" w:rsidP="00D87D91">
            <w:r w:rsidRPr="00A53581">
              <w:t>除部分不須副署外，原則上均須副署</w:t>
            </w:r>
            <w:r w:rsidRPr="00A53581">
              <w:rPr>
                <w:kern w:val="0"/>
              </w:rPr>
              <w:t>。</w:t>
            </w:r>
          </w:p>
        </w:tc>
        <w:tc>
          <w:tcPr>
            <w:tcW w:w="445" w:type="pct"/>
            <w:shd w:val="clear" w:color="auto" w:fill="auto"/>
          </w:tcPr>
          <w:p w14:paraId="79157841" w14:textId="77777777" w:rsidR="00203F72" w:rsidRPr="00A53581" w:rsidRDefault="00203F72" w:rsidP="00D87D91"/>
        </w:tc>
        <w:tc>
          <w:tcPr>
            <w:tcW w:w="550" w:type="pct"/>
            <w:shd w:val="clear" w:color="auto" w:fill="auto"/>
          </w:tcPr>
          <w:p w14:paraId="47B35E82" w14:textId="77777777" w:rsidR="00203F72" w:rsidRPr="00A53581" w:rsidRDefault="00203F72" w:rsidP="00D87D91">
            <w:r w:rsidRPr="00A53581">
              <w:t>○</w:t>
            </w:r>
          </w:p>
        </w:tc>
      </w:tr>
      <w:tr w:rsidR="00203F72" w:rsidRPr="00A53581" w14:paraId="41DF01BF" w14:textId="77777777" w:rsidTr="006937CE">
        <w:tc>
          <w:tcPr>
            <w:tcW w:w="357" w:type="pct"/>
            <w:shd w:val="clear" w:color="auto" w:fill="auto"/>
          </w:tcPr>
          <w:p w14:paraId="1BD81629" w14:textId="77777777" w:rsidR="00203F72" w:rsidRPr="00A53581" w:rsidRDefault="00203F72" w:rsidP="00D87D91">
            <w:r w:rsidRPr="00A53581">
              <w:t>7.</w:t>
            </w:r>
          </w:p>
        </w:tc>
        <w:tc>
          <w:tcPr>
            <w:tcW w:w="621" w:type="pct"/>
            <w:shd w:val="clear" w:color="auto" w:fill="auto"/>
          </w:tcPr>
          <w:p w14:paraId="4BD6F218" w14:textId="77777777" w:rsidR="00203F72" w:rsidRPr="00A53581" w:rsidRDefault="00203F72" w:rsidP="00D87D91">
            <w:r w:rsidRPr="00A53581">
              <w:t>行政首長對誰負責？</w:t>
            </w:r>
          </w:p>
        </w:tc>
        <w:tc>
          <w:tcPr>
            <w:tcW w:w="874" w:type="pct"/>
            <w:shd w:val="clear" w:color="auto" w:fill="auto"/>
          </w:tcPr>
          <w:p w14:paraId="10125C56" w14:textId="77777777" w:rsidR="00203F72" w:rsidRPr="00A53581" w:rsidRDefault="00203F72" w:rsidP="00D87D91">
            <w:r w:rsidRPr="00A53581">
              <w:t>對總統負責</w:t>
            </w:r>
            <w:r w:rsidRPr="00A53581">
              <w:rPr>
                <w:kern w:val="0"/>
              </w:rPr>
              <w:t>。</w:t>
            </w:r>
          </w:p>
        </w:tc>
        <w:tc>
          <w:tcPr>
            <w:tcW w:w="670" w:type="pct"/>
            <w:shd w:val="clear" w:color="auto" w:fill="auto"/>
          </w:tcPr>
          <w:p w14:paraId="2B6D0C03" w14:textId="77777777" w:rsidR="00203F72" w:rsidRPr="00A53581" w:rsidRDefault="00203F72" w:rsidP="00D87D91">
            <w:r w:rsidRPr="00A53581">
              <w:t>對議會負責</w:t>
            </w:r>
            <w:r w:rsidRPr="00A53581">
              <w:rPr>
                <w:kern w:val="0"/>
              </w:rPr>
              <w:t>。</w:t>
            </w:r>
          </w:p>
        </w:tc>
        <w:tc>
          <w:tcPr>
            <w:tcW w:w="668" w:type="pct"/>
            <w:shd w:val="clear" w:color="auto" w:fill="auto"/>
          </w:tcPr>
          <w:p w14:paraId="11728E7B" w14:textId="77777777" w:rsidR="00203F72" w:rsidRPr="00A53581" w:rsidRDefault="00203F72" w:rsidP="00D87D91">
            <w:r w:rsidRPr="00A53581">
              <w:t>對總統及國會負責</w:t>
            </w:r>
            <w:r w:rsidRPr="00A53581">
              <w:rPr>
                <w:kern w:val="0"/>
              </w:rPr>
              <w:t>。</w:t>
            </w:r>
          </w:p>
        </w:tc>
        <w:tc>
          <w:tcPr>
            <w:tcW w:w="814" w:type="pct"/>
            <w:shd w:val="clear" w:color="auto" w:fill="auto"/>
          </w:tcPr>
          <w:p w14:paraId="72D0D1C8" w14:textId="77777777" w:rsidR="00203F72" w:rsidRPr="00A53581" w:rsidRDefault="00203F72" w:rsidP="00D87D91">
            <w:r w:rsidRPr="00A53581">
              <w:t>對立法院負責</w:t>
            </w:r>
            <w:r w:rsidRPr="00A53581">
              <w:rPr>
                <w:kern w:val="0"/>
              </w:rPr>
              <w:t>。</w:t>
            </w:r>
          </w:p>
        </w:tc>
        <w:tc>
          <w:tcPr>
            <w:tcW w:w="445" w:type="pct"/>
            <w:shd w:val="clear" w:color="auto" w:fill="auto"/>
          </w:tcPr>
          <w:p w14:paraId="500CE256" w14:textId="77777777" w:rsidR="00203F72" w:rsidRPr="00A53581" w:rsidRDefault="00203F72" w:rsidP="00D87D91"/>
        </w:tc>
        <w:tc>
          <w:tcPr>
            <w:tcW w:w="550" w:type="pct"/>
            <w:shd w:val="clear" w:color="auto" w:fill="auto"/>
          </w:tcPr>
          <w:p w14:paraId="1953E0AD" w14:textId="77777777" w:rsidR="00203F72" w:rsidRPr="00A53581" w:rsidRDefault="00203F72" w:rsidP="00D87D91">
            <w:r w:rsidRPr="00A53581">
              <w:t>○</w:t>
            </w:r>
          </w:p>
        </w:tc>
      </w:tr>
      <w:tr w:rsidR="00203F72" w:rsidRPr="00A53581" w14:paraId="2653F23D" w14:textId="77777777" w:rsidTr="006937CE">
        <w:tc>
          <w:tcPr>
            <w:tcW w:w="357" w:type="pct"/>
            <w:shd w:val="clear" w:color="auto" w:fill="auto"/>
          </w:tcPr>
          <w:p w14:paraId="2352DF5E" w14:textId="77777777" w:rsidR="00203F72" w:rsidRPr="00A53581" w:rsidRDefault="00203F72" w:rsidP="00D87D91">
            <w:r w:rsidRPr="00A53581">
              <w:t>8.</w:t>
            </w:r>
          </w:p>
        </w:tc>
        <w:tc>
          <w:tcPr>
            <w:tcW w:w="621" w:type="pct"/>
            <w:shd w:val="clear" w:color="auto" w:fill="auto"/>
          </w:tcPr>
          <w:p w14:paraId="3D4FF0F7" w14:textId="77777777" w:rsidR="00203F72" w:rsidRPr="00A53581" w:rsidRDefault="00203F72" w:rsidP="00D87D91">
            <w:r w:rsidRPr="00A53581">
              <w:t>元首對立法機關議決之法案有無交還覆議權？</w:t>
            </w:r>
          </w:p>
        </w:tc>
        <w:tc>
          <w:tcPr>
            <w:tcW w:w="874" w:type="pct"/>
            <w:shd w:val="clear" w:color="auto" w:fill="auto"/>
          </w:tcPr>
          <w:p w14:paraId="3EDC0913" w14:textId="77777777" w:rsidR="00203F72" w:rsidRPr="00A53581" w:rsidRDefault="00203F72" w:rsidP="00D87D91">
            <w:r w:rsidRPr="00A53581">
              <w:t>有交還覆議權，即總統可以行使否決權</w:t>
            </w:r>
            <w:r w:rsidRPr="00A53581">
              <w:rPr>
                <w:kern w:val="0"/>
              </w:rPr>
              <w:t>。</w:t>
            </w:r>
          </w:p>
        </w:tc>
        <w:tc>
          <w:tcPr>
            <w:tcW w:w="670" w:type="pct"/>
            <w:shd w:val="clear" w:color="auto" w:fill="auto"/>
          </w:tcPr>
          <w:p w14:paraId="1A54F379" w14:textId="77777777" w:rsidR="00203F72" w:rsidRPr="00A53581" w:rsidRDefault="00203F72" w:rsidP="00D87D91">
            <w:r w:rsidRPr="00A53581">
              <w:t>無</w:t>
            </w:r>
          </w:p>
        </w:tc>
        <w:tc>
          <w:tcPr>
            <w:tcW w:w="668" w:type="pct"/>
            <w:shd w:val="clear" w:color="auto" w:fill="auto"/>
          </w:tcPr>
          <w:p w14:paraId="480D2D11" w14:textId="77777777" w:rsidR="00203F72" w:rsidRPr="00A53581" w:rsidRDefault="00203F72" w:rsidP="00D87D91">
            <w:r w:rsidRPr="00A53581">
              <w:t>總統得要求國會將法律案覆議，國會不得拒絕</w:t>
            </w:r>
            <w:r w:rsidRPr="00A53581">
              <w:rPr>
                <w:kern w:val="0"/>
              </w:rPr>
              <w:t>。</w:t>
            </w:r>
          </w:p>
        </w:tc>
        <w:tc>
          <w:tcPr>
            <w:tcW w:w="814" w:type="pct"/>
            <w:shd w:val="clear" w:color="auto" w:fill="auto"/>
          </w:tcPr>
          <w:p w14:paraId="3C86C349" w14:textId="77777777" w:rsidR="00203F72" w:rsidRPr="00A53581" w:rsidRDefault="00203F72" w:rsidP="00D87D91">
            <w:r w:rsidRPr="00A53581">
              <w:t>行政院得經總統核可移請立法院覆議</w:t>
            </w:r>
            <w:r w:rsidRPr="00A53581">
              <w:rPr>
                <w:kern w:val="0"/>
              </w:rPr>
              <w:t>。</w:t>
            </w:r>
          </w:p>
        </w:tc>
        <w:tc>
          <w:tcPr>
            <w:tcW w:w="445" w:type="pct"/>
            <w:shd w:val="clear" w:color="auto" w:fill="auto"/>
          </w:tcPr>
          <w:p w14:paraId="18FEA6C2" w14:textId="77777777" w:rsidR="00203F72" w:rsidRPr="00A53581" w:rsidRDefault="00203F72" w:rsidP="00D87D91">
            <w:r w:rsidRPr="00A53581">
              <w:t>○</w:t>
            </w:r>
          </w:p>
        </w:tc>
        <w:tc>
          <w:tcPr>
            <w:tcW w:w="550" w:type="pct"/>
            <w:shd w:val="clear" w:color="auto" w:fill="auto"/>
          </w:tcPr>
          <w:p w14:paraId="7C500EC7" w14:textId="77777777" w:rsidR="00203F72" w:rsidRPr="00A53581" w:rsidRDefault="00203F72" w:rsidP="00D87D91"/>
        </w:tc>
      </w:tr>
      <w:tr w:rsidR="00203F72" w:rsidRPr="00A53581" w14:paraId="28D1FE4A" w14:textId="77777777" w:rsidTr="006937CE">
        <w:tc>
          <w:tcPr>
            <w:tcW w:w="357" w:type="pct"/>
            <w:shd w:val="clear" w:color="auto" w:fill="auto"/>
          </w:tcPr>
          <w:p w14:paraId="7D80D111" w14:textId="77777777" w:rsidR="00203F72" w:rsidRPr="00A53581" w:rsidRDefault="00203F72" w:rsidP="00D87D91">
            <w:r w:rsidRPr="00A53581">
              <w:t>9.</w:t>
            </w:r>
          </w:p>
        </w:tc>
        <w:tc>
          <w:tcPr>
            <w:tcW w:w="621" w:type="pct"/>
            <w:shd w:val="clear" w:color="auto" w:fill="auto"/>
          </w:tcPr>
          <w:p w14:paraId="51E1813F" w14:textId="77777777" w:rsidR="00203F72" w:rsidRPr="00A53581" w:rsidRDefault="00203F72" w:rsidP="00D87D91">
            <w:r w:rsidRPr="00A53581">
              <w:t>元首有無解散議會權？</w:t>
            </w:r>
          </w:p>
        </w:tc>
        <w:tc>
          <w:tcPr>
            <w:tcW w:w="874" w:type="pct"/>
            <w:shd w:val="clear" w:color="auto" w:fill="auto"/>
          </w:tcPr>
          <w:p w14:paraId="53282254" w14:textId="77777777" w:rsidR="00203F72" w:rsidRPr="00A53581" w:rsidRDefault="00203F72" w:rsidP="00D87D91">
            <w:r w:rsidRPr="00A53581">
              <w:t>無</w:t>
            </w:r>
          </w:p>
        </w:tc>
        <w:tc>
          <w:tcPr>
            <w:tcW w:w="670" w:type="pct"/>
            <w:shd w:val="clear" w:color="auto" w:fill="auto"/>
          </w:tcPr>
          <w:p w14:paraId="45B9E58E" w14:textId="77777777" w:rsidR="00203F72" w:rsidRPr="00A53581" w:rsidRDefault="00203F72" w:rsidP="00D87D91">
            <w:r w:rsidRPr="00A53581">
              <w:t>內閣得呈請元首解散之</w:t>
            </w:r>
            <w:r w:rsidRPr="00A53581">
              <w:rPr>
                <w:kern w:val="0"/>
              </w:rPr>
              <w:t>。</w:t>
            </w:r>
          </w:p>
        </w:tc>
        <w:tc>
          <w:tcPr>
            <w:tcW w:w="668" w:type="pct"/>
            <w:shd w:val="clear" w:color="auto" w:fill="auto"/>
          </w:tcPr>
          <w:p w14:paraId="07A847CA" w14:textId="77777777" w:rsidR="00203F72" w:rsidRPr="00A53581" w:rsidRDefault="00203F72" w:rsidP="00D87D91">
            <w:r w:rsidRPr="00A53581">
              <w:t>總統於諮詢內閣總理及兩院議長後得解散國會</w:t>
            </w:r>
            <w:r w:rsidRPr="00A53581">
              <w:rPr>
                <w:kern w:val="0"/>
              </w:rPr>
              <w:t>。</w:t>
            </w:r>
          </w:p>
        </w:tc>
        <w:tc>
          <w:tcPr>
            <w:tcW w:w="814" w:type="pct"/>
            <w:shd w:val="clear" w:color="auto" w:fill="auto"/>
          </w:tcPr>
          <w:p w14:paraId="5DD6C3A2" w14:textId="77777777" w:rsidR="00203F72" w:rsidRPr="00A53581" w:rsidRDefault="00203F72" w:rsidP="00D87D91">
            <w:r w:rsidRPr="00A53581">
              <w:t>總統於諮詢立法院院長後，得宣告解散立法院</w:t>
            </w:r>
            <w:r w:rsidRPr="00A53581">
              <w:rPr>
                <w:kern w:val="0"/>
              </w:rPr>
              <w:t>。</w:t>
            </w:r>
          </w:p>
        </w:tc>
        <w:tc>
          <w:tcPr>
            <w:tcW w:w="445" w:type="pct"/>
            <w:shd w:val="clear" w:color="auto" w:fill="auto"/>
          </w:tcPr>
          <w:p w14:paraId="131C00FC" w14:textId="77777777" w:rsidR="00203F72" w:rsidRPr="00A53581" w:rsidRDefault="00203F72" w:rsidP="00D87D91"/>
        </w:tc>
        <w:tc>
          <w:tcPr>
            <w:tcW w:w="550" w:type="pct"/>
            <w:shd w:val="clear" w:color="auto" w:fill="auto"/>
          </w:tcPr>
          <w:p w14:paraId="345E82F0" w14:textId="77777777" w:rsidR="00203F72" w:rsidRPr="00A53581" w:rsidRDefault="00203F72" w:rsidP="00D87D91">
            <w:r w:rsidRPr="00A53581">
              <w:t>○</w:t>
            </w:r>
          </w:p>
        </w:tc>
      </w:tr>
      <w:tr w:rsidR="00203F72" w:rsidRPr="00A53581" w14:paraId="5771EDA4" w14:textId="77777777" w:rsidTr="006937CE">
        <w:tc>
          <w:tcPr>
            <w:tcW w:w="357" w:type="pct"/>
            <w:shd w:val="clear" w:color="auto" w:fill="auto"/>
          </w:tcPr>
          <w:p w14:paraId="1B153334" w14:textId="77777777" w:rsidR="00203F72" w:rsidRPr="00A53581" w:rsidRDefault="00203F72" w:rsidP="00D87D91">
            <w:r w:rsidRPr="00A53581">
              <w:t>10.</w:t>
            </w:r>
          </w:p>
        </w:tc>
        <w:tc>
          <w:tcPr>
            <w:tcW w:w="621" w:type="pct"/>
            <w:shd w:val="clear" w:color="auto" w:fill="auto"/>
          </w:tcPr>
          <w:p w14:paraId="175A0EF6" w14:textId="77777777" w:rsidR="00203F72" w:rsidRPr="00A53581" w:rsidRDefault="00203F72" w:rsidP="00D87D91">
            <w:r w:rsidRPr="00A53581">
              <w:t>立法機關對行政機關有無不信任投票權？</w:t>
            </w:r>
          </w:p>
        </w:tc>
        <w:tc>
          <w:tcPr>
            <w:tcW w:w="874" w:type="pct"/>
            <w:shd w:val="clear" w:color="auto" w:fill="auto"/>
          </w:tcPr>
          <w:p w14:paraId="74FCA843" w14:textId="77777777" w:rsidR="00203F72" w:rsidRPr="00A53581" w:rsidRDefault="00203F72" w:rsidP="00D87D91">
            <w:r w:rsidRPr="00A53581">
              <w:t>無</w:t>
            </w:r>
          </w:p>
        </w:tc>
        <w:tc>
          <w:tcPr>
            <w:tcW w:w="670" w:type="pct"/>
            <w:shd w:val="clear" w:color="auto" w:fill="auto"/>
          </w:tcPr>
          <w:p w14:paraId="1BD01BB0" w14:textId="77777777" w:rsidR="00203F72" w:rsidRPr="00A53581" w:rsidRDefault="00203F72" w:rsidP="00D87D91">
            <w:r w:rsidRPr="00A53581">
              <w:t>有</w:t>
            </w:r>
          </w:p>
        </w:tc>
        <w:tc>
          <w:tcPr>
            <w:tcW w:w="668" w:type="pct"/>
            <w:shd w:val="clear" w:color="auto" w:fill="auto"/>
          </w:tcPr>
          <w:p w14:paraId="19C2E078" w14:textId="77777777" w:rsidR="00203F72" w:rsidRPr="00A53581" w:rsidRDefault="00203F72" w:rsidP="00D87D91">
            <w:r w:rsidRPr="00A53581">
              <w:t>國民會議得決議迫使政府總辭</w:t>
            </w:r>
            <w:r w:rsidRPr="00A53581">
              <w:rPr>
                <w:kern w:val="0"/>
              </w:rPr>
              <w:t>。</w:t>
            </w:r>
          </w:p>
        </w:tc>
        <w:tc>
          <w:tcPr>
            <w:tcW w:w="814" w:type="pct"/>
            <w:shd w:val="clear" w:color="auto" w:fill="auto"/>
          </w:tcPr>
          <w:p w14:paraId="642A118A" w14:textId="77777777" w:rsidR="00203F72" w:rsidRPr="00A53581" w:rsidRDefault="00203F72" w:rsidP="00D87D91">
            <w:r w:rsidRPr="00A53581">
              <w:t>有</w:t>
            </w:r>
          </w:p>
        </w:tc>
        <w:tc>
          <w:tcPr>
            <w:tcW w:w="445" w:type="pct"/>
            <w:shd w:val="clear" w:color="auto" w:fill="auto"/>
          </w:tcPr>
          <w:p w14:paraId="3CEFD2F2" w14:textId="77777777" w:rsidR="00203F72" w:rsidRPr="00A53581" w:rsidRDefault="00203F72" w:rsidP="00D87D91"/>
        </w:tc>
        <w:tc>
          <w:tcPr>
            <w:tcW w:w="550" w:type="pct"/>
            <w:shd w:val="clear" w:color="auto" w:fill="auto"/>
          </w:tcPr>
          <w:p w14:paraId="577C5266" w14:textId="77777777" w:rsidR="00203F72" w:rsidRPr="00A53581" w:rsidRDefault="00203F72" w:rsidP="00D87D91">
            <w:r w:rsidRPr="00A53581">
              <w:t>○</w:t>
            </w:r>
          </w:p>
        </w:tc>
      </w:tr>
      <w:tr w:rsidR="00203F72" w:rsidRPr="00A53581" w14:paraId="30DA5F23" w14:textId="77777777" w:rsidTr="006937CE">
        <w:tc>
          <w:tcPr>
            <w:tcW w:w="357" w:type="pct"/>
            <w:shd w:val="clear" w:color="auto" w:fill="auto"/>
          </w:tcPr>
          <w:p w14:paraId="48B69D92" w14:textId="77777777" w:rsidR="00203F72" w:rsidRPr="00A53581" w:rsidRDefault="00203F72" w:rsidP="00D87D91">
            <w:r w:rsidRPr="00A53581">
              <w:t>11.</w:t>
            </w:r>
          </w:p>
        </w:tc>
        <w:tc>
          <w:tcPr>
            <w:tcW w:w="621" w:type="pct"/>
            <w:shd w:val="clear" w:color="auto" w:fill="auto"/>
          </w:tcPr>
          <w:p w14:paraId="20C7C095" w14:textId="77777777" w:rsidR="00203F72" w:rsidRPr="00A53581" w:rsidRDefault="00203F72" w:rsidP="00D87D91">
            <w:r w:rsidRPr="00A53581">
              <w:t>行政首長及各部部長是否由國會議員兼任？</w:t>
            </w:r>
          </w:p>
        </w:tc>
        <w:tc>
          <w:tcPr>
            <w:tcW w:w="874" w:type="pct"/>
            <w:shd w:val="clear" w:color="auto" w:fill="auto"/>
          </w:tcPr>
          <w:p w14:paraId="2A33E61A" w14:textId="77777777" w:rsidR="00203F72" w:rsidRPr="00A53581" w:rsidRDefault="00203F72" w:rsidP="00D87D91">
            <w:r w:rsidRPr="00A53581">
              <w:t>國務卿與其他各部部長由總統任命，不兼任國會議員</w:t>
            </w:r>
            <w:r w:rsidRPr="00A53581">
              <w:rPr>
                <w:kern w:val="0"/>
              </w:rPr>
              <w:t>。</w:t>
            </w:r>
          </w:p>
        </w:tc>
        <w:tc>
          <w:tcPr>
            <w:tcW w:w="670" w:type="pct"/>
            <w:shd w:val="clear" w:color="auto" w:fill="auto"/>
          </w:tcPr>
          <w:p w14:paraId="240F4259" w14:textId="77777777" w:rsidR="00203F72" w:rsidRPr="00A53581" w:rsidRDefault="00203F72" w:rsidP="00D87D91">
            <w:r w:rsidRPr="00A53581">
              <w:t>內閣閣員由國會議員兼任</w:t>
            </w:r>
            <w:r w:rsidRPr="00A53581">
              <w:rPr>
                <w:kern w:val="0"/>
              </w:rPr>
              <w:t>。</w:t>
            </w:r>
          </w:p>
        </w:tc>
        <w:tc>
          <w:tcPr>
            <w:tcW w:w="668" w:type="pct"/>
            <w:shd w:val="clear" w:color="auto" w:fill="auto"/>
          </w:tcPr>
          <w:p w14:paraId="78710E12" w14:textId="77777777" w:rsidR="00203F72" w:rsidRPr="00A53581" w:rsidRDefault="00203F72" w:rsidP="00D87D91">
            <w:r w:rsidRPr="00A53581">
              <w:t>政府各部部長不能兼任國會議員</w:t>
            </w:r>
            <w:r w:rsidRPr="00A53581">
              <w:rPr>
                <w:kern w:val="0"/>
              </w:rPr>
              <w:t>。</w:t>
            </w:r>
          </w:p>
        </w:tc>
        <w:tc>
          <w:tcPr>
            <w:tcW w:w="814" w:type="pct"/>
            <w:shd w:val="clear" w:color="auto" w:fill="auto"/>
          </w:tcPr>
          <w:p w14:paraId="2435BC28" w14:textId="77777777" w:rsidR="00203F72" w:rsidRPr="00A53581" w:rsidRDefault="00203F72" w:rsidP="00D87D91">
            <w:r w:rsidRPr="00A53581">
              <w:t>立法委員不得兼任官吏，行政院院長、副院長、各部會首長及不管部會政務委員均不得由立法委員兼任</w:t>
            </w:r>
            <w:r w:rsidRPr="00A53581">
              <w:rPr>
                <w:kern w:val="0"/>
              </w:rPr>
              <w:t>。</w:t>
            </w:r>
          </w:p>
        </w:tc>
        <w:tc>
          <w:tcPr>
            <w:tcW w:w="445" w:type="pct"/>
            <w:shd w:val="clear" w:color="auto" w:fill="auto"/>
          </w:tcPr>
          <w:p w14:paraId="3C80087F" w14:textId="77777777" w:rsidR="00203F72" w:rsidRPr="00A53581" w:rsidRDefault="00203F72" w:rsidP="00D87D91">
            <w:r w:rsidRPr="00A53581">
              <w:t>○</w:t>
            </w:r>
          </w:p>
        </w:tc>
        <w:tc>
          <w:tcPr>
            <w:tcW w:w="550" w:type="pct"/>
            <w:shd w:val="clear" w:color="auto" w:fill="auto"/>
          </w:tcPr>
          <w:p w14:paraId="16D2D24C" w14:textId="77777777" w:rsidR="00203F72" w:rsidRPr="00A53581" w:rsidRDefault="00203F72" w:rsidP="00D87D91"/>
        </w:tc>
      </w:tr>
      <w:tr w:rsidR="00203F72" w:rsidRPr="00A53581" w14:paraId="7084080E" w14:textId="77777777" w:rsidTr="006937CE">
        <w:tc>
          <w:tcPr>
            <w:tcW w:w="357" w:type="pct"/>
            <w:shd w:val="clear" w:color="auto" w:fill="auto"/>
          </w:tcPr>
          <w:p w14:paraId="44809E07" w14:textId="77777777" w:rsidR="00203F72" w:rsidRPr="00A53581" w:rsidRDefault="00203F72" w:rsidP="00D87D91">
            <w:r w:rsidRPr="00A53581">
              <w:t>12.</w:t>
            </w:r>
          </w:p>
        </w:tc>
        <w:tc>
          <w:tcPr>
            <w:tcW w:w="621" w:type="pct"/>
            <w:shd w:val="clear" w:color="auto" w:fill="auto"/>
          </w:tcPr>
          <w:p w14:paraId="153B43FE" w14:textId="77777777" w:rsidR="00203F72" w:rsidRPr="00A53581" w:rsidRDefault="00203F72" w:rsidP="00D87D91">
            <w:r w:rsidRPr="00A53581">
              <w:t>行政首長及各部部長能否出席會議、答辯並提法案？</w:t>
            </w:r>
          </w:p>
        </w:tc>
        <w:tc>
          <w:tcPr>
            <w:tcW w:w="874" w:type="pct"/>
            <w:shd w:val="clear" w:color="auto" w:fill="auto"/>
          </w:tcPr>
          <w:p w14:paraId="1DAC2BC3" w14:textId="77777777" w:rsidR="00203F72" w:rsidRPr="00A53581" w:rsidRDefault="00203F72" w:rsidP="00D87D91">
            <w:r w:rsidRPr="00A53581">
              <w:t>否</w:t>
            </w:r>
          </w:p>
        </w:tc>
        <w:tc>
          <w:tcPr>
            <w:tcW w:w="670" w:type="pct"/>
            <w:shd w:val="clear" w:color="auto" w:fill="auto"/>
          </w:tcPr>
          <w:p w14:paraId="71178C10" w14:textId="77777777" w:rsidR="00203F72" w:rsidRPr="00A53581" w:rsidRDefault="00203F72" w:rsidP="00D87D91">
            <w:r w:rsidRPr="00A53581">
              <w:t>能</w:t>
            </w:r>
          </w:p>
        </w:tc>
        <w:tc>
          <w:tcPr>
            <w:tcW w:w="668" w:type="pct"/>
            <w:shd w:val="clear" w:color="auto" w:fill="auto"/>
          </w:tcPr>
          <w:p w14:paraId="2F6532CE" w14:textId="77777777" w:rsidR="00203F72" w:rsidRPr="00A53581" w:rsidRDefault="00203F72" w:rsidP="00D87D91">
            <w:r w:rsidRPr="00A53581">
              <w:t>能</w:t>
            </w:r>
          </w:p>
        </w:tc>
        <w:tc>
          <w:tcPr>
            <w:tcW w:w="814" w:type="pct"/>
            <w:shd w:val="clear" w:color="auto" w:fill="auto"/>
          </w:tcPr>
          <w:p w14:paraId="585ADF61" w14:textId="77777777" w:rsidR="00203F72" w:rsidRPr="00A53581" w:rsidRDefault="00203F72" w:rsidP="00D87D91">
            <w:r w:rsidRPr="00A53581">
              <w:t>能</w:t>
            </w:r>
          </w:p>
        </w:tc>
        <w:tc>
          <w:tcPr>
            <w:tcW w:w="445" w:type="pct"/>
            <w:shd w:val="clear" w:color="auto" w:fill="auto"/>
          </w:tcPr>
          <w:p w14:paraId="31385E36" w14:textId="77777777" w:rsidR="00203F72" w:rsidRPr="00A53581" w:rsidRDefault="00203F72" w:rsidP="00D87D91"/>
        </w:tc>
        <w:tc>
          <w:tcPr>
            <w:tcW w:w="550" w:type="pct"/>
            <w:shd w:val="clear" w:color="auto" w:fill="auto"/>
          </w:tcPr>
          <w:p w14:paraId="5A830C84" w14:textId="77777777" w:rsidR="00203F72" w:rsidRPr="00A53581" w:rsidRDefault="00203F72" w:rsidP="00D87D91">
            <w:r w:rsidRPr="00A53581">
              <w:t>○</w:t>
            </w:r>
          </w:p>
        </w:tc>
      </w:tr>
      <w:tr w:rsidR="00203F72" w:rsidRPr="00A53581" w14:paraId="7CB768A9" w14:textId="77777777" w:rsidTr="006937CE">
        <w:tc>
          <w:tcPr>
            <w:tcW w:w="357" w:type="pct"/>
            <w:shd w:val="clear" w:color="auto" w:fill="auto"/>
          </w:tcPr>
          <w:p w14:paraId="1435F4B4" w14:textId="77777777" w:rsidR="00203F72" w:rsidRPr="00A53581" w:rsidRDefault="00203F72" w:rsidP="00D87D91">
            <w:r w:rsidRPr="00A53581">
              <w:t>13.</w:t>
            </w:r>
          </w:p>
        </w:tc>
        <w:tc>
          <w:tcPr>
            <w:tcW w:w="621" w:type="pct"/>
            <w:shd w:val="clear" w:color="auto" w:fill="auto"/>
          </w:tcPr>
          <w:p w14:paraId="74F95B5A" w14:textId="77777777" w:rsidR="00203F72" w:rsidRPr="00A53581" w:rsidRDefault="00203F72" w:rsidP="00D87D91">
            <w:r w:rsidRPr="00A53581">
              <w:t>行政各部部長是否負連帶責任？</w:t>
            </w:r>
          </w:p>
        </w:tc>
        <w:tc>
          <w:tcPr>
            <w:tcW w:w="874" w:type="pct"/>
            <w:shd w:val="clear" w:color="auto" w:fill="auto"/>
          </w:tcPr>
          <w:p w14:paraId="1D329438" w14:textId="77777777" w:rsidR="00203F72" w:rsidRPr="00A53581" w:rsidRDefault="00203F72" w:rsidP="00D87D91">
            <w:r w:rsidRPr="00A53581">
              <w:t>否</w:t>
            </w:r>
          </w:p>
        </w:tc>
        <w:tc>
          <w:tcPr>
            <w:tcW w:w="670" w:type="pct"/>
            <w:shd w:val="clear" w:color="auto" w:fill="auto"/>
          </w:tcPr>
          <w:p w14:paraId="386CDA06" w14:textId="77777777" w:rsidR="00203F72" w:rsidRPr="00A53581" w:rsidRDefault="00203F72" w:rsidP="00D87D91">
            <w:r w:rsidRPr="00A53581">
              <w:t>是</w:t>
            </w:r>
          </w:p>
        </w:tc>
        <w:tc>
          <w:tcPr>
            <w:tcW w:w="668" w:type="pct"/>
            <w:shd w:val="clear" w:color="auto" w:fill="auto"/>
          </w:tcPr>
          <w:p w14:paraId="42F4DC11" w14:textId="77777777" w:rsidR="00203F72" w:rsidRPr="00A53581" w:rsidRDefault="00203F72" w:rsidP="00D87D91">
            <w:r w:rsidRPr="00A53581">
              <w:t>是</w:t>
            </w:r>
          </w:p>
        </w:tc>
        <w:tc>
          <w:tcPr>
            <w:tcW w:w="814" w:type="pct"/>
            <w:shd w:val="clear" w:color="auto" w:fill="auto"/>
          </w:tcPr>
          <w:p w14:paraId="46AB4161" w14:textId="77777777" w:rsidR="00203F72" w:rsidRPr="00A53581" w:rsidRDefault="00203F72" w:rsidP="00D87D91">
            <w:r w:rsidRPr="00A53581">
              <w:t>是</w:t>
            </w:r>
          </w:p>
        </w:tc>
        <w:tc>
          <w:tcPr>
            <w:tcW w:w="445" w:type="pct"/>
            <w:shd w:val="clear" w:color="auto" w:fill="auto"/>
          </w:tcPr>
          <w:p w14:paraId="32F811D6" w14:textId="77777777" w:rsidR="00203F72" w:rsidRPr="00A53581" w:rsidRDefault="00203F72" w:rsidP="00D87D91"/>
        </w:tc>
        <w:tc>
          <w:tcPr>
            <w:tcW w:w="550" w:type="pct"/>
            <w:shd w:val="clear" w:color="auto" w:fill="auto"/>
          </w:tcPr>
          <w:p w14:paraId="71D11249" w14:textId="77777777" w:rsidR="00203F72" w:rsidRPr="00A53581" w:rsidRDefault="00203F72" w:rsidP="00D87D91">
            <w:r w:rsidRPr="00A53581">
              <w:t>○</w:t>
            </w:r>
          </w:p>
        </w:tc>
      </w:tr>
      <w:tr w:rsidR="00203F72" w:rsidRPr="00A53581" w14:paraId="402412F4" w14:textId="77777777" w:rsidTr="006937CE">
        <w:tc>
          <w:tcPr>
            <w:tcW w:w="357" w:type="pct"/>
            <w:shd w:val="clear" w:color="auto" w:fill="auto"/>
          </w:tcPr>
          <w:p w14:paraId="23371C33" w14:textId="77777777" w:rsidR="00203F72" w:rsidRPr="00A53581" w:rsidRDefault="00203F72" w:rsidP="00D87D91">
            <w:r w:rsidRPr="00A53581">
              <w:t>14.</w:t>
            </w:r>
          </w:p>
        </w:tc>
        <w:tc>
          <w:tcPr>
            <w:tcW w:w="621" w:type="pct"/>
            <w:shd w:val="clear" w:color="auto" w:fill="auto"/>
          </w:tcPr>
          <w:p w14:paraId="14418D4C" w14:textId="77777777" w:rsidR="00203F72" w:rsidRPr="00A53581" w:rsidRDefault="00203F72" w:rsidP="00D87D91">
            <w:r w:rsidRPr="00A53581">
              <w:t>行政各部之關係</w:t>
            </w:r>
            <w:r w:rsidRPr="00A53581">
              <w:rPr>
                <w:kern w:val="0"/>
              </w:rPr>
              <w:t>。</w:t>
            </w:r>
          </w:p>
        </w:tc>
        <w:tc>
          <w:tcPr>
            <w:tcW w:w="874" w:type="pct"/>
            <w:shd w:val="clear" w:color="auto" w:fill="auto"/>
          </w:tcPr>
          <w:p w14:paraId="31D65C00" w14:textId="77777777" w:rsidR="00203F72" w:rsidRPr="00A53581" w:rsidRDefault="00203F72" w:rsidP="00D87D91">
            <w:r w:rsidRPr="00A53581">
              <w:t>國務卿與其他各部部長屬於平等關係</w:t>
            </w:r>
            <w:r w:rsidRPr="00A53581">
              <w:rPr>
                <w:kern w:val="0"/>
              </w:rPr>
              <w:t>。</w:t>
            </w:r>
          </w:p>
        </w:tc>
        <w:tc>
          <w:tcPr>
            <w:tcW w:w="670" w:type="pct"/>
            <w:shd w:val="clear" w:color="auto" w:fill="auto"/>
          </w:tcPr>
          <w:p w14:paraId="0794391B" w14:textId="77777777" w:rsidR="00203F72" w:rsidRPr="00A53581" w:rsidRDefault="00203F72" w:rsidP="00D87D91">
            <w:r w:rsidRPr="00A53581">
              <w:t>內閣閣員由國務總理提請元首任命，兩者之關係在實際上屬同僚之首席之領導關係</w:t>
            </w:r>
            <w:r w:rsidRPr="00A53581">
              <w:rPr>
                <w:kern w:val="0"/>
              </w:rPr>
              <w:t>。</w:t>
            </w:r>
          </w:p>
        </w:tc>
        <w:tc>
          <w:tcPr>
            <w:tcW w:w="668" w:type="pct"/>
            <w:shd w:val="clear" w:color="auto" w:fill="auto"/>
          </w:tcPr>
          <w:p w14:paraId="5C5F70C3" w14:textId="77777777" w:rsidR="00203F72" w:rsidRPr="00A53581" w:rsidRDefault="00203F72" w:rsidP="00D87D91">
            <w:r w:rsidRPr="00A53581">
              <w:t>內閣閣員由內閣總理提請總統任免之，兩者之關係亦屬同僚之首席之領導關係</w:t>
            </w:r>
            <w:r w:rsidRPr="00A53581">
              <w:rPr>
                <w:kern w:val="0"/>
              </w:rPr>
              <w:t>。</w:t>
            </w:r>
          </w:p>
        </w:tc>
        <w:tc>
          <w:tcPr>
            <w:tcW w:w="814" w:type="pct"/>
            <w:shd w:val="clear" w:color="auto" w:fill="auto"/>
          </w:tcPr>
          <w:p w14:paraId="5475CC45" w14:textId="77777777" w:rsidR="00203F72" w:rsidRPr="00A53581" w:rsidRDefault="00203F72" w:rsidP="00D87D91">
            <w:r w:rsidRPr="00A53581">
              <w:t>行政院提請任命各部部長，其兩者關係亦屬同僚之首席之領導關係</w:t>
            </w:r>
            <w:r w:rsidRPr="00A53581">
              <w:rPr>
                <w:kern w:val="0"/>
              </w:rPr>
              <w:t>。</w:t>
            </w:r>
          </w:p>
        </w:tc>
        <w:tc>
          <w:tcPr>
            <w:tcW w:w="445" w:type="pct"/>
            <w:shd w:val="clear" w:color="auto" w:fill="auto"/>
          </w:tcPr>
          <w:p w14:paraId="462A4E54" w14:textId="77777777" w:rsidR="00203F72" w:rsidRPr="00A53581" w:rsidRDefault="00203F72" w:rsidP="00D87D91"/>
        </w:tc>
        <w:tc>
          <w:tcPr>
            <w:tcW w:w="550" w:type="pct"/>
            <w:shd w:val="clear" w:color="auto" w:fill="auto"/>
          </w:tcPr>
          <w:p w14:paraId="600BCF7F" w14:textId="77777777" w:rsidR="00203F72" w:rsidRPr="00A53581" w:rsidRDefault="00203F72" w:rsidP="00D87D91">
            <w:r w:rsidRPr="00A53581">
              <w:t>○</w:t>
            </w:r>
          </w:p>
        </w:tc>
      </w:tr>
      <w:tr w:rsidR="00203F72" w:rsidRPr="00A53581" w14:paraId="704071E8" w14:textId="77777777" w:rsidTr="006937CE">
        <w:tc>
          <w:tcPr>
            <w:tcW w:w="357" w:type="pct"/>
            <w:shd w:val="clear" w:color="auto" w:fill="auto"/>
          </w:tcPr>
          <w:p w14:paraId="42F7EFFC" w14:textId="77777777" w:rsidR="00203F72" w:rsidRPr="00A53581" w:rsidRDefault="00203F72" w:rsidP="00D87D91">
            <w:r w:rsidRPr="00A53581">
              <w:t>15.</w:t>
            </w:r>
          </w:p>
        </w:tc>
        <w:tc>
          <w:tcPr>
            <w:tcW w:w="621" w:type="pct"/>
            <w:shd w:val="clear" w:color="auto" w:fill="auto"/>
          </w:tcPr>
          <w:p w14:paraId="3CBE6C1E" w14:textId="77777777" w:rsidR="00203F72" w:rsidRPr="00A53581" w:rsidRDefault="00203F72" w:rsidP="00D87D91">
            <w:r w:rsidRPr="00A53581">
              <w:t>行政機關與立法機關之關係</w:t>
            </w:r>
            <w:r w:rsidRPr="00A53581">
              <w:rPr>
                <w:kern w:val="0"/>
              </w:rPr>
              <w:t>。</w:t>
            </w:r>
          </w:p>
        </w:tc>
        <w:tc>
          <w:tcPr>
            <w:tcW w:w="874" w:type="pct"/>
            <w:shd w:val="clear" w:color="auto" w:fill="auto"/>
          </w:tcPr>
          <w:p w14:paraId="70467F01" w14:textId="77777777" w:rsidR="00203F72" w:rsidRPr="00A53581" w:rsidRDefault="00203F72" w:rsidP="00D87D91">
            <w:r w:rsidRPr="00A53581">
              <w:t>行政與立法之權力分立之貫徹</w:t>
            </w:r>
            <w:r w:rsidRPr="00A53581">
              <w:rPr>
                <w:kern w:val="0"/>
              </w:rPr>
              <w:t>。</w:t>
            </w:r>
          </w:p>
        </w:tc>
        <w:tc>
          <w:tcPr>
            <w:tcW w:w="670" w:type="pct"/>
            <w:shd w:val="clear" w:color="auto" w:fill="auto"/>
          </w:tcPr>
          <w:p w14:paraId="5B834DD6" w14:textId="77777777" w:rsidR="00203F72" w:rsidRPr="00A53581" w:rsidRDefault="00203F72" w:rsidP="00D87D91">
            <w:r w:rsidRPr="00A53581">
              <w:t>議會與內閣相連結</w:t>
            </w:r>
            <w:r w:rsidRPr="00A53581">
              <w:rPr>
                <w:kern w:val="0"/>
              </w:rPr>
              <w:t>。</w:t>
            </w:r>
          </w:p>
        </w:tc>
        <w:tc>
          <w:tcPr>
            <w:tcW w:w="668" w:type="pct"/>
            <w:shd w:val="clear" w:color="auto" w:fill="auto"/>
          </w:tcPr>
          <w:p w14:paraId="574DE9FA" w14:textId="77777777" w:rsidR="00203F72" w:rsidRPr="00A53581" w:rsidRDefault="00203F72" w:rsidP="00D87D91">
            <w:r w:rsidRPr="00A53581">
              <w:t>權力分立與權力連結互相作用</w:t>
            </w:r>
            <w:r w:rsidRPr="00A53581">
              <w:rPr>
                <w:kern w:val="0"/>
              </w:rPr>
              <w:t>。</w:t>
            </w:r>
          </w:p>
        </w:tc>
        <w:tc>
          <w:tcPr>
            <w:tcW w:w="814" w:type="pct"/>
            <w:shd w:val="clear" w:color="auto" w:fill="auto"/>
          </w:tcPr>
          <w:p w14:paraId="6315F07D" w14:textId="77777777" w:rsidR="00203F72" w:rsidRPr="00A53581" w:rsidRDefault="00203F72" w:rsidP="00D87D91">
            <w:r w:rsidRPr="00A53581">
              <w:t>權力分立與權力連結互相作用</w:t>
            </w:r>
            <w:r w:rsidRPr="00A53581">
              <w:rPr>
                <w:kern w:val="0"/>
              </w:rPr>
              <w:t>。</w:t>
            </w:r>
          </w:p>
        </w:tc>
        <w:tc>
          <w:tcPr>
            <w:tcW w:w="445" w:type="pct"/>
            <w:shd w:val="clear" w:color="auto" w:fill="auto"/>
          </w:tcPr>
          <w:p w14:paraId="5BB7CEFD" w14:textId="77777777" w:rsidR="00203F72" w:rsidRPr="00A53581" w:rsidRDefault="00203F72" w:rsidP="00D87D91"/>
        </w:tc>
        <w:tc>
          <w:tcPr>
            <w:tcW w:w="550" w:type="pct"/>
            <w:shd w:val="clear" w:color="auto" w:fill="auto"/>
          </w:tcPr>
          <w:p w14:paraId="358CA91C" w14:textId="77777777" w:rsidR="00203F72" w:rsidRPr="00A53581" w:rsidRDefault="00203F72" w:rsidP="00D87D91"/>
        </w:tc>
      </w:tr>
    </w:tbl>
    <w:p w14:paraId="735ED035" w14:textId="77777777" w:rsidR="00953151" w:rsidRDefault="00B76D62" w:rsidP="00D87D91">
      <w:r>
        <w:t>【本表資料來源】</w:t>
      </w:r>
      <w:r w:rsidR="00203F72" w:rsidRPr="00A53581">
        <w:t>謝瑞智、謝世維</w:t>
      </w:r>
      <w:r w:rsidR="00203F72" w:rsidRPr="00A53581">
        <w:t>(2010)</w:t>
      </w:r>
      <w:r w:rsidR="00203F72" w:rsidRPr="00A53581">
        <w:t>，憲法概要，增訂</w:t>
      </w:r>
      <w:r w:rsidR="00203F72" w:rsidRPr="00A53581">
        <w:t>14</w:t>
      </w:r>
      <w:r w:rsidR="00203F72" w:rsidRPr="00A53581">
        <w:t>版，台北：文笙書局，第</w:t>
      </w:r>
      <w:r w:rsidR="00203F72" w:rsidRPr="00A53581">
        <w:t>161</w:t>
      </w:r>
      <w:r w:rsidR="00203F72" w:rsidRPr="00A53581">
        <w:rPr>
          <w:rFonts w:hint="eastAsia"/>
        </w:rPr>
        <w:t>-162</w:t>
      </w:r>
      <w:r w:rsidR="00203F72" w:rsidRPr="00A53581">
        <w:t>頁。</w:t>
      </w:r>
    </w:p>
    <w:p w14:paraId="17667612" w14:textId="77777777" w:rsidR="00953151" w:rsidRDefault="00076467" w:rsidP="00767F37">
      <w:pPr>
        <w:pStyle w:val="2"/>
      </w:pPr>
      <w:hyperlink r:id="rId478" w:anchor="a36" w:history="1">
        <w:r w:rsidR="005D5A46">
          <w:rPr>
            <w:rStyle w:val="a5"/>
            <w:rFonts w:ascii="Arial Unicode MS" w:hAnsi="Arial Unicode MS"/>
          </w:rPr>
          <w:t>第</w:t>
        </w:r>
        <w:r w:rsidR="00203F72" w:rsidRPr="001B53A5">
          <w:rPr>
            <w:rStyle w:val="a5"/>
            <w:rFonts w:ascii="Arial Unicode MS" w:hAnsi="Arial Unicode MS"/>
          </w:rPr>
          <w:t>36</w:t>
        </w:r>
        <w:r w:rsidR="005D5A46">
          <w:rPr>
            <w:rStyle w:val="a5"/>
            <w:rFonts w:ascii="Arial Unicode MS" w:hAnsi="Arial Unicode MS"/>
          </w:rPr>
          <w:t>條</w:t>
        </w:r>
      </w:hyperlink>
      <w:r w:rsidR="00203F72" w:rsidRPr="00A53581">
        <w:t>總統統率全國陸海空軍。</w:t>
      </w:r>
    </w:p>
    <w:p w14:paraId="50CC4AE8" w14:textId="77777777" w:rsidR="00953151" w:rsidRDefault="00B03E84" w:rsidP="00D87D91">
      <w:r>
        <w:t>【內容解析】</w:t>
      </w:r>
    </w:p>
    <w:p w14:paraId="4862933A" w14:textId="77777777" w:rsidR="00953151" w:rsidRPr="003B623C" w:rsidRDefault="007F7377" w:rsidP="00D87D91">
      <w:r w:rsidRPr="001B1539">
        <w:t xml:space="preserve">　　</w:t>
      </w:r>
      <w:r w:rsidR="00203F72" w:rsidRPr="001B1539">
        <w:t>總統為三軍統帥，得以指揮調度軍隊，憲</w:t>
      </w:r>
      <w:r w:rsidR="007459D9" w:rsidRPr="00A53581">
        <w:rPr>
          <w:rFonts w:ascii="新細明體" w:hAnsi="新細明體" w:hint="eastAsia"/>
        </w:rPr>
        <w:t>法</w:t>
      </w:r>
      <w:hyperlink r:id="rId479" w:anchor="a38" w:history="1">
        <w:r w:rsidR="007459D9" w:rsidRPr="007459D9">
          <w:rPr>
            <w:rStyle w:val="a5"/>
            <w:rFonts w:eastAsia="新細明體" w:hint="eastAsia"/>
          </w:rPr>
          <w:t>第</w:t>
        </w:r>
        <w:r w:rsidR="007459D9" w:rsidRPr="007459D9">
          <w:rPr>
            <w:rStyle w:val="a5"/>
            <w:rFonts w:eastAsia="新細明體"/>
          </w:rPr>
          <w:t>38</w:t>
        </w:r>
        <w:r w:rsidR="007459D9" w:rsidRPr="007459D9">
          <w:rPr>
            <w:rStyle w:val="a5"/>
            <w:rFonts w:eastAsia="新細明體" w:hint="eastAsia"/>
          </w:rPr>
          <w:t>條</w:t>
        </w:r>
      </w:hyperlink>
      <w:r w:rsidR="00203F72" w:rsidRPr="001B1539">
        <w:t>賦予總統宣戰之權力。然憲法</w:t>
      </w:r>
      <w:r w:rsidR="00B74A31" w:rsidRPr="001B1539">
        <w:t>第</w:t>
      </w:r>
      <w:hyperlink r:id="rId480" w:anchor="a58" w:history="1">
        <w:r w:rsidR="00B74A31" w:rsidRPr="001B1539">
          <w:rPr>
            <w:rStyle w:val="a5"/>
          </w:rPr>
          <w:t>五十八</w:t>
        </w:r>
      </w:hyperlink>
      <w:r w:rsidR="00B74A31" w:rsidRPr="001B1539">
        <w:t>條</w:t>
      </w:r>
      <w:r w:rsidR="00203F72" w:rsidRPr="001B1539">
        <w:t>及</w:t>
      </w:r>
      <w:r w:rsidR="001B1539" w:rsidRPr="001B1539">
        <w:t>第</w:t>
      </w:r>
      <w:hyperlink r:id="rId481" w:anchor="a63" w:history="1">
        <w:r w:rsidR="001B1539" w:rsidRPr="001B1539">
          <w:rPr>
            <w:rStyle w:val="a5"/>
            <w:rFonts w:ascii="Times New Roman" w:hAnsi="Times New Roman"/>
          </w:rPr>
          <w:t>六十三</w:t>
        </w:r>
      </w:hyperlink>
      <w:r w:rsidR="001B1539" w:rsidRPr="001B1539">
        <w:t>條</w:t>
      </w:r>
      <w:r w:rsidR="00203F72" w:rsidRPr="001B1539">
        <w:t>並規定，總統要宣佈戰爭，須經行行政院會議決議，立法院通過始可行，因此，總統並無依個人意志，任意調派軍隊發動戰爭之權力。同時，依憲法</w:t>
      </w:r>
      <w:hyperlink r:id="rId482" w:anchor="a138" w:history="1">
        <w:r w:rsidR="003B623C" w:rsidRPr="003B623C">
          <w:rPr>
            <w:rStyle w:val="a5"/>
          </w:rPr>
          <w:t>第138條</w:t>
        </w:r>
      </w:hyperlink>
      <w:r w:rsidR="00203F72" w:rsidRPr="003B623C">
        <w:t>之規定，全國陸海空軍，須超出個人、地域及黨派關係以外，效忠國家，愛</w:t>
      </w:r>
      <w:r w:rsidR="00203F72" w:rsidRPr="001B1539">
        <w:t>護</w:t>
      </w:r>
      <w:r w:rsidR="00203F72" w:rsidRPr="003B623C">
        <w:t>人民。依憲法</w:t>
      </w:r>
      <w:hyperlink r:id="rId483" w:anchor="a139" w:history="1">
        <w:r w:rsidR="003B623C" w:rsidRPr="003B623C">
          <w:rPr>
            <w:rStyle w:val="a5"/>
          </w:rPr>
          <w:t>第139條</w:t>
        </w:r>
      </w:hyperlink>
      <w:r w:rsidR="00203F72" w:rsidRPr="003B623C">
        <w:t>之規定，任何黨派及個人不得以武裝力量為政爭之工具之規範。故知軍隊效忠之對像是國家，保護之對象，則是人民，也並非總統個人可以任意擅斷指揮與調度。</w:t>
      </w:r>
    </w:p>
    <w:p w14:paraId="08B6F5F6" w14:textId="77777777" w:rsidR="00953151" w:rsidRDefault="00076467" w:rsidP="00767F37">
      <w:pPr>
        <w:pStyle w:val="2"/>
      </w:pPr>
      <w:hyperlink r:id="rId484" w:anchor="a37" w:history="1">
        <w:r w:rsidR="005D5A46">
          <w:rPr>
            <w:rStyle w:val="a5"/>
            <w:rFonts w:ascii="Arial Unicode MS" w:hAnsi="Arial Unicode MS"/>
          </w:rPr>
          <w:t>第</w:t>
        </w:r>
        <w:r w:rsidR="00203F72" w:rsidRPr="001B53A5">
          <w:rPr>
            <w:rStyle w:val="a5"/>
            <w:rFonts w:ascii="Arial Unicode MS" w:hAnsi="Arial Unicode MS"/>
          </w:rPr>
          <w:t>37</w:t>
        </w:r>
        <w:r w:rsidR="005D5A46">
          <w:rPr>
            <w:rStyle w:val="a5"/>
            <w:rFonts w:ascii="Arial Unicode MS" w:hAnsi="Arial Unicode MS"/>
          </w:rPr>
          <w:t>條</w:t>
        </w:r>
      </w:hyperlink>
      <w:r w:rsidR="00203F72" w:rsidRPr="00A53581">
        <w:t>總統依法公布法律，發布命令，須經行政院院長之副署，或行政院院長及有關部會首長之副署。</w:t>
      </w:r>
    </w:p>
    <w:p w14:paraId="6E068255" w14:textId="77777777" w:rsidR="00203F72" w:rsidRPr="00A53581" w:rsidRDefault="00B03E84" w:rsidP="00D87D91">
      <w:r>
        <w:t>【內容解析】</w:t>
      </w:r>
    </w:p>
    <w:p w14:paraId="0AC2D7EA" w14:textId="77777777" w:rsidR="00953151" w:rsidRDefault="007F7377" w:rsidP="00D87D91">
      <w:r w:rsidRPr="001B1539">
        <w:t xml:space="preserve">　　</w:t>
      </w:r>
      <w:r w:rsidR="00203F72" w:rsidRPr="001B1539">
        <w:t>由於中華民國採五權分立之雙首長制國家，依五權分立之架構，分為行政、立法、</w:t>
      </w:r>
      <w:r w:rsidR="00203F72" w:rsidRPr="003B623C">
        <w:t>司法、考試、監察等五院。總統雖領導五院，但主要之行政權屬行政院掌理。依憲法</w:t>
      </w:r>
      <w:hyperlink r:id="rId485" w:anchor="a170" w:history="1">
        <w:r w:rsidR="003B623C" w:rsidRPr="003B623C">
          <w:rPr>
            <w:rStyle w:val="a5"/>
          </w:rPr>
          <w:t>第170條</w:t>
        </w:r>
      </w:hyperlink>
      <w:r w:rsidR="00203F72" w:rsidRPr="003B623C">
        <w:t>之規定本憲法所稱之法律，謂經立法院通過，總統公布之法律。而法律是指經立法院三讀通過，而命令乃未經立法院之立法程序，由國家機關依其法定職權或基於法律</w:t>
      </w:r>
      <w:r w:rsidR="00203F72" w:rsidRPr="001B1539">
        <w:t>授權，強制實施之一種公之意思表示</w:t>
      </w:r>
      <w:r w:rsidR="00203F72" w:rsidRPr="001B1539">
        <w:footnoteReference w:id="65"/>
      </w:r>
      <w:r w:rsidR="00203F72" w:rsidRPr="001B1539">
        <w:t>。但命令與法律具有相同之拘束力。</w:t>
      </w:r>
    </w:p>
    <w:p w14:paraId="6FE1E82C" w14:textId="77777777" w:rsidR="003B623C" w:rsidRPr="001B1539" w:rsidRDefault="003B623C" w:rsidP="00D87D91"/>
    <w:p w14:paraId="4894DAB7" w14:textId="083FDDD2"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30</w:t>
      </w:r>
      <w:r w:rsidR="00076467">
        <w:rPr>
          <w:noProof/>
        </w:rPr>
        <w:fldChar w:fldCharType="end"/>
      </w:r>
      <w:r w:rsidR="00203F72" w:rsidRPr="001B1539">
        <w:rPr>
          <w:rFonts w:hint="eastAsia"/>
        </w:rPr>
        <w:t xml:space="preserve"> </w:t>
      </w:r>
      <w:r w:rsidR="00203F72" w:rsidRPr="001B1539">
        <w:t>總統需要行政院長副署之職權表</w:t>
      </w:r>
    </w:p>
    <w:tbl>
      <w:tblPr>
        <w:tblW w:w="485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4004"/>
        <w:gridCol w:w="2830"/>
      </w:tblGrid>
      <w:tr w:rsidR="00203F72" w:rsidRPr="00A53581" w14:paraId="08CDDC6F" w14:textId="77777777" w:rsidTr="00203F72">
        <w:trPr>
          <w:tblHeader/>
        </w:trPr>
        <w:tc>
          <w:tcPr>
            <w:tcW w:w="856" w:type="pct"/>
            <w:shd w:val="clear" w:color="auto" w:fill="auto"/>
          </w:tcPr>
          <w:p w14:paraId="11978CB4" w14:textId="77777777" w:rsidR="00203F72" w:rsidRPr="00A53581" w:rsidRDefault="00203F72" w:rsidP="00D87D91">
            <w:r w:rsidRPr="00A53581">
              <w:t>權限</w:t>
            </w:r>
          </w:p>
        </w:tc>
        <w:tc>
          <w:tcPr>
            <w:tcW w:w="2428" w:type="pct"/>
            <w:shd w:val="clear" w:color="auto" w:fill="auto"/>
          </w:tcPr>
          <w:p w14:paraId="7DFD9048" w14:textId="77777777" w:rsidR="00203F72" w:rsidRPr="00A53581" w:rsidRDefault="00203F72" w:rsidP="00D87D91">
            <w:r w:rsidRPr="00A53581">
              <w:t>條文依據</w:t>
            </w:r>
          </w:p>
        </w:tc>
        <w:tc>
          <w:tcPr>
            <w:tcW w:w="1717" w:type="pct"/>
            <w:shd w:val="clear" w:color="auto" w:fill="auto"/>
          </w:tcPr>
          <w:p w14:paraId="03951185" w14:textId="77777777" w:rsidR="00203F72" w:rsidRPr="00A53581" w:rsidRDefault="00203F72" w:rsidP="00D87D91">
            <w:r w:rsidRPr="00A53581">
              <w:t>行政院副署</w:t>
            </w:r>
          </w:p>
        </w:tc>
      </w:tr>
      <w:tr w:rsidR="00203F72" w:rsidRPr="00A53581" w14:paraId="396F0BE9" w14:textId="77777777" w:rsidTr="00203F72">
        <w:tc>
          <w:tcPr>
            <w:tcW w:w="856" w:type="pct"/>
            <w:shd w:val="clear" w:color="auto" w:fill="auto"/>
          </w:tcPr>
          <w:p w14:paraId="5C8E3BE1" w14:textId="77777777" w:rsidR="00203F72" w:rsidRPr="00A53581" w:rsidRDefault="00203F72" w:rsidP="00D87D91">
            <w:r w:rsidRPr="00A53581">
              <w:t>公布法律、發布命令</w:t>
            </w:r>
          </w:p>
        </w:tc>
        <w:tc>
          <w:tcPr>
            <w:tcW w:w="2428" w:type="pct"/>
            <w:shd w:val="clear" w:color="auto" w:fill="auto"/>
          </w:tcPr>
          <w:p w14:paraId="579C115C" w14:textId="77777777" w:rsidR="00203F72" w:rsidRPr="00A53581" w:rsidRDefault="00203F72" w:rsidP="00D87D91">
            <w:r w:rsidRPr="00A53581">
              <w:t>憲法</w:t>
            </w:r>
            <w:r w:rsidRPr="00A53581">
              <w:rPr>
                <w:rFonts w:hint="eastAsia"/>
              </w:rPr>
              <w:t>§</w:t>
            </w:r>
            <w:hyperlink r:id="rId486" w:anchor="a37" w:history="1">
              <w:r w:rsidRPr="006937CE">
                <w:rPr>
                  <w:rStyle w:val="a5"/>
                  <w:rFonts w:eastAsia="新細明體"/>
                </w:rPr>
                <w:t>37</w:t>
              </w:r>
            </w:hyperlink>
            <w:r w:rsidR="00D92F56">
              <w:rPr>
                <w:rFonts w:hint="eastAsia"/>
              </w:rPr>
              <w:t>〜</w:t>
            </w:r>
            <w:r w:rsidRPr="00A53581">
              <w:t>總統依法公布法律、發布命令</w:t>
            </w:r>
            <w:r w:rsidRPr="00A53581">
              <w:rPr>
                <w:rFonts w:hint="eastAsia"/>
              </w:rPr>
              <w:t>…</w:t>
            </w:r>
          </w:p>
        </w:tc>
        <w:tc>
          <w:tcPr>
            <w:tcW w:w="1717" w:type="pct"/>
            <w:vMerge w:val="restart"/>
            <w:shd w:val="clear" w:color="auto" w:fill="auto"/>
          </w:tcPr>
          <w:p w14:paraId="1952E279" w14:textId="77777777" w:rsidR="00953151" w:rsidRDefault="00203F72" w:rsidP="00D87D91">
            <w:r w:rsidRPr="00A53581">
              <w:t>憲法</w:t>
            </w:r>
            <w:r w:rsidR="006937CE" w:rsidRPr="00A53581">
              <w:rPr>
                <w:rFonts w:hint="eastAsia"/>
              </w:rPr>
              <w:t>§</w:t>
            </w:r>
            <w:hyperlink r:id="rId487" w:anchor="a37" w:history="1">
              <w:r w:rsidR="006937CE" w:rsidRPr="006937CE">
                <w:rPr>
                  <w:rStyle w:val="a5"/>
                  <w:rFonts w:eastAsia="新細明體"/>
                </w:rPr>
                <w:t>37</w:t>
              </w:r>
            </w:hyperlink>
            <w:r w:rsidR="00D92F56">
              <w:rPr>
                <w:rFonts w:hint="eastAsia"/>
              </w:rPr>
              <w:t>〜</w:t>
            </w:r>
            <w:r w:rsidRPr="00A53581">
              <w:t>總統依法公布法律、發布命令、須經行政院院長之副署，或行政院院長及有關部會首長之副署。</w:t>
            </w:r>
          </w:p>
          <w:p w14:paraId="1BC6EC97" w14:textId="77777777" w:rsidR="00203F72" w:rsidRPr="00A53581" w:rsidRDefault="00203F72" w:rsidP="00D87D91">
            <w:r w:rsidRPr="00A53581">
              <w:t>憲法</w:t>
            </w:r>
            <w:hyperlink r:id="rId488" w:anchor="a58" w:history="1">
              <w:r w:rsidRPr="006937CE">
                <w:rPr>
                  <w:rStyle w:val="a5"/>
                  <w:rFonts w:eastAsia="新細明體" w:hint="eastAsia"/>
                </w:rPr>
                <w:t>§</w:t>
              </w:r>
              <w:r w:rsidRPr="006937CE">
                <w:rPr>
                  <w:rStyle w:val="a5"/>
                  <w:rFonts w:eastAsia="新細明體"/>
                </w:rPr>
                <w:t>58</w:t>
              </w:r>
            </w:hyperlink>
            <w:r w:rsidR="00D92F56">
              <w:rPr>
                <w:rFonts w:hint="eastAsia"/>
              </w:rPr>
              <w:t>〜</w:t>
            </w:r>
            <w:r w:rsidRPr="00A53581">
              <w:t>行政院院長、各部會首長，須將應行提出於立法院之法律案、預算案、戒嚴案、大赦案、宣戰案、媾和案、條約案及其他重要事項，或涉及各部會共同關係之事項，提出於行政院會議議決之</w:t>
            </w:r>
          </w:p>
        </w:tc>
      </w:tr>
      <w:tr w:rsidR="00203F72" w:rsidRPr="00A53581" w14:paraId="59A6F410" w14:textId="77777777" w:rsidTr="00203F72">
        <w:tc>
          <w:tcPr>
            <w:tcW w:w="856" w:type="pct"/>
            <w:shd w:val="clear" w:color="auto" w:fill="auto"/>
          </w:tcPr>
          <w:p w14:paraId="7428C62E" w14:textId="77777777" w:rsidR="00203F72" w:rsidRPr="00A53581" w:rsidRDefault="00203F72" w:rsidP="00D87D91">
            <w:r w:rsidRPr="00A53581">
              <w:t>締結條約案、宣戰案與媾和案</w:t>
            </w:r>
          </w:p>
        </w:tc>
        <w:tc>
          <w:tcPr>
            <w:tcW w:w="2428" w:type="pct"/>
            <w:shd w:val="clear" w:color="auto" w:fill="auto"/>
          </w:tcPr>
          <w:p w14:paraId="5B47B910" w14:textId="77777777" w:rsidR="00203F72" w:rsidRPr="00A53581" w:rsidRDefault="00203F72" w:rsidP="00D87D91">
            <w:r w:rsidRPr="00A53581">
              <w:t>憲法</w:t>
            </w:r>
            <w:r w:rsidRPr="00A53581">
              <w:rPr>
                <w:rFonts w:hint="eastAsia"/>
              </w:rPr>
              <w:t>§</w:t>
            </w:r>
            <w:hyperlink r:id="rId489" w:anchor="a38" w:history="1">
              <w:r w:rsidRPr="006937CE">
                <w:rPr>
                  <w:rStyle w:val="a5"/>
                  <w:rFonts w:eastAsia="新細明體"/>
                </w:rPr>
                <w:t>38</w:t>
              </w:r>
            </w:hyperlink>
            <w:r w:rsidR="00D92F56">
              <w:rPr>
                <w:rFonts w:hint="eastAsia"/>
              </w:rPr>
              <w:t>〜</w:t>
            </w:r>
            <w:r w:rsidRPr="00A53581">
              <w:t>總統依本憲法之規定；行使締結條約及宣戰、媾和之權</w:t>
            </w:r>
          </w:p>
        </w:tc>
        <w:tc>
          <w:tcPr>
            <w:tcW w:w="1717" w:type="pct"/>
            <w:vMerge/>
            <w:shd w:val="clear" w:color="auto" w:fill="auto"/>
          </w:tcPr>
          <w:p w14:paraId="69937972" w14:textId="77777777" w:rsidR="00203F72" w:rsidRPr="00A53581" w:rsidRDefault="00203F72" w:rsidP="00D87D91"/>
        </w:tc>
      </w:tr>
      <w:tr w:rsidR="00203F72" w:rsidRPr="00A53581" w14:paraId="2E9C51A0" w14:textId="77777777" w:rsidTr="00203F72">
        <w:tc>
          <w:tcPr>
            <w:tcW w:w="856" w:type="pct"/>
            <w:shd w:val="clear" w:color="auto" w:fill="auto"/>
          </w:tcPr>
          <w:p w14:paraId="74EDE7FF" w14:textId="77777777" w:rsidR="00203F72" w:rsidRPr="00A53581" w:rsidRDefault="00203F72" w:rsidP="00D87D91">
            <w:r w:rsidRPr="00A53581">
              <w:t>戒嚴權</w:t>
            </w:r>
          </w:p>
        </w:tc>
        <w:tc>
          <w:tcPr>
            <w:tcW w:w="2428" w:type="pct"/>
            <w:shd w:val="clear" w:color="auto" w:fill="auto"/>
          </w:tcPr>
          <w:p w14:paraId="65EA07D6" w14:textId="77777777" w:rsidR="00203F72" w:rsidRPr="00A53581" w:rsidRDefault="00203F72" w:rsidP="00D87D91">
            <w:r w:rsidRPr="00A53581">
              <w:t>憲法</w:t>
            </w:r>
            <w:hyperlink r:id="rId490" w:anchor="a39" w:history="1">
              <w:r w:rsidRPr="006937CE">
                <w:rPr>
                  <w:rStyle w:val="a5"/>
                  <w:rFonts w:eastAsia="新細明體" w:hint="eastAsia"/>
                </w:rPr>
                <w:t>§</w:t>
              </w:r>
              <w:r w:rsidRPr="006937CE">
                <w:rPr>
                  <w:rStyle w:val="a5"/>
                  <w:rFonts w:eastAsia="新細明體"/>
                </w:rPr>
                <w:t>39</w:t>
              </w:r>
            </w:hyperlink>
            <w:r w:rsidR="00D92F56">
              <w:rPr>
                <w:rFonts w:hint="eastAsia"/>
              </w:rPr>
              <w:t>〜</w:t>
            </w:r>
            <w:r w:rsidRPr="00A53581">
              <w:t>總統依法宣布戒嚴，但須經立法院之通過或追認。立法院認為必要時，得決議移請總統解嚴</w:t>
            </w:r>
          </w:p>
        </w:tc>
        <w:tc>
          <w:tcPr>
            <w:tcW w:w="1717" w:type="pct"/>
            <w:vMerge/>
            <w:shd w:val="clear" w:color="auto" w:fill="auto"/>
          </w:tcPr>
          <w:p w14:paraId="5E3B93A7" w14:textId="77777777" w:rsidR="00203F72" w:rsidRPr="00A53581" w:rsidRDefault="00203F72" w:rsidP="00D87D91"/>
        </w:tc>
      </w:tr>
      <w:tr w:rsidR="00203F72" w:rsidRPr="00A53581" w14:paraId="1C7C7C84" w14:textId="77777777" w:rsidTr="00203F72">
        <w:tc>
          <w:tcPr>
            <w:tcW w:w="856" w:type="pct"/>
            <w:shd w:val="clear" w:color="auto" w:fill="auto"/>
          </w:tcPr>
          <w:p w14:paraId="3DF42671" w14:textId="77777777" w:rsidR="00203F72" w:rsidRPr="00A53581" w:rsidRDefault="00203F72" w:rsidP="00D87D91">
            <w:r w:rsidRPr="00A53581">
              <w:t>緊急命令權</w:t>
            </w:r>
          </w:p>
        </w:tc>
        <w:tc>
          <w:tcPr>
            <w:tcW w:w="4144" w:type="pct"/>
            <w:gridSpan w:val="2"/>
            <w:shd w:val="clear" w:color="auto" w:fill="auto"/>
          </w:tcPr>
          <w:p w14:paraId="5A73832F" w14:textId="77777777" w:rsidR="00203F72" w:rsidRPr="00A53581" w:rsidRDefault="00203F72" w:rsidP="00D87D91">
            <w:r w:rsidRPr="00A53581">
              <w:rPr>
                <w:rFonts w:hint="eastAsia"/>
              </w:rPr>
              <w:t>憲法增修條</w:t>
            </w:r>
            <w:hyperlink r:id="rId491" w:anchor="b2" w:history="1">
              <w:r w:rsidRPr="006937CE">
                <w:rPr>
                  <w:rStyle w:val="a5"/>
                  <w:rFonts w:eastAsia="新細明體" w:hint="eastAsia"/>
                </w:rPr>
                <w:t>文§</w:t>
              </w:r>
              <w:r w:rsidRPr="006937CE">
                <w:rPr>
                  <w:rStyle w:val="a5"/>
                  <w:rFonts w:eastAsia="新細明體"/>
                </w:rPr>
                <w:t>2</w:t>
              </w:r>
            </w:hyperlink>
            <w:r w:rsidRPr="00A53581">
              <w:rPr>
                <w:rFonts w:hint="eastAsia"/>
              </w:rPr>
              <w:t>Ⅲ</w:t>
            </w:r>
            <w:r w:rsidR="00D92F56">
              <w:rPr>
                <w:rFonts w:hint="eastAsia"/>
              </w:rPr>
              <w:t>〜</w:t>
            </w:r>
            <w:r w:rsidRPr="00A53581">
              <w:t>總統為避免國家或人民遭遇緊急危難或應付財政經濟上重大變故，得經行政院會議之決議發布緊急命令，為必要之處置，不受憲法</w:t>
            </w:r>
            <w:r w:rsidR="00D73718" w:rsidRPr="00A53581">
              <w:t>第</w:t>
            </w:r>
            <w:hyperlink r:id="rId492" w:anchor="a43" w:history="1">
              <w:r w:rsidR="00D73718" w:rsidRPr="00C94B4E">
                <w:rPr>
                  <w:rStyle w:val="a5"/>
                </w:rPr>
                <w:t>四十三</w:t>
              </w:r>
            </w:hyperlink>
            <w:r w:rsidR="00D73718" w:rsidRPr="00A53581">
              <w:t>條</w:t>
            </w:r>
            <w:r w:rsidRPr="00A53581">
              <w:t>之限制。但須於發布命令後十日內提交立法院追認，如立法院不同意時，該緊急命令立即失效。</w:t>
            </w:r>
          </w:p>
        </w:tc>
      </w:tr>
    </w:tbl>
    <w:p w14:paraId="6EC190A4" w14:textId="77777777" w:rsidR="00203F72" w:rsidRPr="00A53581" w:rsidRDefault="002107CE" w:rsidP="00D87D91">
      <w:r>
        <w:t>【本表格資料來源】</w:t>
      </w:r>
      <w:r w:rsidR="00203F72" w:rsidRPr="00A53581">
        <w:t>楊智傑</w:t>
      </w:r>
      <w:r w:rsidR="00203F72" w:rsidRPr="00A53581">
        <w:t>(2010)</w:t>
      </w:r>
      <w:r w:rsidR="00203F72" w:rsidRPr="00A53581">
        <w:t>，圖解憲法，二版</w:t>
      </w:r>
      <w:r w:rsidR="00203F72" w:rsidRPr="00A53581">
        <w:t>1</w:t>
      </w:r>
      <w:r w:rsidR="00203F72" w:rsidRPr="00A53581">
        <w:t>刷，台北市：書泉出版社，第</w:t>
      </w:r>
      <w:r w:rsidR="00203F72" w:rsidRPr="00A53581">
        <w:t>71</w:t>
      </w:r>
      <w:r w:rsidR="00203F72" w:rsidRPr="00A53581">
        <w:t>頁</w:t>
      </w:r>
      <w:r w:rsidR="00545D58">
        <w:t>。</w:t>
      </w:r>
    </w:p>
    <w:p w14:paraId="12D6E8BB" w14:textId="77777777" w:rsidR="00203F72" w:rsidRPr="00A53581" w:rsidRDefault="007F7377" w:rsidP="00D87D91">
      <w:r>
        <w:t>【備註】</w:t>
      </w:r>
      <w:r w:rsidR="00203F72" w:rsidRPr="00A53581">
        <w:t>羅馬數字之意義，</w:t>
      </w:r>
      <w:r w:rsidR="00203F72" w:rsidRPr="00A53581">
        <w:t>I</w:t>
      </w:r>
      <w:r w:rsidR="00203F72" w:rsidRPr="00A53581">
        <w:rPr>
          <w:rFonts w:hint="eastAsia"/>
        </w:rPr>
        <w:t>-1</w:t>
      </w:r>
      <w:r w:rsidR="00203F72" w:rsidRPr="00A53581">
        <w:rPr>
          <w:rFonts w:hint="eastAsia"/>
        </w:rPr>
        <w:t>；</w:t>
      </w:r>
      <w:r w:rsidR="00203F72" w:rsidRPr="00A53581">
        <w:t>II</w:t>
      </w:r>
      <w:r w:rsidR="00203F72" w:rsidRPr="00A53581">
        <w:rPr>
          <w:rFonts w:hint="eastAsia"/>
        </w:rPr>
        <w:t>-</w:t>
      </w:r>
      <w:r w:rsidR="00203F72" w:rsidRPr="00A53581">
        <w:t>2</w:t>
      </w:r>
      <w:r w:rsidR="00203F72" w:rsidRPr="00A53581">
        <w:t>；</w:t>
      </w:r>
      <w:r w:rsidR="00203F72" w:rsidRPr="00A53581">
        <w:t>III</w:t>
      </w:r>
      <w:r w:rsidR="00203F72" w:rsidRPr="00A53581">
        <w:rPr>
          <w:rFonts w:hint="eastAsia"/>
        </w:rPr>
        <w:t>-</w:t>
      </w:r>
      <w:r w:rsidR="00203F72" w:rsidRPr="00A53581">
        <w:t>3</w:t>
      </w:r>
      <w:r w:rsidR="00203F72" w:rsidRPr="00A53581">
        <w:t>；</w:t>
      </w:r>
      <w:r w:rsidR="00203F72" w:rsidRPr="00A53581">
        <w:t>IV</w:t>
      </w:r>
      <w:r w:rsidR="00203F72" w:rsidRPr="00A53581">
        <w:rPr>
          <w:rFonts w:hint="eastAsia"/>
        </w:rPr>
        <w:t>-</w:t>
      </w:r>
      <w:r w:rsidR="00203F72" w:rsidRPr="00A53581">
        <w:t>4</w:t>
      </w:r>
      <w:r w:rsidR="00203F72" w:rsidRPr="00A53581">
        <w:t>；</w:t>
      </w:r>
      <w:r w:rsidR="00203F72" w:rsidRPr="00A53581">
        <w:t>V</w:t>
      </w:r>
      <w:r w:rsidR="00203F72" w:rsidRPr="00A53581">
        <w:rPr>
          <w:rFonts w:hint="eastAsia"/>
        </w:rPr>
        <w:t>-</w:t>
      </w:r>
      <w:r w:rsidR="00203F72" w:rsidRPr="00A53581">
        <w:t>5</w:t>
      </w:r>
      <w:r w:rsidR="00203F72" w:rsidRPr="00A53581">
        <w:t>；</w:t>
      </w:r>
      <w:r w:rsidR="00203F72" w:rsidRPr="00A53581">
        <w:t>VI</w:t>
      </w:r>
      <w:r w:rsidR="00203F72" w:rsidRPr="00A53581">
        <w:rPr>
          <w:rFonts w:hint="eastAsia"/>
        </w:rPr>
        <w:t>-6</w:t>
      </w:r>
      <w:r w:rsidR="00203F72" w:rsidRPr="00A53581">
        <w:rPr>
          <w:rFonts w:hint="eastAsia"/>
        </w:rPr>
        <w:t>；</w:t>
      </w:r>
      <w:r w:rsidR="00203F72" w:rsidRPr="00A53581">
        <w:t>VII</w:t>
      </w:r>
      <w:r w:rsidR="00203F72" w:rsidRPr="00A53581">
        <w:rPr>
          <w:rFonts w:hint="eastAsia"/>
        </w:rPr>
        <w:t>-</w:t>
      </w:r>
      <w:r w:rsidR="00203F72" w:rsidRPr="00A53581">
        <w:t>7</w:t>
      </w:r>
      <w:r w:rsidR="00203F72" w:rsidRPr="00A53581">
        <w:t>；</w:t>
      </w:r>
      <w:r w:rsidR="00203F72" w:rsidRPr="00A53581">
        <w:t>VIII</w:t>
      </w:r>
      <w:r w:rsidR="00203F72" w:rsidRPr="00A53581">
        <w:rPr>
          <w:rFonts w:hint="eastAsia"/>
        </w:rPr>
        <w:t>-</w:t>
      </w:r>
      <w:r w:rsidR="00203F72" w:rsidRPr="00A53581">
        <w:t>8</w:t>
      </w:r>
      <w:r w:rsidR="00203F72" w:rsidRPr="00A53581">
        <w:t>；</w:t>
      </w:r>
      <w:r w:rsidR="00203F72" w:rsidRPr="00A53581">
        <w:t>IX</w:t>
      </w:r>
      <w:r w:rsidR="00203F72" w:rsidRPr="00A53581">
        <w:rPr>
          <w:rFonts w:hint="eastAsia"/>
        </w:rPr>
        <w:t>-</w:t>
      </w:r>
      <w:r w:rsidR="00203F72" w:rsidRPr="00A53581">
        <w:t>9</w:t>
      </w:r>
      <w:r w:rsidR="00203F72" w:rsidRPr="00A53581">
        <w:t>；</w:t>
      </w:r>
      <w:r w:rsidR="00203F72" w:rsidRPr="00A53581">
        <w:t>X</w:t>
      </w:r>
      <w:r w:rsidR="00203F72" w:rsidRPr="00A53581">
        <w:rPr>
          <w:rFonts w:hint="eastAsia"/>
        </w:rPr>
        <w:t>-10</w:t>
      </w:r>
      <w:r w:rsidR="00203F72" w:rsidRPr="00A53581">
        <w:rPr>
          <w:rFonts w:hint="eastAsia"/>
        </w:rPr>
        <w:t>。</w:t>
      </w:r>
    </w:p>
    <w:p w14:paraId="59AAF8DE" w14:textId="77777777" w:rsidR="00203F72" w:rsidRPr="00A53581" w:rsidRDefault="00203F72" w:rsidP="00D87D91"/>
    <w:p w14:paraId="0F1A3990" w14:textId="77777777" w:rsidR="00953151" w:rsidRDefault="007F7377" w:rsidP="00D87D91">
      <w:r w:rsidRPr="001B1539">
        <w:t xml:space="preserve">　　</w:t>
      </w:r>
      <w:r w:rsidR="00203F72" w:rsidRPr="001B1539">
        <w:t>總統公布法律、發布命令，須經過行政院院長之副署，或行政院院長及有關部會首長之副署。目的是在使行政院院長及有關部會首長瞭解總統公布之法律及發布之命令，同時防止總統專權。但經由一定程序，總統並沒有主動公布法律或發布命令之自由決定權，同時也沒有拒絕或不公布法律或命令之自由決定權。然為因應國家統一前之需要，依照憲法</w:t>
      </w:r>
      <w:r w:rsidR="00541C0B" w:rsidRPr="001B1539">
        <w:t>第</w:t>
      </w:r>
      <w:hyperlink r:id="rId493" w:anchor="a27" w:history="1">
        <w:r w:rsidR="00541C0B" w:rsidRPr="001B1539">
          <w:rPr>
            <w:rStyle w:val="a5"/>
          </w:rPr>
          <w:t>二十七</w:t>
        </w:r>
      </w:hyperlink>
      <w:r w:rsidR="00541C0B" w:rsidRPr="001B1539">
        <w:t>條</w:t>
      </w:r>
      <w:r w:rsidR="00203F72" w:rsidRPr="001B1539">
        <w:t>第一項第三款及</w:t>
      </w:r>
      <w:r w:rsidR="00541C0B" w:rsidRPr="001B1539">
        <w:t>第</w:t>
      </w:r>
      <w:hyperlink r:id="rId494" w:anchor="a174" w:history="1">
        <w:r w:rsidR="00541C0B" w:rsidRPr="001B1539">
          <w:rPr>
            <w:rStyle w:val="a5"/>
          </w:rPr>
          <w:t>一百七十四</w:t>
        </w:r>
      </w:hyperlink>
      <w:r w:rsidR="00541C0B" w:rsidRPr="001B1539">
        <w:t>條</w:t>
      </w:r>
      <w:r w:rsidR="00203F72" w:rsidRPr="001B1539">
        <w:t>第一款之規定，增修憲法條文。依增修條文</w:t>
      </w:r>
      <w:hyperlink r:id="rId495" w:anchor="b2" w:history="1">
        <w:r w:rsidR="00203F72" w:rsidRPr="001B1539">
          <w:rPr>
            <w:rStyle w:val="a5"/>
            <w:rFonts w:ascii="Times New Roman" w:hAnsi="Times New Roman"/>
          </w:rPr>
          <w:t>第</w:t>
        </w:r>
        <w:r w:rsidR="00203F72" w:rsidRPr="001B1539">
          <w:rPr>
            <w:rStyle w:val="a5"/>
            <w:rFonts w:ascii="Times New Roman" w:hAnsi="Times New Roman"/>
          </w:rPr>
          <w:t>2</w:t>
        </w:r>
        <w:r w:rsidR="00203F72" w:rsidRPr="001B1539">
          <w:rPr>
            <w:rStyle w:val="a5"/>
            <w:rFonts w:ascii="Times New Roman" w:hAnsi="Times New Roman"/>
          </w:rPr>
          <w:t>條</w:t>
        </w:r>
      </w:hyperlink>
      <w:r w:rsidR="00203F72" w:rsidRPr="001B1539">
        <w:t>之規定，總統發布行政院院長與依憲法經立法院同意任命人員之任免命令及解散立法院之命令，無須行政院院長之副署，不適用</w:t>
      </w:r>
      <w:r w:rsidR="00C94B4E" w:rsidRPr="001B1539">
        <w:t>憲法第</w:t>
      </w:r>
      <w:hyperlink r:id="rId496" w:anchor="a37" w:history="1">
        <w:r w:rsidR="00C94B4E" w:rsidRPr="001B1539">
          <w:rPr>
            <w:rStyle w:val="a5"/>
          </w:rPr>
          <w:t>三十七</w:t>
        </w:r>
      </w:hyperlink>
      <w:r w:rsidR="00C94B4E" w:rsidRPr="001B1539">
        <w:t>條</w:t>
      </w:r>
      <w:r w:rsidR="00203F72" w:rsidRPr="001B1539">
        <w:t>之規定。</w:t>
      </w:r>
    </w:p>
    <w:p w14:paraId="7C1F05C7" w14:textId="77777777" w:rsidR="006937CE" w:rsidRPr="001B1539" w:rsidRDefault="006937CE" w:rsidP="00D87D91"/>
    <w:p w14:paraId="4D2D9389" w14:textId="47EBD4D9" w:rsidR="00203F72" w:rsidRPr="001B1539" w:rsidRDefault="00B03E84" w:rsidP="00D87D91">
      <w:r w:rsidRPr="001B1539">
        <w:t>【</w:t>
      </w:r>
      <w:r w:rsidRPr="001B1539">
        <w:t>table</w:t>
      </w:r>
      <w:r w:rsidR="005E23E3" w:rsidRPr="001B153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31</w:t>
      </w:r>
      <w:r w:rsidR="00076467">
        <w:rPr>
          <w:noProof/>
        </w:rPr>
        <w:fldChar w:fldCharType="end"/>
      </w:r>
      <w:r w:rsidR="00203F72" w:rsidRPr="001B1539">
        <w:t>憲法之內閣制規定</w:t>
      </w:r>
      <w:r w:rsidR="00203F72" w:rsidRPr="001B1539">
        <w:footnoteReference w:id="66"/>
      </w:r>
    </w:p>
    <w:tbl>
      <w:tblPr>
        <w:tblW w:w="7786"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396"/>
        <w:gridCol w:w="4646"/>
        <w:gridCol w:w="1744"/>
      </w:tblGrid>
      <w:tr w:rsidR="00203F72" w:rsidRPr="00A53581" w14:paraId="568F539E" w14:textId="77777777" w:rsidTr="00203F72">
        <w:trPr>
          <w:tblCellSpacing w:w="15" w:type="dxa"/>
        </w:trPr>
        <w:tc>
          <w:tcPr>
            <w:tcW w:w="7726" w:type="dxa"/>
            <w:gridSpan w:val="3"/>
            <w:tcBorders>
              <w:top w:val="single" w:sz="4" w:space="0" w:color="auto"/>
              <w:left w:val="single" w:sz="4" w:space="0" w:color="auto"/>
              <w:bottom w:val="single" w:sz="4" w:space="0" w:color="auto"/>
              <w:right w:val="single" w:sz="4" w:space="0" w:color="auto"/>
            </w:tcBorders>
            <w:shd w:val="clear" w:color="auto" w:fill="EFEFEF"/>
            <w:vAlign w:val="center"/>
            <w:hideMark/>
          </w:tcPr>
          <w:p w14:paraId="6881CC81" w14:textId="77777777" w:rsidR="00203F72" w:rsidRPr="00A53581" w:rsidRDefault="00203F72" w:rsidP="00D87D91">
            <w:pPr>
              <w:rPr>
                <w:rFonts w:cs="新細明體"/>
              </w:rPr>
            </w:pPr>
            <w:r w:rsidRPr="00A53581">
              <w:t>憲法之內閣制規定</w:t>
            </w:r>
          </w:p>
        </w:tc>
      </w:tr>
      <w:tr w:rsidR="00203F72" w:rsidRPr="00A53581" w14:paraId="17A2D490"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387BDAC" w14:textId="77777777" w:rsidR="00203F72" w:rsidRPr="00A53581" w:rsidRDefault="00203F72" w:rsidP="00D87D91">
            <w:pPr>
              <w:rPr>
                <w:rFonts w:cs="新細明體"/>
              </w:rPr>
            </w:pPr>
            <w:r w:rsidRPr="00A53581">
              <w:t>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19845132" w14:textId="77777777" w:rsidR="00203F72" w:rsidRPr="00A53581" w:rsidRDefault="00203F72" w:rsidP="00D87D91">
            <w:pPr>
              <w:rPr>
                <w:rFonts w:cs="新細明體"/>
              </w:rPr>
            </w:pPr>
            <w:r w:rsidRPr="00A53581">
              <w:t>憲法規定</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42B9940" w14:textId="77777777" w:rsidR="00203F72" w:rsidRPr="00A53581" w:rsidRDefault="00203F72" w:rsidP="00D87D91">
            <w:pPr>
              <w:rPr>
                <w:rFonts w:cs="新細明體"/>
              </w:rPr>
            </w:pPr>
            <w:r w:rsidRPr="00A53581">
              <w:t>對應條文</w:t>
            </w:r>
          </w:p>
        </w:tc>
      </w:tr>
      <w:tr w:rsidR="00203F72" w:rsidRPr="00A53581" w14:paraId="5CF37192"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CC16783" w14:textId="77777777" w:rsidR="00203F72" w:rsidRPr="00A53581" w:rsidRDefault="00203F72" w:rsidP="00D87D91">
            <w:pPr>
              <w:rPr>
                <w:rFonts w:cs="新細明體"/>
              </w:rPr>
            </w:pPr>
            <w:r w:rsidRPr="00A53581">
              <w:t>最高行政機關</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2ACE635" w14:textId="77777777" w:rsidR="00203F72" w:rsidRPr="00A53581" w:rsidRDefault="00203F72" w:rsidP="00D87D91">
            <w:pPr>
              <w:rPr>
                <w:rFonts w:cs="新細明體"/>
              </w:rPr>
            </w:pPr>
            <w:r w:rsidRPr="00A53581">
              <w:t>行政院為最高行政機關</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E083C05" w14:textId="77777777" w:rsidR="00203F72" w:rsidRPr="00A53581" w:rsidRDefault="00076467" w:rsidP="00D87D91">
            <w:pPr>
              <w:rPr>
                <w:rFonts w:cs="新細明體"/>
              </w:rPr>
            </w:pPr>
            <w:hyperlink r:id="rId497" w:anchor="b3" w:history="1">
              <w:r w:rsidR="00203F72" w:rsidRPr="007459D9">
                <w:rPr>
                  <w:rStyle w:val="a5"/>
                  <w:rFonts w:eastAsia="新細明體"/>
                </w:rPr>
                <w:t>§增3</w:t>
              </w:r>
            </w:hyperlink>
          </w:p>
        </w:tc>
      </w:tr>
      <w:tr w:rsidR="00203F72" w:rsidRPr="00A53581" w14:paraId="4C5AEDC7"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258D226" w14:textId="77777777" w:rsidR="00203F72" w:rsidRPr="00A53581" w:rsidRDefault="00203F72" w:rsidP="00D87D91">
            <w:pPr>
              <w:rPr>
                <w:rFonts w:cs="新細明體"/>
              </w:rPr>
            </w:pPr>
            <w:r w:rsidRPr="00A53581">
              <w:t>信任制度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482A2B2" w14:textId="77777777" w:rsidR="00203F72" w:rsidRPr="00A53581" w:rsidRDefault="00203F72" w:rsidP="00D87D91">
            <w:pPr>
              <w:rPr>
                <w:rFonts w:cs="新細明體"/>
              </w:rPr>
            </w:pPr>
            <w:r w:rsidRPr="00A53581">
              <w:t>總統直接任命行政院長；立法院有覆議權和倒閣權</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2A8448F" w14:textId="77777777" w:rsidR="00203F72" w:rsidRPr="00A53581" w:rsidRDefault="00076467" w:rsidP="00D87D91">
            <w:pPr>
              <w:rPr>
                <w:rFonts w:cs="新細明體"/>
              </w:rPr>
            </w:pPr>
            <w:hyperlink r:id="rId498" w:anchor="b3" w:history="1">
              <w:r w:rsidR="007459D9" w:rsidRPr="007459D9">
                <w:rPr>
                  <w:rStyle w:val="a5"/>
                  <w:rFonts w:eastAsia="新細明體"/>
                </w:rPr>
                <w:t>§增3</w:t>
              </w:r>
            </w:hyperlink>
          </w:p>
        </w:tc>
      </w:tr>
      <w:tr w:rsidR="00203F72" w:rsidRPr="00A53581" w14:paraId="08ACD29D"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760BE3D" w14:textId="77777777" w:rsidR="00203F72" w:rsidRPr="00A53581" w:rsidRDefault="00203F72" w:rsidP="00D87D91">
            <w:pPr>
              <w:rPr>
                <w:rFonts w:cs="新細明體"/>
              </w:rPr>
            </w:pPr>
            <w:r w:rsidRPr="00A53581">
              <w:t>負責制度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56F06EC" w14:textId="77777777" w:rsidR="00203F72" w:rsidRPr="00A53581" w:rsidRDefault="00203F72" w:rsidP="00D87D91">
            <w:pPr>
              <w:rPr>
                <w:rFonts w:cs="新細明體"/>
              </w:rPr>
            </w:pPr>
            <w:r w:rsidRPr="00A53581">
              <w:t>行政院對立法院負責</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F6960A0" w14:textId="77777777" w:rsidR="00203F72" w:rsidRPr="00A53581" w:rsidRDefault="00076467" w:rsidP="00D87D91">
            <w:pPr>
              <w:rPr>
                <w:rFonts w:cs="新細明體"/>
              </w:rPr>
            </w:pPr>
            <w:hyperlink r:id="rId499" w:anchor="b3" w:history="1">
              <w:r w:rsidR="007459D9" w:rsidRPr="007459D9">
                <w:rPr>
                  <w:rStyle w:val="a5"/>
                  <w:rFonts w:eastAsia="新細明體"/>
                </w:rPr>
                <w:t>§增3</w:t>
              </w:r>
            </w:hyperlink>
          </w:p>
        </w:tc>
      </w:tr>
      <w:tr w:rsidR="00203F72" w:rsidRPr="00A53581" w14:paraId="6B13B258"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9188781" w14:textId="77777777" w:rsidR="00203F72" w:rsidRPr="00A53581" w:rsidRDefault="00203F72" w:rsidP="00D87D91">
            <w:pPr>
              <w:rPr>
                <w:rFonts w:cs="新細明體"/>
              </w:rPr>
            </w:pPr>
            <w:r w:rsidRPr="00A53581">
              <w:t>副署制度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D136216" w14:textId="77777777" w:rsidR="00203F72" w:rsidRPr="00A53581" w:rsidRDefault="00203F72" w:rsidP="00D87D91">
            <w:pPr>
              <w:rPr>
                <w:rFonts w:cs="新細明體"/>
              </w:rPr>
            </w:pPr>
            <w:r w:rsidRPr="00A53581">
              <w:t>總統發布法令，須行政院長副署</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BA6DA5C" w14:textId="77777777" w:rsidR="00203F72" w:rsidRPr="00A53581" w:rsidRDefault="00076467" w:rsidP="00D87D91">
            <w:pPr>
              <w:rPr>
                <w:rFonts w:cs="新細明體"/>
              </w:rPr>
            </w:pPr>
            <w:hyperlink r:id="rId500" w:anchor="b3" w:history="1">
              <w:r w:rsidR="007459D9" w:rsidRPr="007459D9">
                <w:rPr>
                  <w:rStyle w:val="a5"/>
                  <w:rFonts w:eastAsia="新細明體"/>
                </w:rPr>
                <w:t>§增3</w:t>
              </w:r>
            </w:hyperlink>
            <w:r w:rsidR="00203F72" w:rsidRPr="00A53581">
              <w:t>、</w:t>
            </w:r>
            <w:hyperlink r:id="rId501" w:anchor="a37" w:history="1">
              <w:r w:rsidR="00203F72" w:rsidRPr="007459D9">
                <w:rPr>
                  <w:rStyle w:val="a5"/>
                  <w:rFonts w:eastAsia="新細明體"/>
                </w:rPr>
                <w:t>§37</w:t>
              </w:r>
            </w:hyperlink>
          </w:p>
        </w:tc>
      </w:tr>
    </w:tbl>
    <w:p w14:paraId="6DADB946" w14:textId="77777777"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502" w:history="1">
        <w:r w:rsidR="00203F72" w:rsidRPr="00A53581">
          <w:rPr>
            <w:rStyle w:val="a5"/>
          </w:rPr>
          <w:t>https://zh.wikipedia.org/wiki/%E4%B8%AD%E8%8F%AF%E6%B0%91%E5%9C%8B%E6%86%B2%E6%B3%95</w:t>
        </w:r>
      </w:hyperlink>
      <w:r w:rsidR="00203F72" w:rsidRPr="00A53581">
        <w:t>。</w:t>
      </w:r>
    </w:p>
    <w:p w14:paraId="3CA9B46E" w14:textId="77777777" w:rsidR="00953151" w:rsidRDefault="00076467" w:rsidP="00767F37">
      <w:pPr>
        <w:pStyle w:val="2"/>
      </w:pPr>
      <w:hyperlink r:id="rId503" w:anchor="a38" w:history="1">
        <w:r w:rsidR="005D5A46">
          <w:rPr>
            <w:rStyle w:val="a5"/>
            <w:rFonts w:ascii="Arial Unicode MS" w:hAnsi="Arial Unicode MS"/>
          </w:rPr>
          <w:t>第</w:t>
        </w:r>
        <w:r w:rsidR="00203F72" w:rsidRPr="001B53A5">
          <w:rPr>
            <w:rStyle w:val="a5"/>
            <w:rFonts w:ascii="Arial Unicode MS" w:hAnsi="Arial Unicode MS"/>
          </w:rPr>
          <w:t>38</w:t>
        </w:r>
        <w:r w:rsidR="005D5A46">
          <w:rPr>
            <w:rStyle w:val="a5"/>
            <w:rFonts w:ascii="Arial Unicode MS" w:hAnsi="Arial Unicode MS"/>
          </w:rPr>
          <w:t>條</w:t>
        </w:r>
      </w:hyperlink>
      <w:r w:rsidR="00203F72" w:rsidRPr="00A53581">
        <w:t>總統依本憲法之規定，行使締結條約及宣戰、媾和之權。</w:t>
      </w:r>
    </w:p>
    <w:p w14:paraId="557BBF7E" w14:textId="77777777" w:rsidR="00953151" w:rsidRDefault="00B03E84" w:rsidP="00D87D91">
      <w:r>
        <w:t>【內容解析】</w:t>
      </w:r>
    </w:p>
    <w:p w14:paraId="076E3552" w14:textId="77777777" w:rsidR="00953151" w:rsidRDefault="007F7377" w:rsidP="00D87D91">
      <w:r w:rsidRPr="001B1539">
        <w:t xml:space="preserve">　　</w:t>
      </w:r>
      <w:r w:rsidR="00203F72" w:rsidRPr="001B1539">
        <w:t>總統代表中華民國，有權代表國家與外國簽訂條約、宣佈發動戰爭、建立國與國間之邦交，但因為關係人民權益，國家發展及存亡，同時為防範總統專斷妄行，依憲法第</w:t>
      </w:r>
      <w:hyperlink r:id="rId504" w:anchor="a58" w:history="1">
        <w:r w:rsidR="00203F72" w:rsidRPr="001B1539">
          <w:rPr>
            <w:rStyle w:val="a5"/>
          </w:rPr>
          <w:t>五十八</w:t>
        </w:r>
      </w:hyperlink>
      <w:r w:rsidR="00203F72" w:rsidRPr="001B1539">
        <w:t>條之規定，行政院院長、各部會首長，須將應行提出於立法院之法律案、預算案、戒嚴案、大赦案、宣戰案、媾和案、條約案及其他重要事項，或涉及各部會共同關係之事項，提出於行政院會議議決之。依憲法第</w:t>
      </w:r>
      <w:hyperlink r:id="rId505" w:anchor="a63" w:history="1">
        <w:r w:rsidR="00203F72" w:rsidRPr="001B1539">
          <w:rPr>
            <w:rStyle w:val="a5"/>
            <w:rFonts w:ascii="Times New Roman" w:hAnsi="Times New Roman"/>
          </w:rPr>
          <w:t>六十三</w:t>
        </w:r>
      </w:hyperlink>
      <w:r w:rsidR="00203F72" w:rsidRPr="001B1539">
        <w:t>條之規定，立法院有議決法律案、預算案、戒嚴案、大赦案、宣戰案、媾和案、條約案及國家其他重要事項之權。</w:t>
      </w:r>
    </w:p>
    <w:p w14:paraId="2A003786" w14:textId="77777777" w:rsidR="006937CE" w:rsidRPr="001B1539" w:rsidRDefault="006937CE" w:rsidP="00D87D91"/>
    <w:p w14:paraId="655ED403" w14:textId="746D4838" w:rsidR="00203F72" w:rsidRPr="00A5735A" w:rsidRDefault="00B03E84" w:rsidP="00D87D91">
      <w:r w:rsidRPr="00A5735A">
        <w:t>【</w:t>
      </w:r>
      <w:r w:rsidRPr="00A5735A">
        <w:t>table</w:t>
      </w:r>
      <w:r w:rsidR="005E23E3" w:rsidRPr="00A5735A">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32</w:t>
      </w:r>
      <w:r w:rsidR="00076467">
        <w:rPr>
          <w:noProof/>
        </w:rPr>
        <w:fldChar w:fldCharType="end"/>
      </w:r>
      <w:r w:rsidR="00203F72" w:rsidRPr="00A5735A">
        <w:t>行政院之一般性職權與責任</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6237"/>
      </w:tblGrid>
      <w:tr w:rsidR="00203F72" w:rsidRPr="00A53581" w14:paraId="7988C901" w14:textId="77777777" w:rsidTr="006937CE">
        <w:tc>
          <w:tcPr>
            <w:tcW w:w="1329" w:type="pct"/>
            <w:shd w:val="clear" w:color="auto" w:fill="auto"/>
          </w:tcPr>
          <w:p w14:paraId="01F86A1C" w14:textId="77777777" w:rsidR="00203F72" w:rsidRPr="00A53581" w:rsidRDefault="00203F72" w:rsidP="00D87D91">
            <w:r w:rsidRPr="00A53581">
              <w:t>1.</w:t>
            </w:r>
            <w:r w:rsidRPr="00A53581">
              <w:t>副署權</w:t>
            </w:r>
          </w:p>
        </w:tc>
        <w:tc>
          <w:tcPr>
            <w:tcW w:w="3671" w:type="pct"/>
            <w:shd w:val="clear" w:color="auto" w:fill="auto"/>
          </w:tcPr>
          <w:p w14:paraId="320B60AE" w14:textId="77777777" w:rsidR="00203F72" w:rsidRPr="00A53581" w:rsidRDefault="00203F72" w:rsidP="00D87D91">
            <w:r w:rsidRPr="00A53581">
              <w:rPr>
                <w:rFonts w:hint="eastAsia"/>
              </w:rPr>
              <w:t>總統依法公布法律，發布命令，惟其公布之法令，若有關行政院整個政策，則須經行政院院長副署，若有關各部會者，則須經行政院院長及有關部會首長之副署，否則不生效力（</w:t>
            </w:r>
            <w:hyperlink r:id="rId506" w:anchor="a37" w:history="1">
              <w:r w:rsidRPr="006937CE">
                <w:rPr>
                  <w:rStyle w:val="a5"/>
                  <w:rFonts w:eastAsia="新細明體" w:hint="eastAsia"/>
                </w:rPr>
                <w:t>憲37</w:t>
              </w:r>
            </w:hyperlink>
            <w:r w:rsidRPr="00A53581">
              <w:rPr>
                <w:rFonts w:hint="eastAsia"/>
              </w:rPr>
              <w:t>）。但總統發布行政院院長與依憲法經立法院同意任命人員之任免命令及解散立法院之命令，無須行政院院長之副署，不適用憲法</w:t>
            </w:r>
            <w:hyperlink r:id="rId507" w:anchor="a37" w:history="1">
              <w:r w:rsidRPr="00A5735A">
                <w:rPr>
                  <w:rStyle w:val="a5"/>
                  <w:rFonts w:hint="eastAsia"/>
                  <w:kern w:val="0"/>
                </w:rPr>
                <w:t>第37條</w:t>
              </w:r>
            </w:hyperlink>
            <w:r w:rsidRPr="00A53581">
              <w:rPr>
                <w:rFonts w:hint="eastAsia"/>
              </w:rPr>
              <w:t>之規定</w:t>
            </w:r>
            <w:r w:rsidRPr="00A53581">
              <w:rPr>
                <w:rFonts w:hint="eastAsia"/>
              </w:rPr>
              <w:t>(</w:t>
            </w:r>
            <w:hyperlink r:id="rId508" w:anchor="b2" w:history="1">
              <w:r w:rsidRPr="007459D9">
                <w:rPr>
                  <w:rStyle w:val="a5"/>
                  <w:rFonts w:eastAsia="新細明體" w:hint="eastAsia"/>
                  <w:kern w:val="0"/>
                </w:rPr>
                <w:t>憲修2</w:t>
              </w:r>
            </w:hyperlink>
            <w:r w:rsidRPr="00A53581">
              <w:rPr>
                <w:rFonts w:hint="eastAsia"/>
              </w:rPr>
              <w:t>Ⅱ</w:t>
            </w:r>
            <w:r w:rsidRPr="00A53581">
              <w:rPr>
                <w:rFonts w:hint="eastAsia"/>
              </w:rPr>
              <w:t>)</w:t>
            </w:r>
            <w:r w:rsidRPr="00A53581">
              <w:rPr>
                <w:rFonts w:hint="eastAsia"/>
              </w:rPr>
              <w:t>。</w:t>
            </w:r>
          </w:p>
        </w:tc>
      </w:tr>
      <w:tr w:rsidR="00203F72" w:rsidRPr="00A53581" w14:paraId="401D5636" w14:textId="77777777" w:rsidTr="006937CE">
        <w:tc>
          <w:tcPr>
            <w:tcW w:w="1329" w:type="pct"/>
            <w:shd w:val="clear" w:color="auto" w:fill="auto"/>
          </w:tcPr>
          <w:p w14:paraId="0F941B62" w14:textId="77777777" w:rsidR="00203F72" w:rsidRPr="00A53581" w:rsidRDefault="00203F72" w:rsidP="00D87D91">
            <w:r w:rsidRPr="00A53581">
              <w:t>2.</w:t>
            </w:r>
            <w:r w:rsidRPr="00A53581">
              <w:t>提出法案權</w:t>
            </w:r>
          </w:p>
        </w:tc>
        <w:tc>
          <w:tcPr>
            <w:tcW w:w="3671" w:type="pct"/>
            <w:shd w:val="clear" w:color="auto" w:fill="auto"/>
          </w:tcPr>
          <w:p w14:paraId="3FEB475B" w14:textId="77777777" w:rsidR="00203F72" w:rsidRPr="00A53581" w:rsidRDefault="00203F72" w:rsidP="00D87D91">
            <w:r w:rsidRPr="00A53581">
              <w:rPr>
                <w:rFonts w:hint="eastAsia"/>
              </w:rPr>
              <w:t>行政院有向立法院提出法律案、預算案、戒嚴案、大赦案、宣戰案、媾和案、條約案及其他重要事項之權（</w:t>
            </w:r>
            <w:hyperlink r:id="rId509" w:anchor="a58" w:history="1">
              <w:r w:rsidRPr="006937CE">
                <w:rPr>
                  <w:rStyle w:val="a5"/>
                  <w:rFonts w:eastAsia="新細明體" w:cs="細明體_HKSCS" w:hint="eastAsia"/>
                </w:rPr>
                <w:t>憲58</w:t>
              </w:r>
            </w:hyperlink>
            <w:r w:rsidRPr="00A53581">
              <w:rPr>
                <w:rFonts w:hint="eastAsia"/>
              </w:rPr>
              <w:t>Ⅱ）</w:t>
            </w:r>
            <w:r w:rsidRPr="00A53581">
              <w:rPr>
                <w:rFonts w:hint="eastAsia"/>
                <w:kern w:val="0"/>
              </w:rPr>
              <w:t>。</w:t>
            </w:r>
          </w:p>
        </w:tc>
      </w:tr>
      <w:tr w:rsidR="00203F72" w:rsidRPr="00A53581" w14:paraId="776D29D1" w14:textId="77777777" w:rsidTr="006937CE">
        <w:tc>
          <w:tcPr>
            <w:tcW w:w="1329" w:type="pct"/>
            <w:shd w:val="clear" w:color="auto" w:fill="auto"/>
          </w:tcPr>
          <w:p w14:paraId="40811B87" w14:textId="77777777" w:rsidR="00203F72" w:rsidRPr="00A53581" w:rsidRDefault="00203F72" w:rsidP="00D87D91">
            <w:r w:rsidRPr="00A53581">
              <w:t>3.</w:t>
            </w:r>
            <w:r w:rsidRPr="00A53581">
              <w:t>移請覆議權</w:t>
            </w:r>
          </w:p>
        </w:tc>
        <w:tc>
          <w:tcPr>
            <w:tcW w:w="3671" w:type="pct"/>
            <w:shd w:val="clear" w:color="auto" w:fill="auto"/>
          </w:tcPr>
          <w:p w14:paraId="3409CF94" w14:textId="77777777" w:rsidR="00203F72" w:rsidRPr="00A53581" w:rsidRDefault="00203F72" w:rsidP="00D87D91">
            <w:r w:rsidRPr="00A53581">
              <w:rPr>
                <w:rFonts w:hint="eastAsia"/>
              </w:rPr>
              <w:t>行政院對於立法院決議之法律案、預算案、條約案，如認為有窒礙難行時，得經總統之核可，於該決議案送達行政院</w:t>
            </w:r>
            <w:r w:rsidRPr="00A53581">
              <w:rPr>
                <w:rFonts w:hint="eastAsia"/>
              </w:rPr>
              <w:t>10</w:t>
            </w:r>
            <w:r w:rsidRPr="00A53581">
              <w:rPr>
                <w:rFonts w:hint="eastAsia"/>
              </w:rPr>
              <w:t>日內，移請立法院覆議</w:t>
            </w:r>
            <w:r w:rsidRPr="00A53581">
              <w:rPr>
                <w:rFonts w:hint="eastAsia"/>
              </w:rPr>
              <w:t>(</w:t>
            </w:r>
            <w:hyperlink r:id="rId510" w:anchor="b3" w:history="1">
              <w:r w:rsidRPr="006937CE">
                <w:rPr>
                  <w:rStyle w:val="a5"/>
                  <w:rFonts w:eastAsia="新細明體" w:cs="細明體_HKSCS" w:hint="eastAsia"/>
                </w:rPr>
                <w:t>憲修3</w:t>
              </w:r>
            </w:hyperlink>
            <w:r w:rsidRPr="00A53581">
              <w:rPr>
                <w:rFonts w:hint="eastAsia"/>
              </w:rPr>
              <w:t>Ⅱ</w:t>
            </w:r>
            <w:r w:rsidR="003420CC">
              <w:rPr>
                <w:rFonts w:hint="eastAsia"/>
              </w:rPr>
              <w:t>(2)</w:t>
            </w:r>
            <w:r w:rsidRPr="00A53581">
              <w:rPr>
                <w:rFonts w:hint="eastAsia"/>
              </w:rPr>
              <w:t>)</w:t>
            </w:r>
            <w:r w:rsidRPr="00A53581">
              <w:rPr>
                <w:rFonts w:hint="eastAsia"/>
                <w:kern w:val="0"/>
              </w:rPr>
              <w:t>。</w:t>
            </w:r>
          </w:p>
        </w:tc>
      </w:tr>
      <w:tr w:rsidR="00203F72" w:rsidRPr="00A53581" w14:paraId="30190AF3" w14:textId="77777777" w:rsidTr="006937CE">
        <w:tc>
          <w:tcPr>
            <w:tcW w:w="1329" w:type="pct"/>
            <w:shd w:val="clear" w:color="auto" w:fill="auto"/>
          </w:tcPr>
          <w:p w14:paraId="31EA3AF3" w14:textId="77777777" w:rsidR="00203F72" w:rsidRPr="00A53581" w:rsidRDefault="00203F72" w:rsidP="00D87D91">
            <w:r w:rsidRPr="00A53581">
              <w:t>4.</w:t>
            </w:r>
            <w:r w:rsidRPr="00A53581">
              <w:t>呈請總統解散立法院之權</w:t>
            </w:r>
          </w:p>
        </w:tc>
        <w:tc>
          <w:tcPr>
            <w:tcW w:w="3671" w:type="pct"/>
            <w:shd w:val="clear" w:color="auto" w:fill="auto"/>
          </w:tcPr>
          <w:p w14:paraId="01E45838" w14:textId="77777777" w:rsidR="00203F72" w:rsidRPr="00A53581" w:rsidRDefault="00203F72" w:rsidP="00D87D91">
            <w:r w:rsidRPr="00A53581">
              <w:rPr>
                <w:rFonts w:cs="細明體_HKSCS" w:hint="eastAsia"/>
              </w:rPr>
              <w:t>立法院得經全體立法委員三分之一以上連署，對行政院院長提出不信任案</w:t>
            </w:r>
            <w:r w:rsidRPr="00A53581">
              <w:rPr>
                <w:rFonts w:hint="eastAsia"/>
              </w:rPr>
              <w:t>。不信任案提出</w:t>
            </w:r>
            <w:r w:rsidRPr="00A53581">
              <w:rPr>
                <w:rFonts w:hint="eastAsia"/>
              </w:rPr>
              <w:t>72</w:t>
            </w:r>
            <w:r w:rsidRPr="00A53581">
              <w:rPr>
                <w:rFonts w:hint="eastAsia"/>
              </w:rPr>
              <w:t>小時後，應於</w:t>
            </w:r>
            <w:r w:rsidRPr="00A53581">
              <w:rPr>
                <w:rFonts w:hint="eastAsia"/>
              </w:rPr>
              <w:t>48</w:t>
            </w:r>
            <w:r w:rsidRPr="00A53581">
              <w:rPr>
                <w:rFonts w:hint="eastAsia"/>
              </w:rPr>
              <w:t>小時內以記名投票表決之。如經全體立法委員二分之一以上贊成，行政院院長應於</w:t>
            </w:r>
            <w:r w:rsidRPr="00A53581">
              <w:rPr>
                <w:rFonts w:hint="eastAsia"/>
              </w:rPr>
              <w:t>10</w:t>
            </w:r>
            <w:r w:rsidRPr="00A53581">
              <w:rPr>
                <w:rFonts w:hint="eastAsia"/>
              </w:rPr>
              <w:t>日內提出辭職，並得同時呈請總統解散立法院；不信任案如未獲通過，</w:t>
            </w:r>
            <w:r w:rsidRPr="00A53581">
              <w:rPr>
                <w:rFonts w:hint="eastAsia"/>
              </w:rPr>
              <w:t>1</w:t>
            </w:r>
            <w:r w:rsidRPr="00A53581">
              <w:rPr>
                <w:rFonts w:hint="eastAsia"/>
              </w:rPr>
              <w:t>年內不得對同一行政院院長再提不信任案（</w:t>
            </w:r>
            <w:hyperlink r:id="rId511" w:anchor="b3" w:history="1">
              <w:r w:rsidR="006937CE" w:rsidRPr="006937CE">
                <w:rPr>
                  <w:rStyle w:val="a5"/>
                  <w:rFonts w:eastAsia="新細明體" w:cs="細明體_HKSCS" w:hint="eastAsia"/>
                </w:rPr>
                <w:t>憲修3</w:t>
              </w:r>
            </w:hyperlink>
            <w:r w:rsidRPr="00A53581">
              <w:rPr>
                <w:rFonts w:hint="eastAsia"/>
              </w:rPr>
              <w:t>Ⅱ③）。</w:t>
            </w:r>
          </w:p>
        </w:tc>
      </w:tr>
      <w:tr w:rsidR="00203F72" w:rsidRPr="00A53581" w14:paraId="6A2EB5D1" w14:textId="77777777" w:rsidTr="006937CE">
        <w:tc>
          <w:tcPr>
            <w:tcW w:w="1329" w:type="pct"/>
            <w:shd w:val="clear" w:color="auto" w:fill="auto"/>
          </w:tcPr>
          <w:p w14:paraId="4BC5E55E" w14:textId="77777777" w:rsidR="00203F72" w:rsidRPr="00A53581" w:rsidRDefault="00203F72" w:rsidP="00D87D91">
            <w:r w:rsidRPr="00A53581">
              <w:t>5.</w:t>
            </w:r>
            <w:r w:rsidRPr="00A53581">
              <w:t>施政報告</w:t>
            </w:r>
          </w:p>
        </w:tc>
        <w:tc>
          <w:tcPr>
            <w:tcW w:w="3671" w:type="pct"/>
            <w:shd w:val="clear" w:color="auto" w:fill="auto"/>
          </w:tcPr>
          <w:p w14:paraId="01FD36DF" w14:textId="77777777" w:rsidR="00203F72" w:rsidRPr="00A53581" w:rsidRDefault="00203F72" w:rsidP="00D87D91">
            <w:r w:rsidRPr="00A53581">
              <w:rPr>
                <w:rFonts w:hint="eastAsia"/>
              </w:rPr>
              <w:t>行政院有向立法院提出施政方針及施政報告之責（</w:t>
            </w:r>
            <w:hyperlink r:id="rId512" w:anchor="b3" w:history="1">
              <w:r w:rsidR="006937CE" w:rsidRPr="006937CE">
                <w:rPr>
                  <w:rStyle w:val="a5"/>
                  <w:rFonts w:eastAsia="新細明體" w:cs="細明體_HKSCS" w:hint="eastAsia"/>
                </w:rPr>
                <w:t>憲修3</w:t>
              </w:r>
            </w:hyperlink>
            <w:r w:rsidRPr="00A53581">
              <w:rPr>
                <w:rFonts w:hint="eastAsia"/>
              </w:rPr>
              <w:t>Ⅱ①）</w:t>
            </w:r>
            <w:r w:rsidRPr="00A53581">
              <w:rPr>
                <w:rFonts w:hint="eastAsia"/>
                <w:kern w:val="0"/>
              </w:rPr>
              <w:t>。立法院開會時，行政院院長及各部會首長得列席陳述意見（</w:t>
            </w:r>
            <w:hyperlink r:id="rId513" w:anchor="a71" w:history="1">
              <w:r w:rsidRPr="006937CE">
                <w:rPr>
                  <w:rStyle w:val="a5"/>
                  <w:rFonts w:eastAsia="新細明體" w:hint="eastAsia"/>
                  <w:kern w:val="0"/>
                </w:rPr>
                <w:t>憲71</w:t>
              </w:r>
            </w:hyperlink>
            <w:r w:rsidRPr="00A53581">
              <w:rPr>
                <w:rFonts w:hint="eastAsia"/>
                <w:kern w:val="0"/>
              </w:rPr>
              <w:t>）。</w:t>
            </w:r>
          </w:p>
        </w:tc>
      </w:tr>
      <w:tr w:rsidR="00203F72" w:rsidRPr="00A53581" w14:paraId="014A284C" w14:textId="77777777" w:rsidTr="006937CE">
        <w:tc>
          <w:tcPr>
            <w:tcW w:w="1329" w:type="pct"/>
            <w:shd w:val="clear" w:color="auto" w:fill="auto"/>
          </w:tcPr>
          <w:p w14:paraId="1D020499" w14:textId="77777777" w:rsidR="00203F72" w:rsidRPr="00A53581" w:rsidRDefault="00203F72" w:rsidP="00D87D91">
            <w:r w:rsidRPr="00A53581">
              <w:t>6.</w:t>
            </w:r>
            <w:r w:rsidRPr="00A53581">
              <w:t>提出預算</w:t>
            </w:r>
            <w:r w:rsidRPr="00A53581">
              <w:rPr>
                <w:rFonts w:hint="eastAsia"/>
              </w:rPr>
              <w:t>及決算權</w:t>
            </w:r>
          </w:p>
        </w:tc>
        <w:tc>
          <w:tcPr>
            <w:tcW w:w="3671" w:type="pct"/>
            <w:shd w:val="clear" w:color="auto" w:fill="auto"/>
          </w:tcPr>
          <w:p w14:paraId="71771AC0" w14:textId="77777777" w:rsidR="00203F72" w:rsidRPr="00A53581" w:rsidRDefault="00203F72" w:rsidP="00D87D91">
            <w:r w:rsidRPr="00A53581">
              <w:rPr>
                <w:rFonts w:hint="eastAsia"/>
              </w:rPr>
              <w:t>行政院於會計年度開始</w:t>
            </w:r>
            <w:r w:rsidRPr="00A53581">
              <w:rPr>
                <w:rFonts w:hint="eastAsia"/>
              </w:rPr>
              <w:t>3</w:t>
            </w:r>
            <w:r w:rsidRPr="00A53581">
              <w:rPr>
                <w:rFonts w:hint="eastAsia"/>
              </w:rPr>
              <w:t>個月前，應將下年度預算案提出於立法院（</w:t>
            </w:r>
            <w:hyperlink r:id="rId514" w:anchor="a59" w:history="1">
              <w:r w:rsidRPr="006937CE">
                <w:rPr>
                  <w:rStyle w:val="a5"/>
                  <w:rFonts w:eastAsia="新細明體" w:cs="細明體_HKSCS" w:hint="eastAsia"/>
                </w:rPr>
                <w:t>憲59</w:t>
              </w:r>
            </w:hyperlink>
            <w:r w:rsidRPr="00A53581">
              <w:rPr>
                <w:rFonts w:hint="eastAsia"/>
              </w:rPr>
              <w:t>）</w:t>
            </w:r>
            <w:r w:rsidRPr="00A53581">
              <w:rPr>
                <w:rFonts w:hint="eastAsia"/>
                <w:kern w:val="0"/>
              </w:rPr>
              <w:t>。並於會計年度結束後</w:t>
            </w:r>
            <w:r w:rsidRPr="00A53581">
              <w:rPr>
                <w:rFonts w:hint="eastAsia"/>
                <w:kern w:val="0"/>
              </w:rPr>
              <w:t>4</w:t>
            </w:r>
            <w:r w:rsidRPr="00A53581">
              <w:rPr>
                <w:rFonts w:hint="eastAsia"/>
                <w:kern w:val="0"/>
              </w:rPr>
              <w:t>個月內，提出決算於監察院（</w:t>
            </w:r>
            <w:hyperlink r:id="rId515" w:anchor="a60" w:history="1">
              <w:r w:rsidRPr="006937CE">
                <w:rPr>
                  <w:rStyle w:val="a5"/>
                  <w:rFonts w:eastAsia="新細明體" w:hint="eastAsia"/>
                  <w:kern w:val="0"/>
                </w:rPr>
                <w:t>憲60</w:t>
              </w:r>
            </w:hyperlink>
            <w:r w:rsidRPr="00A53581">
              <w:rPr>
                <w:rFonts w:hint="eastAsia"/>
                <w:kern w:val="0"/>
              </w:rPr>
              <w:t>）。</w:t>
            </w:r>
          </w:p>
        </w:tc>
      </w:tr>
      <w:tr w:rsidR="00203F72" w:rsidRPr="00A53581" w14:paraId="11B25846" w14:textId="77777777" w:rsidTr="006937CE">
        <w:tc>
          <w:tcPr>
            <w:tcW w:w="1329" w:type="pct"/>
            <w:shd w:val="clear" w:color="auto" w:fill="auto"/>
          </w:tcPr>
          <w:p w14:paraId="14F8987F" w14:textId="77777777" w:rsidR="00203F72" w:rsidRPr="00A53581" w:rsidRDefault="00203F72" w:rsidP="00D87D91">
            <w:r w:rsidRPr="00A53581">
              <w:t>7.</w:t>
            </w:r>
            <w:r w:rsidRPr="00A53581">
              <w:t>重要政策決定權</w:t>
            </w:r>
          </w:p>
        </w:tc>
        <w:tc>
          <w:tcPr>
            <w:tcW w:w="3671" w:type="pct"/>
            <w:shd w:val="clear" w:color="auto" w:fill="auto"/>
          </w:tcPr>
          <w:p w14:paraId="1FFEEC0C" w14:textId="77777777" w:rsidR="00203F72" w:rsidRPr="00A53581" w:rsidRDefault="00203F72" w:rsidP="00D87D91">
            <w:r w:rsidRPr="00A53581">
              <w:rPr>
                <w:rFonts w:cs="細明體_HKSCS" w:hint="eastAsia"/>
              </w:rPr>
              <w:t>行政院關於行政事項之重要政策有決定之權</w:t>
            </w:r>
            <w:r w:rsidRPr="00A53581">
              <w:rPr>
                <w:rFonts w:hint="eastAsia"/>
              </w:rPr>
              <w:t>。此項重要政策，恆包括於行政院向立法院提出之施政方針及施政報告，以及行政院對立法院之質詢所為之答覆之內。</w:t>
            </w:r>
          </w:p>
        </w:tc>
      </w:tr>
      <w:tr w:rsidR="00203F72" w:rsidRPr="00A53581" w14:paraId="6A6A7BBB" w14:textId="77777777" w:rsidTr="006937CE">
        <w:tc>
          <w:tcPr>
            <w:tcW w:w="1329" w:type="pct"/>
            <w:shd w:val="clear" w:color="auto" w:fill="auto"/>
          </w:tcPr>
          <w:p w14:paraId="01F13157" w14:textId="77777777" w:rsidR="00203F72" w:rsidRPr="00A53581" w:rsidRDefault="00203F72" w:rsidP="00D87D91">
            <w:r w:rsidRPr="00A53581">
              <w:t>8.</w:t>
            </w:r>
            <w:r w:rsidRPr="00A53581">
              <w:t>行政組織系統之最高指揮權</w:t>
            </w:r>
          </w:p>
        </w:tc>
        <w:tc>
          <w:tcPr>
            <w:tcW w:w="3671" w:type="pct"/>
            <w:shd w:val="clear" w:color="auto" w:fill="auto"/>
          </w:tcPr>
          <w:p w14:paraId="1CFE7F68" w14:textId="77777777" w:rsidR="00203F72" w:rsidRPr="00A53581" w:rsidRDefault="00203F72" w:rsidP="00D87D91">
            <w:r w:rsidRPr="00A53581">
              <w:rPr>
                <w:rFonts w:hint="eastAsia"/>
              </w:rPr>
              <w:t>行政院既為國家最高行政機關，自有指揮監督所屬中央及地方各行政機關之權</w:t>
            </w:r>
            <w:r w:rsidRPr="00A53581">
              <w:rPr>
                <w:rFonts w:hint="eastAsia"/>
                <w:kern w:val="0"/>
              </w:rPr>
              <w:t>。</w:t>
            </w:r>
          </w:p>
        </w:tc>
      </w:tr>
      <w:tr w:rsidR="00203F72" w:rsidRPr="00A53581" w14:paraId="08B92743" w14:textId="77777777" w:rsidTr="006937CE">
        <w:tc>
          <w:tcPr>
            <w:tcW w:w="1329" w:type="pct"/>
            <w:shd w:val="clear" w:color="auto" w:fill="auto"/>
          </w:tcPr>
          <w:p w14:paraId="12199DF3" w14:textId="77777777" w:rsidR="00203F72" w:rsidRPr="00A53581" w:rsidRDefault="00203F72" w:rsidP="00D87D91">
            <w:r w:rsidRPr="00A53581">
              <w:t>9.</w:t>
            </w:r>
            <w:r w:rsidRPr="00A53581">
              <w:t>行政事項執行權</w:t>
            </w:r>
          </w:p>
        </w:tc>
        <w:tc>
          <w:tcPr>
            <w:tcW w:w="3671" w:type="pct"/>
            <w:shd w:val="clear" w:color="auto" w:fill="auto"/>
          </w:tcPr>
          <w:p w14:paraId="7BCD295F" w14:textId="77777777" w:rsidR="00203F72" w:rsidRPr="00A53581" w:rsidRDefault="00203F72" w:rsidP="00D87D91">
            <w:r w:rsidRPr="00A53581">
              <w:rPr>
                <w:rFonts w:hint="eastAsia"/>
              </w:rPr>
              <w:t>行政院之職權，除了具有國家行政事項之最高決策權外，更對於決策之事項有執行之權</w:t>
            </w:r>
            <w:r w:rsidRPr="00A53581">
              <w:rPr>
                <w:rFonts w:hint="eastAsia"/>
                <w:kern w:val="0"/>
              </w:rPr>
              <w:t>。</w:t>
            </w:r>
          </w:p>
        </w:tc>
      </w:tr>
    </w:tbl>
    <w:p w14:paraId="4223F1A8" w14:textId="77777777" w:rsidR="00953151" w:rsidRPr="00A5735A" w:rsidRDefault="00B76D62" w:rsidP="00D87D91">
      <w:r w:rsidRPr="00A5735A">
        <w:t>【本表資料來源】</w:t>
      </w:r>
      <w:r w:rsidR="00203F72" w:rsidRPr="00A5735A">
        <w:t>謝瑞智、謝世維</w:t>
      </w:r>
      <w:r w:rsidR="00203F72" w:rsidRPr="00A5735A">
        <w:t>(2010)</w:t>
      </w:r>
      <w:r w:rsidR="00203F72" w:rsidRPr="00A5735A">
        <w:t>，憲法概要，增訂</w:t>
      </w:r>
      <w:r w:rsidR="00203F72" w:rsidRPr="00A5735A">
        <w:t>14</w:t>
      </w:r>
      <w:r w:rsidR="00203F72" w:rsidRPr="00A5735A">
        <w:t>版，台北市：文笙書局，第</w:t>
      </w:r>
      <w:r w:rsidR="00203F72" w:rsidRPr="00A5735A">
        <w:t>187</w:t>
      </w:r>
      <w:r w:rsidR="00203F72" w:rsidRPr="00A5735A">
        <w:t>頁。</w:t>
      </w:r>
    </w:p>
    <w:p w14:paraId="77FA9C56" w14:textId="77777777" w:rsidR="00953151" w:rsidRPr="00A5735A" w:rsidRDefault="007F7377" w:rsidP="00D87D91">
      <w:r w:rsidRPr="00A5735A">
        <w:t xml:space="preserve">　　</w:t>
      </w:r>
      <w:r w:rsidR="00203F72" w:rsidRPr="00A5735A">
        <w:t>司法院釋字</w:t>
      </w:r>
      <w:hyperlink r:id="rId516" w:anchor="r329" w:history="1">
        <w:r w:rsidR="00203F72" w:rsidRPr="00A5735A">
          <w:rPr>
            <w:rStyle w:val="a5"/>
            <w:rFonts w:ascii="Times New Roman" w:hAnsi="Times New Roman"/>
          </w:rPr>
          <w:t>第</w:t>
        </w:r>
        <w:r w:rsidR="00203F72" w:rsidRPr="00A5735A">
          <w:rPr>
            <w:rStyle w:val="a5"/>
            <w:rFonts w:ascii="Times New Roman" w:hAnsi="Times New Roman"/>
          </w:rPr>
          <w:t>329</w:t>
        </w:r>
        <w:r w:rsidR="00203F72" w:rsidRPr="00A5735A">
          <w:rPr>
            <w:rStyle w:val="a5"/>
            <w:rFonts w:ascii="Times New Roman" w:hAnsi="Times New Roman"/>
          </w:rPr>
          <w:t>號</w:t>
        </w:r>
      </w:hyperlink>
      <w:r w:rsidR="00203F72" w:rsidRPr="00A5735A">
        <w:t>解釋理由書指出：「總統依憲法之規定，行使締結條約之權；行政院院長、各部會首長，須將應行提出於立法院之條約案提出於行政院會議議決之；立法院有議決條約案之權，憲法第</w:t>
      </w:r>
      <w:hyperlink r:id="rId517" w:anchor="a38" w:history="1">
        <w:r w:rsidR="00203F72" w:rsidRPr="00A5735A">
          <w:rPr>
            <w:rStyle w:val="a5"/>
            <w:rFonts w:ascii="Times New Roman" w:hAnsi="Times New Roman"/>
          </w:rPr>
          <w:t>三十八</w:t>
        </w:r>
      </w:hyperlink>
      <w:r w:rsidR="00203F72" w:rsidRPr="00A5735A">
        <w:t>條、</w:t>
      </w:r>
      <w:r w:rsidR="00B74A31" w:rsidRPr="00A5735A">
        <w:t>第</w:t>
      </w:r>
      <w:hyperlink r:id="rId518" w:anchor="a58" w:history="1">
        <w:r w:rsidR="00B74A31" w:rsidRPr="00A5735A">
          <w:rPr>
            <w:rStyle w:val="a5"/>
          </w:rPr>
          <w:t>五十八</w:t>
        </w:r>
      </w:hyperlink>
      <w:r w:rsidR="00B74A31" w:rsidRPr="00A5735A">
        <w:t>條</w:t>
      </w:r>
      <w:r w:rsidR="00203F72" w:rsidRPr="00A5735A">
        <w:t>第二項、</w:t>
      </w:r>
      <w:r w:rsidR="001B1539" w:rsidRPr="00A5735A">
        <w:t>第</w:t>
      </w:r>
      <w:hyperlink r:id="rId519" w:anchor="a63" w:history="1">
        <w:r w:rsidR="001B1539" w:rsidRPr="00A5735A">
          <w:rPr>
            <w:rStyle w:val="a5"/>
          </w:rPr>
          <w:t>六十三</w:t>
        </w:r>
      </w:hyperlink>
      <w:r w:rsidR="001B1539" w:rsidRPr="00A5735A">
        <w:t>條</w:t>
      </w:r>
      <w:r w:rsidR="00203F72" w:rsidRPr="00A5735A">
        <w:t>分別定有明文。依上述規定所締結之條約，其位階同於法律。故憲法所稱之條約，係指我國（包括主管機關授權之機構或團體）與其他國家（包括其授權之機關或團體）或國際組織所締結之國際書面協定，名稱用條約或公約者，或用協定等其他名稱而其內容直接涉及國防、外交、財政、經濟等之國家重要事項或直接涉及人民之權利義務且具有法律上效力者而言。其中名稱為條約或公約或用協定等名稱而附有批准條款者，當然應送立法院審議，其餘國際書面協定，除經法律授權或事先經立法院同意簽訂，或其內容與國內法律相同（例如協定內容係重複法律之規定，或已將協定內容訂定於法律）者外，亦應送立法院審議。其無須送立法院審議之國際書面協定，以及其他由主管機關或其授權之機構或團體簽訂而不屬於條約案之協定，應</w:t>
      </w:r>
      <w:r w:rsidR="003E240E">
        <w:t>視</w:t>
      </w:r>
      <w:r w:rsidR="00203F72" w:rsidRPr="00A5735A">
        <w:t>其性質，由主管機關依訂定法規之程序，或一般行政程序處理。外交部所訂之「條約及協定處理準則」，應依本解釋意旨修正之，乃屬當然。至條約案內容涉及領土變更者，並應依憲法</w:t>
      </w:r>
      <w:hyperlink r:id="rId520" w:anchor="a4" w:history="1">
        <w:r w:rsidR="001B1539" w:rsidRPr="00A5735A">
          <w:rPr>
            <w:rStyle w:val="a5"/>
          </w:rPr>
          <w:t>第四條</w:t>
        </w:r>
      </w:hyperlink>
      <w:r w:rsidR="00203F72" w:rsidRPr="00A5735A">
        <w:t>之規定，由國民大會議決之。而臺灣地區與大陸地區間訂定之協議，因非本解釋所稱之國際書面協定，應否送請立法院審議，不在本件解釋之範圍，併此說明。」</w:t>
      </w:r>
    </w:p>
    <w:p w14:paraId="644C7511" w14:textId="77777777" w:rsidR="00953151" w:rsidRPr="00A5735A" w:rsidRDefault="007F7377" w:rsidP="00D87D91">
      <w:r w:rsidRPr="00A5735A">
        <w:t xml:space="preserve">　　</w:t>
      </w:r>
      <w:r w:rsidR="00203F72" w:rsidRPr="00A5735A">
        <w:t>因之，內容涉及國防、外交、財政、經濟等之國家重要事項，或直接涉及人民之權利義務且具有法律上效力之締結條約及宣戰、媾和案，關係重大，影響國家致劇，為防總統獨斷思慮不周，須經行行政院會議決議，立法院通過，總統始可以行使締結條約及宣戰、媾和之權，並非總統個人可以單獨片面自行為之。</w:t>
      </w:r>
    </w:p>
    <w:p w14:paraId="643407AF" w14:textId="77777777" w:rsidR="00953151" w:rsidRDefault="00076467" w:rsidP="00767F37">
      <w:pPr>
        <w:pStyle w:val="2"/>
      </w:pPr>
      <w:hyperlink r:id="rId521" w:anchor="a39" w:history="1">
        <w:r w:rsidR="005D5A46">
          <w:rPr>
            <w:rStyle w:val="a5"/>
            <w:rFonts w:ascii="Arial Unicode MS" w:hAnsi="Arial Unicode MS"/>
          </w:rPr>
          <w:t>第</w:t>
        </w:r>
        <w:r w:rsidR="00203F72" w:rsidRPr="001B53A5">
          <w:rPr>
            <w:rStyle w:val="a5"/>
            <w:rFonts w:ascii="Arial Unicode MS" w:hAnsi="Arial Unicode MS"/>
          </w:rPr>
          <w:t>39</w:t>
        </w:r>
        <w:r w:rsidR="005D5A46">
          <w:rPr>
            <w:rStyle w:val="a5"/>
            <w:rFonts w:ascii="Arial Unicode MS" w:hAnsi="Arial Unicode MS"/>
          </w:rPr>
          <w:t>條</w:t>
        </w:r>
      </w:hyperlink>
      <w:r w:rsidR="00203F72" w:rsidRPr="00A53581">
        <w:t>總統依法宣佈戒嚴，但須經立法院之通過或追認。立法院認為必要時，得決議移請總統解嚴。</w:t>
      </w:r>
    </w:p>
    <w:p w14:paraId="3B179DBD" w14:textId="77777777" w:rsidR="00953151" w:rsidRDefault="00B03E84" w:rsidP="00D87D91">
      <w:r>
        <w:t>【內容解析】</w:t>
      </w:r>
    </w:p>
    <w:p w14:paraId="140B3B59" w14:textId="77777777" w:rsidR="00953151" w:rsidRPr="00306E89" w:rsidRDefault="007F7377" w:rsidP="00D87D91">
      <w:r w:rsidRPr="00306E89">
        <w:t xml:space="preserve">　　</w:t>
      </w:r>
      <w:r w:rsidR="00203F72" w:rsidRPr="00306E89">
        <w:t>戰爭或叛亂發生，為了顧及人民生存社會安定國家存亡，總統得於全國或某一地域宣佈戒嚴，實施軍事管制，限制人民權益。但依憲法</w:t>
      </w:r>
      <w:hyperlink r:id="rId522" w:anchor="a58" w:history="1">
        <w:r w:rsidR="00203F72" w:rsidRPr="00306E89">
          <w:rPr>
            <w:rStyle w:val="a5"/>
          </w:rPr>
          <w:t>第58條</w:t>
        </w:r>
      </w:hyperlink>
      <w:r w:rsidR="00203F72" w:rsidRPr="00306E89">
        <w:t>規定應提出於行政院會議議決之，另依憲法</w:t>
      </w:r>
      <w:hyperlink r:id="rId523" w:anchor="a63" w:history="1">
        <w:r w:rsidR="00203F72" w:rsidRPr="00306E89">
          <w:rPr>
            <w:rStyle w:val="a5"/>
          </w:rPr>
          <w:t>第63條</w:t>
        </w:r>
      </w:hyperlink>
      <w:r w:rsidR="00203F72" w:rsidRPr="00306E89">
        <w:t>之規定，須交由立法院議決。故戒嚴須經行政院會議決議，立法院通過後，總統始可對外宣佈實施。但戒嚴原因消滅時，總統應宣佈解嚴，立法院認為有必要解除戒嚴，也得以決議移請總統解嚴。</w:t>
      </w:r>
    </w:p>
    <w:p w14:paraId="0DF07716" w14:textId="77777777" w:rsidR="00306E89" w:rsidRDefault="00306E89" w:rsidP="00D87D91"/>
    <w:p w14:paraId="5D1551D8" w14:textId="3B727D58" w:rsidR="00203F72" w:rsidRPr="00306E89" w:rsidRDefault="00B03E84" w:rsidP="00D87D91">
      <w:r w:rsidRPr="00306E89">
        <w:t>【</w:t>
      </w:r>
      <w:r w:rsidRPr="00306E89">
        <w:t>table</w:t>
      </w:r>
      <w:r w:rsidR="005E23E3" w:rsidRPr="00306E8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33</w:t>
      </w:r>
      <w:r w:rsidR="00076467">
        <w:rPr>
          <w:noProof/>
        </w:rPr>
        <w:fldChar w:fldCharType="end"/>
      </w:r>
      <w:r w:rsidR="00203F72" w:rsidRPr="00306E89">
        <w:t>「戒嚴令」與「緊急命令」之區辨比較表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4001"/>
        <w:gridCol w:w="2666"/>
      </w:tblGrid>
      <w:tr w:rsidR="00203F72" w:rsidRPr="00A53581" w14:paraId="1324C0E9" w14:textId="77777777" w:rsidTr="006937CE">
        <w:trPr>
          <w:trHeight w:val="661"/>
          <w:tblHeader/>
        </w:trPr>
        <w:tc>
          <w:tcPr>
            <w:tcW w:w="874" w:type="pct"/>
            <w:tcBorders>
              <w:tl2br w:val="single" w:sz="4" w:space="0" w:color="auto"/>
            </w:tcBorders>
            <w:shd w:val="clear" w:color="auto" w:fill="FAF0FA"/>
          </w:tcPr>
          <w:p w14:paraId="15F1B6EB" w14:textId="77777777" w:rsidR="00203F72" w:rsidRPr="00A53581" w:rsidRDefault="00203F72" w:rsidP="00D87D91">
            <w:r w:rsidRPr="00A53581">
              <w:t>名稱</w:t>
            </w:r>
          </w:p>
          <w:p w14:paraId="75031AFA" w14:textId="77777777" w:rsidR="00203F72" w:rsidRPr="00A53581" w:rsidRDefault="00203F72" w:rsidP="00D87D91">
            <w:r w:rsidRPr="00A53581">
              <w:t xml:space="preserve">項目　　</w:t>
            </w:r>
          </w:p>
        </w:tc>
        <w:tc>
          <w:tcPr>
            <w:tcW w:w="2476" w:type="pct"/>
            <w:shd w:val="clear" w:color="auto" w:fill="FAF0FA"/>
            <w:vAlign w:val="center"/>
          </w:tcPr>
          <w:p w14:paraId="132EDF36" w14:textId="77777777" w:rsidR="00203F72" w:rsidRPr="00A53581" w:rsidRDefault="00203F72" w:rsidP="00D87D91">
            <w:r w:rsidRPr="00A53581">
              <w:t>戒嚴令</w:t>
            </w:r>
          </w:p>
        </w:tc>
        <w:tc>
          <w:tcPr>
            <w:tcW w:w="1650" w:type="pct"/>
            <w:shd w:val="clear" w:color="auto" w:fill="FAF0FA"/>
            <w:vAlign w:val="center"/>
          </w:tcPr>
          <w:p w14:paraId="0835CDCC" w14:textId="77777777" w:rsidR="00203F72" w:rsidRPr="00A53581" w:rsidRDefault="00203F72" w:rsidP="00D87D91">
            <w:r w:rsidRPr="00A53581">
              <w:t>緊急命令</w:t>
            </w:r>
          </w:p>
        </w:tc>
      </w:tr>
      <w:tr w:rsidR="00203F72" w:rsidRPr="00A53581" w14:paraId="053C55AD" w14:textId="77777777" w:rsidTr="006937CE">
        <w:tc>
          <w:tcPr>
            <w:tcW w:w="874" w:type="pct"/>
            <w:shd w:val="clear" w:color="auto" w:fill="auto"/>
          </w:tcPr>
          <w:p w14:paraId="04096E29" w14:textId="77777777" w:rsidR="00203F72" w:rsidRPr="00A53581" w:rsidRDefault="00203F72" w:rsidP="00D87D91">
            <w:r w:rsidRPr="00A53581">
              <w:t>發布依據</w:t>
            </w:r>
          </w:p>
        </w:tc>
        <w:tc>
          <w:tcPr>
            <w:tcW w:w="2476" w:type="pct"/>
            <w:shd w:val="clear" w:color="auto" w:fill="auto"/>
          </w:tcPr>
          <w:p w14:paraId="78D3C141" w14:textId="77777777" w:rsidR="00203F72" w:rsidRPr="00A53581" w:rsidRDefault="00203F72" w:rsidP="00D87D91">
            <w:r w:rsidRPr="00A53581">
              <w:t>戒嚴法</w:t>
            </w:r>
          </w:p>
        </w:tc>
        <w:tc>
          <w:tcPr>
            <w:tcW w:w="1650" w:type="pct"/>
            <w:shd w:val="clear" w:color="auto" w:fill="auto"/>
          </w:tcPr>
          <w:p w14:paraId="6EA9DAD0" w14:textId="77777777" w:rsidR="00203F72" w:rsidRPr="00A53581" w:rsidRDefault="00203F72" w:rsidP="00D87D91">
            <w:pPr>
              <w:rPr>
                <w:rFonts w:ascii="新細明體" w:hAnsi="新細明體"/>
              </w:rPr>
            </w:pPr>
            <w:r w:rsidRPr="00A53581">
              <w:rPr>
                <w:rFonts w:ascii="新細明體" w:hAnsi="新細明體"/>
              </w:rPr>
              <w:t>憲法增修條</w:t>
            </w:r>
            <w:r w:rsidR="001B1539" w:rsidRPr="001B1539">
              <w:t>文</w:t>
            </w:r>
            <w:hyperlink r:id="rId524"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Pr="00A53581">
              <w:rPr>
                <w:rFonts w:ascii="新細明體" w:hAnsi="新細明體"/>
              </w:rPr>
              <w:t>第3項(我國目前尚未制定緊急命令法)</w:t>
            </w:r>
          </w:p>
        </w:tc>
      </w:tr>
      <w:tr w:rsidR="00203F72" w:rsidRPr="00A53581" w14:paraId="624DEBCE" w14:textId="77777777" w:rsidTr="006937CE">
        <w:tc>
          <w:tcPr>
            <w:tcW w:w="874" w:type="pct"/>
            <w:shd w:val="clear" w:color="auto" w:fill="auto"/>
          </w:tcPr>
          <w:p w14:paraId="76AF87EA" w14:textId="77777777" w:rsidR="00203F72" w:rsidRPr="00A53581" w:rsidRDefault="00203F72" w:rsidP="00D87D91">
            <w:r w:rsidRPr="00A53581">
              <w:t>發布原因</w:t>
            </w:r>
          </w:p>
        </w:tc>
        <w:tc>
          <w:tcPr>
            <w:tcW w:w="2476" w:type="pct"/>
            <w:shd w:val="clear" w:color="auto" w:fill="auto"/>
          </w:tcPr>
          <w:p w14:paraId="46FE1372" w14:textId="77777777" w:rsidR="00203F72" w:rsidRPr="00A53581" w:rsidRDefault="00203F72" w:rsidP="00D87D91">
            <w:r w:rsidRPr="00A53581">
              <w:t>國家正值戰爭、內亂或特別事變、情勢緊急時</w:t>
            </w:r>
          </w:p>
        </w:tc>
        <w:tc>
          <w:tcPr>
            <w:tcW w:w="1650" w:type="pct"/>
            <w:shd w:val="clear" w:color="auto" w:fill="auto"/>
          </w:tcPr>
          <w:p w14:paraId="1C3CC493" w14:textId="77777777" w:rsidR="00203F72" w:rsidRPr="00A53581" w:rsidRDefault="00203F72" w:rsidP="00D87D91">
            <w:r w:rsidRPr="00A53581">
              <w:t>總統為避免國家或人民遭遇緊急危難或應付財政經濟上重大變故，須為緊急處理時</w:t>
            </w:r>
          </w:p>
        </w:tc>
      </w:tr>
      <w:tr w:rsidR="00203F72" w:rsidRPr="00A53581" w14:paraId="11EE5D43" w14:textId="77777777" w:rsidTr="006937CE">
        <w:tc>
          <w:tcPr>
            <w:tcW w:w="874" w:type="pct"/>
            <w:shd w:val="clear" w:color="auto" w:fill="auto"/>
          </w:tcPr>
          <w:p w14:paraId="625C24B6" w14:textId="77777777" w:rsidR="00203F72" w:rsidRPr="00A53581" w:rsidRDefault="00203F72" w:rsidP="00D87D91">
            <w:r w:rsidRPr="00A53581">
              <w:t>發布時期</w:t>
            </w:r>
          </w:p>
        </w:tc>
        <w:tc>
          <w:tcPr>
            <w:tcW w:w="2476" w:type="pct"/>
            <w:shd w:val="clear" w:color="auto" w:fill="auto"/>
          </w:tcPr>
          <w:p w14:paraId="03F94305" w14:textId="77777777" w:rsidR="00203F72" w:rsidRPr="00A53581" w:rsidRDefault="00203F72" w:rsidP="00D87D91">
            <w:r w:rsidRPr="00A53581">
              <w:t>立法院集會或休會期間，可發布</w:t>
            </w:r>
          </w:p>
        </w:tc>
        <w:tc>
          <w:tcPr>
            <w:tcW w:w="1650" w:type="pct"/>
            <w:shd w:val="clear" w:color="auto" w:fill="auto"/>
          </w:tcPr>
          <w:p w14:paraId="0C8CD5AF" w14:textId="77777777" w:rsidR="00203F72" w:rsidRPr="00A53581" w:rsidRDefault="00203F72" w:rsidP="00D87D91">
            <w:r w:rsidRPr="00A53581">
              <w:t>立法院集會或休會期間均可發布</w:t>
            </w:r>
          </w:p>
        </w:tc>
      </w:tr>
      <w:tr w:rsidR="00203F72" w:rsidRPr="00A53581" w14:paraId="66F415AE" w14:textId="77777777" w:rsidTr="006937CE">
        <w:tc>
          <w:tcPr>
            <w:tcW w:w="874" w:type="pct"/>
            <w:shd w:val="clear" w:color="auto" w:fill="auto"/>
          </w:tcPr>
          <w:p w14:paraId="007CA025" w14:textId="77777777" w:rsidR="00203F72" w:rsidRPr="00A53581" w:rsidRDefault="00203F72" w:rsidP="00D87D91">
            <w:r w:rsidRPr="00A53581">
              <w:t>發布程序</w:t>
            </w:r>
          </w:p>
        </w:tc>
        <w:tc>
          <w:tcPr>
            <w:tcW w:w="2476" w:type="pct"/>
            <w:shd w:val="clear" w:color="auto" w:fill="auto"/>
          </w:tcPr>
          <w:p w14:paraId="481865E3" w14:textId="77777777" w:rsidR="00203F72" w:rsidRPr="00A53581" w:rsidRDefault="00203F72" w:rsidP="00D87D91">
            <w:r w:rsidRPr="00A53581">
              <w:t>須經行政院會議議決，並經立法院通過或追認</w:t>
            </w:r>
          </w:p>
        </w:tc>
        <w:tc>
          <w:tcPr>
            <w:tcW w:w="1650" w:type="pct"/>
            <w:shd w:val="clear" w:color="auto" w:fill="auto"/>
          </w:tcPr>
          <w:p w14:paraId="6B098304" w14:textId="77777777" w:rsidR="00203F72" w:rsidRPr="00A53581" w:rsidRDefault="00203F72" w:rsidP="00D87D91">
            <w:r w:rsidRPr="00A53581">
              <w:t>得經行政院會議議決發布之，但須於發布後</w:t>
            </w:r>
            <w:r w:rsidRPr="00A53581">
              <w:t>10</w:t>
            </w:r>
            <w:r w:rsidRPr="00A53581">
              <w:t>日內提交立法院追認</w:t>
            </w:r>
          </w:p>
        </w:tc>
      </w:tr>
      <w:tr w:rsidR="00203F72" w:rsidRPr="00A53581" w14:paraId="4761134B" w14:textId="77777777" w:rsidTr="006937CE">
        <w:tc>
          <w:tcPr>
            <w:tcW w:w="874" w:type="pct"/>
            <w:shd w:val="clear" w:color="auto" w:fill="auto"/>
          </w:tcPr>
          <w:p w14:paraId="3CF09D56" w14:textId="77777777" w:rsidR="00203F72" w:rsidRPr="00A53581" w:rsidRDefault="00203F72" w:rsidP="00D87D91">
            <w:r w:rsidRPr="00A53581">
              <w:t>效力</w:t>
            </w:r>
          </w:p>
        </w:tc>
        <w:tc>
          <w:tcPr>
            <w:tcW w:w="2476" w:type="pct"/>
            <w:shd w:val="clear" w:color="auto" w:fill="auto"/>
          </w:tcPr>
          <w:p w14:paraId="75D0C002" w14:textId="77777777" w:rsidR="00203F72" w:rsidRPr="00A53581" w:rsidRDefault="00203F72" w:rsidP="00D87D91">
            <w:r w:rsidRPr="00A53581">
              <w:t>戒嚴令發布後，在戒嚴區內，行政及司法權均受當地最高軍事長官指揮掌管。並得停止或限制人民各種自由及權利。立法院認為必要時，得以決議，移請總統解嚴</w:t>
            </w:r>
          </w:p>
        </w:tc>
        <w:tc>
          <w:tcPr>
            <w:tcW w:w="1650" w:type="pct"/>
            <w:shd w:val="clear" w:color="auto" w:fill="auto"/>
          </w:tcPr>
          <w:p w14:paraId="64630FC6" w14:textId="77777777" w:rsidR="00203F72" w:rsidRPr="00A53581" w:rsidRDefault="00203F72" w:rsidP="00D87D91">
            <w:r w:rsidRPr="00A53581">
              <w:t>緊急命令發布後足以停止或變更以前之法律，並應於發布後</w:t>
            </w:r>
            <w:r w:rsidRPr="00A53581">
              <w:t>10</w:t>
            </w:r>
            <w:r w:rsidRPr="00A53581">
              <w:t>日內提交立法院追認，如立法院不同意時，該緊急命令立即失效</w:t>
            </w:r>
          </w:p>
        </w:tc>
      </w:tr>
    </w:tbl>
    <w:p w14:paraId="722E0174" w14:textId="77777777" w:rsidR="00953151" w:rsidRDefault="002107CE" w:rsidP="00D87D91">
      <w:r>
        <w:t>【本表格資料來源】</w:t>
      </w:r>
      <w:r w:rsidR="00203F72" w:rsidRPr="00A53581">
        <w:t>洪嘉仁、王士榮、張若霖、廖瓊樅</w:t>
      </w:r>
      <w:r w:rsidR="00203F72" w:rsidRPr="00A53581">
        <w:t>(2011)</w:t>
      </w:r>
      <w:r w:rsidR="00203F72" w:rsidRPr="00A53581">
        <w:t>，憲法與立國精神，初版，台北：高立，第</w:t>
      </w:r>
      <w:r w:rsidR="00203F72" w:rsidRPr="00A53581">
        <w:t>132</w:t>
      </w:r>
      <w:r w:rsidR="00203F72" w:rsidRPr="00A53581">
        <w:t>頁</w:t>
      </w:r>
      <w:r w:rsidR="00545D58">
        <w:t>。</w:t>
      </w:r>
    </w:p>
    <w:p w14:paraId="69FABDD8" w14:textId="77777777" w:rsidR="00953151" w:rsidRDefault="00076467" w:rsidP="00767F37">
      <w:pPr>
        <w:pStyle w:val="2"/>
      </w:pPr>
      <w:hyperlink r:id="rId525" w:anchor="a40" w:history="1">
        <w:r w:rsidR="005D5A46">
          <w:rPr>
            <w:rStyle w:val="a5"/>
            <w:rFonts w:ascii="Arial Unicode MS" w:hAnsi="Arial Unicode MS"/>
          </w:rPr>
          <w:t>第</w:t>
        </w:r>
        <w:r w:rsidR="00203F72" w:rsidRPr="001B53A5">
          <w:rPr>
            <w:rStyle w:val="a5"/>
            <w:rFonts w:ascii="Arial Unicode MS" w:hAnsi="Arial Unicode MS"/>
          </w:rPr>
          <w:t>40</w:t>
        </w:r>
        <w:r w:rsidR="005D5A46">
          <w:rPr>
            <w:rStyle w:val="a5"/>
            <w:rFonts w:ascii="Arial Unicode MS" w:hAnsi="Arial Unicode MS"/>
          </w:rPr>
          <w:t>條</w:t>
        </w:r>
      </w:hyperlink>
      <w:r w:rsidR="00203F72" w:rsidRPr="00A53581">
        <w:t>總統依法行使大赦、特赦、減刑及復權之權。</w:t>
      </w:r>
    </w:p>
    <w:p w14:paraId="5351E74D" w14:textId="77777777" w:rsidR="00953151" w:rsidRPr="00456F6D" w:rsidRDefault="00B03E84" w:rsidP="00D87D91">
      <w:r w:rsidRPr="00456F6D">
        <w:t>【內容解析】</w:t>
      </w:r>
    </w:p>
    <w:p w14:paraId="08235B07" w14:textId="77777777" w:rsidR="00953151" w:rsidRDefault="007F7377" w:rsidP="00D87D91">
      <w:r w:rsidRPr="00456F6D">
        <w:t xml:space="preserve">　　</w:t>
      </w:r>
      <w:r w:rsidR="00203F72" w:rsidRPr="00456F6D">
        <w:t>此為總統在司法上之職權，赦免權是一種司法上之救濟方式，目的在讓犯人有改過自新之機會，大赦是指國家對於某一時期，某一種類之全體犯人，不為刑罰之追訴或執行，使犯罪歸於消滅</w:t>
      </w:r>
      <w:r w:rsidR="00203F72" w:rsidRPr="00456F6D">
        <w:footnoteReference w:id="67"/>
      </w:r>
      <w:r w:rsidR="00203F72" w:rsidRPr="00456F6D">
        <w:t>。赦免</w:t>
      </w:r>
      <w:r w:rsidR="00687BCD" w:rsidRPr="00456F6D">
        <w:t>法</w:t>
      </w:r>
      <w:hyperlink r:id="rId526" w:anchor="a2" w:history="1">
        <w:r w:rsidR="00687BCD" w:rsidRPr="00456F6D">
          <w:rPr>
            <w:rStyle w:val="a5"/>
          </w:rPr>
          <w:t>第2條</w:t>
        </w:r>
      </w:hyperlink>
      <w:r w:rsidR="00203F72" w:rsidRPr="00456F6D">
        <w:t>規定，大赦之效力如左：一</w:t>
      </w:r>
      <w:r w:rsidR="00203F72" w:rsidRPr="00456F6D">
        <w:t xml:space="preserve"> </w:t>
      </w:r>
      <w:r w:rsidR="00203F72" w:rsidRPr="00456F6D">
        <w:t>已受罪刑之宣告者，其宣告為無效。二</w:t>
      </w:r>
      <w:r w:rsidR="00203F72" w:rsidRPr="00456F6D">
        <w:t xml:space="preserve"> </w:t>
      </w:r>
      <w:r w:rsidR="00203F72" w:rsidRPr="00456F6D">
        <w:t>未受罪刑之宣告者，其追訴權消滅。</w:t>
      </w:r>
    </w:p>
    <w:p w14:paraId="4F67DE27" w14:textId="77777777" w:rsidR="006937CE" w:rsidRPr="00456F6D" w:rsidRDefault="006937CE" w:rsidP="00D87D91"/>
    <w:p w14:paraId="5EC26A5D" w14:textId="2626697B" w:rsidR="00203F72" w:rsidRPr="00456F6D" w:rsidRDefault="00B03E84" w:rsidP="00D87D91">
      <w:r w:rsidRPr="00456F6D">
        <w:t>【</w:t>
      </w:r>
      <w:r w:rsidRPr="00456F6D">
        <w:t>table</w:t>
      </w:r>
      <w:r w:rsidR="005E23E3" w:rsidRPr="00456F6D">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34</w:t>
      </w:r>
      <w:r w:rsidR="00076467">
        <w:rPr>
          <w:noProof/>
        </w:rPr>
        <w:fldChar w:fldCharType="end"/>
      </w:r>
      <w:r w:rsidR="00203F72" w:rsidRPr="00456F6D">
        <w:t>大赦、特赦、減刑與復權之差異比較表</w:t>
      </w:r>
    </w:p>
    <w:tbl>
      <w:tblPr>
        <w:tblW w:w="467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873"/>
        <w:gridCol w:w="1700"/>
        <w:gridCol w:w="1700"/>
        <w:gridCol w:w="1530"/>
      </w:tblGrid>
      <w:tr w:rsidR="00203F72" w:rsidRPr="00A53581" w14:paraId="4556D202" w14:textId="77777777" w:rsidTr="006937CE">
        <w:trPr>
          <w:trHeight w:val="1056"/>
          <w:tblHeader/>
        </w:trPr>
        <w:tc>
          <w:tcPr>
            <w:tcW w:w="714" w:type="pct"/>
            <w:tcBorders>
              <w:tl2br w:val="single" w:sz="4" w:space="0" w:color="auto"/>
            </w:tcBorders>
            <w:shd w:val="clear" w:color="auto" w:fill="FAF0FA"/>
          </w:tcPr>
          <w:p w14:paraId="637756B6" w14:textId="77777777" w:rsidR="00953151" w:rsidRDefault="00203F72" w:rsidP="00D87D91">
            <w:r w:rsidRPr="00A53581">
              <w:t>種類</w:t>
            </w:r>
          </w:p>
          <w:p w14:paraId="744677A7" w14:textId="77777777" w:rsidR="00203F72" w:rsidRPr="00A53581" w:rsidRDefault="00203F72" w:rsidP="00D87D91">
            <w:r w:rsidRPr="00A53581">
              <w:t>項目</w:t>
            </w:r>
          </w:p>
        </w:tc>
        <w:tc>
          <w:tcPr>
            <w:tcW w:w="1180" w:type="pct"/>
            <w:shd w:val="clear" w:color="auto" w:fill="FAF0FA"/>
          </w:tcPr>
          <w:p w14:paraId="4E694551" w14:textId="77777777" w:rsidR="00203F72" w:rsidRPr="00A53581" w:rsidRDefault="00203F72" w:rsidP="00D87D91">
            <w:r w:rsidRPr="00A53581">
              <w:t>大赦</w:t>
            </w:r>
          </w:p>
        </w:tc>
        <w:tc>
          <w:tcPr>
            <w:tcW w:w="1071" w:type="pct"/>
            <w:shd w:val="clear" w:color="auto" w:fill="FAF0FA"/>
          </w:tcPr>
          <w:p w14:paraId="379513CF" w14:textId="77777777" w:rsidR="00203F72" w:rsidRPr="00A53581" w:rsidRDefault="00203F72" w:rsidP="00D87D91">
            <w:r w:rsidRPr="00A53581">
              <w:t>特赦</w:t>
            </w:r>
          </w:p>
        </w:tc>
        <w:tc>
          <w:tcPr>
            <w:tcW w:w="1071" w:type="pct"/>
            <w:shd w:val="clear" w:color="auto" w:fill="FAF0FA"/>
          </w:tcPr>
          <w:p w14:paraId="6D25CECD" w14:textId="77777777" w:rsidR="00203F72" w:rsidRPr="00A53581" w:rsidRDefault="00203F72" w:rsidP="00D87D91">
            <w:r w:rsidRPr="00A53581">
              <w:t>減刑</w:t>
            </w:r>
          </w:p>
        </w:tc>
        <w:tc>
          <w:tcPr>
            <w:tcW w:w="965" w:type="pct"/>
            <w:shd w:val="clear" w:color="auto" w:fill="FAF0FA"/>
          </w:tcPr>
          <w:p w14:paraId="5E7B902C" w14:textId="77777777" w:rsidR="00203F72" w:rsidRPr="00A53581" w:rsidRDefault="00203F72" w:rsidP="00D87D91">
            <w:r w:rsidRPr="00A53581">
              <w:t>復權</w:t>
            </w:r>
          </w:p>
        </w:tc>
      </w:tr>
      <w:tr w:rsidR="00203F72" w:rsidRPr="00A53581" w14:paraId="1EE88737" w14:textId="77777777" w:rsidTr="006937CE">
        <w:tc>
          <w:tcPr>
            <w:tcW w:w="714" w:type="pct"/>
            <w:shd w:val="clear" w:color="auto" w:fill="auto"/>
          </w:tcPr>
          <w:p w14:paraId="2EC37164" w14:textId="77777777" w:rsidR="00203F72" w:rsidRPr="00A53581" w:rsidRDefault="00203F72" w:rsidP="00D87D91">
            <w:r w:rsidRPr="00A53581">
              <w:t>對象</w:t>
            </w:r>
          </w:p>
        </w:tc>
        <w:tc>
          <w:tcPr>
            <w:tcW w:w="1180" w:type="pct"/>
            <w:shd w:val="clear" w:color="auto" w:fill="auto"/>
          </w:tcPr>
          <w:p w14:paraId="1AE1DAED" w14:textId="77777777" w:rsidR="00203F72" w:rsidRPr="00A53581" w:rsidRDefault="00203F72" w:rsidP="00D87D91">
            <w:r w:rsidRPr="00A53581">
              <w:t>一般犯人</w:t>
            </w:r>
          </w:p>
        </w:tc>
        <w:tc>
          <w:tcPr>
            <w:tcW w:w="1071" w:type="pct"/>
            <w:shd w:val="clear" w:color="auto" w:fill="auto"/>
          </w:tcPr>
          <w:p w14:paraId="65988884" w14:textId="77777777" w:rsidR="00203F72" w:rsidRPr="00A53581" w:rsidRDefault="00203F72" w:rsidP="00D87D91">
            <w:r w:rsidRPr="00A53581">
              <w:t>特定犯人</w:t>
            </w:r>
          </w:p>
        </w:tc>
        <w:tc>
          <w:tcPr>
            <w:tcW w:w="1071" w:type="pct"/>
            <w:shd w:val="clear" w:color="auto" w:fill="auto"/>
          </w:tcPr>
          <w:p w14:paraId="27BA28AA" w14:textId="77777777" w:rsidR="00203F72" w:rsidRPr="00A53581" w:rsidRDefault="00203F72" w:rsidP="00D87D91">
            <w:r w:rsidRPr="00A53581">
              <w:t>某種犯罪之一般人犯或特定人犯</w:t>
            </w:r>
          </w:p>
        </w:tc>
        <w:tc>
          <w:tcPr>
            <w:tcW w:w="965" w:type="pct"/>
            <w:shd w:val="clear" w:color="auto" w:fill="auto"/>
          </w:tcPr>
          <w:p w14:paraId="2BB6CD23" w14:textId="77777777" w:rsidR="00203F72" w:rsidRPr="00A53581" w:rsidRDefault="00203F72" w:rsidP="00D87D91">
            <w:r w:rsidRPr="00A53581">
              <w:t>被褫奪公權之一般人犯或特定人犯</w:t>
            </w:r>
          </w:p>
        </w:tc>
      </w:tr>
      <w:tr w:rsidR="00203F72" w:rsidRPr="00A53581" w14:paraId="1465E9AC" w14:textId="77777777" w:rsidTr="006937CE">
        <w:tc>
          <w:tcPr>
            <w:tcW w:w="714" w:type="pct"/>
            <w:shd w:val="clear" w:color="auto" w:fill="auto"/>
          </w:tcPr>
          <w:p w14:paraId="5998181A" w14:textId="77777777" w:rsidR="00203F72" w:rsidRPr="00A53581" w:rsidRDefault="00203F72" w:rsidP="00D87D91">
            <w:r w:rsidRPr="00A53581">
              <w:t>範圍</w:t>
            </w:r>
          </w:p>
        </w:tc>
        <w:tc>
          <w:tcPr>
            <w:tcW w:w="1180" w:type="pct"/>
            <w:shd w:val="clear" w:color="auto" w:fill="auto"/>
          </w:tcPr>
          <w:p w14:paraId="3AE19675" w14:textId="77777777" w:rsidR="00203F72" w:rsidRPr="00A53581" w:rsidRDefault="00203F72" w:rsidP="00D87D91">
            <w:r w:rsidRPr="00A53581">
              <w:t>判決前後均可</w:t>
            </w:r>
          </w:p>
        </w:tc>
        <w:tc>
          <w:tcPr>
            <w:tcW w:w="1071" w:type="pct"/>
            <w:shd w:val="clear" w:color="auto" w:fill="auto"/>
          </w:tcPr>
          <w:p w14:paraId="7B55C763" w14:textId="77777777" w:rsidR="00203F72" w:rsidRPr="00A53581" w:rsidRDefault="00203F72" w:rsidP="00D87D91">
            <w:r w:rsidRPr="00A53581">
              <w:t>判決確定後</w:t>
            </w:r>
          </w:p>
        </w:tc>
        <w:tc>
          <w:tcPr>
            <w:tcW w:w="1071" w:type="pct"/>
            <w:shd w:val="clear" w:color="auto" w:fill="auto"/>
          </w:tcPr>
          <w:p w14:paraId="24CF2CB5" w14:textId="77777777" w:rsidR="00203F72" w:rsidRPr="00A53581" w:rsidRDefault="00203F72" w:rsidP="00D87D91">
            <w:r w:rsidRPr="00A53581">
              <w:t>判決確定後或執行時</w:t>
            </w:r>
          </w:p>
        </w:tc>
        <w:tc>
          <w:tcPr>
            <w:tcW w:w="965" w:type="pct"/>
            <w:shd w:val="clear" w:color="auto" w:fill="auto"/>
          </w:tcPr>
          <w:p w14:paraId="3AF2EC74" w14:textId="77777777" w:rsidR="00203F72" w:rsidRPr="00A53581" w:rsidRDefault="00203F72" w:rsidP="00D87D91">
            <w:r w:rsidRPr="00A53581">
              <w:t>於刑期屆滿或因大赦、特赦、減刑後</w:t>
            </w:r>
          </w:p>
        </w:tc>
      </w:tr>
      <w:tr w:rsidR="00203F72" w:rsidRPr="00A53581" w14:paraId="082FD242" w14:textId="77777777" w:rsidTr="006937CE">
        <w:tc>
          <w:tcPr>
            <w:tcW w:w="714" w:type="pct"/>
            <w:shd w:val="clear" w:color="auto" w:fill="auto"/>
          </w:tcPr>
          <w:p w14:paraId="24C2228F" w14:textId="77777777" w:rsidR="00203F72" w:rsidRPr="00A53581" w:rsidRDefault="00203F72" w:rsidP="00D87D91">
            <w:r w:rsidRPr="00A53581">
              <w:t>效力</w:t>
            </w:r>
          </w:p>
        </w:tc>
        <w:tc>
          <w:tcPr>
            <w:tcW w:w="1180" w:type="pct"/>
            <w:shd w:val="clear" w:color="auto" w:fill="auto"/>
          </w:tcPr>
          <w:p w14:paraId="46B48ED5" w14:textId="77777777" w:rsidR="00203F72" w:rsidRPr="00A53581" w:rsidRDefault="00203F72" w:rsidP="00D87D91">
            <w:r w:rsidRPr="00A53581">
              <w:t>使犯罪行為在法律上完全消滅，再犯者</w:t>
            </w:r>
            <w:r w:rsidR="003E240E">
              <w:t>視</w:t>
            </w:r>
            <w:r w:rsidRPr="00A53581">
              <w:t>為初犯</w:t>
            </w:r>
          </w:p>
        </w:tc>
        <w:tc>
          <w:tcPr>
            <w:tcW w:w="1071" w:type="pct"/>
            <w:shd w:val="clear" w:color="auto" w:fill="auto"/>
          </w:tcPr>
          <w:p w14:paraId="17D854C7" w14:textId="77777777" w:rsidR="00203F72" w:rsidRPr="00A53581" w:rsidRDefault="00203F72" w:rsidP="00D87D91">
            <w:r w:rsidRPr="00A53581">
              <w:t>僅免除其刑，非免除其罪；再犯者為累犯</w:t>
            </w:r>
          </w:p>
        </w:tc>
        <w:tc>
          <w:tcPr>
            <w:tcW w:w="1071" w:type="pct"/>
            <w:shd w:val="clear" w:color="auto" w:fill="auto"/>
          </w:tcPr>
          <w:p w14:paraId="61391023" w14:textId="77777777" w:rsidR="00203F72" w:rsidRPr="00A53581" w:rsidRDefault="00203F72" w:rsidP="00D87D91">
            <w:r w:rsidRPr="00A53581">
              <w:t>僅減輕或免除其部分刑之執行，再犯者為累犯</w:t>
            </w:r>
          </w:p>
        </w:tc>
        <w:tc>
          <w:tcPr>
            <w:tcW w:w="965" w:type="pct"/>
            <w:shd w:val="clear" w:color="auto" w:fill="auto"/>
          </w:tcPr>
          <w:p w14:paraId="652CF13E" w14:textId="77777777" w:rsidR="00203F72" w:rsidRPr="00A53581" w:rsidRDefault="00203F72" w:rsidP="00D87D91">
            <w:r w:rsidRPr="00A53581">
              <w:t>喪失之公權因而回復</w:t>
            </w:r>
          </w:p>
        </w:tc>
      </w:tr>
      <w:tr w:rsidR="00203F72" w:rsidRPr="00A53581" w14:paraId="0A832DF4" w14:textId="77777777" w:rsidTr="006937CE">
        <w:tc>
          <w:tcPr>
            <w:tcW w:w="714" w:type="pct"/>
            <w:shd w:val="clear" w:color="auto" w:fill="auto"/>
          </w:tcPr>
          <w:p w14:paraId="2DA1F5AF" w14:textId="77777777" w:rsidR="00203F72" w:rsidRPr="00A53581" w:rsidRDefault="00203F72" w:rsidP="00D87D91">
            <w:r w:rsidRPr="00A53581">
              <w:t>程序</w:t>
            </w:r>
          </w:p>
        </w:tc>
        <w:tc>
          <w:tcPr>
            <w:tcW w:w="1180" w:type="pct"/>
            <w:shd w:val="clear" w:color="auto" w:fill="auto"/>
          </w:tcPr>
          <w:p w14:paraId="395B0DE5" w14:textId="77777777" w:rsidR="00203F72" w:rsidRPr="00A53581" w:rsidRDefault="00203F72" w:rsidP="00D87D91">
            <w:r w:rsidRPr="00A53581">
              <w:t>先經行政院會議議決及立法院通過</w:t>
            </w:r>
          </w:p>
        </w:tc>
        <w:tc>
          <w:tcPr>
            <w:tcW w:w="1071" w:type="pct"/>
            <w:shd w:val="clear" w:color="auto" w:fill="auto"/>
          </w:tcPr>
          <w:p w14:paraId="7530E36E" w14:textId="77777777" w:rsidR="00203F72" w:rsidRPr="00A53581" w:rsidRDefault="00203F72" w:rsidP="00D87D91">
            <w:r w:rsidRPr="00A53581">
              <w:t>總統得令行政院轉令主管部為特赦之審議</w:t>
            </w:r>
          </w:p>
        </w:tc>
        <w:tc>
          <w:tcPr>
            <w:tcW w:w="1071" w:type="pct"/>
            <w:shd w:val="clear" w:color="auto" w:fill="auto"/>
          </w:tcPr>
          <w:p w14:paraId="6F91D99C" w14:textId="77777777" w:rsidR="00203F72" w:rsidRPr="00A53581" w:rsidRDefault="00203F72" w:rsidP="00D87D91">
            <w:r w:rsidRPr="00A53581">
              <w:t>總統得令行政院轉令主管部為減刑之審議，但全國性減刑依大赦程序辦理</w:t>
            </w:r>
          </w:p>
        </w:tc>
        <w:tc>
          <w:tcPr>
            <w:tcW w:w="965" w:type="pct"/>
            <w:shd w:val="clear" w:color="auto" w:fill="auto"/>
          </w:tcPr>
          <w:p w14:paraId="4956302E" w14:textId="77777777" w:rsidR="00203F72" w:rsidRPr="00A53581" w:rsidRDefault="00203F72" w:rsidP="00D87D91">
            <w:r w:rsidRPr="00A53581">
              <w:t>總統得令行政院轉令主管部為復權之審議</w:t>
            </w:r>
          </w:p>
        </w:tc>
      </w:tr>
      <w:tr w:rsidR="00203F72" w:rsidRPr="00A53581" w14:paraId="7B1022C7" w14:textId="77777777" w:rsidTr="006937CE">
        <w:tc>
          <w:tcPr>
            <w:tcW w:w="714" w:type="pct"/>
            <w:shd w:val="clear" w:color="auto" w:fill="auto"/>
          </w:tcPr>
          <w:p w14:paraId="6586A9ED" w14:textId="77777777" w:rsidR="00203F72" w:rsidRPr="00A53581" w:rsidRDefault="00203F72" w:rsidP="00D87D91">
            <w:r w:rsidRPr="00A53581">
              <w:t>時機</w:t>
            </w:r>
          </w:p>
        </w:tc>
        <w:tc>
          <w:tcPr>
            <w:tcW w:w="1180" w:type="pct"/>
            <w:shd w:val="clear" w:color="auto" w:fill="auto"/>
          </w:tcPr>
          <w:p w14:paraId="7A31E374" w14:textId="77777777" w:rsidR="00203F72" w:rsidRPr="00A53581" w:rsidRDefault="00203F72" w:rsidP="00D87D91">
            <w:r w:rsidRPr="00A53581">
              <w:t>國家大典</w:t>
            </w:r>
          </w:p>
        </w:tc>
        <w:tc>
          <w:tcPr>
            <w:tcW w:w="1071" w:type="pct"/>
            <w:shd w:val="clear" w:color="auto" w:fill="auto"/>
          </w:tcPr>
          <w:p w14:paraId="66EFCABB" w14:textId="77777777" w:rsidR="00203F72" w:rsidRPr="00A53581" w:rsidRDefault="00203F72" w:rsidP="00D87D91">
            <w:r w:rsidRPr="00A53581">
              <w:t>平時</w:t>
            </w:r>
          </w:p>
        </w:tc>
        <w:tc>
          <w:tcPr>
            <w:tcW w:w="1071" w:type="pct"/>
            <w:shd w:val="clear" w:color="auto" w:fill="auto"/>
          </w:tcPr>
          <w:p w14:paraId="18414FDD" w14:textId="77777777" w:rsidR="00203F72" w:rsidRPr="00A53581" w:rsidRDefault="00203F72" w:rsidP="00D87D91">
            <w:r w:rsidRPr="00A53581">
              <w:t>平時</w:t>
            </w:r>
          </w:p>
        </w:tc>
        <w:tc>
          <w:tcPr>
            <w:tcW w:w="965" w:type="pct"/>
            <w:shd w:val="clear" w:color="auto" w:fill="auto"/>
          </w:tcPr>
          <w:p w14:paraId="1CA1824A" w14:textId="77777777" w:rsidR="00203F72" w:rsidRPr="00A53581" w:rsidRDefault="00203F72" w:rsidP="00D87D91">
            <w:r w:rsidRPr="00A53581">
              <w:t>平時</w:t>
            </w:r>
          </w:p>
        </w:tc>
      </w:tr>
    </w:tbl>
    <w:p w14:paraId="35131A97" w14:textId="77777777" w:rsidR="00953151" w:rsidRPr="00456F6D" w:rsidRDefault="002107CE" w:rsidP="00D87D91">
      <w:r w:rsidRPr="00456F6D">
        <w:t>【本表格資料來源】</w:t>
      </w:r>
      <w:r w:rsidR="00203F72" w:rsidRPr="00456F6D">
        <w:t>洪嘉仁、王士榮、張若霖、廖瓊樅</w:t>
      </w:r>
      <w:r w:rsidR="00203F72" w:rsidRPr="00456F6D">
        <w:t>(2011)</w:t>
      </w:r>
      <w:r w:rsidR="00203F72" w:rsidRPr="00456F6D">
        <w:t>，憲法與立國精神，初版，台北：高立，第</w:t>
      </w:r>
      <w:r w:rsidR="00203F72" w:rsidRPr="00456F6D">
        <w:t>133</w:t>
      </w:r>
      <w:r w:rsidR="00203F72" w:rsidRPr="00456F6D">
        <w:rPr>
          <w:rFonts w:hint="eastAsia"/>
        </w:rPr>
        <w:t>-</w:t>
      </w:r>
      <w:r w:rsidR="00203F72" w:rsidRPr="00456F6D">
        <w:t>134</w:t>
      </w:r>
      <w:r w:rsidR="00203F72" w:rsidRPr="00456F6D">
        <w:t>頁</w:t>
      </w:r>
      <w:r w:rsidR="00545D58" w:rsidRPr="00456F6D">
        <w:t>。</w:t>
      </w:r>
    </w:p>
    <w:p w14:paraId="38EFD4B8" w14:textId="77777777" w:rsidR="00953151" w:rsidRPr="00456F6D" w:rsidRDefault="007F7377" w:rsidP="00D87D91">
      <w:r w:rsidRPr="00456F6D">
        <w:t xml:space="preserve">　　</w:t>
      </w:r>
      <w:r w:rsidR="00203F72" w:rsidRPr="00456F6D">
        <w:t>但因大赦關係到司法之威信，社會秩序之維護，及人民權益，依憲法</w:t>
      </w:r>
      <w:hyperlink r:id="rId527" w:anchor="a58" w:history="1">
        <w:r w:rsidR="00306E89" w:rsidRPr="00306E89">
          <w:rPr>
            <w:rStyle w:val="a5"/>
          </w:rPr>
          <w:t>第58條</w:t>
        </w:r>
      </w:hyperlink>
      <w:r w:rsidR="00203F72" w:rsidRPr="00456F6D">
        <w:t>之規定，應提出於行政院會議議決同意後，另依憲</w:t>
      </w:r>
      <w:r w:rsidR="00026C6F" w:rsidRPr="00A53581">
        <w:rPr>
          <w:rFonts w:ascii="新細明體" w:hAnsi="新細明體"/>
        </w:rPr>
        <w:t>法</w:t>
      </w:r>
      <w:hyperlink r:id="rId528" w:anchor="a63" w:history="1">
        <w:r w:rsidR="00026C6F" w:rsidRPr="00026C6F">
          <w:rPr>
            <w:rStyle w:val="a5"/>
          </w:rPr>
          <w:t>第63條</w:t>
        </w:r>
      </w:hyperlink>
      <w:r w:rsidR="00203F72" w:rsidRPr="00456F6D">
        <w:t>規定需交由立法院議決通過，總統始可對外宣佈實施。特赦依赦免</w:t>
      </w:r>
      <w:r w:rsidR="00026C6F" w:rsidRPr="00026C6F">
        <w:rPr>
          <w:rFonts w:ascii="新細明體" w:hAnsi="新細明體"/>
        </w:rPr>
        <w:t>法</w:t>
      </w:r>
      <w:hyperlink r:id="rId529" w:anchor="a3" w:history="1">
        <w:r w:rsidR="00026C6F" w:rsidRPr="00026C6F">
          <w:rPr>
            <w:rStyle w:val="a5"/>
          </w:rPr>
          <w:t>第3條</w:t>
        </w:r>
      </w:hyperlink>
      <w:r w:rsidR="00203F72" w:rsidRPr="00456F6D">
        <w:t>規定，受罪刑宣告之人經特赦者，免除其刑之執行；其情節特殊者，得以其罪刑之宣告為無效。就減刑而論，依赦免法</w:t>
      </w:r>
      <w:hyperlink r:id="rId530" w:anchor="a4" w:history="1">
        <w:r w:rsidR="00203F72" w:rsidRPr="00306E89">
          <w:rPr>
            <w:rStyle w:val="a5"/>
            <w:rFonts w:ascii="Times New Roman" w:hAnsi="Times New Roman"/>
          </w:rPr>
          <w:t>第</w:t>
        </w:r>
        <w:r w:rsidR="00203F72" w:rsidRPr="00306E89">
          <w:rPr>
            <w:rStyle w:val="a5"/>
            <w:rFonts w:ascii="Times New Roman" w:hAnsi="Times New Roman"/>
          </w:rPr>
          <w:t>4</w:t>
        </w:r>
        <w:r w:rsidR="00203F72" w:rsidRPr="00306E89">
          <w:rPr>
            <w:rStyle w:val="a5"/>
            <w:rFonts w:ascii="Times New Roman" w:hAnsi="Times New Roman"/>
          </w:rPr>
          <w:t>條</w:t>
        </w:r>
      </w:hyperlink>
      <w:r w:rsidR="00203F72" w:rsidRPr="00456F6D">
        <w:t>規定，受罪刑宣告之人經減刑者，減輕其所宣告之刑。司法院釋字</w:t>
      </w:r>
      <w:hyperlink r:id="rId531" w:anchor="r283" w:history="1">
        <w:r w:rsidR="00203F72" w:rsidRPr="00026C6F">
          <w:rPr>
            <w:rStyle w:val="a5"/>
            <w:rFonts w:ascii="Times New Roman" w:hAnsi="Times New Roman"/>
          </w:rPr>
          <w:t>第</w:t>
        </w:r>
        <w:r w:rsidR="00203F72" w:rsidRPr="00026C6F">
          <w:rPr>
            <w:rStyle w:val="a5"/>
            <w:rFonts w:ascii="Times New Roman" w:hAnsi="Times New Roman"/>
          </w:rPr>
          <w:t>283</w:t>
        </w:r>
        <w:r w:rsidR="00203F72" w:rsidRPr="00026C6F">
          <w:rPr>
            <w:rStyle w:val="a5"/>
            <w:rFonts w:ascii="Times New Roman" w:hAnsi="Times New Roman"/>
          </w:rPr>
          <w:t>號</w:t>
        </w:r>
      </w:hyperlink>
      <w:r w:rsidR="00203F72" w:rsidRPr="00456F6D">
        <w:t>解釋指出：「總統依憲法</w:t>
      </w:r>
      <w:r w:rsidR="006937CE" w:rsidRPr="006E0E2F">
        <w:t>第</w:t>
      </w:r>
      <w:hyperlink r:id="rId532" w:anchor="a40" w:history="1">
        <w:r w:rsidR="006937CE" w:rsidRPr="006E0E2F">
          <w:rPr>
            <w:rStyle w:val="a5"/>
          </w:rPr>
          <w:t>四十</w:t>
        </w:r>
      </w:hyperlink>
      <w:r w:rsidR="006937CE" w:rsidRPr="006E0E2F">
        <w:t>條</w:t>
      </w:r>
      <w:r w:rsidR="00203F72" w:rsidRPr="00456F6D">
        <w:t>及赦免法</w:t>
      </w:r>
      <w:hyperlink r:id="rId533" w:anchor="a3" w:history="1">
        <w:r w:rsidR="00203F72" w:rsidRPr="00306E89">
          <w:rPr>
            <w:rStyle w:val="a5"/>
            <w:rFonts w:ascii="Times New Roman" w:hAnsi="Times New Roman"/>
          </w:rPr>
          <w:t>第三條</w:t>
        </w:r>
      </w:hyperlink>
      <w:r w:rsidR="00203F72" w:rsidRPr="00456F6D">
        <w:t>後段規定所為罪刑宣告無效之特赦，對於已執行之刑，不生溯及既往之效力。其經宣告褫奪公權者，自赦免令生效之日起，回復其公權。」特赦對於已經執行之刑，不生溯及既往之效力。經宣告褫奪公權者，則自赦免令生效之日起，回復其公權。另就復權而言，依赦免法</w:t>
      </w:r>
      <w:hyperlink r:id="rId534" w:anchor="a5" w:history="1">
        <w:r w:rsidR="00203F72" w:rsidRPr="00306E89">
          <w:rPr>
            <w:rStyle w:val="a5"/>
            <w:rFonts w:ascii="Times New Roman" w:hAnsi="Times New Roman"/>
          </w:rPr>
          <w:t>第</w:t>
        </w:r>
        <w:r w:rsidR="00203F72" w:rsidRPr="00306E89">
          <w:rPr>
            <w:rStyle w:val="a5"/>
            <w:rFonts w:ascii="Times New Roman" w:hAnsi="Times New Roman"/>
          </w:rPr>
          <w:t>5</w:t>
        </w:r>
        <w:r w:rsidR="00203F72" w:rsidRPr="00306E89">
          <w:rPr>
            <w:rStyle w:val="a5"/>
            <w:rFonts w:ascii="Times New Roman" w:hAnsi="Times New Roman"/>
          </w:rPr>
          <w:t>條</w:t>
        </w:r>
      </w:hyperlink>
      <w:r w:rsidR="00203F72" w:rsidRPr="00456F6D">
        <w:t>規定，受褫奪公權宣告之人經復權者，回復其所褫奪之公權。</w:t>
      </w:r>
    </w:p>
    <w:p w14:paraId="63C063B8" w14:textId="77777777" w:rsidR="00953151" w:rsidRDefault="00076467" w:rsidP="00767F37">
      <w:pPr>
        <w:pStyle w:val="2"/>
      </w:pPr>
      <w:hyperlink r:id="rId535" w:anchor="a41" w:history="1">
        <w:r w:rsidR="005D5A46">
          <w:rPr>
            <w:rStyle w:val="a5"/>
            <w:rFonts w:ascii="Arial Unicode MS" w:hAnsi="Arial Unicode MS"/>
          </w:rPr>
          <w:t>第</w:t>
        </w:r>
        <w:r w:rsidR="00203F72" w:rsidRPr="001B53A5">
          <w:rPr>
            <w:rStyle w:val="a5"/>
            <w:rFonts w:ascii="Arial Unicode MS" w:hAnsi="Arial Unicode MS"/>
          </w:rPr>
          <w:t>41</w:t>
        </w:r>
        <w:r w:rsidR="005D5A46">
          <w:rPr>
            <w:rStyle w:val="a5"/>
            <w:rFonts w:ascii="Arial Unicode MS" w:hAnsi="Arial Unicode MS"/>
          </w:rPr>
          <w:t>條</w:t>
        </w:r>
      </w:hyperlink>
      <w:r w:rsidR="00203F72" w:rsidRPr="00A53581">
        <w:t>總統依法任免文武官員。</w:t>
      </w:r>
    </w:p>
    <w:p w14:paraId="66BE719E" w14:textId="77777777" w:rsidR="00953151" w:rsidRDefault="00B03E84" w:rsidP="00D87D91">
      <w:r>
        <w:t>【內容解析】</w:t>
      </w:r>
    </w:p>
    <w:p w14:paraId="3319AA31" w14:textId="77777777" w:rsidR="00953151" w:rsidRPr="00D73718" w:rsidRDefault="007F7377" w:rsidP="00D87D91">
      <w:r w:rsidRPr="00D73718">
        <w:t xml:space="preserve">　　</w:t>
      </w:r>
      <w:r w:rsidR="00203F72" w:rsidRPr="00D73718">
        <w:t>總統身分為國家統帥，具有人員提名權或任免權，但國家之文武官有些非由總統提名或任命，如民選之縣市長。憲法規定由總統任免或提名者，如依增修條</w:t>
      </w:r>
      <w:r w:rsidR="001B1539" w:rsidRPr="001B1539">
        <w:t>文</w:t>
      </w:r>
      <w:hyperlink r:id="rId536"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之規定，總統發布行政院院長與依憲法經立法院同意任命人員之任免命令。依增修條文</w:t>
      </w:r>
      <w:hyperlink r:id="rId537" w:anchor="b3" w:history="1">
        <w:r w:rsidR="00203F72" w:rsidRPr="00E16174">
          <w:rPr>
            <w:rStyle w:val="a5"/>
            <w:rFonts w:ascii="Times New Roman" w:hAnsi="Times New Roman"/>
          </w:rPr>
          <w:t>第</w:t>
        </w:r>
        <w:r w:rsidR="00203F72" w:rsidRPr="00E16174">
          <w:rPr>
            <w:rStyle w:val="a5"/>
            <w:rFonts w:ascii="Times New Roman" w:hAnsi="Times New Roman"/>
          </w:rPr>
          <w:t>3</w:t>
        </w:r>
        <w:r w:rsidR="00203F72" w:rsidRPr="00E16174">
          <w:rPr>
            <w:rStyle w:val="a5"/>
            <w:rFonts w:ascii="Times New Roman" w:hAnsi="Times New Roman"/>
          </w:rPr>
          <w:t>條</w:t>
        </w:r>
      </w:hyperlink>
      <w:r w:rsidR="00203F72" w:rsidRPr="00D73718">
        <w:t>之規定，行政院院長由總統任命之。依憲法</w:t>
      </w:r>
      <w:hyperlink r:id="rId538" w:anchor="a56" w:history="1">
        <w:r w:rsidR="00203F72" w:rsidRPr="00D73718">
          <w:rPr>
            <w:rStyle w:val="a5"/>
          </w:rPr>
          <w:t>第56條</w:t>
        </w:r>
      </w:hyperlink>
      <w:r w:rsidR="00203F72" w:rsidRPr="00D73718">
        <w:t>之規定，行政院副院長、各部會首長及不管部會之政務委員，由行政院院長提請總統任命之。因為行政院院長係為行政院之首長，故行政院副院長、各部會首長及不管部會之政務委員，理論上，應該由行政院院長提名，總統應尊重院長提出之人選，如果行政院長對行政院內無人事權，恐怕無法發揮五權分立之行政權。</w:t>
      </w:r>
    </w:p>
    <w:p w14:paraId="7AA2F3F0" w14:textId="77777777" w:rsidR="00953151" w:rsidRPr="00D73718" w:rsidRDefault="007F7377" w:rsidP="00D87D91">
      <w:r w:rsidRPr="00D73718">
        <w:t xml:space="preserve">　　</w:t>
      </w:r>
      <w:r w:rsidR="00203F72" w:rsidRPr="00D73718">
        <w:t>依增修條文</w:t>
      </w:r>
      <w:hyperlink r:id="rId539" w:anchor="b5" w:history="1">
        <w:r w:rsidR="00203F72" w:rsidRPr="00306E89">
          <w:rPr>
            <w:rStyle w:val="a5"/>
            <w:rFonts w:ascii="Times New Roman" w:hAnsi="Times New Roman"/>
          </w:rPr>
          <w:t>第</w:t>
        </w:r>
        <w:r w:rsidR="00203F72" w:rsidRPr="00306E89">
          <w:rPr>
            <w:rStyle w:val="a5"/>
            <w:rFonts w:ascii="Times New Roman" w:hAnsi="Times New Roman"/>
          </w:rPr>
          <w:t>5</w:t>
        </w:r>
        <w:r w:rsidR="00203F72" w:rsidRPr="00306E89">
          <w:rPr>
            <w:rStyle w:val="a5"/>
            <w:rFonts w:ascii="Times New Roman" w:hAnsi="Times New Roman"/>
          </w:rPr>
          <w:t>條</w:t>
        </w:r>
      </w:hyperlink>
      <w:r w:rsidR="00203F72" w:rsidRPr="00D73718">
        <w:t>之規定，司法院設大法官十五人，並以其中一人為院長、一人為副院長，由總統提名，經立法院同意任命之。依增修條文</w:t>
      </w:r>
      <w:hyperlink r:id="rId540" w:anchor="b6" w:history="1">
        <w:r w:rsidR="00203F72" w:rsidRPr="006937CE">
          <w:rPr>
            <w:rStyle w:val="a5"/>
            <w:rFonts w:ascii="Times New Roman" w:eastAsia="新細明體" w:hAnsi="Times New Roman"/>
          </w:rPr>
          <w:t>第</w:t>
        </w:r>
        <w:r w:rsidR="00203F72" w:rsidRPr="006937CE">
          <w:rPr>
            <w:rStyle w:val="a5"/>
            <w:rFonts w:ascii="Times New Roman" w:eastAsia="新細明體" w:hAnsi="Times New Roman"/>
          </w:rPr>
          <w:t>6</w:t>
        </w:r>
        <w:r w:rsidR="00203F72" w:rsidRPr="006937CE">
          <w:rPr>
            <w:rStyle w:val="a5"/>
            <w:rFonts w:ascii="Times New Roman" w:eastAsia="新細明體" w:hAnsi="Times New Roman"/>
          </w:rPr>
          <w:t>條</w:t>
        </w:r>
      </w:hyperlink>
      <w:r w:rsidR="00203F72" w:rsidRPr="00D73718">
        <w:t>之規定考試院設院長、副院長各一人，考試委員若干人，由總統提名，經立法院同意任命之。依增修條文</w:t>
      </w:r>
      <w:hyperlink r:id="rId541" w:anchor="b7" w:history="1">
        <w:r w:rsidR="00203F72" w:rsidRPr="006E37D4">
          <w:rPr>
            <w:rStyle w:val="a5"/>
            <w:rFonts w:ascii="Times New Roman" w:hAnsi="Times New Roman"/>
          </w:rPr>
          <w:t>第</w:t>
        </w:r>
        <w:r w:rsidR="00203F72" w:rsidRPr="006E37D4">
          <w:rPr>
            <w:rStyle w:val="a5"/>
            <w:rFonts w:ascii="Times New Roman" w:hAnsi="Times New Roman"/>
          </w:rPr>
          <w:t>7</w:t>
        </w:r>
        <w:r w:rsidR="00203F72" w:rsidRPr="006E37D4">
          <w:rPr>
            <w:rStyle w:val="a5"/>
            <w:rFonts w:ascii="Times New Roman" w:hAnsi="Times New Roman"/>
          </w:rPr>
          <w:t>條</w:t>
        </w:r>
      </w:hyperlink>
      <w:r w:rsidR="00203F72" w:rsidRPr="00D73718">
        <w:t>之規定監察院設監察委員二十九人，並以其中一人為院長、一人為副院長，任期六年，由總統提名，經立法院同意任命之。依憲法</w:t>
      </w:r>
      <w:hyperlink r:id="rId542" w:anchor="a104" w:history="1">
        <w:r w:rsidR="00203F72" w:rsidRPr="006937CE">
          <w:rPr>
            <w:rStyle w:val="a5"/>
            <w:rFonts w:ascii="Times New Roman" w:eastAsia="新細明體" w:hAnsi="Times New Roman"/>
          </w:rPr>
          <w:t>第</w:t>
        </w:r>
        <w:r w:rsidR="00203F72" w:rsidRPr="006937CE">
          <w:rPr>
            <w:rStyle w:val="a5"/>
            <w:rFonts w:ascii="Times New Roman" w:eastAsia="新細明體" w:hAnsi="Times New Roman"/>
          </w:rPr>
          <w:t>104</w:t>
        </w:r>
        <w:r w:rsidR="00203F72" w:rsidRPr="006937CE">
          <w:rPr>
            <w:rStyle w:val="a5"/>
            <w:rFonts w:ascii="Times New Roman" w:eastAsia="新細明體" w:hAnsi="Times New Roman"/>
          </w:rPr>
          <w:t>條</w:t>
        </w:r>
      </w:hyperlink>
      <w:r w:rsidR="00203F72" w:rsidRPr="00D73718">
        <w:t>之規定監察院設審計長，由總統提名，經立法院同意任命之。</w:t>
      </w:r>
    </w:p>
    <w:p w14:paraId="58752BBB" w14:textId="77777777" w:rsidR="00953151" w:rsidRDefault="00076467" w:rsidP="00767F37">
      <w:pPr>
        <w:pStyle w:val="2"/>
      </w:pPr>
      <w:hyperlink r:id="rId543" w:anchor="a42" w:history="1">
        <w:r w:rsidR="005D5A46">
          <w:rPr>
            <w:rStyle w:val="a5"/>
            <w:rFonts w:ascii="Arial Unicode MS" w:hAnsi="Arial Unicode MS"/>
          </w:rPr>
          <w:t>第</w:t>
        </w:r>
        <w:r w:rsidR="00203F72" w:rsidRPr="001B53A5">
          <w:rPr>
            <w:rStyle w:val="a5"/>
            <w:rFonts w:ascii="Arial Unicode MS" w:hAnsi="Arial Unicode MS"/>
          </w:rPr>
          <w:t>42</w:t>
        </w:r>
        <w:r w:rsidR="005D5A46">
          <w:rPr>
            <w:rStyle w:val="a5"/>
            <w:rFonts w:ascii="Arial Unicode MS" w:hAnsi="Arial Unicode MS"/>
          </w:rPr>
          <w:t>條</w:t>
        </w:r>
      </w:hyperlink>
      <w:r w:rsidR="00203F72" w:rsidRPr="00A53581">
        <w:t>總統依法授與榮典。</w:t>
      </w:r>
    </w:p>
    <w:p w14:paraId="221B945B" w14:textId="77777777" w:rsidR="00953151" w:rsidRPr="00D73718" w:rsidRDefault="00B03E84" w:rsidP="00D87D91">
      <w:r w:rsidRPr="00D73718">
        <w:t>【內容解析】</w:t>
      </w:r>
    </w:p>
    <w:p w14:paraId="17171E5C" w14:textId="77777777" w:rsidR="00953151" w:rsidRPr="00D73718" w:rsidRDefault="007F7377" w:rsidP="00D87D91">
      <w:r w:rsidRPr="00D73718">
        <w:t xml:space="preserve">　　</w:t>
      </w:r>
      <w:r w:rsidR="00203F72" w:rsidRPr="00D73718">
        <w:t>凡對於國家有貢獻，或足為人民表帥者或為敦睦邦交，由總統依規定授予勳章、獎狀、獎章等。此為總統一種儀式性之權力。</w:t>
      </w:r>
    </w:p>
    <w:p w14:paraId="6CF464D8" w14:textId="77777777" w:rsidR="00953151" w:rsidRDefault="00076467" w:rsidP="00767F37">
      <w:pPr>
        <w:pStyle w:val="2"/>
      </w:pPr>
      <w:hyperlink r:id="rId544" w:anchor="a43" w:history="1">
        <w:r w:rsidR="005D5A46">
          <w:rPr>
            <w:rStyle w:val="a5"/>
            <w:rFonts w:ascii="Arial Unicode MS" w:hAnsi="Arial Unicode MS"/>
          </w:rPr>
          <w:t>第</w:t>
        </w:r>
        <w:r w:rsidR="00203F72" w:rsidRPr="001B53A5">
          <w:rPr>
            <w:rStyle w:val="a5"/>
            <w:rFonts w:ascii="Arial Unicode MS" w:hAnsi="Arial Unicode MS"/>
          </w:rPr>
          <w:t>43</w:t>
        </w:r>
        <w:r w:rsidR="005D5A46">
          <w:rPr>
            <w:rStyle w:val="a5"/>
            <w:rFonts w:ascii="Arial Unicode MS" w:hAnsi="Arial Unicode MS"/>
          </w:rPr>
          <w:t>條</w:t>
        </w:r>
      </w:hyperlink>
      <w:r w:rsidR="00203F72" w:rsidRPr="00A53581">
        <w:t>國家遇有天然災害、癘疫，或國家財政經濟上有重大變故，須為急速處分時，總統於立法院休會期間，得經行政院會議之決議，依緊急命令法，發布緊急命令，為必要之處置，但須於發布命令後一個月內提交立法院追認。如立法院不同意時，該緊急命令立即失效。</w:t>
      </w:r>
    </w:p>
    <w:p w14:paraId="76CD9FDC" w14:textId="77777777" w:rsidR="00953151" w:rsidRPr="00026C6F" w:rsidRDefault="00B03E84" w:rsidP="00D87D91">
      <w:r w:rsidRPr="00026C6F">
        <w:t>【內容解析】</w:t>
      </w:r>
    </w:p>
    <w:p w14:paraId="497AC29E" w14:textId="77777777" w:rsidR="00953151" w:rsidRPr="00026C6F" w:rsidRDefault="007F7377" w:rsidP="00D87D91">
      <w:r w:rsidRPr="00026C6F">
        <w:t xml:space="preserve">　　</w:t>
      </w:r>
      <w:r w:rsidR="00203F72" w:rsidRPr="00026C6F">
        <w:t>中華民國八十八年九月二十一日，發生九二大地震，由於地震規模龐大，因此就曾發布緊急命令，以統一資源調度，並進行災害防救工作。另為因應國家統一前之需要，依照憲法</w:t>
      </w:r>
      <w:r w:rsidR="00541C0B" w:rsidRPr="00026C6F">
        <w:t>第</w:t>
      </w:r>
      <w:hyperlink r:id="rId545" w:anchor="a27" w:history="1">
        <w:r w:rsidR="00541C0B" w:rsidRPr="00026C6F">
          <w:rPr>
            <w:rStyle w:val="a5"/>
          </w:rPr>
          <w:t>二十七</w:t>
        </w:r>
      </w:hyperlink>
      <w:r w:rsidR="00541C0B" w:rsidRPr="00026C6F">
        <w:t>條</w:t>
      </w:r>
      <w:r w:rsidR="00203F72" w:rsidRPr="00026C6F">
        <w:t>第一項第三款及</w:t>
      </w:r>
      <w:r w:rsidR="00541C0B" w:rsidRPr="00026C6F">
        <w:t>第</w:t>
      </w:r>
      <w:hyperlink r:id="rId546" w:anchor="a174" w:history="1">
        <w:r w:rsidR="00541C0B" w:rsidRPr="00026C6F">
          <w:rPr>
            <w:rStyle w:val="a5"/>
          </w:rPr>
          <w:t>一百七十四</w:t>
        </w:r>
      </w:hyperlink>
      <w:r w:rsidR="00541C0B" w:rsidRPr="00026C6F">
        <w:t>條</w:t>
      </w:r>
      <w:r w:rsidR="00203F72" w:rsidRPr="00026C6F">
        <w:t>第一款之規定，增修憲法條文。依增修條</w:t>
      </w:r>
      <w:r w:rsidR="001B1539" w:rsidRPr="00026C6F">
        <w:t>文</w:t>
      </w:r>
      <w:hyperlink r:id="rId547" w:anchor="b2" w:history="1">
        <w:r w:rsidR="001B1539" w:rsidRPr="00026C6F">
          <w:rPr>
            <w:rStyle w:val="a5"/>
          </w:rPr>
          <w:t>第2條</w:t>
        </w:r>
      </w:hyperlink>
      <w:r w:rsidR="00203F72" w:rsidRPr="00026C6F">
        <w:t>之規定，總統為避免國家或人民遭遇緊急危難或應付財政經濟上重大變故，得經行政院會議之決議發布緊急命令，為必要之處置，不受憲法</w:t>
      </w:r>
      <w:r w:rsidR="00D73718" w:rsidRPr="00026C6F">
        <w:t>第</w:t>
      </w:r>
      <w:hyperlink r:id="rId548" w:anchor="a43" w:history="1">
        <w:r w:rsidR="00D73718" w:rsidRPr="00026C6F">
          <w:rPr>
            <w:rStyle w:val="a5"/>
          </w:rPr>
          <w:t>四十三</w:t>
        </w:r>
      </w:hyperlink>
      <w:r w:rsidR="00D73718" w:rsidRPr="00026C6F">
        <w:t>條</w:t>
      </w:r>
      <w:r w:rsidR="00203F72" w:rsidRPr="00026C6F">
        <w:t>之限制。但須於發布命令後十日內提交，立法院追認，如立法院不同意時，該緊急命令立即失效。</w:t>
      </w:r>
    </w:p>
    <w:p w14:paraId="0588FF71" w14:textId="77777777" w:rsidR="00953151" w:rsidRDefault="00076467" w:rsidP="00767F37">
      <w:pPr>
        <w:pStyle w:val="2"/>
      </w:pPr>
      <w:hyperlink r:id="rId549" w:anchor="a44" w:history="1">
        <w:r w:rsidR="005D5A46">
          <w:rPr>
            <w:rStyle w:val="a5"/>
            <w:rFonts w:ascii="Arial Unicode MS" w:hAnsi="Arial Unicode MS"/>
          </w:rPr>
          <w:t>第</w:t>
        </w:r>
        <w:r w:rsidR="00203F72" w:rsidRPr="001B53A5">
          <w:rPr>
            <w:rStyle w:val="a5"/>
            <w:rFonts w:ascii="Arial Unicode MS" w:hAnsi="Arial Unicode MS"/>
          </w:rPr>
          <w:t>44</w:t>
        </w:r>
        <w:r w:rsidR="005D5A46">
          <w:rPr>
            <w:rStyle w:val="a5"/>
            <w:rFonts w:ascii="Arial Unicode MS" w:hAnsi="Arial Unicode MS"/>
          </w:rPr>
          <w:t>條</w:t>
        </w:r>
      </w:hyperlink>
      <w:r w:rsidR="00203F72" w:rsidRPr="00A53581">
        <w:t>總統對於院與院間之爭執，除本憲法有規定者外，得召集有關各院院長會商解決之。</w:t>
      </w:r>
    </w:p>
    <w:p w14:paraId="73BC55EF" w14:textId="77777777" w:rsidR="00953151" w:rsidRPr="00026C6F" w:rsidRDefault="00B03E84" w:rsidP="00D87D91">
      <w:r w:rsidRPr="00026C6F">
        <w:t>【內容解析】</w:t>
      </w:r>
    </w:p>
    <w:p w14:paraId="1B39A165" w14:textId="77777777" w:rsidR="00953151" w:rsidRPr="00026C6F" w:rsidRDefault="007F7377" w:rsidP="00D87D91">
      <w:r w:rsidRPr="00026C6F">
        <w:t xml:space="preserve">　　</w:t>
      </w:r>
      <w:r w:rsidR="00203F72" w:rsidRPr="00026C6F">
        <w:t>政府五權各職所司，有其專業分工，但為達整體目的，有時必須有協調整合功能，總統於是扮演整合之角色。總統及五院共同執行「權」、「能」區分之「能」。總統及五院組成中央政府，各自行使其治權之一部分。五院之間互相制衡，以權制權，但目的在發揮分工合作之效果，倘若各院之間發生爭執，該爭執又是憲法未規定之事項，總統身為國家元首，依憲法所賦予之權限及身分，自然可以召集有關各院院長協商解決紛爭，以謀求政局穩定</w:t>
      </w:r>
      <w:r w:rsidR="00203F72" w:rsidRPr="00026C6F">
        <w:footnoteReference w:id="68"/>
      </w:r>
      <w:r w:rsidR="00203F72" w:rsidRPr="00026C6F">
        <w:t>。但如該爭執事項憲法有明文規定，則須依憲法規定。致於總統解決院際間之爭執效果如何呢？除了有賴憲法賦予之地位外，總統個人之聲望、平日被各院尊重之程度及其政治手腕，也是總統能否對院與院間之爭執做一個完好處理之重要因素。</w:t>
      </w:r>
    </w:p>
    <w:p w14:paraId="0CF16501" w14:textId="77777777" w:rsidR="00953151" w:rsidRDefault="00076467" w:rsidP="00767F37">
      <w:pPr>
        <w:pStyle w:val="2"/>
      </w:pPr>
      <w:hyperlink r:id="rId550" w:anchor="a45" w:history="1">
        <w:r w:rsidR="005D5A46">
          <w:rPr>
            <w:rStyle w:val="a5"/>
            <w:rFonts w:ascii="Arial Unicode MS" w:hAnsi="Arial Unicode MS"/>
          </w:rPr>
          <w:t>第</w:t>
        </w:r>
        <w:r w:rsidR="00203F72" w:rsidRPr="001B53A5">
          <w:rPr>
            <w:rStyle w:val="a5"/>
            <w:rFonts w:ascii="Arial Unicode MS" w:hAnsi="Arial Unicode MS"/>
          </w:rPr>
          <w:t>45</w:t>
        </w:r>
        <w:r w:rsidR="005D5A46">
          <w:rPr>
            <w:rStyle w:val="a5"/>
            <w:rFonts w:ascii="Arial Unicode MS" w:hAnsi="Arial Unicode MS"/>
          </w:rPr>
          <w:t>條</w:t>
        </w:r>
      </w:hyperlink>
      <w:r w:rsidR="00203F72" w:rsidRPr="00A53581">
        <w:t>中華民國國民年滿四十歲者，得被選為總統、副總統。</w:t>
      </w:r>
    </w:p>
    <w:p w14:paraId="23BC8B84" w14:textId="77777777" w:rsidR="00953151" w:rsidRPr="00026C6F" w:rsidRDefault="00B03E84" w:rsidP="00D87D91">
      <w:r w:rsidRPr="00026C6F">
        <w:t>【內容解析】</w:t>
      </w:r>
    </w:p>
    <w:p w14:paraId="13410A9E" w14:textId="77777777" w:rsidR="00953151" w:rsidRPr="00026C6F" w:rsidRDefault="007F7377" w:rsidP="00D87D91">
      <w:r w:rsidRPr="00026C6F">
        <w:t xml:space="preserve">　　</w:t>
      </w:r>
      <w:r w:rsidR="00203F72" w:rsidRPr="00026C6F">
        <w:t>參選總統、副總統是人民之參政權，而有年齡限制之原因在於，總統、副總統責任重大，應有一定之人生閱歷或歷練。本條規定須具有中華民國國籍且年滿四十歲者始具有參選總統、副總統之資格。因為總統處理掌握權力及影響力，代表國家，影響國家前途發展及形象甚巨。因此，總統忠貞問題至關重要，故，總統需是中華民國國籍且不能擁有外國國籍者。同時年齡達四十歲，個性較為穩重，且具備相當之社會經驗，各方面之能力也較為具足，如果年齡太輕，惟恐性格尚未成熟，經驗各方面不足夠應付國家大事，不能擔負沉重使命。年齡太大又恐體力不夠應付繁瑣之國事，因之定四十歲為得以參選總統、副總統之年齡。</w:t>
      </w:r>
    </w:p>
    <w:p w14:paraId="414103B3" w14:textId="77777777" w:rsidR="00953151" w:rsidRDefault="00076467" w:rsidP="00767F37">
      <w:pPr>
        <w:pStyle w:val="2"/>
      </w:pPr>
      <w:hyperlink r:id="rId551" w:anchor="a46" w:history="1">
        <w:r w:rsidR="005D5A46">
          <w:rPr>
            <w:rStyle w:val="a5"/>
            <w:rFonts w:ascii="Arial Unicode MS" w:hAnsi="Arial Unicode MS"/>
          </w:rPr>
          <w:t>第</w:t>
        </w:r>
        <w:r w:rsidR="00203F72" w:rsidRPr="001B53A5">
          <w:rPr>
            <w:rStyle w:val="a5"/>
            <w:rFonts w:ascii="Arial Unicode MS" w:hAnsi="Arial Unicode MS"/>
          </w:rPr>
          <w:t>46</w:t>
        </w:r>
        <w:r w:rsidR="005D5A46">
          <w:rPr>
            <w:rStyle w:val="a5"/>
            <w:rFonts w:ascii="Arial Unicode MS" w:hAnsi="Arial Unicode MS"/>
          </w:rPr>
          <w:t>條</w:t>
        </w:r>
      </w:hyperlink>
      <w:r w:rsidR="00203F72" w:rsidRPr="00A53581">
        <w:t>總統、副總統之選舉，以法律定之。</w:t>
      </w:r>
    </w:p>
    <w:p w14:paraId="7637BB9F" w14:textId="77777777" w:rsidR="00953151" w:rsidRPr="00026C6F" w:rsidRDefault="00B03E84" w:rsidP="00D87D91">
      <w:r w:rsidRPr="00026C6F">
        <w:t>【內容解析】</w:t>
      </w:r>
    </w:p>
    <w:p w14:paraId="5325BB8C" w14:textId="77777777" w:rsidR="00953151" w:rsidRDefault="007F7377" w:rsidP="00D87D91">
      <w:r w:rsidRPr="00026C6F">
        <w:t xml:space="preserve">　　</w:t>
      </w:r>
      <w:r w:rsidR="00203F72" w:rsidRPr="00026C6F">
        <w:t>為因應國家統一前之需要，依照憲法</w:t>
      </w:r>
      <w:r w:rsidR="00541C0B" w:rsidRPr="00026C6F">
        <w:t>第</w:t>
      </w:r>
      <w:hyperlink r:id="rId552" w:anchor="a27" w:history="1">
        <w:r w:rsidR="00541C0B" w:rsidRPr="00026C6F">
          <w:rPr>
            <w:rStyle w:val="a5"/>
          </w:rPr>
          <w:t>二十七</w:t>
        </w:r>
      </w:hyperlink>
      <w:r w:rsidR="00541C0B" w:rsidRPr="00026C6F">
        <w:t>條</w:t>
      </w:r>
      <w:r w:rsidR="00203F72" w:rsidRPr="00026C6F">
        <w:t>第一項第三款及</w:t>
      </w:r>
      <w:r w:rsidR="00541C0B" w:rsidRPr="00026C6F">
        <w:t>第</w:t>
      </w:r>
      <w:hyperlink r:id="rId553" w:anchor="a174" w:history="1">
        <w:r w:rsidR="00541C0B" w:rsidRPr="00026C6F">
          <w:rPr>
            <w:rStyle w:val="a5"/>
          </w:rPr>
          <w:t>一百七十四</w:t>
        </w:r>
      </w:hyperlink>
      <w:r w:rsidR="00541C0B" w:rsidRPr="00026C6F">
        <w:t>條</w:t>
      </w:r>
      <w:r w:rsidR="00203F72" w:rsidRPr="00026C6F">
        <w:t>第一款之規定，增修憲法條文。依增修條</w:t>
      </w:r>
      <w:r w:rsidR="001B1539" w:rsidRPr="00026C6F">
        <w:t>文</w:t>
      </w:r>
      <w:hyperlink r:id="rId554" w:anchor="b2" w:history="1">
        <w:r w:rsidR="001B1539" w:rsidRPr="00026C6F">
          <w:rPr>
            <w:rStyle w:val="a5"/>
          </w:rPr>
          <w:t>第2條</w:t>
        </w:r>
      </w:hyperlink>
      <w:r w:rsidR="00203F72" w:rsidRPr="00026C6F">
        <w:t>之規定總統、副總統由中華民國自由地區全體人民直接選舉之，自中華民國八十五年第九任總統、副總統選舉實施。總統、副總統候選人應聯名登記，在選票上同列一組圈選，以得票最多之一組為當選。</w:t>
      </w:r>
    </w:p>
    <w:p w14:paraId="6998BC34" w14:textId="77777777" w:rsidR="006937CE" w:rsidRPr="00026C6F" w:rsidRDefault="006937CE" w:rsidP="00D87D91"/>
    <w:p w14:paraId="237908A2" w14:textId="228D5A1F" w:rsidR="00203F72" w:rsidRPr="00026C6F" w:rsidRDefault="00B03E84" w:rsidP="00D87D91">
      <w:r w:rsidRPr="00026C6F">
        <w:t>【</w:t>
      </w:r>
      <w:r w:rsidRPr="00026C6F">
        <w:t>table</w:t>
      </w:r>
      <w:r w:rsidR="005E23E3" w:rsidRPr="00026C6F">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35</w:t>
      </w:r>
      <w:r w:rsidR="00076467">
        <w:rPr>
          <w:noProof/>
        </w:rPr>
        <w:fldChar w:fldCharType="end"/>
      </w:r>
      <w:r w:rsidR="00203F72" w:rsidRPr="00026C6F">
        <w:rPr>
          <w:rFonts w:hint="eastAsia"/>
        </w:rPr>
        <w:t>中華</w:t>
      </w:r>
      <w:r w:rsidR="00203F72" w:rsidRPr="00026C6F">
        <w:t>民國政府民選產生之公職人員之機制</w:t>
      </w:r>
    </w:p>
    <w:tbl>
      <w:tblPr>
        <w:tblW w:w="7655"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701"/>
        <w:gridCol w:w="1134"/>
        <w:gridCol w:w="1985"/>
        <w:gridCol w:w="2835"/>
      </w:tblGrid>
      <w:tr w:rsidR="00203F72" w:rsidRPr="00A53581" w14:paraId="25C691D2" w14:textId="77777777" w:rsidTr="006937CE">
        <w:trPr>
          <w:tblCellSpacing w:w="15" w:type="dxa"/>
        </w:trPr>
        <w:tc>
          <w:tcPr>
            <w:tcW w:w="7595" w:type="dxa"/>
            <w:gridSpan w:val="4"/>
            <w:tcBorders>
              <w:top w:val="single" w:sz="6" w:space="0" w:color="AAAAAA"/>
              <w:left w:val="single" w:sz="4" w:space="0" w:color="auto"/>
              <w:bottom w:val="single" w:sz="4" w:space="0" w:color="auto"/>
              <w:right w:val="single" w:sz="4" w:space="0" w:color="auto"/>
            </w:tcBorders>
            <w:shd w:val="clear" w:color="auto" w:fill="EFEFEF"/>
            <w:vAlign w:val="center"/>
            <w:hideMark/>
          </w:tcPr>
          <w:p w14:paraId="754CFE59" w14:textId="77777777" w:rsidR="00203F72" w:rsidRPr="00A53581" w:rsidRDefault="00203F72" w:rsidP="00D87D91">
            <w:pPr>
              <w:rPr>
                <w:rFonts w:cs="新細明體"/>
              </w:rPr>
            </w:pPr>
            <w:r w:rsidRPr="00A53581">
              <w:t>民國政府中民選產生之公職人員</w:t>
            </w:r>
          </w:p>
        </w:tc>
      </w:tr>
      <w:tr w:rsidR="00203F72" w:rsidRPr="00A53581" w14:paraId="6E30FC15" w14:textId="77777777" w:rsidTr="006937CE">
        <w:trPr>
          <w:tblCellSpacing w:w="15" w:type="dxa"/>
        </w:trPr>
        <w:tc>
          <w:tcPr>
            <w:tcW w:w="165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DD4F7EF" w14:textId="77777777" w:rsidR="00203F72" w:rsidRPr="00A53581" w:rsidRDefault="00203F72" w:rsidP="00D87D91">
            <w:pPr>
              <w:rPr>
                <w:rFonts w:cs="新細明體"/>
              </w:rPr>
            </w:pPr>
            <w:r w:rsidRPr="00A53581">
              <w:t>名稱</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E387312" w14:textId="77777777" w:rsidR="00203F72" w:rsidRPr="00A53581" w:rsidRDefault="00203F72" w:rsidP="00D87D91">
            <w:pPr>
              <w:rPr>
                <w:rFonts w:cs="新細明體"/>
              </w:rPr>
            </w:pPr>
            <w:r w:rsidRPr="00A53581">
              <w:t>機構性質</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6A38547" w14:textId="77777777" w:rsidR="00203F72" w:rsidRPr="00A53581" w:rsidRDefault="00203F72" w:rsidP="00D87D91">
            <w:pPr>
              <w:rPr>
                <w:rFonts w:cs="新細明體"/>
              </w:rPr>
            </w:pPr>
            <w:r w:rsidRPr="00A53581">
              <w:t>憲法規定</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A3CEBDA" w14:textId="77777777" w:rsidR="00203F72" w:rsidRPr="00A53581" w:rsidRDefault="00203F72" w:rsidP="00D87D91">
            <w:pPr>
              <w:rPr>
                <w:rFonts w:cs="新細明體"/>
              </w:rPr>
            </w:pPr>
            <w:r w:rsidRPr="00A53581">
              <w:t>增修條文規定</w:t>
            </w:r>
          </w:p>
        </w:tc>
      </w:tr>
      <w:tr w:rsidR="00203F72" w:rsidRPr="00A53581" w14:paraId="5AB9E281" w14:textId="77777777" w:rsidTr="006937CE">
        <w:trPr>
          <w:tblCellSpacing w:w="15" w:type="dxa"/>
        </w:trPr>
        <w:tc>
          <w:tcPr>
            <w:tcW w:w="165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843B56D" w14:textId="77777777" w:rsidR="00203F72" w:rsidRPr="00A53581" w:rsidRDefault="00203F72" w:rsidP="00D87D91">
            <w:pPr>
              <w:rPr>
                <w:rFonts w:cs="新細明體"/>
              </w:rPr>
            </w:pPr>
            <w:r w:rsidRPr="00A53581">
              <w:t>總統</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89403EC" w14:textId="77777777" w:rsidR="00203F72" w:rsidRPr="00A53581" w:rsidRDefault="00203F72" w:rsidP="00D87D91">
            <w:pPr>
              <w:rPr>
                <w:rFonts w:cs="新細明體"/>
              </w:rPr>
            </w:pPr>
            <w:r w:rsidRPr="00A53581">
              <w:t>國家元首</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16728BC" w14:textId="77777777" w:rsidR="00203F72" w:rsidRPr="00A53581" w:rsidRDefault="00203F72" w:rsidP="00D87D91">
            <w:pPr>
              <w:rPr>
                <w:rFonts w:cs="新細明體"/>
              </w:rPr>
            </w:pPr>
            <w:r w:rsidRPr="00A53581">
              <w:t>由國民大會間接選舉</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D929062" w14:textId="77777777" w:rsidR="00203F72" w:rsidRPr="00A53581" w:rsidRDefault="00203F72" w:rsidP="00D87D91">
            <w:pPr>
              <w:rPr>
                <w:rFonts w:cs="新細明體"/>
              </w:rPr>
            </w:pPr>
            <w:r w:rsidRPr="00A53581">
              <w:t>自由地區人民直接選舉</w:t>
            </w:r>
          </w:p>
        </w:tc>
      </w:tr>
      <w:tr w:rsidR="00203F72" w:rsidRPr="00A53581" w14:paraId="0B3CDE4D" w14:textId="77777777" w:rsidTr="006937CE">
        <w:trPr>
          <w:tblCellSpacing w:w="15" w:type="dxa"/>
        </w:trPr>
        <w:tc>
          <w:tcPr>
            <w:tcW w:w="165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8336613" w14:textId="77777777" w:rsidR="00203F72" w:rsidRPr="00A53581" w:rsidRDefault="00203F72" w:rsidP="00D87D91">
            <w:pPr>
              <w:rPr>
                <w:rFonts w:cs="新細明體"/>
              </w:rPr>
            </w:pPr>
            <w:r w:rsidRPr="00A53581">
              <w:t>國大代表</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6DFC05E" w14:textId="77777777" w:rsidR="00203F72" w:rsidRPr="00A53581" w:rsidRDefault="00203F72" w:rsidP="00D87D91">
            <w:pPr>
              <w:rPr>
                <w:rFonts w:cs="新細明體"/>
              </w:rPr>
            </w:pPr>
            <w:r w:rsidRPr="00A53581">
              <w:t>政權機關</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0E3AB57" w14:textId="77777777" w:rsidR="00203F72" w:rsidRPr="00A53581" w:rsidRDefault="00203F72" w:rsidP="00D87D91">
            <w:pPr>
              <w:rPr>
                <w:rFonts w:cs="新細明體"/>
              </w:rPr>
            </w:pPr>
            <w:r w:rsidRPr="00A53581">
              <w:t>全體國民直接選舉</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931169A" w14:textId="77777777" w:rsidR="00203F72" w:rsidRPr="00A53581" w:rsidRDefault="00203F72" w:rsidP="00D87D91">
            <w:pPr>
              <w:rPr>
                <w:rFonts w:cs="新細明體"/>
              </w:rPr>
            </w:pPr>
            <w:r w:rsidRPr="00A53581">
              <w:t>凍結國民大會改由自由地區人民直接行使政權</w:t>
            </w:r>
          </w:p>
        </w:tc>
      </w:tr>
      <w:tr w:rsidR="00203F72" w:rsidRPr="00A53581" w14:paraId="65A0CEED" w14:textId="77777777" w:rsidTr="006937CE">
        <w:trPr>
          <w:tblCellSpacing w:w="15" w:type="dxa"/>
        </w:trPr>
        <w:tc>
          <w:tcPr>
            <w:tcW w:w="1656"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928E6F9" w14:textId="77777777" w:rsidR="00203F72" w:rsidRPr="00A53581" w:rsidRDefault="00203F72" w:rsidP="00D87D91">
            <w:pPr>
              <w:rPr>
                <w:rFonts w:cs="新細明體"/>
              </w:rPr>
            </w:pPr>
            <w:r w:rsidRPr="00A53581">
              <w:t>立法委員</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1319E5E" w14:textId="77777777" w:rsidR="00203F72" w:rsidRPr="00A53581" w:rsidRDefault="00203F72" w:rsidP="00D87D91">
            <w:pPr>
              <w:rPr>
                <w:rFonts w:cs="新細明體"/>
              </w:rPr>
            </w:pPr>
            <w:r w:rsidRPr="00A53581">
              <w:t>立法機關</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7957A08" w14:textId="77777777" w:rsidR="00203F72" w:rsidRPr="00A53581" w:rsidRDefault="00203F72" w:rsidP="00D87D91">
            <w:pPr>
              <w:rPr>
                <w:rFonts w:cs="新細明體"/>
              </w:rPr>
            </w:pPr>
            <w:r w:rsidRPr="00A53581">
              <w:t>全體國民直接選舉</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C773E60" w14:textId="77777777" w:rsidR="00203F72" w:rsidRPr="00A53581" w:rsidRDefault="00203F72" w:rsidP="00D87D91">
            <w:pPr>
              <w:rPr>
                <w:rFonts w:cs="新細明體"/>
              </w:rPr>
            </w:pPr>
            <w:r w:rsidRPr="00A53581">
              <w:t>自由地區人民直接選舉</w:t>
            </w:r>
          </w:p>
        </w:tc>
      </w:tr>
      <w:tr w:rsidR="00203F72" w:rsidRPr="00A53581" w14:paraId="6AAD362C" w14:textId="77777777" w:rsidTr="006937CE">
        <w:trPr>
          <w:tblCellSpacing w:w="15" w:type="dxa"/>
        </w:trPr>
        <w:tc>
          <w:tcPr>
            <w:tcW w:w="1656" w:type="dxa"/>
            <w:tcBorders>
              <w:top w:val="single" w:sz="4" w:space="0" w:color="auto"/>
              <w:left w:val="single" w:sz="4" w:space="0" w:color="auto"/>
              <w:bottom w:val="single" w:sz="6" w:space="0" w:color="AAAAAA"/>
              <w:right w:val="single" w:sz="4" w:space="0" w:color="auto"/>
            </w:tcBorders>
            <w:shd w:val="clear" w:color="auto" w:fill="F9F9F9"/>
            <w:vAlign w:val="center"/>
            <w:hideMark/>
          </w:tcPr>
          <w:p w14:paraId="652F4312" w14:textId="77777777" w:rsidR="00203F72" w:rsidRPr="00A53581" w:rsidRDefault="00203F72" w:rsidP="00D87D91">
            <w:pPr>
              <w:rPr>
                <w:rFonts w:cs="新細明體"/>
              </w:rPr>
            </w:pPr>
            <w:r w:rsidRPr="00A53581">
              <w:t>監察委員</w:t>
            </w:r>
          </w:p>
        </w:tc>
        <w:tc>
          <w:tcPr>
            <w:tcW w:w="1104" w:type="dxa"/>
            <w:tcBorders>
              <w:top w:val="single" w:sz="4" w:space="0" w:color="auto"/>
              <w:left w:val="single" w:sz="4" w:space="0" w:color="auto"/>
              <w:bottom w:val="single" w:sz="6" w:space="0" w:color="AAAAAA"/>
              <w:right w:val="single" w:sz="4" w:space="0" w:color="auto"/>
            </w:tcBorders>
            <w:shd w:val="clear" w:color="auto" w:fill="F9F9F9"/>
            <w:vAlign w:val="center"/>
            <w:hideMark/>
          </w:tcPr>
          <w:p w14:paraId="612CF5BC" w14:textId="77777777" w:rsidR="00203F72" w:rsidRPr="00A53581" w:rsidRDefault="00203F72" w:rsidP="00D87D91">
            <w:pPr>
              <w:rPr>
                <w:rFonts w:cs="新細明體"/>
              </w:rPr>
            </w:pPr>
            <w:r w:rsidRPr="00A53581">
              <w:t>監察機關</w:t>
            </w:r>
          </w:p>
        </w:tc>
        <w:tc>
          <w:tcPr>
            <w:tcW w:w="1955" w:type="dxa"/>
            <w:tcBorders>
              <w:top w:val="single" w:sz="4" w:space="0" w:color="auto"/>
              <w:left w:val="single" w:sz="4" w:space="0" w:color="auto"/>
              <w:bottom w:val="single" w:sz="6" w:space="0" w:color="AAAAAA"/>
              <w:right w:val="single" w:sz="4" w:space="0" w:color="auto"/>
            </w:tcBorders>
            <w:shd w:val="clear" w:color="auto" w:fill="F9F9F9"/>
            <w:vAlign w:val="center"/>
            <w:hideMark/>
          </w:tcPr>
          <w:p w14:paraId="14DC123A" w14:textId="77777777" w:rsidR="00203F72" w:rsidRPr="00A53581" w:rsidRDefault="00203F72" w:rsidP="00D87D91">
            <w:pPr>
              <w:rPr>
                <w:rFonts w:cs="新細明體"/>
              </w:rPr>
            </w:pPr>
            <w:r w:rsidRPr="00A53581">
              <w:t>省議會間接選舉</w:t>
            </w:r>
          </w:p>
        </w:tc>
        <w:tc>
          <w:tcPr>
            <w:tcW w:w="2790" w:type="dxa"/>
            <w:tcBorders>
              <w:top w:val="single" w:sz="4" w:space="0" w:color="auto"/>
              <w:left w:val="single" w:sz="4" w:space="0" w:color="auto"/>
              <w:bottom w:val="single" w:sz="6" w:space="0" w:color="AAAAAA"/>
              <w:right w:val="single" w:sz="4" w:space="0" w:color="auto"/>
            </w:tcBorders>
            <w:shd w:val="clear" w:color="auto" w:fill="F9F9F9"/>
            <w:vAlign w:val="center"/>
            <w:hideMark/>
          </w:tcPr>
          <w:p w14:paraId="59B4083F" w14:textId="77777777" w:rsidR="00203F72" w:rsidRPr="00A53581" w:rsidRDefault="00203F72" w:rsidP="00D87D91">
            <w:pPr>
              <w:rPr>
                <w:rFonts w:cs="新細明體"/>
              </w:rPr>
            </w:pPr>
            <w:r w:rsidRPr="00A53581">
              <w:t>總統任命，立法院同意</w:t>
            </w:r>
          </w:p>
        </w:tc>
      </w:tr>
    </w:tbl>
    <w:p w14:paraId="1204154C" w14:textId="77777777" w:rsidR="00953151" w:rsidRPr="006937CE" w:rsidRDefault="00B03E84" w:rsidP="00D87D91">
      <w:r w:rsidRPr="006937CE">
        <w:rPr>
          <w:rFonts w:hint="eastAsia"/>
        </w:rPr>
        <w:t>【資料來源】</w:t>
      </w:r>
      <w:r w:rsidR="00203F72" w:rsidRPr="006937CE">
        <w:rPr>
          <w:rFonts w:hint="eastAsia"/>
        </w:rPr>
        <w:t>維基百科</w:t>
      </w:r>
      <w:r w:rsidR="00203F72" w:rsidRPr="006937CE">
        <w:rPr>
          <w:rFonts w:hint="eastAsia"/>
        </w:rPr>
        <w:t>(2015)</w:t>
      </w:r>
      <w:r w:rsidR="00203F72" w:rsidRPr="006937CE">
        <w:rPr>
          <w:rFonts w:hint="eastAsia"/>
        </w:rPr>
        <w:t>，中華民國憲法，上網瀏覽時日：</w:t>
      </w:r>
      <w:r w:rsidR="00203F72" w:rsidRPr="006937CE">
        <w:rPr>
          <w:rFonts w:hint="eastAsia"/>
        </w:rPr>
        <w:t>2015/08/02</w:t>
      </w:r>
      <w:r w:rsidR="00203F72" w:rsidRPr="006937CE">
        <w:rPr>
          <w:rFonts w:hint="eastAsia"/>
        </w:rPr>
        <w:t>，</w:t>
      </w:r>
      <w:hyperlink r:id="rId555" w:history="1">
        <w:r w:rsidR="00203F72" w:rsidRPr="006937CE">
          <w:rPr>
            <w:rStyle w:val="a5"/>
          </w:rPr>
          <w:t>https://zh.wikipedia.org/wiki/%E4%B8%AD%E8%8F%AF%E6%B0%91%E5%9C%8B%E6%86%B2%E6%B3%95</w:t>
        </w:r>
      </w:hyperlink>
      <w:r w:rsidR="00203F72" w:rsidRPr="006937CE">
        <w:t>。</w:t>
      </w:r>
    </w:p>
    <w:p w14:paraId="41B1B9E2" w14:textId="77777777" w:rsidR="00953151" w:rsidRDefault="00076467" w:rsidP="00767F37">
      <w:pPr>
        <w:pStyle w:val="2"/>
      </w:pPr>
      <w:hyperlink r:id="rId556" w:anchor="a47" w:history="1">
        <w:r w:rsidR="005D5A46">
          <w:rPr>
            <w:rStyle w:val="a5"/>
            <w:rFonts w:ascii="Arial Unicode MS" w:hAnsi="Arial Unicode MS"/>
          </w:rPr>
          <w:t>第</w:t>
        </w:r>
        <w:r w:rsidR="00203F72" w:rsidRPr="001B53A5">
          <w:rPr>
            <w:rStyle w:val="a5"/>
            <w:rFonts w:ascii="Arial Unicode MS" w:hAnsi="Arial Unicode MS"/>
          </w:rPr>
          <w:t>47</w:t>
        </w:r>
        <w:r w:rsidR="005D5A46">
          <w:rPr>
            <w:rStyle w:val="a5"/>
            <w:rFonts w:ascii="Arial Unicode MS" w:hAnsi="Arial Unicode MS"/>
          </w:rPr>
          <w:t>條</w:t>
        </w:r>
      </w:hyperlink>
      <w:r w:rsidR="00203F72" w:rsidRPr="00A53581">
        <w:t>總統、副總統之任期為六年，連選得連任一次。</w:t>
      </w:r>
    </w:p>
    <w:p w14:paraId="5A34F28F" w14:textId="77777777" w:rsidR="00953151" w:rsidRPr="00026C6F" w:rsidRDefault="00B03E84" w:rsidP="00D87D91">
      <w:r w:rsidRPr="00026C6F">
        <w:t>【內容解析】</w:t>
      </w:r>
    </w:p>
    <w:p w14:paraId="3C4A4186" w14:textId="77777777" w:rsidR="00953151" w:rsidRDefault="007F7377" w:rsidP="00D87D91">
      <w:r w:rsidRPr="00026C6F">
        <w:t xml:space="preserve">　　</w:t>
      </w:r>
      <w:r w:rsidR="00203F72" w:rsidRPr="00026C6F">
        <w:t>為因應國家統一前之需要，依照憲法</w:t>
      </w:r>
      <w:r w:rsidR="00541C0B" w:rsidRPr="00026C6F">
        <w:t>第</w:t>
      </w:r>
      <w:hyperlink r:id="rId557" w:anchor="a27" w:history="1">
        <w:r w:rsidR="00541C0B" w:rsidRPr="00026C6F">
          <w:rPr>
            <w:rStyle w:val="a5"/>
          </w:rPr>
          <w:t>二十七</w:t>
        </w:r>
      </w:hyperlink>
      <w:r w:rsidR="00541C0B" w:rsidRPr="00026C6F">
        <w:t>條</w:t>
      </w:r>
      <w:r w:rsidR="00203F72" w:rsidRPr="00026C6F">
        <w:t>第一項第三款及</w:t>
      </w:r>
      <w:r w:rsidR="00541C0B" w:rsidRPr="00026C6F">
        <w:t>第</w:t>
      </w:r>
      <w:hyperlink r:id="rId558" w:anchor="a174" w:history="1">
        <w:r w:rsidR="00541C0B" w:rsidRPr="00026C6F">
          <w:rPr>
            <w:rStyle w:val="a5"/>
          </w:rPr>
          <w:t>一百七十四</w:t>
        </w:r>
      </w:hyperlink>
      <w:r w:rsidR="00541C0B" w:rsidRPr="00026C6F">
        <w:t>條</w:t>
      </w:r>
      <w:r w:rsidR="00203F72" w:rsidRPr="00026C6F">
        <w:t>第一款之規定，增修憲法條文。依增修條</w:t>
      </w:r>
      <w:r w:rsidR="001B1539" w:rsidRPr="00026C6F">
        <w:t>文</w:t>
      </w:r>
      <w:hyperlink r:id="rId559" w:anchor="b2" w:history="1">
        <w:r w:rsidR="001B1539" w:rsidRPr="00026C6F">
          <w:rPr>
            <w:rStyle w:val="a5"/>
          </w:rPr>
          <w:t>第2條</w:t>
        </w:r>
      </w:hyperlink>
      <w:r w:rsidR="00203F72" w:rsidRPr="00026C6F">
        <w:t>之規定，總統、副總統之任期為四年，連選得連任一次，不適用憲法第</w:t>
      </w:r>
      <w:hyperlink r:id="rId560" w:anchor="a47" w:history="1">
        <w:r w:rsidR="00203F72" w:rsidRPr="006937CE">
          <w:rPr>
            <w:rStyle w:val="a5"/>
            <w:rFonts w:ascii="Times New Roman" w:eastAsia="新細明體" w:hAnsi="Times New Roman"/>
          </w:rPr>
          <w:t>四十七</w:t>
        </w:r>
      </w:hyperlink>
      <w:r w:rsidR="00203F72" w:rsidRPr="00026C6F">
        <w:t>條之規定。</w:t>
      </w:r>
    </w:p>
    <w:p w14:paraId="07C088E6" w14:textId="77777777" w:rsidR="006937CE" w:rsidRPr="00026C6F" w:rsidRDefault="006937CE" w:rsidP="00D87D91"/>
    <w:p w14:paraId="0050A385" w14:textId="6D110ACD" w:rsidR="00203F72" w:rsidRPr="00026C6F" w:rsidRDefault="00B03E84" w:rsidP="00D87D91">
      <w:r w:rsidRPr="00026C6F">
        <w:t>【</w:t>
      </w:r>
      <w:r w:rsidRPr="00026C6F">
        <w:t>table</w:t>
      </w:r>
      <w:r w:rsidR="005E23E3" w:rsidRPr="00026C6F">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36</w:t>
      </w:r>
      <w:r w:rsidR="00076467">
        <w:rPr>
          <w:noProof/>
        </w:rPr>
        <w:fldChar w:fldCharType="end"/>
      </w:r>
      <w:r w:rsidR="00203F72" w:rsidRPr="00026C6F">
        <w:t>我國中央政府體制</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412"/>
        <w:gridCol w:w="2117"/>
        <w:gridCol w:w="2169"/>
        <w:gridCol w:w="1502"/>
      </w:tblGrid>
      <w:tr w:rsidR="00203F72" w:rsidRPr="00A53581" w14:paraId="380EDDD6" w14:textId="77777777" w:rsidTr="00026C6F">
        <w:trPr>
          <w:tblHeader/>
        </w:trPr>
        <w:tc>
          <w:tcPr>
            <w:tcW w:w="1339" w:type="pct"/>
            <w:gridSpan w:val="2"/>
            <w:shd w:val="clear" w:color="auto" w:fill="FAF0FA"/>
          </w:tcPr>
          <w:p w14:paraId="309DCF21" w14:textId="77777777" w:rsidR="00203F72" w:rsidRPr="00A53581" w:rsidRDefault="00203F72" w:rsidP="00D87D91">
            <w:r w:rsidRPr="00A53581">
              <w:t>機關</w:t>
            </w:r>
          </w:p>
        </w:tc>
        <w:tc>
          <w:tcPr>
            <w:tcW w:w="1339" w:type="pct"/>
            <w:shd w:val="clear" w:color="auto" w:fill="FAF0FA"/>
          </w:tcPr>
          <w:p w14:paraId="311FE61B" w14:textId="77777777" w:rsidR="00203F72" w:rsidRPr="00A53581" w:rsidRDefault="00203F72" w:rsidP="00D87D91">
            <w:r w:rsidRPr="00A53581">
              <w:t>地位</w:t>
            </w:r>
          </w:p>
        </w:tc>
        <w:tc>
          <w:tcPr>
            <w:tcW w:w="1372" w:type="pct"/>
            <w:shd w:val="clear" w:color="auto" w:fill="FAF0FA"/>
          </w:tcPr>
          <w:p w14:paraId="2FCB55C1" w14:textId="77777777" w:rsidR="00203F72" w:rsidRPr="00A53581" w:rsidRDefault="00203F72" w:rsidP="00D87D91">
            <w:r w:rsidRPr="00A53581">
              <w:t>產生</w:t>
            </w:r>
          </w:p>
        </w:tc>
        <w:tc>
          <w:tcPr>
            <w:tcW w:w="950" w:type="pct"/>
            <w:shd w:val="clear" w:color="auto" w:fill="FAF0FA"/>
          </w:tcPr>
          <w:p w14:paraId="26A58C94" w14:textId="77777777" w:rsidR="00203F72" w:rsidRPr="00A53581" w:rsidRDefault="00203F72" w:rsidP="00D87D91">
            <w:r w:rsidRPr="00A53581">
              <w:t>任期</w:t>
            </w:r>
          </w:p>
        </w:tc>
      </w:tr>
      <w:tr w:rsidR="00203F72" w:rsidRPr="00A53581" w14:paraId="79E25FDA" w14:textId="77777777" w:rsidTr="00203F72">
        <w:tc>
          <w:tcPr>
            <w:tcW w:w="1339" w:type="pct"/>
            <w:gridSpan w:val="2"/>
            <w:shd w:val="clear" w:color="auto" w:fill="auto"/>
          </w:tcPr>
          <w:p w14:paraId="2D612CF1" w14:textId="77777777" w:rsidR="00203F72" w:rsidRPr="00A53581" w:rsidRDefault="00203F72" w:rsidP="00D87D91">
            <w:r w:rsidRPr="00A53581">
              <w:t>總統、副總統</w:t>
            </w:r>
          </w:p>
        </w:tc>
        <w:tc>
          <w:tcPr>
            <w:tcW w:w="1339" w:type="pct"/>
            <w:shd w:val="clear" w:color="auto" w:fill="auto"/>
          </w:tcPr>
          <w:p w14:paraId="0405D6FF" w14:textId="77777777" w:rsidR="00203F72" w:rsidRPr="00A53581" w:rsidRDefault="00203F72" w:rsidP="00D87D91">
            <w:r w:rsidRPr="00A53581">
              <w:t>對外代表中華民國之國家元首</w:t>
            </w:r>
          </w:p>
        </w:tc>
        <w:tc>
          <w:tcPr>
            <w:tcW w:w="1372" w:type="pct"/>
            <w:shd w:val="clear" w:color="auto" w:fill="auto"/>
          </w:tcPr>
          <w:p w14:paraId="6F15A603" w14:textId="77777777" w:rsidR="00203F72" w:rsidRPr="00A53581" w:rsidRDefault="00203F72" w:rsidP="00D87D91">
            <w:r w:rsidRPr="00A53581">
              <w:t>自第九任起由全民直選，採聯名相對多數決</w:t>
            </w:r>
          </w:p>
        </w:tc>
        <w:tc>
          <w:tcPr>
            <w:tcW w:w="950" w:type="pct"/>
            <w:shd w:val="clear" w:color="auto" w:fill="auto"/>
          </w:tcPr>
          <w:p w14:paraId="2C8EB5D4" w14:textId="77777777" w:rsidR="00203F72" w:rsidRPr="00A53581" w:rsidRDefault="00203F72" w:rsidP="00D87D91">
            <w:r w:rsidRPr="00A53581">
              <w:t>四年，連選連任一次</w:t>
            </w:r>
          </w:p>
        </w:tc>
      </w:tr>
      <w:tr w:rsidR="00203F72" w:rsidRPr="00A53581" w14:paraId="506BBD77" w14:textId="77777777" w:rsidTr="00203F72">
        <w:tc>
          <w:tcPr>
            <w:tcW w:w="446" w:type="pct"/>
            <w:vMerge w:val="restart"/>
            <w:shd w:val="clear" w:color="auto" w:fill="auto"/>
          </w:tcPr>
          <w:p w14:paraId="7C84263A" w14:textId="77777777" w:rsidR="00203F72" w:rsidRPr="00A53581" w:rsidRDefault="00203F72" w:rsidP="00D87D91">
            <w:r w:rsidRPr="00A53581">
              <w:t>行政院</w:t>
            </w:r>
          </w:p>
        </w:tc>
        <w:tc>
          <w:tcPr>
            <w:tcW w:w="893" w:type="pct"/>
            <w:shd w:val="clear" w:color="auto" w:fill="auto"/>
          </w:tcPr>
          <w:p w14:paraId="74BB7EF8" w14:textId="77777777" w:rsidR="00203F72" w:rsidRPr="00A53581" w:rsidRDefault="00203F72" w:rsidP="00D87D91">
            <w:r w:rsidRPr="00A53581">
              <w:t>行政院長</w:t>
            </w:r>
          </w:p>
        </w:tc>
        <w:tc>
          <w:tcPr>
            <w:tcW w:w="1339" w:type="pct"/>
            <w:vMerge w:val="restart"/>
            <w:shd w:val="clear" w:color="auto" w:fill="auto"/>
          </w:tcPr>
          <w:p w14:paraId="5802F2B1" w14:textId="77777777" w:rsidR="00203F72" w:rsidRPr="00A53581" w:rsidRDefault="00203F72" w:rsidP="00D87D91">
            <w:r w:rsidRPr="00A53581">
              <w:t>最高行政機關</w:t>
            </w:r>
          </w:p>
        </w:tc>
        <w:tc>
          <w:tcPr>
            <w:tcW w:w="1372" w:type="pct"/>
            <w:shd w:val="clear" w:color="auto" w:fill="auto"/>
          </w:tcPr>
          <w:p w14:paraId="04256139" w14:textId="77777777" w:rsidR="00203F72" w:rsidRPr="00A53581" w:rsidRDefault="00203F72" w:rsidP="00D87D91">
            <w:r w:rsidRPr="00A53581">
              <w:t>由總統任命</w:t>
            </w:r>
          </w:p>
        </w:tc>
        <w:tc>
          <w:tcPr>
            <w:tcW w:w="950" w:type="pct"/>
            <w:vMerge w:val="restart"/>
            <w:shd w:val="clear" w:color="auto" w:fill="auto"/>
          </w:tcPr>
          <w:p w14:paraId="290F70EB" w14:textId="77777777" w:rsidR="00203F72" w:rsidRPr="00A53581" w:rsidRDefault="00203F72" w:rsidP="00D87D91">
            <w:r w:rsidRPr="00A53581">
              <w:t>未明文</w:t>
            </w:r>
          </w:p>
        </w:tc>
      </w:tr>
      <w:tr w:rsidR="00203F72" w:rsidRPr="00A53581" w14:paraId="72553ECB" w14:textId="77777777" w:rsidTr="00203F72">
        <w:tc>
          <w:tcPr>
            <w:tcW w:w="446" w:type="pct"/>
            <w:vMerge/>
            <w:shd w:val="clear" w:color="auto" w:fill="auto"/>
          </w:tcPr>
          <w:p w14:paraId="50504CC1" w14:textId="77777777" w:rsidR="00203F72" w:rsidRPr="00A53581" w:rsidRDefault="00203F72" w:rsidP="00D87D91"/>
        </w:tc>
        <w:tc>
          <w:tcPr>
            <w:tcW w:w="893" w:type="pct"/>
            <w:shd w:val="clear" w:color="auto" w:fill="auto"/>
          </w:tcPr>
          <w:p w14:paraId="339D6FBD" w14:textId="77777777" w:rsidR="00203F72" w:rsidRPr="00A53581" w:rsidRDefault="00203F72" w:rsidP="00D87D91">
            <w:r w:rsidRPr="00A53581">
              <w:t>政務閣員</w:t>
            </w:r>
          </w:p>
        </w:tc>
        <w:tc>
          <w:tcPr>
            <w:tcW w:w="1339" w:type="pct"/>
            <w:vMerge/>
            <w:shd w:val="clear" w:color="auto" w:fill="auto"/>
          </w:tcPr>
          <w:p w14:paraId="39D48784" w14:textId="77777777" w:rsidR="00203F72" w:rsidRPr="00A53581" w:rsidRDefault="00203F72" w:rsidP="00D87D91"/>
        </w:tc>
        <w:tc>
          <w:tcPr>
            <w:tcW w:w="1372" w:type="pct"/>
            <w:shd w:val="clear" w:color="auto" w:fill="auto"/>
          </w:tcPr>
          <w:p w14:paraId="295FB556" w14:textId="77777777" w:rsidR="00203F72" w:rsidRPr="00A53581" w:rsidRDefault="00203F72" w:rsidP="00D87D91">
            <w:r w:rsidRPr="00A53581">
              <w:t>院長提請總統任命</w:t>
            </w:r>
          </w:p>
        </w:tc>
        <w:tc>
          <w:tcPr>
            <w:tcW w:w="950" w:type="pct"/>
            <w:vMerge/>
            <w:shd w:val="clear" w:color="auto" w:fill="auto"/>
          </w:tcPr>
          <w:p w14:paraId="57BC6AAC" w14:textId="77777777" w:rsidR="00203F72" w:rsidRPr="00A53581" w:rsidRDefault="00203F72" w:rsidP="00D87D91"/>
        </w:tc>
      </w:tr>
      <w:tr w:rsidR="00203F72" w:rsidRPr="00A53581" w14:paraId="212FA0B3" w14:textId="77777777" w:rsidTr="00203F72">
        <w:tc>
          <w:tcPr>
            <w:tcW w:w="1339" w:type="pct"/>
            <w:gridSpan w:val="2"/>
            <w:shd w:val="clear" w:color="auto" w:fill="auto"/>
          </w:tcPr>
          <w:p w14:paraId="4B56EAAE" w14:textId="77777777" w:rsidR="00203F72" w:rsidRPr="00A53581" w:rsidRDefault="00203F72" w:rsidP="00D87D91">
            <w:r w:rsidRPr="00A53581">
              <w:t>立法院</w:t>
            </w:r>
          </w:p>
        </w:tc>
        <w:tc>
          <w:tcPr>
            <w:tcW w:w="1339" w:type="pct"/>
            <w:shd w:val="clear" w:color="auto" w:fill="auto"/>
          </w:tcPr>
          <w:p w14:paraId="6075F5A4" w14:textId="77777777" w:rsidR="00203F72" w:rsidRPr="00A53581" w:rsidRDefault="00203F72" w:rsidP="00D87D91">
            <w:r w:rsidRPr="00A53581">
              <w:t>最高立法機關，代表人民行使立法權</w:t>
            </w:r>
          </w:p>
        </w:tc>
        <w:tc>
          <w:tcPr>
            <w:tcW w:w="1372" w:type="pct"/>
            <w:shd w:val="clear" w:color="auto" w:fill="auto"/>
          </w:tcPr>
          <w:p w14:paraId="285D8C04" w14:textId="77777777" w:rsidR="00203F72" w:rsidRPr="00A53581" w:rsidRDefault="00203F72" w:rsidP="00D87D91">
            <w:r w:rsidRPr="00A53581">
              <w:t>由人民選舉之立法委員組織之</w:t>
            </w:r>
          </w:p>
        </w:tc>
        <w:tc>
          <w:tcPr>
            <w:tcW w:w="950" w:type="pct"/>
            <w:shd w:val="clear" w:color="auto" w:fill="auto"/>
          </w:tcPr>
          <w:p w14:paraId="27D13D76" w14:textId="77777777" w:rsidR="00203F72" w:rsidRPr="00A53581" w:rsidRDefault="00203F72" w:rsidP="00D87D91">
            <w:r w:rsidRPr="00A53581">
              <w:t>四年</w:t>
            </w:r>
          </w:p>
        </w:tc>
      </w:tr>
      <w:tr w:rsidR="00203F72" w:rsidRPr="00A53581" w14:paraId="285FF1AE" w14:textId="77777777" w:rsidTr="00203F72">
        <w:tc>
          <w:tcPr>
            <w:tcW w:w="1339" w:type="pct"/>
            <w:gridSpan w:val="2"/>
            <w:shd w:val="clear" w:color="auto" w:fill="auto"/>
          </w:tcPr>
          <w:p w14:paraId="3B34BBC9" w14:textId="77777777" w:rsidR="00203F72" w:rsidRPr="00A53581" w:rsidRDefault="00203F72" w:rsidP="00D87D91">
            <w:r w:rsidRPr="00A53581">
              <w:t>司法院</w:t>
            </w:r>
            <w:r w:rsidRPr="00A53581">
              <w:t>(</w:t>
            </w:r>
            <w:r w:rsidRPr="00A53581">
              <w:t>大法官</w:t>
            </w:r>
            <w:r w:rsidRPr="00A53581">
              <w:t>)</w:t>
            </w:r>
          </w:p>
        </w:tc>
        <w:tc>
          <w:tcPr>
            <w:tcW w:w="1339" w:type="pct"/>
            <w:shd w:val="clear" w:color="auto" w:fill="auto"/>
          </w:tcPr>
          <w:p w14:paraId="7114CFCE" w14:textId="77777777" w:rsidR="00203F72" w:rsidRPr="00A53581" w:rsidRDefault="00203F72" w:rsidP="00D87D91">
            <w:r w:rsidRPr="00A53581">
              <w:t>最高司法機關</w:t>
            </w:r>
          </w:p>
        </w:tc>
        <w:tc>
          <w:tcPr>
            <w:tcW w:w="1372" w:type="pct"/>
            <w:shd w:val="clear" w:color="auto" w:fill="auto"/>
          </w:tcPr>
          <w:p w14:paraId="4674FE1B" w14:textId="77777777" w:rsidR="00203F72" w:rsidRPr="00A53581" w:rsidRDefault="00203F72" w:rsidP="00D87D91">
            <w:r w:rsidRPr="00A53581">
              <w:t>自民國</w:t>
            </w:r>
            <w:r w:rsidRPr="00A53581">
              <w:t>92</w:t>
            </w:r>
            <w:r w:rsidRPr="00A53581">
              <w:t>年起，由總統提名，立法院同意任命之</w:t>
            </w:r>
          </w:p>
        </w:tc>
        <w:tc>
          <w:tcPr>
            <w:tcW w:w="950" w:type="pct"/>
            <w:shd w:val="clear" w:color="auto" w:fill="auto"/>
          </w:tcPr>
          <w:p w14:paraId="11453DC9" w14:textId="77777777" w:rsidR="00203F72" w:rsidRPr="00A53581" w:rsidRDefault="00203F72" w:rsidP="00D87D91">
            <w:r w:rsidRPr="00A53581">
              <w:t>八年，個別計算，不得連任</w:t>
            </w:r>
          </w:p>
        </w:tc>
      </w:tr>
      <w:tr w:rsidR="00203F72" w:rsidRPr="00A53581" w14:paraId="5DE6D0D5" w14:textId="77777777" w:rsidTr="00203F72">
        <w:tc>
          <w:tcPr>
            <w:tcW w:w="1339" w:type="pct"/>
            <w:gridSpan w:val="2"/>
            <w:shd w:val="clear" w:color="auto" w:fill="auto"/>
          </w:tcPr>
          <w:p w14:paraId="03C779C1" w14:textId="77777777" w:rsidR="00203F72" w:rsidRPr="00A53581" w:rsidRDefault="00203F72" w:rsidP="00D87D91">
            <w:r w:rsidRPr="00A53581">
              <w:t>考試院</w:t>
            </w:r>
            <w:r w:rsidRPr="00A53581">
              <w:t>(</w:t>
            </w:r>
            <w:r w:rsidRPr="00A53581">
              <w:t>正副院長考試委員</w:t>
            </w:r>
            <w:r w:rsidRPr="00A53581">
              <w:t>)</w:t>
            </w:r>
          </w:p>
        </w:tc>
        <w:tc>
          <w:tcPr>
            <w:tcW w:w="1339" w:type="pct"/>
            <w:shd w:val="clear" w:color="auto" w:fill="auto"/>
          </w:tcPr>
          <w:p w14:paraId="169696EA" w14:textId="77777777" w:rsidR="00203F72" w:rsidRPr="00A53581" w:rsidRDefault="00203F72" w:rsidP="00D87D91">
            <w:r w:rsidRPr="00A53581">
              <w:t>最高考試機關</w:t>
            </w:r>
          </w:p>
        </w:tc>
        <w:tc>
          <w:tcPr>
            <w:tcW w:w="1372" w:type="pct"/>
            <w:shd w:val="clear" w:color="auto" w:fill="auto"/>
          </w:tcPr>
          <w:p w14:paraId="2A285285" w14:textId="77777777" w:rsidR="00203F72" w:rsidRPr="00A53581" w:rsidRDefault="00203F72" w:rsidP="00D87D91">
            <w:r w:rsidRPr="00A53581">
              <w:t>由總統提名，立法院同意任命之</w:t>
            </w:r>
          </w:p>
        </w:tc>
        <w:tc>
          <w:tcPr>
            <w:tcW w:w="950" w:type="pct"/>
            <w:shd w:val="clear" w:color="auto" w:fill="auto"/>
          </w:tcPr>
          <w:p w14:paraId="67F2850A" w14:textId="77777777" w:rsidR="00203F72" w:rsidRPr="00A53581" w:rsidRDefault="00203F72" w:rsidP="00D87D91">
            <w:r w:rsidRPr="00A53581">
              <w:t>六年</w:t>
            </w:r>
          </w:p>
        </w:tc>
      </w:tr>
      <w:tr w:rsidR="00203F72" w:rsidRPr="00A53581" w14:paraId="0325BCE3" w14:textId="77777777" w:rsidTr="00203F72">
        <w:tc>
          <w:tcPr>
            <w:tcW w:w="1339" w:type="pct"/>
            <w:gridSpan w:val="2"/>
            <w:shd w:val="clear" w:color="auto" w:fill="auto"/>
          </w:tcPr>
          <w:p w14:paraId="7AE67369" w14:textId="77777777" w:rsidR="00203F72" w:rsidRPr="00A53581" w:rsidRDefault="00203F72" w:rsidP="00D87D91">
            <w:r w:rsidRPr="00A53581">
              <w:t>監察院</w:t>
            </w:r>
            <w:r w:rsidRPr="00A53581">
              <w:t>(</w:t>
            </w:r>
            <w:r w:rsidRPr="00A53581">
              <w:t>監察委員</w:t>
            </w:r>
            <w:r w:rsidRPr="00A53581">
              <w:t>)</w:t>
            </w:r>
          </w:p>
        </w:tc>
        <w:tc>
          <w:tcPr>
            <w:tcW w:w="1339" w:type="pct"/>
            <w:shd w:val="clear" w:color="auto" w:fill="auto"/>
          </w:tcPr>
          <w:p w14:paraId="75E682E5" w14:textId="77777777" w:rsidR="00203F72" w:rsidRPr="00A53581" w:rsidRDefault="00203F72" w:rsidP="00D87D91">
            <w:r w:rsidRPr="00A53581">
              <w:t>最高監察機關</w:t>
            </w:r>
          </w:p>
        </w:tc>
        <w:tc>
          <w:tcPr>
            <w:tcW w:w="1372" w:type="pct"/>
            <w:shd w:val="clear" w:color="auto" w:fill="auto"/>
          </w:tcPr>
          <w:p w14:paraId="27387FDB" w14:textId="77777777" w:rsidR="00203F72" w:rsidRPr="00A53581" w:rsidRDefault="00203F72" w:rsidP="00D87D91">
            <w:r w:rsidRPr="00A53581">
              <w:t>由總統提名，立法院同意任命之</w:t>
            </w:r>
          </w:p>
        </w:tc>
        <w:tc>
          <w:tcPr>
            <w:tcW w:w="950" w:type="pct"/>
            <w:shd w:val="clear" w:color="auto" w:fill="auto"/>
          </w:tcPr>
          <w:p w14:paraId="3D8DC75B" w14:textId="77777777" w:rsidR="00203F72" w:rsidRPr="00A53581" w:rsidRDefault="00203F72" w:rsidP="00D87D91">
            <w:r w:rsidRPr="00A53581">
              <w:t>六年</w:t>
            </w:r>
          </w:p>
        </w:tc>
      </w:tr>
    </w:tbl>
    <w:p w14:paraId="59CC073C" w14:textId="77777777" w:rsidR="00953151" w:rsidRDefault="002107CE" w:rsidP="00D87D91">
      <w:r>
        <w:t>【本表格資料來源】</w:t>
      </w:r>
      <w:r w:rsidR="00203F72" w:rsidRPr="00A53581">
        <w:t>廖其偉</w:t>
      </w:r>
      <w:r w:rsidR="00203F72" w:rsidRPr="00A53581">
        <w:t>(2011)</w:t>
      </w:r>
      <w:r w:rsidR="00203F72" w:rsidRPr="00A53581">
        <w:t>，中華民國憲法，初版，台北市：鼎文</w:t>
      </w:r>
      <w:r w:rsidR="00203F72" w:rsidRPr="00A53581">
        <w:rPr>
          <w:rFonts w:hint="eastAsia"/>
        </w:rPr>
        <w:t>書局</w:t>
      </w:r>
      <w:r w:rsidR="00203F72" w:rsidRPr="00A53581">
        <w:t>，第</w:t>
      </w:r>
      <w:r w:rsidR="00203F72" w:rsidRPr="00A53581">
        <w:rPr>
          <w:rFonts w:hint="eastAsia"/>
        </w:rPr>
        <w:t>129</w:t>
      </w:r>
      <w:r w:rsidR="00203F72" w:rsidRPr="00A53581">
        <w:t>頁。</w:t>
      </w:r>
    </w:p>
    <w:p w14:paraId="033E808A" w14:textId="77777777" w:rsidR="00203F72" w:rsidRPr="00A53581" w:rsidRDefault="00076467" w:rsidP="00767F37">
      <w:pPr>
        <w:pStyle w:val="2"/>
      </w:pPr>
      <w:hyperlink r:id="rId561" w:anchor="a48" w:history="1">
        <w:r w:rsidR="005D5A46">
          <w:rPr>
            <w:rStyle w:val="a5"/>
            <w:rFonts w:ascii="Arial Unicode MS" w:hAnsi="Arial Unicode MS"/>
          </w:rPr>
          <w:t>第</w:t>
        </w:r>
        <w:r w:rsidR="00203F72" w:rsidRPr="001B53A5">
          <w:rPr>
            <w:rStyle w:val="a5"/>
            <w:rFonts w:ascii="Arial Unicode MS" w:hAnsi="Arial Unicode MS"/>
          </w:rPr>
          <w:t>48</w:t>
        </w:r>
        <w:r w:rsidR="005D5A46">
          <w:rPr>
            <w:rStyle w:val="a5"/>
            <w:rFonts w:ascii="Arial Unicode MS" w:hAnsi="Arial Unicode MS"/>
          </w:rPr>
          <w:t>條</w:t>
        </w:r>
      </w:hyperlink>
      <w:r w:rsidR="00203F72" w:rsidRPr="00A53581">
        <w:t>總統應於就職時宣誓，誓詞如左：</w:t>
      </w:r>
    </w:p>
    <w:p w14:paraId="0FD5DC4B" w14:textId="77777777" w:rsidR="00953151" w:rsidRPr="00026C6F" w:rsidRDefault="007F7377" w:rsidP="00D87D91">
      <w:r w:rsidRPr="00026C6F">
        <w:t xml:space="preserve">　　</w:t>
      </w:r>
      <w:r w:rsidR="00203F72" w:rsidRPr="00026C6F">
        <w:t>「余謹以至誠，向全國人民宣誓，餘必遵守憲法，盡忠職務，增進人民福利，保衛國家，無負國民付託。如違誓言，願受國家嚴厲之制裁。謹誓」</w:t>
      </w:r>
    </w:p>
    <w:p w14:paraId="1A70D888" w14:textId="77777777" w:rsidR="00953151" w:rsidRPr="00026C6F" w:rsidRDefault="00B03E84" w:rsidP="00D87D91">
      <w:r w:rsidRPr="00026C6F">
        <w:t>【內容解析】</w:t>
      </w:r>
    </w:p>
    <w:p w14:paraId="762F951F" w14:textId="77777777" w:rsidR="00953151" w:rsidRPr="00026C6F" w:rsidRDefault="007F7377" w:rsidP="00D87D91">
      <w:r w:rsidRPr="00026C6F">
        <w:t xml:space="preserve">　　</w:t>
      </w:r>
      <w:r w:rsidR="00203F72" w:rsidRPr="00026C6F">
        <w:t>總統就職之誓辭表明，總統向全體國民負責，矢志遵守國父遺教，三民主義、五權憲法之規定。盡忠效勞，增進人民之福利，保衛國家安全，如有違背誓詞，願意受到國家法律之嚴厲制裁。</w:t>
      </w:r>
    </w:p>
    <w:p w14:paraId="1A78BD8D" w14:textId="77777777" w:rsidR="00203F72" w:rsidRPr="00A53581" w:rsidRDefault="00076467" w:rsidP="00767F37">
      <w:pPr>
        <w:pStyle w:val="2"/>
      </w:pPr>
      <w:hyperlink r:id="rId562" w:anchor="a49" w:history="1">
        <w:r w:rsidR="005D5A46">
          <w:rPr>
            <w:rStyle w:val="a5"/>
            <w:rFonts w:ascii="Arial Unicode MS" w:hAnsi="Arial Unicode MS"/>
          </w:rPr>
          <w:t>第</w:t>
        </w:r>
        <w:r w:rsidR="00203F72" w:rsidRPr="001B53A5">
          <w:rPr>
            <w:rStyle w:val="a5"/>
            <w:rFonts w:ascii="Arial Unicode MS" w:hAnsi="Arial Unicode MS"/>
          </w:rPr>
          <w:t>49</w:t>
        </w:r>
        <w:r w:rsidR="005D5A46">
          <w:rPr>
            <w:rStyle w:val="a5"/>
            <w:rFonts w:ascii="Arial Unicode MS" w:hAnsi="Arial Unicode MS"/>
          </w:rPr>
          <w:t>條</w:t>
        </w:r>
      </w:hyperlink>
      <w:r w:rsidR="00203F72" w:rsidRPr="00A53581">
        <w:t>總統缺位時，由副總統繼任，至總統任期屆滿為止。總統、副總統均缺位時，由行政院院長代行其職權，並依本憲法第三十條之規定，召集國民大會臨時會，補選總統、副總統，其任期以補足原任總統未滿之任期為止。</w:t>
      </w:r>
    </w:p>
    <w:p w14:paraId="250C844B" w14:textId="77777777" w:rsidR="00953151" w:rsidRPr="00026C6F" w:rsidRDefault="007F7377" w:rsidP="00D87D91">
      <w:r w:rsidRPr="00026C6F">
        <w:t xml:space="preserve">　　</w:t>
      </w:r>
      <w:r w:rsidR="00203F72" w:rsidRPr="00026C6F">
        <w:t>總統因故不能</w:t>
      </w:r>
      <w:r w:rsidR="003E240E">
        <w:t>視</w:t>
      </w:r>
      <w:r w:rsidR="00203F72" w:rsidRPr="00026C6F">
        <w:t>事時，由副總統代行其職權。總統、副總統均不能</w:t>
      </w:r>
      <w:r w:rsidR="003E240E">
        <w:t>視</w:t>
      </w:r>
      <w:r w:rsidR="00203F72" w:rsidRPr="00026C6F">
        <w:t>事時，由行政院院長代行其職權。</w:t>
      </w:r>
    </w:p>
    <w:p w14:paraId="6C3C0251" w14:textId="77777777" w:rsidR="00953151" w:rsidRPr="00026C6F" w:rsidRDefault="00B03E84" w:rsidP="00D87D91">
      <w:r w:rsidRPr="00026C6F">
        <w:t>【內容解析】</w:t>
      </w:r>
    </w:p>
    <w:p w14:paraId="5531CBCB" w14:textId="77777777" w:rsidR="00953151" w:rsidRPr="006937CE" w:rsidRDefault="007F7377" w:rsidP="00D87D91">
      <w:r w:rsidRPr="006937CE">
        <w:t xml:space="preserve">　　</w:t>
      </w:r>
      <w:r w:rsidR="00203F72" w:rsidRPr="006937CE">
        <w:t>為避免總統缺位造成政治紛擾，故有必要就總統缺位之情形進行規定。總統任期尚未屆滿，因故缺位時，由副總統繼任至總統任期屆滿為止。總統因故不能執行職務時，由副總統代行其職權。總統副總統因故不能執行職務時，由行政院院長代行其職權。然依憲法</w:t>
      </w:r>
      <w:hyperlink r:id="rId563" w:anchor="a51" w:history="1">
        <w:r w:rsidR="00203F72" w:rsidRPr="006937CE">
          <w:rPr>
            <w:rStyle w:val="a5"/>
          </w:rPr>
          <w:t>第51條</w:t>
        </w:r>
      </w:hyperlink>
      <w:r w:rsidR="00203F72" w:rsidRPr="006937CE">
        <w:t>之規定，行政院院長代行總統職權時，其期限不得逾三個月。</w:t>
      </w:r>
    </w:p>
    <w:p w14:paraId="72641A03" w14:textId="77777777" w:rsidR="00953151" w:rsidRPr="006937CE" w:rsidRDefault="007F7377" w:rsidP="00D87D91">
      <w:r w:rsidRPr="006937CE">
        <w:t xml:space="preserve">　　</w:t>
      </w:r>
      <w:r w:rsidR="00203F72" w:rsidRPr="006937CE">
        <w:t>又為因應國家統一前之需要，依照憲法</w:t>
      </w:r>
      <w:r w:rsidR="00541C0B" w:rsidRPr="006937CE">
        <w:t>第</w:t>
      </w:r>
      <w:hyperlink r:id="rId564" w:anchor="a27" w:history="1">
        <w:r w:rsidR="00541C0B" w:rsidRPr="006937CE">
          <w:rPr>
            <w:rStyle w:val="a5"/>
          </w:rPr>
          <w:t>二十七</w:t>
        </w:r>
      </w:hyperlink>
      <w:r w:rsidR="00541C0B" w:rsidRPr="006937CE">
        <w:t>條</w:t>
      </w:r>
      <w:r w:rsidR="00203F72" w:rsidRPr="006937CE">
        <w:t>第一項第三款及</w:t>
      </w:r>
      <w:r w:rsidR="00541C0B" w:rsidRPr="006937CE">
        <w:t>第</w:t>
      </w:r>
      <w:hyperlink r:id="rId565" w:anchor="a174" w:history="1">
        <w:r w:rsidR="00541C0B" w:rsidRPr="006937CE">
          <w:rPr>
            <w:rStyle w:val="a5"/>
          </w:rPr>
          <w:t>一百七十四</w:t>
        </w:r>
      </w:hyperlink>
      <w:r w:rsidR="00541C0B" w:rsidRPr="006937CE">
        <w:t>條</w:t>
      </w:r>
      <w:r w:rsidR="00203F72" w:rsidRPr="006937CE">
        <w:t>第一款之規定，增修憲法條文。依增修條</w:t>
      </w:r>
      <w:r w:rsidR="001B1539" w:rsidRPr="006937CE">
        <w:t>文</w:t>
      </w:r>
      <w:hyperlink r:id="rId566" w:anchor="b2" w:history="1">
        <w:r w:rsidR="001B1539" w:rsidRPr="006937CE">
          <w:rPr>
            <w:rStyle w:val="a5"/>
          </w:rPr>
          <w:t>第2條</w:t>
        </w:r>
      </w:hyperlink>
      <w:r w:rsidR="00203F72" w:rsidRPr="006937CE">
        <w:t>之規定，副總統缺位時，總統應於三個月內提名候選人，由立法院補選，繼任至原任期屆滿為止。總統、副總統均缺位時，由行政院院長代行其職權，並依本條第一項規定補選總統、副總統，繼任至原任期屆滿為止，不適用憲法</w:t>
      </w:r>
      <w:r w:rsidR="008F066C" w:rsidRPr="006937CE">
        <w:t>第</w:t>
      </w:r>
      <w:hyperlink r:id="rId567" w:anchor="a49" w:history="1">
        <w:r w:rsidR="008F066C" w:rsidRPr="006937CE">
          <w:rPr>
            <w:rStyle w:val="a5"/>
          </w:rPr>
          <w:t>四十九</w:t>
        </w:r>
      </w:hyperlink>
      <w:r w:rsidR="008F066C" w:rsidRPr="006937CE">
        <w:t>條</w:t>
      </w:r>
      <w:r w:rsidR="00203F72" w:rsidRPr="006937CE">
        <w:t>之有關規定。</w:t>
      </w:r>
    </w:p>
    <w:p w14:paraId="0546DB2E" w14:textId="77777777" w:rsidR="00953151" w:rsidRDefault="00076467" w:rsidP="00767F37">
      <w:pPr>
        <w:pStyle w:val="2"/>
      </w:pPr>
      <w:hyperlink r:id="rId568" w:anchor="a50" w:history="1">
        <w:r w:rsidR="005D5A46">
          <w:rPr>
            <w:rStyle w:val="a5"/>
            <w:rFonts w:ascii="Arial Unicode MS" w:hAnsi="Arial Unicode MS"/>
          </w:rPr>
          <w:t>第</w:t>
        </w:r>
        <w:r w:rsidR="00203F72" w:rsidRPr="001B53A5">
          <w:rPr>
            <w:rStyle w:val="a5"/>
            <w:rFonts w:ascii="Arial Unicode MS" w:hAnsi="Arial Unicode MS"/>
          </w:rPr>
          <w:t>50</w:t>
        </w:r>
        <w:r w:rsidR="005D5A46">
          <w:rPr>
            <w:rStyle w:val="a5"/>
            <w:rFonts w:ascii="Arial Unicode MS" w:hAnsi="Arial Unicode MS"/>
          </w:rPr>
          <w:t>條</w:t>
        </w:r>
      </w:hyperlink>
      <w:r w:rsidR="00203F72" w:rsidRPr="00A53581">
        <w:t>總統於任滿之日解職，如屆期次任總統尚未選出，或選出後總統、副總統均未就職時，由行政院院長代行總統職權。</w:t>
      </w:r>
    </w:p>
    <w:p w14:paraId="0A533161" w14:textId="77777777" w:rsidR="00203F72" w:rsidRPr="00A53581" w:rsidRDefault="00B03E84" w:rsidP="00D87D91">
      <w:r>
        <w:t>【內容解析】</w:t>
      </w:r>
    </w:p>
    <w:p w14:paraId="349A1C86" w14:textId="77777777" w:rsidR="00953151" w:rsidRPr="006937CE" w:rsidRDefault="007F7377" w:rsidP="00D87D91">
      <w:r w:rsidRPr="006937CE">
        <w:t xml:space="preserve">　　</w:t>
      </w:r>
      <w:r w:rsidR="00203F72" w:rsidRPr="006937CE">
        <w:t>總統於任滿之日解職，如屆期次任總統尚未選出，或選出後總統、副總統均未就職時，就由行政院院長代行總統職權。但依憲</w:t>
      </w:r>
      <w:r w:rsidR="006937CE" w:rsidRPr="006937CE">
        <w:t>法</w:t>
      </w:r>
      <w:hyperlink r:id="rId569" w:anchor="a51" w:history="1">
        <w:r w:rsidR="006937CE" w:rsidRPr="006937CE">
          <w:rPr>
            <w:rStyle w:val="a5"/>
          </w:rPr>
          <w:t>第51條</w:t>
        </w:r>
      </w:hyperlink>
      <w:r w:rsidR="00203F72" w:rsidRPr="006937CE">
        <w:t>之規定，行政院院長代行總統職權時其期限不得逾三個月。</w:t>
      </w:r>
    </w:p>
    <w:p w14:paraId="174502B2" w14:textId="77777777" w:rsidR="00953151" w:rsidRDefault="00076467" w:rsidP="00767F37">
      <w:pPr>
        <w:pStyle w:val="2"/>
      </w:pPr>
      <w:hyperlink r:id="rId570" w:anchor="a51" w:history="1">
        <w:r w:rsidR="005D5A46">
          <w:rPr>
            <w:rStyle w:val="a5"/>
            <w:rFonts w:ascii="Arial Unicode MS" w:hAnsi="Arial Unicode MS"/>
          </w:rPr>
          <w:t>第</w:t>
        </w:r>
        <w:r w:rsidR="00203F72" w:rsidRPr="001B53A5">
          <w:rPr>
            <w:rStyle w:val="a5"/>
            <w:rFonts w:ascii="Arial Unicode MS" w:hAnsi="Arial Unicode MS"/>
          </w:rPr>
          <w:t>51</w:t>
        </w:r>
        <w:r w:rsidR="005D5A46">
          <w:rPr>
            <w:rStyle w:val="a5"/>
            <w:rFonts w:ascii="Arial Unicode MS" w:hAnsi="Arial Unicode MS"/>
          </w:rPr>
          <w:t>條</w:t>
        </w:r>
      </w:hyperlink>
      <w:r w:rsidR="00203F72" w:rsidRPr="00A53581">
        <w:t>行政院院長代行總統職權時，其期限不得逾三個月。</w:t>
      </w:r>
    </w:p>
    <w:p w14:paraId="4D851B1D" w14:textId="77777777" w:rsidR="00953151" w:rsidRPr="00026C6F" w:rsidRDefault="00B03E84" w:rsidP="00D87D91">
      <w:r w:rsidRPr="00026C6F">
        <w:t>【內容解析】</w:t>
      </w:r>
    </w:p>
    <w:p w14:paraId="066E0713" w14:textId="77777777" w:rsidR="00953151" w:rsidRPr="00026C6F" w:rsidRDefault="007F7377" w:rsidP="00D87D91">
      <w:r w:rsidRPr="00026C6F">
        <w:t xml:space="preserve">　　</w:t>
      </w:r>
      <w:r w:rsidR="00203F72" w:rsidRPr="00026C6F">
        <w:t>由於行政院代行總統職權並非常態，因此有一定期限之規定，以避免政治紛爭出現，畢竟行政院長非經既定程序選出之總統。當發生憲法</w:t>
      </w:r>
      <w:hyperlink r:id="rId571" w:anchor="a49" w:history="1">
        <w:r w:rsidR="00BE1B2A" w:rsidRPr="00BE1B2A">
          <w:rPr>
            <w:rStyle w:val="a5"/>
            <w:rFonts w:hint="eastAsia"/>
            <w:kern w:val="0"/>
          </w:rPr>
          <w:t>第49條</w:t>
        </w:r>
      </w:hyperlink>
      <w:r w:rsidR="00203F72" w:rsidRPr="00026C6F">
        <w:t>規定之總統、副總統均缺位時，由行政院院長代行其職權。總統、副總統均不能</w:t>
      </w:r>
      <w:r w:rsidR="003E240E">
        <w:t>視</w:t>
      </w:r>
      <w:r w:rsidR="00203F72" w:rsidRPr="00026C6F">
        <w:t>事時。或有</w:t>
      </w:r>
      <w:hyperlink r:id="rId572" w:anchor="a50" w:history="1">
        <w:r w:rsidR="00203F72" w:rsidRPr="00A5735A">
          <w:rPr>
            <w:rStyle w:val="a5"/>
            <w:rFonts w:ascii="Times New Roman" w:hAnsi="Times New Roman"/>
          </w:rPr>
          <w:t>第</w:t>
        </w:r>
        <w:r w:rsidR="00203F72" w:rsidRPr="00A5735A">
          <w:rPr>
            <w:rStyle w:val="a5"/>
            <w:rFonts w:ascii="Times New Roman" w:hAnsi="Times New Roman"/>
          </w:rPr>
          <w:t>50</w:t>
        </w:r>
        <w:r w:rsidR="00203F72" w:rsidRPr="00A5735A">
          <w:rPr>
            <w:rStyle w:val="a5"/>
            <w:rFonts w:ascii="Times New Roman" w:hAnsi="Times New Roman"/>
          </w:rPr>
          <w:t>條</w:t>
        </w:r>
      </w:hyperlink>
      <w:r w:rsidR="00203F72" w:rsidRPr="00026C6F">
        <w:t>之情形，總統於任滿之日解職，如屆期次任總統尚未選出，或選出後總統、副總統均未就職時，由行政院院長代行總統職權。本條明文規定當遇到上述狀況，由行政院院長代行總統職權時，其期限不得超過三個月。</w:t>
      </w:r>
    </w:p>
    <w:p w14:paraId="461207B8" w14:textId="77777777" w:rsidR="00953151" w:rsidRPr="00026C6F" w:rsidRDefault="007F7377" w:rsidP="00D87D91">
      <w:r w:rsidRPr="00026C6F">
        <w:t xml:space="preserve">　　</w:t>
      </w:r>
      <w:r w:rsidR="00203F72" w:rsidRPr="00026C6F">
        <w:t>行政院長為執行行政權之首長，事務繁忙，若長期兼任總統職權恐力有未逮。同時總統依憲法代表國家並擁有重大職權，並且我國採取五權分立，為維持五院間彼此相互制衡及合作之微妙關係，不宜由行政院長長期擔任代理總統一職，以防弊端、紛爭產生。</w:t>
      </w:r>
    </w:p>
    <w:p w14:paraId="3CBEF0F1" w14:textId="77777777" w:rsidR="00953151" w:rsidRDefault="00076467" w:rsidP="00767F37">
      <w:pPr>
        <w:pStyle w:val="2"/>
      </w:pPr>
      <w:hyperlink r:id="rId573" w:anchor="a52" w:history="1">
        <w:r w:rsidR="005D5A46">
          <w:rPr>
            <w:rStyle w:val="a5"/>
            <w:rFonts w:ascii="Arial Unicode MS" w:hAnsi="Arial Unicode MS"/>
          </w:rPr>
          <w:t>第</w:t>
        </w:r>
        <w:r w:rsidR="00203F72" w:rsidRPr="001B53A5">
          <w:rPr>
            <w:rStyle w:val="a5"/>
            <w:rFonts w:ascii="Arial Unicode MS" w:hAnsi="Arial Unicode MS"/>
          </w:rPr>
          <w:t>52</w:t>
        </w:r>
        <w:r w:rsidR="005D5A46">
          <w:rPr>
            <w:rStyle w:val="a5"/>
            <w:rFonts w:ascii="Arial Unicode MS" w:hAnsi="Arial Unicode MS"/>
          </w:rPr>
          <w:t>條</w:t>
        </w:r>
      </w:hyperlink>
      <w:r w:rsidR="00203F72" w:rsidRPr="00A53581">
        <w:t>總統除犯內亂或外患罪外，非經罷免或解職，不受刑事上之訴究。</w:t>
      </w:r>
    </w:p>
    <w:p w14:paraId="042E11E4" w14:textId="77777777" w:rsidR="00953151" w:rsidRPr="00026C6F" w:rsidRDefault="00B03E84" w:rsidP="00D87D91">
      <w:r w:rsidRPr="00026C6F">
        <w:t>【內容解析】</w:t>
      </w:r>
    </w:p>
    <w:p w14:paraId="7670FE1D" w14:textId="77777777" w:rsidR="00953151" w:rsidRPr="00026C6F" w:rsidRDefault="007F7377" w:rsidP="00D87D91">
      <w:r w:rsidRPr="00026C6F">
        <w:t xml:space="preserve">　　</w:t>
      </w:r>
      <w:r w:rsidR="00203F72" w:rsidRPr="00026C6F">
        <w:t>總統除非犯了</w:t>
      </w:r>
      <w:hyperlink r:id="rId574" w:history="1">
        <w:r w:rsidR="006B7176" w:rsidRPr="006B7176">
          <w:rPr>
            <w:rStyle w:val="a5"/>
            <w:rFonts w:eastAsia="新細明體"/>
            <w:kern w:val="0"/>
          </w:rPr>
          <w:t>刑法</w:t>
        </w:r>
      </w:hyperlink>
      <w:r w:rsidR="00203F72" w:rsidRPr="00026C6F">
        <w:t>規定之內亂罪及外犯罪外，非經由一定程序之罷免或解職，不受到刑事上之訴究，稱為總統之刑事豁免權，主要針對總統任職期間，恐影響其身分及職權之行使。主要目的在讓總統能專心政務，以及避免因為總統缺位造成政治紛爭，副總統不能類推適用。</w:t>
      </w:r>
    </w:p>
    <w:p w14:paraId="67D197C4" w14:textId="77777777" w:rsidR="003E43C4" w:rsidRDefault="003E43C4" w:rsidP="00D87D91"/>
    <w:p w14:paraId="6EB83682" w14:textId="25F856E4" w:rsidR="00203F72" w:rsidRPr="00026C6F" w:rsidRDefault="00B03E84" w:rsidP="00D87D91">
      <w:r w:rsidRPr="00026C6F">
        <w:t>【</w:t>
      </w:r>
      <w:r w:rsidRPr="00026C6F">
        <w:t>table</w:t>
      </w:r>
      <w:r w:rsidR="005E23E3" w:rsidRPr="00026C6F">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37</w:t>
      </w:r>
      <w:r w:rsidR="00076467">
        <w:rPr>
          <w:noProof/>
        </w:rPr>
        <w:fldChar w:fldCharType="end"/>
      </w:r>
      <w:r w:rsidR="00203F72" w:rsidRPr="00026C6F">
        <w:t>總統與立法委員免責權比較表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810"/>
        <w:gridCol w:w="2589"/>
        <w:gridCol w:w="1084"/>
        <w:gridCol w:w="2148"/>
      </w:tblGrid>
      <w:tr w:rsidR="00203F72" w:rsidRPr="00A53581" w14:paraId="691CEA58" w14:textId="77777777" w:rsidTr="003E43C4">
        <w:trPr>
          <w:tblHeader/>
        </w:trPr>
        <w:tc>
          <w:tcPr>
            <w:tcW w:w="897" w:type="pct"/>
            <w:vMerge w:val="restart"/>
            <w:shd w:val="clear" w:color="auto" w:fill="FAF0FA"/>
          </w:tcPr>
          <w:p w14:paraId="2C10002E" w14:textId="77777777" w:rsidR="00203F72" w:rsidRPr="00A53581" w:rsidRDefault="00203F72" w:rsidP="00D87D91"/>
        </w:tc>
        <w:tc>
          <w:tcPr>
            <w:tcW w:w="2103" w:type="pct"/>
            <w:gridSpan w:val="2"/>
            <w:shd w:val="clear" w:color="auto" w:fill="FAF0FA"/>
          </w:tcPr>
          <w:p w14:paraId="7CE3AE5D" w14:textId="77777777" w:rsidR="00203F72" w:rsidRPr="00A53581" w:rsidRDefault="00203F72" w:rsidP="00D87D91">
            <w:r w:rsidRPr="00A53581">
              <w:t>實體法上免責權</w:t>
            </w:r>
          </w:p>
        </w:tc>
        <w:tc>
          <w:tcPr>
            <w:tcW w:w="2000" w:type="pct"/>
            <w:gridSpan w:val="2"/>
            <w:shd w:val="clear" w:color="auto" w:fill="FAF0FA"/>
          </w:tcPr>
          <w:p w14:paraId="45A514D4" w14:textId="77777777" w:rsidR="00203F72" w:rsidRPr="00A53581" w:rsidRDefault="00203F72" w:rsidP="00D87D91">
            <w:r w:rsidRPr="00A53581">
              <w:t>刑事訴訟法上豁免權</w:t>
            </w:r>
          </w:p>
        </w:tc>
      </w:tr>
      <w:tr w:rsidR="00203F72" w:rsidRPr="00A53581" w14:paraId="5BDC0F06" w14:textId="77777777" w:rsidTr="003E43C4">
        <w:trPr>
          <w:tblHeader/>
        </w:trPr>
        <w:tc>
          <w:tcPr>
            <w:tcW w:w="897" w:type="pct"/>
            <w:vMerge/>
            <w:shd w:val="clear" w:color="auto" w:fill="FAF0FA"/>
          </w:tcPr>
          <w:p w14:paraId="1557304D" w14:textId="77777777" w:rsidR="00203F72" w:rsidRPr="00A53581" w:rsidRDefault="00203F72" w:rsidP="00D87D91"/>
        </w:tc>
        <w:tc>
          <w:tcPr>
            <w:tcW w:w="501" w:type="pct"/>
            <w:shd w:val="clear" w:color="auto" w:fill="FAF0FA"/>
          </w:tcPr>
          <w:p w14:paraId="4CE4B6E4" w14:textId="77777777" w:rsidR="00203F72" w:rsidRPr="00A53581" w:rsidRDefault="00203F72" w:rsidP="00D87D91">
            <w:r w:rsidRPr="00A53581">
              <w:t>總統</w:t>
            </w:r>
          </w:p>
        </w:tc>
        <w:tc>
          <w:tcPr>
            <w:tcW w:w="1602" w:type="pct"/>
            <w:shd w:val="clear" w:color="auto" w:fill="FAF0FA"/>
          </w:tcPr>
          <w:p w14:paraId="7D491627" w14:textId="77777777" w:rsidR="00203F72" w:rsidRPr="00A53581" w:rsidRDefault="00203F72" w:rsidP="00D87D91">
            <w:r w:rsidRPr="00A53581">
              <w:t>立法委員</w:t>
            </w:r>
          </w:p>
        </w:tc>
        <w:tc>
          <w:tcPr>
            <w:tcW w:w="671" w:type="pct"/>
            <w:shd w:val="clear" w:color="auto" w:fill="FAF0FA"/>
          </w:tcPr>
          <w:p w14:paraId="77E3C163" w14:textId="77777777" w:rsidR="00203F72" w:rsidRPr="00A53581" w:rsidRDefault="00203F72" w:rsidP="00D87D91">
            <w:r w:rsidRPr="00A53581">
              <w:t>總統</w:t>
            </w:r>
          </w:p>
        </w:tc>
        <w:tc>
          <w:tcPr>
            <w:tcW w:w="1329" w:type="pct"/>
            <w:shd w:val="clear" w:color="auto" w:fill="FAF0FA"/>
          </w:tcPr>
          <w:p w14:paraId="777EF077" w14:textId="77777777" w:rsidR="00203F72" w:rsidRPr="00A53581" w:rsidRDefault="00203F72" w:rsidP="00D87D91">
            <w:r w:rsidRPr="00A53581">
              <w:t>立法委員</w:t>
            </w:r>
          </w:p>
        </w:tc>
      </w:tr>
      <w:tr w:rsidR="00203F72" w:rsidRPr="00A53581" w14:paraId="022B16C4" w14:textId="77777777" w:rsidTr="00203F72">
        <w:tc>
          <w:tcPr>
            <w:tcW w:w="897" w:type="pct"/>
            <w:shd w:val="clear" w:color="auto" w:fill="auto"/>
          </w:tcPr>
          <w:p w14:paraId="24393485" w14:textId="77777777" w:rsidR="00203F72" w:rsidRPr="00A53581" w:rsidRDefault="00203F72" w:rsidP="00D87D91">
            <w:r w:rsidRPr="00A53581">
              <w:t>內亂罪、外患罪</w:t>
            </w:r>
          </w:p>
        </w:tc>
        <w:tc>
          <w:tcPr>
            <w:tcW w:w="501" w:type="pct"/>
            <w:vMerge w:val="restart"/>
            <w:shd w:val="clear" w:color="auto" w:fill="auto"/>
          </w:tcPr>
          <w:p w14:paraId="41A095E7" w14:textId="77777777" w:rsidR="00203F72" w:rsidRPr="00A53581" w:rsidRDefault="00203F72" w:rsidP="00D87D91">
            <w:r w:rsidRPr="00A53581">
              <w:t>不免責</w:t>
            </w:r>
          </w:p>
        </w:tc>
        <w:tc>
          <w:tcPr>
            <w:tcW w:w="1602" w:type="pct"/>
            <w:shd w:val="clear" w:color="auto" w:fill="auto"/>
          </w:tcPr>
          <w:p w14:paraId="48A3929D" w14:textId="77777777" w:rsidR="00203F72" w:rsidRPr="00A53581" w:rsidRDefault="00203F72" w:rsidP="00D87D91">
            <w:r w:rsidRPr="00A53581">
              <w:t>未規定，解釋上無免責問題</w:t>
            </w:r>
          </w:p>
        </w:tc>
        <w:tc>
          <w:tcPr>
            <w:tcW w:w="671" w:type="pct"/>
            <w:shd w:val="clear" w:color="auto" w:fill="auto"/>
          </w:tcPr>
          <w:p w14:paraId="463C66C1" w14:textId="77777777" w:rsidR="00203F72" w:rsidRPr="00A53581" w:rsidRDefault="00203F72" w:rsidP="00D87D91">
            <w:r w:rsidRPr="00A53581">
              <w:t>不豁免</w:t>
            </w:r>
          </w:p>
        </w:tc>
        <w:tc>
          <w:tcPr>
            <w:tcW w:w="1329" w:type="pct"/>
            <w:shd w:val="clear" w:color="auto" w:fill="auto"/>
          </w:tcPr>
          <w:p w14:paraId="163ECC2A" w14:textId="77777777" w:rsidR="00203F72" w:rsidRPr="00A53581" w:rsidRDefault="00203F72" w:rsidP="00D87D91">
            <w:r w:rsidRPr="00A53581">
              <w:t>未規定，解釋上不豁免</w:t>
            </w:r>
          </w:p>
        </w:tc>
      </w:tr>
      <w:tr w:rsidR="00203F72" w:rsidRPr="00A53581" w14:paraId="14A5CAAC" w14:textId="77777777" w:rsidTr="00203F72">
        <w:tc>
          <w:tcPr>
            <w:tcW w:w="897" w:type="pct"/>
            <w:shd w:val="clear" w:color="auto" w:fill="auto"/>
          </w:tcPr>
          <w:p w14:paraId="4A1516D3" w14:textId="77777777" w:rsidR="00203F72" w:rsidRPr="00A53581" w:rsidRDefault="00203F72" w:rsidP="00D87D91">
            <w:r w:rsidRPr="00A53581">
              <w:t>職務犯罪、其他犯罪</w:t>
            </w:r>
          </w:p>
        </w:tc>
        <w:tc>
          <w:tcPr>
            <w:tcW w:w="501" w:type="pct"/>
            <w:vMerge/>
            <w:shd w:val="clear" w:color="auto" w:fill="auto"/>
          </w:tcPr>
          <w:p w14:paraId="26196A48" w14:textId="77777777" w:rsidR="00203F72" w:rsidRPr="00A53581" w:rsidRDefault="00203F72" w:rsidP="00D87D91"/>
        </w:tc>
        <w:tc>
          <w:tcPr>
            <w:tcW w:w="1602" w:type="pct"/>
            <w:vMerge w:val="restart"/>
            <w:shd w:val="clear" w:color="auto" w:fill="auto"/>
          </w:tcPr>
          <w:p w14:paraId="380F1D87" w14:textId="77777777" w:rsidR="00203F72" w:rsidRPr="00A53581" w:rsidRDefault="00203F72" w:rsidP="00D87D91">
            <w:r w:rsidRPr="00A53581">
              <w:t>憲法</w:t>
            </w:r>
            <w:r w:rsidRPr="00A53581">
              <w:t>§</w:t>
            </w:r>
            <w:hyperlink r:id="rId575" w:anchor="a73" w:history="1">
              <w:r w:rsidRPr="00141330">
                <w:rPr>
                  <w:rStyle w:val="a5"/>
                  <w:rFonts w:eastAsia="新細明體"/>
                </w:rPr>
                <w:t>73</w:t>
              </w:r>
            </w:hyperlink>
            <w:r w:rsidRPr="00A53581">
              <w:t>：在院內所為之言論及表決，對院外不負責任。（釋字</w:t>
            </w:r>
            <w:hyperlink r:id="rId576" w:anchor="r435" w:history="1">
              <w:r w:rsidRPr="007776F0">
                <w:rPr>
                  <w:rStyle w:val="a5"/>
                  <w:rFonts w:eastAsia="新細明體"/>
                </w:rPr>
                <w:t>第435號</w:t>
              </w:r>
            </w:hyperlink>
            <w:r w:rsidRPr="00A53581">
              <w:t>：與行使職權有關之言論及表決）</w:t>
            </w:r>
          </w:p>
        </w:tc>
        <w:tc>
          <w:tcPr>
            <w:tcW w:w="671" w:type="pct"/>
            <w:shd w:val="clear" w:color="auto" w:fill="auto"/>
          </w:tcPr>
          <w:p w14:paraId="36ECA7EC" w14:textId="77777777" w:rsidR="00203F72" w:rsidRPr="00A53581" w:rsidRDefault="00203F72" w:rsidP="00D87D91">
            <w:r w:rsidRPr="00A53581">
              <w:t>不受刑事上之訴究</w:t>
            </w:r>
          </w:p>
        </w:tc>
        <w:tc>
          <w:tcPr>
            <w:tcW w:w="1329" w:type="pct"/>
            <w:shd w:val="clear" w:color="auto" w:fill="auto"/>
          </w:tcPr>
          <w:p w14:paraId="2FF2E772" w14:textId="77777777" w:rsidR="00203F72" w:rsidRPr="00A53581" w:rsidRDefault="00203F72" w:rsidP="00D87D91">
            <w:r w:rsidRPr="00A53581">
              <w:t>憲法增修條</w:t>
            </w:r>
            <w:hyperlink r:id="rId577" w:anchor="b4" w:history="1">
              <w:r w:rsidRPr="007776F0">
                <w:rPr>
                  <w:rStyle w:val="a5"/>
                  <w:rFonts w:eastAsia="新細明體"/>
                </w:rPr>
                <w:t>文§4</w:t>
              </w:r>
            </w:hyperlink>
            <w:r w:rsidRPr="00A53581">
              <w:rPr>
                <w:rFonts w:hint="eastAsia"/>
              </w:rPr>
              <w:t>Ⅷ</w:t>
            </w:r>
            <w:r w:rsidRPr="00A53581">
              <w:t>：除現行犯外，在會期中，非經立法院許可，不得逮捕或拘禁</w:t>
            </w:r>
          </w:p>
        </w:tc>
      </w:tr>
      <w:tr w:rsidR="00203F72" w:rsidRPr="00A53581" w14:paraId="4D466E24" w14:textId="77777777" w:rsidTr="00203F72">
        <w:tc>
          <w:tcPr>
            <w:tcW w:w="897" w:type="pct"/>
            <w:shd w:val="clear" w:color="auto" w:fill="auto"/>
          </w:tcPr>
          <w:p w14:paraId="375CDC30" w14:textId="77777777" w:rsidR="00203F72" w:rsidRPr="00A53581" w:rsidRDefault="00203F72" w:rsidP="00D87D91">
            <w:r w:rsidRPr="00A53581">
              <w:t>民事責任</w:t>
            </w:r>
          </w:p>
        </w:tc>
        <w:tc>
          <w:tcPr>
            <w:tcW w:w="501" w:type="pct"/>
            <w:vMerge/>
            <w:shd w:val="clear" w:color="auto" w:fill="auto"/>
          </w:tcPr>
          <w:p w14:paraId="0077DDA8" w14:textId="77777777" w:rsidR="00203F72" w:rsidRPr="00A53581" w:rsidRDefault="00203F72" w:rsidP="00D87D91"/>
        </w:tc>
        <w:tc>
          <w:tcPr>
            <w:tcW w:w="1602" w:type="pct"/>
            <w:vMerge/>
            <w:shd w:val="clear" w:color="auto" w:fill="auto"/>
          </w:tcPr>
          <w:p w14:paraId="117F1CB3" w14:textId="77777777" w:rsidR="00203F72" w:rsidRPr="00A53581" w:rsidRDefault="00203F72" w:rsidP="00D87D91"/>
        </w:tc>
        <w:tc>
          <w:tcPr>
            <w:tcW w:w="2000" w:type="pct"/>
            <w:gridSpan w:val="2"/>
            <w:shd w:val="clear" w:color="auto" w:fill="auto"/>
          </w:tcPr>
          <w:p w14:paraId="547CA803" w14:textId="77777777" w:rsidR="00203F72" w:rsidRPr="00A53581" w:rsidRDefault="00203F72" w:rsidP="00D87D91">
            <w:r w:rsidRPr="00A53581">
              <w:t>不豁免</w:t>
            </w:r>
          </w:p>
        </w:tc>
      </w:tr>
    </w:tbl>
    <w:p w14:paraId="21FC4494" w14:textId="77777777" w:rsidR="00203F72" w:rsidRPr="00A53581" w:rsidRDefault="002107CE" w:rsidP="00D87D91">
      <w:r>
        <w:t>【本表格資料來源】</w:t>
      </w:r>
      <w:r w:rsidR="00203F72" w:rsidRPr="00A53581">
        <w:t>李惠宗</w:t>
      </w:r>
      <w:r w:rsidR="00203F72" w:rsidRPr="00A53581">
        <w:t>(2011)</w:t>
      </w:r>
      <w:r w:rsidR="00203F72" w:rsidRPr="00A53581">
        <w:t>，中華民國憲法概要：憲法生活的新思維（</w:t>
      </w:r>
      <w:r w:rsidR="00203F72" w:rsidRPr="00A53581">
        <w:t>Introduction to the Constitution of the Republic of China</w:t>
      </w:r>
      <w:r w:rsidR="00203F72" w:rsidRPr="00A53581">
        <w:t>），第</w:t>
      </w:r>
      <w:r w:rsidR="00203F72" w:rsidRPr="00A53581">
        <w:t>9</w:t>
      </w:r>
      <w:r w:rsidR="00203F72" w:rsidRPr="00A53581">
        <w:t>版，台北市：元照，第</w:t>
      </w:r>
      <w:r w:rsidR="00203F72" w:rsidRPr="00A53581">
        <w:t>226</w:t>
      </w:r>
      <w:r w:rsidR="00203F72" w:rsidRPr="00A53581">
        <w:t>頁。</w:t>
      </w:r>
    </w:p>
    <w:p w14:paraId="65DFB203" w14:textId="77777777" w:rsidR="00203F72" w:rsidRPr="00026C6F" w:rsidRDefault="007F7377" w:rsidP="00D87D91">
      <w:r w:rsidRPr="00026C6F">
        <w:t>【備註】</w:t>
      </w:r>
      <w:r w:rsidR="00203F72" w:rsidRPr="00026C6F">
        <w:t>羅馬數字之意義，</w:t>
      </w:r>
      <w:r w:rsidR="00203F72" w:rsidRPr="00026C6F">
        <w:t>I</w:t>
      </w:r>
      <w:r w:rsidR="00203F72" w:rsidRPr="00026C6F">
        <w:rPr>
          <w:rFonts w:hint="eastAsia"/>
        </w:rPr>
        <w:t>-1</w:t>
      </w:r>
      <w:r w:rsidR="00203F72" w:rsidRPr="00026C6F">
        <w:rPr>
          <w:rFonts w:hint="eastAsia"/>
        </w:rPr>
        <w:t>；</w:t>
      </w:r>
      <w:r w:rsidR="00203F72" w:rsidRPr="00026C6F">
        <w:t>II</w:t>
      </w:r>
      <w:r w:rsidR="00203F72" w:rsidRPr="00026C6F">
        <w:rPr>
          <w:rFonts w:hint="eastAsia"/>
        </w:rPr>
        <w:t>-</w:t>
      </w:r>
      <w:r w:rsidR="00203F72" w:rsidRPr="00026C6F">
        <w:t>2</w:t>
      </w:r>
      <w:r w:rsidR="00203F72" w:rsidRPr="00026C6F">
        <w:t>；</w:t>
      </w:r>
      <w:r w:rsidR="00203F72" w:rsidRPr="00026C6F">
        <w:t>III</w:t>
      </w:r>
      <w:r w:rsidR="00203F72" w:rsidRPr="00026C6F">
        <w:rPr>
          <w:rFonts w:hint="eastAsia"/>
        </w:rPr>
        <w:t>-</w:t>
      </w:r>
      <w:r w:rsidR="00203F72" w:rsidRPr="00026C6F">
        <w:t>3</w:t>
      </w:r>
      <w:r w:rsidR="00203F72" w:rsidRPr="00026C6F">
        <w:t>；</w:t>
      </w:r>
      <w:r w:rsidR="00203F72" w:rsidRPr="00026C6F">
        <w:t>IV</w:t>
      </w:r>
      <w:r w:rsidR="00203F72" w:rsidRPr="00026C6F">
        <w:rPr>
          <w:rFonts w:hint="eastAsia"/>
        </w:rPr>
        <w:t>-</w:t>
      </w:r>
      <w:r w:rsidR="00203F72" w:rsidRPr="00026C6F">
        <w:t>4</w:t>
      </w:r>
      <w:r w:rsidR="00203F72" w:rsidRPr="00026C6F">
        <w:t>；</w:t>
      </w:r>
      <w:r w:rsidR="00203F72" w:rsidRPr="00026C6F">
        <w:t>V</w:t>
      </w:r>
      <w:r w:rsidR="00203F72" w:rsidRPr="00026C6F">
        <w:rPr>
          <w:rFonts w:hint="eastAsia"/>
        </w:rPr>
        <w:t>-</w:t>
      </w:r>
      <w:r w:rsidR="00203F72" w:rsidRPr="00026C6F">
        <w:t>5</w:t>
      </w:r>
      <w:r w:rsidR="00203F72" w:rsidRPr="00026C6F">
        <w:t>；</w:t>
      </w:r>
      <w:r w:rsidR="00203F72" w:rsidRPr="00026C6F">
        <w:t>VI</w:t>
      </w:r>
      <w:r w:rsidR="00203F72" w:rsidRPr="00026C6F">
        <w:rPr>
          <w:rFonts w:hint="eastAsia"/>
        </w:rPr>
        <w:t>-6</w:t>
      </w:r>
      <w:r w:rsidR="00203F72" w:rsidRPr="00026C6F">
        <w:rPr>
          <w:rFonts w:hint="eastAsia"/>
        </w:rPr>
        <w:t>；</w:t>
      </w:r>
      <w:r w:rsidR="00203F72" w:rsidRPr="00026C6F">
        <w:t>VII</w:t>
      </w:r>
      <w:r w:rsidR="00203F72" w:rsidRPr="00026C6F">
        <w:rPr>
          <w:rFonts w:hint="eastAsia"/>
        </w:rPr>
        <w:t>-</w:t>
      </w:r>
      <w:r w:rsidR="00203F72" w:rsidRPr="00026C6F">
        <w:t>7</w:t>
      </w:r>
      <w:r w:rsidR="00203F72" w:rsidRPr="00026C6F">
        <w:t>；</w:t>
      </w:r>
      <w:r w:rsidR="00203F72" w:rsidRPr="00026C6F">
        <w:t>VIII</w:t>
      </w:r>
      <w:r w:rsidR="00203F72" w:rsidRPr="00026C6F">
        <w:rPr>
          <w:rFonts w:hint="eastAsia"/>
        </w:rPr>
        <w:t>-</w:t>
      </w:r>
      <w:r w:rsidR="00203F72" w:rsidRPr="00026C6F">
        <w:t>8</w:t>
      </w:r>
      <w:r w:rsidR="00203F72" w:rsidRPr="00026C6F">
        <w:t>；</w:t>
      </w:r>
      <w:r w:rsidR="00203F72" w:rsidRPr="00026C6F">
        <w:t>IX</w:t>
      </w:r>
      <w:r w:rsidR="00203F72" w:rsidRPr="00026C6F">
        <w:rPr>
          <w:rFonts w:hint="eastAsia"/>
        </w:rPr>
        <w:t>-</w:t>
      </w:r>
      <w:r w:rsidR="00203F72" w:rsidRPr="00026C6F">
        <w:t>9</w:t>
      </w:r>
      <w:r w:rsidR="00203F72" w:rsidRPr="00026C6F">
        <w:t>；</w:t>
      </w:r>
      <w:r w:rsidR="00203F72" w:rsidRPr="00026C6F">
        <w:t>X</w:t>
      </w:r>
      <w:r w:rsidR="00203F72" w:rsidRPr="00026C6F">
        <w:rPr>
          <w:rFonts w:hint="eastAsia"/>
        </w:rPr>
        <w:t>-10</w:t>
      </w:r>
      <w:r w:rsidR="00203F72" w:rsidRPr="00026C6F">
        <w:rPr>
          <w:rFonts w:hint="eastAsia"/>
        </w:rPr>
        <w:t>。</w:t>
      </w:r>
    </w:p>
    <w:p w14:paraId="51BD0B89" w14:textId="77777777" w:rsidR="00953151" w:rsidRPr="00026C6F" w:rsidRDefault="007F7377" w:rsidP="00D87D91">
      <w:r w:rsidRPr="00026C6F">
        <w:t xml:space="preserve">　　</w:t>
      </w:r>
      <w:r w:rsidR="00203F72" w:rsidRPr="00026C6F">
        <w:t>司法院釋字</w:t>
      </w:r>
      <w:hyperlink r:id="rId578" w:anchor="r388" w:history="1">
        <w:r w:rsidR="00203F72" w:rsidRPr="003E43C4">
          <w:rPr>
            <w:rStyle w:val="a5"/>
            <w:rFonts w:ascii="Times New Roman" w:eastAsia="新細明體" w:hAnsi="Times New Roman"/>
          </w:rPr>
          <w:t>第</w:t>
        </w:r>
        <w:r w:rsidR="00203F72" w:rsidRPr="003E43C4">
          <w:rPr>
            <w:rStyle w:val="a5"/>
            <w:rFonts w:ascii="Times New Roman" w:eastAsia="新細明體" w:hAnsi="Times New Roman"/>
          </w:rPr>
          <w:t>388</w:t>
        </w:r>
        <w:r w:rsidR="00203F72" w:rsidRPr="003E43C4">
          <w:rPr>
            <w:rStyle w:val="a5"/>
            <w:rFonts w:ascii="Times New Roman" w:eastAsia="新細明體" w:hAnsi="Times New Roman"/>
          </w:rPr>
          <w:t>號</w:t>
        </w:r>
      </w:hyperlink>
      <w:r w:rsidR="00203F72" w:rsidRPr="00026C6F">
        <w:t>解釋認為：「憲法第</w:t>
      </w:r>
      <w:hyperlink r:id="rId579" w:anchor="a52" w:history="1">
        <w:r w:rsidR="00203F72" w:rsidRPr="003E43C4">
          <w:rPr>
            <w:rStyle w:val="a5"/>
            <w:rFonts w:ascii="Times New Roman" w:eastAsia="新細明體" w:hAnsi="Times New Roman"/>
          </w:rPr>
          <w:t>五十二</w:t>
        </w:r>
      </w:hyperlink>
      <w:r w:rsidR="00203F72" w:rsidRPr="00026C6F">
        <w:t>條規定，總統除犯內亂或外患罪外，非經罷免或解職，不受刑事上之訴究。此係憲法基於總統為國家元首，對內肩負統率全國陸海空軍、依法公布法律、任免文武官員等重要職責，對外代表中華民國之特殊身分所為之尊崇與保障。藉以確保其職權之行使，並維護政局之安定，以及對外關係之正常發展。惟此所謂總統不受刑事訴究之特權或豁免權，乃針對其職位而設，並非對其個人之保障，且亦非全無限制，如總統所犯為內亂或外患罪，仍須受刑事上之訴究；如所犯為內亂或外患罪以外之罪，僅發生暫時不能為刑事上訴追之問題，並非完全不適用</w:t>
      </w:r>
      <w:hyperlink r:id="rId580" w:history="1">
        <w:r w:rsidR="006B7176" w:rsidRPr="006B7176">
          <w:rPr>
            <w:rStyle w:val="a5"/>
            <w:rFonts w:eastAsia="新細明體"/>
            <w:kern w:val="0"/>
          </w:rPr>
          <w:t>刑法</w:t>
        </w:r>
      </w:hyperlink>
      <w:r w:rsidR="00203F72" w:rsidRPr="00026C6F">
        <w:t>或相關法律之刑罰規定」。</w:t>
      </w:r>
    </w:p>
    <w:p w14:paraId="5C705691" w14:textId="77777777" w:rsidR="00953151" w:rsidRPr="00026C6F" w:rsidRDefault="007F7377" w:rsidP="00D87D91">
      <w:r w:rsidRPr="00026C6F">
        <w:t xml:space="preserve">　　</w:t>
      </w:r>
      <w:r w:rsidR="00203F72" w:rsidRPr="00026C6F">
        <w:t>根據司法院釋字</w:t>
      </w:r>
      <w:hyperlink r:id="rId581" w:anchor="r627" w:history="1">
        <w:r w:rsidR="00203F72" w:rsidRPr="003E43C4">
          <w:rPr>
            <w:rStyle w:val="a5"/>
            <w:rFonts w:ascii="Times New Roman" w:eastAsia="新細明體" w:hAnsi="Times New Roman"/>
          </w:rPr>
          <w:t>第</w:t>
        </w:r>
        <w:r w:rsidR="00203F72" w:rsidRPr="003E43C4">
          <w:rPr>
            <w:rStyle w:val="a5"/>
            <w:rFonts w:ascii="Times New Roman" w:eastAsia="新細明體" w:hAnsi="Times New Roman"/>
          </w:rPr>
          <w:t>627</w:t>
        </w:r>
        <w:r w:rsidR="00203F72" w:rsidRPr="003E43C4">
          <w:rPr>
            <w:rStyle w:val="a5"/>
            <w:rFonts w:ascii="Times New Roman" w:eastAsia="新細明體" w:hAnsi="Times New Roman"/>
          </w:rPr>
          <w:t>號</w:t>
        </w:r>
      </w:hyperlink>
      <w:r w:rsidR="00203F72" w:rsidRPr="00026C6F">
        <w:t>之解釋之見解：「憲法</w:t>
      </w:r>
      <w:r w:rsidR="003E43C4" w:rsidRPr="00026C6F">
        <w:t>第</w:t>
      </w:r>
      <w:hyperlink r:id="rId582" w:anchor="a52" w:history="1">
        <w:r w:rsidR="003E43C4" w:rsidRPr="003E43C4">
          <w:rPr>
            <w:rStyle w:val="a5"/>
            <w:rFonts w:ascii="Times New Roman" w:eastAsia="新細明體" w:hAnsi="Times New Roman"/>
          </w:rPr>
          <w:t>五十二</w:t>
        </w:r>
      </w:hyperlink>
      <w:r w:rsidR="00203F72" w:rsidRPr="00026C6F">
        <w:t>條規定「不受刑事上之訴究」，係指刑事偵查及審判機關，於總統任職期間，就總統涉犯內亂或外患罪以外之罪者，暫時不得以總統為犯罪嫌疑人或被告而進行偵查、起訴與審判程序而言。但對總統身分之尊崇與職權之行使無直接關涉之措施，或對犯罪現場之即時勘察，不在此限。總統之刑事豁免權，不及於因他人刑事案件而對總統所為之證據調查與證據保全。惟如因而發現總統有犯罪嫌疑者，雖不得開始以總統為犯罪嫌疑人或被告之偵查程序，但得依本解釋意旨，為必要之證據保全，即基於憲法</w:t>
      </w:r>
      <w:r w:rsidR="003E43C4" w:rsidRPr="00026C6F">
        <w:t>第</w:t>
      </w:r>
      <w:hyperlink r:id="rId583" w:anchor="a52" w:history="1">
        <w:r w:rsidR="003E43C4" w:rsidRPr="003E43C4">
          <w:rPr>
            <w:rStyle w:val="a5"/>
            <w:rFonts w:ascii="Times New Roman" w:eastAsia="新細明體" w:hAnsi="Times New Roman"/>
          </w:rPr>
          <w:t>五十二</w:t>
        </w:r>
      </w:hyperlink>
      <w:r w:rsidR="00203F72" w:rsidRPr="00026C6F">
        <w:t>條之規定對總統特殊身分尊崇及對其行使職權保障之意旨，上開因不屬於總統刑事豁免權範圍所得進行之措施及保全證據之處分，均不得限制總統之人身自由，例如拘提或對其身體之搜索、勘驗與鑑定等，亦不得妨礙總統職權之正常行使。其有搜索與總統有關之特定處所，以逮捕特定人、扣押特定物件或電磁紀錄之必要者，立法機關應就搜索處所之限制、總統得拒絕搜索或扣押之事由，及特別之司法審查與聲明不服等程序，增訂適用於總統之特別規定。於該法律公布施行前，除經總統同意者外，無論上開特定處所、物件或電磁紀錄是否涉及國家機密，均應由該管檢察官聲請高等法院或其分院以資深庭長為審判長之法官五人組成特別合議庭審查相關搜索、扣押之適當性與必要性，非經該特別合議庭裁定准許，不得為之，但搜索之處所應避免總統執行職務及居住之處所。其抗告程序，適用刑事訴訟法相關規定。總統之刑事豁免權，亦不及於總統於他人刑事案件為證人之義務。惟以他人為被告之刑事程序，刑事偵查或審判機關以總統為證人時，應準用民事訴訟法第</w:t>
      </w:r>
      <w:r w:rsidR="00203F72" w:rsidRPr="00026C6F">
        <w:t>304</w:t>
      </w:r>
      <w:r w:rsidR="00203F72" w:rsidRPr="00026C6F">
        <w:t>條：「元首為證人者，應就其所在詢問之」之規定，以示對總統之尊崇。總統不受刑事訴究之特權或豁免權，乃針對總統之職位而設，故僅擔任總統一職者，享有此一特權；擔任總統職位之個人，原則上不得拋棄此一特權。」</w:t>
      </w:r>
    </w:p>
    <w:p w14:paraId="5CB5E3AC" w14:textId="77777777" w:rsidR="00953151" w:rsidRPr="00026C6F" w:rsidRDefault="007F7377" w:rsidP="00D87D91">
      <w:r w:rsidRPr="00026C6F">
        <w:t xml:space="preserve">　　</w:t>
      </w:r>
      <w:r w:rsidR="00203F72" w:rsidRPr="00026C6F">
        <w:t>本條規定之宗旨，在確保總統職權之行使，並維護政局之安定，以及對國際間關係之正常發展，擔任總統職位之個人，原則上不得任意拋棄此一特權。所謂「不受刑事上之訴究」，係指刑事偵查及審判機關，於總統任職期間，就總統涉犯內亂或外患罪以外之罪者，「暫時不得」以總統為犯罪嫌疑人或被告而進行偵查、起訴與審判程序而言，主要目的在不得妨礙總統職權之正常行使，使政局穩定社會安定。但總統民事訴訟不在豁免範圍，總統於任職內犯內亂外患以外之罪，卸任後仍得追訴。</w:t>
      </w:r>
    </w:p>
    <w:p w14:paraId="48EC2602" w14:textId="77777777" w:rsidR="00953151" w:rsidRPr="00026C6F" w:rsidRDefault="007F7377" w:rsidP="00D87D91">
      <w:r w:rsidRPr="00026C6F">
        <w:t xml:space="preserve">　　</w:t>
      </w:r>
      <w:r w:rsidR="00203F72" w:rsidRPr="00026C6F">
        <w:t>至於總統罷免案，依增修條</w:t>
      </w:r>
      <w:r w:rsidR="001B1539" w:rsidRPr="00026C6F">
        <w:t>文</w:t>
      </w:r>
      <w:hyperlink r:id="rId584" w:anchor="b2" w:history="1">
        <w:r w:rsidR="001B1539" w:rsidRPr="00026C6F">
          <w:rPr>
            <w:rStyle w:val="a5"/>
          </w:rPr>
          <w:t>第2條</w:t>
        </w:r>
      </w:hyperlink>
      <w:r w:rsidR="00203F72" w:rsidRPr="00026C6F">
        <w:t>之規定總統、副總統之罷免案，須經全體立法委員四分之一之提議，全體立法委員三分之二之同意後提出，並經中華民國自由地區選舉人總額過半數之投票，有效票過半數同意罷免時，即為通過。立法院提出總統、副總統彈劾案，聲請司法院大法官審理，經憲法法庭判決成立時，被彈劾人應即解職。</w:t>
      </w:r>
    </w:p>
    <w:p w14:paraId="267B037A" w14:textId="77777777"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5841369C" w14:textId="77777777" w:rsidR="00545D58" w:rsidRDefault="00545D58" w:rsidP="00D87D91"/>
    <w:p w14:paraId="58D8EFF6" w14:textId="77777777" w:rsidR="00953151" w:rsidRDefault="00203F72" w:rsidP="00767F37">
      <w:pPr>
        <w:pStyle w:val="2"/>
      </w:pPr>
      <w:bookmarkStart w:id="32" w:name="_第五章_行政"/>
      <w:bookmarkEnd w:id="32"/>
      <w:r w:rsidRPr="00A53581">
        <w:t>第五章</w:t>
      </w:r>
      <w:r w:rsidRPr="00A53581">
        <w:t xml:space="preserve"> </w:t>
      </w:r>
      <w:r w:rsidRPr="00A53581">
        <w:t>行政</w:t>
      </w:r>
      <w:r w:rsidRPr="00A53581">
        <w:t xml:space="preserve"> </w:t>
      </w:r>
    </w:p>
    <w:p w14:paraId="157AA2C9" w14:textId="77777777" w:rsidR="00953151" w:rsidRDefault="00076467" w:rsidP="00767F37">
      <w:pPr>
        <w:pStyle w:val="2"/>
      </w:pPr>
      <w:hyperlink r:id="rId585" w:anchor="a53" w:history="1">
        <w:r w:rsidR="005D5A46">
          <w:rPr>
            <w:rStyle w:val="a5"/>
            <w:rFonts w:ascii="Arial Unicode MS" w:hAnsi="Arial Unicode MS"/>
          </w:rPr>
          <w:t>第</w:t>
        </w:r>
        <w:r w:rsidR="00203F72" w:rsidRPr="001B53A5">
          <w:rPr>
            <w:rStyle w:val="a5"/>
            <w:rFonts w:ascii="Arial Unicode MS" w:hAnsi="Arial Unicode MS"/>
          </w:rPr>
          <w:t>53</w:t>
        </w:r>
        <w:r w:rsidR="005D5A46">
          <w:rPr>
            <w:rStyle w:val="a5"/>
            <w:rFonts w:ascii="Arial Unicode MS" w:hAnsi="Arial Unicode MS"/>
          </w:rPr>
          <w:t>條</w:t>
        </w:r>
      </w:hyperlink>
      <w:r w:rsidR="00203F72" w:rsidRPr="00A53581">
        <w:t>行政院為國家最高行政機關。</w:t>
      </w:r>
    </w:p>
    <w:p w14:paraId="1CC3BA82" w14:textId="77777777" w:rsidR="00953151" w:rsidRPr="00026C6F" w:rsidRDefault="00B03E84" w:rsidP="00D87D91">
      <w:r w:rsidRPr="00026C6F">
        <w:t>【內容解析】</w:t>
      </w:r>
    </w:p>
    <w:p w14:paraId="1BD6DDA1" w14:textId="77777777" w:rsidR="00953151" w:rsidRPr="00026C6F" w:rsidRDefault="007F7377" w:rsidP="00D87D91">
      <w:r w:rsidRPr="00026C6F">
        <w:t xml:space="preserve">　　</w:t>
      </w:r>
      <w:r w:rsidR="00203F72" w:rsidRPr="00026C6F">
        <w:t>行政院為國家最高行政機關，掌理所有行政相關事務。通常總統制之國家，最高行政首長為總統，如為內閣制之國家，最高行政首長為首相或總理。我國依國父遺教三民主義、五權憲法及「權」、「能」分立之理論，總統及五院共同執行「能」之部份。總統及五院組成中央政府，各自行使其治權之一部分。五院之間互相制衡，以權制權，目的在發揮分工合作之效。中央政府設行政、立法、考試、監察、司法五院，行政院負責行政權，為國家執行行政權最高之機關。依行政院組織法</w:t>
      </w:r>
      <w:hyperlink r:id="rId586" w:anchor="b2" w:history="1">
        <w:r w:rsidR="00203F72" w:rsidRPr="00026C6F">
          <w:rPr>
            <w:rStyle w:val="a5"/>
          </w:rPr>
          <w:t>第二條</w:t>
        </w:r>
      </w:hyperlink>
      <w:r w:rsidR="00203F72" w:rsidRPr="00026C6F">
        <w:t>之規定，行政院職權在行使憲法所賦予之職權。憲法上對於行政院之職權行使採取概括之規定。</w:t>
      </w:r>
    </w:p>
    <w:p w14:paraId="1D011925" w14:textId="77777777" w:rsidR="003E43C4" w:rsidRDefault="003E43C4" w:rsidP="00D87D91"/>
    <w:p w14:paraId="4E2E67FF" w14:textId="14CC895E" w:rsidR="00203F72" w:rsidRPr="00026C6F" w:rsidRDefault="00B03E84" w:rsidP="00D87D91">
      <w:r w:rsidRPr="00026C6F">
        <w:t>【</w:t>
      </w:r>
      <w:r w:rsidRPr="00026C6F">
        <w:t>table</w:t>
      </w:r>
      <w:r w:rsidR="005E23E3" w:rsidRPr="00026C6F">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38</w:t>
      </w:r>
      <w:r w:rsidR="00076467">
        <w:rPr>
          <w:noProof/>
        </w:rPr>
        <w:fldChar w:fldCharType="end"/>
      </w:r>
      <w:r w:rsidR="00203F72" w:rsidRPr="00026C6F">
        <w:t>行政院之一般性職權與責任</w:t>
      </w:r>
    </w:p>
    <w:tbl>
      <w:tblPr>
        <w:tblW w:w="490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6072"/>
      </w:tblGrid>
      <w:tr w:rsidR="00203F72" w:rsidRPr="00A53581" w14:paraId="31396D88" w14:textId="77777777" w:rsidTr="00203F72">
        <w:tc>
          <w:tcPr>
            <w:tcW w:w="1356" w:type="pct"/>
            <w:shd w:val="clear" w:color="auto" w:fill="auto"/>
          </w:tcPr>
          <w:p w14:paraId="65588D62" w14:textId="77777777" w:rsidR="00203F72" w:rsidRPr="00A53581" w:rsidRDefault="00203F72" w:rsidP="00D87D91">
            <w:r w:rsidRPr="00A53581">
              <w:t>1.</w:t>
            </w:r>
            <w:r w:rsidRPr="00A53581">
              <w:t>副署權</w:t>
            </w:r>
          </w:p>
        </w:tc>
        <w:tc>
          <w:tcPr>
            <w:tcW w:w="3644" w:type="pct"/>
            <w:shd w:val="clear" w:color="auto" w:fill="auto"/>
          </w:tcPr>
          <w:p w14:paraId="1134CA16" w14:textId="77777777" w:rsidR="00203F72" w:rsidRPr="00A53581" w:rsidRDefault="00203F72" w:rsidP="00D87D91">
            <w:r w:rsidRPr="00A53581">
              <w:rPr>
                <w:rFonts w:hint="eastAsia"/>
              </w:rPr>
              <w:t>總統依法公布法律，發布命令，惟其公布之法令，若有關行政院整個政策，則須經行政院院長副署，若有關各部會者，則須經行政院院長及有關部會首長之副署，否則不生效力（</w:t>
            </w:r>
            <w:hyperlink r:id="rId587" w:anchor="a37" w:history="1">
              <w:r w:rsidRPr="007776F0">
                <w:rPr>
                  <w:rStyle w:val="a5"/>
                  <w:rFonts w:eastAsia="新細明體" w:hint="eastAsia"/>
                </w:rPr>
                <w:t>憲37</w:t>
              </w:r>
            </w:hyperlink>
            <w:r w:rsidRPr="00A53581">
              <w:rPr>
                <w:rFonts w:hint="eastAsia"/>
              </w:rPr>
              <w:t>）。但總統發布行政院院長與依憲法經立法院同意任命人員之任免命令及解散立法院之命令，無須行政院院長之副署，不適用憲</w:t>
            </w:r>
            <w:r w:rsidR="00A5735A" w:rsidRPr="00A53581">
              <w:rPr>
                <w:rFonts w:hint="eastAsia"/>
              </w:rPr>
              <w:t>法</w:t>
            </w:r>
            <w:hyperlink r:id="rId588" w:anchor="a37" w:history="1">
              <w:r w:rsidR="00A5735A" w:rsidRPr="00A5735A">
                <w:rPr>
                  <w:rStyle w:val="a5"/>
                  <w:rFonts w:hint="eastAsia"/>
                  <w:kern w:val="0"/>
                </w:rPr>
                <w:t>第37條</w:t>
              </w:r>
            </w:hyperlink>
            <w:r w:rsidRPr="00A53581">
              <w:rPr>
                <w:rFonts w:hint="eastAsia"/>
              </w:rPr>
              <w:t>之規定</w:t>
            </w:r>
            <w:r w:rsidRPr="00A53581">
              <w:rPr>
                <w:rFonts w:hint="eastAsia"/>
              </w:rPr>
              <w:t>(</w:t>
            </w:r>
            <w:hyperlink r:id="rId589" w:anchor="b2" w:history="1">
              <w:r w:rsidRPr="007776F0">
                <w:rPr>
                  <w:rStyle w:val="a5"/>
                  <w:rFonts w:eastAsia="新細明體" w:hint="eastAsia"/>
                  <w:kern w:val="0"/>
                </w:rPr>
                <w:t>憲修2</w:t>
              </w:r>
            </w:hyperlink>
            <w:r w:rsidRPr="00A53581">
              <w:rPr>
                <w:rFonts w:hint="eastAsia"/>
              </w:rPr>
              <w:t>Ⅱ</w:t>
            </w:r>
            <w:r w:rsidRPr="00A53581">
              <w:rPr>
                <w:rFonts w:hint="eastAsia"/>
              </w:rPr>
              <w:t>)</w:t>
            </w:r>
            <w:r w:rsidRPr="00A53581">
              <w:rPr>
                <w:rFonts w:hint="eastAsia"/>
              </w:rPr>
              <w:t>。</w:t>
            </w:r>
          </w:p>
        </w:tc>
      </w:tr>
      <w:tr w:rsidR="00203F72" w:rsidRPr="00A53581" w14:paraId="29585398" w14:textId="77777777" w:rsidTr="00203F72">
        <w:tc>
          <w:tcPr>
            <w:tcW w:w="1356" w:type="pct"/>
            <w:shd w:val="clear" w:color="auto" w:fill="auto"/>
          </w:tcPr>
          <w:p w14:paraId="032BD573" w14:textId="77777777" w:rsidR="00203F72" w:rsidRPr="00A53581" w:rsidRDefault="00203F72" w:rsidP="00D87D91">
            <w:r w:rsidRPr="00A53581">
              <w:t>2.</w:t>
            </w:r>
            <w:r w:rsidRPr="00A53581">
              <w:t>提出法案權</w:t>
            </w:r>
          </w:p>
        </w:tc>
        <w:tc>
          <w:tcPr>
            <w:tcW w:w="3644" w:type="pct"/>
            <w:shd w:val="clear" w:color="auto" w:fill="auto"/>
          </w:tcPr>
          <w:p w14:paraId="43A8447D" w14:textId="77777777" w:rsidR="00203F72" w:rsidRPr="00A53581" w:rsidRDefault="00203F72" w:rsidP="00D87D91">
            <w:r w:rsidRPr="00A53581">
              <w:rPr>
                <w:rFonts w:hint="eastAsia"/>
              </w:rPr>
              <w:t>行政院有向立法院提出法律案、預算案、戒嚴案、大赦案、宣戰案、媾和案、條約案及其他重要事項之權（憲</w:t>
            </w:r>
            <w:hyperlink r:id="rId590" w:anchor="a58" w:history="1">
              <w:r w:rsidRPr="003B623C">
                <w:rPr>
                  <w:rStyle w:val="a5"/>
                  <w:rFonts w:eastAsia="新細明體" w:cs="細明體_HKSCS" w:hint="eastAsia"/>
                </w:rPr>
                <w:t>58</w:t>
              </w:r>
            </w:hyperlink>
            <w:r w:rsidRPr="00A53581">
              <w:rPr>
                <w:rFonts w:hint="eastAsia"/>
              </w:rPr>
              <w:t>Ⅱ）</w:t>
            </w:r>
            <w:r w:rsidRPr="00A53581">
              <w:rPr>
                <w:rFonts w:hint="eastAsia"/>
                <w:kern w:val="0"/>
              </w:rPr>
              <w:t>。</w:t>
            </w:r>
          </w:p>
        </w:tc>
      </w:tr>
      <w:tr w:rsidR="00203F72" w:rsidRPr="00A53581" w14:paraId="0374E245" w14:textId="77777777" w:rsidTr="00203F72">
        <w:tc>
          <w:tcPr>
            <w:tcW w:w="1356" w:type="pct"/>
            <w:shd w:val="clear" w:color="auto" w:fill="auto"/>
          </w:tcPr>
          <w:p w14:paraId="3C8BB314" w14:textId="77777777" w:rsidR="00203F72" w:rsidRPr="00A53581" w:rsidRDefault="00203F72" w:rsidP="00D87D91">
            <w:r w:rsidRPr="00A53581">
              <w:t>3.</w:t>
            </w:r>
            <w:r w:rsidRPr="00A53581">
              <w:t>移請覆議權</w:t>
            </w:r>
          </w:p>
        </w:tc>
        <w:tc>
          <w:tcPr>
            <w:tcW w:w="3644" w:type="pct"/>
            <w:shd w:val="clear" w:color="auto" w:fill="auto"/>
          </w:tcPr>
          <w:p w14:paraId="5661DD55" w14:textId="77777777" w:rsidR="00203F72" w:rsidRPr="00A53581" w:rsidRDefault="00203F72" w:rsidP="00D87D91">
            <w:r w:rsidRPr="00A53581">
              <w:rPr>
                <w:rFonts w:hint="eastAsia"/>
              </w:rPr>
              <w:t>行政院對於立法院決議之法律案、預算案、條約案，如認為有窒礙難行時，得經總統之核可，於該決議案送達行政院</w:t>
            </w:r>
            <w:r w:rsidRPr="00A53581">
              <w:rPr>
                <w:rFonts w:hint="eastAsia"/>
              </w:rPr>
              <w:t>10</w:t>
            </w:r>
            <w:r w:rsidRPr="00A53581">
              <w:rPr>
                <w:rFonts w:hint="eastAsia"/>
              </w:rPr>
              <w:t>日內，移請立法院覆議</w:t>
            </w:r>
            <w:r w:rsidRPr="00A53581">
              <w:rPr>
                <w:rFonts w:hint="eastAsia"/>
              </w:rPr>
              <w:t>(</w:t>
            </w:r>
            <w:hyperlink r:id="rId591" w:anchor="b3" w:history="1">
              <w:r w:rsidRPr="007776F0">
                <w:rPr>
                  <w:rStyle w:val="a5"/>
                  <w:rFonts w:eastAsia="新細明體" w:cs="細明體_HKSCS" w:hint="eastAsia"/>
                </w:rPr>
                <w:t>憲修3</w:t>
              </w:r>
            </w:hyperlink>
            <w:r w:rsidRPr="00A53581">
              <w:rPr>
                <w:rFonts w:hint="eastAsia"/>
              </w:rPr>
              <w:t>Ⅱ</w:t>
            </w:r>
            <w:r w:rsidR="003420CC">
              <w:rPr>
                <w:rFonts w:hint="eastAsia"/>
              </w:rPr>
              <w:t>(2)</w:t>
            </w:r>
            <w:r w:rsidRPr="00A53581">
              <w:rPr>
                <w:rFonts w:hint="eastAsia"/>
              </w:rPr>
              <w:t>)</w:t>
            </w:r>
            <w:r w:rsidRPr="00A53581">
              <w:rPr>
                <w:rFonts w:hint="eastAsia"/>
                <w:kern w:val="0"/>
              </w:rPr>
              <w:t>。</w:t>
            </w:r>
          </w:p>
        </w:tc>
      </w:tr>
      <w:tr w:rsidR="00203F72" w:rsidRPr="00A53581" w14:paraId="2B080117" w14:textId="77777777" w:rsidTr="00203F72">
        <w:tc>
          <w:tcPr>
            <w:tcW w:w="1356" w:type="pct"/>
            <w:shd w:val="clear" w:color="auto" w:fill="auto"/>
          </w:tcPr>
          <w:p w14:paraId="3619231F" w14:textId="77777777" w:rsidR="00203F72" w:rsidRPr="00A53581" w:rsidRDefault="00203F72" w:rsidP="00D87D91">
            <w:r w:rsidRPr="00A53581">
              <w:t>4.</w:t>
            </w:r>
            <w:r w:rsidRPr="00A53581">
              <w:rPr>
                <w:rFonts w:hint="eastAsia"/>
                <w:kern w:val="0"/>
              </w:rPr>
              <w:t xml:space="preserve"> </w:t>
            </w:r>
            <w:r w:rsidRPr="00A53581">
              <w:rPr>
                <w:rFonts w:hint="eastAsia"/>
                <w:kern w:val="0"/>
              </w:rPr>
              <w:t>行政院院長得</w:t>
            </w:r>
            <w:r w:rsidRPr="00A53581">
              <w:t>呈請總統，解散立法院之權</w:t>
            </w:r>
          </w:p>
        </w:tc>
        <w:tc>
          <w:tcPr>
            <w:tcW w:w="3644" w:type="pct"/>
            <w:shd w:val="clear" w:color="auto" w:fill="auto"/>
          </w:tcPr>
          <w:p w14:paraId="7D651C9F" w14:textId="77777777" w:rsidR="00203F72" w:rsidRPr="00A53581" w:rsidRDefault="00203F72" w:rsidP="00D87D91">
            <w:r w:rsidRPr="00A53581">
              <w:rPr>
                <w:rFonts w:cs="細明體_HKSCS" w:hint="eastAsia"/>
              </w:rPr>
              <w:t>立法院得經全體立法委員三分之一以上連署，對行政院院長提出不信任案</w:t>
            </w:r>
            <w:r w:rsidRPr="00A53581">
              <w:rPr>
                <w:rFonts w:hint="eastAsia"/>
              </w:rPr>
              <w:t>。不信任案提出</w:t>
            </w:r>
            <w:r w:rsidRPr="00A53581">
              <w:rPr>
                <w:rFonts w:hint="eastAsia"/>
              </w:rPr>
              <w:t>72</w:t>
            </w:r>
            <w:r w:rsidRPr="00A53581">
              <w:rPr>
                <w:rFonts w:hint="eastAsia"/>
              </w:rPr>
              <w:t>小時後，應於</w:t>
            </w:r>
            <w:r w:rsidRPr="00A53581">
              <w:rPr>
                <w:rFonts w:hint="eastAsia"/>
              </w:rPr>
              <w:t>48</w:t>
            </w:r>
            <w:r w:rsidRPr="00A53581">
              <w:rPr>
                <w:rFonts w:hint="eastAsia"/>
              </w:rPr>
              <w:t>小時內以記名投票表決之。如經全體立法委員二分之一以上贊成，行政院院長應於</w:t>
            </w:r>
            <w:r w:rsidRPr="00A53581">
              <w:rPr>
                <w:rFonts w:hint="eastAsia"/>
              </w:rPr>
              <w:t>10</w:t>
            </w:r>
            <w:r w:rsidRPr="00A53581">
              <w:rPr>
                <w:rFonts w:hint="eastAsia"/>
              </w:rPr>
              <w:t>日內提出辭職，並得同時呈請總統解散立法院；不信任案如未獲通過，</w:t>
            </w:r>
            <w:r w:rsidRPr="00A53581">
              <w:rPr>
                <w:rFonts w:hint="eastAsia"/>
              </w:rPr>
              <w:t>1</w:t>
            </w:r>
            <w:r w:rsidRPr="00A53581">
              <w:rPr>
                <w:rFonts w:hint="eastAsia"/>
              </w:rPr>
              <w:t>年內不得對同一行政院院長再提不信任案（</w:t>
            </w:r>
            <w:hyperlink r:id="rId592" w:anchor="b3" w:history="1">
              <w:r w:rsidR="007776F0" w:rsidRPr="007776F0">
                <w:rPr>
                  <w:rStyle w:val="a5"/>
                  <w:rFonts w:eastAsia="新細明體" w:cs="細明體_HKSCS" w:hint="eastAsia"/>
                </w:rPr>
                <w:t>憲修3</w:t>
              </w:r>
            </w:hyperlink>
            <w:r w:rsidRPr="00A53581">
              <w:rPr>
                <w:rFonts w:hint="eastAsia"/>
              </w:rPr>
              <w:t>Ⅱ③）。</w:t>
            </w:r>
          </w:p>
        </w:tc>
      </w:tr>
      <w:tr w:rsidR="00203F72" w:rsidRPr="00A53581" w14:paraId="07E8BA67" w14:textId="77777777" w:rsidTr="00203F72">
        <w:tc>
          <w:tcPr>
            <w:tcW w:w="1356" w:type="pct"/>
            <w:shd w:val="clear" w:color="auto" w:fill="auto"/>
          </w:tcPr>
          <w:p w14:paraId="6D1E969C" w14:textId="77777777" w:rsidR="00203F72" w:rsidRPr="00A53581" w:rsidRDefault="00203F72" w:rsidP="00D87D91">
            <w:r w:rsidRPr="00A53581">
              <w:t>5.</w:t>
            </w:r>
            <w:r w:rsidRPr="00A53581">
              <w:t>施政報告</w:t>
            </w:r>
          </w:p>
        </w:tc>
        <w:tc>
          <w:tcPr>
            <w:tcW w:w="3644" w:type="pct"/>
            <w:shd w:val="clear" w:color="auto" w:fill="auto"/>
          </w:tcPr>
          <w:p w14:paraId="4984D4E9" w14:textId="77777777" w:rsidR="00203F72" w:rsidRPr="00A53581" w:rsidRDefault="00203F72" w:rsidP="00D87D91">
            <w:r w:rsidRPr="00A53581">
              <w:rPr>
                <w:rFonts w:hint="eastAsia"/>
              </w:rPr>
              <w:t>行政院有向立法院提出施政方針及施政報告之責（</w:t>
            </w:r>
            <w:hyperlink r:id="rId593" w:anchor="b3" w:history="1">
              <w:r w:rsidR="007776F0" w:rsidRPr="007776F0">
                <w:rPr>
                  <w:rStyle w:val="a5"/>
                  <w:rFonts w:eastAsia="新細明體" w:cs="細明體_HKSCS" w:hint="eastAsia"/>
                </w:rPr>
                <w:t>憲修3</w:t>
              </w:r>
            </w:hyperlink>
            <w:r w:rsidRPr="00A53581">
              <w:rPr>
                <w:rFonts w:hint="eastAsia"/>
              </w:rPr>
              <w:t>Ⅱ①）</w:t>
            </w:r>
            <w:r w:rsidRPr="00A53581">
              <w:rPr>
                <w:rFonts w:hint="eastAsia"/>
                <w:kern w:val="0"/>
              </w:rPr>
              <w:t>。立法院開會時，行政院院長及各部會首長得列席陳述意見</w:t>
            </w:r>
            <w:r w:rsidR="007776F0" w:rsidRPr="00A53581">
              <w:rPr>
                <w:rFonts w:hint="eastAsia"/>
                <w:kern w:val="0"/>
              </w:rPr>
              <w:t>（</w:t>
            </w:r>
            <w:hyperlink r:id="rId594" w:anchor="a71" w:history="1">
              <w:r w:rsidR="007776F0" w:rsidRPr="006937CE">
                <w:rPr>
                  <w:rStyle w:val="a5"/>
                  <w:rFonts w:eastAsia="新細明體" w:hint="eastAsia"/>
                  <w:kern w:val="0"/>
                </w:rPr>
                <w:t>憲71</w:t>
              </w:r>
            </w:hyperlink>
            <w:r w:rsidRPr="00A53581">
              <w:rPr>
                <w:rFonts w:hint="eastAsia"/>
                <w:kern w:val="0"/>
              </w:rPr>
              <w:t>）。</w:t>
            </w:r>
          </w:p>
        </w:tc>
      </w:tr>
      <w:tr w:rsidR="00203F72" w:rsidRPr="00A53581" w14:paraId="7C831FE6" w14:textId="77777777" w:rsidTr="00203F72">
        <w:tc>
          <w:tcPr>
            <w:tcW w:w="1356" w:type="pct"/>
            <w:shd w:val="clear" w:color="auto" w:fill="auto"/>
          </w:tcPr>
          <w:p w14:paraId="0643A709" w14:textId="77777777" w:rsidR="00203F72" w:rsidRPr="00A53581" w:rsidRDefault="00203F72" w:rsidP="00D87D91">
            <w:r w:rsidRPr="00A53581">
              <w:t>6.</w:t>
            </w:r>
            <w:r w:rsidRPr="00A53581">
              <w:t>提出預算</w:t>
            </w:r>
            <w:r w:rsidRPr="00A53581">
              <w:rPr>
                <w:rFonts w:hint="eastAsia"/>
              </w:rPr>
              <w:t>及決算權</w:t>
            </w:r>
          </w:p>
        </w:tc>
        <w:tc>
          <w:tcPr>
            <w:tcW w:w="3644" w:type="pct"/>
            <w:shd w:val="clear" w:color="auto" w:fill="auto"/>
          </w:tcPr>
          <w:p w14:paraId="6C6BBEC9" w14:textId="77777777" w:rsidR="00203F72" w:rsidRPr="00A53581" w:rsidRDefault="00203F72" w:rsidP="00D87D91">
            <w:r w:rsidRPr="00A53581">
              <w:rPr>
                <w:rFonts w:hint="eastAsia"/>
              </w:rPr>
              <w:t>行政院於會計年度開始</w:t>
            </w:r>
            <w:r w:rsidRPr="00A53581">
              <w:rPr>
                <w:rFonts w:hint="eastAsia"/>
              </w:rPr>
              <w:t>3</w:t>
            </w:r>
            <w:r w:rsidRPr="00A53581">
              <w:rPr>
                <w:rFonts w:hint="eastAsia"/>
              </w:rPr>
              <w:t>個月前，應將下年度預算案提出於立法院</w:t>
            </w:r>
            <w:r w:rsidR="007776F0" w:rsidRPr="00A53581">
              <w:rPr>
                <w:rFonts w:hint="eastAsia"/>
              </w:rPr>
              <w:t>（</w:t>
            </w:r>
            <w:hyperlink r:id="rId595" w:anchor="a59" w:history="1">
              <w:r w:rsidR="007776F0" w:rsidRPr="006937CE">
                <w:rPr>
                  <w:rStyle w:val="a5"/>
                  <w:rFonts w:eastAsia="新細明體" w:cs="細明體_HKSCS" w:hint="eastAsia"/>
                </w:rPr>
                <w:t>憲59</w:t>
              </w:r>
            </w:hyperlink>
            <w:r w:rsidRPr="00A53581">
              <w:rPr>
                <w:rFonts w:hint="eastAsia"/>
              </w:rPr>
              <w:t>）</w:t>
            </w:r>
            <w:r w:rsidRPr="00A53581">
              <w:rPr>
                <w:rFonts w:hint="eastAsia"/>
                <w:kern w:val="0"/>
              </w:rPr>
              <w:t>。並於會計年度結束後</w:t>
            </w:r>
            <w:r w:rsidRPr="00A53581">
              <w:rPr>
                <w:rFonts w:hint="eastAsia"/>
                <w:kern w:val="0"/>
              </w:rPr>
              <w:t>4</w:t>
            </w:r>
            <w:r w:rsidRPr="00A53581">
              <w:rPr>
                <w:rFonts w:hint="eastAsia"/>
                <w:kern w:val="0"/>
              </w:rPr>
              <w:t>個月內，提出決算於監察院</w:t>
            </w:r>
            <w:r w:rsidR="007776F0" w:rsidRPr="00A53581">
              <w:rPr>
                <w:rFonts w:hint="eastAsia"/>
                <w:kern w:val="0"/>
              </w:rPr>
              <w:t>（</w:t>
            </w:r>
            <w:hyperlink r:id="rId596" w:anchor="a60" w:history="1">
              <w:r w:rsidR="007776F0" w:rsidRPr="006937CE">
                <w:rPr>
                  <w:rStyle w:val="a5"/>
                  <w:rFonts w:eastAsia="新細明體" w:hint="eastAsia"/>
                  <w:kern w:val="0"/>
                </w:rPr>
                <w:t>憲60</w:t>
              </w:r>
            </w:hyperlink>
            <w:r w:rsidRPr="00A53581">
              <w:rPr>
                <w:rFonts w:hint="eastAsia"/>
                <w:kern w:val="0"/>
              </w:rPr>
              <w:t>）。</w:t>
            </w:r>
          </w:p>
        </w:tc>
      </w:tr>
      <w:tr w:rsidR="00203F72" w:rsidRPr="00A53581" w14:paraId="29A51F30" w14:textId="77777777" w:rsidTr="00203F72">
        <w:tc>
          <w:tcPr>
            <w:tcW w:w="1356" w:type="pct"/>
            <w:shd w:val="clear" w:color="auto" w:fill="auto"/>
          </w:tcPr>
          <w:p w14:paraId="4D6BB68F" w14:textId="77777777" w:rsidR="00203F72" w:rsidRPr="00A53581" w:rsidRDefault="00203F72" w:rsidP="00D87D91">
            <w:r w:rsidRPr="00A53581">
              <w:t>7.</w:t>
            </w:r>
            <w:r w:rsidRPr="00A53581">
              <w:t>重要政策決定權</w:t>
            </w:r>
          </w:p>
        </w:tc>
        <w:tc>
          <w:tcPr>
            <w:tcW w:w="3644" w:type="pct"/>
            <w:shd w:val="clear" w:color="auto" w:fill="auto"/>
          </w:tcPr>
          <w:p w14:paraId="38477D77" w14:textId="77777777" w:rsidR="00203F72" w:rsidRPr="00A53581" w:rsidRDefault="00203F72" w:rsidP="00D87D91">
            <w:r w:rsidRPr="00A53581">
              <w:rPr>
                <w:rFonts w:cs="細明體_HKSCS" w:hint="eastAsia"/>
              </w:rPr>
              <w:t>行政院關於行政事項之重要政策有決定之權</w:t>
            </w:r>
            <w:r w:rsidRPr="00A53581">
              <w:rPr>
                <w:rFonts w:hint="eastAsia"/>
              </w:rPr>
              <w:t>。此項重要政策，恆包括於行政院向立法院提出之施政方針及施政報告，以及行政院對立法院之質詢所為之答覆之內。</w:t>
            </w:r>
          </w:p>
        </w:tc>
      </w:tr>
      <w:tr w:rsidR="00203F72" w:rsidRPr="00A53581" w14:paraId="095C8738" w14:textId="77777777" w:rsidTr="00203F72">
        <w:tc>
          <w:tcPr>
            <w:tcW w:w="1356" w:type="pct"/>
            <w:shd w:val="clear" w:color="auto" w:fill="auto"/>
          </w:tcPr>
          <w:p w14:paraId="3EAA4FED" w14:textId="77777777" w:rsidR="00203F72" w:rsidRPr="00A53581" w:rsidRDefault="00203F72" w:rsidP="00D87D91">
            <w:r w:rsidRPr="00A53581">
              <w:t>8.</w:t>
            </w:r>
            <w:r w:rsidRPr="00A53581">
              <w:t>行政組織系統之最高指揮權</w:t>
            </w:r>
          </w:p>
        </w:tc>
        <w:tc>
          <w:tcPr>
            <w:tcW w:w="3644" w:type="pct"/>
            <w:shd w:val="clear" w:color="auto" w:fill="auto"/>
          </w:tcPr>
          <w:p w14:paraId="26C9089F" w14:textId="77777777" w:rsidR="00203F72" w:rsidRPr="00A53581" w:rsidRDefault="00203F72" w:rsidP="00D87D91">
            <w:r w:rsidRPr="00A53581">
              <w:rPr>
                <w:rFonts w:hint="eastAsia"/>
              </w:rPr>
              <w:t>行政院既為國家最高行政機關，自有指揮監督所屬中央及地方各行政機關之權</w:t>
            </w:r>
            <w:r w:rsidRPr="00A53581">
              <w:rPr>
                <w:rFonts w:hint="eastAsia"/>
                <w:kern w:val="0"/>
              </w:rPr>
              <w:t>。</w:t>
            </w:r>
          </w:p>
        </w:tc>
      </w:tr>
      <w:tr w:rsidR="00203F72" w:rsidRPr="00A53581" w14:paraId="668E50AD" w14:textId="77777777" w:rsidTr="00203F72">
        <w:tc>
          <w:tcPr>
            <w:tcW w:w="1356" w:type="pct"/>
            <w:shd w:val="clear" w:color="auto" w:fill="auto"/>
          </w:tcPr>
          <w:p w14:paraId="3DBC1F73" w14:textId="77777777" w:rsidR="00203F72" w:rsidRPr="00A53581" w:rsidRDefault="00203F72" w:rsidP="00D87D91">
            <w:r w:rsidRPr="00A53581">
              <w:t>9.</w:t>
            </w:r>
            <w:r w:rsidRPr="00A53581">
              <w:t>行政事項執行權</w:t>
            </w:r>
          </w:p>
        </w:tc>
        <w:tc>
          <w:tcPr>
            <w:tcW w:w="3644" w:type="pct"/>
            <w:shd w:val="clear" w:color="auto" w:fill="auto"/>
          </w:tcPr>
          <w:p w14:paraId="750F49C7" w14:textId="77777777" w:rsidR="00203F72" w:rsidRPr="00A53581" w:rsidRDefault="00203F72" w:rsidP="00D87D91">
            <w:r w:rsidRPr="00A53581">
              <w:rPr>
                <w:rFonts w:hint="eastAsia"/>
              </w:rPr>
              <w:t>行政院之職權，除了具有國家行政事項之最高決策權外，更對於決策之事項有執行之權</w:t>
            </w:r>
            <w:r w:rsidRPr="00A53581">
              <w:rPr>
                <w:rFonts w:hint="eastAsia"/>
                <w:kern w:val="0"/>
              </w:rPr>
              <w:t>。</w:t>
            </w:r>
          </w:p>
        </w:tc>
      </w:tr>
    </w:tbl>
    <w:p w14:paraId="7CB9E093" w14:textId="77777777" w:rsidR="00953151" w:rsidRPr="005E4924" w:rsidRDefault="00B76D62" w:rsidP="00D87D91">
      <w:r w:rsidRPr="005E4924">
        <w:t>【本表資料來源】</w:t>
      </w:r>
      <w:r w:rsidR="00203F72" w:rsidRPr="005E4924">
        <w:t>謝瑞智、謝世維</w:t>
      </w:r>
      <w:r w:rsidR="00203F72" w:rsidRPr="005E4924">
        <w:t>(2010)</w:t>
      </w:r>
      <w:r w:rsidR="00203F72" w:rsidRPr="005E4924">
        <w:t>，憲法概要，增訂</w:t>
      </w:r>
      <w:r w:rsidR="00203F72" w:rsidRPr="005E4924">
        <w:t>14</w:t>
      </w:r>
      <w:r w:rsidR="00203F72" w:rsidRPr="005E4924">
        <w:t>版，台北市：文笙書局，第</w:t>
      </w:r>
      <w:r w:rsidR="00203F72" w:rsidRPr="005E4924">
        <w:t>187</w:t>
      </w:r>
      <w:r w:rsidR="00203F72" w:rsidRPr="005E4924">
        <w:t>頁。</w:t>
      </w:r>
    </w:p>
    <w:p w14:paraId="01E95E8B" w14:textId="77777777" w:rsidR="00203F72" w:rsidRPr="005E4924" w:rsidRDefault="007F7377" w:rsidP="00D87D91">
      <w:r w:rsidRPr="005E4924">
        <w:t xml:space="preserve">　　</w:t>
      </w:r>
      <w:r w:rsidR="00203F72" w:rsidRPr="005E4924">
        <w:t>憲法規定之行政院職權，計包括以下數項：</w:t>
      </w:r>
    </w:p>
    <w:p w14:paraId="70DCA6C7" w14:textId="77777777" w:rsidR="00203F72" w:rsidRPr="005E4924" w:rsidRDefault="007F7377" w:rsidP="00D87D91">
      <w:r w:rsidRPr="005E4924">
        <w:t xml:space="preserve">　　</w:t>
      </w:r>
      <w:r w:rsidR="00203F72" w:rsidRPr="005E4924">
        <w:t>一、提出施政方針、施政報告、預算案、決算案及接受質詢、提出覆議權：依增修條款第三條第二項之規定，行政院依左列規定，對立法院負責，憲法</w:t>
      </w:r>
      <w:r w:rsidR="00BE1B2A" w:rsidRPr="00482FC4">
        <w:t>第</w:t>
      </w:r>
      <w:hyperlink r:id="rId597" w:anchor="a57" w:history="1">
        <w:r w:rsidR="00BE1B2A" w:rsidRPr="00BE1B2A">
          <w:rPr>
            <w:rStyle w:val="a5"/>
            <w:rFonts w:ascii="Times New Roman" w:hAnsi="Times New Roman"/>
          </w:rPr>
          <w:t>五十七</w:t>
        </w:r>
      </w:hyperlink>
      <w:r w:rsidR="00BE1B2A" w:rsidRPr="00482FC4">
        <w:t>條</w:t>
      </w:r>
      <w:r w:rsidR="00203F72" w:rsidRPr="005E4924">
        <w:t>之規定，停止適用：</w:t>
      </w:r>
      <w:r w:rsidR="00203F72" w:rsidRPr="005E4924">
        <w:t>(</w:t>
      </w:r>
      <w:r w:rsidR="00203F72" w:rsidRPr="005E4924">
        <w:t>一</w:t>
      </w:r>
      <w:r w:rsidR="00203F72" w:rsidRPr="005E4924">
        <w:t>)</w:t>
      </w:r>
      <w:r w:rsidR="00203F72" w:rsidRPr="005E4924">
        <w:t>、行政院有向立法院提出施政方針及施政報告之責。立法委員在開會時，有向行政院院長及行政院各部會首長質詢之權。</w:t>
      </w:r>
      <w:r w:rsidR="00203F72" w:rsidRPr="005E4924">
        <w:t>(</w:t>
      </w:r>
      <w:r w:rsidR="00203F72" w:rsidRPr="005E4924">
        <w:t>二</w:t>
      </w:r>
      <w:r w:rsidR="00203F72" w:rsidRPr="005E4924">
        <w:t>)</w:t>
      </w:r>
      <w:r w:rsidR="00203F72" w:rsidRPr="005E4924">
        <w:t>、行政院對於立法院決議之法律案、預算案、條約案，如認為有窒礙難行時，得經總統之核可，於該決議案送達行政院十日內，移請立法院覆議。依憲法</w:t>
      </w:r>
      <w:hyperlink r:id="rId598" w:anchor="a59" w:history="1">
        <w:r w:rsidR="00203F72" w:rsidRPr="00BE1B2A">
          <w:rPr>
            <w:rStyle w:val="a5"/>
            <w:rFonts w:ascii="Times New Roman" w:hAnsi="Times New Roman"/>
          </w:rPr>
          <w:t>第</w:t>
        </w:r>
        <w:r w:rsidR="00203F72" w:rsidRPr="00BE1B2A">
          <w:rPr>
            <w:rStyle w:val="a5"/>
            <w:rFonts w:ascii="Times New Roman" w:hAnsi="Times New Roman"/>
          </w:rPr>
          <w:t>59</w:t>
        </w:r>
        <w:r w:rsidR="00203F72" w:rsidRPr="00BE1B2A">
          <w:rPr>
            <w:rStyle w:val="a5"/>
            <w:rFonts w:ascii="Times New Roman" w:hAnsi="Times New Roman"/>
          </w:rPr>
          <w:t>條</w:t>
        </w:r>
      </w:hyperlink>
      <w:r w:rsidR="00203F72" w:rsidRPr="005E4924">
        <w:t>之規定，行政院於會計年度開始三個月前，應將下年度預算案提出於立法院。依憲法</w:t>
      </w:r>
      <w:hyperlink r:id="rId599" w:anchor="a60" w:history="1">
        <w:r w:rsidR="00203F72" w:rsidRPr="00BE1B2A">
          <w:rPr>
            <w:rStyle w:val="a5"/>
            <w:rFonts w:ascii="Times New Roman" w:hAnsi="Times New Roman"/>
          </w:rPr>
          <w:t>第</w:t>
        </w:r>
        <w:r w:rsidR="00203F72" w:rsidRPr="00BE1B2A">
          <w:rPr>
            <w:rStyle w:val="a5"/>
            <w:rFonts w:ascii="Times New Roman" w:hAnsi="Times New Roman"/>
          </w:rPr>
          <w:t>60</w:t>
        </w:r>
        <w:r w:rsidR="00203F72" w:rsidRPr="00BE1B2A">
          <w:rPr>
            <w:rStyle w:val="a5"/>
            <w:rFonts w:ascii="Times New Roman" w:hAnsi="Times New Roman"/>
          </w:rPr>
          <w:t>條</w:t>
        </w:r>
      </w:hyperlink>
      <w:r w:rsidR="00203F72" w:rsidRPr="005E4924">
        <w:t>之規定，行政院於會計年度結束後四個月內，應提出決算於監察院。</w:t>
      </w:r>
    </w:p>
    <w:p w14:paraId="5BF7078C" w14:textId="77777777" w:rsidR="00203F72" w:rsidRPr="005E4924" w:rsidRDefault="007F7377" w:rsidP="00D87D91">
      <w:r w:rsidRPr="005E4924">
        <w:t xml:space="preserve">　　</w:t>
      </w:r>
      <w:r w:rsidR="00203F72" w:rsidRPr="005E4924">
        <w:t>二、議決法律案、預算案、戒嚴案、大赦案、宣戰案、媾和案、條約案及其他重要事項，或涉及各部會共同關係之事項：依憲法</w:t>
      </w:r>
      <w:hyperlink r:id="rId600" w:anchor="a58" w:history="1">
        <w:r w:rsidR="00306E89" w:rsidRPr="00306E89">
          <w:rPr>
            <w:rStyle w:val="a5"/>
          </w:rPr>
          <w:t>第58條</w:t>
        </w:r>
      </w:hyperlink>
      <w:r w:rsidR="00203F72" w:rsidRPr="005E4924">
        <w:t>第</w:t>
      </w:r>
      <w:r w:rsidR="00203F72" w:rsidRPr="005E4924">
        <w:t>2</w:t>
      </w:r>
      <w:r w:rsidR="00203F72" w:rsidRPr="005E4924">
        <w:t>項之規定，行政院院長、各部會首長，須將應行提出於立法院之法律案、預算案、戒嚴案、大赦案、宣戰案、媾和案、條約案及其他重要事項，或涉及各部會共同關係之事項，提出於行政院會議議決之。依增修條</w:t>
      </w:r>
      <w:r w:rsidR="00441941" w:rsidRPr="005E4924">
        <w:t>文</w:t>
      </w:r>
      <w:hyperlink r:id="rId601" w:anchor="b2" w:history="1">
        <w:r w:rsidR="00441941" w:rsidRPr="00441941">
          <w:rPr>
            <w:rStyle w:val="a5"/>
            <w:rFonts w:ascii="Times New Roman" w:hAnsi="Times New Roman"/>
          </w:rPr>
          <w:t>第二條</w:t>
        </w:r>
      </w:hyperlink>
      <w:r w:rsidR="00203F72" w:rsidRPr="005E4924">
        <w:t>之規定總統為避免國家或人民遭遇緊急危難或應付財政經濟上重大變故，得經行政院會議之決議，發布緊急命令，為必要之處置，不受憲法</w:t>
      </w:r>
      <w:r w:rsidR="00D73718" w:rsidRPr="00A53581">
        <w:rPr>
          <w:rFonts w:ascii="新細明體" w:hAnsi="新細明體"/>
        </w:rPr>
        <w:t>第</w:t>
      </w:r>
      <w:hyperlink r:id="rId602" w:anchor="a43" w:history="1">
        <w:r w:rsidR="00D73718" w:rsidRPr="00C94B4E">
          <w:rPr>
            <w:rStyle w:val="a5"/>
          </w:rPr>
          <w:t>四十三</w:t>
        </w:r>
      </w:hyperlink>
      <w:r w:rsidR="00D73718" w:rsidRPr="00A53581">
        <w:rPr>
          <w:rFonts w:ascii="新細明體" w:hAnsi="新細明體"/>
        </w:rPr>
        <w:t>條</w:t>
      </w:r>
      <w:r w:rsidR="00203F72" w:rsidRPr="005E4924">
        <w:t>之規定之限制。但須於發布命令後十日內提交立法院追認，如立法院不同意時，該緊急命令立即失效。</w:t>
      </w:r>
    </w:p>
    <w:p w14:paraId="2EE95BF4" w14:textId="77777777" w:rsidR="00203F72" w:rsidRPr="005E4924" w:rsidRDefault="007F7377" w:rsidP="00D87D91">
      <w:r w:rsidRPr="005E4924">
        <w:t xml:space="preserve">　　</w:t>
      </w:r>
      <w:r w:rsidR="00203F72" w:rsidRPr="005E4924">
        <w:t>三、代理總統職權：依憲法</w:t>
      </w:r>
      <w:hyperlink r:id="rId603" w:anchor="a49" w:history="1">
        <w:r w:rsidR="00BE1B2A" w:rsidRPr="00BE1B2A">
          <w:rPr>
            <w:rStyle w:val="a5"/>
            <w:rFonts w:hint="eastAsia"/>
            <w:kern w:val="0"/>
          </w:rPr>
          <w:t>第49條</w:t>
        </w:r>
      </w:hyperlink>
      <w:r w:rsidR="00203F72" w:rsidRPr="005E4924">
        <w:t>之規定</w:t>
      </w:r>
      <w:r w:rsidR="00203F72" w:rsidRPr="005E4924">
        <w:t>….</w:t>
      </w:r>
      <w:r w:rsidR="00203F72" w:rsidRPr="005E4924">
        <w:t>總統、副總統均缺位時，由行政院院長代行其職權。依憲法</w:t>
      </w:r>
      <w:hyperlink r:id="rId604" w:anchor="a50" w:history="1">
        <w:r w:rsidR="00A5735A" w:rsidRPr="00A5735A">
          <w:rPr>
            <w:rStyle w:val="a5"/>
            <w:rFonts w:ascii="Times New Roman" w:hAnsi="Times New Roman"/>
          </w:rPr>
          <w:t>第</w:t>
        </w:r>
        <w:r w:rsidR="00A5735A" w:rsidRPr="00A5735A">
          <w:rPr>
            <w:rStyle w:val="a5"/>
            <w:rFonts w:ascii="Times New Roman" w:hAnsi="Times New Roman"/>
          </w:rPr>
          <w:t>50</w:t>
        </w:r>
        <w:r w:rsidR="00A5735A" w:rsidRPr="00A5735A">
          <w:rPr>
            <w:rStyle w:val="a5"/>
            <w:rFonts w:ascii="Times New Roman" w:hAnsi="Times New Roman"/>
          </w:rPr>
          <w:t>條</w:t>
        </w:r>
      </w:hyperlink>
      <w:r w:rsidR="00203F72" w:rsidRPr="005E4924">
        <w:t>之規定，總統於任滿之日解職，如屆期次任總統尚未選出，或選出後總統、副總統均未就職時，由行政院院長代行總統職權。</w:t>
      </w:r>
    </w:p>
    <w:p w14:paraId="49796E2A" w14:textId="77777777" w:rsidR="00203F72" w:rsidRPr="005E4924" w:rsidRDefault="007F7377" w:rsidP="00D87D91">
      <w:r w:rsidRPr="005E4924">
        <w:t xml:space="preserve">　　</w:t>
      </w:r>
      <w:r w:rsidR="00203F72" w:rsidRPr="005E4924">
        <w:t>四、副署權：依憲</w:t>
      </w:r>
      <w:r w:rsidR="00A5735A" w:rsidRPr="00A53581">
        <w:rPr>
          <w:rFonts w:ascii="新細明體" w:hAnsi="新細明體" w:hint="eastAsia"/>
          <w:kern w:val="0"/>
        </w:rPr>
        <w:t>法</w:t>
      </w:r>
      <w:hyperlink r:id="rId605" w:anchor="a37" w:history="1">
        <w:r w:rsidR="00A5735A" w:rsidRPr="00A5735A">
          <w:rPr>
            <w:rStyle w:val="a5"/>
            <w:rFonts w:hint="eastAsia"/>
            <w:kern w:val="0"/>
          </w:rPr>
          <w:t>第37條</w:t>
        </w:r>
      </w:hyperlink>
      <w:r w:rsidR="00203F72" w:rsidRPr="005E4924">
        <w:t>之規定，總統依法公布法律，發布命令，須經行政院院長之副署，或行政院院長及有關部會首長之副署。然依增修條</w:t>
      </w:r>
      <w:r w:rsidR="00441941" w:rsidRPr="005E4924">
        <w:t>文</w:t>
      </w:r>
      <w:hyperlink r:id="rId606" w:anchor="b2" w:history="1">
        <w:r w:rsidR="00441941" w:rsidRPr="00441941">
          <w:rPr>
            <w:rStyle w:val="a5"/>
            <w:rFonts w:ascii="Times New Roman" w:hAnsi="Times New Roman"/>
          </w:rPr>
          <w:t>第二條</w:t>
        </w:r>
      </w:hyperlink>
      <w:r w:rsidR="00203F72" w:rsidRPr="005E4924">
        <w:t>之規定，總統發布行政院院長與依憲法經立法院同意任命人員之任免命令，及解散立法院之命令，無須行政院院長之副署，不適用憲法</w:t>
      </w:r>
      <w:r w:rsidR="00C94B4E" w:rsidRPr="005E4924">
        <w:t>第</w:t>
      </w:r>
      <w:hyperlink r:id="rId607" w:anchor="a37" w:history="1">
        <w:r w:rsidR="00C94B4E" w:rsidRPr="005E4924">
          <w:rPr>
            <w:rStyle w:val="a5"/>
          </w:rPr>
          <w:t>三十七</w:t>
        </w:r>
      </w:hyperlink>
      <w:r w:rsidR="00C94B4E" w:rsidRPr="005E4924">
        <w:t>條</w:t>
      </w:r>
      <w:r w:rsidR="00203F72" w:rsidRPr="005E4924">
        <w:t>之規定。</w:t>
      </w:r>
    </w:p>
    <w:p w14:paraId="528428E2" w14:textId="77777777" w:rsidR="00203F72" w:rsidRPr="005E4924" w:rsidRDefault="007F7377" w:rsidP="00D87D91">
      <w:r w:rsidRPr="005E4924">
        <w:t xml:space="preserve">　　</w:t>
      </w:r>
      <w:r w:rsidR="00203F72" w:rsidRPr="005E4924">
        <w:t>五、呈請總統解散立法院：依增修條文第三條第二項第三款之規定，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p w14:paraId="332147F6" w14:textId="77777777" w:rsidR="00953151" w:rsidRPr="005E4924" w:rsidRDefault="007F7377" w:rsidP="00D87D91">
      <w:r w:rsidRPr="005E4924">
        <w:t xml:space="preserve">　　</w:t>
      </w:r>
      <w:r w:rsidR="00203F72" w:rsidRPr="005E4924">
        <w:t>六、指揮監督國家各級行政機關：依本條規定行政院為國家最高行政機關，故必須負責指揮監督國家行政系統之運作，完善達到行政效能。再者，依憲法增修條</w:t>
      </w:r>
      <w:r w:rsidR="007459D9" w:rsidRPr="005E4924">
        <w:t>文</w:t>
      </w:r>
      <w:hyperlink r:id="rId608" w:anchor="b9" w:history="1">
        <w:r w:rsidR="007459D9" w:rsidRPr="007459D9">
          <w:rPr>
            <w:rStyle w:val="a5"/>
            <w:rFonts w:ascii="Times New Roman" w:eastAsia="新細明體" w:hAnsi="Times New Roman"/>
          </w:rPr>
          <w:t>第九條</w:t>
        </w:r>
      </w:hyperlink>
      <w:r w:rsidR="00203F72" w:rsidRPr="005E4924">
        <w:t>第一項第七款之規定，省承行政院之命，監督縣自治事項。</w:t>
      </w:r>
    </w:p>
    <w:p w14:paraId="1ED26463" w14:textId="77777777" w:rsidR="00953151" w:rsidRDefault="00076467" w:rsidP="00767F37">
      <w:pPr>
        <w:pStyle w:val="2"/>
      </w:pPr>
      <w:hyperlink r:id="rId609" w:anchor="a54" w:history="1">
        <w:r w:rsidR="005D5A46">
          <w:rPr>
            <w:rStyle w:val="a5"/>
            <w:rFonts w:ascii="Arial Unicode MS" w:hAnsi="Arial Unicode MS"/>
          </w:rPr>
          <w:t>第</w:t>
        </w:r>
        <w:r w:rsidR="00203F72" w:rsidRPr="001B53A5">
          <w:rPr>
            <w:rStyle w:val="a5"/>
            <w:rFonts w:ascii="Arial Unicode MS" w:hAnsi="Arial Unicode MS"/>
          </w:rPr>
          <w:t>54</w:t>
        </w:r>
        <w:r w:rsidR="005D5A46">
          <w:rPr>
            <w:rStyle w:val="a5"/>
            <w:rFonts w:ascii="Arial Unicode MS" w:hAnsi="Arial Unicode MS"/>
          </w:rPr>
          <w:t>條</w:t>
        </w:r>
      </w:hyperlink>
      <w:r w:rsidR="00203F72" w:rsidRPr="00A53581">
        <w:t>行政院設院長、副院長各一人，各部會首長若干人，及不管部會之政務委員若干人。</w:t>
      </w:r>
    </w:p>
    <w:p w14:paraId="0861F067" w14:textId="77777777" w:rsidR="00953151" w:rsidRPr="005E4924" w:rsidRDefault="00B03E84" w:rsidP="00D87D91">
      <w:r w:rsidRPr="005E4924">
        <w:t>【內容解析】</w:t>
      </w:r>
    </w:p>
    <w:p w14:paraId="30504901" w14:textId="77777777" w:rsidR="00953151" w:rsidRPr="005E4924" w:rsidRDefault="007F7377" w:rsidP="00D87D91">
      <w:r w:rsidRPr="005E4924">
        <w:t xml:space="preserve">　　</w:t>
      </w:r>
      <w:r w:rsidR="00203F72" w:rsidRPr="005E4924">
        <w:t>行政院設院長綜理行政院務，設副院長一人，襄助院長綜理院務；各部長首長各有所司，不管部會政務委員，主要在協助跨部會整合業務。依憲法增修條</w:t>
      </w:r>
      <w:r w:rsidR="00E16174" w:rsidRPr="00D73718">
        <w:t>文</w:t>
      </w:r>
      <w:hyperlink r:id="rId610"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5E4924">
        <w:t>第一項之規定，行政院院長由總統任命之。行政院院長辭職或出缺時，在總統未任命行政院院長前，由行政院副院長暫行代理，憲法第</w:t>
      </w:r>
      <w:hyperlink r:id="rId611" w:anchor="a55" w:history="1">
        <w:r w:rsidR="00203F72" w:rsidRPr="007776F0">
          <w:rPr>
            <w:rStyle w:val="a5"/>
            <w:rFonts w:ascii="Times New Roman" w:eastAsia="新細明體" w:hAnsi="Times New Roman"/>
          </w:rPr>
          <w:t>五十五</w:t>
        </w:r>
      </w:hyperlink>
      <w:r w:rsidR="00203F72" w:rsidRPr="005E4924">
        <w:t>條之規定，停止適用。行政院院長為政治任命，無任期限制。依行政院組織法</w:t>
      </w:r>
      <w:hyperlink r:id="rId612" w:anchor="b10" w:history="1">
        <w:r w:rsidR="00203F72" w:rsidRPr="009F6368">
          <w:rPr>
            <w:rStyle w:val="a5"/>
            <w:rFonts w:ascii="Times New Roman" w:hAnsi="Times New Roman"/>
          </w:rPr>
          <w:t>第</w:t>
        </w:r>
        <w:r w:rsidR="00203F72" w:rsidRPr="009F6368">
          <w:rPr>
            <w:rStyle w:val="a5"/>
            <w:rFonts w:ascii="Times New Roman" w:hAnsi="Times New Roman"/>
          </w:rPr>
          <w:t>10</w:t>
        </w:r>
        <w:r w:rsidR="00203F72" w:rsidRPr="009F6368">
          <w:rPr>
            <w:rStyle w:val="a5"/>
            <w:rFonts w:ascii="Times New Roman" w:hAnsi="Times New Roman"/>
          </w:rPr>
          <w:t>條</w:t>
        </w:r>
      </w:hyperlink>
      <w:r w:rsidR="00203F72" w:rsidRPr="005E4924">
        <w:t>之規定，行政院院長職務為綜理院務，並指揮監督所屬機關及人員。行政院院長因事故不能</w:t>
      </w:r>
      <w:r w:rsidR="003E240E">
        <w:t>視</w:t>
      </w:r>
      <w:r w:rsidR="00203F72" w:rsidRPr="005E4924">
        <w:t>事時，由副院長代理其職務。</w:t>
      </w:r>
    </w:p>
    <w:p w14:paraId="130D7DF0" w14:textId="77777777" w:rsidR="00953151" w:rsidRPr="005E4924" w:rsidRDefault="007F7377" w:rsidP="00D87D91">
      <w:r w:rsidRPr="005E4924">
        <w:t xml:space="preserve">　　</w:t>
      </w:r>
      <w:r w:rsidR="00203F72" w:rsidRPr="005E4924">
        <w:t>另依憲法</w:t>
      </w:r>
      <w:hyperlink r:id="rId613" w:anchor="a56" w:history="1">
        <w:r w:rsidR="00203F72" w:rsidRPr="007776F0">
          <w:rPr>
            <w:rStyle w:val="a5"/>
            <w:rFonts w:ascii="Times New Roman" w:eastAsia="新細明體" w:hAnsi="Times New Roman"/>
          </w:rPr>
          <w:t>第</w:t>
        </w:r>
        <w:r w:rsidR="00203F72" w:rsidRPr="007776F0">
          <w:rPr>
            <w:rStyle w:val="a5"/>
            <w:rFonts w:ascii="Times New Roman" w:eastAsia="新細明體" w:hAnsi="Times New Roman"/>
          </w:rPr>
          <w:t>56</w:t>
        </w:r>
        <w:r w:rsidR="00203F72" w:rsidRPr="007776F0">
          <w:rPr>
            <w:rStyle w:val="a5"/>
            <w:rFonts w:ascii="Times New Roman" w:eastAsia="新細明體" w:hAnsi="Times New Roman"/>
          </w:rPr>
          <w:t>條</w:t>
        </w:r>
      </w:hyperlink>
      <w:r w:rsidR="00203F72" w:rsidRPr="005E4924">
        <w:t>之規範，行政院副院長、各部會首長及不管部會之政務委員，由行政院院長提請總統任命之。依行政院組織</w:t>
      </w:r>
      <w:r w:rsidR="00687BCD" w:rsidRPr="005E4924">
        <w:t>法</w:t>
      </w:r>
      <w:hyperlink r:id="rId614" w:anchor="b2" w:history="1">
        <w:r w:rsidR="00687BCD" w:rsidRPr="005E4924">
          <w:rPr>
            <w:rStyle w:val="a5"/>
          </w:rPr>
          <w:t>第2條</w:t>
        </w:r>
      </w:hyperlink>
      <w:r w:rsidR="00203F72" w:rsidRPr="005E4924">
        <w:t>之規定，行政院行使憲法所賦予之職權。為完成憲法所賦予之職權，行政院各部會依行政院組織法</w:t>
      </w:r>
      <w:hyperlink r:id="rId615" w:anchor="b3" w:history="1">
        <w:r w:rsidR="00203F72" w:rsidRPr="00037D13">
          <w:rPr>
            <w:rStyle w:val="a5"/>
            <w:rFonts w:ascii="Times New Roman" w:hAnsi="Times New Roman"/>
          </w:rPr>
          <w:t>第</w:t>
        </w:r>
        <w:r w:rsidR="00203F72" w:rsidRPr="00037D13">
          <w:rPr>
            <w:rStyle w:val="a5"/>
            <w:rFonts w:ascii="Times New Roman" w:hAnsi="Times New Roman"/>
          </w:rPr>
          <w:t>3</w:t>
        </w:r>
        <w:r w:rsidR="00203F72" w:rsidRPr="00037D13">
          <w:rPr>
            <w:rStyle w:val="a5"/>
            <w:rFonts w:ascii="Times New Roman" w:hAnsi="Times New Roman"/>
          </w:rPr>
          <w:t>條</w:t>
        </w:r>
      </w:hyperlink>
      <w:r w:rsidR="00203F72" w:rsidRPr="005E4924">
        <w:t>之規定，設置下列各部：</w:t>
      </w:r>
      <w:r w:rsidR="00203F72" w:rsidRPr="005E4924">
        <w:t xml:space="preserve"> </w:t>
      </w:r>
      <w:r w:rsidR="00203F72" w:rsidRPr="005E4924">
        <w:t>一、內政部。二、外交部。三、國防部。四、財政部。五、教育部。六、法務部。七、經濟及能源部。八、交通及建設部</w:t>
      </w:r>
      <w:r w:rsidR="00545D58" w:rsidRPr="005E4924">
        <w:t>。</w:t>
      </w:r>
      <w:r w:rsidR="00203F72" w:rsidRPr="005E4924">
        <w:t>九、勞動部。十、農業部。十一、衛生福利部。十二、環境資源部。十三、文化部。十四、科技部。</w:t>
      </w:r>
    </w:p>
    <w:p w14:paraId="07A51A1C" w14:textId="77777777" w:rsidR="00953151" w:rsidRPr="005E4924" w:rsidRDefault="007F7377" w:rsidP="00D87D91">
      <w:r w:rsidRPr="005E4924">
        <w:t xml:space="preserve">　　</w:t>
      </w:r>
      <w:r w:rsidR="00203F72" w:rsidRPr="005E4924">
        <w:t>依行政院組織法</w:t>
      </w:r>
      <w:hyperlink r:id="rId616" w:anchor="b4" w:history="1">
        <w:r w:rsidR="00203F72" w:rsidRPr="00037D13">
          <w:rPr>
            <w:rStyle w:val="a5"/>
            <w:rFonts w:ascii="Times New Roman" w:hAnsi="Times New Roman"/>
          </w:rPr>
          <w:t>第</w:t>
        </w:r>
        <w:r w:rsidR="00203F72" w:rsidRPr="00037D13">
          <w:rPr>
            <w:rStyle w:val="a5"/>
            <w:rFonts w:ascii="Times New Roman" w:hAnsi="Times New Roman"/>
          </w:rPr>
          <w:t>4</w:t>
        </w:r>
        <w:r w:rsidR="00203F72" w:rsidRPr="00037D13">
          <w:rPr>
            <w:rStyle w:val="a5"/>
            <w:rFonts w:ascii="Times New Roman" w:hAnsi="Times New Roman"/>
          </w:rPr>
          <w:t>條</w:t>
        </w:r>
      </w:hyperlink>
      <w:r w:rsidR="00203F72" w:rsidRPr="005E4924">
        <w:t>之規定，行政院設置下列各委員會：一、國家發展委員會。二、大陸委員會。三、金融監督管理委員會。四、海洋委員會。五、僑務委員會。六、國軍退除役官兵輔導委員會。七、原住民族委員會。八、客家委員會。依行政院組織法</w:t>
      </w:r>
      <w:hyperlink r:id="rId617" w:anchor="b5" w:history="1">
        <w:r w:rsidR="00203F72" w:rsidRPr="00037D13">
          <w:rPr>
            <w:rStyle w:val="a5"/>
            <w:rFonts w:ascii="Times New Roman" w:hAnsi="Times New Roman"/>
          </w:rPr>
          <w:t>第</w:t>
        </w:r>
        <w:r w:rsidR="00203F72" w:rsidRPr="00037D13">
          <w:rPr>
            <w:rStyle w:val="a5"/>
            <w:rFonts w:ascii="Times New Roman" w:hAnsi="Times New Roman"/>
          </w:rPr>
          <w:t>5</w:t>
        </w:r>
        <w:r w:rsidR="00203F72" w:rsidRPr="00037D13">
          <w:rPr>
            <w:rStyle w:val="a5"/>
            <w:rFonts w:ascii="Times New Roman" w:hAnsi="Times New Roman"/>
          </w:rPr>
          <w:t>條</w:t>
        </w:r>
      </w:hyperlink>
      <w:r w:rsidR="00203F72" w:rsidRPr="005E4924">
        <w:t>之規定設置政務委員七人至九人，特任。政務委員得兼任前條委員會之主任委員。</w:t>
      </w:r>
    </w:p>
    <w:p w14:paraId="63E7674E" w14:textId="77777777" w:rsidR="00953151" w:rsidRPr="005E4924" w:rsidRDefault="007F7377" w:rsidP="00D87D91">
      <w:r w:rsidRPr="005E4924">
        <w:t xml:space="preserve">　　</w:t>
      </w:r>
      <w:r w:rsidR="00203F72" w:rsidRPr="005E4924">
        <w:t>此外，依行政院組織法</w:t>
      </w:r>
      <w:hyperlink r:id="rId618" w:anchor="b6" w:history="1">
        <w:r w:rsidR="00203F72" w:rsidRPr="00037D13">
          <w:rPr>
            <w:rStyle w:val="a5"/>
            <w:rFonts w:ascii="Times New Roman" w:hAnsi="Times New Roman"/>
          </w:rPr>
          <w:t>第</w:t>
        </w:r>
        <w:r w:rsidR="00203F72" w:rsidRPr="00037D13">
          <w:rPr>
            <w:rStyle w:val="a5"/>
            <w:rFonts w:ascii="Times New Roman" w:hAnsi="Times New Roman"/>
          </w:rPr>
          <w:t>6</w:t>
        </w:r>
        <w:r w:rsidR="00203F72" w:rsidRPr="00037D13">
          <w:rPr>
            <w:rStyle w:val="a5"/>
            <w:rFonts w:ascii="Times New Roman" w:hAnsi="Times New Roman"/>
          </w:rPr>
          <w:t>條</w:t>
        </w:r>
      </w:hyperlink>
      <w:r w:rsidR="00203F72" w:rsidRPr="005E4924">
        <w:t>之規定，行政院設行政院主計總處及行政院人事行政總處。依行政院組織法</w:t>
      </w:r>
      <w:hyperlink r:id="rId619" w:anchor="b7" w:history="1">
        <w:r w:rsidR="00203F72" w:rsidRPr="00037D13">
          <w:rPr>
            <w:rStyle w:val="a5"/>
            <w:rFonts w:ascii="Times New Roman" w:hAnsi="Times New Roman"/>
          </w:rPr>
          <w:t>第</w:t>
        </w:r>
        <w:r w:rsidR="00203F72" w:rsidRPr="00037D13">
          <w:rPr>
            <w:rStyle w:val="a5"/>
            <w:rFonts w:ascii="Times New Roman" w:hAnsi="Times New Roman"/>
          </w:rPr>
          <w:t>7</w:t>
        </w:r>
        <w:r w:rsidR="00203F72" w:rsidRPr="00037D13">
          <w:rPr>
            <w:rStyle w:val="a5"/>
            <w:rFonts w:ascii="Times New Roman" w:hAnsi="Times New Roman"/>
          </w:rPr>
          <w:t>條</w:t>
        </w:r>
      </w:hyperlink>
      <w:r w:rsidR="00203F72" w:rsidRPr="005E4924">
        <w:t>之規定，行政院設中央銀行。依行政院組織法</w:t>
      </w:r>
      <w:hyperlink r:id="rId620" w:anchor="b8" w:history="1">
        <w:r w:rsidR="00203F72" w:rsidRPr="00037D13">
          <w:rPr>
            <w:rStyle w:val="a5"/>
            <w:rFonts w:ascii="Times New Roman" w:hAnsi="Times New Roman"/>
          </w:rPr>
          <w:t>第</w:t>
        </w:r>
        <w:r w:rsidR="00203F72" w:rsidRPr="00037D13">
          <w:rPr>
            <w:rStyle w:val="a5"/>
            <w:rFonts w:ascii="Times New Roman" w:hAnsi="Times New Roman"/>
          </w:rPr>
          <w:t>8</w:t>
        </w:r>
        <w:r w:rsidR="00203F72" w:rsidRPr="00037D13">
          <w:rPr>
            <w:rStyle w:val="a5"/>
            <w:rFonts w:ascii="Times New Roman" w:hAnsi="Times New Roman"/>
          </w:rPr>
          <w:t>條</w:t>
        </w:r>
      </w:hyperlink>
      <w:r w:rsidR="00203F72" w:rsidRPr="005E4924">
        <w:t>之規定，行政院設國立故宮博物院。</w:t>
      </w:r>
    </w:p>
    <w:p w14:paraId="3F7311F3" w14:textId="77777777" w:rsidR="00953151" w:rsidRPr="005E4924" w:rsidRDefault="007F7377" w:rsidP="00D87D91">
      <w:r w:rsidRPr="005E4924">
        <w:t xml:space="preserve">　　</w:t>
      </w:r>
      <w:r w:rsidR="00203F72" w:rsidRPr="005E4924">
        <w:t>依行政院組織法</w:t>
      </w:r>
      <w:hyperlink r:id="rId621" w:anchor="b9" w:history="1">
        <w:r w:rsidR="00203F72" w:rsidRPr="00037D13">
          <w:rPr>
            <w:rStyle w:val="a5"/>
            <w:rFonts w:ascii="Times New Roman" w:hAnsi="Times New Roman"/>
          </w:rPr>
          <w:t>第</w:t>
        </w:r>
        <w:r w:rsidR="00203F72" w:rsidRPr="00037D13">
          <w:rPr>
            <w:rStyle w:val="a5"/>
            <w:rFonts w:ascii="Times New Roman" w:hAnsi="Times New Roman"/>
          </w:rPr>
          <w:t>9</w:t>
        </w:r>
        <w:r w:rsidR="00203F72" w:rsidRPr="00037D13">
          <w:rPr>
            <w:rStyle w:val="a5"/>
            <w:rFonts w:ascii="Times New Roman" w:hAnsi="Times New Roman"/>
          </w:rPr>
          <w:t>條</w:t>
        </w:r>
      </w:hyperlink>
      <w:r w:rsidR="00203F72" w:rsidRPr="005E4924">
        <w:t>之規定，行政院設下列相當中央二級獨立機關：一、中央選舉委員會。二、公平交易委員會。三、國家通訊傳播委員會。再者，依行政院組織法</w:t>
      </w:r>
      <w:hyperlink r:id="rId622" w:anchor="b12" w:history="1">
        <w:r w:rsidR="00203F72" w:rsidRPr="00037D13">
          <w:rPr>
            <w:rStyle w:val="a5"/>
            <w:rFonts w:ascii="Times New Roman" w:hAnsi="Times New Roman"/>
          </w:rPr>
          <w:t>第</w:t>
        </w:r>
        <w:r w:rsidR="00203F72" w:rsidRPr="00037D13">
          <w:rPr>
            <w:rStyle w:val="a5"/>
            <w:rFonts w:ascii="Times New Roman" w:hAnsi="Times New Roman"/>
          </w:rPr>
          <w:t>12</w:t>
        </w:r>
        <w:r w:rsidR="00203F72" w:rsidRPr="00037D13">
          <w:rPr>
            <w:rStyle w:val="a5"/>
            <w:rFonts w:ascii="Times New Roman" w:hAnsi="Times New Roman"/>
          </w:rPr>
          <w:t>條</w:t>
        </w:r>
      </w:hyperlink>
      <w:r w:rsidR="00203F72" w:rsidRPr="005E4924">
        <w:t>之規定，行政院置秘書長一人，特任，綜合處理本院幕僚事務；副秘書長二人，其中一人職務比照簡任第十四職等，襄助秘書長處理本院幕僚事務。行政院置發言人一人，特任，處理新聞發布及聯繫事項，得由政務職務人員兼任之。另依依行政院組織法</w:t>
      </w:r>
      <w:hyperlink r:id="rId623" w:anchor="b14" w:history="1">
        <w:r w:rsidR="00203F72" w:rsidRPr="00037D13">
          <w:rPr>
            <w:rStyle w:val="a5"/>
            <w:rFonts w:ascii="Times New Roman" w:hAnsi="Times New Roman"/>
          </w:rPr>
          <w:t>第</w:t>
        </w:r>
        <w:r w:rsidR="00203F72" w:rsidRPr="00037D13">
          <w:rPr>
            <w:rStyle w:val="a5"/>
            <w:rFonts w:ascii="Times New Roman" w:hAnsi="Times New Roman"/>
          </w:rPr>
          <w:t>14</w:t>
        </w:r>
        <w:r w:rsidR="00203F72" w:rsidRPr="00037D13">
          <w:rPr>
            <w:rStyle w:val="a5"/>
            <w:rFonts w:ascii="Times New Roman" w:hAnsi="Times New Roman"/>
          </w:rPr>
          <w:t>條</w:t>
        </w:r>
      </w:hyperlink>
      <w:r w:rsidR="00203F72" w:rsidRPr="005E4924">
        <w:t>之規定行政院為處理特定事務，得於院內設專責單位。</w:t>
      </w:r>
    </w:p>
    <w:p w14:paraId="3C845F5C" w14:textId="77777777" w:rsidR="00203F72" w:rsidRPr="00A53581" w:rsidRDefault="00076467" w:rsidP="00767F37">
      <w:pPr>
        <w:pStyle w:val="2"/>
      </w:pPr>
      <w:hyperlink r:id="rId624" w:anchor="a55" w:history="1">
        <w:r w:rsidR="005D5A46">
          <w:rPr>
            <w:rStyle w:val="a5"/>
            <w:rFonts w:ascii="Arial Unicode MS" w:hAnsi="Arial Unicode MS"/>
          </w:rPr>
          <w:t>第</w:t>
        </w:r>
        <w:r w:rsidR="00203F72" w:rsidRPr="001B53A5">
          <w:rPr>
            <w:rStyle w:val="a5"/>
            <w:rFonts w:ascii="Arial Unicode MS" w:hAnsi="Arial Unicode MS"/>
          </w:rPr>
          <w:t>55</w:t>
        </w:r>
        <w:r w:rsidR="005D5A46">
          <w:rPr>
            <w:rStyle w:val="a5"/>
            <w:rFonts w:ascii="Arial Unicode MS" w:hAnsi="Arial Unicode MS"/>
          </w:rPr>
          <w:t>條</w:t>
        </w:r>
      </w:hyperlink>
      <w:r w:rsidR="00203F72" w:rsidRPr="00A53581">
        <w:t>行政院院長由總統提名，經立法院同意任命之。</w:t>
      </w:r>
    </w:p>
    <w:p w14:paraId="3D4B1C39" w14:textId="77777777" w:rsidR="00953151" w:rsidRPr="005E4924" w:rsidRDefault="007F7377" w:rsidP="00D87D91">
      <w:r w:rsidRPr="005E4924">
        <w:t xml:space="preserve">　　</w:t>
      </w:r>
      <w:r w:rsidR="00203F72" w:rsidRPr="005E4924">
        <w:t>立法院休會期間，行政院院長辭職或出缺時，由行政院副院長代理其職務，但總統須於四十日內諮請立法院召集會議，提出行政院院長人選，徵求同意。行政院院長職務，在總統所提行政院院長人選未經立法院同意前，由行政院副院長暫行代理。</w:t>
      </w:r>
    </w:p>
    <w:p w14:paraId="05867B58" w14:textId="77777777" w:rsidR="00953151" w:rsidRPr="005E4924" w:rsidRDefault="00B03E84" w:rsidP="00D87D91">
      <w:r w:rsidRPr="005E4924">
        <w:t>【內容解析】</w:t>
      </w:r>
    </w:p>
    <w:p w14:paraId="1336A122" w14:textId="77777777" w:rsidR="00953151" w:rsidRPr="005E4924" w:rsidRDefault="007F7377" w:rsidP="00D87D91">
      <w:r w:rsidRPr="005E4924">
        <w:t xml:space="preserve">　　</w:t>
      </w:r>
      <w:r w:rsidR="00203F72" w:rsidRPr="005E4924">
        <w:t>行政院院長由總統提名，因此總統握有行政院長之提名權；但需經立法院同意任命之，這其實賦予立法院監督行政院之責任與權力。因此，行政院長經立法院通過之程序，是在節制總統之權力。行政院院長為國家最高行政機關首長，總統能不能單獨主導行政院長，這也表示總統對國家行政權之一種掌控。</w:t>
      </w:r>
    </w:p>
    <w:p w14:paraId="31D057BD" w14:textId="77777777" w:rsidR="003E43C4" w:rsidRDefault="003E43C4" w:rsidP="00D87D91"/>
    <w:p w14:paraId="20C2C4F4" w14:textId="1EDCF894" w:rsidR="00203F72" w:rsidRPr="005E4924" w:rsidRDefault="00B03E84" w:rsidP="00D87D91">
      <w:r w:rsidRPr="005E4924">
        <w:t>【</w:t>
      </w:r>
      <w:r w:rsidRPr="005E4924">
        <w:t>table</w:t>
      </w:r>
      <w:r w:rsidR="005E23E3" w:rsidRPr="005E492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39</w:t>
      </w:r>
      <w:r w:rsidR="00076467">
        <w:rPr>
          <w:noProof/>
        </w:rPr>
        <w:fldChar w:fldCharType="end"/>
      </w:r>
      <w:r w:rsidR="00203F72" w:rsidRPr="005E4924">
        <w:t>我國中央政府體制不同兩派見解之主要差異一覽表</w:t>
      </w:r>
    </w:p>
    <w:tbl>
      <w:tblPr>
        <w:tblW w:w="465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720"/>
        <w:gridCol w:w="2492"/>
      </w:tblGrid>
      <w:tr w:rsidR="00203F72" w:rsidRPr="00A53581" w14:paraId="0C43F387" w14:textId="77777777" w:rsidTr="007776F0">
        <w:trPr>
          <w:tblHeader/>
        </w:trPr>
        <w:tc>
          <w:tcPr>
            <w:tcW w:w="1703" w:type="pct"/>
            <w:shd w:val="clear" w:color="auto" w:fill="FAF0FA"/>
          </w:tcPr>
          <w:p w14:paraId="6B0A8F91" w14:textId="77777777" w:rsidR="00203F72" w:rsidRPr="00A53581" w:rsidRDefault="00203F72" w:rsidP="00D87D91"/>
        </w:tc>
        <w:tc>
          <w:tcPr>
            <w:tcW w:w="1720" w:type="pct"/>
            <w:shd w:val="clear" w:color="auto" w:fill="FAF0FA"/>
          </w:tcPr>
          <w:p w14:paraId="0F32A018" w14:textId="77777777" w:rsidR="00203F72" w:rsidRPr="00A53581" w:rsidRDefault="00203F72" w:rsidP="00D87D91">
            <w:r w:rsidRPr="00A53581">
              <w:t>傾向內閣制見解</w:t>
            </w:r>
          </w:p>
        </w:tc>
        <w:tc>
          <w:tcPr>
            <w:tcW w:w="1576" w:type="pct"/>
            <w:shd w:val="clear" w:color="auto" w:fill="FAF0FA"/>
          </w:tcPr>
          <w:p w14:paraId="24347A48" w14:textId="77777777" w:rsidR="00203F72" w:rsidRPr="00A53581" w:rsidRDefault="00203F72" w:rsidP="00D87D91">
            <w:r w:rsidRPr="00A53581">
              <w:t>傾向總制見解</w:t>
            </w:r>
          </w:p>
        </w:tc>
      </w:tr>
      <w:tr w:rsidR="00203F72" w:rsidRPr="00A53581" w14:paraId="486DF9C8" w14:textId="77777777" w:rsidTr="007776F0">
        <w:tc>
          <w:tcPr>
            <w:tcW w:w="1703" w:type="pct"/>
            <w:shd w:val="clear" w:color="auto" w:fill="auto"/>
          </w:tcPr>
          <w:p w14:paraId="25E22D94" w14:textId="77777777" w:rsidR="00203F72" w:rsidRPr="00A53581" w:rsidRDefault="00203F72" w:rsidP="00D87D91">
            <w:r w:rsidRPr="00A53581">
              <w:t>行政院院長人選之決定權歸屬？</w:t>
            </w:r>
          </w:p>
        </w:tc>
        <w:tc>
          <w:tcPr>
            <w:tcW w:w="1720" w:type="pct"/>
            <w:shd w:val="clear" w:color="auto" w:fill="auto"/>
          </w:tcPr>
          <w:p w14:paraId="70FB4EB2" w14:textId="77777777" w:rsidR="00203F72" w:rsidRPr="00A53581" w:rsidRDefault="00203F72" w:rsidP="00D87D91">
            <w:r w:rsidRPr="00A53581">
              <w:t>以立法院多數黨為主</w:t>
            </w:r>
          </w:p>
        </w:tc>
        <w:tc>
          <w:tcPr>
            <w:tcW w:w="1576" w:type="pct"/>
            <w:shd w:val="clear" w:color="auto" w:fill="auto"/>
          </w:tcPr>
          <w:p w14:paraId="7406EAE3" w14:textId="77777777" w:rsidR="00203F72" w:rsidRPr="00A53581" w:rsidRDefault="00203F72" w:rsidP="00D87D91">
            <w:r w:rsidRPr="00A53581">
              <w:t>以總統意志為主</w:t>
            </w:r>
          </w:p>
        </w:tc>
      </w:tr>
      <w:tr w:rsidR="00203F72" w:rsidRPr="00A53581" w14:paraId="48F22A0A" w14:textId="77777777" w:rsidTr="007776F0">
        <w:tc>
          <w:tcPr>
            <w:tcW w:w="1703" w:type="pct"/>
            <w:shd w:val="clear" w:color="auto" w:fill="auto"/>
          </w:tcPr>
          <w:p w14:paraId="3E14361D" w14:textId="77777777" w:rsidR="00203F72" w:rsidRPr="00A53581" w:rsidRDefault="00203F72" w:rsidP="00D87D91">
            <w:r w:rsidRPr="00A53581">
              <w:t>釋字</w:t>
            </w:r>
            <w:hyperlink r:id="rId625" w:anchor="r387" w:history="1">
              <w:r w:rsidRPr="007459D9">
                <w:rPr>
                  <w:rStyle w:val="a5"/>
                  <w:rFonts w:eastAsia="新細明體"/>
                </w:rPr>
                <w:t>387</w:t>
              </w:r>
            </w:hyperlink>
            <w:r w:rsidRPr="00A53581">
              <w:t>、</w:t>
            </w:r>
            <w:r w:rsidRPr="00A53581">
              <w:t>419</w:t>
            </w:r>
            <w:r w:rsidR="00D92F56">
              <w:rPr>
                <w:rFonts w:hint="eastAsia"/>
              </w:rPr>
              <w:t>〜</w:t>
            </w:r>
            <w:r w:rsidRPr="00A53581">
              <w:rPr>
                <w:kern w:val="0"/>
              </w:rPr>
              <w:t>「行政院長主要負責對象為立法院而非總統」之基調是否仍適用？</w:t>
            </w:r>
          </w:p>
        </w:tc>
        <w:tc>
          <w:tcPr>
            <w:tcW w:w="1720" w:type="pct"/>
            <w:shd w:val="clear" w:color="auto" w:fill="auto"/>
          </w:tcPr>
          <w:p w14:paraId="286CC2D0" w14:textId="77777777" w:rsidR="00203F72" w:rsidRPr="00A53581" w:rsidRDefault="00203F72" w:rsidP="00D87D91">
            <w:r w:rsidRPr="00A53581">
              <w:t>是</w:t>
            </w:r>
          </w:p>
        </w:tc>
        <w:tc>
          <w:tcPr>
            <w:tcW w:w="1576" w:type="pct"/>
            <w:shd w:val="clear" w:color="auto" w:fill="auto"/>
          </w:tcPr>
          <w:p w14:paraId="6F7A7BF4" w14:textId="77777777" w:rsidR="00203F72" w:rsidRPr="00A53581" w:rsidRDefault="00203F72" w:rsidP="00D87D91">
            <w:r w:rsidRPr="00A53581">
              <w:t>否</w:t>
            </w:r>
          </w:p>
        </w:tc>
      </w:tr>
      <w:tr w:rsidR="00203F72" w:rsidRPr="00A53581" w14:paraId="43F585BD" w14:textId="77777777" w:rsidTr="007776F0">
        <w:tc>
          <w:tcPr>
            <w:tcW w:w="1703" w:type="pct"/>
            <w:shd w:val="clear" w:color="auto" w:fill="auto"/>
          </w:tcPr>
          <w:p w14:paraId="0D4398C7" w14:textId="77777777" w:rsidR="00203F72" w:rsidRPr="00A53581" w:rsidRDefault="00203F72" w:rsidP="00D87D91">
            <w:r w:rsidRPr="00A53581">
              <w:t>總統可否任意免職行政院院長？</w:t>
            </w:r>
          </w:p>
        </w:tc>
        <w:tc>
          <w:tcPr>
            <w:tcW w:w="1720" w:type="pct"/>
            <w:shd w:val="clear" w:color="auto" w:fill="auto"/>
          </w:tcPr>
          <w:p w14:paraId="7548C748" w14:textId="77777777" w:rsidR="00203F72" w:rsidRPr="00A53581" w:rsidRDefault="00203F72" w:rsidP="00D87D91">
            <w:r w:rsidRPr="00A53581">
              <w:t>否</w:t>
            </w:r>
          </w:p>
        </w:tc>
        <w:tc>
          <w:tcPr>
            <w:tcW w:w="1576" w:type="pct"/>
            <w:shd w:val="clear" w:color="auto" w:fill="auto"/>
          </w:tcPr>
          <w:p w14:paraId="04120FD1" w14:textId="77777777" w:rsidR="00203F72" w:rsidRPr="00A53581" w:rsidRDefault="00203F72" w:rsidP="00D87D91">
            <w:r w:rsidRPr="00A53581">
              <w:t>是</w:t>
            </w:r>
          </w:p>
        </w:tc>
      </w:tr>
      <w:tr w:rsidR="00203F72" w:rsidRPr="00A53581" w14:paraId="6362CB9E" w14:textId="77777777" w:rsidTr="007776F0">
        <w:tc>
          <w:tcPr>
            <w:tcW w:w="1703" w:type="pct"/>
            <w:shd w:val="clear" w:color="auto" w:fill="auto"/>
          </w:tcPr>
          <w:p w14:paraId="3D188212" w14:textId="77777777" w:rsidR="00203F72" w:rsidRPr="00A53581" w:rsidRDefault="00203F72" w:rsidP="00D87D91">
            <w:r w:rsidRPr="00A53581">
              <w:t>立法院改選，行政院須否總辭？</w:t>
            </w:r>
          </w:p>
        </w:tc>
        <w:tc>
          <w:tcPr>
            <w:tcW w:w="1720" w:type="pct"/>
            <w:shd w:val="clear" w:color="auto" w:fill="auto"/>
          </w:tcPr>
          <w:p w14:paraId="7042C148" w14:textId="77777777" w:rsidR="00203F72" w:rsidRPr="00A53581" w:rsidRDefault="00203F72" w:rsidP="00D87D91">
            <w:r w:rsidRPr="00A53581">
              <w:t>是</w:t>
            </w:r>
          </w:p>
        </w:tc>
        <w:tc>
          <w:tcPr>
            <w:tcW w:w="1576" w:type="pct"/>
            <w:shd w:val="clear" w:color="auto" w:fill="auto"/>
          </w:tcPr>
          <w:p w14:paraId="4BFDD1B4" w14:textId="77777777" w:rsidR="00203F72" w:rsidRPr="00A53581" w:rsidRDefault="00203F72" w:rsidP="00D87D91">
            <w:r w:rsidRPr="00A53581">
              <w:t>否；除非形成憲政慣例。</w:t>
            </w:r>
          </w:p>
        </w:tc>
      </w:tr>
      <w:tr w:rsidR="00203F72" w:rsidRPr="00A53581" w14:paraId="1BAADBF5" w14:textId="77777777" w:rsidTr="007776F0">
        <w:tc>
          <w:tcPr>
            <w:tcW w:w="1703" w:type="pct"/>
            <w:shd w:val="clear" w:color="auto" w:fill="auto"/>
          </w:tcPr>
          <w:p w14:paraId="602A5572" w14:textId="77777777" w:rsidR="00203F72" w:rsidRPr="00A53581" w:rsidRDefault="00203F72" w:rsidP="00D87D91">
            <w:r w:rsidRPr="00A53581">
              <w:t>總統改選，行政院須否總辭？</w:t>
            </w:r>
          </w:p>
        </w:tc>
        <w:tc>
          <w:tcPr>
            <w:tcW w:w="1720" w:type="pct"/>
            <w:shd w:val="clear" w:color="auto" w:fill="auto"/>
          </w:tcPr>
          <w:p w14:paraId="531CE994" w14:textId="77777777" w:rsidR="00203F72" w:rsidRPr="00A53581" w:rsidRDefault="00203F72" w:rsidP="00D87D91">
            <w:r w:rsidRPr="00A53581">
              <w:t>否。僅屬禮貌性辭職。</w:t>
            </w:r>
          </w:p>
        </w:tc>
        <w:tc>
          <w:tcPr>
            <w:tcW w:w="1576" w:type="pct"/>
            <w:shd w:val="clear" w:color="auto" w:fill="auto"/>
          </w:tcPr>
          <w:p w14:paraId="1739B393" w14:textId="77777777" w:rsidR="00203F72" w:rsidRPr="00A53581" w:rsidRDefault="00203F72" w:rsidP="00D87D91">
            <w:r w:rsidRPr="00A53581">
              <w:t>是</w:t>
            </w:r>
          </w:p>
        </w:tc>
      </w:tr>
    </w:tbl>
    <w:p w14:paraId="04C4F969" w14:textId="77777777" w:rsidR="00953151" w:rsidRPr="005E4924" w:rsidRDefault="00B76D62" w:rsidP="00D87D91">
      <w:r w:rsidRPr="005E4924">
        <w:t>【本表資料來源】</w:t>
      </w:r>
      <w:r w:rsidR="00203F72" w:rsidRPr="005E4924">
        <w:t>賀祥宏</w:t>
      </w:r>
      <w:r w:rsidR="00203F72" w:rsidRPr="005E4924">
        <w:t>(2010)</w:t>
      </w:r>
      <w:r w:rsidR="00203F72" w:rsidRPr="005E4924">
        <w:t>，中華民國憲法，第</w:t>
      </w:r>
      <w:r w:rsidR="00203F72" w:rsidRPr="005E4924">
        <w:t>11</w:t>
      </w:r>
      <w:r w:rsidR="00203F72" w:rsidRPr="005E4924">
        <w:t>版，台北市：高點，第</w:t>
      </w:r>
      <w:r w:rsidR="00203F72" w:rsidRPr="005E4924">
        <w:t>3-35</w:t>
      </w:r>
      <w:r w:rsidR="00203F72" w:rsidRPr="005E4924">
        <w:t>頁。</w:t>
      </w:r>
    </w:p>
    <w:p w14:paraId="13A0D57D" w14:textId="77777777" w:rsidR="00953151" w:rsidRPr="005E4924" w:rsidRDefault="007F7377" w:rsidP="00D87D91">
      <w:r w:rsidRPr="005E4924">
        <w:t xml:space="preserve">　　</w:t>
      </w:r>
      <w:r w:rsidR="00203F72" w:rsidRPr="005E4924">
        <w:t>為因應國家統一前之需要，依照憲法</w:t>
      </w:r>
      <w:r w:rsidR="00541C0B" w:rsidRPr="005E4924">
        <w:t>第</w:t>
      </w:r>
      <w:hyperlink r:id="rId626" w:anchor="a27" w:history="1">
        <w:r w:rsidR="00541C0B" w:rsidRPr="005E4924">
          <w:rPr>
            <w:rStyle w:val="a5"/>
          </w:rPr>
          <w:t>二十七</w:t>
        </w:r>
      </w:hyperlink>
      <w:r w:rsidR="00541C0B" w:rsidRPr="005E4924">
        <w:t>條</w:t>
      </w:r>
      <w:r w:rsidR="00203F72" w:rsidRPr="005E4924">
        <w:t>第一項第三款及</w:t>
      </w:r>
      <w:r w:rsidR="00541C0B" w:rsidRPr="005E4924">
        <w:t>第</w:t>
      </w:r>
      <w:hyperlink r:id="rId627" w:anchor="a174" w:history="1">
        <w:r w:rsidR="00541C0B" w:rsidRPr="005E4924">
          <w:rPr>
            <w:rStyle w:val="a5"/>
          </w:rPr>
          <w:t>一百七十四</w:t>
        </w:r>
      </w:hyperlink>
      <w:r w:rsidR="00541C0B" w:rsidRPr="005E4924">
        <w:t>條</w:t>
      </w:r>
      <w:r w:rsidR="00203F72" w:rsidRPr="005E4924">
        <w:t>第一款之規定，增修憲法條文。依增修條</w:t>
      </w:r>
      <w:r w:rsidR="00E16174" w:rsidRPr="00D73718">
        <w:t>文</w:t>
      </w:r>
      <w:hyperlink r:id="rId628"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5E4924">
        <w:t>第一項之規定，行政院院長由總統任命之。行政院院長辭職或出缺時，在總統未任命行政院院長前，由行政院副院長暫行代理。憲法</w:t>
      </w:r>
      <w:r w:rsidR="007776F0" w:rsidRPr="005E4924">
        <w:t>第</w:t>
      </w:r>
      <w:hyperlink r:id="rId629" w:anchor="a55" w:history="1">
        <w:r w:rsidR="007776F0" w:rsidRPr="007776F0">
          <w:rPr>
            <w:rStyle w:val="a5"/>
            <w:rFonts w:ascii="Times New Roman" w:eastAsia="新細明體" w:hAnsi="Times New Roman"/>
          </w:rPr>
          <w:t>五十五</w:t>
        </w:r>
      </w:hyperlink>
      <w:r w:rsidR="007776F0" w:rsidRPr="005E4924">
        <w:t>條</w:t>
      </w:r>
      <w:r w:rsidR="00203F72" w:rsidRPr="005E4924">
        <w:t>之規定，停止適用。由於行政院院長由總統任命之，且無需經立法院同意任命之，這其實乃剝奪立法院監督行政院之責任與權力。</w:t>
      </w:r>
    </w:p>
    <w:p w14:paraId="1C2AD38F" w14:textId="77777777" w:rsidR="00953151" w:rsidRDefault="00076467" w:rsidP="00767F37">
      <w:pPr>
        <w:pStyle w:val="2"/>
      </w:pPr>
      <w:hyperlink r:id="rId630" w:anchor="a56" w:history="1">
        <w:r w:rsidR="005D5A46">
          <w:rPr>
            <w:rStyle w:val="a5"/>
            <w:rFonts w:ascii="Arial Unicode MS" w:hAnsi="Arial Unicode MS"/>
          </w:rPr>
          <w:t>第</w:t>
        </w:r>
        <w:r w:rsidR="00203F72" w:rsidRPr="001B53A5">
          <w:rPr>
            <w:rStyle w:val="a5"/>
            <w:rFonts w:ascii="Arial Unicode MS" w:hAnsi="Arial Unicode MS"/>
          </w:rPr>
          <w:t>56</w:t>
        </w:r>
        <w:r w:rsidR="005D5A46">
          <w:rPr>
            <w:rStyle w:val="a5"/>
            <w:rFonts w:ascii="Arial Unicode MS" w:hAnsi="Arial Unicode MS"/>
          </w:rPr>
          <w:t>條</w:t>
        </w:r>
      </w:hyperlink>
      <w:r w:rsidR="00203F72" w:rsidRPr="00A53581">
        <w:t>行政院副院長、各部會首長及不管部會之政務委員，由行政院院長提請總統任命之。</w:t>
      </w:r>
    </w:p>
    <w:p w14:paraId="3202E2CD" w14:textId="77777777" w:rsidR="00953151" w:rsidRPr="005E4924" w:rsidRDefault="00B03E84" w:rsidP="00D87D91">
      <w:r w:rsidRPr="005E4924">
        <w:t>【內容解析】</w:t>
      </w:r>
    </w:p>
    <w:p w14:paraId="33C3A1BF" w14:textId="77777777" w:rsidR="00953151" w:rsidRDefault="007F7377" w:rsidP="00D87D91">
      <w:r w:rsidRPr="005E4924">
        <w:t xml:space="preserve">　　</w:t>
      </w:r>
      <w:r w:rsidR="00203F72" w:rsidRPr="005E4924">
        <w:t>依本條文規定，行政院長對部會首長，握有絕對之人事權；但因總統直選以及憲法雙首長制之設計，使得行政院長職權多少可能受到總統制約。但就本條文意旨，行政院長為行政院最高首長，為使行政院能有效運作，完成行政權之行使，應使院長具有行政院重要人事上之影響力。行政院各級重要主管之任免，雖憲法規定係由總統任命之，然總統應予尊重行</w:t>
      </w:r>
      <w:r w:rsidR="00203F72" w:rsidRPr="00A53581">
        <w:t>政院院長對行政院各級重要主管之提名，以利行政院長職權行使。</w:t>
      </w:r>
    </w:p>
    <w:p w14:paraId="7320FCF7" w14:textId="77777777" w:rsidR="00203F72" w:rsidRPr="00A53581" w:rsidRDefault="00076467" w:rsidP="00767F37">
      <w:pPr>
        <w:pStyle w:val="2"/>
      </w:pPr>
      <w:hyperlink r:id="rId631" w:anchor="a57" w:history="1">
        <w:r w:rsidR="005D5A46">
          <w:rPr>
            <w:rStyle w:val="a5"/>
            <w:rFonts w:ascii="Arial Unicode MS" w:hAnsi="Arial Unicode MS"/>
          </w:rPr>
          <w:t>第</w:t>
        </w:r>
        <w:r w:rsidR="00203F72" w:rsidRPr="001B53A5">
          <w:rPr>
            <w:rStyle w:val="a5"/>
            <w:rFonts w:ascii="Arial Unicode MS" w:hAnsi="Arial Unicode MS"/>
          </w:rPr>
          <w:t>57</w:t>
        </w:r>
        <w:r w:rsidR="005D5A46">
          <w:rPr>
            <w:rStyle w:val="a5"/>
            <w:rFonts w:ascii="Arial Unicode MS" w:hAnsi="Arial Unicode MS"/>
          </w:rPr>
          <w:t>條</w:t>
        </w:r>
      </w:hyperlink>
      <w:r w:rsidR="00203F72" w:rsidRPr="00A53581">
        <w:t>行政院依左列規定，對立法院負責：</w:t>
      </w:r>
    </w:p>
    <w:p w14:paraId="5395951A" w14:textId="77777777" w:rsidR="00203F72" w:rsidRPr="005E4924" w:rsidRDefault="007F7377" w:rsidP="00D87D91">
      <w:r w:rsidRPr="005E4924">
        <w:t xml:space="preserve">　　</w:t>
      </w:r>
      <w:r w:rsidR="00203F72" w:rsidRPr="005E4924">
        <w:t>一、行政院有向立法院提出施政方針及施政報告之責。立法委員在開會時，有向行政院院長及行政院各部會首長質詢之權。</w:t>
      </w:r>
    </w:p>
    <w:p w14:paraId="2C85EC93" w14:textId="77777777" w:rsidR="00203F72" w:rsidRPr="005E4924" w:rsidRDefault="007F7377" w:rsidP="00D87D91">
      <w:r w:rsidRPr="005E4924">
        <w:t xml:space="preserve">　　</w:t>
      </w:r>
      <w:r w:rsidR="00203F72" w:rsidRPr="005E4924">
        <w:t>二、立法院對於行政院之重要政策不贊同時，得以決議移請行政院變更之。行政院對於立法院之決議，得經總統之核可，移請立法院覆議。覆議時，如經出席立法委員三分之二維持原決議，行政院院長應即接受該決議或辭職。</w:t>
      </w:r>
    </w:p>
    <w:p w14:paraId="28D18CFC" w14:textId="77777777" w:rsidR="00953151" w:rsidRPr="005E4924" w:rsidRDefault="007F7377" w:rsidP="00D87D91">
      <w:r w:rsidRPr="005E4924">
        <w:t xml:space="preserve">　　</w:t>
      </w:r>
      <w:r w:rsidR="00203F72" w:rsidRPr="005E4924">
        <w:t>三、行政院對於立法院決議之法律案、預算案、條約案，如認為有窒礙難行時，得經總統之核可，於該決議案送達行政院十日內，移請立法院覆議。覆議時，如經出席立法委員三分之二維持原案，行政院院長應即接受該決議或辭職。</w:t>
      </w:r>
    </w:p>
    <w:p w14:paraId="0A1A6143" w14:textId="77777777" w:rsidR="00953151" w:rsidRPr="005E4924" w:rsidRDefault="00B03E84" w:rsidP="00D87D91">
      <w:r w:rsidRPr="005E4924">
        <w:t>【內容解析】</w:t>
      </w:r>
    </w:p>
    <w:p w14:paraId="31120648" w14:textId="77777777" w:rsidR="00203F72" w:rsidRPr="005E4924" w:rsidRDefault="007F7377" w:rsidP="00D87D91">
      <w:r w:rsidRPr="005E4924">
        <w:t xml:space="preserve">　　</w:t>
      </w:r>
      <w:r w:rsidR="00203F72" w:rsidRPr="005E4924">
        <w:t>此法條為憲法本文之規定，不過，在現階段而言，憲法</w:t>
      </w:r>
      <w:r w:rsidR="00BE1B2A" w:rsidRPr="00482FC4">
        <w:t>第</w:t>
      </w:r>
      <w:hyperlink r:id="rId632" w:anchor="a57" w:history="1">
        <w:r w:rsidR="00BE1B2A" w:rsidRPr="00BE1B2A">
          <w:rPr>
            <w:rStyle w:val="a5"/>
            <w:rFonts w:ascii="Times New Roman" w:hAnsi="Times New Roman"/>
          </w:rPr>
          <w:t>五十七</w:t>
        </w:r>
      </w:hyperlink>
      <w:r w:rsidR="00BE1B2A" w:rsidRPr="00482FC4">
        <w:t>條</w:t>
      </w:r>
      <w:r w:rsidR="00203F72" w:rsidRPr="005E4924">
        <w:t>之規定，業已被停止適用。為因應國家統一前之需要，依照憲法</w:t>
      </w:r>
      <w:r w:rsidR="00541C0B" w:rsidRPr="005E4924">
        <w:t>第</w:t>
      </w:r>
      <w:hyperlink r:id="rId633" w:anchor="a27" w:history="1">
        <w:r w:rsidR="00541C0B" w:rsidRPr="005E4924">
          <w:rPr>
            <w:rStyle w:val="a5"/>
          </w:rPr>
          <w:t>二十七</w:t>
        </w:r>
      </w:hyperlink>
      <w:r w:rsidR="00541C0B" w:rsidRPr="005E4924">
        <w:t>條</w:t>
      </w:r>
      <w:r w:rsidR="00203F72" w:rsidRPr="005E4924">
        <w:t>第一項第三款及</w:t>
      </w:r>
      <w:r w:rsidR="00541C0B" w:rsidRPr="005E4924">
        <w:t>第</w:t>
      </w:r>
      <w:hyperlink r:id="rId634" w:anchor="a174" w:history="1">
        <w:r w:rsidR="00541C0B" w:rsidRPr="005E4924">
          <w:rPr>
            <w:rStyle w:val="a5"/>
          </w:rPr>
          <w:t>一百七十四</w:t>
        </w:r>
      </w:hyperlink>
      <w:r w:rsidR="00541C0B" w:rsidRPr="005E4924">
        <w:t>條</w:t>
      </w:r>
      <w:r w:rsidR="00203F72" w:rsidRPr="005E4924">
        <w:t>第一款之規定，增修憲法條文。依增修條</w:t>
      </w:r>
      <w:r w:rsidR="00E16174" w:rsidRPr="00D73718">
        <w:t>文</w:t>
      </w:r>
      <w:hyperlink r:id="rId635"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5E4924">
        <w:t>之規定，行政院依左列規定，對立法院負責，憲法</w:t>
      </w:r>
      <w:r w:rsidR="00BE1B2A" w:rsidRPr="00482FC4">
        <w:t>第</w:t>
      </w:r>
      <w:hyperlink r:id="rId636" w:anchor="a57" w:history="1">
        <w:r w:rsidR="00BE1B2A" w:rsidRPr="00BE1B2A">
          <w:rPr>
            <w:rStyle w:val="a5"/>
            <w:rFonts w:ascii="Times New Roman" w:hAnsi="Times New Roman"/>
          </w:rPr>
          <w:t>五十七</w:t>
        </w:r>
      </w:hyperlink>
      <w:r w:rsidR="00BE1B2A" w:rsidRPr="00482FC4">
        <w:t>條</w:t>
      </w:r>
      <w:r w:rsidR="00203F72" w:rsidRPr="005E4924">
        <w:t>之規定，停止適用：</w:t>
      </w:r>
    </w:p>
    <w:p w14:paraId="1B87C1D0" w14:textId="77777777" w:rsidR="00203F72" w:rsidRPr="005E4924" w:rsidRDefault="007F7377" w:rsidP="00D87D91">
      <w:r w:rsidRPr="005E4924">
        <w:t xml:space="preserve">　　</w:t>
      </w:r>
      <w:r w:rsidR="00203F72" w:rsidRPr="005E4924">
        <w:t>一、行政院有向立法院提出施政方針及施政報告之責。立法委員在開會時，有向行政院院長及行政院各部會首長質詢之權。</w:t>
      </w:r>
    </w:p>
    <w:p w14:paraId="4223113E" w14:textId="77777777" w:rsidR="00203F72" w:rsidRPr="005E4924" w:rsidRDefault="007F7377" w:rsidP="00D87D91">
      <w:r w:rsidRPr="005E4924">
        <w:t xml:space="preserve">　　</w:t>
      </w:r>
      <w:r w:rsidR="00203F72" w:rsidRPr="005E4924">
        <w:t>二、行政院對於立法院決議之法律案、預算案、條約案，如認為有窒礙難行時，得經總統之核可，於該決議案送達行政院十日內，移請立法院覆議。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w:t>
      </w:r>
    </w:p>
    <w:p w14:paraId="565958B4" w14:textId="77777777" w:rsidR="00203F72" w:rsidRPr="005E4924" w:rsidRDefault="007F7377" w:rsidP="00D87D91">
      <w:r w:rsidRPr="005E4924">
        <w:t xml:space="preserve">　　</w:t>
      </w:r>
      <w:r w:rsidR="00203F72" w:rsidRPr="005E4924">
        <w:t>三、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p w14:paraId="3CACE1C9" w14:textId="77777777" w:rsidR="00203F72" w:rsidRPr="005E4924" w:rsidRDefault="007F7377" w:rsidP="00D87D91">
      <w:r w:rsidRPr="005E4924">
        <w:t xml:space="preserve">　　</w:t>
      </w:r>
      <w:r w:rsidR="00203F72" w:rsidRPr="005E4924">
        <w:t>國家機關之職權、設立程序及總員額，得以法律為準則性之規定。</w:t>
      </w:r>
    </w:p>
    <w:p w14:paraId="4F5EA12E" w14:textId="77777777" w:rsidR="00953151" w:rsidRPr="005E4924" w:rsidRDefault="007F7377" w:rsidP="00D87D91">
      <w:r w:rsidRPr="005E4924">
        <w:t xml:space="preserve">　　</w:t>
      </w:r>
      <w:r w:rsidR="00203F72" w:rsidRPr="005E4924">
        <w:t>各機關之組織、編制及員額，應依前項法律，基於政策或業務需要決定之。</w:t>
      </w:r>
    </w:p>
    <w:p w14:paraId="7C5A2E49" w14:textId="77777777" w:rsidR="007776F0" w:rsidRDefault="007776F0" w:rsidP="00D87D91"/>
    <w:p w14:paraId="2AAE98C9" w14:textId="22BF1612" w:rsidR="00203F72" w:rsidRPr="005E4924" w:rsidRDefault="00B03E84" w:rsidP="00D87D91">
      <w:r w:rsidRPr="005E4924">
        <w:t>【</w:t>
      </w:r>
      <w:r w:rsidRPr="005E4924">
        <w:t>table</w:t>
      </w:r>
      <w:r w:rsidR="005E23E3" w:rsidRPr="005E492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40</w:t>
      </w:r>
      <w:r w:rsidR="00076467">
        <w:rPr>
          <w:noProof/>
        </w:rPr>
        <w:fldChar w:fldCharType="end"/>
      </w:r>
      <w:r w:rsidR="00203F72" w:rsidRPr="005E4924">
        <w:t>行政院移請立法院</w:t>
      </w:r>
      <w:r w:rsidR="00203F72" w:rsidRPr="005E4924">
        <w:rPr>
          <w:rFonts w:hint="eastAsia"/>
        </w:rPr>
        <w:t>覆議制度之變革─憲法增修條</w:t>
      </w:r>
      <w:r w:rsidR="00E16174" w:rsidRPr="00D73718">
        <w:t>文</w:t>
      </w:r>
      <w:hyperlink r:id="rId637"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5E4924">
        <w:rPr>
          <w:rFonts w:hint="eastAsia"/>
        </w:rPr>
        <w:t>第</w:t>
      </w:r>
      <w:r w:rsidR="00203F72" w:rsidRPr="005E4924">
        <w:t>2</w:t>
      </w:r>
      <w:r w:rsidR="00203F72" w:rsidRPr="005E4924">
        <w:rPr>
          <w:rFonts w:hint="eastAsia"/>
        </w:rPr>
        <w:t>項第</w:t>
      </w:r>
      <w:r w:rsidR="00203F72" w:rsidRPr="005E4924">
        <w:t>2</w:t>
      </w:r>
      <w:r w:rsidR="00203F72" w:rsidRPr="005E4924">
        <w:rPr>
          <w:rFonts w:hint="eastAsia"/>
        </w:rPr>
        <w:t>款</w:t>
      </w:r>
      <w:r w:rsidR="00203F72" w:rsidRPr="005E4924">
        <w:t>vs.</w:t>
      </w:r>
      <w:r w:rsidR="00203F72" w:rsidRPr="005E4924">
        <w:rPr>
          <w:rFonts w:hint="eastAsia"/>
        </w:rPr>
        <w:t>憲法本</w:t>
      </w:r>
      <w:r w:rsidR="007776F0" w:rsidRPr="00A53581">
        <w:rPr>
          <w:rFonts w:ascii="新細明體" w:hAnsi="新細明體" w:hint="eastAsia"/>
        </w:rPr>
        <w:t>文</w:t>
      </w:r>
      <w:hyperlink r:id="rId638" w:anchor="a57" w:history="1">
        <w:r w:rsidR="007776F0" w:rsidRPr="007776F0">
          <w:rPr>
            <w:rStyle w:val="a5"/>
            <w:rFonts w:eastAsia="新細明體" w:hint="eastAsia"/>
          </w:rPr>
          <w:t>第</w:t>
        </w:r>
        <w:r w:rsidR="007776F0" w:rsidRPr="007776F0">
          <w:rPr>
            <w:rStyle w:val="a5"/>
            <w:rFonts w:eastAsia="新細明體"/>
          </w:rPr>
          <w:t>57</w:t>
        </w:r>
        <w:r w:rsidR="007776F0" w:rsidRPr="007776F0">
          <w:rPr>
            <w:rStyle w:val="a5"/>
            <w:rFonts w:eastAsia="新細明體" w:hint="eastAsia"/>
          </w:rPr>
          <w:t>條</w:t>
        </w:r>
      </w:hyperlink>
      <w:r w:rsidR="00203F72" w:rsidRPr="005E4924">
        <w:rPr>
          <w:rFonts w:hint="eastAsia"/>
        </w:rPr>
        <w:t>第</w:t>
      </w:r>
      <w:r w:rsidR="00203F72" w:rsidRPr="005E4924">
        <w:t>1</w:t>
      </w:r>
      <w:r w:rsidR="00203F72" w:rsidRPr="005E4924">
        <w:rPr>
          <w:rFonts w:hint="eastAsia"/>
        </w:rPr>
        <w:t>項第</w:t>
      </w:r>
      <w:r w:rsidR="00203F72" w:rsidRPr="005E4924">
        <w:t>2</w:t>
      </w:r>
      <w:r w:rsidR="00203F72" w:rsidRPr="005E4924">
        <w:rPr>
          <w:rFonts w:hint="eastAsia"/>
        </w:rPr>
        <w:t>款、第</w:t>
      </w:r>
      <w:r w:rsidR="00203F72" w:rsidRPr="005E4924">
        <w:t>3</w:t>
      </w:r>
      <w:r w:rsidR="00203F72" w:rsidRPr="005E4924">
        <w:rPr>
          <w:rFonts w:hint="eastAsia"/>
        </w:rPr>
        <w:t>款之比較</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431"/>
        <w:gridCol w:w="3656"/>
      </w:tblGrid>
      <w:tr w:rsidR="00203F72" w:rsidRPr="00A53581" w14:paraId="7C0EB04D" w14:textId="77777777" w:rsidTr="00482FC4">
        <w:trPr>
          <w:tblHeader/>
        </w:trPr>
        <w:tc>
          <w:tcPr>
            <w:tcW w:w="1418" w:type="dxa"/>
            <w:tcBorders>
              <w:top w:val="single" w:sz="4" w:space="0" w:color="auto"/>
              <w:left w:val="single" w:sz="4" w:space="0" w:color="auto"/>
              <w:bottom w:val="single" w:sz="4" w:space="0" w:color="auto"/>
              <w:right w:val="single" w:sz="4" w:space="0" w:color="auto"/>
            </w:tcBorders>
            <w:shd w:val="clear" w:color="auto" w:fill="FAF0FA"/>
          </w:tcPr>
          <w:p w14:paraId="07283103" w14:textId="77777777" w:rsidR="00203F72" w:rsidRPr="00A53581" w:rsidRDefault="00203F72" w:rsidP="00D87D91"/>
        </w:tc>
        <w:tc>
          <w:tcPr>
            <w:tcW w:w="3431" w:type="dxa"/>
            <w:tcBorders>
              <w:top w:val="single" w:sz="4" w:space="0" w:color="auto"/>
              <w:left w:val="single" w:sz="4" w:space="0" w:color="auto"/>
              <w:bottom w:val="single" w:sz="4" w:space="0" w:color="auto"/>
              <w:right w:val="single" w:sz="4" w:space="0" w:color="auto"/>
            </w:tcBorders>
            <w:shd w:val="clear" w:color="auto" w:fill="FAF0FA"/>
            <w:hideMark/>
          </w:tcPr>
          <w:p w14:paraId="2BECF956" w14:textId="77777777" w:rsidR="00203F72" w:rsidRPr="00A53581" w:rsidRDefault="00203F72" w:rsidP="00D87D91">
            <w:pPr>
              <w:rPr>
                <w:rFonts w:ascii="新細明體" w:hAnsi="新細明體"/>
              </w:rPr>
            </w:pPr>
            <w:r w:rsidRPr="00A53581">
              <w:rPr>
                <w:rFonts w:ascii="新細明體" w:hAnsi="新細明體" w:hint="eastAsia"/>
              </w:rPr>
              <w:t>憲法增修條</w:t>
            </w:r>
            <w:r w:rsidR="00E16174" w:rsidRPr="00D73718">
              <w:t>文</w:t>
            </w:r>
            <w:hyperlink r:id="rId639"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項第</w:t>
            </w:r>
            <w:r w:rsidRPr="00A53581">
              <w:rPr>
                <w:rFonts w:ascii="新細明體" w:hAnsi="新細明體"/>
              </w:rPr>
              <w:t>2</w:t>
            </w:r>
            <w:r w:rsidRPr="00A53581">
              <w:rPr>
                <w:rFonts w:ascii="新細明體" w:hAnsi="新細明體" w:hint="eastAsia"/>
              </w:rPr>
              <w:t>款</w:t>
            </w:r>
          </w:p>
        </w:tc>
        <w:tc>
          <w:tcPr>
            <w:tcW w:w="3656" w:type="dxa"/>
            <w:tcBorders>
              <w:top w:val="single" w:sz="4" w:space="0" w:color="auto"/>
              <w:left w:val="single" w:sz="4" w:space="0" w:color="auto"/>
              <w:bottom w:val="single" w:sz="4" w:space="0" w:color="auto"/>
              <w:right w:val="single" w:sz="4" w:space="0" w:color="auto"/>
            </w:tcBorders>
            <w:shd w:val="clear" w:color="auto" w:fill="FAF0FA"/>
            <w:hideMark/>
          </w:tcPr>
          <w:p w14:paraId="3D262964" w14:textId="77777777" w:rsidR="00203F72" w:rsidRPr="00A53581" w:rsidRDefault="00203F72" w:rsidP="00D87D91">
            <w:r w:rsidRPr="00A53581">
              <w:rPr>
                <w:rFonts w:hint="eastAsia"/>
              </w:rPr>
              <w:t>憲法本文</w:t>
            </w:r>
            <w:hyperlink r:id="rId640" w:anchor="a57" w:history="1">
              <w:r w:rsidRPr="007776F0">
                <w:rPr>
                  <w:rStyle w:val="a5"/>
                  <w:rFonts w:eastAsia="新細明體" w:hint="eastAsia"/>
                </w:rPr>
                <w:t>第</w:t>
              </w:r>
              <w:r w:rsidRPr="007776F0">
                <w:rPr>
                  <w:rStyle w:val="a5"/>
                  <w:rFonts w:eastAsia="新細明體"/>
                </w:rPr>
                <w:t>57</w:t>
              </w:r>
              <w:r w:rsidRPr="007776F0">
                <w:rPr>
                  <w:rStyle w:val="a5"/>
                  <w:rFonts w:eastAsia="新細明體" w:hint="eastAsia"/>
                </w:rPr>
                <w:t>條</w:t>
              </w:r>
            </w:hyperlink>
            <w:r w:rsidRPr="00A53581">
              <w:rPr>
                <w:rFonts w:hint="eastAsia"/>
              </w:rPr>
              <w:t>第</w:t>
            </w:r>
            <w:r w:rsidRPr="00A53581">
              <w:t>1</w:t>
            </w:r>
            <w:r w:rsidRPr="00A53581">
              <w:rPr>
                <w:rFonts w:hint="eastAsia"/>
              </w:rPr>
              <w:t>項第</w:t>
            </w:r>
            <w:r w:rsidRPr="00A53581">
              <w:t>2</w:t>
            </w:r>
            <w:r w:rsidRPr="00A53581">
              <w:rPr>
                <w:rFonts w:hint="eastAsia"/>
              </w:rPr>
              <w:t>款、第</w:t>
            </w:r>
            <w:r w:rsidRPr="00A53581">
              <w:t>3</w:t>
            </w:r>
            <w:r w:rsidRPr="00A53581">
              <w:rPr>
                <w:rFonts w:hint="eastAsia"/>
              </w:rPr>
              <w:t>款</w:t>
            </w:r>
          </w:p>
        </w:tc>
      </w:tr>
      <w:tr w:rsidR="00203F72" w:rsidRPr="00A53581" w14:paraId="05B5D732" w14:textId="77777777" w:rsidTr="00482FC4">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A8E650B" w14:textId="77777777" w:rsidR="00203F72" w:rsidRPr="00A53581" w:rsidRDefault="00203F72" w:rsidP="00D87D91">
            <w:r w:rsidRPr="00A53581">
              <w:rPr>
                <w:rFonts w:hint="eastAsia"/>
              </w:rPr>
              <w:t>覆議之客體</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14:paraId="23C74691" w14:textId="77777777" w:rsidR="00203F72" w:rsidRPr="00A53581" w:rsidRDefault="00203F72" w:rsidP="00D87D91">
            <w:r w:rsidRPr="00A53581">
              <w:rPr>
                <w:rFonts w:hint="eastAsia"/>
              </w:rPr>
              <w:t>法律案、預算案、條約案</w:t>
            </w:r>
          </w:p>
        </w:tc>
        <w:tc>
          <w:tcPr>
            <w:tcW w:w="3656" w:type="dxa"/>
            <w:tcBorders>
              <w:top w:val="single" w:sz="4" w:space="0" w:color="auto"/>
              <w:left w:val="single" w:sz="4" w:space="0" w:color="auto"/>
              <w:bottom w:val="single" w:sz="4" w:space="0" w:color="auto"/>
              <w:right w:val="single" w:sz="4" w:space="0" w:color="auto"/>
            </w:tcBorders>
            <w:shd w:val="clear" w:color="auto" w:fill="auto"/>
            <w:hideMark/>
          </w:tcPr>
          <w:p w14:paraId="2EEAEDE9" w14:textId="77777777" w:rsidR="00203F72" w:rsidRPr="00A53581" w:rsidRDefault="00203F72" w:rsidP="00D87D91">
            <w:r w:rsidRPr="00A53581">
              <w:rPr>
                <w:rFonts w:hint="eastAsia"/>
              </w:rPr>
              <w:t>法律案、預算案、條約案、重要政策變更</w:t>
            </w:r>
          </w:p>
        </w:tc>
      </w:tr>
      <w:tr w:rsidR="00203F72" w:rsidRPr="00A53581" w14:paraId="56A459EF" w14:textId="77777777" w:rsidTr="00482FC4">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2C0D3A95" w14:textId="77777777" w:rsidR="00203F72" w:rsidRPr="00A53581" w:rsidRDefault="00203F72" w:rsidP="00D87D91">
            <w:r w:rsidRPr="00A53581">
              <w:rPr>
                <w:rFonts w:hint="eastAsia"/>
              </w:rPr>
              <w:t>立院議決之義務</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14:paraId="128D406C" w14:textId="77777777" w:rsidR="00203F72" w:rsidRPr="00A53581" w:rsidRDefault="00203F72" w:rsidP="00D87D91">
            <w:r w:rsidRPr="00A53581">
              <w:rPr>
                <w:rFonts w:hint="eastAsia"/>
              </w:rPr>
              <w:t>須限期決議</w:t>
            </w:r>
            <w:r w:rsidRPr="00A53581">
              <w:t>(</w:t>
            </w:r>
            <w:r w:rsidRPr="00A53581">
              <w:rPr>
                <w:rFonts w:hint="eastAsia"/>
              </w:rPr>
              <w:t>會期</w:t>
            </w:r>
            <w:r w:rsidRPr="00A53581">
              <w:t>:15</w:t>
            </w:r>
            <w:r w:rsidRPr="00A53581">
              <w:rPr>
                <w:rFonts w:hint="eastAsia"/>
              </w:rPr>
              <w:t>日；非會期</w:t>
            </w:r>
            <w:r w:rsidRPr="00A53581">
              <w:t>: 7</w:t>
            </w:r>
            <w:r w:rsidRPr="00A53581">
              <w:rPr>
                <w:rFonts w:hint="eastAsia"/>
              </w:rPr>
              <w:t>日</w:t>
            </w:r>
            <w:r w:rsidRPr="00A53581">
              <w:t>+15</w:t>
            </w:r>
            <w:r w:rsidRPr="00A53581">
              <w:rPr>
                <w:rFonts w:hint="eastAsia"/>
              </w:rPr>
              <w:t>日</w:t>
            </w:r>
            <w:r w:rsidRPr="00A53581">
              <w:t>)</w:t>
            </w:r>
          </w:p>
        </w:tc>
        <w:tc>
          <w:tcPr>
            <w:tcW w:w="3656" w:type="dxa"/>
            <w:tcBorders>
              <w:top w:val="single" w:sz="4" w:space="0" w:color="auto"/>
              <w:left w:val="single" w:sz="4" w:space="0" w:color="auto"/>
              <w:bottom w:val="single" w:sz="4" w:space="0" w:color="auto"/>
              <w:right w:val="single" w:sz="4" w:space="0" w:color="auto"/>
            </w:tcBorders>
            <w:shd w:val="clear" w:color="auto" w:fill="auto"/>
            <w:hideMark/>
          </w:tcPr>
          <w:p w14:paraId="4FED1DFD" w14:textId="77777777" w:rsidR="00203F72" w:rsidRPr="00A53581" w:rsidRDefault="00203F72" w:rsidP="00D87D91">
            <w:r w:rsidRPr="00A53581">
              <w:rPr>
                <w:rFonts w:hint="eastAsia"/>
              </w:rPr>
              <w:t>無期間限制</w:t>
            </w:r>
          </w:p>
        </w:tc>
      </w:tr>
      <w:tr w:rsidR="00203F72" w:rsidRPr="00A53581" w14:paraId="7DEF2855" w14:textId="77777777" w:rsidTr="00482FC4">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A1B1CA8" w14:textId="77777777" w:rsidR="00203F72" w:rsidRPr="00A53581" w:rsidRDefault="00203F72" w:rsidP="00D87D91">
            <w:r w:rsidRPr="00A53581">
              <w:rPr>
                <w:rFonts w:hint="eastAsia"/>
              </w:rPr>
              <w:t>覆議門檻</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14:paraId="7D275C61" w14:textId="77777777" w:rsidR="00203F72" w:rsidRPr="00A53581" w:rsidRDefault="00203F72" w:rsidP="00D87D91">
            <w:r w:rsidRPr="00A53581">
              <w:rPr>
                <w:rFonts w:hint="eastAsia"/>
              </w:rPr>
              <w:t>全體立法委員二分之一以上決議維持原案</w:t>
            </w:r>
          </w:p>
        </w:tc>
        <w:tc>
          <w:tcPr>
            <w:tcW w:w="3656" w:type="dxa"/>
            <w:tcBorders>
              <w:top w:val="single" w:sz="4" w:space="0" w:color="auto"/>
              <w:left w:val="single" w:sz="4" w:space="0" w:color="auto"/>
              <w:bottom w:val="single" w:sz="4" w:space="0" w:color="auto"/>
              <w:right w:val="single" w:sz="4" w:space="0" w:color="auto"/>
            </w:tcBorders>
            <w:shd w:val="clear" w:color="auto" w:fill="auto"/>
            <w:hideMark/>
          </w:tcPr>
          <w:p w14:paraId="6A0FDF1C" w14:textId="77777777" w:rsidR="00203F72" w:rsidRPr="00A53581" w:rsidRDefault="00203F72" w:rsidP="00D87D91">
            <w:r w:rsidRPr="00A53581">
              <w:rPr>
                <w:rFonts w:hint="eastAsia"/>
              </w:rPr>
              <w:t>出席立法委員三分之二維持原決議</w:t>
            </w:r>
          </w:p>
        </w:tc>
      </w:tr>
      <w:tr w:rsidR="00203F72" w:rsidRPr="00A53581" w14:paraId="09C61FDF" w14:textId="77777777" w:rsidTr="00482FC4">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AEB4C0C" w14:textId="77777777" w:rsidR="00203F72" w:rsidRPr="00A53581" w:rsidRDefault="00203F72" w:rsidP="00D87D91">
            <w:r w:rsidRPr="00A53581">
              <w:rPr>
                <w:rFonts w:hint="eastAsia"/>
              </w:rPr>
              <w:t>覆議效果</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14:paraId="0FD15C47" w14:textId="77777777" w:rsidR="00203F72" w:rsidRPr="00A53581" w:rsidRDefault="00203F72" w:rsidP="00D87D91">
            <w:r w:rsidRPr="00A53581">
              <w:rPr>
                <w:rFonts w:hint="eastAsia"/>
              </w:rPr>
              <w:t>只能接受</w:t>
            </w:r>
            <w:r w:rsidR="00D92F56">
              <w:rPr>
                <w:rFonts w:hint="eastAsia"/>
              </w:rPr>
              <w:t>〜</w:t>
            </w:r>
            <w:r w:rsidRPr="00A53581">
              <w:t>行政院院長應即接受該決議</w:t>
            </w:r>
          </w:p>
        </w:tc>
        <w:tc>
          <w:tcPr>
            <w:tcW w:w="3656" w:type="dxa"/>
            <w:tcBorders>
              <w:top w:val="single" w:sz="4" w:space="0" w:color="auto"/>
              <w:left w:val="single" w:sz="4" w:space="0" w:color="auto"/>
              <w:bottom w:val="single" w:sz="4" w:space="0" w:color="auto"/>
              <w:right w:val="single" w:sz="4" w:space="0" w:color="auto"/>
            </w:tcBorders>
            <w:shd w:val="clear" w:color="auto" w:fill="auto"/>
            <w:hideMark/>
          </w:tcPr>
          <w:p w14:paraId="6DCDC331" w14:textId="77777777" w:rsidR="00203F72" w:rsidRPr="00A53581" w:rsidRDefault="00203F72" w:rsidP="00D87D91">
            <w:r w:rsidRPr="00A53581">
              <w:rPr>
                <w:rFonts w:hint="eastAsia"/>
              </w:rPr>
              <w:t>接受或辭職</w:t>
            </w:r>
          </w:p>
        </w:tc>
      </w:tr>
    </w:tbl>
    <w:p w14:paraId="10C1653D" w14:textId="77777777" w:rsidR="00953151" w:rsidRDefault="002107CE" w:rsidP="00D87D91">
      <w:r>
        <w:rPr>
          <w:rFonts w:hint="eastAsia"/>
        </w:rPr>
        <w:t>【本表格資料來源】</w:t>
      </w:r>
      <w:r w:rsidR="00203F72" w:rsidRPr="00A53581">
        <w:rPr>
          <w:rFonts w:hint="eastAsia"/>
        </w:rPr>
        <w:t>植憲</w:t>
      </w:r>
      <w:r w:rsidR="00203F72" w:rsidRPr="00A53581">
        <w:t>(2011)</w:t>
      </w:r>
      <w:r w:rsidR="00203F72" w:rsidRPr="00A53581">
        <w:rPr>
          <w:rFonts w:hint="eastAsia"/>
        </w:rPr>
        <w:t>，憲法解題概念操作</w:t>
      </w:r>
      <w:r w:rsidR="00203F72" w:rsidRPr="00A53581">
        <w:t>(</w:t>
      </w:r>
      <w:r w:rsidR="00203F72" w:rsidRPr="00A53581">
        <w:rPr>
          <w:rFonts w:hint="eastAsia"/>
        </w:rPr>
        <w:t>下</w:t>
      </w:r>
      <w:r w:rsidR="00203F72" w:rsidRPr="00A53581">
        <w:t>)</w:t>
      </w:r>
      <w:r w:rsidR="00203F72" w:rsidRPr="00A53581">
        <w:rPr>
          <w:rFonts w:hint="eastAsia"/>
        </w:rPr>
        <w:t>，</w:t>
      </w:r>
      <w:r w:rsidR="00203F72" w:rsidRPr="00A53581">
        <w:t>6</w:t>
      </w:r>
      <w:r w:rsidR="00203F72" w:rsidRPr="00A53581">
        <w:rPr>
          <w:rFonts w:hint="eastAsia"/>
        </w:rPr>
        <w:t>版，台北：高點文化公司，第</w:t>
      </w:r>
      <w:r w:rsidR="00203F72" w:rsidRPr="00A53581">
        <w:t>61-62</w:t>
      </w:r>
      <w:r w:rsidR="00203F72" w:rsidRPr="00A53581">
        <w:rPr>
          <w:rFonts w:hint="eastAsia"/>
        </w:rPr>
        <w:t>頁。</w:t>
      </w:r>
    </w:p>
    <w:p w14:paraId="6655839D" w14:textId="77777777" w:rsidR="00203F72" w:rsidRPr="00A53581" w:rsidRDefault="00076467" w:rsidP="00767F37">
      <w:pPr>
        <w:pStyle w:val="2"/>
      </w:pPr>
      <w:hyperlink r:id="rId641" w:anchor="a58" w:history="1">
        <w:r w:rsidR="005D5A46">
          <w:rPr>
            <w:rStyle w:val="a5"/>
            <w:rFonts w:ascii="Arial Unicode MS" w:hAnsi="Arial Unicode MS"/>
          </w:rPr>
          <w:t>第</w:t>
        </w:r>
        <w:r w:rsidR="00203F72" w:rsidRPr="001B53A5">
          <w:rPr>
            <w:rStyle w:val="a5"/>
            <w:rFonts w:ascii="Arial Unicode MS" w:hAnsi="Arial Unicode MS"/>
          </w:rPr>
          <w:t>58</w:t>
        </w:r>
        <w:r w:rsidR="005D5A46">
          <w:rPr>
            <w:rStyle w:val="a5"/>
            <w:rFonts w:ascii="Arial Unicode MS" w:hAnsi="Arial Unicode MS"/>
          </w:rPr>
          <w:t>條</w:t>
        </w:r>
      </w:hyperlink>
      <w:r w:rsidR="00203F72" w:rsidRPr="00A53581">
        <w:t>行政院設行政院會議，由行政院院長、副院長、各部會首長及不管部會之政務委員組織之，以院長為主席。</w:t>
      </w:r>
    </w:p>
    <w:p w14:paraId="79A70F8C" w14:textId="77777777" w:rsidR="00953151" w:rsidRPr="005E4924" w:rsidRDefault="007F7377" w:rsidP="00D87D91">
      <w:r w:rsidRPr="005E4924">
        <w:t xml:space="preserve">　　</w:t>
      </w:r>
      <w:r w:rsidR="00203F72" w:rsidRPr="005E4924">
        <w:t>行政院院長、各部會首長，須將應行提出於立法院之法律案、預算案、戒嚴案、大赦案、宣戰案、媾和案、條約案及其他重要事項，或涉及各部會共同關係之事項，提出於行政院會議議決之。</w:t>
      </w:r>
    </w:p>
    <w:p w14:paraId="190C752F" w14:textId="77777777" w:rsidR="00953151" w:rsidRPr="005E4924" w:rsidRDefault="00B03E84" w:rsidP="00D87D91">
      <w:r w:rsidRPr="005E4924">
        <w:t>【內容解析】</w:t>
      </w:r>
    </w:p>
    <w:p w14:paraId="0DF8415A" w14:textId="77777777" w:rsidR="00953151" w:rsidRPr="005E4924" w:rsidRDefault="007F7377" w:rsidP="00D87D91">
      <w:r w:rsidRPr="005E4924">
        <w:t xml:space="preserve">　　</w:t>
      </w:r>
      <w:r w:rsidR="00203F72" w:rsidRPr="005E4924">
        <w:t>行政院所設置之行政院會議之屬性，相當於內閣制國家之內閣會議。行政院為處理須將應行提出於立法院之法律案、預算案、戒嚴案、大赦案、宣戰案、媾和案、條約案及其他重要事項，或涉及各部會共同關係之事項，設行政院會議，並定行政院會議議事規則。</w:t>
      </w:r>
    </w:p>
    <w:p w14:paraId="07EFD2CB" w14:textId="77777777" w:rsidR="00953151" w:rsidRPr="005E4924" w:rsidRDefault="007F7377" w:rsidP="00D87D91">
      <w:r w:rsidRPr="005E4924">
        <w:t xml:space="preserve">　　</w:t>
      </w:r>
      <w:r w:rsidR="00203F72" w:rsidRPr="005E4924">
        <w:t>就行政院會議之組織型態而論，依行政院會議議事規則</w:t>
      </w:r>
      <w:hyperlink r:id="rId642" w:anchor="b2" w:history="1">
        <w:r w:rsidR="00203F72" w:rsidRPr="007776F0">
          <w:rPr>
            <w:rStyle w:val="a5"/>
            <w:rFonts w:ascii="Times New Roman" w:eastAsia="新細明體" w:hAnsi="Times New Roman"/>
          </w:rPr>
          <w:t>第</w:t>
        </w:r>
        <w:r w:rsidR="00203F72" w:rsidRPr="007776F0">
          <w:rPr>
            <w:rStyle w:val="a5"/>
            <w:rFonts w:ascii="Times New Roman" w:eastAsia="新細明體" w:hAnsi="Times New Roman"/>
          </w:rPr>
          <w:t>2</w:t>
        </w:r>
        <w:r w:rsidR="00203F72" w:rsidRPr="007776F0">
          <w:rPr>
            <w:rStyle w:val="a5"/>
            <w:rFonts w:ascii="Times New Roman" w:eastAsia="新細明體" w:hAnsi="Times New Roman"/>
          </w:rPr>
          <w:t>條</w:t>
        </w:r>
      </w:hyperlink>
      <w:r w:rsidR="00203F72" w:rsidRPr="005E4924">
        <w:t>之規定，行政院會議依憲法</w:t>
      </w:r>
      <w:r w:rsidR="00B74A31" w:rsidRPr="005E4924">
        <w:t>第</w:t>
      </w:r>
      <w:hyperlink r:id="rId643" w:anchor="a58" w:history="1">
        <w:r w:rsidR="00B74A31" w:rsidRPr="005E4924">
          <w:rPr>
            <w:rStyle w:val="a5"/>
          </w:rPr>
          <w:t>五十八</w:t>
        </w:r>
      </w:hyperlink>
      <w:r w:rsidR="00B74A31" w:rsidRPr="005E4924">
        <w:t>條</w:t>
      </w:r>
      <w:r w:rsidR="00203F72" w:rsidRPr="005E4924">
        <w:t>第一項之規定，由行政院院長、副院長、各部會首長及不管部會之政務委員組織之，以院長為主席，院長因事不能出席時，由副院長代理之。院長、副院長均因事不能出席時，由出席者公推其中一人代理主席。依行政院會議議事規則</w:t>
      </w:r>
      <w:hyperlink r:id="rId644" w:anchor="b3"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3</w:t>
        </w:r>
        <w:r w:rsidR="00203F72" w:rsidRPr="00A51D49">
          <w:rPr>
            <w:rStyle w:val="a5"/>
            <w:rFonts w:ascii="Times New Roman" w:eastAsia="新細明體" w:hAnsi="Times New Roman"/>
          </w:rPr>
          <w:t>條</w:t>
        </w:r>
      </w:hyperlink>
      <w:r w:rsidR="00203F72" w:rsidRPr="005E4924">
        <w:t>之規定，行政院會議以前條過半數之出席為法定人數。</w:t>
      </w:r>
    </w:p>
    <w:p w14:paraId="167678F6" w14:textId="77777777" w:rsidR="00953151" w:rsidRPr="005E4924" w:rsidRDefault="007F7377" w:rsidP="00D87D91">
      <w:r w:rsidRPr="005E4924">
        <w:t xml:space="preserve">　　</w:t>
      </w:r>
      <w:r w:rsidR="00203F72" w:rsidRPr="005E4924">
        <w:t>就行政院會議所需議決之重要事項之性質而論，依行政院會議議事規則</w:t>
      </w:r>
      <w:hyperlink r:id="rId645" w:anchor="b4"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4</w:t>
        </w:r>
        <w:r w:rsidR="00203F72" w:rsidRPr="00A51D49">
          <w:rPr>
            <w:rStyle w:val="a5"/>
            <w:rFonts w:ascii="Times New Roman" w:eastAsia="新細明體" w:hAnsi="Times New Roman"/>
          </w:rPr>
          <w:t>條</w:t>
        </w:r>
      </w:hyperlink>
      <w:r w:rsidR="00203F72" w:rsidRPr="005E4924">
        <w:t>之規定，左列事項提出行政院會議議決之：一、依法須提出行政院會議議決事項。二、依法須提出立法院之事項。三、涉及各部會共同關係之事項。四、其他重要事項。就行政院會議之議決方式而論，依行政院會議議事規則</w:t>
      </w:r>
      <w:hyperlink r:id="rId646" w:anchor="b5"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5</w:t>
        </w:r>
        <w:r w:rsidR="00203F72" w:rsidRPr="00A51D49">
          <w:rPr>
            <w:rStyle w:val="a5"/>
            <w:rFonts w:ascii="Times New Roman" w:eastAsia="新細明體" w:hAnsi="Times New Roman"/>
          </w:rPr>
          <w:t>條</w:t>
        </w:r>
      </w:hyperlink>
      <w:r w:rsidR="00203F72" w:rsidRPr="005E4924">
        <w:t>之規定，行政院會議議案以出席人過半數之同意議決之。前項決議如院長或主管部會首長有異議時，由院長決定之。就行政院會議開會之頻次而論，依行政院會議議事規則</w:t>
      </w:r>
      <w:hyperlink r:id="rId647" w:anchor="b6"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6</w:t>
        </w:r>
        <w:r w:rsidR="00203F72" w:rsidRPr="00A51D49">
          <w:rPr>
            <w:rStyle w:val="a5"/>
            <w:rFonts w:ascii="Times New Roman" w:eastAsia="新細明體" w:hAnsi="Times New Roman"/>
          </w:rPr>
          <w:t>條</w:t>
        </w:r>
      </w:hyperlink>
      <w:r w:rsidR="00203F72" w:rsidRPr="005E4924">
        <w:t>之規定，行政院會議每週舉行一次，必要時行政院院長得召開臨時會議。行政院會議法定出席人三分之一如認為有開臨時會議之必要時，得請行政院院長召集之。</w:t>
      </w:r>
    </w:p>
    <w:p w14:paraId="5A0B2638" w14:textId="77777777" w:rsidR="00953151" w:rsidRPr="005E4924" w:rsidRDefault="007F7377" w:rsidP="00D87D91">
      <w:r w:rsidRPr="005E4924">
        <w:t xml:space="preserve">　　</w:t>
      </w:r>
      <w:r w:rsidR="00203F72" w:rsidRPr="005E4924">
        <w:t>在議案之處理流方面，依行政院會議議事規則</w:t>
      </w:r>
      <w:hyperlink r:id="rId648" w:anchor="b9"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9</w:t>
        </w:r>
        <w:r w:rsidR="00203F72" w:rsidRPr="00A51D49">
          <w:rPr>
            <w:rStyle w:val="a5"/>
            <w:rFonts w:ascii="Times New Roman" w:eastAsia="新細明體" w:hAnsi="Times New Roman"/>
          </w:rPr>
          <w:t>條</w:t>
        </w:r>
      </w:hyperlink>
      <w:r w:rsidR="00203F72" w:rsidRPr="005E4924">
        <w:t>之規定，各種議案必須構成議題，申敘理由，經院長核定後，編入議程。凡涉及國防、外交及其他有機密性之議案，應編列秘密議程。依行政院會議議事規則</w:t>
      </w:r>
      <w:hyperlink r:id="rId649" w:anchor="b10"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10</w:t>
        </w:r>
        <w:r w:rsidR="00203F72" w:rsidRPr="00A51D49">
          <w:rPr>
            <w:rStyle w:val="a5"/>
            <w:rFonts w:ascii="Times New Roman" w:eastAsia="新細明體" w:hAnsi="Times New Roman"/>
          </w:rPr>
          <w:t>條</w:t>
        </w:r>
      </w:hyperlink>
      <w:r w:rsidR="00203F72" w:rsidRPr="005E4924">
        <w:t>之規定，會議議程應於開會前二日分送各出列席人。但極機密、絕對機密之議案，於會場臨時分送各出列席人，議畢由行政院綜合業務處即時收回。</w:t>
      </w:r>
    </w:p>
    <w:p w14:paraId="78C61CAA" w14:textId="77777777" w:rsidR="00953151" w:rsidRDefault="00076467" w:rsidP="00767F37">
      <w:pPr>
        <w:pStyle w:val="2"/>
      </w:pPr>
      <w:hyperlink r:id="rId650" w:anchor="a59" w:history="1">
        <w:r w:rsidR="005D5A46">
          <w:rPr>
            <w:rStyle w:val="a5"/>
            <w:rFonts w:ascii="Arial Unicode MS" w:hAnsi="Arial Unicode MS"/>
          </w:rPr>
          <w:t>第</w:t>
        </w:r>
        <w:r w:rsidR="00203F72" w:rsidRPr="001B53A5">
          <w:rPr>
            <w:rStyle w:val="a5"/>
            <w:rFonts w:ascii="Arial Unicode MS" w:hAnsi="Arial Unicode MS"/>
          </w:rPr>
          <w:t>59</w:t>
        </w:r>
        <w:r w:rsidR="005D5A46">
          <w:rPr>
            <w:rStyle w:val="a5"/>
            <w:rFonts w:ascii="Arial Unicode MS" w:hAnsi="Arial Unicode MS"/>
          </w:rPr>
          <w:t>條</w:t>
        </w:r>
      </w:hyperlink>
      <w:r w:rsidR="00203F72" w:rsidRPr="00A53581">
        <w:t>行政院於會計年度開始三個月前，應將下年度預算案提出於立法院。</w:t>
      </w:r>
    </w:p>
    <w:p w14:paraId="63469C4B" w14:textId="77777777" w:rsidR="00953151" w:rsidRPr="005E4924" w:rsidRDefault="00B03E84" w:rsidP="00D87D91">
      <w:r w:rsidRPr="005E4924">
        <w:t>【內容解析】</w:t>
      </w:r>
    </w:p>
    <w:p w14:paraId="26E6D0E0" w14:textId="77777777" w:rsidR="00953151" w:rsidRPr="005E4924" w:rsidRDefault="007F7377" w:rsidP="00D87D91">
      <w:r w:rsidRPr="005E4924">
        <w:t xml:space="preserve">　　</w:t>
      </w:r>
      <w:r w:rsidR="00203F72" w:rsidRPr="005E4924">
        <w:t>本條文主要在透過立法院制衡行政權。因為，基於五權分立，預算案由行政院提出，由立法院議決。依憲法</w:t>
      </w:r>
      <w:hyperlink r:id="rId651" w:anchor="a58" w:history="1">
        <w:r w:rsidR="00306E89" w:rsidRPr="00306E89">
          <w:rPr>
            <w:rStyle w:val="a5"/>
          </w:rPr>
          <w:t>第58條</w:t>
        </w:r>
      </w:hyperlink>
      <w:r w:rsidR="00203F72" w:rsidRPr="005E4924">
        <w:t>之規定，行政院設行政院會議，</w:t>
      </w:r>
      <w:r w:rsidR="00203F72" w:rsidRPr="005E4924">
        <w:t>…</w:t>
      </w:r>
      <w:r w:rsidR="00203F72" w:rsidRPr="005E4924">
        <w:t>須將應行提出於立法院之</w:t>
      </w:r>
      <w:r w:rsidR="00203F72" w:rsidRPr="005E4924">
        <w:t>…</w:t>
      </w:r>
      <w:r w:rsidR="00203F72" w:rsidRPr="005E4924">
        <w:t>預算案、</w:t>
      </w:r>
      <w:r w:rsidR="00203F72" w:rsidRPr="005E4924">
        <w:t>….</w:t>
      </w:r>
      <w:r w:rsidR="00203F72" w:rsidRPr="005E4924">
        <w:t>提出於行政院會議議決之。預算案必須由立法機關審議通過而具有法律之形式，然預算案與法律案究如何</w:t>
      </w:r>
      <w:r w:rsidR="00203F72" w:rsidRPr="005E4924">
        <w:t>?</w:t>
      </w:r>
      <w:r w:rsidR="00203F72" w:rsidRPr="005E4924">
        <w:t>司法院釋</w:t>
      </w:r>
      <w:r w:rsidR="003E43C4" w:rsidRPr="00026C6F">
        <w:t>字</w:t>
      </w:r>
      <w:hyperlink r:id="rId652" w:anchor="r388" w:history="1">
        <w:r w:rsidR="003E43C4" w:rsidRPr="003E43C4">
          <w:rPr>
            <w:rStyle w:val="a5"/>
            <w:rFonts w:ascii="Times New Roman" w:eastAsia="新細明體" w:hAnsi="Times New Roman"/>
          </w:rPr>
          <w:t>第</w:t>
        </w:r>
        <w:r w:rsidR="003E43C4" w:rsidRPr="003E43C4">
          <w:rPr>
            <w:rStyle w:val="a5"/>
            <w:rFonts w:ascii="Times New Roman" w:eastAsia="新細明體" w:hAnsi="Times New Roman"/>
          </w:rPr>
          <w:t>388</w:t>
        </w:r>
        <w:r w:rsidR="003E43C4" w:rsidRPr="003E43C4">
          <w:rPr>
            <w:rStyle w:val="a5"/>
            <w:rFonts w:ascii="Times New Roman" w:eastAsia="新細明體" w:hAnsi="Times New Roman"/>
          </w:rPr>
          <w:t>號</w:t>
        </w:r>
      </w:hyperlink>
      <w:r w:rsidR="00203F72" w:rsidRPr="005E4924">
        <w:t>解釋指出：「</w:t>
      </w:r>
      <w:r w:rsidR="00203F72" w:rsidRPr="005E4924">
        <w:t> …</w:t>
      </w:r>
      <w:r w:rsidR="00203F72" w:rsidRPr="005E4924">
        <w:t>預算案亦有其特殊性而與法律案不同；法律案無論關係院或立法委員皆有提案權，預算案則祇許行政院提出，此其一；法律案之提出及審議並無時程之限制，預算案則因關係政府整體年度之收支，須在一定期間內完成立法程序，故提案及審議皆有其時限，此其二；除此之外，預算案、法律案尚有一項本質上之區別，即法律係對不特定人（包括政府機關與一般人民）之權利義務關係所作之抽象規定，並可無限制之反覆產生其規範效力，預算案係以具體數字記載政府機關維持其正常運作及執行各項施政計畫所須之經費，每一年度實施一次即失其效力，兩者規定之內容、拘束之對象及持續性完全不同，故預算案實質上為行政行為之一種，但基於民主憲政之原理，預算案又必須由立法機關審議通過而具有法律之形式，故有稱之為措施性法律（</w:t>
      </w:r>
      <w:r w:rsidR="00203F72" w:rsidRPr="005E4924">
        <w:t>Massnahmegesetz)</w:t>
      </w:r>
      <w:r w:rsidR="00203F72" w:rsidRPr="005E4924">
        <w:footnoteReference w:id="69"/>
      </w:r>
      <w:r w:rsidR="00203F72" w:rsidRPr="005E4924">
        <w:t>者，以有別於通常意義之法律。」</w:t>
      </w:r>
    </w:p>
    <w:p w14:paraId="7FE7DCDD" w14:textId="77777777" w:rsidR="00953151" w:rsidRPr="005E4924" w:rsidRDefault="007F7377" w:rsidP="00D87D91">
      <w:r w:rsidRPr="005E4924">
        <w:t xml:space="preserve">　　</w:t>
      </w:r>
      <w:r w:rsidR="00203F72" w:rsidRPr="005E4924">
        <w:t>故知，預算案與法律案雖然均為經行政院決議提出，於立法院審議通過，預算案有其特殊性而與法律案不同。本條規定行政院應將其預算案提出於立法院，並且應於會計年度開始三個月前，將下年度預算案提出。</w:t>
      </w:r>
    </w:p>
    <w:p w14:paraId="7D111307" w14:textId="77777777" w:rsidR="00953151" w:rsidRDefault="00076467" w:rsidP="00767F37">
      <w:pPr>
        <w:pStyle w:val="2"/>
      </w:pPr>
      <w:hyperlink r:id="rId653" w:anchor="a60" w:history="1">
        <w:r w:rsidR="005D5A46">
          <w:rPr>
            <w:rStyle w:val="a5"/>
            <w:rFonts w:ascii="Arial Unicode MS" w:hAnsi="Arial Unicode MS"/>
          </w:rPr>
          <w:t>第</w:t>
        </w:r>
        <w:r w:rsidR="00203F72" w:rsidRPr="001B53A5">
          <w:rPr>
            <w:rStyle w:val="a5"/>
            <w:rFonts w:ascii="Arial Unicode MS" w:hAnsi="Arial Unicode MS"/>
          </w:rPr>
          <w:t>60</w:t>
        </w:r>
        <w:r w:rsidR="005D5A46">
          <w:rPr>
            <w:rStyle w:val="a5"/>
            <w:rFonts w:ascii="Arial Unicode MS" w:hAnsi="Arial Unicode MS"/>
          </w:rPr>
          <w:t>條</w:t>
        </w:r>
      </w:hyperlink>
      <w:r w:rsidR="00203F72" w:rsidRPr="00A53581">
        <w:t>行政院於會計年度結束後四個月內，應提出決算於監察院。</w:t>
      </w:r>
    </w:p>
    <w:p w14:paraId="1313E06B" w14:textId="77777777" w:rsidR="00953151" w:rsidRPr="005E4924" w:rsidRDefault="00B03E84" w:rsidP="00D87D91">
      <w:r w:rsidRPr="005E4924">
        <w:t>【內容解析】</w:t>
      </w:r>
    </w:p>
    <w:p w14:paraId="7C95197F" w14:textId="77777777" w:rsidR="00953151" w:rsidRPr="005E4924" w:rsidRDefault="007F7377" w:rsidP="00D87D91">
      <w:r w:rsidRPr="005E4924">
        <w:t xml:space="preserve">　　</w:t>
      </w:r>
      <w:r w:rsidR="00203F72" w:rsidRPr="005E4924">
        <w:t>基於五權分立之原則，行政院之財務受監察院審計，故行政院之決算案，應提交給監察院審計，並應於會計年度結束後四個月內提出。同時，依憲法</w:t>
      </w:r>
      <w:hyperlink r:id="rId654" w:anchor="a105" w:history="1">
        <w:r w:rsidR="00203F72" w:rsidRPr="007569BB">
          <w:rPr>
            <w:rStyle w:val="a5"/>
            <w:rFonts w:ascii="Times New Roman" w:eastAsia="新細明體" w:hAnsi="Times New Roman"/>
          </w:rPr>
          <w:t>第</w:t>
        </w:r>
        <w:r w:rsidR="00203F72" w:rsidRPr="007569BB">
          <w:rPr>
            <w:rStyle w:val="a5"/>
            <w:rFonts w:ascii="Times New Roman" w:eastAsia="新細明體" w:hAnsi="Times New Roman"/>
          </w:rPr>
          <w:t>105</w:t>
        </w:r>
        <w:r w:rsidR="00203F72" w:rsidRPr="007569BB">
          <w:rPr>
            <w:rStyle w:val="a5"/>
            <w:rFonts w:ascii="Times New Roman" w:eastAsia="新細明體" w:hAnsi="Times New Roman"/>
          </w:rPr>
          <w:t>條</w:t>
        </w:r>
      </w:hyperlink>
      <w:r w:rsidR="00203F72" w:rsidRPr="005E4924">
        <w:t>之規定，監察院審計長應於行政院提出決算後三個月內，依法完成其審核，並提出審核報告於立法院。</w:t>
      </w:r>
    </w:p>
    <w:p w14:paraId="7F0018EA" w14:textId="77777777" w:rsidR="00953151" w:rsidRDefault="00076467" w:rsidP="00767F37">
      <w:pPr>
        <w:pStyle w:val="2"/>
      </w:pPr>
      <w:hyperlink r:id="rId655" w:anchor="a61" w:history="1">
        <w:r w:rsidR="005D5A46">
          <w:rPr>
            <w:rStyle w:val="a5"/>
            <w:rFonts w:ascii="Arial Unicode MS" w:hAnsi="Arial Unicode MS"/>
          </w:rPr>
          <w:t>第</w:t>
        </w:r>
        <w:r w:rsidR="00203F72" w:rsidRPr="001B53A5">
          <w:rPr>
            <w:rStyle w:val="a5"/>
            <w:rFonts w:ascii="Arial Unicode MS" w:hAnsi="Arial Unicode MS"/>
          </w:rPr>
          <w:t>61</w:t>
        </w:r>
        <w:r w:rsidR="005D5A46">
          <w:rPr>
            <w:rStyle w:val="a5"/>
            <w:rFonts w:ascii="Arial Unicode MS" w:hAnsi="Arial Unicode MS"/>
          </w:rPr>
          <w:t>條</w:t>
        </w:r>
      </w:hyperlink>
      <w:r w:rsidR="00203F72" w:rsidRPr="00A53581">
        <w:t>行政院之組織，以法律定之。</w:t>
      </w:r>
    </w:p>
    <w:p w14:paraId="41C8CBE8" w14:textId="77777777" w:rsidR="00953151" w:rsidRPr="005E4924" w:rsidRDefault="00B03E84" w:rsidP="00D87D91">
      <w:r w:rsidRPr="005E4924">
        <w:t>【內容解析】</w:t>
      </w:r>
    </w:p>
    <w:p w14:paraId="4F4369B5" w14:textId="77777777" w:rsidR="00953151" w:rsidRPr="005E4924" w:rsidRDefault="007F7377" w:rsidP="00D87D91">
      <w:r w:rsidRPr="005E4924">
        <w:t xml:space="preserve">　　</w:t>
      </w:r>
      <w:r w:rsidR="00203F72" w:rsidRPr="005E4924">
        <w:t>行政院組織，須以法律進行規範。民國三十六年三月三十一日國民政府制定公布</w:t>
      </w:r>
      <w:hyperlink r:id="rId656" w:history="1">
        <w:r w:rsidR="009F6368" w:rsidRPr="009F6368">
          <w:rPr>
            <w:rStyle w:val="a5"/>
            <w:rFonts w:ascii="Times New Roman" w:hAnsi="Times New Roman"/>
          </w:rPr>
          <w:t>行政院組織法</w:t>
        </w:r>
      </w:hyperlink>
      <w:r w:rsidR="00203F72" w:rsidRPr="005E4924">
        <w:t>，全文</w:t>
      </w:r>
      <w:r w:rsidR="00203F72" w:rsidRPr="005E4924">
        <w:t>16</w:t>
      </w:r>
      <w:r w:rsidR="00203F72" w:rsidRPr="005E4924">
        <w:t>條，然當時社會動盪不安，局勢詭譎。為因應環境變化，及時代之需求，本法共歷經民國三十六年四月、民國三十六年十二月、民國三十七年五月、民國三十八年三月、民國四十一年十一月、民國六十九年六月、民國九十九年二月修正公布，行政院組織</w:t>
      </w:r>
      <w:r w:rsidR="00687BCD" w:rsidRPr="005E4924">
        <w:t>法</w:t>
      </w:r>
      <w:hyperlink r:id="rId657" w:anchor="b1" w:history="1">
        <w:r w:rsidR="00687BCD" w:rsidRPr="005E4924">
          <w:rPr>
            <w:rStyle w:val="a5"/>
          </w:rPr>
          <w:t>第1條</w:t>
        </w:r>
      </w:hyperlink>
      <w:r w:rsidR="00203F72" w:rsidRPr="005E4924">
        <w:t>開宗明義說明本法依憲法第六十一條制定之。依行政院組織法</w:t>
      </w:r>
      <w:hyperlink r:id="rId658" w:anchor="b2" w:history="1">
        <w:r w:rsidR="00203F72" w:rsidRPr="009F6368">
          <w:rPr>
            <w:rStyle w:val="a5"/>
            <w:rFonts w:ascii="Times New Roman" w:hAnsi="Times New Roman"/>
          </w:rPr>
          <w:t>第二條</w:t>
        </w:r>
      </w:hyperlink>
      <w:r w:rsidR="00203F72" w:rsidRPr="005E4924">
        <w:t>概括之規定，行政院職權在行使憲法所賦予之職權。故</w:t>
      </w:r>
      <w:hyperlink r:id="rId659" w:history="1">
        <w:r w:rsidR="00203F72" w:rsidRPr="009F6368">
          <w:rPr>
            <w:rStyle w:val="a5"/>
            <w:rFonts w:ascii="Times New Roman" w:hAnsi="Times New Roman"/>
          </w:rPr>
          <w:t>行政院組織法</w:t>
        </w:r>
      </w:hyperlink>
      <w:r w:rsidR="00203F72" w:rsidRPr="005E4924">
        <w:t>依憲法制定，其目的乃在遂行憲法所賦予行政院之職權。</w:t>
      </w:r>
    </w:p>
    <w:p w14:paraId="683B2A34" w14:textId="77777777"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40CF0AD8" w14:textId="77777777" w:rsidR="00545D58" w:rsidRDefault="00545D58" w:rsidP="00D87D91"/>
    <w:p w14:paraId="61DFE745" w14:textId="77777777" w:rsidR="00953151" w:rsidRDefault="00203F72" w:rsidP="00767F37">
      <w:pPr>
        <w:pStyle w:val="2"/>
      </w:pPr>
      <w:bookmarkStart w:id="33" w:name="_第六章_立法"/>
      <w:bookmarkEnd w:id="33"/>
      <w:r w:rsidRPr="00A53581">
        <w:t>第六章</w:t>
      </w:r>
      <w:r w:rsidRPr="00A53581">
        <w:t xml:space="preserve"> </w:t>
      </w:r>
      <w:r w:rsidRPr="00A53581">
        <w:t>立法</w:t>
      </w:r>
    </w:p>
    <w:p w14:paraId="65B823FF" w14:textId="77777777" w:rsidR="00953151" w:rsidRDefault="00076467" w:rsidP="00767F37">
      <w:pPr>
        <w:pStyle w:val="2"/>
      </w:pPr>
      <w:hyperlink r:id="rId660" w:anchor="a62" w:history="1">
        <w:r w:rsidR="005D5A46">
          <w:rPr>
            <w:rStyle w:val="a5"/>
            <w:rFonts w:ascii="Arial Unicode MS" w:hAnsi="Arial Unicode MS"/>
          </w:rPr>
          <w:t>第</w:t>
        </w:r>
        <w:r w:rsidR="00203F72" w:rsidRPr="001B53A5">
          <w:rPr>
            <w:rStyle w:val="a5"/>
            <w:rFonts w:ascii="Arial Unicode MS" w:hAnsi="Arial Unicode MS"/>
          </w:rPr>
          <w:t>62</w:t>
        </w:r>
        <w:r w:rsidR="005D5A46">
          <w:rPr>
            <w:rStyle w:val="a5"/>
            <w:rFonts w:ascii="Arial Unicode MS" w:hAnsi="Arial Unicode MS"/>
          </w:rPr>
          <w:t>條</w:t>
        </w:r>
      </w:hyperlink>
      <w:r w:rsidR="00203F72" w:rsidRPr="00A53581">
        <w:t>立法院為國家最高立法機關，由人民選舉之立法委員組織之，代表人民行使立法權。</w:t>
      </w:r>
    </w:p>
    <w:p w14:paraId="6449D6FC" w14:textId="77777777" w:rsidR="00953151" w:rsidRDefault="00B03E84" w:rsidP="00D87D91">
      <w:r>
        <w:t>【內容解析】</w:t>
      </w:r>
    </w:p>
    <w:p w14:paraId="7FC96A38" w14:textId="77777777" w:rsidR="00953151" w:rsidRDefault="007F7377" w:rsidP="00D87D91">
      <w:r>
        <w:t xml:space="preserve">　　</w:t>
      </w:r>
      <w:r w:rsidR="00203F72" w:rsidRPr="00A53581">
        <w:t>依國父遺教及民主憲政代議政治之理念，立法機關由人民選出，代替人民行使立法權之機關，故是我國之政權機關。司法院釋字</w:t>
      </w:r>
      <w:hyperlink r:id="rId661" w:anchor="r76" w:history="1">
        <w:r w:rsidR="00203F72" w:rsidRPr="00482FC4">
          <w:rPr>
            <w:rStyle w:val="a5"/>
          </w:rPr>
          <w:t>第76號</w:t>
        </w:r>
      </w:hyperlink>
      <w:r w:rsidR="00203F72" w:rsidRPr="00A53581">
        <w:t>解釋認為：「我國憲法係依據孫中山先生之遺教而制定，</w:t>
      </w:r>
      <w:r w:rsidR="00203F72" w:rsidRPr="00A53581">
        <w:t>…</w:t>
      </w:r>
      <w:r w:rsidR="00203F72" w:rsidRPr="00A53581">
        <w:t>立法院為國家最高立法機關，監察院為國家最高監察機關，均由人民直接間接選舉之代表或委員所組成。其所分別行使之職權亦為民主國家國會重要之職權。雖其職權行使之方式，如每年定期集會、多數開議、多數決議等，不盡與各民主國家國會相同，但就憲法上之地位及職權之性質而言，應認國民大會、立法院、監察院共同相當於民主國家之國會。」</w:t>
      </w:r>
      <w:r w:rsidR="00193290" w:rsidRPr="0065661E">
        <w:rPr>
          <w:rFonts w:hint="eastAsia"/>
          <w:color w:val="FFFFFF" w:themeColor="background1"/>
        </w:rPr>
        <w:t>◇◆</w:t>
      </w:r>
    </w:p>
    <w:p w14:paraId="6CFCDD07" w14:textId="77777777" w:rsidR="00203F72" w:rsidRPr="00A53581" w:rsidRDefault="00203F72" w:rsidP="00D87D91">
      <w:r>
        <w:rPr>
          <w:noProof/>
        </w:rPr>
        <w:drawing>
          <wp:inline distT="0" distB="0" distL="0" distR="0" wp14:anchorId="722A580B" wp14:editId="5D80962E">
            <wp:extent cx="4673600" cy="5833745"/>
            <wp:effectExtent l="0" t="0" r="0" b="0"/>
            <wp:docPr id="19" name="圖片 19" descr="組織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組織圖"/>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4673600" cy="5833745"/>
                    </a:xfrm>
                    <a:prstGeom prst="rect">
                      <a:avLst/>
                    </a:prstGeom>
                    <a:noFill/>
                    <a:ln>
                      <a:noFill/>
                    </a:ln>
                  </pic:spPr>
                </pic:pic>
              </a:graphicData>
            </a:graphic>
          </wp:inline>
        </w:drawing>
      </w:r>
    </w:p>
    <w:p w14:paraId="3BB84AF5" w14:textId="5F631981" w:rsidR="00953151" w:rsidRDefault="00203F72" w:rsidP="00D87D91">
      <w:pPr>
        <w:pStyle w:val="aff4"/>
      </w:pPr>
      <w:r w:rsidRPr="00A53581">
        <w:t>figur</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16</w:t>
      </w:r>
      <w:r w:rsidR="00076467">
        <w:rPr>
          <w:noProof/>
        </w:rPr>
        <w:fldChar w:fldCharType="end"/>
      </w:r>
      <w:r w:rsidRPr="00A53581">
        <w:t>立法院組織圖</w:t>
      </w:r>
      <w:r w:rsidRPr="00A53581">
        <w:rPr>
          <w:rStyle w:val="af3"/>
          <w:rFonts w:ascii="新細明體" w:hAnsi="新細明體"/>
          <w:szCs w:val="22"/>
        </w:rPr>
        <w:footnoteReference w:id="70"/>
      </w:r>
    </w:p>
    <w:p w14:paraId="282064C2" w14:textId="77777777" w:rsidR="00953151" w:rsidRDefault="007F7377" w:rsidP="00D87D91">
      <w:r w:rsidRPr="00482FC4">
        <w:t xml:space="preserve">　　</w:t>
      </w:r>
      <w:r w:rsidR="00203F72" w:rsidRPr="00482FC4">
        <w:t>司法院釋字</w:t>
      </w:r>
      <w:hyperlink r:id="rId663" w:anchor="r342" w:history="1">
        <w:r w:rsidR="00203F72" w:rsidRPr="002464E6">
          <w:rPr>
            <w:rStyle w:val="a5"/>
            <w:rFonts w:ascii="Times New Roman" w:eastAsia="新細明體" w:hAnsi="Times New Roman"/>
          </w:rPr>
          <w:t>第</w:t>
        </w:r>
        <w:r w:rsidR="00203F72" w:rsidRPr="002464E6">
          <w:rPr>
            <w:rStyle w:val="a5"/>
            <w:rFonts w:ascii="Times New Roman" w:eastAsia="新細明體" w:hAnsi="Times New Roman"/>
          </w:rPr>
          <w:t>342</w:t>
        </w:r>
        <w:r w:rsidR="00203F72" w:rsidRPr="002464E6">
          <w:rPr>
            <w:rStyle w:val="a5"/>
            <w:rFonts w:ascii="Times New Roman" w:eastAsia="新細明體" w:hAnsi="Times New Roman"/>
          </w:rPr>
          <w:t>號</w:t>
        </w:r>
      </w:hyperlink>
      <w:r w:rsidR="00203F72" w:rsidRPr="00482FC4">
        <w:t>解釋認為：「依民主憲政國家之通例，國家之立法權屬於國會」依本條規定立法委員由人民直接選舉產生，代表人民行使立法權，為國家最高立法機關，與其他四院之職權不同，與歐美議會代議政治相似，均為屬於代表民意之機關。</w:t>
      </w:r>
    </w:p>
    <w:p w14:paraId="7DC63273" w14:textId="77777777" w:rsidR="002464E6" w:rsidRPr="00482FC4" w:rsidRDefault="002464E6" w:rsidP="00D87D91"/>
    <w:p w14:paraId="378A6D06" w14:textId="0C1008FF" w:rsidR="00203F72" w:rsidRPr="00482FC4" w:rsidRDefault="00B03E84" w:rsidP="00D87D91">
      <w:r w:rsidRPr="00482FC4">
        <w:t>【</w:t>
      </w:r>
      <w:r w:rsidRPr="00482FC4">
        <w:t>table</w:t>
      </w:r>
      <w:r w:rsidR="005E23E3" w:rsidRPr="00482FC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41</w:t>
      </w:r>
      <w:r w:rsidR="00076467">
        <w:rPr>
          <w:noProof/>
        </w:rPr>
        <w:fldChar w:fldCharType="end"/>
      </w:r>
      <w:r w:rsidR="00203F72" w:rsidRPr="00482FC4">
        <w:rPr>
          <w:rFonts w:hint="eastAsia"/>
        </w:rPr>
        <w:t>台灣從「複數國會」走向「單一國會」之歷程</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88"/>
        <w:gridCol w:w="5324"/>
      </w:tblGrid>
      <w:tr w:rsidR="00203F72" w:rsidRPr="00A53581" w14:paraId="5E94F281" w14:textId="77777777" w:rsidTr="00482FC4">
        <w:trPr>
          <w:tblHeader/>
        </w:trPr>
        <w:tc>
          <w:tcPr>
            <w:tcW w:w="1134" w:type="dxa"/>
            <w:tcBorders>
              <w:top w:val="single" w:sz="4" w:space="0" w:color="auto"/>
              <w:left w:val="single" w:sz="4" w:space="0" w:color="auto"/>
              <w:bottom w:val="single" w:sz="4" w:space="0" w:color="auto"/>
              <w:right w:val="single" w:sz="4" w:space="0" w:color="auto"/>
            </w:tcBorders>
            <w:shd w:val="clear" w:color="auto" w:fill="FAF0FA"/>
            <w:hideMark/>
          </w:tcPr>
          <w:p w14:paraId="548553C6" w14:textId="77777777" w:rsidR="00203F72" w:rsidRPr="00A53581" w:rsidRDefault="00203F72" w:rsidP="00D87D91">
            <w:r w:rsidRPr="00A53581">
              <w:rPr>
                <w:rFonts w:hint="eastAsia"/>
              </w:rPr>
              <w:t>國會數目</w:t>
            </w:r>
          </w:p>
        </w:tc>
        <w:tc>
          <w:tcPr>
            <w:tcW w:w="1588" w:type="dxa"/>
            <w:tcBorders>
              <w:top w:val="single" w:sz="4" w:space="0" w:color="auto"/>
              <w:left w:val="single" w:sz="4" w:space="0" w:color="auto"/>
              <w:bottom w:val="single" w:sz="4" w:space="0" w:color="auto"/>
              <w:right w:val="single" w:sz="4" w:space="0" w:color="auto"/>
            </w:tcBorders>
            <w:shd w:val="clear" w:color="auto" w:fill="FAF0FA"/>
            <w:hideMark/>
          </w:tcPr>
          <w:p w14:paraId="19EBAF8B" w14:textId="77777777" w:rsidR="00203F72" w:rsidRPr="00A53581" w:rsidRDefault="00203F72" w:rsidP="00D87D91">
            <w:r w:rsidRPr="00A53581">
              <w:rPr>
                <w:rFonts w:hint="eastAsia"/>
              </w:rPr>
              <w:t>具有國會性質</w:t>
            </w:r>
          </w:p>
        </w:tc>
        <w:tc>
          <w:tcPr>
            <w:tcW w:w="5324" w:type="dxa"/>
            <w:tcBorders>
              <w:top w:val="single" w:sz="4" w:space="0" w:color="auto"/>
              <w:left w:val="single" w:sz="4" w:space="0" w:color="auto"/>
              <w:bottom w:val="single" w:sz="4" w:space="0" w:color="auto"/>
              <w:right w:val="single" w:sz="4" w:space="0" w:color="auto"/>
            </w:tcBorders>
            <w:shd w:val="clear" w:color="auto" w:fill="FAF0FA"/>
            <w:hideMark/>
          </w:tcPr>
          <w:p w14:paraId="01BA2E75" w14:textId="77777777" w:rsidR="00203F72" w:rsidRPr="00A53581" w:rsidRDefault="00203F72" w:rsidP="00D87D91">
            <w:r w:rsidRPr="00A53581">
              <w:rPr>
                <w:rFonts w:hint="eastAsia"/>
              </w:rPr>
              <w:t>發生時間及事件</w:t>
            </w:r>
          </w:p>
        </w:tc>
      </w:tr>
      <w:tr w:rsidR="00203F72" w:rsidRPr="00A53581" w14:paraId="7700B9A1" w14:textId="77777777"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13281AF5" w14:textId="77777777" w:rsidR="00203F72" w:rsidRPr="00A53581" w:rsidRDefault="00203F72" w:rsidP="00D87D91">
            <w:r w:rsidRPr="00A53581">
              <w:t>3</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049ED631" w14:textId="77777777" w:rsidR="00203F72" w:rsidRPr="00A53581" w:rsidRDefault="00203F72" w:rsidP="00D87D91">
            <w:r w:rsidRPr="00A53581">
              <w:rPr>
                <w:rFonts w:hint="eastAsia"/>
              </w:rPr>
              <w:t>立法院、國民大會、監察院</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5C8BB738" w14:textId="77777777" w:rsidR="00203F72" w:rsidRPr="00A53581" w:rsidRDefault="00203F72" w:rsidP="00D87D91">
            <w:r w:rsidRPr="00A53581">
              <w:rPr>
                <w:rFonts w:hint="eastAsia"/>
              </w:rPr>
              <w:t>民國</w:t>
            </w:r>
            <w:r w:rsidRPr="00A53581">
              <w:t>46</w:t>
            </w:r>
            <w:r w:rsidRPr="00A53581">
              <w:rPr>
                <w:rFonts w:hint="eastAsia"/>
              </w:rPr>
              <w:t>年，大法官釋</w:t>
            </w:r>
            <w:r w:rsidR="0004558E" w:rsidRPr="00A53581">
              <w:t>字</w:t>
            </w:r>
            <w:hyperlink r:id="rId664" w:anchor="r76" w:history="1">
              <w:r w:rsidR="0004558E" w:rsidRPr="00482FC4">
                <w:rPr>
                  <w:rStyle w:val="a5"/>
                </w:rPr>
                <w:t>第76號</w:t>
              </w:r>
            </w:hyperlink>
            <w:r w:rsidRPr="00A53581">
              <w:rPr>
                <w:rFonts w:hint="eastAsia"/>
              </w:rPr>
              <w:t>，此三者接相當於民主國家之國會。</w:t>
            </w:r>
          </w:p>
        </w:tc>
      </w:tr>
      <w:tr w:rsidR="00203F72" w:rsidRPr="00A53581" w14:paraId="5F95533A" w14:textId="77777777"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71DE50F8" w14:textId="77777777" w:rsidR="00203F72" w:rsidRPr="00A53581" w:rsidRDefault="00203F72" w:rsidP="00D87D91">
            <w:r w:rsidRPr="00A53581">
              <w:t>2</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78D5211E" w14:textId="77777777" w:rsidR="00203F72" w:rsidRPr="00A53581" w:rsidRDefault="00203F72" w:rsidP="00D87D91">
            <w:r w:rsidRPr="00A53581">
              <w:rPr>
                <w:rFonts w:hint="eastAsia"/>
              </w:rPr>
              <w:t>立法院、國民大會</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236472D0" w14:textId="77777777" w:rsidR="00203F72" w:rsidRPr="00A53581" w:rsidRDefault="00203F72" w:rsidP="00D87D91">
            <w:pPr>
              <w:rPr>
                <w:rFonts w:ascii="新細明體" w:hAnsi="新細明體"/>
              </w:rPr>
            </w:pPr>
            <w:r w:rsidRPr="00A53581">
              <w:rPr>
                <w:rFonts w:ascii="新細明體" w:hAnsi="新細明體" w:hint="eastAsia"/>
              </w:rPr>
              <w:t>民國</w:t>
            </w:r>
            <w:r w:rsidRPr="00A53581">
              <w:rPr>
                <w:rFonts w:ascii="新細明體" w:hAnsi="新細明體"/>
              </w:rPr>
              <w:t>81</w:t>
            </w:r>
            <w:r w:rsidRPr="00A53581">
              <w:rPr>
                <w:rFonts w:ascii="新細明體" w:hAnsi="新細明體" w:hint="eastAsia"/>
              </w:rPr>
              <w:t>年，第二次修憲，將監院改制為非民意機關：民國</w:t>
            </w:r>
            <w:r w:rsidRPr="00A53581">
              <w:rPr>
                <w:rFonts w:ascii="新細明體" w:hAnsi="新細明體"/>
              </w:rPr>
              <w:t>82</w:t>
            </w:r>
            <w:r w:rsidRPr="00A53581">
              <w:rPr>
                <w:rFonts w:ascii="新細明體" w:hAnsi="新細明體" w:hint="eastAsia"/>
              </w:rPr>
              <w:t>年，大法官釋</w:t>
            </w:r>
            <w:r w:rsidR="0004558E" w:rsidRPr="00DE63F7">
              <w:t>字</w:t>
            </w:r>
            <w:hyperlink r:id="rId665" w:anchor="r325" w:history="1">
              <w:r w:rsidR="0004558E" w:rsidRPr="00043F97">
                <w:rPr>
                  <w:rStyle w:val="a5"/>
                  <w:rFonts w:ascii="Times New Roman" w:hAnsi="Times New Roman"/>
                </w:rPr>
                <w:t>第</w:t>
              </w:r>
              <w:r w:rsidR="0004558E" w:rsidRPr="00043F97">
                <w:rPr>
                  <w:rStyle w:val="a5"/>
                  <w:rFonts w:ascii="Times New Roman" w:hAnsi="Times New Roman"/>
                </w:rPr>
                <w:t>325</w:t>
              </w:r>
              <w:r w:rsidR="0004558E" w:rsidRPr="00043F97">
                <w:rPr>
                  <w:rStyle w:val="a5"/>
                  <w:rFonts w:ascii="Times New Roman" w:hAnsi="Times New Roman"/>
                </w:rPr>
                <w:t>號</w:t>
              </w:r>
            </w:hyperlink>
            <w:r w:rsidRPr="00A53581">
              <w:rPr>
                <w:rFonts w:ascii="新細明體" w:hAnsi="新細明體" w:hint="eastAsia"/>
              </w:rPr>
              <w:t>，解釋監察院為準司法機關。</w:t>
            </w:r>
          </w:p>
        </w:tc>
      </w:tr>
      <w:tr w:rsidR="00203F72" w:rsidRPr="00A53581" w14:paraId="554D3FEA" w14:textId="77777777"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7EA6C4B6" w14:textId="77777777" w:rsidR="00203F72" w:rsidRPr="00A53581" w:rsidRDefault="00203F72" w:rsidP="00D87D91">
            <w:r w:rsidRPr="00A53581">
              <w:t>1.5</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5ED588DB" w14:textId="77777777" w:rsidR="00203F72" w:rsidRPr="00A53581" w:rsidRDefault="00203F72" w:rsidP="00D87D91">
            <w:r w:rsidRPr="00A53581">
              <w:rPr>
                <w:rFonts w:hint="eastAsia"/>
              </w:rPr>
              <w:t>立法院</w:t>
            </w:r>
            <w:r w:rsidRPr="00A53581">
              <w:t>+</w:t>
            </w:r>
            <w:r w:rsidRPr="00A53581">
              <w:rPr>
                <w:rFonts w:hint="eastAsia"/>
              </w:rPr>
              <w:t>國民大會</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40F01472" w14:textId="77777777" w:rsidR="00203F72" w:rsidRPr="00A53581" w:rsidRDefault="00203F72" w:rsidP="00D87D91">
            <w:r w:rsidRPr="00A53581">
              <w:rPr>
                <w:rFonts w:hint="eastAsia"/>
              </w:rPr>
              <w:t>民國</w:t>
            </w:r>
            <w:r w:rsidRPr="00A53581">
              <w:t>88</w:t>
            </w:r>
            <w:r w:rsidRPr="00A53581">
              <w:rPr>
                <w:rFonts w:hint="eastAsia"/>
              </w:rPr>
              <w:t>年，第五次修憲，將國大代表依附立法委員選舉之政黨比例代表制而產生。</w:t>
            </w:r>
          </w:p>
        </w:tc>
      </w:tr>
      <w:tr w:rsidR="00203F72" w:rsidRPr="00A53581" w14:paraId="54C87B20" w14:textId="77777777"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0F99E06F" w14:textId="77777777" w:rsidR="00203F72" w:rsidRPr="00A53581" w:rsidRDefault="00203F72" w:rsidP="00D87D91">
            <w:r w:rsidRPr="00A53581">
              <w:t>2</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1D43AF6F" w14:textId="77777777" w:rsidR="00203F72" w:rsidRPr="00A53581" w:rsidRDefault="00203F72" w:rsidP="00D87D91">
            <w:r w:rsidRPr="00A53581">
              <w:rPr>
                <w:rFonts w:hint="eastAsia"/>
              </w:rPr>
              <w:t>立法院、國民大會</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48ADF623" w14:textId="77777777" w:rsidR="00203F72" w:rsidRPr="00A53581" w:rsidRDefault="00203F72" w:rsidP="00D87D91">
            <w:r w:rsidRPr="00A53581">
              <w:rPr>
                <w:rFonts w:hint="eastAsia"/>
              </w:rPr>
              <w:t>民國</w:t>
            </w:r>
            <w:r w:rsidRPr="00A53581">
              <w:t>89</w:t>
            </w:r>
            <w:r w:rsidRPr="00A53581">
              <w:rPr>
                <w:rFonts w:hint="eastAsia"/>
              </w:rPr>
              <w:t>年</w:t>
            </w:r>
            <w:r w:rsidRPr="00A53581">
              <w:t>3</w:t>
            </w:r>
            <w:r w:rsidRPr="00A53581">
              <w:rPr>
                <w:rFonts w:hint="eastAsia"/>
              </w:rPr>
              <w:t>月，大法官釋字</w:t>
            </w:r>
            <w:hyperlink r:id="rId666" w:anchor="r499" w:history="1">
              <w:r w:rsidRPr="0004558E">
                <w:rPr>
                  <w:rStyle w:val="a5"/>
                  <w:rFonts w:eastAsia="新細明體"/>
                </w:rPr>
                <w:t>499</w:t>
              </w:r>
              <w:r w:rsidRPr="0004558E">
                <w:rPr>
                  <w:rStyle w:val="a5"/>
                  <w:rFonts w:eastAsia="新細明體" w:hint="eastAsia"/>
                </w:rPr>
                <w:t>號</w:t>
              </w:r>
            </w:hyperlink>
            <w:r w:rsidRPr="00A53581">
              <w:rPr>
                <w:rFonts w:hint="eastAsia"/>
              </w:rPr>
              <w:t>，宣告第五次修憲為無效，回復原制。</w:t>
            </w:r>
          </w:p>
        </w:tc>
      </w:tr>
      <w:tr w:rsidR="00203F72" w:rsidRPr="00A53581" w14:paraId="7CC38C22" w14:textId="77777777"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2A284F5F" w14:textId="77777777" w:rsidR="00203F72" w:rsidRPr="00A53581" w:rsidRDefault="00203F72" w:rsidP="00D87D91">
            <w:r w:rsidRPr="00A53581">
              <w:t>1</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6779B3B2" w14:textId="77777777" w:rsidR="00203F72" w:rsidRPr="00A53581" w:rsidRDefault="00203F72" w:rsidP="00D87D91">
            <w:r w:rsidRPr="00A53581">
              <w:rPr>
                <w:rFonts w:hint="eastAsia"/>
              </w:rPr>
              <w:t>立法院</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42EF98BE" w14:textId="77777777" w:rsidR="00203F72" w:rsidRPr="00A53581" w:rsidRDefault="00203F72" w:rsidP="00D87D91">
            <w:r w:rsidRPr="00A53581">
              <w:rPr>
                <w:rFonts w:hint="eastAsia"/>
              </w:rPr>
              <w:t>民國</w:t>
            </w:r>
            <w:r w:rsidRPr="00A53581">
              <w:t>89</w:t>
            </w:r>
            <w:r w:rsidRPr="00A53581">
              <w:rPr>
                <w:rFonts w:hint="eastAsia"/>
              </w:rPr>
              <w:t>年</w:t>
            </w:r>
            <w:r w:rsidRPr="00A53581">
              <w:t>4</w:t>
            </w:r>
            <w:r w:rsidRPr="00A53581">
              <w:rPr>
                <w:rFonts w:hint="eastAsia"/>
              </w:rPr>
              <w:t>月，第六次修憲，將國大改制成「任務型國大」性質，原國大職權移轉給立院。</w:t>
            </w:r>
          </w:p>
        </w:tc>
      </w:tr>
      <w:tr w:rsidR="00203F72" w:rsidRPr="00A53581" w14:paraId="09EF2F29" w14:textId="77777777"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74E3EFC1" w14:textId="77777777" w:rsidR="00203F72" w:rsidRPr="00A53581" w:rsidRDefault="00203F72" w:rsidP="00D87D91">
            <w:r w:rsidRPr="00A53581">
              <w:t>1</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6771C59C" w14:textId="77777777" w:rsidR="00203F72" w:rsidRPr="00A53581" w:rsidRDefault="00203F72" w:rsidP="00D87D91">
            <w:r w:rsidRPr="00A53581">
              <w:rPr>
                <w:rFonts w:hint="eastAsia"/>
              </w:rPr>
              <w:t>立法院</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12B6CD50" w14:textId="77777777" w:rsidR="00203F72" w:rsidRPr="00A53581" w:rsidRDefault="00203F72" w:rsidP="00D87D91">
            <w:r w:rsidRPr="00A53581">
              <w:rPr>
                <w:rFonts w:hint="eastAsia"/>
              </w:rPr>
              <w:t>民國</w:t>
            </w:r>
            <w:r w:rsidRPr="00A53581">
              <w:t>94</w:t>
            </w:r>
            <w:r w:rsidRPr="00A53581">
              <w:rPr>
                <w:rFonts w:hint="eastAsia"/>
              </w:rPr>
              <w:t>年，第七次修憲，廢除國民大會，公投制度入憲。</w:t>
            </w:r>
          </w:p>
        </w:tc>
      </w:tr>
    </w:tbl>
    <w:p w14:paraId="37F0FB1B" w14:textId="77777777" w:rsidR="00203F72" w:rsidRPr="00482FC4" w:rsidRDefault="002107CE" w:rsidP="00D87D91">
      <w:r w:rsidRPr="00482FC4">
        <w:rPr>
          <w:rFonts w:hint="eastAsia"/>
        </w:rPr>
        <w:t>【本表格資料來源】</w:t>
      </w:r>
    </w:p>
    <w:p w14:paraId="32DE1207" w14:textId="77777777" w:rsidR="00953151" w:rsidRPr="00482FC4" w:rsidRDefault="007F7377" w:rsidP="00D87D91">
      <w:r w:rsidRPr="00482FC4">
        <w:rPr>
          <w:rFonts w:hint="eastAsia"/>
        </w:rPr>
        <w:t xml:space="preserve">　　</w:t>
      </w:r>
      <w:r w:rsidR="00203F72" w:rsidRPr="00482FC4">
        <w:rPr>
          <w:rFonts w:hint="eastAsia"/>
        </w:rPr>
        <w:t>張淑中，姚中原</w:t>
      </w:r>
      <w:r w:rsidR="00203F72" w:rsidRPr="00482FC4">
        <w:t>(2012)</w:t>
      </w:r>
      <w:r w:rsidR="00203F72" w:rsidRPr="00482FC4">
        <w:t>，</w:t>
      </w:r>
      <w:r w:rsidR="00203F72" w:rsidRPr="00482FC4">
        <w:rPr>
          <w:rFonts w:hint="eastAsia"/>
        </w:rPr>
        <w:t>台灣憲政改革─修憲理論、政治過程與制度影響，初版，台北：五南圖書公司，第</w:t>
      </w:r>
      <w:r w:rsidR="00203F72" w:rsidRPr="00482FC4">
        <w:t>123</w:t>
      </w:r>
      <w:r w:rsidR="00203F72" w:rsidRPr="00482FC4">
        <w:rPr>
          <w:rFonts w:hint="eastAsia"/>
        </w:rPr>
        <w:t>頁。</w:t>
      </w:r>
    </w:p>
    <w:p w14:paraId="0C665A82" w14:textId="77777777" w:rsidR="00953151" w:rsidRPr="00482FC4" w:rsidRDefault="007F7377" w:rsidP="00D87D91">
      <w:r w:rsidRPr="00482FC4">
        <w:t xml:space="preserve">　　</w:t>
      </w:r>
      <w:r w:rsidR="00203F72" w:rsidRPr="00482FC4">
        <w:t>司法院釋</w:t>
      </w:r>
      <w:r w:rsidR="0004558E" w:rsidRPr="00A53581">
        <w:rPr>
          <w:kern w:val="0"/>
        </w:rPr>
        <w:t>字</w:t>
      </w:r>
      <w:hyperlink r:id="rId667" w:anchor="r401" w:history="1">
        <w:r w:rsidR="0004558E" w:rsidRPr="0004558E">
          <w:rPr>
            <w:rStyle w:val="a5"/>
            <w:rFonts w:eastAsia="新細明體"/>
            <w:kern w:val="0"/>
          </w:rPr>
          <w:t>第401號</w:t>
        </w:r>
      </w:hyperlink>
      <w:r w:rsidR="00203F72" w:rsidRPr="00482FC4">
        <w:t>解釋認為：「立法院為國家最高立法機關，由人民選舉之立法委員組織之，代表人民行使立法權。</w:t>
      </w:r>
      <w:r w:rsidR="00203F72" w:rsidRPr="00482FC4">
        <w:t>…</w:t>
      </w:r>
      <w:r w:rsidR="00203F72" w:rsidRPr="00482FC4">
        <w:t>屬由人民直接選舉之代表或委員所組成之民意機關。」司法院釋</w:t>
      </w:r>
      <w:r w:rsidR="0004558E" w:rsidRPr="00A53581">
        <w:t>字</w:t>
      </w:r>
      <w:hyperlink r:id="rId668" w:anchor="r76" w:history="1">
        <w:r w:rsidR="0004558E" w:rsidRPr="00482FC4">
          <w:rPr>
            <w:rStyle w:val="a5"/>
          </w:rPr>
          <w:t>第76號</w:t>
        </w:r>
      </w:hyperlink>
      <w:r w:rsidR="00203F72" w:rsidRPr="00482FC4">
        <w:t>解釋與釋</w:t>
      </w:r>
      <w:r w:rsidR="0004558E" w:rsidRPr="00A53581">
        <w:rPr>
          <w:kern w:val="0"/>
        </w:rPr>
        <w:t>字</w:t>
      </w:r>
      <w:hyperlink r:id="rId669" w:anchor="r401" w:history="1">
        <w:r w:rsidR="0004558E" w:rsidRPr="0004558E">
          <w:rPr>
            <w:rStyle w:val="a5"/>
            <w:rFonts w:eastAsia="新細明體"/>
            <w:kern w:val="0"/>
          </w:rPr>
          <w:t>第401號</w:t>
        </w:r>
      </w:hyperlink>
      <w:r w:rsidR="00203F72" w:rsidRPr="00482FC4">
        <w:t>解釋，兩者對於國會之見解，依較新之司法院釋</w:t>
      </w:r>
      <w:r w:rsidR="0004558E" w:rsidRPr="00A53581">
        <w:rPr>
          <w:kern w:val="0"/>
        </w:rPr>
        <w:t>字</w:t>
      </w:r>
      <w:hyperlink r:id="rId670" w:anchor="r401" w:history="1">
        <w:r w:rsidR="0004558E" w:rsidRPr="0004558E">
          <w:rPr>
            <w:rStyle w:val="a5"/>
            <w:rFonts w:eastAsia="新細明體"/>
            <w:kern w:val="0"/>
          </w:rPr>
          <w:t>第401號</w:t>
        </w:r>
      </w:hyperlink>
      <w:r w:rsidR="00203F72" w:rsidRPr="00482FC4">
        <w:t>解釋之意見，立法院為我國之最高立法機關，而國民大會與監察院，其性質則非屬於國會。</w:t>
      </w:r>
    </w:p>
    <w:p w14:paraId="4DAAD709" w14:textId="77777777" w:rsidR="00953151" w:rsidRDefault="00076467" w:rsidP="00767F37">
      <w:pPr>
        <w:pStyle w:val="2"/>
      </w:pPr>
      <w:hyperlink r:id="rId671" w:anchor="a63" w:history="1">
        <w:r w:rsidR="005D5A46">
          <w:rPr>
            <w:rStyle w:val="a5"/>
            <w:rFonts w:ascii="Arial Unicode MS" w:hAnsi="Arial Unicode MS"/>
          </w:rPr>
          <w:t>第</w:t>
        </w:r>
        <w:r w:rsidR="00203F72" w:rsidRPr="001B53A5">
          <w:rPr>
            <w:rStyle w:val="a5"/>
            <w:rFonts w:ascii="Arial Unicode MS" w:hAnsi="Arial Unicode MS"/>
          </w:rPr>
          <w:t>63</w:t>
        </w:r>
        <w:r w:rsidR="005D5A46">
          <w:rPr>
            <w:rStyle w:val="a5"/>
            <w:rFonts w:ascii="Arial Unicode MS" w:hAnsi="Arial Unicode MS"/>
          </w:rPr>
          <w:t>條</w:t>
        </w:r>
      </w:hyperlink>
      <w:r w:rsidR="00203F72" w:rsidRPr="00A53581">
        <w:t>立法院有議決法律案、預算案、戒嚴案、大赦案、宣戰案、媾和案、條約案及國家其他重要事項之權。</w:t>
      </w:r>
    </w:p>
    <w:p w14:paraId="2E085BBF" w14:textId="77777777" w:rsidR="00953151" w:rsidRPr="00482FC4" w:rsidRDefault="00B03E84" w:rsidP="00D87D91">
      <w:r w:rsidRPr="00482FC4">
        <w:t>【內容解析】</w:t>
      </w:r>
    </w:p>
    <w:p w14:paraId="11B4824F" w14:textId="77777777" w:rsidR="00953151" w:rsidRPr="00482FC4" w:rsidRDefault="007F7377" w:rsidP="00D87D91">
      <w:r w:rsidRPr="00482FC4">
        <w:t xml:space="preserve">　　</w:t>
      </w:r>
      <w:r w:rsidR="00203F72" w:rsidRPr="00482FC4">
        <w:t>由於立法院有監督與制衡行政院之權，因此，依立法院職權行使法</w:t>
      </w:r>
      <w:hyperlink r:id="rId672" w:anchor="a7"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7</w:t>
        </w:r>
        <w:r w:rsidR="00203F72" w:rsidRPr="001F6A1B">
          <w:rPr>
            <w:rStyle w:val="a5"/>
            <w:rFonts w:ascii="Times New Roman" w:eastAsia="新細明體" w:hAnsi="Times New Roman"/>
          </w:rPr>
          <w:t>條</w:t>
        </w:r>
      </w:hyperlink>
      <w:r w:rsidR="00203F72" w:rsidRPr="00482FC4">
        <w:t>之規定，立法院依憲法</w:t>
      </w:r>
      <w:r w:rsidR="001B1539" w:rsidRPr="00482FC4">
        <w:t>第</w:t>
      </w:r>
      <w:hyperlink r:id="rId673" w:anchor="a63" w:history="1">
        <w:r w:rsidR="001B1539" w:rsidRPr="00482FC4">
          <w:rPr>
            <w:rStyle w:val="a5"/>
          </w:rPr>
          <w:t>六十三</w:t>
        </w:r>
      </w:hyperlink>
      <w:r w:rsidR="001B1539" w:rsidRPr="00482FC4">
        <w:t>條</w:t>
      </w:r>
      <w:r w:rsidR="00203F72" w:rsidRPr="00482FC4">
        <w:t>規定所議決之議案，除法律案、預算案應經三讀會議決外，其餘均經二讀會議決之。依立法院職權行使法</w:t>
      </w:r>
      <w:hyperlink r:id="rId674" w:anchor="a8" w:history="1">
        <w:r w:rsidR="001F6A1B" w:rsidRPr="001F6A1B">
          <w:rPr>
            <w:rStyle w:val="a5"/>
          </w:rPr>
          <w:t>第8條</w:t>
        </w:r>
      </w:hyperlink>
      <w:r w:rsidR="00203F72" w:rsidRPr="00482FC4">
        <w:t>之規定，第一讀會，由主席將議案宣付朗讀行之。政府機關提出之議案，或立法委員提出之法律案，應先送程序委員會，提報院會朗讀標題後，即應交付有關委員會審查。但有出席委員提議，二十人以上連署或附議，經表決通過，得逕付二讀。立法委員提出之其他議案，於朗讀標題後，得由提案人說明其旨趣，經大體討論，議決交付審查或逕付二讀，或不予審議。</w:t>
      </w:r>
    </w:p>
    <w:p w14:paraId="54F7D4F5" w14:textId="77777777" w:rsidR="00953151" w:rsidRPr="00482FC4" w:rsidRDefault="007F7377" w:rsidP="00D87D91">
      <w:r w:rsidRPr="00482FC4">
        <w:t xml:space="preserve">　　</w:t>
      </w:r>
      <w:r w:rsidR="00203F72" w:rsidRPr="00482FC4">
        <w:t>此外，依立法院職權行使</w:t>
      </w:r>
      <w:r w:rsidR="00203F72" w:rsidRPr="001F6A1B">
        <w:t>法</w:t>
      </w:r>
      <w:hyperlink r:id="rId675" w:anchor="a9" w:history="1">
        <w:r w:rsidR="00BD43D3" w:rsidRPr="001F6A1B">
          <w:rPr>
            <w:rStyle w:val="a5"/>
          </w:rPr>
          <w:t>第九條</w:t>
        </w:r>
      </w:hyperlink>
      <w:r w:rsidR="00203F72" w:rsidRPr="00482FC4">
        <w:t>之規定，第一讀會，由主席將議案宣付朗讀行之。政府機關提出之議案，或立法委員提出之法律案，應先送程序委員會，提報院會朗讀標題後，即應交付有關委員會審查。但有出席委員提議，四十人以上連署或附議，經表決通過，得逕付二讀。立法委員提出之其他議案，於朗讀標題後，得由提案人說明其旨趣，經大體討論，議決交付審查或逕付二讀，或不予審議。第二讀會，於討論各委員會審查之議案，或經院會議決不經審查逕付二讀之議案時行之。第二讀會，應將議案朗讀，依次或逐條提付討論。第二讀會，得就審查意見或原案要旨，先作廣泛討論。廣泛討論後，如有出席委員提議，十五人以上連署或附議，經表決通過，得重付審查或撤銷之。</w:t>
      </w:r>
      <w:r w:rsidR="00193290" w:rsidRPr="00482FC4">
        <w:rPr>
          <w:rFonts w:hint="eastAsia"/>
          <w:color w:val="FFFFFF" w:themeColor="background1"/>
        </w:rPr>
        <w:t>◇◆</w:t>
      </w:r>
    </w:p>
    <w:p w14:paraId="42B1A70D" w14:textId="77777777" w:rsidR="00203F72" w:rsidRPr="00A53581" w:rsidRDefault="00203F72" w:rsidP="00D87D91">
      <w:r>
        <w:rPr>
          <w:noProof/>
        </w:rPr>
        <w:drawing>
          <wp:inline distT="0" distB="0" distL="0" distR="0" wp14:anchorId="290E4A0A" wp14:editId="243B279E">
            <wp:extent cx="4932045" cy="5334000"/>
            <wp:effectExtent l="0" t="0" r="1905" b="0"/>
            <wp:docPr id="20" name="圖片 20" descr="立法程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立法程序"/>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4932045" cy="5334000"/>
                    </a:xfrm>
                    <a:prstGeom prst="rect">
                      <a:avLst/>
                    </a:prstGeom>
                    <a:noFill/>
                    <a:ln>
                      <a:noFill/>
                    </a:ln>
                  </pic:spPr>
                </pic:pic>
              </a:graphicData>
            </a:graphic>
          </wp:inline>
        </w:drawing>
      </w:r>
    </w:p>
    <w:p w14:paraId="346274B7" w14:textId="09CB023E" w:rsidR="00203F72" w:rsidRPr="00A5358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17</w:t>
      </w:r>
      <w:r w:rsidR="00076467">
        <w:rPr>
          <w:noProof/>
        </w:rPr>
        <w:fldChar w:fldCharType="end"/>
      </w:r>
      <w:r w:rsidR="00203F72" w:rsidRPr="00A53581">
        <w:t>立法院議事流程圖形</w:t>
      </w:r>
      <w:r w:rsidR="00203F72" w:rsidRPr="00A53581">
        <w:rPr>
          <w:rStyle w:val="af3"/>
          <w:rFonts w:ascii="新細明體" w:hAnsi="新細明體"/>
          <w:szCs w:val="22"/>
        </w:rPr>
        <w:footnoteReference w:id="71"/>
      </w:r>
    </w:p>
    <w:p w14:paraId="402465E6" w14:textId="77777777" w:rsidR="00203F72" w:rsidRPr="00A53581" w:rsidRDefault="00203F72" w:rsidP="00D87D91"/>
    <w:p w14:paraId="4F660517" w14:textId="77777777" w:rsidR="00953151" w:rsidRPr="00482FC4" w:rsidRDefault="007F7377" w:rsidP="00D87D91">
      <w:r w:rsidRPr="00482FC4">
        <w:t xml:space="preserve">　　</w:t>
      </w:r>
      <w:r w:rsidR="00203F72" w:rsidRPr="00482FC4">
        <w:t>另依立法院職權行使法</w:t>
      </w:r>
      <w:hyperlink r:id="rId677" w:anchor="a11"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11</w:t>
        </w:r>
        <w:r w:rsidR="00203F72" w:rsidRPr="001F6A1B">
          <w:rPr>
            <w:rStyle w:val="a5"/>
            <w:rFonts w:ascii="Times New Roman" w:eastAsia="新細明體" w:hAnsi="Times New Roman"/>
          </w:rPr>
          <w:t>條</w:t>
        </w:r>
      </w:hyperlink>
      <w:r w:rsidR="00203F72" w:rsidRPr="00482FC4">
        <w:t>之規定，第三讀會，應於第二讀會之下次會議行之。但如有出席委員提議，十五人以上連署或附議，經表決通過，得於二讀後，繼續進行第三讀會。第三讀會，除發現議案內容有互相牴觸，或與憲法、其他法律相牴觸者外，祇得為文字之修正。第三讀會，應將議案全案付表決。</w:t>
      </w:r>
    </w:p>
    <w:p w14:paraId="17DE29B6" w14:textId="77777777" w:rsidR="00953151" w:rsidRDefault="007F7377" w:rsidP="00D87D91">
      <w:r w:rsidRPr="00482FC4">
        <w:t xml:space="preserve">　　</w:t>
      </w:r>
      <w:r w:rsidR="00203F72" w:rsidRPr="00482FC4">
        <w:t>立法院通過之法律或立法程序不得牴觸憲法，司法院釋</w:t>
      </w:r>
      <w:r w:rsidR="0004558E" w:rsidRPr="00482FC4">
        <w:t>字</w:t>
      </w:r>
      <w:hyperlink r:id="rId678" w:anchor="r342" w:history="1">
        <w:r w:rsidR="0004558E" w:rsidRPr="002464E6">
          <w:rPr>
            <w:rStyle w:val="a5"/>
            <w:rFonts w:ascii="Times New Roman" w:eastAsia="新細明體" w:hAnsi="Times New Roman"/>
          </w:rPr>
          <w:t>第</w:t>
        </w:r>
        <w:r w:rsidR="0004558E" w:rsidRPr="002464E6">
          <w:rPr>
            <w:rStyle w:val="a5"/>
            <w:rFonts w:ascii="Times New Roman" w:eastAsia="新細明體" w:hAnsi="Times New Roman"/>
          </w:rPr>
          <w:t>342</w:t>
        </w:r>
        <w:r w:rsidR="0004558E" w:rsidRPr="002464E6">
          <w:rPr>
            <w:rStyle w:val="a5"/>
            <w:rFonts w:ascii="Times New Roman" w:eastAsia="新細明體" w:hAnsi="Times New Roman"/>
          </w:rPr>
          <w:t>號</w:t>
        </w:r>
      </w:hyperlink>
      <w:r w:rsidR="00203F72" w:rsidRPr="00482FC4">
        <w:t>解釋認為：「立法院審議法律案，須在不牴觸憲法之範圍內，依其自行訂定之議事規範為之。</w:t>
      </w:r>
      <w:r w:rsidR="00203F72" w:rsidRPr="00482FC4">
        <w:t>…</w:t>
      </w:r>
      <w:r w:rsidR="00203F72" w:rsidRPr="00482FC4">
        <w:t>法律案之立法程序有不待調查事實即可認定為牴觸憲法，亦即有違反法律成立基本規定之明顯重大瑕疵者，則釋憲機關仍得宣告其為無效。」憲法為國家根本大法，立法院所通過之法律有牴觸憲法或法律立法程序牴觸憲法，釋憲機關自可以宣告該法律無效。</w:t>
      </w:r>
    </w:p>
    <w:p w14:paraId="40F2E33D" w14:textId="77777777" w:rsidR="00482FC4" w:rsidRPr="00482FC4" w:rsidRDefault="00482FC4" w:rsidP="00D87D91"/>
    <w:p w14:paraId="410476DF" w14:textId="6AC13C2B" w:rsidR="00203F72" w:rsidRPr="00482FC4" w:rsidRDefault="00B03E84" w:rsidP="00D87D91">
      <w:r w:rsidRPr="00482FC4">
        <w:t>【</w:t>
      </w:r>
      <w:r w:rsidRPr="00482FC4">
        <w:t>table</w:t>
      </w:r>
      <w:r w:rsidR="005E23E3" w:rsidRPr="00482FC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42</w:t>
      </w:r>
      <w:r w:rsidR="00076467">
        <w:rPr>
          <w:noProof/>
        </w:rPr>
        <w:fldChar w:fldCharType="end"/>
      </w:r>
      <w:r w:rsidR="00203F72" w:rsidRPr="00482FC4">
        <w:t>立法院之職權一覽表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6997"/>
      </w:tblGrid>
      <w:tr w:rsidR="00203F72" w:rsidRPr="00A53581" w14:paraId="581F59AB" w14:textId="77777777" w:rsidTr="0004558E">
        <w:trPr>
          <w:tblHeader/>
        </w:trPr>
        <w:tc>
          <w:tcPr>
            <w:tcW w:w="670" w:type="pct"/>
            <w:shd w:val="clear" w:color="auto" w:fill="FAF0FA"/>
          </w:tcPr>
          <w:p w14:paraId="63512F70" w14:textId="77777777" w:rsidR="00203F72" w:rsidRPr="00A53581" w:rsidRDefault="00203F72" w:rsidP="00D87D91">
            <w:r w:rsidRPr="00A53581">
              <w:t>職權內容</w:t>
            </w:r>
          </w:p>
        </w:tc>
        <w:tc>
          <w:tcPr>
            <w:tcW w:w="4330" w:type="pct"/>
            <w:shd w:val="clear" w:color="auto" w:fill="FAF0FA"/>
          </w:tcPr>
          <w:p w14:paraId="3C95C124" w14:textId="77777777" w:rsidR="00203F72" w:rsidRPr="00A53581" w:rsidRDefault="00203F72" w:rsidP="00D87D91">
            <w:r w:rsidRPr="00A53581">
              <w:t>憲法根據</w:t>
            </w:r>
          </w:p>
        </w:tc>
      </w:tr>
      <w:tr w:rsidR="00203F72" w:rsidRPr="00A53581" w14:paraId="7259391B" w14:textId="77777777" w:rsidTr="0004558E">
        <w:tc>
          <w:tcPr>
            <w:tcW w:w="670" w:type="pct"/>
            <w:shd w:val="clear" w:color="auto" w:fill="auto"/>
          </w:tcPr>
          <w:p w14:paraId="45BFDBEC" w14:textId="77777777" w:rsidR="00203F72" w:rsidRPr="00A53581" w:rsidRDefault="00203F72" w:rsidP="00D87D91">
            <w:r w:rsidRPr="00A53581">
              <w:t>立法權</w:t>
            </w:r>
          </w:p>
        </w:tc>
        <w:tc>
          <w:tcPr>
            <w:tcW w:w="4330" w:type="pct"/>
            <w:shd w:val="clear" w:color="auto" w:fill="auto"/>
          </w:tcPr>
          <w:p w14:paraId="6C64CEAA" w14:textId="77777777" w:rsidR="00203F72" w:rsidRPr="00A53581" w:rsidRDefault="00203F72" w:rsidP="00D87D91">
            <w:r w:rsidRPr="00A53581">
              <w:t>憲法</w:t>
            </w:r>
            <w:hyperlink r:id="rId679" w:anchor="a62" w:history="1">
              <w:r w:rsidRPr="0004558E">
                <w:rPr>
                  <w:rStyle w:val="a5"/>
                  <w:rFonts w:eastAsia="新細明體"/>
                </w:rPr>
                <w:t>§62</w:t>
              </w:r>
            </w:hyperlink>
            <w:r w:rsidRPr="00A53581">
              <w:t>：「立法院為國家最高立法機關，由人民選舉之立法委員組織之，代表人民行使立法權。」</w:t>
            </w:r>
          </w:p>
        </w:tc>
      </w:tr>
      <w:tr w:rsidR="00203F72" w:rsidRPr="00A53581" w14:paraId="36CA2137" w14:textId="77777777" w:rsidTr="0004558E">
        <w:tc>
          <w:tcPr>
            <w:tcW w:w="670" w:type="pct"/>
            <w:shd w:val="clear" w:color="auto" w:fill="auto"/>
          </w:tcPr>
          <w:p w14:paraId="63F0A9A2" w14:textId="77777777" w:rsidR="00203F72" w:rsidRPr="00A53581" w:rsidRDefault="00203F72" w:rsidP="00D87D91">
            <w:r w:rsidRPr="00A53581">
              <w:t>財政權</w:t>
            </w:r>
          </w:p>
        </w:tc>
        <w:tc>
          <w:tcPr>
            <w:tcW w:w="4330" w:type="pct"/>
            <w:shd w:val="clear" w:color="auto" w:fill="auto"/>
          </w:tcPr>
          <w:p w14:paraId="22A88A30" w14:textId="77777777" w:rsidR="00203F72" w:rsidRPr="00A53581" w:rsidRDefault="00203F72" w:rsidP="00D87D91">
            <w:r w:rsidRPr="00A53581">
              <w:t>憲法</w:t>
            </w:r>
            <w:hyperlink r:id="rId680" w:anchor="a63" w:history="1">
              <w:r w:rsidRPr="0004558E">
                <w:rPr>
                  <w:rStyle w:val="a5"/>
                  <w:rFonts w:eastAsia="新細明體"/>
                </w:rPr>
                <w:t>§63</w:t>
              </w:r>
            </w:hyperlink>
            <w:r w:rsidRPr="00A53581">
              <w:t>：「立法院有議決法律案、預算案、戒嚴案、大赦案、宣戰案、媾和案、條約案及國家其他重要事項之權。」</w:t>
            </w:r>
          </w:p>
        </w:tc>
      </w:tr>
      <w:tr w:rsidR="00203F72" w:rsidRPr="00A53581" w14:paraId="6A7A9525" w14:textId="77777777" w:rsidTr="0004558E">
        <w:tc>
          <w:tcPr>
            <w:tcW w:w="670" w:type="pct"/>
            <w:shd w:val="clear" w:color="auto" w:fill="auto"/>
          </w:tcPr>
          <w:p w14:paraId="0369034A" w14:textId="77777777" w:rsidR="00203F72" w:rsidRPr="00A53581" w:rsidRDefault="00203F72" w:rsidP="00D87D91">
            <w:r w:rsidRPr="00A53581">
              <w:t>同意權</w:t>
            </w:r>
          </w:p>
        </w:tc>
        <w:tc>
          <w:tcPr>
            <w:tcW w:w="4330" w:type="pct"/>
            <w:shd w:val="clear" w:color="auto" w:fill="auto"/>
          </w:tcPr>
          <w:p w14:paraId="6EAFEC38" w14:textId="77777777" w:rsidR="00953151" w:rsidRDefault="00203F72" w:rsidP="00D87D91">
            <w:r w:rsidRPr="00A53581">
              <w:t>憲法</w:t>
            </w:r>
            <w:hyperlink r:id="rId681" w:anchor="a104" w:history="1">
              <w:r w:rsidRPr="0004558E">
                <w:rPr>
                  <w:rStyle w:val="a5"/>
                  <w:rFonts w:eastAsia="新細明體"/>
                </w:rPr>
                <w:t>§104</w:t>
              </w:r>
            </w:hyperlink>
            <w:r w:rsidRPr="00A53581">
              <w:t>：「監察院設審計長，由總統提名，經立法院同意任命之。」。</w:t>
            </w:r>
          </w:p>
          <w:p w14:paraId="6E062557" w14:textId="77777777" w:rsidR="00953151" w:rsidRDefault="00203F72" w:rsidP="00D87D91">
            <w:pPr>
              <w:rPr>
                <w:kern w:val="0"/>
              </w:rPr>
            </w:pPr>
            <w:r w:rsidRPr="00A53581">
              <w:rPr>
                <w:rFonts w:hint="eastAsia"/>
              </w:rPr>
              <w:t>憲法增修</w:t>
            </w:r>
            <w:r w:rsidR="0004558E" w:rsidRPr="00A53581">
              <w:rPr>
                <w:rFonts w:hint="eastAsia"/>
              </w:rPr>
              <w:t>條</w:t>
            </w:r>
            <w:hyperlink r:id="rId682" w:anchor="b5" w:history="1">
              <w:r w:rsidR="0004558E" w:rsidRPr="0004558E">
                <w:rPr>
                  <w:rStyle w:val="a5"/>
                  <w:rFonts w:eastAsia="新細明體" w:hint="eastAsia"/>
                </w:rPr>
                <w:t>文§</w:t>
              </w:r>
              <w:r w:rsidR="0004558E" w:rsidRPr="0004558E">
                <w:rPr>
                  <w:rStyle w:val="a5"/>
                  <w:rFonts w:eastAsia="新細明體"/>
                </w:rPr>
                <w:t>5</w:t>
              </w:r>
            </w:hyperlink>
            <w:r w:rsidRPr="00A53581">
              <w:t>Ⅰ</w:t>
            </w:r>
            <w:r w:rsidRPr="00A53581">
              <w:t>：</w:t>
            </w:r>
            <w:r w:rsidRPr="00A53581">
              <w:rPr>
                <w:kern w:val="0"/>
              </w:rPr>
              <w:t>「司法院設大法官</w:t>
            </w:r>
            <w:r w:rsidRPr="00A53581">
              <w:rPr>
                <w:kern w:val="0"/>
              </w:rPr>
              <w:t>15</w:t>
            </w:r>
            <w:r w:rsidRPr="00A53581">
              <w:rPr>
                <w:kern w:val="0"/>
              </w:rPr>
              <w:t>人，並以其中</w:t>
            </w:r>
            <w:r w:rsidR="008F066C">
              <w:rPr>
                <w:kern w:val="0"/>
              </w:rPr>
              <w:t>1</w:t>
            </w:r>
            <w:r w:rsidRPr="00A53581">
              <w:rPr>
                <w:kern w:val="0"/>
              </w:rPr>
              <w:t>人為院長、</w:t>
            </w:r>
            <w:r w:rsidRPr="00A53581">
              <w:rPr>
                <w:kern w:val="0"/>
              </w:rPr>
              <w:t>1</w:t>
            </w:r>
            <w:r w:rsidRPr="00A53581">
              <w:rPr>
                <w:kern w:val="0"/>
              </w:rPr>
              <w:t>人為副院長，由總統提名，經立法院同意任命之。」</w:t>
            </w:r>
          </w:p>
          <w:p w14:paraId="7CD36453" w14:textId="77777777" w:rsidR="00953151" w:rsidRDefault="00203F72" w:rsidP="00D87D91">
            <w:pPr>
              <w:rPr>
                <w:kern w:val="0"/>
              </w:rPr>
            </w:pPr>
            <w:r w:rsidRPr="00A53581">
              <w:rPr>
                <w:rFonts w:hint="eastAsia"/>
              </w:rPr>
              <w:t>憲法增修</w:t>
            </w:r>
            <w:r w:rsidR="0004558E" w:rsidRPr="00A53581">
              <w:rPr>
                <w:rFonts w:hint="eastAsia"/>
              </w:rPr>
              <w:t>條</w:t>
            </w:r>
            <w:hyperlink r:id="rId683" w:anchor="b6" w:history="1">
              <w:r w:rsidR="0004558E" w:rsidRPr="0004558E">
                <w:rPr>
                  <w:rStyle w:val="a5"/>
                  <w:rFonts w:eastAsia="新細明體" w:hint="eastAsia"/>
                </w:rPr>
                <w:t>文§</w:t>
              </w:r>
              <w:r w:rsidR="0004558E" w:rsidRPr="0004558E">
                <w:rPr>
                  <w:rStyle w:val="a5"/>
                  <w:rFonts w:eastAsia="新細明體"/>
                </w:rPr>
                <w:t>6</w:t>
              </w:r>
            </w:hyperlink>
            <w:r w:rsidRPr="00A53581">
              <w:rPr>
                <w:kern w:val="0"/>
              </w:rPr>
              <w:t>II</w:t>
            </w:r>
            <w:r w:rsidRPr="00A53581">
              <w:rPr>
                <w:kern w:val="0"/>
              </w:rPr>
              <w:t>：「考試院設院長、副院長各</w:t>
            </w:r>
            <w:r w:rsidRPr="00A53581">
              <w:rPr>
                <w:kern w:val="0"/>
              </w:rPr>
              <w:t>1</w:t>
            </w:r>
            <w:r w:rsidRPr="00A53581">
              <w:rPr>
                <w:kern w:val="0"/>
              </w:rPr>
              <w:t>人，考試委員若干人，由總統提名，經立法院同意任命之。」</w:t>
            </w:r>
          </w:p>
          <w:p w14:paraId="54BCCFBE" w14:textId="77777777" w:rsidR="00203F72" w:rsidRPr="00A53581" w:rsidRDefault="00203F72" w:rsidP="00D87D91">
            <w:r w:rsidRPr="00A53581">
              <w:rPr>
                <w:rFonts w:hint="eastAsia"/>
              </w:rPr>
              <w:t>憲法增修</w:t>
            </w:r>
            <w:r w:rsidR="0004558E" w:rsidRPr="00A53581">
              <w:rPr>
                <w:rFonts w:hint="eastAsia"/>
              </w:rPr>
              <w:t>條</w:t>
            </w:r>
            <w:hyperlink r:id="rId684" w:anchor="b7" w:history="1">
              <w:r w:rsidR="0004558E" w:rsidRPr="0004558E">
                <w:rPr>
                  <w:rStyle w:val="a5"/>
                  <w:rFonts w:eastAsia="新細明體" w:hint="eastAsia"/>
                </w:rPr>
                <w:t>文§</w:t>
              </w:r>
              <w:r w:rsidR="0004558E" w:rsidRPr="0004558E">
                <w:rPr>
                  <w:rStyle w:val="a5"/>
                  <w:rFonts w:eastAsia="新細明體"/>
                </w:rPr>
                <w:t>7</w:t>
              </w:r>
            </w:hyperlink>
            <w:r w:rsidRPr="00A53581">
              <w:t>II</w:t>
            </w:r>
            <w:r w:rsidRPr="00A53581">
              <w:t>：「監察院設監察委員</w:t>
            </w:r>
            <w:r w:rsidRPr="00A53581">
              <w:t>29</w:t>
            </w:r>
            <w:r w:rsidRPr="00A53581">
              <w:t>人，並以其中</w:t>
            </w:r>
            <w:r w:rsidRPr="00A53581">
              <w:t>1</w:t>
            </w:r>
            <w:r w:rsidRPr="00A53581">
              <w:t>人為院長、</w:t>
            </w:r>
            <w:r w:rsidRPr="00A53581">
              <w:t>1</w:t>
            </w:r>
            <w:r w:rsidRPr="00A53581">
              <w:t>人為副院長，任期六年，由總統提名，經立法院同意任命之。」</w:t>
            </w:r>
          </w:p>
        </w:tc>
      </w:tr>
      <w:tr w:rsidR="00203F72" w:rsidRPr="00A53581" w14:paraId="751D6A5A" w14:textId="77777777" w:rsidTr="0004558E">
        <w:tc>
          <w:tcPr>
            <w:tcW w:w="670" w:type="pct"/>
            <w:shd w:val="clear" w:color="auto" w:fill="auto"/>
          </w:tcPr>
          <w:p w14:paraId="7BB8A692" w14:textId="77777777" w:rsidR="00203F72" w:rsidRPr="00A53581" w:rsidRDefault="00203F72" w:rsidP="00D87D91">
            <w:r w:rsidRPr="00A53581">
              <w:t>質詢權</w:t>
            </w:r>
          </w:p>
        </w:tc>
        <w:tc>
          <w:tcPr>
            <w:tcW w:w="4330" w:type="pct"/>
            <w:shd w:val="clear" w:color="auto" w:fill="auto"/>
          </w:tcPr>
          <w:p w14:paraId="75DB3216" w14:textId="77777777" w:rsidR="00203F72" w:rsidRPr="00A53581" w:rsidRDefault="00203F72" w:rsidP="00D87D91">
            <w:r w:rsidRPr="00A53581">
              <w:t>憲法增修</w:t>
            </w:r>
            <w:r w:rsidR="0004558E" w:rsidRPr="00A53581">
              <w:rPr>
                <w:rFonts w:hint="eastAsia"/>
              </w:rPr>
              <w:t>條</w:t>
            </w:r>
            <w:hyperlink r:id="rId685" w:anchor="b3" w:history="1">
              <w:r w:rsidR="0004558E" w:rsidRPr="0004558E">
                <w:rPr>
                  <w:rStyle w:val="a5"/>
                  <w:rFonts w:eastAsia="新細明體" w:hint="eastAsia"/>
                </w:rPr>
                <w:t>文§</w:t>
              </w:r>
              <w:r w:rsidR="0004558E" w:rsidRPr="0004558E">
                <w:rPr>
                  <w:rStyle w:val="a5"/>
                  <w:rFonts w:eastAsia="新細明體"/>
                </w:rPr>
                <w:t>3</w:t>
              </w:r>
            </w:hyperlink>
            <w:r w:rsidRPr="00A53581">
              <w:t>II</w:t>
            </w:r>
            <w:r w:rsidRPr="00A53581">
              <w:rPr>
                <w:rFonts w:cs="細明體_HKSCS" w:hint="eastAsia"/>
              </w:rPr>
              <w:t>①</w:t>
            </w:r>
            <w:r w:rsidRPr="00A53581">
              <w:t>：「行政院有向立法院提出施政方針及施政報告之責。立法委員在開會時，有向行政院院長及行政院各部會首長質詢之權。」</w:t>
            </w:r>
          </w:p>
        </w:tc>
      </w:tr>
      <w:tr w:rsidR="00203F72" w:rsidRPr="00A53581" w14:paraId="4C7D644D" w14:textId="77777777" w:rsidTr="0004558E">
        <w:tc>
          <w:tcPr>
            <w:tcW w:w="670" w:type="pct"/>
            <w:shd w:val="clear" w:color="auto" w:fill="auto"/>
          </w:tcPr>
          <w:p w14:paraId="04860259" w14:textId="77777777" w:rsidR="00203F72" w:rsidRPr="00A53581" w:rsidRDefault="00203F72" w:rsidP="00D87D91">
            <w:r w:rsidRPr="00A53581">
              <w:t>議決法案及國家重要事項權</w:t>
            </w:r>
          </w:p>
        </w:tc>
        <w:tc>
          <w:tcPr>
            <w:tcW w:w="4330" w:type="pct"/>
            <w:shd w:val="clear" w:color="auto" w:fill="auto"/>
          </w:tcPr>
          <w:p w14:paraId="2414C95B" w14:textId="77777777" w:rsidR="00203F72" w:rsidRPr="00A53581" w:rsidRDefault="00203F72" w:rsidP="00D87D91">
            <w:r w:rsidRPr="00A53581">
              <w:t>憲</w:t>
            </w:r>
            <w:r w:rsidR="0004558E" w:rsidRPr="00A53581">
              <w:t>法</w:t>
            </w:r>
            <w:hyperlink r:id="rId686" w:anchor="a63" w:history="1">
              <w:r w:rsidR="0004558E" w:rsidRPr="0004558E">
                <w:rPr>
                  <w:rStyle w:val="a5"/>
                  <w:rFonts w:eastAsia="新細明體"/>
                </w:rPr>
                <w:t>§63</w:t>
              </w:r>
            </w:hyperlink>
            <w:r w:rsidRPr="00A53581">
              <w:t>：「立法院有議決法律案、預算案、戒嚴案、大赦案、宣戰案、媾和案、條約案及國家其他重要事項之權。」</w:t>
            </w:r>
          </w:p>
        </w:tc>
      </w:tr>
      <w:tr w:rsidR="00203F72" w:rsidRPr="00A53581" w14:paraId="23EEB501" w14:textId="77777777" w:rsidTr="0004558E">
        <w:tc>
          <w:tcPr>
            <w:tcW w:w="670" w:type="pct"/>
            <w:shd w:val="clear" w:color="auto" w:fill="auto"/>
          </w:tcPr>
          <w:p w14:paraId="017DB950" w14:textId="77777777" w:rsidR="00203F72" w:rsidRPr="00A53581" w:rsidRDefault="00203F72" w:rsidP="00D87D91">
            <w:r w:rsidRPr="00A53581">
              <w:t>覆議權</w:t>
            </w:r>
          </w:p>
        </w:tc>
        <w:tc>
          <w:tcPr>
            <w:tcW w:w="4330" w:type="pct"/>
            <w:shd w:val="clear" w:color="auto" w:fill="auto"/>
          </w:tcPr>
          <w:p w14:paraId="4F3AF5A6" w14:textId="77777777" w:rsidR="00203F72" w:rsidRPr="00A53581" w:rsidRDefault="00203F72" w:rsidP="00D87D91">
            <w:r w:rsidRPr="00A53581">
              <w:t>憲法增修</w:t>
            </w:r>
            <w:r w:rsidR="0004558E" w:rsidRPr="00A53581">
              <w:rPr>
                <w:rFonts w:hint="eastAsia"/>
              </w:rPr>
              <w:t>條</w:t>
            </w:r>
            <w:hyperlink r:id="rId687" w:anchor="b3" w:history="1">
              <w:r w:rsidR="0004558E" w:rsidRPr="0004558E">
                <w:rPr>
                  <w:rStyle w:val="a5"/>
                  <w:rFonts w:eastAsia="新細明體" w:hint="eastAsia"/>
                </w:rPr>
                <w:t>文§</w:t>
              </w:r>
              <w:r w:rsidR="0004558E" w:rsidRPr="0004558E">
                <w:rPr>
                  <w:rStyle w:val="a5"/>
                  <w:rFonts w:eastAsia="新細明體"/>
                </w:rPr>
                <w:t>3</w:t>
              </w:r>
            </w:hyperlink>
            <w:r w:rsidRPr="00A53581">
              <w:t>II</w:t>
            </w:r>
            <w:r w:rsidR="003420CC">
              <w:rPr>
                <w:rFonts w:cs="細明體_HKSCS" w:hint="eastAsia"/>
              </w:rPr>
              <w:t>(2)</w:t>
            </w:r>
            <w:r w:rsidRPr="00A53581">
              <w:t>：「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w:t>
            </w:r>
          </w:p>
        </w:tc>
      </w:tr>
      <w:tr w:rsidR="00203F72" w:rsidRPr="00A53581" w14:paraId="612E63F7" w14:textId="77777777" w:rsidTr="0004558E">
        <w:tc>
          <w:tcPr>
            <w:tcW w:w="670" w:type="pct"/>
            <w:shd w:val="clear" w:color="auto" w:fill="auto"/>
          </w:tcPr>
          <w:p w14:paraId="17A2A22F" w14:textId="77777777" w:rsidR="00203F72" w:rsidRPr="00A53581" w:rsidRDefault="00203F72" w:rsidP="00D87D91">
            <w:r w:rsidRPr="00A53581">
              <w:t>解決中央與地方權限爭議之權</w:t>
            </w:r>
          </w:p>
        </w:tc>
        <w:tc>
          <w:tcPr>
            <w:tcW w:w="4330" w:type="pct"/>
            <w:shd w:val="clear" w:color="auto" w:fill="auto"/>
          </w:tcPr>
          <w:p w14:paraId="5534AF1A" w14:textId="77777777" w:rsidR="00203F72" w:rsidRPr="00A53581" w:rsidRDefault="00203F72" w:rsidP="00D87D91">
            <w:r w:rsidRPr="00A53581">
              <w:t>憲法</w:t>
            </w:r>
            <w:hyperlink r:id="rId688" w:anchor="a111" w:history="1">
              <w:r w:rsidRPr="0004558E">
                <w:rPr>
                  <w:rStyle w:val="a5"/>
                  <w:rFonts w:eastAsia="新細明體"/>
                </w:rPr>
                <w:t>§111</w:t>
              </w:r>
            </w:hyperlink>
            <w:r w:rsidRPr="00A53581">
              <w:t>：「除第</w:t>
            </w:r>
            <w:hyperlink r:id="rId689" w:anchor="a107" w:history="1">
              <w:r w:rsidRPr="0004558E">
                <w:rPr>
                  <w:rStyle w:val="a5"/>
                  <w:rFonts w:eastAsia="新細明體"/>
                </w:rPr>
                <w:t>一百零七</w:t>
              </w:r>
            </w:hyperlink>
            <w:r w:rsidRPr="00A53581">
              <w:t>條、第</w:t>
            </w:r>
            <w:hyperlink r:id="rId690" w:anchor="a108" w:history="1">
              <w:r w:rsidRPr="0004558E">
                <w:rPr>
                  <w:rStyle w:val="a5"/>
                  <w:rFonts w:eastAsia="新細明體"/>
                </w:rPr>
                <w:t>一百零八</w:t>
              </w:r>
            </w:hyperlink>
            <w:r w:rsidRPr="00A53581">
              <w:t>條、第</w:t>
            </w:r>
            <w:hyperlink r:id="rId691" w:anchor="a109" w:history="1">
              <w:r w:rsidRPr="0004558E">
                <w:rPr>
                  <w:rStyle w:val="a5"/>
                  <w:rFonts w:eastAsia="新細明體"/>
                </w:rPr>
                <w:t>一百零九</w:t>
              </w:r>
            </w:hyperlink>
            <w:r w:rsidRPr="00A53581">
              <w:t>條及第</w:t>
            </w:r>
            <w:hyperlink r:id="rId692" w:anchor="a110" w:history="1">
              <w:r w:rsidRPr="0004558E">
                <w:rPr>
                  <w:rStyle w:val="a5"/>
                  <w:rFonts w:eastAsia="新細明體"/>
                </w:rPr>
                <w:t>一百十</w:t>
              </w:r>
            </w:hyperlink>
            <w:r w:rsidRPr="00A53581">
              <w:t>條列舉事項外，如有未列舉事項發生時，其事務有全國一致之性質者屬於中央，有全省一致之性質者屬於省，有一縣之性質者屬於縣。遇有爭議時，由立法院解決之</w:t>
            </w:r>
            <w:r w:rsidRPr="00A53581">
              <w:rPr>
                <w:kern w:val="0"/>
              </w:rPr>
              <w:t>。</w:t>
            </w:r>
            <w:r w:rsidRPr="00A53581">
              <w:t>」</w:t>
            </w:r>
          </w:p>
        </w:tc>
      </w:tr>
      <w:tr w:rsidR="00203F72" w:rsidRPr="00A53581" w14:paraId="34E2CEE1" w14:textId="77777777" w:rsidTr="0004558E">
        <w:tc>
          <w:tcPr>
            <w:tcW w:w="670" w:type="pct"/>
            <w:shd w:val="clear" w:color="auto" w:fill="auto"/>
          </w:tcPr>
          <w:p w14:paraId="4BBDEDAC" w14:textId="77777777" w:rsidR="00203F72" w:rsidRPr="00A53581" w:rsidRDefault="00203F72" w:rsidP="00D87D91">
            <w:r w:rsidRPr="00A53581">
              <w:t>提出憲法修正案之權</w:t>
            </w:r>
          </w:p>
        </w:tc>
        <w:tc>
          <w:tcPr>
            <w:tcW w:w="4330" w:type="pct"/>
            <w:shd w:val="clear" w:color="auto" w:fill="auto"/>
          </w:tcPr>
          <w:p w14:paraId="5053AB63" w14:textId="77777777" w:rsidR="00203F72" w:rsidRPr="00A53581" w:rsidRDefault="00203F72" w:rsidP="00D87D91">
            <w:r w:rsidRPr="00A53581">
              <w:t>憲法增修條</w:t>
            </w:r>
            <w:hyperlink r:id="rId693" w:anchor="b12" w:history="1">
              <w:r w:rsidRPr="0004558E">
                <w:rPr>
                  <w:rStyle w:val="a5"/>
                  <w:rFonts w:eastAsia="新細明體"/>
                </w:rPr>
                <w:t>文§12</w:t>
              </w:r>
            </w:hyperlink>
            <w:r w:rsidRPr="00A53581">
              <w:t>：「憲法之修改，須經立法院立法委員四分之一之提議，四分之三之出席，及出席委員四分之三之決議，提出憲法修正案，並於公告半年後，經中華民國自由地區選舉人投票複決，有效同意票過選舉人總額之半數，即通過之，不適用憲法</w:t>
            </w:r>
            <w:r w:rsidR="00541C0B" w:rsidRPr="00A53581">
              <w:rPr>
                <w:kern w:val="0"/>
                <w:lang w:bidi="bn-IN"/>
              </w:rPr>
              <w:t>第</w:t>
            </w:r>
            <w:hyperlink r:id="rId694" w:anchor="a174" w:history="1">
              <w:r w:rsidR="00541C0B" w:rsidRPr="00541C0B">
                <w:rPr>
                  <w:rStyle w:val="a5"/>
                  <w:kern w:val="0"/>
                  <w:lang w:bidi="bn-IN"/>
                </w:rPr>
                <w:t>一百七十四</w:t>
              </w:r>
            </w:hyperlink>
            <w:r w:rsidR="00541C0B" w:rsidRPr="00A53581">
              <w:rPr>
                <w:kern w:val="0"/>
                <w:lang w:bidi="bn-IN"/>
              </w:rPr>
              <w:t>條</w:t>
            </w:r>
            <w:r w:rsidRPr="00A53581">
              <w:t>之規定</w:t>
            </w:r>
            <w:r w:rsidRPr="00A53581">
              <w:rPr>
                <w:kern w:val="0"/>
              </w:rPr>
              <w:t>。</w:t>
            </w:r>
            <w:r w:rsidRPr="00A53581">
              <w:t>」</w:t>
            </w:r>
          </w:p>
        </w:tc>
      </w:tr>
      <w:tr w:rsidR="00203F72" w:rsidRPr="00A53581" w14:paraId="2F4285FA" w14:textId="77777777" w:rsidTr="0004558E">
        <w:tc>
          <w:tcPr>
            <w:tcW w:w="670" w:type="pct"/>
            <w:shd w:val="clear" w:color="auto" w:fill="auto"/>
          </w:tcPr>
          <w:p w14:paraId="7C276660" w14:textId="77777777" w:rsidR="00203F72" w:rsidRPr="00A53581" w:rsidRDefault="00203F72" w:rsidP="00D87D91">
            <w:r w:rsidRPr="00A53581">
              <w:t>調閱權</w:t>
            </w:r>
          </w:p>
        </w:tc>
        <w:tc>
          <w:tcPr>
            <w:tcW w:w="4330" w:type="pct"/>
            <w:shd w:val="clear" w:color="auto" w:fill="auto"/>
          </w:tcPr>
          <w:p w14:paraId="0E8F6C83" w14:textId="77777777" w:rsidR="00203F72" w:rsidRPr="00A53581" w:rsidRDefault="00203F72" w:rsidP="00D87D91">
            <w:pPr>
              <w:rPr>
                <w:rFonts w:ascii="新細明體" w:hAnsi="新細明體"/>
              </w:rPr>
            </w:pPr>
            <w:r w:rsidRPr="00A53581">
              <w:rPr>
                <w:rFonts w:ascii="新細明體" w:hAnsi="新細明體"/>
              </w:rPr>
              <w:t>釋</w:t>
            </w:r>
            <w:r w:rsidR="00043F97" w:rsidRPr="00DE63F7">
              <w:t>字</w:t>
            </w:r>
            <w:hyperlink r:id="rId695"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Pr="00A53581">
              <w:rPr>
                <w:rFonts w:ascii="新細明體" w:hAnsi="新細明體"/>
              </w:rPr>
              <w:t>解釋</w:t>
            </w:r>
          </w:p>
        </w:tc>
      </w:tr>
      <w:tr w:rsidR="00203F72" w:rsidRPr="00A53581" w14:paraId="38B3FAEC" w14:textId="77777777" w:rsidTr="0004558E">
        <w:tc>
          <w:tcPr>
            <w:tcW w:w="670" w:type="pct"/>
            <w:shd w:val="clear" w:color="auto" w:fill="auto"/>
          </w:tcPr>
          <w:p w14:paraId="261A9DFD" w14:textId="77777777" w:rsidR="00203F72" w:rsidRPr="00A53581" w:rsidRDefault="00203F72" w:rsidP="00D87D91">
            <w:r w:rsidRPr="00A53581">
              <w:t>對行政院長提出不信任案</w:t>
            </w:r>
          </w:p>
        </w:tc>
        <w:tc>
          <w:tcPr>
            <w:tcW w:w="4330" w:type="pct"/>
            <w:shd w:val="clear" w:color="auto" w:fill="auto"/>
          </w:tcPr>
          <w:p w14:paraId="662BC867" w14:textId="77777777" w:rsidR="00203F72" w:rsidRPr="00A53581" w:rsidRDefault="00203F72" w:rsidP="00D87D91">
            <w:r w:rsidRPr="00A53581">
              <w:t>憲法增修</w:t>
            </w:r>
            <w:r w:rsidR="0004558E" w:rsidRPr="00A53581">
              <w:rPr>
                <w:rFonts w:hint="eastAsia"/>
              </w:rPr>
              <w:t>條</w:t>
            </w:r>
            <w:hyperlink r:id="rId696" w:anchor="b3" w:history="1">
              <w:r w:rsidR="0004558E" w:rsidRPr="0004558E">
                <w:rPr>
                  <w:rStyle w:val="a5"/>
                  <w:rFonts w:eastAsia="新細明體" w:hint="eastAsia"/>
                </w:rPr>
                <w:t>文§</w:t>
              </w:r>
              <w:r w:rsidR="0004558E" w:rsidRPr="0004558E">
                <w:rPr>
                  <w:rStyle w:val="a5"/>
                  <w:rFonts w:eastAsia="新細明體"/>
                </w:rPr>
                <w:t>3</w:t>
              </w:r>
            </w:hyperlink>
            <w:r w:rsidRPr="00A53581">
              <w:t>II</w:t>
            </w:r>
            <w:r w:rsidRPr="00A53581">
              <w:rPr>
                <w:rFonts w:cs="細明體_HKSCS" w:hint="eastAsia"/>
              </w:rPr>
              <w:t>③</w:t>
            </w:r>
            <w:r w:rsidRPr="00A53581">
              <w:t>：「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tc>
      </w:tr>
      <w:tr w:rsidR="00203F72" w:rsidRPr="00A53581" w14:paraId="2106EC33" w14:textId="77777777" w:rsidTr="0004558E">
        <w:tc>
          <w:tcPr>
            <w:tcW w:w="670" w:type="pct"/>
            <w:shd w:val="clear" w:color="auto" w:fill="auto"/>
          </w:tcPr>
          <w:p w14:paraId="6BAE11F7" w14:textId="77777777" w:rsidR="00203F72" w:rsidRPr="00A53581" w:rsidRDefault="00203F72" w:rsidP="00D87D91">
            <w:r w:rsidRPr="00A53581">
              <w:t>對總統、副總統彈劾提案權</w:t>
            </w:r>
          </w:p>
        </w:tc>
        <w:tc>
          <w:tcPr>
            <w:tcW w:w="4330" w:type="pct"/>
            <w:shd w:val="clear" w:color="auto" w:fill="auto"/>
          </w:tcPr>
          <w:p w14:paraId="0FF40F98" w14:textId="77777777" w:rsidR="00203F72" w:rsidRPr="00A53581" w:rsidRDefault="00203F72" w:rsidP="00D87D91">
            <w:r w:rsidRPr="00A53581">
              <w:t>憲法增修</w:t>
            </w:r>
            <w:r w:rsidR="0004558E" w:rsidRPr="00A53581">
              <w:rPr>
                <w:rFonts w:hint="eastAsia"/>
              </w:rPr>
              <w:t>條</w:t>
            </w:r>
            <w:hyperlink r:id="rId697" w:anchor="b4" w:history="1">
              <w:r w:rsidR="0004558E" w:rsidRPr="0004558E">
                <w:rPr>
                  <w:rStyle w:val="a5"/>
                  <w:rFonts w:eastAsia="新細明體" w:hint="eastAsia"/>
                </w:rPr>
                <w:t>文§</w:t>
              </w:r>
              <w:r w:rsidR="0004558E" w:rsidRPr="0004558E">
                <w:rPr>
                  <w:rStyle w:val="a5"/>
                  <w:rFonts w:eastAsia="新細明體"/>
                </w:rPr>
                <w:t>4</w:t>
              </w:r>
            </w:hyperlink>
            <w:r w:rsidRPr="00A53581">
              <w:t>VII</w:t>
            </w:r>
            <w:r w:rsidRPr="00A53581">
              <w:t>：「立法院對於總統、副總統之彈劾案，須經全體立法委員二分之一以上之提議，全體立法委員三分之二以上之決議，聲請司法院大法官審理，不適用憲法</w:t>
            </w:r>
            <w:r w:rsidR="009A2820" w:rsidRPr="00DE63F7">
              <w:t>第</w:t>
            </w:r>
            <w:hyperlink r:id="rId698" w:anchor="a90" w:history="1">
              <w:r w:rsidR="009A2820" w:rsidRPr="009A2820">
                <w:rPr>
                  <w:rStyle w:val="a5"/>
                  <w:rFonts w:ascii="Times New Roman" w:eastAsia="新細明體" w:hAnsi="Times New Roman"/>
                </w:rPr>
                <w:t>九十</w:t>
              </w:r>
            </w:hyperlink>
            <w:r w:rsidR="009A2820" w:rsidRPr="00DE63F7">
              <w:t>條</w:t>
            </w:r>
            <w:r w:rsidRPr="00A53581">
              <w:t>、第一百條及增修條</w:t>
            </w:r>
            <w:r w:rsidR="00143B2D" w:rsidRPr="00191266">
              <w:t>文</w:t>
            </w:r>
            <w:hyperlink r:id="rId699" w:anchor="b7" w:history="1">
              <w:r w:rsidR="00143B2D" w:rsidRPr="00143B2D">
                <w:rPr>
                  <w:rStyle w:val="a5"/>
                  <w:rFonts w:ascii="Times New Roman" w:eastAsia="新細明體" w:hAnsi="Times New Roman"/>
                </w:rPr>
                <w:t>第七條</w:t>
              </w:r>
            </w:hyperlink>
            <w:r w:rsidRPr="00A53581">
              <w:t>第一項有關規定。」</w:t>
            </w:r>
          </w:p>
        </w:tc>
      </w:tr>
      <w:tr w:rsidR="00203F72" w:rsidRPr="00A53581" w14:paraId="64C2AC05" w14:textId="77777777" w:rsidTr="0004558E">
        <w:tc>
          <w:tcPr>
            <w:tcW w:w="670" w:type="pct"/>
            <w:shd w:val="clear" w:color="auto" w:fill="auto"/>
          </w:tcPr>
          <w:p w14:paraId="21A019ED" w14:textId="77777777" w:rsidR="00203F72" w:rsidRPr="00A53581" w:rsidRDefault="00203F72" w:rsidP="00D87D91">
            <w:r w:rsidRPr="00A53581">
              <w:t>對總統、副總統之罷免案</w:t>
            </w:r>
          </w:p>
        </w:tc>
        <w:tc>
          <w:tcPr>
            <w:tcW w:w="4330" w:type="pct"/>
            <w:shd w:val="clear" w:color="auto" w:fill="auto"/>
          </w:tcPr>
          <w:p w14:paraId="160F51D2" w14:textId="77777777" w:rsidR="00203F72" w:rsidRPr="00A53581" w:rsidRDefault="00203F72" w:rsidP="00D87D91">
            <w:r w:rsidRPr="00A53581">
              <w:t>憲法增修條</w:t>
            </w:r>
            <w:hyperlink r:id="rId700" w:anchor="b2" w:history="1">
              <w:r w:rsidRPr="008B1C88">
                <w:rPr>
                  <w:rStyle w:val="a5"/>
                  <w:rFonts w:eastAsia="新細明體"/>
                </w:rPr>
                <w:t>文§2</w:t>
              </w:r>
            </w:hyperlink>
            <w:r w:rsidRPr="00A53581">
              <w:t>IX</w:t>
            </w:r>
            <w:r w:rsidRPr="00A53581">
              <w:t>：「總統、副總統之罷免案，須經全體立法委員四分之一之提議，全體立法委員三分之二之同意後提出，並經中華民國自由地區選舉人總額為半數之投票，有效票過半數同意罷免時，即為通過。」</w:t>
            </w:r>
          </w:p>
        </w:tc>
      </w:tr>
      <w:tr w:rsidR="00203F72" w:rsidRPr="00A53581" w14:paraId="3E7BDB8A" w14:textId="77777777" w:rsidTr="0004558E">
        <w:tc>
          <w:tcPr>
            <w:tcW w:w="670" w:type="pct"/>
            <w:shd w:val="clear" w:color="auto" w:fill="auto"/>
          </w:tcPr>
          <w:p w14:paraId="1B4E27A4" w14:textId="77777777" w:rsidR="00203F72" w:rsidRPr="00A53581" w:rsidRDefault="00203F72" w:rsidP="00D87D91">
            <w:r w:rsidRPr="00A53581">
              <w:t>領土變更之提案權</w:t>
            </w:r>
          </w:p>
        </w:tc>
        <w:tc>
          <w:tcPr>
            <w:tcW w:w="4330" w:type="pct"/>
            <w:shd w:val="clear" w:color="auto" w:fill="auto"/>
          </w:tcPr>
          <w:p w14:paraId="205380AB" w14:textId="77777777" w:rsidR="00203F72" w:rsidRPr="00A53581" w:rsidRDefault="00203F72" w:rsidP="00D87D91">
            <w:r w:rsidRPr="00A53581">
              <w:t>憲法增修</w:t>
            </w:r>
            <w:r w:rsidR="0004558E" w:rsidRPr="00A53581">
              <w:rPr>
                <w:rFonts w:hint="eastAsia"/>
              </w:rPr>
              <w:t>條</w:t>
            </w:r>
            <w:hyperlink r:id="rId701" w:anchor="b4" w:history="1">
              <w:r w:rsidR="0004558E" w:rsidRPr="0004558E">
                <w:rPr>
                  <w:rStyle w:val="a5"/>
                  <w:rFonts w:eastAsia="新細明體" w:hint="eastAsia"/>
                </w:rPr>
                <w:t>文§</w:t>
              </w:r>
              <w:r w:rsidR="0004558E" w:rsidRPr="0004558E">
                <w:rPr>
                  <w:rStyle w:val="a5"/>
                  <w:rFonts w:eastAsia="新細明體"/>
                </w:rPr>
                <w:t>4</w:t>
              </w:r>
            </w:hyperlink>
            <w:r w:rsidRPr="00A53581">
              <w:t>V</w:t>
            </w:r>
            <w:r w:rsidRPr="00A53581">
              <w:t>：「中華民國領士，依其固有彊域，非經全體立法委員四分之一之提議，全體立法委員四之三之出席，及出席委員四分之三之決議，提出領土變更案，並於公告半年後，經中華民國自由地區選舉人投票複決，有效同意票過選舉人總額之半數，不得變更之。」</w:t>
            </w:r>
          </w:p>
        </w:tc>
      </w:tr>
      <w:tr w:rsidR="00203F72" w:rsidRPr="00A53581" w14:paraId="3C9C1B15" w14:textId="77777777" w:rsidTr="0004558E">
        <w:tc>
          <w:tcPr>
            <w:tcW w:w="670" w:type="pct"/>
            <w:shd w:val="clear" w:color="auto" w:fill="auto"/>
          </w:tcPr>
          <w:p w14:paraId="30A2188C" w14:textId="77777777" w:rsidR="00203F72" w:rsidRPr="00A53581" w:rsidRDefault="00203F72" w:rsidP="00D87D91">
            <w:r w:rsidRPr="00A53581">
              <w:t>聽取總統之國情報告</w:t>
            </w:r>
          </w:p>
        </w:tc>
        <w:tc>
          <w:tcPr>
            <w:tcW w:w="4330" w:type="pct"/>
            <w:shd w:val="clear" w:color="auto" w:fill="auto"/>
          </w:tcPr>
          <w:p w14:paraId="55947D69" w14:textId="77777777" w:rsidR="00203F72" w:rsidRPr="00A53581" w:rsidRDefault="00203F72" w:rsidP="00D87D91">
            <w:r w:rsidRPr="00A53581">
              <w:t>憲法增修</w:t>
            </w:r>
            <w:r w:rsidR="0004558E" w:rsidRPr="00A53581">
              <w:rPr>
                <w:rFonts w:hint="eastAsia"/>
              </w:rPr>
              <w:t>條</w:t>
            </w:r>
            <w:hyperlink r:id="rId702" w:anchor="b4" w:history="1">
              <w:r w:rsidR="0004558E" w:rsidRPr="0004558E">
                <w:rPr>
                  <w:rStyle w:val="a5"/>
                  <w:rFonts w:eastAsia="新細明體" w:hint="eastAsia"/>
                </w:rPr>
                <w:t>文§</w:t>
              </w:r>
              <w:r w:rsidR="0004558E" w:rsidRPr="0004558E">
                <w:rPr>
                  <w:rStyle w:val="a5"/>
                  <w:rFonts w:eastAsia="新細明體"/>
                </w:rPr>
                <w:t>4</w:t>
              </w:r>
            </w:hyperlink>
            <w:r w:rsidRPr="00A53581">
              <w:t>III</w:t>
            </w:r>
            <w:r w:rsidRPr="00A53581">
              <w:t>：「立法院於每年集會時，得聽取總統國情報告。」</w:t>
            </w:r>
          </w:p>
        </w:tc>
      </w:tr>
      <w:tr w:rsidR="00203F72" w:rsidRPr="00A53581" w14:paraId="32EB928F" w14:textId="77777777" w:rsidTr="0004558E">
        <w:tc>
          <w:tcPr>
            <w:tcW w:w="670" w:type="pct"/>
            <w:shd w:val="clear" w:color="auto" w:fill="auto"/>
          </w:tcPr>
          <w:p w14:paraId="4BC7CAB9" w14:textId="77777777" w:rsidR="00203F72" w:rsidRPr="00A53581" w:rsidRDefault="00203F72" w:rsidP="00D87D91">
            <w:r w:rsidRPr="00A53581">
              <w:t>補選副總統</w:t>
            </w:r>
          </w:p>
        </w:tc>
        <w:tc>
          <w:tcPr>
            <w:tcW w:w="4330" w:type="pct"/>
            <w:shd w:val="clear" w:color="auto" w:fill="auto"/>
          </w:tcPr>
          <w:p w14:paraId="4AB8E9BB" w14:textId="77777777" w:rsidR="00203F72" w:rsidRPr="00A53581" w:rsidRDefault="00203F72" w:rsidP="00D87D91">
            <w:r w:rsidRPr="00A53581">
              <w:t>憲法增修</w:t>
            </w:r>
            <w:r w:rsidR="008B1C88" w:rsidRPr="00A53581">
              <w:t>條</w:t>
            </w:r>
            <w:hyperlink r:id="rId703" w:anchor="b2" w:history="1">
              <w:r w:rsidR="008B1C88" w:rsidRPr="008B1C88">
                <w:rPr>
                  <w:rStyle w:val="a5"/>
                  <w:rFonts w:eastAsia="新細明體"/>
                </w:rPr>
                <w:t>文§2</w:t>
              </w:r>
            </w:hyperlink>
            <w:r w:rsidRPr="00A53581">
              <w:t>VII</w:t>
            </w:r>
            <w:r w:rsidRPr="00A53581">
              <w:t>：「副總統缺位時，總統應於三個月內提名候選人，由立法院補選，繼任至原任期屆滿為止。」</w:t>
            </w:r>
          </w:p>
        </w:tc>
      </w:tr>
      <w:tr w:rsidR="00203F72" w:rsidRPr="00A53581" w14:paraId="6A8D28C6" w14:textId="77777777" w:rsidTr="0004558E">
        <w:tc>
          <w:tcPr>
            <w:tcW w:w="670" w:type="pct"/>
            <w:shd w:val="clear" w:color="auto" w:fill="auto"/>
          </w:tcPr>
          <w:p w14:paraId="126259CF" w14:textId="77777777" w:rsidR="00203F72" w:rsidRPr="00A53581" w:rsidRDefault="00203F72" w:rsidP="00D87D91">
            <w:r w:rsidRPr="00A53581">
              <w:t>調查權</w:t>
            </w:r>
          </w:p>
        </w:tc>
        <w:tc>
          <w:tcPr>
            <w:tcW w:w="4330" w:type="pct"/>
            <w:shd w:val="clear" w:color="auto" w:fill="auto"/>
          </w:tcPr>
          <w:p w14:paraId="621C1637" w14:textId="77777777" w:rsidR="00203F72" w:rsidRPr="00A53581" w:rsidRDefault="00203F72" w:rsidP="00D87D91">
            <w:r w:rsidRPr="00A53581">
              <w:t>釋字</w:t>
            </w:r>
            <w:hyperlink r:id="rId704" w:anchor="r585" w:history="1">
              <w:r w:rsidRPr="004E5F2E">
                <w:rPr>
                  <w:rStyle w:val="a5"/>
                  <w:rFonts w:eastAsia="新細明體"/>
                </w:rPr>
                <w:t>第585號</w:t>
              </w:r>
            </w:hyperlink>
            <w:r w:rsidRPr="00A53581">
              <w:t>解釋</w:t>
            </w:r>
          </w:p>
        </w:tc>
      </w:tr>
    </w:tbl>
    <w:p w14:paraId="44622A3E" w14:textId="77777777" w:rsidR="00203F72" w:rsidRPr="00482FC4" w:rsidRDefault="002107CE" w:rsidP="00D87D91">
      <w:r w:rsidRPr="00482FC4">
        <w:t>【本表格資料來源】</w:t>
      </w:r>
      <w:r w:rsidR="00203F72" w:rsidRPr="00482FC4">
        <w:t>楊智傑</w:t>
      </w:r>
      <w:r w:rsidR="00203F72" w:rsidRPr="00482FC4">
        <w:t>(2010)</w:t>
      </w:r>
      <w:r w:rsidR="00203F72" w:rsidRPr="00482FC4">
        <w:t>，圖解憲法，二版</w:t>
      </w:r>
      <w:r w:rsidR="00203F72" w:rsidRPr="00482FC4">
        <w:t>1</w:t>
      </w:r>
      <w:r w:rsidR="00203F72" w:rsidRPr="00482FC4">
        <w:t>刷，台北市：書泉出版社，第</w:t>
      </w:r>
      <w:r w:rsidR="00203F72" w:rsidRPr="00482FC4">
        <w:t>101</w:t>
      </w:r>
      <w:r w:rsidR="00203F72" w:rsidRPr="00482FC4">
        <w:t>頁。</w:t>
      </w:r>
    </w:p>
    <w:p w14:paraId="04FB5F19" w14:textId="77777777" w:rsidR="00953151" w:rsidRPr="00482FC4" w:rsidRDefault="007F7377" w:rsidP="00D87D91">
      <w:r w:rsidRPr="00482FC4">
        <w:t>【備註】</w:t>
      </w:r>
      <w:r w:rsidR="00203F72" w:rsidRPr="00482FC4">
        <w:t>羅馬數字之意義，</w:t>
      </w:r>
      <w:r w:rsidR="00203F72" w:rsidRPr="00482FC4">
        <w:t>I</w:t>
      </w:r>
      <w:r w:rsidR="00203F72" w:rsidRPr="00482FC4">
        <w:rPr>
          <w:rFonts w:hint="eastAsia"/>
        </w:rPr>
        <w:t>-1</w:t>
      </w:r>
      <w:r w:rsidR="00203F72" w:rsidRPr="00482FC4">
        <w:rPr>
          <w:rFonts w:hint="eastAsia"/>
        </w:rPr>
        <w:t>；</w:t>
      </w:r>
      <w:r w:rsidR="00203F72" w:rsidRPr="00482FC4">
        <w:t>II</w:t>
      </w:r>
      <w:r w:rsidR="00203F72" w:rsidRPr="00482FC4">
        <w:rPr>
          <w:rFonts w:hint="eastAsia"/>
        </w:rPr>
        <w:t>-</w:t>
      </w:r>
      <w:r w:rsidR="00203F72" w:rsidRPr="00482FC4">
        <w:t>2</w:t>
      </w:r>
      <w:r w:rsidR="00203F72" w:rsidRPr="00482FC4">
        <w:t>；</w:t>
      </w:r>
      <w:r w:rsidR="00203F72" w:rsidRPr="00482FC4">
        <w:t>III</w:t>
      </w:r>
      <w:r w:rsidR="00203F72" w:rsidRPr="00482FC4">
        <w:rPr>
          <w:rFonts w:hint="eastAsia"/>
        </w:rPr>
        <w:t>-</w:t>
      </w:r>
      <w:r w:rsidR="00203F72" w:rsidRPr="00482FC4">
        <w:t>3</w:t>
      </w:r>
      <w:r w:rsidR="00203F72" w:rsidRPr="00482FC4">
        <w:t>；</w:t>
      </w:r>
      <w:r w:rsidR="00203F72" w:rsidRPr="00482FC4">
        <w:t>IV</w:t>
      </w:r>
      <w:r w:rsidR="00203F72" w:rsidRPr="00482FC4">
        <w:rPr>
          <w:rFonts w:hint="eastAsia"/>
        </w:rPr>
        <w:t>-</w:t>
      </w:r>
      <w:r w:rsidR="00203F72" w:rsidRPr="00482FC4">
        <w:t>4</w:t>
      </w:r>
      <w:r w:rsidR="00203F72" w:rsidRPr="00482FC4">
        <w:t>；</w:t>
      </w:r>
      <w:r w:rsidR="00203F72" w:rsidRPr="00482FC4">
        <w:t>V</w:t>
      </w:r>
      <w:r w:rsidR="00203F72" w:rsidRPr="00482FC4">
        <w:rPr>
          <w:rFonts w:hint="eastAsia"/>
        </w:rPr>
        <w:t>-</w:t>
      </w:r>
      <w:r w:rsidR="00203F72" w:rsidRPr="00482FC4">
        <w:t>5</w:t>
      </w:r>
      <w:r w:rsidR="00203F72" w:rsidRPr="00482FC4">
        <w:t>；</w:t>
      </w:r>
      <w:r w:rsidR="00203F72" w:rsidRPr="00482FC4">
        <w:t>VI</w:t>
      </w:r>
      <w:r w:rsidR="00203F72" w:rsidRPr="00482FC4">
        <w:rPr>
          <w:rFonts w:hint="eastAsia"/>
        </w:rPr>
        <w:t>-6</w:t>
      </w:r>
      <w:r w:rsidR="00203F72" w:rsidRPr="00482FC4">
        <w:rPr>
          <w:rFonts w:hint="eastAsia"/>
        </w:rPr>
        <w:t>；</w:t>
      </w:r>
      <w:r w:rsidR="00203F72" w:rsidRPr="00482FC4">
        <w:t>VII</w:t>
      </w:r>
      <w:r w:rsidR="00203F72" w:rsidRPr="00482FC4">
        <w:rPr>
          <w:rFonts w:hint="eastAsia"/>
        </w:rPr>
        <w:t>-</w:t>
      </w:r>
      <w:r w:rsidR="00203F72" w:rsidRPr="00482FC4">
        <w:t>7</w:t>
      </w:r>
      <w:r w:rsidR="00203F72" w:rsidRPr="00482FC4">
        <w:t>；</w:t>
      </w:r>
      <w:r w:rsidR="00203F72" w:rsidRPr="00482FC4">
        <w:t>VIII</w:t>
      </w:r>
      <w:r w:rsidR="00203F72" w:rsidRPr="00482FC4">
        <w:rPr>
          <w:rFonts w:hint="eastAsia"/>
        </w:rPr>
        <w:t>-</w:t>
      </w:r>
      <w:r w:rsidR="00203F72" w:rsidRPr="00482FC4">
        <w:t>8</w:t>
      </w:r>
      <w:r w:rsidR="00203F72" w:rsidRPr="00482FC4">
        <w:t>；</w:t>
      </w:r>
      <w:r w:rsidR="00203F72" w:rsidRPr="00482FC4">
        <w:t>IX</w:t>
      </w:r>
      <w:r w:rsidR="00203F72" w:rsidRPr="00482FC4">
        <w:rPr>
          <w:rFonts w:hint="eastAsia"/>
        </w:rPr>
        <w:t>-</w:t>
      </w:r>
      <w:r w:rsidR="00203F72" w:rsidRPr="00482FC4">
        <w:t>9</w:t>
      </w:r>
      <w:r w:rsidR="00203F72" w:rsidRPr="00482FC4">
        <w:t>；</w:t>
      </w:r>
      <w:r w:rsidR="00203F72" w:rsidRPr="00482FC4">
        <w:t>X</w:t>
      </w:r>
      <w:r w:rsidR="00203F72" w:rsidRPr="00482FC4">
        <w:rPr>
          <w:rFonts w:hint="eastAsia"/>
        </w:rPr>
        <w:t>-10</w:t>
      </w:r>
      <w:r w:rsidR="00203F72" w:rsidRPr="00482FC4">
        <w:rPr>
          <w:rFonts w:hint="eastAsia"/>
        </w:rPr>
        <w:t>。</w:t>
      </w:r>
    </w:p>
    <w:p w14:paraId="3A7BFC01" w14:textId="77777777" w:rsidR="00203F72" w:rsidRPr="00482FC4" w:rsidRDefault="00145751" w:rsidP="00D87D91">
      <w:r w:rsidRPr="00482FC4">
        <w:t xml:space="preserve">　　</w:t>
      </w:r>
      <w:r w:rsidR="00203F72" w:rsidRPr="00482FC4">
        <w:t>就目前而論，立法院於議決法律案、預算案、戒嚴案、大赦案、宣戰案、媾和案、條約案及國家其他重要事項之過程中，根據余小雲教授之研究，它遭遇以下若干之嚴重問題</w:t>
      </w:r>
      <w:r w:rsidR="00203F72" w:rsidRPr="00482FC4">
        <w:footnoteReference w:id="72"/>
      </w:r>
      <w:r w:rsidR="00203F72" w:rsidRPr="00482FC4">
        <w:t>：</w:t>
      </w:r>
    </w:p>
    <w:p w14:paraId="417F7580" w14:textId="77777777" w:rsidR="00203F72" w:rsidRPr="00482FC4" w:rsidRDefault="007F7377" w:rsidP="00D87D91">
      <w:r w:rsidRPr="00482FC4">
        <w:t xml:space="preserve">　　</w:t>
      </w:r>
      <w:r w:rsidR="00203F72" w:rsidRPr="00482FC4">
        <w:t>1</w:t>
      </w:r>
      <w:r w:rsidR="00203F72" w:rsidRPr="00482FC4">
        <w:t>、立法院密室協商之國會政治機制，廣受台灣民眾之批評；</w:t>
      </w:r>
    </w:p>
    <w:p w14:paraId="51CB7FBF" w14:textId="77777777" w:rsidR="00203F72" w:rsidRPr="00482FC4" w:rsidRDefault="007F7377" w:rsidP="00D87D91">
      <w:r w:rsidRPr="00482FC4">
        <w:t xml:space="preserve">　　</w:t>
      </w:r>
      <w:r w:rsidR="00203F72" w:rsidRPr="00482FC4">
        <w:t>2</w:t>
      </w:r>
      <w:r w:rsidR="00203F72" w:rsidRPr="00482FC4">
        <w:t>、依《立法院組織法》</w:t>
      </w:r>
      <w:hyperlink r:id="rId705" w:anchor="a33" w:history="1">
        <w:r w:rsidR="00203F72" w:rsidRPr="004E5F2E">
          <w:rPr>
            <w:rStyle w:val="a5"/>
            <w:rFonts w:ascii="Times New Roman" w:eastAsia="新細明體" w:hAnsi="Times New Roman"/>
          </w:rPr>
          <w:t>第</w:t>
        </w:r>
        <w:r w:rsidR="00203F72" w:rsidRPr="004E5F2E">
          <w:rPr>
            <w:rStyle w:val="a5"/>
            <w:rFonts w:ascii="Times New Roman" w:eastAsia="新細明體" w:hAnsi="Times New Roman"/>
          </w:rPr>
          <w:t>33</w:t>
        </w:r>
        <w:r w:rsidR="00203F72" w:rsidRPr="004E5F2E">
          <w:rPr>
            <w:rStyle w:val="a5"/>
            <w:rFonts w:ascii="Times New Roman" w:eastAsia="新細明體" w:hAnsi="Times New Roman"/>
          </w:rPr>
          <w:t>條</w:t>
        </w:r>
      </w:hyperlink>
      <w:r w:rsidR="00203F72" w:rsidRPr="00482FC4">
        <w:footnoteReference w:id="73"/>
      </w:r>
      <w:r w:rsidR="00203F72" w:rsidRPr="00482FC4">
        <w:t>之要求，目前</w:t>
      </w:r>
      <w:r w:rsidR="00203F72" w:rsidRPr="00482FC4">
        <w:t>3</w:t>
      </w:r>
      <w:r w:rsidR="00203F72" w:rsidRPr="00482FC4">
        <w:t>人即可組成黨團，</w:t>
      </w:r>
      <w:r w:rsidR="00203F72" w:rsidRPr="00482FC4">
        <w:t>3</w:t>
      </w:r>
      <w:r w:rsidR="00203F72" w:rsidRPr="00482FC4">
        <w:t>人門檻過低；</w:t>
      </w:r>
    </w:p>
    <w:p w14:paraId="06F0B0D6" w14:textId="77777777" w:rsidR="00203F72" w:rsidRPr="00482FC4" w:rsidRDefault="007F7377" w:rsidP="00D87D91">
      <w:r w:rsidRPr="00482FC4">
        <w:t xml:space="preserve">　　</w:t>
      </w:r>
      <w:r w:rsidR="00203F72" w:rsidRPr="00482FC4">
        <w:t>3</w:t>
      </w:r>
      <w:r w:rsidR="00203F72" w:rsidRPr="00482FC4">
        <w:t>、依《立法院職權行使法》</w:t>
      </w:r>
      <w:hyperlink r:id="rId706" w:anchor="a70"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70</w:t>
        </w:r>
        <w:r w:rsidR="00203F72" w:rsidRPr="001F6A1B">
          <w:rPr>
            <w:rStyle w:val="a5"/>
            <w:rFonts w:ascii="Times New Roman" w:eastAsia="新細明體" w:hAnsi="Times New Roman"/>
          </w:rPr>
          <w:t>條</w:t>
        </w:r>
      </w:hyperlink>
      <w:r w:rsidR="00203F72" w:rsidRPr="00482FC4">
        <w:footnoteReference w:id="74"/>
      </w:r>
      <w:r w:rsidR="00203F72" w:rsidRPr="00482FC4">
        <w:t>之規定，已令立法院少數意見極大化，少數立委之意見業已無限上綱，違反民主政治之精神與原則；</w:t>
      </w:r>
    </w:p>
    <w:p w14:paraId="5ABCAB2D" w14:textId="77777777" w:rsidR="00203F72" w:rsidRPr="00482FC4" w:rsidRDefault="007F7377" w:rsidP="00D87D91">
      <w:r w:rsidRPr="00482FC4">
        <w:t xml:space="preserve">　　</w:t>
      </w:r>
      <w:r w:rsidR="00203F72" w:rsidRPr="00482FC4">
        <w:t>4</w:t>
      </w:r>
      <w:r w:rsidR="00203F72" w:rsidRPr="00482FC4">
        <w:t>、國會常因過於尊重少數而討好小黨，使小黨團林立；</w:t>
      </w:r>
    </w:p>
    <w:p w14:paraId="12FFC859" w14:textId="77777777" w:rsidR="00203F72" w:rsidRPr="00482FC4" w:rsidRDefault="007F7377" w:rsidP="00D87D91">
      <w:r w:rsidRPr="00482FC4">
        <w:t xml:space="preserve">　　</w:t>
      </w:r>
      <w:r w:rsidR="00203F72" w:rsidRPr="00482FC4">
        <w:t>5</w:t>
      </w:r>
      <w:r w:rsidR="00203F72" w:rsidRPr="00482FC4">
        <w:t>、依《立法院職權行使法》</w:t>
      </w:r>
      <w:hyperlink r:id="rId707" w:anchor="a68"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68</w:t>
        </w:r>
        <w:r w:rsidR="00203F72" w:rsidRPr="001F6A1B">
          <w:rPr>
            <w:rStyle w:val="a5"/>
            <w:rFonts w:ascii="Times New Roman" w:eastAsia="新細明體" w:hAnsi="Times New Roman"/>
          </w:rPr>
          <w:t>條</w:t>
        </w:r>
      </w:hyperlink>
      <w:r w:rsidR="00203F72" w:rsidRPr="00482FC4">
        <w:footnoteReference w:id="75"/>
      </w:r>
      <w:r w:rsidR="00203F72" w:rsidRPr="00482FC4">
        <w:t>之規定，不到十分之一之國會委員人數，即可要求將議案交由黨團協商，門檻過低；</w:t>
      </w:r>
    </w:p>
    <w:p w14:paraId="79B5C07E" w14:textId="77777777" w:rsidR="00203F72" w:rsidRPr="00482FC4" w:rsidRDefault="007F7377" w:rsidP="00D87D91">
      <w:r w:rsidRPr="00482FC4">
        <w:t xml:space="preserve">　　</w:t>
      </w:r>
      <w:r w:rsidR="00203F72" w:rsidRPr="00482FC4">
        <w:t>6</w:t>
      </w:r>
      <w:r w:rsidR="00203F72" w:rsidRPr="00482FC4">
        <w:t>、依《立法院職權行使法</w:t>
      </w:r>
      <w:r w:rsidR="001F6A1B" w:rsidRPr="00482FC4">
        <w:t>》</w:t>
      </w:r>
      <w:hyperlink r:id="rId708" w:anchor="a70" w:history="1">
        <w:r w:rsidR="001F6A1B" w:rsidRPr="001F6A1B">
          <w:rPr>
            <w:rStyle w:val="a5"/>
            <w:rFonts w:ascii="Times New Roman" w:eastAsia="新細明體" w:hAnsi="Times New Roman"/>
          </w:rPr>
          <w:t>第</w:t>
        </w:r>
        <w:r w:rsidR="001F6A1B" w:rsidRPr="001F6A1B">
          <w:rPr>
            <w:rStyle w:val="a5"/>
            <w:rFonts w:ascii="Times New Roman" w:eastAsia="新細明體" w:hAnsi="Times New Roman"/>
          </w:rPr>
          <w:t>70</w:t>
        </w:r>
        <w:r w:rsidR="001F6A1B" w:rsidRPr="001F6A1B">
          <w:rPr>
            <w:rStyle w:val="a5"/>
            <w:rFonts w:ascii="Times New Roman" w:eastAsia="新細明體" w:hAnsi="Times New Roman"/>
          </w:rPr>
          <w:t>條</w:t>
        </w:r>
      </w:hyperlink>
      <w:r w:rsidR="00203F72" w:rsidRPr="00482FC4">
        <w:t>之要求，議案進行協商應全程錄影、錄音與紀錄，但立法院議長從未要求落實；</w:t>
      </w:r>
    </w:p>
    <w:p w14:paraId="4CA68A86" w14:textId="77777777" w:rsidR="00203F72" w:rsidRPr="00482FC4" w:rsidRDefault="007F7377" w:rsidP="00D87D91">
      <w:r w:rsidRPr="00482FC4">
        <w:t xml:space="preserve">　　</w:t>
      </w:r>
      <w:r w:rsidR="00203F72" w:rsidRPr="00482FC4">
        <w:t>7</w:t>
      </w:r>
      <w:r w:rsidR="00203F72" w:rsidRPr="00482FC4">
        <w:t>、立法院未訂立定期表決制度，致使相關法案經過一定協商後，仍無法交付表決；</w:t>
      </w:r>
    </w:p>
    <w:p w14:paraId="2C1D0E1F" w14:textId="77777777" w:rsidR="00953151" w:rsidRDefault="007F7377" w:rsidP="00D87D91">
      <w:r w:rsidRPr="00482FC4">
        <w:t xml:space="preserve">　　</w:t>
      </w:r>
      <w:r w:rsidR="00203F72" w:rsidRPr="00482FC4">
        <w:t>8</w:t>
      </w:r>
      <w:r w:rsidR="00203F72" w:rsidRPr="00482FC4">
        <w:t>、《立法院組織法》</w:t>
      </w:r>
      <w:hyperlink r:id="rId709" w:anchor="a13" w:history="1">
        <w:r w:rsidR="00203F72" w:rsidRPr="004E5F2E">
          <w:rPr>
            <w:rStyle w:val="a5"/>
            <w:rFonts w:ascii="Times New Roman" w:eastAsia="新細明體" w:hAnsi="Times New Roman"/>
          </w:rPr>
          <w:t>第</w:t>
        </w:r>
        <w:r w:rsidR="00203F72" w:rsidRPr="004E5F2E">
          <w:rPr>
            <w:rStyle w:val="a5"/>
            <w:rFonts w:ascii="Times New Roman" w:eastAsia="新細明體" w:hAnsi="Times New Roman"/>
          </w:rPr>
          <w:t>13</w:t>
        </w:r>
        <w:r w:rsidR="00203F72" w:rsidRPr="004E5F2E">
          <w:rPr>
            <w:rStyle w:val="a5"/>
            <w:rFonts w:ascii="Times New Roman" w:eastAsia="新細明體" w:hAnsi="Times New Roman"/>
          </w:rPr>
          <w:t>條</w:t>
        </w:r>
      </w:hyperlink>
      <w:r w:rsidR="00203F72" w:rsidRPr="00482FC4">
        <w:t>係規範院長、副院長之任期及職掌</w:t>
      </w:r>
      <w:r w:rsidR="00203F72" w:rsidRPr="00482FC4">
        <w:footnoteReference w:id="76"/>
      </w:r>
      <w:r w:rsidR="00203F72" w:rsidRPr="00482FC4">
        <w:t>，但對院長之下臺機制無明確規範，已令議長之權力過大，難以監控。</w:t>
      </w:r>
    </w:p>
    <w:p w14:paraId="71B39420" w14:textId="77777777" w:rsidR="000B35D7" w:rsidRPr="00482FC4" w:rsidRDefault="000B35D7" w:rsidP="00D87D91"/>
    <w:p w14:paraId="114679CD" w14:textId="51DE0B27" w:rsidR="00203F72" w:rsidRPr="00482FC4" w:rsidRDefault="00B03E84" w:rsidP="00D87D91">
      <w:r w:rsidRPr="00482FC4">
        <w:t>【</w:t>
      </w:r>
      <w:r w:rsidRPr="00482FC4">
        <w:t>table</w:t>
      </w:r>
      <w:r w:rsidR="005E23E3" w:rsidRPr="00482FC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43</w:t>
      </w:r>
      <w:r w:rsidR="00076467">
        <w:rPr>
          <w:noProof/>
        </w:rPr>
        <w:fldChar w:fldCharType="end"/>
      </w:r>
      <w:r w:rsidR="00203F72" w:rsidRPr="00482FC4">
        <w:rPr>
          <w:rFonts w:hint="eastAsia"/>
        </w:rPr>
        <w:t>立法院對於法律案審查之流程與機制</w:t>
      </w:r>
    </w:p>
    <w:tbl>
      <w:tblPr>
        <w:tblW w:w="864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237"/>
      </w:tblGrid>
      <w:tr w:rsidR="00203F72" w:rsidRPr="00482FC4" w14:paraId="6D49F904" w14:textId="77777777" w:rsidTr="00D33D5A">
        <w:trPr>
          <w:tblHeader/>
        </w:trPr>
        <w:tc>
          <w:tcPr>
            <w:tcW w:w="2410" w:type="dxa"/>
            <w:tcBorders>
              <w:top w:val="single" w:sz="4" w:space="0" w:color="auto"/>
              <w:left w:val="single" w:sz="4" w:space="0" w:color="auto"/>
              <w:bottom w:val="single" w:sz="4" w:space="0" w:color="auto"/>
              <w:right w:val="single" w:sz="4" w:space="0" w:color="auto"/>
            </w:tcBorders>
            <w:shd w:val="clear" w:color="auto" w:fill="FAF0FA"/>
          </w:tcPr>
          <w:p w14:paraId="57BB6FC8" w14:textId="77777777" w:rsidR="00203F72" w:rsidRPr="00482FC4" w:rsidRDefault="00203F72" w:rsidP="00D87D91">
            <w:r w:rsidRPr="00482FC4">
              <w:rPr>
                <w:rFonts w:hint="eastAsia"/>
              </w:rPr>
              <w:t>法律案審查之流程</w:t>
            </w:r>
          </w:p>
        </w:tc>
        <w:tc>
          <w:tcPr>
            <w:tcW w:w="6237" w:type="dxa"/>
            <w:tcBorders>
              <w:top w:val="single" w:sz="4" w:space="0" w:color="auto"/>
              <w:left w:val="single" w:sz="4" w:space="0" w:color="auto"/>
              <w:bottom w:val="single" w:sz="4" w:space="0" w:color="auto"/>
              <w:right w:val="single" w:sz="4" w:space="0" w:color="auto"/>
            </w:tcBorders>
            <w:shd w:val="clear" w:color="auto" w:fill="FAF0FA"/>
          </w:tcPr>
          <w:p w14:paraId="4CBC4258" w14:textId="77777777" w:rsidR="00203F72" w:rsidRPr="00482FC4" w:rsidRDefault="00203F72" w:rsidP="00D87D91">
            <w:r w:rsidRPr="00482FC4">
              <w:rPr>
                <w:rFonts w:hint="eastAsia"/>
              </w:rPr>
              <w:t>立法院對於法律案審查之機制</w:t>
            </w:r>
          </w:p>
        </w:tc>
      </w:tr>
      <w:tr w:rsidR="00203F72" w:rsidRPr="00482FC4" w14:paraId="0CBD6258" w14:textId="77777777" w:rsidTr="00D33D5A">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49E3007E" w14:textId="77777777" w:rsidR="00203F72" w:rsidRPr="000825DC" w:rsidRDefault="00203F72" w:rsidP="00D87D91">
            <w:r w:rsidRPr="000825DC">
              <w:rPr>
                <w:rFonts w:hint="eastAsia"/>
              </w:rPr>
              <w:t>一讀會</w:t>
            </w:r>
          </w:p>
          <w:p w14:paraId="2496CD4C" w14:textId="77777777" w:rsidR="00203F72" w:rsidRPr="000825DC" w:rsidRDefault="00203F72" w:rsidP="00D87D91">
            <w:r w:rsidRPr="000825DC">
              <w:t>(</w:t>
            </w:r>
            <w:r w:rsidRPr="000825DC">
              <w:rPr>
                <w:rFonts w:hint="eastAsia"/>
              </w:rPr>
              <w:t>立職法</w:t>
            </w:r>
            <w:hyperlink r:id="rId710" w:anchor="a8" w:history="1">
              <w:r w:rsidRPr="00D33D5A">
                <w:rPr>
                  <w:rStyle w:val="a5"/>
                  <w:rFonts w:ascii="Times New Roman" w:eastAsia="新細明體" w:hAnsi="Times New Roman" w:hint="eastAsia"/>
                </w:rPr>
                <w:t>第</w:t>
              </w:r>
              <w:r w:rsidRPr="00D33D5A">
                <w:rPr>
                  <w:rStyle w:val="a5"/>
                  <w:rFonts w:ascii="Times New Roman" w:eastAsia="新細明體" w:hAnsi="Times New Roman"/>
                </w:rPr>
                <w:t>8</w:t>
              </w:r>
              <w:r w:rsidRPr="00D33D5A">
                <w:rPr>
                  <w:rStyle w:val="a5"/>
                  <w:rFonts w:ascii="Times New Roman" w:eastAsia="新細明體" w:hAnsi="Times New Roman" w:hint="eastAsia"/>
                </w:rPr>
                <w:t>條</w:t>
              </w:r>
            </w:hyperlink>
            <w:r w:rsidRPr="000825DC">
              <w:t>)</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14:paraId="484EA930" w14:textId="77777777" w:rsidR="00203F72" w:rsidRPr="00482FC4" w:rsidRDefault="00203F72" w:rsidP="00D87D91">
            <w:r w:rsidRPr="00482FC4">
              <w:rPr>
                <w:rFonts w:hint="eastAsia"/>
              </w:rPr>
              <w:t>標題宣讀→大體討論：議決交付審查或逕行二讀，或不予審議。</w:t>
            </w:r>
          </w:p>
        </w:tc>
      </w:tr>
      <w:tr w:rsidR="00203F72" w:rsidRPr="00482FC4" w14:paraId="42AD0F08" w14:textId="77777777" w:rsidTr="00D33D5A">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58727D85" w14:textId="77777777" w:rsidR="00203F72" w:rsidRPr="000825DC" w:rsidRDefault="00203F72" w:rsidP="00D87D91">
            <w:r w:rsidRPr="000825DC">
              <w:rPr>
                <w:rFonts w:hint="eastAsia"/>
              </w:rPr>
              <w:t>委員會審查</w:t>
            </w:r>
          </w:p>
          <w:p w14:paraId="3B462FF5" w14:textId="77777777" w:rsidR="00203F72" w:rsidRPr="000825DC" w:rsidRDefault="00203F72" w:rsidP="00D87D91">
            <w:r w:rsidRPr="000825DC">
              <w:t>(</w:t>
            </w:r>
            <w:r w:rsidRPr="000825DC">
              <w:rPr>
                <w:rFonts w:hint="eastAsia"/>
              </w:rPr>
              <w:t>立職</w:t>
            </w:r>
            <w:r w:rsidR="00D33D5A" w:rsidRPr="000825DC">
              <w:rPr>
                <w:rFonts w:hint="eastAsia"/>
              </w:rPr>
              <w:t>法</w:t>
            </w:r>
            <w:hyperlink r:id="rId711" w:anchor="a8" w:history="1">
              <w:r w:rsidR="00D33D5A" w:rsidRPr="00D33D5A">
                <w:rPr>
                  <w:rStyle w:val="a5"/>
                  <w:rFonts w:ascii="Times New Roman" w:eastAsia="新細明體" w:hAnsi="Times New Roman" w:hint="eastAsia"/>
                </w:rPr>
                <w:t>第</w:t>
              </w:r>
              <w:r w:rsidR="00D33D5A" w:rsidRPr="00D33D5A">
                <w:rPr>
                  <w:rStyle w:val="a5"/>
                  <w:rFonts w:ascii="Times New Roman" w:eastAsia="新細明體" w:hAnsi="Times New Roman"/>
                </w:rPr>
                <w:t>8</w:t>
              </w:r>
              <w:r w:rsidR="00D33D5A" w:rsidRPr="00D33D5A">
                <w:rPr>
                  <w:rStyle w:val="a5"/>
                  <w:rFonts w:ascii="Times New Roman" w:eastAsia="新細明體" w:hAnsi="Times New Roman" w:hint="eastAsia"/>
                </w:rPr>
                <w:t>條</w:t>
              </w:r>
            </w:hyperlink>
            <w:r w:rsidRPr="000825DC">
              <w:t>)</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14:paraId="0EAA9F47" w14:textId="77777777" w:rsidR="00203F72" w:rsidRPr="00482FC4" w:rsidRDefault="00203F72" w:rsidP="00D87D91">
            <w:r w:rsidRPr="00482FC4">
              <w:rPr>
                <w:rFonts w:hint="eastAsia"/>
              </w:rPr>
              <w:t>併案審查</w:t>
            </w:r>
            <w:r w:rsidRPr="00482FC4">
              <w:t>(</w:t>
            </w:r>
            <w:r w:rsidRPr="00482FC4">
              <w:rPr>
                <w:rFonts w:hint="eastAsia"/>
              </w:rPr>
              <w:t>詳細討論，決定一案</w:t>
            </w:r>
            <w:r w:rsidRPr="00482FC4">
              <w:t>)</w:t>
            </w:r>
            <w:r w:rsidRPr="00482FC4">
              <w:t>，</w:t>
            </w:r>
            <w:r w:rsidRPr="00482FC4">
              <w:rPr>
                <w:rFonts w:hint="eastAsia"/>
              </w:rPr>
              <w:t>或逕付二讀</w:t>
            </w:r>
            <w:r w:rsidRPr="00482FC4">
              <w:t>(</w:t>
            </w:r>
            <w:r w:rsidRPr="00482FC4">
              <w:rPr>
                <w:rFonts w:hint="eastAsia"/>
              </w:rPr>
              <w:t>出席委員提議，二十人以上連署或附議，經表決通過</w:t>
            </w:r>
            <w:r w:rsidRPr="00482FC4">
              <w:t>)</w:t>
            </w:r>
          </w:p>
        </w:tc>
      </w:tr>
      <w:tr w:rsidR="00203F72" w:rsidRPr="00482FC4" w14:paraId="361A52AE" w14:textId="77777777" w:rsidTr="00D33D5A">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04266E24" w14:textId="77777777" w:rsidR="00203F72" w:rsidRPr="000825DC" w:rsidRDefault="00203F72" w:rsidP="00D87D91">
            <w:r w:rsidRPr="000825DC">
              <w:rPr>
                <w:rFonts w:hint="eastAsia"/>
              </w:rPr>
              <w:t>二讀會</w:t>
            </w:r>
          </w:p>
          <w:p w14:paraId="515C1273" w14:textId="77777777" w:rsidR="00203F72" w:rsidRPr="000825DC" w:rsidRDefault="00203F72" w:rsidP="00D87D91">
            <w:r w:rsidRPr="000825DC">
              <w:t>(</w:t>
            </w:r>
            <w:r w:rsidRPr="000825DC">
              <w:rPr>
                <w:rFonts w:hint="eastAsia"/>
              </w:rPr>
              <w:t>立職</w:t>
            </w:r>
            <w:r w:rsidR="00410BD1" w:rsidRPr="000825DC">
              <w:t>法</w:t>
            </w:r>
            <w:hyperlink r:id="rId712" w:anchor="a9" w:history="1">
              <w:r w:rsidR="00410BD1" w:rsidRPr="000825DC">
                <w:rPr>
                  <w:rStyle w:val="a5"/>
                </w:rPr>
                <w:t>第9條</w:t>
              </w:r>
            </w:hyperlink>
            <w:r w:rsidRPr="000825DC">
              <w:rPr>
                <w:rFonts w:hint="eastAsia"/>
              </w:rPr>
              <w:t>、</w:t>
            </w:r>
            <w:hyperlink r:id="rId713" w:anchor="a10" w:history="1">
              <w:r w:rsidRPr="00D33D5A">
                <w:rPr>
                  <w:rStyle w:val="a5"/>
                  <w:rFonts w:ascii="Times New Roman" w:eastAsia="新細明體" w:hAnsi="Times New Roman" w:hint="eastAsia"/>
                </w:rPr>
                <w:t>第</w:t>
              </w:r>
              <w:r w:rsidRPr="00D33D5A">
                <w:rPr>
                  <w:rStyle w:val="a5"/>
                  <w:rFonts w:ascii="Times New Roman" w:eastAsia="新細明體" w:hAnsi="Times New Roman"/>
                </w:rPr>
                <w:t>10</w:t>
              </w:r>
              <w:r w:rsidRPr="00D33D5A">
                <w:rPr>
                  <w:rStyle w:val="a5"/>
                  <w:rFonts w:ascii="Times New Roman" w:eastAsia="新細明體" w:hAnsi="Times New Roman" w:hint="eastAsia"/>
                </w:rPr>
                <w:t>條</w:t>
              </w:r>
            </w:hyperlink>
            <w:r w:rsidRPr="000825DC">
              <w:rPr>
                <w:rFonts w:hint="eastAsia"/>
              </w:rPr>
              <w:t>、第</w:t>
            </w:r>
            <w:hyperlink r:id="rId714" w:anchor="a10b1" w:history="1">
              <w:r w:rsidRPr="00D33D5A">
                <w:rPr>
                  <w:rStyle w:val="a5"/>
                  <w:rFonts w:ascii="Times New Roman" w:eastAsia="新細明體" w:hAnsi="Times New Roman"/>
                </w:rPr>
                <w:t>10</w:t>
              </w:r>
              <w:r w:rsidRPr="00D33D5A">
                <w:rPr>
                  <w:rStyle w:val="a5"/>
                  <w:rFonts w:ascii="Times New Roman" w:eastAsia="新細明體" w:hAnsi="Times New Roman" w:hint="eastAsia"/>
                </w:rPr>
                <w:t>條之</w:t>
              </w:r>
              <w:r w:rsidRPr="00D33D5A">
                <w:rPr>
                  <w:rStyle w:val="a5"/>
                  <w:rFonts w:ascii="Times New Roman" w:eastAsia="新細明體" w:hAnsi="Times New Roman"/>
                </w:rPr>
                <w:t>1</w:t>
              </w:r>
            </w:hyperlink>
            <w:r w:rsidRPr="000825DC">
              <w:t>)</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14:paraId="543CA888" w14:textId="77777777" w:rsidR="00203F72" w:rsidRPr="00482FC4" w:rsidRDefault="00203F72" w:rsidP="00D87D91">
            <w:r w:rsidRPr="00482FC4">
              <w:rPr>
                <w:rFonts w:hint="eastAsia"/>
              </w:rPr>
              <w:t>逐條討論</w:t>
            </w:r>
            <w:r w:rsidRPr="00482FC4">
              <w:t>(</w:t>
            </w:r>
            <w:r w:rsidRPr="00482FC4">
              <w:rPr>
                <w:rFonts w:hint="eastAsia"/>
              </w:rPr>
              <w:t>第二讀會討論各委員會議決不須黨團協商之議案，得經院會同意，不須討論，逕依審查意見處理</w:t>
            </w:r>
            <w:r w:rsidRPr="00482FC4">
              <w:t>)</w:t>
            </w:r>
            <w:r w:rsidRPr="00482FC4">
              <w:t>；</w:t>
            </w:r>
            <w:r w:rsidRPr="00482FC4">
              <w:rPr>
                <w:rFonts w:hint="eastAsia"/>
              </w:rPr>
              <w:t>逐條審查；逐條修正</w:t>
            </w:r>
          </w:p>
        </w:tc>
      </w:tr>
      <w:tr w:rsidR="00203F72" w:rsidRPr="00482FC4" w14:paraId="21A0DC26" w14:textId="77777777" w:rsidTr="00D33D5A">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2AE2BEEB" w14:textId="77777777" w:rsidR="00203F72" w:rsidRPr="000825DC" w:rsidRDefault="00203F72" w:rsidP="00D87D91">
            <w:r w:rsidRPr="000825DC">
              <w:rPr>
                <w:rFonts w:hint="eastAsia"/>
              </w:rPr>
              <w:t>三讀會</w:t>
            </w:r>
          </w:p>
          <w:p w14:paraId="57C311D0" w14:textId="77777777" w:rsidR="00203F72" w:rsidRPr="000825DC" w:rsidRDefault="00203F72" w:rsidP="00D87D91">
            <w:r w:rsidRPr="000825DC">
              <w:t>(</w:t>
            </w:r>
            <w:r w:rsidRPr="000825DC">
              <w:rPr>
                <w:rFonts w:hint="eastAsia"/>
              </w:rPr>
              <w:t>立職</w:t>
            </w:r>
            <w:r w:rsidR="006B7176" w:rsidRPr="000825DC">
              <w:t>法</w:t>
            </w:r>
            <w:hyperlink r:id="rId715" w:anchor="a11" w:history="1">
              <w:r w:rsidR="006B7176" w:rsidRPr="000825DC">
                <w:rPr>
                  <w:rStyle w:val="a5"/>
                </w:rPr>
                <w:t>第11條</w:t>
              </w:r>
            </w:hyperlink>
            <w:r w:rsidRPr="000825DC">
              <w:t>)</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14:paraId="718F4D99" w14:textId="77777777" w:rsidR="00203F72" w:rsidRPr="00482FC4" w:rsidRDefault="00203F72" w:rsidP="00D87D91">
            <w:r w:rsidRPr="00482FC4">
              <w:rPr>
                <w:rFonts w:hint="eastAsia"/>
              </w:rPr>
              <w:t>全案通過或否決</w:t>
            </w:r>
          </w:p>
        </w:tc>
      </w:tr>
    </w:tbl>
    <w:p w14:paraId="332A5122" w14:textId="77777777" w:rsidR="00203F72" w:rsidRPr="00482FC4" w:rsidRDefault="002107CE" w:rsidP="00D87D91">
      <w:r w:rsidRPr="00482FC4">
        <w:rPr>
          <w:rFonts w:hint="eastAsia"/>
        </w:rPr>
        <w:t>【本表格資料來源】</w:t>
      </w:r>
      <w:r w:rsidR="00203F72" w:rsidRPr="00482FC4">
        <w:rPr>
          <w:rFonts w:hint="eastAsia"/>
        </w:rPr>
        <w:t>植憲</w:t>
      </w:r>
      <w:r w:rsidR="00203F72" w:rsidRPr="00482FC4">
        <w:t>(2011)</w:t>
      </w:r>
      <w:r w:rsidR="00203F72" w:rsidRPr="00482FC4">
        <w:rPr>
          <w:rFonts w:hint="eastAsia"/>
        </w:rPr>
        <w:t>，憲法解題概念操作</w:t>
      </w:r>
      <w:r w:rsidR="00203F72" w:rsidRPr="00482FC4">
        <w:t>(</w:t>
      </w:r>
      <w:r w:rsidR="00203F72" w:rsidRPr="00482FC4">
        <w:rPr>
          <w:rFonts w:hint="eastAsia"/>
        </w:rPr>
        <w:t>下</w:t>
      </w:r>
      <w:r w:rsidR="00203F72" w:rsidRPr="00482FC4">
        <w:t>)</w:t>
      </w:r>
      <w:r w:rsidR="00203F72" w:rsidRPr="00482FC4">
        <w:rPr>
          <w:rFonts w:hint="eastAsia"/>
        </w:rPr>
        <w:t>，</w:t>
      </w:r>
      <w:r w:rsidR="00203F72" w:rsidRPr="00482FC4">
        <w:t>6</w:t>
      </w:r>
      <w:r w:rsidR="00203F72" w:rsidRPr="00482FC4">
        <w:rPr>
          <w:rFonts w:hint="eastAsia"/>
        </w:rPr>
        <w:t>版，台北：高點文化公司，第</w:t>
      </w:r>
      <w:r w:rsidR="00203F72" w:rsidRPr="00482FC4">
        <w:t>90</w:t>
      </w:r>
      <w:r w:rsidR="00203F72" w:rsidRPr="00482FC4">
        <w:rPr>
          <w:rFonts w:hint="eastAsia"/>
        </w:rPr>
        <w:t>頁。</w:t>
      </w:r>
    </w:p>
    <w:p w14:paraId="79774915" w14:textId="77777777" w:rsidR="00953151" w:rsidRPr="00482FC4" w:rsidRDefault="007F7377" w:rsidP="00D87D91">
      <w:r w:rsidRPr="00482FC4">
        <w:t>【備註】</w:t>
      </w:r>
      <w:r w:rsidR="00203F72" w:rsidRPr="00482FC4">
        <w:rPr>
          <w:rFonts w:hint="eastAsia"/>
        </w:rPr>
        <w:t>立職法</w:t>
      </w:r>
      <w:r w:rsidR="00D92F56" w:rsidRPr="00482FC4">
        <w:rPr>
          <w:rFonts w:hint="eastAsia"/>
        </w:rPr>
        <w:t>〜</w:t>
      </w:r>
      <w:hyperlink r:id="rId716" w:history="1">
        <w:r w:rsidR="001F6A1B" w:rsidRPr="001F6A1B">
          <w:rPr>
            <w:rStyle w:val="a5"/>
            <w:rFonts w:eastAsia="新細明體"/>
          </w:rPr>
          <w:t>立法院職權行使法</w:t>
        </w:r>
      </w:hyperlink>
      <w:r w:rsidR="00203F72" w:rsidRPr="00482FC4">
        <w:t>。</w:t>
      </w:r>
    </w:p>
    <w:p w14:paraId="703BB29F" w14:textId="77777777" w:rsidR="00203F72" w:rsidRPr="00A53581" w:rsidRDefault="00076467" w:rsidP="00767F37">
      <w:pPr>
        <w:pStyle w:val="2"/>
      </w:pPr>
      <w:hyperlink r:id="rId717" w:anchor="a64" w:history="1">
        <w:r w:rsidR="005D5A46">
          <w:rPr>
            <w:rStyle w:val="a5"/>
            <w:rFonts w:ascii="Arial Unicode MS" w:hAnsi="Arial Unicode MS"/>
          </w:rPr>
          <w:t>第</w:t>
        </w:r>
        <w:r w:rsidR="00203F72" w:rsidRPr="001B53A5">
          <w:rPr>
            <w:rStyle w:val="a5"/>
            <w:rFonts w:ascii="Arial Unicode MS" w:hAnsi="Arial Unicode MS"/>
          </w:rPr>
          <w:t>64</w:t>
        </w:r>
        <w:r w:rsidR="005D5A46">
          <w:rPr>
            <w:rStyle w:val="a5"/>
            <w:rFonts w:ascii="Arial Unicode MS" w:hAnsi="Arial Unicode MS"/>
          </w:rPr>
          <w:t>條</w:t>
        </w:r>
      </w:hyperlink>
      <w:r w:rsidR="00203F72" w:rsidRPr="00A53581">
        <w:t>立法院立法委員，依左列規定選出之：</w:t>
      </w:r>
    </w:p>
    <w:p w14:paraId="3D4071AD" w14:textId="77777777" w:rsidR="00203F72" w:rsidRPr="00A53581" w:rsidRDefault="007F7377" w:rsidP="00D87D91">
      <w:r>
        <w:t xml:space="preserve">　　</w:t>
      </w:r>
      <w:r w:rsidR="00203F72" w:rsidRPr="00A53581">
        <w:t>一</w:t>
      </w:r>
      <w:r w:rsidRPr="00A53581">
        <w:t>、</w:t>
      </w:r>
      <w:r w:rsidR="00203F72" w:rsidRPr="00A53581">
        <w:t>各省、各直轄市選出者，其人口在三百萬以下者五人，其人口超過三百萬者，每滿一百萬人增選一人。</w:t>
      </w:r>
    </w:p>
    <w:p w14:paraId="6C55D3AF" w14:textId="77777777" w:rsidR="00203F72" w:rsidRPr="00A53581" w:rsidRDefault="007F7377" w:rsidP="00D87D91">
      <w:r>
        <w:t xml:space="preserve">　　</w:t>
      </w:r>
      <w:r w:rsidR="00203F72" w:rsidRPr="00A53581">
        <w:t>二</w:t>
      </w:r>
      <w:r w:rsidRPr="00A53581">
        <w:t>、</w:t>
      </w:r>
      <w:r w:rsidR="00203F72" w:rsidRPr="00A53581">
        <w:t>蒙古各盟旗選出者。</w:t>
      </w:r>
    </w:p>
    <w:p w14:paraId="33A6D89C" w14:textId="77777777" w:rsidR="00203F72" w:rsidRPr="00A53581" w:rsidRDefault="007F7377" w:rsidP="00D87D91">
      <w:r>
        <w:t xml:space="preserve">　　</w:t>
      </w:r>
      <w:r w:rsidR="00203F72" w:rsidRPr="00A53581">
        <w:t>三</w:t>
      </w:r>
      <w:r w:rsidRPr="00A53581">
        <w:t>、</w:t>
      </w:r>
      <w:r w:rsidR="00203F72" w:rsidRPr="00A53581">
        <w:t>西藏選出者。</w:t>
      </w:r>
    </w:p>
    <w:p w14:paraId="22D0B237" w14:textId="77777777" w:rsidR="00203F72" w:rsidRPr="00A53581" w:rsidRDefault="007F7377" w:rsidP="00D87D91">
      <w:r>
        <w:t xml:space="preserve">　　</w:t>
      </w:r>
      <w:r w:rsidR="00203F72" w:rsidRPr="00A53581">
        <w:t>四</w:t>
      </w:r>
      <w:r w:rsidRPr="00A53581">
        <w:t>、</w:t>
      </w:r>
      <w:r w:rsidR="00203F72" w:rsidRPr="00A53581">
        <w:t>各民族在邊疆地區選出者。</w:t>
      </w:r>
    </w:p>
    <w:p w14:paraId="3B519DC8" w14:textId="77777777" w:rsidR="00203F72" w:rsidRPr="00A53581" w:rsidRDefault="007F7377" w:rsidP="00D87D91">
      <w:r>
        <w:t xml:space="preserve">　　</w:t>
      </w:r>
      <w:r w:rsidR="00203F72" w:rsidRPr="00A53581">
        <w:t>五</w:t>
      </w:r>
      <w:r w:rsidRPr="00A53581">
        <w:t>、</w:t>
      </w:r>
      <w:r w:rsidR="00203F72" w:rsidRPr="00A53581">
        <w:t>僑居國外之國民選出者。</w:t>
      </w:r>
    </w:p>
    <w:p w14:paraId="451EC52B" w14:textId="77777777" w:rsidR="00203F72" w:rsidRPr="00A53581" w:rsidRDefault="007F7377" w:rsidP="00D87D91">
      <w:r>
        <w:t xml:space="preserve">　　</w:t>
      </w:r>
      <w:r w:rsidR="00203F72" w:rsidRPr="00A53581">
        <w:t>六</w:t>
      </w:r>
      <w:r w:rsidRPr="00A53581">
        <w:t>、</w:t>
      </w:r>
      <w:r w:rsidR="00203F72" w:rsidRPr="00A53581">
        <w:t>職業團體選出者。</w:t>
      </w:r>
    </w:p>
    <w:p w14:paraId="487ECF59" w14:textId="77777777" w:rsidR="00953151" w:rsidRPr="000B35D7" w:rsidRDefault="007F7377" w:rsidP="00D87D91">
      <w:r>
        <w:t xml:space="preserve">　　</w:t>
      </w:r>
      <w:r w:rsidR="00203F72" w:rsidRPr="00A53581">
        <w:t>立法委員之選舉及前項第二款至第六款立法委員名額之分配，以法律定之。婦女在</w:t>
      </w:r>
      <w:r w:rsidR="00203F72" w:rsidRPr="000B35D7">
        <w:t>第一項各款之名額，以法律定之。</w:t>
      </w:r>
    </w:p>
    <w:p w14:paraId="43E5632C" w14:textId="77777777" w:rsidR="00953151" w:rsidRPr="000B35D7" w:rsidRDefault="00B03E84" w:rsidP="00D87D91">
      <w:r w:rsidRPr="000B35D7">
        <w:t>【內容解析】</w:t>
      </w:r>
    </w:p>
    <w:p w14:paraId="521A60A8" w14:textId="77777777" w:rsidR="00203F72" w:rsidRPr="000B35D7" w:rsidRDefault="007F7377" w:rsidP="00D87D91">
      <w:r w:rsidRPr="000B35D7">
        <w:t xml:space="preserve">　　</w:t>
      </w:r>
      <w:r w:rsidR="00203F72" w:rsidRPr="000B35D7">
        <w:t>就現階段而言，台灣地區立法院立法委員之選舉，並未依照本條之規定行之。亦即，為因應國家統一前之需要，依照憲法</w:t>
      </w:r>
      <w:r w:rsidR="00541C0B" w:rsidRPr="000B35D7">
        <w:t>第</w:t>
      </w:r>
      <w:hyperlink r:id="rId718" w:anchor="a27" w:history="1">
        <w:r w:rsidR="00541C0B" w:rsidRPr="000B35D7">
          <w:rPr>
            <w:rStyle w:val="a5"/>
          </w:rPr>
          <w:t>二十七</w:t>
        </w:r>
      </w:hyperlink>
      <w:r w:rsidR="00541C0B" w:rsidRPr="000B35D7">
        <w:t>條</w:t>
      </w:r>
      <w:r w:rsidR="00203F72" w:rsidRPr="000B35D7">
        <w:t>第一項第三款及</w:t>
      </w:r>
      <w:r w:rsidR="00541C0B" w:rsidRPr="000B35D7">
        <w:t>第</w:t>
      </w:r>
      <w:hyperlink r:id="rId719" w:anchor="a174" w:history="1">
        <w:r w:rsidR="00541C0B" w:rsidRPr="000B35D7">
          <w:rPr>
            <w:rStyle w:val="a5"/>
          </w:rPr>
          <w:t>一百七十四</w:t>
        </w:r>
      </w:hyperlink>
      <w:r w:rsidR="00541C0B" w:rsidRPr="000B35D7">
        <w:t>條</w:t>
      </w:r>
      <w:r w:rsidR="00203F72" w:rsidRPr="000B35D7">
        <w:t>第一款之規定，增修憲法條文。依增修條</w:t>
      </w:r>
      <w:r w:rsidR="009A2820" w:rsidRPr="000B35D7">
        <w:t>文</w:t>
      </w:r>
      <w:hyperlink r:id="rId720" w:anchor="b4" w:history="1">
        <w:r w:rsidR="009A2820" w:rsidRPr="000B35D7">
          <w:rPr>
            <w:rStyle w:val="a5"/>
          </w:rPr>
          <w:t>第4條</w:t>
        </w:r>
      </w:hyperlink>
      <w:r w:rsidR="00203F72" w:rsidRPr="000B35D7">
        <w:t>之規定，立法院立法委員自第七屆起一百一十三人，任期四年，連選得連任，於每屆任滿前三個月內，依左列規定選出之，不受憲法第</w:t>
      </w:r>
      <w:hyperlink r:id="rId721" w:anchor="a64" w:history="1">
        <w:r w:rsidR="00203F72" w:rsidRPr="00554D5E">
          <w:rPr>
            <w:rStyle w:val="a5"/>
            <w:rFonts w:ascii="Times New Roman" w:eastAsia="新細明體" w:hAnsi="Times New Roman"/>
          </w:rPr>
          <w:t>六十四</w:t>
        </w:r>
      </w:hyperlink>
      <w:r w:rsidR="00203F72" w:rsidRPr="000B35D7">
        <w:t>條及第</w:t>
      </w:r>
      <w:hyperlink r:id="rId722" w:anchor="a65" w:history="1">
        <w:r w:rsidR="00203F72" w:rsidRPr="00554D5E">
          <w:rPr>
            <w:rStyle w:val="a5"/>
            <w:rFonts w:ascii="Times New Roman" w:eastAsia="新細明體" w:hAnsi="Times New Roman"/>
          </w:rPr>
          <w:t>六十五</w:t>
        </w:r>
      </w:hyperlink>
      <w:r w:rsidR="00203F72" w:rsidRPr="000B35D7">
        <w:t>條之限制：</w:t>
      </w:r>
    </w:p>
    <w:p w14:paraId="58FAE66B" w14:textId="77777777" w:rsidR="00203F72" w:rsidRPr="000B35D7" w:rsidRDefault="007F7377" w:rsidP="00D87D91">
      <w:r w:rsidRPr="000B35D7">
        <w:t xml:space="preserve">　　</w:t>
      </w:r>
      <w:r w:rsidR="00203F72" w:rsidRPr="000B35D7">
        <w:t>一、自由地區直轄市、縣市七十三人。每縣市至少一人。</w:t>
      </w:r>
    </w:p>
    <w:p w14:paraId="2C668B76" w14:textId="77777777" w:rsidR="00203F72" w:rsidRPr="000B35D7" w:rsidRDefault="007F7377" w:rsidP="00D87D91">
      <w:r w:rsidRPr="000B35D7">
        <w:t xml:space="preserve">　　</w:t>
      </w:r>
      <w:r w:rsidR="00203F72" w:rsidRPr="000B35D7">
        <w:t>二、自由地區平地原住民及山地原住民各三人。</w:t>
      </w:r>
    </w:p>
    <w:p w14:paraId="7500F99E" w14:textId="77777777" w:rsidR="00203F72" w:rsidRPr="000B35D7" w:rsidRDefault="007F7377" w:rsidP="00D87D91">
      <w:r w:rsidRPr="000B35D7">
        <w:t xml:space="preserve">　　</w:t>
      </w:r>
      <w:r w:rsidR="00203F72" w:rsidRPr="000B35D7">
        <w:t>三、全國不分區及僑居國外國民共三十四人。</w:t>
      </w:r>
    </w:p>
    <w:p w14:paraId="417514BD" w14:textId="77777777" w:rsidR="00953151" w:rsidRDefault="007F7377" w:rsidP="00D87D91">
      <w:r w:rsidRPr="000B35D7">
        <w:t xml:space="preserve">　　</w:t>
      </w:r>
      <w:r w:rsidR="00203F72" w:rsidRPr="000B35D7">
        <w:t>前項第一款依各直轄市、縣市人口比例分配，並按應選名額劃分同額選舉區選出</w:t>
      </w:r>
      <w:r w:rsidR="00203F72" w:rsidRPr="00A53581">
        <w:t>之。第三款依政黨名單投票選舉之，由獲得百分之五以上政黨選舉票之政黨依得票比率選出之，各政黨當選名單中，婦女不得低於二分之一。</w:t>
      </w:r>
    </w:p>
    <w:p w14:paraId="43A977B1" w14:textId="77777777" w:rsidR="00554D5E" w:rsidRDefault="00554D5E" w:rsidP="00D87D91"/>
    <w:p w14:paraId="5761A3C1" w14:textId="560B77CA" w:rsidR="00203F72" w:rsidRPr="004C0475" w:rsidRDefault="00B03E84" w:rsidP="00D87D91">
      <w:r w:rsidRPr="004C0475">
        <w:t>【</w:t>
      </w:r>
      <w:r w:rsidRPr="004C0475">
        <w:t>table</w:t>
      </w:r>
      <w:r w:rsidR="005E23E3" w:rsidRPr="004C0475">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44</w:t>
      </w:r>
      <w:r w:rsidR="00076467">
        <w:rPr>
          <w:noProof/>
        </w:rPr>
        <w:fldChar w:fldCharType="end"/>
      </w:r>
      <w:r w:rsidR="00203F72" w:rsidRPr="004C0475">
        <w:t>政黨比例代表制名額分配計算表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1060"/>
        <w:gridCol w:w="1060"/>
        <w:gridCol w:w="1061"/>
        <w:gridCol w:w="1061"/>
        <w:gridCol w:w="1072"/>
        <w:gridCol w:w="1061"/>
        <w:gridCol w:w="753"/>
      </w:tblGrid>
      <w:tr w:rsidR="00203F72" w:rsidRPr="00A53581" w14:paraId="3A9392D5" w14:textId="77777777" w:rsidTr="004C0475">
        <w:trPr>
          <w:tblHeader/>
        </w:trPr>
        <w:tc>
          <w:tcPr>
            <w:tcW w:w="511" w:type="pct"/>
            <w:shd w:val="clear" w:color="auto" w:fill="FAF0FA"/>
          </w:tcPr>
          <w:p w14:paraId="57D416E0" w14:textId="77777777" w:rsidR="00203F72" w:rsidRPr="00A53581" w:rsidRDefault="00203F72" w:rsidP="00D87D91">
            <w:r w:rsidRPr="00A53581">
              <w:t>計算公式</w:t>
            </w:r>
          </w:p>
        </w:tc>
        <w:tc>
          <w:tcPr>
            <w:tcW w:w="668" w:type="pct"/>
            <w:shd w:val="clear" w:color="auto" w:fill="FAF0FA"/>
          </w:tcPr>
          <w:p w14:paraId="7E7E8190" w14:textId="77777777" w:rsidR="00203F72" w:rsidRPr="00A53581" w:rsidRDefault="00203F72" w:rsidP="00D87D91">
            <w:r w:rsidRPr="00A53581">
              <w:t>A</w:t>
            </w:r>
          </w:p>
        </w:tc>
        <w:tc>
          <w:tcPr>
            <w:tcW w:w="668" w:type="pct"/>
            <w:shd w:val="clear" w:color="auto" w:fill="FAF0FA"/>
          </w:tcPr>
          <w:p w14:paraId="563D6A9F" w14:textId="77777777" w:rsidR="00203F72" w:rsidRPr="00A53581" w:rsidRDefault="00203F72" w:rsidP="00D87D91">
            <w:r w:rsidRPr="00A53581">
              <w:t>B</w:t>
            </w:r>
          </w:p>
        </w:tc>
        <w:tc>
          <w:tcPr>
            <w:tcW w:w="668" w:type="pct"/>
            <w:shd w:val="clear" w:color="auto" w:fill="FAF0FA"/>
          </w:tcPr>
          <w:p w14:paraId="0D30329A" w14:textId="77777777" w:rsidR="00203F72" w:rsidRPr="00A53581" w:rsidRDefault="00203F72" w:rsidP="00D87D91">
            <w:r w:rsidRPr="00A53581">
              <w:t>A÷B</w:t>
            </w:r>
            <w:r w:rsidRPr="00A53581">
              <w:t>＝</w:t>
            </w:r>
            <w:r w:rsidRPr="00A53581">
              <w:t>C</w:t>
            </w:r>
          </w:p>
        </w:tc>
        <w:tc>
          <w:tcPr>
            <w:tcW w:w="668" w:type="pct"/>
            <w:shd w:val="clear" w:color="auto" w:fill="FAF0FA"/>
          </w:tcPr>
          <w:p w14:paraId="0D11F373" w14:textId="77777777" w:rsidR="00203F72" w:rsidRPr="00A53581" w:rsidRDefault="00203F72" w:rsidP="00D87D91">
            <w:r w:rsidRPr="00A53581">
              <w:t>D</w:t>
            </w:r>
          </w:p>
        </w:tc>
        <w:tc>
          <w:tcPr>
            <w:tcW w:w="675" w:type="pct"/>
            <w:shd w:val="clear" w:color="auto" w:fill="FAF0FA"/>
          </w:tcPr>
          <w:p w14:paraId="04B52A6B" w14:textId="77777777" w:rsidR="00203F72" w:rsidRPr="00A53581" w:rsidRDefault="00203F72" w:rsidP="00D87D91">
            <w:r w:rsidRPr="00A53581">
              <w:t>E</w:t>
            </w:r>
            <w:r w:rsidRPr="00A53581">
              <w:t>＝</w:t>
            </w:r>
            <w:r w:rsidRPr="00A53581">
              <w:t>D</w:t>
            </w:r>
            <w:r w:rsidR="00302768">
              <w:t>＊</w:t>
            </w:r>
            <w:r w:rsidRPr="00A53581">
              <w:t>C</w:t>
            </w:r>
          </w:p>
        </w:tc>
        <w:tc>
          <w:tcPr>
            <w:tcW w:w="668" w:type="pct"/>
            <w:shd w:val="clear" w:color="auto" w:fill="FAF0FA"/>
          </w:tcPr>
          <w:p w14:paraId="352901B8" w14:textId="77777777" w:rsidR="00203F72" w:rsidRPr="00A53581" w:rsidRDefault="00203F72" w:rsidP="00D87D91">
            <w:r w:rsidRPr="00A53581">
              <w:t>F</w:t>
            </w:r>
          </w:p>
        </w:tc>
        <w:tc>
          <w:tcPr>
            <w:tcW w:w="474" w:type="pct"/>
            <w:shd w:val="clear" w:color="auto" w:fill="FAF0FA"/>
          </w:tcPr>
          <w:p w14:paraId="0133C830" w14:textId="77777777" w:rsidR="00203F72" w:rsidRPr="00A53581" w:rsidRDefault="00203F72" w:rsidP="00D87D91">
            <w:r w:rsidRPr="00A53581">
              <w:t>G</w:t>
            </w:r>
          </w:p>
        </w:tc>
      </w:tr>
      <w:tr w:rsidR="00203F72" w:rsidRPr="00A53581" w14:paraId="16DBEF9F" w14:textId="77777777" w:rsidTr="00203F72">
        <w:tc>
          <w:tcPr>
            <w:tcW w:w="511" w:type="pct"/>
            <w:shd w:val="clear" w:color="auto" w:fill="auto"/>
          </w:tcPr>
          <w:p w14:paraId="4A74D477" w14:textId="77777777" w:rsidR="00203F72" w:rsidRPr="00A53581" w:rsidRDefault="00203F72" w:rsidP="00D87D91">
            <w:r w:rsidRPr="00A53581">
              <w:t>黨別</w:t>
            </w:r>
          </w:p>
        </w:tc>
        <w:tc>
          <w:tcPr>
            <w:tcW w:w="668" w:type="pct"/>
            <w:shd w:val="clear" w:color="auto" w:fill="auto"/>
          </w:tcPr>
          <w:p w14:paraId="7F07AB6C" w14:textId="77777777" w:rsidR="00203F72" w:rsidRPr="00A53581" w:rsidRDefault="00203F72" w:rsidP="00D87D91">
            <w:r w:rsidRPr="00A53581">
              <w:t>各黨總得票數</w:t>
            </w:r>
          </w:p>
        </w:tc>
        <w:tc>
          <w:tcPr>
            <w:tcW w:w="668" w:type="pct"/>
            <w:shd w:val="clear" w:color="auto" w:fill="auto"/>
          </w:tcPr>
          <w:p w14:paraId="64485866" w14:textId="77777777" w:rsidR="00203F72" w:rsidRPr="00A53581" w:rsidRDefault="00203F72" w:rsidP="00D87D91">
            <w:r w:rsidRPr="00A53581">
              <w:t>有效總票數</w:t>
            </w:r>
          </w:p>
        </w:tc>
        <w:tc>
          <w:tcPr>
            <w:tcW w:w="668" w:type="pct"/>
            <w:shd w:val="clear" w:color="auto" w:fill="auto"/>
          </w:tcPr>
          <w:p w14:paraId="46743F29" w14:textId="77777777" w:rsidR="00203F72" w:rsidRPr="00A53581" w:rsidRDefault="00203F72" w:rsidP="00D87D91">
            <w:r w:rsidRPr="00A53581">
              <w:t>得票比率</w:t>
            </w:r>
          </w:p>
        </w:tc>
        <w:tc>
          <w:tcPr>
            <w:tcW w:w="668" w:type="pct"/>
            <w:shd w:val="clear" w:color="auto" w:fill="auto"/>
          </w:tcPr>
          <w:p w14:paraId="74A7D644" w14:textId="77777777" w:rsidR="00203F72" w:rsidRPr="00A53581" w:rsidRDefault="00203F72" w:rsidP="00D87D91">
            <w:r w:rsidRPr="00A53581">
              <w:t>應選名額數</w:t>
            </w:r>
          </w:p>
        </w:tc>
        <w:tc>
          <w:tcPr>
            <w:tcW w:w="675" w:type="pct"/>
            <w:shd w:val="clear" w:color="auto" w:fill="auto"/>
          </w:tcPr>
          <w:p w14:paraId="65D3EEC1" w14:textId="77777777" w:rsidR="00203F72" w:rsidRPr="00A53581" w:rsidRDefault="00203F72" w:rsidP="00D87D91">
            <w:r w:rsidRPr="00A53581">
              <w:t>基本分配席次</w:t>
            </w:r>
          </w:p>
        </w:tc>
        <w:tc>
          <w:tcPr>
            <w:tcW w:w="668" w:type="pct"/>
            <w:shd w:val="clear" w:color="auto" w:fill="auto"/>
          </w:tcPr>
          <w:p w14:paraId="0E7B4C4A" w14:textId="77777777" w:rsidR="00203F72" w:rsidRPr="00A53581" w:rsidRDefault="00203F72" w:rsidP="00D87D91">
            <w:r w:rsidRPr="00A53581">
              <w:t>餘數分配席次</w:t>
            </w:r>
          </w:p>
        </w:tc>
        <w:tc>
          <w:tcPr>
            <w:tcW w:w="474" w:type="pct"/>
            <w:shd w:val="clear" w:color="auto" w:fill="auto"/>
          </w:tcPr>
          <w:p w14:paraId="2B2A751F" w14:textId="77777777" w:rsidR="00203F72" w:rsidRPr="00A53581" w:rsidRDefault="00203F72" w:rsidP="00D87D91">
            <w:r w:rsidRPr="00A53581">
              <w:t>總分配席次</w:t>
            </w:r>
          </w:p>
        </w:tc>
      </w:tr>
      <w:tr w:rsidR="00203F72" w:rsidRPr="00A53581" w14:paraId="055418C9" w14:textId="77777777" w:rsidTr="00203F72">
        <w:tc>
          <w:tcPr>
            <w:tcW w:w="511" w:type="pct"/>
            <w:shd w:val="clear" w:color="auto" w:fill="auto"/>
          </w:tcPr>
          <w:p w14:paraId="0E845392" w14:textId="77777777" w:rsidR="00203F72" w:rsidRPr="00A53581" w:rsidRDefault="00203F72" w:rsidP="00D87D91">
            <w:r w:rsidRPr="00A53581">
              <w:t>甲黨</w:t>
            </w:r>
          </w:p>
        </w:tc>
        <w:tc>
          <w:tcPr>
            <w:tcW w:w="668" w:type="pct"/>
            <w:shd w:val="clear" w:color="auto" w:fill="auto"/>
          </w:tcPr>
          <w:p w14:paraId="0586D359" w14:textId="77777777" w:rsidR="00203F72" w:rsidRPr="00A53581" w:rsidRDefault="00203F72" w:rsidP="00D87D91">
            <w:r w:rsidRPr="00A53581">
              <w:t>4,000</w:t>
            </w:r>
          </w:p>
        </w:tc>
        <w:tc>
          <w:tcPr>
            <w:tcW w:w="668" w:type="pct"/>
            <w:vMerge w:val="restart"/>
            <w:shd w:val="clear" w:color="auto" w:fill="auto"/>
          </w:tcPr>
          <w:p w14:paraId="20669F80" w14:textId="77777777" w:rsidR="00203F72" w:rsidRPr="00A53581" w:rsidRDefault="00203F72" w:rsidP="00D87D91">
            <w:r w:rsidRPr="00A53581">
              <w:t>8,200</w:t>
            </w:r>
          </w:p>
        </w:tc>
        <w:tc>
          <w:tcPr>
            <w:tcW w:w="668" w:type="pct"/>
            <w:shd w:val="clear" w:color="auto" w:fill="auto"/>
          </w:tcPr>
          <w:p w14:paraId="1C01C4BF" w14:textId="77777777" w:rsidR="00203F72" w:rsidRPr="00A53581" w:rsidRDefault="00203F72" w:rsidP="00D87D91">
            <w:r w:rsidRPr="00A53581">
              <w:t>48.78%</w:t>
            </w:r>
          </w:p>
        </w:tc>
        <w:tc>
          <w:tcPr>
            <w:tcW w:w="668" w:type="pct"/>
            <w:vMerge w:val="restart"/>
            <w:shd w:val="clear" w:color="auto" w:fill="auto"/>
          </w:tcPr>
          <w:p w14:paraId="0AE5A5A9" w14:textId="77777777" w:rsidR="00203F72" w:rsidRPr="00A53581" w:rsidRDefault="00203F72" w:rsidP="00D87D91">
            <w:r w:rsidRPr="00A53581">
              <w:t>34</w:t>
            </w:r>
          </w:p>
        </w:tc>
        <w:tc>
          <w:tcPr>
            <w:tcW w:w="675" w:type="pct"/>
            <w:shd w:val="clear" w:color="auto" w:fill="auto"/>
          </w:tcPr>
          <w:p w14:paraId="271108CE" w14:textId="77777777" w:rsidR="00203F72" w:rsidRPr="00A53581" w:rsidRDefault="00203F72" w:rsidP="00D87D91">
            <w:r w:rsidRPr="00A53581">
              <w:t>16.5852</w:t>
            </w:r>
          </w:p>
        </w:tc>
        <w:tc>
          <w:tcPr>
            <w:tcW w:w="668" w:type="pct"/>
            <w:shd w:val="clear" w:color="auto" w:fill="auto"/>
          </w:tcPr>
          <w:p w14:paraId="538B9A74" w14:textId="77777777" w:rsidR="00203F72" w:rsidRPr="00A53581" w:rsidRDefault="00203F72" w:rsidP="00D87D91">
            <w:r w:rsidRPr="00A53581">
              <w:t>1</w:t>
            </w:r>
          </w:p>
        </w:tc>
        <w:tc>
          <w:tcPr>
            <w:tcW w:w="474" w:type="pct"/>
            <w:shd w:val="clear" w:color="auto" w:fill="auto"/>
          </w:tcPr>
          <w:p w14:paraId="2DB14941" w14:textId="77777777" w:rsidR="00203F72" w:rsidRPr="00A53581" w:rsidRDefault="00203F72" w:rsidP="00D87D91">
            <w:r w:rsidRPr="00A53581">
              <w:t>17</w:t>
            </w:r>
          </w:p>
        </w:tc>
      </w:tr>
      <w:tr w:rsidR="00203F72" w:rsidRPr="00A53581" w14:paraId="384794A6" w14:textId="77777777" w:rsidTr="00203F72">
        <w:tc>
          <w:tcPr>
            <w:tcW w:w="511" w:type="pct"/>
            <w:shd w:val="clear" w:color="auto" w:fill="auto"/>
          </w:tcPr>
          <w:p w14:paraId="06478627" w14:textId="77777777" w:rsidR="00203F72" w:rsidRPr="00A53581" w:rsidRDefault="00203F72" w:rsidP="00D87D91">
            <w:r w:rsidRPr="00A53581">
              <w:t>乙黨</w:t>
            </w:r>
          </w:p>
        </w:tc>
        <w:tc>
          <w:tcPr>
            <w:tcW w:w="668" w:type="pct"/>
            <w:shd w:val="clear" w:color="auto" w:fill="auto"/>
          </w:tcPr>
          <w:p w14:paraId="00F24350" w14:textId="77777777" w:rsidR="00203F72" w:rsidRPr="00A53581" w:rsidRDefault="00203F72" w:rsidP="00D87D91">
            <w:r w:rsidRPr="00A53581">
              <w:t>2,700</w:t>
            </w:r>
          </w:p>
        </w:tc>
        <w:tc>
          <w:tcPr>
            <w:tcW w:w="668" w:type="pct"/>
            <w:vMerge/>
            <w:shd w:val="clear" w:color="auto" w:fill="auto"/>
          </w:tcPr>
          <w:p w14:paraId="690D0FEE" w14:textId="77777777" w:rsidR="00203F72" w:rsidRPr="00A53581" w:rsidRDefault="00203F72" w:rsidP="00D87D91"/>
        </w:tc>
        <w:tc>
          <w:tcPr>
            <w:tcW w:w="668" w:type="pct"/>
            <w:shd w:val="clear" w:color="auto" w:fill="auto"/>
          </w:tcPr>
          <w:p w14:paraId="3528FC53" w14:textId="77777777" w:rsidR="00203F72" w:rsidRPr="00A53581" w:rsidRDefault="00203F72" w:rsidP="00D87D91">
            <w:r w:rsidRPr="00A53581">
              <w:t>32.93%</w:t>
            </w:r>
          </w:p>
        </w:tc>
        <w:tc>
          <w:tcPr>
            <w:tcW w:w="668" w:type="pct"/>
            <w:vMerge/>
            <w:shd w:val="clear" w:color="auto" w:fill="auto"/>
          </w:tcPr>
          <w:p w14:paraId="0064B973" w14:textId="77777777" w:rsidR="00203F72" w:rsidRPr="00A53581" w:rsidRDefault="00203F72" w:rsidP="00D87D91"/>
        </w:tc>
        <w:tc>
          <w:tcPr>
            <w:tcW w:w="675" w:type="pct"/>
            <w:shd w:val="clear" w:color="auto" w:fill="auto"/>
          </w:tcPr>
          <w:p w14:paraId="332B1438" w14:textId="77777777" w:rsidR="00203F72" w:rsidRPr="00A53581" w:rsidRDefault="00203F72" w:rsidP="00D87D91">
            <w:r w:rsidRPr="00A53581">
              <w:t>11.1962</w:t>
            </w:r>
          </w:p>
        </w:tc>
        <w:tc>
          <w:tcPr>
            <w:tcW w:w="668" w:type="pct"/>
            <w:shd w:val="clear" w:color="auto" w:fill="auto"/>
          </w:tcPr>
          <w:p w14:paraId="16B37EF7" w14:textId="77777777" w:rsidR="00203F72" w:rsidRPr="00A53581" w:rsidRDefault="00203F72" w:rsidP="00D87D91"/>
        </w:tc>
        <w:tc>
          <w:tcPr>
            <w:tcW w:w="474" w:type="pct"/>
            <w:shd w:val="clear" w:color="auto" w:fill="auto"/>
          </w:tcPr>
          <w:p w14:paraId="7F1A8AB1" w14:textId="77777777" w:rsidR="00203F72" w:rsidRPr="00A53581" w:rsidRDefault="00203F72" w:rsidP="00D87D91">
            <w:r w:rsidRPr="00A53581">
              <w:t>11</w:t>
            </w:r>
          </w:p>
        </w:tc>
      </w:tr>
      <w:tr w:rsidR="00203F72" w:rsidRPr="00A53581" w14:paraId="10390F5F" w14:textId="77777777" w:rsidTr="00203F72">
        <w:tc>
          <w:tcPr>
            <w:tcW w:w="511" w:type="pct"/>
            <w:shd w:val="clear" w:color="auto" w:fill="auto"/>
          </w:tcPr>
          <w:p w14:paraId="2D1E70F5" w14:textId="77777777" w:rsidR="00203F72" w:rsidRPr="00A53581" w:rsidRDefault="00203F72" w:rsidP="00D87D91">
            <w:r w:rsidRPr="00A53581">
              <w:t>丙黨</w:t>
            </w:r>
          </w:p>
        </w:tc>
        <w:tc>
          <w:tcPr>
            <w:tcW w:w="668" w:type="pct"/>
            <w:shd w:val="clear" w:color="auto" w:fill="auto"/>
          </w:tcPr>
          <w:p w14:paraId="03E039E1" w14:textId="77777777" w:rsidR="00203F72" w:rsidRPr="00A53581" w:rsidRDefault="00203F72" w:rsidP="00D87D91">
            <w:r w:rsidRPr="00A53581">
              <w:t>1,000</w:t>
            </w:r>
          </w:p>
        </w:tc>
        <w:tc>
          <w:tcPr>
            <w:tcW w:w="668" w:type="pct"/>
            <w:vMerge/>
            <w:shd w:val="clear" w:color="auto" w:fill="auto"/>
          </w:tcPr>
          <w:p w14:paraId="4C191C2B" w14:textId="77777777" w:rsidR="00203F72" w:rsidRPr="00A53581" w:rsidRDefault="00203F72" w:rsidP="00D87D91"/>
        </w:tc>
        <w:tc>
          <w:tcPr>
            <w:tcW w:w="668" w:type="pct"/>
            <w:shd w:val="clear" w:color="auto" w:fill="auto"/>
          </w:tcPr>
          <w:p w14:paraId="7A5A76A2" w14:textId="77777777" w:rsidR="00203F72" w:rsidRPr="00A53581" w:rsidRDefault="00203F72" w:rsidP="00D87D91">
            <w:r w:rsidRPr="00A53581">
              <w:t>12.20%</w:t>
            </w:r>
          </w:p>
        </w:tc>
        <w:tc>
          <w:tcPr>
            <w:tcW w:w="668" w:type="pct"/>
            <w:vMerge/>
            <w:shd w:val="clear" w:color="auto" w:fill="auto"/>
          </w:tcPr>
          <w:p w14:paraId="7B861CF5" w14:textId="77777777" w:rsidR="00203F72" w:rsidRPr="00A53581" w:rsidRDefault="00203F72" w:rsidP="00D87D91"/>
        </w:tc>
        <w:tc>
          <w:tcPr>
            <w:tcW w:w="675" w:type="pct"/>
            <w:shd w:val="clear" w:color="auto" w:fill="auto"/>
          </w:tcPr>
          <w:p w14:paraId="6311E9CC" w14:textId="77777777" w:rsidR="00203F72" w:rsidRPr="00A53581" w:rsidRDefault="00203F72" w:rsidP="00D87D91">
            <w:r w:rsidRPr="00A53581">
              <w:t>4.1480</w:t>
            </w:r>
          </w:p>
        </w:tc>
        <w:tc>
          <w:tcPr>
            <w:tcW w:w="668" w:type="pct"/>
            <w:shd w:val="clear" w:color="auto" w:fill="auto"/>
          </w:tcPr>
          <w:p w14:paraId="41432E9F" w14:textId="77777777" w:rsidR="00203F72" w:rsidRPr="00A53581" w:rsidRDefault="00203F72" w:rsidP="00D87D91"/>
        </w:tc>
        <w:tc>
          <w:tcPr>
            <w:tcW w:w="474" w:type="pct"/>
            <w:shd w:val="clear" w:color="auto" w:fill="auto"/>
          </w:tcPr>
          <w:p w14:paraId="496058BC" w14:textId="77777777" w:rsidR="00203F72" w:rsidRPr="00A53581" w:rsidRDefault="00203F72" w:rsidP="00D87D91">
            <w:r w:rsidRPr="00A53581">
              <w:t>4</w:t>
            </w:r>
          </w:p>
        </w:tc>
      </w:tr>
      <w:tr w:rsidR="00203F72" w:rsidRPr="00A53581" w14:paraId="7426A943" w14:textId="77777777" w:rsidTr="00203F72">
        <w:tc>
          <w:tcPr>
            <w:tcW w:w="511" w:type="pct"/>
            <w:shd w:val="clear" w:color="auto" w:fill="auto"/>
          </w:tcPr>
          <w:p w14:paraId="780F78A3" w14:textId="77777777" w:rsidR="00203F72" w:rsidRPr="00A53581" w:rsidRDefault="00203F72" w:rsidP="00D87D91">
            <w:r w:rsidRPr="00A53581">
              <w:t>丁黨</w:t>
            </w:r>
          </w:p>
        </w:tc>
        <w:tc>
          <w:tcPr>
            <w:tcW w:w="668" w:type="pct"/>
            <w:shd w:val="clear" w:color="auto" w:fill="auto"/>
          </w:tcPr>
          <w:p w14:paraId="04941036" w14:textId="77777777" w:rsidR="00203F72" w:rsidRPr="00A53581" w:rsidRDefault="00203F72" w:rsidP="00D87D91">
            <w:r w:rsidRPr="00A53581">
              <w:t>500</w:t>
            </w:r>
          </w:p>
        </w:tc>
        <w:tc>
          <w:tcPr>
            <w:tcW w:w="668" w:type="pct"/>
            <w:vMerge/>
            <w:shd w:val="clear" w:color="auto" w:fill="auto"/>
          </w:tcPr>
          <w:p w14:paraId="3F3E98FF" w14:textId="77777777" w:rsidR="00203F72" w:rsidRPr="00A53581" w:rsidRDefault="00203F72" w:rsidP="00D87D91"/>
        </w:tc>
        <w:tc>
          <w:tcPr>
            <w:tcW w:w="668" w:type="pct"/>
            <w:shd w:val="clear" w:color="auto" w:fill="auto"/>
          </w:tcPr>
          <w:p w14:paraId="5F803D03" w14:textId="77777777" w:rsidR="00203F72" w:rsidRPr="00A53581" w:rsidRDefault="00203F72" w:rsidP="00D87D91">
            <w:r w:rsidRPr="00A53581">
              <w:t>6.01%</w:t>
            </w:r>
          </w:p>
        </w:tc>
        <w:tc>
          <w:tcPr>
            <w:tcW w:w="668" w:type="pct"/>
            <w:vMerge/>
            <w:shd w:val="clear" w:color="auto" w:fill="auto"/>
          </w:tcPr>
          <w:p w14:paraId="55B175C7" w14:textId="77777777" w:rsidR="00203F72" w:rsidRPr="00A53581" w:rsidRDefault="00203F72" w:rsidP="00D87D91"/>
        </w:tc>
        <w:tc>
          <w:tcPr>
            <w:tcW w:w="675" w:type="pct"/>
            <w:shd w:val="clear" w:color="auto" w:fill="auto"/>
          </w:tcPr>
          <w:p w14:paraId="14003D65" w14:textId="77777777" w:rsidR="00203F72" w:rsidRPr="00A53581" w:rsidRDefault="00203F72" w:rsidP="00D87D91">
            <w:r w:rsidRPr="00A53581">
              <w:t>2.0434</w:t>
            </w:r>
          </w:p>
        </w:tc>
        <w:tc>
          <w:tcPr>
            <w:tcW w:w="668" w:type="pct"/>
            <w:shd w:val="clear" w:color="auto" w:fill="auto"/>
          </w:tcPr>
          <w:p w14:paraId="684006F5" w14:textId="77777777" w:rsidR="00203F72" w:rsidRPr="00A53581" w:rsidRDefault="00203F72" w:rsidP="00D87D91"/>
        </w:tc>
        <w:tc>
          <w:tcPr>
            <w:tcW w:w="474" w:type="pct"/>
            <w:shd w:val="clear" w:color="auto" w:fill="auto"/>
          </w:tcPr>
          <w:p w14:paraId="7B57D8D7" w14:textId="77777777" w:rsidR="00203F72" w:rsidRPr="00A53581" w:rsidRDefault="00203F72" w:rsidP="00D87D91">
            <w:r w:rsidRPr="00A53581">
              <w:t>2</w:t>
            </w:r>
          </w:p>
        </w:tc>
      </w:tr>
      <w:tr w:rsidR="00203F72" w:rsidRPr="00A53581" w14:paraId="7C0DD147" w14:textId="77777777" w:rsidTr="00203F72">
        <w:tc>
          <w:tcPr>
            <w:tcW w:w="511" w:type="pct"/>
            <w:shd w:val="clear" w:color="auto" w:fill="auto"/>
          </w:tcPr>
          <w:p w14:paraId="0A38649B" w14:textId="77777777" w:rsidR="00203F72" w:rsidRPr="00A53581" w:rsidRDefault="00203F72" w:rsidP="00D87D91">
            <w:r w:rsidRPr="00A53581">
              <w:t>無黨籍</w:t>
            </w:r>
          </w:p>
        </w:tc>
        <w:tc>
          <w:tcPr>
            <w:tcW w:w="668" w:type="pct"/>
            <w:shd w:val="clear" w:color="auto" w:fill="auto"/>
          </w:tcPr>
          <w:p w14:paraId="30784C20" w14:textId="77777777" w:rsidR="00203F72" w:rsidRPr="00A53581" w:rsidRDefault="00203F72" w:rsidP="00D87D91">
            <w:r w:rsidRPr="00A53581">
              <w:t>300</w:t>
            </w:r>
          </w:p>
        </w:tc>
        <w:tc>
          <w:tcPr>
            <w:tcW w:w="668" w:type="pct"/>
            <w:vMerge/>
            <w:shd w:val="clear" w:color="auto" w:fill="auto"/>
          </w:tcPr>
          <w:p w14:paraId="120D3BD9" w14:textId="77777777" w:rsidR="00203F72" w:rsidRPr="00A53581" w:rsidRDefault="00203F72" w:rsidP="00D87D91"/>
        </w:tc>
        <w:tc>
          <w:tcPr>
            <w:tcW w:w="668" w:type="pct"/>
            <w:shd w:val="clear" w:color="auto" w:fill="auto"/>
          </w:tcPr>
          <w:p w14:paraId="20BDAD9B" w14:textId="77777777" w:rsidR="00203F72" w:rsidRPr="00A53581" w:rsidRDefault="00203F72" w:rsidP="00D87D91"/>
        </w:tc>
        <w:tc>
          <w:tcPr>
            <w:tcW w:w="668" w:type="pct"/>
            <w:vMerge/>
            <w:shd w:val="clear" w:color="auto" w:fill="auto"/>
          </w:tcPr>
          <w:p w14:paraId="27B9C882" w14:textId="77777777" w:rsidR="00203F72" w:rsidRPr="00A53581" w:rsidRDefault="00203F72" w:rsidP="00D87D91"/>
        </w:tc>
        <w:tc>
          <w:tcPr>
            <w:tcW w:w="675" w:type="pct"/>
            <w:shd w:val="clear" w:color="auto" w:fill="auto"/>
          </w:tcPr>
          <w:p w14:paraId="1D4DFBB8" w14:textId="77777777" w:rsidR="00203F72" w:rsidRPr="00A53581" w:rsidRDefault="00203F72" w:rsidP="00D87D91"/>
        </w:tc>
        <w:tc>
          <w:tcPr>
            <w:tcW w:w="668" w:type="pct"/>
            <w:shd w:val="clear" w:color="auto" w:fill="auto"/>
          </w:tcPr>
          <w:p w14:paraId="53BE892D" w14:textId="77777777" w:rsidR="00203F72" w:rsidRPr="00A53581" w:rsidRDefault="00203F72" w:rsidP="00D87D91"/>
        </w:tc>
        <w:tc>
          <w:tcPr>
            <w:tcW w:w="474" w:type="pct"/>
            <w:shd w:val="clear" w:color="auto" w:fill="auto"/>
          </w:tcPr>
          <w:p w14:paraId="4FA15A30" w14:textId="77777777" w:rsidR="00203F72" w:rsidRPr="00A53581" w:rsidRDefault="00203F72" w:rsidP="00D87D91"/>
        </w:tc>
      </w:tr>
      <w:tr w:rsidR="00203F72" w:rsidRPr="00A53581" w14:paraId="02F8BF60" w14:textId="77777777" w:rsidTr="00203F72">
        <w:tc>
          <w:tcPr>
            <w:tcW w:w="511" w:type="pct"/>
            <w:shd w:val="clear" w:color="auto" w:fill="auto"/>
          </w:tcPr>
          <w:p w14:paraId="39229BF0" w14:textId="77777777" w:rsidR="00203F72" w:rsidRPr="00A53581" w:rsidRDefault="00203F72" w:rsidP="00D87D91">
            <w:r w:rsidRPr="00A53581">
              <w:t>小結</w:t>
            </w:r>
          </w:p>
        </w:tc>
        <w:tc>
          <w:tcPr>
            <w:tcW w:w="668" w:type="pct"/>
            <w:shd w:val="clear" w:color="auto" w:fill="auto"/>
          </w:tcPr>
          <w:p w14:paraId="7FC50580" w14:textId="77777777" w:rsidR="00203F72" w:rsidRPr="00A53581" w:rsidRDefault="00203F72" w:rsidP="00D87D91"/>
        </w:tc>
        <w:tc>
          <w:tcPr>
            <w:tcW w:w="668" w:type="pct"/>
            <w:vMerge/>
            <w:shd w:val="clear" w:color="auto" w:fill="auto"/>
          </w:tcPr>
          <w:p w14:paraId="4470EBFF" w14:textId="77777777" w:rsidR="00203F72" w:rsidRPr="00A53581" w:rsidRDefault="00203F72" w:rsidP="00D87D91"/>
        </w:tc>
        <w:tc>
          <w:tcPr>
            <w:tcW w:w="668" w:type="pct"/>
            <w:shd w:val="clear" w:color="auto" w:fill="auto"/>
          </w:tcPr>
          <w:p w14:paraId="3B1A7013" w14:textId="77777777" w:rsidR="00203F72" w:rsidRPr="00A53581" w:rsidRDefault="00203F72" w:rsidP="00D87D91"/>
        </w:tc>
        <w:tc>
          <w:tcPr>
            <w:tcW w:w="668" w:type="pct"/>
            <w:vMerge/>
            <w:shd w:val="clear" w:color="auto" w:fill="auto"/>
          </w:tcPr>
          <w:p w14:paraId="004A6BF6" w14:textId="77777777" w:rsidR="00203F72" w:rsidRPr="00A53581" w:rsidRDefault="00203F72" w:rsidP="00D87D91"/>
        </w:tc>
        <w:tc>
          <w:tcPr>
            <w:tcW w:w="675" w:type="pct"/>
            <w:shd w:val="clear" w:color="auto" w:fill="auto"/>
          </w:tcPr>
          <w:p w14:paraId="421C74CA" w14:textId="77777777" w:rsidR="00203F72" w:rsidRPr="00A53581" w:rsidRDefault="00203F72" w:rsidP="00D87D91">
            <w:r w:rsidRPr="00A53581">
              <w:t>33</w:t>
            </w:r>
          </w:p>
        </w:tc>
        <w:tc>
          <w:tcPr>
            <w:tcW w:w="668" w:type="pct"/>
            <w:shd w:val="clear" w:color="auto" w:fill="auto"/>
          </w:tcPr>
          <w:p w14:paraId="58B93A9B" w14:textId="77777777" w:rsidR="00203F72" w:rsidRPr="00A53581" w:rsidRDefault="00203F72" w:rsidP="00D87D91">
            <w:r w:rsidRPr="00A53581">
              <w:t>1</w:t>
            </w:r>
          </w:p>
        </w:tc>
        <w:tc>
          <w:tcPr>
            <w:tcW w:w="474" w:type="pct"/>
            <w:shd w:val="clear" w:color="auto" w:fill="auto"/>
          </w:tcPr>
          <w:p w14:paraId="550A30A3" w14:textId="77777777" w:rsidR="00203F72" w:rsidRPr="00A53581" w:rsidRDefault="00203F72" w:rsidP="00D87D91">
            <w:r w:rsidRPr="00A53581">
              <w:t>34</w:t>
            </w:r>
          </w:p>
        </w:tc>
      </w:tr>
    </w:tbl>
    <w:p w14:paraId="1BD27768" w14:textId="77777777" w:rsidR="00953151" w:rsidRDefault="002107CE" w:rsidP="00D87D91">
      <w:r>
        <w:t>【本表格資料來源】</w:t>
      </w:r>
      <w:r w:rsidR="00203F72" w:rsidRPr="00A53581">
        <w:t>李惠宗</w:t>
      </w:r>
      <w:r w:rsidR="00203F72" w:rsidRPr="00A53581">
        <w:t>(2011)</w:t>
      </w:r>
      <w:r w:rsidR="00203F72" w:rsidRPr="00A53581">
        <w:t>，中華民國憲法概要：憲法生活的新思維（</w:t>
      </w:r>
      <w:r w:rsidR="00203F72" w:rsidRPr="00A53581">
        <w:t>Introduction to the Constitution of the Republic of China</w:t>
      </w:r>
      <w:r w:rsidR="00203F72" w:rsidRPr="00A53581">
        <w:t>），第</w:t>
      </w:r>
      <w:r w:rsidR="00203F72" w:rsidRPr="00A53581">
        <w:t>9</w:t>
      </w:r>
      <w:r w:rsidR="00203F72" w:rsidRPr="00A53581">
        <w:t>版，台北市：元照，第</w:t>
      </w:r>
      <w:r w:rsidR="00203F72" w:rsidRPr="00A53581">
        <w:t>145</w:t>
      </w:r>
      <w:r w:rsidR="00203F72" w:rsidRPr="00A53581">
        <w:t>頁</w:t>
      </w:r>
      <w:r w:rsidR="00545D58">
        <w:t>。</w:t>
      </w:r>
    </w:p>
    <w:p w14:paraId="743B86BB" w14:textId="77777777" w:rsidR="00953151" w:rsidRDefault="00076467" w:rsidP="00767F37">
      <w:pPr>
        <w:pStyle w:val="2"/>
      </w:pPr>
      <w:hyperlink r:id="rId723" w:anchor="a65" w:history="1">
        <w:r w:rsidR="005D5A46">
          <w:rPr>
            <w:rStyle w:val="a5"/>
            <w:rFonts w:ascii="Arial Unicode MS" w:hAnsi="Arial Unicode MS"/>
          </w:rPr>
          <w:t>第</w:t>
        </w:r>
        <w:r w:rsidR="00203F72" w:rsidRPr="001B53A5">
          <w:rPr>
            <w:rStyle w:val="a5"/>
            <w:rFonts w:ascii="Arial Unicode MS" w:hAnsi="Arial Unicode MS"/>
          </w:rPr>
          <w:t>65</w:t>
        </w:r>
        <w:r w:rsidR="005D5A46">
          <w:rPr>
            <w:rStyle w:val="a5"/>
            <w:rFonts w:ascii="Arial Unicode MS" w:hAnsi="Arial Unicode MS"/>
          </w:rPr>
          <w:t>條</w:t>
        </w:r>
      </w:hyperlink>
      <w:r w:rsidR="00203F72" w:rsidRPr="00A53581">
        <w:t>立法委員之任期為三年，連選得連任，其選舉於每屆任滿前三個月內完成之。</w:t>
      </w:r>
    </w:p>
    <w:p w14:paraId="2AAC9C63" w14:textId="77777777" w:rsidR="00953151" w:rsidRPr="00482FC4" w:rsidRDefault="00B03E84" w:rsidP="00D87D91">
      <w:r w:rsidRPr="00482FC4">
        <w:t>【內容解析】</w:t>
      </w:r>
    </w:p>
    <w:p w14:paraId="3AF83D89" w14:textId="77777777" w:rsidR="00953151" w:rsidRDefault="007F7377" w:rsidP="00D87D91">
      <w:r w:rsidRPr="00482FC4">
        <w:t xml:space="preserve">　　</w:t>
      </w:r>
      <w:r w:rsidR="00203F72" w:rsidRPr="00482FC4">
        <w:t>為因應國家統一前之需要，依照憲法增修條</w:t>
      </w:r>
      <w:r w:rsidR="009A2820" w:rsidRPr="00306E89">
        <w:t>文</w:t>
      </w:r>
      <w:hyperlink r:id="rId724"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482FC4">
        <w:t>之規定，立法院立法委員自第七屆起，委員人數減至一百一十三人，任期四年，連選得連任</w:t>
      </w:r>
      <w:r w:rsidR="00203F72" w:rsidRPr="00482FC4">
        <w:footnoteReference w:id="77"/>
      </w:r>
      <w:r w:rsidR="00203F72" w:rsidRPr="00482FC4">
        <w:t>。</w:t>
      </w:r>
    </w:p>
    <w:p w14:paraId="605D73C1" w14:textId="77777777" w:rsidR="00E108EB" w:rsidRPr="00482FC4" w:rsidRDefault="00E108EB" w:rsidP="00D87D91"/>
    <w:p w14:paraId="7C2E9BC9" w14:textId="13FC0BA8" w:rsidR="00203F72" w:rsidRPr="00482FC4" w:rsidRDefault="00B03E84" w:rsidP="00D87D91">
      <w:r w:rsidRPr="00482FC4">
        <w:t>【</w:t>
      </w:r>
      <w:r w:rsidRPr="00482FC4">
        <w:t>table</w:t>
      </w:r>
      <w:r w:rsidR="005E23E3" w:rsidRPr="00482FC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45</w:t>
      </w:r>
      <w:r w:rsidR="00076467">
        <w:rPr>
          <w:noProof/>
        </w:rPr>
        <w:fldChar w:fldCharType="end"/>
      </w:r>
      <w:r w:rsidR="00203F72" w:rsidRPr="00482FC4">
        <w:t>立法委員之選舉、改選、罷免、遞補、任期與兼職之限制</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6"/>
        <w:gridCol w:w="5822"/>
      </w:tblGrid>
      <w:tr w:rsidR="00203F72" w:rsidRPr="00A53581" w14:paraId="09F9689B" w14:textId="77777777" w:rsidTr="00203F72">
        <w:tc>
          <w:tcPr>
            <w:tcW w:w="1333" w:type="pct"/>
            <w:shd w:val="clear" w:color="auto" w:fill="auto"/>
          </w:tcPr>
          <w:p w14:paraId="231B64B5" w14:textId="77777777" w:rsidR="00203F72" w:rsidRPr="00A53581" w:rsidRDefault="00203F72" w:rsidP="00D87D91">
            <w:r w:rsidRPr="00A53581">
              <w:t>(</w:t>
            </w:r>
            <w:r w:rsidRPr="00A53581">
              <w:t>一</w:t>
            </w:r>
            <w:r w:rsidRPr="00A53581">
              <w:t>)</w:t>
            </w:r>
            <w:r w:rsidRPr="00A53581">
              <w:t>立法委員之選舉</w:t>
            </w:r>
          </w:p>
        </w:tc>
        <w:tc>
          <w:tcPr>
            <w:tcW w:w="3667" w:type="pct"/>
            <w:shd w:val="clear" w:color="auto" w:fill="auto"/>
          </w:tcPr>
          <w:p w14:paraId="6CF342CD" w14:textId="77777777" w:rsidR="00203F72" w:rsidRPr="00A53581" w:rsidRDefault="00E108EB" w:rsidP="00D87D91">
            <w:r>
              <w:rPr>
                <w:rFonts w:hint="eastAsia"/>
              </w:rPr>
              <w:t xml:space="preserve">　　</w:t>
            </w:r>
            <w:r w:rsidR="00203F72" w:rsidRPr="00A53581">
              <w:t>立法</w:t>
            </w:r>
            <w:r w:rsidR="00203F72" w:rsidRPr="00A53581">
              <w:rPr>
                <w:rFonts w:hint="eastAsia"/>
              </w:rPr>
              <w:t>院</w:t>
            </w:r>
            <w:r w:rsidR="00203F72" w:rsidRPr="00A53581">
              <w:t>立法</w:t>
            </w:r>
            <w:r w:rsidR="00203F72" w:rsidRPr="00A53581">
              <w:rPr>
                <w:rFonts w:hint="eastAsia"/>
              </w:rPr>
              <w:t>委員自第七屆起</w:t>
            </w:r>
            <w:r w:rsidR="00203F72" w:rsidRPr="00A53581">
              <w:rPr>
                <w:rFonts w:hint="eastAsia"/>
              </w:rPr>
              <w:t>113</w:t>
            </w:r>
            <w:r w:rsidR="00203F72" w:rsidRPr="00A53581">
              <w:rPr>
                <w:rFonts w:hint="eastAsia"/>
              </w:rPr>
              <w:t>人，依下列規定選出之，不受憲法</w:t>
            </w:r>
            <w:hyperlink r:id="rId725" w:anchor="a65" w:history="1">
              <w:r w:rsidR="00203F72" w:rsidRPr="00E108EB">
                <w:rPr>
                  <w:rStyle w:val="a5"/>
                  <w:rFonts w:ascii="Times New Roman" w:eastAsia="新細明體" w:hAnsi="Times New Roman" w:hint="eastAsia"/>
                </w:rPr>
                <w:t>第</w:t>
              </w:r>
              <w:r w:rsidR="00203F72" w:rsidRPr="00E108EB">
                <w:rPr>
                  <w:rStyle w:val="a5"/>
                  <w:rFonts w:ascii="Times New Roman" w:eastAsia="新細明體" w:hAnsi="Times New Roman" w:hint="eastAsia"/>
                </w:rPr>
                <w:t>64</w:t>
              </w:r>
              <w:r w:rsidR="00203F72" w:rsidRPr="00E108EB">
                <w:rPr>
                  <w:rStyle w:val="a5"/>
                  <w:rFonts w:ascii="Times New Roman" w:eastAsia="新細明體" w:hAnsi="Times New Roman" w:hint="eastAsia"/>
                </w:rPr>
                <w:t>條</w:t>
              </w:r>
            </w:hyperlink>
            <w:r w:rsidR="00203F72" w:rsidRPr="00A53581">
              <w:rPr>
                <w:rFonts w:hint="eastAsia"/>
              </w:rPr>
              <w:t>及</w:t>
            </w:r>
            <w:hyperlink r:id="rId726" w:anchor="a65" w:history="1">
              <w:r w:rsidRPr="00B213D8">
                <w:rPr>
                  <w:rStyle w:val="a5"/>
                  <w:rFonts w:ascii="Times New Roman" w:eastAsia="新細明體" w:hAnsi="Times New Roman" w:hint="eastAsia"/>
                </w:rPr>
                <w:t>第</w:t>
              </w:r>
              <w:r w:rsidRPr="00B213D8">
                <w:rPr>
                  <w:rStyle w:val="a5"/>
                  <w:rFonts w:ascii="Times New Roman" w:eastAsia="新細明體" w:hAnsi="Times New Roman" w:hint="eastAsia"/>
                </w:rPr>
                <w:t>65</w:t>
              </w:r>
              <w:r w:rsidRPr="00B213D8">
                <w:rPr>
                  <w:rStyle w:val="a5"/>
                  <w:rFonts w:ascii="Times New Roman" w:eastAsia="新細明體" w:hAnsi="Times New Roman" w:hint="eastAsia"/>
                </w:rPr>
                <w:t>條</w:t>
              </w:r>
            </w:hyperlink>
            <w:r w:rsidR="00203F72" w:rsidRPr="00A53581">
              <w:rPr>
                <w:rFonts w:hint="eastAsia"/>
              </w:rPr>
              <w:t>之限制（憲修</w:t>
            </w:r>
            <w:r w:rsidR="00203F72" w:rsidRPr="00A53581">
              <w:rPr>
                <w:rFonts w:hint="eastAsia"/>
              </w:rPr>
              <w:t>4</w:t>
            </w:r>
            <w:r w:rsidR="00203F72" w:rsidRPr="00A53581">
              <w:rPr>
                <w:rFonts w:hint="eastAsia"/>
              </w:rPr>
              <w:t>）：</w:t>
            </w:r>
          </w:p>
          <w:p w14:paraId="4B56A483" w14:textId="77777777" w:rsidR="00203F72" w:rsidRPr="00A53581" w:rsidRDefault="00E108EB" w:rsidP="00D87D91">
            <w:r>
              <w:rPr>
                <w:rFonts w:hint="eastAsia"/>
              </w:rPr>
              <w:t xml:space="preserve">　　</w:t>
            </w:r>
            <w:r w:rsidR="00203F72" w:rsidRPr="00A53581">
              <w:rPr>
                <w:rFonts w:hint="eastAsia"/>
              </w:rPr>
              <w:t>1.</w:t>
            </w:r>
            <w:r w:rsidR="00203F72" w:rsidRPr="00A53581">
              <w:rPr>
                <w:rFonts w:hint="eastAsia"/>
              </w:rPr>
              <w:t>自由地區直轄市、縣市</w:t>
            </w:r>
            <w:r w:rsidR="00203F72" w:rsidRPr="00A53581">
              <w:rPr>
                <w:rFonts w:hint="eastAsia"/>
              </w:rPr>
              <w:t>73</w:t>
            </w:r>
            <w:r w:rsidR="00203F72" w:rsidRPr="00A53581">
              <w:rPr>
                <w:rFonts w:hint="eastAsia"/>
              </w:rPr>
              <w:t>人</w:t>
            </w:r>
            <w:r w:rsidR="00203F72" w:rsidRPr="00A53581">
              <w:rPr>
                <w:rFonts w:hint="eastAsia"/>
                <w:kern w:val="0"/>
              </w:rPr>
              <w:t>。每縣市至少</w:t>
            </w:r>
            <w:r w:rsidR="00203F72" w:rsidRPr="00A53581">
              <w:rPr>
                <w:rFonts w:hint="eastAsia"/>
                <w:kern w:val="0"/>
              </w:rPr>
              <w:t>1</w:t>
            </w:r>
            <w:r w:rsidR="00203F72" w:rsidRPr="00A53581">
              <w:rPr>
                <w:rFonts w:hint="eastAsia"/>
                <w:kern w:val="0"/>
              </w:rPr>
              <w:t>人。</w:t>
            </w:r>
          </w:p>
          <w:p w14:paraId="55F2211C" w14:textId="77777777" w:rsidR="00203F72" w:rsidRPr="00A53581" w:rsidRDefault="00E108EB" w:rsidP="00D87D91">
            <w:r>
              <w:rPr>
                <w:rFonts w:hint="eastAsia"/>
              </w:rPr>
              <w:t xml:space="preserve">　　</w:t>
            </w:r>
            <w:r w:rsidR="00203F72" w:rsidRPr="00A53581">
              <w:rPr>
                <w:rFonts w:hint="eastAsia"/>
              </w:rPr>
              <w:t>2.</w:t>
            </w:r>
            <w:r w:rsidR="00203F72" w:rsidRPr="00A53581">
              <w:rPr>
                <w:rFonts w:hint="eastAsia"/>
              </w:rPr>
              <w:t>自由地區平地原住民及山地原住民各</w:t>
            </w:r>
            <w:r w:rsidR="00203F72" w:rsidRPr="00A53581">
              <w:rPr>
                <w:rFonts w:hint="eastAsia"/>
              </w:rPr>
              <w:t>3</w:t>
            </w:r>
            <w:r w:rsidR="00203F72" w:rsidRPr="00A53581">
              <w:rPr>
                <w:rFonts w:hint="eastAsia"/>
              </w:rPr>
              <w:t>人</w:t>
            </w:r>
            <w:r w:rsidR="00203F72" w:rsidRPr="00A53581">
              <w:rPr>
                <w:rFonts w:hint="eastAsia"/>
                <w:kern w:val="0"/>
              </w:rPr>
              <w:t>。</w:t>
            </w:r>
          </w:p>
          <w:p w14:paraId="44ED221D" w14:textId="77777777" w:rsidR="00953151" w:rsidRDefault="00E108EB" w:rsidP="00D87D91">
            <w:r>
              <w:rPr>
                <w:rFonts w:hint="eastAsia"/>
              </w:rPr>
              <w:t xml:space="preserve">　　</w:t>
            </w:r>
            <w:r w:rsidR="00203F72" w:rsidRPr="00A53581">
              <w:rPr>
                <w:rFonts w:hint="eastAsia"/>
              </w:rPr>
              <w:t>3.</w:t>
            </w:r>
            <w:r w:rsidR="00203F72" w:rsidRPr="00A53581">
              <w:rPr>
                <w:rFonts w:hint="eastAsia"/>
              </w:rPr>
              <w:t>全國不分區及僑居國外國民共</w:t>
            </w:r>
            <w:r w:rsidR="00203F72" w:rsidRPr="00A53581">
              <w:rPr>
                <w:rFonts w:hint="eastAsia"/>
              </w:rPr>
              <w:t>34</w:t>
            </w:r>
            <w:r w:rsidR="00203F72" w:rsidRPr="00A53581">
              <w:rPr>
                <w:rFonts w:hint="eastAsia"/>
              </w:rPr>
              <w:t>人</w:t>
            </w:r>
            <w:r w:rsidR="00203F72" w:rsidRPr="00A53581">
              <w:rPr>
                <w:rFonts w:hint="eastAsia"/>
                <w:kern w:val="0"/>
              </w:rPr>
              <w:t>。</w:t>
            </w:r>
          </w:p>
          <w:p w14:paraId="58427E70" w14:textId="77777777" w:rsidR="00203F72" w:rsidRPr="00A53581" w:rsidRDefault="00E108EB" w:rsidP="00D87D91">
            <w:r>
              <w:rPr>
                <w:rFonts w:hint="eastAsia"/>
              </w:rPr>
              <w:t xml:space="preserve">　　</w:t>
            </w:r>
            <w:r w:rsidR="00203F72" w:rsidRPr="00A53581">
              <w:rPr>
                <w:rFonts w:hint="eastAsia"/>
              </w:rPr>
              <w:t>前項第</w:t>
            </w:r>
            <w:r w:rsidR="00203F72" w:rsidRPr="00A53581">
              <w:rPr>
                <w:rFonts w:hint="eastAsia"/>
              </w:rPr>
              <w:t>1</w:t>
            </w:r>
            <w:r w:rsidR="00203F72" w:rsidRPr="00A53581">
              <w:rPr>
                <w:rFonts w:hint="eastAsia"/>
              </w:rPr>
              <w:t>款依各直轄市、縣市人口比例分配，並按應選名額劃分同額選舉區選出之。第</w:t>
            </w:r>
            <w:r w:rsidR="00203F72" w:rsidRPr="00A53581">
              <w:rPr>
                <w:rFonts w:hint="eastAsia"/>
              </w:rPr>
              <w:t>3</w:t>
            </w:r>
            <w:r w:rsidR="00203F72" w:rsidRPr="00A53581">
              <w:rPr>
                <w:rFonts w:hint="eastAsia"/>
              </w:rPr>
              <w:t>款依政黨名單投票選舉之，由獲得百分之五以上政黨選舉票之政黨依得票比率選出之，各政黨當選名單中，婦女不得低於二分之一。</w:t>
            </w:r>
          </w:p>
        </w:tc>
      </w:tr>
      <w:tr w:rsidR="00203F72" w:rsidRPr="00A53581" w14:paraId="60470E70" w14:textId="77777777" w:rsidTr="00203F72">
        <w:tc>
          <w:tcPr>
            <w:tcW w:w="1333" w:type="pct"/>
            <w:shd w:val="clear" w:color="auto" w:fill="auto"/>
          </w:tcPr>
          <w:p w14:paraId="402EB496" w14:textId="77777777" w:rsidR="00203F72" w:rsidRPr="00A53581" w:rsidRDefault="00203F72" w:rsidP="00D87D91">
            <w:r w:rsidRPr="00A53581">
              <w:t>(</w:t>
            </w:r>
            <w:r w:rsidRPr="00A53581">
              <w:t>二</w:t>
            </w:r>
            <w:r w:rsidRPr="00A53581">
              <w:t>)</w:t>
            </w:r>
            <w:r w:rsidRPr="00A53581">
              <w:t>立法委員解散後之改選</w:t>
            </w:r>
          </w:p>
        </w:tc>
        <w:tc>
          <w:tcPr>
            <w:tcW w:w="3667" w:type="pct"/>
            <w:shd w:val="clear" w:color="auto" w:fill="auto"/>
          </w:tcPr>
          <w:p w14:paraId="5AD2B3C2" w14:textId="77777777" w:rsidR="00203F72" w:rsidRPr="00A53581" w:rsidRDefault="00E108EB" w:rsidP="00D87D91">
            <w:r>
              <w:rPr>
                <w:rFonts w:hint="eastAsia"/>
              </w:rPr>
              <w:t xml:space="preserve">　　</w:t>
            </w:r>
            <w:r w:rsidR="00203F72" w:rsidRPr="00A53581">
              <w:rPr>
                <w:rFonts w:hint="eastAsia"/>
              </w:rPr>
              <w:t>立法院解散後，應於</w:t>
            </w:r>
            <w:r w:rsidR="00203F72" w:rsidRPr="00A53581">
              <w:rPr>
                <w:rFonts w:hint="eastAsia"/>
              </w:rPr>
              <w:t>60</w:t>
            </w:r>
            <w:r w:rsidR="00203F72" w:rsidRPr="00A53581">
              <w:rPr>
                <w:rFonts w:hint="eastAsia"/>
              </w:rPr>
              <w:t>日內舉行立法委員選舉，並於選舉結果確認後</w:t>
            </w:r>
            <w:r w:rsidR="00203F72" w:rsidRPr="00A53581">
              <w:rPr>
                <w:rFonts w:hint="eastAsia"/>
              </w:rPr>
              <w:t>10</w:t>
            </w:r>
            <w:r w:rsidR="00203F72" w:rsidRPr="00A53581">
              <w:rPr>
                <w:rFonts w:hint="eastAsia"/>
              </w:rPr>
              <w:t>日內自行集會，其任期重新起算（憲修</w:t>
            </w:r>
            <w:r w:rsidR="00203F72" w:rsidRPr="00A53581">
              <w:rPr>
                <w:rFonts w:hint="eastAsia"/>
              </w:rPr>
              <w:t>2V</w:t>
            </w:r>
            <w:r w:rsidR="00203F72" w:rsidRPr="00A53581">
              <w:rPr>
                <w:rFonts w:hint="eastAsia"/>
              </w:rPr>
              <w:t>）</w:t>
            </w:r>
            <w:r w:rsidR="00203F72" w:rsidRPr="00A53581">
              <w:rPr>
                <w:rFonts w:hint="eastAsia"/>
                <w:kern w:val="0"/>
              </w:rPr>
              <w:t>。</w:t>
            </w:r>
          </w:p>
        </w:tc>
      </w:tr>
      <w:tr w:rsidR="00203F72" w:rsidRPr="00A53581" w14:paraId="2753AD96" w14:textId="77777777" w:rsidTr="00203F72">
        <w:tc>
          <w:tcPr>
            <w:tcW w:w="1333" w:type="pct"/>
            <w:shd w:val="clear" w:color="auto" w:fill="auto"/>
          </w:tcPr>
          <w:p w14:paraId="2101CD49" w14:textId="77777777" w:rsidR="00203F72" w:rsidRPr="00A53581" w:rsidRDefault="00203F72" w:rsidP="00D87D91">
            <w:r w:rsidRPr="00A53581">
              <w:t>(</w:t>
            </w:r>
            <w:r w:rsidRPr="00A53581">
              <w:t>三</w:t>
            </w:r>
            <w:r w:rsidRPr="00A53581">
              <w:t>)</w:t>
            </w:r>
            <w:r w:rsidRPr="00A53581">
              <w:t>立法委員之罷免</w:t>
            </w:r>
          </w:p>
        </w:tc>
        <w:tc>
          <w:tcPr>
            <w:tcW w:w="3667" w:type="pct"/>
            <w:shd w:val="clear" w:color="auto" w:fill="auto"/>
          </w:tcPr>
          <w:p w14:paraId="5D2D20E4" w14:textId="77777777" w:rsidR="00203F72" w:rsidRPr="00A53581" w:rsidRDefault="00E108EB" w:rsidP="00D87D91">
            <w:r>
              <w:rPr>
                <w:rFonts w:hint="eastAsia"/>
              </w:rPr>
              <w:t xml:space="preserve">　　</w:t>
            </w:r>
            <w:r w:rsidR="00203F72" w:rsidRPr="00A53581">
              <w:rPr>
                <w:rFonts w:hint="eastAsia"/>
              </w:rPr>
              <w:t>立法委員之罷免，得由原選舉區選舉人向選舉委員會提出罷免案。但就職未滿</w:t>
            </w:r>
            <w:r w:rsidR="00203F72" w:rsidRPr="00A53581">
              <w:rPr>
                <w:rFonts w:hint="eastAsia"/>
              </w:rPr>
              <w:t>1</w:t>
            </w:r>
            <w:r w:rsidR="00203F72" w:rsidRPr="00A53581">
              <w:rPr>
                <w:rFonts w:hint="eastAsia"/>
              </w:rPr>
              <w:t>年者不得罷免（公選</w:t>
            </w:r>
            <w:r w:rsidR="00203F72" w:rsidRPr="00A53581">
              <w:rPr>
                <w:rFonts w:hint="eastAsia"/>
              </w:rPr>
              <w:t>75</w:t>
            </w:r>
            <w:r w:rsidR="00203F72" w:rsidRPr="00A53581">
              <w:rPr>
                <w:rFonts w:hint="eastAsia"/>
              </w:rPr>
              <w:t>）。但全國不分區之立法委員不適用罷免之規定，惟如其喪失其所由選出之政黨黨員資格時，即應喪失立法委員資格（公選</w:t>
            </w:r>
            <w:r w:rsidR="00203F72" w:rsidRPr="00A53581">
              <w:rPr>
                <w:rFonts w:hint="eastAsia"/>
              </w:rPr>
              <w:t>73</w:t>
            </w:r>
            <w:r w:rsidR="00203F72" w:rsidRPr="00A53581">
              <w:rPr>
                <w:rFonts w:hint="eastAsia"/>
              </w:rPr>
              <w:t>Ⅱ）。</w:t>
            </w:r>
          </w:p>
        </w:tc>
      </w:tr>
      <w:tr w:rsidR="00203F72" w:rsidRPr="00A53581" w14:paraId="38DF5312" w14:textId="77777777" w:rsidTr="00203F72">
        <w:tc>
          <w:tcPr>
            <w:tcW w:w="1333" w:type="pct"/>
            <w:shd w:val="clear" w:color="auto" w:fill="auto"/>
          </w:tcPr>
          <w:p w14:paraId="50371667" w14:textId="77777777" w:rsidR="00203F72" w:rsidRPr="00A53581" w:rsidRDefault="00203F72" w:rsidP="00D87D91">
            <w:r w:rsidRPr="00A53581">
              <w:t>(</w:t>
            </w:r>
            <w:r w:rsidRPr="00A53581">
              <w:t>四</w:t>
            </w:r>
            <w:r w:rsidRPr="00A53581">
              <w:t>)</w:t>
            </w:r>
            <w:r w:rsidRPr="00A53581">
              <w:t>立法委員之遞補</w:t>
            </w:r>
          </w:p>
        </w:tc>
        <w:tc>
          <w:tcPr>
            <w:tcW w:w="3667" w:type="pct"/>
            <w:shd w:val="clear" w:color="auto" w:fill="auto"/>
          </w:tcPr>
          <w:p w14:paraId="6C634F1F" w14:textId="77777777" w:rsidR="00203F72" w:rsidRPr="00A53581" w:rsidRDefault="00E108EB" w:rsidP="00D87D91">
            <w:r>
              <w:rPr>
                <w:rFonts w:hint="eastAsia"/>
              </w:rPr>
              <w:t xml:space="preserve">　　</w:t>
            </w:r>
            <w:r w:rsidR="00203F72" w:rsidRPr="00A53581">
              <w:rPr>
                <w:rFonts w:hint="eastAsia"/>
              </w:rPr>
              <w:t>全國不分區及僑居國外國民選出之立法委員，其所遺缺額，除以書面聲明放棄遞補者外，由該政黨登記之候選人名單按順位依序遞補（公選</w:t>
            </w:r>
            <w:r w:rsidR="00203F72" w:rsidRPr="00A53581">
              <w:rPr>
                <w:rFonts w:hint="eastAsia"/>
              </w:rPr>
              <w:t>73</w:t>
            </w:r>
            <w:r w:rsidR="00203F72" w:rsidRPr="00A53581">
              <w:rPr>
                <w:rFonts w:hint="eastAsia"/>
              </w:rPr>
              <w:t>Ⅰ③）</w:t>
            </w:r>
            <w:r w:rsidR="00203F72" w:rsidRPr="00A53581">
              <w:rPr>
                <w:rFonts w:hint="eastAsia"/>
                <w:kern w:val="0"/>
              </w:rPr>
              <w:t>。</w:t>
            </w:r>
          </w:p>
        </w:tc>
      </w:tr>
      <w:tr w:rsidR="00203F72" w:rsidRPr="00A53581" w14:paraId="6E8BC937" w14:textId="77777777" w:rsidTr="00203F72">
        <w:tc>
          <w:tcPr>
            <w:tcW w:w="1333" w:type="pct"/>
            <w:shd w:val="clear" w:color="auto" w:fill="auto"/>
          </w:tcPr>
          <w:p w14:paraId="6A82A849" w14:textId="77777777" w:rsidR="00203F72" w:rsidRPr="00A53581" w:rsidRDefault="00203F72" w:rsidP="00D87D91">
            <w:r w:rsidRPr="00A53581">
              <w:t>(</w:t>
            </w:r>
            <w:r w:rsidRPr="00A53581">
              <w:t>五</w:t>
            </w:r>
            <w:r w:rsidRPr="00A53581">
              <w:t>)</w:t>
            </w:r>
            <w:r w:rsidRPr="00A53581">
              <w:t>立法委員之任期</w:t>
            </w:r>
          </w:p>
        </w:tc>
        <w:tc>
          <w:tcPr>
            <w:tcW w:w="3667" w:type="pct"/>
            <w:shd w:val="clear" w:color="auto" w:fill="auto"/>
          </w:tcPr>
          <w:p w14:paraId="317EF50D" w14:textId="77777777" w:rsidR="00203F72" w:rsidRPr="00A53581" w:rsidRDefault="00203F72" w:rsidP="00D87D91">
            <w:r w:rsidRPr="00A53581">
              <w:rPr>
                <w:rFonts w:hint="eastAsia"/>
              </w:rPr>
              <w:t>立法委員自第七屆起，任期為</w:t>
            </w:r>
            <w:r w:rsidRPr="00A53581">
              <w:rPr>
                <w:rFonts w:hint="eastAsia"/>
              </w:rPr>
              <w:t>4</w:t>
            </w:r>
            <w:r w:rsidRPr="00A53581">
              <w:rPr>
                <w:rFonts w:hint="eastAsia"/>
              </w:rPr>
              <w:t>年，連選得連任（憲修</w:t>
            </w:r>
            <w:r w:rsidRPr="00A53581">
              <w:rPr>
                <w:rFonts w:hint="eastAsia"/>
              </w:rPr>
              <w:t>4</w:t>
            </w:r>
            <w:r w:rsidRPr="00A53581">
              <w:rPr>
                <w:rFonts w:hint="eastAsia"/>
              </w:rPr>
              <w:t>Ⅰ），其選舉應於每屆任滿前</w:t>
            </w:r>
            <w:r w:rsidRPr="00A53581">
              <w:rPr>
                <w:rFonts w:hint="eastAsia"/>
              </w:rPr>
              <w:t>3</w:t>
            </w:r>
            <w:r w:rsidRPr="00A53581">
              <w:rPr>
                <w:rFonts w:hint="eastAsia"/>
              </w:rPr>
              <w:t>個月內或解散後</w:t>
            </w:r>
            <w:r w:rsidRPr="00A53581">
              <w:rPr>
                <w:rFonts w:hint="eastAsia"/>
              </w:rPr>
              <w:t>60</w:t>
            </w:r>
            <w:r w:rsidRPr="00A53581">
              <w:rPr>
                <w:rFonts w:hint="eastAsia"/>
              </w:rPr>
              <w:t>日內完成之（憲修</w:t>
            </w:r>
            <w:r w:rsidRPr="00A53581">
              <w:rPr>
                <w:rFonts w:hint="eastAsia"/>
              </w:rPr>
              <w:t>2V</w:t>
            </w:r>
            <w:r w:rsidRPr="00A53581">
              <w:rPr>
                <w:rFonts w:hint="eastAsia"/>
              </w:rPr>
              <w:t>）</w:t>
            </w:r>
            <w:r w:rsidRPr="00A53581">
              <w:rPr>
                <w:rFonts w:hint="eastAsia"/>
                <w:kern w:val="0"/>
              </w:rPr>
              <w:t>。</w:t>
            </w:r>
          </w:p>
        </w:tc>
      </w:tr>
      <w:tr w:rsidR="00203F72" w:rsidRPr="00A53581" w14:paraId="25E693A7" w14:textId="77777777" w:rsidTr="00203F72">
        <w:tc>
          <w:tcPr>
            <w:tcW w:w="1333" w:type="pct"/>
            <w:shd w:val="clear" w:color="auto" w:fill="auto"/>
          </w:tcPr>
          <w:p w14:paraId="03B3267D" w14:textId="77777777" w:rsidR="00203F72" w:rsidRPr="00A53581" w:rsidRDefault="00203F72" w:rsidP="00D87D91">
            <w:r w:rsidRPr="00A53581">
              <w:t>(</w:t>
            </w:r>
            <w:r w:rsidRPr="00A53581">
              <w:t>六</w:t>
            </w:r>
            <w:r w:rsidRPr="00A53581">
              <w:t>)</w:t>
            </w:r>
            <w:r w:rsidRPr="00A53581">
              <w:t>立法委員兼職之限制</w:t>
            </w:r>
          </w:p>
        </w:tc>
        <w:tc>
          <w:tcPr>
            <w:tcW w:w="3667" w:type="pct"/>
            <w:shd w:val="clear" w:color="auto" w:fill="auto"/>
          </w:tcPr>
          <w:p w14:paraId="0AD84548" w14:textId="77777777" w:rsidR="00203F72" w:rsidRPr="00A53581" w:rsidRDefault="00203F72" w:rsidP="00D87D91">
            <w:r w:rsidRPr="00A53581">
              <w:rPr>
                <w:rFonts w:hint="eastAsia"/>
              </w:rPr>
              <w:t>立法委員不得兼任官史，所謂官史，凡受有俸給之文武職公務員、公營事業機關之董事、監察人、總經理，以及省銀行之董事及監察人，均屬之（司釋第</w:t>
            </w:r>
            <w:r w:rsidRPr="00A53581">
              <w:rPr>
                <w:rFonts w:hint="eastAsia"/>
              </w:rPr>
              <w:t>24</w:t>
            </w:r>
            <w:r w:rsidRPr="00A53581">
              <w:rPr>
                <w:rFonts w:hint="eastAsia"/>
              </w:rPr>
              <w:t>號、第</w:t>
            </w:r>
            <w:r w:rsidRPr="00A53581">
              <w:rPr>
                <w:rFonts w:hint="eastAsia"/>
              </w:rPr>
              <w:t>25</w:t>
            </w:r>
            <w:r w:rsidRPr="00A53581">
              <w:rPr>
                <w:rFonts w:hint="eastAsia"/>
              </w:rPr>
              <w:t>號）</w:t>
            </w:r>
            <w:r w:rsidRPr="00A53581">
              <w:rPr>
                <w:rFonts w:hint="eastAsia"/>
                <w:kern w:val="0"/>
              </w:rPr>
              <w:t>。立法委員如就任官史，即應辭去立法委員，其未辭職而就任官吏者，應於其就任時，</w:t>
            </w:r>
            <w:r w:rsidR="003E240E">
              <w:rPr>
                <w:rFonts w:hint="eastAsia"/>
                <w:kern w:val="0"/>
              </w:rPr>
              <w:t>視</w:t>
            </w:r>
            <w:r w:rsidRPr="00A53581">
              <w:rPr>
                <w:rFonts w:hint="eastAsia"/>
                <w:kern w:val="0"/>
              </w:rPr>
              <w:t>為辭職（憲</w:t>
            </w:r>
            <w:r w:rsidRPr="00A53581">
              <w:rPr>
                <w:rFonts w:hint="eastAsia"/>
                <w:kern w:val="0"/>
              </w:rPr>
              <w:t>75</w:t>
            </w:r>
            <w:r w:rsidRPr="00A53581">
              <w:rPr>
                <w:rFonts w:hint="eastAsia"/>
                <w:kern w:val="0"/>
              </w:rPr>
              <w:t>、司法院釋字第</w:t>
            </w:r>
            <w:r w:rsidRPr="00A53581">
              <w:rPr>
                <w:rFonts w:hint="eastAsia"/>
                <w:kern w:val="0"/>
              </w:rPr>
              <w:t>1</w:t>
            </w:r>
            <w:r w:rsidRPr="00A53581">
              <w:rPr>
                <w:rFonts w:hint="eastAsia"/>
                <w:kern w:val="0"/>
              </w:rPr>
              <w:t>號）。</w:t>
            </w:r>
          </w:p>
        </w:tc>
      </w:tr>
    </w:tbl>
    <w:p w14:paraId="19BB45DC" w14:textId="77777777" w:rsidR="00203F72" w:rsidRPr="00A53581" w:rsidRDefault="00B76D62" w:rsidP="00D87D91">
      <w:r>
        <w:t>【本表資料來源】</w:t>
      </w:r>
      <w:r w:rsidR="00203F72" w:rsidRPr="00A53581">
        <w:t>謝瑞智、謝世維</w:t>
      </w:r>
      <w:r w:rsidR="00203F72" w:rsidRPr="00A53581">
        <w:t>(2010)</w:t>
      </w:r>
      <w:r w:rsidR="00203F72" w:rsidRPr="00A53581">
        <w:t>，憲法概要，增訂</w:t>
      </w:r>
      <w:r w:rsidR="00203F72" w:rsidRPr="00A53581">
        <w:t>14</w:t>
      </w:r>
      <w:r w:rsidR="00203F72" w:rsidRPr="00A53581">
        <w:t>版，台北市：文笙書局，第</w:t>
      </w:r>
      <w:r w:rsidR="00203F72" w:rsidRPr="00A53581">
        <w:t>194</w:t>
      </w:r>
      <w:r w:rsidR="00203F72" w:rsidRPr="00A53581">
        <w:rPr>
          <w:rFonts w:hint="eastAsia"/>
        </w:rPr>
        <w:t>-195</w:t>
      </w:r>
      <w:r w:rsidR="00203F72" w:rsidRPr="00A53581">
        <w:t>頁。</w:t>
      </w:r>
    </w:p>
    <w:p w14:paraId="4073DABE" w14:textId="77777777" w:rsidR="00953151" w:rsidRDefault="007F7377" w:rsidP="00D87D91">
      <w:r>
        <w:rPr>
          <w:rFonts w:hint="eastAsia"/>
        </w:rPr>
        <w:t>【備註】</w:t>
      </w:r>
      <w:r w:rsidR="00203F72" w:rsidRPr="00A53581">
        <w:rPr>
          <w:rFonts w:hint="eastAsia"/>
        </w:rPr>
        <w:t>公選，乃指</w:t>
      </w:r>
      <w:hyperlink r:id="rId727" w:history="1">
        <w:r w:rsidR="00203F72" w:rsidRPr="009D621C">
          <w:rPr>
            <w:rStyle w:val="a5"/>
            <w:rFonts w:eastAsia="新細明體" w:hint="eastAsia"/>
            <w:kern w:val="0"/>
          </w:rPr>
          <w:t>公職人員選舉罷免法</w:t>
        </w:r>
      </w:hyperlink>
      <w:r w:rsidR="00545D58">
        <w:rPr>
          <w:rFonts w:hint="eastAsia"/>
        </w:rPr>
        <w:t>。</w:t>
      </w:r>
    </w:p>
    <w:p w14:paraId="379B925A" w14:textId="77777777" w:rsidR="00953151" w:rsidRDefault="00076467" w:rsidP="00767F37">
      <w:pPr>
        <w:pStyle w:val="2"/>
      </w:pPr>
      <w:hyperlink r:id="rId728" w:anchor="a66" w:history="1">
        <w:r w:rsidR="005D5A46">
          <w:rPr>
            <w:rStyle w:val="a5"/>
            <w:rFonts w:ascii="Arial Unicode MS" w:hAnsi="Arial Unicode MS"/>
          </w:rPr>
          <w:t>第</w:t>
        </w:r>
        <w:r w:rsidR="00203F72" w:rsidRPr="001B53A5">
          <w:rPr>
            <w:rStyle w:val="a5"/>
            <w:rFonts w:ascii="Arial Unicode MS" w:hAnsi="Arial Unicode MS"/>
          </w:rPr>
          <w:t>66</w:t>
        </w:r>
        <w:r w:rsidR="005D5A46">
          <w:rPr>
            <w:rStyle w:val="a5"/>
            <w:rFonts w:ascii="Arial Unicode MS" w:hAnsi="Arial Unicode MS"/>
          </w:rPr>
          <w:t>條</w:t>
        </w:r>
      </w:hyperlink>
      <w:r w:rsidR="00203F72" w:rsidRPr="00A53581">
        <w:t>立法院設院長、副院長各一人，由立法委員互選之。</w:t>
      </w:r>
    </w:p>
    <w:p w14:paraId="664A4CAD" w14:textId="77777777" w:rsidR="00953151" w:rsidRPr="00482FC4" w:rsidRDefault="00B03E84" w:rsidP="00D87D91">
      <w:r w:rsidRPr="00482FC4">
        <w:t>【內容解析】</w:t>
      </w:r>
    </w:p>
    <w:p w14:paraId="4B6C7BB6" w14:textId="77777777" w:rsidR="00953151" w:rsidRPr="00482FC4" w:rsidRDefault="007F7377" w:rsidP="00D87D91">
      <w:r w:rsidRPr="00482FC4">
        <w:t xml:space="preserve">　　</w:t>
      </w:r>
      <w:r w:rsidR="00203F72" w:rsidRPr="00482FC4">
        <w:t>立法院院長、副院長由立法委員互選之，所有之委員都為當然候選員。依立法院互選院長副院長辦法，辦理院長、副院長選舉，院長、副院長選舉分開舉行，均以得出席人數過半數之票數者為當選。第</w:t>
      </w:r>
      <w:r w:rsidR="00203F72" w:rsidRPr="00482FC4">
        <w:t>1</w:t>
      </w:r>
      <w:r w:rsidR="00203F72" w:rsidRPr="00482FC4">
        <w:t>次投票如無人得前項所規定之過半數票數時，就得票較多之首</w:t>
      </w:r>
      <w:r w:rsidR="00203F72" w:rsidRPr="00482FC4">
        <w:t>2</w:t>
      </w:r>
      <w:r w:rsidR="00203F72" w:rsidRPr="00482FC4">
        <w:t>名重行投票，以得票比較多數者當選。依立法院組織法之規定，立法院院長應本公平中立原則，維持立法院秩序，處理議事。立法院會議，以院長為主席。全院委員會亦同。院長因事故不能出席時，以副院長為主席。立法院院長、副院長之任期至該屆立法委員任期屆滿之日為止。立法院院長綜理院務。立法院院長因事故不能</w:t>
      </w:r>
      <w:r w:rsidR="003E240E">
        <w:t>視</w:t>
      </w:r>
      <w:r w:rsidR="00203F72" w:rsidRPr="00482FC4">
        <w:t>事時，由副院長代理其職務。立法院組織法面臨之重大問題，係欠缺一套監控立法院院長之機制，立法院院長之權力已過於集權，易造成濫權之現象</w:t>
      </w:r>
      <w:r w:rsidR="00203F72" w:rsidRPr="00482FC4">
        <w:footnoteReference w:id="78"/>
      </w:r>
      <w:r w:rsidR="00203F72" w:rsidRPr="00482FC4">
        <w:t>。</w:t>
      </w:r>
    </w:p>
    <w:p w14:paraId="1BD2E06B" w14:textId="77777777" w:rsidR="00953151" w:rsidRDefault="00076467" w:rsidP="00767F37">
      <w:pPr>
        <w:pStyle w:val="2"/>
      </w:pPr>
      <w:hyperlink r:id="rId729" w:anchor="a67" w:history="1">
        <w:r w:rsidR="005D5A46">
          <w:rPr>
            <w:rStyle w:val="a5"/>
            <w:rFonts w:ascii="Arial Unicode MS" w:hAnsi="Arial Unicode MS"/>
          </w:rPr>
          <w:t>第</w:t>
        </w:r>
        <w:r w:rsidR="00203F72" w:rsidRPr="001B53A5">
          <w:rPr>
            <w:rStyle w:val="a5"/>
            <w:rFonts w:ascii="Arial Unicode MS" w:hAnsi="Arial Unicode MS"/>
          </w:rPr>
          <w:t>67</w:t>
        </w:r>
        <w:r w:rsidR="005D5A46">
          <w:rPr>
            <w:rStyle w:val="a5"/>
            <w:rFonts w:ascii="Arial Unicode MS" w:hAnsi="Arial Unicode MS"/>
          </w:rPr>
          <w:t>條</w:t>
        </w:r>
      </w:hyperlink>
      <w:r w:rsidR="00203F72" w:rsidRPr="00A53581">
        <w:t>立法院得設各種委員會。各種委員會得邀請政府人員及社會上有關係人員到會備詢。</w:t>
      </w:r>
    </w:p>
    <w:p w14:paraId="03F8208C" w14:textId="77777777" w:rsidR="00953151" w:rsidRPr="00482FC4" w:rsidRDefault="00B03E84" w:rsidP="00D87D91">
      <w:r w:rsidRPr="00482FC4">
        <w:t>【內容解析】</w:t>
      </w:r>
    </w:p>
    <w:p w14:paraId="61054CC3" w14:textId="77777777" w:rsidR="00953151" w:rsidRPr="00482FC4" w:rsidRDefault="007F7377" w:rsidP="00D87D91">
      <w:r w:rsidRPr="00482FC4">
        <w:t xml:space="preserve">　　</w:t>
      </w:r>
      <w:r w:rsidR="00203F72" w:rsidRPr="00482FC4">
        <w:t>有關於立法院所設置之各種委員會方面，依立法院組織法之規定，立法院依憲法第</w:t>
      </w:r>
      <w:hyperlink r:id="rId730" w:anchor="a67" w:history="1">
        <w:r w:rsidR="00203F72" w:rsidRPr="00BE1B2A">
          <w:rPr>
            <w:rStyle w:val="a5"/>
            <w:rFonts w:ascii="Times New Roman" w:hAnsi="Times New Roman"/>
          </w:rPr>
          <w:t>六十七</w:t>
        </w:r>
      </w:hyperlink>
      <w:r w:rsidR="00203F72" w:rsidRPr="00482FC4">
        <w:t>條之規範，設下列委員會：一、內政委員會。二、外交及國防委員會。三、經濟委員會。四、財政委員會。五、教育及文化委員會。六、交通委員會。七、司法及法制委員會。八、社會福利及衛生環境委員會。立法院於必要時，得增設特種委員會。立法院各委員會之組織，另以法律定之，另制定立法院各委員會組織法。</w:t>
      </w:r>
    </w:p>
    <w:p w14:paraId="235EADA2" w14:textId="7A0BD4EF" w:rsidR="00203F72" w:rsidRPr="00482FC4" w:rsidRDefault="00B03E84" w:rsidP="00D87D91">
      <w:r w:rsidRPr="00482FC4">
        <w:t>【</w:t>
      </w:r>
      <w:r w:rsidRPr="00482FC4">
        <w:t>table</w:t>
      </w:r>
      <w:r w:rsidR="005E23E3" w:rsidRPr="00482FC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46</w:t>
      </w:r>
      <w:r w:rsidR="00076467">
        <w:rPr>
          <w:noProof/>
        </w:rPr>
        <w:fldChar w:fldCharType="end"/>
      </w:r>
      <w:r w:rsidR="00203F72" w:rsidRPr="00482FC4">
        <w:t>立法院委員會之種類與職權</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5680"/>
      </w:tblGrid>
      <w:tr w:rsidR="00203F72" w:rsidRPr="00482FC4" w14:paraId="72BC3229" w14:textId="77777777" w:rsidTr="00203F72">
        <w:tc>
          <w:tcPr>
            <w:tcW w:w="1422" w:type="pct"/>
            <w:shd w:val="clear" w:color="auto" w:fill="auto"/>
          </w:tcPr>
          <w:p w14:paraId="0237DCB3" w14:textId="77777777" w:rsidR="00203F72" w:rsidRPr="00482FC4" w:rsidRDefault="00203F72" w:rsidP="00D87D91">
            <w:r w:rsidRPr="00482FC4">
              <w:t>(</w:t>
            </w:r>
            <w:r w:rsidRPr="00482FC4">
              <w:t>一</w:t>
            </w:r>
            <w:r w:rsidRPr="00482FC4">
              <w:t>)</w:t>
            </w:r>
            <w:r w:rsidRPr="00482FC4">
              <w:t>各種委員會</w:t>
            </w:r>
          </w:p>
        </w:tc>
        <w:tc>
          <w:tcPr>
            <w:tcW w:w="3578" w:type="pct"/>
            <w:shd w:val="clear" w:color="auto" w:fill="auto"/>
          </w:tcPr>
          <w:p w14:paraId="341A5F06" w14:textId="77777777" w:rsidR="00203F72" w:rsidRPr="00482FC4" w:rsidRDefault="00203F72" w:rsidP="00D87D91">
            <w:r w:rsidRPr="00482FC4">
              <w:rPr>
                <w:rFonts w:hint="eastAsia"/>
              </w:rPr>
              <w:t>1.</w:t>
            </w:r>
            <w:r w:rsidRPr="00482FC4">
              <w:rPr>
                <w:rFonts w:hint="eastAsia"/>
              </w:rPr>
              <w:t>內政委員會；</w:t>
            </w:r>
            <w:r w:rsidRPr="00482FC4">
              <w:rPr>
                <w:rFonts w:hint="eastAsia"/>
              </w:rPr>
              <w:t>2.</w:t>
            </w:r>
            <w:r w:rsidRPr="00482FC4">
              <w:rPr>
                <w:rFonts w:hint="eastAsia"/>
              </w:rPr>
              <w:t>外交及國防委員會；</w:t>
            </w:r>
            <w:r w:rsidRPr="00482FC4">
              <w:rPr>
                <w:rFonts w:hint="eastAsia"/>
              </w:rPr>
              <w:t>3.</w:t>
            </w:r>
            <w:r w:rsidRPr="00482FC4">
              <w:rPr>
                <w:rFonts w:hint="eastAsia"/>
              </w:rPr>
              <w:t>經濟委員會；</w:t>
            </w:r>
            <w:r w:rsidRPr="00482FC4">
              <w:rPr>
                <w:rFonts w:hint="eastAsia"/>
              </w:rPr>
              <w:t>4.</w:t>
            </w:r>
            <w:r w:rsidRPr="00482FC4">
              <w:rPr>
                <w:rFonts w:hint="eastAsia"/>
              </w:rPr>
              <w:t>財政委員會；</w:t>
            </w:r>
            <w:r w:rsidRPr="00482FC4">
              <w:rPr>
                <w:rFonts w:hint="eastAsia"/>
              </w:rPr>
              <w:t>5.</w:t>
            </w:r>
            <w:r w:rsidRPr="00482FC4">
              <w:rPr>
                <w:rFonts w:hint="eastAsia"/>
              </w:rPr>
              <w:t>教育及文化委員會；</w:t>
            </w:r>
            <w:r w:rsidRPr="00482FC4">
              <w:rPr>
                <w:rFonts w:hint="eastAsia"/>
              </w:rPr>
              <w:t>6.</w:t>
            </w:r>
            <w:r w:rsidRPr="00482FC4">
              <w:rPr>
                <w:rFonts w:hint="eastAsia"/>
              </w:rPr>
              <w:t>交通委員會；</w:t>
            </w:r>
            <w:r w:rsidRPr="00482FC4">
              <w:rPr>
                <w:rFonts w:hint="eastAsia"/>
              </w:rPr>
              <w:t>7.</w:t>
            </w:r>
            <w:r w:rsidRPr="00482FC4">
              <w:rPr>
                <w:rFonts w:hint="eastAsia"/>
              </w:rPr>
              <w:t>司法及法制委員會；</w:t>
            </w:r>
            <w:r w:rsidRPr="00482FC4">
              <w:rPr>
                <w:rFonts w:hint="eastAsia"/>
              </w:rPr>
              <w:t>8.</w:t>
            </w:r>
            <w:r w:rsidRPr="00482FC4">
              <w:rPr>
                <w:rFonts w:hint="eastAsia"/>
              </w:rPr>
              <w:t>社會福利及衛生環境委員會（立組</w:t>
            </w:r>
            <w:r w:rsidRPr="00482FC4">
              <w:rPr>
                <w:rFonts w:hint="eastAsia"/>
              </w:rPr>
              <w:t>10</w:t>
            </w:r>
            <w:r w:rsidRPr="00482FC4">
              <w:rPr>
                <w:rFonts w:hint="eastAsia"/>
              </w:rPr>
              <w:t>）。</w:t>
            </w:r>
          </w:p>
        </w:tc>
      </w:tr>
      <w:tr w:rsidR="00203F72" w:rsidRPr="00482FC4" w14:paraId="79B3F181" w14:textId="77777777" w:rsidTr="00203F72">
        <w:tc>
          <w:tcPr>
            <w:tcW w:w="1422" w:type="pct"/>
            <w:shd w:val="clear" w:color="auto" w:fill="auto"/>
          </w:tcPr>
          <w:p w14:paraId="38DD3C97" w14:textId="77777777" w:rsidR="00203F72" w:rsidRPr="00482FC4" w:rsidRDefault="00203F72" w:rsidP="00D87D91">
            <w:r w:rsidRPr="00482FC4">
              <w:t>(</w:t>
            </w:r>
            <w:r w:rsidRPr="00482FC4">
              <w:t>二</w:t>
            </w:r>
            <w:r w:rsidRPr="00482FC4">
              <w:t>)</w:t>
            </w:r>
            <w:r w:rsidRPr="00482FC4">
              <w:t>其他或特種委員會</w:t>
            </w:r>
          </w:p>
        </w:tc>
        <w:tc>
          <w:tcPr>
            <w:tcW w:w="3578" w:type="pct"/>
            <w:shd w:val="clear" w:color="auto" w:fill="auto"/>
          </w:tcPr>
          <w:p w14:paraId="1A6A43B3" w14:textId="77777777" w:rsidR="00203F72" w:rsidRPr="00482FC4" w:rsidRDefault="00203F72" w:rsidP="00D87D91">
            <w:r w:rsidRPr="00482FC4">
              <w:rPr>
                <w:rFonts w:hint="eastAsia"/>
              </w:rPr>
              <w:t>立法院於必要時，得增設特種委員會（立組</w:t>
            </w:r>
            <w:r w:rsidRPr="00482FC4">
              <w:rPr>
                <w:rFonts w:hint="eastAsia"/>
              </w:rPr>
              <w:t>10</w:t>
            </w:r>
            <w:r w:rsidRPr="00482FC4">
              <w:rPr>
                <w:rFonts w:hint="eastAsia"/>
              </w:rPr>
              <w:t>Ⅱ）：</w:t>
            </w:r>
            <w:r w:rsidRPr="00482FC4">
              <w:rPr>
                <w:rFonts w:hint="eastAsia"/>
              </w:rPr>
              <w:t>1.</w:t>
            </w:r>
            <w:r w:rsidRPr="00482FC4">
              <w:rPr>
                <w:rFonts w:hint="eastAsia"/>
              </w:rPr>
              <w:t>程序委員會（立組</w:t>
            </w:r>
            <w:r w:rsidRPr="00482FC4">
              <w:rPr>
                <w:rFonts w:hint="eastAsia"/>
              </w:rPr>
              <w:t>7</w:t>
            </w:r>
            <w:r w:rsidRPr="00482FC4">
              <w:rPr>
                <w:rFonts w:hint="eastAsia"/>
              </w:rPr>
              <w:t>）；</w:t>
            </w:r>
            <w:r w:rsidRPr="00482FC4">
              <w:rPr>
                <w:rFonts w:hint="eastAsia"/>
              </w:rPr>
              <w:t>2.</w:t>
            </w:r>
            <w:r w:rsidRPr="00482FC4">
              <w:rPr>
                <w:rFonts w:hint="eastAsia"/>
              </w:rPr>
              <w:t>紀律委員會（立組</w:t>
            </w:r>
            <w:r w:rsidRPr="00482FC4">
              <w:rPr>
                <w:rFonts w:hint="eastAsia"/>
              </w:rPr>
              <w:t>8</w:t>
            </w:r>
            <w:r w:rsidRPr="00482FC4">
              <w:rPr>
                <w:rFonts w:hint="eastAsia"/>
              </w:rPr>
              <w:t>）；</w:t>
            </w:r>
            <w:r w:rsidRPr="00482FC4">
              <w:rPr>
                <w:rFonts w:hint="eastAsia"/>
              </w:rPr>
              <w:t>3.</w:t>
            </w:r>
            <w:r w:rsidRPr="00482FC4">
              <w:rPr>
                <w:rFonts w:hint="eastAsia"/>
              </w:rPr>
              <w:t>修憲委員會（立組</w:t>
            </w:r>
            <w:r w:rsidRPr="00482FC4">
              <w:rPr>
                <w:rFonts w:hint="eastAsia"/>
              </w:rPr>
              <w:t>9</w:t>
            </w:r>
            <w:r w:rsidRPr="00482FC4">
              <w:rPr>
                <w:rFonts w:hint="eastAsia"/>
              </w:rPr>
              <w:t>）。</w:t>
            </w:r>
          </w:p>
        </w:tc>
      </w:tr>
      <w:tr w:rsidR="00203F72" w:rsidRPr="00482FC4" w14:paraId="49AADD21" w14:textId="77777777" w:rsidTr="00203F72">
        <w:tc>
          <w:tcPr>
            <w:tcW w:w="1422" w:type="pct"/>
            <w:shd w:val="clear" w:color="auto" w:fill="auto"/>
          </w:tcPr>
          <w:p w14:paraId="0744ED02" w14:textId="77777777" w:rsidR="00203F72" w:rsidRPr="00482FC4" w:rsidRDefault="00203F72" w:rsidP="00D87D91">
            <w:r w:rsidRPr="00482FC4">
              <w:t>(</w:t>
            </w:r>
            <w:r w:rsidRPr="00482FC4">
              <w:t>三</w:t>
            </w:r>
            <w:r w:rsidRPr="00482FC4">
              <w:t>)</w:t>
            </w:r>
            <w:r w:rsidRPr="00482FC4">
              <w:t>委員會職權</w:t>
            </w:r>
          </w:p>
        </w:tc>
        <w:tc>
          <w:tcPr>
            <w:tcW w:w="3578" w:type="pct"/>
            <w:shd w:val="clear" w:color="auto" w:fill="auto"/>
          </w:tcPr>
          <w:p w14:paraId="7A45250A" w14:textId="77777777" w:rsidR="00203F72" w:rsidRPr="00482FC4" w:rsidRDefault="00203F72" w:rsidP="00D87D91">
            <w:r w:rsidRPr="00482FC4">
              <w:rPr>
                <w:rFonts w:hint="eastAsia"/>
              </w:rPr>
              <w:t>各種委員會得邀請政府人員及社會上有關係人員到會備詢（憲</w:t>
            </w:r>
            <w:r w:rsidRPr="00482FC4">
              <w:rPr>
                <w:rFonts w:hint="eastAsia"/>
              </w:rPr>
              <w:t>67</w:t>
            </w:r>
            <w:r w:rsidRPr="00482FC4">
              <w:rPr>
                <w:rFonts w:hint="eastAsia"/>
              </w:rPr>
              <w:t>）。</w:t>
            </w:r>
          </w:p>
        </w:tc>
      </w:tr>
    </w:tbl>
    <w:p w14:paraId="3AF2156D" w14:textId="77777777" w:rsidR="00203F72" w:rsidRPr="00482FC4" w:rsidRDefault="00B76D62" w:rsidP="00D87D91">
      <w:r w:rsidRPr="00482FC4">
        <w:t>【本表資料來源】</w:t>
      </w:r>
      <w:r w:rsidR="00203F72" w:rsidRPr="00482FC4">
        <w:t>謝瑞智、謝世維</w:t>
      </w:r>
      <w:r w:rsidR="00203F72" w:rsidRPr="00482FC4">
        <w:t>(2010)</w:t>
      </w:r>
      <w:r w:rsidR="00203F72" w:rsidRPr="00482FC4">
        <w:t>，憲法概要，增訂</w:t>
      </w:r>
      <w:r w:rsidR="00203F72" w:rsidRPr="00482FC4">
        <w:t>14</w:t>
      </w:r>
      <w:r w:rsidR="00203F72" w:rsidRPr="00482FC4">
        <w:t>版，台北市：文笙書局，第</w:t>
      </w:r>
      <w:r w:rsidR="00203F72" w:rsidRPr="00482FC4">
        <w:t>195</w:t>
      </w:r>
      <w:r w:rsidR="00203F72" w:rsidRPr="00482FC4">
        <w:t>頁。</w:t>
      </w:r>
    </w:p>
    <w:p w14:paraId="742CD9A6" w14:textId="77777777" w:rsidR="00953151" w:rsidRPr="00482FC4" w:rsidRDefault="007F7377" w:rsidP="00D87D91">
      <w:r w:rsidRPr="00482FC4">
        <w:rPr>
          <w:rFonts w:hint="eastAsia"/>
        </w:rPr>
        <w:t>【備註】</w:t>
      </w:r>
      <w:r w:rsidR="00203F72" w:rsidRPr="00482FC4">
        <w:rPr>
          <w:rFonts w:hint="eastAsia"/>
        </w:rPr>
        <w:t>立組，乃指立法院組織法。</w:t>
      </w:r>
    </w:p>
    <w:p w14:paraId="77A6BA73" w14:textId="77777777" w:rsidR="00953151" w:rsidRPr="00482FC4" w:rsidRDefault="007F7377" w:rsidP="00D87D91">
      <w:r w:rsidRPr="00482FC4">
        <w:t xml:space="preserve">　　</w:t>
      </w:r>
      <w:r w:rsidR="00203F72" w:rsidRPr="00482FC4">
        <w:t>司法院釋</w:t>
      </w:r>
      <w:r w:rsidR="00043F97" w:rsidRPr="00DE63F7">
        <w:t>字</w:t>
      </w:r>
      <w:hyperlink r:id="rId731"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482FC4">
        <w:t>解釋認為：「憲法於第</w:t>
      </w:r>
      <w:hyperlink r:id="rId732" w:anchor="a57" w:history="1">
        <w:r w:rsidR="00203F72" w:rsidRPr="00BE1B2A">
          <w:rPr>
            <w:rStyle w:val="a5"/>
            <w:rFonts w:ascii="Times New Roman" w:hAnsi="Times New Roman"/>
          </w:rPr>
          <w:t>五十七</w:t>
        </w:r>
      </w:hyperlink>
      <w:r w:rsidR="00203F72" w:rsidRPr="00482FC4">
        <w:t>條第一款規定，「行政院有向立法院提出施攻方針及施政報告之責，立法委員在開會時有向行政院院長及行政院各部會首長質詢之權」，於</w:t>
      </w:r>
      <w:r w:rsidR="00BE1B2A" w:rsidRPr="00482FC4">
        <w:t>第</w:t>
      </w:r>
      <w:hyperlink r:id="rId733" w:anchor="a67" w:history="1">
        <w:r w:rsidR="00BE1B2A" w:rsidRPr="00BE1B2A">
          <w:rPr>
            <w:rStyle w:val="a5"/>
            <w:rFonts w:ascii="Times New Roman" w:hAnsi="Times New Roman"/>
          </w:rPr>
          <w:t>六十七</w:t>
        </w:r>
      </w:hyperlink>
      <w:r w:rsidR="00BE1B2A" w:rsidRPr="00482FC4">
        <w:t>條</w:t>
      </w:r>
      <w:r w:rsidR="00203F72" w:rsidRPr="00482FC4">
        <w:t>第二項規定，「各種委員會得邀請政府人員及社會上有關係人員到會備詢」，為使立法院發揮其功能，憲法於</w:t>
      </w:r>
      <w:r w:rsidR="00BE1B2A" w:rsidRPr="00482FC4">
        <w:t>第</w:t>
      </w:r>
      <w:hyperlink r:id="rId734" w:anchor="a57" w:history="1">
        <w:r w:rsidR="00BE1B2A" w:rsidRPr="00BE1B2A">
          <w:rPr>
            <w:rStyle w:val="a5"/>
            <w:rFonts w:ascii="Times New Roman" w:hAnsi="Times New Roman"/>
          </w:rPr>
          <w:t>五十七</w:t>
        </w:r>
      </w:hyperlink>
      <w:r w:rsidR="00BE1B2A" w:rsidRPr="00482FC4">
        <w:t>條</w:t>
      </w:r>
      <w:r w:rsidR="00203F72" w:rsidRPr="00482FC4">
        <w:t>第一款規定，「行政院有向立法院提出施攻方針及施政報告之責，立法委員在開會時有向行政院院長及行政院各部會首長質詢之權」，於</w:t>
      </w:r>
      <w:r w:rsidR="00BE1B2A" w:rsidRPr="00482FC4">
        <w:t>第</w:t>
      </w:r>
      <w:hyperlink r:id="rId735" w:anchor="a67" w:history="1">
        <w:r w:rsidR="00BE1B2A" w:rsidRPr="00BE1B2A">
          <w:rPr>
            <w:rStyle w:val="a5"/>
            <w:rFonts w:ascii="Times New Roman" w:hAnsi="Times New Roman"/>
          </w:rPr>
          <w:t>六十七</w:t>
        </w:r>
      </w:hyperlink>
      <w:r w:rsidR="00BE1B2A" w:rsidRPr="00482FC4">
        <w:t>條</w:t>
      </w:r>
      <w:r w:rsidR="00203F72" w:rsidRPr="00482FC4">
        <w:t>第二項規定，「各種委員會得邀請政府人員及社會上有關係人員到會備詢」，則立法委員本得於開會時為質詢或詢問，經由受質詢人或應邀列席人員就詢問事項於答覆時所說明之事實或發表之意見，而明瞭有關事項。如仍不明瞭，得經院會或委員會之決議，要求有關機關就議案涉及事項提供參考資料，必要時並得經院會決議調閱文件原本，以符憲法關於立法委員集會行使職權之規定，受要求之機關非依法律規定或其他正當理由不得拒絕。則立法委員本得於開會時為質詢或詢問，經由受質詢人或應邀列席人員就詢問事項於答覆時所說明之事實或發表之意見，而明瞭有關事項。如仍不明瞭，得經院會或委員會之決議，要求有關機關就議案涉及事項提供參考資料，必要時並得經院會決議調閱文件原本，以符憲法關於立法委員集會行使職權之規定，受要求之機關非依法律規定或其他正當理由不得拒絕」</w:t>
      </w:r>
    </w:p>
    <w:p w14:paraId="524BC570" w14:textId="77777777" w:rsidR="00953151" w:rsidRDefault="007F7377" w:rsidP="00D87D91">
      <w:r w:rsidRPr="00482FC4">
        <w:t xml:space="preserve">　　</w:t>
      </w:r>
      <w:r w:rsidR="00203F72" w:rsidRPr="00482FC4">
        <w:t>比較有爭議之部分，係參謀總長、司法、考試、監察三院院長是否應受立委質詢？參謀總長、司法、考試、監察三院院長得否拒絕至各委員會備詢？司法院釋字</w:t>
      </w:r>
      <w:hyperlink r:id="rId736" w:anchor="r461" w:history="1">
        <w:r w:rsidR="00203F72" w:rsidRPr="00314E1E">
          <w:rPr>
            <w:rStyle w:val="a5"/>
            <w:rFonts w:ascii="Times New Roman" w:eastAsia="新細明體" w:hAnsi="Times New Roman"/>
          </w:rPr>
          <w:t>第</w:t>
        </w:r>
        <w:r w:rsidR="00203F72" w:rsidRPr="00314E1E">
          <w:rPr>
            <w:rStyle w:val="a5"/>
            <w:rFonts w:ascii="Times New Roman" w:eastAsia="新細明體" w:hAnsi="Times New Roman"/>
          </w:rPr>
          <w:t>461</w:t>
        </w:r>
        <w:r w:rsidR="00203F72" w:rsidRPr="00314E1E">
          <w:rPr>
            <w:rStyle w:val="a5"/>
            <w:rFonts w:ascii="Times New Roman" w:eastAsia="新細明體" w:hAnsi="Times New Roman"/>
          </w:rPr>
          <w:t>號</w:t>
        </w:r>
      </w:hyperlink>
      <w:r w:rsidR="00203F72" w:rsidRPr="00482FC4">
        <w:t>解釋認為：「中華民國八十六年七月二十一日公布施行之憲法增修條文第三條第二項第一款規定行政院有向立法院提出施政方針及施政報告之責，立法委員在開會時，有向行政院院長及行政院各部會首長質詢之權，此為憲法基於民意政治及責任政治之原理所為制度性之設計。國防部主管全國國防事務，立法委員就行政院提出施政方針及施政報告關於國防事務方面，自得向行政院院長及國防部部長質詢之。至參謀總長在行政系統為國防部部長之幕僚長，直接對國防部部長負責，自非憲法規定之部會首長，無上開條文之適用。立法院為國家最高立法機關，有議決法律、預算等議案及國家重要事項之權。立法院為行使憲法所賦予上開職權，得依憲法</w:t>
      </w:r>
      <w:r w:rsidR="00BE1B2A" w:rsidRPr="00482FC4">
        <w:t>第</w:t>
      </w:r>
      <w:hyperlink r:id="rId737" w:anchor="a67" w:history="1">
        <w:r w:rsidR="00BE1B2A" w:rsidRPr="00BE1B2A">
          <w:rPr>
            <w:rStyle w:val="a5"/>
            <w:rFonts w:ascii="Times New Roman" w:hAnsi="Times New Roman"/>
          </w:rPr>
          <w:t>六十七</w:t>
        </w:r>
      </w:hyperlink>
      <w:r w:rsidR="00BE1B2A" w:rsidRPr="00482FC4">
        <w:t>條</w:t>
      </w:r>
      <w:r w:rsidR="00203F72" w:rsidRPr="00482FC4">
        <w:t>規定，設各種委員會，邀請政府人員及社會上有關係人員到會備詢。鑑諸行政院應依憲法規定對立法院負責，故凡行政院各部會首長及其所屬公務員，除依法獨立行使職權，不受外部干涉之人員外，於立法院各種委員會依憲法</w:t>
      </w:r>
      <w:r w:rsidR="00BE1B2A" w:rsidRPr="00482FC4">
        <w:t>第</w:t>
      </w:r>
      <w:hyperlink r:id="rId738" w:anchor="a67" w:history="1">
        <w:r w:rsidR="00BE1B2A" w:rsidRPr="00BE1B2A">
          <w:rPr>
            <w:rStyle w:val="a5"/>
            <w:rFonts w:ascii="Times New Roman" w:hAnsi="Times New Roman"/>
          </w:rPr>
          <w:t>六十七</w:t>
        </w:r>
      </w:hyperlink>
      <w:r w:rsidR="00BE1B2A" w:rsidRPr="00482FC4">
        <w:t>條</w:t>
      </w:r>
      <w:r w:rsidR="00203F72" w:rsidRPr="00482FC4">
        <w:t>第二項規定邀請到會備詢時，有應邀說明之義務。參謀總長為國防部部長之幕僚長，負責國防之重要事項，包括預算之擬編及執行，與立法院之權限密切相關，自屬憲法</w:t>
      </w:r>
      <w:r w:rsidR="00BE1B2A" w:rsidRPr="00482FC4">
        <w:t>第</w:t>
      </w:r>
      <w:hyperlink r:id="rId739" w:anchor="a67" w:history="1">
        <w:r w:rsidR="00BE1B2A" w:rsidRPr="00BE1B2A">
          <w:rPr>
            <w:rStyle w:val="a5"/>
            <w:rFonts w:ascii="Times New Roman" w:hAnsi="Times New Roman"/>
          </w:rPr>
          <w:t>六十七</w:t>
        </w:r>
      </w:hyperlink>
      <w:r w:rsidR="00BE1B2A" w:rsidRPr="00482FC4">
        <w:t>條</w:t>
      </w:r>
      <w:r w:rsidR="00203F72" w:rsidRPr="00482FC4">
        <w:t>第二項所指政府人員，除非因執行關係國家安全之軍事業務而有正當理由外，不得拒絕應邀到會備詢，惟詢問內容涉及重要國防機密事項者，免予答覆。至司法、考試、監察三院院長，本於五院間相互尊重之立場，並依循憲政慣例，得不受邀請備詢。三院所屬非獨立行使職權而負行政職務之人員，於其提出之法律案及有關預算案涉及之事項，亦有上開憲法規定之適用。」</w:t>
      </w:r>
    </w:p>
    <w:p w14:paraId="3FE236AD" w14:textId="77777777" w:rsidR="00482FC4" w:rsidRPr="00482FC4" w:rsidRDefault="00482FC4" w:rsidP="00D87D91"/>
    <w:p w14:paraId="64584E48" w14:textId="289EF281" w:rsidR="00203F72" w:rsidRPr="00482FC4" w:rsidRDefault="00B03E84" w:rsidP="00D87D91">
      <w:r w:rsidRPr="00482FC4">
        <w:t>【</w:t>
      </w:r>
      <w:r w:rsidRPr="00482FC4">
        <w:t>table</w:t>
      </w:r>
      <w:r w:rsidR="005E23E3" w:rsidRPr="00482FC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47</w:t>
      </w:r>
      <w:r w:rsidR="00076467">
        <w:rPr>
          <w:noProof/>
        </w:rPr>
        <w:fldChar w:fldCharType="end"/>
      </w:r>
      <w:r w:rsidR="00203F72" w:rsidRPr="00482FC4">
        <w:t>立法院文件調閱權、調查權與委員會質詢權之比較一覽表</w:t>
      </w:r>
    </w:p>
    <w:tbl>
      <w:tblPr>
        <w:tblW w:w="483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2257"/>
        <w:gridCol w:w="1838"/>
        <w:gridCol w:w="2573"/>
      </w:tblGrid>
      <w:tr w:rsidR="00203F72" w:rsidRPr="00A53581" w14:paraId="3D5246EB" w14:textId="77777777" w:rsidTr="001F1D62">
        <w:trPr>
          <w:tblHeader/>
        </w:trPr>
        <w:tc>
          <w:tcPr>
            <w:tcW w:w="944" w:type="pct"/>
            <w:shd w:val="clear" w:color="auto" w:fill="FAF0FA"/>
          </w:tcPr>
          <w:p w14:paraId="2AC00C48" w14:textId="77777777" w:rsidR="00203F72" w:rsidRPr="00A53581" w:rsidRDefault="00203F72" w:rsidP="00D87D91"/>
        </w:tc>
        <w:tc>
          <w:tcPr>
            <w:tcW w:w="1373" w:type="pct"/>
            <w:shd w:val="clear" w:color="auto" w:fill="FAF0FA"/>
          </w:tcPr>
          <w:p w14:paraId="24A3DDC1" w14:textId="77777777" w:rsidR="00203F72" w:rsidRPr="00A53581" w:rsidRDefault="00203F72" w:rsidP="00D87D91">
            <w:r w:rsidRPr="00A53581">
              <w:t>文件調閱權</w:t>
            </w:r>
          </w:p>
        </w:tc>
        <w:tc>
          <w:tcPr>
            <w:tcW w:w="1118" w:type="pct"/>
            <w:shd w:val="clear" w:color="auto" w:fill="FAF0FA"/>
          </w:tcPr>
          <w:p w14:paraId="3D7F0669" w14:textId="77777777" w:rsidR="00203F72" w:rsidRPr="00A53581" w:rsidRDefault="00203F72" w:rsidP="00D87D91">
            <w:r w:rsidRPr="00A53581">
              <w:t>調查權</w:t>
            </w:r>
          </w:p>
        </w:tc>
        <w:tc>
          <w:tcPr>
            <w:tcW w:w="1565" w:type="pct"/>
            <w:shd w:val="clear" w:color="auto" w:fill="FAF0FA"/>
          </w:tcPr>
          <w:p w14:paraId="4D25C70E" w14:textId="77777777" w:rsidR="00203F72" w:rsidRPr="00A53581" w:rsidRDefault="00203F72" w:rsidP="00D87D91">
            <w:r w:rsidRPr="00A53581">
              <w:t>委員會質詢權</w:t>
            </w:r>
          </w:p>
        </w:tc>
      </w:tr>
      <w:tr w:rsidR="00203F72" w:rsidRPr="00A53581" w14:paraId="3BFEB243" w14:textId="77777777" w:rsidTr="001F1D62">
        <w:tc>
          <w:tcPr>
            <w:tcW w:w="944" w:type="pct"/>
            <w:shd w:val="clear" w:color="auto" w:fill="auto"/>
          </w:tcPr>
          <w:p w14:paraId="18776F41" w14:textId="77777777" w:rsidR="00203F72" w:rsidRPr="00A53581" w:rsidRDefault="00203F72" w:rsidP="00D87D91">
            <w:r w:rsidRPr="00A53581">
              <w:t>法源</w:t>
            </w:r>
          </w:p>
        </w:tc>
        <w:tc>
          <w:tcPr>
            <w:tcW w:w="1373" w:type="pct"/>
            <w:shd w:val="clear" w:color="auto" w:fill="auto"/>
          </w:tcPr>
          <w:p w14:paraId="38F3C7D6" w14:textId="77777777" w:rsidR="00203F72" w:rsidRPr="00A53581" w:rsidRDefault="00203F72" w:rsidP="00D87D91">
            <w:r w:rsidRPr="00A53581">
              <w:t>釋</w:t>
            </w:r>
            <w:r w:rsidR="001F1D62" w:rsidRPr="00DE63F7">
              <w:t>字</w:t>
            </w:r>
            <w:hyperlink r:id="rId740" w:anchor="r325" w:history="1">
              <w:r w:rsidR="001F1D62" w:rsidRPr="00043F97">
                <w:rPr>
                  <w:rStyle w:val="a5"/>
                  <w:rFonts w:ascii="Times New Roman" w:hAnsi="Times New Roman"/>
                </w:rPr>
                <w:t>第</w:t>
              </w:r>
              <w:r w:rsidR="001F1D62" w:rsidRPr="00043F97">
                <w:rPr>
                  <w:rStyle w:val="a5"/>
                  <w:rFonts w:ascii="Times New Roman" w:hAnsi="Times New Roman"/>
                </w:rPr>
                <w:t>325</w:t>
              </w:r>
              <w:r w:rsidR="001F1D62" w:rsidRPr="00043F97">
                <w:rPr>
                  <w:rStyle w:val="a5"/>
                  <w:rFonts w:ascii="Times New Roman" w:hAnsi="Times New Roman"/>
                </w:rPr>
                <w:t>號</w:t>
              </w:r>
            </w:hyperlink>
          </w:p>
        </w:tc>
        <w:tc>
          <w:tcPr>
            <w:tcW w:w="1118" w:type="pct"/>
            <w:shd w:val="clear" w:color="auto" w:fill="auto"/>
          </w:tcPr>
          <w:p w14:paraId="7B46318F" w14:textId="77777777" w:rsidR="00203F72" w:rsidRPr="00A53581" w:rsidRDefault="00203F72" w:rsidP="00D87D91">
            <w:r w:rsidRPr="00A53581">
              <w:t>釋</w:t>
            </w:r>
            <w:r w:rsidR="001F1D62" w:rsidRPr="00A53581">
              <w:rPr>
                <w:rFonts w:ascii="新細明體" w:hAnsi="新細明體"/>
              </w:rPr>
              <w:t>字</w:t>
            </w:r>
            <w:hyperlink r:id="rId741" w:anchor="r585" w:history="1">
              <w:r w:rsidR="001F1D62" w:rsidRPr="004E5F2E">
                <w:rPr>
                  <w:rStyle w:val="a5"/>
                  <w:rFonts w:eastAsia="新細明體"/>
                </w:rPr>
                <w:t>第585號</w:t>
              </w:r>
            </w:hyperlink>
          </w:p>
        </w:tc>
        <w:tc>
          <w:tcPr>
            <w:tcW w:w="1565" w:type="pct"/>
            <w:shd w:val="clear" w:color="auto" w:fill="auto"/>
          </w:tcPr>
          <w:p w14:paraId="4EE82C77" w14:textId="77777777" w:rsidR="00203F72" w:rsidRPr="00A53581" w:rsidRDefault="00203F72" w:rsidP="00D87D91">
            <w:r w:rsidRPr="00A53581">
              <w:t>憲法</w:t>
            </w:r>
            <w:hyperlink r:id="rId742" w:anchor="a67" w:history="1">
              <w:r w:rsidRPr="001F1D62">
                <w:rPr>
                  <w:rStyle w:val="a5"/>
                  <w:rFonts w:ascii="Times New Roman" w:eastAsia="新細明體" w:hAnsi="Times New Roman"/>
                </w:rPr>
                <w:t>§67</w:t>
              </w:r>
            </w:hyperlink>
            <w:r w:rsidRPr="00A53581">
              <w:t>、釋</w:t>
            </w:r>
            <w:r w:rsidR="00314E1E" w:rsidRPr="00482FC4">
              <w:t>字</w:t>
            </w:r>
            <w:hyperlink r:id="rId743"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p>
        </w:tc>
      </w:tr>
      <w:tr w:rsidR="00203F72" w:rsidRPr="00A53581" w14:paraId="6C56A3AF" w14:textId="77777777" w:rsidTr="001F1D62">
        <w:tc>
          <w:tcPr>
            <w:tcW w:w="944" w:type="pct"/>
            <w:shd w:val="clear" w:color="auto" w:fill="auto"/>
          </w:tcPr>
          <w:p w14:paraId="350996CC" w14:textId="77777777" w:rsidR="00203F72" w:rsidRPr="00A53581" w:rsidRDefault="00203F72" w:rsidP="00D87D91">
            <w:r w:rsidRPr="00A53581">
              <w:t>目的</w:t>
            </w:r>
          </w:p>
        </w:tc>
        <w:tc>
          <w:tcPr>
            <w:tcW w:w="1373" w:type="pct"/>
            <w:shd w:val="clear" w:color="auto" w:fill="auto"/>
          </w:tcPr>
          <w:p w14:paraId="4BEADD83" w14:textId="77777777" w:rsidR="00203F72" w:rsidRPr="00A53581" w:rsidRDefault="00203F72" w:rsidP="00D87D91">
            <w:r w:rsidRPr="00A53581">
              <w:t>行使憲法所賦予之職權</w:t>
            </w:r>
          </w:p>
        </w:tc>
        <w:tc>
          <w:tcPr>
            <w:tcW w:w="1118" w:type="pct"/>
            <w:shd w:val="clear" w:color="auto" w:fill="auto"/>
          </w:tcPr>
          <w:p w14:paraId="0C40B66C" w14:textId="77777777" w:rsidR="00203F72" w:rsidRPr="00A53581" w:rsidRDefault="00203F72" w:rsidP="00D87D91">
            <w:r w:rsidRPr="00A53581">
              <w:t>行使憲法所賦予之立法職權</w:t>
            </w:r>
          </w:p>
        </w:tc>
        <w:tc>
          <w:tcPr>
            <w:tcW w:w="1565" w:type="pct"/>
            <w:shd w:val="clear" w:color="auto" w:fill="auto"/>
          </w:tcPr>
          <w:p w14:paraId="29A2F9D2" w14:textId="77777777" w:rsidR="00203F72" w:rsidRPr="00A53581" w:rsidRDefault="00203F72" w:rsidP="00D87D91">
            <w:r w:rsidRPr="00A53581">
              <w:t>為行使憲法所賦予之職權</w:t>
            </w:r>
          </w:p>
        </w:tc>
      </w:tr>
      <w:tr w:rsidR="00203F72" w:rsidRPr="00A53581" w14:paraId="5BB73C03" w14:textId="77777777" w:rsidTr="001F1D62">
        <w:tc>
          <w:tcPr>
            <w:tcW w:w="944" w:type="pct"/>
            <w:shd w:val="clear" w:color="auto" w:fill="auto"/>
          </w:tcPr>
          <w:p w14:paraId="52D26BD5" w14:textId="77777777" w:rsidR="00203F72" w:rsidRPr="00A53581" w:rsidRDefault="00203F72" w:rsidP="00D87D91">
            <w:r w:rsidRPr="00A53581">
              <w:t>程序</w:t>
            </w:r>
          </w:p>
        </w:tc>
        <w:tc>
          <w:tcPr>
            <w:tcW w:w="1373" w:type="pct"/>
            <w:shd w:val="clear" w:color="auto" w:fill="auto"/>
          </w:tcPr>
          <w:p w14:paraId="6D7F9C93" w14:textId="77777777" w:rsidR="00203F72" w:rsidRPr="00A53581" w:rsidRDefault="00203F72" w:rsidP="00D87D91">
            <w:r w:rsidRPr="00A53581">
              <w:t>得經院會或委員會之決議，要求有關機</w:t>
            </w:r>
            <w:r w:rsidRPr="00A53581">
              <w:rPr>
                <w:rFonts w:hint="eastAsia"/>
              </w:rPr>
              <w:t>關就議案涉及之事項，提供參考資料，必要時，並得經院會決議，調閱文件原本。</w:t>
            </w:r>
          </w:p>
        </w:tc>
        <w:tc>
          <w:tcPr>
            <w:tcW w:w="1118" w:type="pct"/>
            <w:shd w:val="clear" w:color="auto" w:fill="auto"/>
          </w:tcPr>
          <w:p w14:paraId="53A69735" w14:textId="77777777" w:rsidR="00203F72" w:rsidRPr="00A53581" w:rsidRDefault="00203F72" w:rsidP="00D87D91">
            <w:r w:rsidRPr="00A53581">
              <w:t>得經</w:t>
            </w:r>
            <w:r w:rsidRPr="00A53581">
              <w:rPr>
                <w:rFonts w:hint="eastAsia"/>
              </w:rPr>
              <w:t>院會決議，要求與調查事項相關之人民或政府人員，陳述證言，或表述意見。</w:t>
            </w:r>
          </w:p>
        </w:tc>
        <w:tc>
          <w:tcPr>
            <w:tcW w:w="1565" w:type="pct"/>
            <w:shd w:val="clear" w:color="auto" w:fill="auto"/>
          </w:tcPr>
          <w:p w14:paraId="3903A3FF" w14:textId="77777777" w:rsidR="00203F72" w:rsidRPr="00A53581" w:rsidRDefault="00203F72" w:rsidP="00D87D91">
            <w:r w:rsidRPr="00A53581">
              <w:t>委員會決議邀請</w:t>
            </w:r>
          </w:p>
        </w:tc>
      </w:tr>
      <w:tr w:rsidR="00203F72" w:rsidRPr="00A53581" w14:paraId="28579C36" w14:textId="77777777" w:rsidTr="001F1D62">
        <w:tc>
          <w:tcPr>
            <w:tcW w:w="944" w:type="pct"/>
            <w:shd w:val="clear" w:color="auto" w:fill="auto"/>
          </w:tcPr>
          <w:p w14:paraId="1F8618C8" w14:textId="77777777" w:rsidR="00203F72" w:rsidRPr="00A53581" w:rsidRDefault="00203F72" w:rsidP="00D87D91">
            <w:r w:rsidRPr="00A53581">
              <w:t>內容</w:t>
            </w:r>
          </w:p>
        </w:tc>
        <w:tc>
          <w:tcPr>
            <w:tcW w:w="1373" w:type="pct"/>
            <w:shd w:val="clear" w:color="auto" w:fill="auto"/>
          </w:tcPr>
          <w:p w14:paraId="76717463" w14:textId="77777777" w:rsidR="00203F72" w:rsidRPr="00A53581" w:rsidRDefault="00203F72" w:rsidP="00D87D91">
            <w:r w:rsidRPr="00A53581">
              <w:t>要求提供文件</w:t>
            </w:r>
          </w:p>
        </w:tc>
        <w:tc>
          <w:tcPr>
            <w:tcW w:w="1118" w:type="pct"/>
            <w:shd w:val="clear" w:color="auto" w:fill="auto"/>
          </w:tcPr>
          <w:p w14:paraId="798B01F5" w14:textId="77777777" w:rsidR="00203F72" w:rsidRPr="00A53581" w:rsidRDefault="00203F72" w:rsidP="00D87D91">
            <w:r w:rsidRPr="00A53581">
              <w:t>包括要求陳述證言或表示意見</w:t>
            </w:r>
          </w:p>
        </w:tc>
        <w:tc>
          <w:tcPr>
            <w:tcW w:w="1565" w:type="pct"/>
            <w:shd w:val="clear" w:color="auto" w:fill="auto"/>
          </w:tcPr>
          <w:p w14:paraId="64D707EB" w14:textId="77777777" w:rsidR="00203F72" w:rsidRPr="00A53581" w:rsidRDefault="00203F72" w:rsidP="00D87D91">
            <w:r w:rsidRPr="00A53581">
              <w:t>要求到場備詢</w:t>
            </w:r>
          </w:p>
        </w:tc>
      </w:tr>
      <w:tr w:rsidR="00203F72" w:rsidRPr="00A53581" w14:paraId="6FE33AFF" w14:textId="77777777" w:rsidTr="001F1D62">
        <w:tc>
          <w:tcPr>
            <w:tcW w:w="944" w:type="pct"/>
            <w:shd w:val="clear" w:color="auto" w:fill="auto"/>
          </w:tcPr>
          <w:p w14:paraId="4410954A" w14:textId="77777777" w:rsidR="00203F72" w:rsidRPr="00A53581" w:rsidRDefault="00203F72" w:rsidP="00D87D91">
            <w:r w:rsidRPr="00A53581">
              <w:t>強制機制</w:t>
            </w:r>
          </w:p>
        </w:tc>
        <w:tc>
          <w:tcPr>
            <w:tcW w:w="1373" w:type="pct"/>
            <w:shd w:val="clear" w:color="auto" w:fill="auto"/>
          </w:tcPr>
          <w:p w14:paraId="4B3C1146" w14:textId="77777777" w:rsidR="00203F72" w:rsidRPr="00A53581" w:rsidRDefault="00203F72" w:rsidP="00D87D91">
            <w:r w:rsidRPr="00A53581">
              <w:t>大法官並未提及</w:t>
            </w:r>
          </w:p>
        </w:tc>
        <w:tc>
          <w:tcPr>
            <w:tcW w:w="1118" w:type="pct"/>
            <w:shd w:val="clear" w:color="auto" w:fill="auto"/>
          </w:tcPr>
          <w:p w14:paraId="5A6F78A7" w14:textId="77777777" w:rsidR="00203F72" w:rsidRPr="00A53581" w:rsidRDefault="00203F72" w:rsidP="00D87D91">
            <w:r w:rsidRPr="00A53581">
              <w:t>罰鍰</w:t>
            </w:r>
          </w:p>
        </w:tc>
        <w:tc>
          <w:tcPr>
            <w:tcW w:w="1565" w:type="pct"/>
            <w:shd w:val="clear" w:color="auto" w:fill="auto"/>
          </w:tcPr>
          <w:p w14:paraId="017490CA" w14:textId="77777777" w:rsidR="00203F72" w:rsidRPr="00A53581" w:rsidRDefault="00203F72" w:rsidP="00D87D91">
            <w:r w:rsidRPr="00A53581">
              <w:t>大法官並未提及</w:t>
            </w:r>
          </w:p>
        </w:tc>
      </w:tr>
      <w:tr w:rsidR="00203F72" w:rsidRPr="00A53581" w14:paraId="5967782D" w14:textId="77777777" w:rsidTr="001F1D62">
        <w:tc>
          <w:tcPr>
            <w:tcW w:w="944" w:type="pct"/>
            <w:shd w:val="clear" w:color="auto" w:fill="auto"/>
          </w:tcPr>
          <w:p w14:paraId="7B5B2984" w14:textId="77777777" w:rsidR="00203F72" w:rsidRPr="00A53581" w:rsidRDefault="00203F72" w:rsidP="00D87D91">
            <w:r w:rsidRPr="00A53581">
              <w:t>個案調查之程序</w:t>
            </w:r>
          </w:p>
        </w:tc>
        <w:tc>
          <w:tcPr>
            <w:tcW w:w="1373" w:type="pct"/>
            <w:shd w:val="clear" w:color="auto" w:fill="auto"/>
          </w:tcPr>
          <w:p w14:paraId="7354B372" w14:textId="77777777" w:rsidR="00203F72" w:rsidRPr="00A53581" w:rsidRDefault="00203F72" w:rsidP="00D87D91">
            <w:r w:rsidRPr="00A53581">
              <w:t>大法官並未提及</w:t>
            </w:r>
          </w:p>
        </w:tc>
        <w:tc>
          <w:tcPr>
            <w:tcW w:w="1118" w:type="pct"/>
            <w:shd w:val="clear" w:color="auto" w:fill="auto"/>
          </w:tcPr>
          <w:p w14:paraId="13751E6B" w14:textId="77777777" w:rsidR="00203F72" w:rsidRPr="00A53581" w:rsidRDefault="00203F72" w:rsidP="00D87D91">
            <w:r w:rsidRPr="00A53581">
              <w:t>以法律為適當之規範</w:t>
            </w:r>
          </w:p>
        </w:tc>
        <w:tc>
          <w:tcPr>
            <w:tcW w:w="1565" w:type="pct"/>
            <w:shd w:val="clear" w:color="auto" w:fill="auto"/>
          </w:tcPr>
          <w:p w14:paraId="0F1CA80B" w14:textId="77777777" w:rsidR="00203F72" w:rsidRPr="00A53581" w:rsidRDefault="00203F72" w:rsidP="00D87D91">
            <w:r w:rsidRPr="00A53581">
              <w:t>大法官並未提及</w:t>
            </w:r>
          </w:p>
        </w:tc>
      </w:tr>
      <w:tr w:rsidR="00203F72" w:rsidRPr="00A53581" w14:paraId="0D1EF858" w14:textId="77777777" w:rsidTr="001F1D62">
        <w:tc>
          <w:tcPr>
            <w:tcW w:w="944" w:type="pct"/>
            <w:shd w:val="clear" w:color="auto" w:fill="auto"/>
          </w:tcPr>
          <w:p w14:paraId="717A2971" w14:textId="77777777" w:rsidR="00203F72" w:rsidRPr="00A53581" w:rsidRDefault="00203F72" w:rsidP="00D87D91">
            <w:r w:rsidRPr="00A53581">
              <w:t>個案調查之範圍與限制</w:t>
            </w:r>
          </w:p>
        </w:tc>
        <w:tc>
          <w:tcPr>
            <w:tcW w:w="1373" w:type="pct"/>
            <w:shd w:val="clear" w:color="auto" w:fill="auto"/>
          </w:tcPr>
          <w:p w14:paraId="7694BEBF" w14:textId="77777777" w:rsidR="00203F72" w:rsidRPr="00A53581" w:rsidRDefault="00203F72" w:rsidP="00D87D91">
            <w:r w:rsidRPr="00A53581">
              <w:rPr>
                <w:rFonts w:hint="eastAsia"/>
              </w:rPr>
              <w:t>獨立行使職權受憲法之保障者</w:t>
            </w:r>
          </w:p>
        </w:tc>
        <w:tc>
          <w:tcPr>
            <w:tcW w:w="1118" w:type="pct"/>
            <w:shd w:val="clear" w:color="auto" w:fill="auto"/>
          </w:tcPr>
          <w:p w14:paraId="43669867" w14:textId="77777777" w:rsidR="00203F72" w:rsidRPr="00A53581" w:rsidRDefault="001F1D62" w:rsidP="00D87D91">
            <w:r>
              <w:rPr>
                <w:rFonts w:hint="eastAsia"/>
              </w:rPr>
              <w:t xml:space="preserve">　　</w:t>
            </w:r>
            <w:r w:rsidR="00203F72" w:rsidRPr="00A53581">
              <w:rPr>
                <w:rFonts w:hint="eastAsia"/>
              </w:rPr>
              <w:t>1.</w:t>
            </w:r>
            <w:r w:rsidR="00203F72" w:rsidRPr="00A53581">
              <w:rPr>
                <w:rFonts w:hint="eastAsia"/>
              </w:rPr>
              <w:t>行政憲法所賦予之職權有重大關聯者</w:t>
            </w:r>
          </w:p>
          <w:p w14:paraId="51F17A5D" w14:textId="77777777" w:rsidR="00203F72" w:rsidRPr="00A53581" w:rsidRDefault="001F1D62" w:rsidP="00D87D91">
            <w:r>
              <w:rPr>
                <w:rFonts w:hint="eastAsia"/>
              </w:rPr>
              <w:t xml:space="preserve">　　</w:t>
            </w:r>
            <w:r w:rsidR="00203F72" w:rsidRPr="00A53581">
              <w:rPr>
                <w:rFonts w:hint="eastAsia"/>
              </w:rPr>
              <w:t>2.</w:t>
            </w:r>
            <w:r w:rsidR="00203F72" w:rsidRPr="00A53581">
              <w:rPr>
                <w:rFonts w:hint="eastAsia"/>
              </w:rPr>
              <w:t>不能違反權力分立與制衡原則</w:t>
            </w:r>
          </w:p>
          <w:p w14:paraId="37F01E8C" w14:textId="77777777" w:rsidR="00203F72" w:rsidRPr="00A53581" w:rsidRDefault="001F1D62" w:rsidP="00D87D91">
            <w:r>
              <w:rPr>
                <w:rFonts w:hint="eastAsia"/>
              </w:rPr>
              <w:t xml:space="preserve">　　</w:t>
            </w:r>
            <w:r w:rsidR="00203F72" w:rsidRPr="00A53581">
              <w:rPr>
                <w:rFonts w:hint="eastAsia"/>
              </w:rPr>
              <w:t>3.</w:t>
            </w:r>
            <w:r w:rsidR="00203F72" w:rsidRPr="00A53581">
              <w:rPr>
                <w:rFonts w:hint="eastAsia"/>
              </w:rPr>
              <w:t>不得侵害其他憲法機關之權力核心範圍</w:t>
            </w:r>
          </w:p>
          <w:p w14:paraId="11D0B5C2" w14:textId="77777777" w:rsidR="00203F72" w:rsidRPr="00A53581" w:rsidRDefault="001F1D62" w:rsidP="00D87D91">
            <w:r>
              <w:rPr>
                <w:rFonts w:hint="eastAsia"/>
              </w:rPr>
              <w:t xml:space="preserve">　　</w:t>
            </w:r>
            <w:r w:rsidR="00203F72" w:rsidRPr="00A53581">
              <w:rPr>
                <w:rFonts w:hint="eastAsia"/>
              </w:rPr>
              <w:t>4.</w:t>
            </w:r>
            <w:r w:rsidR="00203F72" w:rsidRPr="00A53581">
              <w:rPr>
                <w:rFonts w:hint="eastAsia"/>
              </w:rPr>
              <w:t>不得對其他憲法機關權力之行使造成實質妨礙</w:t>
            </w:r>
          </w:p>
          <w:p w14:paraId="0ED97F3D" w14:textId="77777777" w:rsidR="00203F72" w:rsidRPr="00A53581" w:rsidRDefault="001F1D62" w:rsidP="00D87D91">
            <w:r>
              <w:rPr>
                <w:rFonts w:hint="eastAsia"/>
              </w:rPr>
              <w:t xml:space="preserve">　　</w:t>
            </w:r>
            <w:r w:rsidR="00203F72" w:rsidRPr="00A53581">
              <w:rPr>
                <w:rFonts w:hint="eastAsia"/>
              </w:rPr>
              <w:t>5.</w:t>
            </w:r>
            <w:r w:rsidR="00203F72" w:rsidRPr="00A53581">
              <w:rPr>
                <w:rFonts w:hint="eastAsia"/>
              </w:rPr>
              <w:t>有涉及限制人民權利者，必須符合憲法上比例原則、法律明確性原則及正當法律程序之要求</w:t>
            </w:r>
          </w:p>
        </w:tc>
        <w:tc>
          <w:tcPr>
            <w:tcW w:w="1565" w:type="pct"/>
            <w:shd w:val="clear" w:color="auto" w:fill="auto"/>
          </w:tcPr>
          <w:p w14:paraId="48F2FDA2" w14:textId="77777777" w:rsidR="00203F72" w:rsidRPr="00A53581" w:rsidRDefault="001F1D62" w:rsidP="00D87D91">
            <w:r>
              <w:rPr>
                <w:rFonts w:hint="eastAsia"/>
              </w:rPr>
              <w:t xml:space="preserve">　　</w:t>
            </w:r>
            <w:r w:rsidR="00203F72" w:rsidRPr="00A53581">
              <w:rPr>
                <w:rFonts w:hint="eastAsia"/>
              </w:rPr>
              <w:t>1.</w:t>
            </w:r>
            <w:r w:rsidR="00203F72" w:rsidRPr="00A53581">
              <w:rPr>
                <w:rFonts w:hint="eastAsia"/>
              </w:rPr>
              <w:t>原則上得質詢所有政府人員，受邀者有應邀說明義務</w:t>
            </w:r>
          </w:p>
          <w:p w14:paraId="2CF90BB7" w14:textId="77777777" w:rsidR="00203F72" w:rsidRPr="00A53581" w:rsidRDefault="001F1D62" w:rsidP="00D87D91">
            <w:r>
              <w:rPr>
                <w:rFonts w:hint="eastAsia"/>
              </w:rPr>
              <w:t xml:space="preserve">　　</w:t>
            </w:r>
            <w:r w:rsidR="00203F72" w:rsidRPr="00A53581">
              <w:rPr>
                <w:rFonts w:hint="eastAsia"/>
              </w:rPr>
              <w:t>2.</w:t>
            </w:r>
            <w:r w:rsidR="00203F72" w:rsidRPr="00A53581">
              <w:rPr>
                <w:rFonts w:hint="eastAsia"/>
              </w:rPr>
              <w:t>不得質詢司法、考試、監察三院院長</w:t>
            </w:r>
          </w:p>
          <w:p w14:paraId="6943397B" w14:textId="77777777" w:rsidR="00203F72" w:rsidRPr="00A53581" w:rsidRDefault="001F1D62" w:rsidP="00D87D91">
            <w:r>
              <w:rPr>
                <w:rFonts w:hint="eastAsia"/>
              </w:rPr>
              <w:t xml:space="preserve">　　</w:t>
            </w:r>
            <w:r w:rsidR="00203F72" w:rsidRPr="00A53581">
              <w:rPr>
                <w:rFonts w:hint="eastAsia"/>
              </w:rPr>
              <w:t>3.</w:t>
            </w:r>
            <w:r w:rsidR="00203F72" w:rsidRPr="00A53581">
              <w:rPr>
                <w:rFonts w:hint="eastAsia"/>
              </w:rPr>
              <w:t>不得質詢司法、考試、監察三院獨立行使職權人員</w:t>
            </w:r>
          </w:p>
          <w:p w14:paraId="530100E5" w14:textId="77777777" w:rsidR="00203F72" w:rsidRPr="00A53581" w:rsidRDefault="001F1D62" w:rsidP="00D87D91">
            <w:r>
              <w:rPr>
                <w:rFonts w:hint="eastAsia"/>
              </w:rPr>
              <w:t xml:space="preserve">　　</w:t>
            </w:r>
            <w:r w:rsidR="00203F72" w:rsidRPr="00A53581">
              <w:rPr>
                <w:rFonts w:hint="eastAsia"/>
              </w:rPr>
              <w:t>4.</w:t>
            </w:r>
            <w:r w:rsidR="00203F72" w:rsidRPr="00A53581">
              <w:rPr>
                <w:rFonts w:hint="eastAsia"/>
              </w:rPr>
              <w:t>不得行政院所屬，依法獨立行使職權不受外部干涉之人員</w:t>
            </w:r>
            <w:r w:rsidR="00203F72" w:rsidRPr="00A53581">
              <w:rPr>
                <w:rFonts w:hint="eastAsia"/>
              </w:rPr>
              <w:t>(</w:t>
            </w:r>
            <w:r w:rsidR="00203F72" w:rsidRPr="00A53581">
              <w:rPr>
                <w:rFonts w:hint="eastAsia"/>
              </w:rPr>
              <w:t>如公平會委員</w:t>
            </w:r>
            <w:r w:rsidR="00203F72" w:rsidRPr="00A53581">
              <w:rPr>
                <w:rFonts w:hint="eastAsia"/>
              </w:rPr>
              <w:t>)</w:t>
            </w:r>
          </w:p>
          <w:p w14:paraId="688C2988" w14:textId="77777777" w:rsidR="00203F72" w:rsidRPr="00A53581" w:rsidRDefault="001F1D62" w:rsidP="00D87D91">
            <w:r>
              <w:rPr>
                <w:rFonts w:hint="eastAsia"/>
              </w:rPr>
              <w:t xml:space="preserve">　　</w:t>
            </w:r>
            <w:r w:rsidR="00203F72" w:rsidRPr="00A53581">
              <w:rPr>
                <w:rFonts w:hint="eastAsia"/>
              </w:rPr>
              <w:t>5.</w:t>
            </w:r>
            <w:r w:rsidR="00203F72" w:rsidRPr="00A53581">
              <w:rPr>
                <w:rFonts w:hint="eastAsia"/>
              </w:rPr>
              <w:t>因執行關係國家安全之軍事業務而有正當理由者，得拒絕備詢</w:t>
            </w:r>
          </w:p>
          <w:p w14:paraId="6422262A" w14:textId="77777777" w:rsidR="00203F72" w:rsidRPr="00A53581" w:rsidRDefault="001F1D62" w:rsidP="00D87D91">
            <w:r>
              <w:rPr>
                <w:rFonts w:hint="eastAsia"/>
              </w:rPr>
              <w:t xml:space="preserve">　　</w:t>
            </w:r>
            <w:r w:rsidR="00203F72" w:rsidRPr="00A53581">
              <w:rPr>
                <w:rFonts w:hint="eastAsia"/>
              </w:rPr>
              <w:t>6.</w:t>
            </w:r>
            <w:r w:rsidR="00203F72" w:rsidRPr="00A53581">
              <w:rPr>
                <w:rFonts w:hint="eastAsia"/>
              </w:rPr>
              <w:t>詢問內容涉及重要國防機密事項，免予答覆</w:t>
            </w:r>
          </w:p>
        </w:tc>
      </w:tr>
    </w:tbl>
    <w:p w14:paraId="782A0EB3" w14:textId="77777777" w:rsidR="00953151" w:rsidRPr="00482FC4" w:rsidRDefault="00B76D62" w:rsidP="00D87D91">
      <w:r w:rsidRPr="00482FC4">
        <w:t>【本表資料來源】</w:t>
      </w:r>
      <w:r w:rsidR="00203F72" w:rsidRPr="00482FC4">
        <w:t>賀祥宏</w:t>
      </w:r>
      <w:r w:rsidR="00203F72" w:rsidRPr="00482FC4">
        <w:t>(2010)</w:t>
      </w:r>
      <w:r w:rsidR="00203F72" w:rsidRPr="00482FC4">
        <w:t>，中華民國憲法，第</w:t>
      </w:r>
      <w:r w:rsidR="00203F72" w:rsidRPr="00482FC4">
        <w:t>11</w:t>
      </w:r>
      <w:r w:rsidR="00203F72" w:rsidRPr="00482FC4">
        <w:t>版，台北市：高點，第</w:t>
      </w:r>
      <w:r w:rsidR="00203F72" w:rsidRPr="00482FC4">
        <w:t>3-107</w:t>
      </w:r>
      <w:r w:rsidR="00203F72" w:rsidRPr="00482FC4">
        <w:t>頁。</w:t>
      </w:r>
    </w:p>
    <w:p w14:paraId="0082D4DA" w14:textId="77777777" w:rsidR="00953151" w:rsidRPr="00482FC4" w:rsidRDefault="007F7377" w:rsidP="00D87D91">
      <w:r w:rsidRPr="00482FC4">
        <w:t xml:space="preserve">　　</w:t>
      </w:r>
      <w:r w:rsidR="00203F72" w:rsidRPr="00482FC4">
        <w:t>再者，另依司法院釋</w:t>
      </w:r>
      <w:r w:rsidR="00BE1B2A" w:rsidRPr="002C46BE">
        <w:t>字</w:t>
      </w:r>
      <w:hyperlink r:id="rId744" w:anchor="r498" w:history="1">
        <w:r w:rsidR="00BE1B2A" w:rsidRPr="002C46BE">
          <w:rPr>
            <w:rStyle w:val="a5"/>
          </w:rPr>
          <w:t>第498</w:t>
        </w:r>
        <w:r w:rsidR="00BE1B2A">
          <w:rPr>
            <w:rStyle w:val="a5"/>
          </w:rPr>
          <w:t>號</w:t>
        </w:r>
      </w:hyperlink>
      <w:r w:rsidR="00203F72" w:rsidRPr="00482FC4">
        <w:t>之解釋，「按立法院所設各種委員會，得邀請政府人員及社會上有關係人員到會備詢，為憲法</w:t>
      </w:r>
      <w:r w:rsidR="00BE1B2A" w:rsidRPr="00482FC4">
        <w:t>第</w:t>
      </w:r>
      <w:hyperlink r:id="rId745" w:anchor="a67" w:history="1">
        <w:r w:rsidR="00BE1B2A" w:rsidRPr="00BE1B2A">
          <w:rPr>
            <w:rStyle w:val="a5"/>
            <w:rFonts w:ascii="Times New Roman" w:hAnsi="Times New Roman"/>
          </w:rPr>
          <w:t>六十七</w:t>
        </w:r>
      </w:hyperlink>
      <w:r w:rsidR="00BE1B2A" w:rsidRPr="00482FC4">
        <w:t>條</w:t>
      </w:r>
      <w:r w:rsidR="00203F72" w:rsidRPr="00482FC4">
        <w:t>第二項所明定。鑑於行政院應依憲法規定對立法院負責，故凡行政院各部會首長及其所屬公務員，除依法獨立行使職權，不受外部干涉之人員外，於立法院各種委員會依憲法</w:t>
      </w:r>
      <w:r w:rsidR="00BE1B2A" w:rsidRPr="00482FC4">
        <w:t>第</w:t>
      </w:r>
      <w:hyperlink r:id="rId746" w:anchor="a67" w:history="1">
        <w:r w:rsidR="00BE1B2A" w:rsidRPr="00BE1B2A">
          <w:rPr>
            <w:rStyle w:val="a5"/>
            <w:rFonts w:ascii="Times New Roman" w:hAnsi="Times New Roman"/>
          </w:rPr>
          <w:t>六十七</w:t>
        </w:r>
      </w:hyperlink>
      <w:r w:rsidR="00BE1B2A" w:rsidRPr="00482FC4">
        <w:t>條</w:t>
      </w:r>
      <w:r w:rsidR="00203F72" w:rsidRPr="00482FC4">
        <w:t>第二項規定邀請到會備詢時，有應邀說明之義務，亦經本院釋字第</w:t>
      </w:r>
      <w:hyperlink r:id="rId747" w:anchor="r461" w:history="1">
        <w:r w:rsidR="00203F72" w:rsidRPr="001F1D62">
          <w:rPr>
            <w:rStyle w:val="a5"/>
            <w:rFonts w:ascii="Times New Roman" w:eastAsia="新細明體" w:hAnsi="Times New Roman"/>
          </w:rPr>
          <w:t>四六一</w:t>
        </w:r>
      </w:hyperlink>
      <w:r w:rsidR="00203F72" w:rsidRPr="00482FC4">
        <w:t>號解釋在案。」</w:t>
      </w:r>
    </w:p>
    <w:p w14:paraId="362C715C" w14:textId="77777777" w:rsidR="00953151" w:rsidRDefault="007F7377" w:rsidP="00D87D91">
      <w:r w:rsidRPr="00482FC4">
        <w:t xml:space="preserve">　　</w:t>
      </w:r>
      <w:r w:rsidR="00203F72" w:rsidRPr="00482FC4">
        <w:t>為遂行各委員會職能，各種委員會得邀請政府人員及社會上有關係人員到會備詢。行政院各部會首長及其所屬公務員，除依法獨立行使職權，不受外部干涉之人員外，有應立法院各種委員會邀請到會場備詢，提出說明之義務。</w:t>
      </w:r>
    </w:p>
    <w:p w14:paraId="620598CF" w14:textId="77777777" w:rsidR="001F1D62" w:rsidRPr="00482FC4" w:rsidRDefault="001F1D62" w:rsidP="00D87D91"/>
    <w:p w14:paraId="0BC41FF5" w14:textId="6E7C926E" w:rsidR="00203F72" w:rsidRPr="00482FC4" w:rsidRDefault="00B03E84" w:rsidP="00D87D91">
      <w:r w:rsidRPr="00482FC4">
        <w:t>【</w:t>
      </w:r>
      <w:r w:rsidRPr="00482FC4">
        <w:t>table</w:t>
      </w:r>
      <w:r w:rsidR="005E23E3" w:rsidRPr="00482FC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48</w:t>
      </w:r>
      <w:r w:rsidR="00076467">
        <w:rPr>
          <w:noProof/>
        </w:rPr>
        <w:fldChar w:fldCharType="end"/>
      </w:r>
      <w:r w:rsidR="00203F72" w:rsidRPr="00482FC4">
        <w:rPr>
          <w:rFonts w:hint="eastAsia"/>
        </w:rPr>
        <w:t>接受立法院立委質詢與備詢之差異性比較表</w:t>
      </w:r>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3147"/>
        <w:gridCol w:w="2806"/>
      </w:tblGrid>
      <w:tr w:rsidR="00203F72" w:rsidRPr="00A53581" w14:paraId="1D289B01" w14:textId="77777777" w:rsidTr="00482FC4">
        <w:trPr>
          <w:tblHeader/>
        </w:trPr>
        <w:tc>
          <w:tcPr>
            <w:tcW w:w="1985" w:type="dxa"/>
            <w:tcBorders>
              <w:top w:val="single" w:sz="4" w:space="0" w:color="auto"/>
              <w:left w:val="single" w:sz="4" w:space="0" w:color="auto"/>
              <w:bottom w:val="single" w:sz="4" w:space="0" w:color="auto"/>
              <w:right w:val="single" w:sz="4" w:space="0" w:color="auto"/>
              <w:tl2br w:val="single" w:sz="4" w:space="0" w:color="auto"/>
            </w:tcBorders>
            <w:shd w:val="clear" w:color="auto" w:fill="FAF0FA"/>
          </w:tcPr>
          <w:p w14:paraId="7E0ABCE9" w14:textId="77777777" w:rsidR="00953151" w:rsidRDefault="00203F72" w:rsidP="00D87D91">
            <w:r w:rsidRPr="00A53581">
              <w:rPr>
                <w:rFonts w:hint="eastAsia"/>
              </w:rPr>
              <w:t>義務</w:t>
            </w:r>
          </w:p>
          <w:p w14:paraId="7CFE3EB6" w14:textId="77777777" w:rsidR="00203F72" w:rsidRPr="00A53581" w:rsidRDefault="00203F72" w:rsidP="00D87D91">
            <w:r w:rsidRPr="00A53581">
              <w:rPr>
                <w:rFonts w:hint="eastAsia"/>
              </w:rPr>
              <w:t>對象</w:t>
            </w:r>
          </w:p>
        </w:tc>
        <w:tc>
          <w:tcPr>
            <w:tcW w:w="3147"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40B8C6ED" w14:textId="77777777" w:rsidR="00203F72" w:rsidRPr="00A53581" w:rsidRDefault="00203F72" w:rsidP="00D87D91">
            <w:pPr>
              <w:rPr>
                <w:rFonts w:ascii="新細明體" w:hAnsi="新細明體"/>
              </w:rPr>
            </w:pPr>
            <w:r w:rsidRPr="00A53581">
              <w:rPr>
                <w:rFonts w:ascii="新細明體" w:hAnsi="新細明體" w:hint="eastAsia"/>
              </w:rPr>
              <w:t>受質詢義務</w:t>
            </w:r>
            <w:r w:rsidRPr="00A53581">
              <w:rPr>
                <w:rFonts w:ascii="新細明體" w:hAnsi="新細明體"/>
              </w:rPr>
              <w:t>(</w:t>
            </w:r>
            <w:r w:rsidRPr="00A53581">
              <w:rPr>
                <w:rFonts w:ascii="新細明體" w:hAnsi="新細明體" w:hint="eastAsia"/>
              </w:rPr>
              <w:t>憲法增修條</w:t>
            </w:r>
            <w:r w:rsidR="00E16174" w:rsidRPr="00D73718">
              <w:t>文</w:t>
            </w:r>
            <w:hyperlink r:id="rId748"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項第</w:t>
            </w:r>
            <w:r w:rsidRPr="00A53581">
              <w:rPr>
                <w:rFonts w:ascii="新細明體" w:hAnsi="新細明體"/>
              </w:rPr>
              <w:t>1</w:t>
            </w:r>
            <w:r w:rsidRPr="00A53581">
              <w:rPr>
                <w:rFonts w:ascii="新細明體" w:hAnsi="新細明體" w:hint="eastAsia"/>
              </w:rPr>
              <w:t>款；憲法</w:t>
            </w:r>
            <w:hyperlink r:id="rId749" w:anchor="a71" w:history="1">
              <w:r w:rsidRPr="00314E1E">
                <w:rPr>
                  <w:rStyle w:val="a5"/>
                  <w:rFonts w:eastAsia="新細明體" w:hint="eastAsia"/>
                </w:rPr>
                <w:t>第</w:t>
              </w:r>
              <w:r w:rsidRPr="00314E1E">
                <w:rPr>
                  <w:rStyle w:val="a5"/>
                  <w:rFonts w:eastAsia="新細明體"/>
                </w:rPr>
                <w:t>71</w:t>
              </w:r>
              <w:r w:rsidRPr="00314E1E">
                <w:rPr>
                  <w:rStyle w:val="a5"/>
                  <w:rFonts w:eastAsia="新細明體" w:hint="eastAsia"/>
                </w:rPr>
                <w:t>條</w:t>
              </w:r>
            </w:hyperlink>
            <w:r w:rsidRPr="00A53581">
              <w:rPr>
                <w:rFonts w:ascii="新細明體" w:hAnsi="新細明體"/>
              </w:rPr>
              <w:t>)</w:t>
            </w:r>
          </w:p>
        </w:tc>
        <w:tc>
          <w:tcPr>
            <w:tcW w:w="2806"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0BB440DA" w14:textId="77777777" w:rsidR="00203F72" w:rsidRPr="00A53581" w:rsidRDefault="00203F72" w:rsidP="00D87D91">
            <w:r w:rsidRPr="00A53581">
              <w:rPr>
                <w:rFonts w:hint="eastAsia"/>
              </w:rPr>
              <w:t>受備詢義務</w:t>
            </w:r>
            <w:r w:rsidRPr="00A53581">
              <w:t>(</w:t>
            </w:r>
            <w:r w:rsidRPr="00A53581">
              <w:rPr>
                <w:rFonts w:hint="eastAsia"/>
              </w:rPr>
              <w:t>憲法</w:t>
            </w:r>
            <w:hyperlink r:id="rId750" w:anchor="a67" w:history="1">
              <w:r w:rsidRPr="00314E1E">
                <w:rPr>
                  <w:rStyle w:val="a5"/>
                  <w:rFonts w:ascii="Times New Roman" w:eastAsia="新細明體" w:hAnsi="Times New Roman" w:hint="eastAsia"/>
                </w:rPr>
                <w:t>第</w:t>
              </w:r>
              <w:r w:rsidRPr="00314E1E">
                <w:rPr>
                  <w:rStyle w:val="a5"/>
                  <w:rFonts w:ascii="Times New Roman" w:eastAsia="新細明體" w:hAnsi="Times New Roman"/>
                </w:rPr>
                <w:t>67</w:t>
              </w:r>
              <w:r w:rsidRPr="00314E1E">
                <w:rPr>
                  <w:rStyle w:val="a5"/>
                  <w:rFonts w:ascii="Times New Roman" w:eastAsia="新細明體" w:hAnsi="Times New Roman" w:hint="eastAsia"/>
                </w:rPr>
                <w:t>條</w:t>
              </w:r>
            </w:hyperlink>
            <w:r w:rsidRPr="00A53581">
              <w:t>)</w:t>
            </w:r>
          </w:p>
        </w:tc>
      </w:tr>
      <w:tr w:rsidR="00203F72" w:rsidRPr="00A53581" w14:paraId="4D0BD40A"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9CF247E" w14:textId="77777777" w:rsidR="00203F72" w:rsidRPr="00A53581" w:rsidRDefault="00203F72" w:rsidP="00D87D91">
            <w:r w:rsidRPr="00A53581">
              <w:rPr>
                <w:rFonts w:hint="eastAsia"/>
              </w:rPr>
              <w:t>行政院院長</w:t>
            </w:r>
          </w:p>
        </w:tc>
        <w:tc>
          <w:tcPr>
            <w:tcW w:w="3147" w:type="dxa"/>
            <w:tcBorders>
              <w:top w:val="single" w:sz="4" w:space="0" w:color="auto"/>
              <w:left w:val="single" w:sz="4" w:space="0" w:color="auto"/>
              <w:bottom w:val="single" w:sz="4" w:space="0" w:color="auto"/>
              <w:right w:val="single" w:sz="4" w:space="0" w:color="auto"/>
            </w:tcBorders>
            <w:shd w:val="clear" w:color="auto" w:fill="auto"/>
            <w:hideMark/>
          </w:tcPr>
          <w:p w14:paraId="5AB7D947" w14:textId="77777777" w:rsidR="00203F72" w:rsidRPr="00A53581" w:rsidRDefault="00203F72" w:rsidP="00D87D91">
            <w:pPr>
              <w:rPr>
                <w:rFonts w:ascii="新細明體" w:hAnsi="新細明體"/>
              </w:rPr>
            </w:pPr>
            <w:r w:rsidRPr="00A53581">
              <w:rPr>
                <w:rFonts w:ascii="新細明體" w:hAnsi="新細明體" w:hint="eastAsia"/>
              </w:rPr>
              <w:t>須接受立法院立委質詢義務</w:t>
            </w:r>
            <w:r w:rsidR="00D92F56">
              <w:rPr>
                <w:rFonts w:ascii="新細明體" w:hAnsi="新細明體" w:hint="eastAsia"/>
              </w:rPr>
              <w:t>〜</w:t>
            </w:r>
            <w:r w:rsidRPr="00A53581">
              <w:rPr>
                <w:rFonts w:ascii="新細明體" w:hAnsi="新細明體" w:hint="eastAsia"/>
              </w:rPr>
              <w:t>憲法增修條</w:t>
            </w:r>
            <w:r w:rsidR="00E16174" w:rsidRPr="00D73718">
              <w:t>文</w:t>
            </w:r>
            <w:hyperlink r:id="rId751"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項第</w:t>
            </w:r>
            <w:r w:rsidRPr="00A53581">
              <w:rPr>
                <w:rFonts w:ascii="新細明體" w:hAnsi="新細明體"/>
              </w:rPr>
              <w:t>1</w:t>
            </w:r>
            <w:r w:rsidRPr="00A53581">
              <w:rPr>
                <w:rFonts w:ascii="新細明體" w:hAnsi="新細明體" w:hint="eastAsia"/>
              </w:rPr>
              <w:t>款明文規定。</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14:paraId="5A175B06" w14:textId="77777777" w:rsidR="00203F72" w:rsidRPr="00A53581" w:rsidRDefault="00203F72" w:rsidP="00D87D91">
            <w:r w:rsidRPr="00A53581">
              <w:t>無</w:t>
            </w:r>
            <w:r w:rsidRPr="00A53581">
              <w:rPr>
                <w:rFonts w:hint="eastAsia"/>
              </w:rPr>
              <w:t>須接受立法院立委備詢義務</w:t>
            </w:r>
            <w:r w:rsidR="00D92F56">
              <w:rPr>
                <w:rFonts w:hint="eastAsia"/>
              </w:rPr>
              <w:t>〜</w:t>
            </w:r>
            <w:r w:rsidRPr="00A53581">
              <w:rPr>
                <w:rFonts w:hint="eastAsia"/>
              </w:rPr>
              <w:t>行政院長是否應受邀備詢</w:t>
            </w:r>
            <w:r w:rsidRPr="00A53581">
              <w:t>?</w:t>
            </w:r>
            <w:r w:rsidRPr="00A53581">
              <w:rPr>
                <w:rFonts w:hint="eastAsia"/>
              </w:rPr>
              <w:t>法條文字並不明確。惟本於五院間相互尊重之立場，且亦應認已形成「憲政慣例」，而得不受邀備詢。</w:t>
            </w:r>
          </w:p>
        </w:tc>
      </w:tr>
      <w:tr w:rsidR="00203F72" w:rsidRPr="00A53581" w14:paraId="5E7BB293"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25BD2" w14:textId="77777777" w:rsidR="00203F72" w:rsidRPr="00A53581" w:rsidRDefault="00203F72" w:rsidP="00D87D91">
            <w:r w:rsidRPr="00A53581">
              <w:rPr>
                <w:rFonts w:hint="eastAsia"/>
              </w:rPr>
              <w:t>行政院各部會首長。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97F79" w14:textId="77777777" w:rsidR="00203F72" w:rsidRPr="00A53581" w:rsidRDefault="00203F72" w:rsidP="00D87D91">
            <w:pPr>
              <w:rPr>
                <w:rFonts w:ascii="新細明體" w:hAnsi="新細明體"/>
              </w:rPr>
            </w:pPr>
            <w:r w:rsidRPr="00A53581">
              <w:rPr>
                <w:rFonts w:ascii="新細明體" w:hAnsi="新細明體" w:hint="eastAsia"/>
              </w:rPr>
              <w:t>須接受立法院立委質詢義務</w:t>
            </w:r>
            <w:r w:rsidR="00D92F56">
              <w:rPr>
                <w:rFonts w:ascii="新細明體" w:hAnsi="新細明體" w:hint="eastAsia"/>
              </w:rPr>
              <w:t>〜</w:t>
            </w:r>
            <w:r w:rsidRPr="00A53581">
              <w:rPr>
                <w:rFonts w:ascii="新細明體" w:hAnsi="新細明體" w:hint="eastAsia"/>
              </w:rPr>
              <w:t>憲法增修條</w:t>
            </w:r>
            <w:r w:rsidR="00E16174" w:rsidRPr="00D73718">
              <w:t>文</w:t>
            </w:r>
            <w:hyperlink r:id="rId752"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項第</w:t>
            </w:r>
            <w:r w:rsidRPr="00A53581">
              <w:rPr>
                <w:rFonts w:ascii="新細明體" w:hAnsi="新細明體"/>
              </w:rPr>
              <w:t>1</w:t>
            </w:r>
            <w:r w:rsidRPr="00A53581">
              <w:rPr>
                <w:rFonts w:ascii="新細明體" w:hAnsi="新細明體" w:hint="eastAsia"/>
              </w:rPr>
              <w:t>款明文規定。</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C2C48" w14:textId="77777777" w:rsidR="00203F72" w:rsidRPr="00A53581" w:rsidRDefault="00203F72" w:rsidP="00D87D91">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53"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 xml:space="preserve">: </w:t>
            </w:r>
            <w:r w:rsidRPr="00A53581">
              <w:rPr>
                <w:rFonts w:hint="eastAsia"/>
              </w:rPr>
              <w:t>相關行政人員就其負責而提出之法律案及有關預算案設計之事項</w:t>
            </w:r>
            <w:r w:rsidRPr="00A53581">
              <w:t>,</w:t>
            </w:r>
            <w:r w:rsidRPr="00A53581">
              <w:rPr>
                <w:rFonts w:hint="eastAsia"/>
              </w:rPr>
              <w:t>有應邀說明之必要。</w:t>
            </w:r>
          </w:p>
        </w:tc>
      </w:tr>
      <w:tr w:rsidR="00203F72" w:rsidRPr="00A53581" w14:paraId="53D22A64"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EAB3C" w14:textId="77777777" w:rsidR="00203F72" w:rsidRPr="00A53581" w:rsidRDefault="00203F72" w:rsidP="00D87D91">
            <w:r w:rsidRPr="00A53581">
              <w:rPr>
                <w:rFonts w:hint="eastAsia"/>
              </w:rPr>
              <w:t>行政院各部會首長以外所屬非獨立行使職權之人員。例如，參謀總長。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C03F8" w14:textId="77777777" w:rsidR="00203F72" w:rsidRPr="00A53581" w:rsidRDefault="00203F72" w:rsidP="00D87D91">
            <w:r w:rsidRPr="00A53581">
              <w:t>無</w:t>
            </w:r>
            <w:r w:rsidRPr="00A53581">
              <w:rPr>
                <w:rFonts w:hint="eastAsia"/>
              </w:rPr>
              <w:t>須接受立法院立委質詢義務</w:t>
            </w:r>
            <w:r w:rsidR="00D92F56">
              <w:rPr>
                <w:rFonts w:hint="eastAsia"/>
              </w:rPr>
              <w:t>〜</w:t>
            </w:r>
            <w:r w:rsidRPr="00A53581">
              <w:rPr>
                <w:rFonts w:hint="eastAsia"/>
              </w:rPr>
              <w:t>質詢對象限於</w:t>
            </w:r>
            <w:r w:rsidRPr="00A53581">
              <w:t xml:space="preserve">: </w:t>
            </w:r>
            <w:r w:rsidRPr="00A53581">
              <w:rPr>
                <w:rFonts w:hint="eastAsia"/>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145DE" w14:textId="77777777" w:rsidR="00203F72" w:rsidRPr="00A53581" w:rsidRDefault="00203F72" w:rsidP="00D87D91">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54"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 xml:space="preserve">: </w:t>
            </w:r>
            <w:r w:rsidRPr="00A53581">
              <w:rPr>
                <w:rFonts w:hint="eastAsia"/>
              </w:rPr>
              <w:t>相關行政人員就其負責而提出之法律案及有關預算案設計之事項</w:t>
            </w:r>
            <w:r w:rsidRPr="00A53581">
              <w:t>,</w:t>
            </w:r>
            <w:r w:rsidRPr="00A53581">
              <w:rPr>
                <w:rFonts w:hint="eastAsia"/>
              </w:rPr>
              <w:t>有應邀說明之必要。</w:t>
            </w:r>
          </w:p>
        </w:tc>
      </w:tr>
      <w:tr w:rsidR="00203F72" w:rsidRPr="00A53581" w14:paraId="436F29A8"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128E0" w14:textId="77777777" w:rsidR="00203F72" w:rsidRPr="00A53581" w:rsidRDefault="00203F72" w:rsidP="00D87D91">
            <w:r w:rsidRPr="00A53581">
              <w:rPr>
                <w:rFonts w:hint="eastAsia"/>
              </w:rPr>
              <w:t>行政院所屬依法獨立行使職權，不受外部干涉之人員。例如，檢察官、公平交易委員會委員等。</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9FE74" w14:textId="77777777" w:rsidR="00203F72" w:rsidRPr="00A53581" w:rsidRDefault="00203F72" w:rsidP="00D87D91">
            <w:r w:rsidRPr="00A53581">
              <w:t>無</w:t>
            </w:r>
            <w:r w:rsidRPr="00A53581">
              <w:rPr>
                <w:rFonts w:hint="eastAsia"/>
              </w:rPr>
              <w:t>須接受立法院立委質詢義務</w:t>
            </w:r>
            <w:r w:rsidR="00D92F56">
              <w:rPr>
                <w:rFonts w:hint="eastAsia"/>
              </w:rPr>
              <w:t>〜</w:t>
            </w:r>
            <w:r w:rsidRPr="00A53581">
              <w:rPr>
                <w:rFonts w:hint="eastAsia"/>
              </w:rPr>
              <w:t>質詢對象限於</w:t>
            </w:r>
            <w:r w:rsidRPr="00A53581">
              <w:t xml:space="preserve">: </w:t>
            </w:r>
            <w:r w:rsidRPr="00A53581">
              <w:rPr>
                <w:rFonts w:hint="eastAsia"/>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38341" w14:textId="77777777" w:rsidR="00203F72" w:rsidRPr="00A53581" w:rsidRDefault="00203F72" w:rsidP="00D87D91">
            <w:r w:rsidRPr="00A53581">
              <w:t>無</w:t>
            </w:r>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55"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w:t>
            </w:r>
            <w:r w:rsidRPr="00A53581">
              <w:rPr>
                <w:rFonts w:hint="eastAsia"/>
              </w:rPr>
              <w:t>確定得獨立行使職權。</w:t>
            </w:r>
          </w:p>
        </w:tc>
      </w:tr>
      <w:tr w:rsidR="00203F72" w:rsidRPr="00A53581" w14:paraId="2A140FC9"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DF218" w14:textId="77777777" w:rsidR="00203F72" w:rsidRPr="00A53581" w:rsidRDefault="00203F72" w:rsidP="00D87D91">
            <w:r w:rsidRPr="00A53581">
              <w:rPr>
                <w:rFonts w:hint="eastAsia"/>
              </w:rPr>
              <w:t>司法、考試、監察三院院長。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D30F3" w14:textId="77777777" w:rsidR="00203F72" w:rsidRPr="00A53581" w:rsidRDefault="00203F72" w:rsidP="00D87D91">
            <w:r w:rsidRPr="00A53581">
              <w:rPr>
                <w:rFonts w:hint="eastAsia"/>
              </w:rPr>
              <w:t>須接受立法院立委質詢義務</w:t>
            </w:r>
            <w:r w:rsidR="00D92F56">
              <w:rPr>
                <w:rFonts w:hint="eastAsia"/>
              </w:rPr>
              <w:t>〜</w:t>
            </w:r>
            <w:r w:rsidRPr="00A53581">
              <w:rPr>
                <w:rFonts w:hint="eastAsia"/>
              </w:rPr>
              <w:t>憲</w:t>
            </w:r>
            <w:r w:rsidR="00314E1E" w:rsidRPr="00A53581">
              <w:rPr>
                <w:rFonts w:ascii="新細明體" w:hAnsi="新細明體" w:hint="eastAsia"/>
              </w:rPr>
              <w:t>法</w:t>
            </w:r>
            <w:hyperlink r:id="rId756" w:anchor="a71" w:history="1">
              <w:r w:rsidR="00314E1E" w:rsidRPr="00314E1E">
                <w:rPr>
                  <w:rStyle w:val="a5"/>
                  <w:rFonts w:eastAsia="新細明體" w:hint="eastAsia"/>
                </w:rPr>
                <w:t>第</w:t>
              </w:r>
              <w:r w:rsidR="00314E1E" w:rsidRPr="00314E1E">
                <w:rPr>
                  <w:rStyle w:val="a5"/>
                  <w:rFonts w:eastAsia="新細明體"/>
                </w:rPr>
                <w:t>71</w:t>
              </w:r>
              <w:r w:rsidR="00314E1E" w:rsidRPr="00314E1E">
                <w:rPr>
                  <w:rStyle w:val="a5"/>
                  <w:rFonts w:eastAsia="新細明體" w:hint="eastAsia"/>
                </w:rPr>
                <w:t>條</w:t>
              </w:r>
            </w:hyperlink>
            <w:r w:rsidRPr="00A53581">
              <w:t>:</w:t>
            </w:r>
            <w:r w:rsidRPr="00A53581">
              <w:rPr>
                <w:rFonts w:hint="eastAsia"/>
              </w:rPr>
              <w:t>既然司法、考試、監察三院皆可向立法院提出法律案，則司法、考試、監察三院院長自應亦比照行政院，為該院所提出之法律案而接受立法院之質詢。</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BB6E3" w14:textId="77777777" w:rsidR="00203F72" w:rsidRPr="00A53581" w:rsidRDefault="00203F72" w:rsidP="00D87D91">
            <w:r w:rsidRPr="00A53581">
              <w:t>無</w:t>
            </w:r>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57"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w:t>
            </w:r>
            <w:r w:rsidRPr="00A53581">
              <w:rPr>
                <w:rFonts w:hint="eastAsia"/>
              </w:rPr>
              <w:t>本於五院間相互尊重之立場，並依循憲政慣例，得不受邀請列席備詢。</w:t>
            </w:r>
          </w:p>
        </w:tc>
      </w:tr>
      <w:tr w:rsidR="00203F72" w:rsidRPr="00A53581" w14:paraId="41436851"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E6C62" w14:textId="77777777" w:rsidR="00203F72" w:rsidRPr="00A53581" w:rsidRDefault="00203F72" w:rsidP="00D87D91">
            <w:r w:rsidRPr="00A53581">
              <w:rPr>
                <w:rFonts w:hint="eastAsia"/>
              </w:rPr>
              <w:t>司法、考試、監察三院部會首長。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0C7B0" w14:textId="77777777" w:rsidR="00203F72" w:rsidRPr="00A53581" w:rsidRDefault="00203F72" w:rsidP="00D87D91">
            <w:r w:rsidRPr="00A53581">
              <w:rPr>
                <w:rFonts w:hint="eastAsia"/>
              </w:rPr>
              <w:t>須接受立法院立委質詢義務</w:t>
            </w:r>
            <w:r w:rsidR="00D92F56">
              <w:rPr>
                <w:rFonts w:hint="eastAsia"/>
              </w:rPr>
              <w:t>〜</w:t>
            </w:r>
            <w:r w:rsidRPr="00A53581">
              <w:rPr>
                <w:rFonts w:hint="eastAsia"/>
              </w:rPr>
              <w:t>-</w:t>
            </w:r>
            <w:r w:rsidRPr="00A53581">
              <w:rPr>
                <w:rFonts w:hint="eastAsia"/>
              </w:rPr>
              <w:t>憲</w:t>
            </w:r>
            <w:r w:rsidR="00314E1E" w:rsidRPr="00A53581">
              <w:rPr>
                <w:rFonts w:ascii="新細明體" w:hAnsi="新細明體" w:hint="eastAsia"/>
              </w:rPr>
              <w:t>法</w:t>
            </w:r>
            <w:hyperlink r:id="rId758" w:anchor="a71" w:history="1">
              <w:r w:rsidR="00314E1E" w:rsidRPr="00314E1E">
                <w:rPr>
                  <w:rStyle w:val="a5"/>
                  <w:rFonts w:eastAsia="新細明體" w:hint="eastAsia"/>
                </w:rPr>
                <w:t>第</w:t>
              </w:r>
              <w:r w:rsidR="00314E1E" w:rsidRPr="00314E1E">
                <w:rPr>
                  <w:rStyle w:val="a5"/>
                  <w:rFonts w:eastAsia="新細明體"/>
                </w:rPr>
                <w:t>71</w:t>
              </w:r>
              <w:r w:rsidR="00314E1E" w:rsidRPr="00314E1E">
                <w:rPr>
                  <w:rStyle w:val="a5"/>
                  <w:rFonts w:eastAsia="新細明體" w:hint="eastAsia"/>
                </w:rPr>
                <w:t>條</w:t>
              </w:r>
            </w:hyperlink>
            <w:r w:rsidRPr="00A53581">
              <w:t>:</w:t>
            </w:r>
            <w:r w:rsidRPr="00A53581">
              <w:rPr>
                <w:rFonts w:hint="eastAsia"/>
              </w:rPr>
              <w:t>既然司法、考試、監察三院皆可向立法院提出法律案，則司法、考試、監察三院院長自應亦比照行政院，為該院所提出之法律案而接受立法院之質詢。</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98DD8" w14:textId="77777777" w:rsidR="00203F72" w:rsidRPr="00A53581" w:rsidRDefault="00203F72" w:rsidP="00D87D91">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59"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 xml:space="preserve">: </w:t>
            </w:r>
            <w:r w:rsidRPr="00A53581">
              <w:rPr>
                <w:rFonts w:hint="eastAsia"/>
              </w:rPr>
              <w:t>相關行政人員就其負責而提出之法律案及有關預算案設計之事項</w:t>
            </w:r>
            <w:r w:rsidRPr="00A53581">
              <w:t>,</w:t>
            </w:r>
            <w:r w:rsidRPr="00A53581">
              <w:rPr>
                <w:rFonts w:hint="eastAsia"/>
              </w:rPr>
              <w:t>有應邀說明之必要。</w:t>
            </w:r>
          </w:p>
        </w:tc>
      </w:tr>
      <w:tr w:rsidR="00203F72" w:rsidRPr="00A53581" w14:paraId="28F5A4EB"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5C4E4" w14:textId="77777777" w:rsidR="00203F72" w:rsidRPr="00A53581" w:rsidRDefault="00203F72" w:rsidP="00D87D91">
            <w:r w:rsidRPr="00A53581">
              <w:rPr>
                <w:rFonts w:hint="eastAsia"/>
              </w:rPr>
              <w:t>司法、考試、監察三院部會首長以外之所屬非獨立行使職權人員。例如，考試院秘書長。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F3406" w14:textId="77777777" w:rsidR="00203F72" w:rsidRPr="00A53581" w:rsidRDefault="00203F72" w:rsidP="00D87D91">
            <w:r w:rsidRPr="00A53581">
              <w:rPr>
                <w:rFonts w:hint="eastAsia"/>
              </w:rPr>
              <w:t>無須接受立法院立委質詢義務</w:t>
            </w:r>
            <w:r w:rsidR="00D92F56">
              <w:rPr>
                <w:rFonts w:hint="eastAsia"/>
              </w:rPr>
              <w:t>〜</w:t>
            </w:r>
            <w:r w:rsidRPr="00A53581">
              <w:rPr>
                <w:rFonts w:hint="eastAsia"/>
              </w:rPr>
              <w:t>質詢對象限於</w:t>
            </w:r>
            <w:r w:rsidRPr="00A53581">
              <w:t xml:space="preserve">: </w:t>
            </w:r>
            <w:r w:rsidRPr="00A53581">
              <w:rPr>
                <w:rFonts w:hint="eastAsia"/>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B91CF" w14:textId="77777777" w:rsidR="00203F72" w:rsidRPr="00A53581" w:rsidRDefault="00203F72" w:rsidP="00D87D91">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60"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 xml:space="preserve">: </w:t>
            </w:r>
            <w:r w:rsidRPr="00A53581">
              <w:rPr>
                <w:rFonts w:hint="eastAsia"/>
              </w:rPr>
              <w:t>相關行政人員就其負責而提出之法律案及有關預算案設計之事項</w:t>
            </w:r>
            <w:r w:rsidRPr="00A53581">
              <w:t>,</w:t>
            </w:r>
            <w:r w:rsidRPr="00A53581">
              <w:rPr>
                <w:rFonts w:hint="eastAsia"/>
              </w:rPr>
              <w:t>有應邀說明之必要。</w:t>
            </w:r>
          </w:p>
        </w:tc>
      </w:tr>
      <w:tr w:rsidR="00203F72" w:rsidRPr="00A53581" w14:paraId="6AFDD750"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4825E" w14:textId="77777777" w:rsidR="00203F72" w:rsidRPr="00A53581" w:rsidRDefault="00203F72" w:rsidP="00D87D91">
            <w:r w:rsidRPr="00A53581">
              <w:rPr>
                <w:rFonts w:hint="eastAsia"/>
              </w:rPr>
              <w:t>司法、考試、監察三院所屬獨立行使職權，不受任何干涉之人員長。例如，法官、考試委員及監察委員等。</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A366C" w14:textId="77777777" w:rsidR="00203F72" w:rsidRPr="00A53581" w:rsidRDefault="00203F72" w:rsidP="00D87D91">
            <w:r w:rsidRPr="00A53581">
              <w:rPr>
                <w:rFonts w:hint="eastAsia"/>
              </w:rPr>
              <w:t>無須接受立法院立委質詢義務</w:t>
            </w:r>
            <w:r w:rsidR="00D92F56">
              <w:rPr>
                <w:rFonts w:hint="eastAsia"/>
              </w:rPr>
              <w:t>〜</w:t>
            </w:r>
            <w:r w:rsidRPr="00A53581">
              <w:rPr>
                <w:rFonts w:hint="eastAsia"/>
              </w:rPr>
              <w:t>質詢對象限於</w:t>
            </w:r>
            <w:r w:rsidRPr="00A53581">
              <w:t xml:space="preserve">: </w:t>
            </w:r>
            <w:r w:rsidRPr="00A53581">
              <w:rPr>
                <w:rFonts w:hint="eastAsia"/>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96CB31" w14:textId="77777777" w:rsidR="00203F72" w:rsidRPr="00A53581" w:rsidRDefault="00203F72" w:rsidP="00D87D91">
            <w:r w:rsidRPr="00A53581">
              <w:t>無</w:t>
            </w:r>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61"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w:t>
            </w:r>
            <w:r w:rsidRPr="00A53581">
              <w:rPr>
                <w:rFonts w:hint="eastAsia"/>
              </w:rPr>
              <w:t>確定得獨立行使職權。</w:t>
            </w:r>
          </w:p>
        </w:tc>
      </w:tr>
      <w:tr w:rsidR="00203F72" w:rsidRPr="00A53581" w14:paraId="65B412D7"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A00F7" w14:textId="77777777" w:rsidR="00203F72" w:rsidRPr="00A53581" w:rsidRDefault="00203F72" w:rsidP="00D87D91">
            <w:r w:rsidRPr="00A53581">
              <w:rPr>
                <w:rFonts w:hint="eastAsia"/>
              </w:rPr>
              <w:t>地方自治團體行政機關公務員。</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3C298" w14:textId="77777777" w:rsidR="00203F72" w:rsidRPr="00A53581" w:rsidRDefault="00203F72" w:rsidP="00D87D91">
            <w:r w:rsidRPr="00A53581">
              <w:rPr>
                <w:rFonts w:hint="eastAsia"/>
              </w:rPr>
              <w:t>無須接受立法院立委質詢義務</w:t>
            </w:r>
            <w:r w:rsidR="00D92F56">
              <w:rPr>
                <w:rFonts w:hint="eastAsia"/>
              </w:rPr>
              <w:t>〜</w:t>
            </w:r>
            <w:r w:rsidRPr="00A53581">
              <w:rPr>
                <w:rFonts w:hint="eastAsia"/>
              </w:rPr>
              <w:t>質詢對象限於</w:t>
            </w:r>
            <w:r w:rsidRPr="00A53581">
              <w:t>: (</w:t>
            </w:r>
            <w:r w:rsidRPr="00A53581">
              <w:rPr>
                <w:rFonts w:hint="eastAsia"/>
              </w:rPr>
              <w:t>中央</w:t>
            </w:r>
            <w:r w:rsidRPr="00A53581">
              <w:t>)</w:t>
            </w:r>
            <w:r w:rsidRPr="00A53581">
              <w:rPr>
                <w:rFonts w:hint="eastAsia"/>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D2A44" w14:textId="77777777" w:rsidR="00203F72" w:rsidRPr="00A53581" w:rsidRDefault="00203F72" w:rsidP="00D87D91">
            <w:r w:rsidRPr="00A53581">
              <w:rPr>
                <w:rFonts w:hint="eastAsia"/>
              </w:rPr>
              <w:t>原則</w:t>
            </w:r>
            <w:r w:rsidRPr="00A53581">
              <w:t>:</w:t>
            </w:r>
          </w:p>
          <w:p w14:paraId="2B9B6605" w14:textId="77777777" w:rsidR="00203F72" w:rsidRPr="00A53581" w:rsidRDefault="00203F72" w:rsidP="00D87D91">
            <w:r w:rsidRPr="00A53581">
              <w:t>無</w:t>
            </w:r>
            <w:r w:rsidRPr="00A53581">
              <w:rPr>
                <w:rFonts w:hint="eastAsia"/>
              </w:rPr>
              <w:t>須接受立法院立委備詢義務</w:t>
            </w:r>
            <w:r w:rsidR="00D92F56">
              <w:rPr>
                <w:rFonts w:hint="eastAsia"/>
              </w:rPr>
              <w:t>〜</w:t>
            </w:r>
            <w:r w:rsidRPr="00A53581">
              <w:rPr>
                <w:rFonts w:hint="eastAsia"/>
              </w:rPr>
              <w:t>地方自治團體行政機關公務員之自行衡酌到會說明之必要性，決定是否到會。</w:t>
            </w:r>
          </w:p>
          <w:p w14:paraId="03A59647" w14:textId="77777777" w:rsidR="00203F72" w:rsidRPr="00A53581" w:rsidRDefault="00203F72" w:rsidP="00D87D91">
            <w:r w:rsidRPr="00A53581">
              <w:rPr>
                <w:rFonts w:hint="eastAsia"/>
              </w:rPr>
              <w:t>例外：</w:t>
            </w:r>
          </w:p>
          <w:p w14:paraId="0282C7B6" w14:textId="77777777" w:rsidR="00203F72" w:rsidRPr="00A53581" w:rsidRDefault="00203F72" w:rsidP="00D87D91">
            <w:r w:rsidRPr="00A53581">
              <w:rPr>
                <w:rFonts w:hint="eastAsia"/>
              </w:rPr>
              <w:t>須接受立法院立委備詢義務</w:t>
            </w:r>
            <w:r w:rsidR="00D92F56">
              <w:rPr>
                <w:rFonts w:hint="eastAsia"/>
              </w:rPr>
              <w:t>〜</w:t>
            </w:r>
            <w:r w:rsidRPr="00A53581">
              <w:rPr>
                <w:rFonts w:hint="eastAsia"/>
              </w:rPr>
              <w:t>法律明定應到會備詢者。</w:t>
            </w:r>
          </w:p>
          <w:p w14:paraId="6E344125" w14:textId="77777777" w:rsidR="00203F72" w:rsidRPr="00A53581" w:rsidRDefault="00203F72" w:rsidP="00D87D91">
            <w:pPr>
              <w:rPr>
                <w:rFonts w:ascii="新細明體" w:hAnsi="新細明體"/>
              </w:rPr>
            </w:pPr>
            <w:r w:rsidRPr="00A53581">
              <w:rPr>
                <w:rFonts w:ascii="新細明體" w:hAnsi="新細明體" w:hint="eastAsia"/>
              </w:rPr>
              <w:t>司法院釋</w:t>
            </w:r>
            <w:r w:rsidR="00BE1B2A" w:rsidRPr="002C46BE">
              <w:t>字</w:t>
            </w:r>
            <w:hyperlink r:id="rId762" w:anchor="r498" w:history="1">
              <w:r w:rsidR="00BE1B2A" w:rsidRPr="002C46BE">
                <w:rPr>
                  <w:rStyle w:val="a5"/>
                </w:rPr>
                <w:t>第498</w:t>
              </w:r>
              <w:r w:rsidR="00BE1B2A">
                <w:rPr>
                  <w:rStyle w:val="a5"/>
                </w:rPr>
                <w:t>號</w:t>
              </w:r>
            </w:hyperlink>
            <w:r w:rsidRPr="00A53581">
              <w:rPr>
                <w:rFonts w:ascii="新細明體" w:hAnsi="新細明體" w:hint="eastAsia"/>
              </w:rPr>
              <w:t>解釋</w:t>
            </w:r>
            <w:r w:rsidRPr="00A53581">
              <w:rPr>
                <w:rFonts w:ascii="新細明體" w:hAnsi="新細明體"/>
              </w:rPr>
              <w:t xml:space="preserve">: </w:t>
            </w:r>
            <w:r w:rsidRPr="00A53581">
              <w:rPr>
                <w:rFonts w:ascii="新細明體" w:hAnsi="新細明體" w:hint="eastAsia"/>
              </w:rPr>
              <w:t>基於權力分立及憲法上中央與地方均權之原則。</w:t>
            </w:r>
          </w:p>
        </w:tc>
      </w:tr>
    </w:tbl>
    <w:p w14:paraId="4843B053" w14:textId="77777777" w:rsidR="00953151" w:rsidRDefault="002107CE" w:rsidP="00D87D91">
      <w:r>
        <w:rPr>
          <w:rFonts w:hint="eastAsia"/>
        </w:rPr>
        <w:t>【本表格資料來源】</w:t>
      </w:r>
      <w:r w:rsidR="00203F72" w:rsidRPr="00A53581">
        <w:rPr>
          <w:rFonts w:hint="eastAsia"/>
        </w:rPr>
        <w:t>植憲</w:t>
      </w:r>
      <w:r w:rsidR="00203F72" w:rsidRPr="00A53581">
        <w:t>(2011)</w:t>
      </w:r>
      <w:r w:rsidR="00203F72" w:rsidRPr="00A53581">
        <w:rPr>
          <w:rFonts w:hint="eastAsia"/>
        </w:rPr>
        <w:t>，憲法解題概念操作</w:t>
      </w:r>
      <w:r w:rsidR="00203F72" w:rsidRPr="00A53581">
        <w:t>(</w:t>
      </w:r>
      <w:r w:rsidR="00203F72" w:rsidRPr="00A53581">
        <w:rPr>
          <w:rFonts w:hint="eastAsia"/>
        </w:rPr>
        <w:t>下</w:t>
      </w:r>
      <w:r w:rsidR="00203F72" w:rsidRPr="00A53581">
        <w:t>)</w:t>
      </w:r>
      <w:r w:rsidR="00203F72" w:rsidRPr="00A53581">
        <w:rPr>
          <w:rFonts w:hint="eastAsia"/>
        </w:rPr>
        <w:t>，</w:t>
      </w:r>
      <w:r w:rsidR="00203F72" w:rsidRPr="00A53581">
        <w:t>6</w:t>
      </w:r>
      <w:r w:rsidR="00203F72" w:rsidRPr="00A53581">
        <w:rPr>
          <w:rFonts w:hint="eastAsia"/>
        </w:rPr>
        <w:t>版，台北：高點文化公司，第</w:t>
      </w:r>
      <w:r w:rsidR="00203F72" w:rsidRPr="00A53581">
        <w:t>113-115</w:t>
      </w:r>
      <w:r w:rsidR="00203F72" w:rsidRPr="00A53581">
        <w:rPr>
          <w:rFonts w:hint="eastAsia"/>
        </w:rPr>
        <w:t>頁。</w:t>
      </w:r>
    </w:p>
    <w:p w14:paraId="67D04168" w14:textId="77777777" w:rsidR="00953151" w:rsidRDefault="00076467" w:rsidP="00767F37">
      <w:pPr>
        <w:pStyle w:val="2"/>
      </w:pPr>
      <w:hyperlink r:id="rId763" w:anchor="a68" w:history="1">
        <w:r w:rsidR="005D5A46">
          <w:rPr>
            <w:rStyle w:val="a5"/>
            <w:rFonts w:ascii="Arial Unicode MS" w:hAnsi="Arial Unicode MS"/>
          </w:rPr>
          <w:t>第</w:t>
        </w:r>
        <w:r w:rsidR="00203F72" w:rsidRPr="001B53A5">
          <w:rPr>
            <w:rStyle w:val="a5"/>
            <w:rFonts w:ascii="Arial Unicode MS" w:hAnsi="Arial Unicode MS"/>
          </w:rPr>
          <w:t>68</w:t>
        </w:r>
        <w:r w:rsidR="005D5A46">
          <w:rPr>
            <w:rStyle w:val="a5"/>
            <w:rFonts w:ascii="Arial Unicode MS" w:hAnsi="Arial Unicode MS"/>
          </w:rPr>
          <w:t>條</w:t>
        </w:r>
      </w:hyperlink>
      <w:r w:rsidR="00203F72" w:rsidRPr="00A53581">
        <w:t>立法院會期，每年兩次，自行集會，第一次自二月至五月底，第二次自九月至十二月底，必要時得延長之。</w:t>
      </w:r>
    </w:p>
    <w:p w14:paraId="3B6A2A25" w14:textId="77777777" w:rsidR="00953151" w:rsidRPr="006D68CC" w:rsidRDefault="00B03E84" w:rsidP="00D87D91">
      <w:r w:rsidRPr="006D68CC">
        <w:t>【內容解析】</w:t>
      </w:r>
    </w:p>
    <w:p w14:paraId="72DF8E7A" w14:textId="77777777" w:rsidR="00953151" w:rsidRPr="006D68CC" w:rsidRDefault="007F7377" w:rsidP="00D87D91">
      <w:r w:rsidRPr="006D68CC">
        <w:t xml:space="preserve">　　</w:t>
      </w:r>
      <w:r w:rsidR="00203F72" w:rsidRPr="006D68CC">
        <w:t>立法院所有職權之行使，均以院會會議議決。立法院之會期依本規定為每年兩次，自行集會，第一次自二月至五月底，第二次自九月至十二月底，必要時得延長之。依立法院議事規則之規定，立法院院會議於每星期二、星期五開會，必要時經院會議決，得增減會次。院會會議超過一日者，經黨團協商之同意，得合併若干日為一次會議。院會會議開會時間為上午九時至下午六時。但舉行質詢時，延長至排定委員質詢結束為止。出席委員得於每次院會時間上午九時起，就國是問題發表意見，時間不得逾一小時；依其抽籤順序，每人發言三分鐘，並應遵守立法委</w:t>
      </w:r>
      <w:r w:rsidR="00203F72" w:rsidRPr="002B1F3A">
        <w:t>員行為法</w:t>
      </w:r>
      <w:hyperlink r:id="rId764" w:anchor="a7" w:history="1">
        <w:r w:rsidR="007D50BB" w:rsidRPr="002B1F3A">
          <w:rPr>
            <w:rStyle w:val="a5"/>
            <w:rFonts w:ascii="Times New Roman" w:hAnsi="Times New Roman"/>
          </w:rPr>
          <w:t>第七條</w:t>
        </w:r>
      </w:hyperlink>
      <w:r w:rsidR="00203F72" w:rsidRPr="002B1F3A">
        <w:t>第</w:t>
      </w:r>
      <w:r w:rsidR="00203F72" w:rsidRPr="006D68CC">
        <w:t>一項之規定。發言時間屆至，應即停止發言，離開發言台。前項委員發言之順序，應於每次院會上午七時至八時四十分登記，並於上午八時四十分抽籤定之。已屆上午十時，不足法定人數，主席得延長之，延長兩次，仍不足法定人數時，主席即宣告延會。</w:t>
      </w:r>
    </w:p>
    <w:p w14:paraId="0569D1A4" w14:textId="77777777" w:rsidR="00953151" w:rsidRPr="006D68CC" w:rsidRDefault="007F7377" w:rsidP="00D87D91">
      <w:r w:rsidRPr="006D68CC">
        <w:t xml:space="preserve">　　</w:t>
      </w:r>
      <w:r w:rsidR="00203F72" w:rsidRPr="006D68CC">
        <w:t>有關於立法院院會處理議案之表決方法，如下所述：一、口頭表決</w:t>
      </w:r>
      <w:r w:rsidR="00545D58" w:rsidRPr="006D68CC">
        <w:t>。</w:t>
      </w:r>
      <w:r w:rsidR="00203F72" w:rsidRPr="006D68CC">
        <w:t>二、舉手錶決</w:t>
      </w:r>
      <w:r w:rsidR="00545D58" w:rsidRPr="006D68CC">
        <w:t>。</w:t>
      </w:r>
      <w:r w:rsidR="00203F72" w:rsidRPr="006D68CC">
        <w:t>三、表決器表決。四、投票表決。五、點名表決。前項第一款至第四款所列方法之採用，由主席決定宣告之。第五款所列方法，經出席委員提議，二十五人以上之連署或附議，不經討論，由主席逕付表決。但有關人事問題之議案，不適用記名或點名表決方法。採用表決器記名表決，須經出席委員十五人以上之連署或附議。</w:t>
      </w:r>
    </w:p>
    <w:p w14:paraId="479C22AC" w14:textId="77777777" w:rsidR="00203F72" w:rsidRPr="00A53581" w:rsidRDefault="00076467" w:rsidP="00767F37">
      <w:pPr>
        <w:pStyle w:val="2"/>
      </w:pPr>
      <w:hyperlink r:id="rId765" w:anchor="a69" w:history="1">
        <w:r w:rsidR="005D5A46">
          <w:rPr>
            <w:rStyle w:val="a5"/>
            <w:rFonts w:ascii="Arial Unicode MS" w:hAnsi="Arial Unicode MS"/>
          </w:rPr>
          <w:t>第</w:t>
        </w:r>
        <w:r w:rsidR="00203F72" w:rsidRPr="001B53A5">
          <w:rPr>
            <w:rStyle w:val="a5"/>
            <w:rFonts w:ascii="Arial Unicode MS" w:hAnsi="Arial Unicode MS"/>
          </w:rPr>
          <w:t>69</w:t>
        </w:r>
        <w:r w:rsidR="005D5A46">
          <w:rPr>
            <w:rStyle w:val="a5"/>
            <w:rFonts w:ascii="Arial Unicode MS" w:hAnsi="Arial Unicode MS"/>
          </w:rPr>
          <w:t>條</w:t>
        </w:r>
      </w:hyperlink>
      <w:r w:rsidR="00203F72" w:rsidRPr="00A53581">
        <w:t>立法院遇有左列情事之一時，得開臨時會：</w:t>
      </w:r>
    </w:p>
    <w:p w14:paraId="4BEAECC3" w14:textId="77777777" w:rsidR="00203F72" w:rsidRPr="006D68CC" w:rsidRDefault="007F7377" w:rsidP="00D87D91">
      <w:r w:rsidRPr="006D68CC">
        <w:t xml:space="preserve">　　</w:t>
      </w:r>
      <w:r w:rsidR="00203F72" w:rsidRPr="006D68CC">
        <w:t>一</w:t>
      </w:r>
      <w:r w:rsidR="001B53A5" w:rsidRPr="006D68CC">
        <w:t>、</w:t>
      </w:r>
      <w:r w:rsidR="00203F72" w:rsidRPr="006D68CC">
        <w:t>總統之諮請。</w:t>
      </w:r>
    </w:p>
    <w:p w14:paraId="0E89CB3C" w14:textId="77777777" w:rsidR="00953151" w:rsidRPr="006D68CC" w:rsidRDefault="007F7377" w:rsidP="00D87D91">
      <w:r w:rsidRPr="006D68CC">
        <w:t xml:space="preserve">　　</w:t>
      </w:r>
      <w:r w:rsidR="00203F72" w:rsidRPr="006D68CC">
        <w:t>二</w:t>
      </w:r>
      <w:r w:rsidR="001B53A5" w:rsidRPr="006D68CC">
        <w:t>、</w:t>
      </w:r>
      <w:r w:rsidR="00203F72" w:rsidRPr="006D68CC">
        <w:t>立法委員四分之一以上之請求。</w:t>
      </w:r>
    </w:p>
    <w:p w14:paraId="574680D5" w14:textId="77777777" w:rsidR="00203F72" w:rsidRPr="006D68CC" w:rsidRDefault="00B03E84" w:rsidP="00D87D91">
      <w:r w:rsidRPr="006D68CC">
        <w:t>【內容解析】</w:t>
      </w:r>
    </w:p>
    <w:p w14:paraId="46C94285" w14:textId="77777777" w:rsidR="00953151" w:rsidRPr="006D68CC" w:rsidRDefault="007F7377" w:rsidP="00D87D91">
      <w:r w:rsidRPr="006D68CC">
        <w:t xml:space="preserve">　　</w:t>
      </w:r>
      <w:r w:rsidR="00203F72" w:rsidRPr="006D68CC">
        <w:t>對於召開臨時會，顯然總統擁有更大之權力。當總統諮請，或者，立委四分之</w:t>
      </w:r>
      <w:r w:rsidR="00D774A2" w:rsidRPr="006D68CC">
        <w:t>一</w:t>
      </w:r>
      <w:r w:rsidR="00203F72" w:rsidRPr="006D68CC">
        <w:t>以上請求時，立法院得召開臨時會。一般而言，民主國家之總理可以代表內閣提起召開臨時會，我國憲法則未賦予行政院長此項權限，須總統始可提出。另我國將聲請召開臨時會之立委門檻，定於四分之一之立法委員。同時，本條規定，立法院召開臨時會，為「得」召開，而非「應」召開，這表示開會否？立法院具有裁量之空間。但我國相關法規卻又沒有對此裁量空間，做出明確之規定</w:t>
      </w:r>
      <w:r w:rsidR="00203F72" w:rsidRPr="006D68CC">
        <w:footnoteReference w:id="79"/>
      </w:r>
      <w:r w:rsidR="00203F72" w:rsidRPr="006D68CC">
        <w:t>。</w:t>
      </w:r>
    </w:p>
    <w:p w14:paraId="3209CBAC" w14:textId="77777777" w:rsidR="00953151" w:rsidRDefault="00076467" w:rsidP="00767F37">
      <w:pPr>
        <w:pStyle w:val="2"/>
      </w:pPr>
      <w:hyperlink r:id="rId766" w:anchor="a70" w:history="1">
        <w:r w:rsidR="005D5A46">
          <w:rPr>
            <w:rStyle w:val="a5"/>
            <w:rFonts w:ascii="Arial Unicode MS" w:hAnsi="Arial Unicode MS"/>
          </w:rPr>
          <w:t>第</w:t>
        </w:r>
        <w:r w:rsidR="00203F72" w:rsidRPr="005B5310">
          <w:rPr>
            <w:rStyle w:val="a5"/>
            <w:rFonts w:ascii="Arial Unicode MS" w:hAnsi="Arial Unicode MS"/>
          </w:rPr>
          <w:t>70</w:t>
        </w:r>
        <w:r w:rsidR="005D5A46">
          <w:rPr>
            <w:rStyle w:val="a5"/>
            <w:rFonts w:ascii="Arial Unicode MS" w:hAnsi="Arial Unicode MS"/>
          </w:rPr>
          <w:t>條</w:t>
        </w:r>
      </w:hyperlink>
      <w:r w:rsidR="00203F72" w:rsidRPr="00A53581">
        <w:t>立法院對於行政院所提預算案，不得為增加支出之提議。</w:t>
      </w:r>
    </w:p>
    <w:p w14:paraId="3CD759C7" w14:textId="77777777" w:rsidR="00953151" w:rsidRPr="006D68CC" w:rsidRDefault="00B03E84" w:rsidP="00D87D91">
      <w:r w:rsidRPr="006D68CC">
        <w:t>【內容解析】</w:t>
      </w:r>
    </w:p>
    <w:p w14:paraId="2C9C0E65" w14:textId="77777777" w:rsidR="00953151" w:rsidRPr="006D68CC" w:rsidRDefault="007F7377" w:rsidP="00D87D91">
      <w:r w:rsidRPr="006D68CC">
        <w:t xml:space="preserve">　　</w:t>
      </w:r>
      <w:r w:rsidR="00203F72" w:rsidRPr="006D68CC">
        <w:t>本條文主要明訂，立法院只得為刪減支出之提議；這和美國會可以增加聯邦支出之制度設計不同。司法院釋字</w:t>
      </w:r>
      <w:hyperlink r:id="rId767" w:anchor="r264" w:history="1">
        <w:r w:rsidR="00203F72" w:rsidRPr="002B1F3A">
          <w:rPr>
            <w:rStyle w:val="a5"/>
            <w:rFonts w:ascii="Times New Roman" w:eastAsia="新細明體" w:hAnsi="Times New Roman"/>
          </w:rPr>
          <w:t>第</w:t>
        </w:r>
        <w:r w:rsidR="00203F72" w:rsidRPr="002B1F3A">
          <w:rPr>
            <w:rStyle w:val="a5"/>
            <w:rFonts w:ascii="Times New Roman" w:eastAsia="新細明體" w:hAnsi="Times New Roman"/>
          </w:rPr>
          <w:t>264</w:t>
        </w:r>
        <w:r w:rsidR="00203F72" w:rsidRPr="002B1F3A">
          <w:rPr>
            <w:rStyle w:val="a5"/>
            <w:rFonts w:ascii="Times New Roman" w:eastAsia="新細明體" w:hAnsi="Times New Roman"/>
          </w:rPr>
          <w:t>號</w:t>
        </w:r>
      </w:hyperlink>
      <w:r w:rsidR="00203F72" w:rsidRPr="006D68CC">
        <w:t>解釋認為：「按憲法規定，行政院應提出預算案，由立法院議決之，旨在劃分預算案之提案權與議決權，使行政院在編製政府預算時能兼顧全國財政、經濟狀況與年度施政計畫之需要，並為謀求政府用度合理，避免浪費起見，委由代表人民之立法院議決之，以發揮其監督政府財政之功能。</w:t>
      </w:r>
    </w:p>
    <w:p w14:paraId="79E11021" w14:textId="77777777" w:rsidR="00953151" w:rsidRPr="006D68CC" w:rsidRDefault="007F7377" w:rsidP="00D87D91">
      <w:r w:rsidRPr="006D68CC">
        <w:t xml:space="preserve">　　</w:t>
      </w:r>
      <w:r w:rsidR="00203F72" w:rsidRPr="006D68CC">
        <w:t>為貫徹上述意旨，憲法第</w:t>
      </w:r>
      <w:hyperlink r:id="rId768" w:anchor="a70" w:history="1">
        <w:r w:rsidR="00203F72" w:rsidRPr="002B1F3A">
          <w:rPr>
            <w:rStyle w:val="a5"/>
            <w:rFonts w:ascii="Times New Roman" w:eastAsia="新細明體" w:hAnsi="Times New Roman"/>
          </w:rPr>
          <w:t>七十</w:t>
        </w:r>
      </w:hyperlink>
      <w:r w:rsidR="00203F72" w:rsidRPr="006D68CC">
        <w:t>條明文規定：「立法院對於行政院所提預算案，不得為增加支出之提議」，以防止政府預算膨脹，致增人民之負擔。</w:t>
      </w:r>
      <w:r w:rsidR="00203F72" w:rsidRPr="006D68CC">
        <w:t>….</w:t>
      </w:r>
      <w:r w:rsidR="00203F72" w:rsidRPr="006D68CC">
        <w:t>對於行政院所提預算案為增加支出之提議，雖係以委員提案方式作成，實質上仍與前述憲法規定牴觸，自不生效力。」</w:t>
      </w:r>
    </w:p>
    <w:p w14:paraId="4A34C137" w14:textId="77777777" w:rsidR="00953151" w:rsidRPr="006D68CC" w:rsidRDefault="007F7377" w:rsidP="00D87D91">
      <w:r w:rsidRPr="006D68CC">
        <w:t xml:space="preserve">　　</w:t>
      </w:r>
      <w:r w:rsidR="00203F72" w:rsidRPr="006D68CC">
        <w:t>司法院釋</w:t>
      </w:r>
      <w:r w:rsidR="003E43C4" w:rsidRPr="00026C6F">
        <w:t>字</w:t>
      </w:r>
      <w:hyperlink r:id="rId769" w:anchor="r388" w:history="1">
        <w:r w:rsidR="003E43C4" w:rsidRPr="003E43C4">
          <w:rPr>
            <w:rStyle w:val="a5"/>
            <w:rFonts w:ascii="Times New Roman" w:eastAsia="新細明體" w:hAnsi="Times New Roman"/>
          </w:rPr>
          <w:t>第</w:t>
        </w:r>
        <w:r w:rsidR="003E43C4" w:rsidRPr="003E43C4">
          <w:rPr>
            <w:rStyle w:val="a5"/>
            <w:rFonts w:ascii="Times New Roman" w:eastAsia="新細明體" w:hAnsi="Times New Roman"/>
          </w:rPr>
          <w:t>388</w:t>
        </w:r>
        <w:r w:rsidR="003E43C4" w:rsidRPr="003E43C4">
          <w:rPr>
            <w:rStyle w:val="a5"/>
            <w:rFonts w:ascii="Times New Roman" w:eastAsia="新細明體" w:hAnsi="Times New Roman"/>
          </w:rPr>
          <w:t>號</w:t>
        </w:r>
      </w:hyperlink>
      <w:r w:rsidR="00203F72" w:rsidRPr="006D68CC">
        <w:t>解釋認為：「</w:t>
      </w:r>
      <w:r w:rsidR="00203F72" w:rsidRPr="006D68CC">
        <w:t> …</w:t>
      </w:r>
      <w:r w:rsidR="00203F72" w:rsidRPr="006D68CC">
        <w:t>預算案亦有其特殊性而與法律案不同；</w:t>
      </w:r>
      <w:r w:rsidR="00203F72" w:rsidRPr="006D68CC">
        <w:t>…</w:t>
      </w:r>
      <w:r w:rsidR="00203F72" w:rsidRPr="006D68CC">
        <w:t>而現時立法院審議預算案常有在某機關之科目下，刪減總額若干元，細節由該機關自行調整之決議，亦足以證明預算案之審議與法律案有其根本之差異，在法律案則絕不允許法案通過，文字或條次由主管機關自行調整之情事。是立法機關審議預算案具有批准行政措施，即年度施政計畫之性質，其審議方式，自不得比照法律案作逐條逐句之增刪修改，而對各機關所編列預算之數額，在款項目節間移動增減並追加或削減原預算之項目，實質上變動施政計畫之內容，造成政策成敗無所歸屬，政治責任難予釐清之結果，有違立法權與行政權分立之憲政原理。</w:t>
      </w:r>
    </w:p>
    <w:p w14:paraId="64E5454D" w14:textId="77777777" w:rsidR="00953151" w:rsidRPr="006D68CC" w:rsidRDefault="007F7377" w:rsidP="00D87D91">
      <w:r w:rsidRPr="006D68CC">
        <w:t xml:space="preserve">　　</w:t>
      </w:r>
      <w:r w:rsidR="00203F72" w:rsidRPr="006D68CC">
        <w:t>又憲</w:t>
      </w:r>
      <w:r w:rsidR="002B1F3A" w:rsidRPr="006D68CC">
        <w:t>法第</w:t>
      </w:r>
      <w:hyperlink r:id="rId770" w:anchor="a70" w:history="1">
        <w:r w:rsidR="002B1F3A" w:rsidRPr="002B1F3A">
          <w:rPr>
            <w:rStyle w:val="a5"/>
            <w:rFonts w:ascii="Times New Roman" w:eastAsia="新細明體" w:hAnsi="Times New Roman"/>
          </w:rPr>
          <w:t>七十</w:t>
        </w:r>
      </w:hyperlink>
      <w:r w:rsidR="00203F72" w:rsidRPr="006D68CC">
        <w:t>條規定：「立法院對行政院所提預算案不得為增加支出之提議」，立法院審議中央政府總預算案應受此一規定之限制，而立法院不得在預算案之外以委員提案方式為增加支出之提議，復經本院釋字第二六四號解釋釋示有案。立法委員於審議預算案時，雖不變動總預算金額，僅對各機關原編預算之數額在款項目節間作移動增減，然就被移動而增加或追加之原預算項目言，要難謂非上開憲法所指增加支出提議之一種，其情形與不增加總預算金額，在預算案之外，以委員提案方式為增加支出之提議，實質上亦無不同，既涉及施政計畫內容之變動與調整，易導致政策成敗無所歸屬，責任政治難以建立，尚非憲法之所許。至立法委員對行政院所提預算案所顯示之重要政策如不贊同時，自得就其不贊同部分，依憲法所定程序決議移請行政院變更，其相關之預算項目，自亦隨之調整；或於審議預算案時如發現有不當之支出者，復得逕為合理之刪減，均足達成監督施政，避免支出浮濫致增人民負擔之目的。」</w:t>
      </w:r>
    </w:p>
    <w:p w14:paraId="4AA09182" w14:textId="77777777" w:rsidR="00953151" w:rsidRPr="006D68CC" w:rsidRDefault="007F7377" w:rsidP="00D87D91">
      <w:r w:rsidRPr="006D68CC">
        <w:t xml:space="preserve">　　</w:t>
      </w:r>
      <w:r w:rsidR="00203F72" w:rsidRPr="006D68CC">
        <w:t>故訂立本條之主要目的，在預算增加涉及施政計畫內容之變動與調整，容易導致政策成敗無所歸屬，責任政治難以建立，違背五權分立憲政原則。同時透過立法院對預算之審查，達成監督行政院施政，避免支出浮濫致使增加人民負擔。</w:t>
      </w:r>
    </w:p>
    <w:p w14:paraId="0CFB0FB5" w14:textId="77777777" w:rsidR="00953151" w:rsidRDefault="00076467" w:rsidP="00767F37">
      <w:pPr>
        <w:pStyle w:val="2"/>
      </w:pPr>
      <w:hyperlink r:id="rId771" w:anchor="a71" w:history="1">
        <w:r w:rsidR="005D5A46">
          <w:rPr>
            <w:rStyle w:val="a5"/>
            <w:rFonts w:ascii="Arial Unicode MS" w:hAnsi="Arial Unicode MS"/>
          </w:rPr>
          <w:t>第</w:t>
        </w:r>
        <w:r w:rsidR="00203F72" w:rsidRPr="005B5310">
          <w:rPr>
            <w:rStyle w:val="a5"/>
            <w:rFonts w:ascii="Arial Unicode MS" w:hAnsi="Arial Unicode MS"/>
          </w:rPr>
          <w:t>71</w:t>
        </w:r>
        <w:r w:rsidR="005D5A46">
          <w:rPr>
            <w:rStyle w:val="a5"/>
            <w:rFonts w:ascii="Arial Unicode MS" w:hAnsi="Arial Unicode MS"/>
          </w:rPr>
          <w:t>條</w:t>
        </w:r>
      </w:hyperlink>
      <w:r w:rsidR="00203F72" w:rsidRPr="00A53581">
        <w:t>立法院開會時，關係院院長及各部會首長得列席陳述意見。</w:t>
      </w:r>
    </w:p>
    <w:p w14:paraId="16964050" w14:textId="77777777" w:rsidR="00953151" w:rsidRPr="006D68CC" w:rsidRDefault="00B03E84" w:rsidP="00D87D91">
      <w:r w:rsidRPr="006D68CC">
        <w:t>【內容解析】</w:t>
      </w:r>
    </w:p>
    <w:p w14:paraId="1D2E0153" w14:textId="77777777" w:rsidR="00953151" w:rsidRPr="006D68CC" w:rsidRDefault="007F7377" w:rsidP="00D87D91">
      <w:r w:rsidRPr="006D68CC">
        <w:t xml:space="preserve">　　</w:t>
      </w:r>
      <w:r w:rsidR="00203F72" w:rsidRPr="006D68CC">
        <w:t>本條文主要意旨為監督與制衡。為使立法委員對各項法案瞭解，以做最適宜之處理，於立法院開會期間，關係院院長及各部會首長得列席陳述意見，接受立法委員之備詢。</w:t>
      </w:r>
    </w:p>
    <w:p w14:paraId="08F592D7" w14:textId="77777777" w:rsidR="00953151" w:rsidRDefault="00076467" w:rsidP="00767F37">
      <w:pPr>
        <w:pStyle w:val="2"/>
      </w:pPr>
      <w:hyperlink r:id="rId772" w:anchor="a72" w:history="1">
        <w:r w:rsidR="005D5A46">
          <w:rPr>
            <w:rStyle w:val="a5"/>
            <w:rFonts w:ascii="Arial Unicode MS" w:hAnsi="Arial Unicode MS"/>
          </w:rPr>
          <w:t>第</w:t>
        </w:r>
        <w:r w:rsidR="00203F72" w:rsidRPr="005B5310">
          <w:rPr>
            <w:rStyle w:val="a5"/>
            <w:rFonts w:ascii="Arial Unicode MS" w:hAnsi="Arial Unicode MS"/>
          </w:rPr>
          <w:t>72</w:t>
        </w:r>
        <w:r w:rsidR="005D5A46">
          <w:rPr>
            <w:rStyle w:val="a5"/>
            <w:rFonts w:ascii="Arial Unicode MS" w:hAnsi="Arial Unicode MS"/>
          </w:rPr>
          <w:t>條</w:t>
        </w:r>
      </w:hyperlink>
      <w:r w:rsidR="00203F72" w:rsidRPr="00A53581">
        <w:t>立法院法律案通過後，移送總統及行政院，總統應於收到後十日內公布之，但總統得依照本憲法</w:t>
      </w:r>
      <w:r w:rsidR="00BE1B2A" w:rsidRPr="00482FC4">
        <w:t>第</w:t>
      </w:r>
      <w:hyperlink r:id="rId773" w:anchor="a57" w:history="1">
        <w:r w:rsidR="00BE1B2A" w:rsidRPr="00BE1B2A">
          <w:rPr>
            <w:rStyle w:val="a5"/>
            <w:rFonts w:ascii="Times New Roman" w:hAnsi="Times New Roman"/>
          </w:rPr>
          <w:t>五十七</w:t>
        </w:r>
      </w:hyperlink>
      <w:r w:rsidR="00BE1B2A" w:rsidRPr="00482FC4">
        <w:t>條</w:t>
      </w:r>
      <w:r w:rsidR="00203F72" w:rsidRPr="00A53581">
        <w:t>之規定辦理</w:t>
      </w:r>
      <w:r w:rsidR="00203F72" w:rsidRPr="00A53581">
        <w:t xml:space="preserve"> </w:t>
      </w:r>
      <w:r w:rsidR="00203F72" w:rsidRPr="00A53581">
        <w:t>。</w:t>
      </w:r>
    </w:p>
    <w:p w14:paraId="500EF2BC" w14:textId="77777777" w:rsidR="00953151" w:rsidRPr="006D68CC" w:rsidRDefault="00B03E84" w:rsidP="00D87D91">
      <w:r w:rsidRPr="006D68CC">
        <w:t>【內容解析】</w:t>
      </w:r>
    </w:p>
    <w:p w14:paraId="6882EBB7" w14:textId="77777777" w:rsidR="00953151" w:rsidRPr="006D68CC" w:rsidRDefault="007F7377" w:rsidP="00D87D91">
      <w:r w:rsidRPr="006D68CC">
        <w:t xml:space="preserve">　　</w:t>
      </w:r>
      <w:r w:rsidR="00203F72" w:rsidRPr="006D68CC">
        <w:t>立法院經過三讀程序通過法律案後，該法律案必須移送交總統及行政院，總統在收到後十天內要公布該法案。如行政院收到文後，對於立法院決議之法律案認為窒礙難行，依憲法</w:t>
      </w:r>
      <w:r w:rsidR="00BE1B2A" w:rsidRPr="00482FC4">
        <w:t>第</w:t>
      </w:r>
      <w:hyperlink r:id="rId774" w:anchor="a57" w:history="1">
        <w:r w:rsidR="00BE1B2A" w:rsidRPr="00BE1B2A">
          <w:rPr>
            <w:rStyle w:val="a5"/>
            <w:rFonts w:ascii="Times New Roman" w:hAnsi="Times New Roman"/>
          </w:rPr>
          <w:t>五十七</w:t>
        </w:r>
      </w:hyperlink>
      <w:r w:rsidR="00BE1B2A" w:rsidRPr="00482FC4">
        <w:t>條</w:t>
      </w:r>
      <w:r w:rsidR="00203F72" w:rsidRPr="006D68CC">
        <w:t>之規定，得經過總統之核可，於該決議案送達行政院十日內，移請立法院覆議。覆議時，如經出席立法委員三分之二維持原案，行政院院長應即接受該決議或辭職。</w:t>
      </w:r>
    </w:p>
    <w:p w14:paraId="0199A805" w14:textId="77777777" w:rsidR="00953151" w:rsidRPr="006D68CC" w:rsidRDefault="007F7377" w:rsidP="00D87D91">
      <w:r w:rsidRPr="006D68CC">
        <w:t xml:space="preserve">　　</w:t>
      </w:r>
      <w:r w:rsidR="00203F72" w:rsidRPr="006D68CC">
        <w:t>然依憲法增修條</w:t>
      </w:r>
      <w:r w:rsidR="00E16174" w:rsidRPr="006D68CC">
        <w:t>文</w:t>
      </w:r>
      <w:hyperlink r:id="rId775" w:anchor="b3" w:history="1">
        <w:r w:rsidR="00E16174" w:rsidRPr="006D68CC">
          <w:rPr>
            <w:rStyle w:val="a5"/>
          </w:rPr>
          <w:t>第3條</w:t>
        </w:r>
      </w:hyperlink>
      <w:r w:rsidR="00203F72" w:rsidRPr="006D68CC">
        <w:t>之規定，行政院對於立法院決議之「法律案」、預算案、條約案，如認為有窒礙難行時，得經總統之核可，於該決議案送達行政院十日內，移請立法院覆議。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憲法</w:t>
      </w:r>
      <w:r w:rsidR="00BE1B2A" w:rsidRPr="00482FC4">
        <w:t>第</w:t>
      </w:r>
      <w:hyperlink r:id="rId776" w:anchor="a57" w:history="1">
        <w:r w:rsidR="00BE1B2A" w:rsidRPr="00BE1B2A">
          <w:rPr>
            <w:rStyle w:val="a5"/>
            <w:rFonts w:ascii="Times New Roman" w:hAnsi="Times New Roman"/>
          </w:rPr>
          <w:t>五十七</w:t>
        </w:r>
      </w:hyperlink>
      <w:r w:rsidR="00BE1B2A" w:rsidRPr="00482FC4">
        <w:t>條</w:t>
      </w:r>
      <w:r w:rsidR="00203F72" w:rsidRPr="006D68CC">
        <w:t>之規定，停止適用。</w:t>
      </w:r>
    </w:p>
    <w:p w14:paraId="7ECF87CD" w14:textId="77777777" w:rsidR="00953151" w:rsidRDefault="00076467" w:rsidP="00767F37">
      <w:pPr>
        <w:pStyle w:val="2"/>
      </w:pPr>
      <w:hyperlink r:id="rId777" w:anchor="a73" w:history="1">
        <w:r w:rsidR="005D5A46">
          <w:rPr>
            <w:rStyle w:val="a5"/>
            <w:rFonts w:ascii="Arial Unicode MS" w:hAnsi="Arial Unicode MS"/>
          </w:rPr>
          <w:t>第</w:t>
        </w:r>
        <w:r w:rsidR="00203F72" w:rsidRPr="005B5310">
          <w:rPr>
            <w:rStyle w:val="a5"/>
            <w:rFonts w:ascii="Arial Unicode MS" w:hAnsi="Arial Unicode MS"/>
          </w:rPr>
          <w:t>73</w:t>
        </w:r>
        <w:r w:rsidR="005D5A46">
          <w:rPr>
            <w:rStyle w:val="a5"/>
            <w:rFonts w:ascii="Arial Unicode MS" w:hAnsi="Arial Unicode MS"/>
          </w:rPr>
          <w:t>條</w:t>
        </w:r>
      </w:hyperlink>
      <w:r w:rsidR="00203F72" w:rsidRPr="00A53581">
        <w:t>立法院委員在院內所為之言論及表決，對院外不負責任。</w:t>
      </w:r>
    </w:p>
    <w:p w14:paraId="7A99C852" w14:textId="77777777" w:rsidR="00953151" w:rsidRPr="006D68CC" w:rsidRDefault="00B03E84" w:rsidP="00D87D91">
      <w:r w:rsidRPr="006D68CC">
        <w:t>【內容解析】</w:t>
      </w:r>
    </w:p>
    <w:p w14:paraId="78A6D91D" w14:textId="77777777" w:rsidR="00953151" w:rsidRPr="006D68CC" w:rsidRDefault="007F7377" w:rsidP="00D87D91">
      <w:r w:rsidRPr="006D68CC">
        <w:t xml:space="preserve">　　</w:t>
      </w:r>
      <w:r w:rsidR="00203F72" w:rsidRPr="006D68CC">
        <w:t>此條規定係為立法委員之言論免責權。立法委員在院會時，所做之言論及表決，對會外不須負任何責任。因為立法委員係由人民選出，代表人民行使權力，為了使其能充分代表民意，對其在議會行使其職權時之言論及表決，應該給予保障。</w:t>
      </w:r>
    </w:p>
    <w:p w14:paraId="33E419F5" w14:textId="77777777" w:rsidR="00953151" w:rsidRPr="006D68CC" w:rsidRDefault="007F7377" w:rsidP="00D87D91">
      <w:r w:rsidRPr="006D68CC">
        <w:t xml:space="preserve">　　</w:t>
      </w:r>
      <w:r w:rsidR="00203F72" w:rsidRPr="006D68CC">
        <w:t>立法院委員在院內所為之言論及表決之保障，其保障之範圍如何</w:t>
      </w:r>
      <w:r w:rsidR="00203F72" w:rsidRPr="006D68CC">
        <w:t xml:space="preserve">? </w:t>
      </w:r>
      <w:r w:rsidR="00203F72" w:rsidRPr="006D68CC">
        <w:t>司法院釋</w:t>
      </w:r>
      <w:r w:rsidR="003E43C4" w:rsidRPr="00026C6F">
        <w:t>字</w:t>
      </w:r>
      <w:hyperlink r:id="rId778" w:anchor="r388" w:history="1">
        <w:r w:rsidR="003E43C4" w:rsidRPr="003E43C4">
          <w:rPr>
            <w:rStyle w:val="a5"/>
            <w:rFonts w:ascii="Times New Roman" w:eastAsia="新細明體" w:hAnsi="Times New Roman"/>
          </w:rPr>
          <w:t>第</w:t>
        </w:r>
        <w:r w:rsidR="003E43C4" w:rsidRPr="003E43C4">
          <w:rPr>
            <w:rStyle w:val="a5"/>
            <w:rFonts w:ascii="Times New Roman" w:eastAsia="新細明體" w:hAnsi="Times New Roman"/>
          </w:rPr>
          <w:t>388</w:t>
        </w:r>
        <w:r w:rsidR="003E43C4" w:rsidRPr="003E43C4">
          <w:rPr>
            <w:rStyle w:val="a5"/>
            <w:rFonts w:ascii="Times New Roman" w:eastAsia="新細明體" w:hAnsi="Times New Roman"/>
          </w:rPr>
          <w:t>號</w:t>
        </w:r>
      </w:hyperlink>
      <w:r w:rsidR="00203F72" w:rsidRPr="006D68CC">
        <w:t>解釋指出：「越此範圍與行使職權無關之行為，諸如蓄意之肢體動作等，顯然不符意見表達之適當情節致侵害他人法益者，自不在憲法上開條文保障之列。</w:t>
      </w:r>
      <w:r w:rsidR="00203F72" w:rsidRPr="006D68CC">
        <w:t>…</w:t>
      </w:r>
      <w:r w:rsidR="00203F72" w:rsidRPr="006D68CC">
        <w:t>惟司法機關為維護社會秩序及被害人權益，於必要時亦非不得依法行使偵審之權限。」</w:t>
      </w:r>
    </w:p>
    <w:p w14:paraId="50C49F8C" w14:textId="77777777" w:rsidR="00953151" w:rsidRPr="006D68CC" w:rsidRDefault="007F7377" w:rsidP="00D87D91">
      <w:r w:rsidRPr="006D68CC">
        <w:t xml:space="preserve">　　</w:t>
      </w:r>
      <w:r w:rsidR="00203F72" w:rsidRPr="006D68CC">
        <w:t>司法院釋</w:t>
      </w:r>
      <w:r w:rsidR="0004558E" w:rsidRPr="00A53581">
        <w:rPr>
          <w:rFonts w:ascii="新細明體" w:hAnsi="新細明體"/>
          <w:kern w:val="0"/>
        </w:rPr>
        <w:t>字</w:t>
      </w:r>
      <w:hyperlink r:id="rId779" w:anchor="r401" w:history="1">
        <w:r w:rsidR="0004558E" w:rsidRPr="0004558E">
          <w:rPr>
            <w:rStyle w:val="a5"/>
            <w:rFonts w:eastAsia="新細明體"/>
            <w:kern w:val="0"/>
          </w:rPr>
          <w:t>第401號</w:t>
        </w:r>
      </w:hyperlink>
      <w:r w:rsidR="00203F72" w:rsidRPr="006D68CC">
        <w:t>解釋認為：「憲法依民主憲政國家之通例，乃賦予國民大會代表及立法委員言論及表決之免責權，俾其能暢所欲言，充分表達民意，善盡監督政府之職責，並代表人民形成各該民意機關之決策，而無所瞻顧。</w:t>
      </w:r>
      <w:r w:rsidR="00203F72" w:rsidRPr="006D68CC">
        <w:t>…</w:t>
      </w:r>
      <w:r w:rsidR="00203F72" w:rsidRPr="006D68CC">
        <w:t>憲法第</w:t>
      </w:r>
      <w:hyperlink r:id="rId780" w:anchor="a73" w:history="1">
        <w:r w:rsidR="00203F72" w:rsidRPr="00D774A2">
          <w:rPr>
            <w:rStyle w:val="a5"/>
            <w:rFonts w:ascii="Times New Roman" w:eastAsia="新細明體" w:hAnsi="Times New Roman"/>
          </w:rPr>
          <w:t>七十三</w:t>
        </w:r>
      </w:hyperlink>
      <w:r w:rsidR="00203F72" w:rsidRPr="006D68CC">
        <w:t>條規定立法委員在院內所為之言論及表決，對院外不負責任。其目的係為保障國民大會代表及立法委員不因其行使職權所為言論及決議而負民事上之損害賠償責任或受刑事上之訴追，除其言行違反內部所訂自律之規則而受懲戒外，並不負行政責任，此乃憲法保障國民大會代表及立法委員之言論及表決對外不負法律上責任。」立法委員之言論免責權旨在為確保立法委員行使職權無所瞻顧，保障立法委員受人民付託之職務地位，並避免國家最高立法機關之功能遭致其他國家機關之幹擾而受影響。故，立法委員在院會期間除其言行違反內部所訂自律之規則而受懲戒外，不負民事、刑事及行政上之責任。</w:t>
      </w:r>
    </w:p>
    <w:p w14:paraId="2229AC02" w14:textId="77777777" w:rsidR="00953151" w:rsidRPr="006D68CC" w:rsidRDefault="007F7377" w:rsidP="00D87D91">
      <w:r w:rsidRPr="006D68CC">
        <w:t xml:space="preserve">　　</w:t>
      </w:r>
      <w:r w:rsidR="00203F72" w:rsidRPr="006D68CC">
        <w:t>此外，司法院釋</w:t>
      </w:r>
      <w:r w:rsidR="00D774A2" w:rsidRPr="00A53581">
        <w:rPr>
          <w:rFonts w:ascii="新細明體" w:hAnsi="新細明體"/>
        </w:rPr>
        <w:t>字</w:t>
      </w:r>
      <w:hyperlink r:id="rId781" w:anchor="r435" w:history="1">
        <w:r w:rsidR="00D774A2" w:rsidRPr="007776F0">
          <w:rPr>
            <w:rStyle w:val="a5"/>
            <w:rFonts w:eastAsia="新細明體"/>
          </w:rPr>
          <w:t>第435號</w:t>
        </w:r>
      </w:hyperlink>
      <w:r w:rsidR="00203F72" w:rsidRPr="006D68CC">
        <w:t>解釋指出：「憲法</w:t>
      </w:r>
      <w:r w:rsidR="00D774A2" w:rsidRPr="006D68CC">
        <w:t>第</w:t>
      </w:r>
      <w:hyperlink r:id="rId782" w:anchor="a73" w:history="1">
        <w:r w:rsidR="00D774A2" w:rsidRPr="00D774A2">
          <w:rPr>
            <w:rStyle w:val="a5"/>
            <w:rFonts w:ascii="Times New Roman" w:eastAsia="新細明體" w:hAnsi="Times New Roman"/>
          </w:rPr>
          <w:t>七十三</w:t>
        </w:r>
      </w:hyperlink>
      <w:r w:rsidR="00D774A2" w:rsidRPr="006D68CC">
        <w:t>條</w:t>
      </w:r>
      <w:r w:rsidR="00203F72" w:rsidRPr="006D68CC">
        <w:t>規定立法委員在院內所為之言論及表決，對院外不負責任，旨在保障立法委員受人民付託之職務地位，並避免國家最高立法機關之功能遭致其他國家機關之幹擾而受影響。為確保立法委員行使職權無所瞻顧，此項言論免責權之保障範圍，應作最大程度之界定，舉凡在院會或委員會之發言、質詢、提案、表決以及與此直接相關之附隨行為，如院內黨團協商、公聽會之發言等，均屬應予保障之事項。」</w:t>
      </w:r>
    </w:p>
    <w:p w14:paraId="33B87CA7" w14:textId="77777777" w:rsidR="00953151" w:rsidRDefault="007F7377" w:rsidP="00D87D91">
      <w:r w:rsidRPr="006D68CC">
        <w:t xml:space="preserve">　　</w:t>
      </w:r>
      <w:r w:rsidR="00203F72" w:rsidRPr="006D68CC">
        <w:t>故，立法委員在院內之言論免責權目的在使其能暢所欲言，充分表達民意，善盡監督政府之職責，並代表人民形成各該民意機關之決策，而無所瞻顧，不過此保障並非無限制，如果與職權無關致侵害她人法益之言行，則不在保護之範圍。</w:t>
      </w:r>
    </w:p>
    <w:p w14:paraId="4792E7C9" w14:textId="77777777" w:rsidR="00D774A2" w:rsidRPr="006D68CC" w:rsidRDefault="00D774A2" w:rsidP="00D87D91"/>
    <w:p w14:paraId="69D2F10B" w14:textId="6C47C02F" w:rsidR="00203F72" w:rsidRPr="006D68CC" w:rsidRDefault="00B03E84" w:rsidP="00D87D91">
      <w:r w:rsidRPr="006D68CC">
        <w:t>【</w:t>
      </w:r>
      <w:r w:rsidRPr="006D68CC">
        <w:t>table</w:t>
      </w:r>
      <w:r w:rsidR="005E23E3" w:rsidRPr="006D68C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49</w:t>
      </w:r>
      <w:r w:rsidR="00076467">
        <w:rPr>
          <w:noProof/>
        </w:rPr>
        <w:fldChar w:fldCharType="end"/>
      </w:r>
      <w:r w:rsidR="00203F72" w:rsidRPr="006D68CC">
        <w:t>大法官對於罷免權之相關解釋彙整表</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703"/>
        <w:gridCol w:w="987"/>
        <w:gridCol w:w="863"/>
        <w:gridCol w:w="4787"/>
      </w:tblGrid>
      <w:tr w:rsidR="00203F72" w:rsidRPr="00A53581" w14:paraId="2A1E2411" w14:textId="77777777" w:rsidTr="006D68CC">
        <w:trPr>
          <w:tblHeader/>
        </w:trPr>
        <w:tc>
          <w:tcPr>
            <w:tcW w:w="440" w:type="pct"/>
            <w:shd w:val="clear" w:color="auto" w:fill="FAF0FA"/>
          </w:tcPr>
          <w:p w14:paraId="5C7629D5" w14:textId="77777777" w:rsidR="00203F72" w:rsidRPr="00A53581" w:rsidRDefault="00203F72" w:rsidP="00D87D91"/>
        </w:tc>
        <w:tc>
          <w:tcPr>
            <w:tcW w:w="437" w:type="pct"/>
            <w:shd w:val="clear" w:color="auto" w:fill="FAF0FA"/>
          </w:tcPr>
          <w:p w14:paraId="3C2FAD5E" w14:textId="77777777" w:rsidR="00203F72" w:rsidRPr="00A53581" w:rsidRDefault="00203F72" w:rsidP="00D87D91">
            <w:r w:rsidRPr="00A53581">
              <w:t>司法院釋字文號別</w:t>
            </w:r>
          </w:p>
        </w:tc>
        <w:tc>
          <w:tcPr>
            <w:tcW w:w="613" w:type="pct"/>
            <w:shd w:val="clear" w:color="auto" w:fill="FAF0FA"/>
          </w:tcPr>
          <w:p w14:paraId="0C1AB296" w14:textId="77777777" w:rsidR="00203F72" w:rsidRPr="00A53581" w:rsidRDefault="00203F72" w:rsidP="00D87D91">
            <w:r w:rsidRPr="00A53581">
              <w:t>公布日期</w:t>
            </w:r>
          </w:p>
        </w:tc>
        <w:tc>
          <w:tcPr>
            <w:tcW w:w="536" w:type="pct"/>
            <w:shd w:val="clear" w:color="auto" w:fill="FAF0FA"/>
          </w:tcPr>
          <w:p w14:paraId="7741EA3F" w14:textId="77777777" w:rsidR="00203F72" w:rsidRPr="00A53581" w:rsidRDefault="00203F72" w:rsidP="00D87D91">
            <w:r w:rsidRPr="00A53581">
              <w:t>解釋爭點</w:t>
            </w:r>
          </w:p>
        </w:tc>
        <w:tc>
          <w:tcPr>
            <w:tcW w:w="2975" w:type="pct"/>
            <w:shd w:val="clear" w:color="auto" w:fill="FAF0FA"/>
          </w:tcPr>
          <w:p w14:paraId="36C47736" w14:textId="77777777" w:rsidR="00203F72" w:rsidRPr="00A53581" w:rsidRDefault="00203F72" w:rsidP="00D87D91">
            <w:r w:rsidRPr="00A53581">
              <w:t>解釋文</w:t>
            </w:r>
          </w:p>
        </w:tc>
      </w:tr>
      <w:tr w:rsidR="00203F72" w:rsidRPr="00A53581" w14:paraId="48995E60" w14:textId="77777777" w:rsidTr="00203F72">
        <w:tc>
          <w:tcPr>
            <w:tcW w:w="440" w:type="pct"/>
            <w:shd w:val="clear" w:color="auto" w:fill="auto"/>
          </w:tcPr>
          <w:p w14:paraId="615A64A9" w14:textId="77777777" w:rsidR="00203F72" w:rsidRPr="00A53581" w:rsidRDefault="00203F72" w:rsidP="00D87D91">
            <w:r w:rsidRPr="00A53581">
              <w:t>大法官相關解釋</w:t>
            </w:r>
          </w:p>
        </w:tc>
        <w:tc>
          <w:tcPr>
            <w:tcW w:w="437" w:type="pct"/>
            <w:shd w:val="clear" w:color="auto" w:fill="auto"/>
          </w:tcPr>
          <w:p w14:paraId="63D481FB" w14:textId="77777777" w:rsidR="00203F72" w:rsidRPr="00A53581" w:rsidRDefault="00203F72" w:rsidP="00D87D91">
            <w:r w:rsidRPr="00A53581">
              <w:t>釋字</w:t>
            </w:r>
            <w:hyperlink r:id="rId783" w:anchor="r331" w:history="1">
              <w:r w:rsidRPr="00D774A2">
                <w:rPr>
                  <w:rStyle w:val="a5"/>
                  <w:rFonts w:eastAsia="新細明體"/>
                  <w:kern w:val="0"/>
                </w:rPr>
                <w:t>第331號</w:t>
              </w:r>
            </w:hyperlink>
          </w:p>
        </w:tc>
        <w:tc>
          <w:tcPr>
            <w:tcW w:w="613" w:type="pct"/>
            <w:shd w:val="clear" w:color="auto" w:fill="auto"/>
          </w:tcPr>
          <w:p w14:paraId="6A8B6B2C" w14:textId="77777777" w:rsidR="00203F72" w:rsidRPr="00A53581" w:rsidRDefault="00203F72" w:rsidP="00D87D91">
            <w:r w:rsidRPr="00A53581">
              <w:t>民國</w:t>
            </w:r>
            <w:r w:rsidRPr="00A53581">
              <w:t>82</w:t>
            </w:r>
            <w:r w:rsidRPr="00A53581">
              <w:t>年</w:t>
            </w:r>
            <w:r w:rsidRPr="00A53581">
              <w:t>12</w:t>
            </w:r>
            <w:r w:rsidRPr="00A53581">
              <w:t>月</w:t>
            </w:r>
            <w:r w:rsidRPr="00A53581">
              <w:t>30</w:t>
            </w:r>
            <w:r w:rsidRPr="00A53581">
              <w:t>日</w:t>
            </w:r>
          </w:p>
        </w:tc>
        <w:tc>
          <w:tcPr>
            <w:tcW w:w="536" w:type="pct"/>
            <w:shd w:val="clear" w:color="auto" w:fill="auto"/>
          </w:tcPr>
          <w:p w14:paraId="019B73E5" w14:textId="77777777" w:rsidR="00203F72" w:rsidRPr="00A53581" w:rsidRDefault="00203F72" w:rsidP="00D87D91">
            <w:r w:rsidRPr="00A53581">
              <w:t>公職選罷法就僑選及不分區民代不適用罷免規定違憲？</w:t>
            </w:r>
          </w:p>
        </w:tc>
        <w:tc>
          <w:tcPr>
            <w:tcW w:w="2975" w:type="pct"/>
            <w:shd w:val="clear" w:color="auto" w:fill="auto"/>
          </w:tcPr>
          <w:p w14:paraId="43B9C3CD" w14:textId="77777777" w:rsidR="00203F72" w:rsidRPr="00A53581" w:rsidRDefault="00203F72" w:rsidP="00D87D91">
            <w:r w:rsidRPr="00A53581">
              <w:t>依中華民國憲法增修條</w:t>
            </w:r>
            <w:r w:rsidR="009A2820" w:rsidRPr="00306E89">
              <w:t>文</w:t>
            </w:r>
            <w:hyperlink r:id="rId784"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Pr="00A53581">
              <w:t>規定，僑居國外國民及全國不分區之中央民意代表，係按該次選舉政黨得票總數比例方式產生，而非由選舉區之選民逕以投票方式選出，自無從由選舉區之選民以投票方式予以罷免，公職人員</w:t>
            </w:r>
            <w:r w:rsidRPr="00A53581">
              <w:rPr>
                <w:kern w:val="0"/>
              </w:rPr>
              <w:t>選舉罷免法</w:t>
            </w:r>
            <w:hyperlink r:id="rId785" w:anchor="b69" w:history="1">
              <w:r w:rsidRPr="00D774A2">
                <w:rPr>
                  <w:rStyle w:val="a5"/>
                  <w:rFonts w:eastAsia="新細明體"/>
                  <w:kern w:val="0"/>
                </w:rPr>
                <w:t>第69條</w:t>
              </w:r>
            </w:hyperlink>
            <w:r w:rsidRPr="00A53581">
              <w:rPr>
                <w:kern w:val="0"/>
              </w:rPr>
              <w:t>第</w:t>
            </w:r>
            <w:r w:rsidRPr="00A53581">
              <w:rPr>
                <w:kern w:val="0"/>
              </w:rPr>
              <w:t>2</w:t>
            </w:r>
            <w:r w:rsidRPr="00A53581">
              <w:rPr>
                <w:kern w:val="0"/>
              </w:rPr>
              <w:t>項規定：「全國不分區、僑居國外國民選舉之當選人，不適用罷免之規定」，與憲法並無牴觸。惟此種民意代表如喪失其所由選出之政黨黨員資格時，自應喪失其中央民意代表之資格，方符憲法增設此一制度之本旨，其所遺缺額之遞補，應以法律定之。</w:t>
            </w:r>
          </w:p>
        </w:tc>
      </w:tr>
      <w:tr w:rsidR="00203F72" w:rsidRPr="00A53581" w14:paraId="7237B731" w14:textId="77777777" w:rsidTr="00203F72">
        <w:tc>
          <w:tcPr>
            <w:tcW w:w="440" w:type="pct"/>
            <w:shd w:val="clear" w:color="auto" w:fill="auto"/>
          </w:tcPr>
          <w:p w14:paraId="3EC65215" w14:textId="77777777" w:rsidR="00203F72" w:rsidRPr="00A53581" w:rsidRDefault="00203F72" w:rsidP="00D87D91"/>
        </w:tc>
        <w:tc>
          <w:tcPr>
            <w:tcW w:w="437" w:type="pct"/>
            <w:shd w:val="clear" w:color="auto" w:fill="auto"/>
          </w:tcPr>
          <w:p w14:paraId="5947B4DD" w14:textId="77777777" w:rsidR="00203F72" w:rsidRPr="00A53581" w:rsidRDefault="00203F72" w:rsidP="00D87D91">
            <w:r w:rsidRPr="00A53581">
              <w:t>釋字</w:t>
            </w:r>
            <w:hyperlink r:id="rId786" w:anchor="r401" w:history="1">
              <w:r w:rsidRPr="0004558E">
                <w:rPr>
                  <w:rStyle w:val="a5"/>
                  <w:rFonts w:eastAsia="新細明體"/>
                  <w:kern w:val="0"/>
                </w:rPr>
                <w:t>第401號</w:t>
              </w:r>
            </w:hyperlink>
          </w:p>
        </w:tc>
        <w:tc>
          <w:tcPr>
            <w:tcW w:w="613" w:type="pct"/>
            <w:shd w:val="clear" w:color="auto" w:fill="auto"/>
          </w:tcPr>
          <w:p w14:paraId="2EF255D5" w14:textId="77777777" w:rsidR="00203F72" w:rsidRPr="00A53581" w:rsidRDefault="00203F72" w:rsidP="00D87D91">
            <w:r w:rsidRPr="00A53581">
              <w:t>民國</w:t>
            </w:r>
            <w:r w:rsidRPr="00A53581">
              <w:t>85</w:t>
            </w:r>
            <w:r w:rsidRPr="00A53581">
              <w:t>年</w:t>
            </w:r>
            <w:r w:rsidRPr="00A53581">
              <w:t>4</w:t>
            </w:r>
            <w:r w:rsidRPr="00A53581">
              <w:t>月</w:t>
            </w:r>
            <w:r w:rsidRPr="00A53581">
              <w:t>26</w:t>
            </w:r>
            <w:r w:rsidRPr="00A53581">
              <w:t>日</w:t>
            </w:r>
          </w:p>
        </w:tc>
        <w:tc>
          <w:tcPr>
            <w:tcW w:w="536" w:type="pct"/>
            <w:shd w:val="clear" w:color="auto" w:fill="auto"/>
          </w:tcPr>
          <w:p w14:paraId="21D3942A" w14:textId="77777777" w:rsidR="00203F72" w:rsidRPr="00A53581" w:rsidRDefault="00203F72" w:rsidP="00D87D91">
            <w:r w:rsidRPr="00A53581">
              <w:t>選民得因國大代表暨立委之言論及表決不當而予罷免？</w:t>
            </w:r>
          </w:p>
        </w:tc>
        <w:tc>
          <w:tcPr>
            <w:tcW w:w="2975" w:type="pct"/>
            <w:shd w:val="clear" w:color="auto" w:fill="auto"/>
          </w:tcPr>
          <w:p w14:paraId="4CE7C32F" w14:textId="77777777" w:rsidR="00203F72" w:rsidRPr="00A53581" w:rsidRDefault="00203F72" w:rsidP="00D87D91">
            <w:r w:rsidRPr="00A53581">
              <w:t>憲法</w:t>
            </w:r>
            <w:hyperlink r:id="rId787" w:anchor="a32" w:history="1">
              <w:r w:rsidR="00D774A2" w:rsidRPr="006B7176">
                <w:rPr>
                  <w:rStyle w:val="a5"/>
                  <w:rFonts w:hint="eastAsia"/>
                </w:rPr>
                <w:t>第32條</w:t>
              </w:r>
            </w:hyperlink>
            <w:r w:rsidRPr="00A53581">
              <w:t>及</w:t>
            </w:r>
            <w:hyperlink r:id="rId788" w:anchor="a73" w:history="1">
              <w:r w:rsidRPr="00D774A2">
                <w:rPr>
                  <w:rStyle w:val="a5"/>
                  <w:rFonts w:eastAsia="新細明體"/>
                </w:rPr>
                <w:t>第73條</w:t>
              </w:r>
            </w:hyperlink>
            <w:r w:rsidRPr="00A53581">
              <w:t>規定國民大會代表及立法委員言論及表決之免責權，係指國民大會代表在會議時所為之言論及表決，立法委員在立法院內所為之言論及表決，不受刑事訴追，亦不負民事賠償責任，除因違反其內部所訂自律之規則而受懲戒外，並不負行政責任之意</w:t>
            </w:r>
            <w:r w:rsidRPr="00A53581">
              <w:rPr>
                <w:kern w:val="0"/>
              </w:rPr>
              <w:t>。又罷免權乃人民參政權之一種，憲法</w:t>
            </w:r>
            <w:hyperlink r:id="rId789" w:anchor="a133" w:history="1">
              <w:r w:rsidRPr="00D774A2">
                <w:rPr>
                  <w:rStyle w:val="a5"/>
                  <w:rFonts w:eastAsia="新細明體"/>
                  <w:kern w:val="0"/>
                </w:rPr>
                <w:t>第133條</w:t>
              </w:r>
            </w:hyperlink>
            <w:r w:rsidRPr="00A53581">
              <w:rPr>
                <w:kern w:val="0"/>
              </w:rPr>
              <w:t>規定被選舉人得由原選舉區依法罷免之。則國民大會代表及立法委員因行使職權所為言論及表決，自應對其原選舉區之選舉人負政治上責任。從而國民大會代表及立法委員經國內選舉區選出者，其原選舉區選舉人得以國民大會代表及立法委員所為言論及表決不當為理由，依法罷免之，不受憲法</w:t>
            </w:r>
            <w:hyperlink r:id="rId790" w:anchor="a32" w:history="1">
              <w:r w:rsidR="00D774A2" w:rsidRPr="006B7176">
                <w:rPr>
                  <w:rStyle w:val="a5"/>
                  <w:rFonts w:hint="eastAsia"/>
                </w:rPr>
                <w:t>第32條</w:t>
              </w:r>
            </w:hyperlink>
            <w:r w:rsidR="00D774A2" w:rsidRPr="00A53581">
              <w:t>及</w:t>
            </w:r>
            <w:hyperlink r:id="rId791" w:anchor="a73" w:history="1">
              <w:r w:rsidR="00D774A2" w:rsidRPr="00D774A2">
                <w:rPr>
                  <w:rStyle w:val="a5"/>
                  <w:rFonts w:eastAsia="新細明體"/>
                </w:rPr>
                <w:t>第73條</w:t>
              </w:r>
            </w:hyperlink>
            <w:r w:rsidRPr="00A53581">
              <w:rPr>
                <w:kern w:val="0"/>
              </w:rPr>
              <w:t>規定之限制。</w:t>
            </w:r>
          </w:p>
        </w:tc>
      </w:tr>
    </w:tbl>
    <w:p w14:paraId="5E7BB9D3" w14:textId="77777777" w:rsidR="00953151" w:rsidRDefault="002107CE" w:rsidP="00D87D91">
      <w:r>
        <w:t>【本表格資料來源】</w:t>
      </w:r>
      <w:r w:rsidR="00203F72" w:rsidRPr="00A53581">
        <w:t>劉兆隆、林麗香、林宗達、柳金財、梁文興、陳朝政、葉怡君、蔡志昇</w:t>
      </w:r>
      <w:r w:rsidR="00203F72" w:rsidRPr="00A53581">
        <w:t>(2011)</w:t>
      </w:r>
      <w:r w:rsidR="00203F72" w:rsidRPr="00A53581">
        <w:t>，中華民國憲法綜論，新北市：晶典文化出版社，第</w:t>
      </w:r>
      <w:r w:rsidR="00203F72" w:rsidRPr="00A53581">
        <w:t>185</w:t>
      </w:r>
      <w:r w:rsidR="00203F72" w:rsidRPr="00A53581">
        <w:t>頁。</w:t>
      </w:r>
    </w:p>
    <w:p w14:paraId="4B94CA90" w14:textId="77777777" w:rsidR="00953151" w:rsidRDefault="00076467" w:rsidP="00767F37">
      <w:pPr>
        <w:pStyle w:val="2"/>
      </w:pPr>
      <w:hyperlink r:id="rId792" w:anchor="a74" w:history="1">
        <w:r w:rsidR="005D5A46">
          <w:rPr>
            <w:rStyle w:val="a5"/>
            <w:rFonts w:ascii="Arial Unicode MS" w:hAnsi="Arial Unicode MS"/>
          </w:rPr>
          <w:t>第</w:t>
        </w:r>
        <w:r w:rsidR="00203F72" w:rsidRPr="005B5310">
          <w:rPr>
            <w:rStyle w:val="a5"/>
            <w:rFonts w:ascii="Arial Unicode MS" w:hAnsi="Arial Unicode MS"/>
          </w:rPr>
          <w:t>74</w:t>
        </w:r>
        <w:r w:rsidR="005D5A46">
          <w:rPr>
            <w:rStyle w:val="a5"/>
            <w:rFonts w:ascii="Arial Unicode MS" w:hAnsi="Arial Unicode MS"/>
          </w:rPr>
          <w:t>條</w:t>
        </w:r>
      </w:hyperlink>
      <w:r w:rsidR="00203F72" w:rsidRPr="00A53581">
        <w:t>立法委員，除現行犯外，非經立法院許可，不得逮捕或拘禁。</w:t>
      </w:r>
    </w:p>
    <w:p w14:paraId="262BDA45" w14:textId="77777777" w:rsidR="00953151" w:rsidRPr="006D68CC" w:rsidRDefault="00B03E84" w:rsidP="00D87D91">
      <w:r w:rsidRPr="006D68CC">
        <w:t>【內容解析】</w:t>
      </w:r>
    </w:p>
    <w:p w14:paraId="7B614861" w14:textId="77777777" w:rsidR="00953151" w:rsidRPr="006D68CC" w:rsidRDefault="007F7377" w:rsidP="00D87D91">
      <w:r w:rsidRPr="006D68CC">
        <w:t xml:space="preserve">　　</w:t>
      </w:r>
      <w:r w:rsidR="00203F72" w:rsidRPr="006D68CC">
        <w:t>本法主要保障立法委員有更大之問題或制衡空間。為因應國家統一前之需要，依照憲法</w:t>
      </w:r>
      <w:r w:rsidR="00541C0B" w:rsidRPr="006D68CC">
        <w:t>第</w:t>
      </w:r>
      <w:hyperlink r:id="rId793" w:anchor="a27" w:history="1">
        <w:r w:rsidR="00541C0B" w:rsidRPr="006D68CC">
          <w:rPr>
            <w:rStyle w:val="a5"/>
          </w:rPr>
          <w:t>二十七</w:t>
        </w:r>
      </w:hyperlink>
      <w:r w:rsidR="00541C0B" w:rsidRPr="006D68CC">
        <w:t>條</w:t>
      </w:r>
      <w:r w:rsidR="00203F72" w:rsidRPr="006D68CC">
        <w:t>第一項第三款及</w:t>
      </w:r>
      <w:r w:rsidR="00541C0B" w:rsidRPr="006D68CC">
        <w:t>第</w:t>
      </w:r>
      <w:hyperlink r:id="rId794" w:anchor="a174" w:history="1">
        <w:r w:rsidR="00541C0B" w:rsidRPr="006D68CC">
          <w:rPr>
            <w:rStyle w:val="a5"/>
          </w:rPr>
          <w:t>一百七十四</w:t>
        </w:r>
      </w:hyperlink>
      <w:r w:rsidR="00541C0B" w:rsidRPr="006D68CC">
        <w:t>條</w:t>
      </w:r>
      <w:r w:rsidR="00203F72" w:rsidRPr="006D68CC">
        <w:t>第一款之規定，增修憲法條文。依增修條</w:t>
      </w:r>
      <w:r w:rsidR="009A2820" w:rsidRPr="00306E89">
        <w:t>文</w:t>
      </w:r>
      <w:hyperlink r:id="rId795"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6D68CC">
        <w:t>之規定，立法委員除現行犯外，「在會期中」，非經立法院許可，不得逮捕或拘禁。憲法第</w:t>
      </w:r>
      <w:hyperlink r:id="rId796" w:anchor="a74" w:history="1">
        <w:r w:rsidR="00203F72" w:rsidRPr="00D774A2">
          <w:rPr>
            <w:rStyle w:val="a5"/>
            <w:rFonts w:ascii="Times New Roman" w:eastAsia="新細明體" w:hAnsi="Times New Roman"/>
          </w:rPr>
          <w:t>七十四</w:t>
        </w:r>
      </w:hyperlink>
      <w:r w:rsidR="00203F72" w:rsidRPr="006D68CC">
        <w:t>條之規定，停止適用。憲法本文</w:t>
      </w:r>
      <w:hyperlink r:id="rId797" w:anchor="a74" w:history="1">
        <w:r w:rsidR="00203F72" w:rsidRPr="00D774A2">
          <w:rPr>
            <w:rStyle w:val="a5"/>
            <w:rFonts w:ascii="Times New Roman" w:eastAsia="新細明體" w:hAnsi="Times New Roman"/>
          </w:rPr>
          <w:t>第</w:t>
        </w:r>
        <w:r w:rsidR="00203F72" w:rsidRPr="00D774A2">
          <w:rPr>
            <w:rStyle w:val="a5"/>
            <w:rFonts w:ascii="Times New Roman" w:eastAsia="新細明體" w:hAnsi="Times New Roman"/>
          </w:rPr>
          <w:t>74</w:t>
        </w:r>
        <w:r w:rsidR="00203F72" w:rsidRPr="00D774A2">
          <w:rPr>
            <w:rStyle w:val="a5"/>
            <w:rFonts w:ascii="Times New Roman" w:eastAsia="新細明體" w:hAnsi="Times New Roman"/>
          </w:rPr>
          <w:t>條</w:t>
        </w:r>
      </w:hyperlink>
      <w:r w:rsidR="00203F72" w:rsidRPr="006D68CC">
        <w:t>與增修條</w:t>
      </w:r>
      <w:r w:rsidR="009A2820" w:rsidRPr="00306E89">
        <w:t>文</w:t>
      </w:r>
      <w:hyperlink r:id="rId798"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6D68CC">
        <w:t>之規定，兩者之差異性，在於增修條</w:t>
      </w:r>
      <w:r w:rsidR="009A2820" w:rsidRPr="00306E89">
        <w:t>文</w:t>
      </w:r>
      <w:hyperlink r:id="rId799"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6D68CC">
        <w:t>之規定中，新增「在會期中」之規定。</w:t>
      </w:r>
    </w:p>
    <w:p w14:paraId="5E229DBC" w14:textId="77777777" w:rsidR="00953151" w:rsidRPr="006D68CC" w:rsidRDefault="007F7377" w:rsidP="00D87D91">
      <w:r w:rsidRPr="006D68CC">
        <w:rPr>
          <w:rFonts w:hint="eastAsia"/>
        </w:rPr>
        <w:t xml:space="preserve">　　</w:t>
      </w:r>
      <w:r w:rsidR="00203F72" w:rsidRPr="006D68CC">
        <w:rPr>
          <w:rFonts w:hint="eastAsia"/>
        </w:rPr>
        <w:t>主要國家國會規制國會議員之機制，亦即，外國將議員除名制度明文規範於憲法之國家之機制，以及國外將議長警察權規範於憲法之國家，詳如下表所述。</w:t>
      </w:r>
    </w:p>
    <w:p w14:paraId="710A0FBC" w14:textId="77777777" w:rsidR="006D68CC" w:rsidRDefault="006D68CC" w:rsidP="00D87D91"/>
    <w:p w14:paraId="2A0A825B" w14:textId="67F7DB36" w:rsidR="00203F72" w:rsidRPr="006D68CC" w:rsidRDefault="00B03E84" w:rsidP="00D87D91">
      <w:r w:rsidRPr="006D68CC">
        <w:t>【</w:t>
      </w:r>
      <w:r w:rsidRPr="006D68CC">
        <w:t>table</w:t>
      </w:r>
      <w:r w:rsidR="005E23E3" w:rsidRPr="006D68C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50</w:t>
      </w:r>
      <w:r w:rsidR="00076467">
        <w:rPr>
          <w:noProof/>
        </w:rPr>
        <w:fldChar w:fldCharType="end"/>
      </w:r>
      <w:r w:rsidR="00203F72" w:rsidRPr="006D68CC">
        <w:rPr>
          <w:rFonts w:hint="eastAsia"/>
        </w:rPr>
        <w:t xml:space="preserve"> </w:t>
      </w:r>
      <w:r w:rsidR="00203F72" w:rsidRPr="006D68CC">
        <w:rPr>
          <w:rFonts w:hint="eastAsia"/>
        </w:rPr>
        <w:t>主要國家國會規制國會議員之機制</w:t>
      </w:r>
      <w:r w:rsidR="00203F72" w:rsidRPr="006D68CC">
        <w:rPr>
          <w:rFonts w:hint="eastAsia"/>
        </w:rPr>
        <w:t>(</w:t>
      </w:r>
      <w:r w:rsidR="00203F72" w:rsidRPr="006D68CC">
        <w:rPr>
          <w:rFonts w:hint="eastAsia"/>
        </w:rPr>
        <w:t>外國將議員除名制度明文規範於憲法之國家之機制</w:t>
      </w:r>
      <w:r w:rsidR="00203F72" w:rsidRPr="006D68CC">
        <w:rPr>
          <w:rFonts w:hint="eastAsia"/>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1701"/>
        <w:gridCol w:w="5324"/>
      </w:tblGrid>
      <w:tr w:rsidR="00203F72" w:rsidRPr="00A53581" w14:paraId="5D6423CE" w14:textId="77777777" w:rsidTr="00203F72">
        <w:trPr>
          <w:tblHeader/>
        </w:trPr>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703795A0" w14:textId="77777777" w:rsidR="00203F72" w:rsidRPr="00A53581" w:rsidRDefault="00203F72" w:rsidP="00D87D91">
            <w:r w:rsidRPr="00A53581">
              <w:rPr>
                <w:rFonts w:hint="eastAsia"/>
              </w:rPr>
              <w:t>國家名稱</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F7420A6" w14:textId="77777777" w:rsidR="00203F72" w:rsidRPr="00A53581" w:rsidRDefault="00203F72" w:rsidP="00D87D91">
            <w:r w:rsidRPr="00A53581">
              <w:rPr>
                <w:rFonts w:hint="eastAsia"/>
              </w:rPr>
              <w:t>憲法條文</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45154E28" w14:textId="77777777" w:rsidR="00203F72" w:rsidRPr="002B1F3A" w:rsidRDefault="00203F72" w:rsidP="002B1F3A">
            <w:r w:rsidRPr="002B1F3A">
              <w:rPr>
                <w:rFonts w:hint="eastAsia"/>
              </w:rPr>
              <w:t>主要內容</w:t>
            </w:r>
          </w:p>
        </w:tc>
      </w:tr>
      <w:tr w:rsidR="00203F72" w:rsidRPr="00A53581" w14:paraId="6A8FC43A" w14:textId="77777777" w:rsidTr="00203F72">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65BE766B" w14:textId="77777777" w:rsidR="00203F72" w:rsidRPr="00A53581" w:rsidRDefault="00203F72" w:rsidP="00D87D91">
            <w:r w:rsidRPr="00A53581">
              <w:rPr>
                <w:rFonts w:hint="eastAsia"/>
              </w:rPr>
              <w:t>美國</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6D1C5E1" w14:textId="77777777" w:rsidR="00203F72" w:rsidRPr="00A53581" w:rsidRDefault="00203F72" w:rsidP="00D87D91">
            <w:pPr>
              <w:rPr>
                <w:rFonts w:ascii="新細明體" w:hAnsi="新細明體"/>
              </w:rPr>
            </w:pPr>
            <w:r w:rsidRPr="00A53581">
              <w:rPr>
                <w:rFonts w:ascii="新細明體" w:hAnsi="新細明體" w:hint="eastAsia"/>
              </w:rPr>
              <w:t>憲</w:t>
            </w:r>
            <w:r w:rsidR="00687BCD" w:rsidRPr="00687BCD">
              <w:rPr>
                <w:rFonts w:ascii="新細明體" w:hAnsi="新細明體"/>
              </w:rPr>
              <w:t>法</w:t>
            </w:r>
            <w:hyperlink r:id="rId800" w:anchor="a1" w:history="1">
              <w:r w:rsidR="00687BCD" w:rsidRPr="00687BCD">
                <w:rPr>
                  <w:rStyle w:val="a5"/>
                </w:rPr>
                <w:t>第1條</w:t>
              </w:r>
            </w:hyperlink>
            <w:r w:rsidRPr="00A53581">
              <w:rPr>
                <w:rFonts w:ascii="新細明體" w:hAnsi="新細明體" w:hint="eastAsia"/>
              </w:rPr>
              <w:t>第</w:t>
            </w:r>
            <w:r w:rsidRPr="00A53581">
              <w:rPr>
                <w:rFonts w:ascii="新細明體" w:hAnsi="新細明體"/>
              </w:rPr>
              <w:t>5</w:t>
            </w:r>
            <w:r w:rsidRPr="00A53581">
              <w:rPr>
                <w:rFonts w:ascii="新細明體" w:hAnsi="新細明體" w:hint="eastAsia"/>
              </w:rPr>
              <w:t>項</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48A12EDE" w14:textId="77777777" w:rsidR="00203F72" w:rsidRPr="00A53581" w:rsidRDefault="00203F72" w:rsidP="00D87D91">
            <w:r w:rsidRPr="00A53581">
              <w:rPr>
                <w:rFonts w:hint="eastAsia"/>
              </w:rPr>
              <w:t>參議院、眾議院得規定各該院之議事規則，處罰各該院之議員，並得經議員三分之二之同意，開除議員之資格。</w:t>
            </w:r>
          </w:p>
        </w:tc>
      </w:tr>
      <w:tr w:rsidR="00203F72" w:rsidRPr="00A53581" w14:paraId="660884AD" w14:textId="77777777" w:rsidTr="00203F72">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2867CD26" w14:textId="77777777" w:rsidR="00203F72" w:rsidRPr="00A53581" w:rsidRDefault="00203F72" w:rsidP="00D87D91">
            <w:r w:rsidRPr="00A53581">
              <w:rPr>
                <w:rFonts w:hint="eastAsia"/>
              </w:rPr>
              <w:t>日本</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135E9BF" w14:textId="77777777" w:rsidR="00203F72" w:rsidRPr="00A53581" w:rsidRDefault="00203F72" w:rsidP="00D87D91">
            <w:pPr>
              <w:rPr>
                <w:rFonts w:ascii="新細明體" w:hAnsi="新細明體"/>
              </w:rPr>
            </w:pPr>
            <w:r w:rsidRPr="00A53581">
              <w:rPr>
                <w:rFonts w:ascii="新細明體" w:hAnsi="新細明體" w:hint="eastAsia"/>
              </w:rPr>
              <w:t>憲法</w:t>
            </w:r>
            <w:hyperlink r:id="rId801" w:anchor="a58" w:history="1">
              <w:r w:rsidR="00D774A2" w:rsidRPr="00306E89">
                <w:rPr>
                  <w:rStyle w:val="a5"/>
                </w:rPr>
                <w:t>第58條</w:t>
              </w:r>
            </w:hyperlink>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7C550E0A" w14:textId="77777777" w:rsidR="00203F72" w:rsidRPr="00A53581" w:rsidRDefault="00203F72" w:rsidP="00D87D91">
            <w:r w:rsidRPr="00A53581">
              <w:rPr>
                <w:rFonts w:hint="eastAsia"/>
              </w:rPr>
              <w:t>參、眾兩議院可各自制訂規則，處罰擾亂議會秩序之議員，但對議員之除名，虛經出席議員三分之二以上多數之決議。</w:t>
            </w:r>
          </w:p>
        </w:tc>
      </w:tr>
      <w:tr w:rsidR="00203F72" w:rsidRPr="00A53581" w14:paraId="301D750F" w14:textId="77777777" w:rsidTr="00203F72">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6FD6C22D" w14:textId="77777777" w:rsidR="00203F72" w:rsidRPr="00A53581" w:rsidRDefault="00203F72" w:rsidP="00D87D91">
            <w:r w:rsidRPr="00A53581">
              <w:rPr>
                <w:rFonts w:hint="eastAsia"/>
              </w:rPr>
              <w:t>瑞典</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CE436AE" w14:textId="77777777" w:rsidR="00203F72" w:rsidRPr="00A53581" w:rsidRDefault="00203F72" w:rsidP="00D87D91">
            <w:pPr>
              <w:rPr>
                <w:rFonts w:ascii="新細明體" w:hAnsi="新細明體"/>
              </w:rPr>
            </w:pPr>
            <w:r w:rsidRPr="00A53581">
              <w:rPr>
                <w:rFonts w:ascii="新細明體" w:hAnsi="新細明體" w:hint="eastAsia"/>
              </w:rPr>
              <w:t>憲法</w:t>
            </w:r>
            <w:hyperlink r:id="rId802" w:anchor="a4" w:history="1">
              <w:r w:rsidR="00B23D06" w:rsidRPr="00B23D06">
                <w:rPr>
                  <w:rStyle w:val="a5"/>
                  <w:rFonts w:ascii="Times New Roman" w:eastAsia="新細明體" w:hAnsi="Times New Roman"/>
                </w:rPr>
                <w:t>第</w:t>
              </w:r>
              <w:r w:rsidR="00B23D06" w:rsidRPr="00B23D06">
                <w:rPr>
                  <w:rStyle w:val="a5"/>
                  <w:rFonts w:ascii="Times New Roman" w:eastAsia="新細明體" w:hAnsi="Times New Roman"/>
                </w:rPr>
                <w:t>4</w:t>
              </w:r>
              <w:r w:rsidR="00B23D06" w:rsidRPr="00B23D06">
                <w:rPr>
                  <w:rStyle w:val="a5"/>
                  <w:rFonts w:ascii="Times New Roman" w:eastAsia="新細明體"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7A126E46" w14:textId="77777777" w:rsidR="00203F72" w:rsidRPr="00A53581" w:rsidRDefault="00203F72" w:rsidP="00D87D91">
            <w:r w:rsidRPr="00A53581">
              <w:rPr>
                <w:rFonts w:hint="eastAsia"/>
              </w:rPr>
              <w:t>任何法案提交院會表決時，國會議員都應遵守法律表達意見。另國會也可制定國會法，決定國會議員之資格是否喪失。</w:t>
            </w:r>
          </w:p>
        </w:tc>
      </w:tr>
      <w:tr w:rsidR="00203F72" w:rsidRPr="00A53581" w14:paraId="3BB44030" w14:textId="77777777" w:rsidTr="00203F72">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75207D37" w14:textId="77777777" w:rsidR="00203F72" w:rsidRPr="00A53581" w:rsidRDefault="00203F72" w:rsidP="00D87D91">
            <w:r w:rsidRPr="00A53581">
              <w:rPr>
                <w:rFonts w:hint="eastAsia"/>
              </w:rPr>
              <w:t>巴西</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A708CBB" w14:textId="77777777" w:rsidR="00203F72" w:rsidRPr="00A53581" w:rsidRDefault="00203F72" w:rsidP="00D87D91">
            <w:pPr>
              <w:rPr>
                <w:rFonts w:ascii="新細明體" w:hAnsi="新細明體"/>
              </w:rPr>
            </w:pPr>
            <w:r w:rsidRPr="00A53581">
              <w:rPr>
                <w:rFonts w:ascii="新細明體" w:hAnsi="新細明體" w:hint="eastAsia"/>
              </w:rPr>
              <w:t>憲法</w:t>
            </w:r>
            <w:hyperlink r:id="rId803" w:anchor="a55" w:history="1">
              <w:r w:rsidR="007459D9" w:rsidRPr="007459D9">
                <w:rPr>
                  <w:rStyle w:val="a5"/>
                  <w:rFonts w:ascii="Times New Roman" w:eastAsia="新細明體" w:hAnsi="Times New Roman" w:hint="eastAsia"/>
                </w:rPr>
                <w:t>第</w:t>
              </w:r>
              <w:r w:rsidR="007459D9" w:rsidRPr="007459D9">
                <w:rPr>
                  <w:rStyle w:val="a5"/>
                  <w:rFonts w:ascii="Times New Roman" w:eastAsia="新細明體" w:hAnsi="Times New Roman" w:hint="eastAsia"/>
                </w:rPr>
                <w:t>55</w:t>
              </w:r>
              <w:r w:rsidR="007459D9" w:rsidRPr="007459D9">
                <w:rPr>
                  <w:rStyle w:val="a5"/>
                  <w:rFonts w:ascii="Times New Roman" w:eastAsia="新細明體" w:hAnsi="Times New Roman" w:hint="eastAsia"/>
                </w:rPr>
                <w:t>條</w:t>
              </w:r>
            </w:hyperlink>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14:paraId="4AD3D58C" w14:textId="77777777" w:rsidR="00203F72" w:rsidRPr="00A53581" w:rsidRDefault="00203F72" w:rsidP="00D87D91">
            <w:r w:rsidRPr="00A53581">
              <w:rPr>
                <w:rFonts w:hint="eastAsia"/>
              </w:rPr>
              <w:t>參、眾議員有行為不端，違反國會禮儀者，並經議員們以秘密投票方式，且以絕對多數之議決通過者，喪失議員資格。</w:t>
            </w:r>
          </w:p>
        </w:tc>
      </w:tr>
    </w:tbl>
    <w:p w14:paraId="0D0F5399" w14:textId="77777777" w:rsidR="00203F72" w:rsidRPr="006D68CC" w:rsidRDefault="002107CE" w:rsidP="00D87D91">
      <w:r w:rsidRPr="006D68CC">
        <w:rPr>
          <w:rFonts w:hint="eastAsia"/>
        </w:rPr>
        <w:t>【本表格資料來源】</w:t>
      </w:r>
    </w:p>
    <w:p w14:paraId="2006C61D" w14:textId="77777777" w:rsidR="00203F72" w:rsidRPr="006D68CC" w:rsidRDefault="007F7377" w:rsidP="00D87D91">
      <w:r w:rsidRPr="006D68CC">
        <w:rPr>
          <w:rFonts w:hint="eastAsia"/>
        </w:rPr>
        <w:t xml:space="preserve">　　</w:t>
      </w:r>
      <w:r w:rsidR="00203F72" w:rsidRPr="006D68CC">
        <w:rPr>
          <w:rFonts w:hint="eastAsia"/>
        </w:rPr>
        <w:t>國民大會秘書處</w:t>
      </w:r>
      <w:r w:rsidR="00203F72" w:rsidRPr="006D68CC">
        <w:t>(1996)</w:t>
      </w:r>
      <w:r w:rsidR="00203F72" w:rsidRPr="006D68CC">
        <w:rPr>
          <w:rFonts w:hint="eastAsia"/>
        </w:rPr>
        <w:t>，世界各國憲法大全。</w:t>
      </w:r>
    </w:p>
    <w:p w14:paraId="3EEAFC7C" w14:textId="77777777" w:rsidR="00953151" w:rsidRDefault="007F7377" w:rsidP="00D87D91">
      <w:r w:rsidRPr="006D68CC">
        <w:rPr>
          <w:rFonts w:hint="eastAsia"/>
        </w:rPr>
        <w:t xml:space="preserve">　　</w:t>
      </w:r>
      <w:r w:rsidR="00203F72" w:rsidRPr="006D68CC">
        <w:rPr>
          <w:rFonts w:hint="eastAsia"/>
        </w:rPr>
        <w:t>張淑中，姚中原</w:t>
      </w:r>
      <w:r w:rsidR="00203F72" w:rsidRPr="006D68CC">
        <w:t>(2012)</w:t>
      </w:r>
      <w:r w:rsidR="00203F72" w:rsidRPr="006D68CC">
        <w:t>，</w:t>
      </w:r>
      <w:r w:rsidR="00203F72" w:rsidRPr="006D68CC">
        <w:rPr>
          <w:rFonts w:hint="eastAsia"/>
        </w:rPr>
        <w:t>台灣憲政改革─修憲理論、政治過程與制度影響，初版，台北：五南圖書公司，第</w:t>
      </w:r>
      <w:r w:rsidR="00203F72" w:rsidRPr="006D68CC">
        <w:t>324</w:t>
      </w:r>
      <w:r w:rsidR="00203F72" w:rsidRPr="006D68CC">
        <w:rPr>
          <w:rFonts w:hint="eastAsia"/>
        </w:rPr>
        <w:t>頁。</w:t>
      </w:r>
    </w:p>
    <w:p w14:paraId="57E4F27E" w14:textId="77777777" w:rsidR="00881541" w:rsidRPr="006D68CC" w:rsidRDefault="00881541" w:rsidP="00D87D91"/>
    <w:p w14:paraId="0537B6A0" w14:textId="5C9CE6CE" w:rsidR="00203F72" w:rsidRPr="006D68CC" w:rsidRDefault="00B03E84" w:rsidP="00D87D91">
      <w:r w:rsidRPr="006D68CC">
        <w:t>【</w:t>
      </w:r>
      <w:r w:rsidRPr="006D68CC">
        <w:t>table</w:t>
      </w:r>
      <w:r w:rsidR="005E23E3" w:rsidRPr="006D68C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51</w:t>
      </w:r>
      <w:r w:rsidR="00076467">
        <w:rPr>
          <w:noProof/>
        </w:rPr>
        <w:fldChar w:fldCharType="end"/>
      </w:r>
      <w:r w:rsidR="00203F72" w:rsidRPr="006D68CC">
        <w:rPr>
          <w:rFonts w:hint="eastAsia"/>
        </w:rPr>
        <w:t>國外將議長警察權規範於憲法之國家</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6"/>
        <w:gridCol w:w="2552"/>
        <w:gridCol w:w="4048"/>
      </w:tblGrid>
      <w:tr w:rsidR="00203F72" w:rsidRPr="00A53581" w14:paraId="6123A7B5" w14:textId="77777777" w:rsidTr="006D68CC">
        <w:trPr>
          <w:tblHeader/>
        </w:trPr>
        <w:tc>
          <w:tcPr>
            <w:tcW w:w="1446"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4565CC5A" w14:textId="77777777" w:rsidR="00203F72" w:rsidRPr="00A53581" w:rsidRDefault="00203F72" w:rsidP="00D87D91">
            <w:r w:rsidRPr="00A53581">
              <w:rPr>
                <w:rFonts w:hint="eastAsia"/>
              </w:rPr>
              <w:t>國家名稱</w:t>
            </w:r>
          </w:p>
        </w:tc>
        <w:tc>
          <w:tcPr>
            <w:tcW w:w="2552"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6D5D6352" w14:textId="77777777" w:rsidR="00203F72" w:rsidRPr="00A53581" w:rsidRDefault="00203F72" w:rsidP="00D87D91">
            <w:r w:rsidRPr="00A53581">
              <w:rPr>
                <w:rFonts w:hint="eastAsia"/>
              </w:rPr>
              <w:t>憲法條文</w:t>
            </w:r>
          </w:p>
        </w:tc>
        <w:tc>
          <w:tcPr>
            <w:tcW w:w="4048"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32B83DB2" w14:textId="77777777" w:rsidR="00203F72" w:rsidRPr="00A53581" w:rsidRDefault="00203F72" w:rsidP="00D87D91">
            <w:r w:rsidRPr="00A53581">
              <w:rPr>
                <w:rFonts w:hint="eastAsia"/>
              </w:rPr>
              <w:t>主要內容</w:t>
            </w:r>
          </w:p>
        </w:tc>
      </w:tr>
      <w:tr w:rsidR="00203F72" w:rsidRPr="00A53581" w14:paraId="615BFFA3" w14:textId="77777777"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5C6FC" w14:textId="77777777" w:rsidR="00203F72" w:rsidRPr="00A53581" w:rsidRDefault="00203F72" w:rsidP="00D87D91">
            <w:r w:rsidRPr="00A53581">
              <w:rPr>
                <w:rFonts w:hint="eastAsia"/>
              </w:rPr>
              <w:t>德國</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9188" w14:textId="77777777" w:rsidR="00203F72" w:rsidRPr="002B1F3A" w:rsidRDefault="00203F72" w:rsidP="002B1F3A">
            <w:r w:rsidRPr="002B1F3A">
              <w:rPr>
                <w:rFonts w:hint="eastAsia"/>
              </w:rPr>
              <w:t>基本法第</w:t>
            </w:r>
            <w:r w:rsidRPr="002B1F3A">
              <w:t>40</w:t>
            </w:r>
            <w:r w:rsidRPr="002B1F3A">
              <w:rPr>
                <w:rFonts w:hint="eastAsia"/>
              </w:rPr>
              <w:t>條第</w:t>
            </w:r>
            <w:r w:rsidRPr="002B1F3A">
              <w:t>2</w:t>
            </w:r>
            <w:r w:rsidRPr="002B1F3A">
              <w:rPr>
                <w:rFonts w:hint="eastAsia"/>
              </w:rPr>
              <w:t>項</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14:paraId="794EDC07" w14:textId="77777777" w:rsidR="00203F72" w:rsidRPr="00A53581" w:rsidRDefault="00203F72" w:rsidP="00D87D91">
            <w:r w:rsidRPr="00A53581">
              <w:rPr>
                <w:rFonts w:hint="eastAsia"/>
              </w:rPr>
              <w:t>國會議長管裡議會大廈，並在大廈內執行警察權。在聯邦議會大廈範圍內，經議長許可，得搜索或扣押議員。</w:t>
            </w:r>
          </w:p>
        </w:tc>
      </w:tr>
      <w:tr w:rsidR="00203F72" w:rsidRPr="00A53581" w14:paraId="61F8F1C8" w14:textId="77777777"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AFD3D" w14:textId="77777777" w:rsidR="00203F72" w:rsidRPr="00A53581" w:rsidRDefault="00203F72" w:rsidP="00D87D91">
            <w:r w:rsidRPr="00A53581">
              <w:rPr>
                <w:rFonts w:hint="eastAsia"/>
              </w:rPr>
              <w:t>西班牙</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1CBA7" w14:textId="77777777" w:rsidR="00203F72" w:rsidRPr="002B1F3A" w:rsidRDefault="00203F72" w:rsidP="002B1F3A">
            <w:r w:rsidRPr="002B1F3A">
              <w:rPr>
                <w:rFonts w:hint="eastAsia"/>
              </w:rPr>
              <w:t>憲法</w:t>
            </w:r>
            <w:r w:rsidR="00B213D8" w:rsidRPr="002B1F3A">
              <w:t>第</w:t>
            </w:r>
            <w:r w:rsidR="00B213D8" w:rsidRPr="002B1F3A">
              <w:t>72</w:t>
            </w:r>
            <w:r w:rsidR="00B213D8" w:rsidRPr="002B1F3A">
              <w:t>條</w:t>
            </w:r>
            <w:r w:rsidRPr="002B1F3A">
              <w:rPr>
                <w:rFonts w:hint="eastAsia"/>
              </w:rPr>
              <w:t>第</w:t>
            </w:r>
            <w:r w:rsidRPr="002B1F3A">
              <w:t>3</w:t>
            </w:r>
            <w:r w:rsidRPr="002B1F3A">
              <w:rPr>
                <w:rFonts w:hint="eastAsia"/>
              </w:rPr>
              <w:t>項</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14:paraId="2E6E8BE1" w14:textId="77777777" w:rsidR="00203F72" w:rsidRPr="00A53581" w:rsidRDefault="00203F72" w:rsidP="00D87D91">
            <w:r w:rsidRPr="00A53581">
              <w:rPr>
                <w:rFonts w:hint="eastAsia"/>
              </w:rPr>
              <w:t>國會參、眾兩院議長代表國會行使全部行政權，並於各該議會中，執行紀律權。</w:t>
            </w:r>
          </w:p>
        </w:tc>
      </w:tr>
      <w:tr w:rsidR="00203F72" w:rsidRPr="00A53581" w14:paraId="6A9C9EDE" w14:textId="77777777"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06498" w14:textId="77777777" w:rsidR="00203F72" w:rsidRPr="00A53581" w:rsidRDefault="00203F72" w:rsidP="00D87D91">
            <w:r w:rsidRPr="00A53581">
              <w:rPr>
                <w:rFonts w:hint="eastAsia"/>
              </w:rPr>
              <w:t>希臘</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FD403" w14:textId="77777777" w:rsidR="00203F72" w:rsidRPr="002B1F3A" w:rsidRDefault="00203F72" w:rsidP="002B1F3A">
            <w:r w:rsidRPr="002B1F3A">
              <w:rPr>
                <w:rFonts w:hint="eastAsia"/>
              </w:rPr>
              <w:t>憲法</w:t>
            </w:r>
            <w:r w:rsidR="00B213D8" w:rsidRPr="002B1F3A">
              <w:rPr>
                <w:rFonts w:hint="eastAsia"/>
              </w:rPr>
              <w:t>第</w:t>
            </w:r>
            <w:r w:rsidR="00B213D8" w:rsidRPr="002B1F3A">
              <w:rPr>
                <w:rFonts w:hint="eastAsia"/>
              </w:rPr>
              <w:t>65</w:t>
            </w:r>
            <w:r w:rsidR="00B213D8" w:rsidRPr="002B1F3A">
              <w:rPr>
                <w:rFonts w:hint="eastAsia"/>
              </w:rPr>
              <w:t>條</w:t>
            </w:r>
            <w:r w:rsidRPr="002B1F3A">
              <w:rPr>
                <w:rFonts w:hint="eastAsia"/>
              </w:rPr>
              <w:t>第</w:t>
            </w:r>
            <w:r w:rsidRPr="002B1F3A">
              <w:t>4</w:t>
            </w:r>
            <w:r w:rsidRPr="002B1F3A">
              <w:rPr>
                <w:rFonts w:hint="eastAsia"/>
              </w:rPr>
              <w:t>項</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14:paraId="23756B28" w14:textId="77777777" w:rsidR="00203F72" w:rsidRPr="00A53581" w:rsidRDefault="00203F72" w:rsidP="00D87D91">
            <w:r w:rsidRPr="00A53581">
              <w:rPr>
                <w:rFonts w:hint="eastAsia"/>
              </w:rPr>
              <w:t>國會議長依議事規則之規定，為恢復議場秩序，得對議員採取紀律措施。</w:t>
            </w:r>
          </w:p>
        </w:tc>
      </w:tr>
      <w:tr w:rsidR="00203F72" w:rsidRPr="00A53581" w14:paraId="43FA2298" w14:textId="77777777"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7937A" w14:textId="77777777" w:rsidR="00203F72" w:rsidRPr="00A53581" w:rsidRDefault="00203F72" w:rsidP="00D87D91">
            <w:r w:rsidRPr="00A53581">
              <w:rPr>
                <w:rFonts w:hint="eastAsia"/>
              </w:rPr>
              <w:t>賴比瑞亞</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16738" w14:textId="77777777" w:rsidR="00203F72" w:rsidRPr="002B1F3A" w:rsidRDefault="00203F72" w:rsidP="002B1F3A">
            <w:r w:rsidRPr="002B1F3A">
              <w:rPr>
                <w:rFonts w:hint="eastAsia"/>
              </w:rPr>
              <w:t>憲</w:t>
            </w:r>
            <w:r w:rsidR="002673A4" w:rsidRPr="002B1F3A">
              <w:rPr>
                <w:rFonts w:hint="eastAsia"/>
              </w:rPr>
              <w:t>法第</w:t>
            </w:r>
            <w:r w:rsidR="002673A4" w:rsidRPr="002B1F3A">
              <w:t>38</w:t>
            </w:r>
            <w:r w:rsidR="002673A4" w:rsidRPr="002B1F3A">
              <w:rPr>
                <w:rFonts w:hint="eastAsia"/>
              </w:rPr>
              <w:t>條</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14:paraId="3B519627" w14:textId="77777777" w:rsidR="00203F72" w:rsidRPr="00A53581" w:rsidRDefault="00203F72" w:rsidP="00D87D91">
            <w:r w:rsidRPr="00A53581">
              <w:rPr>
                <w:rFonts w:hint="eastAsia"/>
              </w:rPr>
              <w:t>國會各議院應制訂議事規則，由議長維持議場秩序，以及經全體議員三分之二同意，得將問題議員驅逐出議場。</w:t>
            </w:r>
          </w:p>
        </w:tc>
      </w:tr>
      <w:tr w:rsidR="00203F72" w:rsidRPr="00A53581" w14:paraId="57B57705" w14:textId="77777777"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E058C" w14:textId="77777777" w:rsidR="00203F72" w:rsidRPr="00A53581" w:rsidRDefault="00203F72" w:rsidP="00D87D91">
            <w:r w:rsidRPr="00A53581">
              <w:rPr>
                <w:rFonts w:hint="eastAsia"/>
              </w:rPr>
              <w:t>哥斯大黎加</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7AE04" w14:textId="77777777" w:rsidR="00203F72" w:rsidRPr="002B1F3A" w:rsidRDefault="00203F72" w:rsidP="002B1F3A">
            <w:r w:rsidRPr="002B1F3A">
              <w:rPr>
                <w:rFonts w:hint="eastAsia"/>
              </w:rPr>
              <w:t>憲</w:t>
            </w:r>
            <w:r w:rsidR="004651E8" w:rsidRPr="002B1F3A">
              <w:t>法第</w:t>
            </w:r>
            <w:r w:rsidR="004651E8" w:rsidRPr="002B1F3A">
              <w:t>120</w:t>
            </w:r>
            <w:r w:rsidR="004651E8" w:rsidRPr="002B1F3A">
              <w:t>條</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14:paraId="7ADBA77E" w14:textId="77777777" w:rsidR="00203F72" w:rsidRPr="00A53581" w:rsidRDefault="00203F72" w:rsidP="00D87D91">
            <w:r w:rsidRPr="00A53581">
              <w:rPr>
                <w:rFonts w:hint="eastAsia"/>
              </w:rPr>
              <w:t>國會議長如有需要，可依法要求行政機關，將警察武力交由國會自由處理。</w:t>
            </w:r>
          </w:p>
        </w:tc>
      </w:tr>
    </w:tbl>
    <w:p w14:paraId="67A3EA88" w14:textId="77777777" w:rsidR="00203F72" w:rsidRPr="00A53581" w:rsidRDefault="002107CE" w:rsidP="00D87D91">
      <w:r>
        <w:rPr>
          <w:rFonts w:hint="eastAsia"/>
        </w:rPr>
        <w:t>【本表格資料來源】</w:t>
      </w:r>
    </w:p>
    <w:p w14:paraId="16695CF1" w14:textId="77777777" w:rsidR="00953151" w:rsidRDefault="007F7377" w:rsidP="00D87D91">
      <w:r>
        <w:rPr>
          <w:rFonts w:hint="eastAsia"/>
        </w:rPr>
        <w:t xml:space="preserve">　　</w:t>
      </w:r>
      <w:r w:rsidR="00203F72" w:rsidRPr="00A53581">
        <w:rPr>
          <w:rFonts w:hint="eastAsia"/>
        </w:rPr>
        <w:t>張淑中，姚中原</w:t>
      </w:r>
      <w:r w:rsidR="00203F72" w:rsidRPr="00A53581">
        <w:t>(2012)</w:t>
      </w:r>
      <w:r w:rsidR="00203F72" w:rsidRPr="00A53581">
        <w:t>，</w:t>
      </w:r>
      <w:r w:rsidR="00203F72" w:rsidRPr="00A53581">
        <w:rPr>
          <w:rFonts w:hint="eastAsia"/>
        </w:rPr>
        <w:t>台灣憲政改革─修憲理論、政治過程與制度影響，初版，台北：五南圖書公司</w:t>
      </w:r>
      <w:r w:rsidR="00203F72" w:rsidRPr="00A53581">
        <w:t xml:space="preserve"> </w:t>
      </w:r>
      <w:r w:rsidR="00203F72" w:rsidRPr="00A53581">
        <w:rPr>
          <w:rFonts w:hint="eastAsia"/>
        </w:rPr>
        <w:t>第</w:t>
      </w:r>
      <w:r w:rsidR="00203F72" w:rsidRPr="00A53581">
        <w:t>329</w:t>
      </w:r>
      <w:r w:rsidR="00203F72" w:rsidRPr="00A53581">
        <w:rPr>
          <w:rFonts w:hint="eastAsia"/>
        </w:rPr>
        <w:t>頁。</w:t>
      </w:r>
    </w:p>
    <w:p w14:paraId="631F54DA" w14:textId="77777777" w:rsidR="00953151" w:rsidRDefault="00076467" w:rsidP="00767F37">
      <w:pPr>
        <w:pStyle w:val="2"/>
      </w:pPr>
      <w:hyperlink r:id="rId804" w:anchor="a75" w:history="1">
        <w:r w:rsidR="005D5A46">
          <w:rPr>
            <w:rStyle w:val="a5"/>
            <w:rFonts w:ascii="Arial Unicode MS" w:hAnsi="Arial Unicode MS"/>
          </w:rPr>
          <w:t>第</w:t>
        </w:r>
        <w:r w:rsidR="00203F72" w:rsidRPr="005B5310">
          <w:rPr>
            <w:rStyle w:val="a5"/>
            <w:rFonts w:ascii="Arial Unicode MS" w:hAnsi="Arial Unicode MS"/>
          </w:rPr>
          <w:t>75</w:t>
        </w:r>
        <w:r w:rsidR="005D5A46">
          <w:rPr>
            <w:rStyle w:val="a5"/>
            <w:rFonts w:ascii="Arial Unicode MS" w:hAnsi="Arial Unicode MS"/>
          </w:rPr>
          <w:t>條</w:t>
        </w:r>
      </w:hyperlink>
      <w:r w:rsidR="00203F72" w:rsidRPr="00A53581">
        <w:t>立法委員不得兼任官吏。</w:t>
      </w:r>
    </w:p>
    <w:p w14:paraId="44071E17" w14:textId="77777777" w:rsidR="00953151" w:rsidRPr="006D68CC" w:rsidRDefault="00B03E84" w:rsidP="00D87D91">
      <w:r w:rsidRPr="006D68CC">
        <w:t>【內容解析】</w:t>
      </w:r>
    </w:p>
    <w:p w14:paraId="601A2B99" w14:textId="77777777" w:rsidR="00953151" w:rsidRPr="006D68CC" w:rsidRDefault="007F7377" w:rsidP="00D87D91">
      <w:r w:rsidRPr="006D68CC">
        <w:t xml:space="preserve">　　</w:t>
      </w:r>
      <w:r w:rsidR="00203F72" w:rsidRPr="006D68CC">
        <w:t>司法院釋</w:t>
      </w:r>
      <w:r w:rsidR="002B1F3A" w:rsidRPr="006D68CC">
        <w:t>字</w:t>
      </w:r>
      <w:hyperlink r:id="rId805" w:anchor="r1" w:history="1">
        <w:r w:rsidR="002B1F3A" w:rsidRPr="00B213D8">
          <w:rPr>
            <w:rStyle w:val="a5"/>
            <w:rFonts w:ascii="Times New Roman" w:eastAsia="新細明體" w:hAnsi="Times New Roman"/>
          </w:rPr>
          <w:t>第</w:t>
        </w:r>
        <w:r w:rsidR="002B1F3A" w:rsidRPr="00B213D8">
          <w:rPr>
            <w:rStyle w:val="a5"/>
            <w:rFonts w:ascii="Times New Roman" w:eastAsia="新細明體" w:hAnsi="Times New Roman"/>
          </w:rPr>
          <w:t>1</w:t>
        </w:r>
        <w:r w:rsidR="002B1F3A" w:rsidRPr="00B213D8">
          <w:rPr>
            <w:rStyle w:val="a5"/>
            <w:rFonts w:ascii="Times New Roman" w:eastAsia="新細明體" w:hAnsi="Times New Roman"/>
          </w:rPr>
          <w:t>號</w:t>
        </w:r>
      </w:hyperlink>
      <w:r w:rsidR="00203F72" w:rsidRPr="006D68CC">
        <w:t>解釋認為：「立法委員依憲法</w:t>
      </w:r>
      <w:r w:rsidR="00B167C2" w:rsidRPr="00A53581">
        <w:rPr>
          <w:rFonts w:ascii="新細明體" w:hAnsi="新細明體"/>
        </w:rPr>
        <w:t>第</w:t>
      </w:r>
      <w:hyperlink r:id="rId806" w:anchor="a75" w:history="1">
        <w:r w:rsidR="00B167C2" w:rsidRPr="00A5735A">
          <w:rPr>
            <w:rStyle w:val="a5"/>
          </w:rPr>
          <w:t>七十五</w:t>
        </w:r>
      </w:hyperlink>
      <w:r w:rsidR="00B167C2" w:rsidRPr="00A53581">
        <w:rPr>
          <w:rFonts w:ascii="新細明體" w:hAnsi="新細明體"/>
        </w:rPr>
        <w:t>條</w:t>
      </w:r>
      <w:r w:rsidR="00203F72" w:rsidRPr="006D68CC">
        <w:t>之規定不得兼任官吏，如願就任官吏，即應辭去立法委員。其未經辭職而就任官吏者，亦顯有不繼續任立法委員之意思，應於其就任官吏之時</w:t>
      </w:r>
      <w:r w:rsidR="003E240E">
        <w:t>視</w:t>
      </w:r>
      <w:r w:rsidR="00203F72" w:rsidRPr="006D68CC">
        <w:t>為辭職。」另外，司法院釋</w:t>
      </w:r>
      <w:r w:rsidR="00B167C2" w:rsidRPr="00DE63F7">
        <w:t>字</w:t>
      </w:r>
      <w:hyperlink r:id="rId807" w:anchor="r24" w:history="1">
        <w:r w:rsidR="00B167C2" w:rsidRPr="00B167C2">
          <w:rPr>
            <w:rStyle w:val="a5"/>
            <w:rFonts w:ascii="Times New Roman" w:hAnsi="Times New Roman"/>
          </w:rPr>
          <w:t>第</w:t>
        </w:r>
        <w:r w:rsidR="00B167C2" w:rsidRPr="00B167C2">
          <w:rPr>
            <w:rStyle w:val="a5"/>
            <w:rFonts w:ascii="Times New Roman" w:hAnsi="Times New Roman"/>
          </w:rPr>
          <w:t>24</w:t>
        </w:r>
        <w:r w:rsidR="00B167C2" w:rsidRPr="00B167C2">
          <w:rPr>
            <w:rStyle w:val="a5"/>
            <w:rFonts w:ascii="Times New Roman" w:hAnsi="Times New Roman"/>
          </w:rPr>
          <w:t>號</w:t>
        </w:r>
      </w:hyperlink>
      <w:r w:rsidR="00203F72" w:rsidRPr="006D68CC">
        <w:t>解釋認為：「</w:t>
      </w:r>
      <w:r w:rsidR="00203F72" w:rsidRPr="006D68CC">
        <w:t>….</w:t>
      </w:r>
      <w:r w:rsidR="00203F72" w:rsidRPr="006D68CC">
        <w:t>受有俸給之文武職公務員，均適用公務員服務法之規定，應屬於憲法第</w:t>
      </w:r>
      <w:hyperlink r:id="rId808" w:anchor="a103" w:history="1">
        <w:r w:rsidR="00203F72" w:rsidRPr="00B213D8">
          <w:rPr>
            <w:rStyle w:val="a5"/>
            <w:rFonts w:ascii="Times New Roman" w:eastAsia="新細明體" w:hAnsi="Times New Roman"/>
          </w:rPr>
          <w:t>一百零三</w:t>
        </w:r>
      </w:hyperlink>
      <w:r w:rsidR="00203F72" w:rsidRPr="006D68CC">
        <w:t>條、</w:t>
      </w:r>
      <w:r w:rsidR="00B167C2" w:rsidRPr="00A53581">
        <w:rPr>
          <w:rFonts w:ascii="新細明體" w:hAnsi="新細明體"/>
        </w:rPr>
        <w:t>第</w:t>
      </w:r>
      <w:hyperlink r:id="rId809" w:anchor="a75" w:history="1">
        <w:r w:rsidR="00B167C2" w:rsidRPr="00A5735A">
          <w:rPr>
            <w:rStyle w:val="a5"/>
          </w:rPr>
          <w:t>七十五</w:t>
        </w:r>
      </w:hyperlink>
      <w:r w:rsidR="00B167C2" w:rsidRPr="00A53581">
        <w:rPr>
          <w:rFonts w:ascii="新細明體" w:hAnsi="新細明體"/>
        </w:rPr>
        <w:t>條</w:t>
      </w:r>
      <w:r w:rsidR="00203F72" w:rsidRPr="006D68CC">
        <w:t>所稱公職及官吏範圍之內。監察委員、立法委員均不得兼任。」</w:t>
      </w:r>
    </w:p>
    <w:p w14:paraId="67078537" w14:textId="77777777" w:rsidR="00953151" w:rsidRPr="006D68CC" w:rsidRDefault="007F7377" w:rsidP="00D87D91">
      <w:r w:rsidRPr="006D68CC">
        <w:t xml:space="preserve">　　</w:t>
      </w:r>
      <w:r w:rsidR="00203F72" w:rsidRPr="006D68CC">
        <w:t>如果為官吏以外之職務，是否得兼任</w:t>
      </w:r>
      <w:r w:rsidR="00203F72" w:rsidRPr="006D68CC">
        <w:t>?</w:t>
      </w:r>
      <w:r w:rsidR="00203F72" w:rsidRPr="006D68CC">
        <w:t>司法院釋字</w:t>
      </w:r>
      <w:hyperlink r:id="rId810" w:anchor="r1" w:history="1">
        <w:r w:rsidR="00203F72" w:rsidRPr="00B213D8">
          <w:rPr>
            <w:rStyle w:val="a5"/>
            <w:rFonts w:ascii="Times New Roman" w:eastAsia="新細明體" w:hAnsi="Times New Roman"/>
          </w:rPr>
          <w:t>第</w:t>
        </w:r>
        <w:r w:rsidR="00203F72" w:rsidRPr="00B213D8">
          <w:rPr>
            <w:rStyle w:val="a5"/>
            <w:rFonts w:ascii="Times New Roman" w:eastAsia="新細明體" w:hAnsi="Times New Roman"/>
          </w:rPr>
          <w:t>1</w:t>
        </w:r>
        <w:r w:rsidR="00203F72" w:rsidRPr="00B213D8">
          <w:rPr>
            <w:rStyle w:val="a5"/>
            <w:rFonts w:ascii="Times New Roman" w:eastAsia="新細明體" w:hAnsi="Times New Roman"/>
          </w:rPr>
          <w:t>號</w:t>
        </w:r>
      </w:hyperlink>
      <w:r w:rsidR="00203F72" w:rsidRPr="006D68CC">
        <w:t>解釋認為：「憲法</w:t>
      </w:r>
      <w:r w:rsidR="00B167C2" w:rsidRPr="00A53581">
        <w:rPr>
          <w:rFonts w:ascii="新細明體" w:hAnsi="新細明體"/>
        </w:rPr>
        <w:t>第</w:t>
      </w:r>
      <w:hyperlink r:id="rId811" w:anchor="a75" w:history="1">
        <w:r w:rsidR="00B167C2" w:rsidRPr="00A5735A">
          <w:rPr>
            <w:rStyle w:val="a5"/>
          </w:rPr>
          <w:t>七十五</w:t>
        </w:r>
      </w:hyperlink>
      <w:r w:rsidR="00B167C2" w:rsidRPr="00A53581">
        <w:rPr>
          <w:rFonts w:ascii="新細明體" w:hAnsi="新細明體"/>
        </w:rPr>
        <w:t>條</w:t>
      </w:r>
      <w:r w:rsidR="00203F72" w:rsidRPr="006D68CC">
        <w:t>雖僅限制立法委員不得兼任官吏，但並非謂官吏以外任何職務即得兼任，仍須</w:t>
      </w:r>
      <w:r w:rsidR="003E240E">
        <w:t>視</w:t>
      </w:r>
      <w:r w:rsidR="00203F72" w:rsidRPr="006D68CC">
        <w:t>其職務之性質，與立法委員職務是否相容。同法</w:t>
      </w:r>
      <w:r w:rsidR="00541C0B" w:rsidRPr="006D68CC">
        <w:t>第</w:t>
      </w:r>
      <w:hyperlink r:id="rId812" w:anchor="a27" w:history="1">
        <w:r w:rsidR="00541C0B" w:rsidRPr="006D68CC">
          <w:rPr>
            <w:rStyle w:val="a5"/>
          </w:rPr>
          <w:t>二十七</w:t>
        </w:r>
      </w:hyperlink>
      <w:r w:rsidR="00541C0B" w:rsidRPr="006D68CC">
        <w:t>條</w:t>
      </w:r>
      <w:r w:rsidR="00203F72" w:rsidRPr="006D68CC">
        <w:t>規定國民大會複決立法院所提之憲法修正案，並制定辦法行使創制、複決兩權，若立法委員得兼國民大會代表，是以一人而兼具提案與複決兩種性質不相容之職務，且立法委員既行使立法權，復可參與中央法律之創制與複決，亦顯與憲法</w:t>
      </w:r>
      <w:r w:rsidR="001F6A1B" w:rsidRPr="00E07281">
        <w:t>第</w:t>
      </w:r>
      <w:hyperlink r:id="rId813" w:anchor="a25" w:history="1">
        <w:r w:rsidR="001F6A1B" w:rsidRPr="00E07281">
          <w:rPr>
            <w:rStyle w:val="a5"/>
          </w:rPr>
          <w:t>二十五</w:t>
        </w:r>
      </w:hyperlink>
      <w:r w:rsidR="001F6A1B" w:rsidRPr="00E07281">
        <w:t>條</w:t>
      </w:r>
      <w:r w:rsidR="00203F72" w:rsidRPr="006D68CC">
        <w:t>及</w:t>
      </w:r>
      <w:r w:rsidR="00881541" w:rsidRPr="00A5735A">
        <w:t>第</w:t>
      </w:r>
      <w:hyperlink r:id="rId814" w:anchor="a62" w:history="1">
        <w:r w:rsidR="00881541" w:rsidRPr="00A5735A">
          <w:rPr>
            <w:rStyle w:val="a5"/>
          </w:rPr>
          <w:t>六十二</w:t>
        </w:r>
      </w:hyperlink>
      <w:r w:rsidR="00881541" w:rsidRPr="00A5735A">
        <w:t>條</w:t>
      </w:r>
      <w:r w:rsidR="00203F72" w:rsidRPr="006D68CC">
        <w:t>規定之精神不符，故立法委員不得兼任國民大會代表。」</w:t>
      </w:r>
    </w:p>
    <w:p w14:paraId="268E79C1" w14:textId="77777777" w:rsidR="00953151" w:rsidRPr="006D68CC" w:rsidRDefault="007F7377" w:rsidP="00D87D91">
      <w:r w:rsidRPr="006D68CC">
        <w:t xml:space="preserve">　　</w:t>
      </w:r>
      <w:r w:rsidR="00203F72" w:rsidRPr="006D68CC">
        <w:t>因為立法委員為民選立法代表，身分敏感，除不得兼任公職及官吏外，其他職務性質，若與立法委員職務不相容，仍不得兼任，如國民大會代表職務仍不得兼任。再者，依據立法委員行為法規定，立法委員亦不得兼任公營事業機構之職務</w:t>
      </w:r>
      <w:r w:rsidR="00203F72" w:rsidRPr="006D68CC">
        <w:footnoteReference w:id="80"/>
      </w:r>
      <w:r w:rsidR="00203F72" w:rsidRPr="006D68CC">
        <w:t>。</w:t>
      </w:r>
    </w:p>
    <w:p w14:paraId="42E1B4BC" w14:textId="77777777" w:rsidR="00953151" w:rsidRDefault="00076467" w:rsidP="00767F37">
      <w:pPr>
        <w:pStyle w:val="2"/>
      </w:pPr>
      <w:hyperlink r:id="rId815" w:anchor="a76" w:history="1">
        <w:r w:rsidR="005D5A46">
          <w:rPr>
            <w:rStyle w:val="a5"/>
            <w:rFonts w:ascii="Arial Unicode MS" w:hAnsi="Arial Unicode MS"/>
          </w:rPr>
          <w:t>第</w:t>
        </w:r>
        <w:r w:rsidR="00203F72" w:rsidRPr="005B5310">
          <w:rPr>
            <w:rStyle w:val="a5"/>
            <w:rFonts w:ascii="Arial Unicode MS" w:hAnsi="Arial Unicode MS"/>
          </w:rPr>
          <w:t>76</w:t>
        </w:r>
        <w:r w:rsidR="005D5A46">
          <w:rPr>
            <w:rStyle w:val="a5"/>
            <w:rFonts w:ascii="Arial Unicode MS" w:hAnsi="Arial Unicode MS"/>
          </w:rPr>
          <w:t>條</w:t>
        </w:r>
      </w:hyperlink>
      <w:r w:rsidR="00203F72" w:rsidRPr="00A53581">
        <w:t>立法院之組織，以法律定之。</w:t>
      </w:r>
    </w:p>
    <w:p w14:paraId="67DF5F0B" w14:textId="77777777" w:rsidR="00953151" w:rsidRPr="005E7876" w:rsidRDefault="00B03E84" w:rsidP="00D87D91">
      <w:r w:rsidRPr="005E7876">
        <w:t>【內容解析】</w:t>
      </w:r>
    </w:p>
    <w:p w14:paraId="7F4E2586" w14:textId="77777777" w:rsidR="00953151" w:rsidRPr="005E7876" w:rsidRDefault="007F7377" w:rsidP="00D87D91">
      <w:r w:rsidRPr="005E7876">
        <w:t xml:space="preserve">　　</w:t>
      </w:r>
      <w:r w:rsidR="00203F72" w:rsidRPr="005E7876">
        <w:t>司法院釋</w:t>
      </w:r>
      <w:r w:rsidR="0004558E" w:rsidRPr="005E7876">
        <w:t>字</w:t>
      </w:r>
      <w:hyperlink r:id="rId816" w:anchor="r342" w:history="1">
        <w:r w:rsidR="0004558E" w:rsidRPr="005E7876">
          <w:rPr>
            <w:rStyle w:val="a5"/>
          </w:rPr>
          <w:t>第342號</w:t>
        </w:r>
      </w:hyperlink>
      <w:r w:rsidR="00203F72" w:rsidRPr="005E7876">
        <w:t>解釋認為：「國會行使立法權之程序，於不牴觸憲法範圍內，得依其自行訂定之議事規範為之，議事規範如何踐行係國會內部事項。依權力分立之原則，行政、司法或其他國家機關均應予以尊重，學理上稱之為國會自律或國會自治。又各國國會之議事規範，除成文規則外，尚包括各種不成文例規」我國之立法院定位，即為西方憲政中之國會角色；我國立法院之組織，以立法院組織法規範，遂行憲法所賦予立法院之職權。前項職權之行使及委員行為之規範，另以</w:t>
      </w:r>
      <w:hyperlink r:id="rId817" w:history="1">
        <w:r w:rsidR="00203F72" w:rsidRPr="005E7876">
          <w:rPr>
            <w:rStyle w:val="a5"/>
          </w:rPr>
          <w:t>立法院職權行使法</w:t>
        </w:r>
      </w:hyperlink>
      <w:r w:rsidR="00203F72" w:rsidRPr="005E7876">
        <w:t>規範之。</w:t>
      </w:r>
    </w:p>
    <w:p w14:paraId="74028189" w14:textId="77777777" w:rsidR="005E7876" w:rsidRDefault="005E7876" w:rsidP="00D87D91"/>
    <w:p w14:paraId="1F30485A" w14:textId="4E98B33F" w:rsidR="00203F72" w:rsidRPr="006D68CC" w:rsidRDefault="00B03E84" w:rsidP="00D87D91">
      <w:r w:rsidRPr="006D68CC">
        <w:t>【</w:t>
      </w:r>
      <w:r w:rsidRPr="006D68CC">
        <w:t>table</w:t>
      </w:r>
      <w:r w:rsidR="005E23E3" w:rsidRPr="006D68C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52</w:t>
      </w:r>
      <w:r w:rsidR="00076467">
        <w:rPr>
          <w:noProof/>
        </w:rPr>
        <w:fldChar w:fldCharType="end"/>
      </w:r>
      <w:r w:rsidR="00203F72" w:rsidRPr="006D68CC">
        <w:rPr>
          <w:rFonts w:hint="eastAsia"/>
        </w:rPr>
        <w:t>全球各國國會當前採「單軌國會機制」修憲制度之國家</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2074"/>
        <w:gridCol w:w="2074"/>
        <w:gridCol w:w="1824"/>
      </w:tblGrid>
      <w:tr w:rsidR="00203F72" w:rsidRPr="00A53581" w14:paraId="1F974CA3" w14:textId="77777777" w:rsidTr="005E7876">
        <w:trPr>
          <w:tblHeader/>
        </w:trPr>
        <w:tc>
          <w:tcPr>
            <w:tcW w:w="1824"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1A54679C" w14:textId="77777777" w:rsidR="00203F72" w:rsidRPr="00A53581" w:rsidRDefault="00203F72" w:rsidP="00D87D91">
            <w:r w:rsidRPr="00A53581">
              <w:rPr>
                <w:rFonts w:hint="eastAsia"/>
              </w:rPr>
              <w:t>國家名稱</w:t>
            </w:r>
          </w:p>
        </w:tc>
        <w:tc>
          <w:tcPr>
            <w:tcW w:w="2074"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33178704" w14:textId="77777777" w:rsidR="00203F72" w:rsidRPr="00A53581" w:rsidRDefault="00203F72" w:rsidP="00D87D91">
            <w:r w:rsidRPr="00A53581">
              <w:rPr>
                <w:rFonts w:hint="eastAsia"/>
              </w:rPr>
              <w:t>國會制度</w:t>
            </w:r>
          </w:p>
        </w:tc>
        <w:tc>
          <w:tcPr>
            <w:tcW w:w="2074"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28A378E6" w14:textId="77777777" w:rsidR="00203F72" w:rsidRPr="00A53581" w:rsidRDefault="00203F72" w:rsidP="00D87D91">
            <w:r w:rsidRPr="00A53581">
              <w:rPr>
                <w:rFonts w:hint="eastAsia"/>
              </w:rPr>
              <w:t>修憲提案權</w:t>
            </w:r>
          </w:p>
        </w:tc>
        <w:tc>
          <w:tcPr>
            <w:tcW w:w="1824"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2261DE3B" w14:textId="77777777" w:rsidR="00203F72" w:rsidRPr="00A53581" w:rsidRDefault="00203F72" w:rsidP="00D87D91">
            <w:r w:rsidRPr="00A53581">
              <w:rPr>
                <w:rFonts w:hint="eastAsia"/>
              </w:rPr>
              <w:t>修憲通過權</w:t>
            </w:r>
          </w:p>
        </w:tc>
      </w:tr>
      <w:tr w:rsidR="00203F72" w:rsidRPr="00A53581" w14:paraId="2F6A0C19"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3BC78" w14:textId="77777777" w:rsidR="00203F72" w:rsidRPr="00A53581" w:rsidRDefault="00203F72" w:rsidP="00D87D91">
            <w:r w:rsidRPr="00A53581">
              <w:rPr>
                <w:rFonts w:hint="eastAsia"/>
              </w:rPr>
              <w:t>波蘭</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2045D" w14:textId="77777777"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E232D" w14:textId="77777777" w:rsidR="00203F72" w:rsidRPr="00A53581" w:rsidRDefault="00203F72" w:rsidP="00D87D91">
            <w:r w:rsidRPr="00A53581">
              <w:rPr>
                <w:rFonts w:hint="eastAsia"/>
              </w:rPr>
              <w:t>眾議院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884273" w14:textId="77777777" w:rsidR="00203F72" w:rsidRPr="00A53581" w:rsidRDefault="00203F72" w:rsidP="00D87D91">
            <w:r w:rsidRPr="00A53581">
              <w:rPr>
                <w:rFonts w:hint="eastAsia"/>
              </w:rPr>
              <w:t>眾議院</w:t>
            </w:r>
          </w:p>
        </w:tc>
      </w:tr>
      <w:tr w:rsidR="00203F72" w:rsidRPr="00A53581" w14:paraId="16A229AE"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5ED827" w14:textId="77777777" w:rsidR="00203F72" w:rsidRPr="00A53581" w:rsidRDefault="00203F72" w:rsidP="00D87D91">
            <w:r w:rsidRPr="00A53581">
              <w:rPr>
                <w:rFonts w:hint="eastAsia"/>
              </w:rPr>
              <w:t>北韓</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70511" w14:textId="77777777"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A4028" w14:textId="77777777" w:rsidR="00203F72" w:rsidRPr="00A53581" w:rsidRDefault="00203F72" w:rsidP="00D87D91">
            <w:r w:rsidRPr="00A53581">
              <w:rPr>
                <w:rFonts w:hint="eastAsia"/>
              </w:rPr>
              <w:t>最高人民會議</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C1659" w14:textId="77777777" w:rsidR="00203F72" w:rsidRPr="00A53581" w:rsidRDefault="00203F72" w:rsidP="00D87D91">
            <w:r w:rsidRPr="00A53581">
              <w:rPr>
                <w:rFonts w:hint="eastAsia"/>
              </w:rPr>
              <w:t>最高人民會議</w:t>
            </w:r>
          </w:p>
        </w:tc>
      </w:tr>
      <w:tr w:rsidR="00203F72" w:rsidRPr="00A53581" w14:paraId="0159555B"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5A76A" w14:textId="77777777" w:rsidR="00203F72" w:rsidRPr="00A53581" w:rsidRDefault="00203F72" w:rsidP="00D87D91">
            <w:r w:rsidRPr="00A53581">
              <w:rPr>
                <w:rFonts w:hint="eastAsia"/>
              </w:rPr>
              <w:t>葡萄牙</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477FB" w14:textId="77777777"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BB64B" w14:textId="77777777" w:rsidR="00203F72" w:rsidRPr="00A53581" w:rsidRDefault="00203F72" w:rsidP="00D87D91">
            <w:r w:rsidRPr="00A53581">
              <w:rPr>
                <w:rFonts w:hint="eastAsia"/>
              </w:rPr>
              <w:t>國民議會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D3A7B" w14:textId="77777777" w:rsidR="00203F72" w:rsidRPr="00A53581" w:rsidRDefault="00203F72" w:rsidP="00D87D91">
            <w:r w:rsidRPr="00A53581">
              <w:rPr>
                <w:rFonts w:hint="eastAsia"/>
              </w:rPr>
              <w:t>國民議會</w:t>
            </w:r>
          </w:p>
        </w:tc>
      </w:tr>
      <w:tr w:rsidR="00203F72" w:rsidRPr="00A53581" w14:paraId="2D286BCA"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C4146" w14:textId="77777777" w:rsidR="00203F72" w:rsidRPr="00A53581" w:rsidRDefault="00203F72" w:rsidP="00D87D91">
            <w:r w:rsidRPr="00A53581">
              <w:rPr>
                <w:rFonts w:hint="eastAsia"/>
              </w:rPr>
              <w:t>匈牙利</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103A1" w14:textId="77777777"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51DB1" w14:textId="77777777"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0DFDA" w14:textId="77777777" w:rsidR="00203F72" w:rsidRPr="00A53581" w:rsidRDefault="00203F72" w:rsidP="00D87D91">
            <w:r w:rsidRPr="00A53581">
              <w:rPr>
                <w:rFonts w:hint="eastAsia"/>
              </w:rPr>
              <w:t>國會</w:t>
            </w:r>
          </w:p>
        </w:tc>
      </w:tr>
      <w:tr w:rsidR="00203F72" w:rsidRPr="00A53581" w14:paraId="13C071E9"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BE3B4" w14:textId="77777777" w:rsidR="00203F72" w:rsidRPr="00A53581" w:rsidRDefault="00203F72" w:rsidP="00D87D91">
            <w:r w:rsidRPr="00A53581">
              <w:rPr>
                <w:rFonts w:hint="eastAsia"/>
              </w:rPr>
              <w:t>哥斯大黎加</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B1028" w14:textId="77777777"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7CF57" w14:textId="77777777"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9E9EF" w14:textId="77777777" w:rsidR="00203F72" w:rsidRPr="00A53581" w:rsidRDefault="00203F72" w:rsidP="00D87D91">
            <w:r w:rsidRPr="00A53581">
              <w:rPr>
                <w:rFonts w:hint="eastAsia"/>
              </w:rPr>
              <w:t>國會</w:t>
            </w:r>
          </w:p>
        </w:tc>
      </w:tr>
      <w:tr w:rsidR="00203F72" w:rsidRPr="00A53581" w14:paraId="6F02DD93"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EA354" w14:textId="77777777" w:rsidR="00203F72" w:rsidRPr="00A53581" w:rsidRDefault="00203F72" w:rsidP="00D87D91">
            <w:r w:rsidRPr="00A53581">
              <w:rPr>
                <w:rFonts w:hint="eastAsia"/>
              </w:rPr>
              <w:t>新加坡</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CA361" w14:textId="77777777"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4C695" w14:textId="77777777"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33632" w14:textId="77777777" w:rsidR="00203F72" w:rsidRPr="00A53581" w:rsidRDefault="00203F72" w:rsidP="00D87D91">
            <w:r w:rsidRPr="00A53581">
              <w:rPr>
                <w:rFonts w:hint="eastAsia"/>
              </w:rPr>
              <w:t>國會</w:t>
            </w:r>
          </w:p>
        </w:tc>
      </w:tr>
      <w:tr w:rsidR="00203F72" w:rsidRPr="00A53581" w14:paraId="13373C82"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B4032" w14:textId="77777777" w:rsidR="00203F72" w:rsidRPr="00A53581" w:rsidRDefault="00203F72" w:rsidP="00D87D91">
            <w:r w:rsidRPr="00A53581">
              <w:rPr>
                <w:rFonts w:hint="eastAsia"/>
              </w:rPr>
              <w:t>義大利</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A984D" w14:textId="77777777"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1AF84" w14:textId="77777777" w:rsidR="00203F72" w:rsidRPr="00A53581" w:rsidRDefault="00203F72" w:rsidP="00D87D91">
            <w:r w:rsidRPr="00A53581">
              <w:rPr>
                <w:rFonts w:hint="eastAsia"/>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74A38" w14:textId="77777777" w:rsidR="00203F72" w:rsidRPr="00A53581" w:rsidRDefault="00203F72" w:rsidP="00D87D91">
            <w:r w:rsidRPr="00A53581">
              <w:rPr>
                <w:rFonts w:hint="eastAsia"/>
              </w:rPr>
              <w:t>參、眾兩院</w:t>
            </w:r>
          </w:p>
        </w:tc>
      </w:tr>
      <w:tr w:rsidR="00203F72" w:rsidRPr="00A53581" w14:paraId="58F80F26"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90BDC" w14:textId="77777777" w:rsidR="00203F72" w:rsidRPr="00A53581" w:rsidRDefault="00203F72" w:rsidP="00D87D91">
            <w:r w:rsidRPr="00A53581">
              <w:rPr>
                <w:rFonts w:hint="eastAsia"/>
              </w:rPr>
              <w:t>阿根廷</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8DF72" w14:textId="77777777"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1012A" w14:textId="77777777" w:rsidR="00203F72" w:rsidRPr="00A53581" w:rsidRDefault="00203F72" w:rsidP="00D87D91">
            <w:r w:rsidRPr="00A53581">
              <w:rPr>
                <w:rFonts w:hint="eastAsia"/>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67F8C" w14:textId="77777777" w:rsidR="00203F72" w:rsidRPr="00A53581" w:rsidRDefault="00203F72" w:rsidP="00D87D91">
            <w:r w:rsidRPr="00A53581">
              <w:rPr>
                <w:rFonts w:hint="eastAsia"/>
              </w:rPr>
              <w:t>參、眾兩院</w:t>
            </w:r>
          </w:p>
        </w:tc>
      </w:tr>
      <w:tr w:rsidR="00203F72" w:rsidRPr="00A53581" w14:paraId="28858770"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A1738" w14:textId="77777777" w:rsidR="00203F72" w:rsidRPr="00A53581" w:rsidRDefault="00203F72" w:rsidP="00D87D91">
            <w:r w:rsidRPr="00A53581">
              <w:rPr>
                <w:rFonts w:hint="eastAsia"/>
              </w:rPr>
              <w:t>玻利維亞</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9A731" w14:textId="77777777"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FF98F" w14:textId="77777777" w:rsidR="00203F72" w:rsidRPr="00A53581" w:rsidRDefault="00203F72" w:rsidP="00D87D91">
            <w:r w:rsidRPr="00A53581">
              <w:rPr>
                <w:rFonts w:hint="eastAsia"/>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F5DF55" w14:textId="77777777" w:rsidR="00203F72" w:rsidRPr="00A53581" w:rsidRDefault="00203F72" w:rsidP="00D87D91">
            <w:r w:rsidRPr="00A53581">
              <w:rPr>
                <w:rFonts w:hint="eastAsia"/>
              </w:rPr>
              <w:t>參、眾兩院</w:t>
            </w:r>
          </w:p>
        </w:tc>
      </w:tr>
      <w:tr w:rsidR="00203F72" w:rsidRPr="00A53581" w14:paraId="2F869F2E"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99913" w14:textId="77777777" w:rsidR="00203F72" w:rsidRPr="00A53581" w:rsidRDefault="00203F72" w:rsidP="00D87D91">
            <w:r w:rsidRPr="00A53581">
              <w:rPr>
                <w:rFonts w:hint="eastAsia"/>
              </w:rPr>
              <w:t>巴基斯坦</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22905" w14:textId="77777777"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C8AB8" w14:textId="77777777" w:rsidR="00203F72" w:rsidRPr="00A53581" w:rsidRDefault="00203F72" w:rsidP="00D87D91">
            <w:r w:rsidRPr="00A53581">
              <w:rPr>
                <w:rFonts w:hint="eastAsia"/>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28FE1" w14:textId="77777777" w:rsidR="00203F72" w:rsidRPr="00A53581" w:rsidRDefault="00203F72" w:rsidP="00D87D91">
            <w:r w:rsidRPr="00A53581">
              <w:rPr>
                <w:rFonts w:hint="eastAsia"/>
              </w:rPr>
              <w:t>參、眾兩院</w:t>
            </w:r>
          </w:p>
        </w:tc>
      </w:tr>
      <w:tr w:rsidR="00203F72" w:rsidRPr="00A53581" w14:paraId="49E9D88C"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565AD" w14:textId="77777777" w:rsidR="00203F72" w:rsidRPr="00A53581" w:rsidRDefault="00203F72" w:rsidP="00D87D91">
            <w:r w:rsidRPr="00A53581">
              <w:rPr>
                <w:rFonts w:hint="eastAsia"/>
              </w:rPr>
              <w:t>宏都拉斯</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A8001" w14:textId="77777777"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D7E42" w14:textId="77777777"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15FEE" w14:textId="77777777" w:rsidR="00203F72" w:rsidRPr="00A53581" w:rsidRDefault="00203F72" w:rsidP="00D87D91">
            <w:r w:rsidRPr="00A53581">
              <w:rPr>
                <w:rFonts w:hint="eastAsia"/>
              </w:rPr>
              <w:t>國會</w:t>
            </w:r>
          </w:p>
        </w:tc>
      </w:tr>
      <w:tr w:rsidR="00203F72" w:rsidRPr="00A53581" w14:paraId="79074AA9"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542D8" w14:textId="77777777" w:rsidR="00203F72" w:rsidRPr="00A53581" w:rsidRDefault="00203F72" w:rsidP="00D87D91">
            <w:r w:rsidRPr="00A53581">
              <w:rPr>
                <w:rFonts w:hint="eastAsia"/>
              </w:rPr>
              <w:t>斯里蘭卡</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22ABD" w14:textId="77777777"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E7F6F" w14:textId="77777777"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B98F1" w14:textId="77777777" w:rsidR="00203F72" w:rsidRPr="00A53581" w:rsidRDefault="00203F72" w:rsidP="00D87D91">
            <w:r w:rsidRPr="00A53581">
              <w:rPr>
                <w:rFonts w:hint="eastAsia"/>
              </w:rPr>
              <w:t>國會</w:t>
            </w:r>
          </w:p>
        </w:tc>
      </w:tr>
      <w:tr w:rsidR="00203F72" w:rsidRPr="00A53581" w14:paraId="451C8E19" w14:textId="77777777"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83201" w14:textId="77777777" w:rsidR="00203F72" w:rsidRPr="00A53581" w:rsidRDefault="00203F72" w:rsidP="00D87D91">
            <w:r w:rsidRPr="00A53581">
              <w:rPr>
                <w:rFonts w:hint="eastAsia"/>
              </w:rPr>
              <w:t>以色列</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30689" w14:textId="77777777"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E9C1F" w14:textId="77777777"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82FBF" w14:textId="77777777" w:rsidR="00203F72" w:rsidRPr="00A53581" w:rsidRDefault="00203F72" w:rsidP="00D87D91">
            <w:r w:rsidRPr="00A53581">
              <w:rPr>
                <w:rFonts w:hint="eastAsia"/>
              </w:rPr>
              <w:t>國會</w:t>
            </w:r>
          </w:p>
        </w:tc>
      </w:tr>
    </w:tbl>
    <w:p w14:paraId="73843B82" w14:textId="77777777" w:rsidR="00203F72" w:rsidRPr="00A53581" w:rsidRDefault="002107CE" w:rsidP="00D87D91">
      <w:r>
        <w:rPr>
          <w:rFonts w:hint="eastAsia"/>
        </w:rPr>
        <w:t>【本表格資料來源】</w:t>
      </w:r>
    </w:p>
    <w:p w14:paraId="32EBCFAE" w14:textId="77777777" w:rsidR="00203F72" w:rsidRPr="00A53581" w:rsidRDefault="007F7377" w:rsidP="00D87D91">
      <w:r>
        <w:rPr>
          <w:rFonts w:hint="eastAsia"/>
        </w:rPr>
        <w:t xml:space="preserve">　　</w:t>
      </w:r>
      <w:r w:rsidR="00203F72" w:rsidRPr="00A53581">
        <w:rPr>
          <w:rFonts w:hint="eastAsia"/>
        </w:rPr>
        <w:t>國民大會秘書處</w:t>
      </w:r>
      <w:r w:rsidR="00203F72" w:rsidRPr="00A53581">
        <w:t xml:space="preserve"> ( 1996)</w:t>
      </w:r>
      <w:r w:rsidR="00203F72" w:rsidRPr="00A53581">
        <w:rPr>
          <w:rFonts w:hint="eastAsia"/>
        </w:rPr>
        <w:t>，世界各國憲法大全。</w:t>
      </w:r>
    </w:p>
    <w:p w14:paraId="1B8B1DF4" w14:textId="77777777" w:rsidR="00953151" w:rsidRDefault="007F7377" w:rsidP="00D87D91">
      <w:r>
        <w:rPr>
          <w:rFonts w:hint="eastAsia"/>
        </w:rPr>
        <w:t xml:space="preserve">　　</w:t>
      </w:r>
      <w:r w:rsidR="00203F72" w:rsidRPr="00A53581">
        <w:rPr>
          <w:rFonts w:hint="eastAsia"/>
        </w:rPr>
        <w:t>張淑中，姚中原</w:t>
      </w:r>
      <w:r w:rsidR="00203F72" w:rsidRPr="00A53581">
        <w:t>(2012)</w:t>
      </w:r>
      <w:r w:rsidR="00203F72" w:rsidRPr="00A53581">
        <w:t>，</w:t>
      </w:r>
      <w:r w:rsidR="00203F72" w:rsidRPr="00A53581">
        <w:rPr>
          <w:rFonts w:hint="eastAsia"/>
        </w:rPr>
        <w:t>台灣憲政改革─修憲理論、政治過程與制度影響，初版，台北：五南圖書公司，第</w:t>
      </w:r>
      <w:r w:rsidR="00203F72" w:rsidRPr="00A53581">
        <w:t>110</w:t>
      </w:r>
      <w:r w:rsidR="00203F72" w:rsidRPr="00A53581">
        <w:rPr>
          <w:rFonts w:hint="eastAsia"/>
        </w:rPr>
        <w:t>頁。</w:t>
      </w:r>
    </w:p>
    <w:p w14:paraId="4308E804" w14:textId="77777777"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47B9BB24" w14:textId="77777777" w:rsidR="00545D58" w:rsidRDefault="00545D58" w:rsidP="00D87D91"/>
    <w:p w14:paraId="3B4D3E2D" w14:textId="77777777" w:rsidR="00953151" w:rsidRDefault="00203F72" w:rsidP="00767F37">
      <w:pPr>
        <w:pStyle w:val="2"/>
      </w:pPr>
      <w:bookmarkStart w:id="34" w:name="_第七章_司法"/>
      <w:bookmarkEnd w:id="34"/>
      <w:r w:rsidRPr="00A53581">
        <w:t>第七章</w:t>
      </w:r>
      <w:r w:rsidRPr="00A53581">
        <w:t xml:space="preserve"> </w:t>
      </w:r>
      <w:r w:rsidRPr="00A53581">
        <w:t>司法</w:t>
      </w:r>
    </w:p>
    <w:p w14:paraId="1D5725FB" w14:textId="77777777" w:rsidR="00953151" w:rsidRDefault="00076467" w:rsidP="00767F37">
      <w:pPr>
        <w:pStyle w:val="2"/>
      </w:pPr>
      <w:hyperlink r:id="rId818" w:anchor="a77" w:history="1">
        <w:r w:rsidR="005D5A46">
          <w:rPr>
            <w:rStyle w:val="a5"/>
            <w:rFonts w:ascii="Arial Unicode MS" w:hAnsi="Arial Unicode MS"/>
          </w:rPr>
          <w:t>第</w:t>
        </w:r>
        <w:r w:rsidR="00203F72" w:rsidRPr="005B5310">
          <w:rPr>
            <w:rStyle w:val="a5"/>
            <w:rFonts w:ascii="Arial Unicode MS" w:hAnsi="Arial Unicode MS"/>
          </w:rPr>
          <w:t>77</w:t>
        </w:r>
        <w:r w:rsidR="005D5A46">
          <w:rPr>
            <w:rStyle w:val="a5"/>
            <w:rFonts w:ascii="Arial Unicode MS" w:hAnsi="Arial Unicode MS"/>
          </w:rPr>
          <w:t>條</w:t>
        </w:r>
      </w:hyperlink>
      <w:r w:rsidR="00203F72" w:rsidRPr="00A53581">
        <w:t>司法院為國家最高司法機關，掌理民事、刑事、行政訴訟之審判及公務員之懲戒。</w:t>
      </w:r>
    </w:p>
    <w:p w14:paraId="3358DBA9" w14:textId="77777777" w:rsidR="00953151" w:rsidRPr="006D68CC" w:rsidRDefault="00B03E84" w:rsidP="00D87D91">
      <w:r w:rsidRPr="006D68CC">
        <w:t>【內容解析】</w:t>
      </w:r>
    </w:p>
    <w:p w14:paraId="72EFB530" w14:textId="77777777" w:rsidR="00953151" w:rsidRPr="006D68CC" w:rsidRDefault="007F7377" w:rsidP="00D87D91">
      <w:r w:rsidRPr="006D68CC">
        <w:t xml:space="preserve">　　</w:t>
      </w:r>
      <w:r w:rsidR="00203F72" w:rsidRPr="006D68CC">
        <w:t>司法院職司司法審判，應具有獨立公正之特性。依行政、立法、司法、考試、監察五權分立之原則，設置五院執行相關職權，以達相互制衡、分工合作之效，遂行「政權」。司法院釋</w:t>
      </w:r>
      <w:r w:rsidR="00C15E9F" w:rsidRPr="00686D2C">
        <w:t>字</w:t>
      </w:r>
      <w:hyperlink r:id="rId819" w:anchor="r262" w:history="1">
        <w:r w:rsidR="00C15E9F" w:rsidRPr="00C15E9F">
          <w:rPr>
            <w:rStyle w:val="a5"/>
            <w:rFonts w:ascii="Times New Roman" w:eastAsia="新細明體" w:hAnsi="Times New Roman"/>
          </w:rPr>
          <w:t>第</w:t>
        </w:r>
        <w:r w:rsidR="00C15E9F" w:rsidRPr="00C15E9F">
          <w:rPr>
            <w:rStyle w:val="a5"/>
            <w:rFonts w:ascii="Times New Roman" w:eastAsia="新細明體" w:hAnsi="Times New Roman"/>
          </w:rPr>
          <w:t>262</w:t>
        </w:r>
        <w:r w:rsidR="00C15E9F" w:rsidRPr="00C15E9F">
          <w:rPr>
            <w:rStyle w:val="a5"/>
            <w:rFonts w:ascii="Times New Roman" w:eastAsia="新細明體" w:hAnsi="Times New Roman"/>
          </w:rPr>
          <w:t>號</w:t>
        </w:r>
      </w:hyperlink>
      <w:r w:rsidR="00203F72" w:rsidRPr="006D68CC">
        <w:t>解釋認為：「司法院為國家最高司法機關，掌理民事、刑事、行政訴訟之審判及公務員之懲戒，憲法</w:t>
      </w:r>
      <w:r w:rsidR="006B7176" w:rsidRPr="00B167C2">
        <w:t>第</w:t>
      </w:r>
      <w:hyperlink r:id="rId820" w:anchor="a77" w:history="1">
        <w:r w:rsidR="006B7176" w:rsidRPr="00B167C2">
          <w:rPr>
            <w:rStyle w:val="a5"/>
          </w:rPr>
          <w:t>七十七</w:t>
        </w:r>
      </w:hyperlink>
      <w:r w:rsidR="006B7176" w:rsidRPr="00B167C2">
        <w:t>條</w:t>
      </w:r>
      <w:r w:rsidR="00203F72" w:rsidRPr="006D68CC">
        <w:t>定有明文。司法院設公務員懲戒委員會，為公務員懲戒之主管機關，此觀司法院組織</w:t>
      </w:r>
      <w:r w:rsidR="00203F72" w:rsidRPr="005E7876">
        <w:t>法</w:t>
      </w:r>
      <w:hyperlink r:id="rId821" w:anchor="b7" w:history="1">
        <w:r w:rsidR="007D50BB" w:rsidRPr="005E7876">
          <w:rPr>
            <w:rStyle w:val="a5"/>
            <w:rFonts w:ascii="Times New Roman" w:hAnsi="Times New Roman"/>
          </w:rPr>
          <w:t>第七條</w:t>
        </w:r>
      </w:hyperlink>
      <w:r w:rsidR="00203F72" w:rsidRPr="006D68CC">
        <w:t>規定甚明。」</w:t>
      </w:r>
    </w:p>
    <w:p w14:paraId="7106E79F" w14:textId="77777777" w:rsidR="00953151" w:rsidRPr="006D68CC" w:rsidRDefault="007F7377" w:rsidP="00D87D91">
      <w:r w:rsidRPr="006D68CC">
        <w:t xml:space="preserve">　　</w:t>
      </w:r>
      <w:r w:rsidR="00203F72" w:rsidRPr="006D68CC">
        <w:t>司法院執行國家之司法權，為國家最高司法機關，但司法院對於所屬之法院所做之司法判決，必須尊重，與行政院對其所屬行政機關具有指揮監督之關係不同，此乃司法獨立審判不受任何干涉之精神。司法院除負責訴訟之審判，並依公務員懲戒法執行公務員懲戒。依公務員懲戒法之規定，公務員有左列各款情事之一者，應受懲戒：違法、廢弛職務或其他失職行為。</w:t>
      </w:r>
    </w:p>
    <w:p w14:paraId="30F0C243" w14:textId="77777777" w:rsidR="00953151" w:rsidRPr="006D68CC" w:rsidRDefault="007F7377" w:rsidP="00D87D91">
      <w:r w:rsidRPr="006D68CC">
        <w:t xml:space="preserve">　　</w:t>
      </w:r>
      <w:r w:rsidR="00203F72" w:rsidRPr="006D68CC">
        <w:t>同時公務員有左列各款情形之一者，其職務當然停止：</w:t>
      </w:r>
      <w:r w:rsidR="00203F72" w:rsidRPr="006D68CC">
        <w:t>1</w:t>
      </w:r>
      <w:r w:rsidR="00203F72" w:rsidRPr="006D68CC">
        <w:t>、依刑事訴訟程序被通緝或羈押者。</w:t>
      </w:r>
      <w:r w:rsidR="00203F72" w:rsidRPr="006D68CC">
        <w:t>2</w:t>
      </w:r>
      <w:r w:rsidR="00203F72" w:rsidRPr="006D68CC">
        <w:t>、依刑事確定判決，受褫奪公權之宣告者。</w:t>
      </w:r>
      <w:r w:rsidR="00203F72" w:rsidRPr="006D68CC">
        <w:t>3</w:t>
      </w:r>
      <w:r w:rsidR="00203F72" w:rsidRPr="006D68CC">
        <w:t>、依刑事確定判決，受徒刑之宣告，在執行中者。而公務員之懲戒處分，分為：撤職、休職、降級、減俸、記過、申誡、休職，其中降級、減俸、記過處分不適用政務官。九職等或相當於九職等以下公務員之記過與申誡，得逕由主管長官行之。</w:t>
      </w:r>
    </w:p>
    <w:p w14:paraId="1F5955CA" w14:textId="77777777" w:rsidR="00953151" w:rsidRPr="006D68CC" w:rsidRDefault="007F7377" w:rsidP="00D87D91">
      <w:r w:rsidRPr="006D68CC">
        <w:t xml:space="preserve">　　</w:t>
      </w:r>
      <w:r w:rsidR="00203F72" w:rsidRPr="006D68CC">
        <w:t>公務員懲戒委員會在審議案件時，應該以委員依法任用總額過半數之出席及出席委員過半數之同意議決之。如果出席委員之意見分三說以上，不能得過半數之同意時，應將各說排列，由最不利於被付懲戒人之意見順次算入次不利於被付懲戒人之意見，至人數達過半數為止。議決後，應作成議決書，由出席委員全體簽名，於七日內將議決書正本送達移送機關、被付懲戒人及其主管長官，並函報司法院及通知銓敘機關。主管長官收受懲戒處分之議決書後，應即為執行。</w:t>
      </w:r>
    </w:p>
    <w:p w14:paraId="413CEADE" w14:textId="77777777" w:rsidR="00953151" w:rsidRDefault="00076467" w:rsidP="00767F37">
      <w:pPr>
        <w:pStyle w:val="2"/>
      </w:pPr>
      <w:hyperlink r:id="rId822" w:anchor="a78" w:history="1">
        <w:r w:rsidR="005D5A46">
          <w:rPr>
            <w:rStyle w:val="a5"/>
            <w:rFonts w:ascii="Arial Unicode MS" w:hAnsi="Arial Unicode MS"/>
          </w:rPr>
          <w:t>第</w:t>
        </w:r>
        <w:r w:rsidR="00203F72" w:rsidRPr="005B5310">
          <w:rPr>
            <w:rStyle w:val="a5"/>
            <w:rFonts w:ascii="Arial Unicode MS" w:hAnsi="Arial Unicode MS"/>
          </w:rPr>
          <w:t>78</w:t>
        </w:r>
        <w:r w:rsidR="005D5A46">
          <w:rPr>
            <w:rStyle w:val="a5"/>
            <w:rFonts w:ascii="Arial Unicode MS" w:hAnsi="Arial Unicode MS"/>
          </w:rPr>
          <w:t>條</w:t>
        </w:r>
      </w:hyperlink>
      <w:r w:rsidR="00203F72" w:rsidRPr="00A53581">
        <w:t>司法院解釋憲法，並有統一解釋法律及命令之權。</w:t>
      </w:r>
    </w:p>
    <w:p w14:paraId="590B213C" w14:textId="77777777" w:rsidR="00953151" w:rsidRDefault="00B03E84" w:rsidP="00D87D91">
      <w:r>
        <w:t>【內容解析】</w:t>
      </w:r>
    </w:p>
    <w:p w14:paraId="1B06EBCB" w14:textId="77777777" w:rsidR="00953151" w:rsidRDefault="007F7377" w:rsidP="00D87D91">
      <w:r>
        <w:t xml:space="preserve">　　</w:t>
      </w:r>
      <w:r w:rsidR="00203F72" w:rsidRPr="00A53581">
        <w:t>司法院置大法官十七人，審理解釋憲法及統一解釋法令案件，並組成憲法法庭，審理政黨違憲之解散事項，均以合議行之。司法院大法官須超出黨派以外，獨立行使職權，不受任何干涉。司法院大法官會議，以司法院院長為主席。憲法法庭審理案件，以資深大法官充審判長，資同者以年長者充之。</w:t>
      </w:r>
    </w:p>
    <w:p w14:paraId="73907AEC" w14:textId="77777777" w:rsidR="005E7876" w:rsidRDefault="005E7876" w:rsidP="00D87D91"/>
    <w:p w14:paraId="08C8A813" w14:textId="626318EA" w:rsidR="00203F72" w:rsidRPr="006D68CC" w:rsidRDefault="00B03E84" w:rsidP="00D87D91">
      <w:r w:rsidRPr="006D68CC">
        <w:t>【</w:t>
      </w:r>
      <w:r w:rsidRPr="006D68CC">
        <w:t>table</w:t>
      </w:r>
      <w:r w:rsidR="005E23E3" w:rsidRPr="006D68C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53</w:t>
      </w:r>
      <w:r w:rsidR="00076467">
        <w:rPr>
          <w:noProof/>
        </w:rPr>
        <w:fldChar w:fldCharType="end"/>
      </w:r>
      <w:r w:rsidR="00203F72" w:rsidRPr="006D68CC">
        <w:t>德國、美國與我國釋憲制度中有關於抽象與具體審查方式之差異比較一覽表</w:t>
      </w:r>
    </w:p>
    <w:tbl>
      <w:tblPr>
        <w:tblW w:w="465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5790"/>
      </w:tblGrid>
      <w:tr w:rsidR="00203F72" w:rsidRPr="00A53581" w14:paraId="156D3F7B" w14:textId="77777777" w:rsidTr="00203F72">
        <w:tc>
          <w:tcPr>
            <w:tcW w:w="1339" w:type="pct"/>
            <w:shd w:val="clear" w:color="auto" w:fill="auto"/>
          </w:tcPr>
          <w:p w14:paraId="14E48997" w14:textId="77777777" w:rsidR="00203F72" w:rsidRPr="00A53581" w:rsidRDefault="00203F72" w:rsidP="00D87D91">
            <w:r w:rsidRPr="00A53581">
              <w:t>德國聯邦憲法法院</w:t>
            </w:r>
          </w:p>
        </w:tc>
        <w:tc>
          <w:tcPr>
            <w:tcW w:w="3661" w:type="pct"/>
            <w:shd w:val="clear" w:color="auto" w:fill="auto"/>
          </w:tcPr>
          <w:p w14:paraId="1E7F3189" w14:textId="77777777" w:rsidR="00203F72" w:rsidRPr="00A53581" w:rsidRDefault="00203F72" w:rsidP="00D87D91">
            <w:r w:rsidRPr="00A53581">
              <w:rPr>
                <w:rFonts w:hint="eastAsia"/>
              </w:rPr>
              <w:t>1.</w:t>
            </w:r>
            <w:r w:rsidRPr="00A53581">
              <w:rPr>
                <w:rFonts w:hint="eastAsia"/>
              </w:rPr>
              <w:t>抽象規範審查：</w:t>
            </w:r>
            <w:r w:rsidRPr="00A53581">
              <w:rPr>
                <w:rFonts w:cs="細明體_HKSCS" w:hint="eastAsia"/>
              </w:rPr>
              <w:t>「抽象性」</w:t>
            </w:r>
            <w:r w:rsidRPr="00A53581">
              <w:rPr>
                <w:rFonts w:hint="eastAsia"/>
                <w:kern w:val="0"/>
              </w:rPr>
              <w:t>。</w:t>
            </w:r>
          </w:p>
          <w:p w14:paraId="109C19C8" w14:textId="77777777" w:rsidR="00203F72" w:rsidRPr="00A53581" w:rsidRDefault="00203F72" w:rsidP="00D87D91">
            <w:r w:rsidRPr="00A53581">
              <w:rPr>
                <w:rFonts w:hint="eastAsia"/>
              </w:rPr>
              <w:t>2.</w:t>
            </w:r>
            <w:r w:rsidRPr="00A53581">
              <w:rPr>
                <w:rFonts w:hint="eastAsia"/>
              </w:rPr>
              <w:t>具體規範審查：</w:t>
            </w:r>
            <w:r w:rsidRPr="00A53581">
              <w:rPr>
                <w:rFonts w:cs="細明體_HKSCS" w:hint="eastAsia"/>
              </w:rPr>
              <w:t>「抽象性」</w:t>
            </w:r>
            <w:r w:rsidRPr="00A53581">
              <w:rPr>
                <w:rFonts w:hint="eastAsia"/>
                <w:kern w:val="0"/>
              </w:rPr>
              <w:t>。</w:t>
            </w:r>
          </w:p>
          <w:p w14:paraId="4F95CC4C" w14:textId="77777777" w:rsidR="00203F72" w:rsidRPr="00A53581" w:rsidRDefault="00203F72" w:rsidP="00D87D91">
            <w:r w:rsidRPr="00A53581">
              <w:rPr>
                <w:rFonts w:hint="eastAsia"/>
              </w:rPr>
              <w:t>3.</w:t>
            </w:r>
            <w:r w:rsidRPr="00A53581">
              <w:rPr>
                <w:rFonts w:hint="eastAsia"/>
              </w:rPr>
              <w:t>聯邦與各邦權限爭議：</w:t>
            </w:r>
            <w:r w:rsidRPr="00A53581">
              <w:rPr>
                <w:rFonts w:cs="細明體_HKSCS" w:hint="eastAsia"/>
              </w:rPr>
              <w:t>「抽象或具體」</w:t>
            </w:r>
            <w:r w:rsidRPr="00A53581">
              <w:rPr>
                <w:rFonts w:hint="eastAsia"/>
                <w:kern w:val="0"/>
              </w:rPr>
              <w:t>。</w:t>
            </w:r>
          </w:p>
          <w:p w14:paraId="40CB53C1" w14:textId="77777777" w:rsidR="00203F72" w:rsidRPr="00A53581" w:rsidRDefault="00203F72" w:rsidP="00D87D91">
            <w:r w:rsidRPr="00A53581">
              <w:rPr>
                <w:rFonts w:hint="eastAsia"/>
              </w:rPr>
              <w:t>4.</w:t>
            </w:r>
            <w:r w:rsidRPr="00A53581">
              <w:rPr>
                <w:rFonts w:hint="eastAsia"/>
              </w:rPr>
              <w:t>憲法訴願：</w:t>
            </w:r>
            <w:r w:rsidRPr="00A53581">
              <w:rPr>
                <w:rFonts w:cs="細明體_HKSCS" w:hint="eastAsia"/>
              </w:rPr>
              <w:t>「具體性」</w:t>
            </w:r>
            <w:r w:rsidRPr="00A53581">
              <w:rPr>
                <w:rFonts w:hint="eastAsia"/>
                <w:kern w:val="0"/>
              </w:rPr>
              <w:t>。</w:t>
            </w:r>
          </w:p>
          <w:p w14:paraId="5358EC47" w14:textId="77777777" w:rsidR="00203F72" w:rsidRPr="00A53581" w:rsidRDefault="00203F72" w:rsidP="00D87D91">
            <w:r w:rsidRPr="00A53581">
              <w:rPr>
                <w:rFonts w:hint="eastAsia"/>
              </w:rPr>
              <w:t>5.</w:t>
            </w:r>
            <w:r w:rsidRPr="00A53581">
              <w:rPr>
                <w:rFonts w:hint="eastAsia"/>
              </w:rPr>
              <w:t>政黨解散訴訟：</w:t>
            </w:r>
            <w:r w:rsidRPr="00A53581">
              <w:rPr>
                <w:rFonts w:cs="細明體_HKSCS" w:hint="eastAsia"/>
              </w:rPr>
              <w:t>「具體性」</w:t>
            </w:r>
            <w:r w:rsidRPr="00A53581">
              <w:rPr>
                <w:rFonts w:hint="eastAsia"/>
                <w:kern w:val="0"/>
              </w:rPr>
              <w:t>。</w:t>
            </w:r>
          </w:p>
        </w:tc>
      </w:tr>
      <w:tr w:rsidR="00203F72" w:rsidRPr="00A53581" w14:paraId="301C5B95" w14:textId="77777777" w:rsidTr="00203F72">
        <w:tc>
          <w:tcPr>
            <w:tcW w:w="1339" w:type="pct"/>
            <w:shd w:val="clear" w:color="auto" w:fill="auto"/>
          </w:tcPr>
          <w:p w14:paraId="1B290370" w14:textId="77777777" w:rsidR="00203F72" w:rsidRPr="00A53581" w:rsidRDefault="00203F72" w:rsidP="00D87D91">
            <w:r w:rsidRPr="00A53581">
              <w:t>美國各級法院</w:t>
            </w:r>
          </w:p>
        </w:tc>
        <w:tc>
          <w:tcPr>
            <w:tcW w:w="3661" w:type="pct"/>
            <w:shd w:val="clear" w:color="auto" w:fill="auto"/>
          </w:tcPr>
          <w:p w14:paraId="0F75AA8B" w14:textId="77777777" w:rsidR="00203F72" w:rsidRPr="00A53581" w:rsidRDefault="00203F72" w:rsidP="00D87D91">
            <w:r w:rsidRPr="00A53581">
              <w:t>具體個案審判中附帶解釋與審查；</w:t>
            </w:r>
            <w:r w:rsidRPr="00A53581">
              <w:rPr>
                <w:kern w:val="0"/>
              </w:rPr>
              <w:t>「具體性」。</w:t>
            </w:r>
          </w:p>
        </w:tc>
      </w:tr>
      <w:tr w:rsidR="00203F72" w:rsidRPr="00A53581" w14:paraId="385DBE67" w14:textId="77777777" w:rsidTr="00203F72">
        <w:tc>
          <w:tcPr>
            <w:tcW w:w="1339" w:type="pct"/>
            <w:shd w:val="clear" w:color="auto" w:fill="auto"/>
          </w:tcPr>
          <w:p w14:paraId="4AF228BD" w14:textId="77777777" w:rsidR="00203F72" w:rsidRPr="00A53581" w:rsidRDefault="00203F72" w:rsidP="00D87D91">
            <w:r w:rsidRPr="00A53581">
              <w:t>我國司法院大法官</w:t>
            </w:r>
          </w:p>
        </w:tc>
        <w:tc>
          <w:tcPr>
            <w:tcW w:w="3661" w:type="pct"/>
            <w:shd w:val="clear" w:color="auto" w:fill="auto"/>
          </w:tcPr>
          <w:p w14:paraId="4711AAAF" w14:textId="77777777" w:rsidR="00203F72" w:rsidRPr="00A53581" w:rsidRDefault="00203F72" w:rsidP="00D87D91">
            <w:r w:rsidRPr="00A53581">
              <w:rPr>
                <w:rFonts w:hint="eastAsia"/>
              </w:rPr>
              <w:t>1.</w:t>
            </w:r>
            <w:r w:rsidRPr="00A53581">
              <w:rPr>
                <w:rFonts w:hint="eastAsia"/>
              </w:rPr>
              <w:t>純粹抽象解釋：「抽象性」</w:t>
            </w:r>
            <w:r w:rsidRPr="00A53581">
              <w:rPr>
                <w:rFonts w:hint="eastAsia"/>
                <w:kern w:val="0"/>
              </w:rPr>
              <w:t>。</w:t>
            </w:r>
          </w:p>
          <w:p w14:paraId="0BCDD51E" w14:textId="77777777" w:rsidR="00203F72" w:rsidRPr="00A53581" w:rsidRDefault="00203F72" w:rsidP="00D87D91">
            <w:r w:rsidRPr="00A53581">
              <w:rPr>
                <w:rFonts w:hint="eastAsia"/>
              </w:rPr>
              <w:t>2.</w:t>
            </w:r>
            <w:r w:rsidRPr="00A53581">
              <w:rPr>
                <w:rFonts w:hint="eastAsia"/>
              </w:rPr>
              <w:t>抽象法規審查：「抽象性」</w:t>
            </w:r>
            <w:r w:rsidRPr="00A53581">
              <w:rPr>
                <w:rFonts w:hint="eastAsia"/>
                <w:kern w:val="0"/>
              </w:rPr>
              <w:t>。</w:t>
            </w:r>
          </w:p>
          <w:p w14:paraId="727595B2" w14:textId="77777777" w:rsidR="00203F72" w:rsidRPr="00A53581" w:rsidRDefault="00203F72" w:rsidP="00D87D91">
            <w:r w:rsidRPr="00A53581">
              <w:rPr>
                <w:rFonts w:hint="eastAsia"/>
              </w:rPr>
              <w:t>3.</w:t>
            </w:r>
            <w:r w:rsidRPr="00A53581">
              <w:rPr>
                <w:rFonts w:hint="eastAsia"/>
              </w:rPr>
              <w:t>具體法規審查：「抽象性」</w:t>
            </w:r>
            <w:r w:rsidRPr="00A53581">
              <w:rPr>
                <w:rFonts w:hint="eastAsia"/>
                <w:kern w:val="0"/>
              </w:rPr>
              <w:t>。</w:t>
            </w:r>
          </w:p>
          <w:p w14:paraId="23FCB78A" w14:textId="77777777" w:rsidR="00203F72" w:rsidRPr="00A53581" w:rsidRDefault="00203F72" w:rsidP="00D87D91">
            <w:r w:rsidRPr="00A53581">
              <w:rPr>
                <w:rFonts w:hint="eastAsia"/>
              </w:rPr>
              <w:t>4.</w:t>
            </w:r>
            <w:r w:rsidRPr="00A53581">
              <w:rPr>
                <w:rFonts w:hint="eastAsia"/>
              </w:rPr>
              <w:t>機關爭議：「抽象或具體」</w:t>
            </w:r>
            <w:r w:rsidRPr="00A53581">
              <w:rPr>
                <w:rFonts w:hint="eastAsia"/>
                <w:kern w:val="0"/>
              </w:rPr>
              <w:t>。</w:t>
            </w:r>
          </w:p>
          <w:p w14:paraId="3119F5F0" w14:textId="77777777" w:rsidR="00203F72" w:rsidRPr="00A53581" w:rsidRDefault="00203F72" w:rsidP="00D87D91">
            <w:r w:rsidRPr="00A53581">
              <w:rPr>
                <w:rFonts w:hint="eastAsia"/>
              </w:rPr>
              <w:t>5.</w:t>
            </w:r>
            <w:r w:rsidRPr="00A53581">
              <w:rPr>
                <w:rFonts w:hint="eastAsia"/>
              </w:rPr>
              <w:t>政黨解散訴訟：「具體性」</w:t>
            </w:r>
            <w:r w:rsidRPr="00A53581">
              <w:rPr>
                <w:rFonts w:hint="eastAsia"/>
                <w:kern w:val="0"/>
              </w:rPr>
              <w:t>。</w:t>
            </w:r>
          </w:p>
          <w:p w14:paraId="4BFCB2A2" w14:textId="77777777" w:rsidR="00203F72" w:rsidRPr="00A53581" w:rsidRDefault="00203F72" w:rsidP="00D87D91">
            <w:r w:rsidRPr="00A53581">
              <w:rPr>
                <w:rFonts w:hint="eastAsia"/>
              </w:rPr>
              <w:t>6.</w:t>
            </w:r>
            <w:r w:rsidRPr="00A53581">
              <w:rPr>
                <w:rFonts w:hint="eastAsia"/>
              </w:rPr>
              <w:t>地方自治團體辦理自治事項違法疑義</w:t>
            </w:r>
            <w:r w:rsidRPr="00A53581">
              <w:rPr>
                <w:rFonts w:hint="eastAsia"/>
              </w:rPr>
              <w:t>(</w:t>
            </w:r>
            <w:r w:rsidRPr="00A53581">
              <w:rPr>
                <w:rFonts w:hint="eastAsia"/>
              </w:rPr>
              <w:t>參閱釋字</w:t>
            </w:r>
            <w:r w:rsidRPr="00A53581">
              <w:rPr>
                <w:rFonts w:hint="eastAsia"/>
              </w:rPr>
              <w:t>527)</w:t>
            </w:r>
            <w:r w:rsidRPr="00A53581">
              <w:rPr>
                <w:rFonts w:hint="eastAsia"/>
              </w:rPr>
              <w:t>：「具體性」</w:t>
            </w:r>
          </w:p>
        </w:tc>
      </w:tr>
    </w:tbl>
    <w:p w14:paraId="7F5E4F2E" w14:textId="77777777" w:rsidR="00953151" w:rsidRPr="006D68CC" w:rsidRDefault="002107CE" w:rsidP="00D87D91">
      <w:r w:rsidRPr="006D68CC">
        <w:t>【本表格資料來源】</w:t>
      </w:r>
      <w:r w:rsidR="00203F72" w:rsidRPr="006D68CC">
        <w:t>賀祥宏</w:t>
      </w:r>
      <w:r w:rsidR="00203F72" w:rsidRPr="006D68CC">
        <w:t>(2010)</w:t>
      </w:r>
      <w:r w:rsidR="00203F72" w:rsidRPr="006D68CC">
        <w:t>，中華民國憲法，第</w:t>
      </w:r>
      <w:r w:rsidR="00203F72" w:rsidRPr="006D68CC">
        <w:t>11</w:t>
      </w:r>
      <w:r w:rsidR="00203F72" w:rsidRPr="006D68CC">
        <w:t>版，台北市：高點，第</w:t>
      </w:r>
      <w:r w:rsidR="00203F72" w:rsidRPr="006D68CC">
        <w:t>3-144</w:t>
      </w:r>
      <w:r w:rsidR="00203F72" w:rsidRPr="006D68CC">
        <w:t>頁。</w:t>
      </w:r>
    </w:p>
    <w:p w14:paraId="601088C7" w14:textId="77777777" w:rsidR="00953151" w:rsidRPr="006D68CC" w:rsidRDefault="007F7377" w:rsidP="00D87D91">
      <w:r w:rsidRPr="006D68CC">
        <w:t xml:space="preserve">　　</w:t>
      </w:r>
      <w:r w:rsidR="00203F72" w:rsidRPr="006D68CC">
        <w:t>大法官應具有下列資格之一：一、曾任最高法院法官十年以上而成績卓著者。二、曾任立法委員九年以上而有特殊貢獻者。三、曾任大學法律主要科目教授十年以上而有專門著作者。四、曾任國際法庭法官或有公法學或比較法學之權威著作者。五、研究法學，富有政治經驗，聲譽卓著者。具有前項任何一款資格之大法官，其人數不得超過總名額三分之一。</w:t>
      </w:r>
    </w:p>
    <w:p w14:paraId="755C17E0" w14:textId="77777777" w:rsidR="00953151" w:rsidRPr="006D68CC" w:rsidRDefault="007F7377" w:rsidP="00D87D91">
      <w:r w:rsidRPr="006D68CC">
        <w:t xml:space="preserve">　　</w:t>
      </w:r>
      <w:r w:rsidR="00203F72" w:rsidRPr="006D68CC">
        <w:t>同時，依司法院釋</w:t>
      </w:r>
      <w:r w:rsidR="0004558E" w:rsidRPr="00482FC4">
        <w:t>字</w:t>
      </w:r>
      <w:hyperlink r:id="rId823" w:anchor="r342" w:history="1">
        <w:r w:rsidR="0004558E" w:rsidRPr="002464E6">
          <w:rPr>
            <w:rStyle w:val="a5"/>
            <w:rFonts w:ascii="Times New Roman" w:eastAsia="新細明體" w:hAnsi="Times New Roman"/>
          </w:rPr>
          <w:t>第</w:t>
        </w:r>
        <w:r w:rsidR="0004558E" w:rsidRPr="002464E6">
          <w:rPr>
            <w:rStyle w:val="a5"/>
            <w:rFonts w:ascii="Times New Roman" w:eastAsia="新細明體" w:hAnsi="Times New Roman"/>
          </w:rPr>
          <w:t>342</w:t>
        </w:r>
        <w:r w:rsidR="0004558E" w:rsidRPr="002464E6">
          <w:rPr>
            <w:rStyle w:val="a5"/>
            <w:rFonts w:ascii="Times New Roman" w:eastAsia="新細明體" w:hAnsi="Times New Roman"/>
          </w:rPr>
          <w:t>號</w:t>
        </w:r>
      </w:hyperlink>
      <w:r w:rsidR="00203F72" w:rsidRPr="006D68CC">
        <w:t>解釋之意旨：「法律案之立法程序有不待調查事實即可認定為牴觸憲法，亦即有違反法律成立基本規定之明顯重大瑕疵者，則釋憲機關仍得宣告其為無效</w:t>
      </w:r>
      <w:r w:rsidR="00203F72" w:rsidRPr="006D68CC">
        <w:t>….</w:t>
      </w:r>
      <w:r w:rsidR="00203F72" w:rsidRPr="006D68CC">
        <w:t>法律因牴觸憲法而無效，固不以其內容牴觸憲法者為限，即其立法程序有不待調查事實即可認定為牴觸憲法之重大瑕疵者（如未經憲法</w:t>
      </w:r>
      <w:r w:rsidR="001B1539" w:rsidRPr="006D68CC">
        <w:t>第</w:t>
      </w:r>
      <w:hyperlink r:id="rId824" w:anchor="a63" w:history="1">
        <w:r w:rsidR="001B1539" w:rsidRPr="006D68CC">
          <w:rPr>
            <w:rStyle w:val="a5"/>
          </w:rPr>
          <w:t>六十三</w:t>
        </w:r>
      </w:hyperlink>
      <w:r w:rsidR="001B1539" w:rsidRPr="006D68CC">
        <w:t>條</w:t>
      </w:r>
      <w:r w:rsidR="00203F72" w:rsidRPr="006D68CC">
        <w:t>之議決程序），則釋憲機關仍得宣告其為無效。然如其瑕疵是否已達足以影響法律成立之重大程度，尚有爭議，並有待於調查者，則事實尚未明顯。依司法院大法官審理案件法</w:t>
      </w:r>
      <w:r w:rsidR="000D79C4" w:rsidRPr="006D68CC">
        <w:t>第</w:t>
      </w:r>
      <w:hyperlink r:id="rId825" w:anchor="a13" w:history="1">
        <w:r w:rsidR="000D79C4" w:rsidRPr="006D68CC">
          <w:rPr>
            <w:rStyle w:val="a5"/>
          </w:rPr>
          <w:t>十三</w:t>
        </w:r>
      </w:hyperlink>
      <w:r w:rsidR="000D79C4" w:rsidRPr="006D68CC">
        <w:t>條</w:t>
      </w:r>
      <w:r w:rsidR="00203F72" w:rsidRPr="006D68CC">
        <w:t>第二項規定，大法官解釋憲法得準用憲法法庭之規定行言詞辯論」。司法院大法官之議決方式，係以會議之方式，合議審理司法院解釋憲法與統一解釋法律及命令之案件；並組成憲法法庭，合議審理政黨違憲之解散案件。</w:t>
      </w:r>
    </w:p>
    <w:p w14:paraId="690CE78E" w14:textId="77777777" w:rsidR="00953151" w:rsidRPr="006D68CC" w:rsidRDefault="007F7377" w:rsidP="00D87D91">
      <w:r w:rsidRPr="006D68CC">
        <w:t xml:space="preserve">　　</w:t>
      </w:r>
      <w:r w:rsidR="00203F72" w:rsidRPr="006D68CC">
        <w:t>有關於大法官解釋憲法之事項，係規範於司法院大法官審理案件</w:t>
      </w:r>
      <w:r w:rsidR="00B23D06" w:rsidRPr="001B1539">
        <w:t>法</w:t>
      </w:r>
      <w:hyperlink r:id="rId826" w:anchor="a4" w:history="1">
        <w:r w:rsidR="00B23D06" w:rsidRPr="00B23D06">
          <w:rPr>
            <w:rStyle w:val="a5"/>
            <w:rFonts w:ascii="Times New Roman" w:eastAsia="新細明體" w:hAnsi="Times New Roman"/>
          </w:rPr>
          <w:t>第</w:t>
        </w:r>
        <w:r w:rsidR="00B23D06" w:rsidRPr="00B23D06">
          <w:rPr>
            <w:rStyle w:val="a5"/>
            <w:rFonts w:ascii="Times New Roman" w:eastAsia="新細明體" w:hAnsi="Times New Roman"/>
          </w:rPr>
          <w:t>4</w:t>
        </w:r>
        <w:r w:rsidR="00B23D06" w:rsidRPr="00B23D06">
          <w:rPr>
            <w:rStyle w:val="a5"/>
            <w:rFonts w:ascii="Times New Roman" w:eastAsia="新細明體" w:hAnsi="Times New Roman"/>
          </w:rPr>
          <w:t>條</w:t>
        </w:r>
      </w:hyperlink>
      <w:r w:rsidR="00203F72" w:rsidRPr="006D68CC">
        <w:t>之中。同法</w:t>
      </w:r>
      <w:hyperlink r:id="rId827" w:anchor="a5" w:history="1">
        <w:r w:rsidR="00203F72" w:rsidRPr="00B23D06">
          <w:rPr>
            <w:rStyle w:val="a5"/>
            <w:rFonts w:ascii="Times New Roman" w:eastAsia="新細明體" w:hAnsi="Times New Roman"/>
          </w:rPr>
          <w:t>第</w:t>
        </w:r>
        <w:r w:rsidR="00203F72" w:rsidRPr="00B23D06">
          <w:rPr>
            <w:rStyle w:val="a5"/>
            <w:rFonts w:ascii="Times New Roman" w:eastAsia="新細明體" w:hAnsi="Times New Roman"/>
          </w:rPr>
          <w:t>5</w:t>
        </w:r>
        <w:r w:rsidR="00203F72" w:rsidRPr="00B23D06">
          <w:rPr>
            <w:rStyle w:val="a5"/>
            <w:rFonts w:ascii="Times New Roman" w:eastAsia="新細明體" w:hAnsi="Times New Roman"/>
          </w:rPr>
          <w:t>條</w:t>
        </w:r>
      </w:hyperlink>
      <w:r w:rsidR="00203F72" w:rsidRPr="006D68CC">
        <w:t>之內容，則規定得聲請解釋憲法之事項；另外，同</w:t>
      </w:r>
      <w:r w:rsidR="00444E21" w:rsidRPr="00026811">
        <w:t>法</w:t>
      </w:r>
      <w:hyperlink r:id="rId828" w:anchor="a7" w:history="1">
        <w:r w:rsidR="00444E21" w:rsidRPr="00026811">
          <w:rPr>
            <w:rStyle w:val="a5"/>
          </w:rPr>
          <w:t>第7條</w:t>
        </w:r>
      </w:hyperlink>
      <w:r w:rsidR="00203F72" w:rsidRPr="006D68CC">
        <w:t>之內涵，則規定得聲請統一解釋之事項</w:t>
      </w:r>
      <w:r w:rsidR="00203F72" w:rsidRPr="006D68CC">
        <w:footnoteReference w:id="81"/>
      </w:r>
      <w:r w:rsidR="00203F72" w:rsidRPr="006D68CC">
        <w:t>。</w:t>
      </w:r>
    </w:p>
    <w:p w14:paraId="2F1C241B" w14:textId="77777777" w:rsidR="00953151" w:rsidRPr="006D68CC" w:rsidRDefault="007F7377" w:rsidP="00D87D91">
      <w:r w:rsidRPr="006D68CC">
        <w:t xml:space="preserve">　　</w:t>
      </w:r>
      <w:r w:rsidR="00203F72" w:rsidRPr="006D68CC">
        <w:t>有關於大法官解釋憲法、宣告命令牴觸憲法統一解釋法律及命令之議決方式，則規範於司法院大法官審理案件法</w:t>
      </w:r>
      <w:hyperlink r:id="rId829" w:anchor="a14" w:history="1">
        <w:r w:rsidR="00203F72" w:rsidRPr="00B23D06">
          <w:rPr>
            <w:rStyle w:val="a5"/>
            <w:rFonts w:ascii="Times New Roman" w:eastAsia="新細明體" w:hAnsi="Times New Roman"/>
          </w:rPr>
          <w:t>第</w:t>
        </w:r>
        <w:r w:rsidR="00203F72" w:rsidRPr="00B23D06">
          <w:rPr>
            <w:rStyle w:val="a5"/>
            <w:rFonts w:ascii="Times New Roman" w:eastAsia="新細明體" w:hAnsi="Times New Roman"/>
          </w:rPr>
          <w:t>14</w:t>
        </w:r>
        <w:r w:rsidR="00203F72" w:rsidRPr="00B23D06">
          <w:rPr>
            <w:rStyle w:val="a5"/>
            <w:rFonts w:ascii="Times New Roman" w:eastAsia="新細明體" w:hAnsi="Times New Roman"/>
          </w:rPr>
          <w:t>條</w:t>
        </w:r>
      </w:hyperlink>
      <w:r w:rsidR="00203F72" w:rsidRPr="006D68CC">
        <w:t>之中，根據本條之規定，「大法官解釋憲法，應有大法官現有總額三分之二之出席，及出席人三分之二同意，方得通過。但宣告命令牴觸憲法時，以出席人過半數同意行之</w:t>
      </w:r>
      <w:r w:rsidR="00203F72" w:rsidRPr="006D68CC">
        <w:t>(</w:t>
      </w:r>
      <w:r w:rsidR="00203F72" w:rsidRPr="006D68CC">
        <w:t>第</w:t>
      </w:r>
      <w:r w:rsidR="00203F72" w:rsidRPr="006D68CC">
        <w:t>1</w:t>
      </w:r>
      <w:r w:rsidR="00203F72" w:rsidRPr="006D68CC">
        <w:t>項</w:t>
      </w:r>
      <w:r w:rsidR="00203F72" w:rsidRPr="006D68CC">
        <w:t>)</w:t>
      </w:r>
      <w:r w:rsidR="00203F72" w:rsidRPr="006D68CC">
        <w:t>。大法官統一解釋法律及命令，應有大法官現有總額過半數之出席，及出席人數過半數之同意，方得通過。」</w:t>
      </w:r>
    </w:p>
    <w:p w14:paraId="65A1DA67" w14:textId="77777777" w:rsidR="00953151" w:rsidRPr="006D68CC" w:rsidRDefault="00203F72" w:rsidP="00D87D91">
      <w:r w:rsidRPr="006D68CC">
        <w:t>為因應國家統一前之需要，依憲法增修條</w:t>
      </w:r>
      <w:r w:rsidR="00306E89" w:rsidRPr="00D73718">
        <w:t>文</w:t>
      </w:r>
      <w:hyperlink r:id="rId830" w:anchor="b5" w:history="1">
        <w:r w:rsidR="00306E89" w:rsidRPr="00306E89">
          <w:rPr>
            <w:rStyle w:val="a5"/>
            <w:rFonts w:ascii="Times New Roman" w:hAnsi="Times New Roman"/>
          </w:rPr>
          <w:t>第</w:t>
        </w:r>
        <w:r w:rsidR="00306E89" w:rsidRPr="00306E89">
          <w:rPr>
            <w:rStyle w:val="a5"/>
            <w:rFonts w:ascii="Times New Roman" w:hAnsi="Times New Roman"/>
          </w:rPr>
          <w:t>5</w:t>
        </w:r>
        <w:r w:rsidR="00306E89" w:rsidRPr="00306E89">
          <w:rPr>
            <w:rStyle w:val="a5"/>
            <w:rFonts w:ascii="Times New Roman" w:hAnsi="Times New Roman"/>
          </w:rPr>
          <w:t>條</w:t>
        </w:r>
      </w:hyperlink>
      <w:r w:rsidRPr="006D68CC">
        <w:t>之規定，司法院大法官，除依憲法第</w:t>
      </w:r>
      <w:hyperlink r:id="rId831" w:anchor="a78" w:history="1">
        <w:r w:rsidRPr="00026811">
          <w:rPr>
            <w:rStyle w:val="a5"/>
            <w:rFonts w:ascii="Times New Roman" w:eastAsia="新細明體" w:hAnsi="Times New Roman"/>
          </w:rPr>
          <w:t>七十八</w:t>
        </w:r>
      </w:hyperlink>
      <w:r w:rsidRPr="006D68CC">
        <w:t>條之規定外，並組成憲法法庭審理總統、副總統之彈劾及政黨違憲之解散事項。政黨之目的或其行為，危害中華民國之存在或自由民主之憲政秩序者為違憲。</w:t>
      </w:r>
    </w:p>
    <w:p w14:paraId="0D447CE9" w14:textId="77777777" w:rsidR="00203F72" w:rsidRPr="00A53581" w:rsidRDefault="00076467" w:rsidP="00767F37">
      <w:pPr>
        <w:pStyle w:val="2"/>
      </w:pPr>
      <w:hyperlink r:id="rId832" w:anchor="a79" w:history="1">
        <w:r w:rsidR="005D5A46">
          <w:rPr>
            <w:rStyle w:val="a5"/>
            <w:rFonts w:ascii="Arial Unicode MS" w:hAnsi="Arial Unicode MS"/>
          </w:rPr>
          <w:t>第</w:t>
        </w:r>
        <w:r w:rsidR="00203F72" w:rsidRPr="005B5310">
          <w:rPr>
            <w:rStyle w:val="a5"/>
            <w:rFonts w:ascii="Arial Unicode MS" w:hAnsi="Arial Unicode MS"/>
          </w:rPr>
          <w:t>79</w:t>
        </w:r>
        <w:r w:rsidR="005D5A46">
          <w:rPr>
            <w:rStyle w:val="a5"/>
            <w:rFonts w:ascii="Arial Unicode MS" w:hAnsi="Arial Unicode MS"/>
          </w:rPr>
          <w:t>條</w:t>
        </w:r>
      </w:hyperlink>
      <w:r w:rsidR="00203F72" w:rsidRPr="00A53581">
        <w:t>司法院設院長、副院長各一人，由總統提名，經監察院同意任命之。</w:t>
      </w:r>
    </w:p>
    <w:p w14:paraId="1778A1CE" w14:textId="77777777" w:rsidR="00953151" w:rsidRPr="006D68CC" w:rsidRDefault="007F7377" w:rsidP="00D87D91">
      <w:r w:rsidRPr="006D68CC">
        <w:t xml:space="preserve">　　</w:t>
      </w:r>
      <w:r w:rsidR="00203F72" w:rsidRPr="006D68CC">
        <w:t>司法院設大法官若干人，掌理本憲法</w:t>
      </w:r>
      <w:r w:rsidR="00026811" w:rsidRPr="006D68CC">
        <w:t>第</w:t>
      </w:r>
      <w:hyperlink r:id="rId833" w:anchor="a78" w:history="1">
        <w:r w:rsidR="00026811" w:rsidRPr="00026811">
          <w:rPr>
            <w:rStyle w:val="a5"/>
            <w:rFonts w:ascii="Times New Roman" w:eastAsia="新細明體" w:hAnsi="Times New Roman"/>
          </w:rPr>
          <w:t>七十八</w:t>
        </w:r>
      </w:hyperlink>
      <w:r w:rsidR="00026811" w:rsidRPr="006D68CC">
        <w:t>條</w:t>
      </w:r>
      <w:r w:rsidR="00203F72" w:rsidRPr="006D68CC">
        <w:t>規定事項，由總統提名，經監察院同意任命之。</w:t>
      </w:r>
    </w:p>
    <w:p w14:paraId="09E4274B" w14:textId="77777777" w:rsidR="00953151" w:rsidRPr="006D68CC" w:rsidRDefault="00B03E84" w:rsidP="00D87D91">
      <w:r w:rsidRPr="006D68CC">
        <w:t>【內容解析】</w:t>
      </w:r>
    </w:p>
    <w:p w14:paraId="10C4185A" w14:textId="77777777" w:rsidR="00953151" w:rsidRPr="006D68CC" w:rsidRDefault="007F7377" w:rsidP="00D87D91">
      <w:r w:rsidRPr="006D68CC">
        <w:t xml:space="preserve">　　</w:t>
      </w:r>
      <w:r w:rsidR="00203F72" w:rsidRPr="006D68CC">
        <w:t>依憲法增修條</w:t>
      </w:r>
      <w:r w:rsidR="00306E89" w:rsidRPr="00D73718">
        <w:t>文</w:t>
      </w:r>
      <w:hyperlink r:id="rId834" w:anchor="b5" w:history="1">
        <w:r w:rsidR="00306E89" w:rsidRPr="00306E89">
          <w:rPr>
            <w:rStyle w:val="a5"/>
            <w:rFonts w:ascii="Times New Roman" w:hAnsi="Times New Roman"/>
          </w:rPr>
          <w:t>第</w:t>
        </w:r>
        <w:r w:rsidR="00306E89" w:rsidRPr="00306E89">
          <w:rPr>
            <w:rStyle w:val="a5"/>
            <w:rFonts w:ascii="Times New Roman" w:hAnsi="Times New Roman"/>
          </w:rPr>
          <w:t>5</w:t>
        </w:r>
        <w:r w:rsidR="00306E89" w:rsidRPr="00306E89">
          <w:rPr>
            <w:rStyle w:val="a5"/>
            <w:rFonts w:ascii="Times New Roman" w:hAnsi="Times New Roman"/>
          </w:rPr>
          <w:t>條</w:t>
        </w:r>
      </w:hyperlink>
      <w:r w:rsidR="00203F72" w:rsidRPr="006D68CC">
        <w:t>之規定，司法院設大法官十五人，並以其中一人為院長、一人為副院長，由總統提名，經立法院同意任命之，自中華民國九十二年起實施，不適用憲法第</w:t>
      </w:r>
      <w:hyperlink r:id="rId835" w:anchor="a76" w:history="1">
        <w:r w:rsidR="00203F72" w:rsidRPr="006E4258">
          <w:rPr>
            <w:rStyle w:val="a5"/>
            <w:rFonts w:ascii="Times New Roman" w:eastAsia="新細明體" w:hAnsi="Times New Roman"/>
          </w:rPr>
          <w:t>七十九</w:t>
        </w:r>
      </w:hyperlink>
      <w:r w:rsidR="00203F72" w:rsidRPr="006D68CC">
        <w:t>條之規定。於民國八十九年四月二十五日，我國公布憲法第六次增修條文，關於大法官同意權之行使，改為業已改由「經立法院同意任命之」</w:t>
      </w:r>
      <w:r w:rsidR="00203F72" w:rsidRPr="006D68CC">
        <w:footnoteReference w:id="82"/>
      </w:r>
      <w:r w:rsidR="00203F72" w:rsidRPr="006D68CC">
        <w:t>。</w:t>
      </w:r>
    </w:p>
    <w:p w14:paraId="4DE6FFB3" w14:textId="77777777" w:rsidR="00953151" w:rsidRDefault="00076467" w:rsidP="00767F37">
      <w:pPr>
        <w:pStyle w:val="2"/>
      </w:pPr>
      <w:hyperlink r:id="rId836" w:anchor="a80" w:history="1">
        <w:r w:rsidR="005D5A46">
          <w:rPr>
            <w:rStyle w:val="a5"/>
            <w:rFonts w:ascii="Arial Unicode MS" w:hAnsi="Arial Unicode MS"/>
          </w:rPr>
          <w:t>第</w:t>
        </w:r>
        <w:r w:rsidR="00203F72" w:rsidRPr="00AB0A74">
          <w:rPr>
            <w:rStyle w:val="a5"/>
            <w:rFonts w:ascii="Arial Unicode MS" w:hAnsi="Arial Unicode MS"/>
          </w:rPr>
          <w:t>80</w:t>
        </w:r>
        <w:r w:rsidR="005D5A46">
          <w:rPr>
            <w:rStyle w:val="a5"/>
            <w:rFonts w:ascii="Arial Unicode MS" w:hAnsi="Arial Unicode MS"/>
          </w:rPr>
          <w:t>條</w:t>
        </w:r>
      </w:hyperlink>
      <w:r w:rsidR="00203F72" w:rsidRPr="00A53581">
        <w:t>法官須超出黨派以外，依據法律獨立審判，不受任何干涉。</w:t>
      </w:r>
    </w:p>
    <w:p w14:paraId="31EC490D" w14:textId="77777777" w:rsidR="00203F72" w:rsidRPr="006D68CC" w:rsidRDefault="00B03E84" w:rsidP="00D87D91">
      <w:r w:rsidRPr="006D68CC">
        <w:t>【內容解析】</w:t>
      </w:r>
    </w:p>
    <w:p w14:paraId="50BB3517" w14:textId="77777777" w:rsidR="00953151" w:rsidRPr="006D68CC" w:rsidRDefault="007F7377" w:rsidP="00D87D91">
      <w:r w:rsidRPr="006D68CC">
        <w:t xml:space="preserve">　　</w:t>
      </w:r>
      <w:r w:rsidR="00203F72" w:rsidRPr="006D68CC">
        <w:t>為提供法官之法律獨立審判之制度空間，司法院釋</w:t>
      </w:r>
      <w:r w:rsidR="00043F97" w:rsidRPr="00DE63F7">
        <w:t>字</w:t>
      </w:r>
      <w:hyperlink r:id="rId837"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6D68CC">
        <w:t>解釋認為：「國家機關獨立行使職權受憲法之保障者，例如法官依據法律獨立審判，不受任何干涉，</w:t>
      </w:r>
      <w:r w:rsidR="00203F72" w:rsidRPr="006D68CC">
        <w:t>…</w:t>
      </w:r>
      <w:r w:rsidR="00203F72" w:rsidRPr="006D68CC">
        <w:t>，憲法</w:t>
      </w:r>
      <w:r w:rsidR="006B7176" w:rsidRPr="00686D2C">
        <w:t>第</w:t>
      </w:r>
      <w:hyperlink r:id="rId838" w:anchor="a80" w:history="1">
        <w:r w:rsidR="006B7176" w:rsidRPr="006B7176">
          <w:rPr>
            <w:rStyle w:val="a5"/>
            <w:rFonts w:ascii="Times New Roman" w:eastAsia="新細明體" w:hAnsi="Times New Roman"/>
          </w:rPr>
          <w:t>八十</w:t>
        </w:r>
      </w:hyperlink>
      <w:r w:rsidR="006B7176" w:rsidRPr="00686D2C">
        <w:t>條</w:t>
      </w:r>
      <w:r w:rsidR="00203F72" w:rsidRPr="006D68CC">
        <w:t>、</w:t>
      </w:r>
      <w:r w:rsidR="00B23D06" w:rsidRPr="00DE63F7">
        <w:t>第</w:t>
      </w:r>
      <w:hyperlink r:id="rId839" w:anchor="a88" w:history="1">
        <w:r w:rsidR="00B23D06" w:rsidRPr="00B23D06">
          <w:rPr>
            <w:rStyle w:val="a5"/>
            <w:rFonts w:ascii="Times New Roman" w:eastAsia="新細明體" w:hAnsi="Times New Roman"/>
          </w:rPr>
          <w:t>八十八</w:t>
        </w:r>
      </w:hyperlink>
      <w:r w:rsidR="00B23D06" w:rsidRPr="00DE63F7">
        <w:t>條</w:t>
      </w:r>
      <w:r w:rsidR="00203F72" w:rsidRPr="006D68CC">
        <w:t>、</w:t>
      </w:r>
      <w:hyperlink r:id="rId840" w:history="1">
        <w:r w:rsidR="00203F72" w:rsidRPr="00504052">
          <w:rPr>
            <w:rStyle w:val="a5"/>
            <w:rFonts w:ascii="Times New Roman" w:eastAsia="新細明體" w:hAnsi="Times New Roman"/>
          </w:rPr>
          <w:t>憲法增修條</w:t>
        </w:r>
        <w:r w:rsidR="00B23D06" w:rsidRPr="00504052">
          <w:rPr>
            <w:rStyle w:val="a5"/>
            <w:rFonts w:ascii="Times New Roman" w:eastAsia="新細明體" w:hAnsi="Times New Roman"/>
          </w:rPr>
          <w:t>文</w:t>
        </w:r>
      </w:hyperlink>
      <w:r w:rsidR="00B23D06" w:rsidRPr="00DE63F7">
        <w:t>第</w:t>
      </w:r>
      <w:r w:rsidR="00B23D06" w:rsidRPr="00504052">
        <w:t>十五</w:t>
      </w:r>
      <w:r w:rsidR="00B23D06" w:rsidRPr="00DE63F7">
        <w:t>條</w:t>
      </w:r>
      <w:r w:rsidR="00203F72" w:rsidRPr="006D68CC">
        <w:t>第六項均有明文保障；而檢察官之偵查與法官之刑事審判，同為國家刑罰權正確行使之重要程序，兩者具有密切關係，除受檢察一體之拘束外，其對外獨立行使職權，亦應同受保障。</w:t>
      </w:r>
      <w:r w:rsidR="00203F72" w:rsidRPr="006D68CC">
        <w:t>…</w:t>
      </w:r>
      <w:r w:rsidR="00203F72" w:rsidRPr="006D68CC">
        <w:t>上述人員之職權，既應獨立行使，自必須在免於外力干涉下獨立判斷。故如司法機關審理案件所表示之法律見解、</w:t>
      </w:r>
      <w:r w:rsidR="00203F72" w:rsidRPr="006D68CC">
        <w:t>…</w:t>
      </w:r>
      <w:r w:rsidR="00203F72" w:rsidRPr="006D68CC">
        <w:t>以及訴訟案件在裁判確定前就偵查、審判所為之處置及其卷證等，監察院對之行使調查權，本受有限制，基於同一理由，立法院之調閱檔，亦同受限制。」</w:t>
      </w:r>
    </w:p>
    <w:p w14:paraId="38F08421" w14:textId="77777777" w:rsidR="00953151" w:rsidRPr="006D68CC" w:rsidRDefault="007F7377" w:rsidP="00D87D91">
      <w:r w:rsidRPr="006D68CC">
        <w:t xml:space="preserve">　　</w:t>
      </w:r>
      <w:r w:rsidR="00203F72" w:rsidRPr="006D68CC">
        <w:t>司法院及其所屬之各級司法機關必須獨立於其他各機關、黨派之外，監察院對之行使調查權，立法院之調閱檔，亦同受限制，以確保人民之司法權益不受損害。同時，司法院對於所屬之法院，所做之司法判決，必須尊重，與行政院對其所屬行政機關具有指揮監督之關係不同，此乃司法獨立審判不受任何干涉之精神。</w:t>
      </w:r>
    </w:p>
    <w:p w14:paraId="7E09B87B" w14:textId="77777777" w:rsidR="00953151" w:rsidRDefault="00076467" w:rsidP="00767F37">
      <w:pPr>
        <w:pStyle w:val="2"/>
      </w:pPr>
      <w:hyperlink r:id="rId841" w:anchor="a81" w:history="1">
        <w:r w:rsidR="005D5A46">
          <w:rPr>
            <w:rStyle w:val="a5"/>
            <w:rFonts w:ascii="Arial Unicode MS" w:hAnsi="Arial Unicode MS"/>
          </w:rPr>
          <w:t>第</w:t>
        </w:r>
        <w:r w:rsidR="00203F72" w:rsidRPr="00AB0A74">
          <w:rPr>
            <w:rStyle w:val="a5"/>
            <w:rFonts w:ascii="Arial Unicode MS" w:hAnsi="Arial Unicode MS"/>
          </w:rPr>
          <w:t>81</w:t>
        </w:r>
        <w:r w:rsidR="005D5A46">
          <w:rPr>
            <w:rStyle w:val="a5"/>
            <w:rFonts w:ascii="Arial Unicode MS" w:hAnsi="Arial Unicode MS"/>
          </w:rPr>
          <w:t>條</w:t>
        </w:r>
      </w:hyperlink>
      <w:r w:rsidR="00203F72" w:rsidRPr="00A53581">
        <w:t>法官為終身職，非受刑事或懲戒處分，或禁治產之宣告，不得免職。非依法律，不得停職、轉任或減俸。</w:t>
      </w:r>
    </w:p>
    <w:p w14:paraId="55F7465C" w14:textId="77777777" w:rsidR="00953151" w:rsidRPr="006D68CC" w:rsidRDefault="00B03E84" w:rsidP="00D87D91">
      <w:r w:rsidRPr="006D68CC">
        <w:t>【內容解析】</w:t>
      </w:r>
    </w:p>
    <w:p w14:paraId="0A53250C" w14:textId="77777777" w:rsidR="00953151" w:rsidRPr="006D68CC" w:rsidRDefault="007F7377" w:rsidP="00D87D91">
      <w:r w:rsidRPr="006D68CC">
        <w:t xml:space="preserve">　　</w:t>
      </w:r>
      <w:r w:rsidR="00203F72" w:rsidRPr="006D68CC">
        <w:t>本條文旨意，在提供法官獨立審判與判斷之制度設計。依憲法增修條</w:t>
      </w:r>
      <w:r w:rsidR="00306E89" w:rsidRPr="00D73718">
        <w:t>文</w:t>
      </w:r>
      <w:hyperlink r:id="rId842" w:anchor="b5" w:history="1">
        <w:r w:rsidR="00306E89" w:rsidRPr="00306E89">
          <w:rPr>
            <w:rStyle w:val="a5"/>
            <w:rFonts w:ascii="Times New Roman" w:hAnsi="Times New Roman"/>
          </w:rPr>
          <w:t>第</w:t>
        </w:r>
        <w:r w:rsidR="00306E89" w:rsidRPr="00306E89">
          <w:rPr>
            <w:rStyle w:val="a5"/>
            <w:rFonts w:ascii="Times New Roman" w:hAnsi="Times New Roman"/>
          </w:rPr>
          <w:t>5</w:t>
        </w:r>
        <w:r w:rsidR="00306E89" w:rsidRPr="00306E89">
          <w:rPr>
            <w:rStyle w:val="a5"/>
            <w:rFonts w:ascii="Times New Roman" w:hAnsi="Times New Roman"/>
          </w:rPr>
          <w:t>條</w:t>
        </w:r>
      </w:hyperlink>
      <w:r w:rsidR="00203F72" w:rsidRPr="006D68CC">
        <w:t>之規定，司法院大法官除法官轉任者外，不適用憲法第</w:t>
      </w:r>
      <w:hyperlink r:id="rId843" w:anchor="a81" w:history="1">
        <w:r w:rsidR="00203F72" w:rsidRPr="00A5515A">
          <w:rPr>
            <w:rStyle w:val="a5"/>
            <w:rFonts w:ascii="Times New Roman" w:eastAsia="新細明體" w:hAnsi="Times New Roman"/>
          </w:rPr>
          <w:t>八十一</w:t>
        </w:r>
      </w:hyperlink>
      <w:r w:rsidR="00203F72" w:rsidRPr="006D68CC">
        <w:t>條及有關法官終身職待遇之規定。司法院大法官任期八年，不分屆次，個別計算，並不得連任。但並為院長、副院長之大法官，不受任期之保障。中華民國九十二年總統提名之大法官，其中八位大法官，含院長、副院長，任期四年，其餘大法官任期為八年，不適用前項任期之規定。</w:t>
      </w:r>
    </w:p>
    <w:p w14:paraId="32C0E6DF" w14:textId="77777777" w:rsidR="00953151" w:rsidRDefault="00076467" w:rsidP="00767F37">
      <w:pPr>
        <w:pStyle w:val="2"/>
      </w:pPr>
      <w:hyperlink r:id="rId844" w:anchor="a82" w:history="1">
        <w:r w:rsidR="005D5A46">
          <w:rPr>
            <w:rStyle w:val="a5"/>
            <w:rFonts w:ascii="Arial Unicode MS" w:hAnsi="Arial Unicode MS"/>
          </w:rPr>
          <w:t>第</w:t>
        </w:r>
        <w:r w:rsidR="00203F72" w:rsidRPr="00AB0A74">
          <w:rPr>
            <w:rStyle w:val="a5"/>
            <w:rFonts w:ascii="Arial Unicode MS" w:hAnsi="Arial Unicode MS"/>
          </w:rPr>
          <w:t>82</w:t>
        </w:r>
        <w:r w:rsidR="005D5A46">
          <w:rPr>
            <w:rStyle w:val="a5"/>
            <w:rFonts w:ascii="Arial Unicode MS" w:hAnsi="Arial Unicode MS"/>
          </w:rPr>
          <w:t>條</w:t>
        </w:r>
      </w:hyperlink>
      <w:r w:rsidR="00203F72" w:rsidRPr="00A53581">
        <w:t>司法院及各級法院之組織，以法律定之。</w:t>
      </w:r>
    </w:p>
    <w:p w14:paraId="2D65C49E" w14:textId="77777777" w:rsidR="00953151" w:rsidRPr="006D68CC" w:rsidRDefault="00B03E84" w:rsidP="00D87D91">
      <w:r w:rsidRPr="006D68CC">
        <w:t>【內容解析】</w:t>
      </w:r>
    </w:p>
    <w:p w14:paraId="34349F71" w14:textId="77777777" w:rsidR="00953151" w:rsidRPr="006D68CC" w:rsidRDefault="007F7377" w:rsidP="00D87D91">
      <w:r w:rsidRPr="006D68CC">
        <w:t xml:space="preserve">　　</w:t>
      </w:r>
      <w:r w:rsidR="00203F72" w:rsidRPr="006D68CC">
        <w:t>司法院各組織以司法院組織法定之，司法院設各級法院、行政法院及公務員懲戒委員會；其組織各以司法院組織法、法院組織法、行政法院組織法、公務人員懲戒委員會組織法定之。依司法院組織法之規定，司法院設左列各廳：一、民事廳。二、刑事廳。三、行政訴訟及懲戒廳。四、少年及家事廳。五、司法行政廳。</w:t>
      </w:r>
    </w:p>
    <w:p w14:paraId="61D574CF" w14:textId="77777777" w:rsidR="00953151" w:rsidRPr="006D68CC" w:rsidRDefault="007F7377" w:rsidP="00D87D91">
      <w:r w:rsidRPr="006D68CC">
        <w:t xml:space="preserve">　　</w:t>
      </w:r>
      <w:r w:rsidR="00203F72" w:rsidRPr="006D68CC">
        <w:t>依法院組織法規定，法院審判民事、刑事及其他法律規定之訴訟案件，並依法管轄非訟事件，法院分下列三級：一、地方法院。二、高等法院。三、最高法院。行政法院組織法將行政法院分為：高等行政法院及最高行政法院。高等行政法院之審判，以法官三人合議行之。最高行政法院之審判，以法官五人合議行之。</w:t>
      </w:r>
    </w:p>
    <w:p w14:paraId="54EF2355" w14:textId="77777777" w:rsidR="00953151" w:rsidRPr="006D68CC" w:rsidRDefault="007F7377" w:rsidP="00D87D91">
      <w:r w:rsidRPr="006D68CC">
        <w:t xml:space="preserve">　　</w:t>
      </w:r>
      <w:r w:rsidR="00203F72" w:rsidRPr="006D68CC">
        <w:t>公務人員懲戒委員會組織法明定公務員懲戒委員會掌理全國公務員之懲戒，依法審</w:t>
      </w:r>
      <w:r w:rsidR="00203F72" w:rsidRPr="00A53581">
        <w:t>議</w:t>
      </w:r>
      <w:r w:rsidR="00203F72" w:rsidRPr="006D68CC">
        <w:t>懲戒案件，不受任何干涉。審議懲戒案件時，以委員長為主席；委員長因事不能出席時，由委員長指定委員一人為主席。委員會置委員九人至十五人，簡任第十四職等；委員長一人，特任，並任委員。委員應具有下列資格之一：一、曾任公務員懲戒委員會委員者。二、曾任簡任司法官、行政法院簡任評事八年以上，或曾任簡任司法官、行政法院簡任評事，並任簡任行政官合計八年以上者。三、曾任教育部審定合格之大學教授，講授法律主要科目八年以上，具有簡任公務員任用資格者。前項委員，應有三分之二以上曾任司法官及行政法院評事者。</w:t>
      </w:r>
    </w:p>
    <w:p w14:paraId="752B5090" w14:textId="77777777" w:rsidR="00953151" w:rsidRPr="006D68CC" w:rsidRDefault="007F7377" w:rsidP="00D87D91">
      <w:r w:rsidRPr="006D68CC">
        <w:t xml:space="preserve">　　</w:t>
      </w:r>
      <w:r w:rsidR="00203F72" w:rsidRPr="006D68CC">
        <w:t>公務員懲戒委員會委員長應具有下列資格之一，並有領導才能者遴任之：一、曾任司法院大法官、公務員懲戒委員會委員長、最高法院院長、最高法院檢察署檢察總長或行政法院院長者。二、曾任公務員懲戒委員會委員三年以上，或曾任最高法院法官、最高法院檢察署檢察官、行政法院評事、高等法院院長或高等法院檢察署檢察長合計八年以上者。三、曾任簡任司法官十二年以上，或曾任簡任司法官，並任簡任行政官合計十二年以上者。</w:t>
      </w:r>
    </w:p>
    <w:p w14:paraId="19BE989B" w14:textId="77777777"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3FF12230" w14:textId="77777777" w:rsidR="00545D58" w:rsidRDefault="00545D58" w:rsidP="00D87D91"/>
    <w:p w14:paraId="20B967E7" w14:textId="77777777" w:rsidR="00953151" w:rsidRDefault="00203F72" w:rsidP="00767F37">
      <w:pPr>
        <w:pStyle w:val="2"/>
      </w:pPr>
      <w:bookmarkStart w:id="35" w:name="_第八章_考試"/>
      <w:bookmarkEnd w:id="35"/>
      <w:r w:rsidRPr="00A53581">
        <w:t>第八章</w:t>
      </w:r>
      <w:r w:rsidRPr="00A53581">
        <w:t xml:space="preserve"> </w:t>
      </w:r>
      <w:r w:rsidRPr="00A53581">
        <w:t>考試</w:t>
      </w:r>
      <w:r w:rsidRPr="00A53581">
        <w:t xml:space="preserve"> </w:t>
      </w:r>
    </w:p>
    <w:p w14:paraId="03D3C1F1" w14:textId="77777777" w:rsidR="00953151" w:rsidRDefault="00076467" w:rsidP="00767F37">
      <w:pPr>
        <w:pStyle w:val="2"/>
      </w:pPr>
      <w:hyperlink r:id="rId845" w:anchor="a83" w:history="1">
        <w:r w:rsidR="005D5A46">
          <w:rPr>
            <w:rStyle w:val="a5"/>
            <w:rFonts w:ascii="Arial Unicode MS" w:hAnsi="Arial Unicode MS"/>
          </w:rPr>
          <w:t>第</w:t>
        </w:r>
        <w:r w:rsidR="00203F72" w:rsidRPr="00AB0A74">
          <w:rPr>
            <w:rStyle w:val="a5"/>
            <w:rFonts w:ascii="Arial Unicode MS" w:hAnsi="Arial Unicode MS"/>
          </w:rPr>
          <w:t>83</w:t>
        </w:r>
        <w:r w:rsidR="005D5A46">
          <w:rPr>
            <w:rStyle w:val="a5"/>
            <w:rFonts w:ascii="Arial Unicode MS" w:hAnsi="Arial Unicode MS"/>
          </w:rPr>
          <w:t>條</w:t>
        </w:r>
      </w:hyperlink>
      <w:r w:rsidR="00203F72" w:rsidRPr="00A53581">
        <w:t>考試院為國家最高考試機關，掌理考試、任用、銓敘、考績、級俸、陞遷、保障、褒獎、撫卹、退休、養老等事項。</w:t>
      </w:r>
    </w:p>
    <w:p w14:paraId="6DC3F6CA" w14:textId="77777777" w:rsidR="00953151" w:rsidRPr="006D68CC" w:rsidRDefault="00B03E84" w:rsidP="00D87D91">
      <w:r w:rsidRPr="006D68CC">
        <w:t>【內容解析】</w:t>
      </w:r>
    </w:p>
    <w:p w14:paraId="11DFA516" w14:textId="77777777" w:rsidR="00953151" w:rsidRDefault="007F7377" w:rsidP="00D87D91">
      <w:r w:rsidRPr="006D68CC">
        <w:t xml:space="preserve">　　</w:t>
      </w:r>
      <w:r w:rsidR="00203F72" w:rsidRPr="006D68CC">
        <w:t>為避免濫用私人之流弊，保障民眾工作權及為國舉賢，因此將考試制度獨立於行政體系之外，成立考試院。考試院正式成立於民國十九年，為國家執行考試及人事制度最高機關，地位與其他四院相同，不受其他機關之節制。對各機關執行有關考銓業務並有監督之權，掌理全國考試及公務員人事制度，如公務員任用、銓敘、考績、級俸、陞遷、保障、褒獎、撫卹、退休、養老等事項。</w:t>
      </w:r>
    </w:p>
    <w:p w14:paraId="4BCD00A7" w14:textId="77777777" w:rsidR="00A5515A" w:rsidRPr="006D68CC" w:rsidRDefault="00A5515A" w:rsidP="00D87D91"/>
    <w:p w14:paraId="129EE156" w14:textId="03232DD3" w:rsidR="00203F72" w:rsidRPr="006D68CC" w:rsidRDefault="00B03E84" w:rsidP="00D87D91">
      <w:r w:rsidRPr="006D68CC">
        <w:t>【</w:t>
      </w:r>
      <w:r w:rsidRPr="006D68CC">
        <w:t>table</w:t>
      </w:r>
      <w:r w:rsidR="005E23E3" w:rsidRPr="006D68C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54</w:t>
      </w:r>
      <w:r w:rsidR="00076467">
        <w:rPr>
          <w:noProof/>
        </w:rPr>
        <w:fldChar w:fldCharType="end"/>
      </w:r>
      <w:r w:rsidR="00203F72" w:rsidRPr="006D68CC">
        <w:t>考試之意義、內涵與分類</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7061"/>
      </w:tblGrid>
      <w:tr w:rsidR="00203F72" w:rsidRPr="00A53581" w14:paraId="1A1AA05F" w14:textId="77777777" w:rsidTr="00203F72">
        <w:tc>
          <w:tcPr>
            <w:tcW w:w="613" w:type="pct"/>
            <w:shd w:val="clear" w:color="auto" w:fill="auto"/>
          </w:tcPr>
          <w:p w14:paraId="74374B79" w14:textId="77777777" w:rsidR="00203F72" w:rsidRPr="00A53581" w:rsidRDefault="00203F72" w:rsidP="00D87D91">
            <w:r w:rsidRPr="00A53581">
              <w:t>(</w:t>
            </w:r>
            <w:r w:rsidRPr="00A53581">
              <w:t>一</w:t>
            </w:r>
            <w:r w:rsidRPr="00A53581">
              <w:t>)</w:t>
            </w:r>
            <w:r w:rsidRPr="00A53581">
              <w:t>狹義</w:t>
            </w:r>
          </w:p>
        </w:tc>
        <w:tc>
          <w:tcPr>
            <w:tcW w:w="4387" w:type="pct"/>
            <w:shd w:val="clear" w:color="auto" w:fill="auto"/>
          </w:tcPr>
          <w:p w14:paraId="085759BF" w14:textId="77777777" w:rsidR="00203F72" w:rsidRPr="00A53581" w:rsidRDefault="00203F72" w:rsidP="00D87D91">
            <w:r w:rsidRPr="00A53581">
              <w:rPr>
                <w:rFonts w:cs="細明體_HKSCS" w:hint="eastAsia"/>
              </w:rPr>
              <w:t>指應考人員，於規定之場所及時間，用筆書或口述，解答問題，以決定應考人之錄取與否而言</w:t>
            </w:r>
            <w:r w:rsidRPr="00A53581">
              <w:rPr>
                <w:rFonts w:hint="eastAsia"/>
              </w:rPr>
              <w:t>。即指憲法</w:t>
            </w:r>
            <w:hyperlink r:id="rId846" w:anchor="a83" w:history="1">
              <w:r w:rsidRPr="00504052">
                <w:rPr>
                  <w:rStyle w:val="a5"/>
                  <w:rFonts w:eastAsia="新細明體" w:hint="eastAsia"/>
                  <w:kern w:val="0"/>
                </w:rPr>
                <w:t>第83條</w:t>
              </w:r>
            </w:hyperlink>
            <w:r w:rsidRPr="00A53581">
              <w:rPr>
                <w:rFonts w:hint="eastAsia"/>
              </w:rPr>
              <w:t>所列之考試，此如憲</w:t>
            </w:r>
            <w:r w:rsidR="00306E89" w:rsidRPr="00515D85">
              <w:t>法</w:t>
            </w:r>
            <w:hyperlink r:id="rId847" w:anchor="a85" w:history="1">
              <w:r w:rsidR="00306E89" w:rsidRPr="00306E89">
                <w:rPr>
                  <w:rStyle w:val="a5"/>
                  <w:rFonts w:ascii="Times New Roman" w:hAnsi="Times New Roman"/>
                </w:rPr>
                <w:t>第</w:t>
              </w:r>
              <w:r w:rsidR="00306E89" w:rsidRPr="00306E89">
                <w:rPr>
                  <w:rStyle w:val="a5"/>
                  <w:rFonts w:ascii="Times New Roman" w:hAnsi="Times New Roman"/>
                </w:rPr>
                <w:t>85</w:t>
              </w:r>
              <w:r w:rsidR="00306E89" w:rsidRPr="00306E89">
                <w:rPr>
                  <w:rStyle w:val="a5"/>
                  <w:rFonts w:ascii="Times New Roman" w:hAnsi="Times New Roman"/>
                </w:rPr>
                <w:t>條</w:t>
              </w:r>
            </w:hyperlink>
            <w:r w:rsidRPr="00A53581">
              <w:rPr>
                <w:rFonts w:hint="eastAsia"/>
              </w:rPr>
              <w:t>規定：「公務人員之選拔，應實行公開競爭之考試制度，非經考試及格者，不得任用。」故公務人員考試法所指之高普或初等考試，及其他特種考試，均指狹義而言。</w:t>
            </w:r>
          </w:p>
        </w:tc>
      </w:tr>
      <w:tr w:rsidR="00203F72" w:rsidRPr="00A53581" w14:paraId="192ED6A5" w14:textId="77777777" w:rsidTr="00203F72">
        <w:tc>
          <w:tcPr>
            <w:tcW w:w="613" w:type="pct"/>
            <w:shd w:val="clear" w:color="auto" w:fill="auto"/>
          </w:tcPr>
          <w:p w14:paraId="0A8727E5" w14:textId="77777777" w:rsidR="00203F72" w:rsidRPr="00A53581" w:rsidRDefault="00203F72" w:rsidP="00D87D91">
            <w:r w:rsidRPr="00A53581">
              <w:t>(</w:t>
            </w:r>
            <w:r w:rsidRPr="00A53581">
              <w:t>二</w:t>
            </w:r>
            <w:r w:rsidRPr="00A53581">
              <w:t>)</w:t>
            </w:r>
            <w:r w:rsidRPr="00A53581">
              <w:t>廣義</w:t>
            </w:r>
          </w:p>
        </w:tc>
        <w:tc>
          <w:tcPr>
            <w:tcW w:w="4387" w:type="pct"/>
            <w:shd w:val="clear" w:color="auto" w:fill="auto"/>
          </w:tcPr>
          <w:p w14:paraId="7E122553" w14:textId="77777777" w:rsidR="00203F72" w:rsidRPr="00A53581" w:rsidRDefault="00203F72" w:rsidP="00D87D91">
            <w:r w:rsidRPr="00A53581">
              <w:rPr>
                <w:rFonts w:cs="細明體_HKSCS" w:hint="eastAsia"/>
              </w:rPr>
              <w:t>即不論採何種方式，祇要能用之於測驗、檢覈或審查應考人之學識、能力經驗與資格均屬之</w:t>
            </w:r>
            <w:r w:rsidRPr="00A53581">
              <w:rPr>
                <w:rFonts w:hint="eastAsia"/>
              </w:rPr>
              <w:t>。如我國憲</w:t>
            </w:r>
            <w:r w:rsidR="00504052" w:rsidRPr="00A53581">
              <w:rPr>
                <w:rFonts w:hint="eastAsia"/>
              </w:rPr>
              <w:t>法</w:t>
            </w:r>
            <w:hyperlink r:id="rId848" w:anchor="a83" w:history="1">
              <w:r w:rsidR="00504052" w:rsidRPr="00504052">
                <w:rPr>
                  <w:rStyle w:val="a5"/>
                  <w:rFonts w:eastAsia="新細明體" w:hint="eastAsia"/>
                  <w:kern w:val="0"/>
                </w:rPr>
                <w:t>第83條</w:t>
              </w:r>
            </w:hyperlink>
            <w:r w:rsidRPr="00A53581">
              <w:rPr>
                <w:rFonts w:hint="eastAsia"/>
              </w:rPr>
              <w:t>規定：「考試院為國家最高考試機關，掌理考試、任用、銓敘、考績、級俸、陞遷、保障、褒獎、撫卹、退休、養老等事項。」係指廣義之考試而言。</w:t>
            </w:r>
          </w:p>
        </w:tc>
      </w:tr>
    </w:tbl>
    <w:p w14:paraId="34ED243A" w14:textId="77777777" w:rsidR="00953151" w:rsidRPr="006D68CC" w:rsidRDefault="00B76D62" w:rsidP="00D87D91">
      <w:r w:rsidRPr="006D68CC">
        <w:t>【本表資料來源】</w:t>
      </w:r>
      <w:r w:rsidR="00203F72" w:rsidRPr="006D68CC">
        <w:t>謝瑞智、謝世維</w:t>
      </w:r>
      <w:r w:rsidR="00203F72" w:rsidRPr="006D68CC">
        <w:t>(2010)</w:t>
      </w:r>
      <w:r w:rsidR="00203F72" w:rsidRPr="006D68CC">
        <w:t>，憲法概要，增訂</w:t>
      </w:r>
      <w:r w:rsidR="00203F72" w:rsidRPr="006D68CC">
        <w:t>14</w:t>
      </w:r>
      <w:r w:rsidR="00203F72" w:rsidRPr="006D68CC">
        <w:t>版，台北市：文笙書局，第</w:t>
      </w:r>
      <w:r w:rsidR="00203F72" w:rsidRPr="006D68CC">
        <w:t>227</w:t>
      </w:r>
      <w:r w:rsidR="00203F72" w:rsidRPr="006D68CC">
        <w:t>頁。</w:t>
      </w:r>
    </w:p>
    <w:p w14:paraId="089385F6" w14:textId="77777777" w:rsidR="00953151" w:rsidRPr="006D68CC" w:rsidRDefault="007F7377" w:rsidP="00D87D91">
      <w:r w:rsidRPr="006D68CC">
        <w:t xml:space="preserve">　　</w:t>
      </w:r>
      <w:r w:rsidR="00203F72" w:rsidRPr="006D68CC">
        <w:t>司法院釋</w:t>
      </w:r>
      <w:r w:rsidR="00306E89" w:rsidRPr="00686D2C">
        <w:t>字</w:t>
      </w:r>
      <w:hyperlink r:id="rId849" w:anchor="r682" w:history="1">
        <w:r w:rsidR="00306E89" w:rsidRPr="00306E89">
          <w:rPr>
            <w:rStyle w:val="a5"/>
            <w:rFonts w:ascii="Times New Roman" w:hAnsi="Times New Roman"/>
          </w:rPr>
          <w:t>第</w:t>
        </w:r>
        <w:r w:rsidR="00306E89" w:rsidRPr="00306E89">
          <w:rPr>
            <w:rStyle w:val="a5"/>
            <w:rFonts w:ascii="Times New Roman" w:hAnsi="Times New Roman"/>
          </w:rPr>
          <w:t>682</w:t>
        </w:r>
        <w:r w:rsidR="00306E89" w:rsidRPr="00306E89">
          <w:rPr>
            <w:rStyle w:val="a5"/>
            <w:rFonts w:ascii="Times New Roman" w:hAnsi="Times New Roman"/>
          </w:rPr>
          <w:t>號</w:t>
        </w:r>
      </w:hyperlink>
      <w:r w:rsidR="00203F72" w:rsidRPr="006D68CC">
        <w:t>解釋認為：「憲法設考試院賦予考試權，由總統提名、經立法院同意而任命之考試委員，以合議之方式獨立行使，旨在建立公平公正之考試制度」考試院以合議之方式獨立行使，建立公平公正之考試制度，以防範並杜絕考試徇私舞弊。行政院設人事行政總處掌管行政院人事，但依行政院人事行政總處組織法規定，該總處有關考銓業務，應受考試院監督。另依本法及人事管理條例第</w:t>
      </w:r>
      <w:r w:rsidR="00203F72" w:rsidRPr="006D68CC">
        <w:t>1</w:t>
      </w:r>
      <w:r w:rsidR="00203F72" w:rsidRPr="006D68CC">
        <w:t>條規定中央及地方機關之人事管理，除法律另有規定外，由考試院銓敘部依本條例行之，同時在考試院組織法規定：考試院對於各公務人員之任用，除法律另有規定外，如查有不合法定資格時，得不經懲戒程序，逕請降免。而考試院就其掌理或全國性人事行政事項，得召集有關機關會商解決之。」縱上數項規定，無疑地，可發現考試院仍擁有全國最高人事行政權。</w:t>
      </w:r>
    </w:p>
    <w:p w14:paraId="1E86ED62" w14:textId="77777777" w:rsidR="00953151" w:rsidRPr="006D68CC" w:rsidRDefault="007F7377" w:rsidP="00D87D91">
      <w:r w:rsidRPr="006D68CC">
        <w:t xml:space="preserve">　　</w:t>
      </w:r>
      <w:r w:rsidR="00203F72" w:rsidRPr="006D68CC">
        <w:t>李建良教授認為：「憲法本條規範考試院掌理公務人員之任用與考績，此為行政機關首長人事權之一部分，應屬於行政權之職掌範圍。除了對盡忠職守之人員予以獎賞，對違法失職人員予以懲處，同時也具有殺雞儆猴維持紀律整飭之功效。就憲法基本權力之角度而言，公務員考績懲處制度及其相關規定，為屬於人民服公職權利</w:t>
      </w:r>
      <w:r w:rsidR="00203F72" w:rsidRPr="006D68CC">
        <w:t>(</w:t>
      </w:r>
      <w:r w:rsidR="00203F72" w:rsidRPr="006D68CC">
        <w:t>憲法第</w:t>
      </w:r>
      <w:r w:rsidR="00203F72" w:rsidRPr="006D68CC">
        <w:t>18</w:t>
      </w:r>
      <w:r w:rsidR="00203F72" w:rsidRPr="006D68CC">
        <w:t>條</w:t>
      </w:r>
      <w:r w:rsidR="00203F72" w:rsidRPr="006D68CC">
        <w:t>)</w:t>
      </w:r>
      <w:r w:rsidR="00203F72" w:rsidRPr="006D68CC">
        <w:t>之一種限制，依憲</w:t>
      </w:r>
      <w:r w:rsidR="00B525CE" w:rsidRPr="006D68CC">
        <w:t>法第</w:t>
      </w:r>
      <w:hyperlink r:id="rId850" w:anchor="a23" w:history="1">
        <w:r w:rsidR="00B525CE" w:rsidRPr="006D68CC">
          <w:rPr>
            <w:rStyle w:val="a5"/>
          </w:rPr>
          <w:t>二十三</w:t>
        </w:r>
      </w:hyperlink>
      <w:r w:rsidR="00B525CE" w:rsidRPr="006D68CC">
        <w:t>條</w:t>
      </w:r>
      <w:r w:rsidR="00203F72" w:rsidRPr="006D68CC">
        <w:t>規定，此種限制如符合法律保留、比例原則等憲法原則要求，自非憲法所禁。從人民基本權利觀點來看，亦難指稱懲處制度之存在牴觸憲法。換言之，司法懲戒制度與行政懲處制度，併行制度本身，並未侵犯憲法保障之人民之基本權利</w:t>
      </w:r>
      <w:r w:rsidR="00203F72" w:rsidRPr="006D68CC">
        <w:footnoteReference w:id="83"/>
      </w:r>
      <w:r w:rsidR="00203F72" w:rsidRPr="006D68CC">
        <w:t>。」是以，我國現行有關司法機關執行懲戒，而考試機關執行懲處之兩種機制，兩種制度並行不悖，並不牴觸憲法所保障之人民權利，也達到國家政府選賢用人，機關紀律維護之政治績效。</w:t>
      </w:r>
    </w:p>
    <w:p w14:paraId="394D993A" w14:textId="77777777" w:rsidR="00953151" w:rsidRPr="006D68CC" w:rsidRDefault="007F7377" w:rsidP="00D87D91">
      <w:r w:rsidRPr="006D68CC">
        <w:t xml:space="preserve">　　</w:t>
      </w:r>
      <w:r w:rsidR="00203F72" w:rsidRPr="006D68CC">
        <w:t>另外，依憲法增修條</w:t>
      </w:r>
      <w:r w:rsidR="006937CE" w:rsidRPr="00D73718">
        <w:t>文</w:t>
      </w:r>
      <w:hyperlink r:id="rId851"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6D68CC">
        <w:t>之規定，考試院為國家最高考試機關，掌理左列事項，不適用憲法第</w:t>
      </w:r>
      <w:hyperlink r:id="rId852" w:anchor="a83" w:history="1">
        <w:r w:rsidR="00203F72" w:rsidRPr="00504052">
          <w:rPr>
            <w:rStyle w:val="a5"/>
            <w:rFonts w:ascii="Times New Roman" w:eastAsia="新細明體" w:hAnsi="Times New Roman"/>
          </w:rPr>
          <w:t>八十三</w:t>
        </w:r>
      </w:hyperlink>
      <w:r w:rsidR="00203F72" w:rsidRPr="006D68CC">
        <w:t>條之規定：一、考試。二、公務人員之銓敘、保障、撫卹、退休。三、公務人員任免、考績、級俸、陞遷、褒獎之法制事項。</w:t>
      </w:r>
    </w:p>
    <w:p w14:paraId="70FC0AA1" w14:textId="77777777" w:rsidR="00953151" w:rsidRDefault="00076467" w:rsidP="00767F37">
      <w:pPr>
        <w:pStyle w:val="2"/>
      </w:pPr>
      <w:hyperlink r:id="rId853" w:anchor="a84" w:history="1">
        <w:r w:rsidR="005D5A46">
          <w:rPr>
            <w:rStyle w:val="a5"/>
            <w:rFonts w:ascii="Arial Unicode MS" w:hAnsi="Arial Unicode MS"/>
          </w:rPr>
          <w:t>第</w:t>
        </w:r>
        <w:r w:rsidR="00203F72" w:rsidRPr="00AB0A74">
          <w:rPr>
            <w:rStyle w:val="a5"/>
            <w:rFonts w:ascii="Arial Unicode MS" w:hAnsi="Arial Unicode MS"/>
          </w:rPr>
          <w:t>84</w:t>
        </w:r>
        <w:r w:rsidR="005D5A46">
          <w:rPr>
            <w:rStyle w:val="a5"/>
            <w:rFonts w:ascii="Arial Unicode MS" w:hAnsi="Arial Unicode MS"/>
          </w:rPr>
          <w:t>條</w:t>
        </w:r>
      </w:hyperlink>
      <w:r w:rsidR="00203F72" w:rsidRPr="00A53581">
        <w:t>考試院設院長、副院長各一人，考試委員若干人，由總統提名，經監察院同意任命之。</w:t>
      </w:r>
    </w:p>
    <w:p w14:paraId="1030A40C" w14:textId="77777777" w:rsidR="00953151" w:rsidRPr="006D68CC" w:rsidRDefault="00B03E84" w:rsidP="00D87D91">
      <w:r w:rsidRPr="006D68CC">
        <w:t>【內容解析】</w:t>
      </w:r>
    </w:p>
    <w:p w14:paraId="35122705" w14:textId="77777777" w:rsidR="00953151" w:rsidRPr="006D68CC" w:rsidRDefault="007F7377" w:rsidP="00D87D91">
      <w:r w:rsidRPr="006D68CC">
        <w:t xml:space="preserve">　　</w:t>
      </w:r>
      <w:r w:rsidR="00203F72" w:rsidRPr="006D68CC">
        <w:t>依考試院組織法，考試院設院長、副院長各一人，考試委員若干人。考試院院長綜理院務，並監督所屬機關。院長因事故不能</w:t>
      </w:r>
      <w:r w:rsidR="003E240E">
        <w:t>視</w:t>
      </w:r>
      <w:r w:rsidR="00203F72" w:rsidRPr="006D68CC">
        <w:t>事時，由副院長代理其職務。考試院考試委員之名額，定為十九人。考試委員應具有下列各款資格之一：一、曾任考試委員聲譽卓著者。二、曾任典試委員長而富有貢獻者。三、曾任大學教授十年以上，聲譽卓著，有專門著作者。四、高等考試及格二十年以上，曾任簡任職滿十年，並達最高級，成績卓著，而有專門著作者。五、學識豐富，有特殊著作或發明，或富有政治經驗，聲譽卓著者。依憲法增修條</w:t>
      </w:r>
      <w:r w:rsidR="006937CE" w:rsidRPr="00D73718">
        <w:t>文</w:t>
      </w:r>
      <w:hyperlink r:id="rId854"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6D68CC">
        <w:t>之規定，考試院設院長、副院長各一人，考試委員若干人，由總統提名，經立法院同意任命之，不適用憲法第</w:t>
      </w:r>
      <w:hyperlink r:id="rId855" w:anchor="a84" w:history="1">
        <w:r w:rsidR="00203F72" w:rsidRPr="00884F83">
          <w:rPr>
            <w:rStyle w:val="a5"/>
            <w:rFonts w:ascii="Times New Roman" w:eastAsia="新細明體" w:hAnsi="Times New Roman"/>
          </w:rPr>
          <w:t>八十四</w:t>
        </w:r>
      </w:hyperlink>
      <w:r w:rsidR="00203F72" w:rsidRPr="006D68CC">
        <w:t>條之規定。</w:t>
      </w:r>
    </w:p>
    <w:p w14:paraId="146FA94F" w14:textId="77777777" w:rsidR="00953151" w:rsidRDefault="00076467" w:rsidP="00767F37">
      <w:pPr>
        <w:pStyle w:val="2"/>
      </w:pPr>
      <w:hyperlink r:id="rId856" w:anchor="a85" w:history="1">
        <w:r w:rsidR="005D5A46" w:rsidRPr="00306E89">
          <w:rPr>
            <w:rStyle w:val="a5"/>
            <w:rFonts w:ascii="Arial Unicode MS" w:hAnsi="Arial Unicode MS"/>
          </w:rPr>
          <w:t>第</w:t>
        </w:r>
        <w:r w:rsidR="00203F72" w:rsidRPr="00306E89">
          <w:rPr>
            <w:rStyle w:val="a5"/>
            <w:rFonts w:ascii="Arial Unicode MS" w:hAnsi="Arial Unicode MS"/>
          </w:rPr>
          <w:t>85</w:t>
        </w:r>
        <w:r w:rsidR="005D5A46" w:rsidRPr="00306E89">
          <w:rPr>
            <w:rStyle w:val="a5"/>
            <w:rFonts w:ascii="Arial Unicode MS" w:hAnsi="Arial Unicode MS"/>
          </w:rPr>
          <w:t>條</w:t>
        </w:r>
      </w:hyperlink>
      <w:r w:rsidR="00203F72" w:rsidRPr="00A53581">
        <w:t>公務人員之選拔，應實行公開競爭之考試制度，並應按省區分別規定名額，分區舉行考試。非經考試及格者，不得任用</w:t>
      </w:r>
      <w:r w:rsidR="00203F72" w:rsidRPr="00A53581">
        <w:t xml:space="preserve"> </w:t>
      </w:r>
      <w:r w:rsidR="00203F72" w:rsidRPr="00A53581">
        <w:t>。</w:t>
      </w:r>
    </w:p>
    <w:p w14:paraId="1ABF01E9" w14:textId="77777777" w:rsidR="00953151" w:rsidRPr="006D68CC" w:rsidRDefault="00B03E84" w:rsidP="00D87D91">
      <w:r w:rsidRPr="006D68CC">
        <w:t>【內容解析】</w:t>
      </w:r>
    </w:p>
    <w:p w14:paraId="2CB902B1" w14:textId="77777777" w:rsidR="00953151" w:rsidRDefault="007F7377" w:rsidP="00D87D91">
      <w:r w:rsidRPr="006D68CC">
        <w:t xml:space="preserve">　　</w:t>
      </w:r>
      <w:r w:rsidR="00203F72" w:rsidRPr="006D68CC">
        <w:t>基於工作權、平等權之原則，公務人員選拔，應有公開、公平、公正之考試制度。司法院釋</w:t>
      </w:r>
      <w:r w:rsidR="00306E89" w:rsidRPr="00686D2C">
        <w:t>字</w:t>
      </w:r>
      <w:hyperlink r:id="rId857" w:anchor="r682" w:history="1">
        <w:r w:rsidR="00306E89" w:rsidRPr="00306E89">
          <w:rPr>
            <w:rStyle w:val="a5"/>
            <w:rFonts w:ascii="Times New Roman" w:hAnsi="Times New Roman"/>
          </w:rPr>
          <w:t>第</w:t>
        </w:r>
        <w:r w:rsidR="00306E89" w:rsidRPr="00306E89">
          <w:rPr>
            <w:rStyle w:val="a5"/>
            <w:rFonts w:ascii="Times New Roman" w:hAnsi="Times New Roman"/>
          </w:rPr>
          <w:t>682</w:t>
        </w:r>
        <w:r w:rsidR="00306E89" w:rsidRPr="00306E89">
          <w:rPr>
            <w:rStyle w:val="a5"/>
            <w:rFonts w:ascii="Times New Roman" w:hAnsi="Times New Roman"/>
          </w:rPr>
          <w:t>號</w:t>
        </w:r>
      </w:hyperlink>
      <w:r w:rsidR="00203F72" w:rsidRPr="006D68CC">
        <w:t>解釋認為：「為實踐憲法保障人民應考試權之意旨，國家須設有客觀公平之考試制度，並確保整體考試結果之公正。對於參加考試資格或考試方法之規定，性質上如屬應考試權及工作權之限制，自應符合法律保留原則、比例原則及平等權保障等憲法原則。」</w:t>
      </w:r>
    </w:p>
    <w:p w14:paraId="50A8F8DF" w14:textId="77777777" w:rsidR="00B213D8" w:rsidRPr="006D68CC" w:rsidRDefault="00B213D8" w:rsidP="00D87D91"/>
    <w:p w14:paraId="7D60622B" w14:textId="5A520FC3" w:rsidR="00203F72" w:rsidRPr="006D68CC" w:rsidRDefault="00B03E84" w:rsidP="00D87D91">
      <w:r w:rsidRPr="006D68CC">
        <w:t>【</w:t>
      </w:r>
      <w:r w:rsidRPr="006D68CC">
        <w:t>table</w:t>
      </w:r>
      <w:r w:rsidR="005E23E3" w:rsidRPr="006D68C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55</w:t>
      </w:r>
      <w:r w:rsidR="00076467">
        <w:rPr>
          <w:noProof/>
        </w:rPr>
        <w:fldChar w:fldCharType="end"/>
      </w:r>
      <w:r w:rsidR="00203F72" w:rsidRPr="006D68CC">
        <w:t>我國歷代選拔人才機制</w:t>
      </w:r>
      <w:r w:rsidR="00203F72" w:rsidRPr="006D68CC">
        <w:t>(</w:t>
      </w:r>
      <w:r w:rsidR="00203F72" w:rsidRPr="006D68CC">
        <w:t>考試院之淵源</w:t>
      </w:r>
      <w:r w:rsidR="00203F72" w:rsidRPr="006D68CC">
        <w:t>)</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7061"/>
      </w:tblGrid>
      <w:tr w:rsidR="00203F72" w:rsidRPr="00A53581" w14:paraId="3B747A33" w14:textId="77777777" w:rsidTr="00203F72">
        <w:tc>
          <w:tcPr>
            <w:tcW w:w="534" w:type="pct"/>
            <w:shd w:val="clear" w:color="auto" w:fill="auto"/>
          </w:tcPr>
          <w:p w14:paraId="75A2FFAF" w14:textId="77777777" w:rsidR="00203F72" w:rsidRPr="00A53581" w:rsidRDefault="00203F72" w:rsidP="00D87D91">
            <w:r w:rsidRPr="00A53581">
              <w:t>(</w:t>
            </w:r>
            <w:r w:rsidRPr="00A53581">
              <w:t>一</w:t>
            </w:r>
            <w:r w:rsidRPr="00A53581">
              <w:t>)</w:t>
            </w:r>
            <w:r w:rsidRPr="00A53581">
              <w:t>考選</w:t>
            </w:r>
          </w:p>
        </w:tc>
        <w:tc>
          <w:tcPr>
            <w:tcW w:w="4466" w:type="pct"/>
            <w:shd w:val="clear" w:color="auto" w:fill="auto"/>
          </w:tcPr>
          <w:p w14:paraId="0937C45B" w14:textId="77777777" w:rsidR="00203F72" w:rsidRPr="00A53581" w:rsidRDefault="00203F72" w:rsidP="00D87D91">
            <w:r w:rsidRPr="00A53581">
              <w:rPr>
                <w:rFonts w:cs="細明體_HKSCS" w:hint="eastAsia"/>
              </w:rPr>
              <w:t>周代屬於司徒、宗伯、據史載漢文帝詔舉賢良而親策之，依其所對，以次授職，此為我國考試制度之發端</w:t>
            </w:r>
            <w:r w:rsidRPr="00A53581">
              <w:rPr>
                <w:rFonts w:hint="eastAsia"/>
              </w:rPr>
              <w:t>。至東漢為防州郡濫舉考廉，對於察舉，參用文字考試，諸生試章句，文吏試牋奏，為科舉制度之濫觴，及至隋代，乃由學館考試而取錄的為生徒，由州縣考試而來者為鄉頁，每歲會於尚書省，再試以經義策論。唐試諸生於侍朗省，宋試貢士於禮部，明初初設國子監課試諸生，後復頒科舉條式，確定鄉試、會試、廷試或殿試之制度。清承明制，大同小異，惟至清末將禮部改為學部。民初迭辦縣知事、法官、監獄官、高等及普通文官等考試則由內政部、司法部及國務院之銓敘局專責其事。</w:t>
            </w:r>
          </w:p>
        </w:tc>
      </w:tr>
      <w:tr w:rsidR="00203F72" w:rsidRPr="00A53581" w14:paraId="579DAC26" w14:textId="77777777" w:rsidTr="00203F72">
        <w:tc>
          <w:tcPr>
            <w:tcW w:w="534" w:type="pct"/>
            <w:shd w:val="clear" w:color="auto" w:fill="auto"/>
          </w:tcPr>
          <w:p w14:paraId="7E80D7A2" w14:textId="77777777" w:rsidR="00203F72" w:rsidRPr="00A53581" w:rsidRDefault="00203F72" w:rsidP="00D87D91">
            <w:r w:rsidRPr="00A53581">
              <w:t>(</w:t>
            </w:r>
            <w:r w:rsidRPr="00A53581">
              <w:t>二</w:t>
            </w:r>
            <w:r w:rsidRPr="00A53581">
              <w:t>)</w:t>
            </w:r>
            <w:r w:rsidRPr="00A53581">
              <w:t>銓敘</w:t>
            </w:r>
          </w:p>
        </w:tc>
        <w:tc>
          <w:tcPr>
            <w:tcW w:w="4466" w:type="pct"/>
            <w:shd w:val="clear" w:color="auto" w:fill="auto"/>
          </w:tcPr>
          <w:p w14:paraId="2FDD4B47" w14:textId="77777777" w:rsidR="00203F72" w:rsidRPr="00A53581" w:rsidRDefault="00203F72" w:rsidP="00D87D91">
            <w:r w:rsidRPr="00A53581">
              <w:rPr>
                <w:rFonts w:cs="細明體_HKSCS" w:hint="eastAsia"/>
              </w:rPr>
              <w:t>周屬司馬，漢屬光祿勳，東漢屬吏曹尚書，後稱選部；魏晉以後，置吏部尚書，兼設九品中正</w:t>
            </w:r>
            <w:r w:rsidRPr="00A53581">
              <w:rPr>
                <w:rFonts w:hint="eastAsia"/>
              </w:rPr>
              <w:t>。隋以科舉代漢之辟舉，故六品以下官，皆歸吏部銓選，唐沿隋制，惟文武分途，文官歸之吏部，武官歸之兵部，未分文武為左右選，皆屬吏部，明代取士嚴而任官寬，任官亦依文武分歸吏部與兵部，清代任官，除皇帝遴用之人不限資格外，凡大員出缺，由吏部列名奏薦請旨裁定，宣統</w:t>
            </w:r>
            <w:r w:rsidRPr="00A53581">
              <w:rPr>
                <w:rFonts w:hint="eastAsia"/>
              </w:rPr>
              <w:t>3</w:t>
            </w:r>
            <w:r w:rsidRPr="00A53581">
              <w:rPr>
                <w:rFonts w:hint="eastAsia"/>
              </w:rPr>
              <w:t>年，改吏部為敘官局，民國成立後易其名為銓敘局，至民國</w:t>
            </w:r>
            <w:r w:rsidRPr="00A53581">
              <w:rPr>
                <w:rFonts w:hint="eastAsia"/>
              </w:rPr>
              <w:t>17</w:t>
            </w:r>
            <w:r w:rsidRPr="00A53581">
              <w:rPr>
                <w:rFonts w:hint="eastAsia"/>
              </w:rPr>
              <w:t>年設立五院，考試院成立後，考銓行政始脫離行政機關而獨立。</w:t>
            </w:r>
          </w:p>
        </w:tc>
      </w:tr>
    </w:tbl>
    <w:p w14:paraId="56E200F9" w14:textId="77777777" w:rsidR="00953151" w:rsidRPr="006D68CC" w:rsidRDefault="00B76D62" w:rsidP="00D87D91">
      <w:r w:rsidRPr="006D68CC">
        <w:t>【本表資料來源】</w:t>
      </w:r>
      <w:r w:rsidR="00203F72" w:rsidRPr="006D68CC">
        <w:t>謝瑞智、謝世維</w:t>
      </w:r>
      <w:r w:rsidR="00203F72" w:rsidRPr="006D68CC">
        <w:t>(2010)</w:t>
      </w:r>
      <w:r w:rsidR="00203F72" w:rsidRPr="006D68CC">
        <w:t>，憲法概要，增訂</w:t>
      </w:r>
      <w:r w:rsidR="00203F72" w:rsidRPr="006D68CC">
        <w:t>14</w:t>
      </w:r>
      <w:r w:rsidR="00203F72" w:rsidRPr="006D68CC">
        <w:t>版，台北</w:t>
      </w:r>
      <w:r w:rsidR="00203F72" w:rsidRPr="006D68CC">
        <w:rPr>
          <w:rFonts w:hint="eastAsia"/>
        </w:rPr>
        <w:t>市</w:t>
      </w:r>
      <w:r w:rsidR="00203F72" w:rsidRPr="006D68CC">
        <w:t>：文</w:t>
      </w:r>
      <w:r w:rsidR="00203F72" w:rsidRPr="006D68CC">
        <w:rPr>
          <w:rFonts w:hint="eastAsia"/>
        </w:rPr>
        <w:t>笙</w:t>
      </w:r>
      <w:r w:rsidR="00203F72" w:rsidRPr="006D68CC">
        <w:t>書局，第</w:t>
      </w:r>
      <w:r w:rsidR="00203F72" w:rsidRPr="006D68CC">
        <w:t>227</w:t>
      </w:r>
      <w:r w:rsidR="00203F72" w:rsidRPr="006D68CC">
        <w:rPr>
          <w:rFonts w:hint="eastAsia"/>
        </w:rPr>
        <w:t>-228</w:t>
      </w:r>
      <w:r w:rsidR="00203F72" w:rsidRPr="006D68CC">
        <w:t>頁。</w:t>
      </w:r>
    </w:p>
    <w:p w14:paraId="374C4220" w14:textId="77777777" w:rsidR="00953151" w:rsidRPr="006D68CC" w:rsidRDefault="007F7377" w:rsidP="00D87D91">
      <w:r w:rsidRPr="006D68CC">
        <w:t xml:space="preserve">　　</w:t>
      </w:r>
      <w:r w:rsidR="00203F72" w:rsidRPr="006D68CC">
        <w:t>考試院應本著無私之態度舉辦公平公正之考試，拔擢真正優秀之人才。對於參加考試資格或考試方法之規定，亦應符合憲法保障之人民有應考試、服公職之權利。若要對此權利做限制，也必須符合法律保留原則、比例原則及平等權保障等憲法原則。依憲法增修條</w:t>
      </w:r>
      <w:r w:rsidR="006937CE" w:rsidRPr="00D73718">
        <w:t>文</w:t>
      </w:r>
      <w:hyperlink r:id="rId858"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6D68CC">
        <w:t>之規定，憲法第</w:t>
      </w:r>
      <w:hyperlink r:id="rId859" w:anchor="a85" w:history="1">
        <w:r w:rsidR="00203F72" w:rsidRPr="00306E89">
          <w:rPr>
            <w:rStyle w:val="a5"/>
            <w:rFonts w:ascii="Times New Roman" w:hAnsi="Times New Roman"/>
          </w:rPr>
          <w:t>八十五</w:t>
        </w:r>
      </w:hyperlink>
      <w:r w:rsidR="00203F72" w:rsidRPr="006D68CC">
        <w:t>條有關按省區分別規定名額，分區舉行考試之規定，停止適用。</w:t>
      </w:r>
    </w:p>
    <w:p w14:paraId="03918E29" w14:textId="77777777" w:rsidR="00203F72" w:rsidRPr="00A53581" w:rsidRDefault="00076467" w:rsidP="00767F37">
      <w:pPr>
        <w:pStyle w:val="2"/>
      </w:pPr>
      <w:hyperlink r:id="rId860" w:anchor="a86" w:history="1">
        <w:r w:rsidR="005D5A46">
          <w:rPr>
            <w:rStyle w:val="a5"/>
            <w:rFonts w:ascii="Arial Unicode MS" w:hAnsi="Arial Unicode MS"/>
          </w:rPr>
          <w:t>第</w:t>
        </w:r>
        <w:r w:rsidR="00203F72" w:rsidRPr="00AB0A74">
          <w:rPr>
            <w:rStyle w:val="a5"/>
            <w:rFonts w:ascii="Arial Unicode MS" w:hAnsi="Arial Unicode MS"/>
          </w:rPr>
          <w:t>86</w:t>
        </w:r>
        <w:r w:rsidR="005D5A46">
          <w:rPr>
            <w:rStyle w:val="a5"/>
            <w:rFonts w:ascii="Arial Unicode MS" w:hAnsi="Arial Unicode MS"/>
          </w:rPr>
          <w:t>條</w:t>
        </w:r>
      </w:hyperlink>
      <w:r w:rsidR="00203F72" w:rsidRPr="00A53581">
        <w:t>左列資格，應經考試院依法考選銓定之：</w:t>
      </w:r>
    </w:p>
    <w:p w14:paraId="020767C8" w14:textId="77777777" w:rsidR="00203F72" w:rsidRPr="006D68CC" w:rsidRDefault="007F7377" w:rsidP="00D87D91">
      <w:r w:rsidRPr="006D68CC">
        <w:t xml:space="preserve">　　</w:t>
      </w:r>
      <w:r w:rsidR="00203F72" w:rsidRPr="006D68CC">
        <w:t>一</w:t>
      </w:r>
      <w:r w:rsidR="0062321B" w:rsidRPr="006D68CC">
        <w:t>、</w:t>
      </w:r>
      <w:r w:rsidR="00203F72" w:rsidRPr="006D68CC">
        <w:t>公務人員任用資格。</w:t>
      </w:r>
    </w:p>
    <w:p w14:paraId="71250F90" w14:textId="77777777" w:rsidR="00953151" w:rsidRPr="006D68CC" w:rsidRDefault="007F7377" w:rsidP="00D87D91">
      <w:r w:rsidRPr="006D68CC">
        <w:t xml:space="preserve">　　</w:t>
      </w:r>
      <w:r w:rsidR="00203F72" w:rsidRPr="006D68CC">
        <w:t>二</w:t>
      </w:r>
      <w:r w:rsidR="0062321B" w:rsidRPr="006D68CC">
        <w:t>、</w:t>
      </w:r>
      <w:r w:rsidR="00203F72" w:rsidRPr="006D68CC">
        <w:t>專門職業及技術人員執業資格。</w:t>
      </w:r>
    </w:p>
    <w:p w14:paraId="35D2F217" w14:textId="77777777" w:rsidR="00203F72" w:rsidRPr="006D68CC" w:rsidRDefault="00B03E84" w:rsidP="00D87D91">
      <w:r w:rsidRPr="006D68CC">
        <w:t>【內容解析】</w:t>
      </w:r>
    </w:p>
    <w:p w14:paraId="789E209D" w14:textId="77777777" w:rsidR="00953151" w:rsidRPr="006D68CC" w:rsidRDefault="0062321B" w:rsidP="00D87D91">
      <w:r w:rsidRPr="006D68CC">
        <w:rPr>
          <w:rFonts w:hint="eastAsia"/>
        </w:rPr>
        <w:t xml:space="preserve">　　</w:t>
      </w:r>
      <w:r w:rsidR="00203F72" w:rsidRPr="006D68CC">
        <w:rPr>
          <w:rFonts w:hint="eastAsia"/>
        </w:rPr>
        <w:t>於</w:t>
      </w:r>
      <w:r w:rsidR="00203F72" w:rsidRPr="006D68CC">
        <w:t>一九四六</w:t>
      </w:r>
      <w:r w:rsidR="00203F72" w:rsidRPr="006D68CC">
        <w:rPr>
          <w:rFonts w:hint="eastAsia"/>
        </w:rPr>
        <w:t>年</w:t>
      </w:r>
      <w:r w:rsidR="00203F72" w:rsidRPr="006D68CC">
        <w:t>制憲國大一讀會之審查會之中，曾討論及公職侯選人之資格，亦應經考試院依法考選銓定之，後來，本案並未通過，詳如下表。考試院下設考選部掌理全國考選行政事宜，對於承辦考選行政事務之機關有指示監督之權並負責考選政策、制度、法規之規劃、研擬等相關事項</w:t>
      </w:r>
      <w:r w:rsidR="00203F72" w:rsidRPr="006D68CC">
        <w:footnoteReference w:id="84"/>
      </w:r>
      <w:r w:rsidR="00203F72" w:rsidRPr="006D68CC">
        <w:t>。一般民眾要取得公務人員任用資格，需依法參加考選部舉辦之公務人員考試，並考試及格、銓敘合格。考選部設高普考司掌理關於公務人員高等、普通、初等、升官等、升資考試考試事項。</w:t>
      </w:r>
    </w:p>
    <w:p w14:paraId="65561314" w14:textId="77777777" w:rsidR="00953151" w:rsidRPr="006D68CC" w:rsidRDefault="0062321B" w:rsidP="00D87D91">
      <w:r w:rsidRPr="006D68CC">
        <w:t xml:space="preserve">　　</w:t>
      </w:r>
      <w:r w:rsidR="00203F72" w:rsidRPr="006D68CC">
        <w:t>此外，考選部亦設特種考試司</w:t>
      </w:r>
      <w:r w:rsidR="00203F72" w:rsidRPr="006D68CC">
        <w:t>(</w:t>
      </w:r>
      <w:r w:rsidR="00203F72" w:rsidRPr="006D68CC">
        <w:t>簡稱為特考司</w:t>
      </w:r>
      <w:r w:rsidR="00203F72" w:rsidRPr="006D68CC">
        <w:t>)</w:t>
      </w:r>
      <w:r w:rsidR="00203F72" w:rsidRPr="006D68CC">
        <w:t>，掌理關於公務人員特種考試事項、公職候選人資格檢覈事項。至於專門職業及技術人員也需通過考選部舉辦之考試，始能取得資格。再者，考選部亦設專技考試司，掌理關於專門職業及技術人員高等、普通、特種考試事項。</w:t>
      </w:r>
    </w:p>
    <w:p w14:paraId="3226E3C6" w14:textId="77777777" w:rsidR="00953151" w:rsidRPr="006D68CC" w:rsidRDefault="0062321B" w:rsidP="00D87D91">
      <w:r w:rsidRPr="006D68CC">
        <w:t xml:space="preserve">　　</w:t>
      </w:r>
      <w:r w:rsidR="00203F72" w:rsidRPr="006D68CC">
        <w:t>司法院釋</w:t>
      </w:r>
      <w:r w:rsidR="00306E89" w:rsidRPr="00686D2C">
        <w:t>字</w:t>
      </w:r>
      <w:hyperlink r:id="rId861" w:anchor="r682" w:history="1">
        <w:r w:rsidR="00306E89" w:rsidRPr="00306E89">
          <w:rPr>
            <w:rStyle w:val="a5"/>
            <w:rFonts w:ascii="Times New Roman" w:hAnsi="Times New Roman"/>
          </w:rPr>
          <w:t>第</w:t>
        </w:r>
        <w:r w:rsidR="00306E89" w:rsidRPr="00306E89">
          <w:rPr>
            <w:rStyle w:val="a5"/>
            <w:rFonts w:ascii="Times New Roman" w:hAnsi="Times New Roman"/>
          </w:rPr>
          <w:t>682</w:t>
        </w:r>
        <w:r w:rsidR="00306E89" w:rsidRPr="00306E89">
          <w:rPr>
            <w:rStyle w:val="a5"/>
            <w:rFonts w:ascii="Times New Roman" w:hAnsi="Times New Roman"/>
          </w:rPr>
          <w:t>號</w:t>
        </w:r>
      </w:hyperlink>
      <w:r w:rsidR="00203F72" w:rsidRPr="006D68CC">
        <w:t>解釋認為：「憲法第</w:t>
      </w:r>
      <w:hyperlink r:id="rId862" w:anchor="a86" w:history="1">
        <w:r w:rsidR="00203F72" w:rsidRPr="00306E89">
          <w:rPr>
            <w:rStyle w:val="a5"/>
            <w:rFonts w:ascii="Times New Roman" w:hAnsi="Times New Roman"/>
          </w:rPr>
          <w:t>八十六</w:t>
        </w:r>
      </w:hyperlink>
      <w:r w:rsidR="00203F72" w:rsidRPr="006D68CC">
        <w:t>條第二款規定，專門職業人員之執業資格，應經考試院依法考選之。因此人民選擇從事專門職業之自由，根據憲法之規定，即受限制。</w:t>
      </w:r>
      <w:r w:rsidR="00203F72" w:rsidRPr="006D68CC">
        <w:t>….</w:t>
      </w:r>
      <w:r w:rsidR="00203F72" w:rsidRPr="006D68CC">
        <w:t>就專門職業人員考試而言，即在確保相關考試及格者具有執業所需之知識與能力，故考試主管機關有關考試資格及方法之規定，涉及考試之專業判斷者，應給予適度之尊重，始符憲法五權分治彼此相維之精神。」</w:t>
      </w:r>
    </w:p>
    <w:p w14:paraId="18FCDFED" w14:textId="77777777" w:rsidR="00953151" w:rsidRPr="006D68CC" w:rsidRDefault="0062321B" w:rsidP="00D87D91">
      <w:r w:rsidRPr="006D68CC">
        <w:t xml:space="preserve">　　</w:t>
      </w:r>
      <w:r w:rsidR="00203F72" w:rsidRPr="006D68CC">
        <w:t>專門職業人員考試，涉及人民選擇職業之自由，但因專門職業之考試有專業之判斷，對於考試主管機關有關考試資格及方法之規定，應該給予適度之尊重，以確保相關考試及格者具有執業所需之知識與能力，確保一般民眾權益。</w:t>
      </w:r>
    </w:p>
    <w:p w14:paraId="38273508" w14:textId="77777777" w:rsidR="00953151" w:rsidRDefault="00953151" w:rsidP="00D87D91"/>
    <w:p w14:paraId="532A34A5" w14:textId="3B70BCAE" w:rsidR="00203F72" w:rsidRPr="00AD6CFF" w:rsidRDefault="00B03E84" w:rsidP="00D87D91">
      <w:r w:rsidRPr="00AD6CFF">
        <w:t>【</w:t>
      </w:r>
      <w:r w:rsidRPr="00AD6CFF">
        <w:t>table</w:t>
      </w:r>
      <w:r w:rsidR="005E23E3" w:rsidRPr="00AD6CFF">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56</w:t>
      </w:r>
      <w:r w:rsidR="00076467">
        <w:rPr>
          <w:noProof/>
        </w:rPr>
        <w:fldChar w:fldCharType="end"/>
      </w:r>
      <w:r w:rsidR="00203F72" w:rsidRPr="00AD6CFF">
        <w:t>一九四六</w:t>
      </w:r>
      <w:r w:rsidR="00203F72" w:rsidRPr="00AD6CFF">
        <w:rPr>
          <w:rFonts w:hint="eastAsia"/>
        </w:rPr>
        <w:t>年</w:t>
      </w:r>
      <w:r w:rsidR="00203F72" w:rsidRPr="00AD6CFF">
        <w:t>制憲國大一讀會之審查結果</w:t>
      </w:r>
    </w:p>
    <w:tbl>
      <w:tblPr>
        <w:tblW w:w="9214" w:type="dxa"/>
        <w:tblInd w:w="-102"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3083"/>
        <w:gridCol w:w="2871"/>
        <w:gridCol w:w="1559"/>
        <w:gridCol w:w="1701"/>
      </w:tblGrid>
      <w:tr w:rsidR="00203F72" w:rsidRPr="00A53581" w14:paraId="059EA52D" w14:textId="77777777" w:rsidTr="00306E89">
        <w:trPr>
          <w:tblHeader/>
        </w:trPr>
        <w:tc>
          <w:tcPr>
            <w:tcW w:w="3083"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15327563" w14:textId="77777777" w:rsidR="00203F72" w:rsidRPr="00A53581" w:rsidRDefault="00203F72" w:rsidP="00D87D91">
            <w:pPr>
              <w:rPr>
                <w:rFonts w:cs="新細明體"/>
              </w:rPr>
            </w:pPr>
            <w:r w:rsidRPr="00A53581">
              <w:rPr>
                <w:bCs/>
              </w:rPr>
              <w:t>憲草原文</w:t>
            </w:r>
            <w:r w:rsidRPr="00A53581">
              <w:rPr>
                <w:rFonts w:hint="eastAsia"/>
                <w:bCs/>
              </w:rPr>
              <w:t>(</w:t>
            </w:r>
            <w:r w:rsidRPr="00A53581">
              <w:rPr>
                <w:rFonts w:hint="eastAsia"/>
              </w:rPr>
              <w:t>基於政協憲草藍本</w:t>
            </w:r>
            <w:r w:rsidRPr="00A53581">
              <w:rPr>
                <w:rFonts w:hint="eastAsia"/>
              </w:rPr>
              <w:t>)</w:t>
            </w:r>
          </w:p>
        </w:tc>
        <w:tc>
          <w:tcPr>
            <w:tcW w:w="2871"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4BCE0977" w14:textId="77777777" w:rsidR="00203F72" w:rsidRPr="00A53581" w:rsidRDefault="00203F72" w:rsidP="00D87D91">
            <w:pPr>
              <w:rPr>
                <w:rFonts w:cs="新細明體"/>
              </w:rPr>
            </w:pPr>
            <w:r w:rsidRPr="00A53581">
              <w:t>審查會修正意見</w:t>
            </w:r>
          </w:p>
        </w:tc>
        <w:tc>
          <w:tcPr>
            <w:tcW w:w="1559"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3A4E0468" w14:textId="77777777" w:rsidR="00203F72" w:rsidRPr="00A53581" w:rsidRDefault="00203F72" w:rsidP="00D87D91">
            <w:pPr>
              <w:rPr>
                <w:rFonts w:cs="新細明體"/>
              </w:rPr>
            </w:pPr>
            <w:r w:rsidRPr="00A53581">
              <w:t>綜合審查會意見</w:t>
            </w:r>
          </w:p>
        </w:tc>
        <w:tc>
          <w:tcPr>
            <w:tcW w:w="1701"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5E0BCC04" w14:textId="77777777" w:rsidR="00203F72" w:rsidRPr="00A53581" w:rsidRDefault="00203F72" w:rsidP="00D87D91">
            <w:pPr>
              <w:rPr>
                <w:rFonts w:cs="新細明體"/>
              </w:rPr>
            </w:pPr>
            <w:r w:rsidRPr="00A53581">
              <w:t>一讀會</w:t>
            </w:r>
          </w:p>
        </w:tc>
      </w:tr>
      <w:tr w:rsidR="00203F72" w:rsidRPr="00A53581" w14:paraId="0700021F"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32335C28" w14:textId="77777777" w:rsidR="00203F72" w:rsidRPr="00A53581" w:rsidRDefault="00076467" w:rsidP="00D87D91">
            <w:pPr>
              <w:rPr>
                <w:rFonts w:cs="新細明體"/>
              </w:rPr>
            </w:pPr>
            <w:hyperlink r:id="rId863" w:anchor="a1" w:history="1">
              <w:r w:rsidR="00203F72" w:rsidRPr="00306E89">
                <w:rPr>
                  <w:rStyle w:val="a5"/>
                </w:rPr>
                <w:t>第一條</w:t>
              </w:r>
            </w:hyperlink>
            <w:r w:rsidR="00203F72" w:rsidRPr="00A53581">
              <w:t>，中華民國基於三民主義，為民有民治民享之民主共和國</w:t>
            </w:r>
          </w:p>
        </w:tc>
        <w:tc>
          <w:tcPr>
            <w:tcW w:w="2871" w:type="dxa"/>
            <w:tcBorders>
              <w:top w:val="outset" w:sz="6" w:space="0" w:color="auto"/>
              <w:left w:val="outset" w:sz="6" w:space="0" w:color="auto"/>
              <w:bottom w:val="outset" w:sz="6" w:space="0" w:color="auto"/>
              <w:right w:val="outset" w:sz="6" w:space="0" w:color="auto"/>
            </w:tcBorders>
            <w:vAlign w:val="center"/>
            <w:hideMark/>
          </w:tcPr>
          <w:p w14:paraId="776335D5" w14:textId="77777777" w:rsidR="00203F72" w:rsidRPr="00A53581" w:rsidRDefault="00203F72" w:rsidP="00D87D91">
            <w:pPr>
              <w:rPr>
                <w:rFonts w:cs="新細明體"/>
              </w:rPr>
            </w:pPr>
            <w:r w:rsidRPr="00A53581">
              <w:t>中華民國為三民主義民主共和國</w:t>
            </w:r>
          </w:p>
        </w:tc>
        <w:tc>
          <w:tcPr>
            <w:tcW w:w="1559" w:type="dxa"/>
            <w:tcBorders>
              <w:top w:val="outset" w:sz="6" w:space="0" w:color="auto"/>
              <w:left w:val="outset" w:sz="6" w:space="0" w:color="auto"/>
              <w:bottom w:val="outset" w:sz="6" w:space="0" w:color="auto"/>
              <w:right w:val="outset" w:sz="6" w:space="0" w:color="auto"/>
            </w:tcBorders>
            <w:vAlign w:val="center"/>
            <w:hideMark/>
          </w:tcPr>
          <w:p w14:paraId="34151B46" w14:textId="77777777"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14:paraId="28C41FAD" w14:textId="77777777" w:rsidR="00203F72" w:rsidRPr="00A53581" w:rsidRDefault="00203F72" w:rsidP="00D87D91">
            <w:pPr>
              <w:rPr>
                <w:rFonts w:cs="新細明體"/>
              </w:rPr>
            </w:pPr>
            <w:r w:rsidRPr="00A53581">
              <w:t>維持原草案</w:t>
            </w:r>
          </w:p>
        </w:tc>
      </w:tr>
      <w:tr w:rsidR="00203F72" w:rsidRPr="00A53581" w14:paraId="14C9C78B"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265E23AC" w14:textId="77777777" w:rsidR="00203F72" w:rsidRPr="00A53581" w:rsidRDefault="00203F72" w:rsidP="00D87D91">
            <w:pPr>
              <w:rPr>
                <w:rFonts w:cs="新細明體"/>
              </w:rPr>
            </w:pPr>
            <w:r w:rsidRPr="00A53581">
              <w:t>第</w:t>
            </w:r>
            <w:hyperlink r:id="rId864" w:anchor="a21" w:history="1">
              <w:r w:rsidRPr="00306E89">
                <w:rPr>
                  <w:rStyle w:val="a5"/>
                </w:rPr>
                <w:t>二十一</w:t>
              </w:r>
            </w:hyperlink>
            <w:r w:rsidRPr="00A53581">
              <w:t>條，人民有依法律服兵役之義務</w:t>
            </w:r>
          </w:p>
        </w:tc>
        <w:tc>
          <w:tcPr>
            <w:tcW w:w="2871" w:type="dxa"/>
            <w:tcBorders>
              <w:top w:val="outset" w:sz="6" w:space="0" w:color="auto"/>
              <w:left w:val="outset" w:sz="6" w:space="0" w:color="auto"/>
              <w:bottom w:val="outset" w:sz="6" w:space="0" w:color="auto"/>
              <w:right w:val="outset" w:sz="6" w:space="0" w:color="auto"/>
            </w:tcBorders>
            <w:vAlign w:val="center"/>
            <w:hideMark/>
          </w:tcPr>
          <w:p w14:paraId="048B511C" w14:textId="77777777" w:rsidR="00203F72" w:rsidRPr="00A53581" w:rsidRDefault="00203F72" w:rsidP="00D87D91">
            <w:pPr>
              <w:rPr>
                <w:rFonts w:cs="新細明體"/>
              </w:rPr>
            </w:pPr>
            <w:r w:rsidRPr="00A53581">
              <w:t>在兵役後增加「及工役」</w:t>
            </w:r>
          </w:p>
        </w:tc>
        <w:tc>
          <w:tcPr>
            <w:tcW w:w="1559" w:type="dxa"/>
            <w:tcBorders>
              <w:top w:val="outset" w:sz="6" w:space="0" w:color="auto"/>
              <w:left w:val="outset" w:sz="6" w:space="0" w:color="auto"/>
              <w:bottom w:val="outset" w:sz="6" w:space="0" w:color="auto"/>
              <w:right w:val="outset" w:sz="6" w:space="0" w:color="auto"/>
            </w:tcBorders>
            <w:vAlign w:val="center"/>
            <w:hideMark/>
          </w:tcPr>
          <w:p w14:paraId="6FB3478E" w14:textId="77777777"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14:paraId="4BCD0F1E" w14:textId="77777777" w:rsidR="00203F72" w:rsidRPr="00A53581" w:rsidRDefault="00203F72" w:rsidP="00D87D91">
            <w:pPr>
              <w:rPr>
                <w:rFonts w:cs="新細明體"/>
              </w:rPr>
            </w:pPr>
            <w:r w:rsidRPr="00A53581">
              <w:t>維持原草案</w:t>
            </w:r>
          </w:p>
        </w:tc>
      </w:tr>
      <w:tr w:rsidR="00203F72" w:rsidRPr="00A53581" w14:paraId="6EE3BC4A"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1BF8EA94" w14:textId="77777777" w:rsidR="00203F72" w:rsidRPr="00A53581" w:rsidRDefault="00076467" w:rsidP="00D87D91">
            <w:pPr>
              <w:rPr>
                <w:rFonts w:cs="新細明體"/>
              </w:rPr>
            </w:pPr>
            <w:hyperlink r:id="rId865" w:anchor="a25" w:history="1">
              <w:r w:rsidR="00203F72" w:rsidRPr="00306E89">
                <w:rPr>
                  <w:rStyle w:val="a5"/>
                </w:rPr>
                <w:t>第三章</w:t>
              </w:r>
            </w:hyperlink>
            <w:r w:rsidR="00203F72" w:rsidRPr="00A53581">
              <w:t>，國民大會</w:t>
            </w:r>
          </w:p>
        </w:tc>
        <w:tc>
          <w:tcPr>
            <w:tcW w:w="2871" w:type="dxa"/>
            <w:tcBorders>
              <w:top w:val="outset" w:sz="6" w:space="0" w:color="auto"/>
              <w:left w:val="outset" w:sz="6" w:space="0" w:color="auto"/>
              <w:bottom w:val="outset" w:sz="6" w:space="0" w:color="auto"/>
              <w:right w:val="outset" w:sz="6" w:space="0" w:color="auto"/>
            </w:tcBorders>
            <w:vAlign w:val="center"/>
            <w:hideMark/>
          </w:tcPr>
          <w:p w14:paraId="374BE364" w14:textId="77777777" w:rsidR="00203F72" w:rsidRPr="00A53581" w:rsidRDefault="00203F72" w:rsidP="00D87D91">
            <w:pPr>
              <w:rPr>
                <w:rFonts w:cs="新細明體"/>
              </w:rPr>
            </w:pPr>
            <w:r w:rsidRPr="00A53581">
              <w:t>增列一條「國民大會為代表中華民國國民行使政權之最高機關」</w:t>
            </w:r>
          </w:p>
        </w:tc>
        <w:tc>
          <w:tcPr>
            <w:tcW w:w="1559" w:type="dxa"/>
            <w:tcBorders>
              <w:top w:val="outset" w:sz="6" w:space="0" w:color="auto"/>
              <w:left w:val="outset" w:sz="6" w:space="0" w:color="auto"/>
              <w:bottom w:val="outset" w:sz="6" w:space="0" w:color="auto"/>
              <w:right w:val="outset" w:sz="6" w:space="0" w:color="auto"/>
            </w:tcBorders>
            <w:vAlign w:val="center"/>
            <w:hideMark/>
          </w:tcPr>
          <w:p w14:paraId="755F52EF" w14:textId="77777777" w:rsidR="00203F72" w:rsidRPr="00A53581" w:rsidRDefault="00203F72" w:rsidP="00D87D91">
            <w:pPr>
              <w:rPr>
                <w:rFonts w:cs="新細明體"/>
              </w:rPr>
            </w:pPr>
            <w:r w:rsidRPr="00A53581">
              <w:t>國民大會依本憲法之規定代表全體國民行使政權</w:t>
            </w:r>
          </w:p>
        </w:tc>
        <w:tc>
          <w:tcPr>
            <w:tcW w:w="1701" w:type="dxa"/>
            <w:tcBorders>
              <w:top w:val="outset" w:sz="6" w:space="0" w:color="auto"/>
              <w:left w:val="outset" w:sz="6" w:space="0" w:color="auto"/>
              <w:bottom w:val="outset" w:sz="6" w:space="0" w:color="auto"/>
              <w:right w:val="outset" w:sz="6" w:space="0" w:color="auto"/>
            </w:tcBorders>
            <w:vAlign w:val="center"/>
            <w:hideMark/>
          </w:tcPr>
          <w:p w14:paraId="64FD9255" w14:textId="77777777" w:rsidR="00203F72" w:rsidRPr="00A53581" w:rsidRDefault="00203F72" w:rsidP="00D87D91">
            <w:pPr>
              <w:rPr>
                <w:rFonts w:cs="新細明體"/>
              </w:rPr>
            </w:pPr>
            <w:r w:rsidRPr="00A53581">
              <w:t>照綜合會意見</w:t>
            </w:r>
          </w:p>
        </w:tc>
      </w:tr>
      <w:tr w:rsidR="00203F72" w:rsidRPr="00A53581" w14:paraId="3ECD6D11"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31BB54ED" w14:textId="77777777" w:rsidR="00203F72" w:rsidRPr="00A53581" w:rsidRDefault="00203F72" w:rsidP="00D87D91">
            <w:pPr>
              <w:rPr>
                <w:rFonts w:cs="新細明體"/>
              </w:rPr>
            </w:pPr>
            <w:r w:rsidRPr="00A53581">
              <w:t>第</w:t>
            </w:r>
            <w:hyperlink r:id="rId866" w:anchor="a26" w:history="1">
              <w:r w:rsidRPr="00306E89">
                <w:rPr>
                  <w:rStyle w:val="a5"/>
                </w:rPr>
                <w:t>二十六</w:t>
              </w:r>
            </w:hyperlink>
            <w:r w:rsidRPr="00A53581">
              <w:t>條，國民大會由各立法監察委員並省市議會代表及海外代表組成</w:t>
            </w:r>
          </w:p>
        </w:tc>
        <w:tc>
          <w:tcPr>
            <w:tcW w:w="2871" w:type="dxa"/>
            <w:tcBorders>
              <w:top w:val="outset" w:sz="6" w:space="0" w:color="auto"/>
              <w:left w:val="outset" w:sz="6" w:space="0" w:color="auto"/>
              <w:bottom w:val="outset" w:sz="6" w:space="0" w:color="auto"/>
              <w:right w:val="outset" w:sz="6" w:space="0" w:color="auto"/>
            </w:tcBorders>
            <w:vAlign w:val="center"/>
            <w:hideMark/>
          </w:tcPr>
          <w:p w14:paraId="7AB5CD41" w14:textId="77777777" w:rsidR="00203F72" w:rsidRPr="00A53581" w:rsidRDefault="00203F72" w:rsidP="00D87D91">
            <w:pPr>
              <w:rPr>
                <w:rFonts w:cs="新細明體"/>
              </w:rPr>
            </w:pPr>
            <w:r w:rsidRPr="00A53581">
              <w:t>由縣市同等區域，蒙藏，僑民，職業團體等選舉代表組成</w:t>
            </w:r>
          </w:p>
        </w:tc>
        <w:tc>
          <w:tcPr>
            <w:tcW w:w="1559" w:type="dxa"/>
            <w:tcBorders>
              <w:top w:val="outset" w:sz="6" w:space="0" w:color="auto"/>
              <w:left w:val="outset" w:sz="6" w:space="0" w:color="auto"/>
              <w:bottom w:val="outset" w:sz="6" w:space="0" w:color="auto"/>
              <w:right w:val="outset" w:sz="6" w:space="0" w:color="auto"/>
            </w:tcBorders>
            <w:vAlign w:val="center"/>
            <w:hideMark/>
          </w:tcPr>
          <w:p w14:paraId="2B90298E" w14:textId="77777777" w:rsidR="00203F72" w:rsidRPr="00A53581" w:rsidRDefault="00203F72" w:rsidP="00D87D91">
            <w:pPr>
              <w:rPr>
                <w:rFonts w:cs="新細明體"/>
              </w:rPr>
            </w:pPr>
            <w:r w:rsidRPr="00A53581">
              <w:t>與審查會意見相同惟增加縣市人口逾五十萬者，每增加五十萬增選代表一人；蒙古每盟四人，每旗一人</w:t>
            </w:r>
          </w:p>
        </w:tc>
        <w:tc>
          <w:tcPr>
            <w:tcW w:w="1701" w:type="dxa"/>
            <w:tcBorders>
              <w:top w:val="outset" w:sz="6" w:space="0" w:color="auto"/>
              <w:left w:val="outset" w:sz="6" w:space="0" w:color="auto"/>
              <w:bottom w:val="outset" w:sz="6" w:space="0" w:color="auto"/>
              <w:right w:val="outset" w:sz="6" w:space="0" w:color="auto"/>
            </w:tcBorders>
            <w:vAlign w:val="center"/>
            <w:hideMark/>
          </w:tcPr>
          <w:p w14:paraId="5496F8A3" w14:textId="77777777" w:rsidR="00203F72" w:rsidRPr="00A53581" w:rsidRDefault="00203F72" w:rsidP="00D87D91">
            <w:pPr>
              <w:rPr>
                <w:rFonts w:cs="新細明體"/>
              </w:rPr>
            </w:pPr>
            <w:r w:rsidRPr="00A53581">
              <w:t>照綜合會意見</w:t>
            </w:r>
          </w:p>
        </w:tc>
      </w:tr>
      <w:tr w:rsidR="00203F72" w:rsidRPr="00A53581" w14:paraId="5F82338C"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69DDF592" w14:textId="77777777" w:rsidR="00203F72" w:rsidRPr="00A53581" w:rsidRDefault="00541C0B" w:rsidP="00D87D91">
            <w:pPr>
              <w:rPr>
                <w:rFonts w:cs="新細明體"/>
              </w:rPr>
            </w:pPr>
            <w:r w:rsidRPr="00A53581">
              <w:t>第</w:t>
            </w:r>
            <w:hyperlink r:id="rId867" w:anchor="a27" w:history="1">
              <w:r w:rsidRPr="00541C0B">
                <w:rPr>
                  <w:rStyle w:val="a5"/>
                </w:rPr>
                <w:t>二十七</w:t>
              </w:r>
            </w:hyperlink>
            <w:r w:rsidRPr="00A53581">
              <w:t>條</w:t>
            </w:r>
            <w:r w:rsidR="00203F72" w:rsidRPr="00A53581">
              <w:t>，國大職權為選舉罷免總統，修改憲法，複決立法院之修憲提案，一般法律之創製複決，由全國過半數縣市行使後由國大之辦法行使</w:t>
            </w:r>
          </w:p>
        </w:tc>
        <w:tc>
          <w:tcPr>
            <w:tcW w:w="2871" w:type="dxa"/>
            <w:tcBorders>
              <w:top w:val="outset" w:sz="6" w:space="0" w:color="auto"/>
              <w:left w:val="outset" w:sz="6" w:space="0" w:color="auto"/>
              <w:bottom w:val="outset" w:sz="6" w:space="0" w:color="auto"/>
              <w:right w:val="outset" w:sz="6" w:space="0" w:color="auto"/>
            </w:tcBorders>
            <w:vAlign w:val="center"/>
            <w:hideMark/>
          </w:tcPr>
          <w:p w14:paraId="0322DE6D" w14:textId="77777777" w:rsidR="00203F72" w:rsidRPr="00A53581" w:rsidRDefault="00203F72" w:rsidP="00D87D91">
            <w:pPr>
              <w:rPr>
                <w:rFonts w:cs="新細明體"/>
              </w:rPr>
            </w:pPr>
            <w:r w:rsidRPr="00A53581">
              <w:t>選舉正副總統，立法院監察院正副院長及委員，司法及考試院長，罷免總統及五院院長，創製及複決法律</w:t>
            </w:r>
          </w:p>
        </w:tc>
        <w:tc>
          <w:tcPr>
            <w:tcW w:w="1559" w:type="dxa"/>
            <w:tcBorders>
              <w:top w:val="outset" w:sz="6" w:space="0" w:color="auto"/>
              <w:left w:val="outset" w:sz="6" w:space="0" w:color="auto"/>
              <w:bottom w:val="outset" w:sz="6" w:space="0" w:color="auto"/>
              <w:right w:val="outset" w:sz="6" w:space="0" w:color="auto"/>
            </w:tcBorders>
            <w:vAlign w:val="center"/>
            <w:hideMark/>
          </w:tcPr>
          <w:p w14:paraId="6BBB9CCA" w14:textId="77777777"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14:paraId="177ADD23" w14:textId="77777777" w:rsidR="00203F72" w:rsidRPr="00A53581" w:rsidRDefault="00203F72" w:rsidP="00D87D91">
            <w:pPr>
              <w:rPr>
                <w:rFonts w:cs="新細明體"/>
              </w:rPr>
            </w:pPr>
            <w:r w:rsidRPr="00A53581">
              <w:t>維持原草案</w:t>
            </w:r>
          </w:p>
        </w:tc>
      </w:tr>
      <w:tr w:rsidR="00203F72" w:rsidRPr="00A53581" w14:paraId="3FF414E9"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210065AB" w14:textId="77777777" w:rsidR="00203F72" w:rsidRPr="00A53581" w:rsidRDefault="00203F72" w:rsidP="00D87D91">
            <w:pPr>
              <w:rPr>
                <w:rFonts w:cs="新細明體"/>
              </w:rPr>
            </w:pPr>
            <w:r w:rsidRPr="00A53581">
              <w:t>第</w:t>
            </w:r>
            <w:hyperlink r:id="rId868" w:anchor="a29" w:history="1">
              <w:r w:rsidRPr="00306E89">
                <w:rPr>
                  <w:rStyle w:val="a5"/>
                </w:rPr>
                <w:t>二十九</w:t>
              </w:r>
            </w:hyperlink>
            <w:r w:rsidRPr="00A53581">
              <w:t>條，國大於每屆總統任滿前九十天集會選舉正副總統</w:t>
            </w:r>
          </w:p>
        </w:tc>
        <w:tc>
          <w:tcPr>
            <w:tcW w:w="2871" w:type="dxa"/>
            <w:tcBorders>
              <w:top w:val="outset" w:sz="6" w:space="0" w:color="auto"/>
              <w:left w:val="outset" w:sz="6" w:space="0" w:color="auto"/>
              <w:bottom w:val="outset" w:sz="6" w:space="0" w:color="auto"/>
              <w:right w:val="outset" w:sz="6" w:space="0" w:color="auto"/>
            </w:tcBorders>
            <w:vAlign w:val="center"/>
            <w:hideMark/>
          </w:tcPr>
          <w:p w14:paraId="27490280" w14:textId="77777777" w:rsidR="00203F72" w:rsidRPr="00A53581" w:rsidRDefault="00203F72" w:rsidP="00D87D91">
            <w:pPr>
              <w:rPr>
                <w:rFonts w:cs="新細明體"/>
              </w:rPr>
            </w:pPr>
            <w:r w:rsidRPr="00A53581">
              <w:t>國大每二年開會一次，由總統召集</w:t>
            </w:r>
          </w:p>
        </w:tc>
        <w:tc>
          <w:tcPr>
            <w:tcW w:w="1559" w:type="dxa"/>
            <w:tcBorders>
              <w:top w:val="outset" w:sz="6" w:space="0" w:color="auto"/>
              <w:left w:val="outset" w:sz="6" w:space="0" w:color="auto"/>
              <w:bottom w:val="outset" w:sz="6" w:space="0" w:color="auto"/>
              <w:right w:val="outset" w:sz="6" w:space="0" w:color="auto"/>
            </w:tcBorders>
            <w:vAlign w:val="center"/>
            <w:hideMark/>
          </w:tcPr>
          <w:p w14:paraId="36F1B6E0" w14:textId="77777777" w:rsidR="00203F72" w:rsidRPr="00A53581" w:rsidRDefault="00203F72" w:rsidP="00D87D91">
            <w:pPr>
              <w:rPr>
                <w:rFonts w:cs="新細明體"/>
              </w:rPr>
            </w:pPr>
            <w:r w:rsidRPr="00A53581">
              <w:t>與原草案略同</w:t>
            </w:r>
          </w:p>
        </w:tc>
        <w:tc>
          <w:tcPr>
            <w:tcW w:w="1701" w:type="dxa"/>
            <w:tcBorders>
              <w:top w:val="outset" w:sz="6" w:space="0" w:color="auto"/>
              <w:left w:val="outset" w:sz="6" w:space="0" w:color="auto"/>
              <w:bottom w:val="outset" w:sz="6" w:space="0" w:color="auto"/>
              <w:right w:val="outset" w:sz="6" w:space="0" w:color="auto"/>
            </w:tcBorders>
            <w:vAlign w:val="center"/>
            <w:hideMark/>
          </w:tcPr>
          <w:p w14:paraId="72018910" w14:textId="77777777" w:rsidR="00203F72" w:rsidRPr="00A53581" w:rsidRDefault="00203F72" w:rsidP="00D87D91">
            <w:pPr>
              <w:rPr>
                <w:rFonts w:cs="新細明體"/>
              </w:rPr>
            </w:pPr>
            <w:r w:rsidRPr="00A53581">
              <w:t>照綜合會意見</w:t>
            </w:r>
          </w:p>
        </w:tc>
      </w:tr>
      <w:tr w:rsidR="00203F72" w:rsidRPr="00A53581" w14:paraId="34DF9E4F"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11D31047" w14:textId="77777777" w:rsidR="00203F72" w:rsidRPr="00A53581" w:rsidRDefault="00203F72" w:rsidP="00D87D91">
            <w:pPr>
              <w:rPr>
                <w:rFonts w:cs="新細明體"/>
              </w:rPr>
            </w:pPr>
            <w:r w:rsidRPr="00A53581">
              <w:t>第</w:t>
            </w:r>
            <w:hyperlink r:id="rId869" w:anchor="a74" w:history="1">
              <w:r w:rsidRPr="00306E89">
                <w:rPr>
                  <w:rStyle w:val="a5"/>
                </w:rPr>
                <w:t>七十四</w:t>
              </w:r>
            </w:hyperlink>
            <w:r w:rsidRPr="00A53581">
              <w:t>條，立法院享有決算審核權</w:t>
            </w:r>
          </w:p>
        </w:tc>
        <w:tc>
          <w:tcPr>
            <w:tcW w:w="2871" w:type="dxa"/>
            <w:tcBorders>
              <w:top w:val="outset" w:sz="6" w:space="0" w:color="auto"/>
              <w:left w:val="outset" w:sz="6" w:space="0" w:color="auto"/>
              <w:bottom w:val="outset" w:sz="6" w:space="0" w:color="auto"/>
              <w:right w:val="outset" w:sz="6" w:space="0" w:color="auto"/>
            </w:tcBorders>
            <w:vAlign w:val="center"/>
            <w:hideMark/>
          </w:tcPr>
          <w:p w14:paraId="69244144" w14:textId="77777777" w:rsidR="00203F72" w:rsidRPr="00A53581" w:rsidRDefault="00203F72" w:rsidP="00D87D91">
            <w:pPr>
              <w:rPr>
                <w:rFonts w:cs="新細明體"/>
              </w:rPr>
            </w:pPr>
            <w:r w:rsidRPr="00A53581">
              <w:t>決算之審核由監察院為之於審核後提出報告於立法院</w:t>
            </w:r>
          </w:p>
        </w:tc>
        <w:tc>
          <w:tcPr>
            <w:tcW w:w="1559" w:type="dxa"/>
            <w:tcBorders>
              <w:top w:val="outset" w:sz="6" w:space="0" w:color="auto"/>
              <w:left w:val="outset" w:sz="6" w:space="0" w:color="auto"/>
              <w:bottom w:val="outset" w:sz="6" w:space="0" w:color="auto"/>
              <w:right w:val="outset" w:sz="6" w:space="0" w:color="auto"/>
            </w:tcBorders>
            <w:vAlign w:val="center"/>
            <w:hideMark/>
          </w:tcPr>
          <w:p w14:paraId="2EE8C6DD" w14:textId="77777777" w:rsidR="00203F72" w:rsidRPr="00A53581" w:rsidRDefault="00203F72" w:rsidP="00D87D91">
            <w:pPr>
              <w:rPr>
                <w:rFonts w:cs="新細明體"/>
              </w:rPr>
            </w:pPr>
            <w:r w:rsidRPr="00A53581">
              <w:t>－</w:t>
            </w:r>
          </w:p>
        </w:tc>
        <w:tc>
          <w:tcPr>
            <w:tcW w:w="1701" w:type="dxa"/>
            <w:tcBorders>
              <w:top w:val="outset" w:sz="6" w:space="0" w:color="auto"/>
              <w:left w:val="outset" w:sz="6" w:space="0" w:color="auto"/>
              <w:bottom w:val="outset" w:sz="6" w:space="0" w:color="auto"/>
              <w:right w:val="outset" w:sz="6" w:space="0" w:color="auto"/>
            </w:tcBorders>
            <w:vAlign w:val="center"/>
            <w:hideMark/>
          </w:tcPr>
          <w:p w14:paraId="3321DB1C" w14:textId="77777777" w:rsidR="00203F72" w:rsidRPr="00A53581" w:rsidRDefault="00203F72" w:rsidP="00D87D91">
            <w:pPr>
              <w:rPr>
                <w:rFonts w:cs="新細明體"/>
              </w:rPr>
            </w:pPr>
            <w:r w:rsidRPr="00A53581">
              <w:t>照綜合會意見</w:t>
            </w:r>
          </w:p>
        </w:tc>
      </w:tr>
      <w:tr w:rsidR="00203F72" w:rsidRPr="00A53581" w14:paraId="1A44A2F7"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01C90E13" w14:textId="77777777" w:rsidR="00203F72" w:rsidRPr="00A53581" w:rsidRDefault="00203F72" w:rsidP="00D87D91">
            <w:pPr>
              <w:rPr>
                <w:rFonts w:cs="新細明體"/>
              </w:rPr>
            </w:pPr>
            <w:r w:rsidRPr="00A53581">
              <w:t>第</w:t>
            </w:r>
            <w:hyperlink r:id="rId870" w:anchor="a82" w:history="1">
              <w:r w:rsidRPr="00306E89">
                <w:rPr>
                  <w:rStyle w:val="a5"/>
                </w:rPr>
                <w:t>八十二</w:t>
              </w:r>
            </w:hyperlink>
            <w:r w:rsidRPr="00A53581">
              <w:t>條，司法院為國家最高審判機關，掌理民事刑事行政訴訟之審判及憲法之解釋</w:t>
            </w:r>
          </w:p>
        </w:tc>
        <w:tc>
          <w:tcPr>
            <w:tcW w:w="2871" w:type="dxa"/>
            <w:tcBorders>
              <w:top w:val="outset" w:sz="6" w:space="0" w:color="auto"/>
              <w:left w:val="outset" w:sz="6" w:space="0" w:color="auto"/>
              <w:bottom w:val="outset" w:sz="6" w:space="0" w:color="auto"/>
              <w:right w:val="outset" w:sz="6" w:space="0" w:color="auto"/>
            </w:tcBorders>
            <w:vAlign w:val="center"/>
            <w:hideMark/>
          </w:tcPr>
          <w:p w14:paraId="192DAC6C" w14:textId="77777777" w:rsidR="00203F72" w:rsidRPr="00A53581" w:rsidRDefault="00203F72" w:rsidP="00D87D91">
            <w:pPr>
              <w:rPr>
                <w:rFonts w:cs="新細明體"/>
              </w:rPr>
            </w:pPr>
            <w:r w:rsidRPr="00A53581">
              <w:t>司法院為國家最高司法機關，掌理民事刑事行訴訟之審判及公務員之懲戒</w:t>
            </w:r>
          </w:p>
        </w:tc>
        <w:tc>
          <w:tcPr>
            <w:tcW w:w="1559" w:type="dxa"/>
            <w:tcBorders>
              <w:top w:val="outset" w:sz="6" w:space="0" w:color="auto"/>
              <w:left w:val="outset" w:sz="6" w:space="0" w:color="auto"/>
              <w:bottom w:val="outset" w:sz="6" w:space="0" w:color="auto"/>
              <w:right w:val="outset" w:sz="6" w:space="0" w:color="auto"/>
            </w:tcBorders>
            <w:vAlign w:val="center"/>
            <w:hideMark/>
          </w:tcPr>
          <w:p w14:paraId="083C6396" w14:textId="77777777" w:rsidR="00203F72" w:rsidRPr="00A53581" w:rsidRDefault="00203F72" w:rsidP="00D87D91">
            <w:pPr>
              <w:rPr>
                <w:rFonts w:cs="新細明體"/>
              </w:rPr>
            </w:pPr>
            <w:r w:rsidRPr="00A53581">
              <w:t>採用審查會意見</w:t>
            </w:r>
          </w:p>
        </w:tc>
        <w:tc>
          <w:tcPr>
            <w:tcW w:w="1701" w:type="dxa"/>
            <w:tcBorders>
              <w:top w:val="outset" w:sz="6" w:space="0" w:color="auto"/>
              <w:left w:val="outset" w:sz="6" w:space="0" w:color="auto"/>
              <w:bottom w:val="outset" w:sz="6" w:space="0" w:color="auto"/>
              <w:right w:val="outset" w:sz="6" w:space="0" w:color="auto"/>
            </w:tcBorders>
            <w:vAlign w:val="center"/>
            <w:hideMark/>
          </w:tcPr>
          <w:p w14:paraId="0FC52C64" w14:textId="77777777" w:rsidR="00203F72" w:rsidRPr="00A53581" w:rsidRDefault="00203F72" w:rsidP="00D87D91">
            <w:pPr>
              <w:rPr>
                <w:rFonts w:cs="新細明體"/>
              </w:rPr>
            </w:pPr>
            <w:r w:rsidRPr="00A53581">
              <w:t>照綜合會意見</w:t>
            </w:r>
          </w:p>
        </w:tc>
      </w:tr>
      <w:tr w:rsidR="00203F72" w:rsidRPr="00A53581" w14:paraId="51FB73C1"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562C9EC4" w14:textId="77777777" w:rsidR="00203F72" w:rsidRPr="00A53581" w:rsidRDefault="00203F72" w:rsidP="00D87D91">
            <w:pPr>
              <w:rPr>
                <w:rFonts w:cs="新細明體"/>
              </w:rPr>
            </w:pPr>
            <w:r w:rsidRPr="00A53581">
              <w:t>第</w:t>
            </w:r>
            <w:hyperlink r:id="rId871" w:anchor="a91" w:history="1">
              <w:r w:rsidRPr="00306E89">
                <w:rPr>
                  <w:rStyle w:val="a5"/>
                </w:rPr>
                <w:t>九十一</w:t>
              </w:r>
            </w:hyperlink>
            <w:r w:rsidRPr="00A53581">
              <w:t>條，公務人員之任用與專門職業及技術人員之執業資格，應經考試院依法考選銓定之</w:t>
            </w:r>
          </w:p>
        </w:tc>
        <w:tc>
          <w:tcPr>
            <w:tcW w:w="2871" w:type="dxa"/>
            <w:tcBorders>
              <w:top w:val="outset" w:sz="6" w:space="0" w:color="auto"/>
              <w:left w:val="outset" w:sz="6" w:space="0" w:color="auto"/>
              <w:bottom w:val="outset" w:sz="6" w:space="0" w:color="auto"/>
              <w:right w:val="outset" w:sz="6" w:space="0" w:color="auto"/>
            </w:tcBorders>
            <w:vAlign w:val="center"/>
            <w:hideMark/>
          </w:tcPr>
          <w:p w14:paraId="08D3B885" w14:textId="77777777" w:rsidR="00203F72" w:rsidRPr="00A53581" w:rsidRDefault="00203F72" w:rsidP="00D87D91">
            <w:pPr>
              <w:rPr>
                <w:rFonts w:cs="新細明體"/>
              </w:rPr>
            </w:pPr>
            <w:r w:rsidRPr="00A53581">
              <w:t>主張加入「公職候選人資格」一款</w:t>
            </w:r>
          </w:p>
        </w:tc>
        <w:tc>
          <w:tcPr>
            <w:tcW w:w="1559" w:type="dxa"/>
            <w:tcBorders>
              <w:top w:val="outset" w:sz="6" w:space="0" w:color="auto"/>
              <w:left w:val="outset" w:sz="6" w:space="0" w:color="auto"/>
              <w:bottom w:val="outset" w:sz="6" w:space="0" w:color="auto"/>
              <w:right w:val="outset" w:sz="6" w:space="0" w:color="auto"/>
            </w:tcBorders>
            <w:vAlign w:val="center"/>
            <w:hideMark/>
          </w:tcPr>
          <w:p w14:paraId="3D5A8EB3" w14:textId="77777777"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14:paraId="56212E56" w14:textId="77777777" w:rsidR="00203F72" w:rsidRPr="00A53581" w:rsidRDefault="00203F72" w:rsidP="00D87D91">
            <w:pPr>
              <w:rPr>
                <w:rFonts w:cs="新細明體"/>
              </w:rPr>
            </w:pPr>
            <w:r w:rsidRPr="00A53581">
              <w:t>維持原草案</w:t>
            </w:r>
          </w:p>
        </w:tc>
      </w:tr>
      <w:tr w:rsidR="00203F72" w:rsidRPr="00A53581" w14:paraId="048A257B" w14:textId="77777777" w:rsidTr="00306E89">
        <w:tc>
          <w:tcPr>
            <w:tcW w:w="3083" w:type="dxa"/>
            <w:tcBorders>
              <w:top w:val="outset" w:sz="6" w:space="0" w:color="auto"/>
              <w:left w:val="outset" w:sz="6" w:space="0" w:color="auto"/>
              <w:bottom w:val="outset" w:sz="6" w:space="0" w:color="auto"/>
              <w:right w:val="outset" w:sz="6" w:space="0" w:color="auto"/>
            </w:tcBorders>
            <w:vAlign w:val="center"/>
            <w:hideMark/>
          </w:tcPr>
          <w:p w14:paraId="36949D23" w14:textId="77777777" w:rsidR="00203F72" w:rsidRPr="00A53581" w:rsidRDefault="00203F72" w:rsidP="00D87D91">
            <w:pPr>
              <w:rPr>
                <w:rFonts w:cs="新細明體"/>
              </w:rPr>
            </w:pPr>
            <w:r w:rsidRPr="00A53581">
              <w:t>第</w:t>
            </w:r>
            <w:hyperlink r:id="rId872" w:anchor="a149" w:history="1">
              <w:r w:rsidRPr="00306E89">
                <w:rPr>
                  <w:rStyle w:val="a5"/>
                </w:rPr>
                <w:t>一四九</w:t>
              </w:r>
            </w:hyperlink>
            <w:r w:rsidRPr="00A53581">
              <w:t>條，憲法之解釋由司法院為之</w:t>
            </w:r>
          </w:p>
        </w:tc>
        <w:tc>
          <w:tcPr>
            <w:tcW w:w="2871" w:type="dxa"/>
            <w:tcBorders>
              <w:top w:val="outset" w:sz="6" w:space="0" w:color="auto"/>
              <w:left w:val="outset" w:sz="6" w:space="0" w:color="auto"/>
              <w:bottom w:val="outset" w:sz="6" w:space="0" w:color="auto"/>
              <w:right w:val="outset" w:sz="6" w:space="0" w:color="auto"/>
            </w:tcBorders>
            <w:vAlign w:val="center"/>
            <w:hideMark/>
          </w:tcPr>
          <w:p w14:paraId="7E5D2260" w14:textId="77777777" w:rsidR="00203F72" w:rsidRPr="00A53581" w:rsidRDefault="00203F72" w:rsidP="00D87D91">
            <w:pPr>
              <w:rPr>
                <w:rFonts w:cs="新細明體"/>
              </w:rPr>
            </w:pPr>
            <w:r w:rsidRPr="00A53581">
              <w:t>憲法之解釋由國大代表互推十五人，立法司法監察三院各推五人合組憲法解釋委員會為之</w:t>
            </w:r>
          </w:p>
        </w:tc>
        <w:tc>
          <w:tcPr>
            <w:tcW w:w="1559" w:type="dxa"/>
            <w:tcBorders>
              <w:top w:val="outset" w:sz="6" w:space="0" w:color="auto"/>
              <w:left w:val="outset" w:sz="6" w:space="0" w:color="auto"/>
              <w:bottom w:val="outset" w:sz="6" w:space="0" w:color="auto"/>
              <w:right w:val="outset" w:sz="6" w:space="0" w:color="auto"/>
            </w:tcBorders>
            <w:vAlign w:val="center"/>
            <w:hideMark/>
          </w:tcPr>
          <w:p w14:paraId="55FCB4D6" w14:textId="77777777"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14:paraId="5AB2483D" w14:textId="77777777" w:rsidR="00203F72" w:rsidRPr="00A53581" w:rsidRDefault="00203F72" w:rsidP="00D87D91">
            <w:pPr>
              <w:rPr>
                <w:rFonts w:cs="新細明體"/>
              </w:rPr>
            </w:pPr>
            <w:r w:rsidRPr="00A53581">
              <w:t>維持原草案</w:t>
            </w:r>
          </w:p>
        </w:tc>
      </w:tr>
    </w:tbl>
    <w:p w14:paraId="42CC8094" w14:textId="77777777" w:rsidR="00953151" w:rsidRDefault="00B03E84" w:rsidP="00D87D91">
      <w:r>
        <w:rPr>
          <w:rStyle w:val="reference-text"/>
          <w:rFonts w:ascii="新細明體" w:hAnsi="新細明體" w:hint="eastAsia"/>
        </w:rPr>
        <w:t>【資料來源】</w:t>
      </w:r>
      <w:r w:rsidR="00203F72" w:rsidRPr="00A53581">
        <w:rPr>
          <w:rFonts w:hint="eastAsia"/>
        </w:rPr>
        <w:t>維基百科</w:t>
      </w:r>
      <w:r w:rsidR="00203F72" w:rsidRPr="00A53581">
        <w:rPr>
          <w:rFonts w:hint="eastAsia"/>
        </w:rPr>
        <w:t>(2015)</w:t>
      </w:r>
      <w:r w:rsidR="00203F72" w:rsidRPr="00A53581">
        <w:rPr>
          <w:rFonts w:hint="eastAsia"/>
        </w:rPr>
        <w:t>，制憲國民大會，上網瀏覽時日：</w:t>
      </w:r>
      <w:r w:rsidR="00203F72" w:rsidRPr="00A53581">
        <w:rPr>
          <w:rFonts w:hint="eastAsia"/>
        </w:rPr>
        <w:t>2015/08/02</w:t>
      </w:r>
      <w:r w:rsidR="00203F72" w:rsidRPr="00A53581">
        <w:rPr>
          <w:rFonts w:hint="eastAsia"/>
        </w:rPr>
        <w:t>，</w:t>
      </w:r>
      <w:hyperlink r:id="rId873" w:history="1">
        <w:r w:rsidR="00203F72" w:rsidRPr="00A53581">
          <w:rPr>
            <w:rStyle w:val="a5"/>
          </w:rPr>
          <w:t>https://zh.wikipedia.org/wiki/%E5%88%B6%E6%86%B2%E5%9C%8B%E6%B0%91%E5%A4%A7%E6%9C%83</w:t>
        </w:r>
      </w:hyperlink>
      <w:r w:rsidR="00545D58">
        <w:t>。</w:t>
      </w:r>
    </w:p>
    <w:p w14:paraId="3A6D7DA4" w14:textId="77777777" w:rsidR="00953151" w:rsidRDefault="00076467" w:rsidP="00767F37">
      <w:pPr>
        <w:pStyle w:val="2"/>
      </w:pPr>
      <w:hyperlink r:id="rId874" w:anchor="a87" w:history="1">
        <w:r w:rsidR="005D5A46">
          <w:rPr>
            <w:rStyle w:val="a5"/>
            <w:rFonts w:ascii="Arial Unicode MS" w:hAnsi="Arial Unicode MS"/>
          </w:rPr>
          <w:t>第</w:t>
        </w:r>
        <w:r w:rsidR="00203F72" w:rsidRPr="00AB0A74">
          <w:rPr>
            <w:rStyle w:val="a5"/>
            <w:rFonts w:ascii="Arial Unicode MS" w:hAnsi="Arial Unicode MS"/>
          </w:rPr>
          <w:t>87</w:t>
        </w:r>
        <w:r w:rsidR="005D5A46">
          <w:rPr>
            <w:rStyle w:val="a5"/>
            <w:rFonts w:ascii="Arial Unicode MS" w:hAnsi="Arial Unicode MS"/>
          </w:rPr>
          <w:t>條</w:t>
        </w:r>
      </w:hyperlink>
      <w:r w:rsidR="00203F72" w:rsidRPr="00A53581">
        <w:t>考試院關於所掌事項，得向立法院提出法律案。</w:t>
      </w:r>
    </w:p>
    <w:p w14:paraId="1579C82F" w14:textId="77777777" w:rsidR="00953151" w:rsidRPr="00DE63F7" w:rsidRDefault="00B03E84" w:rsidP="00D87D91">
      <w:r w:rsidRPr="00DE63F7">
        <w:t>【內容解析】</w:t>
      </w:r>
    </w:p>
    <w:p w14:paraId="7C01711D" w14:textId="77777777" w:rsidR="00953151" w:rsidRDefault="0062321B" w:rsidP="00D87D91">
      <w:r w:rsidRPr="00DE63F7">
        <w:t xml:space="preserve">　　</w:t>
      </w:r>
      <w:r w:rsidR="00203F72" w:rsidRPr="00DE63F7">
        <w:t>考試院為中華民國國家最高考試機關，職掌不僅只限於公務人員、專門技術人員之考選，也包括文官人事行政之相關事務。有關考試院之政策及有關重大事項，都需經過考試院會議討論決定。</w:t>
      </w:r>
    </w:p>
    <w:p w14:paraId="5E5D4EA8" w14:textId="77777777" w:rsidR="00E80116" w:rsidRPr="00DE63F7" w:rsidRDefault="00E80116" w:rsidP="00D87D91"/>
    <w:p w14:paraId="3C9F7D3D" w14:textId="6EA9BCE9"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57</w:t>
      </w:r>
      <w:r w:rsidR="00076467">
        <w:rPr>
          <w:noProof/>
        </w:rPr>
        <w:fldChar w:fldCharType="end"/>
      </w:r>
      <w:r w:rsidR="00203F72" w:rsidRPr="00DE63F7">
        <w:t>有權提出法律案之提案權人一覽表</w:t>
      </w:r>
    </w:p>
    <w:tbl>
      <w:tblPr>
        <w:tblW w:w="483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1285"/>
        <w:gridCol w:w="5385"/>
      </w:tblGrid>
      <w:tr w:rsidR="00203F72" w:rsidRPr="00A53581" w14:paraId="5F984929" w14:textId="77777777" w:rsidTr="00AD6CFF">
        <w:trPr>
          <w:tblHeader/>
        </w:trPr>
        <w:tc>
          <w:tcPr>
            <w:tcW w:w="941" w:type="pct"/>
            <w:shd w:val="clear" w:color="auto" w:fill="EFFDFF"/>
          </w:tcPr>
          <w:p w14:paraId="4D9470D0" w14:textId="77777777" w:rsidR="00203F72" w:rsidRPr="00A53581" w:rsidRDefault="00203F72" w:rsidP="00D87D91">
            <w:r w:rsidRPr="00A53581">
              <w:t>提案人</w:t>
            </w:r>
          </w:p>
        </w:tc>
        <w:tc>
          <w:tcPr>
            <w:tcW w:w="782" w:type="pct"/>
            <w:shd w:val="clear" w:color="auto" w:fill="EFFDFF"/>
          </w:tcPr>
          <w:p w14:paraId="52B8CBBB" w14:textId="77777777" w:rsidR="00203F72" w:rsidRPr="00A53581" w:rsidRDefault="00203F72" w:rsidP="00D87D91">
            <w:r w:rsidRPr="00A53581">
              <w:t>可否提案</w:t>
            </w:r>
          </w:p>
        </w:tc>
        <w:tc>
          <w:tcPr>
            <w:tcW w:w="3277" w:type="pct"/>
            <w:shd w:val="clear" w:color="auto" w:fill="EFFDFF"/>
          </w:tcPr>
          <w:p w14:paraId="166C9B8E" w14:textId="77777777" w:rsidR="00203F72" w:rsidRPr="00A53581" w:rsidRDefault="00203F72" w:rsidP="00D87D91">
            <w:r w:rsidRPr="00A53581">
              <w:t>依據</w:t>
            </w:r>
          </w:p>
        </w:tc>
      </w:tr>
      <w:tr w:rsidR="00203F72" w:rsidRPr="00A53581" w14:paraId="6BEDFD33" w14:textId="77777777" w:rsidTr="00AD6CFF">
        <w:tc>
          <w:tcPr>
            <w:tcW w:w="941" w:type="pct"/>
            <w:shd w:val="clear" w:color="auto" w:fill="auto"/>
          </w:tcPr>
          <w:p w14:paraId="703B9B09" w14:textId="77777777" w:rsidR="00203F72" w:rsidRPr="00A53581" w:rsidRDefault="00203F72" w:rsidP="00D87D91">
            <w:r w:rsidRPr="00A53581">
              <w:t>行政院</w:t>
            </w:r>
          </w:p>
        </w:tc>
        <w:tc>
          <w:tcPr>
            <w:tcW w:w="782" w:type="pct"/>
            <w:shd w:val="clear" w:color="auto" w:fill="auto"/>
          </w:tcPr>
          <w:p w14:paraId="39B78CC0" w14:textId="77777777" w:rsidR="00203F72" w:rsidRPr="00A53581" w:rsidRDefault="00203F72" w:rsidP="00D87D91">
            <w:r w:rsidRPr="00A53581">
              <w:t>是</w:t>
            </w:r>
          </w:p>
        </w:tc>
        <w:tc>
          <w:tcPr>
            <w:tcW w:w="3277" w:type="pct"/>
            <w:shd w:val="clear" w:color="auto" w:fill="auto"/>
          </w:tcPr>
          <w:p w14:paraId="519F6B8E" w14:textId="77777777" w:rsidR="00203F72" w:rsidRPr="00A53581" w:rsidRDefault="00203F72" w:rsidP="00D87D91">
            <w:r w:rsidRPr="00A53581">
              <w:t>憲法</w:t>
            </w:r>
            <w:hyperlink r:id="rId875" w:anchor="a58" w:history="1">
              <w:r w:rsidR="00306E89" w:rsidRPr="00306E89">
                <w:rPr>
                  <w:rStyle w:val="a5"/>
                </w:rPr>
                <w:t>第58條</w:t>
              </w:r>
            </w:hyperlink>
            <w:r w:rsidRPr="00A53581">
              <w:t>第</w:t>
            </w:r>
            <w:r w:rsidRPr="00A53581">
              <w:t>2</w:t>
            </w:r>
            <w:r w:rsidRPr="00A53581">
              <w:t>項：「行政院院長、各部會首長，須將應行提出立法院之法律案、預算案、戒嚴案、大赦案、宣戰案、媾和案、條約案及其他重要事項，或涉及各部會共同關係之事項，提出於行政院會議議決之。」</w:t>
            </w:r>
          </w:p>
        </w:tc>
      </w:tr>
      <w:tr w:rsidR="00203F72" w:rsidRPr="00A53581" w14:paraId="4D30BFB6" w14:textId="77777777" w:rsidTr="00AD6CFF">
        <w:tc>
          <w:tcPr>
            <w:tcW w:w="941" w:type="pct"/>
            <w:shd w:val="clear" w:color="auto" w:fill="auto"/>
          </w:tcPr>
          <w:p w14:paraId="24178CD5" w14:textId="77777777" w:rsidR="00203F72" w:rsidRPr="00A53581" w:rsidRDefault="00203F72" w:rsidP="00D87D91">
            <w:r w:rsidRPr="00A53581">
              <w:t>考試院</w:t>
            </w:r>
          </w:p>
        </w:tc>
        <w:tc>
          <w:tcPr>
            <w:tcW w:w="782" w:type="pct"/>
            <w:shd w:val="clear" w:color="auto" w:fill="auto"/>
          </w:tcPr>
          <w:p w14:paraId="3682923C" w14:textId="77777777" w:rsidR="00203F72" w:rsidRPr="00A53581" w:rsidRDefault="00203F72" w:rsidP="00D87D91">
            <w:r w:rsidRPr="00A53581">
              <w:t>是</w:t>
            </w:r>
          </w:p>
        </w:tc>
        <w:tc>
          <w:tcPr>
            <w:tcW w:w="3277" w:type="pct"/>
            <w:shd w:val="clear" w:color="auto" w:fill="auto"/>
          </w:tcPr>
          <w:p w14:paraId="4A30CCE1" w14:textId="77777777" w:rsidR="00203F72" w:rsidRPr="00A53581" w:rsidRDefault="00203F72" w:rsidP="00D87D91">
            <w:r w:rsidRPr="00A53581">
              <w:t>憲法</w:t>
            </w:r>
            <w:hyperlink r:id="rId876" w:anchor="a87" w:history="1">
              <w:r w:rsidR="00B213D8" w:rsidRPr="00B213D8">
                <w:rPr>
                  <w:rStyle w:val="a5"/>
                  <w:rFonts w:eastAsia="新細明體" w:hint="eastAsia"/>
                </w:rPr>
                <w:t>第87條</w:t>
              </w:r>
            </w:hyperlink>
            <w:r w:rsidRPr="00A53581">
              <w:t>：</w:t>
            </w:r>
            <w:r w:rsidRPr="00A53581">
              <w:rPr>
                <w:kern w:val="0"/>
              </w:rPr>
              <w:t>「考試院關於所掌事項，得向立法院提出法律案。」</w:t>
            </w:r>
          </w:p>
        </w:tc>
      </w:tr>
      <w:tr w:rsidR="00203F72" w:rsidRPr="00A53581" w14:paraId="5B7427D2" w14:textId="77777777" w:rsidTr="00AD6CFF">
        <w:tc>
          <w:tcPr>
            <w:tcW w:w="941" w:type="pct"/>
            <w:shd w:val="clear" w:color="auto" w:fill="auto"/>
          </w:tcPr>
          <w:p w14:paraId="62377924" w14:textId="77777777" w:rsidR="00203F72" w:rsidRPr="00A53581" w:rsidRDefault="00203F72" w:rsidP="00D87D91">
            <w:r w:rsidRPr="00A53581">
              <w:t>監察院</w:t>
            </w:r>
          </w:p>
        </w:tc>
        <w:tc>
          <w:tcPr>
            <w:tcW w:w="782" w:type="pct"/>
            <w:shd w:val="clear" w:color="auto" w:fill="auto"/>
          </w:tcPr>
          <w:p w14:paraId="052F339F" w14:textId="77777777" w:rsidR="00203F72" w:rsidRPr="00A53581" w:rsidRDefault="00203F72" w:rsidP="00D87D91">
            <w:r w:rsidRPr="00A53581">
              <w:t>是</w:t>
            </w:r>
          </w:p>
        </w:tc>
        <w:tc>
          <w:tcPr>
            <w:tcW w:w="3277" w:type="pct"/>
            <w:shd w:val="clear" w:color="auto" w:fill="auto"/>
          </w:tcPr>
          <w:p w14:paraId="7EDC108F" w14:textId="77777777" w:rsidR="00203F72" w:rsidRPr="00A53581" w:rsidRDefault="00203F72" w:rsidP="00D87D91">
            <w:r w:rsidRPr="00A53581">
              <w:t>釋字</w:t>
            </w:r>
            <w:hyperlink r:id="rId877" w:anchor="r3" w:history="1">
              <w:r w:rsidRPr="00B213D8">
                <w:rPr>
                  <w:rStyle w:val="a5"/>
                  <w:rFonts w:eastAsia="新細明體"/>
                </w:rPr>
                <w:t>第3號</w:t>
              </w:r>
            </w:hyperlink>
            <w:r w:rsidRPr="00A53581">
              <w:t>解釋</w:t>
            </w:r>
          </w:p>
        </w:tc>
      </w:tr>
      <w:tr w:rsidR="00203F72" w:rsidRPr="00A53581" w14:paraId="5BAE59C7" w14:textId="77777777" w:rsidTr="00AD6CFF">
        <w:tc>
          <w:tcPr>
            <w:tcW w:w="941" w:type="pct"/>
            <w:shd w:val="clear" w:color="auto" w:fill="auto"/>
          </w:tcPr>
          <w:p w14:paraId="12289675" w14:textId="77777777" w:rsidR="00203F72" w:rsidRPr="00A53581" w:rsidRDefault="00203F72" w:rsidP="00D87D91">
            <w:r w:rsidRPr="00A53581">
              <w:t>司法院</w:t>
            </w:r>
          </w:p>
        </w:tc>
        <w:tc>
          <w:tcPr>
            <w:tcW w:w="782" w:type="pct"/>
            <w:shd w:val="clear" w:color="auto" w:fill="auto"/>
          </w:tcPr>
          <w:p w14:paraId="3A20C0F3" w14:textId="77777777" w:rsidR="00203F72" w:rsidRPr="00A53581" w:rsidRDefault="00203F72" w:rsidP="00D87D91">
            <w:r w:rsidRPr="00A53581">
              <w:t>是</w:t>
            </w:r>
          </w:p>
        </w:tc>
        <w:tc>
          <w:tcPr>
            <w:tcW w:w="3277" w:type="pct"/>
            <w:shd w:val="clear" w:color="auto" w:fill="auto"/>
          </w:tcPr>
          <w:p w14:paraId="1596F7D5" w14:textId="77777777" w:rsidR="00203F72" w:rsidRPr="00A53581" w:rsidRDefault="00203F72" w:rsidP="00D87D91">
            <w:r w:rsidRPr="00A53581">
              <w:t>釋字</w:t>
            </w:r>
            <w:hyperlink r:id="rId878" w:anchor="r175" w:history="1">
              <w:r w:rsidRPr="00B213D8">
                <w:rPr>
                  <w:rStyle w:val="a5"/>
                  <w:rFonts w:eastAsia="新細明體"/>
                </w:rPr>
                <w:t>第175號</w:t>
              </w:r>
            </w:hyperlink>
            <w:r w:rsidRPr="00A53581">
              <w:t>解釋</w:t>
            </w:r>
          </w:p>
        </w:tc>
      </w:tr>
      <w:tr w:rsidR="00203F72" w:rsidRPr="00A53581" w14:paraId="4A11F032" w14:textId="77777777" w:rsidTr="00AD6CFF">
        <w:tc>
          <w:tcPr>
            <w:tcW w:w="941" w:type="pct"/>
            <w:shd w:val="clear" w:color="auto" w:fill="auto"/>
          </w:tcPr>
          <w:p w14:paraId="4AB7185C" w14:textId="77777777" w:rsidR="00203F72" w:rsidRPr="00A53581" w:rsidRDefault="00203F72" w:rsidP="00D87D91">
            <w:r w:rsidRPr="00A53581">
              <w:t>立法委員</w:t>
            </w:r>
          </w:p>
        </w:tc>
        <w:tc>
          <w:tcPr>
            <w:tcW w:w="782" w:type="pct"/>
            <w:shd w:val="clear" w:color="auto" w:fill="auto"/>
          </w:tcPr>
          <w:p w14:paraId="6D2E5EEE" w14:textId="77777777" w:rsidR="00203F72" w:rsidRPr="00A53581" w:rsidRDefault="00203F72" w:rsidP="00D87D91">
            <w:r w:rsidRPr="00A53581">
              <w:t>是</w:t>
            </w:r>
          </w:p>
        </w:tc>
        <w:tc>
          <w:tcPr>
            <w:tcW w:w="3277" w:type="pct"/>
            <w:shd w:val="clear" w:color="auto" w:fill="auto"/>
          </w:tcPr>
          <w:p w14:paraId="26FCC4AD" w14:textId="77777777" w:rsidR="00203F72" w:rsidRPr="00A53581" w:rsidRDefault="00203F72" w:rsidP="00D87D91">
            <w:r w:rsidRPr="00A53581">
              <w:t>立法院議事規則</w:t>
            </w:r>
            <w:hyperlink r:id="rId879" w:anchor="a8" w:history="1">
              <w:r w:rsidR="001F6A1B" w:rsidRPr="00A5515A">
                <w:rPr>
                  <w:rStyle w:val="a5"/>
                </w:rPr>
                <w:t>第8條</w:t>
              </w:r>
            </w:hyperlink>
            <w:r w:rsidRPr="00A53581">
              <w:t>第</w:t>
            </w:r>
            <w:r w:rsidRPr="00A53581">
              <w:t>1</w:t>
            </w:r>
            <w:r w:rsidRPr="00A53581">
              <w:t>項：</w:t>
            </w:r>
            <w:r w:rsidRPr="00A53581">
              <w:rPr>
                <w:kern w:val="0"/>
              </w:rPr>
              <w:t>「立法委員提出之法律案，應有三十人以上之連署；其他提案，除另有規定外，應有二十人以上之連署。」</w:t>
            </w:r>
          </w:p>
        </w:tc>
      </w:tr>
      <w:tr w:rsidR="00203F72" w:rsidRPr="00A53581" w14:paraId="62E900B9" w14:textId="77777777" w:rsidTr="00AD6CFF">
        <w:tc>
          <w:tcPr>
            <w:tcW w:w="941" w:type="pct"/>
            <w:shd w:val="clear" w:color="auto" w:fill="auto"/>
          </w:tcPr>
          <w:p w14:paraId="2D3895B7" w14:textId="77777777" w:rsidR="00203F72" w:rsidRPr="00A53581" w:rsidRDefault="00203F72" w:rsidP="00D87D91">
            <w:r w:rsidRPr="00A53581">
              <w:t>立院黨團</w:t>
            </w:r>
          </w:p>
        </w:tc>
        <w:tc>
          <w:tcPr>
            <w:tcW w:w="782" w:type="pct"/>
            <w:shd w:val="clear" w:color="auto" w:fill="auto"/>
          </w:tcPr>
          <w:p w14:paraId="6ED4685E" w14:textId="77777777" w:rsidR="00203F72" w:rsidRPr="00A53581" w:rsidRDefault="00203F72" w:rsidP="00D87D91">
            <w:r w:rsidRPr="00A53581">
              <w:t>是</w:t>
            </w:r>
          </w:p>
        </w:tc>
        <w:tc>
          <w:tcPr>
            <w:tcW w:w="3277" w:type="pct"/>
            <w:shd w:val="clear" w:color="auto" w:fill="auto"/>
          </w:tcPr>
          <w:p w14:paraId="65B4C4A6" w14:textId="77777777" w:rsidR="00203F72" w:rsidRPr="00A53581" w:rsidRDefault="00203F72" w:rsidP="00D87D91">
            <w:r w:rsidRPr="00A53581">
              <w:t>立法院議事規則</w:t>
            </w:r>
            <w:hyperlink r:id="rId880" w:anchor="a59" w:history="1">
              <w:r w:rsidRPr="00B213D8">
                <w:rPr>
                  <w:rStyle w:val="a5"/>
                  <w:rFonts w:eastAsia="新細明體"/>
                </w:rPr>
                <w:t>第59條</w:t>
              </w:r>
            </w:hyperlink>
            <w:r w:rsidRPr="00A53581">
              <w:t>：</w:t>
            </w:r>
            <w:r w:rsidRPr="00A53581">
              <w:rPr>
                <w:kern w:val="0"/>
              </w:rPr>
              <w:t>「符合立法院組織法第三十三條規定之黨團，除法律另有規定外，得以黨團名義提案，不受本規則有關聯署或附議人數之限制。」</w:t>
            </w:r>
          </w:p>
        </w:tc>
      </w:tr>
      <w:tr w:rsidR="00203F72" w:rsidRPr="00A53581" w14:paraId="5340416A" w14:textId="77777777" w:rsidTr="00AD6CFF">
        <w:tc>
          <w:tcPr>
            <w:tcW w:w="941" w:type="pct"/>
            <w:shd w:val="clear" w:color="auto" w:fill="auto"/>
          </w:tcPr>
          <w:p w14:paraId="1FCDB30B" w14:textId="77777777" w:rsidR="00203F72" w:rsidRPr="00A53581" w:rsidRDefault="00203F72" w:rsidP="00D87D91">
            <w:r w:rsidRPr="00A53581">
              <w:t>人民請願案</w:t>
            </w:r>
          </w:p>
        </w:tc>
        <w:tc>
          <w:tcPr>
            <w:tcW w:w="782" w:type="pct"/>
            <w:shd w:val="clear" w:color="auto" w:fill="auto"/>
          </w:tcPr>
          <w:p w14:paraId="315A6DCF" w14:textId="77777777" w:rsidR="00203F72" w:rsidRPr="00A53581" w:rsidRDefault="00203F72" w:rsidP="00D87D91">
            <w:r w:rsidRPr="00A53581">
              <w:t>是</w:t>
            </w:r>
          </w:p>
        </w:tc>
        <w:tc>
          <w:tcPr>
            <w:tcW w:w="3277" w:type="pct"/>
            <w:shd w:val="clear" w:color="auto" w:fill="auto"/>
          </w:tcPr>
          <w:p w14:paraId="75337C9B" w14:textId="77777777" w:rsidR="00203F72" w:rsidRPr="00A53581" w:rsidRDefault="00203F72" w:rsidP="00D87D91">
            <w:r w:rsidRPr="00A53581">
              <w:t>憲法第</w:t>
            </w:r>
            <w:r w:rsidRPr="00A53581">
              <w:t>16</w:t>
            </w:r>
            <w:r w:rsidRPr="00A53581">
              <w:t>條：「人民有請願、訴願及訴訟之權。」立法院職權行使法第</w:t>
            </w:r>
            <w:hyperlink r:id="rId881" w:anchor="a64" w:history="1">
              <w:r w:rsidRPr="001F6A1B">
                <w:rPr>
                  <w:rStyle w:val="a5"/>
                  <w:rFonts w:eastAsia="新細明體"/>
                  <w:kern w:val="0"/>
                </w:rPr>
                <w:t>十一</w:t>
              </w:r>
            </w:hyperlink>
            <w:r w:rsidRPr="00A53581">
              <w:t>章「請願文書之審查」。</w:t>
            </w:r>
          </w:p>
        </w:tc>
      </w:tr>
      <w:tr w:rsidR="00203F72" w:rsidRPr="00A53581" w14:paraId="0E9FAFC3" w14:textId="77777777" w:rsidTr="00AD6CFF">
        <w:tc>
          <w:tcPr>
            <w:tcW w:w="941" w:type="pct"/>
            <w:shd w:val="clear" w:color="auto" w:fill="auto"/>
          </w:tcPr>
          <w:p w14:paraId="631A6A21" w14:textId="77777777" w:rsidR="00203F72" w:rsidRPr="00A53581" w:rsidRDefault="00203F72" w:rsidP="00D87D91">
            <w:r w:rsidRPr="00A53581">
              <w:t>總統</w:t>
            </w:r>
          </w:p>
        </w:tc>
        <w:tc>
          <w:tcPr>
            <w:tcW w:w="782" w:type="pct"/>
            <w:shd w:val="clear" w:color="auto" w:fill="auto"/>
          </w:tcPr>
          <w:p w14:paraId="0766600A" w14:textId="77777777" w:rsidR="00203F72" w:rsidRPr="00A53581" w:rsidRDefault="00203F72" w:rsidP="00D87D91">
            <w:r w:rsidRPr="00A53581">
              <w:t>否</w:t>
            </w:r>
          </w:p>
        </w:tc>
        <w:tc>
          <w:tcPr>
            <w:tcW w:w="3277" w:type="pct"/>
            <w:shd w:val="clear" w:color="auto" w:fill="auto"/>
          </w:tcPr>
          <w:p w14:paraId="7D7F1042" w14:textId="77777777" w:rsidR="00203F72" w:rsidRPr="00A53581" w:rsidRDefault="00203F72" w:rsidP="00D87D91"/>
        </w:tc>
      </w:tr>
      <w:tr w:rsidR="00203F72" w:rsidRPr="00A53581" w14:paraId="37E3477C" w14:textId="77777777" w:rsidTr="00AD6CFF">
        <w:tc>
          <w:tcPr>
            <w:tcW w:w="941" w:type="pct"/>
            <w:shd w:val="clear" w:color="auto" w:fill="auto"/>
          </w:tcPr>
          <w:p w14:paraId="1F268204" w14:textId="77777777" w:rsidR="00203F72" w:rsidRPr="00A53581" w:rsidRDefault="00203F72" w:rsidP="00D87D91">
            <w:r w:rsidRPr="00A53581">
              <w:t>地方自治團體</w:t>
            </w:r>
          </w:p>
        </w:tc>
        <w:tc>
          <w:tcPr>
            <w:tcW w:w="782" w:type="pct"/>
            <w:shd w:val="clear" w:color="auto" w:fill="auto"/>
          </w:tcPr>
          <w:p w14:paraId="23569372" w14:textId="77777777" w:rsidR="00203F72" w:rsidRPr="00A53581" w:rsidRDefault="00203F72" w:rsidP="00D87D91">
            <w:r w:rsidRPr="00A53581">
              <w:t>否</w:t>
            </w:r>
          </w:p>
        </w:tc>
        <w:tc>
          <w:tcPr>
            <w:tcW w:w="3277" w:type="pct"/>
            <w:shd w:val="clear" w:color="auto" w:fill="auto"/>
          </w:tcPr>
          <w:p w14:paraId="4B633489" w14:textId="77777777" w:rsidR="00203F72" w:rsidRPr="00A53581" w:rsidRDefault="00203F72" w:rsidP="00D87D91"/>
        </w:tc>
      </w:tr>
    </w:tbl>
    <w:p w14:paraId="253A201D" w14:textId="77777777" w:rsidR="00953151" w:rsidRPr="00DE63F7" w:rsidRDefault="002107CE" w:rsidP="00D87D91">
      <w:r w:rsidRPr="00DE63F7">
        <w:t>【本表格資料來源】</w:t>
      </w:r>
      <w:r w:rsidR="00203F72" w:rsidRPr="00DE63F7">
        <w:t>植憲</w:t>
      </w:r>
      <w:r w:rsidR="00203F72" w:rsidRPr="00DE63F7">
        <w:t>(2012)</w:t>
      </w:r>
      <w:r w:rsidR="00203F72" w:rsidRPr="00DE63F7">
        <w:t>，憲法必背釋字精研，</w:t>
      </w:r>
      <w:r w:rsidR="00203F72" w:rsidRPr="00DE63F7">
        <w:t>7</w:t>
      </w:r>
      <w:r w:rsidR="00203F72" w:rsidRPr="00DE63F7">
        <w:t>版</w:t>
      </w:r>
      <w:r w:rsidR="00203F72" w:rsidRPr="00DE63F7">
        <w:t>2</w:t>
      </w:r>
      <w:r w:rsidR="00203F72" w:rsidRPr="00DE63F7">
        <w:t>刷，台北市：植憲，第</w:t>
      </w:r>
      <w:r w:rsidR="00203F72" w:rsidRPr="00DE63F7">
        <w:t>5-25</w:t>
      </w:r>
      <w:r w:rsidR="00203F72" w:rsidRPr="00DE63F7">
        <w:t>頁。</w:t>
      </w:r>
    </w:p>
    <w:p w14:paraId="41EEB7A0" w14:textId="77777777" w:rsidR="00953151" w:rsidRPr="00DE63F7" w:rsidRDefault="0062321B" w:rsidP="00D87D91">
      <w:r w:rsidRPr="00DE63F7">
        <w:t xml:space="preserve">　　</w:t>
      </w:r>
      <w:r w:rsidR="00203F72" w:rsidRPr="00DE63F7">
        <w:t>司法院釋</w:t>
      </w:r>
      <w:r w:rsidR="003740AF" w:rsidRPr="00A53581">
        <w:rPr>
          <w:rFonts w:ascii="新細明體" w:hAnsi="新細明體"/>
        </w:rPr>
        <w:t>字</w:t>
      </w:r>
      <w:hyperlink r:id="rId882" w:anchor="r3" w:history="1">
        <w:r w:rsidR="003740AF" w:rsidRPr="00B213D8">
          <w:rPr>
            <w:rStyle w:val="a5"/>
            <w:rFonts w:eastAsia="新細明體"/>
          </w:rPr>
          <w:t>第3號</w:t>
        </w:r>
      </w:hyperlink>
      <w:r w:rsidR="00203F72" w:rsidRPr="00DE63F7">
        <w:t>解釋認為：「我國憲法依據　孫中山先生創立中華民國之遺教而制定，載在前言，依憲法</w:t>
      </w:r>
      <w:r w:rsidR="003740AF" w:rsidRPr="006E4258">
        <w:t>第</w:t>
      </w:r>
      <w:hyperlink r:id="rId883" w:anchor="a53" w:history="1">
        <w:r w:rsidR="003740AF" w:rsidRPr="0025067A">
          <w:rPr>
            <w:rStyle w:val="a5"/>
            <w:rFonts w:ascii="Times New Roman" w:eastAsia="新細明體" w:hAnsi="Times New Roman"/>
          </w:rPr>
          <w:t>五十三</w:t>
        </w:r>
      </w:hyperlink>
      <w:r w:rsidR="003740AF" w:rsidRPr="006E4258">
        <w:t>條</w:t>
      </w:r>
      <w:r w:rsidR="00203F72" w:rsidRPr="00DE63F7">
        <w:t>（行政）、</w:t>
      </w:r>
      <w:r w:rsidR="00881541" w:rsidRPr="00A5735A">
        <w:t>第</w:t>
      </w:r>
      <w:hyperlink r:id="rId884" w:anchor="a62" w:history="1">
        <w:r w:rsidR="00881541" w:rsidRPr="00A5735A">
          <w:rPr>
            <w:rStyle w:val="a5"/>
          </w:rPr>
          <w:t>六十二</w:t>
        </w:r>
      </w:hyperlink>
      <w:r w:rsidR="00881541" w:rsidRPr="00A5735A">
        <w:t>條</w:t>
      </w:r>
      <w:r w:rsidR="00203F72" w:rsidRPr="00DE63F7">
        <w:t>（立法）、</w:t>
      </w:r>
      <w:r w:rsidR="006B7176" w:rsidRPr="00B167C2">
        <w:t>第</w:t>
      </w:r>
      <w:hyperlink r:id="rId885" w:anchor="a77" w:history="1">
        <w:r w:rsidR="006B7176" w:rsidRPr="00B167C2">
          <w:rPr>
            <w:rStyle w:val="a5"/>
          </w:rPr>
          <w:t>七十七</w:t>
        </w:r>
      </w:hyperlink>
      <w:r w:rsidR="006B7176" w:rsidRPr="00B167C2">
        <w:t>條</w:t>
      </w:r>
      <w:r w:rsidR="00203F72" w:rsidRPr="00DE63F7">
        <w:t>（司法）、</w:t>
      </w:r>
      <w:r w:rsidR="00504052" w:rsidRPr="006D68CC">
        <w:t>第</w:t>
      </w:r>
      <w:hyperlink r:id="rId886" w:anchor="a83" w:history="1">
        <w:r w:rsidR="00504052" w:rsidRPr="00504052">
          <w:rPr>
            <w:rStyle w:val="a5"/>
            <w:rFonts w:ascii="Times New Roman" w:eastAsia="新細明體" w:hAnsi="Times New Roman"/>
          </w:rPr>
          <w:t>八十三</w:t>
        </w:r>
      </w:hyperlink>
      <w:r w:rsidR="00504052" w:rsidRPr="006D68CC">
        <w:t>條</w:t>
      </w:r>
      <w:r w:rsidR="00203F72" w:rsidRPr="00DE63F7">
        <w:t>（考試）、</w:t>
      </w:r>
      <w:r w:rsidR="009A2820" w:rsidRPr="00DE63F7">
        <w:t>第</w:t>
      </w:r>
      <w:hyperlink r:id="rId887" w:anchor="a90" w:history="1">
        <w:r w:rsidR="009A2820" w:rsidRPr="009A2820">
          <w:rPr>
            <w:rStyle w:val="a5"/>
            <w:rFonts w:ascii="Times New Roman" w:eastAsia="新細明體" w:hAnsi="Times New Roman"/>
          </w:rPr>
          <w:t>九十</w:t>
        </w:r>
      </w:hyperlink>
      <w:r w:rsidR="009A2820" w:rsidRPr="00DE63F7">
        <w:t>條</w:t>
      </w:r>
      <w:r w:rsidR="00203F72" w:rsidRPr="00DE63F7">
        <w:t>（監察）等規定建置五院。本憲法原始賦與之職權各於所掌範圍內，為國家最高機關獨立行使職權，相互平等，初無軒輊。以職務需要言，</w:t>
      </w:r>
      <w:r w:rsidR="00203F72" w:rsidRPr="00DE63F7">
        <w:t>…</w:t>
      </w:r>
      <w:r w:rsidR="00203F72" w:rsidRPr="00DE63F7">
        <w:t>考試院對於所掌事項，既得向立法院提出法律案，</w:t>
      </w:r>
      <w:r w:rsidR="00203F72" w:rsidRPr="00DE63F7">
        <w:t>…</w:t>
      </w:r>
      <w:r w:rsidR="00203F72" w:rsidRPr="00DE63F7">
        <w:t>法律案之議決雖為專屬立法院之職權，而其他各院關於所掌事項知之較稔，得各向立法院提出法律案，以為立法意見之提供者，於理於法均無不合。</w:t>
      </w:r>
      <w:r w:rsidR="00203F72" w:rsidRPr="00DE63F7">
        <w:t>…</w:t>
      </w:r>
      <w:r w:rsidR="00203F72" w:rsidRPr="00DE63F7">
        <w:t>考試院關於所掌事項，依憲法第</w:t>
      </w:r>
      <w:hyperlink r:id="rId888" w:anchor="a87" w:history="1">
        <w:r w:rsidR="00203F72" w:rsidRPr="00504052">
          <w:rPr>
            <w:rStyle w:val="a5"/>
            <w:rFonts w:ascii="Times New Roman" w:eastAsia="新細明體" w:hAnsi="Times New Roman"/>
          </w:rPr>
          <w:t>八十七</w:t>
        </w:r>
      </w:hyperlink>
      <w:r w:rsidR="00203F72" w:rsidRPr="00DE63F7">
        <w:t>條之規定，既得向立法院提出法律案，基於五權分治，平等相維之體制，</w:t>
      </w:r>
      <w:r w:rsidR="00203F72" w:rsidRPr="00DE63F7">
        <w:t>…</w:t>
      </w:r>
      <w:r w:rsidR="00203F72" w:rsidRPr="00DE63F7">
        <w:t>實與憲法之精神相符。」因考量考試院對所職掌之事項較熟悉，如有需要以立法之形式而制定相關之事項，經過考試院會議討論通過後，得向立法院提出法律案，使五院分工合作，以利考試院相關職權之順利行使。</w:t>
      </w:r>
    </w:p>
    <w:p w14:paraId="7E074CB6" w14:textId="77777777" w:rsidR="00953151" w:rsidRDefault="00076467" w:rsidP="00767F37">
      <w:pPr>
        <w:pStyle w:val="2"/>
      </w:pPr>
      <w:hyperlink r:id="rId889" w:anchor="a88" w:history="1">
        <w:r w:rsidR="005D5A46">
          <w:rPr>
            <w:rStyle w:val="a5"/>
            <w:rFonts w:ascii="Arial Unicode MS" w:hAnsi="Arial Unicode MS"/>
          </w:rPr>
          <w:t>第</w:t>
        </w:r>
        <w:r w:rsidR="00203F72" w:rsidRPr="00AB0A74">
          <w:rPr>
            <w:rStyle w:val="a5"/>
            <w:rFonts w:ascii="Arial Unicode MS" w:hAnsi="Arial Unicode MS"/>
          </w:rPr>
          <w:t>88</w:t>
        </w:r>
        <w:r w:rsidR="005D5A46">
          <w:rPr>
            <w:rStyle w:val="a5"/>
            <w:rFonts w:ascii="Arial Unicode MS" w:hAnsi="Arial Unicode MS"/>
          </w:rPr>
          <w:t>條</w:t>
        </w:r>
      </w:hyperlink>
      <w:r w:rsidR="00203F72" w:rsidRPr="00A53581">
        <w:t>考試委員須超出黨派以外，依據法律獨立行使職權。</w:t>
      </w:r>
    </w:p>
    <w:p w14:paraId="7916EF47" w14:textId="77777777" w:rsidR="00953151" w:rsidRPr="00DE63F7" w:rsidRDefault="00B03E84" w:rsidP="00D87D91">
      <w:r w:rsidRPr="00DE63F7">
        <w:t>【內容解析】</w:t>
      </w:r>
    </w:p>
    <w:p w14:paraId="7FE67F15" w14:textId="77777777" w:rsidR="00953151" w:rsidRPr="00DE63F7" w:rsidRDefault="0062321B" w:rsidP="00D87D91">
      <w:r w:rsidRPr="00DE63F7">
        <w:t xml:space="preserve">　　</w:t>
      </w:r>
      <w:r w:rsidR="00203F72" w:rsidRPr="00DE63F7">
        <w:t>由於考試必須用人唯才，超越黨派思維之外，因此考試委員任用應超出黨派之外，依法獨立行使職權。司法院釋</w:t>
      </w:r>
      <w:r w:rsidR="00043F97" w:rsidRPr="00DE63F7">
        <w:t>字</w:t>
      </w:r>
      <w:hyperlink r:id="rId890"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解釋認為：「國家機關獨立行使職權受憲法之保障者，例如</w:t>
      </w:r>
      <w:r w:rsidR="00203F72" w:rsidRPr="00DE63F7">
        <w:t>…</w:t>
      </w:r>
      <w:r w:rsidR="00203F72" w:rsidRPr="00DE63F7">
        <w:t>考試委員</w:t>
      </w:r>
      <w:r w:rsidR="00203F72" w:rsidRPr="00DE63F7">
        <w:t>…</w:t>
      </w:r>
      <w:r w:rsidR="00203F72" w:rsidRPr="00DE63F7">
        <w:t>獨立行使職權，憲法</w:t>
      </w:r>
      <w:r w:rsidR="006B7176" w:rsidRPr="00686D2C">
        <w:t>第</w:t>
      </w:r>
      <w:hyperlink r:id="rId891" w:anchor="a80" w:history="1">
        <w:r w:rsidR="006B7176" w:rsidRPr="006B7176">
          <w:rPr>
            <w:rStyle w:val="a5"/>
            <w:rFonts w:ascii="Times New Roman" w:eastAsia="新細明體" w:hAnsi="Times New Roman"/>
          </w:rPr>
          <w:t>八十</w:t>
        </w:r>
      </w:hyperlink>
      <w:r w:rsidR="006B7176" w:rsidRPr="00686D2C">
        <w:t>條</w:t>
      </w:r>
      <w:r w:rsidR="00203F72" w:rsidRPr="00DE63F7">
        <w:t>、第</w:t>
      </w:r>
      <w:hyperlink r:id="rId892" w:anchor="a88" w:history="1">
        <w:r w:rsidR="00203F72" w:rsidRPr="00B23D06">
          <w:rPr>
            <w:rStyle w:val="a5"/>
            <w:rFonts w:ascii="Times New Roman" w:eastAsia="新細明體" w:hAnsi="Times New Roman"/>
          </w:rPr>
          <w:t>八十八</w:t>
        </w:r>
      </w:hyperlink>
      <w:r w:rsidR="00203F72" w:rsidRPr="00DE63F7">
        <w:t>條、</w:t>
      </w:r>
      <w:hyperlink r:id="rId893" w:history="1">
        <w:r w:rsidR="00203F72" w:rsidRPr="003740AF">
          <w:rPr>
            <w:rStyle w:val="a5"/>
            <w:rFonts w:ascii="Times New Roman" w:eastAsia="新細明體" w:hAnsi="Times New Roman"/>
          </w:rPr>
          <w:t>憲法增修條</w:t>
        </w:r>
        <w:r w:rsidR="00B23D06" w:rsidRPr="003740AF">
          <w:rPr>
            <w:rStyle w:val="a5"/>
            <w:rFonts w:ascii="Times New Roman" w:eastAsia="新細明體" w:hAnsi="Times New Roman"/>
          </w:rPr>
          <w:t>文</w:t>
        </w:r>
      </w:hyperlink>
      <w:r w:rsidR="00B23D06" w:rsidRPr="00DE63F7">
        <w:t>第</w:t>
      </w:r>
      <w:r w:rsidR="00B23D06" w:rsidRPr="003740AF">
        <w:t>十五</w:t>
      </w:r>
      <w:r w:rsidR="00B23D06" w:rsidRPr="00DE63F7">
        <w:t>條</w:t>
      </w:r>
      <w:r w:rsidR="00203F72" w:rsidRPr="00DE63F7">
        <w:t>第六項均有明文保障；</w:t>
      </w:r>
      <w:r w:rsidR="00203F72" w:rsidRPr="00DE63F7">
        <w:t>…</w:t>
      </w:r>
      <w:r w:rsidR="00203F72" w:rsidRPr="00DE63F7">
        <w:t>上述人員之職權，既應獨立行使，自必須在免於外力干涉下獨立判斷。故如</w:t>
      </w:r>
      <w:r w:rsidR="00203F72" w:rsidRPr="00DE63F7">
        <w:t>…</w:t>
      </w:r>
      <w:r w:rsidR="00203F72" w:rsidRPr="00DE63F7">
        <w:t>考試機機對於應考人成績之評定、</w:t>
      </w:r>
      <w:r w:rsidR="00203F72" w:rsidRPr="00DE63F7">
        <w:t>…</w:t>
      </w:r>
      <w:r w:rsidR="00203F72" w:rsidRPr="00DE63F7">
        <w:t>監察院對之行使調查權，本受有限制，基於同一理由，立法院之調閱檔，亦同受限制。」</w:t>
      </w:r>
    </w:p>
    <w:p w14:paraId="48A6586B" w14:textId="77777777" w:rsidR="00953151" w:rsidRPr="00DE63F7" w:rsidRDefault="0062321B" w:rsidP="00D87D91">
      <w:r w:rsidRPr="00DE63F7">
        <w:t xml:space="preserve">　　</w:t>
      </w:r>
      <w:r w:rsidR="00203F72" w:rsidRPr="00DE63F7">
        <w:t>公職人員之考試，關係國家政府部門工作之績效與聲望。專門技術人員之考試，涉及社會上重要工作之執行者是否具備足夠之專業知能，因之，考試委員必須秉持專業，不受牽制，獨立判斷地行使其職權。</w:t>
      </w:r>
    </w:p>
    <w:p w14:paraId="309ACA3A" w14:textId="77777777" w:rsidR="00953151" w:rsidRDefault="00076467" w:rsidP="00767F37">
      <w:pPr>
        <w:pStyle w:val="2"/>
      </w:pPr>
      <w:hyperlink r:id="rId894" w:anchor="a89" w:history="1">
        <w:r w:rsidR="005D5A46">
          <w:rPr>
            <w:rStyle w:val="a5"/>
            <w:rFonts w:ascii="Arial Unicode MS" w:hAnsi="Arial Unicode MS"/>
          </w:rPr>
          <w:t>第</w:t>
        </w:r>
        <w:r w:rsidR="00203F72" w:rsidRPr="00AB0A74">
          <w:rPr>
            <w:rStyle w:val="a5"/>
            <w:rFonts w:ascii="Arial Unicode MS" w:hAnsi="Arial Unicode MS"/>
          </w:rPr>
          <w:t>89</w:t>
        </w:r>
        <w:r w:rsidR="005D5A46">
          <w:rPr>
            <w:rStyle w:val="a5"/>
            <w:rFonts w:ascii="Arial Unicode MS" w:hAnsi="Arial Unicode MS"/>
          </w:rPr>
          <w:t>條</w:t>
        </w:r>
      </w:hyperlink>
      <w:r w:rsidR="00203F72" w:rsidRPr="00A53581">
        <w:t>考試院之組織，以法律定之。</w:t>
      </w:r>
    </w:p>
    <w:p w14:paraId="3D4CE63E" w14:textId="77777777" w:rsidR="00953151" w:rsidRPr="00DE63F7" w:rsidRDefault="00B03E84" w:rsidP="00D87D91">
      <w:r w:rsidRPr="00DE63F7">
        <w:t>【內容解析】</w:t>
      </w:r>
    </w:p>
    <w:p w14:paraId="4A29A3D3" w14:textId="77777777" w:rsidR="00953151" w:rsidRPr="00DE63F7" w:rsidRDefault="0062321B" w:rsidP="00D87D91">
      <w:r w:rsidRPr="00DE63F7">
        <w:t xml:space="preserve">　　</w:t>
      </w:r>
      <w:r w:rsidR="00203F72" w:rsidRPr="00DE63F7">
        <w:t>依考試院組織法，考試院設考試院會議，以院長為主席，由院長、副院長、考試委員及前條各部會首長組織之，決定憲法所定職掌之政策及其有關重大事項。下設考選部、銓敘部、公務人員保障暨培訓委員會，並得於各省設考銓處。其下各部會以</w:t>
      </w:r>
      <w:hyperlink r:id="rId895" w:history="1">
        <w:r w:rsidR="00203F72" w:rsidRPr="00504052">
          <w:rPr>
            <w:rStyle w:val="a5"/>
            <w:rFonts w:ascii="Times New Roman" w:eastAsia="新細明體" w:hAnsi="Times New Roman"/>
          </w:rPr>
          <w:t>考選部組織法</w:t>
        </w:r>
      </w:hyperlink>
      <w:r w:rsidR="00203F72" w:rsidRPr="00DE63F7">
        <w:t>、</w:t>
      </w:r>
      <w:hyperlink r:id="rId896" w:history="1">
        <w:r w:rsidR="00203F72" w:rsidRPr="00504052">
          <w:rPr>
            <w:rStyle w:val="a5"/>
            <w:rFonts w:ascii="Times New Roman" w:eastAsia="新細明體" w:hAnsi="Times New Roman"/>
          </w:rPr>
          <w:t>銓敘部組織法</w:t>
        </w:r>
      </w:hyperlink>
      <w:r w:rsidR="00203F72" w:rsidRPr="00DE63F7">
        <w:t>、</w:t>
      </w:r>
      <w:hyperlink r:id="rId897" w:history="1">
        <w:r w:rsidR="00203F72" w:rsidRPr="00504052">
          <w:rPr>
            <w:rStyle w:val="a5"/>
            <w:rFonts w:ascii="Times New Roman" w:eastAsia="新細明體" w:hAnsi="Times New Roman"/>
          </w:rPr>
          <w:t>公務人員保障暨培訓委員會組織法</w:t>
        </w:r>
      </w:hyperlink>
      <w:r w:rsidR="00203F72" w:rsidRPr="00DE63F7">
        <w:t>規範之。</w:t>
      </w:r>
    </w:p>
    <w:p w14:paraId="3A7EC48C" w14:textId="77777777" w:rsidR="00953151" w:rsidRPr="00DE63F7" w:rsidRDefault="0062321B" w:rsidP="00D87D91">
      <w:r w:rsidRPr="00DE63F7">
        <w:t xml:space="preserve">　　</w:t>
      </w:r>
      <w:r w:rsidR="00203F72" w:rsidRPr="00DE63F7">
        <w:t>就考選部而論，考選部掌理全國考選行政事宜，對於承辦考選行政事務之機關有指示監督之權。設下列各司、處、室：一、考選規劃司。二、高普考試司。三、特種考試司。四、專技考試司。五、總務司。六、題庫管理處。七、資訊管理處。八、秘書室。</w:t>
      </w:r>
    </w:p>
    <w:p w14:paraId="2C47021B" w14:textId="77777777" w:rsidR="00953151" w:rsidRPr="00DE63F7" w:rsidRDefault="0062321B" w:rsidP="00D87D91">
      <w:r w:rsidRPr="00DE63F7">
        <w:t xml:space="preserve">　　</w:t>
      </w:r>
      <w:r w:rsidR="00203F72" w:rsidRPr="00DE63F7">
        <w:t>另就銓敘部而言，銓敘部掌理全國公務員之銓敘及各機關人事機構之管理事項。設左列各司、室：一、法規司。二、銓審司。三、特審司。四、退撫司。五、人事管理司。六、地方公務人員銓敘司。七、總務司。八、秘書室。</w:t>
      </w:r>
    </w:p>
    <w:p w14:paraId="3B289815" w14:textId="77777777" w:rsidR="00953151" w:rsidRPr="00DE63F7" w:rsidRDefault="0062321B" w:rsidP="00D87D91">
      <w:r w:rsidRPr="00DE63F7">
        <w:t xml:space="preserve">　　</w:t>
      </w:r>
      <w:r w:rsidR="00203F72" w:rsidRPr="00DE63F7">
        <w:t>就公務人員保障暨培訓委員會而論，保障暨培訓委員會會議每月舉行一次，由主任委員召集之；必要時得召開臨時會議，審議、決定有關公務人員保障事件，及公務人員培訓之政策、法規之審議決定事項。該會設置主任委員一人，特任；副主任委員二人，其中一人職務比照簡任第十四職等，另一人職務列簡任第十四職等，委員十人至十四人，其中五人至七人專任，職務比照簡任第十三職等，由考試院院長提請總統任命之；餘五人至七人兼任，由考試院院長聘兼之；任期均為三年，任滿得連任。但兼任委員為有關機關副首長者，其任期隨職務異動而更易。前項專任委員具有同一黨籍者，不超過其總額二分之一。</w:t>
      </w:r>
    </w:p>
    <w:p w14:paraId="1F5F220A" w14:textId="77777777" w:rsidR="00953151" w:rsidRPr="00DE63F7" w:rsidRDefault="0062321B" w:rsidP="00D87D91">
      <w:r w:rsidRPr="00DE63F7">
        <w:t xml:space="preserve">　　</w:t>
      </w:r>
      <w:r w:rsidR="00203F72" w:rsidRPr="00DE63F7">
        <w:t>公務人員保障暨培訓委員會掌理下列事項：一、關於公務人員保障與培訓政策、法制之研擬、訂定及其執行事項。二、關於公務人員身分、工作條件、官職等級、俸給與其他公法上財產權等有關權益保障之研議及建議事項。三、關於公務人員保障事件之審議、查證、調處及決定事項。四、關於公務人員保障業務之宣導、輔導及協調聯繫事項。五、關於高階公務人員之中長期培訓事項。六、關於公務人員考試錄取、升任官等、行政中立及其他有關訓練事項。七、關於人事人員訓練、進修之研擬規劃及委託事項。八、關於公務人員終身學習推動事項。九、關於培訓機關（構）之資源共用、整合之協調事項。十、關於公務人員訓練評鑑方法與技術之研發、各項培訓需求評析及績效評估事項。十一、關於公務人員保障與培訓之國際交流合作事項。十二、其他有關公務人員之保障及培訓事項。</w:t>
      </w:r>
    </w:p>
    <w:p w14:paraId="1FA9AD41" w14:textId="77777777"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4B68655D" w14:textId="77777777" w:rsidR="00545D58" w:rsidRDefault="00545D58" w:rsidP="00D87D91"/>
    <w:p w14:paraId="7F0576F3" w14:textId="77777777" w:rsidR="00953151" w:rsidRDefault="00203F72" w:rsidP="00767F37">
      <w:pPr>
        <w:pStyle w:val="2"/>
      </w:pPr>
      <w:bookmarkStart w:id="36" w:name="_第九章_監察"/>
      <w:bookmarkEnd w:id="36"/>
      <w:r w:rsidRPr="00A53581">
        <w:t>第九章</w:t>
      </w:r>
      <w:r w:rsidRPr="00A53581">
        <w:t xml:space="preserve"> </w:t>
      </w:r>
      <w:r w:rsidRPr="00A53581">
        <w:t>監察</w:t>
      </w:r>
      <w:r w:rsidRPr="00A53581">
        <w:t xml:space="preserve"> </w:t>
      </w:r>
    </w:p>
    <w:p w14:paraId="0FB14423" w14:textId="77777777" w:rsidR="00953151" w:rsidRDefault="00076467" w:rsidP="00767F37">
      <w:pPr>
        <w:pStyle w:val="2"/>
      </w:pPr>
      <w:hyperlink r:id="rId898" w:anchor="a89" w:history="1">
        <w:r w:rsidR="005D5A46">
          <w:rPr>
            <w:rStyle w:val="a5"/>
            <w:rFonts w:ascii="Arial Unicode MS" w:hAnsi="Arial Unicode MS"/>
          </w:rPr>
          <w:t>第</w:t>
        </w:r>
        <w:r w:rsidR="00203F72" w:rsidRPr="00AB0A74">
          <w:rPr>
            <w:rStyle w:val="a5"/>
            <w:rFonts w:ascii="Arial Unicode MS" w:hAnsi="Arial Unicode MS"/>
          </w:rPr>
          <w:t>90</w:t>
        </w:r>
        <w:r w:rsidR="005D5A46">
          <w:rPr>
            <w:rStyle w:val="a5"/>
            <w:rFonts w:ascii="Arial Unicode MS" w:hAnsi="Arial Unicode MS"/>
          </w:rPr>
          <w:t>條</w:t>
        </w:r>
      </w:hyperlink>
      <w:r w:rsidR="00203F72" w:rsidRPr="00A53581">
        <w:t>監察院為國家最高監察機關，行使同意、彈劾、糾舉及審計權。</w:t>
      </w:r>
    </w:p>
    <w:p w14:paraId="1E8FAFEF" w14:textId="77777777" w:rsidR="00953151" w:rsidRPr="00DE63F7" w:rsidRDefault="00B03E84" w:rsidP="00D87D91">
      <w:r w:rsidRPr="00DE63F7">
        <w:t>【內容解析】</w:t>
      </w:r>
    </w:p>
    <w:p w14:paraId="095D26AA" w14:textId="77777777" w:rsidR="00953151" w:rsidRDefault="0062321B" w:rsidP="00D87D91">
      <w:r w:rsidRPr="00DE63F7">
        <w:t xml:space="preserve">　　</w:t>
      </w:r>
      <w:r w:rsidR="00203F72" w:rsidRPr="00DE63F7">
        <w:t>司法院釋</w:t>
      </w:r>
      <w:r w:rsidR="0004558E" w:rsidRPr="00A53581">
        <w:rPr>
          <w:rFonts w:ascii="新細明體" w:hAnsi="新細明體"/>
        </w:rPr>
        <w:t>字</w:t>
      </w:r>
      <w:hyperlink r:id="rId899" w:anchor="r76" w:history="1">
        <w:r w:rsidR="0004558E" w:rsidRPr="00482FC4">
          <w:rPr>
            <w:rStyle w:val="a5"/>
          </w:rPr>
          <w:t>第76號</w:t>
        </w:r>
      </w:hyperlink>
      <w:r w:rsidR="00203F72" w:rsidRPr="00DE63F7">
        <w:t>解釋認為：「我國憲法係依據</w:t>
      </w:r>
      <w:r w:rsidR="00203F72" w:rsidRPr="00DE63F7">
        <w:t> </w:t>
      </w:r>
      <w:r w:rsidR="00203F72" w:rsidRPr="00DE63F7">
        <w:t>孫中山先生之遺教而制定，於國民大會外，並建立五院，與三權分立制度本難比擬。</w:t>
      </w:r>
      <w:r w:rsidR="00203F72" w:rsidRPr="00DE63F7">
        <w:t>…</w:t>
      </w:r>
      <w:r w:rsidR="00203F72" w:rsidRPr="00DE63F7">
        <w:t>立法院為國家最高立法機關，監察院為國家最高監察機關，</w:t>
      </w:r>
      <w:r w:rsidR="00203F72" w:rsidRPr="00DE63F7">
        <w:t>…</w:t>
      </w:r>
      <w:r w:rsidR="00203F72" w:rsidRPr="00DE63F7">
        <w:t>其所分別行使之職權亦為民主國家國會重要之職權。」根據上述司法院釋</w:t>
      </w:r>
      <w:r w:rsidR="0004558E" w:rsidRPr="00A53581">
        <w:rPr>
          <w:rFonts w:ascii="新細明體" w:hAnsi="新細明體"/>
        </w:rPr>
        <w:t>字</w:t>
      </w:r>
      <w:hyperlink r:id="rId900" w:anchor="r76" w:history="1">
        <w:r w:rsidR="0004558E" w:rsidRPr="00482FC4">
          <w:rPr>
            <w:rStyle w:val="a5"/>
          </w:rPr>
          <w:t>第76號</w:t>
        </w:r>
      </w:hyperlink>
      <w:r w:rsidR="00203F72" w:rsidRPr="00DE63F7">
        <w:t>之解釋，我國憲法係採取五權分立之制度。另外，司法院釋</w:t>
      </w:r>
      <w:r w:rsidR="00043F97" w:rsidRPr="00DE63F7">
        <w:t>字</w:t>
      </w:r>
      <w:hyperlink r:id="rId901"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解釋認為：「憲法於國民大會之外，設立五院分掌行政、立法、司法、考試、監察五權，均為國家最高機關，彼此職權，並經憲法予以劃分」。</w:t>
      </w:r>
    </w:p>
    <w:p w14:paraId="55A0FC22" w14:textId="77777777" w:rsidR="00A5515A" w:rsidRPr="00DE63F7" w:rsidRDefault="00A5515A" w:rsidP="00D87D91"/>
    <w:p w14:paraId="1BF57CEB" w14:textId="68EFCC83"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58</w:t>
      </w:r>
      <w:r w:rsidR="00076467">
        <w:rPr>
          <w:noProof/>
        </w:rPr>
        <w:fldChar w:fldCharType="end"/>
      </w:r>
      <w:r w:rsidR="00203F72" w:rsidRPr="00DE63F7">
        <w:t>各國監察制度之基本類型一覽表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272"/>
        <w:gridCol w:w="140"/>
        <w:gridCol w:w="992"/>
        <w:gridCol w:w="1980"/>
        <w:gridCol w:w="2848"/>
      </w:tblGrid>
      <w:tr w:rsidR="00203F72" w:rsidRPr="00A53581" w14:paraId="3F77BE6E" w14:textId="77777777" w:rsidTr="00AB0A74">
        <w:trPr>
          <w:tblHeader/>
        </w:trPr>
        <w:tc>
          <w:tcPr>
            <w:tcW w:w="445" w:type="pct"/>
            <w:shd w:val="clear" w:color="auto" w:fill="EFFDFF"/>
          </w:tcPr>
          <w:p w14:paraId="33C611AC" w14:textId="77777777" w:rsidR="00203F72" w:rsidRPr="00A53581" w:rsidRDefault="00203F72" w:rsidP="00D87D91">
            <w:r w:rsidRPr="00A53581">
              <w:t>分類標準</w:t>
            </w:r>
          </w:p>
        </w:tc>
        <w:tc>
          <w:tcPr>
            <w:tcW w:w="2761" w:type="pct"/>
            <w:gridSpan w:val="4"/>
            <w:shd w:val="clear" w:color="auto" w:fill="EFFDFF"/>
          </w:tcPr>
          <w:p w14:paraId="50A0C634" w14:textId="77777777" w:rsidR="00203F72" w:rsidRPr="00A53581" w:rsidRDefault="00203F72" w:rsidP="00D87D91">
            <w:r w:rsidRPr="00A53581">
              <w:t>基本類型</w:t>
            </w:r>
          </w:p>
        </w:tc>
        <w:tc>
          <w:tcPr>
            <w:tcW w:w="1795" w:type="pct"/>
            <w:shd w:val="clear" w:color="auto" w:fill="EFFDFF"/>
          </w:tcPr>
          <w:p w14:paraId="42E0A71C" w14:textId="77777777" w:rsidR="00203F72" w:rsidRPr="00A53581" w:rsidRDefault="00203F72" w:rsidP="00D87D91">
            <w:r w:rsidRPr="00A53581">
              <w:t>備註</w:t>
            </w:r>
          </w:p>
        </w:tc>
      </w:tr>
      <w:tr w:rsidR="00203F72" w:rsidRPr="00A53581" w14:paraId="302C7685" w14:textId="77777777" w:rsidTr="00203F72">
        <w:tc>
          <w:tcPr>
            <w:tcW w:w="445" w:type="pct"/>
            <w:vMerge w:val="restart"/>
            <w:shd w:val="clear" w:color="auto" w:fill="auto"/>
          </w:tcPr>
          <w:p w14:paraId="6FD152F5" w14:textId="77777777" w:rsidR="00203F72" w:rsidRPr="00A53581" w:rsidRDefault="00203F72" w:rsidP="00D87D91">
            <w:r w:rsidRPr="00A53581">
              <w:t>監督型態</w:t>
            </w:r>
          </w:p>
        </w:tc>
        <w:tc>
          <w:tcPr>
            <w:tcW w:w="801" w:type="pct"/>
            <w:shd w:val="clear" w:color="auto" w:fill="auto"/>
          </w:tcPr>
          <w:p w14:paraId="4C686868" w14:textId="77777777" w:rsidR="00203F72" w:rsidRPr="00A53581" w:rsidRDefault="00203F72" w:rsidP="00D87D91">
            <w:r w:rsidRPr="00A53581">
              <w:t>外部型</w:t>
            </w:r>
          </w:p>
        </w:tc>
        <w:tc>
          <w:tcPr>
            <w:tcW w:w="1960" w:type="pct"/>
            <w:gridSpan w:val="3"/>
            <w:shd w:val="clear" w:color="auto" w:fill="auto"/>
          </w:tcPr>
          <w:p w14:paraId="5C7A2ABB" w14:textId="77777777" w:rsidR="00203F72" w:rsidRPr="00A53581" w:rsidRDefault="00203F72" w:rsidP="00D87D91">
            <w:r w:rsidRPr="00A53581">
              <w:t>行政機關外部之監督機制（如我國監察院）</w:t>
            </w:r>
          </w:p>
        </w:tc>
        <w:tc>
          <w:tcPr>
            <w:tcW w:w="1795" w:type="pct"/>
            <w:shd w:val="clear" w:color="auto" w:fill="auto"/>
          </w:tcPr>
          <w:p w14:paraId="55C636AD" w14:textId="77777777" w:rsidR="00203F72" w:rsidRPr="00A53581" w:rsidRDefault="00203F72" w:rsidP="00D87D91">
            <w:r w:rsidRPr="00A53581">
              <w:t>「外部性」＋「由下而上」</w:t>
            </w:r>
            <w:r w:rsidRPr="00A53581">
              <w:t>→</w:t>
            </w:r>
            <w:r w:rsidRPr="00A53581">
              <w:t>「他律」</w:t>
            </w:r>
          </w:p>
        </w:tc>
      </w:tr>
      <w:tr w:rsidR="00203F72" w:rsidRPr="00A53581" w14:paraId="7F189FAC" w14:textId="77777777" w:rsidTr="00203F72">
        <w:tc>
          <w:tcPr>
            <w:tcW w:w="445" w:type="pct"/>
            <w:vMerge/>
            <w:shd w:val="clear" w:color="auto" w:fill="auto"/>
          </w:tcPr>
          <w:p w14:paraId="34CBA6D5" w14:textId="77777777" w:rsidR="00203F72" w:rsidRPr="00A53581" w:rsidRDefault="00203F72" w:rsidP="00D87D91"/>
        </w:tc>
        <w:tc>
          <w:tcPr>
            <w:tcW w:w="801" w:type="pct"/>
            <w:shd w:val="clear" w:color="auto" w:fill="auto"/>
          </w:tcPr>
          <w:p w14:paraId="03CBFD0B" w14:textId="77777777" w:rsidR="00203F72" w:rsidRPr="00A53581" w:rsidRDefault="00203F72" w:rsidP="00D87D91">
            <w:r w:rsidRPr="00A53581">
              <w:t>內部型</w:t>
            </w:r>
          </w:p>
        </w:tc>
        <w:tc>
          <w:tcPr>
            <w:tcW w:w="1960" w:type="pct"/>
            <w:gridSpan w:val="3"/>
            <w:shd w:val="clear" w:color="auto" w:fill="auto"/>
          </w:tcPr>
          <w:p w14:paraId="43B7434C" w14:textId="77777777" w:rsidR="00203F72" w:rsidRPr="00A53581" w:rsidRDefault="00203F72" w:rsidP="00D87D91">
            <w:r w:rsidRPr="00A53581">
              <w:t>行政機關內部之控管機制（如我國國防及警政機關內之督察單位）</w:t>
            </w:r>
          </w:p>
        </w:tc>
        <w:tc>
          <w:tcPr>
            <w:tcW w:w="1795" w:type="pct"/>
            <w:shd w:val="clear" w:color="auto" w:fill="auto"/>
          </w:tcPr>
          <w:p w14:paraId="689D8C34" w14:textId="77777777" w:rsidR="00203F72" w:rsidRPr="00A53581" w:rsidRDefault="00203F72" w:rsidP="00D87D91">
            <w:r w:rsidRPr="00A53581">
              <w:t>「內部性」＋「由上而下」</w:t>
            </w:r>
            <w:r w:rsidRPr="00A53581">
              <w:t>→</w:t>
            </w:r>
            <w:r w:rsidRPr="00A53581">
              <w:t>「自律」</w:t>
            </w:r>
          </w:p>
        </w:tc>
      </w:tr>
      <w:tr w:rsidR="00203F72" w:rsidRPr="00A53581" w14:paraId="3E3B2094" w14:textId="77777777" w:rsidTr="00203F72">
        <w:tc>
          <w:tcPr>
            <w:tcW w:w="445" w:type="pct"/>
            <w:vMerge w:val="restart"/>
            <w:shd w:val="clear" w:color="auto" w:fill="auto"/>
          </w:tcPr>
          <w:p w14:paraId="6EB28231" w14:textId="77777777" w:rsidR="00203F72" w:rsidRPr="00A53581" w:rsidRDefault="00203F72" w:rsidP="00D87D91">
            <w:r w:rsidRPr="00A53581">
              <w:t>隸屬關係</w:t>
            </w:r>
          </w:p>
        </w:tc>
        <w:tc>
          <w:tcPr>
            <w:tcW w:w="801" w:type="pct"/>
            <w:shd w:val="clear" w:color="auto" w:fill="auto"/>
          </w:tcPr>
          <w:p w14:paraId="5139839E" w14:textId="77777777" w:rsidR="00203F72" w:rsidRPr="00A53581" w:rsidRDefault="00203F72" w:rsidP="00D87D91">
            <w:r w:rsidRPr="00A53581">
              <w:t>立法型</w:t>
            </w:r>
          </w:p>
        </w:tc>
        <w:tc>
          <w:tcPr>
            <w:tcW w:w="1960" w:type="pct"/>
            <w:gridSpan w:val="3"/>
            <w:shd w:val="clear" w:color="auto" w:fill="auto"/>
          </w:tcPr>
          <w:p w14:paraId="267B1AF1" w14:textId="77777777" w:rsidR="00203F72" w:rsidRPr="00A53581" w:rsidRDefault="00203F72" w:rsidP="00D87D91">
            <w:r w:rsidRPr="00A53581">
              <w:t>國會監察使</w:t>
            </w:r>
          </w:p>
        </w:tc>
        <w:tc>
          <w:tcPr>
            <w:tcW w:w="1795" w:type="pct"/>
            <w:shd w:val="clear" w:color="auto" w:fill="auto"/>
          </w:tcPr>
          <w:p w14:paraId="5BC56185" w14:textId="77777777" w:rsidR="00203F72" w:rsidRPr="00A53581" w:rsidRDefault="00203F72" w:rsidP="00D87D91">
            <w:r w:rsidRPr="00A53581">
              <w:t>隸屬於國會</w:t>
            </w:r>
            <w:r w:rsidRPr="00A53581">
              <w:t>(</w:t>
            </w:r>
            <w:r w:rsidRPr="00A53581">
              <w:t>如瑞典</w:t>
            </w:r>
            <w:r w:rsidRPr="00A53581">
              <w:t>)</w:t>
            </w:r>
          </w:p>
        </w:tc>
      </w:tr>
      <w:tr w:rsidR="00203F72" w:rsidRPr="00A53581" w14:paraId="6B732CAF" w14:textId="77777777" w:rsidTr="00203F72">
        <w:tc>
          <w:tcPr>
            <w:tcW w:w="445" w:type="pct"/>
            <w:vMerge/>
            <w:shd w:val="clear" w:color="auto" w:fill="auto"/>
          </w:tcPr>
          <w:p w14:paraId="7D5DB1DE" w14:textId="77777777" w:rsidR="00203F72" w:rsidRPr="00A53581" w:rsidRDefault="00203F72" w:rsidP="00D87D91"/>
        </w:tc>
        <w:tc>
          <w:tcPr>
            <w:tcW w:w="801" w:type="pct"/>
            <w:shd w:val="clear" w:color="auto" w:fill="auto"/>
          </w:tcPr>
          <w:p w14:paraId="0E7D8544" w14:textId="77777777" w:rsidR="00203F72" w:rsidRPr="00A53581" w:rsidRDefault="00203F72" w:rsidP="00D87D91">
            <w:r w:rsidRPr="00A53581">
              <w:t>獨立型</w:t>
            </w:r>
          </w:p>
        </w:tc>
        <w:tc>
          <w:tcPr>
            <w:tcW w:w="1960" w:type="pct"/>
            <w:gridSpan w:val="3"/>
            <w:shd w:val="clear" w:color="auto" w:fill="auto"/>
          </w:tcPr>
          <w:p w14:paraId="006E3FAC" w14:textId="77777777" w:rsidR="00203F72" w:rsidRPr="00A53581" w:rsidRDefault="00203F72" w:rsidP="00D87D91">
            <w:r w:rsidRPr="00A53581">
              <w:t>獨立設置之監察機關</w:t>
            </w:r>
          </w:p>
        </w:tc>
        <w:tc>
          <w:tcPr>
            <w:tcW w:w="1795" w:type="pct"/>
            <w:shd w:val="clear" w:color="auto" w:fill="auto"/>
          </w:tcPr>
          <w:p w14:paraId="208D6548" w14:textId="77777777" w:rsidR="00203F72" w:rsidRPr="00A53581" w:rsidRDefault="00203F72" w:rsidP="00D87D91">
            <w:r w:rsidRPr="00A53581">
              <w:t>獨立於行政、立法和司法部門之外</w:t>
            </w:r>
            <w:r w:rsidRPr="00A53581">
              <w:t>(</w:t>
            </w:r>
            <w:r w:rsidRPr="00A53581">
              <w:t>如中華民國</w:t>
            </w:r>
            <w:r w:rsidRPr="00A53581">
              <w:t>)</w:t>
            </w:r>
          </w:p>
        </w:tc>
      </w:tr>
      <w:tr w:rsidR="00203F72" w:rsidRPr="00A53581" w14:paraId="220DA70B" w14:textId="77777777" w:rsidTr="00203F72">
        <w:tc>
          <w:tcPr>
            <w:tcW w:w="445" w:type="pct"/>
            <w:vMerge/>
            <w:shd w:val="clear" w:color="auto" w:fill="auto"/>
          </w:tcPr>
          <w:p w14:paraId="3C861D63" w14:textId="77777777" w:rsidR="00203F72" w:rsidRPr="00A53581" w:rsidRDefault="00203F72" w:rsidP="00D87D91"/>
        </w:tc>
        <w:tc>
          <w:tcPr>
            <w:tcW w:w="801" w:type="pct"/>
            <w:shd w:val="clear" w:color="auto" w:fill="auto"/>
          </w:tcPr>
          <w:p w14:paraId="00223F1A" w14:textId="77777777" w:rsidR="00203F72" w:rsidRPr="00A53581" w:rsidRDefault="00203F72" w:rsidP="00D87D91">
            <w:r w:rsidRPr="00A53581">
              <w:t>行政型</w:t>
            </w:r>
          </w:p>
        </w:tc>
        <w:tc>
          <w:tcPr>
            <w:tcW w:w="1960" w:type="pct"/>
            <w:gridSpan w:val="3"/>
            <w:shd w:val="clear" w:color="auto" w:fill="auto"/>
          </w:tcPr>
          <w:p w14:paraId="3CDB7DA5" w14:textId="77777777" w:rsidR="00203F72" w:rsidRPr="00A53581" w:rsidRDefault="00203F72" w:rsidP="00D87D91">
            <w:r w:rsidRPr="00A53581">
              <w:t>行政監察制度</w:t>
            </w:r>
          </w:p>
        </w:tc>
        <w:tc>
          <w:tcPr>
            <w:tcW w:w="1795" w:type="pct"/>
            <w:shd w:val="clear" w:color="auto" w:fill="auto"/>
          </w:tcPr>
          <w:p w14:paraId="4B6FFB6F" w14:textId="77777777" w:rsidR="00203F72" w:rsidRPr="00A53581" w:rsidRDefault="00203F72" w:rsidP="00D87D91">
            <w:r w:rsidRPr="00A53581">
              <w:t>隸屬於行政部分</w:t>
            </w:r>
            <w:r w:rsidRPr="00A53581">
              <w:t>(</w:t>
            </w:r>
            <w:r w:rsidRPr="00A53581">
              <w:t>如法務部廉政署</w:t>
            </w:r>
            <w:r w:rsidRPr="00A53581">
              <w:t>)</w:t>
            </w:r>
          </w:p>
        </w:tc>
      </w:tr>
      <w:tr w:rsidR="00203F72" w:rsidRPr="00A53581" w14:paraId="62076EFC" w14:textId="77777777" w:rsidTr="00203F72">
        <w:tc>
          <w:tcPr>
            <w:tcW w:w="445" w:type="pct"/>
            <w:vMerge/>
            <w:shd w:val="clear" w:color="auto" w:fill="auto"/>
          </w:tcPr>
          <w:p w14:paraId="00CE230C" w14:textId="77777777" w:rsidR="00203F72" w:rsidRPr="00A53581" w:rsidRDefault="00203F72" w:rsidP="00D87D91"/>
        </w:tc>
        <w:tc>
          <w:tcPr>
            <w:tcW w:w="801" w:type="pct"/>
            <w:shd w:val="clear" w:color="auto" w:fill="auto"/>
          </w:tcPr>
          <w:p w14:paraId="7F2332DC" w14:textId="77777777" w:rsidR="00203F72" w:rsidRPr="00A53581" w:rsidRDefault="00203F72" w:rsidP="00D87D91">
            <w:r w:rsidRPr="00A53581">
              <w:t>司法型</w:t>
            </w:r>
          </w:p>
        </w:tc>
        <w:tc>
          <w:tcPr>
            <w:tcW w:w="1960" w:type="pct"/>
            <w:gridSpan w:val="3"/>
            <w:shd w:val="clear" w:color="auto" w:fill="auto"/>
          </w:tcPr>
          <w:p w14:paraId="04632846" w14:textId="77777777" w:rsidR="00203F72" w:rsidRPr="00A53581" w:rsidRDefault="00203F72" w:rsidP="00D87D91">
            <w:r w:rsidRPr="00A53581">
              <w:t>隸屬於司法機關</w:t>
            </w:r>
          </w:p>
        </w:tc>
        <w:tc>
          <w:tcPr>
            <w:tcW w:w="1795" w:type="pct"/>
            <w:shd w:val="clear" w:color="auto" w:fill="auto"/>
          </w:tcPr>
          <w:p w14:paraId="6B0CB84E" w14:textId="77777777" w:rsidR="00203F72" w:rsidRPr="00A53581" w:rsidRDefault="00203F72" w:rsidP="00D87D91">
            <w:r w:rsidRPr="00A53581">
              <w:t>為廣</w:t>
            </w:r>
            <w:r w:rsidRPr="00A53581">
              <w:rPr>
                <w:rFonts w:hint="eastAsia"/>
              </w:rPr>
              <w:t>義</w:t>
            </w:r>
            <w:r w:rsidRPr="00A53581">
              <w:t>司法機制之一部分</w:t>
            </w:r>
            <w:r w:rsidRPr="00A53581">
              <w:t>(</w:t>
            </w:r>
            <w:r w:rsidRPr="00A53581">
              <w:t>如加拿大人權法院</w:t>
            </w:r>
            <w:r w:rsidRPr="00A53581">
              <w:t>)</w:t>
            </w:r>
          </w:p>
        </w:tc>
      </w:tr>
      <w:tr w:rsidR="00203F72" w:rsidRPr="00A53581" w14:paraId="1B714468" w14:textId="77777777" w:rsidTr="00203F72">
        <w:tc>
          <w:tcPr>
            <w:tcW w:w="445" w:type="pct"/>
            <w:vMerge/>
            <w:shd w:val="clear" w:color="auto" w:fill="auto"/>
          </w:tcPr>
          <w:p w14:paraId="5239B40E" w14:textId="77777777" w:rsidR="00203F72" w:rsidRPr="00A53581" w:rsidRDefault="00203F72" w:rsidP="00D87D91"/>
        </w:tc>
        <w:tc>
          <w:tcPr>
            <w:tcW w:w="801" w:type="pct"/>
            <w:shd w:val="clear" w:color="auto" w:fill="auto"/>
          </w:tcPr>
          <w:p w14:paraId="0ABD5641" w14:textId="77777777" w:rsidR="00203F72" w:rsidRPr="00A53581" w:rsidRDefault="00203F72" w:rsidP="00D87D91">
            <w:r w:rsidRPr="00A53581">
              <w:t>特殊型</w:t>
            </w:r>
          </w:p>
        </w:tc>
        <w:tc>
          <w:tcPr>
            <w:tcW w:w="1960" w:type="pct"/>
            <w:gridSpan w:val="3"/>
            <w:shd w:val="clear" w:color="auto" w:fill="auto"/>
          </w:tcPr>
          <w:p w14:paraId="1CA2B4F0" w14:textId="77777777" w:rsidR="00203F72" w:rsidRPr="00A53581" w:rsidRDefault="00203F72" w:rsidP="00D87D91">
            <w:r w:rsidRPr="00A53581">
              <w:t>審計長兼公共申訴督察長</w:t>
            </w:r>
          </w:p>
        </w:tc>
        <w:tc>
          <w:tcPr>
            <w:tcW w:w="1795" w:type="pct"/>
            <w:shd w:val="clear" w:color="auto" w:fill="auto"/>
          </w:tcPr>
          <w:p w14:paraId="29040CF1" w14:textId="77777777" w:rsidR="00203F72" w:rsidRPr="00A53581" w:rsidRDefault="00203F72" w:rsidP="00D87D91">
            <w:r w:rsidRPr="00A53581">
              <w:t>審計長兼監察使任務</w:t>
            </w:r>
            <w:r w:rsidRPr="00A53581">
              <w:t>(</w:t>
            </w:r>
            <w:r w:rsidRPr="00A53581">
              <w:t>如以色列</w:t>
            </w:r>
            <w:r w:rsidRPr="00A53581">
              <w:t>)</w:t>
            </w:r>
          </w:p>
        </w:tc>
      </w:tr>
      <w:tr w:rsidR="00203F72" w:rsidRPr="00A53581" w14:paraId="0097534C" w14:textId="77777777" w:rsidTr="00203F72">
        <w:tc>
          <w:tcPr>
            <w:tcW w:w="445" w:type="pct"/>
            <w:vMerge/>
            <w:shd w:val="clear" w:color="auto" w:fill="auto"/>
          </w:tcPr>
          <w:p w14:paraId="635A0EDD" w14:textId="77777777" w:rsidR="00203F72" w:rsidRPr="00A53581" w:rsidRDefault="00203F72" w:rsidP="00D87D91"/>
        </w:tc>
        <w:tc>
          <w:tcPr>
            <w:tcW w:w="801" w:type="pct"/>
            <w:shd w:val="clear" w:color="auto" w:fill="auto"/>
          </w:tcPr>
          <w:p w14:paraId="10F92043" w14:textId="77777777" w:rsidR="00203F72" w:rsidRPr="00A53581" w:rsidRDefault="00203F72" w:rsidP="00D87D91">
            <w:r w:rsidRPr="00A53581">
              <w:t>混合型</w:t>
            </w:r>
          </w:p>
        </w:tc>
        <w:tc>
          <w:tcPr>
            <w:tcW w:w="1960" w:type="pct"/>
            <w:gridSpan w:val="3"/>
            <w:shd w:val="clear" w:color="auto" w:fill="auto"/>
          </w:tcPr>
          <w:p w14:paraId="40575400" w14:textId="77777777" w:rsidR="00203F72" w:rsidRPr="00A53581" w:rsidRDefault="00203F72" w:rsidP="00D87D91">
            <w:r w:rsidRPr="00A53581">
              <w:t>混合型之監察機關</w:t>
            </w:r>
          </w:p>
        </w:tc>
        <w:tc>
          <w:tcPr>
            <w:tcW w:w="1795" w:type="pct"/>
            <w:shd w:val="clear" w:color="auto" w:fill="auto"/>
          </w:tcPr>
          <w:p w14:paraId="713E5D89" w14:textId="77777777" w:rsidR="00203F72" w:rsidRPr="00A53581" w:rsidRDefault="00203F72" w:rsidP="00D87D91">
            <w:r w:rsidRPr="00A53581">
              <w:t>監察機關與人權組織相結合</w:t>
            </w:r>
            <w:r w:rsidRPr="00A53581">
              <w:t>(</w:t>
            </w:r>
            <w:r w:rsidRPr="00A53581">
              <w:t>為監察</w:t>
            </w:r>
            <w:r w:rsidRPr="00A53581">
              <w:rPr>
                <w:rFonts w:hint="eastAsia"/>
              </w:rPr>
              <w:t>－</w:t>
            </w:r>
            <w:r w:rsidRPr="00A53581">
              <w:t>人權組織，如墨西哥國家人權委員會</w:t>
            </w:r>
            <w:r w:rsidRPr="00A53581">
              <w:t>)</w:t>
            </w:r>
          </w:p>
        </w:tc>
      </w:tr>
      <w:tr w:rsidR="00203F72" w:rsidRPr="00A53581" w14:paraId="46DC1A0A" w14:textId="77777777" w:rsidTr="00203F72">
        <w:tc>
          <w:tcPr>
            <w:tcW w:w="445" w:type="pct"/>
            <w:vMerge w:val="restart"/>
            <w:shd w:val="clear" w:color="auto" w:fill="auto"/>
          </w:tcPr>
          <w:p w14:paraId="48634E45" w14:textId="77777777" w:rsidR="00203F72" w:rsidRPr="00A53581" w:rsidRDefault="00203F72" w:rsidP="00D87D91">
            <w:r w:rsidRPr="00A53581">
              <w:t>管轄範圍</w:t>
            </w:r>
          </w:p>
        </w:tc>
        <w:tc>
          <w:tcPr>
            <w:tcW w:w="2761" w:type="pct"/>
            <w:gridSpan w:val="4"/>
            <w:shd w:val="clear" w:color="auto" w:fill="auto"/>
          </w:tcPr>
          <w:p w14:paraId="24BE87BC" w14:textId="77777777" w:rsidR="00203F72" w:rsidRPr="00A53581" w:rsidRDefault="00203F72" w:rsidP="00D87D91">
            <w:r w:rsidRPr="00A53581">
              <w:t>國際或超國家層級</w:t>
            </w:r>
          </w:p>
        </w:tc>
        <w:tc>
          <w:tcPr>
            <w:tcW w:w="1795" w:type="pct"/>
            <w:shd w:val="clear" w:color="auto" w:fill="auto"/>
          </w:tcPr>
          <w:p w14:paraId="3C69EDFF" w14:textId="77777777" w:rsidR="00203F72" w:rsidRPr="00A53581" w:rsidRDefault="00203F72" w:rsidP="00D87D91">
            <w:r w:rsidRPr="00A53581">
              <w:t>世界衛生組織、世界銀行、歐盟監察使均屬之</w:t>
            </w:r>
          </w:p>
        </w:tc>
      </w:tr>
      <w:tr w:rsidR="00203F72" w:rsidRPr="00A53581" w14:paraId="1594F34A" w14:textId="77777777" w:rsidTr="00203F72">
        <w:tc>
          <w:tcPr>
            <w:tcW w:w="445" w:type="pct"/>
            <w:vMerge/>
            <w:shd w:val="clear" w:color="auto" w:fill="auto"/>
          </w:tcPr>
          <w:p w14:paraId="04DFD9A3" w14:textId="77777777" w:rsidR="00203F72" w:rsidRPr="00A53581" w:rsidRDefault="00203F72" w:rsidP="00D87D91"/>
        </w:tc>
        <w:tc>
          <w:tcPr>
            <w:tcW w:w="2761" w:type="pct"/>
            <w:gridSpan w:val="4"/>
            <w:shd w:val="clear" w:color="auto" w:fill="auto"/>
          </w:tcPr>
          <w:p w14:paraId="1AACFA30" w14:textId="77777777" w:rsidR="00203F72" w:rsidRPr="00A53581" w:rsidRDefault="00203F72" w:rsidP="00D87D91">
            <w:r w:rsidRPr="00A53581">
              <w:t>國家層級</w:t>
            </w:r>
          </w:p>
        </w:tc>
        <w:tc>
          <w:tcPr>
            <w:tcW w:w="1795" w:type="pct"/>
            <w:shd w:val="clear" w:color="auto" w:fill="auto"/>
          </w:tcPr>
          <w:p w14:paraId="7906D136" w14:textId="77777777" w:rsidR="00203F72" w:rsidRPr="00A53581" w:rsidRDefault="00203F72" w:rsidP="00D87D91">
            <w:r w:rsidRPr="00A53581">
              <w:t>各國國會監察使或國家監察使</w:t>
            </w:r>
          </w:p>
        </w:tc>
      </w:tr>
      <w:tr w:rsidR="00203F72" w:rsidRPr="00A53581" w14:paraId="5B753000" w14:textId="77777777" w:rsidTr="00203F72">
        <w:tc>
          <w:tcPr>
            <w:tcW w:w="445" w:type="pct"/>
            <w:vMerge/>
            <w:shd w:val="clear" w:color="auto" w:fill="auto"/>
          </w:tcPr>
          <w:p w14:paraId="0E461C4D" w14:textId="77777777" w:rsidR="00203F72" w:rsidRPr="00A53581" w:rsidRDefault="00203F72" w:rsidP="00D87D91"/>
        </w:tc>
        <w:tc>
          <w:tcPr>
            <w:tcW w:w="2761" w:type="pct"/>
            <w:gridSpan w:val="4"/>
            <w:shd w:val="clear" w:color="auto" w:fill="auto"/>
          </w:tcPr>
          <w:p w14:paraId="32B87537" w14:textId="77777777" w:rsidR="00203F72" w:rsidRPr="00A53581" w:rsidRDefault="00203F72" w:rsidP="00D87D91">
            <w:r w:rsidRPr="00A53581">
              <w:t>次國家層級</w:t>
            </w:r>
          </w:p>
        </w:tc>
        <w:tc>
          <w:tcPr>
            <w:tcW w:w="1795" w:type="pct"/>
            <w:shd w:val="clear" w:color="auto" w:fill="auto"/>
          </w:tcPr>
          <w:p w14:paraId="69757E25" w14:textId="77777777" w:rsidR="00203F72" w:rsidRPr="00A53581" w:rsidRDefault="00203F72" w:rsidP="00D87D91">
            <w:r w:rsidRPr="00A53581">
              <w:t>地區性、地方性，如各州、省、市之監察使</w:t>
            </w:r>
          </w:p>
        </w:tc>
      </w:tr>
      <w:tr w:rsidR="00203F72" w:rsidRPr="00A53581" w14:paraId="18BB3DA4" w14:textId="77777777" w:rsidTr="00203F72">
        <w:tc>
          <w:tcPr>
            <w:tcW w:w="445" w:type="pct"/>
            <w:vMerge w:val="restart"/>
            <w:shd w:val="clear" w:color="auto" w:fill="auto"/>
          </w:tcPr>
          <w:p w14:paraId="39BF52AE" w14:textId="77777777" w:rsidR="00203F72" w:rsidRPr="00A53581" w:rsidRDefault="00203F72" w:rsidP="00D87D91">
            <w:r w:rsidRPr="00A53581">
              <w:t>公私屬性</w:t>
            </w:r>
          </w:p>
        </w:tc>
        <w:tc>
          <w:tcPr>
            <w:tcW w:w="889" w:type="pct"/>
            <w:gridSpan w:val="2"/>
            <w:vMerge w:val="restart"/>
            <w:shd w:val="clear" w:color="auto" w:fill="auto"/>
          </w:tcPr>
          <w:p w14:paraId="7BD3BF83" w14:textId="77777777" w:rsidR="00203F72" w:rsidRPr="00A53581" w:rsidRDefault="00203F72" w:rsidP="00D87D91">
            <w:r w:rsidRPr="00A53581">
              <w:t>隸屬公部門之監察使</w:t>
            </w:r>
          </w:p>
        </w:tc>
        <w:tc>
          <w:tcPr>
            <w:tcW w:w="1872" w:type="pct"/>
            <w:gridSpan w:val="2"/>
            <w:shd w:val="clear" w:color="auto" w:fill="auto"/>
          </w:tcPr>
          <w:p w14:paraId="056710C9" w14:textId="77777777" w:rsidR="00203F72" w:rsidRPr="00A53581" w:rsidRDefault="00203F72" w:rsidP="00D87D91">
            <w:r w:rsidRPr="00A53581">
              <w:t>一般目的監察使（全功能）</w:t>
            </w:r>
          </w:p>
        </w:tc>
        <w:tc>
          <w:tcPr>
            <w:tcW w:w="1795" w:type="pct"/>
            <w:shd w:val="clear" w:color="auto" w:fill="auto"/>
          </w:tcPr>
          <w:p w14:paraId="5DFB9CCD" w14:textId="77777777" w:rsidR="00203F72" w:rsidRPr="00A53581" w:rsidRDefault="00203F72" w:rsidP="00D87D91">
            <w:r w:rsidRPr="00A53581">
              <w:t>國家監察使</w:t>
            </w:r>
            <w:r w:rsidRPr="00A53581">
              <w:t>(</w:t>
            </w:r>
            <w:r w:rsidRPr="00A53581">
              <w:t>如北歐各國</w:t>
            </w:r>
            <w:r w:rsidRPr="00A53581">
              <w:t>)</w:t>
            </w:r>
            <w:r w:rsidRPr="00A53581">
              <w:t>、國家監察使</w:t>
            </w:r>
            <w:r w:rsidRPr="00A53581">
              <w:t>(</w:t>
            </w:r>
            <w:r w:rsidRPr="00A53581">
              <w:t>如印尼</w:t>
            </w:r>
            <w:r w:rsidRPr="00A53581">
              <w:t>)</w:t>
            </w:r>
          </w:p>
        </w:tc>
      </w:tr>
      <w:tr w:rsidR="00203F72" w:rsidRPr="00A53581" w14:paraId="633F0AE8" w14:textId="77777777" w:rsidTr="00203F72">
        <w:tc>
          <w:tcPr>
            <w:tcW w:w="445" w:type="pct"/>
            <w:vMerge/>
            <w:shd w:val="clear" w:color="auto" w:fill="auto"/>
          </w:tcPr>
          <w:p w14:paraId="623875E6" w14:textId="77777777" w:rsidR="00203F72" w:rsidRPr="00A53581" w:rsidRDefault="00203F72" w:rsidP="00D87D91"/>
        </w:tc>
        <w:tc>
          <w:tcPr>
            <w:tcW w:w="889" w:type="pct"/>
            <w:gridSpan w:val="2"/>
            <w:vMerge/>
            <w:shd w:val="clear" w:color="auto" w:fill="auto"/>
          </w:tcPr>
          <w:p w14:paraId="2B0FD0AC" w14:textId="77777777" w:rsidR="00203F72" w:rsidRPr="00A53581" w:rsidRDefault="00203F72" w:rsidP="00D87D91"/>
        </w:tc>
        <w:tc>
          <w:tcPr>
            <w:tcW w:w="1872" w:type="pct"/>
            <w:gridSpan w:val="2"/>
            <w:shd w:val="clear" w:color="auto" w:fill="auto"/>
          </w:tcPr>
          <w:p w14:paraId="18C52157" w14:textId="77777777" w:rsidR="00203F72" w:rsidRPr="00A53581" w:rsidRDefault="00203F72" w:rsidP="00D87D91">
            <w:r w:rsidRPr="00A53581">
              <w:t>特殊目的監察使／專業監察使（部分功能）</w:t>
            </w:r>
          </w:p>
        </w:tc>
        <w:tc>
          <w:tcPr>
            <w:tcW w:w="1795" w:type="pct"/>
            <w:shd w:val="clear" w:color="auto" w:fill="auto"/>
          </w:tcPr>
          <w:p w14:paraId="5D9CCBB0" w14:textId="77777777" w:rsidR="00203F72" w:rsidRPr="00A53581" w:rsidRDefault="00203F72" w:rsidP="00D87D91">
            <w:r w:rsidRPr="00A53581">
              <w:t>例如：兩性平權、兒童保護、消費者保護、獄政、醫療衛生、少數民族權益、軍事等專業監察使</w:t>
            </w:r>
          </w:p>
        </w:tc>
      </w:tr>
      <w:tr w:rsidR="00203F72" w:rsidRPr="00A53581" w14:paraId="6541119C" w14:textId="77777777" w:rsidTr="00203F72">
        <w:tc>
          <w:tcPr>
            <w:tcW w:w="445" w:type="pct"/>
            <w:vMerge/>
            <w:shd w:val="clear" w:color="auto" w:fill="auto"/>
          </w:tcPr>
          <w:p w14:paraId="04925CAC" w14:textId="77777777" w:rsidR="00203F72" w:rsidRPr="00A53581" w:rsidRDefault="00203F72" w:rsidP="00D87D91"/>
        </w:tc>
        <w:tc>
          <w:tcPr>
            <w:tcW w:w="2761" w:type="pct"/>
            <w:gridSpan w:val="4"/>
            <w:shd w:val="clear" w:color="auto" w:fill="auto"/>
          </w:tcPr>
          <w:p w14:paraId="7DF9E5A8" w14:textId="77777777" w:rsidR="00203F72" w:rsidRPr="00A53581" w:rsidRDefault="00203F72" w:rsidP="00D87D91">
            <w:r w:rsidRPr="00A53581">
              <w:t>隸屬私部門之專業監察使</w:t>
            </w:r>
          </w:p>
        </w:tc>
        <w:tc>
          <w:tcPr>
            <w:tcW w:w="1795" w:type="pct"/>
            <w:shd w:val="clear" w:color="auto" w:fill="auto"/>
          </w:tcPr>
          <w:p w14:paraId="76EC608E" w14:textId="77777777" w:rsidR="00203F72" w:rsidRPr="00A53581" w:rsidRDefault="00203F72" w:rsidP="00D87D91">
            <w:r w:rsidRPr="00A53581">
              <w:t>例如：學校、銀行、保險公司、媒體之監察使</w:t>
            </w:r>
          </w:p>
        </w:tc>
      </w:tr>
      <w:tr w:rsidR="00203F72" w:rsidRPr="00A53581" w14:paraId="19959E14" w14:textId="77777777" w:rsidTr="00203F72">
        <w:tc>
          <w:tcPr>
            <w:tcW w:w="445" w:type="pct"/>
            <w:vMerge w:val="restart"/>
            <w:shd w:val="clear" w:color="auto" w:fill="auto"/>
          </w:tcPr>
          <w:p w14:paraId="0C4D686A" w14:textId="77777777" w:rsidR="00203F72" w:rsidRPr="00A53581" w:rsidRDefault="00203F72" w:rsidP="00D87D91">
            <w:r w:rsidRPr="00A53581">
              <w:t>組織形式</w:t>
            </w:r>
          </w:p>
        </w:tc>
        <w:tc>
          <w:tcPr>
            <w:tcW w:w="1514" w:type="pct"/>
            <w:gridSpan w:val="3"/>
            <w:vMerge w:val="restart"/>
            <w:shd w:val="clear" w:color="auto" w:fill="auto"/>
          </w:tcPr>
          <w:p w14:paraId="10AB5CB7" w14:textId="77777777" w:rsidR="00203F72" w:rsidRPr="00A53581" w:rsidRDefault="00203F72" w:rsidP="00D87D91">
            <w:r w:rsidRPr="00A53581">
              <w:t>個人制</w:t>
            </w:r>
            <w:r w:rsidRPr="00A53581">
              <w:rPr>
                <w:rFonts w:hint="eastAsia"/>
              </w:rPr>
              <w:t>（首長制、個人領導制）</w:t>
            </w:r>
          </w:p>
        </w:tc>
        <w:tc>
          <w:tcPr>
            <w:tcW w:w="1247" w:type="pct"/>
            <w:shd w:val="clear" w:color="auto" w:fill="auto"/>
          </w:tcPr>
          <w:p w14:paraId="1910806C" w14:textId="77777777" w:rsidR="00203F72" w:rsidRPr="00A53581" w:rsidRDefault="00203F72" w:rsidP="00D87D91">
            <w:r w:rsidRPr="00A53581">
              <w:t>單一制</w:t>
            </w:r>
          </w:p>
        </w:tc>
        <w:tc>
          <w:tcPr>
            <w:tcW w:w="1795" w:type="pct"/>
            <w:shd w:val="clear" w:color="auto" w:fill="auto"/>
          </w:tcPr>
          <w:p w14:paraId="291B5B98" w14:textId="77777777" w:rsidR="00203F72" w:rsidRPr="00A53581" w:rsidRDefault="00203F72" w:rsidP="00D87D91">
            <w:r w:rsidRPr="00A53581">
              <w:t>1</w:t>
            </w:r>
            <w:r w:rsidRPr="00A53581">
              <w:t>人領導</w:t>
            </w:r>
            <w:r w:rsidRPr="00A53581">
              <w:t>(</w:t>
            </w:r>
            <w:r w:rsidRPr="00A53581">
              <w:t>如俄羅斯</w:t>
            </w:r>
            <w:r w:rsidRPr="00A53581">
              <w:t>)</w:t>
            </w:r>
          </w:p>
        </w:tc>
      </w:tr>
      <w:tr w:rsidR="00203F72" w:rsidRPr="00A53581" w14:paraId="138E3D5A" w14:textId="77777777" w:rsidTr="00203F72">
        <w:tc>
          <w:tcPr>
            <w:tcW w:w="445" w:type="pct"/>
            <w:vMerge/>
            <w:shd w:val="clear" w:color="auto" w:fill="auto"/>
          </w:tcPr>
          <w:p w14:paraId="1BDE2029" w14:textId="77777777" w:rsidR="00203F72" w:rsidRPr="00A53581" w:rsidRDefault="00203F72" w:rsidP="00D87D91"/>
        </w:tc>
        <w:tc>
          <w:tcPr>
            <w:tcW w:w="1514" w:type="pct"/>
            <w:gridSpan w:val="3"/>
            <w:vMerge/>
            <w:shd w:val="clear" w:color="auto" w:fill="auto"/>
          </w:tcPr>
          <w:p w14:paraId="338495E5" w14:textId="77777777" w:rsidR="00203F72" w:rsidRPr="00A53581" w:rsidRDefault="00203F72" w:rsidP="00D87D91"/>
        </w:tc>
        <w:tc>
          <w:tcPr>
            <w:tcW w:w="1247" w:type="pct"/>
            <w:shd w:val="clear" w:color="auto" w:fill="auto"/>
          </w:tcPr>
          <w:p w14:paraId="0077333C" w14:textId="77777777" w:rsidR="00203F72" w:rsidRPr="00A53581" w:rsidRDefault="00203F72" w:rsidP="00D87D91">
            <w:r w:rsidRPr="00A53581">
              <w:t>複數制</w:t>
            </w:r>
          </w:p>
        </w:tc>
        <w:tc>
          <w:tcPr>
            <w:tcW w:w="1795" w:type="pct"/>
            <w:shd w:val="clear" w:color="auto" w:fill="auto"/>
          </w:tcPr>
          <w:p w14:paraId="77F52B62" w14:textId="77777777" w:rsidR="00203F72" w:rsidRPr="00A53581" w:rsidRDefault="00203F72" w:rsidP="00D87D91">
            <w:r w:rsidRPr="00A53581">
              <w:t>2</w:t>
            </w:r>
            <w:r w:rsidRPr="00A53581">
              <w:t>人以上</w:t>
            </w:r>
            <w:r w:rsidRPr="00A53581">
              <w:t>(</w:t>
            </w:r>
            <w:r w:rsidRPr="00A53581">
              <w:t>如瑞典、波蘭、匈牙利</w:t>
            </w:r>
            <w:r w:rsidRPr="00A53581">
              <w:t>)</w:t>
            </w:r>
          </w:p>
        </w:tc>
      </w:tr>
      <w:tr w:rsidR="00203F72" w:rsidRPr="00A53581" w14:paraId="5D7BC120" w14:textId="77777777" w:rsidTr="00203F72">
        <w:tc>
          <w:tcPr>
            <w:tcW w:w="445" w:type="pct"/>
            <w:vMerge/>
            <w:shd w:val="clear" w:color="auto" w:fill="auto"/>
          </w:tcPr>
          <w:p w14:paraId="52D4502E" w14:textId="77777777" w:rsidR="00203F72" w:rsidRPr="00A53581" w:rsidRDefault="00203F72" w:rsidP="00D87D91"/>
        </w:tc>
        <w:tc>
          <w:tcPr>
            <w:tcW w:w="2761" w:type="pct"/>
            <w:gridSpan w:val="4"/>
            <w:shd w:val="clear" w:color="auto" w:fill="auto"/>
          </w:tcPr>
          <w:p w14:paraId="3614CE2D" w14:textId="77777777" w:rsidR="00203F72" w:rsidRPr="00A53581" w:rsidRDefault="00203F72" w:rsidP="00D87D91">
            <w:r w:rsidRPr="00A53581">
              <w:t>委員制（合議制、集體領導）</w:t>
            </w:r>
          </w:p>
        </w:tc>
        <w:tc>
          <w:tcPr>
            <w:tcW w:w="1795" w:type="pct"/>
            <w:shd w:val="clear" w:color="auto" w:fill="auto"/>
          </w:tcPr>
          <w:p w14:paraId="5736698A" w14:textId="77777777" w:rsidR="00203F72" w:rsidRPr="00A53581" w:rsidRDefault="00203F72" w:rsidP="00D87D91">
            <w:r w:rsidRPr="00A53581">
              <w:t>採委員會形式</w:t>
            </w:r>
            <w:r w:rsidRPr="00A53581">
              <w:t>(</w:t>
            </w:r>
            <w:r w:rsidRPr="00A53581">
              <w:t>如中華民國、印尼</w:t>
            </w:r>
            <w:r w:rsidRPr="00A53581">
              <w:t>)</w:t>
            </w:r>
          </w:p>
        </w:tc>
      </w:tr>
    </w:tbl>
    <w:p w14:paraId="6FACDB56" w14:textId="77777777" w:rsidR="00203F72" w:rsidRPr="00DE63F7" w:rsidRDefault="002107CE" w:rsidP="00D87D91">
      <w:r w:rsidRPr="00DE63F7">
        <w:t>【本表格資料來源】</w:t>
      </w:r>
      <w:r w:rsidR="00203F72" w:rsidRPr="00DE63F7">
        <w:t>李文郎（</w:t>
      </w:r>
      <w:r w:rsidR="00203F72" w:rsidRPr="00DE63F7">
        <w:t>2005</w:t>
      </w:r>
      <w:r w:rsidR="00203F72" w:rsidRPr="00DE63F7">
        <w:t>年），「修憲後我國監察制度與芬蘭國會監察使制度之比較分析」，國立政治大學中山人文社會科學研究所博士論文。</w:t>
      </w:r>
    </w:p>
    <w:p w14:paraId="556775F7" w14:textId="77777777" w:rsidR="00953151" w:rsidRPr="00DE63F7" w:rsidRDefault="00203F72" w:rsidP="00D87D91">
      <w:r w:rsidRPr="00DE63F7">
        <w:t>周陽山、王增華（</w:t>
      </w:r>
      <w:r w:rsidRPr="00DE63F7">
        <w:t>2015</w:t>
      </w:r>
      <w:r w:rsidRPr="00DE63F7">
        <w:t>），監察權、監察使與監察院－監察功能的跨國分析，展望與探索月刊，第</w:t>
      </w:r>
      <w:r w:rsidRPr="00DE63F7">
        <w:t>13</w:t>
      </w:r>
      <w:r w:rsidRPr="00DE63F7">
        <w:t>卷第</w:t>
      </w:r>
      <w:r w:rsidRPr="00DE63F7">
        <w:t>1</w:t>
      </w:r>
      <w:r w:rsidRPr="00DE63F7">
        <w:t>期，第</w:t>
      </w:r>
      <w:r w:rsidRPr="00DE63F7">
        <w:t>43</w:t>
      </w:r>
      <w:r w:rsidRPr="00DE63F7">
        <w:rPr>
          <w:rFonts w:hint="eastAsia"/>
        </w:rPr>
        <w:t>-</w:t>
      </w:r>
      <w:r w:rsidRPr="00DE63F7">
        <w:t>44</w:t>
      </w:r>
      <w:r w:rsidRPr="00DE63F7">
        <w:t>頁。</w:t>
      </w:r>
    </w:p>
    <w:p w14:paraId="7D256B27" w14:textId="77777777" w:rsidR="00953151" w:rsidRPr="00DE63F7" w:rsidRDefault="0062321B" w:rsidP="00D87D91">
      <w:r w:rsidRPr="00DE63F7">
        <w:t xml:space="preserve">　　</w:t>
      </w:r>
      <w:r w:rsidR="00203F72" w:rsidRPr="00DE63F7">
        <w:t>後因憲法增修條文施行後，上開司法院釋</w:t>
      </w:r>
      <w:r w:rsidR="00043F97" w:rsidRPr="00DE63F7">
        <w:t>字</w:t>
      </w:r>
      <w:hyperlink r:id="rId902"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解釋認為：「憲法增修條文第</w:t>
      </w:r>
      <w:hyperlink r:id="rId903" w:anchor="b15" w:history="1">
        <w:r w:rsidR="00203F72" w:rsidRPr="00B23D06">
          <w:rPr>
            <w:rStyle w:val="a5"/>
            <w:rFonts w:ascii="Times New Roman" w:eastAsia="新細明體" w:hAnsi="Times New Roman"/>
          </w:rPr>
          <w:t>十五</w:t>
        </w:r>
      </w:hyperlink>
      <w:r w:rsidR="00203F72" w:rsidRPr="00DE63F7">
        <w:t>條規定施行後，監察院已非中央民意機構，其地位及職權亦有所變更，上開解釋自不再適用於監察院。惟憲法之五院體制並未改變，原屬於監察院職權中之彈劾、糾舉、糾正權及為行使此等職權，依憲法第</w:t>
      </w:r>
      <w:hyperlink r:id="rId904" w:anchor="a95" w:history="1">
        <w:r w:rsidR="00203F72" w:rsidRPr="00B23D06">
          <w:rPr>
            <w:rStyle w:val="a5"/>
            <w:rFonts w:ascii="Times New Roman" w:eastAsia="新細明體" w:hAnsi="Times New Roman"/>
          </w:rPr>
          <w:t>九十五</w:t>
        </w:r>
      </w:hyperlink>
      <w:r w:rsidR="00203F72" w:rsidRPr="00DE63F7">
        <w:t>條、</w:t>
      </w:r>
      <w:r w:rsidR="00B23D06" w:rsidRPr="00DE63F7">
        <w:t>第</w:t>
      </w:r>
      <w:hyperlink r:id="rId905" w:anchor="a96" w:history="1">
        <w:r w:rsidR="00B23D06" w:rsidRPr="00B23D06">
          <w:rPr>
            <w:rStyle w:val="a5"/>
            <w:rFonts w:ascii="Times New Roman" w:eastAsia="新細明體" w:hAnsi="Times New Roman"/>
          </w:rPr>
          <w:t>九十六</w:t>
        </w:r>
      </w:hyperlink>
      <w:r w:rsidR="00B23D06" w:rsidRPr="00DE63F7">
        <w:t>條</w:t>
      </w:r>
      <w:r w:rsidR="00203F72" w:rsidRPr="00DE63F7">
        <w:t>具有之調查權，憲法增修條文亦未修改，此項調查權仍應專由監察院行使。」</w:t>
      </w:r>
    </w:p>
    <w:p w14:paraId="1F8CC2FD" w14:textId="77777777" w:rsidR="00953151" w:rsidRPr="00DE63F7" w:rsidRDefault="0062321B" w:rsidP="00D87D91">
      <w:r w:rsidRPr="00DE63F7">
        <w:t xml:space="preserve">　　</w:t>
      </w:r>
      <w:r w:rsidR="00203F72" w:rsidRPr="00DE63F7">
        <w:t>監察院不再為中央民意機關，然監察院之職權同意</w:t>
      </w:r>
      <w:r w:rsidR="00203F72" w:rsidRPr="00DE63F7">
        <w:t>(</w:t>
      </w:r>
      <w:r w:rsidR="00203F72" w:rsidRPr="00DE63F7">
        <w:t>憲法增修</w:t>
      </w:r>
      <w:r w:rsidR="00143B2D" w:rsidRPr="00191266">
        <w:t>文</w:t>
      </w:r>
      <w:hyperlink r:id="rId906" w:anchor="b7" w:history="1">
        <w:r w:rsidR="00143B2D" w:rsidRPr="00143B2D">
          <w:rPr>
            <w:rStyle w:val="a5"/>
            <w:rFonts w:ascii="Times New Roman" w:eastAsia="新細明體" w:hAnsi="Times New Roman"/>
          </w:rPr>
          <w:t>第七條</w:t>
        </w:r>
      </w:hyperlink>
      <w:r w:rsidR="00203F72" w:rsidRPr="00DE63F7">
        <w:t>同意權不適用</w:t>
      </w:r>
      <w:r w:rsidR="00203F72" w:rsidRPr="00DE63F7">
        <w:t>)</w:t>
      </w:r>
      <w:r w:rsidR="00203F72" w:rsidRPr="00DE63F7">
        <w:t>、彈劾、糾舉及審計權仍在，是全國最高之監察機關，為五權不可缺之</w:t>
      </w:r>
      <w:r w:rsidR="00035C3E" w:rsidRPr="00DE63F7">
        <w:t>一</w:t>
      </w:r>
      <w:r w:rsidR="00203F72" w:rsidRPr="00DE63F7">
        <w:t>權。監察院行使之功能及地位，主要為防止官員腐化，對違法或失職之官員提出糾正、制裁，同時對因官員違法失職造成損害之民眾予以救濟。</w:t>
      </w:r>
    </w:p>
    <w:p w14:paraId="76211549" w14:textId="77777777" w:rsidR="00953151" w:rsidRPr="00DE63F7" w:rsidRDefault="0062321B" w:rsidP="00D87D91">
      <w:r w:rsidRPr="00DE63F7">
        <w:t xml:space="preserve">　　</w:t>
      </w:r>
      <w:r w:rsidR="00203F72" w:rsidRPr="00DE63F7">
        <w:t>上開司法院釋</w:t>
      </w:r>
      <w:r w:rsidR="00043F97" w:rsidRPr="00DE63F7">
        <w:t>字</w:t>
      </w:r>
      <w:hyperlink r:id="rId907"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國家機關獨立行使職權受憲法之保障者，例如監察委員獨立行使職權」因其職權之獨特性，故監察委員具有獨立行使職權之權力，不受任何機關干涉。至於監察委員行使之對象是否擴及所有官員及機關？司法院釋字</w:t>
      </w:r>
      <w:hyperlink r:id="rId908" w:anchor="r14" w:history="1">
        <w:r w:rsidR="00203F72" w:rsidRPr="00655114">
          <w:rPr>
            <w:rStyle w:val="a5"/>
            <w:rFonts w:ascii="Times New Roman" w:eastAsia="新細明體" w:hAnsi="Times New Roman"/>
          </w:rPr>
          <w:t>第</w:t>
        </w:r>
        <w:r w:rsidR="00203F72" w:rsidRPr="00655114">
          <w:rPr>
            <w:rStyle w:val="a5"/>
            <w:rFonts w:ascii="Times New Roman" w:eastAsia="新細明體" w:hAnsi="Times New Roman"/>
          </w:rPr>
          <w:t>14</w:t>
        </w:r>
        <w:r w:rsidR="00203F72" w:rsidRPr="00655114">
          <w:rPr>
            <w:rStyle w:val="a5"/>
            <w:rFonts w:ascii="Times New Roman" w:eastAsia="新細明體" w:hAnsi="Times New Roman"/>
          </w:rPr>
          <w:t>號</w:t>
        </w:r>
      </w:hyperlink>
      <w:r w:rsidR="00203F72" w:rsidRPr="00DE63F7">
        <w:t>解釋認為：「在制憲者之意，當以立監委員為直接或間接之民意代表，均不認其為監察權行使</w:t>
      </w:r>
      <w:r w:rsidR="00203F72" w:rsidRPr="00A53581">
        <w:t>之</w:t>
      </w:r>
      <w:r w:rsidR="00203F72" w:rsidRPr="00DE63F7">
        <w:t>對象。至立監兩院其他人員與國民大會職員，總統府及其所屬機關職員，自應屬監察權行使範圍。故憲法除規定行政、司法、考試三院外，復於第</w:t>
      </w:r>
      <w:hyperlink r:id="rId909" w:anchor="a97" w:history="1">
        <w:r w:rsidR="00203F72" w:rsidRPr="00655114">
          <w:rPr>
            <w:rStyle w:val="a5"/>
            <w:rFonts w:ascii="Times New Roman" w:eastAsia="新細明體" w:hAnsi="Times New Roman"/>
          </w:rPr>
          <w:t>九十七</w:t>
        </w:r>
      </w:hyperlink>
      <w:r w:rsidR="00203F72" w:rsidRPr="00DE63F7">
        <w:t>條第二項及第</w:t>
      </w:r>
      <w:hyperlink r:id="rId910" w:anchor="a98" w:history="1">
        <w:r w:rsidR="00203F72" w:rsidRPr="00655114">
          <w:rPr>
            <w:rStyle w:val="a5"/>
            <w:rFonts w:ascii="Times New Roman" w:eastAsia="新細明體" w:hAnsi="Times New Roman"/>
          </w:rPr>
          <w:t>九十八</w:t>
        </w:r>
      </w:hyperlink>
      <w:r w:rsidR="00203F72" w:rsidRPr="00DE63F7">
        <w:t>條，另有中央公務人員之規定。</w:t>
      </w:r>
      <w:r w:rsidR="00203F72" w:rsidRPr="00DE63F7">
        <w:t>….</w:t>
      </w:r>
      <w:r w:rsidR="00203F72" w:rsidRPr="00DE63F7">
        <w:t>自治人員之屬於議事機關者，如省縣議會議員，亦為民意代表，依上述理由，自亦非監察權行使之對象。」</w:t>
      </w:r>
    </w:p>
    <w:p w14:paraId="6E3A8641" w14:textId="77777777" w:rsidR="00953151" w:rsidRPr="00DE63F7" w:rsidRDefault="0062321B" w:rsidP="00D87D91">
      <w:r w:rsidRPr="00DE63F7">
        <w:t xml:space="preserve">　　</w:t>
      </w:r>
      <w:r w:rsidR="00203F72" w:rsidRPr="00DE63F7">
        <w:t>以此司法院大法官會議解釋，民意代表為人民選出來代替其表達意見者，為使民意充分展現，民意代表</w:t>
      </w:r>
      <w:r w:rsidR="00D92F56" w:rsidRPr="00DE63F7">
        <w:t>〜</w:t>
      </w:r>
      <w:r w:rsidR="00203F72" w:rsidRPr="00DE63F7">
        <w:t>立法委員及縣市議會之議員等，均不為監察院行使監察權之對象。另外，就監察院對軍人提出彈劾案方面而論，司法院釋</w:t>
      </w:r>
      <w:r w:rsidR="00C15E9F" w:rsidRPr="00686D2C">
        <w:t>字</w:t>
      </w:r>
      <w:hyperlink r:id="rId911" w:anchor="r262" w:history="1">
        <w:r w:rsidR="00C15E9F" w:rsidRPr="00C15E9F">
          <w:rPr>
            <w:rStyle w:val="a5"/>
            <w:rFonts w:ascii="Times New Roman" w:eastAsia="新細明體" w:hAnsi="Times New Roman"/>
          </w:rPr>
          <w:t>第</w:t>
        </w:r>
        <w:r w:rsidR="00C15E9F" w:rsidRPr="00C15E9F">
          <w:rPr>
            <w:rStyle w:val="a5"/>
            <w:rFonts w:ascii="Times New Roman" w:eastAsia="新細明體" w:hAnsi="Times New Roman"/>
          </w:rPr>
          <w:t>262</w:t>
        </w:r>
        <w:r w:rsidR="00C15E9F" w:rsidRPr="00C15E9F">
          <w:rPr>
            <w:rStyle w:val="a5"/>
            <w:rFonts w:ascii="Times New Roman" w:eastAsia="新細明體" w:hAnsi="Times New Roman"/>
          </w:rPr>
          <w:t>號</w:t>
        </w:r>
      </w:hyperlink>
      <w:r w:rsidR="00203F72" w:rsidRPr="00DE63F7">
        <w:t>解釋理由書認為：「監察院如就軍人之違法或失職行為成立彈劾案時，自應將該彈劾案連同證據，移送公務員懲戒委員會審議」故依司法院大法官會議解釋，當監察院對軍人提出彈劾案時，應移送公務員懲戒委員會審議。</w:t>
      </w:r>
    </w:p>
    <w:p w14:paraId="563D6BD1" w14:textId="77777777" w:rsidR="00953151" w:rsidRPr="00DE63F7" w:rsidRDefault="0062321B" w:rsidP="00D87D91">
      <w:r w:rsidRPr="00DE63F7">
        <w:t xml:space="preserve">　　</w:t>
      </w:r>
      <w:r w:rsidR="00203F72" w:rsidRPr="00DE63F7">
        <w:t>依憲法增修條</w:t>
      </w:r>
      <w:r w:rsidR="009A2820" w:rsidRPr="00306E89">
        <w:t>文</w:t>
      </w:r>
      <w:hyperlink r:id="rId912"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DE63F7">
        <w:t>之規定，立法院對於總統、副總統之彈劾案，須經全體立法委員二分之一以上之提議，全體立法委員三分之二以上之決議，聲請司法院大法官審理，不適用憲法</w:t>
      </w:r>
      <w:r w:rsidR="009A2820" w:rsidRPr="00DE63F7">
        <w:t>第</w:t>
      </w:r>
      <w:hyperlink r:id="rId913" w:anchor="a90" w:history="1">
        <w:r w:rsidR="009A2820" w:rsidRPr="009A2820">
          <w:rPr>
            <w:rStyle w:val="a5"/>
            <w:rFonts w:ascii="Times New Roman" w:eastAsia="新細明體" w:hAnsi="Times New Roman"/>
          </w:rPr>
          <w:t>九十</w:t>
        </w:r>
      </w:hyperlink>
      <w:r w:rsidR="009A2820" w:rsidRPr="00DE63F7">
        <w:t>條</w:t>
      </w:r>
      <w:r w:rsidR="00203F72" w:rsidRPr="00DE63F7">
        <w:t>、第</w:t>
      </w:r>
      <w:hyperlink r:id="rId914" w:anchor="a100" w:history="1">
        <w:r w:rsidR="00203F72" w:rsidRPr="00142D4A">
          <w:rPr>
            <w:rStyle w:val="a5"/>
            <w:rFonts w:ascii="Times New Roman" w:eastAsia="新細明體" w:hAnsi="Times New Roman"/>
          </w:rPr>
          <w:t>一百</w:t>
        </w:r>
      </w:hyperlink>
      <w:r w:rsidR="00203F72" w:rsidRPr="00DE63F7">
        <w:t>條及增修條</w:t>
      </w:r>
      <w:r w:rsidR="00143B2D" w:rsidRPr="00191266">
        <w:t>文</w:t>
      </w:r>
      <w:hyperlink r:id="rId915" w:anchor="b7" w:history="1">
        <w:r w:rsidR="00143B2D" w:rsidRPr="00143B2D">
          <w:rPr>
            <w:rStyle w:val="a5"/>
            <w:rFonts w:ascii="Times New Roman" w:eastAsia="新細明體" w:hAnsi="Times New Roman"/>
          </w:rPr>
          <w:t>第七條</w:t>
        </w:r>
      </w:hyperlink>
      <w:r w:rsidR="00203F72" w:rsidRPr="00DE63F7">
        <w:t>第一項有關規定。根據增修條</w:t>
      </w:r>
      <w:r w:rsidR="006E37D4" w:rsidRPr="00D73718">
        <w:t>文</w:t>
      </w:r>
      <w:hyperlink r:id="rId916"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之規定，監察院為國家最高監察機關，行使彈劾、糾舉及審計權，不適用憲法</w:t>
      </w:r>
      <w:r w:rsidR="009A2820" w:rsidRPr="00DE63F7">
        <w:t>第</w:t>
      </w:r>
      <w:hyperlink r:id="rId917" w:anchor="a90" w:history="1">
        <w:r w:rsidR="009A2820" w:rsidRPr="009A2820">
          <w:rPr>
            <w:rStyle w:val="a5"/>
            <w:rFonts w:ascii="Times New Roman" w:eastAsia="新細明體" w:hAnsi="Times New Roman"/>
          </w:rPr>
          <w:t>九十</w:t>
        </w:r>
      </w:hyperlink>
      <w:r w:rsidR="009A2820" w:rsidRPr="00DE63F7">
        <w:t>條</w:t>
      </w:r>
      <w:r w:rsidR="00203F72" w:rsidRPr="00DE63F7">
        <w:t>及第</w:t>
      </w:r>
      <w:hyperlink r:id="rId918" w:anchor="a94" w:history="1">
        <w:r w:rsidR="00203F72" w:rsidRPr="009A2820">
          <w:rPr>
            <w:rStyle w:val="a5"/>
            <w:rFonts w:ascii="Times New Roman" w:eastAsia="新細明體" w:hAnsi="Times New Roman"/>
          </w:rPr>
          <w:t>九十四</w:t>
        </w:r>
      </w:hyperlink>
      <w:r w:rsidR="00203F72" w:rsidRPr="00DE63F7">
        <w:t>條有關同意權之規定。</w:t>
      </w:r>
    </w:p>
    <w:p w14:paraId="0D5E02AD" w14:textId="77777777" w:rsidR="00203F72" w:rsidRPr="00A53581" w:rsidRDefault="00076467" w:rsidP="00767F37">
      <w:pPr>
        <w:pStyle w:val="2"/>
      </w:pPr>
      <w:hyperlink r:id="rId919" w:anchor="a91" w:history="1">
        <w:r w:rsidR="005D5A46">
          <w:rPr>
            <w:rStyle w:val="a5"/>
            <w:rFonts w:ascii="Arial Unicode MS" w:hAnsi="Arial Unicode MS"/>
          </w:rPr>
          <w:t>第</w:t>
        </w:r>
        <w:r w:rsidR="00203F72" w:rsidRPr="00AB0A74">
          <w:rPr>
            <w:rStyle w:val="a5"/>
            <w:rFonts w:ascii="Arial Unicode MS" w:hAnsi="Arial Unicode MS"/>
          </w:rPr>
          <w:t>91</w:t>
        </w:r>
        <w:r w:rsidR="005D5A46">
          <w:rPr>
            <w:rStyle w:val="a5"/>
            <w:rFonts w:ascii="Arial Unicode MS" w:hAnsi="Arial Unicode MS"/>
          </w:rPr>
          <w:t>條</w:t>
        </w:r>
      </w:hyperlink>
      <w:r w:rsidR="00203F72" w:rsidRPr="00A53581">
        <w:t>監察院設監察委員，由各省市議會、蒙古西藏地方議會及華僑團體選舉之。其名額分配，依左列之規定：</w:t>
      </w:r>
    </w:p>
    <w:p w14:paraId="6A9960D7" w14:textId="77777777" w:rsidR="00203F72" w:rsidRPr="00DE63F7" w:rsidRDefault="0062321B" w:rsidP="00D87D91">
      <w:r w:rsidRPr="00DE63F7">
        <w:t xml:space="preserve">　　</w:t>
      </w:r>
      <w:r w:rsidR="00203F72" w:rsidRPr="00DE63F7">
        <w:t>一</w:t>
      </w:r>
      <w:r w:rsidRPr="00DE63F7">
        <w:rPr>
          <w:rFonts w:hint="eastAsia"/>
        </w:rPr>
        <w:t>、</w:t>
      </w:r>
      <w:r w:rsidR="00203F72" w:rsidRPr="00DE63F7">
        <w:t>每省五人。</w:t>
      </w:r>
    </w:p>
    <w:p w14:paraId="19250893" w14:textId="77777777" w:rsidR="00203F72" w:rsidRPr="00DE63F7" w:rsidRDefault="0062321B" w:rsidP="00D87D91">
      <w:r w:rsidRPr="00DE63F7">
        <w:t xml:space="preserve">　　</w:t>
      </w:r>
      <w:r w:rsidR="00203F72" w:rsidRPr="00DE63F7">
        <w:t>二</w:t>
      </w:r>
      <w:r w:rsidRPr="00DE63F7">
        <w:rPr>
          <w:rFonts w:hint="eastAsia"/>
        </w:rPr>
        <w:t>、</w:t>
      </w:r>
      <w:r w:rsidR="00203F72" w:rsidRPr="00DE63F7">
        <w:t>每直轄市二人。</w:t>
      </w:r>
    </w:p>
    <w:p w14:paraId="3CC6BB88" w14:textId="77777777" w:rsidR="00203F72" w:rsidRPr="00DE63F7" w:rsidRDefault="0062321B" w:rsidP="00D87D91">
      <w:r w:rsidRPr="00DE63F7">
        <w:t xml:space="preserve">　　</w:t>
      </w:r>
      <w:r w:rsidR="00203F72" w:rsidRPr="00DE63F7">
        <w:t>三</w:t>
      </w:r>
      <w:r w:rsidRPr="00DE63F7">
        <w:rPr>
          <w:rFonts w:hint="eastAsia"/>
        </w:rPr>
        <w:t>、</w:t>
      </w:r>
      <w:r w:rsidR="00203F72" w:rsidRPr="00DE63F7">
        <w:t>蒙古各盟旗共八人。</w:t>
      </w:r>
    </w:p>
    <w:p w14:paraId="2F1518DD" w14:textId="77777777" w:rsidR="00203F72" w:rsidRPr="00DE63F7" w:rsidRDefault="0062321B" w:rsidP="00D87D91">
      <w:r w:rsidRPr="00DE63F7">
        <w:t xml:space="preserve">　　</w:t>
      </w:r>
      <w:r w:rsidR="00203F72" w:rsidRPr="00DE63F7">
        <w:t>四</w:t>
      </w:r>
      <w:r w:rsidRPr="00DE63F7">
        <w:rPr>
          <w:rFonts w:hint="eastAsia"/>
        </w:rPr>
        <w:t>、</w:t>
      </w:r>
      <w:r w:rsidR="00203F72" w:rsidRPr="00DE63F7">
        <w:t>西藏八人。</w:t>
      </w:r>
    </w:p>
    <w:p w14:paraId="5767A290" w14:textId="77777777" w:rsidR="00953151" w:rsidRPr="00DE63F7" w:rsidRDefault="0062321B" w:rsidP="00D87D91">
      <w:r w:rsidRPr="00DE63F7">
        <w:t xml:space="preserve">　　</w:t>
      </w:r>
      <w:r w:rsidR="00203F72" w:rsidRPr="00DE63F7">
        <w:t>五</w:t>
      </w:r>
      <w:r w:rsidRPr="00DE63F7">
        <w:rPr>
          <w:rFonts w:hint="eastAsia"/>
        </w:rPr>
        <w:t>、</w:t>
      </w:r>
      <w:r w:rsidR="00203F72" w:rsidRPr="00DE63F7">
        <w:t>僑居國外之國民八人。</w:t>
      </w:r>
    </w:p>
    <w:p w14:paraId="3DD444B5" w14:textId="77777777" w:rsidR="00953151" w:rsidRPr="00DE63F7" w:rsidRDefault="00B03E84" w:rsidP="00D87D91">
      <w:r w:rsidRPr="00DE63F7">
        <w:t>【內容解析】</w:t>
      </w:r>
    </w:p>
    <w:p w14:paraId="135C97CB" w14:textId="77777777" w:rsidR="00953151" w:rsidRPr="00DE63F7" w:rsidRDefault="0062321B" w:rsidP="00D87D91">
      <w:r w:rsidRPr="00DE63F7">
        <w:t xml:space="preserve">　　</w:t>
      </w:r>
      <w:r w:rsidR="00203F72" w:rsidRPr="00DE63F7">
        <w:t>依民國三十五年國共兩黨憲草爭執之結果，監察委員之選舉，由各省市議會選舉之。憲法增修條</w:t>
      </w:r>
      <w:r w:rsidR="00143B2D" w:rsidRPr="00191266">
        <w:t>文</w:t>
      </w:r>
      <w:hyperlink r:id="rId920" w:anchor="b7" w:history="1">
        <w:r w:rsidR="00143B2D" w:rsidRPr="00143B2D">
          <w:rPr>
            <w:rStyle w:val="a5"/>
            <w:rFonts w:ascii="Times New Roman" w:eastAsia="新細明體" w:hAnsi="Times New Roman"/>
          </w:rPr>
          <w:t>第七條</w:t>
        </w:r>
      </w:hyperlink>
      <w:r w:rsidR="00203F72" w:rsidRPr="00DE63F7">
        <w:t>之規定，監察院設監察委員二十九人，並以其中一人為院長、一人為副院長，任期六年，由總統提名，經立法院同意任命之。憲法</w:t>
      </w:r>
      <w:r w:rsidR="008A1D8D" w:rsidRPr="00A53581">
        <w:rPr>
          <w:rFonts w:ascii="新細明體" w:hAnsi="新細明體"/>
        </w:rPr>
        <w:t>第</w:t>
      </w:r>
      <w:hyperlink r:id="rId921" w:anchor="a91" w:history="1">
        <w:r w:rsidR="008A1D8D" w:rsidRPr="00306E89">
          <w:rPr>
            <w:rStyle w:val="a5"/>
          </w:rPr>
          <w:t>九十一</w:t>
        </w:r>
      </w:hyperlink>
      <w:r w:rsidR="008A1D8D" w:rsidRPr="00A53581">
        <w:rPr>
          <w:rFonts w:ascii="新細明體" w:hAnsi="新細明體"/>
        </w:rPr>
        <w:t>條</w:t>
      </w:r>
      <w:r w:rsidR="00203F72" w:rsidRPr="00DE63F7">
        <w:t>至第九十三條之規定停止適用。</w:t>
      </w:r>
    </w:p>
    <w:p w14:paraId="6237F786" w14:textId="77777777" w:rsidR="00203F72" w:rsidRPr="00A53581" w:rsidRDefault="00203F72" w:rsidP="00D87D91"/>
    <w:p w14:paraId="181FB30A" w14:textId="4A0190A4" w:rsidR="00203F72" w:rsidRPr="00655114" w:rsidRDefault="00B03E84" w:rsidP="00D87D91">
      <w:r w:rsidRPr="00655114">
        <w:t>【</w:t>
      </w:r>
      <w:r w:rsidRPr="00655114">
        <w:t>table</w:t>
      </w:r>
      <w:r w:rsidR="005E23E3" w:rsidRPr="0065511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59</w:t>
      </w:r>
      <w:r w:rsidR="00076467">
        <w:rPr>
          <w:noProof/>
        </w:rPr>
        <w:fldChar w:fldCharType="end"/>
      </w:r>
      <w:r w:rsidR="00203F72" w:rsidRPr="00655114">
        <w:t>民國三十五年國共兩黨憲草爭執與結果</w:t>
      </w:r>
      <w:r w:rsidR="00203F72" w:rsidRPr="00655114">
        <w:footnoteReference w:id="85"/>
      </w:r>
    </w:p>
    <w:tbl>
      <w:tblPr>
        <w:tblW w:w="7512" w:type="dxa"/>
        <w:tblCellSpacing w:w="15" w:type="dxa"/>
        <w:tblInd w:w="514"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716"/>
        <w:gridCol w:w="1544"/>
        <w:gridCol w:w="1559"/>
        <w:gridCol w:w="2693"/>
      </w:tblGrid>
      <w:tr w:rsidR="00203F72" w:rsidRPr="00A53581" w14:paraId="6F015F69" w14:textId="77777777" w:rsidTr="00203F72">
        <w:trPr>
          <w:tblCellSpacing w:w="15" w:type="dxa"/>
        </w:trPr>
        <w:tc>
          <w:tcPr>
            <w:tcW w:w="7452" w:type="dxa"/>
            <w:gridSpan w:val="4"/>
            <w:tcBorders>
              <w:top w:val="single" w:sz="4" w:space="0" w:color="auto"/>
              <w:left w:val="single" w:sz="4" w:space="0" w:color="auto"/>
              <w:bottom w:val="single" w:sz="4" w:space="0" w:color="auto"/>
              <w:right w:val="single" w:sz="4" w:space="0" w:color="auto"/>
            </w:tcBorders>
            <w:shd w:val="clear" w:color="auto" w:fill="FFCCAA"/>
            <w:vAlign w:val="center"/>
            <w:hideMark/>
          </w:tcPr>
          <w:p w14:paraId="13243491" w14:textId="77777777" w:rsidR="00203F72" w:rsidRPr="00A53581" w:rsidRDefault="00203F72" w:rsidP="00D87D91">
            <w:pPr>
              <w:rPr>
                <w:rFonts w:cs="新細明體"/>
              </w:rPr>
            </w:pPr>
            <w:r w:rsidRPr="00A53581">
              <w:t>民國三十五年國共兩黨憲草爭執與結果</w:t>
            </w:r>
          </w:p>
        </w:tc>
      </w:tr>
      <w:tr w:rsidR="00203F72" w:rsidRPr="00A53581" w14:paraId="696C39C0"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2B63CF4" w14:textId="77777777" w:rsidR="00203F72" w:rsidRPr="00A53581" w:rsidRDefault="00203F72" w:rsidP="00D87D91">
            <w:pPr>
              <w:rPr>
                <w:rFonts w:cs="新細明體"/>
              </w:rPr>
            </w:pPr>
            <w:r w:rsidRPr="00A53581">
              <w:t>爭執議題</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44D0F38" w14:textId="77777777" w:rsidR="00203F72" w:rsidRPr="00A53581" w:rsidRDefault="00203F72" w:rsidP="00D87D91">
            <w:pPr>
              <w:rPr>
                <w:rFonts w:cs="新細明體"/>
              </w:rPr>
            </w:pPr>
            <w:r w:rsidRPr="00A53581">
              <w:t>國民黨觀點</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B4DA21F" w14:textId="77777777" w:rsidR="00203F72" w:rsidRPr="00A53581" w:rsidRDefault="00203F72" w:rsidP="00D87D91">
            <w:pPr>
              <w:rPr>
                <w:rFonts w:cs="新細明體"/>
              </w:rPr>
            </w:pPr>
            <w:r w:rsidRPr="00A53581">
              <w:t>共產黨觀點</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C5163BD" w14:textId="77777777" w:rsidR="00203F72" w:rsidRPr="00A53581" w:rsidRDefault="00203F72" w:rsidP="00D87D91">
            <w:pPr>
              <w:rPr>
                <w:rFonts w:cs="新細明體"/>
              </w:rPr>
            </w:pPr>
            <w:r w:rsidRPr="00A53581">
              <w:t>最終民國憲法</w:t>
            </w:r>
          </w:p>
        </w:tc>
      </w:tr>
      <w:tr w:rsidR="00203F72" w:rsidRPr="00A53581" w14:paraId="5CBB45A6"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7F070C2" w14:textId="77777777" w:rsidR="00203F72" w:rsidRPr="00A53581" w:rsidRDefault="00203F72" w:rsidP="00D87D91">
            <w:pPr>
              <w:rPr>
                <w:rFonts w:cs="新細明體"/>
              </w:rPr>
            </w:pPr>
            <w:r w:rsidRPr="00A53581">
              <w:t>人權保障</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E22C5E6" w14:textId="77777777" w:rsidR="00203F72" w:rsidRPr="00A53581" w:rsidRDefault="00203F72" w:rsidP="00D87D91">
            <w:pPr>
              <w:rPr>
                <w:rFonts w:cs="新細明體"/>
              </w:rPr>
            </w:pPr>
            <w:r w:rsidRPr="00A53581">
              <w:t>間接保障</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70EF978" w14:textId="77777777" w:rsidR="00203F72" w:rsidRPr="00A53581" w:rsidRDefault="00203F72" w:rsidP="00D87D91">
            <w:pPr>
              <w:rPr>
                <w:rFonts w:cs="新細明體"/>
              </w:rPr>
            </w:pPr>
            <w:r w:rsidRPr="00A53581">
              <w:t>積極保障</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4856689" w14:textId="77777777" w:rsidR="00203F72" w:rsidRPr="00A53581" w:rsidRDefault="00203F72" w:rsidP="00D87D91">
            <w:pPr>
              <w:rPr>
                <w:rFonts w:cs="新細明體"/>
              </w:rPr>
            </w:pPr>
            <w:r w:rsidRPr="00A53581">
              <w:t>積極保障</w:t>
            </w:r>
          </w:p>
        </w:tc>
      </w:tr>
      <w:tr w:rsidR="00203F72" w:rsidRPr="00A53581" w14:paraId="752E7CD1"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76BCDC5" w14:textId="77777777" w:rsidR="00203F72" w:rsidRPr="00A53581" w:rsidRDefault="00203F72" w:rsidP="00D87D91">
            <w:pPr>
              <w:rPr>
                <w:rFonts w:cs="新細明體"/>
              </w:rPr>
            </w:pPr>
            <w:r w:rsidRPr="00A53581">
              <w:t>國民大會</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DC1B797" w14:textId="77777777" w:rsidR="00203F72" w:rsidRPr="00A53581" w:rsidRDefault="00203F72" w:rsidP="00D87D91">
            <w:pPr>
              <w:rPr>
                <w:rFonts w:cs="新細明體"/>
              </w:rPr>
            </w:pPr>
            <w:r w:rsidRPr="00A53581">
              <w:t>有形國大</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BACD819" w14:textId="77777777" w:rsidR="00203F72" w:rsidRPr="00A53581" w:rsidRDefault="00203F72" w:rsidP="00D87D91">
            <w:pPr>
              <w:rPr>
                <w:rFonts w:cs="新細明體"/>
              </w:rPr>
            </w:pPr>
            <w:r w:rsidRPr="00A53581">
              <w:t>無形國大</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0EB126C" w14:textId="77777777" w:rsidR="00203F72" w:rsidRPr="00A53581" w:rsidRDefault="00203F72" w:rsidP="00D87D91">
            <w:pPr>
              <w:rPr>
                <w:rFonts w:cs="新細明體"/>
              </w:rPr>
            </w:pPr>
            <w:r w:rsidRPr="00A53581">
              <w:t>有形國大</w:t>
            </w:r>
          </w:p>
        </w:tc>
      </w:tr>
      <w:tr w:rsidR="00203F72" w:rsidRPr="00A53581" w14:paraId="5C0EC295"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37757FD" w14:textId="77777777" w:rsidR="00203F72" w:rsidRPr="00A53581" w:rsidRDefault="00203F72" w:rsidP="00D87D91">
            <w:pPr>
              <w:rPr>
                <w:rFonts w:cs="新細明體"/>
              </w:rPr>
            </w:pPr>
            <w:r w:rsidRPr="00A53581">
              <w:t>國大職權</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4773456" w14:textId="77777777" w:rsidR="00203F72" w:rsidRPr="00A53581" w:rsidRDefault="00203F72" w:rsidP="00D87D91">
            <w:pPr>
              <w:rPr>
                <w:rFonts w:cs="新細明體"/>
              </w:rPr>
            </w:pPr>
            <w:r w:rsidRPr="00A53581">
              <w:t>選罷創復四權</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C1FC69F" w14:textId="77777777" w:rsidR="00203F72" w:rsidRPr="00A53581" w:rsidRDefault="00203F72" w:rsidP="00D87D91">
            <w:pPr>
              <w:rPr>
                <w:rFonts w:cs="新細明體"/>
              </w:rPr>
            </w:pPr>
            <w:r w:rsidRPr="00A53581">
              <w:t>選罷兩權</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A139381" w14:textId="77777777" w:rsidR="00203F72" w:rsidRPr="00A53581" w:rsidRDefault="00203F72" w:rsidP="00D87D91">
            <w:pPr>
              <w:rPr>
                <w:rFonts w:cs="新細明體"/>
              </w:rPr>
            </w:pPr>
            <w:r w:rsidRPr="00A53581">
              <w:t>暫有選罷兩權</w:t>
            </w:r>
          </w:p>
        </w:tc>
      </w:tr>
      <w:tr w:rsidR="00203F72" w:rsidRPr="00A53581" w14:paraId="35ACF858"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D4BBEBF" w14:textId="77777777" w:rsidR="00203F72" w:rsidRPr="00A53581" w:rsidRDefault="00203F72" w:rsidP="00D87D91">
            <w:pPr>
              <w:rPr>
                <w:rFonts w:cs="新細明體"/>
              </w:rPr>
            </w:pPr>
            <w:r w:rsidRPr="00A53581">
              <w:t>立法委員選舉</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DE17F74" w14:textId="77777777" w:rsidR="00203F72" w:rsidRPr="00A53581" w:rsidRDefault="00203F72" w:rsidP="00D87D91">
            <w:pPr>
              <w:rPr>
                <w:rFonts w:cs="新細明體"/>
              </w:rPr>
            </w:pPr>
            <w:r w:rsidRPr="00A53581">
              <w:t>國大選舉</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EE3455A" w14:textId="77777777" w:rsidR="00203F72" w:rsidRPr="00A53581" w:rsidRDefault="00203F72" w:rsidP="00D87D91">
            <w:pPr>
              <w:rPr>
                <w:rFonts w:cs="新細明體"/>
              </w:rPr>
            </w:pPr>
            <w:r w:rsidRPr="00A53581">
              <w:t>人民直選</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FE88116" w14:textId="77777777" w:rsidR="00203F72" w:rsidRPr="00A53581" w:rsidRDefault="00203F72" w:rsidP="00D87D91">
            <w:pPr>
              <w:rPr>
                <w:rFonts w:cs="新細明體"/>
              </w:rPr>
            </w:pPr>
            <w:r w:rsidRPr="00A53581">
              <w:t>人民直選</w:t>
            </w:r>
          </w:p>
        </w:tc>
      </w:tr>
      <w:tr w:rsidR="00203F72" w:rsidRPr="00A53581" w14:paraId="0675694C"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7C00928" w14:textId="77777777" w:rsidR="00203F72" w:rsidRPr="00A53581" w:rsidRDefault="00203F72" w:rsidP="00D87D91">
            <w:pPr>
              <w:rPr>
                <w:rFonts w:cs="新細明體"/>
              </w:rPr>
            </w:pPr>
            <w:r w:rsidRPr="00A53581">
              <w:t>政體</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D2C1E6C" w14:textId="77777777" w:rsidR="00203F72" w:rsidRPr="00A53581" w:rsidRDefault="00203F72" w:rsidP="00D87D91">
            <w:pPr>
              <w:rPr>
                <w:rFonts w:cs="新細明體"/>
              </w:rPr>
            </w:pPr>
            <w:r w:rsidRPr="00A53581">
              <w:t>總統制</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097D560" w14:textId="77777777" w:rsidR="00203F72" w:rsidRPr="00A53581" w:rsidRDefault="00203F72" w:rsidP="00D87D91">
            <w:pPr>
              <w:rPr>
                <w:rFonts w:cs="新細明體"/>
              </w:rPr>
            </w:pPr>
            <w:r w:rsidRPr="00A53581">
              <w:t>內閣制</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BE189EF" w14:textId="77777777" w:rsidR="00203F72" w:rsidRPr="00A53581" w:rsidRDefault="00203F72" w:rsidP="00D87D91">
            <w:pPr>
              <w:rPr>
                <w:rFonts w:cs="新細明體"/>
              </w:rPr>
            </w:pPr>
            <w:r w:rsidRPr="00A53581">
              <w:t>內閣制</w:t>
            </w:r>
          </w:p>
        </w:tc>
      </w:tr>
      <w:tr w:rsidR="00203F72" w:rsidRPr="00A53581" w14:paraId="1BACF658"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155496C" w14:textId="77777777" w:rsidR="00203F72" w:rsidRPr="00A53581" w:rsidRDefault="00203F72" w:rsidP="00D87D91">
            <w:pPr>
              <w:rPr>
                <w:rFonts w:cs="新細明體"/>
              </w:rPr>
            </w:pPr>
            <w:r w:rsidRPr="00A53581">
              <w:t>行政院對立法院負責</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FEE92A5" w14:textId="77777777" w:rsidR="00203F72" w:rsidRPr="00A53581" w:rsidRDefault="00203F72" w:rsidP="00D87D91">
            <w:pPr>
              <w:rPr>
                <w:rFonts w:cs="新細明體"/>
              </w:rPr>
            </w:pPr>
            <w:r w:rsidRPr="00A53581">
              <w:t>無需負責</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E7C98B0" w14:textId="77777777" w:rsidR="00203F72" w:rsidRPr="00A53581" w:rsidRDefault="00203F72" w:rsidP="00D87D91">
            <w:pPr>
              <w:rPr>
                <w:rFonts w:cs="新細明體"/>
              </w:rPr>
            </w:pPr>
            <w:r w:rsidRPr="00A53581">
              <w:t>負責</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CFA5C20" w14:textId="77777777" w:rsidR="00203F72" w:rsidRPr="00A53581" w:rsidRDefault="00203F72" w:rsidP="00D87D91">
            <w:pPr>
              <w:rPr>
                <w:rFonts w:cs="新細明體"/>
              </w:rPr>
            </w:pPr>
            <w:r w:rsidRPr="00A53581">
              <w:t>負責</w:t>
            </w:r>
          </w:p>
        </w:tc>
      </w:tr>
      <w:tr w:rsidR="00203F72" w:rsidRPr="00A53581" w14:paraId="4AAFE80A"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57342B8" w14:textId="77777777" w:rsidR="00203F72" w:rsidRPr="00A53581" w:rsidRDefault="00203F72" w:rsidP="00D87D91">
            <w:pPr>
              <w:rPr>
                <w:rFonts w:cs="新細明體"/>
              </w:rPr>
            </w:pPr>
            <w:r w:rsidRPr="00A53581">
              <w:t>司法行政權</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1D361E3" w14:textId="77777777" w:rsidR="00203F72" w:rsidRPr="00A53581" w:rsidRDefault="00203F72" w:rsidP="00D87D91">
            <w:pPr>
              <w:rPr>
                <w:rFonts w:cs="新細明體"/>
              </w:rPr>
            </w:pPr>
            <w:r w:rsidRPr="00A53581">
              <w:t>屬司法院</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55F2185" w14:textId="77777777" w:rsidR="00203F72" w:rsidRPr="00A53581" w:rsidRDefault="00203F72" w:rsidP="00D87D91">
            <w:pPr>
              <w:rPr>
                <w:rFonts w:cs="新細明體"/>
              </w:rPr>
            </w:pPr>
            <w:r w:rsidRPr="00A53581">
              <w:t>不屬於司法院</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D95E647" w14:textId="77777777" w:rsidR="00203F72" w:rsidRPr="00A53581" w:rsidRDefault="00203F72" w:rsidP="00D87D91">
            <w:pPr>
              <w:rPr>
                <w:rFonts w:cs="新細明體"/>
              </w:rPr>
            </w:pPr>
            <w:r w:rsidRPr="00A53581">
              <w:t>不屬於司法院</w:t>
            </w:r>
          </w:p>
        </w:tc>
      </w:tr>
      <w:tr w:rsidR="00203F72" w:rsidRPr="00A53581" w14:paraId="7F3F8D6B"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965B4F4" w14:textId="77777777" w:rsidR="00203F72" w:rsidRPr="00A53581" w:rsidRDefault="00203F72" w:rsidP="00D87D91">
            <w:pPr>
              <w:rPr>
                <w:rFonts w:cs="新細明體"/>
              </w:rPr>
            </w:pPr>
            <w:r w:rsidRPr="00A53581">
              <w:t>監察院同意權</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DDBCF01" w14:textId="77777777" w:rsidR="00203F72" w:rsidRPr="00A53581" w:rsidRDefault="00203F72" w:rsidP="00D87D91">
            <w:pPr>
              <w:rPr>
                <w:rFonts w:cs="新細明體"/>
              </w:rPr>
            </w:pPr>
            <w:r w:rsidRPr="00A53581">
              <w:t>無需同意權</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4A13573" w14:textId="77777777" w:rsidR="00203F72" w:rsidRPr="00A53581" w:rsidRDefault="00203F72" w:rsidP="00D87D91">
            <w:pPr>
              <w:rPr>
                <w:rFonts w:cs="新細明體"/>
              </w:rPr>
            </w:pPr>
            <w:r w:rsidRPr="00A53581">
              <w:t>有同意權</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178C5FAF" w14:textId="77777777" w:rsidR="00203F72" w:rsidRPr="00A53581" w:rsidRDefault="00203F72" w:rsidP="00D87D91">
            <w:pPr>
              <w:rPr>
                <w:rFonts w:cs="新細明體"/>
              </w:rPr>
            </w:pPr>
            <w:r w:rsidRPr="00A53581">
              <w:t>有同意權</w:t>
            </w:r>
          </w:p>
        </w:tc>
      </w:tr>
      <w:tr w:rsidR="00203F72" w:rsidRPr="00A53581" w14:paraId="1A6550C6"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42141B3" w14:textId="77777777" w:rsidR="00203F72" w:rsidRPr="00A53581" w:rsidRDefault="00203F72" w:rsidP="00D87D91">
            <w:pPr>
              <w:rPr>
                <w:rFonts w:cs="新細明體"/>
              </w:rPr>
            </w:pPr>
            <w:r w:rsidRPr="00A53581">
              <w:t>監察委員選舉</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AE2455F" w14:textId="77777777" w:rsidR="00203F72" w:rsidRPr="00A53581" w:rsidRDefault="00203F72" w:rsidP="00D87D91">
            <w:pPr>
              <w:rPr>
                <w:rFonts w:cs="新細明體"/>
              </w:rPr>
            </w:pPr>
            <w:r w:rsidRPr="00A53581">
              <w:t>國大選舉</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58C2314" w14:textId="77777777" w:rsidR="00203F72" w:rsidRPr="00A53581" w:rsidRDefault="00203F72" w:rsidP="00D87D91">
            <w:pPr>
              <w:rPr>
                <w:rFonts w:cs="新細明體"/>
              </w:rPr>
            </w:pPr>
            <w:r w:rsidRPr="00A53581">
              <w:t>省議會選舉</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C2AA0BD" w14:textId="77777777" w:rsidR="00203F72" w:rsidRPr="00A53581" w:rsidRDefault="00203F72" w:rsidP="00D87D91">
            <w:pPr>
              <w:rPr>
                <w:rFonts w:cs="新細明體"/>
              </w:rPr>
            </w:pPr>
            <w:r w:rsidRPr="00A53581">
              <w:t>省議會選舉</w:t>
            </w:r>
          </w:p>
        </w:tc>
      </w:tr>
      <w:tr w:rsidR="00203F72" w:rsidRPr="00A53581" w14:paraId="4F198D0B"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BD874CD" w14:textId="77777777" w:rsidR="00203F72" w:rsidRPr="00A53581" w:rsidRDefault="00203F72" w:rsidP="00D87D91">
            <w:pPr>
              <w:rPr>
                <w:rFonts w:cs="新細明體"/>
              </w:rPr>
            </w:pPr>
            <w:r w:rsidRPr="00A53581">
              <w:t>地方制度</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A05B123" w14:textId="77777777" w:rsidR="00203F72" w:rsidRPr="00A53581" w:rsidRDefault="00203F72" w:rsidP="00D87D91">
            <w:pPr>
              <w:rPr>
                <w:rFonts w:cs="新細明體"/>
              </w:rPr>
            </w:pPr>
            <w:r w:rsidRPr="00A53581">
              <w:t>省縣自治</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76995A8" w14:textId="77777777" w:rsidR="00203F72" w:rsidRPr="00A53581" w:rsidRDefault="00203F72" w:rsidP="00D87D91">
            <w:pPr>
              <w:rPr>
                <w:rFonts w:cs="新細明體"/>
              </w:rPr>
            </w:pPr>
            <w:r w:rsidRPr="00A53581">
              <w:t>聯邦省縣</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89F374E" w14:textId="77777777" w:rsidR="00203F72" w:rsidRPr="00A53581" w:rsidRDefault="00203F72" w:rsidP="00D87D91">
            <w:pPr>
              <w:rPr>
                <w:rFonts w:cs="新細明體"/>
              </w:rPr>
            </w:pPr>
            <w:r w:rsidRPr="00A53581">
              <w:t>省縣自治</w:t>
            </w:r>
          </w:p>
        </w:tc>
      </w:tr>
      <w:tr w:rsidR="00203F72" w:rsidRPr="00A53581" w14:paraId="7950BCD7" w14:textId="77777777"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244B371" w14:textId="77777777" w:rsidR="00203F72" w:rsidRPr="00A53581" w:rsidRDefault="00203F72" w:rsidP="00D87D91">
            <w:pPr>
              <w:rPr>
                <w:rFonts w:cs="新細明體"/>
              </w:rPr>
            </w:pPr>
            <w:r w:rsidRPr="00A53581">
              <w:t>憲法修改</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0A4C4BA" w14:textId="77777777" w:rsidR="00203F72" w:rsidRPr="00A53581" w:rsidRDefault="00203F72" w:rsidP="00D87D91">
            <w:pPr>
              <w:rPr>
                <w:rFonts w:cs="新細明體"/>
              </w:rPr>
            </w:pPr>
            <w:r w:rsidRPr="00A53581">
              <w:t>有形國大</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C1BE2C6" w14:textId="77777777" w:rsidR="00203F72" w:rsidRPr="00A53581" w:rsidRDefault="00203F72" w:rsidP="00D87D91">
            <w:pPr>
              <w:rPr>
                <w:rFonts w:cs="新細明體"/>
              </w:rPr>
            </w:pPr>
            <w:r w:rsidRPr="00A53581">
              <w:t>無形國大</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4D7792F" w14:textId="77777777" w:rsidR="00203F72" w:rsidRPr="00A53581" w:rsidRDefault="00203F72" w:rsidP="00D87D91">
            <w:pPr>
              <w:rPr>
                <w:rFonts w:cs="新細明體"/>
              </w:rPr>
            </w:pPr>
            <w:r w:rsidRPr="00A53581">
              <w:t>有形國大</w:t>
            </w:r>
          </w:p>
        </w:tc>
      </w:tr>
    </w:tbl>
    <w:p w14:paraId="296969DC" w14:textId="77777777"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922" w:history="1">
        <w:r w:rsidR="00203F72" w:rsidRPr="00A53581">
          <w:rPr>
            <w:rStyle w:val="a5"/>
          </w:rPr>
          <w:t>https://zh.wikipedia.org/wiki/%E4%B8%AD%E8%8F%AF%E6%B0%91%E5%9C%8B%E6%86%B2%E6%B3%95</w:t>
        </w:r>
      </w:hyperlink>
      <w:r w:rsidR="00203F72" w:rsidRPr="00A53581">
        <w:t>。</w:t>
      </w:r>
    </w:p>
    <w:p w14:paraId="4C0EEA2C" w14:textId="77777777" w:rsidR="00953151" w:rsidRDefault="00076467" w:rsidP="00767F37">
      <w:pPr>
        <w:pStyle w:val="2"/>
      </w:pPr>
      <w:hyperlink r:id="rId923" w:anchor="a92" w:history="1">
        <w:r w:rsidR="005D5A46">
          <w:rPr>
            <w:rStyle w:val="a5"/>
            <w:rFonts w:ascii="Arial Unicode MS" w:hAnsi="Arial Unicode MS"/>
          </w:rPr>
          <w:t>第</w:t>
        </w:r>
        <w:r w:rsidR="00203F72" w:rsidRPr="00AB0A74">
          <w:rPr>
            <w:rStyle w:val="a5"/>
            <w:rFonts w:ascii="Arial Unicode MS" w:hAnsi="Arial Unicode MS"/>
          </w:rPr>
          <w:t>92</w:t>
        </w:r>
        <w:r w:rsidR="005D5A46">
          <w:rPr>
            <w:rStyle w:val="a5"/>
            <w:rFonts w:ascii="Arial Unicode MS" w:hAnsi="Arial Unicode MS"/>
          </w:rPr>
          <w:t>條</w:t>
        </w:r>
      </w:hyperlink>
      <w:r w:rsidR="00203F72" w:rsidRPr="00A53581">
        <w:t>監察院設院長、副院長各一人，由監察委員互選之。</w:t>
      </w:r>
    </w:p>
    <w:p w14:paraId="733A7E3C" w14:textId="77777777" w:rsidR="00953151" w:rsidRPr="00DE63F7" w:rsidRDefault="00B03E84" w:rsidP="00D87D91">
      <w:r w:rsidRPr="00DE63F7">
        <w:t>【內容解析】</w:t>
      </w:r>
    </w:p>
    <w:p w14:paraId="2609C55A" w14:textId="77777777" w:rsidR="00953151" w:rsidRPr="00DE63F7" w:rsidRDefault="0062321B" w:rsidP="00D87D91">
      <w:r w:rsidRPr="00DE63F7">
        <w:t xml:space="preserve">　　</w:t>
      </w:r>
      <w:r w:rsidR="00203F72" w:rsidRPr="00DE63F7">
        <w:t>依憲法增修條</w:t>
      </w:r>
      <w:r w:rsidR="00143B2D" w:rsidRPr="00191266">
        <w:t>文</w:t>
      </w:r>
      <w:hyperlink r:id="rId924" w:anchor="b7" w:history="1">
        <w:r w:rsidR="00143B2D" w:rsidRPr="00143B2D">
          <w:rPr>
            <w:rStyle w:val="a5"/>
            <w:rFonts w:ascii="Times New Roman" w:eastAsia="新細明體" w:hAnsi="Times New Roman"/>
          </w:rPr>
          <w:t>第七條</w:t>
        </w:r>
      </w:hyperlink>
      <w:r w:rsidR="00203F72" w:rsidRPr="00DE63F7">
        <w:t>之規定，監察院設監察委員二十九人，並以其中一人為院長、一人為副院長，任期六年，由總統提名，經立法院同意任命之。憲法</w:t>
      </w:r>
      <w:r w:rsidR="008A1D8D" w:rsidRPr="00A53581">
        <w:rPr>
          <w:rFonts w:ascii="新細明體" w:hAnsi="新細明體"/>
        </w:rPr>
        <w:t>第</w:t>
      </w:r>
      <w:hyperlink r:id="rId925" w:anchor="a91" w:history="1">
        <w:r w:rsidR="008A1D8D" w:rsidRPr="00306E89">
          <w:rPr>
            <w:rStyle w:val="a5"/>
          </w:rPr>
          <w:t>九十一</w:t>
        </w:r>
      </w:hyperlink>
      <w:r w:rsidR="008A1D8D" w:rsidRPr="00A53581">
        <w:rPr>
          <w:rFonts w:ascii="新細明體" w:hAnsi="新細明體"/>
        </w:rPr>
        <w:t>條</w:t>
      </w:r>
      <w:r w:rsidR="00203F72" w:rsidRPr="00DE63F7">
        <w:t>至第九十三條之規定停止適用。是以，監察院院長，由總統提名，經立法院同意任命之，任期</w:t>
      </w:r>
      <w:r w:rsidR="00203F72" w:rsidRPr="00DE63F7">
        <w:t>6</w:t>
      </w:r>
      <w:r w:rsidR="00203F72" w:rsidRPr="00DE63F7">
        <w:t>年。</w:t>
      </w:r>
    </w:p>
    <w:p w14:paraId="5FE4C36B" w14:textId="77777777" w:rsidR="00953151" w:rsidRDefault="00076467" w:rsidP="00767F37">
      <w:pPr>
        <w:pStyle w:val="2"/>
      </w:pPr>
      <w:hyperlink r:id="rId926" w:anchor="a93" w:history="1">
        <w:r w:rsidR="005D5A46">
          <w:rPr>
            <w:rStyle w:val="a5"/>
            <w:rFonts w:ascii="Arial Unicode MS" w:hAnsi="Arial Unicode MS"/>
          </w:rPr>
          <w:t>第</w:t>
        </w:r>
        <w:r w:rsidR="00203F72" w:rsidRPr="00AB0A74">
          <w:rPr>
            <w:rStyle w:val="a5"/>
            <w:rFonts w:ascii="Arial Unicode MS" w:hAnsi="Arial Unicode MS"/>
          </w:rPr>
          <w:t>93</w:t>
        </w:r>
        <w:r w:rsidR="005D5A46">
          <w:rPr>
            <w:rStyle w:val="a5"/>
            <w:rFonts w:ascii="Arial Unicode MS" w:hAnsi="Arial Unicode MS"/>
          </w:rPr>
          <w:t>條</w:t>
        </w:r>
      </w:hyperlink>
      <w:r w:rsidR="00203F72" w:rsidRPr="00A53581">
        <w:t>監察委員之任期為六年，連選得連任。</w:t>
      </w:r>
    </w:p>
    <w:p w14:paraId="6629C2C6" w14:textId="77777777" w:rsidR="00953151" w:rsidRPr="00DE63F7" w:rsidRDefault="00B03E84" w:rsidP="00D87D91">
      <w:r w:rsidRPr="00DE63F7">
        <w:t>【內容解析】</w:t>
      </w:r>
    </w:p>
    <w:p w14:paraId="6B221D23" w14:textId="77777777" w:rsidR="00953151" w:rsidRPr="00DE63F7" w:rsidRDefault="0062321B" w:rsidP="00D87D91">
      <w:r w:rsidRPr="00DE63F7">
        <w:t xml:space="preserve">　　</w:t>
      </w:r>
      <w:r w:rsidR="00203F72" w:rsidRPr="00DE63F7">
        <w:t>依憲法增修條</w:t>
      </w:r>
      <w:r w:rsidR="00143B2D" w:rsidRPr="00191266">
        <w:t>文</w:t>
      </w:r>
      <w:hyperlink r:id="rId927" w:anchor="b7" w:history="1">
        <w:r w:rsidR="00143B2D" w:rsidRPr="00143B2D">
          <w:rPr>
            <w:rStyle w:val="a5"/>
            <w:rFonts w:ascii="Times New Roman" w:eastAsia="新細明體" w:hAnsi="Times New Roman"/>
          </w:rPr>
          <w:t>第七條</w:t>
        </w:r>
      </w:hyperlink>
      <w:r w:rsidR="00203F72" w:rsidRPr="00DE63F7">
        <w:t>之規定，監察院設監察委員二十九人，並以其中一人為院長、一人為副院長，任期六年，由總統提名，經立法院同意任命之。憲法</w:t>
      </w:r>
      <w:r w:rsidR="008A1D8D" w:rsidRPr="00A53581">
        <w:rPr>
          <w:rFonts w:ascii="新細明體" w:hAnsi="新細明體"/>
        </w:rPr>
        <w:t>第</w:t>
      </w:r>
      <w:hyperlink r:id="rId928" w:anchor="a91" w:history="1">
        <w:r w:rsidR="008A1D8D" w:rsidRPr="00306E89">
          <w:rPr>
            <w:rStyle w:val="a5"/>
          </w:rPr>
          <w:t>九十一</w:t>
        </w:r>
      </w:hyperlink>
      <w:r w:rsidR="008A1D8D" w:rsidRPr="00A53581">
        <w:rPr>
          <w:rFonts w:ascii="新細明體" w:hAnsi="新細明體"/>
        </w:rPr>
        <w:t>條</w:t>
      </w:r>
      <w:r w:rsidR="00203F72" w:rsidRPr="00DE63F7">
        <w:t>至第九十三條之規定停止適用。</w:t>
      </w:r>
    </w:p>
    <w:p w14:paraId="16C4C78C" w14:textId="77777777" w:rsidR="00953151" w:rsidRDefault="00076467" w:rsidP="00767F37">
      <w:pPr>
        <w:pStyle w:val="2"/>
      </w:pPr>
      <w:hyperlink r:id="rId929" w:anchor="a94" w:history="1">
        <w:r w:rsidR="005D5A46">
          <w:rPr>
            <w:rStyle w:val="a5"/>
            <w:rFonts w:ascii="Arial Unicode MS" w:hAnsi="Arial Unicode MS"/>
          </w:rPr>
          <w:t>第</w:t>
        </w:r>
        <w:r w:rsidR="00203F72" w:rsidRPr="00AB0A74">
          <w:rPr>
            <w:rStyle w:val="a5"/>
            <w:rFonts w:ascii="Arial Unicode MS" w:hAnsi="Arial Unicode MS"/>
          </w:rPr>
          <w:t>94</w:t>
        </w:r>
        <w:r w:rsidR="005D5A46">
          <w:rPr>
            <w:rStyle w:val="a5"/>
            <w:rFonts w:ascii="Arial Unicode MS" w:hAnsi="Arial Unicode MS"/>
          </w:rPr>
          <w:t>條</w:t>
        </w:r>
      </w:hyperlink>
      <w:r w:rsidR="00203F72" w:rsidRPr="00A53581">
        <w:t>監察院依本憲法行使同意權時，由出席委員過半數之議決行之。</w:t>
      </w:r>
    </w:p>
    <w:p w14:paraId="1627F4D8" w14:textId="77777777" w:rsidR="00953151" w:rsidRPr="00DE63F7" w:rsidRDefault="00B03E84" w:rsidP="00D87D91">
      <w:r w:rsidRPr="00DE63F7">
        <w:t>【內容解析】</w:t>
      </w:r>
    </w:p>
    <w:p w14:paraId="15E8B1AD" w14:textId="77777777" w:rsidR="00953151" w:rsidRDefault="0062321B" w:rsidP="00D87D91">
      <w:r w:rsidRPr="00DE63F7">
        <w:t xml:space="preserve">　　</w:t>
      </w:r>
      <w:r w:rsidR="00203F72" w:rsidRPr="00DE63F7">
        <w:t>為因應國家統一前之需要，依照憲法</w:t>
      </w:r>
      <w:r w:rsidR="00541C0B" w:rsidRPr="00DE63F7">
        <w:t>第</w:t>
      </w:r>
      <w:hyperlink r:id="rId930" w:anchor="a27" w:history="1">
        <w:r w:rsidR="00541C0B" w:rsidRPr="00DE63F7">
          <w:rPr>
            <w:rStyle w:val="a5"/>
          </w:rPr>
          <w:t>二十七</w:t>
        </w:r>
      </w:hyperlink>
      <w:r w:rsidR="00541C0B" w:rsidRPr="00DE63F7">
        <w:t>條</w:t>
      </w:r>
      <w:r w:rsidR="00203F72" w:rsidRPr="00DE63F7">
        <w:t>第一項第三款及</w:t>
      </w:r>
      <w:r w:rsidR="00541C0B" w:rsidRPr="00DE63F7">
        <w:t>第</w:t>
      </w:r>
      <w:hyperlink r:id="rId931" w:anchor="a174" w:history="1">
        <w:r w:rsidR="00541C0B" w:rsidRPr="00DE63F7">
          <w:rPr>
            <w:rStyle w:val="a5"/>
          </w:rPr>
          <w:t>一百七十四</w:t>
        </w:r>
      </w:hyperlink>
      <w:r w:rsidR="00541C0B" w:rsidRPr="00DE63F7">
        <w:t>條</w:t>
      </w:r>
      <w:r w:rsidR="00203F72" w:rsidRPr="00DE63F7">
        <w:t>第一款之規定，增修憲法條文。依增修條</w:t>
      </w:r>
      <w:r w:rsidR="006E37D4" w:rsidRPr="00D73718">
        <w:t>文</w:t>
      </w:r>
      <w:hyperlink r:id="rId932"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之規定，監察院為國家最高監察機關，行使彈劾、糾舉及審計權，不適用憲法</w:t>
      </w:r>
      <w:r w:rsidR="009A2820" w:rsidRPr="00DE63F7">
        <w:t>第</w:t>
      </w:r>
      <w:hyperlink r:id="rId933" w:anchor="a90" w:history="1">
        <w:r w:rsidR="009A2820" w:rsidRPr="009A2820">
          <w:rPr>
            <w:rStyle w:val="a5"/>
            <w:rFonts w:ascii="Times New Roman" w:eastAsia="新細明體" w:hAnsi="Times New Roman"/>
          </w:rPr>
          <w:t>九十</w:t>
        </w:r>
      </w:hyperlink>
      <w:r w:rsidR="009A2820" w:rsidRPr="00DE63F7">
        <w:t>條</w:t>
      </w:r>
      <w:r w:rsidR="00203F72" w:rsidRPr="00DE63F7">
        <w:t>及</w:t>
      </w:r>
      <w:r w:rsidR="009A2820" w:rsidRPr="00DE63F7">
        <w:t>第</w:t>
      </w:r>
      <w:hyperlink r:id="rId934" w:anchor="a94" w:history="1">
        <w:r w:rsidR="009A2820" w:rsidRPr="009A2820">
          <w:rPr>
            <w:rStyle w:val="a5"/>
            <w:rFonts w:ascii="Times New Roman" w:eastAsia="新細明體" w:hAnsi="Times New Roman"/>
          </w:rPr>
          <w:t>九十四</w:t>
        </w:r>
      </w:hyperlink>
      <w:r w:rsidR="009A2820" w:rsidRPr="00DE63F7">
        <w:t>條</w:t>
      </w:r>
      <w:r w:rsidR="00203F72" w:rsidRPr="00DE63F7">
        <w:t>有關同意權之規定。</w:t>
      </w:r>
    </w:p>
    <w:p w14:paraId="1AF4FDF6" w14:textId="77777777" w:rsidR="00E80116" w:rsidRPr="00DE63F7" w:rsidRDefault="00E80116" w:rsidP="00D87D91"/>
    <w:p w14:paraId="43BF7E1D" w14:textId="16546302"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60</w:t>
      </w:r>
      <w:r w:rsidR="00076467">
        <w:rPr>
          <w:noProof/>
        </w:rPr>
        <w:fldChar w:fldCharType="end"/>
      </w:r>
      <w:r w:rsidR="00203F72" w:rsidRPr="00DE63F7">
        <w:t>國民大會和政府機構之職能與美英政府及明清政府之對應</w:t>
      </w:r>
      <w:r w:rsidR="00203F72" w:rsidRPr="00DE63F7">
        <w:footnoteReference w:id="86"/>
      </w:r>
    </w:p>
    <w:tbl>
      <w:tblPr>
        <w:tblW w:w="7645"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794"/>
        <w:gridCol w:w="3340"/>
        <w:gridCol w:w="1055"/>
        <w:gridCol w:w="2456"/>
      </w:tblGrid>
      <w:tr w:rsidR="00203F72" w:rsidRPr="00A53581" w14:paraId="11F5433D" w14:textId="77777777" w:rsidTr="00203F72">
        <w:trPr>
          <w:tblCellSpacing w:w="15" w:type="dxa"/>
        </w:trPr>
        <w:tc>
          <w:tcPr>
            <w:tcW w:w="7585" w:type="dxa"/>
            <w:gridSpan w:val="4"/>
            <w:tcBorders>
              <w:top w:val="single" w:sz="4" w:space="0" w:color="auto"/>
              <w:left w:val="single" w:sz="4" w:space="0" w:color="auto"/>
              <w:bottom w:val="single" w:sz="4" w:space="0" w:color="auto"/>
              <w:right w:val="single" w:sz="4" w:space="0" w:color="auto"/>
            </w:tcBorders>
            <w:shd w:val="clear" w:color="auto" w:fill="EFEFEF"/>
            <w:vAlign w:val="center"/>
            <w:hideMark/>
          </w:tcPr>
          <w:p w14:paraId="2455FDC5" w14:textId="77777777" w:rsidR="00203F72" w:rsidRPr="00A53581" w:rsidRDefault="00203F72" w:rsidP="00D87D91">
            <w:pPr>
              <w:rPr>
                <w:rFonts w:cs="新細明體"/>
              </w:rPr>
            </w:pPr>
            <w:r w:rsidRPr="00A53581">
              <w:t>國民大會和政府機構之職能與對應</w:t>
            </w:r>
          </w:p>
        </w:tc>
      </w:tr>
      <w:tr w:rsidR="00203F72" w:rsidRPr="00A53581" w14:paraId="39BC54E4"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9213861" w14:textId="77777777" w:rsidR="00203F72" w:rsidRPr="00A53581" w:rsidRDefault="00203F72" w:rsidP="00D87D91">
            <w:pPr>
              <w:rPr>
                <w:rFonts w:cs="新細明體"/>
              </w:rPr>
            </w:pPr>
            <w:r w:rsidRPr="00A53581">
              <w:t>政府部門</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A7CA413" w14:textId="77777777" w:rsidR="00203F72" w:rsidRPr="00A53581" w:rsidRDefault="00203F72" w:rsidP="00D87D91">
            <w:pPr>
              <w:rPr>
                <w:rFonts w:cs="新細明體"/>
              </w:rPr>
            </w:pPr>
            <w:r w:rsidRPr="00A53581">
              <w:t>職能</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7AAF47A3" w14:textId="77777777" w:rsidR="00203F72" w:rsidRPr="00A53581" w:rsidRDefault="00203F72" w:rsidP="00D87D91">
            <w:pPr>
              <w:rPr>
                <w:rFonts w:cs="新細明體"/>
              </w:rPr>
            </w:pPr>
            <w:r w:rsidRPr="00A53581">
              <w:t>對應美英政府</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15C3725" w14:textId="77777777" w:rsidR="00203F72" w:rsidRPr="00A53581" w:rsidRDefault="00203F72" w:rsidP="00D87D91">
            <w:pPr>
              <w:rPr>
                <w:rFonts w:cs="新細明體"/>
              </w:rPr>
            </w:pPr>
            <w:r w:rsidRPr="00A53581">
              <w:t>對應明清政府</w:t>
            </w:r>
          </w:p>
        </w:tc>
      </w:tr>
      <w:tr w:rsidR="00203F72" w:rsidRPr="00A53581" w14:paraId="63AE54E2"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9118F7D" w14:textId="77777777" w:rsidR="00203F72" w:rsidRPr="00A53581" w:rsidRDefault="00203F72" w:rsidP="00D87D91">
            <w:pPr>
              <w:rPr>
                <w:rFonts w:cs="新細明體"/>
              </w:rPr>
            </w:pPr>
            <w:r w:rsidRPr="00A53581">
              <w:t>國民大會</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01BA6E07" w14:textId="77777777" w:rsidR="00203F72" w:rsidRPr="00A53581" w:rsidRDefault="00203F72" w:rsidP="00D87D91">
            <w:pPr>
              <w:rPr>
                <w:rFonts w:cs="新細明體"/>
              </w:rPr>
            </w:pPr>
            <w:r w:rsidRPr="00A53581">
              <w:t>行使政權選舉罷免總統制定修改憲法決定國土變更</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81BBE2F" w14:textId="77777777" w:rsidR="00203F72" w:rsidRPr="00A53581" w:rsidRDefault="00203F72" w:rsidP="00D87D91">
            <w:pPr>
              <w:rPr>
                <w:rFonts w:cs="新細明體"/>
              </w:rPr>
            </w:pPr>
            <w:r w:rsidRPr="00A53581">
              <w:t>憲法會議</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B5C0166" w14:textId="77777777" w:rsidR="00203F72" w:rsidRPr="00A53581" w:rsidRDefault="00203F72" w:rsidP="00D87D91">
            <w:pPr>
              <w:rPr>
                <w:rFonts w:cs="新細明體"/>
              </w:rPr>
            </w:pPr>
            <w:r w:rsidRPr="00A53581">
              <w:t>-</w:t>
            </w:r>
          </w:p>
        </w:tc>
      </w:tr>
      <w:tr w:rsidR="00203F72" w:rsidRPr="00A53581" w14:paraId="093083B7"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1FB5019" w14:textId="77777777" w:rsidR="00203F72" w:rsidRPr="00A53581" w:rsidRDefault="00203F72" w:rsidP="00D87D91">
            <w:pPr>
              <w:rPr>
                <w:rFonts w:cs="新細明體"/>
              </w:rPr>
            </w:pPr>
            <w:r w:rsidRPr="00A53581">
              <w:t>總統</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113C9B70" w14:textId="77777777" w:rsidR="00203F72" w:rsidRPr="00A53581" w:rsidRDefault="00203F72" w:rsidP="00D87D91">
            <w:pPr>
              <w:rPr>
                <w:rFonts w:cs="新細明體"/>
              </w:rPr>
            </w:pPr>
            <w:r w:rsidRPr="00A53581">
              <w:t>國家元首</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D23CEAF" w14:textId="77777777" w:rsidR="00203F72" w:rsidRPr="00A53581" w:rsidRDefault="00203F72" w:rsidP="00D87D91">
            <w:pPr>
              <w:rPr>
                <w:rFonts w:cs="新細明體"/>
              </w:rPr>
            </w:pPr>
            <w:r w:rsidRPr="00A53581">
              <w:t>總統</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1BCF5DA" w14:textId="77777777" w:rsidR="00203F72" w:rsidRPr="00A53581" w:rsidRDefault="00203F72" w:rsidP="00D87D91">
            <w:pPr>
              <w:rPr>
                <w:rFonts w:cs="新細明體"/>
              </w:rPr>
            </w:pPr>
            <w:r w:rsidRPr="00A53581">
              <w:t>-</w:t>
            </w:r>
          </w:p>
        </w:tc>
      </w:tr>
      <w:tr w:rsidR="00203F72" w:rsidRPr="00A53581" w14:paraId="20728D3D"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539BCF4" w14:textId="77777777" w:rsidR="00203F72" w:rsidRPr="00A53581" w:rsidRDefault="00203F72" w:rsidP="00D87D91">
            <w:pPr>
              <w:rPr>
                <w:rFonts w:cs="新細明體"/>
              </w:rPr>
            </w:pPr>
            <w:r w:rsidRPr="00A53581">
              <w:t>行政院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3129C55" w14:textId="77777777" w:rsidR="00203F72" w:rsidRPr="00A53581" w:rsidRDefault="00203F72" w:rsidP="00D87D91">
            <w:pPr>
              <w:rPr>
                <w:rFonts w:cs="新細明體"/>
              </w:rPr>
            </w:pPr>
            <w:r w:rsidRPr="00A53581">
              <w:t>行政</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C042B7D" w14:textId="77777777" w:rsidR="00203F72" w:rsidRPr="00A53581" w:rsidRDefault="00203F72" w:rsidP="00D87D91">
            <w:pPr>
              <w:rPr>
                <w:rFonts w:cs="新細明體"/>
              </w:rPr>
            </w:pPr>
            <w:r w:rsidRPr="00A53581">
              <w:t>內閣</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705469B" w14:textId="77777777" w:rsidR="00203F72" w:rsidRPr="00A53581" w:rsidRDefault="00203F72" w:rsidP="00D87D91">
            <w:pPr>
              <w:rPr>
                <w:rFonts w:cs="新細明體"/>
              </w:rPr>
            </w:pPr>
            <w:r w:rsidRPr="00A53581">
              <w:t>軍機處／內閣大學士、六部</w:t>
            </w:r>
          </w:p>
        </w:tc>
      </w:tr>
      <w:tr w:rsidR="00203F72" w:rsidRPr="00A53581" w14:paraId="7C88BF93"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5A12A69" w14:textId="77777777" w:rsidR="00203F72" w:rsidRPr="00A53581" w:rsidRDefault="00203F72" w:rsidP="00D87D91">
            <w:pPr>
              <w:rPr>
                <w:rFonts w:cs="新細明體"/>
              </w:rPr>
            </w:pPr>
            <w:r w:rsidRPr="00A53581">
              <w:t>立法院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72E4E265" w14:textId="77777777" w:rsidR="00203F72" w:rsidRPr="00A53581" w:rsidRDefault="00203F72" w:rsidP="00D87D91">
            <w:pPr>
              <w:rPr>
                <w:rFonts w:cs="新細明體"/>
              </w:rPr>
            </w:pPr>
            <w:r w:rsidRPr="00A53581">
              <w:t>制定修改法律，複議行政院決議，頒布戒嚴令</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1CE3E3E" w14:textId="77777777" w:rsidR="00203F72" w:rsidRPr="00A53581" w:rsidRDefault="00203F72" w:rsidP="00D87D91">
            <w:pPr>
              <w:rPr>
                <w:rFonts w:cs="新細明體"/>
              </w:rPr>
            </w:pPr>
            <w:r w:rsidRPr="00A53581">
              <w:t>眾議院</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036AC9C" w14:textId="77777777" w:rsidR="00203F72" w:rsidRPr="00A53581" w:rsidRDefault="00203F72" w:rsidP="00D87D91">
            <w:pPr>
              <w:rPr>
                <w:rFonts w:cs="新細明體"/>
              </w:rPr>
            </w:pPr>
            <w:r w:rsidRPr="00A53581">
              <w:t>-</w:t>
            </w:r>
          </w:p>
        </w:tc>
      </w:tr>
      <w:tr w:rsidR="00203F72" w:rsidRPr="00A53581" w14:paraId="19A1102B"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52A619D" w14:textId="77777777" w:rsidR="00203F72" w:rsidRPr="00A53581" w:rsidRDefault="00203F72" w:rsidP="00D87D91">
            <w:pPr>
              <w:rPr>
                <w:rFonts w:cs="新細明體"/>
              </w:rPr>
            </w:pPr>
            <w:r w:rsidRPr="00A53581">
              <w:t>司法院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5EF9D93" w14:textId="77777777" w:rsidR="00203F72" w:rsidRPr="00A53581" w:rsidRDefault="00203F72" w:rsidP="00D87D91">
            <w:pPr>
              <w:rPr>
                <w:rFonts w:cs="新細明體"/>
              </w:rPr>
            </w:pPr>
            <w:r w:rsidRPr="00A53581">
              <w:t>司法審判仲裁懲戒</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47CEC91" w14:textId="77777777" w:rsidR="00203F72" w:rsidRPr="00A53581" w:rsidRDefault="00203F72" w:rsidP="00D87D91">
            <w:pPr>
              <w:rPr>
                <w:rFonts w:cs="新細明體"/>
              </w:rPr>
            </w:pPr>
            <w:r w:rsidRPr="00A53581">
              <w:t>最高法院</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78C3A30" w14:textId="77777777" w:rsidR="00203F72" w:rsidRPr="00A53581" w:rsidRDefault="00203F72" w:rsidP="00D87D91">
            <w:pPr>
              <w:rPr>
                <w:rFonts w:cs="新細明體"/>
              </w:rPr>
            </w:pPr>
            <w:r w:rsidRPr="00A53581">
              <w:t>大理寺、大理院</w:t>
            </w:r>
          </w:p>
        </w:tc>
      </w:tr>
      <w:tr w:rsidR="00203F72" w:rsidRPr="00A53581" w14:paraId="585E771B"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2F5F519" w14:textId="77777777" w:rsidR="00203F72" w:rsidRPr="00A53581" w:rsidRDefault="00203F72" w:rsidP="00D87D91">
            <w:pPr>
              <w:rPr>
                <w:rFonts w:cs="新細明體"/>
              </w:rPr>
            </w:pPr>
            <w:r w:rsidRPr="00A53581">
              <w:t>考試院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0C891C1" w14:textId="77777777" w:rsidR="00203F72" w:rsidRPr="00A53581" w:rsidRDefault="00203F72" w:rsidP="00D87D91">
            <w:pPr>
              <w:rPr>
                <w:rFonts w:cs="新細明體"/>
              </w:rPr>
            </w:pPr>
            <w:r w:rsidRPr="00A53581">
              <w:t>銓敘，保障，撫恤，任免，考核，級俸</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698C7280" w14:textId="77777777" w:rsidR="00203F72" w:rsidRPr="00A53581" w:rsidRDefault="00203F72" w:rsidP="00D87D91">
            <w:pPr>
              <w:rPr>
                <w:rFonts w:cs="新細明體"/>
              </w:rPr>
            </w:pPr>
            <w:r w:rsidRPr="00A53581">
              <w:t>-</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C118D17" w14:textId="77777777" w:rsidR="00203F72" w:rsidRPr="00A53581" w:rsidRDefault="00203F72" w:rsidP="00D87D91">
            <w:pPr>
              <w:rPr>
                <w:rFonts w:cs="新細明體"/>
              </w:rPr>
            </w:pPr>
            <w:r w:rsidRPr="00A53581">
              <w:t>翰林科舉</w:t>
            </w:r>
          </w:p>
        </w:tc>
      </w:tr>
      <w:tr w:rsidR="00203F72" w:rsidRPr="00A53581" w14:paraId="2590D9E3" w14:textId="77777777"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B0C3926" w14:textId="77777777" w:rsidR="00203F72" w:rsidRPr="00A53581" w:rsidRDefault="00203F72" w:rsidP="00D87D91">
            <w:pPr>
              <w:rPr>
                <w:rFonts w:cs="新細明體"/>
              </w:rPr>
            </w:pPr>
            <w:r w:rsidRPr="00A53581">
              <w:t>監察院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EF947AF" w14:textId="77777777" w:rsidR="00203F72" w:rsidRPr="00A53581" w:rsidRDefault="00203F72" w:rsidP="00D87D91">
            <w:pPr>
              <w:rPr>
                <w:rFonts w:cs="新細明體"/>
              </w:rPr>
            </w:pPr>
            <w:r w:rsidRPr="00A53581">
              <w:t>彈劾糾舉審計</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1C3FFF76" w14:textId="77777777" w:rsidR="00203F72" w:rsidRPr="00A53581" w:rsidRDefault="00203F72" w:rsidP="00D87D91">
            <w:pPr>
              <w:rPr>
                <w:rFonts w:cs="新細明體"/>
              </w:rPr>
            </w:pPr>
            <w:r w:rsidRPr="00A53581">
              <w:t>參議院</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5E380125" w14:textId="77777777" w:rsidR="00203F72" w:rsidRPr="00A53581" w:rsidRDefault="00203F72" w:rsidP="00D87D91">
            <w:pPr>
              <w:rPr>
                <w:rFonts w:cs="新細明體"/>
              </w:rPr>
            </w:pPr>
            <w:r w:rsidRPr="00A53581">
              <w:t>御史</w:t>
            </w:r>
          </w:p>
        </w:tc>
      </w:tr>
    </w:tbl>
    <w:p w14:paraId="41038D17" w14:textId="77777777"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935" w:history="1">
        <w:r w:rsidR="00203F72" w:rsidRPr="00A53581">
          <w:rPr>
            <w:rStyle w:val="a5"/>
          </w:rPr>
          <w:t>https://zh.wikipedia.org/wiki/%E4%B8%AD%E8%8F%AF%E6%B0%91%E5%9C%8B%E6%86%B2%E6%B3%95</w:t>
        </w:r>
      </w:hyperlink>
      <w:r w:rsidR="00203F72" w:rsidRPr="00A53581">
        <w:t>。</w:t>
      </w:r>
    </w:p>
    <w:p w14:paraId="40488AF7" w14:textId="77777777" w:rsidR="00953151" w:rsidRDefault="00076467" w:rsidP="00767F37">
      <w:pPr>
        <w:pStyle w:val="2"/>
      </w:pPr>
      <w:hyperlink r:id="rId936" w:anchor="a95" w:history="1">
        <w:r w:rsidR="005D5A46">
          <w:rPr>
            <w:rStyle w:val="a5"/>
            <w:rFonts w:ascii="Arial Unicode MS" w:hAnsi="Arial Unicode MS"/>
          </w:rPr>
          <w:t>第</w:t>
        </w:r>
        <w:r w:rsidR="00203F72" w:rsidRPr="00AB0A74">
          <w:rPr>
            <w:rStyle w:val="a5"/>
            <w:rFonts w:ascii="Arial Unicode MS" w:hAnsi="Arial Unicode MS"/>
          </w:rPr>
          <w:t>95</w:t>
        </w:r>
        <w:r w:rsidR="005D5A46">
          <w:rPr>
            <w:rStyle w:val="a5"/>
            <w:rFonts w:ascii="Arial Unicode MS" w:hAnsi="Arial Unicode MS"/>
          </w:rPr>
          <w:t>條</w:t>
        </w:r>
      </w:hyperlink>
      <w:r w:rsidR="00203F72" w:rsidRPr="00A53581">
        <w:t>監察院為行使監察權，得向行政院及其各部會調閱其所發布之命令及各種有關文件。</w:t>
      </w:r>
    </w:p>
    <w:p w14:paraId="3A07F6E1" w14:textId="77777777" w:rsidR="00953151" w:rsidRPr="00DE63F7" w:rsidRDefault="00B03E84" w:rsidP="00D87D91">
      <w:r w:rsidRPr="00DE63F7">
        <w:t>【內容解析】</w:t>
      </w:r>
    </w:p>
    <w:p w14:paraId="5E96E4B6" w14:textId="77777777" w:rsidR="00953151" w:rsidRPr="0082128B" w:rsidRDefault="0062321B" w:rsidP="00D87D91">
      <w:r w:rsidRPr="00DE63F7">
        <w:t xml:space="preserve">　　</w:t>
      </w:r>
      <w:r w:rsidR="00203F72" w:rsidRPr="00DE63F7">
        <w:t>本條文旨在提供監察院行使監察權限，司法院釋</w:t>
      </w:r>
      <w:r w:rsidR="00043F97" w:rsidRPr="00DE63F7">
        <w:t>字</w:t>
      </w:r>
      <w:hyperlink r:id="rId937"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解釋認為：「憲法之五院體制並未改變，原屬於監察院職權中之彈劾、糾舉、糾正權及為行使此等職權，依憲法</w:t>
      </w:r>
      <w:r w:rsidR="00B23D06" w:rsidRPr="00DE63F7">
        <w:t>第</w:t>
      </w:r>
      <w:hyperlink r:id="rId938" w:anchor="a95" w:history="1">
        <w:r w:rsidR="00B23D06" w:rsidRPr="00B23D06">
          <w:rPr>
            <w:rStyle w:val="a5"/>
            <w:rFonts w:ascii="Times New Roman" w:eastAsia="新細明體" w:hAnsi="Times New Roman"/>
          </w:rPr>
          <w:t>九十五</w:t>
        </w:r>
      </w:hyperlink>
      <w:r w:rsidR="00B23D06" w:rsidRPr="00DE63F7">
        <w:t>條</w:t>
      </w:r>
      <w:r w:rsidR="00203F72" w:rsidRPr="00DE63F7">
        <w:t>、</w:t>
      </w:r>
      <w:r w:rsidR="00B23D06" w:rsidRPr="00DE63F7">
        <w:t>第</w:t>
      </w:r>
      <w:hyperlink r:id="rId939" w:anchor="a96" w:history="1">
        <w:r w:rsidR="00B23D06" w:rsidRPr="00B23D06">
          <w:rPr>
            <w:rStyle w:val="a5"/>
            <w:rFonts w:ascii="Times New Roman" w:eastAsia="新細明體" w:hAnsi="Times New Roman"/>
          </w:rPr>
          <w:t>九十六</w:t>
        </w:r>
      </w:hyperlink>
      <w:r w:rsidR="00B23D06" w:rsidRPr="00DE63F7">
        <w:t>條</w:t>
      </w:r>
      <w:r w:rsidR="00203F72" w:rsidRPr="00DE63F7">
        <w:t>之規定，具有之調查權，憲法增修條文亦未修改，此項調查權仍應專由監察院行使。」依司法院大法官會議解釋，監察院對於中央及地方公務人員認為有失職或違法情事，得提出之糾舉</w:t>
      </w:r>
      <w:r w:rsidR="00203F72" w:rsidRPr="00DE63F7">
        <w:t>(</w:t>
      </w:r>
      <w:r w:rsidR="00203F72" w:rsidRPr="00DE63F7">
        <w:t>規定於監察</w:t>
      </w:r>
      <w:r w:rsidR="00203F72" w:rsidRPr="0082128B">
        <w:t>法</w:t>
      </w:r>
      <w:hyperlink r:id="rId940" w:anchor="a19" w:history="1">
        <w:r w:rsidR="00203F72" w:rsidRPr="0082128B">
          <w:rPr>
            <w:rStyle w:val="a5"/>
          </w:rPr>
          <w:t>第19條</w:t>
        </w:r>
      </w:hyperlink>
      <w:r w:rsidR="00203F72" w:rsidRPr="0082128B">
        <w:footnoteReference w:id="87"/>
      </w:r>
      <w:r w:rsidR="00203F72" w:rsidRPr="0082128B">
        <w:t>、</w:t>
      </w:r>
      <w:hyperlink r:id="rId941" w:anchor="a20" w:history="1">
        <w:r w:rsidR="00203F72" w:rsidRPr="0082128B">
          <w:rPr>
            <w:rStyle w:val="a5"/>
          </w:rPr>
          <w:t>第20條</w:t>
        </w:r>
      </w:hyperlink>
      <w:r w:rsidR="00203F72" w:rsidRPr="0082128B">
        <w:t>、</w:t>
      </w:r>
      <w:hyperlink r:id="rId942" w:anchor="a21" w:history="1">
        <w:r w:rsidR="00E2576E" w:rsidRPr="0082128B">
          <w:rPr>
            <w:rStyle w:val="a5"/>
          </w:rPr>
          <w:t>第21條</w:t>
        </w:r>
      </w:hyperlink>
      <w:r w:rsidR="00203F72" w:rsidRPr="0082128B">
        <w:t>、</w:t>
      </w:r>
      <w:hyperlink r:id="rId943" w:anchor="a22" w:history="1">
        <w:r w:rsidR="00203F72" w:rsidRPr="0082128B">
          <w:rPr>
            <w:rStyle w:val="a5"/>
          </w:rPr>
          <w:t>第22條</w:t>
        </w:r>
      </w:hyperlink>
      <w:r w:rsidR="00203F72" w:rsidRPr="0082128B">
        <w:t>、</w:t>
      </w:r>
      <w:hyperlink r:id="rId944" w:anchor="a23" w:history="1">
        <w:r w:rsidR="00203F72" w:rsidRPr="0082128B">
          <w:rPr>
            <w:rStyle w:val="a5"/>
          </w:rPr>
          <w:t>第23條</w:t>
        </w:r>
      </w:hyperlink>
      <w:r w:rsidR="00203F72" w:rsidRPr="0082128B">
        <w:t>)</w:t>
      </w:r>
      <w:r w:rsidR="00203F72" w:rsidRPr="0082128B">
        <w:t>、彈劾</w:t>
      </w:r>
      <w:r w:rsidR="00203F72" w:rsidRPr="0082128B">
        <w:t>(</w:t>
      </w:r>
      <w:r w:rsidR="00203F72" w:rsidRPr="0082128B">
        <w:t>規定於監察法</w:t>
      </w:r>
      <w:hyperlink r:id="rId945" w:anchor="a5" w:history="1">
        <w:r w:rsidR="00203F72" w:rsidRPr="0082128B">
          <w:rPr>
            <w:rStyle w:val="a5"/>
            <w:rFonts w:ascii="Times New Roman" w:eastAsia="新細明體" w:hAnsi="Times New Roman"/>
          </w:rPr>
          <w:t>第</w:t>
        </w:r>
        <w:r w:rsidR="00203F72" w:rsidRPr="0082128B">
          <w:rPr>
            <w:rStyle w:val="a5"/>
            <w:rFonts w:ascii="Times New Roman" w:eastAsia="新細明體" w:hAnsi="Times New Roman"/>
          </w:rPr>
          <w:t>5</w:t>
        </w:r>
        <w:r w:rsidR="00203F72" w:rsidRPr="0082128B">
          <w:rPr>
            <w:rStyle w:val="a5"/>
            <w:rFonts w:ascii="Times New Roman" w:eastAsia="新細明體" w:hAnsi="Times New Roman"/>
          </w:rPr>
          <w:t>條</w:t>
        </w:r>
      </w:hyperlink>
      <w:r w:rsidR="00203F72" w:rsidRPr="0082128B">
        <w:t>至第</w:t>
      </w:r>
      <w:r w:rsidR="00203F72" w:rsidRPr="0082128B">
        <w:t>18</w:t>
      </w:r>
      <w:r w:rsidR="00203F72" w:rsidRPr="0082128B">
        <w:t>條</w:t>
      </w:r>
      <w:r w:rsidR="00203F72" w:rsidRPr="0082128B">
        <w:t>)</w:t>
      </w:r>
      <w:r w:rsidR="00203F72" w:rsidRPr="0082128B">
        <w:t>，及限於對行政院及其有關部會得提出之糾正</w:t>
      </w:r>
      <w:r w:rsidR="00203F72" w:rsidRPr="0082128B">
        <w:t>(</w:t>
      </w:r>
      <w:r w:rsidR="00203F72" w:rsidRPr="0082128B">
        <w:t>規定於監察法</w:t>
      </w:r>
      <w:hyperlink r:id="rId946" w:anchor="a24" w:history="1">
        <w:r w:rsidR="00203F72" w:rsidRPr="0082128B">
          <w:rPr>
            <w:rStyle w:val="a5"/>
            <w:rFonts w:ascii="Times New Roman" w:eastAsia="新細明體" w:hAnsi="Times New Roman"/>
          </w:rPr>
          <w:t>第</w:t>
        </w:r>
        <w:r w:rsidR="00203F72" w:rsidRPr="0082128B">
          <w:rPr>
            <w:rStyle w:val="a5"/>
            <w:rFonts w:ascii="Times New Roman" w:eastAsia="新細明體" w:hAnsi="Times New Roman"/>
          </w:rPr>
          <w:t>24</w:t>
        </w:r>
        <w:r w:rsidR="00203F72" w:rsidRPr="0082128B">
          <w:rPr>
            <w:rStyle w:val="a5"/>
            <w:rFonts w:ascii="Times New Roman" w:eastAsia="新細明體" w:hAnsi="Times New Roman"/>
          </w:rPr>
          <w:t>條</w:t>
        </w:r>
      </w:hyperlink>
      <w:r w:rsidR="00203F72" w:rsidRPr="0082128B">
        <w:footnoteReference w:id="88"/>
      </w:r>
      <w:r w:rsidR="00203F72" w:rsidRPr="0082128B">
        <w:t>、</w:t>
      </w:r>
      <w:hyperlink r:id="rId947" w:anchor="a25" w:history="1">
        <w:r w:rsidR="00203F72" w:rsidRPr="0082128B">
          <w:rPr>
            <w:rStyle w:val="a5"/>
            <w:rFonts w:ascii="Times New Roman" w:eastAsia="新細明體" w:hAnsi="Times New Roman"/>
          </w:rPr>
          <w:t>第</w:t>
        </w:r>
        <w:r w:rsidR="00203F72" w:rsidRPr="0082128B">
          <w:rPr>
            <w:rStyle w:val="a5"/>
            <w:rFonts w:ascii="Times New Roman" w:eastAsia="新細明體" w:hAnsi="Times New Roman"/>
          </w:rPr>
          <w:t>25</w:t>
        </w:r>
        <w:r w:rsidR="00203F72" w:rsidRPr="0082128B">
          <w:rPr>
            <w:rStyle w:val="a5"/>
            <w:rFonts w:ascii="Times New Roman" w:eastAsia="新細明體" w:hAnsi="Times New Roman"/>
          </w:rPr>
          <w:t>條</w:t>
        </w:r>
      </w:hyperlink>
      <w:r w:rsidR="00203F72" w:rsidRPr="0082128B">
        <w:footnoteReference w:id="89"/>
      </w:r>
      <w:r w:rsidR="00203F72" w:rsidRPr="0082128B">
        <w:t>)</w:t>
      </w:r>
      <w:r w:rsidR="00203F72" w:rsidRPr="0082128B">
        <w:t>，為行使此等職權，自仍應專由監察院行使。故監察院對於中央及地方公務人員認為有失職或違法情事，得提出之糾舉、彈劾，及限於對行政院及其有關部會，得提出之糾正，監察院為行使此等職權，得向行政院及其各部會調閱其所發布之命令及各種有關文件</w:t>
      </w:r>
      <w:r w:rsidR="00203F72" w:rsidRPr="0082128B">
        <w:t>(</w:t>
      </w:r>
      <w:r w:rsidR="00203F72" w:rsidRPr="0082128B">
        <w:t>調查權</w:t>
      </w:r>
      <w:r w:rsidR="00203F72" w:rsidRPr="0082128B">
        <w:t>)</w:t>
      </w:r>
      <w:r w:rsidR="00203F72" w:rsidRPr="0082128B">
        <w:t>。</w:t>
      </w:r>
    </w:p>
    <w:p w14:paraId="5DD10530" w14:textId="77777777" w:rsidR="00043F97" w:rsidRPr="00DE63F7" w:rsidRDefault="00043F97" w:rsidP="00D87D91"/>
    <w:p w14:paraId="36C0F1EF" w14:textId="4AFAD9B7"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61</w:t>
      </w:r>
      <w:r w:rsidR="00076467">
        <w:rPr>
          <w:noProof/>
        </w:rPr>
        <w:fldChar w:fldCharType="end"/>
      </w:r>
      <w:r w:rsidR="00203F72" w:rsidRPr="00DE63F7">
        <w:rPr>
          <w:rFonts w:hint="eastAsia"/>
        </w:rPr>
        <w:t>國會調查權與監察調查權之區別比較</w:t>
      </w:r>
    </w:p>
    <w:tbl>
      <w:tblPr>
        <w:tblW w:w="79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3714"/>
        <w:gridCol w:w="3090"/>
      </w:tblGrid>
      <w:tr w:rsidR="00203F72" w:rsidRPr="00A53581" w14:paraId="3C5BD761" w14:textId="77777777" w:rsidTr="00043F97">
        <w:trPr>
          <w:tblHeader/>
        </w:trPr>
        <w:tc>
          <w:tcPr>
            <w:tcW w:w="1134" w:type="dxa"/>
            <w:shd w:val="clear" w:color="auto" w:fill="FAF0FA"/>
            <w:vAlign w:val="center"/>
          </w:tcPr>
          <w:p w14:paraId="230E1C17" w14:textId="77777777" w:rsidR="00203F72" w:rsidRPr="00A53581" w:rsidRDefault="00203F72" w:rsidP="00D87D91"/>
        </w:tc>
        <w:tc>
          <w:tcPr>
            <w:tcW w:w="3714" w:type="dxa"/>
            <w:shd w:val="clear" w:color="auto" w:fill="FAF0FA"/>
            <w:vAlign w:val="center"/>
          </w:tcPr>
          <w:p w14:paraId="6F587605" w14:textId="77777777" w:rsidR="00203F72" w:rsidRPr="00A53581" w:rsidRDefault="00203F72" w:rsidP="00D87D91">
            <w:r w:rsidRPr="00A53581">
              <w:rPr>
                <w:rFonts w:hint="eastAsia"/>
              </w:rPr>
              <w:t>國會調查權</w:t>
            </w:r>
          </w:p>
        </w:tc>
        <w:tc>
          <w:tcPr>
            <w:tcW w:w="3090" w:type="dxa"/>
            <w:shd w:val="clear" w:color="auto" w:fill="FAF0FA"/>
            <w:vAlign w:val="center"/>
          </w:tcPr>
          <w:p w14:paraId="2FB48B96" w14:textId="77777777" w:rsidR="00203F72" w:rsidRPr="00A53581" w:rsidRDefault="00203F72" w:rsidP="00D87D91">
            <w:r w:rsidRPr="00A53581">
              <w:rPr>
                <w:rFonts w:hint="eastAsia"/>
              </w:rPr>
              <w:t>監察調查權</w:t>
            </w:r>
          </w:p>
        </w:tc>
      </w:tr>
      <w:tr w:rsidR="00203F72" w:rsidRPr="00A53581" w14:paraId="4C607805" w14:textId="77777777" w:rsidTr="00203F72">
        <w:tc>
          <w:tcPr>
            <w:tcW w:w="1134" w:type="dxa"/>
            <w:shd w:val="clear" w:color="auto" w:fill="auto"/>
            <w:vAlign w:val="center"/>
          </w:tcPr>
          <w:p w14:paraId="2A626E92" w14:textId="77777777" w:rsidR="00203F72" w:rsidRPr="00A53581" w:rsidRDefault="00203F72" w:rsidP="00D87D91">
            <w:r w:rsidRPr="00A53581">
              <w:rPr>
                <w:rFonts w:hint="eastAsia"/>
              </w:rPr>
              <w:t>目的</w:t>
            </w:r>
          </w:p>
        </w:tc>
        <w:tc>
          <w:tcPr>
            <w:tcW w:w="3714" w:type="dxa"/>
            <w:shd w:val="clear" w:color="auto" w:fill="auto"/>
          </w:tcPr>
          <w:p w14:paraId="1D3891B6" w14:textId="77777777" w:rsidR="00203F72" w:rsidRPr="00A53581" w:rsidRDefault="00203F72" w:rsidP="00D87D91">
            <w:r w:rsidRPr="00A53581">
              <w:rPr>
                <w:rFonts w:hint="eastAsia"/>
              </w:rPr>
              <w:t>立法目的、監督弊案</w:t>
            </w:r>
            <w:r w:rsidRPr="00A53581">
              <w:rPr>
                <w:rFonts w:hint="eastAsia"/>
              </w:rPr>
              <w:t>(</w:t>
            </w:r>
            <w:r w:rsidRPr="00A53581">
              <w:rPr>
                <w:rFonts w:hint="eastAsia"/>
              </w:rPr>
              <w:t>政治性</w:t>
            </w:r>
            <w:r w:rsidRPr="00A53581">
              <w:rPr>
                <w:rFonts w:hint="eastAsia"/>
              </w:rPr>
              <w:t>)</w:t>
            </w:r>
            <w:r w:rsidRPr="00A53581">
              <w:rPr>
                <w:rFonts w:hint="eastAsia"/>
              </w:rPr>
              <w:t>。</w:t>
            </w:r>
          </w:p>
        </w:tc>
        <w:tc>
          <w:tcPr>
            <w:tcW w:w="3090" w:type="dxa"/>
            <w:shd w:val="clear" w:color="auto" w:fill="auto"/>
          </w:tcPr>
          <w:p w14:paraId="1E3AAF36" w14:textId="77777777" w:rsidR="00203F72" w:rsidRPr="00A53581" w:rsidRDefault="00203F72" w:rsidP="00D87D91">
            <w:r w:rsidRPr="00A53581">
              <w:rPr>
                <w:rFonts w:hint="eastAsia"/>
              </w:rPr>
              <w:t>彈劾、糾正、糾舉</w:t>
            </w:r>
            <w:r w:rsidRPr="00A53581">
              <w:rPr>
                <w:rFonts w:hint="eastAsia"/>
              </w:rPr>
              <w:t>(</w:t>
            </w:r>
            <w:r w:rsidRPr="00A53581">
              <w:rPr>
                <w:rFonts w:hint="eastAsia"/>
              </w:rPr>
              <w:t>法律性</w:t>
            </w:r>
            <w:r w:rsidRPr="00A53581">
              <w:rPr>
                <w:rFonts w:hint="eastAsia"/>
              </w:rPr>
              <w:t>)</w:t>
            </w:r>
            <w:r w:rsidRPr="00A53581">
              <w:rPr>
                <w:rFonts w:hint="eastAsia"/>
              </w:rPr>
              <w:t>。</w:t>
            </w:r>
          </w:p>
        </w:tc>
      </w:tr>
      <w:tr w:rsidR="00203F72" w:rsidRPr="00A53581" w14:paraId="453FDDF7" w14:textId="77777777" w:rsidTr="00203F72">
        <w:tc>
          <w:tcPr>
            <w:tcW w:w="1134" w:type="dxa"/>
            <w:shd w:val="clear" w:color="auto" w:fill="auto"/>
            <w:vAlign w:val="center"/>
          </w:tcPr>
          <w:p w14:paraId="2BE923A5" w14:textId="77777777" w:rsidR="00203F72" w:rsidRPr="00A53581" w:rsidRDefault="00203F72" w:rsidP="00D87D91">
            <w:r w:rsidRPr="00A53581">
              <w:rPr>
                <w:rFonts w:hint="eastAsia"/>
              </w:rPr>
              <w:t>行使方式</w:t>
            </w:r>
          </w:p>
        </w:tc>
        <w:tc>
          <w:tcPr>
            <w:tcW w:w="3714" w:type="dxa"/>
            <w:shd w:val="clear" w:color="auto" w:fill="auto"/>
          </w:tcPr>
          <w:p w14:paraId="2A0943E4" w14:textId="77777777" w:rsidR="00203F72" w:rsidRPr="00A53581" w:rsidRDefault="00203F72" w:rsidP="00D87D91">
            <w:r w:rsidRPr="00A53581">
              <w:rPr>
                <w:rFonts w:hint="eastAsia"/>
              </w:rPr>
              <w:t>集體行使。</w:t>
            </w:r>
          </w:p>
        </w:tc>
        <w:tc>
          <w:tcPr>
            <w:tcW w:w="3090" w:type="dxa"/>
            <w:shd w:val="clear" w:color="auto" w:fill="auto"/>
          </w:tcPr>
          <w:p w14:paraId="407E383A" w14:textId="77777777" w:rsidR="00203F72" w:rsidRPr="00A53581" w:rsidRDefault="00203F72" w:rsidP="00D87D91">
            <w:r w:rsidRPr="00A53581">
              <w:rPr>
                <w:rFonts w:hint="eastAsia"/>
              </w:rPr>
              <w:t>獨力行使。</w:t>
            </w:r>
          </w:p>
        </w:tc>
      </w:tr>
      <w:tr w:rsidR="00203F72" w:rsidRPr="00A53581" w14:paraId="51F0C791" w14:textId="77777777" w:rsidTr="00203F72">
        <w:tc>
          <w:tcPr>
            <w:tcW w:w="1134" w:type="dxa"/>
            <w:shd w:val="clear" w:color="auto" w:fill="auto"/>
            <w:vAlign w:val="center"/>
          </w:tcPr>
          <w:p w14:paraId="3E331EDA" w14:textId="77777777" w:rsidR="00203F72" w:rsidRPr="00A53581" w:rsidRDefault="00203F72" w:rsidP="00D87D91">
            <w:r w:rsidRPr="00A53581">
              <w:rPr>
                <w:rFonts w:hint="eastAsia"/>
              </w:rPr>
              <w:t>適用程序</w:t>
            </w:r>
          </w:p>
        </w:tc>
        <w:tc>
          <w:tcPr>
            <w:tcW w:w="3714" w:type="dxa"/>
            <w:shd w:val="clear" w:color="auto" w:fill="auto"/>
          </w:tcPr>
          <w:p w14:paraId="4A336E08" w14:textId="77777777" w:rsidR="00203F72" w:rsidRPr="00A53581" w:rsidRDefault="00203F72" w:rsidP="00D87D91">
            <w:r w:rsidRPr="00A53581">
              <w:rPr>
                <w:rFonts w:hint="eastAsia"/>
              </w:rPr>
              <w:t>考慮刑事訴訟程序。</w:t>
            </w:r>
          </w:p>
        </w:tc>
        <w:tc>
          <w:tcPr>
            <w:tcW w:w="3090" w:type="dxa"/>
            <w:shd w:val="clear" w:color="auto" w:fill="auto"/>
          </w:tcPr>
          <w:p w14:paraId="321104C5" w14:textId="77777777" w:rsidR="00203F72" w:rsidRPr="00A53581" w:rsidRDefault="00203F72" w:rsidP="00D87D91">
            <w:r w:rsidRPr="00A53581">
              <w:rPr>
                <w:rFonts w:hint="eastAsia"/>
              </w:rPr>
              <w:t>未規定。</w:t>
            </w:r>
          </w:p>
        </w:tc>
      </w:tr>
      <w:tr w:rsidR="00203F72" w:rsidRPr="00A53581" w14:paraId="34BAD24E" w14:textId="77777777" w:rsidTr="00203F72">
        <w:tc>
          <w:tcPr>
            <w:tcW w:w="1134" w:type="dxa"/>
            <w:shd w:val="clear" w:color="auto" w:fill="auto"/>
            <w:vAlign w:val="center"/>
          </w:tcPr>
          <w:p w14:paraId="1D24E2E4" w14:textId="77777777" w:rsidR="00203F72" w:rsidRPr="00A53581" w:rsidRDefault="00203F72" w:rsidP="00D87D91">
            <w:r w:rsidRPr="00A53581">
              <w:rPr>
                <w:rFonts w:hint="eastAsia"/>
              </w:rPr>
              <w:t>證據能力</w:t>
            </w:r>
          </w:p>
        </w:tc>
        <w:tc>
          <w:tcPr>
            <w:tcW w:w="3714" w:type="dxa"/>
            <w:shd w:val="clear" w:color="auto" w:fill="auto"/>
          </w:tcPr>
          <w:p w14:paraId="2B20F6CF" w14:textId="77777777" w:rsidR="00203F72" w:rsidRPr="00A53581" w:rsidRDefault="00203F72" w:rsidP="00D87D91">
            <w:r w:rsidRPr="00A53581">
              <w:rPr>
                <w:rFonts w:hint="eastAsia"/>
              </w:rPr>
              <w:t>如果依刑事訴訟程序調查所得，應具有證據能力。</w:t>
            </w:r>
          </w:p>
        </w:tc>
        <w:tc>
          <w:tcPr>
            <w:tcW w:w="3090" w:type="dxa"/>
            <w:shd w:val="clear" w:color="auto" w:fill="auto"/>
          </w:tcPr>
          <w:p w14:paraId="2AA91C99" w14:textId="77777777" w:rsidR="00203F72" w:rsidRPr="00A53581" w:rsidRDefault="00203F72" w:rsidP="00D87D91">
            <w:r w:rsidRPr="00A53581">
              <w:rPr>
                <w:rFonts w:hint="eastAsia"/>
              </w:rPr>
              <w:t>雖未規定，應具有證據能力。</w:t>
            </w:r>
          </w:p>
        </w:tc>
      </w:tr>
      <w:tr w:rsidR="00203F72" w:rsidRPr="00A53581" w14:paraId="36B484A5" w14:textId="77777777" w:rsidTr="00203F72">
        <w:tc>
          <w:tcPr>
            <w:tcW w:w="1134" w:type="dxa"/>
            <w:shd w:val="clear" w:color="auto" w:fill="auto"/>
            <w:vAlign w:val="center"/>
          </w:tcPr>
          <w:p w14:paraId="7E22C111" w14:textId="77777777" w:rsidR="00203F72" w:rsidRPr="00A53581" w:rsidRDefault="00203F72" w:rsidP="00D87D91">
            <w:r w:rsidRPr="00A53581">
              <w:rPr>
                <w:rFonts w:hint="eastAsia"/>
              </w:rPr>
              <w:t>證據證明力</w:t>
            </w:r>
          </w:p>
        </w:tc>
        <w:tc>
          <w:tcPr>
            <w:tcW w:w="3714" w:type="dxa"/>
            <w:shd w:val="clear" w:color="auto" w:fill="auto"/>
          </w:tcPr>
          <w:p w14:paraId="16559500" w14:textId="77777777" w:rsidR="00203F72" w:rsidRPr="00A53581" w:rsidRDefault="00203F72" w:rsidP="00D87D91">
            <w:r w:rsidRPr="00A53581">
              <w:rPr>
                <w:rFonts w:hint="eastAsia"/>
              </w:rPr>
              <w:t>如果依刑事訴訟程序調查所得，應具有證據證明力，但對於其他機關仍不得作為唯一證據。</w:t>
            </w:r>
          </w:p>
        </w:tc>
        <w:tc>
          <w:tcPr>
            <w:tcW w:w="3090" w:type="dxa"/>
            <w:shd w:val="clear" w:color="auto" w:fill="auto"/>
          </w:tcPr>
          <w:p w14:paraId="6C41E329" w14:textId="77777777" w:rsidR="00203F72" w:rsidRPr="00A53581" w:rsidRDefault="00203F72" w:rsidP="00D87D91">
            <w:r w:rsidRPr="00A53581">
              <w:rPr>
                <w:rFonts w:hint="eastAsia"/>
              </w:rPr>
              <w:t>對公務員違法失職之彈劾所調查之證據，對於司法院公務員懲戒委員會應具有拘束力。</w:t>
            </w:r>
          </w:p>
        </w:tc>
      </w:tr>
    </w:tbl>
    <w:p w14:paraId="46518562" w14:textId="77777777" w:rsidR="00203F72" w:rsidRPr="00043F97" w:rsidRDefault="002107CE" w:rsidP="00D87D91">
      <w:r w:rsidRPr="00043F97">
        <w:rPr>
          <w:rFonts w:hint="eastAsia"/>
        </w:rPr>
        <w:t>【本表格資料來源】</w:t>
      </w:r>
    </w:p>
    <w:p w14:paraId="4076D978" w14:textId="77777777" w:rsidR="00203F72" w:rsidRPr="00043F97" w:rsidRDefault="0062321B" w:rsidP="00D87D91">
      <w:r w:rsidRPr="00043F97">
        <w:rPr>
          <w:rFonts w:hint="eastAsia"/>
        </w:rPr>
        <w:t xml:space="preserve">　　</w:t>
      </w:r>
      <w:r w:rsidR="00203F72" w:rsidRPr="00043F97">
        <w:rPr>
          <w:rFonts w:hint="eastAsia"/>
        </w:rPr>
        <w:t>李惠宗</w:t>
      </w:r>
      <w:r w:rsidR="00203F72" w:rsidRPr="00043F97">
        <w:rPr>
          <w:rFonts w:hint="eastAsia"/>
        </w:rPr>
        <w:t>(2006)</w:t>
      </w:r>
      <w:r w:rsidR="00203F72" w:rsidRPr="00043F97">
        <w:rPr>
          <w:rFonts w:hint="eastAsia"/>
        </w:rPr>
        <w:t>，〈立法院行使調查權應有的法制設計─從釋</w:t>
      </w:r>
      <w:r w:rsidR="004E5F2E" w:rsidRPr="00A53581">
        <w:rPr>
          <w:rFonts w:ascii="新細明體" w:hAnsi="新細明體"/>
        </w:rPr>
        <w:t>字</w:t>
      </w:r>
      <w:hyperlink r:id="rId948" w:anchor="r585" w:history="1">
        <w:r w:rsidR="004E5F2E" w:rsidRPr="004E5F2E">
          <w:rPr>
            <w:rStyle w:val="a5"/>
            <w:rFonts w:eastAsia="新細明體"/>
          </w:rPr>
          <w:t>第585號</w:t>
        </w:r>
      </w:hyperlink>
      <w:r w:rsidR="00203F72" w:rsidRPr="00043F97">
        <w:rPr>
          <w:rFonts w:hint="eastAsia"/>
        </w:rPr>
        <w:t>解釋出發〉，《台灣本土法學》第</w:t>
      </w:r>
      <w:r w:rsidR="00203F72" w:rsidRPr="00043F97">
        <w:rPr>
          <w:rFonts w:hint="eastAsia"/>
        </w:rPr>
        <w:t>78</w:t>
      </w:r>
      <w:r w:rsidR="00203F72" w:rsidRPr="00043F97">
        <w:rPr>
          <w:rFonts w:hint="eastAsia"/>
        </w:rPr>
        <w:t>期，第</w:t>
      </w:r>
      <w:r w:rsidR="00203F72" w:rsidRPr="00043F97">
        <w:rPr>
          <w:rFonts w:hint="eastAsia"/>
        </w:rPr>
        <w:t>99-101</w:t>
      </w:r>
      <w:r w:rsidR="00203F72" w:rsidRPr="00043F97">
        <w:rPr>
          <w:rFonts w:hint="eastAsia"/>
        </w:rPr>
        <w:t>頁。</w:t>
      </w:r>
    </w:p>
    <w:p w14:paraId="2A819468" w14:textId="77777777" w:rsidR="00953151" w:rsidRPr="00043F97" w:rsidRDefault="006E37D4" w:rsidP="00D87D91">
      <w:r>
        <w:rPr>
          <w:rFonts w:hint="eastAsia"/>
        </w:rPr>
        <w:t xml:space="preserve">　　</w:t>
      </w:r>
      <w:r w:rsidR="00203F72" w:rsidRPr="00043F97">
        <w:rPr>
          <w:rFonts w:hint="eastAsia"/>
        </w:rPr>
        <w:t>植憲</w:t>
      </w:r>
      <w:r w:rsidR="00203F72" w:rsidRPr="00043F97">
        <w:rPr>
          <w:rFonts w:hint="eastAsia"/>
        </w:rPr>
        <w:t>(2012)</w:t>
      </w:r>
      <w:r w:rsidR="00203F72" w:rsidRPr="00043F97">
        <w:rPr>
          <w:rFonts w:hint="eastAsia"/>
        </w:rPr>
        <w:t>，憲法解題概念操作</w:t>
      </w:r>
      <w:r w:rsidR="00203F72" w:rsidRPr="00043F97">
        <w:rPr>
          <w:rFonts w:hint="eastAsia"/>
        </w:rPr>
        <w:t>(</w:t>
      </w:r>
      <w:r w:rsidR="00203F72" w:rsidRPr="00043F97">
        <w:rPr>
          <w:rFonts w:hint="eastAsia"/>
        </w:rPr>
        <w:t>下</w:t>
      </w:r>
      <w:r w:rsidR="00203F72" w:rsidRPr="00043F97">
        <w:rPr>
          <w:rFonts w:hint="eastAsia"/>
        </w:rPr>
        <w:t>)</w:t>
      </w:r>
      <w:r w:rsidR="00203F72" w:rsidRPr="00043F97">
        <w:rPr>
          <w:rFonts w:hint="eastAsia"/>
        </w:rPr>
        <w:t>，</w:t>
      </w:r>
      <w:r w:rsidR="00203F72" w:rsidRPr="00043F97">
        <w:rPr>
          <w:rFonts w:hint="eastAsia"/>
        </w:rPr>
        <w:t>7</w:t>
      </w:r>
      <w:r w:rsidR="00203F72" w:rsidRPr="00043F97">
        <w:rPr>
          <w:rFonts w:hint="eastAsia"/>
        </w:rPr>
        <w:t>版</w:t>
      </w:r>
      <w:r w:rsidR="00203F72" w:rsidRPr="00043F97">
        <w:rPr>
          <w:rFonts w:hint="eastAsia"/>
        </w:rPr>
        <w:t xml:space="preserve">1 </w:t>
      </w:r>
      <w:r w:rsidR="00203F72" w:rsidRPr="00043F97">
        <w:rPr>
          <w:rFonts w:hint="eastAsia"/>
        </w:rPr>
        <w:t>刷，台北：植憲公司，第</w:t>
      </w:r>
      <w:r w:rsidR="00203F72" w:rsidRPr="00043F97">
        <w:rPr>
          <w:rFonts w:hint="eastAsia"/>
        </w:rPr>
        <w:t>6-134</w:t>
      </w:r>
      <w:r w:rsidR="00203F72" w:rsidRPr="00043F97">
        <w:rPr>
          <w:rFonts w:hint="eastAsia"/>
        </w:rPr>
        <w:t>頁。</w:t>
      </w:r>
    </w:p>
    <w:p w14:paraId="48271C05" w14:textId="77777777" w:rsidR="00953151" w:rsidRDefault="00076467" w:rsidP="00767F37">
      <w:pPr>
        <w:pStyle w:val="2"/>
      </w:pPr>
      <w:hyperlink r:id="rId949" w:anchor="a96" w:history="1">
        <w:r w:rsidR="005D5A46">
          <w:rPr>
            <w:rStyle w:val="a5"/>
            <w:rFonts w:ascii="Arial Unicode MS" w:hAnsi="Arial Unicode MS"/>
          </w:rPr>
          <w:t>第</w:t>
        </w:r>
        <w:r w:rsidR="00203F72" w:rsidRPr="00AB0A74">
          <w:rPr>
            <w:rStyle w:val="a5"/>
            <w:rFonts w:ascii="Arial Unicode MS" w:hAnsi="Arial Unicode MS"/>
          </w:rPr>
          <w:t>96</w:t>
        </w:r>
        <w:r w:rsidR="005D5A46">
          <w:rPr>
            <w:rStyle w:val="a5"/>
            <w:rFonts w:ascii="Arial Unicode MS" w:hAnsi="Arial Unicode MS"/>
          </w:rPr>
          <w:t>條</w:t>
        </w:r>
      </w:hyperlink>
      <w:r w:rsidR="00203F72" w:rsidRPr="00A53581">
        <w:t>監察院得按行政院及其各部會之工作，分設若干委員會，調查一切設施，注意其是否違法或失職。</w:t>
      </w:r>
    </w:p>
    <w:p w14:paraId="1F6AB52C" w14:textId="77777777" w:rsidR="00953151" w:rsidRPr="00DE63F7" w:rsidRDefault="00B03E84" w:rsidP="00D87D91">
      <w:r w:rsidRPr="00DE63F7">
        <w:t>【內容解析】</w:t>
      </w:r>
    </w:p>
    <w:p w14:paraId="5BB52C27" w14:textId="77777777" w:rsidR="00953151" w:rsidRPr="00DE63F7" w:rsidRDefault="0062321B" w:rsidP="00D87D91">
      <w:r w:rsidRPr="00DE63F7">
        <w:t xml:space="preserve">　　</w:t>
      </w:r>
      <w:r w:rsidR="00203F72" w:rsidRPr="00DE63F7">
        <w:t>監察院設下列各委員會︰一、內政及少數民族委員會。二、外交及僑政委員會。三、國防及情報委員會。四、財政及經濟委員會。五、教育及文化委員會。六、交通及採購委員會。七、司法及獄政委員會。前項委員會於必要時得分設或合併之。監察院得應業務需要，於院內設特種委員會；所需工作人員，由院長就所屬人員中指派兼任之</w:t>
      </w:r>
      <w:r w:rsidR="00203F72" w:rsidRPr="00DE63F7">
        <w:footnoteReference w:id="90"/>
      </w:r>
      <w:r w:rsidR="00203F72" w:rsidRPr="00DE63F7">
        <w:t>。</w:t>
      </w:r>
    </w:p>
    <w:p w14:paraId="506BC5D5" w14:textId="77777777" w:rsidR="00953151" w:rsidRPr="00DE63F7" w:rsidRDefault="0062321B" w:rsidP="00D87D91">
      <w:r w:rsidRPr="00DE63F7">
        <w:t xml:space="preserve">　　</w:t>
      </w:r>
      <w:r w:rsidR="00203F72" w:rsidRPr="00DE63F7">
        <w:t>各委員會委員，由監察委員分任之，每一委員以任三個委員會委員為限，並得列席其他委員會。每一委員會人數，不得超過十四人</w:t>
      </w:r>
      <w:r w:rsidR="00203F72" w:rsidRPr="00DE63F7">
        <w:footnoteReference w:id="91"/>
      </w:r>
      <w:r w:rsidR="00203F72" w:rsidRPr="00DE63F7">
        <w:t>。各委員會設召集人一人，由各該委員會委員互選之；處理各該委員會日常會務。</w:t>
      </w:r>
    </w:p>
    <w:p w14:paraId="51916B46" w14:textId="77777777" w:rsidR="00953151" w:rsidRPr="00DE63F7" w:rsidRDefault="0062321B" w:rsidP="00D87D91">
      <w:r w:rsidRPr="00DE63F7">
        <w:t xml:space="preserve">　　</w:t>
      </w:r>
      <w:r w:rsidR="00203F72" w:rsidRPr="00DE63F7">
        <w:t>各委員會議，由召集人召集，並擔任主席，如有委員三人以上之提議，亦得召開臨時會議</w:t>
      </w:r>
      <w:r w:rsidR="00203F72" w:rsidRPr="00DE63F7">
        <w:footnoteReference w:id="92"/>
      </w:r>
      <w:r w:rsidR="00203F72" w:rsidRPr="00DE63F7">
        <w:t>，如涉及兩個以上委員會有關之案件，經各有關委員會召集人之同意，並得召開聯席會議處理之</w:t>
      </w:r>
      <w:r w:rsidR="00203F72" w:rsidRPr="00DE63F7">
        <w:footnoteReference w:id="93"/>
      </w:r>
      <w:r w:rsidR="00203F72" w:rsidRPr="00DE63F7">
        <w:t>。各委員會各置秘書二人，一人職務列簡任第十二職等至第十三職等，一人職務列薦任第八職等至第九職等；科員二人或三人，職務列委任第五職等或薦任第六職等至第七職等；辦事員一人，職務列委任第三職等至第五職等</w:t>
      </w:r>
      <w:r w:rsidR="00545D58" w:rsidRPr="00DE63F7">
        <w:t>。</w:t>
      </w:r>
      <w:r w:rsidR="00203F72" w:rsidRPr="00DE63F7">
        <w:t>各委員會職員，得</w:t>
      </w:r>
      <w:r w:rsidR="003E240E">
        <w:t>視</w:t>
      </w:r>
      <w:r w:rsidR="00203F72" w:rsidRPr="00DE63F7">
        <w:t>事務之繁簡，由院長調用之</w:t>
      </w:r>
      <w:r w:rsidR="00203F72" w:rsidRPr="00DE63F7">
        <w:footnoteReference w:id="94"/>
      </w:r>
      <w:r w:rsidR="00203F72" w:rsidRPr="00DE63F7">
        <w:t>。委員會調查一切設施與行政行為，注意其是否違法或失職。監察院調查權之行使，係規定於監察</w:t>
      </w:r>
      <w:r w:rsidR="00541C0B" w:rsidRPr="00DE63F7">
        <w:rPr>
          <w:rFonts w:hint="eastAsia"/>
        </w:rPr>
        <w:t>法</w:t>
      </w:r>
      <w:hyperlink r:id="rId950" w:anchor="a26" w:history="1">
        <w:r w:rsidR="00541C0B" w:rsidRPr="00DE63F7">
          <w:rPr>
            <w:rStyle w:val="a5"/>
            <w:rFonts w:hint="eastAsia"/>
          </w:rPr>
          <w:t>第26條</w:t>
        </w:r>
      </w:hyperlink>
      <w:r w:rsidR="00203F72" w:rsidRPr="00DE63F7">
        <w:t>、監察法</w:t>
      </w:r>
      <w:hyperlink r:id="rId951" w:anchor="a27" w:history="1">
        <w:r w:rsidR="00203F72" w:rsidRPr="00DE63F7">
          <w:rPr>
            <w:rStyle w:val="a5"/>
          </w:rPr>
          <w:t>第27條</w:t>
        </w:r>
      </w:hyperlink>
      <w:r w:rsidR="00203F72" w:rsidRPr="00DE63F7">
        <w:t>、監察法</w:t>
      </w:r>
      <w:hyperlink r:id="rId952" w:anchor="a28" w:history="1">
        <w:r w:rsidR="00203F72" w:rsidRPr="00DE63F7">
          <w:rPr>
            <w:rStyle w:val="a5"/>
          </w:rPr>
          <w:t>第28條</w:t>
        </w:r>
      </w:hyperlink>
      <w:r w:rsidR="00203F72" w:rsidRPr="00DE63F7">
        <w:t>、監察法</w:t>
      </w:r>
      <w:hyperlink r:id="rId953" w:anchor="a29" w:history="1">
        <w:r w:rsidR="00203F72" w:rsidRPr="00DE63F7">
          <w:rPr>
            <w:rStyle w:val="a5"/>
          </w:rPr>
          <w:t>第29條</w:t>
        </w:r>
      </w:hyperlink>
      <w:r w:rsidR="00203F72" w:rsidRPr="00DE63F7">
        <w:t>及監察法</w:t>
      </w:r>
      <w:hyperlink r:id="rId954" w:anchor="a30" w:history="1">
        <w:r w:rsidR="00203F72" w:rsidRPr="00DE63F7">
          <w:rPr>
            <w:rStyle w:val="a5"/>
          </w:rPr>
          <w:t>第30條</w:t>
        </w:r>
      </w:hyperlink>
      <w:r w:rsidR="00203F72" w:rsidRPr="00DE63F7">
        <w:t>之中。</w:t>
      </w:r>
    </w:p>
    <w:p w14:paraId="52CD2FAD" w14:textId="77777777" w:rsidR="00203F72" w:rsidRPr="00A53581" w:rsidRDefault="00076467" w:rsidP="00767F37">
      <w:pPr>
        <w:pStyle w:val="2"/>
      </w:pPr>
      <w:hyperlink r:id="rId955" w:anchor="a97" w:history="1">
        <w:r w:rsidR="005D5A46">
          <w:rPr>
            <w:rStyle w:val="a5"/>
            <w:rFonts w:ascii="Arial Unicode MS" w:hAnsi="Arial Unicode MS"/>
          </w:rPr>
          <w:t>第</w:t>
        </w:r>
        <w:r w:rsidR="00203F72" w:rsidRPr="00AB0A74">
          <w:rPr>
            <w:rStyle w:val="a5"/>
            <w:rFonts w:ascii="Arial Unicode MS" w:hAnsi="Arial Unicode MS"/>
          </w:rPr>
          <w:t>97</w:t>
        </w:r>
        <w:r w:rsidR="005D5A46">
          <w:rPr>
            <w:rStyle w:val="a5"/>
            <w:rFonts w:ascii="Arial Unicode MS" w:hAnsi="Arial Unicode MS"/>
          </w:rPr>
          <w:t>條</w:t>
        </w:r>
      </w:hyperlink>
      <w:r w:rsidR="00203F72" w:rsidRPr="00A53581">
        <w:t>監察院經各該委員會之審查及決議，得提出糾正案，移送行政院及其有關部會，促其注意改善。</w:t>
      </w:r>
    </w:p>
    <w:p w14:paraId="24AAD21F" w14:textId="77777777" w:rsidR="00953151" w:rsidRPr="00DE63F7" w:rsidRDefault="0062321B" w:rsidP="00D87D91">
      <w:r w:rsidRPr="00DE63F7">
        <w:t xml:space="preserve">　　</w:t>
      </w:r>
      <w:r w:rsidR="00203F72" w:rsidRPr="00DE63F7">
        <w:t>監察院對於中央及地方公務人員，認為有失職或違法情事，得提出糾舉案或彈劾案，如涉及刑事，應移送法院辦理。</w:t>
      </w:r>
    </w:p>
    <w:p w14:paraId="484BB3AC" w14:textId="77777777" w:rsidR="00953151" w:rsidRPr="00DE63F7" w:rsidRDefault="00B03E84" w:rsidP="00D87D91">
      <w:r w:rsidRPr="00DE63F7">
        <w:t>【內容解析】</w:t>
      </w:r>
    </w:p>
    <w:p w14:paraId="1B38A11B" w14:textId="77777777" w:rsidR="00953151" w:rsidRPr="00DE63F7" w:rsidRDefault="0062321B" w:rsidP="00D87D91">
      <w:r w:rsidRPr="00DE63F7">
        <w:t xml:space="preserve">　　</w:t>
      </w:r>
      <w:r w:rsidR="00203F72" w:rsidRPr="00DE63F7">
        <w:t>依照</w:t>
      </w:r>
      <w:hyperlink r:id="rId956" w:history="1">
        <w:r w:rsidR="00203F72" w:rsidRPr="0082128B">
          <w:rPr>
            <w:rStyle w:val="a5"/>
            <w:rFonts w:ascii="Times New Roman" w:eastAsia="新細明體" w:hAnsi="Times New Roman"/>
          </w:rPr>
          <w:t>憲法</w:t>
        </w:r>
      </w:hyperlink>
      <w:r w:rsidR="00203F72" w:rsidRPr="00DE63F7">
        <w:t>、</w:t>
      </w:r>
      <w:hyperlink r:id="rId957" w:history="1">
        <w:r w:rsidR="00203F72" w:rsidRPr="00C16BB8">
          <w:rPr>
            <w:rStyle w:val="a5"/>
            <w:rFonts w:ascii="Times New Roman" w:hAnsi="Times New Roman"/>
          </w:rPr>
          <w:t>監察法</w:t>
        </w:r>
      </w:hyperlink>
      <w:r w:rsidR="00203F72" w:rsidRPr="00DE63F7">
        <w:t>、</w:t>
      </w:r>
      <w:hyperlink r:id="rId958" w:history="1">
        <w:r w:rsidR="00203F72" w:rsidRPr="004A00A5">
          <w:rPr>
            <w:rStyle w:val="a5"/>
            <w:rFonts w:ascii="Times New Roman" w:eastAsia="新細明體" w:hAnsi="Times New Roman"/>
          </w:rPr>
          <w:t>監試法</w:t>
        </w:r>
      </w:hyperlink>
      <w:r w:rsidR="00203F72" w:rsidRPr="00DE63F7">
        <w:t>、</w:t>
      </w:r>
      <w:hyperlink r:id="rId959" w:history="1">
        <w:r w:rsidR="00203F72" w:rsidRPr="004A00A5">
          <w:rPr>
            <w:rStyle w:val="a5"/>
            <w:rFonts w:ascii="Times New Roman" w:eastAsia="新細明體" w:hAnsi="Times New Roman"/>
          </w:rPr>
          <w:t>公職人員財產申報法</w:t>
        </w:r>
      </w:hyperlink>
      <w:r w:rsidR="00203F72" w:rsidRPr="00DE63F7">
        <w:t>等之規定，監察院具有行使彈劾、糾舉及審計權，並得提出糾正案，以及收受人民書狀、巡迴監察、調查、監試、受理公職人員財產申報等職權，本條是涉及有關監察院糾正案、糾舉案及彈劾案之規定。</w:t>
      </w:r>
    </w:p>
    <w:p w14:paraId="6689578E" w14:textId="77777777" w:rsidR="00C16BB8" w:rsidRDefault="00C16BB8" w:rsidP="00D87D91"/>
    <w:p w14:paraId="3DF0DF1E" w14:textId="020E8D0E"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62</w:t>
      </w:r>
      <w:r w:rsidR="00076467">
        <w:rPr>
          <w:noProof/>
        </w:rPr>
        <w:fldChar w:fldCharType="end"/>
      </w:r>
      <w:r w:rsidR="00203F72" w:rsidRPr="00DE63F7">
        <w:rPr>
          <w:rFonts w:hint="eastAsia"/>
        </w:rPr>
        <w:t>監察院彈劾權與糾舉權之差異性比較</w:t>
      </w:r>
    </w:p>
    <w:tbl>
      <w:tblPr>
        <w:tblW w:w="822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1417"/>
        <w:gridCol w:w="993"/>
        <w:gridCol w:w="1417"/>
        <w:gridCol w:w="2552"/>
      </w:tblGrid>
      <w:tr w:rsidR="00203F72" w:rsidRPr="00A53581" w14:paraId="023BD888" w14:textId="77777777" w:rsidTr="00C16BB8">
        <w:trPr>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CAC5764" w14:textId="77777777" w:rsidR="00203F72" w:rsidRPr="00A53581" w:rsidRDefault="00203F72" w:rsidP="00D87D91"/>
        </w:tc>
        <w:tc>
          <w:tcPr>
            <w:tcW w:w="992"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5AA17AD5" w14:textId="77777777" w:rsidR="00203F72" w:rsidRPr="00A53581" w:rsidRDefault="00203F72" w:rsidP="00D87D91">
            <w:r w:rsidRPr="00A53581">
              <w:rPr>
                <w:rFonts w:hint="eastAsia"/>
              </w:rPr>
              <w:t>提議人數</w:t>
            </w:r>
          </w:p>
        </w:tc>
        <w:tc>
          <w:tcPr>
            <w:tcW w:w="1417"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7FF21F9B" w14:textId="77777777" w:rsidR="00203F72" w:rsidRPr="00A53581" w:rsidRDefault="00203F72" w:rsidP="00D87D91">
            <w:r w:rsidRPr="00A53581">
              <w:rPr>
                <w:rFonts w:hint="eastAsia"/>
              </w:rPr>
              <w:t>審查決定</w:t>
            </w:r>
          </w:p>
        </w:tc>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06B38289" w14:textId="77777777" w:rsidR="00203F72" w:rsidRPr="00A53581" w:rsidRDefault="00203F72" w:rsidP="00D87D91">
            <w:r w:rsidRPr="00A53581">
              <w:rPr>
                <w:rFonts w:hint="eastAsia"/>
              </w:rPr>
              <w:t>是否成立</w:t>
            </w:r>
          </w:p>
        </w:tc>
        <w:tc>
          <w:tcPr>
            <w:tcW w:w="1417"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2FA373BF" w14:textId="77777777" w:rsidR="00203F72" w:rsidRPr="00A53581" w:rsidRDefault="00203F72" w:rsidP="00D87D91">
            <w:r w:rsidRPr="00A53581">
              <w:rPr>
                <w:rFonts w:hint="eastAsia"/>
              </w:rPr>
              <w:t>制裁機制</w:t>
            </w:r>
          </w:p>
        </w:tc>
        <w:tc>
          <w:tcPr>
            <w:tcW w:w="2552"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2C9C4626" w14:textId="77777777" w:rsidR="00203F72" w:rsidRPr="00A53581" w:rsidRDefault="00203F72" w:rsidP="00D87D91">
            <w:r w:rsidRPr="00A53581">
              <w:rPr>
                <w:rFonts w:hint="eastAsia"/>
              </w:rPr>
              <w:t>備註</w:t>
            </w:r>
          </w:p>
        </w:tc>
      </w:tr>
      <w:tr w:rsidR="00203F72" w:rsidRPr="00A53581" w14:paraId="2783996A" w14:textId="77777777" w:rsidTr="00C16BB8">
        <w:tc>
          <w:tcPr>
            <w:tcW w:w="851"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4CEE79C6" w14:textId="77777777" w:rsidR="00203F72" w:rsidRPr="00A53581" w:rsidRDefault="00203F72" w:rsidP="00D87D91">
            <w:r w:rsidRPr="00A53581">
              <w:rPr>
                <w:rFonts w:hint="eastAsia"/>
              </w:rPr>
              <w:t>彈劾權</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3C28CC0" w14:textId="77777777" w:rsidR="00203F72" w:rsidRPr="00A53581" w:rsidRDefault="00203F72" w:rsidP="00D87D91">
            <w:r w:rsidRPr="00A53581">
              <w:rPr>
                <w:rFonts w:hint="eastAsia"/>
              </w:rPr>
              <w:t>監委兩人以上提議</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099EA135" w14:textId="77777777" w:rsidR="00203F72" w:rsidRPr="00A53581" w:rsidRDefault="00203F72" w:rsidP="00D87D91">
            <w:r w:rsidRPr="00A53581">
              <w:rPr>
                <w:rFonts w:hint="eastAsia"/>
              </w:rPr>
              <w:t>監委九人以上審查決定</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59B20AF" w14:textId="77777777" w:rsidR="00203F72" w:rsidRPr="00A53581" w:rsidRDefault="00203F72" w:rsidP="00D87D91">
            <w:r w:rsidRPr="00A53581">
              <w:rPr>
                <w:rFonts w:hint="eastAsia"/>
              </w:rPr>
              <w:t>彈劾成立</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4B41966A" w14:textId="77777777" w:rsidR="00203F72" w:rsidRPr="00A53581" w:rsidRDefault="00203F72" w:rsidP="00D87D91">
            <w:r w:rsidRPr="00A53581">
              <w:rPr>
                <w:rFonts w:hint="eastAsia"/>
              </w:rPr>
              <w:t>提交公懲會懲戒</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2E344D3B" w14:textId="77777777" w:rsidR="00203F72" w:rsidRPr="00A53581" w:rsidRDefault="00203F72" w:rsidP="00D87D91">
            <w:r w:rsidRPr="00A53581">
              <w:rPr>
                <w:rFonts w:hint="eastAsia"/>
              </w:rPr>
              <w:t>依監察法第</w:t>
            </w:r>
            <w:r w:rsidRPr="00A53581">
              <w:t>6</w:t>
            </w:r>
            <w:r w:rsidRPr="00A53581">
              <w:rPr>
                <w:rFonts w:hint="eastAsia"/>
              </w:rPr>
              <w:t>條至第</w:t>
            </w:r>
            <w:r w:rsidRPr="00A53581">
              <w:rPr>
                <w:rFonts w:hint="eastAsia"/>
              </w:rPr>
              <w:t>18</w:t>
            </w:r>
            <w:r w:rsidRPr="00A53581">
              <w:rPr>
                <w:rFonts w:hint="eastAsia"/>
              </w:rPr>
              <w:t>條進行彈劾</w:t>
            </w:r>
          </w:p>
        </w:tc>
      </w:tr>
      <w:tr w:rsidR="00203F72" w:rsidRPr="00A53581" w14:paraId="1981C374" w14:textId="77777777" w:rsidTr="00C16BB8">
        <w:tc>
          <w:tcPr>
            <w:tcW w:w="851"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7EA14E32" w14:textId="77777777" w:rsidR="00203F72" w:rsidRPr="00A53581" w:rsidRDefault="00203F72" w:rsidP="00D87D91">
            <w:r w:rsidRPr="00A53581">
              <w:rPr>
                <w:rFonts w:hint="eastAsia"/>
              </w:rPr>
              <w:t>糾舉權</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D41DA70" w14:textId="77777777" w:rsidR="00203F72" w:rsidRPr="00A53581" w:rsidRDefault="00203F72" w:rsidP="00D87D91">
            <w:r w:rsidRPr="00A53581">
              <w:rPr>
                <w:rFonts w:hint="eastAsia"/>
              </w:rPr>
              <w:t>監委一人以上提議</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3265C159" w14:textId="77777777" w:rsidR="00203F72" w:rsidRPr="00A53581" w:rsidRDefault="00203F72" w:rsidP="00D87D91">
            <w:r w:rsidRPr="00A53581">
              <w:rPr>
                <w:rFonts w:hint="eastAsia"/>
              </w:rPr>
              <w:t>其他監察委員三人以上之審查及決定</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4B731D4" w14:textId="77777777" w:rsidR="00203F72" w:rsidRPr="00A53581" w:rsidRDefault="00203F72" w:rsidP="00D87D91">
            <w:r w:rsidRPr="00A53581">
              <w:rPr>
                <w:rFonts w:hint="eastAsia"/>
              </w:rPr>
              <w:t>糾舉成立</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02FF31DD" w14:textId="77777777" w:rsidR="00203F72" w:rsidRPr="00A53581" w:rsidRDefault="00203F72" w:rsidP="00D87D91">
            <w:r w:rsidRPr="00A53581">
              <w:rPr>
                <w:rFonts w:hint="eastAsia"/>
              </w:rPr>
              <w:t>送交被糾舉人員之主管長官或其上級長官</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328A655" w14:textId="77777777" w:rsidR="00203F72" w:rsidRPr="00A53581" w:rsidRDefault="00203F72" w:rsidP="00D87D91">
            <w:r w:rsidRPr="00A53581">
              <w:rPr>
                <w:rFonts w:hint="eastAsia"/>
              </w:rPr>
              <w:t>監察法第</w:t>
            </w:r>
            <w:r w:rsidRPr="00A53581">
              <w:t>22</w:t>
            </w:r>
            <w:r w:rsidRPr="00A53581">
              <w:rPr>
                <w:rFonts w:hint="eastAsia"/>
              </w:rPr>
              <w:t>條</w:t>
            </w:r>
            <w:r w:rsidRPr="00A53581">
              <w:t xml:space="preserve">: </w:t>
            </w:r>
            <w:r w:rsidRPr="00A53581">
              <w:rPr>
                <w:rFonts w:hint="eastAsia"/>
              </w:rPr>
              <w:t>「被糾舉人員之主管長官或其上級長官對於糾舉案，不依前條規定處理或處理後監察委員兩人以上認為不當時，得改提彈劾案。」</w:t>
            </w:r>
          </w:p>
        </w:tc>
      </w:tr>
    </w:tbl>
    <w:p w14:paraId="223408F1" w14:textId="77777777" w:rsidR="00203F72" w:rsidRPr="00DE63F7" w:rsidRDefault="002107CE" w:rsidP="00D87D91">
      <w:r w:rsidRPr="00DE63F7">
        <w:rPr>
          <w:rFonts w:hint="eastAsia"/>
        </w:rPr>
        <w:t>【本表格資料來源】</w:t>
      </w:r>
      <w:r w:rsidR="00203F72" w:rsidRPr="00DE63F7">
        <w:rPr>
          <w:rFonts w:hint="eastAsia"/>
        </w:rPr>
        <w:t>陳新民</w:t>
      </w:r>
      <w:r w:rsidR="00203F72" w:rsidRPr="00DE63F7">
        <w:t>(2005)</w:t>
      </w:r>
      <w:r w:rsidR="00203F72" w:rsidRPr="00DE63F7">
        <w:rPr>
          <w:rFonts w:hint="eastAsia"/>
        </w:rPr>
        <w:t>，憲法學釋論，修訂五版，自行出版，第</w:t>
      </w:r>
      <w:r w:rsidR="00203F72" w:rsidRPr="00DE63F7">
        <w:t>793</w:t>
      </w:r>
      <w:r w:rsidR="00203F72" w:rsidRPr="00DE63F7">
        <w:rPr>
          <w:rFonts w:hint="eastAsia"/>
        </w:rPr>
        <w:t>-800</w:t>
      </w:r>
      <w:r w:rsidR="00203F72" w:rsidRPr="00DE63F7">
        <w:rPr>
          <w:rFonts w:hint="eastAsia"/>
        </w:rPr>
        <w:t>頁。</w:t>
      </w:r>
    </w:p>
    <w:p w14:paraId="4147CA2F" w14:textId="77777777" w:rsidR="00953151" w:rsidRPr="00DE63F7" w:rsidRDefault="002107CE" w:rsidP="00D87D91">
      <w:r w:rsidRPr="00DE63F7">
        <w:rPr>
          <w:rFonts w:hint="eastAsia"/>
        </w:rPr>
        <w:t>【本表格資料來源】</w:t>
      </w:r>
      <w:r w:rsidR="00203F72" w:rsidRPr="00DE63F7">
        <w:rPr>
          <w:rFonts w:hint="eastAsia"/>
        </w:rPr>
        <w:t>植憲</w:t>
      </w:r>
      <w:r w:rsidR="00203F72" w:rsidRPr="00DE63F7">
        <w:t>(2011)</w:t>
      </w:r>
      <w:r w:rsidR="00203F72" w:rsidRPr="00DE63F7">
        <w:rPr>
          <w:rFonts w:hint="eastAsia"/>
        </w:rPr>
        <w:t>，憲法解題概念操作</w:t>
      </w:r>
      <w:r w:rsidR="00203F72" w:rsidRPr="00DE63F7">
        <w:t>(</w:t>
      </w:r>
      <w:r w:rsidR="00203F72" w:rsidRPr="00DE63F7">
        <w:rPr>
          <w:rFonts w:hint="eastAsia"/>
        </w:rPr>
        <w:t>下</w:t>
      </w:r>
      <w:r w:rsidR="00203F72" w:rsidRPr="00DE63F7">
        <w:t>)</w:t>
      </w:r>
      <w:r w:rsidR="00203F72" w:rsidRPr="00DE63F7">
        <w:rPr>
          <w:rFonts w:hint="eastAsia"/>
        </w:rPr>
        <w:t>，</w:t>
      </w:r>
      <w:r w:rsidR="00203F72" w:rsidRPr="00DE63F7">
        <w:t>6</w:t>
      </w:r>
      <w:r w:rsidR="00203F72" w:rsidRPr="00DE63F7">
        <w:rPr>
          <w:rFonts w:hint="eastAsia"/>
        </w:rPr>
        <w:t>版，台北：高點文化公司，第</w:t>
      </w:r>
      <w:r w:rsidR="00203F72" w:rsidRPr="00DE63F7">
        <w:t>244-245</w:t>
      </w:r>
      <w:r w:rsidR="00203F72" w:rsidRPr="00DE63F7">
        <w:rPr>
          <w:rFonts w:hint="eastAsia"/>
        </w:rPr>
        <w:t>頁，並經作者稍作增修</w:t>
      </w:r>
      <w:r w:rsidR="00545D58" w:rsidRPr="00DE63F7">
        <w:rPr>
          <w:rFonts w:hint="eastAsia"/>
        </w:rPr>
        <w:t>。</w:t>
      </w:r>
    </w:p>
    <w:p w14:paraId="7A245599" w14:textId="77777777" w:rsidR="00953151" w:rsidRPr="00DE63F7" w:rsidRDefault="0062321B" w:rsidP="00D87D91">
      <w:r w:rsidRPr="00DE63F7">
        <w:t xml:space="preserve">　　</w:t>
      </w:r>
      <w:r w:rsidR="00203F72" w:rsidRPr="00DE63F7">
        <w:t>監察院及監察委員均得收受人民書狀，依監察法施行細則暨監察院收受人民書狀及處理辦法之規定，人民如發覺公務人員有違法失職之行為，應詳述事實並列舉證據，逕向監察院或監察委員舉發。監察院應作適當之處理，但其所訴事項不在監察院職權範圍者，則不予受理。人民書狀經處理後，除特殊案件外，均由監察業務處函復具訴人。</w:t>
      </w:r>
    </w:p>
    <w:p w14:paraId="5EF4B755" w14:textId="77777777" w:rsidR="00953151" w:rsidRPr="00DE63F7" w:rsidRDefault="0062321B" w:rsidP="00D87D91">
      <w:r w:rsidRPr="00DE63F7">
        <w:t xml:space="preserve">　　</w:t>
      </w:r>
      <w:r w:rsidR="00203F72" w:rsidRPr="00DE63F7">
        <w:t>監察院彈劾權之行使，依</w:t>
      </w:r>
      <w:hyperlink r:id="rId960" w:history="1">
        <w:r w:rsidR="00C16BB8" w:rsidRPr="00C16BB8">
          <w:rPr>
            <w:rStyle w:val="a5"/>
            <w:rFonts w:ascii="Times New Roman" w:hAnsi="Times New Roman"/>
          </w:rPr>
          <w:t>監察法</w:t>
        </w:r>
      </w:hyperlink>
      <w:r w:rsidR="00203F72" w:rsidRPr="00DE63F7">
        <w:t>規定，彈劾案之提議，以書面為之，並應詳敘事實，在未經審查決定前，原提案委員得以書面補充之。彈劾案經提案委員外之監察委員九人以上之審查及決定成立後，監察院應即向懲戒機關提出之。彈劾案向懲戒機關提出後，於同一案件如發現新事實或新證據，經審查後，應送懲戒機關併案辦理。彈劾案之審查，應由全體監察委員按序輪流擔任之。彈劾案經審查認為不成立，而提案委員有異議時，應即將該彈劾案另付其他監察委員九人以上審查，為最後之決定</w:t>
      </w:r>
      <w:r w:rsidR="00203F72" w:rsidRPr="00DE63F7">
        <w:footnoteReference w:id="95"/>
      </w:r>
      <w:r w:rsidR="00203F72" w:rsidRPr="00DE63F7">
        <w:t>。</w:t>
      </w:r>
    </w:p>
    <w:p w14:paraId="6D2A0F51" w14:textId="77777777" w:rsidR="00953151" w:rsidRPr="00DE63F7" w:rsidRDefault="0062321B" w:rsidP="00D87D91">
      <w:r w:rsidRPr="00DE63F7">
        <w:t xml:space="preserve">　　</w:t>
      </w:r>
      <w:r w:rsidR="00203F72" w:rsidRPr="00DE63F7">
        <w:t>彈劾案之審查委員，與該案有關係者，應行迴避。監察院院長對於彈劾案，不得指使或干涉。監察院人員對於彈劾案，在未經移付懲戒機關前，不得對外宣洩。監察院於彈劾案移付懲戒機關時，得公布之。監察院向懲戒機關提出彈劾案時，如認為被彈劾人員違法，或失職之行為情節重大，有急速救濟之必要者，得通知該主管長官為急速救濟之處理。主管長官接到前項通知，不為急速救濟之處理者，於被彈劾人員受懲戒時，應負失職責任。監察院認為被彈劾人員違法或失職之行為有涉及刑事或軍法者，除向懲戒機關提出外，並應逕送各該管司法或軍法機關依法辦理</w:t>
      </w:r>
      <w:r w:rsidR="00203F72" w:rsidRPr="00DE63F7">
        <w:footnoteReference w:id="96"/>
      </w:r>
      <w:r w:rsidR="00203F72" w:rsidRPr="00DE63F7">
        <w:t>。</w:t>
      </w:r>
    </w:p>
    <w:p w14:paraId="019A95A8" w14:textId="77777777" w:rsidR="00953151" w:rsidRPr="00DE63F7" w:rsidRDefault="0062321B" w:rsidP="00D87D91">
      <w:r w:rsidRPr="00DE63F7">
        <w:t xml:space="preserve">　　</w:t>
      </w:r>
      <w:r w:rsidR="00203F72" w:rsidRPr="00DE63F7">
        <w:t>彈劾案經向懲戒機關提出，及移送司法或軍法機關後，各該管機關應急速辦理，並將辦理結果，迅即通知監察院轉知原提案委員。懲戒機關於收到被彈劾人員答辯時，應即通知監察院，轉知原提案委員；原提案委員接獲通知後，如有意見時，應於十日內提出，轉送懲戒機關。懲戒機關對彈劾案逾三個月尚未結辦者，監察院得質問之，經質問後並經調查確有故意拖延之事實者，監察院對懲戒機關主辦人員，得逕依本法</w:t>
      </w:r>
      <w:r w:rsidR="00203F72" w:rsidRPr="00DE63F7">
        <w:t>(</w:t>
      </w:r>
      <w:r w:rsidR="00203F72" w:rsidRPr="00DE63F7">
        <w:t>監察法</w:t>
      </w:r>
      <w:r w:rsidR="00203F72" w:rsidRPr="00DE63F7">
        <w:t>)</w:t>
      </w:r>
      <w:hyperlink r:id="rId961" w:anchor="a6" w:history="1">
        <w:r w:rsidR="00203F72" w:rsidRPr="004A00A5">
          <w:rPr>
            <w:rStyle w:val="a5"/>
            <w:rFonts w:ascii="Times New Roman" w:eastAsia="新細明體" w:hAnsi="Times New Roman"/>
          </w:rPr>
          <w:t>第六條</w:t>
        </w:r>
      </w:hyperlink>
      <w:r w:rsidR="00203F72" w:rsidRPr="00DE63F7">
        <w:t>或</w:t>
      </w:r>
      <w:r w:rsidR="003E43C4" w:rsidRPr="004A00A5">
        <w:rPr>
          <w:rFonts w:ascii="新細明體" w:hAnsi="新細明體"/>
        </w:rPr>
        <w:t>第</w:t>
      </w:r>
      <w:hyperlink r:id="rId962" w:anchor="a19" w:history="1">
        <w:r w:rsidR="003E43C4" w:rsidRPr="004A00A5">
          <w:rPr>
            <w:rStyle w:val="a5"/>
          </w:rPr>
          <w:t>十九</w:t>
        </w:r>
      </w:hyperlink>
      <w:r w:rsidR="003E43C4" w:rsidRPr="004A00A5">
        <w:rPr>
          <w:rFonts w:ascii="新細明體" w:hAnsi="新細明體"/>
        </w:rPr>
        <w:t>條</w:t>
      </w:r>
      <w:r w:rsidR="00203F72" w:rsidRPr="004A00A5">
        <w:t>之</w:t>
      </w:r>
      <w:r w:rsidR="00203F72" w:rsidRPr="00DE63F7">
        <w:t>規定辦理之。凡經彈劾而受懲戒之人員，在停止任用期間，任何機關不得任用。被彈劾人員在懲戒案進行期間，如有依法升遷，應於懲戒處分後撤銷之。但其懲戒處分為申誡者，不在此限</w:t>
      </w:r>
      <w:r w:rsidR="00203F72" w:rsidRPr="00DE63F7">
        <w:footnoteReference w:id="97"/>
      </w:r>
      <w:r w:rsidR="00203F72" w:rsidRPr="00DE63F7">
        <w:t>。</w:t>
      </w:r>
    </w:p>
    <w:p w14:paraId="226C11FE" w14:textId="77777777" w:rsidR="00953151" w:rsidRPr="00DE63F7" w:rsidRDefault="0062321B" w:rsidP="00D87D91">
      <w:r w:rsidRPr="00DE63F7">
        <w:t xml:space="preserve">　　</w:t>
      </w:r>
      <w:r w:rsidR="00203F72" w:rsidRPr="00DE63F7">
        <w:t>有關於監察委員糾舉權之行使方面，依監察法</w:t>
      </w:r>
      <w:hyperlink r:id="rId963" w:anchor="a19" w:history="1">
        <w:r w:rsidR="00203F72" w:rsidRPr="00CC341A">
          <w:rPr>
            <w:rStyle w:val="a5"/>
            <w:rFonts w:ascii="Times New Roman" w:eastAsia="新細明體" w:hAnsi="Times New Roman"/>
          </w:rPr>
          <w:t>第三章</w:t>
        </w:r>
      </w:hyperlink>
      <w:r w:rsidR="00203F72" w:rsidRPr="00DE63F7">
        <w:t>糾舉權之規定，監察委員對於公務人員認為有違法或失職之行為，應先予停職或其他急速處分時，得以書面糾舉，經其他監察委員三人以上之審查及決定，由監察院送交被糾舉人員之主管長官或其上級長官，其違法行為涉及刑事或軍法者，應逕送各該管司法或軍法機關依法辦理。監察委員於分派執行職務之該管監察區內，對薦任以下公務人員，提議糾舉案於監察院，必要時得通知該主管長官或其上級長官予以注意。糾舉案經審查認為不成立而提案委員有異議時，應即將該糾舉案另付其他監察委員三人以上審查，為最後之決定</w:t>
      </w:r>
      <w:r w:rsidR="00203F72" w:rsidRPr="00DE63F7">
        <w:footnoteReference w:id="98"/>
      </w:r>
      <w:r w:rsidR="00203F72" w:rsidRPr="00DE63F7">
        <w:t>。</w:t>
      </w:r>
    </w:p>
    <w:p w14:paraId="26FB0D73" w14:textId="77777777" w:rsidR="00953151" w:rsidRPr="00DE63F7" w:rsidRDefault="0062321B" w:rsidP="00D87D91">
      <w:r w:rsidRPr="00DE63F7">
        <w:t xml:space="preserve">　　</w:t>
      </w:r>
      <w:r w:rsidR="00203F72" w:rsidRPr="00DE63F7">
        <w:t>被糾舉人員之主管長官或其上級長官接到糾舉書後，除關於刑事或軍法部份另候各該管機關依法辦理外，至遲應於一個月內依公務員懲戒法之規定，予以處理，並得先予停</w:t>
      </w:r>
      <w:r w:rsidR="00203F72" w:rsidRPr="00A53581">
        <w:t>職</w:t>
      </w:r>
      <w:r w:rsidR="00203F72" w:rsidRPr="00DE63F7">
        <w:t>或為其他急速處分；其認為不應處分者，應即向監察院聲復理由。被糾舉人員之主管長官或其上級長官對於糾舉案，不依前述規定處理或處理後監察委員二人以上認為不當時，得改提彈劾案。被糾舉人員之主管長官或其上級長官接到糾舉書後，不依前述規定處分或決定不應處分，如被糾舉人員因改被彈劾而受懲戒時，其主管長官或其上級長官應負失職責任</w:t>
      </w:r>
      <w:r w:rsidR="00203F72" w:rsidRPr="00DE63F7">
        <w:footnoteReference w:id="99"/>
      </w:r>
      <w:r w:rsidR="00203F72" w:rsidRPr="00DE63F7">
        <w:t>。</w:t>
      </w:r>
    </w:p>
    <w:p w14:paraId="083FC165" w14:textId="77777777" w:rsidR="00953151" w:rsidRPr="00DE63F7" w:rsidRDefault="0062321B" w:rsidP="00D87D91">
      <w:r w:rsidRPr="00DE63F7">
        <w:t xml:space="preserve">　　</w:t>
      </w:r>
      <w:r w:rsidR="00203F72" w:rsidRPr="00DE63F7">
        <w:t>監察委院糾正權之行使部分，依</w:t>
      </w:r>
      <w:hyperlink r:id="rId964" w:history="1">
        <w:r w:rsidR="00C16BB8" w:rsidRPr="00C16BB8">
          <w:rPr>
            <w:rStyle w:val="a5"/>
            <w:rFonts w:ascii="Times New Roman" w:hAnsi="Times New Roman"/>
          </w:rPr>
          <w:t>監察法</w:t>
        </w:r>
      </w:hyperlink>
      <w:r w:rsidR="00203F72" w:rsidRPr="00DE63F7">
        <w:t>規定，監察院於調查行政院及其所屬各機關之工作及設施後，經各有關委員會之審查及決議，得由監察院提出糾正案，移送行政院或有關部會，促其注意改善。行政院或有關部會接到糾正案後，應即為適當之改善與處置，並應以書面答復監察院，如逾二個月仍未將改善與處置之事實答復監察院時，監察院得質問之</w:t>
      </w:r>
      <w:r w:rsidR="00203F72" w:rsidRPr="00DE63F7">
        <w:footnoteReference w:id="100"/>
      </w:r>
      <w:r w:rsidR="00203F72" w:rsidRPr="00DE63F7">
        <w:t>。</w:t>
      </w:r>
    </w:p>
    <w:p w14:paraId="10EAFBE6" w14:textId="77777777" w:rsidR="00953151" w:rsidRDefault="00076467" w:rsidP="00767F37">
      <w:pPr>
        <w:pStyle w:val="2"/>
      </w:pPr>
      <w:hyperlink r:id="rId965" w:anchor="a98" w:history="1">
        <w:r w:rsidR="005D5A46">
          <w:rPr>
            <w:rStyle w:val="a5"/>
            <w:rFonts w:ascii="Arial Unicode MS" w:hAnsi="Arial Unicode MS"/>
          </w:rPr>
          <w:t>第</w:t>
        </w:r>
        <w:r w:rsidR="00203F72" w:rsidRPr="00AB0A74">
          <w:rPr>
            <w:rStyle w:val="a5"/>
            <w:rFonts w:ascii="Arial Unicode MS" w:hAnsi="Arial Unicode MS"/>
          </w:rPr>
          <w:t>98</w:t>
        </w:r>
        <w:r w:rsidR="005D5A46">
          <w:rPr>
            <w:rStyle w:val="a5"/>
            <w:rFonts w:ascii="Arial Unicode MS" w:hAnsi="Arial Unicode MS"/>
          </w:rPr>
          <w:t>條</w:t>
        </w:r>
      </w:hyperlink>
      <w:r w:rsidR="00203F72" w:rsidRPr="00A53581">
        <w:t>監察院對於中央及地方公務人員之彈劾案，須經監察委員一人以上之提議，九人以上之審查及決定，始得提出。</w:t>
      </w:r>
    </w:p>
    <w:p w14:paraId="21CE6B3B" w14:textId="77777777" w:rsidR="00203F72" w:rsidRPr="00DE63F7" w:rsidRDefault="00B03E84" w:rsidP="00D87D91">
      <w:r w:rsidRPr="00DE63F7">
        <w:t>【內容解析】</w:t>
      </w:r>
    </w:p>
    <w:p w14:paraId="06F468E7" w14:textId="77777777" w:rsidR="00953151" w:rsidRDefault="0062321B" w:rsidP="00D87D91">
      <w:r w:rsidRPr="00DE63F7">
        <w:t xml:space="preserve">　　</w:t>
      </w:r>
      <w:r w:rsidR="00203F72" w:rsidRPr="00DE63F7">
        <w:t>本條文旨在為彈劾案權限作適當制衡或限制。為因應國家統一前之需要，依憲法增修條</w:t>
      </w:r>
      <w:r w:rsidR="006E37D4" w:rsidRPr="00D73718">
        <w:t>文</w:t>
      </w:r>
      <w:hyperlink r:id="rId966"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之規定，監察院對於中央、地方公務人員及司法院、考試院人員之彈劾案，須經監察委員二人以上之提議，九人以上之審查及決定，始得提出，不受憲法</w:t>
      </w:r>
      <w:r w:rsidR="00655114" w:rsidRPr="00DE63F7">
        <w:t>第</w:t>
      </w:r>
      <w:hyperlink r:id="rId967" w:anchor="a98" w:history="1">
        <w:r w:rsidR="00655114" w:rsidRPr="00655114">
          <w:rPr>
            <w:rStyle w:val="a5"/>
            <w:rFonts w:ascii="Times New Roman" w:eastAsia="新細明體" w:hAnsi="Times New Roman"/>
          </w:rPr>
          <w:t>九十八</w:t>
        </w:r>
      </w:hyperlink>
      <w:r w:rsidR="00655114" w:rsidRPr="00DE63F7">
        <w:t>條</w:t>
      </w:r>
      <w:r w:rsidR="00203F72" w:rsidRPr="00DE63F7">
        <w:t>之限制。</w:t>
      </w:r>
    </w:p>
    <w:p w14:paraId="6969130F" w14:textId="77777777" w:rsidR="004A00A5" w:rsidRPr="00DE63F7" w:rsidRDefault="004A00A5" w:rsidP="00D87D91"/>
    <w:p w14:paraId="7F0D244A" w14:textId="3003FD43"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63</w:t>
      </w:r>
      <w:r w:rsidR="00076467">
        <w:rPr>
          <w:noProof/>
        </w:rPr>
        <w:fldChar w:fldCharType="end"/>
      </w:r>
      <w:r w:rsidR="00203F72" w:rsidRPr="00DE63F7">
        <w:rPr>
          <w:rFonts w:hint="eastAsia"/>
        </w:rPr>
        <w:t>「彈劾權」、「糾舉權」、「糾正權」之簡要比較</w:t>
      </w: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155"/>
        <w:gridCol w:w="2664"/>
        <w:gridCol w:w="2268"/>
      </w:tblGrid>
      <w:tr w:rsidR="00203F72" w:rsidRPr="00A53581" w14:paraId="6587BA5F" w14:textId="77777777" w:rsidTr="00203F72">
        <w:trPr>
          <w:tblHeader/>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6361A61" w14:textId="77777777" w:rsidR="00203F72" w:rsidRPr="00A53581" w:rsidRDefault="00203F72" w:rsidP="00D87D91"/>
        </w:tc>
        <w:tc>
          <w:tcPr>
            <w:tcW w:w="2155"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549EB981" w14:textId="77777777" w:rsidR="00203F72" w:rsidRPr="00A53581" w:rsidRDefault="00203F72" w:rsidP="00D87D91">
            <w:r w:rsidRPr="00A53581">
              <w:rPr>
                <w:rFonts w:hint="eastAsia"/>
              </w:rPr>
              <w:t>彈劾權</w:t>
            </w:r>
          </w:p>
        </w:tc>
        <w:tc>
          <w:tcPr>
            <w:tcW w:w="2664"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683F6187" w14:textId="77777777" w:rsidR="00203F72" w:rsidRPr="00A53581" w:rsidRDefault="00203F72" w:rsidP="00D87D91">
            <w:r w:rsidRPr="00A53581">
              <w:rPr>
                <w:rFonts w:hint="eastAsia"/>
              </w:rPr>
              <w:t>糾舉權</w:t>
            </w:r>
          </w:p>
        </w:tc>
        <w:tc>
          <w:tcPr>
            <w:tcW w:w="2268"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628D65D0" w14:textId="77777777" w:rsidR="00203F72" w:rsidRPr="00A53581" w:rsidRDefault="00203F72" w:rsidP="00D87D91">
            <w:r w:rsidRPr="00A53581">
              <w:rPr>
                <w:rFonts w:hint="eastAsia"/>
              </w:rPr>
              <w:t>糾正權</w:t>
            </w:r>
          </w:p>
        </w:tc>
      </w:tr>
      <w:tr w:rsidR="00203F72" w:rsidRPr="00A53581" w14:paraId="4C1AB9C7" w14:textId="77777777" w:rsidTr="00203F72">
        <w:trPr>
          <w:trHeight w:val="1785"/>
        </w:trPr>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2305B83D" w14:textId="77777777" w:rsidR="00203F72" w:rsidRPr="00A53581" w:rsidRDefault="00203F72" w:rsidP="00D87D91">
            <w:r w:rsidRPr="00A53581">
              <w:rPr>
                <w:rFonts w:hint="eastAsia"/>
              </w:rPr>
              <w:t>審查</w:t>
            </w:r>
          </w:p>
        </w:tc>
        <w:tc>
          <w:tcPr>
            <w:tcW w:w="2155" w:type="dxa"/>
            <w:tcBorders>
              <w:top w:val="single" w:sz="4" w:space="0" w:color="auto"/>
              <w:left w:val="single" w:sz="4" w:space="0" w:color="auto"/>
              <w:bottom w:val="single" w:sz="4" w:space="0" w:color="auto"/>
              <w:right w:val="single" w:sz="4" w:space="0" w:color="auto"/>
            </w:tcBorders>
            <w:shd w:val="clear" w:color="auto" w:fill="auto"/>
            <w:hideMark/>
          </w:tcPr>
          <w:p w14:paraId="2D79BAF4" w14:textId="77777777" w:rsidR="00203F72" w:rsidRPr="00A53581" w:rsidRDefault="004A00A5" w:rsidP="00D87D91">
            <w:r>
              <w:rPr>
                <w:rFonts w:hint="eastAsia"/>
              </w:rPr>
              <w:t xml:space="preserve">　　</w:t>
            </w:r>
            <w:r w:rsidR="00203F72" w:rsidRPr="00A53581">
              <w:rPr>
                <w:rFonts w:hint="eastAsia"/>
              </w:rPr>
              <w:t>監委兩人以上提議</w:t>
            </w:r>
            <w:r w:rsidR="00203F72" w:rsidRPr="00A53581">
              <w:t>+</w:t>
            </w:r>
            <w:r w:rsidR="00203F72" w:rsidRPr="00A53581">
              <w:rPr>
                <w:rFonts w:hint="eastAsia"/>
              </w:rPr>
              <w:t>監委九人以上審查決定。</w:t>
            </w:r>
          </w:p>
          <w:p w14:paraId="3205DE5C" w14:textId="77777777" w:rsidR="00203F72" w:rsidRPr="00A53581" w:rsidRDefault="004A00A5" w:rsidP="00D87D91">
            <w:r>
              <w:t xml:space="preserve">　　</w:t>
            </w:r>
            <w:r w:rsidR="00203F72" w:rsidRPr="00A53581">
              <w:t>(</w:t>
            </w:r>
            <w:r w:rsidR="00203F72" w:rsidRPr="00A53581">
              <w:rPr>
                <w:rFonts w:hint="eastAsia"/>
              </w:rPr>
              <w:t>彈劾案經審查認為不成立，而提案委員有異議時，應即將該彈劾案另付其他監察委員九人以上審查，為最後之決定</w:t>
            </w:r>
            <w:r w:rsidR="00203F72" w:rsidRPr="00A53581">
              <w:t>)</w:t>
            </w:r>
            <w:r w:rsidR="00203F72" w:rsidRPr="00A53581">
              <w:rPr>
                <w:rFonts w:hint="eastAsia"/>
              </w:rPr>
              <w:t>。</w:t>
            </w:r>
          </w:p>
        </w:tc>
        <w:tc>
          <w:tcPr>
            <w:tcW w:w="2664" w:type="dxa"/>
            <w:tcBorders>
              <w:top w:val="single" w:sz="4" w:space="0" w:color="auto"/>
              <w:left w:val="single" w:sz="4" w:space="0" w:color="auto"/>
              <w:bottom w:val="single" w:sz="4" w:space="0" w:color="auto"/>
              <w:right w:val="single" w:sz="4" w:space="0" w:color="auto"/>
            </w:tcBorders>
            <w:shd w:val="clear" w:color="auto" w:fill="auto"/>
            <w:hideMark/>
          </w:tcPr>
          <w:p w14:paraId="26304059" w14:textId="77777777" w:rsidR="00203F72" w:rsidRPr="00A53581" w:rsidRDefault="004A00A5" w:rsidP="00D87D91">
            <w:r>
              <w:rPr>
                <w:rFonts w:hint="eastAsia"/>
              </w:rPr>
              <w:t xml:space="preserve">　　</w:t>
            </w:r>
            <w:r w:rsidR="00203F72" w:rsidRPr="00A53581">
              <w:rPr>
                <w:rFonts w:hint="eastAsia"/>
              </w:rPr>
              <w:t>監委一人以上提議</w:t>
            </w:r>
            <w:r w:rsidR="00203F72" w:rsidRPr="00A53581">
              <w:t>+</w:t>
            </w:r>
            <w:r w:rsidR="00203F72" w:rsidRPr="00A53581">
              <w:rPr>
                <w:rFonts w:hint="eastAsia"/>
              </w:rPr>
              <w:t>其他監察委員三人以上之審查及決定。</w:t>
            </w:r>
          </w:p>
          <w:p w14:paraId="24215067" w14:textId="77777777" w:rsidR="00203F72" w:rsidRPr="00A53581" w:rsidRDefault="004A00A5" w:rsidP="00D87D91">
            <w:r>
              <w:t xml:space="preserve">　　</w:t>
            </w:r>
            <w:r w:rsidR="00203F72" w:rsidRPr="00A53581">
              <w:t>(</w:t>
            </w:r>
            <w:r w:rsidR="00203F72" w:rsidRPr="00A53581">
              <w:rPr>
                <w:rFonts w:hint="eastAsia"/>
              </w:rPr>
              <w:t>糾舉案經審查認為不成立，而提案委員有異議時，應即將該糾舉案另付其他監察委員三人以上審查，為最後之決定</w:t>
            </w:r>
            <w:r w:rsidR="00203F72" w:rsidRPr="00A53581">
              <w:t>)</w:t>
            </w:r>
            <w:r w:rsidR="00203F72" w:rsidRPr="00A53581">
              <w:rPr>
                <w:rFonts w:hint="eastAsia"/>
              </w:rPr>
              <w:t>。</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D16507E" w14:textId="77777777" w:rsidR="00203F72" w:rsidRPr="00A53581" w:rsidRDefault="00203F72" w:rsidP="00D87D91">
            <w:r w:rsidRPr="00A53581">
              <w:rPr>
                <w:rFonts w:hint="eastAsia"/>
              </w:rPr>
              <w:t>經有關委員會之審查及決議。</w:t>
            </w:r>
          </w:p>
        </w:tc>
      </w:tr>
      <w:tr w:rsidR="00203F72" w:rsidRPr="00A53581" w14:paraId="72558D9E" w14:textId="77777777" w:rsidTr="00203F72">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3855F67D" w14:textId="77777777" w:rsidR="00203F72" w:rsidRPr="00A53581" w:rsidRDefault="00203F72" w:rsidP="00D87D91">
            <w:r w:rsidRPr="00A53581">
              <w:rPr>
                <w:rFonts w:hint="eastAsia"/>
              </w:rPr>
              <w:t>提出對象</w:t>
            </w:r>
          </w:p>
        </w:tc>
        <w:tc>
          <w:tcPr>
            <w:tcW w:w="2155" w:type="dxa"/>
            <w:tcBorders>
              <w:top w:val="single" w:sz="4" w:space="0" w:color="auto"/>
              <w:left w:val="single" w:sz="4" w:space="0" w:color="auto"/>
              <w:bottom w:val="single" w:sz="4" w:space="0" w:color="auto"/>
              <w:right w:val="single" w:sz="4" w:space="0" w:color="auto"/>
            </w:tcBorders>
            <w:shd w:val="clear" w:color="auto" w:fill="auto"/>
            <w:hideMark/>
          </w:tcPr>
          <w:p w14:paraId="54DDE22A" w14:textId="77777777" w:rsidR="00203F72" w:rsidRPr="00A53581" w:rsidRDefault="00203F72" w:rsidP="00D87D91">
            <w:r w:rsidRPr="00A53581">
              <w:rPr>
                <w:rFonts w:hint="eastAsia"/>
              </w:rPr>
              <w:t>提交公懲會懲戒；若有涉及刑事或軍法者，除向懲戒機關提出外，並應逕送各該管司法或軍法機關依法辦理。</w:t>
            </w:r>
          </w:p>
        </w:tc>
        <w:tc>
          <w:tcPr>
            <w:tcW w:w="2664" w:type="dxa"/>
            <w:tcBorders>
              <w:top w:val="single" w:sz="4" w:space="0" w:color="auto"/>
              <w:left w:val="single" w:sz="4" w:space="0" w:color="auto"/>
              <w:bottom w:val="single" w:sz="4" w:space="0" w:color="auto"/>
              <w:right w:val="single" w:sz="4" w:space="0" w:color="auto"/>
            </w:tcBorders>
            <w:shd w:val="clear" w:color="auto" w:fill="auto"/>
            <w:hideMark/>
          </w:tcPr>
          <w:p w14:paraId="5F3A4D68" w14:textId="77777777" w:rsidR="00203F72" w:rsidRPr="00A53581" w:rsidRDefault="00203F72" w:rsidP="00D87D91">
            <w:r w:rsidRPr="00A53581">
              <w:rPr>
                <w:rFonts w:hint="eastAsia"/>
              </w:rPr>
              <w:t>送交被糾舉人員之主管長官或其上級長官；若涉及刑事或軍法者，應逕行送各該管司法或軍法機關依法辦理。</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5AB87B0D" w14:textId="77777777" w:rsidR="00203F72" w:rsidRPr="00A53581" w:rsidRDefault="00203F72" w:rsidP="00D87D91">
            <w:r w:rsidRPr="00A53581">
              <w:rPr>
                <w:rFonts w:hint="eastAsia"/>
              </w:rPr>
              <w:t>移送行政院或有關部會。</w:t>
            </w:r>
          </w:p>
        </w:tc>
      </w:tr>
      <w:tr w:rsidR="00203F72" w:rsidRPr="00A53581" w14:paraId="34AE65F9" w14:textId="77777777" w:rsidTr="00203F72">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5726D5D1" w14:textId="77777777" w:rsidR="00203F72" w:rsidRPr="00A53581" w:rsidRDefault="00203F72" w:rsidP="00D87D91">
            <w:r w:rsidRPr="00A53581">
              <w:rPr>
                <w:rFonts w:hint="eastAsia"/>
              </w:rPr>
              <w:t>效力</w:t>
            </w:r>
          </w:p>
        </w:tc>
        <w:tc>
          <w:tcPr>
            <w:tcW w:w="2155" w:type="dxa"/>
            <w:tcBorders>
              <w:top w:val="single" w:sz="4" w:space="0" w:color="auto"/>
              <w:left w:val="single" w:sz="4" w:space="0" w:color="auto"/>
              <w:bottom w:val="single" w:sz="4" w:space="0" w:color="auto"/>
              <w:right w:val="single" w:sz="4" w:space="0" w:color="auto"/>
            </w:tcBorders>
            <w:shd w:val="clear" w:color="auto" w:fill="auto"/>
            <w:hideMark/>
          </w:tcPr>
          <w:p w14:paraId="07E590AA" w14:textId="77777777" w:rsidR="00203F72" w:rsidRPr="00A53581" w:rsidRDefault="00203F72" w:rsidP="00D87D91">
            <w:r w:rsidRPr="00A53581">
              <w:rPr>
                <w:rFonts w:hint="eastAsia"/>
              </w:rPr>
              <w:t>監察院之彈劾並無實質之懲罰權限，只能移送到有權審理之機關，是為彈劾權「移送審理」之效果。</w:t>
            </w:r>
          </w:p>
        </w:tc>
        <w:tc>
          <w:tcPr>
            <w:tcW w:w="2664" w:type="dxa"/>
            <w:tcBorders>
              <w:top w:val="single" w:sz="4" w:space="0" w:color="auto"/>
              <w:left w:val="single" w:sz="4" w:space="0" w:color="auto"/>
              <w:bottom w:val="single" w:sz="4" w:space="0" w:color="auto"/>
              <w:right w:val="single" w:sz="4" w:space="0" w:color="auto"/>
            </w:tcBorders>
            <w:shd w:val="clear" w:color="auto" w:fill="auto"/>
            <w:hideMark/>
          </w:tcPr>
          <w:p w14:paraId="0CEB8627" w14:textId="77777777" w:rsidR="00203F72" w:rsidRPr="00A53581" w:rsidRDefault="00203F72" w:rsidP="00D87D91">
            <w:r w:rsidRPr="00A53581">
              <w:rPr>
                <w:rFonts w:hint="eastAsia"/>
              </w:rPr>
              <w:t>與「彈劾權」同。僅具「移送審理」之效果。</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42864914" w14:textId="77777777" w:rsidR="00203F72" w:rsidRPr="00A53581" w:rsidRDefault="00203F72" w:rsidP="00D87D91">
            <w:r w:rsidRPr="00A53581">
              <w:rPr>
                <w:rFonts w:hint="eastAsia"/>
              </w:rPr>
              <w:t>糾正權之效力乃繫乎接續而起的「彈劾或糾舉權」。若行政人員並未注意改善，依之於發生違法或失職之行為，構成彈劾或糾舉事由時，方顯示出糾正權之實質及具體之法律效果。</w:t>
            </w:r>
          </w:p>
        </w:tc>
      </w:tr>
    </w:tbl>
    <w:p w14:paraId="218AD5E7" w14:textId="77777777" w:rsidR="00203F72" w:rsidRPr="00A53581" w:rsidRDefault="002107CE" w:rsidP="00D87D91">
      <w:r>
        <w:rPr>
          <w:rFonts w:hint="eastAsia"/>
        </w:rPr>
        <w:t>【本表格資料來源】</w:t>
      </w:r>
    </w:p>
    <w:p w14:paraId="663CCD97" w14:textId="77777777" w:rsidR="00203F72" w:rsidRPr="00DE63F7" w:rsidRDefault="0062321B" w:rsidP="00D87D91">
      <w:r w:rsidRPr="00DE63F7">
        <w:rPr>
          <w:rFonts w:hint="eastAsia"/>
        </w:rPr>
        <w:t xml:space="preserve">　　</w:t>
      </w:r>
      <w:r w:rsidR="00203F72" w:rsidRPr="00DE63F7">
        <w:rPr>
          <w:rFonts w:hint="eastAsia"/>
        </w:rPr>
        <w:t>陳新民</w:t>
      </w:r>
      <w:r w:rsidR="00203F72" w:rsidRPr="00DE63F7">
        <w:t>(2005)</w:t>
      </w:r>
      <w:r w:rsidR="00203F72" w:rsidRPr="00DE63F7">
        <w:rPr>
          <w:rFonts w:hint="eastAsia"/>
        </w:rPr>
        <w:t>，憲法學釋論，修訂五版，自行出版，第</w:t>
      </w:r>
      <w:r w:rsidR="00203F72" w:rsidRPr="00DE63F7">
        <w:t>793</w:t>
      </w:r>
      <w:r w:rsidR="00203F72" w:rsidRPr="00DE63F7">
        <w:rPr>
          <w:rFonts w:hint="eastAsia"/>
        </w:rPr>
        <w:t>-800</w:t>
      </w:r>
      <w:r w:rsidR="00203F72" w:rsidRPr="00DE63F7">
        <w:rPr>
          <w:rFonts w:hint="eastAsia"/>
        </w:rPr>
        <w:t>頁。</w:t>
      </w:r>
    </w:p>
    <w:p w14:paraId="45A80F6B" w14:textId="77777777" w:rsidR="00953151" w:rsidRPr="00DE63F7" w:rsidRDefault="0062321B" w:rsidP="00D87D91">
      <w:r w:rsidRPr="00DE63F7">
        <w:rPr>
          <w:rFonts w:hint="eastAsia"/>
        </w:rPr>
        <w:t xml:space="preserve">　　</w:t>
      </w:r>
      <w:r w:rsidR="00203F72" w:rsidRPr="00DE63F7">
        <w:rPr>
          <w:rFonts w:hint="eastAsia"/>
        </w:rPr>
        <w:t>植憲</w:t>
      </w:r>
      <w:r w:rsidR="00203F72" w:rsidRPr="00DE63F7">
        <w:t>(2011)</w:t>
      </w:r>
      <w:r w:rsidR="00203F72" w:rsidRPr="00DE63F7">
        <w:rPr>
          <w:rFonts w:hint="eastAsia"/>
        </w:rPr>
        <w:t>，憲法解題概念操作</w:t>
      </w:r>
      <w:r w:rsidR="00203F72" w:rsidRPr="00DE63F7">
        <w:t>(</w:t>
      </w:r>
      <w:r w:rsidR="00203F72" w:rsidRPr="00DE63F7">
        <w:rPr>
          <w:rFonts w:hint="eastAsia"/>
        </w:rPr>
        <w:t>下</w:t>
      </w:r>
      <w:r w:rsidR="00203F72" w:rsidRPr="00DE63F7">
        <w:t>)</w:t>
      </w:r>
      <w:r w:rsidR="00203F72" w:rsidRPr="00DE63F7">
        <w:rPr>
          <w:rFonts w:hint="eastAsia"/>
        </w:rPr>
        <w:t>，</w:t>
      </w:r>
      <w:r w:rsidR="00203F72" w:rsidRPr="00DE63F7">
        <w:t>6</w:t>
      </w:r>
      <w:r w:rsidR="00203F72" w:rsidRPr="00DE63F7">
        <w:rPr>
          <w:rFonts w:hint="eastAsia"/>
        </w:rPr>
        <w:t>版，台北：高點文化公司，第</w:t>
      </w:r>
      <w:r w:rsidR="00203F72" w:rsidRPr="00DE63F7">
        <w:t>244-245</w:t>
      </w:r>
      <w:r w:rsidR="00203F72" w:rsidRPr="00DE63F7">
        <w:rPr>
          <w:rFonts w:hint="eastAsia"/>
        </w:rPr>
        <w:t>頁。</w:t>
      </w:r>
    </w:p>
    <w:p w14:paraId="5B64557C" w14:textId="77777777" w:rsidR="00953151" w:rsidRPr="00DE63F7" w:rsidRDefault="0062321B" w:rsidP="00D87D91">
      <w:r w:rsidRPr="00DE63F7">
        <w:rPr>
          <w:rFonts w:hint="eastAsia"/>
        </w:rPr>
        <w:t xml:space="preserve">　　</w:t>
      </w:r>
      <w:r w:rsidR="00203F72" w:rsidRPr="00DE63F7">
        <w:rPr>
          <w:rFonts w:hint="eastAsia"/>
        </w:rPr>
        <w:t>有論者主張，監察院彈劾權不及於地方自治團體公務人員，有關於此種之論點，恐須進行進一步之檢驗。地方自治團體公務人員之貪瀆情形，在當今台灣社會，亦實有多聞。是以，本書該為，監察院彈劾權應及於地方自治團體公務人員為佳。有關於監察院彈劾權行使之對象，以及監察院彈劾權是否及於地方自治團體公務人員之爭議，詳如下表。</w:t>
      </w:r>
    </w:p>
    <w:p w14:paraId="3330592E" w14:textId="35C1428D"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64</w:t>
      </w:r>
      <w:r w:rsidR="00076467">
        <w:rPr>
          <w:noProof/>
        </w:rPr>
        <w:fldChar w:fldCharType="end"/>
      </w:r>
      <w:r w:rsidR="00203F72" w:rsidRPr="00DE63F7">
        <w:rPr>
          <w:rFonts w:hint="eastAsia"/>
        </w:rPr>
        <w:t>監察院彈劾權行使之對象</w:t>
      </w:r>
    </w:p>
    <w:tbl>
      <w:tblPr>
        <w:tblW w:w="779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567"/>
        <w:gridCol w:w="5499"/>
      </w:tblGrid>
      <w:tr w:rsidR="00203F72" w:rsidRPr="00A53581" w14:paraId="3C93068E" w14:textId="77777777" w:rsidTr="00203F72">
        <w:tc>
          <w:tcPr>
            <w:tcW w:w="1730" w:type="dxa"/>
            <w:vMerge w:val="restart"/>
            <w:shd w:val="clear" w:color="auto" w:fill="auto"/>
          </w:tcPr>
          <w:p w14:paraId="60D9F919" w14:textId="77777777" w:rsidR="00203F72" w:rsidRPr="00A53581" w:rsidRDefault="00203F72" w:rsidP="00D87D91">
            <w:r w:rsidRPr="00A53581">
              <w:rPr>
                <w:rFonts w:hint="eastAsia"/>
              </w:rPr>
              <w:t>中央公務人員</w:t>
            </w:r>
            <w:r w:rsidRPr="00A53581">
              <w:rPr>
                <w:rFonts w:hint="eastAsia"/>
              </w:rPr>
              <w:t xml:space="preserve">: </w:t>
            </w:r>
            <w:r w:rsidRPr="00A53581">
              <w:rPr>
                <w:rFonts w:hint="eastAsia"/>
              </w:rPr>
              <w:t>指中央之文武官員。</w:t>
            </w:r>
          </w:p>
          <w:p w14:paraId="2536278C" w14:textId="77777777" w:rsidR="00203F72" w:rsidRPr="00A53581" w:rsidRDefault="00203F72" w:rsidP="00D87D91">
            <w:pPr>
              <w:rPr>
                <w:rFonts w:ascii="新細明體" w:hAnsi="新細明體"/>
              </w:rPr>
            </w:pPr>
            <w:r w:rsidRPr="00A53581">
              <w:rPr>
                <w:rFonts w:ascii="新細明體" w:hAnsi="新細明體" w:hint="eastAsia"/>
              </w:rPr>
              <w:t>釋</w:t>
            </w:r>
            <w:r w:rsidR="00C15E9F" w:rsidRPr="00686D2C">
              <w:t>字</w:t>
            </w:r>
            <w:hyperlink r:id="rId968" w:anchor="r262" w:history="1">
              <w:r w:rsidR="00C15E9F" w:rsidRPr="00C15E9F">
                <w:rPr>
                  <w:rStyle w:val="a5"/>
                  <w:rFonts w:ascii="Times New Roman" w:eastAsia="新細明體" w:hAnsi="Times New Roman"/>
                </w:rPr>
                <w:t>第</w:t>
              </w:r>
              <w:r w:rsidR="00C15E9F" w:rsidRPr="00C15E9F">
                <w:rPr>
                  <w:rStyle w:val="a5"/>
                  <w:rFonts w:ascii="Times New Roman" w:eastAsia="新細明體" w:hAnsi="Times New Roman"/>
                </w:rPr>
                <w:t>262</w:t>
              </w:r>
              <w:r w:rsidR="00C15E9F" w:rsidRPr="00C15E9F">
                <w:rPr>
                  <w:rStyle w:val="a5"/>
                  <w:rFonts w:ascii="Times New Roman" w:eastAsia="新細明體" w:hAnsi="Times New Roman"/>
                </w:rPr>
                <w:t>號</w:t>
              </w:r>
            </w:hyperlink>
            <w:r w:rsidRPr="00A53581">
              <w:rPr>
                <w:rFonts w:ascii="新細明體" w:hAnsi="新細明體" w:hint="eastAsia"/>
              </w:rPr>
              <w:t>解釋理由書(節錄)：「</w:t>
            </w:r>
            <w:r w:rsidRPr="00A53581">
              <w:rPr>
                <w:rFonts w:ascii="新細明體" w:hAnsi="新細明體" w:cs="Arial"/>
              </w:rPr>
              <w:t>彈劾權在採取三權分立之民主國家，係議會代表人民對政府高級官員之違</w:t>
            </w:r>
            <w:r w:rsidRPr="00CC341A">
              <w:t>法或失職，實施民主監督之制度。我國憲法</w:t>
            </w:r>
            <w:hyperlink r:id="rId969" w:anchor="a89" w:history="1">
              <w:r w:rsidR="00B213D8" w:rsidRPr="00CC341A">
                <w:rPr>
                  <w:rStyle w:val="a5"/>
                </w:rPr>
                <w:t>第90條</w:t>
              </w:r>
            </w:hyperlink>
            <w:r w:rsidRPr="00CC341A">
              <w:t>、</w:t>
            </w:r>
            <w:hyperlink r:id="rId970" w:anchor="a97" w:history="1">
              <w:r w:rsidR="00687A1E" w:rsidRPr="00CC341A">
                <w:rPr>
                  <w:rStyle w:val="a5"/>
                </w:rPr>
                <w:t>第97條</w:t>
              </w:r>
            </w:hyperlink>
            <w:r w:rsidRPr="00CC341A">
              <w:t>第</w:t>
            </w:r>
            <w:r w:rsidRPr="00CC341A">
              <w:rPr>
                <w:rFonts w:hint="eastAsia"/>
              </w:rPr>
              <w:t>2</w:t>
            </w:r>
            <w:r w:rsidRPr="00CC341A">
              <w:t>項、第</w:t>
            </w:r>
            <w:r w:rsidRPr="00CC341A">
              <w:rPr>
                <w:rFonts w:hint="eastAsia"/>
              </w:rPr>
              <w:t>99</w:t>
            </w:r>
            <w:r w:rsidRPr="00CC341A">
              <w:t>條及</w:t>
            </w:r>
            <w:hyperlink r:id="rId971" w:anchor="a100" w:history="1">
              <w:r w:rsidR="009A2820" w:rsidRPr="00CC341A">
                <w:rPr>
                  <w:rStyle w:val="a5"/>
                  <w:rFonts w:hint="eastAsia"/>
                </w:rPr>
                <w:t>第100條</w:t>
              </w:r>
            </w:hyperlink>
            <w:r w:rsidRPr="00CC341A">
              <w:t>規定之監察</w:t>
            </w:r>
            <w:r w:rsidRPr="00A53581">
              <w:rPr>
                <w:rFonts w:ascii="新細明體" w:hAnsi="新細明體" w:cs="Arial"/>
              </w:rPr>
              <w:t>院彈劾權，其範圍較廣。而憲法除就總統、副總統之彈劾程序定有明文外，對於一般彈劾案之審議，並未就文職或武職公務員作不同之規定。</w:t>
            </w:r>
            <w:r w:rsidRPr="00A53581">
              <w:rPr>
                <w:rFonts w:ascii="新細明體" w:hAnsi="新細明體" w:hint="eastAsia"/>
              </w:rPr>
              <w:t>」</w:t>
            </w:r>
          </w:p>
        </w:tc>
        <w:tc>
          <w:tcPr>
            <w:tcW w:w="567" w:type="dxa"/>
            <w:shd w:val="clear" w:color="auto" w:fill="auto"/>
          </w:tcPr>
          <w:p w14:paraId="2997FC2E" w14:textId="77777777" w:rsidR="00203F72" w:rsidRPr="00A53581" w:rsidRDefault="00203F72" w:rsidP="00D87D91">
            <w:r w:rsidRPr="00A53581">
              <w:rPr>
                <w:rFonts w:hint="eastAsia"/>
              </w:rPr>
              <w:t>總統、副總統</w:t>
            </w:r>
          </w:p>
        </w:tc>
        <w:tc>
          <w:tcPr>
            <w:tcW w:w="5499" w:type="dxa"/>
            <w:shd w:val="clear" w:color="auto" w:fill="auto"/>
          </w:tcPr>
          <w:p w14:paraId="46B22DC7" w14:textId="77777777" w:rsidR="00203F72" w:rsidRPr="00A53581" w:rsidRDefault="004A00A5"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監察院彈劾權不及於總統、副總統</w:t>
            </w:r>
            <w:r w:rsidR="00D92F56">
              <w:rPr>
                <w:rFonts w:ascii="新細明體" w:hAnsi="新細明體" w:hint="eastAsia"/>
              </w:rPr>
              <w:t>〜</w:t>
            </w:r>
            <w:r w:rsidR="00203F72" w:rsidRPr="00A53581">
              <w:rPr>
                <w:rFonts w:ascii="新細明體" w:hAnsi="新細明體" w:hint="eastAsia"/>
              </w:rPr>
              <w:t>-憲法增修條</w:t>
            </w:r>
            <w:r w:rsidR="009A2820" w:rsidRPr="00306E89">
              <w:t>文</w:t>
            </w:r>
            <w:hyperlink r:id="rId972"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A53581">
              <w:rPr>
                <w:rFonts w:ascii="新細明體" w:hAnsi="新細明體" w:hint="eastAsia"/>
              </w:rPr>
              <w:t>第7項：「立法院對於總統、副總統之彈劾案，須經全體立法委員二分之一以上之提議，全體立法委員三分之二以上之決議，聲請司法院大法官審理，不適用憲</w:t>
            </w:r>
            <w:r w:rsidR="00B213D8" w:rsidRPr="00B213D8">
              <w:t>法</w:t>
            </w:r>
            <w:hyperlink r:id="rId973" w:anchor="a89" w:history="1">
              <w:r w:rsidR="00B213D8" w:rsidRPr="00B213D8">
                <w:rPr>
                  <w:rStyle w:val="a5"/>
                </w:rPr>
                <w:t>第90條</w:t>
              </w:r>
            </w:hyperlink>
            <w:r w:rsidR="00203F72" w:rsidRPr="00A53581">
              <w:rPr>
                <w:rFonts w:ascii="新細明體" w:hAnsi="新細明體" w:hint="eastAsia"/>
              </w:rPr>
              <w:t>、</w:t>
            </w:r>
            <w:hyperlink r:id="rId974" w:anchor="a100" w:history="1">
              <w:r w:rsidR="009A2820" w:rsidRPr="009A2820">
                <w:rPr>
                  <w:rStyle w:val="a5"/>
                  <w:rFonts w:ascii="Times New Roman" w:eastAsia="新細明體" w:hAnsi="Times New Roman" w:hint="eastAsia"/>
                </w:rPr>
                <w:t>第</w:t>
              </w:r>
              <w:r w:rsidR="009A2820" w:rsidRPr="009A2820">
                <w:rPr>
                  <w:rStyle w:val="a5"/>
                  <w:rFonts w:ascii="Times New Roman" w:eastAsia="新細明體" w:hAnsi="Times New Roman" w:hint="eastAsia"/>
                </w:rPr>
                <w:t>100</w:t>
              </w:r>
              <w:r w:rsidR="009A2820" w:rsidRPr="009A2820">
                <w:rPr>
                  <w:rStyle w:val="a5"/>
                  <w:rFonts w:ascii="Times New Roman" w:eastAsia="新細明體" w:hAnsi="Times New Roman" w:hint="eastAsia"/>
                </w:rPr>
                <w:t>條</w:t>
              </w:r>
            </w:hyperlink>
            <w:r w:rsidR="00203F72" w:rsidRPr="00A53581">
              <w:rPr>
                <w:rFonts w:ascii="新細明體" w:hAnsi="新細明體" w:hint="eastAsia"/>
              </w:rPr>
              <w:t>及增修條</w:t>
            </w:r>
            <w:r w:rsidR="006E37D4" w:rsidRPr="00D73718">
              <w:t>文</w:t>
            </w:r>
            <w:hyperlink r:id="rId975"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rPr>
                <w:rFonts w:ascii="新細明體" w:hAnsi="新細明體" w:hint="eastAsia"/>
              </w:rPr>
              <w:t>第1項有關規定。」已將對總統、副總統之彈劾權，由監察院移出，交由立法院行使，以昭慎重。</w:t>
            </w:r>
          </w:p>
        </w:tc>
      </w:tr>
      <w:tr w:rsidR="00203F72" w:rsidRPr="00A53581" w14:paraId="1E9C2978" w14:textId="77777777" w:rsidTr="00203F72">
        <w:tc>
          <w:tcPr>
            <w:tcW w:w="1730" w:type="dxa"/>
            <w:vMerge/>
            <w:shd w:val="clear" w:color="auto" w:fill="auto"/>
          </w:tcPr>
          <w:p w14:paraId="6F6F5890" w14:textId="77777777" w:rsidR="00203F72" w:rsidRPr="00A53581" w:rsidRDefault="00203F72" w:rsidP="00D87D91"/>
        </w:tc>
        <w:tc>
          <w:tcPr>
            <w:tcW w:w="567" w:type="dxa"/>
            <w:shd w:val="clear" w:color="auto" w:fill="auto"/>
          </w:tcPr>
          <w:p w14:paraId="1DA58A7F" w14:textId="77777777" w:rsidR="00203F72" w:rsidRPr="00A53581" w:rsidRDefault="00203F72" w:rsidP="00D87D91">
            <w:r w:rsidRPr="00A53581">
              <w:rPr>
                <w:rFonts w:hint="eastAsia"/>
              </w:rPr>
              <w:t>司法院人員與考試院人員</w:t>
            </w:r>
          </w:p>
        </w:tc>
        <w:tc>
          <w:tcPr>
            <w:tcW w:w="5499" w:type="dxa"/>
            <w:shd w:val="clear" w:color="auto" w:fill="auto"/>
          </w:tcPr>
          <w:p w14:paraId="72BED91D" w14:textId="77777777" w:rsidR="00203F72" w:rsidRPr="00A53581" w:rsidRDefault="004A00A5" w:rsidP="00D87D91">
            <w:pPr>
              <w:rPr>
                <w:rFonts w:ascii="新細明體" w:hAnsi="新細明體" w:cs="新細明體"/>
              </w:rPr>
            </w:pPr>
            <w:r>
              <w:rPr>
                <w:rFonts w:ascii="新細明體" w:hAnsi="新細明體" w:hint="eastAsia"/>
              </w:rPr>
              <w:t xml:space="preserve">　　</w:t>
            </w:r>
            <w:r w:rsidR="00203F72" w:rsidRPr="00A53581">
              <w:rPr>
                <w:rFonts w:ascii="新細明體" w:hAnsi="新細明體" w:hint="eastAsia"/>
              </w:rPr>
              <w:t>監察院彈劾權及於司法院人員與考試院人員</w:t>
            </w:r>
            <w:r w:rsidR="00D92F56">
              <w:rPr>
                <w:rFonts w:ascii="新細明體" w:hAnsi="新細明體" w:hint="eastAsia"/>
              </w:rPr>
              <w:t>〜</w:t>
            </w:r>
            <w:r w:rsidR="00203F72" w:rsidRPr="00A53581">
              <w:rPr>
                <w:rFonts w:ascii="新細明體" w:hAnsi="新細明體" w:hint="eastAsia"/>
              </w:rPr>
              <w:t>憲法</w:t>
            </w:r>
            <w:hyperlink r:id="rId976" w:anchor="a99" w:history="1">
              <w:r w:rsidR="00B213D8" w:rsidRPr="00B213D8">
                <w:rPr>
                  <w:rStyle w:val="a5"/>
                </w:rPr>
                <w:t>第99條</w:t>
              </w:r>
            </w:hyperlink>
            <w:r w:rsidR="00203F72" w:rsidRPr="00B213D8">
              <w:rPr>
                <w:rFonts w:hint="eastAsia"/>
              </w:rPr>
              <w:t>：</w:t>
            </w:r>
            <w:r w:rsidR="00203F72" w:rsidRPr="00A53581">
              <w:rPr>
                <w:rFonts w:ascii="新細明體" w:hAnsi="新細明體" w:hint="eastAsia"/>
              </w:rPr>
              <w:t>「</w:t>
            </w:r>
            <w:r w:rsidR="00203F72" w:rsidRPr="00A53581">
              <w:rPr>
                <w:rFonts w:ascii="新細明體" w:hAnsi="新細明體"/>
              </w:rPr>
              <w:t>監察院對於司法院或考試院人員失職或違法之彈劾，適用本</w:t>
            </w:r>
            <w:r w:rsidR="00203F72" w:rsidRPr="00687A1E">
              <w:t>憲法</w:t>
            </w:r>
            <w:hyperlink r:id="rId977" w:anchor="a95" w:history="1">
              <w:r w:rsidR="00687A1E" w:rsidRPr="00687A1E">
                <w:rPr>
                  <w:rStyle w:val="a5"/>
                </w:rPr>
                <w:t>第95條</w:t>
              </w:r>
            </w:hyperlink>
            <w:r w:rsidR="00687A1E" w:rsidRPr="00A53581">
              <w:rPr>
                <w:rFonts w:ascii="新細明體" w:hAnsi="新細明體" w:cs="Arial"/>
              </w:rPr>
              <w:t>、</w:t>
            </w:r>
            <w:hyperlink r:id="rId978" w:anchor="a97" w:history="1">
              <w:r w:rsidR="00687A1E" w:rsidRPr="00687A1E">
                <w:rPr>
                  <w:rStyle w:val="a5"/>
                </w:rPr>
                <w:t>第97條</w:t>
              </w:r>
            </w:hyperlink>
            <w:r w:rsidRPr="00A53581">
              <w:rPr>
                <w:rFonts w:ascii="新細明體" w:hAnsi="新細明體" w:cs="Arial"/>
              </w:rPr>
              <w:t>及</w:t>
            </w:r>
            <w:hyperlink r:id="rId979" w:anchor="a98" w:history="1">
              <w:r w:rsidRPr="004A00A5">
                <w:rPr>
                  <w:rStyle w:val="a5"/>
                  <w:rFonts w:ascii="Times New Roman" w:eastAsia="新細明體" w:hAnsi="Times New Roman" w:hint="eastAsia"/>
                </w:rPr>
                <w:t>第</w:t>
              </w:r>
              <w:r w:rsidRPr="004A00A5">
                <w:rPr>
                  <w:rStyle w:val="a5"/>
                  <w:rFonts w:ascii="Times New Roman" w:eastAsia="新細明體" w:hAnsi="Times New Roman" w:hint="eastAsia"/>
                </w:rPr>
                <w:t>98</w:t>
              </w:r>
              <w:r w:rsidRPr="004A00A5">
                <w:rPr>
                  <w:rStyle w:val="a5"/>
                  <w:rFonts w:ascii="Times New Roman" w:eastAsia="新細明體" w:hAnsi="Times New Roman" w:hint="eastAsia"/>
                </w:rPr>
                <w:t>條</w:t>
              </w:r>
            </w:hyperlink>
            <w:r w:rsidR="00203F72" w:rsidRPr="00A53581">
              <w:rPr>
                <w:rFonts w:ascii="新細明體" w:hAnsi="新細明體"/>
              </w:rPr>
              <w:t>之規定。</w:t>
            </w:r>
            <w:r w:rsidR="00203F72" w:rsidRPr="00A53581">
              <w:rPr>
                <w:rFonts w:ascii="新細明體" w:hAnsi="新細明體" w:hint="eastAsia"/>
              </w:rPr>
              <w:t>」(其實，司法院、考試院人員本即屬中央公務人員範圍，實無庸另為規定)</w:t>
            </w:r>
          </w:p>
        </w:tc>
      </w:tr>
      <w:tr w:rsidR="00203F72" w:rsidRPr="00A53581" w14:paraId="677EC1EB" w14:textId="77777777" w:rsidTr="00203F72">
        <w:tc>
          <w:tcPr>
            <w:tcW w:w="1730" w:type="dxa"/>
            <w:vMerge/>
            <w:shd w:val="clear" w:color="auto" w:fill="auto"/>
          </w:tcPr>
          <w:p w14:paraId="67EFA4DA" w14:textId="77777777" w:rsidR="00203F72" w:rsidRPr="00A53581" w:rsidRDefault="00203F72" w:rsidP="00D87D91"/>
        </w:tc>
        <w:tc>
          <w:tcPr>
            <w:tcW w:w="567" w:type="dxa"/>
            <w:shd w:val="clear" w:color="auto" w:fill="auto"/>
          </w:tcPr>
          <w:p w14:paraId="6F942B3D" w14:textId="77777777" w:rsidR="00203F72" w:rsidRPr="00A53581" w:rsidRDefault="00203F72" w:rsidP="00D87D91">
            <w:r w:rsidRPr="00A53581">
              <w:rPr>
                <w:rFonts w:hint="eastAsia"/>
              </w:rPr>
              <w:t>監察院人員</w:t>
            </w:r>
          </w:p>
        </w:tc>
        <w:tc>
          <w:tcPr>
            <w:tcW w:w="5499" w:type="dxa"/>
            <w:shd w:val="clear" w:color="auto" w:fill="auto"/>
          </w:tcPr>
          <w:p w14:paraId="224BC084" w14:textId="77777777" w:rsidR="00203F72" w:rsidRPr="00A53581" w:rsidRDefault="004A00A5"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監察院彈劾權及於監察院人員</w:t>
            </w:r>
            <w:r w:rsidR="00D92F56">
              <w:rPr>
                <w:rFonts w:ascii="新細明體" w:hAnsi="新細明體" w:hint="eastAsia"/>
              </w:rPr>
              <w:t>〜</w:t>
            </w:r>
            <w:r w:rsidR="00203F72" w:rsidRPr="00A53581">
              <w:rPr>
                <w:rFonts w:ascii="新細明體" w:hAnsi="新細明體" w:hint="eastAsia"/>
              </w:rPr>
              <w:t>憲法增修條</w:t>
            </w:r>
            <w:r w:rsidR="006E37D4" w:rsidRPr="00D73718">
              <w:t>文</w:t>
            </w:r>
            <w:hyperlink r:id="rId980"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rPr>
                <w:rFonts w:ascii="新細明體" w:hAnsi="新細明體" w:hint="eastAsia"/>
              </w:rPr>
              <w:t>第4項：「監察院對於監察院人員失職或違法之彈劾，適用憲法</w:t>
            </w:r>
            <w:r w:rsidR="00B23D06" w:rsidRPr="00DE63F7">
              <w:t>第</w:t>
            </w:r>
            <w:hyperlink r:id="rId981" w:anchor="a95" w:history="1">
              <w:r w:rsidR="00B23D06" w:rsidRPr="00B23D06">
                <w:rPr>
                  <w:rStyle w:val="a5"/>
                  <w:rFonts w:ascii="Times New Roman" w:eastAsia="新細明體" w:hAnsi="Times New Roman"/>
                </w:rPr>
                <w:t>九十五</w:t>
              </w:r>
            </w:hyperlink>
            <w:r w:rsidR="00B23D06" w:rsidRPr="00DE63F7">
              <w:t>條</w:t>
            </w:r>
            <w:r w:rsidR="00203F72" w:rsidRPr="00A53581">
              <w:rPr>
                <w:rFonts w:ascii="新細明體" w:hAnsi="新細明體" w:hint="eastAsia"/>
              </w:rPr>
              <w:t>、</w:t>
            </w:r>
            <w:r w:rsidR="00655114" w:rsidRPr="00DE63F7">
              <w:t>第</w:t>
            </w:r>
            <w:hyperlink r:id="rId982" w:anchor="a97" w:history="1">
              <w:r w:rsidR="00655114" w:rsidRPr="00655114">
                <w:rPr>
                  <w:rStyle w:val="a5"/>
                  <w:rFonts w:ascii="Times New Roman" w:eastAsia="新細明體" w:hAnsi="Times New Roman"/>
                </w:rPr>
                <w:t>九十七</w:t>
              </w:r>
            </w:hyperlink>
            <w:r w:rsidR="00655114" w:rsidRPr="00DE63F7">
              <w:t>條</w:t>
            </w:r>
            <w:r w:rsidR="00203F72" w:rsidRPr="00A53581">
              <w:rPr>
                <w:rFonts w:ascii="新細明體" w:hAnsi="新細明體" w:hint="eastAsia"/>
              </w:rPr>
              <w:t>第二項及前項之規定。</w:t>
            </w:r>
          </w:p>
          <w:p w14:paraId="4F255D72" w14:textId="77777777" w:rsidR="00203F72" w:rsidRPr="00A53581" w:rsidRDefault="00203F72" w:rsidP="00D87D91">
            <w:r w:rsidRPr="00A53581">
              <w:rPr>
                <w:rFonts w:hint="eastAsia"/>
              </w:rPr>
              <w:t>」</w:t>
            </w:r>
          </w:p>
        </w:tc>
      </w:tr>
      <w:tr w:rsidR="00203F72" w:rsidRPr="00A53581" w14:paraId="75B4DC0E" w14:textId="77777777" w:rsidTr="00203F72">
        <w:tc>
          <w:tcPr>
            <w:tcW w:w="1730" w:type="dxa"/>
            <w:vMerge/>
            <w:shd w:val="clear" w:color="auto" w:fill="auto"/>
          </w:tcPr>
          <w:p w14:paraId="04E2369B" w14:textId="77777777" w:rsidR="00203F72" w:rsidRPr="00A53581" w:rsidRDefault="00203F72" w:rsidP="00D87D91"/>
        </w:tc>
        <w:tc>
          <w:tcPr>
            <w:tcW w:w="567" w:type="dxa"/>
            <w:shd w:val="clear" w:color="auto" w:fill="auto"/>
          </w:tcPr>
          <w:p w14:paraId="755590CD" w14:textId="77777777" w:rsidR="00203F72" w:rsidRPr="00A53581" w:rsidRDefault="00203F72" w:rsidP="00D87D91">
            <w:r w:rsidRPr="00A53581">
              <w:rPr>
                <w:rFonts w:hint="eastAsia"/>
              </w:rPr>
              <w:t>民意代表</w:t>
            </w:r>
          </w:p>
        </w:tc>
        <w:tc>
          <w:tcPr>
            <w:tcW w:w="5499" w:type="dxa"/>
            <w:shd w:val="clear" w:color="auto" w:fill="auto"/>
          </w:tcPr>
          <w:p w14:paraId="6EA10706" w14:textId="77777777" w:rsidR="00203F72" w:rsidRPr="00A53581" w:rsidRDefault="004A00A5"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監察院彈劾權不及於民意代表</w:t>
            </w:r>
            <w:r w:rsidR="00D92F56">
              <w:rPr>
                <w:rFonts w:ascii="新細明體" w:hAnsi="新細明體" w:hint="eastAsia"/>
              </w:rPr>
              <w:t>〜</w:t>
            </w:r>
            <w:r w:rsidR="00203F72" w:rsidRPr="00A53581">
              <w:rPr>
                <w:rFonts w:ascii="新細明體" w:hAnsi="新細明體" w:hint="eastAsia"/>
              </w:rPr>
              <w:t>司法院釋</w:t>
            </w:r>
            <w:r w:rsidRPr="00DE63F7">
              <w:t>字</w:t>
            </w:r>
            <w:hyperlink r:id="rId983" w:anchor="r14" w:history="1">
              <w:r w:rsidRPr="00655114">
                <w:rPr>
                  <w:rStyle w:val="a5"/>
                  <w:rFonts w:ascii="Times New Roman" w:eastAsia="新細明體" w:hAnsi="Times New Roman"/>
                </w:rPr>
                <w:t>第</w:t>
              </w:r>
              <w:r w:rsidRPr="00655114">
                <w:rPr>
                  <w:rStyle w:val="a5"/>
                  <w:rFonts w:ascii="Times New Roman" w:eastAsia="新細明體" w:hAnsi="Times New Roman"/>
                </w:rPr>
                <w:t>14</w:t>
              </w:r>
              <w:r w:rsidRPr="00655114">
                <w:rPr>
                  <w:rStyle w:val="a5"/>
                  <w:rFonts w:ascii="Times New Roman" w:eastAsia="新細明體" w:hAnsi="Times New Roman"/>
                </w:rPr>
                <w:t>號</w:t>
              </w:r>
            </w:hyperlink>
            <w:r w:rsidR="00203F72" w:rsidRPr="00A53581">
              <w:rPr>
                <w:rFonts w:ascii="新細明體" w:hAnsi="新細明體" w:hint="eastAsia"/>
              </w:rPr>
              <w:t>解釋文(節錄)：「</w:t>
            </w:r>
            <w:r w:rsidR="00203F72" w:rsidRPr="00A53581">
              <w:rPr>
                <w:rFonts w:ascii="新細明體" w:hAnsi="新細明體"/>
              </w:rPr>
              <w:t>在制憲會議中，若干代表認為監察院彈劾權行使之對象應包括立法委員、監察委員在內。曾經提出修正案數起，主張將</w:t>
            </w:r>
            <w:hyperlink r:id="rId984" w:anchor="a102" w:history="1">
              <w:r w:rsidR="00B213D8" w:rsidRPr="00B213D8">
                <w:rPr>
                  <w:rStyle w:val="a5"/>
                  <w:rFonts w:ascii="Times New Roman" w:eastAsia="新細明體" w:hAnsi="Times New Roman" w:hint="eastAsia"/>
                </w:rPr>
                <w:t>第</w:t>
              </w:r>
              <w:r w:rsidR="00B213D8" w:rsidRPr="00B213D8">
                <w:rPr>
                  <w:rStyle w:val="a5"/>
                  <w:rFonts w:ascii="Times New Roman" w:eastAsia="新細明體" w:hAnsi="Times New Roman" w:hint="eastAsia"/>
                </w:rPr>
                <w:t>102</w:t>
              </w:r>
              <w:r w:rsidR="00B213D8" w:rsidRPr="00B213D8">
                <w:rPr>
                  <w:rStyle w:val="a5"/>
                  <w:rFonts w:ascii="Times New Roman" w:eastAsia="新細明體" w:hAnsi="Times New Roman" w:hint="eastAsia"/>
                </w:rPr>
                <w:t>條</w:t>
              </w:r>
            </w:hyperlink>
            <w:r w:rsidR="00203F72" w:rsidRPr="00A53581">
              <w:rPr>
                <w:rFonts w:ascii="新細明體" w:hAnsi="新細明體"/>
              </w:rPr>
              <w:t>行政院或其各部會人員改為各院及其各部會人員，包括立法院、監察院人員在內，並將</w:t>
            </w:r>
            <w:hyperlink r:id="rId985" w:anchor="a104"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104</w:t>
              </w:r>
              <w:r w:rsidR="006937CE" w:rsidRPr="006937CE">
                <w:rPr>
                  <w:rStyle w:val="a5"/>
                  <w:rFonts w:ascii="Times New Roman" w:eastAsia="新細明體" w:hAnsi="Times New Roman"/>
                </w:rPr>
                <w:t>條</w:t>
              </w:r>
            </w:hyperlink>
            <w:r w:rsidR="00203F72" w:rsidRPr="00A53581">
              <w:rPr>
                <w:rFonts w:ascii="新細明體" w:hAnsi="新細明體"/>
              </w:rPr>
              <w:t>有關法官及考試院人員之條文刪去。討論結果，對此毫無疑義之修正文均未通過，即所以表示立監委員係屬除外。若謂同時，復以中央公務人員字樣可藉解釋之途徑，使立監委員包括在內，殊難自圓其說。在制憲者之意，當以立監委員為直接或間接之民意代表，均不認其為監察權行使之對象。至立監兩院其他人員與國民大會職員，總統府及其所屬機關職員，自應屬監察權行使範圍。故憲法除規定行政、司法、考試三院外，復於</w:t>
            </w:r>
            <w:hyperlink r:id="rId986" w:anchor="a97" w:history="1">
              <w:r w:rsidR="00687A1E" w:rsidRPr="00687A1E">
                <w:rPr>
                  <w:rStyle w:val="a5"/>
                </w:rPr>
                <w:t>第97條</w:t>
              </w:r>
            </w:hyperlink>
            <w:r w:rsidR="00203F72" w:rsidRPr="00A53581">
              <w:rPr>
                <w:rFonts w:ascii="新細明體" w:hAnsi="新細明體"/>
              </w:rPr>
              <w:t>第</w:t>
            </w:r>
            <w:r w:rsidR="00203F72" w:rsidRPr="00A53581">
              <w:rPr>
                <w:rFonts w:ascii="新細明體" w:hAnsi="新細明體" w:hint="eastAsia"/>
              </w:rPr>
              <w:t>2</w:t>
            </w:r>
            <w:r w:rsidR="00203F72" w:rsidRPr="00A53581">
              <w:rPr>
                <w:rFonts w:ascii="新細明體" w:hAnsi="新細明體"/>
              </w:rPr>
              <w:t>項</w:t>
            </w:r>
            <w:r w:rsidRPr="00A53581">
              <w:rPr>
                <w:rFonts w:ascii="新細明體" w:hAnsi="新細明體" w:cs="Arial"/>
              </w:rPr>
              <w:t>及</w:t>
            </w:r>
            <w:hyperlink r:id="rId987" w:anchor="a98" w:history="1">
              <w:r w:rsidRPr="004A00A5">
                <w:rPr>
                  <w:rStyle w:val="a5"/>
                  <w:rFonts w:ascii="Times New Roman" w:eastAsia="新細明體" w:hAnsi="Times New Roman" w:hint="eastAsia"/>
                </w:rPr>
                <w:t>第</w:t>
              </w:r>
              <w:r w:rsidRPr="004A00A5">
                <w:rPr>
                  <w:rStyle w:val="a5"/>
                  <w:rFonts w:ascii="Times New Roman" w:eastAsia="新細明體" w:hAnsi="Times New Roman" w:hint="eastAsia"/>
                </w:rPr>
                <w:t>98</w:t>
              </w:r>
              <w:r w:rsidRPr="004A00A5">
                <w:rPr>
                  <w:rStyle w:val="a5"/>
                  <w:rFonts w:ascii="Times New Roman" w:eastAsia="新細明體" w:hAnsi="Times New Roman" w:hint="eastAsia"/>
                </w:rPr>
                <w:t>條</w:t>
              </w:r>
            </w:hyperlink>
            <w:r w:rsidR="00203F72" w:rsidRPr="00A53581">
              <w:rPr>
                <w:rFonts w:ascii="新細明體" w:hAnsi="新細明體"/>
              </w:rPr>
              <w:t>，另有中央公務人員之規定。國民大會代表為民意代表，其非監察權行使對象更不待言。憲法草案及各修正案，對於國大代表均無可以彈劾之擬議，與立、監委員包括在內之各修正案不予採納者，實為制憲時一貫之意思。</w:t>
            </w:r>
          </w:p>
          <w:p w14:paraId="32976971" w14:textId="77777777" w:rsidR="00203F72" w:rsidRPr="00A53581" w:rsidRDefault="004A00A5" w:rsidP="00D87D91">
            <w:r>
              <w:t xml:space="preserve">　　</w:t>
            </w:r>
            <w:r w:rsidR="00203F72" w:rsidRPr="00A53581">
              <w:t>自治人員之屬於議事機關者，如省縣議會議員，亦為民意代表，依上述理由，自亦非監察權行使之對象。</w:t>
            </w:r>
            <w:r w:rsidR="00203F72" w:rsidRPr="00A53581">
              <w:rPr>
                <w:rFonts w:hint="eastAsia"/>
              </w:rPr>
              <w:t>」</w:t>
            </w:r>
          </w:p>
        </w:tc>
      </w:tr>
      <w:tr w:rsidR="00203F72" w:rsidRPr="00A53581" w14:paraId="69B90804" w14:textId="77777777" w:rsidTr="00203F72">
        <w:tc>
          <w:tcPr>
            <w:tcW w:w="1730" w:type="dxa"/>
            <w:vMerge/>
            <w:shd w:val="clear" w:color="auto" w:fill="auto"/>
          </w:tcPr>
          <w:p w14:paraId="366AF448" w14:textId="77777777" w:rsidR="00203F72" w:rsidRPr="00A53581" w:rsidRDefault="00203F72" w:rsidP="00D87D91"/>
        </w:tc>
        <w:tc>
          <w:tcPr>
            <w:tcW w:w="567" w:type="dxa"/>
            <w:shd w:val="clear" w:color="auto" w:fill="auto"/>
          </w:tcPr>
          <w:p w14:paraId="402A36E9" w14:textId="77777777" w:rsidR="00203F72" w:rsidRPr="00A53581" w:rsidRDefault="00203F72" w:rsidP="00D87D91">
            <w:r w:rsidRPr="00A53581">
              <w:rPr>
                <w:rFonts w:hint="eastAsia"/>
              </w:rPr>
              <w:t>議會議長</w:t>
            </w:r>
          </w:p>
        </w:tc>
        <w:tc>
          <w:tcPr>
            <w:tcW w:w="5499" w:type="dxa"/>
            <w:shd w:val="clear" w:color="auto" w:fill="auto"/>
          </w:tcPr>
          <w:p w14:paraId="2E8970CC" w14:textId="77777777" w:rsidR="00203F72" w:rsidRPr="00A53581" w:rsidRDefault="00CC341A"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監察院彈劾權不及於議會議長</w:t>
            </w:r>
            <w:r w:rsidR="00D92F56">
              <w:rPr>
                <w:rFonts w:ascii="新細明體" w:hAnsi="新細明體" w:hint="eastAsia"/>
              </w:rPr>
              <w:t>〜</w:t>
            </w:r>
            <w:r w:rsidR="00203F72" w:rsidRPr="00A53581">
              <w:rPr>
                <w:rFonts w:ascii="新細明體" w:hAnsi="新細明體" w:hint="eastAsia"/>
              </w:rPr>
              <w:t>司法院釋字第33號解釋文(節錄)：「</w:t>
            </w:r>
            <w:r w:rsidR="00203F72" w:rsidRPr="00A53581">
              <w:rPr>
                <w:rFonts w:ascii="新細明體" w:hAnsi="新細明體" w:cs="Arial"/>
              </w:rPr>
              <w:t>查民意代表並非監察權行使對象，業經本院釋</w:t>
            </w:r>
            <w:r w:rsidR="004A00A5" w:rsidRPr="00DE63F7">
              <w:t>字</w:t>
            </w:r>
            <w:hyperlink r:id="rId988" w:anchor="r14" w:history="1">
              <w:r w:rsidR="004A00A5" w:rsidRPr="00655114">
                <w:rPr>
                  <w:rStyle w:val="a5"/>
                  <w:rFonts w:ascii="Times New Roman" w:eastAsia="新細明體" w:hAnsi="Times New Roman"/>
                </w:rPr>
                <w:t>第</w:t>
              </w:r>
              <w:r w:rsidR="004A00A5" w:rsidRPr="00655114">
                <w:rPr>
                  <w:rStyle w:val="a5"/>
                  <w:rFonts w:ascii="Times New Roman" w:eastAsia="新細明體" w:hAnsi="Times New Roman"/>
                </w:rPr>
                <w:t>14</w:t>
              </w:r>
              <w:r w:rsidR="004A00A5" w:rsidRPr="00655114">
                <w:rPr>
                  <w:rStyle w:val="a5"/>
                  <w:rFonts w:ascii="Times New Roman" w:eastAsia="新細明體" w:hAnsi="Times New Roman"/>
                </w:rPr>
                <w:t>號</w:t>
              </w:r>
            </w:hyperlink>
            <w:r w:rsidR="00203F72" w:rsidRPr="00A53581">
              <w:rPr>
                <w:rFonts w:ascii="新細明體" w:hAnsi="新細明體" w:cs="Arial"/>
              </w:rPr>
              <w:t>解釋有案，省縣議會為民意代表機關，其由議員互選之議長，雖有處理會務之責，但其民意代表身分並無變更，應不屬憲法</w:t>
            </w:r>
            <w:hyperlink r:id="rId989" w:anchor="a97" w:history="1">
              <w:r w:rsidR="00687A1E" w:rsidRPr="00687A1E">
                <w:rPr>
                  <w:rStyle w:val="a5"/>
                </w:rPr>
                <w:t>第97條</w:t>
              </w:r>
            </w:hyperlink>
            <w:r w:rsidR="00203F72" w:rsidRPr="00A53581">
              <w:rPr>
                <w:rFonts w:ascii="新細明體" w:hAnsi="新細明體" w:cs="Arial"/>
              </w:rPr>
              <w:t>第</w:t>
            </w:r>
            <w:r w:rsidR="00203F72" w:rsidRPr="00A53581">
              <w:rPr>
                <w:rFonts w:ascii="新細明體" w:hAnsi="新細明體" w:cs="Arial" w:hint="eastAsia"/>
              </w:rPr>
              <w:t>2</w:t>
            </w:r>
            <w:r w:rsidR="00203F72" w:rsidRPr="00A53581">
              <w:rPr>
                <w:rFonts w:ascii="新細明體" w:hAnsi="新細明體" w:cs="Arial"/>
              </w:rPr>
              <w:t>項及</w:t>
            </w:r>
            <w:hyperlink r:id="rId990" w:anchor="a98" w:history="1">
              <w:r w:rsidR="004A00A5" w:rsidRPr="004A00A5">
                <w:rPr>
                  <w:rStyle w:val="a5"/>
                  <w:rFonts w:ascii="Times New Roman" w:eastAsia="新細明體" w:hAnsi="Times New Roman" w:hint="eastAsia"/>
                </w:rPr>
                <w:t>第</w:t>
              </w:r>
              <w:r w:rsidR="004A00A5" w:rsidRPr="004A00A5">
                <w:rPr>
                  <w:rStyle w:val="a5"/>
                  <w:rFonts w:ascii="Times New Roman" w:eastAsia="新細明體" w:hAnsi="Times New Roman" w:hint="eastAsia"/>
                </w:rPr>
                <w:t>98</w:t>
              </w:r>
              <w:r w:rsidR="004A00A5" w:rsidRPr="004A00A5">
                <w:rPr>
                  <w:rStyle w:val="a5"/>
                  <w:rFonts w:ascii="Times New Roman" w:eastAsia="新細明體" w:hAnsi="Times New Roman" w:hint="eastAsia"/>
                </w:rPr>
                <w:t>條</w:t>
              </w:r>
            </w:hyperlink>
            <w:r w:rsidR="00203F72" w:rsidRPr="00A53581">
              <w:rPr>
                <w:rFonts w:ascii="新細明體" w:hAnsi="新細明體" w:cs="Arial"/>
              </w:rPr>
              <w:t>所稱之公務人員，至議長處理會務如有不當情事，應由議會本身予以制裁。</w:t>
            </w:r>
            <w:r w:rsidR="00203F72" w:rsidRPr="00A53581">
              <w:rPr>
                <w:rFonts w:ascii="新細明體" w:hAnsi="新細明體" w:hint="eastAsia"/>
              </w:rPr>
              <w:t>」</w:t>
            </w:r>
          </w:p>
        </w:tc>
      </w:tr>
      <w:tr w:rsidR="00203F72" w:rsidRPr="00A53581" w14:paraId="4775FCCD" w14:textId="77777777" w:rsidTr="00203F72">
        <w:tc>
          <w:tcPr>
            <w:tcW w:w="1730" w:type="dxa"/>
            <w:vMerge/>
            <w:shd w:val="clear" w:color="auto" w:fill="auto"/>
          </w:tcPr>
          <w:p w14:paraId="7A756D59" w14:textId="77777777" w:rsidR="00203F72" w:rsidRPr="00A53581" w:rsidRDefault="00203F72" w:rsidP="00D87D91"/>
        </w:tc>
        <w:tc>
          <w:tcPr>
            <w:tcW w:w="567" w:type="dxa"/>
            <w:shd w:val="clear" w:color="auto" w:fill="auto"/>
          </w:tcPr>
          <w:p w14:paraId="05F0DEC1" w14:textId="77777777" w:rsidR="00203F72" w:rsidRPr="00A53581" w:rsidRDefault="00203F72" w:rsidP="00D87D91">
            <w:r w:rsidRPr="00A53581">
              <w:rPr>
                <w:rFonts w:hint="eastAsia"/>
              </w:rPr>
              <w:t>軍人</w:t>
            </w:r>
          </w:p>
        </w:tc>
        <w:tc>
          <w:tcPr>
            <w:tcW w:w="5499" w:type="dxa"/>
            <w:shd w:val="clear" w:color="auto" w:fill="auto"/>
          </w:tcPr>
          <w:p w14:paraId="049E497D" w14:textId="77777777" w:rsidR="00203F72" w:rsidRPr="00A53581" w:rsidRDefault="00CC341A"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監察院彈劾權及於軍人</w:t>
            </w:r>
            <w:r w:rsidR="00D92F56">
              <w:rPr>
                <w:rFonts w:ascii="新細明體" w:hAnsi="新細明體" w:hint="eastAsia"/>
              </w:rPr>
              <w:t>〜</w:t>
            </w:r>
            <w:r w:rsidR="00203F72" w:rsidRPr="00A53581">
              <w:rPr>
                <w:rFonts w:ascii="新細明體" w:hAnsi="新細明體" w:hint="eastAsia"/>
              </w:rPr>
              <w:t>司法院釋</w:t>
            </w:r>
            <w:r w:rsidR="00C15E9F" w:rsidRPr="00686D2C">
              <w:t>字</w:t>
            </w:r>
            <w:hyperlink r:id="rId991" w:anchor="r262" w:history="1">
              <w:r w:rsidR="00C15E9F" w:rsidRPr="00C15E9F">
                <w:rPr>
                  <w:rStyle w:val="a5"/>
                  <w:rFonts w:ascii="Times New Roman" w:eastAsia="新細明體" w:hAnsi="Times New Roman"/>
                </w:rPr>
                <w:t>第</w:t>
              </w:r>
              <w:r w:rsidR="00C15E9F" w:rsidRPr="00C15E9F">
                <w:rPr>
                  <w:rStyle w:val="a5"/>
                  <w:rFonts w:ascii="Times New Roman" w:eastAsia="新細明體" w:hAnsi="Times New Roman"/>
                </w:rPr>
                <w:t>262</w:t>
              </w:r>
              <w:r w:rsidR="00C15E9F" w:rsidRPr="00C15E9F">
                <w:rPr>
                  <w:rStyle w:val="a5"/>
                  <w:rFonts w:ascii="Times New Roman" w:eastAsia="新細明體" w:hAnsi="Times New Roman"/>
                </w:rPr>
                <w:t>號</w:t>
              </w:r>
            </w:hyperlink>
            <w:r w:rsidR="00203F72" w:rsidRPr="00A53581">
              <w:rPr>
                <w:rFonts w:ascii="新細明體" w:hAnsi="新細明體" w:hint="eastAsia"/>
              </w:rPr>
              <w:t>解釋文(節錄)：「</w:t>
            </w:r>
            <w:r w:rsidR="00203F72" w:rsidRPr="00A53581">
              <w:rPr>
                <w:rFonts w:ascii="新細明體" w:hAnsi="新細明體" w:cs="Arial"/>
              </w:rPr>
              <w:t>監察院對軍人提出彈劾案時，應移送公務員懲戒委員會審議。至軍人之過犯，除上述彈劾案外，其懲罰仍</w:t>
            </w:r>
            <w:r w:rsidR="00B213D8" w:rsidRPr="00686D2C">
              <w:t>依</w:t>
            </w:r>
            <w:hyperlink r:id="rId992" w:history="1">
              <w:r w:rsidR="00B213D8" w:rsidRPr="00B213D8">
                <w:rPr>
                  <w:rStyle w:val="a5"/>
                  <w:rFonts w:ascii="Times New Roman" w:eastAsia="新細明體" w:hAnsi="Times New Roman"/>
                </w:rPr>
                <w:t>陸海空軍懲罰法</w:t>
              </w:r>
            </w:hyperlink>
            <w:r w:rsidR="00203F72" w:rsidRPr="00A53581">
              <w:rPr>
                <w:rFonts w:ascii="新細明體" w:hAnsi="新細明體" w:cs="Arial"/>
              </w:rPr>
              <w:t>行之。</w:t>
            </w:r>
            <w:r w:rsidR="00203F72" w:rsidRPr="00A53581">
              <w:rPr>
                <w:rFonts w:ascii="新細明體" w:hAnsi="新細明體" w:hint="eastAsia"/>
              </w:rPr>
              <w:t>」</w:t>
            </w:r>
          </w:p>
        </w:tc>
      </w:tr>
      <w:tr w:rsidR="00203F72" w:rsidRPr="00A53581" w14:paraId="3764DCEF" w14:textId="77777777" w:rsidTr="00203F72">
        <w:tc>
          <w:tcPr>
            <w:tcW w:w="1730" w:type="dxa"/>
            <w:shd w:val="clear" w:color="auto" w:fill="auto"/>
          </w:tcPr>
          <w:p w14:paraId="14702DC0" w14:textId="77777777" w:rsidR="00203F72" w:rsidRPr="00A53581" w:rsidRDefault="00203F72" w:rsidP="00D87D91">
            <w:r w:rsidRPr="00A53581">
              <w:rPr>
                <w:rFonts w:hint="eastAsia"/>
              </w:rPr>
              <w:t>地方公務人員</w:t>
            </w:r>
            <w:r w:rsidRPr="00A53581">
              <w:rPr>
                <w:rFonts w:hint="eastAsia"/>
              </w:rPr>
              <w:t xml:space="preserve">: </w:t>
            </w:r>
            <w:r w:rsidRPr="00A53581">
              <w:rPr>
                <w:rFonts w:hint="eastAsia"/>
              </w:rPr>
              <w:t>應解為「中央派駐地方之公務人員」。故本質上仍屬中央之公務人員。</w:t>
            </w:r>
          </w:p>
        </w:tc>
        <w:tc>
          <w:tcPr>
            <w:tcW w:w="567" w:type="dxa"/>
            <w:shd w:val="clear" w:color="auto" w:fill="auto"/>
          </w:tcPr>
          <w:p w14:paraId="2E97DA18" w14:textId="77777777" w:rsidR="00203F72" w:rsidRPr="00A53581" w:rsidRDefault="00203F72" w:rsidP="00D87D91">
            <w:r w:rsidRPr="00A53581">
              <w:rPr>
                <w:rFonts w:hint="eastAsia"/>
              </w:rPr>
              <w:t>地方自治團體公務人員</w:t>
            </w:r>
          </w:p>
        </w:tc>
        <w:tc>
          <w:tcPr>
            <w:tcW w:w="5499" w:type="dxa"/>
            <w:shd w:val="clear" w:color="auto" w:fill="auto"/>
          </w:tcPr>
          <w:p w14:paraId="12969F2B" w14:textId="77777777" w:rsidR="00203F72" w:rsidRPr="00A53581" w:rsidRDefault="00CC341A" w:rsidP="00D87D91">
            <w:r>
              <w:rPr>
                <w:rFonts w:hint="eastAsia"/>
              </w:rPr>
              <w:t xml:space="preserve">　　</w:t>
            </w:r>
            <w:r w:rsidR="00203F72" w:rsidRPr="00A53581">
              <w:rPr>
                <w:rFonts w:hint="eastAsia"/>
              </w:rPr>
              <w:t>監察院彈劾權不及於地方自治團體公務人員</w:t>
            </w:r>
            <w:r w:rsidR="00203F72" w:rsidRPr="00A53581">
              <w:t>(</w:t>
            </w:r>
            <w:r w:rsidR="00203F72" w:rsidRPr="00A53581">
              <w:t>但存</w:t>
            </w:r>
            <w:r w:rsidR="00203F72" w:rsidRPr="00A53581">
              <w:rPr>
                <w:rFonts w:hint="eastAsia"/>
              </w:rPr>
              <w:t>有爭議</w:t>
            </w:r>
            <w:r w:rsidR="00203F72" w:rsidRPr="00A53581">
              <w:t>)</w:t>
            </w:r>
            <w:r w:rsidR="00D92F56">
              <w:rPr>
                <w:rFonts w:hint="eastAsia"/>
              </w:rPr>
              <w:t>〜</w:t>
            </w:r>
            <w:r w:rsidR="00203F72" w:rsidRPr="00A53581">
              <w:rPr>
                <w:rFonts w:hint="eastAsia"/>
              </w:rPr>
              <w:t>過去地方自治發展尚未健全，為適應國家當下環境之需要，促進地方自治之進步，監察院就地方自治團體公務人員為彈劾，可認為屬權宜之計，勉可允之。然爾近來，地方自治法制已趨健全，在垂直權力分立的憲法建制下，應尊重地方自治團體的自主組織權與自主人事權，而將地方自治團體公務人員之監察權還於地方，方能徹底保障地方自治的實現。</w:t>
            </w:r>
          </w:p>
        </w:tc>
      </w:tr>
      <w:tr w:rsidR="00203F72" w:rsidRPr="00A53581" w14:paraId="7F1A8020" w14:textId="77777777" w:rsidTr="00203F72">
        <w:tc>
          <w:tcPr>
            <w:tcW w:w="1730" w:type="dxa"/>
            <w:shd w:val="clear" w:color="auto" w:fill="auto"/>
          </w:tcPr>
          <w:p w14:paraId="337C8C06" w14:textId="77777777" w:rsidR="00203F72" w:rsidRPr="00A53581" w:rsidRDefault="00203F72" w:rsidP="00D87D91">
            <w:r w:rsidRPr="00A53581">
              <w:rPr>
                <w:rFonts w:hint="eastAsia"/>
              </w:rPr>
              <w:t>國營事業人員</w:t>
            </w:r>
          </w:p>
        </w:tc>
        <w:tc>
          <w:tcPr>
            <w:tcW w:w="567" w:type="dxa"/>
            <w:shd w:val="clear" w:color="auto" w:fill="auto"/>
          </w:tcPr>
          <w:p w14:paraId="4C149BCB" w14:textId="77777777" w:rsidR="00203F72" w:rsidRPr="00A53581" w:rsidRDefault="00203F72" w:rsidP="00D87D91"/>
        </w:tc>
        <w:tc>
          <w:tcPr>
            <w:tcW w:w="5499" w:type="dxa"/>
            <w:shd w:val="clear" w:color="auto" w:fill="auto"/>
          </w:tcPr>
          <w:p w14:paraId="4DA99DE0" w14:textId="77777777" w:rsidR="00203F72" w:rsidRPr="00A53581" w:rsidRDefault="00203F72" w:rsidP="00D87D91">
            <w:r w:rsidRPr="00A53581">
              <w:rPr>
                <w:rFonts w:hint="eastAsia"/>
              </w:rPr>
              <w:t>監察院彈劾權及於國營事業人員</w:t>
            </w:r>
            <w:r w:rsidR="00D92F56">
              <w:rPr>
                <w:rFonts w:hint="eastAsia"/>
              </w:rPr>
              <w:t>〜</w:t>
            </w:r>
            <w:r w:rsidRPr="00A53581">
              <w:rPr>
                <w:rFonts w:hint="eastAsia"/>
              </w:rPr>
              <w:t>蓋此類人員亦屬廣義公務人員之列。</w:t>
            </w:r>
          </w:p>
        </w:tc>
      </w:tr>
    </w:tbl>
    <w:p w14:paraId="36B23F17" w14:textId="77777777" w:rsidR="00953151" w:rsidRDefault="002107CE" w:rsidP="00D87D91">
      <w:r>
        <w:rPr>
          <w:rFonts w:hint="eastAsia"/>
        </w:rPr>
        <w:t>【本表格資料來源】</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6-218</w:t>
      </w:r>
      <w:r w:rsidR="00203F72" w:rsidRPr="00A53581">
        <w:rPr>
          <w:rFonts w:hint="eastAsia"/>
        </w:rPr>
        <w:t>頁。</w:t>
      </w:r>
    </w:p>
    <w:p w14:paraId="6F2B2BBF" w14:textId="77777777" w:rsidR="00953151" w:rsidRDefault="00076467" w:rsidP="00767F37">
      <w:pPr>
        <w:pStyle w:val="2"/>
      </w:pPr>
      <w:hyperlink r:id="rId993" w:anchor="a99" w:history="1">
        <w:r w:rsidR="005D5A46">
          <w:rPr>
            <w:rStyle w:val="a5"/>
            <w:rFonts w:ascii="Arial Unicode MS" w:hAnsi="Arial Unicode MS"/>
          </w:rPr>
          <w:t>第</w:t>
        </w:r>
        <w:r w:rsidR="00203F72" w:rsidRPr="00AB0A74">
          <w:rPr>
            <w:rStyle w:val="a5"/>
            <w:rFonts w:ascii="Arial Unicode MS" w:hAnsi="Arial Unicode MS"/>
          </w:rPr>
          <w:t>99</w:t>
        </w:r>
        <w:r w:rsidR="005D5A46">
          <w:rPr>
            <w:rStyle w:val="a5"/>
            <w:rFonts w:ascii="Arial Unicode MS" w:hAnsi="Arial Unicode MS"/>
          </w:rPr>
          <w:t>條</w:t>
        </w:r>
      </w:hyperlink>
      <w:r w:rsidR="00203F72" w:rsidRPr="00A53581">
        <w:t>監察院對於司法院或考試院人員失職或違法之彈劾，適用本憲法</w:t>
      </w:r>
      <w:r w:rsidR="00B23D06" w:rsidRPr="00DE63F7">
        <w:t>第</w:t>
      </w:r>
      <w:hyperlink r:id="rId994" w:anchor="a95" w:history="1">
        <w:r w:rsidR="00B23D06" w:rsidRPr="00B23D06">
          <w:rPr>
            <w:rStyle w:val="a5"/>
            <w:rFonts w:ascii="Times New Roman" w:eastAsia="新細明體" w:hAnsi="Times New Roman"/>
          </w:rPr>
          <w:t>九十五</w:t>
        </w:r>
      </w:hyperlink>
      <w:r w:rsidR="00B23D06" w:rsidRPr="00DE63F7">
        <w:t>條</w:t>
      </w:r>
      <w:r w:rsidR="00203F72" w:rsidRPr="00A53581">
        <w:t>、</w:t>
      </w:r>
      <w:r w:rsidR="00655114" w:rsidRPr="00DE63F7">
        <w:t>第</w:t>
      </w:r>
      <w:hyperlink r:id="rId995" w:anchor="a97" w:history="1">
        <w:r w:rsidR="00655114" w:rsidRPr="00655114">
          <w:rPr>
            <w:rStyle w:val="a5"/>
            <w:rFonts w:ascii="Times New Roman" w:eastAsia="新細明體" w:hAnsi="Times New Roman"/>
          </w:rPr>
          <w:t>九十七</w:t>
        </w:r>
      </w:hyperlink>
      <w:r w:rsidR="00655114" w:rsidRPr="00DE63F7">
        <w:t>條</w:t>
      </w:r>
      <w:r w:rsidR="00203F72" w:rsidRPr="00A53581">
        <w:t>及</w:t>
      </w:r>
      <w:r w:rsidR="00655114" w:rsidRPr="00DE63F7">
        <w:t>第</w:t>
      </w:r>
      <w:hyperlink r:id="rId996" w:anchor="a98" w:history="1">
        <w:r w:rsidR="00655114" w:rsidRPr="00655114">
          <w:rPr>
            <w:rStyle w:val="a5"/>
            <w:rFonts w:ascii="Times New Roman" w:eastAsia="新細明體" w:hAnsi="Times New Roman"/>
          </w:rPr>
          <w:t>九十八</w:t>
        </w:r>
      </w:hyperlink>
      <w:r w:rsidR="00655114" w:rsidRPr="00DE63F7">
        <w:t>條</w:t>
      </w:r>
      <w:r w:rsidR="00203F72" w:rsidRPr="00A53581">
        <w:t>之規定。</w:t>
      </w:r>
    </w:p>
    <w:p w14:paraId="663A28C8" w14:textId="77777777" w:rsidR="00953151" w:rsidRPr="00DE63F7" w:rsidRDefault="00B03E84" w:rsidP="00D87D91">
      <w:r w:rsidRPr="00DE63F7">
        <w:t>【內容解析】</w:t>
      </w:r>
    </w:p>
    <w:p w14:paraId="603B7E29" w14:textId="77777777" w:rsidR="00953151" w:rsidRPr="00DE63F7" w:rsidRDefault="0062321B" w:rsidP="00D87D91">
      <w:r w:rsidRPr="00DE63F7">
        <w:t xml:space="preserve">　　</w:t>
      </w:r>
      <w:r w:rsidR="00203F72" w:rsidRPr="00DE63F7">
        <w:t>依憲</w:t>
      </w:r>
      <w:r w:rsidR="00B213D8" w:rsidRPr="00687A1E">
        <w:t>法</w:t>
      </w:r>
      <w:hyperlink r:id="rId997" w:anchor="a95" w:history="1">
        <w:r w:rsidR="00B213D8" w:rsidRPr="00687A1E">
          <w:rPr>
            <w:rStyle w:val="a5"/>
          </w:rPr>
          <w:t>第95條</w:t>
        </w:r>
      </w:hyperlink>
      <w:r w:rsidR="00203F72" w:rsidRPr="00DE63F7">
        <w:t>之規定，監察院為行使監察權，得向行政院及其各部會調閱其所發布之命令及各種有關文件。依憲法</w:t>
      </w:r>
      <w:hyperlink r:id="rId998" w:anchor="a97" w:history="1">
        <w:r w:rsidR="00687A1E" w:rsidRPr="00687A1E">
          <w:rPr>
            <w:rStyle w:val="a5"/>
          </w:rPr>
          <w:t>第97條</w:t>
        </w:r>
      </w:hyperlink>
      <w:r w:rsidR="00203F72" w:rsidRPr="00DE63F7">
        <w:t>之規定，監察院經各該委員會之審查及決議，得提出糾正案，移送行政院及其有關部會，促其注意改善。監察院對於中央及地方公務人員，認為有失職或違法情事，得提出糾舉案或彈劾案，如涉及刑事，應移送法院辦理。根據本條之規定，監察院對於司法院或考試院人員失職或違法之彈劾權之行使，亦可適用上述憲</w:t>
      </w:r>
      <w:r w:rsidR="00B213D8" w:rsidRPr="00687A1E">
        <w:t>法</w:t>
      </w:r>
      <w:hyperlink r:id="rId999" w:anchor="a95" w:history="1">
        <w:r w:rsidR="00B213D8" w:rsidRPr="00687A1E">
          <w:rPr>
            <w:rStyle w:val="a5"/>
          </w:rPr>
          <w:t>第95條</w:t>
        </w:r>
      </w:hyperlink>
      <w:r w:rsidR="00203F72" w:rsidRPr="00DE63F7">
        <w:t>及</w:t>
      </w:r>
      <w:hyperlink r:id="rId1000" w:anchor="a97" w:history="1">
        <w:r w:rsidR="00687A1E" w:rsidRPr="00687A1E">
          <w:rPr>
            <w:rStyle w:val="a5"/>
          </w:rPr>
          <w:t>第97條</w:t>
        </w:r>
      </w:hyperlink>
      <w:r w:rsidR="00203F72" w:rsidRPr="00DE63F7">
        <w:t>之規定。亦即，得向司法院或考試院調閱其所發布之命令及各種有關文件。監察院如認司法院或考試院人員失職或違法之情事，涉及刑事者，應移送法院辦理。</w:t>
      </w:r>
    </w:p>
    <w:p w14:paraId="6563CE3F" w14:textId="77777777" w:rsidR="00953151" w:rsidRPr="00DE63F7" w:rsidRDefault="0062321B" w:rsidP="00D87D91">
      <w:r w:rsidRPr="00DE63F7">
        <w:t xml:space="preserve">　　</w:t>
      </w:r>
      <w:r w:rsidR="00203F72" w:rsidRPr="00DE63F7">
        <w:t>另依增修條</w:t>
      </w:r>
      <w:r w:rsidR="006E37D4" w:rsidRPr="00D73718">
        <w:t>文</w:t>
      </w:r>
      <w:hyperlink r:id="rId1001"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院為行使監察權，得向行政院及其各部會調閱其所發布之命令及各種有關文件。經監察院各該委員會之審查及決議，得提出糾正案，移送行政院及其有關部會，促其注意改善。監察院對於中央及地方公務人員，認為有失職或違法情事，得提出糾舉案或彈劾案，如涉及刑事，應移送法院辦理。監察院對於中央、地方公務人員及司法院、考試院人員之彈劾案，須經監察委員二人以上之提議，九人以上之審查及決定，始得提出，不受憲法</w:t>
      </w:r>
      <w:r w:rsidR="00655114" w:rsidRPr="00DE63F7">
        <w:t>第</w:t>
      </w:r>
      <w:hyperlink r:id="rId1002" w:anchor="a98" w:history="1">
        <w:r w:rsidR="00655114" w:rsidRPr="00655114">
          <w:rPr>
            <w:rStyle w:val="a5"/>
            <w:rFonts w:ascii="Times New Roman" w:eastAsia="新細明體" w:hAnsi="Times New Roman"/>
          </w:rPr>
          <w:t>九十八</w:t>
        </w:r>
      </w:hyperlink>
      <w:r w:rsidR="00655114" w:rsidRPr="00DE63F7">
        <w:t>條</w:t>
      </w:r>
      <w:r w:rsidR="00203F72" w:rsidRPr="00DE63F7">
        <w:t>之規定之限制。</w:t>
      </w:r>
    </w:p>
    <w:p w14:paraId="40EC418B" w14:textId="77777777" w:rsidR="00953151" w:rsidRDefault="00076467" w:rsidP="00767F37">
      <w:pPr>
        <w:pStyle w:val="2"/>
      </w:pPr>
      <w:hyperlink r:id="rId1003" w:anchor="a100" w:history="1">
        <w:r w:rsidR="005D5A46">
          <w:rPr>
            <w:rStyle w:val="a5"/>
            <w:rFonts w:ascii="Arial Unicode MS" w:hAnsi="Arial Unicode MS"/>
          </w:rPr>
          <w:t>第</w:t>
        </w:r>
        <w:r w:rsidR="00203F72" w:rsidRPr="00AB0A74">
          <w:rPr>
            <w:rStyle w:val="a5"/>
            <w:rFonts w:ascii="Arial Unicode MS" w:hAnsi="Arial Unicode MS"/>
          </w:rPr>
          <w:t>100</w:t>
        </w:r>
        <w:r w:rsidR="005D5A46">
          <w:rPr>
            <w:rStyle w:val="a5"/>
            <w:rFonts w:ascii="Arial Unicode MS" w:hAnsi="Arial Unicode MS"/>
          </w:rPr>
          <w:t>條</w:t>
        </w:r>
      </w:hyperlink>
      <w:r w:rsidR="00203F72" w:rsidRPr="00A53581">
        <w:t>監察院對於總統、副總統之彈劾案，須有全體監察委員四分之一以上之提議，全體監察委員過半數之審查及決議，向國民大會提出之。</w:t>
      </w:r>
    </w:p>
    <w:p w14:paraId="429B5899" w14:textId="77777777" w:rsidR="00953151" w:rsidRPr="00DE63F7" w:rsidRDefault="00B03E84" w:rsidP="00D87D91">
      <w:r w:rsidRPr="00DE63F7">
        <w:t>【內容解析】</w:t>
      </w:r>
    </w:p>
    <w:p w14:paraId="5CA2BD06" w14:textId="77777777" w:rsidR="00953151" w:rsidRDefault="0062321B" w:rsidP="00D87D91">
      <w:r w:rsidRPr="00DE63F7">
        <w:t xml:space="preserve">　　</w:t>
      </w:r>
      <w:r w:rsidR="00203F72" w:rsidRPr="00DE63F7">
        <w:t>為因應國家統一前之需要，依憲法增修條</w:t>
      </w:r>
      <w:r w:rsidR="009A2820" w:rsidRPr="00306E89">
        <w:t>文</w:t>
      </w:r>
      <w:hyperlink r:id="rId1004"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DE63F7">
        <w:t>之規定，立法院對於總統、副總統之彈劾案，須經全體立法委員二分之一以上之提議，全體立法委員三分之二以上之決議，聲請司法院大法官審理，不適用憲法</w:t>
      </w:r>
      <w:r w:rsidR="009A2820" w:rsidRPr="00DE63F7">
        <w:t>第</w:t>
      </w:r>
      <w:hyperlink r:id="rId1005" w:anchor="a90" w:history="1">
        <w:r w:rsidR="009A2820" w:rsidRPr="009A2820">
          <w:rPr>
            <w:rStyle w:val="a5"/>
            <w:rFonts w:ascii="Times New Roman" w:eastAsia="新細明體" w:hAnsi="Times New Roman"/>
          </w:rPr>
          <w:t>九十</w:t>
        </w:r>
      </w:hyperlink>
      <w:r w:rsidR="009A2820" w:rsidRPr="00DE63F7">
        <w:t>條</w:t>
      </w:r>
      <w:r w:rsidR="00203F72" w:rsidRPr="00DE63F7">
        <w:t>、</w:t>
      </w:r>
      <w:r w:rsidR="00142D4A" w:rsidRPr="00DE63F7">
        <w:t>第</w:t>
      </w:r>
      <w:hyperlink r:id="rId1006" w:anchor="a100" w:history="1">
        <w:r w:rsidR="00142D4A" w:rsidRPr="00142D4A">
          <w:rPr>
            <w:rStyle w:val="a5"/>
            <w:rFonts w:ascii="Times New Roman" w:eastAsia="新細明體" w:hAnsi="Times New Roman"/>
          </w:rPr>
          <w:t>一百</w:t>
        </w:r>
      </w:hyperlink>
      <w:r w:rsidR="00142D4A" w:rsidRPr="00DE63F7">
        <w:t>條</w:t>
      </w:r>
      <w:r w:rsidR="00203F72" w:rsidRPr="00DE63F7">
        <w:t>及增修條</w:t>
      </w:r>
      <w:r w:rsidR="00143B2D" w:rsidRPr="00191266">
        <w:t>文</w:t>
      </w:r>
      <w:hyperlink r:id="rId1007" w:anchor="b7" w:history="1">
        <w:r w:rsidR="00143B2D" w:rsidRPr="00143B2D">
          <w:rPr>
            <w:rStyle w:val="a5"/>
            <w:rFonts w:ascii="Times New Roman" w:eastAsia="新細明體" w:hAnsi="Times New Roman"/>
          </w:rPr>
          <w:t>第七條</w:t>
        </w:r>
      </w:hyperlink>
      <w:r w:rsidR="00203F72" w:rsidRPr="00DE63F7">
        <w:t>第一項有關規定。</w:t>
      </w:r>
    </w:p>
    <w:p w14:paraId="6A3A680B" w14:textId="77777777" w:rsidR="00B213D8" w:rsidRPr="00DE63F7" w:rsidRDefault="00B213D8" w:rsidP="00D87D91"/>
    <w:p w14:paraId="5DB6582B" w14:textId="4E7F5ABD"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65</w:t>
      </w:r>
      <w:r w:rsidR="00076467">
        <w:rPr>
          <w:noProof/>
        </w:rPr>
        <w:fldChar w:fldCharType="end"/>
      </w:r>
      <w:r w:rsidR="00203F72" w:rsidRPr="00DE63F7">
        <w:t>中華民國歷次修憲中監察權之演變</w:t>
      </w:r>
    </w:p>
    <w:tbl>
      <w:tblPr>
        <w:tblW w:w="458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6384"/>
      </w:tblGrid>
      <w:tr w:rsidR="00203F72" w:rsidRPr="00A53581" w14:paraId="1F3A1EFC" w14:textId="77777777" w:rsidTr="00DE63F7">
        <w:trPr>
          <w:tblHeader/>
        </w:trPr>
        <w:tc>
          <w:tcPr>
            <w:tcW w:w="906" w:type="pct"/>
            <w:shd w:val="clear" w:color="auto" w:fill="FAF0FA"/>
          </w:tcPr>
          <w:p w14:paraId="37615239" w14:textId="77777777" w:rsidR="00203F72" w:rsidRPr="00A53581" w:rsidRDefault="00203F72" w:rsidP="00D87D91">
            <w:r w:rsidRPr="00A53581">
              <w:t>修憲次數</w:t>
            </w:r>
          </w:p>
        </w:tc>
        <w:tc>
          <w:tcPr>
            <w:tcW w:w="4094" w:type="pct"/>
            <w:shd w:val="clear" w:color="auto" w:fill="FAF0FA"/>
          </w:tcPr>
          <w:p w14:paraId="2B9C1E10" w14:textId="77777777" w:rsidR="00203F72" w:rsidRPr="00A53581" w:rsidRDefault="00203F72" w:rsidP="00D87D91">
            <w:r w:rsidRPr="00A53581">
              <w:t>改變內容</w:t>
            </w:r>
          </w:p>
        </w:tc>
      </w:tr>
      <w:tr w:rsidR="00203F72" w:rsidRPr="00A53581" w14:paraId="66685D32" w14:textId="77777777" w:rsidTr="00203F72">
        <w:tc>
          <w:tcPr>
            <w:tcW w:w="906" w:type="pct"/>
            <w:shd w:val="clear" w:color="auto" w:fill="auto"/>
          </w:tcPr>
          <w:p w14:paraId="13C374DA" w14:textId="77777777" w:rsidR="00203F72" w:rsidRPr="00A53581" w:rsidRDefault="00203F72" w:rsidP="00D87D91">
            <w:r w:rsidRPr="00A53581">
              <w:t>第一次修憲</w:t>
            </w:r>
            <w:r w:rsidRPr="00A53581">
              <w:t>1991</w:t>
            </w:r>
            <w:r w:rsidRPr="00A53581">
              <w:t>年</w:t>
            </w:r>
            <w:r w:rsidRPr="00A53581">
              <w:t>4</w:t>
            </w:r>
            <w:r w:rsidRPr="00A53581">
              <w:t>月</w:t>
            </w:r>
          </w:p>
        </w:tc>
        <w:tc>
          <w:tcPr>
            <w:tcW w:w="4094" w:type="pct"/>
            <w:shd w:val="clear" w:color="auto" w:fill="auto"/>
          </w:tcPr>
          <w:p w14:paraId="4C6697BA" w14:textId="77777777" w:rsidR="00203F72" w:rsidRPr="00A53581" w:rsidRDefault="00B213D8" w:rsidP="00D87D91">
            <w:r>
              <w:t xml:space="preserve">　　</w:t>
            </w:r>
            <w:r w:rsidR="00203F72" w:rsidRPr="00A53581">
              <w:t>1.</w:t>
            </w:r>
            <w:r w:rsidR="00203F72" w:rsidRPr="00A53581">
              <w:t>監委產生方式改由自由地區省、市議會選出，另包括全國不分區五人，僑選國外國民代表</w:t>
            </w:r>
            <w:r w:rsidR="00203F72" w:rsidRPr="00A53581">
              <w:t>2</w:t>
            </w:r>
            <w:r w:rsidR="00203F72" w:rsidRPr="00A53581">
              <w:t>人。</w:t>
            </w:r>
          </w:p>
          <w:p w14:paraId="16D78DD2" w14:textId="77777777" w:rsidR="00203F72" w:rsidRPr="00A53581" w:rsidRDefault="00B213D8" w:rsidP="00D87D91">
            <w:r>
              <w:t xml:space="preserve">　　</w:t>
            </w:r>
            <w:r w:rsidR="00203F72" w:rsidRPr="00A53581">
              <w:t>2.</w:t>
            </w:r>
            <w:r w:rsidR="00203F72" w:rsidRPr="00A53581">
              <w:t>監委名額定額為</w:t>
            </w:r>
            <w:r w:rsidR="00203F72" w:rsidRPr="00A53581">
              <w:t>52</w:t>
            </w:r>
            <w:r w:rsidR="00203F72" w:rsidRPr="00A53581">
              <w:t>人。</w:t>
            </w:r>
            <w:r w:rsidR="00203F72" w:rsidRPr="00A53581">
              <w:t>(</w:t>
            </w:r>
            <w:r w:rsidR="00203F72" w:rsidRPr="00A53581">
              <w:t>本次修憲內容並未實施</w:t>
            </w:r>
            <w:r w:rsidR="00203F72" w:rsidRPr="00A53581">
              <w:t>)</w:t>
            </w:r>
          </w:p>
        </w:tc>
      </w:tr>
      <w:tr w:rsidR="00203F72" w:rsidRPr="00A53581" w14:paraId="13EC8C91" w14:textId="77777777" w:rsidTr="00203F72">
        <w:tc>
          <w:tcPr>
            <w:tcW w:w="906" w:type="pct"/>
            <w:shd w:val="clear" w:color="auto" w:fill="auto"/>
          </w:tcPr>
          <w:p w14:paraId="4CCC31F0" w14:textId="77777777" w:rsidR="00203F72" w:rsidRPr="00A53581" w:rsidRDefault="00203F72" w:rsidP="00D87D91">
            <w:r w:rsidRPr="00A53581">
              <w:t>第二次修憲</w:t>
            </w:r>
            <w:r w:rsidRPr="00A53581">
              <w:t>1992</w:t>
            </w:r>
            <w:r w:rsidRPr="00A53581">
              <w:t>年</w:t>
            </w:r>
            <w:r w:rsidRPr="00A53581">
              <w:t>5</w:t>
            </w:r>
            <w:r w:rsidRPr="00A53581">
              <w:t>月</w:t>
            </w:r>
          </w:p>
        </w:tc>
        <w:tc>
          <w:tcPr>
            <w:tcW w:w="4094" w:type="pct"/>
            <w:shd w:val="clear" w:color="auto" w:fill="auto"/>
          </w:tcPr>
          <w:p w14:paraId="50A497CF" w14:textId="77777777" w:rsidR="00203F72" w:rsidRPr="00A53581" w:rsidRDefault="00B213D8" w:rsidP="00D87D91">
            <w:r>
              <w:t xml:space="preserve">　　</w:t>
            </w:r>
            <w:r w:rsidR="00203F72" w:rsidRPr="00A53581">
              <w:t>1.</w:t>
            </w:r>
            <w:r w:rsidR="00203F72" w:rsidRPr="00A53581">
              <w:t>監察院基本職權：同意權劃歸國民大會，彈劾、糾舉、審計等權仍歸監察院掌有</w:t>
            </w:r>
            <w:r w:rsidR="00203F72" w:rsidRPr="00A53581">
              <w:rPr>
                <w:kern w:val="0"/>
              </w:rPr>
              <w:t>。</w:t>
            </w:r>
          </w:p>
          <w:p w14:paraId="5560AEF3" w14:textId="77777777" w:rsidR="00203F72" w:rsidRPr="00A53581" w:rsidRDefault="00B213D8" w:rsidP="00D87D91">
            <w:r>
              <w:t xml:space="preserve">　　</w:t>
            </w:r>
            <w:r w:rsidR="00203F72" w:rsidRPr="00A53581">
              <w:t>2.</w:t>
            </w:r>
            <w:r w:rsidR="00203F72" w:rsidRPr="00A53581">
              <w:t>監委產生方式改為由總統提名，經國民大會同意後任命</w:t>
            </w:r>
            <w:r w:rsidR="00203F72" w:rsidRPr="00A53581">
              <w:rPr>
                <w:kern w:val="0"/>
              </w:rPr>
              <w:t>。</w:t>
            </w:r>
          </w:p>
          <w:p w14:paraId="79247671" w14:textId="77777777" w:rsidR="00203F72" w:rsidRPr="00A53581" w:rsidRDefault="00B213D8" w:rsidP="00D87D91">
            <w:r>
              <w:t xml:space="preserve">　　</w:t>
            </w:r>
            <w:r w:rsidR="00203F72" w:rsidRPr="00A53581">
              <w:t>3.</w:t>
            </w:r>
            <w:r w:rsidR="00203F72" w:rsidRPr="00A53581">
              <w:t>監委名額改為定額為</w:t>
            </w:r>
            <w:r w:rsidR="00203F72" w:rsidRPr="00A53581">
              <w:t>29</w:t>
            </w:r>
            <w:r w:rsidR="00203F72" w:rsidRPr="00A53581">
              <w:t>人</w:t>
            </w:r>
            <w:r w:rsidR="00203F72" w:rsidRPr="00A53581">
              <w:rPr>
                <w:kern w:val="0"/>
              </w:rPr>
              <w:t>。</w:t>
            </w:r>
          </w:p>
          <w:p w14:paraId="06E0C8E9" w14:textId="77777777" w:rsidR="00203F72" w:rsidRPr="00A53581" w:rsidRDefault="00B213D8" w:rsidP="00D87D91">
            <w:r>
              <w:t xml:space="preserve">　　</w:t>
            </w:r>
            <w:r w:rsidR="00203F72" w:rsidRPr="00A53581">
              <w:t>4.</w:t>
            </w:r>
            <w:r w:rsidR="00203F72" w:rsidRPr="00A53581">
              <w:t>彈劾權行使對象增列監察院本身之人員</w:t>
            </w:r>
            <w:r w:rsidR="00203F72" w:rsidRPr="00A53581">
              <w:rPr>
                <w:kern w:val="0"/>
              </w:rPr>
              <w:t>。</w:t>
            </w:r>
          </w:p>
          <w:p w14:paraId="78884FDC" w14:textId="77777777" w:rsidR="00203F72" w:rsidRPr="00A53581" w:rsidRDefault="00B213D8" w:rsidP="00D87D91">
            <w:r>
              <w:t xml:space="preserve">　　</w:t>
            </w:r>
            <w:r w:rsidR="00203F72" w:rsidRPr="00A53581">
              <w:t>5.</w:t>
            </w:r>
            <w:r w:rsidR="00203F72" w:rsidRPr="00A53581">
              <w:t>監察院對於中央、地方人員及司法院、考試院、監察院人員之彈劾程序，改為須經監委</w:t>
            </w:r>
            <w:r w:rsidR="00203F72" w:rsidRPr="00A53581">
              <w:t>2</w:t>
            </w:r>
            <w:r w:rsidR="00203F72" w:rsidRPr="00A53581">
              <w:t>人以上提議，</w:t>
            </w:r>
            <w:r w:rsidR="00203F72" w:rsidRPr="00A53581">
              <w:t>9</w:t>
            </w:r>
            <w:r w:rsidR="00203F72" w:rsidRPr="00A53581">
              <w:t>人以上之審查及決定始得提出</w:t>
            </w:r>
            <w:r w:rsidR="00203F72" w:rsidRPr="00A53581">
              <w:rPr>
                <w:kern w:val="0"/>
              </w:rPr>
              <w:t>。</w:t>
            </w:r>
          </w:p>
          <w:p w14:paraId="206C9420" w14:textId="77777777" w:rsidR="00203F72" w:rsidRPr="00A53581" w:rsidRDefault="00B213D8" w:rsidP="00D87D91">
            <w:r>
              <w:t xml:space="preserve">　　</w:t>
            </w:r>
            <w:r w:rsidR="00203F72" w:rsidRPr="00A53581">
              <w:t>6.</w:t>
            </w:r>
            <w:r w:rsidR="00203F72" w:rsidRPr="00A53581">
              <w:t>取消監委之言論免責權和不受逮捕之特權</w:t>
            </w:r>
            <w:r w:rsidR="00203F72" w:rsidRPr="00A53581">
              <w:rPr>
                <w:kern w:val="0"/>
              </w:rPr>
              <w:t>。</w:t>
            </w:r>
          </w:p>
          <w:p w14:paraId="007B4401" w14:textId="77777777" w:rsidR="00203F72" w:rsidRPr="00A53581" w:rsidRDefault="00B213D8" w:rsidP="00D87D91">
            <w:r>
              <w:t xml:space="preserve">　　</w:t>
            </w:r>
            <w:r w:rsidR="00203F72" w:rsidRPr="00A53581">
              <w:t>7.</w:t>
            </w:r>
            <w:r w:rsidR="00203F72" w:rsidRPr="00A53581">
              <w:t>明文規定「監委須超出黨派之外，依據法律獨立行使職權」。</w:t>
            </w:r>
          </w:p>
        </w:tc>
      </w:tr>
      <w:tr w:rsidR="00203F72" w:rsidRPr="00A53581" w14:paraId="4E78E18A" w14:textId="77777777" w:rsidTr="00203F72">
        <w:tc>
          <w:tcPr>
            <w:tcW w:w="906" w:type="pct"/>
            <w:shd w:val="clear" w:color="auto" w:fill="auto"/>
          </w:tcPr>
          <w:p w14:paraId="74D964F9" w14:textId="77777777" w:rsidR="00203F72" w:rsidRPr="00A53581" w:rsidRDefault="00203F72" w:rsidP="00D87D91">
            <w:r w:rsidRPr="00A53581">
              <w:t>第三次修憲</w:t>
            </w:r>
            <w:r w:rsidRPr="00A53581">
              <w:t>1994</w:t>
            </w:r>
            <w:r w:rsidRPr="00A53581">
              <w:t>年</w:t>
            </w:r>
            <w:r w:rsidRPr="00A53581">
              <w:t>7</w:t>
            </w:r>
            <w:r w:rsidRPr="00A53581">
              <w:t>月</w:t>
            </w:r>
          </w:p>
        </w:tc>
        <w:tc>
          <w:tcPr>
            <w:tcW w:w="4094" w:type="pct"/>
            <w:shd w:val="clear" w:color="auto" w:fill="auto"/>
          </w:tcPr>
          <w:p w14:paraId="5303A90B" w14:textId="77777777" w:rsidR="00203F72" w:rsidRPr="00A53581" w:rsidRDefault="00203F72" w:rsidP="00D87D91">
            <w:r w:rsidRPr="00A53581">
              <w:t>實質內容同第二次</w:t>
            </w:r>
            <w:r w:rsidR="00B213D8" w:rsidRPr="00A53581">
              <w:t>《</w:t>
            </w:r>
            <w:hyperlink r:id="rId1008" w:history="1">
              <w:r w:rsidR="00B213D8" w:rsidRPr="00B213D8">
                <w:rPr>
                  <w:rStyle w:val="a5"/>
                  <w:rFonts w:eastAsia="新細明體"/>
                </w:rPr>
                <w:t>憲法增修條文</w:t>
              </w:r>
            </w:hyperlink>
            <w:r w:rsidR="00B213D8" w:rsidRPr="00A53581">
              <w:t>》</w:t>
            </w:r>
            <w:r w:rsidRPr="00A53581">
              <w:t>，並無改變，僅在文字上略作調整，以配合新之修憲條文條次。</w:t>
            </w:r>
          </w:p>
        </w:tc>
      </w:tr>
      <w:tr w:rsidR="00203F72" w:rsidRPr="00A53581" w14:paraId="64951ADB" w14:textId="77777777" w:rsidTr="00203F72">
        <w:tc>
          <w:tcPr>
            <w:tcW w:w="906" w:type="pct"/>
            <w:shd w:val="clear" w:color="auto" w:fill="auto"/>
          </w:tcPr>
          <w:p w14:paraId="0E713D1C" w14:textId="77777777" w:rsidR="00203F72" w:rsidRPr="00A53581" w:rsidRDefault="00203F72" w:rsidP="00D87D91">
            <w:r w:rsidRPr="00A53581">
              <w:t>第四次修憲</w:t>
            </w:r>
            <w:r w:rsidRPr="00A53581">
              <w:t>1997</w:t>
            </w:r>
            <w:r w:rsidRPr="00A53581">
              <w:t>年</w:t>
            </w:r>
            <w:r w:rsidRPr="00A53581">
              <w:t>7</w:t>
            </w:r>
            <w:r w:rsidRPr="00A53581">
              <w:t>月</w:t>
            </w:r>
          </w:p>
        </w:tc>
        <w:tc>
          <w:tcPr>
            <w:tcW w:w="4094" w:type="pct"/>
            <w:shd w:val="clear" w:color="auto" w:fill="auto"/>
          </w:tcPr>
          <w:p w14:paraId="294203B6" w14:textId="77777777" w:rsidR="00203F72" w:rsidRPr="00A53581" w:rsidRDefault="00203F72" w:rsidP="00D87D91">
            <w:r w:rsidRPr="00A53581">
              <w:t>彈劾權行使對象縮減：對總統、副總統犯內亂或外患罪之彈劾權劃歸立法院行使，其他職權不變。</w:t>
            </w:r>
          </w:p>
        </w:tc>
      </w:tr>
      <w:tr w:rsidR="00203F72" w:rsidRPr="00A53581" w14:paraId="532C3A59" w14:textId="77777777" w:rsidTr="00B213D8">
        <w:tc>
          <w:tcPr>
            <w:tcW w:w="906" w:type="pct"/>
            <w:shd w:val="clear" w:color="auto" w:fill="auto"/>
          </w:tcPr>
          <w:p w14:paraId="4734372C" w14:textId="77777777" w:rsidR="00203F72" w:rsidRPr="00A53581" w:rsidRDefault="00203F72" w:rsidP="00D87D91">
            <w:r w:rsidRPr="00A53581">
              <w:t>第五次修憲</w:t>
            </w:r>
            <w:r w:rsidRPr="00A53581">
              <w:t>1999</w:t>
            </w:r>
            <w:r w:rsidRPr="00A53581">
              <w:t>年</w:t>
            </w:r>
            <w:r w:rsidRPr="00A53581">
              <w:t>9</w:t>
            </w:r>
            <w:r w:rsidRPr="00A53581">
              <w:t>月</w:t>
            </w:r>
          </w:p>
        </w:tc>
        <w:tc>
          <w:tcPr>
            <w:tcW w:w="4094" w:type="pct"/>
            <w:shd w:val="clear" w:color="auto" w:fill="auto"/>
            <w:vAlign w:val="center"/>
          </w:tcPr>
          <w:p w14:paraId="3935773D" w14:textId="77777777" w:rsidR="00203F72" w:rsidRPr="00A53581" w:rsidRDefault="00203F72" w:rsidP="00D87D91">
            <w:r w:rsidRPr="00A53581">
              <w:t>實質內容同第四次</w:t>
            </w:r>
            <w:r w:rsidR="00B213D8" w:rsidRPr="00A53581">
              <w:t>《</w:t>
            </w:r>
            <w:hyperlink r:id="rId1009" w:history="1">
              <w:r w:rsidR="00B213D8" w:rsidRPr="00B213D8">
                <w:rPr>
                  <w:rStyle w:val="a5"/>
                  <w:rFonts w:eastAsia="新細明體"/>
                </w:rPr>
                <w:t>憲法增修條文</w:t>
              </w:r>
            </w:hyperlink>
            <w:r w:rsidR="00B213D8" w:rsidRPr="00A53581">
              <w:t>》</w:t>
            </w:r>
            <w:r w:rsidRPr="00A53581">
              <w:t>，並無改變</w:t>
            </w:r>
            <w:r w:rsidRPr="00A53581">
              <w:rPr>
                <w:kern w:val="0"/>
              </w:rPr>
              <w:t>。</w:t>
            </w:r>
          </w:p>
        </w:tc>
      </w:tr>
      <w:tr w:rsidR="00203F72" w:rsidRPr="00A53581" w14:paraId="2C596E52" w14:textId="77777777" w:rsidTr="00203F72">
        <w:tc>
          <w:tcPr>
            <w:tcW w:w="906" w:type="pct"/>
            <w:shd w:val="clear" w:color="auto" w:fill="auto"/>
          </w:tcPr>
          <w:p w14:paraId="62C74458" w14:textId="77777777" w:rsidR="00203F72" w:rsidRPr="00A53581" w:rsidRDefault="00203F72" w:rsidP="00D87D91">
            <w:r w:rsidRPr="00A53581">
              <w:t>第六次修憲</w:t>
            </w:r>
            <w:r w:rsidRPr="00A53581">
              <w:t>2000</w:t>
            </w:r>
            <w:r w:rsidRPr="00A53581">
              <w:t>年</w:t>
            </w:r>
            <w:r w:rsidRPr="00A53581">
              <w:t>4</w:t>
            </w:r>
            <w:r w:rsidRPr="00A53581">
              <w:t>月</w:t>
            </w:r>
          </w:p>
        </w:tc>
        <w:tc>
          <w:tcPr>
            <w:tcW w:w="4094" w:type="pct"/>
            <w:shd w:val="clear" w:color="auto" w:fill="auto"/>
          </w:tcPr>
          <w:p w14:paraId="1195BFE9" w14:textId="77777777" w:rsidR="00203F72" w:rsidRPr="00A53581" w:rsidRDefault="00B213D8" w:rsidP="00D87D91">
            <w:r>
              <w:t xml:space="preserve">　　</w:t>
            </w:r>
            <w:r w:rsidR="00203F72" w:rsidRPr="00A53581">
              <w:t>1.</w:t>
            </w:r>
            <w:r w:rsidR="00203F72" w:rsidRPr="00A53581">
              <w:t>監察院基本職權調整：同意權劃歸立法院，其他各權不變，仍歸監察院掌有</w:t>
            </w:r>
            <w:r w:rsidR="00203F72" w:rsidRPr="00A53581">
              <w:rPr>
                <w:kern w:val="0"/>
              </w:rPr>
              <w:t>。</w:t>
            </w:r>
          </w:p>
          <w:p w14:paraId="38EFFC40" w14:textId="77777777" w:rsidR="00203F72" w:rsidRPr="00A53581" w:rsidRDefault="00B213D8" w:rsidP="00D87D91">
            <w:r>
              <w:t xml:space="preserve">　　</w:t>
            </w:r>
            <w:r w:rsidR="00203F72" w:rsidRPr="00A53581">
              <w:t>2.</w:t>
            </w:r>
            <w:r w:rsidR="00203F72" w:rsidRPr="00A53581">
              <w:t>監委產生方式改為由總統提名，經立法院同意後任命</w:t>
            </w:r>
            <w:r w:rsidR="00203F72" w:rsidRPr="00A53581">
              <w:rPr>
                <w:kern w:val="0"/>
              </w:rPr>
              <w:t>。</w:t>
            </w:r>
          </w:p>
          <w:p w14:paraId="69ACFC56" w14:textId="77777777" w:rsidR="00203F72" w:rsidRPr="00A53581" w:rsidRDefault="00B213D8" w:rsidP="00D87D91">
            <w:r>
              <w:t xml:space="preserve">　　</w:t>
            </w:r>
            <w:r w:rsidR="00203F72" w:rsidRPr="00A53581">
              <w:t>3.</w:t>
            </w:r>
            <w:r w:rsidR="00203F72" w:rsidRPr="00A53581">
              <w:t>彈劾權行使對象：對總統、副總統之彈劾權，轉移歸立法院行使，其他不變</w:t>
            </w:r>
            <w:r w:rsidR="00203F72" w:rsidRPr="00A53581">
              <w:rPr>
                <w:kern w:val="0"/>
              </w:rPr>
              <w:t>。</w:t>
            </w:r>
          </w:p>
        </w:tc>
      </w:tr>
      <w:tr w:rsidR="00203F72" w:rsidRPr="00A53581" w14:paraId="450849F9" w14:textId="77777777" w:rsidTr="00203F72">
        <w:tc>
          <w:tcPr>
            <w:tcW w:w="906" w:type="pct"/>
            <w:shd w:val="clear" w:color="auto" w:fill="auto"/>
          </w:tcPr>
          <w:p w14:paraId="7DEA1C06" w14:textId="77777777" w:rsidR="00203F72" w:rsidRPr="00A53581" w:rsidRDefault="00203F72" w:rsidP="00D87D91">
            <w:r w:rsidRPr="00A53581">
              <w:t>第七次修憲</w:t>
            </w:r>
            <w:r w:rsidRPr="00A53581">
              <w:t>2005</w:t>
            </w:r>
            <w:r w:rsidRPr="00A53581">
              <w:t>年</w:t>
            </w:r>
            <w:r w:rsidRPr="00A53581">
              <w:t>6</w:t>
            </w:r>
            <w:r w:rsidRPr="00A53581">
              <w:t>月</w:t>
            </w:r>
          </w:p>
        </w:tc>
        <w:tc>
          <w:tcPr>
            <w:tcW w:w="4094" w:type="pct"/>
            <w:shd w:val="clear" w:color="auto" w:fill="auto"/>
          </w:tcPr>
          <w:p w14:paraId="19420306" w14:textId="77777777" w:rsidR="00203F72" w:rsidRPr="00A53581" w:rsidRDefault="00B213D8" w:rsidP="00D87D91">
            <w:r>
              <w:t xml:space="preserve">　　</w:t>
            </w:r>
            <w:r w:rsidR="00203F72" w:rsidRPr="00A53581">
              <w:t>1.</w:t>
            </w:r>
            <w:r w:rsidR="00203F72" w:rsidRPr="00A53581">
              <w:t>監察院之規定未改變，同第六次</w:t>
            </w:r>
            <w:r w:rsidRPr="00A53581">
              <w:t>《</w:t>
            </w:r>
            <w:hyperlink r:id="rId1010" w:history="1">
              <w:r w:rsidRPr="00B213D8">
                <w:rPr>
                  <w:rStyle w:val="a5"/>
                  <w:rFonts w:eastAsia="新細明體"/>
                </w:rPr>
                <w:t>憲法增修條文</w:t>
              </w:r>
            </w:hyperlink>
            <w:r w:rsidRPr="00A53581">
              <w:t>》</w:t>
            </w:r>
            <w:r w:rsidR="00203F72" w:rsidRPr="00A53581">
              <w:rPr>
                <w:kern w:val="0"/>
              </w:rPr>
              <w:t>內容。</w:t>
            </w:r>
          </w:p>
          <w:p w14:paraId="147AC5F0" w14:textId="77777777" w:rsidR="00203F72" w:rsidRPr="00A53581" w:rsidRDefault="00B213D8" w:rsidP="00D87D91">
            <w:r>
              <w:t xml:space="preserve">　　</w:t>
            </w:r>
            <w:r w:rsidR="00203F72" w:rsidRPr="00A53581">
              <w:t>2.</w:t>
            </w:r>
            <w:r w:rsidR="00203F72" w:rsidRPr="00A53581">
              <w:t>將正、副總統之彈劾權之規定，由「立法院向國民大會提出，經國民大會代表總額三分之二同意時，被彈劾人即應解職」，改為由「司法院大法官，除依憲法</w:t>
            </w:r>
            <w:r w:rsidR="00026811" w:rsidRPr="006D68CC">
              <w:t>第</w:t>
            </w:r>
            <w:hyperlink r:id="rId1011" w:anchor="a78" w:history="1">
              <w:r w:rsidR="00026811" w:rsidRPr="00026811">
                <w:rPr>
                  <w:rStyle w:val="a5"/>
                  <w:rFonts w:ascii="Times New Roman" w:eastAsia="新細明體" w:hAnsi="Times New Roman"/>
                </w:rPr>
                <w:t>七十八</w:t>
              </w:r>
            </w:hyperlink>
            <w:r w:rsidR="00026811" w:rsidRPr="006D68CC">
              <w:t>條</w:t>
            </w:r>
            <w:r w:rsidR="00203F72" w:rsidRPr="00A53581">
              <w:t>之規定外，並組成憲法法庭審理總統、副總統之彈劾及政黨違憲之解散事項</w:t>
            </w:r>
            <w:r w:rsidR="00203F72" w:rsidRPr="00A53581">
              <w:rPr>
                <w:kern w:val="0"/>
              </w:rPr>
              <w:t>。</w:t>
            </w:r>
            <w:r w:rsidR="00203F72" w:rsidRPr="00A53581">
              <w:t>」</w:t>
            </w:r>
          </w:p>
        </w:tc>
      </w:tr>
    </w:tbl>
    <w:p w14:paraId="6A0AC1BA" w14:textId="77777777" w:rsidR="00203F72" w:rsidRPr="00A53581" w:rsidRDefault="002107CE" w:rsidP="00D87D91">
      <w:r>
        <w:t>【本表格資料來源】</w:t>
      </w:r>
    </w:p>
    <w:p w14:paraId="39B6E878" w14:textId="77777777" w:rsidR="00203F72" w:rsidRPr="00A53581" w:rsidRDefault="0062321B" w:rsidP="00D87D91">
      <w:r>
        <w:t xml:space="preserve">　　</w:t>
      </w:r>
      <w:r w:rsidR="00203F72" w:rsidRPr="00A53581">
        <w:t>李文郎（</w:t>
      </w:r>
      <w:r w:rsidR="00203F72" w:rsidRPr="00A53581">
        <w:t>2005</w:t>
      </w:r>
      <w:r w:rsidR="00203F72" w:rsidRPr="00A53581">
        <w:t>年），「修憲後我國監察制度與芬蘭國會監察使制度之比較分析」，國立政治大學中山人文社會科學研究所博士論文。</w:t>
      </w:r>
    </w:p>
    <w:p w14:paraId="39010CA6" w14:textId="77777777" w:rsidR="00953151" w:rsidRDefault="0062321B" w:rsidP="00D87D91">
      <w:r>
        <w:t xml:space="preserve">　　</w:t>
      </w:r>
      <w:r w:rsidR="00203F72" w:rsidRPr="00A53581">
        <w:t>洪嘉仁、王士榮、張若霖、廖瓊樅</w:t>
      </w:r>
      <w:r w:rsidR="00203F72" w:rsidRPr="00A53581">
        <w:t>(2011)</w:t>
      </w:r>
      <w:r w:rsidR="00203F72" w:rsidRPr="00A53581">
        <w:t>，憲法與立國精神，初版，台北：高立，第</w:t>
      </w:r>
      <w:r w:rsidR="00203F72" w:rsidRPr="00A53581">
        <w:t>53</w:t>
      </w:r>
      <w:r w:rsidR="00203F72" w:rsidRPr="00A53581">
        <w:t>頁。</w:t>
      </w:r>
    </w:p>
    <w:p w14:paraId="784F19F6" w14:textId="77777777" w:rsidR="00953151" w:rsidRDefault="00076467" w:rsidP="00767F37">
      <w:pPr>
        <w:pStyle w:val="2"/>
      </w:pPr>
      <w:hyperlink r:id="rId1012" w:anchor="a101" w:history="1">
        <w:r w:rsidR="005D5A46">
          <w:rPr>
            <w:rStyle w:val="a5"/>
            <w:rFonts w:ascii="Arial Unicode MS" w:hAnsi="Arial Unicode MS"/>
          </w:rPr>
          <w:t>第</w:t>
        </w:r>
        <w:r w:rsidR="00203F72" w:rsidRPr="00AB0A74">
          <w:rPr>
            <w:rStyle w:val="a5"/>
            <w:rFonts w:ascii="Arial Unicode MS" w:hAnsi="Arial Unicode MS"/>
          </w:rPr>
          <w:t>101</w:t>
        </w:r>
        <w:r w:rsidR="005D5A46">
          <w:rPr>
            <w:rStyle w:val="a5"/>
            <w:rFonts w:ascii="Arial Unicode MS" w:hAnsi="Arial Unicode MS"/>
          </w:rPr>
          <w:t>條</w:t>
        </w:r>
      </w:hyperlink>
      <w:r w:rsidR="00203F72" w:rsidRPr="00A53581">
        <w:t>監察委員在院內所為之言論及表決，對院外不負責任。</w:t>
      </w:r>
    </w:p>
    <w:p w14:paraId="0DA3F485" w14:textId="77777777" w:rsidR="00953151" w:rsidRPr="00DE63F7" w:rsidRDefault="00B03E84" w:rsidP="00D87D91">
      <w:r w:rsidRPr="00DE63F7">
        <w:t>【內容解析】</w:t>
      </w:r>
    </w:p>
    <w:p w14:paraId="65E8596C" w14:textId="77777777" w:rsidR="00953151" w:rsidRPr="00DE63F7" w:rsidRDefault="0062321B" w:rsidP="00D87D91">
      <w:r w:rsidRPr="00DE63F7">
        <w:t xml:space="preserve">　　</w:t>
      </w:r>
      <w:r w:rsidR="00203F72" w:rsidRPr="00DE63F7">
        <w:t>為因應國家統一前之需要，依憲法增修條</w:t>
      </w:r>
      <w:r w:rsidR="006E37D4" w:rsidRPr="00D73718">
        <w:t>文</w:t>
      </w:r>
      <w:hyperlink r:id="rId1013"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第</w:t>
      </w:r>
      <w:r w:rsidR="00203F72" w:rsidRPr="00DE63F7">
        <w:t>5</w:t>
      </w:r>
      <w:r w:rsidR="00203F72" w:rsidRPr="00DE63F7">
        <w:t>項之規定，監察委員須超出黨派以外，依據法律獨立行使職權，憲法第</w:t>
      </w:r>
      <w:hyperlink r:id="rId1014" w:anchor="a101" w:history="1">
        <w:r w:rsidR="00203F72" w:rsidRPr="00B213D8">
          <w:rPr>
            <w:rStyle w:val="a5"/>
            <w:rFonts w:ascii="Times New Roman" w:eastAsia="新細明體" w:hAnsi="Times New Roman"/>
          </w:rPr>
          <w:t>一百零一</w:t>
        </w:r>
      </w:hyperlink>
      <w:r w:rsidR="00203F72" w:rsidRPr="00DE63F7">
        <w:t>條及</w:t>
      </w:r>
      <w:r w:rsidR="00B213D8" w:rsidRPr="00DE63F7">
        <w:t>第</w:t>
      </w:r>
      <w:hyperlink r:id="rId1015" w:anchor="a102" w:history="1">
        <w:r w:rsidR="00B213D8" w:rsidRPr="00B213D8">
          <w:rPr>
            <w:rStyle w:val="a5"/>
            <w:rFonts w:ascii="Times New Roman" w:eastAsia="新細明體" w:hAnsi="Times New Roman"/>
          </w:rPr>
          <w:t>一百零二</w:t>
        </w:r>
      </w:hyperlink>
      <w:r w:rsidR="00B213D8" w:rsidRPr="00DE63F7">
        <w:t>條</w:t>
      </w:r>
      <w:r w:rsidR="00203F72" w:rsidRPr="00DE63F7">
        <w:t>之規定，停止適用。就現階段而論，監察委員在院內所為之言論及表決，對院外亦應負責任。</w:t>
      </w:r>
    </w:p>
    <w:p w14:paraId="1DBB6C89" w14:textId="77777777" w:rsidR="00953151" w:rsidRDefault="00076467" w:rsidP="00767F37">
      <w:pPr>
        <w:pStyle w:val="2"/>
      </w:pPr>
      <w:hyperlink r:id="rId1016" w:anchor="a102" w:history="1">
        <w:r w:rsidR="005D5A46">
          <w:rPr>
            <w:rStyle w:val="a5"/>
            <w:rFonts w:ascii="Arial Unicode MS" w:hAnsi="Arial Unicode MS"/>
          </w:rPr>
          <w:t>第</w:t>
        </w:r>
        <w:r w:rsidR="00203F72" w:rsidRPr="00AB0A74">
          <w:rPr>
            <w:rStyle w:val="a5"/>
            <w:rFonts w:ascii="Arial Unicode MS" w:hAnsi="Arial Unicode MS"/>
          </w:rPr>
          <w:t>102</w:t>
        </w:r>
        <w:r w:rsidR="005D5A46">
          <w:rPr>
            <w:rStyle w:val="a5"/>
            <w:rFonts w:ascii="Arial Unicode MS" w:hAnsi="Arial Unicode MS"/>
          </w:rPr>
          <w:t>條</w:t>
        </w:r>
      </w:hyperlink>
      <w:r w:rsidR="00203F72" w:rsidRPr="00A53581">
        <w:t>監察委員，除現行犯外，非經監察院許可，不得逮捕或拘禁。</w:t>
      </w:r>
    </w:p>
    <w:p w14:paraId="3A3F979D" w14:textId="77777777" w:rsidR="00953151" w:rsidRPr="00DE63F7" w:rsidRDefault="00B03E84" w:rsidP="00D87D91">
      <w:r w:rsidRPr="00DE63F7">
        <w:t>【內容解析】</w:t>
      </w:r>
    </w:p>
    <w:p w14:paraId="34A845B1" w14:textId="77777777" w:rsidR="00953151" w:rsidRPr="00DE63F7" w:rsidRDefault="0062321B" w:rsidP="00D87D91">
      <w:r w:rsidRPr="00DE63F7">
        <w:t xml:space="preserve">　　</w:t>
      </w:r>
      <w:r w:rsidR="00203F72" w:rsidRPr="00DE63F7">
        <w:t>為因應國家統一前之需要，依憲法增修條</w:t>
      </w:r>
      <w:r w:rsidR="006E37D4" w:rsidRPr="00D73718">
        <w:t>文</w:t>
      </w:r>
      <w:hyperlink r:id="rId1017"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之規定，監察委員須超出黨派以外，依據法律獨立行使職權。憲法</w:t>
      </w:r>
      <w:r w:rsidR="00B213D8" w:rsidRPr="00DE63F7">
        <w:t>第</w:t>
      </w:r>
      <w:hyperlink r:id="rId1018" w:anchor="a101" w:history="1">
        <w:r w:rsidR="00B213D8" w:rsidRPr="00B213D8">
          <w:rPr>
            <w:rStyle w:val="a5"/>
            <w:rFonts w:ascii="Times New Roman" w:eastAsia="新細明體" w:hAnsi="Times New Roman"/>
          </w:rPr>
          <w:t>一百零一</w:t>
        </w:r>
      </w:hyperlink>
      <w:r w:rsidR="00B213D8" w:rsidRPr="00DE63F7">
        <w:t>條</w:t>
      </w:r>
      <w:r w:rsidR="00203F72" w:rsidRPr="00DE63F7">
        <w:t>及</w:t>
      </w:r>
      <w:r w:rsidR="00B213D8" w:rsidRPr="00DE63F7">
        <w:t>第</w:t>
      </w:r>
      <w:hyperlink r:id="rId1019" w:anchor="a102" w:history="1">
        <w:r w:rsidR="00B213D8" w:rsidRPr="00B213D8">
          <w:rPr>
            <w:rStyle w:val="a5"/>
            <w:rFonts w:ascii="Times New Roman" w:eastAsia="新細明體" w:hAnsi="Times New Roman"/>
          </w:rPr>
          <w:t>一百零二</w:t>
        </w:r>
      </w:hyperlink>
      <w:r w:rsidR="00B213D8" w:rsidRPr="00DE63F7">
        <w:t>條</w:t>
      </w:r>
      <w:r w:rsidR="00203F72" w:rsidRPr="00DE63F7">
        <w:t>之規定，停止適用。就台灣現況而論，監察委員如非屬於現行犯，無須經由監察院許可，即可以被執法人員依照法定程序加以逮捕或拘禁。主要之法理，因監察委員之身分，不同等於立法委員之身分，故無法享有等同於立法委員身分之保障。</w:t>
      </w:r>
    </w:p>
    <w:p w14:paraId="3686611B" w14:textId="77777777" w:rsidR="00953151" w:rsidRDefault="00076467" w:rsidP="00767F37">
      <w:pPr>
        <w:pStyle w:val="2"/>
      </w:pPr>
      <w:hyperlink r:id="rId1020" w:anchor="a103" w:history="1">
        <w:r w:rsidR="005D5A46">
          <w:rPr>
            <w:rStyle w:val="a5"/>
            <w:rFonts w:ascii="Arial Unicode MS" w:hAnsi="Arial Unicode MS"/>
          </w:rPr>
          <w:t>第</w:t>
        </w:r>
        <w:r w:rsidR="00203F72" w:rsidRPr="00AB0A74">
          <w:rPr>
            <w:rStyle w:val="a5"/>
            <w:rFonts w:ascii="Arial Unicode MS" w:hAnsi="Arial Unicode MS"/>
          </w:rPr>
          <w:t>103</w:t>
        </w:r>
        <w:r w:rsidR="005D5A46">
          <w:rPr>
            <w:rStyle w:val="a5"/>
            <w:rFonts w:ascii="Arial Unicode MS" w:hAnsi="Arial Unicode MS"/>
          </w:rPr>
          <w:t>條</w:t>
        </w:r>
      </w:hyperlink>
      <w:r w:rsidR="00203F72" w:rsidRPr="00A53581">
        <w:t>監察委員不得兼任其他公職或執行業務。</w:t>
      </w:r>
    </w:p>
    <w:p w14:paraId="5C481F6D" w14:textId="77777777" w:rsidR="00953151" w:rsidRPr="00DE63F7" w:rsidRDefault="00B03E84" w:rsidP="00D87D91">
      <w:r w:rsidRPr="00DE63F7">
        <w:t>【內容解析】</w:t>
      </w:r>
    </w:p>
    <w:p w14:paraId="55EA7189" w14:textId="77777777" w:rsidR="00953151" w:rsidRPr="00DE63F7" w:rsidRDefault="0062321B" w:rsidP="00D87D91">
      <w:r w:rsidRPr="00DE63F7">
        <w:t xml:space="preserve">　　</w:t>
      </w:r>
      <w:r w:rsidR="00203F72" w:rsidRPr="00DE63F7">
        <w:t>有關於公職或執行業務之定義與範圍，司法院釋字</w:t>
      </w:r>
      <w:hyperlink r:id="rId1021" w:anchor="r19" w:history="1">
        <w:r w:rsidR="00203F72" w:rsidRPr="00CC341A">
          <w:rPr>
            <w:rStyle w:val="a5"/>
            <w:rFonts w:ascii="Times New Roman" w:eastAsia="新細明體" w:hAnsi="Times New Roman"/>
          </w:rPr>
          <w:t>第</w:t>
        </w:r>
        <w:r w:rsidR="00203F72" w:rsidRPr="00CC341A">
          <w:rPr>
            <w:rStyle w:val="a5"/>
            <w:rFonts w:ascii="Times New Roman" w:eastAsia="新細明體" w:hAnsi="Times New Roman"/>
          </w:rPr>
          <w:t>19</w:t>
        </w:r>
        <w:r w:rsidR="00203F72" w:rsidRPr="00CC341A">
          <w:rPr>
            <w:rStyle w:val="a5"/>
            <w:rFonts w:ascii="Times New Roman" w:eastAsia="新細明體" w:hAnsi="Times New Roman"/>
          </w:rPr>
          <w:t>號</w:t>
        </w:r>
      </w:hyperlink>
      <w:r w:rsidR="00203F72" w:rsidRPr="00DE63F7">
        <w:t>解釋認為：「憲法</w:t>
      </w:r>
      <w:r w:rsidR="00CC341A" w:rsidRPr="00DE63F7">
        <w:t>第</w:t>
      </w:r>
      <w:hyperlink r:id="rId1022" w:anchor="a103" w:history="1">
        <w:r w:rsidR="00CC341A" w:rsidRPr="00CC341A">
          <w:rPr>
            <w:rStyle w:val="a5"/>
            <w:rFonts w:ascii="Times New Roman" w:eastAsia="新細明體" w:hAnsi="Times New Roman"/>
          </w:rPr>
          <w:t>一百零三</w:t>
        </w:r>
      </w:hyperlink>
      <w:r w:rsidR="00203F72" w:rsidRPr="00DE63F7">
        <w:t>條所稱不得兼任其他公職，與憲法</w:t>
      </w:r>
      <w:r w:rsidR="00B167C2" w:rsidRPr="00A53581">
        <w:rPr>
          <w:rFonts w:ascii="新細明體" w:hAnsi="新細明體"/>
        </w:rPr>
        <w:t>第</w:t>
      </w:r>
      <w:hyperlink r:id="rId1023" w:anchor="a75" w:history="1">
        <w:r w:rsidR="00B167C2" w:rsidRPr="00A5735A">
          <w:rPr>
            <w:rStyle w:val="a5"/>
          </w:rPr>
          <w:t>七十五</w:t>
        </w:r>
      </w:hyperlink>
      <w:r w:rsidR="00B167C2" w:rsidRPr="00A53581">
        <w:rPr>
          <w:rFonts w:ascii="新細明體" w:hAnsi="新細明體"/>
        </w:rPr>
        <w:t>條</w:t>
      </w:r>
      <w:r w:rsidR="00203F72" w:rsidRPr="00DE63F7">
        <w:t>之專限制兼任官吏者有別，其含義不僅以官吏為限。」另外，司法院釋字</w:t>
      </w:r>
      <w:hyperlink r:id="rId1024" w:anchor="r20" w:history="1">
        <w:r w:rsidR="00203F72" w:rsidRPr="00B167C2">
          <w:rPr>
            <w:rStyle w:val="a5"/>
            <w:rFonts w:ascii="Times New Roman" w:hAnsi="Times New Roman"/>
          </w:rPr>
          <w:t>第</w:t>
        </w:r>
        <w:r w:rsidR="00203F72" w:rsidRPr="00B167C2">
          <w:rPr>
            <w:rStyle w:val="a5"/>
            <w:rFonts w:ascii="Times New Roman" w:hAnsi="Times New Roman"/>
          </w:rPr>
          <w:t>20</w:t>
        </w:r>
        <w:r w:rsidR="00203F72" w:rsidRPr="00B167C2">
          <w:rPr>
            <w:rStyle w:val="a5"/>
            <w:rFonts w:ascii="Times New Roman" w:hAnsi="Times New Roman"/>
          </w:rPr>
          <w:t>號</w:t>
        </w:r>
      </w:hyperlink>
      <w:r w:rsidR="00203F72" w:rsidRPr="00DE63F7">
        <w:t>解釋認為：「省黨部、省婦女工作委員會均係人民團體，其主任委員及理事，自非憲法第</w:t>
      </w:r>
      <w:hyperlink r:id="rId1025" w:anchor="a103" w:history="1">
        <w:r w:rsidR="00203F72" w:rsidRPr="00CC341A">
          <w:rPr>
            <w:rStyle w:val="a5"/>
            <w:rFonts w:ascii="Times New Roman" w:eastAsia="新細明體" w:hAnsi="Times New Roman"/>
          </w:rPr>
          <w:t>一百零三</w:t>
        </w:r>
      </w:hyperlink>
      <w:r w:rsidR="00203F72" w:rsidRPr="00DE63F7">
        <w:t>條所謂公職。至醫務人員，既須領證書始得執業，且經常受主管官廳之監督，其業務與監察職權顯不相容，應認係同條所稱之業務，公立醫院為國家或地方醫務機關，其院長及醫生並係公職，均在同條限制之列。」</w:t>
      </w:r>
    </w:p>
    <w:p w14:paraId="1E1285EA" w14:textId="77777777" w:rsidR="00B167C2" w:rsidRDefault="00B167C2" w:rsidP="00D87D91"/>
    <w:p w14:paraId="47A82020" w14:textId="7BB1B7B6"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66</w:t>
      </w:r>
      <w:r w:rsidR="00076467">
        <w:rPr>
          <w:noProof/>
        </w:rPr>
        <w:fldChar w:fldCharType="end"/>
      </w:r>
      <w:r w:rsidR="00203F72" w:rsidRPr="00DE63F7">
        <w:t>司法院大法官會議解釋憲</w:t>
      </w:r>
      <w:r w:rsidR="00203F72" w:rsidRPr="00CC341A">
        <w:t>法</w:t>
      </w:r>
      <w:hyperlink r:id="rId1026" w:anchor="a103" w:history="1">
        <w:r w:rsidR="00CC341A" w:rsidRPr="00CC341A">
          <w:rPr>
            <w:rStyle w:val="a5"/>
          </w:rPr>
          <w:t>第103條</w:t>
        </w:r>
      </w:hyperlink>
      <w:r w:rsidR="00203F72" w:rsidRPr="00CC341A">
        <w:t>之公職或</w:t>
      </w:r>
      <w:r w:rsidR="00203F72" w:rsidRPr="00DE63F7">
        <w:t>業務之相關解釋文號與內容一覽表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2261"/>
        <w:gridCol w:w="4829"/>
      </w:tblGrid>
      <w:tr w:rsidR="00203F72" w:rsidRPr="00A53581" w14:paraId="7BEA3354" w14:textId="77777777" w:rsidTr="00203F72">
        <w:tc>
          <w:tcPr>
            <w:tcW w:w="534" w:type="pct"/>
            <w:vMerge w:val="restart"/>
            <w:shd w:val="clear" w:color="auto" w:fill="auto"/>
          </w:tcPr>
          <w:p w14:paraId="17E5355B" w14:textId="77777777" w:rsidR="00203F72" w:rsidRPr="007F3288" w:rsidRDefault="00203F72" w:rsidP="007F3288">
            <w:r w:rsidRPr="007F3288">
              <w:t>不得兼任公職</w:t>
            </w:r>
          </w:p>
        </w:tc>
        <w:tc>
          <w:tcPr>
            <w:tcW w:w="1424" w:type="pct"/>
            <w:shd w:val="clear" w:color="auto" w:fill="auto"/>
          </w:tcPr>
          <w:p w14:paraId="4F3CB3B5" w14:textId="77777777" w:rsidR="00203F72" w:rsidRPr="007F3288" w:rsidRDefault="00203F72" w:rsidP="007F3288">
            <w:r w:rsidRPr="007F3288">
              <w:t>(1)</w:t>
            </w:r>
            <w:r w:rsidRPr="007F3288">
              <w:t>釋字</w:t>
            </w:r>
            <w:hyperlink r:id="rId1027" w:anchor="r17" w:history="1">
              <w:r w:rsidRPr="007F3288">
                <w:rPr>
                  <w:rStyle w:val="a5"/>
                </w:rPr>
                <w:t>第17號</w:t>
              </w:r>
            </w:hyperlink>
          </w:p>
        </w:tc>
        <w:tc>
          <w:tcPr>
            <w:tcW w:w="3043" w:type="pct"/>
            <w:shd w:val="clear" w:color="auto" w:fill="auto"/>
          </w:tcPr>
          <w:p w14:paraId="66C703D0" w14:textId="77777777" w:rsidR="00203F72" w:rsidRPr="007F3288" w:rsidRDefault="00203F72" w:rsidP="007F3288">
            <w:r w:rsidRPr="007F3288">
              <w:t>不得兼任國立編譯館編纂</w:t>
            </w:r>
          </w:p>
        </w:tc>
      </w:tr>
      <w:tr w:rsidR="00203F72" w:rsidRPr="00A53581" w14:paraId="50845ED9" w14:textId="77777777" w:rsidTr="00203F72">
        <w:tc>
          <w:tcPr>
            <w:tcW w:w="534" w:type="pct"/>
            <w:vMerge/>
            <w:shd w:val="clear" w:color="auto" w:fill="auto"/>
          </w:tcPr>
          <w:p w14:paraId="62C00584" w14:textId="77777777" w:rsidR="00203F72" w:rsidRPr="007F3288" w:rsidRDefault="00203F72" w:rsidP="007F3288"/>
        </w:tc>
        <w:tc>
          <w:tcPr>
            <w:tcW w:w="1424" w:type="pct"/>
            <w:shd w:val="clear" w:color="auto" w:fill="auto"/>
          </w:tcPr>
          <w:p w14:paraId="7BA07749" w14:textId="77777777" w:rsidR="00203F72" w:rsidRPr="007F3288" w:rsidRDefault="00203F72" w:rsidP="007F3288">
            <w:r w:rsidRPr="007F3288">
              <w:t>(2)</w:t>
            </w:r>
            <w:r w:rsidRPr="007F3288">
              <w:t>釋</w:t>
            </w:r>
            <w:r w:rsidR="00CC341A" w:rsidRPr="007F3288">
              <w:t>字</w:t>
            </w:r>
            <w:hyperlink r:id="rId1028" w:anchor="r19" w:history="1">
              <w:r w:rsidR="00CC341A" w:rsidRPr="007F3288">
                <w:rPr>
                  <w:rStyle w:val="a5"/>
                </w:rPr>
                <w:t>第19號</w:t>
              </w:r>
            </w:hyperlink>
          </w:p>
        </w:tc>
        <w:tc>
          <w:tcPr>
            <w:tcW w:w="3043" w:type="pct"/>
            <w:shd w:val="clear" w:color="auto" w:fill="auto"/>
          </w:tcPr>
          <w:p w14:paraId="560D1FA8" w14:textId="77777777" w:rsidR="00203F72" w:rsidRPr="007F3288" w:rsidRDefault="00203F72" w:rsidP="007F3288">
            <w:r w:rsidRPr="007F3288">
              <w:t>不得兼任其他公職，其涵義不僅以官史為限</w:t>
            </w:r>
          </w:p>
        </w:tc>
      </w:tr>
      <w:tr w:rsidR="00203F72" w:rsidRPr="00A53581" w14:paraId="6958F189" w14:textId="77777777" w:rsidTr="00203F72">
        <w:tc>
          <w:tcPr>
            <w:tcW w:w="534" w:type="pct"/>
            <w:vMerge/>
            <w:shd w:val="clear" w:color="auto" w:fill="auto"/>
          </w:tcPr>
          <w:p w14:paraId="01379D7A" w14:textId="77777777" w:rsidR="00203F72" w:rsidRPr="007F3288" w:rsidRDefault="00203F72" w:rsidP="007F3288"/>
        </w:tc>
        <w:tc>
          <w:tcPr>
            <w:tcW w:w="1424" w:type="pct"/>
            <w:shd w:val="clear" w:color="auto" w:fill="auto"/>
          </w:tcPr>
          <w:p w14:paraId="4DA10159" w14:textId="77777777" w:rsidR="00203F72" w:rsidRPr="007F3288" w:rsidRDefault="00203F72" w:rsidP="007F3288">
            <w:r w:rsidRPr="007F3288">
              <w:t>(3)</w:t>
            </w:r>
            <w:r w:rsidRPr="007F3288">
              <w:t>釋</w:t>
            </w:r>
            <w:r w:rsidR="00B167C2" w:rsidRPr="007F3288">
              <w:t>字</w:t>
            </w:r>
            <w:hyperlink r:id="rId1029" w:anchor="r20" w:history="1">
              <w:r w:rsidR="00B167C2" w:rsidRPr="007F3288">
                <w:rPr>
                  <w:rStyle w:val="a5"/>
                </w:rPr>
                <w:t>第20號</w:t>
              </w:r>
            </w:hyperlink>
          </w:p>
        </w:tc>
        <w:tc>
          <w:tcPr>
            <w:tcW w:w="3043" w:type="pct"/>
            <w:shd w:val="clear" w:color="auto" w:fill="auto"/>
          </w:tcPr>
          <w:p w14:paraId="34BD9DBB" w14:textId="77777777" w:rsidR="00203F72" w:rsidRPr="007F3288" w:rsidRDefault="00203F72" w:rsidP="007F3288">
            <w:r w:rsidRPr="007F3288">
              <w:t>不得兼任公立醫院院長及醫生</w:t>
            </w:r>
          </w:p>
        </w:tc>
      </w:tr>
      <w:tr w:rsidR="00203F72" w:rsidRPr="00A53581" w14:paraId="7AD47084" w14:textId="77777777" w:rsidTr="00203F72">
        <w:tc>
          <w:tcPr>
            <w:tcW w:w="534" w:type="pct"/>
            <w:vMerge/>
            <w:shd w:val="clear" w:color="auto" w:fill="auto"/>
          </w:tcPr>
          <w:p w14:paraId="14371679" w14:textId="77777777" w:rsidR="00203F72" w:rsidRPr="007F3288" w:rsidRDefault="00203F72" w:rsidP="007F3288"/>
        </w:tc>
        <w:tc>
          <w:tcPr>
            <w:tcW w:w="1424" w:type="pct"/>
            <w:shd w:val="clear" w:color="auto" w:fill="auto"/>
          </w:tcPr>
          <w:p w14:paraId="2065E38B" w14:textId="77777777" w:rsidR="00203F72" w:rsidRPr="007F3288" w:rsidRDefault="00203F72" w:rsidP="007F3288">
            <w:r w:rsidRPr="007F3288">
              <w:t>(4)</w:t>
            </w:r>
            <w:r w:rsidRPr="007F3288">
              <w:t>釋</w:t>
            </w:r>
            <w:r w:rsidR="00B167C2" w:rsidRPr="007F3288">
              <w:t>字</w:t>
            </w:r>
            <w:hyperlink r:id="rId1030" w:anchor="r24" w:history="1">
              <w:r w:rsidR="00B167C2" w:rsidRPr="007F3288">
                <w:rPr>
                  <w:rStyle w:val="a5"/>
                </w:rPr>
                <w:t>第24號</w:t>
              </w:r>
            </w:hyperlink>
          </w:p>
        </w:tc>
        <w:tc>
          <w:tcPr>
            <w:tcW w:w="3043" w:type="pct"/>
            <w:shd w:val="clear" w:color="auto" w:fill="auto"/>
          </w:tcPr>
          <w:p w14:paraId="7FD71F30" w14:textId="77777777" w:rsidR="00203F72" w:rsidRPr="007F3288" w:rsidRDefault="00203F72" w:rsidP="007F3288">
            <w:r w:rsidRPr="007F3288">
              <w:t>不得兼任公營事業機關之董事、監察人及總經理與受有俸給之文武職公務員</w:t>
            </w:r>
          </w:p>
        </w:tc>
      </w:tr>
      <w:tr w:rsidR="00203F72" w:rsidRPr="00A53581" w14:paraId="2AEDA930" w14:textId="77777777" w:rsidTr="00203F72">
        <w:tc>
          <w:tcPr>
            <w:tcW w:w="534" w:type="pct"/>
            <w:vMerge/>
            <w:shd w:val="clear" w:color="auto" w:fill="auto"/>
          </w:tcPr>
          <w:p w14:paraId="42ED705D" w14:textId="77777777" w:rsidR="00203F72" w:rsidRPr="007F3288" w:rsidRDefault="00203F72" w:rsidP="007F3288"/>
        </w:tc>
        <w:tc>
          <w:tcPr>
            <w:tcW w:w="1424" w:type="pct"/>
            <w:shd w:val="clear" w:color="auto" w:fill="auto"/>
          </w:tcPr>
          <w:p w14:paraId="29FC75BB" w14:textId="77777777" w:rsidR="00203F72" w:rsidRPr="007F3288" w:rsidRDefault="00203F72" w:rsidP="007F3288">
            <w:r w:rsidRPr="007F3288">
              <w:t>(5)</w:t>
            </w:r>
            <w:r w:rsidRPr="007F3288">
              <w:t>釋字</w:t>
            </w:r>
            <w:hyperlink r:id="rId1031" w:anchor="r25" w:history="1">
              <w:r w:rsidRPr="007F3288">
                <w:rPr>
                  <w:rStyle w:val="a5"/>
                </w:rPr>
                <w:t>第25號</w:t>
              </w:r>
            </w:hyperlink>
          </w:p>
        </w:tc>
        <w:tc>
          <w:tcPr>
            <w:tcW w:w="3043" w:type="pct"/>
            <w:shd w:val="clear" w:color="auto" w:fill="auto"/>
          </w:tcPr>
          <w:p w14:paraId="553D4785" w14:textId="77777777" w:rsidR="00203F72" w:rsidRPr="007F3288" w:rsidRDefault="00203F72" w:rsidP="007F3288">
            <w:r w:rsidRPr="007F3288">
              <w:t>不得兼任省銀行董事及監察人</w:t>
            </w:r>
          </w:p>
        </w:tc>
      </w:tr>
      <w:tr w:rsidR="00203F72" w:rsidRPr="00A53581" w14:paraId="1838C0B6" w14:textId="77777777" w:rsidTr="00203F72">
        <w:tc>
          <w:tcPr>
            <w:tcW w:w="534" w:type="pct"/>
            <w:vMerge/>
            <w:shd w:val="clear" w:color="auto" w:fill="auto"/>
          </w:tcPr>
          <w:p w14:paraId="7A80512E" w14:textId="77777777" w:rsidR="00203F72" w:rsidRPr="007F3288" w:rsidRDefault="00203F72" w:rsidP="007F3288"/>
        </w:tc>
        <w:tc>
          <w:tcPr>
            <w:tcW w:w="1424" w:type="pct"/>
            <w:shd w:val="clear" w:color="auto" w:fill="auto"/>
          </w:tcPr>
          <w:p w14:paraId="27B73B23" w14:textId="77777777" w:rsidR="00203F72" w:rsidRPr="007F3288" w:rsidRDefault="00203F72" w:rsidP="007F3288">
            <w:r w:rsidRPr="007F3288">
              <w:t>(6)</w:t>
            </w:r>
            <w:r w:rsidRPr="007F3288">
              <w:t>釋字</w:t>
            </w:r>
            <w:hyperlink r:id="rId1032" w:anchor="r42" w:history="1">
              <w:r w:rsidRPr="007F3288">
                <w:rPr>
                  <w:rStyle w:val="a5"/>
                </w:rPr>
                <w:t>第42號</w:t>
              </w:r>
            </w:hyperlink>
          </w:p>
        </w:tc>
        <w:tc>
          <w:tcPr>
            <w:tcW w:w="3043" w:type="pct"/>
            <w:shd w:val="clear" w:color="auto" w:fill="auto"/>
          </w:tcPr>
          <w:p w14:paraId="3B647712" w14:textId="77777777" w:rsidR="00203F72" w:rsidRPr="007F3288" w:rsidRDefault="00203F72" w:rsidP="007F3288">
            <w:r w:rsidRPr="007F3288">
              <w:t>不得兼任公職，公職涵義甚廣，凡各級民意代表、中央與地方機關之公務員及其他法令從事於公務者皆屬之</w:t>
            </w:r>
          </w:p>
        </w:tc>
      </w:tr>
      <w:tr w:rsidR="00203F72" w:rsidRPr="00A53581" w14:paraId="259C3C0D" w14:textId="77777777" w:rsidTr="00203F72">
        <w:tc>
          <w:tcPr>
            <w:tcW w:w="534" w:type="pct"/>
            <w:vMerge w:val="restart"/>
            <w:shd w:val="clear" w:color="auto" w:fill="auto"/>
          </w:tcPr>
          <w:p w14:paraId="5445D16B" w14:textId="77777777" w:rsidR="00203F72" w:rsidRPr="007F3288" w:rsidRDefault="00203F72" w:rsidP="007F3288">
            <w:r w:rsidRPr="007F3288">
              <w:t>不得執行業務</w:t>
            </w:r>
          </w:p>
        </w:tc>
        <w:tc>
          <w:tcPr>
            <w:tcW w:w="1424" w:type="pct"/>
            <w:shd w:val="clear" w:color="auto" w:fill="auto"/>
          </w:tcPr>
          <w:p w14:paraId="157FE4C5" w14:textId="77777777" w:rsidR="00203F72" w:rsidRPr="007F3288" w:rsidRDefault="00203F72" w:rsidP="007F3288">
            <w:r w:rsidRPr="007F3288">
              <w:t>(1)</w:t>
            </w:r>
            <w:r w:rsidRPr="007F3288">
              <w:t>釋</w:t>
            </w:r>
            <w:r w:rsidR="00B167C2" w:rsidRPr="007F3288">
              <w:t>字</w:t>
            </w:r>
            <w:hyperlink r:id="rId1033" w:anchor="r20" w:history="1">
              <w:r w:rsidR="00B167C2" w:rsidRPr="007F3288">
                <w:rPr>
                  <w:rStyle w:val="a5"/>
                </w:rPr>
                <w:t>第20號</w:t>
              </w:r>
            </w:hyperlink>
          </w:p>
        </w:tc>
        <w:tc>
          <w:tcPr>
            <w:tcW w:w="3043" w:type="pct"/>
            <w:shd w:val="clear" w:color="auto" w:fill="auto"/>
          </w:tcPr>
          <w:p w14:paraId="66780672" w14:textId="77777777" w:rsidR="00203F72" w:rsidRPr="007F3288" w:rsidRDefault="00203F72" w:rsidP="007F3288">
            <w:r w:rsidRPr="007F3288">
              <w:t>不得兼任醫務人員</w:t>
            </w:r>
          </w:p>
        </w:tc>
      </w:tr>
      <w:tr w:rsidR="00203F72" w:rsidRPr="00A53581" w14:paraId="29671C6C" w14:textId="77777777" w:rsidTr="00203F72">
        <w:tc>
          <w:tcPr>
            <w:tcW w:w="534" w:type="pct"/>
            <w:vMerge/>
            <w:shd w:val="clear" w:color="auto" w:fill="auto"/>
          </w:tcPr>
          <w:p w14:paraId="75B88321" w14:textId="77777777" w:rsidR="00203F72" w:rsidRPr="007F3288" w:rsidRDefault="00203F72" w:rsidP="007F3288"/>
        </w:tc>
        <w:tc>
          <w:tcPr>
            <w:tcW w:w="1424" w:type="pct"/>
            <w:shd w:val="clear" w:color="auto" w:fill="auto"/>
          </w:tcPr>
          <w:p w14:paraId="428B82F9" w14:textId="77777777" w:rsidR="00203F72" w:rsidRPr="007F3288" w:rsidRDefault="00203F72" w:rsidP="007F3288">
            <w:r w:rsidRPr="007F3288">
              <w:t>(2)</w:t>
            </w:r>
            <w:r w:rsidRPr="007F3288">
              <w:t>釋</w:t>
            </w:r>
            <w:r w:rsidR="00B167C2" w:rsidRPr="007F3288">
              <w:t>字</w:t>
            </w:r>
            <w:hyperlink r:id="rId1034" w:anchor="r81" w:history="1">
              <w:r w:rsidR="00B167C2" w:rsidRPr="007F3288">
                <w:rPr>
                  <w:rStyle w:val="a5"/>
                </w:rPr>
                <w:t>第81號</w:t>
              </w:r>
            </w:hyperlink>
          </w:p>
        </w:tc>
        <w:tc>
          <w:tcPr>
            <w:tcW w:w="3043" w:type="pct"/>
            <w:shd w:val="clear" w:color="auto" w:fill="auto"/>
          </w:tcPr>
          <w:p w14:paraId="7D2C5934" w14:textId="77777777" w:rsidR="00203F72" w:rsidRPr="007F3288" w:rsidRDefault="00203F72" w:rsidP="007F3288">
            <w:r w:rsidRPr="007F3288">
              <w:t>不得執行民營公司之董事、監察人及經理人所執行之業務</w:t>
            </w:r>
          </w:p>
        </w:tc>
      </w:tr>
      <w:tr w:rsidR="00203F72" w:rsidRPr="00A53581" w14:paraId="7C44515B" w14:textId="77777777" w:rsidTr="00203F72">
        <w:tc>
          <w:tcPr>
            <w:tcW w:w="534" w:type="pct"/>
            <w:vMerge/>
            <w:shd w:val="clear" w:color="auto" w:fill="auto"/>
          </w:tcPr>
          <w:p w14:paraId="73BA30E0" w14:textId="77777777" w:rsidR="00203F72" w:rsidRPr="007F3288" w:rsidRDefault="00203F72" w:rsidP="007F3288"/>
        </w:tc>
        <w:tc>
          <w:tcPr>
            <w:tcW w:w="1424" w:type="pct"/>
            <w:shd w:val="clear" w:color="auto" w:fill="auto"/>
          </w:tcPr>
          <w:p w14:paraId="48F1F2D1" w14:textId="77777777" w:rsidR="00203F72" w:rsidRPr="007F3288" w:rsidRDefault="00203F72" w:rsidP="007F3288">
            <w:r w:rsidRPr="007F3288">
              <w:t>(3)</w:t>
            </w:r>
            <w:r w:rsidRPr="007F3288">
              <w:t>釋</w:t>
            </w:r>
            <w:r w:rsidR="00B167C2" w:rsidRPr="007F3288">
              <w:t>字</w:t>
            </w:r>
            <w:hyperlink r:id="rId1035" w:anchor="r120" w:history="1">
              <w:r w:rsidR="00B167C2" w:rsidRPr="007F3288">
                <w:rPr>
                  <w:rStyle w:val="a5"/>
                </w:rPr>
                <w:t>第120號</w:t>
              </w:r>
            </w:hyperlink>
          </w:p>
        </w:tc>
        <w:tc>
          <w:tcPr>
            <w:tcW w:w="3043" w:type="pct"/>
            <w:shd w:val="clear" w:color="auto" w:fill="auto"/>
          </w:tcPr>
          <w:p w14:paraId="04FD1612" w14:textId="77777777" w:rsidR="00203F72" w:rsidRPr="007F3288" w:rsidRDefault="00203F72" w:rsidP="007F3288">
            <w:r w:rsidRPr="007F3288">
              <w:t>不得執行新聞紙雜誌發行人執行之業務</w:t>
            </w:r>
          </w:p>
        </w:tc>
      </w:tr>
    </w:tbl>
    <w:p w14:paraId="63F1FF53" w14:textId="77777777" w:rsidR="00953151" w:rsidRPr="00DE63F7" w:rsidRDefault="002107CE" w:rsidP="00D87D91">
      <w:r w:rsidRPr="00DE63F7">
        <w:t>【本表格資料來源】</w:t>
      </w:r>
      <w:r w:rsidR="00203F72" w:rsidRPr="00DE63F7">
        <w:t>洪嘉仁、王士榮、張若霖、廖瓊樅</w:t>
      </w:r>
      <w:r w:rsidR="00203F72" w:rsidRPr="00DE63F7">
        <w:t>(2011)</w:t>
      </w:r>
      <w:r w:rsidR="00203F72" w:rsidRPr="00DE63F7">
        <w:t>，憲法與立國精神，初版，台北：高立，第</w:t>
      </w:r>
      <w:r w:rsidR="00203F72" w:rsidRPr="00DE63F7">
        <w:t>195</w:t>
      </w:r>
      <w:r w:rsidR="00203F72" w:rsidRPr="00DE63F7">
        <w:t>頁</w:t>
      </w:r>
      <w:r w:rsidR="00545D58" w:rsidRPr="00DE63F7">
        <w:t>。</w:t>
      </w:r>
    </w:p>
    <w:p w14:paraId="55DD0950" w14:textId="77777777" w:rsidR="00953151" w:rsidRPr="00DE63F7" w:rsidRDefault="0062321B" w:rsidP="00D87D91">
      <w:r w:rsidRPr="00DE63F7">
        <w:t xml:space="preserve">　　</w:t>
      </w:r>
      <w:r w:rsidR="00203F72" w:rsidRPr="00DE63F7">
        <w:t>再者，司法院釋</w:t>
      </w:r>
      <w:r w:rsidR="00B167C2" w:rsidRPr="00DE63F7">
        <w:t>字</w:t>
      </w:r>
      <w:hyperlink r:id="rId1036" w:anchor="r24" w:history="1">
        <w:r w:rsidR="00B167C2" w:rsidRPr="00B167C2">
          <w:rPr>
            <w:rStyle w:val="a5"/>
            <w:rFonts w:ascii="Times New Roman" w:hAnsi="Times New Roman"/>
          </w:rPr>
          <w:t>第</w:t>
        </w:r>
        <w:r w:rsidR="00B167C2" w:rsidRPr="00B167C2">
          <w:rPr>
            <w:rStyle w:val="a5"/>
            <w:rFonts w:ascii="Times New Roman" w:hAnsi="Times New Roman"/>
          </w:rPr>
          <w:t>24</w:t>
        </w:r>
        <w:r w:rsidR="00B167C2" w:rsidRPr="00B167C2">
          <w:rPr>
            <w:rStyle w:val="a5"/>
            <w:rFonts w:ascii="Times New Roman" w:hAnsi="Times New Roman"/>
          </w:rPr>
          <w:t>號</w:t>
        </w:r>
      </w:hyperlink>
      <w:r w:rsidR="00203F72" w:rsidRPr="00DE63F7">
        <w:t>解釋認為：「公營事業機關之董事、監察人及總經理，與受有俸給之文武職公務員，均適用公務員服務法之規定，應屬於憲法</w:t>
      </w:r>
      <w:r w:rsidR="00CC341A" w:rsidRPr="00DE63F7">
        <w:t>第</w:t>
      </w:r>
      <w:hyperlink r:id="rId1037" w:anchor="a103" w:history="1">
        <w:r w:rsidR="00CC341A" w:rsidRPr="00CC341A">
          <w:rPr>
            <w:rStyle w:val="a5"/>
            <w:rFonts w:ascii="Times New Roman" w:eastAsia="新細明體" w:hAnsi="Times New Roman"/>
          </w:rPr>
          <w:t>一百零三</w:t>
        </w:r>
      </w:hyperlink>
      <w:r w:rsidR="00203F72" w:rsidRPr="00DE63F7">
        <w:t>條、</w:t>
      </w:r>
      <w:r w:rsidR="00B167C2" w:rsidRPr="00A53581">
        <w:rPr>
          <w:rFonts w:ascii="新細明體" w:hAnsi="新細明體"/>
        </w:rPr>
        <w:t>第</w:t>
      </w:r>
      <w:hyperlink r:id="rId1038" w:anchor="a75" w:history="1">
        <w:r w:rsidR="00B167C2" w:rsidRPr="00A5735A">
          <w:rPr>
            <w:rStyle w:val="a5"/>
          </w:rPr>
          <w:t>七十五</w:t>
        </w:r>
      </w:hyperlink>
      <w:r w:rsidR="00B167C2" w:rsidRPr="00A53581">
        <w:rPr>
          <w:rFonts w:ascii="新細明體" w:hAnsi="新細明體"/>
        </w:rPr>
        <w:t>條</w:t>
      </w:r>
      <w:r w:rsidR="00203F72" w:rsidRPr="00DE63F7">
        <w:t>所稱公職及官吏範圍之內。監察委員、立法委員均不得兼任。」</w:t>
      </w:r>
    </w:p>
    <w:p w14:paraId="1BBB2D10" w14:textId="77777777" w:rsidR="00953151" w:rsidRPr="00DE63F7" w:rsidRDefault="0062321B" w:rsidP="00D87D91">
      <w:r w:rsidRPr="00DE63F7">
        <w:t xml:space="preserve">　　</w:t>
      </w:r>
      <w:r w:rsidR="00203F72" w:rsidRPr="00DE63F7">
        <w:t>司法院釋字</w:t>
      </w:r>
      <w:hyperlink r:id="rId1039" w:anchor="r81" w:history="1">
        <w:r w:rsidR="00203F72" w:rsidRPr="00B167C2">
          <w:rPr>
            <w:rStyle w:val="a5"/>
            <w:rFonts w:ascii="Times New Roman" w:hAnsi="Times New Roman"/>
          </w:rPr>
          <w:t>第</w:t>
        </w:r>
        <w:r w:rsidR="00203F72" w:rsidRPr="00B167C2">
          <w:rPr>
            <w:rStyle w:val="a5"/>
            <w:rFonts w:ascii="Times New Roman" w:hAnsi="Times New Roman"/>
          </w:rPr>
          <w:t>81</w:t>
        </w:r>
        <w:r w:rsidR="00203F72" w:rsidRPr="00B167C2">
          <w:rPr>
            <w:rStyle w:val="a5"/>
            <w:rFonts w:ascii="Times New Roman" w:hAnsi="Times New Roman"/>
          </w:rPr>
          <w:t>號</w:t>
        </w:r>
      </w:hyperlink>
      <w:r w:rsidR="00203F72" w:rsidRPr="00DE63F7">
        <w:t>解釋認為：「查監察委員不得兼任其他公職或執行業務，為憲法</w:t>
      </w:r>
      <w:r w:rsidR="00CC341A" w:rsidRPr="00DE63F7">
        <w:t>第</w:t>
      </w:r>
      <w:hyperlink r:id="rId1040" w:anchor="a103" w:history="1">
        <w:r w:rsidR="00CC341A" w:rsidRPr="00CC341A">
          <w:rPr>
            <w:rStyle w:val="a5"/>
            <w:rFonts w:ascii="Times New Roman" w:eastAsia="新細明體" w:hAnsi="Times New Roman"/>
          </w:rPr>
          <w:t>一百零三</w:t>
        </w:r>
      </w:hyperlink>
      <w:r w:rsidR="00203F72" w:rsidRPr="00DE63F7">
        <w:t>條所明定，其所以不得兼任其他公職之外並不得執行業務者，乃為貫徹監察權之行使，保持監察委員之超然地位，故亦予以限制。」</w:t>
      </w:r>
    </w:p>
    <w:p w14:paraId="76BC80F9" w14:textId="77777777" w:rsidR="00953151" w:rsidRPr="00DE63F7" w:rsidRDefault="0062321B" w:rsidP="00D87D91">
      <w:r w:rsidRPr="00DE63F7">
        <w:t xml:space="preserve">　　</w:t>
      </w:r>
      <w:r w:rsidR="00203F72" w:rsidRPr="00DE63F7">
        <w:t>司法院釋</w:t>
      </w:r>
      <w:r w:rsidR="00B167C2" w:rsidRPr="00DE63F7">
        <w:t>字</w:t>
      </w:r>
      <w:hyperlink r:id="rId1041" w:anchor="r120" w:history="1">
        <w:r w:rsidR="00B167C2" w:rsidRPr="00306E89">
          <w:rPr>
            <w:rStyle w:val="a5"/>
            <w:rFonts w:ascii="Times New Roman" w:hAnsi="Times New Roman"/>
          </w:rPr>
          <w:t>第</w:t>
        </w:r>
        <w:r w:rsidR="00B167C2" w:rsidRPr="00306E89">
          <w:rPr>
            <w:rStyle w:val="a5"/>
            <w:rFonts w:ascii="Times New Roman" w:hAnsi="Times New Roman"/>
          </w:rPr>
          <w:t>120</w:t>
        </w:r>
        <w:r w:rsidR="00B167C2" w:rsidRPr="00306E89">
          <w:rPr>
            <w:rStyle w:val="a5"/>
            <w:rFonts w:ascii="Times New Roman" w:hAnsi="Times New Roman"/>
          </w:rPr>
          <w:t>號</w:t>
        </w:r>
      </w:hyperlink>
      <w:r w:rsidR="00203F72" w:rsidRPr="00DE63F7">
        <w:t>解釋指出：「監察委員，職司風憲，居於超然地位，故憲法</w:t>
      </w:r>
      <w:r w:rsidR="00CC341A" w:rsidRPr="00DE63F7">
        <w:t>第</w:t>
      </w:r>
      <w:hyperlink r:id="rId1042" w:anchor="a103" w:history="1">
        <w:r w:rsidR="00CC341A" w:rsidRPr="00CC341A">
          <w:rPr>
            <w:rStyle w:val="a5"/>
            <w:rFonts w:ascii="Times New Roman" w:eastAsia="新細明體" w:hAnsi="Times New Roman"/>
          </w:rPr>
          <w:t>一百零三</w:t>
        </w:r>
      </w:hyperlink>
      <w:r w:rsidR="00203F72" w:rsidRPr="00DE63F7">
        <w:t>條有不得執行業務之規定。新聞紙雜誌之發行，須經行政官署核准，新聞紙雜誌發行人，所執行之業務，須受行政官署監督，與監察職權，顯不相容。自屬於憲法</w:t>
      </w:r>
      <w:r w:rsidR="00CC341A" w:rsidRPr="00DE63F7">
        <w:t>第</w:t>
      </w:r>
      <w:hyperlink r:id="rId1043" w:anchor="a103" w:history="1">
        <w:r w:rsidR="00CC341A" w:rsidRPr="00CC341A">
          <w:rPr>
            <w:rStyle w:val="a5"/>
            <w:rFonts w:ascii="Times New Roman" w:eastAsia="新細明體" w:hAnsi="Times New Roman"/>
          </w:rPr>
          <w:t>一百零三</w:t>
        </w:r>
      </w:hyperlink>
      <w:r w:rsidR="00203F72" w:rsidRPr="00DE63F7">
        <w:t>條所稱業務範圍之內。」</w:t>
      </w:r>
    </w:p>
    <w:p w14:paraId="38ACB935" w14:textId="77777777" w:rsidR="00953151" w:rsidRPr="00DE63F7" w:rsidRDefault="0062321B" w:rsidP="00D87D91">
      <w:r w:rsidRPr="00DE63F7">
        <w:t xml:space="preserve">　　</w:t>
      </w:r>
      <w:r w:rsidR="00203F72" w:rsidRPr="00DE63F7">
        <w:t>由上述數個司法院大法官會議解釋文加以觀察，監察委員因其職務與角色之定位，須保持地位超然，對於兼任職務須更小心，舉凡公職或其他執行業務者，或工作性質與監委工作不相容者，都不適宜兼任。</w:t>
      </w:r>
    </w:p>
    <w:p w14:paraId="5549FDB2" w14:textId="77777777" w:rsidR="00953151" w:rsidRDefault="00076467" w:rsidP="00767F37">
      <w:pPr>
        <w:pStyle w:val="2"/>
      </w:pPr>
      <w:hyperlink r:id="rId1044" w:anchor="a104" w:history="1">
        <w:r w:rsidR="005D5A46">
          <w:rPr>
            <w:rStyle w:val="a5"/>
            <w:rFonts w:ascii="Arial Unicode MS" w:hAnsi="Arial Unicode MS"/>
          </w:rPr>
          <w:t>第</w:t>
        </w:r>
        <w:r w:rsidR="00203F72" w:rsidRPr="00AB0A74">
          <w:rPr>
            <w:rStyle w:val="a5"/>
            <w:rFonts w:ascii="Arial Unicode MS" w:hAnsi="Arial Unicode MS"/>
          </w:rPr>
          <w:t>104</w:t>
        </w:r>
        <w:r w:rsidR="005D5A46">
          <w:rPr>
            <w:rStyle w:val="a5"/>
            <w:rFonts w:ascii="Arial Unicode MS" w:hAnsi="Arial Unicode MS"/>
          </w:rPr>
          <w:t>條</w:t>
        </w:r>
      </w:hyperlink>
      <w:r w:rsidR="00203F72" w:rsidRPr="00A53581">
        <w:t>監察院設審計長，由總統提名，經立法院同意任命之。</w:t>
      </w:r>
    </w:p>
    <w:p w14:paraId="12966E88" w14:textId="77777777" w:rsidR="00953151" w:rsidRPr="00DE63F7" w:rsidRDefault="00800CD7" w:rsidP="00D87D91">
      <w:r w:rsidRPr="00DE63F7">
        <w:rPr>
          <w:rFonts w:hint="eastAsia"/>
        </w:rPr>
        <w:t>【</w:t>
      </w:r>
      <w:r w:rsidR="00203F72" w:rsidRPr="00DE63F7">
        <w:t>內容說明</w:t>
      </w:r>
      <w:r w:rsidRPr="00DE63F7">
        <w:rPr>
          <w:rFonts w:hint="eastAsia"/>
        </w:rPr>
        <w:t>】</w:t>
      </w:r>
    </w:p>
    <w:p w14:paraId="301B1B38" w14:textId="77777777" w:rsidR="00953151" w:rsidRPr="00DE63F7" w:rsidRDefault="0062321B" w:rsidP="00D87D91">
      <w:r w:rsidRPr="00DE63F7">
        <w:t xml:space="preserve">　　</w:t>
      </w:r>
      <w:r w:rsidR="00203F72" w:rsidRPr="00DE63F7">
        <w:t>審計長，由總統提名，經立法院同意任命，受監察院院長監督，依法獨立行使職權。依審計部組織法之規定，審計長之任期為六年，司法院釋字</w:t>
      </w:r>
      <w:hyperlink r:id="rId1045" w:anchor="r357" w:history="1">
        <w:r w:rsidR="00203F72" w:rsidRPr="00003EB2">
          <w:rPr>
            <w:rStyle w:val="a5"/>
            <w:rFonts w:ascii="Times New Roman" w:eastAsia="新細明體" w:hAnsi="Times New Roman"/>
          </w:rPr>
          <w:t>第</w:t>
        </w:r>
        <w:r w:rsidR="00203F72" w:rsidRPr="00003EB2">
          <w:rPr>
            <w:rStyle w:val="a5"/>
            <w:rFonts w:ascii="Times New Roman" w:eastAsia="新細明體" w:hAnsi="Times New Roman"/>
          </w:rPr>
          <w:t>357</w:t>
        </w:r>
        <w:r w:rsidR="00203F72" w:rsidRPr="00003EB2">
          <w:rPr>
            <w:rStyle w:val="a5"/>
            <w:rFonts w:ascii="Times New Roman" w:eastAsia="新細明體" w:hAnsi="Times New Roman"/>
          </w:rPr>
          <w:t>號</w:t>
        </w:r>
      </w:hyperlink>
      <w:r w:rsidR="00203F72" w:rsidRPr="00DE63F7">
        <w:t>解釋指出：「依中華民國憲法第</w:t>
      </w:r>
      <w:hyperlink r:id="rId1046" w:anchor="a104" w:history="1">
        <w:r w:rsidR="00203F72" w:rsidRPr="00003EB2">
          <w:rPr>
            <w:rStyle w:val="a5"/>
            <w:rFonts w:ascii="Times New Roman" w:eastAsia="新細明體" w:hAnsi="Times New Roman"/>
          </w:rPr>
          <w:t>一百零四</w:t>
        </w:r>
      </w:hyperlink>
      <w:r w:rsidR="00203F72" w:rsidRPr="00DE63F7">
        <w:t>條設置於監察院之審計長，其職務之性質與應隨執政黨更迭或政策變更而進退之政務官不同。審計部組織法</w:t>
      </w:r>
      <w:hyperlink r:id="rId1047" w:anchor="a3" w:history="1">
        <w:r w:rsidR="00203F72" w:rsidRPr="00003EB2">
          <w:rPr>
            <w:rStyle w:val="a5"/>
            <w:rFonts w:ascii="Times New Roman" w:eastAsia="新細明體" w:hAnsi="Times New Roman"/>
          </w:rPr>
          <w:t>第三條</w:t>
        </w:r>
      </w:hyperlink>
      <w:r w:rsidR="00203F72" w:rsidRPr="00DE63F7">
        <w:t>關於審計長任期為六年之規定，旨在確保其職位之安定，俾能在一定任期中，超然獨立行使職權，與憲法並無牴觸。</w:t>
      </w:r>
      <w:r w:rsidR="00203F72" w:rsidRPr="00DE63F7">
        <w:t>…</w:t>
      </w:r>
      <w:r w:rsidR="00203F72" w:rsidRPr="00DE63F7">
        <w:t>至於現行法規將審計長或其他原非政務官而地位與之相當人員之待遇、退職酬勞及財產申報等事項與政務官合併規定，乃為法規制定上之便宜措施，於其非屬應隨執政黨更迭或政策變更而進退之政務官身分不生影響。」</w:t>
      </w:r>
    </w:p>
    <w:p w14:paraId="1AEFF595" w14:textId="77777777" w:rsidR="00953151" w:rsidRPr="00DE63F7" w:rsidRDefault="0062321B" w:rsidP="00D87D91">
      <w:r w:rsidRPr="00DE63F7">
        <w:t xml:space="preserve">　　</w:t>
      </w:r>
      <w:r w:rsidR="00203F72" w:rsidRPr="00DE63F7">
        <w:t>審計長非政務官，目的在確保審計首長超然獨立行使職權而無所瞻顧，職務之性質，與隨執政黨更迭，或政策變更而進退之政務官不同，應確保其任期職務之安定性。審計長應具有下列資格之一：一、曾任審計長，成績卓著者。二、曾任副審計長五年以上，或審計官九年以上，成績優良者。三、曾任專科以上學校會計、審計課程教授十年以上，聲譽卓著，或具有會計、審計學科之權威著作者。四、曾任高級簡任官六年以上，聲譽卓著，並富有會計、審計學識經驗者。五、曾任監察委員六年以上，富有會計、審計學識經驗，聲譽卓著者。審計長依監察院組織法第五條，秉承監察院院長，綜理全部事務，並監督所屬職員及機關。</w:t>
      </w:r>
    </w:p>
    <w:p w14:paraId="02AD1E7D" w14:textId="77777777" w:rsidR="00953151" w:rsidRDefault="0062321B" w:rsidP="00D87D91">
      <w:r w:rsidRPr="00DE63F7">
        <w:t xml:space="preserve">　　</w:t>
      </w:r>
      <w:r w:rsidR="00203F72" w:rsidRPr="00DE63F7">
        <w:t>司法院釋</w:t>
      </w:r>
      <w:r w:rsidR="00003EB2" w:rsidRPr="00DE63F7">
        <w:t>字</w:t>
      </w:r>
      <w:hyperlink r:id="rId1048" w:anchor="r357" w:history="1">
        <w:r w:rsidR="00003EB2" w:rsidRPr="00003EB2">
          <w:rPr>
            <w:rStyle w:val="a5"/>
            <w:rFonts w:ascii="Times New Roman" w:eastAsia="新細明體" w:hAnsi="Times New Roman"/>
          </w:rPr>
          <w:t>第</w:t>
        </w:r>
        <w:r w:rsidR="00003EB2" w:rsidRPr="00003EB2">
          <w:rPr>
            <w:rStyle w:val="a5"/>
            <w:rFonts w:ascii="Times New Roman" w:eastAsia="新細明體" w:hAnsi="Times New Roman"/>
          </w:rPr>
          <w:t>357</w:t>
        </w:r>
        <w:r w:rsidR="00003EB2" w:rsidRPr="00003EB2">
          <w:rPr>
            <w:rStyle w:val="a5"/>
            <w:rFonts w:ascii="Times New Roman" w:eastAsia="新細明體" w:hAnsi="Times New Roman"/>
          </w:rPr>
          <w:t>號</w:t>
        </w:r>
      </w:hyperlink>
      <w:r w:rsidR="00203F72" w:rsidRPr="00DE63F7">
        <w:t>解釋說明書進一步闡明：「審計長</w:t>
      </w:r>
      <w:r w:rsidR="00203F72" w:rsidRPr="00DE63F7">
        <w:t>…</w:t>
      </w:r>
      <w:r w:rsidR="00203F72" w:rsidRPr="00DE63F7">
        <w:t>依</w:t>
      </w:r>
      <w:hyperlink r:id="rId1049" w:history="1">
        <w:r w:rsidR="00203F72" w:rsidRPr="008B1A5A">
          <w:rPr>
            <w:rStyle w:val="a5"/>
            <w:rFonts w:ascii="Times New Roman" w:eastAsia="新細明體" w:hAnsi="Times New Roman"/>
          </w:rPr>
          <w:t>監察院組織法</w:t>
        </w:r>
      </w:hyperlink>
      <w:r w:rsidR="00203F72" w:rsidRPr="00DE63F7">
        <w:t>、</w:t>
      </w:r>
      <w:hyperlink r:id="rId1050" w:history="1">
        <w:r w:rsidR="00203F72" w:rsidRPr="008B1A5A">
          <w:rPr>
            <w:rStyle w:val="a5"/>
            <w:rFonts w:ascii="Times New Roman" w:eastAsia="新細明體" w:hAnsi="Times New Roman"/>
          </w:rPr>
          <w:t>審計法</w:t>
        </w:r>
      </w:hyperlink>
      <w:r w:rsidR="00203F72" w:rsidRPr="00DE63F7">
        <w:t>及</w:t>
      </w:r>
      <w:hyperlink r:id="rId1051" w:history="1">
        <w:r w:rsidR="00203F72" w:rsidRPr="008B1A5A">
          <w:rPr>
            <w:rStyle w:val="a5"/>
            <w:rFonts w:ascii="Times New Roman" w:eastAsia="新細明體" w:hAnsi="Times New Roman"/>
          </w:rPr>
          <w:t>審計部組織法</w:t>
        </w:r>
      </w:hyperlink>
      <w:r w:rsidR="00203F72" w:rsidRPr="00DE63F7">
        <w:t>之規定，綜理審計業務，監督全國各機關預算之執行、核定收支命令、審核財務收支、稽察財物及財政上之不法或不忠於職務之行為等，職位重要。」由於審計長職權為決算之審核，與立法院審議預算之權限，關係密切，乃將審計長之任命，賦與立法院同意權，以昭慎重。同時為維護審計權之獨立行使，充分發揮審計功能，我國對審計人員行使職權予以必要之保障。於審計</w:t>
      </w:r>
      <w:r w:rsidR="00203F72" w:rsidRPr="00003EB2">
        <w:t>法</w:t>
      </w:r>
      <w:hyperlink r:id="rId1052" w:anchor="a10" w:history="1">
        <w:r w:rsidR="00ED34D8" w:rsidRPr="00003EB2">
          <w:rPr>
            <w:rStyle w:val="a5"/>
            <w:rFonts w:ascii="Times New Roman" w:hAnsi="Times New Roman"/>
          </w:rPr>
          <w:t>第十條</w:t>
        </w:r>
      </w:hyperlink>
      <w:r w:rsidR="00203F72" w:rsidRPr="00003EB2">
        <w:t>及</w:t>
      </w:r>
      <w:r w:rsidR="00203F72" w:rsidRPr="00DE63F7">
        <w:t>審計人員任用條例第八條分別規定：審計人員依法獨立行使其審計職權，不受干涉。審計官、審計、稽察，非有法定原因，不得停</w:t>
      </w:r>
      <w:r w:rsidR="00203F72" w:rsidRPr="00A53581">
        <w:t>職、免職或轉職。</w:t>
      </w:r>
    </w:p>
    <w:p w14:paraId="46774E38" w14:textId="77777777" w:rsidR="00953151" w:rsidRDefault="00076467" w:rsidP="00767F37">
      <w:pPr>
        <w:pStyle w:val="2"/>
      </w:pPr>
      <w:hyperlink r:id="rId1053" w:anchor="a105" w:history="1">
        <w:r w:rsidR="005D5A46">
          <w:rPr>
            <w:rStyle w:val="a5"/>
            <w:rFonts w:ascii="Arial Unicode MS" w:hAnsi="Arial Unicode MS"/>
          </w:rPr>
          <w:t>第</w:t>
        </w:r>
        <w:r w:rsidR="00203F72" w:rsidRPr="00AB0A74">
          <w:rPr>
            <w:rStyle w:val="a5"/>
            <w:rFonts w:ascii="Arial Unicode MS" w:hAnsi="Arial Unicode MS"/>
          </w:rPr>
          <w:t>105</w:t>
        </w:r>
        <w:r w:rsidR="005D5A46">
          <w:rPr>
            <w:rStyle w:val="a5"/>
            <w:rFonts w:ascii="Arial Unicode MS" w:hAnsi="Arial Unicode MS"/>
          </w:rPr>
          <w:t>條</w:t>
        </w:r>
      </w:hyperlink>
      <w:r w:rsidR="00203F72" w:rsidRPr="00A53581">
        <w:t>審計長應於行政院提出決算後三個月內，依法完成其審核，並提出審核報告於立法院。</w:t>
      </w:r>
    </w:p>
    <w:p w14:paraId="6A0085A6" w14:textId="77777777" w:rsidR="00953151" w:rsidRPr="00DE63F7" w:rsidRDefault="00B03E84" w:rsidP="00D87D91">
      <w:r w:rsidRPr="00DE63F7">
        <w:t>【內容解析】</w:t>
      </w:r>
    </w:p>
    <w:p w14:paraId="311410D7" w14:textId="77777777" w:rsidR="00953151" w:rsidRPr="00DE63F7" w:rsidRDefault="00800CD7" w:rsidP="00D87D91">
      <w:r w:rsidRPr="00DE63F7">
        <w:t xml:space="preserve">　　</w:t>
      </w:r>
      <w:r w:rsidR="00203F72" w:rsidRPr="00DE63F7">
        <w:t>依審計部組織法之規定，審計部掌理政府及其所屬機關財務之審計，職權如左：一、監督預算之執行。二、核定收支命令。三、審計財務收支，審定決算。四、稽察財物及財政上不法或不忠於職務之行為。五、考核財務效能。六、核定財務責任。七、其他依法律應行辦理之審計事項。審計部處理重要審計案件，以審計會議之決議行之。審計會議以審計長、副審計長、審計官組織之。審計長應於行政院提出決算後三個月內，依法完成其審核，並提出審核報告於立法院。</w:t>
      </w:r>
    </w:p>
    <w:p w14:paraId="69D6D248" w14:textId="77777777" w:rsidR="00953151" w:rsidRPr="00DE63F7" w:rsidRDefault="00800CD7" w:rsidP="00D87D91">
      <w:r w:rsidRPr="00DE63F7">
        <w:t xml:space="preserve">　　</w:t>
      </w:r>
      <w:r w:rsidR="00203F72" w:rsidRPr="00DE63F7">
        <w:t>司法院釋字</w:t>
      </w:r>
      <w:hyperlink r:id="rId1054" w:anchor="r120" w:history="1">
        <w:r w:rsidR="00203F72" w:rsidRPr="00306E89">
          <w:rPr>
            <w:rStyle w:val="a5"/>
            <w:rFonts w:ascii="Times New Roman" w:hAnsi="Times New Roman"/>
          </w:rPr>
          <w:t>第</w:t>
        </w:r>
        <w:r w:rsidR="00203F72" w:rsidRPr="00306E89">
          <w:rPr>
            <w:rStyle w:val="a5"/>
            <w:rFonts w:ascii="Times New Roman" w:hAnsi="Times New Roman"/>
          </w:rPr>
          <w:t>120</w:t>
        </w:r>
        <w:r w:rsidR="00203F72" w:rsidRPr="00306E89">
          <w:rPr>
            <w:rStyle w:val="a5"/>
            <w:rFonts w:ascii="Times New Roman" w:hAnsi="Times New Roman"/>
          </w:rPr>
          <w:t>號</w:t>
        </w:r>
      </w:hyperlink>
      <w:r w:rsidR="00203F72" w:rsidRPr="00DE63F7">
        <w:t>解釋指出：「</w:t>
      </w:r>
      <w:r w:rsidR="00203F72" w:rsidRPr="00DE63F7">
        <w:t xml:space="preserve"> </w:t>
      </w:r>
      <w:r w:rsidR="00203F72" w:rsidRPr="00DE63F7">
        <w:t>審計部對於各機關編送之決算有最終審定權。徵收機關核定公營事業之所得額，與審計部審定同一事業之盈餘如有歧異，自應以決算書所載審計部審定之數目為準。」審計部對於各機關編送之決算有最終審定權，若盈餘數目有不同，以審計部審定之數目，作為最終極之標準。</w:t>
      </w:r>
    </w:p>
    <w:p w14:paraId="714E0D9D" w14:textId="77777777" w:rsidR="00953151" w:rsidRDefault="00076467" w:rsidP="00767F37">
      <w:pPr>
        <w:pStyle w:val="2"/>
      </w:pPr>
      <w:hyperlink r:id="rId1055" w:anchor="a106" w:history="1">
        <w:r w:rsidR="005D5A46">
          <w:rPr>
            <w:rStyle w:val="a5"/>
            <w:rFonts w:ascii="Arial Unicode MS" w:hAnsi="Arial Unicode MS"/>
          </w:rPr>
          <w:t>第</w:t>
        </w:r>
        <w:r w:rsidR="00203F72" w:rsidRPr="00AB0A74">
          <w:rPr>
            <w:rStyle w:val="a5"/>
            <w:rFonts w:ascii="Arial Unicode MS" w:hAnsi="Arial Unicode MS"/>
          </w:rPr>
          <w:t>106</w:t>
        </w:r>
        <w:r w:rsidR="005D5A46">
          <w:rPr>
            <w:rStyle w:val="a5"/>
            <w:rFonts w:ascii="Arial Unicode MS" w:hAnsi="Arial Unicode MS"/>
          </w:rPr>
          <w:t>條</w:t>
        </w:r>
      </w:hyperlink>
      <w:r w:rsidR="00203F72" w:rsidRPr="00A53581">
        <w:t>監察院之組織，以法律定之。</w:t>
      </w:r>
    </w:p>
    <w:p w14:paraId="5A6D2ABB" w14:textId="77777777" w:rsidR="00953151" w:rsidRPr="00DE63F7" w:rsidRDefault="00B03E84" w:rsidP="00D87D91">
      <w:r w:rsidRPr="00DE63F7">
        <w:t>【內容解析】</w:t>
      </w:r>
    </w:p>
    <w:p w14:paraId="290D3AF3" w14:textId="77777777" w:rsidR="00953151" w:rsidRDefault="00800CD7" w:rsidP="00D87D91">
      <w:r w:rsidRPr="00DE63F7">
        <w:t xml:space="preserve">　　</w:t>
      </w:r>
      <w:r w:rsidR="00203F72" w:rsidRPr="00DE63F7">
        <w:t>監察院之組織，由監察院組織法規定。監察院設各委員會、審計部、會計室、統計室、人事室及政風室。另設監察業務處、監察調查處、公職人員財產申報處、秘書處、綜合規劃室、資訊室，分別掌理左列事項，並得分組或分科辦事：一、關於人民書狀之收受、處理及簽辦事項。二、關於糾舉、彈劾事項。三、關於調查案件之協查事項。四、關於公職人員財產申報事項</w:t>
      </w:r>
      <w:r w:rsidR="00545D58" w:rsidRPr="00DE63F7">
        <w:t>。</w:t>
      </w:r>
      <w:r w:rsidR="00203F72" w:rsidRPr="00DE63F7">
        <w:t>五、關於會議紀錄、公報編印及發行事項。六、關於文書收發、保管及印信典守事項。七、關於出納及庶務事項。八、關於綜合計畫之研擬及研究發展與考核事項。九、關於資訊系統之整體規劃及管理事項。十、關於協調、聯繫及新聞發布事項。十一、其他有關事項。</w:t>
      </w:r>
    </w:p>
    <w:p w14:paraId="7B9B4F25" w14:textId="77777777" w:rsidR="008B1A5A" w:rsidRPr="00DE63F7" w:rsidRDefault="008B1A5A" w:rsidP="00D87D91"/>
    <w:p w14:paraId="10383A9A" w14:textId="06CAA670" w:rsidR="00203F72" w:rsidRPr="00DE63F7" w:rsidRDefault="00B03E84" w:rsidP="00D87D91">
      <w:r w:rsidRPr="00DE63F7">
        <w:t>【</w:t>
      </w:r>
      <w:r w:rsidRPr="00DE63F7">
        <w:t>table</w:t>
      </w:r>
      <w:r w:rsidR="005E23E3" w:rsidRPr="00DE63F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67</w:t>
      </w:r>
      <w:r w:rsidR="00076467">
        <w:rPr>
          <w:noProof/>
        </w:rPr>
        <w:fldChar w:fldCharType="end"/>
      </w:r>
      <w:r w:rsidR="00203F72" w:rsidRPr="00DE63F7">
        <w:rPr>
          <w:rFonts w:hint="eastAsia"/>
        </w:rPr>
        <w:t>政府遷臺前監察院於全國</w:t>
      </w:r>
      <w:r w:rsidR="00203F72" w:rsidRPr="00DE63F7">
        <w:rPr>
          <w:rFonts w:hint="eastAsia"/>
        </w:rPr>
        <w:t>17</w:t>
      </w:r>
      <w:r w:rsidR="00203F72" w:rsidRPr="00DE63F7">
        <w:rPr>
          <w:rFonts w:hint="eastAsia"/>
        </w:rPr>
        <w:t>個監察區設置監察委員行署表</w:t>
      </w:r>
    </w:p>
    <w:tbl>
      <w:tblPr>
        <w:tblW w:w="0" w:type="auto"/>
        <w:tblCellSpacing w:w="1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92"/>
        <w:gridCol w:w="2835"/>
        <w:gridCol w:w="2977"/>
      </w:tblGrid>
      <w:tr w:rsidR="00203F72" w:rsidRPr="00A53581" w14:paraId="3BF2B8AF" w14:textId="77777777" w:rsidTr="00203F72">
        <w:trPr>
          <w:tblCellSpacing w:w="15" w:type="dxa"/>
        </w:trPr>
        <w:tc>
          <w:tcPr>
            <w:tcW w:w="947" w:type="dxa"/>
            <w:vAlign w:val="center"/>
            <w:hideMark/>
          </w:tcPr>
          <w:p w14:paraId="582CD8AC" w14:textId="77777777" w:rsidR="00203F72" w:rsidRPr="00A53581" w:rsidRDefault="00203F72" w:rsidP="00D87D91">
            <w:pPr>
              <w:rPr>
                <w:rFonts w:cs="新細明體"/>
              </w:rPr>
            </w:pPr>
            <w:r w:rsidRPr="00A53581">
              <w:t>一</w:t>
            </w:r>
          </w:p>
        </w:tc>
        <w:tc>
          <w:tcPr>
            <w:tcW w:w="2805" w:type="dxa"/>
            <w:vAlign w:val="center"/>
            <w:hideMark/>
          </w:tcPr>
          <w:p w14:paraId="4B811733" w14:textId="77777777" w:rsidR="00203F72" w:rsidRPr="00A53581" w:rsidRDefault="00203F72" w:rsidP="00D87D91">
            <w:pPr>
              <w:rPr>
                <w:rFonts w:cs="新細明體"/>
              </w:rPr>
            </w:pPr>
            <w:r w:rsidRPr="00A53581">
              <w:t>甘寧青區</w:t>
            </w:r>
          </w:p>
        </w:tc>
        <w:tc>
          <w:tcPr>
            <w:tcW w:w="2932" w:type="dxa"/>
            <w:vAlign w:val="center"/>
            <w:hideMark/>
          </w:tcPr>
          <w:p w14:paraId="3263DBC4" w14:textId="77777777" w:rsidR="00203F72" w:rsidRPr="00A53581" w:rsidRDefault="00203F72" w:rsidP="00D87D91">
            <w:pPr>
              <w:rPr>
                <w:rFonts w:cs="新細明體"/>
              </w:rPr>
            </w:pPr>
            <w:r w:rsidRPr="00A53581">
              <w:t>甘肅省、寧夏省、青海省</w:t>
            </w:r>
          </w:p>
        </w:tc>
      </w:tr>
      <w:tr w:rsidR="00203F72" w:rsidRPr="00A53581" w14:paraId="0019960A" w14:textId="77777777" w:rsidTr="00203F72">
        <w:trPr>
          <w:tblCellSpacing w:w="15" w:type="dxa"/>
        </w:trPr>
        <w:tc>
          <w:tcPr>
            <w:tcW w:w="947" w:type="dxa"/>
            <w:vAlign w:val="center"/>
            <w:hideMark/>
          </w:tcPr>
          <w:p w14:paraId="69A3DA2D" w14:textId="77777777" w:rsidR="00203F72" w:rsidRPr="00A53581" w:rsidRDefault="00203F72" w:rsidP="00D87D91">
            <w:pPr>
              <w:rPr>
                <w:rFonts w:cs="新細明體"/>
              </w:rPr>
            </w:pPr>
            <w:r w:rsidRPr="00A53581">
              <w:t>二</w:t>
            </w:r>
          </w:p>
        </w:tc>
        <w:tc>
          <w:tcPr>
            <w:tcW w:w="2805" w:type="dxa"/>
            <w:vAlign w:val="center"/>
            <w:hideMark/>
          </w:tcPr>
          <w:p w14:paraId="4DF5F0ED" w14:textId="77777777" w:rsidR="00203F72" w:rsidRPr="00A53581" w:rsidRDefault="00203F72" w:rsidP="00D87D91">
            <w:pPr>
              <w:rPr>
                <w:rFonts w:cs="新細明體"/>
              </w:rPr>
            </w:pPr>
            <w:r w:rsidRPr="00A53581">
              <w:t>豫魯區</w:t>
            </w:r>
          </w:p>
        </w:tc>
        <w:tc>
          <w:tcPr>
            <w:tcW w:w="2932" w:type="dxa"/>
            <w:vAlign w:val="center"/>
            <w:hideMark/>
          </w:tcPr>
          <w:p w14:paraId="6F28823F" w14:textId="77777777" w:rsidR="00203F72" w:rsidRPr="00A53581" w:rsidRDefault="00203F72" w:rsidP="00D87D91">
            <w:pPr>
              <w:rPr>
                <w:rFonts w:cs="新細明體"/>
              </w:rPr>
            </w:pPr>
            <w:r w:rsidRPr="00A53581">
              <w:t>河南省、山東省</w:t>
            </w:r>
          </w:p>
        </w:tc>
      </w:tr>
      <w:tr w:rsidR="00203F72" w:rsidRPr="00A53581" w14:paraId="619C5F78" w14:textId="77777777" w:rsidTr="00203F72">
        <w:trPr>
          <w:tblCellSpacing w:w="15" w:type="dxa"/>
        </w:trPr>
        <w:tc>
          <w:tcPr>
            <w:tcW w:w="947" w:type="dxa"/>
            <w:vAlign w:val="center"/>
            <w:hideMark/>
          </w:tcPr>
          <w:p w14:paraId="709DA784" w14:textId="77777777" w:rsidR="00203F72" w:rsidRPr="00A53581" w:rsidRDefault="00203F72" w:rsidP="00D87D91">
            <w:pPr>
              <w:rPr>
                <w:rFonts w:cs="新細明體"/>
              </w:rPr>
            </w:pPr>
            <w:r w:rsidRPr="00A53581">
              <w:t>三</w:t>
            </w:r>
          </w:p>
        </w:tc>
        <w:tc>
          <w:tcPr>
            <w:tcW w:w="2805" w:type="dxa"/>
            <w:vAlign w:val="center"/>
            <w:hideMark/>
          </w:tcPr>
          <w:p w14:paraId="6B306166" w14:textId="77777777" w:rsidR="00203F72" w:rsidRPr="00A53581" w:rsidRDefault="00203F72" w:rsidP="00D87D91">
            <w:pPr>
              <w:rPr>
                <w:rFonts w:cs="新細明體"/>
              </w:rPr>
            </w:pPr>
            <w:r w:rsidRPr="00A53581">
              <w:t>晉陝綏區</w:t>
            </w:r>
          </w:p>
        </w:tc>
        <w:tc>
          <w:tcPr>
            <w:tcW w:w="2932" w:type="dxa"/>
            <w:vAlign w:val="center"/>
            <w:hideMark/>
          </w:tcPr>
          <w:p w14:paraId="3A1563A4" w14:textId="77777777" w:rsidR="00203F72" w:rsidRPr="00A53581" w:rsidRDefault="00203F72" w:rsidP="00D87D91">
            <w:pPr>
              <w:rPr>
                <w:rFonts w:cs="新細明體"/>
              </w:rPr>
            </w:pPr>
            <w:r w:rsidRPr="00A53581">
              <w:t>山西省、陝西省、綏遠省</w:t>
            </w:r>
          </w:p>
        </w:tc>
      </w:tr>
      <w:tr w:rsidR="00203F72" w:rsidRPr="00A53581" w14:paraId="52D1D0B3" w14:textId="77777777" w:rsidTr="00203F72">
        <w:trPr>
          <w:tblCellSpacing w:w="15" w:type="dxa"/>
        </w:trPr>
        <w:tc>
          <w:tcPr>
            <w:tcW w:w="947" w:type="dxa"/>
            <w:vAlign w:val="center"/>
            <w:hideMark/>
          </w:tcPr>
          <w:p w14:paraId="47077714" w14:textId="77777777" w:rsidR="00203F72" w:rsidRPr="00A53581" w:rsidRDefault="00203F72" w:rsidP="00D87D91">
            <w:pPr>
              <w:rPr>
                <w:rFonts w:cs="新細明體"/>
              </w:rPr>
            </w:pPr>
            <w:r w:rsidRPr="00A53581">
              <w:t>四</w:t>
            </w:r>
          </w:p>
        </w:tc>
        <w:tc>
          <w:tcPr>
            <w:tcW w:w="2805" w:type="dxa"/>
            <w:vAlign w:val="center"/>
            <w:hideMark/>
          </w:tcPr>
          <w:p w14:paraId="0470171B" w14:textId="77777777" w:rsidR="00203F72" w:rsidRPr="00A53581" w:rsidRDefault="00203F72" w:rsidP="00D87D91">
            <w:pPr>
              <w:rPr>
                <w:rFonts w:cs="新細明體"/>
              </w:rPr>
            </w:pPr>
            <w:r w:rsidRPr="00A53581">
              <w:t>雲貴區</w:t>
            </w:r>
          </w:p>
        </w:tc>
        <w:tc>
          <w:tcPr>
            <w:tcW w:w="2932" w:type="dxa"/>
            <w:vAlign w:val="center"/>
            <w:hideMark/>
          </w:tcPr>
          <w:p w14:paraId="5B331C4E" w14:textId="77777777" w:rsidR="00203F72" w:rsidRPr="00A53581" w:rsidRDefault="00203F72" w:rsidP="00D87D91">
            <w:pPr>
              <w:rPr>
                <w:rFonts w:cs="新細明體"/>
              </w:rPr>
            </w:pPr>
            <w:r w:rsidRPr="00A53581">
              <w:t>雲南省、貴州省</w:t>
            </w:r>
          </w:p>
        </w:tc>
      </w:tr>
      <w:tr w:rsidR="00203F72" w:rsidRPr="00A53581" w14:paraId="5C5FF536" w14:textId="77777777" w:rsidTr="00203F72">
        <w:trPr>
          <w:tblCellSpacing w:w="15" w:type="dxa"/>
        </w:trPr>
        <w:tc>
          <w:tcPr>
            <w:tcW w:w="947" w:type="dxa"/>
            <w:vAlign w:val="center"/>
            <w:hideMark/>
          </w:tcPr>
          <w:p w14:paraId="5640403D" w14:textId="77777777" w:rsidR="00203F72" w:rsidRPr="00A53581" w:rsidRDefault="00203F72" w:rsidP="00D87D91">
            <w:pPr>
              <w:rPr>
                <w:rFonts w:cs="新細明體"/>
              </w:rPr>
            </w:pPr>
            <w:r w:rsidRPr="00A53581">
              <w:t>五</w:t>
            </w:r>
          </w:p>
        </w:tc>
        <w:tc>
          <w:tcPr>
            <w:tcW w:w="2805" w:type="dxa"/>
            <w:vAlign w:val="center"/>
            <w:hideMark/>
          </w:tcPr>
          <w:p w14:paraId="79ED3C7F" w14:textId="77777777" w:rsidR="00203F72" w:rsidRPr="00A53581" w:rsidRDefault="00203F72" w:rsidP="00D87D91">
            <w:pPr>
              <w:rPr>
                <w:rFonts w:cs="新細明體"/>
              </w:rPr>
            </w:pPr>
            <w:r w:rsidRPr="00A53581">
              <w:t>兩廣區</w:t>
            </w:r>
          </w:p>
        </w:tc>
        <w:tc>
          <w:tcPr>
            <w:tcW w:w="2932" w:type="dxa"/>
            <w:vAlign w:val="center"/>
            <w:hideMark/>
          </w:tcPr>
          <w:p w14:paraId="1D36DA43" w14:textId="77777777" w:rsidR="00203F72" w:rsidRPr="00A53581" w:rsidRDefault="00203F72" w:rsidP="00D87D91">
            <w:pPr>
              <w:rPr>
                <w:rFonts w:cs="新細明體"/>
              </w:rPr>
            </w:pPr>
            <w:r w:rsidRPr="00A53581">
              <w:t>廣東省、廣西省</w:t>
            </w:r>
          </w:p>
        </w:tc>
      </w:tr>
      <w:tr w:rsidR="00203F72" w:rsidRPr="00A53581" w14:paraId="7C00C1E4" w14:textId="77777777" w:rsidTr="00203F72">
        <w:trPr>
          <w:tblCellSpacing w:w="15" w:type="dxa"/>
        </w:trPr>
        <w:tc>
          <w:tcPr>
            <w:tcW w:w="947" w:type="dxa"/>
            <w:vAlign w:val="center"/>
            <w:hideMark/>
          </w:tcPr>
          <w:p w14:paraId="684EED49" w14:textId="77777777" w:rsidR="00203F72" w:rsidRPr="00A53581" w:rsidRDefault="00203F72" w:rsidP="00D87D91">
            <w:pPr>
              <w:rPr>
                <w:rFonts w:cs="新細明體"/>
              </w:rPr>
            </w:pPr>
            <w:r w:rsidRPr="00A53581">
              <w:t>六</w:t>
            </w:r>
          </w:p>
        </w:tc>
        <w:tc>
          <w:tcPr>
            <w:tcW w:w="2805" w:type="dxa"/>
            <w:vAlign w:val="center"/>
            <w:hideMark/>
          </w:tcPr>
          <w:p w14:paraId="36F1ED1A" w14:textId="77777777" w:rsidR="00203F72" w:rsidRPr="00A53581" w:rsidRDefault="00203F72" w:rsidP="00D87D91">
            <w:pPr>
              <w:rPr>
                <w:rFonts w:cs="新細明體"/>
              </w:rPr>
            </w:pPr>
            <w:r w:rsidRPr="00A53581">
              <w:t>兩湖區</w:t>
            </w:r>
          </w:p>
        </w:tc>
        <w:tc>
          <w:tcPr>
            <w:tcW w:w="2932" w:type="dxa"/>
            <w:vAlign w:val="center"/>
            <w:hideMark/>
          </w:tcPr>
          <w:p w14:paraId="7A21C147" w14:textId="77777777" w:rsidR="00203F72" w:rsidRPr="00A53581" w:rsidRDefault="00203F72" w:rsidP="00D87D91">
            <w:pPr>
              <w:rPr>
                <w:rFonts w:cs="新細明體"/>
              </w:rPr>
            </w:pPr>
            <w:r w:rsidRPr="00A53581">
              <w:t>湖北省、湖南省</w:t>
            </w:r>
          </w:p>
        </w:tc>
      </w:tr>
      <w:tr w:rsidR="00203F72" w:rsidRPr="00A53581" w14:paraId="73154A66" w14:textId="77777777" w:rsidTr="00203F72">
        <w:trPr>
          <w:tblCellSpacing w:w="15" w:type="dxa"/>
        </w:trPr>
        <w:tc>
          <w:tcPr>
            <w:tcW w:w="947" w:type="dxa"/>
            <w:vAlign w:val="center"/>
            <w:hideMark/>
          </w:tcPr>
          <w:p w14:paraId="441B46D5" w14:textId="77777777" w:rsidR="00203F72" w:rsidRPr="00A53581" w:rsidRDefault="00203F72" w:rsidP="00D87D91">
            <w:pPr>
              <w:rPr>
                <w:rFonts w:cs="新細明體"/>
              </w:rPr>
            </w:pPr>
            <w:r w:rsidRPr="00A53581">
              <w:t>七</w:t>
            </w:r>
          </w:p>
        </w:tc>
        <w:tc>
          <w:tcPr>
            <w:tcW w:w="2805" w:type="dxa"/>
            <w:vAlign w:val="center"/>
            <w:hideMark/>
          </w:tcPr>
          <w:p w14:paraId="65792EB8" w14:textId="77777777" w:rsidR="00203F72" w:rsidRPr="00A53581" w:rsidRDefault="00203F72" w:rsidP="00D87D91">
            <w:pPr>
              <w:rPr>
                <w:rFonts w:cs="新細明體"/>
              </w:rPr>
            </w:pPr>
            <w:r w:rsidRPr="00A53581">
              <w:t>皖贛區</w:t>
            </w:r>
          </w:p>
        </w:tc>
        <w:tc>
          <w:tcPr>
            <w:tcW w:w="2932" w:type="dxa"/>
            <w:vAlign w:val="center"/>
            <w:hideMark/>
          </w:tcPr>
          <w:p w14:paraId="750244C6" w14:textId="77777777" w:rsidR="00203F72" w:rsidRPr="00A53581" w:rsidRDefault="00203F72" w:rsidP="00D87D91">
            <w:pPr>
              <w:rPr>
                <w:rFonts w:cs="新細明體"/>
              </w:rPr>
            </w:pPr>
            <w:r w:rsidRPr="00A53581">
              <w:t>安徽省、江西省</w:t>
            </w:r>
          </w:p>
        </w:tc>
      </w:tr>
      <w:tr w:rsidR="00203F72" w:rsidRPr="00A53581" w14:paraId="6314398A" w14:textId="77777777" w:rsidTr="00203F72">
        <w:trPr>
          <w:tblCellSpacing w:w="15" w:type="dxa"/>
        </w:trPr>
        <w:tc>
          <w:tcPr>
            <w:tcW w:w="947" w:type="dxa"/>
            <w:vAlign w:val="center"/>
            <w:hideMark/>
          </w:tcPr>
          <w:p w14:paraId="12D42F9B" w14:textId="77777777" w:rsidR="00203F72" w:rsidRPr="00A53581" w:rsidRDefault="00203F72" w:rsidP="00D87D91">
            <w:pPr>
              <w:rPr>
                <w:rFonts w:cs="新細明體"/>
              </w:rPr>
            </w:pPr>
            <w:r w:rsidRPr="00A53581">
              <w:t>八</w:t>
            </w:r>
          </w:p>
        </w:tc>
        <w:tc>
          <w:tcPr>
            <w:tcW w:w="2805" w:type="dxa"/>
            <w:vAlign w:val="center"/>
            <w:hideMark/>
          </w:tcPr>
          <w:p w14:paraId="71330D38" w14:textId="77777777" w:rsidR="00203F72" w:rsidRPr="00A53581" w:rsidRDefault="00203F72" w:rsidP="00D87D91">
            <w:pPr>
              <w:rPr>
                <w:rFonts w:cs="新細明體"/>
              </w:rPr>
            </w:pPr>
            <w:r w:rsidRPr="00A53581">
              <w:t>閩臺區</w:t>
            </w:r>
          </w:p>
        </w:tc>
        <w:tc>
          <w:tcPr>
            <w:tcW w:w="2932" w:type="dxa"/>
            <w:vAlign w:val="center"/>
            <w:hideMark/>
          </w:tcPr>
          <w:p w14:paraId="4E8F1B39" w14:textId="77777777" w:rsidR="00203F72" w:rsidRPr="00A53581" w:rsidRDefault="00203F72" w:rsidP="00D87D91">
            <w:pPr>
              <w:rPr>
                <w:rFonts w:cs="新細明體"/>
              </w:rPr>
            </w:pPr>
            <w:r w:rsidRPr="00A53581">
              <w:t>福建省、臺灣省</w:t>
            </w:r>
          </w:p>
        </w:tc>
      </w:tr>
      <w:tr w:rsidR="00203F72" w:rsidRPr="00A53581" w14:paraId="0E530585" w14:textId="77777777" w:rsidTr="00203F72">
        <w:trPr>
          <w:tblCellSpacing w:w="15" w:type="dxa"/>
        </w:trPr>
        <w:tc>
          <w:tcPr>
            <w:tcW w:w="947" w:type="dxa"/>
            <w:vAlign w:val="center"/>
            <w:hideMark/>
          </w:tcPr>
          <w:p w14:paraId="19F04930" w14:textId="77777777" w:rsidR="00203F72" w:rsidRPr="00A53581" w:rsidRDefault="00203F72" w:rsidP="00D87D91">
            <w:pPr>
              <w:rPr>
                <w:rFonts w:cs="新細明體"/>
              </w:rPr>
            </w:pPr>
            <w:r w:rsidRPr="00A53581">
              <w:t>九</w:t>
            </w:r>
          </w:p>
        </w:tc>
        <w:tc>
          <w:tcPr>
            <w:tcW w:w="2805" w:type="dxa"/>
            <w:vAlign w:val="center"/>
            <w:hideMark/>
          </w:tcPr>
          <w:p w14:paraId="3234790D" w14:textId="77777777" w:rsidR="00203F72" w:rsidRPr="00A53581" w:rsidRDefault="00203F72" w:rsidP="00D87D91">
            <w:pPr>
              <w:rPr>
                <w:rFonts w:cs="新細明體"/>
              </w:rPr>
            </w:pPr>
            <w:r w:rsidRPr="00A53581">
              <w:t>蘇浙區</w:t>
            </w:r>
          </w:p>
        </w:tc>
        <w:tc>
          <w:tcPr>
            <w:tcW w:w="2932" w:type="dxa"/>
            <w:vAlign w:val="center"/>
            <w:hideMark/>
          </w:tcPr>
          <w:p w14:paraId="2214AD8F" w14:textId="77777777" w:rsidR="00203F72" w:rsidRPr="00A53581" w:rsidRDefault="00203F72" w:rsidP="00D87D91">
            <w:pPr>
              <w:rPr>
                <w:rFonts w:cs="新細明體"/>
              </w:rPr>
            </w:pPr>
            <w:r w:rsidRPr="00A53581">
              <w:t>江蘇省、浙江省</w:t>
            </w:r>
          </w:p>
        </w:tc>
      </w:tr>
      <w:tr w:rsidR="00203F72" w:rsidRPr="00A53581" w14:paraId="45F11F4C" w14:textId="77777777" w:rsidTr="00203F72">
        <w:trPr>
          <w:tblCellSpacing w:w="15" w:type="dxa"/>
        </w:trPr>
        <w:tc>
          <w:tcPr>
            <w:tcW w:w="947" w:type="dxa"/>
            <w:vAlign w:val="center"/>
            <w:hideMark/>
          </w:tcPr>
          <w:p w14:paraId="22076622" w14:textId="77777777" w:rsidR="00203F72" w:rsidRPr="00A53581" w:rsidRDefault="00203F72" w:rsidP="00D87D91">
            <w:pPr>
              <w:rPr>
                <w:rFonts w:cs="新細明體"/>
              </w:rPr>
            </w:pPr>
            <w:r w:rsidRPr="00A53581">
              <w:t>十</w:t>
            </w:r>
          </w:p>
        </w:tc>
        <w:tc>
          <w:tcPr>
            <w:tcW w:w="2805" w:type="dxa"/>
            <w:vAlign w:val="center"/>
            <w:hideMark/>
          </w:tcPr>
          <w:p w14:paraId="10E5DD47" w14:textId="77777777" w:rsidR="00203F72" w:rsidRPr="00A53581" w:rsidRDefault="00203F72" w:rsidP="00D87D91">
            <w:pPr>
              <w:rPr>
                <w:rFonts w:cs="新細明體"/>
              </w:rPr>
            </w:pPr>
            <w:r w:rsidRPr="00A53581">
              <w:t>冀熱察區</w:t>
            </w:r>
          </w:p>
        </w:tc>
        <w:tc>
          <w:tcPr>
            <w:tcW w:w="2932" w:type="dxa"/>
            <w:vAlign w:val="center"/>
            <w:hideMark/>
          </w:tcPr>
          <w:p w14:paraId="5D66A5BD" w14:textId="77777777" w:rsidR="00203F72" w:rsidRPr="00A53581" w:rsidRDefault="00203F72" w:rsidP="00D87D91">
            <w:pPr>
              <w:rPr>
                <w:rFonts w:cs="新細明體"/>
              </w:rPr>
            </w:pPr>
            <w:r w:rsidRPr="00A53581">
              <w:t>河北省、熱河省、察哈爾省</w:t>
            </w:r>
          </w:p>
        </w:tc>
      </w:tr>
      <w:tr w:rsidR="00203F72" w:rsidRPr="00A53581" w14:paraId="4C20150E" w14:textId="77777777" w:rsidTr="00203F72">
        <w:trPr>
          <w:tblCellSpacing w:w="15" w:type="dxa"/>
        </w:trPr>
        <w:tc>
          <w:tcPr>
            <w:tcW w:w="947" w:type="dxa"/>
            <w:vAlign w:val="center"/>
            <w:hideMark/>
          </w:tcPr>
          <w:p w14:paraId="4E4A8611" w14:textId="77777777" w:rsidR="00203F72" w:rsidRPr="00A53581" w:rsidRDefault="00203F72" w:rsidP="00D87D91">
            <w:pPr>
              <w:rPr>
                <w:rFonts w:cs="新細明體"/>
              </w:rPr>
            </w:pPr>
            <w:r w:rsidRPr="00A53581">
              <w:t>十一</w:t>
            </w:r>
          </w:p>
        </w:tc>
        <w:tc>
          <w:tcPr>
            <w:tcW w:w="2805" w:type="dxa"/>
            <w:vAlign w:val="center"/>
            <w:hideMark/>
          </w:tcPr>
          <w:p w14:paraId="1C0623C1" w14:textId="77777777" w:rsidR="00203F72" w:rsidRPr="00A53581" w:rsidRDefault="00203F72" w:rsidP="00D87D91">
            <w:pPr>
              <w:rPr>
                <w:rFonts w:cs="新細明體"/>
              </w:rPr>
            </w:pPr>
            <w:r w:rsidRPr="00A53581">
              <w:t>川康區</w:t>
            </w:r>
          </w:p>
        </w:tc>
        <w:tc>
          <w:tcPr>
            <w:tcW w:w="2932" w:type="dxa"/>
            <w:vAlign w:val="center"/>
            <w:hideMark/>
          </w:tcPr>
          <w:p w14:paraId="329653F8" w14:textId="77777777" w:rsidR="00203F72" w:rsidRPr="00A53581" w:rsidRDefault="00203F72" w:rsidP="00D87D91">
            <w:pPr>
              <w:rPr>
                <w:rFonts w:cs="新細明體"/>
              </w:rPr>
            </w:pPr>
            <w:r w:rsidRPr="00A53581">
              <w:t>四川省、西康省</w:t>
            </w:r>
          </w:p>
        </w:tc>
      </w:tr>
      <w:tr w:rsidR="00203F72" w:rsidRPr="00A53581" w14:paraId="65C7DD12" w14:textId="77777777" w:rsidTr="00203F72">
        <w:trPr>
          <w:tblCellSpacing w:w="15" w:type="dxa"/>
        </w:trPr>
        <w:tc>
          <w:tcPr>
            <w:tcW w:w="947" w:type="dxa"/>
            <w:vAlign w:val="center"/>
            <w:hideMark/>
          </w:tcPr>
          <w:p w14:paraId="05D48A43" w14:textId="77777777" w:rsidR="00203F72" w:rsidRPr="00A53581" w:rsidRDefault="00203F72" w:rsidP="00D87D91">
            <w:pPr>
              <w:rPr>
                <w:rFonts w:cs="新細明體"/>
              </w:rPr>
            </w:pPr>
            <w:r w:rsidRPr="00A53581">
              <w:t>十二</w:t>
            </w:r>
          </w:p>
        </w:tc>
        <w:tc>
          <w:tcPr>
            <w:tcW w:w="2805" w:type="dxa"/>
            <w:vAlign w:val="center"/>
            <w:hideMark/>
          </w:tcPr>
          <w:p w14:paraId="45C8ED74" w14:textId="77777777" w:rsidR="00203F72" w:rsidRPr="00A53581" w:rsidRDefault="00203F72" w:rsidP="00D87D91">
            <w:pPr>
              <w:rPr>
                <w:rFonts w:cs="新細明體"/>
              </w:rPr>
            </w:pPr>
            <w:r w:rsidRPr="00A53581">
              <w:t>新疆區</w:t>
            </w:r>
          </w:p>
        </w:tc>
        <w:tc>
          <w:tcPr>
            <w:tcW w:w="2932" w:type="dxa"/>
            <w:vAlign w:val="center"/>
            <w:hideMark/>
          </w:tcPr>
          <w:p w14:paraId="484A4F0F" w14:textId="77777777" w:rsidR="00203F72" w:rsidRPr="00A53581" w:rsidRDefault="00203F72" w:rsidP="00D87D91">
            <w:pPr>
              <w:rPr>
                <w:rFonts w:cs="新細明體"/>
              </w:rPr>
            </w:pPr>
            <w:r w:rsidRPr="00A53581">
              <w:t>新疆省</w:t>
            </w:r>
          </w:p>
        </w:tc>
      </w:tr>
      <w:tr w:rsidR="00203F72" w:rsidRPr="00A53581" w14:paraId="06A04FC5" w14:textId="77777777" w:rsidTr="00203F72">
        <w:trPr>
          <w:tblCellSpacing w:w="15" w:type="dxa"/>
        </w:trPr>
        <w:tc>
          <w:tcPr>
            <w:tcW w:w="947" w:type="dxa"/>
            <w:vAlign w:val="center"/>
            <w:hideMark/>
          </w:tcPr>
          <w:p w14:paraId="3F78E796" w14:textId="77777777" w:rsidR="00203F72" w:rsidRPr="00A53581" w:rsidRDefault="00203F72" w:rsidP="00D87D91">
            <w:pPr>
              <w:rPr>
                <w:rFonts w:cs="新細明體"/>
              </w:rPr>
            </w:pPr>
            <w:r w:rsidRPr="00A53581">
              <w:t>十三</w:t>
            </w:r>
          </w:p>
        </w:tc>
        <w:tc>
          <w:tcPr>
            <w:tcW w:w="2805" w:type="dxa"/>
            <w:vAlign w:val="center"/>
            <w:hideMark/>
          </w:tcPr>
          <w:p w14:paraId="1C593C7D" w14:textId="77777777" w:rsidR="00203F72" w:rsidRPr="00A53581" w:rsidRDefault="00203F72" w:rsidP="00D87D91">
            <w:pPr>
              <w:rPr>
                <w:rFonts w:cs="新細明體"/>
              </w:rPr>
            </w:pPr>
            <w:r w:rsidRPr="00A53581">
              <w:t>遼寧安東遼北區</w:t>
            </w:r>
          </w:p>
        </w:tc>
        <w:tc>
          <w:tcPr>
            <w:tcW w:w="2932" w:type="dxa"/>
            <w:vAlign w:val="center"/>
            <w:hideMark/>
          </w:tcPr>
          <w:p w14:paraId="26723678" w14:textId="77777777" w:rsidR="00203F72" w:rsidRPr="00A53581" w:rsidRDefault="00203F72" w:rsidP="00D87D91">
            <w:pPr>
              <w:rPr>
                <w:rFonts w:cs="新細明體"/>
              </w:rPr>
            </w:pPr>
            <w:r w:rsidRPr="00A53581">
              <w:t>遼寧省、安東省、遼北省</w:t>
            </w:r>
          </w:p>
        </w:tc>
      </w:tr>
      <w:tr w:rsidR="00203F72" w:rsidRPr="00A53581" w14:paraId="5213C1AD" w14:textId="77777777" w:rsidTr="00203F72">
        <w:trPr>
          <w:tblCellSpacing w:w="15" w:type="dxa"/>
        </w:trPr>
        <w:tc>
          <w:tcPr>
            <w:tcW w:w="947" w:type="dxa"/>
            <w:vAlign w:val="center"/>
            <w:hideMark/>
          </w:tcPr>
          <w:p w14:paraId="4F20F88E" w14:textId="77777777" w:rsidR="00203F72" w:rsidRPr="00A53581" w:rsidRDefault="00203F72" w:rsidP="00D87D91">
            <w:pPr>
              <w:rPr>
                <w:rFonts w:cs="新細明體"/>
              </w:rPr>
            </w:pPr>
            <w:r w:rsidRPr="00A53581">
              <w:t>十四</w:t>
            </w:r>
          </w:p>
        </w:tc>
        <w:tc>
          <w:tcPr>
            <w:tcW w:w="2805" w:type="dxa"/>
            <w:vAlign w:val="center"/>
            <w:hideMark/>
          </w:tcPr>
          <w:p w14:paraId="3EEC3E12" w14:textId="77777777" w:rsidR="00203F72" w:rsidRPr="00A53581" w:rsidRDefault="00203F72" w:rsidP="00D87D91">
            <w:pPr>
              <w:rPr>
                <w:rFonts w:cs="新細明體"/>
              </w:rPr>
            </w:pPr>
            <w:r w:rsidRPr="00A53581">
              <w:t>吉林松江合江區</w:t>
            </w:r>
          </w:p>
        </w:tc>
        <w:tc>
          <w:tcPr>
            <w:tcW w:w="2932" w:type="dxa"/>
            <w:vAlign w:val="center"/>
            <w:hideMark/>
          </w:tcPr>
          <w:p w14:paraId="08161441" w14:textId="77777777" w:rsidR="00203F72" w:rsidRPr="00A53581" w:rsidRDefault="00203F72" w:rsidP="00D87D91">
            <w:pPr>
              <w:rPr>
                <w:rFonts w:cs="新細明體"/>
              </w:rPr>
            </w:pPr>
            <w:r w:rsidRPr="00A53581">
              <w:t>吉林省、松江省、合江省</w:t>
            </w:r>
          </w:p>
        </w:tc>
      </w:tr>
      <w:tr w:rsidR="00203F72" w:rsidRPr="00A53581" w14:paraId="4034BD77" w14:textId="77777777" w:rsidTr="00203F72">
        <w:trPr>
          <w:tblCellSpacing w:w="15" w:type="dxa"/>
        </w:trPr>
        <w:tc>
          <w:tcPr>
            <w:tcW w:w="947" w:type="dxa"/>
            <w:vAlign w:val="center"/>
            <w:hideMark/>
          </w:tcPr>
          <w:p w14:paraId="5AF9EF4D" w14:textId="77777777" w:rsidR="00203F72" w:rsidRPr="00A53581" w:rsidRDefault="00203F72" w:rsidP="00D87D91">
            <w:pPr>
              <w:rPr>
                <w:rFonts w:cs="新細明體"/>
              </w:rPr>
            </w:pPr>
            <w:r w:rsidRPr="00A53581">
              <w:t>十五</w:t>
            </w:r>
          </w:p>
        </w:tc>
        <w:tc>
          <w:tcPr>
            <w:tcW w:w="2805" w:type="dxa"/>
            <w:vAlign w:val="center"/>
            <w:hideMark/>
          </w:tcPr>
          <w:p w14:paraId="415E3490" w14:textId="77777777" w:rsidR="00203F72" w:rsidRPr="00A53581" w:rsidRDefault="00203F72" w:rsidP="00D87D91">
            <w:pPr>
              <w:rPr>
                <w:rFonts w:cs="新細明體"/>
              </w:rPr>
            </w:pPr>
            <w:r w:rsidRPr="00A53581">
              <w:t>嫩江龍江興安區</w:t>
            </w:r>
          </w:p>
        </w:tc>
        <w:tc>
          <w:tcPr>
            <w:tcW w:w="2932" w:type="dxa"/>
            <w:vAlign w:val="center"/>
            <w:hideMark/>
          </w:tcPr>
          <w:p w14:paraId="56135F1D" w14:textId="77777777" w:rsidR="00203F72" w:rsidRPr="00A53581" w:rsidRDefault="00203F72" w:rsidP="00D87D91">
            <w:pPr>
              <w:rPr>
                <w:rFonts w:cs="新細明體"/>
              </w:rPr>
            </w:pPr>
            <w:r w:rsidRPr="00A53581">
              <w:t>嫩江省、黑龍江省、興安省</w:t>
            </w:r>
          </w:p>
        </w:tc>
      </w:tr>
      <w:tr w:rsidR="00203F72" w:rsidRPr="00A53581" w14:paraId="6830DDEC" w14:textId="77777777" w:rsidTr="00203F72">
        <w:trPr>
          <w:tblCellSpacing w:w="15" w:type="dxa"/>
        </w:trPr>
        <w:tc>
          <w:tcPr>
            <w:tcW w:w="947" w:type="dxa"/>
            <w:vAlign w:val="center"/>
            <w:hideMark/>
          </w:tcPr>
          <w:p w14:paraId="42556794" w14:textId="77777777" w:rsidR="00203F72" w:rsidRPr="00A53581" w:rsidRDefault="00203F72" w:rsidP="00D87D91">
            <w:pPr>
              <w:rPr>
                <w:rFonts w:cs="新細明體"/>
              </w:rPr>
            </w:pPr>
            <w:r w:rsidRPr="00A53581">
              <w:t>十六</w:t>
            </w:r>
          </w:p>
        </w:tc>
        <w:tc>
          <w:tcPr>
            <w:tcW w:w="2805" w:type="dxa"/>
            <w:vAlign w:val="center"/>
            <w:hideMark/>
          </w:tcPr>
          <w:p w14:paraId="61738170" w14:textId="77777777" w:rsidR="00203F72" w:rsidRPr="00A53581" w:rsidRDefault="00203F72" w:rsidP="00D87D91">
            <w:pPr>
              <w:rPr>
                <w:rFonts w:cs="新細明體"/>
              </w:rPr>
            </w:pPr>
            <w:r w:rsidRPr="00A53581">
              <w:t>西藏區</w:t>
            </w:r>
          </w:p>
        </w:tc>
        <w:tc>
          <w:tcPr>
            <w:tcW w:w="2932" w:type="dxa"/>
            <w:vAlign w:val="center"/>
            <w:hideMark/>
          </w:tcPr>
          <w:p w14:paraId="27399C60" w14:textId="77777777" w:rsidR="00203F72" w:rsidRPr="00A53581" w:rsidRDefault="00203F72" w:rsidP="00D87D91">
            <w:pPr>
              <w:rPr>
                <w:rFonts w:cs="新細明體"/>
              </w:rPr>
            </w:pPr>
            <w:r w:rsidRPr="00A53581">
              <w:t>西藏地方</w:t>
            </w:r>
          </w:p>
        </w:tc>
      </w:tr>
      <w:tr w:rsidR="00203F72" w:rsidRPr="00A53581" w14:paraId="3DCAC7F7" w14:textId="77777777" w:rsidTr="00203F72">
        <w:trPr>
          <w:tblCellSpacing w:w="15" w:type="dxa"/>
        </w:trPr>
        <w:tc>
          <w:tcPr>
            <w:tcW w:w="947" w:type="dxa"/>
            <w:vAlign w:val="center"/>
            <w:hideMark/>
          </w:tcPr>
          <w:p w14:paraId="35BE98C7" w14:textId="77777777" w:rsidR="00203F72" w:rsidRPr="00A53581" w:rsidRDefault="00203F72" w:rsidP="00D87D91">
            <w:pPr>
              <w:rPr>
                <w:rFonts w:cs="新細明體"/>
              </w:rPr>
            </w:pPr>
            <w:r w:rsidRPr="00A53581">
              <w:t>十七</w:t>
            </w:r>
          </w:p>
        </w:tc>
        <w:tc>
          <w:tcPr>
            <w:tcW w:w="2805" w:type="dxa"/>
            <w:vAlign w:val="center"/>
            <w:hideMark/>
          </w:tcPr>
          <w:p w14:paraId="6BF7CF4D" w14:textId="77777777" w:rsidR="00203F72" w:rsidRPr="00A53581" w:rsidRDefault="00203F72" w:rsidP="00D87D91">
            <w:pPr>
              <w:rPr>
                <w:rFonts w:cs="新細明體"/>
              </w:rPr>
            </w:pPr>
            <w:r w:rsidRPr="00A53581">
              <w:t>蒙古區</w:t>
            </w:r>
          </w:p>
        </w:tc>
        <w:tc>
          <w:tcPr>
            <w:tcW w:w="2932" w:type="dxa"/>
            <w:vAlign w:val="center"/>
            <w:hideMark/>
          </w:tcPr>
          <w:p w14:paraId="1CD8A1FA" w14:textId="77777777" w:rsidR="00203F72" w:rsidRPr="00A53581" w:rsidRDefault="00203F72" w:rsidP="00D87D91">
            <w:pPr>
              <w:rPr>
                <w:rFonts w:cs="新細明體"/>
              </w:rPr>
            </w:pPr>
            <w:r w:rsidRPr="00A53581">
              <w:t>蒙古地方</w:t>
            </w:r>
          </w:p>
        </w:tc>
      </w:tr>
    </w:tbl>
    <w:p w14:paraId="276627E6" w14:textId="77777777"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，監察院，上網瀏覽時日：</w:t>
      </w:r>
      <w:r w:rsidR="00203F72" w:rsidRPr="00A53581">
        <w:rPr>
          <w:rFonts w:hint="eastAsia"/>
        </w:rPr>
        <w:t>2015/08/02</w:t>
      </w:r>
      <w:r w:rsidR="00203F72" w:rsidRPr="00A53581">
        <w:rPr>
          <w:rFonts w:hint="eastAsia"/>
        </w:rPr>
        <w:t>，</w:t>
      </w:r>
      <w:hyperlink r:id="rId1056" w:history="1">
        <w:r w:rsidR="00203F72" w:rsidRPr="008B1A5A">
          <w:rPr>
            <w:rStyle w:val="a5"/>
            <w:rFonts w:eastAsia="新細明體"/>
          </w:rPr>
          <w:t>https://zh.wikipedia.org/wiki/%E7%9B%A3%E5%AF%9F%E9%99%A2</w:t>
        </w:r>
      </w:hyperlink>
      <w:r w:rsidR="00203F72" w:rsidRPr="00A53581">
        <w:t>。</w:t>
      </w:r>
    </w:p>
    <w:p w14:paraId="15155BE1" w14:textId="77777777"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6F72787D" w14:textId="77777777" w:rsidR="00203F72" w:rsidRPr="00A53581" w:rsidRDefault="00203F72" w:rsidP="00D87D91"/>
    <w:p w14:paraId="158544A1" w14:textId="77777777" w:rsidR="00953151" w:rsidRDefault="00203F72" w:rsidP="00767F37">
      <w:pPr>
        <w:pStyle w:val="2"/>
      </w:pPr>
      <w:bookmarkStart w:id="37" w:name="_第十章_中央與地方之權限"/>
      <w:bookmarkEnd w:id="37"/>
      <w:r w:rsidRPr="00A53581">
        <w:t>第十章</w:t>
      </w:r>
      <w:r w:rsidRPr="00A53581">
        <w:t xml:space="preserve"> </w:t>
      </w:r>
      <w:r w:rsidRPr="00A53581">
        <w:t>中央與地方之權限</w:t>
      </w:r>
    </w:p>
    <w:p w14:paraId="34A699A6" w14:textId="77777777" w:rsidR="00203F72" w:rsidRPr="00A53581" w:rsidRDefault="00076467" w:rsidP="00767F37">
      <w:pPr>
        <w:pStyle w:val="2"/>
      </w:pPr>
      <w:hyperlink r:id="rId1057" w:anchor="a107" w:history="1">
        <w:r w:rsidR="005D5A46">
          <w:rPr>
            <w:rStyle w:val="a5"/>
            <w:rFonts w:ascii="Arial Unicode MS" w:hAnsi="Arial Unicode MS"/>
          </w:rPr>
          <w:t>第</w:t>
        </w:r>
        <w:r w:rsidR="00203F72" w:rsidRPr="00AB0A74">
          <w:rPr>
            <w:rStyle w:val="a5"/>
            <w:rFonts w:ascii="Arial Unicode MS" w:hAnsi="Arial Unicode MS"/>
          </w:rPr>
          <w:t>107</w:t>
        </w:r>
        <w:r w:rsidR="005D5A46">
          <w:rPr>
            <w:rStyle w:val="a5"/>
            <w:rFonts w:ascii="Arial Unicode MS" w:hAnsi="Arial Unicode MS"/>
          </w:rPr>
          <w:t>條</w:t>
        </w:r>
      </w:hyperlink>
      <w:r w:rsidR="00203F72" w:rsidRPr="00A53581">
        <w:t>左列事項，由中央立法並執行之：</w:t>
      </w:r>
    </w:p>
    <w:p w14:paraId="766141E1" w14:textId="77777777" w:rsidR="00203F72" w:rsidRPr="00DE63F7" w:rsidRDefault="00800CD7" w:rsidP="00D87D91">
      <w:r w:rsidRPr="00DE63F7">
        <w:t xml:space="preserve">　　</w:t>
      </w:r>
      <w:r w:rsidR="00203F72" w:rsidRPr="00DE63F7">
        <w:t>一</w:t>
      </w:r>
      <w:r w:rsidRPr="00DE63F7">
        <w:t>、</w:t>
      </w:r>
      <w:r w:rsidR="00203F72" w:rsidRPr="00DE63F7">
        <w:t>外交。</w:t>
      </w:r>
    </w:p>
    <w:p w14:paraId="0C294702" w14:textId="77777777" w:rsidR="00203F72" w:rsidRPr="00DE63F7" w:rsidRDefault="00800CD7" w:rsidP="00D87D91">
      <w:r w:rsidRPr="00DE63F7">
        <w:t xml:space="preserve">　　</w:t>
      </w:r>
      <w:r w:rsidR="00203F72" w:rsidRPr="00DE63F7">
        <w:t>二</w:t>
      </w:r>
      <w:r w:rsidRPr="00DE63F7">
        <w:t>、</w:t>
      </w:r>
      <w:r w:rsidR="00203F72" w:rsidRPr="00DE63F7">
        <w:t>國防與國防軍事。</w:t>
      </w:r>
    </w:p>
    <w:p w14:paraId="2695CB5B" w14:textId="77777777" w:rsidR="00203F72" w:rsidRPr="00DE63F7" w:rsidRDefault="00800CD7" w:rsidP="00D87D91">
      <w:r w:rsidRPr="00DE63F7">
        <w:t xml:space="preserve">　　</w:t>
      </w:r>
      <w:r w:rsidR="00203F72" w:rsidRPr="00DE63F7">
        <w:t>三</w:t>
      </w:r>
      <w:r w:rsidRPr="00DE63F7">
        <w:t>、</w:t>
      </w:r>
      <w:r w:rsidR="00203F72" w:rsidRPr="00DE63F7">
        <w:t>國籍法及刑事、民事、商事之法律。</w:t>
      </w:r>
    </w:p>
    <w:p w14:paraId="5BA71B4D" w14:textId="77777777" w:rsidR="00203F72" w:rsidRPr="00DE63F7" w:rsidRDefault="00800CD7" w:rsidP="00D87D91">
      <w:r w:rsidRPr="00DE63F7">
        <w:t xml:space="preserve">　　</w:t>
      </w:r>
      <w:r w:rsidR="00203F72" w:rsidRPr="00DE63F7">
        <w:t>四</w:t>
      </w:r>
      <w:r w:rsidRPr="00DE63F7">
        <w:t>、</w:t>
      </w:r>
      <w:r w:rsidR="00203F72" w:rsidRPr="00DE63F7">
        <w:t>司法制度。</w:t>
      </w:r>
    </w:p>
    <w:p w14:paraId="34CF507C" w14:textId="77777777" w:rsidR="00203F72" w:rsidRPr="00DE63F7" w:rsidRDefault="00800CD7" w:rsidP="00D87D91">
      <w:r w:rsidRPr="00DE63F7">
        <w:t xml:space="preserve">　　</w:t>
      </w:r>
      <w:r w:rsidR="00203F72" w:rsidRPr="00DE63F7">
        <w:t>五</w:t>
      </w:r>
      <w:r w:rsidRPr="00DE63F7">
        <w:t>、</w:t>
      </w:r>
      <w:r w:rsidR="00203F72" w:rsidRPr="00DE63F7">
        <w:t>航空、國道、國有鐵路、航政、郵政及電政。</w:t>
      </w:r>
    </w:p>
    <w:p w14:paraId="104F7406" w14:textId="77777777" w:rsidR="00203F72" w:rsidRPr="00DE63F7" w:rsidRDefault="00800CD7" w:rsidP="00D87D91">
      <w:r w:rsidRPr="00DE63F7">
        <w:t xml:space="preserve">　　</w:t>
      </w:r>
      <w:r w:rsidR="00203F72" w:rsidRPr="00DE63F7">
        <w:t>六</w:t>
      </w:r>
      <w:r w:rsidRPr="00DE63F7">
        <w:t>、</w:t>
      </w:r>
      <w:r w:rsidR="00203F72" w:rsidRPr="00DE63F7">
        <w:t>中央財政與國稅。</w:t>
      </w:r>
    </w:p>
    <w:p w14:paraId="5322CEE3" w14:textId="77777777" w:rsidR="00203F72" w:rsidRPr="00DE63F7" w:rsidRDefault="00800CD7" w:rsidP="00D87D91">
      <w:r w:rsidRPr="00DE63F7">
        <w:t xml:space="preserve">　　</w:t>
      </w:r>
      <w:r w:rsidR="00203F72" w:rsidRPr="00DE63F7">
        <w:t>七</w:t>
      </w:r>
      <w:r w:rsidRPr="00DE63F7">
        <w:t>、</w:t>
      </w:r>
      <w:r w:rsidR="00203F72" w:rsidRPr="00DE63F7">
        <w:t>國稅與省稅、縣稅之劃分。</w:t>
      </w:r>
    </w:p>
    <w:p w14:paraId="7967C9F4" w14:textId="77777777" w:rsidR="00203F72" w:rsidRPr="00DE63F7" w:rsidRDefault="00800CD7" w:rsidP="00D87D91">
      <w:r w:rsidRPr="00DE63F7">
        <w:t xml:space="preserve">　　</w:t>
      </w:r>
      <w:r w:rsidR="00203F72" w:rsidRPr="00DE63F7">
        <w:t>八</w:t>
      </w:r>
      <w:r w:rsidRPr="00DE63F7">
        <w:t>、</w:t>
      </w:r>
      <w:r w:rsidR="00203F72" w:rsidRPr="00DE63F7">
        <w:t>國營經濟事業。</w:t>
      </w:r>
    </w:p>
    <w:p w14:paraId="1DBBA0A3" w14:textId="77777777" w:rsidR="00203F72" w:rsidRPr="00DE63F7" w:rsidRDefault="00800CD7" w:rsidP="00D87D91">
      <w:r w:rsidRPr="00DE63F7">
        <w:t xml:space="preserve">　　</w:t>
      </w:r>
      <w:r w:rsidR="00203F72" w:rsidRPr="00DE63F7">
        <w:t>九</w:t>
      </w:r>
      <w:r w:rsidRPr="00DE63F7">
        <w:t>、</w:t>
      </w:r>
      <w:r w:rsidR="00203F72" w:rsidRPr="00DE63F7">
        <w:t>幣制及國家銀行。</w:t>
      </w:r>
    </w:p>
    <w:p w14:paraId="420E3E98" w14:textId="77777777" w:rsidR="00203F72" w:rsidRPr="00DE63F7" w:rsidRDefault="00800CD7" w:rsidP="00D87D91">
      <w:r w:rsidRPr="00DE63F7">
        <w:t xml:space="preserve">　　</w:t>
      </w:r>
      <w:r w:rsidR="00203F72" w:rsidRPr="00DE63F7">
        <w:t>一</w:t>
      </w:r>
      <w:r w:rsidR="00203F72" w:rsidRPr="00DE63F7">
        <w:t>○</w:t>
      </w:r>
      <w:r w:rsidRPr="00DE63F7">
        <w:t>、</w:t>
      </w:r>
      <w:r w:rsidR="00203F72" w:rsidRPr="00DE63F7">
        <w:t>度量衡。</w:t>
      </w:r>
    </w:p>
    <w:p w14:paraId="37841B98" w14:textId="77777777" w:rsidR="00203F72" w:rsidRPr="00DE63F7" w:rsidRDefault="00800CD7" w:rsidP="00D87D91">
      <w:r w:rsidRPr="00DE63F7">
        <w:t xml:space="preserve">　　</w:t>
      </w:r>
      <w:r w:rsidR="00203F72" w:rsidRPr="00DE63F7">
        <w:t>一一</w:t>
      </w:r>
      <w:r w:rsidRPr="00DE63F7">
        <w:t>、</w:t>
      </w:r>
      <w:r w:rsidR="00203F72" w:rsidRPr="00DE63F7">
        <w:t>國際貿易政策。</w:t>
      </w:r>
    </w:p>
    <w:p w14:paraId="62236FE8" w14:textId="77777777" w:rsidR="00203F72" w:rsidRPr="00DE63F7" w:rsidRDefault="00800CD7" w:rsidP="00D87D91">
      <w:r w:rsidRPr="00DE63F7">
        <w:t xml:space="preserve">　　</w:t>
      </w:r>
      <w:r w:rsidR="00203F72" w:rsidRPr="00DE63F7">
        <w:t>一二</w:t>
      </w:r>
      <w:r w:rsidRPr="00DE63F7">
        <w:t>、</w:t>
      </w:r>
      <w:r w:rsidR="00203F72" w:rsidRPr="00DE63F7">
        <w:t>涉外之財政經濟事項。</w:t>
      </w:r>
    </w:p>
    <w:p w14:paraId="04890162" w14:textId="77777777" w:rsidR="00953151" w:rsidRPr="00DE63F7" w:rsidRDefault="00800CD7" w:rsidP="00D87D91">
      <w:r w:rsidRPr="00DE63F7">
        <w:t xml:space="preserve">　　</w:t>
      </w:r>
      <w:r w:rsidR="00203F72" w:rsidRPr="00DE63F7">
        <w:t>一三</w:t>
      </w:r>
      <w:r w:rsidRPr="00DE63F7">
        <w:t>、</w:t>
      </w:r>
      <w:r w:rsidR="00203F72" w:rsidRPr="00DE63F7">
        <w:t>其他依本憲法所定關於中央之事項。</w:t>
      </w:r>
    </w:p>
    <w:p w14:paraId="1706C7DF" w14:textId="77777777" w:rsidR="00953151" w:rsidRPr="00DE63F7" w:rsidRDefault="00B03E84" w:rsidP="00D87D91">
      <w:r w:rsidRPr="00DE63F7">
        <w:t>【內容解析】</w:t>
      </w:r>
    </w:p>
    <w:p w14:paraId="7A2E837C" w14:textId="77777777" w:rsidR="00953151" w:rsidRPr="00DE63F7" w:rsidRDefault="00800CD7" w:rsidP="00D87D91">
      <w:r w:rsidRPr="00DE63F7">
        <w:t xml:space="preserve">　　</w:t>
      </w:r>
      <w:r w:rsidR="00203F72" w:rsidRPr="00DE63F7">
        <w:t>本章在明定我國中央與地方之權限，凡全國之事務，均交由中央政府決定與處理，地方政府須聽從中央政府之命令，不能自行決定，稱為中央集權。若中央對地方事務單保留監督之權力，將地方事務交由地方政府自行處理，則稱為地方分權制。國父</w:t>
      </w:r>
      <w:r w:rsidR="00203F72" w:rsidRPr="00DE63F7">
        <w:t xml:space="preserve"> </w:t>
      </w:r>
      <w:r w:rsidR="00203F72" w:rsidRPr="00DE63F7">
        <w:t>孫中山先生獨創均權制政府，即其事務有全國一致之性質者，屬於中央，有因地制宜性質者屬於地方，不偏中央集權或地方分權，是中央集權與地方分權兩者之折衷制度。此條明定屬於由中央立法及執行之事項，係中央之權限與事務範圍。依據本條之規定，由中央立法並執行之事項，計有十三項，都具有全國一制之性質，屬於中央專屬事項。</w:t>
      </w:r>
    </w:p>
    <w:p w14:paraId="65772534" w14:textId="77777777" w:rsidR="00203F72" w:rsidRPr="00A53581" w:rsidRDefault="00076467" w:rsidP="00767F37">
      <w:pPr>
        <w:pStyle w:val="2"/>
      </w:pPr>
      <w:hyperlink r:id="rId1058" w:anchor="a108" w:history="1">
        <w:r w:rsidR="005D5A46">
          <w:rPr>
            <w:rStyle w:val="a5"/>
            <w:rFonts w:ascii="Arial Unicode MS" w:hAnsi="Arial Unicode MS"/>
          </w:rPr>
          <w:t>第</w:t>
        </w:r>
        <w:r w:rsidR="00203F72" w:rsidRPr="00AB0A74">
          <w:rPr>
            <w:rStyle w:val="a5"/>
            <w:rFonts w:ascii="Arial Unicode MS" w:hAnsi="Arial Unicode MS"/>
          </w:rPr>
          <w:t>108</w:t>
        </w:r>
        <w:r w:rsidR="005D5A46">
          <w:rPr>
            <w:rStyle w:val="a5"/>
            <w:rFonts w:ascii="Arial Unicode MS" w:hAnsi="Arial Unicode MS"/>
          </w:rPr>
          <w:t>條</w:t>
        </w:r>
      </w:hyperlink>
      <w:r w:rsidR="00203F72" w:rsidRPr="00A53581">
        <w:t>左列事項，由中央立法並執行之，或交由省縣執行之：</w:t>
      </w:r>
    </w:p>
    <w:p w14:paraId="26DB3128" w14:textId="77777777" w:rsidR="00203F72" w:rsidRPr="005E4924" w:rsidRDefault="00800CD7" w:rsidP="00D87D91">
      <w:r w:rsidRPr="005E4924">
        <w:t xml:space="preserve">　　</w:t>
      </w:r>
      <w:r w:rsidR="00203F72" w:rsidRPr="005E4924">
        <w:t>一</w:t>
      </w:r>
      <w:r w:rsidRPr="005E4924">
        <w:t>、</w:t>
      </w:r>
      <w:r w:rsidR="00203F72" w:rsidRPr="005E4924">
        <w:t>省縣自治通則。</w:t>
      </w:r>
    </w:p>
    <w:p w14:paraId="41F98946" w14:textId="77777777" w:rsidR="00203F72" w:rsidRPr="005E4924" w:rsidRDefault="00800CD7" w:rsidP="00D87D91">
      <w:r w:rsidRPr="005E4924">
        <w:t xml:space="preserve">　　</w:t>
      </w:r>
      <w:r w:rsidR="00203F72" w:rsidRPr="005E4924">
        <w:t>二</w:t>
      </w:r>
      <w:r w:rsidRPr="005E4924">
        <w:t>、</w:t>
      </w:r>
      <w:r w:rsidR="00203F72" w:rsidRPr="005E4924">
        <w:t>行政區劃</w:t>
      </w:r>
      <w:r w:rsidR="00203F72" w:rsidRPr="005E4924">
        <w:t xml:space="preserve"> </w:t>
      </w:r>
      <w:r w:rsidR="00203F72" w:rsidRPr="005E4924">
        <w:t>。</w:t>
      </w:r>
    </w:p>
    <w:p w14:paraId="1D140FAF" w14:textId="77777777" w:rsidR="00203F72" w:rsidRPr="005E4924" w:rsidRDefault="00800CD7" w:rsidP="00D87D91">
      <w:r w:rsidRPr="005E4924">
        <w:t xml:space="preserve">　　</w:t>
      </w:r>
      <w:r w:rsidR="00203F72" w:rsidRPr="005E4924">
        <w:t>三</w:t>
      </w:r>
      <w:r w:rsidRPr="005E4924">
        <w:t>、</w:t>
      </w:r>
      <w:r w:rsidR="00203F72" w:rsidRPr="005E4924">
        <w:t>森林、工礦及商業。</w:t>
      </w:r>
    </w:p>
    <w:p w14:paraId="25AA6A78" w14:textId="77777777" w:rsidR="00203F72" w:rsidRPr="005E4924" w:rsidRDefault="00800CD7" w:rsidP="00D87D91">
      <w:r w:rsidRPr="005E4924">
        <w:t xml:space="preserve">　　</w:t>
      </w:r>
      <w:r w:rsidR="00203F72" w:rsidRPr="005E4924">
        <w:t>四</w:t>
      </w:r>
      <w:r w:rsidRPr="005E4924">
        <w:t>、</w:t>
      </w:r>
      <w:r w:rsidR="00203F72" w:rsidRPr="005E4924">
        <w:t>教育制度。</w:t>
      </w:r>
    </w:p>
    <w:p w14:paraId="15C3326C" w14:textId="77777777" w:rsidR="00203F72" w:rsidRPr="005E4924" w:rsidRDefault="00800CD7" w:rsidP="00D87D91">
      <w:r w:rsidRPr="005E4924">
        <w:t xml:space="preserve">　　</w:t>
      </w:r>
      <w:r w:rsidR="00203F72" w:rsidRPr="005E4924">
        <w:t>五</w:t>
      </w:r>
      <w:r w:rsidRPr="005E4924">
        <w:t>、</w:t>
      </w:r>
      <w:r w:rsidR="00203F72" w:rsidRPr="005E4924">
        <w:t>銀行及交易所制度。</w:t>
      </w:r>
    </w:p>
    <w:p w14:paraId="7C720EE1" w14:textId="77777777" w:rsidR="00203F72" w:rsidRPr="005E4924" w:rsidRDefault="00800CD7" w:rsidP="00D87D91">
      <w:r w:rsidRPr="005E4924">
        <w:t xml:space="preserve">　　</w:t>
      </w:r>
      <w:r w:rsidR="00203F72" w:rsidRPr="005E4924">
        <w:t>六</w:t>
      </w:r>
      <w:r w:rsidRPr="005E4924">
        <w:t>、</w:t>
      </w:r>
      <w:r w:rsidR="00203F72" w:rsidRPr="005E4924">
        <w:t>航業及海洋漁業。</w:t>
      </w:r>
    </w:p>
    <w:p w14:paraId="3EB1D00A" w14:textId="77777777" w:rsidR="00203F72" w:rsidRPr="005E4924" w:rsidRDefault="00800CD7" w:rsidP="00D87D91">
      <w:r w:rsidRPr="005E4924">
        <w:t xml:space="preserve">　　</w:t>
      </w:r>
      <w:r w:rsidR="00203F72" w:rsidRPr="005E4924">
        <w:t>七</w:t>
      </w:r>
      <w:r w:rsidRPr="005E4924">
        <w:t>、</w:t>
      </w:r>
      <w:r w:rsidR="00203F72" w:rsidRPr="005E4924">
        <w:t>公用事業。</w:t>
      </w:r>
    </w:p>
    <w:p w14:paraId="4686E4AD" w14:textId="77777777" w:rsidR="00203F72" w:rsidRPr="005E4924" w:rsidRDefault="00800CD7" w:rsidP="00D87D91">
      <w:r w:rsidRPr="005E4924">
        <w:t xml:space="preserve">　　</w:t>
      </w:r>
      <w:r w:rsidR="00203F72" w:rsidRPr="005E4924">
        <w:t>八</w:t>
      </w:r>
      <w:r w:rsidRPr="005E4924">
        <w:t>、</w:t>
      </w:r>
      <w:r w:rsidR="00203F72" w:rsidRPr="005E4924">
        <w:t>合作事業。</w:t>
      </w:r>
    </w:p>
    <w:p w14:paraId="3FFFA0E8" w14:textId="77777777" w:rsidR="00203F72" w:rsidRPr="005E4924" w:rsidRDefault="00800CD7" w:rsidP="00D87D91">
      <w:r w:rsidRPr="005E4924">
        <w:t xml:space="preserve">　　</w:t>
      </w:r>
      <w:r w:rsidR="00203F72" w:rsidRPr="005E4924">
        <w:t>九</w:t>
      </w:r>
      <w:r w:rsidRPr="005E4924">
        <w:t>、</w:t>
      </w:r>
      <w:r w:rsidR="00203F72" w:rsidRPr="005E4924">
        <w:t>二省以上之水陸交通運輸。</w:t>
      </w:r>
    </w:p>
    <w:p w14:paraId="4CCCB8E0" w14:textId="77777777" w:rsidR="00203F72" w:rsidRPr="005E4924" w:rsidRDefault="00800CD7" w:rsidP="00D87D91">
      <w:r w:rsidRPr="005E4924">
        <w:t xml:space="preserve">　　</w:t>
      </w:r>
      <w:r w:rsidR="00203F72" w:rsidRPr="005E4924">
        <w:t>一</w:t>
      </w:r>
      <w:r w:rsidR="00203F72" w:rsidRPr="005E4924">
        <w:t>○</w:t>
      </w:r>
      <w:r w:rsidRPr="005E4924">
        <w:t>、</w:t>
      </w:r>
      <w:r w:rsidR="00203F72" w:rsidRPr="005E4924">
        <w:t>二省以上之水利、河道及農牧事業。</w:t>
      </w:r>
    </w:p>
    <w:p w14:paraId="64DD45FC" w14:textId="77777777" w:rsidR="00203F72" w:rsidRPr="005E4924" w:rsidRDefault="00800CD7" w:rsidP="00D87D91">
      <w:r w:rsidRPr="005E4924">
        <w:t xml:space="preserve">　　</w:t>
      </w:r>
      <w:r w:rsidR="00203F72" w:rsidRPr="005E4924">
        <w:t>一一</w:t>
      </w:r>
      <w:r w:rsidRPr="005E4924">
        <w:t>、</w:t>
      </w:r>
      <w:r w:rsidR="00203F72" w:rsidRPr="005E4924">
        <w:t>中央及地方官吏之銓敘、任用、糾察及保障。</w:t>
      </w:r>
    </w:p>
    <w:p w14:paraId="17D2C1DF" w14:textId="77777777" w:rsidR="00203F72" w:rsidRPr="005E4924" w:rsidRDefault="00800CD7" w:rsidP="00D87D91">
      <w:r w:rsidRPr="005E4924">
        <w:t xml:space="preserve">　　</w:t>
      </w:r>
      <w:r w:rsidR="00203F72" w:rsidRPr="005E4924">
        <w:t>一二</w:t>
      </w:r>
      <w:r w:rsidRPr="005E4924">
        <w:t>、</w:t>
      </w:r>
      <w:r w:rsidR="00203F72" w:rsidRPr="005E4924">
        <w:t>土地法。</w:t>
      </w:r>
    </w:p>
    <w:p w14:paraId="0B643C04" w14:textId="77777777" w:rsidR="00203F72" w:rsidRPr="005E4924" w:rsidRDefault="00800CD7" w:rsidP="00D87D91">
      <w:r w:rsidRPr="005E4924">
        <w:t xml:space="preserve">　　</w:t>
      </w:r>
      <w:r w:rsidR="00203F72" w:rsidRPr="005E4924">
        <w:t>一三</w:t>
      </w:r>
      <w:r w:rsidRPr="005E4924">
        <w:t>、</w:t>
      </w:r>
      <w:r w:rsidR="00203F72" w:rsidRPr="005E4924">
        <w:t>勞動法及其他社會立法。</w:t>
      </w:r>
    </w:p>
    <w:p w14:paraId="1F5F1B2E" w14:textId="77777777" w:rsidR="00203F72" w:rsidRPr="005E4924" w:rsidRDefault="00800CD7" w:rsidP="00D87D91">
      <w:r w:rsidRPr="005E4924">
        <w:t xml:space="preserve">　　</w:t>
      </w:r>
      <w:r w:rsidR="00203F72" w:rsidRPr="005E4924">
        <w:t>一四</w:t>
      </w:r>
      <w:r w:rsidRPr="005E4924">
        <w:t>、</w:t>
      </w:r>
      <w:r w:rsidR="00203F72" w:rsidRPr="005E4924">
        <w:t>公用徵收。</w:t>
      </w:r>
    </w:p>
    <w:p w14:paraId="1EA27041" w14:textId="77777777" w:rsidR="00203F72" w:rsidRPr="005E4924" w:rsidRDefault="00800CD7" w:rsidP="00D87D91">
      <w:r w:rsidRPr="005E4924">
        <w:t xml:space="preserve">　　</w:t>
      </w:r>
      <w:r w:rsidR="00203F72" w:rsidRPr="005E4924">
        <w:t>一五</w:t>
      </w:r>
      <w:r w:rsidRPr="005E4924">
        <w:t>、</w:t>
      </w:r>
      <w:r w:rsidR="00203F72" w:rsidRPr="005E4924">
        <w:t>全國戶口調查及統計。</w:t>
      </w:r>
    </w:p>
    <w:p w14:paraId="58B93E76" w14:textId="77777777" w:rsidR="00203F72" w:rsidRPr="005E4924" w:rsidRDefault="00800CD7" w:rsidP="00D87D91">
      <w:r w:rsidRPr="005E4924">
        <w:t xml:space="preserve">　　</w:t>
      </w:r>
      <w:r w:rsidR="00203F72" w:rsidRPr="005E4924">
        <w:t>一六</w:t>
      </w:r>
      <w:r w:rsidRPr="005E4924">
        <w:t>、</w:t>
      </w:r>
      <w:r w:rsidR="00203F72" w:rsidRPr="005E4924">
        <w:t>移民及墾殖。</w:t>
      </w:r>
    </w:p>
    <w:p w14:paraId="559E0E55" w14:textId="77777777" w:rsidR="00203F72" w:rsidRPr="005E4924" w:rsidRDefault="00800CD7" w:rsidP="00D87D91">
      <w:r w:rsidRPr="005E4924">
        <w:t xml:space="preserve">　　</w:t>
      </w:r>
      <w:r w:rsidR="00203F72" w:rsidRPr="005E4924">
        <w:t>一七</w:t>
      </w:r>
      <w:r w:rsidRPr="005E4924">
        <w:t>、</w:t>
      </w:r>
      <w:r w:rsidR="00203F72" w:rsidRPr="005E4924">
        <w:t>警察制度。</w:t>
      </w:r>
    </w:p>
    <w:p w14:paraId="2B98A813" w14:textId="77777777" w:rsidR="00203F72" w:rsidRPr="005E4924" w:rsidRDefault="00800CD7" w:rsidP="00D87D91">
      <w:r w:rsidRPr="005E4924">
        <w:t xml:space="preserve">　　</w:t>
      </w:r>
      <w:r w:rsidR="00203F72" w:rsidRPr="005E4924">
        <w:t>一八</w:t>
      </w:r>
      <w:r w:rsidRPr="005E4924">
        <w:t>、</w:t>
      </w:r>
      <w:r w:rsidR="00203F72" w:rsidRPr="005E4924">
        <w:t>公共衛生。</w:t>
      </w:r>
    </w:p>
    <w:p w14:paraId="1A74A889" w14:textId="77777777" w:rsidR="00203F72" w:rsidRPr="005E4924" w:rsidRDefault="00800CD7" w:rsidP="00D87D91">
      <w:r w:rsidRPr="005E4924">
        <w:t xml:space="preserve">　　</w:t>
      </w:r>
      <w:r w:rsidR="00203F72" w:rsidRPr="005E4924">
        <w:t>一九</w:t>
      </w:r>
      <w:r w:rsidRPr="005E4924">
        <w:t>、</w:t>
      </w:r>
      <w:r w:rsidR="00203F72" w:rsidRPr="005E4924">
        <w:t>振濟、撫卹及失業救濟。</w:t>
      </w:r>
    </w:p>
    <w:p w14:paraId="08725C20" w14:textId="77777777" w:rsidR="00203F72" w:rsidRPr="005E4924" w:rsidRDefault="00800CD7" w:rsidP="00D87D91">
      <w:r w:rsidRPr="005E4924">
        <w:t xml:space="preserve">　　</w:t>
      </w:r>
      <w:r w:rsidR="00203F72" w:rsidRPr="005E4924">
        <w:t>二</w:t>
      </w:r>
      <w:r w:rsidR="00203F72" w:rsidRPr="005E4924">
        <w:t>○</w:t>
      </w:r>
      <w:r w:rsidRPr="005E4924">
        <w:t>、</w:t>
      </w:r>
      <w:r w:rsidR="00203F72" w:rsidRPr="005E4924">
        <w:t>有關文化之古籍、古物及古蹟之保存。</w:t>
      </w:r>
    </w:p>
    <w:p w14:paraId="2644EEA0" w14:textId="77777777" w:rsidR="00953151" w:rsidRPr="005E4924" w:rsidRDefault="00800CD7" w:rsidP="00D87D91">
      <w:r w:rsidRPr="005E4924">
        <w:t xml:space="preserve">　　</w:t>
      </w:r>
      <w:r w:rsidR="00203F72" w:rsidRPr="005E4924">
        <w:t>前項各款，省於不牴觸國家法律內，得制定單行法規。</w:t>
      </w:r>
    </w:p>
    <w:p w14:paraId="3D83300A" w14:textId="77777777" w:rsidR="00953151" w:rsidRPr="005E4924" w:rsidRDefault="00B03E84" w:rsidP="00D87D91">
      <w:r w:rsidRPr="005E4924">
        <w:t>【內容解析】</w:t>
      </w:r>
    </w:p>
    <w:p w14:paraId="6CD6C726" w14:textId="77777777" w:rsidR="00953151" w:rsidRPr="005E4924" w:rsidRDefault="00800CD7" w:rsidP="00D87D91">
      <w:r w:rsidRPr="005E4924">
        <w:t xml:space="preserve">　　</w:t>
      </w:r>
      <w:r w:rsidR="00203F72" w:rsidRPr="005E4924">
        <w:t>本條規定之事項，由中央立法並執行之，或交由省、縣執行但中央對有監督指揮之權力。如此在中央與地方共同相互合作下，垂直分權，以收因地制宜之效。我國政府分為中央、省、縣三級，彼此並非如五院般屬於對等關係，而是處於隸屬關係。中央政府依法有指揮監督地方政府之權力，地方政府需服從中央政府之指揮監督，地方政府也有一定之自主權。</w:t>
      </w:r>
    </w:p>
    <w:p w14:paraId="06A2DCA4" w14:textId="77777777" w:rsidR="00953151" w:rsidRPr="005E4924" w:rsidRDefault="00800CD7" w:rsidP="00D87D91">
      <w:r w:rsidRPr="005E4924">
        <w:t xml:space="preserve">　　</w:t>
      </w:r>
      <w:r w:rsidR="00203F72" w:rsidRPr="005E4924">
        <w:t>司法院釋</w:t>
      </w:r>
      <w:r w:rsidR="00BE1B2A" w:rsidRPr="002C46BE">
        <w:t>字</w:t>
      </w:r>
      <w:hyperlink r:id="rId1059" w:anchor="r498" w:history="1">
        <w:r w:rsidR="00BE1B2A" w:rsidRPr="002C46BE">
          <w:rPr>
            <w:rStyle w:val="a5"/>
          </w:rPr>
          <w:t>第498</w:t>
        </w:r>
        <w:r w:rsidR="00BE1B2A">
          <w:rPr>
            <w:rStyle w:val="a5"/>
          </w:rPr>
          <w:t>號</w:t>
        </w:r>
      </w:hyperlink>
      <w:r w:rsidR="00203F72" w:rsidRPr="005E4924">
        <w:t>解釋指出：「地方自治為憲法所保障之制度。基於住民自治之理念與垂直分權之功能，地方自治團體設有地方行政機關及立法機關，其首長與民意代表均由自治區域內之人民依法選舉產生，分別綜理地方自治團體之地方事務，或行使地方立法機關之職權，地方行政機關與地方立法機關間依法並有權責制衡之關係。中央政府或其他上級政府對地方自治團體辦理自治事項、委辦事項，依法僅得按事項之性質，為適法或適當與否之監督。地方自治團體在憲法及法律保障之範圍內，享有自主與獨立之地位，國家機關自應予以尊重。立法院所設各種委員會，依憲法</w:t>
      </w:r>
      <w:r w:rsidR="00BE1B2A" w:rsidRPr="00482FC4">
        <w:t>第</w:t>
      </w:r>
      <w:hyperlink r:id="rId1060" w:anchor="a67" w:history="1">
        <w:r w:rsidR="00BE1B2A" w:rsidRPr="00BE1B2A">
          <w:rPr>
            <w:rStyle w:val="a5"/>
            <w:rFonts w:ascii="Times New Roman" w:hAnsi="Times New Roman"/>
          </w:rPr>
          <w:t>六十七</w:t>
        </w:r>
      </w:hyperlink>
      <w:r w:rsidR="00BE1B2A" w:rsidRPr="00482FC4">
        <w:t>條</w:t>
      </w:r>
      <w:r w:rsidR="00203F72" w:rsidRPr="005E4924">
        <w:t>第二項規定，雖得邀請地方自治團體行政機關有關人員到會備詢，但基於地方自治團體具有自主、獨立之地位，以及中央與地方各設有立法機關之層級體制，地方自治團體行政機關公務員，除法律明定應到會備詢者外，得衡酌到會說明之必要性，決定是否到會。於此情形，地方自治團體行政機關之公務員未到會備詢時，立法院不得因此據以為刪減或擱置中央機關對地方自治團體補助款預算之理由，以確保地方自治之有效運作，及符合憲法所定中央與地方權限劃分之均權原則。」</w:t>
      </w:r>
    </w:p>
    <w:p w14:paraId="30F73F58" w14:textId="77777777" w:rsidR="00953151" w:rsidRPr="005E4924" w:rsidRDefault="00800CD7" w:rsidP="00D87D91">
      <w:r w:rsidRPr="005E4924">
        <w:t xml:space="preserve">　　</w:t>
      </w:r>
      <w:r w:rsidR="00203F72" w:rsidRPr="005E4924">
        <w:t>依據司法院釋</w:t>
      </w:r>
      <w:r w:rsidR="00BE1B2A" w:rsidRPr="002C46BE">
        <w:t>字</w:t>
      </w:r>
      <w:hyperlink r:id="rId1061" w:anchor="r498" w:history="1">
        <w:r w:rsidR="00BE1B2A" w:rsidRPr="002C46BE">
          <w:rPr>
            <w:rStyle w:val="a5"/>
          </w:rPr>
          <w:t>第498</w:t>
        </w:r>
        <w:r w:rsidR="00BE1B2A">
          <w:rPr>
            <w:rStyle w:val="a5"/>
          </w:rPr>
          <w:t>號</w:t>
        </w:r>
      </w:hyperlink>
      <w:r w:rsidR="00203F72" w:rsidRPr="005E4924">
        <w:t>解釋理由書中之陳述：「地方自治團體為與中央政府共用權力行使之主體，於中央與地方共同協力關係下，垂直分權，以收因地制宜之效。</w:t>
      </w:r>
      <w:r w:rsidR="00203F72" w:rsidRPr="005E4924">
        <w:t>…</w:t>
      </w:r>
      <w:r w:rsidR="00203F72" w:rsidRPr="005E4924">
        <w:t>地方自治既受我國憲法制度性之保障，有一定之自主權限，為與中央政府共用國家權力行使，並共同協力之主體。」</w:t>
      </w:r>
    </w:p>
    <w:p w14:paraId="1845DC8D" w14:textId="77777777" w:rsidR="00953151" w:rsidRPr="005E4924" w:rsidRDefault="00800CD7" w:rsidP="00D87D91">
      <w:r w:rsidRPr="005E4924">
        <w:t xml:space="preserve">　　</w:t>
      </w:r>
      <w:r w:rsidR="00203F72" w:rsidRPr="005E4924">
        <w:t>基此解釋，地方自治團體設有地方行政機關及立法機關，分別綜理地方自治團體之地方事務，或行使地方立法機關之職權，中央政府或其他上級政府對地方自治團體辦理自治事項、委辦事項，依法僅得按事項之性質，為適法或適當與否之監督。對於地方自治團體之施政作為，國家立法機關自應予以尊重。假若某縣政府之公務員，未到立法院接受備詢時，立法院不得因此據以為刪減或擱置中央機關對縣政府補助款之預算。</w:t>
      </w:r>
    </w:p>
    <w:p w14:paraId="4B2ACEEF" w14:textId="77777777" w:rsidR="00953151" w:rsidRPr="005E4924" w:rsidRDefault="00800CD7" w:rsidP="00D87D91">
      <w:r w:rsidRPr="005E4924">
        <w:t xml:space="preserve">　　</w:t>
      </w:r>
      <w:r w:rsidR="00203F72" w:rsidRPr="005E4924">
        <w:t>其中第一項省縣自治通則，已因憲法增修條</w:t>
      </w:r>
      <w:r w:rsidR="008B1A5A" w:rsidRPr="005E4924">
        <w:t>文</w:t>
      </w:r>
      <w:hyperlink r:id="rId1062" w:anchor="b9" w:history="1">
        <w:r w:rsidR="008B1A5A" w:rsidRPr="008B1A5A">
          <w:rPr>
            <w:rStyle w:val="a5"/>
            <w:rFonts w:ascii="Times New Roman" w:eastAsia="新細明體" w:hAnsi="Times New Roman"/>
          </w:rPr>
          <w:t>第</w:t>
        </w:r>
        <w:r w:rsidR="008B1A5A" w:rsidRPr="008B1A5A">
          <w:rPr>
            <w:rStyle w:val="a5"/>
            <w:rFonts w:ascii="Times New Roman" w:eastAsia="新細明體" w:hAnsi="Times New Roman"/>
          </w:rPr>
          <w:t>9</w:t>
        </w:r>
        <w:r w:rsidR="008B1A5A" w:rsidRPr="008B1A5A">
          <w:rPr>
            <w:rStyle w:val="a5"/>
            <w:rFonts w:ascii="Times New Roman" w:eastAsia="新細明體" w:hAnsi="Times New Roman"/>
          </w:rPr>
          <w:t>條</w:t>
        </w:r>
      </w:hyperlink>
      <w:r w:rsidR="00203F72" w:rsidRPr="005E4924">
        <w:t>規定不適用。其他共有十九項，乃屬中央及地方均得有其執行權。</w:t>
      </w:r>
    </w:p>
    <w:p w14:paraId="44518C21" w14:textId="77777777" w:rsidR="00953151" w:rsidRPr="005E4924" w:rsidRDefault="00800CD7" w:rsidP="00D87D91">
      <w:r w:rsidRPr="005E4924">
        <w:t xml:space="preserve">　　</w:t>
      </w:r>
      <w:r w:rsidR="00203F72" w:rsidRPr="005E4924">
        <w:t>另有關省於不牴觸國家法律內，得制定單行法規之規定，係為省在我國政治制度之地位每因時代而異，經各時期演變，其後始以「省」作為地方行政機關。臺灣光復之初，中央政府為迅速接管本省行政，配合當時實際情勢，於民國</w:t>
      </w:r>
      <w:r w:rsidR="00203F72" w:rsidRPr="005E4924">
        <w:t>34</w:t>
      </w:r>
      <w:r w:rsidR="00203F72" w:rsidRPr="005E4924">
        <w:t>年</w:t>
      </w:r>
      <w:r w:rsidR="00203F72" w:rsidRPr="005E4924">
        <w:t>9</w:t>
      </w:r>
      <w:r w:rsidR="00203F72" w:rsidRPr="005E4924">
        <w:t>月</w:t>
      </w:r>
      <w:r w:rsidR="00203F72" w:rsidRPr="005E4924">
        <w:t>20</w:t>
      </w:r>
      <w:r w:rsidR="00203F72" w:rsidRPr="005E4924">
        <w:t>日公布「臺灣省行政長官公署組織條例」，暫設臺灣省行政長官公署，隸屬行政院，為臺灣省地方最高行政機關。行政長官公署於民國</w:t>
      </w:r>
      <w:r w:rsidR="00203F72" w:rsidRPr="005E4924">
        <w:t>34</w:t>
      </w:r>
      <w:r w:rsidR="00203F72" w:rsidRPr="005E4924">
        <w:t>年</w:t>
      </w:r>
      <w:r w:rsidR="00203F72" w:rsidRPr="005E4924">
        <w:t>10</w:t>
      </w:r>
      <w:r w:rsidR="00203F72" w:rsidRPr="005E4924">
        <w:t>月</w:t>
      </w:r>
      <w:r w:rsidR="00203F72" w:rsidRPr="005E4924">
        <w:t>25</w:t>
      </w:r>
      <w:r w:rsidR="00203F72" w:rsidRPr="005E4924">
        <w:t>日成立，至民國</w:t>
      </w:r>
      <w:r w:rsidR="00203F72" w:rsidRPr="005E4924">
        <w:t>36</w:t>
      </w:r>
      <w:r w:rsidR="00203F72" w:rsidRPr="005E4924">
        <w:t>年</w:t>
      </w:r>
      <w:r w:rsidR="00203F72" w:rsidRPr="005E4924">
        <w:t>4</w:t>
      </w:r>
      <w:r w:rsidR="00203F72" w:rsidRPr="005E4924">
        <w:t>月，行政院第</w:t>
      </w:r>
      <w:r w:rsidR="00203F72" w:rsidRPr="005E4924">
        <w:t>784</w:t>
      </w:r>
      <w:r w:rsidR="00203F72" w:rsidRPr="005E4924">
        <w:t>次會議決議，成立臺灣省政府。省縣自治法於民國</w:t>
      </w:r>
      <w:r w:rsidR="00203F72" w:rsidRPr="005E4924">
        <w:t>83</w:t>
      </w:r>
      <w:r w:rsidR="00203F72" w:rsidRPr="005E4924">
        <w:t>年</w:t>
      </w:r>
      <w:r w:rsidR="00203F72" w:rsidRPr="005E4924">
        <w:t>7</w:t>
      </w:r>
      <w:r w:rsidR="00203F72" w:rsidRPr="005E4924">
        <w:t>月</w:t>
      </w:r>
      <w:r w:rsidR="00203F72" w:rsidRPr="005E4924">
        <w:t>29</w:t>
      </w:r>
      <w:r w:rsidR="00203F72" w:rsidRPr="005E4924">
        <w:t>日公布施行，依該法第</w:t>
      </w:r>
      <w:r w:rsidR="00203F72" w:rsidRPr="005E4924">
        <w:t>42</w:t>
      </w:r>
      <w:r w:rsidR="00203F72" w:rsidRPr="005E4924">
        <w:t>條之規定：「省政府組織規程由省政府擬訂，經省議會同意後報請行政院備查。」</w:t>
      </w:r>
      <w:r w:rsidR="00203F72" w:rsidRPr="005E4924">
        <w:footnoteReference w:id="101"/>
      </w:r>
    </w:p>
    <w:p w14:paraId="077997A6" w14:textId="77777777" w:rsidR="00953151" w:rsidRPr="005E4924" w:rsidRDefault="00800CD7" w:rsidP="00D87D91">
      <w:r w:rsidRPr="005E4924">
        <w:t xml:space="preserve">　　</w:t>
      </w:r>
      <w:r w:rsidR="00203F72" w:rsidRPr="005E4924">
        <w:t>民國</w:t>
      </w:r>
      <w:r w:rsidR="00203F72" w:rsidRPr="005E4924">
        <w:t>83</w:t>
      </w:r>
      <w:r w:rsidR="00203F72" w:rsidRPr="005E4924">
        <w:t>年</w:t>
      </w:r>
      <w:r w:rsidR="00203F72" w:rsidRPr="005E4924">
        <w:t>9</w:t>
      </w:r>
      <w:r w:rsidR="00203F72" w:rsidRPr="005E4924">
        <w:t>月</w:t>
      </w:r>
      <w:r w:rsidR="00203F72" w:rsidRPr="005E4924">
        <w:t>21</w:t>
      </w:r>
      <w:r w:rsidR="00203F72" w:rsidRPr="005E4924">
        <w:t>日，臺灣省政府組織規程經省議會第九屆第十次大會審議通過，明定臺灣省政府置省長一人，綜理省政，並指揮監督所屬機關；置副省長二人，襄助省長處理省政；置秘書長一人，副秘書長二人，秘書長承省長之命，副省長之指導，處理省府事務並指揮監督所屬職員；副秘書長承省長之命，襄助秘書長處理省府事務；置省政委員十一人至十五人，參贊省政並處理跨廳、處、局、會、團之重大專案</w:t>
      </w:r>
      <w:r w:rsidR="00203F72" w:rsidRPr="005E4924">
        <w:footnoteReference w:id="102"/>
      </w:r>
      <w:r w:rsidR="00203F72" w:rsidRPr="005E4924">
        <w:t>。</w:t>
      </w:r>
    </w:p>
    <w:p w14:paraId="5EBB5D9F" w14:textId="77777777" w:rsidR="00953151" w:rsidRPr="005E4924" w:rsidRDefault="00800CD7" w:rsidP="00D87D91">
      <w:r w:rsidRPr="005E4924">
        <w:t xml:space="preserve">　　</w:t>
      </w:r>
      <w:r w:rsidR="00203F72" w:rsidRPr="005E4924">
        <w:t>依民國</w:t>
      </w:r>
      <w:r w:rsidR="00203F72" w:rsidRPr="005E4924">
        <w:t>86</w:t>
      </w:r>
      <w:r w:rsidR="00203F72" w:rsidRPr="005E4924">
        <w:t>年</w:t>
      </w:r>
      <w:r w:rsidR="00203F72" w:rsidRPr="005E4924">
        <w:t>7</w:t>
      </w:r>
      <w:r w:rsidR="00203F72" w:rsidRPr="005E4924">
        <w:t>月</w:t>
      </w:r>
      <w:r w:rsidR="00203F72" w:rsidRPr="005E4924">
        <w:t>21</w:t>
      </w:r>
      <w:r w:rsidR="00203F72" w:rsidRPr="005E4924">
        <w:t>日總統令，公布憲法增修條</w:t>
      </w:r>
      <w:r w:rsidR="007459D9" w:rsidRPr="005E4924">
        <w:t>文</w:t>
      </w:r>
      <w:hyperlink r:id="rId1063" w:anchor="b9" w:history="1">
        <w:r w:rsidR="007459D9" w:rsidRPr="007459D9">
          <w:rPr>
            <w:rStyle w:val="a5"/>
            <w:rFonts w:ascii="Times New Roman" w:eastAsia="新細明體" w:hAnsi="Times New Roman"/>
          </w:rPr>
          <w:t>第九條</w:t>
        </w:r>
      </w:hyperlink>
      <w:r w:rsidR="00203F72" w:rsidRPr="005E4924">
        <w:t>第三項之規定，「臺灣省議會議員及臺灣省省長之選舉停止辦理後，臺灣省政府功能、業務與組織之調整，得以法律為特別規定」，爰由行政院擬訂「臺灣省政府功能業務與組織調整暫行條例」草案送立法院審議通過後，於</w:t>
      </w:r>
      <w:r w:rsidR="00203F72" w:rsidRPr="005E4924">
        <w:t>87</w:t>
      </w:r>
      <w:r w:rsidR="00203F72" w:rsidRPr="005E4924">
        <w:t>年</w:t>
      </w:r>
      <w:r w:rsidR="00203F72" w:rsidRPr="005E4924">
        <w:t>10</w:t>
      </w:r>
      <w:r w:rsidR="00203F72" w:rsidRPr="005E4924">
        <w:t>月</w:t>
      </w:r>
      <w:r w:rsidR="00203F72" w:rsidRPr="005E4924">
        <w:t>28</w:t>
      </w:r>
      <w:r w:rsidR="00203F72" w:rsidRPr="005E4924">
        <w:t>日總統公布施行，並自</w:t>
      </w:r>
      <w:r w:rsidR="00203F72" w:rsidRPr="005E4924">
        <w:t>87</w:t>
      </w:r>
      <w:r w:rsidR="00203F72" w:rsidRPr="005E4924">
        <w:t>年</w:t>
      </w:r>
      <w:r w:rsidR="00203F72" w:rsidRPr="005E4924">
        <w:t>12</w:t>
      </w:r>
      <w:r w:rsidR="00203F72" w:rsidRPr="005E4924">
        <w:t>月</w:t>
      </w:r>
      <w:r w:rsidR="00203F72" w:rsidRPr="005E4924">
        <w:t>21</w:t>
      </w:r>
      <w:r w:rsidR="00203F72" w:rsidRPr="005E4924">
        <w:t>日生效，該法案為省府制度調整作業之重要規範，行政院院長並將精省作業時程宣示分三階段完成，第一階段為</w:t>
      </w:r>
      <w:r w:rsidR="00203F72" w:rsidRPr="005E4924">
        <w:t>87</w:t>
      </w:r>
      <w:r w:rsidR="00203F72" w:rsidRPr="005E4924">
        <w:t>年</w:t>
      </w:r>
      <w:r w:rsidR="00203F72" w:rsidRPr="005E4924">
        <w:t>12</w:t>
      </w:r>
      <w:r w:rsidR="00203F72" w:rsidRPr="005E4924">
        <w:t>月底至</w:t>
      </w:r>
      <w:r w:rsidR="00203F72" w:rsidRPr="005E4924">
        <w:t>88</w:t>
      </w:r>
      <w:r w:rsidR="00203F72" w:rsidRPr="005E4924">
        <w:t>年</w:t>
      </w:r>
      <w:r w:rsidR="00203F72" w:rsidRPr="005E4924">
        <w:t>6</w:t>
      </w:r>
      <w:r w:rsidR="00203F72" w:rsidRPr="005E4924">
        <w:t>月將省府改制為行政院派出機關；</w:t>
      </w:r>
      <w:r w:rsidR="00203F72" w:rsidRPr="005E4924">
        <w:t>88</w:t>
      </w:r>
      <w:r w:rsidR="00203F72" w:rsidRPr="005E4924">
        <w:t>年</w:t>
      </w:r>
      <w:r w:rsidR="00203F72" w:rsidRPr="005E4924">
        <w:t>7</w:t>
      </w:r>
      <w:r w:rsidR="00203F72" w:rsidRPr="005E4924">
        <w:t>月</w:t>
      </w:r>
      <w:r w:rsidR="00203F72" w:rsidRPr="005E4924">
        <w:t>1</w:t>
      </w:r>
      <w:r w:rsidR="00203F72" w:rsidRPr="005E4924">
        <w:t>日至</w:t>
      </w:r>
      <w:r w:rsidR="00203F72" w:rsidRPr="005E4924">
        <w:t>89</w:t>
      </w:r>
      <w:r w:rsidR="00203F72" w:rsidRPr="005E4924">
        <w:t>年</w:t>
      </w:r>
      <w:r w:rsidR="00203F72" w:rsidRPr="005E4924">
        <w:t>12</w:t>
      </w:r>
      <w:r w:rsidR="00203F72" w:rsidRPr="005E4924">
        <w:t>月</w:t>
      </w:r>
      <w:r w:rsidR="00203F72" w:rsidRPr="005E4924">
        <w:t>31</w:t>
      </w:r>
      <w:r w:rsidR="00203F72" w:rsidRPr="005E4924">
        <w:t>日為第二階段，省府組織架構依據行政院訂定之暫行組織規程，調整為六個業務組（民政組、文教組、經建組、財務組、社會及衛生組、公共事務管理組）、五室（資料室、秘書室、人事室、會計室、政風室）、二會（訴願審議委員會、法規委員會），辦理監督縣（市）自治事項、執行省政府行政事務，其他授權或行政院交辦事項</w:t>
      </w:r>
      <w:r w:rsidR="00203F72" w:rsidRPr="005E4924">
        <w:footnoteReference w:id="103"/>
      </w:r>
      <w:r w:rsidR="00203F72" w:rsidRPr="005E4924">
        <w:t>。</w:t>
      </w:r>
    </w:p>
    <w:p w14:paraId="55037DF1" w14:textId="77777777" w:rsidR="00953151" w:rsidRPr="005E4924" w:rsidRDefault="00800CD7" w:rsidP="00D87D91">
      <w:r w:rsidRPr="005E4924">
        <w:t xml:space="preserve">　　</w:t>
      </w:r>
      <w:r w:rsidR="00203F72" w:rsidRPr="005E4924">
        <w:t>另省政府組織法於中華民國</w:t>
      </w:r>
      <w:r w:rsidR="00203F72" w:rsidRPr="005E4924">
        <w:t>89</w:t>
      </w:r>
      <w:r w:rsidR="00203F72" w:rsidRPr="005E4924">
        <w:t>年</w:t>
      </w:r>
      <w:r w:rsidR="00203F72" w:rsidRPr="005E4924">
        <w:t>04</w:t>
      </w:r>
      <w:r w:rsidR="00203F72" w:rsidRPr="005E4924">
        <w:t>月</w:t>
      </w:r>
      <w:r w:rsidR="00203F72" w:rsidRPr="005E4924">
        <w:t>05</w:t>
      </w:r>
      <w:r w:rsidR="00203F72" w:rsidRPr="005E4924">
        <w:t>日總統華總一字義字第</w:t>
      </w:r>
      <w:r w:rsidR="00203F72" w:rsidRPr="005E4924">
        <w:t>8900085890</w:t>
      </w:r>
      <w:r w:rsidR="00203F72" w:rsidRPr="005E4924">
        <w:t>號令廢止，於民國</w:t>
      </w:r>
      <w:r w:rsidR="00203F72" w:rsidRPr="005E4924">
        <w:t>95</w:t>
      </w:r>
      <w:r w:rsidR="00203F72" w:rsidRPr="005E4924">
        <w:t>年</w:t>
      </w:r>
      <w:r w:rsidR="00203F72" w:rsidRPr="005E4924">
        <w:t>1</w:t>
      </w:r>
      <w:r w:rsidR="00203F72" w:rsidRPr="005E4924">
        <w:t>月</w:t>
      </w:r>
      <w:r w:rsidR="00203F72" w:rsidRPr="005E4924">
        <w:t>1</w:t>
      </w:r>
      <w:r w:rsidR="00203F72" w:rsidRPr="005E4924">
        <w:t>日回歸</w:t>
      </w:r>
      <w:hyperlink r:id="rId1064" w:history="1">
        <w:r w:rsidR="00203F72" w:rsidRPr="00A5735A">
          <w:rPr>
            <w:rStyle w:val="a5"/>
            <w:rFonts w:ascii="Times New Roman" w:hAnsi="Times New Roman"/>
          </w:rPr>
          <w:t>地方制度法</w:t>
        </w:r>
      </w:hyperlink>
      <w:r w:rsidR="00203F72" w:rsidRPr="005E4924">
        <w:t>規範，其組織規程暨編製錶並業奉行政院核定編制員額為</w:t>
      </w:r>
      <w:r w:rsidR="00203F72" w:rsidRPr="005E4924">
        <w:t>84</w:t>
      </w:r>
      <w:r w:rsidR="00203F72" w:rsidRPr="005E4924">
        <w:t>人，組室規模將由</w:t>
      </w:r>
      <w:r w:rsidR="00203F72" w:rsidRPr="005E4924">
        <w:t>6</w:t>
      </w:r>
      <w:r w:rsidR="00203F72" w:rsidRPr="005E4924">
        <w:t>組</w:t>
      </w:r>
      <w:r w:rsidR="00203F72" w:rsidRPr="005E4924">
        <w:t>5</w:t>
      </w:r>
      <w:r w:rsidR="00203F72" w:rsidRPr="005E4924">
        <w:t>室</w:t>
      </w:r>
      <w:r w:rsidR="00203F72" w:rsidRPr="005E4924">
        <w:t>1</w:t>
      </w:r>
      <w:r w:rsidR="00203F72" w:rsidRPr="005E4924">
        <w:t>會縮編為</w:t>
      </w:r>
      <w:r w:rsidR="00203F72" w:rsidRPr="005E4924">
        <w:t>4</w:t>
      </w:r>
      <w:r w:rsidR="00203F72" w:rsidRPr="005E4924">
        <w:t>組</w:t>
      </w:r>
      <w:r w:rsidR="00203F72" w:rsidRPr="005E4924">
        <w:t>3</w:t>
      </w:r>
      <w:r w:rsidR="00203F72" w:rsidRPr="005E4924">
        <w:t>室</w:t>
      </w:r>
      <w:r w:rsidR="00203F72" w:rsidRPr="005E4924">
        <w:footnoteReference w:id="104"/>
      </w:r>
      <w:r w:rsidR="00203F72" w:rsidRPr="005E4924">
        <w:t>。台灣省政府之功能、業務、人力與施政能量，已大為縮短。故有論者，以廢省稱之，事實上，台灣省政府仍是一個存在之機關，半未完全被裁撤。台灣省政府具有以下之，特色：</w:t>
      </w:r>
      <w:r w:rsidR="00203F72" w:rsidRPr="005E4924">
        <w:t>1</w:t>
      </w:r>
      <w:r w:rsidR="00203F72" w:rsidRPr="005E4924">
        <w:t>、已被精省化；</w:t>
      </w:r>
      <w:r w:rsidR="00203F72" w:rsidRPr="005E4924">
        <w:t>2</w:t>
      </w:r>
      <w:r w:rsidR="00203F72" w:rsidRPr="005E4924">
        <w:t>、它是一個行政院之派出機關；</w:t>
      </w:r>
      <w:r w:rsidR="00203F72" w:rsidRPr="005E4924">
        <w:t>3</w:t>
      </w:r>
      <w:r w:rsidR="00203F72" w:rsidRPr="005E4924">
        <w:t>、是屬於地方層級之機關，是以，台灣省政府並非我國之中央層級之機關。</w:t>
      </w:r>
    </w:p>
    <w:p w14:paraId="020376F3" w14:textId="77777777" w:rsidR="00203F72" w:rsidRPr="00A53581" w:rsidRDefault="00076467" w:rsidP="00767F37">
      <w:pPr>
        <w:pStyle w:val="2"/>
      </w:pPr>
      <w:hyperlink r:id="rId1065" w:anchor="a109" w:history="1">
        <w:r w:rsidR="005D5A46">
          <w:rPr>
            <w:rStyle w:val="a5"/>
            <w:rFonts w:ascii="Arial Unicode MS" w:hAnsi="Arial Unicode MS"/>
          </w:rPr>
          <w:t>第</w:t>
        </w:r>
        <w:r w:rsidR="00203F72" w:rsidRPr="00AB0A74">
          <w:rPr>
            <w:rStyle w:val="a5"/>
            <w:rFonts w:ascii="Arial Unicode MS" w:hAnsi="Arial Unicode MS"/>
          </w:rPr>
          <w:t>109</w:t>
        </w:r>
        <w:r w:rsidR="005D5A46">
          <w:rPr>
            <w:rStyle w:val="a5"/>
            <w:rFonts w:ascii="Arial Unicode MS" w:hAnsi="Arial Unicode MS"/>
          </w:rPr>
          <w:t>條</w:t>
        </w:r>
      </w:hyperlink>
      <w:r w:rsidR="00203F72" w:rsidRPr="00A53581">
        <w:t>左列事項，由省立法並執行之，或交由縣執行之：</w:t>
      </w:r>
    </w:p>
    <w:p w14:paraId="59F6E712" w14:textId="77777777" w:rsidR="00203F72" w:rsidRPr="00A53581" w:rsidRDefault="00800CD7" w:rsidP="00D87D91">
      <w:r>
        <w:t xml:space="preserve">　　</w:t>
      </w:r>
      <w:r w:rsidR="00203F72" w:rsidRPr="00A53581">
        <w:t>一</w:t>
      </w:r>
      <w:r w:rsidRPr="00A53581">
        <w:t>、</w:t>
      </w:r>
      <w:r w:rsidR="00203F72" w:rsidRPr="00A53581">
        <w:t>省教育、衛生、實業及交通。</w:t>
      </w:r>
    </w:p>
    <w:p w14:paraId="700B907B" w14:textId="77777777" w:rsidR="00203F72" w:rsidRPr="00A53581" w:rsidRDefault="00800CD7" w:rsidP="00D87D91">
      <w:r>
        <w:t xml:space="preserve">　　</w:t>
      </w:r>
      <w:r w:rsidR="00203F72" w:rsidRPr="00A53581">
        <w:t>二</w:t>
      </w:r>
      <w:r w:rsidRPr="00A53581">
        <w:t>、</w:t>
      </w:r>
      <w:r w:rsidR="00203F72" w:rsidRPr="00A53581">
        <w:t>省財產之經營及處分。</w:t>
      </w:r>
    </w:p>
    <w:p w14:paraId="06B2A198" w14:textId="77777777" w:rsidR="00203F72" w:rsidRPr="00A53581" w:rsidRDefault="00800CD7" w:rsidP="00D87D91">
      <w:r>
        <w:t xml:space="preserve">　　</w:t>
      </w:r>
      <w:r w:rsidR="00203F72" w:rsidRPr="00A53581">
        <w:t>三</w:t>
      </w:r>
      <w:r w:rsidRPr="00A53581">
        <w:t>、</w:t>
      </w:r>
      <w:r w:rsidR="00203F72" w:rsidRPr="00A53581">
        <w:t>省市政。</w:t>
      </w:r>
    </w:p>
    <w:p w14:paraId="0DEDEEB5" w14:textId="77777777" w:rsidR="00203F72" w:rsidRPr="00A53581" w:rsidRDefault="00800CD7" w:rsidP="00D87D91">
      <w:r>
        <w:t xml:space="preserve">　　</w:t>
      </w:r>
      <w:r w:rsidR="00203F72" w:rsidRPr="00A53581">
        <w:t>四</w:t>
      </w:r>
      <w:r w:rsidRPr="00A53581">
        <w:t>、</w:t>
      </w:r>
      <w:r w:rsidR="00203F72" w:rsidRPr="00A53581">
        <w:t>省公營事業。</w:t>
      </w:r>
    </w:p>
    <w:p w14:paraId="7BEB48DA" w14:textId="77777777" w:rsidR="00203F72" w:rsidRPr="00A53581" w:rsidRDefault="00800CD7" w:rsidP="00D87D91">
      <w:r>
        <w:t xml:space="preserve">　　</w:t>
      </w:r>
      <w:r w:rsidR="00203F72" w:rsidRPr="00A53581">
        <w:t>五</w:t>
      </w:r>
      <w:r w:rsidRPr="00A53581">
        <w:t>、</w:t>
      </w:r>
      <w:r w:rsidR="00203F72" w:rsidRPr="00A53581">
        <w:t>省合作事業。</w:t>
      </w:r>
    </w:p>
    <w:p w14:paraId="0C56CEC1" w14:textId="77777777" w:rsidR="00203F72" w:rsidRPr="00A53581" w:rsidRDefault="00800CD7" w:rsidP="00D87D91">
      <w:r>
        <w:t xml:space="preserve">　　</w:t>
      </w:r>
      <w:r w:rsidR="00203F72" w:rsidRPr="00A53581">
        <w:t>六</w:t>
      </w:r>
      <w:r w:rsidRPr="00A53581">
        <w:t>、</w:t>
      </w:r>
      <w:r w:rsidR="00203F72" w:rsidRPr="00A53581">
        <w:t>省農林、水利、漁牧及工程。</w:t>
      </w:r>
    </w:p>
    <w:p w14:paraId="794689D1" w14:textId="77777777" w:rsidR="00203F72" w:rsidRPr="00A53581" w:rsidRDefault="00800CD7" w:rsidP="00D87D91">
      <w:r>
        <w:t xml:space="preserve">　　</w:t>
      </w:r>
      <w:r w:rsidR="00203F72" w:rsidRPr="00A53581">
        <w:t>七</w:t>
      </w:r>
      <w:r w:rsidRPr="00A53581">
        <w:t>、</w:t>
      </w:r>
      <w:r w:rsidR="00203F72" w:rsidRPr="00A53581">
        <w:t>省財政及省稅。</w:t>
      </w:r>
    </w:p>
    <w:p w14:paraId="2222109D" w14:textId="77777777" w:rsidR="00203F72" w:rsidRPr="00A53581" w:rsidRDefault="00800CD7" w:rsidP="00D87D91">
      <w:r>
        <w:t xml:space="preserve">　　</w:t>
      </w:r>
      <w:r w:rsidR="00203F72" w:rsidRPr="00A53581">
        <w:t>八</w:t>
      </w:r>
      <w:r w:rsidRPr="00A53581">
        <w:t>、</w:t>
      </w:r>
      <w:r w:rsidR="00203F72" w:rsidRPr="00A53581">
        <w:t>省債。</w:t>
      </w:r>
    </w:p>
    <w:p w14:paraId="0FE409EA" w14:textId="77777777" w:rsidR="00203F72" w:rsidRPr="00A53581" w:rsidRDefault="00800CD7" w:rsidP="00D87D91">
      <w:r>
        <w:t xml:space="preserve">　　</w:t>
      </w:r>
      <w:r w:rsidR="00203F72" w:rsidRPr="00A53581">
        <w:t>九</w:t>
      </w:r>
      <w:r w:rsidRPr="00A53581">
        <w:t>、</w:t>
      </w:r>
      <w:r w:rsidR="00203F72" w:rsidRPr="00A53581">
        <w:t>省銀行。</w:t>
      </w:r>
    </w:p>
    <w:p w14:paraId="3A5D164C" w14:textId="77777777" w:rsidR="00203F72" w:rsidRPr="00A53581" w:rsidRDefault="00800CD7" w:rsidP="00D87D91">
      <w:r>
        <w:t xml:space="preserve">　　</w:t>
      </w:r>
      <w:r w:rsidR="00203F72" w:rsidRPr="00A53581">
        <w:t>一</w:t>
      </w:r>
      <w:r w:rsidR="00203F72" w:rsidRPr="00A53581">
        <w:t>○</w:t>
      </w:r>
      <w:r w:rsidRPr="00A53581">
        <w:t>、</w:t>
      </w:r>
      <w:r w:rsidR="00203F72" w:rsidRPr="00A53581">
        <w:t>省警政之實施。</w:t>
      </w:r>
    </w:p>
    <w:p w14:paraId="202D359B" w14:textId="77777777" w:rsidR="00203F72" w:rsidRPr="00A53581" w:rsidRDefault="00800CD7" w:rsidP="00D87D91">
      <w:r>
        <w:t xml:space="preserve">　　</w:t>
      </w:r>
      <w:r w:rsidR="00203F72" w:rsidRPr="00A53581">
        <w:t>一一</w:t>
      </w:r>
      <w:r w:rsidRPr="00A53581">
        <w:t>、</w:t>
      </w:r>
      <w:r w:rsidR="00203F72" w:rsidRPr="00A53581">
        <w:t>省慈善及公益事項。</w:t>
      </w:r>
    </w:p>
    <w:p w14:paraId="016E468A" w14:textId="77777777" w:rsidR="00203F72" w:rsidRPr="00A53581" w:rsidRDefault="00800CD7" w:rsidP="00D87D91">
      <w:r>
        <w:t xml:space="preserve">　　</w:t>
      </w:r>
      <w:r w:rsidR="00203F72" w:rsidRPr="00A53581">
        <w:t>一二</w:t>
      </w:r>
      <w:r w:rsidRPr="00A53581">
        <w:t>、</w:t>
      </w:r>
      <w:r w:rsidR="00203F72" w:rsidRPr="00A53581">
        <w:t>其他依國家法律賦予之事項。</w:t>
      </w:r>
    </w:p>
    <w:p w14:paraId="7E94DDB1" w14:textId="77777777" w:rsidR="00203F72" w:rsidRPr="00A53581" w:rsidRDefault="00800CD7" w:rsidP="00D87D91">
      <w:r>
        <w:t xml:space="preserve">　　</w:t>
      </w:r>
      <w:r w:rsidR="00203F72" w:rsidRPr="00A53581">
        <w:t>前項各款，有涉及二省以上者，除法律別有規定外，得由有關各省共同辦理。</w:t>
      </w:r>
    </w:p>
    <w:p w14:paraId="3009CD08" w14:textId="77777777" w:rsidR="00953151" w:rsidRDefault="00800CD7" w:rsidP="00D87D91">
      <w:r>
        <w:t xml:space="preserve">　　</w:t>
      </w:r>
      <w:r w:rsidR="00203F72" w:rsidRPr="00A53581">
        <w:t>各省辦理第一項各款事務，其經費不足時，經立法院議決，由國庫補助之。</w:t>
      </w:r>
    </w:p>
    <w:p w14:paraId="030B8959" w14:textId="77777777" w:rsidR="00953151" w:rsidRDefault="00B03E84" w:rsidP="00D87D91">
      <w:r>
        <w:t>【內容解析】</w:t>
      </w:r>
    </w:p>
    <w:p w14:paraId="6CA0BBD9" w14:textId="77777777" w:rsidR="00953151" w:rsidRPr="002C46BE" w:rsidRDefault="00800CD7" w:rsidP="00D87D91">
      <w:r w:rsidRPr="002C46BE">
        <w:t xml:space="preserve">　　</w:t>
      </w:r>
      <w:r w:rsidR="00203F72" w:rsidRPr="002C46BE">
        <w:t>中央與地方政府為垂直分權，省、縣皆為地方政府，省界於中央與縣之間，司法院釋</w:t>
      </w:r>
      <w:r w:rsidR="002C46BE" w:rsidRPr="002C46BE">
        <w:t>字</w:t>
      </w:r>
      <w:hyperlink r:id="rId1066" w:anchor="r498" w:history="1">
        <w:r w:rsidR="002C46BE" w:rsidRPr="002C46BE">
          <w:rPr>
            <w:rStyle w:val="a5"/>
          </w:rPr>
          <w:t>第498</w:t>
        </w:r>
        <w:r w:rsidR="00F5469C">
          <w:rPr>
            <w:rStyle w:val="a5"/>
          </w:rPr>
          <w:t>號</w:t>
        </w:r>
      </w:hyperlink>
      <w:r w:rsidR="00203F72" w:rsidRPr="002C46BE">
        <w:t>指出：「地方自治為憲法所保障之制度。基於住民自治之理念與垂直分權之功能，地方自治團體設有地方行政機關及立法機關，其首長與民意代表均由自治區域內之人民依法選舉產生，分別綜理地方自治團體之地方事務，或行使地方立法機關之職權，地方行政機關與地方立法機關間依法並有權責制衡之關係。中央政府或其他上級政府對地方自治團體辦理自治事項、委辦事項，依法僅得按事項之性質，為適法或適當與否之監督。地方自治團體在憲法及法律保障之範圍內，享有自主與獨立之地位，國家機關自應予以尊重。」</w:t>
      </w:r>
    </w:p>
    <w:p w14:paraId="6D536D97" w14:textId="77777777" w:rsidR="00953151" w:rsidRPr="002C46BE" w:rsidRDefault="00800CD7" w:rsidP="00D87D91">
      <w:r w:rsidRPr="002C46BE">
        <w:t xml:space="preserve">　　</w:t>
      </w:r>
      <w:r w:rsidR="00203F72" w:rsidRPr="002C46BE">
        <w:t>我國憲法對於地方自治權之本質，採制度保障說。依垂直分權原則，地方自治團體設有地方行政機關級立法機關，中央及其他上級政府對地方自治團體辦理自治事項、委辦事項，依法僅得按事項之性質，為適當或適法與否之監督。本條規定之事項，得由省立法，由省或縣執行之，為省與縣均權事項，此等事項計有一二個事項。如果涉及二省以上之事務，除了法律另外有規定外，得交由有關各省共同辦理。各省辦理各款事務，經費不足時，經立法院議決，得由國庫補助之。</w:t>
      </w:r>
    </w:p>
    <w:p w14:paraId="34A03111" w14:textId="77777777" w:rsidR="00953151" w:rsidRPr="002C46BE" w:rsidRDefault="00800CD7" w:rsidP="00D87D91">
      <w:r w:rsidRPr="002C46BE">
        <w:t xml:space="preserve">　　</w:t>
      </w:r>
      <w:r w:rsidR="00203F72" w:rsidRPr="002C46BE">
        <w:t>不過，就台灣目前之實況而論，依據地方制度法第</w:t>
      </w:r>
      <w:hyperlink r:id="rId1067" w:anchor="a14" w:history="1">
        <w:r w:rsidR="00203F72" w:rsidRPr="00A5735A">
          <w:rPr>
            <w:rStyle w:val="a5"/>
            <w:rFonts w:ascii="Times New Roman" w:hAnsi="Times New Roman"/>
          </w:rPr>
          <w:t>十四</w:t>
        </w:r>
      </w:hyperlink>
      <w:r w:rsidR="00203F72" w:rsidRPr="002C46BE">
        <w:t>條之規定，「直轄市、縣</w:t>
      </w:r>
      <w:r w:rsidR="00203F72" w:rsidRPr="002C46BE">
        <w:t>(</w:t>
      </w:r>
      <w:r w:rsidR="00203F72" w:rsidRPr="002C46BE">
        <w:t>市</w:t>
      </w:r>
      <w:r w:rsidR="00203F72" w:rsidRPr="002C46BE">
        <w:t>)</w:t>
      </w:r>
      <w:r w:rsidR="00203F72" w:rsidRPr="002C46BE">
        <w:t>、鄉</w:t>
      </w:r>
      <w:r w:rsidR="00203F72" w:rsidRPr="002C46BE">
        <w:t>(</w:t>
      </w:r>
      <w:r w:rsidR="00203F72" w:rsidRPr="002C46BE">
        <w:t>鎮、市</w:t>
      </w:r>
      <w:r w:rsidR="00203F72" w:rsidRPr="002C46BE">
        <w:t>)</w:t>
      </w:r>
      <w:r w:rsidR="00203F72" w:rsidRPr="002C46BE">
        <w:t>為地方自治團體，依本法辦理自治事項，並執行上級政府委辦事項。」是以，省政府已非屬地方自治團體，而是行政院之派出機關。依據</w:t>
      </w:r>
      <w:hyperlink r:id="rId1068" w:history="1">
        <w:r w:rsidR="006E0E2F" w:rsidRPr="00A5735A">
          <w:rPr>
            <w:rStyle w:val="a5"/>
            <w:rFonts w:ascii="Times New Roman" w:hAnsi="Times New Roman"/>
          </w:rPr>
          <w:t>地方制度法</w:t>
        </w:r>
      </w:hyperlink>
      <w:r w:rsidR="00203F72" w:rsidRPr="002C46BE">
        <w:t>之內涵，直轄市、縣</w:t>
      </w:r>
      <w:r w:rsidR="00203F72" w:rsidRPr="002C46BE">
        <w:t>(</w:t>
      </w:r>
      <w:r w:rsidR="00203F72" w:rsidRPr="002C46BE">
        <w:t>市</w:t>
      </w:r>
      <w:r w:rsidR="00203F72" w:rsidRPr="002C46BE">
        <w:t>)</w:t>
      </w:r>
      <w:r w:rsidR="00203F72" w:rsidRPr="002C46BE">
        <w:t>、鄉</w:t>
      </w:r>
      <w:r w:rsidR="00203F72" w:rsidRPr="002C46BE">
        <w:t>(</w:t>
      </w:r>
      <w:r w:rsidR="00203F72" w:rsidRPr="002C46BE">
        <w:t>鎮、市</w:t>
      </w:r>
      <w:r w:rsidR="00203F72" w:rsidRPr="002C46BE">
        <w:t>)</w:t>
      </w:r>
      <w:r w:rsidR="00203F72" w:rsidRPr="002C46BE">
        <w:t>始為地方自治團體。另外，依照我國內政部民政司之見解，省仍為地方制度層級之地位，亦即，地方劃分為省及直轄市</w:t>
      </w:r>
      <w:r w:rsidR="00203F72" w:rsidRPr="002C46BE">
        <w:footnoteReference w:id="105"/>
      </w:r>
      <w:r w:rsidR="00203F72" w:rsidRPr="002C46BE">
        <w:t>，於省之下，劃分為縣及市，縣之下又劃分為鄉、鎮及縣轄市</w:t>
      </w:r>
      <w:r w:rsidR="00203F72" w:rsidRPr="002C46BE">
        <w:footnoteReference w:id="106"/>
      </w:r>
      <w:r w:rsidR="00203F72" w:rsidRPr="002C46BE">
        <w:t>。省雖具有地方制度層級之地位，但省為非地方自治團體</w:t>
      </w:r>
      <w:r w:rsidR="00203F72" w:rsidRPr="002C46BE">
        <w:footnoteReference w:id="107"/>
      </w:r>
      <w:r w:rsidR="00203F72" w:rsidRPr="002C46BE">
        <w:t>。</w:t>
      </w:r>
    </w:p>
    <w:p w14:paraId="008732B8" w14:textId="77777777" w:rsidR="00203F72" w:rsidRPr="00A53581" w:rsidRDefault="00076467" w:rsidP="00767F37">
      <w:pPr>
        <w:pStyle w:val="2"/>
      </w:pPr>
      <w:hyperlink r:id="rId1069" w:anchor="a110" w:history="1">
        <w:r w:rsidR="005D5A46">
          <w:rPr>
            <w:rStyle w:val="a5"/>
            <w:rFonts w:ascii="Arial Unicode MS" w:hAnsi="Arial Unicode MS"/>
          </w:rPr>
          <w:t>第</w:t>
        </w:r>
        <w:r w:rsidR="00203F72" w:rsidRPr="00AB0A74">
          <w:rPr>
            <w:rStyle w:val="a5"/>
            <w:rFonts w:ascii="Arial Unicode MS" w:hAnsi="Arial Unicode MS"/>
          </w:rPr>
          <w:t>110</w:t>
        </w:r>
        <w:r w:rsidR="005D5A46">
          <w:rPr>
            <w:rStyle w:val="a5"/>
            <w:rFonts w:ascii="Arial Unicode MS" w:hAnsi="Arial Unicode MS"/>
          </w:rPr>
          <w:t>條</w:t>
        </w:r>
      </w:hyperlink>
      <w:r w:rsidR="00203F72" w:rsidRPr="00A53581">
        <w:t>左列事項，由縣立法並執行之：</w:t>
      </w:r>
    </w:p>
    <w:p w14:paraId="5DB172A4" w14:textId="77777777" w:rsidR="00203F72" w:rsidRPr="002C46BE" w:rsidRDefault="00800CD7" w:rsidP="00D87D91">
      <w:r w:rsidRPr="002C46BE">
        <w:t xml:space="preserve">　　</w:t>
      </w:r>
      <w:r w:rsidR="00203F72" w:rsidRPr="002C46BE">
        <w:t>一</w:t>
      </w:r>
      <w:r w:rsidRPr="002C46BE">
        <w:t>、</w:t>
      </w:r>
      <w:r w:rsidR="00203F72" w:rsidRPr="002C46BE">
        <w:t>縣教育、衛生、實業及交通。</w:t>
      </w:r>
    </w:p>
    <w:p w14:paraId="7B87E773" w14:textId="77777777" w:rsidR="00203F72" w:rsidRPr="002C46BE" w:rsidRDefault="00800CD7" w:rsidP="00D87D91">
      <w:r w:rsidRPr="002C46BE">
        <w:t xml:space="preserve">　　</w:t>
      </w:r>
      <w:r w:rsidR="00203F72" w:rsidRPr="002C46BE">
        <w:t>二</w:t>
      </w:r>
      <w:r w:rsidRPr="002C46BE">
        <w:t>、</w:t>
      </w:r>
      <w:r w:rsidR="00203F72" w:rsidRPr="002C46BE">
        <w:t>縣財產之經營及處分。</w:t>
      </w:r>
    </w:p>
    <w:p w14:paraId="27C72555" w14:textId="77777777" w:rsidR="00203F72" w:rsidRPr="002C46BE" w:rsidRDefault="00800CD7" w:rsidP="00D87D91">
      <w:r w:rsidRPr="002C46BE">
        <w:t xml:space="preserve">　　</w:t>
      </w:r>
      <w:r w:rsidR="00203F72" w:rsidRPr="002C46BE">
        <w:t>三</w:t>
      </w:r>
      <w:r w:rsidRPr="002C46BE">
        <w:t>、</w:t>
      </w:r>
      <w:r w:rsidR="00203F72" w:rsidRPr="002C46BE">
        <w:t>縣公營事業。</w:t>
      </w:r>
    </w:p>
    <w:p w14:paraId="1DEFFFC7" w14:textId="77777777" w:rsidR="00203F72" w:rsidRPr="002C46BE" w:rsidRDefault="00800CD7" w:rsidP="00D87D91">
      <w:r w:rsidRPr="002C46BE">
        <w:t xml:space="preserve">　　</w:t>
      </w:r>
      <w:r w:rsidR="00203F72" w:rsidRPr="002C46BE">
        <w:t>四</w:t>
      </w:r>
      <w:r w:rsidRPr="002C46BE">
        <w:t>、</w:t>
      </w:r>
      <w:r w:rsidR="00203F72" w:rsidRPr="002C46BE">
        <w:t>縣合作事業。</w:t>
      </w:r>
    </w:p>
    <w:p w14:paraId="1B343D3A" w14:textId="77777777" w:rsidR="00203F72" w:rsidRPr="002C46BE" w:rsidRDefault="00800CD7" w:rsidP="00D87D91">
      <w:r w:rsidRPr="002C46BE">
        <w:t xml:space="preserve">　　</w:t>
      </w:r>
      <w:r w:rsidR="00203F72" w:rsidRPr="002C46BE">
        <w:t>五</w:t>
      </w:r>
      <w:r w:rsidRPr="002C46BE">
        <w:t>、</w:t>
      </w:r>
      <w:r w:rsidR="00203F72" w:rsidRPr="002C46BE">
        <w:t>縣農林、水利、漁牧及工程。</w:t>
      </w:r>
    </w:p>
    <w:p w14:paraId="3E1D9BEF" w14:textId="77777777" w:rsidR="00203F72" w:rsidRPr="002C46BE" w:rsidRDefault="00800CD7" w:rsidP="00D87D91">
      <w:r w:rsidRPr="002C46BE">
        <w:t xml:space="preserve">　　</w:t>
      </w:r>
      <w:r w:rsidR="00203F72" w:rsidRPr="002C46BE">
        <w:t>六</w:t>
      </w:r>
      <w:r w:rsidRPr="002C46BE">
        <w:t>、</w:t>
      </w:r>
      <w:r w:rsidR="00203F72" w:rsidRPr="002C46BE">
        <w:t>縣財政及縣稅。</w:t>
      </w:r>
    </w:p>
    <w:p w14:paraId="10F3ECB4" w14:textId="77777777" w:rsidR="00203F72" w:rsidRPr="002C46BE" w:rsidRDefault="00800CD7" w:rsidP="00D87D91">
      <w:r w:rsidRPr="002C46BE">
        <w:t xml:space="preserve">　　</w:t>
      </w:r>
      <w:r w:rsidR="00203F72" w:rsidRPr="002C46BE">
        <w:t>七</w:t>
      </w:r>
      <w:r w:rsidRPr="002C46BE">
        <w:t>、</w:t>
      </w:r>
      <w:r w:rsidR="00203F72" w:rsidRPr="002C46BE">
        <w:t>縣債。</w:t>
      </w:r>
    </w:p>
    <w:p w14:paraId="78CC76CD" w14:textId="77777777" w:rsidR="00203F72" w:rsidRPr="002C46BE" w:rsidRDefault="00800CD7" w:rsidP="00D87D91">
      <w:r w:rsidRPr="002C46BE">
        <w:t xml:space="preserve">　　</w:t>
      </w:r>
      <w:r w:rsidR="00203F72" w:rsidRPr="002C46BE">
        <w:t>八</w:t>
      </w:r>
      <w:r w:rsidRPr="002C46BE">
        <w:t>、</w:t>
      </w:r>
      <w:r w:rsidR="00203F72" w:rsidRPr="002C46BE">
        <w:t>縣銀行。</w:t>
      </w:r>
    </w:p>
    <w:p w14:paraId="56F68644" w14:textId="77777777" w:rsidR="00203F72" w:rsidRPr="002C46BE" w:rsidRDefault="00800CD7" w:rsidP="00D87D91">
      <w:r w:rsidRPr="002C46BE">
        <w:t xml:space="preserve">　　</w:t>
      </w:r>
      <w:r w:rsidR="00203F72" w:rsidRPr="002C46BE">
        <w:t>九</w:t>
      </w:r>
      <w:r w:rsidRPr="002C46BE">
        <w:t>、</w:t>
      </w:r>
      <w:r w:rsidR="00203F72" w:rsidRPr="002C46BE">
        <w:t>縣警衛之實施。</w:t>
      </w:r>
    </w:p>
    <w:p w14:paraId="4A89B8D7" w14:textId="77777777" w:rsidR="00203F72" w:rsidRPr="002C46BE" w:rsidRDefault="00800CD7" w:rsidP="00D87D91">
      <w:r w:rsidRPr="002C46BE">
        <w:t xml:space="preserve">　　</w:t>
      </w:r>
      <w:r w:rsidR="00203F72" w:rsidRPr="002C46BE">
        <w:t>一</w:t>
      </w:r>
      <w:r w:rsidR="00203F72" w:rsidRPr="002C46BE">
        <w:t>○</w:t>
      </w:r>
      <w:r w:rsidRPr="002C46BE">
        <w:t>、</w:t>
      </w:r>
      <w:r w:rsidR="00203F72" w:rsidRPr="002C46BE">
        <w:t>縣慈善及公益事業。</w:t>
      </w:r>
    </w:p>
    <w:p w14:paraId="2084FDA7" w14:textId="77777777" w:rsidR="00203F72" w:rsidRPr="002C46BE" w:rsidRDefault="00800CD7" w:rsidP="00D87D91">
      <w:r w:rsidRPr="002C46BE">
        <w:t xml:space="preserve">　　</w:t>
      </w:r>
      <w:r w:rsidR="00203F72" w:rsidRPr="002C46BE">
        <w:t>一一</w:t>
      </w:r>
      <w:r w:rsidRPr="002C46BE">
        <w:t>、</w:t>
      </w:r>
      <w:r w:rsidR="00203F72" w:rsidRPr="002C46BE">
        <w:t>其他依國家法律及省自治法賦予之事項。</w:t>
      </w:r>
    </w:p>
    <w:p w14:paraId="2903B893" w14:textId="77777777" w:rsidR="00953151" w:rsidRPr="002C46BE" w:rsidRDefault="00800CD7" w:rsidP="00D87D91">
      <w:r w:rsidRPr="002C46BE">
        <w:t xml:space="preserve">　　</w:t>
      </w:r>
      <w:r w:rsidR="00203F72" w:rsidRPr="002C46BE">
        <w:t>前項各款，有涉及二縣以上者，除法律別有規定外，得由有關各縣共同辦理。</w:t>
      </w:r>
    </w:p>
    <w:p w14:paraId="0ECCAF21" w14:textId="77777777" w:rsidR="00953151" w:rsidRPr="002C46BE" w:rsidRDefault="00B03E84" w:rsidP="00D87D91">
      <w:r w:rsidRPr="002C46BE">
        <w:t>【內容解析】</w:t>
      </w:r>
    </w:p>
    <w:p w14:paraId="5D6742A7" w14:textId="77777777" w:rsidR="00953151" w:rsidRPr="002C46BE" w:rsidRDefault="00800CD7" w:rsidP="00D87D91">
      <w:r w:rsidRPr="002C46BE">
        <w:t xml:space="preserve">　　</w:t>
      </w:r>
      <w:r w:rsidR="00203F72" w:rsidRPr="002C46BE">
        <w:t>對於具有一縣性質之事項，則歸由縣立法、執行，本條所規定之事項，計有一一項。本條規範之內容，並非遭憲法增修條文之凍結，亦即，仍屬於有效之條文。</w:t>
      </w:r>
    </w:p>
    <w:p w14:paraId="5D74ED50" w14:textId="77777777" w:rsidR="00953151" w:rsidRDefault="00076467" w:rsidP="00767F37">
      <w:pPr>
        <w:pStyle w:val="2"/>
      </w:pPr>
      <w:hyperlink r:id="rId1070" w:anchor="a111" w:history="1">
        <w:r w:rsidR="005D5A46">
          <w:rPr>
            <w:rStyle w:val="a5"/>
            <w:rFonts w:ascii="Arial Unicode MS" w:hAnsi="Arial Unicode MS"/>
          </w:rPr>
          <w:t>第</w:t>
        </w:r>
        <w:r w:rsidR="00203F72" w:rsidRPr="00AB0A74">
          <w:rPr>
            <w:rStyle w:val="a5"/>
            <w:rFonts w:ascii="Arial Unicode MS" w:hAnsi="Arial Unicode MS"/>
          </w:rPr>
          <w:t>111</w:t>
        </w:r>
        <w:r w:rsidR="005D5A46">
          <w:rPr>
            <w:rStyle w:val="a5"/>
            <w:rFonts w:ascii="Arial Unicode MS" w:hAnsi="Arial Unicode MS"/>
          </w:rPr>
          <w:t>條</w:t>
        </w:r>
      </w:hyperlink>
      <w:r w:rsidR="00203F72" w:rsidRPr="00A53581">
        <w:t>除第</w:t>
      </w:r>
      <w:hyperlink r:id="rId1071" w:anchor="a107" w:history="1">
        <w:r w:rsidR="00203F72" w:rsidRPr="00366B0C">
          <w:rPr>
            <w:rStyle w:val="a5"/>
            <w:rFonts w:ascii="Arial Unicode MS" w:eastAsia="新細明體" w:hAnsi="Arial Unicode MS"/>
          </w:rPr>
          <w:t>一百零七</w:t>
        </w:r>
      </w:hyperlink>
      <w:r w:rsidR="00203F72" w:rsidRPr="00A53581">
        <w:t>條、第</w:t>
      </w:r>
      <w:hyperlink r:id="rId1072" w:anchor="a108" w:history="1">
        <w:r w:rsidR="00203F72" w:rsidRPr="00366B0C">
          <w:rPr>
            <w:rStyle w:val="a5"/>
            <w:rFonts w:ascii="Arial Unicode MS" w:eastAsia="新細明體" w:hAnsi="Arial Unicode MS"/>
          </w:rPr>
          <w:t>一百零八</w:t>
        </w:r>
      </w:hyperlink>
      <w:r w:rsidR="00203F72" w:rsidRPr="00A53581">
        <w:t>條、第</w:t>
      </w:r>
      <w:hyperlink r:id="rId1073" w:anchor="a109" w:history="1">
        <w:r w:rsidR="00203F72" w:rsidRPr="00366B0C">
          <w:rPr>
            <w:rStyle w:val="a5"/>
            <w:rFonts w:ascii="Arial Unicode MS" w:eastAsia="新細明體" w:hAnsi="Arial Unicode MS"/>
          </w:rPr>
          <w:t>一百零九</w:t>
        </w:r>
      </w:hyperlink>
      <w:r w:rsidR="00203F72" w:rsidRPr="00A53581">
        <w:t>條及第</w:t>
      </w:r>
      <w:hyperlink r:id="rId1074" w:anchor="a110" w:history="1">
        <w:r w:rsidR="00203F72" w:rsidRPr="00366B0C">
          <w:rPr>
            <w:rStyle w:val="a5"/>
            <w:rFonts w:ascii="Arial Unicode MS" w:eastAsia="新細明體" w:hAnsi="Arial Unicode MS"/>
          </w:rPr>
          <w:t>一百十</w:t>
        </w:r>
      </w:hyperlink>
      <w:r w:rsidR="00203F72" w:rsidRPr="00A53581">
        <w:t>條列舉事項外，如有未列舉事項發生時，其事務有全國一致之性質者屬於中央，有全省一致之性質者屬於省，有一縣之性質者屬於縣。遇有爭議時，由立法院解決之。</w:t>
      </w:r>
    </w:p>
    <w:p w14:paraId="69C0FE6F" w14:textId="77777777" w:rsidR="00953151" w:rsidRPr="002C46BE" w:rsidRDefault="00B03E84" w:rsidP="00D87D91">
      <w:r w:rsidRPr="002C46BE">
        <w:t>【內容解析】</w:t>
      </w:r>
    </w:p>
    <w:p w14:paraId="2BEDE981" w14:textId="77777777" w:rsidR="00953151" w:rsidRPr="002C46BE" w:rsidRDefault="00800CD7" w:rsidP="00D87D91">
      <w:r w:rsidRPr="002C46BE">
        <w:t xml:space="preserve">　　</w:t>
      </w:r>
      <w:r w:rsidR="00203F72" w:rsidRPr="002C46BE">
        <w:t>於憲法</w:t>
      </w:r>
      <w:hyperlink r:id="rId1075" w:anchor="a107" w:history="1">
        <w:r w:rsidR="00203F72" w:rsidRPr="006E0E2F">
          <w:rPr>
            <w:rStyle w:val="a5"/>
            <w:rFonts w:ascii="Times New Roman" w:hAnsi="Times New Roman"/>
          </w:rPr>
          <w:t>第</w:t>
        </w:r>
        <w:r w:rsidR="00203F72" w:rsidRPr="006E0E2F">
          <w:rPr>
            <w:rStyle w:val="a5"/>
            <w:rFonts w:ascii="Times New Roman" w:hAnsi="Times New Roman"/>
          </w:rPr>
          <w:t>107</w:t>
        </w:r>
        <w:r w:rsidR="00203F72" w:rsidRPr="006E0E2F">
          <w:rPr>
            <w:rStyle w:val="a5"/>
            <w:rFonts w:ascii="Times New Roman" w:hAnsi="Times New Roman"/>
          </w:rPr>
          <w:t>條</w:t>
        </w:r>
      </w:hyperlink>
      <w:r w:rsidR="00203F72" w:rsidRPr="002C46BE">
        <w:t>、</w:t>
      </w:r>
      <w:hyperlink r:id="rId1076" w:anchor="a108" w:history="1">
        <w:r w:rsidR="00203F72" w:rsidRPr="00366B0C">
          <w:rPr>
            <w:rStyle w:val="a5"/>
            <w:rFonts w:ascii="Times New Roman" w:eastAsia="新細明體" w:hAnsi="Times New Roman"/>
          </w:rPr>
          <w:t>108</w:t>
        </w:r>
      </w:hyperlink>
      <w:r w:rsidR="00203F72" w:rsidRPr="002C46BE">
        <w:t>條、</w:t>
      </w:r>
      <w:hyperlink r:id="rId1077" w:anchor="a109" w:history="1">
        <w:r w:rsidR="00203F72" w:rsidRPr="00366B0C">
          <w:rPr>
            <w:rStyle w:val="a5"/>
            <w:rFonts w:ascii="Times New Roman" w:eastAsia="新細明體" w:hAnsi="Times New Roman"/>
          </w:rPr>
          <w:t>109</w:t>
        </w:r>
      </w:hyperlink>
      <w:r w:rsidR="00203F72" w:rsidRPr="002C46BE">
        <w:t>條及</w:t>
      </w:r>
      <w:hyperlink r:id="rId1078" w:anchor="a110" w:history="1">
        <w:r w:rsidR="00203F72" w:rsidRPr="00366B0C">
          <w:rPr>
            <w:rStyle w:val="a5"/>
            <w:rFonts w:ascii="Times New Roman" w:eastAsia="新細明體" w:hAnsi="Times New Roman"/>
          </w:rPr>
          <w:t>第</w:t>
        </w:r>
        <w:r w:rsidR="00203F72" w:rsidRPr="00366B0C">
          <w:rPr>
            <w:rStyle w:val="a5"/>
            <w:rFonts w:ascii="Times New Roman" w:eastAsia="新細明體" w:hAnsi="Times New Roman"/>
          </w:rPr>
          <w:t>110</w:t>
        </w:r>
        <w:r w:rsidR="00203F72" w:rsidRPr="00366B0C">
          <w:rPr>
            <w:rStyle w:val="a5"/>
            <w:rFonts w:ascii="Times New Roman" w:eastAsia="新細明體" w:hAnsi="Times New Roman"/>
          </w:rPr>
          <w:t>條</w:t>
        </w:r>
      </w:hyperlink>
      <w:r w:rsidR="00203F72" w:rsidRPr="002C46BE">
        <w:t>之中，對於中央、省、縣之事項，雖已詳細一一列舉，但難免有所疏漏，或因時代社會潮流所需，需增添新事項，則依據國父均權制之原則，就事務性質予以劃分，當事務屬於全國一致之性質時，則交由中央職掌。具有一省性質時，則屬於省之職掌範圍；假若具有一縣性質時，則屬於縣之職掌範圍，目的在使地方政府對於地方內之事務，具有得以依照其自身之意思及責任實施自治之權力。如此，地方自治團體在特定事務之執行上，就可以跟中央分權，並與中央在一定事務之執行上成為相互合作之實體。</w:t>
      </w:r>
    </w:p>
    <w:p w14:paraId="6123B308" w14:textId="77777777" w:rsidR="00953151" w:rsidRPr="002C46BE" w:rsidRDefault="00800CD7" w:rsidP="00D87D91">
      <w:r w:rsidRPr="002C46BE">
        <w:t xml:space="preserve">　　</w:t>
      </w:r>
      <w:r w:rsidR="00203F72" w:rsidRPr="002C46BE">
        <w:t>依司法院釋</w:t>
      </w:r>
      <w:r w:rsidR="00BE1B2A" w:rsidRPr="002C46BE">
        <w:t>字</w:t>
      </w:r>
      <w:hyperlink r:id="rId1079" w:anchor="r498" w:history="1">
        <w:r w:rsidR="00BE1B2A" w:rsidRPr="002C46BE">
          <w:rPr>
            <w:rStyle w:val="a5"/>
          </w:rPr>
          <w:t>第498</w:t>
        </w:r>
        <w:r w:rsidR="00BE1B2A">
          <w:rPr>
            <w:rStyle w:val="a5"/>
          </w:rPr>
          <w:t>號</w:t>
        </w:r>
      </w:hyperlink>
      <w:r w:rsidR="00203F72" w:rsidRPr="002C46BE">
        <w:t>解釋理由書中之陳述：「地方自治為憲法所保障之制度，憲法於第十章詳列中央與地方之權限，除已列舉事項外，憲法第</w:t>
      </w:r>
      <w:hyperlink r:id="rId1080" w:anchor="a111" w:history="1">
        <w:r w:rsidR="00203F72" w:rsidRPr="00366B0C">
          <w:rPr>
            <w:rStyle w:val="a5"/>
            <w:rFonts w:ascii="Times New Roman" w:eastAsia="新細明體" w:hAnsi="Times New Roman"/>
          </w:rPr>
          <w:t>一百十一</w:t>
        </w:r>
      </w:hyperlink>
      <w:r w:rsidR="00203F72" w:rsidRPr="002C46BE">
        <w:t>條明定如有未列舉事項發生時，其事務有全國一致之性質者屬於中央，有一縣性質者則屬於縣，旨在使地方自治團體對於自治區域內之事務，具有得依其意思及責任實施自治之權。地方自治團體在特定事務之執行上，即可與中央分權，並與中央在一定事務之執行上成為相互合作之實體。」</w:t>
      </w:r>
    </w:p>
    <w:p w14:paraId="31982A73" w14:textId="77777777" w:rsidR="00953151" w:rsidRPr="002C46BE" w:rsidRDefault="00800CD7" w:rsidP="00D87D91">
      <w:r w:rsidRPr="002C46BE">
        <w:t xml:space="preserve">　　</w:t>
      </w:r>
      <w:r w:rsidR="00203F72" w:rsidRPr="002C46BE">
        <w:t>地方自治團體與中央政府共用權力行使之主體，在中央與地方共同之協力關係下，垂直分權，達到因地制宜之效果。當中央、省、縣發生衝突難解時，則交由立法院處理，因為立法委員是由全國人民所選出，當能清楚明白中央與各地方之情形，對衝突作適切處理。就目前而論，因台灣省政府屬於行政院之派出機關，故中央與省政府發生衝突之情事，當會下降與減少。</w:t>
      </w:r>
    </w:p>
    <w:p w14:paraId="35A150E0" w14:textId="77777777" w:rsidR="00545D58" w:rsidRDefault="00545D58" w:rsidP="006F42DC">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08A865B7" w14:textId="77777777" w:rsidR="00545D58" w:rsidRDefault="00545D58" w:rsidP="00D87D91"/>
    <w:p w14:paraId="3F52C3C5" w14:textId="77777777" w:rsidR="00953151" w:rsidRDefault="00203F72" w:rsidP="00767F37">
      <w:pPr>
        <w:pStyle w:val="2"/>
        <w:rPr>
          <w:rFonts w:ascii="新細明體" w:hAnsi="新細明體"/>
        </w:rPr>
      </w:pPr>
      <w:bookmarkStart w:id="38" w:name="_第十一章_地方制度_"/>
      <w:bookmarkEnd w:id="38"/>
      <w:r w:rsidRPr="00A53581">
        <w:t>第十一章</w:t>
      </w:r>
      <w:r w:rsidRPr="00A53581">
        <w:t xml:space="preserve"> </w:t>
      </w:r>
      <w:r w:rsidRPr="00A53581">
        <w:t>地方制度</w:t>
      </w:r>
      <w:r w:rsidR="00800CD7">
        <w:t xml:space="preserve">　　</w:t>
      </w:r>
      <w:r w:rsidR="005D5A46">
        <w:rPr>
          <w:rFonts w:ascii="新細明體" w:hAnsi="新細明體"/>
        </w:rPr>
        <w:t>第</w:t>
      </w:r>
      <w:r w:rsidRPr="00A53581">
        <w:rPr>
          <w:rFonts w:ascii="新細明體" w:hAnsi="新細明體"/>
        </w:rPr>
        <w:t>一</w:t>
      </w:r>
      <w:r w:rsidR="003D02B1">
        <w:rPr>
          <w:rFonts w:ascii="新細明體" w:hAnsi="新細明體"/>
        </w:rPr>
        <w:t>節</w:t>
      </w:r>
      <w:r w:rsidRPr="00A53581">
        <w:rPr>
          <w:rFonts w:ascii="新細明體" w:hAnsi="新細明體"/>
        </w:rPr>
        <w:t xml:space="preserve"> 省</w:t>
      </w:r>
    </w:p>
    <w:p w14:paraId="652D2F6F" w14:textId="77777777" w:rsidR="00203F72" w:rsidRPr="00A53581" w:rsidRDefault="00076467" w:rsidP="00767F37">
      <w:pPr>
        <w:pStyle w:val="2"/>
      </w:pPr>
      <w:hyperlink r:id="rId1081" w:anchor="a112" w:history="1">
        <w:r w:rsidR="005D5A46">
          <w:rPr>
            <w:rStyle w:val="a5"/>
            <w:rFonts w:ascii="Arial Unicode MS" w:hAnsi="Arial Unicode MS"/>
          </w:rPr>
          <w:t>第</w:t>
        </w:r>
        <w:r w:rsidR="00203F72" w:rsidRPr="00AB0A74">
          <w:rPr>
            <w:rStyle w:val="a5"/>
            <w:rFonts w:ascii="Arial Unicode MS" w:hAnsi="Arial Unicode MS"/>
          </w:rPr>
          <w:t>112</w:t>
        </w:r>
        <w:r w:rsidR="005D5A46">
          <w:rPr>
            <w:rStyle w:val="a5"/>
            <w:rFonts w:ascii="Arial Unicode MS" w:hAnsi="Arial Unicode MS"/>
          </w:rPr>
          <w:t>條</w:t>
        </w:r>
      </w:hyperlink>
      <w:r w:rsidR="00203F72" w:rsidRPr="00A53581">
        <w:t>省得召集省民代表大會，依據省縣自治通則，制定省自治法，但不得與憲法牴觸。</w:t>
      </w:r>
    </w:p>
    <w:p w14:paraId="1181B17C" w14:textId="77777777" w:rsidR="00953151" w:rsidRPr="008B1A5A" w:rsidRDefault="00800CD7" w:rsidP="00D87D91">
      <w:r w:rsidRPr="008B1A5A">
        <w:t xml:space="preserve">　　</w:t>
      </w:r>
      <w:r w:rsidR="00203F72" w:rsidRPr="008B1A5A">
        <w:t>省民代表大會之組織及選舉，以法律定之。</w:t>
      </w:r>
    </w:p>
    <w:p w14:paraId="378294B3" w14:textId="77777777" w:rsidR="00953151" w:rsidRPr="008B1A5A" w:rsidRDefault="00B03E84" w:rsidP="00D87D91">
      <w:r w:rsidRPr="008B1A5A">
        <w:t>【內容解析】</w:t>
      </w:r>
    </w:p>
    <w:p w14:paraId="278F68C7" w14:textId="77777777" w:rsidR="00953151" w:rsidRPr="008B1A5A" w:rsidRDefault="00800CD7" w:rsidP="00D87D91">
      <w:r w:rsidRPr="008B1A5A">
        <w:t xml:space="preserve">　　</w:t>
      </w:r>
      <w:r w:rsidR="00203F72" w:rsidRPr="008B1A5A">
        <w:t>司法院釋字</w:t>
      </w:r>
      <w:hyperlink r:id="rId1082" w:anchor="r467" w:history="1">
        <w:r w:rsidR="00203F72" w:rsidRPr="00366B0C">
          <w:rPr>
            <w:rStyle w:val="a5"/>
            <w:rFonts w:ascii="Times New Roman" w:eastAsia="新細明體" w:hAnsi="Times New Roman"/>
          </w:rPr>
          <w:t>第</w:t>
        </w:r>
        <w:r w:rsidR="00203F72" w:rsidRPr="00366B0C">
          <w:rPr>
            <w:rStyle w:val="a5"/>
            <w:rFonts w:ascii="Times New Roman" w:eastAsia="新細明體" w:hAnsi="Times New Roman"/>
          </w:rPr>
          <w:t>467</w:t>
        </w:r>
        <w:r w:rsidR="00203F72" w:rsidRPr="00366B0C">
          <w:rPr>
            <w:rStyle w:val="a5"/>
            <w:rFonts w:ascii="Times New Roman" w:eastAsia="新細明體" w:hAnsi="Times New Roman"/>
          </w:rPr>
          <w:t>號</w:t>
        </w:r>
      </w:hyperlink>
      <w:r w:rsidR="00203F72" w:rsidRPr="008B1A5A">
        <w:t>解釋指出：「中華民國八十六年七月二十一日公布之憲法增修條</w:t>
      </w:r>
      <w:r w:rsidR="007459D9" w:rsidRPr="008B1A5A">
        <w:t>文</w:t>
      </w:r>
      <w:hyperlink r:id="rId1083" w:anchor="b9" w:history="1">
        <w:r w:rsidR="007459D9" w:rsidRPr="008B1A5A">
          <w:rPr>
            <w:rStyle w:val="a5"/>
          </w:rPr>
          <w:t>第九條</w:t>
        </w:r>
      </w:hyperlink>
      <w:r w:rsidR="00203F72" w:rsidRPr="008B1A5A">
        <w:t>施行後，省為地方制度層級之地位仍未喪失，惟不再有憲法規定之自治事項，亦不具備自主組織權，自非地方自治團體性質之公法人。符合上開憲法增修條文意旨制定之各項法律，若未劃歸國家或縣市等地方自治團體之事項，而屬省之權限且得為權利義務之主體者，於此限度內，省自得具有公法人資格。」</w:t>
      </w:r>
    </w:p>
    <w:p w14:paraId="43B3544A" w14:textId="77777777" w:rsidR="00953151" w:rsidRPr="008B1A5A" w:rsidRDefault="00800CD7" w:rsidP="00D87D91">
      <w:r w:rsidRPr="008B1A5A">
        <w:t xml:space="preserve">　　</w:t>
      </w:r>
      <w:r w:rsidR="00203F72" w:rsidRPr="008B1A5A">
        <w:t>由該解釋可得知，省仍享有地方制度層級之地位，但不在有憲法規定之自治事項，不具備自主組織權，就屬省之權限，且省得為權利義務之主體事項而論，於此限度內，省仍是具備公法人資格。</w:t>
      </w:r>
    </w:p>
    <w:p w14:paraId="51B564FC" w14:textId="77777777" w:rsidR="00203F72" w:rsidRPr="00A53581" w:rsidRDefault="00076467" w:rsidP="00767F37">
      <w:pPr>
        <w:pStyle w:val="2"/>
      </w:pPr>
      <w:hyperlink r:id="rId1084" w:anchor="a113" w:history="1">
        <w:r w:rsidR="005D5A46">
          <w:rPr>
            <w:rStyle w:val="a5"/>
            <w:rFonts w:ascii="Arial Unicode MS" w:hAnsi="Arial Unicode MS"/>
          </w:rPr>
          <w:t>第</w:t>
        </w:r>
        <w:r w:rsidR="00203F72" w:rsidRPr="00AB0A74">
          <w:rPr>
            <w:rStyle w:val="a5"/>
            <w:rFonts w:ascii="Arial Unicode MS" w:hAnsi="Arial Unicode MS"/>
          </w:rPr>
          <w:t>113</w:t>
        </w:r>
        <w:r w:rsidR="005D5A46">
          <w:rPr>
            <w:rStyle w:val="a5"/>
            <w:rFonts w:ascii="Arial Unicode MS" w:hAnsi="Arial Unicode MS"/>
          </w:rPr>
          <w:t>條</w:t>
        </w:r>
      </w:hyperlink>
      <w:r w:rsidR="00203F72" w:rsidRPr="00A53581">
        <w:t>省自治法應包含左列各款：</w:t>
      </w:r>
    </w:p>
    <w:p w14:paraId="36F00A0A" w14:textId="77777777" w:rsidR="00203F72" w:rsidRPr="008B1A5A" w:rsidRDefault="00800CD7" w:rsidP="00D87D91">
      <w:r w:rsidRPr="008B1A5A">
        <w:t xml:space="preserve">　　</w:t>
      </w:r>
      <w:r w:rsidR="00203F72" w:rsidRPr="008B1A5A">
        <w:t>一</w:t>
      </w:r>
      <w:r w:rsidRPr="008B1A5A">
        <w:t>、</w:t>
      </w:r>
      <w:r w:rsidR="00203F72" w:rsidRPr="008B1A5A">
        <w:t>省設省議會，省議會議員由省民選舉之。</w:t>
      </w:r>
    </w:p>
    <w:p w14:paraId="31BDEA17" w14:textId="77777777" w:rsidR="00203F72" w:rsidRPr="008B1A5A" w:rsidRDefault="00800CD7" w:rsidP="00D87D91">
      <w:r w:rsidRPr="008B1A5A">
        <w:t xml:space="preserve">　　</w:t>
      </w:r>
      <w:r w:rsidR="00203F72" w:rsidRPr="008B1A5A">
        <w:t>二</w:t>
      </w:r>
      <w:r w:rsidRPr="008B1A5A">
        <w:t>、</w:t>
      </w:r>
      <w:r w:rsidR="00203F72" w:rsidRPr="008B1A5A">
        <w:t>省設省政府，置省長一人。省長由省民選舉之。</w:t>
      </w:r>
    </w:p>
    <w:p w14:paraId="5DCA40A2" w14:textId="77777777" w:rsidR="00203F72" w:rsidRPr="008B1A5A" w:rsidRDefault="00800CD7" w:rsidP="00D87D91">
      <w:r w:rsidRPr="008B1A5A">
        <w:t xml:space="preserve">　　</w:t>
      </w:r>
      <w:r w:rsidR="00203F72" w:rsidRPr="008B1A5A">
        <w:t>三</w:t>
      </w:r>
      <w:r w:rsidRPr="008B1A5A">
        <w:t>、</w:t>
      </w:r>
      <w:r w:rsidR="00203F72" w:rsidRPr="008B1A5A">
        <w:t>省與縣之關係。</w:t>
      </w:r>
    </w:p>
    <w:p w14:paraId="331E5D3F" w14:textId="77777777" w:rsidR="00953151" w:rsidRPr="008B1A5A" w:rsidRDefault="00800CD7" w:rsidP="00D87D91">
      <w:r w:rsidRPr="008B1A5A">
        <w:t xml:space="preserve">　　</w:t>
      </w:r>
      <w:r w:rsidR="00203F72" w:rsidRPr="008B1A5A">
        <w:t>屬於省之立法權，由省議會行之。</w:t>
      </w:r>
    </w:p>
    <w:p w14:paraId="2EEBFDEC" w14:textId="77777777" w:rsidR="00953151" w:rsidRPr="008B1A5A" w:rsidRDefault="00B03E84" w:rsidP="00D87D91">
      <w:r w:rsidRPr="008B1A5A">
        <w:t>【內容解析】</w:t>
      </w:r>
    </w:p>
    <w:p w14:paraId="2E791DE1" w14:textId="77777777" w:rsidR="00203F72" w:rsidRPr="008B1A5A" w:rsidRDefault="00800CD7" w:rsidP="00D87D91">
      <w:r w:rsidRPr="008B1A5A">
        <w:t xml:space="preserve">　　</w:t>
      </w:r>
      <w:r w:rsidR="00203F72" w:rsidRPr="008B1A5A">
        <w:t>依據憲法增修條</w:t>
      </w:r>
      <w:r w:rsidR="008B1A5A" w:rsidRPr="008B1A5A">
        <w:t>文</w:t>
      </w:r>
      <w:hyperlink r:id="rId1085" w:anchor="b9" w:history="1">
        <w:r w:rsidR="008B1A5A" w:rsidRPr="008B1A5A">
          <w:rPr>
            <w:rStyle w:val="a5"/>
          </w:rPr>
          <w:t>第9條</w:t>
        </w:r>
      </w:hyperlink>
      <w:r w:rsidR="00203F72" w:rsidRPr="008B1A5A">
        <w:t>有關省、縣地方制度之規定，其具有以下之特色：</w:t>
      </w:r>
    </w:p>
    <w:p w14:paraId="777BFDBA" w14:textId="77777777" w:rsidR="00203F72" w:rsidRPr="008B1A5A" w:rsidRDefault="00800CD7" w:rsidP="00D87D91">
      <w:r w:rsidRPr="008B1A5A">
        <w:t xml:space="preserve">　　</w:t>
      </w:r>
      <w:r w:rsidR="00203F72" w:rsidRPr="008B1A5A">
        <w:t>1</w:t>
      </w:r>
      <w:r w:rsidR="00203F72" w:rsidRPr="008B1A5A">
        <w:t>、不受憲</w:t>
      </w:r>
      <w:r w:rsidR="00203F72" w:rsidRPr="00366B0C">
        <w:t>法</w:t>
      </w:r>
      <w:hyperlink r:id="rId1086" w:anchor="a113" w:history="1">
        <w:r w:rsidR="00366B0C" w:rsidRPr="00366B0C">
          <w:rPr>
            <w:rStyle w:val="a5"/>
          </w:rPr>
          <w:t>第113條</w:t>
        </w:r>
      </w:hyperlink>
      <w:r w:rsidR="00203F72" w:rsidRPr="00366B0C">
        <w:t>之限制</w:t>
      </w:r>
      <w:r w:rsidR="00203F72" w:rsidRPr="008B1A5A">
        <w:t>：</w:t>
      </w:r>
    </w:p>
    <w:p w14:paraId="6AC1C33A" w14:textId="77777777" w:rsidR="00203F72" w:rsidRPr="008B1A5A" w:rsidRDefault="00800CD7" w:rsidP="00D87D91">
      <w:r w:rsidRPr="008B1A5A">
        <w:t xml:space="preserve">　　</w:t>
      </w:r>
      <w:r w:rsidR="00203F72" w:rsidRPr="008B1A5A">
        <w:t>2</w:t>
      </w:r>
      <w:r w:rsidR="00203F72" w:rsidRPr="008B1A5A">
        <w:t>、省設省政府，置委員九人，其中一人為主席，均由行政院院長提請總統任命之；是以，目前之實況，已無省長之編制；</w:t>
      </w:r>
    </w:p>
    <w:p w14:paraId="266B6F40" w14:textId="77777777" w:rsidR="00203F72" w:rsidRPr="008B1A5A" w:rsidRDefault="00800CD7" w:rsidP="00D87D91">
      <w:r w:rsidRPr="008B1A5A">
        <w:t xml:space="preserve">　　</w:t>
      </w:r>
      <w:r w:rsidR="00203F72" w:rsidRPr="008B1A5A">
        <w:t>3</w:t>
      </w:r>
      <w:r w:rsidR="00203F72" w:rsidRPr="008B1A5A">
        <w:t>、省設省諮議會，置省諮議會議員若干人，由行政院院長提請總統任命之；</w:t>
      </w:r>
    </w:p>
    <w:p w14:paraId="0297A24D" w14:textId="77777777" w:rsidR="00203F72" w:rsidRPr="008B1A5A" w:rsidRDefault="00800CD7" w:rsidP="00D87D91">
      <w:r w:rsidRPr="008B1A5A">
        <w:t xml:space="preserve">　　</w:t>
      </w:r>
      <w:r w:rsidR="00203F72" w:rsidRPr="008B1A5A">
        <w:t>4</w:t>
      </w:r>
      <w:r w:rsidR="00203F72" w:rsidRPr="008B1A5A">
        <w:t>、台灣省政府之功能、業務與組織之調整，得以法律為特別之規定。</w:t>
      </w:r>
    </w:p>
    <w:p w14:paraId="0E3A125B" w14:textId="77777777" w:rsidR="00953151" w:rsidRPr="008B1A5A" w:rsidRDefault="00800CD7" w:rsidP="00D87D91">
      <w:r w:rsidRPr="008B1A5A">
        <w:t xml:space="preserve">　　</w:t>
      </w:r>
      <w:r w:rsidR="00203F72" w:rsidRPr="008B1A5A">
        <w:t>5</w:t>
      </w:r>
      <w:r w:rsidR="00203F72" w:rsidRPr="008B1A5A">
        <w:t>、省在憲法增修條</w:t>
      </w:r>
      <w:r w:rsidR="008B1A5A" w:rsidRPr="008B1A5A">
        <w:t>文</w:t>
      </w:r>
      <w:hyperlink r:id="rId1087" w:anchor="b9" w:history="1">
        <w:r w:rsidR="008B1A5A" w:rsidRPr="008B1A5A">
          <w:rPr>
            <w:rStyle w:val="a5"/>
          </w:rPr>
          <w:t>第9條</w:t>
        </w:r>
      </w:hyperlink>
      <w:r w:rsidR="00203F72" w:rsidRPr="008B1A5A">
        <w:t>之法律定位，仍是屬於地方制度之層級，而非地方中央制度之層級。</w:t>
      </w:r>
    </w:p>
    <w:p w14:paraId="64DEF13E" w14:textId="77777777" w:rsidR="00953151" w:rsidRDefault="00076467" w:rsidP="00767F37">
      <w:pPr>
        <w:pStyle w:val="2"/>
      </w:pPr>
      <w:hyperlink r:id="rId1088" w:anchor="a114" w:history="1">
        <w:r w:rsidR="005D5A46">
          <w:rPr>
            <w:rStyle w:val="a5"/>
            <w:rFonts w:ascii="Arial Unicode MS" w:hAnsi="Arial Unicode MS"/>
          </w:rPr>
          <w:t>第</w:t>
        </w:r>
        <w:r w:rsidR="00203F72" w:rsidRPr="00AB0A74">
          <w:rPr>
            <w:rStyle w:val="a5"/>
            <w:rFonts w:ascii="Arial Unicode MS" w:hAnsi="Arial Unicode MS"/>
          </w:rPr>
          <w:t>114</w:t>
        </w:r>
        <w:r w:rsidR="005D5A46">
          <w:rPr>
            <w:rStyle w:val="a5"/>
            <w:rFonts w:ascii="Arial Unicode MS" w:hAnsi="Arial Unicode MS"/>
          </w:rPr>
          <w:t>條</w:t>
        </w:r>
      </w:hyperlink>
      <w:r w:rsidR="00203F72" w:rsidRPr="00A53581">
        <w:t>省自治法制定後，須即送司法院。司法院如認為有違憲之處，應將違憲條文宣佈無效。</w:t>
      </w:r>
    </w:p>
    <w:p w14:paraId="57D9D39B" w14:textId="77777777" w:rsidR="00953151" w:rsidRPr="00991652" w:rsidRDefault="00B03E84" w:rsidP="00D87D91">
      <w:r w:rsidRPr="00991652">
        <w:t>【內容解析】</w:t>
      </w:r>
    </w:p>
    <w:p w14:paraId="5A97B35B" w14:textId="77777777" w:rsidR="00953151" w:rsidRPr="00991652" w:rsidRDefault="00800CD7" w:rsidP="00D87D91">
      <w:r w:rsidRPr="00991652">
        <w:t xml:space="preserve">　　</w:t>
      </w:r>
      <w:r w:rsidR="00203F72" w:rsidRPr="00991652">
        <w:t>依據憲法增修條</w:t>
      </w:r>
      <w:r w:rsidR="008B1A5A" w:rsidRPr="00991652">
        <w:t>文</w:t>
      </w:r>
      <w:hyperlink r:id="rId1089" w:anchor="b9" w:history="1">
        <w:r w:rsidR="008B1A5A" w:rsidRPr="00991652">
          <w:rPr>
            <w:rStyle w:val="a5"/>
          </w:rPr>
          <w:t>第9條</w:t>
        </w:r>
      </w:hyperlink>
      <w:r w:rsidR="00203F72" w:rsidRPr="00991652">
        <w:t>省、縣地方制度之規定，本條之規定，已暫時停止適用。</w:t>
      </w:r>
    </w:p>
    <w:p w14:paraId="08C87FEE" w14:textId="77777777" w:rsidR="00953151" w:rsidRDefault="00076467" w:rsidP="00767F37">
      <w:pPr>
        <w:pStyle w:val="2"/>
      </w:pPr>
      <w:hyperlink r:id="rId1090" w:anchor="a115" w:history="1">
        <w:r w:rsidR="005D5A46">
          <w:rPr>
            <w:rStyle w:val="a5"/>
            <w:rFonts w:ascii="Arial Unicode MS" w:hAnsi="Arial Unicode MS"/>
          </w:rPr>
          <w:t>第</w:t>
        </w:r>
        <w:r w:rsidR="00203F72" w:rsidRPr="00AB0A74">
          <w:rPr>
            <w:rStyle w:val="a5"/>
            <w:rFonts w:ascii="Arial Unicode MS" w:hAnsi="Arial Unicode MS"/>
          </w:rPr>
          <w:t>115</w:t>
        </w:r>
        <w:r w:rsidR="005D5A46">
          <w:rPr>
            <w:rStyle w:val="a5"/>
            <w:rFonts w:ascii="Arial Unicode MS" w:hAnsi="Arial Unicode MS"/>
          </w:rPr>
          <w:t>條</w:t>
        </w:r>
      </w:hyperlink>
      <w:r w:rsidR="00203F72" w:rsidRPr="00A53581">
        <w:t>省自治法施行中，如因其中某條發生重大障礙，經司法院召集有關方面陳述意見後，由行政院院長、立法院院長、司法院院長、考試院院長與監察院院長組織委員會，以司法院院長為主席，提出方案解決之。</w:t>
      </w:r>
    </w:p>
    <w:p w14:paraId="0EE08716" w14:textId="77777777" w:rsidR="00953151" w:rsidRDefault="00B03E84" w:rsidP="00D87D91">
      <w:r>
        <w:t>【內容解析】</w:t>
      </w:r>
    </w:p>
    <w:p w14:paraId="56AAFE41" w14:textId="77777777" w:rsidR="00953151" w:rsidRPr="00991652" w:rsidRDefault="00800CD7" w:rsidP="00D87D91">
      <w:r w:rsidRPr="00991652">
        <w:t xml:space="preserve">　　</w:t>
      </w:r>
      <w:r w:rsidR="00203F72" w:rsidRPr="00991652">
        <w:t>依據憲法增修條</w:t>
      </w:r>
      <w:r w:rsidR="008B1A5A" w:rsidRPr="00991652">
        <w:t>文</w:t>
      </w:r>
      <w:hyperlink r:id="rId1091" w:anchor="b9" w:history="1">
        <w:r w:rsidR="008B1A5A" w:rsidRPr="00991652">
          <w:rPr>
            <w:rStyle w:val="a5"/>
          </w:rPr>
          <w:t>第9條</w:t>
        </w:r>
      </w:hyperlink>
      <w:r w:rsidR="00203F72" w:rsidRPr="00991652">
        <w:t>之規定，省、縣地方制度之規定，本條之規定，已暫時停止適用。</w:t>
      </w:r>
    </w:p>
    <w:p w14:paraId="78E8E458" w14:textId="77777777" w:rsidR="00203F72" w:rsidRPr="00A53581" w:rsidRDefault="00076467" w:rsidP="00767F37">
      <w:pPr>
        <w:pStyle w:val="2"/>
      </w:pPr>
      <w:hyperlink r:id="rId1092" w:anchor="a116" w:history="1">
        <w:r w:rsidR="005D5A46">
          <w:rPr>
            <w:rStyle w:val="a5"/>
            <w:rFonts w:ascii="Arial Unicode MS" w:hAnsi="Arial Unicode MS"/>
          </w:rPr>
          <w:t>第</w:t>
        </w:r>
        <w:r w:rsidR="00203F72" w:rsidRPr="00AB0A74">
          <w:rPr>
            <w:rStyle w:val="a5"/>
            <w:rFonts w:ascii="Arial Unicode MS" w:hAnsi="Arial Unicode MS"/>
          </w:rPr>
          <w:t>116</w:t>
        </w:r>
        <w:r w:rsidR="005D5A46">
          <w:rPr>
            <w:rStyle w:val="a5"/>
            <w:rFonts w:ascii="Arial Unicode MS" w:hAnsi="Arial Unicode MS"/>
          </w:rPr>
          <w:t>條</w:t>
        </w:r>
      </w:hyperlink>
      <w:r w:rsidR="00203F72" w:rsidRPr="00A53581">
        <w:t>省法規與國家法律牴觸者無效。</w:t>
      </w:r>
    </w:p>
    <w:p w14:paraId="198CF0EB" w14:textId="77777777" w:rsidR="00953151" w:rsidRPr="00991652" w:rsidRDefault="00B03E84" w:rsidP="00D87D91">
      <w:r w:rsidRPr="00991652">
        <w:t>【內容解析】</w:t>
      </w:r>
    </w:p>
    <w:p w14:paraId="4F031F0B" w14:textId="77777777" w:rsidR="00953151" w:rsidRDefault="00800CD7" w:rsidP="00D87D91">
      <w:r w:rsidRPr="00991652">
        <w:t xml:space="preserve">　　</w:t>
      </w:r>
      <w:r w:rsidR="00203F72" w:rsidRPr="00991652">
        <w:t>依建國大綱第十八條之規定：「省立於中央與縣之間，以收聯絡之效」，故省之地位處於中央與縣之間，省仍受中央之指揮監督，因之，省法規與國家法律牴觸者無效。</w:t>
      </w:r>
      <w:r w:rsidR="00203F72" w:rsidRPr="00A53581">
        <w:t>而省法規與國家法律有無牴觸發生疑義時，則由司法院解釋之。</w:t>
      </w:r>
    </w:p>
    <w:p w14:paraId="45CAC143" w14:textId="77777777" w:rsidR="00953151" w:rsidRDefault="00076467" w:rsidP="00767F37">
      <w:pPr>
        <w:pStyle w:val="2"/>
      </w:pPr>
      <w:hyperlink r:id="rId1093" w:anchor="a117" w:history="1">
        <w:r w:rsidR="005D5A46">
          <w:rPr>
            <w:rStyle w:val="a5"/>
            <w:rFonts w:ascii="Arial Unicode MS" w:hAnsi="Arial Unicode MS"/>
          </w:rPr>
          <w:t>第</w:t>
        </w:r>
        <w:r w:rsidR="00203F72" w:rsidRPr="00AB0A74">
          <w:rPr>
            <w:rStyle w:val="a5"/>
            <w:rFonts w:ascii="Arial Unicode MS" w:hAnsi="Arial Unicode MS"/>
          </w:rPr>
          <w:t>117</w:t>
        </w:r>
        <w:r w:rsidR="005D5A46">
          <w:rPr>
            <w:rStyle w:val="a5"/>
            <w:rFonts w:ascii="Arial Unicode MS" w:hAnsi="Arial Unicode MS"/>
          </w:rPr>
          <w:t>條</w:t>
        </w:r>
      </w:hyperlink>
      <w:r w:rsidR="00203F72" w:rsidRPr="00A53581">
        <w:t>省法規與國家法律有無牴觸發生疑義時，由司法院解釋之。</w:t>
      </w:r>
    </w:p>
    <w:p w14:paraId="0E650022" w14:textId="77777777" w:rsidR="00953151" w:rsidRDefault="00B03E84" w:rsidP="00D87D91">
      <w:r>
        <w:t>【內容解析】</w:t>
      </w:r>
    </w:p>
    <w:p w14:paraId="53C2D531" w14:textId="77777777" w:rsidR="00953151" w:rsidRPr="00B167C2" w:rsidRDefault="00800CD7" w:rsidP="00D87D91">
      <w:r w:rsidRPr="00B167C2">
        <w:t xml:space="preserve">　　</w:t>
      </w:r>
      <w:r w:rsidR="00203F72" w:rsidRPr="00B167C2">
        <w:t>依</w:t>
      </w:r>
      <w:hyperlink r:id="rId1094" w:history="1">
        <w:r w:rsidR="00203F72" w:rsidRPr="00B23D06">
          <w:rPr>
            <w:rStyle w:val="a5"/>
            <w:rFonts w:ascii="Times New Roman" w:eastAsia="新細明體" w:hAnsi="Times New Roman"/>
          </w:rPr>
          <w:t>司法院大法官審理案件法</w:t>
        </w:r>
      </w:hyperlink>
      <w:r w:rsidR="00203F72" w:rsidRPr="00B167C2">
        <w:t>規定，司法院大法官解釋憲法之事項，包括以下若干之情形：關於省自治法、縣自治法、省法規及縣規章有無牴觸憲法之事項。另外，中央或地方機關，於其行使職權，適用憲法發生疑義，或因行使職權與其他機關之職權，發生適用憲法之爭議，或適用法律與命令發生有牴觸憲法之疑義者，得聲請大法官解釋憲法。再者，中央或地方機關，就其職權上適用法律或命令所持見解，與本機關或他機關適用同一法律或命令時，所已表示之見解有異者，得聲請大法官統一解釋事項，但該機關依法應受本機關或他機關見解之拘束，或得變更其見解者，不在此限。</w:t>
      </w:r>
    </w:p>
    <w:p w14:paraId="7479A585" w14:textId="77777777" w:rsidR="00953151" w:rsidRPr="00B167C2" w:rsidRDefault="00800CD7" w:rsidP="00D87D91">
      <w:r w:rsidRPr="00B167C2">
        <w:t xml:space="preserve">　　</w:t>
      </w:r>
      <w:r w:rsidR="00203F72" w:rsidRPr="00B167C2">
        <w:t>於</w:t>
      </w:r>
      <w:hyperlink r:id="rId1095" w:history="1">
        <w:r w:rsidR="006E0E2F" w:rsidRPr="00B167C2">
          <w:rPr>
            <w:rStyle w:val="a5"/>
          </w:rPr>
          <w:t>地方制度法</w:t>
        </w:r>
      </w:hyperlink>
      <w:r w:rsidR="00203F72" w:rsidRPr="00B167C2">
        <w:t>之中，有設計得聲請司法院解釋之機制，其真實之意涵為何？司法院釋字</w:t>
      </w:r>
      <w:hyperlink r:id="rId1096" w:anchor="r527" w:history="1">
        <w:r w:rsidR="00203F72" w:rsidRPr="00B167C2">
          <w:rPr>
            <w:rStyle w:val="a5"/>
            <w:rFonts w:ascii="Times New Roman" w:hAnsi="Times New Roman"/>
          </w:rPr>
          <w:t>第</w:t>
        </w:r>
        <w:r w:rsidR="00203F72" w:rsidRPr="00B167C2">
          <w:rPr>
            <w:rStyle w:val="a5"/>
            <w:rFonts w:ascii="Times New Roman" w:hAnsi="Times New Roman"/>
          </w:rPr>
          <w:t>527</w:t>
        </w:r>
        <w:r w:rsidR="00203F72" w:rsidRPr="00B167C2">
          <w:rPr>
            <w:rStyle w:val="a5"/>
            <w:rFonts w:ascii="Times New Roman" w:hAnsi="Times New Roman"/>
          </w:rPr>
          <w:t>號</w:t>
        </w:r>
      </w:hyperlink>
      <w:r w:rsidR="00203F72" w:rsidRPr="00B167C2">
        <w:t>解釋指出：「、、、</w:t>
      </w:r>
      <w:r w:rsidR="00203F72" w:rsidRPr="00B167C2">
        <w:t xml:space="preserve"> </w:t>
      </w:r>
      <w:r w:rsidR="00203F72" w:rsidRPr="00B167C2">
        <w:t>二、地方制度法第</w:t>
      </w:r>
      <w:hyperlink r:id="rId1097" w:anchor="a43" w:history="1">
        <w:r w:rsidR="00203F72" w:rsidRPr="00B167C2">
          <w:rPr>
            <w:rStyle w:val="a5"/>
          </w:rPr>
          <w:t>四十三</w:t>
        </w:r>
      </w:hyperlink>
      <w:r w:rsidR="00203F72" w:rsidRPr="00B167C2">
        <w:t>條第一項至第三項規定各級地方立法機關議決之自治事項，或依同法第</w:t>
      </w:r>
      <w:hyperlink r:id="rId1098" w:anchor="a30" w:history="1">
        <w:r w:rsidR="00203F72" w:rsidRPr="00B167C2">
          <w:rPr>
            <w:rStyle w:val="a5"/>
          </w:rPr>
          <w:t>三十</w:t>
        </w:r>
      </w:hyperlink>
      <w:r w:rsidR="00203F72" w:rsidRPr="00B167C2">
        <w:t>條第一項至第四項規定之自治法規，與憲法、法律、中央法規或上級自治團體自治法規牴觸者無效。同法</w:t>
      </w:r>
      <w:r w:rsidR="00203F72" w:rsidRPr="00B167C2">
        <w:t>(</w:t>
      </w:r>
      <w:r w:rsidR="00203F72" w:rsidRPr="00B167C2">
        <w:t>地方制度法</w:t>
      </w:r>
      <w:r w:rsidR="00203F72" w:rsidRPr="00B167C2">
        <w:t>)</w:t>
      </w:r>
      <w:r w:rsidR="00B23D06" w:rsidRPr="00B167C2">
        <w:t>第</w:t>
      </w:r>
      <w:hyperlink r:id="rId1099" w:anchor="a43" w:history="1">
        <w:r w:rsidR="00B23D06" w:rsidRPr="00B167C2">
          <w:rPr>
            <w:rStyle w:val="a5"/>
          </w:rPr>
          <w:t>四十三</w:t>
        </w:r>
      </w:hyperlink>
      <w:r w:rsidR="00B23D06" w:rsidRPr="00B167C2">
        <w:t>條</w:t>
      </w:r>
      <w:r w:rsidR="00203F72" w:rsidRPr="00B167C2">
        <w:t>第五項及</w:t>
      </w:r>
      <w:r w:rsidR="00B23D06" w:rsidRPr="00B167C2">
        <w:t>第</w:t>
      </w:r>
      <w:hyperlink r:id="rId1100" w:anchor="a30" w:history="1">
        <w:r w:rsidR="00B23D06" w:rsidRPr="00B167C2">
          <w:rPr>
            <w:rStyle w:val="a5"/>
          </w:rPr>
          <w:t>三十</w:t>
        </w:r>
      </w:hyperlink>
      <w:r w:rsidR="00B23D06" w:rsidRPr="00B167C2">
        <w:t>條</w:t>
      </w:r>
      <w:r w:rsidR="00203F72" w:rsidRPr="00B167C2">
        <w:t>第五項均有：上述各項情形有無牴觸發生疑義得聲請司法院解釋之規定，係指就相關業務有監督自治團體權限之各級主管機關對決議事項或自治法規是否牴觸憲法、法律或其他上位規範尚有疑義，而未依各該條第四項逕予函告無效，向本院大法官聲請解釋而言。地方自治團體對函告無效之內容持不同意見時，應</w:t>
      </w:r>
      <w:r w:rsidR="003E240E">
        <w:t>視</w:t>
      </w:r>
      <w:r w:rsidR="00203F72" w:rsidRPr="00B167C2">
        <w:t>受函告無效者為自治條例抑自治規則，分別由該地方自治團體之立法機關或行政機關，就事件之性質聲請本</w:t>
      </w:r>
      <w:r w:rsidR="00203F72" w:rsidRPr="00B23D06">
        <w:t>院解釋憲法或統一解釋法令。有關聲請程序分別適用司法院大法官審理案件</w:t>
      </w:r>
      <w:r w:rsidR="00F84373" w:rsidRPr="00B23D06">
        <w:rPr>
          <w:rFonts w:hint="eastAsia"/>
        </w:rPr>
        <w:t>法</w:t>
      </w:r>
      <w:hyperlink r:id="rId1101" w:anchor="a8" w:history="1">
        <w:r w:rsidR="00F84373" w:rsidRPr="00B23D06">
          <w:rPr>
            <w:rStyle w:val="a5"/>
            <w:rFonts w:hint="eastAsia"/>
          </w:rPr>
          <w:t>第八條</w:t>
        </w:r>
      </w:hyperlink>
      <w:r w:rsidR="00203F72" w:rsidRPr="00B23D06">
        <w:t>第一項、第二項之規定，於此情形，無同法</w:t>
      </w:r>
      <w:hyperlink r:id="rId1102" w:anchor="a9" w:history="1">
        <w:r w:rsidR="00BD43D3" w:rsidRPr="00B23D06">
          <w:rPr>
            <w:rStyle w:val="a5"/>
          </w:rPr>
          <w:t>第九條</w:t>
        </w:r>
      </w:hyperlink>
      <w:r w:rsidR="00203F72" w:rsidRPr="00B23D06">
        <w:t>規</w:t>
      </w:r>
      <w:r w:rsidR="00203F72" w:rsidRPr="00B167C2">
        <w:t>定之適用。至地方行政機關對同級立法機關議決事項發生執行之爭議時，應依地方制度法</w:t>
      </w:r>
      <w:r w:rsidR="00A5735A" w:rsidRPr="00B167C2">
        <w:t>第</w:t>
      </w:r>
      <w:hyperlink r:id="rId1103" w:anchor="a38" w:history="1">
        <w:r w:rsidR="00A5735A" w:rsidRPr="00B167C2">
          <w:rPr>
            <w:rStyle w:val="a5"/>
          </w:rPr>
          <w:t>三十八</w:t>
        </w:r>
      </w:hyperlink>
      <w:r w:rsidR="00A5735A" w:rsidRPr="00B167C2">
        <w:t>條</w:t>
      </w:r>
      <w:r w:rsidR="00203F72" w:rsidRPr="00B167C2">
        <w:t>、第</w:t>
      </w:r>
      <w:hyperlink r:id="rId1104" w:anchor="a39" w:history="1">
        <w:r w:rsidR="00203F72" w:rsidRPr="00B167C2">
          <w:rPr>
            <w:rStyle w:val="a5"/>
          </w:rPr>
          <w:t>三十九</w:t>
        </w:r>
      </w:hyperlink>
      <w:r w:rsidR="00203F72" w:rsidRPr="00B167C2">
        <w:t>條等相關規定處理，尚不得逕向本院聲請解釋。原通過決議事項或自治法規之各級地方立法機關，本身亦不得通過決議案又同時認該決議有牴觸憲法、法律、中央法規或上級自治團體自治法規疑義而聲請解釋。三、有監督地方自治團體權限之各級主管機關，依地方制度法第</w:t>
      </w:r>
      <w:hyperlink r:id="rId1105" w:anchor="a75" w:history="1">
        <w:r w:rsidR="00203F72" w:rsidRPr="00B167C2">
          <w:rPr>
            <w:rStyle w:val="a5"/>
          </w:rPr>
          <w:t>七十五</w:t>
        </w:r>
      </w:hyperlink>
      <w:r w:rsidR="00203F72" w:rsidRPr="00B167C2">
        <w:t>條對地方自治團體行政機關（即直轄市、縣、市政府或鄉、鎮、市公所）辦理該條第二項、第四項及第六項之自治事項，認有違背憲法、法律或其他上位規範尚有疑義，未依各該項規定予以撤銷、變更、廢止或停止其執行者，得依同條第八項規定聲請本院解釋。地方自治團體之行政機關對上開主管機關所為處分行為，認為已涉及辦理自治事項所依據之自治法規因違反上位規範而生之效力問題，且該自治法規未經上級主管機關函告無效，無從依同法</w:t>
      </w:r>
      <w:r w:rsidR="00B23D06" w:rsidRPr="00B167C2">
        <w:t>第</w:t>
      </w:r>
      <w:hyperlink r:id="rId1106" w:anchor="a30" w:history="1">
        <w:r w:rsidR="00B23D06" w:rsidRPr="00B167C2">
          <w:rPr>
            <w:rStyle w:val="a5"/>
          </w:rPr>
          <w:t>三十</w:t>
        </w:r>
      </w:hyperlink>
      <w:r w:rsidR="00B23D06" w:rsidRPr="00B167C2">
        <w:t>條</w:t>
      </w:r>
      <w:r w:rsidR="00203F72" w:rsidRPr="00B167C2">
        <w:t>第五項聲請解釋，自治團體之行政機關亦得依同法</w:t>
      </w:r>
      <w:r w:rsidR="00B167C2" w:rsidRPr="00B167C2">
        <w:t>第</w:t>
      </w:r>
      <w:hyperlink r:id="rId1107" w:anchor="a75" w:history="1">
        <w:r w:rsidR="00B167C2" w:rsidRPr="00B167C2">
          <w:rPr>
            <w:rStyle w:val="a5"/>
          </w:rPr>
          <w:t>七十五</w:t>
        </w:r>
      </w:hyperlink>
      <w:r w:rsidR="00B167C2" w:rsidRPr="00B167C2">
        <w:t>條</w:t>
      </w:r>
      <w:r w:rsidR="00203F72" w:rsidRPr="00B167C2">
        <w:t>第八項逕向本院聲請解釋。其因處分行為而構成司法院大法官審理案件法第五條第一項第一款之疑義或爭議時，則另得直接聲請解釋憲法。如上述處分行為有損害地方自治團體之權利或法律上利益情事，其行政機關得代表地方自治團體依法提起行政訴訟，於窮盡訴訟之審級救濟後，若仍發生法律或其他上位規範違憲疑義，而合於司法院大法官審理案件法第五條第一項第二款之要件，亦非不得聲請本院解釋。至若無關地方自治團體決議事項或自治法規效力問題，亦不屬前開得提起行政訴訟之事項，而純為中央與地方自治團體間或上下級地方自治團體間之權限爭議，則應循地方制度法第</w:t>
      </w:r>
      <w:hyperlink r:id="rId1108" w:anchor="a77" w:history="1">
        <w:r w:rsidR="00203F72" w:rsidRPr="00B167C2">
          <w:rPr>
            <w:rStyle w:val="a5"/>
          </w:rPr>
          <w:t>七十七</w:t>
        </w:r>
      </w:hyperlink>
      <w:r w:rsidR="00203F72" w:rsidRPr="00B167C2">
        <w:t>條規定解決之，尚不得逕向本院聲請解釋。」</w:t>
      </w:r>
    </w:p>
    <w:p w14:paraId="79CFCEA8" w14:textId="77777777" w:rsidR="00953151" w:rsidRPr="00B167C2" w:rsidRDefault="00800CD7" w:rsidP="00D87D91">
      <w:r w:rsidRPr="00B167C2">
        <w:t xml:space="preserve">　　</w:t>
      </w:r>
      <w:r w:rsidR="00203F72" w:rsidRPr="00B167C2">
        <w:t>依照本條之規定，主要係欲處理省法規與國家法律有無牴觸發生疑義時，由司法院解釋。假若純屬於為中央與地方自治團體間，或上下級地方自治團體間之「權限」爭議，根據司法院釋</w:t>
      </w:r>
      <w:r w:rsidR="00B167C2" w:rsidRPr="00B167C2">
        <w:t>字</w:t>
      </w:r>
      <w:hyperlink r:id="rId1109" w:anchor="r527" w:history="1">
        <w:r w:rsidR="00B167C2" w:rsidRPr="00B167C2">
          <w:rPr>
            <w:rStyle w:val="a5"/>
            <w:rFonts w:ascii="Times New Roman" w:hAnsi="Times New Roman"/>
          </w:rPr>
          <w:t>第</w:t>
        </w:r>
        <w:r w:rsidR="00B167C2" w:rsidRPr="00B167C2">
          <w:rPr>
            <w:rStyle w:val="a5"/>
            <w:rFonts w:ascii="Times New Roman" w:hAnsi="Times New Roman"/>
          </w:rPr>
          <w:t>527</w:t>
        </w:r>
        <w:r w:rsidR="00B167C2" w:rsidRPr="00B167C2">
          <w:rPr>
            <w:rStyle w:val="a5"/>
            <w:rFonts w:ascii="Times New Roman" w:hAnsi="Times New Roman"/>
          </w:rPr>
          <w:t>號</w:t>
        </w:r>
      </w:hyperlink>
      <w:r w:rsidR="00203F72" w:rsidRPr="00B167C2">
        <w:t>之解釋，則應循地方制度法</w:t>
      </w:r>
      <w:r w:rsidR="00B167C2" w:rsidRPr="00B167C2">
        <w:t>第</w:t>
      </w:r>
      <w:hyperlink r:id="rId1110" w:anchor="a77" w:history="1">
        <w:r w:rsidR="00B167C2" w:rsidRPr="00B167C2">
          <w:rPr>
            <w:rStyle w:val="a5"/>
          </w:rPr>
          <w:t>七十七</w:t>
        </w:r>
      </w:hyperlink>
      <w:r w:rsidR="00B167C2" w:rsidRPr="00B167C2">
        <w:t>條</w:t>
      </w:r>
      <w:r w:rsidR="00203F72" w:rsidRPr="00B167C2">
        <w:t>規定解決之，不得逕向司法院聲請解釋。</w:t>
      </w:r>
    </w:p>
    <w:p w14:paraId="3438003D" w14:textId="77777777" w:rsidR="00953151" w:rsidRDefault="00076467" w:rsidP="00767F37">
      <w:pPr>
        <w:pStyle w:val="2"/>
      </w:pPr>
      <w:hyperlink r:id="rId1111" w:anchor="a118" w:history="1">
        <w:r w:rsidR="005D5A46">
          <w:rPr>
            <w:rStyle w:val="a5"/>
            <w:rFonts w:ascii="Arial Unicode MS" w:hAnsi="Arial Unicode MS"/>
          </w:rPr>
          <w:t>第</w:t>
        </w:r>
        <w:r w:rsidR="00203F72" w:rsidRPr="00AB0A74">
          <w:rPr>
            <w:rStyle w:val="a5"/>
            <w:rFonts w:ascii="Arial Unicode MS" w:hAnsi="Arial Unicode MS"/>
          </w:rPr>
          <w:t>118</w:t>
        </w:r>
        <w:r w:rsidR="005D5A46">
          <w:rPr>
            <w:rStyle w:val="a5"/>
            <w:rFonts w:ascii="Arial Unicode MS" w:hAnsi="Arial Unicode MS"/>
          </w:rPr>
          <w:t>條</w:t>
        </w:r>
      </w:hyperlink>
      <w:r w:rsidR="00203F72" w:rsidRPr="00A53581">
        <w:t>直轄市之自治，以法律定之。</w:t>
      </w:r>
    </w:p>
    <w:p w14:paraId="636DEBB7" w14:textId="77777777" w:rsidR="00953151" w:rsidRPr="00A5735A" w:rsidRDefault="00B03E84" w:rsidP="00D87D91">
      <w:r w:rsidRPr="00A5735A">
        <w:t>【內容解析】</w:t>
      </w:r>
    </w:p>
    <w:p w14:paraId="0AF8B73B" w14:textId="77777777" w:rsidR="00953151" w:rsidRPr="00A5735A" w:rsidRDefault="00800CD7" w:rsidP="00D87D91">
      <w:r w:rsidRPr="00A5735A">
        <w:t xml:space="preserve">　　</w:t>
      </w:r>
      <w:r w:rsidR="00203F72" w:rsidRPr="00A5735A">
        <w:t>司法院釋</w:t>
      </w:r>
      <w:r w:rsidR="00B167C2" w:rsidRPr="00B167C2">
        <w:t>字</w:t>
      </w:r>
      <w:hyperlink r:id="rId1112" w:anchor="r527" w:history="1">
        <w:r w:rsidR="00B167C2" w:rsidRPr="00B167C2">
          <w:rPr>
            <w:rStyle w:val="a5"/>
            <w:rFonts w:ascii="Times New Roman" w:hAnsi="Times New Roman"/>
          </w:rPr>
          <w:t>第</w:t>
        </w:r>
        <w:r w:rsidR="00B167C2" w:rsidRPr="00B167C2">
          <w:rPr>
            <w:rStyle w:val="a5"/>
            <w:rFonts w:ascii="Times New Roman" w:hAnsi="Times New Roman"/>
          </w:rPr>
          <w:t>527</w:t>
        </w:r>
        <w:r w:rsidR="00B167C2" w:rsidRPr="00B167C2">
          <w:rPr>
            <w:rStyle w:val="a5"/>
            <w:rFonts w:ascii="Times New Roman" w:hAnsi="Times New Roman"/>
          </w:rPr>
          <w:t>號</w:t>
        </w:r>
      </w:hyperlink>
      <w:r w:rsidR="00203F72" w:rsidRPr="00A5735A">
        <w:t>解釋指出：「地方自治團體在受憲法及法律規範之前提下，享有自主組織權及對自治事項制定規章並執行之權限。地方自治團體及其所屬機關之組織，應由地方立法機關依中央主管機關所擬訂之準則，制定組織自治條例加以規定，復為地方制度法第</w:t>
      </w:r>
      <w:hyperlink r:id="rId1113" w:anchor="a28" w:history="1">
        <w:r w:rsidR="00203F72" w:rsidRPr="00A5735A">
          <w:rPr>
            <w:rStyle w:val="a5"/>
          </w:rPr>
          <w:t>二十八</w:t>
        </w:r>
      </w:hyperlink>
      <w:r w:rsidR="00203F72" w:rsidRPr="00A5735A">
        <w:t>條第三款、第</w:t>
      </w:r>
      <w:hyperlink r:id="rId1114" w:anchor="a54" w:history="1">
        <w:r w:rsidR="00203F72" w:rsidRPr="00A5735A">
          <w:rPr>
            <w:rStyle w:val="a5"/>
          </w:rPr>
          <w:t>五十四</w:t>
        </w:r>
      </w:hyperlink>
      <w:r w:rsidR="00203F72" w:rsidRPr="00A5735A">
        <w:t>條及第</w:t>
      </w:r>
      <w:hyperlink r:id="rId1115" w:anchor="a62" w:history="1">
        <w:r w:rsidR="00203F72" w:rsidRPr="00A5735A">
          <w:rPr>
            <w:rStyle w:val="a5"/>
          </w:rPr>
          <w:t>六十二</w:t>
        </w:r>
      </w:hyperlink>
      <w:r w:rsidR="00203F72" w:rsidRPr="00A5735A">
        <w:t>條所明定。在該法公布施行後，凡自治團體之機關及職位，其設置自應依前述程序辦理。</w:t>
      </w:r>
      <w:r w:rsidR="00203F72" w:rsidRPr="00A5735A">
        <w:t>…</w:t>
      </w:r>
      <w:r w:rsidR="00203F72" w:rsidRPr="00A5735A">
        <w:t>法律規定得設置之職位，地方自治團體既有自主決定設置與否之權限，自應有組織自治條例之依據方可進用，乃屬當然。」</w:t>
      </w:r>
    </w:p>
    <w:p w14:paraId="029A0D8E" w14:textId="77777777" w:rsidR="00953151" w:rsidRPr="00A5735A" w:rsidRDefault="00800CD7" w:rsidP="00D87D91">
      <w:r w:rsidRPr="00A5735A">
        <w:t xml:space="preserve">　　</w:t>
      </w:r>
      <w:r w:rsidR="00203F72" w:rsidRPr="00A5735A">
        <w:t>於民國</w:t>
      </w:r>
      <w:r w:rsidR="00203F72" w:rsidRPr="00A5735A">
        <w:t>83</w:t>
      </w:r>
      <w:r w:rsidR="00203F72" w:rsidRPr="00A5735A">
        <w:t>年，我國依據中華民國憲法第</w:t>
      </w:r>
      <w:hyperlink r:id="rId1116" w:anchor="a118" w:history="1">
        <w:r w:rsidR="00203F72" w:rsidRPr="003443A8">
          <w:rPr>
            <w:rStyle w:val="a5"/>
            <w:rFonts w:ascii="Times New Roman" w:eastAsia="新細明體" w:hAnsi="Times New Roman"/>
          </w:rPr>
          <w:t>一百一十八</w:t>
        </w:r>
      </w:hyperlink>
      <w:r w:rsidR="00203F72" w:rsidRPr="00A5735A">
        <w:t>條之規定，通過「直轄市自治法」，再依「直轄市自治法」之規定，市為法人，依法辦理自治事項，並執行中央委辦事項。市自治之監督機關為行政院。市設市議會、市政府，分別為市之立法機關及行政機關。市以下設區，區以內之編組為里，里以內之編組為鄰，區設區公所，里設里辦公處。不過，上述之「直轄市自治法」已於民國</w:t>
      </w:r>
      <w:r w:rsidR="00203F72" w:rsidRPr="00A5735A">
        <w:t>88</w:t>
      </w:r>
      <w:r w:rsidR="00203F72" w:rsidRPr="00A5735A">
        <w:t>年，被加以廢止。「直轄市自治法」之內容，已被「</w:t>
      </w:r>
      <w:hyperlink r:id="rId1117" w:history="1">
        <w:r w:rsidR="006E0E2F" w:rsidRPr="00A5735A">
          <w:rPr>
            <w:rStyle w:val="a5"/>
            <w:rFonts w:ascii="Times New Roman" w:hAnsi="Times New Roman"/>
          </w:rPr>
          <w:t>地方制度法</w:t>
        </w:r>
      </w:hyperlink>
      <w:r w:rsidR="00203F72" w:rsidRPr="00A5735A">
        <w:t>」所覆蓋。</w:t>
      </w:r>
    </w:p>
    <w:p w14:paraId="6B06C01F" w14:textId="77777777" w:rsidR="00953151" w:rsidRPr="00A5735A" w:rsidRDefault="00800CD7" w:rsidP="00D87D91">
      <w:r w:rsidRPr="00A5735A">
        <w:t xml:space="preserve">　　</w:t>
      </w:r>
      <w:r w:rsidR="00203F72" w:rsidRPr="00A5735A">
        <w:t>「直轄市自治法」被廢止施行之後，於民國八十八年一月二十五日，以總統（</w:t>
      </w:r>
      <w:r w:rsidR="00203F72" w:rsidRPr="00A5735A">
        <w:t>88</w:t>
      </w:r>
      <w:r w:rsidR="00203F72" w:rsidRPr="00A5735A">
        <w:t>）華總一義字第</w:t>
      </w:r>
      <w:r w:rsidR="00203F72" w:rsidRPr="00A5735A">
        <w:t>8800017850</w:t>
      </w:r>
      <w:r w:rsidR="00203F72" w:rsidRPr="00A5735A">
        <w:t>號令，我國制定「</w:t>
      </w:r>
      <w:hyperlink r:id="rId1118" w:history="1">
        <w:r w:rsidR="006E0E2F" w:rsidRPr="00A5735A">
          <w:rPr>
            <w:rStyle w:val="a5"/>
            <w:rFonts w:ascii="Times New Roman" w:hAnsi="Times New Roman"/>
          </w:rPr>
          <w:t>地方制度法</w:t>
        </w:r>
      </w:hyperlink>
      <w:r w:rsidR="00203F72" w:rsidRPr="00A5735A">
        <w:t>」，公布全文</w:t>
      </w:r>
      <w:r w:rsidR="00203F72" w:rsidRPr="00A5735A">
        <w:t>88</w:t>
      </w:r>
      <w:r w:rsidR="00203F72" w:rsidRPr="00A5735A">
        <w:t>條，「</w:t>
      </w:r>
      <w:hyperlink r:id="rId1119" w:history="1">
        <w:r w:rsidR="006E0E2F" w:rsidRPr="00A5735A">
          <w:rPr>
            <w:rStyle w:val="a5"/>
            <w:rFonts w:ascii="Times New Roman" w:hAnsi="Times New Roman"/>
          </w:rPr>
          <w:t>地方制度法</w:t>
        </w:r>
      </w:hyperlink>
      <w:r w:rsidR="00203F72" w:rsidRPr="00A5735A">
        <w:t>」之主要法源，係為憲法</w:t>
      </w:r>
      <w:r w:rsidR="003443A8" w:rsidRPr="00A5735A">
        <w:t>第</w:t>
      </w:r>
      <w:hyperlink r:id="rId1120" w:anchor="a118" w:history="1">
        <w:r w:rsidR="003443A8" w:rsidRPr="003443A8">
          <w:rPr>
            <w:rStyle w:val="a5"/>
            <w:rFonts w:ascii="Times New Roman" w:eastAsia="新細明體" w:hAnsi="Times New Roman"/>
          </w:rPr>
          <w:t>一百一十八</w:t>
        </w:r>
      </w:hyperlink>
      <w:r w:rsidR="00203F72" w:rsidRPr="00A5735A">
        <w:t>條及中華民國憲法增修條</w:t>
      </w:r>
      <w:r w:rsidR="007459D9" w:rsidRPr="005E4924">
        <w:t>文</w:t>
      </w:r>
      <w:hyperlink r:id="rId1121" w:anchor="b9" w:history="1">
        <w:r w:rsidR="007459D9" w:rsidRPr="007459D9">
          <w:rPr>
            <w:rStyle w:val="a5"/>
            <w:rFonts w:ascii="Times New Roman" w:eastAsia="新細明體" w:hAnsi="Times New Roman"/>
          </w:rPr>
          <w:t>第九條</w:t>
        </w:r>
      </w:hyperlink>
      <w:r w:rsidR="00203F72" w:rsidRPr="00A5735A">
        <w:t>第一項。依地方制度</w:t>
      </w:r>
      <w:r w:rsidR="00026C6F" w:rsidRPr="00A5735A">
        <w:t>法</w:t>
      </w:r>
      <w:hyperlink r:id="rId1122" w:anchor="a3" w:history="1">
        <w:r w:rsidR="00026C6F" w:rsidRPr="00A5735A">
          <w:rPr>
            <w:rStyle w:val="a5"/>
          </w:rPr>
          <w:t>第3條</w:t>
        </w:r>
      </w:hyperlink>
      <w:r w:rsidR="00203F72" w:rsidRPr="00A5735A">
        <w:t>之規定，地方劃分為省、直轄市。依地方制度法</w:t>
      </w:r>
      <w:hyperlink r:id="rId1123" w:anchor="a4" w:history="1">
        <w:r w:rsidR="00203F72" w:rsidRPr="00A5735A">
          <w:rPr>
            <w:rStyle w:val="a5"/>
            <w:rFonts w:ascii="Times New Roman" w:hAnsi="Times New Roman"/>
          </w:rPr>
          <w:t>第四條</w:t>
        </w:r>
      </w:hyperlink>
      <w:r w:rsidR="00203F72" w:rsidRPr="00A5735A">
        <w:t>第一項之規定，人口聚居達一百二十五萬人以上，且在政治、經濟、文化及都會區域發展上，有特殊需要之地區得設直轄市。另根據地方制度法第</w:t>
      </w:r>
      <w:hyperlink r:id="rId1124" w:anchor="a14" w:history="1">
        <w:r w:rsidR="00203F72" w:rsidRPr="00A5735A">
          <w:rPr>
            <w:rStyle w:val="a5"/>
            <w:rFonts w:ascii="Times New Roman" w:hAnsi="Times New Roman"/>
          </w:rPr>
          <w:t>十四</w:t>
        </w:r>
      </w:hyperlink>
      <w:r w:rsidR="00203F72" w:rsidRPr="00A5735A">
        <w:t>條之規定，直轄市、縣（市）、鄉（鎮、市）為地方自治團體，依本法辦理自治事項，並執行上級政府委辦事項。</w:t>
      </w:r>
    </w:p>
    <w:p w14:paraId="7D0566A9" w14:textId="77777777" w:rsidR="00953151" w:rsidRDefault="00076467" w:rsidP="00767F37">
      <w:pPr>
        <w:pStyle w:val="2"/>
      </w:pPr>
      <w:hyperlink r:id="rId1125" w:anchor="a119" w:history="1">
        <w:r w:rsidR="005D5A46">
          <w:rPr>
            <w:rStyle w:val="a5"/>
            <w:rFonts w:ascii="Arial Unicode MS" w:hAnsi="Arial Unicode MS"/>
          </w:rPr>
          <w:t>第</w:t>
        </w:r>
        <w:r w:rsidR="00203F72" w:rsidRPr="00AB0A74">
          <w:rPr>
            <w:rStyle w:val="a5"/>
            <w:rFonts w:ascii="Arial Unicode MS" w:hAnsi="Arial Unicode MS"/>
          </w:rPr>
          <w:t>119</w:t>
        </w:r>
        <w:r w:rsidR="005D5A46">
          <w:rPr>
            <w:rStyle w:val="a5"/>
            <w:rFonts w:ascii="Arial Unicode MS" w:hAnsi="Arial Unicode MS"/>
          </w:rPr>
          <w:t>條</w:t>
        </w:r>
      </w:hyperlink>
      <w:r w:rsidR="00203F72" w:rsidRPr="00A53581">
        <w:t>蒙古各盟旗地方自治制度，以法律定之。</w:t>
      </w:r>
    </w:p>
    <w:p w14:paraId="53406CD6" w14:textId="77777777" w:rsidR="00203F72" w:rsidRPr="003443A8" w:rsidRDefault="00B03E84" w:rsidP="00D87D91">
      <w:r w:rsidRPr="003443A8">
        <w:t>【內容解析】</w:t>
      </w:r>
    </w:p>
    <w:p w14:paraId="699C28ED" w14:textId="77777777" w:rsidR="00953151" w:rsidRPr="003443A8" w:rsidRDefault="00800CD7" w:rsidP="00D87D91">
      <w:r w:rsidRPr="003443A8">
        <w:t xml:space="preserve">　　</w:t>
      </w:r>
      <w:r w:rsidR="00203F72" w:rsidRPr="003443A8">
        <w:t>由於蒙古各盟旗因語言、文化、風俗、飲食、習慣與內地人民不同，為表示尊重，故蒙古各盟旗之地方自治制度，另以法律定之。根據中華民國臨時約法第三條之規定：「中華民國領土為二十二行省、內外蒙古、西藏、青海。」，及五五憲草第四條之規定：「中華民國領土為：江蘇、浙江、安徽、江西、湖北、湖南、四川、西康、河北、山東、山西、河南、陝西、甘肅、青海、福建、廣東、廣西、雲南、貴州、遼寧、吉林、黑龍江、熱河、察哈爾、綏遠、寧夏、新疆、蒙古、西藏等固有之疆域。中華民國領土，非經國民大會議決不得變更。」，均將蒙古定位為我國之領土</w:t>
      </w:r>
      <w:r w:rsidR="00203F72" w:rsidRPr="003443A8">
        <w:t>(</w:t>
      </w:r>
      <w:r w:rsidR="00203F72" w:rsidRPr="003443A8">
        <w:t>但不包台灣</w:t>
      </w:r>
      <w:r w:rsidR="00203F72" w:rsidRPr="003443A8">
        <w:t>)</w:t>
      </w:r>
      <w:r w:rsidR="00203F72" w:rsidRPr="003443A8">
        <w:t>。然而，我國於</w:t>
      </w:r>
      <w:r w:rsidR="00203F72" w:rsidRPr="003443A8">
        <w:t>1946</w:t>
      </w:r>
      <w:r w:rsidR="00203F72" w:rsidRPr="003443A8">
        <w:t>年承認外蒙古之獨立，但在</w:t>
      </w:r>
      <w:r w:rsidR="00203F72" w:rsidRPr="003443A8">
        <w:t>1953</w:t>
      </w:r>
      <w:r w:rsidR="00203F72" w:rsidRPr="003443A8">
        <w:t>年重新將蒙古作為中華民國領土</w:t>
      </w:r>
      <w:r w:rsidR="00203F72" w:rsidRPr="003443A8">
        <w:footnoteReference w:id="108"/>
      </w:r>
      <w:r w:rsidR="00203F72" w:rsidRPr="003443A8">
        <w:t>。</w:t>
      </w:r>
    </w:p>
    <w:p w14:paraId="26DB0E7A" w14:textId="77777777" w:rsidR="00953151" w:rsidRPr="003443A8" w:rsidRDefault="00800CD7" w:rsidP="00D87D91">
      <w:r w:rsidRPr="003443A8">
        <w:t xml:space="preserve">　　</w:t>
      </w:r>
      <w:r w:rsidR="00203F72" w:rsidRPr="003443A8">
        <w:t>本條之規定，實已侵犯蒙古國之國家主權，但本條尚未被憲法增修條文取消效力。是以，從本條及憲法增修條文之觀點出發，蒙古仍為我國領土。此種之規定，恐非適切，因蒙古國已實然是一個主權獨立之國家。由於我國於</w:t>
      </w:r>
      <w:r w:rsidR="00203F72" w:rsidRPr="003443A8">
        <w:t>1953</w:t>
      </w:r>
      <w:r w:rsidR="00203F72" w:rsidRPr="003443A8">
        <w:t>年，重新將蒙古作為中華民國領土，且本條尚未被憲法增修條文取消效力，故蒙古仍屬我國之領土。憲法之定位，具有無上之尊嚴與莊重，本條之規定，是否會淪為國際法上之笑話，且嚴重地減損與污辱本憲法之尊嚴與莊重，值得深思。</w:t>
      </w:r>
    </w:p>
    <w:p w14:paraId="3CC713E5" w14:textId="77777777" w:rsidR="00953151" w:rsidRDefault="00076467" w:rsidP="00767F37">
      <w:pPr>
        <w:pStyle w:val="2"/>
      </w:pPr>
      <w:hyperlink r:id="rId1126" w:anchor="a120" w:history="1">
        <w:r w:rsidR="005D5A46">
          <w:rPr>
            <w:rStyle w:val="a5"/>
            <w:rFonts w:ascii="Arial Unicode MS" w:hAnsi="Arial Unicode MS"/>
          </w:rPr>
          <w:t>第</w:t>
        </w:r>
        <w:r w:rsidR="00203F72" w:rsidRPr="00AB0A74">
          <w:rPr>
            <w:rStyle w:val="a5"/>
            <w:rFonts w:ascii="Arial Unicode MS" w:hAnsi="Arial Unicode MS"/>
          </w:rPr>
          <w:t>120</w:t>
        </w:r>
        <w:r w:rsidR="005D5A46">
          <w:rPr>
            <w:rStyle w:val="a5"/>
            <w:rFonts w:ascii="Arial Unicode MS" w:hAnsi="Arial Unicode MS"/>
          </w:rPr>
          <w:t>條</w:t>
        </w:r>
      </w:hyperlink>
      <w:r w:rsidR="00203F72" w:rsidRPr="00A53581">
        <w:t>西藏自治制度，應予以保障。</w:t>
      </w:r>
    </w:p>
    <w:p w14:paraId="3C530D29" w14:textId="77777777" w:rsidR="00953151" w:rsidRPr="003443A8" w:rsidRDefault="00B03E84" w:rsidP="00D87D91">
      <w:r w:rsidRPr="003443A8">
        <w:t>【內容解析】</w:t>
      </w:r>
    </w:p>
    <w:p w14:paraId="592CB6FC" w14:textId="77777777" w:rsidR="00953151" w:rsidRDefault="00800CD7" w:rsidP="00D87D91">
      <w:r w:rsidRPr="003443A8">
        <w:t xml:space="preserve">　　</w:t>
      </w:r>
      <w:r w:rsidR="00203F72" w:rsidRPr="003443A8">
        <w:t>因為西藏地處偏遠，宗教、語言、文化、風俗、飲食、習慣與內地人民不同，為表示尊重，西藏自治制度，應予以保障。</w:t>
      </w:r>
    </w:p>
    <w:p w14:paraId="2374BA44" w14:textId="77777777" w:rsidR="003443A8" w:rsidRPr="003443A8" w:rsidRDefault="003443A8" w:rsidP="00D87D91"/>
    <w:p w14:paraId="501A7893" w14:textId="046E067F" w:rsidR="00203F72" w:rsidRPr="003443A8" w:rsidRDefault="00B03E84" w:rsidP="00D87D91">
      <w:r w:rsidRPr="003443A8">
        <w:t>【</w:t>
      </w:r>
      <w:r w:rsidRPr="003443A8">
        <w:t>table</w:t>
      </w:r>
      <w:r w:rsidR="005E23E3" w:rsidRPr="003443A8">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68</w:t>
      </w:r>
      <w:r w:rsidR="00076467">
        <w:rPr>
          <w:noProof/>
        </w:rPr>
        <w:fldChar w:fldCharType="end"/>
      </w:r>
      <w:r w:rsidR="00203F72" w:rsidRPr="003443A8">
        <w:t>一九四六</w:t>
      </w:r>
      <w:r w:rsidR="00203F72" w:rsidRPr="003443A8">
        <w:rPr>
          <w:rFonts w:hint="eastAsia"/>
        </w:rPr>
        <w:t>年</w:t>
      </w:r>
      <w:r w:rsidR="00203F72" w:rsidRPr="003443A8">
        <w:t>制憲國大二讀會之爭議點與審查結果</w:t>
      </w:r>
    </w:p>
    <w:tbl>
      <w:tblPr>
        <w:tblW w:w="7938"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3810"/>
        <w:gridCol w:w="4128"/>
      </w:tblGrid>
      <w:tr w:rsidR="00203F72" w:rsidRPr="00A53581" w14:paraId="1EFA897F" w14:textId="77777777" w:rsidTr="006F42DC">
        <w:trPr>
          <w:tblCellSpacing w:w="15" w:type="dxa"/>
        </w:trPr>
        <w:tc>
          <w:tcPr>
            <w:tcW w:w="7878" w:type="dxa"/>
            <w:gridSpan w:val="2"/>
            <w:tcBorders>
              <w:top w:val="single" w:sz="6" w:space="0" w:color="AAAAAA"/>
              <w:left w:val="single" w:sz="4" w:space="0" w:color="auto"/>
              <w:bottom w:val="single" w:sz="4" w:space="0" w:color="auto"/>
              <w:right w:val="single" w:sz="4" w:space="0" w:color="auto"/>
            </w:tcBorders>
            <w:shd w:val="clear" w:color="auto" w:fill="FAF0FA"/>
            <w:vAlign w:val="center"/>
            <w:hideMark/>
          </w:tcPr>
          <w:p w14:paraId="2290903F" w14:textId="77777777" w:rsidR="00203F72" w:rsidRPr="00A53581" w:rsidRDefault="00203F72" w:rsidP="00D87D91">
            <w:pPr>
              <w:rPr>
                <w:rFonts w:cs="新細明體"/>
              </w:rPr>
            </w:pPr>
            <w:r w:rsidRPr="00A53581">
              <w:t>二讀會爭議與解決</w:t>
            </w:r>
          </w:p>
        </w:tc>
      </w:tr>
      <w:tr w:rsidR="00203F72" w:rsidRPr="00A53581" w14:paraId="02B1829A" w14:textId="77777777" w:rsidTr="006F42DC">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C7980FE" w14:textId="77777777" w:rsidR="00203F72" w:rsidRPr="00A53581" w:rsidRDefault="00203F72" w:rsidP="00D87D91">
            <w:pPr>
              <w:rPr>
                <w:rFonts w:cs="新細明體"/>
              </w:rPr>
            </w:pPr>
            <w:r w:rsidRPr="00A53581">
              <w:t>爭議問題</w:t>
            </w:r>
          </w:p>
        </w:tc>
        <w:tc>
          <w:tcPr>
            <w:tcW w:w="408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C563810" w14:textId="77777777" w:rsidR="00203F72" w:rsidRPr="00A53581" w:rsidRDefault="00203F72" w:rsidP="00D87D91">
            <w:pPr>
              <w:rPr>
                <w:rFonts w:cs="新細明體"/>
              </w:rPr>
            </w:pPr>
            <w:r w:rsidRPr="00A53581">
              <w:t>解決方案</w:t>
            </w:r>
          </w:p>
        </w:tc>
      </w:tr>
      <w:tr w:rsidR="00203F72" w:rsidRPr="00A53581" w14:paraId="5600B7F6" w14:textId="77777777" w:rsidTr="006F42DC">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EEBF7AE" w14:textId="77777777" w:rsidR="00203F72" w:rsidRPr="00A53581" w:rsidRDefault="00203F72" w:rsidP="00D87D91">
            <w:pPr>
              <w:rPr>
                <w:rFonts w:cs="新細明體"/>
              </w:rPr>
            </w:pPr>
            <w:r w:rsidRPr="00A53581">
              <w:t>滿族人民可否獲得蒙藏人民同等自治地位</w:t>
            </w:r>
          </w:p>
        </w:tc>
        <w:tc>
          <w:tcPr>
            <w:tcW w:w="408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6D89AEB8" w14:textId="77777777" w:rsidR="00203F72" w:rsidRPr="00A53581" w:rsidRDefault="00203F72" w:rsidP="00D87D91">
            <w:pPr>
              <w:rPr>
                <w:rFonts w:cs="新細明體"/>
              </w:rPr>
            </w:pPr>
            <w:r w:rsidRPr="00A53581">
              <w:t>滿漢一家，不單獨保障</w:t>
            </w:r>
          </w:p>
        </w:tc>
      </w:tr>
      <w:tr w:rsidR="00203F72" w:rsidRPr="00A53581" w14:paraId="647584A4" w14:textId="77777777" w:rsidTr="006F42DC">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49E4097" w14:textId="77777777" w:rsidR="00203F72" w:rsidRPr="00A53581" w:rsidRDefault="00203F72" w:rsidP="00D87D91">
            <w:pPr>
              <w:rPr>
                <w:rFonts w:cs="新細明體"/>
              </w:rPr>
            </w:pPr>
            <w:r w:rsidRPr="00A53581">
              <w:t>婦女代表是否需五分之一保障名額</w:t>
            </w:r>
          </w:p>
        </w:tc>
        <w:tc>
          <w:tcPr>
            <w:tcW w:w="408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7620D418" w14:textId="77777777" w:rsidR="00203F72" w:rsidRPr="00A53581" w:rsidRDefault="00203F72" w:rsidP="00D87D91">
            <w:pPr>
              <w:rPr>
                <w:rFonts w:cs="新細明體"/>
              </w:rPr>
            </w:pPr>
            <w:r w:rsidRPr="00A53581">
              <w:t>婦女代表之名額以法律定之</w:t>
            </w:r>
          </w:p>
        </w:tc>
      </w:tr>
      <w:tr w:rsidR="00203F72" w:rsidRPr="00A53581" w14:paraId="57469467" w14:textId="77777777" w:rsidTr="006F42DC">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B6E8563" w14:textId="77777777" w:rsidR="00203F72" w:rsidRPr="00A53581" w:rsidRDefault="00203F72" w:rsidP="00D87D91">
            <w:pPr>
              <w:rPr>
                <w:rFonts w:cs="新細明體"/>
              </w:rPr>
            </w:pPr>
            <w:r w:rsidRPr="00A53581">
              <w:t>首都為北平還是南京</w:t>
            </w:r>
          </w:p>
        </w:tc>
        <w:tc>
          <w:tcPr>
            <w:tcW w:w="4083"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9FFD978" w14:textId="77777777" w:rsidR="00203F72" w:rsidRPr="00A53581" w:rsidRDefault="00203F72" w:rsidP="00D87D91">
            <w:pPr>
              <w:rPr>
                <w:rFonts w:cs="新細明體"/>
              </w:rPr>
            </w:pPr>
            <w:r w:rsidRPr="00A53581">
              <w:t>憲法不明定首都</w:t>
            </w:r>
          </w:p>
        </w:tc>
      </w:tr>
    </w:tbl>
    <w:p w14:paraId="49B81C05" w14:textId="77777777" w:rsidR="00953151" w:rsidRDefault="00B03E84" w:rsidP="00D87D91">
      <w:r>
        <w:rPr>
          <w:rStyle w:val="reference-text"/>
          <w:rFonts w:ascii="新細明體" w:hAnsi="新細明體" w:hint="eastAsia"/>
        </w:rPr>
        <w:t>【資料來源】</w:t>
      </w:r>
      <w:r w:rsidR="00203F72" w:rsidRPr="00A53581">
        <w:rPr>
          <w:rFonts w:hint="eastAsia"/>
        </w:rPr>
        <w:t>維基百科</w:t>
      </w:r>
      <w:r w:rsidR="00203F72" w:rsidRPr="00A53581">
        <w:rPr>
          <w:rFonts w:hint="eastAsia"/>
        </w:rPr>
        <w:t>(2015)</w:t>
      </w:r>
      <w:r w:rsidR="00203F72" w:rsidRPr="00A53581">
        <w:rPr>
          <w:rFonts w:hint="eastAsia"/>
        </w:rPr>
        <w:t>，制憲國民大會，上網瀏覽時日：</w:t>
      </w:r>
      <w:r w:rsidR="00203F72" w:rsidRPr="00A53581">
        <w:rPr>
          <w:rFonts w:hint="eastAsia"/>
        </w:rPr>
        <w:t>2015/08/02</w:t>
      </w:r>
      <w:r w:rsidR="00203F72" w:rsidRPr="00A53581">
        <w:rPr>
          <w:rFonts w:hint="eastAsia"/>
        </w:rPr>
        <w:t>，</w:t>
      </w:r>
      <w:hyperlink r:id="rId1127" w:history="1">
        <w:r w:rsidR="00203F72" w:rsidRPr="00A53581">
          <w:rPr>
            <w:rStyle w:val="a5"/>
          </w:rPr>
          <w:t>https://zh.wikipedia.org/wiki/%E5%88%B6%E6%86%B2%E5%9C%8B%E6%B0%91%E5%A4%A7%E6%9C%83</w:t>
        </w:r>
      </w:hyperlink>
      <w:r w:rsidR="00545D58">
        <w:t>。</w:t>
      </w:r>
    </w:p>
    <w:p w14:paraId="3717B52C" w14:textId="77777777" w:rsidR="00953151" w:rsidRDefault="005D5A46" w:rsidP="00767F37">
      <w:pPr>
        <w:pStyle w:val="2"/>
      </w:pPr>
      <w:r>
        <w:t>第</w:t>
      </w:r>
      <w:r w:rsidR="00203F72" w:rsidRPr="00A53581">
        <w:t>二</w:t>
      </w:r>
      <w:r w:rsidR="003D02B1">
        <w:t>節</w:t>
      </w:r>
      <w:r w:rsidR="00203F72" w:rsidRPr="00A53581">
        <w:t xml:space="preserve"> </w:t>
      </w:r>
      <w:r w:rsidR="00203F72" w:rsidRPr="00A53581">
        <w:t>縣</w:t>
      </w:r>
    </w:p>
    <w:p w14:paraId="238E2C28" w14:textId="77777777" w:rsidR="00953151" w:rsidRDefault="00076467" w:rsidP="00767F37">
      <w:pPr>
        <w:pStyle w:val="2"/>
      </w:pPr>
      <w:hyperlink r:id="rId1128" w:anchor="a121" w:history="1">
        <w:r w:rsidR="005D5A46">
          <w:rPr>
            <w:rStyle w:val="a5"/>
            <w:rFonts w:ascii="Arial Unicode MS" w:hAnsi="Arial Unicode MS"/>
          </w:rPr>
          <w:t>第</w:t>
        </w:r>
        <w:r w:rsidR="00203F72" w:rsidRPr="00AB0A74">
          <w:rPr>
            <w:rStyle w:val="a5"/>
            <w:rFonts w:ascii="Arial Unicode MS" w:hAnsi="Arial Unicode MS"/>
          </w:rPr>
          <w:t>121</w:t>
        </w:r>
        <w:r w:rsidR="005D5A46">
          <w:rPr>
            <w:rStyle w:val="a5"/>
            <w:rFonts w:ascii="Arial Unicode MS" w:hAnsi="Arial Unicode MS"/>
          </w:rPr>
          <w:t>條</w:t>
        </w:r>
      </w:hyperlink>
      <w:r w:rsidR="00203F72" w:rsidRPr="00A53581">
        <w:t>縣實行縣自治。</w:t>
      </w:r>
    </w:p>
    <w:p w14:paraId="2040C5D6" w14:textId="77777777" w:rsidR="00953151" w:rsidRPr="006E0E2F" w:rsidRDefault="00B03E84" w:rsidP="00D87D91">
      <w:r w:rsidRPr="006E0E2F">
        <w:t>【內容解析】</w:t>
      </w:r>
    </w:p>
    <w:p w14:paraId="6FF26B45" w14:textId="77777777" w:rsidR="00953151" w:rsidRPr="006E0E2F" w:rsidRDefault="00800CD7" w:rsidP="00D87D91">
      <w:r w:rsidRPr="006E0E2F">
        <w:t xml:space="preserve">　　</w:t>
      </w:r>
      <w:r w:rsidR="00203F72" w:rsidRPr="006E0E2F">
        <w:t>憲法</w:t>
      </w:r>
      <w:hyperlink r:id="rId1129" w:anchor="a108"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108</w:t>
        </w:r>
        <w:r w:rsidR="00203F72" w:rsidRPr="003443A8">
          <w:rPr>
            <w:rStyle w:val="a5"/>
            <w:rFonts w:ascii="Times New Roman" w:eastAsia="新細明體" w:hAnsi="Times New Roman"/>
          </w:rPr>
          <w:t>條</w:t>
        </w:r>
      </w:hyperlink>
      <w:r w:rsidR="00203F72" w:rsidRPr="006E0E2F">
        <w:t>及</w:t>
      </w:r>
      <w:hyperlink r:id="rId1130" w:anchor="a109"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109</w:t>
        </w:r>
        <w:r w:rsidR="00203F72" w:rsidRPr="003443A8">
          <w:rPr>
            <w:rStyle w:val="a5"/>
            <w:rFonts w:ascii="Times New Roman" w:eastAsia="新細明體" w:hAnsi="Times New Roman"/>
          </w:rPr>
          <w:t>條</w:t>
        </w:r>
      </w:hyperlink>
      <w:r w:rsidR="00203F72" w:rsidRPr="006E0E2F">
        <w:t>規定縣執行中央、省委辦事項，另依憲法</w:t>
      </w:r>
      <w:hyperlink r:id="rId1131" w:anchor="a123"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123</w:t>
        </w:r>
        <w:r w:rsidR="00203F72" w:rsidRPr="003443A8">
          <w:rPr>
            <w:rStyle w:val="a5"/>
            <w:rFonts w:ascii="Times New Roman" w:eastAsia="新細明體" w:hAnsi="Times New Roman"/>
          </w:rPr>
          <w:t>條</w:t>
        </w:r>
      </w:hyperlink>
      <w:r w:rsidR="00203F72" w:rsidRPr="006E0E2F">
        <w:t>至</w:t>
      </w:r>
      <w:r w:rsidR="00203F72" w:rsidRPr="006E0E2F">
        <w:t>127</w:t>
      </w:r>
      <w:r w:rsidR="00203F72" w:rsidRPr="006E0E2F">
        <w:t>條之規定，縣民關於縣自治事項，依法律行使創制、複決之權，對於縣長及其他縣自治人員，依法律行使選舉、罷免之權。縣設縣議會，縣議會議員由縣民選舉之。屬於縣之立法權，由縣議會行之。縣單行規章，與國家法律或省法規牴觸者無效。縣設縣政府，置縣長一人。縣長由縣民選舉之。縣長辦理縣自治，並執行中央及省委辦事項。</w:t>
      </w:r>
    </w:p>
    <w:p w14:paraId="420A2FAD" w14:textId="77777777" w:rsidR="00953151" w:rsidRPr="006E0E2F" w:rsidRDefault="00800CD7" w:rsidP="00D87D91">
      <w:r w:rsidRPr="006E0E2F">
        <w:t xml:space="preserve">　　</w:t>
      </w:r>
      <w:r w:rsidR="00203F72" w:rsidRPr="006E0E2F">
        <w:t>另外，依地方自治法之規定，所謂地方自治團體，係指依本法實施地方自治，具公法人地位之團體。省劃分為縣、市；縣劃分為鄉、鎮、縣轄市。直轄市、縣（市）、鄉（鎮、市）為地方自治團體，依本法辦理自治事項，並執行上級政府委辦事項。綜上，縣之定位為自治團體，亦為行政單位。</w:t>
      </w:r>
    </w:p>
    <w:p w14:paraId="1BD3D232" w14:textId="77777777" w:rsidR="00953151" w:rsidRPr="006E0E2F" w:rsidRDefault="00800CD7" w:rsidP="00D87D91">
      <w:r w:rsidRPr="006E0E2F">
        <w:t xml:space="preserve">　　</w:t>
      </w:r>
      <w:r w:rsidR="00203F72" w:rsidRPr="006E0E2F">
        <w:t>依司法院釋</w:t>
      </w:r>
      <w:r w:rsidR="002C46BE" w:rsidRPr="006E0E2F">
        <w:t>字</w:t>
      </w:r>
      <w:hyperlink r:id="rId1132" w:anchor="r498" w:history="1">
        <w:r w:rsidR="002C46BE" w:rsidRPr="006E0E2F">
          <w:rPr>
            <w:rStyle w:val="a5"/>
          </w:rPr>
          <w:t>第498</w:t>
        </w:r>
        <w:r w:rsidR="00F5469C" w:rsidRPr="006E0E2F">
          <w:rPr>
            <w:rStyle w:val="a5"/>
          </w:rPr>
          <w:t>號</w:t>
        </w:r>
      </w:hyperlink>
      <w:r w:rsidR="00203F72" w:rsidRPr="006E0E2F">
        <w:t>解釋之意旨：「憲法繼於第十一章</w:t>
      </w:r>
      <w:hyperlink r:id="rId1133" w:anchor="a121" w:history="1">
        <w:r w:rsidR="00203F72" w:rsidRPr="003443A8">
          <w:rPr>
            <w:rStyle w:val="a5"/>
            <w:rFonts w:ascii="Times New Roman" w:eastAsia="新細明體" w:hAnsi="Times New Roman"/>
          </w:rPr>
          <w:t>第二節</w:t>
        </w:r>
      </w:hyperlink>
      <w:r w:rsidR="00203F72" w:rsidRPr="006E0E2F">
        <w:t>設「縣」地方制度之專節規定，分別於憲法第</w:t>
      </w:r>
      <w:hyperlink r:id="rId1134" w:anchor="a118" w:history="1">
        <w:r w:rsidR="00203F72" w:rsidRPr="003443A8">
          <w:rPr>
            <w:rStyle w:val="a5"/>
            <w:rFonts w:ascii="Times New Roman" w:eastAsia="新細明體" w:hAnsi="Times New Roman"/>
          </w:rPr>
          <w:t>一百十八</w:t>
        </w:r>
      </w:hyperlink>
      <w:r w:rsidR="00203F72" w:rsidRPr="006E0E2F">
        <w:t>條、第</w:t>
      </w:r>
      <w:hyperlink r:id="rId1135" w:anchor="a121" w:history="1">
        <w:r w:rsidR="00203F72" w:rsidRPr="003443A8">
          <w:rPr>
            <w:rStyle w:val="a5"/>
            <w:rFonts w:ascii="Times New Roman" w:eastAsia="新細明體" w:hAnsi="Times New Roman"/>
          </w:rPr>
          <w:t>一百二十一</w:t>
        </w:r>
      </w:hyperlink>
      <w:r w:rsidR="00203F72" w:rsidRPr="006E0E2F">
        <w:t>條、第</w:t>
      </w:r>
      <w:hyperlink r:id="rId1136" w:anchor="a128" w:history="1">
        <w:r w:rsidR="00203F72" w:rsidRPr="003443A8">
          <w:rPr>
            <w:rStyle w:val="a5"/>
            <w:rFonts w:ascii="Times New Roman" w:eastAsia="新細明體" w:hAnsi="Times New Roman"/>
          </w:rPr>
          <w:t>一百二十八</w:t>
        </w:r>
      </w:hyperlink>
      <w:r w:rsidR="00203F72" w:rsidRPr="006E0E2F">
        <w:t>條規定直轄市、縣與市實行自治，以實現住民自治之理念，使地方人民對於地方事務及公共政策有直接參與或形成之權。依憲法增修條</w:t>
      </w:r>
      <w:r w:rsidR="007459D9" w:rsidRPr="005E4924">
        <w:t>文</w:t>
      </w:r>
      <w:hyperlink r:id="rId1137" w:anchor="b9" w:history="1">
        <w:r w:rsidR="007459D9" w:rsidRPr="007459D9">
          <w:rPr>
            <w:rStyle w:val="a5"/>
            <w:rFonts w:ascii="Times New Roman" w:eastAsia="新細明體" w:hAnsi="Times New Roman"/>
          </w:rPr>
          <w:t>第九條</w:t>
        </w:r>
      </w:hyperlink>
      <w:r w:rsidR="00203F72" w:rsidRPr="006E0E2F">
        <w:t>之規定，亦係本諸上述意旨而設，</w:t>
      </w:r>
      <w:hyperlink r:id="rId1138" w:history="1">
        <w:r w:rsidR="006E0E2F" w:rsidRPr="00A5735A">
          <w:rPr>
            <w:rStyle w:val="a5"/>
            <w:rFonts w:ascii="Times New Roman" w:hAnsi="Times New Roman"/>
          </w:rPr>
          <w:t>地方制度法</w:t>
        </w:r>
      </w:hyperlink>
      <w:r w:rsidR="00203F72" w:rsidRPr="006E0E2F">
        <w:t>並據此而制定公布。基於住民自治之理念以及中央與地方垂直分權之功能，地方自治團體有行政與立法機關之自治組織設置，其首長與民意代表均由自治區域內之人民依法選舉、罷免之，此分別有憲法第</w:t>
      </w:r>
      <w:hyperlink r:id="rId1139" w:anchor="a123" w:history="1">
        <w:r w:rsidR="00203F72" w:rsidRPr="006E0E2F">
          <w:rPr>
            <w:rStyle w:val="a5"/>
          </w:rPr>
          <w:t>一百二十三</w:t>
        </w:r>
      </w:hyperlink>
      <w:r w:rsidR="00203F72" w:rsidRPr="006E0E2F">
        <w:t>條、第</w:t>
      </w:r>
      <w:hyperlink r:id="rId1140" w:anchor="a124" w:history="1">
        <w:r w:rsidR="00203F72" w:rsidRPr="006E0E2F">
          <w:rPr>
            <w:rStyle w:val="a5"/>
          </w:rPr>
          <w:t>一百二十四</w:t>
        </w:r>
      </w:hyperlink>
      <w:r w:rsidR="00203F72" w:rsidRPr="006E0E2F">
        <w:t>條、第</w:t>
      </w:r>
      <w:hyperlink r:id="rId1141" w:anchor="a126" w:history="1">
        <w:r w:rsidR="00203F72" w:rsidRPr="006E0E2F">
          <w:rPr>
            <w:rStyle w:val="a5"/>
          </w:rPr>
          <w:t>一百二十六</w:t>
        </w:r>
      </w:hyperlink>
      <w:r w:rsidR="00203F72" w:rsidRPr="006E0E2F">
        <w:t>條，地方制度法第</w:t>
      </w:r>
      <w:hyperlink r:id="rId1142" w:anchor="a33" w:history="1">
        <w:r w:rsidR="00203F72" w:rsidRPr="006E0E2F">
          <w:rPr>
            <w:rStyle w:val="a5"/>
          </w:rPr>
          <w:t>三十三</w:t>
        </w:r>
      </w:hyperlink>
      <w:r w:rsidR="00203F72" w:rsidRPr="006E0E2F">
        <w:t>條、第</w:t>
      </w:r>
      <w:hyperlink r:id="rId1143" w:anchor="a55" w:history="1">
        <w:r w:rsidR="00203F72" w:rsidRPr="006E0E2F">
          <w:rPr>
            <w:rStyle w:val="a5"/>
          </w:rPr>
          <w:t>五十五</w:t>
        </w:r>
      </w:hyperlink>
      <w:r w:rsidR="00203F72" w:rsidRPr="006E0E2F">
        <w:t>條，公職人員選舉罷免</w:t>
      </w:r>
      <w:r w:rsidR="004651E8" w:rsidRPr="006E0E2F">
        <w:t>法</w:t>
      </w:r>
      <w:hyperlink r:id="rId1144" w:anchor="b1" w:history="1">
        <w:r w:rsidR="004651E8" w:rsidRPr="006E0E2F">
          <w:rPr>
            <w:rStyle w:val="a5"/>
          </w:rPr>
          <w:t>第一條</w:t>
        </w:r>
      </w:hyperlink>
      <w:r w:rsidR="00203F72" w:rsidRPr="006E0E2F">
        <w:t>、</w:t>
      </w:r>
      <w:hyperlink r:id="rId1145" w:anchor="b2" w:history="1">
        <w:r w:rsidR="00203F72" w:rsidRPr="006E0E2F">
          <w:rPr>
            <w:rStyle w:val="a5"/>
          </w:rPr>
          <w:t>第二條</w:t>
        </w:r>
      </w:hyperlink>
      <w:r w:rsidR="00203F72" w:rsidRPr="006E0E2F">
        <w:t>、第</w:t>
      </w:r>
      <w:hyperlink r:id="rId1146" w:anchor="b69" w:history="1">
        <w:r w:rsidR="00203F72" w:rsidRPr="006E0E2F">
          <w:rPr>
            <w:rStyle w:val="a5"/>
          </w:rPr>
          <w:t>六十九</w:t>
        </w:r>
      </w:hyperlink>
      <w:r w:rsidR="00203F72" w:rsidRPr="006E0E2F">
        <w:t>條等規定可據。地方自治團體不僅依法辦理自治事項，並執行上級政府委辦事項。地方自治區域內之人民對於地方自治事項，有依法行使創制、複決之權（憲法</w:t>
      </w:r>
      <w:r w:rsidR="00314F65" w:rsidRPr="006E0E2F">
        <w:t>第</w:t>
      </w:r>
      <w:hyperlink r:id="rId1147" w:anchor="a123" w:history="1">
        <w:r w:rsidR="00314F65" w:rsidRPr="006E0E2F">
          <w:rPr>
            <w:rStyle w:val="a5"/>
          </w:rPr>
          <w:t>一百二十三</w:t>
        </w:r>
      </w:hyperlink>
      <w:r w:rsidR="00314F65" w:rsidRPr="006E0E2F">
        <w:t>條</w:t>
      </w:r>
      <w:r w:rsidR="00203F72" w:rsidRPr="006E0E2F">
        <w:t>、地方制度法第</w:t>
      </w:r>
      <w:hyperlink r:id="rId1148" w:anchor="a14" w:history="1">
        <w:r w:rsidR="00203F72" w:rsidRPr="006E0E2F">
          <w:rPr>
            <w:rStyle w:val="a5"/>
          </w:rPr>
          <w:t>十四</w:t>
        </w:r>
      </w:hyperlink>
      <w:r w:rsidR="00203F72" w:rsidRPr="006E0E2F">
        <w:t>條、第</w:t>
      </w:r>
      <w:hyperlink r:id="rId1149" w:anchor="a16" w:history="1">
        <w:r w:rsidR="00203F72" w:rsidRPr="006E0E2F">
          <w:rPr>
            <w:rStyle w:val="a5"/>
          </w:rPr>
          <w:t>十六</w:t>
        </w:r>
      </w:hyperlink>
      <w:r w:rsidR="00203F72" w:rsidRPr="006E0E2F">
        <w:t>條第二款、第三章</w:t>
      </w:r>
      <w:hyperlink r:id="rId1150" w:anchor="a18" w:history="1">
        <w:r w:rsidR="00203F72" w:rsidRPr="006E0E2F">
          <w:rPr>
            <w:rStyle w:val="a5"/>
          </w:rPr>
          <w:t>第二節</w:t>
        </w:r>
      </w:hyperlink>
      <w:r w:rsidR="00203F72" w:rsidRPr="006E0E2F">
        <w:t>參照）。地方立法機關行使其立法機關之職權，地方行政機關應將總預算案提請其立法機關審議。地方立法機關開會時，其行政機關首長應提出施政報告，民意代表並有向該機關首長或單位主管行使質詢之權；就特定事項有明瞭必要時，則得邀請其首長或單位主管列席說明（地方制度法第</w:t>
      </w:r>
      <w:hyperlink r:id="rId1151" w:anchor="a35" w:history="1">
        <w:r w:rsidR="00203F72" w:rsidRPr="006E0E2F">
          <w:rPr>
            <w:rStyle w:val="a5"/>
          </w:rPr>
          <w:t>三十五</w:t>
        </w:r>
      </w:hyperlink>
      <w:r w:rsidR="00203F72" w:rsidRPr="006E0E2F">
        <w:t>條至</w:t>
      </w:r>
      <w:r w:rsidR="00C94B4E" w:rsidRPr="006E0E2F">
        <w:t>第</w:t>
      </w:r>
      <w:hyperlink r:id="rId1152" w:anchor="a37" w:history="1">
        <w:r w:rsidR="00C94B4E" w:rsidRPr="006E0E2F">
          <w:rPr>
            <w:rStyle w:val="a5"/>
          </w:rPr>
          <w:t>三十七</w:t>
        </w:r>
      </w:hyperlink>
      <w:r w:rsidR="00C94B4E" w:rsidRPr="006E0E2F">
        <w:t>條</w:t>
      </w:r>
      <w:r w:rsidR="00203F72" w:rsidRPr="006E0E2F">
        <w:t>、第</w:t>
      </w:r>
      <w:hyperlink r:id="rId1153" w:anchor="a40" w:history="1">
        <w:r w:rsidR="00203F72" w:rsidRPr="006E0E2F">
          <w:rPr>
            <w:rStyle w:val="a5"/>
          </w:rPr>
          <w:t>四十</w:t>
        </w:r>
      </w:hyperlink>
      <w:r w:rsidR="00203F72" w:rsidRPr="006E0E2F">
        <w:t>條、第</w:t>
      </w:r>
      <w:hyperlink r:id="rId1154" w:anchor="a41" w:history="1">
        <w:r w:rsidR="00203F72" w:rsidRPr="006E0E2F">
          <w:rPr>
            <w:rStyle w:val="a5"/>
          </w:rPr>
          <w:t>四十一</w:t>
        </w:r>
      </w:hyperlink>
      <w:r w:rsidR="00203F72" w:rsidRPr="006E0E2F">
        <w:t>條、第</w:t>
      </w:r>
      <w:hyperlink r:id="rId1155" w:anchor="a48" w:history="1">
        <w:r w:rsidR="00203F72" w:rsidRPr="006E0E2F">
          <w:rPr>
            <w:rStyle w:val="a5"/>
          </w:rPr>
          <w:t>四十八</w:t>
        </w:r>
      </w:hyperlink>
      <w:r w:rsidR="00203F72" w:rsidRPr="006E0E2F">
        <w:t>條、第</w:t>
      </w:r>
      <w:hyperlink r:id="rId1156" w:anchor="a49" w:history="1">
        <w:r w:rsidR="00203F72" w:rsidRPr="006E0E2F">
          <w:rPr>
            <w:rStyle w:val="a5"/>
          </w:rPr>
          <w:t>四十九</w:t>
        </w:r>
      </w:hyperlink>
      <w:r w:rsidR="00203F72" w:rsidRPr="006E0E2F">
        <w:t>條參照）。此乃基於民意政治及責任政治之原則，地方行政與地方立法機關並有權責制衡之關係。地方立法機關開會時，其行政機關首長應提出施政報告，民意代表並有向該機關首長或單位主管行使質詢之權；就特定事項有明瞭必要時，則得邀請其首長或單位主管列席說明，中央政府或其他上級政府對地方自治團體辦理自治事項、委辦事項，依法僅得按事項之性質，為適法、適當與否或其他一定之監督（同法第四章參照）。是地方自治團體在憲法及法律保障範圍內，享有自主與獨立之地位，國家機關自應予尊重。」</w:t>
      </w:r>
    </w:p>
    <w:p w14:paraId="2833938B" w14:textId="77777777" w:rsidR="00953151" w:rsidRPr="006E0E2F" w:rsidRDefault="00800CD7" w:rsidP="00D87D91">
      <w:r w:rsidRPr="006E0E2F">
        <w:t xml:space="preserve">　　</w:t>
      </w:r>
      <w:r w:rsidR="00203F72" w:rsidRPr="006E0E2F">
        <w:t>依上開司法院釋字</w:t>
      </w:r>
      <w:hyperlink r:id="rId1157" w:anchor="r498" w:history="1">
        <w:r w:rsidR="005D5A46" w:rsidRPr="006E0E2F">
          <w:rPr>
            <w:rStyle w:val="a5"/>
          </w:rPr>
          <w:t>第</w:t>
        </w:r>
        <w:r w:rsidR="00203F72" w:rsidRPr="006E0E2F">
          <w:rPr>
            <w:rStyle w:val="a5"/>
          </w:rPr>
          <w:t>498</w:t>
        </w:r>
        <w:r w:rsidR="00F5469C" w:rsidRPr="006E0E2F">
          <w:rPr>
            <w:rStyle w:val="a5"/>
          </w:rPr>
          <w:t>號</w:t>
        </w:r>
      </w:hyperlink>
      <w:r w:rsidR="00203F72" w:rsidRPr="006E0E2F">
        <w:t>解釋之精神，縣之所以實行縣自治，乃基於住民自治之理念，以及中央與地方垂直分權之功能，地方自治團體之法律地位，在憲法及法律保障範圍內，享有一定程度自主與獨立之地位。</w:t>
      </w:r>
    </w:p>
    <w:p w14:paraId="5DB00AFE" w14:textId="77777777" w:rsidR="00953151" w:rsidRDefault="00076467" w:rsidP="00767F37">
      <w:pPr>
        <w:pStyle w:val="2"/>
      </w:pPr>
      <w:hyperlink r:id="rId1158" w:anchor="a122" w:history="1">
        <w:r w:rsidR="005D5A46">
          <w:rPr>
            <w:rStyle w:val="a5"/>
            <w:rFonts w:ascii="Arial Unicode MS" w:hAnsi="Arial Unicode MS"/>
          </w:rPr>
          <w:t>第</w:t>
        </w:r>
        <w:r w:rsidR="00203F72" w:rsidRPr="00AB0A74">
          <w:rPr>
            <w:rStyle w:val="a5"/>
            <w:rFonts w:ascii="Arial Unicode MS" w:hAnsi="Arial Unicode MS"/>
          </w:rPr>
          <w:t>122</w:t>
        </w:r>
        <w:r w:rsidR="005D5A46">
          <w:rPr>
            <w:rStyle w:val="a5"/>
            <w:rFonts w:ascii="Arial Unicode MS" w:hAnsi="Arial Unicode MS"/>
          </w:rPr>
          <w:t>條</w:t>
        </w:r>
      </w:hyperlink>
      <w:r w:rsidR="00203F72" w:rsidRPr="00A53581">
        <w:t>縣得召集縣民代表大會，依據省縣自治通則，制定縣自治法，但不得與憲法及省自治法牴觸。</w:t>
      </w:r>
    </w:p>
    <w:p w14:paraId="45A2A7C3" w14:textId="77777777" w:rsidR="00953151" w:rsidRPr="006E0E2F" w:rsidRDefault="00B03E84" w:rsidP="00D87D91">
      <w:r w:rsidRPr="006E0E2F">
        <w:t>【內容解析】</w:t>
      </w:r>
    </w:p>
    <w:p w14:paraId="0C0AB67D" w14:textId="77777777" w:rsidR="00953151" w:rsidRPr="006E0E2F" w:rsidRDefault="00800CD7" w:rsidP="00D87D91">
      <w:r w:rsidRPr="006E0E2F">
        <w:t xml:space="preserve">　　</w:t>
      </w:r>
      <w:r w:rsidR="00203F72" w:rsidRPr="006E0E2F">
        <w:t>依憲法</w:t>
      </w:r>
      <w:hyperlink r:id="rId1159" w:anchor="a171"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171</w:t>
        </w:r>
        <w:r w:rsidR="00203F72" w:rsidRPr="003443A8">
          <w:rPr>
            <w:rStyle w:val="a5"/>
            <w:rFonts w:ascii="Times New Roman" w:eastAsia="新細明體" w:hAnsi="Times New Roman"/>
          </w:rPr>
          <w:t>條</w:t>
        </w:r>
      </w:hyperlink>
      <w:r w:rsidR="00203F72" w:rsidRPr="006E0E2F">
        <w:t>之規定，法律與憲法牴觸者無效。憲法為國家最高位階之法律，任何法律與憲法牴觸者當然無效。根據建國大綱第十八條之規定：「省立於中央與縣之間，以收聯絡之效」，故縣位階在省政府之下，仍受中央與省之指揮監督，因之，縣制定之法規與憲法或省自治法牴觸者無效。根據地方自治之法理，我國中央政府需制定省縣自治通則，各省、縣政府再根據省縣自治通則，制定省縣自治法，實施地方自治；但本憲法於施行後，內戰已全面爆發，省縣自治通則因而遲未制定。雖然，本條有規範中央須制定省縣自治通則，但政府來台之後，所制定之法規，並非省縣自治通則，實際上，係為：「臺灣省各縣市實施地方自治綱要」、「臺北市各級組織及實施地方自治綱要」與「高雄市各級組織及實施地方自治綱要」，以上，均為行政命令</w:t>
      </w:r>
      <w:r w:rsidR="00203F72" w:rsidRPr="006E0E2F">
        <w:footnoteReference w:id="109"/>
      </w:r>
      <w:r w:rsidR="00203F72" w:rsidRPr="006E0E2F">
        <w:t>。</w:t>
      </w:r>
    </w:p>
    <w:p w14:paraId="12079A4D" w14:textId="77777777" w:rsidR="00953151" w:rsidRDefault="00800CD7" w:rsidP="00D87D91">
      <w:r w:rsidRPr="006E0E2F">
        <w:t xml:space="preserve">　　</w:t>
      </w:r>
      <w:r w:rsidR="00203F72" w:rsidRPr="006E0E2F">
        <w:t>我國立法院曾於</w:t>
      </w:r>
      <w:r w:rsidR="00203F72" w:rsidRPr="006E0E2F">
        <w:t>1994</w:t>
      </w:r>
      <w:r w:rsidR="00203F72" w:rsidRPr="006E0E2F">
        <w:t>年，分別制定「省縣自治法」及「直轄市自治法」，但仍未制定省縣自治通則；於民國</w:t>
      </w:r>
      <w:r w:rsidR="00203F72" w:rsidRPr="006E0E2F">
        <w:t>88</w:t>
      </w:r>
      <w:r w:rsidR="00203F72" w:rsidRPr="006E0E2F">
        <w:t>年制定</w:t>
      </w:r>
      <w:hyperlink r:id="rId1160" w:history="1">
        <w:r w:rsidR="006E0E2F" w:rsidRPr="00A5735A">
          <w:rPr>
            <w:rStyle w:val="a5"/>
            <w:rFonts w:ascii="Times New Roman" w:hAnsi="Times New Roman"/>
          </w:rPr>
          <w:t>地方制度法</w:t>
        </w:r>
      </w:hyperlink>
      <w:r w:rsidR="00203F72" w:rsidRPr="006E0E2F">
        <w:t>之後，即廢止「省縣自治法」及「直轄市自治法」。故本條所指之省縣自治通則，實際上，其功能係由「</w:t>
      </w:r>
      <w:hyperlink r:id="rId1161" w:history="1">
        <w:r w:rsidR="006E0E2F" w:rsidRPr="00A5735A">
          <w:rPr>
            <w:rStyle w:val="a5"/>
            <w:rFonts w:ascii="Times New Roman" w:hAnsi="Times New Roman"/>
          </w:rPr>
          <w:t>地方制度法</w:t>
        </w:r>
      </w:hyperlink>
      <w:r w:rsidR="00203F72" w:rsidRPr="006E0E2F">
        <w:t>」加以承接之。</w:t>
      </w:r>
    </w:p>
    <w:p w14:paraId="48B73AFD" w14:textId="77777777" w:rsidR="003443A8" w:rsidRPr="006E0E2F" w:rsidRDefault="003443A8" w:rsidP="00D87D91"/>
    <w:p w14:paraId="385ECC89" w14:textId="59F503EC" w:rsidR="00203F72" w:rsidRPr="006E0E2F" w:rsidRDefault="00B03E84" w:rsidP="00D87D91">
      <w:r w:rsidRPr="006E0E2F">
        <w:t>【</w:t>
      </w:r>
      <w:r w:rsidRPr="006E0E2F">
        <w:t>table</w:t>
      </w:r>
      <w:r w:rsidR="005E23E3" w:rsidRPr="006E0E2F">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69</w:t>
      </w:r>
      <w:r w:rsidR="00076467">
        <w:rPr>
          <w:noProof/>
        </w:rPr>
        <w:fldChar w:fldCharType="end"/>
      </w:r>
      <w:r w:rsidR="00203F72" w:rsidRPr="006E0E2F">
        <w:rPr>
          <w:rFonts w:hint="eastAsia"/>
        </w:rPr>
        <w:t>地方自治法規之種類表</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5"/>
        <w:gridCol w:w="3072"/>
        <w:gridCol w:w="2798"/>
      </w:tblGrid>
      <w:tr w:rsidR="00203F72" w:rsidRPr="00A53581" w14:paraId="36799610" w14:textId="77777777" w:rsidTr="006E0E2F">
        <w:trPr>
          <w:tblHeader/>
        </w:trPr>
        <w:tc>
          <w:tcPr>
            <w:tcW w:w="2410" w:type="dxa"/>
            <w:shd w:val="clear" w:color="auto" w:fill="FAF0FA"/>
            <w:vAlign w:val="center"/>
          </w:tcPr>
          <w:p w14:paraId="27D96855" w14:textId="77777777" w:rsidR="00203F72" w:rsidRPr="00A53581" w:rsidRDefault="00203F72" w:rsidP="00D87D91">
            <w:r w:rsidRPr="00A53581">
              <w:rPr>
                <w:rFonts w:hint="eastAsia"/>
              </w:rPr>
              <w:t>立法機關制定自律事項</w:t>
            </w:r>
          </w:p>
        </w:tc>
        <w:tc>
          <w:tcPr>
            <w:tcW w:w="3118" w:type="dxa"/>
            <w:shd w:val="clear" w:color="auto" w:fill="FAF0FA"/>
          </w:tcPr>
          <w:p w14:paraId="5A844012" w14:textId="77777777" w:rsidR="00203F72" w:rsidRPr="00A53581" w:rsidRDefault="00203F72" w:rsidP="00D87D91">
            <w:r w:rsidRPr="00A53581">
              <w:rPr>
                <w:rFonts w:hint="eastAsia"/>
              </w:rPr>
              <w:t>自律規則</w:t>
            </w:r>
            <w:r w:rsidRPr="00A53581">
              <w:rPr>
                <w:rFonts w:hint="eastAsia"/>
              </w:rPr>
              <w:t>(</w:t>
            </w:r>
            <w:r w:rsidRPr="00A53581">
              <w:rPr>
                <w:rFonts w:hint="eastAsia"/>
              </w:rPr>
              <w:t>地方制度法</w:t>
            </w:r>
            <w:hyperlink r:id="rId1162" w:anchor="a31" w:history="1">
              <w:r w:rsidRPr="006E0E2F">
                <w:rPr>
                  <w:rStyle w:val="a5"/>
                  <w:rFonts w:hint="eastAsia"/>
                </w:rPr>
                <w:t>第31條</w:t>
              </w:r>
            </w:hyperlink>
            <w:r w:rsidRPr="00A53581">
              <w:rPr>
                <w:rFonts w:hint="eastAsia"/>
              </w:rPr>
              <w:t>)</w:t>
            </w:r>
          </w:p>
        </w:tc>
        <w:tc>
          <w:tcPr>
            <w:tcW w:w="2835" w:type="dxa"/>
            <w:tcBorders>
              <w:tr2bl w:val="single" w:sz="4" w:space="0" w:color="auto"/>
            </w:tcBorders>
            <w:shd w:val="clear" w:color="auto" w:fill="FAF0FA"/>
          </w:tcPr>
          <w:p w14:paraId="1E9ADF6A" w14:textId="77777777" w:rsidR="00203F72" w:rsidRPr="00A53581" w:rsidRDefault="00203F72" w:rsidP="00D87D91"/>
        </w:tc>
      </w:tr>
      <w:tr w:rsidR="00203F72" w:rsidRPr="00A53581" w14:paraId="412C88C8" w14:textId="77777777" w:rsidTr="006E0E2F">
        <w:tc>
          <w:tcPr>
            <w:tcW w:w="2410" w:type="dxa"/>
            <w:shd w:val="clear" w:color="auto" w:fill="auto"/>
            <w:vAlign w:val="center"/>
          </w:tcPr>
          <w:p w14:paraId="717EB242" w14:textId="77777777" w:rsidR="00203F72" w:rsidRPr="00A53581" w:rsidRDefault="00203F72" w:rsidP="00D87D91">
            <w:r w:rsidRPr="00A53581">
              <w:rPr>
                <w:rFonts w:hint="eastAsia"/>
              </w:rPr>
              <w:t>立法機關制定自治事項</w:t>
            </w:r>
          </w:p>
        </w:tc>
        <w:tc>
          <w:tcPr>
            <w:tcW w:w="3118" w:type="dxa"/>
            <w:shd w:val="clear" w:color="auto" w:fill="auto"/>
          </w:tcPr>
          <w:p w14:paraId="24899500" w14:textId="77777777" w:rsidR="00203F72" w:rsidRPr="00A53581" w:rsidRDefault="00203F72" w:rsidP="00D87D91">
            <w:pPr>
              <w:rPr>
                <w:rFonts w:ascii="新細明體" w:hAnsi="新細明體"/>
              </w:rPr>
            </w:pPr>
            <w:r w:rsidRPr="00A53581">
              <w:rPr>
                <w:rFonts w:ascii="新細明體" w:hAnsi="新細明體" w:hint="eastAsia"/>
              </w:rPr>
              <w:t>自治條例(地方制度</w:t>
            </w:r>
            <w:r w:rsidR="00541C0B" w:rsidRPr="00A53581">
              <w:rPr>
                <w:rFonts w:ascii="新細明體" w:hAnsi="新細明體" w:hint="eastAsia"/>
              </w:rPr>
              <w:t>法</w:t>
            </w:r>
            <w:hyperlink r:id="rId1163" w:anchor="a26" w:history="1">
              <w:r w:rsidR="00541C0B" w:rsidRPr="00541C0B">
                <w:rPr>
                  <w:rStyle w:val="a5"/>
                  <w:rFonts w:hint="eastAsia"/>
                </w:rPr>
                <w:t>第26條</w:t>
              </w:r>
            </w:hyperlink>
            <w:r w:rsidRPr="00A53581">
              <w:rPr>
                <w:rFonts w:ascii="新細明體" w:hAnsi="新細明體" w:hint="eastAsia"/>
              </w:rPr>
              <w:t>第1項)</w:t>
            </w:r>
          </w:p>
        </w:tc>
        <w:tc>
          <w:tcPr>
            <w:tcW w:w="2835" w:type="dxa"/>
            <w:shd w:val="clear" w:color="auto" w:fill="auto"/>
          </w:tcPr>
          <w:p w14:paraId="4D25E0C3" w14:textId="77777777" w:rsidR="00203F72" w:rsidRPr="00A53581" w:rsidRDefault="00203F72" w:rsidP="00D87D91">
            <w:r w:rsidRPr="00A53581">
              <w:rPr>
                <w:rFonts w:hint="eastAsia"/>
              </w:rPr>
              <w:t>直轄市稱直轄市法規，在縣</w:t>
            </w:r>
            <w:r w:rsidRPr="00A53581">
              <w:rPr>
                <w:rFonts w:hint="eastAsia"/>
              </w:rPr>
              <w:t>(</w:t>
            </w:r>
            <w:r w:rsidRPr="00A53581">
              <w:rPr>
                <w:rFonts w:hint="eastAsia"/>
              </w:rPr>
              <w:t>市</w:t>
            </w:r>
            <w:r w:rsidRPr="00A53581">
              <w:rPr>
                <w:rFonts w:hint="eastAsia"/>
              </w:rPr>
              <w:t>)</w:t>
            </w:r>
            <w:r w:rsidRPr="00A53581">
              <w:rPr>
                <w:rFonts w:hint="eastAsia"/>
              </w:rPr>
              <w:t>稱縣</w:t>
            </w:r>
            <w:r w:rsidRPr="00A53581">
              <w:rPr>
                <w:rFonts w:hint="eastAsia"/>
              </w:rPr>
              <w:t>(</w:t>
            </w:r>
            <w:r w:rsidRPr="00A53581">
              <w:rPr>
                <w:rFonts w:hint="eastAsia"/>
              </w:rPr>
              <w:t>市</w:t>
            </w:r>
            <w:r w:rsidRPr="00A53581">
              <w:rPr>
                <w:rFonts w:hint="eastAsia"/>
              </w:rPr>
              <w:t>)</w:t>
            </w:r>
            <w:r w:rsidRPr="00A53581">
              <w:rPr>
                <w:rFonts w:hint="eastAsia"/>
              </w:rPr>
              <w:t>規章，在鄉</w:t>
            </w:r>
            <w:r w:rsidRPr="00A53581">
              <w:rPr>
                <w:rFonts w:hint="eastAsia"/>
              </w:rPr>
              <w:t>(</w:t>
            </w:r>
            <w:r w:rsidRPr="00A53581">
              <w:rPr>
                <w:rFonts w:hint="eastAsia"/>
              </w:rPr>
              <w:t>鎮、市</w:t>
            </w:r>
            <w:r w:rsidRPr="00A53581">
              <w:rPr>
                <w:rFonts w:hint="eastAsia"/>
              </w:rPr>
              <w:t>)</w:t>
            </w:r>
            <w:r w:rsidRPr="00A53581">
              <w:rPr>
                <w:rFonts w:hint="eastAsia"/>
              </w:rPr>
              <w:t>稱鄉</w:t>
            </w:r>
            <w:r w:rsidRPr="00A53581">
              <w:rPr>
                <w:rFonts w:hint="eastAsia"/>
              </w:rPr>
              <w:t>(</w:t>
            </w:r>
            <w:r w:rsidRPr="00A53581">
              <w:rPr>
                <w:rFonts w:hint="eastAsia"/>
              </w:rPr>
              <w:t>鎮、市</w:t>
            </w:r>
            <w:r w:rsidRPr="00A53581">
              <w:rPr>
                <w:rFonts w:hint="eastAsia"/>
              </w:rPr>
              <w:t>)</w:t>
            </w:r>
            <w:r w:rsidRPr="00A53581">
              <w:rPr>
                <w:rFonts w:hint="eastAsia"/>
              </w:rPr>
              <w:t>規約</w:t>
            </w:r>
          </w:p>
        </w:tc>
      </w:tr>
      <w:tr w:rsidR="00203F72" w:rsidRPr="00A53581" w14:paraId="57DA1E9B" w14:textId="77777777" w:rsidTr="006E0E2F">
        <w:tc>
          <w:tcPr>
            <w:tcW w:w="2410" w:type="dxa"/>
            <w:shd w:val="clear" w:color="auto" w:fill="auto"/>
            <w:vAlign w:val="center"/>
          </w:tcPr>
          <w:p w14:paraId="648848BB" w14:textId="77777777" w:rsidR="00203F72" w:rsidRPr="00A53581" w:rsidRDefault="00203F72" w:rsidP="00D87D91">
            <w:r w:rsidRPr="00A53581">
              <w:rPr>
                <w:rFonts w:hint="eastAsia"/>
              </w:rPr>
              <w:t>行政機關訂定自治事項</w:t>
            </w:r>
          </w:p>
        </w:tc>
        <w:tc>
          <w:tcPr>
            <w:tcW w:w="3118" w:type="dxa"/>
            <w:shd w:val="clear" w:color="auto" w:fill="auto"/>
          </w:tcPr>
          <w:p w14:paraId="5B5B133C" w14:textId="77777777" w:rsidR="00203F72" w:rsidRPr="00A53581" w:rsidRDefault="00203F72" w:rsidP="00D87D91">
            <w:r w:rsidRPr="00A53581">
              <w:rPr>
                <w:rFonts w:hint="eastAsia"/>
              </w:rPr>
              <w:t>自治規則</w:t>
            </w:r>
            <w:r w:rsidRPr="00A53581">
              <w:rPr>
                <w:rFonts w:hint="eastAsia"/>
              </w:rPr>
              <w:t>(</w:t>
            </w:r>
            <w:r w:rsidRPr="00A53581">
              <w:rPr>
                <w:rFonts w:hint="eastAsia"/>
              </w:rPr>
              <w:t>地方制度法</w:t>
            </w:r>
            <w:hyperlink r:id="rId1164" w:anchor="a27" w:history="1">
              <w:r w:rsidRPr="006E0E2F">
                <w:rPr>
                  <w:rStyle w:val="a5"/>
                  <w:rFonts w:hint="eastAsia"/>
                </w:rPr>
                <w:t>第27條</w:t>
              </w:r>
            </w:hyperlink>
            <w:r w:rsidRPr="00A53581">
              <w:rPr>
                <w:rFonts w:hint="eastAsia"/>
              </w:rPr>
              <w:t>第</w:t>
            </w:r>
            <w:r w:rsidRPr="00A53581">
              <w:rPr>
                <w:rFonts w:hint="eastAsia"/>
              </w:rPr>
              <w:t>2</w:t>
            </w:r>
            <w:r w:rsidRPr="00A53581">
              <w:rPr>
                <w:rFonts w:hint="eastAsia"/>
              </w:rPr>
              <w:t>項</w:t>
            </w:r>
            <w:r w:rsidRPr="00A53581">
              <w:rPr>
                <w:rFonts w:hint="eastAsia"/>
              </w:rPr>
              <w:t>)</w:t>
            </w:r>
          </w:p>
        </w:tc>
        <w:tc>
          <w:tcPr>
            <w:tcW w:w="2835" w:type="dxa"/>
            <w:shd w:val="clear" w:color="auto" w:fill="auto"/>
          </w:tcPr>
          <w:p w14:paraId="4FFDD4D0" w14:textId="77777777" w:rsidR="00203F72" w:rsidRPr="00A53581" w:rsidRDefault="00203F72" w:rsidP="00D87D91">
            <w:r w:rsidRPr="00A53581">
              <w:rPr>
                <w:rFonts w:hint="eastAsia"/>
              </w:rPr>
              <w:t>得依其性質，定名為規程、規則、細則、辦法、綱要、標準或準則</w:t>
            </w:r>
          </w:p>
        </w:tc>
      </w:tr>
      <w:tr w:rsidR="00203F72" w:rsidRPr="00A53581" w14:paraId="6F4C8236" w14:textId="77777777" w:rsidTr="006E0E2F">
        <w:tc>
          <w:tcPr>
            <w:tcW w:w="2410" w:type="dxa"/>
            <w:shd w:val="clear" w:color="auto" w:fill="auto"/>
            <w:vAlign w:val="center"/>
          </w:tcPr>
          <w:p w14:paraId="65D5017D" w14:textId="77777777" w:rsidR="00203F72" w:rsidRPr="00A53581" w:rsidRDefault="00203F72" w:rsidP="00D87D91">
            <w:r w:rsidRPr="00A53581">
              <w:rPr>
                <w:rFonts w:hint="eastAsia"/>
              </w:rPr>
              <w:t>行政機關訂定委辦事項</w:t>
            </w:r>
          </w:p>
        </w:tc>
        <w:tc>
          <w:tcPr>
            <w:tcW w:w="3118" w:type="dxa"/>
            <w:shd w:val="clear" w:color="auto" w:fill="auto"/>
          </w:tcPr>
          <w:p w14:paraId="37A708CE" w14:textId="77777777" w:rsidR="00203F72" w:rsidRPr="00A53581" w:rsidRDefault="00203F72" w:rsidP="00D87D91">
            <w:r w:rsidRPr="00A53581">
              <w:rPr>
                <w:rFonts w:hint="eastAsia"/>
              </w:rPr>
              <w:t>委辦規則</w:t>
            </w:r>
            <w:r w:rsidRPr="00A53581">
              <w:rPr>
                <w:rFonts w:hint="eastAsia"/>
              </w:rPr>
              <w:t>(</w:t>
            </w:r>
            <w:r w:rsidRPr="00A53581">
              <w:rPr>
                <w:rFonts w:hint="eastAsia"/>
              </w:rPr>
              <w:t>地方制度法</w:t>
            </w:r>
            <w:hyperlink r:id="rId1165" w:anchor="a29" w:history="1">
              <w:r w:rsidRPr="006E0E2F">
                <w:rPr>
                  <w:rStyle w:val="a5"/>
                  <w:rFonts w:hint="eastAsia"/>
                </w:rPr>
                <w:t>第29條</w:t>
              </w:r>
            </w:hyperlink>
            <w:r w:rsidRPr="00A53581">
              <w:rPr>
                <w:rFonts w:hint="eastAsia"/>
              </w:rPr>
              <w:t>第</w:t>
            </w:r>
            <w:r w:rsidRPr="00A53581">
              <w:rPr>
                <w:rFonts w:hint="eastAsia"/>
              </w:rPr>
              <w:t>2</w:t>
            </w:r>
            <w:r w:rsidRPr="00A53581">
              <w:rPr>
                <w:rFonts w:hint="eastAsia"/>
              </w:rPr>
              <w:t>項</w:t>
            </w:r>
            <w:r w:rsidRPr="00A53581">
              <w:rPr>
                <w:rFonts w:hint="eastAsia"/>
              </w:rPr>
              <w:t>)</w:t>
            </w:r>
          </w:p>
        </w:tc>
        <w:tc>
          <w:tcPr>
            <w:tcW w:w="2835" w:type="dxa"/>
            <w:shd w:val="clear" w:color="auto" w:fill="auto"/>
          </w:tcPr>
          <w:p w14:paraId="1E098BFF" w14:textId="77777777" w:rsidR="00203F72" w:rsidRPr="00A53581" w:rsidRDefault="00203F72" w:rsidP="00D87D91">
            <w:r w:rsidRPr="00A53581">
              <w:rPr>
                <w:rFonts w:hint="eastAsia"/>
              </w:rPr>
              <w:t>其名稱準用自治規則之規定</w:t>
            </w:r>
          </w:p>
        </w:tc>
      </w:tr>
    </w:tbl>
    <w:p w14:paraId="652C43E2" w14:textId="77777777" w:rsidR="00953151" w:rsidRDefault="002107CE" w:rsidP="00D87D91">
      <w:r>
        <w:rPr>
          <w:rFonts w:hint="eastAsia"/>
        </w:rPr>
        <w:t>【本表格資料來源】</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7-22</w:t>
      </w:r>
      <w:r w:rsidR="00203F72" w:rsidRPr="00A53581">
        <w:rPr>
          <w:rFonts w:hint="eastAsia"/>
        </w:rPr>
        <w:t>頁。</w:t>
      </w:r>
    </w:p>
    <w:p w14:paraId="6E350F17" w14:textId="77777777" w:rsidR="00953151" w:rsidRDefault="00076467" w:rsidP="00767F37">
      <w:pPr>
        <w:pStyle w:val="2"/>
      </w:pPr>
      <w:hyperlink r:id="rId1166" w:anchor="a123" w:history="1">
        <w:r w:rsidR="005D5A46">
          <w:rPr>
            <w:rStyle w:val="a5"/>
            <w:rFonts w:ascii="Arial Unicode MS" w:hAnsi="Arial Unicode MS"/>
          </w:rPr>
          <w:t>第</w:t>
        </w:r>
        <w:r w:rsidR="00203F72" w:rsidRPr="00AB0A74">
          <w:rPr>
            <w:rStyle w:val="a5"/>
            <w:rFonts w:ascii="Arial Unicode MS" w:hAnsi="Arial Unicode MS"/>
          </w:rPr>
          <w:t>123</w:t>
        </w:r>
        <w:r w:rsidR="005D5A46">
          <w:rPr>
            <w:rStyle w:val="a5"/>
            <w:rFonts w:ascii="Arial Unicode MS" w:hAnsi="Arial Unicode MS"/>
          </w:rPr>
          <w:t>條</w:t>
        </w:r>
      </w:hyperlink>
      <w:r w:rsidR="00203F72" w:rsidRPr="00A53581">
        <w:t>縣民關於縣自治事項，依法律行使創制、複決之權，對於縣長及其他縣自治人員，依法律行使選舉、罷免之權。</w:t>
      </w:r>
    </w:p>
    <w:p w14:paraId="0490C4F8" w14:textId="77777777" w:rsidR="00953151" w:rsidRPr="006E0E2F" w:rsidRDefault="00B03E84" w:rsidP="00D87D91">
      <w:r w:rsidRPr="006E0E2F">
        <w:t>【內容解析】</w:t>
      </w:r>
    </w:p>
    <w:p w14:paraId="40E108E1" w14:textId="77777777" w:rsidR="00953151" w:rsidRPr="006E0E2F" w:rsidRDefault="00800CD7" w:rsidP="00D87D91">
      <w:r w:rsidRPr="006E0E2F">
        <w:t xml:space="preserve">　　</w:t>
      </w:r>
      <w:r w:rsidR="00203F72" w:rsidRPr="006E0E2F">
        <w:t>由於目前國家實施地方自治，或縣自治代表縣民可以依選民之自由意志，依法律行使創制、複決之權。對於縣長及其縣自治人員，主要係指政務人員，或因選舉始擔任公職之人員，依法律行使選舉、選免之權。</w:t>
      </w:r>
    </w:p>
    <w:p w14:paraId="141E6EB7" w14:textId="77777777" w:rsidR="00203F72" w:rsidRPr="00A53581" w:rsidRDefault="00076467" w:rsidP="00767F37">
      <w:pPr>
        <w:pStyle w:val="2"/>
      </w:pPr>
      <w:hyperlink r:id="rId1167" w:anchor="a124" w:history="1">
        <w:r w:rsidR="005D5A46">
          <w:rPr>
            <w:rStyle w:val="a5"/>
            <w:rFonts w:ascii="Arial Unicode MS" w:hAnsi="Arial Unicode MS"/>
          </w:rPr>
          <w:t>第</w:t>
        </w:r>
        <w:r w:rsidR="00203F72" w:rsidRPr="00AB0A74">
          <w:rPr>
            <w:rStyle w:val="a5"/>
            <w:rFonts w:ascii="Arial Unicode MS" w:hAnsi="Arial Unicode MS"/>
          </w:rPr>
          <w:t>124</w:t>
        </w:r>
        <w:r w:rsidR="005D5A46">
          <w:rPr>
            <w:rStyle w:val="a5"/>
            <w:rFonts w:ascii="Arial Unicode MS" w:hAnsi="Arial Unicode MS"/>
          </w:rPr>
          <w:t>條</w:t>
        </w:r>
      </w:hyperlink>
      <w:r w:rsidR="00203F72" w:rsidRPr="00A53581">
        <w:t>縣設縣議會，縣議會議員由縣民選舉之。</w:t>
      </w:r>
    </w:p>
    <w:p w14:paraId="6E8A2730" w14:textId="77777777" w:rsidR="00953151" w:rsidRPr="006E0E2F" w:rsidRDefault="00800CD7" w:rsidP="00D87D91">
      <w:r w:rsidRPr="006E0E2F">
        <w:t xml:space="preserve">　　</w:t>
      </w:r>
      <w:r w:rsidR="00203F72" w:rsidRPr="006E0E2F">
        <w:t>屬於縣之立法權，由縣議會行之。</w:t>
      </w:r>
    </w:p>
    <w:p w14:paraId="450E4BEE" w14:textId="77777777" w:rsidR="00953151" w:rsidRPr="006E0E2F" w:rsidRDefault="00B03E84" w:rsidP="00D87D91">
      <w:r w:rsidRPr="006E0E2F">
        <w:t>【內容解析】</w:t>
      </w:r>
    </w:p>
    <w:p w14:paraId="5083CE17" w14:textId="77777777" w:rsidR="00203F72" w:rsidRPr="006E0E2F" w:rsidRDefault="00800CD7" w:rsidP="00D87D91">
      <w:r w:rsidRPr="006E0E2F">
        <w:t xml:space="preserve">　　</w:t>
      </w:r>
      <w:r w:rsidR="00203F72" w:rsidRPr="006E0E2F">
        <w:t>地方立法機關，縣為縣議會。縣議會應依「</w:t>
      </w:r>
      <w:hyperlink r:id="rId1168" w:history="1">
        <w:r w:rsidR="00203F72" w:rsidRPr="003443A8">
          <w:rPr>
            <w:rStyle w:val="a5"/>
            <w:rFonts w:ascii="Times New Roman" w:eastAsia="新細明體" w:hAnsi="Times New Roman"/>
          </w:rPr>
          <w:t>地方立法機關組織準則</w:t>
        </w:r>
      </w:hyperlink>
      <w:r w:rsidR="00203F72" w:rsidRPr="006E0E2F">
        <w:t>」</w:t>
      </w:r>
      <w:r w:rsidR="00203F72" w:rsidRPr="006E0E2F">
        <w:footnoteReference w:id="110"/>
      </w:r>
      <w:r w:rsidR="00203F72" w:rsidRPr="006E0E2F">
        <w:t>，擬定組織</w:t>
      </w:r>
      <w:r w:rsidR="00203F72" w:rsidRPr="00A53581">
        <w:t>自</w:t>
      </w:r>
      <w:r w:rsidR="00203F72" w:rsidRPr="006E0E2F">
        <w:t>治條例，報內政部核定。縣議會議員由縣民依法選舉，連選得連任。依地方立法機關組織準則</w:t>
      </w:r>
      <w:hyperlink r:id="rId1169" w:anchor="b6"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6</w:t>
        </w:r>
        <w:r w:rsidR="00203F72" w:rsidRPr="003443A8">
          <w:rPr>
            <w:rStyle w:val="a5"/>
            <w:rFonts w:ascii="Times New Roman" w:eastAsia="新細明體" w:hAnsi="Times New Roman"/>
          </w:rPr>
          <w:t>條</w:t>
        </w:r>
      </w:hyperlink>
      <w:r w:rsidR="00203F72" w:rsidRPr="006E0E2F">
        <w:t>之規定，縣（市）議會議員總額，依中華民國八十七年一月二十四日選出之議員名額為準；如因人口變動有增加必要者，調整如下：</w:t>
      </w:r>
    </w:p>
    <w:p w14:paraId="6B862005" w14:textId="77777777" w:rsidR="00203F72" w:rsidRPr="006E0E2F" w:rsidRDefault="00800CD7" w:rsidP="00D87D91">
      <w:r w:rsidRPr="006E0E2F">
        <w:t xml:space="preserve">　　</w:t>
      </w:r>
      <w:r w:rsidR="00203F72" w:rsidRPr="006E0E2F">
        <w:t>一、縣（市）人口在一萬人以下者，選出九人。</w:t>
      </w:r>
    </w:p>
    <w:p w14:paraId="13874D97" w14:textId="77777777" w:rsidR="00203F72" w:rsidRPr="006E0E2F" w:rsidRDefault="00800CD7" w:rsidP="00D87D91">
      <w:r w:rsidRPr="006E0E2F">
        <w:t xml:space="preserve">　　</w:t>
      </w:r>
      <w:r w:rsidR="00203F72" w:rsidRPr="006E0E2F">
        <w:t>二、縣（市）人口超過一萬人至五萬人者，每增加五千人增一人。</w:t>
      </w:r>
    </w:p>
    <w:p w14:paraId="48B85161" w14:textId="77777777" w:rsidR="00203F72" w:rsidRPr="006E0E2F" w:rsidRDefault="00800CD7" w:rsidP="00D87D91">
      <w:r w:rsidRPr="006E0E2F">
        <w:t xml:space="preserve">　　</w:t>
      </w:r>
      <w:r w:rsidR="00203F72" w:rsidRPr="006E0E2F">
        <w:t>三、縣（市）人口超過五萬人至二十萬人者，每增加一萬人增一人；最多不得超過十九人。</w:t>
      </w:r>
    </w:p>
    <w:p w14:paraId="6216C091" w14:textId="77777777" w:rsidR="00203F72" w:rsidRPr="006E0E2F" w:rsidRDefault="00800CD7" w:rsidP="00D87D91">
      <w:r w:rsidRPr="006E0E2F">
        <w:t xml:space="preserve">　　</w:t>
      </w:r>
      <w:r w:rsidR="00203F72" w:rsidRPr="006E0E2F">
        <w:t>四、縣（市）人口超過二十萬人至四十萬人者，每增加一萬四千人增一人；最多不得超過三十三人。</w:t>
      </w:r>
    </w:p>
    <w:p w14:paraId="1DE65BB6" w14:textId="77777777" w:rsidR="00203F72" w:rsidRPr="006E0E2F" w:rsidRDefault="00800CD7" w:rsidP="00D87D91">
      <w:r w:rsidRPr="006E0E2F">
        <w:t xml:space="preserve">　　</w:t>
      </w:r>
      <w:r w:rsidR="00203F72" w:rsidRPr="006E0E2F">
        <w:t>五、縣（市）人口超過四十萬人至八十萬人者，每增加四萬人增一人；最多不得超過四十三人。</w:t>
      </w:r>
    </w:p>
    <w:p w14:paraId="29591136" w14:textId="77777777" w:rsidR="00203F72" w:rsidRPr="006E0E2F" w:rsidRDefault="00800CD7" w:rsidP="00D87D91">
      <w:r w:rsidRPr="006E0E2F">
        <w:t xml:space="preserve">　　</w:t>
      </w:r>
      <w:r w:rsidR="00203F72" w:rsidRPr="006E0E2F">
        <w:t>六、縣（市）人口超過八十萬人至一百六十萬人者，每增加五萬七千人增一人；最多不得超過五十七人。</w:t>
      </w:r>
    </w:p>
    <w:p w14:paraId="58F61204" w14:textId="77777777" w:rsidR="00203F72" w:rsidRPr="006E0E2F" w:rsidRDefault="00800CD7" w:rsidP="00D87D91">
      <w:r w:rsidRPr="006E0E2F">
        <w:t xml:space="preserve">　　</w:t>
      </w:r>
      <w:r w:rsidR="00203F72" w:rsidRPr="006E0E2F">
        <w:t>七、縣（市）人口超過一百六十萬人者，每增加十萬人增一人；最多不得超過六十人。</w:t>
      </w:r>
    </w:p>
    <w:p w14:paraId="731E15A4" w14:textId="77777777" w:rsidR="000810D6" w:rsidRPr="006E0E2F" w:rsidRDefault="00800CD7" w:rsidP="00D87D91">
      <w:r w:rsidRPr="006E0E2F">
        <w:t xml:space="preserve">　　</w:t>
      </w:r>
      <w:r w:rsidR="00203F72" w:rsidRPr="006E0E2F">
        <w:t>縣（市）有平地原住民人口在一千五百人以上者，於前項總額內應有平地原住民選出之縣（市）議員一人；超過一萬人者，每增加一萬人增一人</w:t>
      </w:r>
      <w:r w:rsidR="00545D58" w:rsidRPr="006E0E2F">
        <w:t>。</w:t>
      </w:r>
    </w:p>
    <w:p w14:paraId="64312DE3" w14:textId="77777777" w:rsidR="00021782" w:rsidRPr="006E0E2F" w:rsidRDefault="00203F72" w:rsidP="00D87D91">
      <w:r w:rsidRPr="006E0E2F">
        <w:t xml:space="preserve">　　縣有山地鄉者，於第一項總額內應有山地原住民選出之縣議員，其應選名額，以每一山地鄉選出一人計算</w:t>
      </w:r>
      <w:r w:rsidR="00545D58" w:rsidRPr="006E0E2F">
        <w:t>。</w:t>
      </w:r>
    </w:p>
    <w:p w14:paraId="4DBA3A4D" w14:textId="77777777" w:rsidR="00021782" w:rsidRPr="006E0E2F" w:rsidRDefault="00203F72" w:rsidP="00D87D91">
      <w:r w:rsidRPr="006E0E2F">
        <w:t xml:space="preserve">　　縣有離島鄉且該鄉人口在二千五百人以上者，於第一項總額內應有該鄉選出之縣議員一人</w:t>
      </w:r>
      <w:r w:rsidR="00545D58" w:rsidRPr="006E0E2F">
        <w:t>。</w:t>
      </w:r>
    </w:p>
    <w:p w14:paraId="7C5B77D5" w14:textId="77777777" w:rsidR="00953151" w:rsidRPr="006E0E2F" w:rsidRDefault="00203F72" w:rsidP="00D87D91">
      <w:r w:rsidRPr="006E0E2F">
        <w:t xml:space="preserve">　　縣（市）各選舉區選出之縣（市）議員名額達四人者，應有婦女當選名額一人；超過四人者，每增加四人增一人。縣（市）選出之山地原住民、平地原住民議員名額達四人者，應有婦女當選名額一人；超過四人者，每增加四人增一人。</w:t>
      </w:r>
    </w:p>
    <w:p w14:paraId="5C111ABE" w14:textId="77777777" w:rsidR="00953151" w:rsidRPr="006E0E2F" w:rsidRDefault="00800CD7" w:rsidP="00D87D91">
      <w:r w:rsidRPr="006E0E2F">
        <w:t xml:space="preserve">　　</w:t>
      </w:r>
      <w:r w:rsidR="00203F72" w:rsidRPr="006E0E2F">
        <w:t>另依同準則規定，縣議員應於上屆任期屆滿之日，依宣誓條例規定宣誓就職。不依規定宣誓者，</w:t>
      </w:r>
      <w:r w:rsidR="003E240E">
        <w:t>視</w:t>
      </w:r>
      <w:r w:rsidR="00203F72" w:rsidRPr="006E0E2F">
        <w:t>同未就職。宣誓就職典禮，在縣議會所在地舉行，分別由行政院、內政部、縣政府召集，並由縣議員當選人互推一人主持之。其推選會議，由曾任議員、代表之資深者主持之；年資相同者，由年長者主持之。補選之縣議員應於當選後十日內，由縣議會逕行依宣誓條例規定辦理宣誓就職事宜。</w:t>
      </w:r>
    </w:p>
    <w:p w14:paraId="173BC850" w14:textId="77777777" w:rsidR="00953151" w:rsidRDefault="00800CD7" w:rsidP="00D87D91">
      <w:r w:rsidRPr="006E0E2F">
        <w:t xml:space="preserve">　　</w:t>
      </w:r>
      <w:r w:rsidR="00203F72" w:rsidRPr="006E0E2F">
        <w:t>在我國地方自治之實際執行上，在縣所轄之鄉鎮層級部分，各個地方自治團體會依照上開之「地方立法機關組織準則」，制定其本身之自治條例，諸如南投縣草屯鎮民代表會組織自治條例，本自治條例係依地方立法機關組織準則</w:t>
      </w:r>
      <w:hyperlink r:id="rId1170" w:anchor="b3" w:history="1">
        <w:r w:rsidR="00203F72" w:rsidRPr="003443A8">
          <w:rPr>
            <w:rStyle w:val="a5"/>
            <w:rFonts w:ascii="Times New Roman" w:eastAsia="新細明體" w:hAnsi="Times New Roman"/>
          </w:rPr>
          <w:t>第三條</w:t>
        </w:r>
      </w:hyperlink>
      <w:r w:rsidR="00203F72" w:rsidRPr="006E0E2F">
        <w:t>第三項規定制定之。有關於草屯鎮鎮民代表之名額方面，依據南投縣草屯鎮民代表會組織自治條例第三條之規定，「本會代表總額，依中華民國八十七年六月十三日選出之代表名額為準，共十七名</w:t>
      </w:r>
      <w:r w:rsidR="00203F72" w:rsidRPr="006E0E2F">
        <w:t>(</w:t>
      </w:r>
      <w:r w:rsidR="00203F72" w:rsidRPr="006E0E2F">
        <w:t>第</w:t>
      </w:r>
      <w:r w:rsidR="00203F72" w:rsidRPr="006E0E2F">
        <w:t>1</w:t>
      </w:r>
      <w:r w:rsidR="00203F72" w:rsidRPr="006E0E2F">
        <w:t>項</w:t>
      </w:r>
      <w:r w:rsidR="00203F72" w:rsidRPr="006E0E2F">
        <w:t>)</w:t>
      </w:r>
      <w:r w:rsidR="00203F72" w:rsidRPr="006E0E2F">
        <w:t>。如因人口變動有增加必要者，其名額之調整依地方立法機關組織準則</w:t>
      </w:r>
      <w:hyperlink r:id="rId1171" w:anchor="b7" w:history="1">
        <w:r w:rsidR="007D50BB" w:rsidRPr="006F42DC">
          <w:rPr>
            <w:rStyle w:val="a5"/>
            <w:rFonts w:ascii="Times New Roman" w:hAnsi="Times New Roman"/>
          </w:rPr>
          <w:t>第七條</w:t>
        </w:r>
      </w:hyperlink>
      <w:r w:rsidR="00203F72" w:rsidRPr="006E0E2F">
        <w:t>之規定</w:t>
      </w:r>
      <w:r w:rsidR="00203F72" w:rsidRPr="006E0E2F">
        <w:t>(</w:t>
      </w:r>
      <w:r w:rsidR="00203F72" w:rsidRPr="006E0E2F">
        <w:t>第</w:t>
      </w:r>
      <w:r w:rsidR="00203F72" w:rsidRPr="006E0E2F">
        <w:t>2</w:t>
      </w:r>
      <w:r w:rsidR="00203F72" w:rsidRPr="006E0E2F">
        <w:t>項</w:t>
      </w:r>
      <w:r w:rsidR="00203F72" w:rsidRPr="006E0E2F">
        <w:t>)</w:t>
      </w:r>
      <w:r w:rsidR="00203F72" w:rsidRPr="006E0E2F">
        <w:t>。」</w:t>
      </w:r>
    </w:p>
    <w:p w14:paraId="6B805E01" w14:textId="77777777" w:rsidR="006F42DC" w:rsidRPr="006E0E2F" w:rsidRDefault="006F42DC" w:rsidP="00D87D91"/>
    <w:p w14:paraId="36A34E5D" w14:textId="4EC48DFC" w:rsidR="00203F72" w:rsidRPr="006E0E2F" w:rsidRDefault="00B03E84" w:rsidP="00D87D91">
      <w:r w:rsidRPr="006E0E2F">
        <w:t>【</w:t>
      </w:r>
      <w:r w:rsidRPr="006E0E2F">
        <w:t>table</w:t>
      </w:r>
      <w:r w:rsidR="005E23E3" w:rsidRPr="006E0E2F">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70</w:t>
      </w:r>
      <w:r w:rsidR="00076467">
        <w:rPr>
          <w:noProof/>
        </w:rPr>
        <w:fldChar w:fldCharType="end"/>
      </w:r>
      <w:r w:rsidR="00203F72" w:rsidRPr="006E0E2F">
        <w:rPr>
          <w:rFonts w:hint="eastAsia"/>
        </w:rPr>
        <w:t>地方法規之制定程序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7371"/>
      </w:tblGrid>
      <w:tr w:rsidR="00203F72" w:rsidRPr="00A53581" w14:paraId="0A89705F" w14:textId="77777777" w:rsidTr="00203F72">
        <w:tc>
          <w:tcPr>
            <w:tcW w:w="709" w:type="dxa"/>
            <w:shd w:val="clear" w:color="auto" w:fill="auto"/>
            <w:vAlign w:val="center"/>
          </w:tcPr>
          <w:p w14:paraId="32022552" w14:textId="77777777" w:rsidR="00203F72" w:rsidRPr="00A53581" w:rsidRDefault="00203F72" w:rsidP="00D87D91">
            <w:r w:rsidRPr="00A53581">
              <w:rPr>
                <w:rFonts w:hint="eastAsia"/>
              </w:rPr>
              <w:t>自律規則</w:t>
            </w:r>
          </w:p>
        </w:tc>
        <w:tc>
          <w:tcPr>
            <w:tcW w:w="7371" w:type="dxa"/>
            <w:shd w:val="clear" w:color="auto" w:fill="auto"/>
          </w:tcPr>
          <w:p w14:paraId="175E84F9" w14:textId="77777777" w:rsidR="00953151" w:rsidRDefault="003443A8" w:rsidP="00D87D91">
            <w:r>
              <w:rPr>
                <w:rFonts w:hint="eastAsia"/>
              </w:rPr>
              <w:t xml:space="preserve">　　</w:t>
            </w:r>
            <w:r w:rsidR="00203F72" w:rsidRPr="00A53581">
              <w:rPr>
                <w:rFonts w:hint="eastAsia"/>
              </w:rPr>
              <w:t>訂定→發布→備查</w:t>
            </w:r>
          </w:p>
          <w:p w14:paraId="201FF131" w14:textId="77777777" w:rsidR="00203F72" w:rsidRPr="00A53581" w:rsidRDefault="003443A8" w:rsidP="00D87D91">
            <w:r>
              <w:rPr>
                <w:rFonts w:hint="eastAsia"/>
              </w:rPr>
              <w:t xml:space="preserve">　　</w:t>
            </w:r>
            <w:r w:rsidR="00203F72" w:rsidRPr="00A53581">
              <w:rPr>
                <w:rFonts w:hint="eastAsia"/>
              </w:rPr>
              <w:t>地方制度法</w:t>
            </w:r>
            <w:hyperlink r:id="rId1172" w:anchor="a31" w:history="1">
              <w:r w:rsidR="00203F72" w:rsidRPr="006E0E2F">
                <w:rPr>
                  <w:rStyle w:val="a5"/>
                  <w:rFonts w:hint="eastAsia"/>
                </w:rPr>
                <w:t>第31條</w:t>
              </w:r>
            </w:hyperlink>
            <w:r w:rsidR="00203F72" w:rsidRPr="00A53581">
              <w:rPr>
                <w:rFonts w:hint="eastAsia"/>
              </w:rPr>
              <w:t>：「地方立法機關得訂定自律規則。</w:t>
            </w:r>
          </w:p>
          <w:p w14:paraId="0474A924" w14:textId="77777777" w:rsidR="00203F72" w:rsidRPr="00A53581" w:rsidRDefault="003443A8" w:rsidP="00D87D91">
            <w:r>
              <w:rPr>
                <w:rFonts w:hint="eastAsia"/>
              </w:rPr>
              <w:t xml:space="preserve">　　</w:t>
            </w:r>
            <w:r w:rsidR="00203F72" w:rsidRPr="00A53581">
              <w:rPr>
                <w:rFonts w:hint="eastAsia"/>
              </w:rPr>
              <w:t>自律規則除法律或自治條例另有規定外，由各該立法機關發布，並報各該上級政府備查。」</w:t>
            </w:r>
          </w:p>
        </w:tc>
      </w:tr>
      <w:tr w:rsidR="00203F72" w:rsidRPr="00A53581" w14:paraId="0F2F6997" w14:textId="77777777" w:rsidTr="00203F72">
        <w:trPr>
          <w:trHeight w:val="2410"/>
        </w:trPr>
        <w:tc>
          <w:tcPr>
            <w:tcW w:w="709" w:type="dxa"/>
            <w:shd w:val="clear" w:color="auto" w:fill="auto"/>
            <w:vAlign w:val="center"/>
          </w:tcPr>
          <w:p w14:paraId="55A89905" w14:textId="77777777" w:rsidR="00203F72" w:rsidRPr="00A53581" w:rsidRDefault="00203F72" w:rsidP="00D87D91">
            <w:r w:rsidRPr="00A53581">
              <w:rPr>
                <w:rFonts w:hint="eastAsia"/>
              </w:rPr>
              <w:t>自治條例</w:t>
            </w:r>
          </w:p>
        </w:tc>
        <w:tc>
          <w:tcPr>
            <w:tcW w:w="7371" w:type="dxa"/>
            <w:shd w:val="clear" w:color="auto" w:fill="auto"/>
          </w:tcPr>
          <w:p w14:paraId="40032A9C" w14:textId="77777777" w:rsidR="00953151" w:rsidRDefault="003443A8" w:rsidP="00D87D91">
            <w:r>
              <w:rPr>
                <w:rFonts w:hint="eastAsia"/>
              </w:rPr>
              <w:t xml:space="preserve">　　</w:t>
            </w:r>
            <w:r w:rsidR="00203F72" w:rsidRPr="00A53581">
              <w:rPr>
                <w:rFonts w:hint="eastAsia"/>
              </w:rPr>
              <w:t>地方制度法</w:t>
            </w:r>
            <w:hyperlink r:id="rId1173" w:anchor="a25" w:history="1">
              <w:r w:rsidR="00203F72" w:rsidRPr="006E0E2F">
                <w:rPr>
                  <w:rStyle w:val="a5"/>
                  <w:rFonts w:hint="eastAsia"/>
                </w:rPr>
                <w:t>第25條</w:t>
              </w:r>
            </w:hyperlink>
            <w:r w:rsidR="00203F72" w:rsidRPr="00A53581">
              <w:rPr>
                <w:rFonts w:hint="eastAsia"/>
              </w:rPr>
              <w:t>：「直轄市、縣</w:t>
            </w:r>
            <w:r w:rsidR="00203F72" w:rsidRPr="00A53581">
              <w:rPr>
                <w:rFonts w:hint="eastAsia"/>
              </w:rPr>
              <w:t xml:space="preserve"> (</w:t>
            </w:r>
            <w:r w:rsidR="00203F72" w:rsidRPr="00A53581">
              <w:rPr>
                <w:rFonts w:hint="eastAsia"/>
              </w:rPr>
              <w:t>市</w:t>
            </w:r>
            <w:r w:rsidR="00203F72" w:rsidRPr="00A53581">
              <w:rPr>
                <w:rFonts w:hint="eastAsia"/>
              </w:rPr>
              <w:t>)</w:t>
            </w:r>
            <w:r w:rsidR="00203F72" w:rsidRPr="00A53581">
              <w:rPr>
                <w:rFonts w:hint="eastAsia"/>
              </w:rPr>
              <w:t>、鄉</w:t>
            </w:r>
            <w:r w:rsidR="00203F72" w:rsidRPr="00A53581">
              <w:rPr>
                <w:rFonts w:hint="eastAsia"/>
              </w:rPr>
              <w:t xml:space="preserve"> (</w:t>
            </w:r>
            <w:r w:rsidR="00203F72" w:rsidRPr="00A53581">
              <w:rPr>
                <w:rFonts w:hint="eastAsia"/>
              </w:rPr>
              <w:t>鎮、市</w:t>
            </w:r>
            <w:r w:rsidR="00203F72" w:rsidRPr="00A53581">
              <w:rPr>
                <w:rFonts w:hint="eastAsia"/>
              </w:rPr>
              <w:t xml:space="preserve">) </w:t>
            </w:r>
            <w:r w:rsidR="00203F72" w:rsidRPr="00A53581">
              <w:rPr>
                <w:rFonts w:hint="eastAsia"/>
              </w:rPr>
              <w:t>得就其自治事項或依法律及上級法規之授權，制定自治法規。自治法規經地方立法機關通過，並由各該行政機關公布者，稱自治條例。」</w:t>
            </w:r>
          </w:p>
          <w:p w14:paraId="54867BB0" w14:textId="77777777" w:rsidR="00953151" w:rsidRDefault="003443A8" w:rsidP="00D87D91">
            <w:r>
              <w:rPr>
                <w:rFonts w:hint="eastAsia"/>
              </w:rPr>
              <w:t xml:space="preserve">　　</w:t>
            </w:r>
            <w:r w:rsidR="00203F72" w:rsidRPr="00A53581">
              <w:rPr>
                <w:rFonts w:hint="eastAsia"/>
              </w:rPr>
              <w:t>無罰則：制定→公布→備查</w:t>
            </w:r>
          </w:p>
          <w:p w14:paraId="4643E0AF" w14:textId="77777777" w:rsidR="00953151" w:rsidRDefault="003443A8" w:rsidP="00D87D91">
            <w:r>
              <w:rPr>
                <w:rFonts w:hint="eastAsia"/>
              </w:rPr>
              <w:t xml:space="preserve">　　</w:t>
            </w:r>
            <w:r w:rsidR="00203F72" w:rsidRPr="00A53581">
              <w:rPr>
                <w:rFonts w:hint="eastAsia"/>
              </w:rPr>
              <w:t>地方制度</w:t>
            </w:r>
            <w:r w:rsidR="00541C0B" w:rsidRPr="00A53581">
              <w:rPr>
                <w:rFonts w:hint="eastAsia"/>
              </w:rPr>
              <w:t>法</w:t>
            </w:r>
            <w:hyperlink r:id="rId1174" w:anchor="a26" w:history="1">
              <w:r w:rsidR="00541C0B" w:rsidRPr="00541C0B">
                <w:rPr>
                  <w:rStyle w:val="a5"/>
                  <w:rFonts w:hint="eastAsia"/>
                </w:rPr>
                <w:t>第26條</w:t>
              </w:r>
            </w:hyperlink>
            <w:r w:rsidR="00203F72" w:rsidRPr="00A53581">
              <w:rPr>
                <w:rFonts w:hint="eastAsia"/>
              </w:rPr>
              <w:t>第</w:t>
            </w:r>
            <w:r w:rsidR="00203F72" w:rsidRPr="00A53581">
              <w:rPr>
                <w:rFonts w:hint="eastAsia"/>
              </w:rPr>
              <w:t>4</w:t>
            </w:r>
            <w:r w:rsidR="00203F72" w:rsidRPr="00A53581">
              <w:rPr>
                <w:rFonts w:hint="eastAsia"/>
              </w:rPr>
              <w:t>項：「其餘</w:t>
            </w:r>
            <w:r w:rsidR="00203F72" w:rsidRPr="00A53581">
              <w:rPr>
                <w:rFonts w:hint="eastAsia"/>
              </w:rPr>
              <w:t>(</w:t>
            </w:r>
            <w:r w:rsidR="00203F72" w:rsidRPr="00A53581">
              <w:rPr>
                <w:rFonts w:hint="eastAsia"/>
              </w:rPr>
              <w:t>無罰則</w:t>
            </w:r>
            <w:r w:rsidR="00203F72" w:rsidRPr="00A53581">
              <w:rPr>
                <w:rFonts w:hint="eastAsia"/>
              </w:rPr>
              <w:t>)</w:t>
            </w:r>
            <w:r w:rsidR="00203F72" w:rsidRPr="00A53581">
              <w:rPr>
                <w:rFonts w:hint="eastAsia"/>
              </w:rPr>
              <w:t>除法律或縣規章另有規定外，直轄市法規發布後，應報中央各該主管機關轉行政院備查；│縣</w:t>
            </w:r>
            <w:r w:rsidR="00203F72" w:rsidRPr="00A53581">
              <w:rPr>
                <w:rFonts w:hint="eastAsia"/>
              </w:rPr>
              <w:t xml:space="preserve"> (</w:t>
            </w:r>
            <w:r w:rsidR="00203F72" w:rsidRPr="00A53581">
              <w:rPr>
                <w:rFonts w:hint="eastAsia"/>
              </w:rPr>
              <w:t>市</w:t>
            </w:r>
            <w:r w:rsidR="00203F72" w:rsidRPr="00A53581">
              <w:rPr>
                <w:rFonts w:hint="eastAsia"/>
              </w:rPr>
              <w:t xml:space="preserve">) </w:t>
            </w:r>
            <w:r w:rsidR="00203F72" w:rsidRPr="00A53581">
              <w:rPr>
                <w:rFonts w:hint="eastAsia"/>
              </w:rPr>
              <w:t>規章發布後，應報中央各該主管機關備查；鄉</w:t>
            </w:r>
            <w:r w:rsidR="00203F72" w:rsidRPr="00A53581">
              <w:rPr>
                <w:rFonts w:hint="eastAsia"/>
              </w:rPr>
              <w:t xml:space="preserve"> (</w:t>
            </w:r>
            <w:r w:rsidR="00203F72" w:rsidRPr="00A53581">
              <w:rPr>
                <w:rFonts w:hint="eastAsia"/>
              </w:rPr>
              <w:t>鎮、市</w:t>
            </w:r>
            <w:r w:rsidR="00203F72" w:rsidRPr="00A53581">
              <w:rPr>
                <w:rFonts w:hint="eastAsia"/>
              </w:rPr>
              <w:t>)</w:t>
            </w:r>
            <w:r w:rsidR="00203F72" w:rsidRPr="00A53581">
              <w:rPr>
                <w:rFonts w:hint="eastAsia"/>
              </w:rPr>
              <w:t>規│約發布後，應報縣政府備查。」</w:t>
            </w:r>
          </w:p>
          <w:p w14:paraId="350F79EF" w14:textId="77777777" w:rsidR="00953151" w:rsidRDefault="003443A8" w:rsidP="00D87D91">
            <w:r>
              <w:rPr>
                <w:rFonts w:hint="eastAsia"/>
              </w:rPr>
              <w:t xml:space="preserve">　　</w:t>
            </w:r>
            <w:r w:rsidR="00203F72" w:rsidRPr="00A53581">
              <w:rPr>
                <w:rFonts w:hint="eastAsia"/>
              </w:rPr>
              <w:t>有罰則：制定→核定→公布</w:t>
            </w:r>
          </w:p>
          <w:p w14:paraId="2DC58FEE" w14:textId="77777777" w:rsidR="00203F72" w:rsidRPr="00A53581" w:rsidRDefault="003443A8" w:rsidP="00D87D91">
            <w:r>
              <w:rPr>
                <w:rFonts w:hint="eastAsia"/>
              </w:rPr>
              <w:t xml:space="preserve">　　</w:t>
            </w:r>
            <w:r w:rsidR="00203F72" w:rsidRPr="00A53581">
              <w:rPr>
                <w:rFonts w:hint="eastAsia"/>
              </w:rPr>
              <w:t>地方制度</w:t>
            </w:r>
            <w:r w:rsidR="00541C0B" w:rsidRPr="00A53581">
              <w:rPr>
                <w:rFonts w:hint="eastAsia"/>
              </w:rPr>
              <w:t>法</w:t>
            </w:r>
            <w:hyperlink r:id="rId1175" w:anchor="a26" w:history="1">
              <w:r w:rsidR="00541C0B" w:rsidRPr="00541C0B">
                <w:rPr>
                  <w:rStyle w:val="a5"/>
                  <w:rFonts w:hint="eastAsia"/>
                </w:rPr>
                <w:t>第26條</w:t>
              </w:r>
            </w:hyperlink>
            <w:r w:rsidR="00203F72" w:rsidRPr="00A53581">
              <w:rPr>
                <w:rFonts w:hint="eastAsia"/>
              </w:rPr>
              <w:t>第</w:t>
            </w:r>
            <w:r w:rsidR="00203F72" w:rsidRPr="00A53581">
              <w:rPr>
                <w:rFonts w:hint="eastAsia"/>
              </w:rPr>
              <w:t>4</w:t>
            </w:r>
            <w:r w:rsidR="00203F72" w:rsidRPr="00A53581">
              <w:rPr>
                <w:rFonts w:hint="eastAsia"/>
              </w:rPr>
              <w:t>項：「自治條例經各該地方立法機關議決後，如規定有罰則時，應分別報經行政院、中央各該主管機關核定後發布。」</w:t>
            </w:r>
          </w:p>
        </w:tc>
      </w:tr>
      <w:tr w:rsidR="00203F72" w:rsidRPr="00A53581" w14:paraId="153D6D00" w14:textId="77777777" w:rsidTr="00203F72">
        <w:tc>
          <w:tcPr>
            <w:tcW w:w="709" w:type="dxa"/>
            <w:shd w:val="clear" w:color="auto" w:fill="auto"/>
            <w:vAlign w:val="center"/>
          </w:tcPr>
          <w:p w14:paraId="28F28E50" w14:textId="77777777" w:rsidR="00203F72" w:rsidRPr="00A53581" w:rsidRDefault="00203F72" w:rsidP="00D87D91">
            <w:r w:rsidRPr="00A53581">
              <w:rPr>
                <w:rFonts w:hint="eastAsia"/>
              </w:rPr>
              <w:t>自治規則</w:t>
            </w:r>
          </w:p>
        </w:tc>
        <w:tc>
          <w:tcPr>
            <w:tcW w:w="7371" w:type="dxa"/>
            <w:shd w:val="clear" w:color="auto" w:fill="auto"/>
          </w:tcPr>
          <w:p w14:paraId="7C4A5F56" w14:textId="77777777" w:rsidR="00953151" w:rsidRDefault="003443A8" w:rsidP="00D87D91">
            <w:r>
              <w:rPr>
                <w:rFonts w:hint="eastAsia"/>
              </w:rPr>
              <w:t xml:space="preserve">　　</w:t>
            </w:r>
            <w:r w:rsidR="00203F72" w:rsidRPr="00A53581">
              <w:rPr>
                <w:rFonts w:hint="eastAsia"/>
              </w:rPr>
              <w:t>訂定→發布</w:t>
            </w:r>
            <w:r w:rsidR="00203F72" w:rsidRPr="00A53581">
              <w:rPr>
                <w:rFonts w:hint="eastAsia"/>
              </w:rPr>
              <w:t xml:space="preserve"> (</w:t>
            </w:r>
            <w:r w:rsidR="00203F72" w:rsidRPr="00A53581">
              <w:rPr>
                <w:rFonts w:hint="eastAsia"/>
              </w:rPr>
              <w:t>下達</w:t>
            </w:r>
            <w:r w:rsidR="00203F72" w:rsidRPr="00A53581">
              <w:rPr>
                <w:rFonts w:hint="eastAsia"/>
              </w:rPr>
              <w:t xml:space="preserve">? </w:t>
            </w:r>
            <w:r w:rsidR="00203F72" w:rsidRPr="00A53581">
              <w:rPr>
                <w:rFonts w:hint="eastAsia"/>
              </w:rPr>
              <w:t>地方制度</w:t>
            </w:r>
            <w:r w:rsidRPr="00A53581">
              <w:rPr>
                <w:rFonts w:hint="eastAsia"/>
              </w:rPr>
              <w:t>法</w:t>
            </w:r>
            <w:hyperlink r:id="rId1176" w:anchor="a27" w:history="1">
              <w:r w:rsidRPr="006E0E2F">
                <w:rPr>
                  <w:rStyle w:val="a5"/>
                  <w:rFonts w:hint="eastAsia"/>
                </w:rPr>
                <w:t>第27條</w:t>
              </w:r>
            </w:hyperlink>
            <w:r w:rsidR="00203F72" w:rsidRPr="00A53581">
              <w:rPr>
                <w:rFonts w:hint="eastAsia"/>
              </w:rPr>
              <w:t>第</w:t>
            </w:r>
            <w:r w:rsidR="00203F72" w:rsidRPr="00A53581">
              <w:rPr>
                <w:rFonts w:hint="eastAsia"/>
              </w:rPr>
              <w:t>3</w:t>
            </w:r>
            <w:r w:rsidR="00203F72" w:rsidRPr="00A53581">
              <w:rPr>
                <w:rFonts w:hint="eastAsia"/>
              </w:rPr>
              <w:t>項並未使用此用語</w:t>
            </w:r>
            <w:r w:rsidR="00203F72" w:rsidRPr="00A53581">
              <w:rPr>
                <w:rFonts w:hint="eastAsia"/>
              </w:rPr>
              <w:t>)</w:t>
            </w:r>
            <w:r w:rsidR="00203F72" w:rsidRPr="00A53581">
              <w:rPr>
                <w:rFonts w:hint="eastAsia"/>
              </w:rPr>
              <w:t>→備查或查照</w:t>
            </w:r>
          </w:p>
          <w:p w14:paraId="4C3862FF" w14:textId="77777777" w:rsidR="00953151" w:rsidRDefault="003443A8" w:rsidP="00D87D91">
            <w:r>
              <w:rPr>
                <w:rFonts w:hint="eastAsia"/>
              </w:rPr>
              <w:t xml:space="preserve">　　</w:t>
            </w:r>
            <w:r w:rsidR="00203F72" w:rsidRPr="00A53581">
              <w:rPr>
                <w:rFonts w:hint="eastAsia"/>
              </w:rPr>
              <w:t>地方制度</w:t>
            </w:r>
            <w:r w:rsidRPr="00A53581">
              <w:rPr>
                <w:rFonts w:hint="eastAsia"/>
              </w:rPr>
              <w:t>法</w:t>
            </w:r>
            <w:hyperlink r:id="rId1177" w:anchor="a25" w:history="1">
              <w:r w:rsidRPr="006E0E2F">
                <w:rPr>
                  <w:rStyle w:val="a5"/>
                  <w:rFonts w:hint="eastAsia"/>
                </w:rPr>
                <w:t>第25條</w:t>
              </w:r>
            </w:hyperlink>
            <w:r w:rsidR="00203F72" w:rsidRPr="00A53581">
              <w:rPr>
                <w:rFonts w:hint="eastAsia"/>
              </w:rPr>
              <w:t>：「直轄市、縣</w:t>
            </w:r>
            <w:r w:rsidR="00203F72" w:rsidRPr="00A53581">
              <w:rPr>
                <w:rFonts w:hint="eastAsia"/>
              </w:rPr>
              <w:t xml:space="preserve"> (</w:t>
            </w:r>
            <w:r w:rsidR="00203F72" w:rsidRPr="00A53581">
              <w:rPr>
                <w:rFonts w:hint="eastAsia"/>
              </w:rPr>
              <w:t>市</w:t>
            </w:r>
            <w:r w:rsidR="00203F72" w:rsidRPr="00A53581">
              <w:rPr>
                <w:rFonts w:hint="eastAsia"/>
              </w:rPr>
              <w:t xml:space="preserve">) </w:t>
            </w:r>
            <w:r w:rsidR="00203F72" w:rsidRPr="00A53581">
              <w:rPr>
                <w:rFonts w:hint="eastAsia"/>
              </w:rPr>
              <w:t>、鄉</w:t>
            </w:r>
            <w:r w:rsidR="00203F72" w:rsidRPr="00A53581">
              <w:rPr>
                <w:rFonts w:hint="eastAsia"/>
              </w:rPr>
              <w:t xml:space="preserve"> (</w:t>
            </w:r>
            <w:r w:rsidR="00203F72" w:rsidRPr="00A53581">
              <w:rPr>
                <w:rFonts w:hint="eastAsia"/>
              </w:rPr>
              <w:t>鎮、市</w:t>
            </w:r>
            <w:r w:rsidR="00203F72" w:rsidRPr="00A53581">
              <w:rPr>
                <w:rFonts w:hint="eastAsia"/>
              </w:rPr>
              <w:t xml:space="preserve">) </w:t>
            </w:r>
            <w:r w:rsidR="00203F72" w:rsidRPr="00A53581">
              <w:rPr>
                <w:rFonts w:hint="eastAsia"/>
              </w:rPr>
              <w:t>得就其自治事項或依法律及上級法規之授權，制定自治法規。自治法規由地方行政機關訂定，並發布或下達者，稱自治規則。」</w:t>
            </w:r>
          </w:p>
          <w:p w14:paraId="2A3ABB1D" w14:textId="77777777" w:rsidR="00203F72" w:rsidRPr="00A53581" w:rsidRDefault="003443A8" w:rsidP="00D87D91">
            <w:r>
              <w:rPr>
                <w:rFonts w:hint="eastAsia"/>
              </w:rPr>
              <w:t xml:space="preserve">　　</w:t>
            </w:r>
            <w:r w:rsidR="00203F72" w:rsidRPr="00A53581">
              <w:rPr>
                <w:rFonts w:hint="eastAsia"/>
              </w:rPr>
              <w:t>地方制度</w:t>
            </w:r>
            <w:r w:rsidRPr="00A53581">
              <w:rPr>
                <w:rFonts w:hint="eastAsia"/>
              </w:rPr>
              <w:t>法</w:t>
            </w:r>
            <w:hyperlink r:id="rId1178" w:anchor="a27" w:history="1">
              <w:r w:rsidRPr="006E0E2F">
                <w:rPr>
                  <w:rStyle w:val="a5"/>
                  <w:rFonts w:hint="eastAsia"/>
                </w:rPr>
                <w:t>第27條</w:t>
              </w:r>
            </w:hyperlink>
            <w:r w:rsidR="00203F72" w:rsidRPr="00A53581">
              <w:rPr>
                <w:rFonts w:hint="eastAsia"/>
              </w:rPr>
              <w:t>第</w:t>
            </w:r>
            <w:r w:rsidR="00203F72" w:rsidRPr="00A53581">
              <w:rPr>
                <w:rFonts w:hint="eastAsia"/>
              </w:rPr>
              <w:t>3</w:t>
            </w:r>
            <w:r w:rsidR="00203F72" w:rsidRPr="00A53581">
              <w:rPr>
                <w:rFonts w:hint="eastAsia"/>
              </w:rPr>
              <w:t>項：「直轄市政府、縣（市）政府、鄉（鎮、市）公所訂定之自治規則，除法律或自治條例另有規定外，應於發布後依下列規定分別函報有關機關備查：</w:t>
            </w:r>
          </w:p>
          <w:p w14:paraId="2A28FF49" w14:textId="77777777" w:rsidR="00203F72" w:rsidRPr="00E1306F" w:rsidRDefault="00E1306F" w:rsidP="00D87D91">
            <w:r>
              <w:rPr>
                <w:rFonts w:hint="eastAsia"/>
              </w:rPr>
              <w:t xml:space="preserve">　　</w:t>
            </w:r>
            <w:r w:rsidRPr="006E0E2F">
              <w:t>一</w:t>
            </w:r>
            <w:r w:rsidR="009D621C" w:rsidRPr="006E0E2F">
              <w:t>、</w:t>
            </w:r>
            <w:r w:rsidR="00203F72" w:rsidRPr="00E1306F">
              <w:rPr>
                <w:rFonts w:hint="eastAsia"/>
              </w:rPr>
              <w:t>其屬法律授權訂定者，函報各該法律所訂定中央主管機關備查。</w:t>
            </w:r>
          </w:p>
          <w:p w14:paraId="01D64C65" w14:textId="77777777" w:rsidR="00203F72" w:rsidRPr="00E1306F" w:rsidRDefault="00E1306F" w:rsidP="00D87D91">
            <w:r>
              <w:rPr>
                <w:rFonts w:hint="eastAsia"/>
              </w:rPr>
              <w:t xml:space="preserve">　　</w:t>
            </w:r>
            <w:r w:rsidRPr="00B167C2">
              <w:t>二</w:t>
            </w:r>
            <w:r w:rsidRPr="006E0E2F">
              <w:t>、</w:t>
            </w:r>
            <w:r w:rsidR="00203F72" w:rsidRPr="00E1306F">
              <w:rPr>
                <w:rFonts w:hint="eastAsia"/>
              </w:rPr>
              <w:t>其屬依法定職權或自治條例授權訂定者，分別函送上級政府及各該地方立法機關備查或查照。」</w:t>
            </w:r>
          </w:p>
        </w:tc>
      </w:tr>
      <w:tr w:rsidR="00203F72" w:rsidRPr="00A53581" w14:paraId="0867A0A7" w14:textId="77777777" w:rsidTr="00203F72">
        <w:tc>
          <w:tcPr>
            <w:tcW w:w="709" w:type="dxa"/>
            <w:shd w:val="clear" w:color="auto" w:fill="auto"/>
            <w:vAlign w:val="center"/>
          </w:tcPr>
          <w:p w14:paraId="708B5637" w14:textId="77777777" w:rsidR="00203F72" w:rsidRPr="00A53581" w:rsidRDefault="00203F72" w:rsidP="00D87D91">
            <w:r w:rsidRPr="00A53581">
              <w:rPr>
                <w:rFonts w:hint="eastAsia"/>
              </w:rPr>
              <w:t>委辦規則</w:t>
            </w:r>
          </w:p>
        </w:tc>
        <w:tc>
          <w:tcPr>
            <w:tcW w:w="7371" w:type="dxa"/>
            <w:shd w:val="clear" w:color="auto" w:fill="auto"/>
          </w:tcPr>
          <w:p w14:paraId="2C777C2F" w14:textId="77777777" w:rsidR="00953151" w:rsidRDefault="003443A8" w:rsidP="00D87D91">
            <w:r>
              <w:rPr>
                <w:rFonts w:hint="eastAsia"/>
              </w:rPr>
              <w:t xml:space="preserve">　　</w:t>
            </w:r>
            <w:r w:rsidR="00203F72" w:rsidRPr="00A53581">
              <w:rPr>
                <w:rFonts w:hint="eastAsia"/>
              </w:rPr>
              <w:t>訂定→核定→發布</w:t>
            </w:r>
          </w:p>
          <w:p w14:paraId="7EE3E8D1" w14:textId="77777777" w:rsidR="00203F72" w:rsidRPr="00A53581" w:rsidRDefault="003443A8" w:rsidP="00D87D91">
            <w:r>
              <w:rPr>
                <w:rFonts w:hint="eastAsia"/>
              </w:rPr>
              <w:t xml:space="preserve">　　</w:t>
            </w:r>
            <w:r w:rsidR="00203F72" w:rsidRPr="00A53581">
              <w:rPr>
                <w:rFonts w:hint="eastAsia"/>
              </w:rPr>
              <w:t>地方制度法</w:t>
            </w:r>
            <w:hyperlink r:id="rId1179" w:anchor="a29" w:history="1">
              <w:r w:rsidR="00203F72" w:rsidRPr="006E0E2F">
                <w:rPr>
                  <w:rStyle w:val="a5"/>
                  <w:rFonts w:hint="eastAsia"/>
                </w:rPr>
                <w:t>第29條</w:t>
              </w:r>
            </w:hyperlink>
            <w:r w:rsidR="00203F72" w:rsidRPr="00A53581">
              <w:rPr>
                <w:rFonts w:hint="eastAsia"/>
              </w:rPr>
              <w:t>：「直轄市政府、縣</w:t>
            </w:r>
            <w:r w:rsidR="00203F72" w:rsidRPr="00A53581">
              <w:rPr>
                <w:rFonts w:hint="eastAsia"/>
              </w:rPr>
              <w:t xml:space="preserve"> (</w:t>
            </w:r>
            <w:r w:rsidR="00203F72" w:rsidRPr="00A53581">
              <w:rPr>
                <w:rFonts w:hint="eastAsia"/>
              </w:rPr>
              <w:t>市</w:t>
            </w:r>
            <w:r w:rsidR="00203F72" w:rsidRPr="00A53581">
              <w:rPr>
                <w:rFonts w:hint="eastAsia"/>
              </w:rPr>
              <w:t xml:space="preserve">) </w:t>
            </w:r>
            <w:r w:rsidR="00203F72" w:rsidRPr="00A53581">
              <w:rPr>
                <w:rFonts w:hint="eastAsia"/>
              </w:rPr>
              <w:t>政府、鄉</w:t>
            </w:r>
            <w:r w:rsidR="00203F72" w:rsidRPr="00A53581">
              <w:rPr>
                <w:rFonts w:hint="eastAsia"/>
              </w:rPr>
              <w:t xml:space="preserve"> (</w:t>
            </w:r>
            <w:r w:rsidR="00203F72" w:rsidRPr="00A53581">
              <w:rPr>
                <w:rFonts w:hint="eastAsia"/>
              </w:rPr>
              <w:t>鎮、市</w:t>
            </w:r>
            <w:r w:rsidR="00203F72" w:rsidRPr="00A53581">
              <w:rPr>
                <w:rFonts w:hint="eastAsia"/>
              </w:rPr>
              <w:t xml:space="preserve">) </w:t>
            </w:r>
            <w:r w:rsidR="00203F72" w:rsidRPr="00A53581">
              <w:rPr>
                <w:rFonts w:hint="eastAsia"/>
              </w:rPr>
              <w:t>公所為辦理上級機關委辦事項，得依其法定職權或基於法律、中央法規之授權，訂定委辦規則。委辦規則應函報委辦機關核定後發布之；其名稱準用自治規則之規定。」</w:t>
            </w:r>
          </w:p>
        </w:tc>
      </w:tr>
    </w:tbl>
    <w:p w14:paraId="0A8ACA90" w14:textId="77777777" w:rsidR="00203F72" w:rsidRPr="00A53581" w:rsidRDefault="002107CE" w:rsidP="00D87D91">
      <w:r>
        <w:rPr>
          <w:rFonts w:hint="eastAsia"/>
        </w:rPr>
        <w:t>【本表格資料來源】</w:t>
      </w:r>
    </w:p>
    <w:p w14:paraId="0989AA04" w14:textId="77777777" w:rsidR="00203F72" w:rsidRPr="00A53581" w:rsidRDefault="00800CD7" w:rsidP="00D87D91">
      <w:r>
        <w:rPr>
          <w:rFonts w:hint="eastAsia"/>
        </w:rPr>
        <w:t xml:space="preserve">　　</w:t>
      </w:r>
      <w:r w:rsidR="00203F72" w:rsidRPr="00A53581">
        <w:rPr>
          <w:rFonts w:hint="eastAsia"/>
        </w:rPr>
        <w:t>蔡宗珍</w:t>
      </w:r>
      <w:r w:rsidR="00203F72" w:rsidRPr="00A53581">
        <w:rPr>
          <w:rFonts w:hint="eastAsia"/>
        </w:rPr>
        <w:t>(2006)</w:t>
      </w:r>
      <w:r w:rsidR="00203F72" w:rsidRPr="00A53581">
        <w:rPr>
          <w:rFonts w:hint="eastAsia"/>
        </w:rPr>
        <w:t>，地方法規之形成與效力之研究，月旦法學雜誌第</w:t>
      </w:r>
      <w:r w:rsidR="00203F72" w:rsidRPr="00A53581">
        <w:rPr>
          <w:rFonts w:hint="eastAsia"/>
        </w:rPr>
        <w:t>133</w:t>
      </w:r>
      <w:r w:rsidR="00203F72" w:rsidRPr="00A53581">
        <w:rPr>
          <w:rFonts w:hint="eastAsia"/>
        </w:rPr>
        <w:t>期，第</w:t>
      </w:r>
      <w:r w:rsidR="00203F72" w:rsidRPr="00A53581">
        <w:rPr>
          <w:rFonts w:hint="eastAsia"/>
        </w:rPr>
        <w:t>147-150</w:t>
      </w:r>
      <w:r w:rsidR="00203F72" w:rsidRPr="00A53581">
        <w:rPr>
          <w:rFonts w:hint="eastAsia"/>
        </w:rPr>
        <w:t>頁。</w:t>
      </w:r>
    </w:p>
    <w:p w14:paraId="014C1BAC" w14:textId="77777777" w:rsidR="00953151" w:rsidRDefault="00800CD7" w:rsidP="00D87D91">
      <w:r>
        <w:rPr>
          <w:rFonts w:hint="eastAsia"/>
        </w:rPr>
        <w:t xml:space="preserve">　　</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7-23</w:t>
      </w:r>
      <w:r w:rsidR="00203F72" w:rsidRPr="00A53581">
        <w:rPr>
          <w:rFonts w:hint="eastAsia"/>
        </w:rPr>
        <w:t>頁。</w:t>
      </w:r>
    </w:p>
    <w:p w14:paraId="5FCE3C25" w14:textId="77777777" w:rsidR="00953151" w:rsidRDefault="00076467" w:rsidP="00767F37">
      <w:pPr>
        <w:pStyle w:val="2"/>
      </w:pPr>
      <w:hyperlink r:id="rId1180" w:anchor="a125" w:history="1">
        <w:r w:rsidR="005D5A46">
          <w:rPr>
            <w:rStyle w:val="a5"/>
            <w:rFonts w:ascii="Arial Unicode MS" w:hAnsi="Arial Unicode MS"/>
          </w:rPr>
          <w:t>第</w:t>
        </w:r>
        <w:r w:rsidR="00203F72" w:rsidRPr="00AB0A74">
          <w:rPr>
            <w:rStyle w:val="a5"/>
            <w:rFonts w:ascii="Arial Unicode MS" w:hAnsi="Arial Unicode MS"/>
          </w:rPr>
          <w:t>125</w:t>
        </w:r>
        <w:r w:rsidR="005D5A46">
          <w:rPr>
            <w:rStyle w:val="a5"/>
            <w:rFonts w:ascii="Arial Unicode MS" w:hAnsi="Arial Unicode MS"/>
          </w:rPr>
          <w:t>條</w:t>
        </w:r>
      </w:hyperlink>
      <w:r w:rsidR="00203F72" w:rsidRPr="00A53581">
        <w:t>縣單行規章，與國家法律或省法規牴觸者無效。</w:t>
      </w:r>
    </w:p>
    <w:p w14:paraId="05E64D29" w14:textId="77777777" w:rsidR="00953151" w:rsidRDefault="00B03E84" w:rsidP="00D87D91">
      <w:r>
        <w:t>【內容解析】</w:t>
      </w:r>
    </w:p>
    <w:p w14:paraId="6F2AC42E" w14:textId="77777777" w:rsidR="00953151" w:rsidRDefault="00800CD7" w:rsidP="00D87D91">
      <w:r w:rsidRPr="006E0E2F">
        <w:t xml:space="preserve">　　</w:t>
      </w:r>
      <w:r w:rsidR="00203F72" w:rsidRPr="006E0E2F">
        <w:t>司法院釋</w:t>
      </w:r>
      <w:r w:rsidR="00B167C2" w:rsidRPr="00B167C2">
        <w:t>字</w:t>
      </w:r>
      <w:hyperlink r:id="rId1181" w:anchor="r527" w:history="1">
        <w:r w:rsidR="00B167C2" w:rsidRPr="00B167C2">
          <w:rPr>
            <w:rStyle w:val="a5"/>
            <w:rFonts w:ascii="Times New Roman" w:hAnsi="Times New Roman"/>
          </w:rPr>
          <w:t>第</w:t>
        </w:r>
        <w:r w:rsidR="00B167C2" w:rsidRPr="00B167C2">
          <w:rPr>
            <w:rStyle w:val="a5"/>
            <w:rFonts w:ascii="Times New Roman" w:hAnsi="Times New Roman"/>
          </w:rPr>
          <w:t>527</w:t>
        </w:r>
        <w:r w:rsidR="00B167C2" w:rsidRPr="00B167C2">
          <w:rPr>
            <w:rStyle w:val="a5"/>
            <w:rFonts w:ascii="Times New Roman" w:hAnsi="Times New Roman"/>
          </w:rPr>
          <w:t>號</w:t>
        </w:r>
      </w:hyperlink>
      <w:r w:rsidR="00203F72" w:rsidRPr="006E0E2F">
        <w:t>解釋指出：「地方制度法</w:t>
      </w:r>
      <w:r w:rsidR="00D73718" w:rsidRPr="006E0E2F">
        <w:t>第</w:t>
      </w:r>
      <w:hyperlink r:id="rId1182" w:anchor="a43" w:history="1">
        <w:r w:rsidR="00D73718" w:rsidRPr="006E0E2F">
          <w:rPr>
            <w:rStyle w:val="a5"/>
          </w:rPr>
          <w:t>四十三</w:t>
        </w:r>
      </w:hyperlink>
      <w:r w:rsidR="00D73718" w:rsidRPr="006E0E2F">
        <w:t>條</w:t>
      </w:r>
      <w:r w:rsidR="00203F72" w:rsidRPr="006E0E2F">
        <w:t>第一項至第三項規定各級地方立法機關議決之自治事項，或依同法</w:t>
      </w:r>
      <w:r w:rsidR="00203F72" w:rsidRPr="006E0E2F">
        <w:t>(</w:t>
      </w:r>
      <w:r w:rsidR="00203F72" w:rsidRPr="006E0E2F">
        <w:t>地方制度法</w:t>
      </w:r>
      <w:r w:rsidR="00203F72" w:rsidRPr="006E0E2F">
        <w:t>)</w:t>
      </w:r>
      <w:r w:rsidR="00203F72" w:rsidRPr="006E0E2F">
        <w:t>第</w:t>
      </w:r>
      <w:hyperlink r:id="rId1183" w:anchor="a30" w:history="1">
        <w:r w:rsidR="00203F72" w:rsidRPr="006E0E2F">
          <w:rPr>
            <w:rStyle w:val="a5"/>
            <w:rFonts w:ascii="Times New Roman" w:hAnsi="Times New Roman"/>
          </w:rPr>
          <w:t>三十</w:t>
        </w:r>
      </w:hyperlink>
      <w:r w:rsidR="00203F72" w:rsidRPr="006E0E2F">
        <w:t>條第一項至第四項規定之自治法規，與憲法、法律、中央法規或上級自治團體自治法規牴觸者無效。」是以，縣單行規章，與國家法律或省法規牴觸者，均為無效規章。</w:t>
      </w:r>
    </w:p>
    <w:p w14:paraId="56B511F2" w14:textId="77777777" w:rsidR="00B167C2" w:rsidRPr="006E0E2F" w:rsidRDefault="00B167C2" w:rsidP="00D87D91"/>
    <w:p w14:paraId="7B7E46DA" w14:textId="086027F6" w:rsidR="00203F72" w:rsidRPr="006E0E2F" w:rsidRDefault="00B03E84" w:rsidP="00D87D91">
      <w:r w:rsidRPr="006E0E2F">
        <w:t>【</w:t>
      </w:r>
      <w:r w:rsidRPr="006E0E2F">
        <w:t>table</w:t>
      </w:r>
      <w:r w:rsidR="005E23E3" w:rsidRPr="006E0E2F">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71</w:t>
      </w:r>
      <w:r w:rsidR="00076467">
        <w:rPr>
          <w:noProof/>
        </w:rPr>
        <w:fldChar w:fldCharType="end"/>
      </w:r>
      <w:r w:rsidR="00203F72" w:rsidRPr="006E0E2F">
        <w:t>地方自治團體聲請釋憲之事由一覽表</w:t>
      </w:r>
    </w:p>
    <w:tbl>
      <w:tblPr>
        <w:tblW w:w="494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4"/>
        <w:gridCol w:w="2124"/>
        <w:gridCol w:w="2366"/>
        <w:gridCol w:w="2032"/>
      </w:tblGrid>
      <w:tr w:rsidR="00203F72" w:rsidRPr="00A53581" w14:paraId="122DEEF4" w14:textId="77777777" w:rsidTr="00B167C2">
        <w:trPr>
          <w:tblHeader/>
        </w:trPr>
        <w:tc>
          <w:tcPr>
            <w:tcW w:w="1116" w:type="pct"/>
            <w:shd w:val="clear" w:color="auto" w:fill="FAF0FA"/>
          </w:tcPr>
          <w:p w14:paraId="36712683" w14:textId="77777777" w:rsidR="00203F72" w:rsidRPr="00A53581" w:rsidRDefault="00203F72" w:rsidP="00D87D91">
            <w:r w:rsidRPr="00A53581">
              <w:t>聲請事由</w:t>
            </w:r>
          </w:p>
        </w:tc>
        <w:tc>
          <w:tcPr>
            <w:tcW w:w="1265" w:type="pct"/>
            <w:shd w:val="clear" w:color="auto" w:fill="FAF0FA"/>
          </w:tcPr>
          <w:p w14:paraId="2DDF393F" w14:textId="77777777" w:rsidR="00203F72" w:rsidRPr="00A53581" w:rsidRDefault="00203F72" w:rsidP="00D87D91">
            <w:r w:rsidRPr="00A53581">
              <w:t>聲請主體</w:t>
            </w:r>
          </w:p>
        </w:tc>
        <w:tc>
          <w:tcPr>
            <w:tcW w:w="1409" w:type="pct"/>
            <w:shd w:val="clear" w:color="auto" w:fill="FAF0FA"/>
          </w:tcPr>
          <w:p w14:paraId="67A3EE91" w14:textId="77777777" w:rsidR="00203F72" w:rsidRPr="00A53581" w:rsidRDefault="00203F72" w:rsidP="00D87D91">
            <w:r w:rsidRPr="00A53581">
              <w:t>條件</w:t>
            </w:r>
          </w:p>
        </w:tc>
        <w:tc>
          <w:tcPr>
            <w:tcW w:w="1210" w:type="pct"/>
            <w:shd w:val="clear" w:color="auto" w:fill="FAF0FA"/>
          </w:tcPr>
          <w:p w14:paraId="170411DC" w14:textId="77777777" w:rsidR="00203F72" w:rsidRPr="00A53581" w:rsidRDefault="00203F72" w:rsidP="00D87D91">
            <w:r w:rsidRPr="00A53581">
              <w:t>依據</w:t>
            </w:r>
          </w:p>
        </w:tc>
      </w:tr>
      <w:tr w:rsidR="00203F72" w:rsidRPr="00A53581" w14:paraId="7848DE45" w14:textId="77777777" w:rsidTr="00B167C2">
        <w:tc>
          <w:tcPr>
            <w:tcW w:w="1116" w:type="pct"/>
            <w:shd w:val="clear" w:color="auto" w:fill="auto"/>
          </w:tcPr>
          <w:p w14:paraId="0734CBCE" w14:textId="77777777" w:rsidR="00203F72" w:rsidRPr="00A53581" w:rsidRDefault="00203F72" w:rsidP="00D87D91">
            <w:r w:rsidRPr="00A53581">
              <w:t>自治法規有無牴觸位階規範發生疑義</w:t>
            </w:r>
          </w:p>
        </w:tc>
        <w:tc>
          <w:tcPr>
            <w:tcW w:w="1265" w:type="pct"/>
            <w:shd w:val="clear" w:color="auto" w:fill="auto"/>
          </w:tcPr>
          <w:p w14:paraId="0F7B440D" w14:textId="77777777" w:rsidR="00203F72" w:rsidRPr="00A53581" w:rsidRDefault="00203F72" w:rsidP="00D87D91">
            <w:r w:rsidRPr="00A53581">
              <w:t>就相關業務有監督自治團體權限之各級主管機關</w:t>
            </w:r>
          </w:p>
        </w:tc>
        <w:tc>
          <w:tcPr>
            <w:tcW w:w="1409" w:type="pct"/>
            <w:shd w:val="clear" w:color="auto" w:fill="auto"/>
          </w:tcPr>
          <w:p w14:paraId="06EE72A1" w14:textId="77777777" w:rsidR="00203F72" w:rsidRPr="00A53581" w:rsidRDefault="00203F72" w:rsidP="00D87D91">
            <w:pPr>
              <w:rPr>
                <w:rFonts w:ascii="新細明體" w:hAnsi="新細明體"/>
              </w:rPr>
            </w:pPr>
            <w:r w:rsidRPr="00A53581">
              <w:rPr>
                <w:rFonts w:ascii="新細明體" w:hAnsi="新細明體"/>
              </w:rPr>
              <w:t>尚未依據地制</w:t>
            </w:r>
            <w:r w:rsidR="003443A8" w:rsidRPr="00DE63F7">
              <w:t>法</w:t>
            </w:r>
            <w:hyperlink r:id="rId1184" w:anchor="a30" w:history="1">
              <w:r w:rsidR="003443A8" w:rsidRPr="00DE63F7">
                <w:rPr>
                  <w:rStyle w:val="a5"/>
                </w:rPr>
                <w:t>第30條</w:t>
              </w:r>
            </w:hyperlink>
            <w:r w:rsidRPr="00A53581">
              <w:rPr>
                <w:rFonts w:ascii="新細明體" w:hAnsi="新細明體"/>
              </w:rPr>
              <w:t>第4項規定函告無效</w:t>
            </w:r>
          </w:p>
        </w:tc>
        <w:tc>
          <w:tcPr>
            <w:tcW w:w="1210" w:type="pct"/>
            <w:shd w:val="clear" w:color="auto" w:fill="auto"/>
          </w:tcPr>
          <w:p w14:paraId="04B03E0B" w14:textId="77777777" w:rsidR="00203F72" w:rsidRPr="00A53581" w:rsidRDefault="00203F72" w:rsidP="00D87D91">
            <w:pPr>
              <w:rPr>
                <w:rFonts w:ascii="新細明體" w:hAnsi="新細明體"/>
              </w:rPr>
            </w:pPr>
            <w:r w:rsidRPr="00A53581">
              <w:rPr>
                <w:rFonts w:ascii="新細明體" w:hAnsi="新細明體"/>
              </w:rPr>
              <w:t>地制</w:t>
            </w:r>
            <w:r w:rsidR="003443A8" w:rsidRPr="00DE63F7">
              <w:t>法</w:t>
            </w:r>
            <w:hyperlink r:id="rId1185" w:anchor="a30" w:history="1">
              <w:r w:rsidR="003443A8" w:rsidRPr="00DE63F7">
                <w:rPr>
                  <w:rStyle w:val="a5"/>
                </w:rPr>
                <w:t>第30條</w:t>
              </w:r>
            </w:hyperlink>
            <w:r w:rsidRPr="00A53581">
              <w:rPr>
                <w:rFonts w:ascii="新細明體" w:hAnsi="新細明體"/>
              </w:rPr>
              <w:t>第5項</w:t>
            </w:r>
          </w:p>
        </w:tc>
      </w:tr>
      <w:tr w:rsidR="00203F72" w:rsidRPr="00A53581" w14:paraId="5A6225ED" w14:textId="77777777" w:rsidTr="00B167C2">
        <w:tc>
          <w:tcPr>
            <w:tcW w:w="1116" w:type="pct"/>
            <w:vMerge w:val="restart"/>
            <w:shd w:val="clear" w:color="auto" w:fill="auto"/>
          </w:tcPr>
          <w:p w14:paraId="1E83F8B3" w14:textId="77777777" w:rsidR="00203F72" w:rsidRPr="00A53581" w:rsidRDefault="00203F72" w:rsidP="00D87D91">
            <w:r w:rsidRPr="00A53581">
              <w:t>自治法規有無牴觸位階規範發生疑義</w:t>
            </w:r>
          </w:p>
        </w:tc>
        <w:tc>
          <w:tcPr>
            <w:tcW w:w="1265" w:type="pct"/>
            <w:shd w:val="clear" w:color="auto" w:fill="auto"/>
          </w:tcPr>
          <w:p w14:paraId="47E8B9C7" w14:textId="77777777" w:rsidR="00203F72" w:rsidRPr="00A53581" w:rsidRDefault="00203F72" w:rsidP="00D87D91">
            <w:r w:rsidRPr="00A53581">
              <w:t>地方自治團體之立法機關對函告無效之內容持不同意見</w:t>
            </w:r>
          </w:p>
        </w:tc>
        <w:tc>
          <w:tcPr>
            <w:tcW w:w="1409" w:type="pct"/>
            <w:shd w:val="clear" w:color="auto" w:fill="auto"/>
          </w:tcPr>
          <w:p w14:paraId="462BDD76" w14:textId="77777777" w:rsidR="00203F72" w:rsidRPr="00A53581" w:rsidRDefault="00203F72" w:rsidP="00D87D91">
            <w:r w:rsidRPr="00A53581">
              <w:t>監督機關已函告自治條例無效</w:t>
            </w:r>
          </w:p>
        </w:tc>
        <w:tc>
          <w:tcPr>
            <w:tcW w:w="1210" w:type="pct"/>
            <w:vMerge w:val="restart"/>
            <w:shd w:val="clear" w:color="auto" w:fill="auto"/>
          </w:tcPr>
          <w:p w14:paraId="1BDBCD5D" w14:textId="77777777" w:rsidR="00203F72" w:rsidRPr="00A53581" w:rsidRDefault="00203F72" w:rsidP="00D87D91">
            <w:pPr>
              <w:rPr>
                <w:rFonts w:ascii="新細明體" w:hAnsi="新細明體"/>
              </w:rPr>
            </w:pPr>
            <w:r w:rsidRPr="00A53581">
              <w:rPr>
                <w:rFonts w:ascii="新細明體" w:hAnsi="新細明體"/>
              </w:rPr>
              <w:t>司法院大法官審理案件法</w:t>
            </w:r>
            <w:hyperlink r:id="rId1186" w:anchor="a8" w:history="1">
              <w:r w:rsidR="001F6A1B" w:rsidRPr="009D621C">
                <w:rPr>
                  <w:rStyle w:val="a5"/>
                </w:rPr>
                <w:t>第8條</w:t>
              </w:r>
            </w:hyperlink>
            <w:r w:rsidRPr="00A53581">
              <w:rPr>
                <w:rFonts w:ascii="新細明體" w:hAnsi="新細明體"/>
              </w:rPr>
              <w:t>第1項、第2項</w:t>
            </w:r>
          </w:p>
        </w:tc>
      </w:tr>
      <w:tr w:rsidR="00203F72" w:rsidRPr="00A53581" w14:paraId="4E758242" w14:textId="77777777" w:rsidTr="00B167C2">
        <w:tc>
          <w:tcPr>
            <w:tcW w:w="1116" w:type="pct"/>
            <w:vMerge/>
            <w:shd w:val="clear" w:color="auto" w:fill="auto"/>
          </w:tcPr>
          <w:p w14:paraId="0255D755" w14:textId="77777777" w:rsidR="00203F72" w:rsidRPr="00A53581" w:rsidRDefault="00203F72" w:rsidP="00D87D91"/>
        </w:tc>
        <w:tc>
          <w:tcPr>
            <w:tcW w:w="1265" w:type="pct"/>
            <w:shd w:val="clear" w:color="auto" w:fill="auto"/>
          </w:tcPr>
          <w:p w14:paraId="32329060" w14:textId="77777777" w:rsidR="00203F72" w:rsidRPr="00A53581" w:rsidRDefault="00203F72" w:rsidP="00D87D91">
            <w:r w:rsidRPr="00A53581">
              <w:t>地方自治團體之行政機關對函告無效之內容持不同意見</w:t>
            </w:r>
          </w:p>
        </w:tc>
        <w:tc>
          <w:tcPr>
            <w:tcW w:w="1409" w:type="pct"/>
            <w:shd w:val="clear" w:color="auto" w:fill="auto"/>
          </w:tcPr>
          <w:p w14:paraId="58D98B11" w14:textId="77777777" w:rsidR="00203F72" w:rsidRPr="00A53581" w:rsidRDefault="00203F72" w:rsidP="00D87D91">
            <w:r w:rsidRPr="00A53581">
              <w:t>監督機關已函告自治規則無效</w:t>
            </w:r>
          </w:p>
        </w:tc>
        <w:tc>
          <w:tcPr>
            <w:tcW w:w="1210" w:type="pct"/>
            <w:vMerge/>
            <w:shd w:val="clear" w:color="auto" w:fill="auto"/>
          </w:tcPr>
          <w:p w14:paraId="2CB8F401" w14:textId="77777777" w:rsidR="00203F72" w:rsidRPr="00A53581" w:rsidRDefault="00203F72" w:rsidP="00D87D91"/>
        </w:tc>
      </w:tr>
      <w:tr w:rsidR="00203F72" w:rsidRPr="00A53581" w14:paraId="173EC488" w14:textId="77777777" w:rsidTr="00B167C2">
        <w:tc>
          <w:tcPr>
            <w:tcW w:w="1116" w:type="pct"/>
            <w:shd w:val="clear" w:color="auto" w:fill="auto"/>
          </w:tcPr>
          <w:p w14:paraId="0D130B27" w14:textId="77777777" w:rsidR="00203F72" w:rsidRPr="00A53581" w:rsidRDefault="00203F72" w:rsidP="00D87D91">
            <w:r w:rsidRPr="00A53581">
              <w:t>地方自治團體辦理自治事項違背法令之疑義</w:t>
            </w:r>
          </w:p>
        </w:tc>
        <w:tc>
          <w:tcPr>
            <w:tcW w:w="1265" w:type="pct"/>
            <w:shd w:val="clear" w:color="auto" w:fill="auto"/>
          </w:tcPr>
          <w:p w14:paraId="2E9F7D3C" w14:textId="77777777" w:rsidR="00203F72" w:rsidRPr="00A53581" w:rsidRDefault="00203F72" w:rsidP="00D87D91">
            <w:r w:rsidRPr="00A53581">
              <w:t>有監督地方自治團體權限之各級主管機關</w:t>
            </w:r>
          </w:p>
        </w:tc>
        <w:tc>
          <w:tcPr>
            <w:tcW w:w="1409" w:type="pct"/>
            <w:shd w:val="clear" w:color="auto" w:fill="auto"/>
          </w:tcPr>
          <w:p w14:paraId="379424C3" w14:textId="77777777" w:rsidR="00203F72" w:rsidRPr="00A53581" w:rsidRDefault="00203F72" w:rsidP="00D87D91">
            <w:r w:rsidRPr="00A53581">
              <w:t>未依地制法</w:t>
            </w:r>
            <w:hyperlink r:id="rId1187" w:anchor="a75" w:history="1">
              <w:r w:rsidRPr="003443A8">
                <w:rPr>
                  <w:rStyle w:val="a5"/>
                  <w:rFonts w:eastAsia="新細明體"/>
                </w:rPr>
                <w:t>第75條</w:t>
              </w:r>
            </w:hyperlink>
            <w:r w:rsidRPr="00A53581">
              <w:t>各該項定予以撤銷、變更、廢止或停止其執行者</w:t>
            </w:r>
          </w:p>
        </w:tc>
        <w:tc>
          <w:tcPr>
            <w:tcW w:w="1210" w:type="pct"/>
            <w:shd w:val="clear" w:color="auto" w:fill="auto"/>
          </w:tcPr>
          <w:p w14:paraId="49532EFF" w14:textId="77777777" w:rsidR="00203F72" w:rsidRPr="00A53581" w:rsidRDefault="00203F72" w:rsidP="00D87D91">
            <w:r w:rsidRPr="00A53581">
              <w:t>地制</w:t>
            </w:r>
            <w:r w:rsidR="003443A8" w:rsidRPr="00A53581">
              <w:t>法</w:t>
            </w:r>
            <w:hyperlink r:id="rId1188" w:anchor="a75" w:history="1">
              <w:r w:rsidR="003443A8" w:rsidRPr="003443A8">
                <w:rPr>
                  <w:rStyle w:val="a5"/>
                  <w:rFonts w:eastAsia="新細明體"/>
                </w:rPr>
                <w:t>第75條</w:t>
              </w:r>
            </w:hyperlink>
            <w:r w:rsidRPr="00A53581">
              <w:t>第</w:t>
            </w:r>
            <w:r w:rsidRPr="00A53581">
              <w:t>8</w:t>
            </w:r>
            <w:r w:rsidRPr="00A53581">
              <w:t>項</w:t>
            </w:r>
          </w:p>
        </w:tc>
      </w:tr>
      <w:tr w:rsidR="00203F72" w:rsidRPr="00A53581" w14:paraId="02C48063" w14:textId="77777777" w:rsidTr="00B167C2">
        <w:tc>
          <w:tcPr>
            <w:tcW w:w="1116" w:type="pct"/>
            <w:shd w:val="clear" w:color="auto" w:fill="auto"/>
          </w:tcPr>
          <w:p w14:paraId="5E064B5A" w14:textId="77777777" w:rsidR="00203F72" w:rsidRPr="00A53581" w:rsidRDefault="00203F72" w:rsidP="00D87D91">
            <w:r w:rsidRPr="00A53581">
              <w:t>地方自治團體辦理自治事項違背法令之疑義；已涉及辦理自治事項所依據之自治法規因違反上位規範而生之效力問題</w:t>
            </w:r>
          </w:p>
        </w:tc>
        <w:tc>
          <w:tcPr>
            <w:tcW w:w="1265" w:type="pct"/>
            <w:shd w:val="clear" w:color="auto" w:fill="auto"/>
          </w:tcPr>
          <w:p w14:paraId="3285B382" w14:textId="77777777" w:rsidR="00203F72" w:rsidRPr="00A53581" w:rsidRDefault="00203F72" w:rsidP="00D87D91">
            <w:r w:rsidRPr="00A53581">
              <w:t>地方自治團體之行政機關</w:t>
            </w:r>
          </w:p>
        </w:tc>
        <w:tc>
          <w:tcPr>
            <w:tcW w:w="1409" w:type="pct"/>
            <w:shd w:val="clear" w:color="auto" w:fill="auto"/>
          </w:tcPr>
          <w:p w14:paraId="4E4446B6" w14:textId="77777777" w:rsidR="00203F72" w:rsidRPr="00A53581" w:rsidRDefault="00203F72" w:rsidP="00D87D91">
            <w:r w:rsidRPr="00A53581">
              <w:t>已被撤銷、變更、廢止或停止其執行，且該自治法規未經上級主管機關函告無效，無從依同</w:t>
            </w:r>
            <w:r w:rsidR="003443A8" w:rsidRPr="00DE63F7">
              <w:t>法</w:t>
            </w:r>
            <w:hyperlink r:id="rId1189" w:anchor="a30" w:history="1">
              <w:r w:rsidR="003443A8" w:rsidRPr="00DE63F7">
                <w:rPr>
                  <w:rStyle w:val="a5"/>
                </w:rPr>
                <w:t>第30條</w:t>
              </w:r>
            </w:hyperlink>
            <w:r w:rsidRPr="00A53581">
              <w:t>第</w:t>
            </w:r>
            <w:r w:rsidRPr="00A53581">
              <w:t>5</w:t>
            </w:r>
            <w:r w:rsidRPr="00A53581">
              <w:t>項聲請解釋</w:t>
            </w:r>
          </w:p>
        </w:tc>
        <w:tc>
          <w:tcPr>
            <w:tcW w:w="1210" w:type="pct"/>
            <w:shd w:val="clear" w:color="auto" w:fill="auto"/>
          </w:tcPr>
          <w:p w14:paraId="2C598EB5" w14:textId="77777777" w:rsidR="00203F72" w:rsidRPr="00A53581" w:rsidRDefault="00203F72" w:rsidP="00D87D91">
            <w:r w:rsidRPr="00A53581">
              <w:t>地制</w:t>
            </w:r>
            <w:r w:rsidR="003443A8" w:rsidRPr="00A53581">
              <w:t>法</w:t>
            </w:r>
            <w:hyperlink r:id="rId1190" w:anchor="a75" w:history="1">
              <w:r w:rsidR="003443A8" w:rsidRPr="003443A8">
                <w:rPr>
                  <w:rStyle w:val="a5"/>
                  <w:rFonts w:eastAsia="新細明體"/>
                </w:rPr>
                <w:t>第75條</w:t>
              </w:r>
            </w:hyperlink>
            <w:r w:rsidRPr="00A53581">
              <w:t>第</w:t>
            </w:r>
            <w:r w:rsidRPr="00A53581">
              <w:t>8</w:t>
            </w:r>
            <w:r w:rsidRPr="00A53581">
              <w:t>項</w:t>
            </w:r>
          </w:p>
        </w:tc>
      </w:tr>
    </w:tbl>
    <w:p w14:paraId="477E0625" w14:textId="77777777" w:rsidR="00203F72" w:rsidRPr="00B167C2" w:rsidRDefault="002107CE" w:rsidP="00D87D91">
      <w:r w:rsidRPr="00B167C2">
        <w:t>【本表格資料來源】</w:t>
      </w:r>
      <w:r w:rsidR="00203F72" w:rsidRPr="00B167C2">
        <w:t>程明修</w:t>
      </w:r>
      <w:r w:rsidR="00203F72" w:rsidRPr="00B167C2">
        <w:t>(2009)</w:t>
      </w:r>
      <w:r w:rsidR="00203F72" w:rsidRPr="00B167C2">
        <w:t>，論地方自治團體法規被函告無效之法律救濟爭議，憲政時代第</w:t>
      </w:r>
      <w:r w:rsidR="00203F72" w:rsidRPr="00B167C2">
        <w:t>34</w:t>
      </w:r>
      <w:r w:rsidR="00203F72" w:rsidRPr="00B167C2">
        <w:t>卷</w:t>
      </w:r>
      <w:r w:rsidR="00203F72" w:rsidRPr="00B167C2">
        <w:t>4</w:t>
      </w:r>
      <w:r w:rsidR="00203F72" w:rsidRPr="00B167C2">
        <w:t>期，頁</w:t>
      </w:r>
      <w:r w:rsidR="00203F72" w:rsidRPr="00B167C2">
        <w:t>387</w:t>
      </w:r>
      <w:r w:rsidR="00203F72" w:rsidRPr="00B167C2">
        <w:t>。宣政大</w:t>
      </w:r>
      <w:r w:rsidR="00203F72" w:rsidRPr="00B167C2">
        <w:t>(2011)</w:t>
      </w:r>
      <w:r w:rsidR="00203F72" w:rsidRPr="00B167C2">
        <w:t>，憲法精要，第</w:t>
      </w:r>
      <w:r w:rsidR="00203F72" w:rsidRPr="00B167C2">
        <w:t>2</w:t>
      </w:r>
      <w:r w:rsidR="00203F72" w:rsidRPr="00B167C2">
        <w:t>版，台北市：來勝文化公司，第</w:t>
      </w:r>
      <w:r w:rsidR="00203F72" w:rsidRPr="00B167C2">
        <w:t>1-101</w:t>
      </w:r>
      <w:r w:rsidR="00203F72" w:rsidRPr="00B167C2">
        <w:t>頁，第</w:t>
      </w:r>
      <w:r w:rsidR="00203F72" w:rsidRPr="00B167C2">
        <w:t>1-102</w:t>
      </w:r>
      <w:r w:rsidR="00203F72" w:rsidRPr="00B167C2">
        <w:t>頁。</w:t>
      </w:r>
    </w:p>
    <w:p w14:paraId="48BE8B6A" w14:textId="77777777" w:rsidR="00953151" w:rsidRPr="00B167C2" w:rsidRDefault="007F7377" w:rsidP="00D87D91">
      <w:r w:rsidRPr="00B167C2">
        <w:t>【備註】</w:t>
      </w:r>
      <w:r w:rsidR="00203F72" w:rsidRPr="00B167C2">
        <w:t>地制法，乃指</w:t>
      </w:r>
      <w:hyperlink r:id="rId1191" w:history="1">
        <w:r w:rsidR="006E0E2F" w:rsidRPr="00B167C2">
          <w:rPr>
            <w:rStyle w:val="a5"/>
          </w:rPr>
          <w:t>地方制度法</w:t>
        </w:r>
      </w:hyperlink>
      <w:r w:rsidR="00203F72" w:rsidRPr="00B167C2">
        <w:t>。</w:t>
      </w:r>
    </w:p>
    <w:p w14:paraId="50F74769" w14:textId="77777777" w:rsidR="00953151" w:rsidRDefault="00076467" w:rsidP="00767F37">
      <w:pPr>
        <w:pStyle w:val="2"/>
      </w:pPr>
      <w:hyperlink r:id="rId1192" w:anchor="a126" w:history="1">
        <w:r w:rsidR="005D5A46">
          <w:rPr>
            <w:rStyle w:val="a5"/>
            <w:rFonts w:ascii="Arial Unicode MS" w:hAnsi="Arial Unicode MS"/>
          </w:rPr>
          <w:t>第</w:t>
        </w:r>
        <w:r w:rsidR="00203F72" w:rsidRPr="00AB0A74">
          <w:rPr>
            <w:rStyle w:val="a5"/>
            <w:rFonts w:ascii="Arial Unicode MS" w:hAnsi="Arial Unicode MS"/>
          </w:rPr>
          <w:t>126</w:t>
        </w:r>
        <w:r w:rsidR="005D5A46">
          <w:rPr>
            <w:rStyle w:val="a5"/>
            <w:rFonts w:ascii="Arial Unicode MS" w:hAnsi="Arial Unicode MS"/>
          </w:rPr>
          <w:t>條</w:t>
        </w:r>
      </w:hyperlink>
      <w:r w:rsidR="00203F72" w:rsidRPr="00A53581">
        <w:t>縣設縣政府，置縣長一人。縣長由縣民選舉之。</w:t>
      </w:r>
    </w:p>
    <w:p w14:paraId="397B622F" w14:textId="77777777" w:rsidR="00953151" w:rsidRPr="00B167C2" w:rsidRDefault="00B03E84" w:rsidP="00D87D91">
      <w:r w:rsidRPr="00B167C2">
        <w:t>【內容解析】</w:t>
      </w:r>
    </w:p>
    <w:p w14:paraId="4D727326" w14:textId="77777777" w:rsidR="00953151" w:rsidRPr="00B167C2" w:rsidRDefault="00800CD7" w:rsidP="00D87D91">
      <w:r w:rsidRPr="00B167C2">
        <w:t xml:space="preserve">　　</w:t>
      </w:r>
      <w:r w:rsidR="00203F72" w:rsidRPr="00B167C2">
        <w:t>縣自治需有一定之預算、人員、分工、整合，因此設有縣政府，綜理全縣之公共事務。置縣長一人，即由縣長負責綜理全縣之公共事務，包括和中央政府與鄉鎮市區公所之協調整合。由於縣採自治，因此縣長由縣民直接選舉，並無疑義。</w:t>
      </w:r>
    </w:p>
    <w:p w14:paraId="3AB85CFC" w14:textId="77777777" w:rsidR="00953151" w:rsidRDefault="00076467" w:rsidP="00767F37">
      <w:pPr>
        <w:pStyle w:val="2"/>
      </w:pPr>
      <w:hyperlink r:id="rId1193" w:anchor="a127" w:history="1">
        <w:r w:rsidR="005D5A46">
          <w:rPr>
            <w:rStyle w:val="a5"/>
            <w:rFonts w:ascii="Arial Unicode MS" w:hAnsi="Arial Unicode MS"/>
          </w:rPr>
          <w:t>第</w:t>
        </w:r>
        <w:r w:rsidR="00203F72" w:rsidRPr="00AB0A74">
          <w:rPr>
            <w:rStyle w:val="a5"/>
            <w:rFonts w:ascii="Arial Unicode MS" w:hAnsi="Arial Unicode MS"/>
          </w:rPr>
          <w:t>127</w:t>
        </w:r>
        <w:r w:rsidR="005D5A46">
          <w:rPr>
            <w:rStyle w:val="a5"/>
            <w:rFonts w:ascii="Arial Unicode MS" w:hAnsi="Arial Unicode MS"/>
          </w:rPr>
          <w:t>條</w:t>
        </w:r>
      </w:hyperlink>
      <w:r w:rsidR="00203F72" w:rsidRPr="00A53581">
        <w:t>縣長辦理縣自治，並執行中央及省委辦事項。</w:t>
      </w:r>
    </w:p>
    <w:p w14:paraId="4DD403C4" w14:textId="77777777" w:rsidR="00953151" w:rsidRPr="00B167C2" w:rsidRDefault="00B03E84" w:rsidP="00D87D91">
      <w:r w:rsidRPr="00B167C2">
        <w:t>【內容解析】</w:t>
      </w:r>
    </w:p>
    <w:p w14:paraId="59A15656" w14:textId="77777777" w:rsidR="00953151" w:rsidRPr="00B167C2" w:rsidRDefault="00800CD7" w:rsidP="00D87D91">
      <w:r w:rsidRPr="00B167C2">
        <w:t xml:space="preserve">　　</w:t>
      </w:r>
      <w:r w:rsidR="00203F72" w:rsidRPr="00B167C2">
        <w:t>縣長辦理縣自治，在憲法本條文之授權下，對於縣自治之範疇，享有其自治權力；但因政府係一整體，因此也須執行中央及省委辦之事項。</w:t>
      </w:r>
    </w:p>
    <w:p w14:paraId="1D79FCCF" w14:textId="77777777" w:rsidR="00953151" w:rsidRDefault="00076467" w:rsidP="00767F37">
      <w:pPr>
        <w:pStyle w:val="2"/>
      </w:pPr>
      <w:hyperlink r:id="rId1194" w:anchor="a128" w:history="1">
        <w:r w:rsidR="005D5A46">
          <w:rPr>
            <w:rStyle w:val="a5"/>
            <w:rFonts w:ascii="Arial Unicode MS" w:hAnsi="Arial Unicode MS"/>
          </w:rPr>
          <w:t>第</w:t>
        </w:r>
        <w:r w:rsidR="00203F72" w:rsidRPr="00AB0A74">
          <w:rPr>
            <w:rStyle w:val="a5"/>
            <w:rFonts w:ascii="Arial Unicode MS" w:hAnsi="Arial Unicode MS"/>
          </w:rPr>
          <w:t>128</w:t>
        </w:r>
        <w:r w:rsidR="005D5A46">
          <w:rPr>
            <w:rStyle w:val="a5"/>
            <w:rFonts w:ascii="Arial Unicode MS" w:hAnsi="Arial Unicode MS"/>
          </w:rPr>
          <w:t>條</w:t>
        </w:r>
      </w:hyperlink>
      <w:r w:rsidR="00203F72" w:rsidRPr="00A53581">
        <w:t>市準用縣之規定。</w:t>
      </w:r>
    </w:p>
    <w:p w14:paraId="6BE44353" w14:textId="77777777" w:rsidR="00953151" w:rsidRPr="00B167C2" w:rsidRDefault="00B03E84" w:rsidP="00D87D91">
      <w:r w:rsidRPr="00B167C2">
        <w:t>【內容解析】</w:t>
      </w:r>
    </w:p>
    <w:p w14:paraId="2EF7B4D9" w14:textId="77777777" w:rsidR="00953151" w:rsidRPr="00B167C2" w:rsidRDefault="00800CD7" w:rsidP="00D87D91">
      <w:r w:rsidRPr="00B167C2">
        <w:t xml:space="preserve">　　</w:t>
      </w:r>
      <w:r w:rsidR="00203F72" w:rsidRPr="00B167C2">
        <w:t>依地方自治法人口聚居達五十萬人以上未滿一百二十五萬人，且在政治、經濟及文化上地位重要之地區，得設市之規定，得用縣之規定。</w:t>
      </w:r>
    </w:p>
    <w:p w14:paraId="6FE1BFAC" w14:textId="77777777" w:rsidR="00545D58" w:rsidRDefault="00545D58" w:rsidP="006F42DC">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42831754" w14:textId="77777777" w:rsidR="00545D58" w:rsidRDefault="00545D58" w:rsidP="00203F72">
      <w:pPr>
        <w:pStyle w:val="Default"/>
        <w:spacing w:line="0" w:lineRule="atLeast"/>
        <w:ind w:firstLineChars="150" w:firstLine="330"/>
        <w:jc w:val="both"/>
        <w:rPr>
          <w:rFonts w:ascii="新細明體" w:hAnsi="新細明體"/>
          <w:color w:val="auto"/>
          <w:sz w:val="22"/>
          <w:szCs w:val="22"/>
        </w:rPr>
      </w:pPr>
    </w:p>
    <w:p w14:paraId="3A22D672" w14:textId="77777777" w:rsidR="00953151" w:rsidRDefault="00203F72" w:rsidP="00767F37">
      <w:pPr>
        <w:pStyle w:val="2"/>
      </w:pPr>
      <w:bookmarkStart w:id="39" w:name="_第十二章_選舉、罷免、創制、複決"/>
      <w:bookmarkEnd w:id="39"/>
      <w:r w:rsidRPr="00A53581">
        <w:t>第十二章</w:t>
      </w:r>
      <w:r w:rsidRPr="00A53581">
        <w:t xml:space="preserve"> </w:t>
      </w:r>
      <w:r w:rsidRPr="00A53581">
        <w:t>選舉、罷免、創制、複決</w:t>
      </w:r>
    </w:p>
    <w:p w14:paraId="6589A097" w14:textId="77777777" w:rsidR="00953151" w:rsidRDefault="00076467" w:rsidP="00767F37">
      <w:pPr>
        <w:pStyle w:val="2"/>
      </w:pPr>
      <w:hyperlink r:id="rId1195" w:anchor="a129" w:history="1">
        <w:r w:rsidR="005D5A46">
          <w:rPr>
            <w:rStyle w:val="a5"/>
            <w:rFonts w:ascii="Arial Unicode MS" w:hAnsi="Arial Unicode MS"/>
          </w:rPr>
          <w:t>第</w:t>
        </w:r>
        <w:r w:rsidR="00203F72" w:rsidRPr="00AB0A74">
          <w:rPr>
            <w:rStyle w:val="a5"/>
            <w:rFonts w:ascii="Arial Unicode MS" w:hAnsi="Arial Unicode MS"/>
          </w:rPr>
          <w:t>129</w:t>
        </w:r>
        <w:r w:rsidR="005D5A46">
          <w:rPr>
            <w:rStyle w:val="a5"/>
            <w:rFonts w:ascii="Arial Unicode MS" w:hAnsi="Arial Unicode MS"/>
          </w:rPr>
          <w:t>條</w:t>
        </w:r>
      </w:hyperlink>
      <w:r w:rsidR="00203F72" w:rsidRPr="00A53581">
        <w:t>本憲法所規定之各種選舉，除本憲法別有規定外，以普通、平等、直接及無記名投票之方法行之。</w:t>
      </w:r>
    </w:p>
    <w:p w14:paraId="6BE29E24" w14:textId="77777777" w:rsidR="00953151" w:rsidRPr="00B167C2" w:rsidRDefault="00B03E84" w:rsidP="00D87D91">
      <w:r w:rsidRPr="00B167C2">
        <w:t>【內容解析】</w:t>
      </w:r>
    </w:p>
    <w:p w14:paraId="6FD9AA62" w14:textId="77777777" w:rsidR="00953151" w:rsidRPr="00B167C2" w:rsidRDefault="00800CD7" w:rsidP="00D87D91">
      <w:r w:rsidRPr="00B167C2">
        <w:t xml:space="preserve">　　</w:t>
      </w:r>
      <w:r w:rsidR="00203F72" w:rsidRPr="00B167C2">
        <w:t>國家雖有不同選舉，但選賢與能是選舉之目的。因此，和選舉相關之法規不只一項，包括</w:t>
      </w:r>
      <w:hyperlink r:id="rId1196" w:history="1">
        <w:r w:rsidR="00203F72" w:rsidRPr="00723D4E">
          <w:rPr>
            <w:rStyle w:val="a5"/>
            <w:rFonts w:ascii="Times New Roman" w:eastAsia="新細明體" w:hAnsi="Times New Roman"/>
          </w:rPr>
          <w:t>總統副總統選舉罷免法</w:t>
        </w:r>
      </w:hyperlink>
      <w:r w:rsidR="00203F72" w:rsidRPr="00B167C2">
        <w:t>、</w:t>
      </w:r>
      <w:hyperlink r:id="rId1197" w:history="1">
        <w:r w:rsidR="009D621C" w:rsidRPr="009D621C">
          <w:rPr>
            <w:rStyle w:val="a5"/>
            <w:rFonts w:eastAsia="新細明體" w:hint="eastAsia"/>
            <w:kern w:val="0"/>
          </w:rPr>
          <w:t>公職人員選舉罷免法</w:t>
        </w:r>
      </w:hyperlink>
      <w:r w:rsidR="00203F72" w:rsidRPr="00B167C2">
        <w:t>，以及人民團體法及人民團體選舉罷免辦法等。選舉為自由意志之表達，不應受外力幹預或影響，因此透過直接或無記名方式進行投票。因為，若以記名方式投票，可能存在期約賄賂之問題。平等之概念在於票票等值，每個人、每張票均為平等。至於例外規定應特別敘明，主要之原因在於避免透過代表投票，以公開記名之方式，比較能達到透明監督之效果。</w:t>
      </w:r>
    </w:p>
    <w:p w14:paraId="0C6A739B" w14:textId="77777777" w:rsidR="00953151" w:rsidRPr="00B167C2" w:rsidRDefault="00800CD7" w:rsidP="00D87D91">
      <w:r w:rsidRPr="00B167C2">
        <w:t xml:space="preserve">　　</w:t>
      </w:r>
      <w:r w:rsidR="00203F72" w:rsidRPr="00B167C2">
        <w:t>以公開記名之方式進行表決者之規定，諸如憲法增修條</w:t>
      </w:r>
      <w:r w:rsidR="00E16174" w:rsidRPr="00B167C2">
        <w:t>文</w:t>
      </w:r>
      <w:hyperlink r:id="rId1198" w:anchor="b3" w:history="1">
        <w:r w:rsidR="00E16174" w:rsidRPr="00B167C2">
          <w:rPr>
            <w:rStyle w:val="a5"/>
          </w:rPr>
          <w:t>第3條</w:t>
        </w:r>
      </w:hyperlink>
      <w:r w:rsidR="00203F72" w:rsidRPr="00B167C2">
        <w:t>第</w:t>
      </w:r>
      <w:r w:rsidR="00203F72" w:rsidRPr="00B167C2">
        <w:t>2</w:t>
      </w:r>
      <w:r w:rsidR="00203F72" w:rsidRPr="00B167C2">
        <w:t>項第</w:t>
      </w:r>
      <w:r w:rsidR="00203F72" w:rsidRPr="00B167C2">
        <w:t>3</w:t>
      </w:r>
      <w:r w:rsidR="00203F72" w:rsidRPr="00B167C2">
        <w:t>款之規定，「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在上述憲法增修條</w:t>
      </w:r>
      <w:r w:rsidR="00E16174" w:rsidRPr="00B167C2">
        <w:t>文</w:t>
      </w:r>
      <w:hyperlink r:id="rId1199" w:anchor="b3" w:history="1">
        <w:r w:rsidR="00E16174" w:rsidRPr="00B167C2">
          <w:rPr>
            <w:rStyle w:val="a5"/>
          </w:rPr>
          <w:t>第3條</w:t>
        </w:r>
      </w:hyperlink>
      <w:r w:rsidR="00203F72" w:rsidRPr="00B167C2">
        <w:t>第</w:t>
      </w:r>
      <w:r w:rsidR="00203F72" w:rsidRPr="00B167C2">
        <w:t>2</w:t>
      </w:r>
      <w:r w:rsidR="00203F72" w:rsidRPr="00B167C2">
        <w:t>項第</w:t>
      </w:r>
      <w:r w:rsidR="00203F72" w:rsidRPr="00B167C2">
        <w:t>3</w:t>
      </w:r>
      <w:r w:rsidR="00203F72" w:rsidRPr="00B167C2">
        <w:t>款之規定中，即運用記名投票表決之方式。運用記名投票表決之模式，依憲法</w:t>
      </w:r>
      <w:hyperlink r:id="rId1200" w:anchor="a129" w:history="1">
        <w:r w:rsidR="00203F72" w:rsidRPr="00B167C2">
          <w:rPr>
            <w:rStyle w:val="a5"/>
            <w:rFonts w:ascii="Times New Roman" w:hAnsi="Times New Roman"/>
          </w:rPr>
          <w:t>第</w:t>
        </w:r>
        <w:r w:rsidR="00203F72" w:rsidRPr="00B167C2">
          <w:rPr>
            <w:rStyle w:val="a5"/>
            <w:rFonts w:ascii="Times New Roman" w:hAnsi="Times New Roman"/>
          </w:rPr>
          <w:t>129</w:t>
        </w:r>
        <w:r w:rsidR="00203F72" w:rsidRPr="00B167C2">
          <w:rPr>
            <w:rStyle w:val="a5"/>
            <w:rFonts w:ascii="Times New Roman" w:hAnsi="Times New Roman"/>
          </w:rPr>
          <w:t>條</w:t>
        </w:r>
      </w:hyperlink>
      <w:r w:rsidR="00203F72" w:rsidRPr="00B167C2">
        <w:t>之規定，係為例外之情形。</w:t>
      </w:r>
    </w:p>
    <w:p w14:paraId="6AE1BA7A" w14:textId="77777777" w:rsidR="00953151" w:rsidRDefault="00076467" w:rsidP="00767F37">
      <w:pPr>
        <w:pStyle w:val="2"/>
      </w:pPr>
      <w:hyperlink r:id="rId1201" w:anchor="a130" w:history="1">
        <w:r w:rsidR="005D5A46">
          <w:rPr>
            <w:rStyle w:val="a5"/>
            <w:rFonts w:ascii="Arial Unicode MS" w:hAnsi="Arial Unicode MS"/>
          </w:rPr>
          <w:t>第</w:t>
        </w:r>
        <w:r w:rsidR="00203F72" w:rsidRPr="00AB0A74">
          <w:rPr>
            <w:rStyle w:val="a5"/>
            <w:rFonts w:ascii="Arial Unicode MS" w:hAnsi="Arial Unicode MS"/>
          </w:rPr>
          <w:t>130</w:t>
        </w:r>
        <w:r w:rsidR="005D5A46">
          <w:rPr>
            <w:rStyle w:val="a5"/>
            <w:rFonts w:ascii="Arial Unicode MS" w:hAnsi="Arial Unicode MS"/>
          </w:rPr>
          <w:t>條</w:t>
        </w:r>
      </w:hyperlink>
      <w:r w:rsidR="00203F72" w:rsidRPr="00A53581">
        <w:t>中華民國國民年滿二十歲者，有依法選舉之權，除本憲法及法律別有規定者外，年滿二十三歲者，有依法被選舉之權。</w:t>
      </w:r>
    </w:p>
    <w:p w14:paraId="70BBCADC" w14:textId="77777777" w:rsidR="00203F72" w:rsidRPr="00A53581" w:rsidRDefault="00B03E84" w:rsidP="00D87D91">
      <w:r>
        <w:t>【內容解析】</w:t>
      </w:r>
    </w:p>
    <w:p w14:paraId="6F625387" w14:textId="77777777" w:rsidR="00953151" w:rsidRDefault="00800CD7" w:rsidP="00D87D91">
      <w:r>
        <w:t xml:space="preserve">　　</w:t>
      </w:r>
      <w:r w:rsidR="00203F72" w:rsidRPr="00A53581">
        <w:t>由於年滿二十歲係成年之重要指標，比較有獨立判斷之能力。而除憲法及法律別有規定外，年滿二十三歲者，有依法被選舉之權。至於總統被選舉之法定年齡是四十歲，要求總統必須具備之經驗與能力更為嚴格，理由在於總統擔負更大之國家決策責任，必須有一定之社會歷練。</w:t>
      </w:r>
    </w:p>
    <w:p w14:paraId="2A2B5AC1" w14:textId="77777777" w:rsidR="00953151" w:rsidRDefault="00076467" w:rsidP="00767F37">
      <w:pPr>
        <w:pStyle w:val="2"/>
      </w:pPr>
      <w:hyperlink r:id="rId1202" w:anchor="a131" w:history="1">
        <w:r w:rsidR="005D5A46">
          <w:rPr>
            <w:rStyle w:val="a5"/>
            <w:rFonts w:ascii="Arial Unicode MS" w:hAnsi="Arial Unicode MS"/>
          </w:rPr>
          <w:t>第</w:t>
        </w:r>
        <w:r w:rsidR="00203F72" w:rsidRPr="00AB0A74">
          <w:rPr>
            <w:rStyle w:val="a5"/>
            <w:rFonts w:ascii="Arial Unicode MS" w:hAnsi="Arial Unicode MS"/>
          </w:rPr>
          <w:t>131</w:t>
        </w:r>
        <w:r w:rsidR="005D5A46">
          <w:rPr>
            <w:rStyle w:val="a5"/>
            <w:rFonts w:ascii="Arial Unicode MS" w:hAnsi="Arial Unicode MS"/>
          </w:rPr>
          <w:t>條</w:t>
        </w:r>
      </w:hyperlink>
      <w:r w:rsidR="00203F72" w:rsidRPr="00A53581">
        <w:t>本憲法所規定各種選舉之候選人，一律公開競選。</w:t>
      </w:r>
    </w:p>
    <w:p w14:paraId="5C456991" w14:textId="77777777" w:rsidR="00953151" w:rsidRPr="00B167C2" w:rsidRDefault="00B03E84" w:rsidP="00D87D91">
      <w:r w:rsidRPr="00B167C2">
        <w:t>【內容解析】</w:t>
      </w:r>
    </w:p>
    <w:p w14:paraId="6DEFB624" w14:textId="77777777" w:rsidR="00953151" w:rsidRPr="00B167C2" w:rsidRDefault="00800CD7" w:rsidP="00D87D91">
      <w:r w:rsidRPr="00B167C2">
        <w:t xml:space="preserve">　　</w:t>
      </w:r>
      <w:r w:rsidR="00203F72" w:rsidRPr="00B167C2">
        <w:t>選舉應本自由、公平與公開之方式進行，透過言論自由與資訊透明，讓選民清楚候選人之政見或訴求。</w:t>
      </w:r>
    </w:p>
    <w:p w14:paraId="202B7472" w14:textId="77777777" w:rsidR="00953151" w:rsidRDefault="00076467" w:rsidP="00767F37">
      <w:pPr>
        <w:pStyle w:val="2"/>
      </w:pPr>
      <w:hyperlink r:id="rId1203" w:anchor="a132" w:history="1">
        <w:r w:rsidR="005D5A46">
          <w:rPr>
            <w:rStyle w:val="a5"/>
            <w:rFonts w:ascii="Arial Unicode MS" w:hAnsi="Arial Unicode MS"/>
          </w:rPr>
          <w:t>第</w:t>
        </w:r>
        <w:r w:rsidR="00203F72" w:rsidRPr="00AB0A74">
          <w:rPr>
            <w:rStyle w:val="a5"/>
            <w:rFonts w:ascii="Arial Unicode MS" w:hAnsi="Arial Unicode MS"/>
          </w:rPr>
          <w:t>132</w:t>
        </w:r>
        <w:r w:rsidR="005D5A46">
          <w:rPr>
            <w:rStyle w:val="a5"/>
            <w:rFonts w:ascii="Arial Unicode MS" w:hAnsi="Arial Unicode MS"/>
          </w:rPr>
          <w:t>條</w:t>
        </w:r>
      </w:hyperlink>
      <w:r w:rsidR="00203F72" w:rsidRPr="00A53581">
        <w:t>選舉應嚴禁威脅利誘。選舉訴訟，由法院審判之。</w:t>
      </w:r>
    </w:p>
    <w:p w14:paraId="3E1F0C83" w14:textId="77777777" w:rsidR="00953151" w:rsidRPr="00B167C2" w:rsidRDefault="00B03E84" w:rsidP="00D87D91">
      <w:r w:rsidRPr="00B167C2">
        <w:t>【內容解析】</w:t>
      </w:r>
    </w:p>
    <w:p w14:paraId="482FC1ED" w14:textId="77777777" w:rsidR="00953151" w:rsidRPr="00B167C2" w:rsidRDefault="00800CD7" w:rsidP="00D87D91">
      <w:r w:rsidRPr="00B167C2">
        <w:t xml:space="preserve">　　</w:t>
      </w:r>
      <w:r w:rsidR="00203F72" w:rsidRPr="00B167C2">
        <w:t>選舉應公平、公正與公開，任何不當或違法方式，影響投票行為，都應該被禁止。特別是威脅利誘含期約賄選，均為法律或社會所不容。選舉過程可能發生衝突或爭議，為解決因選舉產生之紛爭，應由法院審判之，由司法決定訴訟是否公正。規範選舉訴訟之法律，則為「</w:t>
      </w:r>
      <w:hyperlink r:id="rId1204" w:history="1">
        <w:r w:rsidR="009D621C" w:rsidRPr="009D621C">
          <w:rPr>
            <w:rStyle w:val="a5"/>
            <w:rFonts w:eastAsia="新細明體" w:hint="eastAsia"/>
            <w:kern w:val="0"/>
          </w:rPr>
          <w:t>公職人員選舉罷免法</w:t>
        </w:r>
      </w:hyperlink>
      <w:r w:rsidR="00203F72" w:rsidRPr="00B167C2">
        <w:t>」與「</w:t>
      </w:r>
      <w:hyperlink r:id="rId1205" w:history="1">
        <w:r w:rsidR="00723D4E" w:rsidRPr="00723D4E">
          <w:rPr>
            <w:rStyle w:val="a5"/>
            <w:rFonts w:ascii="Times New Roman" w:eastAsia="新細明體" w:hAnsi="Times New Roman"/>
          </w:rPr>
          <w:t>總統副總統選舉罷免法</w:t>
        </w:r>
      </w:hyperlink>
      <w:r w:rsidR="00203F72" w:rsidRPr="00B167C2">
        <w:t>」。我國選舉訴訟之樣態，計可分為兩類，一是選舉無效之訴，另一是當選無效之訴</w:t>
      </w:r>
      <w:r w:rsidR="00203F72" w:rsidRPr="00B167C2">
        <w:footnoteReference w:id="111"/>
      </w:r>
      <w:r w:rsidR="00203F72" w:rsidRPr="00B167C2">
        <w:t>。</w:t>
      </w:r>
    </w:p>
    <w:p w14:paraId="6B2F6DBF" w14:textId="77777777" w:rsidR="00953151" w:rsidRDefault="00076467" w:rsidP="00767F37">
      <w:pPr>
        <w:pStyle w:val="2"/>
      </w:pPr>
      <w:hyperlink r:id="rId1206" w:anchor="a133" w:history="1">
        <w:r w:rsidR="005D5A46">
          <w:rPr>
            <w:rStyle w:val="a5"/>
            <w:rFonts w:ascii="Arial Unicode MS" w:hAnsi="Arial Unicode MS"/>
          </w:rPr>
          <w:t>第</w:t>
        </w:r>
        <w:r w:rsidR="00203F72" w:rsidRPr="00AB0A74">
          <w:rPr>
            <w:rStyle w:val="a5"/>
            <w:rFonts w:ascii="Arial Unicode MS" w:hAnsi="Arial Unicode MS"/>
          </w:rPr>
          <w:t>133</w:t>
        </w:r>
        <w:r w:rsidR="005D5A46">
          <w:rPr>
            <w:rStyle w:val="a5"/>
            <w:rFonts w:ascii="Arial Unicode MS" w:hAnsi="Arial Unicode MS"/>
          </w:rPr>
          <w:t>條</w:t>
        </w:r>
      </w:hyperlink>
      <w:r w:rsidR="00203F72" w:rsidRPr="00A53581">
        <w:t>被選舉人得由原選舉區依法罷免之。</w:t>
      </w:r>
    </w:p>
    <w:p w14:paraId="159231A0" w14:textId="77777777" w:rsidR="00953151" w:rsidRPr="00B167C2" w:rsidRDefault="00B03E84" w:rsidP="00D87D91">
      <w:r w:rsidRPr="00B167C2">
        <w:t>【內容解析】</w:t>
      </w:r>
    </w:p>
    <w:p w14:paraId="248676B5" w14:textId="77777777" w:rsidR="00953151" w:rsidRPr="00B167C2" w:rsidRDefault="00800CD7" w:rsidP="00D87D91">
      <w:r w:rsidRPr="00B167C2">
        <w:t xml:space="preserve">　　</w:t>
      </w:r>
      <w:r w:rsidR="00203F72" w:rsidRPr="00B167C2">
        <w:t>有選舉權亦宜賦予選民有罷免權，而罷免權之行使，則回到原選舉區之原選舉人依法決定罷免。</w:t>
      </w:r>
    </w:p>
    <w:p w14:paraId="5584BE57" w14:textId="77777777" w:rsidR="00953151" w:rsidRDefault="00076467" w:rsidP="00767F37">
      <w:pPr>
        <w:pStyle w:val="2"/>
      </w:pPr>
      <w:hyperlink r:id="rId1207" w:anchor="a134" w:history="1">
        <w:r w:rsidR="005D5A46">
          <w:rPr>
            <w:rStyle w:val="a5"/>
            <w:rFonts w:ascii="Arial Unicode MS" w:hAnsi="Arial Unicode MS"/>
          </w:rPr>
          <w:t>第</w:t>
        </w:r>
        <w:r w:rsidR="00203F72" w:rsidRPr="00AB0A74">
          <w:rPr>
            <w:rStyle w:val="a5"/>
            <w:rFonts w:ascii="Arial Unicode MS" w:hAnsi="Arial Unicode MS"/>
          </w:rPr>
          <w:t>134</w:t>
        </w:r>
        <w:r w:rsidR="005D5A46">
          <w:rPr>
            <w:rStyle w:val="a5"/>
            <w:rFonts w:ascii="Arial Unicode MS" w:hAnsi="Arial Unicode MS"/>
          </w:rPr>
          <w:t>條</w:t>
        </w:r>
      </w:hyperlink>
      <w:r w:rsidR="00203F72" w:rsidRPr="00A53581">
        <w:t>各種選舉，應規定婦女當選名額，其辦法以法律定之。</w:t>
      </w:r>
    </w:p>
    <w:p w14:paraId="6086FF79" w14:textId="77777777" w:rsidR="00953151" w:rsidRPr="00B167C2" w:rsidRDefault="00B03E84" w:rsidP="00D87D91">
      <w:r w:rsidRPr="00B167C2">
        <w:t>【內容解析】</w:t>
      </w:r>
    </w:p>
    <w:p w14:paraId="3603A611" w14:textId="77777777" w:rsidR="00953151" w:rsidRPr="00B167C2" w:rsidRDefault="00800CD7" w:rsidP="00D87D91">
      <w:r w:rsidRPr="00B167C2">
        <w:t xml:space="preserve">　　</w:t>
      </w:r>
      <w:r w:rsidR="00203F72" w:rsidRPr="00B167C2">
        <w:t>由於男女平權因素，避免女性聲音受不當壓抑，因此各種選舉應規定婦女當選名額，以確保女性聲音或意見獲得保障。由於婦女當選名額一旦規定，對選舉生態立即會有影響，因此辦法應以法律定之，以避免發生爭議。</w:t>
      </w:r>
    </w:p>
    <w:p w14:paraId="45069D3D" w14:textId="77777777" w:rsidR="00953151" w:rsidRDefault="00076467" w:rsidP="00767F37">
      <w:pPr>
        <w:pStyle w:val="2"/>
      </w:pPr>
      <w:hyperlink r:id="rId1208" w:anchor="a135" w:history="1">
        <w:r w:rsidR="005D5A46">
          <w:rPr>
            <w:rStyle w:val="a5"/>
            <w:rFonts w:ascii="Arial Unicode MS" w:hAnsi="Arial Unicode MS"/>
          </w:rPr>
          <w:t>第</w:t>
        </w:r>
        <w:r w:rsidR="00203F72" w:rsidRPr="00AB0A74">
          <w:rPr>
            <w:rStyle w:val="a5"/>
            <w:rFonts w:ascii="Arial Unicode MS" w:hAnsi="Arial Unicode MS"/>
          </w:rPr>
          <w:t>135</w:t>
        </w:r>
        <w:r w:rsidR="005D5A46">
          <w:rPr>
            <w:rStyle w:val="a5"/>
            <w:rFonts w:ascii="Arial Unicode MS" w:hAnsi="Arial Unicode MS"/>
          </w:rPr>
          <w:t>條</w:t>
        </w:r>
      </w:hyperlink>
      <w:r w:rsidR="00203F72" w:rsidRPr="00A53581">
        <w:t>內地生活習慣特殊之國民代表名額及選舉，其辦法以法律定之。</w:t>
      </w:r>
    </w:p>
    <w:p w14:paraId="29CAF671" w14:textId="77777777" w:rsidR="00953151" w:rsidRPr="00B167C2" w:rsidRDefault="00B03E84" w:rsidP="00D87D91">
      <w:r w:rsidRPr="00B167C2">
        <w:t>【內容解析】</w:t>
      </w:r>
    </w:p>
    <w:p w14:paraId="6A5D1940" w14:textId="77777777" w:rsidR="00953151" w:rsidRPr="00B167C2" w:rsidRDefault="00800CD7" w:rsidP="00D87D91">
      <w:r w:rsidRPr="00B167C2">
        <w:t xml:space="preserve">　　</w:t>
      </w:r>
      <w:r w:rsidR="00203F72" w:rsidRPr="00B167C2">
        <w:t>為因應國家統一前之需要，依照憲法</w:t>
      </w:r>
      <w:r w:rsidR="00541C0B" w:rsidRPr="00B167C2">
        <w:t>第</w:t>
      </w:r>
      <w:hyperlink r:id="rId1209" w:anchor="a27" w:history="1">
        <w:r w:rsidR="00541C0B" w:rsidRPr="00B167C2">
          <w:rPr>
            <w:rStyle w:val="a5"/>
          </w:rPr>
          <w:t>二十七</w:t>
        </w:r>
      </w:hyperlink>
      <w:r w:rsidR="00541C0B" w:rsidRPr="00B167C2">
        <w:t>條</w:t>
      </w:r>
      <w:r w:rsidR="00203F72" w:rsidRPr="00B167C2">
        <w:t>第一項第三款及</w:t>
      </w:r>
      <w:r w:rsidR="00541C0B" w:rsidRPr="00B167C2">
        <w:t>第</w:t>
      </w:r>
      <w:hyperlink r:id="rId1210" w:anchor="a174" w:history="1">
        <w:r w:rsidR="00541C0B" w:rsidRPr="00B167C2">
          <w:rPr>
            <w:rStyle w:val="a5"/>
          </w:rPr>
          <w:t>一百七十四</w:t>
        </w:r>
      </w:hyperlink>
      <w:r w:rsidR="00541C0B" w:rsidRPr="00B167C2">
        <w:t>條</w:t>
      </w:r>
      <w:r w:rsidR="00203F72" w:rsidRPr="00B167C2">
        <w:t>第一款之規定，增修憲法條文。根據增修條</w:t>
      </w:r>
      <w:r w:rsidR="001B1539" w:rsidRPr="00B167C2">
        <w:t>文</w:t>
      </w:r>
      <w:hyperlink r:id="rId1211" w:anchor="b1" w:history="1">
        <w:r w:rsidR="001B1539" w:rsidRPr="00B167C2">
          <w:rPr>
            <w:rStyle w:val="a5"/>
          </w:rPr>
          <w:t>第1條</w:t>
        </w:r>
      </w:hyperlink>
      <w:r w:rsidR="00203F72" w:rsidRPr="00B167C2">
        <w:t>之規定，中華民國自由地區選舉人於立法院提出憲法修正案、領土變更案，經公告半年，應於三個月內投票複決，不適用憲法</w:t>
      </w:r>
      <w:hyperlink r:id="rId1212" w:anchor="a4" w:history="1">
        <w:r w:rsidR="001B1539" w:rsidRPr="00B167C2">
          <w:rPr>
            <w:rStyle w:val="a5"/>
          </w:rPr>
          <w:t>第四條</w:t>
        </w:r>
      </w:hyperlink>
      <w:r w:rsidR="00203F72" w:rsidRPr="00B167C2">
        <w:t>、</w:t>
      </w:r>
      <w:r w:rsidR="00541C0B" w:rsidRPr="00B167C2">
        <w:t>第</w:t>
      </w:r>
      <w:hyperlink r:id="rId1213" w:anchor="a174" w:history="1">
        <w:r w:rsidR="00541C0B" w:rsidRPr="00B167C2">
          <w:rPr>
            <w:rStyle w:val="a5"/>
          </w:rPr>
          <w:t>一百七十四</w:t>
        </w:r>
      </w:hyperlink>
      <w:r w:rsidR="00541C0B" w:rsidRPr="00B167C2">
        <w:t>條</w:t>
      </w:r>
      <w:r w:rsidR="00203F72" w:rsidRPr="00B167C2">
        <w:t>之規定。憲法</w:t>
      </w:r>
      <w:r w:rsidR="001F6A1B" w:rsidRPr="00E07281">
        <w:t>第</w:t>
      </w:r>
      <w:hyperlink r:id="rId1214" w:anchor="a25" w:history="1">
        <w:r w:rsidR="001F6A1B" w:rsidRPr="00E07281">
          <w:rPr>
            <w:rStyle w:val="a5"/>
          </w:rPr>
          <w:t>二十五</w:t>
        </w:r>
      </w:hyperlink>
      <w:r w:rsidR="001F6A1B" w:rsidRPr="00E07281">
        <w:t>條</w:t>
      </w:r>
      <w:r w:rsidR="00203F72" w:rsidRPr="00B167C2">
        <w:t>至第三十四條及</w:t>
      </w:r>
      <w:r w:rsidR="001B1539" w:rsidRPr="00B167C2">
        <w:t>第</w:t>
      </w:r>
      <w:hyperlink r:id="rId1215" w:anchor="a135" w:history="1">
        <w:r w:rsidR="001B1539" w:rsidRPr="00B167C2">
          <w:rPr>
            <w:rStyle w:val="a5"/>
          </w:rPr>
          <w:t>一百三十五</w:t>
        </w:r>
      </w:hyperlink>
      <w:r w:rsidR="001B1539" w:rsidRPr="00B167C2">
        <w:t>條</w:t>
      </w:r>
      <w:r w:rsidR="00203F72" w:rsidRPr="00B167C2">
        <w:t>之規定，停止適用。</w:t>
      </w:r>
    </w:p>
    <w:p w14:paraId="109EA20A" w14:textId="77777777" w:rsidR="00953151" w:rsidRDefault="00076467" w:rsidP="00767F37">
      <w:pPr>
        <w:pStyle w:val="2"/>
      </w:pPr>
      <w:hyperlink r:id="rId1216" w:anchor="a136" w:history="1">
        <w:r w:rsidR="005D5A46">
          <w:rPr>
            <w:rStyle w:val="a5"/>
            <w:rFonts w:ascii="Arial Unicode MS" w:hAnsi="Arial Unicode MS"/>
          </w:rPr>
          <w:t>第</w:t>
        </w:r>
        <w:r w:rsidR="00203F72" w:rsidRPr="00AB0A74">
          <w:rPr>
            <w:rStyle w:val="a5"/>
            <w:rFonts w:ascii="Arial Unicode MS" w:hAnsi="Arial Unicode MS"/>
          </w:rPr>
          <w:t>136</w:t>
        </w:r>
        <w:r w:rsidR="005D5A46">
          <w:rPr>
            <w:rStyle w:val="a5"/>
            <w:rFonts w:ascii="Arial Unicode MS" w:hAnsi="Arial Unicode MS"/>
          </w:rPr>
          <w:t>條</w:t>
        </w:r>
      </w:hyperlink>
      <w:r w:rsidR="00203F72" w:rsidRPr="00A53581">
        <w:t>創制複決兩權之行使，以法律定之。</w:t>
      </w:r>
    </w:p>
    <w:p w14:paraId="30BB21CA" w14:textId="77777777" w:rsidR="00953151" w:rsidRPr="00B167C2" w:rsidRDefault="00B03E84" w:rsidP="00D87D91">
      <w:r w:rsidRPr="00B167C2">
        <w:t>【內容解析】</w:t>
      </w:r>
    </w:p>
    <w:p w14:paraId="160C1927" w14:textId="77777777" w:rsidR="00953151" w:rsidRPr="00B167C2" w:rsidRDefault="00800CD7" w:rsidP="00D87D91">
      <w:r w:rsidRPr="00B167C2">
        <w:t xml:space="preserve">　　</w:t>
      </w:r>
      <w:r w:rsidR="00203F72" w:rsidRPr="00B167C2">
        <w:t>選舉、罷免、創制、複決等，均為人民之參政權。關於創制權之解釋，可以是「公民得以一定人數之簽署，提出法案，要求立法機關修改，或經由投票直接制定法律之權利」</w:t>
      </w:r>
      <w:r w:rsidR="00203F72" w:rsidRPr="00B167C2">
        <w:footnoteReference w:id="112"/>
      </w:r>
      <w:r w:rsidR="00203F72" w:rsidRPr="00B167C2">
        <w:t>不過，類似之創制權發生之機率很小，可能之原因在於，人民對於公共事務關心度不足，或對創制權在民主政治制度運作之瞭解不足。</w:t>
      </w:r>
    </w:p>
    <w:p w14:paraId="692DADAE" w14:textId="77777777" w:rsidR="00953151" w:rsidRPr="006E0E2F" w:rsidRDefault="00800CD7" w:rsidP="00D87D91">
      <w:r w:rsidRPr="00B167C2">
        <w:t xml:space="preserve">　　</w:t>
      </w:r>
      <w:r w:rsidR="00203F72" w:rsidRPr="00B167C2">
        <w:t>至於複決權之定義，可以是「公民對憲法修正案，或立法機關所決議之一般法律案，</w:t>
      </w:r>
      <w:r w:rsidR="00203F72" w:rsidRPr="006E0E2F">
        <w:t>有以投票決定其是否同意該修正案或法案之權利。」</w:t>
      </w:r>
      <w:r w:rsidR="00203F72" w:rsidRPr="006E0E2F">
        <w:footnoteReference w:id="113"/>
      </w:r>
      <w:r w:rsidR="00203F72" w:rsidRPr="006E0E2F">
        <w:t>同樣之理，複決權之運用在國家體制中，也相當罕見，原因可能同前。我國依據憲法主權在民之原則，為確保國民直接民權之行使，特制定</w:t>
      </w:r>
      <w:hyperlink r:id="rId1217" w:history="1">
        <w:r w:rsidR="00203F72" w:rsidRPr="006E0E2F">
          <w:rPr>
            <w:rStyle w:val="a5"/>
            <w:rFonts w:ascii="Times New Roman" w:hAnsi="Times New Roman"/>
          </w:rPr>
          <w:t>公民投票法</w:t>
        </w:r>
      </w:hyperlink>
      <w:r w:rsidR="00203F72" w:rsidRPr="006E0E2F">
        <w:t>，公投與創制複決權之間，仍有一定之差異性。</w:t>
      </w:r>
    </w:p>
    <w:p w14:paraId="186CD51D" w14:textId="77777777" w:rsidR="00953151" w:rsidRPr="006E0E2F" w:rsidRDefault="00800CD7" w:rsidP="00D87D91">
      <w:r w:rsidRPr="006E0E2F">
        <w:t xml:space="preserve">　　</w:t>
      </w:r>
      <w:r w:rsidR="00203F72" w:rsidRPr="006E0E2F">
        <w:t>依公民投票</w:t>
      </w:r>
      <w:r w:rsidR="00687BCD" w:rsidRPr="006E0E2F">
        <w:t>法</w:t>
      </w:r>
      <w:hyperlink r:id="rId1218" w:anchor="a2" w:history="1">
        <w:r w:rsidR="00687BCD" w:rsidRPr="006E0E2F">
          <w:rPr>
            <w:rStyle w:val="a5"/>
          </w:rPr>
          <w:t>第2條</w:t>
        </w:r>
      </w:hyperlink>
      <w:r w:rsidR="00203F72" w:rsidRPr="006E0E2F">
        <w:t>（公民投票之適用事項）之規定，本法所稱公民投票，包括全國性及地方性公民投票。全國性公民投票適用事項如下：一、法律之複決。二、立法原則之創制。三、重大政策之創制或複決。四、憲法修正案之複決。地方性公民投票適用事項如下：一、地方自治法規之複決。二、地方自治法規立法原則之創制。三、地方自治事項重大政策之創制或複決。預算、租稅、投資、薪俸及人事事項不得作為公民投票之提案。在創制複決法草案方面，行政院雖個函送立法院審議，惟均未能完成立法，是以，截至</w:t>
      </w:r>
      <w:r w:rsidR="00203F72" w:rsidRPr="006E0E2F">
        <w:t>2013</w:t>
      </w:r>
      <w:r w:rsidR="00203F72" w:rsidRPr="006E0E2F">
        <w:t>年止，創制複決法仍未通過施行。</w:t>
      </w:r>
    </w:p>
    <w:p w14:paraId="22387867" w14:textId="77777777"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6B6FCA1A" w14:textId="77777777" w:rsidR="00545D58" w:rsidRDefault="00545D58" w:rsidP="00D87D91"/>
    <w:p w14:paraId="3AA93A9C" w14:textId="77777777" w:rsidR="00953151" w:rsidRDefault="00203F72" w:rsidP="00767F37">
      <w:pPr>
        <w:pStyle w:val="2"/>
      </w:pPr>
      <w:bookmarkStart w:id="40" w:name="_第十三章_基本國策"/>
      <w:bookmarkEnd w:id="40"/>
      <w:r w:rsidRPr="00A53581">
        <w:t>第十三章</w:t>
      </w:r>
      <w:r w:rsidRPr="00A53581">
        <w:t xml:space="preserve"> </w:t>
      </w:r>
      <w:r w:rsidRPr="00A53581">
        <w:t>基本國策</w:t>
      </w:r>
      <w:r w:rsidRPr="00A53581">
        <w:t xml:space="preserve"> </w:t>
      </w:r>
    </w:p>
    <w:p w14:paraId="093A538F" w14:textId="77777777" w:rsidR="00953151" w:rsidRDefault="00800CD7" w:rsidP="00D87D91">
      <w:r w:rsidRPr="00306E89">
        <w:rPr>
          <w:rFonts w:hint="eastAsia"/>
        </w:rPr>
        <w:t xml:space="preserve">　　</w:t>
      </w:r>
      <w:r w:rsidR="00203F72" w:rsidRPr="00306E89">
        <w:rPr>
          <w:rFonts w:hint="eastAsia"/>
        </w:rPr>
        <w:t>有關於</w:t>
      </w:r>
      <w:r w:rsidR="00203F72" w:rsidRPr="00306E89">
        <w:t>基本國策之性質與屬性方面，學者與大法官之看法，似乎存有一定之差異性，如下表所述。</w:t>
      </w:r>
    </w:p>
    <w:p w14:paraId="1DA4431C" w14:textId="77777777" w:rsidR="00E1306F" w:rsidRPr="00306E89" w:rsidRDefault="00E1306F" w:rsidP="00D87D91"/>
    <w:p w14:paraId="41AF3874" w14:textId="456F32BA" w:rsidR="00203F72" w:rsidRPr="00306E89" w:rsidRDefault="00B03E84" w:rsidP="00D87D91">
      <w:r w:rsidRPr="00306E89">
        <w:t>【</w:t>
      </w:r>
      <w:r w:rsidRPr="00306E89">
        <w:t>table</w:t>
      </w:r>
      <w:r w:rsidR="005E23E3" w:rsidRPr="00306E8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72</w:t>
      </w:r>
      <w:r w:rsidR="00076467">
        <w:rPr>
          <w:noProof/>
        </w:rPr>
        <w:fldChar w:fldCharType="end"/>
      </w:r>
      <w:r w:rsidR="00203F72" w:rsidRPr="00306E89">
        <w:t>基本國策之性質與屬性：學者與大法官看法之差異比較表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2"/>
        <w:gridCol w:w="3862"/>
        <w:gridCol w:w="2831"/>
      </w:tblGrid>
      <w:tr w:rsidR="00203F72" w:rsidRPr="00A53581" w14:paraId="465F5F6E" w14:textId="77777777" w:rsidTr="00B167C2">
        <w:trPr>
          <w:tblHeader/>
        </w:trPr>
        <w:tc>
          <w:tcPr>
            <w:tcW w:w="1061" w:type="pct"/>
            <w:shd w:val="clear" w:color="auto" w:fill="FAF0FA"/>
          </w:tcPr>
          <w:p w14:paraId="7A158537" w14:textId="77777777" w:rsidR="00203F72" w:rsidRPr="00A53581" w:rsidRDefault="00203F72" w:rsidP="00D87D91">
            <w:r w:rsidRPr="00A53581">
              <w:t>身分別</w:t>
            </w:r>
          </w:p>
        </w:tc>
        <w:tc>
          <w:tcPr>
            <w:tcW w:w="2273" w:type="pct"/>
            <w:shd w:val="clear" w:color="auto" w:fill="FAF0FA"/>
          </w:tcPr>
          <w:p w14:paraId="26A48F56" w14:textId="77777777" w:rsidR="00203F72" w:rsidRPr="00A53581" w:rsidRDefault="00203F72" w:rsidP="00D87D91">
            <w:r w:rsidRPr="00A53581">
              <w:t>學者之看法</w:t>
            </w:r>
          </w:p>
        </w:tc>
        <w:tc>
          <w:tcPr>
            <w:tcW w:w="1667" w:type="pct"/>
            <w:shd w:val="clear" w:color="auto" w:fill="FAF0FA"/>
          </w:tcPr>
          <w:p w14:paraId="121B8F91" w14:textId="77777777" w:rsidR="00203F72" w:rsidRPr="00A53581" w:rsidRDefault="00203F72" w:rsidP="00D87D91">
            <w:r w:rsidRPr="00A53581">
              <w:t>大法官之操作</w:t>
            </w:r>
          </w:p>
        </w:tc>
      </w:tr>
      <w:tr w:rsidR="00203F72" w:rsidRPr="00A53581" w14:paraId="7D538742" w14:textId="77777777" w:rsidTr="00203F72">
        <w:tc>
          <w:tcPr>
            <w:tcW w:w="1061" w:type="pct"/>
            <w:shd w:val="clear" w:color="auto" w:fill="auto"/>
          </w:tcPr>
          <w:p w14:paraId="53DCC9D0" w14:textId="77777777" w:rsidR="00203F72" w:rsidRPr="00A53581" w:rsidRDefault="00203F72" w:rsidP="00D87D91">
            <w:r w:rsidRPr="00A53581">
              <w:t>內容</w:t>
            </w:r>
            <w:r w:rsidRPr="00A53581">
              <w:t>(</w:t>
            </w:r>
            <w:r w:rsidRPr="00A53581">
              <w:t>看法</w:t>
            </w:r>
            <w:r w:rsidRPr="00A53581">
              <w:t>)</w:t>
            </w:r>
          </w:p>
        </w:tc>
        <w:tc>
          <w:tcPr>
            <w:tcW w:w="2273" w:type="pct"/>
            <w:shd w:val="clear" w:color="auto" w:fill="auto"/>
          </w:tcPr>
          <w:p w14:paraId="58371C02" w14:textId="77777777" w:rsidR="00203F72" w:rsidRPr="00A53581" w:rsidRDefault="00203F72" w:rsidP="00D87D91">
            <w:r w:rsidRPr="00A53581">
              <w:t>大部分為方針條款</w:t>
            </w:r>
          </w:p>
          <w:p w14:paraId="553A64B2" w14:textId="77777777" w:rsidR="00203F72" w:rsidRPr="00A53581" w:rsidRDefault="00203F72" w:rsidP="00D87D91">
            <w:r w:rsidRPr="00A53581">
              <w:t>少部分為制度性保障</w:t>
            </w:r>
          </w:p>
        </w:tc>
        <w:tc>
          <w:tcPr>
            <w:tcW w:w="1667" w:type="pct"/>
            <w:shd w:val="clear" w:color="auto" w:fill="auto"/>
          </w:tcPr>
          <w:p w14:paraId="3C35F70D" w14:textId="77777777" w:rsidR="00203F72" w:rsidRPr="00A53581" w:rsidRDefault="00203F72" w:rsidP="00D87D91">
            <w:r w:rsidRPr="00A53581">
              <w:t>某些條文當作受益權處理</w:t>
            </w:r>
          </w:p>
        </w:tc>
      </w:tr>
    </w:tbl>
    <w:p w14:paraId="0878F181" w14:textId="77777777" w:rsidR="00953151" w:rsidRDefault="002107CE" w:rsidP="00D87D91">
      <w:r>
        <w:t>【本表格資料來源】</w:t>
      </w:r>
      <w:r w:rsidR="00203F72" w:rsidRPr="00A53581">
        <w:t>楊智傑</w:t>
      </w:r>
      <w:r w:rsidR="00203F72" w:rsidRPr="00A53581">
        <w:t>(2010)</w:t>
      </w:r>
      <w:r w:rsidR="00203F72" w:rsidRPr="00A53581">
        <w:t>，圖解憲法，二版</w:t>
      </w:r>
      <w:r w:rsidR="00203F72" w:rsidRPr="00A53581">
        <w:t>1</w:t>
      </w:r>
      <w:r w:rsidR="00203F72" w:rsidRPr="00A53581">
        <w:t>刷，台北市：書泉出版社，第</w:t>
      </w:r>
      <w:r w:rsidR="00203F72" w:rsidRPr="00A53581">
        <w:t>20</w:t>
      </w:r>
      <w:r w:rsidR="00203F72" w:rsidRPr="00A53581">
        <w:rPr>
          <w:rFonts w:hint="eastAsia"/>
        </w:rPr>
        <w:t>1-209</w:t>
      </w:r>
      <w:r w:rsidR="00203F72" w:rsidRPr="00A53581">
        <w:t>頁</w:t>
      </w:r>
      <w:r w:rsidR="00545D58">
        <w:t>。</w:t>
      </w:r>
    </w:p>
    <w:p w14:paraId="22D5A587" w14:textId="77777777" w:rsidR="00203F72" w:rsidRPr="00A53581" w:rsidRDefault="00203F72" w:rsidP="00D87D91"/>
    <w:p w14:paraId="793BE057" w14:textId="77777777" w:rsidR="00203F72" w:rsidRPr="00A53581" w:rsidRDefault="005D5A46" w:rsidP="00767F37">
      <w:pPr>
        <w:pStyle w:val="2"/>
      </w:pPr>
      <w:r>
        <w:t>第</w:t>
      </w:r>
      <w:r w:rsidR="00203F72" w:rsidRPr="00A53581">
        <w:t>一</w:t>
      </w:r>
      <w:r w:rsidR="003D02B1">
        <w:t>節</w:t>
      </w:r>
      <w:r w:rsidR="00203F72" w:rsidRPr="00A53581">
        <w:t xml:space="preserve"> </w:t>
      </w:r>
      <w:r w:rsidR="00203F72" w:rsidRPr="00A53581">
        <w:t>國防</w:t>
      </w:r>
    </w:p>
    <w:p w14:paraId="091A6192" w14:textId="77777777" w:rsidR="00203F72" w:rsidRPr="00A53581" w:rsidRDefault="00076467" w:rsidP="00767F37">
      <w:pPr>
        <w:pStyle w:val="2"/>
      </w:pPr>
      <w:hyperlink r:id="rId1219" w:anchor="a137" w:history="1">
        <w:r w:rsidR="005D5A46">
          <w:rPr>
            <w:rStyle w:val="a5"/>
            <w:rFonts w:ascii="Arial Unicode MS" w:hAnsi="Arial Unicode MS"/>
          </w:rPr>
          <w:t>第</w:t>
        </w:r>
        <w:r w:rsidR="00203F72" w:rsidRPr="00AB0A74">
          <w:rPr>
            <w:rStyle w:val="a5"/>
            <w:rFonts w:ascii="Arial Unicode MS" w:hAnsi="Arial Unicode MS"/>
          </w:rPr>
          <w:t>137</w:t>
        </w:r>
        <w:r w:rsidR="005D5A46">
          <w:rPr>
            <w:rStyle w:val="a5"/>
            <w:rFonts w:ascii="Arial Unicode MS" w:hAnsi="Arial Unicode MS"/>
          </w:rPr>
          <w:t>條</w:t>
        </w:r>
      </w:hyperlink>
      <w:r w:rsidR="00203F72" w:rsidRPr="00A53581">
        <w:t>中華民國之國防，以保衛國家安全，維護世界和平為目的。</w:t>
      </w:r>
    </w:p>
    <w:p w14:paraId="541DCA2C" w14:textId="77777777" w:rsidR="00953151" w:rsidRDefault="00800CD7" w:rsidP="00D87D91">
      <w:r>
        <w:t xml:space="preserve">　　</w:t>
      </w:r>
      <w:r w:rsidR="00203F72" w:rsidRPr="00A53581">
        <w:t>國防之組織，以法律定之。</w:t>
      </w:r>
    </w:p>
    <w:p w14:paraId="15E1D34D" w14:textId="77777777" w:rsidR="00953151" w:rsidRPr="006E0E2F" w:rsidRDefault="00B03E84" w:rsidP="00D87D91">
      <w:r w:rsidRPr="006E0E2F">
        <w:t>【內容解析】</w:t>
      </w:r>
    </w:p>
    <w:p w14:paraId="1373F83C" w14:textId="77777777" w:rsidR="00953151" w:rsidRPr="006E0E2F" w:rsidRDefault="00800CD7" w:rsidP="00D87D91">
      <w:r w:rsidRPr="006E0E2F">
        <w:t xml:space="preserve">　　</w:t>
      </w:r>
      <w:r w:rsidR="00203F72" w:rsidRPr="006E0E2F">
        <w:t>國防為國家實力之表徵或展現，具有保衛國家安全，以及維護世界和平之功能。然若運作不當，可能淪為國際政治鬥爭之工具或手段，不利國家發展，甚至可能成為破壞世界和平之工具；或者，國防是維護世界和平之一個工具，不是唯一工具。因此，國防組織之設計與運用，必須非常謹慎，應避免不當政治力或政治價值之侵入。為避免政治力不當介入，國防部組織設計，就應針對軍政與軍令作適當之分工，以避免軍政與軍令混淆；在此前提下，國防部組織法在軍政與軍令系統就作某種程度之分割，即將國防部之參謀本部，</w:t>
      </w:r>
      <w:r w:rsidR="003E240E">
        <w:t>視</w:t>
      </w:r>
      <w:r w:rsidR="00203F72" w:rsidRPr="006E0E2F">
        <w:t>為軍令系統之最高幕僚機關。</w:t>
      </w:r>
      <w:r w:rsidR="00203F72" w:rsidRPr="006E0E2F">
        <w:footnoteReference w:id="114"/>
      </w:r>
    </w:p>
    <w:p w14:paraId="6306BF4E" w14:textId="77777777" w:rsidR="00953151" w:rsidRDefault="00076467" w:rsidP="00767F37">
      <w:pPr>
        <w:pStyle w:val="2"/>
      </w:pPr>
      <w:hyperlink r:id="rId1220" w:anchor="a138" w:history="1">
        <w:r w:rsidR="005D5A46">
          <w:rPr>
            <w:rStyle w:val="a5"/>
            <w:rFonts w:ascii="Arial Unicode MS" w:hAnsi="Arial Unicode MS"/>
          </w:rPr>
          <w:t>第</w:t>
        </w:r>
        <w:r w:rsidR="00203F72" w:rsidRPr="00AB0A74">
          <w:rPr>
            <w:rStyle w:val="a5"/>
            <w:rFonts w:ascii="Arial Unicode MS" w:hAnsi="Arial Unicode MS"/>
          </w:rPr>
          <w:t>138</w:t>
        </w:r>
        <w:r w:rsidR="005D5A46">
          <w:rPr>
            <w:rStyle w:val="a5"/>
            <w:rFonts w:ascii="Arial Unicode MS" w:hAnsi="Arial Unicode MS"/>
          </w:rPr>
          <w:t>條</w:t>
        </w:r>
      </w:hyperlink>
      <w:r w:rsidR="00203F72" w:rsidRPr="00A53581">
        <w:t>全國陸海空軍，須超出個人、地域及黨派關係以外，效忠國家，愛護人民。</w:t>
      </w:r>
    </w:p>
    <w:p w14:paraId="14E6054E" w14:textId="77777777" w:rsidR="00953151" w:rsidRPr="00E07281" w:rsidRDefault="00B03E84" w:rsidP="00D87D91">
      <w:r w:rsidRPr="00E07281">
        <w:t>【內容解析】</w:t>
      </w:r>
    </w:p>
    <w:p w14:paraId="57663F60" w14:textId="77777777" w:rsidR="00953151" w:rsidRPr="00E07281" w:rsidRDefault="00800CD7" w:rsidP="00D87D91">
      <w:r w:rsidRPr="00E07281">
        <w:t xml:space="preserve">　　</w:t>
      </w:r>
      <w:r w:rsidR="00203F72" w:rsidRPr="00E07281">
        <w:t>國家利益非政黨利益，是國軍最高指導原則，雖因民主政治與政黨政治影響，導致政治價值伸入陸海空軍。為避免政治不當介入，除了強化資訊公開機制，也應強化軍人效忠國家、愛護人民之倫理教育。同時，在國軍教育訓練過程中，也應加強國軍應超出個人、地域及黨派關係之理念。</w:t>
      </w:r>
    </w:p>
    <w:p w14:paraId="089A2F01" w14:textId="77777777" w:rsidR="00953151" w:rsidRDefault="00076467" w:rsidP="00767F37">
      <w:pPr>
        <w:pStyle w:val="2"/>
      </w:pPr>
      <w:hyperlink r:id="rId1221" w:anchor="a139" w:history="1">
        <w:r w:rsidR="005D5A46">
          <w:rPr>
            <w:rStyle w:val="a5"/>
            <w:rFonts w:ascii="Arial Unicode MS" w:hAnsi="Arial Unicode MS"/>
          </w:rPr>
          <w:t>第</w:t>
        </w:r>
        <w:r w:rsidR="00203F72" w:rsidRPr="00AB0A74">
          <w:rPr>
            <w:rStyle w:val="a5"/>
            <w:rFonts w:ascii="Arial Unicode MS" w:hAnsi="Arial Unicode MS"/>
          </w:rPr>
          <w:t>139</w:t>
        </w:r>
        <w:r w:rsidR="005D5A46">
          <w:rPr>
            <w:rStyle w:val="a5"/>
            <w:rFonts w:ascii="Arial Unicode MS" w:hAnsi="Arial Unicode MS"/>
          </w:rPr>
          <w:t>條</w:t>
        </w:r>
      </w:hyperlink>
      <w:r w:rsidR="00203F72" w:rsidRPr="00A53581">
        <w:t>任何黨派及個人不得以武裝力量為政爭之工具。</w:t>
      </w:r>
    </w:p>
    <w:p w14:paraId="1E09E6C6" w14:textId="77777777" w:rsidR="00953151" w:rsidRPr="00E07281" w:rsidRDefault="00B03E84" w:rsidP="00D87D91">
      <w:r w:rsidRPr="00E07281">
        <w:t>【內容解析】</w:t>
      </w:r>
    </w:p>
    <w:p w14:paraId="7CE6F040" w14:textId="77777777" w:rsidR="00953151" w:rsidRPr="00E07281" w:rsidRDefault="00800CD7" w:rsidP="00D87D91">
      <w:r w:rsidRPr="00E07281">
        <w:t xml:space="preserve">　　</w:t>
      </w:r>
      <w:r w:rsidR="00203F72" w:rsidRPr="00E07281">
        <w:t>國防或國軍係國家重要之資產，不應淪為私用，甚至成為政爭工具。因此，應極力避免任何黨派利用武裝力量進行政治鬥爭。這部分，除了強化全民相關之基礎教育外，也應針對政黨、政治人物、國軍等，進行相關倫理知識之教育強化。</w:t>
      </w:r>
    </w:p>
    <w:p w14:paraId="429BBB8A" w14:textId="77777777" w:rsidR="00953151" w:rsidRDefault="00076467" w:rsidP="00767F37">
      <w:pPr>
        <w:pStyle w:val="2"/>
      </w:pPr>
      <w:hyperlink r:id="rId1222" w:anchor="a140" w:history="1">
        <w:r w:rsidR="005D5A46">
          <w:rPr>
            <w:rStyle w:val="a5"/>
            <w:rFonts w:ascii="Arial Unicode MS" w:hAnsi="Arial Unicode MS"/>
          </w:rPr>
          <w:t>第</w:t>
        </w:r>
        <w:r w:rsidR="00203F72" w:rsidRPr="00AB0A74">
          <w:rPr>
            <w:rStyle w:val="a5"/>
            <w:rFonts w:ascii="Arial Unicode MS" w:hAnsi="Arial Unicode MS"/>
          </w:rPr>
          <w:t>140</w:t>
        </w:r>
        <w:r w:rsidR="005D5A46">
          <w:rPr>
            <w:rStyle w:val="a5"/>
            <w:rFonts w:ascii="Arial Unicode MS" w:hAnsi="Arial Unicode MS"/>
          </w:rPr>
          <w:t>條</w:t>
        </w:r>
      </w:hyperlink>
      <w:r w:rsidR="00203F72" w:rsidRPr="00A53581">
        <w:t>現役軍人不得兼任文官。</w:t>
      </w:r>
    </w:p>
    <w:p w14:paraId="6B76735F" w14:textId="77777777" w:rsidR="00953151" w:rsidRPr="00E07281" w:rsidRDefault="00B03E84" w:rsidP="00D87D91">
      <w:r w:rsidRPr="00E07281">
        <w:t>【內容解析】</w:t>
      </w:r>
    </w:p>
    <w:p w14:paraId="3A350656" w14:textId="77777777" w:rsidR="00953151" w:rsidRPr="00E07281" w:rsidRDefault="00800CD7" w:rsidP="00D87D91">
      <w:r w:rsidRPr="00E07281">
        <w:t xml:space="preserve">　　</w:t>
      </w:r>
      <w:r w:rsidR="00203F72" w:rsidRPr="00E07281">
        <w:t>現役軍人原本即是全職工作，不得兼任文官之目的，在避免軍令與軍政系統造成混淆，或造成兼任文官之現役軍人之角色混亂，故應規定現行軍人不得兼任文官。有關於軍人外職停役轉任文官是否違憲？依據司法院釋字</w:t>
      </w:r>
      <w:hyperlink r:id="rId1223" w:anchor="r250" w:history="1">
        <w:r w:rsidR="00203F72" w:rsidRPr="00B167C2">
          <w:rPr>
            <w:rStyle w:val="a5"/>
            <w:rFonts w:ascii="Times New Roman" w:hAnsi="Times New Roman"/>
          </w:rPr>
          <w:t>第</w:t>
        </w:r>
        <w:r w:rsidR="00203F72" w:rsidRPr="00B167C2">
          <w:rPr>
            <w:rStyle w:val="a5"/>
            <w:rFonts w:ascii="Times New Roman" w:hAnsi="Times New Roman"/>
          </w:rPr>
          <w:t>250</w:t>
        </w:r>
        <w:r w:rsidR="00203F72" w:rsidRPr="00B167C2">
          <w:rPr>
            <w:rStyle w:val="a5"/>
            <w:rFonts w:ascii="Times New Roman" w:hAnsi="Times New Roman"/>
          </w:rPr>
          <w:t>號</w:t>
        </w:r>
      </w:hyperlink>
      <w:r w:rsidR="00203F72" w:rsidRPr="00E07281">
        <w:t>之見解，「憲法第一百四十條規定：「現役軍人，不得兼任文官」，係指正在服役之現役軍人不得同時兼任文官職務，旨在防止軍人干政，以維民主憲政之正常運作，至已除役、退伍或因停役等情形而服預備役之軍人，既無軍權，自無干政之虞。依陸海空軍軍官服役條例第</w:t>
      </w:r>
      <w:hyperlink r:id="rId1224" w:anchor="a12" w:history="1">
        <w:r w:rsidR="00203F72" w:rsidRPr="00B167C2">
          <w:rPr>
            <w:rStyle w:val="a5"/>
            <w:rFonts w:ascii="Times New Roman" w:hAnsi="Times New Roman"/>
          </w:rPr>
          <w:t>十二</w:t>
        </w:r>
      </w:hyperlink>
      <w:r w:rsidR="00203F72" w:rsidRPr="00E07281">
        <w:t>條第一項第六款、同條例施行細則</w:t>
      </w:r>
      <w:hyperlink r:id="rId1225" w:anchor="a9" w:history="1">
        <w:r w:rsidR="00BD43D3" w:rsidRPr="001F6A1B">
          <w:rPr>
            <w:rStyle w:val="a5"/>
          </w:rPr>
          <w:t>第九條</w:t>
        </w:r>
      </w:hyperlink>
      <w:r w:rsidR="00203F72" w:rsidRPr="00E07281">
        <w:t>第一項第八款及第二項規定，常備軍官在現役期間，經核准任軍職以外之公職者，自核准之日起為外職停役。外職停役人員係服預備役，經層報國防部核定後，通知後備軍人管理機關列入後備管理。依兵役法</w:t>
      </w:r>
      <w:r w:rsidR="001B1539" w:rsidRPr="00E07281">
        <w:t>第</w:t>
      </w:r>
      <w:hyperlink r:id="rId1226" w:anchor="a25" w:history="1">
        <w:r w:rsidR="001B1539" w:rsidRPr="00E07281">
          <w:rPr>
            <w:rStyle w:val="a5"/>
          </w:rPr>
          <w:t>二十五</w:t>
        </w:r>
      </w:hyperlink>
      <w:r w:rsidR="001B1539" w:rsidRPr="00E07281">
        <w:t>條</w:t>
      </w:r>
      <w:r w:rsidR="00203F72" w:rsidRPr="00E07281">
        <w:t>第一款規定，是項停役人員為後備軍人，已無現役軍人身分。如具有文官法定資格之現役軍人，因文職機關之需要，在未屆退役年齡前辦理外職停役，轉任與其專長相當之文官，與現役軍人兼任文官之情形有別，尚難謂與首開憲法規定有何牴觸。」是以外職停役之情形，仍符合憲法</w:t>
      </w:r>
      <w:hyperlink r:id="rId1227" w:anchor="a140" w:history="1">
        <w:r w:rsidR="00203F72" w:rsidRPr="00B167C2">
          <w:rPr>
            <w:rStyle w:val="a5"/>
            <w:rFonts w:ascii="Times New Roman" w:hAnsi="Times New Roman"/>
          </w:rPr>
          <w:t>第</w:t>
        </w:r>
        <w:r w:rsidR="00203F72" w:rsidRPr="00B167C2">
          <w:rPr>
            <w:rStyle w:val="a5"/>
            <w:rFonts w:ascii="Times New Roman" w:hAnsi="Times New Roman"/>
          </w:rPr>
          <w:t>140</w:t>
        </w:r>
        <w:r w:rsidR="00203F72" w:rsidRPr="00B167C2">
          <w:rPr>
            <w:rStyle w:val="a5"/>
            <w:rFonts w:ascii="Times New Roman" w:hAnsi="Times New Roman"/>
          </w:rPr>
          <w:t>條</w:t>
        </w:r>
      </w:hyperlink>
      <w:r w:rsidR="00203F72" w:rsidRPr="00E07281">
        <w:t>之規定。</w:t>
      </w:r>
    </w:p>
    <w:p w14:paraId="1F40F0C7" w14:textId="77777777" w:rsidR="00203F72" w:rsidRPr="00A53581" w:rsidRDefault="005D5A46" w:rsidP="00767F37">
      <w:pPr>
        <w:pStyle w:val="2"/>
      </w:pPr>
      <w:r>
        <w:t>第</w:t>
      </w:r>
      <w:r w:rsidR="00203F72" w:rsidRPr="00A53581">
        <w:t>二</w:t>
      </w:r>
      <w:r w:rsidR="003D02B1">
        <w:t>節</w:t>
      </w:r>
      <w:r w:rsidR="00203F72" w:rsidRPr="00A53581">
        <w:t xml:space="preserve"> </w:t>
      </w:r>
      <w:r w:rsidR="00203F72" w:rsidRPr="00A53581">
        <w:t>外交</w:t>
      </w:r>
    </w:p>
    <w:p w14:paraId="1961CC7A" w14:textId="77777777" w:rsidR="00953151" w:rsidRDefault="00076467" w:rsidP="00767F37">
      <w:pPr>
        <w:pStyle w:val="2"/>
      </w:pPr>
      <w:hyperlink r:id="rId1228" w:anchor="a141" w:history="1">
        <w:r w:rsidR="005D5A46">
          <w:rPr>
            <w:rStyle w:val="a5"/>
            <w:rFonts w:ascii="Arial Unicode MS" w:hAnsi="Arial Unicode MS"/>
          </w:rPr>
          <w:t>第</w:t>
        </w:r>
        <w:r w:rsidR="00203F72" w:rsidRPr="00AB0A74">
          <w:rPr>
            <w:rStyle w:val="a5"/>
            <w:rFonts w:ascii="Arial Unicode MS" w:hAnsi="Arial Unicode MS"/>
          </w:rPr>
          <w:t>141</w:t>
        </w:r>
        <w:r w:rsidR="005D5A46">
          <w:rPr>
            <w:rStyle w:val="a5"/>
            <w:rFonts w:ascii="Arial Unicode MS" w:hAnsi="Arial Unicode MS"/>
          </w:rPr>
          <w:t>條</w:t>
        </w:r>
      </w:hyperlink>
      <w:r w:rsidR="00203F72" w:rsidRPr="00A53581">
        <w:t>中華民國之外交，應本獨立自主之精神，平等互惠之原則，敦睦邦交，尊重條約及</w:t>
      </w:r>
      <w:hyperlink r:id="rId1229" w:history="1">
        <w:r w:rsidR="006937CE" w:rsidRPr="006937CE">
          <w:rPr>
            <w:rStyle w:val="a5"/>
            <w:rFonts w:ascii="Times New Roman" w:eastAsia="新細明體" w:hAnsi="Times New Roman"/>
          </w:rPr>
          <w:t>聯合國憲章</w:t>
        </w:r>
      </w:hyperlink>
      <w:r w:rsidR="00203F72" w:rsidRPr="00A53581">
        <w:t>，以保護僑民權益，促進國際合作，提倡國際正義，確保世界和平。</w:t>
      </w:r>
    </w:p>
    <w:p w14:paraId="57EE110D" w14:textId="77777777" w:rsidR="00953151" w:rsidRPr="00B167C2" w:rsidRDefault="00B03E84" w:rsidP="00D87D91">
      <w:r w:rsidRPr="00B167C2">
        <w:t>【內容解析】</w:t>
      </w:r>
    </w:p>
    <w:p w14:paraId="63110A6B" w14:textId="77777777" w:rsidR="00953151" w:rsidRPr="00B167C2" w:rsidRDefault="00800CD7" w:rsidP="00D87D91">
      <w:r w:rsidRPr="00B167C2">
        <w:t xml:space="preserve">　　</w:t>
      </w:r>
      <w:r w:rsidR="00203F72" w:rsidRPr="00B167C2">
        <w:t>外交屬國際政治之一環，具有帶動國家經貿與競爭力之效果。因此國家應本獨立自主之精神，平等互惠之原則，敦睦邦交，尊重條約及</w:t>
      </w:r>
      <w:hyperlink r:id="rId1230" w:history="1">
        <w:r w:rsidR="006937CE" w:rsidRPr="006937CE">
          <w:rPr>
            <w:rStyle w:val="a5"/>
            <w:rFonts w:ascii="Times New Roman" w:eastAsia="新細明體" w:hAnsi="Times New Roman"/>
          </w:rPr>
          <w:t>聯合國憲章</w:t>
        </w:r>
      </w:hyperlink>
      <w:r w:rsidR="00203F72" w:rsidRPr="00B167C2">
        <w:t>。目的在保護僑民權益，促進國際合作，提倡國際正義，同時確保世界和平。所謂獨立自主係指不應受個人政治理念，或其它不當之政治幹預，影響國家利益。或應以國家利益為最高指導原則，透過平等互惠，以促進國際合作；或透過國際合作，共同解決跨境問題。由於國際（跨境）問題通常會與條約及</w:t>
      </w:r>
      <w:hyperlink r:id="rId1231" w:history="1">
        <w:r w:rsidR="006937CE" w:rsidRPr="006937CE">
          <w:rPr>
            <w:rStyle w:val="a5"/>
            <w:rFonts w:ascii="Times New Roman" w:eastAsia="新細明體" w:hAnsi="Times New Roman"/>
          </w:rPr>
          <w:t>聯合國憲章</w:t>
        </w:r>
      </w:hyperlink>
      <w:r w:rsidR="00203F72" w:rsidRPr="00B167C2">
        <w:t>有關，透過對條約與</w:t>
      </w:r>
      <w:hyperlink r:id="rId1232" w:history="1">
        <w:r w:rsidR="006937CE" w:rsidRPr="006937CE">
          <w:rPr>
            <w:rStyle w:val="a5"/>
            <w:rFonts w:ascii="Times New Roman" w:eastAsia="新細明體" w:hAnsi="Times New Roman"/>
          </w:rPr>
          <w:t>聯合國憲章</w:t>
        </w:r>
      </w:hyperlink>
      <w:r w:rsidR="00203F72" w:rsidRPr="00B167C2">
        <w:t>之尊重，方能真正成為國際社會之成員，始有機會、資源與實力保護僑民權益，且有更多之國際合作機會，而能提倡國際正義，並確保世界和平。</w:t>
      </w:r>
    </w:p>
    <w:p w14:paraId="1FC99DE3" w14:textId="77777777" w:rsidR="00953151" w:rsidRDefault="005D5A46" w:rsidP="00767F37">
      <w:pPr>
        <w:pStyle w:val="2"/>
      </w:pPr>
      <w:r>
        <w:t>第</w:t>
      </w:r>
      <w:r w:rsidR="00203F72" w:rsidRPr="00A53581">
        <w:t>三</w:t>
      </w:r>
      <w:r w:rsidR="003D02B1">
        <w:t>節</w:t>
      </w:r>
      <w:r w:rsidR="00203F72" w:rsidRPr="00A53581">
        <w:t xml:space="preserve"> </w:t>
      </w:r>
      <w:r w:rsidR="00203F72" w:rsidRPr="00A53581">
        <w:t>國民經濟</w:t>
      </w:r>
    </w:p>
    <w:p w14:paraId="14BAE057" w14:textId="77777777" w:rsidR="00953151" w:rsidRDefault="00076467" w:rsidP="00767F37">
      <w:pPr>
        <w:pStyle w:val="2"/>
      </w:pPr>
      <w:hyperlink r:id="rId1233" w:anchor="a142" w:history="1">
        <w:r w:rsidR="005D5A46">
          <w:rPr>
            <w:rStyle w:val="a5"/>
            <w:rFonts w:ascii="Arial Unicode MS" w:hAnsi="Arial Unicode MS"/>
          </w:rPr>
          <w:t>第</w:t>
        </w:r>
        <w:r w:rsidR="00203F72" w:rsidRPr="00AB0A74">
          <w:rPr>
            <w:rStyle w:val="a5"/>
            <w:rFonts w:ascii="Arial Unicode MS" w:hAnsi="Arial Unicode MS"/>
          </w:rPr>
          <w:t>142</w:t>
        </w:r>
        <w:r w:rsidR="005D5A46">
          <w:rPr>
            <w:rStyle w:val="a5"/>
            <w:rFonts w:ascii="Arial Unicode MS" w:hAnsi="Arial Unicode MS"/>
          </w:rPr>
          <w:t>條</w:t>
        </w:r>
      </w:hyperlink>
      <w:r w:rsidR="00203F72" w:rsidRPr="00A53581">
        <w:t>國民經濟應以民生主義為基本原則，實施平均地權，節制資本，以謀國計民生之均足。</w:t>
      </w:r>
    </w:p>
    <w:p w14:paraId="603D1909" w14:textId="77777777" w:rsidR="00953151" w:rsidRPr="00B167C2" w:rsidRDefault="00B03E84" w:rsidP="00D87D91">
      <w:r w:rsidRPr="00B167C2">
        <w:t>【內容解析】</w:t>
      </w:r>
    </w:p>
    <w:p w14:paraId="22F64749" w14:textId="77777777" w:rsidR="00953151" w:rsidRPr="00B167C2" w:rsidRDefault="00800CD7" w:rsidP="00D87D91">
      <w:r w:rsidRPr="00B167C2">
        <w:t xml:space="preserve">　　</w:t>
      </w:r>
      <w:r w:rsidR="00203F72" w:rsidRPr="00B167C2">
        <w:t>國民經濟背後最關鍵之處，係為民生問題，而這也是國父孫中山生先創立三民主義之核心精神。而為避免資本主義剝削勞工，則有必要透過平均地權與節制資本，以達均富或民生之均足。具體而言，孫中山先生之「民生主義」思想，其目的在避免中國重蹈歐美自工業革命後，日益嚴重之社會問題；並力求解決中國開發產業、增加生產之經濟問題。</w:t>
      </w:r>
    </w:p>
    <w:p w14:paraId="5D198D44" w14:textId="77777777" w:rsidR="00953151" w:rsidRPr="00B167C2" w:rsidRDefault="00800CD7" w:rsidP="00D87D91">
      <w:r w:rsidRPr="00B167C2">
        <w:t xml:space="preserve">　　</w:t>
      </w:r>
      <w:r w:rsidR="00203F72" w:rsidRPr="00B167C2">
        <w:t>透過國父個人之觀察研究，配合當時中國之環境，找出同時解決社會問題與經濟問題之間之平衡點，目的在建立一個生產與分配兼顧之均富社會。再者，為了履行憲法本條之要求，目前制定及施行「平均地權條例」，</w:t>
      </w:r>
      <w:hyperlink r:id="rId1234" w:anchor="a1" w:history="1">
        <w:r w:rsidR="00203F72" w:rsidRPr="00E1306F">
          <w:rPr>
            <w:rStyle w:val="a5"/>
            <w:rFonts w:ascii="Times New Roman" w:eastAsia="新細明體" w:hAnsi="Times New Roman"/>
          </w:rPr>
          <w:t>第一條</w:t>
        </w:r>
      </w:hyperlink>
      <w:r w:rsidR="00203F72" w:rsidRPr="00B167C2">
        <w:t>即規定「平均地權之實施，依本條例之規定；本條例未規定者，適用土地法及其他有關法律之規定。」</w:t>
      </w:r>
    </w:p>
    <w:p w14:paraId="384D4A10" w14:textId="77777777" w:rsidR="00203F72" w:rsidRPr="00A53581" w:rsidRDefault="00076467" w:rsidP="00767F37">
      <w:pPr>
        <w:pStyle w:val="2"/>
      </w:pPr>
      <w:hyperlink r:id="rId1235" w:anchor="a143" w:history="1">
        <w:r w:rsidR="005D5A46">
          <w:rPr>
            <w:rStyle w:val="a5"/>
            <w:rFonts w:ascii="Arial Unicode MS" w:hAnsi="Arial Unicode MS"/>
          </w:rPr>
          <w:t>第</w:t>
        </w:r>
        <w:r w:rsidR="00203F72" w:rsidRPr="00AB0A74">
          <w:rPr>
            <w:rStyle w:val="a5"/>
            <w:rFonts w:ascii="Arial Unicode MS" w:hAnsi="Arial Unicode MS"/>
          </w:rPr>
          <w:t>143</w:t>
        </w:r>
        <w:r w:rsidR="005D5A46">
          <w:rPr>
            <w:rStyle w:val="a5"/>
            <w:rFonts w:ascii="Arial Unicode MS" w:hAnsi="Arial Unicode MS"/>
          </w:rPr>
          <w:t>條</w:t>
        </w:r>
      </w:hyperlink>
      <w:r w:rsidR="00203F72" w:rsidRPr="00A53581">
        <w:t>中華民國領土內之土地屬於國民全體。人民依法取得之土地所有權，應受法律之保障與限制。私有土地應照價納稅，政府並得照價收買。</w:t>
      </w:r>
    </w:p>
    <w:p w14:paraId="081F11EC" w14:textId="77777777" w:rsidR="00203F72" w:rsidRPr="00B167C2" w:rsidRDefault="00800CD7" w:rsidP="00D87D91">
      <w:r w:rsidRPr="00B167C2">
        <w:t xml:space="preserve">　　</w:t>
      </w:r>
      <w:r w:rsidR="00203F72" w:rsidRPr="00B167C2">
        <w:t>附著於土地之礦，及經濟上可供公眾利用之天然力，屬於國家所有，不因人民取得土地所有權而受影響。</w:t>
      </w:r>
    </w:p>
    <w:p w14:paraId="2AFF3080" w14:textId="77777777" w:rsidR="00203F72" w:rsidRPr="00B167C2" w:rsidRDefault="00800CD7" w:rsidP="00D87D91">
      <w:r w:rsidRPr="00B167C2">
        <w:t xml:space="preserve">　　</w:t>
      </w:r>
      <w:r w:rsidR="00203F72" w:rsidRPr="00B167C2">
        <w:t>土地價值非因施以勞力資本而增加者，應由國家徵收土地增值稅，歸人民共用之。</w:t>
      </w:r>
    </w:p>
    <w:p w14:paraId="1AF466F5" w14:textId="77777777" w:rsidR="00953151" w:rsidRPr="00B167C2" w:rsidRDefault="00203F72" w:rsidP="00D87D91">
      <w:r w:rsidRPr="00B167C2">
        <w:t>國家對於土地之分配與整理，應以扶植自耕農及自行使用土地人為原則，並規定其適當經營之面積。</w:t>
      </w:r>
    </w:p>
    <w:p w14:paraId="2D1E9148" w14:textId="77777777" w:rsidR="00953151" w:rsidRPr="00B167C2" w:rsidRDefault="00B03E84" w:rsidP="00D87D91">
      <w:r w:rsidRPr="00B167C2">
        <w:t>【內容解析】</w:t>
      </w:r>
    </w:p>
    <w:p w14:paraId="08B84D8D" w14:textId="77777777" w:rsidR="00953151" w:rsidRPr="00B167C2" w:rsidRDefault="00800CD7" w:rsidP="00D87D91">
      <w:r w:rsidRPr="00B167C2">
        <w:t xml:space="preserve">　　</w:t>
      </w:r>
      <w:r w:rsidR="00203F72" w:rsidRPr="00B167C2">
        <w:t>中華民國對於所屬之領土，具有主權性，當然屬於國民全體所有，但為了促進經濟發展，故開放國民可以擁有土地。因此，人民依法取得之土地，其所有權應受法律之保障與限制。保障是指在法定範圍內，具有合理之使用權，例如應照價納稅，政府並得照價收買。限制方面，不能因為土地私有，損害其公共利益或公共價值。</w:t>
      </w:r>
    </w:p>
    <w:p w14:paraId="2183DE42" w14:textId="77777777" w:rsidR="00953151" w:rsidRPr="00B167C2" w:rsidRDefault="00800CD7" w:rsidP="00D87D91">
      <w:r w:rsidRPr="00B167C2">
        <w:t xml:space="preserve">　　</w:t>
      </w:r>
      <w:r w:rsidR="00203F72" w:rsidRPr="00B167C2">
        <w:t>例如對土地之污染（含過度農藥或肥料使用）或其它違法使用，都可能傷害土地之永續性。由於土地可能存在許多附加利益或價值，包括礦產或經濟上可供公眾利用之天然力，這些不應歸屬於土地權之範圍，應歸政府所有。由於土地是私有財，但為落實國父「漲價歸公」之理念，故應持續推動漲價歸公，以落實土地正義</w:t>
      </w:r>
      <w:r w:rsidR="00203F72" w:rsidRPr="00B167C2">
        <w:footnoteReference w:id="115"/>
      </w:r>
      <w:r w:rsidR="00203F72" w:rsidRPr="00B167C2">
        <w:t>。</w:t>
      </w:r>
    </w:p>
    <w:p w14:paraId="5AF2611E" w14:textId="77777777" w:rsidR="00953151" w:rsidRDefault="00800CD7" w:rsidP="00D87D91">
      <w:r w:rsidRPr="00B167C2">
        <w:t xml:space="preserve">　　</w:t>
      </w:r>
      <w:r w:rsidR="00203F72" w:rsidRPr="00B167C2">
        <w:t>在此前提下，土地價值非因施以勞力資本而增加者，國家應徵收土地增值稅，並歸人民共用，以符合公平正義之原則。而為讓農業永續發展，進一步達糧食安全之目標，應重</w:t>
      </w:r>
      <w:r w:rsidR="003E240E">
        <w:t>視</w:t>
      </w:r>
      <w:r w:rsidR="00203F72" w:rsidRPr="00B167C2">
        <w:t>土地之分配與整理，讓土地所有人可以在其範圍內，做有效之利用。也因此自耕農及自行使用土地者，應受國家扶植，不過仍應以發揮最大公共利益為前提，例如土地使用有時要有一定之經濟規模，始能發揮最大之產值或效益。</w:t>
      </w:r>
    </w:p>
    <w:p w14:paraId="1F849F41" w14:textId="77777777" w:rsidR="00B167C2" w:rsidRPr="00B167C2" w:rsidRDefault="00B167C2" w:rsidP="00D87D91"/>
    <w:p w14:paraId="3DDE54E8" w14:textId="7A293A58" w:rsidR="00203F72" w:rsidRPr="00B167C2" w:rsidRDefault="00B03E84" w:rsidP="00D87D91">
      <w:r w:rsidRPr="00B167C2">
        <w:t>【</w:t>
      </w:r>
      <w:r w:rsidRPr="00B167C2">
        <w:t>table</w:t>
      </w:r>
      <w:r w:rsidR="005E23E3" w:rsidRPr="00B167C2">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73</w:t>
      </w:r>
      <w:r w:rsidR="00076467">
        <w:rPr>
          <w:noProof/>
        </w:rPr>
        <w:fldChar w:fldCharType="end"/>
      </w:r>
      <w:r w:rsidR="00203F72" w:rsidRPr="00B167C2">
        <w:t>我國憲法及相關法律對於人民財產權之保障與限制</w:t>
      </w:r>
    </w:p>
    <w:tbl>
      <w:tblPr>
        <w:tblW w:w="492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
        <w:gridCol w:w="985"/>
        <w:gridCol w:w="2224"/>
        <w:gridCol w:w="4300"/>
      </w:tblGrid>
      <w:tr w:rsidR="00203F72" w:rsidRPr="00A53581" w14:paraId="6FF14B0F" w14:textId="77777777" w:rsidTr="00723D4E">
        <w:trPr>
          <w:tblHeader/>
        </w:trPr>
        <w:tc>
          <w:tcPr>
            <w:tcW w:w="510" w:type="pct"/>
            <w:shd w:val="clear" w:color="auto" w:fill="FAF0FA"/>
          </w:tcPr>
          <w:p w14:paraId="156C2F63" w14:textId="77777777" w:rsidR="00203F72" w:rsidRPr="00A53581" w:rsidRDefault="00203F72" w:rsidP="00D87D91"/>
        </w:tc>
        <w:tc>
          <w:tcPr>
            <w:tcW w:w="589" w:type="pct"/>
            <w:shd w:val="clear" w:color="auto" w:fill="FAF0FA"/>
          </w:tcPr>
          <w:p w14:paraId="72629A0A" w14:textId="77777777" w:rsidR="00203F72" w:rsidRPr="00A53581" w:rsidRDefault="00203F72" w:rsidP="00D87D91">
            <w:r w:rsidRPr="00A53581">
              <w:t>法條</w:t>
            </w:r>
          </w:p>
        </w:tc>
        <w:tc>
          <w:tcPr>
            <w:tcW w:w="1330" w:type="pct"/>
            <w:shd w:val="clear" w:color="auto" w:fill="FAF0FA"/>
          </w:tcPr>
          <w:p w14:paraId="4BBC70DC" w14:textId="77777777" w:rsidR="00203F72" w:rsidRPr="00A53581" w:rsidRDefault="00203F72" w:rsidP="00D87D91"/>
        </w:tc>
        <w:tc>
          <w:tcPr>
            <w:tcW w:w="2571" w:type="pct"/>
            <w:shd w:val="clear" w:color="auto" w:fill="FAF0FA"/>
          </w:tcPr>
          <w:p w14:paraId="1742923F" w14:textId="77777777" w:rsidR="00203F72" w:rsidRPr="00A53581" w:rsidRDefault="00203F72" w:rsidP="00D87D91">
            <w:r w:rsidRPr="00A53581">
              <w:t>法條保障內容</w:t>
            </w:r>
          </w:p>
        </w:tc>
      </w:tr>
      <w:tr w:rsidR="00203F72" w:rsidRPr="00A53581" w14:paraId="1230968D" w14:textId="77777777" w:rsidTr="00767F37">
        <w:tc>
          <w:tcPr>
            <w:tcW w:w="510" w:type="pct"/>
            <w:vMerge w:val="restart"/>
            <w:shd w:val="clear" w:color="auto" w:fill="auto"/>
          </w:tcPr>
          <w:p w14:paraId="16D965EE" w14:textId="77777777" w:rsidR="00203F72" w:rsidRPr="00A53581" w:rsidRDefault="00203F72" w:rsidP="00D87D91">
            <w:r w:rsidRPr="00A53581">
              <w:t>保障</w:t>
            </w:r>
          </w:p>
        </w:tc>
        <w:tc>
          <w:tcPr>
            <w:tcW w:w="589" w:type="pct"/>
            <w:shd w:val="clear" w:color="auto" w:fill="auto"/>
          </w:tcPr>
          <w:p w14:paraId="2D280918" w14:textId="77777777" w:rsidR="00203F72" w:rsidRPr="00A53581" w:rsidRDefault="00203F72" w:rsidP="00D87D91">
            <w:r w:rsidRPr="00A53581">
              <w:t>原則規定</w:t>
            </w:r>
          </w:p>
        </w:tc>
        <w:tc>
          <w:tcPr>
            <w:tcW w:w="1330" w:type="pct"/>
            <w:shd w:val="clear" w:color="auto" w:fill="auto"/>
          </w:tcPr>
          <w:p w14:paraId="73F1A8F2" w14:textId="77777777" w:rsidR="00203F72" w:rsidRPr="00A53581" w:rsidRDefault="00203F72" w:rsidP="00D87D91">
            <w:r w:rsidRPr="00A53581">
              <w:rPr>
                <w:kern w:val="0"/>
              </w:rPr>
              <w:t>《中華民國憲法》</w:t>
            </w:r>
            <w:hyperlink r:id="rId1236" w:anchor="a15" w:history="1">
              <w:r w:rsidR="00B167C2" w:rsidRPr="00B167C2">
                <w:rPr>
                  <w:rStyle w:val="a5"/>
                </w:rPr>
                <w:t>第15條</w:t>
              </w:r>
            </w:hyperlink>
          </w:p>
        </w:tc>
        <w:tc>
          <w:tcPr>
            <w:tcW w:w="2571" w:type="pct"/>
            <w:shd w:val="clear" w:color="auto" w:fill="auto"/>
          </w:tcPr>
          <w:p w14:paraId="18EB33D8" w14:textId="77777777" w:rsidR="00203F72" w:rsidRPr="00A53581" w:rsidRDefault="00203F72" w:rsidP="00D87D91">
            <w:r w:rsidRPr="00A53581">
              <w:t>人民之生存權、工作權及『財產權』，應予保障</w:t>
            </w:r>
            <w:r w:rsidRPr="00A53581">
              <w:rPr>
                <w:kern w:val="0"/>
              </w:rPr>
              <w:t>。</w:t>
            </w:r>
          </w:p>
        </w:tc>
      </w:tr>
      <w:tr w:rsidR="00203F72" w:rsidRPr="00A53581" w14:paraId="2CA551EE" w14:textId="77777777" w:rsidTr="00767F37">
        <w:tc>
          <w:tcPr>
            <w:tcW w:w="510" w:type="pct"/>
            <w:vMerge/>
            <w:shd w:val="clear" w:color="auto" w:fill="auto"/>
          </w:tcPr>
          <w:p w14:paraId="6D0C51B9" w14:textId="77777777" w:rsidR="00203F72" w:rsidRPr="00A53581" w:rsidRDefault="00203F72" w:rsidP="00D87D91"/>
        </w:tc>
        <w:tc>
          <w:tcPr>
            <w:tcW w:w="589" w:type="pct"/>
            <w:vMerge w:val="restart"/>
            <w:shd w:val="clear" w:color="auto" w:fill="auto"/>
          </w:tcPr>
          <w:p w14:paraId="0CA81062" w14:textId="77777777" w:rsidR="00203F72" w:rsidRPr="00A53581" w:rsidRDefault="00203F72" w:rsidP="00D87D91">
            <w:r w:rsidRPr="00A53581">
              <w:t>具體規定</w:t>
            </w:r>
          </w:p>
        </w:tc>
        <w:tc>
          <w:tcPr>
            <w:tcW w:w="1330" w:type="pct"/>
            <w:shd w:val="clear" w:color="auto" w:fill="auto"/>
          </w:tcPr>
          <w:p w14:paraId="268941EA" w14:textId="77777777" w:rsidR="00203F72" w:rsidRPr="00A53581" w:rsidRDefault="00203F72" w:rsidP="00D87D91">
            <w:pPr>
              <w:rPr>
                <w:rFonts w:ascii="新細明體" w:hAnsi="新細明體"/>
                <w:kern w:val="0"/>
              </w:rPr>
            </w:pPr>
            <w:r w:rsidRPr="00A53581">
              <w:rPr>
                <w:rFonts w:ascii="新細明體" w:hAnsi="新細明體"/>
                <w:kern w:val="0"/>
              </w:rPr>
              <w:t>《中華民國憲法》</w:t>
            </w:r>
            <w:hyperlink r:id="rId1237" w:anchor="a143" w:history="1">
              <w:r w:rsidR="001F6A1B" w:rsidRPr="001F6A1B">
                <w:rPr>
                  <w:rStyle w:val="a5"/>
                </w:rPr>
                <w:t>第143條</w:t>
              </w:r>
            </w:hyperlink>
            <w:r w:rsidRPr="00A53581">
              <w:rPr>
                <w:rFonts w:ascii="新細明體" w:hAnsi="新細明體"/>
                <w:kern w:val="0"/>
              </w:rPr>
              <w:t>第一項</w:t>
            </w:r>
          </w:p>
        </w:tc>
        <w:tc>
          <w:tcPr>
            <w:tcW w:w="2571" w:type="pct"/>
            <w:shd w:val="clear" w:color="auto" w:fill="auto"/>
          </w:tcPr>
          <w:p w14:paraId="7AB27E54" w14:textId="77777777" w:rsidR="00203F72" w:rsidRPr="00A53581" w:rsidRDefault="00203F72" w:rsidP="00D87D91">
            <w:r w:rsidRPr="00A53581">
              <w:t>人民依法取得之土地所有權，應受法律之保障</w:t>
            </w:r>
            <w:r w:rsidRPr="00A53581">
              <w:rPr>
                <w:kern w:val="0"/>
              </w:rPr>
              <w:t>。</w:t>
            </w:r>
          </w:p>
        </w:tc>
      </w:tr>
      <w:tr w:rsidR="00203F72" w:rsidRPr="00A53581" w14:paraId="21610BBB" w14:textId="77777777" w:rsidTr="00767F37">
        <w:tc>
          <w:tcPr>
            <w:tcW w:w="510" w:type="pct"/>
            <w:vMerge/>
            <w:shd w:val="clear" w:color="auto" w:fill="auto"/>
          </w:tcPr>
          <w:p w14:paraId="5D44E336" w14:textId="77777777" w:rsidR="00203F72" w:rsidRPr="00A53581" w:rsidRDefault="00203F72" w:rsidP="00D87D91"/>
        </w:tc>
        <w:tc>
          <w:tcPr>
            <w:tcW w:w="589" w:type="pct"/>
            <w:vMerge/>
            <w:shd w:val="clear" w:color="auto" w:fill="auto"/>
          </w:tcPr>
          <w:p w14:paraId="36CD80F5" w14:textId="77777777" w:rsidR="00203F72" w:rsidRPr="00A53581" w:rsidRDefault="00203F72" w:rsidP="00D87D91"/>
        </w:tc>
        <w:tc>
          <w:tcPr>
            <w:tcW w:w="1330" w:type="pct"/>
            <w:shd w:val="clear" w:color="auto" w:fill="auto"/>
          </w:tcPr>
          <w:p w14:paraId="04D917E4" w14:textId="77777777" w:rsidR="00203F72" w:rsidRPr="00A53581" w:rsidRDefault="00203F72" w:rsidP="00D87D91">
            <w:r w:rsidRPr="00A53581">
              <w:t>《刑法》</w:t>
            </w:r>
            <w:hyperlink r:id="rId1238" w:anchor="a129" w:history="1">
              <w:r w:rsidRPr="001F6A1B">
                <w:rPr>
                  <w:rStyle w:val="a5"/>
                  <w:rFonts w:eastAsia="新細明體"/>
                  <w:kern w:val="0"/>
                </w:rPr>
                <w:t>129條</w:t>
              </w:r>
            </w:hyperlink>
          </w:p>
          <w:p w14:paraId="177633FD" w14:textId="77777777" w:rsidR="00203F72" w:rsidRPr="00A53581" w:rsidRDefault="00203F72" w:rsidP="00D87D91">
            <w:r w:rsidRPr="00A53581">
              <w:t>《民法》</w:t>
            </w:r>
            <w:hyperlink r:id="rId1239" w:anchor="a186" w:history="1">
              <w:r w:rsidRPr="00707676">
                <w:rPr>
                  <w:rStyle w:val="a5"/>
                  <w:rFonts w:eastAsia="新細明體"/>
                  <w:kern w:val="0"/>
                </w:rPr>
                <w:t>186條</w:t>
              </w:r>
            </w:hyperlink>
          </w:p>
          <w:p w14:paraId="2CB52031" w14:textId="77777777" w:rsidR="00203F72" w:rsidRPr="00A53581" w:rsidRDefault="00203F72" w:rsidP="00D87D91">
            <w:r w:rsidRPr="00A53581">
              <w:t>《國家賠償法》</w:t>
            </w:r>
            <w:hyperlink r:id="rId1240" w:anchor="a2" w:history="1">
              <w:r w:rsidRPr="008F066C">
                <w:rPr>
                  <w:rStyle w:val="a5"/>
                  <w:rFonts w:eastAsia="新細明體"/>
                  <w:kern w:val="0"/>
                </w:rPr>
                <w:t>第2條</w:t>
              </w:r>
            </w:hyperlink>
          </w:p>
        </w:tc>
        <w:tc>
          <w:tcPr>
            <w:tcW w:w="2571" w:type="pct"/>
            <w:shd w:val="clear" w:color="auto" w:fill="auto"/>
          </w:tcPr>
          <w:p w14:paraId="3BA0C2E1" w14:textId="77777777" w:rsidR="00203F72" w:rsidRPr="00A53581" w:rsidRDefault="00203F72" w:rsidP="00D87D91">
            <w:r w:rsidRPr="00A53581">
              <w:t>政府及其所屬公務員，不得非法侵害或剝奪人民之財產權，若侵害則負刑事責任（《刑法</w:t>
            </w:r>
            <w:r w:rsidR="00E1306F" w:rsidRPr="00A53581">
              <w:t>》</w:t>
            </w:r>
            <w:hyperlink r:id="rId1241" w:anchor="a129" w:history="1">
              <w:r w:rsidR="00E1306F" w:rsidRPr="001F6A1B">
                <w:rPr>
                  <w:rStyle w:val="a5"/>
                  <w:rFonts w:eastAsia="新細明體"/>
                  <w:kern w:val="0"/>
                </w:rPr>
                <w:t>129條</w:t>
              </w:r>
            </w:hyperlink>
            <w:r w:rsidRPr="00A53581">
              <w:t>）、民事責任（《民法</w:t>
            </w:r>
            <w:r w:rsidR="00E1306F" w:rsidRPr="00A53581">
              <w:t>》</w:t>
            </w:r>
            <w:hyperlink r:id="rId1242" w:anchor="a186" w:history="1">
              <w:r w:rsidR="00E1306F" w:rsidRPr="00707676">
                <w:rPr>
                  <w:rStyle w:val="a5"/>
                  <w:rFonts w:eastAsia="新細明體"/>
                  <w:kern w:val="0"/>
                </w:rPr>
                <w:t>186條</w:t>
              </w:r>
            </w:hyperlink>
            <w:r w:rsidRPr="00A53581">
              <w:t>），以及國家賠償責任（《國家賠償法》</w:t>
            </w:r>
            <w:hyperlink r:id="rId1243" w:anchor="a2" w:history="1">
              <w:r w:rsidRPr="008F066C">
                <w:rPr>
                  <w:rStyle w:val="a5"/>
                  <w:rFonts w:eastAsia="新細明體"/>
                  <w:kern w:val="0"/>
                </w:rPr>
                <w:t>第2條</w:t>
              </w:r>
            </w:hyperlink>
            <w:r w:rsidRPr="00A53581">
              <w:t>）。</w:t>
            </w:r>
          </w:p>
        </w:tc>
      </w:tr>
      <w:tr w:rsidR="00203F72" w:rsidRPr="00A53581" w14:paraId="0C18E2D6" w14:textId="77777777" w:rsidTr="00767F37">
        <w:tc>
          <w:tcPr>
            <w:tcW w:w="510" w:type="pct"/>
            <w:vMerge w:val="restart"/>
            <w:shd w:val="clear" w:color="auto" w:fill="auto"/>
          </w:tcPr>
          <w:p w14:paraId="230BBE2E" w14:textId="77777777" w:rsidR="00203F72" w:rsidRPr="00A53581" w:rsidRDefault="00203F72" w:rsidP="00D87D91">
            <w:r w:rsidRPr="00A53581">
              <w:t>具體規定</w:t>
            </w:r>
          </w:p>
        </w:tc>
        <w:tc>
          <w:tcPr>
            <w:tcW w:w="589" w:type="pct"/>
            <w:vMerge w:val="restart"/>
            <w:shd w:val="clear" w:color="auto" w:fill="auto"/>
          </w:tcPr>
          <w:p w14:paraId="148BBBDC" w14:textId="77777777" w:rsidR="00203F72" w:rsidRPr="00A53581" w:rsidRDefault="00203F72" w:rsidP="00D87D91">
            <w:r w:rsidRPr="00A53581">
              <w:t>土地所有權之限制</w:t>
            </w:r>
          </w:p>
        </w:tc>
        <w:tc>
          <w:tcPr>
            <w:tcW w:w="1330" w:type="pct"/>
            <w:shd w:val="clear" w:color="auto" w:fill="auto"/>
          </w:tcPr>
          <w:p w14:paraId="4FB2B5E5" w14:textId="77777777" w:rsidR="00203F72" w:rsidRPr="00A53581" w:rsidRDefault="00203F72" w:rsidP="00D87D91">
            <w:pPr>
              <w:rPr>
                <w:rFonts w:ascii="新細明體" w:hAnsi="新細明體"/>
                <w:kern w:val="0"/>
              </w:rPr>
            </w:pPr>
            <w:r w:rsidRPr="00A53581">
              <w:rPr>
                <w:rFonts w:ascii="新細明體" w:hAnsi="新細明體"/>
                <w:kern w:val="0"/>
              </w:rPr>
              <w:t>《中華民國憲法</w:t>
            </w:r>
            <w:r w:rsidR="00E1306F" w:rsidRPr="00A53581">
              <w:rPr>
                <w:rFonts w:ascii="新細明體" w:hAnsi="新細明體"/>
                <w:kern w:val="0"/>
              </w:rPr>
              <w:t>》</w:t>
            </w:r>
            <w:hyperlink r:id="rId1244" w:anchor="a143" w:history="1">
              <w:r w:rsidR="00E1306F" w:rsidRPr="001F6A1B">
                <w:rPr>
                  <w:rStyle w:val="a5"/>
                </w:rPr>
                <w:t>第143條</w:t>
              </w:r>
            </w:hyperlink>
          </w:p>
        </w:tc>
        <w:tc>
          <w:tcPr>
            <w:tcW w:w="2571" w:type="pct"/>
            <w:shd w:val="clear" w:color="auto" w:fill="auto"/>
          </w:tcPr>
          <w:p w14:paraId="15F8FD44" w14:textId="77777777" w:rsidR="00203F72" w:rsidRPr="00A53581" w:rsidRDefault="00203F72" w:rsidP="00D87D91">
            <w:r w:rsidRPr="00A53581">
              <w:t>中華民國領土內之土地屬於國民全體。人民依法取得之土地所有權，應受法律之保障與限制。私有土地應照價納稅，政府並得照價收買。附著於土地之礦，及經濟上可供公眾利用之天然力，屬於國家所有，不因人民取得土地所有權而受影響。土地價值非因施以勞力資本而增加者，應由國家徵收土地增值稅，歸人民共享之。國家對於土地之分配與整理，應以扶植自耕農及自行使用土地人為原則，並規定其適當經營之面積。</w:t>
            </w:r>
          </w:p>
        </w:tc>
      </w:tr>
      <w:tr w:rsidR="00203F72" w:rsidRPr="00A53581" w14:paraId="25B5388E" w14:textId="77777777" w:rsidTr="00767F37">
        <w:tc>
          <w:tcPr>
            <w:tcW w:w="510" w:type="pct"/>
            <w:vMerge/>
            <w:shd w:val="clear" w:color="auto" w:fill="auto"/>
          </w:tcPr>
          <w:p w14:paraId="31C2EA02" w14:textId="77777777" w:rsidR="00203F72" w:rsidRPr="00A53581" w:rsidRDefault="00203F72" w:rsidP="00D87D91"/>
        </w:tc>
        <w:tc>
          <w:tcPr>
            <w:tcW w:w="589" w:type="pct"/>
            <w:vMerge/>
            <w:shd w:val="clear" w:color="auto" w:fill="auto"/>
          </w:tcPr>
          <w:p w14:paraId="1D982665" w14:textId="77777777" w:rsidR="00203F72" w:rsidRPr="00A53581" w:rsidRDefault="00203F72" w:rsidP="00D87D91"/>
        </w:tc>
        <w:tc>
          <w:tcPr>
            <w:tcW w:w="1330" w:type="pct"/>
            <w:shd w:val="clear" w:color="auto" w:fill="auto"/>
          </w:tcPr>
          <w:p w14:paraId="7105B818" w14:textId="77777777" w:rsidR="00203F72" w:rsidRPr="00A53581" w:rsidRDefault="00203F72" w:rsidP="00D87D91">
            <w:r w:rsidRPr="00A53581">
              <w:t>《土地法》</w:t>
            </w:r>
            <w:hyperlink r:id="rId1245" w:anchor="a208" w:history="1">
              <w:r w:rsidRPr="00E1306F">
                <w:rPr>
                  <w:rStyle w:val="a5"/>
                  <w:rFonts w:eastAsia="新細明體"/>
                  <w:kern w:val="0"/>
                </w:rPr>
                <w:t>第208條</w:t>
              </w:r>
            </w:hyperlink>
          </w:p>
        </w:tc>
        <w:tc>
          <w:tcPr>
            <w:tcW w:w="2571" w:type="pct"/>
            <w:shd w:val="clear" w:color="auto" w:fill="auto"/>
          </w:tcPr>
          <w:p w14:paraId="037474E5" w14:textId="77777777" w:rsidR="00203F72" w:rsidRPr="00A53581" w:rsidRDefault="00203F72" w:rsidP="00D87D91">
            <w:r w:rsidRPr="00A53581">
              <w:t>國家因左列公共事業之需要，得依本法之規定徵收私有土地。但徵收之範圍，應以其事業所必需者為限：一、國防設備。二、交通事業。三、公用事業。四。水利事業。五、公共衛生。六、政府機關、地方自治機關及其他公共建築。七、教育學術及慈善事業。八、國營事業。九、其他由政府興辦以公共利益為目的之事業。</w:t>
            </w:r>
          </w:p>
        </w:tc>
      </w:tr>
      <w:tr w:rsidR="00203F72" w:rsidRPr="00A53581" w14:paraId="53D9977A" w14:textId="77777777" w:rsidTr="00767F37">
        <w:tc>
          <w:tcPr>
            <w:tcW w:w="510" w:type="pct"/>
            <w:vMerge/>
            <w:shd w:val="clear" w:color="auto" w:fill="auto"/>
          </w:tcPr>
          <w:p w14:paraId="34475E60" w14:textId="77777777" w:rsidR="00203F72" w:rsidRPr="00A53581" w:rsidRDefault="00203F72" w:rsidP="00D87D91"/>
        </w:tc>
        <w:tc>
          <w:tcPr>
            <w:tcW w:w="589" w:type="pct"/>
            <w:vMerge/>
            <w:shd w:val="clear" w:color="auto" w:fill="auto"/>
          </w:tcPr>
          <w:p w14:paraId="30FC6AF5" w14:textId="77777777" w:rsidR="00203F72" w:rsidRPr="00A53581" w:rsidRDefault="00203F72" w:rsidP="00D87D91"/>
        </w:tc>
        <w:tc>
          <w:tcPr>
            <w:tcW w:w="1330" w:type="pct"/>
            <w:shd w:val="clear" w:color="auto" w:fill="auto"/>
          </w:tcPr>
          <w:p w14:paraId="5EA009ED" w14:textId="77777777" w:rsidR="00203F72" w:rsidRPr="00A53581" w:rsidRDefault="00203F72" w:rsidP="00D87D91">
            <w:r w:rsidRPr="00A53581">
              <w:t>《土地法》</w:t>
            </w:r>
            <w:hyperlink r:id="rId1246" w:anchor="a209" w:history="1">
              <w:r w:rsidRPr="00E1306F">
                <w:rPr>
                  <w:rStyle w:val="a5"/>
                  <w:rFonts w:eastAsia="新細明體"/>
                  <w:kern w:val="0"/>
                </w:rPr>
                <w:t>第209條</w:t>
              </w:r>
            </w:hyperlink>
          </w:p>
        </w:tc>
        <w:tc>
          <w:tcPr>
            <w:tcW w:w="2571" w:type="pct"/>
            <w:shd w:val="clear" w:color="auto" w:fill="auto"/>
          </w:tcPr>
          <w:p w14:paraId="3CA9A988" w14:textId="77777777" w:rsidR="00203F72" w:rsidRPr="00A53581" w:rsidRDefault="00203F72" w:rsidP="00D87D91">
            <w:r w:rsidRPr="00A53581">
              <w:t>政府機關因實施國家經濟政策，得徵收私有土地，但應以法律規定者為限</w:t>
            </w:r>
            <w:r w:rsidRPr="00A53581">
              <w:rPr>
                <w:kern w:val="0"/>
              </w:rPr>
              <w:t>。</w:t>
            </w:r>
          </w:p>
        </w:tc>
      </w:tr>
      <w:tr w:rsidR="00203F72" w:rsidRPr="00A53581" w14:paraId="62860C53" w14:textId="77777777" w:rsidTr="00767F37">
        <w:tc>
          <w:tcPr>
            <w:tcW w:w="510" w:type="pct"/>
            <w:vMerge/>
            <w:shd w:val="clear" w:color="auto" w:fill="auto"/>
          </w:tcPr>
          <w:p w14:paraId="5D9511B0" w14:textId="77777777" w:rsidR="00203F72" w:rsidRPr="00A53581" w:rsidRDefault="00203F72" w:rsidP="00D87D91"/>
        </w:tc>
        <w:tc>
          <w:tcPr>
            <w:tcW w:w="589" w:type="pct"/>
            <w:vMerge/>
            <w:shd w:val="clear" w:color="auto" w:fill="auto"/>
          </w:tcPr>
          <w:p w14:paraId="3AD47C22" w14:textId="77777777" w:rsidR="00203F72" w:rsidRPr="00A53581" w:rsidRDefault="00203F72" w:rsidP="00D87D91"/>
        </w:tc>
        <w:tc>
          <w:tcPr>
            <w:tcW w:w="1330" w:type="pct"/>
            <w:shd w:val="clear" w:color="auto" w:fill="auto"/>
          </w:tcPr>
          <w:p w14:paraId="04AAED1C" w14:textId="77777777" w:rsidR="00203F72" w:rsidRPr="00A53581" w:rsidRDefault="00203F72" w:rsidP="00D87D91">
            <w:r w:rsidRPr="00A53581">
              <w:t>《土地法》</w:t>
            </w:r>
            <w:hyperlink r:id="rId1247" w:anchor="a210" w:history="1">
              <w:r w:rsidRPr="00E1306F">
                <w:rPr>
                  <w:rStyle w:val="a5"/>
                  <w:rFonts w:eastAsia="新細明體"/>
                  <w:kern w:val="0"/>
                </w:rPr>
                <w:t>第210條</w:t>
              </w:r>
            </w:hyperlink>
          </w:p>
        </w:tc>
        <w:tc>
          <w:tcPr>
            <w:tcW w:w="2571" w:type="pct"/>
            <w:shd w:val="clear" w:color="auto" w:fill="auto"/>
          </w:tcPr>
          <w:p w14:paraId="2C570CF6" w14:textId="77777777" w:rsidR="00203F72" w:rsidRPr="00A53581" w:rsidRDefault="00723D4E" w:rsidP="00D87D91">
            <w:pPr>
              <w:rPr>
                <w:kern w:val="0"/>
              </w:rPr>
            </w:pPr>
            <w:r>
              <w:rPr>
                <w:rFonts w:hint="eastAsia"/>
              </w:rPr>
              <w:t xml:space="preserve">　　</w:t>
            </w:r>
            <w:r w:rsidR="00203F72" w:rsidRPr="00A53581">
              <w:t>徵收土地，遇有名勝古蹟，應於可能範圍內避免之</w:t>
            </w:r>
            <w:r w:rsidR="00203F72" w:rsidRPr="00A53581">
              <w:rPr>
                <w:kern w:val="0"/>
              </w:rPr>
              <w:t>。</w:t>
            </w:r>
          </w:p>
          <w:p w14:paraId="2298FF47" w14:textId="77777777" w:rsidR="00203F72" w:rsidRPr="00A53581" w:rsidRDefault="00723D4E" w:rsidP="00D87D91">
            <w:r>
              <w:rPr>
                <w:rFonts w:hint="eastAsia"/>
              </w:rPr>
              <w:t xml:space="preserve">　　</w:t>
            </w:r>
            <w:r w:rsidR="00203F72" w:rsidRPr="00A53581">
              <w:t>名勝古蹟已在被徵收土地區內者，應於可能範圍內保存之。</w:t>
            </w:r>
          </w:p>
        </w:tc>
      </w:tr>
      <w:tr w:rsidR="00203F72" w:rsidRPr="00A53581" w14:paraId="17F22409" w14:textId="77777777" w:rsidTr="00767F37">
        <w:tc>
          <w:tcPr>
            <w:tcW w:w="510" w:type="pct"/>
            <w:shd w:val="clear" w:color="auto" w:fill="auto"/>
          </w:tcPr>
          <w:p w14:paraId="4B93BB92" w14:textId="77777777" w:rsidR="00203F72" w:rsidRPr="00A53581" w:rsidRDefault="00203F72" w:rsidP="00D87D91"/>
        </w:tc>
        <w:tc>
          <w:tcPr>
            <w:tcW w:w="1919" w:type="pct"/>
            <w:gridSpan w:val="2"/>
            <w:shd w:val="clear" w:color="auto" w:fill="auto"/>
          </w:tcPr>
          <w:p w14:paraId="7D8FADB2" w14:textId="77777777" w:rsidR="00203F72" w:rsidRPr="00A53581" w:rsidRDefault="00203F72" w:rsidP="00D87D91">
            <w:r w:rsidRPr="00A53581">
              <w:t>《中華民國憲法》</w:t>
            </w:r>
            <w:hyperlink r:id="rId1248" w:anchor="a145" w:history="1">
              <w:r w:rsidRPr="00767F37">
                <w:rPr>
                  <w:rStyle w:val="a5"/>
                  <w:rFonts w:ascii="Times New Roman" w:eastAsia="新細明體" w:hAnsi="Times New Roman"/>
                </w:rPr>
                <w:t>第</w:t>
              </w:r>
              <w:r w:rsidRPr="00767F37">
                <w:rPr>
                  <w:rStyle w:val="a5"/>
                  <w:rFonts w:ascii="Times New Roman" w:eastAsia="新細明體" w:hAnsi="Times New Roman"/>
                </w:rPr>
                <w:t>145</w:t>
              </w:r>
              <w:r w:rsidRPr="00767F37">
                <w:rPr>
                  <w:rStyle w:val="a5"/>
                  <w:rFonts w:ascii="Times New Roman" w:eastAsia="新細明體" w:hAnsi="Times New Roman"/>
                </w:rPr>
                <w:t>條</w:t>
              </w:r>
            </w:hyperlink>
            <w:r w:rsidRPr="00A53581">
              <w:t>第一項</w:t>
            </w:r>
          </w:p>
        </w:tc>
        <w:tc>
          <w:tcPr>
            <w:tcW w:w="2571" w:type="pct"/>
            <w:shd w:val="clear" w:color="auto" w:fill="auto"/>
          </w:tcPr>
          <w:p w14:paraId="0C0787D1" w14:textId="77777777" w:rsidR="00203F72" w:rsidRPr="00A53581" w:rsidRDefault="00203F72" w:rsidP="00D87D91">
            <w:r w:rsidRPr="00A53581">
              <w:t>國家對於私人財富及私營事業，認為有妨害國計民生之平衡發展者，應以法律限制之</w:t>
            </w:r>
            <w:r w:rsidRPr="00A53581">
              <w:rPr>
                <w:kern w:val="0"/>
              </w:rPr>
              <w:t>。</w:t>
            </w:r>
          </w:p>
        </w:tc>
      </w:tr>
    </w:tbl>
    <w:p w14:paraId="3F5D2F35" w14:textId="77777777" w:rsidR="00953151" w:rsidRDefault="002107CE" w:rsidP="00D87D91">
      <w:r>
        <w:t>【本表格資料來源】</w:t>
      </w:r>
      <w:r w:rsidR="00203F72" w:rsidRPr="00A53581">
        <w:t>楊敏華</w:t>
      </w:r>
      <w:r w:rsidR="00203F72" w:rsidRPr="00A53581">
        <w:rPr>
          <w:rFonts w:hint="eastAsia"/>
        </w:rPr>
        <w:t>(</w:t>
      </w:r>
      <w:r w:rsidR="00203F72" w:rsidRPr="00A53581">
        <w:rPr>
          <w:kern w:val="0"/>
        </w:rPr>
        <w:t>2004</w:t>
      </w:r>
      <w:r w:rsidR="00203F72" w:rsidRPr="00A53581">
        <w:rPr>
          <w:rFonts w:hint="eastAsia"/>
          <w:kern w:val="0"/>
        </w:rPr>
        <w:t>)</w:t>
      </w:r>
      <w:r w:rsidR="00203F72" w:rsidRPr="00A53581">
        <w:t>，</w:t>
      </w:r>
      <w:r w:rsidR="00203F72" w:rsidRPr="00A53581">
        <w:rPr>
          <w:kern w:val="0"/>
        </w:rPr>
        <w:t>《中華民國憲法釋論》，台北：五南文化事業，頁</w:t>
      </w:r>
      <w:r w:rsidR="00203F72" w:rsidRPr="00A53581">
        <w:rPr>
          <w:kern w:val="0"/>
        </w:rPr>
        <w:t>96-97</w:t>
      </w:r>
      <w:r w:rsidR="00203F72" w:rsidRPr="00A53581">
        <w:rPr>
          <w:kern w:val="0"/>
        </w:rPr>
        <w:t>。</w:t>
      </w:r>
      <w:r w:rsidR="00203F72" w:rsidRPr="00A53581">
        <w:t>劉兆隆、林麗香、林宗達、柳金財、梁文興、陳朝政、葉怡君、蔡志昇</w:t>
      </w:r>
      <w:r w:rsidR="00203F72" w:rsidRPr="00A53581">
        <w:t>(2011)</w:t>
      </w:r>
      <w:r w:rsidR="00203F72" w:rsidRPr="00A53581">
        <w:t>，中華民國憲法綜論，新北市：晶典文化出版社，第</w:t>
      </w:r>
      <w:r w:rsidR="00203F72" w:rsidRPr="00A53581">
        <w:t>159</w:t>
      </w:r>
      <w:r w:rsidR="00203F72" w:rsidRPr="00A53581">
        <w:rPr>
          <w:rFonts w:hint="eastAsia"/>
        </w:rPr>
        <w:t>-</w:t>
      </w:r>
      <w:r w:rsidR="00203F72" w:rsidRPr="00A53581">
        <w:t>160</w:t>
      </w:r>
      <w:r w:rsidR="00203F72" w:rsidRPr="00A53581">
        <w:t>頁。</w:t>
      </w:r>
    </w:p>
    <w:p w14:paraId="74E8D819" w14:textId="77777777" w:rsidR="00953151" w:rsidRDefault="00076467" w:rsidP="00767F37">
      <w:pPr>
        <w:pStyle w:val="2"/>
      </w:pPr>
      <w:hyperlink r:id="rId1249" w:anchor="a144" w:history="1">
        <w:r w:rsidR="005D5A46">
          <w:rPr>
            <w:rStyle w:val="a5"/>
            <w:rFonts w:ascii="Arial Unicode MS" w:hAnsi="Arial Unicode MS"/>
          </w:rPr>
          <w:t>第</w:t>
        </w:r>
        <w:r w:rsidR="00203F72" w:rsidRPr="00AB0A74">
          <w:rPr>
            <w:rStyle w:val="a5"/>
            <w:rFonts w:ascii="Arial Unicode MS" w:hAnsi="Arial Unicode MS"/>
          </w:rPr>
          <w:t>144</w:t>
        </w:r>
        <w:r w:rsidR="005D5A46">
          <w:rPr>
            <w:rStyle w:val="a5"/>
            <w:rFonts w:ascii="Arial Unicode MS" w:hAnsi="Arial Unicode MS"/>
          </w:rPr>
          <w:t>條</w:t>
        </w:r>
      </w:hyperlink>
      <w:r w:rsidR="00203F72" w:rsidRPr="00A53581">
        <w:t>公用事業及其他有獨佔性之企業，以公營為原則，其經法律許可者，得由國民經營之。</w:t>
      </w:r>
    </w:p>
    <w:p w14:paraId="23B71ABD" w14:textId="77777777" w:rsidR="00953151" w:rsidRPr="00E1306F" w:rsidRDefault="00B03E84" w:rsidP="00D87D91">
      <w:r w:rsidRPr="00E1306F">
        <w:t>【內容解析】</w:t>
      </w:r>
    </w:p>
    <w:p w14:paraId="42898E9D" w14:textId="77777777" w:rsidR="00953151" w:rsidRPr="00E1306F" w:rsidRDefault="00800CD7" w:rsidP="00D87D91">
      <w:r w:rsidRPr="00E1306F">
        <w:t xml:space="preserve">　　</w:t>
      </w:r>
      <w:r w:rsidR="00203F72" w:rsidRPr="00E1306F">
        <w:t>為避免公用事業及其它獨佔性企業受不當操控，或因缺乏競爭，導致效率低落。因此，公用事業及其他有獨佔性企業，宜以公營為原則。然而，因為公營企業存在許多經營之限制，最大之問題在缺乏效率，如何平衡公平與效率，一直是國家社會之挑戰。有關於公用事業及其他有獨佔性之企業之經營模式，全球之潮流，有朝向公辦民營及民營化之趨勢方向發展，本條之規定，似宜新增若干可行之選項為佳。如將公用事業及其他有獨佔性之企業，限定為以公營為原則，是否會限制台灣國民經濟之發展，近年來，諸多之學者與專家，已提出許多之質疑。</w:t>
      </w:r>
    </w:p>
    <w:p w14:paraId="32310197" w14:textId="77777777" w:rsidR="00203F72" w:rsidRPr="00A53581" w:rsidRDefault="00076467" w:rsidP="00767F37">
      <w:pPr>
        <w:pStyle w:val="2"/>
      </w:pPr>
      <w:hyperlink r:id="rId1250" w:anchor="a145" w:history="1">
        <w:r w:rsidR="005D5A46">
          <w:rPr>
            <w:rStyle w:val="a5"/>
            <w:rFonts w:ascii="Arial Unicode MS" w:hAnsi="Arial Unicode MS"/>
          </w:rPr>
          <w:t>第</w:t>
        </w:r>
        <w:r w:rsidR="00203F72" w:rsidRPr="00AB0A74">
          <w:rPr>
            <w:rStyle w:val="a5"/>
            <w:rFonts w:ascii="Arial Unicode MS" w:hAnsi="Arial Unicode MS"/>
          </w:rPr>
          <w:t>145</w:t>
        </w:r>
        <w:r w:rsidR="005D5A46">
          <w:rPr>
            <w:rStyle w:val="a5"/>
            <w:rFonts w:ascii="Arial Unicode MS" w:hAnsi="Arial Unicode MS"/>
          </w:rPr>
          <w:t>條</w:t>
        </w:r>
      </w:hyperlink>
      <w:r w:rsidR="00203F72" w:rsidRPr="00A53581">
        <w:t>國家對於私人財富及私營事業，認為有妨害國計民生之平衡發展者，應以法律限制之。</w:t>
      </w:r>
    </w:p>
    <w:p w14:paraId="1D16CE8E" w14:textId="77777777" w:rsidR="00203F72" w:rsidRPr="00E1306F" w:rsidRDefault="00800CD7" w:rsidP="00D87D91">
      <w:r w:rsidRPr="00E1306F">
        <w:t xml:space="preserve">　　</w:t>
      </w:r>
      <w:r w:rsidR="00203F72" w:rsidRPr="00E1306F">
        <w:t>合作事業應受國家之獎勵與扶助。</w:t>
      </w:r>
    </w:p>
    <w:p w14:paraId="0EFEE91E" w14:textId="77777777" w:rsidR="00953151" w:rsidRPr="00E1306F" w:rsidRDefault="00800CD7" w:rsidP="00D87D91">
      <w:r w:rsidRPr="00E1306F">
        <w:t xml:space="preserve">　　</w:t>
      </w:r>
      <w:r w:rsidR="00203F72" w:rsidRPr="00E1306F">
        <w:t>國民生產事業及對外貿易，應受國家之獎勵、指導及保護。</w:t>
      </w:r>
    </w:p>
    <w:p w14:paraId="6441DAF8" w14:textId="77777777" w:rsidR="00953151" w:rsidRPr="00E1306F" w:rsidRDefault="00B03E84" w:rsidP="00D87D91">
      <w:r w:rsidRPr="00E1306F">
        <w:t>【內容解析】</w:t>
      </w:r>
    </w:p>
    <w:p w14:paraId="4D7A4957" w14:textId="77777777" w:rsidR="00953151" w:rsidRPr="00E1306F" w:rsidRDefault="00800CD7" w:rsidP="00D87D91">
      <w:r w:rsidRPr="00E1306F">
        <w:t xml:space="preserve">　　</w:t>
      </w:r>
      <w:r w:rsidR="00203F72" w:rsidRPr="00E1306F">
        <w:t>由於私人事業鼓勵追求財富，難免因為背後之強烈誘因，不擇手段或以違法之方式追求利潤或財富，導致國計民生平衡發展受到威脅。包括企業社會責任之式微，如任意排放污染或丟棄廢棄物，造成環境嚴重之傷害。</w:t>
      </w:r>
    </w:p>
    <w:p w14:paraId="675C6200" w14:textId="77777777" w:rsidR="00953151" w:rsidRPr="00E1306F" w:rsidRDefault="00800CD7" w:rsidP="00D87D91">
      <w:r w:rsidRPr="00E1306F">
        <w:t xml:space="preserve">　　</w:t>
      </w:r>
      <w:r w:rsidR="00203F72" w:rsidRPr="00E1306F">
        <w:t>關於合作事業應受國家之獎勵與扶助，在這部分，內政部成立入口網站，並提供相關訊息，例如該網站對合作事業之解釋，係為：「我國憲法</w:t>
      </w:r>
      <w:hyperlink r:id="rId1251" w:anchor="a145" w:history="1">
        <w:r w:rsidR="00E1306F" w:rsidRPr="00E1306F">
          <w:rPr>
            <w:rStyle w:val="a5"/>
          </w:rPr>
          <w:t>第145條</w:t>
        </w:r>
      </w:hyperlink>
      <w:r w:rsidR="00203F72" w:rsidRPr="00E1306F">
        <w:t>第</w:t>
      </w:r>
      <w:r w:rsidR="00203F72" w:rsidRPr="00E1306F">
        <w:t>2</w:t>
      </w:r>
      <w:r w:rsidR="00203F72" w:rsidRPr="00E1306F">
        <w:t>項明定「合作事業應受國家之獎勵與扶助」列為基本國策。據此，政府乃制定有合作社法暨其施行細則等專業法規，作為輔導管理合作社之依據，並設置合作行政主管機關，負責管理輔導、整合發展合作事業，期達成發展國民經濟，增進全民福祉之目標。我國各類合作社（場）包括生產、運銷、供給、利用、勞動、消費、公用、運輸、保險、合作農場、社區合作社及儲蓄互助社等</w:t>
      </w:r>
      <w:r w:rsidR="00203F72" w:rsidRPr="00E1306F">
        <w:t>12</w:t>
      </w:r>
      <w:r w:rsidR="00203F72" w:rsidRPr="00E1306F">
        <w:t>類，截至民國</w:t>
      </w:r>
      <w:r w:rsidR="00203F72" w:rsidRPr="00E1306F">
        <w:t>101</w:t>
      </w:r>
      <w:r w:rsidR="00203F72" w:rsidRPr="00E1306F">
        <w:t>年底止，共有</w:t>
      </w:r>
      <w:r w:rsidR="00203F72" w:rsidRPr="00E1306F">
        <w:t>4,618</w:t>
      </w:r>
      <w:r w:rsidR="00203F72" w:rsidRPr="00E1306F">
        <w:t>社，社員人數</w:t>
      </w:r>
      <w:r w:rsidR="00203F72" w:rsidRPr="00E1306F">
        <w:t>264</w:t>
      </w:r>
      <w:r w:rsidR="00203F72" w:rsidRPr="00E1306F">
        <w:t>萬餘人。」</w:t>
      </w:r>
      <w:r w:rsidR="00203F72" w:rsidRPr="00E1306F">
        <w:footnoteReference w:id="116"/>
      </w:r>
    </w:p>
    <w:p w14:paraId="5E287A35" w14:textId="77777777" w:rsidR="00953151" w:rsidRPr="00E1306F" w:rsidRDefault="00800CD7" w:rsidP="00D87D91">
      <w:r w:rsidRPr="00E1306F">
        <w:t xml:space="preserve">　　</w:t>
      </w:r>
      <w:r w:rsidR="00203F72" w:rsidRPr="00E1306F">
        <w:t>獎勵與扶助合作事業，其實可以降低交易成本，對農民、經銷商、消費者都有正面意義。為拓展國際市場或提升國家競爭力，對於國民生產事業及對外貿易，應受國家之獎勵、指導及保護。當國家對外貿易實力愈來愈強，國家競爭力自然也就提升。為了強化我國之對外貿易實力，政府宜積極與其他經濟體或國家，簽訂自由貿易協定，諸如：向歐盟與歐盟各國進行遊說，洽簽經濟合作協定</w:t>
      </w:r>
      <w:r w:rsidR="00203F72" w:rsidRPr="00E1306F">
        <w:t>(ECA)</w:t>
      </w:r>
      <w:r w:rsidR="00203F72" w:rsidRPr="00E1306F">
        <w:t>；在跨太平洋夥伴協議</w:t>
      </w:r>
      <w:r w:rsidR="00203F72" w:rsidRPr="00E1306F">
        <w:t>(TPP)</w:t>
      </w:r>
      <w:r w:rsidR="00203F72" w:rsidRPr="00E1306F">
        <w:t>方面，我國亦宜積極主動逐步創造條件，加入跨太平洋夥伴協議</w:t>
      </w:r>
      <w:r w:rsidR="00203F72" w:rsidRPr="00E1306F">
        <w:t>(TPP)</w:t>
      </w:r>
      <w:r w:rsidR="00203F72" w:rsidRPr="00E1306F">
        <w:footnoteReference w:id="117"/>
      </w:r>
      <w:r w:rsidR="00203F72" w:rsidRPr="00E1306F">
        <w:t>。</w:t>
      </w:r>
    </w:p>
    <w:p w14:paraId="51E525C9" w14:textId="77777777" w:rsidR="00953151" w:rsidRDefault="00076467" w:rsidP="00767F37">
      <w:pPr>
        <w:pStyle w:val="2"/>
      </w:pPr>
      <w:hyperlink r:id="rId1252" w:anchor="a146" w:history="1">
        <w:r w:rsidR="005D5A46">
          <w:rPr>
            <w:rStyle w:val="a5"/>
            <w:rFonts w:ascii="Arial Unicode MS" w:hAnsi="Arial Unicode MS"/>
          </w:rPr>
          <w:t>第</w:t>
        </w:r>
        <w:r w:rsidR="00203F72" w:rsidRPr="00AB0A74">
          <w:rPr>
            <w:rStyle w:val="a5"/>
            <w:rFonts w:ascii="Arial Unicode MS" w:hAnsi="Arial Unicode MS"/>
          </w:rPr>
          <w:t>146</w:t>
        </w:r>
        <w:r w:rsidR="005D5A46">
          <w:rPr>
            <w:rStyle w:val="a5"/>
            <w:rFonts w:ascii="Arial Unicode MS" w:hAnsi="Arial Unicode MS"/>
          </w:rPr>
          <w:t>條</w:t>
        </w:r>
      </w:hyperlink>
      <w:r w:rsidR="00203F72" w:rsidRPr="00A53581">
        <w:t>國家應運用科學技術，以興修水利，增進地力，改善農業環境，規劃土地利用，開發農業資源，促成農業之工業化。</w:t>
      </w:r>
    </w:p>
    <w:p w14:paraId="5EE76463" w14:textId="77777777" w:rsidR="00953151" w:rsidRPr="00E1306F" w:rsidRDefault="00B03E84" w:rsidP="00D87D91">
      <w:r w:rsidRPr="00E1306F">
        <w:t>【內容解析】</w:t>
      </w:r>
    </w:p>
    <w:p w14:paraId="6E031808" w14:textId="77777777" w:rsidR="00953151" w:rsidRPr="00E1306F" w:rsidRDefault="00800CD7" w:rsidP="00D87D91">
      <w:r w:rsidRPr="00E1306F">
        <w:t xml:space="preserve">　　</w:t>
      </w:r>
      <w:r w:rsidR="00203F72" w:rsidRPr="00E1306F">
        <w:t>科學技術是非常重要之興利工具，特別是因地球暖造成災害頻傳，因此如何運用科技興修水利；同時增加土地應用潛力，並藉此改善農業灌溉用水環境。這部分得要和國土規劃作連結，透過水資源開發與應用之連結，使農業資源得以進一步開始，有利農業工業化之發展。這部分亦可透過產官學界之合作，讓科學技術、水利、土地利用、農業環境、農業資源，作更緊密之結合。</w:t>
      </w:r>
    </w:p>
    <w:p w14:paraId="07BDE498" w14:textId="77777777" w:rsidR="00203F72" w:rsidRPr="00A53581" w:rsidRDefault="00076467" w:rsidP="00767F37">
      <w:pPr>
        <w:pStyle w:val="2"/>
      </w:pPr>
      <w:hyperlink r:id="rId1253" w:anchor="a147" w:history="1">
        <w:r w:rsidR="005D5A46">
          <w:rPr>
            <w:rStyle w:val="a5"/>
            <w:rFonts w:ascii="Arial Unicode MS" w:hAnsi="Arial Unicode MS"/>
          </w:rPr>
          <w:t>第</w:t>
        </w:r>
        <w:r w:rsidR="00203F72" w:rsidRPr="00AB0A74">
          <w:rPr>
            <w:rStyle w:val="a5"/>
            <w:rFonts w:ascii="Arial Unicode MS" w:hAnsi="Arial Unicode MS"/>
          </w:rPr>
          <w:t>147</w:t>
        </w:r>
        <w:r w:rsidR="005D5A46">
          <w:rPr>
            <w:rStyle w:val="a5"/>
            <w:rFonts w:ascii="Arial Unicode MS" w:hAnsi="Arial Unicode MS"/>
          </w:rPr>
          <w:t>條</w:t>
        </w:r>
      </w:hyperlink>
      <w:r w:rsidR="00203F72" w:rsidRPr="00A53581">
        <w:t>中央為謀省與省間之經濟平衡發展，對於貧瘠之省，應酌予補助。</w:t>
      </w:r>
    </w:p>
    <w:p w14:paraId="1AF74E19" w14:textId="77777777" w:rsidR="00953151" w:rsidRPr="00E1306F" w:rsidRDefault="00767F37" w:rsidP="00D87D91">
      <w:r>
        <w:rPr>
          <w:rFonts w:hint="eastAsia"/>
        </w:rPr>
        <w:t xml:space="preserve">　　</w:t>
      </w:r>
      <w:r w:rsidR="00203F72" w:rsidRPr="00E1306F">
        <w:t>省為謀縣與縣間之經濟平衡發展，對於貧瘠之縣，應酌予補助。</w:t>
      </w:r>
    </w:p>
    <w:p w14:paraId="1C7BD55F" w14:textId="77777777" w:rsidR="00953151" w:rsidRPr="00E1306F" w:rsidRDefault="00B03E84" w:rsidP="00D87D91">
      <w:r w:rsidRPr="00E1306F">
        <w:t>【內容解析】</w:t>
      </w:r>
    </w:p>
    <w:p w14:paraId="55B57181" w14:textId="77777777" w:rsidR="00953151" w:rsidRPr="00E1306F" w:rsidRDefault="00800CD7" w:rsidP="00D87D91">
      <w:r w:rsidRPr="00E1306F">
        <w:t xml:space="preserve">　　</w:t>
      </w:r>
      <w:r w:rsidR="00203F72" w:rsidRPr="00E1306F">
        <w:t>中央政府有責任作資源分配，令貧瘠省縣市獲得更多之補助，以協助不同區域之平衡發展。否則可能因為區域經濟不平等，導致其它如工作環境、生活環境、教育環境等問題之惡化，付出之成本可能更高。</w:t>
      </w:r>
    </w:p>
    <w:p w14:paraId="2CD05375" w14:textId="77777777" w:rsidR="00953151" w:rsidRPr="00E1306F" w:rsidRDefault="00800CD7" w:rsidP="00D87D91">
      <w:r w:rsidRPr="00E1306F">
        <w:t xml:space="preserve">　　</w:t>
      </w:r>
      <w:r w:rsidR="00203F72" w:rsidRPr="00E1306F">
        <w:t>在法律方面，我國制定「公共債務法」及「</w:t>
      </w:r>
      <w:hyperlink r:id="rId1254" w:history="1">
        <w:r w:rsidR="00203F72" w:rsidRPr="00E1306F">
          <w:rPr>
            <w:rStyle w:val="a5"/>
          </w:rPr>
          <w:t>財政收支劃分法</w:t>
        </w:r>
      </w:hyperlink>
      <w:r w:rsidR="00203F72" w:rsidRPr="00E1306F">
        <w:t>」，作為改善地方財政之用。就中央與地方財權分配比例而論，以美國、德國與日本例，中央與地方財權分配比例大致為：美國</w:t>
      </w:r>
      <w:r w:rsidR="00203F72" w:rsidRPr="00E1306F">
        <w:t>5</w:t>
      </w:r>
      <w:r w:rsidR="00203F72" w:rsidRPr="00E1306F">
        <w:t>比</w:t>
      </w:r>
      <w:r w:rsidR="00203F72" w:rsidRPr="00E1306F">
        <w:t>5</w:t>
      </w:r>
      <w:r w:rsidR="00203F72" w:rsidRPr="00E1306F">
        <w:t>、德國</w:t>
      </w:r>
      <w:r w:rsidR="00203F72" w:rsidRPr="00E1306F">
        <w:t>4</w:t>
      </w:r>
      <w:r w:rsidR="00203F72" w:rsidRPr="00E1306F">
        <w:t>比</w:t>
      </w:r>
      <w:r w:rsidR="00203F72" w:rsidRPr="00E1306F">
        <w:t>6</w:t>
      </w:r>
      <w:r w:rsidR="00203F72" w:rsidRPr="00E1306F">
        <w:t>、日本</w:t>
      </w:r>
      <w:r w:rsidR="00203F72" w:rsidRPr="00E1306F">
        <w:t>3</w:t>
      </w:r>
      <w:r w:rsidR="00203F72" w:rsidRPr="00E1306F">
        <w:t>比</w:t>
      </w:r>
      <w:r w:rsidR="00203F72" w:rsidRPr="00E1306F">
        <w:t>7</w:t>
      </w:r>
      <w:r w:rsidR="00203F72" w:rsidRPr="00E1306F">
        <w:t>，我國中央政府支出占各級政府總支出，比重約</w:t>
      </w:r>
      <w:r w:rsidR="00203F72" w:rsidRPr="00E1306F">
        <w:t>6</w:t>
      </w:r>
      <w:r w:rsidR="00203F72" w:rsidRPr="00E1306F">
        <w:t>成，直轄市與各縣市支出，則占各級政府總收入比重平均約</w:t>
      </w:r>
      <w:r w:rsidR="00203F72" w:rsidRPr="00E1306F">
        <w:t>4</w:t>
      </w:r>
      <w:r w:rsidR="00203F72" w:rsidRPr="00E1306F">
        <w:t>成，導致地方財政普遍不足</w:t>
      </w:r>
      <w:r w:rsidR="00203F72" w:rsidRPr="00E1306F">
        <w:footnoteReference w:id="118"/>
      </w:r>
      <w:r w:rsidR="00203F72" w:rsidRPr="00E1306F">
        <w:t>。宜修改</w:t>
      </w:r>
      <w:r w:rsidR="006E0E2F" w:rsidRPr="00E1306F">
        <w:t>「</w:t>
      </w:r>
      <w:hyperlink r:id="rId1255" w:history="1">
        <w:r w:rsidR="006E0E2F" w:rsidRPr="00E1306F">
          <w:rPr>
            <w:rStyle w:val="a5"/>
          </w:rPr>
          <w:t>財政收支劃分法</w:t>
        </w:r>
      </w:hyperlink>
      <w:r w:rsidR="00203F72" w:rsidRPr="00E1306F">
        <w:t>」，令中央與地方財權分配比例朝向合理化發展。</w:t>
      </w:r>
    </w:p>
    <w:p w14:paraId="4F1E7111" w14:textId="77777777" w:rsidR="00953151" w:rsidRDefault="00076467" w:rsidP="00767F37">
      <w:pPr>
        <w:pStyle w:val="2"/>
      </w:pPr>
      <w:hyperlink r:id="rId1256" w:anchor="a148" w:history="1">
        <w:r w:rsidR="005D5A46">
          <w:rPr>
            <w:rStyle w:val="a5"/>
            <w:rFonts w:ascii="Arial Unicode MS" w:hAnsi="Arial Unicode MS"/>
          </w:rPr>
          <w:t>第</w:t>
        </w:r>
        <w:r w:rsidR="00203F72" w:rsidRPr="00AB0A74">
          <w:rPr>
            <w:rStyle w:val="a5"/>
            <w:rFonts w:ascii="Arial Unicode MS" w:hAnsi="Arial Unicode MS"/>
          </w:rPr>
          <w:t>148</w:t>
        </w:r>
        <w:r w:rsidR="005D5A46">
          <w:rPr>
            <w:rStyle w:val="a5"/>
            <w:rFonts w:ascii="Arial Unicode MS" w:hAnsi="Arial Unicode MS"/>
          </w:rPr>
          <w:t>條</w:t>
        </w:r>
      </w:hyperlink>
      <w:r w:rsidR="00203F72" w:rsidRPr="00A53581">
        <w:t>中華民國領域內，一切貨物應許自由流通。</w:t>
      </w:r>
    </w:p>
    <w:p w14:paraId="5DE4708A" w14:textId="77777777" w:rsidR="00953151" w:rsidRPr="00E1306F" w:rsidRDefault="00B03E84" w:rsidP="00D87D91">
      <w:r w:rsidRPr="00E1306F">
        <w:t>【內容解析】</w:t>
      </w:r>
    </w:p>
    <w:p w14:paraId="1FBE5665" w14:textId="77777777" w:rsidR="00953151" w:rsidRPr="00E1306F" w:rsidRDefault="00800CD7" w:rsidP="00D87D91">
      <w:r w:rsidRPr="00E1306F">
        <w:t xml:space="preserve">　　</w:t>
      </w:r>
      <w:r w:rsidR="00203F72" w:rsidRPr="00E1306F">
        <w:t>貨物自由流通之概念是「貨暢其流」之精神，貨物流通愈快速、愈自由，交易成本愈低，商業或經濟活動也就愈熱絡。</w:t>
      </w:r>
    </w:p>
    <w:p w14:paraId="6405289F" w14:textId="77777777" w:rsidR="00953151" w:rsidRPr="00767F37" w:rsidRDefault="00076467" w:rsidP="00767F37">
      <w:pPr>
        <w:pStyle w:val="2"/>
        <w:rPr>
          <w:rFonts w:eastAsia="新細明體"/>
        </w:rPr>
      </w:pPr>
      <w:hyperlink r:id="rId1257" w:anchor="a149" w:history="1">
        <w:r w:rsidR="005D5A46" w:rsidRPr="00767F37">
          <w:rPr>
            <w:rStyle w:val="a5"/>
          </w:rPr>
          <w:t>第</w:t>
        </w:r>
        <w:r w:rsidR="00203F72" w:rsidRPr="00767F37">
          <w:rPr>
            <w:rStyle w:val="a5"/>
          </w:rPr>
          <w:t>149</w:t>
        </w:r>
        <w:r w:rsidR="005D5A46" w:rsidRPr="00767F37">
          <w:rPr>
            <w:rStyle w:val="a5"/>
          </w:rPr>
          <w:t>條</w:t>
        </w:r>
      </w:hyperlink>
      <w:r w:rsidR="00203F72" w:rsidRPr="00767F37">
        <w:rPr>
          <w:rFonts w:eastAsia="新細明體"/>
        </w:rPr>
        <w:t>金融機構，應依法受國家之管理。</w:t>
      </w:r>
    </w:p>
    <w:p w14:paraId="34F443FD" w14:textId="77777777" w:rsidR="00953151" w:rsidRPr="00E1306F" w:rsidRDefault="00B03E84" w:rsidP="00D87D91">
      <w:r w:rsidRPr="00E1306F">
        <w:t>【內容解析】</w:t>
      </w:r>
    </w:p>
    <w:p w14:paraId="19E10DCA" w14:textId="77777777" w:rsidR="00953151" w:rsidRPr="00E1306F" w:rsidRDefault="00800CD7" w:rsidP="00D87D91">
      <w:r w:rsidRPr="00E1306F">
        <w:t xml:space="preserve">　　</w:t>
      </w:r>
      <w:r w:rsidR="00203F72" w:rsidRPr="00E1306F">
        <w:t>金融機構通常掌握龐大資金，資金若使用不當，或缺乏規範，則可能導致金融秩序遭到破壞，也可能發生洗錢，超貸、冒貸等問題。因此，金融機構應依法受國家管理。我國為了管理金融機構，在法制方面，制定以下之相關法律：</w:t>
      </w:r>
      <w:hyperlink r:id="rId1258" w:history="1">
        <w:r w:rsidR="00E1306F" w:rsidRPr="00E1306F">
          <w:rPr>
            <w:rStyle w:val="a5"/>
          </w:rPr>
          <w:t>金融機構合併法</w:t>
        </w:r>
      </w:hyperlink>
      <w:r w:rsidR="00E1306F" w:rsidRPr="00E1306F">
        <w:t>、</w:t>
      </w:r>
      <w:hyperlink r:id="rId1259" w:history="1">
        <w:r w:rsidR="00E1306F" w:rsidRPr="00E1306F">
          <w:rPr>
            <w:rStyle w:val="a5"/>
          </w:rPr>
          <w:t>公平交易法</w:t>
        </w:r>
      </w:hyperlink>
      <w:r w:rsidR="00E1306F" w:rsidRPr="00E1306F">
        <w:t>、</w:t>
      </w:r>
      <w:hyperlink r:id="rId1260" w:history="1">
        <w:r w:rsidR="00E1306F" w:rsidRPr="00E1306F">
          <w:rPr>
            <w:rStyle w:val="a5"/>
          </w:rPr>
          <w:t>金融控股公司法</w:t>
        </w:r>
      </w:hyperlink>
      <w:r w:rsidR="00E1306F" w:rsidRPr="00E1306F">
        <w:t>、</w:t>
      </w:r>
      <w:hyperlink r:id="rId1261" w:history="1">
        <w:r w:rsidR="00E1306F" w:rsidRPr="00E1306F">
          <w:rPr>
            <w:rStyle w:val="a5"/>
          </w:rPr>
          <w:t>金融資產證券化條例</w:t>
        </w:r>
        <w:r w:rsidR="00E25187" w:rsidRPr="00E1306F">
          <w:t>、</w:t>
        </w:r>
      </w:hyperlink>
      <w:hyperlink r:id="rId1262" w:history="1">
        <w:r w:rsidR="00E1306F" w:rsidRPr="00E1306F">
          <w:rPr>
            <w:rStyle w:val="a5"/>
          </w:rPr>
          <w:t>信用合作社法</w:t>
        </w:r>
      </w:hyperlink>
      <w:r w:rsidR="00E1306F" w:rsidRPr="00E1306F">
        <w:t>、</w:t>
      </w:r>
      <w:hyperlink r:id="rId1263" w:history="1">
        <w:r w:rsidR="00E1306F" w:rsidRPr="00E1306F">
          <w:rPr>
            <w:rStyle w:val="a5"/>
          </w:rPr>
          <w:t>信託業法</w:t>
        </w:r>
      </w:hyperlink>
      <w:r w:rsidR="00E1306F" w:rsidRPr="00E1306F">
        <w:t>、</w:t>
      </w:r>
      <w:hyperlink r:id="rId1264" w:history="1">
        <w:r w:rsidR="00E1306F" w:rsidRPr="00E1306F">
          <w:rPr>
            <w:rStyle w:val="a5"/>
          </w:rPr>
          <w:t>信託法</w:t>
        </w:r>
      </w:hyperlink>
      <w:r w:rsidR="00E1306F" w:rsidRPr="00E1306F">
        <w:t>、</w:t>
      </w:r>
      <w:hyperlink r:id="rId1265" w:history="1">
        <w:r w:rsidR="00E1306F" w:rsidRPr="00E1306F">
          <w:rPr>
            <w:rStyle w:val="a5"/>
          </w:rPr>
          <w:t>保險法</w:t>
        </w:r>
      </w:hyperlink>
      <w:r w:rsidR="00E1306F" w:rsidRPr="00E1306F">
        <w:t>、</w:t>
      </w:r>
      <w:hyperlink r:id="rId1266" w:history="1">
        <w:r w:rsidR="00E1306F" w:rsidRPr="00E1306F">
          <w:rPr>
            <w:rStyle w:val="a5"/>
          </w:rPr>
          <w:t>破產法</w:t>
        </w:r>
      </w:hyperlink>
      <w:r w:rsidR="00E1306F" w:rsidRPr="00E1306F">
        <w:t>、</w:t>
      </w:r>
      <w:hyperlink r:id="rId1267" w:history="1">
        <w:r w:rsidR="00E1306F" w:rsidRPr="00E1306F">
          <w:rPr>
            <w:rStyle w:val="a5"/>
          </w:rPr>
          <w:t>商業會計法</w:t>
        </w:r>
      </w:hyperlink>
      <w:r w:rsidR="00E1306F" w:rsidRPr="00E1306F">
        <w:t>、</w:t>
      </w:r>
      <w:hyperlink r:id="rId1268" w:history="1">
        <w:r w:rsidR="00E1306F" w:rsidRPr="00E1306F">
          <w:rPr>
            <w:rStyle w:val="a5"/>
          </w:rPr>
          <w:t>票券金融管理法</w:t>
        </w:r>
      </w:hyperlink>
      <w:r w:rsidR="00E1306F" w:rsidRPr="00E1306F">
        <w:t>、</w:t>
      </w:r>
      <w:hyperlink r:id="rId1269" w:history="1">
        <w:r w:rsidR="00E1306F" w:rsidRPr="00E1306F">
          <w:rPr>
            <w:rStyle w:val="a5"/>
          </w:rPr>
          <w:t>期貨交易法</w:t>
        </w:r>
      </w:hyperlink>
      <w:r w:rsidR="00E1306F" w:rsidRPr="00E1306F">
        <w:t>、</w:t>
      </w:r>
      <w:hyperlink r:id="rId1270" w:history="1">
        <w:r w:rsidR="00E1306F" w:rsidRPr="00E1306F">
          <w:rPr>
            <w:rStyle w:val="a5"/>
          </w:rPr>
          <w:t>農業金融法</w:t>
        </w:r>
      </w:hyperlink>
      <w:r w:rsidR="00E1306F" w:rsidRPr="00E1306F">
        <w:t>、</w:t>
      </w:r>
      <w:hyperlink r:id="rId1271" w:history="1">
        <w:r w:rsidR="00E1306F" w:rsidRPr="00E1306F">
          <w:rPr>
            <w:rStyle w:val="a5"/>
          </w:rPr>
          <w:t>管理外匯條例</w:t>
        </w:r>
        <w:r w:rsidR="008E3061" w:rsidRPr="00E1306F">
          <w:t>、</w:t>
        </w:r>
      </w:hyperlink>
      <w:hyperlink r:id="rId1272" w:history="1">
        <w:r w:rsidR="00E1306F" w:rsidRPr="00E1306F">
          <w:rPr>
            <w:rStyle w:val="a5"/>
          </w:rPr>
          <w:t>銀行法</w:t>
        </w:r>
      </w:hyperlink>
      <w:r w:rsidR="00E1306F" w:rsidRPr="00E1306F">
        <w:t>、</w:t>
      </w:r>
      <w:hyperlink r:id="rId1273" w:history="1">
        <w:r w:rsidR="00E1306F" w:rsidRPr="00E1306F">
          <w:rPr>
            <w:rStyle w:val="a5"/>
          </w:rPr>
          <w:t>證券交易法</w:t>
        </w:r>
      </w:hyperlink>
      <w:r w:rsidR="00E1306F" w:rsidRPr="00E1306F">
        <w:t>、</w:t>
      </w:r>
      <w:hyperlink r:id="rId1274" w:history="1">
        <w:r w:rsidR="00E1306F" w:rsidRPr="00E1306F">
          <w:rPr>
            <w:rStyle w:val="a5"/>
          </w:rPr>
          <w:t>證券投資人及期貨交易人保護法</w:t>
        </w:r>
      </w:hyperlink>
      <w:r w:rsidR="00E1306F" w:rsidRPr="00E1306F">
        <w:t>、</w:t>
      </w:r>
      <w:hyperlink r:id="rId1275" w:history="1">
        <w:r w:rsidR="00E1306F" w:rsidRPr="00E1306F">
          <w:rPr>
            <w:rStyle w:val="a5"/>
          </w:rPr>
          <w:t>證券投資信託及顧問法</w:t>
        </w:r>
      </w:hyperlink>
      <w:r w:rsidR="00E1306F" w:rsidRPr="00E1306F">
        <w:t>、</w:t>
      </w:r>
      <w:hyperlink r:id="rId1276" w:history="1">
        <w:r w:rsidR="00E1306F" w:rsidRPr="00E1306F">
          <w:rPr>
            <w:rStyle w:val="a5"/>
          </w:rPr>
          <w:t>金融監督管理委員會組織法</w:t>
        </w:r>
      </w:hyperlink>
      <w:r w:rsidR="00E1306F" w:rsidRPr="00E1306F">
        <w:t>、</w:t>
      </w:r>
      <w:hyperlink r:id="rId1277" w:history="1">
        <w:r w:rsidR="00E1306F" w:rsidRPr="00E1306F">
          <w:rPr>
            <w:rStyle w:val="a5"/>
          </w:rPr>
          <w:t>財政部證券暨期貨管理委員會組織條例</w:t>
        </w:r>
      </w:hyperlink>
      <w:r w:rsidR="00203F72" w:rsidRPr="00E1306F">
        <w:footnoteReference w:id="119"/>
      </w:r>
      <w:r w:rsidR="00203F72" w:rsidRPr="00E1306F">
        <w:t>、</w:t>
      </w:r>
      <w:hyperlink r:id="rId1278" w:history="1">
        <w:r w:rsidR="00203F72" w:rsidRPr="008E3061">
          <w:rPr>
            <w:rStyle w:val="a5"/>
            <w:rFonts w:ascii="Times New Roman" w:eastAsia="新細明體" w:hAnsi="Times New Roman"/>
          </w:rPr>
          <w:t>金融監督管理委員會證券期貨局組織法</w:t>
        </w:r>
      </w:hyperlink>
      <w:r w:rsidR="00203F72" w:rsidRPr="00E1306F">
        <w:t>及</w:t>
      </w:r>
      <w:hyperlink r:id="rId1279" w:history="1">
        <w:r w:rsidR="00203F72" w:rsidRPr="008E3061">
          <w:rPr>
            <w:rStyle w:val="a5"/>
            <w:rFonts w:ascii="Times New Roman" w:eastAsia="新細明體" w:hAnsi="Times New Roman"/>
          </w:rPr>
          <w:t>金融監督管理委員會保險局組織法</w:t>
        </w:r>
      </w:hyperlink>
      <w:r w:rsidR="00203F72" w:rsidRPr="00E1306F">
        <w:t>。</w:t>
      </w:r>
    </w:p>
    <w:p w14:paraId="69DABFCB" w14:textId="77777777" w:rsidR="00953151" w:rsidRPr="00767F37" w:rsidRDefault="00076467" w:rsidP="00767F37">
      <w:pPr>
        <w:pStyle w:val="2"/>
        <w:spacing w:beforeLines="100" w:before="240" w:beforeAutospacing="0" w:after="0" w:afterAutospacing="0"/>
      </w:pPr>
      <w:hyperlink r:id="rId1280" w:anchor="a150" w:history="1">
        <w:r w:rsidR="005D5A46" w:rsidRPr="00767F37">
          <w:rPr>
            <w:rStyle w:val="a5"/>
          </w:rPr>
          <w:t>第</w:t>
        </w:r>
        <w:r w:rsidR="00203F72" w:rsidRPr="00767F37">
          <w:rPr>
            <w:rStyle w:val="a5"/>
          </w:rPr>
          <w:t>150</w:t>
        </w:r>
        <w:r w:rsidR="005D5A46" w:rsidRPr="00767F37">
          <w:rPr>
            <w:rStyle w:val="a5"/>
          </w:rPr>
          <w:t>條</w:t>
        </w:r>
      </w:hyperlink>
      <w:r w:rsidR="00203F72" w:rsidRPr="00767F37">
        <w:t>國家應普設平民金融機構，以救濟失業。</w:t>
      </w:r>
    </w:p>
    <w:p w14:paraId="07FCBE8B" w14:textId="77777777" w:rsidR="00953151" w:rsidRDefault="00B03E84" w:rsidP="00D87D91">
      <w:r>
        <w:t>【內容解析】</w:t>
      </w:r>
    </w:p>
    <w:p w14:paraId="06268E47" w14:textId="77777777" w:rsidR="00953151" w:rsidRDefault="00800CD7" w:rsidP="00D87D91">
      <w:r>
        <w:t xml:space="preserve">　　</w:t>
      </w:r>
      <w:r w:rsidR="00203F72" w:rsidRPr="00A53581">
        <w:t>由於金融機構除具存款與放款功能外，亦有活絡經濟或平衡經濟發展之效果。對於暫時性或永久性失業，亦可提供救濟管道。因此，國家應普設平民金融機構。然而，金融機構之設置，亦可能發生金融（詐騙）犯罪之問題，國家亦有責任予以預防或處理。</w:t>
      </w:r>
    </w:p>
    <w:p w14:paraId="102CDA9D" w14:textId="77777777" w:rsidR="00953151" w:rsidRPr="00D87D91" w:rsidRDefault="00076467" w:rsidP="00767F37">
      <w:pPr>
        <w:pStyle w:val="2"/>
      </w:pPr>
      <w:hyperlink r:id="rId1281" w:anchor="a151" w:history="1">
        <w:r w:rsidR="005D5A46" w:rsidRPr="00767F37">
          <w:rPr>
            <w:rStyle w:val="a5"/>
          </w:rPr>
          <w:t>第</w:t>
        </w:r>
        <w:r w:rsidR="00203F72" w:rsidRPr="00767F37">
          <w:rPr>
            <w:rStyle w:val="a5"/>
          </w:rPr>
          <w:t>151</w:t>
        </w:r>
        <w:r w:rsidR="005D5A46" w:rsidRPr="00767F37">
          <w:rPr>
            <w:rStyle w:val="a5"/>
          </w:rPr>
          <w:t>條</w:t>
        </w:r>
      </w:hyperlink>
      <w:r w:rsidR="00203F72" w:rsidRPr="00D87D91">
        <w:t>國家對於僑居國外之國民，應扶助並保護其經濟事業之發展。</w:t>
      </w:r>
    </w:p>
    <w:p w14:paraId="23CB81F1" w14:textId="77777777" w:rsidR="00953151" w:rsidRDefault="00B03E84" w:rsidP="00D87D91">
      <w:r>
        <w:t>【內容解析】</w:t>
      </w:r>
    </w:p>
    <w:p w14:paraId="5144CA46" w14:textId="77777777" w:rsidR="00953151" w:rsidRDefault="00800CD7" w:rsidP="00D87D91">
      <w:r>
        <w:t xml:space="preserve">　　</w:t>
      </w:r>
      <w:r w:rsidR="00203F72" w:rsidRPr="00A53581">
        <w:t>國民雖然僑居於國外，但仍是我國之國民，是以，國家對於僑居國外之國民，有義務扶助，並保護其經濟事業之發展。透過國家之扶助或保護，僑民有機會會進一步反饋或協助國家，拓展海外或國際市場，因此，具有厚植國力或提升競爭力之效果。</w:t>
      </w:r>
    </w:p>
    <w:p w14:paraId="5710C375" w14:textId="77777777" w:rsidR="00203F72" w:rsidRPr="00A53581" w:rsidRDefault="00800CD7" w:rsidP="00D87D91">
      <w:r>
        <w:t xml:space="preserve">　　</w:t>
      </w:r>
      <w:r w:rsidR="00203F72" w:rsidRPr="00A53581">
        <w:t>非中華民國境內居住之個人，經依華僑回國投資條例核准在中華民國境內投資，並擔任該事業之董事、監察人或經理人者，如因經營或管理其投資事業需要，於一定課稅年度內在中華民國境內居留期間超過所得稅法</w:t>
      </w:r>
      <w:hyperlink r:id="rId1282" w:anchor="a7" w:history="1">
        <w:r w:rsidR="007D50BB" w:rsidRPr="00346509">
          <w:rPr>
            <w:rStyle w:val="a5"/>
            <w:rFonts w:ascii="Times New Roman" w:hAnsi="Times New Roman"/>
          </w:rPr>
          <w:t>第七條</w:t>
        </w:r>
      </w:hyperlink>
      <w:r w:rsidR="00203F72" w:rsidRPr="00346509">
        <w:t>第</w:t>
      </w:r>
      <w:r w:rsidR="00203F72" w:rsidRPr="00A53581">
        <w:t>二項第二款所定一百八十三天時，其自該事業所分配之股利，是否有獎勵投資條例（現已失效）第</w:t>
      </w:r>
      <w:hyperlink r:id="rId1283" w:anchor="a16" w:history="1">
        <w:r w:rsidR="00203F72" w:rsidRPr="00346509">
          <w:rPr>
            <w:rStyle w:val="a5"/>
            <w:rFonts w:ascii="Times New Roman" w:eastAsia="新細明體" w:hAnsi="Times New Roman"/>
          </w:rPr>
          <w:t>十六</w:t>
        </w:r>
      </w:hyperlink>
      <w:r w:rsidR="00203F72" w:rsidRPr="00A53581">
        <w:t>條第一項第一款及促進產業升級條例</w:t>
      </w:r>
      <w:r w:rsidR="00346509" w:rsidRPr="00346509">
        <w:t>第</w:t>
      </w:r>
      <w:hyperlink r:id="rId1284" w:anchor="a11" w:history="1">
        <w:r w:rsidR="00346509" w:rsidRPr="00346509">
          <w:rPr>
            <w:rStyle w:val="a5"/>
            <w:rFonts w:ascii="Times New Roman" w:hAnsi="Times New Roman"/>
          </w:rPr>
          <w:t>十一</w:t>
        </w:r>
      </w:hyperlink>
      <w:r w:rsidR="00346509" w:rsidRPr="00346509">
        <w:t>條</w:t>
      </w:r>
      <w:r w:rsidR="00203F72" w:rsidRPr="00A53581">
        <w:t>第一項之適用，按所定稅率就源扣繳，進而不適用</w:t>
      </w:r>
      <w:hyperlink r:id="rId1285" w:history="1">
        <w:r w:rsidR="00203F72" w:rsidRPr="00D53F68">
          <w:rPr>
            <w:rStyle w:val="a5"/>
            <w:rFonts w:ascii="Times New Roman" w:eastAsia="新細明體" w:hAnsi="Times New Roman"/>
          </w:rPr>
          <w:t>所得稅法</w:t>
        </w:r>
      </w:hyperlink>
      <w:r w:rsidR="00203F72" w:rsidRPr="00A53581">
        <w:t>結算申報之規定？曾引發爭議。針對此一議題，司法院大法官作出釋</w:t>
      </w:r>
      <w:r w:rsidR="00346509" w:rsidRPr="00A53581">
        <w:t>字</w:t>
      </w:r>
      <w:hyperlink r:id="rId1286" w:anchor="r413" w:history="1">
        <w:r w:rsidR="00346509" w:rsidRPr="00346509">
          <w:rPr>
            <w:rStyle w:val="a5"/>
            <w:rFonts w:ascii="Times New Roman" w:eastAsia="新細明體" w:hAnsi="Times New Roman"/>
          </w:rPr>
          <w:t>第</w:t>
        </w:r>
        <w:r w:rsidR="00346509" w:rsidRPr="00346509">
          <w:rPr>
            <w:rStyle w:val="a5"/>
            <w:rFonts w:ascii="Times New Roman" w:eastAsia="新細明體" w:hAnsi="Times New Roman"/>
          </w:rPr>
          <w:t>413</w:t>
        </w:r>
        <w:r w:rsidR="00346509" w:rsidRPr="00346509">
          <w:rPr>
            <w:rStyle w:val="a5"/>
            <w:rFonts w:ascii="Times New Roman" w:eastAsia="新細明體" w:hAnsi="Times New Roman"/>
          </w:rPr>
          <w:t>號</w:t>
        </w:r>
      </w:hyperlink>
      <w:r w:rsidR="00203F72" w:rsidRPr="00A53581">
        <w:t>之解釋文。根據司法院大法官釋字</w:t>
      </w:r>
      <w:hyperlink r:id="rId1287" w:anchor="r413" w:history="1">
        <w:r w:rsidR="005D5A46" w:rsidRPr="00346509">
          <w:rPr>
            <w:rStyle w:val="a5"/>
            <w:rFonts w:ascii="Times New Roman" w:eastAsia="新細明體" w:hAnsi="Times New Roman"/>
          </w:rPr>
          <w:t>第</w:t>
        </w:r>
        <w:r w:rsidR="00203F72" w:rsidRPr="00346509">
          <w:rPr>
            <w:rStyle w:val="a5"/>
            <w:rFonts w:ascii="Times New Roman" w:eastAsia="新細明體" w:hAnsi="Times New Roman"/>
          </w:rPr>
          <w:t>413</w:t>
        </w:r>
        <w:r w:rsidR="00203F72" w:rsidRPr="00346509">
          <w:rPr>
            <w:rStyle w:val="a5"/>
            <w:rFonts w:ascii="Times New Roman" w:eastAsia="新細明體" w:hAnsi="Times New Roman"/>
          </w:rPr>
          <w:t>號</w:t>
        </w:r>
      </w:hyperlink>
      <w:r w:rsidR="00203F72" w:rsidRPr="00A53581">
        <w:t>之解釋文之內容，該文指出：</w:t>
      </w:r>
    </w:p>
    <w:p w14:paraId="39274C27" w14:textId="77777777" w:rsidR="00953151" w:rsidRDefault="00800CD7" w:rsidP="00D87D91">
      <w:r>
        <w:t xml:space="preserve">　　</w:t>
      </w:r>
      <w:r w:rsidR="00203F72" w:rsidRPr="00A53581">
        <w:t>獎勵投資條例（已於中華民國七十九年十二月三十一日失效）</w:t>
      </w:r>
      <w:r w:rsidR="00D53F68" w:rsidRPr="00A53581">
        <w:t>及</w:t>
      </w:r>
      <w:hyperlink r:id="rId1288" w:history="1">
        <w:r w:rsidR="00D53F68" w:rsidRPr="00EC4A11">
          <w:rPr>
            <w:rStyle w:val="a5"/>
            <w:rFonts w:ascii="Times New Roman" w:eastAsia="新細明體" w:hAnsi="Times New Roman"/>
          </w:rPr>
          <w:t>促進產業升級條例</w:t>
        </w:r>
      </w:hyperlink>
      <w:r w:rsidR="00203F72" w:rsidRPr="00A53581">
        <w:t>之立法目的，在獎勵興辦生產事業，加速國家經濟發展。上開條例所定稅率就源扣繳之規定，優先於</w:t>
      </w:r>
      <w:hyperlink r:id="rId1289" w:history="1">
        <w:r w:rsidR="00D53F68" w:rsidRPr="00D53F68">
          <w:rPr>
            <w:rStyle w:val="a5"/>
            <w:rFonts w:ascii="Times New Roman" w:eastAsia="新細明體" w:hAnsi="Times New Roman"/>
          </w:rPr>
          <w:t>所得稅法</w:t>
        </w:r>
      </w:hyperlink>
      <w:r w:rsidR="00203F72" w:rsidRPr="00A53581">
        <w:t>有關結算申報規定之適用，其依華僑回國投資條例，經核准在國內投資之人亦適用此一規定者，原在藉此減輕投資人之稅負，提升華僑投資之意願，以吸收國外資本之方法達成立法之目的。</w:t>
      </w:r>
    </w:p>
    <w:p w14:paraId="33A1362E" w14:textId="77777777" w:rsidR="00953151" w:rsidRDefault="00800CD7" w:rsidP="00D87D91">
      <w:r>
        <w:t xml:space="preserve">　　</w:t>
      </w:r>
      <w:r w:rsidR="00203F72" w:rsidRPr="00A53581">
        <w:t>是以，</w:t>
      </w:r>
      <w:hyperlink r:id="rId1290" w:history="1">
        <w:r w:rsidR="00203F72" w:rsidRPr="00EC4A11">
          <w:rPr>
            <w:rStyle w:val="a5"/>
            <w:rFonts w:ascii="Times New Roman" w:eastAsia="新細明體" w:hAnsi="Times New Roman"/>
          </w:rPr>
          <w:t>獎勵投資條例</w:t>
        </w:r>
      </w:hyperlink>
      <w:r w:rsidR="00203F72" w:rsidRPr="00A53581">
        <w:t>及</w:t>
      </w:r>
      <w:hyperlink r:id="rId1291" w:history="1">
        <w:r w:rsidR="00203F72" w:rsidRPr="00EC4A11">
          <w:rPr>
            <w:rStyle w:val="a5"/>
            <w:rFonts w:ascii="Times New Roman" w:eastAsia="新細明體" w:hAnsi="Times New Roman"/>
          </w:rPr>
          <w:t>促進產業升級條例</w:t>
        </w:r>
      </w:hyperlink>
      <w:r w:rsidR="00203F72" w:rsidRPr="00A53581">
        <w:t>有關所得稅部分，乃</w:t>
      </w:r>
      <w:hyperlink r:id="rId1292" w:history="1">
        <w:r w:rsidR="00D53F68" w:rsidRPr="00D53F68">
          <w:rPr>
            <w:rStyle w:val="a5"/>
            <w:rFonts w:ascii="Times New Roman" w:eastAsia="新細明體" w:hAnsi="Times New Roman"/>
          </w:rPr>
          <w:t>所得稅法</w:t>
        </w:r>
      </w:hyperlink>
      <w:r w:rsidR="00203F72" w:rsidRPr="00A53581">
        <w:t>之特別法，因投資而受獎勵之人民其繳納義務，自應適用上開條例有關減輕稅負之規定（參照司法院釋字第</w:t>
      </w:r>
      <w:hyperlink r:id="rId1293" w:anchor="r195" w:history="1">
        <w:r w:rsidR="00203F72" w:rsidRPr="00673964">
          <w:rPr>
            <w:rStyle w:val="a5"/>
            <w:rFonts w:ascii="Times New Roman" w:eastAsia="新細明體" w:hAnsi="Times New Roman"/>
          </w:rPr>
          <w:t>一九五</w:t>
        </w:r>
      </w:hyperlink>
      <w:r w:rsidR="00203F72" w:rsidRPr="00A53581">
        <w:t>號解釋）。</w:t>
      </w:r>
    </w:p>
    <w:p w14:paraId="4AA85D86" w14:textId="77777777" w:rsidR="00953151" w:rsidRDefault="00800CD7" w:rsidP="00D87D91">
      <w:r>
        <w:t xml:space="preserve">　　</w:t>
      </w:r>
      <w:r w:rsidR="00203F72" w:rsidRPr="00A53581">
        <w:t>憲法</w:t>
      </w:r>
      <w:r w:rsidR="003E43C4" w:rsidRPr="00A53581">
        <w:t>第</w:t>
      </w:r>
      <w:hyperlink r:id="rId1294" w:anchor="a19" w:history="1">
        <w:r w:rsidR="003E43C4" w:rsidRPr="00DF3454">
          <w:rPr>
            <w:rStyle w:val="a5"/>
          </w:rPr>
          <w:t>十九</w:t>
        </w:r>
      </w:hyperlink>
      <w:r w:rsidR="003E43C4" w:rsidRPr="00A53581">
        <w:t>條</w:t>
      </w:r>
      <w:r w:rsidR="00203F72" w:rsidRPr="00A53581">
        <w:t>規定，人民有依法律納稅之義務，係指人民祇有依法律所定之納稅主體、稅目、稅率、納稅方法及稅捐減免等項目而負繳納義務或享受優惠，舉凡應以法律明定之租稅項目，自不得以命令取代法律或作違背法律之規定，迭經本院釋字第</w:t>
      </w:r>
      <w:hyperlink r:id="rId1295" w:anchor="r217" w:history="1">
        <w:r w:rsidR="00203F72" w:rsidRPr="00BC65F7">
          <w:rPr>
            <w:rStyle w:val="a5"/>
            <w:rFonts w:ascii="Times New Roman" w:eastAsia="新細明體" w:hAnsi="Times New Roman"/>
          </w:rPr>
          <w:t>二一七</w:t>
        </w:r>
      </w:hyperlink>
      <w:r w:rsidR="00203F72" w:rsidRPr="00A53581">
        <w:t>號、第</w:t>
      </w:r>
      <w:hyperlink r:id="rId1296" w:anchor="r367" w:history="1">
        <w:r w:rsidR="00203F72" w:rsidRPr="00BC65F7">
          <w:rPr>
            <w:rStyle w:val="a5"/>
            <w:rFonts w:ascii="Times New Roman" w:eastAsia="新細明體" w:hAnsi="Times New Roman"/>
          </w:rPr>
          <w:t>三六七</w:t>
        </w:r>
      </w:hyperlink>
      <w:r w:rsidR="00203F72" w:rsidRPr="00A53581">
        <w:t>號及第</w:t>
      </w:r>
      <w:hyperlink r:id="rId1297" w:anchor="r385" w:history="1">
        <w:r w:rsidR="00203F72" w:rsidRPr="00BC65F7">
          <w:rPr>
            <w:rStyle w:val="a5"/>
            <w:rFonts w:ascii="Times New Roman" w:eastAsia="新細明體" w:hAnsi="Times New Roman"/>
          </w:rPr>
          <w:t>三八五</w:t>
        </w:r>
      </w:hyperlink>
      <w:r w:rsidR="00203F72" w:rsidRPr="00A53581">
        <w:t>號等著有解釋。判例當然亦不得超越法律所定稅目、稅率、稅捐減免或優惠等項目之外，增加法律所無之規定，並加重人民之稅負，否則即有違憲法上之租稅法律主義。</w:t>
      </w:r>
    </w:p>
    <w:p w14:paraId="3818BD37" w14:textId="77777777" w:rsidR="00953151" w:rsidRDefault="00800CD7" w:rsidP="00D87D91">
      <w:r>
        <w:t xml:space="preserve">　　</w:t>
      </w:r>
      <w:r w:rsidR="00203F72" w:rsidRPr="00A53581">
        <w:t>依七十六年一月二十六日修正公布之獎勵投資條例第</w:t>
      </w:r>
      <w:hyperlink r:id="rId1298" w:anchor="a16" w:history="1">
        <w:r w:rsidR="00203F72" w:rsidRPr="00BC65F7">
          <w:rPr>
            <w:rStyle w:val="a5"/>
            <w:rFonts w:ascii="Times New Roman" w:eastAsia="新細明體" w:hAnsi="Times New Roman"/>
          </w:rPr>
          <w:t>十六</w:t>
        </w:r>
      </w:hyperlink>
      <w:r w:rsidR="00203F72" w:rsidRPr="00A53581">
        <w:t>條第一項第一款：「依華僑回國投資條例或外國人投資條例申請投資經核准者，其應納之所得稅，由</w:t>
      </w:r>
      <w:hyperlink r:id="rId1299" w:history="1">
        <w:r w:rsidR="00D53F68" w:rsidRPr="00D53F68">
          <w:rPr>
            <w:rStyle w:val="a5"/>
            <w:rFonts w:ascii="Times New Roman" w:eastAsia="新細明體" w:hAnsi="Times New Roman"/>
          </w:rPr>
          <w:t>所得稅法</w:t>
        </w:r>
      </w:hyperlink>
      <w:r w:rsidR="00203F72" w:rsidRPr="00A53581">
        <w:t>規定之扣繳義務人於給付時，按給付額或應分配額扣繳百分之二十」，又同條例</w:t>
      </w:r>
      <w:r w:rsidR="00673964" w:rsidRPr="00A53581">
        <w:t>第</w:t>
      </w:r>
      <w:hyperlink r:id="rId1300" w:anchor="a17" w:history="1">
        <w:r w:rsidR="00673964" w:rsidRPr="00346509">
          <w:rPr>
            <w:rStyle w:val="a5"/>
            <w:rFonts w:ascii="Times New Roman" w:eastAsia="新細明體" w:hAnsi="Times New Roman"/>
          </w:rPr>
          <w:t>十七</w:t>
        </w:r>
      </w:hyperlink>
      <w:r w:rsidR="00203F72" w:rsidRPr="00A53581">
        <w:t>條：「非中華民國境內居住之個人，經依華僑回國投資條例或外國人投資條例核准在中華民國境內投資，並擔任該事業之董事、監察人或經理人者，如因經營或管理其投資事業需要，於一課稅年度內在中華民國境內居留期間超過</w:t>
      </w:r>
      <w:r w:rsidR="00BC65F7" w:rsidRPr="00A53581">
        <w:t>所得稅法</w:t>
      </w:r>
      <w:hyperlink r:id="rId1301" w:anchor="a7" w:history="1">
        <w:r w:rsidR="00BC65F7" w:rsidRPr="00346509">
          <w:rPr>
            <w:rStyle w:val="a5"/>
            <w:rFonts w:ascii="Times New Roman" w:hAnsi="Times New Roman"/>
          </w:rPr>
          <w:t>第七條</w:t>
        </w:r>
      </w:hyperlink>
      <w:r w:rsidR="00203F72" w:rsidRPr="00A53581">
        <w:t>第二項第二款所定一百八十三天時，其自該事業所分配之股利，得適用前條第一項第一款之規定」，促進產業升級條例</w:t>
      </w:r>
      <w:r w:rsidR="00C454F8" w:rsidRPr="00346509">
        <w:t>第</w:t>
      </w:r>
      <w:hyperlink r:id="rId1302" w:anchor="a11" w:history="1">
        <w:r w:rsidR="00C454F8" w:rsidRPr="00346509">
          <w:rPr>
            <w:rStyle w:val="a5"/>
            <w:rFonts w:ascii="Times New Roman" w:hAnsi="Times New Roman"/>
          </w:rPr>
          <w:t>十一</w:t>
        </w:r>
      </w:hyperlink>
      <w:r w:rsidR="00C454F8" w:rsidRPr="00346509">
        <w:t>條</w:t>
      </w:r>
      <w:r w:rsidR="00203F72" w:rsidRPr="00A53581">
        <w:t>之規定亦同。是凡符合上開規定之情形者，即有前述所定稅率就源扣繳之適用，不再援引</w:t>
      </w:r>
      <w:hyperlink r:id="rId1303" w:history="1">
        <w:r w:rsidR="00D53F68" w:rsidRPr="00D53F68">
          <w:rPr>
            <w:rStyle w:val="a5"/>
            <w:rFonts w:ascii="Times New Roman" w:eastAsia="新細明體" w:hAnsi="Times New Roman"/>
          </w:rPr>
          <w:t>所得稅法</w:t>
        </w:r>
      </w:hyperlink>
      <w:r w:rsidR="00203F72" w:rsidRPr="00A53581">
        <w:t>結算申報之規定，方符上開條例立法之本意及特別法優於普通法之原理。獎勵投資條例</w:t>
      </w:r>
      <w:r w:rsidR="00673964" w:rsidRPr="00A53581">
        <w:t>第</w:t>
      </w:r>
      <w:hyperlink r:id="rId1304" w:anchor="a17" w:history="1">
        <w:r w:rsidR="00673964" w:rsidRPr="00346509">
          <w:rPr>
            <w:rStyle w:val="a5"/>
            <w:rFonts w:ascii="Times New Roman" w:eastAsia="新細明體" w:hAnsi="Times New Roman"/>
          </w:rPr>
          <w:t>十七</w:t>
        </w:r>
      </w:hyperlink>
      <w:r w:rsidR="00203F72" w:rsidRPr="00A53581">
        <w:t>條僅稱非中華民國境內居住之個人，並未附加配偶之居住條件，乃行政法院六十三年判字第</w:t>
      </w:r>
      <w:hyperlink r:id="rId1305" w:anchor="w63b673" w:history="1">
        <w:r w:rsidR="00203F72" w:rsidRPr="00BC65F7">
          <w:rPr>
            <w:rStyle w:val="a5"/>
            <w:rFonts w:ascii="Times New Roman" w:eastAsia="新細明體" w:hAnsi="Times New Roman"/>
          </w:rPr>
          <w:t>六七三</w:t>
        </w:r>
      </w:hyperlink>
      <w:r w:rsidR="00203F72" w:rsidRPr="00A53581">
        <w:t>號判例謂：「所得稅法</w:t>
      </w:r>
      <w:hyperlink r:id="rId1306" w:anchor="a2" w:history="1">
        <w:r w:rsidR="00203F72" w:rsidRPr="00673964">
          <w:rPr>
            <w:rStyle w:val="a5"/>
            <w:rFonts w:ascii="Times New Roman" w:eastAsia="新細明體" w:hAnsi="Times New Roman"/>
          </w:rPr>
          <w:t>第二條</w:t>
        </w:r>
      </w:hyperlink>
      <w:r w:rsidR="00203F72" w:rsidRPr="00A53581">
        <w:t>第二項及獎勵投資條例第</w:t>
      </w:r>
      <w:hyperlink r:id="rId1307" w:anchor="a17" w:history="1">
        <w:r w:rsidR="00203F72" w:rsidRPr="00346509">
          <w:rPr>
            <w:rStyle w:val="a5"/>
            <w:rFonts w:ascii="Times New Roman" w:eastAsia="新細明體" w:hAnsi="Times New Roman"/>
          </w:rPr>
          <w:t>十七</w:t>
        </w:r>
      </w:hyperlink>
      <w:r w:rsidR="00203F72" w:rsidRPr="00A53581">
        <w:t>條暨同條例施行細則</w:t>
      </w:r>
      <w:r w:rsidR="001B1539" w:rsidRPr="00BC65F7">
        <w:t>第</w:t>
      </w:r>
      <w:hyperlink r:id="rId1308" w:anchor="a25" w:history="1">
        <w:r w:rsidR="001B1539" w:rsidRPr="00BC65F7">
          <w:rPr>
            <w:rStyle w:val="a5"/>
          </w:rPr>
          <w:t>二十五</w:t>
        </w:r>
      </w:hyperlink>
      <w:r w:rsidR="001B1539" w:rsidRPr="00BC65F7">
        <w:t>條</w:t>
      </w:r>
      <w:r w:rsidR="00203F72" w:rsidRPr="00A53581">
        <w:t>之</w:t>
      </w:r>
      <w:r w:rsidR="00203F72" w:rsidRPr="00A53581">
        <w:t>(</w:t>
      </w:r>
      <w:r w:rsidR="00203F72" w:rsidRPr="00A53581">
        <w:t>一</w:t>
      </w:r>
      <w:r w:rsidR="00203F72" w:rsidRPr="00A53581">
        <w:t>)</w:t>
      </w:r>
      <w:r w:rsidR="00203F72" w:rsidRPr="00A53581">
        <w:t>所稱就源扣繳，係指非中華民國境內居住之個人，且無配偶居住國內之情形而言。若配偶之一方居住國內，為中華民國之納稅義務人，則他方縱居住國外，其在國內之所得，仍應適用所得稅</w:t>
      </w:r>
      <w:r w:rsidR="00203F72" w:rsidRPr="00BC65F7">
        <w:t>法</w:t>
      </w:r>
      <w:r w:rsidR="00000883" w:rsidRPr="00BC65F7">
        <w:t>第</w:t>
      </w:r>
      <w:hyperlink r:id="rId1309" w:anchor="a15" w:history="1">
        <w:r w:rsidR="00000883" w:rsidRPr="00BC65F7">
          <w:rPr>
            <w:rStyle w:val="a5"/>
            <w:rFonts w:ascii="Times New Roman" w:eastAsia="新細明體" w:hAnsi="Times New Roman"/>
          </w:rPr>
          <w:t>十五</w:t>
        </w:r>
      </w:hyperlink>
      <w:r w:rsidR="00000883" w:rsidRPr="00BC65F7">
        <w:t>條</w:t>
      </w:r>
      <w:r w:rsidR="00203F72" w:rsidRPr="00A53581">
        <w:t>規定合併申報課稅」，增列無配偶居住國內之情形，添加法律所無之限制，與憲法上租稅法律主義自屬有違，與本解釋意旨不符，應不予適用。</w:t>
      </w:r>
    </w:p>
    <w:p w14:paraId="281FB129" w14:textId="77777777" w:rsidR="00953151" w:rsidRDefault="00800CD7" w:rsidP="00D87D91">
      <w:r>
        <w:t xml:space="preserve">　　</w:t>
      </w:r>
      <w:r w:rsidR="00203F72" w:rsidRPr="00A53581">
        <w:t>再者，近來，行政院著手於制訂「僑民及外國人投資條例」草案，除了將「</w:t>
      </w:r>
      <w:hyperlink r:id="rId1310" w:history="1">
        <w:r w:rsidR="00203F72" w:rsidRPr="00EC4A11">
          <w:rPr>
            <w:rStyle w:val="a5"/>
            <w:rFonts w:ascii="Times New Roman" w:eastAsia="新細明體" w:hAnsi="Times New Roman"/>
          </w:rPr>
          <w:t>外國人投資條例</w:t>
        </w:r>
      </w:hyperlink>
      <w:r w:rsidR="00203F72" w:rsidRPr="00A53581">
        <w:t>」及「</w:t>
      </w:r>
      <w:hyperlink r:id="rId1311" w:history="1">
        <w:r w:rsidR="00203F72" w:rsidRPr="00EC4A11">
          <w:rPr>
            <w:rStyle w:val="a5"/>
            <w:rFonts w:ascii="Times New Roman" w:eastAsia="新細明體" w:hAnsi="Times New Roman"/>
          </w:rPr>
          <w:t>華僑回國投資條例</w:t>
        </w:r>
      </w:hyperlink>
      <w:r w:rsidR="00203F72" w:rsidRPr="00A53581">
        <w:t>」二部法律加以合併之外，並於上開之「僑民及外國人投資條例」草案之中，增訂：增加投資誘因，降低障礙及減少管理，與促進外人投資等事項。</w:t>
      </w:r>
    </w:p>
    <w:p w14:paraId="62DC44FD" w14:textId="77777777" w:rsidR="00203F72" w:rsidRPr="00A53581" w:rsidRDefault="005D5A46" w:rsidP="00767F37">
      <w:pPr>
        <w:pStyle w:val="2"/>
      </w:pPr>
      <w:r>
        <w:t>第</w:t>
      </w:r>
      <w:r w:rsidR="00203F72" w:rsidRPr="00A53581">
        <w:t>四</w:t>
      </w:r>
      <w:r w:rsidR="003D02B1">
        <w:t>節</w:t>
      </w:r>
      <w:r w:rsidR="00203F72" w:rsidRPr="00A53581">
        <w:t xml:space="preserve"> </w:t>
      </w:r>
      <w:r w:rsidR="00203F72" w:rsidRPr="00A53581">
        <w:t>社會安全</w:t>
      </w:r>
    </w:p>
    <w:p w14:paraId="374F889C" w14:textId="77777777" w:rsidR="00953151" w:rsidRDefault="00076467" w:rsidP="00454C7D">
      <w:pPr>
        <w:pStyle w:val="2"/>
        <w:spacing w:beforeLines="30" w:before="72" w:beforeAutospacing="0" w:afterLines="30" w:after="72" w:afterAutospacing="0"/>
      </w:pPr>
      <w:hyperlink r:id="rId1312" w:anchor="a152" w:history="1">
        <w:r w:rsidR="005D5A46">
          <w:rPr>
            <w:rStyle w:val="a5"/>
            <w:rFonts w:ascii="Arial Unicode MS" w:hAnsi="Arial Unicode MS"/>
          </w:rPr>
          <w:t>第</w:t>
        </w:r>
        <w:r w:rsidR="00203F72" w:rsidRPr="00AB0A74">
          <w:rPr>
            <w:rStyle w:val="a5"/>
            <w:rFonts w:ascii="Arial Unicode MS" w:hAnsi="Arial Unicode MS"/>
          </w:rPr>
          <w:t>152</w:t>
        </w:r>
        <w:r w:rsidR="005D5A46">
          <w:rPr>
            <w:rStyle w:val="a5"/>
            <w:rFonts w:ascii="Arial Unicode MS" w:hAnsi="Arial Unicode MS"/>
          </w:rPr>
          <w:t>條</w:t>
        </w:r>
      </w:hyperlink>
      <w:r w:rsidR="00203F72" w:rsidRPr="00A53581">
        <w:t>人民具有工作能力者，國家應予以適當之工作機會。</w:t>
      </w:r>
    </w:p>
    <w:p w14:paraId="01389554" w14:textId="77777777" w:rsidR="00953151" w:rsidRDefault="00B03E84" w:rsidP="00D87D91">
      <w:r>
        <w:t>【內容解析】</w:t>
      </w:r>
    </w:p>
    <w:p w14:paraId="72C56405" w14:textId="77777777" w:rsidR="00953151" w:rsidRDefault="00800CD7" w:rsidP="00D87D91">
      <w:r>
        <w:t xml:space="preserve">　　</w:t>
      </w:r>
      <w:r w:rsidR="00203F72" w:rsidRPr="00A53581">
        <w:t>本條文主要亦是平等權之闡釋，對於弱勢族群應給予適當工作機會之保障。例如，基於對身心障礙者工作權保障，國家考試亦設有公務人員特種考試身心障礙人員考試，目的即在讓有能力工作之身心障礙者，擁有工作機會。在法制方面，我國制定就業服務法、原住民族工作權保障法等法律。</w:t>
      </w:r>
    </w:p>
    <w:p w14:paraId="199B0FFA" w14:textId="77777777" w:rsidR="00346509" w:rsidRDefault="00346509" w:rsidP="00D87D91"/>
    <w:p w14:paraId="6CC0A815" w14:textId="463756B9"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74</w:t>
      </w:r>
      <w:r w:rsidR="00076467">
        <w:rPr>
          <w:noProof/>
        </w:rPr>
        <w:fldChar w:fldCharType="end"/>
      </w:r>
      <w:r w:rsidR="00203F72" w:rsidRPr="00A53581">
        <w:t>我國憲法對於人民工作權之保障與限制</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407"/>
        <w:gridCol w:w="5647"/>
      </w:tblGrid>
      <w:tr w:rsidR="00203F72" w:rsidRPr="00A53581" w14:paraId="6F6446A9" w14:textId="77777777" w:rsidTr="00D53F68">
        <w:trPr>
          <w:tblHeader/>
        </w:trPr>
        <w:tc>
          <w:tcPr>
            <w:tcW w:w="538" w:type="pct"/>
            <w:shd w:val="clear" w:color="auto" w:fill="FAF0FA"/>
          </w:tcPr>
          <w:p w14:paraId="35FD2BA9" w14:textId="77777777" w:rsidR="00203F72" w:rsidRPr="00A53581" w:rsidRDefault="00203F72" w:rsidP="00D87D91"/>
        </w:tc>
        <w:tc>
          <w:tcPr>
            <w:tcW w:w="890" w:type="pct"/>
            <w:shd w:val="clear" w:color="auto" w:fill="FAF0FA"/>
          </w:tcPr>
          <w:p w14:paraId="4C80B9F3" w14:textId="77777777" w:rsidR="00203F72" w:rsidRPr="00A53581" w:rsidRDefault="00203F72" w:rsidP="00D87D91">
            <w:r w:rsidRPr="00A53581">
              <w:t>法條</w:t>
            </w:r>
          </w:p>
        </w:tc>
        <w:tc>
          <w:tcPr>
            <w:tcW w:w="3573" w:type="pct"/>
            <w:shd w:val="clear" w:color="auto" w:fill="FAF0FA"/>
          </w:tcPr>
          <w:p w14:paraId="016A8B07" w14:textId="77777777" w:rsidR="00203F72" w:rsidRPr="00A53581" w:rsidRDefault="00203F72" w:rsidP="00D87D91">
            <w:r w:rsidRPr="00A53581">
              <w:t>法條保障內容</w:t>
            </w:r>
          </w:p>
        </w:tc>
      </w:tr>
      <w:tr w:rsidR="00203F72" w:rsidRPr="00A53581" w14:paraId="3C1B2773" w14:textId="77777777" w:rsidTr="00203F72">
        <w:tc>
          <w:tcPr>
            <w:tcW w:w="538" w:type="pct"/>
            <w:vMerge w:val="restart"/>
            <w:shd w:val="clear" w:color="auto" w:fill="auto"/>
          </w:tcPr>
          <w:p w14:paraId="74F7A74C" w14:textId="77777777" w:rsidR="00203F72" w:rsidRPr="00EC4A11" w:rsidRDefault="00203F72" w:rsidP="00EC4A11">
            <w:r w:rsidRPr="00EC4A11">
              <w:t>保障</w:t>
            </w:r>
          </w:p>
        </w:tc>
        <w:tc>
          <w:tcPr>
            <w:tcW w:w="890" w:type="pct"/>
            <w:shd w:val="clear" w:color="auto" w:fill="auto"/>
          </w:tcPr>
          <w:p w14:paraId="5BD9F52F" w14:textId="77777777" w:rsidR="00203F72" w:rsidRPr="00EC4A11" w:rsidRDefault="00076467" w:rsidP="00EC4A11">
            <w:hyperlink r:id="rId1313" w:anchor="a15" w:history="1">
              <w:r w:rsidR="00B167C2" w:rsidRPr="00EC4A11">
                <w:rPr>
                  <w:rStyle w:val="a5"/>
                </w:rPr>
                <w:t>第15條</w:t>
              </w:r>
            </w:hyperlink>
          </w:p>
        </w:tc>
        <w:tc>
          <w:tcPr>
            <w:tcW w:w="3573" w:type="pct"/>
            <w:shd w:val="clear" w:color="auto" w:fill="auto"/>
          </w:tcPr>
          <w:p w14:paraId="539FFF8A" w14:textId="77777777" w:rsidR="00203F72" w:rsidRPr="00EC4A11" w:rsidRDefault="00203F72" w:rsidP="00EC4A11">
            <w:r w:rsidRPr="00EC4A11">
              <w:t>人民之生存權、『工作權』及財產權，應予保障。</w:t>
            </w:r>
          </w:p>
        </w:tc>
      </w:tr>
      <w:tr w:rsidR="00203F72" w:rsidRPr="00A53581" w14:paraId="1CEAC862" w14:textId="77777777" w:rsidTr="00203F72">
        <w:tc>
          <w:tcPr>
            <w:tcW w:w="538" w:type="pct"/>
            <w:vMerge/>
            <w:shd w:val="clear" w:color="auto" w:fill="auto"/>
          </w:tcPr>
          <w:p w14:paraId="78C54A34" w14:textId="77777777" w:rsidR="00203F72" w:rsidRPr="00EC4A11" w:rsidRDefault="00203F72" w:rsidP="00EC4A11"/>
        </w:tc>
        <w:tc>
          <w:tcPr>
            <w:tcW w:w="890" w:type="pct"/>
            <w:shd w:val="clear" w:color="auto" w:fill="auto"/>
          </w:tcPr>
          <w:p w14:paraId="43BCAE84" w14:textId="77777777" w:rsidR="00203F72" w:rsidRPr="00EC4A11" w:rsidRDefault="00076467" w:rsidP="00EC4A11">
            <w:hyperlink r:id="rId1314" w:anchor="a18" w:history="1">
              <w:r w:rsidR="00203F72" w:rsidRPr="00EC4A11">
                <w:rPr>
                  <w:rStyle w:val="a5"/>
                </w:rPr>
                <w:t>第18條</w:t>
              </w:r>
            </w:hyperlink>
          </w:p>
        </w:tc>
        <w:tc>
          <w:tcPr>
            <w:tcW w:w="3573" w:type="pct"/>
            <w:shd w:val="clear" w:color="auto" w:fill="auto"/>
          </w:tcPr>
          <w:p w14:paraId="387FE116" w14:textId="77777777" w:rsidR="00203F72" w:rsidRPr="00EC4A11" w:rsidRDefault="00203F72" w:rsidP="00EC4A11">
            <w:r w:rsidRPr="00EC4A11">
              <w:t>人民有應考試服公職之權。</w:t>
            </w:r>
          </w:p>
        </w:tc>
      </w:tr>
      <w:tr w:rsidR="00203F72" w:rsidRPr="00A53581" w14:paraId="56B23856" w14:textId="77777777" w:rsidTr="00203F72">
        <w:tc>
          <w:tcPr>
            <w:tcW w:w="538" w:type="pct"/>
            <w:vMerge/>
            <w:shd w:val="clear" w:color="auto" w:fill="auto"/>
          </w:tcPr>
          <w:p w14:paraId="761624B3" w14:textId="77777777" w:rsidR="00203F72" w:rsidRPr="00EC4A11" w:rsidRDefault="00203F72" w:rsidP="00EC4A11"/>
        </w:tc>
        <w:tc>
          <w:tcPr>
            <w:tcW w:w="890" w:type="pct"/>
            <w:shd w:val="clear" w:color="auto" w:fill="auto"/>
          </w:tcPr>
          <w:p w14:paraId="4A8AE3B5" w14:textId="77777777" w:rsidR="00203F72" w:rsidRPr="00EC4A11" w:rsidRDefault="00076467" w:rsidP="00EC4A11">
            <w:hyperlink r:id="rId1315" w:anchor="a145" w:history="1">
              <w:r w:rsidR="00203F72" w:rsidRPr="00EC4A11">
                <w:rPr>
                  <w:rStyle w:val="a5"/>
                </w:rPr>
                <w:t>第145條</w:t>
              </w:r>
            </w:hyperlink>
          </w:p>
        </w:tc>
        <w:tc>
          <w:tcPr>
            <w:tcW w:w="3573" w:type="pct"/>
            <w:shd w:val="clear" w:color="auto" w:fill="auto"/>
          </w:tcPr>
          <w:p w14:paraId="4D4E7A2F" w14:textId="77777777" w:rsidR="00203F72" w:rsidRPr="00EC4A11" w:rsidRDefault="00203F72" w:rsidP="00EC4A11">
            <w:r w:rsidRPr="00EC4A11">
              <w:t>國民生產事業及對外貿易，應受國家之獎勵、指導與保護。</w:t>
            </w:r>
            <w:r w:rsidRPr="00EC4A11">
              <w:t>(</w:t>
            </w:r>
            <w:r w:rsidRPr="00EC4A11">
              <w:t>第三項</w:t>
            </w:r>
            <w:r w:rsidRPr="00EC4A11">
              <w:t>)</w:t>
            </w:r>
          </w:p>
        </w:tc>
      </w:tr>
      <w:tr w:rsidR="00203F72" w:rsidRPr="00A53581" w14:paraId="5C1B45BF" w14:textId="77777777" w:rsidTr="00203F72">
        <w:tc>
          <w:tcPr>
            <w:tcW w:w="538" w:type="pct"/>
            <w:vMerge/>
            <w:shd w:val="clear" w:color="auto" w:fill="auto"/>
          </w:tcPr>
          <w:p w14:paraId="0E281E3A" w14:textId="77777777" w:rsidR="00203F72" w:rsidRPr="00EC4A11" w:rsidRDefault="00203F72" w:rsidP="00EC4A11"/>
        </w:tc>
        <w:tc>
          <w:tcPr>
            <w:tcW w:w="890" w:type="pct"/>
            <w:shd w:val="clear" w:color="auto" w:fill="auto"/>
          </w:tcPr>
          <w:p w14:paraId="341C4886" w14:textId="77777777" w:rsidR="00203F72" w:rsidRPr="00EC4A11" w:rsidRDefault="00076467" w:rsidP="00EC4A11">
            <w:hyperlink r:id="rId1316" w:anchor="a152" w:history="1">
              <w:r w:rsidR="00203F72" w:rsidRPr="00EC4A11">
                <w:rPr>
                  <w:rStyle w:val="a5"/>
                </w:rPr>
                <w:t>第152條</w:t>
              </w:r>
            </w:hyperlink>
          </w:p>
        </w:tc>
        <w:tc>
          <w:tcPr>
            <w:tcW w:w="3573" w:type="pct"/>
            <w:shd w:val="clear" w:color="auto" w:fill="auto"/>
          </w:tcPr>
          <w:p w14:paraId="3C171206" w14:textId="77777777" w:rsidR="00203F72" w:rsidRPr="00EC4A11" w:rsidRDefault="00203F72" w:rsidP="00EC4A11">
            <w:r w:rsidRPr="00EC4A11">
              <w:t>人民具有工作能力者，國家應予適當之工作機會。</w:t>
            </w:r>
          </w:p>
        </w:tc>
      </w:tr>
      <w:tr w:rsidR="00203F72" w:rsidRPr="00A53581" w14:paraId="0EB3CBC0" w14:textId="77777777" w:rsidTr="00203F72">
        <w:tc>
          <w:tcPr>
            <w:tcW w:w="538" w:type="pct"/>
            <w:vMerge/>
            <w:shd w:val="clear" w:color="auto" w:fill="auto"/>
          </w:tcPr>
          <w:p w14:paraId="1D4F9ADD" w14:textId="77777777" w:rsidR="00203F72" w:rsidRPr="00EC4A11" w:rsidRDefault="00203F72" w:rsidP="00EC4A11"/>
        </w:tc>
        <w:tc>
          <w:tcPr>
            <w:tcW w:w="890" w:type="pct"/>
            <w:shd w:val="clear" w:color="auto" w:fill="auto"/>
          </w:tcPr>
          <w:p w14:paraId="11F4C809" w14:textId="77777777" w:rsidR="00203F72" w:rsidRPr="00EC4A11" w:rsidRDefault="00076467" w:rsidP="00EC4A11">
            <w:hyperlink r:id="rId1317" w:anchor="a153" w:history="1">
              <w:r w:rsidR="00203F72" w:rsidRPr="00EC4A11">
                <w:rPr>
                  <w:rStyle w:val="a5"/>
                </w:rPr>
                <w:t>第153條</w:t>
              </w:r>
            </w:hyperlink>
          </w:p>
        </w:tc>
        <w:tc>
          <w:tcPr>
            <w:tcW w:w="3573" w:type="pct"/>
            <w:shd w:val="clear" w:color="auto" w:fill="auto"/>
          </w:tcPr>
          <w:p w14:paraId="76AABA23" w14:textId="77777777" w:rsidR="00203F72" w:rsidRPr="00EC4A11" w:rsidRDefault="00203F72" w:rsidP="00EC4A11">
            <w:r w:rsidRPr="00EC4A11">
              <w:t>國家為改良勞工及農民之生活，增進其生產技能，應制定保護勞工及農民之法律，實施保護勞工及農民之政策。</w:t>
            </w:r>
            <w:r w:rsidRPr="00EC4A11">
              <w:t>(</w:t>
            </w:r>
            <w:r w:rsidRPr="00EC4A11">
              <w:t>第一項</w:t>
            </w:r>
            <w:r w:rsidRPr="00EC4A11">
              <w:t>)</w:t>
            </w:r>
            <w:r w:rsidRPr="00EC4A11">
              <w:t>；婦女兒童從事勞動者，應按其年齡及身體狀態，予以特別保護。</w:t>
            </w:r>
            <w:r w:rsidRPr="00EC4A11">
              <w:t>(</w:t>
            </w:r>
            <w:r w:rsidRPr="00EC4A11">
              <w:t>第二項</w:t>
            </w:r>
            <w:r w:rsidRPr="00EC4A11">
              <w:t>)</w:t>
            </w:r>
          </w:p>
        </w:tc>
      </w:tr>
      <w:tr w:rsidR="00203F72" w:rsidRPr="00A53581" w14:paraId="524EFF7F" w14:textId="77777777" w:rsidTr="00203F72">
        <w:tc>
          <w:tcPr>
            <w:tcW w:w="538" w:type="pct"/>
            <w:vMerge/>
            <w:shd w:val="clear" w:color="auto" w:fill="auto"/>
          </w:tcPr>
          <w:p w14:paraId="229C421E" w14:textId="77777777" w:rsidR="00203F72" w:rsidRPr="00EC4A11" w:rsidRDefault="00203F72" w:rsidP="00EC4A11"/>
        </w:tc>
        <w:tc>
          <w:tcPr>
            <w:tcW w:w="890" w:type="pct"/>
            <w:shd w:val="clear" w:color="auto" w:fill="auto"/>
          </w:tcPr>
          <w:p w14:paraId="5FA149AB" w14:textId="77777777" w:rsidR="00203F72" w:rsidRPr="00EC4A11" w:rsidRDefault="00076467" w:rsidP="00EC4A11">
            <w:hyperlink r:id="rId1318" w:anchor="a154" w:history="1">
              <w:r w:rsidR="00203F72" w:rsidRPr="00EC4A11">
                <w:rPr>
                  <w:rStyle w:val="a5"/>
                </w:rPr>
                <w:t>第154條</w:t>
              </w:r>
            </w:hyperlink>
          </w:p>
        </w:tc>
        <w:tc>
          <w:tcPr>
            <w:tcW w:w="3573" w:type="pct"/>
            <w:shd w:val="clear" w:color="auto" w:fill="auto"/>
          </w:tcPr>
          <w:p w14:paraId="49941DFB" w14:textId="77777777" w:rsidR="00203F72" w:rsidRPr="00EC4A11" w:rsidRDefault="00203F72" w:rsidP="00EC4A11">
            <w:r w:rsidRPr="00EC4A11">
              <w:t>勞資雙方應本協調合作原則，發展生產事業。勞資糾紛之調解與仲裁，以法律定之。</w:t>
            </w:r>
          </w:p>
        </w:tc>
      </w:tr>
      <w:tr w:rsidR="00203F72" w:rsidRPr="00A53581" w14:paraId="012FDA04" w14:textId="77777777" w:rsidTr="00203F72">
        <w:tc>
          <w:tcPr>
            <w:tcW w:w="538" w:type="pct"/>
            <w:vMerge w:val="restart"/>
            <w:shd w:val="clear" w:color="auto" w:fill="auto"/>
          </w:tcPr>
          <w:p w14:paraId="3BAC98C2" w14:textId="77777777" w:rsidR="00203F72" w:rsidRPr="00EC4A11" w:rsidRDefault="00203F72" w:rsidP="00EC4A11">
            <w:r w:rsidRPr="00EC4A11">
              <w:t>限制</w:t>
            </w:r>
          </w:p>
        </w:tc>
        <w:tc>
          <w:tcPr>
            <w:tcW w:w="890" w:type="pct"/>
            <w:shd w:val="clear" w:color="auto" w:fill="auto"/>
          </w:tcPr>
          <w:p w14:paraId="676D1A59" w14:textId="77777777" w:rsidR="00203F72" w:rsidRPr="00EC4A11" w:rsidRDefault="00076467" w:rsidP="00EC4A11">
            <w:hyperlink r:id="rId1319" w:anchor="a23" w:history="1">
              <w:r w:rsidR="00203F72" w:rsidRPr="00EC4A11">
                <w:rPr>
                  <w:rStyle w:val="a5"/>
                </w:rPr>
                <w:t>第23條</w:t>
              </w:r>
            </w:hyperlink>
          </w:p>
        </w:tc>
        <w:tc>
          <w:tcPr>
            <w:tcW w:w="3573" w:type="pct"/>
            <w:shd w:val="clear" w:color="auto" w:fill="auto"/>
          </w:tcPr>
          <w:p w14:paraId="5F98BA4C" w14:textId="77777777" w:rsidR="00203F72" w:rsidRPr="00EC4A11" w:rsidRDefault="00203F72" w:rsidP="00EC4A11">
            <w:r w:rsidRPr="00EC4A11">
              <w:t>以上各條列舉之自由權利，除為防止妨礙他人自由，避免緊急危難，維持社會秩序，或增進公共利益所必要者外，不得以法律限制之。</w:t>
            </w:r>
          </w:p>
        </w:tc>
      </w:tr>
      <w:tr w:rsidR="00203F72" w:rsidRPr="00A53581" w14:paraId="6D03CBCC" w14:textId="77777777" w:rsidTr="00203F72">
        <w:tc>
          <w:tcPr>
            <w:tcW w:w="538" w:type="pct"/>
            <w:vMerge/>
            <w:shd w:val="clear" w:color="auto" w:fill="auto"/>
          </w:tcPr>
          <w:p w14:paraId="23CB8E37" w14:textId="77777777" w:rsidR="00203F72" w:rsidRPr="00EC4A11" w:rsidRDefault="00203F72" w:rsidP="00EC4A11"/>
        </w:tc>
        <w:tc>
          <w:tcPr>
            <w:tcW w:w="890" w:type="pct"/>
            <w:shd w:val="clear" w:color="auto" w:fill="auto"/>
          </w:tcPr>
          <w:p w14:paraId="531BA7C0" w14:textId="77777777" w:rsidR="00203F72" w:rsidRPr="00EC4A11" w:rsidRDefault="00076467" w:rsidP="00EC4A11">
            <w:hyperlink r:id="rId1320" w:anchor="a86" w:history="1">
              <w:r w:rsidR="00203F72" w:rsidRPr="00EC4A11">
                <w:rPr>
                  <w:rStyle w:val="a5"/>
                </w:rPr>
                <w:t>第86條</w:t>
              </w:r>
            </w:hyperlink>
          </w:p>
        </w:tc>
        <w:tc>
          <w:tcPr>
            <w:tcW w:w="3573" w:type="pct"/>
            <w:shd w:val="clear" w:color="auto" w:fill="auto"/>
          </w:tcPr>
          <w:p w14:paraId="66FF58F0" w14:textId="77777777" w:rsidR="00203F72" w:rsidRPr="00EC4A11" w:rsidRDefault="00203F72" w:rsidP="00EC4A11">
            <w:r w:rsidRPr="00EC4A11">
              <w:t>專門職業及技術人員業資格，應經考試院依法考選銓定之。</w:t>
            </w:r>
            <w:r w:rsidRPr="00EC4A11">
              <w:t>(</w:t>
            </w:r>
            <w:r w:rsidRPr="00EC4A11">
              <w:t>第二款</w:t>
            </w:r>
            <w:r w:rsidRPr="00EC4A11">
              <w:t>)</w:t>
            </w:r>
          </w:p>
        </w:tc>
      </w:tr>
      <w:tr w:rsidR="00203F72" w:rsidRPr="00A53581" w14:paraId="5632C8F5" w14:textId="77777777" w:rsidTr="00203F72">
        <w:tc>
          <w:tcPr>
            <w:tcW w:w="538" w:type="pct"/>
            <w:vMerge/>
            <w:shd w:val="clear" w:color="auto" w:fill="auto"/>
          </w:tcPr>
          <w:p w14:paraId="45AE3E6E" w14:textId="77777777" w:rsidR="00203F72" w:rsidRPr="00EC4A11" w:rsidRDefault="00203F72" w:rsidP="00EC4A11"/>
        </w:tc>
        <w:tc>
          <w:tcPr>
            <w:tcW w:w="890" w:type="pct"/>
            <w:shd w:val="clear" w:color="auto" w:fill="auto"/>
          </w:tcPr>
          <w:p w14:paraId="489DDC66" w14:textId="77777777" w:rsidR="00203F72" w:rsidRPr="00EC4A11" w:rsidRDefault="00076467" w:rsidP="00EC4A11">
            <w:hyperlink r:id="rId1321" w:anchor="a144" w:history="1">
              <w:r w:rsidR="00203F72" w:rsidRPr="00EC4A11">
                <w:rPr>
                  <w:rStyle w:val="a5"/>
                </w:rPr>
                <w:t>第144條</w:t>
              </w:r>
            </w:hyperlink>
          </w:p>
        </w:tc>
        <w:tc>
          <w:tcPr>
            <w:tcW w:w="3573" w:type="pct"/>
            <w:shd w:val="clear" w:color="auto" w:fill="auto"/>
          </w:tcPr>
          <w:p w14:paraId="6B1D181C" w14:textId="77777777" w:rsidR="00203F72" w:rsidRPr="00EC4A11" w:rsidRDefault="00203F72" w:rsidP="00EC4A11">
            <w:r w:rsidRPr="00EC4A11">
              <w:t>公用事業及其他獨佔性企業，以公開為原則。其經法律許可者，得由國民經營之。</w:t>
            </w:r>
          </w:p>
        </w:tc>
      </w:tr>
      <w:tr w:rsidR="00203F72" w:rsidRPr="00A53581" w14:paraId="6F4760B3" w14:textId="77777777" w:rsidTr="00203F72">
        <w:tc>
          <w:tcPr>
            <w:tcW w:w="538" w:type="pct"/>
            <w:vMerge/>
            <w:shd w:val="clear" w:color="auto" w:fill="auto"/>
          </w:tcPr>
          <w:p w14:paraId="7554304C" w14:textId="77777777" w:rsidR="00203F72" w:rsidRPr="00EC4A11" w:rsidRDefault="00203F72" w:rsidP="00EC4A11"/>
        </w:tc>
        <w:tc>
          <w:tcPr>
            <w:tcW w:w="890" w:type="pct"/>
            <w:shd w:val="clear" w:color="auto" w:fill="auto"/>
          </w:tcPr>
          <w:p w14:paraId="39CDD6E2" w14:textId="77777777" w:rsidR="00203F72" w:rsidRPr="00EC4A11" w:rsidRDefault="00076467" w:rsidP="00EC4A11">
            <w:hyperlink r:id="rId1322" w:anchor="a145" w:history="1">
              <w:r w:rsidR="00203F72" w:rsidRPr="00EC4A11">
                <w:rPr>
                  <w:rStyle w:val="a5"/>
                </w:rPr>
                <w:t>第145條</w:t>
              </w:r>
            </w:hyperlink>
          </w:p>
        </w:tc>
        <w:tc>
          <w:tcPr>
            <w:tcW w:w="3573" w:type="pct"/>
            <w:shd w:val="clear" w:color="auto" w:fill="auto"/>
          </w:tcPr>
          <w:p w14:paraId="28B97EEF" w14:textId="77777777" w:rsidR="00203F72" w:rsidRPr="00EC4A11" w:rsidRDefault="00203F72" w:rsidP="00EC4A11">
            <w:r w:rsidRPr="00EC4A11">
              <w:t>國家對於私人財富及私營事業，認為有妨害國際民生之平衡發展者，應以法律限制之。</w:t>
            </w:r>
          </w:p>
        </w:tc>
      </w:tr>
      <w:tr w:rsidR="00203F72" w:rsidRPr="00A53581" w14:paraId="7CAEE7C7" w14:textId="77777777" w:rsidTr="00203F72">
        <w:tc>
          <w:tcPr>
            <w:tcW w:w="538" w:type="pct"/>
            <w:vMerge w:val="restart"/>
            <w:shd w:val="clear" w:color="auto" w:fill="auto"/>
          </w:tcPr>
          <w:p w14:paraId="2055B6FA" w14:textId="77777777" w:rsidR="00203F72" w:rsidRPr="00EC4A11" w:rsidRDefault="00203F72" w:rsidP="00EC4A11">
            <w:r w:rsidRPr="00EC4A11">
              <w:t>大法官相關解釋</w:t>
            </w:r>
          </w:p>
        </w:tc>
        <w:tc>
          <w:tcPr>
            <w:tcW w:w="890" w:type="pct"/>
            <w:shd w:val="clear" w:color="auto" w:fill="auto"/>
          </w:tcPr>
          <w:p w14:paraId="135969B8" w14:textId="77777777" w:rsidR="00203F72" w:rsidRPr="00EC4A11" w:rsidRDefault="00203F72" w:rsidP="00EC4A11">
            <w:r w:rsidRPr="00EC4A11">
              <w:t>釋字</w:t>
            </w:r>
            <w:hyperlink r:id="rId1323" w:anchor="r222" w:history="1">
              <w:r w:rsidRPr="00EC4A11">
                <w:rPr>
                  <w:rStyle w:val="a5"/>
                </w:rPr>
                <w:t>第222號</w:t>
              </w:r>
            </w:hyperlink>
          </w:p>
        </w:tc>
        <w:tc>
          <w:tcPr>
            <w:tcW w:w="3573" w:type="pct"/>
            <w:shd w:val="clear" w:color="auto" w:fill="auto"/>
          </w:tcPr>
          <w:p w14:paraId="6839639A" w14:textId="77777777" w:rsidR="00203F72" w:rsidRPr="00EC4A11" w:rsidRDefault="00203F72" w:rsidP="00EC4A11">
            <w:r w:rsidRPr="00EC4A11">
              <w:t>當會計師一要經過國家考試。</w:t>
            </w:r>
            <w:r w:rsidRPr="00EC4A11">
              <w:t>(1988</w:t>
            </w:r>
            <w:r w:rsidRPr="00EC4A11">
              <w:t>年</w:t>
            </w:r>
            <w:r w:rsidRPr="00EC4A11">
              <w:t>2</w:t>
            </w:r>
            <w:r w:rsidRPr="00EC4A11">
              <w:t>月</w:t>
            </w:r>
            <w:r w:rsidRPr="00EC4A11">
              <w:t>12</w:t>
            </w:r>
            <w:r w:rsidRPr="00EC4A11">
              <w:t>日</w:t>
            </w:r>
            <w:r w:rsidRPr="00EC4A11">
              <w:t>)</w:t>
            </w:r>
          </w:p>
        </w:tc>
      </w:tr>
      <w:tr w:rsidR="00203F72" w:rsidRPr="00A53581" w14:paraId="04787057" w14:textId="77777777" w:rsidTr="00203F72">
        <w:tc>
          <w:tcPr>
            <w:tcW w:w="538" w:type="pct"/>
            <w:vMerge/>
            <w:shd w:val="clear" w:color="auto" w:fill="auto"/>
          </w:tcPr>
          <w:p w14:paraId="5CFEBF84" w14:textId="77777777" w:rsidR="00203F72" w:rsidRPr="00EC4A11" w:rsidRDefault="00203F72" w:rsidP="00EC4A11"/>
        </w:tc>
        <w:tc>
          <w:tcPr>
            <w:tcW w:w="890" w:type="pct"/>
            <w:shd w:val="clear" w:color="auto" w:fill="auto"/>
          </w:tcPr>
          <w:p w14:paraId="34061F78" w14:textId="77777777" w:rsidR="00203F72" w:rsidRPr="00EC4A11" w:rsidRDefault="00203F72" w:rsidP="00EC4A11">
            <w:r w:rsidRPr="00EC4A11">
              <w:t>釋字第</w:t>
            </w:r>
            <w:hyperlink r:id="rId1324" w:anchor="r352" w:history="1">
              <w:r w:rsidRPr="00EC4A11">
                <w:rPr>
                  <w:rStyle w:val="a5"/>
                </w:rPr>
                <w:t>352</w:t>
              </w:r>
            </w:hyperlink>
            <w:r w:rsidRPr="00EC4A11">
              <w:t>、</w:t>
            </w:r>
            <w:hyperlink r:id="rId1325" w:anchor="r453" w:history="1">
              <w:r w:rsidRPr="00EC4A11">
                <w:rPr>
                  <w:rStyle w:val="a5"/>
                </w:rPr>
                <w:t>453</w:t>
              </w:r>
            </w:hyperlink>
            <w:r w:rsidRPr="00EC4A11">
              <w:t>號</w:t>
            </w:r>
          </w:p>
        </w:tc>
        <w:tc>
          <w:tcPr>
            <w:tcW w:w="3573" w:type="pct"/>
            <w:shd w:val="clear" w:color="auto" w:fill="auto"/>
          </w:tcPr>
          <w:p w14:paraId="69F20360" w14:textId="77777777" w:rsidR="00203F72" w:rsidRPr="00EC4A11" w:rsidRDefault="00203F72" w:rsidP="00EC4A11">
            <w:r w:rsidRPr="00EC4A11">
              <w:t>有經驗之記帳人員和土地代書也要考試。</w:t>
            </w:r>
            <w:r w:rsidRPr="00EC4A11">
              <w:t>(352</w:t>
            </w:r>
            <w:r w:rsidRPr="00EC4A11">
              <w:t>號：</w:t>
            </w:r>
            <w:r w:rsidRPr="00EC4A11">
              <w:t>1988</w:t>
            </w:r>
            <w:r w:rsidRPr="00EC4A11">
              <w:t>年</w:t>
            </w:r>
            <w:r w:rsidRPr="00EC4A11">
              <w:t>2</w:t>
            </w:r>
            <w:r w:rsidRPr="00EC4A11">
              <w:t>月</w:t>
            </w:r>
            <w:r w:rsidRPr="00EC4A11">
              <w:t>12</w:t>
            </w:r>
            <w:r w:rsidRPr="00EC4A11">
              <w:t>日；</w:t>
            </w:r>
            <w:r w:rsidRPr="00EC4A11">
              <w:t>453</w:t>
            </w:r>
            <w:r w:rsidRPr="00EC4A11">
              <w:t>號：</w:t>
            </w:r>
            <w:r w:rsidRPr="00EC4A11">
              <w:t>1998</w:t>
            </w:r>
            <w:r w:rsidRPr="00EC4A11">
              <w:t>年</w:t>
            </w:r>
            <w:r w:rsidRPr="00EC4A11">
              <w:t>5</w:t>
            </w:r>
            <w:r w:rsidRPr="00EC4A11">
              <w:t>月</w:t>
            </w:r>
            <w:r w:rsidRPr="00EC4A11">
              <w:t>10</w:t>
            </w:r>
            <w:r w:rsidRPr="00EC4A11">
              <w:t>日</w:t>
            </w:r>
            <w:r w:rsidRPr="00EC4A11">
              <w:t>)</w:t>
            </w:r>
          </w:p>
        </w:tc>
      </w:tr>
      <w:tr w:rsidR="00203F72" w:rsidRPr="00A53581" w14:paraId="0EA0A70F" w14:textId="77777777" w:rsidTr="00203F72">
        <w:tc>
          <w:tcPr>
            <w:tcW w:w="538" w:type="pct"/>
            <w:vMerge/>
            <w:shd w:val="clear" w:color="auto" w:fill="auto"/>
          </w:tcPr>
          <w:p w14:paraId="1B7A73C1" w14:textId="77777777" w:rsidR="00203F72" w:rsidRPr="00EC4A11" w:rsidRDefault="00203F72" w:rsidP="00EC4A11"/>
        </w:tc>
        <w:tc>
          <w:tcPr>
            <w:tcW w:w="890" w:type="pct"/>
            <w:shd w:val="clear" w:color="auto" w:fill="auto"/>
          </w:tcPr>
          <w:p w14:paraId="43B764CA" w14:textId="77777777" w:rsidR="00203F72" w:rsidRPr="00EC4A11" w:rsidRDefault="00203F72" w:rsidP="00EC4A11">
            <w:r w:rsidRPr="00EC4A11">
              <w:t>釋字第</w:t>
            </w:r>
            <w:hyperlink r:id="rId1326" w:anchor="r404" w:history="1">
              <w:r w:rsidRPr="00EC4A11">
                <w:rPr>
                  <w:rStyle w:val="a5"/>
                </w:rPr>
                <w:t>404</w:t>
              </w:r>
            </w:hyperlink>
            <w:r w:rsidRPr="00EC4A11">
              <w:t>號</w:t>
            </w:r>
          </w:p>
        </w:tc>
        <w:tc>
          <w:tcPr>
            <w:tcW w:w="3573" w:type="pct"/>
            <w:shd w:val="clear" w:color="auto" w:fill="auto"/>
          </w:tcPr>
          <w:p w14:paraId="6DA283A1" w14:textId="77777777" w:rsidR="00203F72" w:rsidRPr="00EC4A11" w:rsidRDefault="00203F72" w:rsidP="00EC4A11">
            <w:r w:rsidRPr="00EC4A11">
              <w:t>中醫師不能開西藥給病人。</w:t>
            </w:r>
            <w:r w:rsidRPr="00EC4A11">
              <w:t>(1986</w:t>
            </w:r>
            <w:r w:rsidRPr="00EC4A11">
              <w:t>年</w:t>
            </w:r>
            <w:r w:rsidRPr="00EC4A11">
              <w:t>5</w:t>
            </w:r>
            <w:r w:rsidRPr="00EC4A11">
              <w:t>月</w:t>
            </w:r>
            <w:r w:rsidRPr="00EC4A11">
              <w:t>24</w:t>
            </w:r>
            <w:r w:rsidRPr="00EC4A11">
              <w:t>日</w:t>
            </w:r>
            <w:r w:rsidRPr="00EC4A11">
              <w:t>)</w:t>
            </w:r>
          </w:p>
        </w:tc>
      </w:tr>
      <w:tr w:rsidR="00203F72" w:rsidRPr="00A53581" w14:paraId="65E4097C" w14:textId="77777777" w:rsidTr="00203F72">
        <w:tc>
          <w:tcPr>
            <w:tcW w:w="538" w:type="pct"/>
            <w:vMerge/>
            <w:shd w:val="clear" w:color="auto" w:fill="auto"/>
          </w:tcPr>
          <w:p w14:paraId="4435AFC2" w14:textId="77777777" w:rsidR="00203F72" w:rsidRPr="00EC4A11" w:rsidRDefault="00203F72" w:rsidP="00EC4A11"/>
        </w:tc>
        <w:tc>
          <w:tcPr>
            <w:tcW w:w="890" w:type="pct"/>
            <w:shd w:val="clear" w:color="auto" w:fill="auto"/>
          </w:tcPr>
          <w:p w14:paraId="5AA47FFD" w14:textId="77777777" w:rsidR="00203F72" w:rsidRPr="00EC4A11" w:rsidRDefault="00203F72" w:rsidP="00EC4A11">
            <w:r w:rsidRPr="00EC4A11">
              <w:t>釋字第</w:t>
            </w:r>
            <w:hyperlink r:id="rId1327" w:anchor="r510" w:history="1">
              <w:r w:rsidRPr="00EC4A11">
                <w:rPr>
                  <w:rStyle w:val="a5"/>
                </w:rPr>
                <w:t>510</w:t>
              </w:r>
            </w:hyperlink>
            <w:r w:rsidRPr="00EC4A11">
              <w:t>號</w:t>
            </w:r>
          </w:p>
        </w:tc>
        <w:tc>
          <w:tcPr>
            <w:tcW w:w="3573" w:type="pct"/>
            <w:shd w:val="clear" w:color="auto" w:fill="auto"/>
          </w:tcPr>
          <w:p w14:paraId="73CEF6EE" w14:textId="77777777" w:rsidR="00203F72" w:rsidRPr="00EC4A11" w:rsidRDefault="00203F72" w:rsidP="00EC4A11">
            <w:r w:rsidRPr="00EC4A11">
              <w:t>航空人員要通過體檢。航空人員體格標準限制執業之規定，係為維護公眾利益，基於航空人員之工作特性，就職業選擇自由個人應具備條件所為之限制，非涉裁罰性之處分，與憲法保障人民工作權之規定並無牴觸。</w:t>
            </w:r>
          </w:p>
        </w:tc>
      </w:tr>
      <w:tr w:rsidR="00203F72" w:rsidRPr="00A53581" w14:paraId="38C368B2" w14:textId="77777777" w:rsidTr="00203F72">
        <w:tc>
          <w:tcPr>
            <w:tcW w:w="538" w:type="pct"/>
            <w:vMerge/>
            <w:shd w:val="clear" w:color="auto" w:fill="auto"/>
          </w:tcPr>
          <w:p w14:paraId="784CD227" w14:textId="77777777" w:rsidR="00203F72" w:rsidRPr="00EC4A11" w:rsidRDefault="00203F72" w:rsidP="00EC4A11"/>
        </w:tc>
        <w:tc>
          <w:tcPr>
            <w:tcW w:w="890" w:type="pct"/>
            <w:shd w:val="clear" w:color="auto" w:fill="auto"/>
          </w:tcPr>
          <w:p w14:paraId="362728E4" w14:textId="77777777" w:rsidR="00203F72" w:rsidRPr="00EC4A11" w:rsidRDefault="00203F72" w:rsidP="00EC4A11">
            <w:r w:rsidRPr="00EC4A11">
              <w:t>釋字</w:t>
            </w:r>
            <w:hyperlink r:id="rId1328" w:anchor="r584" w:history="1">
              <w:r w:rsidRPr="00EC4A11">
                <w:rPr>
                  <w:rStyle w:val="a5"/>
                </w:rPr>
                <w:t>第584號</w:t>
              </w:r>
            </w:hyperlink>
          </w:p>
        </w:tc>
        <w:tc>
          <w:tcPr>
            <w:tcW w:w="3573" w:type="pct"/>
            <w:shd w:val="clear" w:color="auto" w:fill="auto"/>
          </w:tcPr>
          <w:p w14:paraId="17587D16" w14:textId="77777777" w:rsidR="00203F72" w:rsidRPr="00EC4A11" w:rsidRDefault="00203F72" w:rsidP="00EC4A11">
            <w:r w:rsidRPr="00EC4A11">
              <w:t>有殺人等前科者不能當計程車司機。中華民國</w:t>
            </w:r>
            <w:r w:rsidRPr="00EC4A11">
              <w:t>88</w:t>
            </w:r>
            <w:r w:rsidRPr="00EC4A11">
              <w:t>年</w:t>
            </w:r>
            <w:r w:rsidRPr="00EC4A11">
              <w:t>4</w:t>
            </w:r>
            <w:r w:rsidRPr="00EC4A11">
              <w:t>月</w:t>
            </w:r>
            <w:r w:rsidRPr="00EC4A11">
              <w:t>21</w:t>
            </w:r>
            <w:r w:rsidRPr="00EC4A11">
              <w:t>日修正公布之道路交通管理處罰條例</w:t>
            </w:r>
            <w:hyperlink r:id="rId1329" w:anchor="a37" w:history="1">
              <w:r w:rsidR="00A5735A" w:rsidRPr="00EC4A11">
                <w:rPr>
                  <w:rStyle w:val="a5"/>
                  <w:rFonts w:hint="eastAsia"/>
                </w:rPr>
                <w:t>第37條</w:t>
              </w:r>
            </w:hyperlink>
            <w:r w:rsidRPr="00EC4A11">
              <w:t>第</w:t>
            </w:r>
            <w:r w:rsidRPr="00EC4A11">
              <w:t>1</w:t>
            </w:r>
            <w:r w:rsidRPr="00EC4A11">
              <w:t>項規定：「曾犯故意殺人、搶劫、搶奪、強盜、恐嚇取財、擄人勒贖或刑法</w:t>
            </w:r>
            <w:hyperlink r:id="rId1330" w:anchor="a221" w:history="1">
              <w:r w:rsidRPr="00EC4A11">
                <w:rPr>
                  <w:rStyle w:val="a5"/>
                </w:rPr>
                <w:t>第221條</w:t>
              </w:r>
            </w:hyperlink>
            <w:r w:rsidRPr="00EC4A11">
              <w:t>至第</w:t>
            </w:r>
            <w:r w:rsidRPr="00EC4A11">
              <w:t>229</w:t>
            </w:r>
            <w:r w:rsidRPr="00EC4A11">
              <w:t>條妨害性自主之罪，經判決罪刑確定者，不准辦理營業小客車駕駛人執業登記。」乃基於營業小客車營運及其駕駛人工作之特性，就駕駛人個人應具備之主觀條件，對人民職業選擇自由所為之限制，旨在保障乘客之安全，確保社會之治安，及增進營業小客車之職業信賴，與憲法意旨相符，於憲</w:t>
            </w:r>
            <w:r w:rsidR="003D02B1" w:rsidRPr="00EC4A11">
              <w:t>法</w:t>
            </w:r>
            <w:hyperlink r:id="rId1331" w:anchor="a23" w:history="1">
              <w:r w:rsidR="003D02B1" w:rsidRPr="00EC4A11">
                <w:rPr>
                  <w:rStyle w:val="a5"/>
                </w:rPr>
                <w:t>第23條</w:t>
              </w:r>
            </w:hyperlink>
            <w:r w:rsidRPr="00EC4A11">
              <w:t>之規定，尚無牴觸。</w:t>
            </w:r>
            <w:r w:rsidRPr="00EC4A11">
              <w:t>(2004</w:t>
            </w:r>
            <w:r w:rsidRPr="00EC4A11">
              <w:t>年</w:t>
            </w:r>
            <w:r w:rsidRPr="00EC4A11">
              <w:t>9</w:t>
            </w:r>
            <w:r w:rsidRPr="00EC4A11">
              <w:t>月</w:t>
            </w:r>
            <w:r w:rsidRPr="00EC4A11">
              <w:t>17</w:t>
            </w:r>
            <w:r w:rsidRPr="00EC4A11">
              <w:t>日</w:t>
            </w:r>
            <w:r w:rsidRPr="00EC4A11">
              <w:t>)</w:t>
            </w:r>
          </w:p>
        </w:tc>
      </w:tr>
    </w:tbl>
    <w:p w14:paraId="3B9434E1" w14:textId="77777777" w:rsidR="00203F72" w:rsidRPr="00A53581" w:rsidRDefault="002107CE" w:rsidP="00D87D91">
      <w:r>
        <w:t>【本表格資料來源】</w:t>
      </w:r>
      <w:r w:rsidR="00203F72" w:rsidRPr="00A53581">
        <w:t>劉兆隆、林麗香、林宗達、柳金財、梁文興、陳朝政、葉怡君、蔡志昇</w:t>
      </w:r>
      <w:r w:rsidR="00203F72" w:rsidRPr="00A53581">
        <w:t>(2011)</w:t>
      </w:r>
      <w:r w:rsidR="00203F72" w:rsidRPr="00A53581">
        <w:t>，中華民國憲法綜論，新北市：晶典文化出版社，第</w:t>
      </w:r>
      <w:r w:rsidR="00203F72" w:rsidRPr="00A53581">
        <w:t>158</w:t>
      </w:r>
      <w:r w:rsidR="00203F72" w:rsidRPr="00A53581">
        <w:rPr>
          <w:rFonts w:hint="eastAsia"/>
        </w:rPr>
        <w:t>-</w:t>
      </w:r>
      <w:r w:rsidR="00203F72" w:rsidRPr="00A53581">
        <w:t>159</w:t>
      </w:r>
      <w:r w:rsidR="00203F72" w:rsidRPr="00A53581">
        <w:t>頁。</w:t>
      </w:r>
    </w:p>
    <w:p w14:paraId="3FBD68C4" w14:textId="77777777" w:rsidR="00953151" w:rsidRDefault="00800CD7" w:rsidP="00D87D91">
      <w:r>
        <w:t xml:space="preserve">　　</w:t>
      </w:r>
      <w:r w:rsidR="00203F72" w:rsidRPr="00A53581">
        <w:t>蔡茂寅</w:t>
      </w:r>
      <w:r w:rsidR="00203F72" w:rsidRPr="00A53581">
        <w:rPr>
          <w:rFonts w:hint="eastAsia"/>
        </w:rPr>
        <w:t>(1997)</w:t>
      </w:r>
      <w:r w:rsidR="00203F72" w:rsidRPr="00A53581">
        <w:rPr>
          <w:rFonts w:hint="eastAsia"/>
        </w:rPr>
        <w:t>，工作保障與勞動基本權的關係，律師雜誌第</w:t>
      </w:r>
      <w:r w:rsidR="00203F72" w:rsidRPr="00A53581">
        <w:rPr>
          <w:rFonts w:hint="eastAsia"/>
        </w:rPr>
        <w:t>219</w:t>
      </w:r>
      <w:r w:rsidR="00203F72" w:rsidRPr="00A53581">
        <w:rPr>
          <w:rFonts w:hint="eastAsia"/>
        </w:rPr>
        <w:t>期，第</w:t>
      </w:r>
      <w:r w:rsidR="00203F72" w:rsidRPr="00A53581">
        <w:rPr>
          <w:rFonts w:hint="eastAsia"/>
        </w:rPr>
        <w:t>25-26</w:t>
      </w:r>
      <w:r w:rsidR="00203F72" w:rsidRPr="00A53581">
        <w:rPr>
          <w:rFonts w:hint="eastAsia"/>
        </w:rPr>
        <w:t>頁。</w:t>
      </w:r>
    </w:p>
    <w:p w14:paraId="6068F68D" w14:textId="77777777" w:rsidR="00203F72" w:rsidRPr="00A53581" w:rsidRDefault="00076467" w:rsidP="00767F37">
      <w:pPr>
        <w:pStyle w:val="2"/>
      </w:pPr>
      <w:hyperlink r:id="rId1332" w:anchor="a153" w:history="1">
        <w:r w:rsidR="005D5A46">
          <w:rPr>
            <w:rStyle w:val="a5"/>
            <w:rFonts w:ascii="Arial Unicode MS" w:hAnsi="Arial Unicode MS"/>
          </w:rPr>
          <w:t>第</w:t>
        </w:r>
        <w:r w:rsidR="00203F72" w:rsidRPr="00AB0A74">
          <w:rPr>
            <w:rStyle w:val="a5"/>
            <w:rFonts w:ascii="Arial Unicode MS" w:hAnsi="Arial Unicode MS"/>
          </w:rPr>
          <w:t>153</w:t>
        </w:r>
        <w:r w:rsidR="005D5A46">
          <w:rPr>
            <w:rStyle w:val="a5"/>
            <w:rFonts w:ascii="Arial Unicode MS" w:hAnsi="Arial Unicode MS"/>
          </w:rPr>
          <w:t>條</w:t>
        </w:r>
      </w:hyperlink>
      <w:r w:rsidR="00203F72" w:rsidRPr="00A53581">
        <w:t>國家為改良勞工及農民之生活，增進其生產技能，應制定保護勞工及農民之法律，實施保護勞工及農民之政策。</w:t>
      </w:r>
    </w:p>
    <w:p w14:paraId="35C766C6" w14:textId="77777777" w:rsidR="00953151" w:rsidRDefault="00800CD7" w:rsidP="00D87D91">
      <w:r>
        <w:t xml:space="preserve">　　</w:t>
      </w:r>
      <w:r w:rsidR="00203F72" w:rsidRPr="00A53581">
        <w:t>婦女兒童從事勞動者，應按其年齡及身體狀態，予以特別之保護。</w:t>
      </w:r>
    </w:p>
    <w:p w14:paraId="3DBE94D1" w14:textId="77777777" w:rsidR="00953151" w:rsidRDefault="00B03E84" w:rsidP="00D87D91">
      <w:r>
        <w:t>【內容解析】</w:t>
      </w:r>
    </w:p>
    <w:p w14:paraId="535FFC6D" w14:textId="77777777" w:rsidR="00953151" w:rsidRDefault="00800CD7" w:rsidP="00D87D91">
      <w:r w:rsidRPr="003A042C">
        <w:t xml:space="preserve">　　</w:t>
      </w:r>
      <w:r w:rsidR="00203F72" w:rsidRPr="003A042C">
        <w:t>勞工及農民在社會底層工作，很多是經濟弱勢，或容易受資本家剝削，因此有必要對這些基層勞工與農民有特別之保護。行政院下設勞委會，以及各縣市均設有勞工局或勞工處，目的即在保護勞工之工作條件。另外對於易發生危險之工作場所，亦設有專法加以規範。例如，依勞工</w:t>
      </w:r>
      <w:r w:rsidR="003A042C" w:rsidRPr="003A042C">
        <w:t>安全</w:t>
      </w:r>
      <w:r w:rsidR="00203F72" w:rsidRPr="003A042C">
        <w:t>衛生</w:t>
      </w:r>
      <w:r w:rsidR="004651E8" w:rsidRPr="003A042C">
        <w:t>法</w:t>
      </w:r>
      <w:hyperlink r:id="rId1333" w:anchor="a1" w:history="1">
        <w:r w:rsidR="004651E8" w:rsidRPr="003A042C">
          <w:rPr>
            <w:rStyle w:val="a5"/>
          </w:rPr>
          <w:t>第一條</w:t>
        </w:r>
      </w:hyperlink>
      <w:r w:rsidR="00203F72" w:rsidRPr="003A042C">
        <w:t>之立法旨意，「為防止職業災害，保障勞工安全與健康，特制定本法；本法未規定者，適用其他有關法律之規定」。</w:t>
      </w:r>
    </w:p>
    <w:p w14:paraId="2463CE05" w14:textId="77777777" w:rsidR="003A042C" w:rsidRPr="003A042C" w:rsidRDefault="003A042C" w:rsidP="00D87D91"/>
    <w:p w14:paraId="23E3694A" w14:textId="234BD886" w:rsidR="00203F72" w:rsidRPr="003A042C" w:rsidRDefault="00B03E84" w:rsidP="00D87D91">
      <w:r w:rsidRPr="003A042C">
        <w:t>【</w:t>
      </w:r>
      <w:r w:rsidRPr="003A042C">
        <w:t>table</w:t>
      </w:r>
      <w:r w:rsidR="005E23E3" w:rsidRPr="003A042C">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75</w:t>
      </w:r>
      <w:r w:rsidR="00076467">
        <w:rPr>
          <w:noProof/>
        </w:rPr>
        <w:fldChar w:fldCharType="end"/>
      </w:r>
      <w:r w:rsidR="00203F72" w:rsidRPr="003A042C">
        <w:t>我國憲法對於人民生活權保障之規定</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6811"/>
      </w:tblGrid>
      <w:tr w:rsidR="00203F72" w:rsidRPr="00A53581" w14:paraId="07FB08A6" w14:textId="77777777" w:rsidTr="00D53F68">
        <w:trPr>
          <w:tblHeader/>
        </w:trPr>
        <w:tc>
          <w:tcPr>
            <w:tcW w:w="785" w:type="pct"/>
            <w:shd w:val="clear" w:color="auto" w:fill="FAF0FA"/>
          </w:tcPr>
          <w:p w14:paraId="664AFCB2" w14:textId="77777777" w:rsidR="00203F72" w:rsidRPr="00A53581" w:rsidRDefault="00203F72" w:rsidP="00D87D91">
            <w:r w:rsidRPr="00A53581">
              <w:t>法條</w:t>
            </w:r>
          </w:p>
        </w:tc>
        <w:tc>
          <w:tcPr>
            <w:tcW w:w="4215" w:type="pct"/>
            <w:shd w:val="clear" w:color="auto" w:fill="FAF0FA"/>
          </w:tcPr>
          <w:p w14:paraId="65CD1712" w14:textId="77777777" w:rsidR="00203F72" w:rsidRPr="00A53581" w:rsidRDefault="00203F72" w:rsidP="00D87D91">
            <w:r w:rsidRPr="00A53581">
              <w:t>法條保障內容</w:t>
            </w:r>
          </w:p>
        </w:tc>
      </w:tr>
      <w:tr w:rsidR="00203F72" w:rsidRPr="00A53581" w14:paraId="7C25A285" w14:textId="77777777" w:rsidTr="00D53F68">
        <w:tc>
          <w:tcPr>
            <w:tcW w:w="785" w:type="pct"/>
            <w:shd w:val="clear" w:color="auto" w:fill="auto"/>
          </w:tcPr>
          <w:p w14:paraId="44878C7D" w14:textId="77777777" w:rsidR="00203F72" w:rsidRPr="00A53581" w:rsidRDefault="00076467" w:rsidP="00D87D91">
            <w:hyperlink r:id="rId1334" w:anchor="a153"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153</w:t>
              </w:r>
              <w:r w:rsidR="00203F72" w:rsidRPr="00346509">
                <w:rPr>
                  <w:rStyle w:val="a5"/>
                  <w:rFonts w:ascii="Times New Roman" w:eastAsia="新細明體" w:hAnsi="Times New Roman"/>
                </w:rPr>
                <w:t>條</w:t>
              </w:r>
            </w:hyperlink>
          </w:p>
        </w:tc>
        <w:tc>
          <w:tcPr>
            <w:tcW w:w="4215" w:type="pct"/>
            <w:shd w:val="clear" w:color="auto" w:fill="auto"/>
          </w:tcPr>
          <w:p w14:paraId="1F257C7E" w14:textId="77777777" w:rsidR="00203F72" w:rsidRPr="00A53581" w:rsidRDefault="00203F72" w:rsidP="00D87D91">
            <w:r w:rsidRPr="00A53581">
              <w:t>1.</w:t>
            </w:r>
            <w:r w:rsidRPr="00A53581">
              <w:t>國家為改良勞工及農民之生活，增進其生產技能，應制定保護勞工及農民之法律，實施保護勞工及農民之政策</w:t>
            </w:r>
            <w:r w:rsidRPr="00A53581">
              <w:rPr>
                <w:kern w:val="0"/>
              </w:rPr>
              <w:t>。</w:t>
            </w:r>
            <w:r w:rsidRPr="00A53581">
              <w:rPr>
                <w:kern w:val="0"/>
              </w:rPr>
              <w:t>2.</w:t>
            </w:r>
            <w:r w:rsidRPr="00A53581">
              <w:rPr>
                <w:kern w:val="0"/>
              </w:rPr>
              <w:t>婦女兒童從事勞動者，應按其年齡及身體狀態，予以特別之保護。</w:t>
            </w:r>
          </w:p>
        </w:tc>
      </w:tr>
      <w:tr w:rsidR="00203F72" w:rsidRPr="00A53581" w14:paraId="48B7952B" w14:textId="77777777" w:rsidTr="00D53F68">
        <w:tc>
          <w:tcPr>
            <w:tcW w:w="785" w:type="pct"/>
            <w:shd w:val="clear" w:color="auto" w:fill="auto"/>
          </w:tcPr>
          <w:p w14:paraId="4AD8C3B9" w14:textId="77777777" w:rsidR="00203F72" w:rsidRPr="00A53581" w:rsidRDefault="00076467" w:rsidP="00D87D91">
            <w:hyperlink r:id="rId1335" w:anchor="a154"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154</w:t>
              </w:r>
              <w:r w:rsidR="00203F72" w:rsidRPr="00346509">
                <w:rPr>
                  <w:rStyle w:val="a5"/>
                  <w:rFonts w:ascii="Times New Roman" w:eastAsia="新細明體" w:hAnsi="Times New Roman"/>
                </w:rPr>
                <w:t>條</w:t>
              </w:r>
            </w:hyperlink>
          </w:p>
        </w:tc>
        <w:tc>
          <w:tcPr>
            <w:tcW w:w="4215" w:type="pct"/>
            <w:shd w:val="clear" w:color="auto" w:fill="auto"/>
          </w:tcPr>
          <w:p w14:paraId="78D97056" w14:textId="77777777" w:rsidR="00203F72" w:rsidRPr="00A53581" w:rsidRDefault="00203F72" w:rsidP="00D87D91">
            <w:r w:rsidRPr="00A53581">
              <w:t>勞資雙方應本協調合作原則，發展生產事業</w:t>
            </w:r>
            <w:r w:rsidRPr="00A53581">
              <w:rPr>
                <w:kern w:val="0"/>
              </w:rPr>
              <w:t>。勞資糾紛之調解與仲裁，以法律定之。</w:t>
            </w:r>
          </w:p>
        </w:tc>
      </w:tr>
      <w:tr w:rsidR="00203F72" w:rsidRPr="00A53581" w14:paraId="34523546" w14:textId="77777777" w:rsidTr="00D53F68">
        <w:tc>
          <w:tcPr>
            <w:tcW w:w="785" w:type="pct"/>
            <w:shd w:val="clear" w:color="auto" w:fill="auto"/>
          </w:tcPr>
          <w:p w14:paraId="45E26B43" w14:textId="77777777" w:rsidR="00203F72" w:rsidRPr="00A53581" w:rsidRDefault="00076467" w:rsidP="00D87D91">
            <w:hyperlink r:id="rId1336" w:anchor="a155"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155</w:t>
              </w:r>
              <w:r w:rsidR="00203F72" w:rsidRPr="00346509">
                <w:rPr>
                  <w:rStyle w:val="a5"/>
                  <w:rFonts w:ascii="Times New Roman" w:eastAsia="新細明體" w:hAnsi="Times New Roman"/>
                </w:rPr>
                <w:t>條</w:t>
              </w:r>
            </w:hyperlink>
          </w:p>
        </w:tc>
        <w:tc>
          <w:tcPr>
            <w:tcW w:w="4215" w:type="pct"/>
            <w:shd w:val="clear" w:color="auto" w:fill="auto"/>
          </w:tcPr>
          <w:p w14:paraId="1A39BE9C" w14:textId="77777777" w:rsidR="00203F72" w:rsidRPr="00A53581" w:rsidRDefault="00203F72" w:rsidP="00D87D91">
            <w:r w:rsidRPr="00A53581">
              <w:t>國家為謀社會福利，應實施社會保險制度。人民之老弱殘廢，無力生活，及受非常災害者，國家應予以適當之扶助與救濟。</w:t>
            </w:r>
          </w:p>
        </w:tc>
      </w:tr>
      <w:tr w:rsidR="00203F72" w:rsidRPr="00A53581" w14:paraId="7F70D7BD" w14:textId="77777777" w:rsidTr="00D53F68">
        <w:tc>
          <w:tcPr>
            <w:tcW w:w="785" w:type="pct"/>
            <w:shd w:val="clear" w:color="auto" w:fill="auto"/>
          </w:tcPr>
          <w:p w14:paraId="50D286A9" w14:textId="77777777" w:rsidR="00203F72" w:rsidRPr="00A53581" w:rsidRDefault="00076467" w:rsidP="00D87D91">
            <w:hyperlink r:id="rId1337" w:anchor="a156"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156</w:t>
              </w:r>
              <w:r w:rsidR="00203F72" w:rsidRPr="00346509">
                <w:rPr>
                  <w:rStyle w:val="a5"/>
                  <w:rFonts w:ascii="Times New Roman" w:eastAsia="新細明體" w:hAnsi="Times New Roman"/>
                </w:rPr>
                <w:t>條</w:t>
              </w:r>
            </w:hyperlink>
          </w:p>
        </w:tc>
        <w:tc>
          <w:tcPr>
            <w:tcW w:w="4215" w:type="pct"/>
            <w:shd w:val="clear" w:color="auto" w:fill="auto"/>
          </w:tcPr>
          <w:p w14:paraId="3784DF21" w14:textId="77777777" w:rsidR="00203F72" w:rsidRPr="00A53581" w:rsidRDefault="00203F72" w:rsidP="00D87D91">
            <w:r w:rsidRPr="00A53581">
              <w:t>國家為奠定民族生存發展之基礎，應保護母性，並實施婦女兒童福利政策</w:t>
            </w:r>
            <w:r w:rsidRPr="00A53581">
              <w:rPr>
                <w:kern w:val="0"/>
              </w:rPr>
              <w:t>。</w:t>
            </w:r>
          </w:p>
        </w:tc>
      </w:tr>
      <w:tr w:rsidR="00203F72" w:rsidRPr="00A53581" w14:paraId="662F0DBD" w14:textId="77777777" w:rsidTr="00D53F68">
        <w:tc>
          <w:tcPr>
            <w:tcW w:w="785" w:type="pct"/>
            <w:shd w:val="clear" w:color="auto" w:fill="auto"/>
          </w:tcPr>
          <w:p w14:paraId="27117D4D" w14:textId="77777777" w:rsidR="00203F72" w:rsidRPr="00A53581" w:rsidRDefault="00076467" w:rsidP="00D87D91">
            <w:hyperlink r:id="rId1338" w:anchor="a157"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157</w:t>
              </w:r>
              <w:r w:rsidR="00203F72" w:rsidRPr="00346509">
                <w:rPr>
                  <w:rStyle w:val="a5"/>
                  <w:rFonts w:ascii="Times New Roman" w:eastAsia="新細明體" w:hAnsi="Times New Roman"/>
                </w:rPr>
                <w:t>條</w:t>
              </w:r>
            </w:hyperlink>
          </w:p>
        </w:tc>
        <w:tc>
          <w:tcPr>
            <w:tcW w:w="4215" w:type="pct"/>
            <w:shd w:val="clear" w:color="auto" w:fill="auto"/>
          </w:tcPr>
          <w:p w14:paraId="6500AE64" w14:textId="77777777" w:rsidR="00203F72" w:rsidRPr="00A53581" w:rsidRDefault="00203F72" w:rsidP="00D87D91">
            <w:r w:rsidRPr="00A53581">
              <w:t>國家為增進民族健康，應普遍推行衛生保健事業及公醫制度</w:t>
            </w:r>
            <w:r w:rsidRPr="00A53581">
              <w:rPr>
                <w:kern w:val="0"/>
              </w:rPr>
              <w:t>。</w:t>
            </w:r>
          </w:p>
        </w:tc>
      </w:tr>
      <w:tr w:rsidR="00203F72" w:rsidRPr="00A53581" w14:paraId="674DA4B2" w14:textId="77777777" w:rsidTr="00D53F68">
        <w:tc>
          <w:tcPr>
            <w:tcW w:w="785" w:type="pct"/>
            <w:shd w:val="clear" w:color="auto" w:fill="auto"/>
          </w:tcPr>
          <w:p w14:paraId="362EFC94" w14:textId="77777777" w:rsidR="00203F72" w:rsidRPr="00A53581" w:rsidRDefault="00203F72" w:rsidP="00D87D91">
            <w:r w:rsidRPr="00A53581">
              <w:t>憲法增修條文</w:t>
            </w:r>
            <w:hyperlink r:id="rId1339" w:anchor="b10" w:history="1">
              <w:r w:rsidRPr="00E16174">
                <w:rPr>
                  <w:rStyle w:val="a5"/>
                </w:rPr>
                <w:t>第10條</w:t>
              </w:r>
            </w:hyperlink>
            <w:r w:rsidRPr="00A53581">
              <w:t>第</w:t>
            </w:r>
            <w:r w:rsidRPr="00A53581">
              <w:t>7-10</w:t>
            </w:r>
            <w:r w:rsidRPr="00A53581">
              <w:t>項</w:t>
            </w:r>
          </w:p>
        </w:tc>
        <w:tc>
          <w:tcPr>
            <w:tcW w:w="4215" w:type="pct"/>
            <w:shd w:val="clear" w:color="auto" w:fill="auto"/>
          </w:tcPr>
          <w:p w14:paraId="439C8957" w14:textId="77777777" w:rsidR="00203F72" w:rsidRPr="00A53581" w:rsidRDefault="00203F72" w:rsidP="00D87D91">
            <w:r w:rsidRPr="00A53581">
              <w:t>1.</w:t>
            </w:r>
            <w:r w:rsidRPr="00A53581">
              <w:t>國家應推行全民健康保險，並促進現代和傳統醫藥之研究發展</w:t>
            </w:r>
            <w:r w:rsidRPr="00A53581">
              <w:t>(</w:t>
            </w:r>
            <w:r w:rsidRPr="00A53581">
              <w:t>第</w:t>
            </w:r>
            <w:r w:rsidRPr="00A53581">
              <w:t>7</w:t>
            </w:r>
            <w:r w:rsidRPr="00A53581">
              <w:t>項</w:t>
            </w:r>
            <w:r w:rsidRPr="00A53581">
              <w:t>)</w:t>
            </w:r>
            <w:r w:rsidRPr="00A53581">
              <w:t>；</w:t>
            </w:r>
            <w:r w:rsidRPr="00A53581">
              <w:t>2.</w:t>
            </w:r>
            <w:r w:rsidRPr="00A53581">
              <w:t>國家應維護婦女之人格尊嚴，保障婦女之人身安全，消除性別歧</w:t>
            </w:r>
            <w:r w:rsidR="003E240E">
              <w:t>視</w:t>
            </w:r>
            <w:r w:rsidRPr="00A53581">
              <w:t>，促進兩性地位之實質平等。</w:t>
            </w:r>
            <w:r w:rsidRPr="00A53581">
              <w:t>(</w:t>
            </w:r>
            <w:r w:rsidRPr="00A53581">
              <w:t>第</w:t>
            </w:r>
            <w:r w:rsidRPr="00A53581">
              <w:t>8</w:t>
            </w:r>
            <w:r w:rsidRPr="00A53581">
              <w:t>項</w:t>
            </w:r>
            <w:r w:rsidRPr="00A53581">
              <w:t>)</w:t>
            </w:r>
            <w:r w:rsidRPr="00A53581">
              <w:t>；</w:t>
            </w:r>
            <w:r w:rsidRPr="00A53581">
              <w:t>3.</w:t>
            </w:r>
            <w:r w:rsidRPr="00A53581">
              <w:t>國家對於身心障礙者之保險與就醫、無障礙環境之建構、教育訓練與就業輔導及生活維護與救助，應予保障，並扶助其自立與發展。</w:t>
            </w:r>
            <w:r w:rsidRPr="00A53581">
              <w:t>(</w:t>
            </w:r>
            <w:r w:rsidRPr="00A53581">
              <w:t>第</w:t>
            </w:r>
            <w:r w:rsidRPr="00A53581">
              <w:t>9</w:t>
            </w:r>
            <w:r w:rsidRPr="00A53581">
              <w:t>項</w:t>
            </w:r>
            <w:r w:rsidRPr="00A53581">
              <w:t>)</w:t>
            </w:r>
            <w:r w:rsidRPr="00A53581">
              <w:t>；</w:t>
            </w:r>
            <w:r w:rsidRPr="00A53581">
              <w:t>4.</w:t>
            </w:r>
            <w:r w:rsidRPr="00A53581">
              <w:t>國家應重</w:t>
            </w:r>
            <w:r w:rsidR="003E240E">
              <w:t>視</w:t>
            </w:r>
            <w:r w:rsidRPr="00A53581">
              <w:t>社會救助、福利服務、國民就業、社會保險及醫療保健等社會福利工作，對於社會救助和國民就業等救濟性支出應優先編列。</w:t>
            </w:r>
            <w:r w:rsidRPr="00A53581">
              <w:t>(</w:t>
            </w:r>
            <w:r w:rsidRPr="00A53581">
              <w:t>第</w:t>
            </w:r>
            <w:r w:rsidRPr="00A53581">
              <w:t>10</w:t>
            </w:r>
            <w:r w:rsidRPr="00A53581">
              <w:t>項</w:t>
            </w:r>
            <w:r w:rsidRPr="00A53581">
              <w:t>)</w:t>
            </w:r>
            <w:r w:rsidRPr="00A53581">
              <w:t>；</w:t>
            </w:r>
            <w:r w:rsidRPr="00A53581">
              <w:t>5.</w:t>
            </w:r>
            <w:r w:rsidRPr="00A53581">
              <w:t>國家對於身心障礙者之保險與就醫、無障礙環境之建構、教育訓練與就業輔導及生活維護與救助，應予保障，並扶助其自立與發展。</w:t>
            </w:r>
            <w:r w:rsidRPr="00A53581">
              <w:t>(</w:t>
            </w:r>
            <w:r w:rsidRPr="00A53581">
              <w:t>第</w:t>
            </w:r>
            <w:r w:rsidRPr="00A53581">
              <w:t>11</w:t>
            </w:r>
            <w:r w:rsidRPr="00A53581">
              <w:t>項</w:t>
            </w:r>
            <w:r w:rsidRPr="00A53581">
              <w:t>)</w:t>
            </w:r>
          </w:p>
        </w:tc>
      </w:tr>
    </w:tbl>
    <w:p w14:paraId="28B4358E" w14:textId="77777777" w:rsidR="00953151" w:rsidRPr="003A042C" w:rsidRDefault="002107CE" w:rsidP="00D87D91">
      <w:r w:rsidRPr="003A042C">
        <w:t>【本表格資料來源】</w:t>
      </w:r>
      <w:r w:rsidR="00203F72" w:rsidRPr="003A042C">
        <w:t>劉兆隆、林麗香、林宗達、柳金財、梁文興、陳朝政、葉怡君、蔡志昇</w:t>
      </w:r>
      <w:r w:rsidR="00203F72" w:rsidRPr="003A042C">
        <w:t>(2011)</w:t>
      </w:r>
      <w:r w:rsidR="00203F72" w:rsidRPr="003A042C">
        <w:t>，中華民國憲法綜論，新北市：晶典文化出版社，第</w:t>
      </w:r>
      <w:r w:rsidR="00203F72" w:rsidRPr="003A042C">
        <w:t>157</w:t>
      </w:r>
      <w:r w:rsidR="00203F72" w:rsidRPr="003A042C">
        <w:t>頁。</w:t>
      </w:r>
    </w:p>
    <w:p w14:paraId="247749DA" w14:textId="77777777" w:rsidR="00953151" w:rsidRPr="003A042C" w:rsidRDefault="00800CD7" w:rsidP="00D87D91">
      <w:r w:rsidRPr="003A042C">
        <w:t xml:space="preserve">　　</w:t>
      </w:r>
      <w:r w:rsidR="00203F72" w:rsidRPr="003A042C">
        <w:t>另外，行政院下設農委會，主要也希望透過對農業之重</w:t>
      </w:r>
      <w:r w:rsidR="003E240E">
        <w:t>視</w:t>
      </w:r>
      <w:r w:rsidR="00203F72" w:rsidRPr="003A042C">
        <w:t>與保障農民權益，讓農業發展獲得一定之保障。為了保障農業發展，我國制定</w:t>
      </w:r>
      <w:hyperlink r:id="rId1340" w:history="1">
        <w:r w:rsidR="00203F72" w:rsidRPr="00673964">
          <w:rPr>
            <w:rStyle w:val="a5"/>
            <w:rFonts w:ascii="Times New Roman" w:eastAsia="新細明體" w:hAnsi="Times New Roman"/>
          </w:rPr>
          <w:t>農業發展條例</w:t>
        </w:r>
      </w:hyperlink>
      <w:r w:rsidR="00203F72" w:rsidRPr="003A042C">
        <w:t>，依該條例</w:t>
      </w:r>
      <w:hyperlink r:id="rId1341" w:anchor="a1" w:history="1">
        <w:r w:rsidR="00203F72" w:rsidRPr="00673964">
          <w:rPr>
            <w:rStyle w:val="a5"/>
            <w:rFonts w:ascii="Times New Roman" w:eastAsia="新細明體" w:hAnsi="Times New Roman"/>
          </w:rPr>
          <w:t>第一條</w:t>
        </w:r>
      </w:hyperlink>
      <w:r w:rsidR="00203F72" w:rsidRPr="003A042C">
        <w:t>之規定，「為確保農業永續發展，因應農業國際化及自由化，促進農地合理利用，調整農業產業結構，穩定農業產銷，增進農民所得及福利，提高農民生活水準，特制定本條例；本條例未規定者，適用其他法律之規定。」</w:t>
      </w:r>
    </w:p>
    <w:p w14:paraId="0F58EBB1" w14:textId="77777777" w:rsidR="00953151" w:rsidRPr="003A042C" w:rsidRDefault="00800CD7" w:rsidP="00D87D91">
      <w:r w:rsidRPr="003A042C">
        <w:t xml:space="preserve">　　</w:t>
      </w:r>
      <w:r w:rsidR="00203F72" w:rsidRPr="003A042C">
        <w:t>由於婦女兒童係工作場所之弱勢者，因此也應給予相當之保護。例如，現實生活中即有許多婦幼保護之機構，例如警察局就多設有婦幼隊。各縣市家暴中心成立，主要目的也在維護婦幼之生活安全。再者，依性別平等</w:t>
      </w:r>
      <w:r w:rsidR="004651E8" w:rsidRPr="003A042C">
        <w:t>法</w:t>
      </w:r>
      <w:hyperlink r:id="rId1342" w:anchor="a1" w:history="1">
        <w:r w:rsidR="004651E8" w:rsidRPr="003A042C">
          <w:rPr>
            <w:rStyle w:val="a5"/>
          </w:rPr>
          <w:t>第一條</w:t>
        </w:r>
      </w:hyperlink>
      <w:r w:rsidR="00203F72" w:rsidRPr="003A042C">
        <w:t>之規定，「為保障性別工作權之平等，貫徹憲法消除性別歧</w:t>
      </w:r>
      <w:r w:rsidR="003E240E">
        <w:t>視</w:t>
      </w:r>
      <w:r w:rsidR="00203F72" w:rsidRPr="003A042C">
        <w:t>、促進性別地位實質平等之精神，爰制定本法。」目的即在保護婦女不受工作歧</w:t>
      </w:r>
      <w:r w:rsidR="003E240E">
        <w:t>視</w:t>
      </w:r>
      <w:r w:rsidR="00203F72" w:rsidRPr="003A042C">
        <w:t>。</w:t>
      </w:r>
    </w:p>
    <w:p w14:paraId="6156A151" w14:textId="77777777" w:rsidR="00953151" w:rsidRDefault="00076467" w:rsidP="00767F37">
      <w:pPr>
        <w:pStyle w:val="2"/>
      </w:pPr>
      <w:hyperlink r:id="rId1343" w:anchor="a154" w:history="1">
        <w:r w:rsidR="005D5A46">
          <w:rPr>
            <w:rStyle w:val="a5"/>
            <w:rFonts w:ascii="Arial Unicode MS" w:hAnsi="Arial Unicode MS"/>
          </w:rPr>
          <w:t>第</w:t>
        </w:r>
        <w:r w:rsidR="00203F72" w:rsidRPr="00AB0A74">
          <w:rPr>
            <w:rStyle w:val="a5"/>
            <w:rFonts w:ascii="Arial Unicode MS" w:hAnsi="Arial Unicode MS"/>
          </w:rPr>
          <w:t>154</w:t>
        </w:r>
        <w:r w:rsidR="005D5A46">
          <w:rPr>
            <w:rStyle w:val="a5"/>
            <w:rFonts w:ascii="Arial Unicode MS" w:hAnsi="Arial Unicode MS"/>
          </w:rPr>
          <w:t>條</w:t>
        </w:r>
      </w:hyperlink>
      <w:r w:rsidR="00203F72" w:rsidRPr="00A53581">
        <w:t>勞資雙方應本協調合作原則，發展生產事業。勞資糾紛之調解與仲裁，以法律定之。</w:t>
      </w:r>
    </w:p>
    <w:p w14:paraId="53778D39" w14:textId="77777777" w:rsidR="00953151" w:rsidRDefault="00B03E84" w:rsidP="00D87D91">
      <w:r>
        <w:t>【內容解析】</w:t>
      </w:r>
    </w:p>
    <w:p w14:paraId="2C7193A8" w14:textId="77777777" w:rsidR="00953151" w:rsidRDefault="00800CD7" w:rsidP="00D87D91">
      <w:r>
        <w:t xml:space="preserve">　　</w:t>
      </w:r>
      <w:r w:rsidR="00203F72" w:rsidRPr="00A53581">
        <w:t>為避免勞資衝突影響經濟發展，因此政府有責任思考與介入處理勞資糾紛。例如，目前設有勞資爭議處理法，依勞資爭議處</w:t>
      </w:r>
      <w:r w:rsidR="00203F72" w:rsidRPr="00346509">
        <w:t>理</w:t>
      </w:r>
      <w:r w:rsidR="004651E8" w:rsidRPr="00346509">
        <w:t>法</w:t>
      </w:r>
      <w:hyperlink r:id="rId1344" w:anchor="a1" w:history="1">
        <w:r w:rsidR="004651E8" w:rsidRPr="00346509">
          <w:rPr>
            <w:rStyle w:val="a5"/>
          </w:rPr>
          <w:t>第一條</w:t>
        </w:r>
      </w:hyperlink>
      <w:r w:rsidR="00203F72" w:rsidRPr="00346509">
        <w:t>之</w:t>
      </w:r>
      <w:r w:rsidR="00203F72" w:rsidRPr="00A53581">
        <w:t>規定，「</w:t>
      </w:r>
      <w:r w:rsidR="00203F72" w:rsidRPr="00A53581">
        <w:rPr>
          <w:kern w:val="0"/>
        </w:rPr>
        <w:t>為處理勞資爭議，保障勞工權益，穩定勞動關係，特制定本法。」</w:t>
      </w:r>
    </w:p>
    <w:p w14:paraId="1C3A669B" w14:textId="77777777" w:rsidR="00953151" w:rsidRDefault="00076467" w:rsidP="00767F37">
      <w:pPr>
        <w:pStyle w:val="2"/>
      </w:pPr>
      <w:hyperlink r:id="rId1345" w:anchor="a155" w:history="1">
        <w:r w:rsidR="005D5A46">
          <w:rPr>
            <w:rStyle w:val="a5"/>
            <w:rFonts w:ascii="Arial Unicode MS" w:hAnsi="Arial Unicode MS"/>
          </w:rPr>
          <w:t>第</w:t>
        </w:r>
        <w:r w:rsidR="00203F72" w:rsidRPr="00AB0A74">
          <w:rPr>
            <w:rStyle w:val="a5"/>
            <w:rFonts w:ascii="Arial Unicode MS" w:hAnsi="Arial Unicode MS"/>
          </w:rPr>
          <w:t>155</w:t>
        </w:r>
        <w:r w:rsidR="005D5A46">
          <w:rPr>
            <w:rStyle w:val="a5"/>
            <w:rFonts w:ascii="Arial Unicode MS" w:hAnsi="Arial Unicode MS"/>
          </w:rPr>
          <w:t>條</w:t>
        </w:r>
      </w:hyperlink>
      <w:r w:rsidR="00203F72" w:rsidRPr="00A53581">
        <w:t>國家為謀社會福利，應實施社會保險制度。人民之老弱殘廢，無力生活，及受非常災害者，國家應予以適當之扶助與救濟。</w:t>
      </w:r>
    </w:p>
    <w:p w14:paraId="077F023B" w14:textId="77777777" w:rsidR="00953151" w:rsidRPr="004C03B2" w:rsidRDefault="00B03E84" w:rsidP="00D87D91">
      <w:r w:rsidRPr="004C03B2">
        <w:t>【內容解析】</w:t>
      </w:r>
    </w:p>
    <w:p w14:paraId="2E855492" w14:textId="77777777" w:rsidR="00953151" w:rsidRPr="004C03B2" w:rsidRDefault="00800CD7" w:rsidP="00D87D91">
      <w:r w:rsidRPr="004C03B2">
        <w:t xml:space="preserve">　　</w:t>
      </w:r>
      <w:r w:rsidR="00203F72" w:rsidRPr="004C03B2">
        <w:t>司法院釋字</w:t>
      </w:r>
      <w:hyperlink r:id="rId1346" w:anchor="r550" w:history="1">
        <w:r w:rsidR="00203F72" w:rsidRPr="004C03B2">
          <w:rPr>
            <w:rStyle w:val="a5"/>
            <w:rFonts w:ascii="Times New Roman" w:eastAsia="新細明體" w:hAnsi="Times New Roman"/>
          </w:rPr>
          <w:t>第</w:t>
        </w:r>
        <w:r w:rsidR="00203F72" w:rsidRPr="004C03B2">
          <w:rPr>
            <w:rStyle w:val="a5"/>
            <w:rFonts w:ascii="Times New Roman" w:eastAsia="新細明體" w:hAnsi="Times New Roman"/>
          </w:rPr>
          <w:t>550</w:t>
        </w:r>
        <w:r w:rsidR="00203F72" w:rsidRPr="004C03B2">
          <w:rPr>
            <w:rStyle w:val="a5"/>
            <w:rFonts w:ascii="Times New Roman" w:eastAsia="新細明體" w:hAnsi="Times New Roman"/>
          </w:rPr>
          <w:t>號</w:t>
        </w:r>
      </w:hyperlink>
      <w:r w:rsidR="00203F72" w:rsidRPr="004C03B2">
        <w:t>解釋指出：「國家為謀社會福利，應實施社會保險制度；國家為增進民族健康，應普遍推行衛生保健事業及公醫制度，憲法</w:t>
      </w:r>
      <w:r w:rsidR="00FB6761" w:rsidRPr="004C03B2">
        <w:t>第</w:t>
      </w:r>
      <w:hyperlink r:id="rId1347" w:anchor="a155" w:history="1">
        <w:r w:rsidR="00FB6761" w:rsidRPr="004C03B2">
          <w:rPr>
            <w:rStyle w:val="a5"/>
            <w:rFonts w:ascii="Times New Roman" w:eastAsia="新細明體" w:hAnsi="Times New Roman"/>
          </w:rPr>
          <w:t>一百五十五</w:t>
        </w:r>
      </w:hyperlink>
      <w:r w:rsidR="00FB6761" w:rsidRPr="004C03B2">
        <w:t>條</w:t>
      </w:r>
      <w:r w:rsidR="00203F72" w:rsidRPr="004C03B2">
        <w:t>、</w:t>
      </w:r>
      <w:r w:rsidR="00FB6761" w:rsidRPr="004C03B2">
        <w:t>第</w:t>
      </w:r>
      <w:hyperlink r:id="rId1348" w:anchor="a157" w:history="1">
        <w:r w:rsidR="00FB6761" w:rsidRPr="004C03B2">
          <w:rPr>
            <w:rStyle w:val="a5"/>
            <w:rFonts w:ascii="Times New Roman" w:eastAsia="新細明體" w:hAnsi="Times New Roman"/>
          </w:rPr>
          <w:t>一百五十七</w:t>
        </w:r>
      </w:hyperlink>
      <w:r w:rsidR="00FB6761" w:rsidRPr="004C03B2">
        <w:t>條</w:t>
      </w:r>
      <w:r w:rsidR="00203F72" w:rsidRPr="004C03B2">
        <w:t>分別定有明文。國家應推行全民健康保險，重</w:t>
      </w:r>
      <w:r w:rsidR="003E240E">
        <w:t>視</w:t>
      </w:r>
      <w:r w:rsidR="00203F72" w:rsidRPr="004C03B2">
        <w:t>社會救助、福利服務、社會保險及醫療保健等社會福利工作，復為憲法增修條文</w:t>
      </w:r>
      <w:hyperlink r:id="rId1349" w:anchor="b10" w:history="1">
        <w:r w:rsidR="00203F72" w:rsidRPr="004C03B2">
          <w:rPr>
            <w:rStyle w:val="a5"/>
            <w:rFonts w:ascii="Times New Roman" w:eastAsia="新細明體" w:hAnsi="Times New Roman"/>
          </w:rPr>
          <w:t>第十條</w:t>
        </w:r>
      </w:hyperlink>
      <w:r w:rsidR="00203F72" w:rsidRPr="004C03B2">
        <w:t>第五項、第八項所明定。國家推行全民健康保險之義務，係兼指中央與地方而言。」</w:t>
      </w:r>
    </w:p>
    <w:p w14:paraId="4C0A3549" w14:textId="77777777" w:rsidR="00953151" w:rsidRPr="004C03B2" w:rsidRDefault="00800CD7" w:rsidP="00D87D91">
      <w:r w:rsidRPr="004C03B2">
        <w:t xml:space="preserve">　　</w:t>
      </w:r>
      <w:r w:rsidR="00203F72" w:rsidRPr="004C03B2">
        <w:t>復次，依憲法增修條</w:t>
      </w:r>
      <w:r w:rsidR="00E16174" w:rsidRPr="004C03B2">
        <w:t>文</w:t>
      </w:r>
      <w:hyperlink r:id="rId1350" w:anchor="b10" w:history="1">
        <w:r w:rsidR="00E16174" w:rsidRPr="004C03B2">
          <w:rPr>
            <w:rStyle w:val="a5"/>
          </w:rPr>
          <w:t>第10條</w:t>
        </w:r>
      </w:hyperlink>
      <w:r w:rsidR="00203F72" w:rsidRPr="004C03B2">
        <w:t>第五項之規定，國家應推行全民健康保險，並促進現代和傳統醫藥之研究發展。第七項國家對於身心障礙者之保險與就醫、無障礙環境之建構、教育訓練與就業輔導及生活維護與救助，應予保障，並扶助其自立與發展。第八項國家應重</w:t>
      </w:r>
      <w:r w:rsidR="003E240E">
        <w:t>視</w:t>
      </w:r>
      <w:r w:rsidR="00203F72" w:rsidRPr="004C03B2">
        <w:t>社會救助、福利服務、國民就業、社會保險及醫療保健等社會福利工作，對於社會救助和國民就業等救濟性支出應優先編列。</w:t>
      </w:r>
    </w:p>
    <w:p w14:paraId="3EAB1FF7" w14:textId="77777777" w:rsidR="00953151" w:rsidRPr="004C03B2" w:rsidRDefault="00800CD7" w:rsidP="00D87D91">
      <w:r w:rsidRPr="004C03B2">
        <w:t xml:space="preserve">　　</w:t>
      </w:r>
      <w:r w:rsidR="00203F72" w:rsidRPr="004C03B2">
        <w:t>我國為了推行全民健康保險，制定全民健康保險法等法律。為了防止人類免疫缺乏病毒之感染、傳染及維護國民健康，並保障感染者權益，制定「人類免疫缺乏病毒傳染防治及感染者權益保障條例」等法律。為了維護身心障礙者之權益，保障其平等參與社會、政治、經濟、文化等之機會，促進其自立及發展，制定「身心障礙者權益保障法」等法律。</w:t>
      </w:r>
    </w:p>
    <w:p w14:paraId="45F61687" w14:textId="77777777" w:rsidR="00953151" w:rsidRDefault="00076467" w:rsidP="00767F37">
      <w:pPr>
        <w:pStyle w:val="2"/>
      </w:pPr>
      <w:hyperlink r:id="rId1351" w:anchor="a156" w:history="1">
        <w:r w:rsidR="005D5A46">
          <w:rPr>
            <w:rStyle w:val="a5"/>
            <w:rFonts w:ascii="Arial Unicode MS" w:hAnsi="Arial Unicode MS"/>
          </w:rPr>
          <w:t>第</w:t>
        </w:r>
        <w:r w:rsidR="00203F72" w:rsidRPr="00AB0A74">
          <w:rPr>
            <w:rStyle w:val="a5"/>
            <w:rFonts w:ascii="Arial Unicode MS" w:hAnsi="Arial Unicode MS"/>
          </w:rPr>
          <w:t>156</w:t>
        </w:r>
        <w:r w:rsidR="005D5A46">
          <w:rPr>
            <w:rStyle w:val="a5"/>
            <w:rFonts w:ascii="Arial Unicode MS" w:hAnsi="Arial Unicode MS"/>
          </w:rPr>
          <w:t>條</w:t>
        </w:r>
      </w:hyperlink>
      <w:r w:rsidR="00203F72" w:rsidRPr="00A53581">
        <w:t>國家為奠定民族生存發展之基礎，應保護母性，並實施婦女兒童福利政策。</w:t>
      </w:r>
    </w:p>
    <w:p w14:paraId="0CCB240B" w14:textId="77777777" w:rsidR="00953151" w:rsidRDefault="00B03E84" w:rsidP="00D87D91">
      <w:r>
        <w:t>【內容解析】</w:t>
      </w:r>
    </w:p>
    <w:p w14:paraId="68327C28" w14:textId="77777777" w:rsidR="00953151" w:rsidRDefault="00800CD7" w:rsidP="00D87D91">
      <w:r>
        <w:t xml:space="preserve">　　</w:t>
      </w:r>
      <w:r w:rsidR="00203F72" w:rsidRPr="00A53581">
        <w:t>依憲法增修條</w:t>
      </w:r>
      <w:r w:rsidR="00E16174" w:rsidRPr="00A53581">
        <w:t>文</w:t>
      </w:r>
      <w:hyperlink r:id="rId1352" w:anchor="b10" w:history="1">
        <w:r w:rsidR="00E16174" w:rsidRPr="00E16174">
          <w:rPr>
            <w:rStyle w:val="a5"/>
          </w:rPr>
          <w:t>第10條</w:t>
        </w:r>
      </w:hyperlink>
      <w:r w:rsidR="00203F72" w:rsidRPr="00A53581">
        <w:t>第</w:t>
      </w:r>
      <w:r w:rsidR="00203F72" w:rsidRPr="00A53581">
        <w:t>6</w:t>
      </w:r>
      <w:r w:rsidR="00203F72" w:rsidRPr="00A53581">
        <w:t>項之規定，國家應維護婦女之人格尊嚴，保障婦女之人身安全，消除性別歧</w:t>
      </w:r>
      <w:r w:rsidR="003E240E">
        <w:t>視</w:t>
      </w:r>
      <w:r w:rsidR="00203F72" w:rsidRPr="00A53581">
        <w:t>，促進兩性地位之實質平等。</w:t>
      </w:r>
    </w:p>
    <w:p w14:paraId="73D1F347" w14:textId="77777777" w:rsidR="00953151" w:rsidRDefault="00076467" w:rsidP="00767F37">
      <w:pPr>
        <w:pStyle w:val="2"/>
      </w:pPr>
      <w:hyperlink r:id="rId1353" w:anchor="a157" w:history="1">
        <w:r w:rsidR="005D5A46">
          <w:rPr>
            <w:rStyle w:val="a5"/>
            <w:rFonts w:ascii="Arial Unicode MS" w:hAnsi="Arial Unicode MS"/>
          </w:rPr>
          <w:t>第</w:t>
        </w:r>
        <w:r w:rsidR="00203F72" w:rsidRPr="00AB0A74">
          <w:rPr>
            <w:rStyle w:val="a5"/>
            <w:rFonts w:ascii="Arial Unicode MS" w:hAnsi="Arial Unicode MS"/>
          </w:rPr>
          <w:t>157</w:t>
        </w:r>
        <w:r w:rsidR="005D5A46">
          <w:rPr>
            <w:rStyle w:val="a5"/>
            <w:rFonts w:ascii="Arial Unicode MS" w:hAnsi="Arial Unicode MS"/>
          </w:rPr>
          <w:t>條</w:t>
        </w:r>
      </w:hyperlink>
      <w:r w:rsidR="00203F72" w:rsidRPr="00A53581">
        <w:t>國家為增進民族健康，應普遍推行衛生保健事業及公醫制度。</w:t>
      </w:r>
    </w:p>
    <w:p w14:paraId="586EE872" w14:textId="77777777" w:rsidR="00953151" w:rsidRPr="004C03B2" w:rsidRDefault="00B03E84" w:rsidP="00D87D91">
      <w:r w:rsidRPr="004C03B2">
        <w:t>【內容解析】</w:t>
      </w:r>
    </w:p>
    <w:p w14:paraId="31D84EC8" w14:textId="77777777" w:rsidR="00953151" w:rsidRPr="004C03B2" w:rsidRDefault="00800CD7" w:rsidP="00D87D91">
      <w:r w:rsidRPr="004C03B2">
        <w:t xml:space="preserve">　　</w:t>
      </w:r>
      <w:r w:rsidR="00203F72" w:rsidRPr="004C03B2">
        <w:t>司法院釋</w:t>
      </w:r>
      <w:r w:rsidR="004C03B2" w:rsidRPr="004C03B2">
        <w:t>字</w:t>
      </w:r>
      <w:hyperlink r:id="rId1354" w:anchor="r550" w:history="1">
        <w:r w:rsidR="004C03B2" w:rsidRPr="004C03B2">
          <w:rPr>
            <w:rStyle w:val="a5"/>
            <w:rFonts w:ascii="Times New Roman" w:eastAsia="新細明體" w:hAnsi="Times New Roman"/>
          </w:rPr>
          <w:t>第</w:t>
        </w:r>
        <w:r w:rsidR="004C03B2" w:rsidRPr="004C03B2">
          <w:rPr>
            <w:rStyle w:val="a5"/>
            <w:rFonts w:ascii="Times New Roman" w:eastAsia="新細明體" w:hAnsi="Times New Roman"/>
          </w:rPr>
          <w:t>550</w:t>
        </w:r>
        <w:r w:rsidR="004C03B2" w:rsidRPr="004C03B2">
          <w:rPr>
            <w:rStyle w:val="a5"/>
            <w:rFonts w:ascii="Times New Roman" w:eastAsia="新細明體" w:hAnsi="Times New Roman"/>
          </w:rPr>
          <w:t>號</w:t>
        </w:r>
      </w:hyperlink>
      <w:r w:rsidR="00203F72" w:rsidRPr="004C03B2">
        <w:t>解釋理由書指出：「國家為謀社會福利，應實施社會保險制度；國家為增進民族健康，應普遍推行衛生保健事業及公醫制度；國家應推行全民健康保險及國家應重</w:t>
      </w:r>
      <w:r w:rsidR="003E240E">
        <w:t>視</w:t>
      </w:r>
      <w:r w:rsidR="00203F72" w:rsidRPr="004C03B2">
        <w:t>社會救助、福利服務、國民就業、社會保險及醫療保健等社會福利工作，對於社會救助和國民就業等救濟性支出應優先編列，乃憲法第</w:t>
      </w:r>
      <w:hyperlink r:id="rId1355" w:anchor="a155" w:history="1">
        <w:r w:rsidR="00203F72" w:rsidRPr="004C03B2">
          <w:rPr>
            <w:rStyle w:val="a5"/>
            <w:rFonts w:ascii="Times New Roman" w:eastAsia="新細明體" w:hAnsi="Times New Roman"/>
          </w:rPr>
          <w:t>一百五十五</w:t>
        </w:r>
      </w:hyperlink>
      <w:r w:rsidR="00203F72" w:rsidRPr="004C03B2">
        <w:t>條、第</w:t>
      </w:r>
      <w:hyperlink r:id="rId1356" w:anchor="a157" w:history="1">
        <w:r w:rsidR="00203F72" w:rsidRPr="004C03B2">
          <w:rPr>
            <w:rStyle w:val="a5"/>
            <w:rFonts w:ascii="Times New Roman" w:eastAsia="新細明體" w:hAnsi="Times New Roman"/>
          </w:rPr>
          <w:t>一百五十七</w:t>
        </w:r>
      </w:hyperlink>
      <w:r w:rsidR="00203F72" w:rsidRPr="004C03B2">
        <w:t>條暨憲法增修條</w:t>
      </w:r>
      <w:r w:rsidR="004C03B2" w:rsidRPr="004C03B2">
        <w:t>文</w:t>
      </w:r>
      <w:hyperlink r:id="rId1357" w:anchor="b10" w:history="1">
        <w:r w:rsidR="004C03B2" w:rsidRPr="004C03B2">
          <w:rPr>
            <w:rStyle w:val="a5"/>
            <w:rFonts w:ascii="Times New Roman" w:eastAsia="新細明體" w:hAnsi="Times New Roman"/>
          </w:rPr>
          <w:t>第十條</w:t>
        </w:r>
      </w:hyperlink>
      <w:r w:rsidR="00203F72" w:rsidRPr="004C03B2">
        <w:t>第五項、第八項所明定之基本國策。」除了本條文及司法院釋</w:t>
      </w:r>
      <w:r w:rsidR="004C03B2" w:rsidRPr="004C03B2">
        <w:t>字</w:t>
      </w:r>
      <w:hyperlink r:id="rId1358" w:anchor="r550" w:history="1">
        <w:r w:rsidR="004C03B2" w:rsidRPr="004C03B2">
          <w:rPr>
            <w:rStyle w:val="a5"/>
            <w:rFonts w:ascii="Times New Roman" w:eastAsia="新細明體" w:hAnsi="Times New Roman"/>
          </w:rPr>
          <w:t>第</w:t>
        </w:r>
        <w:r w:rsidR="004C03B2" w:rsidRPr="004C03B2">
          <w:rPr>
            <w:rStyle w:val="a5"/>
            <w:rFonts w:ascii="Times New Roman" w:eastAsia="新細明體" w:hAnsi="Times New Roman"/>
          </w:rPr>
          <w:t>550</w:t>
        </w:r>
        <w:r w:rsidR="004C03B2" w:rsidRPr="004C03B2">
          <w:rPr>
            <w:rStyle w:val="a5"/>
            <w:rFonts w:ascii="Times New Roman" w:eastAsia="新細明體" w:hAnsi="Times New Roman"/>
          </w:rPr>
          <w:t>號</w:t>
        </w:r>
      </w:hyperlink>
      <w:r w:rsidR="00203F72" w:rsidRPr="004C03B2">
        <w:t>解釋文之外，憲法增修條</w:t>
      </w:r>
      <w:r w:rsidR="00E16174" w:rsidRPr="004C03B2">
        <w:t>文</w:t>
      </w:r>
      <w:hyperlink r:id="rId1359" w:anchor="b10" w:history="1">
        <w:r w:rsidR="00E16174" w:rsidRPr="004C03B2">
          <w:rPr>
            <w:rStyle w:val="a5"/>
          </w:rPr>
          <w:t>第10條</w:t>
        </w:r>
      </w:hyperlink>
      <w:r w:rsidR="00203F72" w:rsidRPr="004C03B2">
        <w:t>第五項亦針對於衛生保健及社會保險等事項，作出相關之規定。</w:t>
      </w:r>
    </w:p>
    <w:p w14:paraId="525321AD" w14:textId="77777777" w:rsidR="00953151" w:rsidRDefault="005D5A46" w:rsidP="00767F37">
      <w:pPr>
        <w:pStyle w:val="2"/>
      </w:pPr>
      <w:r>
        <w:t>第</w:t>
      </w:r>
      <w:r w:rsidR="00203F72" w:rsidRPr="00A53581">
        <w:t>五</w:t>
      </w:r>
      <w:r w:rsidR="003D02B1">
        <w:t>節</w:t>
      </w:r>
      <w:r w:rsidR="00203F72" w:rsidRPr="00A53581">
        <w:t xml:space="preserve"> </w:t>
      </w:r>
      <w:r w:rsidR="00203F72" w:rsidRPr="00A53581">
        <w:t>教育文化</w:t>
      </w:r>
    </w:p>
    <w:p w14:paraId="5A3FCD93" w14:textId="77777777" w:rsidR="00953151" w:rsidRDefault="00076467" w:rsidP="00767F37">
      <w:pPr>
        <w:pStyle w:val="2"/>
      </w:pPr>
      <w:hyperlink r:id="rId1360" w:anchor="a158" w:history="1">
        <w:r w:rsidR="005D5A46">
          <w:rPr>
            <w:rStyle w:val="a5"/>
            <w:rFonts w:ascii="Arial Unicode MS" w:hAnsi="Arial Unicode MS"/>
          </w:rPr>
          <w:t>第</w:t>
        </w:r>
        <w:r w:rsidR="00203F72" w:rsidRPr="00AB0A74">
          <w:rPr>
            <w:rStyle w:val="a5"/>
            <w:rFonts w:ascii="Arial Unicode MS" w:hAnsi="Arial Unicode MS"/>
          </w:rPr>
          <w:t>158</w:t>
        </w:r>
        <w:r w:rsidR="005D5A46">
          <w:rPr>
            <w:rStyle w:val="a5"/>
            <w:rFonts w:ascii="Arial Unicode MS" w:hAnsi="Arial Unicode MS"/>
          </w:rPr>
          <w:t>條</w:t>
        </w:r>
      </w:hyperlink>
      <w:r w:rsidR="00203F72" w:rsidRPr="00A53581">
        <w:t>教育文化，應發展國民之民族精神、自治精神、國民道德、健全體格、科學及生活智慧。</w:t>
      </w:r>
    </w:p>
    <w:p w14:paraId="5CBE7789" w14:textId="77777777" w:rsidR="00953151" w:rsidRPr="004C03B2" w:rsidRDefault="00B03E84" w:rsidP="00D87D91">
      <w:r w:rsidRPr="004C03B2">
        <w:t>【內容解析】</w:t>
      </w:r>
    </w:p>
    <w:p w14:paraId="11FCBBA2" w14:textId="77777777" w:rsidR="00953151" w:rsidRPr="004C03B2" w:rsidRDefault="00800CD7" w:rsidP="00D87D91">
      <w:r w:rsidRPr="004C03B2">
        <w:t xml:space="preserve">　　</w:t>
      </w:r>
      <w:r w:rsidR="00203F72" w:rsidRPr="004C03B2">
        <w:t>教育文化係國家民族永續發展之關鍵，因此應發展民族精神為基礎，同時從自治精神、國民道德、健全體系、科學及生活智慧進行強化。例如目前教育部正推動十二年國教制度，亦應在這幾個項目之內進行思考與規劃。而這裏所稱之民族精神，應指具有特色之民族文化；自治精神應指民主政治之基本概念；國民道德則指一般生活倫理道德之內容；健全體格則應表現在體育課程之重</w:t>
      </w:r>
      <w:r w:rsidR="003E240E">
        <w:t>視</w:t>
      </w:r>
      <w:r w:rsidR="00203F72" w:rsidRPr="004C03B2">
        <w:t>；科學即指科學教育，特別是醫學、理學、工學、社會科學、人文科學等，這些均為讓國家能夠興盛之重要學科；至於生活智慧主要指一般生活常規之內容。</w:t>
      </w:r>
    </w:p>
    <w:p w14:paraId="27B6E8CE" w14:textId="77777777" w:rsidR="00953151" w:rsidRDefault="00076467" w:rsidP="00767F37">
      <w:pPr>
        <w:pStyle w:val="2"/>
      </w:pPr>
      <w:hyperlink r:id="rId1361" w:anchor="a159" w:history="1">
        <w:r w:rsidR="005D5A46">
          <w:rPr>
            <w:rStyle w:val="a5"/>
            <w:rFonts w:ascii="Arial Unicode MS" w:hAnsi="Arial Unicode MS"/>
          </w:rPr>
          <w:t>第</w:t>
        </w:r>
        <w:r w:rsidR="00203F72" w:rsidRPr="00AB0A74">
          <w:rPr>
            <w:rStyle w:val="a5"/>
            <w:rFonts w:ascii="Arial Unicode MS" w:hAnsi="Arial Unicode MS"/>
          </w:rPr>
          <w:t>159</w:t>
        </w:r>
        <w:r w:rsidR="005D5A46">
          <w:rPr>
            <w:rStyle w:val="a5"/>
            <w:rFonts w:ascii="Arial Unicode MS" w:hAnsi="Arial Unicode MS"/>
          </w:rPr>
          <w:t>條</w:t>
        </w:r>
      </w:hyperlink>
      <w:r w:rsidR="00203F72" w:rsidRPr="00A53581">
        <w:t>國民受教育之機會，一律平等。</w:t>
      </w:r>
    </w:p>
    <w:p w14:paraId="2F0DEE18" w14:textId="77777777" w:rsidR="00953151" w:rsidRDefault="00B03E84" w:rsidP="00D87D91">
      <w:pPr>
        <w:pStyle w:val="HTML"/>
      </w:pPr>
      <w:r>
        <w:t>【內容解析】</w:t>
      </w:r>
    </w:p>
    <w:p w14:paraId="4473DE98" w14:textId="77777777" w:rsidR="00953151" w:rsidRPr="00444E21" w:rsidRDefault="00800CD7" w:rsidP="00D87D91">
      <w:r w:rsidRPr="00444E21">
        <w:t xml:space="preserve">　　</w:t>
      </w:r>
      <w:r w:rsidR="00203F72" w:rsidRPr="00444E21">
        <w:t>中國民國國民應有平等接受教育之機會，因為依憲</w:t>
      </w:r>
      <w:r w:rsidR="00444E21" w:rsidRPr="00BD43D3">
        <w:t>法</w:t>
      </w:r>
      <w:hyperlink r:id="rId1362"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444E21">
        <w:t>之規定，中華民國人民，無分男女、宗教、種族、階級、黨派，在法律上一律平等。因此，教育機會均等，也是憲法強調之平等權。關於教育議題之重要性，教育基本</w:t>
      </w:r>
      <w:r w:rsidR="00687BCD" w:rsidRPr="00444E21">
        <w:t>法</w:t>
      </w:r>
      <w:hyperlink r:id="rId1363" w:anchor="a1" w:history="1">
        <w:r w:rsidR="00687BCD" w:rsidRPr="00444E21">
          <w:rPr>
            <w:rStyle w:val="a5"/>
          </w:rPr>
          <w:t>第1條</w:t>
        </w:r>
      </w:hyperlink>
      <w:r w:rsidR="00203F72" w:rsidRPr="00444E21">
        <w:t>即指出：「為保障人民學習及受教育之權利，確立教育基本方針，健全教育體制，特制定本法。」另外，教育基本</w:t>
      </w:r>
      <w:r w:rsidR="00687BCD" w:rsidRPr="00444E21">
        <w:t>法</w:t>
      </w:r>
      <w:hyperlink r:id="rId1364" w:anchor="a2" w:history="1">
        <w:r w:rsidR="00687BCD" w:rsidRPr="00444E21">
          <w:rPr>
            <w:rStyle w:val="a5"/>
          </w:rPr>
          <w:t>第2條</w:t>
        </w:r>
      </w:hyperlink>
      <w:r w:rsidR="00203F72" w:rsidRPr="00444E21">
        <w:t>亦規定：「人民為教育權之主體。教育之目的以培養人民健全人格、民主素養、法治觀念、人文涵養、愛國教育、鄉土關懷、資訊知能、強健體魄及思考、判斷與創造能力，並促進其對基本人權之尊重、生態環境之保護及對不同國家、族群、性別、宗教、文化之瞭解與關懷，使其成為具有國家意識與國際</w:t>
      </w:r>
      <w:r w:rsidR="003E240E">
        <w:t>視</w:t>
      </w:r>
      <w:r w:rsidR="00203F72" w:rsidRPr="00444E21">
        <w:t>野之現代化國民。為實現前項教育目的，國家、教育機構、教師、父母應負協助之責任。」</w:t>
      </w:r>
      <w:r w:rsidR="00203F72" w:rsidRPr="00444E21">
        <w:footnoteReference w:id="120"/>
      </w:r>
    </w:p>
    <w:p w14:paraId="2C2F38D3" w14:textId="77777777" w:rsidR="00203F72" w:rsidRPr="00A53581" w:rsidRDefault="00076467" w:rsidP="00767F37">
      <w:pPr>
        <w:pStyle w:val="2"/>
      </w:pPr>
      <w:hyperlink r:id="rId1365" w:anchor="a160" w:history="1">
        <w:r w:rsidR="005D5A46">
          <w:rPr>
            <w:rStyle w:val="a5"/>
            <w:rFonts w:ascii="Arial Unicode MS" w:hAnsi="Arial Unicode MS"/>
          </w:rPr>
          <w:t>第</w:t>
        </w:r>
        <w:r w:rsidR="00203F72" w:rsidRPr="00AB0A74">
          <w:rPr>
            <w:rStyle w:val="a5"/>
            <w:rFonts w:ascii="Arial Unicode MS" w:hAnsi="Arial Unicode MS"/>
          </w:rPr>
          <w:t>160</w:t>
        </w:r>
        <w:r w:rsidR="005D5A46">
          <w:rPr>
            <w:rStyle w:val="a5"/>
            <w:rFonts w:ascii="Arial Unicode MS" w:hAnsi="Arial Unicode MS"/>
          </w:rPr>
          <w:t>條</w:t>
        </w:r>
      </w:hyperlink>
      <w:r w:rsidR="00203F72" w:rsidRPr="00A53581">
        <w:t>六歲至十二歲之學齡兒童，一律受基本教育，免納學費。其貧苦者，由政府供給書籍。</w:t>
      </w:r>
    </w:p>
    <w:p w14:paraId="2AA3B4B2" w14:textId="77777777" w:rsidR="00953151" w:rsidRDefault="00800CD7" w:rsidP="00D87D91">
      <w:r>
        <w:t xml:space="preserve">　　</w:t>
      </w:r>
      <w:r w:rsidR="00203F72" w:rsidRPr="00A53581">
        <w:t>已逾學齡未受基本教育之國民，一律受補習教育，免納學費，其書籍亦由政府供給。</w:t>
      </w:r>
    </w:p>
    <w:p w14:paraId="6557D36C" w14:textId="77777777" w:rsidR="00953151" w:rsidRDefault="00B03E84" w:rsidP="00D87D91">
      <w:pPr>
        <w:pStyle w:val="HTML"/>
      </w:pPr>
      <w:r>
        <w:t>【內容解析】</w:t>
      </w:r>
    </w:p>
    <w:p w14:paraId="7556D05D" w14:textId="77777777" w:rsidR="00953151" w:rsidRPr="00D868A5" w:rsidRDefault="00800CD7" w:rsidP="00D87D91">
      <w:r w:rsidRPr="00D868A5">
        <w:t xml:space="preserve">　　</w:t>
      </w:r>
      <w:r w:rsidR="00203F72" w:rsidRPr="00D868A5">
        <w:t>基於前述國民教育均等原則，對於學齡兒童就學，宜有更寬鬆之規定，包括免納學費，以及因貧苦無法購買書籍者，由政府供給書籍之規定。這些規定都在讓學齡兒童都有平等接受基本教育之機會。至於逾學齡未受基本教育之國民，則受補習教育、免納學費，書籍亦由政府供給，這同時在執行教育均等之原則。</w:t>
      </w:r>
    </w:p>
    <w:p w14:paraId="1E8482D6" w14:textId="77777777" w:rsidR="00953151" w:rsidRPr="00D868A5" w:rsidRDefault="00800CD7" w:rsidP="00D87D91">
      <w:r w:rsidRPr="00D868A5">
        <w:t xml:space="preserve">　　</w:t>
      </w:r>
      <w:r w:rsidR="00203F72" w:rsidRPr="00D868A5">
        <w:t>依國民教育法</w:t>
      </w:r>
      <w:hyperlink r:id="rId1366" w:anchor="a5" w:history="1">
        <w:r w:rsidR="00203F72" w:rsidRPr="00D868A5">
          <w:rPr>
            <w:rStyle w:val="a5"/>
          </w:rPr>
          <w:t>第5條</w:t>
        </w:r>
      </w:hyperlink>
      <w:r w:rsidR="00203F72" w:rsidRPr="00D868A5">
        <w:t>之規定，「國民小學及國民中學學生免納學費；貧苦者，由政府供給書籍，並免繳其他法令規定之費用。國民中學另設獎、助學金，獎助優秀、清寒學生。國民小學及國民中學雜費及各項代收代辦費之收支辦法，由直轄市、縣</w:t>
      </w:r>
      <w:r w:rsidR="00203F72" w:rsidRPr="00D868A5">
        <w:t>(</w:t>
      </w:r>
      <w:r w:rsidR="00203F72" w:rsidRPr="00D868A5">
        <w:t>市</w:t>
      </w:r>
      <w:r w:rsidR="00203F72" w:rsidRPr="00D868A5">
        <w:t>)</w:t>
      </w:r>
      <w:r w:rsidR="00203F72" w:rsidRPr="00D868A5">
        <w:t>政府定之。</w:t>
      </w:r>
    </w:p>
    <w:p w14:paraId="5C9C19BE" w14:textId="77777777" w:rsidR="00953151" w:rsidRPr="00D868A5" w:rsidRDefault="00800CD7" w:rsidP="00D87D91">
      <w:r w:rsidRPr="00D868A5">
        <w:t xml:space="preserve">　　</w:t>
      </w:r>
      <w:r w:rsidR="00203F72" w:rsidRPr="00D868A5">
        <w:t>再者，依國民教育法</w:t>
      </w:r>
      <w:hyperlink r:id="rId1367" w:anchor="a6" w:history="1">
        <w:r w:rsidR="00203F72" w:rsidRPr="00D868A5">
          <w:rPr>
            <w:rStyle w:val="a5"/>
          </w:rPr>
          <w:t>第6條</w:t>
        </w:r>
      </w:hyperlink>
      <w:r w:rsidR="00203F72" w:rsidRPr="00D868A5">
        <w:t>之規定，「國民小學及國民中學應辦理學生團體保險；其範圍、金額、繳費方式、期程、給付標準、權利與義務、辦理方式及其他相關事項之辦法，由各該主管教育行政機關定之。學生申請理賠時，學校應主動協助辦理。各級主管教育行政機關應為所轄之公私立國民中小學場所投保公共意外責任保險。」</w:t>
      </w:r>
      <w:r w:rsidR="00203F72" w:rsidRPr="00D868A5">
        <w:footnoteReference w:id="121"/>
      </w:r>
      <w:r w:rsidR="00203F72" w:rsidRPr="00D868A5">
        <w:t>本條係規定基本教育，免納學費。在德國，若干邦之大學，大學教育亦免納學費。是以，隨著我國經濟發展之時程，有關於免納學費之範圍，似可放寬至高中，甚至是大學之學程。</w:t>
      </w:r>
    </w:p>
    <w:p w14:paraId="6B946B3B" w14:textId="77777777" w:rsidR="00953151" w:rsidRPr="00D868A5" w:rsidRDefault="00800CD7" w:rsidP="00D87D91">
      <w:r w:rsidRPr="00D868A5">
        <w:t xml:space="preserve">　　</w:t>
      </w:r>
      <w:r w:rsidR="00203F72" w:rsidRPr="00D868A5">
        <w:t>2015</w:t>
      </w:r>
      <w:r w:rsidR="00203F72" w:rsidRPr="00D868A5">
        <w:t>年</w:t>
      </w:r>
      <w:r w:rsidR="00203F72" w:rsidRPr="00D868A5">
        <w:t>6</w:t>
      </w:r>
      <w:r w:rsidR="00203F72" w:rsidRPr="00D868A5">
        <w:t>月，我國朝野對於國民應受國民教育之議題，較有共識之修憲條文，係為「</w:t>
      </w:r>
      <w:r w:rsidR="00203F72" w:rsidRPr="00D868A5">
        <w:t>6</w:t>
      </w:r>
      <w:r w:rsidR="00203F72" w:rsidRPr="00D868A5">
        <w:t>歲到</w:t>
      </w:r>
      <w:r w:rsidR="00203F72" w:rsidRPr="00D868A5">
        <w:t>18</w:t>
      </w:r>
      <w:r w:rsidR="00203F72" w:rsidRPr="00D868A5">
        <w:t>歲學齡的國民應受國民教育，父母或監護人依法律使其受國民教育，已逾學齡未受者，應受補習教育</w:t>
      </w:r>
      <w:r w:rsidR="00203F72" w:rsidRPr="00D868A5">
        <w:footnoteReference w:id="122"/>
      </w:r>
      <w:r w:rsidR="00203F72" w:rsidRPr="00D868A5">
        <w:t>」，關於此項之修憲，本書敬表贊同。</w:t>
      </w:r>
    </w:p>
    <w:p w14:paraId="37E2B523" w14:textId="77777777" w:rsidR="00953151" w:rsidRDefault="00076467" w:rsidP="00767F37">
      <w:pPr>
        <w:pStyle w:val="2"/>
      </w:pPr>
      <w:hyperlink r:id="rId1368" w:anchor="a161" w:history="1">
        <w:r w:rsidR="005D5A46">
          <w:rPr>
            <w:rStyle w:val="a5"/>
            <w:rFonts w:ascii="Arial Unicode MS" w:hAnsi="Arial Unicode MS"/>
          </w:rPr>
          <w:t>第</w:t>
        </w:r>
        <w:r w:rsidR="00203F72" w:rsidRPr="00AB0A74">
          <w:rPr>
            <w:rStyle w:val="a5"/>
            <w:rFonts w:ascii="Arial Unicode MS" w:hAnsi="Arial Unicode MS"/>
          </w:rPr>
          <w:t>161</w:t>
        </w:r>
        <w:r w:rsidR="005D5A46">
          <w:rPr>
            <w:rStyle w:val="a5"/>
            <w:rFonts w:ascii="Arial Unicode MS" w:hAnsi="Arial Unicode MS"/>
          </w:rPr>
          <w:t>條</w:t>
        </w:r>
      </w:hyperlink>
      <w:r w:rsidR="00203F72" w:rsidRPr="00A53581">
        <w:t>各級政府應廣設獎學金名額，以扶助學行俱優無力升學之學生。</w:t>
      </w:r>
    </w:p>
    <w:p w14:paraId="0F4BDF8D" w14:textId="77777777" w:rsidR="00203F72" w:rsidRPr="00A53581" w:rsidRDefault="00B03E84" w:rsidP="00D87D91">
      <w:r>
        <w:t>【內容解析】</w:t>
      </w:r>
    </w:p>
    <w:p w14:paraId="6CCBE3E9" w14:textId="77777777" w:rsidR="00953151" w:rsidRDefault="00800CD7" w:rsidP="00D87D91">
      <w:r>
        <w:t xml:space="preserve">　　</w:t>
      </w:r>
      <w:r w:rsidR="00203F72" w:rsidRPr="00A53581">
        <w:t>為讓學行俱優無力升學之學生有平等之教育機會，目的在培育國家人才，為國家社會所用，因此各級政府廣設獎學金名額，即在資助與培育學行俱優，但經濟情況不佳之學生。</w:t>
      </w:r>
    </w:p>
    <w:p w14:paraId="64F34A9E" w14:textId="77777777" w:rsidR="00953151" w:rsidRDefault="00076467" w:rsidP="00767F37">
      <w:pPr>
        <w:pStyle w:val="2"/>
      </w:pPr>
      <w:hyperlink r:id="rId1369" w:anchor="a162" w:history="1">
        <w:r w:rsidR="005D5A46">
          <w:rPr>
            <w:rStyle w:val="a5"/>
            <w:rFonts w:ascii="Arial Unicode MS" w:hAnsi="Arial Unicode MS"/>
          </w:rPr>
          <w:t>第</w:t>
        </w:r>
        <w:r w:rsidR="00203F72" w:rsidRPr="00AB0A74">
          <w:rPr>
            <w:rStyle w:val="a5"/>
            <w:rFonts w:ascii="Arial Unicode MS" w:hAnsi="Arial Unicode MS"/>
          </w:rPr>
          <w:t>162</w:t>
        </w:r>
        <w:r w:rsidR="005D5A46">
          <w:rPr>
            <w:rStyle w:val="a5"/>
            <w:rFonts w:ascii="Arial Unicode MS" w:hAnsi="Arial Unicode MS"/>
          </w:rPr>
          <w:t>條</w:t>
        </w:r>
      </w:hyperlink>
      <w:r w:rsidR="00203F72" w:rsidRPr="00A53581">
        <w:t>全國公私立之教育文化機關，依法律受國家之監督。</w:t>
      </w:r>
    </w:p>
    <w:p w14:paraId="64827BAB" w14:textId="77777777" w:rsidR="00953151" w:rsidRDefault="00B03E84" w:rsidP="00D87D91">
      <w:r>
        <w:t>【內容解析】</w:t>
      </w:r>
    </w:p>
    <w:p w14:paraId="7CCF3B04" w14:textId="77777777" w:rsidR="00953151" w:rsidRPr="00A8540C" w:rsidRDefault="00800CD7" w:rsidP="00D87D91">
      <w:r w:rsidRPr="00A8540C">
        <w:t xml:space="preserve">　　</w:t>
      </w:r>
      <w:r w:rsidR="00203F72" w:rsidRPr="00A8540C">
        <w:t>全國公私立之教育文化機關，均不得悖離憲法</w:t>
      </w:r>
      <w:hyperlink r:id="rId1370" w:anchor="a158" w:history="1">
        <w:r w:rsidR="00A8540C" w:rsidRPr="00A8540C">
          <w:rPr>
            <w:rStyle w:val="a5"/>
          </w:rPr>
          <w:t>第158條</w:t>
        </w:r>
      </w:hyperlink>
      <w:r w:rsidR="00203F72" w:rsidRPr="00A8540C">
        <w:t>規定之基本原則。因此，依法律全國公私立之教育文化機關，均應受國家監督。為了令全國公私立之教育文化機關，依法律受國家之監督，我國制定</w:t>
      </w:r>
      <w:hyperlink r:id="rId1371" w:history="1">
        <w:r w:rsidR="00C454F8" w:rsidRPr="00A8540C">
          <w:rPr>
            <w:rStyle w:val="a5"/>
          </w:rPr>
          <w:t>大學法</w:t>
        </w:r>
      </w:hyperlink>
      <w:r w:rsidR="00203F72" w:rsidRPr="00A8540C">
        <w:t>等法律。不過，近年來，國內大學公法人化之呼聲不斷，為了回應大學之需求，宜制定相關之規範為佳。雖然，立法院業已制定行政法人法，但國立大學如擬公法人化，究竟是否可以引用行政法人法</w:t>
      </w:r>
      <w:hyperlink r:id="rId1372" w:anchor="a41" w:history="1">
        <w:r w:rsidR="00203F72" w:rsidRPr="00A8540C">
          <w:rPr>
            <w:rStyle w:val="a5"/>
            <w:rFonts w:ascii="Times New Roman" w:eastAsia="新細明體" w:hAnsi="Times New Roman"/>
          </w:rPr>
          <w:t>第</w:t>
        </w:r>
        <w:r w:rsidR="00203F72" w:rsidRPr="00A8540C">
          <w:rPr>
            <w:rStyle w:val="a5"/>
            <w:rFonts w:ascii="Times New Roman" w:eastAsia="新細明體" w:hAnsi="Times New Roman"/>
          </w:rPr>
          <w:t>41</w:t>
        </w:r>
        <w:r w:rsidR="00203F72" w:rsidRPr="00A8540C">
          <w:rPr>
            <w:rStyle w:val="a5"/>
            <w:rFonts w:ascii="Times New Roman" w:eastAsia="新細明體" w:hAnsi="Times New Roman"/>
          </w:rPr>
          <w:t>條</w:t>
        </w:r>
      </w:hyperlink>
      <w:r w:rsidR="00203F72" w:rsidRPr="00A8540C">
        <w:t>（行政法人設立之準用規定）第</w:t>
      </w:r>
      <w:r w:rsidR="00203F72" w:rsidRPr="00A8540C">
        <w:t>2</w:t>
      </w:r>
      <w:r w:rsidR="00203F72" w:rsidRPr="00A8540C">
        <w:t>項之規定：「經中央目的事業主管機關核可之特定公共事務，直轄市、縣（市）得準用本法之規定制定自治條例，設立行政法人。」，而將國立大學加以公法人化，目前之階段，國內對此議題，仍存有爭議，主要之爭點，在於行政法人與公法人之概念，不完全相同，仍存有差異性。</w:t>
      </w:r>
    </w:p>
    <w:p w14:paraId="3517F7DF" w14:textId="77777777" w:rsidR="00953151" w:rsidRPr="00A8540C" w:rsidRDefault="00800CD7" w:rsidP="00D87D91">
      <w:r w:rsidRPr="00A8540C">
        <w:t xml:space="preserve">　　</w:t>
      </w:r>
      <w:r w:rsidR="00203F72" w:rsidRPr="00A8540C">
        <w:t>亦有論者，主張直接修改</w:t>
      </w:r>
      <w:hyperlink r:id="rId1373" w:history="1">
        <w:r w:rsidR="00C454F8" w:rsidRPr="00A8540C">
          <w:rPr>
            <w:rStyle w:val="a5"/>
          </w:rPr>
          <w:t>大學法</w:t>
        </w:r>
      </w:hyperlink>
      <w:r w:rsidR="00203F72" w:rsidRPr="00A8540C">
        <w:t>，使大學朝向公法人發展，但因事涉：加大政府控制權力、官商勾結、國立大學私有化、國立大學資產私人化、影響學生受教權和教職人員工作權等諸多因素，導致仍存有一定之爭議，與反對之聲音</w:t>
      </w:r>
      <w:r w:rsidR="00203F72" w:rsidRPr="00A8540C">
        <w:footnoteReference w:id="123"/>
      </w:r>
      <w:r w:rsidR="00203F72" w:rsidRPr="00A8540C">
        <w:t>。</w:t>
      </w:r>
    </w:p>
    <w:p w14:paraId="738D03BF" w14:textId="77777777" w:rsidR="00953151" w:rsidRDefault="00076467" w:rsidP="00767F37">
      <w:pPr>
        <w:pStyle w:val="2"/>
      </w:pPr>
      <w:hyperlink r:id="rId1374" w:anchor="a163" w:history="1">
        <w:r w:rsidR="005D5A46">
          <w:rPr>
            <w:rStyle w:val="a5"/>
            <w:rFonts w:ascii="Arial Unicode MS" w:hAnsi="Arial Unicode MS"/>
          </w:rPr>
          <w:t>第</w:t>
        </w:r>
        <w:r w:rsidR="00203F72" w:rsidRPr="00AB0A74">
          <w:rPr>
            <w:rStyle w:val="a5"/>
            <w:rFonts w:ascii="Arial Unicode MS" w:hAnsi="Arial Unicode MS"/>
          </w:rPr>
          <w:t>163</w:t>
        </w:r>
        <w:r w:rsidR="005D5A46">
          <w:rPr>
            <w:rStyle w:val="a5"/>
            <w:rFonts w:ascii="Arial Unicode MS" w:hAnsi="Arial Unicode MS"/>
          </w:rPr>
          <w:t>條</w:t>
        </w:r>
      </w:hyperlink>
      <w:r w:rsidR="00203F72" w:rsidRPr="00A53581">
        <w:t>國家應注重各地區教育之均衡發展，並推行社會教育，以提高一般國民之文化水準，邊遠及貧瘠地區之教育文化經費，由國庫補助之。其重要之教育文化事業，得由中央辦理或補助之。</w:t>
      </w:r>
    </w:p>
    <w:p w14:paraId="03D59925" w14:textId="77777777" w:rsidR="00203F72" w:rsidRPr="00A53581" w:rsidRDefault="00B03E84" w:rsidP="00D87D91">
      <w:r>
        <w:t>【內容解析】</w:t>
      </w:r>
    </w:p>
    <w:p w14:paraId="3460E381" w14:textId="77777777" w:rsidR="00953151" w:rsidRPr="00A8540C" w:rsidRDefault="00800CD7" w:rsidP="00D87D91">
      <w:r w:rsidRPr="00A8540C">
        <w:t xml:space="preserve">　　</w:t>
      </w:r>
      <w:r w:rsidR="00203F72" w:rsidRPr="00A8540C">
        <w:t>由於各種因素，導致教育資源難以平均分配，因此為了讓各地區教育，能均衡發展，應受到重</w:t>
      </w:r>
      <w:r w:rsidR="003E240E">
        <w:t>視</w:t>
      </w:r>
      <w:r w:rsidR="00203F72" w:rsidRPr="00A8540C">
        <w:t>。而且除了基礎或國民教育外，社會教育亦不能忽略，以提升國民文化水準。由於偏鄉財（縣市）政原本就比較貧乏，因此教育均衡之預算支出，應優先考慮由國庫補助。甚至為達目的，亦可由中央直接辦理，或透過補助之方式辦理。</w:t>
      </w:r>
    </w:p>
    <w:p w14:paraId="04049526" w14:textId="77777777" w:rsidR="00953151" w:rsidRDefault="00076467" w:rsidP="00767F37">
      <w:pPr>
        <w:pStyle w:val="2"/>
      </w:pPr>
      <w:hyperlink r:id="rId1375" w:anchor="a164" w:history="1">
        <w:r w:rsidR="005D5A46">
          <w:rPr>
            <w:rStyle w:val="a5"/>
            <w:rFonts w:ascii="Arial Unicode MS" w:hAnsi="Arial Unicode MS"/>
          </w:rPr>
          <w:t>第</w:t>
        </w:r>
        <w:r w:rsidR="00203F72" w:rsidRPr="00AB0A74">
          <w:rPr>
            <w:rStyle w:val="a5"/>
            <w:rFonts w:ascii="Arial Unicode MS" w:hAnsi="Arial Unicode MS"/>
          </w:rPr>
          <w:t>164</w:t>
        </w:r>
        <w:r w:rsidR="005D5A46">
          <w:rPr>
            <w:rStyle w:val="a5"/>
            <w:rFonts w:ascii="Arial Unicode MS" w:hAnsi="Arial Unicode MS"/>
          </w:rPr>
          <w:t>條</w:t>
        </w:r>
      </w:hyperlink>
      <w:r w:rsidR="00203F72" w:rsidRPr="00A53581">
        <w:t>教育、科學、文化之經費，在中央不得少於其預算總額百分之十五，在省不得少於其預算總額百分之二十五，在市縣不得少於其預算總額百分之三十五，其依法設置之教育文化基金及產業，應予以保障。</w:t>
      </w:r>
    </w:p>
    <w:p w14:paraId="3EDA78A5" w14:textId="77777777" w:rsidR="00953151" w:rsidRPr="006E4258" w:rsidRDefault="00B03E84" w:rsidP="00D87D91">
      <w:r w:rsidRPr="006E4258">
        <w:t>【內容解析】</w:t>
      </w:r>
    </w:p>
    <w:p w14:paraId="5E53215D" w14:textId="77777777" w:rsidR="00203F72" w:rsidRPr="006E4258" w:rsidRDefault="00800CD7" w:rsidP="00D87D91">
      <w:r w:rsidRPr="006E4258">
        <w:t xml:space="preserve">　　</w:t>
      </w:r>
      <w:r w:rsidR="00203F72" w:rsidRPr="006E4258">
        <w:t>司法院釋字</w:t>
      </w:r>
      <w:hyperlink r:id="rId1376" w:anchor="r77" w:history="1">
        <w:r w:rsidR="00203F72" w:rsidRPr="006E4258">
          <w:rPr>
            <w:rStyle w:val="a5"/>
            <w:rFonts w:ascii="Times New Roman" w:eastAsia="新細明體" w:hAnsi="Times New Roman"/>
          </w:rPr>
          <w:t>第</w:t>
        </w:r>
        <w:r w:rsidR="00203F72" w:rsidRPr="006E4258">
          <w:rPr>
            <w:rStyle w:val="a5"/>
            <w:rFonts w:ascii="Times New Roman" w:eastAsia="新細明體" w:hAnsi="Times New Roman"/>
          </w:rPr>
          <w:t>77</w:t>
        </w:r>
        <w:r w:rsidR="00203F72" w:rsidRPr="006E4258">
          <w:rPr>
            <w:rStyle w:val="a5"/>
            <w:rFonts w:ascii="Times New Roman" w:eastAsia="新細明體" w:hAnsi="Times New Roman"/>
          </w:rPr>
          <w:t>號</w:t>
        </w:r>
      </w:hyperlink>
      <w:r w:rsidR="00203F72" w:rsidRPr="006E4258">
        <w:t>解釋指出：「憲法</w:t>
      </w:r>
      <w:r w:rsidR="0025067A" w:rsidRPr="00E16174">
        <w:t>第</w:t>
      </w:r>
      <w:hyperlink r:id="rId1377" w:anchor="a164" w:history="1">
        <w:r w:rsidR="0025067A" w:rsidRPr="0025067A">
          <w:rPr>
            <w:rStyle w:val="a5"/>
            <w:rFonts w:ascii="Times New Roman" w:eastAsia="新細明體" w:hAnsi="Times New Roman"/>
          </w:rPr>
          <w:t>一百六十四</w:t>
        </w:r>
      </w:hyperlink>
      <w:r w:rsidR="0025067A" w:rsidRPr="00E16174">
        <w:t>條</w:t>
      </w:r>
      <w:r w:rsidR="00203F72" w:rsidRPr="006E4258">
        <w:t>所謂教育科學文化之經費在市縣不得少於其預算總額百分之三十五，原係指編製預算時在歲出總額所佔之比例數而言。至追加預算，實因預算執行中具有預算法第</w:t>
      </w:r>
      <w:hyperlink r:id="rId1378" w:anchor="a53" w:history="1">
        <w:r w:rsidR="00203F72" w:rsidRPr="0025067A">
          <w:rPr>
            <w:rStyle w:val="a5"/>
            <w:rFonts w:ascii="Times New Roman" w:eastAsia="新細明體" w:hAnsi="Times New Roman"/>
          </w:rPr>
          <w:t>五十三</w:t>
        </w:r>
      </w:hyperlink>
      <w:r w:rsidR="00203F72" w:rsidRPr="006E4258">
        <w:t>條所定情事始得提出者，自不包括在該項預算總額之內。」</w:t>
      </w:r>
      <w:r w:rsidR="00E91F89">
        <w:rPr>
          <w:rFonts w:hint="eastAsia"/>
          <w:color w:val="FFFFFF" w:themeColor="background1"/>
        </w:rPr>
        <w:t>〈</w:t>
      </w:r>
      <w:r w:rsidR="0018341E" w:rsidRPr="0018341E">
        <w:rPr>
          <w:rFonts w:hint="eastAsia"/>
          <w:color w:val="FFFFFF" w:themeColor="background1"/>
        </w:rPr>
        <w:t>@</w:t>
      </w:r>
      <w:r w:rsidR="00E91F89">
        <w:rPr>
          <w:rFonts w:hint="eastAsia"/>
          <w:color w:val="FFFFFF" w:themeColor="background1"/>
        </w:rPr>
        <w:t>〉</w:t>
      </w:r>
    </w:p>
    <w:p w14:paraId="3633DB4E" w14:textId="77777777" w:rsidR="00953151" w:rsidRPr="006E4258" w:rsidRDefault="00800CD7" w:rsidP="00D87D91">
      <w:r w:rsidRPr="006E4258">
        <w:t xml:space="preserve">　　</w:t>
      </w:r>
      <w:r w:rsidR="00203F72" w:rsidRPr="006E4258">
        <w:t>依中華民國八十七年十月二十九日總統令修正公布之</w:t>
      </w:r>
      <w:r w:rsidR="00203F72" w:rsidRPr="001F5816">
        <w:rPr>
          <w:b/>
          <w:color w:val="FF0000"/>
        </w:rPr>
        <w:t>預演算法</w:t>
      </w:r>
      <w:r w:rsidR="006E4258" w:rsidRPr="006E4258">
        <w:t>第</w:t>
      </w:r>
      <w:hyperlink r:id="rId1379" w:anchor="a76" w:history="1">
        <w:r w:rsidR="006E4258" w:rsidRPr="006E4258">
          <w:rPr>
            <w:rStyle w:val="a5"/>
          </w:rPr>
          <w:t>七十九</w:t>
        </w:r>
      </w:hyperlink>
      <w:r w:rsidR="006E4258" w:rsidRPr="006E4258">
        <w:t>條</w:t>
      </w:r>
      <w:r w:rsidR="00203F72" w:rsidRPr="006E4258">
        <w:t>之規定，各機關因左列情形之一，得請求提出追加歲出預算：一、依法律增加業務或事業致增加經費時。二、依法律增設新機關時。三、所辦事業因重大事故經費超過法定預算時。四、依有關法律應補列追加預算者。</w:t>
      </w:r>
    </w:p>
    <w:p w14:paraId="7E711619" w14:textId="77777777" w:rsidR="00953151" w:rsidRPr="006E4258" w:rsidRDefault="00800CD7" w:rsidP="00D87D91">
      <w:r w:rsidRPr="006E4258">
        <w:t xml:space="preserve">　　</w:t>
      </w:r>
      <w:r w:rsidR="00203F72" w:rsidRPr="006E4258">
        <w:t>為因應國家統一前之需要，依照憲法</w:t>
      </w:r>
      <w:r w:rsidR="00541C0B" w:rsidRPr="006E4258">
        <w:t>第</w:t>
      </w:r>
      <w:hyperlink r:id="rId1380" w:anchor="a27" w:history="1">
        <w:r w:rsidR="00541C0B" w:rsidRPr="006E4258">
          <w:rPr>
            <w:rStyle w:val="a5"/>
          </w:rPr>
          <w:t>二十七</w:t>
        </w:r>
      </w:hyperlink>
      <w:r w:rsidR="00541C0B" w:rsidRPr="006E4258">
        <w:t>條</w:t>
      </w:r>
      <w:r w:rsidR="00203F72" w:rsidRPr="006E4258">
        <w:t>第一項第三款及</w:t>
      </w:r>
      <w:r w:rsidR="00541C0B" w:rsidRPr="006E4258">
        <w:t>第</w:t>
      </w:r>
      <w:hyperlink r:id="rId1381" w:anchor="a174" w:history="1">
        <w:r w:rsidR="00541C0B" w:rsidRPr="006E4258">
          <w:rPr>
            <w:rStyle w:val="a5"/>
          </w:rPr>
          <w:t>一百七十四</w:t>
        </w:r>
      </w:hyperlink>
      <w:r w:rsidR="00541C0B" w:rsidRPr="006E4258">
        <w:t>條</w:t>
      </w:r>
      <w:r w:rsidR="00203F72" w:rsidRPr="006E4258">
        <w:t>第一款之規定，增修憲法條文。依增修條</w:t>
      </w:r>
      <w:r w:rsidR="00E16174" w:rsidRPr="006E4258">
        <w:t>文</w:t>
      </w:r>
      <w:hyperlink r:id="rId1382" w:anchor="b10" w:history="1">
        <w:r w:rsidR="00E16174" w:rsidRPr="006E4258">
          <w:rPr>
            <w:rStyle w:val="a5"/>
          </w:rPr>
          <w:t>第10條</w:t>
        </w:r>
      </w:hyperlink>
      <w:r w:rsidR="00203F72" w:rsidRPr="006E4258">
        <w:t>之規定，教育、科學、文化之經費，尤其國民教育之經費應優先編列，不受憲法</w:t>
      </w:r>
      <w:r w:rsidR="0025067A" w:rsidRPr="00E16174">
        <w:t>第</w:t>
      </w:r>
      <w:hyperlink r:id="rId1383" w:anchor="a164" w:history="1">
        <w:r w:rsidR="0025067A" w:rsidRPr="0025067A">
          <w:rPr>
            <w:rStyle w:val="a5"/>
            <w:rFonts w:ascii="Times New Roman" w:eastAsia="新細明體" w:hAnsi="Times New Roman"/>
          </w:rPr>
          <w:t>一百六十四</w:t>
        </w:r>
      </w:hyperlink>
      <w:r w:rsidR="0025067A" w:rsidRPr="00E16174">
        <w:t>條</w:t>
      </w:r>
      <w:r w:rsidR="00203F72" w:rsidRPr="006E4258">
        <w:t>之規定之限制。</w:t>
      </w:r>
    </w:p>
    <w:p w14:paraId="5369CA52" w14:textId="77777777" w:rsidR="00953151" w:rsidRDefault="00076467" w:rsidP="00767F37">
      <w:pPr>
        <w:pStyle w:val="2"/>
      </w:pPr>
      <w:hyperlink r:id="rId1384" w:anchor="a165" w:history="1">
        <w:r w:rsidR="005D5A46">
          <w:rPr>
            <w:rStyle w:val="a5"/>
            <w:rFonts w:ascii="Arial Unicode MS" w:hAnsi="Arial Unicode MS"/>
          </w:rPr>
          <w:t>第</w:t>
        </w:r>
        <w:r w:rsidR="00203F72" w:rsidRPr="00AB0A74">
          <w:rPr>
            <w:rStyle w:val="a5"/>
            <w:rFonts w:ascii="Arial Unicode MS" w:hAnsi="Arial Unicode MS"/>
          </w:rPr>
          <w:t>165</w:t>
        </w:r>
        <w:r w:rsidR="005D5A46">
          <w:rPr>
            <w:rStyle w:val="a5"/>
            <w:rFonts w:ascii="Arial Unicode MS" w:hAnsi="Arial Unicode MS"/>
          </w:rPr>
          <w:t>條</w:t>
        </w:r>
      </w:hyperlink>
      <w:r w:rsidR="00203F72" w:rsidRPr="00A53581">
        <w:t>國家應保障教育、科學、藝術工作者之生活，並依國民經濟之進展，隨時提高其待遇。</w:t>
      </w:r>
    </w:p>
    <w:p w14:paraId="1C8394C4" w14:textId="77777777" w:rsidR="00203F72" w:rsidRPr="00E16174" w:rsidRDefault="00B03E84" w:rsidP="00D87D91">
      <w:r w:rsidRPr="00E16174">
        <w:t>【內容解析】</w:t>
      </w:r>
    </w:p>
    <w:p w14:paraId="7EEEE908" w14:textId="77777777" w:rsidR="00953151" w:rsidRPr="00E16174" w:rsidRDefault="00800CD7" w:rsidP="00D87D91">
      <w:r w:rsidRPr="00E16174">
        <w:t xml:space="preserve">　　</w:t>
      </w:r>
      <w:r w:rsidR="00203F72" w:rsidRPr="00E16174">
        <w:t>教育是百年大計，因此國家應保障教育、科學、藝術工作者之生活，或用通俗之語言是薪資之意。主要目的在避免通貨膨脹造成實質所得降低，因此依國民經濟進展程度，進行薪資待遇之調整。或者，教育、科學、藝術工作者之生活不應</w:t>
      </w:r>
      <w:r w:rsidR="00203F72" w:rsidRPr="00E16174">
        <w:t>(</w:t>
      </w:r>
      <w:r w:rsidR="00203F72" w:rsidRPr="00E16174">
        <w:t>不宜</w:t>
      </w:r>
      <w:r w:rsidR="00203F72" w:rsidRPr="00E16174">
        <w:t>)</w:t>
      </w:r>
      <w:r w:rsidR="00203F72" w:rsidRPr="00E16174">
        <w:t>低於國民平均生活水準。由於我國教育、科學、藝術工作者之平均年資與薪俸，與日本、新加坡、韓國相較，長期處於偏低之情形，導致台灣教育、科學、藝術之各式高級人才，不斷地向外流動，如何解決此一問題，亦頗值得研究。</w:t>
      </w:r>
    </w:p>
    <w:p w14:paraId="2E6EE333" w14:textId="77777777" w:rsidR="00953151" w:rsidRDefault="00076467" w:rsidP="00767F37">
      <w:pPr>
        <w:pStyle w:val="2"/>
      </w:pPr>
      <w:hyperlink r:id="rId1385" w:anchor="a166" w:history="1">
        <w:r w:rsidR="005D5A46">
          <w:rPr>
            <w:rStyle w:val="a5"/>
            <w:rFonts w:ascii="Arial Unicode MS" w:hAnsi="Arial Unicode MS"/>
          </w:rPr>
          <w:t>第</w:t>
        </w:r>
        <w:r w:rsidR="00203F72" w:rsidRPr="00AB0A74">
          <w:rPr>
            <w:rStyle w:val="a5"/>
            <w:rFonts w:ascii="Arial Unicode MS" w:hAnsi="Arial Unicode MS"/>
          </w:rPr>
          <w:t>166</w:t>
        </w:r>
        <w:r w:rsidR="005D5A46">
          <w:rPr>
            <w:rStyle w:val="a5"/>
            <w:rFonts w:ascii="Arial Unicode MS" w:hAnsi="Arial Unicode MS"/>
          </w:rPr>
          <w:t>條</w:t>
        </w:r>
      </w:hyperlink>
      <w:r w:rsidR="00203F72" w:rsidRPr="00A53581">
        <w:t>國家應獎勵科學之發明與創造，並保護有關歷史、文化、藝術之古蹟、古物。</w:t>
      </w:r>
    </w:p>
    <w:p w14:paraId="6F0EE8C7" w14:textId="77777777" w:rsidR="00953151" w:rsidRPr="00E16174" w:rsidRDefault="00B03E84" w:rsidP="00D87D91">
      <w:r w:rsidRPr="00E16174">
        <w:t>【內容解析】</w:t>
      </w:r>
    </w:p>
    <w:p w14:paraId="2A04FE8C" w14:textId="77777777" w:rsidR="00953151" w:rsidRPr="00E16174" w:rsidRDefault="00800CD7" w:rsidP="00D87D91">
      <w:r w:rsidRPr="00E16174">
        <w:t xml:space="preserve">　　</w:t>
      </w:r>
      <w:r w:rsidR="00203F72" w:rsidRPr="00E16174">
        <w:t>為維持與增進國家競爭力，國家應獎勵科學發明與創造，目的不只在改善生活，也在提升國家競爭力或強化永續性。為了保障科學發明與創造之成果，在法制方面，我國已制定：專利法、著作權法、積體電路電路佈局保護法等法律。至於保護有關歷史、文化、藝術之古蹟、古物，主要目的在重</w:t>
      </w:r>
      <w:r w:rsidR="003E240E">
        <w:t>視</w:t>
      </w:r>
      <w:r w:rsidR="00203F72" w:rsidRPr="00E16174">
        <w:t>歷史文化與藝術之保護，具體作為則展現在古蹟與古物文物之重</w:t>
      </w:r>
      <w:r w:rsidR="003E240E">
        <w:t>視</w:t>
      </w:r>
      <w:r w:rsidR="00203F72" w:rsidRPr="00E16174">
        <w:t>。</w:t>
      </w:r>
    </w:p>
    <w:p w14:paraId="1CA61C33" w14:textId="77777777" w:rsidR="00203F72" w:rsidRPr="00367D0C" w:rsidRDefault="00076467" w:rsidP="00767F37">
      <w:pPr>
        <w:pStyle w:val="2"/>
      </w:pPr>
      <w:hyperlink r:id="rId1386" w:anchor="a167" w:history="1">
        <w:r w:rsidR="005D5A46">
          <w:rPr>
            <w:rStyle w:val="a5"/>
            <w:rFonts w:ascii="Arial Unicode MS" w:hAnsi="Arial Unicode MS"/>
          </w:rPr>
          <w:t>第</w:t>
        </w:r>
        <w:r w:rsidR="00203F72" w:rsidRPr="00AB0A74">
          <w:rPr>
            <w:rStyle w:val="a5"/>
            <w:rFonts w:ascii="Arial Unicode MS" w:hAnsi="Arial Unicode MS"/>
          </w:rPr>
          <w:t>167</w:t>
        </w:r>
        <w:r w:rsidR="005D5A46">
          <w:rPr>
            <w:rStyle w:val="a5"/>
            <w:rFonts w:ascii="Arial Unicode MS" w:hAnsi="Arial Unicode MS"/>
          </w:rPr>
          <w:t>條</w:t>
        </w:r>
      </w:hyperlink>
      <w:r w:rsidR="00203F72" w:rsidRPr="00367D0C">
        <w:t>國家對於左列事業或個人，予以獎勵或補助：</w:t>
      </w:r>
    </w:p>
    <w:p w14:paraId="2B94941D" w14:textId="77777777" w:rsidR="00203F72" w:rsidRPr="00E16174" w:rsidRDefault="00800CD7" w:rsidP="00D87D91">
      <w:r w:rsidRPr="00E16174">
        <w:t xml:space="preserve">　　</w:t>
      </w:r>
      <w:r w:rsidR="00203F72" w:rsidRPr="00E16174">
        <w:t>一</w:t>
      </w:r>
      <w:r w:rsidR="00367D0C" w:rsidRPr="00E16174">
        <w:t>、</w:t>
      </w:r>
      <w:r w:rsidR="00203F72" w:rsidRPr="00E16174">
        <w:t>國內私人經營之教育事業成績優良者。</w:t>
      </w:r>
    </w:p>
    <w:p w14:paraId="7E02F03A" w14:textId="77777777" w:rsidR="00203F72" w:rsidRPr="00E16174" w:rsidRDefault="00800CD7" w:rsidP="00D87D91">
      <w:r w:rsidRPr="00E16174">
        <w:t xml:space="preserve">　　</w:t>
      </w:r>
      <w:r w:rsidR="00203F72" w:rsidRPr="00E16174">
        <w:t>二</w:t>
      </w:r>
      <w:r w:rsidR="00367D0C" w:rsidRPr="00E16174">
        <w:t>、</w:t>
      </w:r>
      <w:r w:rsidR="00203F72" w:rsidRPr="00E16174">
        <w:t>僑居國外國民之教育事業成績優良者。</w:t>
      </w:r>
    </w:p>
    <w:p w14:paraId="51C6DD27" w14:textId="77777777" w:rsidR="00203F72" w:rsidRPr="00E16174" w:rsidRDefault="00800CD7" w:rsidP="00D87D91">
      <w:r w:rsidRPr="00E16174">
        <w:t xml:space="preserve">　　</w:t>
      </w:r>
      <w:r w:rsidR="00203F72" w:rsidRPr="00E16174">
        <w:t>三</w:t>
      </w:r>
      <w:r w:rsidR="00367D0C" w:rsidRPr="00E16174">
        <w:t>、</w:t>
      </w:r>
      <w:r w:rsidR="00203F72" w:rsidRPr="00E16174">
        <w:t>於學術或技術有發明者。</w:t>
      </w:r>
    </w:p>
    <w:p w14:paraId="551EF337" w14:textId="77777777" w:rsidR="00953151" w:rsidRPr="00E16174" w:rsidRDefault="00800CD7" w:rsidP="00D87D91">
      <w:r w:rsidRPr="00E16174">
        <w:t xml:space="preserve">　　</w:t>
      </w:r>
      <w:r w:rsidR="00203F72" w:rsidRPr="00E16174">
        <w:t>四</w:t>
      </w:r>
      <w:r w:rsidR="00367D0C" w:rsidRPr="00E16174">
        <w:t>、</w:t>
      </w:r>
      <w:r w:rsidR="00203F72" w:rsidRPr="00E16174">
        <w:t>從事教育久於其職而成績優良者。</w:t>
      </w:r>
    </w:p>
    <w:p w14:paraId="1F655ADA" w14:textId="77777777" w:rsidR="00953151" w:rsidRPr="00E16174" w:rsidRDefault="00B03E84" w:rsidP="00D87D91">
      <w:r w:rsidRPr="00E16174">
        <w:t>【內容解析】</w:t>
      </w:r>
    </w:p>
    <w:p w14:paraId="0E5B16D2" w14:textId="77777777" w:rsidR="00953151" w:rsidRPr="00E16174" w:rsidRDefault="00367D0C" w:rsidP="00D87D91">
      <w:r w:rsidRPr="00E16174">
        <w:t xml:space="preserve">　　</w:t>
      </w:r>
      <w:r w:rsidR="00203F72" w:rsidRPr="00E16174">
        <w:t>為鼓勵私人從事教育事業經營，對於成績優良之私人教育機構或久任之個人，應給予肯定與獎勵，以維教育文化之永續發展。例如，臺南市訂有「臺南市獎勵私人興學自治條例」，依該條例第二條之規定，「臺南市政府為鼓勵私人興學，有效運用教育資源，導向教育多元化發展。提供家長多元選擇，促進學生自我實現，保障學生教育基本權利，特制定本自治條例。」</w:t>
      </w:r>
      <w:r w:rsidR="00203F72" w:rsidRPr="00E16174">
        <w:footnoteReference w:id="124"/>
      </w:r>
    </w:p>
    <w:p w14:paraId="57871D8D" w14:textId="77777777" w:rsidR="00203F72" w:rsidRPr="00A53581" w:rsidRDefault="005D5A46" w:rsidP="00767F37">
      <w:pPr>
        <w:pStyle w:val="2"/>
      </w:pPr>
      <w:r>
        <w:t>第</w:t>
      </w:r>
      <w:r w:rsidR="00203F72" w:rsidRPr="00A53581">
        <w:t>六</w:t>
      </w:r>
      <w:r w:rsidR="003D02B1">
        <w:t>節</w:t>
      </w:r>
      <w:r w:rsidR="00203F72" w:rsidRPr="00A53581">
        <w:t xml:space="preserve"> </w:t>
      </w:r>
      <w:r w:rsidR="00203F72" w:rsidRPr="00A53581">
        <w:t>邊疆地區</w:t>
      </w:r>
    </w:p>
    <w:p w14:paraId="75858AF4" w14:textId="77777777" w:rsidR="00953151" w:rsidRDefault="00076467" w:rsidP="00767F37">
      <w:pPr>
        <w:pStyle w:val="2"/>
      </w:pPr>
      <w:hyperlink r:id="rId1387" w:anchor="a168" w:history="1">
        <w:r w:rsidR="005D5A46">
          <w:rPr>
            <w:rStyle w:val="a5"/>
            <w:rFonts w:ascii="Arial Unicode MS" w:hAnsi="Arial Unicode MS"/>
          </w:rPr>
          <w:t>第</w:t>
        </w:r>
        <w:r w:rsidR="00203F72" w:rsidRPr="00AB0A74">
          <w:rPr>
            <w:rStyle w:val="a5"/>
            <w:rFonts w:ascii="Arial Unicode MS" w:hAnsi="Arial Unicode MS"/>
          </w:rPr>
          <w:t>168</w:t>
        </w:r>
        <w:r w:rsidR="005D5A46">
          <w:rPr>
            <w:rStyle w:val="a5"/>
            <w:rFonts w:ascii="Arial Unicode MS" w:hAnsi="Arial Unicode MS"/>
          </w:rPr>
          <w:t>條</w:t>
        </w:r>
      </w:hyperlink>
      <w:r w:rsidR="00203F72" w:rsidRPr="00A53581">
        <w:t>國家對於邊疆地區各民族之地位，應予以合法之保障，並於其地方自治事業，特別予以扶植。</w:t>
      </w:r>
    </w:p>
    <w:p w14:paraId="1F309F97" w14:textId="77777777" w:rsidR="00953151" w:rsidRPr="00E16174" w:rsidRDefault="00B03E84" w:rsidP="00D87D91">
      <w:r w:rsidRPr="00E16174">
        <w:t>【內容解析】</w:t>
      </w:r>
    </w:p>
    <w:p w14:paraId="27671B87" w14:textId="77777777" w:rsidR="00953151" w:rsidRDefault="00367D0C" w:rsidP="00D87D91">
      <w:r w:rsidRPr="00E16174">
        <w:t xml:space="preserve">　　</w:t>
      </w:r>
      <w:r w:rsidR="00203F72" w:rsidRPr="00E16174">
        <w:t>對於邊疆地區民族，因為比較弱勢，需要特別保障或保護，理由在於各種資源或人才不足，導致發展之遲滯，甚至造成邊疆或少數民族，因此應給予合法保障之地位。關於保護或保障原住民族或少數族裔，這是世界趨勢。而地方自治事業，主要在維繫邊疆地區</w:t>
      </w:r>
      <w:r w:rsidR="00203F72" w:rsidRPr="00A53581">
        <w:t>民族之永續發展，因此有必要透過各種方式，特別予以扶植。</w:t>
      </w:r>
    </w:p>
    <w:p w14:paraId="3997E24F" w14:textId="77777777" w:rsidR="00953151" w:rsidRDefault="00076467" w:rsidP="00767F37">
      <w:pPr>
        <w:pStyle w:val="2"/>
      </w:pPr>
      <w:hyperlink r:id="rId1388" w:anchor="a169" w:history="1">
        <w:r w:rsidR="005D5A46">
          <w:rPr>
            <w:rStyle w:val="a5"/>
            <w:rFonts w:ascii="Arial Unicode MS" w:hAnsi="Arial Unicode MS"/>
          </w:rPr>
          <w:t>第</w:t>
        </w:r>
        <w:r w:rsidR="00203F72" w:rsidRPr="00AB0A74">
          <w:rPr>
            <w:rStyle w:val="a5"/>
            <w:rFonts w:ascii="Arial Unicode MS" w:hAnsi="Arial Unicode MS"/>
          </w:rPr>
          <w:t>169</w:t>
        </w:r>
        <w:r w:rsidR="005D5A46">
          <w:rPr>
            <w:rStyle w:val="a5"/>
            <w:rFonts w:ascii="Arial Unicode MS" w:hAnsi="Arial Unicode MS"/>
          </w:rPr>
          <w:t>條</w:t>
        </w:r>
      </w:hyperlink>
      <w:r w:rsidR="00203F72" w:rsidRPr="00A53581">
        <w:t>國家對於邊疆地區各民族之教育、文化、交通、水利、衛生及其他經濟、社會事業，應積極舉辦，並扶助其發展，對於土地使用，應依其氣候、土壤性質，及人民生活習慣之所宜，予以保障及發展。</w:t>
      </w:r>
    </w:p>
    <w:p w14:paraId="12D1C97E" w14:textId="77777777" w:rsidR="00203F72" w:rsidRPr="00E16174" w:rsidRDefault="00B03E84" w:rsidP="00D87D91">
      <w:r w:rsidRPr="00E16174">
        <w:t>【內容解析】</w:t>
      </w:r>
    </w:p>
    <w:p w14:paraId="152BA39E" w14:textId="77777777" w:rsidR="00953151" w:rsidRPr="00E16174" w:rsidRDefault="00367D0C" w:rsidP="00D87D91">
      <w:r w:rsidRPr="00E16174">
        <w:t xml:space="preserve">　　</w:t>
      </w:r>
      <w:r w:rsidR="00203F72" w:rsidRPr="00E16174">
        <w:t>邊疆地區各民族因缺乏資源，因此有賴國家提供更多之保護措施。其內容應包括教育、文化、交通、水利、衛生及其它經濟、社會事業；在土地利用上，亦應依其氣候、土壤性質，及人民生活習慣所宜，進行思考。不過，因為邊疆民族文化比較弱勢，容易遭受強勢文化之侵略或影響。因此，我國已通過及施行「原住民保護法」與原住民族工作權保障法，均在保護原住民之永續存在。另外，從文化保障或保護進行相關項目之規劃，可有比較完整之保障與發展。</w:t>
      </w:r>
    </w:p>
    <w:p w14:paraId="4630AAC2" w14:textId="77777777" w:rsidR="00545D58" w:rsidRDefault="00545D58" w:rsidP="00D53F68">
      <w:pPr>
        <w:jc w:val="right"/>
        <w:rPr>
          <w:rFonts w:ascii="新細明體" w:hAnsi="新細明體"/>
        </w:rPr>
      </w:pPr>
      <w:r w:rsidRPr="0026266A">
        <w:rPr>
          <w:rFonts w:hint="eastAsia"/>
        </w:rPr>
        <w:t>。。。。。。。。。。。。。。。。。。。。。。。。。</w:t>
      </w:r>
      <w:hyperlink w:anchor="a目次" w:history="1">
        <w:r>
          <w:rPr>
            <w:rStyle w:val="a5"/>
            <w:sz w:val="18"/>
          </w:rPr>
          <w:t>回目次</w:t>
        </w:r>
      </w:hyperlink>
      <w:r w:rsidR="00E91F89">
        <w:rPr>
          <w:rFonts w:ascii="新細明體" w:hAnsi="新細明體"/>
          <w:color w:val="808000"/>
        </w:rPr>
        <w:t>〉〉</w:t>
      </w:r>
    </w:p>
    <w:p w14:paraId="54139D75" w14:textId="77777777" w:rsidR="00545D58" w:rsidRDefault="00545D58" w:rsidP="00D87D91"/>
    <w:p w14:paraId="0F8C6833" w14:textId="77777777" w:rsidR="00953151" w:rsidRDefault="00203F72" w:rsidP="00767F37">
      <w:pPr>
        <w:pStyle w:val="2"/>
      </w:pPr>
      <w:bookmarkStart w:id="41" w:name="_第十四章_憲法之施行及修改"/>
      <w:bookmarkEnd w:id="41"/>
      <w:r w:rsidRPr="00A53581">
        <w:t>第十四章</w:t>
      </w:r>
      <w:r w:rsidRPr="00A53581">
        <w:t xml:space="preserve"> </w:t>
      </w:r>
      <w:r w:rsidRPr="00A53581">
        <w:t>憲法之施行及修改</w:t>
      </w:r>
      <w:r w:rsidRPr="00A53581">
        <w:t xml:space="preserve"> </w:t>
      </w:r>
    </w:p>
    <w:p w14:paraId="18862613" w14:textId="77777777" w:rsidR="00953151" w:rsidRDefault="00076467" w:rsidP="00767F37">
      <w:pPr>
        <w:pStyle w:val="2"/>
      </w:pPr>
      <w:hyperlink r:id="rId1389" w:anchor="a170" w:history="1">
        <w:r w:rsidR="005D5A46">
          <w:rPr>
            <w:rStyle w:val="a5"/>
            <w:rFonts w:ascii="Arial Unicode MS" w:hAnsi="Arial Unicode MS"/>
          </w:rPr>
          <w:t>第</w:t>
        </w:r>
        <w:r w:rsidR="00203F72" w:rsidRPr="00AB0A74">
          <w:rPr>
            <w:rStyle w:val="a5"/>
            <w:rFonts w:ascii="Arial Unicode MS" w:hAnsi="Arial Unicode MS"/>
          </w:rPr>
          <w:t>170</w:t>
        </w:r>
        <w:r w:rsidR="005D5A46">
          <w:rPr>
            <w:rStyle w:val="a5"/>
            <w:rFonts w:ascii="Arial Unicode MS" w:hAnsi="Arial Unicode MS"/>
          </w:rPr>
          <w:t>條</w:t>
        </w:r>
      </w:hyperlink>
      <w:r w:rsidR="00203F72" w:rsidRPr="00A53581">
        <w:t>本憲法所稱之法律，謂經立法院通過，總統公布之法律。</w:t>
      </w:r>
    </w:p>
    <w:p w14:paraId="6D6F6D8F" w14:textId="77777777" w:rsidR="00953151" w:rsidRPr="00E16174" w:rsidRDefault="00B03E84" w:rsidP="00D87D91">
      <w:r w:rsidRPr="00E16174">
        <w:t>【內容解析】</w:t>
      </w:r>
    </w:p>
    <w:p w14:paraId="66CAEBCD" w14:textId="77777777" w:rsidR="00953151" w:rsidRPr="00E16174" w:rsidRDefault="00367D0C" w:rsidP="00D87D91">
      <w:r w:rsidRPr="00E16174">
        <w:t xml:space="preserve">　　</w:t>
      </w:r>
      <w:r w:rsidR="00203F72" w:rsidRPr="00E16174">
        <w:t>法律生效與否，有一定之程序，行政命令屬於行政機關依其職權或法律之授權所發布。憲法內容所載之法律，因具有全國一致性，而立法院為國家之立法機關，因此憲法所稱之法律，包括制定與修正，均應經過立法機關（即立法院）通過，以及須踐行總統公布之過程或程序，該法律始算完備，亦始具有效力。</w:t>
      </w:r>
    </w:p>
    <w:p w14:paraId="11C50432" w14:textId="77777777" w:rsidR="00203F72" w:rsidRPr="00A53581" w:rsidRDefault="00076467" w:rsidP="00767F37">
      <w:pPr>
        <w:pStyle w:val="2"/>
      </w:pPr>
      <w:hyperlink r:id="rId1390" w:anchor="a171" w:history="1">
        <w:r w:rsidR="005D5A46">
          <w:rPr>
            <w:rStyle w:val="a5"/>
            <w:rFonts w:ascii="Arial Unicode MS" w:hAnsi="Arial Unicode MS"/>
          </w:rPr>
          <w:t>第</w:t>
        </w:r>
        <w:r w:rsidR="00203F72" w:rsidRPr="00AB0A74">
          <w:rPr>
            <w:rStyle w:val="a5"/>
            <w:rFonts w:ascii="Arial Unicode MS" w:hAnsi="Arial Unicode MS"/>
          </w:rPr>
          <w:t>171</w:t>
        </w:r>
        <w:r w:rsidR="005D5A46">
          <w:rPr>
            <w:rStyle w:val="a5"/>
            <w:rFonts w:ascii="Arial Unicode MS" w:hAnsi="Arial Unicode MS"/>
          </w:rPr>
          <w:t>條</w:t>
        </w:r>
      </w:hyperlink>
      <w:r w:rsidR="00203F72" w:rsidRPr="00A53581">
        <w:t>法律與憲法牴觸者無效。</w:t>
      </w:r>
    </w:p>
    <w:p w14:paraId="4E3EBB25" w14:textId="77777777" w:rsidR="00953151" w:rsidRPr="00E16174" w:rsidRDefault="00367D0C" w:rsidP="00D87D91">
      <w:r w:rsidRPr="00E16174">
        <w:t xml:space="preserve">　　</w:t>
      </w:r>
      <w:r w:rsidR="00203F72" w:rsidRPr="00E16174">
        <w:t>法律與憲法有無牴觸發生疑義時，由司法院解釋之。</w:t>
      </w:r>
    </w:p>
    <w:p w14:paraId="579E5122" w14:textId="77777777" w:rsidR="00953151" w:rsidRPr="00E16174" w:rsidRDefault="00B03E84" w:rsidP="00D87D91">
      <w:r w:rsidRPr="00E16174">
        <w:t>【內容解析】</w:t>
      </w:r>
    </w:p>
    <w:p w14:paraId="6F9B6542" w14:textId="77777777" w:rsidR="00953151" w:rsidRPr="00E16174" w:rsidRDefault="00367D0C" w:rsidP="00D87D91">
      <w:r w:rsidRPr="00E16174">
        <w:t xml:space="preserve">　　</w:t>
      </w:r>
      <w:r w:rsidR="00203F72" w:rsidRPr="00E16174">
        <w:t>憲法是國家根法大法，法律位階最高，因此法律與憲法，若發生牴觸，則沒有任何效力。唯若法律與憲法發生牴觸疑義時，則由司法院大法官進行解釋。司法院釋字</w:t>
      </w:r>
      <w:hyperlink r:id="rId1391" w:anchor="r193" w:history="1">
        <w:r w:rsidR="00203F72" w:rsidRPr="00673964">
          <w:rPr>
            <w:rStyle w:val="a5"/>
            <w:rFonts w:ascii="Times New Roman" w:eastAsia="新細明體" w:hAnsi="Times New Roman"/>
          </w:rPr>
          <w:t>第</w:t>
        </w:r>
        <w:r w:rsidR="00203F72" w:rsidRPr="00673964">
          <w:rPr>
            <w:rStyle w:val="a5"/>
            <w:rFonts w:ascii="Times New Roman" w:eastAsia="新細明體" w:hAnsi="Times New Roman"/>
          </w:rPr>
          <w:t>193</w:t>
        </w:r>
        <w:r w:rsidR="00203F72" w:rsidRPr="00673964">
          <w:rPr>
            <w:rStyle w:val="a5"/>
            <w:rFonts w:ascii="Times New Roman" w:eastAsia="新細明體" w:hAnsi="Times New Roman"/>
          </w:rPr>
          <w:t>號</w:t>
        </w:r>
      </w:hyperlink>
      <w:r w:rsidR="00203F72" w:rsidRPr="00E16174">
        <w:t>文指出，「按依憲法第</w:t>
      </w:r>
      <w:hyperlink r:id="rId1392" w:anchor="a171" w:history="1">
        <w:r w:rsidR="00203F72" w:rsidRPr="00673964">
          <w:rPr>
            <w:rStyle w:val="a5"/>
            <w:rFonts w:ascii="Times New Roman" w:eastAsia="新細明體" w:hAnsi="Times New Roman"/>
          </w:rPr>
          <w:t>一百七十一</w:t>
        </w:r>
      </w:hyperlink>
      <w:r w:rsidR="00203F72" w:rsidRPr="00E16174">
        <w:t>條第二項及第</w:t>
      </w:r>
      <w:hyperlink r:id="rId1393" w:anchor="a172" w:history="1">
        <w:r w:rsidR="00203F72" w:rsidRPr="00673964">
          <w:rPr>
            <w:rStyle w:val="a5"/>
            <w:rFonts w:ascii="Times New Roman" w:eastAsia="新細明體" w:hAnsi="Times New Roman"/>
          </w:rPr>
          <w:t>一百七十二</w:t>
        </w:r>
      </w:hyperlink>
      <w:r w:rsidR="00203F72" w:rsidRPr="00E16174">
        <w:t>條之規定，法律與憲法牴觸者無效，命令與憲法或法律牴觸者無效，乃指法律之內容與憲法牴觸，命令之內容與憲法或法律牴觸者而言。確定終局裁判所適用之法律或命令，具有上述情事者，即屬適用法規錯誤或審判違背法令，如發生牴觸憲法之疑義，經人民聲請司法院解釋，認與憲法意旨不符，其受不利裁判者，得於解釋公布後，依法定程序請求救濟，此已經司法院釋字第</w:t>
      </w:r>
      <w:hyperlink r:id="rId1394" w:anchor="r177" w:history="1">
        <w:r w:rsidR="00203F72" w:rsidRPr="00673964">
          <w:rPr>
            <w:rStyle w:val="a5"/>
            <w:rFonts w:ascii="Times New Roman" w:eastAsia="新細明體" w:hAnsi="Times New Roman"/>
          </w:rPr>
          <w:t>一七七</w:t>
        </w:r>
      </w:hyperlink>
      <w:r w:rsidR="00203F72" w:rsidRPr="00E16174">
        <w:t>號及第</w:t>
      </w:r>
      <w:hyperlink r:id="rId1395" w:anchor="r185" w:history="1">
        <w:r w:rsidR="00203F72" w:rsidRPr="00673964">
          <w:rPr>
            <w:rStyle w:val="a5"/>
            <w:rFonts w:ascii="Times New Roman" w:eastAsia="新細明體" w:hAnsi="Times New Roman"/>
          </w:rPr>
          <w:t>一八五</w:t>
        </w:r>
      </w:hyperlink>
      <w:r w:rsidR="00203F72" w:rsidRPr="00E16174">
        <w:t>號解釋在案。</w:t>
      </w:r>
      <w:r w:rsidR="00203F72" w:rsidRPr="00E16174">
        <w:footnoteReference w:id="125"/>
      </w:r>
      <w:r w:rsidR="00203F72" w:rsidRPr="00E16174">
        <w:t>」</w:t>
      </w:r>
    </w:p>
    <w:p w14:paraId="37888200" w14:textId="77777777" w:rsidR="00953151" w:rsidRDefault="00076467" w:rsidP="00767F37">
      <w:pPr>
        <w:pStyle w:val="2"/>
      </w:pPr>
      <w:hyperlink r:id="rId1396" w:anchor="a172" w:history="1">
        <w:r w:rsidR="005D5A46">
          <w:rPr>
            <w:rStyle w:val="a5"/>
            <w:rFonts w:ascii="Arial Unicode MS" w:hAnsi="Arial Unicode MS"/>
          </w:rPr>
          <w:t>第</w:t>
        </w:r>
        <w:r w:rsidR="00203F72" w:rsidRPr="00AB0A74">
          <w:rPr>
            <w:rStyle w:val="a5"/>
            <w:rFonts w:ascii="Arial Unicode MS" w:hAnsi="Arial Unicode MS"/>
          </w:rPr>
          <w:t>172</w:t>
        </w:r>
        <w:r w:rsidR="005D5A46">
          <w:rPr>
            <w:rStyle w:val="a5"/>
            <w:rFonts w:ascii="Arial Unicode MS" w:hAnsi="Arial Unicode MS"/>
          </w:rPr>
          <w:t>條</w:t>
        </w:r>
      </w:hyperlink>
      <w:r w:rsidR="00203F72" w:rsidRPr="00A53581">
        <w:t>命令與憲法或法律牴觸者無效。</w:t>
      </w:r>
    </w:p>
    <w:p w14:paraId="0AEFF892" w14:textId="77777777" w:rsidR="00953151" w:rsidRPr="00E16174" w:rsidRDefault="00B03E84" w:rsidP="00D87D91">
      <w:r w:rsidRPr="00E16174">
        <w:t>【內容解析】</w:t>
      </w:r>
    </w:p>
    <w:p w14:paraId="331F9FDA" w14:textId="77777777" w:rsidR="00953151" w:rsidRPr="00E16174" w:rsidRDefault="00367D0C" w:rsidP="00D87D91">
      <w:r w:rsidRPr="00E16174">
        <w:t xml:space="preserve">　　</w:t>
      </w:r>
      <w:r w:rsidR="00203F72" w:rsidRPr="00E16174">
        <w:t>在法律架構上，依據法律優位之法理，憲法之位階最高，法律次之，（行政）命令之位階最低。換言之，任何命令不能牴觸憲法或法律，或若一旦牴觸，該命令無效。本條法規之目的，在限制行政命令之濫用，特別是違憲或違反法律之命令，不具有法律效力。</w:t>
      </w:r>
    </w:p>
    <w:p w14:paraId="5F444B7B" w14:textId="77777777" w:rsidR="00953151" w:rsidRDefault="00076467" w:rsidP="00767F37">
      <w:pPr>
        <w:pStyle w:val="2"/>
      </w:pPr>
      <w:hyperlink r:id="rId1397" w:anchor="a173" w:history="1">
        <w:r w:rsidR="005D5A46">
          <w:rPr>
            <w:rStyle w:val="a5"/>
            <w:rFonts w:ascii="Arial Unicode MS" w:hAnsi="Arial Unicode MS"/>
          </w:rPr>
          <w:t>第</w:t>
        </w:r>
        <w:r w:rsidR="00203F72" w:rsidRPr="00AB0A74">
          <w:rPr>
            <w:rStyle w:val="a5"/>
            <w:rFonts w:ascii="Arial Unicode MS" w:hAnsi="Arial Unicode MS"/>
          </w:rPr>
          <w:t>173</w:t>
        </w:r>
        <w:r w:rsidR="005D5A46">
          <w:rPr>
            <w:rStyle w:val="a5"/>
            <w:rFonts w:ascii="Arial Unicode MS" w:hAnsi="Arial Unicode MS"/>
          </w:rPr>
          <w:t>條</w:t>
        </w:r>
      </w:hyperlink>
      <w:r w:rsidR="00203F72" w:rsidRPr="00A53581">
        <w:t>憲法之解釋，由司法院為之。</w:t>
      </w:r>
    </w:p>
    <w:p w14:paraId="5A108CFE" w14:textId="77777777" w:rsidR="00953151" w:rsidRPr="00E16174" w:rsidRDefault="00B03E84" w:rsidP="00D87D91">
      <w:r w:rsidRPr="00E16174">
        <w:t>【內容解析】</w:t>
      </w:r>
    </w:p>
    <w:p w14:paraId="47FDC7E9" w14:textId="77777777" w:rsidR="00953151" w:rsidRPr="00E16174" w:rsidRDefault="00367D0C" w:rsidP="00D87D91">
      <w:r w:rsidRPr="00E16174">
        <w:t xml:space="preserve">　　</w:t>
      </w:r>
      <w:r w:rsidR="00203F72" w:rsidRPr="00E16174">
        <w:t>憲法之解釋，係為司法院大法官之權限，司法院大法官解釋憲法之事項，包括：</w:t>
      </w:r>
      <w:r w:rsidR="00203F72" w:rsidRPr="00E16174">
        <w:t>1.</w:t>
      </w:r>
      <w:r w:rsidR="00203F72" w:rsidRPr="00E16174">
        <w:t>適用憲法發生疑義之事項；</w:t>
      </w:r>
      <w:r w:rsidR="00203F72" w:rsidRPr="00E16174">
        <w:t>2.</w:t>
      </w:r>
      <w:r w:rsidR="00203F72" w:rsidRPr="00E16174">
        <w:t>法律或命令有無牴觸憲法之事項；</w:t>
      </w:r>
      <w:r w:rsidR="00203F72" w:rsidRPr="00E16174">
        <w:t>3.</w:t>
      </w:r>
      <w:r w:rsidR="00203F72" w:rsidRPr="00E16174">
        <w:t>省自治法、縣自治法、省法規及縣法規有無牴觸憲法之事項。</w:t>
      </w:r>
    </w:p>
    <w:p w14:paraId="6DEB151A" w14:textId="77777777" w:rsidR="00953151" w:rsidRPr="00E16174" w:rsidRDefault="00367D0C" w:rsidP="00D87D91">
      <w:r w:rsidRPr="00E16174">
        <w:t xml:space="preserve">　　</w:t>
      </w:r>
      <w:r w:rsidR="00203F72" w:rsidRPr="00E16174">
        <w:t>另外，得聲請解釋憲法之機關或人及其事由，計包括，</w:t>
      </w:r>
      <w:r w:rsidR="00203F72" w:rsidRPr="00E16174">
        <w:t xml:space="preserve">1. </w:t>
      </w:r>
      <w:r w:rsidR="00203F72" w:rsidRPr="00E16174">
        <w:t>中央或地方機關，於其行使職權，適用憲法發生疑義，或因行使職權，與其他機關之職權發生適用憲法之爭議，或適用法律或命令發生有牴觸憲法之疑義者；</w:t>
      </w:r>
      <w:r w:rsidR="00203F72" w:rsidRPr="00E16174">
        <w:t xml:space="preserve">2. </w:t>
      </w:r>
      <w:r w:rsidR="00203F72" w:rsidRPr="00E16174">
        <w:t>人民、法人或政黨於其憲法上所保障之權利，遭受不法侵害，經依法定程序提起訴訟，對於確定終局裁判所適用之法律或命令發生牴觸憲法之疑義者；</w:t>
      </w:r>
      <w:r w:rsidR="00203F72" w:rsidRPr="00E16174">
        <w:t xml:space="preserve">3. </w:t>
      </w:r>
      <w:r w:rsidR="00203F72" w:rsidRPr="00E16174">
        <w:t>立法委員現有總額三分之一以上，就其行使職權，適用憲法發生疑義，或適用法律發生有牴觸憲法之疑義者；</w:t>
      </w:r>
      <w:r w:rsidR="00203F72" w:rsidRPr="00E16174">
        <w:t xml:space="preserve">4. </w:t>
      </w:r>
      <w:r w:rsidR="00203F72" w:rsidRPr="00E16174">
        <w:t>各級法院法官於審理案件時，對於應適用之法律，依其合理之確信，認為有牴觸憲法之疑義，以之為先決問題裁定停止訴訟程序，並提出客觀上形成確信法律為違憲之具體理由，提出聲請者（釋字第</w:t>
      </w:r>
      <w:hyperlink r:id="rId1398" w:anchor="r371" w:history="1">
        <w:r w:rsidR="00203F72" w:rsidRPr="00673964">
          <w:rPr>
            <w:rStyle w:val="a5"/>
            <w:rFonts w:ascii="Times New Roman" w:eastAsia="新細明體" w:hAnsi="Times New Roman"/>
          </w:rPr>
          <w:t>三七一</w:t>
        </w:r>
      </w:hyperlink>
      <w:r w:rsidR="00203F72" w:rsidRPr="00E16174">
        <w:t>號解釋）</w:t>
      </w:r>
      <w:r w:rsidR="00203F72" w:rsidRPr="00E16174">
        <w:footnoteReference w:id="126"/>
      </w:r>
      <w:r w:rsidR="00203F72" w:rsidRPr="00E16174">
        <w:t>。</w:t>
      </w:r>
    </w:p>
    <w:p w14:paraId="6E957004" w14:textId="77777777" w:rsidR="00203F72" w:rsidRPr="00A53581" w:rsidRDefault="00076467" w:rsidP="00767F37">
      <w:pPr>
        <w:pStyle w:val="2"/>
      </w:pPr>
      <w:hyperlink r:id="rId1399" w:anchor="a174" w:history="1">
        <w:r w:rsidR="005D5A46">
          <w:rPr>
            <w:rStyle w:val="a5"/>
            <w:rFonts w:ascii="Arial Unicode MS" w:hAnsi="Arial Unicode MS"/>
          </w:rPr>
          <w:t>第</w:t>
        </w:r>
        <w:r w:rsidR="00203F72" w:rsidRPr="00AB0A74">
          <w:rPr>
            <w:rStyle w:val="a5"/>
            <w:rFonts w:ascii="Arial Unicode MS" w:hAnsi="Arial Unicode MS"/>
          </w:rPr>
          <w:t>174</w:t>
        </w:r>
        <w:r w:rsidR="005D5A46">
          <w:rPr>
            <w:rStyle w:val="a5"/>
            <w:rFonts w:ascii="Arial Unicode MS" w:hAnsi="Arial Unicode MS"/>
          </w:rPr>
          <w:t>條</w:t>
        </w:r>
      </w:hyperlink>
      <w:r w:rsidR="00203F72" w:rsidRPr="00A53581">
        <w:t>憲法之修改，應依左列程序之一為之：</w:t>
      </w:r>
    </w:p>
    <w:p w14:paraId="75F7471B" w14:textId="77777777" w:rsidR="00203F72" w:rsidRPr="00E16174" w:rsidRDefault="00367D0C" w:rsidP="00D87D91">
      <w:r w:rsidRPr="00E16174">
        <w:t xml:space="preserve">　　</w:t>
      </w:r>
      <w:r w:rsidR="00203F72" w:rsidRPr="00E16174">
        <w:t>一</w:t>
      </w:r>
      <w:r w:rsidRPr="00E16174">
        <w:t>、</w:t>
      </w:r>
      <w:r w:rsidR="00203F72" w:rsidRPr="00E16174">
        <w:t>由國民大會代表總額五分之一之提議，三分之二之出席，及出席代表四分之三之決議，得修改之。</w:t>
      </w:r>
    </w:p>
    <w:p w14:paraId="2A6FC82D" w14:textId="77777777" w:rsidR="00953151" w:rsidRPr="00E16174" w:rsidRDefault="00367D0C" w:rsidP="00D87D91">
      <w:r w:rsidRPr="00E16174">
        <w:t xml:space="preserve">　　</w:t>
      </w:r>
      <w:r w:rsidR="00203F72" w:rsidRPr="00E16174">
        <w:t>二</w:t>
      </w:r>
      <w:r w:rsidRPr="00E16174">
        <w:t>、</w:t>
      </w:r>
      <w:r w:rsidR="00203F72" w:rsidRPr="00E16174">
        <w:t>由立法院立法委員四分之一之提議，四分之三之出席，及出席委員四分之三之決議，擬定憲法修正案，提請國民大會複決。此項憲法修正案，應於國民大會開會前半年公告之。</w:t>
      </w:r>
    </w:p>
    <w:p w14:paraId="1D5F3972" w14:textId="77777777" w:rsidR="00203F72" w:rsidRPr="00E16174" w:rsidRDefault="00B03E84" w:rsidP="00D87D91">
      <w:r w:rsidRPr="00E16174">
        <w:t>【內容解析】</w:t>
      </w:r>
    </w:p>
    <w:p w14:paraId="692B8EBF" w14:textId="77777777" w:rsidR="00953151" w:rsidRDefault="00367D0C" w:rsidP="00D87D91">
      <w:r w:rsidRPr="00E16174">
        <w:t xml:space="preserve">　　</w:t>
      </w:r>
      <w:r w:rsidR="00203F72" w:rsidRPr="00E16174">
        <w:t>為因應國家統一前之需要，依照憲法</w:t>
      </w:r>
      <w:r w:rsidR="00541C0B" w:rsidRPr="00E16174">
        <w:t>第</w:t>
      </w:r>
      <w:hyperlink r:id="rId1400" w:anchor="a27" w:history="1">
        <w:r w:rsidR="00541C0B" w:rsidRPr="00E16174">
          <w:rPr>
            <w:rStyle w:val="a5"/>
          </w:rPr>
          <w:t>二十七</w:t>
        </w:r>
      </w:hyperlink>
      <w:r w:rsidR="00541C0B" w:rsidRPr="00E16174">
        <w:t>條</w:t>
      </w:r>
      <w:r w:rsidR="00203F72" w:rsidRPr="00E16174">
        <w:t>第一項第三款及</w:t>
      </w:r>
      <w:r w:rsidR="00541C0B" w:rsidRPr="00E16174">
        <w:t>第</w:t>
      </w:r>
      <w:hyperlink r:id="rId1401" w:anchor="a174" w:history="1">
        <w:r w:rsidR="00541C0B" w:rsidRPr="00E16174">
          <w:rPr>
            <w:rStyle w:val="a5"/>
          </w:rPr>
          <w:t>一百七十四</w:t>
        </w:r>
      </w:hyperlink>
      <w:r w:rsidR="00541C0B" w:rsidRPr="00E16174">
        <w:t>條</w:t>
      </w:r>
      <w:r w:rsidR="00203F72" w:rsidRPr="00E16174">
        <w:t>第一款之規定，增修憲法條文。依增修條</w:t>
      </w:r>
      <w:r w:rsidR="00673964" w:rsidRPr="00A53581">
        <w:rPr>
          <w:rFonts w:ascii="新細明體" w:hAnsi="新細明體"/>
          <w:kern w:val="0"/>
        </w:rPr>
        <w:t>文</w:t>
      </w:r>
      <w:hyperlink r:id="rId1402" w:anchor="b12" w:history="1">
        <w:r w:rsidR="00673964" w:rsidRPr="001C1A86">
          <w:rPr>
            <w:rStyle w:val="a5"/>
            <w:kern w:val="0"/>
          </w:rPr>
          <w:t>第12條</w:t>
        </w:r>
      </w:hyperlink>
      <w:r w:rsidR="00203F72" w:rsidRPr="00E16174">
        <w:t>之規定，憲法之修改，須經立法院立法委員四分之一之提議，四分之三之出席，及出席委員四分之三之決議，提出憲法修正案，並於公告半年後，經中華民國自由地區選舉人投票複決，有效同意票過選舉人總額之半數，即通過之，不適用憲法</w:t>
      </w:r>
      <w:r w:rsidR="00541C0B" w:rsidRPr="00E16174">
        <w:t>第</w:t>
      </w:r>
      <w:hyperlink r:id="rId1403" w:anchor="a174" w:history="1">
        <w:r w:rsidR="00541C0B" w:rsidRPr="00E16174">
          <w:rPr>
            <w:rStyle w:val="a5"/>
          </w:rPr>
          <w:t>一百七十四</w:t>
        </w:r>
      </w:hyperlink>
      <w:r w:rsidR="00541C0B" w:rsidRPr="00E16174">
        <w:t>條</w:t>
      </w:r>
      <w:r w:rsidR="00203F72" w:rsidRPr="00E16174">
        <w:t>之規定。</w:t>
      </w:r>
    </w:p>
    <w:p w14:paraId="47102867" w14:textId="77777777" w:rsidR="00D53F68" w:rsidRPr="00E16174" w:rsidRDefault="00D53F68" w:rsidP="00D87D91"/>
    <w:p w14:paraId="51EACA4A" w14:textId="457F558B" w:rsidR="00203F72" w:rsidRPr="00E16174" w:rsidRDefault="00B03E84" w:rsidP="00D87D91">
      <w:r w:rsidRPr="00E16174">
        <w:t>【</w:t>
      </w:r>
      <w:r w:rsidRPr="00E16174">
        <w:t>table</w:t>
      </w:r>
      <w:r w:rsidR="005E23E3" w:rsidRPr="00E1617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76</w:t>
      </w:r>
      <w:r w:rsidR="00076467">
        <w:rPr>
          <w:noProof/>
        </w:rPr>
        <w:fldChar w:fldCharType="end"/>
      </w:r>
      <w:r w:rsidR="00203F72" w:rsidRPr="00E16174">
        <w:t>憲法增修條文之制定與修改演進史</w:t>
      </w:r>
    </w:p>
    <w:tbl>
      <w:tblPr>
        <w:tblW w:w="467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6379"/>
      </w:tblGrid>
      <w:tr w:rsidR="00203F72" w:rsidRPr="00A53581" w14:paraId="5E5A1BDC" w14:textId="77777777" w:rsidTr="00D53F68">
        <w:trPr>
          <w:tblHeader/>
        </w:trPr>
        <w:tc>
          <w:tcPr>
            <w:tcW w:w="5000" w:type="pct"/>
            <w:gridSpan w:val="2"/>
            <w:shd w:val="clear" w:color="auto" w:fill="FAF0FA"/>
          </w:tcPr>
          <w:p w14:paraId="375F4EAD" w14:textId="77777777" w:rsidR="00203F72" w:rsidRPr="00E16174" w:rsidRDefault="00203F72" w:rsidP="00D87D91">
            <w:pPr>
              <w:rPr>
                <w:color w:val="993366"/>
              </w:rPr>
            </w:pPr>
            <w:r w:rsidRPr="00A53581">
              <w:t>憲法增修條文時期</w:t>
            </w:r>
          </w:p>
        </w:tc>
      </w:tr>
      <w:tr w:rsidR="00203F72" w:rsidRPr="00A53581" w14:paraId="5521D8CE" w14:textId="77777777" w:rsidTr="00D53F68">
        <w:tc>
          <w:tcPr>
            <w:tcW w:w="982" w:type="pct"/>
            <w:shd w:val="clear" w:color="auto" w:fill="auto"/>
          </w:tcPr>
          <w:p w14:paraId="41EBBF08" w14:textId="77777777" w:rsidR="00203F72" w:rsidRPr="00A53581" w:rsidRDefault="00203F72" w:rsidP="00D87D91">
            <w:r w:rsidRPr="00A53581">
              <w:t>80.05.01</w:t>
            </w:r>
          </w:p>
        </w:tc>
        <w:tc>
          <w:tcPr>
            <w:tcW w:w="4018" w:type="pct"/>
            <w:shd w:val="clear" w:color="auto" w:fill="auto"/>
          </w:tcPr>
          <w:p w14:paraId="0C0C7644" w14:textId="77777777" w:rsidR="00203F72" w:rsidRPr="00A53581" w:rsidRDefault="00203F72" w:rsidP="00D87D91">
            <w:r w:rsidRPr="00A53581">
              <w:rPr>
                <w:rFonts w:hint="eastAsia"/>
              </w:rPr>
              <w:t>總統公告終止動員戡亂時期，廢止動員戡亂時期臨時條款，公布施行中華民國憲法增修條文全文</w:t>
            </w:r>
            <w:r w:rsidRPr="00A53581">
              <w:rPr>
                <w:rFonts w:hint="eastAsia"/>
              </w:rPr>
              <w:t>10</w:t>
            </w:r>
            <w:r w:rsidRPr="00A53581">
              <w:rPr>
                <w:rFonts w:hint="eastAsia"/>
              </w:rPr>
              <w:t>條。</w:t>
            </w:r>
          </w:p>
        </w:tc>
      </w:tr>
      <w:tr w:rsidR="00203F72" w:rsidRPr="00A53581" w14:paraId="777A93BB" w14:textId="77777777" w:rsidTr="00D53F68">
        <w:tc>
          <w:tcPr>
            <w:tcW w:w="982" w:type="pct"/>
            <w:shd w:val="clear" w:color="auto" w:fill="auto"/>
          </w:tcPr>
          <w:p w14:paraId="0E874954" w14:textId="77777777" w:rsidR="00203F72" w:rsidRPr="00A53581" w:rsidRDefault="00203F72" w:rsidP="00D87D91">
            <w:r w:rsidRPr="00A53581">
              <w:t>81.05.28</w:t>
            </w:r>
          </w:p>
        </w:tc>
        <w:tc>
          <w:tcPr>
            <w:tcW w:w="4018" w:type="pct"/>
            <w:shd w:val="clear" w:color="auto" w:fill="auto"/>
          </w:tcPr>
          <w:p w14:paraId="7714E3F8" w14:textId="77777777" w:rsidR="00203F72" w:rsidRPr="00A53581" w:rsidRDefault="00203F72" w:rsidP="00D87D91">
            <w:pPr>
              <w:rPr>
                <w:rFonts w:ascii="新細明體" w:hAnsi="新細明體"/>
              </w:rPr>
            </w:pPr>
            <w:r w:rsidRPr="00A53581">
              <w:rPr>
                <w:rFonts w:ascii="新細明體" w:hAnsi="新細明體" w:hint="eastAsia"/>
              </w:rPr>
              <w:t>第二屆國民大會三讀通過憲法增修條</w:t>
            </w:r>
            <w:r w:rsidR="006B7176" w:rsidRPr="00686D2C">
              <w:t>文</w:t>
            </w:r>
            <w:r w:rsidR="006B7176" w:rsidRPr="006B7176">
              <w:t>第</w:t>
            </w:r>
            <w:hyperlink r:id="rId1404" w:anchor="b11" w:history="1">
              <w:r w:rsidR="006B7176" w:rsidRPr="006B7176">
                <w:rPr>
                  <w:rStyle w:val="a5"/>
                  <w:rFonts w:ascii="Times New Roman" w:hAnsi="Times New Roman"/>
                </w:rPr>
                <w:t>十一</w:t>
              </w:r>
            </w:hyperlink>
            <w:r w:rsidR="006B7176" w:rsidRPr="006B7176">
              <w:t>條</w:t>
            </w:r>
            <w:r w:rsidRPr="00A53581">
              <w:rPr>
                <w:rFonts w:ascii="新細明體" w:hAnsi="新細明體" w:hint="eastAsia"/>
              </w:rPr>
              <w:t>至第十八條。</w:t>
            </w:r>
          </w:p>
        </w:tc>
      </w:tr>
      <w:tr w:rsidR="00203F72" w:rsidRPr="00A53581" w14:paraId="02D4C10A" w14:textId="77777777" w:rsidTr="00D53F68">
        <w:tc>
          <w:tcPr>
            <w:tcW w:w="982" w:type="pct"/>
            <w:shd w:val="clear" w:color="auto" w:fill="auto"/>
          </w:tcPr>
          <w:p w14:paraId="348269D7" w14:textId="77777777" w:rsidR="00203F72" w:rsidRPr="00A53581" w:rsidRDefault="00203F72" w:rsidP="00D87D91">
            <w:r w:rsidRPr="00A53581">
              <w:t>83.08.01</w:t>
            </w:r>
          </w:p>
        </w:tc>
        <w:tc>
          <w:tcPr>
            <w:tcW w:w="4018" w:type="pct"/>
            <w:shd w:val="clear" w:color="auto" w:fill="auto"/>
          </w:tcPr>
          <w:p w14:paraId="0A232F28" w14:textId="77777777" w:rsidR="00203F72" w:rsidRPr="00A53581" w:rsidRDefault="00203F72" w:rsidP="00142D4A">
            <w:r w:rsidRPr="00A53581">
              <w:rPr>
                <w:rFonts w:hint="eastAsia"/>
              </w:rPr>
              <w:t>第二屆國民大會第四次臨時會第三十二次大會三讀通過將原增修條</w:t>
            </w:r>
            <w:r w:rsidR="004651E8" w:rsidRPr="00A53581">
              <w:rPr>
                <w:kern w:val="0"/>
              </w:rPr>
              <w:t>文</w:t>
            </w:r>
            <w:hyperlink r:id="rId1405" w:anchor="b1" w:history="1">
              <w:r w:rsidR="004651E8" w:rsidRPr="004651E8">
                <w:rPr>
                  <w:rStyle w:val="a5"/>
                </w:rPr>
                <w:t>第一條</w:t>
              </w:r>
            </w:hyperlink>
            <w:r w:rsidRPr="00A53581">
              <w:rPr>
                <w:rFonts w:hint="eastAsia"/>
              </w:rPr>
              <w:t>至第十八條，修訂為</w:t>
            </w:r>
            <w:hyperlink r:id="rId1406" w:anchor="b1" w:history="1">
              <w:r w:rsidR="00142D4A" w:rsidRPr="004651E8">
                <w:rPr>
                  <w:rStyle w:val="a5"/>
                </w:rPr>
                <w:t>第一條</w:t>
              </w:r>
            </w:hyperlink>
            <w:r w:rsidRPr="00A53581">
              <w:rPr>
                <w:rFonts w:hint="eastAsia"/>
              </w:rPr>
              <w:t>至第十條。</w:t>
            </w:r>
          </w:p>
        </w:tc>
      </w:tr>
      <w:tr w:rsidR="00203F72" w:rsidRPr="00A53581" w14:paraId="681820E5" w14:textId="77777777" w:rsidTr="00D53F68">
        <w:tc>
          <w:tcPr>
            <w:tcW w:w="982" w:type="pct"/>
            <w:shd w:val="clear" w:color="auto" w:fill="auto"/>
          </w:tcPr>
          <w:p w14:paraId="36FE5641" w14:textId="77777777" w:rsidR="00203F72" w:rsidRPr="00A53581" w:rsidRDefault="00203F72" w:rsidP="00D87D91">
            <w:r w:rsidRPr="00A53581">
              <w:t>86.07.21</w:t>
            </w:r>
          </w:p>
        </w:tc>
        <w:tc>
          <w:tcPr>
            <w:tcW w:w="4018" w:type="pct"/>
            <w:shd w:val="clear" w:color="auto" w:fill="auto"/>
          </w:tcPr>
          <w:p w14:paraId="563FC93E" w14:textId="77777777" w:rsidR="00203F72" w:rsidRPr="00A53581" w:rsidRDefault="00203F72" w:rsidP="00142D4A">
            <w:r w:rsidRPr="00A53581">
              <w:rPr>
                <w:rFonts w:hint="eastAsia"/>
              </w:rPr>
              <w:t>第三屆國民大會第二次臨時會第三十三次大會三讀通過將原增修條</w:t>
            </w:r>
            <w:r w:rsidR="004651E8" w:rsidRPr="00A53581">
              <w:rPr>
                <w:kern w:val="0"/>
              </w:rPr>
              <w:t>文</w:t>
            </w:r>
            <w:hyperlink r:id="rId1407" w:anchor="b1" w:history="1">
              <w:r w:rsidR="004651E8" w:rsidRPr="004651E8">
                <w:rPr>
                  <w:rStyle w:val="a5"/>
                </w:rPr>
                <w:t>第一條</w:t>
              </w:r>
            </w:hyperlink>
            <w:r w:rsidRPr="00A53581">
              <w:rPr>
                <w:rFonts w:hint="eastAsia"/>
              </w:rPr>
              <w:t>至第十條訂為</w:t>
            </w:r>
            <w:hyperlink r:id="rId1408" w:anchor="b1" w:history="1">
              <w:r w:rsidR="00142D4A" w:rsidRPr="004651E8">
                <w:rPr>
                  <w:rStyle w:val="a5"/>
                </w:rPr>
                <w:t>第一條</w:t>
              </w:r>
            </w:hyperlink>
            <w:r w:rsidRPr="00A53581">
              <w:rPr>
                <w:rFonts w:hint="eastAsia"/>
              </w:rPr>
              <w:t>至第十一條。</w:t>
            </w:r>
          </w:p>
        </w:tc>
      </w:tr>
      <w:tr w:rsidR="00203F72" w:rsidRPr="00A53581" w14:paraId="3DEE4B81" w14:textId="77777777" w:rsidTr="00D53F68">
        <w:tc>
          <w:tcPr>
            <w:tcW w:w="982" w:type="pct"/>
            <w:shd w:val="clear" w:color="auto" w:fill="auto"/>
          </w:tcPr>
          <w:p w14:paraId="00B2D513" w14:textId="77777777" w:rsidR="00203F72" w:rsidRPr="00A53581" w:rsidRDefault="00203F72" w:rsidP="00D87D91">
            <w:r w:rsidRPr="00A53581">
              <w:t>88.09.15</w:t>
            </w:r>
          </w:p>
        </w:tc>
        <w:tc>
          <w:tcPr>
            <w:tcW w:w="4018" w:type="pct"/>
            <w:shd w:val="clear" w:color="auto" w:fill="auto"/>
          </w:tcPr>
          <w:p w14:paraId="67A4F23F" w14:textId="77777777" w:rsidR="00203F72" w:rsidRPr="00A53581" w:rsidRDefault="00203F72" w:rsidP="00D87D91">
            <w:pPr>
              <w:rPr>
                <w:rFonts w:ascii="新細明體" w:hAnsi="新細明體"/>
              </w:rPr>
            </w:pPr>
            <w:r w:rsidRPr="00A53581">
              <w:rPr>
                <w:rFonts w:ascii="新細明體" w:hAnsi="新細明體" w:hint="eastAsia"/>
              </w:rPr>
              <w:t>第三屆國民大會第四次會議通過修正憲</w:t>
            </w:r>
            <w:r w:rsidR="004651E8" w:rsidRPr="004651E8">
              <w:rPr>
                <w:rFonts w:ascii="新細明體" w:hAnsi="新細明體"/>
              </w:rPr>
              <w:t>法</w:t>
            </w:r>
            <w:hyperlink r:id="rId1409" w:anchor="a1" w:history="1">
              <w:r w:rsidR="004651E8" w:rsidRPr="004651E8">
                <w:rPr>
                  <w:rStyle w:val="a5"/>
                </w:rPr>
                <w:t>第一條</w:t>
              </w:r>
            </w:hyperlink>
            <w:r w:rsidRPr="00A53581">
              <w:rPr>
                <w:rFonts w:ascii="新細明體" w:hAnsi="新細明體" w:hint="eastAsia"/>
              </w:rPr>
              <w:t>、</w:t>
            </w:r>
            <w:hyperlink r:id="rId1410" w:anchor="a4" w:history="1">
              <w:r w:rsidR="001B1539" w:rsidRPr="001B1539">
                <w:rPr>
                  <w:rStyle w:val="a5"/>
                  <w:kern w:val="0"/>
                </w:rPr>
                <w:t>第四條</w:t>
              </w:r>
            </w:hyperlink>
            <w:r w:rsidRPr="00A53581">
              <w:rPr>
                <w:rFonts w:ascii="新細明體" w:hAnsi="新細明體" w:hint="eastAsia"/>
              </w:rPr>
              <w:t>、</w:t>
            </w:r>
            <w:hyperlink r:id="rId1411" w:anchor="a9" w:history="1">
              <w:r w:rsidR="00BD43D3" w:rsidRPr="001408FD">
                <w:rPr>
                  <w:rStyle w:val="a5"/>
                </w:rPr>
                <w:t>第九條</w:t>
              </w:r>
            </w:hyperlink>
            <w:r w:rsidRPr="00A53581">
              <w:rPr>
                <w:rFonts w:ascii="新細明體" w:hAnsi="新細明體" w:hint="eastAsia"/>
              </w:rPr>
              <w:t>及第十條條文，惟此次修正通過之憲法增修條文於89年3月24日經大法官會議釋字</w:t>
            </w:r>
            <w:r w:rsidR="00F5469C" w:rsidRPr="00A53581">
              <w:rPr>
                <w:rFonts w:ascii="新細明體" w:hAnsi="新細明體"/>
                <w:spacing w:val="24"/>
              </w:rPr>
              <w:t>第</w:t>
            </w:r>
            <w:hyperlink r:id="rId1412" w:anchor="r499" w:history="1">
              <w:r w:rsidR="00F5469C" w:rsidRPr="00314F65">
                <w:rPr>
                  <w:rStyle w:val="a5"/>
                  <w:spacing w:val="24"/>
                </w:rPr>
                <w:t>四九九</w:t>
              </w:r>
            </w:hyperlink>
            <w:r w:rsidR="00F5469C" w:rsidRPr="00A53581">
              <w:rPr>
                <w:rFonts w:ascii="新細明體" w:hAnsi="新細明體"/>
                <w:spacing w:val="24"/>
              </w:rPr>
              <w:t>號</w:t>
            </w:r>
            <w:r w:rsidRPr="00A53581">
              <w:rPr>
                <w:rFonts w:ascii="新細明體" w:hAnsi="新細明體" w:hint="eastAsia"/>
              </w:rPr>
              <w:t>公布失效，原86年7月21日修正公布之增修條文繼續適用之。</w:t>
            </w:r>
          </w:p>
        </w:tc>
      </w:tr>
      <w:tr w:rsidR="00203F72" w:rsidRPr="00A53581" w14:paraId="25081A4C" w14:textId="77777777" w:rsidTr="00D53F68">
        <w:tc>
          <w:tcPr>
            <w:tcW w:w="982" w:type="pct"/>
            <w:shd w:val="clear" w:color="auto" w:fill="auto"/>
          </w:tcPr>
          <w:p w14:paraId="79D37963" w14:textId="77777777" w:rsidR="00203F72" w:rsidRPr="00A53581" w:rsidRDefault="00203F72" w:rsidP="00D87D91">
            <w:r w:rsidRPr="00A53581">
              <w:t>89.04.25</w:t>
            </w:r>
          </w:p>
        </w:tc>
        <w:tc>
          <w:tcPr>
            <w:tcW w:w="4018" w:type="pct"/>
            <w:shd w:val="clear" w:color="auto" w:fill="auto"/>
          </w:tcPr>
          <w:p w14:paraId="40E4CFE3" w14:textId="77777777" w:rsidR="00203F72" w:rsidRPr="00A53581" w:rsidRDefault="00203F72" w:rsidP="00D87D91">
            <w:pPr>
              <w:rPr>
                <w:rFonts w:ascii="新細明體" w:hAnsi="新細明體"/>
              </w:rPr>
            </w:pPr>
            <w:r w:rsidRPr="00A53581">
              <w:rPr>
                <w:rFonts w:ascii="新細明體" w:hAnsi="新細明體" w:hint="eastAsia"/>
              </w:rPr>
              <w:t>第三屆國民大會第六次會議三讀通過憲法修正條</w:t>
            </w:r>
            <w:r w:rsidR="004651E8" w:rsidRPr="00A53581">
              <w:rPr>
                <w:rFonts w:ascii="新細明體" w:hAnsi="新細明體"/>
                <w:kern w:val="0"/>
              </w:rPr>
              <w:t>文</w:t>
            </w:r>
            <w:hyperlink r:id="rId1413" w:anchor="b1" w:history="1">
              <w:r w:rsidR="004651E8" w:rsidRPr="004651E8">
                <w:rPr>
                  <w:rStyle w:val="a5"/>
                </w:rPr>
                <w:t>第一條</w:t>
              </w:r>
            </w:hyperlink>
            <w:r w:rsidRPr="00A53581">
              <w:rPr>
                <w:rFonts w:ascii="新細明體" w:hAnsi="新細明體" w:hint="eastAsia"/>
              </w:rPr>
              <w:t>、第二條、</w:t>
            </w:r>
            <w:hyperlink r:id="rId1414" w:anchor="b4" w:history="1">
              <w:r w:rsidR="001B1539" w:rsidRPr="00F5469C">
                <w:rPr>
                  <w:rStyle w:val="a5"/>
                  <w:kern w:val="0"/>
                </w:rPr>
                <w:t>第四條</w:t>
              </w:r>
            </w:hyperlink>
            <w:r w:rsidRPr="00A53581">
              <w:rPr>
                <w:rFonts w:ascii="新細明體" w:hAnsi="新細明體" w:hint="eastAsia"/>
              </w:rPr>
              <w:t>至第十條條文。</w:t>
            </w:r>
          </w:p>
        </w:tc>
      </w:tr>
      <w:tr w:rsidR="00203F72" w:rsidRPr="00A53581" w14:paraId="53EA1A74" w14:textId="77777777" w:rsidTr="00D53F68">
        <w:tc>
          <w:tcPr>
            <w:tcW w:w="982" w:type="pct"/>
            <w:shd w:val="clear" w:color="auto" w:fill="auto"/>
          </w:tcPr>
          <w:p w14:paraId="42E59F7D" w14:textId="77777777" w:rsidR="00203F72" w:rsidRPr="00A53581" w:rsidRDefault="00203F72" w:rsidP="00D87D91">
            <w:r w:rsidRPr="00A53581">
              <w:t>93.08.23</w:t>
            </w:r>
          </w:p>
        </w:tc>
        <w:tc>
          <w:tcPr>
            <w:tcW w:w="4018" w:type="pct"/>
            <w:shd w:val="clear" w:color="auto" w:fill="auto"/>
          </w:tcPr>
          <w:p w14:paraId="7E245BFE" w14:textId="77777777" w:rsidR="00203F72" w:rsidRPr="00A53581" w:rsidRDefault="00203F72" w:rsidP="00D87D91">
            <w:r w:rsidRPr="00A53581">
              <w:rPr>
                <w:rFonts w:hint="eastAsia"/>
              </w:rPr>
              <w:t>立法院三讀通過第</w:t>
            </w:r>
            <w:r w:rsidRPr="00A53581">
              <w:rPr>
                <w:rFonts w:hint="eastAsia"/>
              </w:rPr>
              <w:t>1</w:t>
            </w:r>
            <w:r w:rsidRPr="00A53581">
              <w:rPr>
                <w:rFonts w:hint="eastAsia"/>
              </w:rPr>
              <w:t>、</w:t>
            </w:r>
            <w:r w:rsidRPr="00A53581">
              <w:rPr>
                <w:rFonts w:hint="eastAsia"/>
              </w:rPr>
              <w:t>2</w:t>
            </w:r>
            <w:r w:rsidRPr="00A53581">
              <w:rPr>
                <w:rFonts w:hint="eastAsia"/>
              </w:rPr>
              <w:t>、</w:t>
            </w:r>
            <w:r w:rsidRPr="00A53581">
              <w:rPr>
                <w:rFonts w:hint="eastAsia"/>
              </w:rPr>
              <w:t>4</w:t>
            </w:r>
            <w:r w:rsidRPr="00A53581">
              <w:rPr>
                <w:rFonts w:hint="eastAsia"/>
              </w:rPr>
              <w:t>、</w:t>
            </w:r>
            <w:r w:rsidRPr="00A53581">
              <w:rPr>
                <w:rFonts w:hint="eastAsia"/>
              </w:rPr>
              <w:t>5</w:t>
            </w:r>
            <w:r w:rsidRPr="00A53581">
              <w:rPr>
                <w:rFonts w:hint="eastAsia"/>
              </w:rPr>
              <w:t>、</w:t>
            </w:r>
            <w:r w:rsidRPr="00A53581">
              <w:rPr>
                <w:rFonts w:hint="eastAsia"/>
              </w:rPr>
              <w:t>8</w:t>
            </w:r>
            <w:r w:rsidRPr="00A53581">
              <w:rPr>
                <w:rFonts w:hint="eastAsia"/>
              </w:rPr>
              <w:t>條條文；並增訂第</w:t>
            </w:r>
            <w:r w:rsidRPr="00A53581">
              <w:rPr>
                <w:rFonts w:hint="eastAsia"/>
              </w:rPr>
              <w:t>12</w:t>
            </w:r>
            <w:r w:rsidRPr="00A53581">
              <w:rPr>
                <w:rFonts w:hint="eastAsia"/>
              </w:rPr>
              <w:t>條條文。</w:t>
            </w:r>
          </w:p>
        </w:tc>
      </w:tr>
    </w:tbl>
    <w:p w14:paraId="5705C5A8" w14:textId="77777777" w:rsidR="00953151" w:rsidRDefault="002107CE" w:rsidP="00D87D91">
      <w:r>
        <w:t>【本表格資料來源】</w:t>
      </w:r>
      <w:r w:rsidR="00203F72" w:rsidRPr="00A53581">
        <w:t>廖其偉</w:t>
      </w:r>
      <w:r w:rsidR="00203F72" w:rsidRPr="00A53581">
        <w:t>(2011)</w:t>
      </w:r>
      <w:r w:rsidR="00203F72" w:rsidRPr="00A53581">
        <w:t>，中華民國憲法，初版，台北市：鼎文</w:t>
      </w:r>
      <w:r w:rsidR="00203F72" w:rsidRPr="00A53581">
        <w:rPr>
          <w:rFonts w:hint="eastAsia"/>
        </w:rPr>
        <w:t>書局</w:t>
      </w:r>
      <w:r w:rsidR="00203F72" w:rsidRPr="00A53581">
        <w:t>，第</w:t>
      </w:r>
      <w:r w:rsidR="00203F72" w:rsidRPr="00A53581">
        <w:t>10</w:t>
      </w:r>
      <w:r w:rsidR="00203F72" w:rsidRPr="00A53581">
        <w:t>頁。</w:t>
      </w:r>
    </w:p>
    <w:p w14:paraId="137C9EFE" w14:textId="77777777" w:rsidR="00203F72" w:rsidRPr="00A53581" w:rsidRDefault="00076467" w:rsidP="00767F37">
      <w:pPr>
        <w:pStyle w:val="2"/>
      </w:pPr>
      <w:hyperlink r:id="rId1415" w:anchor="a175" w:history="1">
        <w:r w:rsidR="005D5A46">
          <w:rPr>
            <w:rStyle w:val="a5"/>
            <w:rFonts w:ascii="Arial Unicode MS" w:hAnsi="Arial Unicode MS"/>
          </w:rPr>
          <w:t>第</w:t>
        </w:r>
        <w:r w:rsidR="00203F72" w:rsidRPr="00AB0A74">
          <w:rPr>
            <w:rStyle w:val="a5"/>
            <w:rFonts w:ascii="Arial Unicode MS" w:hAnsi="Arial Unicode MS"/>
          </w:rPr>
          <w:t>175</w:t>
        </w:r>
        <w:r w:rsidR="005D5A46">
          <w:rPr>
            <w:rStyle w:val="a5"/>
            <w:rFonts w:ascii="Arial Unicode MS" w:hAnsi="Arial Unicode MS"/>
          </w:rPr>
          <w:t>條</w:t>
        </w:r>
      </w:hyperlink>
      <w:r w:rsidR="00203F72" w:rsidRPr="00A53581">
        <w:t>本憲法規定事項，有另定實施程序之必要者，以法律定之。</w:t>
      </w:r>
    </w:p>
    <w:p w14:paraId="2EEC2B66" w14:textId="77777777" w:rsidR="00953151" w:rsidRPr="00E16174" w:rsidRDefault="00367D0C" w:rsidP="00D87D91">
      <w:r w:rsidRPr="00E16174">
        <w:t xml:space="preserve">　　</w:t>
      </w:r>
      <w:r w:rsidR="00203F72" w:rsidRPr="00E16174">
        <w:t>本憲法施行之準備程序，由制定憲法之國民大會議定之。</w:t>
      </w:r>
    </w:p>
    <w:p w14:paraId="3549B994" w14:textId="77777777" w:rsidR="00953151" w:rsidRPr="00E16174" w:rsidRDefault="00B03E84" w:rsidP="00D87D91">
      <w:r w:rsidRPr="00E16174">
        <w:t>【內容解析】</w:t>
      </w:r>
    </w:p>
    <w:p w14:paraId="68612E37" w14:textId="77777777" w:rsidR="00203F72" w:rsidRPr="00E16174" w:rsidRDefault="00367D0C" w:rsidP="00D87D91">
      <w:r w:rsidRPr="007C2A42">
        <w:t xml:space="preserve">　　</w:t>
      </w:r>
      <w:r w:rsidR="00203F72" w:rsidRPr="007C2A42">
        <w:t>有關憲法</w:t>
      </w:r>
      <w:hyperlink r:id="rId1416" w:anchor="a175" w:history="1">
        <w:r w:rsidR="007C2A42" w:rsidRPr="007C2A42">
          <w:rPr>
            <w:rStyle w:val="a5"/>
          </w:rPr>
          <w:t>第175條</w:t>
        </w:r>
      </w:hyperlink>
      <w:r w:rsidR="00203F72" w:rsidRPr="007C2A42">
        <w:t>主要之精神在於，憲法是成文法，而且是實體法。因此，若有必要，實施程序由法律定之，這樣之規範亦屬合理，因為這符合大陸法系之法定主義精神，諸如，根據憲法第六次增修規定，「國民大會代表三百人，於立法院提出憲法修正案、領土變更案，經公告半年，或提出總統、副總統彈劾案時，應於三個月內採比例代</w:t>
      </w:r>
      <w:r w:rsidR="00203F72" w:rsidRPr="00E16174">
        <w:t>表制選出之。比例代表制之選舉方式，以法律定之。」</w:t>
      </w:r>
    </w:p>
    <w:p w14:paraId="7336F0CF" w14:textId="77777777" w:rsidR="00545D58" w:rsidRDefault="00545D58" w:rsidP="00D53F68">
      <w:pPr>
        <w:jc w:val="right"/>
        <w:rPr>
          <w:rFonts w:ascii="新細明體" w:hAnsi="新細明體"/>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1DC12691" w14:textId="77777777" w:rsidR="00545D58" w:rsidRPr="00545D58" w:rsidRDefault="00545D58" w:rsidP="00D87D91"/>
    <w:p w14:paraId="15F15BC6" w14:textId="77777777" w:rsidR="00953151" w:rsidRDefault="00203F72" w:rsidP="00D87D91">
      <w:pPr>
        <w:pStyle w:val="1"/>
      </w:pPr>
      <w:r w:rsidRPr="00EE4B83">
        <w:t>第二篇</w:t>
      </w:r>
      <w:r w:rsidRPr="00EE4B83">
        <w:t xml:space="preserve"> </w:t>
      </w:r>
      <w:r w:rsidRPr="00EE4B83">
        <w:t>憲法增修條文逐條釋義</w:t>
      </w:r>
    </w:p>
    <w:bookmarkStart w:id="42" w:name="_憲法增修條文前言"/>
    <w:bookmarkEnd w:id="42"/>
    <w:p w14:paraId="675A7F43" w14:textId="77777777" w:rsidR="00953151" w:rsidRDefault="007C2A42"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w:instrText>
      </w:r>
      <w:r>
        <w:fldChar w:fldCharType="separate"/>
      </w:r>
      <w:r w:rsidR="00203F72" w:rsidRPr="007C2A42">
        <w:rPr>
          <w:rStyle w:val="a5"/>
          <w:rFonts w:ascii="Arial Unicode MS" w:eastAsiaTheme="majorEastAsia" w:hAnsi="Arial Unicode MS"/>
        </w:rPr>
        <w:t>憲法增修條文</w:t>
      </w:r>
      <w:r>
        <w:fldChar w:fldCharType="end"/>
      </w:r>
      <w:r w:rsidR="00203F72" w:rsidRPr="00A53581">
        <w:t>前言</w:t>
      </w:r>
      <w:r w:rsidR="00203F72" w:rsidRPr="00A53581">
        <w:t xml:space="preserve"> </w:t>
      </w:r>
    </w:p>
    <w:p w14:paraId="15D1205C" w14:textId="77777777" w:rsidR="00953151" w:rsidRPr="00E16174" w:rsidRDefault="00367D0C" w:rsidP="00D87D91">
      <w:r w:rsidRPr="00E16174">
        <w:t xml:space="preserve">　　</w:t>
      </w:r>
      <w:r w:rsidR="00203F72" w:rsidRPr="00E16174">
        <w:t>憲法增修條文序言：為因應國家統一前之需要，依照憲法</w:t>
      </w:r>
      <w:r w:rsidR="00541C0B" w:rsidRPr="00E16174">
        <w:t>第</w:t>
      </w:r>
      <w:hyperlink r:id="rId1417" w:anchor="a27" w:history="1">
        <w:r w:rsidR="00541C0B" w:rsidRPr="00E16174">
          <w:rPr>
            <w:rStyle w:val="a5"/>
          </w:rPr>
          <w:t>二十七</w:t>
        </w:r>
      </w:hyperlink>
      <w:r w:rsidR="00541C0B" w:rsidRPr="00E16174">
        <w:t>條</w:t>
      </w:r>
      <w:r w:rsidR="00203F72" w:rsidRPr="00E16174">
        <w:t>第一項第三款及</w:t>
      </w:r>
      <w:r w:rsidR="00541C0B" w:rsidRPr="00E16174">
        <w:t>第</w:t>
      </w:r>
      <w:hyperlink r:id="rId1418" w:anchor="a174" w:history="1">
        <w:r w:rsidR="00541C0B" w:rsidRPr="00E16174">
          <w:rPr>
            <w:rStyle w:val="a5"/>
          </w:rPr>
          <w:t>一百七十四</w:t>
        </w:r>
      </w:hyperlink>
      <w:r w:rsidR="00541C0B" w:rsidRPr="00E16174">
        <w:t>條</w:t>
      </w:r>
      <w:r w:rsidR="00203F72" w:rsidRPr="00E16174">
        <w:t>第一款之規定，增修本憲法條文如左</w:t>
      </w:r>
      <w:r w:rsidR="00203F72" w:rsidRPr="00E16174">
        <w:footnoteReference w:id="127"/>
      </w:r>
      <w:r w:rsidR="00203F72" w:rsidRPr="00E16174">
        <w:t>：</w:t>
      </w:r>
      <w:r w:rsidR="00203F72" w:rsidRPr="00E16174">
        <w:t xml:space="preserve"> </w:t>
      </w:r>
    </w:p>
    <w:p w14:paraId="12D315EF" w14:textId="77777777" w:rsidR="00953151" w:rsidRPr="00E16174" w:rsidRDefault="00B03E84" w:rsidP="00D87D91">
      <w:r w:rsidRPr="00E16174">
        <w:t>【內容解析】</w:t>
      </w:r>
    </w:p>
    <w:p w14:paraId="46FD2141" w14:textId="77777777" w:rsidR="00953151" w:rsidRDefault="00367D0C" w:rsidP="00D87D91">
      <w:r w:rsidRPr="00E16174">
        <w:t xml:space="preserve">　　</w:t>
      </w:r>
      <w:r w:rsidR="00203F72" w:rsidRPr="00E16174">
        <w:t>我國憲法增修條文之制定，係為民國</w:t>
      </w:r>
      <w:r w:rsidR="00203F72" w:rsidRPr="00E16174">
        <w:t>80</w:t>
      </w:r>
      <w:r w:rsidR="00203F72" w:rsidRPr="00E16174">
        <w:t>年，憲法增修條文分別於民國</w:t>
      </w:r>
      <w:r w:rsidR="00203F72" w:rsidRPr="00E16174">
        <w:t>81</w:t>
      </w:r>
      <w:r w:rsidR="00203F72" w:rsidRPr="00E16174">
        <w:t>年、</w:t>
      </w:r>
      <w:r w:rsidR="00203F72" w:rsidRPr="00E16174">
        <w:t>83</w:t>
      </w:r>
      <w:r w:rsidR="00203F72" w:rsidRPr="00E16174">
        <w:t>年、</w:t>
      </w:r>
      <w:r w:rsidR="00203F72" w:rsidRPr="00E16174">
        <w:t>86</w:t>
      </w:r>
      <w:r w:rsidR="00203F72" w:rsidRPr="00E16174">
        <w:t>年、</w:t>
      </w:r>
      <w:r w:rsidR="00203F72" w:rsidRPr="00E16174">
        <w:t>88</w:t>
      </w:r>
      <w:r w:rsidR="00203F72" w:rsidRPr="00E16174">
        <w:t>年、</w:t>
      </w:r>
      <w:r w:rsidR="00203F72" w:rsidRPr="00E16174">
        <w:t>89</w:t>
      </w:r>
      <w:r w:rsidR="00203F72" w:rsidRPr="00E16174">
        <w:t>年及</w:t>
      </w:r>
      <w:r w:rsidR="00203F72" w:rsidRPr="00E16174">
        <w:t>94</w:t>
      </w:r>
      <w:r w:rsidR="00203F72" w:rsidRPr="00E16174">
        <w:t>年進行修正；故，憲法增修條文之制定及修正，前後共經歷</w:t>
      </w:r>
      <w:r w:rsidR="00203F72" w:rsidRPr="00E16174">
        <w:t>7</w:t>
      </w:r>
      <w:r w:rsidR="00203F72" w:rsidRPr="00E16174">
        <w:t>次。最近一次之修正，係為民國</w:t>
      </w:r>
      <w:r w:rsidR="00203F72" w:rsidRPr="00E16174">
        <w:t>94</w:t>
      </w:r>
      <w:r w:rsidR="00203F72" w:rsidRPr="00E16174">
        <w:t>年，之後，則未進行新之修正。我國憲法（不含憲法增修條文）之條文數目，共計有</w:t>
      </w:r>
      <w:r w:rsidR="00203F72" w:rsidRPr="00E16174">
        <w:t>174</w:t>
      </w:r>
      <w:r w:rsidR="00203F72" w:rsidRPr="00E16174">
        <w:t>條；在憲法增修條文方面，則有</w:t>
      </w:r>
      <w:r w:rsidR="00203F72" w:rsidRPr="00E16174">
        <w:t>12</w:t>
      </w:r>
      <w:r w:rsidR="00203F72" w:rsidRPr="00E16174">
        <w:t>條。在憲法本文與憲法增修條文之憲法效力方面，依照「後法優於前法」及「特別法優於普通法」等之法理，當憲法本文之規定與憲法增修條文之規範，相互衝突與排斥時，憲法增修條文具有優越之憲法效力</w:t>
      </w:r>
      <w:r w:rsidR="00203F72" w:rsidRPr="00E16174">
        <w:footnoteReference w:id="128"/>
      </w:r>
      <w:r w:rsidR="00203F72" w:rsidRPr="00E16174">
        <w:t>；是以，憲法增修條文之效力，具有以下之特性：</w:t>
      </w:r>
      <w:r w:rsidR="00203F72" w:rsidRPr="00E16174">
        <w:t>1.</w:t>
      </w:r>
      <w:r w:rsidR="00203F72" w:rsidRPr="00E16174">
        <w:t>所謂之中華民國憲法，包括憲法增修條文之內涵；</w:t>
      </w:r>
      <w:r w:rsidR="00203F72" w:rsidRPr="00E16174">
        <w:t>2.</w:t>
      </w:r>
      <w:r w:rsidR="00203F72" w:rsidRPr="00E16174">
        <w:t>憲法增修條文之本質，本身即為憲法；</w:t>
      </w:r>
      <w:r w:rsidR="00203F72" w:rsidRPr="00E16174">
        <w:t xml:space="preserve">3. </w:t>
      </w:r>
      <w:r w:rsidR="00203F72" w:rsidRPr="00E16174">
        <w:t>憲法增修條文之憲法效力，優於憲法本文之效力。</w:t>
      </w:r>
    </w:p>
    <w:p w14:paraId="77F193A0" w14:textId="77777777" w:rsidR="00D53F68" w:rsidRPr="00E16174" w:rsidRDefault="00D53F68" w:rsidP="00D87D91"/>
    <w:p w14:paraId="09B9593D" w14:textId="7BC5E813" w:rsidR="00203F72" w:rsidRPr="00E16174" w:rsidRDefault="00B03E84" w:rsidP="00D87D91">
      <w:r w:rsidRPr="00E16174">
        <w:t>【</w:t>
      </w:r>
      <w:r w:rsidRPr="00E16174">
        <w:t>table</w:t>
      </w:r>
      <w:r w:rsidR="005E23E3" w:rsidRPr="00E1617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77</w:t>
      </w:r>
      <w:r w:rsidR="00076467">
        <w:rPr>
          <w:noProof/>
        </w:rPr>
        <w:fldChar w:fldCharType="end"/>
      </w:r>
      <w:r w:rsidR="00203F72" w:rsidRPr="00E16174">
        <w:rPr>
          <w:rFonts w:hint="eastAsia"/>
        </w:rPr>
        <w:t>增修後憲法內涵主要變動表</w:t>
      </w:r>
      <w:r w:rsidR="00203F72" w:rsidRPr="00E16174">
        <w:footnoteReference w:id="129"/>
      </w:r>
    </w:p>
    <w:tbl>
      <w:tblPr>
        <w:tblW w:w="0" w:type="auto"/>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637"/>
        <w:gridCol w:w="3695"/>
        <w:gridCol w:w="3027"/>
      </w:tblGrid>
      <w:tr w:rsidR="00203F72" w:rsidRPr="00A53581" w14:paraId="12C704A1" w14:textId="77777777" w:rsidTr="00E16174">
        <w:trPr>
          <w:tblHeader/>
        </w:trPr>
        <w:tc>
          <w:tcPr>
            <w:tcW w:w="0" w:type="auto"/>
            <w:tcBorders>
              <w:top w:val="outset" w:sz="6" w:space="0" w:color="auto"/>
              <w:left w:val="outset" w:sz="6" w:space="0" w:color="auto"/>
              <w:bottom w:val="outset" w:sz="6" w:space="0" w:color="auto"/>
              <w:right w:val="outset" w:sz="6" w:space="0" w:color="auto"/>
            </w:tcBorders>
            <w:shd w:val="clear" w:color="auto" w:fill="FAF0FA"/>
            <w:vAlign w:val="center"/>
            <w:hideMark/>
          </w:tcPr>
          <w:p w14:paraId="26A1333B" w14:textId="77777777" w:rsidR="00203F72" w:rsidRPr="00A53581" w:rsidRDefault="00203F72" w:rsidP="00D87D91">
            <w:pPr>
              <w:rPr>
                <w:rFonts w:cs="新細明體"/>
              </w:rPr>
            </w:pPr>
            <w:r w:rsidRPr="00A53581">
              <w:t>憲法修改事項</w:t>
            </w:r>
          </w:p>
        </w:tc>
        <w:tc>
          <w:tcPr>
            <w:tcW w:w="0" w:type="auto"/>
            <w:tcBorders>
              <w:top w:val="outset" w:sz="6" w:space="0" w:color="auto"/>
              <w:left w:val="outset" w:sz="6" w:space="0" w:color="auto"/>
              <w:bottom w:val="outset" w:sz="6" w:space="0" w:color="auto"/>
              <w:right w:val="outset" w:sz="6" w:space="0" w:color="auto"/>
            </w:tcBorders>
            <w:shd w:val="clear" w:color="auto" w:fill="FAF0FA"/>
            <w:vAlign w:val="center"/>
            <w:hideMark/>
          </w:tcPr>
          <w:p w14:paraId="11372F82" w14:textId="77777777" w:rsidR="00203F72" w:rsidRPr="00A53581" w:rsidRDefault="00203F72" w:rsidP="00D87D91">
            <w:pPr>
              <w:rPr>
                <w:rFonts w:cs="新細明體"/>
              </w:rPr>
            </w:pPr>
            <w:r w:rsidRPr="00A53581">
              <w:t>原憲法規定</w:t>
            </w:r>
          </w:p>
        </w:tc>
        <w:tc>
          <w:tcPr>
            <w:tcW w:w="0" w:type="auto"/>
            <w:tcBorders>
              <w:top w:val="outset" w:sz="6" w:space="0" w:color="auto"/>
              <w:left w:val="outset" w:sz="6" w:space="0" w:color="auto"/>
              <w:bottom w:val="outset" w:sz="6" w:space="0" w:color="auto"/>
              <w:right w:val="outset" w:sz="6" w:space="0" w:color="auto"/>
            </w:tcBorders>
            <w:shd w:val="clear" w:color="auto" w:fill="FAF0FA"/>
            <w:vAlign w:val="center"/>
            <w:hideMark/>
          </w:tcPr>
          <w:p w14:paraId="0D26563C" w14:textId="77777777" w:rsidR="00203F72" w:rsidRPr="00A53581" w:rsidRDefault="00203F72" w:rsidP="00D87D91">
            <w:pPr>
              <w:rPr>
                <w:rFonts w:cs="新細明體"/>
              </w:rPr>
            </w:pPr>
            <w:r w:rsidRPr="00A53581">
              <w:t>增修條文規定</w:t>
            </w:r>
          </w:p>
        </w:tc>
      </w:tr>
      <w:tr w:rsidR="00203F72" w:rsidRPr="00A53581" w14:paraId="7BD854BF" w14:textId="77777777" w:rsidTr="00203F72">
        <w:tc>
          <w:tcPr>
            <w:tcW w:w="0" w:type="auto"/>
            <w:tcBorders>
              <w:top w:val="outset" w:sz="6" w:space="0" w:color="auto"/>
              <w:left w:val="outset" w:sz="6" w:space="0" w:color="auto"/>
              <w:bottom w:val="outset" w:sz="6" w:space="0" w:color="auto"/>
              <w:right w:val="outset" w:sz="6" w:space="0" w:color="auto"/>
            </w:tcBorders>
            <w:vAlign w:val="center"/>
            <w:hideMark/>
          </w:tcPr>
          <w:p w14:paraId="78095D3E" w14:textId="77777777" w:rsidR="00203F72" w:rsidRPr="00A53581" w:rsidRDefault="00203F72" w:rsidP="00D87D91">
            <w:pPr>
              <w:rPr>
                <w:rFonts w:cs="新細明體"/>
              </w:rPr>
            </w:pPr>
            <w:r w:rsidRPr="00A53581">
              <w:t>國民範圍</w:t>
            </w:r>
          </w:p>
        </w:tc>
        <w:tc>
          <w:tcPr>
            <w:tcW w:w="0" w:type="auto"/>
            <w:tcBorders>
              <w:top w:val="outset" w:sz="6" w:space="0" w:color="auto"/>
              <w:left w:val="outset" w:sz="6" w:space="0" w:color="auto"/>
              <w:bottom w:val="outset" w:sz="6" w:space="0" w:color="auto"/>
              <w:right w:val="outset" w:sz="6" w:space="0" w:color="auto"/>
            </w:tcBorders>
            <w:vAlign w:val="center"/>
            <w:hideMark/>
          </w:tcPr>
          <w:p w14:paraId="1A4AFBAD" w14:textId="77777777" w:rsidR="00203F72" w:rsidRPr="00A53581" w:rsidRDefault="00203F72" w:rsidP="00D87D91">
            <w:pPr>
              <w:rPr>
                <w:rFonts w:cs="新細明體"/>
              </w:rPr>
            </w:pPr>
            <w:r w:rsidRPr="00A53581">
              <w:rPr>
                <w:rFonts w:hint="eastAsia"/>
              </w:rPr>
              <w:t>中華民國</w:t>
            </w:r>
            <w:r w:rsidRPr="00A53581">
              <w:t>（包括法理與實際統治區域）全體國民</w:t>
            </w:r>
          </w:p>
        </w:tc>
        <w:tc>
          <w:tcPr>
            <w:tcW w:w="0" w:type="auto"/>
            <w:tcBorders>
              <w:top w:val="outset" w:sz="6" w:space="0" w:color="auto"/>
              <w:left w:val="outset" w:sz="6" w:space="0" w:color="auto"/>
              <w:bottom w:val="outset" w:sz="6" w:space="0" w:color="auto"/>
              <w:right w:val="outset" w:sz="6" w:space="0" w:color="auto"/>
            </w:tcBorders>
            <w:vAlign w:val="center"/>
            <w:hideMark/>
          </w:tcPr>
          <w:p w14:paraId="49A5E1E8" w14:textId="77777777" w:rsidR="00203F72" w:rsidRPr="00A53581" w:rsidRDefault="00203F72" w:rsidP="00D87D91">
            <w:pPr>
              <w:rPr>
                <w:rFonts w:cs="新細明體"/>
              </w:rPr>
            </w:pPr>
            <w:r w:rsidRPr="00A53581">
              <w:t>自由地區全體國民</w:t>
            </w:r>
          </w:p>
        </w:tc>
      </w:tr>
      <w:tr w:rsidR="00203F72" w:rsidRPr="00A53581" w14:paraId="5EDF1388" w14:textId="77777777" w:rsidTr="00203F72">
        <w:tc>
          <w:tcPr>
            <w:tcW w:w="0" w:type="auto"/>
            <w:tcBorders>
              <w:top w:val="outset" w:sz="6" w:space="0" w:color="auto"/>
              <w:left w:val="outset" w:sz="6" w:space="0" w:color="auto"/>
              <w:bottom w:val="outset" w:sz="6" w:space="0" w:color="auto"/>
              <w:right w:val="outset" w:sz="6" w:space="0" w:color="auto"/>
            </w:tcBorders>
            <w:vAlign w:val="center"/>
            <w:hideMark/>
          </w:tcPr>
          <w:p w14:paraId="353830ED" w14:textId="77777777" w:rsidR="00203F72" w:rsidRPr="00A53581" w:rsidRDefault="00203F72" w:rsidP="00D87D91">
            <w:pPr>
              <w:rPr>
                <w:rFonts w:cs="新細明體"/>
              </w:rPr>
            </w:pPr>
            <w:r w:rsidRPr="00A53581">
              <w:t>國民大會</w:t>
            </w:r>
          </w:p>
        </w:tc>
        <w:tc>
          <w:tcPr>
            <w:tcW w:w="0" w:type="auto"/>
            <w:tcBorders>
              <w:top w:val="outset" w:sz="6" w:space="0" w:color="auto"/>
              <w:left w:val="outset" w:sz="6" w:space="0" w:color="auto"/>
              <w:bottom w:val="outset" w:sz="6" w:space="0" w:color="auto"/>
              <w:right w:val="outset" w:sz="6" w:space="0" w:color="auto"/>
            </w:tcBorders>
            <w:vAlign w:val="center"/>
            <w:hideMark/>
          </w:tcPr>
          <w:p w14:paraId="47B9D295" w14:textId="77777777" w:rsidR="00203F72" w:rsidRPr="00A53581" w:rsidRDefault="00203F72" w:rsidP="00D87D91">
            <w:pPr>
              <w:rPr>
                <w:rFonts w:cs="新細明體"/>
              </w:rPr>
            </w:pPr>
            <w:r w:rsidRPr="00A53581">
              <w:t>有形國大，每縣一人</w:t>
            </w:r>
          </w:p>
        </w:tc>
        <w:tc>
          <w:tcPr>
            <w:tcW w:w="0" w:type="auto"/>
            <w:tcBorders>
              <w:top w:val="outset" w:sz="6" w:space="0" w:color="auto"/>
              <w:left w:val="outset" w:sz="6" w:space="0" w:color="auto"/>
              <w:bottom w:val="outset" w:sz="6" w:space="0" w:color="auto"/>
              <w:right w:val="outset" w:sz="6" w:space="0" w:color="auto"/>
            </w:tcBorders>
            <w:vAlign w:val="center"/>
            <w:hideMark/>
          </w:tcPr>
          <w:p w14:paraId="3ED079D7" w14:textId="77777777" w:rsidR="00203F72" w:rsidRPr="00A53581" w:rsidRDefault="00203F72" w:rsidP="00D87D91">
            <w:pPr>
              <w:rPr>
                <w:rFonts w:cs="新細明體"/>
              </w:rPr>
            </w:pPr>
            <w:r w:rsidRPr="00A53581">
              <w:t>取消召集之理由、凍結</w:t>
            </w:r>
          </w:p>
        </w:tc>
      </w:tr>
      <w:tr w:rsidR="00203F72" w:rsidRPr="00A53581" w14:paraId="3101AE43" w14:textId="77777777" w:rsidTr="00203F72">
        <w:tc>
          <w:tcPr>
            <w:tcW w:w="0" w:type="auto"/>
            <w:tcBorders>
              <w:top w:val="outset" w:sz="6" w:space="0" w:color="auto"/>
              <w:left w:val="outset" w:sz="6" w:space="0" w:color="auto"/>
              <w:bottom w:val="outset" w:sz="6" w:space="0" w:color="auto"/>
              <w:right w:val="outset" w:sz="6" w:space="0" w:color="auto"/>
            </w:tcBorders>
            <w:vAlign w:val="center"/>
            <w:hideMark/>
          </w:tcPr>
          <w:p w14:paraId="2EFD2DDC" w14:textId="77777777" w:rsidR="00203F72" w:rsidRPr="00A53581" w:rsidRDefault="00203F72" w:rsidP="00D87D91">
            <w:pPr>
              <w:rPr>
                <w:rFonts w:cs="新細明體"/>
              </w:rPr>
            </w:pPr>
            <w:r w:rsidRPr="00A53581">
              <w:t>總統</w:t>
            </w:r>
          </w:p>
        </w:tc>
        <w:tc>
          <w:tcPr>
            <w:tcW w:w="0" w:type="auto"/>
            <w:tcBorders>
              <w:top w:val="outset" w:sz="6" w:space="0" w:color="auto"/>
              <w:left w:val="outset" w:sz="6" w:space="0" w:color="auto"/>
              <w:bottom w:val="outset" w:sz="6" w:space="0" w:color="auto"/>
              <w:right w:val="outset" w:sz="6" w:space="0" w:color="auto"/>
            </w:tcBorders>
            <w:vAlign w:val="center"/>
            <w:hideMark/>
          </w:tcPr>
          <w:p w14:paraId="41D52883" w14:textId="77777777" w:rsidR="00203F72" w:rsidRPr="00A53581" w:rsidRDefault="00203F72" w:rsidP="00D87D91">
            <w:pPr>
              <w:rPr>
                <w:rFonts w:cs="新細明體"/>
              </w:rPr>
            </w:pPr>
            <w:r w:rsidRPr="00A53581">
              <w:t>國大間接選舉，任期六年</w:t>
            </w:r>
          </w:p>
        </w:tc>
        <w:tc>
          <w:tcPr>
            <w:tcW w:w="0" w:type="auto"/>
            <w:tcBorders>
              <w:top w:val="outset" w:sz="6" w:space="0" w:color="auto"/>
              <w:left w:val="outset" w:sz="6" w:space="0" w:color="auto"/>
              <w:bottom w:val="outset" w:sz="6" w:space="0" w:color="auto"/>
              <w:right w:val="outset" w:sz="6" w:space="0" w:color="auto"/>
            </w:tcBorders>
            <w:vAlign w:val="center"/>
            <w:hideMark/>
          </w:tcPr>
          <w:p w14:paraId="29801065" w14:textId="77777777" w:rsidR="00203F72" w:rsidRPr="00A53581" w:rsidRDefault="00203F72" w:rsidP="00D87D91">
            <w:pPr>
              <w:rPr>
                <w:rFonts w:cs="新細明體"/>
              </w:rPr>
            </w:pPr>
            <w:r w:rsidRPr="00A53581">
              <w:t>人民直接選舉，任期四年，可連任一次</w:t>
            </w:r>
          </w:p>
        </w:tc>
      </w:tr>
      <w:tr w:rsidR="00203F72" w:rsidRPr="00A53581" w14:paraId="7B4320A7" w14:textId="77777777" w:rsidTr="00203F72">
        <w:tc>
          <w:tcPr>
            <w:tcW w:w="0" w:type="auto"/>
            <w:tcBorders>
              <w:top w:val="outset" w:sz="6" w:space="0" w:color="auto"/>
              <w:left w:val="outset" w:sz="6" w:space="0" w:color="auto"/>
              <w:bottom w:val="outset" w:sz="6" w:space="0" w:color="auto"/>
              <w:right w:val="outset" w:sz="6" w:space="0" w:color="auto"/>
            </w:tcBorders>
            <w:vAlign w:val="center"/>
            <w:hideMark/>
          </w:tcPr>
          <w:p w14:paraId="28870354" w14:textId="77777777" w:rsidR="00203F72" w:rsidRPr="00A53581" w:rsidRDefault="00203F72" w:rsidP="00D87D91">
            <w:pPr>
              <w:rPr>
                <w:rFonts w:cs="新細明體"/>
              </w:rPr>
            </w:pPr>
            <w:r w:rsidRPr="00A53581">
              <w:t>行政院</w:t>
            </w:r>
          </w:p>
        </w:tc>
        <w:tc>
          <w:tcPr>
            <w:tcW w:w="0" w:type="auto"/>
            <w:tcBorders>
              <w:top w:val="outset" w:sz="6" w:space="0" w:color="auto"/>
              <w:left w:val="outset" w:sz="6" w:space="0" w:color="auto"/>
              <w:bottom w:val="outset" w:sz="6" w:space="0" w:color="auto"/>
              <w:right w:val="outset" w:sz="6" w:space="0" w:color="auto"/>
            </w:tcBorders>
            <w:vAlign w:val="center"/>
            <w:hideMark/>
          </w:tcPr>
          <w:p w14:paraId="5E976FD3" w14:textId="77777777" w:rsidR="00203F72" w:rsidRPr="00A53581" w:rsidRDefault="00203F72" w:rsidP="00D87D91">
            <w:pPr>
              <w:rPr>
                <w:rFonts w:cs="新細明體"/>
              </w:rPr>
            </w:pPr>
            <w:r w:rsidRPr="00A53581">
              <w:t>院長由總統提名，經立法院同意後任命之</w:t>
            </w:r>
          </w:p>
        </w:tc>
        <w:tc>
          <w:tcPr>
            <w:tcW w:w="0" w:type="auto"/>
            <w:tcBorders>
              <w:top w:val="outset" w:sz="6" w:space="0" w:color="auto"/>
              <w:left w:val="outset" w:sz="6" w:space="0" w:color="auto"/>
              <w:bottom w:val="outset" w:sz="6" w:space="0" w:color="auto"/>
              <w:right w:val="outset" w:sz="6" w:space="0" w:color="auto"/>
            </w:tcBorders>
            <w:vAlign w:val="center"/>
            <w:hideMark/>
          </w:tcPr>
          <w:p w14:paraId="72A9E856" w14:textId="77777777" w:rsidR="00203F72" w:rsidRPr="00A53581" w:rsidRDefault="00203F72" w:rsidP="00D87D91">
            <w:pPr>
              <w:rPr>
                <w:rFonts w:cs="新細明體"/>
              </w:rPr>
            </w:pPr>
            <w:r w:rsidRPr="00A53581">
              <w:t>院長由總統任命之</w:t>
            </w:r>
          </w:p>
        </w:tc>
      </w:tr>
      <w:tr w:rsidR="00203F72" w:rsidRPr="00A53581" w14:paraId="56FF39BA" w14:textId="77777777" w:rsidTr="00203F72">
        <w:tc>
          <w:tcPr>
            <w:tcW w:w="0" w:type="auto"/>
            <w:tcBorders>
              <w:top w:val="outset" w:sz="6" w:space="0" w:color="auto"/>
              <w:left w:val="outset" w:sz="6" w:space="0" w:color="auto"/>
              <w:bottom w:val="outset" w:sz="6" w:space="0" w:color="auto"/>
              <w:right w:val="outset" w:sz="6" w:space="0" w:color="auto"/>
            </w:tcBorders>
            <w:vAlign w:val="center"/>
            <w:hideMark/>
          </w:tcPr>
          <w:p w14:paraId="594898C8" w14:textId="77777777" w:rsidR="00203F72" w:rsidRPr="00A53581" w:rsidRDefault="00203F72" w:rsidP="00D87D91">
            <w:pPr>
              <w:rPr>
                <w:rFonts w:cs="新細明體"/>
              </w:rPr>
            </w:pPr>
            <w:r w:rsidRPr="00A53581">
              <w:t>立法院</w:t>
            </w:r>
          </w:p>
        </w:tc>
        <w:tc>
          <w:tcPr>
            <w:tcW w:w="0" w:type="auto"/>
            <w:tcBorders>
              <w:top w:val="outset" w:sz="6" w:space="0" w:color="auto"/>
              <w:left w:val="outset" w:sz="6" w:space="0" w:color="auto"/>
              <w:bottom w:val="outset" w:sz="6" w:space="0" w:color="auto"/>
              <w:right w:val="outset" w:sz="6" w:space="0" w:color="auto"/>
            </w:tcBorders>
            <w:vAlign w:val="center"/>
            <w:hideMark/>
          </w:tcPr>
          <w:p w14:paraId="511A2312" w14:textId="77777777" w:rsidR="00203F72" w:rsidRPr="00A53581" w:rsidRDefault="00203F72" w:rsidP="00D87D91">
            <w:pPr>
              <w:rPr>
                <w:rFonts w:cs="新細明體"/>
              </w:rPr>
            </w:pPr>
            <w:r w:rsidRPr="00A53581">
              <w:t>政府立法機關行使治權</w:t>
            </w:r>
          </w:p>
        </w:tc>
        <w:tc>
          <w:tcPr>
            <w:tcW w:w="0" w:type="auto"/>
            <w:tcBorders>
              <w:top w:val="outset" w:sz="6" w:space="0" w:color="auto"/>
              <w:left w:val="outset" w:sz="6" w:space="0" w:color="auto"/>
              <w:bottom w:val="outset" w:sz="6" w:space="0" w:color="auto"/>
              <w:right w:val="outset" w:sz="6" w:space="0" w:color="auto"/>
            </w:tcBorders>
            <w:vAlign w:val="center"/>
            <w:hideMark/>
          </w:tcPr>
          <w:p w14:paraId="72C05163" w14:textId="77777777" w:rsidR="00203F72" w:rsidRPr="00A53581" w:rsidRDefault="00203F72" w:rsidP="00D87D91">
            <w:pPr>
              <w:rPr>
                <w:rFonts w:cs="新細明體"/>
              </w:rPr>
            </w:pPr>
            <w:r w:rsidRPr="00A53581">
              <w:t>國家最高議會兼有政權治權</w:t>
            </w:r>
          </w:p>
        </w:tc>
      </w:tr>
      <w:tr w:rsidR="00203F72" w:rsidRPr="00A53581" w14:paraId="1DC2C184" w14:textId="77777777" w:rsidTr="00203F72">
        <w:tc>
          <w:tcPr>
            <w:tcW w:w="0" w:type="auto"/>
            <w:tcBorders>
              <w:top w:val="outset" w:sz="6" w:space="0" w:color="auto"/>
              <w:left w:val="outset" w:sz="6" w:space="0" w:color="auto"/>
              <w:bottom w:val="outset" w:sz="6" w:space="0" w:color="auto"/>
              <w:right w:val="outset" w:sz="6" w:space="0" w:color="auto"/>
            </w:tcBorders>
            <w:vAlign w:val="center"/>
            <w:hideMark/>
          </w:tcPr>
          <w:p w14:paraId="18566AAA" w14:textId="77777777" w:rsidR="00203F72" w:rsidRPr="00A53581" w:rsidRDefault="00203F72" w:rsidP="00D87D91">
            <w:pPr>
              <w:rPr>
                <w:rFonts w:cs="新細明體"/>
              </w:rPr>
            </w:pPr>
            <w:r w:rsidRPr="00A53581">
              <w:t>監察院</w:t>
            </w:r>
          </w:p>
        </w:tc>
        <w:tc>
          <w:tcPr>
            <w:tcW w:w="0" w:type="auto"/>
            <w:tcBorders>
              <w:top w:val="outset" w:sz="6" w:space="0" w:color="auto"/>
              <w:left w:val="outset" w:sz="6" w:space="0" w:color="auto"/>
              <w:bottom w:val="outset" w:sz="6" w:space="0" w:color="auto"/>
              <w:right w:val="outset" w:sz="6" w:space="0" w:color="auto"/>
            </w:tcBorders>
            <w:vAlign w:val="center"/>
            <w:hideMark/>
          </w:tcPr>
          <w:p w14:paraId="4646CA48" w14:textId="77777777" w:rsidR="00203F72" w:rsidRPr="00A53581" w:rsidRDefault="00203F72" w:rsidP="00D87D91">
            <w:pPr>
              <w:rPr>
                <w:rFonts w:cs="新細明體"/>
              </w:rPr>
            </w:pPr>
            <w:r w:rsidRPr="00A53581">
              <w:t>省議會選舉之議會機關</w:t>
            </w:r>
          </w:p>
        </w:tc>
        <w:tc>
          <w:tcPr>
            <w:tcW w:w="0" w:type="auto"/>
            <w:tcBorders>
              <w:top w:val="outset" w:sz="6" w:space="0" w:color="auto"/>
              <w:left w:val="outset" w:sz="6" w:space="0" w:color="auto"/>
              <w:bottom w:val="outset" w:sz="6" w:space="0" w:color="auto"/>
              <w:right w:val="outset" w:sz="6" w:space="0" w:color="auto"/>
            </w:tcBorders>
            <w:vAlign w:val="center"/>
            <w:hideMark/>
          </w:tcPr>
          <w:p w14:paraId="24CB13C9" w14:textId="77777777" w:rsidR="00203F72" w:rsidRPr="00A53581" w:rsidRDefault="00203F72" w:rsidP="00D87D91">
            <w:pPr>
              <w:rPr>
                <w:rFonts w:cs="新細明體"/>
              </w:rPr>
            </w:pPr>
            <w:r w:rsidRPr="00A53581">
              <w:t>總統提名，立法院同意產生之監察機關</w:t>
            </w:r>
          </w:p>
        </w:tc>
      </w:tr>
      <w:tr w:rsidR="00203F72" w:rsidRPr="00A53581" w14:paraId="6189DCF0" w14:textId="77777777" w:rsidTr="00203F72">
        <w:tc>
          <w:tcPr>
            <w:tcW w:w="0" w:type="auto"/>
            <w:tcBorders>
              <w:top w:val="outset" w:sz="6" w:space="0" w:color="auto"/>
              <w:left w:val="outset" w:sz="6" w:space="0" w:color="auto"/>
              <w:bottom w:val="outset" w:sz="6" w:space="0" w:color="auto"/>
              <w:right w:val="outset" w:sz="6" w:space="0" w:color="auto"/>
            </w:tcBorders>
            <w:vAlign w:val="center"/>
            <w:hideMark/>
          </w:tcPr>
          <w:p w14:paraId="5386A0F8" w14:textId="77777777" w:rsidR="00203F72" w:rsidRPr="00A53581" w:rsidRDefault="00203F72" w:rsidP="00D87D91">
            <w:pPr>
              <w:rPr>
                <w:rFonts w:cs="新細明體"/>
              </w:rPr>
            </w:pPr>
            <w:r w:rsidRPr="00A53581">
              <w:t>政府體制</w:t>
            </w:r>
          </w:p>
        </w:tc>
        <w:tc>
          <w:tcPr>
            <w:tcW w:w="0" w:type="auto"/>
            <w:tcBorders>
              <w:top w:val="outset" w:sz="6" w:space="0" w:color="auto"/>
              <w:left w:val="outset" w:sz="6" w:space="0" w:color="auto"/>
              <w:bottom w:val="outset" w:sz="6" w:space="0" w:color="auto"/>
              <w:right w:val="outset" w:sz="6" w:space="0" w:color="auto"/>
            </w:tcBorders>
            <w:vAlign w:val="center"/>
            <w:hideMark/>
          </w:tcPr>
          <w:p w14:paraId="6EDA36E3" w14:textId="77777777" w:rsidR="00203F72" w:rsidRPr="00A53581" w:rsidRDefault="00203F72" w:rsidP="00D87D91">
            <w:pPr>
              <w:rPr>
                <w:rFonts w:cs="新細明體"/>
              </w:rPr>
            </w:pPr>
            <w:r w:rsidRPr="00A53581">
              <w:t>內閣制</w:t>
            </w:r>
          </w:p>
        </w:tc>
        <w:tc>
          <w:tcPr>
            <w:tcW w:w="0" w:type="auto"/>
            <w:tcBorders>
              <w:top w:val="outset" w:sz="6" w:space="0" w:color="auto"/>
              <w:left w:val="outset" w:sz="6" w:space="0" w:color="auto"/>
              <w:bottom w:val="outset" w:sz="6" w:space="0" w:color="auto"/>
              <w:right w:val="outset" w:sz="6" w:space="0" w:color="auto"/>
            </w:tcBorders>
            <w:vAlign w:val="center"/>
            <w:hideMark/>
          </w:tcPr>
          <w:p w14:paraId="447898C7" w14:textId="77777777" w:rsidR="00203F72" w:rsidRPr="00A53581" w:rsidRDefault="00203F72" w:rsidP="00D87D91">
            <w:pPr>
              <w:rPr>
                <w:rFonts w:cs="新細明體"/>
              </w:rPr>
            </w:pPr>
            <w:r w:rsidRPr="00A53581">
              <w:t>半總統制</w:t>
            </w:r>
          </w:p>
        </w:tc>
      </w:tr>
      <w:tr w:rsidR="00203F72" w:rsidRPr="00A53581" w14:paraId="05A08480" w14:textId="77777777" w:rsidTr="00203F72">
        <w:tc>
          <w:tcPr>
            <w:tcW w:w="0" w:type="auto"/>
            <w:tcBorders>
              <w:top w:val="outset" w:sz="6" w:space="0" w:color="auto"/>
              <w:left w:val="outset" w:sz="6" w:space="0" w:color="auto"/>
              <w:bottom w:val="outset" w:sz="6" w:space="0" w:color="auto"/>
              <w:right w:val="outset" w:sz="6" w:space="0" w:color="auto"/>
            </w:tcBorders>
            <w:vAlign w:val="center"/>
            <w:hideMark/>
          </w:tcPr>
          <w:p w14:paraId="00EDCA71" w14:textId="77777777" w:rsidR="00203F72" w:rsidRPr="00A53581" w:rsidRDefault="00203F72" w:rsidP="00D87D91">
            <w:pPr>
              <w:rPr>
                <w:rFonts w:cs="新細明體"/>
              </w:rPr>
            </w:pPr>
            <w:r w:rsidRPr="00A53581">
              <w:t>地方制度</w:t>
            </w:r>
          </w:p>
        </w:tc>
        <w:tc>
          <w:tcPr>
            <w:tcW w:w="0" w:type="auto"/>
            <w:tcBorders>
              <w:top w:val="outset" w:sz="6" w:space="0" w:color="auto"/>
              <w:left w:val="outset" w:sz="6" w:space="0" w:color="auto"/>
              <w:bottom w:val="outset" w:sz="6" w:space="0" w:color="auto"/>
              <w:right w:val="outset" w:sz="6" w:space="0" w:color="auto"/>
            </w:tcBorders>
            <w:vAlign w:val="center"/>
            <w:hideMark/>
          </w:tcPr>
          <w:p w14:paraId="3D7C1011" w14:textId="77777777" w:rsidR="00203F72" w:rsidRPr="00A53581" w:rsidRDefault="00203F72" w:rsidP="00D87D91">
            <w:pPr>
              <w:rPr>
                <w:rFonts w:cs="新細明體"/>
              </w:rPr>
            </w:pPr>
            <w:r w:rsidRPr="00A53581">
              <w:t>省縣自治</w:t>
            </w:r>
          </w:p>
        </w:tc>
        <w:tc>
          <w:tcPr>
            <w:tcW w:w="0" w:type="auto"/>
            <w:tcBorders>
              <w:top w:val="outset" w:sz="6" w:space="0" w:color="auto"/>
              <w:left w:val="outset" w:sz="6" w:space="0" w:color="auto"/>
              <w:bottom w:val="outset" w:sz="6" w:space="0" w:color="auto"/>
              <w:right w:val="outset" w:sz="6" w:space="0" w:color="auto"/>
            </w:tcBorders>
            <w:vAlign w:val="center"/>
            <w:hideMark/>
          </w:tcPr>
          <w:p w14:paraId="5B812CCC" w14:textId="77777777" w:rsidR="00203F72" w:rsidRPr="00A53581" w:rsidRDefault="00203F72" w:rsidP="00D87D91">
            <w:pPr>
              <w:rPr>
                <w:rFonts w:cs="新細明體"/>
              </w:rPr>
            </w:pPr>
            <w:r w:rsidRPr="00A53581">
              <w:t>縣自治，省主席由中央任命</w:t>
            </w:r>
          </w:p>
        </w:tc>
      </w:tr>
      <w:tr w:rsidR="00203F72" w:rsidRPr="00A53581" w14:paraId="5F623869" w14:textId="77777777" w:rsidTr="00203F72">
        <w:tc>
          <w:tcPr>
            <w:tcW w:w="0" w:type="auto"/>
            <w:tcBorders>
              <w:top w:val="outset" w:sz="6" w:space="0" w:color="auto"/>
              <w:left w:val="outset" w:sz="6" w:space="0" w:color="auto"/>
              <w:bottom w:val="outset" w:sz="6" w:space="0" w:color="auto"/>
              <w:right w:val="outset" w:sz="6" w:space="0" w:color="auto"/>
            </w:tcBorders>
            <w:vAlign w:val="center"/>
            <w:hideMark/>
          </w:tcPr>
          <w:p w14:paraId="7A07D5AC" w14:textId="77777777" w:rsidR="00203F72" w:rsidRPr="00A53581" w:rsidRDefault="00203F72" w:rsidP="00D87D91">
            <w:pPr>
              <w:rPr>
                <w:rFonts w:cs="新細明體"/>
              </w:rPr>
            </w:pPr>
            <w:r w:rsidRPr="00A53581">
              <w:t>修憲及領土變更程序</w:t>
            </w:r>
          </w:p>
        </w:tc>
        <w:tc>
          <w:tcPr>
            <w:tcW w:w="0" w:type="auto"/>
            <w:tcBorders>
              <w:top w:val="outset" w:sz="6" w:space="0" w:color="auto"/>
              <w:left w:val="outset" w:sz="6" w:space="0" w:color="auto"/>
              <w:bottom w:val="outset" w:sz="6" w:space="0" w:color="auto"/>
              <w:right w:val="outset" w:sz="6" w:space="0" w:color="auto"/>
            </w:tcBorders>
            <w:vAlign w:val="center"/>
            <w:hideMark/>
          </w:tcPr>
          <w:p w14:paraId="199D2A03" w14:textId="77777777" w:rsidR="00203F72" w:rsidRPr="00A53581" w:rsidRDefault="00203F72" w:rsidP="00D87D91">
            <w:pPr>
              <w:rPr>
                <w:rFonts w:cs="新細明體"/>
              </w:rPr>
            </w:pPr>
            <w:r w:rsidRPr="00A53581">
              <w:t>國民大會複決</w:t>
            </w:r>
          </w:p>
        </w:tc>
        <w:tc>
          <w:tcPr>
            <w:tcW w:w="0" w:type="auto"/>
            <w:tcBorders>
              <w:top w:val="outset" w:sz="6" w:space="0" w:color="auto"/>
              <w:left w:val="outset" w:sz="6" w:space="0" w:color="auto"/>
              <w:bottom w:val="outset" w:sz="6" w:space="0" w:color="auto"/>
              <w:right w:val="outset" w:sz="6" w:space="0" w:color="auto"/>
            </w:tcBorders>
            <w:vAlign w:val="center"/>
            <w:hideMark/>
          </w:tcPr>
          <w:p w14:paraId="3D6178C0" w14:textId="77777777" w:rsidR="00203F72" w:rsidRPr="00A53581" w:rsidRDefault="00203F72" w:rsidP="00D87D91">
            <w:pPr>
              <w:rPr>
                <w:rFonts w:cs="新細明體"/>
              </w:rPr>
            </w:pPr>
            <w:r w:rsidRPr="00A53581">
              <w:t>自由地區選舉人複決</w:t>
            </w:r>
          </w:p>
        </w:tc>
      </w:tr>
    </w:tbl>
    <w:p w14:paraId="561B0C1B" w14:textId="77777777"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1419" w:history="1">
        <w:r w:rsidR="00203F72" w:rsidRPr="00A53581">
          <w:rPr>
            <w:rStyle w:val="a5"/>
          </w:rPr>
          <w:t>https://zh.wikipedia.org/wiki/%E4%B8%AD%E8%8F%AF%E6%B0%91%E5%9C%8B%E6%86%B2%E6%B3%95</w:t>
        </w:r>
      </w:hyperlink>
      <w:r w:rsidR="00203F72" w:rsidRPr="00A53581">
        <w:t>。</w:t>
      </w:r>
    </w:p>
    <w:p w14:paraId="66AC3A3A" w14:textId="77777777" w:rsidR="00145751" w:rsidRDefault="00145751" w:rsidP="00670577">
      <w:pPr>
        <w:jc w:val="right"/>
        <w:rPr>
          <w:rFonts w:ascii="新細明體" w:hAnsi="新細明體"/>
        </w:rPr>
      </w:pPr>
      <w:r w:rsidRPr="0026266A">
        <w:rPr>
          <w:rFonts w:hint="eastAsia"/>
        </w:rPr>
        <w:t>。。。。。。。。。。。。。。。。。。。。。。。。。</w:t>
      </w:r>
      <w:hyperlink w:anchor="a目次2" w:history="1">
        <w:r>
          <w:rPr>
            <w:rStyle w:val="a5"/>
            <w:sz w:val="18"/>
          </w:rPr>
          <w:t>回目次</w:t>
        </w:r>
      </w:hyperlink>
      <w:r w:rsidR="00E91F89">
        <w:rPr>
          <w:rFonts w:ascii="新細明體" w:hAnsi="新細明體"/>
          <w:color w:val="808000"/>
        </w:rPr>
        <w:t>〉〉</w:t>
      </w:r>
    </w:p>
    <w:bookmarkStart w:id="43" w:name="_第1條（人民行使直接民權）"/>
    <w:bookmarkEnd w:id="43"/>
    <w:p w14:paraId="7842BBC7" w14:textId="77777777" w:rsidR="0095315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"b1"</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1</w:t>
      </w:r>
      <w:r w:rsidR="00203F72" w:rsidRPr="001C1A86">
        <w:rPr>
          <w:rStyle w:val="a5"/>
          <w:rFonts w:ascii="Arial Unicode MS" w:hAnsi="Arial Unicode MS"/>
        </w:rPr>
        <w:t>條</w:t>
      </w:r>
      <w:r>
        <w:fldChar w:fldCharType="end"/>
      </w:r>
      <w:r w:rsidR="00203F72" w:rsidRPr="00A53581">
        <w:t>（人民行使直接民權）</w:t>
      </w:r>
    </w:p>
    <w:p w14:paraId="332AB309" w14:textId="77777777" w:rsidR="000810D6" w:rsidRDefault="00367D0C" w:rsidP="00D87D91">
      <w:r>
        <w:t xml:space="preserve">　　</w:t>
      </w:r>
      <w:r w:rsidR="00203F72" w:rsidRPr="00A53581">
        <w:t>（</w:t>
      </w:r>
      <w:r w:rsidR="00203F72" w:rsidRPr="00A53581">
        <w:t>1</w:t>
      </w:r>
      <w:r w:rsidR="00203F72" w:rsidRPr="00A53581">
        <w:t>）中華民國自由地區選舉人於立法院提出憲法修正案、領土變更案，經公告半年，應於三個月內投票複決，不適用憲法</w:t>
      </w:r>
      <w:hyperlink r:id="rId1420" w:anchor="a4" w:history="1">
        <w:r w:rsidR="001B1539" w:rsidRPr="001B1539">
          <w:rPr>
            <w:rStyle w:val="a5"/>
            <w:kern w:val="0"/>
          </w:rPr>
          <w:t>第四條</w:t>
        </w:r>
      </w:hyperlink>
      <w:r w:rsidR="00203F72" w:rsidRPr="00A53581">
        <w:t>、</w:t>
      </w:r>
      <w:r w:rsidR="00541C0B" w:rsidRPr="00A53581">
        <w:rPr>
          <w:kern w:val="0"/>
          <w:lang w:bidi="bn-IN"/>
        </w:rPr>
        <w:t>第</w:t>
      </w:r>
      <w:hyperlink r:id="rId1421" w:anchor="a174" w:history="1">
        <w:r w:rsidR="00541C0B" w:rsidRPr="00541C0B">
          <w:rPr>
            <w:rStyle w:val="a5"/>
            <w:kern w:val="0"/>
            <w:lang w:bidi="bn-IN"/>
          </w:rPr>
          <w:t>一百七十四</w:t>
        </w:r>
      </w:hyperlink>
      <w:r w:rsidR="00541C0B" w:rsidRPr="00A53581">
        <w:rPr>
          <w:kern w:val="0"/>
          <w:lang w:bidi="bn-IN"/>
        </w:rPr>
        <w:t>條</w:t>
      </w:r>
      <w:r w:rsidR="00203F72" w:rsidRPr="00A53581">
        <w:t>之規定</w:t>
      </w:r>
      <w:r w:rsidR="00545D58">
        <w:t>。</w:t>
      </w:r>
    </w:p>
    <w:p w14:paraId="08232FEC" w14:textId="77777777" w:rsidR="00953151"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（2）憲法</w:t>
      </w:r>
      <w:r w:rsidR="001F6A1B" w:rsidRPr="00E07281">
        <w:t>第</w:t>
      </w:r>
      <w:hyperlink r:id="rId1422" w:anchor="a25" w:history="1">
        <w:r w:rsidR="001F6A1B" w:rsidRPr="00E07281">
          <w:rPr>
            <w:rStyle w:val="a5"/>
          </w:rPr>
          <w:t>二十五</w:t>
        </w:r>
      </w:hyperlink>
      <w:r w:rsidR="001F6A1B" w:rsidRPr="00E07281">
        <w:t>條</w:t>
      </w:r>
      <w:r w:rsidR="00203F72" w:rsidRPr="00A53581">
        <w:rPr>
          <w:rFonts w:ascii="新細明體" w:hAnsi="新細明體"/>
        </w:rPr>
        <w:t>至第三十四條及</w:t>
      </w:r>
      <w:r w:rsidR="001B1539" w:rsidRPr="00A53581">
        <w:rPr>
          <w:rFonts w:ascii="新細明體" w:hAnsi="新細明體"/>
        </w:rPr>
        <w:t>第</w:t>
      </w:r>
      <w:hyperlink r:id="rId1423" w:anchor="a135" w:history="1">
        <w:r w:rsidR="001B1539" w:rsidRPr="001B1539">
          <w:rPr>
            <w:rStyle w:val="a5"/>
          </w:rPr>
          <w:t>一百三十五</w:t>
        </w:r>
      </w:hyperlink>
      <w:r w:rsidR="001B1539" w:rsidRPr="00A53581">
        <w:rPr>
          <w:rFonts w:ascii="新細明體" w:hAnsi="新細明體"/>
        </w:rPr>
        <w:t>條</w:t>
      </w:r>
      <w:r w:rsidR="00203F72" w:rsidRPr="00A53581">
        <w:rPr>
          <w:rFonts w:ascii="新細明體" w:hAnsi="新細明體"/>
        </w:rPr>
        <w:t>之規定，停止適用</w:t>
      </w:r>
      <w:r w:rsidR="00545D58">
        <w:rPr>
          <w:rFonts w:ascii="新細明體" w:hAnsi="新細明體"/>
        </w:rPr>
        <w:t>。</w:t>
      </w:r>
    </w:p>
    <w:p w14:paraId="48F2276F" w14:textId="77777777" w:rsidR="00203F72" w:rsidRPr="001B1539" w:rsidRDefault="00B03E84" w:rsidP="00D87D91">
      <w:r w:rsidRPr="001B1539">
        <w:t>【內容解析</w:t>
      </w:r>
      <w:r w:rsidR="005E23E3" w:rsidRPr="001B1539">
        <w:t>】</w:t>
      </w:r>
      <w:r w:rsidR="00203F72" w:rsidRPr="001B1539">
        <w:t xml:space="preserve"> </w:t>
      </w:r>
    </w:p>
    <w:p w14:paraId="0CDF97BB" w14:textId="77777777" w:rsidR="00953151" w:rsidRPr="001B1539" w:rsidRDefault="00367D0C" w:rsidP="00D87D91">
      <w:r w:rsidRPr="001B1539">
        <w:t xml:space="preserve">　　</w:t>
      </w:r>
      <w:r w:rsidR="00203F72" w:rsidRPr="001B1539">
        <w:t>憲法增修條</w:t>
      </w:r>
      <w:r w:rsidR="001B1539" w:rsidRPr="00A53581">
        <w:rPr>
          <w:rFonts w:ascii="新細明體" w:hAnsi="新細明體"/>
        </w:rPr>
        <w:t>文</w:t>
      </w:r>
      <w:hyperlink r:id="rId1424" w:anchor="b1" w:history="1">
        <w:r w:rsidR="001B1539" w:rsidRPr="001B1539">
          <w:rPr>
            <w:rStyle w:val="a5"/>
          </w:rPr>
          <w:t>第1條</w:t>
        </w:r>
      </w:hyperlink>
      <w:r w:rsidR="00203F72" w:rsidRPr="001B1539">
        <w:t>第</w:t>
      </w:r>
      <w:r w:rsidR="00203F72" w:rsidRPr="001B1539">
        <w:t>1</w:t>
      </w:r>
      <w:r w:rsidR="00203F72" w:rsidRPr="001B1539">
        <w:t>項之立法意旨，主要係為中華民國國民能夠行使「直接」之民權，而非「間接」之民權，此即為「公投入憲」之精神；依據憲法增修條</w:t>
      </w:r>
      <w:r w:rsidR="007C2A42" w:rsidRPr="00A53581">
        <w:rPr>
          <w:rFonts w:ascii="新細明體" w:hAnsi="新細明體"/>
        </w:rPr>
        <w:t>文</w:t>
      </w:r>
      <w:hyperlink r:id="rId1425" w:anchor="b1" w:history="1">
        <w:r w:rsidR="007C2A42" w:rsidRPr="001B1539">
          <w:rPr>
            <w:rStyle w:val="a5"/>
          </w:rPr>
          <w:t>第1條</w:t>
        </w:r>
      </w:hyperlink>
      <w:r w:rsidR="00203F72" w:rsidRPr="001B1539">
        <w:t>第</w:t>
      </w:r>
      <w:r w:rsidR="008F066C">
        <w:t>1</w:t>
      </w:r>
      <w:r w:rsidR="00203F72" w:rsidRPr="001B1539">
        <w:t>項之規定，中華民國自由地區之選舉人，如擬提出憲法修正案，或是領土之變更案；則可於立法院提出上述之修正案或變更案之後，修正案或變更案經過半年之公告，應於</w:t>
      </w:r>
      <w:r w:rsidR="00203F72" w:rsidRPr="001B1539">
        <w:t>3</w:t>
      </w:r>
      <w:r w:rsidR="00203F72" w:rsidRPr="001B1539">
        <w:t>個月之內，針對於上述之憲法修正案或領土變更案進行投票複決，不適用憲法</w:t>
      </w:r>
      <w:hyperlink r:id="rId1426" w:anchor="a4" w:history="1">
        <w:r w:rsidR="00203F72" w:rsidRPr="00B23D06">
          <w:rPr>
            <w:rStyle w:val="a5"/>
            <w:rFonts w:ascii="Times New Roman" w:eastAsia="新細明體" w:hAnsi="Times New Roman"/>
          </w:rPr>
          <w:t>第</w:t>
        </w:r>
        <w:r w:rsidR="00203F72" w:rsidRPr="00B23D06">
          <w:rPr>
            <w:rStyle w:val="a5"/>
            <w:rFonts w:ascii="Times New Roman" w:eastAsia="新細明體" w:hAnsi="Times New Roman"/>
          </w:rPr>
          <w:t>4</w:t>
        </w:r>
        <w:r w:rsidR="00203F72" w:rsidRPr="00B23D06">
          <w:rPr>
            <w:rStyle w:val="a5"/>
            <w:rFonts w:ascii="Times New Roman" w:eastAsia="新細明體" w:hAnsi="Times New Roman"/>
          </w:rPr>
          <w:t>條</w:t>
        </w:r>
      </w:hyperlink>
      <w:r w:rsidR="00203F72" w:rsidRPr="001B1539">
        <w:t>及</w:t>
      </w:r>
      <w:hyperlink r:id="rId1427" w:anchor="a174" w:history="1">
        <w:r w:rsidR="00203F72" w:rsidRPr="00EC4A11">
          <w:rPr>
            <w:rStyle w:val="a5"/>
            <w:rFonts w:ascii="Times New Roman" w:eastAsia="新細明體" w:hAnsi="Times New Roman"/>
          </w:rPr>
          <w:t>第</w:t>
        </w:r>
        <w:r w:rsidR="00203F72" w:rsidRPr="00EC4A11">
          <w:rPr>
            <w:rStyle w:val="a5"/>
            <w:rFonts w:ascii="Times New Roman" w:eastAsia="新細明體" w:hAnsi="Times New Roman"/>
          </w:rPr>
          <w:t>174</w:t>
        </w:r>
        <w:r w:rsidR="00203F72" w:rsidRPr="00EC4A11">
          <w:rPr>
            <w:rStyle w:val="a5"/>
            <w:rFonts w:ascii="Times New Roman" w:eastAsia="新細明體" w:hAnsi="Times New Roman"/>
          </w:rPr>
          <w:t>條</w:t>
        </w:r>
      </w:hyperlink>
      <w:r w:rsidR="00203F72" w:rsidRPr="001B1539">
        <w:t>之規定，此即為公投之精神，由人民直接行使權力。</w:t>
      </w:r>
    </w:p>
    <w:p w14:paraId="78CCA291" w14:textId="77777777" w:rsidR="00953151" w:rsidRPr="001F5816" w:rsidRDefault="00367D0C" w:rsidP="001F5816">
      <w:r w:rsidRPr="001F5816">
        <w:t xml:space="preserve">　　</w:t>
      </w:r>
      <w:r w:rsidR="00203F72" w:rsidRPr="001F5816">
        <w:t>在憲法增修條</w:t>
      </w:r>
      <w:r w:rsidR="001B1539" w:rsidRPr="001F5816">
        <w:t>文</w:t>
      </w:r>
      <w:hyperlink r:id="rId1428" w:anchor="b1" w:history="1">
        <w:r w:rsidR="001B1539" w:rsidRPr="001F5816">
          <w:rPr>
            <w:rStyle w:val="a5"/>
          </w:rPr>
          <w:t>第1條</w:t>
        </w:r>
      </w:hyperlink>
      <w:r w:rsidR="00203F72" w:rsidRPr="001F5816">
        <w:t>第</w:t>
      </w:r>
      <w:r w:rsidR="00203F72" w:rsidRPr="001F5816">
        <w:t>2</w:t>
      </w:r>
      <w:r w:rsidR="00203F72" w:rsidRPr="001F5816">
        <w:t>項方面，主要之修正意旨，係將國民大會之相關規定，停止適用；被停止適用之條文，包括：</w:t>
      </w:r>
      <w:hyperlink r:id="rId1429" w:anchor="a25" w:history="1">
        <w:r w:rsidR="007C2A42" w:rsidRPr="001F5816">
          <w:rPr>
            <w:rStyle w:val="a5"/>
          </w:rPr>
          <w:t>第25條</w:t>
        </w:r>
      </w:hyperlink>
      <w:r w:rsidR="007C2A42" w:rsidRPr="001F5816">
        <w:t xml:space="preserve"> </w:t>
      </w:r>
      <w:r w:rsidR="00203F72" w:rsidRPr="001F5816">
        <w:t>(</w:t>
      </w:r>
      <w:r w:rsidR="00203F72" w:rsidRPr="001F5816">
        <w:t>國民大會之憲法地位；</w:t>
      </w:r>
      <w:hyperlink r:id="rId1430" w:anchor="a26" w:history="1">
        <w:r w:rsidR="007C2A42" w:rsidRPr="001F5816">
          <w:rPr>
            <w:rStyle w:val="a5"/>
          </w:rPr>
          <w:t>第26條</w:t>
        </w:r>
      </w:hyperlink>
      <w:r w:rsidR="007C2A42" w:rsidRPr="001F5816">
        <w:t xml:space="preserve"> </w:t>
      </w:r>
      <w:r w:rsidR="00203F72" w:rsidRPr="001F5816">
        <w:t>(</w:t>
      </w:r>
      <w:r w:rsidR="00203F72" w:rsidRPr="001F5816">
        <w:t>國大代表之名額</w:t>
      </w:r>
      <w:r w:rsidR="00203F72" w:rsidRPr="001F5816">
        <w:t>)</w:t>
      </w:r>
      <w:r w:rsidR="00203F72" w:rsidRPr="001F5816">
        <w:t>；</w:t>
      </w:r>
      <w:hyperlink r:id="rId1431" w:anchor="a27" w:history="1">
        <w:r w:rsidR="00203F72" w:rsidRPr="001F5816">
          <w:rPr>
            <w:rStyle w:val="a5"/>
          </w:rPr>
          <w:t>第27條</w:t>
        </w:r>
      </w:hyperlink>
      <w:r w:rsidR="00203F72" w:rsidRPr="001F5816">
        <w:t>(</w:t>
      </w:r>
      <w:r w:rsidR="00203F72" w:rsidRPr="001F5816">
        <w:t>國民大會之職權</w:t>
      </w:r>
      <w:r w:rsidR="00203F72" w:rsidRPr="001F5816">
        <w:t>)</w:t>
      </w:r>
      <w:r w:rsidR="00203F72" w:rsidRPr="001F5816">
        <w:t>；</w:t>
      </w:r>
      <w:hyperlink r:id="rId1432" w:anchor="a28" w:history="1">
        <w:r w:rsidR="00203F72" w:rsidRPr="001F5816">
          <w:rPr>
            <w:rStyle w:val="a5"/>
          </w:rPr>
          <w:t>第28條</w:t>
        </w:r>
      </w:hyperlink>
      <w:r w:rsidR="00203F72" w:rsidRPr="001F5816">
        <w:t>(</w:t>
      </w:r>
      <w:r w:rsidR="00203F72" w:rsidRPr="001F5816">
        <w:t>國民大會代表之任期、資格之限制</w:t>
      </w:r>
      <w:r w:rsidR="00203F72" w:rsidRPr="001F5816">
        <w:t>)</w:t>
      </w:r>
      <w:r w:rsidR="00203F72" w:rsidRPr="001F5816">
        <w:t>；</w:t>
      </w:r>
      <w:hyperlink r:id="rId1433" w:anchor="a29" w:history="1">
        <w:r w:rsidR="00203F72" w:rsidRPr="001F5816">
          <w:rPr>
            <w:rStyle w:val="a5"/>
          </w:rPr>
          <w:t>第29條</w:t>
        </w:r>
      </w:hyperlink>
      <w:r w:rsidR="00203F72" w:rsidRPr="001F5816">
        <w:t>(</w:t>
      </w:r>
      <w:r w:rsidR="00203F72" w:rsidRPr="001F5816">
        <w:t>國大常會之召開</w:t>
      </w:r>
      <w:r w:rsidR="00203F72" w:rsidRPr="001F5816">
        <w:t>)</w:t>
      </w:r>
      <w:r w:rsidR="00203F72" w:rsidRPr="001F5816">
        <w:t>；</w:t>
      </w:r>
      <w:hyperlink r:id="rId1434" w:anchor="a30" w:history="1">
        <w:r w:rsidR="00203F72" w:rsidRPr="001F5816">
          <w:rPr>
            <w:rStyle w:val="a5"/>
          </w:rPr>
          <w:t>第30條</w:t>
        </w:r>
      </w:hyperlink>
      <w:r w:rsidR="00203F72" w:rsidRPr="001F5816">
        <w:t>(</w:t>
      </w:r>
      <w:r w:rsidR="00203F72" w:rsidRPr="001F5816">
        <w:t>國民大會臨時會之召集</w:t>
      </w:r>
      <w:r w:rsidR="00203F72" w:rsidRPr="001F5816">
        <w:t>)</w:t>
      </w:r>
      <w:r w:rsidR="00203F72" w:rsidRPr="001F5816">
        <w:t>；</w:t>
      </w:r>
      <w:hyperlink r:id="rId1435" w:anchor="a31" w:history="1">
        <w:r w:rsidR="00203F72" w:rsidRPr="001F5816">
          <w:rPr>
            <w:rStyle w:val="a5"/>
          </w:rPr>
          <w:t>第31條</w:t>
        </w:r>
      </w:hyperlink>
      <w:r w:rsidR="00203F72" w:rsidRPr="001F5816">
        <w:t>(</w:t>
      </w:r>
      <w:r w:rsidR="00203F72" w:rsidRPr="001F5816">
        <w:t>國民大會之開會地點</w:t>
      </w:r>
      <w:r w:rsidR="00203F72" w:rsidRPr="001F5816">
        <w:t>)</w:t>
      </w:r>
      <w:r w:rsidR="00D774A2" w:rsidRPr="001F5816">
        <w:rPr>
          <w:rFonts w:hint="eastAsia"/>
        </w:rPr>
        <w:t>；</w:t>
      </w:r>
      <w:hyperlink r:id="rId1436" w:anchor="a32" w:history="1">
        <w:r w:rsidR="00D774A2" w:rsidRPr="001F5816">
          <w:rPr>
            <w:rStyle w:val="a5"/>
            <w:rFonts w:hint="eastAsia"/>
          </w:rPr>
          <w:t>第32條</w:t>
        </w:r>
      </w:hyperlink>
      <w:r w:rsidR="00203F72" w:rsidRPr="001F5816">
        <w:t>(</w:t>
      </w:r>
      <w:r w:rsidR="00203F72" w:rsidRPr="001F5816">
        <w:t>國大代表言論免責權</w:t>
      </w:r>
      <w:r w:rsidR="00203F72" w:rsidRPr="001F5816">
        <w:t>)</w:t>
      </w:r>
      <w:r w:rsidR="00203F72" w:rsidRPr="001F5816">
        <w:t>；</w:t>
      </w:r>
      <w:hyperlink r:id="rId1437" w:anchor="a33" w:history="1">
        <w:r w:rsidR="00203F72" w:rsidRPr="001F5816">
          <w:rPr>
            <w:rStyle w:val="a5"/>
          </w:rPr>
          <w:t>第33條</w:t>
        </w:r>
      </w:hyperlink>
      <w:r w:rsidR="00203F72" w:rsidRPr="001F5816">
        <w:t>(</w:t>
      </w:r>
      <w:r w:rsidR="00203F72" w:rsidRPr="001F5816">
        <w:t>國大代表不遭受逮捕之特權</w:t>
      </w:r>
      <w:r w:rsidR="00203F72" w:rsidRPr="001F5816">
        <w:t>)</w:t>
      </w:r>
      <w:r w:rsidR="00203F72" w:rsidRPr="001F5816">
        <w:t>；</w:t>
      </w:r>
      <w:hyperlink r:id="rId1438" w:anchor="a34" w:history="1">
        <w:r w:rsidR="00203F72" w:rsidRPr="001F5816">
          <w:rPr>
            <w:rStyle w:val="a5"/>
          </w:rPr>
          <w:t>第34條</w:t>
        </w:r>
      </w:hyperlink>
      <w:r w:rsidR="00203F72" w:rsidRPr="001F5816">
        <w:t>(</w:t>
      </w:r>
      <w:r w:rsidR="00203F72" w:rsidRPr="001F5816">
        <w:t>組織、選舉、罷免及行使職權程序之法律</w:t>
      </w:r>
      <w:r w:rsidR="00203F72" w:rsidRPr="001F5816">
        <w:t>)</w:t>
      </w:r>
      <w:r w:rsidR="00203F72" w:rsidRPr="001F5816">
        <w:t>及</w:t>
      </w:r>
      <w:hyperlink r:id="rId1439" w:anchor="a135" w:history="1">
        <w:r w:rsidR="00203F72" w:rsidRPr="001F5816">
          <w:rPr>
            <w:rStyle w:val="a5"/>
          </w:rPr>
          <w:t>第135條</w:t>
        </w:r>
      </w:hyperlink>
      <w:r w:rsidR="00203F72" w:rsidRPr="001F5816">
        <w:t>(</w:t>
      </w:r>
      <w:r w:rsidR="00203F72" w:rsidRPr="001F5816">
        <w:t>內地生活習慣特殊國代之名額與選舉</w:t>
      </w:r>
      <w:r w:rsidR="00203F72" w:rsidRPr="001F5816">
        <w:t>)</w:t>
      </w:r>
      <w:r w:rsidR="00203F72" w:rsidRPr="001F5816">
        <w:t>。</w:t>
      </w:r>
    </w:p>
    <w:p w14:paraId="5D85995F" w14:textId="77777777" w:rsidR="00545D58" w:rsidRDefault="00545D58" w:rsidP="00D53F68">
      <w:pPr>
        <w:jc w:val="right"/>
        <w:rPr>
          <w:rFonts w:ascii="新細明體" w:hAnsi="新細明體"/>
          <w:color w:val="80800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6959C5B9" w14:textId="77777777" w:rsidR="00545D58" w:rsidRPr="00670577" w:rsidRDefault="00545D58" w:rsidP="00670577"/>
    <w:bookmarkStart w:id="44" w:name="_第2條（總統、副總統）"/>
    <w:bookmarkEnd w:id="44"/>
    <w:p w14:paraId="34033FD8" w14:textId="77777777" w:rsidR="0095315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"b2"</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2</w:t>
      </w:r>
      <w:r w:rsidR="00203F72" w:rsidRPr="001C1A86">
        <w:rPr>
          <w:rStyle w:val="a5"/>
          <w:rFonts w:ascii="Arial Unicode MS" w:hAnsi="Arial Unicode MS"/>
        </w:rPr>
        <w:t>條</w:t>
      </w:r>
      <w:r>
        <w:fldChar w:fldCharType="end"/>
      </w:r>
      <w:r w:rsidR="00203F72" w:rsidRPr="00A53581">
        <w:t>（總統、副總統）</w:t>
      </w:r>
      <w:r w:rsidR="00203F72" w:rsidRPr="00A53581">
        <w:t xml:space="preserve"> </w:t>
      </w:r>
    </w:p>
    <w:p w14:paraId="7BB5220C" w14:textId="77777777" w:rsidR="00367D0C" w:rsidRPr="00D73718" w:rsidRDefault="00367D0C" w:rsidP="00D87D91">
      <w:r w:rsidRPr="00D73718">
        <w:t xml:space="preserve">　　</w:t>
      </w:r>
      <w:r w:rsidR="00203F72" w:rsidRPr="00D73718">
        <w:t>（</w:t>
      </w:r>
      <w:r w:rsidR="00203F72" w:rsidRPr="00D73718">
        <w:t>1</w:t>
      </w:r>
      <w:r w:rsidR="00203F72" w:rsidRPr="00D73718">
        <w:t>）總統、副總統由中華民國自由地區全體人民直接選舉之，自中華民國八十五年第九任總統、副總統選舉實施。總統、副總統候選人應聯名登記，在選票上同列一組圈選，以得票最多之一組為當選。在國外之中華民國自由地區人民返國行使選舉權，以法律定之。</w:t>
      </w:r>
    </w:p>
    <w:p w14:paraId="6EE82BBB" w14:textId="77777777" w:rsidR="00367D0C" w:rsidRPr="00D73718" w:rsidRDefault="00367D0C" w:rsidP="00D87D91">
      <w:r w:rsidRPr="00D73718">
        <w:t xml:space="preserve">　　</w:t>
      </w:r>
      <w:r w:rsidR="00203F72" w:rsidRPr="00D73718">
        <w:t>（</w:t>
      </w:r>
      <w:r w:rsidR="00203F72" w:rsidRPr="00D73718">
        <w:t>2</w:t>
      </w:r>
      <w:r w:rsidR="00203F72" w:rsidRPr="00D73718">
        <w:t>）總統發布行政院院長與依憲法經立法院同意任命人員之任免命令及解散立法院之命令，無須行政院院長之副署，不適用憲法</w:t>
      </w:r>
      <w:r w:rsidR="00C94B4E" w:rsidRPr="00D73718">
        <w:t>第</w:t>
      </w:r>
      <w:hyperlink r:id="rId1440" w:anchor="a37" w:history="1">
        <w:r w:rsidR="00C94B4E" w:rsidRPr="00D73718">
          <w:rPr>
            <w:rStyle w:val="a5"/>
          </w:rPr>
          <w:t>三十七</w:t>
        </w:r>
      </w:hyperlink>
      <w:r w:rsidR="00C94B4E" w:rsidRPr="00D73718">
        <w:t>條</w:t>
      </w:r>
      <w:r w:rsidR="00203F72" w:rsidRPr="00D73718">
        <w:t>之規定。</w:t>
      </w:r>
    </w:p>
    <w:p w14:paraId="5BE28B0F" w14:textId="77777777" w:rsidR="00367D0C" w:rsidRPr="00D73718" w:rsidRDefault="00367D0C" w:rsidP="00D87D91">
      <w:r w:rsidRPr="00D73718">
        <w:t xml:space="preserve">　　</w:t>
      </w:r>
      <w:r w:rsidR="00203F72" w:rsidRPr="00D73718">
        <w:t>（</w:t>
      </w:r>
      <w:r w:rsidR="00203F72" w:rsidRPr="00D73718">
        <w:t>3</w:t>
      </w:r>
      <w:r w:rsidR="00203F72" w:rsidRPr="00D73718">
        <w:t>）總統為避免國家或人民遭遇緊急危難或應付財政經濟上重大變故，得經行政院會議之決議發布緊急命令，為必要之處置，不受憲法第</w:t>
      </w:r>
      <w:hyperlink r:id="rId1441" w:anchor="a43" w:history="1">
        <w:r w:rsidR="00203F72" w:rsidRPr="00D73718">
          <w:rPr>
            <w:rStyle w:val="a5"/>
          </w:rPr>
          <w:t>四十三</w:t>
        </w:r>
      </w:hyperlink>
      <w:r w:rsidR="00203F72" w:rsidRPr="00D73718">
        <w:t>條之限制。但須於發布命令後十日內提交立法院追認，如立法院不同意時，該緊急命令立即失效。</w:t>
      </w:r>
    </w:p>
    <w:p w14:paraId="1CFDAE78" w14:textId="77777777" w:rsidR="00367D0C" w:rsidRPr="00D73718" w:rsidRDefault="00367D0C" w:rsidP="00D87D91">
      <w:r w:rsidRPr="00D73718">
        <w:t xml:space="preserve">　　</w:t>
      </w:r>
      <w:r w:rsidR="00203F72" w:rsidRPr="00D73718">
        <w:t>（</w:t>
      </w:r>
      <w:r w:rsidR="00203F72" w:rsidRPr="00D73718">
        <w:t>4</w:t>
      </w:r>
      <w:r w:rsidR="00203F72" w:rsidRPr="00D73718">
        <w:t>）總統為決定國家安全有關大政方針，得設國家安全會議及所屬國家安全局，其組織以法律定之</w:t>
      </w:r>
      <w:r w:rsidR="00545D58" w:rsidRPr="00D73718">
        <w:t>。</w:t>
      </w:r>
    </w:p>
    <w:p w14:paraId="4B1AFA46" w14:textId="77777777" w:rsidR="00367D0C" w:rsidRPr="00D73718" w:rsidRDefault="00367D0C" w:rsidP="00D87D91">
      <w:r w:rsidRPr="00D73718">
        <w:t xml:space="preserve">　　</w:t>
      </w:r>
      <w:r w:rsidR="00203F72" w:rsidRPr="00D73718">
        <w:t>（</w:t>
      </w:r>
      <w:r w:rsidR="00203F72" w:rsidRPr="00D73718">
        <w:t>5</w:t>
      </w:r>
      <w:r w:rsidR="00203F72" w:rsidRPr="00D73718">
        <w:t>）總統於立法院通過對行政院院長之不信任案後十日內，經諮詢立法院院長後，得宣告解散立法院。但總統於戒嚴或緊急命令生效期間，不得解散立法院。立法院解散後，應於六十日內舉行立法委員選舉，並於選舉結果確認後十日內自行集會，其任期重新起算。</w:t>
      </w:r>
    </w:p>
    <w:p w14:paraId="6500309C" w14:textId="77777777" w:rsidR="00367D0C" w:rsidRPr="00D73718" w:rsidRDefault="00367D0C" w:rsidP="00D87D91">
      <w:r w:rsidRPr="00D73718">
        <w:t xml:space="preserve">　　</w:t>
      </w:r>
      <w:r w:rsidR="00203F72" w:rsidRPr="00D73718">
        <w:t>（</w:t>
      </w:r>
      <w:r w:rsidR="00203F72" w:rsidRPr="00D73718">
        <w:t>6</w:t>
      </w:r>
      <w:r w:rsidR="00203F72" w:rsidRPr="00D73718">
        <w:t>）總統、副總統之任期為四年，連選得連任一次，不適用憲法</w:t>
      </w:r>
      <w:r w:rsidR="006937CE" w:rsidRPr="00026C6F">
        <w:t>第</w:t>
      </w:r>
      <w:hyperlink r:id="rId1442" w:anchor="a47" w:history="1">
        <w:r w:rsidR="006937CE" w:rsidRPr="006937CE">
          <w:rPr>
            <w:rStyle w:val="a5"/>
            <w:rFonts w:ascii="Times New Roman" w:eastAsia="新細明體" w:hAnsi="Times New Roman"/>
          </w:rPr>
          <w:t>四十七</w:t>
        </w:r>
      </w:hyperlink>
      <w:r w:rsidR="006937CE" w:rsidRPr="00026C6F">
        <w:t>條</w:t>
      </w:r>
      <w:r w:rsidR="00203F72" w:rsidRPr="00D73718">
        <w:t>之規定。</w:t>
      </w:r>
    </w:p>
    <w:p w14:paraId="5355C110" w14:textId="77777777" w:rsidR="00367D0C" w:rsidRPr="00D73718" w:rsidRDefault="00367D0C" w:rsidP="00D87D91">
      <w:r w:rsidRPr="00D73718">
        <w:t xml:space="preserve">　　</w:t>
      </w:r>
      <w:r w:rsidR="00203F72" w:rsidRPr="00D73718">
        <w:t>（</w:t>
      </w:r>
      <w:r w:rsidR="00203F72" w:rsidRPr="00D73718">
        <w:t>7</w:t>
      </w:r>
      <w:r w:rsidR="00203F72" w:rsidRPr="00D73718">
        <w:t>）副總統缺位時，總統應於三個月內提名候選人，由立法院補選，繼任至原任期屆滿為止。</w:t>
      </w:r>
    </w:p>
    <w:p w14:paraId="1BDC6E56" w14:textId="77777777" w:rsidR="00F07452" w:rsidRPr="00D73718" w:rsidRDefault="00367D0C" w:rsidP="00D87D91">
      <w:r w:rsidRPr="00D73718">
        <w:t xml:space="preserve">　　</w:t>
      </w:r>
      <w:r w:rsidR="00203F72" w:rsidRPr="00D73718">
        <w:t>（</w:t>
      </w:r>
      <w:r w:rsidR="00203F72" w:rsidRPr="00D73718">
        <w:t>8</w:t>
      </w:r>
      <w:r w:rsidR="00203F72" w:rsidRPr="00D73718">
        <w:t>）總統、副總統均缺位時，由行政院院長代行其職權，並依本條第一項規定補選總統、副總統，繼任至原任期屆滿為止，不適用憲法</w:t>
      </w:r>
      <w:r w:rsidR="008F066C" w:rsidRPr="006E0E2F">
        <w:t>第</w:t>
      </w:r>
      <w:hyperlink r:id="rId1443" w:anchor="a49" w:history="1">
        <w:r w:rsidR="008F066C" w:rsidRPr="006E0E2F">
          <w:rPr>
            <w:rStyle w:val="a5"/>
          </w:rPr>
          <w:t>四十九</w:t>
        </w:r>
      </w:hyperlink>
      <w:r w:rsidR="008F066C" w:rsidRPr="006E0E2F">
        <w:t>條</w:t>
      </w:r>
      <w:r w:rsidR="00203F72" w:rsidRPr="00D73718">
        <w:t>之有關規定</w:t>
      </w:r>
      <w:r w:rsidR="00545D58" w:rsidRPr="00D73718">
        <w:t>。</w:t>
      </w:r>
    </w:p>
    <w:p w14:paraId="7281A5D1" w14:textId="77777777" w:rsidR="00367D0C" w:rsidRPr="00D73718" w:rsidRDefault="00367D0C" w:rsidP="00D87D91">
      <w:r w:rsidRPr="00D73718">
        <w:t xml:space="preserve">　　</w:t>
      </w:r>
      <w:r w:rsidR="00203F72" w:rsidRPr="00D73718">
        <w:t>（</w:t>
      </w:r>
      <w:r w:rsidR="00203F72" w:rsidRPr="00D73718">
        <w:t>9</w:t>
      </w:r>
      <w:r w:rsidR="00203F72" w:rsidRPr="00D73718">
        <w:t>）總統、副總統之罷免案，須經全體立法委員四分之一之提議，全體立法委員三分之二之同意後提出，並經中華民國自由地區選舉人總額過半數之投票，有效票過半數同意罷免時，即為通過。</w:t>
      </w:r>
    </w:p>
    <w:p w14:paraId="72C33530" w14:textId="77777777" w:rsidR="00953151" w:rsidRPr="00D73718" w:rsidRDefault="00367D0C" w:rsidP="00D87D91">
      <w:r w:rsidRPr="00D73718">
        <w:t xml:space="preserve">　　</w:t>
      </w:r>
      <w:r w:rsidR="00203F72" w:rsidRPr="00D73718">
        <w:t>（</w:t>
      </w:r>
      <w:r w:rsidR="00203F72" w:rsidRPr="00D73718">
        <w:t>10</w:t>
      </w:r>
      <w:r w:rsidR="00203F72" w:rsidRPr="00D73718">
        <w:t>）立法院提出總統、副總統彈劾案，聲請司法院大法官審理，經憲法法庭判決成立時，被彈劾人應即解職</w:t>
      </w:r>
      <w:r w:rsidR="00545D58" w:rsidRPr="00D73718">
        <w:t>。</w:t>
      </w:r>
    </w:p>
    <w:p w14:paraId="45DC72CA" w14:textId="77777777" w:rsidR="00203F72" w:rsidRPr="00D73718" w:rsidRDefault="00B03E84" w:rsidP="00D87D91">
      <w:r w:rsidRPr="00D73718">
        <w:t>【內容解析】</w:t>
      </w:r>
    </w:p>
    <w:p w14:paraId="352C8F11" w14:textId="77777777" w:rsidR="00953151" w:rsidRDefault="00367D0C" w:rsidP="00D87D91">
      <w:r w:rsidRPr="00D73718">
        <w:t xml:space="preserve">　　</w:t>
      </w:r>
      <w:r w:rsidR="00203F72" w:rsidRPr="00D73718">
        <w:t>就憲法增修條</w:t>
      </w:r>
      <w:r w:rsidR="001B1539" w:rsidRPr="001B1539">
        <w:t>文</w:t>
      </w:r>
      <w:hyperlink r:id="rId1444"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總統體制而論，我國總統職權之體制型態，究竟為何？學者及專家們之看法不一，計有以下之數種</w:t>
      </w:r>
      <w:r w:rsidR="00203F72" w:rsidRPr="00D73718">
        <w:footnoteReference w:id="130"/>
      </w:r>
      <w:r w:rsidR="00203F72" w:rsidRPr="00D73718">
        <w:t>：一、它是總統制（實權總統）與內閣制（虛位之首）之折衷混合制；二、半總統制</w:t>
      </w:r>
      <w:r w:rsidR="00203F72" w:rsidRPr="00D73718">
        <w:t>(</w:t>
      </w:r>
      <w:r w:rsidR="00203F72" w:rsidRPr="00D73718">
        <w:t>雙首長制</w:t>
      </w:r>
      <w:r w:rsidR="00203F72" w:rsidRPr="00D73718">
        <w:t>)</w:t>
      </w:r>
      <w:r w:rsidR="00203F72" w:rsidRPr="00D73718">
        <w:t>。</w:t>
      </w:r>
    </w:p>
    <w:p w14:paraId="0979574C" w14:textId="77777777" w:rsidR="00D53F68" w:rsidRPr="00D73718" w:rsidRDefault="00D53F68" w:rsidP="00D87D91"/>
    <w:p w14:paraId="0F16A31A" w14:textId="2CCC8031" w:rsidR="00203F72" w:rsidRPr="00D73718" w:rsidRDefault="00B03E84" w:rsidP="00D87D91">
      <w:r w:rsidRPr="00D73718">
        <w:t>【</w:t>
      </w:r>
      <w:r w:rsidRPr="00D73718">
        <w:t>table</w:t>
      </w:r>
      <w:r w:rsidR="005E23E3" w:rsidRPr="00D73718">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78</w:t>
      </w:r>
      <w:r w:rsidR="00076467">
        <w:rPr>
          <w:noProof/>
        </w:rPr>
        <w:fldChar w:fldCharType="end"/>
      </w:r>
      <w:r w:rsidR="00203F72" w:rsidRPr="00D73718">
        <w:rPr>
          <w:rFonts w:hint="eastAsia"/>
        </w:rPr>
        <w:t>總統制下的民意政治要求與主要權力分立制衡機制</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6"/>
        <w:gridCol w:w="4040"/>
      </w:tblGrid>
      <w:tr w:rsidR="00203F72" w:rsidRPr="00D73718" w14:paraId="19433D8E" w14:textId="77777777" w:rsidTr="00E16174">
        <w:trPr>
          <w:tblHeader/>
        </w:trPr>
        <w:tc>
          <w:tcPr>
            <w:tcW w:w="3756" w:type="dxa"/>
            <w:shd w:val="clear" w:color="auto" w:fill="FAF0FA"/>
            <w:vAlign w:val="center"/>
          </w:tcPr>
          <w:p w14:paraId="727BE187" w14:textId="77777777" w:rsidR="00203F72" w:rsidRPr="00D73718" w:rsidRDefault="00203F72" w:rsidP="00D87D91">
            <w:r w:rsidRPr="00D73718">
              <w:rPr>
                <w:rFonts w:hint="eastAsia"/>
              </w:rPr>
              <w:t>「民意政治」的要求</w:t>
            </w:r>
          </w:p>
        </w:tc>
        <w:tc>
          <w:tcPr>
            <w:tcW w:w="4040" w:type="dxa"/>
            <w:shd w:val="clear" w:color="auto" w:fill="FAF0FA"/>
            <w:vAlign w:val="center"/>
          </w:tcPr>
          <w:p w14:paraId="1587E404" w14:textId="77777777" w:rsidR="00203F72" w:rsidRPr="00D73718" w:rsidRDefault="00203F72" w:rsidP="00D87D91">
            <w:r w:rsidRPr="00D73718">
              <w:rPr>
                <w:rFonts w:hint="eastAsia"/>
              </w:rPr>
              <w:t>「權力分立制衡」之主要機制</w:t>
            </w:r>
          </w:p>
        </w:tc>
      </w:tr>
      <w:tr w:rsidR="00203F72" w:rsidRPr="00D73718" w14:paraId="7E407DB4" w14:textId="77777777" w:rsidTr="00203F72">
        <w:tc>
          <w:tcPr>
            <w:tcW w:w="3756" w:type="dxa"/>
            <w:shd w:val="clear" w:color="auto" w:fill="auto"/>
          </w:tcPr>
          <w:p w14:paraId="439D2ABB" w14:textId="77777777" w:rsidR="00203F72" w:rsidRPr="00D73718" w:rsidRDefault="00203F72" w:rsidP="00D87D91">
            <w:r w:rsidRPr="00D73718">
              <w:rPr>
                <w:rFonts w:hint="eastAsia"/>
              </w:rPr>
              <w:t>總統→向人民負責</w:t>
            </w:r>
            <w:r w:rsidRPr="00D73718">
              <w:rPr>
                <w:rFonts w:hint="eastAsia"/>
              </w:rPr>
              <w:t>(</w:t>
            </w:r>
            <w:r w:rsidRPr="00D73718">
              <w:rPr>
                <w:rFonts w:hint="eastAsia"/>
              </w:rPr>
              <w:t>民意政治</w:t>
            </w:r>
            <w:r w:rsidRPr="00D73718">
              <w:rPr>
                <w:rFonts w:hint="eastAsia"/>
              </w:rPr>
              <w:t>)</w:t>
            </w:r>
          </w:p>
        </w:tc>
        <w:tc>
          <w:tcPr>
            <w:tcW w:w="4040" w:type="dxa"/>
            <w:shd w:val="clear" w:color="auto" w:fill="auto"/>
          </w:tcPr>
          <w:p w14:paraId="7F7D1FF9" w14:textId="77777777" w:rsidR="00203F72" w:rsidRPr="00D73718" w:rsidRDefault="00203F72" w:rsidP="00D87D91">
            <w:r w:rsidRPr="00D73718">
              <w:rPr>
                <w:rFonts w:hint="eastAsia"/>
              </w:rPr>
              <w:t>總統→行政否決權</w:t>
            </w:r>
          </w:p>
        </w:tc>
      </w:tr>
      <w:tr w:rsidR="00203F72" w:rsidRPr="00D73718" w14:paraId="774F0E24" w14:textId="77777777" w:rsidTr="00203F72">
        <w:tc>
          <w:tcPr>
            <w:tcW w:w="3756" w:type="dxa"/>
            <w:shd w:val="clear" w:color="auto" w:fill="auto"/>
          </w:tcPr>
          <w:p w14:paraId="0B23521D" w14:textId="77777777" w:rsidR="00203F72" w:rsidRPr="00D73718" w:rsidRDefault="00203F72" w:rsidP="00D87D91">
            <w:r w:rsidRPr="00D73718">
              <w:rPr>
                <w:rFonts w:hint="eastAsia"/>
              </w:rPr>
              <w:t>國會→向人民負責</w:t>
            </w:r>
            <w:r w:rsidRPr="00D73718">
              <w:rPr>
                <w:rFonts w:hint="eastAsia"/>
              </w:rPr>
              <w:t>(</w:t>
            </w:r>
            <w:r w:rsidRPr="00D73718">
              <w:rPr>
                <w:rFonts w:hint="eastAsia"/>
              </w:rPr>
              <w:t>民意政治</w:t>
            </w:r>
            <w:r w:rsidRPr="00D73718">
              <w:rPr>
                <w:rFonts w:hint="eastAsia"/>
              </w:rPr>
              <w:t>)</w:t>
            </w:r>
          </w:p>
        </w:tc>
        <w:tc>
          <w:tcPr>
            <w:tcW w:w="4040" w:type="dxa"/>
            <w:shd w:val="clear" w:color="auto" w:fill="auto"/>
          </w:tcPr>
          <w:p w14:paraId="6511CF6A" w14:textId="77777777" w:rsidR="00203F72" w:rsidRPr="00D73718" w:rsidRDefault="00203F72" w:rsidP="00D87D91">
            <w:r w:rsidRPr="00D73718">
              <w:rPr>
                <w:rFonts w:hint="eastAsia"/>
              </w:rPr>
              <w:t>國會→控制預算、行使彈劾權</w:t>
            </w:r>
          </w:p>
        </w:tc>
      </w:tr>
      <w:tr w:rsidR="00203F72" w:rsidRPr="00D73718" w14:paraId="1398138D" w14:textId="77777777" w:rsidTr="00203F72">
        <w:tc>
          <w:tcPr>
            <w:tcW w:w="3756" w:type="dxa"/>
            <w:shd w:val="clear" w:color="auto" w:fill="auto"/>
          </w:tcPr>
          <w:p w14:paraId="2EDE65DA" w14:textId="77777777" w:rsidR="00203F72" w:rsidRPr="00D73718" w:rsidRDefault="00203F72" w:rsidP="00D87D91">
            <w:r w:rsidRPr="00D73718">
              <w:rPr>
                <w:rFonts w:hint="eastAsia"/>
              </w:rPr>
              <w:t>內閣→向總統負責</w:t>
            </w:r>
            <w:r w:rsidRPr="00D73718">
              <w:rPr>
                <w:rFonts w:hint="eastAsia"/>
              </w:rPr>
              <w:t>(</w:t>
            </w:r>
            <w:r w:rsidRPr="00D73718">
              <w:rPr>
                <w:rFonts w:hint="eastAsia"/>
              </w:rPr>
              <w:t>間接民意政治</w:t>
            </w:r>
            <w:r w:rsidRPr="00D73718">
              <w:rPr>
                <w:rFonts w:hint="eastAsia"/>
              </w:rPr>
              <w:t>)</w:t>
            </w:r>
          </w:p>
        </w:tc>
        <w:tc>
          <w:tcPr>
            <w:tcW w:w="4040" w:type="dxa"/>
            <w:shd w:val="clear" w:color="auto" w:fill="auto"/>
          </w:tcPr>
          <w:p w14:paraId="24F62FE4" w14:textId="77777777" w:rsidR="00203F72" w:rsidRPr="00D73718" w:rsidRDefault="00203F72" w:rsidP="00D87D91">
            <w:r w:rsidRPr="00D73718">
              <w:rPr>
                <w:rFonts w:hint="eastAsia"/>
              </w:rPr>
              <w:t>國務卿→總統幕僚長地位</w:t>
            </w:r>
          </w:p>
        </w:tc>
      </w:tr>
    </w:tbl>
    <w:p w14:paraId="4C32B3E8" w14:textId="77777777" w:rsidR="00203F72" w:rsidRPr="00D73718" w:rsidRDefault="002107CE" w:rsidP="00D87D91">
      <w:r w:rsidRPr="00D73718">
        <w:rPr>
          <w:rFonts w:hint="eastAsia"/>
        </w:rPr>
        <w:t>【本表格資料來源】</w:t>
      </w:r>
    </w:p>
    <w:p w14:paraId="502CA126" w14:textId="77777777" w:rsidR="00203F72" w:rsidRPr="00D73718" w:rsidRDefault="00367D0C" w:rsidP="00D87D91">
      <w:r w:rsidRPr="00D73718">
        <w:rPr>
          <w:rFonts w:hint="eastAsia"/>
        </w:rPr>
        <w:t xml:space="preserve">　　</w:t>
      </w:r>
      <w:r w:rsidR="00203F72" w:rsidRPr="00D73718">
        <w:rPr>
          <w:rFonts w:hint="eastAsia"/>
        </w:rPr>
        <w:t>李惠宗</w:t>
      </w:r>
      <w:r w:rsidR="00203F72" w:rsidRPr="00D73718">
        <w:rPr>
          <w:rFonts w:hint="eastAsia"/>
        </w:rPr>
        <w:t>(2008)</w:t>
      </w:r>
      <w:r w:rsidR="00203F72" w:rsidRPr="00D73718">
        <w:rPr>
          <w:rFonts w:hint="eastAsia"/>
        </w:rPr>
        <w:t>，《憲法要義》，四版，台北：元照，第</w:t>
      </w:r>
      <w:r w:rsidR="00203F72" w:rsidRPr="00D73718">
        <w:rPr>
          <w:rFonts w:hint="eastAsia"/>
        </w:rPr>
        <w:t>429</w:t>
      </w:r>
      <w:r w:rsidR="00203F72" w:rsidRPr="00D73718">
        <w:rPr>
          <w:rFonts w:hint="eastAsia"/>
        </w:rPr>
        <w:t>頁。</w:t>
      </w:r>
    </w:p>
    <w:p w14:paraId="5B2F0EC9" w14:textId="77777777" w:rsidR="00953151" w:rsidRPr="00D73718" w:rsidRDefault="00367D0C" w:rsidP="00D87D91">
      <w:r w:rsidRPr="00D73718">
        <w:rPr>
          <w:rFonts w:hint="eastAsia"/>
        </w:rPr>
        <w:t xml:space="preserve">　　</w:t>
      </w:r>
      <w:r w:rsidR="00203F72" w:rsidRPr="00D73718">
        <w:rPr>
          <w:rFonts w:hint="eastAsia"/>
        </w:rPr>
        <w:t>植憲</w:t>
      </w:r>
      <w:r w:rsidR="00203F72" w:rsidRPr="00D73718">
        <w:rPr>
          <w:rFonts w:hint="eastAsia"/>
        </w:rPr>
        <w:t>(2012)</w:t>
      </w:r>
      <w:r w:rsidR="00203F72" w:rsidRPr="00D73718">
        <w:rPr>
          <w:rFonts w:hint="eastAsia"/>
        </w:rPr>
        <w:t>，憲法解題概念操作</w:t>
      </w:r>
      <w:r w:rsidR="00203F72" w:rsidRPr="00D73718">
        <w:rPr>
          <w:rFonts w:hint="eastAsia"/>
        </w:rPr>
        <w:t>(</w:t>
      </w:r>
      <w:r w:rsidR="00203F72" w:rsidRPr="00D73718">
        <w:rPr>
          <w:rFonts w:hint="eastAsia"/>
        </w:rPr>
        <w:t>下</w:t>
      </w:r>
      <w:r w:rsidR="00203F72" w:rsidRPr="00D73718">
        <w:rPr>
          <w:rFonts w:hint="eastAsia"/>
        </w:rPr>
        <w:t>)</w:t>
      </w:r>
      <w:r w:rsidR="00203F72" w:rsidRPr="00D73718">
        <w:rPr>
          <w:rFonts w:hint="eastAsia"/>
        </w:rPr>
        <w:t>，</w:t>
      </w:r>
      <w:r w:rsidR="00203F72" w:rsidRPr="00D73718">
        <w:rPr>
          <w:rFonts w:hint="eastAsia"/>
        </w:rPr>
        <w:t>7</w:t>
      </w:r>
      <w:r w:rsidR="00203F72" w:rsidRPr="00D73718">
        <w:rPr>
          <w:rFonts w:hint="eastAsia"/>
        </w:rPr>
        <w:t>版</w:t>
      </w:r>
      <w:r w:rsidR="00203F72" w:rsidRPr="00D73718">
        <w:rPr>
          <w:rFonts w:hint="eastAsia"/>
        </w:rPr>
        <w:t xml:space="preserve">1 </w:t>
      </w:r>
      <w:r w:rsidR="00203F72" w:rsidRPr="00D73718">
        <w:rPr>
          <w:rFonts w:hint="eastAsia"/>
        </w:rPr>
        <w:t>刷，台北：植憲公司，第</w:t>
      </w:r>
      <w:r w:rsidR="00203F72" w:rsidRPr="00D73718">
        <w:rPr>
          <w:rFonts w:hint="eastAsia"/>
        </w:rPr>
        <w:t>5-67</w:t>
      </w:r>
      <w:r w:rsidR="00203F72" w:rsidRPr="00D73718">
        <w:rPr>
          <w:rFonts w:hint="eastAsia"/>
        </w:rPr>
        <w:t>頁。</w:t>
      </w:r>
    </w:p>
    <w:p w14:paraId="37572902" w14:textId="77777777" w:rsidR="00953151" w:rsidRDefault="00367D0C" w:rsidP="00D87D91">
      <w:r w:rsidRPr="00D73718">
        <w:rPr>
          <w:rFonts w:hint="eastAsia"/>
        </w:rPr>
        <w:t xml:space="preserve">　　</w:t>
      </w:r>
      <w:r w:rsidR="00203F72" w:rsidRPr="00D73718">
        <w:rPr>
          <w:rFonts w:hint="eastAsia"/>
        </w:rPr>
        <w:t>是以，</w:t>
      </w:r>
      <w:r w:rsidR="00203F72" w:rsidRPr="00D73718">
        <w:t>在憲法增修條</w:t>
      </w:r>
      <w:r w:rsidR="001B1539" w:rsidRPr="001B1539">
        <w:t>文</w:t>
      </w:r>
      <w:hyperlink r:id="rId1445"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之內涵中，有關於總統職權之體制，假若吾人</w:t>
      </w:r>
      <w:r w:rsidR="00203F72" w:rsidRPr="00D73718">
        <w:rPr>
          <w:rFonts w:hint="eastAsia"/>
        </w:rPr>
        <w:t>從總統有權力解散國會之角度，切入本條之條文規範，目前，世界上，行政權之總統、總理、內閣總理大臣、首相等人，有權解散國會之國家，計有：俄羅斯、日本</w:t>
      </w:r>
      <w:r w:rsidR="00203F72" w:rsidRPr="00D73718">
        <w:rPr>
          <w:rFonts w:hint="eastAsia"/>
        </w:rPr>
        <w:t>(</w:t>
      </w:r>
      <w:r w:rsidR="00203F72" w:rsidRPr="00D73718">
        <w:rPr>
          <w:rFonts w:hint="eastAsia"/>
        </w:rPr>
        <w:t>內閣制</w:t>
      </w:r>
      <w:r w:rsidR="00203F72" w:rsidRPr="00D73718">
        <w:rPr>
          <w:rFonts w:hint="eastAsia"/>
        </w:rPr>
        <w:t>)</w:t>
      </w:r>
      <w:r w:rsidR="00203F72" w:rsidRPr="00D73718">
        <w:rPr>
          <w:rFonts w:hint="eastAsia"/>
        </w:rPr>
        <w:t>、法國、英國</w:t>
      </w:r>
      <w:r w:rsidR="00203F72" w:rsidRPr="00D73718">
        <w:rPr>
          <w:rFonts w:hint="eastAsia"/>
        </w:rPr>
        <w:t>(</w:t>
      </w:r>
      <w:r w:rsidR="00203F72" w:rsidRPr="00D73718">
        <w:rPr>
          <w:rFonts w:hint="eastAsia"/>
        </w:rPr>
        <w:t>內閣制</w:t>
      </w:r>
      <w:r w:rsidR="00203F72" w:rsidRPr="00D73718">
        <w:rPr>
          <w:rFonts w:hint="eastAsia"/>
        </w:rPr>
        <w:t>)</w:t>
      </w:r>
      <w:r w:rsidR="00203F72" w:rsidRPr="00D73718">
        <w:rPr>
          <w:rFonts w:hint="eastAsia"/>
        </w:rPr>
        <w:t>及德國</w:t>
      </w:r>
      <w:r w:rsidR="00203F72" w:rsidRPr="00D73718">
        <w:rPr>
          <w:rFonts w:hint="eastAsia"/>
        </w:rPr>
        <w:t>(</w:t>
      </w:r>
      <w:r w:rsidR="00203F72" w:rsidRPr="00D73718">
        <w:rPr>
          <w:rFonts w:hint="eastAsia"/>
        </w:rPr>
        <w:t>內閣制</w:t>
      </w:r>
      <w:r w:rsidR="00203F72" w:rsidRPr="00D73718">
        <w:rPr>
          <w:rFonts w:hint="eastAsia"/>
        </w:rPr>
        <w:t>)</w:t>
      </w:r>
      <w:r w:rsidR="00203F72" w:rsidRPr="00D73718">
        <w:rPr>
          <w:rFonts w:hint="eastAsia"/>
        </w:rPr>
        <w:t>。這些國家，多數是實行內閣制，但俄國及法國除外，法國半總統制下的憲法，賦予法國總統有權力解散國會。法國之政體，係半總統制</w:t>
      </w:r>
      <w:r w:rsidR="00203F72" w:rsidRPr="00D73718">
        <w:footnoteReference w:id="131"/>
      </w:r>
      <w:r w:rsidR="00203F72" w:rsidRPr="00D73718">
        <w:rPr>
          <w:rFonts w:hint="eastAsia"/>
        </w:rPr>
        <w:t>。</w:t>
      </w:r>
    </w:p>
    <w:p w14:paraId="25CD1276" w14:textId="77777777" w:rsidR="00D53F68" w:rsidRPr="00D73718" w:rsidRDefault="00D53F68" w:rsidP="00D87D91"/>
    <w:p w14:paraId="4749FF73" w14:textId="38E0BEAE" w:rsidR="00203F72" w:rsidRPr="00D73718" w:rsidRDefault="00B03E84" w:rsidP="00D87D91">
      <w:r w:rsidRPr="00D73718">
        <w:t>【</w:t>
      </w:r>
      <w:r w:rsidRPr="00D73718">
        <w:t>table</w:t>
      </w:r>
      <w:r w:rsidR="005E23E3" w:rsidRPr="00D73718">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79</w:t>
      </w:r>
      <w:r w:rsidR="00076467">
        <w:rPr>
          <w:noProof/>
        </w:rPr>
        <w:fldChar w:fldCharType="end"/>
      </w:r>
      <w:r w:rsidR="00203F72" w:rsidRPr="00D73718">
        <w:rPr>
          <w:rFonts w:hint="eastAsia"/>
        </w:rPr>
        <w:t>三大中央政府體制之指標性特徵之歸整與比較</w:t>
      </w:r>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588"/>
        <w:gridCol w:w="2381"/>
        <w:gridCol w:w="1984"/>
      </w:tblGrid>
      <w:tr w:rsidR="00203F72" w:rsidRPr="00D73718" w14:paraId="3A138E37" w14:textId="77777777" w:rsidTr="00E16174">
        <w:trPr>
          <w:tblHeader/>
        </w:trPr>
        <w:tc>
          <w:tcPr>
            <w:tcW w:w="1985" w:type="dxa"/>
            <w:tcBorders>
              <w:top w:val="single" w:sz="4" w:space="0" w:color="auto"/>
              <w:left w:val="single" w:sz="4" w:space="0" w:color="auto"/>
              <w:bottom w:val="single" w:sz="4" w:space="0" w:color="auto"/>
              <w:right w:val="single" w:sz="4" w:space="0" w:color="auto"/>
              <w:tl2br w:val="single" w:sz="4" w:space="0" w:color="auto"/>
            </w:tcBorders>
            <w:shd w:val="clear" w:color="auto" w:fill="FAF0FA"/>
            <w:hideMark/>
          </w:tcPr>
          <w:p w14:paraId="7CD9BCA9" w14:textId="77777777" w:rsidR="00203F72" w:rsidRPr="00D73718" w:rsidRDefault="00203F72" w:rsidP="00D87D91">
            <w:r w:rsidRPr="00D73718">
              <w:rPr>
                <w:rFonts w:hint="eastAsia"/>
              </w:rPr>
              <w:t>體制類型</w:t>
            </w:r>
          </w:p>
          <w:p w14:paraId="48279016" w14:textId="77777777" w:rsidR="00203F72" w:rsidRPr="00D73718" w:rsidRDefault="00203F72" w:rsidP="00D87D91">
            <w:r w:rsidRPr="00D73718">
              <w:rPr>
                <w:rFonts w:hint="eastAsia"/>
              </w:rPr>
              <w:t>指標</w:t>
            </w:r>
          </w:p>
        </w:tc>
        <w:tc>
          <w:tcPr>
            <w:tcW w:w="1588" w:type="dxa"/>
            <w:tcBorders>
              <w:top w:val="single" w:sz="4" w:space="0" w:color="auto"/>
              <w:left w:val="single" w:sz="4" w:space="0" w:color="auto"/>
              <w:bottom w:val="single" w:sz="4" w:space="0" w:color="auto"/>
              <w:right w:val="single" w:sz="4" w:space="0" w:color="auto"/>
            </w:tcBorders>
            <w:shd w:val="clear" w:color="auto" w:fill="FAF0FA"/>
            <w:hideMark/>
          </w:tcPr>
          <w:p w14:paraId="30CF7D07" w14:textId="77777777" w:rsidR="00203F72" w:rsidRPr="00D73718" w:rsidRDefault="00203F72" w:rsidP="00D87D91">
            <w:r w:rsidRPr="00D73718">
              <w:rPr>
                <w:rFonts w:hint="eastAsia"/>
              </w:rPr>
              <w:t>議會政府制</w:t>
            </w:r>
          </w:p>
          <w:p w14:paraId="22FC31A3" w14:textId="77777777" w:rsidR="00203F72" w:rsidRPr="00D73718" w:rsidRDefault="00203F72" w:rsidP="00D87D91">
            <w:r w:rsidRPr="00D73718">
              <w:t>(</w:t>
            </w:r>
            <w:r w:rsidRPr="00D73718">
              <w:rPr>
                <w:rFonts w:hint="eastAsia"/>
              </w:rPr>
              <w:t>內閣制</w:t>
            </w:r>
            <w:r w:rsidRPr="00D73718">
              <w:t>)</w:t>
            </w:r>
          </w:p>
        </w:tc>
        <w:tc>
          <w:tcPr>
            <w:tcW w:w="2381" w:type="dxa"/>
            <w:tcBorders>
              <w:top w:val="single" w:sz="4" w:space="0" w:color="auto"/>
              <w:left w:val="single" w:sz="4" w:space="0" w:color="auto"/>
              <w:bottom w:val="single" w:sz="4" w:space="0" w:color="auto"/>
              <w:right w:val="single" w:sz="4" w:space="0" w:color="auto"/>
            </w:tcBorders>
            <w:shd w:val="clear" w:color="auto" w:fill="FAF0FA"/>
            <w:hideMark/>
          </w:tcPr>
          <w:p w14:paraId="4009079E" w14:textId="77777777" w:rsidR="00203F72" w:rsidRPr="00D73718" w:rsidRDefault="00203F72" w:rsidP="00D87D91">
            <w:r w:rsidRPr="00D73718">
              <w:rPr>
                <w:rFonts w:hint="eastAsia"/>
              </w:rPr>
              <w:t>混合制</w:t>
            </w:r>
          </w:p>
          <w:p w14:paraId="3576043A" w14:textId="77777777" w:rsidR="00203F72" w:rsidRPr="00D73718" w:rsidRDefault="00203F72" w:rsidP="00D87D91">
            <w:r w:rsidRPr="00D73718">
              <w:t>(</w:t>
            </w:r>
            <w:r w:rsidRPr="00D73718">
              <w:rPr>
                <w:rFonts w:hint="eastAsia"/>
              </w:rPr>
              <w:t>半總統制、雙首長制</w:t>
            </w:r>
            <w:r w:rsidRPr="00D73718">
              <w:t>)</w:t>
            </w:r>
          </w:p>
        </w:tc>
        <w:tc>
          <w:tcPr>
            <w:tcW w:w="1984" w:type="dxa"/>
            <w:tcBorders>
              <w:top w:val="single" w:sz="4" w:space="0" w:color="auto"/>
              <w:left w:val="single" w:sz="4" w:space="0" w:color="auto"/>
              <w:bottom w:val="single" w:sz="4" w:space="0" w:color="auto"/>
              <w:right w:val="single" w:sz="4" w:space="0" w:color="auto"/>
            </w:tcBorders>
            <w:shd w:val="clear" w:color="auto" w:fill="FAF0FA"/>
            <w:hideMark/>
          </w:tcPr>
          <w:p w14:paraId="0B8CF805" w14:textId="77777777" w:rsidR="00203F72" w:rsidRPr="00D73718" w:rsidRDefault="00203F72" w:rsidP="00D87D91">
            <w:r w:rsidRPr="00D73718">
              <w:rPr>
                <w:rFonts w:hint="eastAsia"/>
              </w:rPr>
              <w:t>總統制</w:t>
            </w:r>
          </w:p>
        </w:tc>
      </w:tr>
      <w:tr w:rsidR="00203F72" w:rsidRPr="00D73718" w14:paraId="3B4D2ECA"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B43A8E0" w14:textId="77777777" w:rsidR="00203F72" w:rsidRPr="00D73718" w:rsidRDefault="00203F72" w:rsidP="00D87D91">
            <w:r w:rsidRPr="00D73718">
              <w:rPr>
                <w:rFonts w:hint="eastAsia"/>
              </w:rPr>
              <w:t>人民直選總統</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0DB26B80" w14:textId="77777777" w:rsidR="00203F72" w:rsidRPr="00D73718" w:rsidRDefault="00203F72" w:rsidP="00D87D91">
            <w:r w:rsidRPr="00D73718">
              <w:rPr>
                <w:rFonts w:hint="eastAsia"/>
              </w:rPr>
              <w:t>否</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10D2C3FA" w14:textId="77777777"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00B50353" w14:textId="77777777" w:rsidR="00203F72" w:rsidRPr="00D73718" w:rsidRDefault="00203F72" w:rsidP="00D87D91">
            <w:r w:rsidRPr="00D73718">
              <w:rPr>
                <w:rFonts w:hint="eastAsia"/>
              </w:rPr>
              <w:t>是</w:t>
            </w:r>
          </w:p>
        </w:tc>
      </w:tr>
      <w:tr w:rsidR="00203F72" w:rsidRPr="00D73718" w14:paraId="7ED61BDC"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B08D899" w14:textId="77777777" w:rsidR="00203F72" w:rsidRPr="00D73718" w:rsidRDefault="00203F72" w:rsidP="00D87D91">
            <w:r w:rsidRPr="00D73718">
              <w:rPr>
                <w:rFonts w:hint="eastAsia"/>
              </w:rPr>
              <w:t>總統與政府首長分立</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3D6A2306" w14:textId="77777777"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2BCE74EC" w14:textId="77777777"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2A68501C" w14:textId="77777777" w:rsidR="00203F72" w:rsidRPr="00D73718" w:rsidRDefault="00203F72" w:rsidP="00D87D91">
            <w:r w:rsidRPr="00D73718">
              <w:rPr>
                <w:rFonts w:hint="eastAsia"/>
              </w:rPr>
              <w:t>否</w:t>
            </w:r>
          </w:p>
        </w:tc>
      </w:tr>
      <w:tr w:rsidR="00203F72" w:rsidRPr="00D73718" w14:paraId="30A9FBDC"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76F7B104" w14:textId="77777777" w:rsidR="00203F72" w:rsidRPr="00D73718" w:rsidRDefault="00203F72" w:rsidP="00D87D91">
            <w:r w:rsidRPr="00D73718">
              <w:rPr>
                <w:rFonts w:hint="eastAsia"/>
              </w:rPr>
              <w:t>總統權限屬性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174EEE73" w14:textId="77777777" w:rsidR="00203F72" w:rsidRPr="00D73718" w:rsidRDefault="00203F72" w:rsidP="00D87D91">
            <w:r w:rsidRPr="00D73718">
              <w:rPr>
                <w:rFonts w:hint="eastAsia"/>
              </w:rPr>
              <w:t>主要為虛權性質</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4A1E7F54" w14:textId="77777777" w:rsidR="00203F72" w:rsidRPr="00D73718" w:rsidRDefault="00203F72" w:rsidP="00D87D91">
            <w:r w:rsidRPr="00D73718">
              <w:rPr>
                <w:rFonts w:hint="eastAsia"/>
              </w:rPr>
              <w:t>於特定領域</w:t>
            </w:r>
            <w:r w:rsidRPr="00D73718">
              <w:t>(</w:t>
            </w:r>
            <w:r w:rsidRPr="00D73718">
              <w:rPr>
                <w:rFonts w:hint="eastAsia"/>
              </w:rPr>
              <w:t>主要是外交與國防領域</w:t>
            </w:r>
            <w:r w:rsidRPr="00D73718">
              <w:t>)</w:t>
            </w:r>
            <w:r w:rsidRPr="00D73718">
              <w:rPr>
                <w:rFonts w:hint="eastAsia"/>
              </w:rPr>
              <w:t>享有特權。</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0F079348" w14:textId="77777777" w:rsidR="00203F72" w:rsidRPr="00D73718" w:rsidRDefault="00203F72" w:rsidP="00D87D91">
            <w:r w:rsidRPr="00D73718">
              <w:rPr>
                <w:rFonts w:hint="eastAsia"/>
              </w:rPr>
              <w:t>廣泛之執行權。</w:t>
            </w:r>
          </w:p>
        </w:tc>
      </w:tr>
      <w:tr w:rsidR="00203F72" w:rsidRPr="00D73718" w14:paraId="627C9BFA"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04300470" w14:textId="77777777" w:rsidR="00203F72" w:rsidRPr="00D73718" w:rsidRDefault="00203F72" w:rsidP="00D87D91">
            <w:r w:rsidRPr="00D73718">
              <w:rPr>
                <w:rFonts w:hint="eastAsia"/>
              </w:rPr>
              <w:t>元首對於政府建構之影響性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4126E42D" w14:textId="77777777" w:rsidR="00203F72" w:rsidRPr="00D73718" w:rsidRDefault="00203F72" w:rsidP="00D87D91">
            <w:r w:rsidRPr="00D73718">
              <w:rPr>
                <w:rFonts w:hint="eastAsia"/>
              </w:rPr>
              <w:t>極微或完全無影響力。</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0C0C61A0" w14:textId="77777777" w:rsidR="00203F72" w:rsidRPr="00D73718" w:rsidRDefault="00203F72" w:rsidP="00D87D91">
            <w:r w:rsidRPr="00D73718">
              <w:rPr>
                <w:rFonts w:hint="eastAsia"/>
              </w:rPr>
              <w:t>相當大。</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5209F158" w14:textId="77777777" w:rsidR="00203F72" w:rsidRPr="00D73718" w:rsidRDefault="00203F72" w:rsidP="00D87D91">
            <w:r w:rsidRPr="00D73718">
              <w:rPr>
                <w:rFonts w:hint="eastAsia"/>
              </w:rPr>
              <w:t>除須經參議院同意之特定事項外，可說享有獨佔權。</w:t>
            </w:r>
          </w:p>
        </w:tc>
      </w:tr>
      <w:tr w:rsidR="00203F72" w:rsidRPr="00D73718" w14:paraId="6CF206E0"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178ABF2" w14:textId="77777777" w:rsidR="00203F72" w:rsidRPr="00D73718" w:rsidRDefault="00203F72" w:rsidP="00D87D91">
            <w:r w:rsidRPr="00D73718">
              <w:rPr>
                <w:rFonts w:hint="eastAsia"/>
              </w:rPr>
              <w:t>元首對於內閣政府之獨立免職權，不受國會多數意志所拘束</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6D6952DB" w14:textId="77777777" w:rsidR="00203F72" w:rsidRPr="00D73718" w:rsidRDefault="00203F72" w:rsidP="00D87D91">
            <w:r w:rsidRPr="00D73718">
              <w:rPr>
                <w:rFonts w:hint="eastAsia"/>
              </w:rPr>
              <w:t>否</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7C9C83A1" w14:textId="77777777" w:rsidR="00203F72" w:rsidRPr="00D73718" w:rsidRDefault="00203F72" w:rsidP="00D87D91">
            <w:r w:rsidRPr="00D73718">
              <w:rPr>
                <w:rFonts w:hint="eastAsia"/>
              </w:rPr>
              <w:t>是</w:t>
            </w:r>
            <w:r w:rsidR="00D53F68" w:rsidRPr="00D53F68">
              <w:rPr>
                <w:rFonts w:hint="eastAsia"/>
                <w:color w:val="FFFFFF" w:themeColor="background1"/>
              </w:rPr>
              <w:t>*</w:t>
            </w:r>
          </w:p>
          <w:p w14:paraId="1B72C33B" w14:textId="77777777" w:rsidR="00203F72" w:rsidRPr="00D73718" w:rsidRDefault="00203F72" w:rsidP="00D87D91">
            <w:r w:rsidRPr="00D73718">
              <w:rPr>
                <w:rFonts w:hint="eastAsia"/>
              </w:rPr>
              <w:t>憲法明文授權，如俄羅斯、烏克蘭；事實性肯認，如：法國。</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1CB87F22" w14:textId="77777777" w:rsidR="00203F72" w:rsidRPr="00D73718" w:rsidRDefault="00203F72" w:rsidP="00D87D91">
            <w:r w:rsidRPr="00D73718">
              <w:rPr>
                <w:rFonts w:hint="eastAsia"/>
              </w:rPr>
              <w:t>當然權限。</w:t>
            </w:r>
          </w:p>
        </w:tc>
      </w:tr>
      <w:tr w:rsidR="00203F72" w:rsidRPr="00D73718" w14:paraId="5857F470"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BFEC32D" w14:textId="77777777" w:rsidR="00203F72" w:rsidRPr="00D73718" w:rsidRDefault="00203F72" w:rsidP="00D87D91">
            <w:r w:rsidRPr="00D73718">
              <w:rPr>
                <w:rFonts w:hint="eastAsia"/>
              </w:rPr>
              <w:t>元首發布命令，須經行政首長副署</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17925C4F" w14:textId="77777777"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64EBF6B3" w14:textId="77777777" w:rsidR="00203F72" w:rsidRPr="00D73718" w:rsidRDefault="00203F72" w:rsidP="00D87D91">
            <w:r w:rsidRPr="00D73718">
              <w:rPr>
                <w:rFonts w:hint="eastAsia"/>
              </w:rPr>
              <w:t>原則是，憲法通常排除若干總統特權事項之副署。</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4B640D1D" w14:textId="77777777" w:rsidR="00203F72" w:rsidRPr="00D73718" w:rsidRDefault="00203F72" w:rsidP="00D87D91">
            <w:r w:rsidRPr="00D73718">
              <w:rPr>
                <w:rFonts w:hint="eastAsia"/>
              </w:rPr>
              <w:t>否</w:t>
            </w:r>
          </w:p>
        </w:tc>
      </w:tr>
      <w:tr w:rsidR="00203F72" w:rsidRPr="00D73718" w14:paraId="4B30FC8F"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14963E6" w14:textId="77777777" w:rsidR="00203F72" w:rsidRPr="00D73718" w:rsidRDefault="00203F72" w:rsidP="00D87D91">
            <w:r w:rsidRPr="00D73718">
              <w:rPr>
                <w:rFonts w:hint="eastAsia"/>
              </w:rPr>
              <w:t>國會對於政府之建構與最高政府首長人選之決定權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378A4805" w14:textId="77777777"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4EF9BD02" w14:textId="77777777" w:rsidR="00203F72" w:rsidRPr="00D73718" w:rsidRDefault="00203F72" w:rsidP="00D87D91">
            <w:r w:rsidRPr="00D73718">
              <w:rPr>
                <w:rFonts w:hint="eastAsia"/>
              </w:rPr>
              <w:t>制度性歧異相當大。</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5DD4E3B8" w14:textId="77777777" w:rsidR="00203F72" w:rsidRPr="00D73718" w:rsidRDefault="00203F72" w:rsidP="00D87D91">
            <w:r w:rsidRPr="00D73718">
              <w:rPr>
                <w:rFonts w:hint="eastAsia"/>
              </w:rPr>
              <w:t>無</w:t>
            </w:r>
          </w:p>
        </w:tc>
      </w:tr>
      <w:tr w:rsidR="00203F72" w:rsidRPr="00D73718" w14:paraId="520FDE0C"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155D750" w14:textId="77777777" w:rsidR="00203F72" w:rsidRPr="00D73718" w:rsidRDefault="00203F72" w:rsidP="00D87D91">
            <w:r w:rsidRPr="00D73718">
              <w:rPr>
                <w:rFonts w:hint="eastAsia"/>
              </w:rPr>
              <w:t>內閣閣員與國會議員身分之相容性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4531D7FA" w14:textId="77777777" w:rsidR="00203F72" w:rsidRPr="00D73718" w:rsidRDefault="00203F72" w:rsidP="00D87D91">
            <w:r w:rsidRPr="00D73718">
              <w:rPr>
                <w:rFonts w:hint="eastAsia"/>
              </w:rPr>
              <w:t>是</w:t>
            </w:r>
            <w:r w:rsidR="00D53F68" w:rsidRPr="00D53F68">
              <w:rPr>
                <w:rFonts w:hint="eastAsia"/>
                <w:color w:val="FFFFFF" w:themeColor="background1"/>
              </w:rPr>
              <w:t>*</w:t>
            </w:r>
          </w:p>
          <w:p w14:paraId="24376957" w14:textId="77777777" w:rsidR="00203F72" w:rsidRPr="00D73718" w:rsidRDefault="00203F72" w:rsidP="00D87D91">
            <w:r w:rsidRPr="00D73718">
              <w:t>(</w:t>
            </w:r>
            <w:r w:rsidRPr="00D73718">
              <w:rPr>
                <w:rFonts w:hint="eastAsia"/>
              </w:rPr>
              <w:t>例外</w:t>
            </w:r>
            <w:r w:rsidRPr="00D73718">
              <w:t xml:space="preserve">: </w:t>
            </w:r>
            <w:r w:rsidRPr="00D73718">
              <w:rPr>
                <w:rFonts w:hint="eastAsia"/>
              </w:rPr>
              <w:t>荷蘭、比利時等</w:t>
            </w:r>
            <w:r w:rsidRPr="00D73718">
              <w:t>)</w:t>
            </w:r>
            <w:r w:rsidRPr="00D73718">
              <w:rPr>
                <w:rFonts w:hint="eastAsia"/>
              </w:rPr>
              <w:t>。</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7CD0E812" w14:textId="77777777" w:rsidR="00203F72" w:rsidRPr="00D73718" w:rsidRDefault="00203F72" w:rsidP="00D87D91">
            <w:r w:rsidRPr="00D73718">
              <w:rPr>
                <w:rFonts w:hint="eastAsia"/>
              </w:rPr>
              <w:t>法國</w:t>
            </w:r>
            <w:r w:rsidRPr="00D73718">
              <w:t xml:space="preserve">: </w:t>
            </w:r>
            <w:r w:rsidRPr="00D73718">
              <w:rPr>
                <w:rFonts w:hint="eastAsia"/>
              </w:rPr>
              <w:t>否</w:t>
            </w:r>
          </w:p>
          <w:p w14:paraId="756406F4" w14:textId="77777777" w:rsidR="00203F72" w:rsidRPr="00D73718" w:rsidRDefault="00203F72" w:rsidP="00D87D91">
            <w:r w:rsidRPr="00D73718">
              <w:rPr>
                <w:rFonts w:hint="eastAsia"/>
              </w:rPr>
              <w:t>非體制上必然要求。</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196BA7C5" w14:textId="77777777" w:rsidR="00203F72" w:rsidRPr="00D73718" w:rsidRDefault="00203F72" w:rsidP="00D87D91">
            <w:r w:rsidRPr="00D73718">
              <w:rPr>
                <w:rFonts w:hint="eastAsia"/>
              </w:rPr>
              <w:t>否</w:t>
            </w:r>
          </w:p>
        </w:tc>
      </w:tr>
      <w:tr w:rsidR="00203F72" w:rsidRPr="00D73718" w14:paraId="5FE430F6"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5C65604" w14:textId="77777777" w:rsidR="00203F72" w:rsidRPr="00D73718" w:rsidRDefault="00203F72" w:rsidP="00D87D91">
            <w:r w:rsidRPr="00D73718">
              <w:rPr>
                <w:rFonts w:hint="eastAsia"/>
              </w:rPr>
              <w:t>國會以不信任投票方式倒閣</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64DEA141" w14:textId="77777777" w:rsidR="00203F72" w:rsidRPr="00D73718" w:rsidRDefault="00203F72" w:rsidP="00D87D91">
            <w:r w:rsidRPr="00D73718">
              <w:rPr>
                <w:rFonts w:hint="eastAsia"/>
              </w:rPr>
              <w:t>是</w:t>
            </w:r>
            <w:r w:rsidR="00D53F68" w:rsidRPr="00D53F68">
              <w:rPr>
                <w:rFonts w:hint="eastAsia"/>
                <w:color w:val="FFFFFF" w:themeColor="background1"/>
              </w:rPr>
              <w:t>*</w:t>
            </w:r>
          </w:p>
          <w:p w14:paraId="4BDD3798" w14:textId="77777777" w:rsidR="00203F72" w:rsidRPr="00D73718" w:rsidRDefault="00203F72" w:rsidP="00D87D91">
            <w:r w:rsidRPr="00D73718">
              <w:t>(</w:t>
            </w:r>
            <w:r w:rsidRPr="00D73718">
              <w:rPr>
                <w:rFonts w:hint="eastAsia"/>
              </w:rPr>
              <w:t>德國採較嚴格之建設性倒閣權</w:t>
            </w:r>
            <w:r w:rsidRPr="00D73718">
              <w:t>)</w:t>
            </w:r>
            <w:r w:rsidRPr="00D73718">
              <w:rPr>
                <w:rFonts w:hint="eastAsia"/>
              </w:rPr>
              <w:t>。</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00AA9B2A" w14:textId="77777777"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2C0F3EAD" w14:textId="77777777" w:rsidR="00203F72" w:rsidRPr="00D73718" w:rsidRDefault="00203F72" w:rsidP="00D87D91">
            <w:r w:rsidRPr="00D73718">
              <w:rPr>
                <w:rFonts w:hint="eastAsia"/>
              </w:rPr>
              <w:t>否</w:t>
            </w:r>
          </w:p>
        </w:tc>
      </w:tr>
      <w:tr w:rsidR="00203F72" w:rsidRPr="00D73718" w14:paraId="62B740C1"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503748F6" w14:textId="77777777" w:rsidR="00203F72" w:rsidRPr="00D73718" w:rsidRDefault="00203F72" w:rsidP="00D87D91">
            <w:r w:rsidRPr="00D73718">
              <w:rPr>
                <w:rFonts w:hint="eastAsia"/>
              </w:rPr>
              <w:t>由元首行使之解散國會權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73F6E3A0" w14:textId="77777777" w:rsidR="00203F72" w:rsidRPr="00D73718" w:rsidRDefault="00203F72" w:rsidP="00D87D91">
            <w:r w:rsidRPr="00D73718">
              <w:rPr>
                <w:rFonts w:hint="eastAsia"/>
              </w:rPr>
              <w:t>是</w:t>
            </w:r>
            <w:r w:rsidR="00D53F68" w:rsidRPr="00D53F68">
              <w:rPr>
                <w:rFonts w:hint="eastAsia"/>
                <w:color w:val="FFFFFF" w:themeColor="background1"/>
              </w:rPr>
              <w:t>*</w:t>
            </w:r>
          </w:p>
          <w:p w14:paraId="61875E4B" w14:textId="77777777" w:rsidR="00203F72" w:rsidRPr="00D73718" w:rsidRDefault="00203F72" w:rsidP="00D87D91">
            <w:r w:rsidRPr="00D73718">
              <w:t>(</w:t>
            </w:r>
            <w:r w:rsidRPr="00D73718">
              <w:rPr>
                <w:rFonts w:hint="eastAsia"/>
              </w:rPr>
              <w:t>挪威、以色列除外</w:t>
            </w:r>
            <w:r w:rsidRPr="00D73718">
              <w:t>)</w:t>
            </w:r>
            <w:r w:rsidRPr="00D73718">
              <w:rPr>
                <w:rFonts w:hint="eastAsia"/>
              </w:rPr>
              <w:t>；德國有嚴格之條件限制。</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2139561D" w14:textId="77777777" w:rsidR="00203F72" w:rsidRPr="00D73718" w:rsidRDefault="00203F72" w:rsidP="00D87D91">
            <w:r w:rsidRPr="00D73718">
              <w:rPr>
                <w:rFonts w:hint="eastAsia"/>
              </w:rPr>
              <w:t>是</w:t>
            </w:r>
            <w:r w:rsidR="00D53F68" w:rsidRPr="00D53F68">
              <w:rPr>
                <w:rFonts w:hint="eastAsia"/>
                <w:color w:val="FFFFFF" w:themeColor="background1"/>
              </w:rPr>
              <w:t>*</w:t>
            </w:r>
          </w:p>
          <w:p w14:paraId="2FA95B78" w14:textId="77777777" w:rsidR="00203F72" w:rsidRPr="00D73718" w:rsidRDefault="00203F72" w:rsidP="00D87D91">
            <w:r w:rsidRPr="00D73718">
              <w:rPr>
                <w:rFonts w:hint="eastAsia"/>
              </w:rPr>
              <w:t>通常附有一定之條件限制。</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0F26E8A2" w14:textId="77777777" w:rsidR="00203F72" w:rsidRPr="00D73718" w:rsidRDefault="00203F72" w:rsidP="00D87D91">
            <w:r w:rsidRPr="00D73718">
              <w:rPr>
                <w:rFonts w:hint="eastAsia"/>
              </w:rPr>
              <w:t>否</w:t>
            </w:r>
          </w:p>
        </w:tc>
      </w:tr>
      <w:tr w:rsidR="00203F72" w:rsidRPr="00D73718" w14:paraId="028CFF36"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B3C04E8" w14:textId="77777777" w:rsidR="00203F72" w:rsidRPr="00D73718" w:rsidRDefault="00203F72" w:rsidP="00D87D91">
            <w:r w:rsidRPr="00D73718">
              <w:rPr>
                <w:rFonts w:hint="eastAsia"/>
              </w:rPr>
              <w:t>人民立法</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3894F520" w14:textId="77777777" w:rsidR="00203F72" w:rsidRPr="00D73718" w:rsidRDefault="00203F72" w:rsidP="00D87D91">
            <w:r w:rsidRPr="00D73718">
              <w:rPr>
                <w:rFonts w:hint="eastAsia"/>
              </w:rPr>
              <w:t>可能</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458C92FC" w14:textId="77777777" w:rsidR="00203F72" w:rsidRPr="00D73718" w:rsidRDefault="00203F72" w:rsidP="00D87D91">
            <w:r w:rsidRPr="00D73718">
              <w:rPr>
                <w:rFonts w:hint="eastAsia"/>
              </w:rPr>
              <w:t>可能</w:t>
            </w:r>
            <w:r w:rsidR="00D53F68" w:rsidRPr="00D53F68">
              <w:rPr>
                <w:rFonts w:hint="eastAsia"/>
                <w:color w:val="FFFFFF" w:themeColor="background1"/>
              </w:rPr>
              <w:t>*</w:t>
            </w:r>
          </w:p>
          <w:p w14:paraId="3CEF9687" w14:textId="77777777" w:rsidR="00203F72" w:rsidRPr="00D73718" w:rsidRDefault="00203F72" w:rsidP="00D87D91">
            <w:r w:rsidRPr="00D73718">
              <w:rPr>
                <w:rFonts w:hint="eastAsia"/>
              </w:rPr>
              <w:t>且較單純議會政府制為常見。</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4E6E8FBC" w14:textId="77777777" w:rsidR="00203F72" w:rsidRPr="00D73718" w:rsidRDefault="00203F72" w:rsidP="00D87D91">
            <w:r w:rsidRPr="00D73718">
              <w:rPr>
                <w:rFonts w:hint="eastAsia"/>
              </w:rPr>
              <w:t>聯邦層級無，非體制性必然要素。</w:t>
            </w:r>
          </w:p>
        </w:tc>
      </w:tr>
      <w:tr w:rsidR="00203F72" w:rsidRPr="00D73718" w14:paraId="0EB0E028"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76275AE9" w14:textId="77777777" w:rsidR="00203F72" w:rsidRPr="00D73718" w:rsidRDefault="00203F72" w:rsidP="00D87D91">
            <w:r w:rsidRPr="00D73718">
              <w:rPr>
                <w:rFonts w:hint="eastAsia"/>
              </w:rPr>
              <w:t>由不同政治取向之政黨勢力共同主導政治運作之所謂「左右共治」問題</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5ED78180" w14:textId="77777777" w:rsidR="00203F72" w:rsidRPr="00D73718" w:rsidRDefault="00203F72" w:rsidP="00D87D91">
            <w:r w:rsidRPr="00D73718">
              <w:rPr>
                <w:rFonts w:hint="eastAsia"/>
              </w:rPr>
              <w:t>無此問題</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0C8FE8CA" w14:textId="77777777" w:rsidR="00203F72" w:rsidRPr="00D73718" w:rsidRDefault="00203F72" w:rsidP="00D87D91">
            <w:r w:rsidRPr="00D73718">
              <w:rPr>
                <w:rFonts w:hint="eastAsia"/>
              </w:rPr>
              <w:t>往往導致政治紛爭。</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07E24655" w14:textId="77777777" w:rsidR="00203F72" w:rsidRPr="00D73718" w:rsidRDefault="00203F72" w:rsidP="00D87D91">
            <w:r w:rsidRPr="00D73718">
              <w:rPr>
                <w:rFonts w:hint="eastAsia"/>
              </w:rPr>
              <w:t>其中改選時常見現象，但因柔性政黨之故，而降低政治緊張性。</w:t>
            </w:r>
          </w:p>
        </w:tc>
      </w:tr>
      <w:tr w:rsidR="00203F72" w:rsidRPr="00D73718" w14:paraId="60D4E901"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29417A1" w14:textId="77777777" w:rsidR="00203F72" w:rsidRPr="00D73718" w:rsidRDefault="00203F72" w:rsidP="00D87D91">
            <w:r w:rsidRPr="00D73718">
              <w:rPr>
                <w:rFonts w:hint="eastAsia"/>
              </w:rPr>
              <w:t>政府部門對於國會立法之否決權或請求覆議權。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765B3EB2" w14:textId="77777777" w:rsidR="00203F72" w:rsidRPr="00D73718" w:rsidRDefault="00203F72" w:rsidP="00D87D91">
            <w:r w:rsidRPr="00D73718">
              <w:rPr>
                <w:rFonts w:hint="eastAsia"/>
              </w:rPr>
              <w:t>無</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2581303F" w14:textId="77777777"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6824A4D8" w14:textId="77777777" w:rsidR="00203F72" w:rsidRPr="00D73718" w:rsidRDefault="00203F72" w:rsidP="00D87D91">
            <w:r w:rsidRPr="00D73718">
              <w:rPr>
                <w:rFonts w:hint="eastAsia"/>
              </w:rPr>
              <w:t>是</w:t>
            </w:r>
          </w:p>
        </w:tc>
      </w:tr>
      <w:tr w:rsidR="00203F72" w:rsidRPr="00D73718" w14:paraId="061A172F"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2FBB2D6" w14:textId="77777777" w:rsidR="00203F72" w:rsidRPr="00D73718" w:rsidRDefault="00203F72" w:rsidP="00D87D91">
            <w:r w:rsidRPr="00D73718">
              <w:rPr>
                <w:rFonts w:hint="eastAsia"/>
              </w:rPr>
              <w:t>國會對於政府首長之質詢權，與政府首長之備詢義務</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6D08B606" w14:textId="77777777"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023BEECF" w14:textId="77777777"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50451A98" w14:textId="77777777" w:rsidR="00203F72" w:rsidRPr="00D73718" w:rsidRDefault="00203F72" w:rsidP="00D87D91">
            <w:r w:rsidRPr="00D73718">
              <w:rPr>
                <w:rFonts w:hint="eastAsia"/>
              </w:rPr>
              <w:t>否</w:t>
            </w:r>
          </w:p>
        </w:tc>
      </w:tr>
      <w:tr w:rsidR="00203F72" w:rsidRPr="00D73718" w14:paraId="6D8B4406"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1F82803" w14:textId="77777777" w:rsidR="00203F72" w:rsidRPr="00D73718" w:rsidRDefault="00203F72" w:rsidP="00D87D91">
            <w:r w:rsidRPr="00D73718">
              <w:rPr>
                <w:rFonts w:hint="eastAsia"/>
              </w:rPr>
              <w:t>政府部門之法案提案權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1823CEF0" w14:textId="77777777"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30C68A7B" w14:textId="77777777"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4BBB5A7D" w14:textId="77777777" w:rsidR="00203F72" w:rsidRPr="00D73718" w:rsidRDefault="00203F72" w:rsidP="00D87D91">
            <w:r w:rsidRPr="00D73718">
              <w:rPr>
                <w:rFonts w:hint="eastAsia"/>
              </w:rPr>
              <w:t>否</w:t>
            </w:r>
          </w:p>
        </w:tc>
      </w:tr>
      <w:tr w:rsidR="00203F72" w:rsidRPr="00D73718" w14:paraId="66B86E2B" w14:textId="77777777"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2BD997C" w14:textId="77777777" w:rsidR="00203F72" w:rsidRPr="00D73718" w:rsidRDefault="00203F72" w:rsidP="00D87D91">
            <w:r w:rsidRPr="00D73718">
              <w:rPr>
                <w:rFonts w:hint="eastAsia"/>
              </w:rPr>
              <w:t>對於政黨運作之依存性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14:paraId="0EB5F4E7" w14:textId="77777777" w:rsidR="00203F72" w:rsidRPr="00D73718" w:rsidRDefault="00203F72" w:rsidP="00D87D91">
            <w:r w:rsidRPr="00D73718">
              <w:rPr>
                <w:rFonts w:hint="eastAsia"/>
              </w:rPr>
              <w:t>非常高</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14:paraId="75810700" w14:textId="77777777" w:rsidR="00203F72" w:rsidRPr="00D73718" w:rsidRDefault="00203F72" w:rsidP="00D87D91">
            <w:r w:rsidRPr="00D73718">
              <w:rPr>
                <w:rFonts w:hint="eastAsia"/>
              </w:rPr>
              <w:t>高</w:t>
            </w:r>
            <w:r w:rsidR="00D53F68" w:rsidRPr="00D53F68">
              <w:rPr>
                <w:rFonts w:hint="eastAsia"/>
                <w:color w:val="FFFFFF" w:themeColor="background1"/>
              </w:rPr>
              <w:t>*</w:t>
            </w:r>
          </w:p>
          <w:p w14:paraId="71F676F8" w14:textId="77777777" w:rsidR="00203F72" w:rsidRPr="00D73718" w:rsidRDefault="00203F72" w:rsidP="00D87D91">
            <w:r w:rsidRPr="00D73718">
              <w:rPr>
                <w:rFonts w:hint="eastAsia"/>
              </w:rPr>
              <w:t>近於議會政府制。</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173EFE8F" w14:textId="77777777" w:rsidR="00203F72" w:rsidRPr="00D73718" w:rsidRDefault="00203F72" w:rsidP="00D87D91">
            <w:r w:rsidRPr="00D73718">
              <w:rPr>
                <w:rFonts w:hint="eastAsia"/>
              </w:rPr>
              <w:t>甚低</w:t>
            </w:r>
          </w:p>
        </w:tc>
      </w:tr>
    </w:tbl>
    <w:p w14:paraId="4C6746A1" w14:textId="77777777" w:rsidR="00203F72" w:rsidRPr="00D73718" w:rsidRDefault="002107CE" w:rsidP="00D87D91">
      <w:r w:rsidRPr="00D73718">
        <w:rPr>
          <w:rFonts w:hint="eastAsia"/>
        </w:rPr>
        <w:t>【本表格資料來源】</w:t>
      </w:r>
    </w:p>
    <w:p w14:paraId="310D749E" w14:textId="77777777" w:rsidR="00203F72" w:rsidRPr="00D73718" w:rsidRDefault="00367D0C" w:rsidP="00D87D91">
      <w:r w:rsidRPr="00D73718">
        <w:rPr>
          <w:rFonts w:hint="eastAsia"/>
        </w:rPr>
        <w:t xml:space="preserve">　　</w:t>
      </w:r>
      <w:r w:rsidR="00203F72" w:rsidRPr="00D73718">
        <w:rPr>
          <w:rFonts w:hint="eastAsia"/>
        </w:rPr>
        <w:t>蔡宗珍</w:t>
      </w:r>
      <w:r w:rsidR="00203F72" w:rsidRPr="00D73718">
        <w:t>(2006)</w:t>
      </w:r>
      <w:r w:rsidR="00203F72" w:rsidRPr="00D73718">
        <w:t>，</w:t>
      </w:r>
      <w:r w:rsidR="00203F72" w:rsidRPr="00D73718">
        <w:t xml:space="preserve"> </w:t>
      </w:r>
      <w:r w:rsidR="00203F72" w:rsidRPr="00D73718">
        <w:rPr>
          <w:rFonts w:hint="eastAsia"/>
        </w:rPr>
        <w:t>中央政府體制改革的選擇</w:t>
      </w:r>
      <w:r w:rsidR="00203F72" w:rsidRPr="00D73718">
        <w:t>(</w:t>
      </w:r>
      <w:r w:rsidR="00203F72" w:rsidRPr="00D73718">
        <w:rPr>
          <w:rFonts w:hint="eastAsia"/>
        </w:rPr>
        <w:t>法理篇</w:t>
      </w:r>
      <w:r w:rsidR="00203F72" w:rsidRPr="00D73718">
        <w:t xml:space="preserve">) </w:t>
      </w:r>
      <w:r w:rsidR="00203F72" w:rsidRPr="00D73718">
        <w:t>，</w:t>
      </w:r>
      <w:r w:rsidR="00203F72" w:rsidRPr="00D73718">
        <w:rPr>
          <w:rFonts w:hint="eastAsia"/>
        </w:rPr>
        <w:t>收錄於《憲改方向盤》，台北：五南，第</w:t>
      </w:r>
      <w:r w:rsidR="00203F72" w:rsidRPr="00D73718">
        <w:t>94~95</w:t>
      </w:r>
      <w:r w:rsidR="00203F72" w:rsidRPr="00D73718">
        <w:rPr>
          <w:rFonts w:hint="eastAsia"/>
        </w:rPr>
        <w:t>頁。</w:t>
      </w:r>
    </w:p>
    <w:p w14:paraId="6C3F9AFA" w14:textId="77777777" w:rsidR="00953151" w:rsidRPr="00D73718" w:rsidRDefault="00367D0C" w:rsidP="00D87D91">
      <w:r w:rsidRPr="00D73718">
        <w:rPr>
          <w:rFonts w:hint="eastAsia"/>
        </w:rPr>
        <w:t xml:space="preserve">　　</w:t>
      </w:r>
      <w:r w:rsidR="00203F72" w:rsidRPr="00D73718">
        <w:rPr>
          <w:rFonts w:hint="eastAsia"/>
        </w:rPr>
        <w:t>植憲</w:t>
      </w:r>
      <w:r w:rsidR="00203F72" w:rsidRPr="00D73718">
        <w:t>(2011)</w:t>
      </w:r>
      <w:r w:rsidR="00203F72" w:rsidRPr="00D73718">
        <w:rPr>
          <w:rFonts w:hint="eastAsia"/>
        </w:rPr>
        <w:t>，憲法解題概念操作</w:t>
      </w:r>
      <w:r w:rsidR="00203F72" w:rsidRPr="00D73718">
        <w:t>(</w:t>
      </w:r>
      <w:r w:rsidR="00203F72" w:rsidRPr="00D73718">
        <w:rPr>
          <w:rFonts w:hint="eastAsia"/>
        </w:rPr>
        <w:t>下</w:t>
      </w:r>
      <w:r w:rsidR="00203F72" w:rsidRPr="00D73718">
        <w:t>)</w:t>
      </w:r>
      <w:r w:rsidR="00203F72" w:rsidRPr="00D73718">
        <w:rPr>
          <w:rFonts w:hint="eastAsia"/>
        </w:rPr>
        <w:t>，</w:t>
      </w:r>
      <w:r w:rsidR="00203F72" w:rsidRPr="00D73718">
        <w:t>6</w:t>
      </w:r>
      <w:r w:rsidR="00203F72" w:rsidRPr="00D73718">
        <w:rPr>
          <w:rFonts w:hint="eastAsia"/>
        </w:rPr>
        <w:t>版，台北；高點文化公司，第</w:t>
      </w:r>
      <w:r w:rsidR="00203F72" w:rsidRPr="00D73718">
        <w:rPr>
          <w:rFonts w:hint="eastAsia"/>
        </w:rPr>
        <w:t>5-90</w:t>
      </w:r>
      <w:r w:rsidR="00203F72" w:rsidRPr="00D73718">
        <w:rPr>
          <w:rFonts w:hint="eastAsia"/>
        </w:rPr>
        <w:t>頁。</w:t>
      </w:r>
    </w:p>
    <w:p w14:paraId="5F2950E5" w14:textId="77777777" w:rsidR="00203F72" w:rsidRPr="00D73718" w:rsidRDefault="00367D0C" w:rsidP="00D87D91">
      <w:r w:rsidRPr="00D73718">
        <w:rPr>
          <w:rFonts w:hint="eastAsia"/>
        </w:rPr>
        <w:t xml:space="preserve">　　</w:t>
      </w:r>
      <w:r w:rsidR="00203F72" w:rsidRPr="00D73718">
        <w:rPr>
          <w:rFonts w:hint="eastAsia"/>
        </w:rPr>
        <w:t>就日本憲法而論，日本憲法非常明顯地，並不採用總統制，日本憲法亦不採取半總統制，而係採取內閣制，日本憲法設有內閣總理大臣，有權解散日本之國會。日本憲法以下之條文，均涉及規範內閣政體之內容：憲</w:t>
      </w:r>
      <w:r w:rsidR="00444E21" w:rsidRPr="00BD43D3">
        <w:t>法</w:t>
      </w:r>
      <w:hyperlink r:id="rId1446"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444E21" w:rsidRPr="00D73718">
        <w:rPr>
          <w:rFonts w:hint="eastAsia"/>
        </w:rPr>
        <w:t xml:space="preserve"> </w:t>
      </w:r>
      <w:r w:rsidR="00203F72" w:rsidRPr="00D73718">
        <w:rPr>
          <w:rFonts w:hint="eastAsia"/>
        </w:rPr>
        <w:t>(</w:t>
      </w:r>
      <w:r w:rsidR="00203F72" w:rsidRPr="00D73718">
        <w:rPr>
          <w:rFonts w:hint="eastAsia"/>
        </w:rPr>
        <w:t>日本內閣總理大臣，有權向日本天皇建議：解散日本之國會</w:t>
      </w:r>
      <w:r w:rsidR="00203F72" w:rsidRPr="00D73718">
        <w:rPr>
          <w:rFonts w:hint="eastAsia"/>
        </w:rPr>
        <w:t>)</w:t>
      </w:r>
      <w:r w:rsidR="00203F72" w:rsidRPr="00D73718">
        <w:footnoteReference w:id="132"/>
      </w:r>
      <w:r w:rsidR="00203F72" w:rsidRPr="00D73718">
        <w:rPr>
          <w:rFonts w:hint="eastAsia"/>
        </w:rPr>
        <w:t>、第</w:t>
      </w:r>
      <w:r w:rsidR="00203F72" w:rsidRPr="00D73718">
        <w:rPr>
          <w:rFonts w:hint="eastAsia"/>
        </w:rPr>
        <w:t>53</w:t>
      </w:r>
      <w:r w:rsidR="00203F72" w:rsidRPr="00D73718">
        <w:rPr>
          <w:rFonts w:hint="eastAsia"/>
        </w:rPr>
        <w:t>條</w:t>
      </w:r>
      <w:r w:rsidR="00203F72" w:rsidRPr="00D73718">
        <w:footnoteReference w:id="133"/>
      </w:r>
      <w:r w:rsidR="00203F72" w:rsidRPr="00D73718">
        <w:rPr>
          <w:rFonts w:hint="eastAsia"/>
        </w:rPr>
        <w:t>、第</w:t>
      </w:r>
      <w:r w:rsidR="00203F72" w:rsidRPr="00D73718">
        <w:rPr>
          <w:rFonts w:hint="eastAsia"/>
        </w:rPr>
        <w:t>63</w:t>
      </w:r>
      <w:r w:rsidR="00203F72" w:rsidRPr="00D73718">
        <w:rPr>
          <w:rFonts w:hint="eastAsia"/>
        </w:rPr>
        <w:t>條</w:t>
      </w:r>
      <w:r w:rsidR="00203F72" w:rsidRPr="00D73718">
        <w:footnoteReference w:id="134"/>
      </w:r>
      <w:r w:rsidR="00203F72" w:rsidRPr="00D73718">
        <w:rPr>
          <w:rFonts w:hint="eastAsia"/>
        </w:rPr>
        <w:t>、第</w:t>
      </w:r>
      <w:r w:rsidR="00203F72" w:rsidRPr="00D73718">
        <w:rPr>
          <w:rFonts w:hint="eastAsia"/>
        </w:rPr>
        <w:t>65</w:t>
      </w:r>
      <w:r w:rsidR="00203F72" w:rsidRPr="00D73718">
        <w:rPr>
          <w:rFonts w:hint="eastAsia"/>
        </w:rPr>
        <w:t>條</w:t>
      </w:r>
      <w:r w:rsidR="00203F72" w:rsidRPr="00D73718">
        <w:footnoteReference w:id="135"/>
      </w:r>
      <w:r w:rsidR="00203F72" w:rsidRPr="00D73718">
        <w:rPr>
          <w:rFonts w:hint="eastAsia"/>
        </w:rPr>
        <w:t>、第</w:t>
      </w:r>
      <w:r w:rsidR="00203F72" w:rsidRPr="00D73718">
        <w:rPr>
          <w:rFonts w:hint="eastAsia"/>
        </w:rPr>
        <w:t>66</w:t>
      </w:r>
      <w:r w:rsidR="00203F72" w:rsidRPr="00D73718">
        <w:rPr>
          <w:rFonts w:hint="eastAsia"/>
        </w:rPr>
        <w:t>條</w:t>
      </w:r>
      <w:r w:rsidR="00203F72" w:rsidRPr="00D73718">
        <w:footnoteReference w:id="136"/>
      </w:r>
      <w:r w:rsidR="00203F72" w:rsidRPr="00D73718">
        <w:rPr>
          <w:rFonts w:hint="eastAsia"/>
        </w:rPr>
        <w:t>、第</w:t>
      </w:r>
      <w:r w:rsidR="00203F72" w:rsidRPr="00D73718">
        <w:rPr>
          <w:rFonts w:hint="eastAsia"/>
        </w:rPr>
        <w:t>67</w:t>
      </w:r>
      <w:r w:rsidR="00203F72" w:rsidRPr="00D73718">
        <w:rPr>
          <w:rFonts w:hint="eastAsia"/>
        </w:rPr>
        <w:t>條</w:t>
      </w:r>
      <w:r w:rsidR="00203F72" w:rsidRPr="00D73718">
        <w:footnoteReference w:id="137"/>
      </w:r>
      <w:r w:rsidR="00203F72" w:rsidRPr="00D73718">
        <w:rPr>
          <w:rFonts w:hint="eastAsia"/>
        </w:rPr>
        <w:t>、第</w:t>
      </w:r>
      <w:r w:rsidR="00203F72" w:rsidRPr="00D73718">
        <w:rPr>
          <w:rFonts w:hint="eastAsia"/>
        </w:rPr>
        <w:t>68</w:t>
      </w:r>
      <w:r w:rsidR="00203F72" w:rsidRPr="00D73718">
        <w:rPr>
          <w:rFonts w:hint="eastAsia"/>
        </w:rPr>
        <w:t>條</w:t>
      </w:r>
      <w:r w:rsidR="00203F72" w:rsidRPr="00D73718">
        <w:rPr>
          <w:rFonts w:hint="eastAsia"/>
        </w:rPr>
        <w:t>(</w:t>
      </w:r>
      <w:r w:rsidR="00203F72" w:rsidRPr="00D73718">
        <w:rPr>
          <w:rFonts w:hint="eastAsia"/>
        </w:rPr>
        <w:t>日本之</w:t>
      </w:r>
      <w:r w:rsidR="00203F72" w:rsidRPr="00D73718">
        <w:t>国務大臣</w:t>
      </w:r>
      <w:r w:rsidR="00203F72" w:rsidRPr="00D73718">
        <w:rPr>
          <w:rFonts w:hint="eastAsia"/>
        </w:rPr>
        <w:t>(</w:t>
      </w:r>
      <w:r w:rsidR="00203F72" w:rsidRPr="00D73718">
        <w:rPr>
          <w:rFonts w:hint="eastAsia"/>
        </w:rPr>
        <w:t>相當於台灣之部長</w:t>
      </w:r>
      <w:r w:rsidR="00203F72" w:rsidRPr="00D73718">
        <w:t>，其半數以上之人數，須來自於日本之國會</w:t>
      </w:r>
      <w:r w:rsidR="00203F72" w:rsidRPr="00D73718">
        <w:rPr>
          <w:rFonts w:hint="eastAsia"/>
        </w:rPr>
        <w:t>)</w:t>
      </w:r>
      <w:r w:rsidR="00203F72" w:rsidRPr="00D73718">
        <w:footnoteReference w:id="138"/>
      </w:r>
      <w:r w:rsidR="00203F72" w:rsidRPr="00D73718">
        <w:rPr>
          <w:rFonts w:hint="eastAsia"/>
        </w:rPr>
        <w:t>、第</w:t>
      </w:r>
      <w:r w:rsidR="00203F72" w:rsidRPr="00D73718">
        <w:rPr>
          <w:rFonts w:hint="eastAsia"/>
        </w:rPr>
        <w:t>69</w:t>
      </w:r>
      <w:r w:rsidR="00203F72" w:rsidRPr="00D73718">
        <w:rPr>
          <w:rFonts w:hint="eastAsia"/>
        </w:rPr>
        <w:t>條</w:t>
      </w:r>
      <w:r w:rsidR="00203F72" w:rsidRPr="00D73718">
        <w:rPr>
          <w:rFonts w:hint="eastAsia"/>
        </w:rPr>
        <w:t>(</w:t>
      </w:r>
      <w:r w:rsidR="00203F72" w:rsidRPr="00D73718">
        <w:t>衆議院向內閣提出不信任決議案、內閣総理大臣解散國會機制</w:t>
      </w:r>
      <w:r w:rsidR="00203F72" w:rsidRPr="00D73718">
        <w:rPr>
          <w:rFonts w:hint="eastAsia"/>
        </w:rPr>
        <w:t>)</w:t>
      </w:r>
      <w:r w:rsidR="00203F72" w:rsidRPr="00D73718">
        <w:footnoteReference w:id="139"/>
      </w:r>
      <w:r w:rsidR="00203F72" w:rsidRPr="00D73718">
        <w:rPr>
          <w:rFonts w:hint="eastAsia"/>
        </w:rPr>
        <w:t>、第</w:t>
      </w:r>
      <w:r w:rsidR="00203F72" w:rsidRPr="00D73718">
        <w:rPr>
          <w:rFonts w:hint="eastAsia"/>
        </w:rPr>
        <w:t>70</w:t>
      </w:r>
      <w:r w:rsidR="00203F72" w:rsidRPr="00D73718">
        <w:rPr>
          <w:rFonts w:hint="eastAsia"/>
        </w:rPr>
        <w:t>條</w:t>
      </w:r>
      <w:r w:rsidR="00203F72" w:rsidRPr="00D73718">
        <w:rPr>
          <w:rFonts w:hint="eastAsia"/>
        </w:rPr>
        <w:t>(</w:t>
      </w:r>
      <w:r w:rsidR="00203F72" w:rsidRPr="00D73718">
        <w:t>内閣総辞職之時機</w:t>
      </w:r>
      <w:r w:rsidR="00203F72" w:rsidRPr="00D73718">
        <w:rPr>
          <w:rFonts w:hint="eastAsia"/>
        </w:rPr>
        <w:t>)</w:t>
      </w:r>
      <w:r w:rsidR="00203F72" w:rsidRPr="00D73718">
        <w:footnoteReference w:id="140"/>
      </w:r>
      <w:r w:rsidR="00203F72" w:rsidRPr="00D73718">
        <w:rPr>
          <w:rFonts w:hint="eastAsia"/>
        </w:rPr>
        <w:t>、第</w:t>
      </w:r>
      <w:r w:rsidR="00203F72" w:rsidRPr="00D73718">
        <w:rPr>
          <w:rFonts w:hint="eastAsia"/>
        </w:rPr>
        <w:t>71</w:t>
      </w:r>
      <w:r w:rsidR="00203F72" w:rsidRPr="00D73718">
        <w:rPr>
          <w:rFonts w:hint="eastAsia"/>
        </w:rPr>
        <w:t>條</w:t>
      </w:r>
      <w:r w:rsidR="00203F72" w:rsidRPr="00D73718">
        <w:footnoteReference w:id="141"/>
      </w:r>
      <w:r w:rsidR="00203F72" w:rsidRPr="00D73718">
        <w:rPr>
          <w:rFonts w:hint="eastAsia"/>
        </w:rPr>
        <w:t>、第</w:t>
      </w:r>
      <w:r w:rsidR="00203F72" w:rsidRPr="00D73718">
        <w:rPr>
          <w:rFonts w:hint="eastAsia"/>
        </w:rPr>
        <w:t>72</w:t>
      </w:r>
      <w:r w:rsidR="00203F72" w:rsidRPr="00D73718">
        <w:rPr>
          <w:rFonts w:hint="eastAsia"/>
        </w:rPr>
        <w:t>條</w:t>
      </w:r>
      <w:r w:rsidR="00203F72" w:rsidRPr="00D73718">
        <w:footnoteReference w:id="142"/>
      </w:r>
      <w:r w:rsidR="00203F72" w:rsidRPr="00D73718">
        <w:rPr>
          <w:rFonts w:hint="eastAsia"/>
        </w:rPr>
        <w:t>、第</w:t>
      </w:r>
      <w:r w:rsidR="00203F72" w:rsidRPr="00D73718">
        <w:rPr>
          <w:rFonts w:hint="eastAsia"/>
        </w:rPr>
        <w:t>73</w:t>
      </w:r>
      <w:r w:rsidR="00203F72" w:rsidRPr="00D73718">
        <w:rPr>
          <w:rFonts w:hint="eastAsia"/>
        </w:rPr>
        <w:t>條</w:t>
      </w:r>
      <w:r w:rsidR="00203F72" w:rsidRPr="00D73718">
        <w:footnoteReference w:id="143"/>
      </w:r>
      <w:r w:rsidR="00203F72" w:rsidRPr="00D73718">
        <w:rPr>
          <w:rFonts w:hint="eastAsia"/>
        </w:rPr>
        <w:t>。</w:t>
      </w:r>
    </w:p>
    <w:p w14:paraId="4F114692" w14:textId="77777777" w:rsidR="00953151" w:rsidRPr="00D73718" w:rsidRDefault="00367D0C" w:rsidP="00D87D91">
      <w:r w:rsidRPr="00D73718">
        <w:rPr>
          <w:rFonts w:hint="eastAsia"/>
        </w:rPr>
        <w:t xml:space="preserve">　　</w:t>
      </w:r>
      <w:r w:rsidR="00203F72" w:rsidRPr="00D73718">
        <w:rPr>
          <w:rFonts w:hint="eastAsia"/>
        </w:rPr>
        <w:t>由下述之日本三權分立之結構解說圖形，可顯示出日本係為三權分立之國家，內閣擁有行政權，內閣</w:t>
      </w:r>
      <w:r w:rsidR="00203F72" w:rsidRPr="00D73718">
        <w:rPr>
          <w:rFonts w:hint="eastAsia"/>
        </w:rPr>
        <w:t>(</w:t>
      </w:r>
      <w:r w:rsidR="00203F72" w:rsidRPr="00D73718">
        <w:rPr>
          <w:rFonts w:hint="eastAsia"/>
        </w:rPr>
        <w:t>行政權</w:t>
      </w:r>
      <w:r w:rsidR="00203F72" w:rsidRPr="00D73718">
        <w:rPr>
          <w:rFonts w:hint="eastAsia"/>
        </w:rPr>
        <w:t>)</w:t>
      </w:r>
      <w:r w:rsidR="00203F72" w:rsidRPr="00D73718">
        <w:rPr>
          <w:rFonts w:hint="eastAsia"/>
        </w:rPr>
        <w:t>對國會</w:t>
      </w:r>
      <w:r w:rsidR="00203F72" w:rsidRPr="00D73718">
        <w:rPr>
          <w:rFonts w:hint="eastAsia"/>
        </w:rPr>
        <w:t>(</w:t>
      </w:r>
      <w:r w:rsidR="00203F72" w:rsidRPr="00D73718">
        <w:rPr>
          <w:rFonts w:hint="eastAsia"/>
        </w:rPr>
        <w:t>立法權</w:t>
      </w:r>
      <w:r w:rsidR="00203F72" w:rsidRPr="00D73718">
        <w:rPr>
          <w:rFonts w:hint="eastAsia"/>
        </w:rPr>
        <w:t>)</w:t>
      </w:r>
      <w:r w:rsidR="00203F72" w:rsidRPr="00D73718">
        <w:rPr>
          <w:rFonts w:hint="eastAsia"/>
        </w:rPr>
        <w:t>之關係，係為連帶責任。內閣對國會中之眾議院，擁有解散權，但是，內閣對國會中之參議院，則未擁有解散權。內閣如認為必要時，得作出決定，請國會召開緊急性之臨時會</w:t>
      </w:r>
      <w:r w:rsidR="00203F72" w:rsidRPr="00D73718">
        <w:rPr>
          <w:rFonts w:hint="eastAsia"/>
        </w:rPr>
        <w:t>(</w:t>
      </w:r>
      <w:r w:rsidR="00203F72" w:rsidRPr="00D73718">
        <w:t>The Cabinet may determine to convoke extraordinary sessions of the Diet</w:t>
      </w:r>
      <w:r w:rsidR="00203F72" w:rsidRPr="00D73718">
        <w:rPr>
          <w:rFonts w:hint="eastAsia"/>
        </w:rPr>
        <w:t>)</w:t>
      </w:r>
      <w:r w:rsidR="00203F72" w:rsidRPr="00D73718">
        <w:rPr>
          <w:rFonts w:hint="eastAsia"/>
        </w:rPr>
        <w:t>。</w:t>
      </w:r>
    </w:p>
    <w:p w14:paraId="64CD1FA9" w14:textId="77777777" w:rsidR="00953151" w:rsidRPr="00D73718" w:rsidRDefault="00367D0C" w:rsidP="00D87D91">
      <w:r w:rsidRPr="00D73718">
        <w:rPr>
          <w:rFonts w:hint="eastAsia"/>
        </w:rPr>
        <w:t xml:space="preserve">　　</w:t>
      </w:r>
      <w:r w:rsidR="00203F72" w:rsidRPr="00D73718">
        <w:rPr>
          <w:rFonts w:hint="eastAsia"/>
        </w:rPr>
        <w:t>亦即，日本國會召開緊急性之臨時會之權力，日本內閣亦享有之。再者，內閣總理大臣之產生，係由國會議員之中，選舉產生之。台灣之行政院長，係由總統提名，而非由國會議員之中，選舉產生之，台灣之行政院長，其本質並非立法委員，故台灣之行政院長之提名機制，我國並非如日本之內閣制。</w:t>
      </w:r>
    </w:p>
    <w:p w14:paraId="2C448152" w14:textId="77777777" w:rsidR="00953151" w:rsidRPr="00D73718" w:rsidRDefault="00367D0C" w:rsidP="00D87D91">
      <w:r w:rsidRPr="00D73718">
        <w:rPr>
          <w:rFonts w:hint="eastAsia"/>
        </w:rPr>
        <w:t xml:space="preserve">　　</w:t>
      </w:r>
      <w:r w:rsidR="00203F72" w:rsidRPr="00D73718">
        <w:rPr>
          <w:rFonts w:hint="eastAsia"/>
        </w:rPr>
        <w:t>之國會中之眾議院，對於內閣，亦可提出不信任案。在</w:t>
      </w:r>
      <w:r w:rsidR="00203F72" w:rsidRPr="00D73718">
        <w:rPr>
          <w:rFonts w:hint="eastAsia"/>
        </w:rPr>
        <w:t>10</w:t>
      </w:r>
      <w:r w:rsidR="00203F72" w:rsidRPr="00D73718">
        <w:rPr>
          <w:rFonts w:hint="eastAsia"/>
        </w:rPr>
        <w:t>日之內，如內閣未即時解散國會中之眾議院，且眾議院通過內閣不信任案，因內閣已不被國會加以信任，則內閣須總辭職。相反地，在</w:t>
      </w:r>
      <w:r w:rsidR="00203F72" w:rsidRPr="00D73718">
        <w:rPr>
          <w:rFonts w:hint="eastAsia"/>
        </w:rPr>
        <w:t>10</w:t>
      </w:r>
      <w:r w:rsidR="00203F72" w:rsidRPr="00D73718">
        <w:rPr>
          <w:rFonts w:hint="eastAsia"/>
        </w:rPr>
        <w:t>日之內，如內閣業已即時解散國會中之眾議院，則眾議院必須解散之</w:t>
      </w:r>
      <w:r w:rsidR="00203F72" w:rsidRPr="00D73718">
        <w:rPr>
          <w:rFonts w:hint="eastAsia"/>
        </w:rPr>
        <w:t>(</w:t>
      </w:r>
      <w:r w:rsidR="00203F72" w:rsidRPr="00D73718">
        <w:rPr>
          <w:rFonts w:hint="eastAsia"/>
        </w:rPr>
        <w:t>內閣並無權限解散國會中之參議院</w:t>
      </w:r>
      <w:r w:rsidR="00203F72" w:rsidRPr="00D73718">
        <w:rPr>
          <w:rFonts w:hint="eastAsia"/>
        </w:rPr>
        <w:t>)</w:t>
      </w:r>
      <w:r w:rsidR="00203F72" w:rsidRPr="00D73718">
        <w:rPr>
          <w:rFonts w:hint="eastAsia"/>
        </w:rPr>
        <w:t>。</w:t>
      </w:r>
    </w:p>
    <w:p w14:paraId="5B21E1FB" w14:textId="77777777" w:rsidR="00953151" w:rsidRPr="00D73718" w:rsidRDefault="00367D0C" w:rsidP="00D87D91">
      <w:r w:rsidRPr="00D73718">
        <w:rPr>
          <w:rFonts w:hint="eastAsia"/>
        </w:rPr>
        <w:t xml:space="preserve">　　</w:t>
      </w:r>
      <w:r w:rsidR="00203F72" w:rsidRPr="00D73718">
        <w:rPr>
          <w:rFonts w:hint="eastAsia"/>
        </w:rPr>
        <w:t>眾議院被解散之後，</w:t>
      </w:r>
      <w:r w:rsidR="00203F72" w:rsidRPr="00D73718">
        <w:rPr>
          <w:rFonts w:hint="eastAsia"/>
        </w:rPr>
        <w:t>40</w:t>
      </w:r>
      <w:r w:rsidR="00203F72" w:rsidRPr="00D73718">
        <w:rPr>
          <w:rFonts w:hint="eastAsia"/>
        </w:rPr>
        <w:t>日內，再次進行國會選舉，選出新的眾議院之議員。之後，</w:t>
      </w:r>
      <w:r w:rsidR="00203F72" w:rsidRPr="00D73718">
        <w:rPr>
          <w:rFonts w:hint="eastAsia"/>
        </w:rPr>
        <w:t>30</w:t>
      </w:r>
      <w:r w:rsidR="00203F72" w:rsidRPr="00D73718">
        <w:rPr>
          <w:rFonts w:hint="eastAsia"/>
        </w:rPr>
        <w:t>日之內，召開第</w:t>
      </w:r>
      <w:r w:rsidR="00203F72" w:rsidRPr="00D73718">
        <w:rPr>
          <w:rFonts w:hint="eastAsia"/>
        </w:rPr>
        <w:t>1</w:t>
      </w:r>
      <w:r w:rsidR="00203F72" w:rsidRPr="00D73718">
        <w:rPr>
          <w:rFonts w:hint="eastAsia"/>
        </w:rPr>
        <w:t>次國會特別會</w:t>
      </w:r>
      <w:r w:rsidR="00203F72" w:rsidRPr="00D73718">
        <w:rPr>
          <w:rFonts w:hint="eastAsia"/>
        </w:rPr>
        <w:t>(</w:t>
      </w:r>
      <w:r w:rsidR="00203F72" w:rsidRPr="00D73718">
        <w:t>or upon the first convocation of the Diet after a general election of members of the House of Representatives</w:t>
      </w:r>
      <w:r w:rsidR="00203F72" w:rsidRPr="00D73718">
        <w:rPr>
          <w:rFonts w:hint="eastAsia"/>
        </w:rPr>
        <w:t>)</w:t>
      </w:r>
      <w:r w:rsidR="00203F72" w:rsidRPr="00D73718">
        <w:rPr>
          <w:rFonts w:hint="eastAsia"/>
        </w:rPr>
        <w:t>，此時，內閣須總辭職</w:t>
      </w:r>
      <w:r w:rsidR="00203F72" w:rsidRPr="00D73718">
        <w:rPr>
          <w:rFonts w:hint="eastAsia"/>
        </w:rPr>
        <w:t>(</w:t>
      </w:r>
      <w:r w:rsidR="00203F72" w:rsidRPr="00D73718">
        <w:t>the Cabinet shall resign en masse</w:t>
      </w:r>
      <w:r w:rsidR="00203F72" w:rsidRPr="00D73718">
        <w:t>，総選挙が終わって最初の国会が召集されると内閣は総辞職する</w:t>
      </w:r>
      <w:r w:rsidR="00203F72" w:rsidRPr="00D73718">
        <w:footnoteReference w:id="144"/>
      </w:r>
      <w:r w:rsidR="00203F72" w:rsidRPr="00D73718">
        <w:rPr>
          <w:rFonts w:hint="eastAsia"/>
        </w:rPr>
        <w:t>)</w:t>
      </w:r>
      <w:r w:rsidR="00203F72" w:rsidRPr="00D73718">
        <w:rPr>
          <w:rFonts w:hint="eastAsia"/>
        </w:rPr>
        <w:t>。為何內閣須總辭職</w:t>
      </w:r>
      <w:r w:rsidR="00203F72" w:rsidRPr="00D73718">
        <w:rPr>
          <w:rFonts w:hint="eastAsia"/>
        </w:rPr>
        <w:t>(</w:t>
      </w:r>
      <w:r w:rsidR="00203F72" w:rsidRPr="00D73718">
        <w:t>the Cabinet shall resign en masse</w:t>
      </w:r>
      <w:r w:rsidR="00203F72" w:rsidRPr="00D73718">
        <w:t>，内閣は総辞職する</w:t>
      </w:r>
      <w:r w:rsidR="00203F72" w:rsidRPr="00D73718">
        <w:rPr>
          <w:rFonts w:hint="eastAsia"/>
        </w:rPr>
        <w:t>)</w:t>
      </w:r>
      <w:r w:rsidR="00203F72" w:rsidRPr="00D73718">
        <w:rPr>
          <w:rFonts w:hint="eastAsia"/>
        </w:rPr>
        <w:t>？因此時新的眾議院之議員</w:t>
      </w:r>
      <w:r w:rsidR="00203F72" w:rsidRPr="00D73718">
        <w:rPr>
          <w:rFonts w:hint="eastAsia"/>
        </w:rPr>
        <w:t>(</w:t>
      </w:r>
      <w:r w:rsidR="00203F72" w:rsidRPr="00D73718">
        <w:t>members of the House of Representatives</w:t>
      </w:r>
      <w:r w:rsidR="00203F72" w:rsidRPr="00D73718">
        <w:rPr>
          <w:rFonts w:hint="eastAsia"/>
        </w:rPr>
        <w:t>)</w:t>
      </w:r>
      <w:r w:rsidR="00203F72" w:rsidRPr="00D73718">
        <w:rPr>
          <w:rFonts w:hint="eastAsia"/>
        </w:rPr>
        <w:t>，代表另外一種之新民意基礎。由眾議院選出新的內閣總理大臣，組成新一波之內閣。</w:t>
      </w:r>
    </w:p>
    <w:p w14:paraId="3DE7470E" w14:textId="77777777" w:rsidR="00953151" w:rsidRDefault="00367D0C" w:rsidP="00D87D91">
      <w:pPr>
        <w:rPr>
          <w:rFonts w:ascii="新細明體" w:hAnsi="新細明體"/>
        </w:rPr>
      </w:pPr>
      <w:r w:rsidRPr="00D73718">
        <w:rPr>
          <w:rFonts w:hint="eastAsia"/>
        </w:rPr>
        <w:t xml:space="preserve">　　</w:t>
      </w:r>
      <w:r w:rsidR="00203F72" w:rsidRPr="00D73718">
        <w:rPr>
          <w:rFonts w:hint="eastAsia"/>
        </w:rPr>
        <w:t>綜上，如日本之國會中之眾議院</w:t>
      </w:r>
      <w:r w:rsidR="00203F72" w:rsidRPr="00D73718">
        <w:rPr>
          <w:rFonts w:hint="eastAsia"/>
        </w:rPr>
        <w:t>(</w:t>
      </w:r>
      <w:r w:rsidR="00203F72" w:rsidRPr="00D73718">
        <w:t>the House of Representatives</w:t>
      </w:r>
      <w:r w:rsidR="00203F72" w:rsidRPr="00D73718">
        <w:rPr>
          <w:rFonts w:hint="eastAsia"/>
        </w:rPr>
        <w:t>)</w:t>
      </w:r>
      <w:r w:rsidR="00203F72" w:rsidRPr="00D73718">
        <w:rPr>
          <w:rFonts w:hint="eastAsia"/>
        </w:rPr>
        <w:t>，假若其對於內閣，提出不信任案，不論眾議院</w:t>
      </w:r>
      <w:r w:rsidR="00203F72" w:rsidRPr="00D73718">
        <w:rPr>
          <w:rFonts w:hint="eastAsia"/>
        </w:rPr>
        <w:t>(</w:t>
      </w:r>
      <w:r w:rsidR="00203F72" w:rsidRPr="00D73718">
        <w:t>the House of Representatives</w:t>
      </w:r>
      <w:r w:rsidR="00203F72" w:rsidRPr="00D73718">
        <w:rPr>
          <w:rFonts w:hint="eastAsia"/>
        </w:rPr>
        <w:t>)</w:t>
      </w:r>
      <w:r w:rsidR="00203F72" w:rsidRPr="00D73718">
        <w:rPr>
          <w:rFonts w:hint="eastAsia"/>
        </w:rPr>
        <w:t>是否被解散，最終，內閣仍是須總辭職</w:t>
      </w:r>
      <w:r w:rsidR="00203F72" w:rsidRPr="00D73718">
        <w:rPr>
          <w:rFonts w:hint="eastAsia"/>
        </w:rPr>
        <w:t>(</w:t>
      </w:r>
      <w:r w:rsidR="00203F72" w:rsidRPr="00D73718">
        <w:t>the Cabinet shall resign en masse</w:t>
      </w:r>
      <w:r w:rsidR="00203F72" w:rsidRPr="00D73718">
        <w:t>，内閣は総辞職する</w:t>
      </w:r>
      <w:r w:rsidR="00203F72" w:rsidRPr="00D73718">
        <w:rPr>
          <w:rFonts w:hint="eastAsia"/>
        </w:rPr>
        <w:t>)</w:t>
      </w:r>
      <w:r w:rsidR="00203F72" w:rsidRPr="00D73718">
        <w:rPr>
          <w:rFonts w:hint="eastAsia"/>
        </w:rPr>
        <w:t>。</w:t>
      </w:r>
      <w:r w:rsidR="00193290" w:rsidRPr="0065661E">
        <w:rPr>
          <w:rFonts w:hint="eastAsia"/>
          <w:color w:val="FFFFFF" w:themeColor="background1"/>
        </w:rPr>
        <w:t>◇◆</w:t>
      </w:r>
    </w:p>
    <w:p w14:paraId="6C9DBB00" w14:textId="77777777" w:rsidR="00203F72" w:rsidRPr="00A53581" w:rsidRDefault="00203F72" w:rsidP="00D87D91">
      <w:r>
        <w:rPr>
          <w:noProof/>
        </w:rPr>
        <w:drawing>
          <wp:inline distT="0" distB="0" distL="0" distR="0" wp14:anchorId="0C6BA4E7" wp14:editId="18A1F6DB">
            <wp:extent cx="4813300" cy="3729355"/>
            <wp:effectExtent l="0" t="0" r="6350" b="4445"/>
            <wp:docPr id="21" name="圖片 21" descr="日本の三権分立の仕組みを説明します。国会（立法権）は、内閣に対しては、内閣総理大臣の指名や衆議院による内閣の不信任決議を通じて抑制力をもっています。また、裁判所に対しては、裁判官を辞めさせること、すなわち裁判官弾劾の権限をもつという形で抑制力をもっています。内閣（行政権）は、国会に対して、国会を召集したり、衆議院を解散することができます。また、裁判所に対しては最高裁判所長官の指名や、裁判官の任命を行う権限をもっています。裁判所（司法権）は、国会がつくった法律が憲法に違反していないかをチェックする、違憲立法審査権をもっています。内閣に対しても、命令や処分などの違憲審査権をもっているほか、行政訴訟の終審裁判を行うことができます。また、国民は、国会議員を選挙で選び、内閣に対しては世論を形成し、裁判所に対しては最高裁判所裁判官の国民審査を行うことによって、三つの権力を監視していま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日本の三権分立の仕組みを説明します。国会（立法権）は、内閣に対しては、内閣総理大臣の指名や衆議院による内閣の不信任決議を通じて抑制力をもっています。また、裁判所に対しては、裁判官を辞めさせること、すなわち裁判官弾劾の権限をもつという形で抑制力をもっています。内閣（行政権）は、国会に対して、国会を召集したり、衆議院を解散することができます。また、裁判所に対しては最高裁判所長官の指名や、裁判官の任命を行う権限をもっています。裁判所（司法権）は、国会がつくった法律が憲法に違反していないかをチェックする、違憲立法審査権をもっています。内閣に対しても、命令や処分などの違憲審査権をもっているほか、行政訴訟の終審裁判を行うことができます。また、国民は、国会議員を選挙で選び、内閣に対しては世論を形成し、裁判所に対しては最高裁判所裁判官の国民審査を行うことによって、三つの権力を監視しています。 "/>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0" y="0"/>
                      <a:ext cx="4813300" cy="3729355"/>
                    </a:xfrm>
                    <a:prstGeom prst="rect">
                      <a:avLst/>
                    </a:prstGeom>
                    <a:noFill/>
                    <a:ln>
                      <a:noFill/>
                    </a:ln>
                  </pic:spPr>
                </pic:pic>
              </a:graphicData>
            </a:graphic>
          </wp:inline>
        </w:drawing>
      </w:r>
    </w:p>
    <w:p w14:paraId="7A1BE3CF" w14:textId="4A7B6201" w:rsidR="0095315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18</w:t>
      </w:r>
      <w:r w:rsidR="00076467">
        <w:rPr>
          <w:noProof/>
        </w:rPr>
        <w:fldChar w:fldCharType="end"/>
      </w:r>
      <w:r w:rsidR="00203F72" w:rsidRPr="00A53581">
        <w:rPr>
          <w:rFonts w:hint="eastAsia"/>
        </w:rPr>
        <w:t>日本三權分立之結構解說圖形</w:t>
      </w:r>
      <w:r w:rsidR="00203F72" w:rsidRPr="00A53581">
        <w:rPr>
          <w:rStyle w:val="af3"/>
          <w:rFonts w:ascii="新細明體" w:hAnsi="新細明體"/>
          <w:szCs w:val="22"/>
        </w:rPr>
        <w:footnoteReference w:id="145"/>
      </w:r>
      <w:r w:rsidR="00193290" w:rsidRPr="0065661E">
        <w:rPr>
          <w:rFonts w:hint="eastAsia"/>
          <w:color w:val="FFFFFF" w:themeColor="background1"/>
        </w:rPr>
        <w:t>◇◆</w:t>
      </w:r>
    </w:p>
    <w:p w14:paraId="1AFF834C" w14:textId="77777777" w:rsidR="00203F72" w:rsidRPr="00A53581" w:rsidRDefault="00203F72" w:rsidP="00D87D91"/>
    <w:p w14:paraId="575CC144" w14:textId="77777777" w:rsidR="00203F72" w:rsidRPr="00A53581" w:rsidRDefault="00203F72" w:rsidP="00D87D91">
      <w:r>
        <w:rPr>
          <w:noProof/>
        </w:rPr>
        <w:drawing>
          <wp:inline distT="0" distB="0" distL="0" distR="0" wp14:anchorId="1887E73C" wp14:editId="30BE9AB3">
            <wp:extent cx="5046345" cy="2489200"/>
            <wp:effectExtent l="0" t="0" r="1905" b="6350"/>
            <wp:docPr id="22" name="圖片 22" descr="3516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516_s"/>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5046345" cy="2489200"/>
                    </a:xfrm>
                    <a:prstGeom prst="rect">
                      <a:avLst/>
                    </a:prstGeom>
                    <a:noFill/>
                    <a:ln>
                      <a:noFill/>
                    </a:ln>
                  </pic:spPr>
                </pic:pic>
              </a:graphicData>
            </a:graphic>
          </wp:inline>
        </w:drawing>
      </w:r>
    </w:p>
    <w:p w14:paraId="1C6F328F" w14:textId="2684B2EE" w:rsidR="00953151" w:rsidRPr="00D73718" w:rsidRDefault="00B03E84" w:rsidP="00D87D91">
      <w:r w:rsidRPr="00D73718">
        <w:t>【</w:t>
      </w:r>
      <w:r w:rsidRPr="00D73718">
        <w:t>figure</w:t>
      </w:r>
      <w:r w:rsidR="005E23E3" w:rsidRPr="00D73718">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19</w:t>
      </w:r>
      <w:r w:rsidR="00076467">
        <w:rPr>
          <w:noProof/>
        </w:rPr>
        <w:fldChar w:fldCharType="end"/>
      </w:r>
      <w:r w:rsidR="00203F72" w:rsidRPr="00D73718">
        <w:rPr>
          <w:rFonts w:hint="eastAsia"/>
        </w:rPr>
        <w:t>日本眾議院對內閣不信任案之結構解說圖形</w:t>
      </w:r>
      <w:r w:rsidR="00203F72" w:rsidRPr="00D73718">
        <w:footnoteReference w:id="146"/>
      </w:r>
      <w:r w:rsidR="00193290" w:rsidRPr="00D73718">
        <w:rPr>
          <w:rFonts w:hint="eastAsia"/>
          <w:color w:val="FFFFFF" w:themeColor="background1"/>
        </w:rPr>
        <w:t>◇◆</w:t>
      </w:r>
    </w:p>
    <w:p w14:paraId="70F35E28" w14:textId="77777777" w:rsidR="00203F72" w:rsidRPr="00A53581" w:rsidRDefault="00203F72" w:rsidP="00D87D91">
      <w:r>
        <w:rPr>
          <w:noProof/>
        </w:rPr>
        <w:drawing>
          <wp:inline distT="0" distB="0" distL="0" distR="0" wp14:anchorId="1B419DD2" wp14:editId="3F503E22">
            <wp:extent cx="5020945" cy="3154045"/>
            <wp:effectExtent l="0" t="0" r="8255" b="8255"/>
            <wp:docPr id="23" name="圖片 23" descr="k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_image"/>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5020945" cy="3154045"/>
                    </a:xfrm>
                    <a:prstGeom prst="rect">
                      <a:avLst/>
                    </a:prstGeom>
                    <a:noFill/>
                    <a:ln>
                      <a:noFill/>
                    </a:ln>
                  </pic:spPr>
                </pic:pic>
              </a:graphicData>
            </a:graphic>
          </wp:inline>
        </w:drawing>
      </w:r>
    </w:p>
    <w:p w14:paraId="437005F0" w14:textId="2D2625D5" w:rsidR="00953151" w:rsidRPr="00D73718" w:rsidRDefault="00B03E84" w:rsidP="00D87D91">
      <w:r w:rsidRPr="00D73718">
        <w:t>【</w:t>
      </w:r>
      <w:r w:rsidRPr="00D73718">
        <w:t>figure</w:t>
      </w:r>
      <w:r w:rsidR="005E23E3" w:rsidRPr="00D73718">
        <w:t>】</w:t>
      </w:r>
      <w:r w:rsidR="00076467">
        <w:rPr>
          <w:noProof/>
        </w:rPr>
        <w:fldChar w:fldCharType="begin"/>
      </w:r>
      <w:r w:rsidR="00076467">
        <w:rPr>
          <w:noProof/>
        </w:rPr>
        <w:instrText xml:space="preserve"> SEQ figure \</w:instrText>
      </w:r>
      <w:r w:rsidR="00076467">
        <w:rPr>
          <w:noProof/>
        </w:rPr>
        <w:instrText xml:space="preserve">* ARABIC </w:instrText>
      </w:r>
      <w:r w:rsidR="00076467">
        <w:rPr>
          <w:noProof/>
        </w:rPr>
        <w:fldChar w:fldCharType="separate"/>
      </w:r>
      <w:r w:rsidR="00D935B9">
        <w:rPr>
          <w:noProof/>
        </w:rPr>
        <w:t>20</w:t>
      </w:r>
      <w:r w:rsidR="00076467">
        <w:rPr>
          <w:noProof/>
        </w:rPr>
        <w:fldChar w:fldCharType="end"/>
      </w:r>
      <w:r w:rsidR="00203F72" w:rsidRPr="00D73718">
        <w:rPr>
          <w:rFonts w:hint="eastAsia"/>
        </w:rPr>
        <w:t>日本眾議院被解散之後</w:t>
      </w:r>
      <w:r w:rsidR="00D92F56" w:rsidRPr="00D73718">
        <w:rPr>
          <w:rFonts w:hint="eastAsia"/>
        </w:rPr>
        <w:t>〜</w:t>
      </w:r>
      <w:r w:rsidR="00203F72" w:rsidRPr="00D73718">
        <w:rPr>
          <w:rFonts w:hint="eastAsia"/>
        </w:rPr>
        <w:t>國會與內閣之關係結構解說圖形</w:t>
      </w:r>
      <w:r w:rsidR="00203F72" w:rsidRPr="00D73718">
        <w:footnoteReference w:id="147"/>
      </w:r>
    </w:p>
    <w:p w14:paraId="3BA0A71F" w14:textId="77777777" w:rsidR="00953151" w:rsidRPr="00D73718" w:rsidRDefault="00367D0C" w:rsidP="00D87D91">
      <w:r w:rsidRPr="00D73718">
        <w:t xml:space="preserve">　　</w:t>
      </w:r>
      <w:r w:rsidR="00203F72" w:rsidRPr="00D73718">
        <w:t>就我國憲法增修條</w:t>
      </w:r>
      <w:r w:rsidR="001B1539" w:rsidRPr="001B1539">
        <w:t>文</w:t>
      </w:r>
      <w:hyperlink r:id="rId1450"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總統體制而論，應非屬於完全之總統制</w:t>
      </w:r>
      <w:r w:rsidR="00203F72" w:rsidRPr="00D73718">
        <w:rPr>
          <w:rFonts w:hint="eastAsia"/>
        </w:rPr>
        <w:t>(</w:t>
      </w:r>
      <w:r w:rsidR="00203F72" w:rsidRPr="00D73718">
        <w:rPr>
          <w:rFonts w:hint="eastAsia"/>
        </w:rPr>
        <w:t>如美國</w:t>
      </w:r>
      <w:r w:rsidR="00203F72" w:rsidRPr="00D73718">
        <w:rPr>
          <w:rFonts w:hint="eastAsia"/>
        </w:rPr>
        <w:t>)</w:t>
      </w:r>
      <w:r w:rsidR="00203F72" w:rsidRPr="00D73718">
        <w:t>，或全然之內閣制</w:t>
      </w:r>
      <w:r w:rsidR="00203F72" w:rsidRPr="00D73718">
        <w:rPr>
          <w:rFonts w:hint="eastAsia"/>
        </w:rPr>
        <w:t>(</w:t>
      </w:r>
      <w:r w:rsidR="00203F72" w:rsidRPr="00D73718">
        <w:rPr>
          <w:rFonts w:hint="eastAsia"/>
        </w:rPr>
        <w:t>如日本、德國、英國</w:t>
      </w:r>
      <w:r w:rsidR="00203F72" w:rsidRPr="00D73718">
        <w:rPr>
          <w:rFonts w:hint="eastAsia"/>
        </w:rPr>
        <w:t>)</w:t>
      </w:r>
      <w:r w:rsidR="00203F72" w:rsidRPr="00D73718">
        <w:t>，有無比較傾向於雙首長制之體制之機率？學者之間，見解並不具有一致性。</w:t>
      </w:r>
    </w:p>
    <w:p w14:paraId="1D382F6C" w14:textId="77777777" w:rsidR="00953151" w:rsidRPr="00D73718" w:rsidRDefault="00367D0C" w:rsidP="00D87D91">
      <w:r w:rsidRPr="00D73718">
        <w:rPr>
          <w:rFonts w:hint="eastAsia"/>
        </w:rPr>
        <w:t xml:space="preserve">　　</w:t>
      </w:r>
      <w:r w:rsidR="00203F72" w:rsidRPr="00D73718">
        <w:rPr>
          <w:rFonts w:hint="eastAsia"/>
        </w:rPr>
        <w:t>諸如，章光明教授並不認為我國之憲政</w:t>
      </w:r>
      <w:r w:rsidR="00203F72" w:rsidRPr="00D73718">
        <w:t>體制</w:t>
      </w:r>
      <w:r w:rsidR="00203F72" w:rsidRPr="00D73718">
        <w:rPr>
          <w:rFonts w:hint="eastAsia"/>
        </w:rPr>
        <w:t>，係為</w:t>
      </w:r>
      <w:r w:rsidR="00203F72" w:rsidRPr="00D73718">
        <w:t>「雙首長制」。</w:t>
      </w:r>
      <w:r w:rsidR="00203F72" w:rsidRPr="00D73718">
        <w:rPr>
          <w:rFonts w:hint="eastAsia"/>
        </w:rPr>
        <w:t>章光明教授於本書之推薦序文中指出，「、、、我國憲法在總統制、內閣制與雙首長制之間，始終未能找到定位。憲法明白規定，行政院長是最高行政首長，行政院向立法院負責，實際上，行政院長的權力來自總統，總統掌有實權，實權總統卻不須受國會監督。權責不符的結果，過去許多國政問題與民怨累積，源自於此。而所謂雙首長制精神，也只停留在學界的論述，從未形成憲政慣例。、、、」</w:t>
      </w:r>
    </w:p>
    <w:p w14:paraId="0F800FF0" w14:textId="77777777" w:rsidR="00953151" w:rsidRPr="00D73718" w:rsidRDefault="00367D0C" w:rsidP="00D87D91">
      <w:r w:rsidRPr="00D73718">
        <w:t xml:space="preserve">　　</w:t>
      </w:r>
      <w:r w:rsidR="00203F72" w:rsidRPr="00D73718">
        <w:t>不過，假若吾人依據</w:t>
      </w:r>
      <w:r w:rsidR="00203F72" w:rsidRPr="00D73718">
        <w:t>Maurice</w:t>
      </w:r>
      <w:r w:rsidR="00203F72" w:rsidRPr="00D73718">
        <w:rPr>
          <w:rFonts w:hint="eastAsia"/>
        </w:rPr>
        <w:t xml:space="preserve"> </w:t>
      </w:r>
      <w:r w:rsidR="00203F72" w:rsidRPr="00D73718">
        <w:t>Duverger</w:t>
      </w:r>
      <w:r w:rsidR="00203F72" w:rsidRPr="00D73718">
        <w:t>教授所建構雙首長制</w:t>
      </w:r>
      <w:r w:rsidR="00203F72" w:rsidRPr="00D73718">
        <w:rPr>
          <w:rFonts w:hint="eastAsia"/>
        </w:rPr>
        <w:t>(</w:t>
      </w:r>
      <w:r w:rsidR="00203F72" w:rsidRPr="00D73718">
        <w:t>「雙首長制」，又稱「半</w:t>
      </w:r>
      <w:r w:rsidR="00203F72" w:rsidRPr="00A53581">
        <w:t>總</w:t>
      </w:r>
      <w:r w:rsidR="00203F72" w:rsidRPr="00D73718">
        <w:t>統制」（</w:t>
      </w:r>
      <w:r w:rsidR="00203F72" w:rsidRPr="00D73718">
        <w:t>semi-presidentialism</w:t>
      </w:r>
      <w:r w:rsidR="00203F72" w:rsidRPr="00D73718">
        <w:t>）</w:t>
      </w:r>
      <w:r w:rsidR="00203F72" w:rsidRPr="00D73718">
        <w:rPr>
          <w:rFonts w:hint="eastAsia"/>
        </w:rPr>
        <w:t>)</w:t>
      </w:r>
      <w:r w:rsidR="00203F72" w:rsidRPr="00D73718">
        <w:t>之</w:t>
      </w:r>
      <w:r w:rsidR="00203F72" w:rsidRPr="00D73718">
        <w:rPr>
          <w:rFonts w:hint="eastAsia"/>
        </w:rPr>
        <w:t>3</w:t>
      </w:r>
      <w:r w:rsidR="00203F72" w:rsidRPr="00D73718">
        <w:rPr>
          <w:rFonts w:hint="eastAsia"/>
        </w:rPr>
        <w:t>大</w:t>
      </w:r>
      <w:r w:rsidR="00203F72" w:rsidRPr="00D73718">
        <w:t>指標，</w:t>
      </w:r>
      <w:r w:rsidR="00203F72" w:rsidRPr="00D73718">
        <w:rPr>
          <w:rFonts w:hint="eastAsia"/>
        </w:rPr>
        <w:t>我國之憲政</w:t>
      </w:r>
      <w:r w:rsidR="00203F72" w:rsidRPr="00D73718">
        <w:t>體制</w:t>
      </w:r>
      <w:r w:rsidR="00203F72" w:rsidRPr="00D73718">
        <w:rPr>
          <w:rFonts w:hint="eastAsia"/>
        </w:rPr>
        <w:t>，有可能係為</w:t>
      </w:r>
      <w:r w:rsidR="00203F72" w:rsidRPr="00D73718">
        <w:t>「雙首長制」。此</w:t>
      </w:r>
      <w:r w:rsidR="00203F72" w:rsidRPr="00D73718">
        <w:rPr>
          <w:rFonts w:hint="eastAsia"/>
        </w:rPr>
        <w:t>3</w:t>
      </w:r>
      <w:r w:rsidR="00203F72" w:rsidRPr="00D73718">
        <w:rPr>
          <w:rFonts w:hint="eastAsia"/>
        </w:rPr>
        <w:t>大</w:t>
      </w:r>
      <w:r w:rsidR="00203F72" w:rsidRPr="00D73718">
        <w:t>指標，如下所述</w:t>
      </w:r>
      <w:r w:rsidR="00203F72" w:rsidRPr="00D73718">
        <w:footnoteReference w:id="148"/>
      </w:r>
      <w:r w:rsidR="00203F72" w:rsidRPr="00D73718">
        <w:t>：</w:t>
      </w:r>
      <w:r w:rsidR="00203F72" w:rsidRPr="00D73718">
        <w:rPr>
          <w:rFonts w:hint="eastAsia"/>
        </w:rPr>
        <w:t>1</w:t>
      </w:r>
      <w:r w:rsidR="00203F72" w:rsidRPr="00D73718">
        <w:rPr>
          <w:rFonts w:hint="eastAsia"/>
        </w:rPr>
        <w:t>、</w:t>
      </w:r>
      <w:r w:rsidR="00203F72" w:rsidRPr="00D73718">
        <w:t>總統由選民直接普選；</w:t>
      </w:r>
      <w:r w:rsidR="00203F72" w:rsidRPr="00D73718">
        <w:rPr>
          <w:rFonts w:hint="eastAsia"/>
        </w:rPr>
        <w:t>2</w:t>
      </w:r>
      <w:r w:rsidR="00203F72" w:rsidRPr="00D73718">
        <w:rPr>
          <w:rFonts w:hint="eastAsia"/>
        </w:rPr>
        <w:t>、</w:t>
      </w:r>
      <w:r w:rsidR="00203F72" w:rsidRPr="00D73718">
        <w:t>總統具有重大的權力（</w:t>
      </w:r>
      <w:r w:rsidR="00203F72" w:rsidRPr="00D73718">
        <w:t>considerable powers</w:t>
      </w:r>
      <w:r w:rsidR="00203F72" w:rsidRPr="00D73718">
        <w:t>）；</w:t>
      </w:r>
      <w:r w:rsidR="00203F72" w:rsidRPr="00D73718">
        <w:rPr>
          <w:rFonts w:hint="eastAsia"/>
        </w:rPr>
        <w:t>3</w:t>
      </w:r>
      <w:r w:rsidR="00203F72" w:rsidRPr="00D73718">
        <w:rPr>
          <w:rFonts w:hint="eastAsia"/>
        </w:rPr>
        <w:t>、</w:t>
      </w:r>
      <w:r w:rsidR="00203F72" w:rsidRPr="00D73718">
        <w:t>內閣（首長及閣員）仍掌握有行政權，對國會負責。依</w:t>
      </w:r>
      <w:r w:rsidR="00203F72" w:rsidRPr="00D73718">
        <w:t>Duverger</w:t>
      </w:r>
      <w:r w:rsidR="00203F72" w:rsidRPr="00D73718">
        <w:t>教授所建構雙首長制之</w:t>
      </w:r>
      <w:r w:rsidR="00203F72" w:rsidRPr="00D73718">
        <w:rPr>
          <w:rFonts w:hint="eastAsia"/>
        </w:rPr>
        <w:t>3</w:t>
      </w:r>
      <w:r w:rsidR="00203F72" w:rsidRPr="00D73718">
        <w:rPr>
          <w:rFonts w:hint="eastAsia"/>
        </w:rPr>
        <w:t>大</w:t>
      </w:r>
      <w:r w:rsidR="00203F72" w:rsidRPr="00D73718">
        <w:t>指標，我國均符合之，故有可能亦屬雙首長制體制之國家。再者，若從憲法條文規範面之「憲政理論」上而言，國內研究憲法雙首長制之專家</w:t>
      </w:r>
      <w:r w:rsidR="00D92F56" w:rsidRPr="00D73718">
        <w:rPr>
          <w:rFonts w:hint="eastAsia"/>
        </w:rPr>
        <w:t>〜</w:t>
      </w:r>
      <w:r w:rsidR="00203F72" w:rsidRPr="00D73718">
        <w:t>楊中立教授，與</w:t>
      </w:r>
      <w:r w:rsidR="00203F72" w:rsidRPr="00D73718">
        <w:t>Robert Elgie</w:t>
      </w:r>
      <w:r w:rsidR="00203F72" w:rsidRPr="00D73718">
        <w:t>教授等人，亦均認為我國有可能係屬雙首長制體制之國家</w:t>
      </w:r>
      <w:r w:rsidR="00203F72" w:rsidRPr="00D73718">
        <w:footnoteReference w:id="149"/>
      </w:r>
      <w:r w:rsidR="00203F72" w:rsidRPr="00D73718">
        <w:t>，作者亦贊同上述楊中立教授與</w:t>
      </w:r>
      <w:r w:rsidR="00203F72" w:rsidRPr="00D73718">
        <w:t>Robert Elgie</w:t>
      </w:r>
      <w:r w:rsidR="00203F72" w:rsidRPr="00D73718">
        <w:t>教授</w:t>
      </w:r>
      <w:r w:rsidR="00203F72" w:rsidRPr="00D73718">
        <w:rPr>
          <w:rFonts w:hint="eastAsia"/>
        </w:rPr>
        <w:t>2</w:t>
      </w:r>
      <w:r w:rsidR="00203F72" w:rsidRPr="00D73718">
        <w:rPr>
          <w:rFonts w:hint="eastAsia"/>
        </w:rPr>
        <w:t>人之見解</w:t>
      </w:r>
      <w:r w:rsidR="00203F72" w:rsidRPr="00D73718">
        <w:t>。</w:t>
      </w:r>
    </w:p>
    <w:p w14:paraId="3EF02B86" w14:textId="77777777" w:rsidR="00953151" w:rsidRPr="00D73718" w:rsidRDefault="00367D0C" w:rsidP="00D87D91">
      <w:r w:rsidRPr="00D73718">
        <w:t xml:space="preserve">　　</w:t>
      </w:r>
      <w:r w:rsidR="00203F72" w:rsidRPr="00D73718">
        <w:t>但，本書認為，假若係就憲法增修條</w:t>
      </w:r>
      <w:r w:rsidR="001B1539" w:rsidRPr="001B1539">
        <w:t>文</w:t>
      </w:r>
      <w:hyperlink r:id="rId1451"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總統體制，並參卓其他相關之條文而論，我國之總統權力，則頗具有實權，有從雙首長制</w:t>
      </w:r>
      <w:r w:rsidR="00203F72" w:rsidRPr="00D73718">
        <w:rPr>
          <w:rFonts w:hint="eastAsia"/>
        </w:rPr>
        <w:t>(</w:t>
      </w:r>
      <w:r w:rsidR="00203F72" w:rsidRPr="00D73718">
        <w:t>「雙首長制」又稱「半總統制」（</w:t>
      </w:r>
      <w:r w:rsidR="00203F72" w:rsidRPr="00D73718">
        <w:t>semi-presidentialism</w:t>
      </w:r>
      <w:r w:rsidR="00203F72" w:rsidRPr="00D73718">
        <w:t>）</w:t>
      </w:r>
      <w:r w:rsidR="00203F72" w:rsidRPr="00D73718">
        <w:rPr>
          <w:rFonts w:hint="eastAsia"/>
        </w:rPr>
        <w:t>)</w:t>
      </w:r>
      <w:r w:rsidR="00203F72" w:rsidRPr="00D73718">
        <w:rPr>
          <w:rFonts w:hint="eastAsia"/>
        </w:rPr>
        <w:t>出發，逐步地偏向</w:t>
      </w:r>
      <w:r w:rsidR="00203F72" w:rsidRPr="00D73718">
        <w:t>超級總統制</w:t>
      </w:r>
      <w:r w:rsidR="00203F72" w:rsidRPr="00D73718">
        <w:rPr>
          <w:rFonts w:hint="eastAsia"/>
        </w:rPr>
        <w:t>(</w:t>
      </w:r>
      <w:r w:rsidR="00203F72" w:rsidRPr="00D73718">
        <w:rPr>
          <w:rFonts w:hint="eastAsia"/>
        </w:rPr>
        <w:t>或亦可謂台灣帝制總統</w:t>
      </w:r>
      <w:r w:rsidR="00203F72" w:rsidRPr="00D73718">
        <w:rPr>
          <w:rFonts w:hint="eastAsia"/>
        </w:rPr>
        <w:t>)</w:t>
      </w:r>
      <w:r w:rsidR="00203F72" w:rsidRPr="00D73718">
        <w:t>發展之傾向。就</w:t>
      </w:r>
      <w:hyperlink r:id="rId1452" w:anchor="b2" w:history="1">
        <w:r w:rsidR="007815B7" w:rsidRPr="001B1539">
          <w:rPr>
            <w:rStyle w:val="a5"/>
            <w:rFonts w:ascii="Times New Roman" w:hAnsi="Times New Roman"/>
          </w:rPr>
          <w:t>第</w:t>
        </w:r>
        <w:r w:rsidR="007815B7" w:rsidRPr="001B1539">
          <w:rPr>
            <w:rStyle w:val="a5"/>
            <w:rFonts w:ascii="Times New Roman" w:hAnsi="Times New Roman"/>
          </w:rPr>
          <w:t>2</w:t>
        </w:r>
        <w:r w:rsidR="007815B7" w:rsidRPr="001B1539">
          <w:rPr>
            <w:rStyle w:val="a5"/>
            <w:rFonts w:ascii="Times New Roman" w:hAnsi="Times New Roman"/>
          </w:rPr>
          <w:t>條</w:t>
        </w:r>
      </w:hyperlink>
      <w:r w:rsidR="00203F72" w:rsidRPr="00D73718">
        <w:t>第</w:t>
      </w:r>
      <w:r w:rsidR="00203F72" w:rsidRPr="00D73718">
        <w:t>1</w:t>
      </w:r>
      <w:r w:rsidR="00203F72" w:rsidRPr="00D73718">
        <w:t>項而言，我國之總統及副總統，係由人民直接選舉之。中華民國之人民，透由「直接式」之民權，直接選舉總統與副總統。此點，更能彰顯中華民國屬於一個主權獨立之國家，中華民國除擁有完全自主的主權、領土與人民之外，我國之總統與副總統，係由中華民國人民直接選舉產生，而非由中華人民共和國指派；由此，可看出「台灣地區」並非中華人民共和國之領土，中華人民共和國之主權，無法及於台灣地區。在國際社會上，中華民國是一個主權獨立自主之國家。</w:t>
      </w:r>
    </w:p>
    <w:p w14:paraId="1EC29C82" w14:textId="77777777" w:rsidR="00953151" w:rsidRPr="00D73718" w:rsidRDefault="00367D0C" w:rsidP="00D87D91">
      <w:r w:rsidRPr="00D73718">
        <w:t xml:space="preserve">　　</w:t>
      </w:r>
      <w:r w:rsidR="00203F72" w:rsidRPr="00D73718">
        <w:t>就憲法增修條</w:t>
      </w:r>
      <w:r w:rsidR="001B1539" w:rsidRPr="001B1539">
        <w:t>文</w:t>
      </w:r>
      <w:hyperlink r:id="rId1453"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2</w:t>
      </w:r>
      <w:r w:rsidR="00203F72" w:rsidRPr="00D73718">
        <w:t>項而論，總統在發布特殊事項之命令時，無須行政院院長之副署，在此，亦可看出，我國總統之職權型態，應非屬於完全之內閣制，它並非虛位體制；相反地，總統擁有一定程度之實權；上述特殊事項之命令，包括：</w:t>
      </w:r>
      <w:r w:rsidR="00203F72" w:rsidRPr="00D73718">
        <w:t>1.</w:t>
      </w:r>
      <w:r w:rsidR="00203F72" w:rsidRPr="00D73718">
        <w:t>發布行政院院長之任免命令；</w:t>
      </w:r>
      <w:r w:rsidR="00203F72" w:rsidRPr="00D73718">
        <w:t>2.</w:t>
      </w:r>
      <w:r w:rsidR="00203F72" w:rsidRPr="00D73718">
        <w:t>發布業已經立法院同意任命人員之任免命令；</w:t>
      </w:r>
      <w:r w:rsidR="00203F72" w:rsidRPr="00D73718">
        <w:t>3.</w:t>
      </w:r>
      <w:r w:rsidR="00203F72" w:rsidRPr="00D73718">
        <w:t>發布解散立法院之命令。總統在發布上述之命令過程中，不適用憲法本文</w:t>
      </w:r>
      <w:hyperlink r:id="rId1454" w:anchor="a37" w:history="1">
        <w:r w:rsidR="00A5735A" w:rsidRPr="00A5735A">
          <w:rPr>
            <w:rStyle w:val="a5"/>
            <w:rFonts w:hint="eastAsia"/>
            <w:kern w:val="0"/>
          </w:rPr>
          <w:t>第37條</w:t>
        </w:r>
      </w:hyperlink>
      <w:r w:rsidR="00203F72" w:rsidRPr="00D73718">
        <w:t>之規範；亦即，於發布上述之命令過程中，無須行政院院長之副署。由於跳過行政院院長之副署，總統本人可自由地發布上述之命令，在此種之情況下，可合理地推論出我國總統擁有一定程度之實權。</w:t>
      </w:r>
    </w:p>
    <w:p w14:paraId="2AFADF20" w14:textId="77777777" w:rsidR="00953151" w:rsidRPr="00D73718" w:rsidRDefault="00367D0C" w:rsidP="00D87D91">
      <w:r w:rsidRPr="00D73718">
        <w:t xml:space="preserve">　　</w:t>
      </w:r>
      <w:r w:rsidR="00203F72" w:rsidRPr="00D73718">
        <w:t>就德國而言，德國係採用內閣制之國家，依據德國基本法第</w:t>
      </w:r>
      <w:r w:rsidR="00203F72" w:rsidRPr="00D73718">
        <w:t>58</w:t>
      </w:r>
      <w:r w:rsidR="00203F72" w:rsidRPr="00D73718">
        <w:t>條之規定，德國聯邦總統之命令，須經由聯邦總理</w:t>
      </w:r>
      <w:r w:rsidR="00203F72" w:rsidRPr="00D73718">
        <w:t>(</w:t>
      </w:r>
      <w:r w:rsidR="00203F72" w:rsidRPr="00D73718">
        <w:t>相當我國行政院院長</w:t>
      </w:r>
      <w:r w:rsidR="00203F72" w:rsidRPr="00D73718">
        <w:t>)</w:t>
      </w:r>
      <w:r w:rsidR="00203F72" w:rsidRPr="00D73718">
        <w:t>或聯邦主管部長之副署，始能生效，依照德國基本法第</w:t>
      </w:r>
      <w:r w:rsidR="00203F72" w:rsidRPr="00D73718">
        <w:t>63</w:t>
      </w:r>
      <w:r w:rsidR="00203F72" w:rsidRPr="00D73718">
        <w:t>條第</w:t>
      </w:r>
      <w:r w:rsidR="00203F72" w:rsidRPr="00D73718">
        <w:t>1</w:t>
      </w:r>
      <w:r w:rsidR="00203F72" w:rsidRPr="00D73718">
        <w:t>項之規定，聯邦內閣總理（</w:t>
      </w:r>
      <w:r w:rsidR="00203F72" w:rsidRPr="00D73718">
        <w:t>Bundeskanzler</w:t>
      </w:r>
      <w:r w:rsidR="00203F72" w:rsidRPr="00D73718">
        <w:t>）經總統提名，而須由聯邦議會選舉之。故，德國總統於頒佈法律或命令之過程中，之所以須內閣總理及有關閣員之「副署」，始發生效力，其主要之法理，乃在於上述之「副署」，係對於德國國會表示負責，而非向德國總統負責</w:t>
      </w:r>
      <w:r w:rsidR="00203F72" w:rsidRPr="00D73718">
        <w:footnoteReference w:id="150"/>
      </w:r>
      <w:r w:rsidR="00203F72" w:rsidRPr="00D73718">
        <w:t>；德國基本法所採用之內閣制，頗與英國之內閣制相當接近。</w:t>
      </w:r>
    </w:p>
    <w:p w14:paraId="754E956E" w14:textId="77777777" w:rsidR="00953151" w:rsidRPr="00D73718" w:rsidRDefault="00367D0C" w:rsidP="00D87D91">
      <w:r w:rsidRPr="00D73718">
        <w:t xml:space="preserve">　　</w:t>
      </w:r>
      <w:r w:rsidR="00203F72" w:rsidRPr="00D73718">
        <w:t>就我國而言，我國憲法增修條</w:t>
      </w:r>
      <w:r w:rsidR="001B1539" w:rsidRPr="001B1539">
        <w:t>文</w:t>
      </w:r>
      <w:hyperlink r:id="rId1455"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2</w:t>
      </w:r>
      <w:r w:rsidR="00203F72" w:rsidRPr="00D73718">
        <w:t>項之立法精神，原則上，採用民主國家之內閣制；但假若總統發布之命令，具有憲法增修條</w:t>
      </w:r>
      <w:r w:rsidR="001B1539" w:rsidRPr="001B1539">
        <w:t>文</w:t>
      </w:r>
      <w:hyperlink r:id="rId1456"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2</w:t>
      </w:r>
      <w:r w:rsidR="00203F72" w:rsidRPr="00D73718">
        <w:t>項所列舉之</w:t>
      </w:r>
      <w:r w:rsidR="00203F72" w:rsidRPr="00D73718">
        <w:t>3</w:t>
      </w:r>
      <w:r w:rsidR="00203F72" w:rsidRPr="00D73718">
        <w:t>種特殊情形，此時，在例外時，採用美國總統制之立法精神。為了有效地防杜總統之濫權，同時，考量總統所發布之命令，能更具有周延性及圓滿性，本書認為，仍應經過「副署」為佳。接上所述，考量我國是五權分立之體制，五院之間，互不隸屬，如由行政院院長副署，易生爭議，故我國可採行經由「副總統」副署之機制；藉由副總統之「副署」，可多一層監控總統權力之機制，防杜總統違法亂紀，或發布不適切之法律或命令。亦即，總統於發布法律或命法時，此包括發布行政院院長之任免，須經立法院同意任命人員</w:t>
      </w:r>
      <w:r w:rsidR="00203F72" w:rsidRPr="00D73718">
        <w:t>(</w:t>
      </w:r>
      <w:r w:rsidR="00203F72" w:rsidRPr="00D73718">
        <w:t>如司法院院長、大法官、考試院院長、、、</w:t>
      </w:r>
      <w:r w:rsidR="00203F72" w:rsidRPr="00D73718">
        <w:t>)</w:t>
      </w:r>
      <w:r w:rsidR="00203F72" w:rsidRPr="00D73718">
        <w:t>之任免命令，及解散立法院之命令，均宜取得副總統之副署為佳。換言之，採用「多層次監控」之立憲精神；藉由多層次之制度，防總統濫權、擴權及專權。須經副總統副署之法理，會有牽制與監控總統權力之精神。</w:t>
      </w:r>
    </w:p>
    <w:p w14:paraId="62C78FC0" w14:textId="77777777" w:rsidR="00953151" w:rsidRPr="00D73718" w:rsidRDefault="00367D0C" w:rsidP="00D87D91">
      <w:r w:rsidRPr="00D73718">
        <w:t xml:space="preserve">　　</w:t>
      </w:r>
      <w:r w:rsidR="00203F72" w:rsidRPr="00D73718">
        <w:t>在憲法增修條</w:t>
      </w:r>
      <w:r w:rsidR="001B1539" w:rsidRPr="001B1539">
        <w:t>文</w:t>
      </w:r>
      <w:hyperlink r:id="rId1457"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3</w:t>
      </w:r>
      <w:r w:rsidR="00203F72" w:rsidRPr="00D73718">
        <w:t>項方面，本條項其與憲法</w:t>
      </w:r>
      <w:hyperlink r:id="rId1458" w:anchor="a43" w:history="1">
        <w:r w:rsidR="006C3453" w:rsidRPr="007815B7">
          <w:rPr>
            <w:rStyle w:val="a5"/>
            <w:rFonts w:ascii="Times New Roman" w:eastAsia="新細明體" w:hAnsi="Times New Roman" w:hint="eastAsia"/>
          </w:rPr>
          <w:t>第</w:t>
        </w:r>
        <w:r w:rsidR="006C3453" w:rsidRPr="007815B7">
          <w:rPr>
            <w:rStyle w:val="a5"/>
            <w:rFonts w:ascii="Times New Roman" w:eastAsia="新細明體" w:hAnsi="Times New Roman" w:hint="eastAsia"/>
          </w:rPr>
          <w:t>43</w:t>
        </w:r>
        <w:r w:rsidR="006C3453" w:rsidRPr="007815B7">
          <w:rPr>
            <w:rStyle w:val="a5"/>
            <w:rFonts w:ascii="Times New Roman" w:eastAsia="新細明體" w:hAnsi="Times New Roman" w:hint="eastAsia"/>
          </w:rPr>
          <w:t>條</w:t>
        </w:r>
      </w:hyperlink>
      <w:r w:rsidR="00203F72" w:rsidRPr="00D73718">
        <w:t>相互比較之結果，憲法增修條</w:t>
      </w:r>
      <w:r w:rsidR="001B1539" w:rsidRPr="001B1539">
        <w:t>文</w:t>
      </w:r>
      <w:hyperlink r:id="rId1459"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3</w:t>
      </w:r>
      <w:r w:rsidR="00203F72" w:rsidRPr="00D73718">
        <w:t>項有以下之差異性：</w:t>
      </w:r>
      <w:r w:rsidR="00203F72" w:rsidRPr="00D73718">
        <w:t>1.</w:t>
      </w:r>
      <w:r w:rsidR="00203F72" w:rsidRPr="00D73718">
        <w:t>不必再依「緊急命令法」即可發布緊急命令</w:t>
      </w:r>
      <w:r w:rsidR="00203F72" w:rsidRPr="00D73718">
        <w:footnoteReference w:id="151"/>
      </w:r>
      <w:r w:rsidR="00203F72" w:rsidRPr="00D73718">
        <w:t>；</w:t>
      </w:r>
      <w:r w:rsidR="00203F72" w:rsidRPr="00D73718">
        <w:t>2.</w:t>
      </w:r>
      <w:r w:rsidR="00203F72" w:rsidRPr="00D73718">
        <w:t>須於發布命令後，</w:t>
      </w:r>
      <w:r w:rsidR="00203F72" w:rsidRPr="00D73718">
        <w:t>10</w:t>
      </w:r>
      <w:r w:rsidR="00203F72" w:rsidRPr="00D73718">
        <w:t>日之內，提交立法院追認；</w:t>
      </w:r>
      <w:r w:rsidR="00203F72" w:rsidRPr="00D73718">
        <w:t>3.</w:t>
      </w:r>
      <w:r w:rsidR="00203F72" w:rsidRPr="00D73718">
        <w:t>總統發布緊急命令之大前提，係為避免國家或人民遭遇緊急危難，或應付財政經濟上之重大變故；</w:t>
      </w:r>
      <w:r w:rsidR="00203F72" w:rsidRPr="00D73718">
        <w:t>4.</w:t>
      </w:r>
      <w:r w:rsidR="00203F72" w:rsidRPr="00D73718">
        <w:t>不限定於立法院休會期間。依據司法院釋字</w:t>
      </w:r>
      <w:hyperlink r:id="rId1460" w:anchor="r543" w:history="1">
        <w:r w:rsidR="00203F72" w:rsidRPr="006C3453">
          <w:rPr>
            <w:rStyle w:val="a5"/>
            <w:rFonts w:ascii="Times New Roman" w:eastAsia="新細明體" w:hAnsi="Times New Roman"/>
          </w:rPr>
          <w:t>第</w:t>
        </w:r>
        <w:r w:rsidR="00203F72" w:rsidRPr="006C3453">
          <w:rPr>
            <w:rStyle w:val="a5"/>
            <w:rFonts w:ascii="Times New Roman" w:eastAsia="新細明體" w:hAnsi="Times New Roman"/>
          </w:rPr>
          <w:t>543</w:t>
        </w:r>
        <w:r w:rsidR="00203F72" w:rsidRPr="006C3453">
          <w:rPr>
            <w:rStyle w:val="a5"/>
            <w:rFonts w:ascii="Times New Roman" w:eastAsia="新細明體" w:hAnsi="Times New Roman"/>
          </w:rPr>
          <w:t>號</w:t>
        </w:r>
      </w:hyperlink>
      <w:r w:rsidR="00203F72" w:rsidRPr="00D73718">
        <w:t>之解釋文意旨，緊急命令具有暫時替代或變更法律效力之性質，其內容應力求周延，以不得再授權為補充規定，即可逕予執行為原則。</w:t>
      </w:r>
    </w:p>
    <w:p w14:paraId="1CE29D15" w14:textId="77777777" w:rsidR="00953151" w:rsidRPr="00D73718" w:rsidRDefault="00367D0C" w:rsidP="00D87D91">
      <w:r w:rsidRPr="00D73718">
        <w:t xml:space="preserve">　　</w:t>
      </w:r>
      <w:r w:rsidR="00203F72" w:rsidRPr="00D73718">
        <w:t>就德國基本法而論，在基本法第</w:t>
      </w:r>
      <w:r w:rsidR="00203F72" w:rsidRPr="00D73718">
        <w:t>10</w:t>
      </w:r>
      <w:r w:rsidR="00203F72" w:rsidRPr="00D73718">
        <w:t>之</w:t>
      </w:r>
      <w:r w:rsidR="00203F72" w:rsidRPr="00D73718">
        <w:t>1</w:t>
      </w:r>
      <w:r w:rsidR="00203F72" w:rsidRPr="00D73718">
        <w:t>章中，係就防衛事件之緊急處理情況，進行規範；德國將緊急危難之情況，嚴格限定於防衛事件。亦即，假若德國遭受外國武裝力量之攻擊，德國如何進行防衛？在國家遭遇緊急危難時，德國國家機關如何運作？假若德國聯邦政府擬施行某項非常緊急之法律案，但聯邦眾議院無法集會，此時，依照基本法第</w:t>
      </w:r>
      <w:r w:rsidR="00203F72" w:rsidRPr="00D73718">
        <w:t>115</w:t>
      </w:r>
      <w:r w:rsidR="00203F72" w:rsidRPr="00D73718">
        <w:t>條之</w:t>
      </w:r>
      <w:r w:rsidR="00203F72" w:rsidRPr="00D73718">
        <w:t>5</w:t>
      </w:r>
      <w:r w:rsidR="00203F72" w:rsidRPr="00D73718">
        <w:t>第</w:t>
      </w:r>
      <w:r w:rsidR="00203F72" w:rsidRPr="00D73718">
        <w:t>1</w:t>
      </w:r>
      <w:r w:rsidR="00203F72" w:rsidRPr="00D73718">
        <w:t>項之規定，則由聯邦眾議院（或稱為聯邦議會）聯席委員會取代聯邦眾議院與聯邦參議院之地位，統一行使其權利。是以，根據德國基本法第</w:t>
      </w:r>
      <w:r w:rsidR="00203F72" w:rsidRPr="00D73718">
        <w:t>115</w:t>
      </w:r>
      <w:r w:rsidR="00203F72" w:rsidRPr="00D73718">
        <w:t>條之</w:t>
      </w:r>
      <w:r w:rsidR="00203F72" w:rsidRPr="00D73718">
        <w:t>5</w:t>
      </w:r>
      <w:r w:rsidR="00203F72" w:rsidRPr="00D73718">
        <w:t>第</w:t>
      </w:r>
      <w:r w:rsidR="00203F72" w:rsidRPr="00D73718">
        <w:t>1</w:t>
      </w:r>
      <w:r w:rsidR="00203F72" w:rsidRPr="00D73718">
        <w:t>項之規定，即使德國遭受他國軍事攻擊，聯邦政府擬施行某種緊急之法律，仍須經由聯邦眾議院聯席委員會之同意，該法律始具有效力。</w:t>
      </w:r>
    </w:p>
    <w:p w14:paraId="3CB0EA6C" w14:textId="77777777" w:rsidR="00953151" w:rsidRPr="00D73718" w:rsidRDefault="00367D0C" w:rsidP="00D87D91">
      <w:r w:rsidRPr="00D73718">
        <w:t xml:space="preserve">　　</w:t>
      </w:r>
      <w:r w:rsidR="00203F72" w:rsidRPr="00D73718">
        <w:t>有鑑於此，反觀我國憲法賦予總統之「緊急命令權」，是否適切？頗有討論之空間。即使我國總統宜擁有緊急命令權限，如何進行節制？亦值得再作進一步之規劃。可行之作法，如情況屬非常緊急，總統於發布緊急命令之前，亦宜取得立法院相性質委員會之事前同意；再於發布命令後，</w:t>
      </w:r>
      <w:r w:rsidR="00203F72" w:rsidRPr="00D73718">
        <w:t>10</w:t>
      </w:r>
      <w:r w:rsidR="00203F72" w:rsidRPr="00D73718">
        <w:t>日內，提交立法院院會追認。從德國基本法第</w:t>
      </w:r>
      <w:r w:rsidR="00203F72" w:rsidRPr="00D73718">
        <w:t>115</w:t>
      </w:r>
      <w:r w:rsidR="00203F72" w:rsidRPr="00D73718">
        <w:t>條之</w:t>
      </w:r>
      <w:r w:rsidR="00203F72" w:rsidRPr="00D73718">
        <w:t>5</w:t>
      </w:r>
      <w:r w:rsidR="00203F72" w:rsidRPr="00D73718">
        <w:t>第</w:t>
      </w:r>
      <w:r w:rsidR="00203F72" w:rsidRPr="00D73718">
        <w:t>1</w:t>
      </w:r>
      <w:r w:rsidR="00203F72" w:rsidRPr="00D73718">
        <w:t>項之規定內涵中，可得知德國頗注重民意代表之監督機制，我國似可採用此種之立法精神。</w:t>
      </w:r>
    </w:p>
    <w:p w14:paraId="6A1E091F" w14:textId="77777777" w:rsidR="00953151" w:rsidRPr="00D73718" w:rsidRDefault="00367D0C" w:rsidP="00D87D91">
      <w:r w:rsidRPr="00D73718">
        <w:t xml:space="preserve">　　</w:t>
      </w:r>
      <w:r w:rsidR="00203F72" w:rsidRPr="00D73718">
        <w:t>就憲法增修條</w:t>
      </w:r>
      <w:r w:rsidR="001B1539" w:rsidRPr="001B1539">
        <w:t>文</w:t>
      </w:r>
      <w:hyperlink r:id="rId1461"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4</w:t>
      </w:r>
      <w:r w:rsidR="00203F72" w:rsidRPr="00D73718">
        <w:t>項而言，總統得設置「國家安全會議」與「國家安全局」；而國安會與國安局之角色，即在於向總統提出涉及國家安全之對策，並執行保障國家安全之若干措施。在實際之執行面，大多係由國安局執行之。根據憲法增修條</w:t>
      </w:r>
      <w:r w:rsidR="001B1539" w:rsidRPr="001B1539">
        <w:t>文</w:t>
      </w:r>
      <w:hyperlink r:id="rId1462"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4</w:t>
      </w:r>
      <w:r w:rsidR="00203F72" w:rsidRPr="00D73718">
        <w:t>項之規範，似可導出我國總統之體制，亦頗具有總統制之色彩。主要之理由，在於國安局之角色，它不僅為總統提供涉及國家安全之專業意見，它本身亦是實際執行保護國家安全工作之第一線執行者。我國國安局之角色，頗類似於美國中央情報局（簡稱中情局）之地位。</w:t>
      </w:r>
    </w:p>
    <w:p w14:paraId="1D50ECF0" w14:textId="77777777" w:rsidR="00953151" w:rsidRPr="00D73718" w:rsidRDefault="00367D0C" w:rsidP="00D87D91">
      <w:r w:rsidRPr="00D73718">
        <w:t xml:space="preserve">　　</w:t>
      </w:r>
      <w:r w:rsidR="00203F72" w:rsidRPr="00D73718">
        <w:t>就憲法增修條</w:t>
      </w:r>
      <w:r w:rsidR="001B1539" w:rsidRPr="001B1539">
        <w:t>文</w:t>
      </w:r>
      <w:hyperlink r:id="rId1463"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5</w:t>
      </w:r>
      <w:r w:rsidR="00203F72" w:rsidRPr="00D73718">
        <w:t>項而論，此條項屬於總統之「解散立法院權限」；本係項具有以下之爭議性</w:t>
      </w:r>
      <w:r w:rsidR="00203F72" w:rsidRPr="00D73718">
        <w:footnoteReference w:id="152"/>
      </w:r>
      <w:r w:rsidR="00203F72" w:rsidRPr="00D73718">
        <w:t>：</w:t>
      </w:r>
      <w:r w:rsidR="00203F72" w:rsidRPr="00D73718">
        <w:t>1.</w:t>
      </w:r>
      <w:r w:rsidR="00203F72" w:rsidRPr="00D73718">
        <w:t>所謂立法院院長之意見，可否僅屬於個人意志之決定？或須取得立法院院會之同意；</w:t>
      </w:r>
      <w:r w:rsidR="00203F72" w:rsidRPr="00D73718">
        <w:t>2.</w:t>
      </w:r>
      <w:r w:rsidR="00203F72" w:rsidRPr="00D73718">
        <w:t>擴張總統之權限；</w:t>
      </w:r>
      <w:r w:rsidR="00203F72" w:rsidRPr="00D73718">
        <w:t>3.</w:t>
      </w:r>
      <w:r w:rsidR="00203F72" w:rsidRPr="00D73718">
        <w:t>行政院院長成為代罪羔羊；</w:t>
      </w:r>
      <w:r w:rsidR="00203F72" w:rsidRPr="00D73718">
        <w:t>4.</w:t>
      </w:r>
      <w:r w:rsidR="00203F72" w:rsidRPr="00D73718">
        <w:t>將形成總統以行政院與立法院為操縱對象之機制，使萬方有罪，罪卻不在總統之意；</w:t>
      </w:r>
      <w:r w:rsidR="00203F72" w:rsidRPr="00D73718">
        <w:t>5.</w:t>
      </w:r>
      <w:r w:rsidR="00203F72" w:rsidRPr="00D73718">
        <w:t>尚未形成我國憲政慣例；</w:t>
      </w:r>
      <w:r w:rsidR="00203F72" w:rsidRPr="00D73718">
        <w:t>6.</w:t>
      </w:r>
      <w:r w:rsidR="00203F72" w:rsidRPr="00D73718">
        <w:t>似不符合民主國家之組織法理。在德國基本法之中亦賦予總統有權解散聯邦眾議院（聯邦議會）之權限，分別規定於基本法第</w:t>
      </w:r>
      <w:r w:rsidR="00203F72" w:rsidRPr="00D73718">
        <w:t>63</w:t>
      </w:r>
      <w:r w:rsidR="00203F72" w:rsidRPr="00D73718">
        <w:t>條第</w:t>
      </w:r>
      <w:r w:rsidR="00203F72" w:rsidRPr="00D73718">
        <w:t>4</w:t>
      </w:r>
      <w:r w:rsidR="00203F72" w:rsidRPr="00D73718">
        <w:t>項與第</w:t>
      </w:r>
      <w:r w:rsidR="00203F72" w:rsidRPr="00D73718">
        <w:t>68</w:t>
      </w:r>
      <w:r w:rsidR="00203F72" w:rsidRPr="00D73718">
        <w:t>條第</w:t>
      </w:r>
      <w:r w:rsidR="00203F72" w:rsidRPr="00D73718">
        <w:t>1</w:t>
      </w:r>
      <w:r w:rsidR="00203F72" w:rsidRPr="00D73718">
        <w:t>項。</w:t>
      </w:r>
    </w:p>
    <w:p w14:paraId="449E84A2" w14:textId="77777777" w:rsidR="00953151" w:rsidRPr="00D73718" w:rsidRDefault="00367D0C" w:rsidP="00D87D91">
      <w:r w:rsidRPr="00D73718">
        <w:t xml:space="preserve">　　</w:t>
      </w:r>
      <w:r w:rsidR="00203F72" w:rsidRPr="00D73718">
        <w:t>德國為了反制總統之國會解散權，設計一種「消滅解散權」之機制。依據德國基本法第</w:t>
      </w:r>
      <w:r w:rsidR="00203F72" w:rsidRPr="00D73718">
        <w:t>68</w:t>
      </w:r>
      <w:r w:rsidR="00203F72" w:rsidRPr="00D73718">
        <w:t>條第</w:t>
      </w:r>
      <w:r w:rsidR="00203F72" w:rsidRPr="00D73718">
        <w:t>1</w:t>
      </w:r>
      <w:r w:rsidR="00203F72" w:rsidRPr="00D73718">
        <w:t>項之規範，聯邦眾議院</w:t>
      </w:r>
      <w:r w:rsidR="00203F72" w:rsidRPr="00D73718">
        <w:t>(</w:t>
      </w:r>
      <w:r w:rsidR="00203F72" w:rsidRPr="00D73718">
        <w:t>聯邦議會</w:t>
      </w:r>
      <w:r w:rsidR="00203F72" w:rsidRPr="00D73718">
        <w:t>)</w:t>
      </w:r>
      <w:r w:rsidR="00203F72" w:rsidRPr="00D73718">
        <w:t>如以其議員過半數，選舉另一聯邦總理時，此項解散權應即消滅。根據德國基本法第</w:t>
      </w:r>
      <w:r w:rsidR="00203F72" w:rsidRPr="00D73718">
        <w:t>68</w:t>
      </w:r>
      <w:r w:rsidR="00203F72" w:rsidRPr="00D73718">
        <w:t>條第</w:t>
      </w:r>
      <w:r w:rsidR="00203F72" w:rsidRPr="00D73718">
        <w:t>1</w:t>
      </w:r>
      <w:r w:rsidR="00203F72" w:rsidRPr="00D73718">
        <w:t>項之立法意旨，總統與聯邦眾議院在國會解散權之權力拉鋸戰之中，兩者武器是對等的。德國總統雖擁有「解散聯邦眾議院」之權限，但聯邦眾議院亦有反制之作為，可令總統上述之權限，歸於消滅。</w:t>
      </w:r>
    </w:p>
    <w:p w14:paraId="105325B4" w14:textId="77777777" w:rsidR="00953151" w:rsidRPr="00D73718" w:rsidRDefault="00367D0C" w:rsidP="00D87D91">
      <w:r w:rsidRPr="00D73718">
        <w:t xml:space="preserve">　　</w:t>
      </w:r>
      <w:r w:rsidR="00203F72" w:rsidRPr="00D73718">
        <w:t>反觀我國憲法增修條</w:t>
      </w:r>
      <w:r w:rsidR="001B1539" w:rsidRPr="001B1539">
        <w:t>文</w:t>
      </w:r>
      <w:hyperlink r:id="rId1464"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5</w:t>
      </w:r>
      <w:r w:rsidR="00203F72" w:rsidRPr="00D73718">
        <w:t>項及第</w:t>
      </w:r>
      <w:r w:rsidR="00203F72" w:rsidRPr="00D73718">
        <w:t>3</w:t>
      </w:r>
      <w:r w:rsidR="00203F72" w:rsidRPr="00D73718">
        <w:t>條第</w:t>
      </w:r>
      <w:r w:rsidR="00203F72" w:rsidRPr="00D73718">
        <w:t>3</w:t>
      </w:r>
      <w:r w:rsidR="00203F72" w:rsidRPr="00D73718">
        <w:t>項之立法模式，我國立法院似較處於劣勢，缺乏一套反制之作為，可將總統「解散立法院」之權限，加以消滅。亦即，在制度之設計上，立法院缺乏一種迴轉與變通之空間；未來可行之修法，似宜賦予立法院更多之機制，可將總統上述「解散立法院」之權限，加以消滅，如此，始符合總統與立法院武器對等之原則；假若立法院過於劣勢，易造成總統濫權與擴權。</w:t>
      </w:r>
    </w:p>
    <w:p w14:paraId="60DA1E9D" w14:textId="77777777" w:rsidR="00953151" w:rsidRPr="00D73718" w:rsidRDefault="00367D0C" w:rsidP="00D87D91">
      <w:r w:rsidRPr="00D73718">
        <w:t xml:space="preserve">　　</w:t>
      </w:r>
      <w:r w:rsidR="00203F72" w:rsidRPr="00D73718">
        <w:t>就憲法增修條</w:t>
      </w:r>
      <w:r w:rsidR="001B1539" w:rsidRPr="001B1539">
        <w:t>文</w:t>
      </w:r>
      <w:hyperlink r:id="rId1465"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6</w:t>
      </w:r>
      <w:r w:rsidR="00203F72" w:rsidRPr="00D73718">
        <w:t>項而言，係規範總統與副總統之任期，仍為</w:t>
      </w:r>
      <w:r w:rsidR="00203F72" w:rsidRPr="00D73718">
        <w:t>4</w:t>
      </w:r>
      <w:r w:rsidR="00203F72" w:rsidRPr="00D73718">
        <w:t>年；根據德國基本法第</w:t>
      </w:r>
      <w:r w:rsidR="00203F72" w:rsidRPr="00D73718">
        <w:t>54</w:t>
      </w:r>
      <w:r w:rsidR="00203F72" w:rsidRPr="00D73718">
        <w:t>條第</w:t>
      </w:r>
      <w:r w:rsidR="00203F72" w:rsidRPr="00D73718">
        <w:t>2</w:t>
      </w:r>
      <w:r w:rsidR="00203F72" w:rsidRPr="00D73718">
        <w:t>項之規定，聯邦總統（</w:t>
      </w:r>
      <w:r w:rsidR="00203F72" w:rsidRPr="00D73718">
        <w:t>Bundespräsident</w:t>
      </w:r>
      <w:r w:rsidR="00203F72" w:rsidRPr="00D73718">
        <w:t>）之任期，係為</w:t>
      </w:r>
      <w:r w:rsidR="00203F72" w:rsidRPr="00D73718">
        <w:t>5</w:t>
      </w:r>
      <w:r w:rsidR="00203F72" w:rsidRPr="00D73718">
        <w:t>年。是以，有關於總統與副總統之任期，除了</w:t>
      </w:r>
      <w:r w:rsidR="00203F72" w:rsidRPr="00D73718">
        <w:t>4</w:t>
      </w:r>
      <w:r w:rsidR="00203F72" w:rsidRPr="00D73718">
        <w:t>年之外，</w:t>
      </w:r>
      <w:r w:rsidR="00203F72" w:rsidRPr="00D73718">
        <w:t>5</w:t>
      </w:r>
      <w:r w:rsidR="00203F72" w:rsidRPr="00D73718">
        <w:t>年亦可為另一種之選項。</w:t>
      </w:r>
    </w:p>
    <w:p w14:paraId="2AD55E07" w14:textId="77777777" w:rsidR="00953151" w:rsidRPr="00D73718" w:rsidRDefault="00367D0C" w:rsidP="00D87D91">
      <w:r w:rsidRPr="00D73718">
        <w:t xml:space="preserve">　　</w:t>
      </w:r>
      <w:r w:rsidR="00203F72" w:rsidRPr="00D73718">
        <w:t>就憲法增修條</w:t>
      </w:r>
      <w:r w:rsidR="001B1539" w:rsidRPr="001B1539">
        <w:t>文</w:t>
      </w:r>
      <w:hyperlink r:id="rId1466"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7</w:t>
      </w:r>
      <w:r w:rsidR="00203F72" w:rsidRPr="00D73718">
        <w:t>項而論，當副總統缺位時，對於副總統之人選，總統擁有「副總統人選之提名權」，並由立法院補選之。就憲法增修條</w:t>
      </w:r>
      <w:r w:rsidR="001B1539" w:rsidRPr="001B1539">
        <w:t>文</w:t>
      </w:r>
      <w:hyperlink r:id="rId1467"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8</w:t>
      </w:r>
      <w:r w:rsidR="00203F72" w:rsidRPr="00D73718">
        <w:t>項而論，當總統與副總統均缺位時，由行政院院長代理行使其職權，並依直接民權之法理，以直接選舉之方式，由中華民國自由地區全體人民直接選舉之。</w:t>
      </w:r>
    </w:p>
    <w:p w14:paraId="56850916" w14:textId="77777777" w:rsidR="00953151" w:rsidRPr="00D73718" w:rsidRDefault="00367D0C" w:rsidP="00D87D91">
      <w:r w:rsidRPr="00D73718">
        <w:t xml:space="preserve">　　</w:t>
      </w:r>
      <w:r w:rsidR="00203F72" w:rsidRPr="00D73718">
        <w:t>就德國而言，依照德國基本法第</w:t>
      </w:r>
      <w:r w:rsidR="00203F72" w:rsidRPr="00D73718">
        <w:t>57</w:t>
      </w:r>
      <w:r w:rsidR="00203F72" w:rsidRPr="00D73718">
        <w:t>條之規定，聯邦總統缺位時，由聯邦參議院議長代行其職權。是以，德國總統之代理人，並非德國副總統；在德國基本法第</w:t>
      </w:r>
      <w:r w:rsidR="00203F72" w:rsidRPr="00D73718">
        <w:t>5</w:t>
      </w:r>
      <w:r w:rsidR="00203F72" w:rsidRPr="00D73718">
        <w:t>章「聯邦總統」專章之中，亦無副總統之建制，故德國總統之代理人，係為「聯邦參議院議長」；由於德國係採行內閣制之國家，內閣直接由議會之多數黨組成，形成所謂之「議會內閣制」</w:t>
      </w:r>
      <w:r w:rsidR="00203F72" w:rsidRPr="00D73718">
        <w:footnoteReference w:id="153"/>
      </w:r>
      <w:r w:rsidR="00203F72" w:rsidRPr="00D73718">
        <w:t>，故根據德國基本法第</w:t>
      </w:r>
      <w:r w:rsidR="00203F72" w:rsidRPr="00D73718">
        <w:t>57</w:t>
      </w:r>
      <w:r w:rsidR="00203F72" w:rsidRPr="00D73718">
        <w:t>條之規範，當聯邦總統缺位時，乃由「聯邦參議院議長」代行總統之職權。在我國，由於我國憲法之體制，並非完全之內閣制，故當總統、副總統均缺位時，由行政院院長代行職權，而非由立法院院長代行職權，我國憲政頗具有雙首長制之色彩。</w:t>
      </w:r>
    </w:p>
    <w:p w14:paraId="48BA62F7" w14:textId="77777777" w:rsidR="00953151" w:rsidRPr="00D73718" w:rsidRDefault="00367D0C" w:rsidP="00D87D91">
      <w:r w:rsidRPr="00D73718">
        <w:t xml:space="preserve">　　</w:t>
      </w:r>
      <w:r w:rsidR="00203F72" w:rsidRPr="00D73718">
        <w:t>就憲法增修條</w:t>
      </w:r>
      <w:r w:rsidR="001B1539" w:rsidRPr="001B1539">
        <w:t>文</w:t>
      </w:r>
      <w:hyperlink r:id="rId1468"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9</w:t>
      </w:r>
      <w:r w:rsidR="00203F72" w:rsidRPr="00D73718">
        <w:t>項而論，在罷免總統、副總統之機制方面，我國係採用人民公投之方式加以表決。在德國，宣告將總統解職之機制，係為「聯邦憲法法院（庭）」。依據德國基本法第</w:t>
      </w:r>
      <w:r w:rsidR="00203F72" w:rsidRPr="00D73718">
        <w:t>6</w:t>
      </w:r>
      <w:r w:rsidR="00203F72" w:rsidRPr="00D73718">
        <w:t>條第</w:t>
      </w:r>
      <w:r w:rsidR="00203F72" w:rsidRPr="00D73718">
        <w:t>1</w:t>
      </w:r>
      <w:r w:rsidR="00203F72" w:rsidRPr="00D73718">
        <w:t>項及第</w:t>
      </w:r>
      <w:r w:rsidR="00203F72" w:rsidRPr="00D73718">
        <w:t>2</w:t>
      </w:r>
      <w:r w:rsidR="00203F72" w:rsidRPr="00D73718">
        <w:t>項之規定，聯邦議會與聯邦參議院均有權彈劾總統；國會提出彈劾案後，尚須經過國會本身之決議，以決定是否成案。之後，將彈劾案移交聯邦憲法法庭；彈劾之機關，並應委託</w:t>
      </w:r>
      <w:r w:rsidR="00203F72" w:rsidRPr="00D73718">
        <w:t>1</w:t>
      </w:r>
      <w:r w:rsidR="00203F72" w:rsidRPr="00D73718">
        <w:t>人，進行彈劾之公訴；聯邦憲法法庭審理之後，得宣告解除總統之職務。</w:t>
      </w:r>
    </w:p>
    <w:p w14:paraId="31736CA2" w14:textId="77777777" w:rsidR="00953151" w:rsidRDefault="00367D0C" w:rsidP="00D87D91">
      <w:r w:rsidRPr="00D73718">
        <w:t xml:space="preserve">　　</w:t>
      </w:r>
      <w:r w:rsidR="00203F72" w:rsidRPr="00D73718">
        <w:t>在解除總統職位方面，依據基本法第</w:t>
      </w:r>
      <w:r w:rsidR="00203F72" w:rsidRPr="00D73718">
        <w:t>61</w:t>
      </w:r>
      <w:r w:rsidR="00203F72" w:rsidRPr="00D73718">
        <w:t>條之規定，僅聯邦憲法法庭擁有此項權力，人民無法透由公投之方式，罷免德國總統。依據第</w:t>
      </w:r>
      <w:r w:rsidR="00203F72" w:rsidRPr="00D73718">
        <w:t>2</w:t>
      </w:r>
      <w:r w:rsidR="00203F72" w:rsidRPr="00D73718">
        <w:t>條第</w:t>
      </w:r>
      <w:r w:rsidR="00203F72" w:rsidRPr="00D73718">
        <w:t>9</w:t>
      </w:r>
      <w:r w:rsidR="00203F72" w:rsidRPr="00D73718">
        <w:t>項之要求，立法委員如欲提出總統、副總統之罷免案，在門檻人數之部分，採用較低之水準，即達全體立法委員</w:t>
      </w:r>
      <w:r w:rsidR="00203F72" w:rsidRPr="00D73718">
        <w:t>1/4</w:t>
      </w:r>
      <w:r w:rsidR="00203F72" w:rsidRPr="00D73718">
        <w:t>之提議，即可達到「提議門檻」；此種之設計，對於牽制總統之濫權，有一定之效果。反之，如將立法委員之提議門檻提高，罷免案之成立，似將較不可行；故，目前之設計，尚屬合理可行。</w:t>
      </w:r>
    </w:p>
    <w:p w14:paraId="341B4098" w14:textId="77777777" w:rsidR="00142D4A" w:rsidRPr="00D73718" w:rsidRDefault="00142D4A" w:rsidP="00D87D91"/>
    <w:p w14:paraId="1489D479" w14:textId="7B4B2CB8" w:rsidR="00203F72" w:rsidRPr="00D73718" w:rsidRDefault="00B03E84" w:rsidP="00D87D91">
      <w:r w:rsidRPr="00D73718">
        <w:t>【</w:t>
      </w:r>
      <w:r w:rsidRPr="00D73718">
        <w:t>table</w:t>
      </w:r>
      <w:r w:rsidR="005E23E3" w:rsidRPr="00D73718">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80</w:t>
      </w:r>
      <w:r w:rsidR="00076467">
        <w:rPr>
          <w:noProof/>
        </w:rPr>
        <w:fldChar w:fldCharType="end"/>
      </w:r>
      <w:r w:rsidR="00203F72" w:rsidRPr="00D73718">
        <w:t>罷免、彈劾、倒閣之比較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985"/>
        <w:gridCol w:w="1271"/>
        <w:gridCol w:w="1551"/>
        <w:gridCol w:w="1553"/>
        <w:gridCol w:w="2034"/>
      </w:tblGrid>
      <w:tr w:rsidR="00203F72" w:rsidRPr="00D73718" w14:paraId="30303372" w14:textId="77777777" w:rsidTr="00142D4A">
        <w:trPr>
          <w:tblHeader/>
        </w:trPr>
        <w:tc>
          <w:tcPr>
            <w:tcW w:w="648" w:type="pct"/>
            <w:shd w:val="clear" w:color="auto" w:fill="FAF0FA"/>
          </w:tcPr>
          <w:p w14:paraId="06A8E3DA" w14:textId="77777777" w:rsidR="00203F72" w:rsidRPr="00D73718" w:rsidRDefault="00203F72" w:rsidP="00D87D91"/>
        </w:tc>
        <w:tc>
          <w:tcPr>
            <w:tcW w:w="580" w:type="pct"/>
            <w:shd w:val="clear" w:color="auto" w:fill="FAF0FA"/>
          </w:tcPr>
          <w:p w14:paraId="1839D706" w14:textId="77777777" w:rsidR="00203F72" w:rsidRPr="00D73718" w:rsidRDefault="00203F72" w:rsidP="00D87D91">
            <w:r w:rsidRPr="00D73718">
              <w:t>對象</w:t>
            </w:r>
          </w:p>
        </w:tc>
        <w:tc>
          <w:tcPr>
            <w:tcW w:w="748" w:type="pct"/>
            <w:shd w:val="clear" w:color="auto" w:fill="FAF0FA"/>
          </w:tcPr>
          <w:p w14:paraId="7DFAB6D3" w14:textId="77777777" w:rsidR="00203F72" w:rsidRPr="00D73718" w:rsidRDefault="00203F72" w:rsidP="00D87D91">
            <w:r w:rsidRPr="00D73718">
              <w:t>性質</w:t>
            </w:r>
          </w:p>
        </w:tc>
        <w:tc>
          <w:tcPr>
            <w:tcW w:w="913" w:type="pct"/>
            <w:shd w:val="clear" w:color="auto" w:fill="FAF0FA"/>
          </w:tcPr>
          <w:p w14:paraId="1644BEF5" w14:textId="77777777" w:rsidR="00203F72" w:rsidRPr="00D73718" w:rsidRDefault="00203F72" w:rsidP="00D87D91">
            <w:r w:rsidRPr="00D73718">
              <w:t>提議人數</w:t>
            </w:r>
          </w:p>
        </w:tc>
        <w:tc>
          <w:tcPr>
            <w:tcW w:w="914" w:type="pct"/>
            <w:shd w:val="clear" w:color="auto" w:fill="FAF0FA"/>
          </w:tcPr>
          <w:p w14:paraId="665E6BAF" w14:textId="77777777" w:rsidR="00203F72" w:rsidRPr="00D73718" w:rsidRDefault="00203F72" w:rsidP="00D87D91">
            <w:r w:rsidRPr="00D73718">
              <w:t>立法院通過</w:t>
            </w:r>
          </w:p>
        </w:tc>
        <w:tc>
          <w:tcPr>
            <w:tcW w:w="1197" w:type="pct"/>
            <w:shd w:val="clear" w:color="auto" w:fill="FAF0FA"/>
          </w:tcPr>
          <w:p w14:paraId="4F55F8A2" w14:textId="77777777" w:rsidR="00203F72" w:rsidRPr="00D73718" w:rsidRDefault="00203F72" w:rsidP="00D87D91">
            <w:r w:rsidRPr="00D73718">
              <w:t>決定</w:t>
            </w:r>
          </w:p>
        </w:tc>
      </w:tr>
      <w:tr w:rsidR="00203F72" w:rsidRPr="00D73718" w14:paraId="669431D2" w14:textId="77777777" w:rsidTr="00203F72">
        <w:tc>
          <w:tcPr>
            <w:tcW w:w="648" w:type="pct"/>
            <w:shd w:val="clear" w:color="auto" w:fill="auto"/>
          </w:tcPr>
          <w:p w14:paraId="44327907" w14:textId="77777777" w:rsidR="00203F72" w:rsidRPr="00D73718" w:rsidRDefault="00203F72" w:rsidP="00D87D91">
            <w:r w:rsidRPr="00D73718">
              <w:t>罷免</w:t>
            </w:r>
          </w:p>
        </w:tc>
        <w:tc>
          <w:tcPr>
            <w:tcW w:w="580" w:type="pct"/>
            <w:shd w:val="clear" w:color="auto" w:fill="auto"/>
          </w:tcPr>
          <w:p w14:paraId="5F59C880" w14:textId="77777777" w:rsidR="00203F72" w:rsidRPr="00D73718" w:rsidRDefault="00203F72" w:rsidP="00D87D91">
            <w:r w:rsidRPr="00D73718">
              <w:t>總統</w:t>
            </w:r>
          </w:p>
        </w:tc>
        <w:tc>
          <w:tcPr>
            <w:tcW w:w="748" w:type="pct"/>
            <w:shd w:val="clear" w:color="auto" w:fill="auto"/>
          </w:tcPr>
          <w:p w14:paraId="126DB0DE" w14:textId="77777777" w:rsidR="00203F72" w:rsidRPr="00D73718" w:rsidRDefault="00203F72" w:rsidP="00D87D91">
            <w:r w:rsidRPr="00D73718">
              <w:t>政治責任</w:t>
            </w:r>
          </w:p>
        </w:tc>
        <w:tc>
          <w:tcPr>
            <w:tcW w:w="913" w:type="pct"/>
            <w:shd w:val="clear" w:color="auto" w:fill="auto"/>
          </w:tcPr>
          <w:p w14:paraId="1526EA60" w14:textId="77777777" w:rsidR="00203F72" w:rsidRPr="00D73718" w:rsidRDefault="00203F72" w:rsidP="00D87D91">
            <w:r w:rsidRPr="00D73718">
              <w:t>1/4</w:t>
            </w:r>
            <w:r w:rsidRPr="00D73718">
              <w:t>立委提案</w:t>
            </w:r>
          </w:p>
        </w:tc>
        <w:tc>
          <w:tcPr>
            <w:tcW w:w="914" w:type="pct"/>
            <w:shd w:val="clear" w:color="auto" w:fill="auto"/>
          </w:tcPr>
          <w:p w14:paraId="10FA216C" w14:textId="77777777" w:rsidR="00203F72" w:rsidRPr="00D73718" w:rsidRDefault="00203F72" w:rsidP="00D87D91">
            <w:r w:rsidRPr="00D73718">
              <w:t>全體</w:t>
            </w:r>
            <w:r w:rsidRPr="00D73718">
              <w:t>2/3</w:t>
            </w:r>
            <w:r w:rsidRPr="00D73718">
              <w:t>立委通過</w:t>
            </w:r>
          </w:p>
        </w:tc>
        <w:tc>
          <w:tcPr>
            <w:tcW w:w="1197" w:type="pct"/>
            <w:shd w:val="clear" w:color="auto" w:fill="auto"/>
          </w:tcPr>
          <w:p w14:paraId="66E0D6B7" w14:textId="77777777" w:rsidR="00203F72" w:rsidRPr="00D73718" w:rsidRDefault="00203F72" w:rsidP="00D87D91">
            <w:r w:rsidRPr="00D73718">
              <w:t>人民投票</w:t>
            </w:r>
          </w:p>
          <w:p w14:paraId="5A9A2A4F" w14:textId="77777777" w:rsidR="00203F72" w:rsidRPr="00D73718" w:rsidRDefault="00203F72" w:rsidP="00D87D91">
            <w:r w:rsidRPr="00D73718">
              <w:t>1/2</w:t>
            </w:r>
            <w:r w:rsidRPr="00D73718">
              <w:t>投票</w:t>
            </w:r>
          </w:p>
          <w:p w14:paraId="6755EDE4" w14:textId="77777777" w:rsidR="00203F72" w:rsidRPr="00D73718" w:rsidRDefault="00203F72" w:rsidP="00D87D91">
            <w:r w:rsidRPr="00D73718">
              <w:t>1/2</w:t>
            </w:r>
            <w:r w:rsidRPr="00D73718">
              <w:t>同意</w:t>
            </w:r>
          </w:p>
        </w:tc>
      </w:tr>
      <w:tr w:rsidR="00203F72" w:rsidRPr="00D73718" w14:paraId="11372137" w14:textId="77777777" w:rsidTr="00203F72">
        <w:tc>
          <w:tcPr>
            <w:tcW w:w="648" w:type="pct"/>
            <w:shd w:val="clear" w:color="auto" w:fill="auto"/>
          </w:tcPr>
          <w:p w14:paraId="5E483801" w14:textId="77777777" w:rsidR="00203F72" w:rsidRPr="00D73718" w:rsidRDefault="00203F72" w:rsidP="00D87D91">
            <w:r w:rsidRPr="00D73718">
              <w:t>彈劾</w:t>
            </w:r>
          </w:p>
        </w:tc>
        <w:tc>
          <w:tcPr>
            <w:tcW w:w="580" w:type="pct"/>
            <w:shd w:val="clear" w:color="auto" w:fill="auto"/>
          </w:tcPr>
          <w:p w14:paraId="13995BBA" w14:textId="77777777" w:rsidR="00203F72" w:rsidRPr="00D73718" w:rsidRDefault="00203F72" w:rsidP="00D87D91">
            <w:r w:rsidRPr="00D73718">
              <w:t>總統</w:t>
            </w:r>
          </w:p>
        </w:tc>
        <w:tc>
          <w:tcPr>
            <w:tcW w:w="748" w:type="pct"/>
            <w:shd w:val="clear" w:color="auto" w:fill="auto"/>
          </w:tcPr>
          <w:p w14:paraId="7D60AE7B" w14:textId="77777777" w:rsidR="00203F72" w:rsidRPr="00D73718" w:rsidRDefault="00203F72" w:rsidP="00D87D91">
            <w:r w:rsidRPr="00D73718">
              <w:t>法律責任</w:t>
            </w:r>
          </w:p>
        </w:tc>
        <w:tc>
          <w:tcPr>
            <w:tcW w:w="913" w:type="pct"/>
            <w:shd w:val="clear" w:color="auto" w:fill="auto"/>
          </w:tcPr>
          <w:p w14:paraId="0112A291" w14:textId="77777777" w:rsidR="00203F72" w:rsidRPr="00D73718" w:rsidRDefault="00203F72" w:rsidP="00D87D91">
            <w:r w:rsidRPr="00D73718">
              <w:t>1/2</w:t>
            </w:r>
            <w:r w:rsidRPr="00D73718">
              <w:t>立委提案</w:t>
            </w:r>
          </w:p>
        </w:tc>
        <w:tc>
          <w:tcPr>
            <w:tcW w:w="914" w:type="pct"/>
            <w:shd w:val="clear" w:color="auto" w:fill="auto"/>
          </w:tcPr>
          <w:p w14:paraId="42F34E25" w14:textId="77777777" w:rsidR="00203F72" w:rsidRPr="00D73718" w:rsidRDefault="00203F72" w:rsidP="00D87D91">
            <w:r w:rsidRPr="00D73718">
              <w:t>全體</w:t>
            </w:r>
            <w:r w:rsidRPr="00D73718">
              <w:t>2/3</w:t>
            </w:r>
            <w:r w:rsidRPr="00D73718">
              <w:t>立委通過</w:t>
            </w:r>
          </w:p>
        </w:tc>
        <w:tc>
          <w:tcPr>
            <w:tcW w:w="1197" w:type="pct"/>
            <w:shd w:val="clear" w:color="auto" w:fill="auto"/>
          </w:tcPr>
          <w:p w14:paraId="0B09C780" w14:textId="77777777" w:rsidR="00203F72" w:rsidRPr="00D73718" w:rsidRDefault="00203F72" w:rsidP="00D87D91">
            <w:r w:rsidRPr="00D73718">
              <w:t>大法官組成憲法法庭審理</w:t>
            </w:r>
          </w:p>
        </w:tc>
      </w:tr>
      <w:tr w:rsidR="00203F72" w:rsidRPr="00D73718" w14:paraId="48BAF6FC" w14:textId="77777777" w:rsidTr="00203F72">
        <w:tc>
          <w:tcPr>
            <w:tcW w:w="648" w:type="pct"/>
            <w:shd w:val="clear" w:color="auto" w:fill="auto"/>
          </w:tcPr>
          <w:p w14:paraId="0B01F8CD" w14:textId="77777777" w:rsidR="00203F72" w:rsidRPr="00D73718" w:rsidRDefault="00203F72" w:rsidP="00D87D91">
            <w:r w:rsidRPr="00D73718">
              <w:t>倒閣</w:t>
            </w:r>
          </w:p>
        </w:tc>
        <w:tc>
          <w:tcPr>
            <w:tcW w:w="580" w:type="pct"/>
            <w:shd w:val="clear" w:color="auto" w:fill="auto"/>
          </w:tcPr>
          <w:p w14:paraId="65B27E54" w14:textId="77777777" w:rsidR="00203F72" w:rsidRPr="00D73718" w:rsidRDefault="00203F72" w:rsidP="00D87D91">
            <w:r w:rsidRPr="00D73718">
              <w:t>行政院</w:t>
            </w:r>
          </w:p>
        </w:tc>
        <w:tc>
          <w:tcPr>
            <w:tcW w:w="748" w:type="pct"/>
            <w:shd w:val="clear" w:color="auto" w:fill="auto"/>
          </w:tcPr>
          <w:p w14:paraId="0BA53CA7" w14:textId="77777777" w:rsidR="00203F72" w:rsidRPr="00D73718" w:rsidRDefault="00203F72" w:rsidP="00D87D91">
            <w:r w:rsidRPr="00D73718">
              <w:t>政治不信任</w:t>
            </w:r>
          </w:p>
        </w:tc>
        <w:tc>
          <w:tcPr>
            <w:tcW w:w="913" w:type="pct"/>
            <w:shd w:val="clear" w:color="auto" w:fill="auto"/>
          </w:tcPr>
          <w:p w14:paraId="5D1487DE" w14:textId="77777777" w:rsidR="00203F72" w:rsidRPr="00D73718" w:rsidRDefault="00203F72" w:rsidP="00D87D91">
            <w:r w:rsidRPr="00D73718">
              <w:t>1/3</w:t>
            </w:r>
            <w:r w:rsidRPr="00D73718">
              <w:t>立委連署</w:t>
            </w:r>
          </w:p>
        </w:tc>
        <w:tc>
          <w:tcPr>
            <w:tcW w:w="914" w:type="pct"/>
            <w:shd w:val="clear" w:color="auto" w:fill="auto"/>
          </w:tcPr>
          <w:p w14:paraId="77AD2823" w14:textId="77777777" w:rsidR="00203F72" w:rsidRPr="00D73718" w:rsidRDefault="00203F72" w:rsidP="00D87D91">
            <w:r w:rsidRPr="00D73718">
              <w:t>全體</w:t>
            </w:r>
            <w:r w:rsidRPr="00D73718">
              <w:t>1/2</w:t>
            </w:r>
            <w:r w:rsidRPr="00D73718">
              <w:t>立委通過</w:t>
            </w:r>
          </w:p>
        </w:tc>
        <w:tc>
          <w:tcPr>
            <w:tcW w:w="1197" w:type="pct"/>
            <w:shd w:val="clear" w:color="auto" w:fill="auto"/>
          </w:tcPr>
          <w:p w14:paraId="48E9B469" w14:textId="77777777" w:rsidR="00203F72" w:rsidRPr="00D73718" w:rsidRDefault="00203F72" w:rsidP="00D87D91"/>
        </w:tc>
      </w:tr>
    </w:tbl>
    <w:p w14:paraId="47A20F64" w14:textId="77777777" w:rsidR="00953151" w:rsidRPr="00D73718" w:rsidRDefault="002107CE" w:rsidP="00D87D91">
      <w:r w:rsidRPr="00D73718">
        <w:t>【本表格資料來源】</w:t>
      </w:r>
      <w:r w:rsidR="00203F72" w:rsidRPr="00D73718">
        <w:t>楊智傑</w:t>
      </w:r>
      <w:r w:rsidR="00203F72" w:rsidRPr="00D73718">
        <w:t>(2010)</w:t>
      </w:r>
      <w:r w:rsidR="00203F72" w:rsidRPr="00D73718">
        <w:t>，圖解憲法，二版</w:t>
      </w:r>
      <w:r w:rsidR="00203F72" w:rsidRPr="00D73718">
        <w:t>1</w:t>
      </w:r>
      <w:r w:rsidR="00203F72" w:rsidRPr="00D73718">
        <w:t>刷，台北市：書泉出版社，第</w:t>
      </w:r>
      <w:r w:rsidR="00203F72" w:rsidRPr="00D73718">
        <w:t>83</w:t>
      </w:r>
      <w:r w:rsidR="00203F72" w:rsidRPr="00D73718">
        <w:t>頁</w:t>
      </w:r>
      <w:r w:rsidR="00545D58" w:rsidRPr="00D73718">
        <w:t>。</w:t>
      </w:r>
    </w:p>
    <w:p w14:paraId="2F35541C" w14:textId="77777777" w:rsidR="00953151" w:rsidRPr="00D73718" w:rsidRDefault="00367D0C" w:rsidP="00D87D91">
      <w:r w:rsidRPr="00D73718">
        <w:t xml:space="preserve">　　</w:t>
      </w:r>
      <w:r w:rsidR="00203F72" w:rsidRPr="00D73718">
        <w:t>另就憲法增修條</w:t>
      </w:r>
      <w:r w:rsidR="001B1539" w:rsidRPr="001B1539">
        <w:t>文</w:t>
      </w:r>
      <w:hyperlink r:id="rId1469"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10</w:t>
      </w:r>
      <w:r w:rsidR="00203F72" w:rsidRPr="00D73718">
        <w:t>項而論，係規範如何彈劾總統；根據憲法增修條</w:t>
      </w:r>
      <w:r w:rsidR="009A2820" w:rsidRPr="00306E89">
        <w:t>文</w:t>
      </w:r>
      <w:hyperlink r:id="rId1470"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D73718">
        <w:t>第</w:t>
      </w:r>
      <w:r w:rsidR="00203F72" w:rsidRPr="00D73718">
        <w:t>7</w:t>
      </w:r>
      <w:r w:rsidR="00203F72" w:rsidRPr="00D73718">
        <w:t>項之要求，彈劾案之「提議門檻」，須達全體立法委員二分之一以上之提議「二分之一」之「提議門檻」，是否過高？值得深思。為了達到立法院能夠有效地牽制總統之濫權，似有必要降低立法委員彈劾總統、副總統之「提議門檻」。在德國方面，依據德國基本法第</w:t>
      </w:r>
      <w:r w:rsidR="00203F72" w:rsidRPr="00D73718">
        <w:t>61</w:t>
      </w:r>
      <w:r w:rsidR="00203F72" w:rsidRPr="00D73718">
        <w:t>條第</w:t>
      </w:r>
      <w:r w:rsidR="00203F72" w:rsidRPr="00D73718">
        <w:t>1</w:t>
      </w:r>
      <w:r w:rsidR="00203F72" w:rsidRPr="00D73718">
        <w:t>項之規定，聯邦議會、聯邦參議院對於聯邦總統之彈劾案之動議，至少須全體聯邦議會議員四分之一，或全體聯邦參議員四分之一以上之提議，亦即，在基本法第</w:t>
      </w:r>
      <w:r w:rsidR="00203F72" w:rsidRPr="00D73718">
        <w:t>61</w:t>
      </w:r>
      <w:r w:rsidR="00203F72" w:rsidRPr="00D73718">
        <w:t>條第</w:t>
      </w:r>
      <w:r w:rsidR="00203F72" w:rsidRPr="00D73718">
        <w:t>1</w:t>
      </w:r>
      <w:r w:rsidR="00203F72" w:rsidRPr="00D73718">
        <w:t>項之要求下，德國聯邦議會或聯邦參議院對於總統彈劾之「提議門檻」，設定為四分之一。</w:t>
      </w:r>
    </w:p>
    <w:p w14:paraId="2BE8756A" w14:textId="77777777" w:rsidR="00953151" w:rsidRPr="00D73718" w:rsidRDefault="00367D0C" w:rsidP="00D87D91">
      <w:r w:rsidRPr="00D73718">
        <w:t xml:space="preserve">　　</w:t>
      </w:r>
      <w:r w:rsidR="00203F72" w:rsidRPr="00D73718">
        <w:t>反觀我國憲法增修條</w:t>
      </w:r>
      <w:r w:rsidR="001B1539" w:rsidRPr="001B1539">
        <w:t>文</w:t>
      </w:r>
      <w:hyperlink r:id="rId1471"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10</w:t>
      </w:r>
      <w:r w:rsidR="00203F72" w:rsidRPr="00D73718">
        <w:t>項與第</w:t>
      </w:r>
      <w:r w:rsidR="00203F72" w:rsidRPr="00D73718">
        <w:t>4</w:t>
      </w:r>
      <w:r w:rsidR="00203F72" w:rsidRPr="00D73718">
        <w:t>條第</w:t>
      </w:r>
      <w:r w:rsidR="00203F72" w:rsidRPr="00D73718">
        <w:t>7</w:t>
      </w:r>
      <w:r w:rsidR="00203F72" w:rsidRPr="00D73718">
        <w:t>項之規範，立法委員對於總統、副總統彈劾案之「提議門檻」，設定為「二分之一」；我國之標準，高於德國基本法第</w:t>
      </w:r>
      <w:r w:rsidR="00203F72" w:rsidRPr="00D73718">
        <w:t>61</w:t>
      </w:r>
      <w:r w:rsidR="00203F72" w:rsidRPr="00D73718">
        <w:t>條之要求，達</w:t>
      </w:r>
      <w:r w:rsidR="00203F72" w:rsidRPr="00D73718">
        <w:t>2</w:t>
      </w:r>
      <w:r w:rsidR="00203F72" w:rsidRPr="00D73718">
        <w:t>倍之多；亦即，我國國會在彈劾總統、副總統之濫權行為時，所遭遇之困難，係為德國之兩倍；由於彈劾總統之「提議門檻」如果過高，則將導致愈難監控總統之權力；是以，我國立法委員彈劾總統、副總統之「提議門檻」，宜比照德國基本法第</w:t>
      </w:r>
      <w:r w:rsidR="00203F72" w:rsidRPr="00D73718">
        <w:t>61</w:t>
      </w:r>
      <w:r w:rsidR="00203F72" w:rsidRPr="00D73718">
        <w:t>條第</w:t>
      </w:r>
      <w:r w:rsidR="00203F72" w:rsidRPr="00D73718">
        <w:t>1</w:t>
      </w:r>
      <w:r w:rsidR="00203F72" w:rsidRPr="00D73718">
        <w:t>項之規範，下降至四分之一為佳。</w:t>
      </w:r>
    </w:p>
    <w:p w14:paraId="0FED22AD" w14:textId="77777777" w:rsidR="00545D58" w:rsidRDefault="00545D58" w:rsidP="00D53F68">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bookmarkStart w:id="45" w:name="_第3條（行政院）"/>
    <w:bookmarkEnd w:id="45"/>
    <w:p w14:paraId="1757FF0C" w14:textId="77777777" w:rsidR="0095315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"b3"</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3</w:t>
      </w:r>
      <w:r w:rsidR="00203F72" w:rsidRPr="001C1A86">
        <w:rPr>
          <w:rStyle w:val="a5"/>
          <w:rFonts w:ascii="Arial Unicode MS" w:hAnsi="Arial Unicode MS"/>
        </w:rPr>
        <w:t>條</w:t>
      </w:r>
      <w:r>
        <w:fldChar w:fldCharType="end"/>
      </w:r>
      <w:r w:rsidR="00203F72" w:rsidRPr="00A53581">
        <w:t>（行政院）</w:t>
      </w:r>
      <w:r w:rsidR="00203F72" w:rsidRPr="00A53581">
        <w:t xml:space="preserve"> </w:t>
      </w:r>
    </w:p>
    <w:p w14:paraId="25E02BAE" w14:textId="77777777" w:rsidR="00367D0C" w:rsidRDefault="00367D0C" w:rsidP="00D87D91">
      <w:r>
        <w:t xml:space="preserve">　　</w:t>
      </w:r>
      <w:r w:rsidR="00203F72" w:rsidRPr="00A53581">
        <w:t>（</w:t>
      </w:r>
      <w:r w:rsidR="00203F72" w:rsidRPr="00A53581">
        <w:t>1</w:t>
      </w:r>
      <w:r w:rsidR="00203F72" w:rsidRPr="00A53581">
        <w:t>）行政院院長由總統任命之。行政院院長辭職或出缺時，在總統未任命行政院院長前，由行政院副院長暫行代理。憲法</w:t>
      </w:r>
      <w:r w:rsidR="007776F0" w:rsidRPr="005E4924">
        <w:t>第</w:t>
      </w:r>
      <w:hyperlink r:id="rId1472" w:anchor="a55" w:history="1">
        <w:r w:rsidR="007776F0" w:rsidRPr="007776F0">
          <w:rPr>
            <w:rStyle w:val="a5"/>
            <w:rFonts w:ascii="Times New Roman" w:eastAsia="新細明體" w:hAnsi="Times New Roman"/>
          </w:rPr>
          <w:t>五十五</w:t>
        </w:r>
      </w:hyperlink>
      <w:r w:rsidR="007776F0" w:rsidRPr="005E4924">
        <w:t>條</w:t>
      </w:r>
      <w:r w:rsidR="00203F72" w:rsidRPr="00A53581">
        <w:t>之規定，停止適用</w:t>
      </w:r>
      <w:r w:rsidR="00545D58">
        <w:t>。</w:t>
      </w:r>
    </w:p>
    <w:p w14:paraId="23F86E28" w14:textId="77777777" w:rsidR="00367D0C"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（2）行政院依左列規定，對立法院負責，憲法</w:t>
      </w:r>
      <w:r w:rsidR="00BE1B2A" w:rsidRPr="00482FC4">
        <w:t>第</w:t>
      </w:r>
      <w:hyperlink r:id="rId1473" w:anchor="a57" w:history="1">
        <w:r w:rsidR="00BE1B2A" w:rsidRPr="00BE1B2A">
          <w:rPr>
            <w:rStyle w:val="a5"/>
            <w:rFonts w:ascii="Times New Roman" w:hAnsi="Times New Roman"/>
          </w:rPr>
          <w:t>五十七</w:t>
        </w:r>
      </w:hyperlink>
      <w:r w:rsidR="00BE1B2A" w:rsidRPr="00482FC4">
        <w:t>條</w:t>
      </w:r>
      <w:r w:rsidR="00203F72" w:rsidRPr="00A53581">
        <w:rPr>
          <w:rFonts w:ascii="新細明體" w:hAnsi="新細明體"/>
        </w:rPr>
        <w:t>之規定，停止適用：</w:t>
      </w:r>
    </w:p>
    <w:p w14:paraId="0CA6B400" w14:textId="77777777" w:rsidR="00367D0C" w:rsidRDefault="00367D0C" w:rsidP="00D87D91">
      <w:r>
        <w:t xml:space="preserve">　　</w:t>
      </w:r>
      <w:r w:rsidR="00203F72" w:rsidRPr="00A53581">
        <w:t>一、行政院有向立法院提出施政方針及施政報告之責。立法委員在開會時，有向行政院院長及行政院各部會首長質詢之權。</w:t>
      </w:r>
    </w:p>
    <w:p w14:paraId="725411B4" w14:textId="77777777" w:rsidR="00367D0C" w:rsidRDefault="00367D0C" w:rsidP="00D87D91">
      <w:r>
        <w:t xml:space="preserve">　　</w:t>
      </w:r>
      <w:r w:rsidR="00203F72" w:rsidRPr="00A53581">
        <w:t>二、行政院對於立法院決議之法律案、預算案、條約案，如認為有窒礙難行時，得經總統之核可，於該決議案送達行政院十日內，移請立法院覆議。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w:t>
      </w:r>
    </w:p>
    <w:p w14:paraId="1E381EF4" w14:textId="77777777" w:rsidR="00367D0C" w:rsidRDefault="00367D0C" w:rsidP="00D87D91">
      <w:r>
        <w:t xml:space="preserve">　　</w:t>
      </w:r>
      <w:r w:rsidR="00203F72" w:rsidRPr="00A53581">
        <w:t>三、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p w14:paraId="6A083428" w14:textId="77777777" w:rsidR="00367D0C" w:rsidRDefault="00367D0C" w:rsidP="00D87D91">
      <w:r>
        <w:t xml:space="preserve">　　</w:t>
      </w:r>
      <w:r w:rsidR="00203F72" w:rsidRPr="00A53581">
        <w:t>（</w:t>
      </w:r>
      <w:r w:rsidR="00203F72" w:rsidRPr="00A53581">
        <w:t>3</w:t>
      </w:r>
      <w:r w:rsidR="00203F72" w:rsidRPr="00A53581">
        <w:t>）國家機關之職權、設立程序及總員額，得以法律為準則性之規定。</w:t>
      </w:r>
    </w:p>
    <w:p w14:paraId="57C5C13D" w14:textId="77777777" w:rsidR="00953151" w:rsidRDefault="00367D0C" w:rsidP="00D87D91">
      <w:r>
        <w:rPr>
          <w:rFonts w:hint="eastAsia"/>
        </w:rPr>
        <w:t xml:space="preserve">　　</w:t>
      </w:r>
      <w:r w:rsidR="00203F72" w:rsidRPr="00A53581">
        <w:t>（</w:t>
      </w:r>
      <w:r w:rsidR="00203F72" w:rsidRPr="00A53581">
        <w:t>4</w:t>
      </w:r>
      <w:r w:rsidR="00203F72" w:rsidRPr="00A53581">
        <w:t>）各機關之組織、編制及員額，應依前項法律，基於政策或業務需要決定之</w:t>
      </w:r>
      <w:r w:rsidR="00545D58">
        <w:t>。</w:t>
      </w:r>
    </w:p>
    <w:p w14:paraId="589331C7" w14:textId="77777777" w:rsidR="00203F72" w:rsidRPr="00D73718" w:rsidRDefault="00B03E84" w:rsidP="00D87D91">
      <w:r w:rsidRPr="00D73718">
        <w:t>【內容解析】</w:t>
      </w:r>
    </w:p>
    <w:p w14:paraId="21E9795C" w14:textId="77777777" w:rsidR="00953151" w:rsidRDefault="00367D0C" w:rsidP="00D87D91">
      <w:r w:rsidRPr="00D73718">
        <w:t xml:space="preserve">　　</w:t>
      </w:r>
      <w:r w:rsidR="00203F72" w:rsidRPr="00D73718">
        <w:t>就憲法增修條</w:t>
      </w:r>
      <w:r w:rsidR="00E16174" w:rsidRPr="00D73718">
        <w:t>文</w:t>
      </w:r>
      <w:hyperlink r:id="rId1474"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1</w:t>
      </w:r>
      <w:r w:rsidR="00203F72" w:rsidRPr="00D73718">
        <w:t>項而言，行政院院長之職位，係由總統直接任命，毋因須再經由立法院之同意；此種之機制，遭受以下之批評</w:t>
      </w:r>
      <w:r w:rsidR="00203F72" w:rsidRPr="00D73718">
        <w:footnoteReference w:id="154"/>
      </w:r>
      <w:r w:rsidR="00203F72" w:rsidRPr="00D73718">
        <w:t>：</w:t>
      </w:r>
      <w:r w:rsidR="00203F72" w:rsidRPr="00D73718">
        <w:t>1.</w:t>
      </w:r>
      <w:r w:rsidR="00203F72" w:rsidRPr="00D73718">
        <w:t>造成我國總統有權無責，因行政之責任，係由行政院院長承擔之；</w:t>
      </w:r>
      <w:r w:rsidR="00203F72" w:rsidRPr="00D73718">
        <w:t>2.</w:t>
      </w:r>
      <w:r w:rsidR="00203F72" w:rsidRPr="00D73718">
        <w:t>由於總統隨時可撤換或任命行政院院長，造成總統包攬行政大權；</w:t>
      </w:r>
      <w:r w:rsidR="00203F72" w:rsidRPr="00D73718">
        <w:t>3.</w:t>
      </w:r>
      <w:r w:rsidR="00203F72" w:rsidRPr="00D73718">
        <w:t>行政院院長個人本身淪落為總統之幕僚長；</w:t>
      </w:r>
      <w:r w:rsidR="00203F72" w:rsidRPr="00D73718">
        <w:t>4.</w:t>
      </w:r>
      <w:r w:rsidR="00203F72" w:rsidRPr="00D73718">
        <w:t>易造成憲政亂象；</w:t>
      </w:r>
      <w:r w:rsidR="00203F72" w:rsidRPr="00D73718">
        <w:t>5.</w:t>
      </w:r>
      <w:r w:rsidR="00203F72" w:rsidRPr="00D73718">
        <w:t>嚴重地牴觸憲法</w:t>
      </w:r>
      <w:hyperlink r:id="rId1475" w:anchor="a53" w:history="1">
        <w:r w:rsidR="00142D4A" w:rsidRPr="00142D4A">
          <w:rPr>
            <w:rStyle w:val="a5"/>
          </w:rPr>
          <w:t>第53條</w:t>
        </w:r>
      </w:hyperlink>
      <w:r w:rsidR="00203F72" w:rsidRPr="00D73718">
        <w:t>之內容，行政院為我國最高行政機關之規定。</w:t>
      </w:r>
    </w:p>
    <w:p w14:paraId="14E17EA3" w14:textId="77777777" w:rsidR="0004558E" w:rsidRPr="00D73718" w:rsidRDefault="0004558E" w:rsidP="00D87D91"/>
    <w:p w14:paraId="29C4003E" w14:textId="4E29B387" w:rsidR="00203F72" w:rsidRPr="00D73718" w:rsidRDefault="00B03E84" w:rsidP="00D87D91">
      <w:r w:rsidRPr="00D73718">
        <w:t>【</w:t>
      </w:r>
      <w:r w:rsidRPr="00D73718">
        <w:t>table</w:t>
      </w:r>
      <w:r w:rsidR="005E23E3" w:rsidRPr="00D73718">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81</w:t>
      </w:r>
      <w:r w:rsidR="00076467">
        <w:rPr>
          <w:noProof/>
        </w:rPr>
        <w:fldChar w:fldCharType="end"/>
      </w:r>
      <w:r w:rsidR="00203F72" w:rsidRPr="00D73718">
        <w:t>總統獨享權力</w:t>
      </w:r>
      <w:r w:rsidR="00203F72" w:rsidRPr="00D73718">
        <w:t>(</w:t>
      </w:r>
      <w:r w:rsidR="00203F72" w:rsidRPr="00D73718">
        <w:t>無須行政院長副署</w:t>
      </w:r>
      <w:r w:rsidR="00203F72" w:rsidRPr="00D73718">
        <w:t>)</w:t>
      </w:r>
      <w:r w:rsidR="00203F72" w:rsidRPr="00D73718">
        <w:t>之一覽表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1977"/>
        <w:gridCol w:w="5114"/>
      </w:tblGrid>
      <w:tr w:rsidR="00203F72" w:rsidRPr="00A53581" w14:paraId="25F3BD08" w14:textId="77777777" w:rsidTr="00E16174">
        <w:trPr>
          <w:tblHeader/>
        </w:trPr>
        <w:tc>
          <w:tcPr>
            <w:tcW w:w="534" w:type="pct"/>
            <w:shd w:val="clear" w:color="auto" w:fill="FAF0FA"/>
          </w:tcPr>
          <w:p w14:paraId="5F4A19DF" w14:textId="77777777" w:rsidR="00203F72" w:rsidRPr="00A53581" w:rsidRDefault="00203F72" w:rsidP="00D87D91">
            <w:r w:rsidRPr="00A53581">
              <w:t>權限</w:t>
            </w:r>
          </w:p>
        </w:tc>
        <w:tc>
          <w:tcPr>
            <w:tcW w:w="1245" w:type="pct"/>
            <w:shd w:val="clear" w:color="auto" w:fill="FAF0FA"/>
          </w:tcPr>
          <w:p w14:paraId="38CF6790" w14:textId="77777777" w:rsidR="00203F72" w:rsidRPr="00A53581" w:rsidRDefault="00203F72" w:rsidP="00D87D91">
            <w:r w:rsidRPr="00A53581">
              <w:t>項目</w:t>
            </w:r>
          </w:p>
        </w:tc>
        <w:tc>
          <w:tcPr>
            <w:tcW w:w="3222" w:type="pct"/>
            <w:shd w:val="clear" w:color="auto" w:fill="FAF0FA"/>
          </w:tcPr>
          <w:p w14:paraId="07C4DA34" w14:textId="77777777" w:rsidR="00203F72" w:rsidRPr="00A53581" w:rsidRDefault="00203F72" w:rsidP="00D87D91">
            <w:r w:rsidRPr="00A53581">
              <w:t>條文內容</w:t>
            </w:r>
          </w:p>
        </w:tc>
      </w:tr>
      <w:tr w:rsidR="00203F72" w:rsidRPr="00A53581" w14:paraId="132B4ACE" w14:textId="77777777" w:rsidTr="00203F72">
        <w:tc>
          <w:tcPr>
            <w:tcW w:w="534" w:type="pct"/>
            <w:shd w:val="clear" w:color="auto" w:fill="auto"/>
          </w:tcPr>
          <w:p w14:paraId="12A7A1F8" w14:textId="77777777" w:rsidR="00203F72" w:rsidRPr="00A53581" w:rsidRDefault="00203F72" w:rsidP="00D87D91">
            <w:r w:rsidRPr="00A53581">
              <w:t>閣揆任命權</w:t>
            </w:r>
          </w:p>
        </w:tc>
        <w:tc>
          <w:tcPr>
            <w:tcW w:w="1245" w:type="pct"/>
            <w:shd w:val="clear" w:color="auto" w:fill="auto"/>
          </w:tcPr>
          <w:p w14:paraId="43FD5433" w14:textId="77777777" w:rsidR="00203F72" w:rsidRPr="00A53581" w:rsidRDefault="00203F72" w:rsidP="00D87D91">
            <w:r w:rsidRPr="00A53581">
              <w:t>任命行政院長</w:t>
            </w:r>
          </w:p>
        </w:tc>
        <w:tc>
          <w:tcPr>
            <w:tcW w:w="3222" w:type="pct"/>
            <w:shd w:val="clear" w:color="auto" w:fill="auto"/>
          </w:tcPr>
          <w:p w14:paraId="68940FB4" w14:textId="77777777" w:rsidR="00203F72" w:rsidRPr="00A53581" w:rsidRDefault="00203F72" w:rsidP="00D87D91">
            <w:r w:rsidRPr="00A53581">
              <w:rPr>
                <w:rFonts w:hint="eastAsia"/>
              </w:rPr>
              <w:t>憲法增修條</w:t>
            </w:r>
            <w:hyperlink r:id="rId1476" w:anchor="b3" w:history="1">
              <w:r w:rsidRPr="0004558E">
                <w:rPr>
                  <w:rStyle w:val="a5"/>
                  <w:rFonts w:eastAsia="新細明體" w:hint="eastAsia"/>
                </w:rPr>
                <w:t>文§</w:t>
              </w:r>
              <w:r w:rsidRPr="0004558E">
                <w:rPr>
                  <w:rStyle w:val="a5"/>
                  <w:rFonts w:eastAsia="新細明體"/>
                </w:rPr>
                <w:t>3</w:t>
              </w:r>
            </w:hyperlink>
            <w:r w:rsidRPr="00A53581">
              <w:t>Ⅰ</w:t>
            </w:r>
            <w:r w:rsidRPr="00A53581">
              <w:rPr>
                <w:rFonts w:hint="eastAsia"/>
              </w:rPr>
              <w:t>:</w:t>
            </w:r>
            <w:r w:rsidRPr="00A53581">
              <w:t>行政院院長由總統任命之。</w:t>
            </w:r>
          </w:p>
        </w:tc>
      </w:tr>
      <w:tr w:rsidR="00203F72" w:rsidRPr="00A53581" w14:paraId="0F53FD94" w14:textId="77777777" w:rsidTr="00203F72">
        <w:tc>
          <w:tcPr>
            <w:tcW w:w="534" w:type="pct"/>
            <w:shd w:val="clear" w:color="auto" w:fill="auto"/>
          </w:tcPr>
          <w:p w14:paraId="7EE16F37" w14:textId="77777777" w:rsidR="00203F72" w:rsidRPr="00A53581" w:rsidRDefault="00203F72" w:rsidP="00D87D91">
            <w:r w:rsidRPr="00A53581">
              <w:t>其他人事權</w:t>
            </w:r>
          </w:p>
        </w:tc>
        <w:tc>
          <w:tcPr>
            <w:tcW w:w="1245" w:type="pct"/>
            <w:shd w:val="clear" w:color="auto" w:fill="auto"/>
          </w:tcPr>
          <w:p w14:paraId="29747B88" w14:textId="77777777" w:rsidR="00203F72" w:rsidRPr="00A53581" w:rsidRDefault="00203F72" w:rsidP="00D87D91">
            <w:r w:rsidRPr="00A53581">
              <w:t>司法院、考試院和監察院之人事提名權</w:t>
            </w:r>
          </w:p>
        </w:tc>
        <w:tc>
          <w:tcPr>
            <w:tcW w:w="3222" w:type="pct"/>
            <w:shd w:val="clear" w:color="auto" w:fill="auto"/>
          </w:tcPr>
          <w:p w14:paraId="74B3CF45" w14:textId="77777777" w:rsidR="00953151" w:rsidRDefault="00203F72" w:rsidP="00D87D91">
            <w:r w:rsidRPr="00A53581">
              <w:rPr>
                <w:rFonts w:hint="eastAsia"/>
              </w:rPr>
              <w:t>憲法增修條</w:t>
            </w:r>
            <w:hyperlink r:id="rId1477" w:anchor="b5" w:history="1">
              <w:r w:rsidRPr="0004558E">
                <w:rPr>
                  <w:rStyle w:val="a5"/>
                  <w:rFonts w:eastAsia="新細明體" w:hint="eastAsia"/>
                </w:rPr>
                <w:t>文§</w:t>
              </w:r>
              <w:r w:rsidRPr="0004558E">
                <w:rPr>
                  <w:rStyle w:val="a5"/>
                  <w:rFonts w:eastAsia="新細明體"/>
                </w:rPr>
                <w:t>5</w:t>
              </w:r>
            </w:hyperlink>
            <w:r w:rsidRPr="00A53581">
              <w:t>Ⅰ</w:t>
            </w:r>
            <w:r w:rsidRPr="00A53581">
              <w:t>：司法院設大法官</w:t>
            </w:r>
            <w:r w:rsidRPr="00A53581">
              <w:t>15</w:t>
            </w:r>
            <w:r w:rsidRPr="00A53581">
              <w:t>人，並以其中</w:t>
            </w:r>
            <w:r w:rsidRPr="00A53581">
              <w:t>1</w:t>
            </w:r>
            <w:r w:rsidRPr="00A53581">
              <w:t>人為院長、</w:t>
            </w:r>
            <w:r w:rsidRPr="00A53581">
              <w:t>1</w:t>
            </w:r>
            <w:r w:rsidRPr="00A53581">
              <w:t>人為副院長，由總統提名經立法院同意任命之。</w:t>
            </w:r>
          </w:p>
          <w:p w14:paraId="3123731E" w14:textId="77777777" w:rsidR="00953151" w:rsidRDefault="00203F72" w:rsidP="00D87D91">
            <w:r w:rsidRPr="00A53581">
              <w:rPr>
                <w:rFonts w:hint="eastAsia"/>
              </w:rPr>
              <w:t>憲法增修條</w:t>
            </w:r>
            <w:hyperlink r:id="rId1478" w:anchor="b6" w:history="1">
              <w:r w:rsidRPr="0004558E">
                <w:rPr>
                  <w:rStyle w:val="a5"/>
                  <w:rFonts w:eastAsia="新細明體" w:hint="eastAsia"/>
                </w:rPr>
                <w:t>文§</w:t>
              </w:r>
              <w:r w:rsidRPr="0004558E">
                <w:rPr>
                  <w:rStyle w:val="a5"/>
                  <w:rFonts w:eastAsia="新細明體"/>
                </w:rPr>
                <w:t>6</w:t>
              </w:r>
            </w:hyperlink>
            <w:r w:rsidRPr="00A53581">
              <w:rPr>
                <w:rFonts w:hint="eastAsia"/>
              </w:rPr>
              <w:t>Ⅱ</w:t>
            </w:r>
            <w:r w:rsidRPr="00A53581">
              <w:t>：考試院設院長、副院長各</w:t>
            </w:r>
            <w:r w:rsidRPr="00A53581">
              <w:t>1</w:t>
            </w:r>
            <w:r w:rsidRPr="00A53581">
              <w:t>人，考試委員若干人，由總統提名，經立法院同意任命之。</w:t>
            </w:r>
          </w:p>
          <w:p w14:paraId="380412DA" w14:textId="77777777" w:rsidR="00203F72" w:rsidRPr="00A53581" w:rsidRDefault="00203F72" w:rsidP="00D87D91">
            <w:r w:rsidRPr="00A53581">
              <w:rPr>
                <w:rFonts w:hint="eastAsia"/>
              </w:rPr>
              <w:t>憲法增修條</w:t>
            </w:r>
            <w:hyperlink r:id="rId1479" w:anchor="b7" w:history="1">
              <w:r w:rsidRPr="0004558E">
                <w:rPr>
                  <w:rStyle w:val="a5"/>
                  <w:rFonts w:eastAsia="新細明體" w:hint="eastAsia"/>
                </w:rPr>
                <w:t>文§</w:t>
              </w:r>
              <w:r w:rsidRPr="0004558E">
                <w:rPr>
                  <w:rStyle w:val="a5"/>
                  <w:rFonts w:eastAsia="新細明體"/>
                </w:rPr>
                <w:t>7</w:t>
              </w:r>
            </w:hyperlink>
            <w:r w:rsidRPr="00A53581">
              <w:rPr>
                <w:rFonts w:hint="eastAsia"/>
              </w:rPr>
              <w:t>Ⅱ</w:t>
            </w:r>
            <w:r w:rsidRPr="00A53581">
              <w:t>：監察院設監察委員</w:t>
            </w:r>
            <w:r w:rsidRPr="00A53581">
              <w:t>29</w:t>
            </w:r>
            <w:r w:rsidRPr="00A53581">
              <w:t>人，並以其中</w:t>
            </w:r>
            <w:r w:rsidRPr="00A53581">
              <w:t>1</w:t>
            </w:r>
            <w:r w:rsidRPr="00A53581">
              <w:t>人為院長、</w:t>
            </w:r>
            <w:r w:rsidRPr="00A53581">
              <w:t>1</w:t>
            </w:r>
            <w:r w:rsidRPr="00A53581">
              <w:t>人為副院長，任期六年，由總統提名，經立法院同意任命之</w:t>
            </w:r>
          </w:p>
        </w:tc>
      </w:tr>
      <w:tr w:rsidR="00203F72" w:rsidRPr="00A53581" w14:paraId="2B3D2F25" w14:textId="77777777" w:rsidTr="00203F72">
        <w:tc>
          <w:tcPr>
            <w:tcW w:w="534" w:type="pct"/>
            <w:shd w:val="clear" w:color="auto" w:fill="auto"/>
          </w:tcPr>
          <w:p w14:paraId="2433DC14" w14:textId="77777777" w:rsidR="00203F72" w:rsidRPr="00A53581" w:rsidRDefault="00203F72" w:rsidP="00D87D91"/>
        </w:tc>
        <w:tc>
          <w:tcPr>
            <w:tcW w:w="1245" w:type="pct"/>
            <w:shd w:val="clear" w:color="auto" w:fill="auto"/>
          </w:tcPr>
          <w:p w14:paraId="748E9F6A" w14:textId="77777777" w:rsidR="00203F72" w:rsidRPr="00A53581" w:rsidRDefault="00203F72" w:rsidP="00D87D91">
            <w:r w:rsidRPr="00A53581">
              <w:t>副總統缺位之補提名</w:t>
            </w:r>
          </w:p>
        </w:tc>
        <w:tc>
          <w:tcPr>
            <w:tcW w:w="3222" w:type="pct"/>
            <w:shd w:val="clear" w:color="auto" w:fill="auto"/>
          </w:tcPr>
          <w:p w14:paraId="1E868F89" w14:textId="77777777" w:rsidR="00203F72" w:rsidRPr="00A53581" w:rsidRDefault="00203F72" w:rsidP="00D87D91">
            <w:r w:rsidRPr="00A53581">
              <w:rPr>
                <w:rFonts w:hint="eastAsia"/>
              </w:rPr>
              <w:t>憲法增修條</w:t>
            </w:r>
            <w:hyperlink r:id="rId1480" w:anchor="b2" w:history="1">
              <w:r w:rsidRPr="0004558E">
                <w:rPr>
                  <w:rStyle w:val="a5"/>
                  <w:rFonts w:eastAsia="新細明體" w:hint="eastAsia"/>
                </w:rPr>
                <w:t>文§</w:t>
              </w:r>
              <w:r w:rsidRPr="0004558E">
                <w:rPr>
                  <w:rStyle w:val="a5"/>
                  <w:rFonts w:eastAsia="新細明體"/>
                </w:rPr>
                <w:t>2</w:t>
              </w:r>
            </w:hyperlink>
            <w:r w:rsidRPr="00A53581">
              <w:t>VII</w:t>
            </w:r>
            <w:r w:rsidRPr="00A53581">
              <w:t>：副總統缺位時，總統應於三個月內提名候選人，由立法院補選，繼任至原任期屆滿為止</w:t>
            </w:r>
          </w:p>
        </w:tc>
      </w:tr>
      <w:tr w:rsidR="00203F72" w:rsidRPr="00A53581" w14:paraId="29CC8190" w14:textId="77777777" w:rsidTr="00203F72">
        <w:tc>
          <w:tcPr>
            <w:tcW w:w="534" w:type="pct"/>
            <w:shd w:val="clear" w:color="auto" w:fill="auto"/>
          </w:tcPr>
          <w:p w14:paraId="65467701" w14:textId="77777777" w:rsidR="00203F72" w:rsidRPr="00A53581" w:rsidRDefault="00203F72" w:rsidP="00D87D91">
            <w:r w:rsidRPr="00A53581">
              <w:t>發表咨文權</w:t>
            </w:r>
          </w:p>
        </w:tc>
        <w:tc>
          <w:tcPr>
            <w:tcW w:w="1245" w:type="pct"/>
            <w:shd w:val="clear" w:color="auto" w:fill="auto"/>
          </w:tcPr>
          <w:p w14:paraId="5B505606" w14:textId="77777777" w:rsidR="00203F72" w:rsidRPr="00A53581" w:rsidRDefault="00203F72" w:rsidP="00D87D91">
            <w:r w:rsidRPr="00A53581">
              <w:t>向立法院國情報告</w:t>
            </w:r>
          </w:p>
        </w:tc>
        <w:tc>
          <w:tcPr>
            <w:tcW w:w="3222" w:type="pct"/>
            <w:shd w:val="clear" w:color="auto" w:fill="auto"/>
          </w:tcPr>
          <w:p w14:paraId="34011D44" w14:textId="77777777" w:rsidR="00203F72" w:rsidRPr="00A53581" w:rsidRDefault="00203F72" w:rsidP="00D87D91">
            <w:r w:rsidRPr="00A53581">
              <w:rPr>
                <w:rFonts w:hint="eastAsia"/>
              </w:rPr>
              <w:t>憲法增修條</w:t>
            </w:r>
            <w:hyperlink r:id="rId1481" w:anchor="b4" w:history="1">
              <w:r w:rsidRPr="0004558E">
                <w:rPr>
                  <w:rStyle w:val="a5"/>
                  <w:rFonts w:eastAsia="新細明體" w:hint="eastAsia"/>
                </w:rPr>
                <w:t>文§</w:t>
              </w:r>
              <w:r w:rsidRPr="0004558E">
                <w:rPr>
                  <w:rStyle w:val="a5"/>
                  <w:rFonts w:eastAsia="新細明體"/>
                </w:rPr>
                <w:t>4</w:t>
              </w:r>
            </w:hyperlink>
            <w:r w:rsidRPr="00A53581">
              <w:rPr>
                <w:rFonts w:hint="eastAsia"/>
              </w:rPr>
              <w:t>Ⅲ</w:t>
            </w:r>
            <w:r w:rsidRPr="00A53581">
              <w:t>：立法院於每年集會時，得聽取總統國情報告</w:t>
            </w:r>
          </w:p>
        </w:tc>
      </w:tr>
      <w:tr w:rsidR="00203F72" w:rsidRPr="00A53581" w14:paraId="17CBC79F" w14:textId="77777777" w:rsidTr="00203F72">
        <w:tc>
          <w:tcPr>
            <w:tcW w:w="534" w:type="pct"/>
            <w:shd w:val="clear" w:color="auto" w:fill="auto"/>
          </w:tcPr>
          <w:p w14:paraId="25932C35" w14:textId="77777777" w:rsidR="00203F72" w:rsidRPr="00A53581" w:rsidRDefault="00203F72" w:rsidP="00D87D91">
            <w:r w:rsidRPr="00A53581">
              <w:t>主持會議</w:t>
            </w:r>
          </w:p>
        </w:tc>
        <w:tc>
          <w:tcPr>
            <w:tcW w:w="1245" w:type="pct"/>
            <w:shd w:val="clear" w:color="auto" w:fill="auto"/>
          </w:tcPr>
          <w:p w14:paraId="1A13BE41" w14:textId="77777777" w:rsidR="00203F72" w:rsidRPr="00A53581" w:rsidRDefault="00203F72" w:rsidP="00D87D91">
            <w:r w:rsidRPr="00A53581">
              <w:t>主持國家安全會議</w:t>
            </w:r>
          </w:p>
        </w:tc>
        <w:tc>
          <w:tcPr>
            <w:tcW w:w="3222" w:type="pct"/>
            <w:shd w:val="clear" w:color="auto" w:fill="auto"/>
          </w:tcPr>
          <w:p w14:paraId="027684A8" w14:textId="77777777" w:rsidR="00203F72" w:rsidRPr="00A53581" w:rsidRDefault="00203F72" w:rsidP="00D87D91">
            <w:r w:rsidRPr="00A53581">
              <w:rPr>
                <w:rFonts w:hint="eastAsia"/>
              </w:rPr>
              <w:t>憲法增修條</w:t>
            </w:r>
            <w:hyperlink r:id="rId1482" w:anchor="b2" w:history="1">
              <w:r w:rsidRPr="0004558E">
                <w:rPr>
                  <w:rStyle w:val="a5"/>
                  <w:rFonts w:eastAsia="新細明體" w:hint="eastAsia"/>
                </w:rPr>
                <w:t>文</w:t>
              </w:r>
              <w:r w:rsidRPr="0004558E">
                <w:rPr>
                  <w:rStyle w:val="a5"/>
                  <w:rFonts w:eastAsia="新細明體"/>
                </w:rPr>
                <w:t>§2</w:t>
              </w:r>
            </w:hyperlink>
            <w:r w:rsidRPr="00A53581">
              <w:rPr>
                <w:rFonts w:hint="eastAsia"/>
              </w:rPr>
              <w:t>ⅠⅤ</w:t>
            </w:r>
            <w:r w:rsidRPr="00A53581">
              <w:t>：總統為決定國家安全有關大政方針，得設國家安全會議及所屬國家安全局，其組織以法律定之</w:t>
            </w:r>
          </w:p>
        </w:tc>
      </w:tr>
      <w:tr w:rsidR="00203F72" w:rsidRPr="00A53581" w14:paraId="5BDD63CC" w14:textId="77777777" w:rsidTr="00203F72">
        <w:tc>
          <w:tcPr>
            <w:tcW w:w="534" w:type="pct"/>
            <w:vMerge w:val="restart"/>
            <w:shd w:val="clear" w:color="auto" w:fill="auto"/>
          </w:tcPr>
          <w:p w14:paraId="7FB5E724" w14:textId="77777777" w:rsidR="00203F72" w:rsidRPr="00A53581" w:rsidRDefault="00203F72" w:rsidP="00D87D91">
            <w:r w:rsidRPr="00A53581">
              <w:t>調節權</w:t>
            </w:r>
          </w:p>
        </w:tc>
        <w:tc>
          <w:tcPr>
            <w:tcW w:w="1245" w:type="pct"/>
            <w:shd w:val="clear" w:color="auto" w:fill="auto"/>
          </w:tcPr>
          <w:p w14:paraId="007152C2" w14:textId="77777777" w:rsidR="00203F72" w:rsidRPr="00A53581" w:rsidRDefault="00203F72" w:rsidP="00D87D91">
            <w:r w:rsidRPr="00A53581">
              <w:t>院際爭執解決權</w:t>
            </w:r>
          </w:p>
        </w:tc>
        <w:tc>
          <w:tcPr>
            <w:tcW w:w="3222" w:type="pct"/>
            <w:shd w:val="clear" w:color="auto" w:fill="auto"/>
          </w:tcPr>
          <w:p w14:paraId="16808790" w14:textId="77777777" w:rsidR="00203F72" w:rsidRPr="00A53581" w:rsidRDefault="00203F72" w:rsidP="00D87D91">
            <w:r w:rsidRPr="00A53581">
              <w:t>憲法</w:t>
            </w:r>
            <w:hyperlink r:id="rId1483" w:anchor="a44" w:history="1">
              <w:r w:rsidRPr="0004558E">
                <w:rPr>
                  <w:rStyle w:val="a5"/>
                  <w:rFonts w:eastAsia="新細明體"/>
                </w:rPr>
                <w:t>§44</w:t>
              </w:r>
            </w:hyperlink>
            <w:r w:rsidRPr="00A53581">
              <w:t>：總統對於院與院間之爭執，除本憲法有規定者外，得召集有關各院院長會商解決之</w:t>
            </w:r>
          </w:p>
        </w:tc>
      </w:tr>
      <w:tr w:rsidR="00203F72" w:rsidRPr="00A53581" w14:paraId="2C987072" w14:textId="77777777" w:rsidTr="00203F72">
        <w:tc>
          <w:tcPr>
            <w:tcW w:w="534" w:type="pct"/>
            <w:vMerge/>
            <w:shd w:val="clear" w:color="auto" w:fill="auto"/>
          </w:tcPr>
          <w:p w14:paraId="574A6F33" w14:textId="77777777" w:rsidR="00203F72" w:rsidRPr="00A53581" w:rsidRDefault="00203F72" w:rsidP="00D87D91"/>
        </w:tc>
        <w:tc>
          <w:tcPr>
            <w:tcW w:w="1245" w:type="pct"/>
            <w:shd w:val="clear" w:color="auto" w:fill="auto"/>
          </w:tcPr>
          <w:p w14:paraId="5D98D0D7" w14:textId="77777777" w:rsidR="00203F72" w:rsidRPr="00A53581" w:rsidRDefault="00203F72" w:rsidP="00D87D91">
            <w:r w:rsidRPr="00A53581">
              <w:t>核可覆議權</w:t>
            </w:r>
          </w:p>
        </w:tc>
        <w:tc>
          <w:tcPr>
            <w:tcW w:w="3222" w:type="pct"/>
            <w:shd w:val="clear" w:color="auto" w:fill="auto"/>
          </w:tcPr>
          <w:p w14:paraId="4A90B5BA" w14:textId="77777777" w:rsidR="00203F72" w:rsidRPr="00A53581" w:rsidRDefault="00203F72" w:rsidP="00D87D91">
            <w:r w:rsidRPr="00A53581">
              <w:rPr>
                <w:rFonts w:hint="eastAsia"/>
              </w:rPr>
              <w:t>憲法增修條</w:t>
            </w:r>
            <w:hyperlink r:id="rId1484" w:anchor="b3" w:history="1">
              <w:r w:rsidRPr="0004558E">
                <w:rPr>
                  <w:rStyle w:val="a5"/>
                  <w:rFonts w:eastAsia="新細明體" w:hint="eastAsia"/>
                </w:rPr>
                <w:t>文§</w:t>
              </w:r>
              <w:r w:rsidRPr="0004558E">
                <w:rPr>
                  <w:rStyle w:val="a5"/>
                  <w:rFonts w:eastAsia="新細明體"/>
                </w:rPr>
                <w:t>3</w:t>
              </w:r>
            </w:hyperlink>
            <w:r w:rsidRPr="00A53581">
              <w:rPr>
                <w:rFonts w:hint="eastAsia"/>
              </w:rPr>
              <w:t>Ⅱ</w:t>
            </w:r>
            <w:r w:rsidRPr="00A53581">
              <w:t>：行政院對於立法院決議之法律案、預算案、條約案，如認為有窒礙難行時，得經總統之核可，於該決議案送達行政院</w:t>
            </w:r>
            <w:r w:rsidRPr="00A53581">
              <w:t>10</w:t>
            </w:r>
            <w:r w:rsidRPr="00A53581">
              <w:t>日內，移請立法院覆議</w:t>
            </w:r>
          </w:p>
        </w:tc>
      </w:tr>
    </w:tbl>
    <w:p w14:paraId="6F1E9104" w14:textId="77777777" w:rsidR="00203F72" w:rsidRPr="00D73718" w:rsidRDefault="002107CE" w:rsidP="00D87D91">
      <w:r w:rsidRPr="00D73718">
        <w:t>【本表格資料來源】</w:t>
      </w:r>
      <w:r w:rsidR="00203F72" w:rsidRPr="00D73718">
        <w:t>楊智傑</w:t>
      </w:r>
      <w:r w:rsidR="00203F72" w:rsidRPr="00D73718">
        <w:t>(2010)</w:t>
      </w:r>
      <w:r w:rsidR="00203F72" w:rsidRPr="00D73718">
        <w:t>，圖解憲法，二版</w:t>
      </w:r>
      <w:r w:rsidR="00203F72" w:rsidRPr="00D73718">
        <w:t>1</w:t>
      </w:r>
      <w:r w:rsidR="00203F72" w:rsidRPr="00D73718">
        <w:t>刷，台北市：書泉出版社，第</w:t>
      </w:r>
      <w:r w:rsidR="00203F72" w:rsidRPr="00D73718">
        <w:t>73</w:t>
      </w:r>
      <w:r w:rsidR="00203F72" w:rsidRPr="00D73718">
        <w:t>頁</w:t>
      </w:r>
      <w:r w:rsidR="00545D58" w:rsidRPr="00D73718">
        <w:t>。</w:t>
      </w:r>
    </w:p>
    <w:p w14:paraId="02AE2ADC" w14:textId="77777777" w:rsidR="00953151" w:rsidRPr="00D73718" w:rsidRDefault="007F7377" w:rsidP="00D87D91">
      <w:r w:rsidRPr="00D73718">
        <w:t>【備註】</w:t>
      </w:r>
      <w:r w:rsidR="00203F72" w:rsidRPr="00D73718">
        <w:t>羅馬數字之意義，</w:t>
      </w:r>
      <w:r w:rsidR="00203F72" w:rsidRPr="00D73718">
        <w:t>I</w:t>
      </w:r>
      <w:r w:rsidR="00203F72" w:rsidRPr="00D73718">
        <w:rPr>
          <w:rFonts w:hint="eastAsia"/>
        </w:rPr>
        <w:t>-1</w:t>
      </w:r>
      <w:r w:rsidR="00203F72" w:rsidRPr="00D73718">
        <w:rPr>
          <w:rFonts w:hint="eastAsia"/>
        </w:rPr>
        <w:t>；</w:t>
      </w:r>
      <w:r w:rsidR="00203F72" w:rsidRPr="00D73718">
        <w:t>II</w:t>
      </w:r>
      <w:r w:rsidR="00203F72" w:rsidRPr="00D73718">
        <w:rPr>
          <w:rFonts w:hint="eastAsia"/>
        </w:rPr>
        <w:t>-</w:t>
      </w:r>
      <w:r w:rsidR="00203F72" w:rsidRPr="00D73718">
        <w:t>2</w:t>
      </w:r>
      <w:r w:rsidR="00203F72" w:rsidRPr="00D73718">
        <w:t>；</w:t>
      </w:r>
      <w:r w:rsidR="00203F72" w:rsidRPr="00D73718">
        <w:t>III</w:t>
      </w:r>
      <w:r w:rsidR="00203F72" w:rsidRPr="00D73718">
        <w:rPr>
          <w:rFonts w:hint="eastAsia"/>
        </w:rPr>
        <w:t>-</w:t>
      </w:r>
      <w:r w:rsidR="00203F72" w:rsidRPr="00D73718">
        <w:t>3</w:t>
      </w:r>
      <w:r w:rsidR="00203F72" w:rsidRPr="00D73718">
        <w:t>；</w:t>
      </w:r>
      <w:r w:rsidR="00203F72" w:rsidRPr="00D73718">
        <w:t>IV</w:t>
      </w:r>
      <w:r w:rsidR="00203F72" w:rsidRPr="00D73718">
        <w:rPr>
          <w:rFonts w:hint="eastAsia"/>
        </w:rPr>
        <w:t>-</w:t>
      </w:r>
      <w:r w:rsidR="00203F72" w:rsidRPr="00D73718">
        <w:t>4</w:t>
      </w:r>
      <w:r w:rsidR="00203F72" w:rsidRPr="00D73718">
        <w:t>；</w:t>
      </w:r>
      <w:r w:rsidR="00203F72" w:rsidRPr="00D73718">
        <w:t>V</w:t>
      </w:r>
      <w:r w:rsidR="00203F72" w:rsidRPr="00D73718">
        <w:rPr>
          <w:rFonts w:hint="eastAsia"/>
        </w:rPr>
        <w:t>-</w:t>
      </w:r>
      <w:r w:rsidR="00203F72" w:rsidRPr="00D73718">
        <w:t>5</w:t>
      </w:r>
      <w:r w:rsidR="00203F72" w:rsidRPr="00D73718">
        <w:t>；</w:t>
      </w:r>
      <w:r w:rsidR="00203F72" w:rsidRPr="00D73718">
        <w:t>VI</w:t>
      </w:r>
      <w:r w:rsidR="00203F72" w:rsidRPr="00D73718">
        <w:rPr>
          <w:rFonts w:hint="eastAsia"/>
        </w:rPr>
        <w:t>-6</w:t>
      </w:r>
      <w:r w:rsidR="00203F72" w:rsidRPr="00D73718">
        <w:rPr>
          <w:rFonts w:hint="eastAsia"/>
        </w:rPr>
        <w:t>；</w:t>
      </w:r>
      <w:r w:rsidR="00203F72" w:rsidRPr="00D73718">
        <w:t>VII</w:t>
      </w:r>
      <w:r w:rsidR="00203F72" w:rsidRPr="00D73718">
        <w:rPr>
          <w:rFonts w:hint="eastAsia"/>
        </w:rPr>
        <w:t>-</w:t>
      </w:r>
      <w:r w:rsidR="00203F72" w:rsidRPr="00D73718">
        <w:t>7</w:t>
      </w:r>
      <w:r w:rsidR="00203F72" w:rsidRPr="00D73718">
        <w:t>；</w:t>
      </w:r>
      <w:r w:rsidR="00203F72" w:rsidRPr="00D73718">
        <w:t>VIII</w:t>
      </w:r>
      <w:r w:rsidR="00203F72" w:rsidRPr="00D73718">
        <w:rPr>
          <w:rFonts w:hint="eastAsia"/>
        </w:rPr>
        <w:t>-</w:t>
      </w:r>
      <w:r w:rsidR="00203F72" w:rsidRPr="00D73718">
        <w:t>8</w:t>
      </w:r>
      <w:r w:rsidR="00203F72" w:rsidRPr="00D73718">
        <w:t>；</w:t>
      </w:r>
      <w:r w:rsidR="00203F72" w:rsidRPr="00D73718">
        <w:t>IX</w:t>
      </w:r>
      <w:r w:rsidR="00203F72" w:rsidRPr="00D73718">
        <w:rPr>
          <w:rFonts w:hint="eastAsia"/>
        </w:rPr>
        <w:t>-</w:t>
      </w:r>
      <w:r w:rsidR="00203F72" w:rsidRPr="00D73718">
        <w:t>9</w:t>
      </w:r>
      <w:r w:rsidR="00203F72" w:rsidRPr="00D73718">
        <w:t>；</w:t>
      </w:r>
      <w:r w:rsidR="00203F72" w:rsidRPr="00D73718">
        <w:t>X</w:t>
      </w:r>
      <w:r w:rsidR="00203F72" w:rsidRPr="00D73718">
        <w:rPr>
          <w:rFonts w:hint="eastAsia"/>
        </w:rPr>
        <w:t>-10</w:t>
      </w:r>
      <w:r w:rsidR="00203F72" w:rsidRPr="00D73718">
        <w:rPr>
          <w:rFonts w:hint="eastAsia"/>
        </w:rPr>
        <w:t>。</w:t>
      </w:r>
    </w:p>
    <w:p w14:paraId="6EAEFCAE" w14:textId="77777777" w:rsidR="00953151" w:rsidRPr="00D73718" w:rsidRDefault="00367D0C" w:rsidP="00D87D91">
      <w:r w:rsidRPr="00D73718">
        <w:t xml:space="preserve">　　</w:t>
      </w:r>
      <w:r w:rsidR="00203F72" w:rsidRPr="00D73718">
        <w:t>就憲法增修條</w:t>
      </w:r>
      <w:r w:rsidR="00E16174" w:rsidRPr="00D73718">
        <w:t>文</w:t>
      </w:r>
      <w:hyperlink r:id="rId1485"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2</w:t>
      </w:r>
      <w:r w:rsidR="00203F72" w:rsidRPr="00D73718">
        <w:t>項第</w:t>
      </w:r>
      <w:r w:rsidR="00203F72" w:rsidRPr="00D73718">
        <w:t>2</w:t>
      </w:r>
      <w:r w:rsidR="00203F72" w:rsidRPr="00D73718">
        <w:t>款而論，係規範覆議案之行使流程；本款具有以下之若干重要特色</w:t>
      </w:r>
      <w:r w:rsidR="00203F72" w:rsidRPr="00D73718">
        <w:footnoteReference w:id="155"/>
      </w:r>
      <w:r w:rsidR="00203F72" w:rsidRPr="00D73718">
        <w:t>：</w:t>
      </w:r>
      <w:r w:rsidR="00203F72" w:rsidRPr="00D73718">
        <w:t>1.</w:t>
      </w:r>
      <w:r w:rsidR="00203F72" w:rsidRPr="00D73718">
        <w:t>行政院向立法院提出覆議案，是行政權對國會進行有效節制之手段與工具；</w:t>
      </w:r>
      <w:r w:rsidR="00203F72" w:rsidRPr="00D73718">
        <w:t>2.</w:t>
      </w:r>
      <w:r w:rsidR="00203F72" w:rsidRPr="00D73718">
        <w:t>它屬於行政院之「否決權力」；</w:t>
      </w:r>
      <w:r w:rsidR="00203F72" w:rsidRPr="00D73718">
        <w:t>3.</w:t>
      </w:r>
      <w:r w:rsidR="00203F72" w:rsidRPr="00D73718">
        <w:t>我國允許行政院針對單條之條文提出覆議案；</w:t>
      </w:r>
      <w:r w:rsidR="00203F72" w:rsidRPr="00D73718">
        <w:t>4.</w:t>
      </w:r>
      <w:r w:rsidR="00203F72" w:rsidRPr="00D73718">
        <w:t>行政院向立法院提出覆議案之次數，自行憲以來，並不多見；</w:t>
      </w:r>
      <w:r w:rsidR="00203F72" w:rsidRPr="00D73718">
        <w:t>5.</w:t>
      </w:r>
      <w:r w:rsidR="00203F72" w:rsidRPr="00D73718">
        <w:t>立法院對於覆議案之處理，應於送達</w:t>
      </w:r>
      <w:r w:rsidR="00203F72" w:rsidRPr="00D73718">
        <w:t>15</w:t>
      </w:r>
      <w:r w:rsidR="00203F72" w:rsidRPr="00D73718">
        <w:t>日內作成決議；</w:t>
      </w:r>
      <w:r w:rsidR="00203F72" w:rsidRPr="00D73718">
        <w:t>6.</w:t>
      </w:r>
      <w:r w:rsidR="00203F72" w:rsidRPr="00D73718">
        <w:t>如為休會期間，立法院應於</w:t>
      </w:r>
      <w:r w:rsidR="00203F72" w:rsidRPr="00D73718">
        <w:t>7</w:t>
      </w:r>
      <w:r w:rsidR="00203F72" w:rsidRPr="00D73718">
        <w:t>日內自行集會，並於開議後</w:t>
      </w:r>
      <w:r w:rsidR="00203F72" w:rsidRPr="00D73718">
        <w:t>15</w:t>
      </w:r>
      <w:r w:rsidR="00203F72" w:rsidRPr="00D73718">
        <w:t>日內作成決議，亦即，立法院必須「限時處理」覆議案；</w:t>
      </w:r>
      <w:r w:rsidR="00203F72" w:rsidRPr="00D73718">
        <w:t>7.</w:t>
      </w:r>
      <w:r w:rsidR="00203F72" w:rsidRPr="00D73718">
        <w:t>覆議門檻之限制，設定為二分之一；</w:t>
      </w:r>
      <w:r w:rsidR="00203F72" w:rsidRPr="00D73718">
        <w:t>8.</w:t>
      </w:r>
      <w:r w:rsidR="00203F72" w:rsidRPr="00D73718">
        <w:t>在覆議決議法效果方面，如通過覆議門檻二分之一之限制，行政院院長應即接受該決議案。</w:t>
      </w:r>
    </w:p>
    <w:p w14:paraId="4A209959" w14:textId="77777777" w:rsidR="00953151" w:rsidRPr="00D73718" w:rsidRDefault="00367D0C" w:rsidP="00D87D91">
      <w:r w:rsidRPr="00D73718">
        <w:t xml:space="preserve">　　</w:t>
      </w:r>
      <w:r w:rsidR="00203F72" w:rsidRPr="00D73718">
        <w:t>就憲法增修條</w:t>
      </w:r>
      <w:r w:rsidR="00E16174" w:rsidRPr="00D73718">
        <w:t>文</w:t>
      </w:r>
      <w:hyperlink r:id="rId1486"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2</w:t>
      </w:r>
      <w:r w:rsidR="00203F72" w:rsidRPr="00D73718">
        <w:t>項第</w:t>
      </w:r>
      <w:r w:rsidR="00203F72" w:rsidRPr="00D73718">
        <w:t>3</w:t>
      </w:r>
      <w:r w:rsidR="00203F72" w:rsidRPr="00D73718">
        <w:t>款而言，係規範立法院提出「不信任案」之流程。有關於國會對行政院院長之「信任」或「不信任」，在立憲之技術上，可從「不信任」之角度切入，亦可從「信任」之觀點著手。就我國而言，係從「不信任」行政院院長之角度進行立憲，它與德國之基本法有所不同。依據德國基本法第</w:t>
      </w:r>
      <w:r w:rsidR="00203F72" w:rsidRPr="00D73718">
        <w:t>68</w:t>
      </w:r>
      <w:r w:rsidR="00203F72" w:rsidRPr="00D73718">
        <w:t>條第</w:t>
      </w:r>
      <w:r w:rsidR="00203F72" w:rsidRPr="00D73718">
        <w:t>1</w:t>
      </w:r>
      <w:r w:rsidR="00203F72" w:rsidRPr="00D73718">
        <w:t>項之規範，聯邦內閣總理要求信任投票之提議，如未獲得聯邦議會議員超過半數之支持時，聯邦總統得經聯邦總理之請求，於</w:t>
      </w:r>
      <w:r w:rsidR="00203F72" w:rsidRPr="00D73718">
        <w:t>21</w:t>
      </w:r>
      <w:r w:rsidR="00203F72" w:rsidRPr="00D73718">
        <w:t>日之內，解散聯邦議會。根據上述之規範，關於信任投票案之提議，係由聯邦內閣總理自行主動要求；在信任投票門檻之限制方面，係為二分之一。</w:t>
      </w:r>
    </w:p>
    <w:p w14:paraId="5FA7B8BB" w14:textId="77777777" w:rsidR="00953151" w:rsidRDefault="00367D0C" w:rsidP="00D87D91">
      <w:r w:rsidRPr="00D73718">
        <w:t xml:space="preserve">　　</w:t>
      </w:r>
      <w:r w:rsidR="00203F72" w:rsidRPr="00D73718">
        <w:t>而我國不信任案之門檻，亦為二分之一，故二分之一之門檻，乃屬適切之標準；我國憲法增修條</w:t>
      </w:r>
      <w:r w:rsidR="00E16174" w:rsidRPr="00D73718">
        <w:t>文</w:t>
      </w:r>
      <w:hyperlink r:id="rId1487"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2</w:t>
      </w:r>
      <w:r w:rsidR="00203F72" w:rsidRPr="00D73718">
        <w:t>項第</w:t>
      </w:r>
      <w:r w:rsidR="00203F72" w:rsidRPr="00D73718">
        <w:t>3</w:t>
      </w:r>
      <w:r w:rsidR="00203F72" w:rsidRPr="00D73718">
        <w:t>款與德國基本法第</w:t>
      </w:r>
      <w:r w:rsidR="00203F72" w:rsidRPr="00D73718">
        <w:t>68</w:t>
      </w:r>
      <w:r w:rsidR="00203F72" w:rsidRPr="00D73718">
        <w:t>條第</w:t>
      </w:r>
      <w:r w:rsidR="00203F72" w:rsidRPr="00D73718">
        <w:t>1</w:t>
      </w:r>
      <w:r w:rsidR="00203F72" w:rsidRPr="00D73718">
        <w:t>項之差異性，尚包括我國不信任案之制度，係由立法院自行主動提出不信任案，而非回應行政院院長信任投票之要求；亦即，就行政院院長不信任案而言，立法院是處在主動攻擊之態勢。假若立法院所提出之上述不信任案，通過二分之一之門檻標準，表示超過二分之一以上之立法，均不信任行政院院長；此時，行政院院長應於</w:t>
      </w:r>
      <w:r w:rsidR="00203F72" w:rsidRPr="00D73718">
        <w:t>10</w:t>
      </w:r>
      <w:r w:rsidR="00203F72" w:rsidRPr="00D73718">
        <w:t>日內提出辭職，並得同時呈請總統解散立法院。上述之機制，比較偏向於內閣制。在內閣制之國家，國會對於內閣擁有不信任之投票權，以實行倒閣；內閣對於國會，亦有呈請總統予以解散國會之權；就此點而論，我國憲法增修條</w:t>
      </w:r>
      <w:r w:rsidR="00E16174" w:rsidRPr="00D73718">
        <w:t>文</w:t>
      </w:r>
      <w:hyperlink r:id="rId1488"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2</w:t>
      </w:r>
      <w:r w:rsidR="00203F72" w:rsidRPr="00D73718">
        <w:t>項第</w:t>
      </w:r>
      <w:r w:rsidR="00203F72" w:rsidRPr="00D73718">
        <w:t>3</w:t>
      </w:r>
      <w:r w:rsidR="00203F72" w:rsidRPr="00D73718">
        <w:t>款之立憲設計，明顯地，係採用「內閣制」，而非「總統制」。</w:t>
      </w:r>
    </w:p>
    <w:p w14:paraId="4066D020" w14:textId="77777777" w:rsidR="0004558E" w:rsidRPr="00D73718" w:rsidRDefault="0004558E" w:rsidP="00D87D91"/>
    <w:p w14:paraId="434B2E92" w14:textId="149B68D3" w:rsidR="00203F72" w:rsidRPr="00D73718" w:rsidRDefault="00B03E84" w:rsidP="00D87D91">
      <w:r w:rsidRPr="00D73718">
        <w:t>【</w:t>
      </w:r>
      <w:r w:rsidRPr="00D73718">
        <w:t>table</w:t>
      </w:r>
      <w:r w:rsidR="005E23E3" w:rsidRPr="00D73718">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82</w:t>
      </w:r>
      <w:r w:rsidR="00076467">
        <w:rPr>
          <w:noProof/>
        </w:rPr>
        <w:fldChar w:fldCharType="end"/>
      </w:r>
      <w:r w:rsidR="00203F72" w:rsidRPr="00D73718">
        <w:rPr>
          <w:rFonts w:hint="eastAsia"/>
        </w:rPr>
        <w:t>「不信任案」制度</w:t>
      </w:r>
      <w:r w:rsidR="00203F72" w:rsidRPr="00D73718">
        <w:t xml:space="preserve">vs. </w:t>
      </w:r>
      <w:r w:rsidR="00203F72" w:rsidRPr="00D73718">
        <w:rPr>
          <w:rFonts w:hint="eastAsia"/>
        </w:rPr>
        <w:t>「覆議」制度之差異比較</w:t>
      </w:r>
    </w:p>
    <w:tbl>
      <w:tblPr>
        <w:tblW w:w="80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2835"/>
      </w:tblGrid>
      <w:tr w:rsidR="00203F72" w:rsidRPr="00A53581" w14:paraId="5E126C45" w14:textId="77777777" w:rsidTr="00D53F68">
        <w:trPr>
          <w:tblHeader/>
        </w:trPr>
        <w:tc>
          <w:tcPr>
            <w:tcW w:w="5245"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364673CD" w14:textId="77777777" w:rsidR="00203F72" w:rsidRPr="00A53581" w:rsidRDefault="00203F72" w:rsidP="00D87D91">
            <w:r w:rsidRPr="00A53581">
              <w:rPr>
                <w:rFonts w:hint="eastAsia"/>
              </w:rPr>
              <w:t>不信任案</w:t>
            </w:r>
          </w:p>
        </w:tc>
        <w:tc>
          <w:tcPr>
            <w:tcW w:w="2835" w:type="dxa"/>
            <w:tcBorders>
              <w:top w:val="single" w:sz="4" w:space="0" w:color="auto"/>
              <w:left w:val="single" w:sz="4" w:space="0" w:color="auto"/>
              <w:bottom w:val="single" w:sz="4" w:space="0" w:color="auto"/>
              <w:right w:val="single" w:sz="4" w:space="0" w:color="auto"/>
            </w:tcBorders>
            <w:shd w:val="clear" w:color="auto" w:fill="DAEEF3"/>
            <w:vAlign w:val="center"/>
            <w:hideMark/>
          </w:tcPr>
          <w:p w14:paraId="47D5545E" w14:textId="77777777" w:rsidR="00203F72" w:rsidRPr="00A53581" w:rsidRDefault="00203F72" w:rsidP="00D87D91">
            <w:r w:rsidRPr="00A53581">
              <w:rPr>
                <w:rFonts w:hint="eastAsia"/>
              </w:rPr>
              <w:t>覆議</w:t>
            </w:r>
          </w:p>
        </w:tc>
      </w:tr>
      <w:tr w:rsidR="00203F72" w:rsidRPr="00A53581" w14:paraId="16BC815C" w14:textId="77777777" w:rsidTr="00D53F68">
        <w:tc>
          <w:tcPr>
            <w:tcW w:w="5245" w:type="dxa"/>
            <w:tcBorders>
              <w:top w:val="single" w:sz="4" w:space="0" w:color="auto"/>
              <w:left w:val="single" w:sz="4" w:space="0" w:color="auto"/>
              <w:bottom w:val="single" w:sz="4" w:space="0" w:color="auto"/>
              <w:right w:val="single" w:sz="4" w:space="0" w:color="auto"/>
            </w:tcBorders>
            <w:shd w:val="clear" w:color="auto" w:fill="auto"/>
            <w:hideMark/>
          </w:tcPr>
          <w:p w14:paraId="03D06FE8" w14:textId="77777777" w:rsidR="00203F72" w:rsidRPr="00A53581" w:rsidRDefault="00D53F68" w:rsidP="00D87D91">
            <w:r>
              <w:rPr>
                <w:rFonts w:hint="eastAsia"/>
              </w:rPr>
              <w:t xml:space="preserve">　　</w:t>
            </w:r>
            <w:r w:rsidR="00203F72" w:rsidRPr="00A53581">
              <w:rPr>
                <w:rFonts w:hint="eastAsia"/>
              </w:rPr>
              <w:t>立法院→</w:t>
            </w:r>
            <w:r w:rsidR="00203F72" w:rsidRPr="00A53581">
              <w:t xml:space="preserve"> </w:t>
            </w:r>
            <w:r w:rsidR="00203F72" w:rsidRPr="00A53581">
              <w:rPr>
                <w:rFonts w:hint="eastAsia"/>
              </w:rPr>
              <w:t>對行政院政策之不贊同。</w:t>
            </w:r>
          </w:p>
          <w:p w14:paraId="6E61CCC7" w14:textId="77777777" w:rsidR="00203F72" w:rsidRPr="00A53581" w:rsidRDefault="00D53F68" w:rsidP="00D87D91">
            <w:r>
              <w:rPr>
                <w:rFonts w:hint="eastAsia"/>
              </w:rPr>
              <w:t xml:space="preserve">　　</w:t>
            </w:r>
            <w:r w:rsidR="00203F72" w:rsidRPr="00A53581">
              <w:rPr>
                <w:rFonts w:hint="eastAsia"/>
              </w:rPr>
              <w:t>民國</w:t>
            </w:r>
            <w:r w:rsidR="00203F72" w:rsidRPr="00A53581">
              <w:t>86</w:t>
            </w:r>
            <w:r w:rsidR="00203F72" w:rsidRPr="00A53581">
              <w:rPr>
                <w:rFonts w:hint="eastAsia"/>
              </w:rPr>
              <w:t>年修憲賦予立法院「不信任案」提出權之因</w:t>
            </w:r>
            <w:r w:rsidR="00203F72" w:rsidRPr="00A53581">
              <w:t>:</w:t>
            </w:r>
          </w:p>
          <w:p w14:paraId="38F9E2A8" w14:textId="77777777" w:rsidR="00D53F68" w:rsidRDefault="00D53F68" w:rsidP="00D53F68">
            <w:r>
              <w:rPr>
                <w:rFonts w:hint="eastAsia"/>
              </w:rPr>
              <w:t xml:space="preserve">　　</w:t>
            </w:r>
            <w:r>
              <w:rPr>
                <w:rFonts w:hint="eastAsia"/>
              </w:rPr>
              <w:t>(</w:t>
            </w:r>
            <w:r>
              <w:rPr>
                <w:rFonts w:hint="eastAsia"/>
              </w:rPr>
              <w:t>一</w:t>
            </w:r>
            <w:r>
              <w:rPr>
                <w:rFonts w:hint="eastAsia"/>
              </w:rPr>
              <w:t>)</w:t>
            </w:r>
            <w:r>
              <w:rPr>
                <w:rFonts w:hint="eastAsia"/>
              </w:rPr>
              <w:t>因為刪除立法院對於行政院長人事之事前同意權，所以另給與立法院事後否決之制衡權</w:t>
            </w:r>
            <w:r>
              <w:rPr>
                <w:rFonts w:hint="eastAsia"/>
              </w:rPr>
              <w:t>(</w:t>
            </w:r>
            <w:r>
              <w:rPr>
                <w:rFonts w:hint="eastAsia"/>
              </w:rPr>
              <w:t>不信任案提出權</w:t>
            </w:r>
            <w:r>
              <w:rPr>
                <w:rFonts w:hint="eastAsia"/>
              </w:rPr>
              <w:t>)</w:t>
            </w:r>
            <w:r>
              <w:rPr>
                <w:rFonts w:hint="eastAsia"/>
              </w:rPr>
              <w:t>。</w:t>
            </w:r>
          </w:p>
          <w:p w14:paraId="65792451" w14:textId="77777777" w:rsidR="00D53F68" w:rsidRDefault="00D53F68" w:rsidP="00D53F68">
            <w:r>
              <w:rPr>
                <w:rFonts w:hint="eastAsia"/>
              </w:rPr>
              <w:t xml:space="preserve">　　</w:t>
            </w:r>
            <w:r>
              <w:rPr>
                <w:rFonts w:hint="eastAsia"/>
              </w:rPr>
              <w:t>(</w:t>
            </w:r>
            <w:r>
              <w:rPr>
                <w:rFonts w:hint="eastAsia"/>
              </w:rPr>
              <w:t>二</w:t>
            </w:r>
            <w:r>
              <w:rPr>
                <w:rFonts w:hint="eastAsia"/>
              </w:rPr>
              <w:t>)</w:t>
            </w:r>
            <w:r>
              <w:rPr>
                <w:rFonts w:hint="eastAsia"/>
              </w:rPr>
              <w:t>因為刪除立法院對於行政院之重要政策變更權。是故，取而代之以效力更強之「不信任案」提出權。</w:t>
            </w:r>
          </w:p>
          <w:p w14:paraId="737316BB" w14:textId="77777777" w:rsidR="00203F72" w:rsidRPr="00A53581" w:rsidRDefault="00D53F68" w:rsidP="00D53F68">
            <w:r>
              <w:rPr>
                <w:rFonts w:hint="eastAsia"/>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213C05F0" w14:textId="77777777" w:rsidR="00203F72" w:rsidRPr="00A53581" w:rsidRDefault="00203F72" w:rsidP="00D87D91">
            <w:r w:rsidRPr="00A53581">
              <w:rPr>
                <w:rFonts w:hint="eastAsia"/>
              </w:rPr>
              <w:t>行政院→對立法院法律案、預算案、條約案之不贊同。</w:t>
            </w:r>
          </w:p>
        </w:tc>
      </w:tr>
    </w:tbl>
    <w:p w14:paraId="58BB709A" w14:textId="77777777" w:rsidR="00953151" w:rsidRPr="00D73718" w:rsidRDefault="002107CE" w:rsidP="00D87D91">
      <w:r w:rsidRPr="00D73718">
        <w:rPr>
          <w:rFonts w:hint="eastAsia"/>
        </w:rPr>
        <w:t>【本表格資料來源】</w:t>
      </w:r>
      <w:r w:rsidR="00203F72" w:rsidRPr="00D73718">
        <w:rPr>
          <w:rFonts w:hint="eastAsia"/>
        </w:rPr>
        <w:t>植憲</w:t>
      </w:r>
      <w:r w:rsidR="00203F72" w:rsidRPr="00D73718">
        <w:t>(2011)</w:t>
      </w:r>
      <w:r w:rsidR="00203F72" w:rsidRPr="00D73718">
        <w:rPr>
          <w:rFonts w:hint="eastAsia"/>
        </w:rPr>
        <w:t>，憲法解題概念操作</w:t>
      </w:r>
      <w:r w:rsidR="00203F72" w:rsidRPr="00D73718">
        <w:t>(</w:t>
      </w:r>
      <w:r w:rsidR="00203F72" w:rsidRPr="00D73718">
        <w:rPr>
          <w:rFonts w:hint="eastAsia"/>
        </w:rPr>
        <w:t>下</w:t>
      </w:r>
      <w:r w:rsidR="00203F72" w:rsidRPr="00D73718">
        <w:t>)</w:t>
      </w:r>
      <w:r w:rsidR="00203F72" w:rsidRPr="00D73718">
        <w:rPr>
          <w:rFonts w:hint="eastAsia"/>
        </w:rPr>
        <w:t>，</w:t>
      </w:r>
      <w:r w:rsidR="00203F72" w:rsidRPr="00D73718">
        <w:t>6</w:t>
      </w:r>
      <w:r w:rsidR="00203F72" w:rsidRPr="00D73718">
        <w:rPr>
          <w:rFonts w:hint="eastAsia"/>
        </w:rPr>
        <w:t>版，台北：高點文化公司，第</w:t>
      </w:r>
      <w:r w:rsidR="00203F72" w:rsidRPr="00D73718">
        <w:t>127</w:t>
      </w:r>
      <w:r w:rsidR="00203F72" w:rsidRPr="00D73718">
        <w:rPr>
          <w:rFonts w:hint="eastAsia"/>
        </w:rPr>
        <w:t>頁。</w:t>
      </w:r>
    </w:p>
    <w:p w14:paraId="29DB970B" w14:textId="77777777" w:rsidR="00545D58" w:rsidRDefault="00545D58" w:rsidP="00670577">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683E4554" w14:textId="77777777" w:rsidR="00545D58" w:rsidRDefault="00545D58" w:rsidP="00D87D91"/>
    <w:bookmarkStart w:id="46" w:name="_第4條（立法委員之選舉）"/>
    <w:bookmarkEnd w:id="46"/>
    <w:p w14:paraId="37F69A88" w14:textId="77777777" w:rsidR="0095315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"b4"</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4</w:t>
      </w:r>
      <w:r w:rsidR="00203F72" w:rsidRPr="001C1A86">
        <w:rPr>
          <w:rStyle w:val="a5"/>
          <w:rFonts w:ascii="Arial Unicode MS" w:hAnsi="Arial Unicode MS"/>
        </w:rPr>
        <w:t>條</w:t>
      </w:r>
      <w:r>
        <w:fldChar w:fldCharType="end"/>
      </w:r>
      <w:r w:rsidR="00203F72" w:rsidRPr="00A53581">
        <w:t>（立法委員之選舉）</w:t>
      </w:r>
      <w:r w:rsidR="00203F72" w:rsidRPr="00A53581">
        <w:t xml:space="preserve"> </w:t>
      </w:r>
    </w:p>
    <w:p w14:paraId="0A932648" w14:textId="77777777" w:rsidR="00203F72" w:rsidRPr="00191266" w:rsidRDefault="00367D0C" w:rsidP="00D87D91">
      <w:r w:rsidRPr="00191266">
        <w:t xml:space="preserve">　　</w:t>
      </w:r>
      <w:r w:rsidR="00203F72" w:rsidRPr="00191266">
        <w:t>（</w:t>
      </w:r>
      <w:r w:rsidR="00203F72" w:rsidRPr="00191266">
        <w:t>1</w:t>
      </w:r>
      <w:r w:rsidR="00203F72" w:rsidRPr="00191266">
        <w:t>）立法院立法委員自第七屆起一百一十三人，任期四年，連選得連任，於每屆任滿前三個月內，依左列規定選出之，不受憲法</w:t>
      </w:r>
      <w:r w:rsidR="00554D5E" w:rsidRPr="000B35D7">
        <w:t>第</w:t>
      </w:r>
      <w:hyperlink r:id="rId1489" w:anchor="a64" w:history="1">
        <w:r w:rsidR="00554D5E" w:rsidRPr="00554D5E">
          <w:rPr>
            <w:rStyle w:val="a5"/>
            <w:rFonts w:ascii="Times New Roman" w:eastAsia="新細明體" w:hAnsi="Times New Roman"/>
          </w:rPr>
          <w:t>六十四</w:t>
        </w:r>
      </w:hyperlink>
      <w:r w:rsidR="00554D5E" w:rsidRPr="000B35D7">
        <w:t>條</w:t>
      </w:r>
      <w:r w:rsidR="00203F72" w:rsidRPr="00191266">
        <w:t>及</w:t>
      </w:r>
      <w:r w:rsidR="00554D5E" w:rsidRPr="000B35D7">
        <w:t>第</w:t>
      </w:r>
      <w:hyperlink r:id="rId1490" w:anchor="a65" w:history="1">
        <w:r w:rsidR="00554D5E" w:rsidRPr="00554D5E">
          <w:rPr>
            <w:rStyle w:val="a5"/>
            <w:rFonts w:ascii="Times New Roman" w:eastAsia="新細明體" w:hAnsi="Times New Roman"/>
          </w:rPr>
          <w:t>六十五</w:t>
        </w:r>
      </w:hyperlink>
      <w:r w:rsidR="00554D5E" w:rsidRPr="000B35D7">
        <w:t>條</w:t>
      </w:r>
      <w:r w:rsidR="00203F72" w:rsidRPr="00191266">
        <w:t>之限制：</w:t>
      </w:r>
      <w:r w:rsidR="00203F72" w:rsidRPr="00191266">
        <w:t xml:space="preserve"> </w:t>
      </w:r>
    </w:p>
    <w:p w14:paraId="4A304796" w14:textId="77777777" w:rsidR="00367D0C" w:rsidRPr="00191266" w:rsidRDefault="00367D0C" w:rsidP="00D87D91">
      <w:r w:rsidRPr="00191266">
        <w:t xml:space="preserve">　　</w:t>
      </w:r>
      <w:r w:rsidR="00203F72" w:rsidRPr="00191266">
        <w:t>一、自由地區直轄市、縣市七十三人。每縣市至少一人</w:t>
      </w:r>
      <w:r w:rsidR="00545D58" w:rsidRPr="00191266">
        <w:t>。</w:t>
      </w:r>
    </w:p>
    <w:p w14:paraId="39371E82" w14:textId="77777777" w:rsidR="00367D0C" w:rsidRPr="00191266" w:rsidRDefault="00203F72" w:rsidP="00D87D91">
      <w:r w:rsidRPr="00191266">
        <w:t xml:space="preserve">　　二、自由地區平地原住民及山地原住民各三人</w:t>
      </w:r>
      <w:r w:rsidR="00545D58" w:rsidRPr="00191266">
        <w:t>。</w:t>
      </w:r>
    </w:p>
    <w:p w14:paraId="129A32FA" w14:textId="77777777" w:rsidR="00367D0C" w:rsidRPr="00191266" w:rsidRDefault="00203F72" w:rsidP="00D87D91">
      <w:r w:rsidRPr="00191266">
        <w:t xml:space="preserve">　　三、全國不分區及僑居國外國民共三十四人</w:t>
      </w:r>
      <w:r w:rsidR="00545D58" w:rsidRPr="00191266">
        <w:t>。</w:t>
      </w:r>
    </w:p>
    <w:p w14:paraId="40A25AD1" w14:textId="77777777" w:rsidR="00367D0C" w:rsidRPr="00191266" w:rsidRDefault="00367D0C" w:rsidP="00D87D91">
      <w:r w:rsidRPr="00191266">
        <w:t xml:space="preserve">　　</w:t>
      </w:r>
      <w:r w:rsidR="00203F72" w:rsidRPr="00191266">
        <w:t>（</w:t>
      </w:r>
      <w:r w:rsidR="00203F72" w:rsidRPr="00191266">
        <w:t>2</w:t>
      </w:r>
      <w:r w:rsidR="00203F72" w:rsidRPr="00191266">
        <w:t>）前項第一款依各直轄市、縣市人口比例分配，並按應選名額劃分同額選舉區選出之。第三款依政黨名單投票選舉之，由獲得百分之五以上政黨選舉票之政黨依得票比率選出之，各政黨當選名單中，婦女不得低於二分之一</w:t>
      </w:r>
      <w:r w:rsidR="00545D58" w:rsidRPr="00191266">
        <w:t>。</w:t>
      </w:r>
    </w:p>
    <w:p w14:paraId="2F82CE08" w14:textId="77777777" w:rsidR="00367D0C" w:rsidRPr="00191266" w:rsidRDefault="00367D0C" w:rsidP="00D87D91">
      <w:r w:rsidRPr="00191266">
        <w:t xml:space="preserve">　　</w:t>
      </w:r>
      <w:r w:rsidR="00203F72" w:rsidRPr="00191266">
        <w:t>（</w:t>
      </w:r>
      <w:r w:rsidR="00203F72" w:rsidRPr="00191266">
        <w:t>3</w:t>
      </w:r>
      <w:r w:rsidR="00203F72" w:rsidRPr="00191266">
        <w:t>）立法院於每年集會時，得聽取總統國情報告</w:t>
      </w:r>
      <w:r w:rsidR="00545D58" w:rsidRPr="00191266">
        <w:t>。</w:t>
      </w:r>
    </w:p>
    <w:p w14:paraId="4826D509" w14:textId="77777777" w:rsidR="00367D0C" w:rsidRPr="00191266" w:rsidRDefault="00367D0C" w:rsidP="00D87D91">
      <w:r w:rsidRPr="00191266">
        <w:t xml:space="preserve">　　</w:t>
      </w:r>
      <w:r w:rsidR="00203F72" w:rsidRPr="00191266">
        <w:t>（</w:t>
      </w:r>
      <w:r w:rsidR="00203F72" w:rsidRPr="00191266">
        <w:t>4</w:t>
      </w:r>
      <w:r w:rsidR="00203F72" w:rsidRPr="00191266">
        <w:t>）立法院經總統解散後，在新選出之立法委員就職前，</w:t>
      </w:r>
      <w:r w:rsidR="003E240E">
        <w:t>視</w:t>
      </w:r>
      <w:r w:rsidR="00203F72" w:rsidRPr="00191266">
        <w:t>同休會</w:t>
      </w:r>
      <w:r w:rsidR="00545D58" w:rsidRPr="00191266">
        <w:t>。</w:t>
      </w:r>
    </w:p>
    <w:p w14:paraId="14C782BA" w14:textId="77777777" w:rsidR="00367D0C" w:rsidRPr="00191266" w:rsidRDefault="00367D0C" w:rsidP="00D87D91">
      <w:r w:rsidRPr="00191266">
        <w:t xml:space="preserve">　　</w:t>
      </w:r>
      <w:r w:rsidR="00203F72" w:rsidRPr="00191266">
        <w:t>（</w:t>
      </w:r>
      <w:r w:rsidR="00203F72" w:rsidRPr="00191266">
        <w:t>5</w:t>
      </w:r>
      <w:r w:rsidR="00203F72" w:rsidRPr="00191266">
        <w:t>）中華民國領土，依其固有疆域，非經全體立法委員四分之一之提議，全體立法委員四分之三之出席，及出席委員四分之三之決議，提出領土變更案，並於公告半年後，經中華民國自由地區選舉人投票複決，有效同意票過選舉人總額之半數，不得變更之</w:t>
      </w:r>
      <w:r w:rsidR="00545D58" w:rsidRPr="00191266">
        <w:t>。</w:t>
      </w:r>
    </w:p>
    <w:p w14:paraId="44EEE5D9" w14:textId="77777777" w:rsidR="00367D0C" w:rsidRPr="00191266" w:rsidRDefault="00367D0C" w:rsidP="00D87D91">
      <w:r w:rsidRPr="00191266">
        <w:t xml:space="preserve">　　</w:t>
      </w:r>
      <w:r w:rsidR="00203F72" w:rsidRPr="00191266">
        <w:t>（</w:t>
      </w:r>
      <w:r w:rsidR="00203F72" w:rsidRPr="00191266">
        <w:t>6</w:t>
      </w:r>
      <w:r w:rsidR="00203F72" w:rsidRPr="00191266">
        <w:t>）總統於立法院解散後發布緊急命令，立法院應於三日內自行集會，並於開議七日內追認之。但於新任立法委員選舉投票日後發布者，應由新任立法委員於就職後追認之。如立法院不同意時，該緊急命令立即失效</w:t>
      </w:r>
      <w:r w:rsidR="00545D58" w:rsidRPr="00191266">
        <w:t>。</w:t>
      </w:r>
    </w:p>
    <w:p w14:paraId="1BF48C3A" w14:textId="77777777" w:rsidR="00367D0C" w:rsidRPr="00191266" w:rsidRDefault="00367D0C" w:rsidP="00D87D91">
      <w:r w:rsidRPr="00191266">
        <w:t xml:space="preserve">　　</w:t>
      </w:r>
      <w:r w:rsidR="00203F72" w:rsidRPr="00191266">
        <w:t>（</w:t>
      </w:r>
      <w:r w:rsidR="00203F72" w:rsidRPr="00191266">
        <w:t>7</w:t>
      </w:r>
      <w:r w:rsidR="00203F72" w:rsidRPr="00191266">
        <w:t>）立法院對於總統、副總統之彈劾案，須經全體立法委員二分之一以上之提議，全體立法委員三分之二以上之決議，聲請司法院大法官審理，不適用憲法</w:t>
      </w:r>
      <w:r w:rsidR="009A2820" w:rsidRPr="00DE63F7">
        <w:t>第</w:t>
      </w:r>
      <w:hyperlink r:id="rId1491" w:anchor="a90" w:history="1">
        <w:r w:rsidR="009A2820" w:rsidRPr="009A2820">
          <w:rPr>
            <w:rStyle w:val="a5"/>
            <w:rFonts w:ascii="Times New Roman" w:eastAsia="新細明體" w:hAnsi="Times New Roman"/>
          </w:rPr>
          <w:t>九十</w:t>
        </w:r>
      </w:hyperlink>
      <w:r w:rsidR="009A2820" w:rsidRPr="00DE63F7">
        <w:t>條</w:t>
      </w:r>
      <w:r w:rsidR="00203F72" w:rsidRPr="00191266">
        <w:t>、</w:t>
      </w:r>
      <w:r w:rsidR="00142D4A" w:rsidRPr="00DE63F7">
        <w:t>第</w:t>
      </w:r>
      <w:hyperlink r:id="rId1492" w:anchor="a100" w:history="1">
        <w:r w:rsidR="00142D4A" w:rsidRPr="00142D4A">
          <w:rPr>
            <w:rStyle w:val="a5"/>
            <w:rFonts w:ascii="Times New Roman" w:eastAsia="新細明體" w:hAnsi="Times New Roman"/>
          </w:rPr>
          <w:t>一百</w:t>
        </w:r>
      </w:hyperlink>
      <w:r w:rsidR="00142D4A" w:rsidRPr="00DE63F7">
        <w:t>條</w:t>
      </w:r>
      <w:r w:rsidR="00203F72" w:rsidRPr="00191266">
        <w:t>及增修條</w:t>
      </w:r>
      <w:r w:rsidR="00143B2D" w:rsidRPr="00191266">
        <w:t>文</w:t>
      </w:r>
      <w:hyperlink r:id="rId1493" w:anchor="b7" w:history="1">
        <w:r w:rsidR="00143B2D" w:rsidRPr="00143B2D">
          <w:rPr>
            <w:rStyle w:val="a5"/>
            <w:rFonts w:ascii="Times New Roman" w:eastAsia="新細明體" w:hAnsi="Times New Roman"/>
          </w:rPr>
          <w:t>第七條</w:t>
        </w:r>
      </w:hyperlink>
      <w:r w:rsidR="00203F72" w:rsidRPr="00191266">
        <w:t>第一項有關規定</w:t>
      </w:r>
      <w:r w:rsidR="00545D58" w:rsidRPr="00191266">
        <w:t>。</w:t>
      </w:r>
    </w:p>
    <w:p w14:paraId="0FB4511C" w14:textId="77777777" w:rsidR="00953151" w:rsidRPr="00191266" w:rsidRDefault="00367D0C" w:rsidP="00D87D91">
      <w:r w:rsidRPr="00191266">
        <w:t xml:space="preserve">　　</w:t>
      </w:r>
      <w:r w:rsidR="00203F72" w:rsidRPr="00191266">
        <w:t>（</w:t>
      </w:r>
      <w:r w:rsidR="00203F72" w:rsidRPr="00191266">
        <w:t>8</w:t>
      </w:r>
      <w:r w:rsidR="00203F72" w:rsidRPr="00191266">
        <w:t>）立法委員除現行犯外，在會期中，非經立法院許可，不得逮捕或拘禁。憲法</w:t>
      </w:r>
      <w:r w:rsidR="00142D4A" w:rsidRPr="00A53581">
        <w:t>第</w:t>
      </w:r>
      <w:hyperlink r:id="rId1494" w:anchor="a74" w:history="1">
        <w:r w:rsidR="00142D4A" w:rsidRPr="00306E89">
          <w:rPr>
            <w:rStyle w:val="a5"/>
          </w:rPr>
          <w:t>七十四</w:t>
        </w:r>
      </w:hyperlink>
      <w:r w:rsidR="00142D4A" w:rsidRPr="00A53581">
        <w:t>條</w:t>
      </w:r>
      <w:r w:rsidR="00203F72" w:rsidRPr="00191266">
        <w:t>之規定，停止適用</w:t>
      </w:r>
      <w:r w:rsidR="00545D58" w:rsidRPr="00191266">
        <w:t>。</w:t>
      </w:r>
    </w:p>
    <w:p w14:paraId="13984FF4" w14:textId="77777777" w:rsidR="00203F72" w:rsidRPr="00191266" w:rsidRDefault="00B03E84" w:rsidP="00D87D91">
      <w:r w:rsidRPr="00191266">
        <w:t>【內容解析】</w:t>
      </w:r>
    </w:p>
    <w:p w14:paraId="554000A2" w14:textId="77777777" w:rsidR="00953151" w:rsidRPr="00191266" w:rsidRDefault="00367D0C" w:rsidP="00D87D91">
      <w:r w:rsidRPr="00191266">
        <w:t xml:space="preserve">　　</w:t>
      </w:r>
      <w:r w:rsidR="00203F72" w:rsidRPr="00191266">
        <w:t>憲法增修條</w:t>
      </w:r>
      <w:r w:rsidR="00F5469C" w:rsidRPr="00A53581">
        <w:rPr>
          <w:rFonts w:ascii="新細明體" w:hAnsi="新細明體"/>
          <w:kern w:val="0"/>
        </w:rPr>
        <w:t>文</w:t>
      </w:r>
      <w:hyperlink r:id="rId1495" w:anchor="b4" w:history="1">
        <w:r w:rsidR="00F5469C" w:rsidRPr="00F5469C">
          <w:rPr>
            <w:rStyle w:val="a5"/>
            <w:kern w:val="0"/>
          </w:rPr>
          <w:t>第四條</w:t>
        </w:r>
      </w:hyperlink>
      <w:r w:rsidR="00203F72" w:rsidRPr="00191266">
        <w:t>第一項及第二項，關於立委選舉採單一選區兩票並立制及所設政黨比例席次與</w:t>
      </w:r>
      <w:r w:rsidR="00203F72" w:rsidRPr="00191266">
        <w:t>5%</w:t>
      </w:r>
      <w:r w:rsidR="00203F72" w:rsidRPr="00191266">
        <w:t>政黨門檻之規定，是否違憲部分？依據司法院釋字</w:t>
      </w:r>
      <w:hyperlink r:id="rId1496" w:anchor="r721" w:history="1">
        <w:r w:rsidR="005D5A46" w:rsidRPr="00142D4A">
          <w:rPr>
            <w:rStyle w:val="a5"/>
            <w:rFonts w:ascii="Times New Roman" w:eastAsia="新細明體" w:hAnsi="Times New Roman"/>
          </w:rPr>
          <w:t>第</w:t>
        </w:r>
        <w:r w:rsidR="00203F72" w:rsidRPr="00142D4A">
          <w:rPr>
            <w:rStyle w:val="a5"/>
            <w:rFonts w:ascii="Times New Roman" w:eastAsia="新細明體" w:hAnsi="Times New Roman"/>
          </w:rPr>
          <w:t>721</w:t>
        </w:r>
        <w:r w:rsidR="00F5469C" w:rsidRPr="00142D4A">
          <w:rPr>
            <w:rStyle w:val="a5"/>
            <w:rFonts w:ascii="Times New Roman" w:eastAsia="新細明體" w:hAnsi="Times New Roman"/>
          </w:rPr>
          <w:t>號</w:t>
        </w:r>
      </w:hyperlink>
      <w:r w:rsidR="00203F72" w:rsidRPr="00191266">
        <w:t>解釋文</w:t>
      </w:r>
      <w:r w:rsidRPr="00191266">
        <w:rPr>
          <w:rFonts w:hint="eastAsia"/>
        </w:rPr>
        <w:t>「</w:t>
      </w:r>
      <w:r w:rsidR="00203F72" w:rsidRPr="00191266">
        <w:t>政黨比例代表選舉案</w:t>
      </w:r>
      <w:r w:rsidRPr="00191266">
        <w:rPr>
          <w:rFonts w:hint="eastAsia"/>
        </w:rPr>
        <w:t>」</w:t>
      </w:r>
      <w:r w:rsidR="00203F72" w:rsidRPr="00191266">
        <w:t>(</w:t>
      </w:r>
      <w:r w:rsidR="00203F72" w:rsidRPr="00191266">
        <w:t>解釋公布日期：</w:t>
      </w:r>
      <w:r w:rsidR="00203F72" w:rsidRPr="00191266">
        <w:t xml:space="preserve"> </w:t>
      </w:r>
      <w:r w:rsidR="00203F72" w:rsidRPr="00191266">
        <w:t>民國</w:t>
      </w:r>
      <w:r w:rsidR="00203F72" w:rsidRPr="00191266">
        <w:t xml:space="preserve"> 103</w:t>
      </w:r>
      <w:r w:rsidR="00203F72" w:rsidRPr="00191266">
        <w:t>年</w:t>
      </w:r>
      <w:r w:rsidR="00203F72" w:rsidRPr="00191266">
        <w:t>6</w:t>
      </w:r>
      <w:r w:rsidR="00203F72" w:rsidRPr="00191266">
        <w:t>月</w:t>
      </w:r>
      <w:r w:rsidR="00203F72" w:rsidRPr="00191266">
        <w:t>6</w:t>
      </w:r>
      <w:r w:rsidR="00203F72" w:rsidRPr="00191266">
        <w:t>日</w:t>
      </w:r>
      <w:r w:rsidR="00203F72" w:rsidRPr="00191266">
        <w:t>)</w:t>
      </w:r>
      <w:r w:rsidR="00203F72" w:rsidRPr="00191266">
        <w:t>之意旨，「憲法增修條</w:t>
      </w:r>
      <w:r w:rsidR="00F5469C" w:rsidRPr="00A53581">
        <w:rPr>
          <w:rFonts w:ascii="新細明體" w:hAnsi="新細明體"/>
          <w:kern w:val="0"/>
        </w:rPr>
        <w:t>文</w:t>
      </w:r>
      <w:hyperlink r:id="rId1497" w:anchor="b4" w:history="1">
        <w:r w:rsidR="00F5469C" w:rsidRPr="00F5469C">
          <w:rPr>
            <w:rStyle w:val="a5"/>
            <w:kern w:val="0"/>
          </w:rPr>
          <w:t>第四條</w:t>
        </w:r>
      </w:hyperlink>
      <w:r w:rsidR="00203F72" w:rsidRPr="00191266">
        <w:t>第一項及第二項關於單一選區兩票制之並立制、政黨比例代表席次及政黨門檻規定部分，並未違反現行憲法賴以存立之自由民主憲政秩序。公職人員選舉罷</w:t>
      </w:r>
      <w:r w:rsidR="00203F72" w:rsidRPr="00142D4A">
        <w:t>免法</w:t>
      </w:r>
      <w:r w:rsidR="00BE1B2A" w:rsidRPr="00142D4A">
        <w:t>第</w:t>
      </w:r>
      <w:hyperlink r:id="rId1498" w:anchor="b67" w:history="1">
        <w:r w:rsidR="00BE1B2A" w:rsidRPr="00142D4A">
          <w:rPr>
            <w:rStyle w:val="a5"/>
            <w:rFonts w:ascii="Times New Roman" w:hAnsi="Times New Roman"/>
          </w:rPr>
          <w:t>六十七</w:t>
        </w:r>
      </w:hyperlink>
      <w:r w:rsidR="00BE1B2A" w:rsidRPr="00142D4A">
        <w:t>條</w:t>
      </w:r>
      <w:r w:rsidR="00203F72" w:rsidRPr="00191266">
        <w:t>第二項關於並立制及政黨門檻規定部分，與上開增修條文規定內容相同，亦不生牴觸憲法之疑義</w:t>
      </w:r>
      <w:r w:rsidR="00203F72" w:rsidRPr="00191266">
        <w:footnoteReference w:id="156"/>
      </w:r>
      <w:r w:rsidR="00545D58" w:rsidRPr="00191266">
        <w:t>。</w:t>
      </w:r>
      <w:r w:rsidR="00203F72" w:rsidRPr="00191266">
        <w:t>」</w:t>
      </w:r>
    </w:p>
    <w:p w14:paraId="13651B26" w14:textId="77777777" w:rsidR="00203F72" w:rsidRPr="00191266" w:rsidRDefault="00367D0C" w:rsidP="00D87D91">
      <w:r w:rsidRPr="00191266">
        <w:t xml:space="preserve">　　</w:t>
      </w:r>
      <w:r w:rsidR="00203F72" w:rsidRPr="00191266">
        <w:t>另外，依據司法院釋</w:t>
      </w:r>
      <w:r w:rsidR="00142D4A" w:rsidRPr="00191266">
        <w:t>字</w:t>
      </w:r>
      <w:hyperlink r:id="rId1499" w:anchor="r721" w:history="1">
        <w:r w:rsidR="00142D4A" w:rsidRPr="00142D4A">
          <w:rPr>
            <w:rStyle w:val="a5"/>
            <w:rFonts w:ascii="Times New Roman" w:eastAsia="新細明體" w:hAnsi="Times New Roman"/>
          </w:rPr>
          <w:t>第</w:t>
        </w:r>
        <w:r w:rsidR="00142D4A" w:rsidRPr="00142D4A">
          <w:rPr>
            <w:rStyle w:val="a5"/>
            <w:rFonts w:ascii="Times New Roman" w:eastAsia="新細明體" w:hAnsi="Times New Roman"/>
          </w:rPr>
          <w:t>721</w:t>
        </w:r>
        <w:r w:rsidR="00142D4A" w:rsidRPr="00142D4A">
          <w:rPr>
            <w:rStyle w:val="a5"/>
            <w:rFonts w:ascii="Times New Roman" w:eastAsia="新細明體" w:hAnsi="Times New Roman"/>
          </w:rPr>
          <w:t>號</w:t>
        </w:r>
      </w:hyperlink>
      <w:r w:rsidR="00203F72" w:rsidRPr="00191266">
        <w:t>理由書之內容：「憲法為國家根本大法，其修改應由修憲機關循正當修憲程序為之。國民大會為憲法所設置之修憲機關，基於修憲職權所制定之憲法增修條文與未經修改之憲法條文，係處於同等位階，惟憲法條文中具有本質之重要性而為規範秩序存立之基礎者，如聽任修改條文予以變更，則憲法整體規範秩序將形同破毀，該修改之條文即失其應有之正當性。憲法條文中，諸如：</w:t>
      </w:r>
      <w:hyperlink r:id="rId1500" w:anchor="a1" w:history="1">
        <w:r w:rsidR="00142D4A" w:rsidRPr="004651E8">
          <w:rPr>
            <w:rStyle w:val="a5"/>
          </w:rPr>
          <w:t>第一條</w:t>
        </w:r>
      </w:hyperlink>
      <w:r w:rsidR="00203F72" w:rsidRPr="00191266">
        <w:t>民主共和國原則、</w:t>
      </w:r>
      <w:hyperlink r:id="rId1501" w:anchor="a2" w:history="1">
        <w:r w:rsidR="00203F72" w:rsidRPr="00142D4A">
          <w:rPr>
            <w:rStyle w:val="a5"/>
            <w:rFonts w:ascii="Times New Roman" w:eastAsia="新細明體" w:hAnsi="Times New Roman"/>
          </w:rPr>
          <w:t>第二條</w:t>
        </w:r>
      </w:hyperlink>
      <w:r w:rsidR="00203F72" w:rsidRPr="00191266">
        <w:t>國民主權原則、</w:t>
      </w:r>
      <w:hyperlink r:id="rId1502" w:anchor="a7" w:history="1">
        <w:r w:rsidR="00203F72" w:rsidRPr="00142D4A">
          <w:rPr>
            <w:rStyle w:val="a5"/>
            <w:rFonts w:ascii="Times New Roman" w:eastAsia="新細明體" w:hAnsi="Times New Roman"/>
          </w:rPr>
          <w:t>第二章</w:t>
        </w:r>
      </w:hyperlink>
      <w:r w:rsidR="00203F72" w:rsidRPr="00191266">
        <w:t>保障人民權利、以及有關權力分立與制衡之原則，具有本質之重要性，亦為憲法整體基本原則之所在。基於前述規定所形成之自由民主憲政秩序，乃現行憲法賴以存立之基礎，凡憲法設置之機關均有遵守之義務。憲法之修改，除其程序有明顯重大瑕疵或內容涉及自由民主憲政秩序之違反者外，自應予尊重</w:t>
      </w:r>
      <w:r w:rsidR="00203F72" w:rsidRPr="00191266">
        <w:t>(</w:t>
      </w:r>
      <w:r w:rsidR="00203F72" w:rsidRPr="00191266">
        <w:t>本院釋字</w:t>
      </w:r>
      <w:r w:rsidR="00F5469C" w:rsidRPr="00A53581">
        <w:rPr>
          <w:rFonts w:ascii="新細明體" w:hAnsi="新細明體"/>
          <w:spacing w:val="24"/>
        </w:rPr>
        <w:t>第</w:t>
      </w:r>
      <w:hyperlink r:id="rId1503" w:anchor="r499" w:history="1">
        <w:r w:rsidR="00F5469C" w:rsidRPr="00314F65">
          <w:rPr>
            <w:rStyle w:val="a5"/>
            <w:spacing w:val="24"/>
          </w:rPr>
          <w:t>四九九</w:t>
        </w:r>
      </w:hyperlink>
      <w:r w:rsidR="00F5469C" w:rsidRPr="00A53581">
        <w:rPr>
          <w:rFonts w:ascii="新細明體" w:hAnsi="新細明體"/>
          <w:spacing w:val="24"/>
        </w:rPr>
        <w:t>號</w:t>
      </w:r>
      <w:r w:rsidR="00203F72" w:rsidRPr="00191266">
        <w:t>解釋參照</w:t>
      </w:r>
      <w:r w:rsidR="00203F72" w:rsidRPr="00191266">
        <w:t>)</w:t>
      </w:r>
      <w:r w:rsidR="00203F72" w:rsidRPr="00191266">
        <w:t>。申言之，憲法之修改如未違反前述民主共和國原則、國民主權原則，或未涉人民基本權核心內涵之變動，或不涉權力分立與制衡原則之違反，即未違反自由民主憲政秩序</w:t>
      </w:r>
      <w:r w:rsidR="00203F72" w:rsidRPr="00191266">
        <w:footnoteReference w:id="157"/>
      </w:r>
      <w:r w:rsidR="00203F72" w:rsidRPr="00191266">
        <w:t>。</w:t>
      </w:r>
    </w:p>
    <w:p w14:paraId="28CF418B" w14:textId="77777777" w:rsidR="00203F72" w:rsidRPr="00191266" w:rsidRDefault="00367D0C" w:rsidP="00D87D91">
      <w:r w:rsidRPr="00191266">
        <w:t xml:space="preserve">　　</w:t>
      </w:r>
      <w:r w:rsidR="00203F72" w:rsidRPr="00191266">
        <w:t>憲法增修條</w:t>
      </w:r>
      <w:r w:rsidR="00F5469C" w:rsidRPr="00A53581">
        <w:rPr>
          <w:rFonts w:ascii="新細明體" w:hAnsi="新細明體"/>
          <w:kern w:val="0"/>
        </w:rPr>
        <w:t>文</w:t>
      </w:r>
      <w:hyperlink r:id="rId1504" w:anchor="b4" w:history="1">
        <w:r w:rsidR="00F5469C" w:rsidRPr="00F5469C">
          <w:rPr>
            <w:rStyle w:val="a5"/>
            <w:kern w:val="0"/>
          </w:rPr>
          <w:t>第四條</w:t>
        </w:r>
      </w:hyperlink>
      <w:r w:rsidR="00203F72" w:rsidRPr="00191266">
        <w:t>第一項及第二項規定：「立法院立法委員自第七屆起一百一十三人，任期四年，連選得連任，於每屆任滿前三個月內，依左列規定選出之，不受憲法</w:t>
      </w:r>
      <w:r w:rsidR="00554D5E" w:rsidRPr="000B35D7">
        <w:t>第</w:t>
      </w:r>
      <w:hyperlink r:id="rId1505" w:anchor="a64" w:history="1">
        <w:r w:rsidR="00554D5E" w:rsidRPr="00554D5E">
          <w:rPr>
            <w:rStyle w:val="a5"/>
            <w:rFonts w:ascii="Times New Roman" w:eastAsia="新細明體" w:hAnsi="Times New Roman"/>
          </w:rPr>
          <w:t>六十四</w:t>
        </w:r>
      </w:hyperlink>
      <w:r w:rsidR="00554D5E" w:rsidRPr="000B35D7">
        <w:t>條</w:t>
      </w:r>
      <w:r w:rsidR="00203F72" w:rsidRPr="00191266">
        <w:t>及</w:t>
      </w:r>
      <w:r w:rsidR="00554D5E" w:rsidRPr="000B35D7">
        <w:t>第</w:t>
      </w:r>
      <w:hyperlink r:id="rId1506" w:anchor="a65" w:history="1">
        <w:r w:rsidR="00554D5E" w:rsidRPr="00554D5E">
          <w:rPr>
            <w:rStyle w:val="a5"/>
            <w:rFonts w:ascii="Times New Roman" w:eastAsia="新細明體" w:hAnsi="Times New Roman"/>
          </w:rPr>
          <w:t>六十五</w:t>
        </w:r>
      </w:hyperlink>
      <w:r w:rsidR="00554D5E" w:rsidRPr="000B35D7">
        <w:t>條</w:t>
      </w:r>
      <w:r w:rsidR="00203F72" w:rsidRPr="00191266">
        <w:t>之限制：一、自由地區直轄市、縣市七十三人。每縣市至少一人。二、自由地區平地原住民及山地原住民各三人。三、全國不分區及僑居國外國民共三十四人。」「前項第一款依各直轄市、縣市人口比例分配，並按應選名額劃分同額選舉區選出之。第三款依政黨名單投票選舉之，由獲得百分之五以上政黨選舉票之政黨依得票比率選出之，各政黨當選名單中，婦女不得低於二分之一。」（下分稱系爭憲法增修規定一、二）係採單一選區兩票制，即單一選區制與比例代表制混合之兩票制。直轄市、縣市選出之區域立法委員依系爭憲法增修規定二前段規定，採行單一選區制選舉，每選區選出立法委員一人。全國不分區及僑居國外國民立法委員部分，依系爭憲法增修規定二後段規定，依政黨名單投票採比例代表制選舉，並設有百分之五之席次分配門檻，獲得政黨選舉票百分之五以上之政黨始得分配全國不分區及僑居國外國民立法委員席次。單一選區之區域選舉結果，與政黨選舉票之選舉結果，分開計算兩類立法委員當選人名額（其計算方式以下簡稱並立制，中華民國九十四年十月出版之國民大會會議實錄第三</w:t>
      </w:r>
      <w:r w:rsidR="007F3288">
        <w:t>0</w:t>
      </w:r>
      <w:r w:rsidR="00203F72" w:rsidRPr="00191266">
        <w:t>四頁參照）</w:t>
      </w:r>
      <w:r w:rsidR="00203F72" w:rsidRPr="00191266">
        <w:footnoteReference w:id="158"/>
      </w:r>
      <w:r w:rsidR="00545D58" w:rsidRPr="00191266">
        <w:t>。</w:t>
      </w:r>
    </w:p>
    <w:p w14:paraId="321248F0" w14:textId="77777777" w:rsidR="00953151" w:rsidRPr="00191266" w:rsidRDefault="00367D0C" w:rsidP="00D87D91">
      <w:r w:rsidRPr="00191266">
        <w:t xml:space="preserve">　　</w:t>
      </w:r>
      <w:r w:rsidR="00203F72" w:rsidRPr="00191266">
        <w:t>憲法第</w:t>
      </w:r>
      <w:hyperlink r:id="rId1507" w:anchor="a129" w:history="1">
        <w:r w:rsidR="00203F72" w:rsidRPr="00554D5E">
          <w:rPr>
            <w:rStyle w:val="a5"/>
            <w:rFonts w:ascii="Times New Roman" w:eastAsia="新細明體" w:hAnsi="Times New Roman"/>
          </w:rPr>
          <w:t>一百二十九</w:t>
        </w:r>
      </w:hyperlink>
      <w:r w:rsidR="00203F72" w:rsidRPr="00191266">
        <w:t>條規定：「本憲法所規定之各種選舉，除本憲法別有規定外，以普通、平等、直接及無記名投票之方法行之。」其平等方法部分，為憲法</w:t>
      </w:r>
      <w:hyperlink r:id="rId1508" w:anchor="a7" w:history="1">
        <w:r w:rsidR="007D50BB" w:rsidRPr="007D50BB">
          <w:rPr>
            <w:rStyle w:val="a5"/>
            <w:rFonts w:ascii="Times New Roman" w:hAnsi="Times New Roman"/>
          </w:rPr>
          <w:t>第七條</w:t>
        </w:r>
      </w:hyperlink>
      <w:r w:rsidR="00203F72" w:rsidRPr="00191266">
        <w:t>、第</w:t>
      </w:r>
      <w:hyperlink r:id="rId1509" w:anchor="a17" w:history="1">
        <w:r w:rsidR="00203F72" w:rsidRPr="00402475">
          <w:rPr>
            <w:rStyle w:val="a5"/>
            <w:rFonts w:ascii="Times New Roman" w:eastAsia="新細明體" w:hAnsi="Times New Roman"/>
          </w:rPr>
          <w:t>十七</w:t>
        </w:r>
      </w:hyperlink>
      <w:r w:rsidR="00203F72" w:rsidRPr="00191266">
        <w:t>條有關平等權及選舉權之具體化規定。從其文義可知，修憲機關仍保有衡情度勢、斟酌損益之空間，但選舉既為落實民意政治、責任政治之民主基本原則不可或缺之手段，並同時彰顯主權在民之原則，則所定選舉方法仍不得有礙民主共和國及國民主權原則之實現，亦不得變動選舉權、平等權之核心內涵。而關於各國國會選舉，有重</w:t>
      </w:r>
      <w:r w:rsidR="003E240E">
        <w:t>視</w:t>
      </w:r>
      <w:r w:rsidR="00203F72" w:rsidRPr="00191266">
        <w:t>選區代表性而採相對多數決者，有重</w:t>
      </w:r>
      <w:r w:rsidR="003E240E">
        <w:t>視</w:t>
      </w:r>
      <w:r w:rsidR="00203F72" w:rsidRPr="00191266">
        <w:t>政黨差異而採政黨比例代表制者，實為民主政治之不同選擇，反映各國政治文化之差異。系爭憲法增修規定一、二有關立法院立法委員選舉方式之調整，採並立制及設定政黨比例代表席次為三十四人，反映我國人民對民主政治之選擇，有意兼顧選區代表性與政黨多元性，其以政黨選舉票所得票數分配政黨代表席次，乃藉由政黨比例代表，以強化政黨政治之運作，俾與區域代表相輔，此一混合設計及其席次分配，乃國民意志之展現，並未牴觸民主共和國與國民主權原則，自不得以其他選舉制度（例如聯立制）運作之情形，對系爭憲法增修規定一、二所採取之並立制，指摘為違反自由民主憲政秩序。至系爭憲法增修規定二關於百分之五之政黨門檻規定部分，雖可能使政黨所得選票與獲得分配席次之百分比有一定差距，而有選票不等值之現象。惟其目的在避免小黨林立，政黨體系零碎化，影響國會議事運作之效率，妨礙行政立法互動關係之順暢，何況觀之近年立法委員政黨比例代表部分選舉結果，並未完全剝奪兩大黨以外政黨獲選之可能性，是系爭憲法增修規定二有關政黨門檻規定部分，既無損於民主共和國與國民主權基本原則之實現，而未變動選舉權及平等權之核心內涵，即應屬修憲機關得衡情度勢，斟酌損益之範疇，自未違反上開自由民主憲政秩序。至公職人員選舉罷免法第</w:t>
      </w:r>
      <w:hyperlink r:id="rId1510" w:anchor="b67" w:history="1">
        <w:r w:rsidR="00203F72" w:rsidRPr="006C3453">
          <w:rPr>
            <w:rStyle w:val="a5"/>
            <w:rFonts w:ascii="Times New Roman" w:eastAsia="新細明體" w:hAnsi="Times New Roman"/>
          </w:rPr>
          <w:t>六十七</w:t>
        </w:r>
      </w:hyperlink>
      <w:r w:rsidR="00203F72" w:rsidRPr="00191266">
        <w:t>條第二項規定有關並立制及政黨門檻規定部分，係依系爭憲法增修規定二而制定，內容相同，自無違憲疑義。</w:t>
      </w:r>
      <w:r w:rsidR="00203F72" w:rsidRPr="00191266">
        <w:footnoteReference w:id="159"/>
      </w:r>
      <w:r w:rsidR="00203F72" w:rsidRPr="00191266">
        <w:t>」</w:t>
      </w:r>
      <w:r w:rsidR="00203F72" w:rsidRPr="00191266">
        <w:t xml:space="preserve"> </w:t>
      </w:r>
    </w:p>
    <w:p w14:paraId="0284F80E" w14:textId="77777777" w:rsidR="00953151" w:rsidRDefault="00367D0C" w:rsidP="00D87D91">
      <w:r w:rsidRPr="00191266">
        <w:t xml:space="preserve">　　</w:t>
      </w:r>
      <w:r w:rsidR="00203F72" w:rsidRPr="00191266">
        <w:t>就憲法增修條</w:t>
      </w:r>
      <w:r w:rsidR="009A2820" w:rsidRPr="00306E89">
        <w:t>文</w:t>
      </w:r>
      <w:hyperlink r:id="rId1511"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1</w:t>
      </w:r>
      <w:r w:rsidR="00203F72" w:rsidRPr="00191266">
        <w:t>項及第</w:t>
      </w:r>
      <w:r w:rsidR="00203F72" w:rsidRPr="00191266">
        <w:t>2</w:t>
      </w:r>
      <w:r w:rsidR="00203F72" w:rsidRPr="00191266">
        <w:t>項而言，係規定立法委員之應選名額與任期；本條項具有以下之特色</w:t>
      </w:r>
      <w:r w:rsidR="00203F72" w:rsidRPr="00191266">
        <w:footnoteReference w:id="160"/>
      </w:r>
      <w:r w:rsidR="00203F72" w:rsidRPr="00191266">
        <w:t>：：</w:t>
      </w:r>
      <w:r w:rsidR="00203F72" w:rsidRPr="00191266">
        <w:t>1.</w:t>
      </w:r>
      <w:r w:rsidR="00203F72" w:rsidRPr="00191266">
        <w:t>在立委選舉之制度上，從「不可讓渡複數選區單記投票制」轉變成為「單一選區兩票制」；就憲法增修條</w:t>
      </w:r>
      <w:r w:rsidR="009A2820" w:rsidRPr="00306E89">
        <w:t>文</w:t>
      </w:r>
      <w:hyperlink r:id="rId1512"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1</w:t>
      </w:r>
      <w:r w:rsidR="00203F72" w:rsidRPr="00191266">
        <w:t>項及第</w:t>
      </w:r>
      <w:r w:rsidR="00203F72" w:rsidRPr="00191266">
        <w:t>2</w:t>
      </w:r>
      <w:r w:rsidR="00203F72" w:rsidRPr="00191266">
        <w:t>項而言，我國現階段係為「單一選區兩票制」，它結合「單一選區制」與「兩票制」；</w:t>
      </w:r>
      <w:r w:rsidR="00203F72" w:rsidRPr="00191266">
        <w:t>2.</w:t>
      </w:r>
      <w:r w:rsidR="00203F72" w:rsidRPr="00191266">
        <w:t>「單一選區」容易形成兩黨制，第</w:t>
      </w:r>
      <w:r w:rsidR="00203F72" w:rsidRPr="00191266">
        <w:t>3</w:t>
      </w:r>
      <w:r w:rsidR="00203F72" w:rsidRPr="00191266">
        <w:t>黨易淪落為弱勢政黨；而第</w:t>
      </w:r>
      <w:r w:rsidR="00203F72" w:rsidRPr="00191266">
        <w:t>3</w:t>
      </w:r>
      <w:r w:rsidR="00203F72" w:rsidRPr="00191266">
        <w:t>黨或第</w:t>
      </w:r>
      <w:r w:rsidR="00203F72" w:rsidRPr="00191266">
        <w:t>4</w:t>
      </w:r>
      <w:r w:rsidR="00203F72" w:rsidRPr="00191266">
        <w:t>黨所代表之利益，易遭受忽略；</w:t>
      </w:r>
      <w:r w:rsidR="00203F72" w:rsidRPr="00191266">
        <w:t>3.</w:t>
      </w:r>
      <w:r w:rsidR="00203F72" w:rsidRPr="00191266">
        <w:t>所謂之「兩票制」乃指一票選舉區域之代表，另外一票，則選舉不分區之政黨代表，合計二票；</w:t>
      </w:r>
      <w:r w:rsidR="00203F72" w:rsidRPr="00191266">
        <w:t>4.</w:t>
      </w:r>
      <w:r w:rsidR="00203F72" w:rsidRPr="00191266">
        <w:t>選舉區域之數量，按應選出之立委名額加以劃分與決定；</w:t>
      </w:r>
      <w:r w:rsidR="00203F72" w:rsidRPr="00191266">
        <w:t>5.</w:t>
      </w:r>
      <w:r w:rsidR="00203F72" w:rsidRPr="00191266">
        <w:t>由「全國不分區」及「僑居國外國民」產生之名額，採政黨比例方式產生；</w:t>
      </w:r>
      <w:r w:rsidR="00203F72" w:rsidRPr="00191266">
        <w:t>6.</w:t>
      </w:r>
      <w:r w:rsidR="00203F72" w:rsidRPr="00191266">
        <w:t>因「全國不分區」及「僑居國外國民」所產生之立委名額，係透由政黨比例方式選舉產生，依照「公職人員選舉罷免法」</w:t>
      </w:r>
      <w:hyperlink r:id="rId1513" w:anchor="b69" w:history="1">
        <w:r w:rsidR="00402475" w:rsidRPr="00D774A2">
          <w:rPr>
            <w:rStyle w:val="a5"/>
            <w:rFonts w:eastAsia="新細明體"/>
            <w:kern w:val="0"/>
          </w:rPr>
          <w:t>第69條</w:t>
        </w:r>
      </w:hyperlink>
      <w:r w:rsidR="00203F72" w:rsidRPr="00191266">
        <w:t>第</w:t>
      </w:r>
      <w:r w:rsidR="00203F72" w:rsidRPr="00191266">
        <w:t>2</w:t>
      </w:r>
      <w:r w:rsidR="00203F72" w:rsidRPr="00191266">
        <w:t>項之規定，不適用罷免之規定；</w:t>
      </w:r>
      <w:r w:rsidR="00203F72" w:rsidRPr="00191266">
        <w:t>7.</w:t>
      </w:r>
      <w:r w:rsidR="00203F72" w:rsidRPr="00191266">
        <w:t>有學者指出，不分區立委代表因其席次有限，故發揮不了主導功能；針對於某些立委為特定群體之利益而服務或背書之行為，不分區代表無法加以平衡或壓制；不分區代表嚴重地欠缺民意基礎；不分區立委對於立法院中，政黨紀律渙散之亂象，無法有效整合；亦即，全國不分區代表立委之機制，明顯未達成當初所設定之目標；全國性、功能性、代表性與均衡性；再者，亦無法有效地匡正與壓制部分區域立委代表之個人取向性、局部利益性與言行極端性；</w:t>
      </w:r>
      <w:r w:rsidR="00203F72" w:rsidRPr="00191266">
        <w:t>8.</w:t>
      </w:r>
      <w:r w:rsidR="00203F72" w:rsidRPr="00191266">
        <w:t>就立委席次而言，現階段面臨之批評，是人數過少，有可能數位委員即可操縱一個委員會，其立法品質、法案之公平與正義，受到強烈之質疑；</w:t>
      </w:r>
      <w:r w:rsidR="00203F72" w:rsidRPr="00191266">
        <w:t>9.</w:t>
      </w:r>
      <w:r w:rsidR="00203F72" w:rsidRPr="00191266">
        <w:t>根據陳志華教授之研究，台灣地區立委人數之數量，宜在</w:t>
      </w:r>
      <w:r w:rsidR="00203F72" w:rsidRPr="00191266">
        <w:t>225</w:t>
      </w:r>
      <w:r w:rsidR="00203F72" w:rsidRPr="00191266">
        <w:t>人至</w:t>
      </w:r>
      <w:r w:rsidR="00203F72" w:rsidRPr="00191266">
        <w:t>285</w:t>
      </w:r>
      <w:r w:rsidR="00203F72" w:rsidRPr="00191266">
        <w:t>人之間；目前之</w:t>
      </w:r>
      <w:r w:rsidR="00203F72" w:rsidRPr="00191266">
        <w:t>113</w:t>
      </w:r>
      <w:r w:rsidR="00203F72" w:rsidRPr="00191266">
        <w:t>人，代表性與正當性受到挑戰；目前立法院計有</w:t>
      </w:r>
      <w:r w:rsidR="00203F72" w:rsidRPr="00191266">
        <w:t>12</w:t>
      </w:r>
      <w:r w:rsidR="00203F72" w:rsidRPr="00191266">
        <w:t>個委員會，每一個委員會平可分配</w:t>
      </w:r>
      <w:r w:rsidR="00203F72" w:rsidRPr="00191266">
        <w:t>9.4</w:t>
      </w:r>
      <w:r w:rsidR="00203F72" w:rsidRPr="00191266">
        <w:t>人（</w:t>
      </w:r>
      <w:r w:rsidR="00203F72" w:rsidRPr="00191266">
        <w:t>113</w:t>
      </w:r>
      <w:r w:rsidR="00203F72" w:rsidRPr="00191266">
        <w:t>人</w:t>
      </w:r>
      <w:r w:rsidR="00203F72" w:rsidRPr="00191266">
        <w:t>/12</w:t>
      </w:r>
      <w:r w:rsidR="00203F72" w:rsidRPr="00191266">
        <w:t>＝</w:t>
      </w:r>
      <w:r w:rsidR="00203F72" w:rsidRPr="00191266">
        <w:t>9.4</w:t>
      </w:r>
      <w:r w:rsidR="00203F72" w:rsidRPr="00191266">
        <w:t>人）；由於委員會人數有限，故其運作之程序與決議案，是否真正代表中華民國自由地區人民之真實民意，受到嚴重之質疑；有可能出現數位主委，即可操縱法律案之決議內容；為瞭解決此一困境，重要之法案，宜以「聯席委員會」之方式召開為佳。</w:t>
      </w:r>
    </w:p>
    <w:p w14:paraId="422CF4E5" w14:textId="77777777" w:rsidR="00884F83" w:rsidRPr="00191266" w:rsidRDefault="00884F83" w:rsidP="00D87D91"/>
    <w:p w14:paraId="51BBDDCB" w14:textId="7810EC53" w:rsidR="00203F72" w:rsidRPr="00191266" w:rsidRDefault="00B03E84" w:rsidP="00D87D91">
      <w:r w:rsidRPr="00191266">
        <w:t>【</w:t>
      </w:r>
      <w:r w:rsidRPr="00191266">
        <w:t>table</w:t>
      </w:r>
      <w:r w:rsidR="005E23E3" w:rsidRPr="00191266">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83</w:t>
      </w:r>
      <w:r w:rsidR="00076467">
        <w:rPr>
          <w:noProof/>
        </w:rPr>
        <w:fldChar w:fldCharType="end"/>
      </w:r>
      <w:r w:rsidR="00203F72" w:rsidRPr="00191266">
        <w:rPr>
          <w:rFonts w:hint="eastAsia"/>
        </w:rPr>
        <w:t>第六次與第七次憲法增修條文對於立委選舉規範之差異性比較表</w:t>
      </w:r>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005"/>
        <w:gridCol w:w="3515"/>
      </w:tblGrid>
      <w:tr w:rsidR="00203F72" w:rsidRPr="00191266" w14:paraId="1E3E762C" w14:textId="77777777" w:rsidTr="00884F83">
        <w:trPr>
          <w:tblHeader/>
        </w:trPr>
        <w:tc>
          <w:tcPr>
            <w:tcW w:w="1418" w:type="dxa"/>
            <w:shd w:val="clear" w:color="auto" w:fill="FAF0FA"/>
          </w:tcPr>
          <w:p w14:paraId="2F38951B" w14:textId="77777777" w:rsidR="00203F72" w:rsidRPr="00191266" w:rsidRDefault="00203F72" w:rsidP="00D87D91"/>
        </w:tc>
        <w:tc>
          <w:tcPr>
            <w:tcW w:w="3005" w:type="dxa"/>
            <w:shd w:val="clear" w:color="auto" w:fill="FAF0FA"/>
          </w:tcPr>
          <w:p w14:paraId="28BCF6EA" w14:textId="77777777" w:rsidR="00203F72" w:rsidRPr="00191266" w:rsidRDefault="00203F72" w:rsidP="00D87D91">
            <w:r w:rsidRPr="00191266">
              <w:rPr>
                <w:rFonts w:hint="eastAsia"/>
              </w:rPr>
              <w:t>第六次憲法增修條</w:t>
            </w:r>
            <w:r w:rsidR="009A2820" w:rsidRPr="00306E89">
              <w:t>文</w:t>
            </w:r>
            <w:hyperlink r:id="rId1514"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Pr="00191266">
              <w:rPr>
                <w:rFonts w:hint="eastAsia"/>
              </w:rPr>
              <w:t>第</w:t>
            </w:r>
            <w:r w:rsidRPr="00191266">
              <w:rPr>
                <w:rFonts w:hint="eastAsia"/>
              </w:rPr>
              <w:t>1</w:t>
            </w:r>
            <w:r w:rsidRPr="00191266">
              <w:rPr>
                <w:rFonts w:hint="eastAsia"/>
              </w:rPr>
              <w:t>項、第</w:t>
            </w:r>
            <w:r w:rsidRPr="00191266">
              <w:rPr>
                <w:rFonts w:hint="eastAsia"/>
              </w:rPr>
              <w:t>2</w:t>
            </w:r>
            <w:r w:rsidRPr="00191266">
              <w:rPr>
                <w:rFonts w:hint="eastAsia"/>
              </w:rPr>
              <w:t>項</w:t>
            </w:r>
          </w:p>
        </w:tc>
        <w:tc>
          <w:tcPr>
            <w:tcW w:w="3515" w:type="dxa"/>
            <w:shd w:val="clear" w:color="auto" w:fill="FAF0FA"/>
          </w:tcPr>
          <w:p w14:paraId="74593B22" w14:textId="77777777" w:rsidR="00203F72" w:rsidRPr="00191266" w:rsidRDefault="00203F72" w:rsidP="00D87D91">
            <w:r w:rsidRPr="00191266">
              <w:rPr>
                <w:rFonts w:hint="eastAsia"/>
              </w:rPr>
              <w:t>第七次憲法增修條</w:t>
            </w:r>
            <w:r w:rsidR="009A2820" w:rsidRPr="00306E89">
              <w:t>文</w:t>
            </w:r>
            <w:hyperlink r:id="rId1515"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Pr="00191266">
              <w:rPr>
                <w:rFonts w:hint="eastAsia"/>
              </w:rPr>
              <w:t>第</w:t>
            </w:r>
            <w:r w:rsidRPr="00191266">
              <w:rPr>
                <w:rFonts w:hint="eastAsia"/>
              </w:rPr>
              <w:t>1</w:t>
            </w:r>
            <w:r w:rsidRPr="00191266">
              <w:rPr>
                <w:rFonts w:hint="eastAsia"/>
              </w:rPr>
              <w:t>項、第</w:t>
            </w:r>
            <w:r w:rsidRPr="00191266">
              <w:rPr>
                <w:rFonts w:hint="eastAsia"/>
              </w:rPr>
              <w:t>2</w:t>
            </w:r>
            <w:r w:rsidRPr="00191266">
              <w:rPr>
                <w:rFonts w:hint="eastAsia"/>
              </w:rPr>
              <w:t>項</w:t>
            </w:r>
          </w:p>
        </w:tc>
      </w:tr>
      <w:tr w:rsidR="00203F72" w:rsidRPr="00191266" w14:paraId="04343E3A" w14:textId="77777777" w:rsidTr="00203F72">
        <w:tc>
          <w:tcPr>
            <w:tcW w:w="1418" w:type="dxa"/>
            <w:shd w:val="clear" w:color="auto" w:fill="auto"/>
          </w:tcPr>
          <w:p w14:paraId="5D484256" w14:textId="77777777" w:rsidR="00203F72" w:rsidRPr="00191266" w:rsidRDefault="00203F72" w:rsidP="00D87D91">
            <w:r w:rsidRPr="00191266">
              <w:rPr>
                <w:rFonts w:hint="eastAsia"/>
              </w:rPr>
              <w:t>總員額→減半</w:t>
            </w:r>
          </w:p>
        </w:tc>
        <w:tc>
          <w:tcPr>
            <w:tcW w:w="3005" w:type="dxa"/>
            <w:shd w:val="clear" w:color="auto" w:fill="auto"/>
            <w:vAlign w:val="center"/>
          </w:tcPr>
          <w:p w14:paraId="3825BA9B" w14:textId="77777777" w:rsidR="00203F72" w:rsidRPr="00191266" w:rsidRDefault="00203F72" w:rsidP="00D87D91">
            <w:r w:rsidRPr="00191266">
              <w:rPr>
                <w:rFonts w:hint="eastAsia"/>
              </w:rPr>
              <w:t>225</w:t>
            </w:r>
            <w:r w:rsidRPr="00191266">
              <w:rPr>
                <w:rFonts w:hint="eastAsia"/>
              </w:rPr>
              <w:t>人</w:t>
            </w:r>
          </w:p>
        </w:tc>
        <w:tc>
          <w:tcPr>
            <w:tcW w:w="3515" w:type="dxa"/>
            <w:shd w:val="clear" w:color="auto" w:fill="auto"/>
            <w:vAlign w:val="center"/>
          </w:tcPr>
          <w:p w14:paraId="1A748C3A" w14:textId="77777777" w:rsidR="00203F72" w:rsidRPr="00191266" w:rsidRDefault="00203F72" w:rsidP="00D87D91">
            <w:r w:rsidRPr="00191266">
              <w:rPr>
                <w:rFonts w:hint="eastAsia"/>
              </w:rPr>
              <w:t>113</w:t>
            </w:r>
            <w:r w:rsidRPr="00191266">
              <w:rPr>
                <w:rFonts w:hint="eastAsia"/>
              </w:rPr>
              <w:t>人</w:t>
            </w:r>
          </w:p>
        </w:tc>
      </w:tr>
      <w:tr w:rsidR="00203F72" w:rsidRPr="00191266" w14:paraId="05EFD543" w14:textId="77777777" w:rsidTr="00203F72">
        <w:tc>
          <w:tcPr>
            <w:tcW w:w="1418" w:type="dxa"/>
            <w:shd w:val="clear" w:color="auto" w:fill="auto"/>
          </w:tcPr>
          <w:p w14:paraId="6343F08A" w14:textId="77777777" w:rsidR="00203F72" w:rsidRPr="00191266" w:rsidRDefault="00203F72" w:rsidP="00D87D91">
            <w:r w:rsidRPr="00191266">
              <w:rPr>
                <w:rFonts w:hint="eastAsia"/>
              </w:rPr>
              <w:t>選舉制度→單一選區兩票制</w:t>
            </w:r>
          </w:p>
        </w:tc>
        <w:tc>
          <w:tcPr>
            <w:tcW w:w="3005" w:type="dxa"/>
            <w:shd w:val="clear" w:color="auto" w:fill="auto"/>
          </w:tcPr>
          <w:p w14:paraId="406FC42F" w14:textId="77777777" w:rsidR="00203F72" w:rsidRPr="00191266" w:rsidRDefault="00884F83" w:rsidP="00D87D91">
            <w:r>
              <w:rPr>
                <w:rFonts w:hint="eastAsia"/>
              </w:rPr>
              <w:t xml:space="preserve">　　</w:t>
            </w:r>
            <w:r w:rsidR="00203F72" w:rsidRPr="00191266">
              <w:rPr>
                <w:rFonts w:hint="eastAsia"/>
              </w:rPr>
              <w:t>區域立委→複數選區的相對多數選舉制</w:t>
            </w:r>
          </w:p>
          <w:p w14:paraId="1AC6280D" w14:textId="77777777" w:rsidR="00203F72" w:rsidRPr="00191266" w:rsidRDefault="00884F83" w:rsidP="00D87D91">
            <w:r>
              <w:rPr>
                <w:rFonts w:hint="eastAsia"/>
              </w:rPr>
              <w:t xml:space="preserve">　　</w:t>
            </w:r>
            <w:r w:rsidR="00203F72" w:rsidRPr="00191266">
              <w:rPr>
                <w:rFonts w:hint="eastAsia"/>
              </w:rPr>
              <w:t>直轄市、縣市：</w:t>
            </w:r>
            <w:r w:rsidR="00203F72" w:rsidRPr="00191266">
              <w:rPr>
                <w:rFonts w:hint="eastAsia"/>
              </w:rPr>
              <w:t>168</w:t>
            </w:r>
            <w:r w:rsidR="00203F72" w:rsidRPr="00191266">
              <w:rPr>
                <w:rFonts w:hint="eastAsia"/>
              </w:rPr>
              <w:t>人。</w:t>
            </w:r>
          </w:p>
          <w:p w14:paraId="3EFB408E" w14:textId="77777777" w:rsidR="00203F72" w:rsidRPr="00191266" w:rsidRDefault="00884F83" w:rsidP="00D87D91">
            <w:r>
              <w:rPr>
                <w:rFonts w:hint="eastAsia"/>
              </w:rPr>
              <w:t xml:space="preserve">　　</w:t>
            </w:r>
            <w:r w:rsidR="00203F72" w:rsidRPr="00191266">
              <w:rPr>
                <w:rFonts w:hint="eastAsia"/>
              </w:rPr>
              <w:t>平地原住民</w:t>
            </w:r>
            <w:r w:rsidR="00203F72" w:rsidRPr="00191266">
              <w:rPr>
                <w:rFonts w:hint="eastAsia"/>
              </w:rPr>
              <w:t>:4</w:t>
            </w:r>
            <w:r w:rsidR="00203F72" w:rsidRPr="00191266">
              <w:rPr>
                <w:rFonts w:hint="eastAsia"/>
              </w:rPr>
              <w:t>人。</w:t>
            </w:r>
          </w:p>
          <w:p w14:paraId="47E86C84" w14:textId="77777777" w:rsidR="00203F72" w:rsidRPr="00191266" w:rsidRDefault="00884F83" w:rsidP="00D87D91">
            <w:r>
              <w:rPr>
                <w:rFonts w:hint="eastAsia"/>
              </w:rPr>
              <w:t xml:space="preserve">　　</w:t>
            </w:r>
            <w:r w:rsidR="00203F72" w:rsidRPr="00191266">
              <w:rPr>
                <w:rFonts w:hint="eastAsia"/>
              </w:rPr>
              <w:t>山地原住民</w:t>
            </w:r>
            <w:r w:rsidR="00203F72" w:rsidRPr="00191266">
              <w:rPr>
                <w:rFonts w:hint="eastAsia"/>
              </w:rPr>
              <w:t>: 4</w:t>
            </w:r>
            <w:r w:rsidR="00203F72" w:rsidRPr="00191266">
              <w:rPr>
                <w:rFonts w:hint="eastAsia"/>
              </w:rPr>
              <w:t>人。</w:t>
            </w:r>
          </w:p>
          <w:p w14:paraId="3A97D121" w14:textId="77777777" w:rsidR="00203F72" w:rsidRPr="00191266" w:rsidRDefault="00884F83" w:rsidP="00D87D91">
            <w:r>
              <w:rPr>
                <w:rFonts w:hint="eastAsia"/>
              </w:rPr>
              <w:t xml:space="preserve">　　</w:t>
            </w:r>
            <w:r w:rsidR="00203F72" w:rsidRPr="00191266">
              <w:rPr>
                <w:rFonts w:hint="eastAsia"/>
              </w:rPr>
              <w:t>僑選及不分區立委→政黨比例代表制</w:t>
            </w:r>
          </w:p>
          <w:p w14:paraId="6D3EBC46" w14:textId="77777777" w:rsidR="00203F72" w:rsidRPr="00191266" w:rsidRDefault="00884F83" w:rsidP="00D87D91">
            <w:r>
              <w:rPr>
                <w:rFonts w:hint="eastAsia"/>
              </w:rPr>
              <w:t xml:space="preserve">　　</w:t>
            </w:r>
            <w:r w:rsidR="00203F72" w:rsidRPr="00191266">
              <w:rPr>
                <w:rFonts w:hint="eastAsia"/>
              </w:rPr>
              <w:t>僑選立委</w:t>
            </w:r>
            <w:r w:rsidR="00203F72" w:rsidRPr="00191266">
              <w:rPr>
                <w:rFonts w:hint="eastAsia"/>
              </w:rPr>
              <w:t>:8</w:t>
            </w:r>
            <w:r w:rsidR="00203F72" w:rsidRPr="00191266">
              <w:rPr>
                <w:rFonts w:hint="eastAsia"/>
              </w:rPr>
              <w:t>人。</w:t>
            </w:r>
          </w:p>
          <w:p w14:paraId="1AC9A8BE" w14:textId="77777777" w:rsidR="00203F72" w:rsidRPr="00191266" w:rsidRDefault="00884F83" w:rsidP="00D87D91">
            <w:r>
              <w:rPr>
                <w:rFonts w:hint="eastAsia"/>
              </w:rPr>
              <w:t xml:space="preserve">　　</w:t>
            </w:r>
            <w:r w:rsidR="00203F72" w:rsidRPr="00191266">
              <w:rPr>
                <w:rFonts w:hint="eastAsia"/>
              </w:rPr>
              <w:t>全國不分區立委</w:t>
            </w:r>
            <w:r w:rsidR="00203F72" w:rsidRPr="00191266">
              <w:rPr>
                <w:rFonts w:hint="eastAsia"/>
              </w:rPr>
              <w:t>: 41</w:t>
            </w:r>
            <w:r w:rsidR="00203F72" w:rsidRPr="00191266">
              <w:rPr>
                <w:rFonts w:hint="eastAsia"/>
              </w:rPr>
              <w:t>人。</w:t>
            </w:r>
          </w:p>
        </w:tc>
        <w:tc>
          <w:tcPr>
            <w:tcW w:w="3515" w:type="dxa"/>
            <w:shd w:val="clear" w:color="auto" w:fill="auto"/>
          </w:tcPr>
          <w:p w14:paraId="455B364C" w14:textId="77777777" w:rsidR="00203F72" w:rsidRPr="00191266" w:rsidRDefault="00884F83" w:rsidP="00D87D91">
            <w:r>
              <w:rPr>
                <w:rFonts w:hint="eastAsia"/>
              </w:rPr>
              <w:t xml:space="preserve">　　</w:t>
            </w:r>
            <w:r w:rsidR="00203F72" w:rsidRPr="00191266">
              <w:rPr>
                <w:rFonts w:hint="eastAsia"/>
              </w:rPr>
              <w:t>一、區域立委→單一選區直轄市、縣市部分相對多數選舉制：</w:t>
            </w:r>
          </w:p>
          <w:p w14:paraId="573EE111" w14:textId="77777777" w:rsidR="00203F72" w:rsidRPr="00191266" w:rsidRDefault="00884F83" w:rsidP="00D87D91">
            <w:r>
              <w:rPr>
                <w:rFonts w:hint="eastAsia"/>
              </w:rPr>
              <w:t xml:space="preserve">　　</w:t>
            </w:r>
            <w:r w:rsidR="00203F72" w:rsidRPr="00191266">
              <w:rPr>
                <w:rFonts w:hint="eastAsia"/>
              </w:rPr>
              <w:t>(</w:t>
            </w:r>
            <w:r w:rsidR="00203F72" w:rsidRPr="00191266">
              <w:rPr>
                <w:rFonts w:hint="eastAsia"/>
              </w:rPr>
              <w:t>一</w:t>
            </w:r>
            <w:r w:rsidR="00203F72" w:rsidRPr="00191266">
              <w:rPr>
                <w:rFonts w:hint="eastAsia"/>
              </w:rPr>
              <w:t>)</w:t>
            </w:r>
            <w:r w:rsidR="00203F72" w:rsidRPr="00191266">
              <w:rPr>
                <w:rFonts w:hint="eastAsia"/>
              </w:rPr>
              <w:t>直轄市、縣市：</w:t>
            </w:r>
            <w:r w:rsidR="00203F72" w:rsidRPr="00191266">
              <w:rPr>
                <w:rFonts w:hint="eastAsia"/>
              </w:rPr>
              <w:t>73</w:t>
            </w:r>
            <w:r w:rsidR="00203F72" w:rsidRPr="00191266">
              <w:rPr>
                <w:rFonts w:hint="eastAsia"/>
              </w:rPr>
              <w:t>人。每縣市至少</w:t>
            </w:r>
            <w:r w:rsidR="00203F72" w:rsidRPr="00191266">
              <w:rPr>
                <w:rFonts w:hint="eastAsia"/>
              </w:rPr>
              <w:t>1</w:t>
            </w:r>
            <w:r w:rsidR="00203F72" w:rsidRPr="00191266">
              <w:rPr>
                <w:rFonts w:hint="eastAsia"/>
              </w:rPr>
              <w:t>人。</w:t>
            </w:r>
          </w:p>
          <w:p w14:paraId="224D32C0" w14:textId="77777777" w:rsidR="00203F72" w:rsidRPr="00191266" w:rsidRDefault="00884F83" w:rsidP="00D87D91">
            <w:r>
              <w:rPr>
                <w:rFonts w:hint="eastAsia"/>
              </w:rPr>
              <w:t xml:space="preserve">　　</w:t>
            </w:r>
            <w:r w:rsidR="00203F72" w:rsidRPr="00191266">
              <w:rPr>
                <w:rFonts w:hint="eastAsia"/>
              </w:rPr>
              <w:t>(</w:t>
            </w:r>
            <w:r w:rsidR="00203F72" w:rsidRPr="00191266">
              <w:rPr>
                <w:rFonts w:hint="eastAsia"/>
              </w:rPr>
              <w:t>二</w:t>
            </w:r>
            <w:r w:rsidR="00203F72" w:rsidRPr="00191266">
              <w:rPr>
                <w:rFonts w:hint="eastAsia"/>
              </w:rPr>
              <w:t>)</w:t>
            </w:r>
            <w:r w:rsidR="00203F72" w:rsidRPr="00191266">
              <w:rPr>
                <w:rFonts w:hint="eastAsia"/>
              </w:rPr>
              <w:t>平地原住民</w:t>
            </w:r>
            <w:r w:rsidR="00203F72" w:rsidRPr="00191266">
              <w:rPr>
                <w:rFonts w:hint="eastAsia"/>
              </w:rPr>
              <w:t>: 3</w:t>
            </w:r>
            <w:r w:rsidR="00203F72" w:rsidRPr="00191266">
              <w:rPr>
                <w:rFonts w:hint="eastAsia"/>
              </w:rPr>
              <w:t>人。</w:t>
            </w:r>
          </w:p>
          <w:p w14:paraId="06A0C6F8" w14:textId="77777777" w:rsidR="00203F72" w:rsidRPr="00191266" w:rsidRDefault="00884F83" w:rsidP="00D87D91">
            <w:r>
              <w:rPr>
                <w:rFonts w:hint="eastAsia"/>
              </w:rPr>
              <w:t xml:space="preserve">　　</w:t>
            </w:r>
            <w:r w:rsidR="00203F72" w:rsidRPr="00191266">
              <w:rPr>
                <w:rFonts w:hint="eastAsia"/>
              </w:rPr>
              <w:t>(</w:t>
            </w:r>
            <w:r w:rsidR="00203F72" w:rsidRPr="00191266">
              <w:rPr>
                <w:rFonts w:hint="eastAsia"/>
              </w:rPr>
              <w:t>三</w:t>
            </w:r>
            <w:r w:rsidR="00203F72" w:rsidRPr="00191266">
              <w:rPr>
                <w:rFonts w:hint="eastAsia"/>
              </w:rPr>
              <w:t>)</w:t>
            </w:r>
            <w:r w:rsidR="00203F72" w:rsidRPr="00191266">
              <w:rPr>
                <w:rFonts w:hint="eastAsia"/>
              </w:rPr>
              <w:t>山地原住民</w:t>
            </w:r>
            <w:r w:rsidR="00203F72" w:rsidRPr="00191266">
              <w:rPr>
                <w:rFonts w:hint="eastAsia"/>
              </w:rPr>
              <w:t>: 3</w:t>
            </w:r>
            <w:r w:rsidR="00203F72" w:rsidRPr="00191266">
              <w:rPr>
                <w:rFonts w:hint="eastAsia"/>
              </w:rPr>
              <w:t>人。</w:t>
            </w:r>
          </w:p>
          <w:p w14:paraId="60FDDC0D" w14:textId="77777777" w:rsidR="00203F72" w:rsidRPr="00191266" w:rsidRDefault="00884F83" w:rsidP="00D87D91">
            <w:r>
              <w:rPr>
                <w:rFonts w:hint="eastAsia"/>
              </w:rPr>
              <w:t xml:space="preserve">　　</w:t>
            </w:r>
            <w:r w:rsidR="00203F72" w:rsidRPr="00191266">
              <w:rPr>
                <w:rFonts w:hint="eastAsia"/>
              </w:rPr>
              <w:t>二、僑選及不分區立委→依政黨名單投票選舉之，由獲得百分之五以上政黨選舉票之政黨，依得票比率選出之：共</w:t>
            </w:r>
            <w:r w:rsidR="00203F72" w:rsidRPr="00191266">
              <w:rPr>
                <w:rFonts w:hint="eastAsia"/>
              </w:rPr>
              <w:t>34</w:t>
            </w:r>
            <w:r w:rsidR="00203F72" w:rsidRPr="00191266">
              <w:rPr>
                <w:rFonts w:hint="eastAsia"/>
              </w:rPr>
              <w:t>人。</w:t>
            </w:r>
          </w:p>
        </w:tc>
      </w:tr>
      <w:tr w:rsidR="00203F72" w:rsidRPr="00191266" w14:paraId="30EE22A9" w14:textId="77777777" w:rsidTr="00203F72">
        <w:tc>
          <w:tcPr>
            <w:tcW w:w="1418" w:type="dxa"/>
            <w:shd w:val="clear" w:color="auto" w:fill="auto"/>
          </w:tcPr>
          <w:p w14:paraId="5CD52C73" w14:textId="77777777" w:rsidR="00203F72" w:rsidRPr="00191266" w:rsidRDefault="00203F72" w:rsidP="00D87D91">
            <w:r w:rsidRPr="00191266">
              <w:rPr>
                <w:rFonts w:hint="eastAsia"/>
              </w:rPr>
              <w:t>婦女保障名額→改依附在「政黨比例代表」下</w:t>
            </w:r>
          </w:p>
        </w:tc>
        <w:tc>
          <w:tcPr>
            <w:tcW w:w="3005" w:type="dxa"/>
            <w:shd w:val="clear" w:color="auto" w:fill="auto"/>
          </w:tcPr>
          <w:p w14:paraId="7917320F" w14:textId="77777777" w:rsidR="00203F72" w:rsidRPr="00191266" w:rsidRDefault="00203F72" w:rsidP="00D87D91">
            <w:r w:rsidRPr="00191266">
              <w:rPr>
                <w:rFonts w:hint="eastAsia"/>
              </w:rPr>
              <w:t>各政黨當選之名額，在五人以上十人以下者，應有婦女當選名額一人，超過十人者，每滿十人，應增婦女當選名額一人。</w:t>
            </w:r>
          </w:p>
        </w:tc>
        <w:tc>
          <w:tcPr>
            <w:tcW w:w="3515" w:type="dxa"/>
            <w:shd w:val="clear" w:color="auto" w:fill="auto"/>
          </w:tcPr>
          <w:p w14:paraId="09E85413" w14:textId="77777777" w:rsidR="00203F72" w:rsidRPr="00191266" w:rsidRDefault="00203F72" w:rsidP="00D87D91">
            <w:r w:rsidRPr="00191266">
              <w:rPr>
                <w:rFonts w:hint="eastAsia"/>
              </w:rPr>
              <w:t>僑選及不分區立委之各政黨當選名單中，婦女不得低於二分之一。</w:t>
            </w:r>
          </w:p>
        </w:tc>
      </w:tr>
      <w:tr w:rsidR="00203F72" w:rsidRPr="00191266" w14:paraId="0133FAEE" w14:textId="77777777" w:rsidTr="00203F72">
        <w:tc>
          <w:tcPr>
            <w:tcW w:w="1418" w:type="dxa"/>
            <w:shd w:val="clear" w:color="auto" w:fill="auto"/>
          </w:tcPr>
          <w:p w14:paraId="3AB48B5B" w14:textId="77777777" w:rsidR="00203F72" w:rsidRPr="00191266" w:rsidRDefault="00203F72" w:rsidP="00D87D91">
            <w:r w:rsidRPr="00191266">
              <w:rPr>
                <w:rFonts w:hint="eastAsia"/>
              </w:rPr>
              <w:t>任期→延長為四年</w:t>
            </w:r>
          </w:p>
        </w:tc>
        <w:tc>
          <w:tcPr>
            <w:tcW w:w="3005" w:type="dxa"/>
            <w:shd w:val="clear" w:color="auto" w:fill="auto"/>
            <w:vAlign w:val="center"/>
          </w:tcPr>
          <w:p w14:paraId="3B52F35B" w14:textId="77777777" w:rsidR="00203F72" w:rsidRPr="00191266" w:rsidRDefault="00203F72" w:rsidP="00D87D91">
            <w:r w:rsidRPr="00191266">
              <w:rPr>
                <w:rFonts w:hint="eastAsia"/>
              </w:rPr>
              <w:t>三年；連選得連任。</w:t>
            </w:r>
          </w:p>
        </w:tc>
        <w:tc>
          <w:tcPr>
            <w:tcW w:w="3515" w:type="dxa"/>
            <w:shd w:val="clear" w:color="auto" w:fill="auto"/>
            <w:vAlign w:val="center"/>
          </w:tcPr>
          <w:p w14:paraId="784EC6F7" w14:textId="77777777" w:rsidR="00203F72" w:rsidRPr="00191266" w:rsidRDefault="00203F72" w:rsidP="00D87D91">
            <w:r w:rsidRPr="00191266">
              <w:rPr>
                <w:rFonts w:hint="eastAsia"/>
              </w:rPr>
              <w:t>四年；連選得連任。</w:t>
            </w:r>
          </w:p>
        </w:tc>
      </w:tr>
    </w:tbl>
    <w:p w14:paraId="422E200D" w14:textId="77777777" w:rsidR="00953151" w:rsidRPr="00191266" w:rsidRDefault="002107CE" w:rsidP="00D87D91">
      <w:r w:rsidRPr="00191266">
        <w:rPr>
          <w:rFonts w:hint="eastAsia"/>
        </w:rPr>
        <w:t>【本表格資料來源】</w:t>
      </w:r>
      <w:r w:rsidR="00203F72" w:rsidRPr="00191266">
        <w:rPr>
          <w:rFonts w:hint="eastAsia"/>
        </w:rPr>
        <w:t>植憲</w:t>
      </w:r>
      <w:r w:rsidR="00203F72" w:rsidRPr="00191266">
        <w:rPr>
          <w:rFonts w:hint="eastAsia"/>
        </w:rPr>
        <w:t>(2012)</w:t>
      </w:r>
      <w:r w:rsidR="00203F72" w:rsidRPr="00191266">
        <w:rPr>
          <w:rFonts w:hint="eastAsia"/>
        </w:rPr>
        <w:t>，憲法解題概念操作</w:t>
      </w:r>
      <w:r w:rsidR="00203F72" w:rsidRPr="00191266">
        <w:rPr>
          <w:rFonts w:hint="eastAsia"/>
        </w:rPr>
        <w:t>(</w:t>
      </w:r>
      <w:r w:rsidR="00203F72" w:rsidRPr="00191266">
        <w:rPr>
          <w:rFonts w:hint="eastAsia"/>
        </w:rPr>
        <w:t>下</w:t>
      </w:r>
      <w:r w:rsidR="00203F72" w:rsidRPr="00191266">
        <w:rPr>
          <w:rFonts w:hint="eastAsia"/>
        </w:rPr>
        <w:t>)</w:t>
      </w:r>
      <w:r w:rsidR="00203F72" w:rsidRPr="00191266">
        <w:rPr>
          <w:rFonts w:hint="eastAsia"/>
        </w:rPr>
        <w:t>，</w:t>
      </w:r>
      <w:r w:rsidR="00203F72" w:rsidRPr="00191266">
        <w:rPr>
          <w:rFonts w:hint="eastAsia"/>
        </w:rPr>
        <w:t>7</w:t>
      </w:r>
      <w:r w:rsidR="00203F72" w:rsidRPr="00191266">
        <w:rPr>
          <w:rFonts w:hint="eastAsia"/>
        </w:rPr>
        <w:t>版</w:t>
      </w:r>
      <w:r w:rsidR="00203F72" w:rsidRPr="00191266">
        <w:rPr>
          <w:rFonts w:hint="eastAsia"/>
        </w:rPr>
        <w:t xml:space="preserve">1 </w:t>
      </w:r>
      <w:r w:rsidR="00203F72" w:rsidRPr="00191266">
        <w:rPr>
          <w:rFonts w:hint="eastAsia"/>
        </w:rPr>
        <w:t>刷，台北：植憲公司，第</w:t>
      </w:r>
      <w:r w:rsidR="00203F72" w:rsidRPr="00191266">
        <w:rPr>
          <w:rFonts w:hint="eastAsia"/>
        </w:rPr>
        <w:t>5-76</w:t>
      </w:r>
      <w:r w:rsidR="00203F72" w:rsidRPr="00191266">
        <w:rPr>
          <w:rFonts w:hint="eastAsia"/>
        </w:rPr>
        <w:t>頁。</w:t>
      </w:r>
    </w:p>
    <w:p w14:paraId="7E907746" w14:textId="77777777" w:rsidR="00953151" w:rsidRDefault="00367D0C" w:rsidP="00D87D91">
      <w:r w:rsidRPr="00191266">
        <w:t xml:space="preserve">　　</w:t>
      </w:r>
      <w:r w:rsidR="00203F72" w:rsidRPr="00191266">
        <w:t>就憲法增修條</w:t>
      </w:r>
      <w:r w:rsidR="009A2820" w:rsidRPr="00306E89">
        <w:t>文</w:t>
      </w:r>
      <w:hyperlink r:id="rId1516"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5</w:t>
      </w:r>
      <w:r w:rsidR="00203F72" w:rsidRPr="00191266">
        <w:t>項而論，係規範立委之「領土變更案提出權」；有關於中華民國領土之變更議題，立法委員有權限提出「領土變更案」，之後，進行公告之程序，公告半年之後，交由中華民國自由地區選舉人投票複決；複決之門檻標準，係為二分之一。假若選舉人投票之結果，通過二分之一之門檻，即可變更中華民國領土。領土係為構成中華民</w:t>
      </w:r>
      <w:r w:rsidR="00203F72" w:rsidRPr="00191266">
        <w:rPr>
          <w:rFonts w:hint="eastAsia"/>
        </w:rPr>
        <w:t>國存在之要素之一，故有關於</w:t>
      </w:r>
      <w:r w:rsidR="00203F72" w:rsidRPr="00191266">
        <w:t>「領土變更案」之提出，實宜十二萬分小心與謹慎為佳</w:t>
      </w:r>
      <w:r w:rsidR="00545D58" w:rsidRPr="00191266">
        <w:t>。</w:t>
      </w:r>
    </w:p>
    <w:p w14:paraId="073CBAF5" w14:textId="77777777" w:rsidR="00ED5438" w:rsidRPr="00191266" w:rsidRDefault="00ED5438" w:rsidP="00D87D91"/>
    <w:p w14:paraId="3FDD0CAA" w14:textId="13042EB3" w:rsidR="00203F72" w:rsidRPr="00191266" w:rsidRDefault="00B03E84" w:rsidP="00D87D91">
      <w:r w:rsidRPr="00191266">
        <w:t>【</w:t>
      </w:r>
      <w:r w:rsidRPr="00191266">
        <w:t>table</w:t>
      </w:r>
      <w:r w:rsidR="005E23E3" w:rsidRPr="00191266">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84</w:t>
      </w:r>
      <w:r w:rsidR="00076467">
        <w:rPr>
          <w:noProof/>
        </w:rPr>
        <w:fldChar w:fldCharType="end"/>
      </w:r>
      <w:r w:rsidR="00203F72" w:rsidRPr="00191266">
        <w:rPr>
          <w:rFonts w:hint="eastAsia"/>
        </w:rPr>
        <w:t>第六次與第七次增憲有關領土變更提案權差異之比較表</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8"/>
        <w:gridCol w:w="4040"/>
      </w:tblGrid>
      <w:tr w:rsidR="00203F72" w:rsidRPr="00191266" w14:paraId="6082EDCC" w14:textId="77777777" w:rsidTr="00203F72">
        <w:trPr>
          <w:tblHeader/>
        </w:trPr>
        <w:tc>
          <w:tcPr>
            <w:tcW w:w="3898" w:type="dxa"/>
            <w:shd w:val="clear" w:color="auto" w:fill="DBE5F1"/>
            <w:vAlign w:val="center"/>
          </w:tcPr>
          <w:p w14:paraId="1E3BB06C" w14:textId="77777777" w:rsidR="00203F72" w:rsidRPr="00191266" w:rsidRDefault="00203F72" w:rsidP="00884F83">
            <w:r w:rsidRPr="00191266">
              <w:rPr>
                <w:rFonts w:hint="eastAsia"/>
              </w:rPr>
              <w:t>第六次增憲</w:t>
            </w:r>
            <w:hyperlink r:id="rId1517" w:anchor="b4" w:history="1">
              <w:r w:rsidR="00884F83" w:rsidRPr="009A2820">
                <w:rPr>
                  <w:rStyle w:val="a5"/>
                  <w:rFonts w:ascii="Times New Roman" w:eastAsia="新細明體" w:hAnsi="Times New Roman"/>
                </w:rPr>
                <w:t>第</w:t>
              </w:r>
              <w:r w:rsidR="00884F83" w:rsidRPr="009A2820">
                <w:rPr>
                  <w:rStyle w:val="a5"/>
                  <w:rFonts w:ascii="Times New Roman" w:eastAsia="新細明體" w:hAnsi="Times New Roman"/>
                </w:rPr>
                <w:t>4</w:t>
              </w:r>
              <w:r w:rsidR="00884F83" w:rsidRPr="009A2820">
                <w:rPr>
                  <w:rStyle w:val="a5"/>
                  <w:rFonts w:ascii="Times New Roman" w:eastAsia="新細明體" w:hAnsi="Times New Roman"/>
                </w:rPr>
                <w:t>條</w:t>
              </w:r>
            </w:hyperlink>
            <w:r w:rsidRPr="00191266">
              <w:rPr>
                <w:rFonts w:hint="eastAsia"/>
              </w:rPr>
              <w:t>第</w:t>
            </w:r>
            <w:r w:rsidRPr="00191266">
              <w:rPr>
                <w:rFonts w:hint="eastAsia"/>
              </w:rPr>
              <w:t>5</w:t>
            </w:r>
            <w:r w:rsidRPr="00191266">
              <w:rPr>
                <w:rFonts w:hint="eastAsia"/>
              </w:rPr>
              <w:t>項</w:t>
            </w:r>
          </w:p>
        </w:tc>
        <w:tc>
          <w:tcPr>
            <w:tcW w:w="4040" w:type="dxa"/>
            <w:shd w:val="clear" w:color="auto" w:fill="DBE5F1"/>
            <w:vAlign w:val="center"/>
          </w:tcPr>
          <w:p w14:paraId="72EBF0D4" w14:textId="77777777" w:rsidR="00203F72" w:rsidRPr="00191266" w:rsidRDefault="00203F72" w:rsidP="00884F83">
            <w:r w:rsidRPr="00191266">
              <w:rPr>
                <w:rFonts w:hint="eastAsia"/>
              </w:rPr>
              <w:t>第七次</w:t>
            </w:r>
            <w:r w:rsidRPr="00191266">
              <w:rPr>
                <w:rFonts w:hint="eastAsia"/>
              </w:rPr>
              <w:t>(94.06.10)</w:t>
            </w:r>
            <w:r w:rsidRPr="00191266">
              <w:rPr>
                <w:rFonts w:hint="eastAsia"/>
              </w:rPr>
              <w:t>增憲第</w:t>
            </w:r>
            <w:r w:rsidRPr="00191266">
              <w:rPr>
                <w:rFonts w:hint="eastAsia"/>
              </w:rPr>
              <w:t>1</w:t>
            </w:r>
            <w:r w:rsidRPr="00191266">
              <w:rPr>
                <w:rFonts w:hint="eastAsia"/>
              </w:rPr>
              <w:t>條第</w:t>
            </w:r>
            <w:r w:rsidRPr="00191266">
              <w:rPr>
                <w:rFonts w:hint="eastAsia"/>
              </w:rPr>
              <w:t>1</w:t>
            </w:r>
            <w:r w:rsidRPr="00191266">
              <w:rPr>
                <w:rFonts w:hint="eastAsia"/>
              </w:rPr>
              <w:t>項、</w:t>
            </w:r>
            <w:hyperlink r:id="rId1518" w:anchor="b4" w:history="1">
              <w:r w:rsidR="00884F83" w:rsidRPr="009A2820">
                <w:rPr>
                  <w:rStyle w:val="a5"/>
                  <w:rFonts w:ascii="Times New Roman" w:eastAsia="新細明體" w:hAnsi="Times New Roman"/>
                </w:rPr>
                <w:t>第</w:t>
              </w:r>
              <w:r w:rsidR="00884F83" w:rsidRPr="009A2820">
                <w:rPr>
                  <w:rStyle w:val="a5"/>
                  <w:rFonts w:ascii="Times New Roman" w:eastAsia="新細明體" w:hAnsi="Times New Roman"/>
                </w:rPr>
                <w:t>4</w:t>
              </w:r>
              <w:r w:rsidR="00884F83" w:rsidRPr="009A2820">
                <w:rPr>
                  <w:rStyle w:val="a5"/>
                  <w:rFonts w:ascii="Times New Roman" w:eastAsia="新細明體" w:hAnsi="Times New Roman"/>
                </w:rPr>
                <w:t>條</w:t>
              </w:r>
            </w:hyperlink>
            <w:r w:rsidRPr="00191266">
              <w:rPr>
                <w:rFonts w:hint="eastAsia"/>
              </w:rPr>
              <w:t>第</w:t>
            </w:r>
            <w:r w:rsidRPr="00191266">
              <w:rPr>
                <w:rFonts w:hint="eastAsia"/>
              </w:rPr>
              <w:t>5</w:t>
            </w:r>
            <w:r w:rsidRPr="00191266">
              <w:rPr>
                <w:rFonts w:hint="eastAsia"/>
              </w:rPr>
              <w:t>項、</w:t>
            </w:r>
          </w:p>
        </w:tc>
      </w:tr>
      <w:tr w:rsidR="00203F72" w:rsidRPr="00191266" w14:paraId="7EF4C19E" w14:textId="77777777" w:rsidTr="00203F72">
        <w:tc>
          <w:tcPr>
            <w:tcW w:w="3898" w:type="dxa"/>
            <w:shd w:val="clear" w:color="auto" w:fill="auto"/>
          </w:tcPr>
          <w:p w14:paraId="19E9A3D2" w14:textId="77777777" w:rsidR="00203F72" w:rsidRPr="00191266" w:rsidRDefault="00203F72" w:rsidP="00D87D91">
            <w:r w:rsidRPr="00191266">
              <w:rPr>
                <w:rFonts w:hint="eastAsia"/>
              </w:rPr>
              <w:t>立法院提案</w:t>
            </w:r>
            <w:r w:rsidRPr="00191266">
              <w:rPr>
                <w:rFonts w:hint="eastAsia"/>
              </w:rPr>
              <w:t>(</w:t>
            </w:r>
            <w:r w:rsidRPr="00191266">
              <w:rPr>
                <w:rFonts w:hint="eastAsia"/>
              </w:rPr>
              <w:t>全體</w:t>
            </w:r>
            <w:r w:rsidRPr="00191266">
              <w:rPr>
                <w:rFonts w:hint="eastAsia"/>
              </w:rPr>
              <w:t>1/4</w:t>
            </w:r>
            <w:r w:rsidRPr="00191266">
              <w:rPr>
                <w:rFonts w:hint="eastAsia"/>
              </w:rPr>
              <w:t>提議</w:t>
            </w:r>
            <w:r w:rsidRPr="00191266">
              <w:rPr>
                <w:rFonts w:hint="eastAsia"/>
              </w:rPr>
              <w:t>+</w:t>
            </w:r>
            <w:r w:rsidRPr="00191266">
              <w:rPr>
                <w:rFonts w:hint="eastAsia"/>
              </w:rPr>
              <w:t>全體</w:t>
            </w:r>
            <w:r w:rsidRPr="00191266">
              <w:rPr>
                <w:rFonts w:hint="eastAsia"/>
              </w:rPr>
              <w:t>3/4</w:t>
            </w:r>
            <w:r w:rsidRPr="00191266">
              <w:rPr>
                <w:rFonts w:hint="eastAsia"/>
              </w:rPr>
              <w:t>出席</w:t>
            </w:r>
            <w:r w:rsidRPr="00191266">
              <w:rPr>
                <w:rFonts w:hint="eastAsia"/>
              </w:rPr>
              <w:t>+</w:t>
            </w:r>
            <w:r w:rsidRPr="00191266">
              <w:rPr>
                <w:rFonts w:hint="eastAsia"/>
              </w:rPr>
              <w:t>出席</w:t>
            </w:r>
            <w:r w:rsidRPr="00191266">
              <w:rPr>
                <w:rFonts w:hint="eastAsia"/>
              </w:rPr>
              <w:t>3/4</w:t>
            </w:r>
            <w:r w:rsidRPr="00191266">
              <w:rPr>
                <w:rFonts w:hint="eastAsia"/>
              </w:rPr>
              <w:t>決議</w:t>
            </w:r>
            <w:r w:rsidRPr="00191266">
              <w:rPr>
                <w:rFonts w:hint="eastAsia"/>
              </w:rPr>
              <w:t>)</w:t>
            </w:r>
            <w:r w:rsidRPr="00191266">
              <w:rPr>
                <w:rFonts w:hint="eastAsia"/>
              </w:rPr>
              <w:t>→國民大會複決</w:t>
            </w:r>
            <w:r w:rsidRPr="00191266">
              <w:rPr>
                <w:rFonts w:hint="eastAsia"/>
              </w:rPr>
              <w:t>(</w:t>
            </w:r>
            <w:r w:rsidRPr="00191266">
              <w:rPr>
                <w:rFonts w:hint="eastAsia"/>
              </w:rPr>
              <w:t>總額</w:t>
            </w:r>
            <w:r w:rsidRPr="00191266">
              <w:rPr>
                <w:rFonts w:hint="eastAsia"/>
              </w:rPr>
              <w:t>2/3</w:t>
            </w:r>
            <w:r w:rsidRPr="00191266">
              <w:rPr>
                <w:rFonts w:hint="eastAsia"/>
              </w:rPr>
              <w:t>出席</w:t>
            </w:r>
            <w:r w:rsidRPr="00191266">
              <w:rPr>
                <w:rFonts w:hint="eastAsia"/>
              </w:rPr>
              <w:t>+</w:t>
            </w:r>
            <w:r w:rsidRPr="00191266">
              <w:rPr>
                <w:rFonts w:hint="eastAsia"/>
              </w:rPr>
              <w:t>出席</w:t>
            </w:r>
            <w:r w:rsidRPr="00191266">
              <w:rPr>
                <w:rFonts w:hint="eastAsia"/>
              </w:rPr>
              <w:t>3/4</w:t>
            </w:r>
            <w:r w:rsidRPr="00191266">
              <w:rPr>
                <w:rFonts w:hint="eastAsia"/>
              </w:rPr>
              <w:t>同意</w:t>
            </w:r>
            <w:r w:rsidRPr="00191266">
              <w:rPr>
                <w:rFonts w:hint="eastAsia"/>
              </w:rPr>
              <w:t>)</w:t>
            </w:r>
          </w:p>
        </w:tc>
        <w:tc>
          <w:tcPr>
            <w:tcW w:w="4040" w:type="dxa"/>
            <w:shd w:val="clear" w:color="auto" w:fill="auto"/>
          </w:tcPr>
          <w:p w14:paraId="333E7AAB" w14:textId="77777777" w:rsidR="00203F72" w:rsidRPr="00191266" w:rsidRDefault="00203F72" w:rsidP="00D87D91">
            <w:r w:rsidRPr="00191266">
              <w:rPr>
                <w:rFonts w:hint="eastAsia"/>
              </w:rPr>
              <w:t>立法院提案</w:t>
            </w:r>
            <w:r w:rsidRPr="00191266">
              <w:rPr>
                <w:rFonts w:hint="eastAsia"/>
              </w:rPr>
              <w:t>(</w:t>
            </w:r>
            <w:r w:rsidRPr="00191266">
              <w:rPr>
                <w:rFonts w:hint="eastAsia"/>
              </w:rPr>
              <w:t>全體</w:t>
            </w:r>
            <w:r w:rsidRPr="00191266">
              <w:rPr>
                <w:rFonts w:hint="eastAsia"/>
              </w:rPr>
              <w:t>1/4</w:t>
            </w:r>
            <w:r w:rsidRPr="00191266">
              <w:rPr>
                <w:rFonts w:hint="eastAsia"/>
              </w:rPr>
              <w:t>提議</w:t>
            </w:r>
            <w:r w:rsidRPr="00191266">
              <w:rPr>
                <w:rFonts w:hint="eastAsia"/>
              </w:rPr>
              <w:t>+</w:t>
            </w:r>
            <w:r w:rsidRPr="00191266">
              <w:rPr>
                <w:rFonts w:hint="eastAsia"/>
              </w:rPr>
              <w:t>全體</w:t>
            </w:r>
            <w:r w:rsidRPr="00191266">
              <w:rPr>
                <w:rFonts w:hint="eastAsia"/>
              </w:rPr>
              <w:t>3/4</w:t>
            </w:r>
            <w:r w:rsidRPr="00191266">
              <w:rPr>
                <w:rFonts w:hint="eastAsia"/>
              </w:rPr>
              <w:t>出席</w:t>
            </w:r>
            <w:r w:rsidRPr="00191266">
              <w:rPr>
                <w:rFonts w:hint="eastAsia"/>
              </w:rPr>
              <w:t>+</w:t>
            </w:r>
            <w:r w:rsidRPr="00191266">
              <w:rPr>
                <w:rFonts w:hint="eastAsia"/>
              </w:rPr>
              <w:t>出席</w:t>
            </w:r>
            <w:r w:rsidRPr="00191266">
              <w:rPr>
                <w:rFonts w:hint="eastAsia"/>
              </w:rPr>
              <w:t>3/4</w:t>
            </w:r>
            <w:r w:rsidRPr="00191266">
              <w:rPr>
                <w:rFonts w:hint="eastAsia"/>
              </w:rPr>
              <w:t>決議</w:t>
            </w:r>
            <w:r w:rsidRPr="00191266">
              <w:rPr>
                <w:rFonts w:hint="eastAsia"/>
              </w:rPr>
              <w:t>)</w:t>
            </w:r>
            <w:r w:rsidRPr="00191266">
              <w:rPr>
                <w:rFonts w:hint="eastAsia"/>
              </w:rPr>
              <w:t>→人民複決</w:t>
            </w:r>
            <w:r w:rsidRPr="00191266">
              <w:rPr>
                <w:rFonts w:hint="eastAsia"/>
              </w:rPr>
              <w:t>(</w:t>
            </w:r>
            <w:r w:rsidRPr="00191266">
              <w:rPr>
                <w:rFonts w:hint="eastAsia"/>
              </w:rPr>
              <w:t>選舉人總額</w:t>
            </w:r>
            <w:r w:rsidRPr="00191266">
              <w:rPr>
                <w:rFonts w:hint="eastAsia"/>
              </w:rPr>
              <w:t>1/2</w:t>
            </w:r>
            <w:r w:rsidRPr="00191266">
              <w:rPr>
                <w:rFonts w:hint="eastAsia"/>
              </w:rPr>
              <w:t>同意</w:t>
            </w:r>
            <w:r w:rsidRPr="00191266">
              <w:rPr>
                <w:rFonts w:hint="eastAsia"/>
              </w:rPr>
              <w:t>)</w:t>
            </w:r>
          </w:p>
        </w:tc>
      </w:tr>
    </w:tbl>
    <w:p w14:paraId="0EB4BFE4" w14:textId="77777777" w:rsidR="00953151" w:rsidRPr="00191266" w:rsidRDefault="002107CE" w:rsidP="00D87D91">
      <w:r w:rsidRPr="00191266">
        <w:rPr>
          <w:rFonts w:hint="eastAsia"/>
        </w:rPr>
        <w:t>【本表格資料來源】</w:t>
      </w:r>
      <w:r w:rsidR="00203F72" w:rsidRPr="00191266">
        <w:rPr>
          <w:rFonts w:hint="eastAsia"/>
        </w:rPr>
        <w:t>植憲</w:t>
      </w:r>
      <w:r w:rsidR="00203F72" w:rsidRPr="00191266">
        <w:rPr>
          <w:rFonts w:hint="eastAsia"/>
        </w:rPr>
        <w:t>(2012)</w:t>
      </w:r>
      <w:r w:rsidR="00203F72" w:rsidRPr="00191266">
        <w:rPr>
          <w:rFonts w:hint="eastAsia"/>
        </w:rPr>
        <w:t>，憲法解題概念操作</w:t>
      </w:r>
      <w:r w:rsidR="00203F72" w:rsidRPr="00191266">
        <w:rPr>
          <w:rFonts w:hint="eastAsia"/>
        </w:rPr>
        <w:t>(</w:t>
      </w:r>
      <w:r w:rsidR="00203F72" w:rsidRPr="00191266">
        <w:rPr>
          <w:rFonts w:hint="eastAsia"/>
        </w:rPr>
        <w:t>下</w:t>
      </w:r>
      <w:r w:rsidR="00203F72" w:rsidRPr="00191266">
        <w:rPr>
          <w:rFonts w:hint="eastAsia"/>
        </w:rPr>
        <w:t>)</w:t>
      </w:r>
      <w:r w:rsidR="00203F72" w:rsidRPr="00191266">
        <w:rPr>
          <w:rFonts w:hint="eastAsia"/>
        </w:rPr>
        <w:t>，</w:t>
      </w:r>
      <w:r w:rsidR="00203F72" w:rsidRPr="00191266">
        <w:rPr>
          <w:rFonts w:hint="eastAsia"/>
        </w:rPr>
        <w:t>7</w:t>
      </w:r>
      <w:r w:rsidR="00203F72" w:rsidRPr="00191266">
        <w:rPr>
          <w:rFonts w:hint="eastAsia"/>
        </w:rPr>
        <w:t>版</w:t>
      </w:r>
      <w:r w:rsidR="00203F72" w:rsidRPr="00191266">
        <w:rPr>
          <w:rFonts w:hint="eastAsia"/>
        </w:rPr>
        <w:t xml:space="preserve">1 </w:t>
      </w:r>
      <w:r w:rsidR="00203F72" w:rsidRPr="00191266">
        <w:rPr>
          <w:rFonts w:hint="eastAsia"/>
        </w:rPr>
        <w:t>刷，台北：植憲公司，第</w:t>
      </w:r>
      <w:r w:rsidR="00203F72" w:rsidRPr="00191266">
        <w:rPr>
          <w:rFonts w:hint="eastAsia"/>
        </w:rPr>
        <w:t>6-136</w:t>
      </w:r>
      <w:r w:rsidR="00203F72" w:rsidRPr="00191266">
        <w:rPr>
          <w:rFonts w:hint="eastAsia"/>
        </w:rPr>
        <w:t>頁。</w:t>
      </w:r>
    </w:p>
    <w:p w14:paraId="47323A1C" w14:textId="77777777" w:rsidR="00953151" w:rsidRPr="00191266" w:rsidRDefault="00367D0C" w:rsidP="00D87D91">
      <w:r w:rsidRPr="00191266">
        <w:t xml:space="preserve">　　</w:t>
      </w:r>
      <w:r w:rsidR="00203F72" w:rsidRPr="00191266">
        <w:t>不過，此項權力之行使，宜特別謹慎小心，假若將中華民國之領土，變更為侷限於台、澎、金馬，易令中國大陸認為台灣在進行台獨，走向一邊一國之方向，此恐製造更大之兩岸政治紛爭，甚至引起兩岸台海戰爭；故，在行使憲法增修條</w:t>
      </w:r>
      <w:r w:rsidR="009A2820" w:rsidRPr="00306E89">
        <w:t>文</w:t>
      </w:r>
      <w:hyperlink r:id="rId1519"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5</w:t>
      </w:r>
      <w:r w:rsidR="00203F72" w:rsidRPr="00191266">
        <w:t>項之權力時，宜三思而後行；就現階段而言，台灣採行「不獨不統」之作為，似屬較佳之戰略。亦即，維持台海現況，係屬較穩當之作法。再者，兩岸宜互相承認「主權」，俾利中華民國能重返或加上聯合國，並參與各式國際組織。</w:t>
      </w:r>
    </w:p>
    <w:p w14:paraId="6CEC2B6C" w14:textId="77777777" w:rsidR="00953151" w:rsidRPr="00191266" w:rsidRDefault="00367D0C" w:rsidP="00D87D91">
      <w:r w:rsidRPr="00191266">
        <w:t xml:space="preserve">　　</w:t>
      </w:r>
      <w:r w:rsidR="00203F72" w:rsidRPr="00191266">
        <w:t>就憲法增修條</w:t>
      </w:r>
      <w:r w:rsidR="009A2820" w:rsidRPr="00306E89">
        <w:t>文</w:t>
      </w:r>
      <w:hyperlink r:id="rId1520"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6</w:t>
      </w:r>
      <w:r w:rsidR="00203F72" w:rsidRPr="00191266">
        <w:t>項而言，為了防止總統利用緊急命令濫權與擴權，且藉諸「解散立法院」，以達到發布緊急命令之目的；或者，另外一種之情形，總統於解散立法院之後，符合憲法增修條</w:t>
      </w:r>
      <w:r w:rsidR="001B1539" w:rsidRPr="001B1539">
        <w:t>文</w:t>
      </w:r>
      <w:hyperlink r:id="rId1521"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191266">
        <w:t>第</w:t>
      </w:r>
      <w:r w:rsidR="00203F72" w:rsidRPr="00191266">
        <w:t>3</w:t>
      </w:r>
      <w:r w:rsidR="00203F72" w:rsidRPr="00191266">
        <w:t>項之情形下，發布緊急命令，在此種之狀況下，立法院業已被總統解散，可否自行集會，對於緊急命令加以審查否？不無疑問。為了有效解決此項之憲政難題，憲法增修條</w:t>
      </w:r>
      <w:r w:rsidR="009A2820" w:rsidRPr="00306E89">
        <w:t>文</w:t>
      </w:r>
      <w:hyperlink r:id="rId1522"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6</w:t>
      </w:r>
      <w:r w:rsidR="00203F72" w:rsidRPr="00191266">
        <w:t>次遂明訂總統於立法院解散後始發布緊急命令時，立法院應於</w:t>
      </w:r>
      <w:r w:rsidR="00203F72" w:rsidRPr="00191266">
        <w:t>3</w:t>
      </w:r>
      <w:r w:rsidR="00203F72" w:rsidRPr="00191266">
        <w:t>日內自行集，並於開議</w:t>
      </w:r>
      <w:r w:rsidR="00203F72" w:rsidRPr="00191266">
        <w:t>7</w:t>
      </w:r>
      <w:r w:rsidR="00203F72" w:rsidRPr="00191266">
        <w:t>日內追認之。</w:t>
      </w:r>
    </w:p>
    <w:p w14:paraId="3B4AB39D" w14:textId="77777777" w:rsidR="00953151" w:rsidRPr="00191266" w:rsidRDefault="00367D0C" w:rsidP="00D87D91">
      <w:r w:rsidRPr="00191266">
        <w:t xml:space="preserve">　　</w:t>
      </w:r>
      <w:r w:rsidR="00203F72" w:rsidRPr="00191266">
        <w:t>針對於憲法增修條</w:t>
      </w:r>
      <w:r w:rsidR="009A2820" w:rsidRPr="00306E89">
        <w:t>文</w:t>
      </w:r>
      <w:hyperlink r:id="rId1523"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7</w:t>
      </w:r>
      <w:r w:rsidR="00203F72" w:rsidRPr="00191266">
        <w:t>項而論，立法院對於總統、副總統之彈劾案之提議與決議門檻部分，在提議門檻標準部分，係為二分之一，在決議門檻方面，則為三分之二；相較於德國基本法第</w:t>
      </w:r>
      <w:r w:rsidR="00203F72" w:rsidRPr="00191266">
        <w:t>61</w:t>
      </w:r>
      <w:r w:rsidR="00203F72" w:rsidRPr="00191266">
        <w:t>條第</w:t>
      </w:r>
      <w:r w:rsidR="00203F72" w:rsidRPr="00191266">
        <w:t>1</w:t>
      </w:r>
      <w:r w:rsidR="00203F72" w:rsidRPr="00191266">
        <w:t>項之要求，我國上述之決議門檻，等同於德國之標準，此一部份，較無爭議性；值得討論者，係德國基本法第</w:t>
      </w:r>
      <w:r w:rsidR="00203F72" w:rsidRPr="00191266">
        <w:t>61</w:t>
      </w:r>
      <w:r w:rsidR="00203F72" w:rsidRPr="00191266">
        <w:t>條第</w:t>
      </w:r>
      <w:r w:rsidR="00203F72" w:rsidRPr="00191266">
        <w:t>1</w:t>
      </w:r>
      <w:r w:rsidR="00203F72" w:rsidRPr="00191266">
        <w:t>項之彈劾案之提議門檻標準，僅為四分之一即可，我國卻高達二分之一，我國上述之提議門檻之標準，似有必要下降至四分之一。</w:t>
      </w:r>
    </w:p>
    <w:p w14:paraId="3BD95EBC" w14:textId="77777777" w:rsidR="00953151" w:rsidRPr="00191266" w:rsidRDefault="00367D0C" w:rsidP="00D87D91">
      <w:r w:rsidRPr="00191266">
        <w:t xml:space="preserve">　　</w:t>
      </w:r>
      <w:r w:rsidR="00203F72" w:rsidRPr="00191266">
        <w:t>就憲法增修條</w:t>
      </w:r>
      <w:r w:rsidR="009A2820" w:rsidRPr="00306E89">
        <w:t>文</w:t>
      </w:r>
      <w:hyperlink r:id="rId1524"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8</w:t>
      </w:r>
      <w:r w:rsidR="00203F72" w:rsidRPr="00191266">
        <w:t>項而論，對於立法委員之逮捕或拘禁，可區分為「會期中」與「非會期中」。如在「會期之中」，除現行犯之外，非經立法院許可，不得逮捕或拘禁；如在「非會期中」，則似無須經由立法院之許可，即可進行逮捕或拘禁。有關於德國對國會議員之保障方面，係規範於基本法第</w:t>
      </w:r>
      <w:r w:rsidR="00203F72" w:rsidRPr="00191266">
        <w:t>46</w:t>
      </w:r>
      <w:r w:rsidR="00203F72" w:rsidRPr="00191266">
        <w:t>條之中；依照德國基本法第</w:t>
      </w:r>
      <w:r w:rsidR="00203F72" w:rsidRPr="00191266">
        <w:t>46</w:t>
      </w:r>
      <w:r w:rsidR="00203F72" w:rsidRPr="00191266">
        <w:t>條第</w:t>
      </w:r>
      <w:r w:rsidR="00203F72" w:rsidRPr="00191266">
        <w:t>2</w:t>
      </w:r>
      <w:r w:rsidR="00203F72" w:rsidRPr="00191266">
        <w:t>項之規定，非經由聯邦議會之許可，聯邦議會之議員不得因犯罪行為而被訴追或逮捕，但在犯罪當場或次日補行逮捕者，不在此限。</w:t>
      </w:r>
    </w:p>
    <w:p w14:paraId="1D141DD4" w14:textId="77777777" w:rsidR="00953151" w:rsidRPr="00191266" w:rsidRDefault="00203F72" w:rsidP="00D87D91">
      <w:r w:rsidRPr="00191266">
        <w:t>另外，依照德國基本法第</w:t>
      </w:r>
      <w:r w:rsidRPr="00191266">
        <w:t>46</w:t>
      </w:r>
      <w:r w:rsidRPr="00191266">
        <w:t>條</w:t>
      </w:r>
      <w:r w:rsidRPr="00191266">
        <w:t>4</w:t>
      </w:r>
      <w:r w:rsidRPr="00191266">
        <w:t>項之規定，對於聯邦議會議員採取之任何刑事訴訟程序及本基本法第</w:t>
      </w:r>
      <w:r w:rsidRPr="00191266">
        <w:t>18</w:t>
      </w:r>
      <w:r w:rsidRPr="00191266">
        <w:t>條所定之任何行為，任何逮捕、拘禁及對於其個人自由之任何其他限制，如經聯邦議會之要求，應即停止。經比較我國與德國對國會議員保證之差異性，可得知我國對於立委之保障，較缺乏保障。我國對於立委個人自由之保障，似可再加強保障之力道，諸如：引進德國基本法第</w:t>
      </w:r>
      <w:r w:rsidRPr="00191266">
        <w:t>46</w:t>
      </w:r>
      <w:r w:rsidRPr="00191266">
        <w:t>條第</w:t>
      </w:r>
      <w:r w:rsidRPr="00191266">
        <w:t>4</w:t>
      </w:r>
      <w:r w:rsidRPr="00191266">
        <w:t>項之作法，諸如</w:t>
      </w:r>
      <w:r w:rsidRPr="00191266">
        <w:t>:</w:t>
      </w:r>
      <w:r w:rsidRPr="00191266">
        <w:t>對於立法委員採取之任何刑事訴訟程序，任何之逮捕與拘禁，及對其個人自由之任何其他限制，如經立法院之要求，應即停止之，俾利保障立法委員之個人自由，令立委處在一種無恐懼之情境中，俾利提升立法之品質。</w:t>
      </w:r>
    </w:p>
    <w:p w14:paraId="27C90517" w14:textId="77777777" w:rsidR="00545D58" w:rsidRDefault="00545D58" w:rsidP="006A57F7">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65D50A3C" w14:textId="77777777" w:rsidR="00545D58" w:rsidRDefault="00545D58" w:rsidP="00D87D91"/>
    <w:bookmarkStart w:id="47" w:name="_第5條（司法院）"/>
    <w:bookmarkEnd w:id="47"/>
    <w:p w14:paraId="38F6998E" w14:textId="77777777" w:rsidR="0095315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"b5"</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5</w:t>
      </w:r>
      <w:r w:rsidR="00203F72" w:rsidRPr="001C1A86">
        <w:rPr>
          <w:rStyle w:val="a5"/>
          <w:rFonts w:ascii="Arial Unicode MS" w:hAnsi="Arial Unicode MS"/>
        </w:rPr>
        <w:t>條</w:t>
      </w:r>
      <w:r>
        <w:fldChar w:fldCharType="end"/>
      </w:r>
      <w:r w:rsidR="00203F72" w:rsidRPr="00A53581">
        <w:t>（司法院）</w:t>
      </w:r>
      <w:r w:rsidR="00203F72" w:rsidRPr="00A53581">
        <w:t xml:space="preserve"> </w:t>
      </w:r>
    </w:p>
    <w:p w14:paraId="676DBCCB" w14:textId="77777777" w:rsidR="00F07452" w:rsidRPr="00306E89" w:rsidRDefault="00367D0C" w:rsidP="00D87D91">
      <w:r w:rsidRPr="00306E89">
        <w:t xml:space="preserve">　　</w:t>
      </w:r>
      <w:r w:rsidR="00203F72" w:rsidRPr="00306E89">
        <w:t>（</w:t>
      </w:r>
      <w:r w:rsidR="00203F72" w:rsidRPr="00306E89">
        <w:t>1</w:t>
      </w:r>
      <w:r w:rsidR="00203F72" w:rsidRPr="00306E89">
        <w:t>）司法院設大法官十五人，並以其中一人為院長、一人為副院長，由總統提名，經立法院同意任命之，自中華民國九十二年起實施，不適用憲法</w:t>
      </w:r>
      <w:r w:rsidR="00930A55" w:rsidRPr="006D68CC">
        <w:t>第</w:t>
      </w:r>
      <w:hyperlink r:id="rId1525" w:anchor="a76" w:history="1">
        <w:r w:rsidR="00930A55" w:rsidRPr="006E4258">
          <w:rPr>
            <w:rStyle w:val="a5"/>
            <w:rFonts w:ascii="Times New Roman" w:eastAsia="新細明體" w:hAnsi="Times New Roman"/>
          </w:rPr>
          <w:t>七十九</w:t>
        </w:r>
      </w:hyperlink>
      <w:r w:rsidR="00930A55" w:rsidRPr="006D68CC">
        <w:t>條</w:t>
      </w:r>
      <w:r w:rsidR="00203F72" w:rsidRPr="00306E89">
        <w:t>之規定。司法院大法官除法官轉任者外，不適用憲法</w:t>
      </w:r>
      <w:r w:rsidR="00A5515A" w:rsidRPr="006D68CC">
        <w:t>第</w:t>
      </w:r>
      <w:hyperlink r:id="rId1526" w:anchor="a81" w:history="1">
        <w:r w:rsidR="00A5515A" w:rsidRPr="00A5515A">
          <w:rPr>
            <w:rStyle w:val="a5"/>
            <w:rFonts w:ascii="Times New Roman" w:eastAsia="新細明體" w:hAnsi="Times New Roman"/>
          </w:rPr>
          <w:t>八十一</w:t>
        </w:r>
      </w:hyperlink>
      <w:r w:rsidR="00A5515A" w:rsidRPr="006D68CC">
        <w:t>條</w:t>
      </w:r>
      <w:r w:rsidR="00203F72" w:rsidRPr="00306E89">
        <w:t>及有關法官終身職待遇之規定</w:t>
      </w:r>
      <w:r w:rsidR="00545D58" w:rsidRPr="00306E89">
        <w:t>。</w:t>
      </w:r>
    </w:p>
    <w:p w14:paraId="77F09A46" w14:textId="77777777" w:rsidR="00F07452" w:rsidRPr="00306E89" w:rsidRDefault="00367D0C" w:rsidP="00D87D91">
      <w:r w:rsidRPr="00306E89">
        <w:t xml:space="preserve">　　</w:t>
      </w:r>
      <w:r w:rsidR="00203F72" w:rsidRPr="00306E89">
        <w:t>（</w:t>
      </w:r>
      <w:r w:rsidR="00203F72" w:rsidRPr="00306E89">
        <w:t>2</w:t>
      </w:r>
      <w:r w:rsidR="00203F72" w:rsidRPr="00306E89">
        <w:t>）司法院大法官任期八年，不分屆次，個別計算，並不得連任。但並為院長、副院長之大法官，不受任期之保障</w:t>
      </w:r>
      <w:r w:rsidR="00545D58" w:rsidRPr="00306E89">
        <w:t>。</w:t>
      </w:r>
    </w:p>
    <w:p w14:paraId="645B6A29" w14:textId="77777777" w:rsidR="00F07452" w:rsidRPr="00306E89" w:rsidRDefault="00367D0C" w:rsidP="00D87D91">
      <w:r w:rsidRPr="00306E89">
        <w:t xml:space="preserve">　　</w:t>
      </w:r>
      <w:r w:rsidR="00203F72" w:rsidRPr="00306E89">
        <w:t>（</w:t>
      </w:r>
      <w:r w:rsidR="00203F72" w:rsidRPr="00306E89">
        <w:t>3</w:t>
      </w:r>
      <w:r w:rsidR="00203F72" w:rsidRPr="00306E89">
        <w:t>）中華民國九十二年總統提名之大法官，其中八位大法官，含院長、副院長，任期四年，其餘大法官任期為八年，不適用前項任期之規定</w:t>
      </w:r>
      <w:r w:rsidR="00545D58" w:rsidRPr="00306E89">
        <w:t>。</w:t>
      </w:r>
    </w:p>
    <w:p w14:paraId="2204951E" w14:textId="77777777" w:rsidR="00F07452" w:rsidRPr="00306E89" w:rsidRDefault="00367D0C" w:rsidP="00D87D91">
      <w:r w:rsidRPr="00306E89">
        <w:t xml:space="preserve">　　</w:t>
      </w:r>
      <w:r w:rsidR="00203F72" w:rsidRPr="00306E89">
        <w:t>（</w:t>
      </w:r>
      <w:r w:rsidR="00203F72" w:rsidRPr="00306E89">
        <w:t>4</w:t>
      </w:r>
      <w:r w:rsidR="00203F72" w:rsidRPr="00306E89">
        <w:t>）司法院大法官，除依憲法</w:t>
      </w:r>
      <w:r w:rsidR="00026811" w:rsidRPr="006D68CC">
        <w:t>第</w:t>
      </w:r>
      <w:hyperlink r:id="rId1527" w:anchor="a78" w:history="1">
        <w:r w:rsidR="00026811" w:rsidRPr="00026811">
          <w:rPr>
            <w:rStyle w:val="a5"/>
            <w:rFonts w:ascii="Times New Roman" w:eastAsia="新細明體" w:hAnsi="Times New Roman"/>
          </w:rPr>
          <w:t>七十八</w:t>
        </w:r>
      </w:hyperlink>
      <w:r w:rsidR="00026811" w:rsidRPr="006D68CC">
        <w:t>條</w:t>
      </w:r>
      <w:r w:rsidR="00203F72" w:rsidRPr="00306E89">
        <w:t>之規定外，並組成憲法法庭審理總統、副總統之彈劾及政黨違憲之解散事項</w:t>
      </w:r>
      <w:r w:rsidR="00545D58" w:rsidRPr="00306E89">
        <w:t>。</w:t>
      </w:r>
    </w:p>
    <w:p w14:paraId="24D95ACB" w14:textId="77777777" w:rsidR="00F07452" w:rsidRPr="00306E89" w:rsidRDefault="00367D0C" w:rsidP="00D87D91">
      <w:r w:rsidRPr="00306E89">
        <w:t xml:space="preserve">　　</w:t>
      </w:r>
      <w:r w:rsidR="00203F72" w:rsidRPr="00306E89">
        <w:t>（</w:t>
      </w:r>
      <w:r w:rsidR="00203F72" w:rsidRPr="00306E89">
        <w:t>5</w:t>
      </w:r>
      <w:r w:rsidR="00203F72" w:rsidRPr="00306E89">
        <w:t>）政黨之目的或其行為，危害中華民國之存在或自由民主之憲政秩序者為違憲</w:t>
      </w:r>
      <w:r w:rsidR="00545D58" w:rsidRPr="00306E89">
        <w:t>。</w:t>
      </w:r>
    </w:p>
    <w:p w14:paraId="417CEEBE" w14:textId="77777777" w:rsidR="00953151" w:rsidRPr="00306E89" w:rsidRDefault="00367D0C" w:rsidP="00D87D91">
      <w:r w:rsidRPr="00306E89">
        <w:t xml:space="preserve">　　</w:t>
      </w:r>
      <w:r w:rsidR="00203F72" w:rsidRPr="00306E89">
        <w:t>（</w:t>
      </w:r>
      <w:r w:rsidR="00203F72" w:rsidRPr="00306E89">
        <w:t>6</w:t>
      </w:r>
      <w:r w:rsidR="00203F72" w:rsidRPr="00306E89">
        <w:t>）司法院所提出之年度司法概算，行政院不得刪減，但得加註意見，編入中央政府總預算案，送立法院審議。</w:t>
      </w:r>
    </w:p>
    <w:p w14:paraId="70DFD66C" w14:textId="77777777" w:rsidR="00203F72" w:rsidRPr="00306E89" w:rsidRDefault="00B03E84" w:rsidP="00D87D91">
      <w:r w:rsidRPr="00306E89">
        <w:t>【內容解析】</w:t>
      </w:r>
    </w:p>
    <w:p w14:paraId="5631E08C" w14:textId="77777777" w:rsidR="00953151" w:rsidRPr="00306E89" w:rsidRDefault="00367D0C" w:rsidP="00D87D91">
      <w:r w:rsidRPr="00306E89">
        <w:t xml:space="preserve">　　</w:t>
      </w:r>
      <w:r w:rsidR="00203F72" w:rsidRPr="00306E89">
        <w:t>就憲法增修條</w:t>
      </w:r>
      <w:r w:rsidR="00306E89" w:rsidRPr="00306E89">
        <w:t>文</w:t>
      </w:r>
      <w:hyperlink r:id="rId1528" w:anchor="b5" w:history="1">
        <w:r w:rsidR="00306E89" w:rsidRPr="00306E89">
          <w:rPr>
            <w:rStyle w:val="a5"/>
          </w:rPr>
          <w:t>第5條</w:t>
        </w:r>
      </w:hyperlink>
      <w:r w:rsidR="00203F72" w:rsidRPr="00306E89">
        <w:t>第</w:t>
      </w:r>
      <w:r w:rsidR="00203F72" w:rsidRPr="00306E89">
        <w:t>1</w:t>
      </w:r>
      <w:r w:rsidR="00203F72" w:rsidRPr="00306E89">
        <w:t>項而論，係規範大法官人選之提名與同意任命之內涵；在同意任命方面，須經由立法院同意任命；亦即，大法官之任命，須受到民意之監督，在德國，亦有類似之規定。根據德國基本法第</w:t>
      </w:r>
      <w:r w:rsidR="00203F72" w:rsidRPr="00306E89">
        <w:t>94</w:t>
      </w:r>
      <w:r w:rsidR="00203F72" w:rsidRPr="00306E89">
        <w:t>條第</w:t>
      </w:r>
      <w:r w:rsidR="00203F72" w:rsidRPr="00306E89">
        <w:t>1</w:t>
      </w:r>
      <w:r w:rsidR="00203F72" w:rsidRPr="00306E89">
        <w:t>項之規定，聯邦憲法法院由聯邦法官及其他法官組織之。聯邦憲法法院之法官，半數由聯邦議會，另半數由聯邦參議院選舉產生，此等之法官，不得為隸屬於聯邦議會（聯邦眾議院）、聯邦參議院、聯邦政府或各邦類似機關之人員。</w:t>
      </w:r>
    </w:p>
    <w:p w14:paraId="528049AD" w14:textId="77777777" w:rsidR="00953151" w:rsidRPr="00306E89" w:rsidRDefault="00367D0C" w:rsidP="00D87D91">
      <w:r w:rsidRPr="00306E89">
        <w:t xml:space="preserve">　　</w:t>
      </w:r>
      <w:r w:rsidR="00203F72" w:rsidRPr="00306E89">
        <w:t>德國聯邦憲法法院法官之產生方式，與我國大法官產生之方式，存有若干差異性；我國大法官之人選，係由總統提名，就此點而論，亦令總統可挑選投其所好之名單，提交立法院同意；再者，此種之機制，亦令總統有機會控制司法，擴張總統之權力；造成大法官是總統手腳之延伸；換言之，總統之權力，有機會延伸至司法判決。</w:t>
      </w:r>
    </w:p>
    <w:p w14:paraId="1E97647E" w14:textId="77777777" w:rsidR="00953151" w:rsidRPr="00306E89" w:rsidRDefault="00367D0C" w:rsidP="00D87D91">
      <w:r w:rsidRPr="00306E89">
        <w:t xml:space="preserve">　　</w:t>
      </w:r>
      <w:r w:rsidR="00203F72" w:rsidRPr="00306E89">
        <w:t>相較於德國憲法法院法官之產生機制，德國憲法法院之法官，係由聯邦眾議院及聯邦參議院選舉產生；玆考量由於絕對之權力，會造成絕對之腐化，為了防止我國總統幹預司法，以及防杜總統之權力，過度集中與膨脹，本書認為，我國大法官產生之方式，宜加以改進，不宜由總統提名；假若由總統提名，即會受到總統權力之左右。</w:t>
      </w:r>
    </w:p>
    <w:p w14:paraId="30F6E5CE" w14:textId="77777777" w:rsidR="00953151" w:rsidRPr="00306E89" w:rsidRDefault="00367D0C" w:rsidP="00D87D91">
      <w:r w:rsidRPr="00306E89">
        <w:t xml:space="preserve">　　</w:t>
      </w:r>
      <w:r w:rsidR="00203F72" w:rsidRPr="00306E89">
        <w:t>可行之方式，可設計其他更加客觀化之方式，或者，亦可比照中央研究院之提名方式，該院院士候選人可由各大學院校、學會、研究機關、中研院院士或評議員提名；我國大法官之人選，經過客觀、公正、公平之初步篩選之後，決定初步之提名名單，再經由立法院選舉產生。亦即，改由有民意基礎之立法院選舉產生為佳，以防止總統之專權、擴權及濫權。</w:t>
      </w:r>
    </w:p>
    <w:p w14:paraId="0ADAD3E0" w14:textId="77777777" w:rsidR="00953151" w:rsidRPr="00306E89" w:rsidRDefault="00367D0C" w:rsidP="00D87D91">
      <w:r w:rsidRPr="00306E89">
        <w:t xml:space="preserve">　　</w:t>
      </w:r>
      <w:r w:rsidR="00203F72" w:rsidRPr="00306E89">
        <w:t>再者，就大法官應具備之資格而論，依司法院組織法</w:t>
      </w:r>
      <w:hyperlink r:id="rId1529" w:anchor="b4" w:history="1">
        <w:r w:rsidR="001B1539" w:rsidRPr="00306E89">
          <w:rPr>
            <w:rStyle w:val="a5"/>
          </w:rPr>
          <w:t>第四條</w:t>
        </w:r>
      </w:hyperlink>
      <w:r w:rsidR="00203F72" w:rsidRPr="00306E89">
        <w:t>第一項規定，大法官應具備下列資格之一：（一）曾任最高法院法官十年以上而成績卓著者；（二）曾任立法委員九年以上而有特殊貢獻者；（三）曾任大學法律主要科目教授十年以上而有專門著作者；（四）曾任國際法庭法官或有公法學或比較法學之權威著作者；（五）研究法學，富有政治經驗，聲譽卓著者</w:t>
      </w:r>
      <w:r w:rsidR="00203F72" w:rsidRPr="00306E89">
        <w:t>(</w:t>
      </w:r>
      <w:hyperlink r:id="rId1530" w:anchor="b4" w:history="1">
        <w:r w:rsidR="00884F83" w:rsidRPr="00306E89">
          <w:rPr>
            <w:rStyle w:val="a5"/>
          </w:rPr>
          <w:t>第四條</w:t>
        </w:r>
      </w:hyperlink>
      <w:r w:rsidR="00203F72" w:rsidRPr="00306E89">
        <w:t>第一項</w:t>
      </w:r>
      <w:r w:rsidR="00203F72" w:rsidRPr="00306E89">
        <w:t>)</w:t>
      </w:r>
      <w:r w:rsidR="00203F72" w:rsidRPr="00306E89">
        <w:t>。具有前項任何一款資格之大法官，其人數不得超過總名額三分之一</w:t>
      </w:r>
      <w:r w:rsidR="00203F72" w:rsidRPr="00306E89">
        <w:footnoteReference w:id="161"/>
      </w:r>
      <w:r w:rsidR="00203F72" w:rsidRPr="00306E89">
        <w:t>。</w:t>
      </w:r>
    </w:p>
    <w:p w14:paraId="07FEE928" w14:textId="77777777" w:rsidR="00953151" w:rsidRPr="00306E89" w:rsidRDefault="00367D0C" w:rsidP="00D87D91">
      <w:r w:rsidRPr="00306E89">
        <w:t xml:space="preserve">　　</w:t>
      </w:r>
      <w:r w:rsidR="00203F72" w:rsidRPr="00306E89">
        <w:t>就上述司法院組織</w:t>
      </w:r>
      <w:r w:rsidR="00884F83" w:rsidRPr="00306E89">
        <w:t>法</w:t>
      </w:r>
      <w:hyperlink r:id="rId1531" w:anchor="b4" w:history="1">
        <w:r w:rsidR="00884F83" w:rsidRPr="00306E89">
          <w:rPr>
            <w:rStyle w:val="a5"/>
          </w:rPr>
          <w:t>第四條</w:t>
        </w:r>
      </w:hyperlink>
      <w:r w:rsidR="00203F72" w:rsidRPr="00306E89">
        <w:t>第一項第三款而論，主要之規範重點，在於：曾任大學法律主要科目教授十年以上而有專門著作者。本款具有以下之條件：</w:t>
      </w:r>
      <w:r w:rsidR="00203F72" w:rsidRPr="00306E89">
        <w:t>1</w:t>
      </w:r>
      <w:r w:rsidR="00203F72" w:rsidRPr="00306E89">
        <w:t>、須曾在大學任教，且任教之科目，係為法律主要科目；</w:t>
      </w:r>
      <w:r w:rsidR="00203F72" w:rsidRPr="00306E89">
        <w:t>2</w:t>
      </w:r>
      <w:r w:rsidR="00203F72" w:rsidRPr="00306E89">
        <w:t>、須有教授十年以上之年資；</w:t>
      </w:r>
      <w:r w:rsidR="00203F72" w:rsidRPr="00306E89">
        <w:t>3</w:t>
      </w:r>
      <w:r w:rsidR="00203F72" w:rsidRPr="00306E89">
        <w:t>、須具有專門著作。假若在大學任教之教授，雖非任教「法律主要科目」，但其所研究與出版之學術專門著作之領域，卻涉及「法律主要科目」，在此情況下，似乎，亦宜認定具備大法官之資格為佳。是以，就上述司法院組織</w:t>
      </w:r>
      <w:r w:rsidR="00884F83" w:rsidRPr="00306E89">
        <w:t>法</w:t>
      </w:r>
      <w:hyperlink r:id="rId1532" w:anchor="b4" w:history="1">
        <w:r w:rsidR="00884F83" w:rsidRPr="00306E89">
          <w:rPr>
            <w:rStyle w:val="a5"/>
          </w:rPr>
          <w:t>第四條</w:t>
        </w:r>
      </w:hyperlink>
      <w:r w:rsidR="00203F72" w:rsidRPr="00306E89">
        <w:t>第一項第三款而論，建議可修正為：曾任大學法律主要科目教授十年以上而有專門著作者；或曾任大學社會科學科目教授十年以上而有法律主要科目專門著作者。</w:t>
      </w:r>
    </w:p>
    <w:p w14:paraId="59436086" w14:textId="77777777" w:rsidR="00953151" w:rsidRPr="00306E89" w:rsidRDefault="00367D0C" w:rsidP="00D87D91">
      <w:r w:rsidRPr="00306E89">
        <w:t xml:space="preserve">　　</w:t>
      </w:r>
      <w:r w:rsidR="00203F72" w:rsidRPr="00306E89">
        <w:t>為了廣納賢才，本書建議，針對於曾任大學社會科學科目教授十年以上，且在「法律主要科目」方面，著有專門著作者，亦即，在「法律主要科目」之領域內，不斷鑽研，而具有高度產能之教授，亦宜認定之。再者，就「法律主要科目」之範圍而論，隨著國際社會間之相互影響，各國相互依存，地球村業已來臨，「法律主要科目」之範圍，亦宜新增國際公法為宜。另外，憲法之定位，屬於國家之根本大法，在國內實定法之法位階上，憲法具有至高、頂極、母法、支配法之地位，故「法律主要科目」之範圍，似亦宜新增憲法為宜。</w:t>
      </w:r>
    </w:p>
    <w:p w14:paraId="08DAC8FA" w14:textId="77777777" w:rsidR="00953151" w:rsidRPr="00306E89" w:rsidRDefault="00367D0C" w:rsidP="00D87D91">
      <w:r w:rsidRPr="00306E89">
        <w:t xml:space="preserve">　　</w:t>
      </w:r>
      <w:r w:rsidR="00203F72" w:rsidRPr="00306E89">
        <w:t>假若大法官之資格，新增加曾任大學社會科學科目教授十年以上而有法律主要科目專門著作者，從另外一個角度思考，此類之教授，具有以下之諸多優勢：</w:t>
      </w:r>
      <w:r w:rsidR="00203F72" w:rsidRPr="00306E89">
        <w:t>1</w:t>
      </w:r>
      <w:r w:rsidR="00203F72" w:rsidRPr="00306E89">
        <w:t>、在「法律主要科目」方面，著有專門著作者，從「法律主要科目」學術性之專門著作之實質性產能與品質，作為大法官資格之審查，更具有客觀性、具體性、科學性及一致性；主要之理由，因「法律主要科目」學術性之專門著作，它是非常實際及具體之學術成果，可供作比較與審查之客觀基準；</w:t>
      </w:r>
      <w:r w:rsidR="00203F72" w:rsidRPr="00306E89">
        <w:t>2</w:t>
      </w:r>
      <w:r w:rsidR="00203F72" w:rsidRPr="00306E89">
        <w:t>、曾任大學社會科學科目教授十年以上者，能從「法律主要科目」以外之不同角度與思維，思考須被釋憲之問題與爭點，在思考之方向、角度、層次、理論之應用、多元性及周延性方面，均更能彌補單從「法律主要科目」角度思考之盲點與不足。</w:t>
      </w:r>
    </w:p>
    <w:p w14:paraId="4C5CDF8F" w14:textId="77777777" w:rsidR="00953151" w:rsidRPr="00306E89" w:rsidRDefault="00367D0C" w:rsidP="00D87D91">
      <w:r w:rsidRPr="00306E89">
        <w:t xml:space="preserve">　　</w:t>
      </w:r>
      <w:r w:rsidR="00203F72" w:rsidRPr="00306E89">
        <w:t>亦即，其能結合「法律主要科目」及「非法律主要科目」之思考方向，在釋憲過程中，提供更周延之論理。據上所述，司法院組織</w:t>
      </w:r>
      <w:r w:rsidR="00884F83" w:rsidRPr="00306E89">
        <w:t>法</w:t>
      </w:r>
      <w:hyperlink r:id="rId1533" w:anchor="b4" w:history="1">
        <w:r w:rsidR="00884F83" w:rsidRPr="00306E89">
          <w:rPr>
            <w:rStyle w:val="a5"/>
          </w:rPr>
          <w:t>第四條</w:t>
        </w:r>
      </w:hyperlink>
      <w:r w:rsidR="00203F72" w:rsidRPr="00306E89">
        <w:t>第一項第三款之內容，除了原先之條文內涵保留外，建議可新增加：「或曾任大學社會科學科目教授十年以上而有法律主要科目專門著作者」。</w:t>
      </w:r>
    </w:p>
    <w:p w14:paraId="21F94865" w14:textId="77777777" w:rsidR="00953151" w:rsidRPr="00306E89" w:rsidRDefault="00367D0C" w:rsidP="00D87D91">
      <w:r w:rsidRPr="00306E89">
        <w:t xml:space="preserve">　　</w:t>
      </w:r>
      <w:r w:rsidR="00203F72" w:rsidRPr="00306E89">
        <w:t>就憲法增修條</w:t>
      </w:r>
      <w:r w:rsidR="00306E89" w:rsidRPr="00306E89">
        <w:t>文</w:t>
      </w:r>
      <w:hyperlink r:id="rId1534" w:anchor="b5" w:history="1">
        <w:r w:rsidR="00306E89" w:rsidRPr="00306E89">
          <w:rPr>
            <w:rStyle w:val="a5"/>
          </w:rPr>
          <w:t>第5條</w:t>
        </w:r>
      </w:hyperlink>
      <w:r w:rsidR="00203F72" w:rsidRPr="00306E89">
        <w:t>第</w:t>
      </w:r>
      <w:r w:rsidR="00203F72" w:rsidRPr="00306E89">
        <w:t>5</w:t>
      </w:r>
      <w:r w:rsidR="00203F72" w:rsidRPr="00306E89">
        <w:t>項而論，我國「憲法法庭」所審理之事項，主要係集中於：</w:t>
      </w:r>
      <w:r w:rsidR="00203F72" w:rsidRPr="00306E89">
        <w:t>1.</w:t>
      </w:r>
      <w:r w:rsidR="00203F72" w:rsidRPr="00306E89">
        <w:t>總統、副總統之彈劾案；</w:t>
      </w:r>
      <w:r w:rsidR="00203F72" w:rsidRPr="00306E89">
        <w:t>2.</w:t>
      </w:r>
      <w:r w:rsidR="00203F72" w:rsidRPr="00306E89">
        <w:t>政黨違憲之解散案件；相較於德國之法制，德國「聯邦憲法法院」審判之案件，其範圍較為多元與廣泛</w:t>
      </w:r>
      <w:r w:rsidR="00203F72" w:rsidRPr="00306E89">
        <w:footnoteReference w:id="162"/>
      </w:r>
      <w:r w:rsidR="00203F72" w:rsidRPr="00306E89">
        <w:t>，而我國憲法法庭所審理之案件範疇，則較為侷限。再者，就憲法增修條</w:t>
      </w:r>
      <w:r w:rsidR="00306E89" w:rsidRPr="00306E89">
        <w:t>文</w:t>
      </w:r>
      <w:hyperlink r:id="rId1535" w:anchor="b5" w:history="1">
        <w:r w:rsidR="00306E89" w:rsidRPr="00306E89">
          <w:rPr>
            <w:rStyle w:val="a5"/>
          </w:rPr>
          <w:t>第5條</w:t>
        </w:r>
      </w:hyperlink>
      <w:r w:rsidR="00203F72" w:rsidRPr="00306E89">
        <w:t>第</w:t>
      </w:r>
      <w:r w:rsidR="00203F72" w:rsidRPr="00306E89">
        <w:t>5</w:t>
      </w:r>
      <w:r w:rsidR="00203F72" w:rsidRPr="00306E89">
        <w:t>項而言，立憲之意旨，在規範政黨之目的，或其行為，不得危害「中華民國之存在」或「自由民主之憲政秩序」。</w:t>
      </w:r>
    </w:p>
    <w:p w14:paraId="735AFD31" w14:textId="77777777" w:rsidR="00953151" w:rsidRPr="00306E89" w:rsidRDefault="00367D0C" w:rsidP="00D87D91">
      <w:r w:rsidRPr="00306E89">
        <w:t xml:space="preserve">　　</w:t>
      </w:r>
      <w:r w:rsidR="00203F72" w:rsidRPr="00306E89">
        <w:t>假若國內某一個政黨，在其黨綱之中，明白列出變更國體，獨立建國，國號為</w:t>
      </w:r>
      <w:r w:rsidR="00464EB2" w:rsidRPr="00464EB2">
        <w:rPr>
          <w:rFonts w:hint="eastAsia"/>
        </w:rPr>
        <w:t>○○○</w:t>
      </w:r>
      <w:r w:rsidR="00203F72" w:rsidRPr="00306E89">
        <w:t>獨立共和國，上述之行為，是否符合憲法增修條</w:t>
      </w:r>
      <w:r w:rsidR="00306E89" w:rsidRPr="00306E89">
        <w:t>文</w:t>
      </w:r>
      <w:hyperlink r:id="rId1536" w:anchor="b5" w:history="1">
        <w:r w:rsidR="00306E89" w:rsidRPr="00306E89">
          <w:rPr>
            <w:rStyle w:val="a5"/>
          </w:rPr>
          <w:t>第5條</w:t>
        </w:r>
      </w:hyperlink>
      <w:r w:rsidR="00203F72" w:rsidRPr="00306E89">
        <w:t>第</w:t>
      </w:r>
      <w:r w:rsidR="00203F72" w:rsidRPr="00306E89">
        <w:t>5</w:t>
      </w:r>
      <w:r w:rsidR="00203F72" w:rsidRPr="00306E89">
        <w:t>項之構成要件，不無疑義。有學者認為，上述之行為，似已符合不得危害「中華民國之存在」或「自由民主之憲政秩序」之構成要件，故須送憲法法庭審理</w:t>
      </w:r>
      <w:r w:rsidR="00203F72" w:rsidRPr="00306E89">
        <w:footnoteReference w:id="163"/>
      </w:r>
      <w:r w:rsidR="00203F72" w:rsidRPr="00306E89">
        <w:t>。不過，就台灣現存之事實，上述之行為，尚未符合憲法增修條</w:t>
      </w:r>
      <w:r w:rsidR="00306E89" w:rsidRPr="00306E89">
        <w:t>文</w:t>
      </w:r>
      <w:hyperlink r:id="rId1537" w:anchor="b5" w:history="1">
        <w:r w:rsidR="00306E89" w:rsidRPr="00306E89">
          <w:rPr>
            <w:rStyle w:val="a5"/>
          </w:rPr>
          <w:t>第5條</w:t>
        </w:r>
      </w:hyperlink>
      <w:r w:rsidR="00203F72" w:rsidRPr="00306E89">
        <w:t>第</w:t>
      </w:r>
      <w:r w:rsidR="00203F72" w:rsidRPr="00306E89">
        <w:t>5</w:t>
      </w:r>
      <w:r w:rsidR="00203F72" w:rsidRPr="00306E89">
        <w:t>項之危害「中華民國之存在」或「自由民主之憲政秩序」之要件，尚屬於言論自由之範圍。</w:t>
      </w:r>
    </w:p>
    <w:p w14:paraId="04B02AFA" w14:textId="77777777" w:rsidR="00545D58" w:rsidRDefault="00545D58" w:rsidP="00670577">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756D7B21" w14:textId="77777777" w:rsidR="00545D58" w:rsidRDefault="00545D58" w:rsidP="00D87D91"/>
    <w:bookmarkStart w:id="48" w:name="_第6條（考試院）"/>
    <w:bookmarkEnd w:id="48"/>
    <w:p w14:paraId="041997AE" w14:textId="77777777" w:rsidR="0095315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"b6"</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6</w:t>
      </w:r>
      <w:r w:rsidR="00203F72" w:rsidRPr="001C1A86">
        <w:rPr>
          <w:rStyle w:val="a5"/>
          <w:rFonts w:ascii="Arial Unicode MS" w:hAnsi="Arial Unicode MS"/>
        </w:rPr>
        <w:t>條</w:t>
      </w:r>
      <w:r>
        <w:fldChar w:fldCharType="end"/>
      </w:r>
      <w:r w:rsidR="00203F72" w:rsidRPr="00A53581">
        <w:t>（考試院）</w:t>
      </w:r>
      <w:r w:rsidR="00203F72" w:rsidRPr="00A53581">
        <w:t xml:space="preserve"> </w:t>
      </w:r>
    </w:p>
    <w:p w14:paraId="64DC96E5" w14:textId="77777777" w:rsidR="00F07452"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（1）考試院為國家最高考試機關，掌理左列事項，不適用憲法</w:t>
      </w:r>
      <w:r w:rsidR="00504052" w:rsidRPr="006D68CC">
        <w:t>第</w:t>
      </w:r>
      <w:hyperlink r:id="rId1538" w:anchor="a83" w:history="1">
        <w:r w:rsidR="00504052" w:rsidRPr="00504052">
          <w:rPr>
            <w:rStyle w:val="a5"/>
            <w:rFonts w:ascii="Times New Roman" w:eastAsia="新細明體" w:hAnsi="Times New Roman"/>
          </w:rPr>
          <w:t>八十三</w:t>
        </w:r>
      </w:hyperlink>
      <w:r w:rsidR="00504052" w:rsidRPr="006D68CC">
        <w:t>條</w:t>
      </w:r>
      <w:r w:rsidR="00203F72" w:rsidRPr="00A53581">
        <w:rPr>
          <w:rFonts w:ascii="新細明體" w:hAnsi="新細明體"/>
        </w:rPr>
        <w:t>之規定：</w:t>
      </w:r>
    </w:p>
    <w:p w14:paraId="7D95C13B" w14:textId="77777777" w:rsidR="00367D0C" w:rsidRDefault="00203F72" w:rsidP="00D87D91">
      <w:r w:rsidRPr="00A53581">
        <w:t xml:space="preserve">　　一、考試</w:t>
      </w:r>
      <w:r w:rsidR="00545D58">
        <w:t>。</w:t>
      </w:r>
    </w:p>
    <w:p w14:paraId="7522DFCE" w14:textId="77777777" w:rsidR="00367D0C" w:rsidRDefault="00203F72" w:rsidP="00D87D91">
      <w:r w:rsidRPr="00A53581">
        <w:t xml:space="preserve">　　二、公務人員之銓敘、保障、撫卹、退休</w:t>
      </w:r>
      <w:r w:rsidR="00545D58">
        <w:t>。</w:t>
      </w:r>
    </w:p>
    <w:p w14:paraId="55F0C6EA" w14:textId="77777777" w:rsidR="00367D0C" w:rsidRDefault="00203F72" w:rsidP="00D87D91">
      <w:r w:rsidRPr="00A53581">
        <w:t xml:space="preserve">　　三、公務人員任免、考績、級俸、陞遷、褒獎之法制事項</w:t>
      </w:r>
      <w:r w:rsidR="00545D58">
        <w:t>。</w:t>
      </w:r>
    </w:p>
    <w:p w14:paraId="110BDA33" w14:textId="77777777" w:rsidR="00367D0C" w:rsidRDefault="00367D0C" w:rsidP="00D87D91">
      <w:r>
        <w:t xml:space="preserve">　　</w:t>
      </w:r>
      <w:r w:rsidR="00203F72" w:rsidRPr="00A53581">
        <w:t>（</w:t>
      </w:r>
      <w:r w:rsidR="00203F72" w:rsidRPr="00A53581">
        <w:t>2</w:t>
      </w:r>
      <w:r w:rsidR="00203F72" w:rsidRPr="00A53581">
        <w:t>）考試院設院長、副院長各一人，考試委員若干人，由總統提名，經立法院同意任命之，不適用憲法</w:t>
      </w:r>
      <w:r w:rsidR="00884F83" w:rsidRPr="006D68CC">
        <w:t>第</w:t>
      </w:r>
      <w:hyperlink r:id="rId1539" w:anchor="a84" w:history="1">
        <w:r w:rsidR="00884F83" w:rsidRPr="00884F83">
          <w:rPr>
            <w:rStyle w:val="a5"/>
            <w:rFonts w:ascii="Times New Roman" w:eastAsia="新細明體" w:hAnsi="Times New Roman"/>
          </w:rPr>
          <w:t>八十四</w:t>
        </w:r>
      </w:hyperlink>
      <w:r w:rsidR="00884F83" w:rsidRPr="006D68CC">
        <w:t>條</w:t>
      </w:r>
      <w:r w:rsidR="00203F72" w:rsidRPr="00A53581">
        <w:t>之規定</w:t>
      </w:r>
      <w:r w:rsidR="00545D58">
        <w:t>。</w:t>
      </w:r>
    </w:p>
    <w:p w14:paraId="0EBE8C2E" w14:textId="77777777" w:rsidR="00203F72" w:rsidRPr="00A53581"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（3）憲法</w:t>
      </w:r>
      <w:r w:rsidR="00306E89" w:rsidRPr="006D68CC">
        <w:t>第</w:t>
      </w:r>
      <w:hyperlink r:id="rId1540" w:anchor="a85" w:history="1">
        <w:r w:rsidR="00306E89" w:rsidRPr="00306E89">
          <w:rPr>
            <w:rStyle w:val="a5"/>
            <w:rFonts w:ascii="Times New Roman" w:hAnsi="Times New Roman"/>
          </w:rPr>
          <w:t>八十五</w:t>
        </w:r>
      </w:hyperlink>
      <w:r w:rsidR="00306E89" w:rsidRPr="006D68CC">
        <w:t>條</w:t>
      </w:r>
      <w:r w:rsidR="00203F72" w:rsidRPr="00A53581">
        <w:rPr>
          <w:rFonts w:ascii="新細明體" w:hAnsi="新細明體"/>
        </w:rPr>
        <w:t>有關按省區分別規定名額，分區舉行考試之規定，停止適用</w:t>
      </w:r>
      <w:r w:rsidR="00545D58">
        <w:rPr>
          <w:rFonts w:ascii="新細明體" w:hAnsi="新細明體"/>
        </w:rPr>
        <w:t>。</w:t>
      </w:r>
    </w:p>
    <w:p w14:paraId="3F147649" w14:textId="77777777" w:rsidR="00203F72" w:rsidRPr="00A53581" w:rsidRDefault="00203F72" w:rsidP="00D87D91">
      <w:r w:rsidRPr="00A53581">
        <w:t xml:space="preserve"> </w:t>
      </w:r>
    </w:p>
    <w:p w14:paraId="0F0AA37E" w14:textId="77777777" w:rsidR="00203F72" w:rsidRPr="00306E89" w:rsidRDefault="00B03E84" w:rsidP="00D87D91">
      <w:r w:rsidRPr="00306E89">
        <w:t>【內容解析】</w:t>
      </w:r>
    </w:p>
    <w:p w14:paraId="262ECB80" w14:textId="77777777" w:rsidR="00953151" w:rsidRPr="00306E89" w:rsidRDefault="00367D0C" w:rsidP="00D87D91">
      <w:r w:rsidRPr="00306E89">
        <w:t xml:space="preserve">　　</w:t>
      </w:r>
      <w:r w:rsidR="00203F72" w:rsidRPr="00306E89">
        <w:t>就憲法增修條</w:t>
      </w:r>
      <w:r w:rsidR="006937CE" w:rsidRPr="00D73718">
        <w:t>文</w:t>
      </w:r>
      <w:hyperlink r:id="rId1541"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306E89">
        <w:t>而言，係規範考試院之功能與角色；根據憲法增修條</w:t>
      </w:r>
      <w:r w:rsidR="006937CE" w:rsidRPr="00D73718">
        <w:t>文</w:t>
      </w:r>
      <w:hyperlink r:id="rId1542"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306E89">
        <w:t>之規定，考試院為中華民國最高之考試機關；根據本條之立憲意旨，考試院仍屬「院」級之機關；西方民主國家大多為三權憲法，我國憲法之考試權，係由孫中山先生所創設。國父孫中山先生之所以主張應在憲法三權之外，獨立建構一個「考試權」（考試院），其理由如下</w:t>
      </w:r>
      <w:r w:rsidR="00203F72" w:rsidRPr="00306E89">
        <w:footnoteReference w:id="164"/>
      </w:r>
      <w:r w:rsidR="00203F72" w:rsidRPr="00306E89">
        <w:t>：</w:t>
      </w:r>
      <w:r w:rsidR="00203F72" w:rsidRPr="00306E89">
        <w:t>1.</w:t>
      </w:r>
      <w:r w:rsidR="00203F72" w:rsidRPr="00306E89">
        <w:t>中國有個傳統之古法，即為考試取才；</w:t>
      </w:r>
      <w:r w:rsidR="00203F72" w:rsidRPr="00306E89">
        <w:t>2.</w:t>
      </w:r>
      <w:r w:rsidR="00203F72" w:rsidRPr="00306E89">
        <w:t>在中國古代，凡是經過考試出身者，算是正途；若非經由考試出身者，則非正途；</w:t>
      </w:r>
      <w:r w:rsidR="00203F72" w:rsidRPr="00306E89">
        <w:t>3.</w:t>
      </w:r>
      <w:r w:rsidR="00203F72" w:rsidRPr="00306E89">
        <w:t>在共和時代，如欲任用官吏，考試是萬不可少的；</w:t>
      </w:r>
      <w:r w:rsidR="00203F72" w:rsidRPr="00306E89">
        <w:t>4.</w:t>
      </w:r>
      <w:r w:rsidR="00203F72" w:rsidRPr="00306E89">
        <w:t>在憲法之中，如能加入考試制度，一定很完備，可以通行無礙；</w:t>
      </w:r>
      <w:r w:rsidR="00203F72" w:rsidRPr="00306E89">
        <w:t>5.</w:t>
      </w:r>
      <w:r w:rsidR="00203F72" w:rsidRPr="00306E89">
        <w:t>以超然客觀之立場，排除來自行政權運作之幹擾，為國舉才。</w:t>
      </w:r>
    </w:p>
    <w:p w14:paraId="6C41C636" w14:textId="77777777" w:rsidR="00953151" w:rsidRPr="00306E89" w:rsidRDefault="00367D0C" w:rsidP="00D87D91">
      <w:r w:rsidRPr="00306E89">
        <w:t xml:space="preserve">　　</w:t>
      </w:r>
      <w:r w:rsidR="00203F72" w:rsidRPr="00306E89">
        <w:t>就憲法增修條</w:t>
      </w:r>
      <w:r w:rsidR="006937CE" w:rsidRPr="00D73718">
        <w:t>文</w:t>
      </w:r>
      <w:hyperlink r:id="rId1543"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306E89">
        <w:t>第</w:t>
      </w:r>
      <w:r w:rsidR="00203F72" w:rsidRPr="00306E89">
        <w:t>1</w:t>
      </w:r>
      <w:r w:rsidR="00203F72" w:rsidRPr="00306E89">
        <w:t>項、第</w:t>
      </w:r>
      <w:r w:rsidR="00203F72" w:rsidRPr="00306E89">
        <w:t>1</w:t>
      </w:r>
      <w:r w:rsidR="00203F72" w:rsidRPr="00306E89">
        <w:t>款及第</w:t>
      </w:r>
      <w:r w:rsidR="00203F72" w:rsidRPr="00306E89">
        <w:t>2</w:t>
      </w:r>
      <w:r w:rsidR="00203F72" w:rsidRPr="00306E89">
        <w:t>款而論，考試院不僅負責「政策」與「法令」之制度，且亦負責實際之「執行操作面」，而非僅限於法制事項，此等之職權，包括：考試、公務人員之銓敘、保障、撫恤及退休。此外，有關於公務人員之任免、考績、級俸、陞遷、褒獎等事項，考試院則僅負責法制之研訂，或事後審查複核，不負責實際之操作執行作業（陳志華，頁</w:t>
      </w:r>
      <w:r w:rsidR="00203F72" w:rsidRPr="00306E89">
        <w:t>238</w:t>
      </w:r>
      <w:r w:rsidR="00203F72" w:rsidRPr="00306E89">
        <w:t>～</w:t>
      </w:r>
      <w:r w:rsidR="00203F72" w:rsidRPr="00306E89">
        <w:t>239</w:t>
      </w:r>
      <w:r w:rsidR="00203F72" w:rsidRPr="00306E89">
        <w:t>）。</w:t>
      </w:r>
    </w:p>
    <w:p w14:paraId="325E0838" w14:textId="77777777" w:rsidR="00953151" w:rsidRPr="00306E89" w:rsidRDefault="00367D0C" w:rsidP="00D87D91">
      <w:r w:rsidRPr="00306E89">
        <w:t xml:space="preserve">　　</w:t>
      </w:r>
      <w:r w:rsidR="00203F72" w:rsidRPr="00306E89">
        <w:t>自從民國</w:t>
      </w:r>
      <w:r w:rsidR="00203F72" w:rsidRPr="00306E89">
        <w:t>91</w:t>
      </w:r>
      <w:r w:rsidR="00203F72" w:rsidRPr="00306E89">
        <w:t>年以來，立法院曾要求廢除考試院，有論者主張考試院可廢除，並將「考銓業務」移置行政院之下；本書認為，基於以下之法理，考試院似有繼續保留之必要性：</w:t>
      </w:r>
      <w:r w:rsidR="00203F72" w:rsidRPr="00306E89">
        <w:t>1.</w:t>
      </w:r>
      <w:r w:rsidR="00203F72" w:rsidRPr="00306E89">
        <w:t>考試制度濫觴於西漢，直至今日，歷史悠久，立意良善，故</w:t>
      </w:r>
      <w:r w:rsidR="00203F72" w:rsidRPr="00306E89">
        <w:t>S. Wells William</w:t>
      </w:r>
      <w:r w:rsidR="00203F72" w:rsidRPr="00306E89">
        <w:t>在其</w:t>
      </w:r>
      <w:r w:rsidR="00203F72" w:rsidRPr="00306E89">
        <w:t>1848</w:t>
      </w:r>
      <w:r w:rsidR="00203F72" w:rsidRPr="00306E89">
        <w:t>年出版之「中國」專書之中，認古今任何一個大國，中國之考試制度，可算是一種無可比擬之制度</w:t>
      </w:r>
      <w:r w:rsidR="00203F72" w:rsidRPr="00306E89">
        <w:footnoteReference w:id="165"/>
      </w:r>
      <w:r w:rsidR="00203F72" w:rsidRPr="00306E89">
        <w:t>；</w:t>
      </w:r>
      <w:r w:rsidR="00203F72" w:rsidRPr="00306E89">
        <w:t>2.</w:t>
      </w:r>
      <w:r w:rsidR="00203F72" w:rsidRPr="00306E89">
        <w:t>假若將考試權移置於行政院之下，易受到總統與行政院院長行政權之幹預；諸如</w:t>
      </w:r>
      <w:r w:rsidR="00203F72" w:rsidRPr="00306E89">
        <w:t>:</w:t>
      </w:r>
      <w:r w:rsidR="00203F72" w:rsidRPr="00306E89">
        <w:t>為了令行政院官員之子女能夠錄取，改變考試科目與計分，或擴大錄取名額；亦即，考銓機關有可能為了迎合行政院院長或總統個人私人之需求，改變考試規則；</w:t>
      </w:r>
      <w:r w:rsidR="00203F72" w:rsidRPr="00306E89">
        <w:t>3.</w:t>
      </w:r>
      <w:r w:rsidR="00203F72" w:rsidRPr="00306E89">
        <w:t>考銓設置在行政院之下，較缺乏獨立自主之功能與地位，立場無法完全超然；</w:t>
      </w:r>
      <w:r w:rsidR="00203F72" w:rsidRPr="00306E89">
        <w:t>4.</w:t>
      </w:r>
      <w:r w:rsidR="00203F72" w:rsidRPr="00306E89">
        <w:t>日本人事院之制度，是否能夠成功地複製於台灣，不無爭議性；如將考銓機關移置行政院之下，將較缺乏獨立性；</w:t>
      </w:r>
      <w:r w:rsidR="00203F72" w:rsidRPr="00306E89">
        <w:t>5.</w:t>
      </w:r>
      <w:r w:rsidR="00203F72" w:rsidRPr="00306E89">
        <w:t>易造成總統與行政院院長之集權：專權、擴權與濫權，並非良善之作法；</w:t>
      </w:r>
      <w:r w:rsidR="00203F72" w:rsidRPr="00306E89">
        <w:t>6.</w:t>
      </w:r>
      <w:r w:rsidR="00203F72" w:rsidRPr="00306E89">
        <w:t>假若繼續維持考試院，考試業務將不會受到行政院院長之幹預；</w:t>
      </w:r>
      <w:r w:rsidR="00203F72" w:rsidRPr="00306E89">
        <w:t>7.</w:t>
      </w:r>
      <w:r w:rsidR="00203F72" w:rsidRPr="00306E89">
        <w:t>對於公務人員體制與法制之改革，需要「部外制」（考試院）之機制；假若，將考銓機關移置於行政院之下，因同屬於行政院之下，較難對於公務體制之改革與創新，提出開創性之作業；</w:t>
      </w:r>
      <w:r w:rsidR="00203F72" w:rsidRPr="00306E89">
        <w:t>8.</w:t>
      </w:r>
      <w:r w:rsidR="00203F72" w:rsidRPr="00306E89">
        <w:t>我國憲法之立憲法理，係基於五權分立，此五權之中，包括考試權；如果保留考試院，該院可制衡行政院獨斷取才之弊病</w:t>
      </w:r>
      <w:r w:rsidR="00545D58" w:rsidRPr="00306E89">
        <w:t>。</w:t>
      </w:r>
    </w:p>
    <w:p w14:paraId="5C6E16E5" w14:textId="77777777" w:rsidR="00953151" w:rsidRDefault="00367D0C" w:rsidP="00D87D91">
      <w:r>
        <w:t xml:space="preserve">　　</w:t>
      </w:r>
      <w:r w:rsidR="00203F72" w:rsidRPr="00A53581">
        <w:t>就憲法增修條</w:t>
      </w:r>
      <w:r w:rsidR="006937CE" w:rsidRPr="00D73718">
        <w:t>文</w:t>
      </w:r>
      <w:hyperlink r:id="rId1544"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A53581">
        <w:t>第</w:t>
      </w:r>
      <w:r w:rsidR="00203F72" w:rsidRPr="00A53581">
        <w:t>2</w:t>
      </w:r>
      <w:r w:rsidR="00203F72" w:rsidRPr="00A53581">
        <w:t>項而言，考試委員須由總統提名，並經立法院同意後任命之；在此，有疑義之部分，係為考試委員之產生，是否須經由總統？值得討論。就日本人事院而言，人事院由</w:t>
      </w:r>
      <w:r w:rsidR="00203F72" w:rsidRPr="00A53581">
        <w:t>3</w:t>
      </w:r>
      <w:r w:rsidR="00203F72" w:rsidRPr="00A53581">
        <w:t>名人事官組成，其中</w:t>
      </w:r>
      <w:r w:rsidR="00203F72" w:rsidRPr="00A53581">
        <w:t>1</w:t>
      </w:r>
      <w:r w:rsidR="00203F72" w:rsidRPr="00A53581">
        <w:t>名為總裁；</w:t>
      </w:r>
      <w:r w:rsidR="00203F72" w:rsidRPr="00A53581">
        <w:t>3</w:t>
      </w:r>
      <w:r w:rsidR="00203F72" w:rsidRPr="00A53581">
        <w:t>名人事官之人選，係由內閣提名，經由國會同意，並經日本矢皇認證之。經考察日本上述之機制，可知人事官亦須經由國會同意，須接受民意之監督。</w:t>
      </w:r>
    </w:p>
    <w:p w14:paraId="06714522" w14:textId="77777777" w:rsidR="00953151" w:rsidRDefault="00367D0C" w:rsidP="00D87D91">
      <w:r>
        <w:t xml:space="preserve">　　</w:t>
      </w:r>
      <w:r w:rsidR="00203F72" w:rsidRPr="00A53581">
        <w:t>此部分，台日兩國均有相同之同意機制，本書認為，考試委員之提名或初步名單，不限於須完全由總統提名；可行之方式，可改由各界推薦或自薦之方式，由立法院選舉產生。主要之立憲理由，即要削弱總統之權力，避免總統專權與濫權，不宜令總統有過多之權力，故改由立法院選舉考試委員之方式，即可跳脫總統提名之機制，達到更公平與更公開之程序正義要求。</w:t>
      </w:r>
    </w:p>
    <w:p w14:paraId="4275D915" w14:textId="77777777" w:rsidR="00545D58" w:rsidRDefault="00545D58" w:rsidP="00670577">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3E15C927" w14:textId="77777777" w:rsidR="00545D58" w:rsidRDefault="00545D58" w:rsidP="00D87D91"/>
    <w:bookmarkStart w:id="49" w:name="_第7條（監察院）"/>
    <w:bookmarkEnd w:id="49"/>
    <w:p w14:paraId="64D2C4CB" w14:textId="77777777" w:rsidR="0095315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"b7"</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7</w:t>
      </w:r>
      <w:r w:rsidR="00203F72" w:rsidRPr="001C1A86">
        <w:rPr>
          <w:rStyle w:val="a5"/>
          <w:rFonts w:ascii="Arial Unicode MS" w:hAnsi="Arial Unicode MS"/>
        </w:rPr>
        <w:t>條</w:t>
      </w:r>
      <w:r>
        <w:fldChar w:fldCharType="end"/>
      </w:r>
      <w:r w:rsidR="00203F72" w:rsidRPr="00A53581">
        <w:t>（監察院）</w:t>
      </w:r>
    </w:p>
    <w:p w14:paraId="04D4819B" w14:textId="77777777" w:rsidR="00F07452"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（1）監察院為國家最高監察機關，行使彈劾、糾舉及審計權，不適用憲法</w:t>
      </w:r>
      <w:r w:rsidR="009A2820" w:rsidRPr="00DE63F7">
        <w:t>第</w:t>
      </w:r>
      <w:hyperlink r:id="rId1545" w:anchor="a90" w:history="1">
        <w:r w:rsidR="009A2820" w:rsidRPr="009A2820">
          <w:rPr>
            <w:rStyle w:val="a5"/>
            <w:rFonts w:ascii="Times New Roman" w:eastAsia="新細明體" w:hAnsi="Times New Roman"/>
          </w:rPr>
          <w:t>九十</w:t>
        </w:r>
      </w:hyperlink>
      <w:r w:rsidR="009A2820" w:rsidRPr="00DE63F7">
        <w:t>條</w:t>
      </w:r>
      <w:r w:rsidR="00203F72" w:rsidRPr="00A53581">
        <w:rPr>
          <w:rFonts w:ascii="新細明體" w:hAnsi="新細明體"/>
        </w:rPr>
        <w:t>及</w:t>
      </w:r>
      <w:r w:rsidR="009A2820" w:rsidRPr="00DE63F7">
        <w:t>第</w:t>
      </w:r>
      <w:hyperlink r:id="rId1546" w:anchor="a94" w:history="1">
        <w:r w:rsidR="009A2820" w:rsidRPr="009A2820">
          <w:rPr>
            <w:rStyle w:val="a5"/>
            <w:rFonts w:ascii="Times New Roman" w:eastAsia="新細明體" w:hAnsi="Times New Roman"/>
          </w:rPr>
          <w:t>九十四</w:t>
        </w:r>
      </w:hyperlink>
      <w:r w:rsidR="009A2820" w:rsidRPr="00DE63F7">
        <w:t>條</w:t>
      </w:r>
      <w:r w:rsidR="00203F72" w:rsidRPr="00A53581">
        <w:rPr>
          <w:rFonts w:ascii="新細明體" w:hAnsi="新細明體"/>
        </w:rPr>
        <w:t>有關同意權之規定</w:t>
      </w:r>
      <w:r w:rsidR="00545D58">
        <w:rPr>
          <w:rFonts w:ascii="新細明體" w:hAnsi="新細明體"/>
        </w:rPr>
        <w:t>。</w:t>
      </w:r>
    </w:p>
    <w:p w14:paraId="677CD353" w14:textId="77777777" w:rsidR="00F07452" w:rsidRDefault="00367D0C" w:rsidP="00D87D91">
      <w:r>
        <w:t xml:space="preserve">　　</w:t>
      </w:r>
      <w:r w:rsidR="00203F72" w:rsidRPr="00A53581">
        <w:t>（</w:t>
      </w:r>
      <w:r w:rsidR="00203F72" w:rsidRPr="00A53581">
        <w:t>2</w:t>
      </w:r>
      <w:r w:rsidR="00203F72" w:rsidRPr="00A53581">
        <w:t>）監察院設監察委員二十九人，並以其中一人為院長、一人為副院長，任期六年，由總統提名，經立法院同意任命之。憲法</w:t>
      </w:r>
      <w:r w:rsidR="008A1D8D" w:rsidRPr="00A53581">
        <w:t>第</w:t>
      </w:r>
      <w:hyperlink r:id="rId1547" w:anchor="a91" w:history="1">
        <w:r w:rsidR="008A1D8D" w:rsidRPr="00306E89">
          <w:rPr>
            <w:rStyle w:val="a5"/>
          </w:rPr>
          <w:t>九十一</w:t>
        </w:r>
      </w:hyperlink>
      <w:r w:rsidR="008A1D8D" w:rsidRPr="00A53581">
        <w:t>條</w:t>
      </w:r>
      <w:r w:rsidR="00203F72" w:rsidRPr="00A53581">
        <w:t>至第九十三條之規定停止適用</w:t>
      </w:r>
      <w:r w:rsidR="00545D58">
        <w:t>。</w:t>
      </w:r>
    </w:p>
    <w:p w14:paraId="3AC403F3" w14:textId="77777777" w:rsidR="00F07452" w:rsidRDefault="00367D0C" w:rsidP="00D87D91">
      <w:r>
        <w:t xml:space="preserve">　　</w:t>
      </w:r>
      <w:r w:rsidR="00203F72" w:rsidRPr="00A53581">
        <w:t>（</w:t>
      </w:r>
      <w:r w:rsidR="00203F72" w:rsidRPr="00A53581">
        <w:t>3</w:t>
      </w:r>
      <w:r w:rsidR="00203F72" w:rsidRPr="00A53581">
        <w:t>）監察院對於中央、地方公務人員及司法院、考試院人員之彈劾案，須經監察委員二人以上之提議，九人以上之審查及決定，始得提出，不受憲法</w:t>
      </w:r>
      <w:r w:rsidR="00655114" w:rsidRPr="00DE63F7">
        <w:t>第</w:t>
      </w:r>
      <w:hyperlink r:id="rId1548" w:anchor="a98" w:history="1">
        <w:r w:rsidR="00655114" w:rsidRPr="00655114">
          <w:rPr>
            <w:rStyle w:val="a5"/>
            <w:rFonts w:ascii="Times New Roman" w:eastAsia="新細明體" w:hAnsi="Times New Roman"/>
          </w:rPr>
          <w:t>九十八</w:t>
        </w:r>
      </w:hyperlink>
      <w:r w:rsidR="00655114" w:rsidRPr="00DE63F7">
        <w:t>條</w:t>
      </w:r>
      <w:r w:rsidR="00203F72" w:rsidRPr="00A53581">
        <w:t>之限制</w:t>
      </w:r>
      <w:r w:rsidR="00545D58">
        <w:t>。</w:t>
      </w:r>
    </w:p>
    <w:p w14:paraId="0CD8513B" w14:textId="77777777" w:rsidR="00F07452"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（4）監察院對於監察院人員失職或違法之彈劾，適用憲法</w:t>
      </w:r>
      <w:r w:rsidR="00B23D06" w:rsidRPr="00DE63F7">
        <w:t>第</w:t>
      </w:r>
      <w:hyperlink r:id="rId1549" w:anchor="a95" w:history="1">
        <w:r w:rsidR="00B23D06" w:rsidRPr="00B23D06">
          <w:rPr>
            <w:rStyle w:val="a5"/>
            <w:rFonts w:ascii="Times New Roman" w:eastAsia="新細明體" w:hAnsi="Times New Roman"/>
          </w:rPr>
          <w:t>九十五</w:t>
        </w:r>
      </w:hyperlink>
      <w:r w:rsidR="00B23D06" w:rsidRPr="00DE63F7">
        <w:t>條</w:t>
      </w:r>
      <w:r w:rsidR="00203F72" w:rsidRPr="00A53581">
        <w:rPr>
          <w:rFonts w:ascii="新細明體" w:hAnsi="新細明體"/>
        </w:rPr>
        <w:t>、</w:t>
      </w:r>
      <w:r w:rsidR="00655114" w:rsidRPr="00DE63F7">
        <w:t>第</w:t>
      </w:r>
      <w:hyperlink r:id="rId1550" w:anchor="a97" w:history="1">
        <w:r w:rsidR="00655114" w:rsidRPr="00655114">
          <w:rPr>
            <w:rStyle w:val="a5"/>
            <w:rFonts w:ascii="Times New Roman" w:eastAsia="新細明體" w:hAnsi="Times New Roman"/>
          </w:rPr>
          <w:t>九十七</w:t>
        </w:r>
      </w:hyperlink>
      <w:r w:rsidR="00655114" w:rsidRPr="00DE63F7">
        <w:t>條</w:t>
      </w:r>
      <w:r w:rsidR="00203F72" w:rsidRPr="00A53581">
        <w:rPr>
          <w:rFonts w:ascii="新細明體" w:hAnsi="新細明體"/>
        </w:rPr>
        <w:t>第二項及前項之規定</w:t>
      </w:r>
      <w:r w:rsidR="00545D58">
        <w:rPr>
          <w:rFonts w:ascii="新細明體" w:hAnsi="新細明體"/>
        </w:rPr>
        <w:t>。</w:t>
      </w:r>
    </w:p>
    <w:p w14:paraId="61B0F0A4" w14:textId="77777777" w:rsidR="00F07452" w:rsidRDefault="00367D0C" w:rsidP="00D87D91">
      <w:r>
        <w:t xml:space="preserve">　　</w:t>
      </w:r>
      <w:r w:rsidR="00203F72" w:rsidRPr="00A53581">
        <w:t>（</w:t>
      </w:r>
      <w:r w:rsidR="00203F72" w:rsidRPr="00A53581">
        <w:t>5</w:t>
      </w:r>
      <w:r w:rsidR="00203F72" w:rsidRPr="00A53581">
        <w:t>）監察委員須超出黨派以外，依據法律獨立行使職權</w:t>
      </w:r>
      <w:r w:rsidR="00545D58">
        <w:t>。</w:t>
      </w:r>
    </w:p>
    <w:p w14:paraId="5C0CA3DC" w14:textId="77777777" w:rsidR="00203F72" w:rsidRPr="00A53581"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（6）憲法</w:t>
      </w:r>
      <w:r w:rsidR="00B213D8" w:rsidRPr="00DE63F7">
        <w:t>第</w:t>
      </w:r>
      <w:hyperlink r:id="rId1551" w:anchor="a101" w:history="1">
        <w:r w:rsidR="00B213D8" w:rsidRPr="00B213D8">
          <w:rPr>
            <w:rStyle w:val="a5"/>
            <w:rFonts w:ascii="Times New Roman" w:eastAsia="新細明體" w:hAnsi="Times New Roman"/>
          </w:rPr>
          <w:t>一百零一</w:t>
        </w:r>
      </w:hyperlink>
      <w:r w:rsidR="00B213D8" w:rsidRPr="00DE63F7">
        <w:t>條</w:t>
      </w:r>
      <w:r w:rsidR="00203F72" w:rsidRPr="00A53581">
        <w:rPr>
          <w:rFonts w:ascii="新細明體" w:hAnsi="新細明體"/>
        </w:rPr>
        <w:t>及</w:t>
      </w:r>
      <w:r w:rsidR="00B213D8" w:rsidRPr="00DE63F7">
        <w:t>第</w:t>
      </w:r>
      <w:hyperlink r:id="rId1552" w:anchor="a102" w:history="1">
        <w:r w:rsidR="00B213D8" w:rsidRPr="00B213D8">
          <w:rPr>
            <w:rStyle w:val="a5"/>
            <w:rFonts w:ascii="Times New Roman" w:eastAsia="新細明體" w:hAnsi="Times New Roman"/>
          </w:rPr>
          <w:t>一百零二</w:t>
        </w:r>
      </w:hyperlink>
      <w:r w:rsidR="00B213D8" w:rsidRPr="00DE63F7">
        <w:t>條</w:t>
      </w:r>
      <w:r w:rsidR="00203F72" w:rsidRPr="00A53581">
        <w:rPr>
          <w:rFonts w:ascii="新細明體" w:hAnsi="新細明體"/>
        </w:rPr>
        <w:t>之規定，停止適用</w:t>
      </w:r>
      <w:r w:rsidR="00545D58">
        <w:rPr>
          <w:rFonts w:ascii="新細明體" w:hAnsi="新細明體"/>
        </w:rPr>
        <w:t>。</w:t>
      </w:r>
    </w:p>
    <w:p w14:paraId="6BF7186B" w14:textId="77777777" w:rsidR="00203F72" w:rsidRPr="00A53581" w:rsidRDefault="00203F72" w:rsidP="00D87D91">
      <w:r w:rsidRPr="00A53581">
        <w:t xml:space="preserve"> </w:t>
      </w:r>
    </w:p>
    <w:p w14:paraId="0170B77D" w14:textId="77777777" w:rsidR="00203F72" w:rsidRPr="00A53581" w:rsidRDefault="00B03E84" w:rsidP="00D87D91">
      <w:r>
        <w:t>【內容解析】</w:t>
      </w:r>
    </w:p>
    <w:p w14:paraId="5C3BD834" w14:textId="77777777" w:rsidR="00953151" w:rsidRDefault="00367D0C" w:rsidP="00D87D91">
      <w:r>
        <w:t xml:space="preserve">　　</w:t>
      </w:r>
      <w:r w:rsidR="00203F72" w:rsidRPr="00A53581">
        <w:t>就憲法增修條</w:t>
      </w:r>
      <w:r w:rsidR="006E37D4" w:rsidRPr="00D73718">
        <w:t>文</w:t>
      </w:r>
      <w:hyperlink r:id="rId1553"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而論，係規範監察院之憲法定位、功能、監察委員人數及任命。在外國亦有類似於我國監察委員之機制，以瑞典為例，在瑞典憲法第</w:t>
      </w:r>
      <w:r w:rsidR="00203F72" w:rsidRPr="00A53581">
        <w:t>12</w:t>
      </w:r>
      <w:r w:rsidR="00203F72" w:rsidRPr="00A53581">
        <w:t>章國會控制（</w:t>
      </w:r>
      <w:r w:rsidR="00203F72" w:rsidRPr="00A53581">
        <w:t>Parliamentary Control</w:t>
      </w:r>
      <w:r w:rsidR="00203F72" w:rsidRPr="00A53581">
        <w:t>）中之第</w:t>
      </w:r>
      <w:r w:rsidR="00203F72" w:rsidRPr="00A53581">
        <w:t>6</w:t>
      </w:r>
      <w:r w:rsidR="00203F72" w:rsidRPr="00A53581">
        <w:t>條，即規範監察人（</w:t>
      </w:r>
      <w:r w:rsidR="00203F72" w:rsidRPr="00A53581">
        <w:t>Ombudsman</w:t>
      </w:r>
      <w:r w:rsidR="00203F72" w:rsidRPr="00A53581">
        <w:t>）之產生方式與職權；依據上述條</w:t>
      </w:r>
      <w:r w:rsidR="006937CE" w:rsidRPr="00D73718">
        <w:t>文</w:t>
      </w:r>
      <w:hyperlink r:id="rId1554"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A53581">
        <w:t>之規定，瑞典國會須選舉</w:t>
      </w:r>
      <w:r w:rsidR="00203F72" w:rsidRPr="00A53581">
        <w:t>1</w:t>
      </w:r>
      <w:r w:rsidR="00203F72" w:rsidRPr="00A53581">
        <w:t>名至數名之監察人（</w:t>
      </w:r>
      <w:r w:rsidR="00203F72" w:rsidRPr="00A53581">
        <w:t>The Parliament shall elect one or more Ombudsman</w:t>
      </w:r>
      <w:r w:rsidR="00203F72" w:rsidRPr="00A53581">
        <w:t>），以利監察於公法領域內之相關法令，及其他範疇中法規之實際執行情形。</w:t>
      </w:r>
    </w:p>
    <w:p w14:paraId="7EE219A8" w14:textId="77777777" w:rsidR="00953151" w:rsidRDefault="00367D0C" w:rsidP="00D87D91">
      <w:r>
        <w:t xml:space="preserve">　　</w:t>
      </w:r>
      <w:r w:rsidR="00203F72" w:rsidRPr="00A53581">
        <w:t>此外，依據瑞典憲法第</w:t>
      </w:r>
      <w:r w:rsidR="00203F72" w:rsidRPr="00A53581">
        <w:t>12</w:t>
      </w:r>
      <w:r w:rsidR="00203F72" w:rsidRPr="00A53581">
        <w:t>章第</w:t>
      </w:r>
      <w:r w:rsidR="00203F72" w:rsidRPr="00A53581">
        <w:t>8</w:t>
      </w:r>
      <w:r w:rsidR="00203F72" w:rsidRPr="00A53581">
        <w:t>條之規定，如最高法院（</w:t>
      </w:r>
      <w:r w:rsidR="00203F72" w:rsidRPr="00A53581">
        <w:t>the Supreme Court</w:t>
      </w:r>
      <w:r w:rsidR="00203F72" w:rsidRPr="00A53581">
        <w:t>）或最高行政法院（</w:t>
      </w:r>
      <w:r w:rsidR="00203F72" w:rsidRPr="00A53581">
        <w:t>the Supreme Administrative Court</w:t>
      </w:r>
      <w:r w:rsidR="00203F72" w:rsidRPr="00A53581">
        <w:t>）之法官，因觸犯刑事罪行，須被追訴時，唯能透由國會監察人（</w:t>
      </w:r>
      <w:r w:rsidR="00203F72" w:rsidRPr="00A53581">
        <w:t>Parliamentary Ombudsman</w:t>
      </w:r>
      <w:r w:rsidR="00203F72" w:rsidRPr="00A53581">
        <w:t>）或法務部長（</w:t>
      </w:r>
      <w:r w:rsidR="00203F72" w:rsidRPr="00A53581">
        <w:t>the Justice Chancellor</w:t>
      </w:r>
      <w:r w:rsidR="00203F72" w:rsidRPr="00A53581">
        <w:t>）於最高法院中，進行刑事之訴追。經檢</w:t>
      </w:r>
      <w:r w:rsidR="003E240E">
        <w:t>視</w:t>
      </w:r>
      <w:r w:rsidR="00203F72" w:rsidRPr="00A53581">
        <w:t>瑞典之憲法之後，可發現瑞典之「國會監察人」，相當於我國之監察委員，但瑞典之「國會監察人」，須依照瑞典國會所頒本之法令。與指令（</w:t>
      </w:r>
      <w:r w:rsidR="00203F72" w:rsidRPr="00A53581">
        <w:t>under instructions laid down by the Parliament</w:t>
      </w:r>
      <w:r w:rsidR="00203F72" w:rsidRPr="00A53581">
        <w:t>）行事；亦即，瑞典「國會監察人」係依附於國會之下。相較之下，我國之監察委員，較具有獨立性，職權亦較大。</w:t>
      </w:r>
    </w:p>
    <w:p w14:paraId="42FF345F" w14:textId="77777777" w:rsidR="00953151" w:rsidRDefault="00367D0C" w:rsidP="00D87D91">
      <w:r>
        <w:t xml:space="preserve">　　</w:t>
      </w:r>
      <w:r w:rsidR="00203F72" w:rsidRPr="00A53581">
        <w:t>就憲法增修條</w:t>
      </w:r>
      <w:r w:rsidR="006E37D4" w:rsidRPr="00D73718">
        <w:t>文</w:t>
      </w:r>
      <w:hyperlink r:id="rId1555"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第</w:t>
      </w:r>
      <w:r w:rsidR="00203F72" w:rsidRPr="00A53581">
        <w:t>2</w:t>
      </w:r>
      <w:r w:rsidR="00203F72" w:rsidRPr="00A53581">
        <w:t>項而言，我國監察委員之產生方式，係由總統提名，之後，經立法院同意任命之。就瑞典而言，瑞典之「國會監察人」係由國會選舉產生；反觀我國監委之提名權，係由總統提名。我國總統對於監委擁有實質之提名權，然而，值得深思之問題，我國總統之職權，是否過於龐大與集中？本書認為，國家之權力，不宜向總統集中，故監委人選之名單，在產生之方式上，似不宜過於集中由總統提名；建議改為由各界推薦或自薦，之後，經由立法院選舉產生為佳，以防杜總統專權與濫權。</w:t>
      </w:r>
    </w:p>
    <w:p w14:paraId="5389018B" w14:textId="77777777" w:rsidR="00953151" w:rsidRDefault="00367D0C" w:rsidP="00D87D91">
      <w:r>
        <w:t xml:space="preserve">　　</w:t>
      </w:r>
      <w:r w:rsidR="00203F72" w:rsidRPr="00A53581">
        <w:t>另外，就憲法增修條</w:t>
      </w:r>
      <w:r w:rsidR="006E37D4" w:rsidRPr="00D73718">
        <w:t>文</w:t>
      </w:r>
      <w:hyperlink r:id="rId1556"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第</w:t>
      </w:r>
      <w:r w:rsidR="00203F72" w:rsidRPr="00A53581">
        <w:t>3</w:t>
      </w:r>
      <w:r w:rsidR="00203F72" w:rsidRPr="00A53581">
        <w:t>項及第</w:t>
      </w:r>
      <w:r w:rsidR="00203F72" w:rsidRPr="00A53581">
        <w:t>4</w:t>
      </w:r>
      <w:r w:rsidR="00203F72" w:rsidRPr="00A53581">
        <w:t>項而論，係規範彈劾案提出之程序；所謂之「彈劾」，乃指監察院對於中央、地方公務人員，及司法院、考試院人員，如認為有失職或違法情事，得提出彈劾案</w:t>
      </w:r>
      <w:r w:rsidR="00203F72" w:rsidRPr="00A53581">
        <w:rPr>
          <w:rStyle w:val="af3"/>
          <w:rFonts w:ascii="新細明體" w:hAnsi="新細明體"/>
          <w:kern w:val="0"/>
        </w:rPr>
        <w:footnoteReference w:id="166"/>
      </w:r>
      <w:r w:rsidR="00203F72" w:rsidRPr="00A53581">
        <w:t>。上述之「彈劾」，具有以下之特色</w:t>
      </w:r>
      <w:r w:rsidR="00203F72" w:rsidRPr="00A53581">
        <w:rPr>
          <w:rStyle w:val="af3"/>
          <w:rFonts w:ascii="新細明體" w:hAnsi="新細明體"/>
          <w:kern w:val="0"/>
        </w:rPr>
        <w:footnoteReference w:id="167"/>
      </w:r>
      <w:r w:rsidR="00203F72" w:rsidRPr="00A53581">
        <w:t>：</w:t>
      </w:r>
      <w:r w:rsidR="00203F72" w:rsidRPr="00A53581">
        <w:t>1.</w:t>
      </w:r>
      <w:r w:rsidR="00203F72" w:rsidRPr="00A53581">
        <w:t>須經監委</w:t>
      </w:r>
      <w:r w:rsidR="00203F72" w:rsidRPr="00A53581">
        <w:t>2</w:t>
      </w:r>
      <w:r w:rsidR="00203F72" w:rsidRPr="00A53581">
        <w:t>人以上向監察院提出彈劾案，並經提案委員外之監委</w:t>
      </w:r>
      <w:r w:rsidR="00203F72" w:rsidRPr="00A53581">
        <w:t>9</w:t>
      </w:r>
      <w:r w:rsidR="00203F72" w:rsidRPr="00A53581">
        <w:t>人以上之審查與決定，始可提出彈劾案；</w:t>
      </w:r>
      <w:r w:rsidR="00203F72" w:rsidRPr="00A53581">
        <w:t>2.</w:t>
      </w:r>
      <w:r w:rsidR="00203F72" w:rsidRPr="00A53581">
        <w:t>須公務人員有失職或違法情事；</w:t>
      </w:r>
      <w:r w:rsidR="00203F72" w:rsidRPr="00A53581">
        <w:t>3.</w:t>
      </w:r>
      <w:r w:rsidR="00203F72" w:rsidRPr="00A53581">
        <w:t>彈劾案成立之後，由監察院公務員懲戒委員會提出；</w:t>
      </w:r>
      <w:r w:rsidR="00203F72" w:rsidRPr="00A53581">
        <w:t>4.</w:t>
      </w:r>
      <w:r w:rsidR="00203F72" w:rsidRPr="00A53581">
        <w:t>彈劾權行使之對象，包括中央、地方公務人員、司法院及考試院人員；</w:t>
      </w:r>
      <w:r w:rsidR="00203F72" w:rsidRPr="00A53581">
        <w:t>5.</w:t>
      </w:r>
      <w:r w:rsidR="00203F72" w:rsidRPr="00A53581">
        <w:t>監察院對於院內之監委及非監委，亦可彈劾；</w:t>
      </w:r>
      <w:r w:rsidR="00203F72" w:rsidRPr="00A53581">
        <w:t>6.</w:t>
      </w:r>
      <w:r w:rsidR="00203F72" w:rsidRPr="00A53581">
        <w:t>監委對於各級民意代表，亦可提出彈劾；</w:t>
      </w:r>
      <w:r w:rsidR="00203F72" w:rsidRPr="00A53581">
        <w:t>7.</w:t>
      </w:r>
      <w:r w:rsidR="00203F72" w:rsidRPr="00A53581">
        <w:t>監委之法律性質，已非民意代表；</w:t>
      </w:r>
      <w:r w:rsidR="00203F72" w:rsidRPr="00A53581">
        <w:t>8.</w:t>
      </w:r>
      <w:r w:rsidR="00203F72" w:rsidRPr="00A53581">
        <w:t>監察院亦可對於軍人提起彈劾；</w:t>
      </w:r>
      <w:r w:rsidR="00203F72" w:rsidRPr="00A53581">
        <w:t>9.</w:t>
      </w:r>
      <w:r w:rsidR="00203F72" w:rsidRPr="00A53581">
        <w:t>監察院亦可彈劾司法人員，包括可彈劾檢察總長；</w:t>
      </w:r>
      <w:r w:rsidR="00203F72" w:rsidRPr="00A53581">
        <w:t>10.</w:t>
      </w:r>
      <w:r w:rsidR="00203F72" w:rsidRPr="00A53581">
        <w:t>監察院如認為被彈劾人員違法或失職之行為，情節重大，有急速救濟之必要者，得通知該主管長官為急速救濟之處分；</w:t>
      </w:r>
      <w:r w:rsidR="00203F72" w:rsidRPr="00A53581">
        <w:t>11.</w:t>
      </w:r>
      <w:r w:rsidR="00203F72" w:rsidRPr="00A53581">
        <w:t>監察院如認為被彈劾人員違法或失職之行為，有涉及刑事或軍情者，除向懲戒機關提出外，並應逕送各該管司法或軍法機關依法辦理。</w:t>
      </w:r>
    </w:p>
    <w:p w14:paraId="4A0D13F4" w14:textId="77777777" w:rsidR="00953151" w:rsidRDefault="00367D0C" w:rsidP="00D87D91">
      <w:r>
        <w:t xml:space="preserve">　　</w:t>
      </w:r>
      <w:r w:rsidR="00203F72" w:rsidRPr="00A53581">
        <w:t>憲法增修條</w:t>
      </w:r>
      <w:r w:rsidR="006E37D4" w:rsidRPr="00D73718">
        <w:t>文</w:t>
      </w:r>
      <w:hyperlink r:id="rId1557"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第</w:t>
      </w:r>
      <w:r w:rsidR="00203F72" w:rsidRPr="00A53581">
        <w:t>3</w:t>
      </w:r>
      <w:r w:rsidR="00203F72" w:rsidRPr="00A53581">
        <w:t>項所面臨之問題，在於關於有彈劾案之提議（出），僅須監委</w:t>
      </w:r>
      <w:r w:rsidR="00203F72" w:rsidRPr="00A53581">
        <w:t>2</w:t>
      </w:r>
      <w:r w:rsidR="00203F72" w:rsidRPr="00A53581">
        <w:t>人以上，即可提出；在提議之門檻人數方面，是否過低？值得研究。如上所述，監委所行使之彈劾權，對於被彈劾之對象而言，會產生重大權益之影響與幹預；亦即，彈劾權是一項非常巨大之權力；故，在發動此項權力之提議門檻人數方面，本書認為，</w:t>
      </w:r>
      <w:r w:rsidR="00203F72" w:rsidRPr="00A53581">
        <w:t>2</w:t>
      </w:r>
      <w:r w:rsidR="00203F72" w:rsidRPr="00A53581">
        <w:t>人之門檻，似有偏低之嫌，宜提高發動彈劾權之提議門檻標準。</w:t>
      </w:r>
    </w:p>
    <w:p w14:paraId="72C3450A" w14:textId="77777777" w:rsidR="00545D58" w:rsidRDefault="00545D58" w:rsidP="00930A55">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483C82D3" w14:textId="77777777" w:rsidR="00545D58" w:rsidRDefault="00545D58" w:rsidP="00D87D91"/>
    <w:bookmarkStart w:id="50" w:name="_第8條(立法委員報酬、待遇之調整及利益迴避原則)"/>
    <w:bookmarkEnd w:id="50"/>
    <w:p w14:paraId="5473AB99" w14:textId="77777777" w:rsidR="00203F72" w:rsidRPr="00A5358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"b8"</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8</w:t>
      </w:r>
      <w:r w:rsidR="00203F72" w:rsidRPr="001C1A86">
        <w:rPr>
          <w:rStyle w:val="a5"/>
          <w:rFonts w:ascii="Arial Unicode MS" w:hAnsi="Arial Unicode MS"/>
        </w:rPr>
        <w:t>條</w:t>
      </w:r>
      <w:r>
        <w:fldChar w:fldCharType="end"/>
      </w:r>
      <w:r w:rsidR="00203F72" w:rsidRPr="00A53581">
        <w:t>(</w:t>
      </w:r>
      <w:r w:rsidR="00203F72" w:rsidRPr="00A53581">
        <w:t>立法委員報酬、待遇之調整及利益迴避原則</w:t>
      </w:r>
      <w:r w:rsidR="00203F72" w:rsidRPr="00A53581">
        <w:t xml:space="preserve">) </w:t>
      </w:r>
    </w:p>
    <w:p w14:paraId="748AE957" w14:textId="77777777" w:rsidR="00203F72" w:rsidRPr="00A53581" w:rsidRDefault="00367D0C" w:rsidP="00D87D91">
      <w:r>
        <w:t xml:space="preserve">　　</w:t>
      </w:r>
      <w:r w:rsidR="00203F72" w:rsidRPr="00A53581">
        <w:t>立法委員之報酬或待遇，應以法律定之。除年度通案調整者外，單獨增加報酬或待遇之規定，應自次屆起實施。</w:t>
      </w:r>
    </w:p>
    <w:p w14:paraId="1026A9DE" w14:textId="77777777" w:rsidR="00203F72" w:rsidRPr="00A53581" w:rsidRDefault="00203F72" w:rsidP="00D87D91">
      <w:r w:rsidRPr="00A53581">
        <w:t xml:space="preserve"> </w:t>
      </w:r>
    </w:p>
    <w:p w14:paraId="364F557B" w14:textId="77777777" w:rsidR="00203F72" w:rsidRPr="00A53581" w:rsidRDefault="00B03E84" w:rsidP="00D87D91">
      <w:r>
        <w:t>【內容解析】</w:t>
      </w:r>
    </w:p>
    <w:p w14:paraId="1C8F337E" w14:textId="77777777" w:rsidR="00953151" w:rsidRDefault="00367D0C" w:rsidP="00D87D91">
      <w:r>
        <w:t xml:space="preserve">　　</w:t>
      </w:r>
      <w:r w:rsidR="00203F72" w:rsidRPr="00A53581">
        <w:t>就憲法增修條文</w:t>
      </w:r>
      <w:hyperlink r:id="rId1558" w:anchor="b8" w:history="1">
        <w:r w:rsidR="00961D95" w:rsidRPr="001C1A86">
          <w:rPr>
            <w:rStyle w:val="a5"/>
            <w:rFonts w:ascii="Arial Unicode MS" w:hAnsi="Arial Unicode MS"/>
          </w:rPr>
          <w:t>第</w:t>
        </w:r>
        <w:r w:rsidR="00961D95" w:rsidRPr="001C1A86">
          <w:rPr>
            <w:rStyle w:val="a5"/>
            <w:rFonts w:ascii="Arial Unicode MS" w:hAnsi="Arial Unicode MS"/>
          </w:rPr>
          <w:t>8</w:t>
        </w:r>
        <w:r w:rsidR="00961D95" w:rsidRPr="001C1A86">
          <w:rPr>
            <w:rStyle w:val="a5"/>
            <w:rFonts w:ascii="Arial Unicode MS" w:hAnsi="Arial Unicode MS"/>
          </w:rPr>
          <w:t>條</w:t>
        </w:r>
      </w:hyperlink>
      <w:r w:rsidR="00203F72" w:rsidRPr="00A53581">
        <w:t>而論，係規範立法委員之報酬或待遇之相關事宜；原則上，立委之報酬或待遇，應以法律定之。就德國而言，依據德國基本法第</w:t>
      </w:r>
      <w:r w:rsidR="00203F72" w:rsidRPr="00A53581">
        <w:t>48</w:t>
      </w:r>
      <w:r w:rsidR="00203F72" w:rsidRPr="00A53581">
        <w:t>條之規定，聯邦眾議院（或可稱為聯邦議會）議員有要求適當報酬，以維持其獨立性之權力，議員有搭乘國家交通工具免費旅行之權，有關之細節（細則），由法律定，經檢</w:t>
      </w:r>
      <w:r w:rsidR="003E240E">
        <w:t>視</w:t>
      </w:r>
      <w:r w:rsidR="00203F72" w:rsidRPr="00A53581">
        <w:t>上述之規定後，可發現德國基本法亦保障聯邦議會議員之報酬；就議員有權免費地搭乘德國國家交通工具旅行方面，我國似亦可比照採用之，以保障我國立法委員之免費旅行權利。此種立委之免費旅行權之規範，宜由憲法加以規範為佳。</w:t>
      </w:r>
    </w:p>
    <w:p w14:paraId="3CB71A27" w14:textId="77777777" w:rsidR="00545D58" w:rsidRDefault="00545D58" w:rsidP="00670577">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5773188B" w14:textId="77777777" w:rsidR="00545D58" w:rsidRDefault="00545D58" w:rsidP="00D87D91"/>
    <w:bookmarkStart w:id="51" w:name="_第9條（省縣自治）"/>
    <w:bookmarkEnd w:id="51"/>
    <w:p w14:paraId="7581662F" w14:textId="77777777" w:rsidR="0095315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"b9"</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9</w:t>
      </w:r>
      <w:r w:rsidR="00203F72" w:rsidRPr="001C1A86">
        <w:rPr>
          <w:rStyle w:val="a5"/>
          <w:rFonts w:ascii="Arial Unicode MS" w:hAnsi="Arial Unicode MS"/>
        </w:rPr>
        <w:t>條</w:t>
      </w:r>
      <w:r>
        <w:fldChar w:fldCharType="end"/>
      </w:r>
      <w:r w:rsidR="00203F72" w:rsidRPr="00A53581">
        <w:t>（省縣自治）</w:t>
      </w:r>
      <w:r w:rsidR="00203F72" w:rsidRPr="00A53581">
        <w:t xml:space="preserve"> </w:t>
      </w:r>
    </w:p>
    <w:p w14:paraId="003A032D" w14:textId="77777777" w:rsidR="00545D58" w:rsidRDefault="00367D0C" w:rsidP="00D87D91">
      <w:r>
        <w:t xml:space="preserve">　　</w:t>
      </w:r>
      <w:r w:rsidR="00203F72" w:rsidRPr="00A53581">
        <w:t>（</w:t>
      </w:r>
      <w:r w:rsidR="00203F72" w:rsidRPr="00A53581">
        <w:t>1</w:t>
      </w:r>
      <w:r w:rsidR="00203F72" w:rsidRPr="00A53581">
        <w:t>）省、縣地方制度，應包括左列各款，以法律定之，不受憲法</w:t>
      </w:r>
      <w:r w:rsidR="00961D95" w:rsidRPr="00A53581">
        <w:t>第</w:t>
      </w:r>
      <w:hyperlink r:id="rId1559" w:anchor="a108" w:history="1">
        <w:r w:rsidR="00961D95" w:rsidRPr="0004558E">
          <w:rPr>
            <w:rStyle w:val="a5"/>
            <w:rFonts w:eastAsia="新細明體"/>
          </w:rPr>
          <w:t>一百零八</w:t>
        </w:r>
      </w:hyperlink>
      <w:r w:rsidR="00961D95" w:rsidRPr="00A53581">
        <w:t>條</w:t>
      </w:r>
      <w:r w:rsidR="00203F72" w:rsidRPr="00A53581">
        <w:t>第一項第一款、</w:t>
      </w:r>
      <w:r w:rsidR="00961D95" w:rsidRPr="00A53581">
        <w:t>第</w:t>
      </w:r>
      <w:hyperlink r:id="rId1560" w:anchor="a109" w:history="1">
        <w:r w:rsidR="00961D95" w:rsidRPr="00366B0C">
          <w:rPr>
            <w:rStyle w:val="a5"/>
            <w:rFonts w:ascii="Arial Unicode MS" w:eastAsia="新細明體" w:hAnsi="Arial Unicode MS"/>
          </w:rPr>
          <w:t>一百零九</w:t>
        </w:r>
      </w:hyperlink>
      <w:r w:rsidR="00961D95" w:rsidRPr="00A53581">
        <w:t>條</w:t>
      </w:r>
      <w:r w:rsidR="00203F72" w:rsidRPr="00A53581">
        <w:t>、第</w:t>
      </w:r>
      <w:hyperlink r:id="rId1561" w:anchor="a112" w:history="1">
        <w:r w:rsidR="00203F72" w:rsidRPr="00961D95">
          <w:rPr>
            <w:rStyle w:val="a5"/>
            <w:rFonts w:ascii="Times New Roman" w:eastAsia="新細明體" w:hAnsi="Times New Roman"/>
          </w:rPr>
          <w:t>一百十二</w:t>
        </w:r>
      </w:hyperlink>
      <w:r w:rsidR="00203F72" w:rsidRPr="00A53581">
        <w:t>條至第一百十五條及第</w:t>
      </w:r>
      <w:hyperlink r:id="rId1562" w:anchor="a122" w:history="1">
        <w:r w:rsidR="00203F72" w:rsidRPr="00961D95">
          <w:rPr>
            <w:rStyle w:val="a5"/>
            <w:rFonts w:ascii="Times New Roman" w:eastAsia="新細明體" w:hAnsi="Times New Roman"/>
          </w:rPr>
          <w:t>一百二十二</w:t>
        </w:r>
      </w:hyperlink>
      <w:r w:rsidR="00203F72" w:rsidRPr="00A53581">
        <w:t>條之限制：</w:t>
      </w:r>
    </w:p>
    <w:p w14:paraId="4C98909E" w14:textId="77777777" w:rsidR="00545D58" w:rsidRDefault="00203F72" w:rsidP="00D87D91">
      <w:r w:rsidRPr="00A53581">
        <w:t xml:space="preserve">　　一、省設省政府，置委員九人，其中一人為主席，均由行政院院長提請總統任命之。</w:t>
      </w:r>
    </w:p>
    <w:p w14:paraId="13F0CAE1" w14:textId="77777777" w:rsidR="00545D58" w:rsidRDefault="00203F72" w:rsidP="00D87D91">
      <w:r w:rsidRPr="00A53581">
        <w:t xml:space="preserve">　　二、省設省諮議會，置省諮議會議員若干人，由行政院院長提請總統任命之。</w:t>
      </w:r>
    </w:p>
    <w:p w14:paraId="17A3D48F" w14:textId="77777777" w:rsidR="00545D58" w:rsidRDefault="00203F72" w:rsidP="00D87D91">
      <w:r w:rsidRPr="00A53581">
        <w:t xml:space="preserve">　　三、縣設縣議會，縣議會議員由縣民選舉之。</w:t>
      </w:r>
    </w:p>
    <w:p w14:paraId="031E3BFB" w14:textId="77777777" w:rsidR="00545D58" w:rsidRDefault="00203F72" w:rsidP="00D87D91">
      <w:r w:rsidRPr="00A53581">
        <w:t xml:space="preserve">　　四、屬於縣之立法權，由縣議會行之。</w:t>
      </w:r>
    </w:p>
    <w:p w14:paraId="39EFD158" w14:textId="77777777" w:rsidR="00545D58" w:rsidRDefault="00203F72" w:rsidP="00D87D91">
      <w:r w:rsidRPr="00A53581">
        <w:t xml:space="preserve">　　五、縣設縣政府，置縣長一人，由縣民選舉之。</w:t>
      </w:r>
    </w:p>
    <w:p w14:paraId="403EE98C" w14:textId="77777777" w:rsidR="00545D58" w:rsidRDefault="00203F72" w:rsidP="00D87D91">
      <w:r w:rsidRPr="00A53581">
        <w:t xml:space="preserve">　　六、中央與省、縣之關係。</w:t>
      </w:r>
    </w:p>
    <w:p w14:paraId="489282C4" w14:textId="77777777" w:rsidR="00545D58" w:rsidRDefault="00203F72" w:rsidP="00D87D91">
      <w:r w:rsidRPr="00A53581">
        <w:t xml:space="preserve">　　七、省承行政院之命，監督縣自治事項。</w:t>
      </w:r>
    </w:p>
    <w:p w14:paraId="37AF6A0D" w14:textId="77777777" w:rsidR="00953151" w:rsidRDefault="00367D0C" w:rsidP="00D87D91">
      <w:r>
        <w:t xml:space="preserve">　　</w:t>
      </w:r>
      <w:r w:rsidR="00203F72" w:rsidRPr="00A53581">
        <w:t>（</w:t>
      </w:r>
      <w:r w:rsidR="00203F72" w:rsidRPr="00A53581">
        <w:t>2</w:t>
      </w:r>
      <w:r w:rsidR="00203F72" w:rsidRPr="00A53581">
        <w:t>）台灣省政府之功能、業務與組織之調整，得以法律為特別之規定。</w:t>
      </w:r>
    </w:p>
    <w:p w14:paraId="5F844E2F" w14:textId="77777777" w:rsidR="00953151" w:rsidRDefault="00B03E84" w:rsidP="00D87D91">
      <w:r>
        <w:t>【內容解析】</w:t>
      </w:r>
    </w:p>
    <w:p w14:paraId="71B85CA1" w14:textId="77777777" w:rsidR="00953151" w:rsidRDefault="00367D0C" w:rsidP="00D87D91">
      <w:r>
        <w:t xml:space="preserve">　　</w:t>
      </w:r>
      <w:r w:rsidR="00203F72" w:rsidRPr="00A53581">
        <w:t>就憲法增修條</w:t>
      </w:r>
      <w:r w:rsidR="008B1A5A" w:rsidRPr="005E4924">
        <w:t>文</w:t>
      </w:r>
      <w:hyperlink r:id="rId1563" w:anchor="b9" w:history="1">
        <w:r w:rsidR="008B1A5A" w:rsidRPr="008B1A5A">
          <w:rPr>
            <w:rStyle w:val="a5"/>
            <w:rFonts w:ascii="Times New Roman" w:eastAsia="新細明體" w:hAnsi="Times New Roman"/>
          </w:rPr>
          <w:t>第</w:t>
        </w:r>
        <w:r w:rsidR="008B1A5A" w:rsidRPr="008B1A5A">
          <w:rPr>
            <w:rStyle w:val="a5"/>
            <w:rFonts w:ascii="Times New Roman" w:eastAsia="新細明體" w:hAnsi="Times New Roman"/>
          </w:rPr>
          <w:t>9</w:t>
        </w:r>
        <w:r w:rsidR="008B1A5A" w:rsidRPr="008B1A5A">
          <w:rPr>
            <w:rStyle w:val="a5"/>
            <w:rFonts w:ascii="Times New Roman" w:eastAsia="新細明體" w:hAnsi="Times New Roman"/>
          </w:rPr>
          <w:t>條</w:t>
        </w:r>
      </w:hyperlink>
      <w:r w:rsidR="00203F72" w:rsidRPr="00A53581">
        <w:t>而論，立憲者規範之內容，著重於省縣之自治；本條之重要</w:t>
      </w:r>
      <w:r w:rsidR="00203F72" w:rsidRPr="00142D4A">
        <w:t>特色，如下所述</w:t>
      </w:r>
      <w:r w:rsidR="00203F72" w:rsidRPr="00142D4A">
        <w:footnoteReference w:id="168"/>
      </w:r>
      <w:r w:rsidR="00203F72" w:rsidRPr="00142D4A">
        <w:t>：</w:t>
      </w:r>
      <w:r w:rsidR="00203F72" w:rsidRPr="00142D4A">
        <w:t xml:space="preserve"> 1.</w:t>
      </w:r>
      <w:r w:rsidR="00203F72" w:rsidRPr="00142D4A">
        <w:t>為了因應省、縣地方制度，若干之事項，應以法律定之規定，立</w:t>
      </w:r>
      <w:r w:rsidR="00203F72" w:rsidRPr="00A53581">
        <w:t>法院於民國</w:t>
      </w:r>
      <w:r w:rsidR="00203F72" w:rsidRPr="00A53581">
        <w:t>88</w:t>
      </w:r>
      <w:r w:rsidR="00203F72" w:rsidRPr="00A53581">
        <w:t>年通過「</w:t>
      </w:r>
      <w:hyperlink r:id="rId1564" w:history="1">
        <w:r w:rsidR="006E0E2F" w:rsidRPr="00A5735A">
          <w:rPr>
            <w:rStyle w:val="a5"/>
            <w:rFonts w:ascii="Times New Roman" w:hAnsi="Times New Roman"/>
          </w:rPr>
          <w:t>地方制度法</w:t>
        </w:r>
      </w:hyperlink>
      <w:r w:rsidR="00203F72" w:rsidRPr="00A53581">
        <w:t>」，作為省縣地方制度之法源與母法依據；</w:t>
      </w:r>
      <w:r w:rsidR="00203F72" w:rsidRPr="00A53581">
        <w:t>2.</w:t>
      </w:r>
      <w:r w:rsidR="00203F72" w:rsidRPr="00A53581">
        <w:t>落實孫中山先生所主張之「均權主義」與「地方自治」；「地方自治」與「均權主義」兩者有其重要與密切之關聯性；</w:t>
      </w:r>
      <w:r w:rsidR="00203F72" w:rsidRPr="00A53581">
        <w:t>3.</w:t>
      </w:r>
      <w:r w:rsidR="00203F72" w:rsidRPr="00A53581">
        <w:t>根據「國民政府建國大綱」之規定，縣為自治單位，「省政府」立於「中央政府」與「地方政府」之「中間」，以收聯絡之效；不過，上述之主張，並未在憲法增修條</w:t>
      </w:r>
      <w:r w:rsidR="008B1A5A" w:rsidRPr="005E4924">
        <w:t>文</w:t>
      </w:r>
      <w:hyperlink r:id="rId1565" w:anchor="b9" w:history="1">
        <w:r w:rsidR="008B1A5A" w:rsidRPr="008B1A5A">
          <w:rPr>
            <w:rStyle w:val="a5"/>
            <w:rFonts w:ascii="Times New Roman" w:eastAsia="新細明體" w:hAnsi="Times New Roman"/>
          </w:rPr>
          <w:t>第</w:t>
        </w:r>
        <w:r w:rsidR="008B1A5A" w:rsidRPr="008B1A5A">
          <w:rPr>
            <w:rStyle w:val="a5"/>
            <w:rFonts w:ascii="Times New Roman" w:eastAsia="新細明體" w:hAnsi="Times New Roman"/>
          </w:rPr>
          <w:t>9</w:t>
        </w:r>
        <w:r w:rsidR="008B1A5A" w:rsidRPr="008B1A5A">
          <w:rPr>
            <w:rStyle w:val="a5"/>
            <w:rFonts w:ascii="Times New Roman" w:eastAsia="新細明體" w:hAnsi="Times New Roman"/>
          </w:rPr>
          <w:t>條</w:t>
        </w:r>
      </w:hyperlink>
      <w:r w:rsidR="00203F72" w:rsidRPr="00A53581">
        <w:t>之中，得到真正之落實，主因在於，省已被虛級化；</w:t>
      </w:r>
      <w:r w:rsidR="00203F72" w:rsidRPr="00A53581">
        <w:t>4.</w:t>
      </w:r>
      <w:r w:rsidR="00203F72" w:rsidRPr="00A53581">
        <w:t>孫中山先生在「地方自治為建國之礎石」一文中，力陳：「</w:t>
      </w:r>
      <w:r w:rsidR="00203F72" w:rsidRPr="00A53581">
        <w:t>…</w:t>
      </w:r>
      <w:r w:rsidR="00203F72" w:rsidRPr="00A53581">
        <w:t>地方自治者，國之礎石也，礎不堅，則國不固。」；在本條之中，明定設縣政府與縣議會，均是落實孫中山先生所主張「地方自治」之作為；</w:t>
      </w:r>
      <w:r w:rsidR="00203F72" w:rsidRPr="00A53581">
        <w:t>5.</w:t>
      </w:r>
      <w:r w:rsidR="00203F72" w:rsidRPr="00A53581">
        <w:t>我國台灣省省議會與台灣省省長之人選，在民國</w:t>
      </w:r>
      <w:r w:rsidR="00203F72" w:rsidRPr="00A53581">
        <w:t>87</w:t>
      </w:r>
      <w:r w:rsidR="00203F72" w:rsidRPr="00A53581">
        <w:t>年</w:t>
      </w:r>
      <w:r w:rsidR="00203F72" w:rsidRPr="00A53581">
        <w:t>12</w:t>
      </w:r>
      <w:r w:rsidR="00203F72" w:rsidRPr="00A53581">
        <w:t>月以前，曾經歷直接民選</w:t>
      </w:r>
      <w:r w:rsidR="00203F72" w:rsidRPr="00A53581">
        <w:t>(</w:t>
      </w:r>
      <w:r w:rsidR="00203F72" w:rsidRPr="00A53581">
        <w:t>普選</w:t>
      </w:r>
      <w:r w:rsidR="00203F72" w:rsidRPr="00A53581">
        <w:t>)</w:t>
      </w:r>
      <w:r w:rsidR="00203F72" w:rsidRPr="00A53581">
        <w:t>之階段，之後，省被虛級化，故我國台灣省自第</w:t>
      </w:r>
      <w:r w:rsidR="00203F72" w:rsidRPr="00A53581">
        <w:t>10</w:t>
      </w:r>
      <w:r w:rsidR="00203F72" w:rsidRPr="00A53581">
        <w:t>屆台灣省議會議員與第一屆台灣省省長</w:t>
      </w:r>
      <w:r w:rsidR="00203F72" w:rsidRPr="00A53581">
        <w:t>(</w:t>
      </w:r>
      <w:r w:rsidR="00203F72" w:rsidRPr="00A53581">
        <w:t>宋楚瑜先生</w:t>
      </w:r>
      <w:r w:rsidR="00203F72" w:rsidRPr="00A53581">
        <w:t>)</w:t>
      </w:r>
      <w:r w:rsidR="00203F72" w:rsidRPr="00A53581">
        <w:t>任期屆滿日之後，停止辦理直接民選，改為官派；故在憲法增修條</w:t>
      </w:r>
      <w:r w:rsidR="008B1A5A" w:rsidRPr="005E4924">
        <w:t>文</w:t>
      </w:r>
      <w:hyperlink r:id="rId1566" w:anchor="b9" w:history="1">
        <w:r w:rsidR="008B1A5A" w:rsidRPr="008B1A5A">
          <w:rPr>
            <w:rStyle w:val="a5"/>
            <w:rFonts w:ascii="Times New Roman" w:eastAsia="新細明體" w:hAnsi="Times New Roman"/>
          </w:rPr>
          <w:t>第</w:t>
        </w:r>
        <w:r w:rsidR="008B1A5A" w:rsidRPr="008B1A5A">
          <w:rPr>
            <w:rStyle w:val="a5"/>
            <w:rFonts w:ascii="Times New Roman" w:eastAsia="新細明體" w:hAnsi="Times New Roman"/>
          </w:rPr>
          <w:t>9</w:t>
        </w:r>
        <w:r w:rsidR="008B1A5A" w:rsidRPr="008B1A5A">
          <w:rPr>
            <w:rStyle w:val="a5"/>
            <w:rFonts w:ascii="Times New Roman" w:eastAsia="新細明體" w:hAnsi="Times New Roman"/>
          </w:rPr>
          <w:t>條</w:t>
        </w:r>
      </w:hyperlink>
      <w:r w:rsidR="00203F72" w:rsidRPr="00A53581">
        <w:t>之中，已無普選之機制，改由官派；</w:t>
      </w:r>
      <w:r w:rsidR="00203F72" w:rsidRPr="00A53581">
        <w:t>6.</w:t>
      </w:r>
      <w:r w:rsidR="00203F72" w:rsidRPr="00A53581">
        <w:t>省政府雖然係屬於行政院之「派出機關」，不過，省仍為地方制度層級之地位，省並非中央制度層級之地位；亦即，有關於省之定位，它並非具有中央政府之功能與角色，亦非「地方自治團體」；由於台灣省政府並非「地方自治團體」，故它不具有「</w:t>
      </w:r>
      <w:hyperlink r:id="rId1567" w:history="1">
        <w:r w:rsidR="006E0E2F" w:rsidRPr="00A5735A">
          <w:rPr>
            <w:rStyle w:val="a5"/>
            <w:rFonts w:ascii="Times New Roman" w:hAnsi="Times New Roman"/>
          </w:rPr>
          <w:t>地方制度法</w:t>
        </w:r>
      </w:hyperlink>
      <w:r w:rsidR="00203F72" w:rsidRPr="00A53581">
        <w:t>」所賦予公法人之團體之法律地位；</w:t>
      </w:r>
      <w:r w:rsidR="00203F72" w:rsidRPr="00A53581">
        <w:t>7.</w:t>
      </w:r>
      <w:r w:rsidR="00203F72" w:rsidRPr="00A53581">
        <w:t>省政府與省諮議會之預算，由行政院納入中央政府總預算，並依「預演算法」、「決演算法」、「國庫法」及相關法令辦理預算之編列、執行與收支等事項；由此，亦可看出「省政府」非屬地方自治之母體，它是行政之派出機關；</w:t>
      </w:r>
      <w:r w:rsidR="00203F72" w:rsidRPr="00A53581">
        <w:t>8.</w:t>
      </w:r>
      <w:r w:rsidR="00203F72" w:rsidRPr="00A53581">
        <w:t>本條中有關於縣之地位，與直轄巿、鄉（鎮、巿）之地位一致，均為地方自治之團體；</w:t>
      </w:r>
      <w:r w:rsidR="00203F72" w:rsidRPr="00A53581">
        <w:t>9.</w:t>
      </w:r>
      <w:r w:rsidR="00203F72" w:rsidRPr="00A53581">
        <w:t>縣議會之地位，屬於地方自治組織，它係為地方之立法機關；</w:t>
      </w:r>
      <w:r w:rsidR="00203F72" w:rsidRPr="00A53581">
        <w:t>10.</w:t>
      </w:r>
      <w:r w:rsidR="00203F72" w:rsidRPr="00A53581">
        <w:t>縣政府之地位，屬於地方層級之行政機關。</w:t>
      </w:r>
    </w:p>
    <w:p w14:paraId="48C67A7C" w14:textId="77777777" w:rsidR="00953151" w:rsidRDefault="00367D0C" w:rsidP="00D87D91">
      <w:r>
        <w:t xml:space="preserve">　　</w:t>
      </w:r>
      <w:r w:rsidR="00203F72" w:rsidRPr="00A53581">
        <w:t>我國縣層級地方自治之實行，所面難之非常巨大問題，係為中央與地方之財政，如何進行有效之分配？經濟與財政，是地方自治之命脈所在。目前之作法，係依據</w:t>
      </w:r>
      <w:r w:rsidR="006E0E2F" w:rsidRPr="00A53581">
        <w:t>「</w:t>
      </w:r>
      <w:hyperlink r:id="rId1568" w:history="1">
        <w:r w:rsidR="006E0E2F" w:rsidRPr="006E0E2F">
          <w:rPr>
            <w:rStyle w:val="a5"/>
          </w:rPr>
          <w:t>財政收支劃分法</w:t>
        </w:r>
      </w:hyperlink>
      <w:r w:rsidR="00203F72" w:rsidRPr="00A53581">
        <w:t>」作為中央與地方政府財政分配之依據；然而，我國在六都</w:t>
      </w:r>
      <w:r w:rsidR="00203F72" w:rsidRPr="00A53581">
        <w:rPr>
          <w:rStyle w:val="af3"/>
          <w:rFonts w:ascii="新細明體" w:hAnsi="新細明體"/>
          <w:kern w:val="0"/>
        </w:rPr>
        <w:footnoteReference w:id="169"/>
      </w:r>
      <w:r w:rsidR="00203F72" w:rsidRPr="00A53581">
        <w:t>成立之後，縣所能得到之財政資源，與上述六都相較，頗為有限；在此，急待處理之議題，係將中央與地方縣政府財政收支之分配，透由</w:t>
      </w:r>
      <w:r w:rsidR="006E0E2F" w:rsidRPr="00A53581">
        <w:t>「</w:t>
      </w:r>
      <w:hyperlink r:id="rId1569" w:history="1">
        <w:r w:rsidR="006E0E2F" w:rsidRPr="006E0E2F">
          <w:rPr>
            <w:rStyle w:val="a5"/>
          </w:rPr>
          <w:t>財政收支劃分法</w:t>
        </w:r>
      </w:hyperlink>
      <w:r w:rsidR="00203F72" w:rsidRPr="00A53581">
        <w:t>」加以規範，用法律之層級加以範規是否過低？不無爭議性。</w:t>
      </w:r>
    </w:p>
    <w:p w14:paraId="0155B367" w14:textId="77777777" w:rsidR="00953151" w:rsidRDefault="00367D0C" w:rsidP="00D87D91">
      <w:r>
        <w:t xml:space="preserve">　　</w:t>
      </w:r>
      <w:r w:rsidR="00203F72" w:rsidRPr="00A53581">
        <w:t>以德國為例，德國將國家（包括聯邦、各邦與鄉鎮）財政之收支與使用，直接制定於基本法之中；德國基本法第</w:t>
      </w:r>
      <w:r w:rsidR="00203F72" w:rsidRPr="00A53581">
        <w:t>10</w:t>
      </w:r>
      <w:r w:rsidR="00203F72" w:rsidRPr="00A53581">
        <w:t>章所欲處理之問題，頗多屬於聯邦、各邦與地方鄉鎮財政收支之分配與使用，亦即，中央與地方政府之財政，如何進行分配？；德國基本法第</w:t>
      </w:r>
      <w:r w:rsidR="00203F72" w:rsidRPr="00A53581">
        <w:t>10</w:t>
      </w:r>
      <w:r w:rsidR="00203F72" w:rsidRPr="00A53581">
        <w:t>章之內涵中，有以下相當重要之特色：</w:t>
      </w:r>
      <w:r w:rsidR="00203F72" w:rsidRPr="00A53581">
        <w:t>1.</w:t>
      </w:r>
      <w:r w:rsidR="00203F72" w:rsidRPr="00A53581">
        <w:t>依據基本法第</w:t>
      </w:r>
      <w:r w:rsidR="00203F72" w:rsidRPr="00A53581">
        <w:t>104</w:t>
      </w:r>
      <w:r w:rsidR="00203F72" w:rsidRPr="00A53581">
        <w:t>條之</w:t>
      </w:r>
      <w:r w:rsidR="00203F72" w:rsidRPr="00A53581">
        <w:t>1</w:t>
      </w:r>
      <w:r w:rsidR="00203F72" w:rsidRPr="00A53581">
        <w:t>第</w:t>
      </w:r>
      <w:r w:rsidR="00203F72" w:rsidRPr="00A53581">
        <w:t>1</w:t>
      </w:r>
      <w:r w:rsidR="00203F72" w:rsidRPr="00A53581">
        <w:t>項之規定，聯邦與各邦政府各自負擔執行其任務所發生之支出；</w:t>
      </w:r>
      <w:r w:rsidR="00203F72" w:rsidRPr="00A53581">
        <w:t>2.</w:t>
      </w:r>
      <w:r w:rsidR="00203F72" w:rsidRPr="00A53581">
        <w:t>德國聯邦政府得對於各邦及鄉鎮之重大投資案，提供財務上之協助；</w:t>
      </w:r>
      <w:r w:rsidR="00203F72" w:rsidRPr="00A53581">
        <w:t xml:space="preserve"> </w:t>
      </w:r>
      <w:r w:rsidR="00203F72" w:rsidRPr="00A53581">
        <w:t>德國聯邦政府所為之投資，須為消除對整體經濟平衡之阻礙，為平衡聯邦領域內各種不同之經濟力量，或為促進經濟成長所必需者</w:t>
      </w:r>
      <w:r w:rsidR="00203F72" w:rsidRPr="00A53581">
        <w:rPr>
          <w:rStyle w:val="af3"/>
          <w:rFonts w:ascii="新細明體" w:hAnsi="新細明體"/>
          <w:kern w:val="0"/>
        </w:rPr>
        <w:footnoteReference w:id="170"/>
      </w:r>
      <w:r w:rsidR="00203F72" w:rsidRPr="00A53581">
        <w:t>；</w:t>
      </w:r>
      <w:r w:rsidR="00203F72" w:rsidRPr="00A53581">
        <w:t>3.</w:t>
      </w:r>
      <w:r w:rsidR="00203F72" w:rsidRPr="00A53581">
        <w:t>稅收之全部或一部份係用於各邦或鄉鎮時，相關之聯邦稅收法律，須經聯邦參議院之同意</w:t>
      </w:r>
      <w:r w:rsidR="00203F72" w:rsidRPr="00A53581">
        <w:rPr>
          <w:rStyle w:val="af3"/>
          <w:rFonts w:ascii="新細明體" w:hAnsi="新細明體"/>
          <w:kern w:val="0"/>
        </w:rPr>
        <w:footnoteReference w:id="171"/>
      </w:r>
      <w:r w:rsidR="00203F72" w:rsidRPr="00A53581">
        <w:t>；</w:t>
      </w:r>
      <w:r w:rsidR="00203F72" w:rsidRPr="00A53581">
        <w:t>4.</w:t>
      </w:r>
      <w:r w:rsidR="00203F72" w:rsidRPr="00A53581">
        <w:t>聯邦與各邦可徵收之稅收種類，明定於基本法之中；如各邦政府可徵收以下之稅別：</w:t>
      </w:r>
      <w:r w:rsidR="00203F72" w:rsidRPr="00A53581">
        <w:t>(1)</w:t>
      </w:r>
      <w:r w:rsidR="00203F72" w:rsidRPr="00A53581">
        <w:t>財產稅；</w:t>
      </w:r>
      <w:r w:rsidR="00203F72" w:rsidRPr="00A53581">
        <w:t>(2)</w:t>
      </w:r>
      <w:r w:rsidR="00203F72" w:rsidRPr="00A53581">
        <w:t>遺產稅；</w:t>
      </w:r>
      <w:r w:rsidR="00203F72" w:rsidRPr="00A53581">
        <w:t>(3)</w:t>
      </w:r>
      <w:r w:rsidR="00203F72" w:rsidRPr="00A53581">
        <w:t>動力車輛稅；</w:t>
      </w:r>
      <w:r w:rsidR="00203F72" w:rsidRPr="00A53581">
        <w:t>(4)</w:t>
      </w:r>
      <w:r w:rsidR="00203F72" w:rsidRPr="00A53581">
        <w:t>未劃歸聯邦與各邦共有之交易稅；</w:t>
      </w:r>
      <w:r w:rsidR="00203F72" w:rsidRPr="00A53581">
        <w:t>(5)</w:t>
      </w:r>
      <w:r w:rsidR="00203F72" w:rsidRPr="00A53581">
        <w:t>啤酒稅；</w:t>
      </w:r>
      <w:r w:rsidR="00203F72" w:rsidRPr="00A53581">
        <w:t>(6)</w:t>
      </w:r>
      <w:r w:rsidR="00203F72" w:rsidRPr="00A53581">
        <w:t>賭場稅；</w:t>
      </w:r>
      <w:r w:rsidR="00203F72" w:rsidRPr="00A53581">
        <w:t>(7)</w:t>
      </w:r>
      <w:r w:rsidR="00203F72" w:rsidRPr="00A53581">
        <w:t>所得稅與法人稅之收入，聯邦與各邦各得二分之一；</w:t>
      </w:r>
      <w:r w:rsidR="00203F72" w:rsidRPr="00A53581">
        <w:t>(8)</w:t>
      </w:r>
      <w:r w:rsidR="00203F72" w:rsidRPr="00A53581">
        <w:t>營業稅與加值型營業稅之收入，由聯邦與各邦依法律之規定，按比例分配；</w:t>
      </w:r>
      <w:r w:rsidR="00203F72" w:rsidRPr="00A53581">
        <w:t>(9)</w:t>
      </w:r>
      <w:r w:rsidR="00203F72" w:rsidRPr="00A53581">
        <w:t>共同稅收</w:t>
      </w:r>
      <w:r w:rsidR="00203F72" w:rsidRPr="00A53581">
        <w:rPr>
          <w:rStyle w:val="af3"/>
          <w:rFonts w:ascii="新細明體" w:hAnsi="新細明體"/>
        </w:rPr>
        <w:footnoteReference w:id="172"/>
      </w:r>
      <w:r w:rsidR="00203F72" w:rsidRPr="00A53581">
        <w:t>。</w:t>
      </w:r>
    </w:p>
    <w:p w14:paraId="4FD02D6A" w14:textId="77777777" w:rsidR="00953151" w:rsidRDefault="00367D0C" w:rsidP="00D87D91">
      <w:pPr>
        <w:rPr>
          <w:kern w:val="0"/>
        </w:rPr>
      </w:pPr>
      <w:r>
        <w:t xml:space="preserve">　　</w:t>
      </w:r>
      <w:r w:rsidR="00203F72" w:rsidRPr="00A53581">
        <w:t>承上所述，在</w:t>
      </w:r>
      <w:r w:rsidR="00203F72" w:rsidRPr="00A53581">
        <w:rPr>
          <w:kern w:val="0"/>
        </w:rPr>
        <w:t>德國</w:t>
      </w:r>
      <w:r w:rsidR="00203F72" w:rsidRPr="00A53581">
        <w:t>聯邦政府，其可分配取得以下之稅別：</w:t>
      </w:r>
      <w:r w:rsidR="00203F72" w:rsidRPr="00A53581">
        <w:t>(1)</w:t>
      </w:r>
      <w:r w:rsidR="00203F72" w:rsidRPr="00A53581">
        <w:t>專賣收入；</w:t>
      </w:r>
      <w:r w:rsidR="00203F72" w:rsidRPr="00A53581">
        <w:t>(2)</w:t>
      </w:r>
      <w:r w:rsidR="00203F72" w:rsidRPr="00A53581">
        <w:t>關稅；</w:t>
      </w:r>
      <w:r w:rsidR="00203F72" w:rsidRPr="00A53581">
        <w:t>(3)</w:t>
      </w:r>
      <w:r w:rsidR="00203F72" w:rsidRPr="00A53581">
        <w:t>未劃歸給各邦或鄉鎮之消費稅；</w:t>
      </w:r>
      <w:r w:rsidR="00203F72" w:rsidRPr="00A53581">
        <w:t>(4)</w:t>
      </w:r>
      <w:r w:rsidR="00203F72" w:rsidRPr="00A53581">
        <w:t>運輸稅；</w:t>
      </w:r>
      <w:r w:rsidR="00203F72" w:rsidRPr="00A53581">
        <w:t>(5)</w:t>
      </w:r>
      <w:r w:rsidR="00203F72" w:rsidRPr="00A53581">
        <w:t>資本交易稅、保險稅及匯票稅；</w:t>
      </w:r>
      <w:r w:rsidR="00203F72" w:rsidRPr="00A53581">
        <w:t>(6)</w:t>
      </w:r>
      <w:r w:rsidR="00203F72" w:rsidRPr="00A53581">
        <w:t>一次性之財產稅；</w:t>
      </w:r>
      <w:r w:rsidR="00203F72" w:rsidRPr="00A53581">
        <w:t>(7)</w:t>
      </w:r>
      <w:r w:rsidR="00203F72" w:rsidRPr="00A53581">
        <w:t>平衡稅；</w:t>
      </w:r>
      <w:r w:rsidR="00203F72" w:rsidRPr="00A53581">
        <w:t>(8)</w:t>
      </w:r>
      <w:r w:rsidR="00203F72" w:rsidRPr="00A53581">
        <w:t>所得稅；</w:t>
      </w:r>
      <w:r w:rsidR="00203F72" w:rsidRPr="00A53581">
        <w:t>(9)</w:t>
      </w:r>
      <w:r w:rsidR="00203F72" w:rsidRPr="00A53581">
        <w:t>法人稅之附加稅捐；</w:t>
      </w:r>
      <w:r w:rsidR="00203F72" w:rsidRPr="00A53581">
        <w:t>(10)</w:t>
      </w:r>
      <w:r w:rsidR="00203F72" w:rsidRPr="00A53581">
        <w:t>歐洲共同巿場範圍內之稅捐；</w:t>
      </w:r>
      <w:r w:rsidR="00203F72" w:rsidRPr="00A53581">
        <w:t>(11)</w:t>
      </w:r>
      <w:r w:rsidR="00203F72" w:rsidRPr="00A53581">
        <w:t>所得稅、法人稅與加值型營業稅（</w:t>
      </w:r>
      <w:r w:rsidR="00203F72" w:rsidRPr="00A53581">
        <w:t>Umsatzsteuer</w:t>
      </w:r>
      <w:r w:rsidR="00203F72" w:rsidRPr="00A53581">
        <w:t>）劃歸聯邦與各邦共有（共同稅）；</w:t>
      </w:r>
      <w:r w:rsidR="00203F72" w:rsidRPr="00A53581">
        <w:t>(12)</w:t>
      </w:r>
      <w:r w:rsidR="00203F72" w:rsidRPr="00A53581">
        <w:t>營業稅與加值型營業稅之收入，由聯邦與各邦依法律之規定，按比例分配（基本法第</w:t>
      </w:r>
      <w:r w:rsidR="00203F72" w:rsidRPr="00A53581">
        <w:t>106</w:t>
      </w:r>
      <w:r w:rsidR="00203F72" w:rsidRPr="00A53581">
        <w:t>條）；在鄉鎮政府方面，其可分配取得以下之稅收：</w:t>
      </w:r>
      <w:r w:rsidR="00203F72" w:rsidRPr="00A53581">
        <w:t>(1)</w:t>
      </w:r>
      <w:r w:rsidR="00203F72" w:rsidRPr="00A53581">
        <w:t>所得稅；</w:t>
      </w:r>
      <w:r w:rsidR="00203F72" w:rsidRPr="00A53581">
        <w:t>(2)</w:t>
      </w:r>
      <w:r w:rsidR="00203F72" w:rsidRPr="00A53581">
        <w:t>加值型營業稅；</w:t>
      </w:r>
      <w:r w:rsidR="00203F72" w:rsidRPr="00A53581">
        <w:t>(3)</w:t>
      </w:r>
      <w:r w:rsidR="00203F72" w:rsidRPr="00A53581">
        <w:t>土地稅；</w:t>
      </w:r>
      <w:r w:rsidR="00203F72" w:rsidRPr="00A53581">
        <w:t>(4)</w:t>
      </w:r>
      <w:r w:rsidR="00203F72" w:rsidRPr="00A53581">
        <w:t>非加值型營業稅（</w:t>
      </w:r>
      <w:r w:rsidR="00203F72" w:rsidRPr="00A53581">
        <w:t>Gewerbesteuer</w:t>
      </w:r>
      <w:r w:rsidR="00203F72" w:rsidRPr="00A53581">
        <w:t>）；</w:t>
      </w:r>
      <w:r w:rsidR="00203F72" w:rsidRPr="00A53581">
        <w:t>(5)</w:t>
      </w:r>
      <w:r w:rsidR="00203F72" w:rsidRPr="00A53581">
        <w:t>地方性之消費稅；</w:t>
      </w:r>
      <w:r w:rsidR="00203F72" w:rsidRPr="00A53581">
        <w:t>(6)</w:t>
      </w:r>
      <w:r w:rsidR="00203F72" w:rsidRPr="00A53581">
        <w:t>奢侈稅（</w:t>
      </w:r>
      <w:r w:rsidR="00203F72" w:rsidRPr="00A53581">
        <w:t>Aufwandsteur</w:t>
      </w:r>
      <w:r w:rsidR="00203F72" w:rsidRPr="00A53581">
        <w:t>）；</w:t>
      </w:r>
      <w:r w:rsidR="00203F72" w:rsidRPr="00A53581">
        <w:t>(7)</w:t>
      </w:r>
      <w:r w:rsidR="00203F72" w:rsidRPr="00A53581">
        <w:t>可分配獲得共同稅</w:t>
      </w:r>
      <w:r w:rsidR="00203F72" w:rsidRPr="00A53581">
        <w:rPr>
          <w:rStyle w:val="af3"/>
          <w:rFonts w:ascii="新細明體" w:hAnsi="新細明體"/>
        </w:rPr>
        <w:footnoteReference w:id="173"/>
      </w:r>
      <w:r w:rsidR="00203F72" w:rsidRPr="00A53581">
        <w:rPr>
          <w:kern w:val="0"/>
        </w:rPr>
        <w:t>。再者，依據基本法第</w:t>
      </w:r>
      <w:r w:rsidR="00203F72" w:rsidRPr="00A53581">
        <w:rPr>
          <w:kern w:val="0"/>
        </w:rPr>
        <w:t>107</w:t>
      </w:r>
      <w:r w:rsidR="00203F72" w:rsidRPr="00A53581">
        <w:rPr>
          <w:kern w:val="0"/>
        </w:rPr>
        <w:t>條第</w:t>
      </w:r>
      <w:r w:rsidR="00203F72" w:rsidRPr="00A53581">
        <w:rPr>
          <w:kern w:val="0"/>
        </w:rPr>
        <w:t>2</w:t>
      </w:r>
      <w:r w:rsidR="00203F72" w:rsidRPr="00A53581">
        <w:rPr>
          <w:kern w:val="0"/>
        </w:rPr>
        <w:t>項之規範，各邦政府間互相差異性之財力，應藉諸法律，確保其具有合理之平衡，並應注意鄉鎮之財力與財政之需要。</w:t>
      </w:r>
    </w:p>
    <w:p w14:paraId="006B21CA" w14:textId="77777777" w:rsidR="00953151" w:rsidRDefault="00367D0C" w:rsidP="00D87D91">
      <w:r>
        <w:t xml:space="preserve">　　</w:t>
      </w:r>
      <w:r w:rsidR="00203F72" w:rsidRPr="00A53581">
        <w:t>根據上述德國基本法第</w:t>
      </w:r>
      <w:r w:rsidR="00203F72" w:rsidRPr="00A53581">
        <w:t>10</w:t>
      </w:r>
      <w:r w:rsidR="00203F72" w:rsidRPr="00A53581">
        <w:t>章財政專章之憲法規範與精神，可得知德國對於聯邦、各邦與鄉鎮政府間財政與經濟收入之徵收與劃分，頗為重</w:t>
      </w:r>
      <w:r w:rsidR="003E240E">
        <w:t>視</w:t>
      </w:r>
      <w:r w:rsidR="00203F72" w:rsidRPr="00A53581">
        <w:t>，並明文規範於基本法之中；德國上述之作法，頗值得我國加以參考之。我國對於中央政府與地方政府關於財政收支之劃分之法規範層級，宜提升至憲法為佳。透由憲法之明文規範，以保障各地方縣層級之財政，能得到平衡之發展。</w:t>
      </w:r>
    </w:p>
    <w:p w14:paraId="28FBFF00" w14:textId="77777777" w:rsidR="00545D58" w:rsidRDefault="00545D58" w:rsidP="00930A55">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66727AD1" w14:textId="77777777" w:rsidR="00545D58" w:rsidRDefault="00545D58" w:rsidP="00D87D91"/>
    <w:bookmarkStart w:id="52" w:name="_第10條（基本國策）"/>
    <w:bookmarkEnd w:id="52"/>
    <w:p w14:paraId="50DE84C5" w14:textId="77777777" w:rsidR="0095315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"b10"</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10</w:t>
      </w:r>
      <w:r w:rsidR="00203F72" w:rsidRPr="001C1A86">
        <w:rPr>
          <w:rStyle w:val="a5"/>
          <w:rFonts w:ascii="Arial Unicode MS" w:hAnsi="Arial Unicode MS"/>
        </w:rPr>
        <w:t>條</w:t>
      </w:r>
      <w:r>
        <w:fldChar w:fldCharType="end"/>
      </w:r>
      <w:r w:rsidR="00203F72" w:rsidRPr="00A53581">
        <w:t>（基本國策）</w:t>
      </w:r>
      <w:r w:rsidR="00203F72" w:rsidRPr="00A53581">
        <w:t xml:space="preserve"> </w:t>
      </w:r>
    </w:p>
    <w:p w14:paraId="03985DD3" w14:textId="77777777" w:rsidR="00203F72" w:rsidRPr="00E16174" w:rsidRDefault="00367D0C" w:rsidP="00D87D91">
      <w:r w:rsidRPr="00E16174">
        <w:t xml:space="preserve">　　</w:t>
      </w:r>
      <w:r w:rsidR="00203F72" w:rsidRPr="00E16174">
        <w:t>（</w:t>
      </w:r>
      <w:r w:rsidR="00203F72" w:rsidRPr="00E16174">
        <w:t>1</w:t>
      </w:r>
      <w:r w:rsidR="00203F72" w:rsidRPr="00E16174">
        <w:t>）國家應獎勵科學技術發展及投資，促進產業升級，推動農漁業現代化，重</w:t>
      </w:r>
      <w:r w:rsidR="003E240E">
        <w:t>視</w:t>
      </w:r>
      <w:r w:rsidR="00203F72" w:rsidRPr="00E16174">
        <w:t>水資源之開發利用，加強國際經濟合作</w:t>
      </w:r>
      <w:r w:rsidR="00545D58" w:rsidRPr="00E16174">
        <w:t>。</w:t>
      </w:r>
    </w:p>
    <w:p w14:paraId="07541C7B" w14:textId="77777777" w:rsidR="00203F72" w:rsidRPr="00E16174" w:rsidRDefault="00367D0C" w:rsidP="00D87D91">
      <w:r w:rsidRPr="00E16174">
        <w:t xml:space="preserve">　　</w:t>
      </w:r>
      <w:r w:rsidR="00203F72" w:rsidRPr="00E16174">
        <w:t>（</w:t>
      </w:r>
      <w:r w:rsidR="00203F72" w:rsidRPr="00E16174">
        <w:t>2</w:t>
      </w:r>
      <w:r w:rsidR="00203F72" w:rsidRPr="00E16174">
        <w:t>）經濟及科學技術發展，應與環境及生態保護兼籌並顧</w:t>
      </w:r>
      <w:r w:rsidR="00545D58" w:rsidRPr="00E16174">
        <w:t>。</w:t>
      </w:r>
    </w:p>
    <w:p w14:paraId="40D55055" w14:textId="77777777" w:rsidR="00203F72" w:rsidRPr="00E16174" w:rsidRDefault="00367D0C" w:rsidP="00D87D91">
      <w:r w:rsidRPr="00E16174">
        <w:t xml:space="preserve">　　</w:t>
      </w:r>
      <w:r w:rsidR="00203F72" w:rsidRPr="00E16174">
        <w:t>（</w:t>
      </w:r>
      <w:r w:rsidR="00203F72" w:rsidRPr="00E16174">
        <w:t>3</w:t>
      </w:r>
      <w:r w:rsidR="00203F72" w:rsidRPr="00E16174">
        <w:t>）國家對於人民興辦之中小型經濟事業，應扶助並保護其生存與發展</w:t>
      </w:r>
      <w:r w:rsidR="00545D58" w:rsidRPr="00E16174">
        <w:t>。</w:t>
      </w:r>
    </w:p>
    <w:p w14:paraId="5277A8D1" w14:textId="77777777" w:rsidR="00203F72" w:rsidRPr="00E16174" w:rsidRDefault="00367D0C" w:rsidP="00D87D91">
      <w:r w:rsidRPr="00E16174">
        <w:t xml:space="preserve">　　</w:t>
      </w:r>
      <w:r w:rsidR="00203F72" w:rsidRPr="00E16174">
        <w:t>（</w:t>
      </w:r>
      <w:r w:rsidR="00203F72" w:rsidRPr="00E16174">
        <w:t>4</w:t>
      </w:r>
      <w:r w:rsidR="00203F72" w:rsidRPr="00E16174">
        <w:t>）國家對於公營金融機構之管理，應本企業化經營之原則；其管理、人事、預算、決算及審計，得以法律為特別之規定</w:t>
      </w:r>
      <w:r w:rsidR="00545D58" w:rsidRPr="00E16174">
        <w:t>。</w:t>
      </w:r>
    </w:p>
    <w:p w14:paraId="53942EE5" w14:textId="77777777" w:rsidR="00203F72" w:rsidRPr="00E16174" w:rsidRDefault="00367D0C" w:rsidP="00D87D91">
      <w:r w:rsidRPr="00E16174">
        <w:t xml:space="preserve">　　</w:t>
      </w:r>
      <w:r w:rsidR="00203F72" w:rsidRPr="00E16174">
        <w:t>（</w:t>
      </w:r>
      <w:r w:rsidR="00203F72" w:rsidRPr="00E16174">
        <w:t>5</w:t>
      </w:r>
      <w:r w:rsidR="00203F72" w:rsidRPr="00E16174">
        <w:t>）國家應推行全民健康保險，並促進現代和傳統醫藥之研究發展</w:t>
      </w:r>
      <w:r w:rsidR="00545D58" w:rsidRPr="00E16174">
        <w:t>。</w:t>
      </w:r>
    </w:p>
    <w:p w14:paraId="76D7E047" w14:textId="77777777" w:rsidR="00203F72" w:rsidRPr="00E16174" w:rsidRDefault="00367D0C" w:rsidP="00D87D91">
      <w:r w:rsidRPr="00E16174">
        <w:t xml:space="preserve">　　</w:t>
      </w:r>
      <w:r w:rsidR="00203F72" w:rsidRPr="00E16174">
        <w:t>（</w:t>
      </w:r>
      <w:r w:rsidR="00203F72" w:rsidRPr="00E16174">
        <w:t>6</w:t>
      </w:r>
      <w:r w:rsidR="00203F72" w:rsidRPr="00E16174">
        <w:t>）國家應維護婦女之人格尊嚴，保障婦女之人身安全，消除性別歧</w:t>
      </w:r>
      <w:r w:rsidR="003E240E">
        <w:t>視</w:t>
      </w:r>
      <w:r w:rsidR="00203F72" w:rsidRPr="00E16174">
        <w:t>，促進兩性地位之實質平等</w:t>
      </w:r>
      <w:r w:rsidR="00545D58" w:rsidRPr="00E16174">
        <w:t>。</w:t>
      </w:r>
    </w:p>
    <w:p w14:paraId="52C402DF" w14:textId="77777777" w:rsidR="00203F72" w:rsidRPr="00E16174" w:rsidRDefault="00367D0C" w:rsidP="00D87D91">
      <w:r w:rsidRPr="00E16174">
        <w:t xml:space="preserve">　　</w:t>
      </w:r>
      <w:r w:rsidR="00203F72" w:rsidRPr="00E16174">
        <w:t>（</w:t>
      </w:r>
      <w:r w:rsidR="00203F72" w:rsidRPr="00E16174">
        <w:t>7</w:t>
      </w:r>
      <w:r w:rsidR="00203F72" w:rsidRPr="00E16174">
        <w:t>）國家對於身心障礙者之保險與就醫、無障礙環境之建構、教育訓練與就業輔導及生活維護與救助，應予保障，並扶助其自立與發展</w:t>
      </w:r>
      <w:r w:rsidR="00545D58" w:rsidRPr="00E16174">
        <w:t>。</w:t>
      </w:r>
    </w:p>
    <w:p w14:paraId="44AF0140" w14:textId="77777777" w:rsidR="00203F72" w:rsidRPr="00E16174" w:rsidRDefault="00367D0C" w:rsidP="00D87D91">
      <w:r w:rsidRPr="00E16174">
        <w:t xml:space="preserve">　　</w:t>
      </w:r>
      <w:r w:rsidR="00203F72" w:rsidRPr="00E16174">
        <w:t>（</w:t>
      </w:r>
      <w:r w:rsidR="00203F72" w:rsidRPr="00E16174">
        <w:t>8</w:t>
      </w:r>
      <w:r w:rsidR="00203F72" w:rsidRPr="00E16174">
        <w:t>）國家應重</w:t>
      </w:r>
      <w:r w:rsidR="003E240E">
        <w:t>視</w:t>
      </w:r>
      <w:r w:rsidR="00203F72" w:rsidRPr="00E16174">
        <w:t>社會救助、福利服務、國民就業、社會保險及醫療保健等社會福利工作，對於社會救助和國民就業等救濟性支出應優先編列</w:t>
      </w:r>
      <w:r w:rsidR="00545D58" w:rsidRPr="00E16174">
        <w:t>。</w:t>
      </w:r>
    </w:p>
    <w:p w14:paraId="08CFBEBB" w14:textId="77777777" w:rsidR="00203F72" w:rsidRPr="00E16174" w:rsidRDefault="00367D0C" w:rsidP="00D87D91">
      <w:r w:rsidRPr="00E16174">
        <w:t xml:space="preserve">　　</w:t>
      </w:r>
      <w:r w:rsidR="00203F72" w:rsidRPr="00E16174">
        <w:t>（</w:t>
      </w:r>
      <w:r w:rsidR="00203F72" w:rsidRPr="00E16174">
        <w:t>9</w:t>
      </w:r>
      <w:r w:rsidR="00203F72" w:rsidRPr="00E16174">
        <w:t>）國家應尊重軍人對社會之貢獻，並對其退役後之就學、就業、就醫、就養予以保障</w:t>
      </w:r>
      <w:r w:rsidR="00545D58" w:rsidRPr="00E16174">
        <w:t>。</w:t>
      </w:r>
    </w:p>
    <w:p w14:paraId="24D4D48B" w14:textId="77777777" w:rsidR="00203F72" w:rsidRPr="00E16174" w:rsidRDefault="00367D0C" w:rsidP="00D87D91">
      <w:r w:rsidRPr="00E16174">
        <w:t xml:space="preserve">　　</w:t>
      </w:r>
      <w:r w:rsidR="00203F72" w:rsidRPr="00E16174">
        <w:t>（</w:t>
      </w:r>
      <w:r w:rsidR="00203F72" w:rsidRPr="00E16174">
        <w:t>10</w:t>
      </w:r>
      <w:r w:rsidR="00203F72" w:rsidRPr="00E16174">
        <w:t>）教育、科學、文化之經費，尤其國民教育之經費應優先編列，不受憲法第</w:t>
      </w:r>
      <w:hyperlink r:id="rId1570" w:anchor="a164" w:history="1">
        <w:r w:rsidR="00203F72" w:rsidRPr="0025067A">
          <w:rPr>
            <w:rStyle w:val="a5"/>
            <w:rFonts w:ascii="Times New Roman" w:eastAsia="新細明體" w:hAnsi="Times New Roman"/>
          </w:rPr>
          <w:t>一百六十四</w:t>
        </w:r>
      </w:hyperlink>
      <w:r w:rsidR="00203F72" w:rsidRPr="00E16174">
        <w:t>條規定之限制</w:t>
      </w:r>
      <w:r w:rsidR="00545D58" w:rsidRPr="00E16174">
        <w:t>。</w:t>
      </w:r>
    </w:p>
    <w:p w14:paraId="13EA8C59" w14:textId="77777777" w:rsidR="00203F72" w:rsidRPr="00E16174" w:rsidRDefault="00367D0C" w:rsidP="00D87D91">
      <w:r w:rsidRPr="00E16174">
        <w:t xml:space="preserve">　　</w:t>
      </w:r>
      <w:r w:rsidR="00203F72" w:rsidRPr="00E16174">
        <w:t>（</w:t>
      </w:r>
      <w:r w:rsidR="00203F72" w:rsidRPr="00E16174">
        <w:t>11</w:t>
      </w:r>
      <w:r w:rsidR="00203F72" w:rsidRPr="00E16174">
        <w:t>）國家肯定多元文化，並積極維護發展原住民族語言及文化</w:t>
      </w:r>
      <w:r w:rsidR="00545D58" w:rsidRPr="00E16174">
        <w:t>。</w:t>
      </w:r>
    </w:p>
    <w:p w14:paraId="2817007C" w14:textId="77777777" w:rsidR="00203F72" w:rsidRPr="00E16174" w:rsidRDefault="00367D0C" w:rsidP="00D87D91">
      <w:r w:rsidRPr="00E16174">
        <w:t xml:space="preserve">　　</w:t>
      </w:r>
      <w:r w:rsidR="00203F72" w:rsidRPr="00E16174">
        <w:t>（</w:t>
      </w:r>
      <w:r w:rsidR="00203F72" w:rsidRPr="00E16174">
        <w:t>12</w:t>
      </w:r>
      <w:r w:rsidR="00203F72" w:rsidRPr="00E16174">
        <w:t>）國家應依民族意願，保障原住民族之地位及政治參與，並對其教育文化、交通水利、衛生醫療、經濟土地及社會福利事業予以保障扶助並促其發展，其辦法另以法律定之。對於澎湖、金門及馬祖地區人民亦同</w:t>
      </w:r>
      <w:r w:rsidR="00545D58" w:rsidRPr="00E16174">
        <w:t>。</w:t>
      </w:r>
    </w:p>
    <w:p w14:paraId="157A59D5" w14:textId="77777777" w:rsidR="00953151" w:rsidRPr="00E16174" w:rsidRDefault="00367D0C" w:rsidP="00D87D91">
      <w:r w:rsidRPr="00E16174">
        <w:t xml:space="preserve">　　</w:t>
      </w:r>
      <w:r w:rsidR="00203F72" w:rsidRPr="00E16174">
        <w:t>（</w:t>
      </w:r>
      <w:r w:rsidR="00203F72" w:rsidRPr="00E16174">
        <w:t>13</w:t>
      </w:r>
      <w:r w:rsidR="00203F72" w:rsidRPr="00E16174">
        <w:t>）國家對於僑居國外國民之政治參與，應予保障。</w:t>
      </w:r>
    </w:p>
    <w:p w14:paraId="11D5107B" w14:textId="77777777" w:rsidR="00953151" w:rsidRPr="00E16174" w:rsidRDefault="00B03E84" w:rsidP="00D87D91">
      <w:r w:rsidRPr="00E16174">
        <w:t>【內容解析】</w:t>
      </w:r>
    </w:p>
    <w:p w14:paraId="35E5F8D4" w14:textId="77777777" w:rsidR="00953151" w:rsidRPr="00E16174" w:rsidRDefault="00367D0C" w:rsidP="00D87D91">
      <w:r w:rsidRPr="00E16174">
        <w:t xml:space="preserve">　　</w:t>
      </w:r>
      <w:r w:rsidR="00203F72" w:rsidRPr="00E16174">
        <w:t>就憲法增修條</w:t>
      </w:r>
      <w:r w:rsidR="00E16174" w:rsidRPr="00E16174">
        <w:t>文</w:t>
      </w:r>
      <w:hyperlink r:id="rId1571" w:anchor="b10" w:history="1">
        <w:r w:rsidR="00E16174" w:rsidRPr="00E16174">
          <w:rPr>
            <w:rStyle w:val="a5"/>
          </w:rPr>
          <w:t>第10條</w:t>
        </w:r>
      </w:hyperlink>
      <w:r w:rsidR="00203F72" w:rsidRPr="00E16174">
        <w:t>而論，主要之內涵，係規範我國之基本國策；這些基本國策之範圍與領域，含蓋面頗多多大與廣泛，計可分為：</w:t>
      </w:r>
      <w:r w:rsidR="00203F72" w:rsidRPr="00E16174">
        <w:t>(1)</w:t>
      </w:r>
      <w:r w:rsidR="00203F72" w:rsidRPr="00E16174">
        <w:t>科學技術之研發與投資，科學技術在產業、漁業與水資源之應用；</w:t>
      </w:r>
      <w:r w:rsidR="00203F72" w:rsidRPr="00E16174">
        <w:t>(2)</w:t>
      </w:r>
      <w:r w:rsidR="00203F72" w:rsidRPr="00E16174">
        <w:t>重</w:t>
      </w:r>
      <w:r w:rsidR="003E240E">
        <w:t>視</w:t>
      </w:r>
      <w:r w:rsidR="00203F72" w:rsidRPr="00E16174">
        <w:t>環境與生態保護；</w:t>
      </w:r>
      <w:r w:rsidR="00203F72" w:rsidRPr="00E16174">
        <w:t>(3)</w:t>
      </w:r>
      <w:r w:rsidR="00203F72" w:rsidRPr="00E16174">
        <w:t>扶助中小型經濟事業；</w:t>
      </w:r>
      <w:r w:rsidR="00203F72" w:rsidRPr="00E16174">
        <w:t>(4)</w:t>
      </w:r>
      <w:r w:rsidR="00203F72" w:rsidRPr="00E16174">
        <w:t>公營金融機構之管理；</w:t>
      </w:r>
      <w:r w:rsidR="00203F72" w:rsidRPr="00E16174">
        <w:t>(5)</w:t>
      </w:r>
      <w:r w:rsidR="00203F72" w:rsidRPr="00E16174">
        <w:t>全民健康保險；</w:t>
      </w:r>
      <w:r w:rsidR="00203F72" w:rsidRPr="00E16174">
        <w:t>(6)</w:t>
      </w:r>
      <w:r w:rsidR="00203F72" w:rsidRPr="00E16174">
        <w:t>婦女人格尊嚴與安全；</w:t>
      </w:r>
      <w:r w:rsidR="00203F72" w:rsidRPr="00E16174">
        <w:t>(7)</w:t>
      </w:r>
      <w:r w:rsidR="00203F72" w:rsidRPr="00E16174">
        <w:t>扶助身心障礙者；</w:t>
      </w:r>
      <w:r w:rsidR="00203F72" w:rsidRPr="00E16174">
        <w:t>(8)</w:t>
      </w:r>
      <w:r w:rsidR="00203F72" w:rsidRPr="00E16174">
        <w:t>重</w:t>
      </w:r>
      <w:r w:rsidR="003E240E">
        <w:t>視</w:t>
      </w:r>
      <w:r w:rsidR="00203F72" w:rsidRPr="00E16174">
        <w:t>社會福利工作；</w:t>
      </w:r>
      <w:r w:rsidR="00203F72" w:rsidRPr="00E16174">
        <w:t>(9)</w:t>
      </w:r>
      <w:r w:rsidR="00203F72" w:rsidRPr="00E16174">
        <w:t>保障軍人之福利；</w:t>
      </w:r>
      <w:r w:rsidR="00203F72" w:rsidRPr="00E16174">
        <w:t>(10)</w:t>
      </w:r>
      <w:r w:rsidR="00203F72" w:rsidRPr="00E16174">
        <w:t>教育、科學文化經費之編列原則；</w:t>
      </w:r>
      <w:r w:rsidR="00203F72" w:rsidRPr="00E16174">
        <w:t>(11)</w:t>
      </w:r>
      <w:r w:rsidR="00203F72" w:rsidRPr="00E16174">
        <w:t>肯定多元文化；</w:t>
      </w:r>
      <w:r w:rsidR="00203F72" w:rsidRPr="00E16174">
        <w:t>(12)</w:t>
      </w:r>
      <w:r w:rsidR="00203F72" w:rsidRPr="00E16174">
        <w:t>扶助原住民族；</w:t>
      </w:r>
      <w:r w:rsidR="00203F72" w:rsidRPr="00E16174">
        <w:t>(13)</w:t>
      </w:r>
      <w:r w:rsidR="00203F72" w:rsidRPr="00E16174">
        <w:t>保障僑居國外國民之政治參與</w:t>
      </w:r>
      <w:r w:rsidR="00203F72" w:rsidRPr="00E16174">
        <w:footnoteReference w:id="174"/>
      </w:r>
      <w:r w:rsidR="00203F72" w:rsidRPr="00E16174">
        <w:t>。</w:t>
      </w:r>
    </w:p>
    <w:p w14:paraId="5287B50E" w14:textId="77777777" w:rsidR="00953151" w:rsidRDefault="00367D0C" w:rsidP="00D87D91">
      <w:r w:rsidRPr="00E16174">
        <w:t xml:space="preserve">　　</w:t>
      </w:r>
      <w:r w:rsidR="00203F72" w:rsidRPr="00E16174">
        <w:t>我國憲法本文與憲法增修條</w:t>
      </w:r>
      <w:r w:rsidR="00E16174" w:rsidRPr="00E16174">
        <w:t>文</w:t>
      </w:r>
      <w:hyperlink r:id="rId1572" w:anchor="b10" w:history="1">
        <w:r w:rsidR="00E16174" w:rsidRPr="00E16174">
          <w:rPr>
            <w:rStyle w:val="a5"/>
          </w:rPr>
          <w:t>第10條</w:t>
        </w:r>
      </w:hyperlink>
      <w:r w:rsidR="00203F72" w:rsidRPr="00E16174">
        <w:t>之基本國策，具有以下之特色（點）</w:t>
      </w:r>
      <w:r w:rsidR="00203F72" w:rsidRPr="00E16174">
        <w:footnoteReference w:id="175"/>
      </w:r>
      <w:r w:rsidR="00203F72" w:rsidRPr="00E16174">
        <w:t>：</w:t>
      </w:r>
      <w:r w:rsidR="00203F72" w:rsidRPr="00E16174">
        <w:t>1.</w:t>
      </w:r>
      <w:r w:rsidR="00203F72" w:rsidRPr="00E16174">
        <w:t>此種之制憲體例，屬於進步及新穎之模式；</w:t>
      </w:r>
      <w:r w:rsidR="00203F72" w:rsidRPr="00E16174">
        <w:t>2.</w:t>
      </w:r>
      <w:r w:rsidR="00203F72" w:rsidRPr="00E16174">
        <w:t>假若政府於目前或暫時不能實現憲法所規範基本國策之限度，因行遠必自邇，故不發生違憲之問題；</w:t>
      </w:r>
      <w:r w:rsidR="00203F72" w:rsidRPr="00E16174">
        <w:t>3.</w:t>
      </w:r>
      <w:r w:rsidR="00203F72" w:rsidRPr="00E16174">
        <w:t>假若政府施政與憲法所規定之基本國策之主旨不符合，或目的相反，則構成違憲之情形；</w:t>
      </w:r>
      <w:r w:rsidR="00203F72" w:rsidRPr="00E16174">
        <w:t>4.</w:t>
      </w:r>
      <w:r w:rsidR="00203F72" w:rsidRPr="00E16174">
        <w:t>假若政府之施政行為，符合基本國策之主旨，且逾越基本國策之限制，亦不得謂為違憲；</w:t>
      </w:r>
      <w:r w:rsidR="00203F72" w:rsidRPr="00E16174">
        <w:t>5.</w:t>
      </w:r>
      <w:r w:rsidR="00203F72" w:rsidRPr="00E16174">
        <w:t>我國憲法基本國策之制定，係基於孫中山先生之三民主義而加以制定與產生；</w:t>
      </w:r>
      <w:r w:rsidR="00203F72" w:rsidRPr="00E16174">
        <w:t>6.</w:t>
      </w:r>
      <w:r w:rsidR="00203F72" w:rsidRPr="00E16174">
        <w:t>教育、科學及文化，係國家文明化之根本，惟其經費總數，假若以預算總數之百分比硬性規定，似有違現代化國家預算編列之方式；憲法增修條</w:t>
      </w:r>
      <w:r w:rsidR="00E16174" w:rsidRPr="00E16174">
        <w:t>文</w:t>
      </w:r>
      <w:hyperlink r:id="rId1573" w:anchor="b10" w:history="1">
        <w:r w:rsidR="00E16174" w:rsidRPr="00E16174">
          <w:rPr>
            <w:rStyle w:val="a5"/>
          </w:rPr>
          <w:t>第10條</w:t>
        </w:r>
      </w:hyperlink>
      <w:r w:rsidR="00203F72" w:rsidRPr="00E16174">
        <w:t>第</w:t>
      </w:r>
      <w:r w:rsidR="00203F72" w:rsidRPr="00E16174">
        <w:t>10</w:t>
      </w:r>
      <w:r w:rsidR="00203F72" w:rsidRPr="00E16174">
        <w:t>款廢棄憲法本文原有關於經費編列下限之規定，得失如何，尚待進一步評估；</w:t>
      </w:r>
      <w:r w:rsidR="00203F72" w:rsidRPr="00E16174">
        <w:t>7.</w:t>
      </w:r>
      <w:r w:rsidR="00203F72" w:rsidRPr="00E16174">
        <w:t>為了肯定多元文化，立法院制定「原住民族傳統智慧創作保護條例」，俾利有效落實原住民族文化權之保障；</w:t>
      </w:r>
      <w:r w:rsidR="00203F72" w:rsidRPr="00E16174">
        <w:t>8.</w:t>
      </w:r>
      <w:r w:rsidR="00203F72" w:rsidRPr="00E16174">
        <w:t>為了保障國民之教育權，憲法增修條</w:t>
      </w:r>
      <w:r w:rsidR="00E16174" w:rsidRPr="00E16174">
        <w:t>文</w:t>
      </w:r>
      <w:hyperlink r:id="rId1574" w:anchor="b10" w:history="1">
        <w:r w:rsidR="00E16174" w:rsidRPr="00E16174">
          <w:rPr>
            <w:rStyle w:val="a5"/>
          </w:rPr>
          <w:t>第10條</w:t>
        </w:r>
      </w:hyperlink>
      <w:r w:rsidR="00203F72" w:rsidRPr="00E16174">
        <w:t>第</w:t>
      </w:r>
      <w:r w:rsidR="00203F72" w:rsidRPr="00E16174">
        <w:t>10</w:t>
      </w:r>
      <w:r w:rsidR="00203F72" w:rsidRPr="00E16174">
        <w:t>款規定，國民教育之經費，應優先編列；不受憲法第</w:t>
      </w:r>
      <w:r w:rsidR="00203F72" w:rsidRPr="00E16174">
        <w:t>164</w:t>
      </w:r>
      <w:r w:rsidR="00203F72" w:rsidRPr="00E16174">
        <w:t>條之限制；就此，立法院制定「教育經費編列與管理法」及「原住民族教育法」；</w:t>
      </w:r>
      <w:r w:rsidR="00203F72" w:rsidRPr="00E16174">
        <w:t>9.</w:t>
      </w:r>
      <w:r w:rsidR="00203F72" w:rsidRPr="00E16174">
        <w:t>在憲法增修條</w:t>
      </w:r>
      <w:r w:rsidR="00E16174" w:rsidRPr="00E16174">
        <w:t>文</w:t>
      </w:r>
      <w:hyperlink r:id="rId1575" w:anchor="b10" w:history="1">
        <w:r w:rsidR="00E16174" w:rsidRPr="00E16174">
          <w:rPr>
            <w:rStyle w:val="a5"/>
          </w:rPr>
          <w:t>第10條</w:t>
        </w:r>
      </w:hyperlink>
      <w:r w:rsidR="00203F72" w:rsidRPr="00E16174">
        <w:t>之中，涉及社會安全之基本國策，計包括：</w:t>
      </w:r>
      <w:r w:rsidR="00203F72" w:rsidRPr="00E16174">
        <w:t>(1)</w:t>
      </w:r>
      <w:r w:rsidR="00203F72" w:rsidRPr="00E16174">
        <w:t>推行全民健保，促進醫藥發展</w:t>
      </w:r>
      <w:r w:rsidR="00203F72" w:rsidRPr="00E16174">
        <w:footnoteReference w:id="176"/>
      </w:r>
      <w:r w:rsidR="00203F72" w:rsidRPr="00E16174">
        <w:t>；</w:t>
      </w:r>
      <w:r w:rsidR="00203F72" w:rsidRPr="00E16174">
        <w:t>(2)</w:t>
      </w:r>
      <w:r w:rsidR="00203F72" w:rsidRPr="00E16174">
        <w:t>維護婦女權益，促進兩性平等</w:t>
      </w:r>
      <w:r w:rsidR="00203F72" w:rsidRPr="00E16174">
        <w:footnoteReference w:id="177"/>
      </w:r>
      <w:r w:rsidR="00203F72" w:rsidRPr="00E16174">
        <w:t>；</w:t>
      </w:r>
      <w:r w:rsidR="00203F72" w:rsidRPr="00E16174">
        <w:t>(3)</w:t>
      </w:r>
      <w:r w:rsidR="00203F72" w:rsidRPr="00E16174">
        <w:t>維護殘障者權益，扶助其自立發展</w:t>
      </w:r>
      <w:r w:rsidR="00203F72" w:rsidRPr="00E16174">
        <w:footnoteReference w:id="178"/>
      </w:r>
      <w:r w:rsidR="00203F72" w:rsidRPr="00E16174">
        <w:t>；</w:t>
      </w:r>
      <w:r w:rsidR="00203F72" w:rsidRPr="00E16174">
        <w:t>(4)</w:t>
      </w:r>
      <w:r w:rsidR="00203F72" w:rsidRPr="00E16174">
        <w:t>充實社會救助、福利服務、國民就業、社會保障及醫療保健等社會福利工作</w:t>
      </w:r>
      <w:r w:rsidR="00203F72" w:rsidRPr="00E16174">
        <w:footnoteReference w:id="179"/>
      </w:r>
      <w:r w:rsidR="00203F72" w:rsidRPr="00E16174">
        <w:t>；</w:t>
      </w:r>
      <w:r w:rsidR="00203F72" w:rsidRPr="00E16174">
        <w:t>(5)</w:t>
      </w:r>
      <w:r w:rsidR="00203F72" w:rsidRPr="00E16174">
        <w:t>保障軍人退役後之就學、就業、就醫與就養</w:t>
      </w:r>
      <w:r w:rsidR="00203F72" w:rsidRPr="00E16174">
        <w:footnoteReference w:id="180"/>
      </w:r>
      <w:r w:rsidR="00203F72" w:rsidRPr="00E16174">
        <w:t>。</w:t>
      </w:r>
    </w:p>
    <w:p w14:paraId="3B39C456" w14:textId="77777777" w:rsidR="00961D95" w:rsidRPr="00E16174" w:rsidRDefault="00961D95" w:rsidP="00D87D91"/>
    <w:p w14:paraId="322DE073" w14:textId="503FC4CB" w:rsidR="00203F72" w:rsidRPr="00E16174" w:rsidRDefault="00B03E84" w:rsidP="00D87D91">
      <w:r w:rsidRPr="00E16174">
        <w:t>【</w:t>
      </w:r>
      <w:r w:rsidRPr="00E16174">
        <w:t>table</w:t>
      </w:r>
      <w:r w:rsidR="005E23E3" w:rsidRPr="00E1617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85</w:t>
      </w:r>
      <w:r w:rsidR="00076467">
        <w:rPr>
          <w:noProof/>
        </w:rPr>
        <w:fldChar w:fldCharType="end"/>
      </w:r>
      <w:r w:rsidR="00203F72" w:rsidRPr="00E16174">
        <w:t>我國司法院大法官看待憲法基本國策之三大模式一覽表</w:t>
      </w:r>
    </w:p>
    <w:tbl>
      <w:tblPr>
        <w:tblW w:w="475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3694"/>
        <w:gridCol w:w="3115"/>
      </w:tblGrid>
      <w:tr w:rsidR="00203F72" w:rsidRPr="00E16174" w14:paraId="797ACFEC" w14:textId="77777777" w:rsidTr="00961D95">
        <w:tc>
          <w:tcPr>
            <w:tcW w:w="786" w:type="pct"/>
            <w:vMerge w:val="restart"/>
            <w:shd w:val="clear" w:color="auto" w:fill="auto"/>
          </w:tcPr>
          <w:p w14:paraId="25086103" w14:textId="77777777" w:rsidR="00203F72" w:rsidRPr="00E16174" w:rsidRDefault="00203F72" w:rsidP="00D87D91">
            <w:r w:rsidRPr="00E16174">
              <w:t>基本國策</w:t>
            </w:r>
          </w:p>
        </w:tc>
        <w:tc>
          <w:tcPr>
            <w:tcW w:w="2286" w:type="pct"/>
            <w:shd w:val="clear" w:color="auto" w:fill="auto"/>
          </w:tcPr>
          <w:p w14:paraId="4D7E83A2" w14:textId="77777777" w:rsidR="00203F72" w:rsidRPr="00E16174" w:rsidRDefault="00203F72" w:rsidP="00D87D91">
            <w:r w:rsidRPr="00E16174">
              <w:t>少部分具有強制效力之條款</w:t>
            </w:r>
          </w:p>
        </w:tc>
        <w:tc>
          <w:tcPr>
            <w:tcW w:w="1928" w:type="pct"/>
            <w:shd w:val="clear" w:color="auto" w:fill="auto"/>
          </w:tcPr>
          <w:p w14:paraId="098CCC00" w14:textId="77777777" w:rsidR="00203F72" w:rsidRPr="00E16174" w:rsidRDefault="00203F72" w:rsidP="00D87D91">
            <w:r w:rsidRPr="00E16174">
              <w:t>必須強制遵守，大法官協助維持（模式</w:t>
            </w:r>
            <w:r w:rsidRPr="00E16174">
              <w:t>1</w:t>
            </w:r>
            <w:r w:rsidRPr="00E16174">
              <w:t>）</w:t>
            </w:r>
          </w:p>
        </w:tc>
      </w:tr>
      <w:tr w:rsidR="00203F72" w:rsidRPr="00E16174" w14:paraId="7B19B361" w14:textId="77777777" w:rsidTr="00961D95">
        <w:tc>
          <w:tcPr>
            <w:tcW w:w="786" w:type="pct"/>
            <w:vMerge/>
            <w:shd w:val="clear" w:color="auto" w:fill="auto"/>
          </w:tcPr>
          <w:p w14:paraId="77878C37" w14:textId="77777777" w:rsidR="00203F72" w:rsidRPr="00E16174" w:rsidRDefault="00203F72" w:rsidP="00D87D91"/>
        </w:tc>
        <w:tc>
          <w:tcPr>
            <w:tcW w:w="2286" w:type="pct"/>
            <w:shd w:val="clear" w:color="auto" w:fill="auto"/>
          </w:tcPr>
          <w:p w14:paraId="261B0102" w14:textId="77777777" w:rsidR="00203F72" w:rsidRPr="00E16174" w:rsidRDefault="00203F72" w:rsidP="00D87D91">
            <w:r w:rsidRPr="00E16174">
              <w:t>方針條款</w:t>
            </w:r>
            <w:r w:rsidRPr="00E16174">
              <w:t>(</w:t>
            </w:r>
            <w:r w:rsidRPr="00E16174">
              <w:t>大部分之基本國策內容</w:t>
            </w:r>
            <w:r w:rsidRPr="00E16174">
              <w:t>)</w:t>
            </w:r>
          </w:p>
        </w:tc>
        <w:tc>
          <w:tcPr>
            <w:tcW w:w="1928" w:type="pct"/>
            <w:shd w:val="clear" w:color="auto" w:fill="auto"/>
          </w:tcPr>
          <w:p w14:paraId="75027A46" w14:textId="77777777" w:rsidR="00203F72" w:rsidRPr="00E16174" w:rsidRDefault="00203F72" w:rsidP="00D87D91">
            <w:r w:rsidRPr="00E16174">
              <w:t>大法官不會要求立法院積極落實（模式</w:t>
            </w:r>
            <w:r w:rsidRPr="00E16174">
              <w:t>2</w:t>
            </w:r>
            <w:r w:rsidRPr="00E16174">
              <w:t>）</w:t>
            </w:r>
          </w:p>
        </w:tc>
      </w:tr>
      <w:tr w:rsidR="00203F72" w:rsidRPr="00E16174" w14:paraId="2A32E024" w14:textId="77777777" w:rsidTr="00961D95">
        <w:tc>
          <w:tcPr>
            <w:tcW w:w="786" w:type="pct"/>
            <w:vMerge/>
            <w:shd w:val="clear" w:color="auto" w:fill="auto"/>
          </w:tcPr>
          <w:p w14:paraId="24039C6E" w14:textId="77777777" w:rsidR="00203F72" w:rsidRPr="00E16174" w:rsidRDefault="00203F72" w:rsidP="00D87D91"/>
        </w:tc>
        <w:tc>
          <w:tcPr>
            <w:tcW w:w="2286" w:type="pct"/>
            <w:shd w:val="clear" w:color="auto" w:fill="auto"/>
          </w:tcPr>
          <w:p w14:paraId="3994FC1B" w14:textId="77777777" w:rsidR="00203F72" w:rsidRPr="00E16174" w:rsidRDefault="00203F72" w:rsidP="00D87D91">
            <w:r w:rsidRPr="00E16174">
              <w:t>基本國策和基本人權起衝突時</w:t>
            </w:r>
          </w:p>
        </w:tc>
        <w:tc>
          <w:tcPr>
            <w:tcW w:w="1928" w:type="pct"/>
            <w:shd w:val="clear" w:color="auto" w:fill="auto"/>
          </w:tcPr>
          <w:p w14:paraId="239870FA" w14:textId="77777777" w:rsidR="00203F72" w:rsidRPr="00E16174" w:rsidRDefault="00203F72" w:rsidP="00D87D91">
            <w:r w:rsidRPr="00E16174">
              <w:t>大法官以違反自由權宣告基本國策違憲（模式</w:t>
            </w:r>
            <w:r w:rsidRPr="00E16174">
              <w:t>3</w:t>
            </w:r>
            <w:r w:rsidRPr="00E16174">
              <w:t>）</w:t>
            </w:r>
          </w:p>
        </w:tc>
      </w:tr>
    </w:tbl>
    <w:p w14:paraId="7CCD9D31" w14:textId="77777777" w:rsidR="00953151" w:rsidRPr="00E16174" w:rsidRDefault="002107CE" w:rsidP="00D87D91">
      <w:r w:rsidRPr="00E16174">
        <w:t>【本表格資料來源】</w:t>
      </w:r>
      <w:r w:rsidR="00203F72" w:rsidRPr="00E16174">
        <w:t>楊智傑</w:t>
      </w:r>
      <w:r w:rsidR="00203F72" w:rsidRPr="00E16174">
        <w:t>(2010)</w:t>
      </w:r>
      <w:r w:rsidR="00203F72" w:rsidRPr="00E16174">
        <w:t>，圖解憲法，二版</w:t>
      </w:r>
      <w:r w:rsidR="00203F72" w:rsidRPr="00E16174">
        <w:t>1</w:t>
      </w:r>
      <w:r w:rsidR="00203F72" w:rsidRPr="00E16174">
        <w:t>刷，台北市：書泉出版社，第</w:t>
      </w:r>
      <w:r w:rsidR="00203F72" w:rsidRPr="00E16174">
        <w:rPr>
          <w:rFonts w:hint="eastAsia"/>
        </w:rPr>
        <w:t>5-213</w:t>
      </w:r>
      <w:r w:rsidR="00203F72" w:rsidRPr="00E16174">
        <w:t>頁</w:t>
      </w:r>
      <w:r w:rsidR="00545D58" w:rsidRPr="00E16174">
        <w:t>。</w:t>
      </w:r>
    </w:p>
    <w:p w14:paraId="77145204" w14:textId="77777777" w:rsidR="00953151" w:rsidRPr="00E16174" w:rsidRDefault="00367D0C" w:rsidP="00D87D91">
      <w:r w:rsidRPr="00E16174">
        <w:t xml:space="preserve">　　</w:t>
      </w:r>
      <w:r w:rsidR="00203F72" w:rsidRPr="00E16174">
        <w:t>我國憲法增修條</w:t>
      </w:r>
      <w:r w:rsidR="00E16174" w:rsidRPr="00E16174">
        <w:t>文</w:t>
      </w:r>
      <w:hyperlink r:id="rId1576" w:anchor="b10" w:history="1">
        <w:r w:rsidR="00E16174" w:rsidRPr="00E16174">
          <w:rPr>
            <w:rStyle w:val="a5"/>
          </w:rPr>
          <w:t>第10條</w:t>
        </w:r>
      </w:hyperlink>
      <w:r w:rsidR="00203F72" w:rsidRPr="00E16174">
        <w:t>「基本國策」之立憲模式，與他國之憲法相較，係屬於相當獨特之方式，茲以德國基本法為例，德國基本法共分，為以下之章別：第一章、基本權利；第二章、聯邦與各邦；第三章、聯邦議會（聯邦眾議院）（</w:t>
      </w:r>
      <w:r w:rsidR="00203F72" w:rsidRPr="00E16174">
        <w:t>Bundestag</w:t>
      </w:r>
      <w:r w:rsidR="00203F72" w:rsidRPr="00E16174">
        <w:t>）；第四章、聯邦參議院；第四章之一、聯席委員會；第五章、聯邦總統；第六章、聯邦政府（</w:t>
      </w:r>
      <w:r w:rsidR="00203F72" w:rsidRPr="00E16174">
        <w:t>Bundesregierung</w:t>
      </w:r>
      <w:r w:rsidR="00203F72" w:rsidRPr="00E16174">
        <w:t>）；第七章、聯邦立法；第八章、聯邦法律之執行與聯邦行政；第八章之一、共同任務；第九章、司法；第十章、財政；第十章之一、防衛情況；第十一章、過渡及最終條款；經檢</w:t>
      </w:r>
      <w:r w:rsidR="003E240E">
        <w:t>視</w:t>
      </w:r>
      <w:r w:rsidR="00203F72" w:rsidRPr="00E16174">
        <w:t>上述德國基本法各章之內容，並無「基本國策」之立憲模式；是以我國憲法「基本國策」之立憲方式，頗為創新與獨特。</w:t>
      </w:r>
    </w:p>
    <w:p w14:paraId="619B4EF9" w14:textId="77777777" w:rsidR="00953151" w:rsidRDefault="00367D0C" w:rsidP="00D87D91">
      <w:r>
        <w:t xml:space="preserve">　　</w:t>
      </w:r>
      <w:r w:rsidR="00203F72" w:rsidRPr="00A53581">
        <w:t>就憲法本文與憲法增修條</w:t>
      </w:r>
      <w:r w:rsidR="00E16174" w:rsidRPr="00A53581">
        <w:t>文</w:t>
      </w:r>
      <w:hyperlink r:id="rId1577" w:anchor="b10" w:history="1">
        <w:r w:rsidR="00E16174" w:rsidRPr="00E16174">
          <w:rPr>
            <w:rStyle w:val="a5"/>
          </w:rPr>
          <w:t>第10條</w:t>
        </w:r>
      </w:hyperlink>
      <w:r w:rsidR="00203F72" w:rsidRPr="00A53581">
        <w:t>之內涵而言，以下之範疇，亦可考量增列入我國憲法增修條</w:t>
      </w:r>
      <w:r w:rsidR="00E16174" w:rsidRPr="00A53581">
        <w:t>文</w:t>
      </w:r>
      <w:hyperlink r:id="rId1578" w:anchor="b10" w:history="1">
        <w:r w:rsidR="00E16174" w:rsidRPr="00E16174">
          <w:rPr>
            <w:rStyle w:val="a5"/>
          </w:rPr>
          <w:t>第10條</w:t>
        </w:r>
      </w:hyperlink>
      <w:r w:rsidR="00203F72" w:rsidRPr="00A53581">
        <w:t>基本國策之中：</w:t>
      </w:r>
      <w:r w:rsidR="00203F72" w:rsidRPr="00A53581">
        <w:t>1.</w:t>
      </w:r>
      <w:r w:rsidR="00203F72" w:rsidRPr="00A53581">
        <w:t>應重</w:t>
      </w:r>
      <w:r w:rsidR="003E240E">
        <w:t>視</w:t>
      </w:r>
      <w:r w:rsidR="00203F72" w:rsidRPr="00A53581">
        <w:t>基本人權之保障；</w:t>
      </w:r>
      <w:r w:rsidR="00203F72" w:rsidRPr="00A53581">
        <w:t>2.</w:t>
      </w:r>
      <w:r w:rsidR="00203F72" w:rsidRPr="00A53581">
        <w:t>兩岸應和平發展，互蒙其利，並建立互信之政治與軍事機制；</w:t>
      </w:r>
      <w:r w:rsidR="00203F72" w:rsidRPr="00A53581">
        <w:t>3.</w:t>
      </w:r>
      <w:r w:rsidR="00203F72" w:rsidRPr="00A53581">
        <w:t>重</w:t>
      </w:r>
      <w:r w:rsidR="003E240E">
        <w:t>視</w:t>
      </w:r>
      <w:r w:rsidR="00203F72" w:rsidRPr="00A53581">
        <w:t>外國人人權之保障；</w:t>
      </w:r>
      <w:r w:rsidR="00203F72" w:rsidRPr="00A53581">
        <w:t>4.</w:t>
      </w:r>
      <w:r w:rsidR="00203F72" w:rsidRPr="00A53581">
        <w:t>制定良善之移民與人口政策，重</w:t>
      </w:r>
      <w:r w:rsidR="003E240E">
        <w:t>視</w:t>
      </w:r>
      <w:r w:rsidR="00203F72" w:rsidRPr="00A53581">
        <w:t>移民輔導與整合，保障新住民權益，以解決少子化及高齡化問題；</w:t>
      </w:r>
      <w:r w:rsidR="00203F72" w:rsidRPr="00A53581">
        <w:t>5.</w:t>
      </w:r>
      <w:r w:rsidR="00203F72" w:rsidRPr="00A53581">
        <w:t>重</w:t>
      </w:r>
      <w:r w:rsidR="003E240E">
        <w:t>視</w:t>
      </w:r>
      <w:r w:rsidR="00203F72" w:rsidRPr="00A53581">
        <w:t>「動物權」及「後世代權」之保障；</w:t>
      </w:r>
      <w:r w:rsidR="00203F72" w:rsidRPr="00A53581">
        <w:t>6.</w:t>
      </w:r>
      <w:r w:rsidR="00203F72" w:rsidRPr="00A53581">
        <w:t>保障護理人員與警察人員之身心健康，合理化護理人員與警察人員之勤務方式與執勤時間；</w:t>
      </w:r>
      <w:r w:rsidR="00203F72" w:rsidRPr="00A53581">
        <w:t>7.</w:t>
      </w:r>
      <w:r w:rsidR="00203F72" w:rsidRPr="00A53581">
        <w:t>重</w:t>
      </w:r>
      <w:r w:rsidR="003E240E">
        <w:t>視</w:t>
      </w:r>
      <w:r w:rsidR="00203F72" w:rsidRPr="00A53581">
        <w:t>海洋（域）資源之維護，保障我國「藍色國土」之各式資源，防衛我國固有之海域，並加強對海洋之研究與利用，打造一個環保化、生態化</w:t>
      </w:r>
      <w:r w:rsidR="00203F72" w:rsidRPr="00A53581">
        <w:rPr>
          <w:rFonts w:hint="eastAsia"/>
        </w:rPr>
        <w:t>、</w:t>
      </w:r>
      <w:r w:rsidR="00203F72" w:rsidRPr="00A53581">
        <w:t>安全化</w:t>
      </w:r>
      <w:r w:rsidR="00203F72" w:rsidRPr="00A53581">
        <w:rPr>
          <w:rFonts w:hint="eastAsia"/>
        </w:rPr>
        <w:t>、</w:t>
      </w:r>
      <w:r w:rsidR="00203F72" w:rsidRPr="00A53581">
        <w:t>繁榮化與人性化的海洋國家；</w:t>
      </w:r>
      <w:r w:rsidR="00203F72" w:rsidRPr="00A53581">
        <w:t>8.</w:t>
      </w:r>
      <w:r w:rsidR="00203F72" w:rsidRPr="00A53581">
        <w:t>積極將各式國際條約內國法化，並重</w:t>
      </w:r>
      <w:r w:rsidR="003E240E">
        <w:t>視</w:t>
      </w:r>
      <w:r w:rsidR="00203F72" w:rsidRPr="00A53581">
        <w:t>我國對國際社會應盡國際義務之履行；</w:t>
      </w:r>
      <w:r w:rsidR="00203F72" w:rsidRPr="00A53581">
        <w:t>9.</w:t>
      </w:r>
      <w:r w:rsidR="00203F72" w:rsidRPr="00A53581">
        <w:t>積極提升國民實質經濟所得，營造優質之生活環境；</w:t>
      </w:r>
      <w:r w:rsidR="00203F72" w:rsidRPr="00A53581">
        <w:t>10.</w:t>
      </w:r>
      <w:r w:rsidR="00203F72" w:rsidRPr="00A53581">
        <w:t>透由各式措施，消除貪腐現象；</w:t>
      </w:r>
      <w:r w:rsidR="00203F72" w:rsidRPr="00A53581">
        <w:t>11.</w:t>
      </w:r>
      <w:r w:rsidR="00203F72" w:rsidRPr="00A53581">
        <w:t>重</w:t>
      </w:r>
      <w:r w:rsidR="003E240E">
        <w:t>視</w:t>
      </w:r>
      <w:r w:rsidR="00203F72" w:rsidRPr="00A53581">
        <w:t>犯罪預防、打擊犯罪、犯罪矯正、犯罪被告、被害人與受刑人等相關權益之保障，及其復歸社會之工作，以營造優質之安全化生活環境；</w:t>
      </w:r>
      <w:r w:rsidR="00203F72" w:rsidRPr="00A53581">
        <w:t>12.</w:t>
      </w:r>
      <w:r w:rsidR="00203F72" w:rsidRPr="00A53581">
        <w:t>重</w:t>
      </w:r>
      <w:r w:rsidR="003E240E">
        <w:t>視</w:t>
      </w:r>
      <w:r w:rsidR="00203F72" w:rsidRPr="00A53581">
        <w:t>醫護教育，致力於提升醫療技術與水準，保障醫療人員權益，以營造優質之國民生存環境；</w:t>
      </w:r>
      <w:r w:rsidR="00203F72" w:rsidRPr="00A53581">
        <w:t>13.</w:t>
      </w:r>
      <w:r w:rsidR="00203F72" w:rsidRPr="00A53581">
        <w:t>積極強化國防自衛力量，但國防應僅限定於防衛性，禁止宣傳及發動侵略戰爭，武力戰爭應限於防衛國家生存之最後手段性及正義性之戰。非防衛型及正義型之戰爭，武力禁止充作國防之最後手段與工具；</w:t>
      </w:r>
      <w:r w:rsidR="00203F72" w:rsidRPr="00A53581">
        <w:t>14.</w:t>
      </w:r>
      <w:r w:rsidR="00203F72" w:rsidRPr="00A53581">
        <w:t>重</w:t>
      </w:r>
      <w:r w:rsidR="003E240E">
        <w:t>視</w:t>
      </w:r>
      <w:r w:rsidR="00203F72" w:rsidRPr="00A53581">
        <w:t>老人福利、人力資源再運用、保健、醫療及短、中、長期照護問題，提供老人優質及尊嚴之老年生活</w:t>
      </w:r>
      <w:r w:rsidR="00203F72" w:rsidRPr="00A53581">
        <w:rPr>
          <w:rStyle w:val="af3"/>
          <w:rFonts w:ascii="新細明體" w:hAnsi="新細明體"/>
          <w:kern w:val="0"/>
        </w:rPr>
        <w:footnoteReference w:id="181"/>
      </w:r>
      <w:r w:rsidR="00203F72" w:rsidRPr="00A53581">
        <w:t>；</w:t>
      </w:r>
      <w:r w:rsidR="00203F72" w:rsidRPr="00A53581">
        <w:t>15</w:t>
      </w:r>
      <w:r w:rsidR="00203F72" w:rsidRPr="00A53581">
        <w:t>、擬定國土保護之政策，落實國土保護之機制；</w:t>
      </w:r>
      <w:r w:rsidR="00203F72" w:rsidRPr="00A53581">
        <w:t>16</w:t>
      </w:r>
      <w:r w:rsidR="00203F72" w:rsidRPr="00A53581">
        <w:t>、重</w:t>
      </w:r>
      <w:r w:rsidR="003E240E">
        <w:t>視</w:t>
      </w:r>
      <w:r w:rsidR="00203F72" w:rsidRPr="00A53581">
        <w:t>與強化各式水、陸、空交通與大眾運輸系統之建制，建構美感化、藝術化、舒適化、優質化、便利化、安全化、廉價化及快捷化之各式水、陸、空交通與大眾運輸系統；</w:t>
      </w:r>
      <w:r w:rsidR="00203F72" w:rsidRPr="00A53581">
        <w:t>17</w:t>
      </w:r>
      <w:r w:rsidR="00203F72" w:rsidRPr="00A53581">
        <w:t>、</w:t>
      </w:r>
      <w:r w:rsidR="00203F72" w:rsidRPr="00A53581">
        <w:rPr>
          <w:bCs/>
        </w:rPr>
        <w:t>保障離島地區居民權益；</w:t>
      </w:r>
      <w:r w:rsidR="00203F72" w:rsidRPr="00A53581">
        <w:rPr>
          <w:bCs/>
        </w:rPr>
        <w:t>18</w:t>
      </w:r>
      <w:r w:rsidR="00203F72" w:rsidRPr="00A53581">
        <w:t>、延長國民義務教育年齡至</w:t>
      </w:r>
      <w:r w:rsidR="00203F72" w:rsidRPr="00A53581">
        <w:t>18</w:t>
      </w:r>
      <w:r w:rsidR="00203F72" w:rsidRPr="00A53581">
        <w:t>歲。</w:t>
      </w:r>
    </w:p>
    <w:p w14:paraId="1E319979" w14:textId="77777777" w:rsidR="00203F72" w:rsidRPr="00961D95" w:rsidRDefault="00367D0C" w:rsidP="00961D95">
      <w:r w:rsidRPr="00961D95">
        <w:t xml:space="preserve">　　</w:t>
      </w:r>
      <w:r w:rsidR="00203F72" w:rsidRPr="00961D95">
        <w:t>就重</w:t>
      </w:r>
      <w:r w:rsidR="003E240E">
        <w:t>視</w:t>
      </w:r>
      <w:r w:rsidR="00203F72" w:rsidRPr="00961D95">
        <w:t>與強化安全化大眾運輸系統而論，自後美國發生</w:t>
      </w:r>
      <w:r w:rsidR="00203F72" w:rsidRPr="00961D95">
        <w:t>911</w:t>
      </w:r>
      <w:r w:rsidR="00203F72" w:rsidRPr="00961D95">
        <w:t>恐怖攻擊事件以來，航空保安之議題，受到全球相當的重</w:t>
      </w:r>
      <w:r w:rsidR="003E240E">
        <w:t>視</w:t>
      </w:r>
      <w:r w:rsidR="00203F72" w:rsidRPr="00961D95">
        <w:t>。我國在強化航空保安之措施作為方面，本書認為，有關香港與日本之航空保安之作為，或可供我國參考之用。香港之航空保安，係成立機場保安有限公司（英文：</w:t>
      </w:r>
      <w:r w:rsidR="00203F72" w:rsidRPr="00961D95">
        <w:t>Aviation Security Company Limited</w:t>
      </w:r>
      <w:r w:rsidR="00203F72" w:rsidRPr="00961D95">
        <w:t>），香港之整體性航空保安之機制，其有以下特點</w:t>
      </w:r>
      <w:r w:rsidR="00203F72" w:rsidRPr="00961D95">
        <w:footnoteReference w:id="182"/>
      </w:r>
      <w:r w:rsidR="00203F72" w:rsidRPr="00961D95">
        <w:t>：</w:t>
      </w:r>
    </w:p>
    <w:p w14:paraId="6FD989D3" w14:textId="77777777" w:rsidR="00203F72" w:rsidRPr="00A53581" w:rsidRDefault="00367D0C" w:rsidP="00D87D91">
      <w:r>
        <w:rPr>
          <w:rFonts w:hint="eastAsia"/>
        </w:rPr>
        <w:t xml:space="preserve">　　</w:t>
      </w:r>
      <w:r w:rsidRPr="00367D0C">
        <w:rPr>
          <w:rFonts w:hint="eastAsia"/>
        </w:rPr>
        <w:t>1</w:t>
      </w:r>
      <w:r w:rsidRPr="00367D0C">
        <w:rPr>
          <w:rFonts w:hint="eastAsia"/>
        </w:rPr>
        <w:t>、</w:t>
      </w:r>
      <w:r w:rsidR="00203F72" w:rsidRPr="00A53581">
        <w:t>香港之航空保安，係成立機場保安有限公司，於</w:t>
      </w:r>
      <w:r w:rsidR="00203F72" w:rsidRPr="00A53581">
        <w:t>1997</w:t>
      </w:r>
      <w:r w:rsidR="00203F72" w:rsidRPr="00A53581">
        <w:t>年正式運作，其組織之樣態，係為一家由香港特別行政區政府及香港機場管理局共同擁有的非營利私營機構；</w:t>
      </w:r>
    </w:p>
    <w:p w14:paraId="07895FD0" w14:textId="77777777" w:rsidR="00203F72" w:rsidRPr="00A53581" w:rsidRDefault="00367D0C" w:rsidP="00D87D91">
      <w:r>
        <w:rPr>
          <w:rFonts w:hint="eastAsia"/>
        </w:rPr>
        <w:t xml:space="preserve">　　</w:t>
      </w:r>
      <w:r>
        <w:rPr>
          <w:rFonts w:hint="eastAsia"/>
        </w:rPr>
        <w:t>2</w:t>
      </w:r>
      <w:r w:rsidRPr="00367D0C">
        <w:rPr>
          <w:rFonts w:hint="eastAsia"/>
        </w:rPr>
        <w:t>、</w:t>
      </w:r>
      <w:r w:rsidR="00203F72" w:rsidRPr="00A53581">
        <w:t>香港之機場保安有限公司，獲得國際民航組織</w:t>
      </w:r>
      <w:r w:rsidR="00203F72" w:rsidRPr="00A53581">
        <w:t>(ICAO)</w:t>
      </w:r>
      <w:r w:rsidR="00203F72" w:rsidRPr="00A53581">
        <w:t>委任，為亞太次地區航空保安培訓中心；</w:t>
      </w:r>
    </w:p>
    <w:p w14:paraId="3C2D614A" w14:textId="77777777" w:rsidR="00203F72" w:rsidRPr="00A53581" w:rsidRDefault="00367D0C" w:rsidP="00D87D91">
      <w:r>
        <w:rPr>
          <w:rFonts w:hint="eastAsia"/>
        </w:rPr>
        <w:t xml:space="preserve">　　</w:t>
      </w:r>
      <w:r>
        <w:rPr>
          <w:rFonts w:hint="eastAsia"/>
        </w:rPr>
        <w:t>3</w:t>
      </w:r>
      <w:r w:rsidRPr="00367D0C">
        <w:rPr>
          <w:rFonts w:hint="eastAsia"/>
        </w:rPr>
        <w:t>、</w:t>
      </w:r>
      <w:r w:rsidR="00203F72" w:rsidRPr="00A53581">
        <w:t>機場保安有限公司提供的服務，包括：航機保安、登機口保安管制、機場管制區的進出管制、香港國際機場各項設施的警備工作、貨物及郵件的</w:t>
      </w:r>
      <w:r w:rsidR="00203F72" w:rsidRPr="00A53581">
        <w:t>X</w:t>
      </w:r>
      <w:r w:rsidR="00203F72" w:rsidRPr="00A53581">
        <w:t>光保安檢查、機組人員保安檢查、旅客保安檢查、機場管制區通行證管理及顧問服務等；</w:t>
      </w:r>
    </w:p>
    <w:p w14:paraId="33FA2C99" w14:textId="77777777" w:rsidR="00203F72" w:rsidRPr="00961D95" w:rsidRDefault="00367D0C" w:rsidP="00961D95">
      <w:r>
        <w:rPr>
          <w:rFonts w:hint="eastAsia"/>
        </w:rPr>
        <w:t xml:space="preserve">　　</w:t>
      </w:r>
      <w:r>
        <w:rPr>
          <w:rFonts w:hint="eastAsia"/>
        </w:rPr>
        <w:t>4</w:t>
      </w:r>
      <w:r w:rsidRPr="00367D0C">
        <w:rPr>
          <w:rFonts w:hint="eastAsia"/>
        </w:rPr>
        <w:t>、</w:t>
      </w:r>
      <w:r w:rsidR="00203F72" w:rsidRPr="00A53581">
        <w:t>機場保安有限公司為超過</w:t>
      </w:r>
      <w:r w:rsidR="00203F72" w:rsidRPr="00A53581">
        <w:t>30</w:t>
      </w:r>
      <w:r w:rsidR="00203F72" w:rsidRPr="00A53581">
        <w:t>家國際航空公司、多家航空貨運公司、多個全球性</w:t>
      </w:r>
      <w:r w:rsidR="00203F72" w:rsidRPr="00961D95">
        <w:t>貴重貨物護運機構和所有在香港機場管制區內運作的公司，提供保安服務</w:t>
      </w:r>
      <w:r w:rsidR="00203F72" w:rsidRPr="00961D95">
        <w:footnoteReference w:id="183"/>
      </w:r>
      <w:r w:rsidR="00203F72" w:rsidRPr="00961D95">
        <w:t>。</w:t>
      </w:r>
    </w:p>
    <w:p w14:paraId="1F8DC5D2" w14:textId="77777777" w:rsidR="00953151" w:rsidRPr="00961D95" w:rsidRDefault="00367D0C" w:rsidP="00961D95">
      <w:r w:rsidRPr="00961D95">
        <w:rPr>
          <w:rFonts w:hint="eastAsia"/>
        </w:rPr>
        <w:t xml:space="preserve">　　</w:t>
      </w:r>
      <w:r w:rsidRPr="00961D95">
        <w:rPr>
          <w:rFonts w:hint="eastAsia"/>
        </w:rPr>
        <w:t>5</w:t>
      </w:r>
      <w:r w:rsidRPr="00961D95">
        <w:rPr>
          <w:rFonts w:hint="eastAsia"/>
        </w:rPr>
        <w:t>、</w:t>
      </w:r>
      <w:r w:rsidR="00203F72" w:rsidRPr="00961D95">
        <w:t>在政府的管制作為方面，香港建構一個航空保安委員會</w:t>
      </w:r>
      <w:r w:rsidR="00203F72" w:rsidRPr="00961D95">
        <w:footnoteReference w:id="184"/>
      </w:r>
      <w:r w:rsidR="00203F72" w:rsidRPr="00961D95">
        <w:t>。香港之航空保安委員會，包括</w:t>
      </w:r>
      <w:r w:rsidR="00D92F56" w:rsidRPr="00961D95">
        <w:t>〜</w:t>
      </w:r>
      <w:r w:rsidR="00203F72" w:rsidRPr="00961D95">
        <w:t>保安局副秘書長</w:t>
      </w:r>
      <w:r w:rsidR="00203F72" w:rsidRPr="00961D95">
        <w:t>(</w:t>
      </w:r>
      <w:r w:rsidR="00203F72" w:rsidRPr="00961D95">
        <w:t>肩負航空保安職責</w:t>
      </w:r>
      <w:r w:rsidR="00203F72" w:rsidRPr="00961D95">
        <w:t>)(</w:t>
      </w:r>
      <w:r w:rsidR="00203F72" w:rsidRPr="00961D95">
        <w:t>主席</w:t>
      </w:r>
      <w:r w:rsidR="00203F72" w:rsidRPr="00961D95">
        <w:t>)</w:t>
      </w:r>
      <w:r w:rsidR="00203F72" w:rsidRPr="00961D95">
        <w:t>；運輸及房屋局局長或其代表；警務處處長或其代表；民航處處長或其代表；香港機場管理局的代表；香港航空公司代表協會的代表</w:t>
      </w:r>
      <w:r w:rsidR="00203F72" w:rsidRPr="00961D95">
        <w:footnoteReference w:id="185"/>
      </w:r>
      <w:r w:rsidR="00203F72" w:rsidRPr="00961D95">
        <w:t>。</w:t>
      </w:r>
    </w:p>
    <w:p w14:paraId="1CEAD3C5" w14:textId="77777777" w:rsidR="00203F72" w:rsidRPr="00961D95" w:rsidRDefault="00367D0C" w:rsidP="00961D95">
      <w:r w:rsidRPr="00961D95">
        <w:t xml:space="preserve">　　</w:t>
      </w:r>
      <w:r w:rsidR="00203F72" w:rsidRPr="00961D95">
        <w:t>我國的民航法，未來可行之發展方向，本書建議如下所述：</w:t>
      </w:r>
    </w:p>
    <w:p w14:paraId="77CAF52B" w14:textId="77777777" w:rsidR="00203F72" w:rsidRPr="00A53581" w:rsidRDefault="00367D0C" w:rsidP="00961D95">
      <w:r w:rsidRPr="00961D95">
        <w:rPr>
          <w:rFonts w:hint="eastAsia"/>
        </w:rPr>
        <w:t xml:space="preserve">　　</w:t>
      </w:r>
      <w:r w:rsidRPr="00961D95">
        <w:rPr>
          <w:rFonts w:hint="eastAsia"/>
        </w:rPr>
        <w:t>1</w:t>
      </w:r>
      <w:r w:rsidRPr="00961D95">
        <w:rPr>
          <w:rFonts w:hint="eastAsia"/>
        </w:rPr>
        <w:t>、</w:t>
      </w:r>
      <w:r w:rsidR="00203F72" w:rsidRPr="00961D95">
        <w:t>我國的民航法，似可仿照香港航空保安條例之立法例中之第</w:t>
      </w:r>
      <w:r w:rsidR="00203F72" w:rsidRPr="00961D95">
        <w:t>38</w:t>
      </w:r>
      <w:r w:rsidR="00203F72" w:rsidRPr="00961D95">
        <w:t>條、第</w:t>
      </w:r>
      <w:r w:rsidR="00203F72" w:rsidRPr="00961D95">
        <w:t>39</w:t>
      </w:r>
      <w:r w:rsidR="00203F72" w:rsidRPr="00961D95">
        <w:t>條之規定，賦予「航空保安監督」，擁有「要求搜查機場之權力」</w:t>
      </w:r>
      <w:r w:rsidR="00203F72" w:rsidRPr="00961D95">
        <w:t>(</w:t>
      </w:r>
      <w:r w:rsidR="00203F72" w:rsidRPr="00961D95">
        <w:t>香港航空保安條例第</w:t>
      </w:r>
      <w:r w:rsidR="00203F72" w:rsidRPr="00961D95">
        <w:t>38</w:t>
      </w:r>
      <w:r w:rsidR="00203F72" w:rsidRPr="00961D95">
        <w:t>條</w:t>
      </w:r>
      <w:r w:rsidR="00203F72" w:rsidRPr="00961D95">
        <w:footnoteReference w:id="186"/>
      </w:r>
      <w:r w:rsidR="00203F72" w:rsidRPr="00961D95">
        <w:t>)</w:t>
      </w:r>
      <w:r w:rsidR="00203F72" w:rsidRPr="00961D95">
        <w:t>，以及「要求其他人進行搜查之權力」</w:t>
      </w:r>
      <w:r w:rsidR="00203F72" w:rsidRPr="00961D95">
        <w:t>(</w:t>
      </w:r>
      <w:r w:rsidR="00203F72" w:rsidRPr="00961D95">
        <w:t>香港航空保安條例第</w:t>
      </w:r>
      <w:r w:rsidR="00203F72" w:rsidRPr="00961D95">
        <w:t>39</w:t>
      </w:r>
      <w:r w:rsidR="00203F72" w:rsidRPr="00961D95">
        <w:t>條</w:t>
      </w:r>
      <w:r w:rsidR="00203F72" w:rsidRPr="00961D95">
        <w:footnoteReference w:id="187"/>
      </w:r>
      <w:r w:rsidR="00203F72" w:rsidRPr="00961D95">
        <w:t>)</w:t>
      </w:r>
      <w:r w:rsidR="00203F72" w:rsidRPr="00961D95">
        <w:t>，對於違反「航</w:t>
      </w:r>
      <w:r w:rsidR="00203F72" w:rsidRPr="00A53581">
        <w:t>空保安監督」上述之命令者，我國的</w:t>
      </w:r>
      <w:hyperlink r:id="rId1579" w:history="1">
        <w:r w:rsidR="00203F72" w:rsidRPr="004633CB">
          <w:rPr>
            <w:rStyle w:val="a5"/>
            <w:rFonts w:ascii="Times New Roman" w:eastAsia="新細明體" w:hAnsi="Times New Roman"/>
          </w:rPr>
          <w:t>民航法</w:t>
        </w:r>
      </w:hyperlink>
      <w:r w:rsidR="00203F72" w:rsidRPr="00A53581">
        <w:t>，可課以其「未遵從監督之要求搜查機場罪」</w:t>
      </w:r>
      <w:r w:rsidR="00203F72" w:rsidRPr="00A53581">
        <w:t>(</w:t>
      </w:r>
      <w:r w:rsidR="00203F72" w:rsidRPr="00A53581">
        <w:t>香港航空保安條例第</w:t>
      </w:r>
      <w:r w:rsidR="00203F72" w:rsidRPr="00A53581">
        <w:t>38</w:t>
      </w:r>
      <w:r w:rsidR="00203F72" w:rsidRPr="00A53581">
        <w:t>條</w:t>
      </w:r>
      <w:r w:rsidR="00203F72" w:rsidRPr="00A53581">
        <w:t>)</w:t>
      </w:r>
      <w:r w:rsidR="00203F72" w:rsidRPr="00A53581">
        <w:t>，以及「未遵從監督之要求其他人搜查機場罪」</w:t>
      </w:r>
      <w:r w:rsidR="00203F72" w:rsidRPr="00A53581">
        <w:t>(</w:t>
      </w:r>
      <w:r w:rsidR="00203F72" w:rsidRPr="00A53581">
        <w:t>香港航空保安條例第</w:t>
      </w:r>
      <w:r w:rsidR="00203F72" w:rsidRPr="00A53581">
        <w:t>39</w:t>
      </w:r>
      <w:r w:rsidR="00203F72" w:rsidRPr="00A53581">
        <w:t>條</w:t>
      </w:r>
      <w:r w:rsidR="00203F72" w:rsidRPr="00A53581">
        <w:t>)</w:t>
      </w:r>
      <w:r w:rsidR="00203F72" w:rsidRPr="00A53581">
        <w:t>。</w:t>
      </w:r>
    </w:p>
    <w:p w14:paraId="402C7333" w14:textId="77777777" w:rsidR="00203F72" w:rsidRPr="00A53581" w:rsidRDefault="00367D0C" w:rsidP="00D87D91">
      <w:r>
        <w:rPr>
          <w:rFonts w:hint="eastAsia"/>
        </w:rPr>
        <w:t xml:space="preserve">　　</w:t>
      </w:r>
      <w:r>
        <w:rPr>
          <w:rFonts w:hint="eastAsia"/>
        </w:rPr>
        <w:t>2</w:t>
      </w:r>
      <w:r w:rsidRPr="00367D0C">
        <w:rPr>
          <w:rFonts w:hint="eastAsia"/>
        </w:rPr>
        <w:t>、</w:t>
      </w:r>
      <w:r w:rsidR="00203F72" w:rsidRPr="00A53581">
        <w:t>就機長權力而論，我國民航法第</w:t>
      </w:r>
      <w:hyperlink r:id="rId1580" w:anchor="a45" w:history="1">
        <w:r w:rsidR="00203F72" w:rsidRPr="004633CB">
          <w:rPr>
            <w:rStyle w:val="a5"/>
            <w:rFonts w:ascii="Times New Roman" w:eastAsia="新細明體" w:hAnsi="Times New Roman"/>
          </w:rPr>
          <w:t>四十五</w:t>
        </w:r>
      </w:hyperlink>
      <w:r w:rsidR="00203F72" w:rsidRPr="00A53581">
        <w:t>條（飛航中之負責人及其權限）僅規定，「航空器在飛航中，機長為負責人，並得為一切緊急處置。」上述機長之相關權力，似乎過於抽象與不確定。建議仿照香港航空保安條例第</w:t>
      </w:r>
      <w:r w:rsidR="00203F72" w:rsidRPr="00A53581">
        <w:t>4</w:t>
      </w:r>
      <w:r w:rsidR="00203F72" w:rsidRPr="00A53581">
        <w:t>條之規定</w:t>
      </w:r>
      <w:r w:rsidR="00203F72" w:rsidRPr="00A53581">
        <w:rPr>
          <w:rStyle w:val="af3"/>
          <w:rFonts w:ascii="新細明體" w:hAnsi="新細明體"/>
        </w:rPr>
        <w:footnoteReference w:id="188"/>
      </w:r>
      <w:r w:rsidR="00203F72" w:rsidRPr="00A53581">
        <w:t>，加大機長之權力。</w:t>
      </w:r>
    </w:p>
    <w:p w14:paraId="044C39AE" w14:textId="77777777" w:rsidR="00203F72" w:rsidRPr="00961D95" w:rsidRDefault="00367D0C" w:rsidP="00961D95">
      <w:r w:rsidRPr="00961D95">
        <w:rPr>
          <w:rFonts w:hint="eastAsia"/>
        </w:rPr>
        <w:t xml:space="preserve">　　</w:t>
      </w:r>
      <w:r w:rsidRPr="00961D95">
        <w:rPr>
          <w:rFonts w:hint="eastAsia"/>
        </w:rPr>
        <w:t>3</w:t>
      </w:r>
      <w:r w:rsidRPr="00961D95">
        <w:rPr>
          <w:rFonts w:hint="eastAsia"/>
        </w:rPr>
        <w:t>、</w:t>
      </w:r>
      <w:r w:rsidR="00203F72" w:rsidRPr="00961D95">
        <w:t>建議仿照香港航空保安條例第</w:t>
      </w:r>
      <w:r w:rsidR="00203F72" w:rsidRPr="00961D95">
        <w:t>6</w:t>
      </w:r>
      <w:r w:rsidR="00203F72" w:rsidRPr="00961D95">
        <w:t>條之規定</w:t>
      </w:r>
      <w:r w:rsidR="00203F72" w:rsidRPr="00961D95">
        <w:footnoteReference w:id="189"/>
      </w:r>
      <w:r w:rsidR="00203F72" w:rsidRPr="00961D95">
        <w:t>，宜考量涉及跨國性之關於對於「飛機上所觸犯之暴行」之證人之證據能力的取得之方便性，以及該證據能力在法院之審理程序上，被法官採用之適格性的法律證據能力之問題，宜在民航法之上，增設證人之證據能力的取得之方便性及特殊性條款之明文規定。</w:t>
      </w:r>
    </w:p>
    <w:p w14:paraId="7B4D8CFE" w14:textId="77777777" w:rsidR="00203F72" w:rsidRPr="00961D95" w:rsidRDefault="00367D0C" w:rsidP="00961D95">
      <w:r w:rsidRPr="00961D95">
        <w:rPr>
          <w:rFonts w:hint="eastAsia"/>
        </w:rPr>
        <w:t xml:space="preserve">　　</w:t>
      </w:r>
      <w:r w:rsidRPr="00961D95">
        <w:rPr>
          <w:rFonts w:hint="eastAsia"/>
        </w:rPr>
        <w:t>4</w:t>
      </w:r>
      <w:r w:rsidRPr="00961D95">
        <w:rPr>
          <w:rFonts w:hint="eastAsia"/>
        </w:rPr>
        <w:t>、</w:t>
      </w:r>
      <w:r w:rsidR="00203F72" w:rsidRPr="00961D95">
        <w:t>為了令飛機機組成員能順利地履行職務，維護航空保安，建議仿照香港航空保安條例第</w:t>
      </w:r>
      <w:r w:rsidR="00203F72" w:rsidRPr="00961D95">
        <w:t>12B</w:t>
      </w:r>
      <w:r w:rsidR="00203F72" w:rsidRPr="00961D95">
        <w:t>條之規定</w:t>
      </w:r>
      <w:r w:rsidR="00203F72" w:rsidRPr="00961D95">
        <w:footnoteReference w:id="190"/>
      </w:r>
      <w:r w:rsidR="00203F72" w:rsidRPr="00961D95">
        <w:t>，增設</w:t>
      </w:r>
      <w:r w:rsidR="00D92F56" w:rsidRPr="00961D95">
        <w:t>〜</w:t>
      </w:r>
      <w:r w:rsidR="00203F72" w:rsidRPr="00961D95">
        <w:t>「故意妨礙飛機機組成員履行職務罪」，以及「不遵從飛機機長指示罪」。</w:t>
      </w:r>
    </w:p>
    <w:p w14:paraId="6926E2BC" w14:textId="77777777" w:rsidR="00203F72" w:rsidRPr="00961D95" w:rsidRDefault="00367D0C" w:rsidP="00961D95">
      <w:r w:rsidRPr="00961D95">
        <w:rPr>
          <w:rFonts w:hint="eastAsia"/>
        </w:rPr>
        <w:t xml:space="preserve">　　</w:t>
      </w:r>
      <w:r w:rsidRPr="00961D95">
        <w:rPr>
          <w:rFonts w:hint="eastAsia"/>
        </w:rPr>
        <w:t>5</w:t>
      </w:r>
      <w:r w:rsidRPr="00961D95">
        <w:rPr>
          <w:rFonts w:hint="eastAsia"/>
        </w:rPr>
        <w:t>、</w:t>
      </w:r>
      <w:r w:rsidR="00203F72" w:rsidRPr="00961D95">
        <w:t>建議仿照香港航空保安條例第</w:t>
      </w:r>
      <w:r w:rsidR="00203F72" w:rsidRPr="00961D95">
        <w:t>13</w:t>
      </w:r>
      <w:r w:rsidR="00203F72" w:rsidRPr="00961D95">
        <w:t>條之規定</w:t>
      </w:r>
      <w:r w:rsidR="00203F72" w:rsidRPr="00961D95">
        <w:footnoteReference w:id="191"/>
      </w:r>
      <w:r w:rsidR="00203F72" w:rsidRPr="00961D95">
        <w:t>，假若機場的僱員、經認證保全人員、警察或其他任何的公職人員，如發現正在登機者，或在飛機上之人，擬意圖或準備進行較嚴重之犯罪，上述之人，擁有相關之權力，諸如</w:t>
      </w:r>
      <w:r w:rsidR="00D92F56" w:rsidRPr="00961D95">
        <w:t>〜</w:t>
      </w:r>
      <w:r w:rsidR="00203F72" w:rsidRPr="00961D95">
        <w:t>阻止權、強制移走權、覊留權及將被逮捕之人移交警察之權力。</w:t>
      </w:r>
    </w:p>
    <w:p w14:paraId="13D526E2" w14:textId="77777777" w:rsidR="00203F72" w:rsidRPr="00961D95" w:rsidRDefault="00367D0C" w:rsidP="00961D95">
      <w:r w:rsidRPr="00961D95">
        <w:rPr>
          <w:rFonts w:hint="eastAsia"/>
        </w:rPr>
        <w:t xml:space="preserve">　　</w:t>
      </w:r>
      <w:r w:rsidRPr="00961D95">
        <w:rPr>
          <w:rFonts w:hint="eastAsia"/>
        </w:rPr>
        <w:t>6</w:t>
      </w:r>
      <w:r w:rsidRPr="00961D95">
        <w:rPr>
          <w:rFonts w:hint="eastAsia"/>
        </w:rPr>
        <w:t>、</w:t>
      </w:r>
      <w:r w:rsidR="00203F72" w:rsidRPr="00961D95">
        <w:t>我國的民航法，似可仿照香港航空保安條例之立法例中之第</w:t>
      </w:r>
      <w:r w:rsidR="00203F72" w:rsidRPr="00961D95">
        <w:t>46</w:t>
      </w:r>
      <w:r w:rsidR="00203F72" w:rsidRPr="00961D95">
        <w:t>條</w:t>
      </w:r>
      <w:r w:rsidR="00203F72" w:rsidRPr="00961D95">
        <w:footnoteReference w:id="192"/>
      </w:r>
      <w:r w:rsidR="00203F72" w:rsidRPr="00961D95">
        <w:t>及第</w:t>
      </w:r>
      <w:r w:rsidR="00203F72" w:rsidRPr="00961D95">
        <w:t>47</w:t>
      </w:r>
      <w:r w:rsidR="00203F72" w:rsidRPr="00961D95">
        <w:t>條</w:t>
      </w:r>
      <w:r w:rsidR="00203F72" w:rsidRPr="00961D95">
        <w:footnoteReference w:id="193"/>
      </w:r>
      <w:r w:rsidR="00203F72" w:rsidRPr="00961D95">
        <w:t>，為了維護與落實航空保安之需求，增設強制執行之機制，亦即，賦予「航空保安監督」的授權公職人員，擁有強制執行之機制與權力。</w:t>
      </w:r>
    </w:p>
    <w:p w14:paraId="734164BF" w14:textId="77777777" w:rsidR="00203F72" w:rsidRPr="00961D95" w:rsidRDefault="00367D0C" w:rsidP="00961D95">
      <w:r w:rsidRPr="00961D95">
        <w:rPr>
          <w:rFonts w:hint="eastAsia"/>
        </w:rPr>
        <w:t xml:space="preserve">　　</w:t>
      </w:r>
      <w:r w:rsidRPr="00961D95">
        <w:rPr>
          <w:rFonts w:hint="eastAsia"/>
        </w:rPr>
        <w:t>7</w:t>
      </w:r>
      <w:r w:rsidRPr="00961D95">
        <w:rPr>
          <w:rFonts w:hint="eastAsia"/>
        </w:rPr>
        <w:t>、</w:t>
      </w:r>
      <w:r w:rsidR="00203F72" w:rsidRPr="00961D95">
        <w:t>我國的民航法，似可仿照香港航空保安條例之立法例中之第</w:t>
      </w:r>
      <w:r w:rsidR="00203F72" w:rsidRPr="00961D95">
        <w:t>48</w:t>
      </w:r>
      <w:r w:rsidR="00203F72" w:rsidRPr="00961D95">
        <w:t>條，增設</w:t>
      </w:r>
      <w:r w:rsidR="00D92F56" w:rsidRPr="00961D95">
        <w:t>〜</w:t>
      </w:r>
      <w:r w:rsidR="00203F72" w:rsidRPr="00961D95">
        <w:t>未遵從強制執行通知罪</w:t>
      </w:r>
      <w:r w:rsidR="00203F72" w:rsidRPr="00961D95">
        <w:footnoteReference w:id="194"/>
      </w:r>
      <w:r w:rsidR="00203F72" w:rsidRPr="00961D95">
        <w:t>。</w:t>
      </w:r>
    </w:p>
    <w:p w14:paraId="2EC2D984" w14:textId="77777777" w:rsidR="00203F72" w:rsidRPr="00961D95" w:rsidRDefault="00367D0C" w:rsidP="00961D95">
      <w:r w:rsidRPr="00961D95">
        <w:rPr>
          <w:rFonts w:hint="eastAsia"/>
        </w:rPr>
        <w:t xml:space="preserve">　　</w:t>
      </w:r>
      <w:r w:rsidRPr="00961D95">
        <w:rPr>
          <w:rFonts w:hint="eastAsia"/>
        </w:rPr>
        <w:t>8</w:t>
      </w:r>
      <w:r w:rsidRPr="00961D95">
        <w:rPr>
          <w:rFonts w:hint="eastAsia"/>
        </w:rPr>
        <w:t>、</w:t>
      </w:r>
      <w:r w:rsidR="00203F72" w:rsidRPr="00961D95">
        <w:t>我國的民航法，似可仿照香港航空保安條例之立法例中之第</w:t>
      </w:r>
      <w:r w:rsidR="00203F72" w:rsidRPr="00961D95">
        <w:t>34</w:t>
      </w:r>
      <w:r w:rsidR="00203F72" w:rsidRPr="00961D95">
        <w:t>條</w:t>
      </w:r>
      <w:r w:rsidR="00203F72" w:rsidRPr="00961D95">
        <w:footnoteReference w:id="195"/>
      </w:r>
      <w:r w:rsidR="00203F72" w:rsidRPr="00961D95">
        <w:t>，賦予「航空保安監督」要求航空公司提供資料之權力。</w:t>
      </w:r>
    </w:p>
    <w:p w14:paraId="041F669D" w14:textId="77777777" w:rsidR="00203F72" w:rsidRPr="00961D95" w:rsidRDefault="00367D0C" w:rsidP="00961D95">
      <w:r w:rsidRPr="00961D95">
        <w:rPr>
          <w:rFonts w:hint="eastAsia"/>
        </w:rPr>
        <w:t xml:space="preserve">　　</w:t>
      </w:r>
      <w:r w:rsidRPr="00961D95">
        <w:rPr>
          <w:rFonts w:hint="eastAsia"/>
        </w:rPr>
        <w:t>9</w:t>
      </w:r>
      <w:r w:rsidRPr="00961D95">
        <w:rPr>
          <w:rFonts w:hint="eastAsia"/>
        </w:rPr>
        <w:t>、</w:t>
      </w:r>
      <w:r w:rsidR="00203F72" w:rsidRPr="00961D95">
        <w:t>我國的民航法，似可仿照香港航空保安條例之立法例中之第</w:t>
      </w:r>
      <w:r w:rsidR="00203F72" w:rsidRPr="00961D95">
        <w:t>57</w:t>
      </w:r>
      <w:r w:rsidR="00203F72" w:rsidRPr="00961D95">
        <w:t>條</w:t>
      </w:r>
      <w:r w:rsidR="00203F72" w:rsidRPr="00961D95">
        <w:footnoteReference w:id="196"/>
      </w:r>
      <w:r w:rsidR="00203F72" w:rsidRPr="00961D95">
        <w:t>，賦予「航空保安監督」的授權公職人員，或警察人員，擁有「無令狀」與「有令狀」之搜查與檢取權力。</w:t>
      </w:r>
    </w:p>
    <w:p w14:paraId="43B0375A" w14:textId="77777777" w:rsidR="00203F72" w:rsidRPr="00961D95" w:rsidRDefault="00367D0C" w:rsidP="00961D95">
      <w:r w:rsidRPr="00961D95">
        <w:rPr>
          <w:rFonts w:hint="eastAsia"/>
        </w:rPr>
        <w:t xml:space="preserve">　　</w:t>
      </w:r>
      <w:r w:rsidRPr="00961D95">
        <w:rPr>
          <w:rFonts w:hint="eastAsia"/>
        </w:rPr>
        <w:t>10</w:t>
      </w:r>
      <w:r w:rsidRPr="00961D95">
        <w:rPr>
          <w:rFonts w:hint="eastAsia"/>
        </w:rPr>
        <w:t>、</w:t>
      </w:r>
      <w:r w:rsidR="00203F72" w:rsidRPr="00961D95">
        <w:t>我國的民航法，似可仿照香港航空保安條例之立法例中之第</w:t>
      </w:r>
      <w:r w:rsidR="00203F72" w:rsidRPr="00961D95">
        <w:t>58</w:t>
      </w:r>
      <w:r w:rsidR="00203F72" w:rsidRPr="00961D95">
        <w:t>條</w:t>
      </w:r>
      <w:r w:rsidR="00203F72" w:rsidRPr="00961D95">
        <w:footnoteReference w:id="197"/>
      </w:r>
      <w:r w:rsidR="00203F72" w:rsidRPr="00961D95">
        <w:t>，賦予「航空保安監督」擁有</w:t>
      </w:r>
      <w:r w:rsidR="003E240E">
        <w:t>視</w:t>
      </w:r>
      <w:r w:rsidR="00203F72" w:rsidRPr="00961D95">
        <w:t>察飛機與機場之權力。</w:t>
      </w:r>
    </w:p>
    <w:p w14:paraId="5A4858E0" w14:textId="77777777" w:rsidR="00203F72" w:rsidRPr="00961D95" w:rsidRDefault="00367D0C" w:rsidP="00961D95">
      <w:r w:rsidRPr="00961D95">
        <w:rPr>
          <w:rFonts w:hint="eastAsia"/>
        </w:rPr>
        <w:t xml:space="preserve">　　</w:t>
      </w:r>
      <w:r w:rsidRPr="00961D95">
        <w:rPr>
          <w:rFonts w:hint="eastAsia"/>
        </w:rPr>
        <w:t>11</w:t>
      </w:r>
      <w:r w:rsidRPr="00961D95">
        <w:rPr>
          <w:rFonts w:hint="eastAsia"/>
        </w:rPr>
        <w:t>、</w:t>
      </w:r>
      <w:r w:rsidR="00203F72" w:rsidRPr="00961D95">
        <w:t>我國的民航法，似可仿照日本航空法第</w:t>
      </w:r>
      <w:r w:rsidR="00203F72" w:rsidRPr="00961D95">
        <w:t>86</w:t>
      </w:r>
      <w:r w:rsidR="00203F72" w:rsidRPr="00961D95">
        <w:t>條之</w:t>
      </w:r>
      <w:r w:rsidR="00203F72" w:rsidRPr="00961D95">
        <w:t>2</w:t>
      </w:r>
      <w:r w:rsidR="00203F72" w:rsidRPr="00961D95">
        <w:t>之規定</w:t>
      </w:r>
      <w:r w:rsidR="00203F72" w:rsidRPr="00961D95">
        <w:footnoteReference w:id="198"/>
      </w:r>
      <w:r w:rsidR="00203F72" w:rsidRPr="00961D95">
        <w:t>，賦予航空公司對於可疑為危安物品之行李或貨物，擁有拒絕運送、要求旅客取下，或自行取下之權力。</w:t>
      </w:r>
    </w:p>
    <w:p w14:paraId="248679C5" w14:textId="77777777" w:rsidR="00203F72" w:rsidRPr="00961D95" w:rsidRDefault="00367D0C" w:rsidP="00961D95">
      <w:r w:rsidRPr="00961D95">
        <w:rPr>
          <w:rFonts w:hint="eastAsia"/>
        </w:rPr>
        <w:t xml:space="preserve">　　</w:t>
      </w:r>
      <w:r w:rsidRPr="00961D95">
        <w:rPr>
          <w:rFonts w:hint="eastAsia"/>
        </w:rPr>
        <w:t>12</w:t>
      </w:r>
      <w:r w:rsidRPr="00961D95">
        <w:rPr>
          <w:rFonts w:hint="eastAsia"/>
        </w:rPr>
        <w:t>、</w:t>
      </w:r>
      <w:r w:rsidR="00203F72" w:rsidRPr="00961D95">
        <w:t>日本的空港警備，係由民間警備業者自主執行，其範圍包括</w:t>
      </w:r>
      <w:r w:rsidR="00D92F56" w:rsidRPr="00961D95">
        <w:t>〜</w:t>
      </w:r>
      <w:r w:rsidR="00203F72" w:rsidRPr="00961D95">
        <w:t>旅客人身安檢；旅客隨身攜帶進入飛機，或寄存於航空公司貨物存放室內之行李之安檢；飛機場站建築物內之警備；飛機場週邊道路之監</w:t>
      </w:r>
      <w:r w:rsidR="003E240E">
        <w:t>視</w:t>
      </w:r>
      <w:r w:rsidR="00203F72" w:rsidRPr="00961D95">
        <w:t>、巡迴警備；管制區域內與建築用地之巡迴警備；管制塔警備；機邊警備；有人通行之大門之管制</w:t>
      </w:r>
      <w:r w:rsidR="00203F72" w:rsidRPr="00961D95">
        <w:footnoteReference w:id="199"/>
      </w:r>
      <w:r w:rsidR="00203F72" w:rsidRPr="00961D95">
        <w:t>。上述日本之警備（機側警備）工作，相當於我國航警局之機邊警衛工作，民航法是否可一併委由認證保全業執行？亦可考量之。</w:t>
      </w:r>
    </w:p>
    <w:p w14:paraId="55FA3FB9" w14:textId="77777777" w:rsidR="00203F72" w:rsidRPr="00961D95" w:rsidRDefault="00367D0C" w:rsidP="00961D95">
      <w:r w:rsidRPr="00961D95">
        <w:rPr>
          <w:rFonts w:hint="eastAsia"/>
        </w:rPr>
        <w:t xml:space="preserve">　　</w:t>
      </w:r>
      <w:r w:rsidRPr="00961D95">
        <w:rPr>
          <w:rFonts w:hint="eastAsia"/>
        </w:rPr>
        <w:t>13</w:t>
      </w:r>
      <w:r w:rsidRPr="00961D95">
        <w:rPr>
          <w:rFonts w:hint="eastAsia"/>
        </w:rPr>
        <w:t>、</w:t>
      </w:r>
      <w:r w:rsidR="00203F72" w:rsidRPr="00961D95">
        <w:t>有關於檢查權與進入權之規範部分，民航法有明定航警局之查核、檢查及測試權，但似亦宜規範進入權。航空保安檢查公司</w:t>
      </w:r>
      <w:r w:rsidR="00203F72" w:rsidRPr="00961D95">
        <w:t>(</w:t>
      </w:r>
      <w:r w:rsidR="00203F72" w:rsidRPr="00961D95">
        <w:t>保全業者</w:t>
      </w:r>
      <w:r w:rsidR="00203F72" w:rsidRPr="00961D95">
        <w:t>)</w:t>
      </w:r>
      <w:r w:rsidR="00203F72" w:rsidRPr="00961D95">
        <w:t>，可否拒絕航警局檢查人員之進入？被拒絕之後，航警局檢查人員可否使用強制力，強行進入航空保安檢查公司</w:t>
      </w:r>
      <w:r w:rsidR="00203F72" w:rsidRPr="00961D95">
        <w:t>(</w:t>
      </w:r>
      <w:r w:rsidR="00203F72" w:rsidRPr="00961D95">
        <w:t>保全業者</w:t>
      </w:r>
      <w:r w:rsidR="00203F72" w:rsidRPr="00961D95">
        <w:t xml:space="preserve">) </w:t>
      </w:r>
      <w:r w:rsidR="00203F72" w:rsidRPr="00961D95">
        <w:t>之辦公處所，進行查核、檢查及測試？答案恐是否定的。假若航警局檢查人員強行進入航空保安檢查公司</w:t>
      </w:r>
      <w:r w:rsidR="00203F72" w:rsidRPr="00961D95">
        <w:t>(</w:t>
      </w:r>
      <w:r w:rsidR="00203F72" w:rsidRPr="00961D95">
        <w:t>保全業者</w:t>
      </w:r>
      <w:r w:rsidR="00203F72" w:rsidRPr="00961D95">
        <w:t>)</w:t>
      </w:r>
      <w:r w:rsidR="00203F72" w:rsidRPr="00961D95">
        <w:t>之辦公處所，恐已違憲。此即為檢查權與進入權是否相同之問題？作者認為，檢查權不等同於進入權。我國保全業法</w:t>
      </w:r>
      <w:hyperlink r:id="rId1581" w:anchor="a13" w:history="1">
        <w:r w:rsidR="00203F72" w:rsidRPr="007C6CF7">
          <w:rPr>
            <w:rStyle w:val="a5"/>
            <w:rFonts w:ascii="Times New Roman" w:eastAsia="新細明體" w:hAnsi="Times New Roman"/>
          </w:rPr>
          <w:t>第</w:t>
        </w:r>
        <w:r w:rsidR="00203F72" w:rsidRPr="007C6CF7">
          <w:rPr>
            <w:rStyle w:val="a5"/>
            <w:rFonts w:ascii="Times New Roman" w:eastAsia="新細明體" w:hAnsi="Times New Roman"/>
          </w:rPr>
          <w:t>13</w:t>
        </w:r>
        <w:r w:rsidR="00203F72" w:rsidRPr="007C6CF7">
          <w:rPr>
            <w:rStyle w:val="a5"/>
            <w:rFonts w:ascii="Times New Roman" w:eastAsia="新細明體" w:hAnsi="Times New Roman"/>
          </w:rPr>
          <w:t>條</w:t>
        </w:r>
      </w:hyperlink>
      <w:r w:rsidR="00203F72" w:rsidRPr="00961D95">
        <w:t>，亦僅有檢查權，但缺乏進入場所權。是以，建議仿照日本警備業法第</w:t>
      </w:r>
      <w:r w:rsidR="00203F72" w:rsidRPr="00961D95">
        <w:t>47</w:t>
      </w:r>
      <w:r w:rsidR="00203F72" w:rsidRPr="00961D95">
        <w:t>條之規定</w:t>
      </w:r>
      <w:r w:rsidR="00203F72" w:rsidRPr="00961D95">
        <w:footnoteReference w:id="200"/>
      </w:r>
      <w:r w:rsidR="00203F72" w:rsidRPr="00961D95">
        <w:t>，明文訂定主管機關之進入權與檢查權，將兩者合一，此即為進入場所檢查權力。</w:t>
      </w:r>
    </w:p>
    <w:p w14:paraId="7C6B8F25" w14:textId="77777777" w:rsidR="00203F72" w:rsidRPr="00961D95" w:rsidRDefault="00367D0C" w:rsidP="00961D95">
      <w:r w:rsidRPr="00961D95">
        <w:rPr>
          <w:rFonts w:hint="eastAsia"/>
        </w:rPr>
        <w:t xml:space="preserve">　　</w:t>
      </w:r>
      <w:r w:rsidRPr="00961D95">
        <w:rPr>
          <w:rFonts w:hint="eastAsia"/>
        </w:rPr>
        <w:t>14</w:t>
      </w:r>
      <w:r w:rsidRPr="00961D95">
        <w:rPr>
          <w:rFonts w:hint="eastAsia"/>
        </w:rPr>
        <w:t>、</w:t>
      </w:r>
      <w:r w:rsidR="00203F72" w:rsidRPr="00961D95">
        <w:t>建議仿照日本警備業法第</w:t>
      </w:r>
      <w:r w:rsidR="00203F72" w:rsidRPr="00961D95">
        <w:t>48</w:t>
      </w:r>
      <w:r w:rsidR="00203F72" w:rsidRPr="00961D95">
        <w:t>條之規定</w:t>
      </w:r>
      <w:r w:rsidR="00203F72" w:rsidRPr="00961D95">
        <w:footnoteReference w:id="201"/>
      </w:r>
      <w:r w:rsidR="00203F72" w:rsidRPr="00961D95">
        <w:t>，明文訂定主管機關對於航空保安檢查公司</w:t>
      </w:r>
      <w:r w:rsidR="00203F72" w:rsidRPr="00961D95">
        <w:t>(</w:t>
      </w:r>
      <w:r w:rsidR="00203F72" w:rsidRPr="00961D95">
        <w:t>保全業者</w:t>
      </w:r>
      <w:r w:rsidR="00203F72" w:rsidRPr="00961D95">
        <w:t>)</w:t>
      </w:r>
      <w:r w:rsidR="00203F72" w:rsidRPr="00961D95">
        <w:t>，如其恐有違犯相關規定之虞時，主管機關對其擁有適切之指示權力。</w:t>
      </w:r>
    </w:p>
    <w:p w14:paraId="455F70B5" w14:textId="77777777" w:rsidR="00203F72" w:rsidRPr="00961D95" w:rsidRDefault="00367D0C" w:rsidP="00961D95">
      <w:r w:rsidRPr="00961D95">
        <w:rPr>
          <w:rFonts w:hint="eastAsia"/>
        </w:rPr>
        <w:t xml:space="preserve">　　</w:t>
      </w:r>
      <w:r w:rsidRPr="00961D95">
        <w:rPr>
          <w:rFonts w:hint="eastAsia"/>
        </w:rPr>
        <w:t>15</w:t>
      </w:r>
      <w:r w:rsidRPr="00961D95">
        <w:rPr>
          <w:rFonts w:hint="eastAsia"/>
        </w:rPr>
        <w:t>、</w:t>
      </w:r>
      <w:r w:rsidR="00203F72" w:rsidRPr="00961D95">
        <w:t>日本「警備業法」制裁體制之規定，於該法第</w:t>
      </w:r>
      <w:r w:rsidR="00203F72" w:rsidRPr="00961D95">
        <w:t>56</w:t>
      </w:r>
      <w:r w:rsidR="00203F72" w:rsidRPr="00961D95">
        <w:t>條</w:t>
      </w:r>
      <w:r w:rsidR="00203F72" w:rsidRPr="00961D95">
        <w:footnoteReference w:id="202"/>
      </w:r>
      <w:r w:rsidR="00203F72" w:rsidRPr="00961D95">
        <w:t>、第</w:t>
      </w:r>
      <w:r w:rsidR="00203F72" w:rsidRPr="00961D95">
        <w:t>57</w:t>
      </w:r>
      <w:r w:rsidR="00203F72" w:rsidRPr="00961D95">
        <w:t>條</w:t>
      </w:r>
      <w:r w:rsidR="00203F72" w:rsidRPr="00961D95">
        <w:footnoteReference w:id="203"/>
      </w:r>
      <w:r w:rsidR="00203F72" w:rsidRPr="00961D95">
        <w:t>、第</w:t>
      </w:r>
      <w:r w:rsidR="00203F72" w:rsidRPr="00961D95">
        <w:t>58</w:t>
      </w:r>
      <w:r w:rsidR="00203F72" w:rsidRPr="00961D95">
        <w:t>條</w:t>
      </w:r>
      <w:r w:rsidR="00203F72" w:rsidRPr="00961D95">
        <w:footnoteReference w:id="204"/>
      </w:r>
      <w:r w:rsidR="00203F72" w:rsidRPr="00961D95">
        <w:t>及第</w:t>
      </w:r>
      <w:r w:rsidR="00203F72" w:rsidRPr="00961D95">
        <w:t>59</w:t>
      </w:r>
      <w:r w:rsidR="00203F72" w:rsidRPr="00961D95">
        <w:t>條</w:t>
      </w:r>
      <w:r w:rsidR="00203F72" w:rsidRPr="00961D95">
        <w:footnoteReference w:id="205"/>
      </w:r>
      <w:r w:rsidR="00203F72" w:rsidRPr="00961D95">
        <w:t>之中，均明文訂定對於航空保安檢查公司</w:t>
      </w:r>
      <w:r w:rsidR="00203F72" w:rsidRPr="00961D95">
        <w:t>(</w:t>
      </w:r>
      <w:r w:rsidR="00203F72" w:rsidRPr="00961D95">
        <w:t>保全業者</w:t>
      </w:r>
      <w:r w:rsidR="00203F72" w:rsidRPr="00961D95">
        <w:t>)</w:t>
      </w:r>
      <w:r w:rsidR="00203F72" w:rsidRPr="00961D95">
        <w:t>的嚴重違法行為，處以刑事制裁，而非行政制裁。建議我國民航法，似可仿照日本「警備業法」制裁之體制，即刑事制裁結合行政制裁之模式。不過，日本「警備業法」制裁之模式，係以刑事制裁為主，輔以行政制裁。我國民航法之中，對於保安控管人、航空保安檢查公司</w:t>
      </w:r>
      <w:r w:rsidR="00203F72" w:rsidRPr="00961D95">
        <w:t>(</w:t>
      </w:r>
      <w:r w:rsidR="00203F72" w:rsidRPr="00961D95">
        <w:t>保全業者</w:t>
      </w:r>
      <w:r w:rsidR="00203F72" w:rsidRPr="00961D95">
        <w:t>)</w:t>
      </w:r>
      <w:r w:rsidR="00203F72" w:rsidRPr="00961D95">
        <w:t>及相關民間業者的處罰，均採行政制裁。行政制裁缺失，對於某類之嚴重違法行為，有可能缺乏實效。假若我國未仿照日本「警備業法」制裁之體制，即刑事制裁結合行政制裁之模式。個人建議，宜大幅度地提升行政制裁之金額數量。</w:t>
      </w:r>
    </w:p>
    <w:p w14:paraId="7973A9BD" w14:textId="77777777" w:rsidR="00203F72" w:rsidRPr="00961D95" w:rsidRDefault="00367D0C" w:rsidP="00961D95">
      <w:r w:rsidRPr="00961D95">
        <w:rPr>
          <w:rFonts w:hint="eastAsia"/>
        </w:rPr>
        <w:t xml:space="preserve">　　</w:t>
      </w:r>
      <w:r w:rsidRPr="00961D95">
        <w:rPr>
          <w:rFonts w:hint="eastAsia"/>
        </w:rPr>
        <w:t>16</w:t>
      </w:r>
      <w:r w:rsidRPr="00961D95">
        <w:rPr>
          <w:rFonts w:hint="eastAsia"/>
        </w:rPr>
        <w:t>、</w:t>
      </w:r>
      <w:r w:rsidR="00203F72" w:rsidRPr="00961D95">
        <w:t>為了有效地控管航空保安檢查公司</w:t>
      </w:r>
      <w:r w:rsidR="00203F72" w:rsidRPr="00961D95">
        <w:t>(</w:t>
      </w:r>
      <w:r w:rsidR="00203F72" w:rsidRPr="00961D95">
        <w:t>認證保全業者</w:t>
      </w:r>
      <w:r w:rsidR="00203F72" w:rsidRPr="00961D95">
        <w:t>)</w:t>
      </w:r>
      <w:r w:rsidR="00203F72" w:rsidRPr="00961D95">
        <w:footnoteReference w:id="206"/>
      </w:r>
      <w:r w:rsidR="00203F72" w:rsidRPr="00961D95">
        <w:t>，建議民航法賦予主管機關若干相對應之權力，諸如：要求被調查者按照規定的格式或內容，製作文件或檔案，或者提出報告；要求被調查者出席作證，或提供賬簿、文件和檔案；主管機擁有質問權等等。</w:t>
      </w:r>
    </w:p>
    <w:p w14:paraId="6543BDA1" w14:textId="77777777" w:rsidR="00953151" w:rsidRPr="00961D95" w:rsidRDefault="00367D0C" w:rsidP="00961D95">
      <w:r w:rsidRPr="00961D95">
        <w:rPr>
          <w:rFonts w:hint="eastAsia"/>
        </w:rPr>
        <w:t xml:space="preserve">　　</w:t>
      </w:r>
      <w:r w:rsidRPr="00961D95">
        <w:rPr>
          <w:rFonts w:hint="eastAsia"/>
        </w:rPr>
        <w:t>17</w:t>
      </w:r>
      <w:r w:rsidRPr="00961D95">
        <w:rPr>
          <w:rFonts w:hint="eastAsia"/>
        </w:rPr>
        <w:t>、</w:t>
      </w:r>
      <w:r w:rsidR="00203F72" w:rsidRPr="00961D95">
        <w:t>為了有效地控管航空保安檢查公司</w:t>
      </w:r>
      <w:r w:rsidR="00203F72" w:rsidRPr="00961D95">
        <w:t>(</w:t>
      </w:r>
      <w:r w:rsidR="00203F72" w:rsidRPr="00961D95">
        <w:t>認證保全業者</w:t>
      </w:r>
      <w:r w:rsidR="00203F72" w:rsidRPr="00961D95">
        <w:t>)</w:t>
      </w:r>
      <w:r w:rsidR="00203F72" w:rsidRPr="00961D95">
        <w:t>所聘用之保全人員，是否具有航空保安之專業能力、知識、能力與資格，建議我國民航法，似可仿照日本「警備業法」第</w:t>
      </w:r>
      <w:r w:rsidR="00203F72" w:rsidRPr="00961D95">
        <w:t>23</w:t>
      </w:r>
      <w:r w:rsidR="00203F72" w:rsidRPr="00961D95">
        <w:t>條之規定</w:t>
      </w:r>
      <w:r w:rsidR="00203F72" w:rsidRPr="00961D95">
        <w:footnoteReference w:id="207"/>
      </w:r>
      <w:r w:rsidR="00203F72" w:rsidRPr="00961D95">
        <w:t>，由主管機關進行學科與術科之檢定；檢定合格者，由主管機關頒發檢定合格證明書為佳。上述之作為，可用以確保航空保安檢查公司</w:t>
      </w:r>
      <w:r w:rsidR="00203F72" w:rsidRPr="00961D95">
        <w:t>(</w:t>
      </w:r>
      <w:r w:rsidR="00203F72" w:rsidRPr="00961D95">
        <w:t>認證保全業者</w:t>
      </w:r>
      <w:r w:rsidR="00203F72" w:rsidRPr="00961D95">
        <w:t>)</w:t>
      </w:r>
      <w:r w:rsidR="00203F72" w:rsidRPr="00961D95">
        <w:t>所聘用之保全人員，係真正地具有備航空保安之專業能力、知識、能力與資格。</w:t>
      </w:r>
    </w:p>
    <w:p w14:paraId="72CEC0FF" w14:textId="77777777" w:rsidR="00953151" w:rsidRPr="00961D95" w:rsidRDefault="00367D0C" w:rsidP="00961D95">
      <w:r w:rsidRPr="00961D95">
        <w:t xml:space="preserve">　　</w:t>
      </w:r>
      <w:r w:rsidR="00203F72" w:rsidRPr="00961D95">
        <w:t>再者，本書擬針對上述基本國策中之兩岸應和平發展，互蒙其利，並建立互信之政治與軍事機制部分，作深入性討論。根據日本平成</w:t>
      </w:r>
      <w:r w:rsidR="00203F72" w:rsidRPr="00961D95">
        <w:t>25</w:t>
      </w:r>
      <w:r w:rsidR="00203F72" w:rsidRPr="00961D95">
        <w:t>年</w:t>
      </w:r>
      <w:r w:rsidR="00203F72" w:rsidRPr="00961D95">
        <w:t>(2013</w:t>
      </w:r>
      <w:r w:rsidR="00203F72" w:rsidRPr="00961D95">
        <w:t>年</w:t>
      </w:r>
      <w:r w:rsidR="00203F72" w:rsidRPr="00961D95">
        <w:t>)</w:t>
      </w:r>
      <w:r w:rsidR="00203F72" w:rsidRPr="00961D95">
        <w:t>防衛省防衛白皮書第</w:t>
      </w:r>
      <w:r w:rsidR="00203F72" w:rsidRPr="00961D95">
        <w:t>1</w:t>
      </w:r>
      <w:r w:rsidR="00203F72" w:rsidRPr="00961D95">
        <w:t>篇第</w:t>
      </w:r>
      <w:r w:rsidR="00203F72" w:rsidRPr="00961D95">
        <w:t>1</w:t>
      </w:r>
      <w:r w:rsidR="00203F72" w:rsidRPr="00961D95">
        <w:t>章第</w:t>
      </w:r>
      <w:r w:rsidR="00203F72" w:rsidRPr="00961D95">
        <w:t>3</w:t>
      </w:r>
      <w:r w:rsidR="00203F72" w:rsidRPr="00961D95">
        <w:t>節有關於中國部分</w:t>
      </w:r>
      <w:r w:rsidR="00203F72" w:rsidRPr="00961D95">
        <w:t>(</w:t>
      </w:r>
      <w:r w:rsidR="00203F72" w:rsidRPr="00961D95">
        <w:t>含台灣</w:t>
      </w:r>
      <w:r w:rsidR="00203F72" w:rsidRPr="00961D95">
        <w:t>)</w:t>
      </w:r>
      <w:r w:rsidR="00203F72" w:rsidRPr="00961D95">
        <w:t>之文獻內容指出，中國大陸對於台灣問題之認知，係認為這是牽涉中國大陸國家主權之「核心問題」，故對於此一課題，中國大陸特別加以重</w:t>
      </w:r>
      <w:r w:rsidR="003E240E">
        <w:t>視</w:t>
      </w:r>
      <w:r w:rsidR="00203F72" w:rsidRPr="00961D95">
        <w:t>之。中國大陸軍事能量之現代化之主要目標之一，即在於阻止台灣之獨立</w:t>
      </w:r>
      <w:r w:rsidR="00203F72" w:rsidRPr="00961D95">
        <w:footnoteReference w:id="208"/>
      </w:r>
      <w:r w:rsidR="00203F72" w:rsidRPr="00961D95">
        <w:t>。</w:t>
      </w:r>
    </w:p>
    <w:p w14:paraId="00CEEBFB" w14:textId="77777777" w:rsidR="00953151" w:rsidRPr="00961D95" w:rsidRDefault="00367D0C" w:rsidP="00961D95">
      <w:r w:rsidRPr="00961D95">
        <w:t xml:space="preserve">　　</w:t>
      </w:r>
      <w:r w:rsidR="00203F72" w:rsidRPr="00961D95">
        <w:t>中國大陸為了達到軍事能量現代化之目標，近年來，留意於美國聯軍與伊拉克之波斯灣戰爭、科索沃戰爭及伊拉克戰爭之特性，針對於上述世界性之軍事發展之趨勢，提出可行之對策；中國大陸發現如欲在局部戰爭中獲取軍事之勝利，在軍事戰略之運用上，須植基於情報戰。是以，中國近年來之軍事發展與變革之方向，遂朝向兩大內容加以積極地發展，首先，係為中國大陸軍事力量之機械化，此部分，強調須將軍事力加以機械化；其次，係為重</w:t>
      </w:r>
      <w:r w:rsidR="003E240E">
        <w:t>視</w:t>
      </w:r>
      <w:r w:rsidR="00203F72" w:rsidRPr="00961D95">
        <w:t>情報戰之機制，強化軍事情報機制之能量</w:t>
      </w:r>
      <w:r w:rsidR="00203F72" w:rsidRPr="00961D95">
        <w:footnoteReference w:id="209"/>
      </w:r>
      <w:r w:rsidR="00203F72" w:rsidRPr="00961D95">
        <w:t>。</w:t>
      </w:r>
    </w:p>
    <w:p w14:paraId="1D3F9AAF" w14:textId="77777777" w:rsidR="00953151" w:rsidRPr="00961D95" w:rsidRDefault="00367D0C" w:rsidP="00961D95">
      <w:r w:rsidRPr="00961D95">
        <w:t xml:space="preserve">　　</w:t>
      </w:r>
      <w:r w:rsidR="00203F72" w:rsidRPr="00961D95">
        <w:t>中國大陸在處理軍事與戰爭之議題時，主張軍事與戰爭涉及「物理之手段」與「非物理之手段」。中國大陸在處理軍事化之政治工作項目方面，不僅包括「物理之手段」，尚外加「非物理之手段」。所謂之「非物理之手段」，此包括三戰，即輿論戰、心理戰及法律戰。是以，中國大陸於討論軍事與戰爭之議題時，包括以下之工作項目：軍事戰爭、政治戰、外交戰、經濟戰、文化戰、輿論戰、心理戰及法律戰，以上廣義之軍事與戰爭工作範圍，相互地密接與呼應</w:t>
      </w:r>
      <w:r w:rsidR="00203F72" w:rsidRPr="00961D95">
        <w:footnoteReference w:id="210"/>
      </w:r>
      <w:r w:rsidR="00203F72" w:rsidRPr="00961D95">
        <w:t>。</w:t>
      </w:r>
    </w:p>
    <w:p w14:paraId="2C1DDC48" w14:textId="77777777" w:rsidR="00953151" w:rsidRPr="00961D95" w:rsidRDefault="00203F72" w:rsidP="00961D95">
      <w:r w:rsidRPr="00961D95">
        <w:t>由於中國大陸與周邊相互接壤之陸地國家，諸如與俄羅斯等國，彼等國家與中國大陸之陸上國境關係，業已達到安定化之情境，在此一背景之下，中國軍事能量現代化之目的，所須最優先面臨之課題，已非處理與解決與中國周邊相互接壤之陸地國家之國境糾紛問題，取而代之者，係為處理台灣之獨立問題，及當台灣宣佈獨立之時，對於支援台獨運動之外國軍隊能進行有效之阻止。簡而言之，中國人民解放軍最主要之建軍目標，即要：</w:t>
      </w:r>
      <w:r w:rsidRPr="00961D95">
        <w:t>1</w:t>
      </w:r>
      <w:r w:rsidRPr="00961D95">
        <w:t>、殲滅台獨；</w:t>
      </w:r>
      <w:r w:rsidRPr="00961D95">
        <w:t>2</w:t>
      </w:r>
      <w:r w:rsidRPr="00961D95">
        <w:t>、阻止外國軍隊支援台獨</w:t>
      </w:r>
      <w:r w:rsidRPr="00961D95">
        <w:footnoteReference w:id="211"/>
      </w:r>
      <w:r w:rsidRPr="00961D95">
        <w:t>。</w:t>
      </w:r>
    </w:p>
    <w:p w14:paraId="109877AF" w14:textId="77777777" w:rsidR="00953151" w:rsidRPr="00961D95" w:rsidRDefault="008768C1" w:rsidP="00961D95">
      <w:r w:rsidRPr="00961D95">
        <w:t xml:space="preserve">　　</w:t>
      </w:r>
      <w:r w:rsidR="00203F72" w:rsidRPr="00961D95">
        <w:t>有關於中國大陸人民解放軍建軍現代化之長期計畫部分，最主要之建軍目標，係為「</w:t>
      </w:r>
      <w:r w:rsidR="00203F72" w:rsidRPr="00961D95">
        <w:t>2020</w:t>
      </w:r>
      <w:r w:rsidR="00203F72" w:rsidRPr="00961D95">
        <w:t>年前實現人民解放軍機械化及情報化</w:t>
      </w:r>
      <w:r w:rsidR="00203F72" w:rsidRPr="00961D95">
        <w:t>(</w:t>
      </w:r>
      <w:r w:rsidR="00203F72" w:rsidRPr="00961D95">
        <w:t>信息化</w:t>
      </w:r>
      <w:r w:rsidR="00203F72" w:rsidRPr="00961D95">
        <w:t>)</w:t>
      </w:r>
      <w:r w:rsidR="00203F72" w:rsidRPr="00961D95">
        <w:t>建設計畫」。根據上述之建軍目標，人民解放軍主張，如欲在局部戰爭中獲勝，非常核心之議題，係為建構良善之情報化</w:t>
      </w:r>
      <w:r w:rsidR="00203F72" w:rsidRPr="00961D95">
        <w:t>(</w:t>
      </w:r>
      <w:r w:rsidR="00203F72" w:rsidRPr="00961D95">
        <w:t>信息化</w:t>
      </w:r>
      <w:r w:rsidR="00203F72" w:rsidRPr="00961D95">
        <w:t>)</w:t>
      </w:r>
      <w:r w:rsidR="00203F72" w:rsidRPr="00961D95">
        <w:t>機制</w:t>
      </w:r>
      <w:r w:rsidR="00203F72" w:rsidRPr="00961D95">
        <w:footnoteReference w:id="212"/>
      </w:r>
      <w:r w:rsidR="00203F72" w:rsidRPr="00961D95">
        <w:t>。</w:t>
      </w:r>
    </w:p>
    <w:p w14:paraId="44343546" w14:textId="77777777" w:rsidR="00203F72" w:rsidRPr="00961D95" w:rsidRDefault="008768C1" w:rsidP="00961D95">
      <w:r w:rsidRPr="00961D95">
        <w:t xml:space="preserve">　　</w:t>
      </w:r>
      <w:r w:rsidR="00203F72" w:rsidRPr="00961D95">
        <w:t>為了達到上述「</w:t>
      </w:r>
      <w:r w:rsidR="00203F72" w:rsidRPr="00961D95">
        <w:t>2020</w:t>
      </w:r>
      <w:r w:rsidR="00203F72" w:rsidRPr="00961D95">
        <w:t>年前實現人民解放軍機械化及情報化</w:t>
      </w:r>
      <w:r w:rsidR="00203F72" w:rsidRPr="00961D95">
        <w:t>(</w:t>
      </w:r>
      <w:r w:rsidR="00203F72" w:rsidRPr="00961D95">
        <w:t>信息化</w:t>
      </w:r>
      <w:r w:rsidR="00203F72" w:rsidRPr="00961D95">
        <w:t>)</w:t>
      </w:r>
      <w:r w:rsidR="00203F72" w:rsidRPr="00961D95">
        <w:t>建設計畫」之建軍目標，在國防預算方面，就</w:t>
      </w:r>
      <w:r w:rsidR="00203F72" w:rsidRPr="00961D95">
        <w:t>2013</w:t>
      </w:r>
      <w:r w:rsidR="00203F72" w:rsidRPr="00961D95">
        <w:t>年而言，中國大陸之國防預算約略為</w:t>
      </w:r>
      <w:r w:rsidR="00203F72" w:rsidRPr="00961D95">
        <w:t>7202</w:t>
      </w:r>
      <w:r w:rsidR="00203F72" w:rsidRPr="00961D95">
        <w:t>億人民幣，約為</w:t>
      </w:r>
      <w:r w:rsidR="00203F72" w:rsidRPr="00961D95">
        <w:t>3</w:t>
      </w:r>
      <w:r w:rsidR="00203F72" w:rsidRPr="00961D95">
        <w:t>兆</w:t>
      </w:r>
      <w:r w:rsidR="00203F72" w:rsidRPr="00961D95">
        <w:t>5484</w:t>
      </w:r>
      <w:r w:rsidR="00203F72" w:rsidRPr="00961D95">
        <w:t>億新台幣。就台灣而論，我國之國防預算約略為</w:t>
      </w:r>
      <w:r w:rsidR="00203F72" w:rsidRPr="00961D95">
        <w:t>3145</w:t>
      </w:r>
      <w:r w:rsidR="00203F72" w:rsidRPr="00961D95">
        <w:t>億新台幣</w:t>
      </w:r>
      <w:r w:rsidR="00203F72" w:rsidRPr="00961D95">
        <w:footnoteReference w:id="213"/>
      </w:r>
      <w:r w:rsidR="00203F72" w:rsidRPr="00961D95">
        <w:t>，兩者相差約為</w:t>
      </w:r>
      <w:r w:rsidR="00203F72" w:rsidRPr="00961D95">
        <w:t>11</w:t>
      </w:r>
      <w:r w:rsidR="00203F72" w:rsidRPr="00961D95">
        <w:t>倍。中國大陸所公布之國防預算，持續地快速增長。過去</w:t>
      </w:r>
      <w:r w:rsidR="00203F72" w:rsidRPr="00961D95">
        <w:t>10</w:t>
      </w:r>
      <w:r w:rsidR="00203F72" w:rsidRPr="00961D95">
        <w:t>年以來，國防預算業已成長</w:t>
      </w:r>
      <w:r w:rsidR="00203F72" w:rsidRPr="00961D95">
        <w:t>4</w:t>
      </w:r>
      <w:r w:rsidR="00203F72" w:rsidRPr="00961D95">
        <w:t>倍；過去</w:t>
      </w:r>
      <w:r w:rsidR="00203F72" w:rsidRPr="00961D95">
        <w:t>25</w:t>
      </w:r>
      <w:r w:rsidR="00203F72" w:rsidRPr="00961D95">
        <w:t>年以來，國防預算成長之規模，業已高達</w:t>
      </w:r>
      <w:r w:rsidR="00203F72" w:rsidRPr="00961D95">
        <w:t>33</w:t>
      </w:r>
      <w:r w:rsidR="00203F72" w:rsidRPr="00961D95">
        <w:t>倍。中國大陸所公布之公開化國防預算，與實際支出之國防預算，兩者仍存有一定之差距性。再者，公開化之國防預算中，並不包括：裝備購入費用及研究開發費用。是以，就</w:t>
      </w:r>
      <w:r w:rsidR="00203F72" w:rsidRPr="00961D95">
        <w:t>2013</w:t>
      </w:r>
      <w:r w:rsidR="00203F72" w:rsidRPr="00961D95">
        <w:t>年而言，中國大陸之國防預算，如將裝備購入費用及研究開發費用一併加以計算，實際上，應超過</w:t>
      </w:r>
      <w:r w:rsidR="00203F72" w:rsidRPr="00961D95">
        <w:t>7202</w:t>
      </w:r>
      <w:r w:rsidR="00203F72" w:rsidRPr="00961D95">
        <w:t>億人民幣</w:t>
      </w:r>
      <w:r w:rsidR="00203F72" w:rsidRPr="00961D95">
        <w:t>(</w:t>
      </w:r>
      <w:r w:rsidR="00203F72" w:rsidRPr="00961D95">
        <w:t>約為</w:t>
      </w:r>
      <w:r w:rsidR="00203F72" w:rsidRPr="00961D95">
        <w:t>3</w:t>
      </w:r>
      <w:r w:rsidR="00203F72" w:rsidRPr="00961D95">
        <w:t>兆</w:t>
      </w:r>
      <w:r w:rsidR="00203F72" w:rsidRPr="00961D95">
        <w:t>5484</w:t>
      </w:r>
      <w:r w:rsidR="00203F72" w:rsidRPr="00961D95">
        <w:t>億新台幣</w:t>
      </w:r>
      <w:r w:rsidR="00203F72" w:rsidRPr="00961D95">
        <w:t>)</w:t>
      </w:r>
      <w:r w:rsidR="00203F72" w:rsidRPr="00961D95">
        <w:t>。</w:t>
      </w:r>
    </w:p>
    <w:p w14:paraId="21ECA592" w14:textId="77777777" w:rsidR="00203F72" w:rsidRPr="00A53581" w:rsidRDefault="00203F72" w:rsidP="00D87D91"/>
    <w:p w14:paraId="0E9899D3" w14:textId="5165C50A"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86</w:t>
      </w:r>
      <w:r w:rsidR="00076467">
        <w:rPr>
          <w:noProof/>
        </w:rPr>
        <w:fldChar w:fldCharType="end"/>
      </w:r>
      <w:r w:rsidR="00203F72" w:rsidRPr="00A53581">
        <w:rPr>
          <w:rFonts w:hint="eastAsia"/>
        </w:rPr>
        <w:t xml:space="preserve"> </w:t>
      </w:r>
      <w:r w:rsidR="00203F72" w:rsidRPr="00A53581">
        <w:t>2013</w:t>
      </w:r>
      <w:r w:rsidR="00203F72" w:rsidRPr="00A53581">
        <w:t>年海峽兩岸軍力之比例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440"/>
        <w:gridCol w:w="1950"/>
        <w:gridCol w:w="1620"/>
        <w:gridCol w:w="1810"/>
      </w:tblGrid>
      <w:tr w:rsidR="00203F72" w:rsidRPr="00A53581" w14:paraId="4A9553DB" w14:textId="77777777" w:rsidTr="007C6CF7">
        <w:tc>
          <w:tcPr>
            <w:tcW w:w="2808" w:type="dxa"/>
            <w:gridSpan w:val="2"/>
            <w:shd w:val="clear" w:color="auto" w:fill="FAF0FA"/>
          </w:tcPr>
          <w:p w14:paraId="0F51E795" w14:textId="77777777" w:rsidR="00203F72" w:rsidRPr="00A53581" w:rsidRDefault="00203F72" w:rsidP="00D87D91"/>
        </w:tc>
        <w:tc>
          <w:tcPr>
            <w:tcW w:w="1950" w:type="dxa"/>
            <w:shd w:val="clear" w:color="auto" w:fill="FAF0FA"/>
          </w:tcPr>
          <w:p w14:paraId="542DEDE2" w14:textId="77777777" w:rsidR="00203F72" w:rsidRPr="00A53581" w:rsidRDefault="00203F72" w:rsidP="00D87D91">
            <w:r w:rsidRPr="00A53581">
              <w:t>中國大陸</w:t>
            </w:r>
          </w:p>
        </w:tc>
        <w:tc>
          <w:tcPr>
            <w:tcW w:w="1620" w:type="dxa"/>
            <w:shd w:val="clear" w:color="auto" w:fill="FAF0FA"/>
          </w:tcPr>
          <w:p w14:paraId="010BDE22" w14:textId="77777777" w:rsidR="00203F72" w:rsidRPr="00A53581" w:rsidRDefault="00203F72" w:rsidP="00D87D91">
            <w:r w:rsidRPr="00A53581">
              <w:t>台灣</w:t>
            </w:r>
          </w:p>
        </w:tc>
        <w:tc>
          <w:tcPr>
            <w:tcW w:w="1810" w:type="dxa"/>
            <w:shd w:val="clear" w:color="auto" w:fill="FAF0FA"/>
          </w:tcPr>
          <w:p w14:paraId="3F556876" w14:textId="77777777" w:rsidR="00203F72" w:rsidRPr="00A53581" w:rsidRDefault="00203F72" w:rsidP="00D87D91">
            <w:r w:rsidRPr="00A53581">
              <w:t>倍數比</w:t>
            </w:r>
          </w:p>
        </w:tc>
      </w:tr>
      <w:tr w:rsidR="00203F72" w:rsidRPr="00A53581" w14:paraId="37CD29F8" w14:textId="77777777" w:rsidTr="007C6CF7">
        <w:tc>
          <w:tcPr>
            <w:tcW w:w="2808" w:type="dxa"/>
            <w:gridSpan w:val="2"/>
            <w:shd w:val="clear" w:color="auto" w:fill="auto"/>
          </w:tcPr>
          <w:p w14:paraId="5DBEC775" w14:textId="77777777" w:rsidR="00203F72" w:rsidRPr="007C6CF7" w:rsidRDefault="00203F72" w:rsidP="007C6CF7">
            <w:r w:rsidRPr="007C6CF7">
              <w:t>總兵力</w:t>
            </w:r>
          </w:p>
        </w:tc>
        <w:tc>
          <w:tcPr>
            <w:tcW w:w="1950" w:type="dxa"/>
            <w:shd w:val="clear" w:color="auto" w:fill="auto"/>
          </w:tcPr>
          <w:p w14:paraId="7AF6B79B" w14:textId="77777777" w:rsidR="00203F72" w:rsidRPr="007C6CF7" w:rsidRDefault="00203F72" w:rsidP="007C6CF7">
            <w:r w:rsidRPr="007C6CF7">
              <w:t>約</w:t>
            </w:r>
            <w:r w:rsidRPr="007C6CF7">
              <w:t>230</w:t>
            </w:r>
            <w:r w:rsidRPr="007C6CF7">
              <w:t>萬人</w:t>
            </w:r>
          </w:p>
        </w:tc>
        <w:tc>
          <w:tcPr>
            <w:tcW w:w="1620" w:type="dxa"/>
            <w:shd w:val="clear" w:color="auto" w:fill="auto"/>
          </w:tcPr>
          <w:p w14:paraId="65EEA8EC" w14:textId="77777777" w:rsidR="00203F72" w:rsidRPr="007C6CF7" w:rsidRDefault="00203F72" w:rsidP="007C6CF7">
            <w:r w:rsidRPr="007C6CF7">
              <w:t>約</w:t>
            </w:r>
            <w:r w:rsidRPr="007C6CF7">
              <w:t>29</w:t>
            </w:r>
            <w:r w:rsidRPr="007C6CF7">
              <w:t>萬人</w:t>
            </w:r>
          </w:p>
        </w:tc>
        <w:tc>
          <w:tcPr>
            <w:tcW w:w="1810" w:type="dxa"/>
            <w:shd w:val="clear" w:color="auto" w:fill="auto"/>
          </w:tcPr>
          <w:p w14:paraId="0FD34A11" w14:textId="77777777" w:rsidR="00203F72" w:rsidRPr="007C6CF7" w:rsidRDefault="00203F72" w:rsidP="007C6CF7">
            <w:r w:rsidRPr="007C6CF7">
              <w:t>7.9</w:t>
            </w:r>
            <w:r w:rsidRPr="007C6CF7">
              <w:t>倍</w:t>
            </w:r>
            <w:r w:rsidRPr="007C6CF7">
              <w:t xml:space="preserve"> </w:t>
            </w:r>
          </w:p>
        </w:tc>
      </w:tr>
      <w:tr w:rsidR="00203F72" w:rsidRPr="00A53581" w14:paraId="37F552B3" w14:textId="77777777" w:rsidTr="007C6CF7">
        <w:tc>
          <w:tcPr>
            <w:tcW w:w="1368" w:type="dxa"/>
            <w:vMerge w:val="restart"/>
            <w:shd w:val="clear" w:color="auto" w:fill="auto"/>
          </w:tcPr>
          <w:p w14:paraId="54CFE6FC" w14:textId="77777777" w:rsidR="00203F72" w:rsidRPr="007C6CF7" w:rsidRDefault="00203F72" w:rsidP="007C6CF7">
            <w:r w:rsidRPr="007C6CF7">
              <w:t>陸上戰力</w:t>
            </w:r>
          </w:p>
        </w:tc>
        <w:tc>
          <w:tcPr>
            <w:tcW w:w="1440" w:type="dxa"/>
            <w:shd w:val="clear" w:color="auto" w:fill="auto"/>
          </w:tcPr>
          <w:p w14:paraId="46DD2DDC" w14:textId="77777777" w:rsidR="00203F72" w:rsidRPr="007C6CF7" w:rsidRDefault="00203F72" w:rsidP="007C6CF7">
            <w:r w:rsidRPr="007C6CF7">
              <w:t>陸上兵力</w:t>
            </w:r>
          </w:p>
        </w:tc>
        <w:tc>
          <w:tcPr>
            <w:tcW w:w="1950" w:type="dxa"/>
            <w:shd w:val="clear" w:color="auto" w:fill="auto"/>
          </w:tcPr>
          <w:p w14:paraId="2E35225F" w14:textId="77777777" w:rsidR="00203F72" w:rsidRPr="007C6CF7" w:rsidRDefault="00203F72" w:rsidP="007C6CF7">
            <w:r w:rsidRPr="007C6CF7">
              <w:t>約</w:t>
            </w:r>
            <w:r w:rsidRPr="007C6CF7">
              <w:t>160</w:t>
            </w:r>
            <w:r w:rsidRPr="007C6CF7">
              <w:t>萬人</w:t>
            </w:r>
          </w:p>
        </w:tc>
        <w:tc>
          <w:tcPr>
            <w:tcW w:w="1620" w:type="dxa"/>
            <w:shd w:val="clear" w:color="auto" w:fill="auto"/>
          </w:tcPr>
          <w:p w14:paraId="47745AFF" w14:textId="77777777" w:rsidR="00203F72" w:rsidRPr="007C6CF7" w:rsidRDefault="00203F72" w:rsidP="007C6CF7">
            <w:r w:rsidRPr="007C6CF7">
              <w:t>約</w:t>
            </w:r>
            <w:r w:rsidRPr="007C6CF7">
              <w:t>20</w:t>
            </w:r>
            <w:r w:rsidRPr="007C6CF7">
              <w:t>萬人</w:t>
            </w:r>
          </w:p>
        </w:tc>
        <w:tc>
          <w:tcPr>
            <w:tcW w:w="1810" w:type="dxa"/>
            <w:shd w:val="clear" w:color="auto" w:fill="auto"/>
          </w:tcPr>
          <w:p w14:paraId="55D3C339" w14:textId="77777777" w:rsidR="00203F72" w:rsidRPr="007C6CF7" w:rsidRDefault="00203F72" w:rsidP="007C6CF7">
            <w:r w:rsidRPr="007C6CF7">
              <w:t>8</w:t>
            </w:r>
            <w:r w:rsidRPr="007C6CF7">
              <w:t>倍</w:t>
            </w:r>
          </w:p>
        </w:tc>
      </w:tr>
      <w:tr w:rsidR="00203F72" w:rsidRPr="00A53581" w14:paraId="72EF88A4" w14:textId="77777777" w:rsidTr="007C6CF7">
        <w:tc>
          <w:tcPr>
            <w:tcW w:w="1368" w:type="dxa"/>
            <w:vMerge/>
            <w:shd w:val="clear" w:color="auto" w:fill="auto"/>
          </w:tcPr>
          <w:p w14:paraId="59727391" w14:textId="77777777" w:rsidR="00203F72" w:rsidRPr="007C6CF7" w:rsidRDefault="00203F72" w:rsidP="007C6CF7"/>
        </w:tc>
        <w:tc>
          <w:tcPr>
            <w:tcW w:w="1440" w:type="dxa"/>
            <w:shd w:val="clear" w:color="auto" w:fill="auto"/>
          </w:tcPr>
          <w:p w14:paraId="16C87A03" w14:textId="77777777" w:rsidR="00203F72" w:rsidRPr="007C6CF7" w:rsidRDefault="00203F72" w:rsidP="007C6CF7">
            <w:r w:rsidRPr="007C6CF7">
              <w:t>戰車</w:t>
            </w:r>
          </w:p>
        </w:tc>
        <w:tc>
          <w:tcPr>
            <w:tcW w:w="1950" w:type="dxa"/>
            <w:shd w:val="clear" w:color="auto" w:fill="auto"/>
          </w:tcPr>
          <w:p w14:paraId="23FD93FE" w14:textId="77777777" w:rsidR="00203F72" w:rsidRPr="007C6CF7" w:rsidRDefault="00203F72" w:rsidP="007C6CF7">
            <w:r w:rsidRPr="007C6CF7">
              <w:t>98A/99</w:t>
            </w:r>
            <w:r w:rsidRPr="007C6CF7">
              <w:t>型，</w:t>
            </w:r>
            <w:r w:rsidRPr="007C6CF7">
              <w:t>96/A</w:t>
            </w:r>
            <w:r w:rsidRPr="007C6CF7">
              <w:t>型，</w:t>
            </w:r>
            <w:r w:rsidRPr="007C6CF7">
              <w:t>88A/B</w:t>
            </w:r>
            <w:r w:rsidRPr="007C6CF7">
              <w:t>型，合計約</w:t>
            </w:r>
            <w:r w:rsidRPr="007C6CF7">
              <w:t>8200</w:t>
            </w:r>
            <w:r w:rsidRPr="007C6CF7">
              <w:t>輛</w:t>
            </w:r>
            <w:r w:rsidRPr="007C6CF7">
              <w:t xml:space="preserve"> </w:t>
            </w:r>
          </w:p>
        </w:tc>
        <w:tc>
          <w:tcPr>
            <w:tcW w:w="1620" w:type="dxa"/>
            <w:shd w:val="clear" w:color="auto" w:fill="auto"/>
          </w:tcPr>
          <w:p w14:paraId="52233503" w14:textId="77777777" w:rsidR="00203F72" w:rsidRPr="007C6CF7" w:rsidRDefault="00203F72" w:rsidP="007C6CF7">
            <w:r w:rsidRPr="007C6CF7">
              <w:t>M-60</w:t>
            </w:r>
            <w:r w:rsidRPr="007C6CF7">
              <w:t>型，</w:t>
            </w:r>
            <w:r w:rsidRPr="007C6CF7">
              <w:t>M-48A/H</w:t>
            </w:r>
            <w:r w:rsidRPr="007C6CF7">
              <w:t>型，合計約</w:t>
            </w:r>
            <w:r w:rsidRPr="007C6CF7">
              <w:t>1420</w:t>
            </w:r>
            <w:r w:rsidRPr="007C6CF7">
              <w:t>輛</w:t>
            </w:r>
            <w:r w:rsidRPr="007C6CF7">
              <w:t xml:space="preserve"> </w:t>
            </w:r>
          </w:p>
        </w:tc>
        <w:tc>
          <w:tcPr>
            <w:tcW w:w="1810" w:type="dxa"/>
            <w:shd w:val="clear" w:color="auto" w:fill="auto"/>
          </w:tcPr>
          <w:p w14:paraId="2BB5A7B5" w14:textId="77777777" w:rsidR="00203F72" w:rsidRPr="007C6CF7" w:rsidRDefault="00203F72" w:rsidP="007C6CF7">
            <w:r w:rsidRPr="007C6CF7">
              <w:t>5.8</w:t>
            </w:r>
            <w:r w:rsidRPr="007C6CF7">
              <w:t>倍</w:t>
            </w:r>
          </w:p>
        </w:tc>
      </w:tr>
      <w:tr w:rsidR="00203F72" w:rsidRPr="00A53581" w14:paraId="6F5278D8" w14:textId="77777777" w:rsidTr="007C6CF7">
        <w:tc>
          <w:tcPr>
            <w:tcW w:w="1368" w:type="dxa"/>
            <w:vMerge w:val="restart"/>
            <w:shd w:val="clear" w:color="auto" w:fill="auto"/>
          </w:tcPr>
          <w:p w14:paraId="6A59FD20" w14:textId="77777777" w:rsidR="00203F72" w:rsidRPr="007C6CF7" w:rsidRDefault="00203F72" w:rsidP="007C6CF7">
            <w:r w:rsidRPr="007C6CF7">
              <w:t>海上戰力</w:t>
            </w:r>
          </w:p>
        </w:tc>
        <w:tc>
          <w:tcPr>
            <w:tcW w:w="1440" w:type="dxa"/>
            <w:shd w:val="clear" w:color="auto" w:fill="auto"/>
          </w:tcPr>
          <w:p w14:paraId="1950B714" w14:textId="77777777" w:rsidR="00203F72" w:rsidRPr="007C6CF7" w:rsidRDefault="00203F72" w:rsidP="007C6CF7">
            <w:r w:rsidRPr="007C6CF7">
              <w:t>艦艇</w:t>
            </w:r>
          </w:p>
        </w:tc>
        <w:tc>
          <w:tcPr>
            <w:tcW w:w="1950" w:type="dxa"/>
            <w:shd w:val="clear" w:color="auto" w:fill="auto"/>
          </w:tcPr>
          <w:p w14:paraId="488C36CF" w14:textId="77777777" w:rsidR="00203F72" w:rsidRPr="007C6CF7" w:rsidRDefault="00203F72" w:rsidP="007C6CF7">
            <w:r w:rsidRPr="007C6CF7">
              <w:t>146.9</w:t>
            </w:r>
            <w:r w:rsidRPr="007C6CF7">
              <w:t>萬噸級約</w:t>
            </w:r>
            <w:r w:rsidRPr="007C6CF7">
              <w:t>970</w:t>
            </w:r>
            <w:r w:rsidRPr="007C6CF7">
              <w:t>艘</w:t>
            </w:r>
          </w:p>
        </w:tc>
        <w:tc>
          <w:tcPr>
            <w:tcW w:w="1620" w:type="dxa"/>
            <w:shd w:val="clear" w:color="auto" w:fill="auto"/>
          </w:tcPr>
          <w:p w14:paraId="461F740C" w14:textId="77777777" w:rsidR="00203F72" w:rsidRPr="007C6CF7" w:rsidRDefault="00203F72" w:rsidP="007C6CF7">
            <w:r w:rsidRPr="007C6CF7">
              <w:t>21.7</w:t>
            </w:r>
            <w:r w:rsidRPr="007C6CF7">
              <w:t>萬噸級約</w:t>
            </w:r>
            <w:r w:rsidRPr="007C6CF7">
              <w:t>360</w:t>
            </w:r>
            <w:r w:rsidRPr="007C6CF7">
              <w:t>艘</w:t>
            </w:r>
          </w:p>
        </w:tc>
        <w:tc>
          <w:tcPr>
            <w:tcW w:w="1810" w:type="dxa"/>
            <w:shd w:val="clear" w:color="auto" w:fill="auto"/>
          </w:tcPr>
          <w:p w14:paraId="3FB3C9D3" w14:textId="77777777" w:rsidR="00203F72" w:rsidRPr="007C6CF7" w:rsidRDefault="00203F72" w:rsidP="007C6CF7">
            <w:r w:rsidRPr="007C6CF7">
              <w:t>2.7</w:t>
            </w:r>
            <w:r w:rsidRPr="007C6CF7">
              <w:t>倍</w:t>
            </w:r>
          </w:p>
        </w:tc>
      </w:tr>
      <w:tr w:rsidR="00203F72" w:rsidRPr="00A53581" w14:paraId="5C49FFD8" w14:textId="77777777" w:rsidTr="007C6CF7">
        <w:tc>
          <w:tcPr>
            <w:tcW w:w="1368" w:type="dxa"/>
            <w:vMerge/>
            <w:shd w:val="clear" w:color="auto" w:fill="auto"/>
          </w:tcPr>
          <w:p w14:paraId="49F2E477" w14:textId="77777777" w:rsidR="00203F72" w:rsidRPr="007C6CF7" w:rsidRDefault="00203F72" w:rsidP="007C6CF7"/>
        </w:tc>
        <w:tc>
          <w:tcPr>
            <w:tcW w:w="1440" w:type="dxa"/>
            <w:shd w:val="clear" w:color="auto" w:fill="auto"/>
          </w:tcPr>
          <w:p w14:paraId="06337596" w14:textId="77777777" w:rsidR="00203F72" w:rsidRPr="007C6CF7" w:rsidRDefault="00203F72" w:rsidP="007C6CF7">
            <w:r w:rsidRPr="007C6CF7">
              <w:t>驅逐艦、巡防艦</w:t>
            </w:r>
          </w:p>
        </w:tc>
        <w:tc>
          <w:tcPr>
            <w:tcW w:w="1950" w:type="dxa"/>
            <w:shd w:val="clear" w:color="auto" w:fill="auto"/>
          </w:tcPr>
          <w:p w14:paraId="7F32B27C" w14:textId="77777777" w:rsidR="00203F72" w:rsidRPr="007C6CF7" w:rsidRDefault="00203F72" w:rsidP="007C6CF7">
            <w:r w:rsidRPr="007C6CF7">
              <w:t>約</w:t>
            </w:r>
            <w:r w:rsidRPr="007C6CF7">
              <w:t>80</w:t>
            </w:r>
            <w:r w:rsidRPr="007C6CF7">
              <w:t>艘</w:t>
            </w:r>
          </w:p>
        </w:tc>
        <w:tc>
          <w:tcPr>
            <w:tcW w:w="1620" w:type="dxa"/>
            <w:shd w:val="clear" w:color="auto" w:fill="auto"/>
          </w:tcPr>
          <w:p w14:paraId="56F64BB0" w14:textId="77777777" w:rsidR="00203F72" w:rsidRPr="007C6CF7" w:rsidRDefault="00203F72" w:rsidP="007C6CF7">
            <w:r w:rsidRPr="007C6CF7">
              <w:t>約</w:t>
            </w:r>
            <w:r w:rsidRPr="007C6CF7">
              <w:t>30</w:t>
            </w:r>
            <w:r w:rsidRPr="007C6CF7">
              <w:t>艘</w:t>
            </w:r>
          </w:p>
        </w:tc>
        <w:tc>
          <w:tcPr>
            <w:tcW w:w="1810" w:type="dxa"/>
            <w:shd w:val="clear" w:color="auto" w:fill="auto"/>
          </w:tcPr>
          <w:p w14:paraId="41C27687" w14:textId="77777777" w:rsidR="00203F72" w:rsidRPr="007C6CF7" w:rsidRDefault="00203F72" w:rsidP="007C6CF7">
            <w:r w:rsidRPr="007C6CF7">
              <w:t>2.7</w:t>
            </w:r>
            <w:r w:rsidRPr="007C6CF7">
              <w:t>倍</w:t>
            </w:r>
          </w:p>
        </w:tc>
      </w:tr>
      <w:tr w:rsidR="00203F72" w:rsidRPr="00A53581" w14:paraId="38D33B0A" w14:textId="77777777" w:rsidTr="007C6CF7">
        <w:tc>
          <w:tcPr>
            <w:tcW w:w="1368" w:type="dxa"/>
            <w:vMerge/>
            <w:shd w:val="clear" w:color="auto" w:fill="auto"/>
          </w:tcPr>
          <w:p w14:paraId="1DE8E367" w14:textId="77777777" w:rsidR="00203F72" w:rsidRPr="007C6CF7" w:rsidRDefault="00203F72" w:rsidP="007C6CF7"/>
        </w:tc>
        <w:tc>
          <w:tcPr>
            <w:tcW w:w="1440" w:type="dxa"/>
            <w:shd w:val="clear" w:color="auto" w:fill="auto"/>
          </w:tcPr>
          <w:p w14:paraId="0A68A968" w14:textId="77777777" w:rsidR="00203F72" w:rsidRPr="007C6CF7" w:rsidRDefault="00203F72" w:rsidP="007C6CF7">
            <w:r w:rsidRPr="007C6CF7">
              <w:t>潛水艇</w:t>
            </w:r>
          </w:p>
        </w:tc>
        <w:tc>
          <w:tcPr>
            <w:tcW w:w="1950" w:type="dxa"/>
            <w:shd w:val="clear" w:color="auto" w:fill="auto"/>
          </w:tcPr>
          <w:p w14:paraId="6C37BD17" w14:textId="77777777" w:rsidR="00203F72" w:rsidRPr="007C6CF7" w:rsidRDefault="00203F72" w:rsidP="007C6CF7">
            <w:r w:rsidRPr="007C6CF7">
              <w:t>約</w:t>
            </w:r>
            <w:r w:rsidRPr="007C6CF7">
              <w:t>60</w:t>
            </w:r>
            <w:r w:rsidRPr="007C6CF7">
              <w:t>艘</w:t>
            </w:r>
          </w:p>
        </w:tc>
        <w:tc>
          <w:tcPr>
            <w:tcW w:w="1620" w:type="dxa"/>
            <w:shd w:val="clear" w:color="auto" w:fill="auto"/>
          </w:tcPr>
          <w:p w14:paraId="315E120B" w14:textId="77777777" w:rsidR="00203F72" w:rsidRPr="007C6CF7" w:rsidRDefault="00203F72" w:rsidP="007C6CF7">
            <w:r w:rsidRPr="007C6CF7">
              <w:t>約</w:t>
            </w:r>
            <w:r w:rsidRPr="007C6CF7">
              <w:t>4</w:t>
            </w:r>
            <w:r w:rsidRPr="007C6CF7">
              <w:t>艘</w:t>
            </w:r>
          </w:p>
        </w:tc>
        <w:tc>
          <w:tcPr>
            <w:tcW w:w="1810" w:type="dxa"/>
            <w:shd w:val="clear" w:color="auto" w:fill="auto"/>
          </w:tcPr>
          <w:p w14:paraId="00E6FF0D" w14:textId="77777777" w:rsidR="00203F72" w:rsidRPr="007C6CF7" w:rsidRDefault="00203F72" w:rsidP="007C6CF7">
            <w:r w:rsidRPr="007C6CF7">
              <w:t>15</w:t>
            </w:r>
            <w:r w:rsidRPr="007C6CF7">
              <w:t>倍</w:t>
            </w:r>
          </w:p>
        </w:tc>
      </w:tr>
      <w:tr w:rsidR="00203F72" w:rsidRPr="00A53581" w14:paraId="273C787E" w14:textId="77777777" w:rsidTr="007C6CF7">
        <w:tc>
          <w:tcPr>
            <w:tcW w:w="1368" w:type="dxa"/>
            <w:vMerge/>
            <w:shd w:val="clear" w:color="auto" w:fill="auto"/>
          </w:tcPr>
          <w:p w14:paraId="1A8CB3A5" w14:textId="77777777" w:rsidR="00203F72" w:rsidRPr="007C6CF7" w:rsidRDefault="00203F72" w:rsidP="007C6CF7"/>
        </w:tc>
        <w:tc>
          <w:tcPr>
            <w:tcW w:w="1440" w:type="dxa"/>
            <w:shd w:val="clear" w:color="auto" w:fill="auto"/>
          </w:tcPr>
          <w:p w14:paraId="22D48B0C" w14:textId="77777777" w:rsidR="00203F72" w:rsidRPr="007C6CF7" w:rsidRDefault="00203F72" w:rsidP="007C6CF7">
            <w:r w:rsidRPr="007C6CF7">
              <w:t>海軍陸戰隊兵力</w:t>
            </w:r>
          </w:p>
        </w:tc>
        <w:tc>
          <w:tcPr>
            <w:tcW w:w="1950" w:type="dxa"/>
            <w:shd w:val="clear" w:color="auto" w:fill="auto"/>
          </w:tcPr>
          <w:p w14:paraId="4EE7177C" w14:textId="77777777" w:rsidR="00203F72" w:rsidRPr="007C6CF7" w:rsidRDefault="00203F72" w:rsidP="007C6CF7">
            <w:r w:rsidRPr="007C6CF7">
              <w:t>約</w:t>
            </w:r>
            <w:r w:rsidRPr="007C6CF7">
              <w:t>1</w:t>
            </w:r>
            <w:r w:rsidRPr="007C6CF7">
              <w:t>萬人</w:t>
            </w:r>
          </w:p>
        </w:tc>
        <w:tc>
          <w:tcPr>
            <w:tcW w:w="1620" w:type="dxa"/>
            <w:shd w:val="clear" w:color="auto" w:fill="auto"/>
          </w:tcPr>
          <w:p w14:paraId="127CDEDE" w14:textId="77777777" w:rsidR="00203F72" w:rsidRPr="007C6CF7" w:rsidRDefault="00203F72" w:rsidP="007C6CF7">
            <w:r w:rsidRPr="007C6CF7">
              <w:t>約</w:t>
            </w:r>
            <w:r w:rsidRPr="007C6CF7">
              <w:t>1.5</w:t>
            </w:r>
            <w:r w:rsidRPr="007C6CF7">
              <w:t>萬人</w:t>
            </w:r>
          </w:p>
        </w:tc>
        <w:tc>
          <w:tcPr>
            <w:tcW w:w="1810" w:type="dxa"/>
            <w:shd w:val="clear" w:color="auto" w:fill="auto"/>
          </w:tcPr>
          <w:p w14:paraId="5B7EB6ED" w14:textId="77777777" w:rsidR="00203F72" w:rsidRPr="007C6CF7" w:rsidRDefault="00203F72" w:rsidP="007C6CF7">
            <w:r w:rsidRPr="007C6CF7">
              <w:t>0.67</w:t>
            </w:r>
            <w:r w:rsidRPr="007C6CF7">
              <w:t>倍</w:t>
            </w:r>
          </w:p>
        </w:tc>
      </w:tr>
      <w:tr w:rsidR="00203F72" w:rsidRPr="00A53581" w14:paraId="2B639B94" w14:textId="77777777" w:rsidTr="007C6CF7">
        <w:tc>
          <w:tcPr>
            <w:tcW w:w="1368" w:type="dxa"/>
            <w:vMerge w:val="restart"/>
            <w:shd w:val="clear" w:color="auto" w:fill="auto"/>
          </w:tcPr>
          <w:p w14:paraId="55E73DCF" w14:textId="77777777" w:rsidR="00203F72" w:rsidRPr="007C6CF7" w:rsidRDefault="00203F72" w:rsidP="007C6CF7">
            <w:r w:rsidRPr="007C6CF7">
              <w:t>空中戰力</w:t>
            </w:r>
          </w:p>
        </w:tc>
        <w:tc>
          <w:tcPr>
            <w:tcW w:w="1440" w:type="dxa"/>
            <w:shd w:val="clear" w:color="auto" w:fill="auto"/>
          </w:tcPr>
          <w:p w14:paraId="233B0558" w14:textId="77777777" w:rsidR="00203F72" w:rsidRPr="007C6CF7" w:rsidRDefault="00203F72" w:rsidP="007C6CF7">
            <w:r w:rsidRPr="007C6CF7">
              <w:t>作戰飛機</w:t>
            </w:r>
          </w:p>
        </w:tc>
        <w:tc>
          <w:tcPr>
            <w:tcW w:w="1950" w:type="dxa"/>
            <w:shd w:val="clear" w:color="auto" w:fill="auto"/>
          </w:tcPr>
          <w:p w14:paraId="2A48BDF6" w14:textId="77777777" w:rsidR="00203F72" w:rsidRPr="007C6CF7" w:rsidRDefault="00203F72" w:rsidP="007C6CF7">
            <w:r w:rsidRPr="007C6CF7">
              <w:t>約</w:t>
            </w:r>
            <w:r w:rsidRPr="007C6CF7">
              <w:t>2580</w:t>
            </w:r>
            <w:r w:rsidRPr="007C6CF7">
              <w:t>架</w:t>
            </w:r>
          </w:p>
        </w:tc>
        <w:tc>
          <w:tcPr>
            <w:tcW w:w="1620" w:type="dxa"/>
            <w:shd w:val="clear" w:color="auto" w:fill="auto"/>
          </w:tcPr>
          <w:p w14:paraId="43AC5AA9" w14:textId="77777777" w:rsidR="00203F72" w:rsidRPr="007C6CF7" w:rsidRDefault="00203F72" w:rsidP="007C6CF7">
            <w:r w:rsidRPr="007C6CF7">
              <w:t>約</w:t>
            </w:r>
            <w:r w:rsidRPr="007C6CF7">
              <w:t>510</w:t>
            </w:r>
            <w:r w:rsidRPr="007C6CF7">
              <w:t>架</w:t>
            </w:r>
          </w:p>
        </w:tc>
        <w:tc>
          <w:tcPr>
            <w:tcW w:w="1810" w:type="dxa"/>
            <w:shd w:val="clear" w:color="auto" w:fill="auto"/>
          </w:tcPr>
          <w:p w14:paraId="461EEC7F" w14:textId="77777777" w:rsidR="00203F72" w:rsidRPr="007C6CF7" w:rsidRDefault="00203F72" w:rsidP="007C6CF7">
            <w:r w:rsidRPr="007C6CF7">
              <w:t>5</w:t>
            </w:r>
            <w:r w:rsidRPr="007C6CF7">
              <w:t>倍</w:t>
            </w:r>
          </w:p>
        </w:tc>
      </w:tr>
      <w:tr w:rsidR="00203F72" w:rsidRPr="00A53581" w14:paraId="4BEC6B31" w14:textId="77777777" w:rsidTr="007C6CF7">
        <w:tc>
          <w:tcPr>
            <w:tcW w:w="1368" w:type="dxa"/>
            <w:vMerge/>
            <w:shd w:val="clear" w:color="auto" w:fill="auto"/>
          </w:tcPr>
          <w:p w14:paraId="275455A2" w14:textId="77777777" w:rsidR="00203F72" w:rsidRPr="007C6CF7" w:rsidRDefault="00203F72" w:rsidP="007C6CF7"/>
        </w:tc>
        <w:tc>
          <w:tcPr>
            <w:tcW w:w="1440" w:type="dxa"/>
            <w:shd w:val="clear" w:color="auto" w:fill="auto"/>
          </w:tcPr>
          <w:p w14:paraId="6965EBA9" w14:textId="77777777" w:rsidR="00203F72" w:rsidRPr="007C6CF7" w:rsidRDefault="00203F72" w:rsidP="007C6CF7">
            <w:r w:rsidRPr="007C6CF7">
              <w:t>現代戰鬥機</w:t>
            </w:r>
          </w:p>
        </w:tc>
        <w:tc>
          <w:tcPr>
            <w:tcW w:w="1950" w:type="dxa"/>
            <w:shd w:val="clear" w:color="auto" w:fill="auto"/>
          </w:tcPr>
          <w:p w14:paraId="060E9B00" w14:textId="77777777" w:rsidR="00203F72" w:rsidRPr="007C6CF7" w:rsidRDefault="00203F72" w:rsidP="007C6CF7">
            <w:r w:rsidRPr="007C6CF7">
              <w:t>J-10</w:t>
            </w:r>
            <w:r w:rsidR="00302768" w:rsidRPr="007C6CF7">
              <w:t>＊</w:t>
            </w:r>
            <w:r w:rsidRPr="007C6CF7">
              <w:t>268</w:t>
            </w:r>
            <w:r w:rsidRPr="007C6CF7">
              <w:t>架，</w:t>
            </w:r>
            <w:r w:rsidRPr="007C6CF7">
              <w:t xml:space="preserve"> Su-27/J-11</w:t>
            </w:r>
            <w:r w:rsidR="00302768" w:rsidRPr="007C6CF7">
              <w:t>＊</w:t>
            </w:r>
            <w:r w:rsidRPr="007C6CF7">
              <w:t>308</w:t>
            </w:r>
            <w:r w:rsidRPr="007C6CF7">
              <w:t>架，</w:t>
            </w:r>
            <w:r w:rsidRPr="007C6CF7">
              <w:t>Su-30</w:t>
            </w:r>
            <w:r w:rsidR="00302768" w:rsidRPr="007C6CF7">
              <w:t>＊</w:t>
            </w:r>
            <w:r w:rsidRPr="007C6CF7">
              <w:t>97</w:t>
            </w:r>
            <w:r w:rsidRPr="007C6CF7">
              <w:t>架，以上第</w:t>
            </w:r>
            <w:r w:rsidRPr="007C6CF7">
              <w:t>4</w:t>
            </w:r>
            <w:r w:rsidRPr="007C6CF7">
              <w:t>世代戰鬥機合計為</w:t>
            </w:r>
            <w:r w:rsidRPr="007C6CF7">
              <w:t>673</w:t>
            </w:r>
            <w:r w:rsidRPr="007C6CF7">
              <w:t>架。</w:t>
            </w:r>
          </w:p>
        </w:tc>
        <w:tc>
          <w:tcPr>
            <w:tcW w:w="1620" w:type="dxa"/>
            <w:shd w:val="clear" w:color="auto" w:fill="auto"/>
          </w:tcPr>
          <w:p w14:paraId="795CF1FD" w14:textId="77777777" w:rsidR="00203F72" w:rsidRPr="007C6CF7" w:rsidRDefault="00203F72" w:rsidP="007C6CF7">
            <w:r w:rsidRPr="007C6CF7">
              <w:t>Mirage</w:t>
            </w:r>
            <w:r w:rsidRPr="007C6CF7">
              <w:t>幻象</w:t>
            </w:r>
            <w:r w:rsidRPr="007C6CF7">
              <w:t>2000</w:t>
            </w:r>
            <w:r w:rsidR="00302768" w:rsidRPr="007C6CF7">
              <w:t>＊</w:t>
            </w:r>
            <w:r w:rsidRPr="007C6CF7">
              <w:t>57</w:t>
            </w:r>
            <w:r w:rsidRPr="007C6CF7">
              <w:t>架，</w:t>
            </w:r>
            <w:r w:rsidRPr="007C6CF7">
              <w:t>F-16</w:t>
            </w:r>
            <w:r w:rsidR="00302768" w:rsidRPr="007C6CF7">
              <w:t>＊</w:t>
            </w:r>
            <w:r w:rsidRPr="007C6CF7">
              <w:t>146</w:t>
            </w:r>
            <w:r w:rsidRPr="007C6CF7">
              <w:t>架，經國號</w:t>
            </w:r>
            <w:r w:rsidR="00302768" w:rsidRPr="007C6CF7">
              <w:t>＊</w:t>
            </w:r>
            <w:r w:rsidRPr="007C6CF7">
              <w:t>128</w:t>
            </w:r>
            <w:r w:rsidRPr="007C6CF7">
              <w:t>架，以上第</w:t>
            </w:r>
            <w:r w:rsidRPr="007C6CF7">
              <w:t>4</w:t>
            </w:r>
            <w:r w:rsidRPr="007C6CF7">
              <w:t>世代戰鬥機合計為</w:t>
            </w:r>
            <w:r w:rsidRPr="007C6CF7">
              <w:t>331</w:t>
            </w:r>
            <w:r w:rsidRPr="007C6CF7">
              <w:t>架。</w:t>
            </w:r>
          </w:p>
          <w:p w14:paraId="7DBC7071" w14:textId="77777777" w:rsidR="00203F72" w:rsidRPr="007C6CF7" w:rsidRDefault="00203F72" w:rsidP="007C6CF7"/>
        </w:tc>
        <w:tc>
          <w:tcPr>
            <w:tcW w:w="1810" w:type="dxa"/>
            <w:shd w:val="clear" w:color="auto" w:fill="auto"/>
          </w:tcPr>
          <w:p w14:paraId="413290DE" w14:textId="77777777" w:rsidR="00203F72" w:rsidRPr="007C6CF7" w:rsidRDefault="00203F72" w:rsidP="007C6CF7">
            <w:r w:rsidRPr="007C6CF7">
              <w:t>2</w:t>
            </w:r>
            <w:r w:rsidRPr="007C6CF7">
              <w:t>倍</w:t>
            </w:r>
          </w:p>
        </w:tc>
      </w:tr>
      <w:tr w:rsidR="00203F72" w:rsidRPr="00A53581" w14:paraId="2CC48AD8" w14:textId="77777777" w:rsidTr="007C6CF7">
        <w:tc>
          <w:tcPr>
            <w:tcW w:w="2808" w:type="dxa"/>
            <w:gridSpan w:val="2"/>
            <w:shd w:val="clear" w:color="auto" w:fill="auto"/>
          </w:tcPr>
          <w:p w14:paraId="47D908C6" w14:textId="77777777" w:rsidR="00203F72" w:rsidRPr="007C6CF7" w:rsidRDefault="00203F72" w:rsidP="007C6CF7">
            <w:r w:rsidRPr="007C6CF7">
              <w:t>國防預算</w:t>
            </w:r>
          </w:p>
        </w:tc>
        <w:tc>
          <w:tcPr>
            <w:tcW w:w="1950" w:type="dxa"/>
            <w:shd w:val="clear" w:color="auto" w:fill="auto"/>
          </w:tcPr>
          <w:p w14:paraId="6C3262D4" w14:textId="77777777" w:rsidR="00203F72" w:rsidRPr="007C6CF7" w:rsidRDefault="00203F72" w:rsidP="007C6CF7">
            <w:r w:rsidRPr="007C6CF7">
              <w:t>3</w:t>
            </w:r>
            <w:r w:rsidRPr="007C6CF7">
              <w:t>兆</w:t>
            </w:r>
            <w:r w:rsidRPr="007C6CF7">
              <w:t>5484</w:t>
            </w:r>
            <w:r w:rsidRPr="007C6CF7">
              <w:t>億新台幣</w:t>
            </w:r>
          </w:p>
        </w:tc>
        <w:tc>
          <w:tcPr>
            <w:tcW w:w="1620" w:type="dxa"/>
            <w:shd w:val="clear" w:color="auto" w:fill="auto"/>
          </w:tcPr>
          <w:p w14:paraId="6406431E" w14:textId="77777777" w:rsidR="00203F72" w:rsidRPr="007C6CF7" w:rsidRDefault="00203F72" w:rsidP="007C6CF7">
            <w:r w:rsidRPr="007C6CF7">
              <w:t>3145</w:t>
            </w:r>
            <w:r w:rsidRPr="007C6CF7">
              <w:t>億新台幣</w:t>
            </w:r>
            <w:r w:rsidRPr="007C6CF7">
              <w:footnoteReference w:id="214"/>
            </w:r>
          </w:p>
        </w:tc>
        <w:tc>
          <w:tcPr>
            <w:tcW w:w="1810" w:type="dxa"/>
            <w:shd w:val="clear" w:color="auto" w:fill="auto"/>
          </w:tcPr>
          <w:p w14:paraId="5F49C983" w14:textId="77777777" w:rsidR="00203F72" w:rsidRPr="007C6CF7" w:rsidRDefault="00203F72" w:rsidP="007C6CF7">
            <w:r w:rsidRPr="007C6CF7">
              <w:t>11</w:t>
            </w:r>
            <w:r w:rsidRPr="007C6CF7">
              <w:t>倍</w:t>
            </w:r>
          </w:p>
        </w:tc>
      </w:tr>
      <w:tr w:rsidR="00203F72" w:rsidRPr="00A53581" w14:paraId="68C74875" w14:textId="77777777" w:rsidTr="007C6CF7">
        <w:tc>
          <w:tcPr>
            <w:tcW w:w="1368" w:type="dxa"/>
            <w:shd w:val="clear" w:color="auto" w:fill="auto"/>
          </w:tcPr>
          <w:p w14:paraId="0B0F5BA9" w14:textId="77777777" w:rsidR="00203F72" w:rsidRPr="007C6CF7" w:rsidRDefault="00203F72" w:rsidP="007C6CF7">
            <w:r w:rsidRPr="007C6CF7">
              <w:t>參考</w:t>
            </w:r>
          </w:p>
        </w:tc>
        <w:tc>
          <w:tcPr>
            <w:tcW w:w="1440" w:type="dxa"/>
            <w:shd w:val="clear" w:color="auto" w:fill="auto"/>
          </w:tcPr>
          <w:p w14:paraId="673C180B" w14:textId="77777777" w:rsidR="00203F72" w:rsidRPr="007C6CF7" w:rsidRDefault="00203F72" w:rsidP="007C6CF7">
            <w:r w:rsidRPr="007C6CF7">
              <w:t>兵役役期</w:t>
            </w:r>
          </w:p>
        </w:tc>
        <w:tc>
          <w:tcPr>
            <w:tcW w:w="1950" w:type="dxa"/>
            <w:shd w:val="clear" w:color="auto" w:fill="auto"/>
          </w:tcPr>
          <w:p w14:paraId="077339F0" w14:textId="77777777" w:rsidR="00203F72" w:rsidRPr="007C6CF7" w:rsidRDefault="00203F72" w:rsidP="007C6CF7">
            <w:r w:rsidRPr="007C6CF7">
              <w:t>2</w:t>
            </w:r>
            <w:r w:rsidRPr="007C6CF7">
              <w:t>年</w:t>
            </w:r>
            <w:r w:rsidRPr="007C6CF7">
              <w:t xml:space="preserve"> </w:t>
            </w:r>
          </w:p>
        </w:tc>
        <w:tc>
          <w:tcPr>
            <w:tcW w:w="1620" w:type="dxa"/>
            <w:shd w:val="clear" w:color="auto" w:fill="auto"/>
          </w:tcPr>
          <w:p w14:paraId="6A825ACA" w14:textId="77777777" w:rsidR="00203F72" w:rsidRPr="007C6CF7" w:rsidRDefault="00203F72" w:rsidP="007C6CF7">
            <w:r w:rsidRPr="007C6CF7">
              <w:t>1</w:t>
            </w:r>
            <w:r w:rsidRPr="007C6CF7">
              <w:t>年</w:t>
            </w:r>
          </w:p>
        </w:tc>
        <w:tc>
          <w:tcPr>
            <w:tcW w:w="1810" w:type="dxa"/>
            <w:shd w:val="clear" w:color="auto" w:fill="auto"/>
          </w:tcPr>
          <w:p w14:paraId="25E1F6D6" w14:textId="77777777" w:rsidR="00203F72" w:rsidRPr="007C6CF7" w:rsidRDefault="00203F72" w:rsidP="007C6CF7">
            <w:r w:rsidRPr="007C6CF7">
              <w:t>2</w:t>
            </w:r>
            <w:r w:rsidRPr="007C6CF7">
              <w:t>倍</w:t>
            </w:r>
          </w:p>
        </w:tc>
      </w:tr>
    </w:tbl>
    <w:p w14:paraId="40338CBE" w14:textId="77777777" w:rsidR="00953151" w:rsidRPr="00961D95" w:rsidRDefault="00353CFF" w:rsidP="00961D95">
      <w:r w:rsidRPr="00961D95">
        <w:t>【註】</w:t>
      </w:r>
      <w:r w:rsidR="00203F72" w:rsidRPr="00961D95">
        <w:t>本表引自於日本平成</w:t>
      </w:r>
      <w:r w:rsidR="00203F72" w:rsidRPr="00961D95">
        <w:t>25</w:t>
      </w:r>
      <w:r w:rsidR="00203F72" w:rsidRPr="00961D95">
        <w:t>年</w:t>
      </w:r>
      <w:r w:rsidR="00203F72" w:rsidRPr="00961D95">
        <w:t>(2013</w:t>
      </w:r>
      <w:r w:rsidR="00203F72" w:rsidRPr="00961D95">
        <w:t>年</w:t>
      </w:r>
      <w:r w:rsidR="00203F72" w:rsidRPr="00961D95">
        <w:t>)</w:t>
      </w:r>
      <w:r w:rsidR="00203F72" w:rsidRPr="00961D95">
        <w:t>防衛省防衛白皮書</w:t>
      </w:r>
      <w:r w:rsidR="00203F72" w:rsidRPr="00961D95">
        <w:footnoteReference w:id="215"/>
      </w:r>
      <w:r w:rsidR="00203F72" w:rsidRPr="00961D95">
        <w:t>，並經由作者重新再加以整理兩者軍力之倍數比率。</w:t>
      </w:r>
    </w:p>
    <w:p w14:paraId="14AB1F81" w14:textId="77777777" w:rsidR="00953151" w:rsidRPr="00961D95" w:rsidRDefault="008768C1" w:rsidP="00961D95">
      <w:r w:rsidRPr="00961D95">
        <w:t xml:space="preserve">　　</w:t>
      </w:r>
      <w:r w:rsidR="00203F72" w:rsidRPr="00961D95">
        <w:t>依據日本防衛省之觀察與瞭解，中國大陸對於台灣之政治主張，係認為台灣是屬於中國大陸之一部分，而關於台灣問題之政治屬性，中國大陸則堅持所謂之台灣問題，是屬於中國之內政問題，並非國與國之國際問題。中國大陸與台灣間相關議題之討論與研究，均須植基於一個大前提</w:t>
      </w:r>
      <w:r w:rsidR="00203F72" w:rsidRPr="00961D95">
        <w:t>(</w:t>
      </w:r>
      <w:r w:rsidR="00203F72" w:rsidRPr="00961D95">
        <w:t>大原則</w:t>
      </w:r>
      <w:r w:rsidR="00203F72" w:rsidRPr="00961D95">
        <w:t>)</w:t>
      </w:r>
      <w:r w:rsidR="00203F72" w:rsidRPr="00961D95">
        <w:t>之上，即一個中國。在兩岸問題上，中國大陸仍未放棄以和平之手段，促使兩岸在政治上之統一；有關於運用和平之手段以達統一之目標，是中國大陸努力之方向。就兩岸在政治上之統一議題而論，這是台灣人民非常關切之問題；在中國大陸方面，中國則極力反對外國勢力從中阻撓或干涉兩岸政治上之統一，及台灣獨立之行為。中國大陸為了有效地反制外國勢力阻撓兩岸之統一，及台灣之獨立，經常表明仍未放棄軍事武力之行使與運用。亦即，於必要時，透由人民解放軍之軍力，排除外國勢力之阻撓，並殲滅台獨。為了令上述之軍事行動具有法律之基礎，於</w:t>
      </w:r>
      <w:r w:rsidR="00203F72" w:rsidRPr="00961D95">
        <w:t>2005</w:t>
      </w:r>
      <w:r w:rsidR="00203F72" w:rsidRPr="00961D95">
        <w:t>年</w:t>
      </w:r>
      <w:r w:rsidR="00203F72" w:rsidRPr="00961D95">
        <w:t>3</w:t>
      </w:r>
      <w:r w:rsidR="00203F72" w:rsidRPr="00961D95">
        <w:t>月，中國大陸制定「</w:t>
      </w:r>
      <w:hyperlink r:id="rId1582" w:history="1">
        <w:r w:rsidR="00961D95" w:rsidRPr="00BD43D3">
          <w:rPr>
            <w:rStyle w:val="a5"/>
          </w:rPr>
          <w:t>反分裂國家法</w:t>
        </w:r>
      </w:hyperlink>
      <w:r w:rsidR="00203F72" w:rsidRPr="00961D95">
        <w:t>」，將不放棄使用武力之原則，透由「反國家分裂法」之制定與頒布，使其明文化與合法化</w:t>
      </w:r>
      <w:r w:rsidR="00203F72" w:rsidRPr="00961D95">
        <w:footnoteReference w:id="216"/>
      </w:r>
      <w:r w:rsidR="00203F72" w:rsidRPr="00961D95">
        <w:t>。</w:t>
      </w:r>
    </w:p>
    <w:p w14:paraId="03E46079" w14:textId="77777777" w:rsidR="00953151" w:rsidRPr="00961D95" w:rsidRDefault="00145751" w:rsidP="00961D95">
      <w:r w:rsidRPr="00961D95">
        <w:t xml:space="preserve">　　</w:t>
      </w:r>
      <w:r w:rsidR="00203F72" w:rsidRPr="00961D95">
        <w:t>於</w:t>
      </w:r>
      <w:r w:rsidR="00203F72" w:rsidRPr="00961D95">
        <w:t>2012</w:t>
      </w:r>
      <w:r w:rsidR="00203F72" w:rsidRPr="00961D95">
        <w:t>年，馬英九總統連任第二個任期，台灣所追求之政治與經濟目標，在政治目標部分，馬英九總統並未主張台灣獨立，亦即，不從事台獨運動，相對而論，台灣設定之政治目標，係為「維持現狀」。「維持現狀」之態勢，是馬英九總統施政之重點。在經濟目標部分，則擴大台灣與中國大陸之經濟交流與貿易，俾利促使台灣經濟之發展。由於海峽兩岸相互簽署</w:t>
      </w:r>
      <w:r w:rsidR="00203F72" w:rsidRPr="00961D95">
        <w:t>ECFA(Economic Cooperation Framework Agreement</w:t>
      </w:r>
      <w:r w:rsidR="00203F72" w:rsidRPr="00961D95">
        <w:t>），且</w:t>
      </w:r>
      <w:r w:rsidR="00203F72" w:rsidRPr="00961D95">
        <w:t>ECFA</w:t>
      </w:r>
      <w:r w:rsidR="00203F72" w:rsidRPr="00961D95">
        <w:t>業已正式生效，故海峽兩岸現階段之關係，乃是以經濟發展為主要之範疇，以經濟交流為兩岸關係之核心，以此開展兩岸之關係</w:t>
      </w:r>
      <w:r w:rsidR="00203F72" w:rsidRPr="00961D95">
        <w:footnoteReference w:id="217"/>
      </w:r>
      <w:r w:rsidR="00203F72" w:rsidRPr="00961D95">
        <w:t>。</w:t>
      </w:r>
    </w:p>
    <w:p w14:paraId="6B55B5CE" w14:textId="77777777" w:rsidR="00953151" w:rsidRPr="00961D95" w:rsidRDefault="008768C1" w:rsidP="00961D95">
      <w:r w:rsidRPr="00961D95">
        <w:t xml:space="preserve">　　</w:t>
      </w:r>
      <w:r w:rsidR="00203F72" w:rsidRPr="00961D95">
        <w:t>在軍事安全保障方面，首先，就中國之面向而論，中國大陸期望海峽兩岸在適當之時期，能針對軍事之問題，進行雙向之交流與接觸，並就建構一套海峽兩岸相互信賴之軍事安全保障之機制，進行討論。其次，就台灣而論，針對上述中國大陸所倡議之建構一套相互信賴之軍事安全保障之機制議題，因台灣考量相關之條件，尚未加以有效地整合，台灣所顯示之態度，頗為慎重。以鈞魚台</w:t>
      </w:r>
      <w:r w:rsidR="00203F72" w:rsidRPr="00961D95">
        <w:t>(</w:t>
      </w:r>
      <w:r w:rsidR="00203F72" w:rsidRPr="00961D95">
        <w:t>日本稱之為尖閣諸島</w:t>
      </w:r>
      <w:r w:rsidR="00203F72" w:rsidRPr="00961D95">
        <w:t>)</w:t>
      </w:r>
      <w:r w:rsidR="00203F72" w:rsidRPr="00961D95">
        <w:t>之主權歸屬而言，中國大陸與台灣各自單獨主張其擁有鈞魚台之主權，台灣拒絕與中國大陸攜手合作，共同解決鈞魚台之主權。未來，海峽兩岸所進行之政治對話，是否會包括軍事議題，是值得加以留意之發展動向</w:t>
      </w:r>
      <w:r w:rsidR="00203F72" w:rsidRPr="00961D95">
        <w:footnoteReference w:id="218"/>
      </w:r>
      <w:r w:rsidR="00203F72" w:rsidRPr="00961D95">
        <w:t>。</w:t>
      </w:r>
    </w:p>
    <w:p w14:paraId="522C9459" w14:textId="77777777" w:rsidR="00953151" w:rsidRPr="00961D95" w:rsidRDefault="008768C1" w:rsidP="00961D95">
      <w:r w:rsidRPr="00961D95">
        <w:t xml:space="preserve">　　</w:t>
      </w:r>
      <w:r w:rsidR="00203F72" w:rsidRPr="00961D95">
        <w:t>在台灣之軍力方面，馬英九總統對於國防之建設目標與方針，係設定在「固若磐石」；在「固若磐石」之目標下，台灣之國防重點，乃在於戰爭之防止、國土之防衛、緊急事態之應對與回應、兩岸軍事衝突之防止及區域之安定。台灣之軍戰略目標，即為「防衛固守、有効抑止」。在台灣軍力方面，台灣士兵之專業性頗高，全台總兵力約在</w:t>
      </w:r>
      <w:r w:rsidR="00203F72" w:rsidRPr="00961D95">
        <w:t>27</w:t>
      </w:r>
      <w:r w:rsidR="00203F72" w:rsidRPr="00961D95">
        <w:t>萬</w:t>
      </w:r>
      <w:r w:rsidR="00203F72" w:rsidRPr="00961D95">
        <w:t>5</w:t>
      </w:r>
      <w:r w:rsidR="00203F72" w:rsidRPr="00961D95">
        <w:t>千人至</w:t>
      </w:r>
      <w:r w:rsidR="00203F72" w:rsidRPr="00961D95">
        <w:t>21</w:t>
      </w:r>
      <w:r w:rsidR="00203F72" w:rsidRPr="00961D95">
        <w:t>萬</w:t>
      </w:r>
      <w:r w:rsidR="00203F72" w:rsidRPr="00961D95">
        <w:t>5</w:t>
      </w:r>
      <w:r w:rsidR="00203F72" w:rsidRPr="00961D95">
        <w:t>千人之間，不過，正逐年遞減之中。於</w:t>
      </w:r>
      <w:r w:rsidR="00203F72" w:rsidRPr="00961D95">
        <w:t>2014</w:t>
      </w:r>
      <w:r w:rsidR="00203F72" w:rsidRPr="00961D95">
        <w:t>年年底，台灣軍力會由兩個部分組成，第一個部分，係為徵兵制之兵力；第二個部分，係為募兵制之兵力。就未來之目標而論，台灣兵役制度將由完全志願役之兵力組合而成。台灣軍隊之特色，在於先進科學技術之導入，及各軍種統合作戰能力之整合</w:t>
      </w:r>
      <w:r w:rsidR="00203F72" w:rsidRPr="00961D95">
        <w:footnoteReference w:id="219"/>
      </w:r>
      <w:r w:rsidR="00203F72" w:rsidRPr="00961D95">
        <w:t>。</w:t>
      </w:r>
    </w:p>
    <w:p w14:paraId="1344058F" w14:textId="77777777" w:rsidR="00203F72" w:rsidRPr="00961D95" w:rsidRDefault="008768C1" w:rsidP="00961D95">
      <w:r w:rsidRPr="00961D95">
        <w:t xml:space="preserve">　　</w:t>
      </w:r>
      <w:r w:rsidR="00203F72" w:rsidRPr="00961D95">
        <w:t>截至</w:t>
      </w:r>
      <w:r w:rsidR="00203F72" w:rsidRPr="00961D95">
        <w:t>2013</w:t>
      </w:r>
      <w:r w:rsidR="00203F72" w:rsidRPr="00961D95">
        <w:t>年止，在台灣陸軍之戰力方面，約有</w:t>
      </w:r>
      <w:r w:rsidR="00203F72" w:rsidRPr="00961D95">
        <w:t>39</w:t>
      </w:r>
      <w:r w:rsidR="00203F72" w:rsidRPr="00961D95">
        <w:t>個旅，以及</w:t>
      </w:r>
      <w:r w:rsidR="00203F72" w:rsidRPr="00961D95">
        <w:t>3</w:t>
      </w:r>
      <w:r w:rsidR="00203F72" w:rsidRPr="00961D95">
        <w:t>個海軍陸戰隊旅，合計約有</w:t>
      </w:r>
      <w:r w:rsidR="00203F72" w:rsidRPr="00961D95">
        <w:t>42</w:t>
      </w:r>
      <w:r w:rsidR="00203F72" w:rsidRPr="00961D95">
        <w:t>個陸軍旅，陸軍軍力約為</w:t>
      </w:r>
      <w:r w:rsidR="00203F72" w:rsidRPr="00961D95">
        <w:t>21</w:t>
      </w:r>
      <w:r w:rsidR="00203F72" w:rsidRPr="00961D95">
        <w:t>萬</w:t>
      </w:r>
      <w:r w:rsidR="00203F72" w:rsidRPr="00961D95">
        <w:t>5</w:t>
      </w:r>
      <w:r w:rsidR="00203F72" w:rsidRPr="00961D95">
        <w:t>千人。假若台海發生戰事，台灣陸、海、空軍所能動員之後備役整體軍力，合計約為</w:t>
      </w:r>
      <w:r w:rsidR="00203F72" w:rsidRPr="00961D95">
        <w:t>165</w:t>
      </w:r>
      <w:r w:rsidR="00203F72" w:rsidRPr="00961D95">
        <w:t>萬人。在台灣海軍之戰力方面，台灣除了從美國購入驅逐艦之外，現尚保有巡防艦。在空軍戰力方面，則保有</w:t>
      </w:r>
      <w:r w:rsidR="00203F72" w:rsidRPr="00961D95">
        <w:t>Mirage</w:t>
      </w:r>
      <w:r w:rsidR="00203F72" w:rsidRPr="00961D95">
        <w:t>幻象</w:t>
      </w:r>
      <w:r w:rsidR="00203F72" w:rsidRPr="00961D95">
        <w:t>2000</w:t>
      </w:r>
      <w:r w:rsidR="00203F72" w:rsidRPr="00961D95">
        <w:t>型戰機</w:t>
      </w:r>
      <w:r w:rsidR="00203F72" w:rsidRPr="00961D95">
        <w:t>57</w:t>
      </w:r>
      <w:r w:rsidR="00203F72" w:rsidRPr="00961D95">
        <w:t>架，</w:t>
      </w:r>
      <w:r w:rsidR="00203F72" w:rsidRPr="00961D95">
        <w:t>F-16</w:t>
      </w:r>
      <w:r w:rsidR="00203F72" w:rsidRPr="00961D95">
        <w:t>型戰機</w:t>
      </w:r>
      <w:r w:rsidR="00203F72" w:rsidRPr="00961D95">
        <w:t>146</w:t>
      </w:r>
      <w:r w:rsidR="00203F72" w:rsidRPr="00961D95">
        <w:t>架，經國號型戰機</w:t>
      </w:r>
      <w:r w:rsidR="00203F72" w:rsidRPr="00961D95">
        <w:t>128</w:t>
      </w:r>
      <w:r w:rsidR="00203F72" w:rsidRPr="00961D95">
        <w:t>架，以上第</w:t>
      </w:r>
      <w:r w:rsidR="00203F72" w:rsidRPr="00961D95">
        <w:t>4</w:t>
      </w:r>
      <w:r w:rsidR="00203F72" w:rsidRPr="00961D95">
        <w:t>世代戰鬥機合計為</w:t>
      </w:r>
      <w:r w:rsidR="00203F72" w:rsidRPr="00961D95">
        <w:t>331</w:t>
      </w:r>
      <w:r w:rsidR="00203F72" w:rsidRPr="00961D95">
        <w:t>架</w:t>
      </w:r>
      <w:r w:rsidR="00203F72" w:rsidRPr="00961D95">
        <w:footnoteReference w:id="220"/>
      </w:r>
      <w:r w:rsidR="00203F72" w:rsidRPr="00961D95">
        <w:t>。</w:t>
      </w:r>
    </w:p>
    <w:p w14:paraId="3395EFA7" w14:textId="77777777" w:rsidR="00203F72" w:rsidRPr="00961D95" w:rsidRDefault="008768C1" w:rsidP="00961D95">
      <w:r w:rsidRPr="00961D95">
        <w:t xml:space="preserve">　　</w:t>
      </w:r>
      <w:r w:rsidR="00203F72" w:rsidRPr="00961D95">
        <w:t>由於人民解放軍在飛彈、海軍及空軍之戰力部分，不斷地向上提升與擴充，故台灣軍隊所面臨之問題，係軍事裝備宜加以現代化。時至今日，美國國防部仍依照台灣關係法之相關規範，出售武器給台灣。就台灣軍購之角度出發，台灣希望向美國購買</w:t>
      </w:r>
      <w:r w:rsidR="00203F72" w:rsidRPr="00961D95">
        <w:t>F-16C/D</w:t>
      </w:r>
      <w:r w:rsidR="00203F72" w:rsidRPr="00961D95">
        <w:t>戰鬥機，今後之動向，值得加以關注。此外，台灣亦重</w:t>
      </w:r>
      <w:r w:rsidR="003E240E">
        <w:t>視</w:t>
      </w:r>
      <w:r w:rsidR="00203F72" w:rsidRPr="00961D95">
        <w:t>獨自研發之能力，目前，已研發成功並在服役之飛彈系統，計有：天弓第</w:t>
      </w:r>
      <w:r w:rsidR="00203F72" w:rsidRPr="00961D95">
        <w:t>2</w:t>
      </w:r>
      <w:r w:rsidR="00203F72" w:rsidRPr="00961D95">
        <w:t>代及地對艦雄風第</w:t>
      </w:r>
      <w:r w:rsidR="00203F72" w:rsidRPr="00961D95">
        <w:t>2</w:t>
      </w:r>
      <w:r w:rsidR="00203F72" w:rsidRPr="00961D95">
        <w:t>代。再者，尚在研發之部分，為了強化長距離之攻擊能量，正開發具有巡航能力之雄風</w:t>
      </w:r>
      <w:r w:rsidR="00203F72" w:rsidRPr="00961D95">
        <w:t>IIE</w:t>
      </w:r>
      <w:r w:rsidR="00203F72" w:rsidRPr="00961D95">
        <w:t>型飛彈；為了增進對於人民解放軍導彈之對處與回應能量，正開發天弓第</w:t>
      </w:r>
      <w:r w:rsidR="00203F72" w:rsidRPr="00961D95">
        <w:t>3</w:t>
      </w:r>
      <w:r w:rsidR="00203F72" w:rsidRPr="00961D95">
        <w:t>代</w:t>
      </w:r>
      <w:r w:rsidR="00203F72" w:rsidRPr="00961D95">
        <w:footnoteReference w:id="221"/>
      </w:r>
      <w:r w:rsidR="00203F72" w:rsidRPr="00961D95">
        <w:t>。</w:t>
      </w:r>
    </w:p>
    <w:p w14:paraId="1A17B60F" w14:textId="77777777" w:rsidR="00203F72" w:rsidRPr="00961D95" w:rsidRDefault="008768C1" w:rsidP="00961D95">
      <w:r w:rsidRPr="00961D95">
        <w:t xml:space="preserve">　　</w:t>
      </w:r>
      <w:r w:rsidR="00203F72" w:rsidRPr="00961D95">
        <w:t>海峽兩岸之軍力，具有以下之特色</w:t>
      </w:r>
      <w:r w:rsidR="00203F72" w:rsidRPr="00961D95">
        <w:footnoteReference w:id="222"/>
      </w:r>
      <w:r w:rsidR="00203F72" w:rsidRPr="00961D95">
        <w:t>：</w:t>
      </w:r>
    </w:p>
    <w:p w14:paraId="1AB00F81" w14:textId="77777777" w:rsidR="00203F72" w:rsidRPr="00961D95" w:rsidRDefault="008768C1" w:rsidP="00961D95">
      <w:r w:rsidRPr="00961D95">
        <w:t xml:space="preserve">　　</w:t>
      </w:r>
      <w:r w:rsidR="00203F72" w:rsidRPr="00961D95">
        <w:t>1</w:t>
      </w:r>
      <w:r w:rsidR="00203F72" w:rsidRPr="00961D95">
        <w:t>、就陸軍軍力而論，儘管中國人民解放軍擁有壓倒性之兵力數量，但其向台灣本島進行登陸攻擊之能力，卻是有限。亦即，上述之兵力，其登陸作戰能力有其侷限性。中國人民解放軍為瞭解決上述之缺點，近年來，努力地建造大型之登陸艦，以提升其登陸作戰之能力。</w:t>
      </w:r>
    </w:p>
    <w:p w14:paraId="6F4F8839" w14:textId="77777777" w:rsidR="00203F72" w:rsidRPr="00A53581" w:rsidRDefault="008768C1" w:rsidP="00961D95">
      <w:r w:rsidRPr="00961D95">
        <w:t xml:space="preserve">　　</w:t>
      </w:r>
      <w:r w:rsidR="00203F72" w:rsidRPr="00961D95">
        <w:t>2</w:t>
      </w:r>
      <w:r w:rsidR="00203F72" w:rsidRPr="00961D95">
        <w:t>、關於中國人民解放軍海、空軍軍力</w:t>
      </w:r>
      <w:r w:rsidR="00203F72" w:rsidRPr="00A53581">
        <w:t>方面，中國不僅具有壓倒性之海、空軍數量，且近年來，亦著實地強化其現代化。就台灣而論，海、空軍軍力之優勢，在於重</w:t>
      </w:r>
      <w:r w:rsidR="003E240E">
        <w:t>視</w:t>
      </w:r>
      <w:r w:rsidR="00203F72" w:rsidRPr="00A53581">
        <w:t>質之面向，然而，由於中國人民解放軍海、空軍正強化其現代化，故台灣海、空軍軍力之優勢，並不突出。</w:t>
      </w:r>
    </w:p>
    <w:p w14:paraId="5929F408" w14:textId="77777777" w:rsidR="00953151" w:rsidRDefault="008768C1" w:rsidP="00D87D91">
      <w:r>
        <w:t xml:space="preserve">　　</w:t>
      </w:r>
      <w:r w:rsidR="00203F72" w:rsidRPr="00A53581">
        <w:t>3</w:t>
      </w:r>
      <w:r w:rsidR="00203F72" w:rsidRPr="00A53581">
        <w:t>、中國人民解放軍所擁有之多數短距離導彈，在射程方面，均能含蓋台灣。對於來自中國大陸之導彈威脅，日本防衛省認為，台灣國防部缺乏有效之對處與回應措施。</w:t>
      </w:r>
    </w:p>
    <w:p w14:paraId="3983C487" w14:textId="77777777" w:rsidR="00953151" w:rsidRPr="00961D95" w:rsidRDefault="008768C1" w:rsidP="00D87D91">
      <w:r>
        <w:t xml:space="preserve">　　</w:t>
      </w:r>
      <w:r w:rsidR="00203F72" w:rsidRPr="00A53581">
        <w:t>在探討海峽兩岸之軍力問題時，日本防衛省認為，不僅只考量兵力、裝備之性質與數量，尚須留意於：被預設之軍事作戰目的、形態、軍力運用之態勢、兵力之訓練、所能動員之後備兵力及後勤支援體系等等。由於中國軍力急速地進行現代化，中台軍力之平衡槓，業已全體地傾向有利於中國人民解放軍之方向發展，今後，中台軍力之現代化，</w:t>
      </w:r>
      <w:r w:rsidR="00203F72" w:rsidRPr="00961D95">
        <w:t>及美國向台灣出售武器之動向，均值得加以留意與關注</w:t>
      </w:r>
      <w:r w:rsidR="00203F72" w:rsidRPr="00961D95">
        <w:footnoteReference w:id="223"/>
      </w:r>
      <w:r w:rsidR="00203F72" w:rsidRPr="00961D95">
        <w:t>。</w:t>
      </w:r>
    </w:p>
    <w:p w14:paraId="0F173EEB" w14:textId="77777777" w:rsidR="00203F72" w:rsidRPr="00A53581" w:rsidRDefault="00145751" w:rsidP="00D87D91">
      <w:r>
        <w:t xml:space="preserve">　　</w:t>
      </w:r>
      <w:r w:rsidR="00203F72" w:rsidRPr="00A53581">
        <w:t>根據上述之資料，及其他之相關文獻，本書發現海峽兩岸之關係，具有以下之特色：</w:t>
      </w:r>
    </w:p>
    <w:p w14:paraId="09D588FA" w14:textId="77777777" w:rsidR="00203F72" w:rsidRPr="00A53581" w:rsidRDefault="008768C1" w:rsidP="00D87D91">
      <w:r>
        <w:t xml:space="preserve">　　</w:t>
      </w:r>
      <w:r w:rsidR="00203F72" w:rsidRPr="00A53581">
        <w:t>1</w:t>
      </w:r>
      <w:r w:rsidR="00203F72" w:rsidRPr="00A53581">
        <w:t>、針對台灣問題而論，中國大陸認為台灣是屬於中國大陸之一部分，這是中國國家主權之「核心問題」，及「內政問題」，而非國與國之國際關係問題，不容美、日等國外國勢力之幹預及阻礙；</w:t>
      </w:r>
      <w:r w:rsidR="00203F72" w:rsidRPr="00A53581">
        <w:t xml:space="preserve"> </w:t>
      </w:r>
    </w:p>
    <w:p w14:paraId="5FF49CDC" w14:textId="77777777" w:rsidR="00203F72" w:rsidRPr="00A53581" w:rsidRDefault="008768C1" w:rsidP="00D87D91">
      <w:r>
        <w:t xml:space="preserve">　　</w:t>
      </w:r>
      <w:r w:rsidR="00203F72" w:rsidRPr="00A53581">
        <w:t>2</w:t>
      </w:r>
      <w:r w:rsidR="00203F72" w:rsidRPr="00A53581">
        <w:t>、中國大陸軍事力量之現代化之主要目標之一，即在於阻止與打擊台灣之獨立；</w:t>
      </w:r>
    </w:p>
    <w:p w14:paraId="46328D0C" w14:textId="77777777" w:rsidR="00203F72" w:rsidRPr="00A53581" w:rsidRDefault="008768C1" w:rsidP="00D87D91">
      <w:r>
        <w:t xml:space="preserve">　　</w:t>
      </w:r>
      <w:r w:rsidR="00203F72" w:rsidRPr="00A53581">
        <w:t>3</w:t>
      </w:r>
      <w:r w:rsidR="00203F72" w:rsidRPr="00A53581">
        <w:t>、中國大陸有關於軍事與戰爭之定義，係採取廣義之觀點，軍事與戰爭除涉及「物理之手段」之外，尚包括「非物理之手段」。所謂之「非物理之手段」，此包括三戰，即輿論戰、心理戰及法律戰。而與軍事與戰爭實際之工作項目，則包括：軍事戰爭</w:t>
      </w:r>
      <w:r w:rsidR="00203F72" w:rsidRPr="00A53581">
        <w:t>(</w:t>
      </w:r>
      <w:r w:rsidR="00203F72" w:rsidRPr="00A53581">
        <w:t>物理手段</w:t>
      </w:r>
      <w:r w:rsidR="00203F72" w:rsidRPr="00A53581">
        <w:t>)</w:t>
      </w:r>
      <w:r w:rsidR="00203F72" w:rsidRPr="00A53581">
        <w:t>、政治戰、外交戰、經濟戰、文化戰、輿論戰、心理戰及法律戰。一般而論，台灣民眾較易忽略：經濟戰、文化戰、輿論戰、心理戰及法律戰之戰法；</w:t>
      </w:r>
    </w:p>
    <w:p w14:paraId="1C59D922" w14:textId="77777777" w:rsidR="00203F72" w:rsidRPr="00A53581" w:rsidRDefault="008768C1" w:rsidP="00D87D91">
      <w:r>
        <w:t xml:space="preserve">　　</w:t>
      </w:r>
      <w:r w:rsidR="00203F72" w:rsidRPr="00A53581">
        <w:t>4</w:t>
      </w:r>
      <w:r w:rsidR="00203F72" w:rsidRPr="00A53581">
        <w:t>、中國人民解放軍最優先面臨之課題與主要任務，係為：</w:t>
      </w:r>
      <w:r w:rsidR="00203F72" w:rsidRPr="00A53581">
        <w:t>(1)</w:t>
      </w:r>
      <w:r w:rsidR="00203F72" w:rsidRPr="00A53581">
        <w:t>殲滅台獨勢力；</w:t>
      </w:r>
      <w:r w:rsidR="00203F72" w:rsidRPr="00A53581">
        <w:t>(2)</w:t>
      </w:r>
      <w:r w:rsidR="00203F72" w:rsidRPr="00A53581">
        <w:t>阻止美、日等外國軍隊支援台獨；亦即，人民解放軍之任務中，最嚴肅與最主要之問題，即為殲滅台獨反動之勢力；人民解放軍之現代化，不僅須具有擊敗台灣軍力之能力，更進一步言，須有能力對抗美、日等國之軍力，以有效地阻止外國軍隊支援台獨；</w:t>
      </w:r>
    </w:p>
    <w:p w14:paraId="3DEBA3AD" w14:textId="77777777" w:rsidR="00203F72" w:rsidRPr="00A53581" w:rsidRDefault="008768C1" w:rsidP="00D87D91">
      <w:r>
        <w:t xml:space="preserve">　　</w:t>
      </w:r>
      <w:r w:rsidR="00203F72" w:rsidRPr="00A53581">
        <w:t>5</w:t>
      </w:r>
      <w:r w:rsidR="00203F72" w:rsidRPr="00A53581">
        <w:t>、中國正推動「</w:t>
      </w:r>
      <w:r w:rsidR="00203F72" w:rsidRPr="00A53581">
        <w:t>2020</w:t>
      </w:r>
      <w:r w:rsidR="00203F72" w:rsidRPr="00A53581">
        <w:t>年前實現</w:t>
      </w:r>
      <w:r w:rsidR="00203F72" w:rsidRPr="00A53581">
        <w:rPr>
          <w:rStyle w:val="st1"/>
          <w:rFonts w:ascii="新細明體" w:hAnsi="新細明體"/>
        </w:rPr>
        <w:t>人民解放軍機械化及情報化(信息化)建設</w:t>
      </w:r>
      <w:r w:rsidR="00203F72" w:rsidRPr="00A53581">
        <w:t>計畫」，中國特別重</w:t>
      </w:r>
      <w:r w:rsidR="003E240E">
        <w:t>視</w:t>
      </w:r>
      <w:r w:rsidR="00203F72" w:rsidRPr="00A53581">
        <w:t>如何建構良善之情報化</w:t>
      </w:r>
      <w:r w:rsidR="00203F72" w:rsidRPr="00A53581">
        <w:t>(</w:t>
      </w:r>
      <w:r w:rsidR="00203F72" w:rsidRPr="00A53581">
        <w:t>資訊化</w:t>
      </w:r>
      <w:r w:rsidR="00203F72" w:rsidRPr="00A53581">
        <w:t>)</w:t>
      </w:r>
      <w:r w:rsidR="00203F72" w:rsidRPr="00A53581">
        <w:t>機制；如將其運用於兩岸關係，從中國人民解放軍之觀點出發，如欲取得台海戰事之勝利，須特別重</w:t>
      </w:r>
      <w:r w:rsidR="003E240E">
        <w:t>視</w:t>
      </w:r>
      <w:r w:rsidR="00203F72" w:rsidRPr="00A53581">
        <w:t>情報戰；從台灣國境人流管理機關之反製作為角度出發，台灣則須建構一套境外人流管理機制，有效地防制中國人民解放軍或相關國安機關之諜報人員進出臺灣。</w:t>
      </w:r>
    </w:p>
    <w:p w14:paraId="13F2F1C7" w14:textId="77777777" w:rsidR="00203F72" w:rsidRPr="00A53581" w:rsidRDefault="008768C1" w:rsidP="00D87D91">
      <w:r>
        <w:t xml:space="preserve">　　</w:t>
      </w:r>
      <w:r w:rsidR="00203F72" w:rsidRPr="00A53581">
        <w:t>6</w:t>
      </w:r>
      <w:r w:rsidR="00203F72" w:rsidRPr="00A53581">
        <w:t>、兩岸相關議題之討論，中國大陸設定一個大原則，即須植基於一個大前提之下，即一個中國；</w:t>
      </w:r>
    </w:p>
    <w:p w14:paraId="6A320F2B" w14:textId="77777777" w:rsidR="00203F72" w:rsidRPr="00A53581" w:rsidRDefault="008768C1" w:rsidP="00D87D91">
      <w:r>
        <w:t xml:space="preserve">　　</w:t>
      </w:r>
      <w:r w:rsidR="00203F72" w:rsidRPr="00A53581">
        <w:t>7</w:t>
      </w:r>
      <w:r w:rsidR="00203F72" w:rsidRPr="00A53581">
        <w:t>、中國大陸對台之政策，仍不放棄使用武力之原則，制定「</w:t>
      </w:r>
      <w:hyperlink r:id="rId1583" w:history="1">
        <w:r w:rsidR="00961D95" w:rsidRPr="00BD43D3">
          <w:rPr>
            <w:rStyle w:val="a5"/>
          </w:rPr>
          <w:t>反分裂國家法</w:t>
        </w:r>
      </w:hyperlink>
      <w:r w:rsidR="00203F72" w:rsidRPr="00A53581">
        <w:t>」，使武力之使用能合法化；</w:t>
      </w:r>
    </w:p>
    <w:p w14:paraId="1D7CE773" w14:textId="77777777" w:rsidR="00203F72" w:rsidRPr="00A53581" w:rsidRDefault="008768C1" w:rsidP="00D87D91">
      <w:r>
        <w:t xml:space="preserve">　　</w:t>
      </w:r>
      <w:r w:rsidR="00203F72" w:rsidRPr="00A53581">
        <w:t>8</w:t>
      </w:r>
      <w:r w:rsidR="00203F72" w:rsidRPr="00A53581">
        <w:t>、面對中國大陸巨大之軍事威脅，台灣設定之政治目標，就目前而論，係為「維持現狀」，而非兩岸政治上之統一；為了維持中華民國民主自由憲政之體制，台灣仍堅持中華民國之獨立自主性，拒絕成為中國大陸之一省；在此一民主自由政治體制之選擇下，台灣之國境管理執法機關，勢必須付出相當大之努力與代價，始能反制中國大陸之情報作為，達到良善化國境人流管理之目標；</w:t>
      </w:r>
    </w:p>
    <w:p w14:paraId="5BC7DFCC" w14:textId="77777777" w:rsidR="00203F72" w:rsidRPr="00A53581" w:rsidRDefault="008768C1" w:rsidP="00D87D91">
      <w:r>
        <w:t xml:space="preserve">　　</w:t>
      </w:r>
      <w:r w:rsidR="00203F72" w:rsidRPr="00A53581">
        <w:t>9</w:t>
      </w:r>
      <w:r w:rsidR="00203F72" w:rsidRPr="00A53581">
        <w:t>、雖然兩岸處於高度之軍事對抗，但海峽兩岸現階段之關係，乃是以經濟發展為主要之範疇；</w:t>
      </w:r>
    </w:p>
    <w:p w14:paraId="1DE177B8" w14:textId="77777777" w:rsidR="00953151" w:rsidRDefault="008768C1" w:rsidP="00D87D91">
      <w:r>
        <w:t xml:space="preserve">　　</w:t>
      </w:r>
      <w:r w:rsidR="00203F72" w:rsidRPr="00A53581">
        <w:t>10</w:t>
      </w:r>
      <w:r w:rsidR="00203F72" w:rsidRPr="00A53581">
        <w:t>、有關於建構一套海峽兩岸相互信賴之軍事安全保障之機制，本書認為，這是一條可行之道路；除了軍事安全保障機制之外，兩岸亦可針對國境人流管理之議題，建構一套良善化之境管機制，以防制跨境犯罪分子之竄流。</w:t>
      </w:r>
    </w:p>
    <w:p w14:paraId="6DBA82D1" w14:textId="77777777" w:rsidR="00953151" w:rsidRDefault="008768C1" w:rsidP="00D87D91">
      <w:pPr>
        <w:rPr>
          <w:kern w:val="0"/>
        </w:rPr>
      </w:pPr>
      <w:r>
        <w:t xml:space="preserve">　　</w:t>
      </w:r>
      <w:r w:rsidR="00203F72" w:rsidRPr="00A53581">
        <w:t>本書認為，兩岸的政治問題，可以利用和平談判、對談、協商、溝通、漸進式與互信的方式解決，並非絕對需使用武力解決始可，戰爭會導致兩岸人民生命及財產的喪失，與千千萬萬家庭的分崩離析，並非良策。故本書主張，宜在我國憲法基本國策之中，制定</w:t>
      </w:r>
      <w:r w:rsidR="00D92F56">
        <w:t>〜</w:t>
      </w:r>
      <w:r w:rsidR="00203F72" w:rsidRPr="00A53581">
        <w:t>「</w:t>
      </w:r>
      <w:r w:rsidR="00203F72" w:rsidRPr="00A53581">
        <w:rPr>
          <w:kern w:val="0"/>
        </w:rPr>
        <w:t>兩岸應和平發展，互蒙其利，並建立互信之政治與軍事機制」的憲法條文。</w:t>
      </w:r>
    </w:p>
    <w:p w14:paraId="273975E0" w14:textId="77777777" w:rsidR="00545D58" w:rsidRDefault="00545D58" w:rsidP="00EE39EE">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626BE638" w14:textId="77777777" w:rsidR="00545D58" w:rsidRDefault="00545D58" w:rsidP="00D87D91"/>
    <w:bookmarkStart w:id="53" w:name="_第11條(兩岸關係)"/>
    <w:bookmarkEnd w:id="53"/>
    <w:p w14:paraId="606BD5FF" w14:textId="77777777" w:rsidR="00203F72" w:rsidRPr="00A5358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"b11"</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11</w:t>
      </w:r>
      <w:r w:rsidR="00203F72" w:rsidRPr="001C1A86">
        <w:rPr>
          <w:rStyle w:val="a5"/>
          <w:rFonts w:ascii="Arial Unicode MS" w:hAnsi="Arial Unicode MS"/>
        </w:rPr>
        <w:t>條</w:t>
      </w:r>
      <w:r>
        <w:fldChar w:fldCharType="end"/>
      </w:r>
      <w:r w:rsidR="00203F72" w:rsidRPr="00A53581">
        <w:t>(</w:t>
      </w:r>
      <w:r w:rsidR="00203F72" w:rsidRPr="00A53581">
        <w:t>兩岸關係</w:t>
      </w:r>
      <w:r w:rsidR="00203F72" w:rsidRPr="00A53581">
        <w:t>)</w:t>
      </w:r>
    </w:p>
    <w:p w14:paraId="23FD87CE" w14:textId="77777777" w:rsidR="00953151" w:rsidRDefault="008768C1" w:rsidP="00D87D91">
      <w:r>
        <w:t xml:space="preserve">　　</w:t>
      </w:r>
      <w:r w:rsidR="00203F72" w:rsidRPr="00A53581">
        <w:t>自由地區與大陸地區間人民權利義務關係及其他事務之處理，得以法律為特別之規定。</w:t>
      </w:r>
    </w:p>
    <w:p w14:paraId="504FC074" w14:textId="77777777" w:rsidR="00203F72" w:rsidRPr="00A53581" w:rsidRDefault="00B03E84" w:rsidP="00D87D91">
      <w:r>
        <w:t>【內容解析】</w:t>
      </w:r>
    </w:p>
    <w:p w14:paraId="1E96FB15" w14:textId="77777777" w:rsidR="00953151" w:rsidRPr="004E1189" w:rsidRDefault="008768C1" w:rsidP="004E1189">
      <w:r w:rsidRPr="004E1189">
        <w:t xml:space="preserve">　　</w:t>
      </w:r>
      <w:r w:rsidR="00203F72" w:rsidRPr="004E1189">
        <w:t>就憲法增修條文</w:t>
      </w:r>
      <w:hyperlink r:id="rId1584" w:anchor="b11" w:history="1">
        <w:r w:rsidR="00314F65" w:rsidRPr="004E1189">
          <w:rPr>
            <w:rStyle w:val="a5"/>
          </w:rPr>
          <w:t>第11條</w:t>
        </w:r>
      </w:hyperlink>
      <w:r w:rsidR="00203F72" w:rsidRPr="004E1189">
        <w:t>而言，主要係規範兩岸及港、澳地區人民權利義務之關係；雖然，憲法增修條</w:t>
      </w:r>
      <w:r w:rsidR="00314F65" w:rsidRPr="004E1189">
        <w:t>文</w:t>
      </w:r>
      <w:hyperlink r:id="rId1585" w:anchor="b11" w:history="1">
        <w:r w:rsidR="00314F65" w:rsidRPr="004E1189">
          <w:rPr>
            <w:rStyle w:val="a5"/>
          </w:rPr>
          <w:t>第11條</w:t>
        </w:r>
      </w:hyperlink>
      <w:r w:rsidR="00203F72" w:rsidRPr="004E1189">
        <w:t>之上述內涵，並未被放置於憲法增修條</w:t>
      </w:r>
      <w:r w:rsidR="00E16174" w:rsidRPr="004E1189">
        <w:t>文</w:t>
      </w:r>
      <w:hyperlink r:id="rId1586" w:anchor="b10" w:history="1">
        <w:r w:rsidR="00E16174" w:rsidRPr="004E1189">
          <w:rPr>
            <w:rStyle w:val="a5"/>
          </w:rPr>
          <w:t>第10條</w:t>
        </w:r>
      </w:hyperlink>
      <w:r w:rsidR="00203F72" w:rsidRPr="004E1189">
        <w:t>基本國策之中；然而，根據學者之研究，憲法增修條</w:t>
      </w:r>
      <w:r w:rsidR="00314F65" w:rsidRPr="004E1189">
        <w:t>文</w:t>
      </w:r>
      <w:hyperlink r:id="rId1587" w:anchor="b11" w:history="1">
        <w:r w:rsidR="00314F65" w:rsidRPr="004E1189">
          <w:rPr>
            <w:rStyle w:val="a5"/>
          </w:rPr>
          <w:t>第11條</w:t>
        </w:r>
      </w:hyperlink>
      <w:r w:rsidR="00203F72" w:rsidRPr="004E1189">
        <w:t>之規範內容，仍為我國現階段之基本國策</w:t>
      </w:r>
      <w:r w:rsidR="00203F72" w:rsidRPr="004E1189">
        <w:footnoteReference w:id="224"/>
      </w:r>
      <w:r w:rsidR="00203F72" w:rsidRPr="004E1189">
        <w:t>；憲法增修條</w:t>
      </w:r>
      <w:r w:rsidR="00314F65" w:rsidRPr="004E1189">
        <w:t>文</w:t>
      </w:r>
      <w:hyperlink r:id="rId1588" w:anchor="b11" w:history="1">
        <w:r w:rsidR="00314F65" w:rsidRPr="004E1189">
          <w:rPr>
            <w:rStyle w:val="a5"/>
          </w:rPr>
          <w:t>第11條</w:t>
        </w:r>
      </w:hyperlink>
      <w:r w:rsidR="00203F72" w:rsidRPr="004E1189">
        <w:t>具有以下之若干特色：</w:t>
      </w:r>
      <w:r w:rsidR="00203F72" w:rsidRPr="004E1189">
        <w:t>1.</w:t>
      </w:r>
      <w:r w:rsidR="00203F72" w:rsidRPr="004E1189">
        <w:t>本條之內容，亦屬於我國現階段之「基本國策」；故，憲法增修條</w:t>
      </w:r>
      <w:r w:rsidR="00314F65" w:rsidRPr="004E1189">
        <w:t>文</w:t>
      </w:r>
      <w:hyperlink r:id="rId1589" w:anchor="b11" w:history="1">
        <w:r w:rsidR="00314F65" w:rsidRPr="004E1189">
          <w:rPr>
            <w:rStyle w:val="a5"/>
          </w:rPr>
          <w:t>第11條</w:t>
        </w:r>
      </w:hyperlink>
      <w:r w:rsidR="00203F72" w:rsidRPr="004E1189">
        <w:t>具有基本國策之憲法屬性；</w:t>
      </w:r>
      <w:r w:rsidR="00203F72" w:rsidRPr="004E1189">
        <w:t>2.</w:t>
      </w:r>
      <w:r w:rsidR="00203F72" w:rsidRPr="004E1189">
        <w:t>根據本條之制憲，立法院乃制定「</w:t>
      </w:r>
      <w:hyperlink r:id="rId1590" w:history="1">
        <w:r w:rsidR="00203F72" w:rsidRPr="004E1189">
          <w:rPr>
            <w:rStyle w:val="a5"/>
            <w:rFonts w:ascii="Times New Roman" w:eastAsia="新細明體" w:hAnsi="Times New Roman"/>
          </w:rPr>
          <w:t>臺灣地區與大陸地區人民關係條例</w:t>
        </w:r>
      </w:hyperlink>
      <w:r w:rsidR="00203F72" w:rsidRPr="004E1189">
        <w:t>」及「</w:t>
      </w:r>
      <w:hyperlink r:id="rId1591" w:history="1">
        <w:r w:rsidR="00203F72" w:rsidRPr="004E1189">
          <w:rPr>
            <w:rStyle w:val="a5"/>
            <w:rFonts w:ascii="Times New Roman" w:eastAsia="新細明體" w:hAnsi="Times New Roman"/>
          </w:rPr>
          <w:t>香港澳門關係條例</w:t>
        </w:r>
      </w:hyperlink>
      <w:r w:rsidR="00203F72" w:rsidRPr="004E1189">
        <w:t>」。</w:t>
      </w:r>
    </w:p>
    <w:p w14:paraId="212B1F69" w14:textId="77777777" w:rsidR="00545D58" w:rsidRDefault="00545D58" w:rsidP="00EE39EE">
      <w:pPr>
        <w:jc w:val="right"/>
        <w:rPr>
          <w:rFonts w:ascii="新細明體" w:hAnsi="新細明體"/>
          <w:kern w:val="0"/>
        </w:rPr>
      </w:pPr>
      <w:r w:rsidRPr="0026266A">
        <w:rPr>
          <w:rFonts w:hint="eastAsia"/>
        </w:rPr>
        <w:t>。。。。。。。。。。。。。。。。。。。。。。。。。</w:t>
      </w:r>
      <w:hyperlink w:anchor="a目次2" w:history="1">
        <w:r>
          <w:rPr>
            <w:rStyle w:val="a5"/>
            <w:sz w:val="18"/>
          </w:rPr>
          <w:t>回目次</w:t>
        </w:r>
      </w:hyperlink>
      <w:r w:rsidR="00E91F89">
        <w:rPr>
          <w:rFonts w:ascii="新細明體" w:hAnsi="新細明體"/>
          <w:color w:val="808000"/>
        </w:rPr>
        <w:t>〉〉</w:t>
      </w:r>
    </w:p>
    <w:p w14:paraId="0E60BD43" w14:textId="77777777" w:rsidR="00545D58" w:rsidRDefault="00545D58" w:rsidP="00D87D91"/>
    <w:bookmarkStart w:id="54" w:name="_第12條(修改憲法之程序)"/>
    <w:bookmarkEnd w:id="54"/>
    <w:p w14:paraId="30497D12" w14:textId="77777777" w:rsidR="00203F72" w:rsidRPr="00A53581" w:rsidRDefault="001C1A86" w:rsidP="00767F37">
      <w:pPr>
        <w:pStyle w:val="2"/>
      </w:pPr>
      <w:r>
        <w:fldChar w:fldCharType="begin"/>
      </w:r>
      <w:r w:rsidR="00346D06">
        <w:instrText xml:space="preserve">HYPERLINK </w:instrText>
      </w:r>
      <w:r w:rsidR="00DB62EB">
        <w:instrText>“</w:instrText>
      </w:r>
      <w:r w:rsidR="00F2047D">
        <w:instrText>https://www.6laws.net</w:instrText>
      </w:r>
      <w:r w:rsidR="00DB62EB">
        <w:instrText>/6law/law</w:instrText>
      </w:r>
      <w:r w:rsidR="00346D06">
        <w:instrText>\\</w:instrText>
      </w:r>
      <w:r w:rsidR="00346D06">
        <w:instrText>中華民國憲法增修條文</w:instrText>
      </w:r>
      <w:r w:rsidR="00DB62EB">
        <w:instrText>.htm</w:instrText>
      </w:r>
      <w:r w:rsidR="00346D06">
        <w:instrText>" \l "b12"</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12</w:t>
      </w:r>
      <w:r w:rsidR="00203F72" w:rsidRPr="001C1A86">
        <w:rPr>
          <w:rStyle w:val="a5"/>
          <w:rFonts w:ascii="Arial Unicode MS" w:hAnsi="Arial Unicode MS"/>
        </w:rPr>
        <w:t>條</w:t>
      </w:r>
      <w:r>
        <w:fldChar w:fldCharType="end"/>
      </w:r>
      <w:r w:rsidR="00203F72" w:rsidRPr="00A53581">
        <w:t>(</w:t>
      </w:r>
      <w:r w:rsidR="00203F72" w:rsidRPr="00A53581">
        <w:t>修改憲法之程序</w:t>
      </w:r>
      <w:r w:rsidR="00203F72" w:rsidRPr="00A53581">
        <w:t>)</w:t>
      </w:r>
    </w:p>
    <w:p w14:paraId="0E4FEB31" w14:textId="77777777" w:rsidR="00953151" w:rsidRPr="004E1189" w:rsidRDefault="008768C1" w:rsidP="004E1189">
      <w:r w:rsidRPr="004E1189">
        <w:t xml:space="preserve">　　</w:t>
      </w:r>
      <w:r w:rsidR="00203F72" w:rsidRPr="004E1189">
        <w:t>憲法之修改，須經立法院立法委員四分之一之提議，四分之三之出席，及出席委員四分之三之決議，提出憲法修正案，並於公告半年後，經中華民國自由地區選舉人投票複決，有效同意票過選舉人總額之半數，即通過之，不適用憲法</w:t>
      </w:r>
      <w:r w:rsidR="00541C0B" w:rsidRPr="004E1189">
        <w:t>第</w:t>
      </w:r>
      <w:hyperlink r:id="rId1592" w:anchor="a174" w:history="1">
        <w:r w:rsidR="00541C0B" w:rsidRPr="004E1189">
          <w:rPr>
            <w:rStyle w:val="a5"/>
          </w:rPr>
          <w:t>一百七十四</w:t>
        </w:r>
      </w:hyperlink>
      <w:r w:rsidR="00541C0B" w:rsidRPr="004E1189">
        <w:t>條</w:t>
      </w:r>
      <w:r w:rsidR="00203F72" w:rsidRPr="004E1189">
        <w:t>之規定。</w:t>
      </w:r>
    </w:p>
    <w:p w14:paraId="2AFE6D80" w14:textId="77777777" w:rsidR="00203F72" w:rsidRPr="004E1189" w:rsidRDefault="00B03E84" w:rsidP="004E1189">
      <w:r w:rsidRPr="004E1189">
        <w:t>【內容解析】</w:t>
      </w:r>
    </w:p>
    <w:p w14:paraId="7DBB91E6" w14:textId="77777777" w:rsidR="00203F72" w:rsidRPr="00A53581" w:rsidRDefault="008768C1" w:rsidP="004E1189">
      <w:pPr>
        <w:rPr>
          <w:rFonts w:ascii="新細明體" w:hAnsi="新細明體"/>
          <w:kern w:val="0"/>
        </w:rPr>
      </w:pPr>
      <w:r w:rsidRPr="004E1189">
        <w:t xml:space="preserve">　　</w:t>
      </w:r>
      <w:r w:rsidR="00203F72" w:rsidRPr="004E1189">
        <w:t>就憲法增修條文</w:t>
      </w:r>
      <w:hyperlink r:id="rId1593" w:anchor="b12" w:history="1">
        <w:r w:rsidR="00203F72" w:rsidRPr="004E1189">
          <w:rPr>
            <w:rStyle w:val="a5"/>
          </w:rPr>
          <w:t>第12條</w:t>
        </w:r>
      </w:hyperlink>
      <w:r w:rsidR="00203F72" w:rsidRPr="004E1189">
        <w:t>而論，係規範憲法修改之程序，如下圖所示</w:t>
      </w:r>
      <w:r w:rsidR="00203F72" w:rsidRPr="004E1189">
        <w:footnoteReference w:id="225"/>
      </w:r>
      <w:r w:rsidR="00203F72" w:rsidRPr="004E1189">
        <w:t>：</w:t>
      </w:r>
      <w:r w:rsidR="00193290" w:rsidRPr="0065661E">
        <w:rPr>
          <w:rFonts w:hint="eastAsia"/>
          <w:color w:val="FFFFFF" w:themeColor="background1"/>
        </w:rPr>
        <w:t>◇◆</w:t>
      </w:r>
    </w:p>
    <w:p w14:paraId="1FD932EC" w14:textId="77777777" w:rsidR="00203F72" w:rsidRPr="00A53581" w:rsidRDefault="00203F72" w:rsidP="00D87D91">
      <w:r>
        <w:rPr>
          <w:noProof/>
        </w:rPr>
        <w:drawing>
          <wp:inline distT="0" distB="0" distL="0" distR="0" wp14:anchorId="046C64B7" wp14:editId="4D606319">
            <wp:extent cx="4826000" cy="52959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4826000" cy="5295900"/>
                    </a:xfrm>
                    <a:prstGeom prst="rect">
                      <a:avLst/>
                    </a:prstGeom>
                    <a:noFill/>
                    <a:ln>
                      <a:noFill/>
                    </a:ln>
                  </pic:spPr>
                </pic:pic>
              </a:graphicData>
            </a:graphic>
          </wp:inline>
        </w:drawing>
      </w:r>
    </w:p>
    <w:p w14:paraId="6A833FB4" w14:textId="477AD32C" w:rsidR="0095315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21</w:t>
      </w:r>
      <w:r w:rsidR="00076467">
        <w:rPr>
          <w:noProof/>
        </w:rPr>
        <w:fldChar w:fldCharType="end"/>
      </w:r>
      <w:r w:rsidR="00203F72" w:rsidRPr="00A53581">
        <w:rPr>
          <w:kern w:val="0"/>
        </w:rPr>
        <w:t>我國現行修憲程序</w:t>
      </w:r>
    </w:p>
    <w:p w14:paraId="482FD088" w14:textId="77777777" w:rsidR="00953151" w:rsidRDefault="007F7377" w:rsidP="00D87D91">
      <w:pPr>
        <w:rPr>
          <w:kern w:val="0"/>
        </w:rPr>
      </w:pPr>
      <w:r>
        <w:rPr>
          <w:kern w:val="0"/>
        </w:rPr>
        <w:t>【備註】</w:t>
      </w:r>
      <w:r w:rsidR="00203F72" w:rsidRPr="00A53581">
        <w:rPr>
          <w:kern w:val="0"/>
        </w:rPr>
        <w:t>本圖之資料來源</w:t>
      </w:r>
      <w:r w:rsidR="00D92F56">
        <w:rPr>
          <w:kern w:val="0"/>
        </w:rPr>
        <w:t>〜</w:t>
      </w:r>
      <w:r w:rsidR="00203F72" w:rsidRPr="00A53581">
        <w:t>我國現行修憲程序，上網瀏覽時間：</w:t>
      </w:r>
      <w:r w:rsidR="00203F72" w:rsidRPr="00A53581">
        <w:rPr>
          <w:rFonts w:hint="eastAsia"/>
        </w:rPr>
        <w:t>2015/07/25</w:t>
      </w:r>
      <w:r w:rsidR="00203F72" w:rsidRPr="00A53581">
        <w:rPr>
          <w:rFonts w:hint="eastAsia"/>
        </w:rPr>
        <w:t>，</w:t>
      </w:r>
      <w:hyperlink r:id="rId1595" w:history="1">
        <w:r w:rsidR="00203F72" w:rsidRPr="00A53581">
          <w:rPr>
            <w:rStyle w:val="a5"/>
          </w:rPr>
          <w:t>http://www.ccj.url.tw/VerfR/PDF/%E4%BF%AE%E6%86%B2%E7%A8%8B%E5%BA%8F.pdf</w:t>
        </w:r>
      </w:hyperlink>
      <w:r w:rsidR="00203F72" w:rsidRPr="00A53581">
        <w:t>。</w:t>
      </w:r>
    </w:p>
    <w:p w14:paraId="6D5FB9B6" w14:textId="77777777" w:rsidR="00953151" w:rsidRDefault="008768C1" w:rsidP="00D87D91">
      <w:r>
        <w:t xml:space="preserve">　　</w:t>
      </w:r>
      <w:r w:rsidR="00203F72" w:rsidRPr="00A53581">
        <w:t>茲以芬蘭修憲為例，就芬蘭憲法第</w:t>
      </w:r>
      <w:r w:rsidR="00203F72" w:rsidRPr="00A53581">
        <w:t>73</w:t>
      </w:r>
      <w:r w:rsidR="00203F72" w:rsidRPr="00A53581">
        <w:t>條而言；芬蘭憲法第</w:t>
      </w:r>
      <w:r w:rsidR="00203F72" w:rsidRPr="00A53581">
        <w:t>73</w:t>
      </w:r>
      <w:r w:rsidR="00203F72" w:rsidRPr="00A53581">
        <w:t>條係規範憲法之制定（</w:t>
      </w:r>
      <w:r w:rsidR="00203F72" w:rsidRPr="00A53581">
        <w:t>enact</w:t>
      </w:r>
      <w:r w:rsidR="00203F72" w:rsidRPr="00A53581">
        <w:t>）、修改（</w:t>
      </w:r>
      <w:r w:rsidR="00203F72" w:rsidRPr="00A53581">
        <w:t>amendment</w:t>
      </w:r>
      <w:r w:rsidR="00203F72" w:rsidRPr="00A53581">
        <w:t>）或廢止（</w:t>
      </w:r>
      <w:r w:rsidR="00203F72" w:rsidRPr="00A53581">
        <w:t>repeal of Constitution</w:t>
      </w:r>
      <w:r w:rsidR="00203F72" w:rsidRPr="00A53581">
        <w:t>）之程序流程（</w:t>
      </w:r>
      <w:r w:rsidR="00203F72" w:rsidRPr="00A53581">
        <w:t>procedure</w:t>
      </w:r>
      <w:r w:rsidR="00203F72" w:rsidRPr="00A53581">
        <w:t>）；芬蘭憲法第</w:t>
      </w:r>
      <w:r w:rsidR="00203F72" w:rsidRPr="00A53581">
        <w:t>73</w:t>
      </w:r>
      <w:r w:rsidR="00203F72" w:rsidRPr="00A53581">
        <w:t>條具有以下之特點：</w:t>
      </w:r>
      <w:r w:rsidR="00203F72" w:rsidRPr="00A53581">
        <w:t>1.</w:t>
      </w:r>
      <w:r w:rsidR="00203F72" w:rsidRPr="00A53581">
        <w:t>經由國會議員投票表決進行修改；</w:t>
      </w:r>
      <w:r w:rsidR="00203F72" w:rsidRPr="00A53581">
        <w:t>2.</w:t>
      </w:r>
      <w:r w:rsidR="00203F72" w:rsidRPr="00A53581">
        <w:t>在修改之程序上；首先；由當屆期國會議員提出憲法之修正草案（</w:t>
      </w:r>
      <w:r w:rsidR="00203F72" w:rsidRPr="00A53581">
        <w:t>A proposal on the amendment of the Constitution</w:t>
      </w:r>
      <w:r w:rsidR="00203F72" w:rsidRPr="00A53581">
        <w:t>），經由多數決之方式，經由</w:t>
      </w:r>
      <w:r w:rsidR="00203F72" w:rsidRPr="00A53581">
        <w:t>2</w:t>
      </w:r>
      <w:r w:rsidR="00203F72" w:rsidRPr="00A53581">
        <w:t>讀會，通過憲法之修改之第一個階段；在程序上，芬蘭憲法之修正案，須分別經過兩次不同屆次之國會議員之多數決同意，始能正式生效；</w:t>
      </w:r>
      <w:r w:rsidR="00203F72" w:rsidRPr="00A53581">
        <w:t>3.</w:t>
      </w:r>
      <w:r w:rsidR="00203F72" w:rsidRPr="00A53581">
        <w:t>在當屆期國會多數議員同意修正案之後；並不會馬上生效；芬蘭憲法修正案會處在中止之狀態；須待下屆國會議員改選之後之第一次大會，超過三分之二以上議員同意之後；始為生效；</w:t>
      </w:r>
      <w:r w:rsidR="00203F72" w:rsidRPr="00A53581">
        <w:t>4.</w:t>
      </w:r>
      <w:r w:rsidR="00203F72" w:rsidRPr="00A53581">
        <w:t>在當屆次國會通過修正案之後，「憲法委員會」（</w:t>
      </w:r>
      <w:r w:rsidR="00203F72" w:rsidRPr="00A53581">
        <w:t>Constitution Law Committee</w:t>
      </w:r>
      <w:r w:rsidR="00203F72" w:rsidRPr="00A53581">
        <w:t>）會編制與發行修憲提案之專案報告（</w:t>
      </w:r>
      <w:r w:rsidR="00203F72" w:rsidRPr="00A53581">
        <w:t>issue its report</w:t>
      </w:r>
      <w:r w:rsidR="00203F72" w:rsidRPr="00A53581">
        <w:t>），之後，再經由下屆期國會對上屆期國會所通過之憲法修正案進行表決。假若新改選產生之國會，於其第一次大會之中，並未對於上屆次國會議會員所通過之憲法修正案進行改變（</w:t>
      </w:r>
      <w:r w:rsidR="00203F72" w:rsidRPr="00A53581">
        <w:t>without material alterations in one reading in a plenary session</w:t>
      </w:r>
      <w:r w:rsidR="00203F72" w:rsidRPr="00A53581">
        <w:t>），且獲得新科議員三分之二之同意票，則憲法修正案正式被採認（認可）（</w:t>
      </w:r>
      <w:r w:rsidR="00203F72" w:rsidRPr="00A53581">
        <w:t>The proposal shall then he adopted</w:t>
      </w:r>
      <w:r w:rsidR="00203F72" w:rsidRPr="00A53581">
        <w:t>）；</w:t>
      </w:r>
      <w:r w:rsidR="00203F72" w:rsidRPr="00A53581">
        <w:t>5.</w:t>
      </w:r>
      <w:r w:rsidR="00203F72" w:rsidRPr="00A53581">
        <w:t>假若在情況緊急之下（</w:t>
      </w:r>
      <w:r w:rsidR="00203F72" w:rsidRPr="00A53581">
        <w:t>urgent</w:t>
      </w:r>
      <w:r w:rsidR="00203F72" w:rsidRPr="00A53581">
        <w:t>），在獲得當屆期國會議員六分之五之同意票下，可通過憲法修正案之提議；在此種情境之下，因情況屬於緊急，故憲法修正案之提議，並不會被中止之（</w:t>
      </w:r>
      <w:r w:rsidR="00203F72" w:rsidRPr="00A53581">
        <w:t>the proposal is not left in abeyance</w:t>
      </w:r>
      <w:r w:rsidR="00203F72" w:rsidRPr="00A53581">
        <w:t>），它具有提案之效力；於成案之後，在同意門檻方面，如經過國會三分之二議員以上支持同意（</w:t>
      </w:r>
      <w:r w:rsidR="00203F72" w:rsidRPr="00A53581">
        <w:t>supported by at least two thirds of the cotes cast</w:t>
      </w:r>
      <w:r w:rsidR="00203F72" w:rsidRPr="00A53581">
        <w:t>），則上述憲法緊急性之修正案，即可正式被同意（認可）（</w:t>
      </w:r>
      <w:r w:rsidR="00203F72" w:rsidRPr="00A53581">
        <w:t>it can be adopted</w:t>
      </w:r>
      <w:r w:rsidR="00203F72" w:rsidRPr="00A53581">
        <w:t>）（第</w:t>
      </w:r>
      <w:r w:rsidR="00203F72" w:rsidRPr="00A53581">
        <w:t>73</w:t>
      </w:r>
      <w:r w:rsidR="00203F72" w:rsidRPr="00A53581">
        <w:t>條第</w:t>
      </w:r>
      <w:r w:rsidR="00203F72" w:rsidRPr="00A53581">
        <w:t>2</w:t>
      </w:r>
      <w:r w:rsidR="00203F72" w:rsidRPr="00A53581">
        <w:t>項）；</w:t>
      </w:r>
      <w:r w:rsidR="00203F72" w:rsidRPr="00A53581">
        <w:t>6.</w:t>
      </w:r>
      <w:r w:rsidR="00203F72" w:rsidRPr="00A53581">
        <w:t>芬蘭憲法第</w:t>
      </w:r>
      <w:r w:rsidR="00203F72" w:rsidRPr="00A53581">
        <w:t>73</w:t>
      </w:r>
      <w:r w:rsidR="00203F72" w:rsidRPr="00A53581">
        <w:t>條所規範之修憲程序，第</w:t>
      </w:r>
      <w:r w:rsidR="00203F72" w:rsidRPr="00A53581">
        <w:t>1</w:t>
      </w:r>
      <w:r w:rsidR="00203F72" w:rsidRPr="00A53581">
        <w:t>項係規定平時（非緊急）之修憲流程；在第</w:t>
      </w:r>
      <w:r w:rsidR="00203F72" w:rsidRPr="00A53581">
        <w:t>73</w:t>
      </w:r>
      <w:r w:rsidR="00203F72" w:rsidRPr="00A53581">
        <w:t>條第</w:t>
      </w:r>
      <w:r w:rsidR="00203F72" w:rsidRPr="00A53581">
        <w:t>2</w:t>
      </w:r>
      <w:r w:rsidR="00203F72" w:rsidRPr="00A53581">
        <w:t>項方面，則規範國家面臨突發性之緊急狀況時（</w:t>
      </w:r>
      <w:r w:rsidR="00203F72" w:rsidRPr="00A53581">
        <w:t>urgent</w:t>
      </w:r>
      <w:r w:rsidR="00203F72" w:rsidRPr="00A53581">
        <w:t>）之修憲程序；在緊急狀況下，憲法之修正，無須分別經歷當屆期與下屆期兩屆國會之多數決同意，而改由當屆期國會議員多數決之同意下，即可進行快速修憲；</w:t>
      </w:r>
      <w:r w:rsidR="00203F72" w:rsidRPr="00A53581">
        <w:t>7.</w:t>
      </w:r>
      <w:r w:rsidR="00203F72" w:rsidRPr="00A53581">
        <w:t>芬蘭憲法第</w:t>
      </w:r>
      <w:r w:rsidR="00203F72" w:rsidRPr="00A53581">
        <w:t>73</w:t>
      </w:r>
      <w:r w:rsidR="00203F72" w:rsidRPr="00A53581">
        <w:t>條之立憲模式，修憲之主體，係為國會，此種之方式，並非屬於全民公投（公投修憲）之方式。</w:t>
      </w:r>
    </w:p>
    <w:p w14:paraId="0C645FD3" w14:textId="77777777" w:rsidR="00953151" w:rsidRDefault="008768C1" w:rsidP="00D87D91">
      <w:r>
        <w:t xml:space="preserve">　　</w:t>
      </w:r>
      <w:r w:rsidR="00203F72" w:rsidRPr="00A53581">
        <w:t>反觀我國憲法增修條文第</w:t>
      </w:r>
      <w:r w:rsidR="00203F72" w:rsidRPr="00A53581">
        <w:t>12</w:t>
      </w:r>
      <w:r w:rsidR="00203F72" w:rsidRPr="00A53581">
        <w:t>條之內涵；具有下列之特色：</w:t>
      </w:r>
      <w:r w:rsidR="00203F72" w:rsidRPr="00A53581">
        <w:t>1.</w:t>
      </w:r>
      <w:r w:rsidR="00203F72" w:rsidRPr="00A53581">
        <w:t>它具有「公投修憲」之機制；</w:t>
      </w:r>
      <w:r w:rsidR="00203F72" w:rsidRPr="00A53581">
        <w:t>2.</w:t>
      </w:r>
      <w:r w:rsidR="00203F72" w:rsidRPr="00A53581">
        <w:t>憲法之修改；立法院僅擁有提議（案）權，但並未具有實質之同意權，同意權歸全民所有；</w:t>
      </w:r>
      <w:r w:rsidR="00203F72" w:rsidRPr="00A53581">
        <w:t>3.</w:t>
      </w:r>
      <w:r w:rsidR="00203F72" w:rsidRPr="00A53581">
        <w:t>第</w:t>
      </w:r>
      <w:r w:rsidR="00203F72" w:rsidRPr="00A53581">
        <w:t>12</w:t>
      </w:r>
      <w:r w:rsidR="00203F72" w:rsidRPr="00A53581">
        <w:t>條之修憲；在未區分「平時」與「緊急狀況」之不同情事；</w:t>
      </w:r>
      <w:r w:rsidR="00203F72" w:rsidRPr="00A53581">
        <w:t>4.</w:t>
      </w:r>
      <w:r w:rsidR="00203F72" w:rsidRPr="00A53581">
        <w:t>假若國家遭遇緊急狀況，須進行緊急性、立即性及急迫性之修憲，「公投修憲」之方式，恐會緩不濟急，此為「公投修憲」極重大缺失之所在。</w:t>
      </w:r>
    </w:p>
    <w:p w14:paraId="01BCD9ED" w14:textId="77777777" w:rsidR="0014575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45011C62" w14:textId="77777777" w:rsidR="00145751" w:rsidRDefault="00145751" w:rsidP="00D87D91"/>
    <w:p w14:paraId="56AAB9CA" w14:textId="77777777" w:rsidR="00953151" w:rsidRDefault="00203F72" w:rsidP="00D87D91">
      <w:pPr>
        <w:pStyle w:val="1"/>
      </w:pPr>
      <w:bookmarkStart w:id="55" w:name="_第三篇_憲法與人權保障專題研究"/>
      <w:bookmarkEnd w:id="55"/>
      <w:r w:rsidRPr="006D35A8">
        <w:t>第三篇</w:t>
      </w:r>
      <w:r w:rsidRPr="006D35A8">
        <w:t xml:space="preserve"> </w:t>
      </w:r>
      <w:r w:rsidRPr="006D35A8">
        <w:t>憲法與人權保障專題研究</w:t>
      </w:r>
    </w:p>
    <w:p w14:paraId="6EA65139" w14:textId="77777777" w:rsidR="00203F72" w:rsidRPr="00A53581" w:rsidRDefault="00203F72" w:rsidP="00767F37">
      <w:pPr>
        <w:pStyle w:val="2"/>
      </w:pPr>
      <w:bookmarkStart w:id="56" w:name="_第一章_論人類胚胎生命權與生存權之保障"/>
      <w:bookmarkEnd w:id="56"/>
      <w:r w:rsidRPr="006D35A8">
        <w:t>第一章</w:t>
      </w:r>
      <w:r w:rsidRPr="006D35A8">
        <w:t xml:space="preserve"> </w:t>
      </w:r>
      <w:r w:rsidRPr="006D35A8">
        <w:t>論人類胚胎生命權與生存權之保障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14:paraId="7A92AF92" w14:textId="77777777" w:rsidTr="00203F72">
        <w:tc>
          <w:tcPr>
            <w:tcW w:w="8362" w:type="dxa"/>
            <w:shd w:val="clear" w:color="auto" w:fill="auto"/>
          </w:tcPr>
          <w:p w14:paraId="7D86E58C" w14:textId="77777777" w:rsidR="00203F72" w:rsidRPr="007C6CF7" w:rsidRDefault="00203F72" w:rsidP="007C6CF7">
            <w:pPr>
              <w:jc w:val="center"/>
              <w:rPr>
                <w:b/>
              </w:rPr>
            </w:pPr>
            <w:r w:rsidRPr="007C6CF7">
              <w:rPr>
                <w:b/>
              </w:rPr>
              <w:t>目次</w:t>
            </w:r>
          </w:p>
          <w:p w14:paraId="3B213727" w14:textId="77777777" w:rsidR="00203F72" w:rsidRPr="00A53581" w:rsidRDefault="00254E32" w:rsidP="00D87D91">
            <w:r>
              <w:t xml:space="preserve">　　</w:t>
            </w:r>
            <w:r w:rsidR="00203F72" w:rsidRPr="00A53581">
              <w:t>壹、人類幹細胞的分類</w:t>
            </w:r>
          </w:p>
          <w:p w14:paraId="044DA06C" w14:textId="77777777" w:rsidR="00203F72" w:rsidRPr="00A53581" w:rsidRDefault="00254E32" w:rsidP="00D87D91">
            <w:r>
              <w:t xml:space="preserve">　　</w:t>
            </w:r>
            <w:r w:rsidR="00203F72" w:rsidRPr="00A53581">
              <w:t>貮、人類胚胎幹細胞的應用涉及生命倫理的爭議</w:t>
            </w:r>
            <w:r w:rsidR="00203F72" w:rsidRPr="00A53581">
              <w:t xml:space="preserve"> </w:t>
            </w:r>
          </w:p>
          <w:p w14:paraId="31100D20" w14:textId="77777777" w:rsidR="00203F72" w:rsidRPr="00A53581" w:rsidRDefault="00254E32" w:rsidP="00D87D91">
            <w:r>
              <w:t xml:space="preserve">　　</w:t>
            </w:r>
            <w:r w:rsidR="00203F72" w:rsidRPr="00A53581">
              <w:t>參、成體幹細胞可以用來取代涉及生命倫理爭議的人類胚胎幹細胞</w:t>
            </w:r>
          </w:p>
          <w:p w14:paraId="4FD45FD0" w14:textId="77777777" w:rsidR="00203F72" w:rsidRPr="00A53581" w:rsidRDefault="00254E32" w:rsidP="00D87D91">
            <w:r>
              <w:t xml:space="preserve">　　</w:t>
            </w:r>
            <w:r w:rsidR="00203F72" w:rsidRPr="00A53581">
              <w:t>肆、用法律保護人類胚胎幹細胞的困境與不足</w:t>
            </w:r>
          </w:p>
          <w:p w14:paraId="216C8A94" w14:textId="77777777" w:rsidR="00203F72" w:rsidRPr="00A53581" w:rsidRDefault="00254E32" w:rsidP="00D87D91">
            <w:r>
              <w:t xml:space="preserve">　　</w:t>
            </w:r>
            <w:r w:rsidR="00203F72" w:rsidRPr="00A53581">
              <w:t>伍、人類胚胎生命權之保障之必要性</w:t>
            </w:r>
            <w:r w:rsidR="00D92F56">
              <w:t>〜</w:t>
            </w:r>
            <w:r w:rsidR="00203F72" w:rsidRPr="00A53581">
              <w:t>代結論</w:t>
            </w:r>
          </w:p>
          <w:p w14:paraId="5C0D0557" w14:textId="77777777" w:rsidR="00203F72" w:rsidRPr="00A53581" w:rsidRDefault="00203F72" w:rsidP="00D87D91"/>
        </w:tc>
      </w:tr>
    </w:tbl>
    <w:p w14:paraId="6866737D" w14:textId="77777777" w:rsidR="00203F72" w:rsidRPr="00A5358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3D698190" w14:textId="77777777" w:rsidR="00953151" w:rsidRDefault="00203F72" w:rsidP="00767F37">
      <w:pPr>
        <w:pStyle w:val="2"/>
      </w:pPr>
      <w:bookmarkStart w:id="57" w:name="_壹、人類幹細胞的分類"/>
      <w:bookmarkEnd w:id="57"/>
      <w:r w:rsidRPr="00A53581">
        <w:t>壹、人類幹細胞的分類</w:t>
      </w:r>
    </w:p>
    <w:p w14:paraId="139C5485" w14:textId="77777777" w:rsidR="00953151" w:rsidRPr="00BE652C" w:rsidRDefault="008768C1" w:rsidP="00BE652C">
      <w:r w:rsidRPr="00BE652C">
        <w:t xml:space="preserve">　　</w:t>
      </w:r>
      <w:r w:rsidR="00203F72" w:rsidRPr="00BE652C">
        <w:t>人類幹細胞</w:t>
      </w:r>
      <w:r w:rsidR="00203F72" w:rsidRPr="00BE652C">
        <w:t>(Stem cells)</w:t>
      </w:r>
      <w:r w:rsidR="00203F72" w:rsidRPr="00BE652C">
        <w:t>可以分為人類胚胎幹細胞</w:t>
      </w:r>
      <w:r w:rsidR="00203F72" w:rsidRPr="00BE652C">
        <w:t>(embryonic stem cells)</w:t>
      </w:r>
      <w:r w:rsidR="00203F72" w:rsidRPr="00BE652C">
        <w:t>與人類成體幹細胞</w:t>
      </w:r>
      <w:r w:rsidR="00203F72" w:rsidRPr="00BE652C">
        <w:t>(adult stem cell)</w:t>
      </w:r>
      <w:r w:rsidR="00203F72" w:rsidRPr="00BE652C">
        <w:t>。人類幹細胞是一種能夠自我更新且尚未分化的細胞，經由適當的誘導，可分化為多種組成身體組織或器官的細胞。人類幹細胞依其來源，主要可以分為兩大類：一、人類胚胎幹細胞；二、人類成體幹細胞。在上述兩類之幹細胞中，科學家特別中意於人類胚胎幹細胞。人類胚胎幹細胞包括具有：全功能分化性</w:t>
      </w:r>
      <w:r w:rsidR="00203F72" w:rsidRPr="00BE652C">
        <w:t>(totipotent stem cell)</w:t>
      </w:r>
      <w:r w:rsidR="00203F72" w:rsidRPr="00BE652C">
        <w:t>的受精卵，或是具有多潛能性</w:t>
      </w:r>
      <w:r w:rsidR="00203F72" w:rsidRPr="00BE652C">
        <w:t>(Pluripotent stem cells)</w:t>
      </w:r>
      <w:r w:rsidR="00203F72" w:rsidRPr="00BE652C">
        <w:t>，可以發育成三種不同胚層的「內層細胞團」</w:t>
      </w:r>
      <w:r w:rsidR="00203F72" w:rsidRPr="00BE652C">
        <w:footnoteReference w:id="226"/>
      </w:r>
      <w:r w:rsidR="00203F72" w:rsidRPr="00BE652C">
        <w:t>。</w:t>
      </w:r>
      <w:r w:rsidR="00193290" w:rsidRPr="00BE652C">
        <w:rPr>
          <w:rFonts w:hint="eastAsia"/>
          <w:color w:val="FFFFFF" w:themeColor="background1"/>
        </w:rPr>
        <w:t>◇◆</w:t>
      </w:r>
    </w:p>
    <w:p w14:paraId="6F6338AC" w14:textId="77777777" w:rsidR="00203F72" w:rsidRPr="00A53581" w:rsidRDefault="00203F72" w:rsidP="00D87D91">
      <w:r>
        <w:rPr>
          <w:noProof/>
        </w:rPr>
        <w:drawing>
          <wp:inline distT="0" distB="0" distL="0" distR="0" wp14:anchorId="05C68CC7" wp14:editId="2D1367D7">
            <wp:extent cx="4656455" cy="4267200"/>
            <wp:effectExtent l="0" t="0" r="0" b="0"/>
            <wp:docPr id="25" name="圖片 25" descr="1430000000907512906078307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4300000009075129060783072460"/>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4656455" cy="4267200"/>
                    </a:xfrm>
                    <a:prstGeom prst="rect">
                      <a:avLst/>
                    </a:prstGeom>
                    <a:noFill/>
                    <a:ln>
                      <a:noFill/>
                    </a:ln>
                  </pic:spPr>
                </pic:pic>
              </a:graphicData>
            </a:graphic>
          </wp:inline>
        </w:drawing>
      </w:r>
    </w:p>
    <w:p w14:paraId="4C820DD4" w14:textId="77777777" w:rsidR="00953151" w:rsidRPr="00BE652C" w:rsidRDefault="00B03E84" w:rsidP="00BE652C">
      <w:r w:rsidRPr="00BE652C">
        <w:t>【</w:t>
      </w:r>
      <w:r w:rsidRPr="00BE652C">
        <w:t>figure</w:t>
      </w:r>
      <w:r w:rsidR="005E23E3" w:rsidRPr="00BE652C">
        <w:t>】</w:t>
      </w:r>
      <w:r w:rsidR="00203F72" w:rsidRPr="00BE652C">
        <w:rPr>
          <w:rFonts w:hint="eastAsia"/>
        </w:rPr>
        <w:t>16</w:t>
      </w:r>
      <w:r w:rsidR="00203F72" w:rsidRPr="00BE652C">
        <w:t>胚胎幹細胞研究示意圖形</w:t>
      </w:r>
      <w:r w:rsidR="00203F72" w:rsidRPr="00BE652C">
        <w:footnoteReference w:id="227"/>
      </w:r>
    </w:p>
    <w:p w14:paraId="345954DC" w14:textId="77777777" w:rsidR="00953151" w:rsidRPr="00BE652C" w:rsidRDefault="008768C1" w:rsidP="00BE652C">
      <w:r w:rsidRPr="00BE652C">
        <w:t xml:space="preserve">　　</w:t>
      </w:r>
      <w:r w:rsidR="00203F72" w:rsidRPr="00BE652C">
        <w:t>至於人類成體幹細胞，則是指存留在成體器官中，仍保有再生與分化能力的幹細胞。這類的成體幹細胞，能分化成多種新類型的細胞，並且分化的過程中會表現出該類型細胞的系統階層（</w:t>
      </w:r>
      <w:r w:rsidR="00203F72" w:rsidRPr="00BE652C">
        <w:t>lineage hierarchy</w:t>
      </w:r>
      <w:r w:rsidR="00203F72" w:rsidRPr="00BE652C">
        <w:t>），被稱為「複潛能性幹細胞」</w:t>
      </w:r>
      <w:r w:rsidR="00203F72" w:rsidRPr="00BE652C">
        <w:footnoteReference w:id="228"/>
      </w:r>
      <w:r w:rsidR="00203F72" w:rsidRPr="00BE652C">
        <w:t>。</w:t>
      </w:r>
      <w:r w:rsidR="00193290" w:rsidRPr="007C6CF7">
        <w:rPr>
          <w:rFonts w:hint="eastAsia"/>
          <w:color w:val="FFFFFF" w:themeColor="background1"/>
        </w:rPr>
        <w:t>◇◆</w:t>
      </w:r>
    </w:p>
    <w:p w14:paraId="62194367" w14:textId="77777777" w:rsidR="00203F72" w:rsidRPr="00A53581" w:rsidRDefault="00203F72" w:rsidP="00D87D91"/>
    <w:p w14:paraId="7E3BAB31" w14:textId="77777777" w:rsidR="00203F72" w:rsidRPr="00A53581" w:rsidRDefault="00203F72" w:rsidP="00D87D91">
      <w:r>
        <w:rPr>
          <w:noProof/>
        </w:rPr>
        <w:drawing>
          <wp:inline distT="0" distB="0" distL="0" distR="0" wp14:anchorId="5C8369C3" wp14:editId="387D42B2">
            <wp:extent cx="5080000" cy="2903855"/>
            <wp:effectExtent l="0" t="0" r="6350" b="0"/>
            <wp:docPr id="26" name="圖片 26" descr="%E5%9C%965-web">
              <a:hlinkClick xmlns:a="http://schemas.openxmlformats.org/drawingml/2006/main" r:id="rId1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5%9C%965-web"/>
                    <pic:cNvPicPr>
                      <a:picLocks noChangeAspect="1" noChangeArrowheads="1"/>
                    </pic:cNvPicPr>
                  </pic:nvPicPr>
                  <pic:blipFill>
                    <a:blip r:embed="rId1598" cstate="print">
                      <a:extLst>
                        <a:ext uri="{28A0092B-C50C-407E-A947-70E740481C1C}">
                          <a14:useLocalDpi xmlns:a14="http://schemas.microsoft.com/office/drawing/2010/main" val="0"/>
                        </a:ext>
                      </a:extLst>
                    </a:blip>
                    <a:srcRect/>
                    <a:stretch>
                      <a:fillRect/>
                    </a:stretch>
                  </pic:blipFill>
                  <pic:spPr bwMode="auto">
                    <a:xfrm>
                      <a:off x="0" y="0"/>
                      <a:ext cx="5080000" cy="2903855"/>
                    </a:xfrm>
                    <a:prstGeom prst="rect">
                      <a:avLst/>
                    </a:prstGeom>
                    <a:noFill/>
                    <a:ln>
                      <a:noFill/>
                    </a:ln>
                  </pic:spPr>
                </pic:pic>
              </a:graphicData>
            </a:graphic>
          </wp:inline>
        </w:drawing>
      </w:r>
    </w:p>
    <w:p w14:paraId="522382C4" w14:textId="4753FDE1" w:rsidR="00953151" w:rsidRPr="00BE652C" w:rsidRDefault="00B03E84" w:rsidP="00BE652C">
      <w:pPr>
        <w:jc w:val="left"/>
      </w:pPr>
      <w:r w:rsidRPr="00BE652C">
        <w:t>【</w:t>
      </w:r>
      <w:r w:rsidRPr="00BE652C">
        <w:t>figure</w:t>
      </w:r>
      <w:r w:rsidR="005E23E3" w:rsidRPr="00BE652C">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22</w:t>
      </w:r>
      <w:r w:rsidR="00076467">
        <w:rPr>
          <w:noProof/>
        </w:rPr>
        <w:fldChar w:fldCharType="end"/>
      </w:r>
      <w:r w:rsidR="00203F72" w:rsidRPr="00BE652C">
        <w:t>培製人工多能性幹細胞的三種方式圖示</w:t>
      </w:r>
      <w:r w:rsidR="00203F72" w:rsidRPr="00BE652C">
        <w:footnoteReference w:id="229"/>
      </w:r>
    </w:p>
    <w:p w14:paraId="375C7EBB" w14:textId="77777777" w:rsidR="00953151" w:rsidRPr="00BE652C" w:rsidRDefault="00B03E84" w:rsidP="00BE652C">
      <w:pPr>
        <w:jc w:val="left"/>
      </w:pPr>
      <w:r w:rsidRPr="00BE652C">
        <w:t>【資料來源】</w:t>
      </w:r>
      <w:r w:rsidR="00203F72" w:rsidRPr="00BE652C">
        <w:t>陳彥榮</w:t>
      </w:r>
      <w:r w:rsidR="00203F72" w:rsidRPr="00BE652C">
        <w:t>(2014)</w:t>
      </w:r>
      <w:r w:rsidR="00203F72" w:rsidRPr="00BE652C">
        <w:t>，多能性幹細胞，</w:t>
      </w:r>
      <w:hyperlink r:id="rId1599" w:history="1">
        <w:r w:rsidR="00203F72" w:rsidRPr="00BE652C">
          <w:rPr>
            <w:rStyle w:val="a5"/>
          </w:rPr>
          <w:t>http://scimonth.blogspot.tw/2014/01/blog-post_5206.html</w:t>
        </w:r>
      </w:hyperlink>
      <w:r w:rsidR="00545D58" w:rsidRPr="00BE652C">
        <w:t>。</w:t>
      </w:r>
    </w:p>
    <w:p w14:paraId="7276AA7E" w14:textId="77777777" w:rsidR="00145751" w:rsidRPr="00A5358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4D778674" w14:textId="77777777" w:rsidR="00145751" w:rsidRDefault="00145751" w:rsidP="00D87D91"/>
    <w:p w14:paraId="7D6DF285" w14:textId="77777777" w:rsidR="00953151" w:rsidRDefault="00203F72" w:rsidP="00767F37">
      <w:pPr>
        <w:pStyle w:val="2"/>
      </w:pPr>
      <w:bookmarkStart w:id="58" w:name="_貮、人類胚胎幹細胞的應用涉及生命倫理的爭議"/>
      <w:bookmarkEnd w:id="58"/>
      <w:r w:rsidRPr="00A53581">
        <w:t>貮、人類胚胎幹細胞的應用涉及生命倫理的爭議</w:t>
      </w:r>
    </w:p>
    <w:p w14:paraId="7DFDC51C" w14:textId="77777777" w:rsidR="00953151" w:rsidRPr="00BE652C" w:rsidRDefault="008768C1" w:rsidP="00BE652C">
      <w:r w:rsidRPr="00BE652C">
        <w:t xml:space="preserve">　　</w:t>
      </w:r>
      <w:r w:rsidR="00203F72" w:rsidRPr="00BE652C">
        <w:t>人類胚胎幹細胞的研究受到許多矚目，此議題亦極具有爭議性。所謂人類胚胎幹細胞，是從人類胚胎</w:t>
      </w:r>
      <w:r w:rsidR="00203F72" w:rsidRPr="00BE652C">
        <w:t>(zygote)</w:t>
      </w:r>
      <w:r w:rsidR="00203F72" w:rsidRPr="00BE652C">
        <w:t>中，取出全能幹細胞</w:t>
      </w:r>
      <w:r w:rsidR="00203F72" w:rsidRPr="00BE652C">
        <w:t>(totipotent stem cell)</w:t>
      </w:r>
      <w:r w:rsidR="00203F72" w:rsidRPr="00BE652C">
        <w:t>或多潛能幹細胞來進行培養，其生長及分化能力都非常強，理論上，人類胚胎幹細胞能作更多的應用。但人類胚胎</w:t>
      </w:r>
      <w:r w:rsidR="00203F72" w:rsidRPr="00BE652C">
        <w:t>(zygote)</w:t>
      </w:r>
      <w:r w:rsidR="00203F72" w:rsidRPr="00BE652C">
        <w:t>的取得，牽到生命倫理、宗教、道德、法律的問題。胚胎本身是否具有生命權嗎？胚胎</w:t>
      </w:r>
      <w:r w:rsidR="00203F72" w:rsidRPr="00BE652C">
        <w:t>(zygote)</w:t>
      </w:r>
      <w:r w:rsidR="00203F72" w:rsidRPr="00BE652C">
        <w:t>之生命權是否受到自然法、憲法或法律層次之保障？為了取得人類胚胎幹細胞，而製造與利用人類胚胎</w:t>
      </w:r>
      <w:r w:rsidR="00203F72" w:rsidRPr="00BE652C">
        <w:t>(zygote)</w:t>
      </w:r>
      <w:r w:rsidR="00203F72" w:rsidRPr="00BE652C">
        <w:t>是否合乎倫理、宗教、道德、法律之規範？是否會涉及將人類胚胎</w:t>
      </w:r>
      <w:r w:rsidR="00203F72" w:rsidRPr="00BE652C">
        <w:t>(zygote)</w:t>
      </w:r>
      <w:r w:rsidR="00203F72" w:rsidRPr="00BE652C">
        <w:t>加以物化？</w:t>
      </w:r>
      <w:r w:rsidR="00203F72" w:rsidRPr="00BE652C">
        <w:footnoteReference w:id="230"/>
      </w:r>
    </w:p>
    <w:p w14:paraId="0B7FB97D" w14:textId="77777777" w:rsidR="00203F72" w:rsidRPr="00BE652C" w:rsidRDefault="008768C1" w:rsidP="00BE652C">
      <w:r w:rsidRPr="00BE652C">
        <w:t xml:space="preserve">　　</w:t>
      </w:r>
      <w:r w:rsidR="00203F72" w:rsidRPr="00BE652C">
        <w:t>假若，吾人從生物學的立場分析</w:t>
      </w:r>
      <w:r w:rsidR="00203F72" w:rsidRPr="00BE652C">
        <w:t xml:space="preserve">, </w:t>
      </w:r>
      <w:r w:rsidR="00203F72" w:rsidRPr="00BE652C">
        <w:t>受精卵</w:t>
      </w:r>
      <w:r w:rsidR="00203F72" w:rsidRPr="00BE652C">
        <w:t>(zygote)</w:t>
      </w:r>
      <w:r w:rsidR="00203F72" w:rsidRPr="00BE652C">
        <w:t>形成之後，相當神奇的，受精卵</w:t>
      </w:r>
      <w:r w:rsidR="00203F72" w:rsidRPr="00BE652C">
        <w:t>(zygote)</w:t>
      </w:r>
      <w:r w:rsidR="00203F72" w:rsidRPr="00BE652C">
        <w:t>本身就會開始分泌化合物，幫助其植入母體子宮中</w:t>
      </w:r>
      <w:r w:rsidR="00203F72" w:rsidRPr="00BE652C">
        <w:t>(implantation)</w:t>
      </w:r>
      <w:r w:rsidR="00203F72" w:rsidRPr="00BE652C">
        <w:t>，俾利作為胚胎發展之用。由此可見，受精卵</w:t>
      </w:r>
      <w:r w:rsidR="00203F72" w:rsidRPr="00BE652C">
        <w:t>(zygote)</w:t>
      </w:r>
      <w:r w:rsidR="00203F72" w:rsidRPr="00BE652C">
        <w:t>形成之後，其本身即具有成長之動能，會持續發育</w:t>
      </w:r>
      <w:r w:rsidR="00203F72" w:rsidRPr="00BE652C">
        <w:footnoteReference w:id="231"/>
      </w:r>
      <w:r w:rsidR="00203F72" w:rsidRPr="00BE652C">
        <w:t>。</w:t>
      </w:r>
    </w:p>
    <w:p w14:paraId="3DFB9CB1" w14:textId="77777777" w:rsidR="00203F72" w:rsidRPr="00BE652C" w:rsidRDefault="00203F72" w:rsidP="00BE652C"/>
    <w:p w14:paraId="78B7198D" w14:textId="77777777" w:rsidR="00953151" w:rsidRPr="00BE652C" w:rsidRDefault="008768C1" w:rsidP="00BE652C">
      <w:r w:rsidRPr="00BE652C">
        <w:t xml:space="preserve">　　</w:t>
      </w:r>
      <w:r w:rsidR="00203F72" w:rsidRPr="00BE652C">
        <w:t>人類胚胎幹細胞之研究，主要可被區分為「醫療性複製」和「生殖性複製」。「醫療性複製」，係指利用複製之技術，以複製胚胎，並透由破壞胚胎，以取出胚胎幹細胞，主要目的是針對特定的病患，建立與其組織抗原性完全相同的人類胚胎幹細胞，解決醫療移植時的免疫排斥問題。「生殖性複製」則是直接將核轉移所得到的細胞，經適當的培養後，移植到女性子宮內，以分娩出具有生命的複製人為目的。</w:t>
      </w:r>
      <w:r w:rsidR="00203F72" w:rsidRPr="00BE652C">
        <w:footnoteReference w:id="232"/>
      </w:r>
    </w:p>
    <w:p w14:paraId="235C1B9A" w14:textId="77777777" w:rsidR="00203F72" w:rsidRPr="00BE652C" w:rsidRDefault="008768C1" w:rsidP="00BE652C">
      <w:r w:rsidRPr="00BE652C">
        <w:t xml:space="preserve">　　</w:t>
      </w:r>
      <w:r w:rsidR="00203F72" w:rsidRPr="00BE652C">
        <w:t>另外，近年來，人類胚胎</w:t>
      </w:r>
      <w:r w:rsidR="00203F72" w:rsidRPr="00BE652C">
        <w:t>(zygote)</w:t>
      </w:r>
      <w:r w:rsidR="00203F72" w:rsidRPr="00BE652C">
        <w:t>幹細胞之研究，尚有一種新科技，名為母系分裂梭轉移</w:t>
      </w:r>
      <w:r w:rsidR="00203F72" w:rsidRPr="00BE652C">
        <w:t>(Maternal Spindle Transfer: MST)</w:t>
      </w:r>
      <w:r w:rsidR="00203F72" w:rsidRPr="00BE652C">
        <w:t>。其特色如下</w:t>
      </w:r>
      <w:r w:rsidR="00203F72" w:rsidRPr="00BE652C">
        <w:footnoteReference w:id="233"/>
      </w:r>
      <w:r w:rsidR="00203F72" w:rsidRPr="00BE652C">
        <w:t>：</w:t>
      </w:r>
    </w:p>
    <w:p w14:paraId="1F9BB3A5" w14:textId="77777777" w:rsidR="00203F72" w:rsidRPr="00BE652C" w:rsidRDefault="00480296" w:rsidP="00BE652C">
      <w:r w:rsidRPr="00BE652C">
        <w:rPr>
          <w:rFonts w:hint="eastAsia"/>
        </w:rPr>
        <w:t xml:space="preserve">　　</w:t>
      </w:r>
      <w:r w:rsidRPr="00BE652C">
        <w:rPr>
          <w:rFonts w:hint="eastAsia"/>
        </w:rPr>
        <w:t>1</w:t>
      </w:r>
      <w:r w:rsidRPr="00BE652C">
        <w:rPr>
          <w:rFonts w:hint="eastAsia"/>
        </w:rPr>
        <w:t>、</w:t>
      </w:r>
      <w:r w:rsidR="00203F72" w:rsidRPr="00BE652C">
        <w:t>假若某位女士，她有粒線體遺傳病，從該位具有粒線體遺傳病的婦女的卵子之中，取出含她染色體的分裂梭；</w:t>
      </w:r>
    </w:p>
    <w:p w14:paraId="33478C78" w14:textId="77777777" w:rsidR="00203F72" w:rsidRPr="00BE652C" w:rsidRDefault="00480296" w:rsidP="00BE652C">
      <w:r w:rsidRPr="00BE652C">
        <w:t xml:space="preserve">　　</w:t>
      </w:r>
      <w:r w:rsidR="00203F72" w:rsidRPr="00BE652C">
        <w:t xml:space="preserve"> </w:t>
      </w:r>
      <w:r w:rsidRPr="00BE652C">
        <w:rPr>
          <w:rFonts w:hint="eastAsia"/>
        </w:rPr>
        <w:t>2</w:t>
      </w:r>
      <w:r w:rsidRPr="00BE652C">
        <w:rPr>
          <w:rFonts w:hint="eastAsia"/>
        </w:rPr>
        <w:t>、</w:t>
      </w:r>
      <w:r w:rsidR="00203F72" w:rsidRPr="00BE652C">
        <w:t>將其染色體的分裂梭，移入一個業已被剝去</w:t>
      </w:r>
      <w:r w:rsidR="00203F72" w:rsidRPr="00BE652C">
        <w:t>(</w:t>
      </w:r>
      <w:r w:rsidR="00203F72" w:rsidRPr="00BE652C">
        <w:t>取出</w:t>
      </w:r>
      <w:r w:rsidR="00203F72" w:rsidRPr="00BE652C">
        <w:t>)</w:t>
      </w:r>
      <w:r w:rsidR="00203F72" w:rsidRPr="00BE652C">
        <w:t>細胞核的健康卵子中；</w:t>
      </w:r>
    </w:p>
    <w:p w14:paraId="5AE4B507" w14:textId="77777777" w:rsidR="00953151" w:rsidRDefault="00480296" w:rsidP="00BE652C">
      <w:r w:rsidRPr="00BE652C">
        <w:rPr>
          <w:rFonts w:hint="eastAsia"/>
        </w:rPr>
        <w:t xml:space="preserve">　　</w:t>
      </w:r>
      <w:r w:rsidRPr="00BE652C">
        <w:rPr>
          <w:rFonts w:hint="eastAsia"/>
        </w:rPr>
        <w:t>3</w:t>
      </w:r>
      <w:r w:rsidRPr="00BE652C">
        <w:rPr>
          <w:rFonts w:hint="eastAsia"/>
        </w:rPr>
        <w:t>、</w:t>
      </w:r>
      <w:r w:rsidR="00203F72" w:rsidRPr="00BE652C">
        <w:t>之後，在試管中，使其受精，之後，再將其放進有遺傳病的婦人的子宮中受孕。</w:t>
      </w:r>
      <w:r w:rsidR="00193290" w:rsidRPr="0065661E">
        <w:rPr>
          <w:rFonts w:hint="eastAsia"/>
          <w:color w:val="FFFFFF" w:themeColor="background1"/>
        </w:rPr>
        <w:t>◇◆</w:t>
      </w:r>
    </w:p>
    <w:p w14:paraId="1301BACB" w14:textId="77777777" w:rsidR="00953151" w:rsidRDefault="00953151" w:rsidP="00D87D91"/>
    <w:p w14:paraId="4467AAC7" w14:textId="77777777" w:rsidR="00203F72" w:rsidRPr="00A53581" w:rsidRDefault="00203F72" w:rsidP="00D87D91">
      <w:r>
        <w:rPr>
          <w:noProof/>
        </w:rPr>
        <w:drawing>
          <wp:inline distT="0" distB="0" distL="0" distR="0" wp14:anchorId="38746CDF" wp14:editId="6581886B">
            <wp:extent cx="4999355" cy="5592445"/>
            <wp:effectExtent l="0" t="0" r="0" b="8255"/>
            <wp:docPr id="27" name="圖片 27" descr="Unique opportunities for human nuclear transfer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ique opportunities for human nuclear transfer technology."/>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4999355" cy="5592445"/>
                    </a:xfrm>
                    <a:prstGeom prst="rect">
                      <a:avLst/>
                    </a:prstGeom>
                    <a:noFill/>
                    <a:ln>
                      <a:noFill/>
                    </a:ln>
                  </pic:spPr>
                </pic:pic>
              </a:graphicData>
            </a:graphic>
          </wp:inline>
        </w:drawing>
      </w:r>
    </w:p>
    <w:p w14:paraId="580F7480" w14:textId="6B11A238" w:rsidR="00953151" w:rsidRPr="00BE652C" w:rsidRDefault="00B03E84" w:rsidP="00BE652C">
      <w:r w:rsidRPr="00BE652C">
        <w:t>【</w:t>
      </w:r>
      <w:r w:rsidRPr="00BE652C">
        <w:t>figure</w:t>
      </w:r>
      <w:r w:rsidR="005E23E3" w:rsidRPr="00BE652C">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23</w:t>
      </w:r>
      <w:r w:rsidR="00076467">
        <w:rPr>
          <w:noProof/>
        </w:rPr>
        <w:fldChar w:fldCharType="end"/>
      </w:r>
      <w:r w:rsidR="00203F72" w:rsidRPr="00BE652C">
        <w:t>三種不同模式</w:t>
      </w:r>
      <w:r w:rsidR="00203F72" w:rsidRPr="00BE652C">
        <w:t>(</w:t>
      </w:r>
      <w:r w:rsidR="00203F72" w:rsidRPr="00BE652C">
        <w:t>正常受發展型、</w:t>
      </w:r>
      <w:r w:rsidR="00203F72" w:rsidRPr="00BE652C">
        <w:t>SCNT</w:t>
      </w:r>
      <w:r w:rsidR="00203F72" w:rsidRPr="00BE652C">
        <w:t>與母系分裂梭轉移</w:t>
      </w:r>
      <w:r w:rsidR="00D92F56" w:rsidRPr="00BE652C">
        <w:t>〜</w:t>
      </w:r>
      <w:r w:rsidR="00203F72" w:rsidRPr="00BE652C">
        <w:t>Maternal Spindle Transfer</w:t>
      </w:r>
      <w:r w:rsidR="00203F72" w:rsidRPr="00BE652C">
        <w:t>，</w:t>
      </w:r>
      <w:r w:rsidR="00203F72" w:rsidRPr="00BE652C">
        <w:t>MST)</w:t>
      </w:r>
      <w:r w:rsidR="00203F72" w:rsidRPr="00BE652C">
        <w:t>之人類胚胎成長圖示</w:t>
      </w:r>
      <w:r w:rsidR="00203F72" w:rsidRPr="00BE652C">
        <w:footnoteReference w:id="234"/>
      </w:r>
    </w:p>
    <w:p w14:paraId="63F53507" w14:textId="77777777" w:rsidR="00145751" w:rsidRDefault="00145751" w:rsidP="00D87D91"/>
    <w:p w14:paraId="51004846" w14:textId="77777777" w:rsidR="00145751" w:rsidRPr="00A53581" w:rsidRDefault="00145751" w:rsidP="00EE39EE">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12E19381" w14:textId="77777777" w:rsidR="00145751" w:rsidRDefault="00145751" w:rsidP="00D87D91"/>
    <w:p w14:paraId="72E468D1" w14:textId="77777777" w:rsidR="00145751" w:rsidRPr="00145751" w:rsidRDefault="00145751" w:rsidP="00D87D91"/>
    <w:p w14:paraId="3F961987" w14:textId="77777777" w:rsidR="00203F72" w:rsidRPr="00A53581" w:rsidRDefault="00203F72" w:rsidP="00767F37">
      <w:pPr>
        <w:pStyle w:val="2"/>
      </w:pPr>
      <w:bookmarkStart w:id="59" w:name="_參、成體幹細胞可以用來取代涉及生命倫理爭議的人類胚胎幹細胞"/>
      <w:bookmarkEnd w:id="59"/>
      <w:r w:rsidRPr="00A53581">
        <w:t>參、成體幹細胞可以用來取代涉及生命倫理爭議的人類胚胎幹細胞</w:t>
      </w:r>
    </w:p>
    <w:p w14:paraId="7C5E36C4" w14:textId="77777777" w:rsidR="00953151" w:rsidRPr="00BE652C" w:rsidRDefault="00455911" w:rsidP="00BE652C">
      <w:r w:rsidRPr="00BE652C">
        <w:t xml:space="preserve">　　</w:t>
      </w:r>
      <w:r w:rsidR="00203F72" w:rsidRPr="00BE652C">
        <w:t>成體幹細胞的應用，可以展現在以下的範圍：</w:t>
      </w:r>
      <w:r w:rsidR="00203F72" w:rsidRPr="00BE652C">
        <w:t>1</w:t>
      </w:r>
      <w:r w:rsidR="00203F72" w:rsidRPr="00BE652C">
        <w:t>、間質幹細胞（</w:t>
      </w:r>
      <w:r w:rsidR="00203F72" w:rsidRPr="00BE652C">
        <w:t>mesenchymal stem cell, MSC</w:t>
      </w:r>
      <w:r w:rsidR="00203F72" w:rsidRPr="00BE652C">
        <w:t>）或稱骨髓基質細胞</w:t>
      </w:r>
      <w:r w:rsidR="00203F72" w:rsidRPr="00BE652C">
        <w:footnoteReference w:id="235"/>
      </w:r>
      <w:r w:rsidR="00203F72" w:rsidRPr="00BE652C">
        <w:t>；</w:t>
      </w:r>
      <w:r w:rsidR="00203F72" w:rsidRPr="00BE652C">
        <w:t>2</w:t>
      </w:r>
      <w:r w:rsidR="00203F72" w:rsidRPr="00BE652C">
        <w:t>、臍帶血幹細胞</w:t>
      </w:r>
      <w:r w:rsidR="00203F72" w:rsidRPr="00BE652C">
        <w:footnoteReference w:id="236"/>
      </w:r>
      <w:r w:rsidR="00203F72" w:rsidRPr="00BE652C">
        <w:t>；</w:t>
      </w:r>
      <w:r w:rsidR="00203F72" w:rsidRPr="00BE652C">
        <w:t>3</w:t>
      </w:r>
      <w:r w:rsidR="00203F72" w:rsidRPr="00BE652C">
        <w:t>、脂肪幹細胞</w:t>
      </w:r>
      <w:r w:rsidR="00203F72" w:rsidRPr="00BE652C">
        <w:footnoteReference w:id="237"/>
      </w:r>
      <w:r w:rsidR="00203F72" w:rsidRPr="00BE652C">
        <w:t>；</w:t>
      </w:r>
      <w:r w:rsidR="00203F72" w:rsidRPr="00BE652C">
        <w:t>4</w:t>
      </w:r>
      <w:r w:rsidR="00203F72" w:rsidRPr="00BE652C">
        <w:t>、造血幹細胞</w:t>
      </w:r>
      <w:r w:rsidR="00203F72" w:rsidRPr="00BE652C">
        <w:footnoteReference w:id="238"/>
      </w:r>
      <w:r w:rsidR="00203F72" w:rsidRPr="00BE652C">
        <w:t>；</w:t>
      </w:r>
      <w:r w:rsidR="00203F72" w:rsidRPr="00BE652C">
        <w:t>5</w:t>
      </w:r>
      <w:r w:rsidR="00203F72" w:rsidRPr="00BE652C">
        <w:t>、神經幹細胞</w:t>
      </w:r>
      <w:r w:rsidR="00203F72" w:rsidRPr="00BE652C">
        <w:footnoteReference w:id="239"/>
      </w:r>
      <w:r w:rsidR="00203F72" w:rsidRPr="00BE652C">
        <w:t>；</w:t>
      </w:r>
      <w:r w:rsidR="00203F72" w:rsidRPr="00BE652C">
        <w:t>6</w:t>
      </w:r>
      <w:r w:rsidR="00203F72" w:rsidRPr="00BE652C">
        <w:t>、肝臟組織幹細胞</w:t>
      </w:r>
      <w:r w:rsidR="00203F72" w:rsidRPr="00BE652C">
        <w:footnoteReference w:id="240"/>
      </w:r>
      <w:r w:rsidR="00203F72" w:rsidRPr="00BE652C">
        <w:t>。</w:t>
      </w:r>
      <w:r w:rsidR="00193290" w:rsidRPr="00BE652C">
        <w:rPr>
          <w:rFonts w:hint="eastAsia"/>
          <w:color w:val="FFFFFF" w:themeColor="background1"/>
        </w:rPr>
        <w:t>◇◆</w:t>
      </w:r>
    </w:p>
    <w:p w14:paraId="4567FE88" w14:textId="77777777" w:rsidR="00203F72" w:rsidRPr="00A53581" w:rsidRDefault="00203F72" w:rsidP="00D87D91"/>
    <w:p w14:paraId="419C6EAA" w14:textId="77777777" w:rsidR="00203F72" w:rsidRPr="00A53581" w:rsidRDefault="00203F72" w:rsidP="00D87D91">
      <w:r>
        <w:rPr>
          <w:noProof/>
        </w:rPr>
        <w:drawing>
          <wp:inline distT="0" distB="0" distL="0" distR="0" wp14:anchorId="355B4FCE" wp14:editId="0B117100">
            <wp:extent cx="5130800" cy="3289300"/>
            <wp:effectExtent l="0" t="0" r="0" b="6350"/>
            <wp:docPr id="28" name="圖片 28" descr="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61"/>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5130800" cy="3289300"/>
                    </a:xfrm>
                    <a:prstGeom prst="rect">
                      <a:avLst/>
                    </a:prstGeom>
                    <a:noFill/>
                    <a:ln>
                      <a:noFill/>
                    </a:ln>
                  </pic:spPr>
                </pic:pic>
              </a:graphicData>
            </a:graphic>
          </wp:inline>
        </w:drawing>
      </w:r>
    </w:p>
    <w:p w14:paraId="294E3FA2" w14:textId="39FBDEA2" w:rsidR="00203F72" w:rsidRPr="00BE652C" w:rsidRDefault="00B03E84" w:rsidP="00BE652C">
      <w:pPr>
        <w:jc w:val="left"/>
      </w:pPr>
      <w:r w:rsidRPr="00BE652C">
        <w:t>【</w:t>
      </w:r>
      <w:r w:rsidRPr="00BE652C">
        <w:t>figure</w:t>
      </w:r>
      <w:r w:rsidR="005E23E3" w:rsidRPr="00BE652C">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24</w:t>
      </w:r>
      <w:r w:rsidR="00076467">
        <w:rPr>
          <w:noProof/>
        </w:rPr>
        <w:fldChar w:fldCharType="end"/>
      </w:r>
      <w:r w:rsidR="00203F72" w:rsidRPr="00BE652C">
        <w:t>人工誘導萬能幹細胞圖示</w:t>
      </w:r>
      <w:r w:rsidR="00203F72" w:rsidRPr="00BE652C">
        <w:footnoteReference w:id="241"/>
      </w:r>
    </w:p>
    <w:p w14:paraId="39EBF574" w14:textId="77777777" w:rsidR="00953151" w:rsidRPr="00BE652C" w:rsidRDefault="00B03E84" w:rsidP="00BE652C">
      <w:pPr>
        <w:jc w:val="left"/>
      </w:pPr>
      <w:r w:rsidRPr="00BE652C">
        <w:t>【資料來源】</w:t>
      </w:r>
      <w:r w:rsidR="00203F72" w:rsidRPr="00BE652C">
        <w:t>文匯報</w:t>
      </w:r>
      <w:r w:rsidR="00203F72" w:rsidRPr="00BE652C">
        <w:t>(2011)</w:t>
      </w:r>
      <w:r w:rsidR="00203F72" w:rsidRPr="00BE652C">
        <w:t>，</w:t>
      </w:r>
      <w:r w:rsidR="00203F72" w:rsidRPr="00BE652C">
        <w:t>Gearhart J. et al.(2007). NEJM, 357:1467-70.</w:t>
      </w:r>
      <w:r w:rsidR="00203F72" w:rsidRPr="00BE652C">
        <w:t>，人工誘導萬能幹細胞，</w:t>
      </w:r>
      <w:r w:rsidR="00203F72" w:rsidRPr="00BE652C">
        <w:t xml:space="preserve"> </w:t>
      </w:r>
      <w:hyperlink r:id="rId1602" w:history="1">
        <w:r w:rsidR="00203F72" w:rsidRPr="00BE652C">
          <w:rPr>
            <w:rStyle w:val="a5"/>
          </w:rPr>
          <w:t>http://paper.wenweipo.com/2011/01/14/HK1101140009.htm</w:t>
        </w:r>
      </w:hyperlink>
      <w:r w:rsidR="00203F72" w:rsidRPr="00BE652C">
        <w:t>。</w:t>
      </w:r>
    </w:p>
    <w:p w14:paraId="2C34478C" w14:textId="77777777" w:rsidR="00953151" w:rsidRPr="00BE652C" w:rsidRDefault="00455911" w:rsidP="00BE652C">
      <w:r w:rsidRPr="00BE652C">
        <w:t xml:space="preserve">　　</w:t>
      </w:r>
      <w:r w:rsidR="00203F72" w:rsidRPr="00BE652C">
        <w:t>有關成體幹細胞之發展，最近之發現，係</w:t>
      </w:r>
      <w:r w:rsidR="00203F72" w:rsidRPr="00BE652C">
        <w:t>Kim</w:t>
      </w:r>
      <w:r w:rsidR="00203F72" w:rsidRPr="00BE652C">
        <w:t>等研究人員，於</w:t>
      </w:r>
      <w:r w:rsidR="00203F72" w:rsidRPr="00BE652C">
        <w:t>2009</w:t>
      </w:r>
      <w:r w:rsidR="00203F72" w:rsidRPr="00BE652C">
        <w:t>年</w:t>
      </w:r>
      <w:r w:rsidR="00203F72" w:rsidRPr="00BE652C">
        <w:t>5</w:t>
      </w:r>
      <w:r w:rsidR="00203F72" w:rsidRPr="00BE652C">
        <w:t>月，宣稱其可透由操控人體之皮膚細胞</w:t>
      </w:r>
      <w:r w:rsidR="00203F72" w:rsidRPr="00BE652C">
        <w:t>(they had devised a way to manipulate skin cells)</w:t>
      </w:r>
      <w:r w:rsidR="00203F72" w:rsidRPr="00BE652C">
        <w:t>，生成誘導性多功能幹細胞（</w:t>
      </w:r>
      <w:r w:rsidR="00203F72" w:rsidRPr="00BE652C">
        <w:t>Induced pluripotent stem cells</w:t>
      </w:r>
      <w:r w:rsidR="00203F72" w:rsidRPr="00BE652C">
        <w:t>；縮寫作</w:t>
      </w:r>
      <w:r w:rsidR="00203F72" w:rsidRPr="00BE652C">
        <w:t>iPS</w:t>
      </w:r>
      <w:r w:rsidR="00203F72" w:rsidRPr="00BE652C">
        <w:t>）。所謂之誘導性多功能幹細胞，係指利用導入特定基因或是特定基因產物</w:t>
      </w:r>
      <w:r w:rsidR="00203F72" w:rsidRPr="00BE652C">
        <w:t>(</w:t>
      </w:r>
      <w:r w:rsidR="00203F72" w:rsidRPr="00BE652C">
        <w:t>蛋白質）等方式送入體細胞中，使該體細胞變成為具備如同胚胎幹細胞</w:t>
      </w:r>
      <w:r w:rsidR="00203F72" w:rsidRPr="00BE652C">
        <w:t>( ES</w:t>
      </w:r>
      <w:r w:rsidR="00203F72" w:rsidRPr="00BE652C">
        <w:t>細胞</w:t>
      </w:r>
      <w:r w:rsidR="00203F72" w:rsidRPr="00BE652C">
        <w:t>)</w:t>
      </w:r>
      <w:r w:rsidR="00203F72" w:rsidRPr="00BE652C">
        <w:t>般，具有分化成各式細胞之多功能分化能力，並且可以持續增生分裂</w:t>
      </w:r>
      <w:r w:rsidR="00203F72" w:rsidRPr="00BE652C">
        <w:footnoteReference w:id="242"/>
      </w:r>
      <w:r w:rsidR="00203F72" w:rsidRPr="00BE652C">
        <w:t>。</w:t>
      </w:r>
    </w:p>
    <w:p w14:paraId="6CA9889E" w14:textId="77777777" w:rsidR="00953151" w:rsidRPr="00BE652C" w:rsidRDefault="00455911" w:rsidP="00BE652C">
      <w:r w:rsidRPr="00BE652C">
        <w:t xml:space="preserve">　　</w:t>
      </w:r>
      <w:r w:rsidR="00203F72" w:rsidRPr="00BE652C">
        <w:t>由以上所介紹之成體幹細胞，可以發現，成人的組織中，或是新生兒的臍帶血中，存有不同種類的成體幹細胞，是可以用來取代涉及生命倫理爭議的人類胚胎幹細胞。</w:t>
      </w:r>
    </w:p>
    <w:p w14:paraId="3EEB0F88" w14:textId="77777777" w:rsidR="00145751" w:rsidRPr="00A5358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5ABFB13E" w14:textId="77777777" w:rsidR="00145751" w:rsidRDefault="00145751" w:rsidP="00D87D91"/>
    <w:p w14:paraId="06FF7364" w14:textId="77777777" w:rsidR="00203F72" w:rsidRPr="00A53581" w:rsidRDefault="00203F72" w:rsidP="00767F37">
      <w:pPr>
        <w:pStyle w:val="2"/>
      </w:pPr>
      <w:bookmarkStart w:id="60" w:name="_肆、用法律保護人類胚胎(zygote)的困境與不足"/>
      <w:bookmarkEnd w:id="60"/>
      <w:r w:rsidRPr="00A53581">
        <w:t>肆、用法律保護人類胚胎</w:t>
      </w:r>
      <w:r w:rsidRPr="00A53581">
        <w:t>(zygote)</w:t>
      </w:r>
      <w:r w:rsidRPr="00A53581">
        <w:t>的困境與不足</w:t>
      </w:r>
    </w:p>
    <w:p w14:paraId="10FA6AF8" w14:textId="77777777" w:rsidR="00953151" w:rsidRDefault="00455911" w:rsidP="00D87D91">
      <w:r>
        <w:t xml:space="preserve">　　</w:t>
      </w:r>
      <w:r w:rsidR="00203F72" w:rsidRPr="00A53581">
        <w:t>全球相當重</w:t>
      </w:r>
      <w:r w:rsidR="003E240E">
        <w:t>視</w:t>
      </w:r>
      <w:r w:rsidR="00203F72" w:rsidRPr="00A53581">
        <w:t>人權的國家，應屬歐洲，但歐洲人權法院向來拒絕人類胚胎</w:t>
      </w:r>
      <w:r w:rsidR="00203F72" w:rsidRPr="00A53581">
        <w:t>(zygote)</w:t>
      </w:r>
      <w:r w:rsidR="00203F72" w:rsidRPr="00A53581">
        <w:t>有所謂之人權，玆引述以下之案例加以說明：</w:t>
      </w:r>
    </w:p>
    <w:p w14:paraId="71E662F0" w14:textId="77777777" w:rsidR="00203F72" w:rsidRPr="00A53581" w:rsidRDefault="00455911" w:rsidP="00D87D91">
      <w:r>
        <w:t xml:space="preserve">　　</w:t>
      </w:r>
      <w:r w:rsidR="00203F72" w:rsidRPr="00A53581">
        <w:t>一、歐洲人權法院拒絕胚胎</w:t>
      </w:r>
      <w:r w:rsidR="00203F72" w:rsidRPr="00A53581">
        <w:t>(zygote)</w:t>
      </w:r>
      <w:r w:rsidR="00203F72" w:rsidRPr="00A53581">
        <w:t>有人的權利</w:t>
      </w:r>
    </w:p>
    <w:p w14:paraId="2E6E8FE5" w14:textId="77777777" w:rsidR="00203F72" w:rsidRPr="00BE652C" w:rsidRDefault="00455911" w:rsidP="00D87D91">
      <w:r>
        <w:t xml:space="preserve">　　</w:t>
      </w:r>
      <w:r w:rsidR="00203F72" w:rsidRPr="00A53581">
        <w:t>法國有一位婦女</w:t>
      </w:r>
      <w:r w:rsidR="00203F72" w:rsidRPr="00A53581">
        <w:t>Thi-Nho Vo</w:t>
      </w:r>
      <w:r w:rsidR="00203F72" w:rsidRPr="00A53581">
        <w:t>向歐洲人權法院提起告訴，主張法國違反法律，剝奪了其未出生之子女的生命權，結果法國法院拒絕對醫生定罪科刑，亦即，法國法院拒絕</w:t>
      </w:r>
      <w:r w:rsidR="00203F72" w:rsidRPr="00BE652C">
        <w:t>對醫生科以非志願性的殺人罪</w:t>
      </w:r>
      <w:r w:rsidR="00203F72" w:rsidRPr="00BE652C">
        <w:t>(Thi-Nho Vo had argued that France had violated the right to life of her unborn child, after French courts refused to convict the doctor of involuntary homicide.)</w:t>
      </w:r>
      <w:r w:rsidR="00203F72" w:rsidRPr="00BE652C">
        <w:t>。</w:t>
      </w:r>
      <w:r w:rsidR="00203F72" w:rsidRPr="00BE652C">
        <w:footnoteReference w:id="243"/>
      </w:r>
    </w:p>
    <w:p w14:paraId="6292FDA9" w14:textId="77777777" w:rsidR="00953151" w:rsidRPr="00BE652C" w:rsidRDefault="00455911" w:rsidP="00BE652C">
      <w:r w:rsidRPr="00BE652C">
        <w:t xml:space="preserve">　　</w:t>
      </w:r>
      <w:r w:rsidR="00203F72" w:rsidRPr="00BE652C">
        <w:t>歐洲人權法院的</w:t>
      </w:r>
      <w:r w:rsidR="00203F72" w:rsidRPr="00BE652C">
        <w:t>17</w:t>
      </w:r>
      <w:r w:rsidR="00203F72" w:rsidRPr="00BE652C">
        <w:t>位法官在</w:t>
      </w:r>
      <w:r w:rsidR="00203F72" w:rsidRPr="00BE652C">
        <w:t>2004</w:t>
      </w:r>
      <w:r w:rsidR="00203F72" w:rsidRPr="00BE652C">
        <w:t>年</w:t>
      </w:r>
      <w:r w:rsidR="00203F72" w:rsidRPr="00BE652C">
        <w:t>6</w:t>
      </w:r>
      <w:r w:rsidR="00203F72" w:rsidRPr="00BE652C">
        <w:t>月表示，對於人類生命究竟是起於何時之問題，這是屬於締約國要決定層次之問題，</w:t>
      </w:r>
      <w:r w:rsidR="00D92F56" w:rsidRPr="00BE652C">
        <w:t>〜</w:t>
      </w:r>
      <w:r w:rsidR="00203F72" w:rsidRPr="00BE652C">
        <w:t>-</w:t>
      </w:r>
      <w:r w:rsidR="00203F72" w:rsidRPr="00BE652C">
        <w:t>就已批准歐洲人權公約的大部分國家而論，尚未決定人類生命究竟是起於何時</w:t>
      </w:r>
      <w:r w:rsidR="00203F72" w:rsidRPr="00BE652C">
        <w:t>(The 17-judge panel ruled the issue of when the right to life begins "was a question to be decided at national level ... because the issue had not been decided within the majority of states" which have ratified the European Convention on human rights.)</w:t>
      </w:r>
      <w:r w:rsidR="00203F72" w:rsidRPr="00BE652C">
        <w:t>。</w:t>
      </w:r>
      <w:r w:rsidR="00203F72" w:rsidRPr="00BE652C">
        <w:footnoteReference w:id="244"/>
      </w:r>
      <w:r w:rsidR="00203F72" w:rsidRPr="00BE652C">
        <w:t>歐洲之歐洲人權法院，拒絕對於未初生之嬰兒，對其賦予完全的人權</w:t>
      </w:r>
      <w:r w:rsidR="00203F72" w:rsidRPr="00BE652C">
        <w:t>(Europe's top human rights court rejected to grant full human rights to a fetus.)</w:t>
      </w:r>
      <w:r w:rsidR="00203F72" w:rsidRPr="00BE652C">
        <w:t>。</w:t>
      </w:r>
      <w:r w:rsidR="00203F72" w:rsidRPr="00BE652C">
        <w:footnoteReference w:id="245"/>
      </w:r>
    </w:p>
    <w:p w14:paraId="3C1A2273" w14:textId="77777777" w:rsidR="00953151" w:rsidRPr="00BE652C" w:rsidRDefault="00455911" w:rsidP="00BE652C">
      <w:r w:rsidRPr="00BE652C">
        <w:t xml:space="preserve">　　</w:t>
      </w:r>
      <w:r w:rsidR="00203F72" w:rsidRPr="00BE652C">
        <w:t>歐洲人權法院並且表示，在歐洲大陸的目前現況，涉及人類胚胎或尚未初生之嬰兒的本質與地位問題，歐洲人權公約之締造國尚未有一致性的看法</w:t>
      </w:r>
      <w:r w:rsidR="00203F72" w:rsidRPr="00BE652C">
        <w:t>(The court said at the European level, "there was no consensus on the nature and a status of the embryo and/or fetus.")</w:t>
      </w:r>
      <w:r w:rsidR="00203F72" w:rsidRPr="00BE652C">
        <w:t>。</w:t>
      </w:r>
      <w:r w:rsidR="00203F72" w:rsidRPr="00BE652C">
        <w:footnoteReference w:id="246"/>
      </w:r>
    </w:p>
    <w:p w14:paraId="51A85863" w14:textId="77777777" w:rsidR="00953151" w:rsidRPr="00BE652C" w:rsidRDefault="00145751" w:rsidP="00BE652C">
      <w:r w:rsidRPr="00BE652C">
        <w:t xml:space="preserve">　　</w:t>
      </w:r>
      <w:r w:rsidR="00203F72" w:rsidRPr="00BE652C">
        <w:t>在</w:t>
      </w:r>
      <w:r w:rsidR="00203F72" w:rsidRPr="00BE652C">
        <w:t>14</w:t>
      </w:r>
      <w:r w:rsidR="00203F72" w:rsidRPr="00BE652C">
        <w:t>對</w:t>
      </w:r>
      <w:r w:rsidR="00203F72" w:rsidRPr="00BE652C">
        <w:t>2</w:t>
      </w:r>
      <w:r w:rsidR="00203F72" w:rsidRPr="00BE652C">
        <w:t>票中，歐洲人權法院作出結論表示，這不是歐洲人權法院有意願想要作的決定，亦非歐洲人權法院有可能會</w:t>
      </w:r>
      <w:r w:rsidR="00D92F56" w:rsidRPr="00BE652C">
        <w:t>〜</w:t>
      </w:r>
      <w:r w:rsidR="00203F72" w:rsidRPr="00BE652C">
        <w:t>回答以下的抽象問題，究竟未初生之嬰兒，是不是一個人？是以，首席法官並未投票</w:t>
      </w:r>
      <w:r w:rsidR="00203F72" w:rsidRPr="00BE652C">
        <w:t xml:space="preserve"> (In a 14-2 decision, the European Court concluded that "it was neither desirable, nor even possible ... to answer in the abstract the question whether the unborn child was a person." The presiding judge did not cast a vote.)</w:t>
      </w:r>
      <w:r w:rsidR="00545D58" w:rsidRPr="00BE652C">
        <w:t>。</w:t>
      </w:r>
    </w:p>
    <w:p w14:paraId="4253BA29" w14:textId="77777777" w:rsidR="00953151" w:rsidRPr="00BE652C" w:rsidRDefault="00480296" w:rsidP="00BE652C">
      <w:r w:rsidRPr="00BE652C">
        <w:t xml:space="preserve">　　</w:t>
      </w:r>
      <w:r w:rsidR="00203F72" w:rsidRPr="00BE652C">
        <w:t>二、</w:t>
      </w:r>
      <w:r w:rsidR="00203F72" w:rsidRPr="00BE652C">
        <w:t>2006</w:t>
      </w:r>
      <w:r w:rsidR="00203F72" w:rsidRPr="00BE652C">
        <w:t>年</w:t>
      </w:r>
      <w:r w:rsidR="00203F72" w:rsidRPr="00BE652C">
        <w:t>3</w:t>
      </w:r>
      <w:r w:rsidR="00203F72" w:rsidRPr="00BE652C">
        <w:t>月歐洲人權法院法官一致認定</w:t>
      </w:r>
      <w:r w:rsidR="00D92F56" w:rsidRPr="00BE652C">
        <w:t>〜</w:t>
      </w:r>
      <w:r w:rsidR="00203F72" w:rsidRPr="00BE652C">
        <w:t>人類胚胎</w:t>
      </w:r>
      <w:r w:rsidR="00203F72" w:rsidRPr="00BE652C">
        <w:t>(zygote)</w:t>
      </w:r>
      <w:r w:rsidR="00203F72" w:rsidRPr="00BE652C">
        <w:t>本身不具獨立「生存權」</w:t>
      </w:r>
    </w:p>
    <w:p w14:paraId="21199BD3" w14:textId="77777777" w:rsidR="00953151" w:rsidRPr="00BE652C" w:rsidRDefault="00480296" w:rsidP="00BE652C">
      <w:r w:rsidRPr="00BE652C">
        <w:t xml:space="preserve">　　</w:t>
      </w:r>
      <w:r w:rsidR="00203F72" w:rsidRPr="00BE652C">
        <w:t>在</w:t>
      </w:r>
      <w:r w:rsidR="00203F72" w:rsidRPr="00BE652C">
        <w:t>2006</w:t>
      </w:r>
      <w:r w:rsidR="00203F72" w:rsidRPr="00BE652C">
        <w:t>年</w:t>
      </w:r>
      <w:r w:rsidR="00203F72" w:rsidRPr="00BE652C">
        <w:t>3</w:t>
      </w:r>
      <w:r w:rsidR="00203F72" w:rsidRPr="00BE652C">
        <w:t>月英國婦女娜塔莉因癌症摘除卵巢乙案中，歐洲人權法院法官一致認定，胚胎</w:t>
      </w:r>
      <w:r w:rsidR="00203F72" w:rsidRPr="00BE652C">
        <w:t>(zygote)</w:t>
      </w:r>
      <w:r w:rsidR="00203F72" w:rsidRPr="00BE652C">
        <w:t>本身不具獨立「生存權」。歐洲法官以</w:t>
      </w:r>
      <w:r w:rsidR="00203F72" w:rsidRPr="00BE652C">
        <w:t>5</w:t>
      </w:r>
      <w:r w:rsidR="00203F72" w:rsidRPr="00BE652C">
        <w:t>比</w:t>
      </w:r>
      <w:r w:rsidR="00203F72" w:rsidRPr="00BE652C">
        <w:t>2</w:t>
      </w:r>
      <w:r w:rsidR="00203F72" w:rsidRPr="00BE652C">
        <w:t>票數做出裁定。這是歐洲人權法院首度針對不孕症治療做出的判決，多數生育專家贊同此判例，認為這支持男性拒絕生育的權利</w:t>
      </w:r>
      <w:r w:rsidR="00203F72" w:rsidRPr="00BE652C">
        <w:footnoteReference w:id="247"/>
      </w:r>
      <w:r w:rsidR="00545D58" w:rsidRPr="00BE652C">
        <w:t>。</w:t>
      </w:r>
    </w:p>
    <w:p w14:paraId="6E7BBAD3" w14:textId="77777777" w:rsidR="00145751" w:rsidRPr="00A5358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1BBB344E" w14:textId="77777777" w:rsidR="00145751" w:rsidRDefault="00145751" w:rsidP="00D87D91"/>
    <w:p w14:paraId="77D24D5A" w14:textId="77777777" w:rsidR="00203F72" w:rsidRPr="00A53581" w:rsidRDefault="00203F72" w:rsidP="00767F37">
      <w:pPr>
        <w:pStyle w:val="2"/>
      </w:pPr>
      <w:bookmarkStart w:id="61" w:name="_伍、人類胚胎(zygote)生命權之保障之必要性---代結論"/>
      <w:bookmarkEnd w:id="61"/>
      <w:r w:rsidRPr="00A53581">
        <w:t>伍、人類胚胎</w:t>
      </w:r>
      <w:r w:rsidRPr="00A53581">
        <w:t>(zygote)</w:t>
      </w:r>
      <w:r w:rsidRPr="00A53581">
        <w:t>生命權之保障之必要性</w:t>
      </w:r>
      <w:r w:rsidR="00D92F56">
        <w:t>〜</w:t>
      </w:r>
      <w:r w:rsidRPr="00A53581">
        <w:t>代結論</w:t>
      </w:r>
    </w:p>
    <w:p w14:paraId="59EE7EAA" w14:textId="77777777" w:rsidR="00203F72" w:rsidRPr="00BE652C" w:rsidRDefault="00145751" w:rsidP="00BE652C">
      <w:r>
        <w:t xml:space="preserve">　　</w:t>
      </w:r>
      <w:r w:rsidR="00203F72" w:rsidRPr="00A53581">
        <w:t>從胚胎取得研究用的多能性幹細胞，主要來自四種途徑：</w:t>
      </w:r>
      <w:r w:rsidR="00203F72" w:rsidRPr="00A53581">
        <w:t>1</w:t>
      </w:r>
      <w:r w:rsidR="00203F72" w:rsidRPr="00A53581">
        <w:t>、自然流產或人工流產後的胚胎組織；</w:t>
      </w:r>
      <w:r w:rsidR="00203F72" w:rsidRPr="00A53581">
        <w:t>2</w:t>
      </w:r>
      <w:r w:rsidR="00203F72" w:rsidRPr="00A53581">
        <w:t>、人工生殖後多餘的胚胎；</w:t>
      </w:r>
      <w:r w:rsidR="00203F72" w:rsidRPr="00A53581">
        <w:t>3</w:t>
      </w:r>
      <w:r w:rsidR="00203F72" w:rsidRPr="00A53581">
        <w:t>、以「體細胞核轉植」（即複製）方式製</w:t>
      </w:r>
      <w:r w:rsidR="00203F72" w:rsidRPr="00BE652C">
        <w:t>造的人類或混種胚胎；</w:t>
      </w:r>
      <w:r w:rsidR="00203F72" w:rsidRPr="00BE652C">
        <w:t>4</w:t>
      </w:r>
      <w:r w:rsidR="00203F72" w:rsidRPr="00BE652C">
        <w:t>、專為研究用而由捐贈的配子製造出來的胚胎</w:t>
      </w:r>
      <w:r w:rsidR="00203F72" w:rsidRPr="00BE652C">
        <w:footnoteReference w:id="248"/>
      </w:r>
      <w:r w:rsidR="00203F72" w:rsidRPr="00BE652C">
        <w:t>。有關人類胚胎幹細胞的生命議題，非常值得加以關注。</w:t>
      </w:r>
    </w:p>
    <w:p w14:paraId="2D7E1B19" w14:textId="77777777" w:rsidR="00203F72" w:rsidRPr="00BE652C" w:rsidRDefault="00480296" w:rsidP="00BE652C">
      <w:r w:rsidRPr="00BE652C">
        <w:t xml:space="preserve">　　</w:t>
      </w:r>
      <w:r w:rsidR="00203F72" w:rsidRPr="00BE652C">
        <w:t>根據釋慈廣法師在「從桃莉羊到複製人的倫理困惑</w:t>
      </w:r>
      <w:r w:rsidR="00D92F56" w:rsidRPr="00BE652C">
        <w:t>〜</w:t>
      </w:r>
      <w:r w:rsidR="00203F72" w:rsidRPr="00BE652C">
        <w:t>佛教倫理觀點的省思（上）</w:t>
      </w:r>
      <w:r w:rsidR="00203F72" w:rsidRPr="00BE652C">
        <w:t>(</w:t>
      </w:r>
      <w:r w:rsidR="00203F72" w:rsidRPr="00BE652C">
        <w:t>下</w:t>
      </w:r>
      <w:r w:rsidR="00203F72" w:rsidRPr="00BE652C">
        <w:t>)</w:t>
      </w:r>
      <w:r w:rsidR="00203F72" w:rsidRPr="00BE652C">
        <w:t>」一文的研究之中，其認為：</w:t>
      </w:r>
    </w:p>
    <w:p w14:paraId="59E251AB" w14:textId="77777777" w:rsidR="00203F72" w:rsidRPr="00BE652C" w:rsidRDefault="00480296" w:rsidP="00BE652C">
      <w:r w:rsidRPr="00BE652C">
        <w:rPr>
          <w:rFonts w:hint="eastAsia"/>
        </w:rPr>
        <w:t xml:space="preserve">　　</w:t>
      </w:r>
      <w:r w:rsidRPr="00BE652C">
        <w:rPr>
          <w:rFonts w:hint="eastAsia"/>
        </w:rPr>
        <w:t>1</w:t>
      </w:r>
      <w:r w:rsidRPr="00BE652C">
        <w:rPr>
          <w:rFonts w:hint="eastAsia"/>
        </w:rPr>
        <w:t>、</w:t>
      </w:r>
      <w:r w:rsidR="00203F72" w:rsidRPr="00BE652C">
        <w:t>使用人類胚胎幹細胞或動物作實驗，它們被不平等的犧牲掉生存、免於饑餓、免於恐懼等權利；</w:t>
      </w:r>
    </w:p>
    <w:p w14:paraId="5A63E0D1" w14:textId="77777777" w:rsidR="00203F72" w:rsidRPr="00BE652C" w:rsidRDefault="00480296" w:rsidP="00BE652C">
      <w:r w:rsidRPr="00BE652C">
        <w:rPr>
          <w:rFonts w:hint="eastAsia"/>
        </w:rPr>
        <w:t xml:space="preserve">　　</w:t>
      </w:r>
      <w:r w:rsidRPr="00BE652C">
        <w:rPr>
          <w:rFonts w:hint="eastAsia"/>
        </w:rPr>
        <w:t>2</w:t>
      </w:r>
      <w:r w:rsidRPr="00BE652C">
        <w:rPr>
          <w:rFonts w:hint="eastAsia"/>
        </w:rPr>
        <w:t>、</w:t>
      </w:r>
      <w:r w:rsidR="00203F72" w:rsidRPr="00BE652C">
        <w:t>存在造成嚴重傷害或遭受高機率失敗的實驗風險，就結果而言，形同虐待。以佛教的仁愛精神來講，就是護生；</w:t>
      </w:r>
    </w:p>
    <w:p w14:paraId="44B487A5" w14:textId="77777777" w:rsidR="00203F72" w:rsidRPr="00BE652C" w:rsidRDefault="00480296" w:rsidP="00BE652C">
      <w:r w:rsidRPr="00BE652C">
        <w:rPr>
          <w:rFonts w:hint="eastAsia"/>
        </w:rPr>
        <w:t xml:space="preserve">　　</w:t>
      </w:r>
      <w:r w:rsidRPr="00BE652C">
        <w:rPr>
          <w:rFonts w:hint="eastAsia"/>
        </w:rPr>
        <w:t>3</w:t>
      </w:r>
      <w:r w:rsidRPr="00BE652C">
        <w:rPr>
          <w:rFonts w:hint="eastAsia"/>
        </w:rPr>
        <w:t>、</w:t>
      </w:r>
      <w:r w:rsidR="00203F72" w:rsidRPr="00BE652C">
        <w:t>植基於「無緣大慈，同體大悲」的胸懷，誓願救度眾生，無怨無悔。《華嚴經》說：「菩薩為大施主，悉能捨離一切所有，等心惠施一切眾生，施已無悔，不望果報，</w:t>
      </w:r>
      <w:r w:rsidR="00203F72" w:rsidRPr="00BE652C">
        <w:t>…</w:t>
      </w:r>
      <w:r w:rsidR="00203F72" w:rsidRPr="00BE652C">
        <w:t>但欲救護一切眾生，二欲攝取一切眾生，</w:t>
      </w:r>
      <w:r w:rsidR="00203F72" w:rsidRPr="00BE652C">
        <w:t xml:space="preserve">… </w:t>
      </w:r>
      <w:r w:rsidR="00203F72" w:rsidRPr="00BE652C">
        <w:t>十欲令一切眾生離苦得涅槃樂。」</w:t>
      </w:r>
      <w:r w:rsidR="00203F72" w:rsidRPr="00BE652C">
        <w:footnoteReference w:id="249"/>
      </w:r>
      <w:r w:rsidR="00203F72" w:rsidRPr="00BE652C">
        <w:t>；</w:t>
      </w:r>
    </w:p>
    <w:p w14:paraId="5CC496FD" w14:textId="77777777" w:rsidR="00203F72" w:rsidRPr="00BE652C" w:rsidRDefault="00480296" w:rsidP="00BE652C">
      <w:r w:rsidRPr="00BE652C">
        <w:rPr>
          <w:rFonts w:hint="eastAsia"/>
        </w:rPr>
        <w:t xml:space="preserve">　　</w:t>
      </w:r>
      <w:r w:rsidRPr="00BE652C">
        <w:rPr>
          <w:rFonts w:hint="eastAsia"/>
        </w:rPr>
        <w:t>4</w:t>
      </w:r>
      <w:r w:rsidRPr="00BE652C">
        <w:rPr>
          <w:rFonts w:hint="eastAsia"/>
        </w:rPr>
        <w:t>、</w:t>
      </w:r>
      <w:r w:rsidR="00203F72" w:rsidRPr="00BE652C">
        <w:t>仁愛原則雖是一種道德的理想，但若仔細思量，「為我而令眾生受苦迫，情何以堪？！」</w:t>
      </w:r>
    </w:p>
    <w:p w14:paraId="7CE13DC6" w14:textId="77777777" w:rsidR="00953151" w:rsidRPr="00BE652C" w:rsidRDefault="00480296" w:rsidP="00BE652C">
      <w:r w:rsidRPr="00BE652C">
        <w:rPr>
          <w:rFonts w:hint="eastAsia"/>
        </w:rPr>
        <w:t xml:space="preserve">　　</w:t>
      </w:r>
      <w:r w:rsidRPr="00BE652C">
        <w:rPr>
          <w:rFonts w:hint="eastAsia"/>
        </w:rPr>
        <w:t>5</w:t>
      </w:r>
      <w:r w:rsidRPr="00BE652C">
        <w:rPr>
          <w:rFonts w:hint="eastAsia"/>
        </w:rPr>
        <w:t>、</w:t>
      </w:r>
      <w:r w:rsidR="00203F72" w:rsidRPr="00BE652C">
        <w:t>不當的，殘酷的人體、動物乃至於胚胎幹細胞實驗，實是吾人應該極力去避免違反道德的情事。</w:t>
      </w:r>
      <w:r w:rsidR="00203F72" w:rsidRPr="00BE652C">
        <w:footnoteReference w:id="250"/>
      </w:r>
      <w:r w:rsidR="00193290" w:rsidRPr="00BE652C">
        <w:rPr>
          <w:rFonts w:hint="eastAsia"/>
          <w:color w:val="FFFFFF" w:themeColor="background1"/>
        </w:rPr>
        <w:t>◇◆</w:t>
      </w:r>
    </w:p>
    <w:p w14:paraId="680BDB46" w14:textId="77777777" w:rsidR="00203F72" w:rsidRPr="00A53581" w:rsidRDefault="00203F72" w:rsidP="00D87D91">
      <w:r>
        <w:rPr>
          <w:noProof/>
        </w:rPr>
        <w:drawing>
          <wp:inline distT="0" distB="0" distL="0" distR="0" wp14:anchorId="3728B457" wp14:editId="2F9B2EF2">
            <wp:extent cx="5186045" cy="5198745"/>
            <wp:effectExtent l="0" t="0" r="0" b="0"/>
            <wp:docPr id="29" name="圖片 29" descr="桃莉羊流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桃莉羊流程圖"/>
                    <pic:cNvPicPr>
                      <a:picLocks noChangeAspect="1" noChangeArrowheads="1"/>
                    </pic:cNvPicPr>
                  </pic:nvPicPr>
                  <pic:blipFill>
                    <a:blip r:embed="rId1603" cstate="print">
                      <a:extLst>
                        <a:ext uri="{28A0092B-C50C-407E-A947-70E740481C1C}">
                          <a14:useLocalDpi xmlns:a14="http://schemas.microsoft.com/office/drawing/2010/main" val="0"/>
                        </a:ext>
                      </a:extLst>
                    </a:blip>
                    <a:srcRect/>
                    <a:stretch>
                      <a:fillRect/>
                    </a:stretch>
                  </pic:blipFill>
                  <pic:spPr bwMode="auto">
                    <a:xfrm>
                      <a:off x="0" y="0"/>
                      <a:ext cx="5186045" cy="5198745"/>
                    </a:xfrm>
                    <a:prstGeom prst="rect">
                      <a:avLst/>
                    </a:prstGeom>
                    <a:noFill/>
                    <a:ln>
                      <a:noFill/>
                    </a:ln>
                  </pic:spPr>
                </pic:pic>
              </a:graphicData>
            </a:graphic>
          </wp:inline>
        </w:drawing>
      </w:r>
    </w:p>
    <w:p w14:paraId="29E8007F" w14:textId="78B39CE3" w:rsidR="00953151" w:rsidRPr="00BE652C" w:rsidRDefault="00B03E84" w:rsidP="00EE39EE">
      <w:pPr>
        <w:jc w:val="left"/>
      </w:pPr>
      <w:r w:rsidRPr="00BE652C">
        <w:t>【</w:t>
      </w:r>
      <w:r w:rsidRPr="00BE652C">
        <w:t>figure</w:t>
      </w:r>
      <w:r w:rsidR="005E23E3" w:rsidRPr="00BE652C">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25</w:t>
      </w:r>
      <w:r w:rsidR="00076467">
        <w:rPr>
          <w:noProof/>
        </w:rPr>
        <w:fldChar w:fldCharType="end"/>
      </w:r>
      <w:r w:rsidR="00203F72" w:rsidRPr="00BE652C">
        <w:t>桃莉羊複製過程圖示</w:t>
      </w:r>
      <w:r w:rsidR="00203F72" w:rsidRPr="00BE652C">
        <w:footnoteReference w:id="251"/>
      </w:r>
    </w:p>
    <w:p w14:paraId="4467C979" w14:textId="77777777" w:rsidR="00953151" w:rsidRPr="00BE652C" w:rsidRDefault="00B03E84" w:rsidP="00EE39EE">
      <w:pPr>
        <w:jc w:val="left"/>
      </w:pPr>
      <w:r w:rsidRPr="00BE652C">
        <w:t>【資料來源】</w:t>
      </w:r>
      <w:r w:rsidR="00203F72" w:rsidRPr="00BE652C">
        <w:t>黃俊儒，桃莉複製羊的流程圖，</w:t>
      </w:r>
      <w:hyperlink r:id="rId1604" w:history="1">
        <w:r w:rsidR="00203F72" w:rsidRPr="00EE39EE">
          <w:rPr>
            <w:rStyle w:val="a5"/>
            <w:rFonts w:ascii="Times New Roman" w:eastAsia="新細明體" w:hAnsi="Times New Roman"/>
          </w:rPr>
          <w:t>http://get.aca.ntu.edu.tw/getcdb/handle/getcdb/308163</w:t>
        </w:r>
      </w:hyperlink>
      <w:r w:rsidR="00545D58" w:rsidRPr="00BE652C">
        <w:t>。</w:t>
      </w:r>
    </w:p>
    <w:p w14:paraId="5CA90FC8" w14:textId="77777777" w:rsidR="00953151" w:rsidRPr="00BE652C" w:rsidRDefault="00480296" w:rsidP="00BE652C">
      <w:r w:rsidRPr="00BE652C">
        <w:t xml:space="preserve">　　</w:t>
      </w:r>
      <w:r w:rsidR="00203F72" w:rsidRPr="00BE652C">
        <w:t>佛教倫理依循的四個中層原則的網絡，亦即是扣準下述的道德規範</w:t>
      </w:r>
      <w:r w:rsidR="00203F72" w:rsidRPr="00BE652C">
        <w:footnoteReference w:id="252"/>
      </w:r>
      <w:r w:rsidR="00203F72" w:rsidRPr="00BE652C">
        <w:t>：自律原則；</w:t>
      </w:r>
      <w:r w:rsidR="00203F72" w:rsidRPr="00BE652C">
        <w:t>2.</w:t>
      </w:r>
      <w:r w:rsidR="00203F72" w:rsidRPr="00BE652C">
        <w:t>不傷害原則；</w:t>
      </w:r>
      <w:r w:rsidR="00203F72" w:rsidRPr="00BE652C">
        <w:t>3.</w:t>
      </w:r>
      <w:r w:rsidR="00203F72" w:rsidRPr="00BE652C">
        <w:t>公正原則；</w:t>
      </w:r>
      <w:r w:rsidR="00203F72" w:rsidRPr="00BE652C">
        <w:t>4.</w:t>
      </w:r>
      <w:r w:rsidR="00203F72" w:rsidRPr="00BE652C">
        <w:t>仁愛原則。根據釋慈廣法師之研究，所謂不傷害原則，是指行為的表現不構成精神和肉體的損傷，也排除心理和資產的損害與痛苦，而且包括傷害的風險（</w:t>
      </w:r>
      <w:r w:rsidR="00203F72" w:rsidRPr="00BE652C">
        <w:t>risk</w:t>
      </w:r>
      <w:r w:rsidR="00203F72" w:rsidRPr="00BE652C">
        <w:t>）在內。以不傷害的內容來說：消極而言，是要求不應對任何人或物造成傷害；積極而言，則是防止罪惡或傷害，消除罪惡或傷害，以至於促進對人有益的善事。換言之，一切生命都有生存和趨樂避苦的自然要求，若以傷害或造成其所厭惡的痛苦狀況，構成生命的缺憾傷害他人或物，都是道德上不容許的行為</w:t>
      </w:r>
      <w:r w:rsidR="00203F72" w:rsidRPr="00BE652C">
        <w:footnoteReference w:id="253"/>
      </w:r>
      <w:r w:rsidR="00203F72" w:rsidRPr="00BE652C">
        <w:t>。</w:t>
      </w:r>
    </w:p>
    <w:p w14:paraId="5CCF49EA" w14:textId="77777777" w:rsidR="00953151" w:rsidRPr="00BE652C" w:rsidRDefault="00480296" w:rsidP="00BE652C">
      <w:r w:rsidRPr="00BE652C">
        <w:t xml:space="preserve">　　</w:t>
      </w:r>
      <w:r w:rsidR="00203F72" w:rsidRPr="00BE652C">
        <w:t>從佛教之觀點而論，胚胎</w:t>
      </w:r>
      <w:r w:rsidR="00203F72" w:rsidRPr="00BE652C">
        <w:t>(zygote)</w:t>
      </w:r>
      <w:r w:rsidR="00203F72" w:rsidRPr="00BE652C">
        <w:t>生成之後，而與第八識</w:t>
      </w:r>
      <w:r w:rsidR="00203F72" w:rsidRPr="00BE652C">
        <w:t>(</w:t>
      </w:r>
      <w:r w:rsidR="00203F72" w:rsidRPr="00BE652C">
        <w:t>俗稱為靈魂</w:t>
      </w:r>
      <w:r w:rsidR="00203F72" w:rsidRPr="00BE652C">
        <w:t>)</w:t>
      </w:r>
      <w:r w:rsidR="00203F72" w:rsidRPr="00BE652C">
        <w:t>相互結合之時，即具有生命。假若從唯識學之觀點切入，人類一期生命的最初始點，是由人類之第八識</w:t>
      </w:r>
      <w:r w:rsidR="00203F72" w:rsidRPr="00BE652C">
        <w:t>(</w:t>
      </w:r>
      <w:r w:rsidR="00203F72" w:rsidRPr="00BE652C">
        <w:t>俗稱為靈魂</w:t>
      </w:r>
      <w:r w:rsidR="00203F72" w:rsidRPr="00BE652C">
        <w:t>)</w:t>
      </w:r>
      <w:r w:rsidR="00203F72" w:rsidRPr="00BE652C">
        <w:t>與胚胎</w:t>
      </w:r>
      <w:r w:rsidR="00203F72" w:rsidRPr="00BE652C">
        <w:t>(zygote)</w:t>
      </w:r>
      <w:r w:rsidR="00203F72" w:rsidRPr="00BE652C">
        <w:t>和合之時，人類之生命即已開始。唯識學《解深密經》＜心意識相品＞記載：「於六趣生死彼彼有情，墮彼彼有情眾中，或在卵生、或在胎生、或在濕生、或在化生，身分生起。於中最初，一切種子心識成熟，展轉和合，增長廣大。」佛教唯識學說「生」，不是從母胎中生出來，始稱為生命，而是在第八識</w:t>
      </w:r>
      <w:r w:rsidR="00203F72" w:rsidRPr="00BE652C">
        <w:t>(</w:t>
      </w:r>
      <w:r w:rsidR="00203F72" w:rsidRPr="00BE652C">
        <w:t>俗稱為靈魂</w:t>
      </w:r>
      <w:r w:rsidR="00203F72" w:rsidRPr="00BE652C">
        <w:t>)</w:t>
      </w:r>
      <w:r w:rsidR="00203F72" w:rsidRPr="00BE652C">
        <w:t>最初托入胚胎的一剎那，即名為「生」</w:t>
      </w:r>
      <w:r w:rsidR="00203F72" w:rsidRPr="00BE652C">
        <w:footnoteReference w:id="254"/>
      </w:r>
      <w:r w:rsidR="00203F72" w:rsidRPr="00BE652C">
        <w:t>。是以，當第八識</w:t>
      </w:r>
      <w:r w:rsidR="00203F72" w:rsidRPr="00BE652C">
        <w:t>(</w:t>
      </w:r>
      <w:r w:rsidR="00203F72" w:rsidRPr="00BE652C">
        <w:t>俗稱為靈魂</w:t>
      </w:r>
      <w:r w:rsidR="00203F72" w:rsidRPr="00BE652C">
        <w:t>)</w:t>
      </w:r>
      <w:r w:rsidR="00203F72" w:rsidRPr="00BE652C">
        <w:t>最初進入胚胎時，人類生命即已啟動。</w:t>
      </w:r>
    </w:p>
    <w:p w14:paraId="1753832E" w14:textId="77777777" w:rsidR="00203F72" w:rsidRPr="00BE652C" w:rsidRDefault="00480296" w:rsidP="00BE652C">
      <w:r w:rsidRPr="00BE652C">
        <w:t xml:space="preserve">　　</w:t>
      </w:r>
      <w:r w:rsidR="00203F72" w:rsidRPr="00BE652C">
        <w:t>此外，依據台灣釋昭慧法師之觀點，人類之胚胎</w:t>
      </w:r>
      <w:r w:rsidR="00203F72" w:rsidRPr="00BE652C">
        <w:t>(</w:t>
      </w:r>
      <w:r w:rsidR="00203F72" w:rsidRPr="00BE652C">
        <w:t>已受精</w:t>
      </w:r>
      <w:r w:rsidR="00203F72" w:rsidRPr="00BE652C">
        <w:t>) (zygote)</w:t>
      </w:r>
      <w:r w:rsidR="00203F72" w:rsidRPr="00BE652C">
        <w:t>，是具有生命力之屬性，釋昭慧法師之主要理由與觀點如下</w:t>
      </w:r>
      <w:r w:rsidR="00203F72" w:rsidRPr="00BE652C">
        <w:footnoteReference w:id="255"/>
      </w:r>
      <w:r w:rsidR="00203F72" w:rsidRPr="00BE652C">
        <w:t>：</w:t>
      </w:r>
    </w:p>
    <w:p w14:paraId="79DC4822" w14:textId="77777777" w:rsidR="00203F72" w:rsidRPr="00BE652C" w:rsidRDefault="00480296" w:rsidP="00BE652C">
      <w:r w:rsidRPr="00BE652C">
        <w:rPr>
          <w:rFonts w:hint="eastAsia"/>
        </w:rPr>
        <w:t xml:space="preserve">　　</w:t>
      </w:r>
      <w:r w:rsidRPr="00BE652C">
        <w:rPr>
          <w:rFonts w:hint="eastAsia"/>
        </w:rPr>
        <w:t>1</w:t>
      </w:r>
      <w:r w:rsidRPr="00BE652C">
        <w:rPr>
          <w:rFonts w:hint="eastAsia"/>
        </w:rPr>
        <w:t>、</w:t>
      </w:r>
      <w:r w:rsidR="00203F72" w:rsidRPr="00BE652C">
        <w:t>依據《根本說一切有部毗奈耶雜事》卷十一</w:t>
      </w:r>
      <w:r w:rsidR="00203F72" w:rsidRPr="00BE652C">
        <w:t>(</w:t>
      </w:r>
      <w:r w:rsidR="00203F72" w:rsidRPr="00BE652C">
        <w:t>大正</w:t>
      </w:r>
      <w:r w:rsidR="00203F72" w:rsidRPr="00BE652C">
        <w:t>24</w:t>
      </w:r>
      <w:r w:rsidR="00203F72" w:rsidRPr="00BE652C">
        <w:t>，</w:t>
      </w:r>
      <w:r w:rsidR="00203F72" w:rsidRPr="00BE652C">
        <w:t>253</w:t>
      </w:r>
      <w:r w:rsidR="00203F72" w:rsidRPr="00BE652C">
        <w:t>中～</w:t>
      </w:r>
      <w:r w:rsidR="00203F72" w:rsidRPr="00BE652C">
        <w:t>256</w:t>
      </w:r>
      <w:r w:rsidR="00203F72" w:rsidRPr="00BE652C">
        <w:t>中</w:t>
      </w:r>
      <w:r w:rsidR="00203F72" w:rsidRPr="00BE652C">
        <w:t>)</w:t>
      </w:r>
      <w:r w:rsidR="00203F72" w:rsidRPr="00BE652C">
        <w:t>、《大寶積經》卷</w:t>
      </w:r>
      <w:r w:rsidR="00203F72" w:rsidRPr="00BE652C">
        <w:t>56-57(</w:t>
      </w:r>
      <w:r w:rsidR="00203F72" w:rsidRPr="00BE652C">
        <w:t>大正</w:t>
      </w:r>
      <w:r w:rsidR="00203F72" w:rsidRPr="00BE652C">
        <w:t>11</w:t>
      </w:r>
      <w:r w:rsidR="00203F72" w:rsidRPr="00BE652C">
        <w:t>，</w:t>
      </w:r>
      <w:r w:rsidR="00203F72" w:rsidRPr="00BE652C">
        <w:t>328</w:t>
      </w:r>
      <w:r w:rsidR="00203F72" w:rsidRPr="00BE652C">
        <w:t>中～</w:t>
      </w:r>
      <w:r w:rsidR="00203F72" w:rsidRPr="00BE652C">
        <w:t>333</w:t>
      </w:r>
      <w:r w:rsidR="00203F72" w:rsidRPr="00BE652C">
        <w:t>上</w:t>
      </w:r>
      <w:r w:rsidR="00203F72" w:rsidRPr="00BE652C">
        <w:t>)</w:t>
      </w:r>
      <w:r w:rsidR="00203F72" w:rsidRPr="00BE652C">
        <w:t>、《瑜伽師地論》卷</w:t>
      </w:r>
      <w:r w:rsidR="00203F72" w:rsidRPr="00BE652C">
        <w:t>1</w:t>
      </w:r>
      <w:r w:rsidR="00203F72" w:rsidRPr="00BE652C">
        <w:t>～卷</w:t>
      </w:r>
      <w:r w:rsidR="00203F72" w:rsidRPr="00BE652C">
        <w:t>2(</w:t>
      </w:r>
      <w:r w:rsidR="00203F72" w:rsidRPr="00BE652C">
        <w:t>大正</w:t>
      </w:r>
      <w:r w:rsidR="00203F72" w:rsidRPr="00BE652C">
        <w:t>30</w:t>
      </w:r>
      <w:r w:rsidR="00203F72" w:rsidRPr="00BE652C">
        <w:t>，</w:t>
      </w:r>
      <w:r w:rsidR="00203F72" w:rsidRPr="00BE652C">
        <w:t>282</w:t>
      </w:r>
      <w:r w:rsidR="00203F72" w:rsidRPr="00BE652C">
        <w:t>下～</w:t>
      </w:r>
      <w:r w:rsidR="00203F72" w:rsidRPr="00BE652C">
        <w:t>285</w:t>
      </w:r>
      <w:r w:rsidR="00203F72" w:rsidRPr="00BE652C">
        <w:t>中</w:t>
      </w:r>
      <w:r w:rsidR="00203F72" w:rsidRPr="00BE652C">
        <w:t>)</w:t>
      </w:r>
      <w:r w:rsidR="00203F72" w:rsidRPr="00BE652C">
        <w:t>等之佛教經典，人類生命之始點，確實是從精卵結合</w:t>
      </w:r>
      <w:r w:rsidR="00203F72" w:rsidRPr="00BE652C">
        <w:t>(zygote)</w:t>
      </w:r>
      <w:r w:rsidR="00203F72" w:rsidRPr="00BE652C">
        <w:t>之那一刻，此包括體外受精，即為開始。</w:t>
      </w:r>
    </w:p>
    <w:p w14:paraId="12C84B0C" w14:textId="77777777" w:rsidR="00203F72" w:rsidRPr="00BE652C" w:rsidRDefault="00480296" w:rsidP="00BE652C">
      <w:r w:rsidRPr="00BE652C">
        <w:rPr>
          <w:rFonts w:hint="eastAsia"/>
        </w:rPr>
        <w:t xml:space="preserve">　　</w:t>
      </w:r>
      <w:r w:rsidRPr="00BE652C">
        <w:rPr>
          <w:rFonts w:hint="eastAsia"/>
        </w:rPr>
        <w:t>2</w:t>
      </w:r>
      <w:r w:rsidRPr="00BE652C">
        <w:rPr>
          <w:rFonts w:hint="eastAsia"/>
        </w:rPr>
        <w:t>、</w:t>
      </w:r>
      <w:r w:rsidR="00203F72" w:rsidRPr="00BE652C">
        <w:t>宗教界</w:t>
      </w:r>
      <w:r w:rsidR="00203F72" w:rsidRPr="00BE652C">
        <w:t>(</w:t>
      </w:r>
      <w:r w:rsidR="00203F72" w:rsidRPr="00BE652C">
        <w:t>包括天主教與佛教</w:t>
      </w:r>
      <w:r w:rsidR="00203F72" w:rsidRPr="00BE652C">
        <w:t>)</w:t>
      </w:r>
      <w:r w:rsidR="00203F72" w:rsidRPr="00BE652C">
        <w:t>一般之觀點，受精卵</w:t>
      </w:r>
      <w:r w:rsidR="00203F72" w:rsidRPr="00BE652C">
        <w:t>(zygote)</w:t>
      </w:r>
      <w:r w:rsidR="00203F72" w:rsidRPr="00BE652C">
        <w:t>受生之那一瞬</w:t>
      </w:r>
      <w:r w:rsidR="00203F72" w:rsidRPr="00BE652C">
        <w:t>(</w:t>
      </w:r>
      <w:r w:rsidR="00203F72" w:rsidRPr="00BE652C">
        <w:t>此包括體外受精</w:t>
      </w:r>
      <w:r w:rsidR="00203F72" w:rsidRPr="00BE652C">
        <w:t>)</w:t>
      </w:r>
      <w:r w:rsidR="00203F72" w:rsidRPr="00BE652C">
        <w:t>，就已是人類新生命誕生之始點</w:t>
      </w:r>
      <w:r w:rsidR="00203F72" w:rsidRPr="00BE652C">
        <w:t>(starting point)</w:t>
      </w:r>
      <w:r w:rsidR="00203F72" w:rsidRPr="00BE652C">
        <w:t>。</w:t>
      </w:r>
    </w:p>
    <w:p w14:paraId="28F3C73B" w14:textId="77777777" w:rsidR="00203F72" w:rsidRPr="00BE652C" w:rsidRDefault="00480296" w:rsidP="00BE652C">
      <w:r w:rsidRPr="00BE652C">
        <w:rPr>
          <w:rFonts w:hint="eastAsia"/>
        </w:rPr>
        <w:t xml:space="preserve">　　</w:t>
      </w:r>
      <w:r w:rsidRPr="00BE652C">
        <w:rPr>
          <w:rFonts w:hint="eastAsia"/>
        </w:rPr>
        <w:t>3</w:t>
      </w:r>
      <w:r w:rsidRPr="00BE652C">
        <w:rPr>
          <w:rFonts w:hint="eastAsia"/>
        </w:rPr>
        <w:t>、</w:t>
      </w:r>
      <w:r w:rsidR="00203F72" w:rsidRPr="00BE652C">
        <w:t>破壞人類胚胎</w:t>
      </w:r>
      <w:r w:rsidR="00203F72" w:rsidRPr="00BE652C">
        <w:t>(</w:t>
      </w:r>
      <w:r w:rsidR="00203F72" w:rsidRPr="00BE652C">
        <w:t>已受精</w:t>
      </w:r>
      <w:r w:rsidR="00203F72" w:rsidRPr="00BE652C">
        <w:t>) (zygote)</w:t>
      </w:r>
      <w:r w:rsidR="00203F72" w:rsidRPr="00BE652C">
        <w:t>之胚囊，即表示殺害一個新生命；人類胚胎幹細胞之分離、研究及應用，均是違反倫理道德。</w:t>
      </w:r>
    </w:p>
    <w:p w14:paraId="2B2EDAEE" w14:textId="77777777" w:rsidR="00203F72" w:rsidRPr="00BE652C" w:rsidRDefault="00480296" w:rsidP="00BE652C">
      <w:r w:rsidRPr="00BE652C">
        <w:rPr>
          <w:rFonts w:hint="eastAsia"/>
        </w:rPr>
        <w:t xml:space="preserve">　　</w:t>
      </w:r>
      <w:r w:rsidRPr="00BE652C">
        <w:rPr>
          <w:rFonts w:hint="eastAsia"/>
        </w:rPr>
        <w:t>4</w:t>
      </w:r>
      <w:r w:rsidRPr="00BE652C">
        <w:rPr>
          <w:rFonts w:hint="eastAsia"/>
        </w:rPr>
        <w:t>、</w:t>
      </w:r>
      <w:r w:rsidR="00203F72" w:rsidRPr="00BE652C">
        <w:t>至於胚胎</w:t>
      </w:r>
      <w:r w:rsidR="00203F72" w:rsidRPr="00BE652C">
        <w:t>(zygote)</w:t>
      </w:r>
      <w:r w:rsidR="00203F72" w:rsidRPr="00BE652C">
        <w:t>或是胎兒，依佛法來看，即使其是否等同於</w:t>
      </w:r>
      <w:r w:rsidR="00203F72" w:rsidRPr="00BE652C">
        <w:t>“</w:t>
      </w:r>
      <w:r w:rsidR="00203F72" w:rsidRPr="00BE652C">
        <w:t>人</w:t>
      </w:r>
      <w:r w:rsidR="00203F72" w:rsidRPr="00BE652C">
        <w:t>”</w:t>
      </w:r>
      <w:r w:rsidR="00203F72" w:rsidRPr="00BE652C">
        <w:t>之定義，尚有爭論，但胚胎</w:t>
      </w:r>
      <w:r w:rsidR="00203F72" w:rsidRPr="00BE652C">
        <w:t>(zygote)</w:t>
      </w:r>
      <w:r w:rsidR="00203F72" w:rsidRPr="00BE652C">
        <w:t>其確是</w:t>
      </w:r>
      <w:r w:rsidR="00203F72" w:rsidRPr="00BE652C">
        <w:t>“</w:t>
      </w:r>
      <w:r w:rsidR="00203F72" w:rsidRPr="00BE652C">
        <w:t>生命</w:t>
      </w:r>
      <w:r w:rsidR="00203F72" w:rsidRPr="00BE652C">
        <w:t>”</w:t>
      </w:r>
      <w:r w:rsidR="00203F72" w:rsidRPr="00BE652C">
        <w:t>，則並無疑義。</w:t>
      </w:r>
    </w:p>
    <w:p w14:paraId="3F91B4A7" w14:textId="77777777" w:rsidR="00203F72" w:rsidRPr="00BE652C" w:rsidRDefault="00480296" w:rsidP="00BE652C">
      <w:r w:rsidRPr="00BE652C">
        <w:rPr>
          <w:rFonts w:hint="eastAsia"/>
        </w:rPr>
        <w:t xml:space="preserve">　　</w:t>
      </w:r>
      <w:r w:rsidRPr="00BE652C">
        <w:rPr>
          <w:rFonts w:hint="eastAsia"/>
        </w:rPr>
        <w:t>5</w:t>
      </w:r>
      <w:r w:rsidRPr="00BE652C">
        <w:rPr>
          <w:rFonts w:hint="eastAsia"/>
        </w:rPr>
        <w:t>、</w:t>
      </w:r>
      <w:r w:rsidR="00203F72" w:rsidRPr="00BE652C">
        <w:t>由於胚胎具有</w:t>
      </w:r>
      <w:r w:rsidR="00203F72" w:rsidRPr="00BE652C">
        <w:t>“</w:t>
      </w:r>
      <w:r w:rsidR="00203F72" w:rsidRPr="00BE652C">
        <w:t>生命</w:t>
      </w:r>
      <w:r w:rsidR="00203F72" w:rsidRPr="00BE652C">
        <w:t>”</w:t>
      </w:r>
      <w:r w:rsidR="00203F72" w:rsidRPr="00BE652C">
        <w:t>之屬性，不宜以其不具足</w:t>
      </w:r>
      <w:r w:rsidR="00203F72" w:rsidRPr="00BE652C">
        <w:t>“</w:t>
      </w:r>
      <w:r w:rsidR="00203F72" w:rsidRPr="00BE652C">
        <w:t>人</w:t>
      </w:r>
      <w:r w:rsidR="00203F72" w:rsidRPr="00BE652C">
        <w:t>”</w:t>
      </w:r>
      <w:r w:rsidR="00203F72" w:rsidRPr="00BE652C">
        <w:t>之位格，</w:t>
      </w:r>
      <w:r w:rsidR="00203F72" w:rsidRPr="00BE652C">
        <w:t xml:space="preserve"> </w:t>
      </w:r>
      <w:r w:rsidR="00203F72" w:rsidRPr="00BE652C">
        <w:t>即輕易實施人工流產。</w:t>
      </w:r>
      <w:r w:rsidR="00193290" w:rsidRPr="00BE652C">
        <w:rPr>
          <w:rFonts w:hint="eastAsia"/>
          <w:color w:val="FFFFFF" w:themeColor="background1"/>
        </w:rPr>
        <w:t>◇◆</w:t>
      </w:r>
    </w:p>
    <w:p w14:paraId="53CC3C7D" w14:textId="77777777" w:rsidR="00203F72" w:rsidRPr="00A53581" w:rsidRDefault="00203F72" w:rsidP="00D87D91"/>
    <w:tbl>
      <w:tblPr>
        <w:tblW w:w="0" w:type="auto"/>
        <w:jc w:val="center"/>
        <w:tblCellSpacing w:w="15" w:type="dxa"/>
        <w:tblCellMar>
          <w:top w:w="15" w:type="dxa"/>
          <w:left w:w="15" w:type="dxa"/>
          <w:bottom w:w="15" w:type="dxa"/>
          <w:right w:w="15" w:type="dxa"/>
        </w:tblCellMar>
        <w:tblLook w:val="0000" w:firstRow="0" w:lastRow="0" w:firstColumn="0" w:lastColumn="0" w:noHBand="0" w:noVBand="0"/>
      </w:tblPr>
      <w:tblGrid>
        <w:gridCol w:w="7330"/>
      </w:tblGrid>
      <w:tr w:rsidR="00203F72" w:rsidRPr="00A53581" w14:paraId="75AE866C" w14:textId="77777777" w:rsidTr="00203F72">
        <w:trPr>
          <w:tblCellSpacing w:w="15" w:type="dxa"/>
          <w:jc w:val="center"/>
        </w:trPr>
        <w:tc>
          <w:tcPr>
            <w:tcW w:w="7187" w:type="dxa"/>
            <w:shd w:val="clear" w:color="auto" w:fill="auto"/>
            <w:vAlign w:val="center"/>
          </w:tcPr>
          <w:p w14:paraId="5D396EBC" w14:textId="77777777" w:rsidR="00203F72" w:rsidRPr="00A53581" w:rsidRDefault="00203F72" w:rsidP="00D87D91">
            <w:r>
              <w:rPr>
                <w:noProof/>
              </w:rPr>
              <w:drawing>
                <wp:inline distT="0" distB="0" distL="0" distR="0" wp14:anchorId="6F64BC5F" wp14:editId="069B8D23">
                  <wp:extent cx="4597400" cy="4008755"/>
                  <wp:effectExtent l="0" t="0" r="0" b="0"/>
                  <wp:docPr id="30" name="圖片 30" descr="spn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pnav"/>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4597400" cy="4008755"/>
                          </a:xfrm>
                          <a:prstGeom prst="rect">
                            <a:avLst/>
                          </a:prstGeom>
                          <a:noFill/>
                          <a:ln>
                            <a:noFill/>
                          </a:ln>
                        </pic:spPr>
                      </pic:pic>
                    </a:graphicData>
                  </a:graphic>
                </wp:inline>
              </w:drawing>
            </w:r>
          </w:p>
          <w:p w14:paraId="7F5A0EA4" w14:textId="1CE5B752" w:rsidR="00203F72" w:rsidRPr="00A5358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26</w:t>
            </w:r>
            <w:r w:rsidR="00076467">
              <w:rPr>
                <w:noProof/>
              </w:rPr>
              <w:fldChar w:fldCharType="end"/>
            </w:r>
            <w:r w:rsidR="00203F72" w:rsidRPr="00A53581">
              <w:t>胚胎的</w:t>
            </w:r>
            <w:r w:rsidR="00203F72" w:rsidRPr="00A53581">
              <w:t>23</w:t>
            </w:r>
            <w:r w:rsidR="00203F72" w:rsidRPr="00A53581">
              <w:t>階段</w:t>
            </w:r>
            <w:r w:rsidR="00203F72" w:rsidRPr="00A53581">
              <w:t>40</w:t>
            </w:r>
            <w:r w:rsidR="00203F72" w:rsidRPr="00A53581">
              <w:t>週成長歷程圖形</w:t>
            </w:r>
            <w:r w:rsidR="00203F72" w:rsidRPr="00A53581">
              <w:rPr>
                <w:rStyle w:val="af3"/>
                <w:rFonts w:ascii="新細明體" w:hAnsi="新細明體"/>
                <w:szCs w:val="22"/>
              </w:rPr>
              <w:footnoteReference w:id="256"/>
            </w:r>
          </w:p>
          <w:p w14:paraId="3CF09C72" w14:textId="77777777" w:rsidR="00203F72" w:rsidRPr="00A53581" w:rsidRDefault="00203F72" w:rsidP="00D87D91"/>
        </w:tc>
      </w:tr>
    </w:tbl>
    <w:p w14:paraId="4367C23D" w14:textId="77777777" w:rsidR="00953151" w:rsidRPr="00EE39EE" w:rsidRDefault="00480296" w:rsidP="00EE39EE">
      <w:r w:rsidRPr="00EE39EE">
        <w:t xml:space="preserve">　　</w:t>
      </w:r>
      <w:r w:rsidR="00203F72" w:rsidRPr="00EE39EE">
        <w:t>根據演培法師對於解深密經語之解釋文</w:t>
      </w:r>
      <w:r w:rsidR="00203F72" w:rsidRPr="00EE39EE">
        <w:t>(</w:t>
      </w:r>
      <w:r w:rsidR="00203F72" w:rsidRPr="00EE39EE">
        <w:t>心意識相品第三</w:t>
      </w:r>
      <w:r w:rsidR="00203F72" w:rsidRPr="00EE39EE">
        <w:t>)</w:t>
      </w:r>
      <w:r w:rsidR="00203F72" w:rsidRPr="00EE39EE">
        <w:t>中之看法，父精母血形成胚胎</w:t>
      </w:r>
      <w:r w:rsidR="00203F72" w:rsidRPr="00EE39EE">
        <w:t>(zygote)</w:t>
      </w:r>
      <w:r w:rsidR="00203F72" w:rsidRPr="00EE39EE">
        <w:t>之後</w:t>
      </w:r>
      <w:r w:rsidR="00203F72" w:rsidRPr="00EE39EE">
        <w:t>(</w:t>
      </w:r>
      <w:r w:rsidR="00203F72" w:rsidRPr="00EE39EE">
        <w:t>在本書中，尚包括透由醫療性複製之技術，如</w:t>
      </w:r>
      <w:r w:rsidR="00203F72" w:rsidRPr="00EE39EE">
        <w:t>SCNT</w:t>
      </w:r>
      <w:r w:rsidR="00203F72" w:rsidRPr="00EE39EE">
        <w:t>所形成之胚胎，以及母系分裂梭轉移</w:t>
      </w:r>
      <w:r w:rsidR="00203F72" w:rsidRPr="00EE39EE">
        <w:t>MST)</w:t>
      </w:r>
      <w:r w:rsidR="00203F72" w:rsidRPr="00EE39EE">
        <w:t>，人類之生命尚未形成。為何尚未形成人類之生命，因人類之第八識</w:t>
      </w:r>
      <w:r w:rsidR="00203F72" w:rsidRPr="00EE39EE">
        <w:t>(</w:t>
      </w:r>
      <w:r w:rsidR="00203F72" w:rsidRPr="00EE39EE">
        <w:t>俗稱為靈魂</w:t>
      </w:r>
      <w:r w:rsidR="00203F72" w:rsidRPr="00EE39EE">
        <w:t>)</w:t>
      </w:r>
      <w:r w:rsidR="00203F72" w:rsidRPr="00EE39EE">
        <w:t>尚未進入胚胎，故此胚胎不是生命的當體。當一切種子心識</w:t>
      </w:r>
      <w:r w:rsidR="00203F72" w:rsidRPr="00EE39EE">
        <w:t>(</w:t>
      </w:r>
      <w:r w:rsidR="00203F72" w:rsidRPr="00EE39EE">
        <w:t>即靈魂、阿賴耶識、第</w:t>
      </w:r>
      <w:r w:rsidR="00203F72" w:rsidRPr="00EE39EE">
        <w:t>8</w:t>
      </w:r>
      <w:r w:rsidR="00203F72" w:rsidRPr="00EE39EE">
        <w:t>識</w:t>
      </w:r>
      <w:r w:rsidR="00203F72" w:rsidRPr="00EE39EE">
        <w:t>)</w:t>
      </w:r>
      <w:r w:rsidR="00203F72" w:rsidRPr="00EE39EE">
        <w:t>進入胚胎，而與胚胎和合時，人類之生命體，即在此時第一刹那現起。亦即，此胚胎即現起人類之生命體。人類生命的成熟、和合、增長、廣大、圓滿，都是以一切種子心識</w:t>
      </w:r>
      <w:r w:rsidR="00203F72" w:rsidRPr="00EE39EE">
        <w:t>(</w:t>
      </w:r>
      <w:r w:rsidR="00203F72" w:rsidRPr="00EE39EE">
        <w:t>即靈魂、第</w:t>
      </w:r>
      <w:r w:rsidR="00203F72" w:rsidRPr="00EE39EE">
        <w:t>8</w:t>
      </w:r>
      <w:r w:rsidR="00203F72" w:rsidRPr="00EE39EE">
        <w:t>識</w:t>
      </w:r>
      <w:r w:rsidR="00203F72" w:rsidRPr="00EE39EE">
        <w:t>)</w:t>
      </w:r>
      <w:r w:rsidR="00203F72" w:rsidRPr="00EE39EE">
        <w:t>為中心的，不過完成生命，還須其他條件而已！胚胎之生理機能與一切種子心識</w:t>
      </w:r>
      <w:r w:rsidR="00203F72" w:rsidRPr="00EE39EE">
        <w:t>(</w:t>
      </w:r>
      <w:r w:rsidR="00203F72" w:rsidRPr="00EE39EE">
        <w:t>即靈魂、第</w:t>
      </w:r>
      <w:r w:rsidR="00203F72" w:rsidRPr="00EE39EE">
        <w:t>8</w:t>
      </w:r>
      <w:r w:rsidR="00203F72" w:rsidRPr="00EE39EE">
        <w:t>識</w:t>
      </w:r>
      <w:r w:rsidR="00203F72" w:rsidRPr="00EE39EE">
        <w:t>)</w:t>
      </w:r>
      <w:r w:rsidR="00203F72" w:rsidRPr="00EE39EE">
        <w:t>之關係，係相輔相成，如果一切種子心識</w:t>
      </w:r>
      <w:r w:rsidR="00203F72" w:rsidRPr="00EE39EE">
        <w:t>(</w:t>
      </w:r>
      <w:r w:rsidR="00203F72" w:rsidRPr="00EE39EE">
        <w:t>即靈魂、阿賴耶識、第</w:t>
      </w:r>
      <w:r w:rsidR="00203F72" w:rsidRPr="00EE39EE">
        <w:t>8</w:t>
      </w:r>
      <w:r w:rsidR="00203F72" w:rsidRPr="00EE39EE">
        <w:t>識</w:t>
      </w:r>
      <w:r w:rsidR="00203F72" w:rsidRPr="00EE39EE">
        <w:t>)</w:t>
      </w:r>
      <w:r w:rsidR="00203F72" w:rsidRPr="00EE39EE">
        <w:t>放棄責任，不把胚胎攝為自體之一部分，不維持他的生存，胚胎立刻就會崩潰而成無生機的死胚胎，所以二者是相依為命而存在的</w:t>
      </w:r>
      <w:r w:rsidR="00203F72" w:rsidRPr="00EE39EE">
        <w:footnoteReference w:id="257"/>
      </w:r>
      <w:r w:rsidR="00203F72" w:rsidRPr="00EE39EE">
        <w:t>。一切種子心識於何時進入胚胎？當胚胎形成之後，一切種子心識隨時均會進入胚胎。以上，是從唯識學之觀點，論述胚胎之生命權。</w:t>
      </w:r>
    </w:p>
    <w:p w14:paraId="7E93724D" w14:textId="77777777" w:rsidR="00953151" w:rsidRPr="00BE652C" w:rsidRDefault="00480296" w:rsidP="00EE39EE">
      <w:r w:rsidRPr="00EE39EE">
        <w:t xml:space="preserve">　　</w:t>
      </w:r>
      <w:r w:rsidR="00203F72" w:rsidRPr="00EE39EE">
        <w:t>另外，在《大寶積經》＜佛說入胎藏會＞中，亦記載：「應知受生名羯羅藍，父精母血非是餘物。由父母精血和合因緣，為識所緣，依止而住。譬如依酪瓶鑽人功，動轉不已，得有酥出。異此不生，當知父母不淨精血、羯羅藍身亦復如是」。上述中之識，即為唯識學中之一切種子心識</w:t>
      </w:r>
      <w:r w:rsidR="00203F72" w:rsidRPr="00EE39EE">
        <w:t>(</w:t>
      </w:r>
      <w:r w:rsidR="00203F72" w:rsidRPr="00EE39EE">
        <w:t>即靈魂、阿賴耶識、第</w:t>
      </w:r>
      <w:r w:rsidR="00203F72" w:rsidRPr="00EE39EE">
        <w:t>8</w:t>
      </w:r>
      <w:r w:rsidR="00203F72" w:rsidRPr="00EE39EE">
        <w:t>識</w:t>
      </w:r>
      <w:r w:rsidR="00203F72" w:rsidRPr="00EE39EE">
        <w:t>)</w:t>
      </w:r>
      <w:r w:rsidR="00203F72" w:rsidRPr="00EE39EE">
        <w:t>。所謂之為識所緣，依止而住，乃指胚胎乃為一切種子心識</w:t>
      </w:r>
      <w:r w:rsidR="00203F72" w:rsidRPr="00EE39EE">
        <w:t>(</w:t>
      </w:r>
      <w:r w:rsidR="00203F72" w:rsidRPr="00EE39EE">
        <w:t>即靈魂、阿賴耶識、第</w:t>
      </w:r>
      <w:r w:rsidR="00203F72" w:rsidRPr="00EE39EE">
        <w:t>8</w:t>
      </w:r>
      <w:r w:rsidR="00203F72" w:rsidRPr="00EE39EE">
        <w:t>識</w:t>
      </w:r>
      <w:r w:rsidR="00203F72" w:rsidRPr="00EE39EE">
        <w:t>)</w:t>
      </w:r>
      <w:r w:rsidR="00203F72" w:rsidRPr="00EE39EE">
        <w:t>之所依止，亦即，一切種</w:t>
      </w:r>
      <w:r w:rsidR="00203F72" w:rsidRPr="00BE652C">
        <w:t>子心識</w:t>
      </w:r>
      <w:r w:rsidR="00203F72" w:rsidRPr="00BE652C">
        <w:t>(</w:t>
      </w:r>
      <w:r w:rsidR="00203F72" w:rsidRPr="00BE652C">
        <w:t>阿賴耶識</w:t>
      </w:r>
      <w:r w:rsidR="00203F72" w:rsidRPr="00BE652C">
        <w:t>)</w:t>
      </w:r>
      <w:r w:rsidR="00203F72" w:rsidRPr="00BE652C">
        <w:t>會依住於胚胎之內，形成精神與生理物質之結合。是以，人的生命開始於受孕的剎那，也就是精子進入卵子成為受精卵</w:t>
      </w:r>
      <w:r w:rsidR="00203F72" w:rsidRPr="00BE652C">
        <w:t>(zygote)</w:t>
      </w:r>
      <w:r w:rsidR="00203F72" w:rsidRPr="00BE652C">
        <w:t>，且一切種子心識</w:t>
      </w:r>
      <w:r w:rsidR="00203F72" w:rsidRPr="00BE652C">
        <w:t>(</w:t>
      </w:r>
      <w:r w:rsidR="00203F72" w:rsidRPr="00BE652C">
        <w:t>阿賴耶識</w:t>
      </w:r>
      <w:r w:rsidR="00203F72" w:rsidRPr="00BE652C">
        <w:t>)</w:t>
      </w:r>
      <w:r w:rsidR="00203F72" w:rsidRPr="00BE652C">
        <w:t>依住於胚胎之後，正式開始算起</w:t>
      </w:r>
      <w:r w:rsidR="00203F72" w:rsidRPr="00BE652C">
        <w:footnoteReference w:id="258"/>
      </w:r>
      <w:r w:rsidR="00203F72" w:rsidRPr="00BE652C">
        <w:t>。</w:t>
      </w:r>
      <w:r w:rsidR="00193290" w:rsidRPr="00BE652C">
        <w:rPr>
          <w:rFonts w:hint="eastAsia"/>
          <w:color w:val="FFFFFF" w:themeColor="background1"/>
        </w:rPr>
        <w:t>◇◆</w:t>
      </w:r>
    </w:p>
    <w:p w14:paraId="7994F37F" w14:textId="77777777" w:rsidR="00203F72" w:rsidRPr="00A53581" w:rsidRDefault="00203F72" w:rsidP="00D87D91">
      <w:r>
        <w:rPr>
          <w:noProof/>
        </w:rPr>
        <w:drawing>
          <wp:inline distT="0" distB="0" distL="0" distR="0" wp14:anchorId="18823EAD" wp14:editId="57AB26D9">
            <wp:extent cx="5227955" cy="2903855"/>
            <wp:effectExtent l="0" t="0" r="0" b="0"/>
            <wp:docPr id="31" name="圖片 31" descr="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21"/>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5227955" cy="2903855"/>
                    </a:xfrm>
                    <a:prstGeom prst="rect">
                      <a:avLst/>
                    </a:prstGeom>
                    <a:noFill/>
                    <a:ln>
                      <a:noFill/>
                    </a:ln>
                  </pic:spPr>
                </pic:pic>
              </a:graphicData>
            </a:graphic>
          </wp:inline>
        </w:drawing>
      </w:r>
    </w:p>
    <w:p w14:paraId="624E5555" w14:textId="5D5BCE46" w:rsidR="00953151" w:rsidRPr="00BE652C" w:rsidRDefault="00B03E84" w:rsidP="00EE39EE">
      <w:pPr>
        <w:jc w:val="left"/>
      </w:pPr>
      <w:r w:rsidRPr="00BE652C">
        <w:t>【</w:t>
      </w:r>
      <w:r w:rsidRPr="00BE652C">
        <w:t>figure</w:t>
      </w:r>
      <w:r w:rsidR="005E23E3" w:rsidRPr="00BE652C">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27</w:t>
      </w:r>
      <w:r w:rsidR="00076467">
        <w:rPr>
          <w:noProof/>
        </w:rPr>
        <w:fldChar w:fldCharType="end"/>
      </w:r>
      <w:r w:rsidR="00203F72" w:rsidRPr="00BE652C">
        <w:t>阿賴耶識圖示</w:t>
      </w:r>
      <w:r w:rsidR="00203F72" w:rsidRPr="00BE652C">
        <w:footnoteReference w:id="259"/>
      </w:r>
    </w:p>
    <w:p w14:paraId="722C8401" w14:textId="77777777" w:rsidR="00953151" w:rsidRPr="00BE652C" w:rsidRDefault="00480296" w:rsidP="00EE39EE">
      <w:pPr>
        <w:jc w:val="left"/>
      </w:pPr>
      <w:r w:rsidRPr="00BE652C">
        <w:t>【</w:t>
      </w:r>
      <w:r w:rsidR="00203F72" w:rsidRPr="00BE652C">
        <w:t>圖：</w:t>
      </w:r>
      <w:r w:rsidR="00B03E84" w:rsidRPr="00BE652C">
        <w:t>資料來源】</w:t>
      </w:r>
      <w:r w:rsidR="00203F72" w:rsidRPr="00BE652C">
        <w:t>釋惠敏</w:t>
      </w:r>
      <w:r w:rsidR="00203F72" w:rsidRPr="00BE652C">
        <w:t>(2005)</w:t>
      </w:r>
      <w:r w:rsidR="00203F72" w:rsidRPr="00BE652C">
        <w:t>，禪與靜坐，</w:t>
      </w:r>
      <w:hyperlink r:id="rId1607" w:history="1">
        <w:r w:rsidR="00203F72" w:rsidRPr="00EE39EE">
          <w:rPr>
            <w:rStyle w:val="a5"/>
            <w:rFonts w:ascii="Times New Roman" w:eastAsia="新細明體" w:hAnsi="Times New Roman"/>
          </w:rPr>
          <w:t>http://ge.tnua.edu.tw/zen/r7.htmhttp://ge.tnua.edu.tw/zen/r7.htm</w:t>
        </w:r>
      </w:hyperlink>
      <w:r w:rsidR="00545D58" w:rsidRPr="00BE652C">
        <w:t>。</w:t>
      </w:r>
    </w:p>
    <w:p w14:paraId="30D10A4F" w14:textId="77777777" w:rsidR="00953151" w:rsidRPr="00BE652C" w:rsidRDefault="00480296" w:rsidP="00BE652C">
      <w:r w:rsidRPr="00BE652C">
        <w:t xml:space="preserve">　　</w:t>
      </w:r>
      <w:r w:rsidR="00203F72" w:rsidRPr="00BE652C">
        <w:t>再者，殺害人類胚胎</w:t>
      </w:r>
      <w:r w:rsidR="00203F72" w:rsidRPr="00BE652C">
        <w:t>(zygote)</w:t>
      </w:r>
      <w:r w:rsidR="00203F72" w:rsidRPr="00BE652C">
        <w:t>是否會觸犯佛教之戒律？依據《彌沙塞部和醯五分律》之記載：「若比丘，若人、若似人，若自殺、若與刀藥殺、若教人殺、若教自殺、譽死、讚死：咄！人！用惡活為？死勝生！作是心，隨心殺，如是種種因緣，彼因是死。是比丘得波羅夷不共住。入母胎已後至四十九日名為似人，過此已後盡名為人。」假若行為人具有殺害胎兒或胚胎的意圖</w:t>
      </w:r>
      <w:r w:rsidR="00203F72" w:rsidRPr="00BE652C">
        <w:t>(</w:t>
      </w:r>
      <w:r w:rsidR="00203F72" w:rsidRPr="00BE652C">
        <w:t>故意</w:t>
      </w:r>
      <w:r w:rsidR="00203F72" w:rsidRPr="00BE652C">
        <w:t>)</w:t>
      </w:r>
      <w:r w:rsidR="00203F72" w:rsidRPr="00BE652C">
        <w:t>，不論所殺之對象，是「似人」或「人」，都是屬於「殺人」的重罪。此處之「似人」</w:t>
      </w:r>
      <w:r w:rsidR="00203F72" w:rsidRPr="00BE652C">
        <w:t>(</w:t>
      </w:r>
      <w:r w:rsidR="00203F72" w:rsidRPr="00BE652C">
        <w:t>具有準人之地位</w:t>
      </w:r>
      <w:r w:rsidR="00203F72" w:rsidRPr="00BE652C">
        <w:t>)</w:t>
      </w:r>
      <w:r w:rsidR="00203F72" w:rsidRPr="00BE652C">
        <w:t>，係指胚胎形成後之</w:t>
      </w:r>
      <w:r w:rsidR="00203F72" w:rsidRPr="00BE652C">
        <w:t>49</w:t>
      </w:r>
      <w:r w:rsidR="00203F72" w:rsidRPr="00BE652C">
        <w:t>天以內，均屬「似人」。亦即，具有準人之生命權與生存權</w:t>
      </w:r>
      <w:r w:rsidR="00203F72" w:rsidRPr="00BE652C">
        <w:footnoteReference w:id="260"/>
      </w:r>
      <w:r w:rsidR="00203F72" w:rsidRPr="00BE652C">
        <w:t>。</w:t>
      </w:r>
    </w:p>
    <w:p w14:paraId="5E853A8F" w14:textId="77777777" w:rsidR="00953151" w:rsidRPr="00BE652C" w:rsidRDefault="00480296" w:rsidP="00BE652C">
      <w:r w:rsidRPr="00BE652C">
        <w:t xml:space="preserve">　　</w:t>
      </w:r>
      <w:r w:rsidR="00203F72" w:rsidRPr="00BE652C">
        <w:t>有關於人命之判定基準，若依據《五分律》之記載，「若人、若似人。似人者入胎四十九日，自是已後盡名為人。」在《五分律》之中，所謂之人，包括兩種人，一者，為一切種子心識進入於胚胎之後之</w:t>
      </w:r>
      <w:r w:rsidR="00203F72" w:rsidRPr="00BE652C">
        <w:t>49</w:t>
      </w:r>
      <w:r w:rsidR="00203F72" w:rsidRPr="00BE652C">
        <w:t>天之內，屬於似人。另外，一切種子心識進入於胚胎之後之</w:t>
      </w:r>
      <w:r w:rsidR="00203F72" w:rsidRPr="00BE652C">
        <w:t>49</w:t>
      </w:r>
      <w:r w:rsidR="00203F72" w:rsidRPr="00BE652C">
        <w:t>天之後，則屬於完全之人。不論殺害似人或人，均構成殺人罪</w:t>
      </w:r>
      <w:r w:rsidR="00203F72" w:rsidRPr="00BE652C">
        <w:footnoteReference w:id="261"/>
      </w:r>
      <w:r w:rsidR="00203F72" w:rsidRPr="00BE652C">
        <w:t>。</w:t>
      </w:r>
    </w:p>
    <w:p w14:paraId="38247331" w14:textId="77777777" w:rsidR="00953151" w:rsidRPr="00BE652C" w:rsidRDefault="00145751" w:rsidP="00BE652C">
      <w:r w:rsidRPr="00BE652C">
        <w:t xml:space="preserve">　　</w:t>
      </w:r>
      <w:r w:rsidR="00203F72" w:rsidRPr="00BE652C">
        <w:t>依據《四分律》之見解，所謂殺人之「人之狀態」，乃指：「人者從初識至後識，而斷其命。初識即是創入胎識，後識即是命終時識</w:t>
      </w:r>
      <w:r w:rsidR="00203F72" w:rsidRPr="00BE652C">
        <w:footnoteReference w:id="262"/>
      </w:r>
      <w:r w:rsidR="00203F72" w:rsidRPr="00BE652C">
        <w:t>。」亦即，人類之生命權，係始於初識，初識即是創入胎識，亦即，一切種子心識依住於胚胎之後，或可謂一切種子心識進入於胚胎之後，人類生命即已啟動，此時，假若有意殺害人類胚胎，依據《四分律》之見解，構成殺人之定義</w:t>
      </w:r>
      <w:r w:rsidR="00203F72" w:rsidRPr="00BE652C">
        <w:footnoteReference w:id="263"/>
      </w:r>
      <w:r w:rsidR="00203F72" w:rsidRPr="00BE652C">
        <w:t>。</w:t>
      </w:r>
    </w:p>
    <w:p w14:paraId="6963E036" w14:textId="77777777" w:rsidR="00203F72" w:rsidRPr="00BE652C" w:rsidRDefault="00480296" w:rsidP="00BE652C">
      <w:r w:rsidRPr="00BE652C">
        <w:t xml:space="preserve">　　</w:t>
      </w:r>
      <w:r w:rsidR="00203F72" w:rsidRPr="00BE652C">
        <w:t>天主教神父艾立勤教授認為，當前的胚胎幹細胞實驗是不道德的，主要之理由如下</w:t>
      </w:r>
      <w:r w:rsidR="00203F72" w:rsidRPr="00BE652C">
        <w:footnoteReference w:id="264"/>
      </w:r>
      <w:r w:rsidR="00203F72" w:rsidRPr="00BE652C">
        <w:t>：</w:t>
      </w:r>
    </w:p>
    <w:p w14:paraId="379D6769" w14:textId="77777777" w:rsidR="00203F72" w:rsidRPr="00BE652C" w:rsidRDefault="00480296" w:rsidP="00BE652C">
      <w:r w:rsidRPr="00BE652C">
        <w:rPr>
          <w:rFonts w:hint="eastAsia"/>
        </w:rPr>
        <w:t xml:space="preserve">　　</w:t>
      </w:r>
      <w:r w:rsidRPr="00BE652C">
        <w:rPr>
          <w:rFonts w:hint="eastAsia"/>
        </w:rPr>
        <w:t>1</w:t>
      </w:r>
      <w:r w:rsidRPr="00BE652C">
        <w:rPr>
          <w:rFonts w:hint="eastAsia"/>
        </w:rPr>
        <w:t>、</w:t>
      </w:r>
      <w:r w:rsidR="00203F72" w:rsidRPr="00BE652C">
        <w:t>我們身陷在一連串的宣傳計劃與氛圍中，整個世界一直有股聲音，要我們把胚胎</w:t>
      </w:r>
      <w:r w:rsidR="00203F72" w:rsidRPr="00BE652C">
        <w:t>(zygote)</w:t>
      </w:r>
      <w:r w:rsidR="003E240E">
        <w:t>視</w:t>
      </w:r>
      <w:r w:rsidR="00203F72" w:rsidRPr="00BE652C">
        <w:t>為次人或非人；</w:t>
      </w:r>
    </w:p>
    <w:p w14:paraId="2C950149" w14:textId="77777777" w:rsidR="00203F72" w:rsidRPr="00BE652C" w:rsidRDefault="00480296" w:rsidP="00BE652C">
      <w:r w:rsidRPr="00BE652C">
        <w:rPr>
          <w:rFonts w:hint="eastAsia"/>
        </w:rPr>
        <w:t xml:space="preserve">　　</w:t>
      </w:r>
      <w:r w:rsidRPr="00BE652C">
        <w:rPr>
          <w:rFonts w:hint="eastAsia"/>
        </w:rPr>
        <w:t>2</w:t>
      </w:r>
      <w:r w:rsidRPr="00BE652C">
        <w:rPr>
          <w:rFonts w:hint="eastAsia"/>
        </w:rPr>
        <w:t>、</w:t>
      </w:r>
      <w:r w:rsidR="00203F72" w:rsidRPr="00BE652C">
        <w:t>無論現代人如何不斷自我催眠地說服自己，不把胚胎</w:t>
      </w:r>
      <w:r w:rsidR="00203F72" w:rsidRPr="00BE652C">
        <w:t>(zygote)</w:t>
      </w:r>
      <w:r w:rsidR="00203F72" w:rsidRPr="00BE652C">
        <w:t>當作人，胚胎</w:t>
      </w:r>
      <w:r w:rsidR="00203F72" w:rsidRPr="00BE652C">
        <w:t>(zygote)</w:t>
      </w:r>
      <w:r w:rsidR="00203F72" w:rsidRPr="00BE652C">
        <w:t>還是人而不是次人；</w:t>
      </w:r>
    </w:p>
    <w:p w14:paraId="6B5F14B3" w14:textId="77777777" w:rsidR="00203F72" w:rsidRPr="00BE652C" w:rsidRDefault="00480296" w:rsidP="00BE652C">
      <w:r w:rsidRPr="00BE652C">
        <w:rPr>
          <w:rFonts w:hint="eastAsia"/>
        </w:rPr>
        <w:t xml:space="preserve">　　</w:t>
      </w:r>
      <w:r w:rsidRPr="00BE652C">
        <w:rPr>
          <w:rFonts w:hint="eastAsia"/>
        </w:rPr>
        <w:t>3</w:t>
      </w:r>
      <w:r w:rsidRPr="00BE652C">
        <w:rPr>
          <w:rFonts w:hint="eastAsia"/>
        </w:rPr>
        <w:t>、</w:t>
      </w:r>
      <w:r w:rsidR="00203F72" w:rsidRPr="00BE652C">
        <w:t>使用人類胚胎</w:t>
      </w:r>
      <w:r w:rsidR="00203F72" w:rsidRPr="00BE652C">
        <w:t>(zygote)</w:t>
      </w:r>
      <w:r w:rsidR="00203F72" w:rsidRPr="00BE652C">
        <w:t>的幹細胞研究雖然可以促使科學進步，可以幫助許多身受疾病折磨的病患，但它就如同當時日本與德國科學家加諸於中國人與猶太人身上的實驗般是道德上不可接受的；</w:t>
      </w:r>
    </w:p>
    <w:p w14:paraId="39AA064C" w14:textId="77777777" w:rsidR="00203F72" w:rsidRPr="00BE652C" w:rsidRDefault="00480296" w:rsidP="00BE652C">
      <w:r w:rsidRPr="00BE652C">
        <w:rPr>
          <w:rFonts w:hint="eastAsia"/>
        </w:rPr>
        <w:t xml:space="preserve">　　</w:t>
      </w:r>
      <w:r w:rsidRPr="00BE652C">
        <w:rPr>
          <w:rFonts w:hint="eastAsia"/>
        </w:rPr>
        <w:t>4</w:t>
      </w:r>
      <w:r w:rsidRPr="00BE652C">
        <w:rPr>
          <w:rFonts w:hint="eastAsia"/>
        </w:rPr>
        <w:t>、</w:t>
      </w:r>
      <w:r w:rsidR="00203F72" w:rsidRPr="00BE652C">
        <w:t>縱有多麼良善的動機或多麼大的好處，我們都無權剝奪人類胚胎的人性尊嚴；</w:t>
      </w:r>
    </w:p>
    <w:p w14:paraId="4AC06168" w14:textId="77777777" w:rsidR="00203F72" w:rsidRPr="00BE652C" w:rsidRDefault="00480296" w:rsidP="00BE652C">
      <w:r w:rsidRPr="00BE652C">
        <w:rPr>
          <w:rFonts w:hint="eastAsia"/>
        </w:rPr>
        <w:t xml:space="preserve">　　</w:t>
      </w:r>
      <w:r w:rsidRPr="00BE652C">
        <w:rPr>
          <w:rFonts w:hint="eastAsia"/>
        </w:rPr>
        <w:t>5</w:t>
      </w:r>
      <w:r w:rsidRPr="00BE652C">
        <w:rPr>
          <w:rFonts w:hint="eastAsia"/>
        </w:rPr>
        <w:t>、</w:t>
      </w:r>
      <w:r w:rsidR="00203F72" w:rsidRPr="00BE652C">
        <w:t>我們無權把胚胎</w:t>
      </w:r>
      <w:r w:rsidR="00203F72" w:rsidRPr="00BE652C">
        <w:t>(zygote)</w:t>
      </w:r>
      <w:r w:rsidR="00203F72" w:rsidRPr="00BE652C">
        <w:t>的存在化約成實驗品，也無權擅自決定犧牲最弱勢的無辜胚胎之生命</w:t>
      </w:r>
      <w:r w:rsidR="00203F72" w:rsidRPr="00BE652C">
        <w:footnoteReference w:id="265"/>
      </w:r>
      <w:r w:rsidR="00203F72" w:rsidRPr="00BE652C">
        <w:t>；</w:t>
      </w:r>
    </w:p>
    <w:p w14:paraId="5165BDC7" w14:textId="77777777" w:rsidR="00203F72" w:rsidRPr="00BE652C" w:rsidRDefault="00480296" w:rsidP="00BE652C">
      <w:r w:rsidRPr="00BE652C">
        <w:rPr>
          <w:rFonts w:hint="eastAsia"/>
        </w:rPr>
        <w:t xml:space="preserve">　　</w:t>
      </w:r>
      <w:r w:rsidRPr="00BE652C">
        <w:rPr>
          <w:rFonts w:hint="eastAsia"/>
        </w:rPr>
        <w:t>6</w:t>
      </w:r>
      <w:r w:rsidRPr="00BE652C">
        <w:rPr>
          <w:rFonts w:hint="eastAsia"/>
        </w:rPr>
        <w:t>、</w:t>
      </w:r>
      <w:r w:rsidR="00203F72" w:rsidRPr="00BE652C">
        <w:t>人類對這股人類胚胎</w:t>
      </w:r>
      <w:r w:rsidR="00203F72" w:rsidRPr="00BE652C">
        <w:t>(zygote)</w:t>
      </w:r>
      <w:r w:rsidR="00203F72" w:rsidRPr="00BE652C">
        <w:t>實驗熱潮，應給予適切的諍言回應；</w:t>
      </w:r>
    </w:p>
    <w:p w14:paraId="472E63D1" w14:textId="77777777" w:rsidR="00203F72" w:rsidRPr="00BE652C" w:rsidRDefault="00480296" w:rsidP="00BE652C">
      <w:r w:rsidRPr="00BE652C">
        <w:rPr>
          <w:rFonts w:hint="eastAsia"/>
        </w:rPr>
        <w:t xml:space="preserve">　　</w:t>
      </w:r>
      <w:r w:rsidRPr="00BE652C">
        <w:rPr>
          <w:rFonts w:hint="eastAsia"/>
        </w:rPr>
        <w:t>7</w:t>
      </w:r>
      <w:r w:rsidRPr="00BE652C">
        <w:rPr>
          <w:rFonts w:hint="eastAsia"/>
        </w:rPr>
        <w:t>、</w:t>
      </w:r>
      <w:r w:rsidR="00203F72" w:rsidRPr="00BE652C">
        <w:t>人類應對人類胚胎</w:t>
      </w:r>
      <w:r w:rsidR="00203F72" w:rsidRPr="00BE652C">
        <w:t>(zygote)</w:t>
      </w:r>
      <w:r w:rsidR="00203F72" w:rsidRPr="00BE652C">
        <w:t>抱持同樣人道的關懷；</w:t>
      </w:r>
    </w:p>
    <w:p w14:paraId="59B831AD" w14:textId="77777777" w:rsidR="00953151" w:rsidRPr="00BE652C" w:rsidRDefault="00480296" w:rsidP="00BE652C">
      <w:r w:rsidRPr="00BE652C">
        <w:rPr>
          <w:rFonts w:hint="eastAsia"/>
        </w:rPr>
        <w:t xml:space="preserve">　　</w:t>
      </w:r>
      <w:r w:rsidRPr="00BE652C">
        <w:rPr>
          <w:rFonts w:hint="eastAsia"/>
        </w:rPr>
        <w:t>8</w:t>
      </w:r>
      <w:r w:rsidRPr="00BE652C">
        <w:rPr>
          <w:rFonts w:hint="eastAsia"/>
        </w:rPr>
        <w:t>、</w:t>
      </w:r>
      <w:r w:rsidR="00203F72" w:rsidRPr="00BE652C">
        <w:t>就科學的發展潛能看來，科學界只要有心，應有能力藉著努力，以符合道德的方式，在不損傷人類胚胎、不殺害人類胚胎的原則下，發掘出更多有關幹細胞發展機制的奧秘，進而能更有效地治療疾病，造福需要的人。</w:t>
      </w:r>
    </w:p>
    <w:p w14:paraId="0A569125" w14:textId="77777777" w:rsidR="00145751" w:rsidRPr="00BE652C" w:rsidRDefault="00480296" w:rsidP="00BE652C">
      <w:r w:rsidRPr="00BE652C">
        <w:t xml:space="preserve">　　</w:t>
      </w:r>
      <w:r w:rsidR="00203F72" w:rsidRPr="00BE652C">
        <w:t>本書認為，人類胚胎</w:t>
      </w:r>
      <w:r w:rsidR="00203F72" w:rsidRPr="00BE652C">
        <w:t>(zygote) (</w:t>
      </w:r>
      <w:r w:rsidR="00203F72" w:rsidRPr="00BE652C">
        <w:t>此包含由體細胞核轉殖技術所形成之人類胚胎</w:t>
      </w:r>
      <w:r w:rsidR="00203F72" w:rsidRPr="00BE652C">
        <w:footnoteReference w:id="266"/>
      </w:r>
      <w:r w:rsidR="00203F72" w:rsidRPr="00BE652C">
        <w:t>，稱為</w:t>
      </w:r>
      <w:r w:rsidR="00203F72" w:rsidRPr="00BE652C">
        <w:t>somatic cell nuclear transfer, SCNT</w:t>
      </w:r>
      <w:r w:rsidR="00203F72" w:rsidRPr="00BE652C">
        <w:t>，以及母系分裂梭轉移</w:t>
      </w:r>
      <w:r w:rsidR="00203F72" w:rsidRPr="00BE652C">
        <w:t>MST)</w:t>
      </w:r>
      <w:r w:rsidR="00203F72" w:rsidRPr="00BE652C">
        <w:t>具有以下之特色：</w:t>
      </w:r>
    </w:p>
    <w:p w14:paraId="360ADD02" w14:textId="77777777" w:rsidR="00145751" w:rsidRPr="00BE652C" w:rsidRDefault="00480296" w:rsidP="00BE652C">
      <w:r w:rsidRPr="00BE652C">
        <w:t xml:space="preserve">　　</w:t>
      </w:r>
      <w:r w:rsidR="00203F72" w:rsidRPr="00BE652C">
        <w:t>1</w:t>
      </w:r>
      <w:r w:rsidR="00203F72" w:rsidRPr="00BE652C">
        <w:t>、人類胚胎</w:t>
      </w:r>
      <w:r w:rsidR="00203F72" w:rsidRPr="00BE652C">
        <w:t>(zygote)</w:t>
      </w:r>
      <w:r w:rsidR="00203F72" w:rsidRPr="00BE652C">
        <w:t>有無限可能的生命力及生命的動能，因為人類胚胎</w:t>
      </w:r>
      <w:r w:rsidR="00203F72" w:rsidRPr="00BE652C">
        <w:t>(</w:t>
      </w:r>
      <w:r w:rsidR="00203F72" w:rsidRPr="00BE652C">
        <w:t>包括</w:t>
      </w:r>
      <w:r w:rsidR="00203F72" w:rsidRPr="00BE652C">
        <w:t>SCNT</w:t>
      </w:r>
      <w:r w:rsidR="00203F72" w:rsidRPr="00BE652C">
        <w:t>，以及母系分裂梭轉移</w:t>
      </w:r>
      <w:r w:rsidR="00203F72" w:rsidRPr="00BE652C">
        <w:t>MST)</w:t>
      </w:r>
      <w:r w:rsidR="00203F72" w:rsidRPr="00BE652C">
        <w:t>含在適當之條件下，會不斷地成長；</w:t>
      </w:r>
    </w:p>
    <w:p w14:paraId="59CD61C7" w14:textId="77777777" w:rsidR="00953151" w:rsidRPr="00BE652C" w:rsidRDefault="00480296" w:rsidP="00BE652C">
      <w:r w:rsidRPr="00BE652C">
        <w:t xml:space="preserve">　　</w:t>
      </w:r>
      <w:r w:rsidR="00203F72" w:rsidRPr="00BE652C">
        <w:t>2</w:t>
      </w:r>
      <w:r w:rsidR="00203F72" w:rsidRPr="00BE652C">
        <w:t>、在使用人類胚胎</w:t>
      </w:r>
      <w:r w:rsidR="00203F72" w:rsidRPr="00BE652C">
        <w:t>(zygote)</w:t>
      </w:r>
      <w:r w:rsidR="00203F72" w:rsidRPr="00BE652C">
        <w:t>幹細胞的過程中，對於人類胚胎之破壞及傷害，已嚴重地違反了上述的自律原則、不傷害原則、公正原則、仁愛原則，尤其是不傷害原則，故有必要嚴格地加以禁止及杜絕。</w:t>
      </w:r>
    </w:p>
    <w:p w14:paraId="372CF725" w14:textId="77777777" w:rsidR="00203F72" w:rsidRPr="00A53581" w:rsidRDefault="00480296" w:rsidP="00BE652C">
      <w:r w:rsidRPr="00BE652C">
        <w:t xml:space="preserve">　　</w:t>
      </w:r>
      <w:r w:rsidR="00203F72" w:rsidRPr="00BE652C">
        <w:t>本書主張有關人類胚胎</w:t>
      </w:r>
      <w:r w:rsidR="00203F72" w:rsidRPr="00BE652C">
        <w:t>(zygote)</w:t>
      </w:r>
      <w:r w:rsidR="00203F72" w:rsidRPr="00BE652C">
        <w:t>幹細胞之實驗，因涉及到人類胚胎生命之剝奪，有</w:t>
      </w:r>
      <w:r w:rsidR="00203F72" w:rsidRPr="00A53581">
        <w:t>殺害人類胚胎生命之嫌，在台灣生技產業中，實是吾人及吾國應該極力去避免違反道德的情事。補救之法，因為成體幹細胞不斷地在發展及精進之中，兩全其美之辦法，未來或可以成體幹細胞加以取代人類胚胎幹細胞</w:t>
      </w:r>
      <w:r w:rsidR="00203F72" w:rsidRPr="00A53581">
        <w:t>(</w:t>
      </w:r>
      <w:r w:rsidR="00203F72" w:rsidRPr="00A53581">
        <w:t>包括</w:t>
      </w:r>
      <w:r w:rsidR="00203F72" w:rsidRPr="00A53581">
        <w:t>SCNT</w:t>
      </w:r>
      <w:r w:rsidR="00203F72" w:rsidRPr="00A53581">
        <w:t>，以及母系分裂梭轉移</w:t>
      </w:r>
      <w:r w:rsidR="00203F72" w:rsidRPr="00A53581">
        <w:t>MST)</w:t>
      </w:r>
      <w:r w:rsidR="00203F72" w:rsidRPr="00A53581">
        <w:t>為宜。就憲法之高度而論，憲法保障人民之生命權之規範，宜含射至人類胚胎</w:t>
      </w:r>
      <w:r w:rsidR="00203F72" w:rsidRPr="00A53581">
        <w:t>(zygote)</w:t>
      </w:r>
      <w:r w:rsidR="00203F72" w:rsidRPr="00A53581">
        <w:t>生命權與生存權</w:t>
      </w:r>
      <w:r w:rsidR="00203F72" w:rsidRPr="00A53581">
        <w:t>(</w:t>
      </w:r>
      <w:r w:rsidR="00203F72" w:rsidRPr="00A53581">
        <w:t>包括胚胎形成後</w:t>
      </w:r>
      <w:r w:rsidR="00203F72" w:rsidRPr="00A53581">
        <w:t>14</w:t>
      </w:r>
      <w:r w:rsidR="00203F72" w:rsidRPr="00A53581">
        <w:t>日內之階段</w:t>
      </w:r>
      <w:r w:rsidR="00203F72" w:rsidRPr="00A53581">
        <w:t>)</w:t>
      </w:r>
      <w:r w:rsidR="00203F72" w:rsidRPr="00A53581">
        <w:t>之保障。綜上，本書認為，人類胚胎</w:t>
      </w:r>
      <w:r w:rsidR="00203F72" w:rsidRPr="00A53581">
        <w:t>(zygote)</w:t>
      </w:r>
      <w:r w:rsidR="00203F72" w:rsidRPr="00A53581">
        <w:t>終究是人，其非動物，人類胚胎</w:t>
      </w:r>
      <w:r w:rsidR="00203F72" w:rsidRPr="00A53581">
        <w:t>(zygote)</w:t>
      </w:r>
      <w:r w:rsidR="00203F72" w:rsidRPr="00A53581">
        <w:t>之生命權與生存權，應受到憲法之明文保障。</w:t>
      </w:r>
    </w:p>
    <w:p w14:paraId="531216D7" w14:textId="77777777" w:rsidR="00145751" w:rsidRPr="00A53581" w:rsidRDefault="00145751" w:rsidP="00BE652C">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78030C1F" w14:textId="77777777" w:rsidR="00203F72" w:rsidRPr="00A53581" w:rsidRDefault="00203F72" w:rsidP="00D87D91"/>
    <w:p w14:paraId="27F4EF2F" w14:textId="77777777" w:rsidR="00203F72" w:rsidRPr="002E3284" w:rsidRDefault="00203F72" w:rsidP="00767F37">
      <w:pPr>
        <w:pStyle w:val="2"/>
      </w:pPr>
      <w:bookmarkStart w:id="62" w:name="_第二章_我國憲法應將國防力量明文定位為「防衛型」及「正義型」兵役用途-"/>
      <w:bookmarkEnd w:id="62"/>
      <w:r w:rsidRPr="002E3284">
        <w:t>第二章</w:t>
      </w:r>
      <w:r w:rsidRPr="002E3284">
        <w:t xml:space="preserve"> </w:t>
      </w:r>
      <w:r w:rsidRPr="002E3284">
        <w:t>我國憲法應將國防力量明文定位為「防衛型」及「正義型」兵役用途</w:t>
      </w:r>
      <w:r w:rsidR="00D92F56">
        <w:t>〜</w:t>
      </w:r>
      <w:r w:rsidRPr="002E3284">
        <w:t>以我國擬對中國長江三峽大壩進行攻擊之戰略為中心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14:paraId="38C45F48" w14:textId="77777777" w:rsidTr="00203F72">
        <w:tc>
          <w:tcPr>
            <w:tcW w:w="8362" w:type="dxa"/>
            <w:shd w:val="clear" w:color="auto" w:fill="auto"/>
          </w:tcPr>
          <w:p w14:paraId="7A88A388" w14:textId="77777777" w:rsidR="00203F72" w:rsidRPr="00BE652C" w:rsidRDefault="00203F72" w:rsidP="00EE39EE">
            <w:pPr>
              <w:jc w:val="center"/>
              <w:rPr>
                <w:b/>
              </w:rPr>
            </w:pPr>
            <w:r w:rsidRPr="00BE652C">
              <w:rPr>
                <w:b/>
              </w:rPr>
              <w:t>目錄</w:t>
            </w:r>
          </w:p>
          <w:p w14:paraId="66F680DB" w14:textId="77777777" w:rsidR="00203F72" w:rsidRPr="000D79C4" w:rsidRDefault="00480296" w:rsidP="00D87D91">
            <w:r w:rsidRPr="000D79C4">
              <w:t xml:space="preserve">　　</w:t>
            </w:r>
            <w:r w:rsidR="00203F72" w:rsidRPr="000D79C4">
              <w:t>壹、緣起</w:t>
            </w:r>
          </w:p>
          <w:p w14:paraId="19BA337E" w14:textId="77777777" w:rsidR="00203F72" w:rsidRPr="000D79C4" w:rsidRDefault="00480296" w:rsidP="00D87D91">
            <w:r w:rsidRPr="000D79C4">
              <w:t xml:space="preserve">　　</w:t>
            </w:r>
            <w:r w:rsidR="00203F72" w:rsidRPr="000D79C4">
              <w:t>貳、我國對長江三峽大壩進行軍事攻擊的嚴重後果</w:t>
            </w:r>
          </w:p>
          <w:p w14:paraId="17562BC3" w14:textId="77777777" w:rsidR="00203F72" w:rsidRPr="000D79C4" w:rsidRDefault="00480296" w:rsidP="00D87D91">
            <w:r w:rsidRPr="000D79C4">
              <w:t xml:space="preserve">　　</w:t>
            </w:r>
            <w:r w:rsidR="00203F72" w:rsidRPr="000D79C4">
              <w:t>一、人命死亡：直接死亡之人數，可能會達到</w:t>
            </w:r>
            <w:r w:rsidR="00203F72" w:rsidRPr="000D79C4">
              <w:t>1</w:t>
            </w:r>
            <w:r w:rsidR="00203F72" w:rsidRPr="000D79C4">
              <w:t>億人</w:t>
            </w:r>
          </w:p>
          <w:p w14:paraId="5FD99A26" w14:textId="77777777" w:rsidR="00203F72" w:rsidRPr="000D79C4" w:rsidRDefault="00480296" w:rsidP="00D87D91">
            <w:r w:rsidRPr="000D79C4">
              <w:t xml:space="preserve">　　</w:t>
            </w:r>
            <w:r w:rsidR="00203F72" w:rsidRPr="000D79C4">
              <w:t>二、後世代權</w:t>
            </w:r>
            <w:r w:rsidR="00203F72" w:rsidRPr="000D79C4">
              <w:t>(</w:t>
            </w:r>
            <w:r w:rsidR="00203F72" w:rsidRPr="000D79C4">
              <w:t>生態</w:t>
            </w:r>
            <w:r w:rsidR="00203F72" w:rsidRPr="000D79C4">
              <w:t>)</w:t>
            </w:r>
            <w:r w:rsidR="00203F72" w:rsidRPr="000D79C4">
              <w:t>的破壞：包括對地表自然生態之損壞</w:t>
            </w:r>
          </w:p>
          <w:p w14:paraId="39FB9A7E" w14:textId="77777777" w:rsidR="00203F72" w:rsidRPr="000D79C4" w:rsidRDefault="00480296" w:rsidP="00D87D91">
            <w:r w:rsidRPr="000D79C4">
              <w:t xml:space="preserve">　　</w:t>
            </w:r>
            <w:r w:rsidR="00203F72" w:rsidRPr="000D79C4">
              <w:t>三、動物的死亡</w:t>
            </w:r>
          </w:p>
          <w:p w14:paraId="0462A2D4" w14:textId="77777777" w:rsidR="00203F72" w:rsidRPr="000D79C4" w:rsidRDefault="00480296" w:rsidP="00D87D91">
            <w:r w:rsidRPr="000D79C4">
              <w:t xml:space="preserve">　　</w:t>
            </w:r>
            <w:r w:rsidR="00203F72" w:rsidRPr="000D79C4">
              <w:t>參、從「關於保護非國際性武裝衝突受難者的附加議定書（第二議定書）」觀點探討我國對長江三峽水壩進行軍事攻擊是否違反國際法相關規定</w:t>
            </w:r>
          </w:p>
          <w:p w14:paraId="570D4454" w14:textId="77777777" w:rsidR="00203F72" w:rsidRPr="000D79C4" w:rsidRDefault="00480296" w:rsidP="00D87D91">
            <w:r w:rsidRPr="000D79C4">
              <w:t xml:space="preserve">　　</w:t>
            </w:r>
            <w:r w:rsidR="00203F72" w:rsidRPr="000D79C4">
              <w:t>一、我國是否有國際上法律義務遵守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日日內瓦四公約關於保護非國際性武裝衝突受難者的附加議定書（第二議定書）之規定？</w:t>
            </w:r>
          </w:p>
          <w:p w14:paraId="330335E4" w14:textId="77777777" w:rsidR="00203F72" w:rsidRPr="000D79C4" w:rsidRDefault="00480296" w:rsidP="00D87D91">
            <w:r w:rsidRPr="000D79C4">
              <w:t xml:space="preserve">　　</w:t>
            </w:r>
            <w:r w:rsidR="00203F72" w:rsidRPr="000D79C4">
              <w:t>(</w:t>
            </w:r>
            <w:r w:rsidR="00203F72" w:rsidRPr="000D79C4">
              <w:t>一</w:t>
            </w:r>
            <w:r w:rsidR="00203F72" w:rsidRPr="000D79C4">
              <w:t>)</w:t>
            </w:r>
            <w:r w:rsidR="00203F72" w:rsidRPr="000D79C4">
              <w:t>我國受到</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日日內瓦四公約關於保護非國際性武裝衝突受難者的附加議定書（第二議定書）的法律拘束</w:t>
            </w:r>
          </w:p>
          <w:p w14:paraId="1D372A78" w14:textId="77777777" w:rsidR="00203F72" w:rsidRPr="000D79C4" w:rsidRDefault="00480296" w:rsidP="00D87D91">
            <w:r w:rsidRPr="000D79C4">
              <w:t xml:space="preserve">　　</w:t>
            </w:r>
            <w:r w:rsidR="00203F72" w:rsidRPr="000D79C4">
              <w:t>(</w:t>
            </w:r>
            <w:r w:rsidR="00203F72" w:rsidRPr="000D79C4">
              <w:t>二</w:t>
            </w:r>
            <w:r w:rsidR="00203F72" w:rsidRPr="000D79C4">
              <w:t>)</w:t>
            </w:r>
            <w:r w:rsidR="00203F72" w:rsidRPr="000D79C4">
              <w:t>第二議定書對每一當事國之拘束力及於其全部領土</w:t>
            </w:r>
          </w:p>
          <w:p w14:paraId="686511BC" w14:textId="77777777" w:rsidR="00203F72" w:rsidRPr="000D79C4" w:rsidRDefault="00480296" w:rsidP="00D87D91">
            <w:r w:rsidRPr="000D79C4">
              <w:t xml:space="preserve">　　</w:t>
            </w:r>
            <w:r w:rsidR="00203F72" w:rsidRPr="000D79C4">
              <w:t>(</w:t>
            </w:r>
            <w:r w:rsidR="00203F72" w:rsidRPr="000D79C4">
              <w:t>三</w:t>
            </w:r>
            <w:r w:rsidR="00203F72" w:rsidRPr="000D79C4">
              <w:t>)</w:t>
            </w:r>
            <w:r w:rsidR="00203F72" w:rsidRPr="000D79C4">
              <w:t>非聯合國會員亦有必要遵守</w:t>
            </w:r>
            <w:hyperlink r:id="rId1608" w:history="1">
              <w:r w:rsidR="006937CE" w:rsidRPr="006937CE">
                <w:rPr>
                  <w:rStyle w:val="a5"/>
                  <w:rFonts w:ascii="Times New Roman" w:eastAsia="新細明體" w:hAnsi="Times New Roman"/>
                </w:rPr>
                <w:t>聯合國憲章</w:t>
              </w:r>
            </w:hyperlink>
            <w:r w:rsidR="00203F72" w:rsidRPr="000D79C4">
              <w:t>中有關不得使用武力或威脅，而以和平方式解決國際爭端之義務</w:t>
            </w:r>
          </w:p>
          <w:p w14:paraId="086658D4" w14:textId="77777777" w:rsidR="00203F72" w:rsidRPr="000D79C4" w:rsidRDefault="00EE39EE" w:rsidP="00D87D91">
            <w:r>
              <w:rPr>
                <w:rFonts w:hint="eastAsia"/>
              </w:rPr>
              <w:t xml:space="preserve">　　</w:t>
            </w:r>
            <w:r w:rsidR="00203F72" w:rsidRPr="000D79C4">
              <w:t>二、我國若對長江三峽水壩進行軍事攻擊，則業已違反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日日內瓦四公約關於保護非國際性武裝衝突受難者的附加議定書（第二議定書）之相關法律條文的規定</w:t>
            </w:r>
          </w:p>
          <w:p w14:paraId="596A7656" w14:textId="77777777" w:rsidR="00203F72" w:rsidRPr="000D79C4" w:rsidRDefault="00480296" w:rsidP="00D87D91">
            <w:r w:rsidRPr="000D79C4">
              <w:t xml:space="preserve">　　</w:t>
            </w:r>
            <w:r w:rsidR="00203F72" w:rsidRPr="000D79C4">
              <w:t>(</w:t>
            </w:r>
            <w:r w:rsidR="00203F72" w:rsidRPr="000D79C4">
              <w:t>一</w:t>
            </w:r>
            <w:r w:rsidR="00203F72" w:rsidRPr="000D79C4">
              <w:t>)</w:t>
            </w:r>
            <w:r w:rsidR="00203F72" w:rsidRPr="000D79C4">
              <w:t>第二議定書明文禁止攻擊堤壩和核發電站</w:t>
            </w:r>
          </w:p>
          <w:p w14:paraId="644A995B" w14:textId="77777777" w:rsidR="00203F72" w:rsidRPr="000D79C4" w:rsidRDefault="00480296" w:rsidP="00D87D91">
            <w:r w:rsidRPr="000D79C4">
              <w:t xml:space="preserve">　　</w:t>
            </w:r>
            <w:r w:rsidR="00203F72" w:rsidRPr="000D79C4">
              <w:t>(</w:t>
            </w:r>
            <w:r w:rsidR="00203F72" w:rsidRPr="000D79C4">
              <w:t>二</w:t>
            </w:r>
            <w:r w:rsidR="00203F72" w:rsidRPr="000D79C4">
              <w:t>)</w:t>
            </w:r>
            <w:r w:rsidR="00203F72" w:rsidRPr="000D79C4">
              <w:t>關於保護非國際性武裝衝突受難者的附加議定書</w:t>
            </w:r>
            <w:r w:rsidR="00203F72" w:rsidRPr="000D79C4">
              <w:t>(</w:t>
            </w:r>
            <w:r w:rsidR="00203F72" w:rsidRPr="000D79C4">
              <w:t>第二議定書</w:t>
            </w:r>
            <w:r w:rsidR="00203F72" w:rsidRPr="000D79C4">
              <w:t>)</w:t>
            </w:r>
            <w:r w:rsidR="00203F72" w:rsidRPr="000D79C4">
              <w:t>第十三條明文規定平民居民和平民個人應享受免於軍事行動所產生的危險的一般保護</w:t>
            </w:r>
          </w:p>
          <w:p w14:paraId="1CEA2947" w14:textId="77777777" w:rsidR="00203F72" w:rsidRPr="000D79C4" w:rsidRDefault="00480296" w:rsidP="00D87D91">
            <w:r w:rsidRPr="000D79C4">
              <w:t xml:space="preserve">　　</w:t>
            </w:r>
            <w:r w:rsidR="00203F72" w:rsidRPr="000D79C4">
              <w:t>(</w:t>
            </w:r>
            <w:r w:rsidR="00203F72" w:rsidRPr="000D79C4">
              <w:t>三</w:t>
            </w:r>
            <w:r w:rsidR="00203F72" w:rsidRPr="000D79C4">
              <w:t>)</w:t>
            </w:r>
            <w:r w:rsidR="00203F72" w:rsidRPr="000D79C4">
              <w:t>關於保護非國際性武裝衝突受難者的附加議定書（第二議定書）明文規定禁止以在平民居民中散佈恐怖為主要目的的暴力行為或暴力威脅</w:t>
            </w:r>
          </w:p>
          <w:p w14:paraId="5E3E4DE0" w14:textId="77777777" w:rsidR="00203F72" w:rsidRPr="000D79C4" w:rsidRDefault="00480296" w:rsidP="00D87D91">
            <w:r w:rsidRPr="000D79C4">
              <w:t xml:space="preserve">　　</w:t>
            </w:r>
            <w:r w:rsidR="00203F72" w:rsidRPr="000D79C4">
              <w:t>(</w:t>
            </w:r>
            <w:r w:rsidR="00203F72" w:rsidRPr="000D79C4">
              <w:t>四</w:t>
            </w:r>
            <w:r w:rsidR="00203F72" w:rsidRPr="000D79C4">
              <w:t>)</w:t>
            </w:r>
            <w:r w:rsidR="00203F72" w:rsidRPr="000D79C4">
              <w:t>台灣以飛彈對長江三峽水壩進行軍事攻擊之軍事戰略是一種違反國際人道法之違法作法</w:t>
            </w:r>
          </w:p>
          <w:p w14:paraId="173E7659" w14:textId="77777777" w:rsidR="00203F72" w:rsidRPr="000D79C4" w:rsidRDefault="00480296" w:rsidP="00D87D91">
            <w:r w:rsidRPr="000D79C4">
              <w:t xml:space="preserve">　　</w:t>
            </w:r>
            <w:r w:rsidR="00203F72" w:rsidRPr="000D79C4">
              <w:t>(</w:t>
            </w:r>
            <w:r w:rsidR="00203F72" w:rsidRPr="000D79C4">
              <w:t>五</w:t>
            </w:r>
            <w:r w:rsidR="00203F72" w:rsidRPr="000D79C4">
              <w:t>)</w:t>
            </w:r>
            <w:r w:rsidR="00203F72" w:rsidRPr="000D79C4">
              <w:t>第二議定書第十六條明文規定禁止對文物和禮拜場所的破壞</w:t>
            </w:r>
          </w:p>
          <w:p w14:paraId="524F045B" w14:textId="77777777" w:rsidR="00203F72" w:rsidRPr="000D79C4" w:rsidRDefault="00480296" w:rsidP="00D87D91">
            <w:r w:rsidRPr="000D79C4">
              <w:t xml:space="preserve">　　</w:t>
            </w:r>
            <w:r w:rsidR="00203F72" w:rsidRPr="000D79C4">
              <w:t>(</w:t>
            </w:r>
            <w:r w:rsidR="00203F72" w:rsidRPr="000D79C4">
              <w:t>六</w:t>
            </w:r>
            <w:r w:rsidR="00203F72" w:rsidRPr="000D79C4">
              <w:t>)</w:t>
            </w:r>
            <w:r w:rsidR="00203F72" w:rsidRPr="000D79C4">
              <w:t>第二議定書第四條第一項明文規定禁止「下令殺無赦」</w:t>
            </w:r>
            <w:r w:rsidR="00203F72" w:rsidRPr="000D79C4">
              <w:t>(It is prohibited to order that there shall be no survivors)</w:t>
            </w:r>
          </w:p>
          <w:p w14:paraId="3C66F099" w14:textId="77777777" w:rsidR="00203F72" w:rsidRPr="000D79C4" w:rsidRDefault="00480296" w:rsidP="00D87D91">
            <w:r w:rsidRPr="000D79C4">
              <w:t xml:space="preserve">　　</w:t>
            </w:r>
            <w:r w:rsidR="00203F72" w:rsidRPr="000D79C4">
              <w:t>(</w:t>
            </w:r>
            <w:r w:rsidR="00203F72" w:rsidRPr="000D79C4">
              <w:t>七</w:t>
            </w:r>
            <w:r w:rsidR="00203F72" w:rsidRPr="000D79C4">
              <w:t>)</w:t>
            </w:r>
            <w:r w:rsidR="00203F72" w:rsidRPr="000D79C4">
              <w:t>第二議定書第四條第二項第一款明文規定禁止對「未直接參加或已停止參加敵對行動的人」加以謀殺</w:t>
            </w:r>
          </w:p>
          <w:p w14:paraId="5428F9BE" w14:textId="77777777" w:rsidR="00203F72" w:rsidRPr="000D79C4" w:rsidRDefault="00480296" w:rsidP="00D87D91">
            <w:r w:rsidRPr="000D79C4">
              <w:t xml:space="preserve">　　</w:t>
            </w:r>
            <w:r w:rsidR="00203F72" w:rsidRPr="000D79C4">
              <w:t>(</w:t>
            </w:r>
            <w:r w:rsidR="00203F72" w:rsidRPr="000D79C4">
              <w:t>八</w:t>
            </w:r>
            <w:r w:rsidR="00203F72" w:rsidRPr="000D79C4">
              <w:t>)</w:t>
            </w:r>
            <w:r w:rsidR="00203F72" w:rsidRPr="000D79C4">
              <w:t>第二議定書第第十四條明文規定對平民居民生存所不可缺少的物體，應加以保護</w:t>
            </w:r>
            <w:r w:rsidR="00203F72" w:rsidRPr="000D79C4">
              <w:t>(Protection of objects indispensable to the survival of the civilian population)</w:t>
            </w:r>
          </w:p>
          <w:p w14:paraId="4301D7E6" w14:textId="77777777" w:rsidR="00203F72" w:rsidRPr="00A53581" w:rsidRDefault="00480296" w:rsidP="00BE652C">
            <w:r w:rsidRPr="000D79C4">
              <w:t xml:space="preserve">　　</w:t>
            </w:r>
            <w:r w:rsidR="00203F72" w:rsidRPr="000D79C4">
              <w:t>肆、結論與建議</w:t>
            </w:r>
          </w:p>
        </w:tc>
      </w:tr>
    </w:tbl>
    <w:p w14:paraId="608826FE" w14:textId="77777777"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14:paraId="7E8CBDE1" w14:textId="77777777" w:rsidTr="00203F72">
        <w:tc>
          <w:tcPr>
            <w:tcW w:w="8362" w:type="dxa"/>
            <w:shd w:val="clear" w:color="auto" w:fill="auto"/>
          </w:tcPr>
          <w:p w14:paraId="624CD64F" w14:textId="77777777" w:rsidR="00203F72" w:rsidRPr="00BE652C" w:rsidRDefault="00203F72" w:rsidP="00EE39EE">
            <w:pPr>
              <w:jc w:val="center"/>
              <w:rPr>
                <w:b/>
              </w:rPr>
            </w:pPr>
            <w:r w:rsidRPr="00BE652C">
              <w:rPr>
                <w:b/>
              </w:rPr>
              <w:t>中文摘要</w:t>
            </w:r>
          </w:p>
          <w:p w14:paraId="38C66E17" w14:textId="77777777" w:rsidR="00203F72" w:rsidRPr="000D79C4" w:rsidRDefault="00480296" w:rsidP="00D87D91">
            <w:r w:rsidRPr="000D79C4">
              <w:t xml:space="preserve">　　</w:t>
            </w:r>
            <w:r w:rsidR="00203F72" w:rsidRPr="000D79C4">
              <w:t>面對中華人民共和國之強大軍事武力威脅，我國使曾討論使用飛彈對於中國長江三峽水壩或上海進行軍事反制之攻擊，並以此作為一種軍事威脅手段。事實上，根據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w:t>
            </w:r>
            <w:r w:rsidR="00203F72" w:rsidRPr="000D79C4">
              <w:footnoteReference w:id="267"/>
            </w:r>
            <w:r w:rsidR="00203F72" w:rsidRPr="000D79C4">
              <w:t>第十五條之規定，國際文明社會禁止以軍事力量攻擊水壩，本書認為我國宜避免威脅使用軍事力量攻擊中國之平民及民生設施，以符合第二議定書之立法精神。同時，兩岸可以採取和平手段以解決政治上之分歧與衝突。再者，為了避免任意發動戰爭，或戰爭失控，我國憲法應將戰爭明文定位為「防衛型」及「正義型」之戰。</w:t>
            </w:r>
          </w:p>
          <w:p w14:paraId="2F7A3695" w14:textId="77777777" w:rsidR="00203F72" w:rsidRPr="00A53581" w:rsidRDefault="00203F72" w:rsidP="00D87D91"/>
        </w:tc>
      </w:tr>
    </w:tbl>
    <w:p w14:paraId="785D5313" w14:textId="77777777" w:rsidR="00953151" w:rsidRPr="000D79C4" w:rsidRDefault="00480296" w:rsidP="00D87D91">
      <w:r w:rsidRPr="000D79C4">
        <w:rPr>
          <w:rFonts w:hint="eastAsia"/>
        </w:rPr>
        <w:t>【</w:t>
      </w:r>
      <w:r w:rsidR="00203F72" w:rsidRPr="000D79C4">
        <w:t>中文關鍵詞</w:t>
      </w:r>
      <w:r w:rsidRPr="000D79C4">
        <w:rPr>
          <w:rFonts w:hint="eastAsia"/>
        </w:rPr>
        <w:t>】</w:t>
      </w:r>
      <w:r w:rsidR="00203F72" w:rsidRPr="000D79C4">
        <w:t>憲法</w:t>
      </w:r>
      <w:hyperlink r:id="rId1609" w:anchor="a137" w:history="1">
        <w:r w:rsidR="00203F72" w:rsidRPr="006E0E2F">
          <w:rPr>
            <w:rStyle w:val="a5"/>
            <w:rFonts w:ascii="Times New Roman" w:hAnsi="Times New Roman"/>
          </w:rPr>
          <w:t>第</w:t>
        </w:r>
        <w:r w:rsidR="00203F72" w:rsidRPr="006E0E2F">
          <w:rPr>
            <w:rStyle w:val="a5"/>
            <w:rFonts w:ascii="Times New Roman" w:hAnsi="Times New Roman"/>
          </w:rPr>
          <w:t>137</w:t>
        </w:r>
        <w:r w:rsidR="00203F72" w:rsidRPr="006E0E2F">
          <w:rPr>
            <w:rStyle w:val="a5"/>
            <w:rFonts w:ascii="Times New Roman" w:hAnsi="Times New Roman"/>
          </w:rPr>
          <w:t>條</w:t>
        </w:r>
      </w:hyperlink>
      <w:r w:rsidR="00203F72" w:rsidRPr="000D79C4">
        <w:t>、非戰憲法、長江三峽水壩、第二議定書、非國際性武裝衝突受難者、日內瓦公約</w:t>
      </w:r>
    </w:p>
    <w:p w14:paraId="2F49074D" w14:textId="77777777" w:rsidR="00145751" w:rsidRPr="00A53581" w:rsidRDefault="00145751" w:rsidP="00EE39EE">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1FA9D124" w14:textId="77777777" w:rsidR="00145751" w:rsidRDefault="00145751" w:rsidP="00D87D91"/>
    <w:p w14:paraId="50C92672" w14:textId="77777777" w:rsidR="00953151" w:rsidRDefault="00203F72" w:rsidP="00767F37">
      <w:pPr>
        <w:pStyle w:val="2"/>
      </w:pPr>
      <w:bookmarkStart w:id="63" w:name="_壹、緣起"/>
      <w:bookmarkEnd w:id="63"/>
      <w:r w:rsidRPr="00A53581">
        <w:t>壹、緣起</w:t>
      </w:r>
    </w:p>
    <w:p w14:paraId="4FD4D17C" w14:textId="77777777" w:rsidR="00953151" w:rsidRPr="000D79C4" w:rsidRDefault="00480296" w:rsidP="00D87D91">
      <w:r w:rsidRPr="000D79C4">
        <w:t xml:space="preserve">　　</w:t>
      </w:r>
      <w:r w:rsidR="00203F72" w:rsidRPr="000D79C4">
        <w:t>根據我國憲法</w:t>
      </w:r>
      <w:hyperlink r:id="rId1610"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0D79C4">
        <w:t>第</w:t>
      </w:r>
      <w:r w:rsidR="00203F72" w:rsidRPr="000D79C4">
        <w:t>1</w:t>
      </w:r>
      <w:r w:rsidR="00203F72" w:rsidRPr="000D79C4">
        <w:t>項之規定，「中華民國之國防，以保衛國家安全，維護世界和平為目的。」由本條項之規定中，並無法確切地得知，我國憲法是否將戰爭限定於防衛型之戰。為了保衛國家安全，在中華民國面臨巨大之軍事威脅之際，可否採行主動式、先發式及攻擊式之第一擊，亦即，先發制人？不無疑義。再者，為了保衛國家安全，我國可否發動侵略戰爭，亦存有爭議性。我國憲法將戰爭定位為保衛國家安全，維護世界和平為目的，似存有相當大之爭議性，主要之問題，我國有可能僅看重於保衛國家安全，而忽</w:t>
      </w:r>
      <w:r w:rsidR="003E240E">
        <w:t>視</w:t>
      </w:r>
      <w:r w:rsidR="00203F72" w:rsidRPr="000D79C4">
        <w:t>了維護世界和平之目的，亦有可能將維護世界和平作歪曲不正之闡釋。在此前提下，戰爭很容易被發動，此將造成人類巨大之悲劇。任意地發動戰爭，恐會遭致亡國之危險，故我國憲法</w:t>
      </w:r>
      <w:hyperlink r:id="rId1611"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0D79C4">
        <w:t>第</w:t>
      </w:r>
      <w:r w:rsidR="00203F72" w:rsidRPr="000D79C4">
        <w:t>1</w:t>
      </w:r>
      <w:r w:rsidR="00203F72" w:rsidRPr="000D79C4">
        <w:t>項之規定，恐非明智之規範模式。可行之作法，我國憲法應將戰爭明文定位為「防衛型」及「正義型」，而非主動攻擊型之戰爭。</w:t>
      </w:r>
    </w:p>
    <w:p w14:paraId="3275555E" w14:textId="77777777" w:rsidR="00203F72" w:rsidRPr="000D79C4" w:rsidRDefault="00480296" w:rsidP="00D87D91">
      <w:r w:rsidRPr="000D79C4">
        <w:t xml:space="preserve">　　</w:t>
      </w:r>
      <w:r w:rsidR="00203F72" w:rsidRPr="000D79C4">
        <w:t>依據德國基本法第二十六條第一項之規定，「擾亂國際和平共同生活之行為，或以擾亂國際和平共同生活為目的之行為，尤其是發動侵略戰爭之準備行為，均屬違憲。」</w:t>
      </w:r>
      <w:r w:rsidR="00203F72" w:rsidRPr="000D79C4">
        <w:footnoteReference w:id="268"/>
      </w:r>
      <w:r w:rsidR="00203F72" w:rsidRPr="000D79C4">
        <w:t>在德國基本法第二十六條之中，明文排除發動侵略戰爭之準備行為，並將其定位為違憲。另外，根據日本憲法第九條第一項之規定：「日本國民誠實希求以正義和秩序為基礎的國際和平，永久放棄以國權發動的戰爭、和藉由武力威嚇或武力之行使，作為解決國際紛爭的手段。」；另外，第九條第二項則規定：「為達前項目的，不保持陸海空軍及其他戰力，不承認國家的交戰權。」</w:t>
      </w:r>
      <w:r w:rsidR="00203F72" w:rsidRPr="000D79C4">
        <w:footnoteReference w:id="269"/>
      </w:r>
      <w:r w:rsidR="00203F72" w:rsidRPr="000D79C4">
        <w:t>日本憲法第九條被稱為非戰憲法，在解決國際紛爭之手段上，日本放棄以國權發動的戰爭</w:t>
      </w:r>
      <w:r w:rsidR="00203F72" w:rsidRPr="000D79C4">
        <w:t>(forever renounce war as a sovereign right of the nation)</w:t>
      </w:r>
      <w:r w:rsidR="00203F72" w:rsidRPr="000D79C4">
        <w:t>，不承認國家的交戰權</w:t>
      </w:r>
      <w:r w:rsidR="00203F72" w:rsidRPr="000D79C4">
        <w:t xml:space="preserve">(The right of belligerency of the state will not be recognized) </w:t>
      </w:r>
      <w:r w:rsidR="00203F72" w:rsidRPr="000D79C4">
        <w:footnoteReference w:id="270"/>
      </w:r>
      <w:r w:rsidR="00203F72" w:rsidRPr="000D79C4">
        <w:t>。</w:t>
      </w:r>
    </w:p>
    <w:p w14:paraId="5A58D063" w14:textId="77777777" w:rsidR="00203F72" w:rsidRPr="000D79C4" w:rsidRDefault="00480296" w:rsidP="00D87D91">
      <w:r w:rsidRPr="000D79C4">
        <w:t xml:space="preserve">　　</w:t>
      </w:r>
      <w:r w:rsidR="00203F72" w:rsidRPr="000D79C4">
        <w:t>我國憲法</w:t>
      </w:r>
      <w:hyperlink r:id="rId1612"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0D79C4">
        <w:t>第</w:t>
      </w:r>
      <w:r w:rsidR="00203F72" w:rsidRPr="000D79C4">
        <w:t>1</w:t>
      </w:r>
      <w:r w:rsidR="00203F72" w:rsidRPr="000D79C4">
        <w:t>項、德國基本法第二十六條第一項與日本憲法第九條第一項三者之差異性如下：</w:t>
      </w:r>
    </w:p>
    <w:p w14:paraId="1C3F4C9E" w14:textId="77777777" w:rsidR="00203F72" w:rsidRPr="000D79C4" w:rsidRDefault="00480296" w:rsidP="00D87D91">
      <w:r w:rsidRPr="000D79C4">
        <w:t xml:space="preserve">　　</w:t>
      </w:r>
      <w:r w:rsidR="00203F72" w:rsidRPr="000D79C4">
        <w:t>一、我國憲法未明文放棄以國權發動的戰爭；</w:t>
      </w:r>
    </w:p>
    <w:p w14:paraId="436B1D65" w14:textId="77777777" w:rsidR="00203F72" w:rsidRPr="000D79C4" w:rsidRDefault="00480296" w:rsidP="00D87D91">
      <w:r w:rsidRPr="000D79C4">
        <w:t xml:space="preserve">　　</w:t>
      </w:r>
      <w:r w:rsidR="00203F72" w:rsidRPr="000D79C4">
        <w:t>二、我國憲法未明文禁止發動侵略戰爭；</w:t>
      </w:r>
    </w:p>
    <w:p w14:paraId="7F5376EA" w14:textId="77777777" w:rsidR="00203F72" w:rsidRPr="000D79C4" w:rsidRDefault="00480296" w:rsidP="00D87D91">
      <w:r w:rsidRPr="000D79C4">
        <w:t xml:space="preserve">　　</w:t>
      </w:r>
      <w:r w:rsidR="00203F72" w:rsidRPr="000D79C4">
        <w:t>三、我國憲法未明文放棄以武力威嚇或武力之行使，作為解決國際紛爭的手段；</w:t>
      </w:r>
    </w:p>
    <w:p w14:paraId="4005FD4C" w14:textId="77777777" w:rsidR="00203F72" w:rsidRPr="000D79C4" w:rsidRDefault="00480296" w:rsidP="00D87D91">
      <w:r w:rsidRPr="000D79C4">
        <w:t xml:space="preserve">　　</w:t>
      </w:r>
      <w:r w:rsidR="00203F72" w:rsidRPr="000D79C4">
        <w:t>四、我國憲法承認以國權發動的戰爭；</w:t>
      </w:r>
    </w:p>
    <w:p w14:paraId="40D3240D" w14:textId="77777777" w:rsidR="00203F72" w:rsidRPr="000D79C4" w:rsidRDefault="00480296" w:rsidP="00D87D91">
      <w:r w:rsidRPr="000D79C4">
        <w:t xml:space="preserve">　　</w:t>
      </w:r>
      <w:r w:rsidR="00203F72" w:rsidRPr="000D79C4">
        <w:t>五、我國憲法承認國家的交戰權；</w:t>
      </w:r>
    </w:p>
    <w:p w14:paraId="7F1ADF96" w14:textId="77777777" w:rsidR="00203F72" w:rsidRPr="000D79C4" w:rsidRDefault="00480296" w:rsidP="00D87D91">
      <w:r w:rsidRPr="000D79C4">
        <w:t xml:space="preserve">　　</w:t>
      </w:r>
      <w:r w:rsidR="00203F72" w:rsidRPr="000D79C4">
        <w:t>六、我國現行之憲法，未將戰爭明文定位為「防衛型」及「正義型」，而非主動攻擊型之戰爭；</w:t>
      </w:r>
    </w:p>
    <w:p w14:paraId="450067AA" w14:textId="77777777" w:rsidR="00953151" w:rsidRPr="000D79C4" w:rsidRDefault="00480296" w:rsidP="00D87D91">
      <w:r w:rsidRPr="000D79C4">
        <w:t xml:space="preserve">　　</w:t>
      </w:r>
      <w:r w:rsidR="00203F72" w:rsidRPr="000D79C4">
        <w:t>七、我國現行之憲法，未明文禁止主動攻擊型之戰爭，事實上，我國現行之憲法，有可能亦容許源頭反制之戰略。</w:t>
      </w:r>
    </w:p>
    <w:p w14:paraId="3B95CD6F" w14:textId="77777777" w:rsidR="00953151" w:rsidRPr="000D79C4" w:rsidRDefault="00480296" w:rsidP="00D87D91">
      <w:r w:rsidRPr="000D79C4">
        <w:t xml:space="preserve">　　</w:t>
      </w:r>
      <w:r w:rsidR="00203F72" w:rsidRPr="000D79C4">
        <w:t>由於我國現行之憲法，未將戰爭明文定位為「防衛型」及「正義型」，而非主動攻擊型之戰爭。故如果總統或政府行政部門，稍一失控，很有可能發動戰爭。由於我國憲法</w:t>
      </w:r>
      <w:hyperlink r:id="rId1613"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0D79C4">
        <w:t>有以上之諸多缺失，故本書認為我國應非常認真地思考戰爭之本質。我國憲法有關為戰爭之定性，宜定位為「防衛型」及「正義型」之戰爭。有所謂「防衛型」，即指我國之國防，係遭受外來攻擊時，始進行被動式之防衛，放棄主動攻擊之模式，並且，放棄侵略戰爭。再者，國防之使用，須植基於「正義」之理念，放棄非正義之戰爭。</w:t>
      </w:r>
    </w:p>
    <w:p w14:paraId="7CF6EBA5" w14:textId="77777777" w:rsidR="00203F72" w:rsidRPr="000D79C4" w:rsidRDefault="00480296" w:rsidP="00D87D91">
      <w:r w:rsidRPr="000D79C4">
        <w:t xml:space="preserve">　　</w:t>
      </w:r>
      <w:r w:rsidR="00203F72" w:rsidRPr="000D79C4">
        <w:t>在</w:t>
      </w:r>
      <w:r w:rsidR="00203F72" w:rsidRPr="000D79C4">
        <w:t>2004</w:t>
      </w:r>
      <w:r w:rsidR="00203F72" w:rsidRPr="000D79C4">
        <w:t>年</w:t>
      </w:r>
      <w:r w:rsidR="00203F72" w:rsidRPr="000D79C4">
        <w:t>6</w:t>
      </w:r>
      <w:r w:rsidR="00203F72" w:rsidRPr="000D79C4">
        <w:t>月，美國國防部於「中共軍力評估」之中，表示臺灣為了嚇阻中國武力犯台，曾考慮及討論使用飛彈攻擊中國長江之三峽大壩。而攻擊中國之三峽大壩，計有</w:t>
      </w:r>
      <w:r w:rsidR="00203F72" w:rsidRPr="000D79C4">
        <w:t>3</w:t>
      </w:r>
      <w:r w:rsidR="00203F72" w:rsidRPr="000D79C4">
        <w:t>種較為可行之攻擊方式</w:t>
      </w:r>
      <w:r w:rsidR="00203F72" w:rsidRPr="000D79C4">
        <w:footnoteReference w:id="271"/>
      </w:r>
      <w:r w:rsidR="00203F72" w:rsidRPr="000D79C4">
        <w:t>：</w:t>
      </w:r>
    </w:p>
    <w:p w14:paraId="27BB0E5B" w14:textId="77777777" w:rsidR="00203F72" w:rsidRPr="000D79C4" w:rsidRDefault="00480296" w:rsidP="00D87D91">
      <w:r w:rsidRPr="000D79C4">
        <w:rPr>
          <w:rFonts w:hint="eastAsia"/>
        </w:rPr>
        <w:t xml:space="preserve">　　</w:t>
      </w:r>
      <w:r w:rsidRPr="000D79C4">
        <w:rPr>
          <w:rFonts w:hint="eastAsia"/>
        </w:rPr>
        <w:t>1</w:t>
      </w:r>
      <w:r w:rsidRPr="000D79C4">
        <w:rPr>
          <w:rFonts w:hint="eastAsia"/>
        </w:rPr>
        <w:t>、</w:t>
      </w:r>
      <w:r w:rsidR="00203F72" w:rsidRPr="000D79C4">
        <w:t>特工放置炸藥、</w:t>
      </w:r>
    </w:p>
    <w:p w14:paraId="4E2284D0" w14:textId="77777777" w:rsidR="00203F72" w:rsidRPr="000D79C4" w:rsidRDefault="00480296" w:rsidP="00D87D91">
      <w:r w:rsidRPr="000D79C4">
        <w:rPr>
          <w:rFonts w:hint="eastAsia"/>
        </w:rPr>
        <w:t xml:space="preserve">　　</w:t>
      </w:r>
      <w:r w:rsidRPr="000D79C4">
        <w:rPr>
          <w:rFonts w:hint="eastAsia"/>
        </w:rPr>
        <w:t>2</w:t>
      </w:r>
      <w:r w:rsidRPr="000D79C4">
        <w:rPr>
          <w:rFonts w:hint="eastAsia"/>
        </w:rPr>
        <w:t>、</w:t>
      </w:r>
      <w:r w:rsidR="00203F72" w:rsidRPr="000D79C4">
        <w:t>飛機投彈</w:t>
      </w:r>
    </w:p>
    <w:p w14:paraId="1D4DEB8B" w14:textId="77777777" w:rsidR="00953151" w:rsidRPr="000D79C4" w:rsidRDefault="00480296" w:rsidP="00D87D91">
      <w:r w:rsidRPr="000D79C4">
        <w:rPr>
          <w:rFonts w:hint="eastAsia"/>
        </w:rPr>
        <w:t xml:space="preserve">　　</w:t>
      </w:r>
      <w:r w:rsidRPr="000D79C4">
        <w:rPr>
          <w:rFonts w:hint="eastAsia"/>
        </w:rPr>
        <w:t>3</w:t>
      </w:r>
      <w:r w:rsidRPr="000D79C4">
        <w:rPr>
          <w:rFonts w:hint="eastAsia"/>
        </w:rPr>
        <w:t>、</w:t>
      </w:r>
      <w:r w:rsidR="00203F72" w:rsidRPr="000D79C4">
        <w:t>飛彈攻擊</w:t>
      </w:r>
      <w:r w:rsidR="00545D58" w:rsidRPr="000D79C4">
        <w:t>。</w:t>
      </w:r>
    </w:p>
    <w:p w14:paraId="5151EE04" w14:textId="77777777" w:rsidR="00953151" w:rsidRPr="000D79C4" w:rsidRDefault="00480296" w:rsidP="00D87D91">
      <w:r w:rsidRPr="000D79C4">
        <w:t xml:space="preserve">　　</w:t>
      </w:r>
      <w:r w:rsidR="00203F72" w:rsidRPr="000D79C4">
        <w:t>以上，有關我國以飛彈瞄準長江三峽的水壩，進行軍事攻擊之戰略，根據立法院公報處第</w:t>
      </w:r>
      <w:r w:rsidR="00203F72" w:rsidRPr="000D79C4">
        <w:t>4</w:t>
      </w:r>
      <w:r w:rsidR="00203F72" w:rsidRPr="000D79C4">
        <w:t>會期及第</w:t>
      </w:r>
      <w:r w:rsidR="00203F72" w:rsidRPr="000D79C4">
        <w:t>12</w:t>
      </w:r>
      <w:r w:rsidR="00203F72" w:rsidRPr="000D79C4">
        <w:t>會期</w:t>
      </w:r>
      <w:r w:rsidR="00203F72" w:rsidRPr="000D79C4">
        <w:footnoteReference w:id="272"/>
      </w:r>
      <w:r w:rsidR="00203F72" w:rsidRPr="000D79C4">
        <w:t>之資料顯示我國立法院，亦曾有利用飛彈瞄準中國長江三峽的水壩，而進行軍事攻擊之討論及提議，本書將立法院有關以飛彈對中國長江三峽大壩進行軍事攻擊戰略之論論，摘錄如下所述：</w:t>
      </w:r>
    </w:p>
    <w:p w14:paraId="4F24E3F9" w14:textId="77777777" w:rsidR="00203F72" w:rsidRPr="000D79C4" w:rsidRDefault="00480296" w:rsidP="00D87D91">
      <w:r w:rsidRPr="000D79C4">
        <w:t xml:space="preserve">　　</w:t>
      </w:r>
      <w:r w:rsidR="00203F72" w:rsidRPr="000D79C4">
        <w:t>「</w:t>
      </w:r>
      <w:r w:rsidR="00D92F56" w:rsidRPr="000D79C4">
        <w:t>〜</w:t>
      </w:r>
      <w:r w:rsidR="00203F72" w:rsidRPr="000D79C4">
        <w:t>-</w:t>
      </w:r>
    </w:p>
    <w:p w14:paraId="554A9D19" w14:textId="77777777" w:rsidR="00953151" w:rsidRPr="000D79C4" w:rsidRDefault="00480296" w:rsidP="00D87D91">
      <w:r w:rsidRPr="000D79C4">
        <w:t xml:space="preserve">　　</w:t>
      </w:r>
      <w:r w:rsidR="00203F72" w:rsidRPr="000D79C4">
        <w:t>○○○</w:t>
      </w:r>
      <w:r w:rsidR="00203F72" w:rsidRPr="000D79C4">
        <w:t>委員：本席非常贊成部長提出的源頭反制</w:t>
      </w:r>
      <w:r w:rsidR="00203F72" w:rsidRPr="000D79C4">
        <w:footnoteReference w:id="273"/>
      </w:r>
      <w:r w:rsidR="00203F72" w:rsidRPr="000D79C4">
        <w:t>，由於過去我們一直都處於挨打的地位，面對中共要以飛彈攻擊，我們根本沒有反擊的能力，現在，部長提出源頭的反制，本席感到十分欣慰。請問部長，普通彈導飛彈可以攜帶多少公斤的彈藥？</w:t>
      </w:r>
    </w:p>
    <w:p w14:paraId="2A79B986" w14:textId="77777777" w:rsidR="00203F72" w:rsidRPr="000D79C4" w:rsidRDefault="00480296" w:rsidP="00D87D91">
      <w:r w:rsidRPr="000D79C4">
        <w:t xml:space="preserve">　　</w:t>
      </w:r>
      <w:r w:rsidR="00203F72" w:rsidRPr="000D79C4">
        <w:t>○○○</w:t>
      </w:r>
      <w:r w:rsidR="00203F72" w:rsidRPr="000D79C4">
        <w:t>部長：有五百公斤至一千公斤。</w:t>
      </w:r>
    </w:p>
    <w:p w14:paraId="1ACF23AC" w14:textId="77777777" w:rsidR="00203F72" w:rsidRPr="000D79C4" w:rsidRDefault="00480296" w:rsidP="00D87D91">
      <w:r w:rsidRPr="000D79C4">
        <w:t xml:space="preserve">　　</w:t>
      </w:r>
      <w:r w:rsidR="00203F72" w:rsidRPr="000D79C4">
        <w:t>○○○</w:t>
      </w:r>
      <w:r w:rsidR="00203F72" w:rsidRPr="000D79C4">
        <w:t>委員：現行國際條約規定不得超過一千公斤。</w:t>
      </w:r>
    </w:p>
    <w:p w14:paraId="179836BB" w14:textId="77777777" w:rsidR="00203F72" w:rsidRPr="000D79C4" w:rsidRDefault="00480296" w:rsidP="00D87D91">
      <w:r w:rsidRPr="000D79C4">
        <w:t xml:space="preserve">　　</w:t>
      </w:r>
      <w:r w:rsidR="00203F72" w:rsidRPr="000D79C4">
        <w:t>○○○</w:t>
      </w:r>
      <w:r w:rsidR="00203F72" w:rsidRPr="000D79C4">
        <w:t>部長：是的。</w:t>
      </w:r>
    </w:p>
    <w:p w14:paraId="45787515" w14:textId="77777777" w:rsidR="00203F72" w:rsidRPr="000D79C4" w:rsidRDefault="00480296" w:rsidP="00D87D91">
      <w:r w:rsidRPr="000D79C4">
        <w:t xml:space="preserve">　　</w:t>
      </w:r>
      <w:r w:rsidR="00203F72" w:rsidRPr="000D79C4">
        <w:t>○○○</w:t>
      </w:r>
      <w:r w:rsidR="00203F72" w:rsidRPr="000D79C4">
        <w:t>委員：雖然，一般老百姓並沒有軍事常識，但是，他們有一些很實用的觀念，也就是說，如果大陸要以五、六百顆飛彈攻擊我們時，他們認為只要我們能有幾顆飛彈瞄準長江三峽的水壩攻擊。請問部長，我們能否做到？</w:t>
      </w:r>
    </w:p>
    <w:p w14:paraId="3930759B" w14:textId="77777777" w:rsidR="00203F72" w:rsidRPr="000D79C4" w:rsidRDefault="00480296" w:rsidP="00D87D91">
      <w:r w:rsidRPr="000D79C4">
        <w:t xml:space="preserve">　　</w:t>
      </w:r>
      <w:r w:rsidR="00203F72" w:rsidRPr="000D79C4">
        <w:t>○○○</w:t>
      </w:r>
      <w:r w:rsidR="00203F72" w:rsidRPr="000D79C4">
        <w:t>部長：當戰爭發生時，為了求生存，一定會用盡所有的辦法</w:t>
      </w:r>
      <w:r w:rsidR="00203F72" w:rsidRPr="000D79C4">
        <w:footnoteReference w:id="274"/>
      </w:r>
      <w:r w:rsidR="00203F72" w:rsidRPr="000D79C4">
        <w:t>。</w:t>
      </w:r>
    </w:p>
    <w:p w14:paraId="131C8005" w14:textId="77777777" w:rsidR="00203F72" w:rsidRPr="000D79C4" w:rsidRDefault="00480296" w:rsidP="00D87D91">
      <w:r w:rsidRPr="000D79C4">
        <w:t xml:space="preserve">　　</w:t>
      </w:r>
      <w:r w:rsidR="00203F72" w:rsidRPr="000D79C4">
        <w:t>○○○</w:t>
      </w:r>
      <w:r w:rsidR="00203F72" w:rsidRPr="000D79C4">
        <w:t>委員：這是戰略上我們的反制行動，讓他們知道我們有這項能力。</w:t>
      </w:r>
      <w:r w:rsidR="00203F72" w:rsidRPr="000D79C4">
        <w:t>○○○</w:t>
      </w:r>
      <w:r w:rsidR="00203F72" w:rsidRPr="000D79C4">
        <w:t>身為一個老百姓，並非軍人</w:t>
      </w:r>
      <w:r w:rsidR="00203F72" w:rsidRPr="000D79C4">
        <w:t>……</w:t>
      </w:r>
    </w:p>
    <w:p w14:paraId="476808F2" w14:textId="77777777" w:rsidR="00203F72" w:rsidRPr="000D79C4" w:rsidRDefault="00480296" w:rsidP="00D87D91">
      <w:r w:rsidRPr="000D79C4">
        <w:t xml:space="preserve">　　</w:t>
      </w:r>
      <w:r w:rsidR="00203F72" w:rsidRPr="000D79C4">
        <w:t>○○○</w:t>
      </w:r>
      <w:r w:rsidR="00203F72" w:rsidRPr="000D79C4">
        <w:t>部長：他說這句話的時候，我擔任</w:t>
      </w:r>
      <w:r w:rsidR="00203F72" w:rsidRPr="000D79C4">
        <w:t>○</w:t>
      </w:r>
      <w:r w:rsidR="00203F72" w:rsidRPr="000D79C4">
        <w:t>長。</w:t>
      </w:r>
    </w:p>
    <w:p w14:paraId="7D2C108A" w14:textId="77777777" w:rsidR="00203F72" w:rsidRPr="000D79C4" w:rsidRDefault="00480296" w:rsidP="00D87D91">
      <w:r w:rsidRPr="000D79C4">
        <w:t xml:space="preserve">　　</w:t>
      </w:r>
      <w:r w:rsidR="00203F72" w:rsidRPr="000D79C4">
        <w:t>○○○</w:t>
      </w:r>
      <w:r w:rsidR="00203F72" w:rsidRPr="000D79C4">
        <w:t>委員：你是否拍手贊成？你不敢說的，他替你說出來了。本席在此肯定部長的源頭反制，無論是彈導飛彈或水準飛行的巡弋飛彈，我們一定要朝這方面發展，才會對中共想要以武力犯台有嚇阻作用。明年，請部長對這方面，要再多編列一些預算從事研究、發展，我們要做得更好。事實上，如</w:t>
      </w:r>
      <w:r w:rsidR="00203F72" w:rsidRPr="000D79C4">
        <w:t>○○○</w:t>
      </w:r>
      <w:r w:rsidR="00203F72" w:rsidRPr="000D79C4">
        <w:t>委員指出，我們自己研究出來的比國外的更好。</w:t>
      </w:r>
    </w:p>
    <w:p w14:paraId="1E837C2A" w14:textId="77777777" w:rsidR="00953151" w:rsidRPr="000D79C4" w:rsidRDefault="00480296" w:rsidP="00D87D91">
      <w:r w:rsidRPr="000D79C4">
        <w:t xml:space="preserve">　　</w:t>
      </w:r>
      <w:r w:rsidR="00203F72" w:rsidRPr="000D79C4">
        <w:t>○○○</w:t>
      </w:r>
      <w:r w:rsidR="00203F72" w:rsidRPr="000D79C4">
        <w:t>部長：研發工作做得很好。」</w:t>
      </w:r>
    </w:p>
    <w:p w14:paraId="353F1ED1" w14:textId="77777777" w:rsidR="00953151" w:rsidRPr="000D79C4" w:rsidRDefault="00480296" w:rsidP="00D87D91">
      <w:r w:rsidRPr="000D79C4">
        <w:t xml:space="preserve">　　</w:t>
      </w:r>
      <w:r w:rsidR="00203F72" w:rsidRPr="000D79C4">
        <w:t>外，據媒體報導，「在</w:t>
      </w:r>
      <w:r w:rsidR="00203F72" w:rsidRPr="000D79C4">
        <w:t>2002</w:t>
      </w:r>
      <w:r w:rsidR="00203F72" w:rsidRPr="000D79C4">
        <w:t>年秋天，亦曾傳出我國軍方用電腦模擬</w:t>
      </w:r>
      <w:r w:rsidR="00203F72" w:rsidRPr="000D79C4">
        <w:t>F-16</w:t>
      </w:r>
      <w:r w:rsidR="00203F72" w:rsidRPr="000D79C4">
        <w:t>戰鬥群攜帶精靈炸彈和小牛飛彈，對準中國三峽大壩進行攻擊</w:t>
      </w:r>
      <w:r w:rsidR="00203F72" w:rsidRPr="000D79C4">
        <w:footnoteReference w:id="275"/>
      </w:r>
      <w:r w:rsidR="00203F72" w:rsidRPr="000D79C4">
        <w:t>。」綜上相關資料及文獻，我國民間及政府，似曾對以飛彈對長江三峽水壩進行軍事攻擊的議題，進行分析及討論</w:t>
      </w:r>
      <w:r w:rsidR="00203F72" w:rsidRPr="000D79C4">
        <w:footnoteReference w:id="276"/>
      </w:r>
      <w:r w:rsidR="00203F72" w:rsidRPr="000D79C4">
        <w:t>。</w:t>
      </w:r>
    </w:p>
    <w:p w14:paraId="518DFD4F" w14:textId="77777777" w:rsidR="00145751" w:rsidRPr="00A53581" w:rsidRDefault="00145751" w:rsidP="00BE652C">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4F3BA12E" w14:textId="77777777" w:rsidR="00145751" w:rsidRPr="00145751" w:rsidRDefault="00145751" w:rsidP="00D87D91"/>
    <w:p w14:paraId="3DA3479D" w14:textId="77777777" w:rsidR="00953151" w:rsidRDefault="00203F72" w:rsidP="00767F37">
      <w:pPr>
        <w:pStyle w:val="2"/>
      </w:pPr>
      <w:bookmarkStart w:id="64" w:name="_貳、我國以飛彈對長江三峽大壩進行軍事攻擊之嚴重後果"/>
      <w:bookmarkEnd w:id="64"/>
      <w:r w:rsidRPr="00A53581">
        <w:t>貳、我國以飛彈對長江三峽大壩進行軍事攻擊之嚴重後果</w:t>
      </w:r>
      <w:r w:rsidRPr="00A53581">
        <w:t xml:space="preserve"> </w:t>
      </w:r>
    </w:p>
    <w:p w14:paraId="3BFF2D13" w14:textId="77777777" w:rsidR="00953151" w:rsidRPr="000D79C4" w:rsidRDefault="00480296" w:rsidP="00D87D91">
      <w:r w:rsidRPr="000D79C4">
        <w:t xml:space="preserve">　　</w:t>
      </w:r>
      <w:r w:rsidR="00203F72" w:rsidRPr="000D79C4">
        <w:t>根據美國《國防新聞週刊》轉引述《中國軍力報告》之意見，「若中國三峽大壩被炸毀之後，保守之估計，三峽大壩之下游，最少有上億中國民眾會死亡，故美國認為這種方法能反制北京</w:t>
      </w:r>
      <w:r w:rsidR="00203F72" w:rsidRPr="000D79C4">
        <w:footnoteReference w:id="277"/>
      </w:r>
      <w:r w:rsidR="00203F72" w:rsidRPr="000D79C4">
        <w:t>。」另外，亦有論者估計，攻擊三峽大壩之後，中國民眾之死亡數目，會高達四億人以上的人命損失與生態浩劫</w:t>
      </w:r>
      <w:r w:rsidR="00203F72" w:rsidRPr="000D79C4">
        <w:footnoteReference w:id="278"/>
      </w:r>
      <w:r w:rsidR="00203F72" w:rsidRPr="000D79C4">
        <w:t>。</w:t>
      </w:r>
    </w:p>
    <w:p w14:paraId="4770FFFA" w14:textId="77777777" w:rsidR="00203F72" w:rsidRPr="000D79C4" w:rsidRDefault="00480296" w:rsidP="00D87D91">
      <w:r w:rsidRPr="000D79C4">
        <w:t xml:space="preserve">　　</w:t>
      </w:r>
      <w:r w:rsidR="00203F72" w:rsidRPr="000D79C4">
        <w:t>是以，台灣以飛彈對長江三峽水壩進行軍事攻擊的嚴重後果，可以分為數個部分探討：</w:t>
      </w:r>
    </w:p>
    <w:p w14:paraId="5518FE00" w14:textId="77777777" w:rsidR="00203F72" w:rsidRPr="000D79C4" w:rsidRDefault="00480296" w:rsidP="00D87D91">
      <w:r w:rsidRPr="000D79C4">
        <w:t xml:space="preserve">　　</w:t>
      </w:r>
      <w:r w:rsidR="00203F72" w:rsidRPr="000D79C4">
        <w:t>一、人命死亡：直接死亡之人數，可能會達到數千萬人，甚至超過</w:t>
      </w:r>
      <w:r w:rsidR="00203F72" w:rsidRPr="000D79C4">
        <w:t>1</w:t>
      </w:r>
      <w:r w:rsidR="00203F72" w:rsidRPr="000D79C4">
        <w:t>億被害人。</w:t>
      </w:r>
    </w:p>
    <w:p w14:paraId="3AD51A38" w14:textId="77777777" w:rsidR="00203F72" w:rsidRPr="000D79C4" w:rsidRDefault="00480296" w:rsidP="00D87D91">
      <w:r w:rsidRPr="000D79C4">
        <w:t xml:space="preserve">　　</w:t>
      </w:r>
      <w:r w:rsidR="00203F72" w:rsidRPr="000D79C4">
        <w:t>二、生態的破壞：包括對地表自然生態之損壞。</w:t>
      </w:r>
    </w:p>
    <w:p w14:paraId="1C5BB67B" w14:textId="77777777" w:rsidR="00953151" w:rsidRPr="000D79C4" w:rsidRDefault="00480296" w:rsidP="00D87D91">
      <w:r w:rsidRPr="000D79C4">
        <w:t xml:space="preserve">　　</w:t>
      </w:r>
      <w:r w:rsidR="00203F72" w:rsidRPr="000D79C4">
        <w:t>三、動物的死亡：根據本書之估計，直接死亡之大小動物，可能會有數十億的生命數量，此包括：牛、馬、羊、家畜、、、等等野生及非野生動物的死亡，以及生態被破壞之後，野生及非野生動物的間接死亡數目。近年來，隨著動物生命權的被受到重</w:t>
      </w:r>
      <w:r w:rsidR="003E240E">
        <w:t>視</w:t>
      </w:r>
      <w:r w:rsidR="00203F72" w:rsidRPr="000D79C4">
        <w:t>，故，動物生命權亦應加以重</w:t>
      </w:r>
      <w:r w:rsidR="003E240E">
        <w:t>視</w:t>
      </w:r>
      <w:r w:rsidR="00203F72" w:rsidRPr="000D79C4">
        <w:t>及保護</w:t>
      </w:r>
      <w:r w:rsidR="00203F72" w:rsidRPr="000D79C4">
        <w:footnoteReference w:id="279"/>
      </w:r>
      <w:r w:rsidR="00203F72" w:rsidRPr="000D79C4">
        <w:t>。</w:t>
      </w:r>
    </w:p>
    <w:p w14:paraId="057441E3" w14:textId="77777777" w:rsidR="00145751" w:rsidRPr="00A53581" w:rsidRDefault="00145751" w:rsidP="00BE652C">
      <w:pPr>
        <w:jc w:val="right"/>
        <w:rPr>
          <w:rFonts w:ascii="新細明體" w:hAnsi="新細明體"/>
        </w:rPr>
      </w:pPr>
      <w:r w:rsidRPr="0026266A">
        <w:rPr>
          <w:rFonts w:hint="eastAsia"/>
        </w:rPr>
        <w:t>。。。。。。。。。。。。。。。。。。。。。。。。。</w:t>
      </w:r>
      <w:hyperlink w:anchor="a目次3" w:history="1">
        <w:r>
          <w:rPr>
            <w:rStyle w:val="a5"/>
            <w:sz w:val="18"/>
          </w:rPr>
          <w:t>回目次</w:t>
        </w:r>
      </w:hyperlink>
      <w:r w:rsidR="00E91F89">
        <w:rPr>
          <w:rFonts w:ascii="新細明體" w:hAnsi="新細明體"/>
          <w:color w:val="808000"/>
        </w:rPr>
        <w:t>〉〉</w:t>
      </w:r>
    </w:p>
    <w:p w14:paraId="58105397" w14:textId="77777777" w:rsidR="00145751" w:rsidRDefault="00145751" w:rsidP="00D87D91"/>
    <w:p w14:paraId="0563B58E" w14:textId="77777777" w:rsidR="00953151" w:rsidRDefault="00203F72" w:rsidP="00767F37">
      <w:pPr>
        <w:pStyle w:val="2"/>
      </w:pPr>
      <w:bookmarkStart w:id="65" w:name="_參、從「關於保護非國際性武裝衝突受難者的附加議定書（第二議定書）」觀點"/>
      <w:bookmarkEnd w:id="65"/>
      <w:r w:rsidRPr="00A53581">
        <w:t>參、從「關於保護非國際性武裝衝突受難者的附加議定書（第二議定書）」觀點探討我國以飛彈對長江三峽水壩進行軍事攻擊是否違反國際法之相關規定</w:t>
      </w:r>
      <w:r w:rsidRPr="00A53581">
        <w:t xml:space="preserve"> </w:t>
      </w:r>
    </w:p>
    <w:p w14:paraId="5D38B910" w14:textId="77777777" w:rsidR="00953151" w:rsidRPr="000D79C4" w:rsidRDefault="00480296" w:rsidP="00D87D91">
      <w:r w:rsidRPr="000D79C4">
        <w:t xml:space="preserve">　　</w:t>
      </w:r>
      <w:r w:rsidR="00203F72" w:rsidRPr="000D79C4">
        <w:t>在《</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日日內瓦公約關於保護非國際性武裝衝突受難者的附加議定書》第二議定書</w:t>
      </w:r>
      <w:r w:rsidR="00203F72" w:rsidRPr="000D79C4">
        <w:t>(Protocol Additional to the Geneva Conventions of 12 August 1949, and Relating to the Protection of Victims of Non-International Armed Conflicts , Protocol II)</w:t>
      </w:r>
      <w:r w:rsidR="00203F72" w:rsidRPr="000D79C4">
        <w:t>中，規範非國際性武裝衝突的各方應遵守之國際法規則，有學者認為，台灣應適用「日內瓦公約」的相關規定</w:t>
      </w:r>
      <w:r w:rsidR="00203F72" w:rsidRPr="000D79C4">
        <w:footnoteReference w:id="280"/>
      </w:r>
      <w:r w:rsidR="00203F72" w:rsidRPr="000D79C4">
        <w:t>。究竟，台灣是否適用「日內瓦公約」的相關規定？這一個議題，存有爭議性，值得進一步加以深入探討。</w:t>
      </w:r>
    </w:p>
    <w:p w14:paraId="642088A8" w14:textId="77777777" w:rsidR="00203F72" w:rsidRPr="000D79C4" w:rsidRDefault="00480296" w:rsidP="00D87D91">
      <w:r w:rsidRPr="000D79C4">
        <w:t xml:space="preserve">　　</w:t>
      </w:r>
      <w:r w:rsidR="00203F72" w:rsidRPr="000D79C4">
        <w:t>一、我國是否有國際上法律義務遵守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日日內瓦四公約關於保護非國際性武裝衝突受難者的附加議定書（第二議定書）之規定？</w:t>
      </w:r>
      <w:r w:rsidR="00203F72" w:rsidRPr="000D79C4">
        <w:t xml:space="preserve"> </w:t>
      </w:r>
    </w:p>
    <w:p w14:paraId="4F2779CF" w14:textId="77777777" w:rsidR="00953151" w:rsidRPr="000D79C4" w:rsidRDefault="00480296" w:rsidP="00D87D91">
      <w:r w:rsidRPr="000D79C4">
        <w:t xml:space="preserve">　　</w:t>
      </w:r>
      <w:r w:rsidR="00203F72" w:rsidRPr="000D79C4">
        <w:t>關於此一部分，答案似是肯定的。台灣長期被排斥於聯合國之外</w:t>
      </w:r>
      <w:r w:rsidR="00203F72" w:rsidRPr="000D79C4">
        <w:t>(</w:t>
      </w:r>
      <w:r w:rsidR="00203F72" w:rsidRPr="000D79C4">
        <w:t>台灣於</w:t>
      </w:r>
      <w:r w:rsidR="00203F72" w:rsidRPr="000D79C4">
        <w:t>1971</w:t>
      </w:r>
      <w:r w:rsidR="00203F72" w:rsidRPr="000D79C4">
        <w:t>年退出聯合國</w:t>
      </w:r>
      <w:r w:rsidR="00203F72" w:rsidRPr="000D79C4">
        <w:t>)</w:t>
      </w:r>
      <w:r w:rsidR="00203F72" w:rsidRPr="000D79C4">
        <w:t>，故台灣並非是</w:t>
      </w:r>
      <w:r w:rsidR="00203F72" w:rsidRPr="000D79C4">
        <w:t>1977</w:t>
      </w:r>
      <w:r w:rsidR="00203F72" w:rsidRPr="000D79C4">
        <w:t>年</w:t>
      </w:r>
      <w:r w:rsidR="00203F72" w:rsidRPr="000D79C4">
        <w:t>6</w:t>
      </w:r>
      <w:r w:rsidR="00203F72" w:rsidRPr="000D79C4">
        <w:t>月</w:t>
      </w:r>
      <w:r w:rsidR="00203F72" w:rsidRPr="000D79C4">
        <w:t>18</w:t>
      </w:r>
      <w:r w:rsidR="00203F72" w:rsidRPr="000D79C4">
        <w:t>日簽訂的《</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日日內瓦公約關於保護非國際性武裝衝突受難者的附加議定書》（第二議定書）」之簽約國，如此，是否仍有必要受到上述之《</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日日內瓦公約關於保護非國際性武裝衝突受難者的附加議定書》（第二議定書）之國際法條文的拘束否？這是一個非常有爭議的議題。本書擬從法理面向探討之。</w:t>
      </w:r>
    </w:p>
    <w:p w14:paraId="3878DFCE" w14:textId="77777777" w:rsidR="00953151" w:rsidRPr="000D79C4" w:rsidRDefault="00480296" w:rsidP="00D87D91">
      <w:r w:rsidRPr="000D79C4">
        <w:t xml:space="preserve">　　</w:t>
      </w:r>
      <w:r w:rsidR="00203F72" w:rsidRPr="000D79C4">
        <w:t>《日內瓦公約》</w:t>
      </w:r>
      <w:r w:rsidR="00203F72" w:rsidRPr="000D79C4">
        <w:footnoteReference w:id="281"/>
      </w:r>
      <w:r w:rsidR="00203F72" w:rsidRPr="000D79C4">
        <w:t>充滿國際人道主義之精神，主要係透由國際條約，聚焦於處理兩項之重大議題，分別為：</w:t>
      </w:r>
      <w:r w:rsidR="00203F72" w:rsidRPr="000D79C4">
        <w:t>1</w:t>
      </w:r>
      <w:r w:rsidR="00203F72" w:rsidRPr="000D79C4">
        <w:t>、將人道主義轉變為法律行為</w:t>
      </w:r>
      <w:r w:rsidR="00203F72" w:rsidRPr="000D79C4">
        <w:t>(</w:t>
      </w:r>
      <w:r w:rsidR="00203F72" w:rsidRPr="000D79C4">
        <w:t>條文</w:t>
      </w:r>
      <w:r w:rsidR="00203F72" w:rsidRPr="000D79C4">
        <w:t>)</w:t>
      </w:r>
      <w:r w:rsidR="00203F72" w:rsidRPr="000D79C4">
        <w:t>，並適用於戰爭；</w:t>
      </w:r>
      <w:r w:rsidR="00203F72" w:rsidRPr="000D79C4">
        <w:t>2</w:t>
      </w:r>
      <w:r w:rsidR="00203F72" w:rsidRPr="000D79C4">
        <w:t>、將人道主義轉變為超政治、超宗教、超種族的運動</w:t>
      </w:r>
      <w:r w:rsidR="00203F72" w:rsidRPr="000D79C4">
        <w:footnoteReference w:id="282"/>
      </w:r>
      <w:r w:rsidR="00203F72" w:rsidRPr="000D79C4">
        <w:t>。台灣並非是《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日日內瓦公約關於保護非國際性武裝衝突受難者的附加議定書》（第二議定書）」之簽約國，是否有義務受到上開</w:t>
      </w:r>
      <w:r w:rsidR="00203F72" w:rsidRPr="000D79C4">
        <w:t>1949</w:t>
      </w:r>
      <w:r w:rsidR="00203F72" w:rsidRPr="000D79C4">
        <w:t>年</w:t>
      </w:r>
      <w:r w:rsidR="00203F72" w:rsidRPr="000D79C4">
        <w:t>8</w:t>
      </w:r>
      <w:r w:rsidR="00203F72" w:rsidRPr="000D79C4">
        <w:t>月</w:t>
      </w:r>
      <w:r w:rsidR="00203F72" w:rsidRPr="000D79C4">
        <w:t>12</w:t>
      </w:r>
      <w:r w:rsidR="00203F72" w:rsidRPr="000D79C4">
        <w:t>日上開《日內瓦公約關於保護非國際性武裝衝突受難者的附加議定書》之拘束呢？對於上述之提問，本書認為答案是肯定的，台灣似乎是受到《</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日日內瓦公約關於保護非國際性武裝衝突受難者的附加議定書》之拘束，所持理由如下：</w:t>
      </w:r>
    </w:p>
    <w:p w14:paraId="102EA101" w14:textId="77777777" w:rsidR="00953151" w:rsidRPr="000D79C4" w:rsidRDefault="00480296" w:rsidP="00D87D91">
      <w:r w:rsidRPr="000D79C4">
        <w:t xml:space="preserve">　　</w:t>
      </w:r>
      <w:r w:rsidR="00203F72" w:rsidRPr="000D79C4">
        <w:t>(</w:t>
      </w:r>
      <w:r w:rsidR="00203F72" w:rsidRPr="000D79C4">
        <w:t>一</w:t>
      </w:r>
      <w:r w:rsidR="00203F72" w:rsidRPr="000D79C4">
        <w:t>)</w:t>
      </w:r>
      <w:r w:rsidR="00203F72" w:rsidRPr="000D79C4">
        <w:t>我國受到</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w:t>
      </w:r>
      <w:r w:rsidR="00203F72" w:rsidRPr="000D79C4">
        <w:footnoteReference w:id="283"/>
      </w:r>
      <w:r w:rsidR="00203F72" w:rsidRPr="000D79C4">
        <w:t>的法律拘束</w:t>
      </w:r>
    </w:p>
    <w:p w14:paraId="67E35B8F" w14:textId="77777777" w:rsidR="00953151" w:rsidRPr="000D79C4" w:rsidRDefault="00480296" w:rsidP="00D87D91">
      <w:r w:rsidRPr="000D79C4">
        <w:t xml:space="preserve">　　</w:t>
      </w:r>
      <w:r w:rsidR="00203F72" w:rsidRPr="000D79C4">
        <w:t>在國際現實社會上，多數國家承認世界只有一個中國，而大部分的國家，係承認中華人民共和國，對於中華人民共和國給予國家承認，但對於台灣，則僅給予政府承認，而非國家承認。所以，在聯合國之代表權方面，中華人民共和國代表中國，而假若兩岸發生戰爭，從國際社會之現實主義觀之，台灣海峽兩岸之戰爭，將會被定位為中國國內之戰爭，而非國家與國家之戰爭。</w:t>
      </w:r>
    </w:p>
    <w:p w14:paraId="183C5FA2" w14:textId="77777777" w:rsidR="00953151" w:rsidRPr="000D79C4" w:rsidRDefault="00203F72" w:rsidP="00D87D91">
      <w:r w:rsidRPr="000D79C4">
        <w:t>另外，藍天虹氏指出：「今天『中華民國』與『中華人民共和國』之所以會分據台灣與大陸，那是因為內戰原因所致，所以台海一旦發生衝突，自然會讓國際社會認定這是中國</w:t>
      </w:r>
      <w:r w:rsidRPr="000D79C4">
        <w:t>1949</w:t>
      </w:r>
      <w:r w:rsidRPr="000D79C4">
        <w:t>年後內戰的延伸，台海問題將引發國際法的爭議</w:t>
      </w:r>
      <w:r w:rsidRPr="000D79C4">
        <w:footnoteReference w:id="284"/>
      </w:r>
      <w:r w:rsidRPr="000D79C4">
        <w:t>。」是以，海峽兩岸之軍事對立，有可能會讓聯合國及國際社會多數國家認定這是中國</w:t>
      </w:r>
      <w:r w:rsidRPr="000D79C4">
        <w:t>1949</w:t>
      </w:r>
      <w:r w:rsidRPr="000D79C4">
        <w:t>年之後內戰的延伸，理論上，似乎不必適用</w:t>
      </w:r>
      <w:r w:rsidRPr="000D79C4">
        <w:t>1949</w:t>
      </w:r>
      <w:r w:rsidRPr="000D79C4">
        <w:t>年</w:t>
      </w:r>
      <w:r w:rsidRPr="000D79C4">
        <w:t>8</w:t>
      </w:r>
      <w:r w:rsidRPr="000D79C4">
        <w:t>月</w:t>
      </w:r>
      <w:r w:rsidRPr="000D79C4">
        <w:t>12</w:t>
      </w:r>
      <w:r w:rsidRPr="000D79C4">
        <w:t>日日內瓦四公約關於保護國際性武裝衝突受難者的附加議定書（第一議定書）之規定</w:t>
      </w:r>
      <w:r w:rsidRPr="000D79C4">
        <w:footnoteReference w:id="285"/>
      </w:r>
      <w:r w:rsidRPr="000D79C4">
        <w:t>。主要之理由，因第一議定書主要適用之對象，係處理保護國際性武裝衝突受難者</w:t>
      </w:r>
      <w:r w:rsidRPr="000D79C4">
        <w:footnoteReference w:id="286"/>
      </w:r>
      <w:r w:rsidRPr="000D79C4">
        <w:t>。</w:t>
      </w:r>
    </w:p>
    <w:p w14:paraId="5F2D85CB" w14:textId="77777777" w:rsidR="00953151" w:rsidRPr="000D79C4" w:rsidRDefault="00480296" w:rsidP="00D87D91">
      <w:r w:rsidRPr="000D79C4">
        <w:t xml:space="preserve">　　</w:t>
      </w:r>
      <w:r w:rsidR="00203F72" w:rsidRPr="000D79C4">
        <w:t>亦即，台海一旦發生軍事衝突，為何不必適用關於保護國際性武裝衝突受難者的附加議定書（第一議定書）之規定？因為根據前開第一議定書第</w:t>
      </w:r>
      <w:r w:rsidR="00203F72" w:rsidRPr="000D79C4">
        <w:t>1</w:t>
      </w:r>
      <w:r w:rsidR="00203F72" w:rsidRPr="000D79C4">
        <w:t>條第</w:t>
      </w:r>
      <w:r w:rsidR="00203F72" w:rsidRPr="000D79C4">
        <w:t>3</w:t>
      </w:r>
      <w:r w:rsidR="00203F72" w:rsidRPr="000D79C4">
        <w:t>款之規定，本議定書補充</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日關於保護戰爭受難者的日內瓦四個公約，應適用於各公約共同第二條所指的各場合。亦即，</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日日內瓦四公約關於保護國際性武裝衝突受難者的附加議定書（第一議定書）之適用範圍，係要補充</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日關於保護戰爭受難者的日內瓦各四個公約第</w:t>
      </w:r>
      <w:r w:rsidR="00203F72" w:rsidRPr="000D79C4">
        <w:t>2</w:t>
      </w:r>
      <w:r w:rsidR="00203F72" w:rsidRPr="000D79C4">
        <w:t>條之規定。而關於保護戰爭受難者的日內瓦四個公約，計有：</w:t>
      </w:r>
      <w:r w:rsidR="00203F72" w:rsidRPr="000D79C4">
        <w:t>“</w:t>
      </w:r>
      <w:r w:rsidR="00203F72" w:rsidRPr="000D79C4">
        <w:t>第一公約</w:t>
      </w:r>
      <w:r w:rsidR="00203F72" w:rsidRPr="000D79C4">
        <w:t>”</w:t>
      </w:r>
      <w:r w:rsidR="00203F72" w:rsidRPr="000D79C4">
        <w:t>、</w:t>
      </w:r>
      <w:r w:rsidR="00203F72" w:rsidRPr="000D79C4">
        <w:t>“</w:t>
      </w:r>
      <w:r w:rsidR="00203F72" w:rsidRPr="000D79C4">
        <w:t>第二公約</w:t>
      </w:r>
      <w:r w:rsidR="00203F72" w:rsidRPr="000D79C4">
        <w:t>”</w:t>
      </w:r>
      <w:r w:rsidR="00203F72" w:rsidRPr="000D79C4">
        <w:t>、</w:t>
      </w:r>
      <w:r w:rsidR="00203F72" w:rsidRPr="000D79C4">
        <w:t>“</w:t>
      </w:r>
      <w:r w:rsidR="00203F72" w:rsidRPr="000D79C4">
        <w:t>第三公約</w:t>
      </w:r>
      <w:r w:rsidR="00203F72" w:rsidRPr="000D79C4">
        <w:t>”</w:t>
      </w:r>
      <w:r w:rsidR="00203F72" w:rsidRPr="000D79C4">
        <w:t>和</w:t>
      </w:r>
      <w:r w:rsidR="00203F72" w:rsidRPr="000D79C4">
        <w:t>“</w:t>
      </w:r>
      <w:r w:rsidR="00203F72" w:rsidRPr="000D79C4">
        <w:t>第四公約，此</w:t>
      </w:r>
      <w:r w:rsidR="00203F72" w:rsidRPr="000D79C4">
        <w:t>4</w:t>
      </w:r>
      <w:r w:rsidR="00203F72" w:rsidRPr="000D79C4">
        <w:t>個公約，其分別是指：</w:t>
      </w:r>
      <w:r w:rsidR="00203F72" w:rsidRPr="000D79C4">
        <w:t>1949</w:t>
      </w:r>
      <w:r w:rsidR="00203F72" w:rsidRPr="000D79C4">
        <w:t>年</w:t>
      </w:r>
      <w:r w:rsidR="00203F72" w:rsidRPr="000D79C4">
        <w:t>8</w:t>
      </w:r>
      <w:r w:rsidR="00203F72" w:rsidRPr="000D79C4">
        <w:t>月</w:t>
      </w:r>
      <w:r w:rsidR="00203F72" w:rsidRPr="000D79C4">
        <w:t>12</w:t>
      </w:r>
      <w:r w:rsidR="00203F72" w:rsidRPr="000D79C4">
        <w:t>日改善戰地武裝部隊傷者病者境遇的日內瓦公約</w:t>
      </w:r>
      <w:r w:rsidR="00203F72" w:rsidRPr="000D79C4">
        <w:footnoteReference w:id="287"/>
      </w:r>
      <w:r w:rsidR="00203F72" w:rsidRPr="000D79C4">
        <w:t>；</w:t>
      </w:r>
      <w:r w:rsidR="00203F72" w:rsidRPr="000D79C4">
        <w:t>1949</w:t>
      </w:r>
      <w:r w:rsidR="00203F72" w:rsidRPr="000D79C4">
        <w:t>年</w:t>
      </w:r>
      <w:r w:rsidR="00203F72" w:rsidRPr="000D79C4">
        <w:t>8</w:t>
      </w:r>
      <w:r w:rsidR="00203F72" w:rsidRPr="000D79C4">
        <w:t>月</w:t>
      </w:r>
      <w:r w:rsidR="00203F72" w:rsidRPr="000D79C4">
        <w:t>12</w:t>
      </w:r>
      <w:r w:rsidR="00203F72" w:rsidRPr="000D79C4">
        <w:t>日改善海上武裝部隊傷者病者及遇船難者境遇的日內瓦公約；</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日關於戰俘待遇的日內瓦公約；</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日關於戰時保護平民的日內瓦公約</w:t>
      </w:r>
      <w:r w:rsidR="00203F72" w:rsidRPr="000D79C4">
        <w:footnoteReference w:id="288"/>
      </w:r>
      <w:r w:rsidR="00203F72" w:rsidRPr="000D79C4">
        <w:t>。</w:t>
      </w:r>
    </w:p>
    <w:p w14:paraId="7072A292" w14:textId="77777777" w:rsidR="00953151" w:rsidRPr="000D79C4" w:rsidRDefault="00480296" w:rsidP="00D87D91">
      <w:r w:rsidRPr="000D79C4">
        <w:t xml:space="preserve">　　</w:t>
      </w:r>
      <w:r w:rsidR="00203F72" w:rsidRPr="000D79C4">
        <w:t>玆以</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日關於戰時保護平民的日內瓦公約第</w:t>
      </w:r>
      <w:r w:rsidR="00203F72" w:rsidRPr="000D79C4">
        <w:t>2</w:t>
      </w:r>
      <w:r w:rsidR="00203F72" w:rsidRPr="000D79C4">
        <w:t>條為例加以說明之，根據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日關於戰時保護平民之日內瓦公約第</w:t>
      </w:r>
      <w:r w:rsidR="00203F72" w:rsidRPr="000D79C4">
        <w:t>2</w:t>
      </w:r>
      <w:r w:rsidR="00203F72" w:rsidRPr="000D79C4">
        <w:t>條之規定，本公約適用於兩個或兩個以上締約國間所發生之一切經過宣戰的戰爭或任何其他武裝衝突，即使其中一國不承認有戰爭狀態，同條第</w:t>
      </w:r>
      <w:r w:rsidR="00203F72" w:rsidRPr="000D79C4">
        <w:t>3</w:t>
      </w:r>
      <w:r w:rsidR="00203F72" w:rsidRPr="000D79C4">
        <w:t>項另行規定：「衝突之一方雖非締約國，其他曾簽訂本公約之國家於其相互關係上，仍應受本公約之拘束。設若上述非締約國接受並援用本公約之規定時，則締約各國對該國之關係，亦應受本公約之拘束」</w:t>
      </w:r>
      <w:r w:rsidR="00545D58" w:rsidRPr="000D79C4">
        <w:t>。</w:t>
      </w:r>
    </w:p>
    <w:p w14:paraId="78D3B578" w14:textId="77777777" w:rsidR="00953151" w:rsidRPr="000D79C4" w:rsidRDefault="00480296" w:rsidP="00D87D91">
      <w:r w:rsidRPr="000D79C4">
        <w:t xml:space="preserve">　　</w:t>
      </w:r>
      <w:r w:rsidR="00203F72" w:rsidRPr="000D79C4">
        <w:t>亦即，關於保護戰爭受難者的日內瓦四個公約</w:t>
      </w:r>
      <w:r w:rsidR="00D92F56" w:rsidRPr="000D79C4">
        <w:t>〜</w:t>
      </w:r>
      <w:r w:rsidR="00203F72" w:rsidRPr="000D79C4">
        <w:t>-“</w:t>
      </w:r>
      <w:r w:rsidR="00203F72" w:rsidRPr="000D79C4">
        <w:t>第一公約</w:t>
      </w:r>
      <w:r w:rsidR="00203F72" w:rsidRPr="000D79C4">
        <w:t>”</w:t>
      </w:r>
      <w:r w:rsidR="00203F72" w:rsidRPr="000D79C4">
        <w:t>、</w:t>
      </w:r>
      <w:r w:rsidR="00203F72" w:rsidRPr="000D79C4">
        <w:t>“</w:t>
      </w:r>
      <w:r w:rsidR="00203F72" w:rsidRPr="000D79C4">
        <w:t>第二公約</w:t>
      </w:r>
      <w:r w:rsidR="00203F72" w:rsidRPr="000D79C4">
        <w:t>”</w:t>
      </w:r>
      <w:r w:rsidR="00203F72" w:rsidRPr="000D79C4">
        <w:t>、</w:t>
      </w:r>
      <w:r w:rsidR="00203F72" w:rsidRPr="000D79C4">
        <w:t>“</w:t>
      </w:r>
      <w:r w:rsidR="00203F72" w:rsidRPr="000D79C4">
        <w:t>第三公約</w:t>
      </w:r>
      <w:r w:rsidR="00203F72" w:rsidRPr="000D79C4">
        <w:t>”</w:t>
      </w:r>
      <w:r w:rsidR="00203F72" w:rsidRPr="000D79C4">
        <w:t>和</w:t>
      </w:r>
      <w:r w:rsidR="00203F72" w:rsidRPr="000D79C4">
        <w:t>“</w:t>
      </w:r>
      <w:r w:rsidR="00203F72" w:rsidRPr="000D79C4">
        <w:t>第四公約，其第</w:t>
      </w:r>
      <w:r w:rsidR="00203F72" w:rsidRPr="000D79C4">
        <w:t>2</w:t>
      </w:r>
      <w:r w:rsidR="00203F72" w:rsidRPr="000D79C4">
        <w:t>條規定適用之範圍，是國家與國家之戰爭，當今，多數國家大多承認只有一個中國，故海峽兩岸之軍事衝突，有可能將會被國際社會定位為中國國內之戰爭，而不是</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日關於戰時保護平民之日內瓦公約第</w:t>
      </w:r>
      <w:r w:rsidR="00203F72" w:rsidRPr="000D79C4">
        <w:t>2</w:t>
      </w:r>
      <w:r w:rsidR="00203F72" w:rsidRPr="000D79C4">
        <w:t>條中所指之兩個或兩個以上締約國間所發生之一切經過宣戰的戰爭或任何其他武裝衝突，因此，無法適用關於保護戰爭受難者的日內瓦四個公約</w:t>
      </w:r>
      <w:r w:rsidR="00D92F56" w:rsidRPr="000D79C4">
        <w:t>〜</w:t>
      </w:r>
      <w:r w:rsidR="00203F72" w:rsidRPr="000D79C4">
        <w:t>-“</w:t>
      </w:r>
      <w:r w:rsidR="00203F72" w:rsidRPr="000D79C4">
        <w:t>第一公約</w:t>
      </w:r>
      <w:r w:rsidR="00203F72" w:rsidRPr="000D79C4">
        <w:t>”</w:t>
      </w:r>
      <w:r w:rsidR="00203F72" w:rsidRPr="000D79C4">
        <w:t>、</w:t>
      </w:r>
      <w:r w:rsidR="00203F72" w:rsidRPr="000D79C4">
        <w:t>“</w:t>
      </w:r>
      <w:r w:rsidR="00203F72" w:rsidRPr="000D79C4">
        <w:t>第二公約</w:t>
      </w:r>
      <w:r w:rsidR="00203F72" w:rsidRPr="000D79C4">
        <w:t>”</w:t>
      </w:r>
      <w:r w:rsidR="00203F72" w:rsidRPr="000D79C4">
        <w:t>、</w:t>
      </w:r>
      <w:r w:rsidR="00203F72" w:rsidRPr="000D79C4">
        <w:t>“</w:t>
      </w:r>
      <w:r w:rsidR="00203F72" w:rsidRPr="000D79C4">
        <w:t>第三公約</w:t>
      </w:r>
      <w:r w:rsidR="00203F72" w:rsidRPr="000D79C4">
        <w:t>”</w:t>
      </w:r>
      <w:r w:rsidR="00203F72" w:rsidRPr="000D79C4">
        <w:t>和</w:t>
      </w:r>
      <w:r w:rsidR="00203F72" w:rsidRPr="000D79C4">
        <w:t>“</w:t>
      </w:r>
      <w:r w:rsidR="00203F72" w:rsidRPr="000D79C4">
        <w:t>第四公約</w:t>
      </w:r>
      <w:r w:rsidR="00203F72" w:rsidRPr="000D79C4">
        <w:t>”</w:t>
      </w:r>
      <w:r w:rsidR="00203F72" w:rsidRPr="000D79C4">
        <w:t>等上述國際公約中第</w:t>
      </w:r>
      <w:r w:rsidR="00203F72" w:rsidRPr="000D79C4">
        <w:t>2</w:t>
      </w:r>
      <w:r w:rsidR="00203F72" w:rsidRPr="000D79C4">
        <w:t>條之規定。</w:t>
      </w:r>
    </w:p>
    <w:p w14:paraId="6CE5B54D" w14:textId="77777777" w:rsidR="00953151" w:rsidRPr="000D79C4" w:rsidRDefault="00480296" w:rsidP="00D87D91">
      <w:r w:rsidRPr="000D79C4">
        <w:t xml:space="preserve">　　</w:t>
      </w:r>
      <w:r w:rsidR="00203F72" w:rsidRPr="000D79C4">
        <w:t>另外一個問題，台灣是否有必要遵守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日日內瓦四公約關於保護非國際性武裝衝突受難者的附加議定書（第二議定書）之規定？根據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w:t>
      </w:r>
      <w:r w:rsidR="00203F72" w:rsidRPr="000D79C4">
        <w:t>1</w:t>
      </w:r>
      <w:r w:rsidR="00203F72" w:rsidRPr="000D79C4">
        <w:t>條之規定：「本議定書發展和補充</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日日內瓦四公約共同第三條</w:t>
      </w:r>
      <w:r w:rsidR="00203F72" w:rsidRPr="000D79C4">
        <w:footnoteReference w:id="289"/>
      </w:r>
      <w:r w:rsidR="00203F72" w:rsidRPr="000D79C4">
        <w:t>而不改變其現有的適用條件</w:t>
      </w:r>
      <w:r w:rsidR="00203F72" w:rsidRPr="000D79C4">
        <w:footnoteReference w:id="290"/>
      </w:r>
      <w:r w:rsidR="00203F72" w:rsidRPr="000D79C4">
        <w:t>，應適用於為</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日日內瓦四公約關於保護國際性武裝衝突受難者的附加議定書（第一議定書）所未包括</w:t>
      </w:r>
      <w:r w:rsidR="00203F72" w:rsidRPr="000D79C4">
        <w:footnoteReference w:id="291"/>
      </w:r>
      <w:r w:rsidR="00203F72" w:rsidRPr="000D79C4">
        <w:t>、而在締約一方領土內發生的該方武裝部隊和在負責統率下對該方一部分領土行使控制權，從而使其能進行持久而協調的軍事行動並執行本議定書的持不同政見的武裝部隊或其他有組織的武裝集團之間的一切武裝衝突</w:t>
      </w:r>
      <w:r w:rsidR="00203F72" w:rsidRPr="000D79C4">
        <w:footnoteReference w:id="292"/>
      </w:r>
      <w:r w:rsidR="00203F72" w:rsidRPr="000D79C4">
        <w:t>。」</w:t>
      </w:r>
    </w:p>
    <w:p w14:paraId="43693CCA" w14:textId="77777777" w:rsidR="00953151" w:rsidRPr="000D79C4" w:rsidRDefault="00480296" w:rsidP="00D87D91">
      <w:r w:rsidRPr="000D79C4">
        <w:t xml:space="preserve">　　</w:t>
      </w:r>
      <w:r w:rsidR="00203F72" w:rsidRPr="000D79C4">
        <w:t>理論上，我國因非締約國，似不必遵守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日日內瓦四公約關於保護非國際性武裝衝突受難者的附加議定書（第二議定書），但是，因為中華人民共和國已簽署並且加入</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國際社會聯合國及多數國家又承認中華人民共和國是代表中國之唯一國家，聯合國多年來，亦肯定中華人民共和國在聯合國之國家代表權，而排斥台灣加入聯合國，中華人民共和國多年遂代表台灣，這是國際社會與政治現實之一面。</w:t>
      </w:r>
    </w:p>
    <w:p w14:paraId="374DE7ED" w14:textId="77777777" w:rsidR="00953151" w:rsidRPr="000D79C4" w:rsidRDefault="00480296" w:rsidP="00D87D91">
      <w:r w:rsidRPr="000D79C4">
        <w:t xml:space="preserve">　　</w:t>
      </w:r>
      <w:r w:rsidR="00203F72" w:rsidRPr="000D79C4">
        <w:t>故，從法理上觀察，整個國際局勢對台灣是相當地不利，台灣可能被國際社會強迫承認，亦是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日日內瓦四公約關於保護非國際性武裝衝突受難者的附加議定書（第二議定書）之締約方</w:t>
      </w:r>
      <w:r w:rsidR="00203F72" w:rsidRPr="000D79C4">
        <w:t>(</w:t>
      </w:r>
      <w:r w:rsidR="00203F72" w:rsidRPr="000D79C4">
        <w:t>中華人民共和國</w:t>
      </w:r>
      <w:r w:rsidR="00203F72" w:rsidRPr="000D79C4">
        <w:t>)</w:t>
      </w:r>
      <w:r w:rsidR="00203F72" w:rsidRPr="000D79C4">
        <w:t>下之「不同政見的武裝部隊或其他有組織的武裝集團」。假若是從台灣人民之角度出發，有可能大多數之台灣人民，是相當不認同上述國際社會之作法，這亦說明台灣多年來，不斷爭取加入聯合國及其他國際性之組織。</w:t>
      </w:r>
    </w:p>
    <w:p w14:paraId="42C74112" w14:textId="77777777" w:rsidR="00953151" w:rsidRPr="000D79C4" w:rsidRDefault="00480296" w:rsidP="00D87D91">
      <w:r w:rsidRPr="000D79C4">
        <w:t xml:space="preserve">　　</w:t>
      </w:r>
      <w:r w:rsidR="00203F72" w:rsidRPr="000D79C4">
        <w:t>即使可以論證台灣並非是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日日內瓦四公約關於保護非國際性武裝衝突受難者的附加議定書（第二議定書）之締約方，此並非代表台灣可以自絕於</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國際法約束之外，因為第二議定書是國際上普遍被認可之國際人道公約，以台灣近年來，不斷地想加入國際社會，我們不宜考量僅願意享受國際上之權利，而忽</w:t>
      </w:r>
      <w:r w:rsidR="003E240E">
        <w:t>視</w:t>
      </w:r>
      <w:r w:rsidR="00203F72" w:rsidRPr="000D79C4">
        <w:t>國際法上加諸於國際社會成員之國際人道法義務。因為，權利與義務是相對的，我國不斷強調以人權立國，此種人權，是不分國界、地域，理應包括中華人民共和國之人權，尤其，是非國際性武裝衝突下之非武裝化之中國平民的基本人權</w:t>
      </w:r>
      <w:r w:rsidR="00D92F56" w:rsidRPr="000D79C4">
        <w:t>〜</w:t>
      </w:r>
      <w:r w:rsidR="00203F72" w:rsidRPr="000D79C4">
        <w:t>生命權、身體權、自由權及財產權。</w:t>
      </w:r>
    </w:p>
    <w:p w14:paraId="71181E70" w14:textId="77777777" w:rsidR="00953151" w:rsidRPr="000D79C4" w:rsidRDefault="00480296" w:rsidP="00D87D91">
      <w:r w:rsidRPr="000D79C4">
        <w:t xml:space="preserve">　　</w:t>
      </w:r>
      <w:r w:rsidR="00203F72" w:rsidRPr="000D79C4">
        <w:t>(</w:t>
      </w:r>
      <w:r w:rsidR="00203F72" w:rsidRPr="000D79C4">
        <w:t>二</w:t>
      </w:r>
      <w:r w:rsidR="00203F72" w:rsidRPr="000D79C4">
        <w:t>)</w:t>
      </w:r>
      <w:r w:rsidR="00203F72" w:rsidRPr="000D79C4">
        <w:t>條約對每一當事國之拘束力及於其全部領土</w:t>
      </w:r>
    </w:p>
    <w:p w14:paraId="455492CB" w14:textId="77777777" w:rsidR="00203F72" w:rsidRPr="000D79C4" w:rsidRDefault="00480296" w:rsidP="00D87D91">
      <w:r w:rsidRPr="000D79C4">
        <w:t xml:space="preserve">　　</w:t>
      </w:r>
      <w:r w:rsidR="00203F72" w:rsidRPr="000D79C4">
        <w:t>另外，依據維也納條約法公約第二十九條之規定，除條約表示不同意思，或另經確定外，條約對每一當事國之拘束力及於其全部領土。是以，依據維也納條約法公約第二十九條之規定及精神，中華人民共和國既然已簽署、加入</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日日內瓦四公約關於保護非國際性武裝衝突受難者的附加議定書（第二議定書），則</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日日內瓦四公約關於保護非國際性武裝衝突受難者的附加議定書（第二議定書）應可適用到全中國</w:t>
      </w:r>
      <w:r w:rsidR="00203F72" w:rsidRPr="000D79C4">
        <w:t>(</w:t>
      </w:r>
      <w:r w:rsidR="00203F72" w:rsidRPr="000D79C4">
        <w:t>包括台灣地區</w:t>
      </w:r>
      <w:r w:rsidR="00203F72" w:rsidRPr="000D79C4">
        <w:t>)</w:t>
      </w:r>
      <w:r w:rsidR="00203F72" w:rsidRPr="000D79C4">
        <w:t>。又考量國際社會多數國家僅承認一個中國，後國際政治現實面之角度出發，上該公約似有可能適用至台灣地區。</w:t>
      </w:r>
    </w:p>
    <w:p w14:paraId="589042FF" w14:textId="77777777" w:rsidR="00953151" w:rsidRPr="000D79C4" w:rsidRDefault="00480296" w:rsidP="00D87D91">
      <w:r w:rsidRPr="000D79C4">
        <w:t xml:space="preserve">　　</w:t>
      </w:r>
      <w:r w:rsidR="00203F72" w:rsidRPr="000D79C4">
        <w:t>(</w:t>
      </w:r>
      <w:r w:rsidR="00203F72" w:rsidRPr="000D79C4">
        <w:t>三</w:t>
      </w:r>
      <w:r w:rsidR="00203F72" w:rsidRPr="000D79C4">
        <w:t>)</w:t>
      </w:r>
      <w:r w:rsidR="00203F72" w:rsidRPr="000D79C4">
        <w:t>非聯合國會員有必要遵守</w:t>
      </w:r>
      <w:hyperlink r:id="rId1614" w:history="1">
        <w:hyperlink r:id="rId1615" w:history="1">
          <w:r w:rsidR="006937CE" w:rsidRPr="006937CE">
            <w:rPr>
              <w:rStyle w:val="a5"/>
              <w:rFonts w:ascii="Times New Roman" w:eastAsia="新細明體" w:hAnsi="Times New Roman"/>
            </w:rPr>
            <w:t>聯合國憲章</w:t>
          </w:r>
        </w:hyperlink>
      </w:hyperlink>
      <w:r w:rsidR="00203F72" w:rsidRPr="000D79C4">
        <w:t>中有關不得使用武力或威脅，而以和平方式解決國際爭端之義務</w:t>
      </w:r>
      <w:r w:rsidR="00203F72" w:rsidRPr="000D79C4">
        <w:footnoteReference w:id="293"/>
      </w:r>
      <w:r w:rsidR="00203F72" w:rsidRPr="000D79C4">
        <w:t>，特別是《日內瓦公約》，該公約是目前得到國際社會最廣泛認可和尊重的國際公約之一，故，非聯合國會員國之台灣，似亦有遵守之必要。亦有論者主張，《日內瓦公約》業已成為國際習慣法，在國際上，具有強行法之法律效力，故即使台灣並非</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日日內瓦四公約關於保護非國際性武裝衝突受難者的附加議定書（第二議定書）之締約國，但是，因《日內瓦公約》業已成為國際習慣法，台灣仍有義務遵守之</w:t>
      </w:r>
      <w:r w:rsidR="00203F72" w:rsidRPr="000D79C4">
        <w:footnoteReference w:id="294"/>
      </w:r>
      <w:r w:rsidR="00203F72" w:rsidRPr="000D79C4">
        <w:t>。再者，《日內瓦公約》係由《利伯守則》（</w:t>
      </w:r>
      <w:r w:rsidR="00203F72" w:rsidRPr="000D79C4">
        <w:t>1863</w:t>
      </w:r>
      <w:r w:rsidR="00203F72" w:rsidRPr="000D79C4">
        <w:t>年）逐步進化而來；而《利伯守則》在制定時，即匯總當時之戰爭法和習慣法，故《利伯守則》與《日內瓦公約》等，均具有國際習慣法之效力</w:t>
      </w:r>
      <w:r w:rsidR="00203F72" w:rsidRPr="000D79C4">
        <w:footnoteReference w:id="295"/>
      </w:r>
      <w:r w:rsidR="00545D58" w:rsidRPr="000D79C4">
        <w:t>。</w:t>
      </w:r>
    </w:p>
    <w:p w14:paraId="316714E4" w14:textId="77777777" w:rsidR="00953151" w:rsidRPr="000D79C4" w:rsidRDefault="00480296" w:rsidP="00D87D91">
      <w:r w:rsidRPr="000D79C4">
        <w:t xml:space="preserve">　　</w:t>
      </w:r>
      <w:r w:rsidR="00203F72" w:rsidRPr="000D79C4">
        <w:t>二、我國以飛彈對長江三峽大壩進行軍事攻擊業已嚴重地違反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w:t>
      </w:r>
      <w:r w:rsidR="00203F72" w:rsidRPr="000D79C4">
        <w:footnoteReference w:id="296"/>
      </w:r>
      <w:r w:rsidR="00203F72" w:rsidRPr="000D79C4">
        <w:t>之相關條文的規定</w:t>
      </w:r>
      <w:r w:rsidR="00203F72" w:rsidRPr="000D79C4">
        <w:t xml:space="preserve"> </w:t>
      </w:r>
    </w:p>
    <w:p w14:paraId="5A994A04" w14:textId="77777777" w:rsidR="00953151" w:rsidRPr="000D79C4" w:rsidRDefault="00480296" w:rsidP="00D87D91">
      <w:r w:rsidRPr="000D79C4">
        <w:t xml:space="preserve">　　</w:t>
      </w:r>
      <w:r w:rsidR="00203F72" w:rsidRPr="000D79C4">
        <w:t>(</w:t>
      </w:r>
      <w:r w:rsidR="00203F72" w:rsidRPr="000D79C4">
        <w:t>一</w:t>
      </w:r>
      <w:r w:rsidR="00203F72" w:rsidRPr="000D79C4">
        <w:t>)</w:t>
      </w:r>
      <w:r w:rsidR="00203F72" w:rsidRPr="000D79C4">
        <w:t>第二議定書第十五條明文禁止攻擊堤壩和核發電站</w:t>
      </w:r>
      <w:r w:rsidR="00203F72" w:rsidRPr="000D79C4">
        <w:footnoteReference w:id="297"/>
      </w:r>
    </w:p>
    <w:p w14:paraId="45B95777" w14:textId="77777777" w:rsidR="00953151" w:rsidRPr="000D79C4" w:rsidRDefault="00480296" w:rsidP="00D87D91">
      <w:r w:rsidRPr="000D79C4">
        <w:t xml:space="preserve">　　</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w:t>
      </w:r>
      <w:r w:rsidR="00203F72" w:rsidRPr="000D79C4">
        <w:footnoteReference w:id="298"/>
      </w:r>
      <w:r w:rsidR="00203F72" w:rsidRPr="000D79C4">
        <w:t>第十五條規定：「含有危險力量的工程或裝置</w:t>
      </w:r>
      <w:r w:rsidR="00203F72" w:rsidRPr="000D79C4">
        <w:footnoteReference w:id="299"/>
      </w:r>
      <w:r w:rsidR="00203F72" w:rsidRPr="000D79C4">
        <w:t>，如堤壩和核發電站</w:t>
      </w:r>
      <w:r w:rsidR="00203F72" w:rsidRPr="000D79C4">
        <w:footnoteReference w:id="300"/>
      </w:r>
      <w:r w:rsidR="00203F72" w:rsidRPr="000D79C4">
        <w:t>，如果對之進行攻擊可能引起危險力量的釋放</w:t>
      </w:r>
      <w:r w:rsidR="00203F72" w:rsidRPr="000D79C4">
        <w:footnoteReference w:id="301"/>
      </w:r>
      <w:r w:rsidR="00203F72" w:rsidRPr="000D79C4">
        <w:t>，從而在平民居民中造成嚴重的損失</w:t>
      </w:r>
      <w:r w:rsidR="00203F72" w:rsidRPr="000D79C4">
        <w:t>(consequent severe losses among the civilian population)</w:t>
      </w:r>
      <w:r w:rsidR="00203F72" w:rsidRPr="000D79C4">
        <w:t>，即使這類物體是軍事目標</w:t>
      </w:r>
      <w:r w:rsidR="00203F72" w:rsidRPr="000D79C4">
        <w:t>(even where these objects are military objectives)</w:t>
      </w:r>
      <w:r w:rsidR="00203F72" w:rsidRPr="000D79C4">
        <w:t>，也不應成為攻擊的對象</w:t>
      </w:r>
      <w:r w:rsidR="00203F72" w:rsidRPr="000D79C4">
        <w:footnoteReference w:id="302"/>
      </w:r>
      <w:r w:rsidR="00203F72" w:rsidRPr="000D79C4">
        <w:t>。」</w:t>
      </w:r>
      <w:r w:rsidR="00203F72" w:rsidRPr="000D79C4">
        <w:footnoteReference w:id="303"/>
      </w:r>
    </w:p>
    <w:p w14:paraId="725D4C2A" w14:textId="77777777" w:rsidR="00953151" w:rsidRPr="000D79C4" w:rsidRDefault="00480296" w:rsidP="00D87D91">
      <w:r w:rsidRPr="000D79C4">
        <w:t xml:space="preserve">　　</w:t>
      </w:r>
      <w:r w:rsidR="00203F72" w:rsidRPr="000D79C4">
        <w:t>從上述條文中，可以發現，假如，台灣以飛彈對長江三峽水壩進行軍事攻擊，業已非常嚴重地違反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日日內瓦四公約關於保護非國際性武裝衝突受難者的附加議定書（第二議定書）第十五條之規定，因為，此一攻擊，在平民居民中造成嚴重的損失</w:t>
      </w:r>
      <w:r w:rsidR="00203F72" w:rsidRPr="000D79C4">
        <w:t>(consequent severe losses among the civilian population)</w:t>
      </w:r>
      <w:r w:rsidR="00203F72" w:rsidRPr="000D79C4">
        <w:t>。</w:t>
      </w:r>
    </w:p>
    <w:p w14:paraId="003FE298" w14:textId="77777777" w:rsidR="00953151" w:rsidRPr="000D79C4" w:rsidRDefault="00480296" w:rsidP="00D87D91">
      <w:r w:rsidRPr="000D79C4">
        <w:t xml:space="preserve">　　</w:t>
      </w:r>
      <w:r w:rsidR="00203F72" w:rsidRPr="000D79C4">
        <w:t>(</w:t>
      </w:r>
      <w:r w:rsidR="00203F72" w:rsidRPr="000D79C4">
        <w:t>二</w:t>
      </w:r>
      <w:r w:rsidR="00203F72" w:rsidRPr="000D79C4">
        <w:t>)</w:t>
      </w:r>
      <w:r w:rsidR="00203F72" w:rsidRPr="000D79C4">
        <w:t>關於保護非國際性武裝衝突受難者的附加議定書</w:t>
      </w:r>
      <w:r w:rsidR="00203F72" w:rsidRPr="000D79C4">
        <w:t>(</w:t>
      </w:r>
      <w:r w:rsidR="00203F72" w:rsidRPr="000D79C4">
        <w:t>第二議定書</w:t>
      </w:r>
      <w:r w:rsidR="00203F72" w:rsidRPr="000D79C4">
        <w:t>)</w:t>
      </w:r>
      <w:r w:rsidR="00203F72" w:rsidRPr="000D79C4">
        <w:t>第十三條明文規定平民居民和平民個人應享受免於軍事行動所產生的危險的一般保護</w:t>
      </w:r>
      <w:r w:rsidR="00203F72" w:rsidRPr="000D79C4">
        <w:t xml:space="preserve"> </w:t>
      </w:r>
    </w:p>
    <w:p w14:paraId="2DE49419" w14:textId="77777777" w:rsidR="00203F72" w:rsidRPr="000D79C4" w:rsidRDefault="00480296" w:rsidP="00D87D91">
      <w:r w:rsidRPr="000D79C4">
        <w:t xml:space="preserve">　　</w:t>
      </w:r>
      <w:r w:rsidR="00203F72" w:rsidRPr="000D79C4">
        <w:t>另外，根據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日日內瓦四公約關於保護非國際性武裝衝突受難者的附加議定書（第二議定書）第十三條之規定</w:t>
      </w:r>
      <w:r w:rsidR="00203F72" w:rsidRPr="000D79C4">
        <w:footnoteReference w:id="304"/>
      </w:r>
      <w:r w:rsidR="00203F72" w:rsidRPr="000D79C4">
        <w:t>：「</w:t>
      </w:r>
    </w:p>
    <w:p w14:paraId="3512435F" w14:textId="77777777" w:rsidR="00203F72" w:rsidRPr="000D79C4" w:rsidRDefault="00480296" w:rsidP="00D87D91">
      <w:r w:rsidRPr="000D79C4">
        <w:t xml:space="preserve">　　</w:t>
      </w:r>
      <w:r w:rsidR="00203F72" w:rsidRPr="000D79C4">
        <w:t>(1)</w:t>
      </w:r>
      <w:r w:rsidR="00203F72" w:rsidRPr="000D79C4">
        <w:t>平民居民和平民個人應享受免於軍事行動所產生的危險的一般保護</w:t>
      </w:r>
      <w:r w:rsidR="00203F72" w:rsidRPr="000D79C4">
        <w:footnoteReference w:id="305"/>
      </w:r>
      <w:r w:rsidR="00203F72" w:rsidRPr="000D79C4">
        <w:t>。為了實現這種保護，在任何情況下均應遵守下列各項規則</w:t>
      </w:r>
      <w:r w:rsidR="00203F72" w:rsidRPr="000D79C4">
        <w:footnoteReference w:id="306"/>
      </w:r>
      <w:r w:rsidR="00203F72" w:rsidRPr="000D79C4">
        <w:t>。</w:t>
      </w:r>
    </w:p>
    <w:p w14:paraId="18AF75E5" w14:textId="77777777" w:rsidR="00203F72" w:rsidRPr="000D79C4" w:rsidRDefault="00480296" w:rsidP="00D87D91">
      <w:r w:rsidRPr="000D79C4">
        <w:t xml:space="preserve">　　</w:t>
      </w:r>
      <w:r w:rsidR="00203F72" w:rsidRPr="000D79C4">
        <w:t>(2)</w:t>
      </w:r>
      <w:r w:rsidR="00203F72" w:rsidRPr="000D79C4">
        <w:t>平民居民本身以及平民個人，不應成為攻擊的對象</w:t>
      </w:r>
      <w:r w:rsidR="00203F72" w:rsidRPr="000D79C4">
        <w:footnoteReference w:id="307"/>
      </w:r>
      <w:r w:rsidR="00203F72" w:rsidRPr="000D79C4">
        <w:t>。禁止以在平民居民中散佈恐怖為主要目的的暴力行為或暴力威脅</w:t>
      </w:r>
      <w:r w:rsidR="00203F72" w:rsidRPr="000D79C4">
        <w:footnoteReference w:id="308"/>
      </w:r>
      <w:r w:rsidR="00203F72" w:rsidRPr="000D79C4">
        <w:t>。</w:t>
      </w:r>
    </w:p>
    <w:p w14:paraId="1E4A98A0" w14:textId="77777777" w:rsidR="00953151" w:rsidRPr="000D79C4" w:rsidRDefault="00480296" w:rsidP="00D87D91">
      <w:r w:rsidRPr="000D79C4">
        <w:t xml:space="preserve">　　</w:t>
      </w:r>
      <w:r w:rsidR="00203F72" w:rsidRPr="000D79C4">
        <w:t>(3)</w:t>
      </w:r>
      <w:r w:rsidR="00203F72" w:rsidRPr="000D79C4">
        <w:t>平民個人除直接參加敵對行為並在參加期間外，應享受本部份所給予的保護</w:t>
      </w:r>
      <w:r w:rsidR="00203F72" w:rsidRPr="000D79C4">
        <w:footnoteReference w:id="309"/>
      </w:r>
      <w:r w:rsidR="00203F72" w:rsidRPr="000D79C4">
        <w:t>。</w:t>
      </w:r>
    </w:p>
    <w:p w14:paraId="2ECE0213" w14:textId="77777777" w:rsidR="00953151" w:rsidRPr="000D79C4" w:rsidRDefault="00254E32" w:rsidP="00D87D91">
      <w:r w:rsidRPr="000D79C4">
        <w:rPr>
          <w:rFonts w:hint="eastAsia"/>
        </w:rPr>
        <w:t xml:space="preserve">　　</w:t>
      </w:r>
      <w:r w:rsidR="00203F72" w:rsidRPr="000D79C4">
        <w:t>本書認為，關於保護非國際性武裝衝突受難者的附加議定書（第二議定書）第十三條平民居民本身以及平民個人，不應成為攻擊的對象</w:t>
      </w:r>
      <w:r w:rsidR="00203F72" w:rsidRPr="000D79C4">
        <w:footnoteReference w:id="310"/>
      </w:r>
      <w:r w:rsidR="00203F72" w:rsidRPr="000D79C4">
        <w:t>，此種不攻擊平民之人道精神，可謂是第二議定書之帝王條款，係為最重要之國際人道法條款。</w:t>
      </w:r>
    </w:p>
    <w:p w14:paraId="3032657A" w14:textId="77777777" w:rsidR="00953151" w:rsidRPr="000D79C4" w:rsidRDefault="00254E32" w:rsidP="00D87D91">
      <w:r w:rsidRPr="000D79C4">
        <w:rPr>
          <w:rFonts w:hint="eastAsia"/>
        </w:rPr>
        <w:t xml:space="preserve">　　</w:t>
      </w:r>
      <w:r w:rsidR="00203F72" w:rsidRPr="000D79C4">
        <w:t>從上述條文規範之中，可以發現，假如，台灣以飛彈對長江三峽水壩進行軍事攻擊，除了非常嚴重地違反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日內瓦四公約關於保護非國際性武裝衝突受難者的附加議定書（第二議定書）第十五條之規定外，尚違反了第十三條之規定，因為，此一攻擊，在平民居民本身以及平民個人，已成為攻擊的對象。</w:t>
      </w:r>
    </w:p>
    <w:p w14:paraId="186BB33E" w14:textId="77777777" w:rsidR="00953151" w:rsidRPr="000D79C4" w:rsidRDefault="00254E32" w:rsidP="00D87D91">
      <w:r w:rsidRPr="000D79C4">
        <w:rPr>
          <w:rFonts w:hint="eastAsia"/>
        </w:rPr>
        <w:t xml:space="preserve">　　</w:t>
      </w:r>
      <w:r w:rsidR="00203F72" w:rsidRPr="000D79C4">
        <w:t>(</w:t>
      </w:r>
      <w:r w:rsidR="00203F72" w:rsidRPr="000D79C4">
        <w:t>三</w:t>
      </w:r>
      <w:r w:rsidR="00203F72" w:rsidRPr="000D79C4">
        <w:t>)</w:t>
      </w:r>
      <w:r w:rsidR="00203F72" w:rsidRPr="000D79C4">
        <w:t>關於保護非國際性武裝衝突受難者的附加議定書（第二議定書）第十三條第二款明文規定禁止以在平民居民中散佈恐怖為主要目的的暴力行為或暴力威脅</w:t>
      </w:r>
    </w:p>
    <w:p w14:paraId="76C814A8" w14:textId="77777777" w:rsidR="00953151" w:rsidRPr="000D79C4" w:rsidRDefault="00254E32" w:rsidP="00D87D91">
      <w:r w:rsidRPr="000D79C4">
        <w:rPr>
          <w:rFonts w:hint="eastAsia"/>
        </w:rPr>
        <w:t xml:space="preserve">　　</w:t>
      </w:r>
      <w:r w:rsidR="00203F72" w:rsidRPr="000D79C4">
        <w:t>另外一個問題，台灣提出以飛彈對長江三峽水壩進行軍事攻擊之軍事戰略，作為一種軍事威脅手段或工具，是否已違反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日日內瓦四公約關於保護非國際性武裝衝突受難者的附加議定書（第二議定書）第十三條第二款之規定？根據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之規定，禁止以在平民居民中散佈恐怖為主要目的的暴力行為或暴力威脅。值得注意的，上述之規定中，即使是事前之暴力威脅，亦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日日內瓦四公約關於保護非國際性武裝衝突受難者的附加議定書（第二議定書）第十三條第二款明文禁止之規範標的。</w:t>
      </w:r>
    </w:p>
    <w:p w14:paraId="74CD67A4" w14:textId="77777777" w:rsidR="00953151" w:rsidRPr="000D79C4" w:rsidRDefault="00254E32" w:rsidP="00D87D91">
      <w:r w:rsidRPr="000D79C4">
        <w:rPr>
          <w:rFonts w:hint="eastAsia"/>
        </w:rPr>
        <w:t xml:space="preserve">　　</w:t>
      </w:r>
      <w:r w:rsidR="00203F72" w:rsidRPr="000D79C4">
        <w:t>本書認為，我國提出以飛彈對長江三峽水壩進行軍事攻擊之軍事戰略，作為一種軍事威脅手段或工具，以心理之強制威脅，恐嚇中國長江三峽下游之非武裝化之中國平民，事實上，是已違反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日日內瓦四公約關於保護非國際性武裝衝突受難者的附加議定書（第二議定書）第十三條第二款之規定，因為，在任何情況下</w:t>
      </w:r>
      <w:r w:rsidR="00203F72" w:rsidRPr="000D79C4">
        <w:t>(in all circumstances)</w:t>
      </w:r>
      <w:r w:rsidR="00203F72" w:rsidRPr="000D79C4">
        <w:t>，根據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日日內瓦四公約關於保護非國際性武裝衝突受難者的附加議定書（第二議定書）第十三條第二款之規定，禁止以在平民居民中散佈恐怖為主要目的的暴力行為或暴力威脅。</w:t>
      </w:r>
    </w:p>
    <w:p w14:paraId="070DED1A" w14:textId="77777777" w:rsidR="00953151" w:rsidRPr="000D79C4" w:rsidRDefault="00480296" w:rsidP="00D87D91">
      <w:r w:rsidRPr="000D79C4">
        <w:t xml:space="preserve">　　</w:t>
      </w:r>
      <w:r w:rsidR="00203F72" w:rsidRPr="000D79C4">
        <w:t>而台灣提出以飛彈對長江三峽水壩進行軍事攻擊之軍事戰略，則是一種事前之暴力威脅，業已符合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日日內瓦四公約關於保護非國際性武裝衝突受難者的附加議定書（第二議定書）第十三條第二款之構成要件，再加上無阻卻違法之事由，台灣在作出此種決定下，亦具有責任之能力，故已違反上開之規定，是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日日內瓦四公約關於保護非國際性武裝衝突受難者的附加議定書（第二議定書）第十三條第二款明文禁止之規範標的。</w:t>
      </w:r>
    </w:p>
    <w:p w14:paraId="3C4DAEED" w14:textId="77777777" w:rsidR="00953151" w:rsidRPr="000D79C4" w:rsidRDefault="00480296" w:rsidP="00D87D91">
      <w:r w:rsidRPr="000D79C4">
        <w:t xml:space="preserve">　　</w:t>
      </w:r>
      <w:r w:rsidR="00203F72" w:rsidRPr="000D79C4">
        <w:t>上述之在任何情況下</w:t>
      </w:r>
      <w:r w:rsidR="00203F72" w:rsidRPr="000D79C4">
        <w:t>(in all circumstances)</w:t>
      </w:r>
      <w:r w:rsidR="00203F72" w:rsidRPr="000D79C4">
        <w:t>之定義方面，何謂在任何情況下</w:t>
      </w:r>
      <w:r w:rsidR="00203F72" w:rsidRPr="000D79C4">
        <w:t>(in all circumstances)</w:t>
      </w:r>
      <w:r w:rsidR="00203F72" w:rsidRPr="000D79C4">
        <w:t>？此包括任何之敵對之軍事手段，均應遵守第</w:t>
      </w:r>
      <w:r w:rsidR="00203F72" w:rsidRPr="000D79C4">
        <w:t>2</w:t>
      </w:r>
      <w:r w:rsidR="00203F72" w:rsidRPr="000D79C4">
        <w:t>議定書之規定，故，台灣提出以飛彈對長江三峽水壩進行軍事攻擊之軍事戰略，作為一種軍事威脅手段或工具，以心理之強制威脅，恐嚇中國長江三峽下游之非武裝化之中國平民，此種之暴力威脅，是一種違反國際法之違法行為，並非文明人類之作法，應被聯合國及國際社會加以禁止之。</w:t>
      </w:r>
    </w:p>
    <w:p w14:paraId="0B3C8195" w14:textId="77777777" w:rsidR="00953151" w:rsidRPr="000D79C4" w:rsidRDefault="00480296" w:rsidP="00D87D91">
      <w:r w:rsidRPr="000D79C4">
        <w:t xml:space="preserve">　　</w:t>
      </w:r>
      <w:r w:rsidR="00203F72" w:rsidRPr="000D79C4">
        <w:t>(</w:t>
      </w:r>
      <w:r w:rsidR="00203F72" w:rsidRPr="000D79C4">
        <w:t>四</w:t>
      </w:r>
      <w:r w:rsidR="00203F72" w:rsidRPr="000D79C4">
        <w:t>)</w:t>
      </w:r>
      <w:r w:rsidR="00203F72" w:rsidRPr="000D79C4">
        <w:t>台灣以飛彈對長江三峽水壩進行軍事攻擊之軍事戰略是一種違反國際人道法之違法作法</w:t>
      </w:r>
    </w:p>
    <w:p w14:paraId="2B43EF8C" w14:textId="77777777" w:rsidR="00953151" w:rsidRPr="000D79C4" w:rsidRDefault="00480296" w:rsidP="00D87D91">
      <w:r w:rsidRPr="000D79C4">
        <w:t xml:space="preserve">　　</w:t>
      </w:r>
      <w:r w:rsidR="00203F72" w:rsidRPr="000D79C4">
        <w:t>在國際社會上，關於保護非國際性武裝衝突受難者，國際社會強烈地期望，儘量傳播此種人道作法，故</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w:t>
      </w:r>
      <w:r w:rsidR="00203F72" w:rsidRPr="000D79C4">
        <w:t>19</w:t>
      </w:r>
      <w:r w:rsidR="00203F72" w:rsidRPr="000D79C4">
        <w:t>條規定，本議定書應盡可能廣泛地予以傳播</w:t>
      </w:r>
      <w:r w:rsidR="00203F72" w:rsidRPr="000D79C4">
        <w:t>(This Protocol shall be disseminated as widely as possible)</w:t>
      </w:r>
      <w:r w:rsidR="00203F72" w:rsidRPr="000D79C4">
        <w:t>。本書期望，作為一個以人權立國之台灣，是兩岸人民民主精神及制度的模範生，能深刻體認國際社會強烈地期望保護非國際性武裝衝突受難者，是以，中國無辜之平民居民和平民個人，應有文明社會國際法上之權利，有權享受免於軍事行動所產生的危險的一般保護。</w:t>
      </w:r>
    </w:p>
    <w:p w14:paraId="68498D19" w14:textId="77777777" w:rsidR="00953151" w:rsidRPr="000D79C4" w:rsidRDefault="00480296" w:rsidP="00D87D91">
      <w:r w:rsidRPr="000D79C4">
        <w:t xml:space="preserve">　　</w:t>
      </w:r>
      <w:r w:rsidR="00203F72" w:rsidRPr="000D79C4">
        <w:t>(</w:t>
      </w:r>
      <w:r w:rsidR="00203F72" w:rsidRPr="000D79C4">
        <w:t>五</w:t>
      </w:r>
      <w:r w:rsidR="00203F72" w:rsidRPr="000D79C4">
        <w:t>)</w:t>
      </w:r>
      <w:r w:rsidR="00203F72" w:rsidRPr="000D79C4">
        <w:t>第二議定書第十六條明文規定禁止對文物和禮拜場所的破壞</w:t>
      </w:r>
      <w:r w:rsidR="00203F72" w:rsidRPr="000D79C4">
        <w:t xml:space="preserve"> </w:t>
      </w:r>
    </w:p>
    <w:p w14:paraId="68B6DD9C" w14:textId="77777777" w:rsidR="00953151" w:rsidRPr="000D79C4" w:rsidRDefault="00480296" w:rsidP="00D87D91">
      <w:r w:rsidRPr="000D79C4">
        <w:t xml:space="preserve">　　</w:t>
      </w:r>
      <w:r w:rsidR="00203F72" w:rsidRPr="000D79C4">
        <w:t>假若台灣以飛彈對長江三峽水壩進行軍事攻擊，是否已違反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日日內瓦四公約關於保護非國際性武裝衝突受難者的附加議定書（第二議定書）第十六條之規定？該條規定，在不妨礙</w:t>
      </w:r>
      <w:r w:rsidR="00203F72" w:rsidRPr="000D79C4">
        <w:t>1954</w:t>
      </w:r>
      <w:r w:rsidR="00203F72" w:rsidRPr="000D79C4">
        <w:t>年</w:t>
      </w:r>
      <w:r w:rsidR="00203F72" w:rsidRPr="000D79C4">
        <w:t>5</w:t>
      </w:r>
      <w:r w:rsidR="00203F72" w:rsidRPr="000D79C4">
        <w:t>月</w:t>
      </w:r>
      <w:r w:rsidR="00203F72" w:rsidRPr="000D79C4">
        <w:t>14</w:t>
      </w:r>
      <w:r w:rsidR="00203F72" w:rsidRPr="000D79C4">
        <w:t>日關於發生武裝衝突時保護文化財產的海牙公約的規定的條件下</w:t>
      </w:r>
      <w:r w:rsidR="00203F72" w:rsidRPr="000D79C4">
        <w:footnoteReference w:id="311"/>
      </w:r>
      <w:r w:rsidR="00203F72" w:rsidRPr="000D79C4">
        <w:t>，對構成各國人民文化或精神遺產的曆史紀念物、藝術品或禮拜場所從事任何敵對行為，以及利用這些物體以支持軍事努力，都是禁止的</w:t>
      </w:r>
      <w:r w:rsidR="00203F72" w:rsidRPr="000D79C4">
        <w:footnoteReference w:id="312"/>
      </w:r>
      <w:r w:rsidR="00203F72" w:rsidRPr="000D79C4">
        <w:t>。</w:t>
      </w:r>
    </w:p>
    <w:p w14:paraId="4A60883B" w14:textId="77777777" w:rsidR="00953151" w:rsidRPr="000D79C4" w:rsidRDefault="00480296" w:rsidP="00D87D91">
      <w:r w:rsidRPr="000D79C4">
        <w:t xml:space="preserve">　　</w:t>
      </w:r>
      <w:r w:rsidR="00203F72" w:rsidRPr="000D79C4">
        <w:t>假若台灣以飛彈對長江三峽水壩進行軍事攻擊，可以想像的，必會對於長江三峽下游文化或精神遺產的曆史紀念物、藝術品或禮拜場所造成毀滅性之破壞，故此種行為，已違反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日日內瓦四公約關於保護非國際性武裝衝突受難者的附加議定書（第二議定書）第十六條之規定。</w:t>
      </w:r>
    </w:p>
    <w:p w14:paraId="7457221C" w14:textId="77777777" w:rsidR="00953151" w:rsidRPr="000D79C4" w:rsidRDefault="00480296" w:rsidP="00D87D91">
      <w:r w:rsidRPr="000D79C4">
        <w:t xml:space="preserve">　　</w:t>
      </w:r>
      <w:r w:rsidR="00203F72" w:rsidRPr="000D79C4">
        <w:t>(</w:t>
      </w:r>
      <w:r w:rsidR="00203F72" w:rsidRPr="000D79C4">
        <w:t>六</w:t>
      </w:r>
      <w:r w:rsidR="00203F72" w:rsidRPr="000D79C4">
        <w:t>)</w:t>
      </w:r>
      <w:r w:rsidR="00203F72" w:rsidRPr="000D79C4">
        <w:t>第二議定書第四條第一項明文規定禁止「下令殺無赦」</w:t>
      </w:r>
      <w:r w:rsidR="00203F72" w:rsidRPr="000D79C4">
        <w:footnoteReference w:id="313"/>
      </w:r>
      <w:r w:rsidR="00203F72" w:rsidRPr="000D79C4">
        <w:t xml:space="preserve"> </w:t>
      </w:r>
    </w:p>
    <w:p w14:paraId="4DC494D7" w14:textId="77777777" w:rsidR="00953151" w:rsidRPr="000D79C4" w:rsidRDefault="00480296" w:rsidP="00D87D91">
      <w:r w:rsidRPr="000D79C4">
        <w:t xml:space="preserve">　　</w:t>
      </w:r>
      <w:r w:rsidR="00203F72" w:rsidRPr="000D79C4">
        <w:t>假若台灣以飛彈對長江三峽水壩進行軍事攻擊，是否已違反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日日內瓦四公約關於保護非國際性武裝衝突受難者的附加議定書（第二議定書）第四條第一項之規定？第二議定書第四條是人權之基本保證</w:t>
      </w:r>
      <w:r w:rsidR="00203F72" w:rsidRPr="000D79C4">
        <w:t>(Fundamental guarantees)</w:t>
      </w:r>
      <w:r w:rsidR="00203F72" w:rsidRPr="000D79C4">
        <w:t>，第二議定書第四條第一項規定，一切未直接參加或已停止參加敵對行動的人</w:t>
      </w:r>
      <w:r w:rsidR="00203F72" w:rsidRPr="000D79C4">
        <w:footnoteReference w:id="314"/>
      </w:r>
      <w:r w:rsidR="00203F72" w:rsidRPr="000D79C4">
        <w:t>，不論其自由是否受限制</w:t>
      </w:r>
      <w:r w:rsidR="00203F72" w:rsidRPr="000D79C4">
        <w:footnoteReference w:id="315"/>
      </w:r>
      <w:r w:rsidR="00203F72" w:rsidRPr="000D79C4">
        <w:t>，均有權享受對其人身、榮譽以及信念和宗教儀式的尊重</w:t>
      </w:r>
      <w:r w:rsidR="00203F72" w:rsidRPr="000D79C4">
        <w:footnoteReference w:id="316"/>
      </w:r>
      <w:r w:rsidR="00203F72" w:rsidRPr="000D79C4">
        <w:t>。這類人應在任何情況下受人道待遇</w:t>
      </w:r>
      <w:r w:rsidR="00203F72" w:rsidRPr="000D79C4">
        <w:t>(They shall in all circumstances be treated humanely)</w:t>
      </w:r>
      <w:r w:rsidR="00203F72" w:rsidRPr="000D79C4">
        <w:t>，而不加任何不利區別</w:t>
      </w:r>
      <w:r w:rsidR="00203F72" w:rsidRPr="000D79C4">
        <w:t>(without any adverse distinction)</w:t>
      </w:r>
      <w:r w:rsidR="00203F72" w:rsidRPr="000D79C4">
        <w:t>，下令殺無赦，是禁止的</w:t>
      </w:r>
      <w:r w:rsidR="00203F72" w:rsidRPr="000D79C4">
        <w:footnoteReference w:id="317"/>
      </w:r>
      <w:r w:rsidR="00203F72" w:rsidRPr="000D79C4">
        <w:t>。</w:t>
      </w:r>
    </w:p>
    <w:p w14:paraId="098EE1F0" w14:textId="77777777" w:rsidR="00953151" w:rsidRPr="000D79C4" w:rsidRDefault="00480296" w:rsidP="00D87D91">
      <w:r w:rsidRPr="000D79C4">
        <w:t xml:space="preserve">　　</w:t>
      </w:r>
      <w:r w:rsidR="00203F72" w:rsidRPr="000D79C4">
        <w:t>假若台灣以飛彈對長江三峽水壩進行軍事攻擊，可以想像的，必會對於長江三峽下游一切未直接參加武裝衝突之中國平民的死亡，這是一種不加任何不利區別</w:t>
      </w:r>
      <w:r w:rsidR="00203F72" w:rsidRPr="000D79C4">
        <w:t>(without any adverse distinction)</w:t>
      </w:r>
      <w:r w:rsidR="00203F72" w:rsidRPr="000D79C4">
        <w:t>，下令殺無赦之軍事攻擊及屠殺行為，已違反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日日內瓦四公約關於保護非國際性武裝衝突受難者的附加議定書（第二議定書）第四條第一項之規定。</w:t>
      </w:r>
    </w:p>
    <w:p w14:paraId="497E61E5" w14:textId="77777777" w:rsidR="00953151" w:rsidRPr="000D79C4" w:rsidRDefault="00480296" w:rsidP="00D87D91">
      <w:r w:rsidRPr="000D79C4">
        <w:t xml:space="preserve">　　</w:t>
      </w:r>
      <w:r w:rsidR="00203F72" w:rsidRPr="000D79C4">
        <w:t>(</w:t>
      </w:r>
      <w:r w:rsidR="00203F72" w:rsidRPr="000D79C4">
        <w:t>七</w:t>
      </w:r>
      <w:r w:rsidR="00203F72" w:rsidRPr="000D79C4">
        <w:t>)</w:t>
      </w:r>
      <w:r w:rsidR="00203F72" w:rsidRPr="000D79C4">
        <w:t>第二議定書第四條第二項第一款明文規定禁止對「未直接參加或已停止參加敵對行動的人」加以謀殺</w:t>
      </w:r>
      <w:r w:rsidR="00203F72" w:rsidRPr="000D79C4">
        <w:t xml:space="preserve"> </w:t>
      </w:r>
    </w:p>
    <w:p w14:paraId="107E6064" w14:textId="77777777" w:rsidR="00953151" w:rsidRPr="000D79C4" w:rsidRDefault="00480296" w:rsidP="00D87D91">
      <w:r w:rsidRPr="000D79C4">
        <w:t xml:space="preserve">　　</w:t>
      </w:r>
      <w:r w:rsidR="00203F72" w:rsidRPr="000D79C4">
        <w:t>假若台灣以飛彈對長江三峽水壩進行軍事攻擊，是否已違反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日日內瓦四公約關於保護非國際性武裝衝突受難者的附加議定書（第二議定書）第四條第二項第一款之規定？第二議定書第四條第二項第一款明文規定：「在不妨害上述規定的普遍性的條件下</w:t>
      </w:r>
      <w:r w:rsidR="00203F72" w:rsidRPr="000D79C4">
        <w:footnoteReference w:id="318"/>
      </w:r>
      <w:r w:rsidR="00203F72" w:rsidRPr="000D79C4">
        <w:t>，對第一款所指的人的下列行為是禁止的，並在任何時候和在任何地方均應禁止</w:t>
      </w:r>
      <w:r w:rsidR="00203F72" w:rsidRPr="000D79C4">
        <w:footnoteReference w:id="319"/>
      </w:r>
      <w:r w:rsidR="00203F72" w:rsidRPr="000D79C4">
        <w:t>：（一）對人的生命、健康和身體上或精神上幸福的暴行</w:t>
      </w:r>
      <w:r w:rsidR="00203F72" w:rsidRPr="000D79C4">
        <w:footnoteReference w:id="320"/>
      </w:r>
      <w:r w:rsidR="00203F72" w:rsidRPr="000D79C4">
        <w:t>，特別是謀殺以及虐待，如酷刑、殘傷肢體或任何形式的體罰</w:t>
      </w:r>
      <w:r w:rsidR="00203F72" w:rsidRPr="000D79C4">
        <w:footnoteReference w:id="321"/>
      </w:r>
      <w:r w:rsidR="00203F72" w:rsidRPr="000D79C4">
        <w:t>、、、」</w:t>
      </w:r>
    </w:p>
    <w:p w14:paraId="5B4499C5" w14:textId="77777777" w:rsidR="00953151" w:rsidRPr="000D79C4" w:rsidRDefault="00480296" w:rsidP="00D87D91">
      <w:r w:rsidRPr="000D79C4">
        <w:t xml:space="preserve">　　</w:t>
      </w:r>
      <w:r w:rsidR="00203F72" w:rsidRPr="000D79C4">
        <w:t>假若台灣以飛彈對長江三峽水壩進行軍事攻擊，可以想像的，必會對於長江三峽下游一切未直接參加武裝衝突之中國平民的死亡、肢體之殘傷，這是一種明知且有意使其發生之行為，故是一種故意的謀殺，所觸犯之罪名，是對未直接參加武裝衝突之中國平民加以謀殺，此種謀殺，業已符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日日內瓦四公約關於保護非國際性武裝衝突受難者的附加議定書（第二議定書）第四條第二項第一款之構成要件，故已違反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日日內瓦四公約關於保護非國際性武裝衝突受難者的附加議定書（第二議定書）第四條第二項第一款之規定。</w:t>
      </w:r>
    </w:p>
    <w:p w14:paraId="71CBF24E" w14:textId="77777777" w:rsidR="00953151" w:rsidRPr="000D79C4" w:rsidRDefault="00480296" w:rsidP="00D87D91">
      <w:r w:rsidRPr="000D79C4">
        <w:t xml:space="preserve">　　</w:t>
      </w:r>
      <w:r w:rsidR="00203F72" w:rsidRPr="000D79C4">
        <w:t>(</w:t>
      </w:r>
      <w:r w:rsidR="00203F72" w:rsidRPr="000D79C4">
        <w:t>八</w:t>
      </w:r>
      <w:r w:rsidR="00203F72" w:rsidRPr="000D79C4">
        <w:t>)</w:t>
      </w:r>
      <w:r w:rsidR="00203F72" w:rsidRPr="000D79C4">
        <w:t>第二議定書第第十四條明文規定對平民居民生存所不可缺少的物體應加以保護</w:t>
      </w:r>
      <w:r w:rsidR="00203F72" w:rsidRPr="000D79C4">
        <w:footnoteReference w:id="322"/>
      </w:r>
    </w:p>
    <w:p w14:paraId="381B8F13" w14:textId="77777777" w:rsidR="00203F72" w:rsidRPr="000D79C4" w:rsidRDefault="00480296" w:rsidP="00D87D91">
      <w:r w:rsidRPr="000D79C4">
        <w:t xml:space="preserve">　　</w:t>
      </w:r>
      <w:r w:rsidR="00203F72" w:rsidRPr="000D79C4">
        <w:t>假若台灣以飛彈對長江三峽水壩進行軍事攻擊，是否已違反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日日內瓦四公約關於保護非國際性武裝衝突受難者的附加議定書（第二議定書）第十四條之規定？第二議定書第十四條明文規定：「作為作戰方法使平民居民陷於饑餓，是禁止的</w:t>
      </w:r>
      <w:r w:rsidR="00203F72" w:rsidRPr="000D79C4">
        <w:footnoteReference w:id="323"/>
      </w:r>
      <w:r w:rsidR="00203F72" w:rsidRPr="000D79C4">
        <w:t>。因此，為了該目的，對平民居民所不可缺少的物體</w:t>
      </w:r>
      <w:r w:rsidR="00203F72" w:rsidRPr="000D79C4">
        <w:footnoteReference w:id="324"/>
      </w:r>
      <w:r w:rsidR="00203F72" w:rsidRPr="000D79C4">
        <w:t>，如糧食</w:t>
      </w:r>
      <w:r w:rsidR="00203F72" w:rsidRPr="000D79C4">
        <w:t>(foodstuffs)</w:t>
      </w:r>
      <w:r w:rsidR="00203F72" w:rsidRPr="000D79C4">
        <w:t>、生產糧食的農業區</w:t>
      </w:r>
      <w:r w:rsidR="00203F72" w:rsidRPr="000D79C4">
        <w:t>(agricultural areas for the production of foodstuffs)</w:t>
      </w:r>
      <w:r w:rsidR="00203F72" w:rsidRPr="000D79C4">
        <w:t>、農作物</w:t>
      </w:r>
      <w:r w:rsidR="00203F72" w:rsidRPr="000D79C4">
        <w:t>(crops)</w:t>
      </w:r>
      <w:r w:rsidR="00203F72" w:rsidRPr="000D79C4">
        <w:t>、牲畜</w:t>
      </w:r>
      <w:r w:rsidR="00203F72" w:rsidRPr="000D79C4">
        <w:t>(livestock)</w:t>
      </w:r>
      <w:r w:rsidR="00203F72" w:rsidRPr="000D79C4">
        <w:t>、飲水裝置和供應</w:t>
      </w:r>
      <w:r w:rsidR="00203F72" w:rsidRPr="000D79C4">
        <w:t>(drinking water installations and supplies)</w:t>
      </w:r>
      <w:r w:rsidR="00203F72" w:rsidRPr="000D79C4">
        <w:t>及灌溉工程</w:t>
      </w:r>
      <w:r w:rsidR="00203F72" w:rsidRPr="000D79C4">
        <w:t>(irrigation works)</w:t>
      </w:r>
      <w:r w:rsidR="00203F72" w:rsidRPr="000D79C4">
        <w:t>，進行攻擊、破壞、移動或使其失去效用，都是禁止的</w:t>
      </w:r>
      <w:r w:rsidR="00203F72" w:rsidRPr="000D79C4">
        <w:footnoteReference w:id="325"/>
      </w:r>
      <w:r w:rsidR="00203F72" w:rsidRPr="000D79C4">
        <w:t>。」</w:t>
      </w:r>
    </w:p>
    <w:p w14:paraId="144CA5BF" w14:textId="77777777" w:rsidR="00953151" w:rsidRPr="000D79C4" w:rsidRDefault="00480296" w:rsidP="00D87D91">
      <w:r w:rsidRPr="000D79C4">
        <w:t xml:space="preserve">　　</w:t>
      </w:r>
      <w:r w:rsidR="00203F72" w:rsidRPr="000D79C4">
        <w:t>假若台灣以飛彈對長江三峽水壩進行軍事攻擊，可以想像的，是會對於中國平民之飲水裝置和供應</w:t>
      </w:r>
      <w:r w:rsidR="00203F72" w:rsidRPr="000D79C4">
        <w:footnoteReference w:id="326"/>
      </w:r>
      <w:r w:rsidR="00203F72" w:rsidRPr="000D79C4">
        <w:t>，進行毀滅性破壞或使其失去效用，這是一種明知且有意使其發生之行為，所觸犯之罪名，是對於中國平民之飲水裝置和供應及灌溉工程進行破壞或使其失去效用罪，業已符合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日日內瓦四公約關於保護非國際性武裝衝突受難者的附加議定書（第二議定書）第十四條之構成要件，故已違反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日日內瓦四公約關於保護非國際性武裝衝突受難者的附加議定書（第二議定書）第十四條之規定。</w:t>
      </w:r>
    </w:p>
    <w:p w14:paraId="5B7F3BB2" w14:textId="77777777" w:rsidR="00203F72" w:rsidRPr="00A53581" w:rsidRDefault="00203F72" w:rsidP="00767F37">
      <w:pPr>
        <w:pStyle w:val="2"/>
      </w:pPr>
      <w:bookmarkStart w:id="66" w:name="_肆、結論與建議"/>
      <w:bookmarkEnd w:id="66"/>
      <w:r w:rsidRPr="00A53581">
        <w:t>肆、結論與建議</w:t>
      </w:r>
    </w:p>
    <w:p w14:paraId="3B21F50E" w14:textId="77777777" w:rsidR="00953151" w:rsidRPr="00145751" w:rsidRDefault="00480296" w:rsidP="00D87D91">
      <w:r w:rsidRPr="00145751">
        <w:t xml:space="preserve">　　</w:t>
      </w:r>
      <w:r w:rsidR="00203F72" w:rsidRPr="00145751">
        <w:t>本書認為，對於戰爭之本質，我國</w:t>
      </w:r>
      <w:hyperlink r:id="rId1616" w:history="1">
        <w:r w:rsidR="00203F72" w:rsidRPr="00445210">
          <w:rPr>
            <w:rStyle w:val="a5"/>
            <w:rFonts w:ascii="Times New Roman" w:eastAsia="新細明體" w:hAnsi="Times New Roman"/>
          </w:rPr>
          <w:t>憲法</w:t>
        </w:r>
      </w:hyperlink>
      <w:r w:rsidR="00203F72" w:rsidRPr="00145751">
        <w:t>宜慎重地加以定位</w:t>
      </w:r>
      <w:r w:rsidR="00203F72" w:rsidRPr="00145751">
        <w:footnoteReference w:id="327"/>
      </w:r>
      <w:r w:rsidR="00203F72" w:rsidRPr="00145751">
        <w:t>。本書認為，台灣威脅以飛彈對長江三峽水壩或上海進行軍事攻擊，造成一般平民之恐慌，以作為一種軍事威脅手段，事實上，業已違反</w:t>
      </w:r>
      <w:r w:rsidR="00203F72" w:rsidRPr="00145751">
        <w:t>1949</w:t>
      </w:r>
      <w:r w:rsidR="00203F72" w:rsidRPr="00145751">
        <w:t>年</w:t>
      </w:r>
      <w:r w:rsidR="00203F72" w:rsidRPr="00145751">
        <w:t>8</w:t>
      </w:r>
      <w:r w:rsidR="00203F72" w:rsidRPr="00145751">
        <w:t>月</w:t>
      </w:r>
      <w:r w:rsidR="00203F72" w:rsidRPr="00145751">
        <w:t>12</w:t>
      </w:r>
      <w:r w:rsidR="00203F72" w:rsidRPr="00145751">
        <w:t>日日內瓦四公約關於保護非國際性武裝衝突受難者的附加議定書（第二議定書）第十三條第二款之規定，故此種行為，早已被國際文明社會禁止之</w:t>
      </w:r>
      <w:r w:rsidR="00203F72" w:rsidRPr="00145751">
        <w:footnoteReference w:id="328"/>
      </w:r>
      <w:r w:rsidR="00203F72" w:rsidRPr="00145751">
        <w:t>。上開議定書明文規定禁止攻擊堤壩，故台灣威脅以飛彈對長江三峽水壩或上海平民住宅區進行軍事攻擊，這種之作法，是不合國際人道法之相關規定。</w:t>
      </w:r>
    </w:p>
    <w:p w14:paraId="20C2E850" w14:textId="77777777" w:rsidR="00953151" w:rsidRPr="00145751" w:rsidRDefault="00254E32" w:rsidP="00D87D91">
      <w:r w:rsidRPr="00145751">
        <w:t xml:space="preserve">　　</w:t>
      </w:r>
      <w:r w:rsidR="00203F72" w:rsidRPr="00145751">
        <w:t>在</w:t>
      </w:r>
      <w:r w:rsidR="00203F72" w:rsidRPr="00145751">
        <w:t>2007</w:t>
      </w:r>
      <w:r w:rsidR="00203F72" w:rsidRPr="00145751">
        <w:t>年</w:t>
      </w:r>
      <w:r w:rsidR="00203F72" w:rsidRPr="00145751">
        <w:t>4</w:t>
      </w:r>
      <w:r w:rsidR="00203F72" w:rsidRPr="00145751">
        <w:t>月，我國國防部長公開宣示台灣之飛彈，並未瞄準中國之長江三峽水壩</w:t>
      </w:r>
      <w:r w:rsidR="00203F72" w:rsidRPr="00145751">
        <w:footnoteReference w:id="329"/>
      </w:r>
      <w:r w:rsidR="00203F72" w:rsidRPr="00145751">
        <w:t>，此舉實相當符合</w:t>
      </w:r>
      <w:r w:rsidR="00203F72" w:rsidRPr="00145751">
        <w:t>1949</w:t>
      </w:r>
      <w:r w:rsidR="00203F72" w:rsidRPr="00145751">
        <w:t>年</w:t>
      </w:r>
      <w:r w:rsidR="00203F72" w:rsidRPr="00145751">
        <w:t>8</w:t>
      </w:r>
      <w:r w:rsidR="00203F72" w:rsidRPr="00145751">
        <w:t>月</w:t>
      </w:r>
      <w:r w:rsidR="00203F72" w:rsidRPr="00145751">
        <w:t>12</w:t>
      </w:r>
      <w:r w:rsidR="00203F72" w:rsidRPr="00145751">
        <w:t>日日內瓦四公約關於保護非國際性武裝衝突受難者的附加議定書（第二議定書）之精神，期望能透由本書之建議，強化我國於未來更加落實第二議定書之國際人道精神。</w:t>
      </w:r>
    </w:p>
    <w:p w14:paraId="705710D0" w14:textId="77777777" w:rsidR="00953151" w:rsidRPr="00145751" w:rsidRDefault="00480296" w:rsidP="00D87D91">
      <w:r w:rsidRPr="00145751">
        <w:t xml:space="preserve">　　</w:t>
      </w:r>
      <w:r w:rsidR="00203F72" w:rsidRPr="00145751">
        <w:t>從整體觀察，假若台灣以飛彈對長江三峽水壩或上海進行軍事攻擊，已明顯地違反</w:t>
      </w:r>
      <w:r w:rsidR="00203F72" w:rsidRPr="00145751">
        <w:t>1949</w:t>
      </w:r>
      <w:r w:rsidR="00203F72" w:rsidRPr="00145751">
        <w:t>年</w:t>
      </w:r>
      <w:r w:rsidR="00203F72" w:rsidRPr="00145751">
        <w:t>8</w:t>
      </w:r>
      <w:r w:rsidR="00203F72" w:rsidRPr="00145751">
        <w:t>月</w:t>
      </w:r>
      <w:r w:rsidR="00203F72" w:rsidRPr="00145751">
        <w:t>12</w:t>
      </w:r>
      <w:r w:rsidR="00203F72" w:rsidRPr="00145751">
        <w:t>日日內瓦四公約關於保護非國際性武裝衝突受難者的附加議定書（第二議定書）多項法律條文之規定及其精神，亦即，禁止屠殺或傷害非武裝之平民。是以，我國不宜隨美國之軍事政策而貿然行之</w:t>
      </w:r>
      <w:r w:rsidR="00203F72" w:rsidRPr="00145751">
        <w:t>(</w:t>
      </w:r>
      <w:r w:rsidR="00203F72" w:rsidRPr="00145751">
        <w:t>美國建議台灣以飛彈對長江三峽水壩或上海進行軍事攻擊</w:t>
      </w:r>
      <w:r w:rsidR="00203F72" w:rsidRPr="00145751">
        <w:t>)</w:t>
      </w:r>
      <w:r w:rsidR="00203F72" w:rsidRPr="00145751">
        <w:t>。</w:t>
      </w:r>
    </w:p>
    <w:p w14:paraId="572CEDE7" w14:textId="77777777" w:rsidR="00203F72" w:rsidRDefault="00480296" w:rsidP="00D87D91">
      <w:r w:rsidRPr="00145751">
        <w:t xml:space="preserve">　　</w:t>
      </w:r>
      <w:r w:rsidR="00203F72" w:rsidRPr="00145751">
        <w:t>上天有好生之德，故世界先進、文明與已開發之國家，對於人類的生命，均是非常珍惜。本書認為，中華民族兩岸的戰爭，是一場非常可悲及淒慘之事，兩岸如能先行透由經濟、學術、教育、宗教、農業、體育、藝文、、、等等非政治之漸次交流及統一，漸漸地由局部到全部，由個案到全面，在不違背兩岸人民的多數人民共同意志之下，於適當之時機下，運用中華民族五千多年來之仁愛及和平之手段，再逐步地、利平地達到政治上統一的目標，似乎是一條可行之路。目前，有所謂的中國和平發展理論，這是一個好的現象，中國透由和平演進、和平發展、和平躍進，進而有朝一日，用和平之方式領導世界，則更是兩岸人民之福。為了達到以上之目的，我國憲法應將戰爭明文定位為「防衛型」及「正義型」，而非主動攻擊型之戰爭。同時，我國憲法更應明文禁止發動侵略型之戰爭。</w:t>
      </w:r>
    </w:p>
    <w:p w14:paraId="71AF97F3" w14:textId="77777777" w:rsidR="00167967"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00E91F89">
        <w:rPr>
          <w:rFonts w:ascii="新細明體" w:hAnsi="新細明體"/>
          <w:color w:val="808000"/>
        </w:rPr>
        <w:t>〉〉</w:t>
      </w:r>
    </w:p>
    <w:p w14:paraId="786527BB" w14:textId="77777777" w:rsidR="003B41D4" w:rsidRPr="00145751" w:rsidRDefault="003B41D4" w:rsidP="00D87D91"/>
    <w:p w14:paraId="5BB224D9" w14:textId="77777777" w:rsidR="00203F72" w:rsidRPr="00DF415E" w:rsidRDefault="00203F72" w:rsidP="00767F37">
      <w:pPr>
        <w:pStyle w:val="2"/>
      </w:pPr>
      <w:bookmarkStart w:id="67" w:name="_第三章_論「保障毒品病患健康權」與「抗制毒品犯罪之刑事政策」之折衝與平"/>
      <w:bookmarkEnd w:id="67"/>
      <w:r w:rsidRPr="00DF415E">
        <w:t>第三章</w:t>
      </w:r>
      <w:r w:rsidRPr="00DF415E">
        <w:t xml:space="preserve"> </w:t>
      </w:r>
      <w:r w:rsidRPr="00DF415E">
        <w:t>論「保障毒品病患健康權」與「抗制毒品犯罪之刑事政策」之折衝與平衡</w:t>
      </w:r>
      <w:r w:rsidRPr="00DF415E">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14:paraId="5CC029E6" w14:textId="77777777" w:rsidTr="00203F72">
        <w:tc>
          <w:tcPr>
            <w:tcW w:w="8362" w:type="dxa"/>
            <w:shd w:val="clear" w:color="auto" w:fill="auto"/>
          </w:tcPr>
          <w:p w14:paraId="5C3C72AB" w14:textId="77777777" w:rsidR="00203F72" w:rsidRPr="00BE652C" w:rsidRDefault="00203F72" w:rsidP="00D87D91">
            <w:pPr>
              <w:rPr>
                <w:b/>
              </w:rPr>
            </w:pPr>
            <w:r w:rsidRPr="00BE652C">
              <w:rPr>
                <w:b/>
              </w:rPr>
              <w:t>目錄</w:t>
            </w:r>
          </w:p>
          <w:p w14:paraId="16080229" w14:textId="77777777" w:rsidR="00203F72" w:rsidRPr="00A53581" w:rsidRDefault="00480296" w:rsidP="00D87D91">
            <w:r>
              <w:t xml:space="preserve">　　</w:t>
            </w:r>
            <w:r w:rsidR="00203F72" w:rsidRPr="00A53581">
              <w:t>壹、前言</w:t>
            </w:r>
          </w:p>
          <w:p w14:paraId="4C4791EC" w14:textId="77777777" w:rsidR="00203F72" w:rsidRPr="00A53581" w:rsidRDefault="00480296" w:rsidP="00D87D91">
            <w:r>
              <w:t xml:space="preserve">　　</w:t>
            </w:r>
            <w:r w:rsidR="00203F72" w:rsidRPr="00A53581">
              <w:t>貮、毒品病患享有健康權</w:t>
            </w:r>
          </w:p>
          <w:p w14:paraId="70B5D8F5" w14:textId="77777777" w:rsidR="00203F72" w:rsidRPr="00A53581" w:rsidRDefault="00480296" w:rsidP="00D87D91">
            <w:r>
              <w:t xml:space="preserve">　　</w:t>
            </w:r>
            <w:r w:rsidR="00203F72" w:rsidRPr="00A53581">
              <w:t>參、清朝時期之毒品刑事政策</w:t>
            </w:r>
            <w:r w:rsidR="00203F72" w:rsidRPr="00A53581">
              <w:t>(1730</w:t>
            </w:r>
            <w:r w:rsidR="00203F72" w:rsidRPr="00A53581">
              <w:t>年至</w:t>
            </w:r>
            <w:r w:rsidR="00203F72" w:rsidRPr="00A53581">
              <w:t>1895</w:t>
            </w:r>
            <w:r w:rsidR="00203F72" w:rsidRPr="00A53581">
              <w:t>年</w:t>
            </w:r>
            <w:r w:rsidR="00203F72" w:rsidRPr="00A53581">
              <w:t xml:space="preserve">) </w:t>
            </w:r>
          </w:p>
          <w:p w14:paraId="0B512120" w14:textId="77777777" w:rsidR="00203F72" w:rsidRPr="00A53581" w:rsidRDefault="00480296" w:rsidP="00D87D91">
            <w:r>
              <w:t xml:space="preserve">　　</w:t>
            </w:r>
            <w:r w:rsidR="00203F72" w:rsidRPr="00A53581">
              <w:t>肆、日據時代之毒品刑事政策</w:t>
            </w:r>
            <w:r w:rsidR="00203F72" w:rsidRPr="00A53581">
              <w:t>(1895</w:t>
            </w:r>
            <w:r w:rsidR="00203F72" w:rsidRPr="00A53581">
              <w:t>年至</w:t>
            </w:r>
            <w:r w:rsidR="00203F72" w:rsidRPr="00A53581">
              <w:t>1945</w:t>
            </w:r>
            <w:r w:rsidR="00203F72" w:rsidRPr="00A53581">
              <w:t>年</w:t>
            </w:r>
            <w:r w:rsidR="00203F72" w:rsidRPr="00A53581">
              <w:t>)</w:t>
            </w:r>
            <w:r w:rsidR="00203F72" w:rsidRPr="00A53581">
              <w:tab/>
              <w:t xml:space="preserve"> </w:t>
            </w:r>
          </w:p>
          <w:p w14:paraId="42706E50" w14:textId="77777777" w:rsidR="00203F72" w:rsidRPr="00A53581" w:rsidRDefault="00480296" w:rsidP="00D87D91">
            <w:r>
              <w:t xml:space="preserve">　　</w:t>
            </w:r>
            <w:r w:rsidR="00203F72" w:rsidRPr="00A53581">
              <w:t>伍、</w:t>
            </w:r>
            <w:r w:rsidR="00203F72" w:rsidRPr="00A53581">
              <w:t>(</w:t>
            </w:r>
            <w:r w:rsidR="00203F72" w:rsidRPr="00A53581">
              <w:t>戡亂時期</w:t>
            </w:r>
            <w:r w:rsidR="00203F72" w:rsidRPr="00A53581">
              <w:t>)</w:t>
            </w:r>
            <w:r w:rsidR="00203F72" w:rsidRPr="00A53581">
              <w:t>肅清煙毒條例時期之毒品刑事政策</w:t>
            </w:r>
            <w:r w:rsidR="00203F72" w:rsidRPr="00A53581">
              <w:t>(1945</w:t>
            </w:r>
            <w:r w:rsidR="00203F72" w:rsidRPr="00A53581">
              <w:t>年至</w:t>
            </w:r>
            <w:r w:rsidR="00203F72" w:rsidRPr="00A53581">
              <w:t>1998</w:t>
            </w:r>
            <w:r w:rsidR="00203F72" w:rsidRPr="00A53581">
              <w:t>年</w:t>
            </w:r>
            <w:r w:rsidR="00203F72" w:rsidRPr="00A53581">
              <w:t>)</w:t>
            </w:r>
          </w:p>
          <w:p w14:paraId="6E44DAE9" w14:textId="77777777" w:rsidR="00203F72" w:rsidRPr="00A53581" w:rsidRDefault="00480296" w:rsidP="00D87D91">
            <w:r>
              <w:t xml:space="preserve">　　</w:t>
            </w:r>
            <w:r w:rsidR="00203F72" w:rsidRPr="00A53581">
              <w:t>陸、當前</w:t>
            </w:r>
            <w:hyperlink r:id="rId1617" w:history="1">
              <w:r w:rsidR="00BE652C" w:rsidRPr="00ED5438">
                <w:rPr>
                  <w:rStyle w:val="a5"/>
                  <w:rFonts w:ascii="Times New Roman" w:eastAsia="新細明體" w:hAnsi="Times New Roman"/>
                </w:rPr>
                <w:t>毒品危害防制條例</w:t>
              </w:r>
            </w:hyperlink>
            <w:r w:rsidR="00203F72" w:rsidRPr="00A53581">
              <w:t>時期之毒品刑事政策</w:t>
            </w:r>
            <w:r w:rsidR="00203F72" w:rsidRPr="00A53581">
              <w:t>(1998</w:t>
            </w:r>
            <w:r w:rsidR="00203F72" w:rsidRPr="00A53581">
              <w:t>年至迄今</w:t>
            </w:r>
            <w:r w:rsidR="00203F72" w:rsidRPr="00A53581">
              <w:t>)</w:t>
            </w:r>
          </w:p>
          <w:p w14:paraId="628F1367" w14:textId="77777777" w:rsidR="00203F72" w:rsidRPr="00A53581" w:rsidRDefault="00480296" w:rsidP="00D87D91">
            <w:r>
              <w:t xml:space="preserve">　　</w:t>
            </w:r>
            <w:r w:rsidR="00203F72" w:rsidRPr="00A53581">
              <w:t>柒、我國毒品施用行為之刑事政策之檢討與未來可行之發展</w:t>
            </w:r>
          </w:p>
          <w:p w14:paraId="25E852E0" w14:textId="77777777" w:rsidR="00203F72" w:rsidRPr="00A53581" w:rsidRDefault="00480296" w:rsidP="00D87D91">
            <w:r>
              <w:t xml:space="preserve">　　</w:t>
            </w:r>
            <w:r w:rsidR="00203F72" w:rsidRPr="00A53581">
              <w:t>捌、結論與建議</w:t>
            </w:r>
          </w:p>
        </w:tc>
      </w:tr>
    </w:tbl>
    <w:p w14:paraId="5314442E" w14:textId="77777777" w:rsidR="00203F72" w:rsidRPr="00A53581" w:rsidRDefault="00203F72" w:rsidP="00D87D91"/>
    <w:p w14:paraId="4B887A91" w14:textId="77777777"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8"/>
      </w:tblGrid>
      <w:tr w:rsidR="00203F72" w:rsidRPr="00A53581" w14:paraId="5072260D" w14:textId="77777777" w:rsidTr="00203F72">
        <w:tc>
          <w:tcPr>
            <w:tcW w:w="8368" w:type="dxa"/>
            <w:shd w:val="clear" w:color="auto" w:fill="auto"/>
          </w:tcPr>
          <w:p w14:paraId="4DD2EF0E" w14:textId="77777777" w:rsidR="00203F72" w:rsidRPr="00BE652C" w:rsidRDefault="00203F72" w:rsidP="00D87D91">
            <w:pPr>
              <w:rPr>
                <w:b/>
              </w:rPr>
            </w:pPr>
            <w:r w:rsidRPr="00BE652C">
              <w:rPr>
                <w:b/>
              </w:rPr>
              <w:t>中文摘要</w:t>
            </w:r>
          </w:p>
          <w:p w14:paraId="3029D8E2" w14:textId="77777777" w:rsidR="00203F72" w:rsidRPr="00A53581" w:rsidRDefault="00480296" w:rsidP="00D87D91">
            <w:r>
              <w:t xml:space="preserve">　　</w:t>
            </w:r>
            <w:r w:rsidR="00203F72" w:rsidRPr="00A53581">
              <w:t>台灣從</w:t>
            </w:r>
            <w:r w:rsidR="00203F72" w:rsidRPr="00A53581">
              <w:t>1730</w:t>
            </w:r>
            <w:r w:rsidR="00203F72" w:rsidRPr="00A53581">
              <w:t>年開始，清朝政府正式將販運鴉片加以犯罪化，開始以刑罰打擊毒品犯罪。從</w:t>
            </w:r>
            <w:r w:rsidR="00203F72" w:rsidRPr="00A53581">
              <w:t>1730</w:t>
            </w:r>
            <w:r w:rsidR="00203F72" w:rsidRPr="00A53581">
              <w:t>年迄今，共經歷近約</w:t>
            </w:r>
            <w:r w:rsidR="00203F72" w:rsidRPr="00A53581">
              <w:t>300</w:t>
            </w:r>
            <w:r w:rsidR="00203F72" w:rsidRPr="00A53581">
              <w:t>年，我國毒品刑事政策歷經不同之統治政府及年代，產生不同之變化</w:t>
            </w:r>
            <w:r w:rsidR="00203F72" w:rsidRPr="00A53581">
              <w:t>(</w:t>
            </w:r>
            <w:r w:rsidR="00203F72" w:rsidRPr="00A53581">
              <w:t>流變</w:t>
            </w:r>
            <w:r w:rsidR="00203F72" w:rsidRPr="00A53581">
              <w:t>)</w:t>
            </w:r>
            <w:r w:rsidR="00203F72" w:rsidRPr="00A53581">
              <w:t>。在</w:t>
            </w:r>
            <w:r w:rsidR="00203F72" w:rsidRPr="00A53581">
              <w:t>1998</w:t>
            </w:r>
            <w:r w:rsidR="00203F72" w:rsidRPr="00A53581">
              <w:t>年</w:t>
            </w:r>
            <w:r w:rsidR="00203F72" w:rsidRPr="00A53581">
              <w:t>5</w:t>
            </w:r>
            <w:r w:rsidR="00203F72" w:rsidRPr="00A53581">
              <w:t>月以後，台灣將肅清煙毒條例修正為</w:t>
            </w:r>
            <w:hyperlink r:id="rId1618" w:history="1">
              <w:r w:rsidR="00BE652C" w:rsidRPr="00ED5438">
                <w:rPr>
                  <w:rStyle w:val="a5"/>
                  <w:rFonts w:ascii="Times New Roman" w:eastAsia="新細明體" w:hAnsi="Times New Roman"/>
                </w:rPr>
                <w:t>毒品危害防制條例</w:t>
              </w:r>
            </w:hyperlink>
            <w:r w:rsidR="00203F72" w:rsidRPr="00A53581">
              <w:t>，對於毒品病犯確認其具有雙重身分，一為犯罪人，另一為病人，毒品刑事政策改為除刑不除罪，開啟台灣反毒戰爭之另外一個非常嶄新的新紀元。就台灣未來毒品施用行為之刑事政策可行的發展方向而論，本書建議如下：</w:t>
            </w:r>
            <w:r w:rsidR="00203F72" w:rsidRPr="00A53581">
              <w:t>1</w:t>
            </w:r>
            <w:r w:rsidR="00203F72" w:rsidRPr="00A53581">
              <w:t>、宜同時運用刑罰與醫療手段抗制施用毒品之犯罪行為，並重</w:t>
            </w:r>
            <w:r w:rsidR="003E240E">
              <w:t>視</w:t>
            </w:r>
            <w:r w:rsidR="00203F72" w:rsidRPr="00A53581">
              <w:t>毒品病患享有健康權；</w:t>
            </w:r>
            <w:r w:rsidR="00203F72" w:rsidRPr="00A53581">
              <w:t>2</w:t>
            </w:r>
            <w:r w:rsidR="00203F72" w:rsidRPr="00A53581">
              <w:t>、政府公權力針對行為人之毒品成癮性部分，宜提早加以行政介入，強制行為人接受毒品成癮性之戒治；</w:t>
            </w:r>
            <w:r w:rsidR="00203F72" w:rsidRPr="00A53581">
              <w:t>3</w:t>
            </w:r>
            <w:r w:rsidR="00203F72" w:rsidRPr="00A53581">
              <w:t>、持續推展毒品病患「「緩起訴替代療法」」計畫；</w:t>
            </w:r>
            <w:r w:rsidR="00203F72" w:rsidRPr="00A53581">
              <w:t>4</w:t>
            </w:r>
            <w:r w:rsidR="00203F72" w:rsidRPr="00A53581">
              <w:t>、宜大幅提高對於施用第</w:t>
            </w:r>
            <w:r w:rsidR="00203F72" w:rsidRPr="00A53581">
              <w:t>3</w:t>
            </w:r>
            <w:r w:rsidR="00203F72" w:rsidRPr="00A53581">
              <w:t>級及第</w:t>
            </w:r>
            <w:r w:rsidR="00203F72" w:rsidRPr="00A53581">
              <w:t>4</w:t>
            </w:r>
            <w:r w:rsidR="00203F72" w:rsidRPr="00A53581">
              <w:t>級毒品之行政罰鍰額度及增強管理力道；</w:t>
            </w:r>
            <w:r w:rsidR="00203F72" w:rsidRPr="00A53581">
              <w:t>5</w:t>
            </w:r>
            <w:r w:rsidR="00203F72" w:rsidRPr="00A53581">
              <w:t>、除刑不除罪之毒品刑事政策，係一良善之反毒戰略，不宜貿然地將施用毒品之行為加以除罪化。</w:t>
            </w:r>
            <w:r w:rsidR="00203F72" w:rsidRPr="00A53581">
              <w:t>6</w:t>
            </w:r>
            <w:r w:rsidR="00203F72" w:rsidRPr="00A53581">
              <w:t>、台灣是否有必要引進及實施毒品注射室，因本項措施極具高度爭議性，宜再加以深入研究為佳。</w:t>
            </w:r>
          </w:p>
        </w:tc>
      </w:tr>
    </w:tbl>
    <w:p w14:paraId="462A934B" w14:textId="77777777" w:rsidR="00953151" w:rsidRDefault="00480296" w:rsidP="00D87D91">
      <w:r w:rsidRPr="00480296">
        <w:rPr>
          <w:rFonts w:hint="eastAsia"/>
        </w:rPr>
        <w:t>【</w:t>
      </w:r>
      <w:r w:rsidR="00203F72" w:rsidRPr="00A53581">
        <w:t>中文關鍵詞</w:t>
      </w:r>
      <w:r w:rsidR="0039258A" w:rsidRPr="0039258A">
        <w:rPr>
          <w:rFonts w:hint="eastAsia"/>
        </w:rPr>
        <w:t>】</w:t>
      </w:r>
      <w:r w:rsidR="00203F72" w:rsidRPr="00A53581">
        <w:t>毒品、刑事政策、</w:t>
      </w:r>
      <w:hyperlink r:id="rId1619" w:history="1">
        <w:r w:rsidR="00BE652C" w:rsidRPr="00ED5438">
          <w:rPr>
            <w:rStyle w:val="a5"/>
            <w:rFonts w:ascii="Times New Roman" w:eastAsia="新細明體" w:hAnsi="Times New Roman"/>
          </w:rPr>
          <w:t>肅清煙毒條例</w:t>
        </w:r>
      </w:hyperlink>
      <w:r w:rsidR="00203F72" w:rsidRPr="00A53581">
        <w:t>、</w:t>
      </w:r>
      <w:hyperlink r:id="rId1620" w:history="1">
        <w:r w:rsidR="00BE652C" w:rsidRPr="00ED5438">
          <w:rPr>
            <w:rStyle w:val="a5"/>
            <w:rFonts w:ascii="Times New Roman" w:eastAsia="新細明體" w:hAnsi="Times New Roman"/>
          </w:rPr>
          <w:t>毒品危害防制條例</w:t>
        </w:r>
      </w:hyperlink>
      <w:r w:rsidR="00203F72" w:rsidRPr="00A53581">
        <w:t>、毒品刑事政策、合法化、除罪化、犯罪化</w:t>
      </w:r>
    </w:p>
    <w:p w14:paraId="6A618487" w14:textId="77777777"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8"/>
      </w:tblGrid>
      <w:tr w:rsidR="00203F72" w:rsidRPr="00A53581" w14:paraId="245AD378" w14:textId="77777777" w:rsidTr="00203F72">
        <w:tc>
          <w:tcPr>
            <w:tcW w:w="8368" w:type="dxa"/>
            <w:shd w:val="clear" w:color="auto" w:fill="auto"/>
          </w:tcPr>
          <w:p w14:paraId="3A26188B" w14:textId="77777777" w:rsidR="00203F72" w:rsidRPr="00254E32" w:rsidRDefault="00203F72" w:rsidP="00D87D91">
            <w:r w:rsidRPr="00254E32">
              <w:t>English Abstract</w:t>
            </w:r>
          </w:p>
          <w:p w14:paraId="62885CBE" w14:textId="77777777" w:rsidR="00203F72" w:rsidRPr="00A53581" w:rsidRDefault="00480296" w:rsidP="00D87D91">
            <w:r>
              <w:rPr>
                <w:rStyle w:val="longtext"/>
                <w:rFonts w:ascii="新細明體" w:hAnsi="新細明體"/>
                <w:shd w:val="clear" w:color="auto" w:fill="FFFFFF"/>
              </w:rPr>
              <w:t xml:space="preserve">　　</w:t>
            </w:r>
            <w:r w:rsidR="00203F72" w:rsidRPr="00A53581">
              <w:rPr>
                <w:rStyle w:val="longtext"/>
                <w:rFonts w:ascii="新細明體" w:hAnsi="新細明體"/>
                <w:shd w:val="clear" w:color="auto" w:fill="FFFFFF"/>
              </w:rPr>
              <w:t xml:space="preserve">Starting from 1730, the Qing government formally began to criminalize the opium trafficking , and put the penalty to previous trafficking behavior in Taiwan area. From 1730 to date, a total of nearly 300 years, our drug criminal policies have been implemented by different governments and resulted diverse rheology. After May 1998 year , Taiwan had corrected Purging Narcotics Act to </w:t>
            </w:r>
            <w:r w:rsidR="00203F72" w:rsidRPr="00A53581">
              <w:t xml:space="preserve">Narcotics Endangerment Prevention Act, and confirmed the </w:t>
            </w:r>
            <w:r w:rsidR="00203F72" w:rsidRPr="00A53581">
              <w:rPr>
                <w:rStyle w:val="longtext"/>
                <w:rFonts w:ascii="新細明體" w:hAnsi="新細明體"/>
                <w:shd w:val="clear" w:color="auto" w:fill="FFFFFF"/>
              </w:rPr>
              <w:t xml:space="preserve">drug users to have the dual identities which one role is the perpetrator and the other is patient. The drug criminal policy has changed to remove penalty but still preserve the crime for drug using. Drug war on Taiwan initiated a very new era. For the future, the feasible and possible developments of drug criminal policies for drug using are suggested by this article as the following: 1, the government should continuously apply both the penalty and medical treatment system for countering the drug using behavior; 2, the public authorities may intervene into the drug addiction of the perpetrators earlier by public powers in order to compel the drug users who have the drug addiction to accept proper drug therapies; 3, the government may continue to implement the efficient “ suspending prosecution for alternative therapy program”; 4, the government should enhance the amount of administrative fines and management strength of the tier 3 and 4 drugs; 5, the drug criminal policy of removing penalty but not decriminalization for drug using behavior is a good anti-drug strategy; the government should not rush to decriminalize the drug using behavior; </w:t>
            </w:r>
            <w:r w:rsidR="00203F72" w:rsidRPr="00A53581">
              <w:rPr>
                <w:rStyle w:val="longtext"/>
                <w:rFonts w:ascii="新細明體" w:hAnsi="新細明體"/>
              </w:rPr>
              <w:t>6, owing to the controversy of drug injection site and breaking the international anti-drug law, it will be better to undergo more advanced studies in order to decide whether it is necessary to introduce and implement previous measure into Taiwan.</w:t>
            </w:r>
          </w:p>
        </w:tc>
      </w:tr>
    </w:tbl>
    <w:p w14:paraId="4B6F7264" w14:textId="77777777" w:rsidR="00953151" w:rsidRDefault="00480296" w:rsidP="00D87D91">
      <w:r w:rsidRPr="00480296">
        <w:rPr>
          <w:rFonts w:hint="eastAsia"/>
        </w:rPr>
        <w:t>【</w:t>
      </w:r>
      <w:r w:rsidR="00203F72" w:rsidRPr="00A53581">
        <w:t>English Keywords</w:t>
      </w:r>
      <w:r w:rsidR="0039258A" w:rsidRPr="0039258A">
        <w:rPr>
          <w:rFonts w:hint="eastAsia"/>
        </w:rPr>
        <w:t>】</w:t>
      </w:r>
      <w:r w:rsidR="00203F72" w:rsidRPr="00A53581">
        <w:t xml:space="preserve">drug, criminal policy, </w:t>
      </w:r>
      <w:r w:rsidR="00203F72" w:rsidRPr="00A53581">
        <w:rPr>
          <w:rStyle w:val="longtext"/>
          <w:rFonts w:ascii="新細明體" w:hAnsi="新細明體"/>
          <w:shd w:val="clear" w:color="auto" w:fill="FFFFFF"/>
        </w:rPr>
        <w:t xml:space="preserve">Purging Narcotics Act, </w:t>
      </w:r>
      <w:r w:rsidR="00203F72" w:rsidRPr="00A53581">
        <w:t>Narcotics Endangerment Prevention Act, drug criminal policy, legalization, decriminalization, criminalize</w:t>
      </w:r>
    </w:p>
    <w:p w14:paraId="0D845154" w14:textId="77777777" w:rsidR="003B41D4" w:rsidRDefault="003B41D4" w:rsidP="00670577">
      <w:pPr>
        <w:jc w:val="right"/>
        <w:rPr>
          <w:rFonts w:ascii="新細明體" w:hAnsi="新細明體"/>
        </w:rPr>
      </w:pPr>
      <w:r w:rsidRPr="0026266A">
        <w:rPr>
          <w:rFonts w:hint="eastAsia"/>
        </w:rPr>
        <w:t>。。。。。。。。。。。。。。。。。。。。。。。。。</w:t>
      </w:r>
      <w:hyperlink w:anchor="a目次33" w:history="1">
        <w:r>
          <w:rPr>
            <w:rStyle w:val="a5"/>
            <w:sz w:val="18"/>
          </w:rPr>
          <w:t>回目次</w:t>
        </w:r>
      </w:hyperlink>
      <w:r w:rsidR="00E91F89">
        <w:rPr>
          <w:rFonts w:ascii="新細明體" w:hAnsi="新細明體"/>
          <w:color w:val="808000"/>
        </w:rPr>
        <w:t>〉〉</w:t>
      </w:r>
    </w:p>
    <w:p w14:paraId="2830C5AE" w14:textId="77777777" w:rsidR="00203F72" w:rsidRPr="00A53581" w:rsidRDefault="00203F72" w:rsidP="00767F37">
      <w:pPr>
        <w:pStyle w:val="2"/>
      </w:pPr>
      <w:bookmarkStart w:id="68" w:name="_壹、前言"/>
      <w:bookmarkEnd w:id="68"/>
      <w:r w:rsidRPr="00A53581">
        <w:t>壹、前言</w:t>
      </w:r>
    </w:p>
    <w:p w14:paraId="721C6698" w14:textId="77777777" w:rsidR="00953151" w:rsidRDefault="00480296" w:rsidP="00D87D91">
      <w:r>
        <w:t xml:space="preserve">　　</w:t>
      </w:r>
      <w:r w:rsidR="00203F72" w:rsidRPr="00A53581">
        <w:t>台灣從</w:t>
      </w:r>
      <w:r w:rsidR="00203F72" w:rsidRPr="00A53581">
        <w:t>1730</w:t>
      </w:r>
      <w:r w:rsidR="00203F72" w:rsidRPr="00A53581">
        <w:t>年開始，清朝政府正式將販運鴉片加以犯罪化，開始以刑罰打擊毒品犯罪。從</w:t>
      </w:r>
      <w:r w:rsidR="00203F72" w:rsidRPr="00A53581">
        <w:t>1730</w:t>
      </w:r>
      <w:r w:rsidR="00203F72" w:rsidRPr="00A53581">
        <w:t>年迄今，共經歷近約</w:t>
      </w:r>
      <w:r w:rsidR="00203F72" w:rsidRPr="00A53581">
        <w:t>300</w:t>
      </w:r>
      <w:r w:rsidR="00203F72" w:rsidRPr="00A53581">
        <w:t>年，我國毒品刑事政策歷經不同之統治政府及年代，產生不同之變化</w:t>
      </w:r>
      <w:r w:rsidR="00203F72" w:rsidRPr="00A53581">
        <w:t>(</w:t>
      </w:r>
      <w:r w:rsidR="00203F72" w:rsidRPr="00A53581">
        <w:t>流變</w:t>
      </w:r>
      <w:r w:rsidR="00203F72" w:rsidRPr="00A53581">
        <w:t>)</w:t>
      </w:r>
      <w:r w:rsidR="00203F72" w:rsidRPr="00A53581">
        <w:t>。在民國</w:t>
      </w:r>
      <w:r w:rsidR="00203F72" w:rsidRPr="00A53581">
        <w:t>87</w:t>
      </w:r>
      <w:r w:rsidR="00203F72" w:rsidRPr="00A53581">
        <w:t>年</w:t>
      </w:r>
      <w:r w:rsidR="00203F72" w:rsidRPr="00A53581">
        <w:t>(1998</w:t>
      </w:r>
      <w:r w:rsidR="00203F72" w:rsidRPr="00A53581">
        <w:t>年</w:t>
      </w:r>
      <w:r w:rsidR="00203F72" w:rsidRPr="00A53581">
        <w:t>)5</w:t>
      </w:r>
      <w:r w:rsidR="00203F72" w:rsidRPr="00A53581">
        <w:t>月以後，我國將肅清煙毒條例修正為</w:t>
      </w:r>
      <w:hyperlink r:id="rId1621" w:history="1">
        <w:r w:rsidR="00BE652C" w:rsidRPr="00ED5438">
          <w:rPr>
            <w:rStyle w:val="a5"/>
            <w:rFonts w:ascii="Times New Roman" w:eastAsia="新細明體" w:hAnsi="Times New Roman"/>
          </w:rPr>
          <w:t>毒品危害防制條例</w:t>
        </w:r>
      </w:hyperlink>
      <w:r w:rsidR="00203F72" w:rsidRPr="00A53581">
        <w:t>，對於毒品犯確認其具有雙重身分，一為犯罪人，另一為病犯，毒品刑事政策改為除刑不除罪，開啟我國反毒之另外一個嶄新的新紀元。</w:t>
      </w:r>
    </w:p>
    <w:p w14:paraId="4698D2E0" w14:textId="77777777" w:rsidR="00953151" w:rsidRDefault="0039258A" w:rsidP="00D87D91">
      <w:r>
        <w:t xml:space="preserve">　　</w:t>
      </w:r>
      <w:r w:rsidR="00203F72" w:rsidRPr="00A53581">
        <w:t>在台灣毒品刑事政策的內涵演進部份，就整個刑事政策的進展過程中，約略可以分為</w:t>
      </w:r>
      <w:r w:rsidR="00203F72" w:rsidRPr="00A53581">
        <w:t>4</w:t>
      </w:r>
      <w:r w:rsidR="00203F72" w:rsidRPr="00A53581">
        <w:t>個時期：清朝治台時期</w:t>
      </w:r>
      <w:r w:rsidR="00203F72" w:rsidRPr="00A53581">
        <w:t>(1730</w:t>
      </w:r>
      <w:r w:rsidR="00203F72" w:rsidRPr="00A53581">
        <w:t>至</w:t>
      </w:r>
      <w:r w:rsidR="00203F72" w:rsidRPr="00A53581">
        <w:t>1895</w:t>
      </w:r>
      <w:r w:rsidR="00203F72" w:rsidRPr="00A53581">
        <w:t>年</w:t>
      </w:r>
      <w:r w:rsidR="00203F72" w:rsidRPr="00A53581">
        <w:t>)</w:t>
      </w:r>
      <w:r w:rsidR="00203F72" w:rsidRPr="00A53581">
        <w:t>、日據時代</w:t>
      </w:r>
      <w:r w:rsidR="00203F72" w:rsidRPr="00A53581">
        <w:t>(1895</w:t>
      </w:r>
      <w:r w:rsidR="00203F72" w:rsidRPr="00A53581">
        <w:t>年至</w:t>
      </w:r>
      <w:r w:rsidR="00203F72" w:rsidRPr="00A53581">
        <w:t>1945</w:t>
      </w:r>
      <w:r w:rsidR="00203F72" w:rsidRPr="00A53581">
        <w:t>年</w:t>
      </w:r>
      <w:r w:rsidR="00203F72" w:rsidRPr="00A53581">
        <w:t>)</w:t>
      </w:r>
      <w:r w:rsidR="00203F72" w:rsidRPr="00A53581">
        <w:t>、</w:t>
      </w:r>
      <w:r w:rsidR="00203F72" w:rsidRPr="00A53581">
        <w:t>(</w:t>
      </w:r>
      <w:r w:rsidR="00203F72" w:rsidRPr="00A53581">
        <w:t>戡亂時期</w:t>
      </w:r>
      <w:r w:rsidR="00203F72" w:rsidRPr="00A53581">
        <w:t>)</w:t>
      </w:r>
      <w:r w:rsidR="00203F72" w:rsidRPr="00A53581">
        <w:t>肅清煙毒條例時期</w:t>
      </w:r>
      <w:r w:rsidR="00203F72" w:rsidRPr="00A53581">
        <w:t>(1945</w:t>
      </w:r>
      <w:r w:rsidR="00203F72" w:rsidRPr="00A53581">
        <w:t>年至</w:t>
      </w:r>
      <w:r w:rsidR="00203F72" w:rsidRPr="00A53581">
        <w:t>1998</w:t>
      </w:r>
      <w:r w:rsidR="00203F72" w:rsidRPr="00A53581">
        <w:t>年</w:t>
      </w:r>
      <w:r w:rsidR="00203F72" w:rsidRPr="00A53581">
        <w:t>)</w:t>
      </w:r>
      <w:r w:rsidR="00203F72" w:rsidRPr="00A53581">
        <w:t>及</w:t>
      </w:r>
      <w:hyperlink r:id="rId1622" w:history="1">
        <w:r w:rsidR="00BE652C" w:rsidRPr="00ED5438">
          <w:rPr>
            <w:rStyle w:val="a5"/>
            <w:rFonts w:ascii="Times New Roman" w:eastAsia="新細明體" w:hAnsi="Times New Roman"/>
          </w:rPr>
          <w:t>毒品危害防制條例</w:t>
        </w:r>
      </w:hyperlink>
      <w:r w:rsidR="00203F72" w:rsidRPr="00A53581">
        <w:t>時期</w:t>
      </w:r>
      <w:r w:rsidR="00203F72" w:rsidRPr="00A53581">
        <w:t>(1998</w:t>
      </w:r>
      <w:r w:rsidR="00203F72" w:rsidRPr="00A53581">
        <w:t>年至迄今</w:t>
      </w:r>
      <w:r w:rsidR="00203F72" w:rsidRPr="00A53581">
        <w:t>)</w:t>
      </w:r>
      <w:r w:rsidR="00203F72" w:rsidRPr="00A53581">
        <w:t>。</w:t>
      </w:r>
    </w:p>
    <w:p w14:paraId="6FDEA660" w14:textId="77777777" w:rsidR="003B41D4" w:rsidRDefault="003B41D4" w:rsidP="00445210">
      <w:pPr>
        <w:jc w:val="right"/>
        <w:rPr>
          <w:rFonts w:ascii="新細明體" w:hAnsi="新細明體"/>
        </w:rPr>
      </w:pPr>
      <w:r w:rsidRPr="0026266A">
        <w:rPr>
          <w:rFonts w:hint="eastAsia"/>
        </w:rPr>
        <w:t>。。。。。。。。。。。。。。。。。。。。。。。。。</w:t>
      </w:r>
      <w:hyperlink w:anchor="a目次33" w:history="1">
        <w:r>
          <w:rPr>
            <w:rStyle w:val="a5"/>
            <w:sz w:val="18"/>
          </w:rPr>
          <w:t>回目次</w:t>
        </w:r>
      </w:hyperlink>
      <w:r w:rsidR="00E91F89">
        <w:rPr>
          <w:rFonts w:ascii="新細明體" w:hAnsi="新細明體"/>
          <w:color w:val="808000"/>
        </w:rPr>
        <w:t>〉〉</w:t>
      </w:r>
    </w:p>
    <w:p w14:paraId="4BA1AA42" w14:textId="77777777" w:rsidR="00203F72" w:rsidRPr="00A53581" w:rsidRDefault="00203F72" w:rsidP="00767F37">
      <w:pPr>
        <w:pStyle w:val="2"/>
      </w:pPr>
      <w:bookmarkStart w:id="69" w:name="_貮、毒品病患享有健康權"/>
      <w:bookmarkEnd w:id="69"/>
      <w:r w:rsidRPr="00A53581">
        <w:t>貮、毒品病患享有健康權</w:t>
      </w:r>
    </w:p>
    <w:p w14:paraId="140D89B6" w14:textId="77777777" w:rsidR="00953151" w:rsidRPr="00515D85" w:rsidRDefault="0039258A" w:rsidP="00D87D91">
      <w:r w:rsidRPr="00515D85">
        <w:t xml:space="preserve">　　</w:t>
      </w:r>
      <w:r w:rsidR="00203F72" w:rsidRPr="00515D85">
        <w:t>世界衛生組織憲章序言之中，對健康的定義，係為：</w:t>
      </w:r>
      <w:r w:rsidR="00203F72" w:rsidRPr="00515D85">
        <w:t>“</w:t>
      </w:r>
      <w:r w:rsidR="00203F72" w:rsidRPr="00515D85">
        <w:t>完全的身體、精神和社會安康，而非僅是沒有疾病或衰弱</w:t>
      </w:r>
      <w:r w:rsidR="00203F72" w:rsidRPr="00515D85">
        <w:t>”</w:t>
      </w:r>
      <w:r w:rsidR="00203F72" w:rsidRPr="00515D85">
        <w:t>。健康權在很多國際文書中得到承認，諸如：「世界人權宣言」</w:t>
      </w:r>
      <w:hyperlink r:id="rId1623" w:anchor="a25" w:history="1">
        <w:r w:rsidR="00203F72" w:rsidRPr="001B1539">
          <w:rPr>
            <w:rStyle w:val="a5"/>
            <w:rFonts w:ascii="Times New Roman" w:hAnsi="Times New Roman"/>
          </w:rPr>
          <w:t>第</w:t>
        </w:r>
        <w:r w:rsidR="00203F72" w:rsidRPr="001B1539">
          <w:rPr>
            <w:rStyle w:val="a5"/>
            <w:rFonts w:ascii="Times New Roman" w:hAnsi="Times New Roman"/>
          </w:rPr>
          <w:t>25</w:t>
        </w:r>
        <w:r w:rsidR="00203F72" w:rsidRPr="001B1539">
          <w:rPr>
            <w:rStyle w:val="a5"/>
            <w:rFonts w:ascii="Times New Roman" w:hAnsi="Times New Roman"/>
          </w:rPr>
          <w:t>條</w:t>
        </w:r>
      </w:hyperlink>
      <w:r w:rsidR="00203F72" w:rsidRPr="00515D85">
        <w:t>第</w:t>
      </w:r>
      <w:r w:rsidR="00203F72" w:rsidRPr="00515D85">
        <w:t>1</w:t>
      </w:r>
      <w:r w:rsidR="00203F72" w:rsidRPr="00515D85">
        <w:t>款</w:t>
      </w:r>
      <w:r w:rsidR="00203F72" w:rsidRPr="00515D85">
        <w:footnoteReference w:id="330"/>
      </w:r>
      <w:r w:rsidR="00203F72" w:rsidRPr="00515D85">
        <w:t>；</w:t>
      </w:r>
      <w:r w:rsidR="00203F72" w:rsidRPr="00515D85">
        <w:t>1956</w:t>
      </w:r>
      <w:r w:rsidR="00203F72" w:rsidRPr="00515D85">
        <w:t>年的「消除一切形式種族歧</w:t>
      </w:r>
      <w:r w:rsidR="003E240E">
        <w:t>視</w:t>
      </w:r>
      <w:r w:rsidR="00203F72" w:rsidRPr="00515D85">
        <w:t>國際公約」</w:t>
      </w:r>
      <w:hyperlink r:id="rId1624" w:anchor="a5" w:history="1">
        <w:r w:rsidR="00203F72" w:rsidRPr="005D664B">
          <w:rPr>
            <w:rStyle w:val="a5"/>
            <w:rFonts w:ascii="Times New Roman" w:eastAsia="新細明體" w:hAnsi="Times New Roman"/>
          </w:rPr>
          <w:t>第</w:t>
        </w:r>
        <w:r w:rsidR="00203F72" w:rsidRPr="005D664B">
          <w:rPr>
            <w:rStyle w:val="a5"/>
            <w:rFonts w:ascii="Times New Roman" w:eastAsia="新細明體" w:hAnsi="Times New Roman"/>
          </w:rPr>
          <w:t>5</w:t>
        </w:r>
        <w:r w:rsidR="00203F72" w:rsidRPr="005D664B">
          <w:rPr>
            <w:rStyle w:val="a5"/>
            <w:rFonts w:ascii="Times New Roman" w:eastAsia="新細明體" w:hAnsi="Times New Roman"/>
          </w:rPr>
          <w:t>條</w:t>
        </w:r>
      </w:hyperlink>
      <w:r w:rsidR="00203F72" w:rsidRPr="00515D85">
        <w:t>(e)(4)</w:t>
      </w:r>
      <w:r w:rsidR="00203F72" w:rsidRPr="00515D85">
        <w:t>；</w:t>
      </w:r>
      <w:r w:rsidR="00203F72" w:rsidRPr="00515D85">
        <w:t>1979</w:t>
      </w:r>
      <w:r w:rsidR="00203F72" w:rsidRPr="00515D85">
        <w:t>年「消除對婦女一切形式歧</w:t>
      </w:r>
      <w:r w:rsidR="003E240E">
        <w:t>視</w:t>
      </w:r>
      <w:r w:rsidR="00203F72" w:rsidRPr="00515D85">
        <w:t>公約」</w:t>
      </w:r>
      <w:hyperlink r:id="rId1625" w:anchor="a11" w:history="1">
        <w:r w:rsidR="00203F72" w:rsidRPr="00DC1C0D">
          <w:rPr>
            <w:rStyle w:val="a5"/>
            <w:rFonts w:ascii="Times New Roman" w:hAnsi="Times New Roman"/>
          </w:rPr>
          <w:t>第</w:t>
        </w:r>
        <w:r w:rsidR="00203F72" w:rsidRPr="00DC1C0D">
          <w:rPr>
            <w:rStyle w:val="a5"/>
            <w:rFonts w:ascii="Times New Roman" w:hAnsi="Times New Roman"/>
          </w:rPr>
          <w:t>11</w:t>
        </w:r>
        <w:r w:rsidR="00203F72" w:rsidRPr="00DC1C0D">
          <w:rPr>
            <w:rStyle w:val="a5"/>
            <w:rFonts w:ascii="Times New Roman" w:hAnsi="Times New Roman"/>
          </w:rPr>
          <w:t>條</w:t>
        </w:r>
      </w:hyperlink>
      <w:r w:rsidR="00203F72" w:rsidRPr="00515D85">
        <w:t>第</w:t>
      </w:r>
      <w:r w:rsidR="00203F72" w:rsidRPr="00515D85">
        <w:t>1</w:t>
      </w:r>
      <w:r w:rsidR="00203F72" w:rsidRPr="00515D85">
        <w:t>款</w:t>
      </w:r>
      <w:r w:rsidR="00203F72" w:rsidRPr="00515D85">
        <w:t>(f)</w:t>
      </w:r>
      <w:r w:rsidR="00203F72" w:rsidRPr="00515D85">
        <w:t>及第</w:t>
      </w:r>
      <w:r w:rsidR="00203F72" w:rsidRPr="00515D85">
        <w:t>12</w:t>
      </w:r>
      <w:r w:rsidR="00203F72" w:rsidRPr="00515D85">
        <w:t>條；</w:t>
      </w:r>
      <w:r w:rsidR="00203F72" w:rsidRPr="00515D85">
        <w:t>1989</w:t>
      </w:r>
      <w:r w:rsidR="00203F72" w:rsidRPr="00515D85">
        <w:t>年「兒童權利公約」</w:t>
      </w:r>
      <w:hyperlink r:id="rId1626" w:anchor="a24" w:history="1">
        <w:r w:rsidR="00203F72" w:rsidRPr="00DF3454">
          <w:rPr>
            <w:rStyle w:val="a5"/>
            <w:rFonts w:ascii="Times New Roman" w:hAnsi="Times New Roman"/>
          </w:rPr>
          <w:t>第</w:t>
        </w:r>
        <w:r w:rsidR="00203F72" w:rsidRPr="00DF3454">
          <w:rPr>
            <w:rStyle w:val="a5"/>
            <w:rFonts w:ascii="Times New Roman" w:hAnsi="Times New Roman"/>
          </w:rPr>
          <w:t>24</w:t>
        </w:r>
        <w:r w:rsidR="00203F72" w:rsidRPr="00DF3454">
          <w:rPr>
            <w:rStyle w:val="a5"/>
            <w:rFonts w:ascii="Times New Roman" w:hAnsi="Times New Roman"/>
          </w:rPr>
          <w:t>條</w:t>
        </w:r>
      </w:hyperlink>
      <w:r w:rsidR="00203F72" w:rsidRPr="00515D85">
        <w:t>；修訂的</w:t>
      </w:r>
      <w:r w:rsidR="00203F72" w:rsidRPr="00515D85">
        <w:t>1961</w:t>
      </w:r>
      <w:r w:rsidR="00203F72" w:rsidRPr="00515D85">
        <w:t>年「歐洲社會憲章」第</w:t>
      </w:r>
      <w:r w:rsidR="00203F72" w:rsidRPr="00515D85">
        <w:t>11</w:t>
      </w:r>
      <w:r w:rsidR="00203F72" w:rsidRPr="00515D85">
        <w:t>條；</w:t>
      </w:r>
      <w:r w:rsidR="00203F72" w:rsidRPr="00515D85">
        <w:t>1981</w:t>
      </w:r>
      <w:r w:rsidR="00203F72" w:rsidRPr="00515D85">
        <w:t>年「非洲人權和人民權利憲章」第</w:t>
      </w:r>
      <w:r w:rsidR="00203F72" w:rsidRPr="00515D85">
        <w:t>16</w:t>
      </w:r>
      <w:r w:rsidR="00203F72" w:rsidRPr="00515D85">
        <w:t>條；</w:t>
      </w:r>
      <w:r w:rsidR="00203F72" w:rsidRPr="00515D85">
        <w:t>1988</w:t>
      </w:r>
      <w:r w:rsidR="00203F72" w:rsidRPr="00515D85">
        <w:t>年「美洲人權公約關於經濟、社會和文化權利領域的附加議定書」第</w:t>
      </w:r>
      <w:r w:rsidR="00203F72" w:rsidRPr="00515D85">
        <w:t>10</w:t>
      </w:r>
      <w:r w:rsidR="00203F72" w:rsidRPr="00515D85">
        <w:t>條等等相關之規定與要求</w:t>
      </w:r>
      <w:r w:rsidR="00203F72" w:rsidRPr="00515D85">
        <w:footnoteReference w:id="331"/>
      </w:r>
      <w:r w:rsidR="00203F72" w:rsidRPr="00515D85">
        <w:t>。</w:t>
      </w:r>
    </w:p>
    <w:p w14:paraId="6668B586" w14:textId="77777777" w:rsidR="00953151" w:rsidRPr="00515D85" w:rsidRDefault="0039258A" w:rsidP="00D87D91">
      <w:r w:rsidRPr="00515D85">
        <w:t xml:space="preserve">　　</w:t>
      </w:r>
      <w:r w:rsidR="00203F72" w:rsidRPr="00515D85">
        <w:t>根據「</w:t>
      </w:r>
      <w:hyperlink r:id="rId1627" w:history="1">
        <w:r w:rsidR="00203F72" w:rsidRPr="001B1539">
          <w:rPr>
            <w:rStyle w:val="a5"/>
            <w:rFonts w:ascii="Times New Roman" w:hAnsi="Times New Roman"/>
          </w:rPr>
          <w:t>經濟、社會和文化權利國際公約</w:t>
        </w:r>
      </w:hyperlink>
      <w:r w:rsidR="00203F72" w:rsidRPr="00515D85">
        <w:t>」（</w:t>
      </w:r>
      <w:r w:rsidR="00203F72" w:rsidRPr="00515D85">
        <w:t>International Covenant on Economic, Social and Cultural Rights</w:t>
      </w:r>
      <w:r w:rsidR="00203F72" w:rsidRPr="00515D85">
        <w:t>，本公約可簡稱為</w:t>
      </w:r>
      <w:r w:rsidR="00203F72" w:rsidRPr="00515D85">
        <w:t>ICESCR)</w:t>
      </w:r>
      <w:hyperlink r:id="rId1628" w:anchor="a12" w:history="1">
        <w:r w:rsidR="00203F72" w:rsidRPr="001B1539">
          <w:rPr>
            <w:rStyle w:val="a5"/>
            <w:rFonts w:ascii="Times New Roman" w:hAnsi="Times New Roman"/>
          </w:rPr>
          <w:t>第</w:t>
        </w:r>
        <w:r w:rsidR="00203F72" w:rsidRPr="001B1539">
          <w:rPr>
            <w:rStyle w:val="a5"/>
            <w:rFonts w:ascii="Times New Roman" w:hAnsi="Times New Roman"/>
          </w:rPr>
          <w:t>12</w:t>
        </w:r>
        <w:r w:rsidR="00203F72" w:rsidRPr="001B1539">
          <w:rPr>
            <w:rStyle w:val="a5"/>
            <w:rFonts w:ascii="Times New Roman" w:hAnsi="Times New Roman"/>
          </w:rPr>
          <w:t>條</w:t>
        </w:r>
      </w:hyperlink>
      <w:r w:rsidR="00203F72" w:rsidRPr="00515D85">
        <w:t>（享受最高的體質和心理健康之權利）之規定，「一、本公約締約各國承認人人有權享有能達到最高的體質和心理健康的標準。二、本公約締約各國為充分實現這一權利而採取的步驟應包括為達到下列目標所需的步驟：（甲）減低死胎率和嬰兒死亡率，和使兒童得到健康的發育；（乙）改善環境衛生和工業衛生的各個方面；（丙）預防、治療和控制傳染病、風土病、職業病以及其他的疾病；（丁）創造保證人人在患病時能得到醫療照顧的條件。」依據上述</w:t>
      </w:r>
      <w:r w:rsidR="00203F72" w:rsidRPr="00515D85">
        <w:t>ICESCR</w:t>
      </w:r>
      <w:hyperlink r:id="rId1629"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1</w:t>
      </w:r>
      <w:r w:rsidR="00203F72" w:rsidRPr="00515D85">
        <w:t>項之規範，本公約締約各國承認人人有權享有能達到最高的體質和心理健康的標準。</w:t>
      </w:r>
    </w:p>
    <w:p w14:paraId="5A08CE8A" w14:textId="77777777" w:rsidR="00953151" w:rsidRPr="00515D85" w:rsidRDefault="0039258A" w:rsidP="00D87D91">
      <w:r w:rsidRPr="00515D85">
        <w:t xml:space="preserve">　　</w:t>
      </w:r>
      <w:r w:rsidR="00203F72" w:rsidRPr="00515D85">
        <w:t>基此，毒品病患亦應是</w:t>
      </w:r>
      <w:r w:rsidR="00203F72" w:rsidRPr="00515D85">
        <w:t>ICESCR</w:t>
      </w:r>
      <w:hyperlink r:id="rId1630"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1</w:t>
      </w:r>
      <w:r w:rsidR="00203F72" w:rsidRPr="00515D85">
        <w:t>項規範之對象，台灣之毒品病患，有權享有能達到最高之體質和心理健康之標準。另外，再依據上述</w:t>
      </w:r>
      <w:r w:rsidR="00203F72" w:rsidRPr="00515D85">
        <w:t>ICESCR</w:t>
      </w:r>
      <w:hyperlink r:id="rId1631"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2</w:t>
      </w:r>
      <w:r w:rsidR="00203F72" w:rsidRPr="00515D85">
        <w:t>項第</w:t>
      </w:r>
      <w:r w:rsidR="00203F72" w:rsidRPr="00515D85">
        <w:t>4</w:t>
      </w:r>
      <w:r w:rsidR="00203F72" w:rsidRPr="00515D85">
        <w:t>款之規範，台灣政府應創造保證人人在患病時能得到醫療照顧的條件。由於</w:t>
      </w:r>
      <w:r w:rsidR="00203F72" w:rsidRPr="00515D85">
        <w:t>ICESCR</w:t>
      </w:r>
      <w:hyperlink r:id="rId1632"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2</w:t>
      </w:r>
      <w:r w:rsidR="00203F72" w:rsidRPr="00515D85">
        <w:t>項第</w:t>
      </w:r>
      <w:r w:rsidR="00203F72" w:rsidRPr="00515D85">
        <w:t>4</w:t>
      </w:r>
      <w:r w:rsidR="00203F72" w:rsidRPr="00515D85">
        <w:t>款之規範標的，指的是「人人」，既然是「人人」，則因毒品病患本身之定位，除了是犯人之外，尚包括病人，故台灣台灣政府應創造保證毒品病患，能得到醫療照顧的條件；假若毒品病患，無法得到醫療照顧的條件，則似有違反</w:t>
      </w:r>
      <w:r w:rsidR="00203F72" w:rsidRPr="00515D85">
        <w:t>ICESCR</w:t>
      </w:r>
      <w:hyperlink r:id="rId1633"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2</w:t>
      </w:r>
      <w:r w:rsidR="00203F72" w:rsidRPr="00515D85">
        <w:t>項第</w:t>
      </w:r>
      <w:r w:rsidR="00203F72" w:rsidRPr="00515D85">
        <w:t>4</w:t>
      </w:r>
      <w:r w:rsidR="00203F72" w:rsidRPr="00515D85">
        <w:t>款之規範之虞。</w:t>
      </w:r>
    </w:p>
    <w:p w14:paraId="1EE85D73" w14:textId="77777777" w:rsidR="00203F72" w:rsidRPr="00515D85" w:rsidRDefault="0039258A" w:rsidP="00D87D91">
      <w:r w:rsidRPr="00515D85">
        <w:t xml:space="preserve">　　</w:t>
      </w:r>
      <w:r w:rsidR="00203F72" w:rsidRPr="00515D85">
        <w:t>聯合國經濟、社會、文化權利委員會第二十二屆會議曾於</w:t>
      </w:r>
      <w:r w:rsidR="00203F72" w:rsidRPr="00515D85">
        <w:t>2000</w:t>
      </w:r>
      <w:r w:rsidR="00203F72" w:rsidRPr="00515D85">
        <w:t>年通過有關健康權的「第</w:t>
      </w:r>
      <w:r w:rsidR="00203F72" w:rsidRPr="00515D85">
        <w:t>14</w:t>
      </w:r>
      <w:r w:rsidR="00203F72" w:rsidRPr="00515D85">
        <w:t>號一般意見」（</w:t>
      </w:r>
      <w:r w:rsidR="00203F72" w:rsidRPr="00515D85">
        <w:t>General Comment</w:t>
      </w:r>
      <w:r w:rsidR="00203F72" w:rsidRPr="00515D85">
        <w:t>）：享有能達到的最高健康標準的權利</w:t>
      </w:r>
      <w:r w:rsidR="00203F72" w:rsidRPr="00515D85">
        <w:t>(</w:t>
      </w:r>
      <w:hyperlink r:id="rId1634"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w:t>
      </w:r>
      <w:r w:rsidR="00203F72" w:rsidRPr="00515D85">
        <w:footnoteReference w:id="332"/>
      </w:r>
      <w:r w:rsidR="00203F72" w:rsidRPr="00515D85">
        <w:t>，在本號意見書之中，經濟、社會、文化權利委員會提出以下之主張：</w:t>
      </w:r>
    </w:p>
    <w:p w14:paraId="5355CC09" w14:textId="77777777" w:rsidR="00203F72" w:rsidRPr="00145751" w:rsidRDefault="0039258A" w:rsidP="00D87D91">
      <w:r w:rsidRPr="00145751">
        <w:t xml:space="preserve">　　</w:t>
      </w:r>
      <w:r w:rsidR="00203F72" w:rsidRPr="00145751">
        <w:t>1</w:t>
      </w:r>
      <w:r w:rsidR="00203F72" w:rsidRPr="00145751">
        <w:t>、</w:t>
      </w:r>
      <w:r w:rsidR="00203F72" w:rsidRPr="00145751">
        <w:t>ICESCR</w:t>
      </w:r>
      <w:r w:rsidR="001B1539">
        <w:rPr>
          <w:rFonts w:hint="eastAsia"/>
        </w:rPr>
        <w:t xml:space="preserve"> </w:t>
      </w:r>
      <w:hyperlink r:id="rId1635"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145751">
        <w:t>對於健康權之定義方面，健康權包括多方面的社會經濟因素，促進使人民可以享有健康生活的條件，包括各種健康的基本決定因素，如食物和營養、住房、使用安全飲水和得到適當的衛生條件、安全而有益健康的工作條件，和有益健康的環境。健康是行使其他人權不可或缺的一項基本人權。每個人都有權享有能夠達到的、有益於有尊嚴生活的最高標準的健康。</w:t>
      </w:r>
    </w:p>
    <w:p w14:paraId="1D814525" w14:textId="77777777" w:rsidR="00203F72" w:rsidRPr="00145751" w:rsidRDefault="0039258A" w:rsidP="00D87D91">
      <w:r w:rsidRPr="00145751">
        <w:t xml:space="preserve">　　</w:t>
      </w:r>
      <w:r w:rsidR="00203F72" w:rsidRPr="00145751">
        <w:t>2</w:t>
      </w:r>
      <w:r w:rsidR="00203F72" w:rsidRPr="00145751">
        <w:t>、享有健康權，不應理解為身體健康的權利。健康權既包括自由，也包括權利。自由包括掌握自己健康和身體的權利，包括性和生育上的自由，以及不受幹擾的權利，如不受酷刑、未經同意強行治療和試驗的權利。另一方面，應該享有的權利，包括參加衛生保護制度的權利，該套制度能夠為人民提供平等的機會，享有可達到的最高水準的健康。</w:t>
      </w:r>
    </w:p>
    <w:p w14:paraId="0346680C" w14:textId="77777777" w:rsidR="00203F72" w:rsidRPr="00145751" w:rsidRDefault="0039258A" w:rsidP="00D87D91">
      <w:r w:rsidRPr="00145751">
        <w:t xml:space="preserve">　　</w:t>
      </w:r>
      <w:r w:rsidR="00203F72" w:rsidRPr="00145751">
        <w:t>3</w:t>
      </w:r>
      <w:r w:rsidR="00203F72" w:rsidRPr="00145751">
        <w:t>、運用不歧</w:t>
      </w:r>
      <w:r w:rsidR="003E240E">
        <w:t>視</w:t>
      </w:r>
      <w:r w:rsidR="00203F72" w:rsidRPr="00145751">
        <w:t>原則：衛生設施、商品和服務必須在法律和實際上面向所有人，特別是人口中最脆弱的部分和邊緣群體，不得以任何禁止的理由加以歧</w:t>
      </w:r>
      <w:r w:rsidR="003E240E">
        <w:t>視</w:t>
      </w:r>
      <w:r w:rsidR="00203F72" w:rsidRPr="00145751">
        <w:t>。</w:t>
      </w:r>
    </w:p>
    <w:p w14:paraId="3F125266" w14:textId="77777777" w:rsidR="00203F72" w:rsidRPr="00145751" w:rsidRDefault="0039258A" w:rsidP="00D87D91">
      <w:r w:rsidRPr="00145751">
        <w:t xml:space="preserve">　　</w:t>
      </w:r>
      <w:r w:rsidR="00203F72" w:rsidRPr="00145751">
        <w:t>4</w:t>
      </w:r>
      <w:r w:rsidR="00203F72" w:rsidRPr="00145751">
        <w:t>、實際獲得的條件：衛生設施、商品和服務，必須是各部分人口能夠安全、實際獲得的，特別是脆弱群體和邊緣群體，如少數民族和土著人、婦女、兒童、青少年、老年人、殘疾人和患有愛滋病</w:t>
      </w:r>
      <w:r w:rsidR="00203F72" w:rsidRPr="00145751">
        <w:t>/</w:t>
      </w:r>
      <w:r w:rsidR="00203F72" w:rsidRPr="00145751">
        <w:t>攜帶病毒的人。</w:t>
      </w:r>
    </w:p>
    <w:p w14:paraId="3CEFFC2F" w14:textId="77777777" w:rsidR="00203F72" w:rsidRPr="00145751" w:rsidRDefault="0039258A" w:rsidP="00D87D91">
      <w:r w:rsidRPr="00145751">
        <w:t xml:space="preserve">　　</w:t>
      </w:r>
      <w:r w:rsidR="00203F72" w:rsidRPr="00145751">
        <w:t>5</w:t>
      </w:r>
      <w:r w:rsidR="00203F72" w:rsidRPr="00145751">
        <w:t>、違反公約</w:t>
      </w:r>
      <w:hyperlink r:id="rId1636"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145751">
        <w:t>規定的標準，或有可能造成身體傷害、不必要的疾病和可預防的死亡，此類國家行為、政策或法律，即是違反遵守的義務。</w:t>
      </w:r>
    </w:p>
    <w:p w14:paraId="5DAA5B7B" w14:textId="77777777" w:rsidR="00953151" w:rsidRPr="00145751" w:rsidRDefault="0039258A" w:rsidP="00D87D91">
      <w:r w:rsidRPr="00145751">
        <w:t xml:space="preserve">　　</w:t>
      </w:r>
      <w:r w:rsidR="00203F72" w:rsidRPr="00145751">
        <w:t>6</w:t>
      </w:r>
      <w:r w:rsidR="00203F72" w:rsidRPr="00145751">
        <w:t>、</w:t>
      </w:r>
      <w:r w:rsidR="00203F72" w:rsidRPr="00145751">
        <w:t>ICESCR</w:t>
      </w:r>
      <w:hyperlink r:id="rId1637"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145751">
        <w:t>第</w:t>
      </w:r>
      <w:r w:rsidR="00203F72" w:rsidRPr="00145751">
        <w:t>2</w:t>
      </w:r>
      <w:r w:rsidR="00203F72" w:rsidRPr="00145751">
        <w:t>項第</w:t>
      </w:r>
      <w:r w:rsidR="00203F72" w:rsidRPr="00145751">
        <w:t>4</w:t>
      </w:r>
      <w:r w:rsidR="00203F72" w:rsidRPr="00145751">
        <w:t>款之精神：</w:t>
      </w:r>
      <w:r w:rsidR="00203F72" w:rsidRPr="00145751">
        <w:t xml:space="preserve"> “</w:t>
      </w:r>
      <w:r w:rsidR="00203F72" w:rsidRPr="00145751">
        <w:t>創造保證人人在患病時能得到醫療照顧的條件</w:t>
      </w:r>
      <w:r w:rsidR="00203F72" w:rsidRPr="00145751">
        <w:t>”</w:t>
      </w:r>
      <w:r w:rsidR="00203F72" w:rsidRPr="00145751">
        <w:t>，包括身體和精神兩個方面，要求平等和及時地提供基本預防、治療、康復的衛生保健服務，以及衛生教育。</w:t>
      </w:r>
    </w:p>
    <w:p w14:paraId="6B8477AA" w14:textId="77777777" w:rsidR="00953151" w:rsidRPr="00145751" w:rsidRDefault="00DF3454" w:rsidP="00D87D91">
      <w:r>
        <w:rPr>
          <w:rFonts w:hint="eastAsia"/>
        </w:rPr>
        <w:t xml:space="preserve">　　</w:t>
      </w:r>
      <w:r w:rsidR="00203F72" w:rsidRPr="00145751">
        <w:t>根據上述</w:t>
      </w:r>
      <w:r w:rsidR="00203F72" w:rsidRPr="00145751">
        <w:t>ICESCR</w:t>
      </w:r>
      <w:hyperlink r:id="rId1638"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145751">
        <w:t>及聯合國經濟、社會、文化權利委員會第二十二屆會議曾於</w:t>
      </w:r>
      <w:r w:rsidR="00203F72" w:rsidRPr="00145751">
        <w:t>2000</w:t>
      </w:r>
      <w:r w:rsidR="00203F72" w:rsidRPr="00145751">
        <w:t>年通過有關健康權的「第</w:t>
      </w:r>
      <w:r w:rsidR="00203F72" w:rsidRPr="00145751">
        <w:t>14</w:t>
      </w:r>
      <w:r w:rsidR="00203F72" w:rsidRPr="00145751">
        <w:t>號一般意見」（</w:t>
      </w:r>
      <w:r w:rsidR="00203F72" w:rsidRPr="00145751">
        <w:t>General Comment</w:t>
      </w:r>
      <w:r w:rsidR="00203F72" w:rsidRPr="00145751">
        <w:t>）對於健康權之定義及進一步之闡釋，應可理解以下之事實：台灣之毒品病患，亦享有上述之健康權，包括身體和精神兩個方面，毒品病患可依據上述健康權之精神，請求政府相關部門，針對其成癮性，給予必要之治療，此包括可運用健保之資源，接受適切之治療，以尋求身體和精神之康復。</w:t>
      </w:r>
    </w:p>
    <w:p w14:paraId="53EFA9DF" w14:textId="77777777" w:rsidR="00203F72"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00E91F89">
        <w:rPr>
          <w:rFonts w:ascii="新細明體" w:hAnsi="新細明體"/>
          <w:color w:val="808000"/>
        </w:rPr>
        <w:t>〉〉</w:t>
      </w:r>
    </w:p>
    <w:p w14:paraId="2C54A641" w14:textId="77777777" w:rsidR="003B41D4" w:rsidRPr="00A53581" w:rsidRDefault="003B41D4" w:rsidP="00D87D91"/>
    <w:p w14:paraId="467AE813" w14:textId="77777777" w:rsidR="00953151" w:rsidRDefault="00203F72" w:rsidP="00767F37">
      <w:pPr>
        <w:pStyle w:val="2"/>
      </w:pPr>
      <w:bookmarkStart w:id="70" w:name="_參、清朝時期之毒品刑事政策(1730至1895年)：先嚴厲禁煙後合法化"/>
      <w:bookmarkEnd w:id="70"/>
      <w:r w:rsidRPr="00A53581">
        <w:t>參、清朝時期之毒品刑事政策</w:t>
      </w:r>
      <w:r w:rsidRPr="00A53581">
        <w:t>(1730</w:t>
      </w:r>
      <w:r w:rsidRPr="00A53581">
        <w:t>至</w:t>
      </w:r>
      <w:r w:rsidRPr="00A53581">
        <w:t>1895</w:t>
      </w:r>
      <w:r w:rsidRPr="00A53581">
        <w:t>年</w:t>
      </w:r>
      <w:r w:rsidRPr="00A53581">
        <w:t>)</w:t>
      </w:r>
      <w:r w:rsidRPr="00A53581">
        <w:t>：先嚴厲禁煙後合法化</w:t>
      </w:r>
    </w:p>
    <w:p w14:paraId="74260048" w14:textId="77777777" w:rsidR="00953151" w:rsidRPr="00515D85" w:rsidRDefault="0039258A" w:rsidP="00D87D91">
      <w:r w:rsidRPr="00515D85">
        <w:t xml:space="preserve">　　</w:t>
      </w:r>
      <w:r w:rsidR="00203F72" w:rsidRPr="00515D85">
        <w:t>臺灣居民何時開始吸食鴉片？由何人自何地傳入？關於此一問題，大致有兩說，第一說主張係經由荷蘭人直接自爪哇傳入台灣；第二說則認為由中國大陸福建之漳、泉地方經廈門傳入台灣</w:t>
      </w:r>
      <w:r w:rsidR="00203F72" w:rsidRPr="00515D85">
        <w:footnoteReference w:id="333"/>
      </w:r>
      <w:r w:rsidR="00203F72" w:rsidRPr="00515D85">
        <w:t>。根據第一說</w:t>
      </w:r>
      <w:r w:rsidR="00203F72" w:rsidRPr="00515D85">
        <w:t>(</w:t>
      </w:r>
      <w:r w:rsidR="00203F72" w:rsidRPr="00515D85">
        <w:t>胡金野氏</w:t>
      </w:r>
      <w:r w:rsidR="00203F72" w:rsidRPr="00515D85">
        <w:t>)</w:t>
      </w:r>
      <w:r w:rsidR="00203F72" w:rsidRPr="00515D85">
        <w:t>之見解，「於</w:t>
      </w:r>
      <w:r w:rsidR="00203F72" w:rsidRPr="00515D85">
        <w:t>1624</w:t>
      </w:r>
      <w:r w:rsidR="00203F72" w:rsidRPr="00515D85">
        <w:t>年～</w:t>
      </w:r>
      <w:r w:rsidR="00203F72" w:rsidRPr="00515D85">
        <w:t>1661</w:t>
      </w:r>
      <w:r w:rsidR="00203F72" w:rsidRPr="00515D85">
        <w:t>年，荷蘭人盤踞臺灣時期，煙草與鴉片拌食方法自然地從印度尼西亞傳到臺灣。同時，在爪哇一帶經商的中國人也將煙草與鴉片拌食法帶回臺灣、廈門等地。在十八世紀初，這一吸食鴉片的方法從臺灣、廈門等地傳入中國內地。」</w:t>
      </w:r>
      <w:r w:rsidR="00203F72" w:rsidRPr="00515D85">
        <w:footnoteReference w:id="334"/>
      </w:r>
    </w:p>
    <w:p w14:paraId="70E5D31F" w14:textId="77777777" w:rsidR="00953151" w:rsidRPr="00515D85" w:rsidRDefault="0039258A" w:rsidP="00D87D91">
      <w:r w:rsidRPr="00515D85">
        <w:t xml:space="preserve">　　</w:t>
      </w:r>
      <w:r w:rsidR="00203F72" w:rsidRPr="00515D85">
        <w:t>第二說則認為由中國大陸福建之漳、泉地方經廈門傳入台灣。據「罌粟源流考」之記載</w:t>
      </w:r>
      <w:r w:rsidR="00203F72" w:rsidRPr="00515D85">
        <w:footnoteReference w:id="335"/>
      </w:r>
      <w:r w:rsidR="00203F72" w:rsidRPr="00515D85">
        <w:t>，在中國唐宋時代，罌粟經由阿拉伯人輸入中國。之後，罌粟由中國東南沿海再傳入臺灣。此說的觀點，認為由中國大陸福建之漳、泉地方經廈門傳入臺灣</w:t>
      </w:r>
      <w:r w:rsidR="00203F72" w:rsidRPr="00515D85">
        <w:footnoteReference w:id="336"/>
      </w:r>
      <w:r w:rsidR="00203F72" w:rsidRPr="00515D85">
        <w:t>。</w:t>
      </w:r>
    </w:p>
    <w:p w14:paraId="3BE14DF7" w14:textId="77777777" w:rsidR="00953151" w:rsidRPr="00515D85" w:rsidRDefault="0039258A" w:rsidP="00D87D91">
      <w:r w:rsidRPr="00515D85">
        <w:t xml:space="preserve">　　</w:t>
      </w:r>
      <w:r w:rsidR="00203F72" w:rsidRPr="00515D85">
        <w:t>在雍正七年（</w:t>
      </w:r>
      <w:r w:rsidR="00203F72" w:rsidRPr="00515D85">
        <w:t>1729</w:t>
      </w:r>
      <w:r w:rsidR="00203F72" w:rsidRPr="00515D85">
        <w:t>年），中國皇帝頒布了世界上第一個禁煙令，規定不准銷售鴉片。在此禁令中，並未處罰吸食鴉片者，且也未禁止鴉片的輸入。但這個立意良好之法律，並未被落實，吸食鴉片的風氣瀰漫全國</w:t>
      </w:r>
      <w:r w:rsidR="00203F72" w:rsidRPr="00515D85">
        <w:footnoteReference w:id="337"/>
      </w:r>
      <w:r w:rsidR="00203F72" w:rsidRPr="00515D85">
        <w:t>。雍正八年（</w:t>
      </w:r>
      <w:r w:rsidR="00203F72" w:rsidRPr="00515D85">
        <w:t>1730</w:t>
      </w:r>
      <w:r w:rsidR="00203F72" w:rsidRPr="00515D85">
        <w:t>年），又頒布專門針對台灣的禁令，明定台灣民眾應禁販鴉片煙。由此亦可知，在</w:t>
      </w:r>
      <w:r w:rsidR="00203F72" w:rsidRPr="00515D85">
        <w:t>1730</w:t>
      </w:r>
      <w:r w:rsidR="00203F72" w:rsidRPr="00515D85">
        <w:t>年之前，台灣地區對於人民吸食鴉片煙的行為，政府是未加以犯罪化，這是一個被容許的吸食行為。</w:t>
      </w:r>
    </w:p>
    <w:p w14:paraId="4D78C064" w14:textId="77777777" w:rsidR="00953151" w:rsidRPr="00145751" w:rsidRDefault="0039258A" w:rsidP="00D87D91">
      <w:r w:rsidRPr="00515D85">
        <w:t xml:space="preserve">　　</w:t>
      </w:r>
      <w:r w:rsidR="00203F72" w:rsidRPr="00515D85">
        <w:t>上文所提及於清朝雍正</w:t>
      </w:r>
      <w:r w:rsidR="00203F72" w:rsidRPr="00515D85">
        <w:t>8</w:t>
      </w:r>
      <w:r w:rsidR="00203F72" w:rsidRPr="00515D85">
        <w:t>年（</w:t>
      </w:r>
      <w:r w:rsidR="00203F72" w:rsidRPr="00515D85">
        <w:t>1730</w:t>
      </w:r>
      <w:r w:rsidR="00203F72" w:rsidRPr="00515D85">
        <w:t>年）專門針對台灣頒佈之鴉片煙管制禁令</w:t>
      </w:r>
      <w:r w:rsidR="00D92F56" w:rsidRPr="00515D85">
        <w:t>〜</w:t>
      </w:r>
      <w:r w:rsidR="00203F72" w:rsidRPr="00515D85">
        <w:t>「關於</w:t>
      </w:r>
      <w:r w:rsidR="00203F72" w:rsidRPr="00145751">
        <w:t>流寓台灣人民與禁販鴉片煙條例」，此條例雖僅為禁止流寓台灣人民販賣鴉片而設，有關違反上開條例之罰則，卻未明文規定，遂僅能按照雍正</w:t>
      </w:r>
      <w:r w:rsidR="00203F72" w:rsidRPr="00145751">
        <w:t>7</w:t>
      </w:r>
      <w:r w:rsidR="00203F72" w:rsidRPr="00145751">
        <w:t>年（</w:t>
      </w:r>
      <w:r w:rsidR="00203F72" w:rsidRPr="00145751">
        <w:t>1729</w:t>
      </w:r>
      <w:r w:rsidR="00203F72" w:rsidRPr="00145751">
        <w:t>年）的定例對於違反者加以科刑論罪</w:t>
      </w:r>
      <w:r w:rsidR="00203F72" w:rsidRPr="00145751">
        <w:footnoteReference w:id="338"/>
      </w:r>
      <w:r w:rsidR="00203F72" w:rsidRPr="00145751">
        <w:t>。</w:t>
      </w:r>
      <w:r w:rsidR="00203F72" w:rsidRPr="00145751">
        <w:t>1730</w:t>
      </w:r>
      <w:r w:rsidR="00203F72" w:rsidRPr="00145751">
        <w:t>年，清朝已正式開始針對台灣地區涉及鴉片若干行為加以犯罪化，主要是販賣鴉片，但其他之行為，則仍屬於合法化。亦即，《關於流寓台灣人民與禁販鴉片煙條例》對於涉及鴉片行為之處罰，僅限於販賣鴉片及私開煙館，不及於製造、持有及吸食等，當時有關打擊毒品</w:t>
      </w:r>
      <w:r w:rsidR="00203F72" w:rsidRPr="00145751">
        <w:t>(</w:t>
      </w:r>
      <w:r w:rsidR="00203F72" w:rsidRPr="00145751">
        <w:t>鴉片</w:t>
      </w:r>
      <w:r w:rsidR="00203F72" w:rsidRPr="00145751">
        <w:t>)</w:t>
      </w:r>
      <w:r w:rsidR="00203F72" w:rsidRPr="00145751">
        <w:t>犯罪之刑事規定內涵，可謂是相當簡易。</w:t>
      </w:r>
    </w:p>
    <w:p w14:paraId="2C7996FE" w14:textId="77777777" w:rsidR="00953151" w:rsidRPr="00145751" w:rsidRDefault="0039258A" w:rsidP="00D87D91">
      <w:r w:rsidRPr="00145751">
        <w:t xml:space="preserve">　　</w:t>
      </w:r>
      <w:r w:rsidR="00203F72" w:rsidRPr="00145751">
        <w:t>在乾隆</w:t>
      </w:r>
      <w:r w:rsidR="00203F72" w:rsidRPr="00145751">
        <w:t>5</w:t>
      </w:r>
      <w:r w:rsidR="00203F72" w:rsidRPr="00145751">
        <w:t>年</w:t>
      </w:r>
      <w:r w:rsidR="00203F72" w:rsidRPr="00145751">
        <w:t>(1740</w:t>
      </w:r>
      <w:r w:rsidR="00203F72" w:rsidRPr="00145751">
        <w:t>年</w:t>
      </w:r>
      <w:r w:rsidR="00203F72" w:rsidRPr="00145751">
        <w:t>)</w:t>
      </w:r>
      <w:r w:rsidR="00203F72" w:rsidRPr="00145751">
        <w:t>，清朝制定《欽定大清律例》，此一律例是否亦可適用於台灣地區？本書經考據《欽定大清律例》之條文體系，該律例中有多處乃係針對台灣地區所制定之特別條文，諸如《欽定大清律例》律部第</w:t>
      </w:r>
      <w:r w:rsidR="00203F72" w:rsidRPr="00145751">
        <w:t>225.16</w:t>
      </w:r>
      <w:r w:rsidR="00203F72" w:rsidRPr="00145751">
        <w:t>條，係將雍正</w:t>
      </w:r>
      <w:r w:rsidR="00203F72" w:rsidRPr="00145751">
        <w:t>8</w:t>
      </w:r>
      <w:r w:rsidR="00203F72" w:rsidRPr="00145751">
        <w:t>年</w:t>
      </w:r>
      <w:r w:rsidR="00203F72" w:rsidRPr="00145751">
        <w:t>(1730</w:t>
      </w:r>
      <w:r w:rsidR="00203F72" w:rsidRPr="00145751">
        <w:t>年</w:t>
      </w:r>
      <w:r w:rsidR="00203F72" w:rsidRPr="00145751">
        <w:t>)</w:t>
      </w:r>
      <w:r w:rsidR="00203F72" w:rsidRPr="00145751">
        <w:t>針對台灣私出外境、違禁下海及禁止販賣鴉片等之規定，亦即將《關於流寓台灣人民與禁販鴉片煙條例》整個內容，將其納編於《欽定大清律例》律部第</w:t>
      </w:r>
      <w:r w:rsidR="00203F72" w:rsidRPr="00145751">
        <w:t>225.16</w:t>
      </w:r>
      <w:r w:rsidR="00203F72" w:rsidRPr="00145751">
        <w:t>條之中，其他尚有多處均是針對台灣地區所作之規定。故乾隆</w:t>
      </w:r>
      <w:r w:rsidR="00203F72" w:rsidRPr="00145751">
        <w:t>5</w:t>
      </w:r>
      <w:r w:rsidR="00203F72" w:rsidRPr="00145751">
        <w:t>年</w:t>
      </w:r>
      <w:r w:rsidR="00203F72" w:rsidRPr="00145751">
        <w:t>(1740)</w:t>
      </w:r>
      <w:r w:rsidR="00203F72" w:rsidRPr="00145751">
        <w:t>之《欽定大清律例》中所懲罰及禁止之鴉片犯罪行為，因台灣當時尚為中國清朝版圖之內，其法律效力似應及於台灣地區。</w:t>
      </w:r>
    </w:p>
    <w:p w14:paraId="4FA25FDF" w14:textId="77777777" w:rsidR="00953151" w:rsidRPr="00145751" w:rsidRDefault="0039258A" w:rsidP="00D87D91">
      <w:r w:rsidRPr="00145751">
        <w:t xml:space="preserve">　　</w:t>
      </w:r>
      <w:r w:rsidR="00203F72" w:rsidRPr="00145751">
        <w:t>依據王瑛曾氏於</w:t>
      </w:r>
      <w:r w:rsidR="00203F72" w:rsidRPr="00145751">
        <w:t>1764</w:t>
      </w:r>
      <w:r w:rsidR="00203F72" w:rsidRPr="00145751">
        <w:t>年</w:t>
      </w:r>
      <w:r w:rsidR="00203F72" w:rsidRPr="00145751">
        <w:t>(</w:t>
      </w:r>
      <w:r w:rsidR="00203F72" w:rsidRPr="00145751">
        <w:t>乾隆</w:t>
      </w:r>
      <w:r w:rsidR="00203F72" w:rsidRPr="00145751">
        <w:t>29</w:t>
      </w:r>
      <w:r w:rsidR="00203F72" w:rsidRPr="00145751">
        <w:t>年</w:t>
      </w:r>
      <w:r w:rsidR="00203F72" w:rsidRPr="00145751">
        <w:t>)</w:t>
      </w:r>
      <w:r w:rsidR="00203F72" w:rsidRPr="00145751">
        <w:t>所編著「重修鳳山縣志」之內容，當時</w:t>
      </w:r>
      <w:r w:rsidR="00203F72" w:rsidRPr="00145751">
        <w:t>1764</w:t>
      </w:r>
      <w:r w:rsidR="00203F72" w:rsidRPr="00145751">
        <w:t>年</w:t>
      </w:r>
      <w:r w:rsidR="00203F72" w:rsidRPr="00145751">
        <w:t>(</w:t>
      </w:r>
      <w:r w:rsidR="00203F72" w:rsidRPr="00145751">
        <w:t>乾隆</w:t>
      </w:r>
      <w:r w:rsidR="00203F72" w:rsidRPr="00145751">
        <w:t>29</w:t>
      </w:r>
      <w:r w:rsidR="00203F72" w:rsidRPr="00145751">
        <w:t>年</w:t>
      </w:r>
      <w:r w:rsidR="00203F72" w:rsidRPr="00145751">
        <w:t>)</w:t>
      </w:r>
      <w:r w:rsidR="00203F72" w:rsidRPr="00145751">
        <w:t>左右，台灣鳳山縣禁止人民開設鴉片館及吸食鴉片。在</w:t>
      </w:r>
      <w:r w:rsidR="00203F72" w:rsidRPr="00145751">
        <w:t>1764</w:t>
      </w:r>
      <w:r w:rsidR="00203F72" w:rsidRPr="00145751">
        <w:t>年</w:t>
      </w:r>
      <w:r w:rsidR="00203F72" w:rsidRPr="00145751">
        <w:t>(</w:t>
      </w:r>
      <w:r w:rsidR="00203F72" w:rsidRPr="00145751">
        <w:t>乾隆</w:t>
      </w:r>
      <w:r w:rsidR="00203F72" w:rsidRPr="00145751">
        <w:t>29</w:t>
      </w:r>
      <w:r w:rsidR="00203F72" w:rsidRPr="00145751">
        <w:t>年</w:t>
      </w:r>
      <w:r w:rsidR="00203F72" w:rsidRPr="00145751">
        <w:t>)</w:t>
      </w:r>
      <w:r w:rsidR="00203F72" w:rsidRPr="00145751">
        <w:t>左右，台灣地區管制鴉片之刑事法，似應為乾隆</w:t>
      </w:r>
      <w:r w:rsidR="00203F72" w:rsidRPr="00145751">
        <w:t>5</w:t>
      </w:r>
      <w:r w:rsidR="00203F72" w:rsidRPr="00145751">
        <w:t>年</w:t>
      </w:r>
      <w:r w:rsidR="00203F72" w:rsidRPr="00145751">
        <w:t>(1740</w:t>
      </w:r>
      <w:r w:rsidR="00203F72" w:rsidRPr="00145751">
        <w:t>年</w:t>
      </w:r>
      <w:r w:rsidR="00203F72" w:rsidRPr="00145751">
        <w:t>)</w:t>
      </w:r>
      <w:r w:rsidR="00203F72" w:rsidRPr="00145751">
        <w:t>所頒定之《欽定大清律例》。</w:t>
      </w:r>
    </w:p>
    <w:p w14:paraId="2344C06F" w14:textId="77777777" w:rsidR="00953151" w:rsidRPr="00145751" w:rsidRDefault="0039258A" w:rsidP="00D87D91">
      <w:r w:rsidRPr="00145751">
        <w:t xml:space="preserve">　　</w:t>
      </w:r>
      <w:r w:rsidR="00203F72" w:rsidRPr="00145751">
        <w:t>依據《欽定大清律例》第</w:t>
      </w:r>
      <w:r w:rsidR="00203F72" w:rsidRPr="00145751">
        <w:t>225.16</w:t>
      </w:r>
      <w:r w:rsidR="00203F72" w:rsidRPr="00145751">
        <w:t>條之規範，此條內容係沿續及納編《關於流寓台灣人民與禁販鴉片煙條例》之規定，但在台灣地區實際執行方面，似乎是不限定於販賣鴉片之行為，以鳳山縣為例，於</w:t>
      </w:r>
      <w:r w:rsidR="00203F72" w:rsidRPr="00145751">
        <w:t>1764</w:t>
      </w:r>
      <w:r w:rsidR="00203F72" w:rsidRPr="00145751">
        <w:t>年</w:t>
      </w:r>
      <w:r w:rsidR="00203F72" w:rsidRPr="00145751">
        <w:t>(</w:t>
      </w:r>
      <w:r w:rsidR="00203F72" w:rsidRPr="00145751">
        <w:t>乾隆</w:t>
      </w:r>
      <w:r w:rsidR="00203F72" w:rsidRPr="00145751">
        <w:t>29</w:t>
      </w:r>
      <w:r w:rsidR="00203F72" w:rsidRPr="00145751">
        <w:t>年</w:t>
      </w:r>
      <w:r w:rsidR="00203F72" w:rsidRPr="00145751">
        <w:t>)</w:t>
      </w:r>
      <w:r w:rsidR="00203F72" w:rsidRPr="00145751">
        <w:t>左右，鳳山縣清朝官兵似乎尚禁止民眾吸食鴉片。</w:t>
      </w:r>
    </w:p>
    <w:p w14:paraId="1F9734AC" w14:textId="77777777" w:rsidR="00953151" w:rsidRPr="00145751" w:rsidRDefault="0039258A" w:rsidP="00D87D91">
      <w:r w:rsidRPr="00145751">
        <w:t xml:space="preserve">　　</w:t>
      </w:r>
      <w:r w:rsidR="00203F72" w:rsidRPr="00145751">
        <w:t>依據王瑛曾氏上開之「重修鳳山縣志」之內容，為了提供鴉片者吸食之便利，鳳山縣已有開設鴉片館之情勢發生。鳳山縣居民服此鴉片作為助淫之享樂工具，但會導致肢體萎縮。鴉片吸食者臟腑潰出於外，不殺吸食者身不止；鳳山縣官兵見此情狀，嚴禁民眾吸食鴉片，常發生吸食者身體巳被鳳山縣官兵逮捕，猶求暫緩須臾，以利其再吸鴉片一筩者，可見當時鴉片吸食者中毒之深，當被逮捕之時，尚且要求執法人員能給予再吸食一次鴉片之機會。</w:t>
      </w:r>
    </w:p>
    <w:p w14:paraId="06CC75DE" w14:textId="77777777" w:rsidR="00953151" w:rsidRPr="00145751" w:rsidRDefault="0039258A" w:rsidP="00D87D91">
      <w:r w:rsidRPr="00145751">
        <w:t xml:space="preserve">　　</w:t>
      </w:r>
      <w:r w:rsidR="00203F72" w:rsidRPr="00145751">
        <w:t>在乾隆</w:t>
      </w:r>
      <w:r w:rsidR="00203F72" w:rsidRPr="00145751">
        <w:t>53</w:t>
      </w:r>
      <w:r w:rsidR="00203F72" w:rsidRPr="00145751">
        <w:t>年</w:t>
      </w:r>
      <w:r w:rsidR="00203F72" w:rsidRPr="00145751">
        <w:t>(1788</w:t>
      </w:r>
      <w:r w:rsidR="00203F72" w:rsidRPr="00145751">
        <w:t>年</w:t>
      </w:r>
      <w:r w:rsidR="00203F72" w:rsidRPr="00145751">
        <w:t>)</w:t>
      </w:r>
      <w:r w:rsidR="00203F72" w:rsidRPr="00145751">
        <w:t>時，清朝大學士九卿曾向乾隆皇帝上陳一份上行奏摺，名為「臺灣軍營將軍福康安等殘奏摺（清查臺灣酌籌善後事宜）」，於該公文奏摺中，大學士九卿向乾隆皇帝報告台灣沿海大小港口，易發生走私偷渡，宜嚴加稽查。同時，記載台灣當時禁止販賣鴉片乙事。此外，由於台灣沿海易發生上述之走私偷渡行為，有利於販運鴉片。針對此種情形，大學士九卿指出台灣應持續地禁止販賣鴉片，而其本人則在向乾隆皇帝上陳奏摺之前，業已先行飭令台灣地方文武各官，須重申禁止販賣鴉片之禁令。值得加以留意者，是在奏摺之中，並未提及禁止吸食鴉片乙事。</w:t>
      </w:r>
    </w:p>
    <w:p w14:paraId="6CD26EC8" w14:textId="77777777" w:rsidR="00953151" w:rsidRPr="00145751" w:rsidRDefault="0039258A" w:rsidP="00D87D91">
      <w:r w:rsidRPr="00145751">
        <w:t xml:space="preserve">　　</w:t>
      </w:r>
      <w:r w:rsidR="00203F72" w:rsidRPr="00145751">
        <w:t>由上述大學士九卿上開「臺灣軍營將軍福康安等殘奏摺（清查臺灣酌籌善後事宜）」之文獻記載，可以得知在</w:t>
      </w:r>
      <w:r w:rsidR="00203F72" w:rsidRPr="00145751">
        <w:t>1788</w:t>
      </w:r>
      <w:r w:rsidR="00203F72" w:rsidRPr="00145751">
        <w:t>年當年</w:t>
      </w:r>
      <w:r w:rsidR="00203F72" w:rsidRPr="00145751">
        <w:t>(</w:t>
      </w:r>
      <w:r w:rsidR="00203F72" w:rsidRPr="00145751">
        <w:t>乾隆</w:t>
      </w:r>
      <w:r w:rsidR="00203F72" w:rsidRPr="00145751">
        <w:t>53</w:t>
      </w:r>
      <w:r w:rsidR="00203F72" w:rsidRPr="00145751">
        <w:t>年</w:t>
      </w:r>
      <w:r w:rsidR="00203F72" w:rsidRPr="00145751">
        <w:t>)</w:t>
      </w:r>
      <w:r w:rsidR="00203F72" w:rsidRPr="00145751">
        <w:t>及之前之時程，清朝在中國打擊鴉片犯罪之刑事法規，諸如乾隆</w:t>
      </w:r>
      <w:r w:rsidR="00203F72" w:rsidRPr="00145751">
        <w:t>5</w:t>
      </w:r>
      <w:r w:rsidR="00203F72" w:rsidRPr="00145751">
        <w:t>年</w:t>
      </w:r>
      <w:r w:rsidR="00203F72" w:rsidRPr="00145751">
        <w:t>(1740</w:t>
      </w:r>
      <w:r w:rsidR="00203F72" w:rsidRPr="00145751">
        <w:t>年</w:t>
      </w:r>
      <w:r w:rsidR="00203F72" w:rsidRPr="00145751">
        <w:t>)</w:t>
      </w:r>
      <w:r w:rsidR="00203F72" w:rsidRPr="00145751">
        <w:t>清朝制定之《欽定大清律例》，其效力仍是有及於台灣島內，故台灣亦禁止販賣鴉片，販賣鴉片於當時，該行為業已被政府犯罪化，是一種犯罪行為。綜上所述，台灣取締販賣鴉片之禁毒執法行動，已行之有年，迄</w:t>
      </w:r>
      <w:r w:rsidR="00203F72" w:rsidRPr="00145751">
        <w:t>1788</w:t>
      </w:r>
      <w:r w:rsidR="00203F72" w:rsidRPr="00145751">
        <w:t>年</w:t>
      </w:r>
      <w:r w:rsidR="00203F72" w:rsidRPr="00145751">
        <w:t>(</w:t>
      </w:r>
      <w:r w:rsidR="00203F72" w:rsidRPr="00145751">
        <w:t>乾隆</w:t>
      </w:r>
      <w:r w:rsidR="00203F72" w:rsidRPr="00145751">
        <w:t>53</w:t>
      </w:r>
      <w:r w:rsidR="00203F72" w:rsidRPr="00145751">
        <w:t>年</w:t>
      </w:r>
      <w:r w:rsidR="00203F72" w:rsidRPr="00145751">
        <w:t>)</w:t>
      </w:r>
      <w:r w:rsidR="00203F72" w:rsidRPr="00145751">
        <w:t>，仍持續不斷地取締及禁止販賣鴉片之犯罪行為。</w:t>
      </w:r>
    </w:p>
    <w:p w14:paraId="5FF0E424" w14:textId="77777777" w:rsidR="00203F72" w:rsidRPr="00145751" w:rsidRDefault="00254E32" w:rsidP="00D87D91">
      <w:r w:rsidRPr="00145751">
        <w:t xml:space="preserve">　　</w:t>
      </w:r>
      <w:r w:rsidR="00203F72" w:rsidRPr="00145751">
        <w:t>從</w:t>
      </w:r>
      <w:r w:rsidR="00203F72" w:rsidRPr="00145751">
        <w:t>1730</w:t>
      </w:r>
      <w:r w:rsidR="00203F72" w:rsidRPr="00145751">
        <w:t>年開始至</w:t>
      </w:r>
      <w:r w:rsidR="00203F72" w:rsidRPr="00145751">
        <w:t>1832</w:t>
      </w:r>
      <w:r w:rsidR="00203F72" w:rsidRPr="00145751">
        <w:t>年，清朝陸續發布以下之禁毒法規</w:t>
      </w:r>
      <w:r w:rsidR="00203F72" w:rsidRPr="00145751">
        <w:footnoteReference w:id="339"/>
      </w:r>
      <w:r w:rsidR="00203F72" w:rsidRPr="00145751">
        <w:t>，這些禁毒法規，因當時台灣屬於中國之屬地，故對於台灣地區而論，亦有其法律之效力：</w:t>
      </w:r>
    </w:p>
    <w:p w14:paraId="376D3217" w14:textId="77777777" w:rsidR="00203F72" w:rsidRPr="00145751" w:rsidRDefault="0039258A" w:rsidP="00D87D91">
      <w:r w:rsidRPr="00145751">
        <w:rPr>
          <w:rFonts w:hint="eastAsia"/>
        </w:rPr>
        <w:t xml:space="preserve">　　</w:t>
      </w:r>
      <w:r w:rsidRPr="00145751">
        <w:rPr>
          <w:rFonts w:hint="eastAsia"/>
        </w:rPr>
        <w:t>1</w:t>
      </w:r>
      <w:r w:rsidRPr="00145751">
        <w:rPr>
          <w:rFonts w:hint="eastAsia"/>
        </w:rPr>
        <w:t>、</w:t>
      </w:r>
      <w:r w:rsidR="00203F72" w:rsidRPr="00145751">
        <w:t>1730</w:t>
      </w:r>
      <w:r w:rsidR="00203F72" w:rsidRPr="00145751">
        <w:t>年（雍正</w:t>
      </w:r>
      <w:r w:rsidR="00203F72" w:rsidRPr="00145751">
        <w:t>8</w:t>
      </w:r>
      <w:r w:rsidR="00203F72" w:rsidRPr="00145751">
        <w:t>年）懲治流寓臺灣人民與禁販鴉片條例。</w:t>
      </w:r>
    </w:p>
    <w:p w14:paraId="73275D3E" w14:textId="77777777" w:rsidR="00203F72" w:rsidRPr="00145751" w:rsidRDefault="0039258A" w:rsidP="00D87D91">
      <w:r w:rsidRPr="00145751">
        <w:rPr>
          <w:rFonts w:hint="eastAsia"/>
        </w:rPr>
        <w:t xml:space="preserve">　　</w:t>
      </w:r>
      <w:r w:rsidRPr="00145751">
        <w:rPr>
          <w:rFonts w:hint="eastAsia"/>
        </w:rPr>
        <w:t>2</w:t>
      </w:r>
      <w:r w:rsidRPr="00145751">
        <w:rPr>
          <w:rFonts w:hint="eastAsia"/>
        </w:rPr>
        <w:t>、</w:t>
      </w:r>
      <w:r w:rsidR="00203F72" w:rsidRPr="00145751">
        <w:t>1740</w:t>
      </w:r>
      <w:r w:rsidR="00203F72" w:rsidRPr="00145751">
        <w:t>（乾隆</w:t>
      </w:r>
      <w:r w:rsidR="00203F72" w:rsidRPr="00145751">
        <w:t>5</w:t>
      </w:r>
      <w:r w:rsidR="00203F72" w:rsidRPr="00145751">
        <w:t>年）清朝制定《欽定大清律例》，將</w:t>
      </w:r>
      <w:r w:rsidR="00203F72" w:rsidRPr="00145751">
        <w:t>1730</w:t>
      </w:r>
      <w:r w:rsidR="00203F72" w:rsidRPr="00145751">
        <w:t>年（雍正</w:t>
      </w:r>
      <w:r w:rsidR="00203F72" w:rsidRPr="00145751">
        <w:t>8</w:t>
      </w:r>
      <w:r w:rsidR="00203F72" w:rsidRPr="00145751">
        <w:t>年）懲治流寓臺灣人民與禁販鴉片條例納編於《欽定大清律例》之中，禁止販賣鴉片及開設煙館。</w:t>
      </w:r>
    </w:p>
    <w:p w14:paraId="4830F8E7" w14:textId="77777777" w:rsidR="00203F72" w:rsidRPr="00145751" w:rsidRDefault="0039258A" w:rsidP="00D87D91">
      <w:r w:rsidRPr="00145751">
        <w:rPr>
          <w:rFonts w:hint="eastAsia"/>
        </w:rPr>
        <w:t xml:space="preserve">　　</w:t>
      </w:r>
      <w:r w:rsidRPr="00145751">
        <w:rPr>
          <w:rFonts w:hint="eastAsia"/>
        </w:rPr>
        <w:t>3</w:t>
      </w:r>
      <w:r w:rsidRPr="00145751">
        <w:rPr>
          <w:rFonts w:hint="eastAsia"/>
        </w:rPr>
        <w:t>、</w:t>
      </w:r>
      <w:r w:rsidR="00203F72" w:rsidRPr="00145751">
        <w:t>1799</w:t>
      </w:r>
      <w:r w:rsidR="00203F72" w:rsidRPr="00145751">
        <w:t>年</w:t>
      </w:r>
      <w:r w:rsidR="00203F72" w:rsidRPr="00145751">
        <w:t>(</w:t>
      </w:r>
      <w:r w:rsidR="00203F72" w:rsidRPr="00145751">
        <w:t>嘉慶</w:t>
      </w:r>
      <w:r w:rsidR="00203F72" w:rsidRPr="00145751">
        <w:t>4</w:t>
      </w:r>
      <w:r w:rsidR="00203F72" w:rsidRPr="00145751">
        <w:t>年</w:t>
      </w:r>
      <w:r w:rsidR="00203F72" w:rsidRPr="00145751">
        <w:t>)</w:t>
      </w:r>
      <w:r w:rsidR="00203F72" w:rsidRPr="00145751">
        <w:t>不准販賣鴉片禁令</w:t>
      </w:r>
    </w:p>
    <w:p w14:paraId="19C9869E" w14:textId="77777777" w:rsidR="00203F72" w:rsidRPr="00145751" w:rsidRDefault="0039258A" w:rsidP="00D87D91">
      <w:r w:rsidRPr="00145751">
        <w:rPr>
          <w:rFonts w:hint="eastAsia"/>
        </w:rPr>
        <w:t xml:space="preserve">　　</w:t>
      </w:r>
      <w:r w:rsidRPr="00145751">
        <w:rPr>
          <w:rFonts w:hint="eastAsia"/>
        </w:rPr>
        <w:t>4</w:t>
      </w:r>
      <w:r w:rsidRPr="00145751">
        <w:rPr>
          <w:rFonts w:hint="eastAsia"/>
        </w:rPr>
        <w:t>、</w:t>
      </w:r>
      <w:r w:rsidR="00203F72" w:rsidRPr="00145751">
        <w:t>1813</w:t>
      </w:r>
      <w:r w:rsidR="00203F72" w:rsidRPr="00145751">
        <w:t>年（嘉慶</w:t>
      </w:r>
      <w:r w:rsidR="00203F72" w:rsidRPr="00145751">
        <w:t>18</w:t>
      </w:r>
      <w:r w:rsidR="00203F72" w:rsidRPr="00145751">
        <w:t>年）嘉慶帝頒禁令，並議定《官吏、兵弁吸食和販賣鴉片治罪則例》</w:t>
      </w:r>
    </w:p>
    <w:p w14:paraId="633E26ED" w14:textId="77777777" w:rsidR="00203F72" w:rsidRPr="00145751" w:rsidRDefault="0039258A" w:rsidP="00D87D91">
      <w:r w:rsidRPr="00145751">
        <w:rPr>
          <w:rFonts w:hint="eastAsia"/>
        </w:rPr>
        <w:t xml:space="preserve">　　</w:t>
      </w:r>
      <w:r w:rsidRPr="00145751">
        <w:rPr>
          <w:rFonts w:hint="eastAsia"/>
        </w:rPr>
        <w:t>5</w:t>
      </w:r>
      <w:r w:rsidRPr="00145751">
        <w:rPr>
          <w:rFonts w:hint="eastAsia"/>
        </w:rPr>
        <w:t>、</w:t>
      </w:r>
      <w:r w:rsidR="00203F72" w:rsidRPr="00145751">
        <w:t>1831</w:t>
      </w:r>
      <w:r w:rsidR="00203F72" w:rsidRPr="00145751">
        <w:t>年（道光</w:t>
      </w:r>
      <w:r w:rsidR="00203F72" w:rsidRPr="00145751">
        <w:t>11</w:t>
      </w:r>
      <w:r w:rsidR="00203F72" w:rsidRPr="00145751">
        <w:t>年）訂定《嚴禁吸食條例》，嚴定買食鴉片煙罪名。</w:t>
      </w:r>
    </w:p>
    <w:p w14:paraId="62682F88" w14:textId="77777777" w:rsidR="00953151" w:rsidRPr="00145751" w:rsidRDefault="0039258A" w:rsidP="00D87D91">
      <w:r w:rsidRPr="00145751">
        <w:rPr>
          <w:rFonts w:hint="eastAsia"/>
        </w:rPr>
        <w:t xml:space="preserve">　　</w:t>
      </w:r>
      <w:r w:rsidRPr="00145751">
        <w:rPr>
          <w:rFonts w:hint="eastAsia"/>
        </w:rPr>
        <w:t>6</w:t>
      </w:r>
      <w:r w:rsidRPr="00145751">
        <w:rPr>
          <w:rFonts w:hint="eastAsia"/>
        </w:rPr>
        <w:t>、</w:t>
      </w:r>
      <w:r w:rsidR="00203F72" w:rsidRPr="00145751">
        <w:t>1832</w:t>
      </w:r>
      <w:r w:rsidR="00203F72" w:rsidRPr="00145751">
        <w:t>年（道光</w:t>
      </w:r>
      <w:r w:rsidR="00203F72" w:rsidRPr="00145751">
        <w:t>12</w:t>
      </w:r>
      <w:r w:rsidR="00203F72" w:rsidRPr="00145751">
        <w:t>年）道光皇帝下令，嚴禁弁兵吸食鴉片。</w:t>
      </w:r>
    </w:p>
    <w:p w14:paraId="51F461A7" w14:textId="77777777" w:rsidR="00953151" w:rsidRPr="00145751" w:rsidRDefault="0039258A" w:rsidP="00D87D91">
      <w:r w:rsidRPr="00145751">
        <w:t xml:space="preserve">　　</w:t>
      </w:r>
      <w:r w:rsidR="00203F72" w:rsidRPr="00145751">
        <w:t>在道光</w:t>
      </w:r>
      <w:r w:rsidR="00203F72" w:rsidRPr="00145751">
        <w:t>18</w:t>
      </w:r>
      <w:r w:rsidR="00203F72" w:rsidRPr="00145751">
        <w:t>年</w:t>
      </w:r>
      <w:r w:rsidR="00203F72" w:rsidRPr="00145751">
        <w:t>(1838</w:t>
      </w:r>
      <w:r w:rsidR="00203F72" w:rsidRPr="00145751">
        <w:t>年</w:t>
      </w:r>
      <w:r w:rsidR="00203F72" w:rsidRPr="00145751">
        <w:t>)</w:t>
      </w:r>
      <w:r w:rsidR="00203F72" w:rsidRPr="00145751">
        <w:t>，清朝道光皇帝下詔令，禁止人民吸食鴉片，同時，派遣林則徐督導兩粵，燒燬屬於英國人之阿片</w:t>
      </w:r>
      <w:r w:rsidR="00203F72" w:rsidRPr="00145751">
        <w:t>1</w:t>
      </w:r>
      <w:r w:rsidR="00203F72" w:rsidRPr="00145751">
        <w:t>萬</w:t>
      </w:r>
      <w:r w:rsidR="00203F72" w:rsidRPr="00145751">
        <w:t>3</w:t>
      </w:r>
      <w:r w:rsidR="00203F72" w:rsidRPr="00145751">
        <w:t>千</w:t>
      </w:r>
      <w:r w:rsidR="00203F72" w:rsidRPr="00145751">
        <w:t>6</w:t>
      </w:r>
      <w:r w:rsidR="00203F72" w:rsidRPr="00145751">
        <w:t>百餘箱。再者，於道光</w:t>
      </w:r>
      <w:r w:rsidR="00203F72" w:rsidRPr="00145751">
        <w:t>19</w:t>
      </w:r>
      <w:r w:rsidR="00203F72" w:rsidRPr="00145751">
        <w:t>年</w:t>
      </w:r>
      <w:r w:rsidR="00203F72" w:rsidRPr="00145751">
        <w:t>(1839</w:t>
      </w:r>
      <w:r w:rsidR="00203F72" w:rsidRPr="00145751">
        <w:t>年</w:t>
      </w:r>
      <w:r w:rsidR="00203F72" w:rsidRPr="00145751">
        <w:t>)6</w:t>
      </w:r>
      <w:r w:rsidR="00203F72" w:rsidRPr="00145751">
        <w:t>月，清朝政府頒布《欽定查禁鴉片章程》，本章程共計有</w:t>
      </w:r>
      <w:r w:rsidR="00203F72" w:rsidRPr="00145751">
        <w:t>39</w:t>
      </w:r>
      <w:r w:rsidR="00203F72" w:rsidRPr="00145751">
        <w:t>條，這是一部非常重要之反毒刑事法令。臺灣當時之兵備道，係為姚瑩氏，亦奉旨禁止臺灣民眾吸食鴉片。當時禁食鴉片之法令規定，係初犯者用刑罰加以處罰，再犯者則處死。因清朝政府禁止人民吸食鴉片，對於違反者，處以刑罰，一時之間，阿片幾絶。然而，英國人常以走私之犯罪方式至基隆</w:t>
      </w:r>
      <w:r w:rsidR="00203F72" w:rsidRPr="00145751">
        <w:t>(</w:t>
      </w:r>
      <w:r w:rsidR="00203F72" w:rsidRPr="00145751">
        <w:t>雞籠</w:t>
      </w:r>
      <w:r w:rsidR="00203F72" w:rsidRPr="00145751">
        <w:t>)</w:t>
      </w:r>
      <w:r w:rsidR="00203F72" w:rsidRPr="00145751">
        <w:t>，與好利之違法民眾互相勾結，而交換樟腦，藉由走私以牟利</w:t>
      </w:r>
      <w:r w:rsidR="00203F72" w:rsidRPr="00145751">
        <w:footnoteReference w:id="340"/>
      </w:r>
      <w:r w:rsidR="00203F72" w:rsidRPr="00145751">
        <w:t>。</w:t>
      </w:r>
    </w:p>
    <w:p w14:paraId="27531711" w14:textId="77777777" w:rsidR="00203F72" w:rsidRPr="00145751" w:rsidRDefault="0039258A" w:rsidP="00D87D91">
      <w:r w:rsidRPr="00145751">
        <w:t xml:space="preserve">　　</w:t>
      </w:r>
      <w:r w:rsidR="00203F72" w:rsidRPr="00145751">
        <w:t>上開清朝政府於</w:t>
      </w:r>
      <w:r w:rsidR="00203F72" w:rsidRPr="00145751">
        <w:t>1839</w:t>
      </w:r>
      <w:r w:rsidR="00203F72" w:rsidRPr="00145751">
        <w:t>年</w:t>
      </w:r>
      <w:r w:rsidR="00203F72" w:rsidRPr="00145751">
        <w:t>6</w:t>
      </w:r>
      <w:r w:rsidR="00203F72" w:rsidRPr="00145751">
        <w:t>月頒布之《欽定查禁鴉片章程》，共計有</w:t>
      </w:r>
      <w:r w:rsidR="00203F72" w:rsidRPr="00145751">
        <w:t>39</w:t>
      </w:r>
      <w:r w:rsidR="00203F72" w:rsidRPr="00145751">
        <w:t>條。《欽定查禁鴉片章程》具有以下若干特點</w:t>
      </w:r>
      <w:r w:rsidR="00203F72" w:rsidRPr="00145751">
        <w:footnoteReference w:id="341"/>
      </w:r>
      <w:r w:rsidR="00203F72" w:rsidRPr="00145751">
        <w:t>：</w:t>
      </w:r>
    </w:p>
    <w:p w14:paraId="39A8A105" w14:textId="77777777" w:rsidR="00203F72" w:rsidRPr="00145751" w:rsidRDefault="0039258A" w:rsidP="00D87D91">
      <w:r w:rsidRPr="00145751">
        <w:rPr>
          <w:rFonts w:hint="eastAsia"/>
        </w:rPr>
        <w:t xml:space="preserve">　　</w:t>
      </w:r>
      <w:r w:rsidRPr="00145751">
        <w:rPr>
          <w:rFonts w:hint="eastAsia"/>
        </w:rPr>
        <w:t>1</w:t>
      </w:r>
      <w:r w:rsidRPr="00145751">
        <w:rPr>
          <w:rFonts w:hint="eastAsia"/>
        </w:rPr>
        <w:t>、</w:t>
      </w:r>
      <w:r w:rsidR="00203F72" w:rsidRPr="00145751">
        <w:t>量刑較以往重：清政府於</w:t>
      </w:r>
      <w:r w:rsidR="00203F72" w:rsidRPr="00145751">
        <w:t>1729</w:t>
      </w:r>
      <w:r w:rsidR="00203F72" w:rsidRPr="00145751">
        <w:t>年</w:t>
      </w:r>
      <w:r w:rsidR="00203F72" w:rsidRPr="00145751">
        <w:t>(</w:t>
      </w:r>
      <w:r w:rsidR="00203F72" w:rsidRPr="00145751">
        <w:t>雍正</w:t>
      </w:r>
      <w:r w:rsidR="00203F72" w:rsidRPr="00145751">
        <w:t>7</w:t>
      </w:r>
      <w:r w:rsidR="00203F72" w:rsidRPr="00145751">
        <w:t>年</w:t>
      </w:r>
      <w:r w:rsidR="00203F72" w:rsidRPr="00145751">
        <w:t>)</w:t>
      </w:r>
      <w:r w:rsidR="00203F72" w:rsidRPr="00145751">
        <w:t>開始禁煙，直到</w:t>
      </w:r>
      <w:r w:rsidR="00203F72" w:rsidRPr="00145751">
        <w:t>1815</w:t>
      </w:r>
      <w:r w:rsidR="00203F72" w:rsidRPr="00145751">
        <w:t>年查禁鴉片煙章程為止，近百年中多次頒發的禁煙諭旨，對煙犯判處絞監候已屬最重罪行。而新定章程的量刑，量輕者為絞監候，重則斬立決。如對開設</w:t>
      </w:r>
      <w:r w:rsidR="002609BD">
        <w:t>窯</w:t>
      </w:r>
      <w:r w:rsidR="00203F72" w:rsidRPr="00145751">
        <w:t>口、私買鴉片囤積以發賣圖利者，定為梟首；開煙館定為絞立決；種罌粟定為絞監候。如係職官、兵丁、在官人役、宗室、覺羅、太監等犯鴉片煙罪者，均照平民加一等。</w:t>
      </w:r>
    </w:p>
    <w:p w14:paraId="15361F5A" w14:textId="77777777" w:rsidR="00203F72" w:rsidRPr="00145751" w:rsidRDefault="0039258A" w:rsidP="00D87D91">
      <w:r w:rsidRPr="00145751">
        <w:rPr>
          <w:rFonts w:hint="eastAsia"/>
        </w:rPr>
        <w:t xml:space="preserve">　　</w:t>
      </w:r>
      <w:r w:rsidRPr="00145751">
        <w:rPr>
          <w:rFonts w:hint="eastAsia"/>
        </w:rPr>
        <w:t>2</w:t>
      </w:r>
      <w:r w:rsidRPr="00145751">
        <w:rPr>
          <w:rFonts w:hint="eastAsia"/>
        </w:rPr>
        <w:t>、</w:t>
      </w:r>
      <w:r w:rsidR="00203F72" w:rsidRPr="00145751">
        <w:t>增加新內容：如開設</w:t>
      </w:r>
      <w:r w:rsidR="002609BD">
        <w:t>窯</w:t>
      </w:r>
      <w:r w:rsidR="00203F72" w:rsidRPr="00145751">
        <w:t>口、沿海員弁收受</w:t>
      </w:r>
      <w:r w:rsidR="002609BD">
        <w:t>窯</w:t>
      </w:r>
      <w:r w:rsidR="00203F72" w:rsidRPr="00145751">
        <w:t>口財物、寄囤鴉片煙於夷船、得財賣放鴉片煙案人犯之官役人等、禁卒人等傳遞鴉片煙、栽煙誣賴等，在以前均無專條規定，這次都不同程度地加以治罪。</w:t>
      </w:r>
    </w:p>
    <w:p w14:paraId="585D6DB3" w14:textId="77777777" w:rsidR="00953151" w:rsidRPr="00145751" w:rsidRDefault="0039258A" w:rsidP="00D87D91">
      <w:r w:rsidRPr="00145751">
        <w:rPr>
          <w:rFonts w:hint="eastAsia"/>
        </w:rPr>
        <w:t xml:space="preserve">　　</w:t>
      </w:r>
      <w:r w:rsidRPr="00145751">
        <w:rPr>
          <w:rFonts w:hint="eastAsia"/>
        </w:rPr>
        <w:t>3</w:t>
      </w:r>
      <w:r w:rsidRPr="00145751">
        <w:rPr>
          <w:rFonts w:hint="eastAsia"/>
        </w:rPr>
        <w:t>、</w:t>
      </w:r>
      <w:r w:rsidR="00203F72" w:rsidRPr="00145751">
        <w:t>所定各條中，對主管禁煙的文武官員忠於職守問題，要求較嚴：規定，凡主管禁煙官員，有得規故縱者革職，失於覺察者罰俸或降級。在三十九條中就有十六條附加這種規定。</w:t>
      </w:r>
    </w:p>
    <w:p w14:paraId="13465A1A" w14:textId="77777777" w:rsidR="00953151" w:rsidRPr="00167967" w:rsidRDefault="0039258A" w:rsidP="00D87D91">
      <w:r w:rsidRPr="00145751">
        <w:t xml:space="preserve">　　</w:t>
      </w:r>
      <w:r w:rsidR="00203F72" w:rsidRPr="00145751">
        <w:t>於道光</w:t>
      </w:r>
      <w:r w:rsidR="00203F72" w:rsidRPr="00145751">
        <w:t>19</w:t>
      </w:r>
      <w:r w:rsidR="00203F72" w:rsidRPr="00145751">
        <w:t>年（</w:t>
      </w:r>
      <w:r w:rsidR="00203F72" w:rsidRPr="00145751">
        <w:t>1839</w:t>
      </w:r>
      <w:r w:rsidR="00203F72" w:rsidRPr="00145751">
        <w:t>年）所頒布之《查禁鴉片章程》，這是清廷一部相當有系統性</w:t>
      </w:r>
      <w:r w:rsidR="00203F72" w:rsidRPr="00167967">
        <w:t>及全面性之禁毒法規，其是否亦對台灣地區產生法律上之效力？根據歷史文獻之記載，可以證明是肯定的，亦即，道光</w:t>
      </w:r>
      <w:r w:rsidR="00203F72" w:rsidRPr="00167967">
        <w:t>19</w:t>
      </w:r>
      <w:r w:rsidR="00203F72" w:rsidRPr="00167967">
        <w:t>年《查禁鴉片章程》亦對台灣發生效力，且該章程並且曾在台灣被加以施行。</w:t>
      </w:r>
    </w:p>
    <w:p w14:paraId="0CFB4468" w14:textId="77777777" w:rsidR="00953151" w:rsidRPr="00167967" w:rsidRDefault="0039258A" w:rsidP="00D87D91">
      <w:r w:rsidRPr="00167967">
        <w:t xml:space="preserve">　　</w:t>
      </w:r>
      <w:r w:rsidR="00203F72" w:rsidRPr="00167967">
        <w:t>玆以台灣外島金門為例說明之，在台灣文獻叢刊編號第</w:t>
      </w:r>
      <w:r w:rsidR="00203F72" w:rsidRPr="00167967">
        <w:t>80</w:t>
      </w:r>
      <w:r w:rsidR="00203F72" w:rsidRPr="00167967">
        <w:t>序號「金門志」第</w:t>
      </w:r>
      <w:r w:rsidR="00203F72" w:rsidRPr="00167967">
        <w:t>16</w:t>
      </w:r>
      <w:r w:rsidR="00203F72" w:rsidRPr="00167967">
        <w:t>卷舊事志部份，有記載金門之過去歷史，「金門志」一書係由清朝金門人林焜熿氏所加以纂輯。「金門志」並提及於道光</w:t>
      </w:r>
      <w:r w:rsidR="00203F72" w:rsidRPr="00167967">
        <w:t>19</w:t>
      </w:r>
      <w:r w:rsidR="00203F72" w:rsidRPr="00167967">
        <w:t>年間，清朝於金門地區嚴禁鴉片</w:t>
      </w:r>
      <w:r w:rsidR="00203F72" w:rsidRPr="00167967">
        <w:footnoteReference w:id="342"/>
      </w:r>
      <w:r w:rsidR="00203F72" w:rsidRPr="00167967">
        <w:t>。是以，依據林焜熿氏之「金門志」文獻，似應可推斷道光</w:t>
      </w:r>
      <w:r w:rsidR="00203F72" w:rsidRPr="00167967">
        <w:t>19</w:t>
      </w:r>
      <w:r w:rsidR="00203F72" w:rsidRPr="00167967">
        <w:t>年《查禁鴉片章程》在金門亦曾被加以施行。如金門亦實施，則台灣本島理亦應施行《查禁鴉片章程》。</w:t>
      </w:r>
    </w:p>
    <w:p w14:paraId="1E7BFCA9" w14:textId="77777777" w:rsidR="00953151" w:rsidRPr="00167967" w:rsidRDefault="0039258A" w:rsidP="00D87D91">
      <w:r w:rsidRPr="00167967">
        <w:t xml:space="preserve">　　</w:t>
      </w:r>
      <w:r w:rsidR="00203F72" w:rsidRPr="00167967">
        <w:t>在</w:t>
      </w:r>
      <w:r w:rsidR="00203F72" w:rsidRPr="00167967">
        <w:t>1838</w:t>
      </w:r>
      <w:r w:rsidR="00203F72" w:rsidRPr="00167967">
        <w:t>年</w:t>
      </w:r>
      <w:r w:rsidR="00203F72" w:rsidRPr="00167967">
        <w:t>(</w:t>
      </w:r>
      <w:r w:rsidR="00203F72" w:rsidRPr="00167967">
        <w:t>道光</w:t>
      </w:r>
      <w:r w:rsidR="00203F72" w:rsidRPr="00167967">
        <w:t>18</w:t>
      </w:r>
      <w:r w:rsidR="00203F72" w:rsidRPr="00167967">
        <w:t>年</w:t>
      </w:r>
      <w:r w:rsidR="00203F72" w:rsidRPr="00167967">
        <w:t>)</w:t>
      </w:r>
      <w:r w:rsidR="00203F72" w:rsidRPr="00167967">
        <w:t>間，台灣兵備道姚瑩氏亦曾奉按察使</w:t>
      </w:r>
      <w:r w:rsidR="00203F72" w:rsidRPr="00167967">
        <w:t>(</w:t>
      </w:r>
      <w:r w:rsidR="00203F72" w:rsidRPr="00167967">
        <w:t>憲臺</w:t>
      </w:r>
      <w:r w:rsidR="00203F72" w:rsidRPr="00167967">
        <w:t>)</w:t>
      </w:r>
      <w:r w:rsidR="00203F72" w:rsidRPr="00167967">
        <w:t>之命令，就嘉義樸子地區販賣、吸食鴉片及開設煙館之毒品犯罪行為進行取締執法工作。依據姚瑩氏所撰之「覆鍾制府言事狀」，該文被收錄於台灣文獻叢刊編號第</w:t>
      </w:r>
      <w:r w:rsidR="00203F72" w:rsidRPr="00167967">
        <w:t>83</w:t>
      </w:r>
      <w:r w:rsidR="00203F72" w:rsidRPr="00167967">
        <w:t>種</w:t>
      </w:r>
      <w:hyperlink r:id="rId1639" w:history="1">
        <w:r w:rsidR="00203F72" w:rsidRPr="00167967">
          <w:rPr>
            <w:rStyle w:val="a5"/>
          </w:rPr>
          <w:t>中復堂選集</w:t>
        </w:r>
      </w:hyperlink>
      <w:r w:rsidR="00203F72" w:rsidRPr="00167967">
        <w:t>之中，於該選集中之「東溟文後集卷三」，姚瑩氏曾記載當時之情形。</w:t>
      </w:r>
    </w:p>
    <w:p w14:paraId="15989FB0" w14:textId="77777777" w:rsidR="00953151" w:rsidRPr="00167967" w:rsidRDefault="0039258A" w:rsidP="00D87D91">
      <w:r w:rsidRPr="00167967">
        <w:t xml:space="preserve">　　</w:t>
      </w:r>
      <w:r w:rsidR="00203F72" w:rsidRPr="00167967">
        <w:t>根據上文之記載，在</w:t>
      </w:r>
      <w:r w:rsidR="00203F72" w:rsidRPr="00167967">
        <w:t>1838</w:t>
      </w:r>
      <w:r w:rsidR="00203F72" w:rsidRPr="00167967">
        <w:t>年，憲臺</w:t>
      </w:r>
      <w:r w:rsidR="00203F72" w:rsidRPr="00167967">
        <w:t>(</w:t>
      </w:r>
      <w:r w:rsidR="00203F72" w:rsidRPr="00167967">
        <w:t>按察使</w:t>
      </w:r>
      <w:r w:rsidR="00203F72" w:rsidRPr="00167967">
        <w:t>)</w:t>
      </w:r>
      <w:r w:rsidR="00203F72" w:rsidRPr="00167967">
        <w:t>曾發出一個下行公函，命令姚瑩氏嚴加取締嘉義縣樸仔腳</w:t>
      </w:r>
      <w:r w:rsidR="00203F72" w:rsidRPr="00167967">
        <w:t>(</w:t>
      </w:r>
      <w:r w:rsidR="00203F72" w:rsidRPr="00167967">
        <w:t>即今樸子</w:t>
      </w:r>
      <w:r w:rsidR="00203F72" w:rsidRPr="00167967">
        <w:t>)</w:t>
      </w:r>
      <w:r w:rsidR="00203F72" w:rsidRPr="00167967">
        <w:t>地方船戶私販鴉片之犯罪行為，由於販賣鴉片之犯行，結果導致臺地洋銀缺少。因嘉義縣樸仔腳外部即為內海，又名樹苓湖，當載有鴉片之商船靠岸之時，即有民眾偷用小船接運鴉片進口。當時之執法困境，是當清朝兵役查獲之際，亦即當執法查獲販賣鴉片行為之時，執法人員往往得錢賣放。亦即，清朝執法人員向鴉片犯罪人拿取毒品賄款之後，即釋放販賣鴉片之毒品犯罪人。</w:t>
      </w:r>
    </w:p>
    <w:p w14:paraId="1B32D092" w14:textId="77777777" w:rsidR="00953151" w:rsidRPr="00167967" w:rsidRDefault="0039258A" w:rsidP="00D87D91">
      <w:r w:rsidRPr="00167967">
        <w:t xml:space="preserve">　　</w:t>
      </w:r>
      <w:r w:rsidR="00203F72" w:rsidRPr="00167967">
        <w:t>當時，除了禁止販賣鴉片之外，姚瑩氏之上級長官並要求其加重食煙人之罪名，是以，依據姚瑩氏上開所撰之「覆鍾制府言事狀」一文，可以清楚得知於</w:t>
      </w:r>
      <w:r w:rsidR="00203F72" w:rsidRPr="00167967">
        <w:t>1838</w:t>
      </w:r>
      <w:r w:rsidR="00203F72" w:rsidRPr="00167967">
        <w:t>年之時，台灣地區除了禁止販賣鴉片之外，同時，亦禁止吸食鴉片。而禁止吸食鴉片之法源依據，有可能是</w:t>
      </w:r>
      <w:r w:rsidR="00203F72" w:rsidRPr="00167967">
        <w:t>1831</w:t>
      </w:r>
      <w:r w:rsidR="00203F72" w:rsidRPr="00167967">
        <w:t>年（道光</w:t>
      </w:r>
      <w:r w:rsidR="00203F72" w:rsidRPr="00167967">
        <w:t>11</w:t>
      </w:r>
      <w:r w:rsidR="00203F72" w:rsidRPr="00167967">
        <w:t>年）年間訂定及公布之《嚴禁吸食條例》，該條例嚴定買食鴉片煙之罪名。</w:t>
      </w:r>
    </w:p>
    <w:p w14:paraId="07783C45" w14:textId="77777777" w:rsidR="00953151" w:rsidRPr="00167967" w:rsidRDefault="0039258A" w:rsidP="00D87D91">
      <w:r w:rsidRPr="00167967">
        <w:t xml:space="preserve">　　</w:t>
      </w:r>
      <w:r w:rsidR="00203F72" w:rsidRPr="00167967">
        <w:t>此外，嘉義地區尚開設多處鴉片煙館，姚瑩氏亦嚴加取締，導致嘉義地區各處煙館皆紛紛關閉。是以，於</w:t>
      </w:r>
      <w:r w:rsidR="00203F72" w:rsidRPr="00167967">
        <w:t>1838</w:t>
      </w:r>
      <w:r w:rsidR="00203F72" w:rsidRPr="00167967">
        <w:t>年，亦可推斷台灣地區亦禁止開設鴉片煙館。開設鴉片煙館之行為，仍屬清朝禁止之違法行為，係屬於一種毒品犯罪行為。</w:t>
      </w:r>
    </w:p>
    <w:p w14:paraId="2AACE4A1" w14:textId="77777777" w:rsidR="00953151" w:rsidRPr="00167967" w:rsidRDefault="0039258A" w:rsidP="00D87D91">
      <w:r w:rsidRPr="00167967">
        <w:t xml:space="preserve">　　</w:t>
      </w:r>
      <w:r w:rsidR="00203F72" w:rsidRPr="00167967">
        <w:t>清朝於道光</w:t>
      </w:r>
      <w:r w:rsidR="00203F72" w:rsidRPr="00167967">
        <w:t>18</w:t>
      </w:r>
      <w:r w:rsidR="00203F72" w:rsidRPr="00167967">
        <w:t>年</w:t>
      </w:r>
      <w:r w:rsidR="00203F72" w:rsidRPr="00167967">
        <w:t>(1838</w:t>
      </w:r>
      <w:r w:rsidR="00203F72" w:rsidRPr="00167967">
        <w:t>年</w:t>
      </w:r>
      <w:r w:rsidR="00203F72" w:rsidRPr="00167967">
        <w:t>)</w:t>
      </w:r>
      <w:r w:rsidR="00203F72" w:rsidRPr="00167967">
        <w:t>間禁煙時，臺灣道姚瑩奉旨禁止臺灣民眾吸食鴉片。然於道光年間，因執法及取締不力，造成走私猖獗。於鹹豐年間，在</w:t>
      </w:r>
      <w:r w:rsidR="00203F72" w:rsidRPr="00167967">
        <w:t>1858</w:t>
      </w:r>
      <w:r w:rsidR="00203F72" w:rsidRPr="00167967">
        <w:t>年（鹹豐八年）</w:t>
      </w:r>
      <w:r w:rsidR="00203F72" w:rsidRPr="00167967">
        <w:t>11</w:t>
      </w:r>
      <w:r w:rsidR="00203F72" w:rsidRPr="00167967">
        <w:t>月，清朝政府與英國簽訂《通商章程善後條約》，鴉片貿易開始合法化。</w:t>
      </w:r>
    </w:p>
    <w:p w14:paraId="45CBCBDB" w14:textId="77777777" w:rsidR="00953151" w:rsidRDefault="0039258A" w:rsidP="00D87D91">
      <w:r w:rsidRPr="00167967">
        <w:t xml:space="preserve">　　</w:t>
      </w:r>
      <w:r w:rsidR="00203F72" w:rsidRPr="00167967">
        <w:t>整體來看，於本時期中</w:t>
      </w:r>
      <w:r w:rsidR="00203F72" w:rsidRPr="00167967">
        <w:t>(1730</w:t>
      </w:r>
      <w:r w:rsidR="00203F72" w:rsidRPr="00167967">
        <w:t>至</w:t>
      </w:r>
      <w:r w:rsidR="00203F72" w:rsidRPr="00167967">
        <w:t>1895</w:t>
      </w:r>
      <w:r w:rsidR="00203F72" w:rsidRPr="00167967">
        <w:t>年</w:t>
      </w:r>
      <w:r w:rsidR="00203F72" w:rsidRPr="00167967">
        <w:footnoteReference w:id="343"/>
      </w:r>
      <w:r w:rsidR="00203F72" w:rsidRPr="00167967">
        <w:t>)</w:t>
      </w:r>
      <w:r w:rsidR="00203F72" w:rsidRPr="00167967">
        <w:t>，清朝時期之毒品刑事政策，可以再切割為</w:t>
      </w:r>
      <w:r w:rsidR="00203F72" w:rsidRPr="00167967">
        <w:t>2</w:t>
      </w:r>
      <w:r w:rsidR="00203F72" w:rsidRPr="00167967">
        <w:t>個不同階段，在早期</w:t>
      </w:r>
      <w:r w:rsidR="00203F72" w:rsidRPr="00167967">
        <w:t>(1730</w:t>
      </w:r>
      <w:r w:rsidR="00203F72" w:rsidRPr="00167967">
        <w:t>至</w:t>
      </w:r>
      <w:r w:rsidR="00203F72" w:rsidRPr="00167967">
        <w:t>1862</w:t>
      </w:r>
      <w:r w:rsidR="00203F72" w:rsidRPr="00167967">
        <w:t>年</w:t>
      </w:r>
      <w:r w:rsidR="00203F72" w:rsidRPr="00167967">
        <w:t>)</w:t>
      </w:r>
      <w:r w:rsidR="00203F72" w:rsidRPr="00167967">
        <w:t>，台灣開始禁止販賣及禁止吸食鴉片，清朝係採取嚴厲禁煙的毒品政策，是為台灣犯罪化鴉片之開始。在後期</w:t>
      </w:r>
      <w:r w:rsidR="00203F72" w:rsidRPr="00167967">
        <w:t>(1862</w:t>
      </w:r>
      <w:r w:rsidR="00203F72" w:rsidRPr="00167967">
        <w:t>至</w:t>
      </w:r>
      <w:r w:rsidR="00203F72" w:rsidRPr="00167967">
        <w:t>1895</w:t>
      </w:r>
      <w:r w:rsidR="00203F72" w:rsidRPr="00167967">
        <w:t>年</w:t>
      </w:r>
      <w:r w:rsidR="00203F72" w:rsidRPr="00167967">
        <w:t>)</w:t>
      </w:r>
      <w:r w:rsidR="00203F72" w:rsidRPr="00167967">
        <w:t>，因清朝與英國簽訂上述之《通商章程善後條約》之故，清朝於台灣地區的毒品施用政策方向，則改為合法化與除罪化。</w:t>
      </w:r>
    </w:p>
    <w:p w14:paraId="36586275" w14:textId="77777777" w:rsidR="003B41D4"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00E91F89">
        <w:rPr>
          <w:rFonts w:ascii="新細明體" w:hAnsi="新細明體"/>
          <w:color w:val="808000"/>
        </w:rPr>
        <w:t>〉〉</w:t>
      </w:r>
    </w:p>
    <w:p w14:paraId="77C5EA6F" w14:textId="77777777" w:rsidR="003B41D4" w:rsidRPr="00167967" w:rsidRDefault="003B41D4" w:rsidP="00D87D91"/>
    <w:p w14:paraId="7EBF8C8C" w14:textId="77777777" w:rsidR="00953151" w:rsidRDefault="00203F72" w:rsidP="00767F37">
      <w:pPr>
        <w:pStyle w:val="2"/>
      </w:pPr>
      <w:bookmarkStart w:id="71" w:name="_肆、日據時代之毒品刑事政策(1895至1945年)：鴉片專賣、吸食特許"/>
      <w:bookmarkEnd w:id="71"/>
      <w:r w:rsidRPr="00A53581">
        <w:t>肆、日據時代之毒品刑事政策</w:t>
      </w:r>
      <w:r w:rsidRPr="00A53581">
        <w:t>(1895</w:t>
      </w:r>
      <w:r w:rsidRPr="00A53581">
        <w:t>至</w:t>
      </w:r>
      <w:r w:rsidRPr="00A53581">
        <w:t>1945</w:t>
      </w:r>
      <w:r w:rsidRPr="00A53581">
        <w:t>年</w:t>
      </w:r>
      <w:r w:rsidRPr="00A53581">
        <w:t>)</w:t>
      </w:r>
      <w:r w:rsidRPr="00A53581">
        <w:t>：鴉片專賣、吸食特許、漸禁施用鴉片</w:t>
      </w:r>
    </w:p>
    <w:p w14:paraId="157FCA2D" w14:textId="77777777" w:rsidR="00203F72" w:rsidRPr="00167967" w:rsidRDefault="0039258A" w:rsidP="00D87D91">
      <w:pPr>
        <w:pStyle w:val="aff4"/>
      </w:pPr>
      <w:r w:rsidRPr="00167967">
        <w:t xml:space="preserve">　　</w:t>
      </w:r>
      <w:r w:rsidR="00203F72" w:rsidRPr="00167967">
        <w:t>本時期雖有台灣阿片令之制定及實施，實施鴉片專賣之制度。但台灣阿片令是日本實施鴉片專賣制度之執法工具，其主要之目的，係欲增加台灣總督府之經濟稅收。除此之外，亦有管制鴉片被濫用之功能。根據《臺灣鴉片令》，台灣各縣廳即可核發阿片吸食特許證。日本台灣總督府除了於</w:t>
      </w:r>
      <w:r w:rsidR="00203F72" w:rsidRPr="00167967">
        <w:t>1896</w:t>
      </w:r>
      <w:r w:rsidR="00203F72" w:rsidRPr="00167967">
        <w:t>年（明治</w:t>
      </w:r>
      <w:r w:rsidR="00203F72" w:rsidRPr="00167967">
        <w:t>29</w:t>
      </w:r>
      <w:r w:rsidR="00203F72" w:rsidRPr="00167967">
        <w:t>年）</w:t>
      </w:r>
      <w:r w:rsidR="00203F72" w:rsidRPr="00167967">
        <w:t>2</w:t>
      </w:r>
      <w:r w:rsidR="00203F72" w:rsidRPr="00167967">
        <w:t>月頒佈「鴉片煙取締規則」外，並於明治</w:t>
      </w:r>
      <w:r w:rsidR="00203F72" w:rsidRPr="00167967">
        <w:t>30</w:t>
      </w:r>
      <w:r w:rsidR="00203F72" w:rsidRPr="00167967">
        <w:t>年</w:t>
      </w:r>
      <w:r w:rsidR="00203F72" w:rsidRPr="00167967">
        <w:t>(1897</w:t>
      </w:r>
      <w:r w:rsidR="00203F72" w:rsidRPr="00167967">
        <w:t>年</w:t>
      </w:r>
      <w:r w:rsidR="00203F72" w:rsidRPr="00167967">
        <w:t xml:space="preserve">) </w:t>
      </w:r>
      <w:r w:rsidR="00203F72" w:rsidRPr="00167967">
        <w:t>頒佈實施以下之鴉片管制法令：「臺灣鴉片令」、「台灣鴉片例」</w:t>
      </w:r>
      <w:r w:rsidR="00203F72" w:rsidRPr="00167967">
        <w:footnoteReference w:id="344"/>
      </w:r>
      <w:r w:rsidR="00203F72" w:rsidRPr="00167967">
        <w:t>及「台灣鴉片例舉辦章程」</w:t>
      </w:r>
      <w:r w:rsidR="00203F72" w:rsidRPr="00167967">
        <w:footnoteReference w:id="345"/>
      </w:r>
      <w:r w:rsidR="00203F72" w:rsidRPr="00167967">
        <w:t xml:space="preserve"> (</w:t>
      </w:r>
      <w:r w:rsidR="00203F72" w:rsidRPr="00167967">
        <w:t>又名台灣阿片令施行細則、台灣鴉片令施行規則、臺灣鴉片令舉辦章程</w:t>
      </w:r>
      <w:r w:rsidR="00203F72" w:rsidRPr="00167967">
        <w:t xml:space="preserve">) </w:t>
      </w:r>
      <w:r w:rsidR="00203F72" w:rsidRPr="00167967">
        <w:footnoteReference w:id="346"/>
      </w:r>
      <w:r w:rsidR="00203F72" w:rsidRPr="00167967">
        <w:t>。有關台灣各縣廳核發「阿片煙膏購買吸食特許證件」時程，如下所述</w:t>
      </w:r>
      <w:r w:rsidR="00203F72" w:rsidRPr="00167967">
        <w:footnoteReference w:id="347"/>
      </w:r>
      <w:r w:rsidR="00203F72" w:rsidRPr="00167967">
        <w:t>。</w:t>
      </w:r>
    </w:p>
    <w:p w14:paraId="627BE8CD" w14:textId="77777777" w:rsidR="00203F72" w:rsidRPr="00167967" w:rsidRDefault="0039258A" w:rsidP="00D87D91">
      <w:r w:rsidRPr="00167967">
        <w:t xml:space="preserve">　　</w:t>
      </w:r>
      <w:r w:rsidR="00203F72" w:rsidRPr="00167967">
        <w:t>台灣各縣廳：明治</w:t>
      </w:r>
      <w:r w:rsidR="00203F72" w:rsidRPr="00167967">
        <w:t>30</w:t>
      </w:r>
      <w:r w:rsidR="00203F72" w:rsidRPr="00167967">
        <w:t>年</w:t>
      </w:r>
      <w:r w:rsidR="00203F72" w:rsidRPr="00167967">
        <w:t>(1897</w:t>
      </w:r>
      <w:r w:rsidR="00203F72" w:rsidRPr="00167967">
        <w:t>年</w:t>
      </w:r>
      <w:r w:rsidR="00203F72" w:rsidRPr="00167967">
        <w:t>)</w:t>
      </w:r>
      <w:r w:rsidR="00203F72" w:rsidRPr="00167967">
        <w:t>。</w:t>
      </w:r>
    </w:p>
    <w:p w14:paraId="469EF31D" w14:textId="77777777" w:rsidR="00203F72" w:rsidRPr="00167967" w:rsidRDefault="0039258A" w:rsidP="00D87D91">
      <w:r w:rsidRPr="00167967">
        <w:t xml:space="preserve">　　</w:t>
      </w:r>
      <w:r w:rsidR="00203F72" w:rsidRPr="00167967">
        <w:t>澎湖廳：明治</w:t>
      </w:r>
      <w:r w:rsidR="00203F72" w:rsidRPr="00167967">
        <w:t>30</w:t>
      </w:r>
      <w:r w:rsidR="00203F72" w:rsidRPr="00167967">
        <w:t>年</w:t>
      </w:r>
      <w:r w:rsidR="00203F72" w:rsidRPr="00167967">
        <w:t>(1897</w:t>
      </w:r>
      <w:r w:rsidR="00203F72" w:rsidRPr="00167967">
        <w:t>年</w:t>
      </w:r>
      <w:r w:rsidR="00203F72" w:rsidRPr="00167967">
        <w:t>)6</w:t>
      </w:r>
      <w:r w:rsidR="00203F72" w:rsidRPr="00167967">
        <w:t>月。</w:t>
      </w:r>
    </w:p>
    <w:p w14:paraId="5AE175ED" w14:textId="77777777" w:rsidR="00203F72" w:rsidRPr="00167967" w:rsidRDefault="0039258A" w:rsidP="00D87D91">
      <w:r w:rsidRPr="00167967">
        <w:t xml:space="preserve">　　</w:t>
      </w:r>
      <w:r w:rsidR="00203F72" w:rsidRPr="00167967">
        <w:t>台東廳：明治</w:t>
      </w:r>
      <w:r w:rsidR="00203F72" w:rsidRPr="00167967">
        <w:t>30</w:t>
      </w:r>
      <w:r w:rsidR="00203F72" w:rsidRPr="00167967">
        <w:t>年</w:t>
      </w:r>
      <w:r w:rsidR="00203F72" w:rsidRPr="00167967">
        <w:t>(1897</w:t>
      </w:r>
      <w:r w:rsidR="00203F72" w:rsidRPr="00167967">
        <w:t>年</w:t>
      </w:r>
      <w:r w:rsidR="00203F72" w:rsidRPr="00167967">
        <w:t>)7</w:t>
      </w:r>
      <w:r w:rsidR="00203F72" w:rsidRPr="00167967">
        <w:t>月。</w:t>
      </w:r>
    </w:p>
    <w:p w14:paraId="1675EF80" w14:textId="77777777" w:rsidR="00203F72" w:rsidRPr="00167967" w:rsidRDefault="0039258A" w:rsidP="00D87D91">
      <w:r w:rsidRPr="00167967">
        <w:t xml:space="preserve">　　</w:t>
      </w:r>
      <w:r w:rsidR="00203F72" w:rsidRPr="00167967">
        <w:t>臺北廳：明治</w:t>
      </w:r>
      <w:r w:rsidR="00203F72" w:rsidRPr="00167967">
        <w:t>30</w:t>
      </w:r>
      <w:r w:rsidR="00203F72" w:rsidRPr="00167967">
        <w:t>年</w:t>
      </w:r>
      <w:r w:rsidR="00203F72" w:rsidRPr="00167967">
        <w:t>(1897</w:t>
      </w:r>
      <w:r w:rsidR="00203F72" w:rsidRPr="00167967">
        <w:t>年</w:t>
      </w:r>
      <w:r w:rsidR="00203F72" w:rsidRPr="00167967">
        <w:t>)3</w:t>
      </w:r>
      <w:r w:rsidR="00203F72" w:rsidRPr="00167967">
        <w:t>月。</w:t>
      </w:r>
    </w:p>
    <w:p w14:paraId="4571B247" w14:textId="77777777" w:rsidR="00203F72" w:rsidRPr="00167967" w:rsidRDefault="0039258A" w:rsidP="00D87D91">
      <w:r w:rsidRPr="00167967">
        <w:t xml:space="preserve">　　</w:t>
      </w:r>
      <w:r w:rsidR="00203F72" w:rsidRPr="00167967">
        <w:t>宜蘭廳：明治</w:t>
      </w:r>
      <w:r w:rsidR="00203F72" w:rsidRPr="00167967">
        <w:t>30</w:t>
      </w:r>
      <w:r w:rsidR="00203F72" w:rsidRPr="00167967">
        <w:t>年</w:t>
      </w:r>
      <w:r w:rsidR="00203F72" w:rsidRPr="00167967">
        <w:t>(1897</w:t>
      </w:r>
      <w:r w:rsidR="00203F72" w:rsidRPr="00167967">
        <w:t>年</w:t>
      </w:r>
      <w:r w:rsidR="00203F72" w:rsidRPr="00167967">
        <w:t>)3</w:t>
      </w:r>
      <w:r w:rsidR="00203F72" w:rsidRPr="00167967">
        <w:t>月。</w:t>
      </w:r>
    </w:p>
    <w:p w14:paraId="35D13126" w14:textId="77777777" w:rsidR="00203F72" w:rsidRPr="00167967" w:rsidRDefault="0039258A" w:rsidP="00D87D91">
      <w:r w:rsidRPr="00167967">
        <w:t xml:space="preserve">　　</w:t>
      </w:r>
      <w:r w:rsidR="00203F72" w:rsidRPr="00167967">
        <w:t>台中廳：明治</w:t>
      </w:r>
      <w:r w:rsidR="00203F72" w:rsidRPr="00167967">
        <w:t>30</w:t>
      </w:r>
      <w:r w:rsidR="00203F72" w:rsidRPr="00167967">
        <w:t>年</w:t>
      </w:r>
      <w:r w:rsidR="00203F72" w:rsidRPr="00167967">
        <w:t>(1897</w:t>
      </w:r>
      <w:r w:rsidR="00203F72" w:rsidRPr="00167967">
        <w:t>年</w:t>
      </w:r>
      <w:r w:rsidR="00203F72" w:rsidRPr="00167967">
        <w:t>)5</w:t>
      </w:r>
      <w:r w:rsidR="00203F72" w:rsidRPr="00167967">
        <w:t>月。</w:t>
      </w:r>
    </w:p>
    <w:p w14:paraId="3557531A" w14:textId="77777777" w:rsidR="00953151" w:rsidRPr="00167967" w:rsidRDefault="0039258A" w:rsidP="00D87D91">
      <w:r w:rsidRPr="00167967">
        <w:t xml:space="preserve">　　</w:t>
      </w:r>
      <w:r w:rsidR="00203F72" w:rsidRPr="00167967">
        <w:t>台南廳：明治</w:t>
      </w:r>
      <w:r w:rsidR="00203F72" w:rsidRPr="00167967">
        <w:t>30</w:t>
      </w:r>
      <w:r w:rsidR="00203F72" w:rsidRPr="00167967">
        <w:t>年</w:t>
      </w:r>
      <w:r w:rsidR="00203F72" w:rsidRPr="00167967">
        <w:t>(1897</w:t>
      </w:r>
      <w:r w:rsidR="00203F72" w:rsidRPr="00167967">
        <w:t>年</w:t>
      </w:r>
      <w:r w:rsidR="00203F72" w:rsidRPr="00167967">
        <w:t>)9</w:t>
      </w:r>
      <w:r w:rsidR="00203F72" w:rsidRPr="00167967">
        <w:t>月。</w:t>
      </w:r>
    </w:p>
    <w:p w14:paraId="721BCD2E" w14:textId="77777777" w:rsidR="00953151" w:rsidRPr="00167967" w:rsidRDefault="0039258A" w:rsidP="00D87D91">
      <w:r w:rsidRPr="00167967">
        <w:t xml:space="preserve">　　</w:t>
      </w:r>
      <w:r w:rsidR="00203F72" w:rsidRPr="00167967">
        <w:t>日據時期，台灣整體的管制鴉片法制體系，可以自下列之關係表中加以瞭解之</w:t>
      </w:r>
      <w:r w:rsidR="00203F72" w:rsidRPr="00167967">
        <w:footnoteReference w:id="348"/>
      </w:r>
      <w:r w:rsidR="00203F72" w:rsidRPr="00167967">
        <w:t>。臺灣鴉片令是具有法律地位之律令。在管制鴉片之所有法規中，具有母法及最高層次之法律地位。臺灣鴉片令施行規則之法律地位，則是根據臺灣總督府之府令加以發布，是一部行政命令，而非律令，並不具有法律地位。</w:t>
      </w:r>
    </w:p>
    <w:p w14:paraId="2F9B5B84" w14:textId="77777777" w:rsidR="00953151" w:rsidRPr="00167967" w:rsidRDefault="0039258A" w:rsidP="00D87D91">
      <w:r w:rsidRPr="00167967">
        <w:t xml:space="preserve">　　</w:t>
      </w:r>
      <w:r w:rsidR="00203F72" w:rsidRPr="00167967">
        <w:t>臺灣鴉片令施行手續是依據台灣總督府民政部</w:t>
      </w:r>
      <w:r w:rsidR="00203F72" w:rsidRPr="00167967">
        <w:t>(</w:t>
      </w:r>
      <w:r w:rsidR="00203F72" w:rsidRPr="00167967">
        <w:t>局</w:t>
      </w:r>
      <w:r w:rsidR="00203F72" w:rsidRPr="00167967">
        <w:t>)</w:t>
      </w:r>
      <w:r w:rsidR="00203F72" w:rsidRPr="00167967">
        <w:t>之內訓令加以發布，鴉片監</w:t>
      </w:r>
      <w:r w:rsidR="003E240E">
        <w:t>視</w:t>
      </w:r>
      <w:r w:rsidR="00203F72" w:rsidRPr="00167967">
        <w:t>規則標準亦是根據臺灣總督府民政局之內訓令加以發布之。在中央政府臺灣總督府之層次方面，法規地位由高至低之層級，係為：律令</w:t>
      </w:r>
      <w:r w:rsidR="00203F72" w:rsidRPr="00167967">
        <w:t>(</w:t>
      </w:r>
      <w:r w:rsidR="00203F72" w:rsidRPr="00167967">
        <w:t>等同於法律地位</w:t>
      </w:r>
      <w:r w:rsidR="00203F72" w:rsidRPr="00167967">
        <w:t>)</w:t>
      </w:r>
      <w:r w:rsidR="00203F72" w:rsidRPr="00167967">
        <w:footnoteReference w:id="349"/>
      </w:r>
      <w:r w:rsidR="00203F72" w:rsidRPr="00167967">
        <w:t>、臺灣總督府之府令</w:t>
      </w:r>
      <w:r w:rsidR="00203F72" w:rsidRPr="00167967">
        <w:footnoteReference w:id="350"/>
      </w:r>
      <w:r w:rsidR="00203F72" w:rsidRPr="00167967">
        <w:t>及臺灣總督府內部單位之內訓令</w:t>
      </w:r>
      <w:r w:rsidR="00203F72" w:rsidRPr="00167967">
        <w:footnoteReference w:id="351"/>
      </w:r>
      <w:r w:rsidR="00203F72" w:rsidRPr="00167967">
        <w:t>。其中，有關臺灣總督府內部單位之內訓令仍以台灣總督之名義發文，受文者則為各州廳之知事或廳長。各個地方州廳所頒布之行政命令，亦屬於內訓令</w:t>
      </w:r>
      <w:r w:rsidR="00203F72" w:rsidRPr="00167967">
        <w:footnoteReference w:id="352"/>
      </w:r>
      <w:r w:rsidR="00203F72" w:rsidRPr="00167967">
        <w:t>。</w:t>
      </w:r>
    </w:p>
    <w:p w14:paraId="7612AFE4" w14:textId="77777777" w:rsidR="00203F72" w:rsidRPr="00167967" w:rsidRDefault="0039258A" w:rsidP="00D87D91">
      <w:r w:rsidRPr="00167967">
        <w:t xml:space="preserve">　　</w:t>
      </w:r>
      <w:r w:rsidR="00203F72" w:rsidRPr="00167967">
        <w:t>明治</w:t>
      </w:r>
      <w:r w:rsidR="00203F72" w:rsidRPr="00167967">
        <w:t>30</w:t>
      </w:r>
      <w:r w:rsidR="00203F72" w:rsidRPr="00167967">
        <w:t>年</w:t>
      </w:r>
      <w:r w:rsidR="00203F72" w:rsidRPr="00167967">
        <w:t>(1897</w:t>
      </w:r>
      <w:r w:rsidR="00203F72" w:rsidRPr="00167967">
        <w:t>年</w:t>
      </w:r>
      <w:r w:rsidR="00203F72" w:rsidRPr="00167967">
        <w:t>)</w:t>
      </w:r>
      <w:r w:rsidR="00203F72" w:rsidRPr="00167967">
        <w:t>公布的「臺灣阿片令」是其後鴉片專賣制度的基礎，其主要的特色，如下所述</w:t>
      </w:r>
      <w:r w:rsidR="00203F72" w:rsidRPr="00167967">
        <w:footnoteReference w:id="353"/>
      </w:r>
      <w:r w:rsidR="00203F72" w:rsidRPr="00167967">
        <w:t xml:space="preserve"> </w:t>
      </w:r>
      <w:r w:rsidR="00203F72" w:rsidRPr="00167967">
        <w:t>：</w:t>
      </w:r>
    </w:p>
    <w:p w14:paraId="45F2AEF8" w14:textId="77777777" w:rsidR="00203F72" w:rsidRPr="00167967" w:rsidRDefault="0039258A" w:rsidP="00D87D91">
      <w:r w:rsidRPr="00167967">
        <w:rPr>
          <w:rFonts w:hint="eastAsia"/>
        </w:rPr>
        <w:t xml:space="preserve">　　</w:t>
      </w:r>
      <w:r w:rsidRPr="00167967">
        <w:rPr>
          <w:rFonts w:hint="eastAsia"/>
        </w:rPr>
        <w:t>1</w:t>
      </w:r>
      <w:r w:rsidRPr="00167967">
        <w:rPr>
          <w:rFonts w:hint="eastAsia"/>
        </w:rPr>
        <w:t>、</w:t>
      </w:r>
      <w:r w:rsidR="00203F72" w:rsidRPr="00167967">
        <w:t>規定鴉片煙膏為台灣總督府官方專賣。</w:t>
      </w:r>
    </w:p>
    <w:p w14:paraId="0A2F44BA" w14:textId="77777777" w:rsidR="00203F72" w:rsidRPr="00167967" w:rsidRDefault="0039258A" w:rsidP="00D87D91">
      <w:r w:rsidRPr="00167967">
        <w:rPr>
          <w:rFonts w:hint="eastAsia"/>
        </w:rPr>
        <w:t xml:space="preserve">　　</w:t>
      </w:r>
      <w:r w:rsidRPr="00167967">
        <w:rPr>
          <w:rFonts w:hint="eastAsia"/>
        </w:rPr>
        <w:t>2</w:t>
      </w:r>
      <w:r w:rsidRPr="00167967">
        <w:rPr>
          <w:rFonts w:hint="eastAsia"/>
        </w:rPr>
        <w:t>、</w:t>
      </w:r>
      <w:r w:rsidR="00203F72" w:rsidRPr="00167967">
        <w:t>在未得特許之下，禁止一切與生鴉片有相同效果的製劑之輸入、製造及買賣。</w:t>
      </w:r>
    </w:p>
    <w:p w14:paraId="526C44DF" w14:textId="77777777" w:rsidR="00203F72" w:rsidRPr="00167967" w:rsidRDefault="0039258A" w:rsidP="00D87D91">
      <w:r w:rsidRPr="00167967">
        <w:rPr>
          <w:rFonts w:hint="eastAsia"/>
        </w:rPr>
        <w:t xml:space="preserve">　　</w:t>
      </w:r>
      <w:r w:rsidRPr="00167967">
        <w:rPr>
          <w:rFonts w:hint="eastAsia"/>
        </w:rPr>
        <w:t>3</w:t>
      </w:r>
      <w:r w:rsidRPr="00167967">
        <w:rPr>
          <w:rFonts w:hint="eastAsia"/>
        </w:rPr>
        <w:t>、</w:t>
      </w:r>
      <w:r w:rsidR="00203F72" w:rsidRPr="00167967">
        <w:t>在經由醫師之認定程序，確定為鴉片的癮者後，方得發給購買，吸食鴉片的執照，其他人一概不得為之。</w:t>
      </w:r>
    </w:p>
    <w:p w14:paraId="1E9B0CC9" w14:textId="77777777" w:rsidR="00203F72" w:rsidRPr="00167967" w:rsidRDefault="0039258A" w:rsidP="00D87D91">
      <w:r w:rsidRPr="00167967">
        <w:rPr>
          <w:rFonts w:hint="eastAsia"/>
        </w:rPr>
        <w:t xml:space="preserve">　　</w:t>
      </w:r>
      <w:r w:rsidRPr="00167967">
        <w:rPr>
          <w:rFonts w:hint="eastAsia"/>
        </w:rPr>
        <w:t>4</w:t>
      </w:r>
      <w:r w:rsidRPr="00167967">
        <w:rPr>
          <w:rFonts w:hint="eastAsia"/>
        </w:rPr>
        <w:t>、</w:t>
      </w:r>
      <w:r w:rsidR="00203F72" w:rsidRPr="00167967">
        <w:t>凡是鴉片煙膏的銷售、煙具的製造與販賣、吸煙所的開設、粉末鴉片批售等，皆由持有政府特許執照者從事之。</w:t>
      </w:r>
    </w:p>
    <w:p w14:paraId="3D463278" w14:textId="77777777" w:rsidR="00203F72" w:rsidRPr="00167967" w:rsidRDefault="0039258A" w:rsidP="00D87D91">
      <w:r w:rsidRPr="00167967">
        <w:rPr>
          <w:rFonts w:hint="eastAsia"/>
        </w:rPr>
        <w:t xml:space="preserve">　　</w:t>
      </w:r>
      <w:r w:rsidRPr="00167967">
        <w:rPr>
          <w:rFonts w:hint="eastAsia"/>
        </w:rPr>
        <w:t>5</w:t>
      </w:r>
      <w:r w:rsidRPr="00167967">
        <w:rPr>
          <w:rFonts w:hint="eastAsia"/>
        </w:rPr>
        <w:t>、</w:t>
      </w:r>
      <w:r w:rsidR="00203F72" w:rsidRPr="00167967">
        <w:t>為強調禁止吸食鴉片之意，令持有鴉片煙膏購買、吸食之特許者及領有鴉片執照者，須向依府令所指定之地點，繳交特許費。</w:t>
      </w:r>
    </w:p>
    <w:p w14:paraId="490AE8F4" w14:textId="77777777" w:rsidR="00953151" w:rsidRPr="00167967" w:rsidRDefault="0039258A" w:rsidP="00D87D91">
      <w:r w:rsidRPr="00167967">
        <w:rPr>
          <w:rFonts w:hint="eastAsia"/>
        </w:rPr>
        <w:t xml:space="preserve">　　</w:t>
      </w:r>
      <w:r w:rsidRPr="00167967">
        <w:rPr>
          <w:rFonts w:hint="eastAsia"/>
        </w:rPr>
        <w:t>6</w:t>
      </w:r>
      <w:r w:rsidRPr="00167967">
        <w:rPr>
          <w:rFonts w:hint="eastAsia"/>
        </w:rPr>
        <w:t>、</w:t>
      </w:r>
      <w:r w:rsidR="00203F72" w:rsidRPr="00167967">
        <w:t>除一般的</w:t>
      </w:r>
      <w:hyperlink r:id="rId1640" w:history="1">
        <w:r w:rsidR="00203F72" w:rsidRPr="001F6A1B">
          <w:rPr>
            <w:rStyle w:val="a5"/>
            <w:rFonts w:ascii="Times New Roman" w:eastAsia="新細明體" w:hAnsi="Times New Roman"/>
          </w:rPr>
          <w:t>刑法</w:t>
        </w:r>
      </w:hyperlink>
      <w:r w:rsidR="00203F72" w:rsidRPr="00167967">
        <w:t>規定外，本令特別規定處罰的規則，另對於特許尚未全面完成之時、得依前此的方式，進行洽購。</w:t>
      </w:r>
    </w:p>
    <w:p w14:paraId="4297BDCB" w14:textId="77777777" w:rsidR="00953151" w:rsidRPr="00167967" w:rsidRDefault="0039258A" w:rsidP="00D87D91">
      <w:r w:rsidRPr="00167967">
        <w:t xml:space="preserve">　　</w:t>
      </w:r>
      <w:r w:rsidR="00203F72" w:rsidRPr="00167967">
        <w:t>於</w:t>
      </w:r>
      <w:r w:rsidR="00203F72" w:rsidRPr="00167967">
        <w:t>1897</w:t>
      </w:r>
      <w:r w:rsidR="00203F72" w:rsidRPr="00167967">
        <w:t>年至</w:t>
      </w:r>
      <w:r w:rsidR="00203F72" w:rsidRPr="00167967">
        <w:t>1945</w:t>
      </w:r>
      <w:r w:rsidR="00203F72" w:rsidRPr="00167967">
        <w:t>年間，日本帝國於台灣地區實施之「阿片專賣制度」，該制度的特色，在於「規定阿片（鴉片）需由政府專賣，阿片癮者由公醫（政府指定的醫師）診斷確認後，發給特許證（吸食鴉片執照），可以取得配額，向專賣局指定的阿片煙膏請賣業（即鴉片經銷商）購買鴉片吸食</w:t>
      </w:r>
      <w:r w:rsidR="00203F72" w:rsidRPr="00167967">
        <w:footnoteReference w:id="354"/>
      </w:r>
      <w:r w:rsidR="00203F72" w:rsidRPr="00167967">
        <w:t>。」</w:t>
      </w:r>
    </w:p>
    <w:p w14:paraId="5258F6D4" w14:textId="77777777" w:rsidR="00953151" w:rsidRPr="00167967" w:rsidRDefault="0039258A" w:rsidP="00D87D91">
      <w:r w:rsidRPr="00167967">
        <w:t xml:space="preserve">　　</w:t>
      </w:r>
      <w:r w:rsidR="00203F72" w:rsidRPr="00167967">
        <w:t>有關台灣阿片之專賣、承銷及零售制度部份，國際聯盟遠東阿片調查委員會於「極東阿片問題</w:t>
      </w:r>
      <w:r w:rsidR="00D92F56" w:rsidRPr="00167967">
        <w:t>〜</w:t>
      </w:r>
      <w:r w:rsidR="00203F72" w:rsidRPr="00167967">
        <w:t>國際聯盟極東阿片調查委員會報告書」中之第</w:t>
      </w:r>
      <w:r w:rsidR="00203F72" w:rsidRPr="00167967">
        <w:t>3</w:t>
      </w:r>
      <w:r w:rsidR="00203F72" w:rsidRPr="00167967">
        <w:t>篇「阿片取締制度」，該會根據至台灣實際調查之結果，認為台灣總督府於台灣島內所實施之阿片制度，此種制度是一種專賣、承銷及零售制度。阿片特許吸食者所購買之阿片煙膏，係阿片專賣局加以製造及供給之。阿片專賣局從海外輸入生阿片</w:t>
      </w:r>
      <w:r w:rsidR="00203F72" w:rsidRPr="00167967">
        <w:t>(</w:t>
      </w:r>
      <w:r w:rsidR="00203F72" w:rsidRPr="00167967">
        <w:t>又稱為阿片原料</w:t>
      </w:r>
      <w:r w:rsidR="00203F72" w:rsidRPr="00167967">
        <w:t>)</w:t>
      </w:r>
      <w:r w:rsidR="00203F72" w:rsidRPr="00167967">
        <w:t>，之後，利用專賣局之設備，製造阿片煙膏之成品，再分配至特許之阿片煙膏取次人</w:t>
      </w:r>
      <w:r w:rsidR="00203F72" w:rsidRPr="00167967">
        <w:t>(</w:t>
      </w:r>
      <w:r w:rsidR="00203F72" w:rsidRPr="00167967">
        <w:t>亦即承銷之中盤商，阿片煙膏取次人是承銷人之意</w:t>
      </w:r>
      <w:r w:rsidR="00203F72" w:rsidRPr="00167967">
        <w:t>)</w:t>
      </w:r>
      <w:r w:rsidR="00203F72" w:rsidRPr="00167967">
        <w:t>及阿片煙膏小賣人</w:t>
      </w:r>
      <w:r w:rsidR="00203F72" w:rsidRPr="00167967">
        <w:t>(</w:t>
      </w:r>
      <w:r w:rsidR="00203F72" w:rsidRPr="00167967">
        <w:t>又名阿片請賣營業人，是下游之零售商</w:t>
      </w:r>
      <w:r w:rsidR="00203F72" w:rsidRPr="00167967">
        <w:t xml:space="preserve">) </w:t>
      </w:r>
      <w:r w:rsidR="00203F72" w:rsidRPr="00167967">
        <w:footnoteReference w:id="355"/>
      </w:r>
      <w:r w:rsidR="00203F72" w:rsidRPr="00167967">
        <w:t>。</w:t>
      </w:r>
    </w:p>
    <w:p w14:paraId="3A01F3F0" w14:textId="77777777" w:rsidR="00953151" w:rsidRPr="00167967" w:rsidRDefault="0039258A" w:rsidP="00D87D91">
      <w:r w:rsidRPr="00167967">
        <w:t xml:space="preserve">　　</w:t>
      </w:r>
      <w:r w:rsidR="00203F72" w:rsidRPr="00167967">
        <w:t>在</w:t>
      </w:r>
      <w:r w:rsidR="00203F72" w:rsidRPr="00167967">
        <w:t>1929</w:t>
      </w:r>
      <w:r w:rsidR="00203F72" w:rsidRPr="00167967">
        <w:t>年</w:t>
      </w:r>
      <w:r w:rsidR="00203F72" w:rsidRPr="00167967">
        <w:t>12</w:t>
      </w:r>
      <w:r w:rsidR="00203F72" w:rsidRPr="00167967">
        <w:t>月，台灣總督府頒布實施「續發吸食鴉片牌照方案」，故台灣島內計有</w:t>
      </w:r>
      <w:r w:rsidR="00203F72" w:rsidRPr="00167967">
        <w:t>25527</w:t>
      </w:r>
      <w:r w:rsidR="00203F72" w:rsidRPr="00167967">
        <w:t>名阿片煙膏非特許吸食者提出申請。台灣總督府決定依照前揭</w:t>
      </w:r>
      <w:r w:rsidR="00203F72" w:rsidRPr="00167967">
        <w:t>25527</w:t>
      </w:r>
      <w:r w:rsidR="00203F72" w:rsidRPr="00167967">
        <w:t>名非特許吸食者之阿片成癮性，作出以下不同之處分</w:t>
      </w:r>
      <w:r w:rsidR="00203F72" w:rsidRPr="00167967">
        <w:footnoteReference w:id="356"/>
      </w:r>
      <w:r w:rsidR="00203F72" w:rsidRPr="00167967">
        <w:t>：</w:t>
      </w:r>
    </w:p>
    <w:p w14:paraId="77F81E9E" w14:textId="77777777" w:rsidR="00203F72" w:rsidRPr="00167967" w:rsidRDefault="0039258A" w:rsidP="00D87D91">
      <w:r w:rsidRPr="00167967">
        <w:t xml:space="preserve">　　</w:t>
      </w:r>
      <w:r w:rsidR="00203F72" w:rsidRPr="00167967">
        <w:t>「</w:t>
      </w:r>
      <w:r w:rsidR="00203F72" w:rsidRPr="00167967">
        <w:t>1</w:t>
      </w:r>
      <w:r w:rsidR="00203F72" w:rsidRPr="00167967">
        <w:t>、計有</w:t>
      </w:r>
      <w:r w:rsidR="00203F72" w:rsidRPr="00167967">
        <w:t>7170</w:t>
      </w:r>
      <w:r w:rsidR="00203F72" w:rsidRPr="00167967">
        <w:t>名阿片成癮者經過醫師</w:t>
      </w:r>
      <w:r w:rsidR="00203F72" w:rsidRPr="00167967">
        <w:t>2</w:t>
      </w:r>
      <w:r w:rsidR="00203F72" w:rsidRPr="00167967">
        <w:t>次之診斷，被醫師認定很難加以治療阿片成癮性，故上述之</w:t>
      </w:r>
      <w:r w:rsidR="00203F72" w:rsidRPr="00167967">
        <w:t>7170</w:t>
      </w:r>
      <w:r w:rsidR="00203F72" w:rsidRPr="00167967">
        <w:t>名申請者，被賦予阿片煙膏吸食特許證。</w:t>
      </w:r>
    </w:p>
    <w:p w14:paraId="04BB8AD7" w14:textId="77777777" w:rsidR="00203F72" w:rsidRPr="00167967" w:rsidRDefault="00203F72" w:rsidP="00D87D91">
      <w:r w:rsidRPr="00167967">
        <w:t>2</w:t>
      </w:r>
      <w:r w:rsidRPr="00167967">
        <w:t>、</w:t>
      </w:r>
      <w:r w:rsidRPr="00167967">
        <w:t>12156</w:t>
      </w:r>
      <w:r w:rsidRPr="00167967">
        <w:t>名申請者經過醫師診斷結果，必須交付強制治療。</w:t>
      </w:r>
    </w:p>
    <w:p w14:paraId="29C9FBE6" w14:textId="77777777" w:rsidR="00953151" w:rsidRPr="00167967" w:rsidRDefault="0039258A" w:rsidP="00D87D91">
      <w:r w:rsidRPr="00167967">
        <w:t xml:space="preserve">　　</w:t>
      </w:r>
      <w:r w:rsidR="00203F72" w:rsidRPr="00167967">
        <w:t>3</w:t>
      </w:r>
      <w:r w:rsidR="00203F72" w:rsidRPr="00167967">
        <w:t>、</w:t>
      </w:r>
      <w:r w:rsidR="00203F72" w:rsidRPr="00167967">
        <w:t>6201</w:t>
      </w:r>
      <w:r w:rsidR="00203F72" w:rsidRPr="00167967">
        <w:t>名申請者經過醫師診斷結果，認為沒有確切之證據，證明其具有阿片成癮性，對於其吸食阿片煙膏之行為，上開</w:t>
      </w:r>
      <w:r w:rsidR="00203F72" w:rsidRPr="00167967">
        <w:t>6201</w:t>
      </w:r>
      <w:r w:rsidR="00203F72" w:rsidRPr="00167967">
        <w:t>名申請者受到警告之行政處分，並且，將其交付警察，給予特別之監</w:t>
      </w:r>
      <w:r w:rsidR="003E240E">
        <w:t>視</w:t>
      </w:r>
      <w:r w:rsidR="00203F72" w:rsidRPr="00167967">
        <w:t>。」</w:t>
      </w:r>
    </w:p>
    <w:p w14:paraId="44D17D52" w14:textId="77777777" w:rsidR="00953151" w:rsidRPr="00167967" w:rsidRDefault="0039258A" w:rsidP="00D87D91">
      <w:r w:rsidRPr="00167967">
        <w:t xml:space="preserve">　　</w:t>
      </w:r>
      <w:r w:rsidR="00203F72" w:rsidRPr="00167967">
        <w:t>有關台灣總督府對於阿片煙膏違法吸食及交易之處罰方面，國際聯盟遠東阿片調查委員會認為台灣總督府對於上開之違法行為之處罰，係屬於極為嚴厲之型態。在阿片</w:t>
      </w:r>
      <w:r w:rsidR="00203F72" w:rsidRPr="00A53581">
        <w:t>煙</w:t>
      </w:r>
      <w:r w:rsidR="00203F72" w:rsidRPr="00167967">
        <w:t>膏之違法吸食部份，對於違法者處以</w:t>
      </w:r>
      <w:r w:rsidR="00203F72" w:rsidRPr="00167967">
        <w:t>3</w:t>
      </w:r>
      <w:r w:rsidR="00203F72" w:rsidRPr="00167967">
        <w:t>年以下之懲役</w:t>
      </w:r>
      <w:r w:rsidR="00203F72" w:rsidRPr="00167967">
        <w:t>(</w:t>
      </w:r>
      <w:r w:rsidR="00203F72" w:rsidRPr="00167967">
        <w:t>有期徒刑</w:t>
      </w:r>
      <w:r w:rsidR="00203F72" w:rsidRPr="00167967">
        <w:t>)</w:t>
      </w:r>
      <w:r w:rsidR="00203F72" w:rsidRPr="00167967">
        <w:t>。在阿片煙膏之違法交易部份，對於違法者處以</w:t>
      </w:r>
      <w:r w:rsidR="00203F72" w:rsidRPr="00167967">
        <w:t>5</w:t>
      </w:r>
      <w:r w:rsidR="00203F72" w:rsidRPr="00167967">
        <w:t>年以下之懲役</w:t>
      </w:r>
      <w:r w:rsidR="00203F72" w:rsidRPr="00167967">
        <w:t>(</w:t>
      </w:r>
      <w:r w:rsidR="00203F72" w:rsidRPr="00167967">
        <w:t>有期徒刑</w:t>
      </w:r>
      <w:r w:rsidR="00203F72" w:rsidRPr="00167967">
        <w:t>)</w:t>
      </w:r>
      <w:r w:rsidR="00203F72" w:rsidRPr="00167967">
        <w:t>或</w:t>
      </w:r>
      <w:r w:rsidR="00203F72" w:rsidRPr="00167967">
        <w:t>5000</w:t>
      </w:r>
      <w:r w:rsidR="00203F72" w:rsidRPr="00167967">
        <w:t>圓罰金。</w:t>
      </w:r>
    </w:p>
    <w:p w14:paraId="33C199AB" w14:textId="77777777" w:rsidR="00953151" w:rsidRPr="00167967" w:rsidRDefault="0039258A" w:rsidP="00D87D91">
      <w:r w:rsidRPr="00167967">
        <w:t xml:space="preserve">　　</w:t>
      </w:r>
      <w:r w:rsidR="00203F72" w:rsidRPr="00167967">
        <w:t>在</w:t>
      </w:r>
      <w:r w:rsidR="00203F72" w:rsidRPr="00167967">
        <w:t>1929</w:t>
      </w:r>
      <w:r w:rsidR="00203F72" w:rsidRPr="00167967">
        <w:t>年時，對於違反阿片法令案件之起訴數量，計</w:t>
      </w:r>
      <w:r w:rsidR="00203F72" w:rsidRPr="00167967">
        <w:t>725</w:t>
      </w:r>
      <w:r w:rsidR="00203F72" w:rsidRPr="00167967">
        <w:t>件，處罰件數則為</w:t>
      </w:r>
      <w:r w:rsidR="00203F72" w:rsidRPr="00167967">
        <w:t>713</w:t>
      </w:r>
      <w:r w:rsidR="00203F72" w:rsidRPr="00167967">
        <w:t>件，上述違反阿片法令案件起訴之數量</w:t>
      </w:r>
      <w:r w:rsidR="00203F72" w:rsidRPr="00167967">
        <w:t>(725</w:t>
      </w:r>
      <w:r w:rsidR="00203F72" w:rsidRPr="00167967">
        <w:t>件</w:t>
      </w:r>
      <w:r w:rsidR="00203F72" w:rsidRPr="00167967">
        <w:t>)</w:t>
      </w:r>
      <w:r w:rsidR="00203F72" w:rsidRPr="00167967">
        <w:t>中，則不包括違法吸食案件部份</w:t>
      </w:r>
      <w:r w:rsidR="00203F72" w:rsidRPr="00167967">
        <w:footnoteReference w:id="357"/>
      </w:r>
      <w:r w:rsidR="00203F72" w:rsidRPr="00167967">
        <w:t>。</w:t>
      </w:r>
    </w:p>
    <w:p w14:paraId="2530F7A9" w14:textId="77777777" w:rsidR="00203F72" w:rsidRPr="00167967" w:rsidRDefault="0039258A" w:rsidP="00D87D91">
      <w:r w:rsidRPr="00167967">
        <w:t xml:space="preserve">　　</w:t>
      </w:r>
      <w:r w:rsidR="00203F72" w:rsidRPr="00167967">
        <w:t>台灣總督府處理違反台灣阿片令之案件方面，主要係以犯罪即決方式加以裁罰之。依據明治</w:t>
      </w:r>
      <w:r w:rsidR="00203F72" w:rsidRPr="00167967">
        <w:t>37</w:t>
      </w:r>
      <w:r w:rsidR="00203F72" w:rsidRPr="00167967">
        <w:t>年</w:t>
      </w:r>
      <w:r w:rsidR="00203F72" w:rsidRPr="00167967">
        <w:t>(1904</w:t>
      </w:r>
      <w:r w:rsidR="00203F72" w:rsidRPr="00167967">
        <w:t>年</w:t>
      </w:r>
      <w:r w:rsidR="00203F72" w:rsidRPr="00167967">
        <w:t>)3</w:t>
      </w:r>
      <w:r w:rsidR="00203F72" w:rsidRPr="00167967">
        <w:t>月發布之「犯罪即決例」及「犯罪即決例施行細則」，賦予台灣總督府所轄各州、廳之行政首長對於刑事及行政案件，可以裁處拘束人身自由之處罰。「犯罪即決例」之法源，則為依據六三法律透由律令第</w:t>
      </w:r>
      <w:r w:rsidR="00203F72" w:rsidRPr="00167967">
        <w:t>4</w:t>
      </w:r>
      <w:r w:rsidR="00203F72" w:rsidRPr="00167967">
        <w:t>號加以發布，「犯罪即決例」及「犯罪即決例施行細則」主要內容如下所述</w:t>
      </w:r>
      <w:r w:rsidR="00203F72" w:rsidRPr="00167967">
        <w:footnoteReference w:id="358"/>
      </w:r>
      <w:r w:rsidR="00203F72" w:rsidRPr="00167967">
        <w:t>：</w:t>
      </w:r>
    </w:p>
    <w:p w14:paraId="6299CD42" w14:textId="77777777" w:rsidR="00203F72" w:rsidRPr="00167967" w:rsidRDefault="0039258A" w:rsidP="00D87D91">
      <w:r w:rsidRPr="00167967">
        <w:rPr>
          <w:rFonts w:hint="eastAsia"/>
        </w:rPr>
        <w:t xml:space="preserve">　　</w:t>
      </w:r>
      <w:r w:rsidRPr="00167967">
        <w:rPr>
          <w:rFonts w:hint="eastAsia"/>
        </w:rPr>
        <w:t>1</w:t>
      </w:r>
      <w:r w:rsidRPr="00167967">
        <w:rPr>
          <w:rFonts w:hint="eastAsia"/>
        </w:rPr>
        <w:t>、</w:t>
      </w:r>
      <w:r w:rsidR="00203F72" w:rsidRPr="00167967">
        <w:t>依據犯罪即決例第</w:t>
      </w:r>
      <w:r w:rsidR="00203F72" w:rsidRPr="00167967">
        <w:t>1</w:t>
      </w:r>
      <w:r w:rsidR="00203F72" w:rsidRPr="00167967">
        <w:t>條之規定，郡守、支廳長或警察署長對於其管轄區域內之下列犯罪，得立即裁決之。</w:t>
      </w:r>
      <w:r w:rsidR="00203F72" w:rsidRPr="00167967">
        <w:t>(1)</w:t>
      </w:r>
      <w:r w:rsidR="00203F72" w:rsidRPr="00167967">
        <w:t>該當拘留或罰鍰之犯罪。</w:t>
      </w:r>
      <w:r w:rsidR="00203F72" w:rsidRPr="00167967">
        <w:t>(2)</w:t>
      </w:r>
      <w:r w:rsidR="00203F72" w:rsidRPr="00167967">
        <w:t>處</w:t>
      </w:r>
      <w:r w:rsidR="00203F72" w:rsidRPr="00167967">
        <w:t>3</w:t>
      </w:r>
      <w:r w:rsidR="00203F72" w:rsidRPr="00167967">
        <w:t>個月以下有期徒刑或百圓以下罰金或罰鍰等刑度之賭博罪，以及裁處拘留或罰鍰刑度之刑法</w:t>
      </w:r>
      <w:hyperlink r:id="rId1641" w:anchor="a208"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208</w:t>
        </w:r>
        <w:r w:rsidR="00203F72" w:rsidRPr="001F6A1B">
          <w:rPr>
            <w:rStyle w:val="a5"/>
            <w:rFonts w:ascii="Times New Roman" w:eastAsia="新細明體" w:hAnsi="Times New Roman"/>
          </w:rPr>
          <w:t>條</w:t>
        </w:r>
      </w:hyperlink>
      <w:r w:rsidR="00203F72" w:rsidRPr="00167967">
        <w:t>(</w:t>
      </w:r>
      <w:r w:rsidR="00203F72" w:rsidRPr="00167967">
        <w:t>暴行傷害罪</w:t>
      </w:r>
      <w:r w:rsidR="00203F72" w:rsidRPr="00167967">
        <w:t>)</w:t>
      </w:r>
      <w:r w:rsidR="00203F72" w:rsidRPr="00167967">
        <w:t>之犯罪。</w:t>
      </w:r>
      <w:r w:rsidR="00203F72" w:rsidRPr="00167967">
        <w:t>(3)</w:t>
      </w:r>
      <w:r w:rsidR="00203F72" w:rsidRPr="00167967">
        <w:t>處</w:t>
      </w:r>
      <w:r w:rsidR="00203F72" w:rsidRPr="00167967">
        <w:t>3</w:t>
      </w:r>
      <w:r w:rsidR="00203F72" w:rsidRPr="00167967">
        <w:t>個月以下有期徒刑</w:t>
      </w:r>
      <w:r w:rsidR="00203F72" w:rsidRPr="00167967">
        <w:footnoteReference w:id="359"/>
      </w:r>
      <w:r w:rsidR="00203F72" w:rsidRPr="00167967">
        <w:t>或拘留或百圓以下罰金或罰鍰等刑度之違反各行政規則之罪。</w:t>
      </w:r>
    </w:p>
    <w:p w14:paraId="41644607" w14:textId="77777777" w:rsidR="00203F72" w:rsidRPr="00167967" w:rsidRDefault="0039258A" w:rsidP="00D87D91">
      <w:r w:rsidRPr="00167967">
        <w:rPr>
          <w:rFonts w:hint="eastAsia"/>
        </w:rPr>
        <w:t xml:space="preserve">　　</w:t>
      </w:r>
      <w:r w:rsidRPr="00167967">
        <w:rPr>
          <w:rFonts w:hint="eastAsia"/>
        </w:rPr>
        <w:t>2</w:t>
      </w:r>
      <w:r w:rsidRPr="00167967">
        <w:rPr>
          <w:rFonts w:hint="eastAsia"/>
        </w:rPr>
        <w:t>、</w:t>
      </w:r>
      <w:r w:rsidR="00203F72" w:rsidRPr="00167967">
        <w:t>依犯罪即決例第</w:t>
      </w:r>
      <w:r w:rsidR="00203F72" w:rsidRPr="00167967">
        <w:t>3</w:t>
      </w:r>
      <w:r w:rsidR="00203F72" w:rsidRPr="00167967">
        <w:t>條之規定，犯罪即決制度是一種非正式之裁判。受判決者若不服，得請求地方法院進行正式裁判。</w:t>
      </w:r>
    </w:p>
    <w:p w14:paraId="3EDF4758" w14:textId="77777777" w:rsidR="00203F72" w:rsidRPr="00167967" w:rsidRDefault="0039258A" w:rsidP="00D87D91">
      <w:r w:rsidRPr="00167967">
        <w:rPr>
          <w:rFonts w:hint="eastAsia"/>
        </w:rPr>
        <w:t xml:space="preserve">　　</w:t>
      </w:r>
      <w:r w:rsidRPr="00167967">
        <w:rPr>
          <w:rFonts w:hint="eastAsia"/>
        </w:rPr>
        <w:t>3</w:t>
      </w:r>
      <w:r w:rsidRPr="00167967">
        <w:rPr>
          <w:rFonts w:hint="eastAsia"/>
        </w:rPr>
        <w:t>、</w:t>
      </w:r>
      <w:r w:rsidR="00203F72" w:rsidRPr="00167967">
        <w:t>根據犯罪即決例第</w:t>
      </w:r>
      <w:r w:rsidR="00203F72" w:rsidRPr="00167967">
        <w:t>7</w:t>
      </w:r>
      <w:r w:rsidR="00203F72" w:rsidRPr="00167967">
        <w:t>條之規定，對於受犯罪即決宣告之被告，郡守、支廳長或警察署長得發出拘留狀，將該受判決人引送至監獄服刑。同條第</w:t>
      </w:r>
      <w:r w:rsidR="00203F72" w:rsidRPr="00167967">
        <w:t>2</w:t>
      </w:r>
      <w:r w:rsidR="00203F72" w:rsidRPr="00167967">
        <w:t>項規定，對於未被拘留之被告，郡守、支廳長或警察署長應立即發出逮捕狀，將該受判決人引送至監獄服刑。於此場合，逮捕狀與拘留狀有同一之效力。</w:t>
      </w:r>
    </w:p>
    <w:p w14:paraId="16C0DBC7" w14:textId="77777777" w:rsidR="00953151" w:rsidRPr="00167967" w:rsidRDefault="0039258A" w:rsidP="00D87D91">
      <w:r w:rsidRPr="00167967">
        <w:rPr>
          <w:rFonts w:hint="eastAsia"/>
        </w:rPr>
        <w:t xml:space="preserve">　　</w:t>
      </w:r>
      <w:r w:rsidRPr="00167967">
        <w:rPr>
          <w:rFonts w:hint="eastAsia"/>
        </w:rPr>
        <w:t>4</w:t>
      </w:r>
      <w:r w:rsidRPr="00167967">
        <w:rPr>
          <w:rFonts w:hint="eastAsia"/>
        </w:rPr>
        <w:t>、</w:t>
      </w:r>
      <w:r w:rsidR="00203F72" w:rsidRPr="00167967">
        <w:t>根據犯罪即決例施行細則第一條之規定，依犯罪即決例所規定郡守及警察署長之職務，得由州警部、廳警部、州警部補或廳警部補代理之，支廳長之職務，得由州警部補或廳警部補代理之。</w:t>
      </w:r>
    </w:p>
    <w:p w14:paraId="7FBC2ED7" w14:textId="77777777" w:rsidR="00203F72" w:rsidRPr="00167967" w:rsidRDefault="0039258A" w:rsidP="00D87D91">
      <w:r w:rsidRPr="00167967">
        <w:t xml:space="preserve">　　</w:t>
      </w:r>
      <w:r w:rsidR="00203F72" w:rsidRPr="00167967">
        <w:t>依據台灣總督府昭和</w:t>
      </w:r>
      <w:r w:rsidR="00203F72" w:rsidRPr="00167967">
        <w:t>6</w:t>
      </w:r>
      <w:r w:rsidR="00203F72" w:rsidRPr="00167967">
        <w:t>年</w:t>
      </w:r>
      <w:r w:rsidR="00203F72" w:rsidRPr="00167967">
        <w:t>(1931</w:t>
      </w:r>
      <w:r w:rsidR="00203F72" w:rsidRPr="00167967">
        <w:t>年</w:t>
      </w:r>
      <w:r w:rsidR="00203F72" w:rsidRPr="00167967">
        <w:t>)</w:t>
      </w:r>
      <w:r w:rsidR="00203F72" w:rsidRPr="00167967">
        <w:t>台灣犯罪統計一書有關犯罪即決之統計，當年度</w:t>
      </w:r>
      <w:r w:rsidR="00203F72" w:rsidRPr="00167967">
        <w:t>(1931</w:t>
      </w:r>
      <w:r w:rsidR="00203F72" w:rsidRPr="00167967">
        <w:t>年</w:t>
      </w:r>
      <w:r w:rsidR="00203F72" w:rsidRPr="00167967">
        <w:t>)</w:t>
      </w:r>
      <w:r w:rsidR="00203F72" w:rsidRPr="00167967">
        <w:t>之犯罪即決犯罪人數，其各類型犯罪，合計為</w:t>
      </w:r>
      <w:r w:rsidR="00203F72" w:rsidRPr="00167967">
        <w:t>29021</w:t>
      </w:r>
      <w:r w:rsidR="00203F72" w:rsidRPr="00167967">
        <w:t>人，此包含普通刑法犯</w:t>
      </w:r>
      <w:r w:rsidR="00203F72" w:rsidRPr="00167967">
        <w:t>(19042</w:t>
      </w:r>
      <w:r w:rsidR="00203F72" w:rsidRPr="00167967">
        <w:t>人</w:t>
      </w:r>
      <w:r w:rsidR="00203F72" w:rsidRPr="00167967">
        <w:t>)</w:t>
      </w:r>
      <w:r w:rsidR="00203F72" w:rsidRPr="00167967">
        <w:t>及特別刑法犯</w:t>
      </w:r>
      <w:r w:rsidR="00203F72" w:rsidRPr="00167967">
        <w:t>(9979</w:t>
      </w:r>
      <w:r w:rsidR="00203F72" w:rsidRPr="00167967">
        <w:t>人</w:t>
      </w:r>
      <w:r w:rsidR="00203F72" w:rsidRPr="00167967">
        <w:t>)</w:t>
      </w:r>
      <w:r w:rsidR="00203F72" w:rsidRPr="00167967">
        <w:t>。台灣阿片令之法律性質，係被歸屬於特別</w:t>
      </w:r>
      <w:hyperlink r:id="rId1642" w:history="1">
        <w:r w:rsidR="006B7176" w:rsidRPr="006B7176">
          <w:rPr>
            <w:rStyle w:val="a5"/>
            <w:rFonts w:eastAsia="新細明體"/>
            <w:kern w:val="0"/>
          </w:rPr>
          <w:t>刑法</w:t>
        </w:r>
      </w:hyperlink>
      <w:r w:rsidR="00203F72" w:rsidRPr="00167967">
        <w:t>中關於衛生方面之法律。在昭和</w:t>
      </w:r>
      <w:r w:rsidR="00203F72" w:rsidRPr="00167967">
        <w:t>6</w:t>
      </w:r>
      <w:r w:rsidR="00203F72" w:rsidRPr="00167967">
        <w:t>年</w:t>
      </w:r>
      <w:r w:rsidR="00203F72" w:rsidRPr="00167967">
        <w:t>(1931</w:t>
      </w:r>
      <w:r w:rsidR="00203F72" w:rsidRPr="00167967">
        <w:t>年</w:t>
      </w:r>
      <w:r w:rsidR="00203F72" w:rsidRPr="00167967">
        <w:t>)</w:t>
      </w:r>
      <w:r w:rsidR="00203F72" w:rsidRPr="00167967">
        <w:t>，當時台灣各州、廳所處理涉及台灣阿片令之犯罪即決案件，共計男性</w:t>
      </w:r>
      <w:r w:rsidR="00203F72" w:rsidRPr="00167967">
        <w:t>1578</w:t>
      </w:r>
      <w:r w:rsidR="00203F72" w:rsidRPr="00167967">
        <w:t>人，女性</w:t>
      </w:r>
      <w:r w:rsidR="00203F72" w:rsidRPr="00167967">
        <w:t>286</w:t>
      </w:r>
      <w:r w:rsidR="00203F72" w:rsidRPr="00167967">
        <w:t>人</w:t>
      </w:r>
      <w:r w:rsidR="00203F72" w:rsidRPr="00167967">
        <w:footnoteReference w:id="360"/>
      </w:r>
      <w:r w:rsidR="00203F72" w:rsidRPr="00167967">
        <w:t>，台灣阿片令之犯罪即決案件，合計</w:t>
      </w:r>
      <w:r w:rsidR="00203F72" w:rsidRPr="00167967">
        <w:t>1864</w:t>
      </w:r>
      <w:r w:rsidR="00203F72" w:rsidRPr="00167967">
        <w:t>人。</w:t>
      </w:r>
    </w:p>
    <w:p w14:paraId="715DEE3B" w14:textId="77777777" w:rsidR="00203F72" w:rsidRPr="00A53581" w:rsidRDefault="00203F72" w:rsidP="00D87D91">
      <w:pPr>
        <w:pStyle w:val="111"/>
      </w:pPr>
      <w:r w:rsidRPr="00A53581">
        <w:t xml:space="preserve"> </w:t>
      </w:r>
    </w:p>
    <w:p w14:paraId="3B893EA7" w14:textId="53618EF6"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87</w:t>
      </w:r>
      <w:r w:rsidR="00076467">
        <w:rPr>
          <w:noProof/>
        </w:rPr>
        <w:fldChar w:fldCharType="end"/>
      </w:r>
      <w:r w:rsidR="00203F72" w:rsidRPr="00A53581">
        <w:t xml:space="preserve"> </w:t>
      </w:r>
      <w:r w:rsidR="00203F72" w:rsidRPr="00A53581">
        <w:rPr>
          <w:bCs/>
        </w:rPr>
        <w:t>昭和</w:t>
      </w:r>
      <w:r w:rsidR="00203F72" w:rsidRPr="00A53581">
        <w:rPr>
          <w:bCs/>
        </w:rPr>
        <w:t>6</w:t>
      </w:r>
      <w:r w:rsidR="00203F72" w:rsidRPr="00A53581">
        <w:rPr>
          <w:bCs/>
        </w:rPr>
        <w:t>年</w:t>
      </w:r>
      <w:r w:rsidR="00203F72" w:rsidRPr="00A53581">
        <w:rPr>
          <w:bCs/>
        </w:rPr>
        <w:t>(1931</w:t>
      </w:r>
      <w:r w:rsidR="00203F72" w:rsidRPr="00A53581">
        <w:rPr>
          <w:bCs/>
        </w:rPr>
        <w:t>年</w:t>
      </w:r>
      <w:r w:rsidR="00203F72" w:rsidRPr="00A53581">
        <w:rPr>
          <w:bCs/>
        </w:rPr>
        <w:t>)</w:t>
      </w:r>
      <w:r w:rsidR="00203F72" w:rsidRPr="00A53581">
        <w:rPr>
          <w:bCs/>
        </w:rPr>
        <w:t>涉及台灣阿片令犯罪即決犯罪人數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1313"/>
        <w:gridCol w:w="1244"/>
        <w:gridCol w:w="1281"/>
        <w:gridCol w:w="1308"/>
        <w:gridCol w:w="2171"/>
      </w:tblGrid>
      <w:tr w:rsidR="00203F72" w:rsidRPr="00A53581" w14:paraId="5E7E8076" w14:textId="77777777" w:rsidTr="00167967">
        <w:trPr>
          <w:tblHeader/>
        </w:trPr>
        <w:tc>
          <w:tcPr>
            <w:tcW w:w="2042" w:type="dxa"/>
            <w:gridSpan w:val="2"/>
            <w:shd w:val="clear" w:color="auto" w:fill="FAF0FA"/>
          </w:tcPr>
          <w:p w14:paraId="1B3551D4" w14:textId="77777777" w:rsidR="00203F72" w:rsidRPr="00A53581" w:rsidRDefault="00203F72" w:rsidP="00D87D91">
            <w:r w:rsidRPr="00A53581">
              <w:t>性別</w:t>
            </w:r>
          </w:p>
          <w:p w14:paraId="6790FE97" w14:textId="77777777" w:rsidR="00203F72" w:rsidRPr="00A53581" w:rsidRDefault="00203F72" w:rsidP="00D87D91">
            <w:pPr>
              <w:rPr>
                <w:kern w:val="0"/>
              </w:rPr>
            </w:pPr>
            <w:r w:rsidRPr="00A53581">
              <w:t>種類</w:t>
            </w:r>
          </w:p>
        </w:tc>
        <w:tc>
          <w:tcPr>
            <w:tcW w:w="1244" w:type="dxa"/>
            <w:shd w:val="clear" w:color="auto" w:fill="FAF0FA"/>
          </w:tcPr>
          <w:p w14:paraId="4083D91F" w14:textId="77777777" w:rsidR="00203F72" w:rsidRPr="00A53581" w:rsidRDefault="00203F72" w:rsidP="00D87D91">
            <w:r w:rsidRPr="00A53581">
              <w:rPr>
                <w:kern w:val="0"/>
              </w:rPr>
              <w:t>男</w:t>
            </w:r>
            <w:r w:rsidRPr="00A53581">
              <w:t>性人數</w:t>
            </w:r>
          </w:p>
        </w:tc>
        <w:tc>
          <w:tcPr>
            <w:tcW w:w="1281" w:type="dxa"/>
            <w:shd w:val="clear" w:color="auto" w:fill="FAF0FA"/>
          </w:tcPr>
          <w:p w14:paraId="1D2D542E" w14:textId="77777777" w:rsidR="00203F72" w:rsidRPr="00A53581" w:rsidRDefault="00203F72" w:rsidP="00D87D91">
            <w:r w:rsidRPr="00A53581">
              <w:t>女</w:t>
            </w:r>
            <w:r w:rsidRPr="00A53581">
              <w:rPr>
                <w:kern w:val="0"/>
              </w:rPr>
              <w:t>性</w:t>
            </w:r>
            <w:r w:rsidRPr="00A53581">
              <w:t>人數</w:t>
            </w:r>
          </w:p>
        </w:tc>
        <w:tc>
          <w:tcPr>
            <w:tcW w:w="1308" w:type="dxa"/>
            <w:shd w:val="clear" w:color="auto" w:fill="FAF0FA"/>
          </w:tcPr>
          <w:p w14:paraId="6F031AFC" w14:textId="77777777" w:rsidR="00203F72" w:rsidRPr="00A53581" w:rsidRDefault="00203F72" w:rsidP="00D87D91">
            <w:r w:rsidRPr="00A53581">
              <w:t>男性比例</w:t>
            </w:r>
          </w:p>
        </w:tc>
        <w:tc>
          <w:tcPr>
            <w:tcW w:w="2171" w:type="dxa"/>
            <w:shd w:val="clear" w:color="auto" w:fill="FAF0FA"/>
          </w:tcPr>
          <w:p w14:paraId="652F312D" w14:textId="77777777" w:rsidR="00203F72" w:rsidRPr="00A53581" w:rsidRDefault="00203F72" w:rsidP="00D87D91">
            <w:r w:rsidRPr="00A53581">
              <w:t>女性比例</w:t>
            </w:r>
          </w:p>
        </w:tc>
      </w:tr>
      <w:tr w:rsidR="00203F72" w:rsidRPr="00A53581" w14:paraId="1DD22A5B" w14:textId="77777777" w:rsidTr="00203F72">
        <w:tc>
          <w:tcPr>
            <w:tcW w:w="729" w:type="dxa"/>
            <w:vMerge w:val="restart"/>
            <w:shd w:val="clear" w:color="auto" w:fill="auto"/>
          </w:tcPr>
          <w:p w14:paraId="36130509" w14:textId="77777777" w:rsidR="00203F72" w:rsidRPr="00A53581" w:rsidRDefault="00203F72" w:rsidP="00D87D91">
            <w:r w:rsidRPr="00A53581">
              <w:t>懲役</w:t>
            </w:r>
          </w:p>
        </w:tc>
        <w:tc>
          <w:tcPr>
            <w:tcW w:w="1313" w:type="dxa"/>
            <w:shd w:val="clear" w:color="auto" w:fill="auto"/>
          </w:tcPr>
          <w:p w14:paraId="12B4FFC4" w14:textId="77777777" w:rsidR="00203F72" w:rsidRPr="00A53581" w:rsidRDefault="00203F72" w:rsidP="00D87D91">
            <w:r w:rsidRPr="00A53581">
              <w:t>6</w:t>
            </w:r>
            <w:r w:rsidRPr="00A53581">
              <w:t>個月未滿</w:t>
            </w:r>
          </w:p>
        </w:tc>
        <w:tc>
          <w:tcPr>
            <w:tcW w:w="1244" w:type="dxa"/>
            <w:shd w:val="clear" w:color="auto" w:fill="auto"/>
          </w:tcPr>
          <w:p w14:paraId="44C4BF58" w14:textId="77777777" w:rsidR="00203F72" w:rsidRPr="00A53581" w:rsidRDefault="00203F72" w:rsidP="00D87D91">
            <w:r w:rsidRPr="00A53581">
              <w:t>46</w:t>
            </w:r>
          </w:p>
        </w:tc>
        <w:tc>
          <w:tcPr>
            <w:tcW w:w="1281" w:type="dxa"/>
            <w:shd w:val="clear" w:color="auto" w:fill="auto"/>
          </w:tcPr>
          <w:p w14:paraId="4AED7533" w14:textId="77777777" w:rsidR="00203F72" w:rsidRPr="00A53581" w:rsidRDefault="00203F72" w:rsidP="00D87D91">
            <w:r w:rsidRPr="00A53581">
              <w:t>2</w:t>
            </w:r>
          </w:p>
        </w:tc>
        <w:tc>
          <w:tcPr>
            <w:tcW w:w="1308" w:type="dxa"/>
            <w:shd w:val="clear" w:color="auto" w:fill="auto"/>
          </w:tcPr>
          <w:p w14:paraId="12B60464" w14:textId="77777777" w:rsidR="00203F72" w:rsidRPr="00A53581" w:rsidRDefault="00203F72" w:rsidP="00D87D91">
            <w:r w:rsidRPr="00A53581">
              <w:t>2.47%</w:t>
            </w:r>
            <w:r w:rsidRPr="00A53581">
              <w:rPr>
                <w:rStyle w:val="af3"/>
                <w:rFonts w:ascii="新細明體" w:hAnsi="新細明體"/>
              </w:rPr>
              <w:footnoteReference w:id="361"/>
            </w:r>
          </w:p>
        </w:tc>
        <w:tc>
          <w:tcPr>
            <w:tcW w:w="2171" w:type="dxa"/>
            <w:shd w:val="clear" w:color="auto" w:fill="auto"/>
          </w:tcPr>
          <w:p w14:paraId="6BD32227" w14:textId="77777777" w:rsidR="00203F72" w:rsidRPr="00A53581" w:rsidRDefault="00203F72" w:rsidP="00D87D91">
            <w:r w:rsidRPr="00A53581">
              <w:t>0.11%</w:t>
            </w:r>
            <w:r w:rsidRPr="00A53581">
              <w:rPr>
                <w:rStyle w:val="af3"/>
                <w:rFonts w:ascii="新細明體" w:hAnsi="新細明體"/>
              </w:rPr>
              <w:footnoteReference w:id="362"/>
            </w:r>
          </w:p>
        </w:tc>
      </w:tr>
      <w:tr w:rsidR="00203F72" w:rsidRPr="00A53581" w14:paraId="30AC5994" w14:textId="77777777" w:rsidTr="00203F72">
        <w:tc>
          <w:tcPr>
            <w:tcW w:w="729" w:type="dxa"/>
            <w:vMerge/>
            <w:shd w:val="clear" w:color="auto" w:fill="auto"/>
          </w:tcPr>
          <w:p w14:paraId="22AFA606" w14:textId="77777777" w:rsidR="00203F72" w:rsidRPr="00A53581" w:rsidRDefault="00203F72" w:rsidP="00D87D91"/>
        </w:tc>
        <w:tc>
          <w:tcPr>
            <w:tcW w:w="1313" w:type="dxa"/>
            <w:shd w:val="clear" w:color="auto" w:fill="auto"/>
          </w:tcPr>
          <w:p w14:paraId="4780FA2A" w14:textId="77777777" w:rsidR="00203F72" w:rsidRPr="00A53581" w:rsidRDefault="00203F72" w:rsidP="00D87D91">
            <w:r w:rsidRPr="00A53581">
              <w:t>3</w:t>
            </w:r>
            <w:r w:rsidRPr="00A53581">
              <w:t>個月未滿</w:t>
            </w:r>
          </w:p>
        </w:tc>
        <w:tc>
          <w:tcPr>
            <w:tcW w:w="1244" w:type="dxa"/>
            <w:shd w:val="clear" w:color="auto" w:fill="auto"/>
          </w:tcPr>
          <w:p w14:paraId="3A09E9C3" w14:textId="77777777" w:rsidR="00203F72" w:rsidRPr="00A53581" w:rsidRDefault="00203F72" w:rsidP="00D87D91">
            <w:r w:rsidRPr="00A53581">
              <w:t>147</w:t>
            </w:r>
          </w:p>
        </w:tc>
        <w:tc>
          <w:tcPr>
            <w:tcW w:w="1281" w:type="dxa"/>
            <w:shd w:val="clear" w:color="auto" w:fill="auto"/>
          </w:tcPr>
          <w:p w14:paraId="2959A2C7" w14:textId="77777777" w:rsidR="00203F72" w:rsidRPr="00A53581" w:rsidRDefault="00203F72" w:rsidP="00D87D91">
            <w:r w:rsidRPr="00A53581">
              <w:t>14</w:t>
            </w:r>
          </w:p>
        </w:tc>
        <w:tc>
          <w:tcPr>
            <w:tcW w:w="1308" w:type="dxa"/>
            <w:shd w:val="clear" w:color="auto" w:fill="auto"/>
          </w:tcPr>
          <w:p w14:paraId="6EC663F6" w14:textId="77777777" w:rsidR="00203F72" w:rsidRPr="00A53581" w:rsidRDefault="00203F72" w:rsidP="00D87D91">
            <w:r w:rsidRPr="00A53581">
              <w:t>7.89%</w:t>
            </w:r>
          </w:p>
        </w:tc>
        <w:tc>
          <w:tcPr>
            <w:tcW w:w="2171" w:type="dxa"/>
            <w:shd w:val="clear" w:color="auto" w:fill="auto"/>
          </w:tcPr>
          <w:p w14:paraId="4BF5D2FF" w14:textId="77777777" w:rsidR="00203F72" w:rsidRPr="00A53581" w:rsidRDefault="00203F72" w:rsidP="00D87D91">
            <w:r w:rsidRPr="00A53581">
              <w:t>0.75%</w:t>
            </w:r>
          </w:p>
        </w:tc>
      </w:tr>
      <w:tr w:rsidR="00203F72" w:rsidRPr="00A53581" w14:paraId="4A432456" w14:textId="77777777" w:rsidTr="00203F72">
        <w:tc>
          <w:tcPr>
            <w:tcW w:w="729" w:type="dxa"/>
            <w:vMerge/>
            <w:shd w:val="clear" w:color="auto" w:fill="auto"/>
          </w:tcPr>
          <w:p w14:paraId="5EF54D8B" w14:textId="77777777" w:rsidR="00203F72" w:rsidRPr="00A53581" w:rsidRDefault="00203F72" w:rsidP="00D87D91"/>
        </w:tc>
        <w:tc>
          <w:tcPr>
            <w:tcW w:w="1313" w:type="dxa"/>
            <w:shd w:val="clear" w:color="auto" w:fill="auto"/>
          </w:tcPr>
          <w:p w14:paraId="03ACB1FB" w14:textId="77777777" w:rsidR="00203F72" w:rsidRPr="00A53581" w:rsidRDefault="00203F72" w:rsidP="00D87D91">
            <w:r w:rsidRPr="00A53581">
              <w:t>2</w:t>
            </w:r>
            <w:r w:rsidRPr="00A53581">
              <w:t>個月未滿</w:t>
            </w:r>
          </w:p>
        </w:tc>
        <w:tc>
          <w:tcPr>
            <w:tcW w:w="1244" w:type="dxa"/>
            <w:shd w:val="clear" w:color="auto" w:fill="auto"/>
          </w:tcPr>
          <w:p w14:paraId="13348D8E" w14:textId="77777777" w:rsidR="00203F72" w:rsidRPr="00A53581" w:rsidRDefault="00203F72" w:rsidP="00D87D91">
            <w:r w:rsidRPr="00A53581">
              <w:t>319</w:t>
            </w:r>
          </w:p>
        </w:tc>
        <w:tc>
          <w:tcPr>
            <w:tcW w:w="1281" w:type="dxa"/>
            <w:shd w:val="clear" w:color="auto" w:fill="auto"/>
          </w:tcPr>
          <w:p w14:paraId="622729DF" w14:textId="77777777" w:rsidR="00203F72" w:rsidRPr="00A53581" w:rsidRDefault="00203F72" w:rsidP="00D87D91">
            <w:r w:rsidRPr="00A53581">
              <w:t>42</w:t>
            </w:r>
          </w:p>
        </w:tc>
        <w:tc>
          <w:tcPr>
            <w:tcW w:w="1308" w:type="dxa"/>
            <w:shd w:val="clear" w:color="auto" w:fill="auto"/>
          </w:tcPr>
          <w:p w14:paraId="137E2D13" w14:textId="77777777" w:rsidR="00203F72" w:rsidRPr="00A53581" w:rsidRDefault="00203F72" w:rsidP="00D87D91">
            <w:r w:rsidRPr="00A53581">
              <w:t>17.11%</w:t>
            </w:r>
            <w:r w:rsidRPr="00A53581">
              <w:rPr>
                <w:rStyle w:val="af3"/>
                <w:rFonts w:ascii="新細明體" w:hAnsi="新細明體"/>
              </w:rPr>
              <w:footnoteReference w:id="363"/>
            </w:r>
          </w:p>
        </w:tc>
        <w:tc>
          <w:tcPr>
            <w:tcW w:w="2171" w:type="dxa"/>
            <w:shd w:val="clear" w:color="auto" w:fill="auto"/>
          </w:tcPr>
          <w:p w14:paraId="6A93FC4E" w14:textId="77777777" w:rsidR="00203F72" w:rsidRPr="00A53581" w:rsidRDefault="00203F72" w:rsidP="00D87D91">
            <w:r w:rsidRPr="00A53581">
              <w:t>2.25%</w:t>
            </w:r>
          </w:p>
        </w:tc>
      </w:tr>
      <w:tr w:rsidR="00203F72" w:rsidRPr="00A53581" w14:paraId="0C02A7D0" w14:textId="77777777" w:rsidTr="00203F72">
        <w:tc>
          <w:tcPr>
            <w:tcW w:w="729" w:type="dxa"/>
            <w:vMerge w:val="restart"/>
            <w:shd w:val="clear" w:color="auto" w:fill="auto"/>
          </w:tcPr>
          <w:p w14:paraId="0CD5D595" w14:textId="77777777" w:rsidR="00203F72" w:rsidRPr="00A53581" w:rsidRDefault="00203F72" w:rsidP="00D87D91">
            <w:r w:rsidRPr="00A53581">
              <w:t>罰金</w:t>
            </w:r>
          </w:p>
        </w:tc>
        <w:tc>
          <w:tcPr>
            <w:tcW w:w="1313" w:type="dxa"/>
            <w:shd w:val="clear" w:color="auto" w:fill="auto"/>
          </w:tcPr>
          <w:p w14:paraId="026F5C8C" w14:textId="77777777" w:rsidR="00203F72" w:rsidRPr="00A53581" w:rsidRDefault="00203F72" w:rsidP="00D87D91">
            <w:r w:rsidRPr="00A53581">
              <w:t>50</w:t>
            </w:r>
            <w:r w:rsidRPr="00A53581">
              <w:t>圓以上</w:t>
            </w:r>
          </w:p>
        </w:tc>
        <w:tc>
          <w:tcPr>
            <w:tcW w:w="1244" w:type="dxa"/>
            <w:shd w:val="clear" w:color="auto" w:fill="auto"/>
          </w:tcPr>
          <w:p w14:paraId="053E08CE" w14:textId="77777777" w:rsidR="00203F72" w:rsidRPr="00A53581" w:rsidRDefault="00203F72" w:rsidP="00D87D91">
            <w:r w:rsidRPr="00A53581">
              <w:t>79</w:t>
            </w:r>
          </w:p>
        </w:tc>
        <w:tc>
          <w:tcPr>
            <w:tcW w:w="1281" w:type="dxa"/>
            <w:shd w:val="clear" w:color="auto" w:fill="auto"/>
          </w:tcPr>
          <w:p w14:paraId="37E4852E" w14:textId="77777777" w:rsidR="00203F72" w:rsidRPr="00A53581" w:rsidRDefault="00203F72" w:rsidP="00D87D91">
            <w:r w:rsidRPr="00A53581">
              <w:t>12</w:t>
            </w:r>
          </w:p>
        </w:tc>
        <w:tc>
          <w:tcPr>
            <w:tcW w:w="1308" w:type="dxa"/>
            <w:shd w:val="clear" w:color="auto" w:fill="auto"/>
          </w:tcPr>
          <w:p w14:paraId="54D604FA" w14:textId="77777777" w:rsidR="00203F72" w:rsidRPr="00A53581" w:rsidRDefault="00203F72" w:rsidP="00D87D91">
            <w:r w:rsidRPr="00A53581">
              <w:t>4.24%</w:t>
            </w:r>
          </w:p>
        </w:tc>
        <w:tc>
          <w:tcPr>
            <w:tcW w:w="2171" w:type="dxa"/>
            <w:shd w:val="clear" w:color="auto" w:fill="auto"/>
          </w:tcPr>
          <w:p w14:paraId="3189BC1E" w14:textId="77777777" w:rsidR="00203F72" w:rsidRPr="00A53581" w:rsidRDefault="00203F72" w:rsidP="00D87D91">
            <w:r w:rsidRPr="00A53581">
              <w:t>0.64%</w:t>
            </w:r>
          </w:p>
        </w:tc>
      </w:tr>
      <w:tr w:rsidR="00203F72" w:rsidRPr="00A53581" w14:paraId="534D0609" w14:textId="77777777" w:rsidTr="00203F72">
        <w:tc>
          <w:tcPr>
            <w:tcW w:w="729" w:type="dxa"/>
            <w:vMerge/>
            <w:shd w:val="clear" w:color="auto" w:fill="auto"/>
          </w:tcPr>
          <w:p w14:paraId="5CEC9307" w14:textId="77777777" w:rsidR="00203F72" w:rsidRPr="00A53581" w:rsidRDefault="00203F72" w:rsidP="00D87D91"/>
        </w:tc>
        <w:tc>
          <w:tcPr>
            <w:tcW w:w="1313" w:type="dxa"/>
            <w:shd w:val="clear" w:color="auto" w:fill="auto"/>
          </w:tcPr>
          <w:p w14:paraId="7AD163C8" w14:textId="77777777" w:rsidR="00203F72" w:rsidRPr="00A53581" w:rsidRDefault="00203F72" w:rsidP="00D87D91">
            <w:r w:rsidRPr="00A53581">
              <w:t>50</w:t>
            </w:r>
            <w:r w:rsidRPr="00A53581">
              <w:t>圓未滿</w:t>
            </w:r>
          </w:p>
        </w:tc>
        <w:tc>
          <w:tcPr>
            <w:tcW w:w="1244" w:type="dxa"/>
            <w:shd w:val="clear" w:color="auto" w:fill="auto"/>
          </w:tcPr>
          <w:p w14:paraId="4DEDF39B" w14:textId="77777777" w:rsidR="00203F72" w:rsidRPr="00A53581" w:rsidRDefault="00203F72" w:rsidP="00D87D91">
            <w:r w:rsidRPr="00A53581">
              <w:t>710</w:t>
            </w:r>
          </w:p>
        </w:tc>
        <w:tc>
          <w:tcPr>
            <w:tcW w:w="1281" w:type="dxa"/>
            <w:shd w:val="clear" w:color="auto" w:fill="auto"/>
          </w:tcPr>
          <w:p w14:paraId="3CA75634" w14:textId="77777777" w:rsidR="00203F72" w:rsidRPr="00A53581" w:rsidRDefault="00203F72" w:rsidP="00D87D91">
            <w:r w:rsidRPr="00A53581">
              <w:t>169</w:t>
            </w:r>
          </w:p>
        </w:tc>
        <w:tc>
          <w:tcPr>
            <w:tcW w:w="1308" w:type="dxa"/>
            <w:shd w:val="clear" w:color="auto" w:fill="auto"/>
          </w:tcPr>
          <w:p w14:paraId="7AA2DB02" w14:textId="77777777" w:rsidR="00203F72" w:rsidRPr="00A53581" w:rsidRDefault="00203F72" w:rsidP="00D87D91">
            <w:r w:rsidRPr="00A53581">
              <w:t>38.09%</w:t>
            </w:r>
            <w:r w:rsidRPr="00A53581">
              <w:rPr>
                <w:rStyle w:val="af3"/>
                <w:rFonts w:ascii="新細明體" w:hAnsi="新細明體"/>
              </w:rPr>
              <w:footnoteReference w:id="364"/>
            </w:r>
          </w:p>
        </w:tc>
        <w:tc>
          <w:tcPr>
            <w:tcW w:w="2171" w:type="dxa"/>
            <w:shd w:val="clear" w:color="auto" w:fill="auto"/>
          </w:tcPr>
          <w:p w14:paraId="54B8DEED" w14:textId="77777777" w:rsidR="00203F72" w:rsidRPr="00A53581" w:rsidRDefault="00203F72" w:rsidP="00D87D91">
            <w:r w:rsidRPr="00A53581">
              <w:t>9.07%</w:t>
            </w:r>
          </w:p>
        </w:tc>
      </w:tr>
      <w:tr w:rsidR="00203F72" w:rsidRPr="00A53581" w14:paraId="7F75E3D4" w14:textId="77777777" w:rsidTr="00203F72">
        <w:tc>
          <w:tcPr>
            <w:tcW w:w="729" w:type="dxa"/>
            <w:vMerge/>
            <w:shd w:val="clear" w:color="auto" w:fill="auto"/>
          </w:tcPr>
          <w:p w14:paraId="4CED5C3D" w14:textId="77777777" w:rsidR="00203F72" w:rsidRPr="00A53581" w:rsidRDefault="00203F72" w:rsidP="00D87D91"/>
        </w:tc>
        <w:tc>
          <w:tcPr>
            <w:tcW w:w="1313" w:type="dxa"/>
            <w:shd w:val="clear" w:color="auto" w:fill="auto"/>
          </w:tcPr>
          <w:p w14:paraId="48F86940" w14:textId="77777777" w:rsidR="00203F72" w:rsidRPr="00A53581" w:rsidRDefault="00203F72" w:rsidP="00D87D91">
            <w:r w:rsidRPr="00A53581">
              <w:t>20</w:t>
            </w:r>
            <w:r w:rsidRPr="00A53581">
              <w:t>圓未滿</w:t>
            </w:r>
          </w:p>
        </w:tc>
        <w:tc>
          <w:tcPr>
            <w:tcW w:w="1244" w:type="dxa"/>
            <w:shd w:val="clear" w:color="auto" w:fill="auto"/>
          </w:tcPr>
          <w:p w14:paraId="7CEA94F6" w14:textId="77777777" w:rsidR="00203F72" w:rsidRPr="00A53581" w:rsidRDefault="00203F72" w:rsidP="00D87D91">
            <w:r w:rsidRPr="00A53581">
              <w:t>65</w:t>
            </w:r>
          </w:p>
        </w:tc>
        <w:tc>
          <w:tcPr>
            <w:tcW w:w="1281" w:type="dxa"/>
            <w:shd w:val="clear" w:color="auto" w:fill="auto"/>
          </w:tcPr>
          <w:p w14:paraId="4E61A3F7" w14:textId="77777777" w:rsidR="00203F72" w:rsidRPr="00A53581" w:rsidRDefault="00203F72" w:rsidP="00D87D91">
            <w:r w:rsidRPr="00A53581">
              <w:t>17</w:t>
            </w:r>
          </w:p>
        </w:tc>
        <w:tc>
          <w:tcPr>
            <w:tcW w:w="1308" w:type="dxa"/>
            <w:shd w:val="clear" w:color="auto" w:fill="auto"/>
          </w:tcPr>
          <w:p w14:paraId="12DC2BA7" w14:textId="77777777" w:rsidR="00203F72" w:rsidRPr="00A53581" w:rsidRDefault="00203F72" w:rsidP="00D87D91">
            <w:r w:rsidRPr="00A53581">
              <w:t>3.49%</w:t>
            </w:r>
          </w:p>
        </w:tc>
        <w:tc>
          <w:tcPr>
            <w:tcW w:w="2171" w:type="dxa"/>
            <w:shd w:val="clear" w:color="auto" w:fill="auto"/>
          </w:tcPr>
          <w:p w14:paraId="23834EE1" w14:textId="77777777" w:rsidR="00203F72" w:rsidRPr="00A53581" w:rsidRDefault="00203F72" w:rsidP="00D87D91">
            <w:r w:rsidRPr="00A53581">
              <w:t>0.91%</w:t>
            </w:r>
          </w:p>
        </w:tc>
      </w:tr>
      <w:tr w:rsidR="00203F72" w:rsidRPr="00A53581" w14:paraId="06031265" w14:textId="77777777" w:rsidTr="00203F72">
        <w:tc>
          <w:tcPr>
            <w:tcW w:w="729" w:type="dxa"/>
            <w:vMerge w:val="restart"/>
            <w:shd w:val="clear" w:color="auto" w:fill="auto"/>
          </w:tcPr>
          <w:p w14:paraId="68B230E7" w14:textId="77777777" w:rsidR="00203F72" w:rsidRPr="00A53581" w:rsidRDefault="00203F72" w:rsidP="00D87D91">
            <w:r w:rsidRPr="00A53581">
              <w:t>拘留</w:t>
            </w:r>
          </w:p>
        </w:tc>
        <w:tc>
          <w:tcPr>
            <w:tcW w:w="1313" w:type="dxa"/>
            <w:shd w:val="clear" w:color="auto" w:fill="auto"/>
          </w:tcPr>
          <w:p w14:paraId="170AF58C" w14:textId="77777777" w:rsidR="00203F72" w:rsidRPr="00A53581" w:rsidRDefault="00203F72" w:rsidP="00D87D91">
            <w:r w:rsidRPr="00A53581">
              <w:t>30</w:t>
            </w:r>
            <w:r w:rsidRPr="00A53581">
              <w:t>日未滿</w:t>
            </w:r>
          </w:p>
        </w:tc>
        <w:tc>
          <w:tcPr>
            <w:tcW w:w="1244" w:type="dxa"/>
            <w:shd w:val="clear" w:color="auto" w:fill="auto"/>
          </w:tcPr>
          <w:p w14:paraId="1A7AB75B" w14:textId="77777777" w:rsidR="00203F72" w:rsidRPr="00A53581" w:rsidRDefault="00203F72" w:rsidP="00D87D91">
            <w:r w:rsidRPr="00A53581">
              <w:t>1</w:t>
            </w:r>
          </w:p>
        </w:tc>
        <w:tc>
          <w:tcPr>
            <w:tcW w:w="1281" w:type="dxa"/>
            <w:shd w:val="clear" w:color="auto" w:fill="auto"/>
          </w:tcPr>
          <w:p w14:paraId="70D8DA13" w14:textId="77777777" w:rsidR="00203F72" w:rsidRPr="00A53581" w:rsidRDefault="00203F72" w:rsidP="00D87D91">
            <w:r w:rsidRPr="00A53581">
              <w:t>0</w:t>
            </w:r>
          </w:p>
        </w:tc>
        <w:tc>
          <w:tcPr>
            <w:tcW w:w="1308" w:type="dxa"/>
            <w:shd w:val="clear" w:color="auto" w:fill="auto"/>
          </w:tcPr>
          <w:p w14:paraId="4A32F7B3" w14:textId="77777777" w:rsidR="00203F72" w:rsidRPr="00A53581" w:rsidRDefault="00203F72" w:rsidP="00D87D91">
            <w:r w:rsidRPr="00A53581">
              <w:t>0.05%</w:t>
            </w:r>
          </w:p>
        </w:tc>
        <w:tc>
          <w:tcPr>
            <w:tcW w:w="2171" w:type="dxa"/>
            <w:shd w:val="clear" w:color="auto" w:fill="auto"/>
          </w:tcPr>
          <w:p w14:paraId="20555DFA" w14:textId="77777777" w:rsidR="00203F72" w:rsidRPr="00A53581" w:rsidRDefault="00203F72" w:rsidP="00D87D91">
            <w:r w:rsidRPr="00A53581">
              <w:t>0.00%</w:t>
            </w:r>
          </w:p>
        </w:tc>
      </w:tr>
      <w:tr w:rsidR="00203F72" w:rsidRPr="00A53581" w14:paraId="60E467F1" w14:textId="77777777" w:rsidTr="00203F72">
        <w:tc>
          <w:tcPr>
            <w:tcW w:w="729" w:type="dxa"/>
            <w:vMerge/>
            <w:shd w:val="clear" w:color="auto" w:fill="auto"/>
          </w:tcPr>
          <w:p w14:paraId="3EE5669D" w14:textId="77777777" w:rsidR="00203F72" w:rsidRPr="00A53581" w:rsidRDefault="00203F72" w:rsidP="00D87D91"/>
        </w:tc>
        <w:tc>
          <w:tcPr>
            <w:tcW w:w="1313" w:type="dxa"/>
            <w:shd w:val="clear" w:color="auto" w:fill="auto"/>
          </w:tcPr>
          <w:p w14:paraId="019E582D" w14:textId="77777777" w:rsidR="00203F72" w:rsidRPr="00A53581" w:rsidRDefault="00203F72" w:rsidP="00D87D91">
            <w:r w:rsidRPr="00A53581">
              <w:t>20</w:t>
            </w:r>
            <w:r w:rsidRPr="00A53581">
              <w:t>日未滿</w:t>
            </w:r>
          </w:p>
        </w:tc>
        <w:tc>
          <w:tcPr>
            <w:tcW w:w="1244" w:type="dxa"/>
            <w:shd w:val="clear" w:color="auto" w:fill="auto"/>
          </w:tcPr>
          <w:p w14:paraId="32A9603C" w14:textId="77777777" w:rsidR="00203F72" w:rsidRPr="00A53581" w:rsidRDefault="00203F72" w:rsidP="00D87D91">
            <w:r w:rsidRPr="00A53581">
              <w:t>5</w:t>
            </w:r>
          </w:p>
        </w:tc>
        <w:tc>
          <w:tcPr>
            <w:tcW w:w="1281" w:type="dxa"/>
            <w:shd w:val="clear" w:color="auto" w:fill="auto"/>
          </w:tcPr>
          <w:p w14:paraId="26DDA5E2" w14:textId="77777777" w:rsidR="00203F72" w:rsidRPr="00A53581" w:rsidRDefault="00203F72" w:rsidP="00D87D91">
            <w:r w:rsidRPr="00A53581">
              <w:t>0</w:t>
            </w:r>
          </w:p>
        </w:tc>
        <w:tc>
          <w:tcPr>
            <w:tcW w:w="1308" w:type="dxa"/>
            <w:shd w:val="clear" w:color="auto" w:fill="auto"/>
          </w:tcPr>
          <w:p w14:paraId="2031840A" w14:textId="77777777" w:rsidR="00203F72" w:rsidRPr="00A53581" w:rsidRDefault="00203F72" w:rsidP="00D87D91">
            <w:r w:rsidRPr="00A53581">
              <w:t>0.27%</w:t>
            </w:r>
          </w:p>
        </w:tc>
        <w:tc>
          <w:tcPr>
            <w:tcW w:w="2171" w:type="dxa"/>
            <w:shd w:val="clear" w:color="auto" w:fill="auto"/>
          </w:tcPr>
          <w:p w14:paraId="26A346EB" w14:textId="77777777" w:rsidR="00203F72" w:rsidRPr="00A53581" w:rsidRDefault="00203F72" w:rsidP="00D87D91">
            <w:r w:rsidRPr="00A53581">
              <w:t>0.00%</w:t>
            </w:r>
          </w:p>
        </w:tc>
      </w:tr>
      <w:tr w:rsidR="00203F72" w:rsidRPr="00A53581" w14:paraId="223CC8B5" w14:textId="77777777" w:rsidTr="00203F72">
        <w:tc>
          <w:tcPr>
            <w:tcW w:w="729" w:type="dxa"/>
            <w:vMerge w:val="restart"/>
            <w:shd w:val="clear" w:color="auto" w:fill="auto"/>
          </w:tcPr>
          <w:p w14:paraId="35748472" w14:textId="77777777" w:rsidR="00203F72" w:rsidRPr="00A53581" w:rsidRDefault="00203F72" w:rsidP="00D87D91">
            <w:r w:rsidRPr="00A53581">
              <w:t>罰鍰</w:t>
            </w:r>
          </w:p>
        </w:tc>
        <w:tc>
          <w:tcPr>
            <w:tcW w:w="1313" w:type="dxa"/>
            <w:shd w:val="clear" w:color="auto" w:fill="auto"/>
          </w:tcPr>
          <w:p w14:paraId="5209DD2F" w14:textId="77777777" w:rsidR="00203F72" w:rsidRPr="00A53581" w:rsidRDefault="00203F72" w:rsidP="00D87D91">
            <w:r w:rsidRPr="00A53581">
              <w:t>20</w:t>
            </w:r>
            <w:r w:rsidRPr="00A53581">
              <w:t>圓未滿</w:t>
            </w:r>
          </w:p>
        </w:tc>
        <w:tc>
          <w:tcPr>
            <w:tcW w:w="1244" w:type="dxa"/>
            <w:shd w:val="clear" w:color="auto" w:fill="auto"/>
          </w:tcPr>
          <w:p w14:paraId="5F7730C2" w14:textId="77777777" w:rsidR="00203F72" w:rsidRPr="00A53581" w:rsidRDefault="00203F72" w:rsidP="00D87D91">
            <w:r w:rsidRPr="00A53581">
              <w:t>72</w:t>
            </w:r>
          </w:p>
        </w:tc>
        <w:tc>
          <w:tcPr>
            <w:tcW w:w="1281" w:type="dxa"/>
            <w:shd w:val="clear" w:color="auto" w:fill="auto"/>
          </w:tcPr>
          <w:p w14:paraId="7A9676C3" w14:textId="77777777" w:rsidR="00203F72" w:rsidRPr="00A53581" w:rsidRDefault="00203F72" w:rsidP="00D87D91">
            <w:r w:rsidRPr="00A53581">
              <w:t>8</w:t>
            </w:r>
          </w:p>
        </w:tc>
        <w:tc>
          <w:tcPr>
            <w:tcW w:w="1308" w:type="dxa"/>
            <w:shd w:val="clear" w:color="auto" w:fill="auto"/>
          </w:tcPr>
          <w:p w14:paraId="79571371" w14:textId="77777777" w:rsidR="00203F72" w:rsidRPr="00A53581" w:rsidRDefault="00203F72" w:rsidP="00D87D91">
            <w:r w:rsidRPr="00A53581">
              <w:t>3.86%</w:t>
            </w:r>
          </w:p>
        </w:tc>
        <w:tc>
          <w:tcPr>
            <w:tcW w:w="2171" w:type="dxa"/>
            <w:shd w:val="clear" w:color="auto" w:fill="auto"/>
          </w:tcPr>
          <w:p w14:paraId="1C91D8F4" w14:textId="77777777" w:rsidR="00203F72" w:rsidRPr="00A53581" w:rsidRDefault="00203F72" w:rsidP="00D87D91">
            <w:r w:rsidRPr="00A53581">
              <w:t>0.43%</w:t>
            </w:r>
          </w:p>
        </w:tc>
      </w:tr>
      <w:tr w:rsidR="00203F72" w:rsidRPr="00A53581" w14:paraId="064258F4" w14:textId="77777777" w:rsidTr="00203F72">
        <w:tc>
          <w:tcPr>
            <w:tcW w:w="729" w:type="dxa"/>
            <w:vMerge/>
            <w:shd w:val="clear" w:color="auto" w:fill="auto"/>
          </w:tcPr>
          <w:p w14:paraId="10EC86D9" w14:textId="77777777" w:rsidR="00203F72" w:rsidRPr="00A53581" w:rsidRDefault="00203F72" w:rsidP="00D87D91"/>
        </w:tc>
        <w:tc>
          <w:tcPr>
            <w:tcW w:w="1313" w:type="dxa"/>
            <w:shd w:val="clear" w:color="auto" w:fill="auto"/>
          </w:tcPr>
          <w:p w14:paraId="5CFDE40F" w14:textId="77777777" w:rsidR="00203F72" w:rsidRPr="00A53581" w:rsidRDefault="00203F72" w:rsidP="00D87D91">
            <w:r w:rsidRPr="00A53581">
              <w:t>10</w:t>
            </w:r>
            <w:r w:rsidRPr="00A53581">
              <w:t>圓未滿</w:t>
            </w:r>
          </w:p>
        </w:tc>
        <w:tc>
          <w:tcPr>
            <w:tcW w:w="1244" w:type="dxa"/>
            <w:shd w:val="clear" w:color="auto" w:fill="auto"/>
          </w:tcPr>
          <w:p w14:paraId="1322FA41" w14:textId="77777777" w:rsidR="00203F72" w:rsidRPr="00A53581" w:rsidRDefault="00203F72" w:rsidP="00D87D91">
            <w:r w:rsidRPr="00A53581">
              <w:t>134</w:t>
            </w:r>
          </w:p>
        </w:tc>
        <w:tc>
          <w:tcPr>
            <w:tcW w:w="1281" w:type="dxa"/>
            <w:shd w:val="clear" w:color="auto" w:fill="auto"/>
          </w:tcPr>
          <w:p w14:paraId="3FE74B2E" w14:textId="77777777" w:rsidR="00203F72" w:rsidRPr="00A53581" w:rsidRDefault="00203F72" w:rsidP="00D87D91">
            <w:r w:rsidRPr="00A53581">
              <w:t>22</w:t>
            </w:r>
          </w:p>
        </w:tc>
        <w:tc>
          <w:tcPr>
            <w:tcW w:w="1308" w:type="dxa"/>
            <w:shd w:val="clear" w:color="auto" w:fill="auto"/>
          </w:tcPr>
          <w:p w14:paraId="273C0D10" w14:textId="77777777" w:rsidR="00203F72" w:rsidRPr="00A53581" w:rsidRDefault="00203F72" w:rsidP="00D87D91">
            <w:r w:rsidRPr="00A53581">
              <w:t>7.19%</w:t>
            </w:r>
          </w:p>
        </w:tc>
        <w:tc>
          <w:tcPr>
            <w:tcW w:w="2171" w:type="dxa"/>
            <w:shd w:val="clear" w:color="auto" w:fill="auto"/>
          </w:tcPr>
          <w:p w14:paraId="45CDE120" w14:textId="77777777" w:rsidR="00203F72" w:rsidRPr="00A53581" w:rsidRDefault="00203F72" w:rsidP="00D87D91">
            <w:r w:rsidRPr="00A53581">
              <w:t>1.18%</w:t>
            </w:r>
          </w:p>
        </w:tc>
      </w:tr>
      <w:tr w:rsidR="00203F72" w:rsidRPr="00A53581" w14:paraId="677E30EE" w14:textId="77777777" w:rsidTr="00203F72">
        <w:tc>
          <w:tcPr>
            <w:tcW w:w="729" w:type="dxa"/>
            <w:shd w:val="clear" w:color="auto" w:fill="auto"/>
          </w:tcPr>
          <w:p w14:paraId="3A5B3154" w14:textId="77777777" w:rsidR="00203F72" w:rsidRPr="00A53581" w:rsidRDefault="00203F72" w:rsidP="00D87D91">
            <w:r w:rsidRPr="00A53581">
              <w:t>合計</w:t>
            </w:r>
          </w:p>
        </w:tc>
        <w:tc>
          <w:tcPr>
            <w:tcW w:w="1313" w:type="dxa"/>
            <w:shd w:val="clear" w:color="auto" w:fill="auto"/>
          </w:tcPr>
          <w:p w14:paraId="57802F31" w14:textId="77777777" w:rsidR="00203F72" w:rsidRPr="00A53581" w:rsidRDefault="00203F72" w:rsidP="00D87D91">
            <w:r w:rsidRPr="00A53581">
              <w:t>1864</w:t>
            </w:r>
            <w:r w:rsidRPr="00A53581">
              <w:rPr>
                <w:rStyle w:val="af3"/>
                <w:rFonts w:ascii="新細明體" w:hAnsi="新細明體"/>
              </w:rPr>
              <w:footnoteReference w:id="365"/>
            </w:r>
          </w:p>
        </w:tc>
        <w:tc>
          <w:tcPr>
            <w:tcW w:w="1244" w:type="dxa"/>
            <w:shd w:val="clear" w:color="auto" w:fill="auto"/>
          </w:tcPr>
          <w:p w14:paraId="6B9F562C" w14:textId="77777777" w:rsidR="00203F72" w:rsidRPr="00A53581" w:rsidRDefault="00203F72" w:rsidP="00D87D91">
            <w:r w:rsidRPr="00A53581">
              <w:t>1578</w:t>
            </w:r>
          </w:p>
        </w:tc>
        <w:tc>
          <w:tcPr>
            <w:tcW w:w="1281" w:type="dxa"/>
            <w:shd w:val="clear" w:color="auto" w:fill="auto"/>
          </w:tcPr>
          <w:p w14:paraId="5AB9BAFD" w14:textId="77777777" w:rsidR="00203F72" w:rsidRPr="00A53581" w:rsidRDefault="00203F72" w:rsidP="00D87D91">
            <w:r w:rsidRPr="00A53581">
              <w:t>286</w:t>
            </w:r>
          </w:p>
        </w:tc>
        <w:tc>
          <w:tcPr>
            <w:tcW w:w="1308" w:type="dxa"/>
            <w:shd w:val="clear" w:color="auto" w:fill="auto"/>
          </w:tcPr>
          <w:p w14:paraId="2247500F" w14:textId="77777777" w:rsidR="00203F72" w:rsidRPr="00A53581" w:rsidRDefault="00203F72" w:rsidP="00D87D91"/>
        </w:tc>
        <w:tc>
          <w:tcPr>
            <w:tcW w:w="2171" w:type="dxa"/>
            <w:shd w:val="clear" w:color="auto" w:fill="auto"/>
          </w:tcPr>
          <w:p w14:paraId="24D70241" w14:textId="77777777" w:rsidR="00203F72" w:rsidRPr="00A53581" w:rsidRDefault="00203F72" w:rsidP="00D87D91"/>
        </w:tc>
      </w:tr>
    </w:tbl>
    <w:p w14:paraId="6F2818F0" w14:textId="77777777" w:rsidR="00203F72" w:rsidRPr="00167967" w:rsidRDefault="0039258A" w:rsidP="00D87D91">
      <w:r w:rsidRPr="00167967">
        <w:t>【</w:t>
      </w:r>
      <w:r w:rsidR="00203F72" w:rsidRPr="00167967">
        <w:t>註</w:t>
      </w:r>
      <w:r w:rsidRPr="00167967">
        <w:t>】</w:t>
      </w:r>
      <w:r w:rsidR="00203F72" w:rsidRPr="00167967">
        <w:t>涉及台灣阿片令犯罪即決犯罪人數總計</w:t>
      </w:r>
      <w:r w:rsidR="00203F72" w:rsidRPr="00167967">
        <w:t>1864</w:t>
      </w:r>
      <w:r w:rsidR="00203F72" w:rsidRPr="00167967">
        <w:t>人。男女性比例之計算方式，係將其人數除以</w:t>
      </w:r>
      <w:r w:rsidR="00203F72" w:rsidRPr="00167967">
        <w:t>1864</w:t>
      </w:r>
      <w:r w:rsidR="00203F72" w:rsidRPr="00167967">
        <w:t>人，再乘上</w:t>
      </w:r>
      <w:r w:rsidR="00203F72" w:rsidRPr="00167967">
        <w:t>100</w:t>
      </w:r>
      <w:r w:rsidR="00203F72" w:rsidRPr="00167967">
        <w:t>所得之數據。</w:t>
      </w:r>
    </w:p>
    <w:p w14:paraId="7051A067" w14:textId="77777777" w:rsidR="00953151" w:rsidRPr="00167967" w:rsidRDefault="0039258A" w:rsidP="00D87D91">
      <w:r w:rsidRPr="00167967">
        <w:t xml:space="preserve">　　</w:t>
      </w:r>
      <w:r w:rsidR="00203F72" w:rsidRPr="00167967">
        <w:t>資料來源</w:t>
      </w:r>
      <w:r w:rsidR="00203F72" w:rsidRPr="00167967">
        <w:footnoteReference w:id="366"/>
      </w:r>
      <w:r w:rsidR="00203F72" w:rsidRPr="00167967">
        <w:t>：台灣犯罪統計，台灣總督府，昭和</w:t>
      </w:r>
      <w:r w:rsidR="00203F72" w:rsidRPr="00167967">
        <w:t>6</w:t>
      </w:r>
      <w:r w:rsidR="00203F72" w:rsidRPr="00167967">
        <w:t>年</w:t>
      </w:r>
      <w:r w:rsidR="00203F72" w:rsidRPr="00167967">
        <w:t>(1931</w:t>
      </w:r>
      <w:r w:rsidR="00203F72" w:rsidRPr="00167967">
        <w:t>年</w:t>
      </w:r>
      <w:r w:rsidR="00203F72" w:rsidRPr="00167967">
        <w:t>)</w:t>
      </w:r>
      <w:r w:rsidR="00203F72" w:rsidRPr="00167967">
        <w:t>。</w:t>
      </w:r>
    </w:p>
    <w:p w14:paraId="06837AF2" w14:textId="77777777" w:rsidR="00953151" w:rsidRPr="00167967" w:rsidRDefault="0039258A" w:rsidP="00D87D91">
      <w:r w:rsidRPr="00167967">
        <w:t xml:space="preserve">　　</w:t>
      </w:r>
      <w:r w:rsidR="00203F72" w:rsidRPr="00167967">
        <w:t>在地方法院部分，則分為單獨部及合議部，單獨部地方法院審理方式計有：公判及略式程序。在公判部分，以昭和</w:t>
      </w:r>
      <w:r w:rsidR="00203F72" w:rsidRPr="00167967">
        <w:t>6</w:t>
      </w:r>
      <w:r w:rsidR="00203F72" w:rsidRPr="00167967">
        <w:t>年</w:t>
      </w:r>
      <w:r w:rsidR="00203F72" w:rsidRPr="00167967">
        <w:t>(1931</w:t>
      </w:r>
      <w:r w:rsidR="00203F72" w:rsidRPr="00167967">
        <w:t>年</w:t>
      </w:r>
      <w:r w:rsidR="00203F72" w:rsidRPr="00167967">
        <w:t>)</w:t>
      </w:r>
      <w:r w:rsidR="00203F72" w:rsidRPr="00167967">
        <w:t>為例，單獨部地方法院公判部分刑事案件之來源，則為由檢察官移送</w:t>
      </w:r>
      <w:r w:rsidR="00203F72" w:rsidRPr="00167967">
        <w:t>(3335</w:t>
      </w:r>
      <w:r w:rsidR="00203F72" w:rsidRPr="00167967">
        <w:t>人</w:t>
      </w:r>
      <w:r w:rsidR="00203F72" w:rsidRPr="00167967">
        <w:t>)</w:t>
      </w:r>
      <w:r w:rsidR="00203F72" w:rsidRPr="00167967">
        <w:t>及各個州廳請求單獨部地方法院正式裁判之移送刑事案件</w:t>
      </w:r>
      <w:r w:rsidR="00203F72" w:rsidRPr="00167967">
        <w:t>(305</w:t>
      </w:r>
      <w:r w:rsidR="00203F72" w:rsidRPr="00167967">
        <w:t>人</w:t>
      </w:r>
      <w:r w:rsidR="00203F72" w:rsidRPr="00167967">
        <w:t>)</w:t>
      </w:r>
      <w:r w:rsidR="00203F72" w:rsidRPr="00167967">
        <w:t>，兩者合計</w:t>
      </w:r>
      <w:r w:rsidR="00203F72" w:rsidRPr="00167967">
        <w:t>3640</w:t>
      </w:r>
      <w:r w:rsidR="00203F72" w:rsidRPr="00167967">
        <w:t>人，單獨部大多數之刑事案件是來自於檢察官之移送。在單獨部地方法院之略式程序方面，案件主要之來源，係由檢察官移送，計</w:t>
      </w:r>
      <w:r w:rsidR="00203F72" w:rsidRPr="00167967">
        <w:t>4184</w:t>
      </w:r>
      <w:r w:rsidR="00203F72" w:rsidRPr="00167967">
        <w:t>人。單獨部地方法院略式程序對於刑事案件之終局方式，計有發布略式命令</w:t>
      </w:r>
      <w:r w:rsidR="00203F72" w:rsidRPr="00167967">
        <w:t>(4134</w:t>
      </w:r>
      <w:r w:rsidR="00203F72" w:rsidRPr="00167967">
        <w:t>人</w:t>
      </w:r>
      <w:r w:rsidR="00203F72" w:rsidRPr="00167967">
        <w:t>)</w:t>
      </w:r>
      <w:r w:rsidR="00203F72" w:rsidRPr="00167967">
        <w:t>及將刑事案件移送正式公判</w:t>
      </w:r>
      <w:r w:rsidR="00203F72" w:rsidRPr="00167967">
        <w:t>(50</w:t>
      </w:r>
      <w:r w:rsidR="00203F72" w:rsidRPr="00167967">
        <w:t>人</w:t>
      </w:r>
      <w:r w:rsidR="00203F72" w:rsidRPr="00167967">
        <w:t xml:space="preserve">) </w:t>
      </w:r>
      <w:r w:rsidR="00203F72" w:rsidRPr="00167967">
        <w:footnoteReference w:id="367"/>
      </w:r>
      <w:r w:rsidR="00203F72" w:rsidRPr="00167967">
        <w:t>，絕大部分之刑事案件是以略式命令方式被加以結案</w:t>
      </w:r>
      <w:r w:rsidR="00203F72" w:rsidRPr="00167967">
        <w:footnoteReference w:id="368"/>
      </w:r>
      <w:r w:rsidR="00203F72" w:rsidRPr="00167967">
        <w:t>。在地方法院合議部方面，審判方式，可分為：預審、第一審與第二審。</w:t>
      </w:r>
    </w:p>
    <w:p w14:paraId="7D103C33" w14:textId="77777777" w:rsidR="00203F72" w:rsidRPr="00167967" w:rsidRDefault="0039258A" w:rsidP="00D87D91">
      <w:r w:rsidRPr="00167967">
        <w:t xml:space="preserve">　　</w:t>
      </w:r>
      <w:r w:rsidR="00203F72" w:rsidRPr="00167967">
        <w:t>於昭和</w:t>
      </w:r>
      <w:r w:rsidR="00203F72" w:rsidRPr="00167967">
        <w:t>6</w:t>
      </w:r>
      <w:r w:rsidR="00203F72" w:rsidRPr="00167967">
        <w:t>年</w:t>
      </w:r>
      <w:r w:rsidR="00203F72" w:rsidRPr="00167967">
        <w:t>(1931</w:t>
      </w:r>
      <w:r w:rsidR="00203F72" w:rsidRPr="00167967">
        <w:t>年</w:t>
      </w:r>
      <w:r w:rsidR="00203F72" w:rsidRPr="00167967">
        <w:t>)</w:t>
      </w:r>
      <w:r w:rsidR="00203F72" w:rsidRPr="00167967">
        <w:t>，在地方法院獨議部，受理及判決涉及違反台灣阿片令之案件部分，受判決確定者之人數，男性為</w:t>
      </w:r>
      <w:r w:rsidR="00203F72" w:rsidRPr="00167967">
        <w:t>305</w:t>
      </w:r>
      <w:r w:rsidR="00203F72" w:rsidRPr="00167967">
        <w:t>人，女性為</w:t>
      </w:r>
      <w:r w:rsidR="00203F72" w:rsidRPr="00167967">
        <w:t>23</w:t>
      </w:r>
      <w:r w:rsidR="00203F72" w:rsidRPr="00167967">
        <w:t>人，詳如下表中之地方法院獨議部，判決涉及違反台灣阿片令犯罪人數。與犯罪即決之人數相較，涉及台灣阿片令犯罪刑事案件，進入地方法院獨議部之情形，其數量較少。在刑期方面，</w:t>
      </w:r>
      <w:r w:rsidR="00203F72" w:rsidRPr="00167967">
        <w:t>10</w:t>
      </w:r>
      <w:r w:rsidR="00203F72" w:rsidRPr="00167967">
        <w:t>年未滿者，占</w:t>
      </w:r>
      <w:r w:rsidR="00203F72" w:rsidRPr="00167967">
        <w:t>0.3%</w:t>
      </w:r>
      <w:r w:rsidR="00203F72" w:rsidRPr="00167967">
        <w:t>。</w:t>
      </w:r>
      <w:r w:rsidR="00203F72" w:rsidRPr="00167967">
        <w:t>3</w:t>
      </w:r>
      <w:r w:rsidR="00203F72" w:rsidRPr="00167967">
        <w:t>年未滿者，占</w:t>
      </w:r>
      <w:r w:rsidR="00203F72" w:rsidRPr="00167967">
        <w:t>2.44%</w:t>
      </w:r>
      <w:r w:rsidR="00203F72" w:rsidRPr="00167967">
        <w:t>。</w:t>
      </w:r>
      <w:r w:rsidR="00203F72" w:rsidRPr="00167967">
        <w:t>1</w:t>
      </w:r>
      <w:r w:rsidR="00203F72" w:rsidRPr="00167967">
        <w:t>年未滿者，占</w:t>
      </w:r>
      <w:r w:rsidR="00203F72" w:rsidRPr="00167967">
        <w:t>7.62%</w:t>
      </w:r>
      <w:r w:rsidR="00203F72" w:rsidRPr="00167967">
        <w:t>，合計為</w:t>
      </w:r>
      <w:r w:rsidR="00203F72" w:rsidRPr="00167967">
        <w:t>10.36%</w:t>
      </w:r>
      <w:r w:rsidR="00203F72" w:rsidRPr="00167967">
        <w:t>，故有期徒刑</w:t>
      </w:r>
      <w:r w:rsidR="00203F72" w:rsidRPr="00167967">
        <w:t>1</w:t>
      </w:r>
      <w:r w:rsidR="00203F72" w:rsidRPr="00167967">
        <w:t>年以上者，僅約為一成。近約九成之受判決人，其徒刑係為</w:t>
      </w:r>
      <w:r w:rsidR="00203F72" w:rsidRPr="00167967">
        <w:t>1</w:t>
      </w:r>
      <w:r w:rsidR="00203F72" w:rsidRPr="00167967">
        <w:t>年以下或罰金，地方法院獨議部，於審理涉及違反台灣阿片令犯罪之案件部分，其判決之刑度方面，偏向於判處刑度較短之有期徒刑或罰金，並未採取重罰之毒品刑事政策。</w:t>
      </w:r>
    </w:p>
    <w:p w14:paraId="72E269C2" w14:textId="77777777" w:rsidR="00203F72" w:rsidRPr="00A53581" w:rsidRDefault="00203F72" w:rsidP="00D87D91">
      <w:pPr>
        <w:pStyle w:val="111"/>
      </w:pPr>
    </w:p>
    <w:p w14:paraId="730033C8" w14:textId="78B6B84E"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88</w:t>
      </w:r>
      <w:r w:rsidR="00076467">
        <w:rPr>
          <w:noProof/>
        </w:rPr>
        <w:fldChar w:fldCharType="end"/>
      </w:r>
      <w:r w:rsidR="00203F72" w:rsidRPr="00A53581">
        <w:t xml:space="preserve"> </w:t>
      </w:r>
      <w:r w:rsidR="00203F72" w:rsidRPr="00A53581">
        <w:rPr>
          <w:bCs/>
        </w:rPr>
        <w:t>昭和</w:t>
      </w:r>
      <w:r w:rsidR="00203F72" w:rsidRPr="00A53581">
        <w:rPr>
          <w:bCs/>
        </w:rPr>
        <w:t>6</w:t>
      </w:r>
      <w:r w:rsidR="00203F72" w:rsidRPr="00A53581">
        <w:rPr>
          <w:bCs/>
        </w:rPr>
        <w:t>年</w:t>
      </w:r>
      <w:r w:rsidR="00203F72" w:rsidRPr="00A53581">
        <w:rPr>
          <w:bCs/>
        </w:rPr>
        <w:t>(1931</w:t>
      </w:r>
      <w:r w:rsidR="00203F72" w:rsidRPr="00A53581">
        <w:rPr>
          <w:bCs/>
        </w:rPr>
        <w:t>年</w:t>
      </w:r>
      <w:r w:rsidR="00203F72" w:rsidRPr="00A53581">
        <w:rPr>
          <w:bCs/>
        </w:rPr>
        <w:t>)</w:t>
      </w:r>
      <w:r w:rsidR="00203F72" w:rsidRPr="00A53581">
        <w:rPr>
          <w:bCs/>
        </w:rPr>
        <w:t>地方法院獨議部判決涉及違反台灣阿片令犯罪人數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620"/>
        <w:gridCol w:w="1440"/>
        <w:gridCol w:w="1440"/>
        <w:gridCol w:w="1440"/>
        <w:gridCol w:w="1420"/>
      </w:tblGrid>
      <w:tr w:rsidR="00203F72" w:rsidRPr="00A53581" w14:paraId="136F53BE" w14:textId="77777777" w:rsidTr="00167967">
        <w:trPr>
          <w:tblHeader/>
        </w:trPr>
        <w:tc>
          <w:tcPr>
            <w:tcW w:w="2448" w:type="dxa"/>
            <w:gridSpan w:val="2"/>
            <w:shd w:val="clear" w:color="auto" w:fill="FAF0FA"/>
          </w:tcPr>
          <w:p w14:paraId="69CF66AE" w14:textId="77777777" w:rsidR="00203F72" w:rsidRPr="00A53581" w:rsidRDefault="00203F72" w:rsidP="00D87D91">
            <w:r w:rsidRPr="00A53581">
              <w:t>性別</w:t>
            </w:r>
          </w:p>
          <w:p w14:paraId="54A3181F" w14:textId="77777777" w:rsidR="00203F72" w:rsidRPr="00A53581" w:rsidRDefault="00203F72" w:rsidP="00D87D91">
            <w:pPr>
              <w:rPr>
                <w:kern w:val="0"/>
              </w:rPr>
            </w:pPr>
            <w:r w:rsidRPr="00A53581">
              <w:t>種類</w:t>
            </w:r>
          </w:p>
        </w:tc>
        <w:tc>
          <w:tcPr>
            <w:tcW w:w="1440" w:type="dxa"/>
            <w:shd w:val="clear" w:color="auto" w:fill="FAF0FA"/>
          </w:tcPr>
          <w:p w14:paraId="0FE14138" w14:textId="77777777" w:rsidR="00203F72" w:rsidRPr="00A53581" w:rsidRDefault="00203F72" w:rsidP="00D87D91">
            <w:r w:rsidRPr="00A53581">
              <w:t>男性人數</w:t>
            </w:r>
          </w:p>
        </w:tc>
        <w:tc>
          <w:tcPr>
            <w:tcW w:w="1440" w:type="dxa"/>
            <w:shd w:val="clear" w:color="auto" w:fill="FAF0FA"/>
          </w:tcPr>
          <w:p w14:paraId="4F8FC0A8" w14:textId="77777777" w:rsidR="00203F72" w:rsidRPr="00A53581" w:rsidRDefault="00203F72" w:rsidP="00D87D91">
            <w:r w:rsidRPr="00A53581">
              <w:t>女性人數</w:t>
            </w:r>
          </w:p>
        </w:tc>
        <w:tc>
          <w:tcPr>
            <w:tcW w:w="1440" w:type="dxa"/>
            <w:shd w:val="clear" w:color="auto" w:fill="FAF0FA"/>
          </w:tcPr>
          <w:p w14:paraId="58DED987" w14:textId="77777777" w:rsidR="00203F72" w:rsidRPr="00A53581" w:rsidRDefault="00203F72" w:rsidP="00D87D91">
            <w:r w:rsidRPr="00A53581">
              <w:t>男性比例</w:t>
            </w:r>
            <w:r w:rsidRPr="00A53581">
              <w:t xml:space="preserve">(%) </w:t>
            </w:r>
          </w:p>
        </w:tc>
        <w:tc>
          <w:tcPr>
            <w:tcW w:w="1420" w:type="dxa"/>
            <w:shd w:val="clear" w:color="auto" w:fill="FAF0FA"/>
          </w:tcPr>
          <w:p w14:paraId="784BEA7A" w14:textId="77777777" w:rsidR="00203F72" w:rsidRPr="00A53581" w:rsidRDefault="00203F72" w:rsidP="00D87D91">
            <w:r w:rsidRPr="00A53581">
              <w:t>女性比例</w:t>
            </w:r>
            <w:r w:rsidRPr="00A53581">
              <w:t>(%)</w:t>
            </w:r>
          </w:p>
        </w:tc>
      </w:tr>
      <w:tr w:rsidR="00203F72" w:rsidRPr="00A53581" w14:paraId="0D0E8A74" w14:textId="77777777" w:rsidTr="00203F72">
        <w:tc>
          <w:tcPr>
            <w:tcW w:w="828" w:type="dxa"/>
            <w:vMerge w:val="restart"/>
            <w:shd w:val="clear" w:color="auto" w:fill="auto"/>
          </w:tcPr>
          <w:p w14:paraId="30EC5898" w14:textId="77777777" w:rsidR="00203F72" w:rsidRPr="00A53581" w:rsidRDefault="00203F72" w:rsidP="00D87D91">
            <w:r w:rsidRPr="00A53581">
              <w:t>懲役</w:t>
            </w:r>
          </w:p>
        </w:tc>
        <w:tc>
          <w:tcPr>
            <w:tcW w:w="1620" w:type="dxa"/>
            <w:shd w:val="clear" w:color="auto" w:fill="auto"/>
          </w:tcPr>
          <w:p w14:paraId="760F9E60" w14:textId="77777777" w:rsidR="00203F72" w:rsidRPr="00A53581" w:rsidRDefault="00203F72" w:rsidP="00D87D91">
            <w:r w:rsidRPr="00A53581">
              <w:t>10</w:t>
            </w:r>
            <w:r w:rsidRPr="00A53581">
              <w:t>年未滿</w:t>
            </w:r>
          </w:p>
        </w:tc>
        <w:tc>
          <w:tcPr>
            <w:tcW w:w="1440" w:type="dxa"/>
            <w:shd w:val="clear" w:color="auto" w:fill="auto"/>
          </w:tcPr>
          <w:p w14:paraId="503BBCF0" w14:textId="77777777" w:rsidR="00203F72" w:rsidRPr="00A53581" w:rsidRDefault="00203F72" w:rsidP="00D87D91">
            <w:r w:rsidRPr="00A53581">
              <w:t>1</w:t>
            </w:r>
          </w:p>
        </w:tc>
        <w:tc>
          <w:tcPr>
            <w:tcW w:w="1440" w:type="dxa"/>
            <w:shd w:val="clear" w:color="auto" w:fill="auto"/>
          </w:tcPr>
          <w:p w14:paraId="1ECC2AF7" w14:textId="77777777" w:rsidR="00203F72" w:rsidRPr="00A53581" w:rsidRDefault="00203F72" w:rsidP="00D87D91">
            <w:r w:rsidRPr="00A53581">
              <w:t>0</w:t>
            </w:r>
          </w:p>
        </w:tc>
        <w:tc>
          <w:tcPr>
            <w:tcW w:w="1440" w:type="dxa"/>
            <w:shd w:val="clear" w:color="auto" w:fill="auto"/>
          </w:tcPr>
          <w:p w14:paraId="19990F2A" w14:textId="77777777" w:rsidR="00203F72" w:rsidRPr="00A53581" w:rsidRDefault="00203F72" w:rsidP="00D87D91">
            <w:r w:rsidRPr="00A53581">
              <w:t>0.30</w:t>
            </w:r>
          </w:p>
        </w:tc>
        <w:tc>
          <w:tcPr>
            <w:tcW w:w="1420" w:type="dxa"/>
            <w:shd w:val="clear" w:color="auto" w:fill="auto"/>
          </w:tcPr>
          <w:p w14:paraId="1FE77209" w14:textId="77777777" w:rsidR="00203F72" w:rsidRPr="00A53581" w:rsidRDefault="00203F72" w:rsidP="00D87D91">
            <w:r w:rsidRPr="00A53581">
              <w:t>0.00</w:t>
            </w:r>
          </w:p>
        </w:tc>
      </w:tr>
      <w:tr w:rsidR="00203F72" w:rsidRPr="00A53581" w14:paraId="6AE3B119" w14:textId="77777777" w:rsidTr="00203F72">
        <w:tc>
          <w:tcPr>
            <w:tcW w:w="828" w:type="dxa"/>
            <w:vMerge/>
            <w:shd w:val="clear" w:color="auto" w:fill="auto"/>
          </w:tcPr>
          <w:p w14:paraId="01E24D0D" w14:textId="77777777" w:rsidR="00203F72" w:rsidRPr="00A53581" w:rsidRDefault="00203F72" w:rsidP="00D87D91"/>
        </w:tc>
        <w:tc>
          <w:tcPr>
            <w:tcW w:w="1620" w:type="dxa"/>
            <w:shd w:val="clear" w:color="auto" w:fill="auto"/>
          </w:tcPr>
          <w:p w14:paraId="61B29515" w14:textId="77777777" w:rsidR="00203F72" w:rsidRPr="00A53581" w:rsidRDefault="00203F72" w:rsidP="00D87D91">
            <w:r w:rsidRPr="00A53581">
              <w:t>5</w:t>
            </w:r>
            <w:r w:rsidRPr="00A53581">
              <w:t>年未滿</w:t>
            </w:r>
            <w:r w:rsidRPr="00A53581">
              <w:t xml:space="preserve"> </w:t>
            </w:r>
          </w:p>
        </w:tc>
        <w:tc>
          <w:tcPr>
            <w:tcW w:w="1440" w:type="dxa"/>
            <w:shd w:val="clear" w:color="auto" w:fill="auto"/>
          </w:tcPr>
          <w:p w14:paraId="1B0E2AAA" w14:textId="77777777" w:rsidR="00203F72" w:rsidRPr="00A53581" w:rsidRDefault="00203F72" w:rsidP="00D87D91">
            <w:r w:rsidRPr="00A53581">
              <w:t>0</w:t>
            </w:r>
          </w:p>
        </w:tc>
        <w:tc>
          <w:tcPr>
            <w:tcW w:w="1440" w:type="dxa"/>
            <w:shd w:val="clear" w:color="auto" w:fill="auto"/>
          </w:tcPr>
          <w:p w14:paraId="098772AF" w14:textId="77777777" w:rsidR="00203F72" w:rsidRPr="00A53581" w:rsidRDefault="00203F72" w:rsidP="00D87D91">
            <w:r w:rsidRPr="00A53581">
              <w:t>0</w:t>
            </w:r>
          </w:p>
        </w:tc>
        <w:tc>
          <w:tcPr>
            <w:tcW w:w="1440" w:type="dxa"/>
            <w:shd w:val="clear" w:color="auto" w:fill="auto"/>
          </w:tcPr>
          <w:p w14:paraId="2C475C85" w14:textId="77777777" w:rsidR="00203F72" w:rsidRPr="00A53581" w:rsidRDefault="00203F72" w:rsidP="00D87D91">
            <w:r w:rsidRPr="00A53581">
              <w:t>0.00</w:t>
            </w:r>
          </w:p>
        </w:tc>
        <w:tc>
          <w:tcPr>
            <w:tcW w:w="1420" w:type="dxa"/>
            <w:shd w:val="clear" w:color="auto" w:fill="auto"/>
          </w:tcPr>
          <w:p w14:paraId="48B535F4" w14:textId="77777777" w:rsidR="00203F72" w:rsidRPr="00A53581" w:rsidRDefault="00203F72" w:rsidP="00D87D91">
            <w:r w:rsidRPr="00A53581">
              <w:t>0.00</w:t>
            </w:r>
          </w:p>
        </w:tc>
      </w:tr>
      <w:tr w:rsidR="00203F72" w:rsidRPr="00A53581" w14:paraId="17061FA3" w14:textId="77777777" w:rsidTr="00203F72">
        <w:tc>
          <w:tcPr>
            <w:tcW w:w="828" w:type="dxa"/>
            <w:vMerge/>
            <w:shd w:val="clear" w:color="auto" w:fill="auto"/>
          </w:tcPr>
          <w:p w14:paraId="3C0DF5A8" w14:textId="77777777" w:rsidR="00203F72" w:rsidRPr="00A53581" w:rsidRDefault="00203F72" w:rsidP="00D87D91"/>
        </w:tc>
        <w:tc>
          <w:tcPr>
            <w:tcW w:w="1620" w:type="dxa"/>
            <w:shd w:val="clear" w:color="auto" w:fill="auto"/>
          </w:tcPr>
          <w:p w14:paraId="7E960552" w14:textId="77777777" w:rsidR="00203F72" w:rsidRPr="00A53581" w:rsidRDefault="00203F72" w:rsidP="00D87D91">
            <w:r w:rsidRPr="00A53581">
              <w:t>3</w:t>
            </w:r>
            <w:r w:rsidRPr="00A53581">
              <w:t>年未滿</w:t>
            </w:r>
            <w:r w:rsidRPr="00A53581">
              <w:t xml:space="preserve"> </w:t>
            </w:r>
          </w:p>
        </w:tc>
        <w:tc>
          <w:tcPr>
            <w:tcW w:w="1440" w:type="dxa"/>
            <w:shd w:val="clear" w:color="auto" w:fill="auto"/>
          </w:tcPr>
          <w:p w14:paraId="5C570C14" w14:textId="77777777" w:rsidR="00203F72" w:rsidRPr="00A53581" w:rsidRDefault="00203F72" w:rsidP="00D87D91">
            <w:r w:rsidRPr="00A53581">
              <w:t>8</w:t>
            </w:r>
          </w:p>
        </w:tc>
        <w:tc>
          <w:tcPr>
            <w:tcW w:w="1440" w:type="dxa"/>
            <w:shd w:val="clear" w:color="auto" w:fill="auto"/>
          </w:tcPr>
          <w:p w14:paraId="12774DAF" w14:textId="77777777" w:rsidR="00203F72" w:rsidRPr="00A53581" w:rsidRDefault="00203F72" w:rsidP="00D87D91">
            <w:r w:rsidRPr="00A53581">
              <w:t>0</w:t>
            </w:r>
          </w:p>
        </w:tc>
        <w:tc>
          <w:tcPr>
            <w:tcW w:w="1440" w:type="dxa"/>
            <w:shd w:val="clear" w:color="auto" w:fill="auto"/>
          </w:tcPr>
          <w:p w14:paraId="05EBF411" w14:textId="77777777" w:rsidR="00203F72" w:rsidRPr="00A53581" w:rsidRDefault="00203F72" w:rsidP="00D87D91">
            <w:r w:rsidRPr="00A53581">
              <w:t>2.44</w:t>
            </w:r>
          </w:p>
        </w:tc>
        <w:tc>
          <w:tcPr>
            <w:tcW w:w="1420" w:type="dxa"/>
            <w:shd w:val="clear" w:color="auto" w:fill="auto"/>
          </w:tcPr>
          <w:p w14:paraId="47FEDA36" w14:textId="77777777" w:rsidR="00203F72" w:rsidRPr="00A53581" w:rsidRDefault="00203F72" w:rsidP="00D87D91">
            <w:r w:rsidRPr="00A53581">
              <w:t>0.00</w:t>
            </w:r>
          </w:p>
        </w:tc>
      </w:tr>
      <w:tr w:rsidR="00203F72" w:rsidRPr="00A53581" w14:paraId="25C2BDED" w14:textId="77777777" w:rsidTr="00203F72">
        <w:tc>
          <w:tcPr>
            <w:tcW w:w="828" w:type="dxa"/>
            <w:vMerge/>
            <w:shd w:val="clear" w:color="auto" w:fill="auto"/>
          </w:tcPr>
          <w:p w14:paraId="60F877C5" w14:textId="77777777" w:rsidR="00203F72" w:rsidRPr="00A53581" w:rsidRDefault="00203F72" w:rsidP="00D87D91"/>
        </w:tc>
        <w:tc>
          <w:tcPr>
            <w:tcW w:w="1620" w:type="dxa"/>
            <w:shd w:val="clear" w:color="auto" w:fill="auto"/>
          </w:tcPr>
          <w:p w14:paraId="3717AC50" w14:textId="77777777" w:rsidR="00203F72" w:rsidRPr="00A53581" w:rsidRDefault="00203F72" w:rsidP="00D87D91">
            <w:r w:rsidRPr="00A53581">
              <w:t>1</w:t>
            </w:r>
            <w:r w:rsidRPr="00A53581">
              <w:t>年未滿</w:t>
            </w:r>
          </w:p>
        </w:tc>
        <w:tc>
          <w:tcPr>
            <w:tcW w:w="1440" w:type="dxa"/>
            <w:shd w:val="clear" w:color="auto" w:fill="auto"/>
          </w:tcPr>
          <w:p w14:paraId="223A5A8C" w14:textId="77777777" w:rsidR="00203F72" w:rsidRPr="00A53581" w:rsidRDefault="00203F72" w:rsidP="00D87D91">
            <w:r w:rsidRPr="00A53581">
              <w:t>25</w:t>
            </w:r>
          </w:p>
        </w:tc>
        <w:tc>
          <w:tcPr>
            <w:tcW w:w="1440" w:type="dxa"/>
            <w:shd w:val="clear" w:color="auto" w:fill="auto"/>
          </w:tcPr>
          <w:p w14:paraId="33B06C66" w14:textId="77777777" w:rsidR="00203F72" w:rsidRPr="00A53581" w:rsidRDefault="00203F72" w:rsidP="00D87D91">
            <w:r w:rsidRPr="00A53581">
              <w:t>0</w:t>
            </w:r>
          </w:p>
        </w:tc>
        <w:tc>
          <w:tcPr>
            <w:tcW w:w="1440" w:type="dxa"/>
            <w:shd w:val="clear" w:color="auto" w:fill="auto"/>
          </w:tcPr>
          <w:p w14:paraId="123B6018" w14:textId="77777777" w:rsidR="00203F72" w:rsidRPr="00A53581" w:rsidRDefault="00203F72" w:rsidP="00D87D91">
            <w:r w:rsidRPr="00A53581">
              <w:t>7.62</w:t>
            </w:r>
          </w:p>
        </w:tc>
        <w:tc>
          <w:tcPr>
            <w:tcW w:w="1420" w:type="dxa"/>
            <w:shd w:val="clear" w:color="auto" w:fill="auto"/>
          </w:tcPr>
          <w:p w14:paraId="0AE246CC" w14:textId="77777777" w:rsidR="00203F72" w:rsidRPr="00A53581" w:rsidRDefault="00203F72" w:rsidP="00D87D91">
            <w:r w:rsidRPr="00A53581">
              <w:t>0.00</w:t>
            </w:r>
          </w:p>
        </w:tc>
      </w:tr>
      <w:tr w:rsidR="00203F72" w:rsidRPr="00A53581" w14:paraId="5339E28B" w14:textId="77777777" w:rsidTr="00203F72">
        <w:tc>
          <w:tcPr>
            <w:tcW w:w="828" w:type="dxa"/>
            <w:vMerge/>
            <w:shd w:val="clear" w:color="auto" w:fill="auto"/>
          </w:tcPr>
          <w:p w14:paraId="3AFD0151" w14:textId="77777777" w:rsidR="00203F72" w:rsidRPr="00A53581" w:rsidRDefault="00203F72" w:rsidP="00D87D91"/>
        </w:tc>
        <w:tc>
          <w:tcPr>
            <w:tcW w:w="1620" w:type="dxa"/>
            <w:shd w:val="clear" w:color="auto" w:fill="auto"/>
          </w:tcPr>
          <w:p w14:paraId="17286090" w14:textId="77777777" w:rsidR="00203F72" w:rsidRPr="00A53581" w:rsidRDefault="00203F72" w:rsidP="00D87D91">
            <w:r w:rsidRPr="00A53581">
              <w:t>6</w:t>
            </w:r>
            <w:r w:rsidRPr="00A53581">
              <w:t>月未滿</w:t>
            </w:r>
          </w:p>
        </w:tc>
        <w:tc>
          <w:tcPr>
            <w:tcW w:w="1440" w:type="dxa"/>
            <w:shd w:val="clear" w:color="auto" w:fill="auto"/>
          </w:tcPr>
          <w:p w14:paraId="030D2984" w14:textId="77777777" w:rsidR="00203F72" w:rsidRPr="00A53581" w:rsidRDefault="00203F72" w:rsidP="00D87D91">
            <w:r w:rsidRPr="00A53581">
              <w:t>124</w:t>
            </w:r>
            <w:r w:rsidRPr="00A53581">
              <w:rPr>
                <w:rStyle w:val="af3"/>
                <w:rFonts w:ascii="新細明體" w:hAnsi="新細明體"/>
              </w:rPr>
              <w:footnoteReference w:id="369"/>
            </w:r>
          </w:p>
        </w:tc>
        <w:tc>
          <w:tcPr>
            <w:tcW w:w="1440" w:type="dxa"/>
            <w:shd w:val="clear" w:color="auto" w:fill="auto"/>
          </w:tcPr>
          <w:p w14:paraId="2AFE5F15" w14:textId="77777777" w:rsidR="00203F72" w:rsidRPr="00A53581" w:rsidRDefault="00203F72" w:rsidP="00D87D91">
            <w:r w:rsidRPr="00A53581">
              <w:t>7</w:t>
            </w:r>
          </w:p>
        </w:tc>
        <w:tc>
          <w:tcPr>
            <w:tcW w:w="1440" w:type="dxa"/>
            <w:shd w:val="clear" w:color="auto" w:fill="auto"/>
          </w:tcPr>
          <w:p w14:paraId="7B926FF6" w14:textId="77777777" w:rsidR="00203F72" w:rsidRPr="00A53581" w:rsidRDefault="00203F72" w:rsidP="00D87D91">
            <w:r w:rsidRPr="00A53581">
              <w:t>37.80</w:t>
            </w:r>
          </w:p>
        </w:tc>
        <w:tc>
          <w:tcPr>
            <w:tcW w:w="1420" w:type="dxa"/>
            <w:shd w:val="clear" w:color="auto" w:fill="auto"/>
          </w:tcPr>
          <w:p w14:paraId="3BDE1E36" w14:textId="77777777" w:rsidR="00203F72" w:rsidRPr="00A53581" w:rsidRDefault="00203F72" w:rsidP="00D87D91">
            <w:r w:rsidRPr="00A53581">
              <w:t>2.13</w:t>
            </w:r>
          </w:p>
        </w:tc>
      </w:tr>
      <w:tr w:rsidR="00203F72" w:rsidRPr="00A53581" w14:paraId="6A5CC4FD" w14:textId="77777777" w:rsidTr="00203F72">
        <w:tc>
          <w:tcPr>
            <w:tcW w:w="828" w:type="dxa"/>
            <w:vMerge/>
            <w:shd w:val="clear" w:color="auto" w:fill="auto"/>
          </w:tcPr>
          <w:p w14:paraId="6EB4E208" w14:textId="77777777" w:rsidR="00203F72" w:rsidRPr="00A53581" w:rsidRDefault="00203F72" w:rsidP="00D87D91"/>
        </w:tc>
        <w:tc>
          <w:tcPr>
            <w:tcW w:w="1620" w:type="dxa"/>
            <w:shd w:val="clear" w:color="auto" w:fill="auto"/>
          </w:tcPr>
          <w:p w14:paraId="2C50508F" w14:textId="77777777" w:rsidR="00203F72" w:rsidRPr="00A53581" w:rsidRDefault="00203F72" w:rsidP="00D87D91">
            <w:r w:rsidRPr="00A53581">
              <w:t>3</w:t>
            </w:r>
            <w:r w:rsidRPr="00A53581">
              <w:t>月未滿</w:t>
            </w:r>
          </w:p>
        </w:tc>
        <w:tc>
          <w:tcPr>
            <w:tcW w:w="1440" w:type="dxa"/>
            <w:shd w:val="clear" w:color="auto" w:fill="auto"/>
          </w:tcPr>
          <w:p w14:paraId="202F36F9" w14:textId="77777777" w:rsidR="00203F72" w:rsidRPr="00A53581" w:rsidRDefault="00203F72" w:rsidP="00D87D91">
            <w:r w:rsidRPr="00A53581">
              <w:t>73</w:t>
            </w:r>
          </w:p>
        </w:tc>
        <w:tc>
          <w:tcPr>
            <w:tcW w:w="1440" w:type="dxa"/>
            <w:shd w:val="clear" w:color="auto" w:fill="auto"/>
          </w:tcPr>
          <w:p w14:paraId="4E5CAAB3" w14:textId="77777777" w:rsidR="00203F72" w:rsidRPr="00A53581" w:rsidRDefault="00203F72" w:rsidP="00D87D91">
            <w:r w:rsidRPr="00A53581">
              <w:t>6</w:t>
            </w:r>
          </w:p>
        </w:tc>
        <w:tc>
          <w:tcPr>
            <w:tcW w:w="1440" w:type="dxa"/>
            <w:shd w:val="clear" w:color="auto" w:fill="auto"/>
          </w:tcPr>
          <w:p w14:paraId="540D705D" w14:textId="77777777" w:rsidR="00203F72" w:rsidRPr="00A53581" w:rsidRDefault="00203F72" w:rsidP="00D87D91">
            <w:r w:rsidRPr="00A53581">
              <w:t>22.26</w:t>
            </w:r>
          </w:p>
        </w:tc>
        <w:tc>
          <w:tcPr>
            <w:tcW w:w="1420" w:type="dxa"/>
            <w:shd w:val="clear" w:color="auto" w:fill="auto"/>
          </w:tcPr>
          <w:p w14:paraId="229C89BC" w14:textId="77777777" w:rsidR="00203F72" w:rsidRPr="00A53581" w:rsidRDefault="00203F72" w:rsidP="00D87D91">
            <w:r w:rsidRPr="00A53581">
              <w:t>1.83</w:t>
            </w:r>
          </w:p>
        </w:tc>
      </w:tr>
      <w:tr w:rsidR="00203F72" w:rsidRPr="00A53581" w14:paraId="45FDAA79" w14:textId="77777777" w:rsidTr="00203F72">
        <w:tc>
          <w:tcPr>
            <w:tcW w:w="828" w:type="dxa"/>
            <w:vMerge w:val="restart"/>
            <w:shd w:val="clear" w:color="auto" w:fill="auto"/>
          </w:tcPr>
          <w:p w14:paraId="03FE19FF" w14:textId="77777777" w:rsidR="00203F72" w:rsidRPr="00A53581" w:rsidRDefault="00203F72" w:rsidP="00D87D91">
            <w:r w:rsidRPr="00A53581">
              <w:t>禁錮</w:t>
            </w:r>
          </w:p>
        </w:tc>
        <w:tc>
          <w:tcPr>
            <w:tcW w:w="1620" w:type="dxa"/>
            <w:shd w:val="clear" w:color="auto" w:fill="auto"/>
          </w:tcPr>
          <w:p w14:paraId="4637F752" w14:textId="77777777" w:rsidR="00203F72" w:rsidRPr="00A53581" w:rsidRDefault="00203F72" w:rsidP="00D87D91">
            <w:r w:rsidRPr="00A53581">
              <w:t>3</w:t>
            </w:r>
            <w:r w:rsidRPr="00A53581">
              <w:t>年未滿</w:t>
            </w:r>
          </w:p>
        </w:tc>
        <w:tc>
          <w:tcPr>
            <w:tcW w:w="1440" w:type="dxa"/>
            <w:shd w:val="clear" w:color="auto" w:fill="auto"/>
          </w:tcPr>
          <w:p w14:paraId="6C17DAA8" w14:textId="77777777" w:rsidR="00203F72" w:rsidRPr="00A53581" w:rsidRDefault="00203F72" w:rsidP="00D87D91">
            <w:r w:rsidRPr="00A53581">
              <w:t>0</w:t>
            </w:r>
          </w:p>
        </w:tc>
        <w:tc>
          <w:tcPr>
            <w:tcW w:w="1440" w:type="dxa"/>
            <w:shd w:val="clear" w:color="auto" w:fill="auto"/>
          </w:tcPr>
          <w:p w14:paraId="6A2C3F03" w14:textId="77777777" w:rsidR="00203F72" w:rsidRPr="00A53581" w:rsidRDefault="00203F72" w:rsidP="00D87D91">
            <w:r w:rsidRPr="00A53581">
              <w:t>0</w:t>
            </w:r>
          </w:p>
        </w:tc>
        <w:tc>
          <w:tcPr>
            <w:tcW w:w="1440" w:type="dxa"/>
            <w:shd w:val="clear" w:color="auto" w:fill="auto"/>
          </w:tcPr>
          <w:p w14:paraId="3E7A4A27" w14:textId="77777777" w:rsidR="00203F72" w:rsidRPr="00A53581" w:rsidRDefault="00203F72" w:rsidP="00D87D91">
            <w:r w:rsidRPr="00A53581">
              <w:t>0.00</w:t>
            </w:r>
          </w:p>
        </w:tc>
        <w:tc>
          <w:tcPr>
            <w:tcW w:w="1420" w:type="dxa"/>
            <w:shd w:val="clear" w:color="auto" w:fill="auto"/>
          </w:tcPr>
          <w:p w14:paraId="747BA1DE" w14:textId="77777777" w:rsidR="00203F72" w:rsidRPr="00A53581" w:rsidRDefault="00203F72" w:rsidP="00D87D91">
            <w:r w:rsidRPr="00A53581">
              <w:t>0.00</w:t>
            </w:r>
          </w:p>
        </w:tc>
      </w:tr>
      <w:tr w:rsidR="00203F72" w:rsidRPr="00A53581" w14:paraId="3D8D5A6F" w14:textId="77777777" w:rsidTr="00203F72">
        <w:tc>
          <w:tcPr>
            <w:tcW w:w="828" w:type="dxa"/>
            <w:vMerge/>
            <w:shd w:val="clear" w:color="auto" w:fill="auto"/>
          </w:tcPr>
          <w:p w14:paraId="2F81C24B" w14:textId="77777777" w:rsidR="00203F72" w:rsidRPr="00A53581" w:rsidRDefault="00203F72" w:rsidP="00D87D91"/>
        </w:tc>
        <w:tc>
          <w:tcPr>
            <w:tcW w:w="1620" w:type="dxa"/>
            <w:shd w:val="clear" w:color="auto" w:fill="auto"/>
          </w:tcPr>
          <w:p w14:paraId="20078506" w14:textId="77777777" w:rsidR="00203F72" w:rsidRPr="00A53581" w:rsidRDefault="00203F72" w:rsidP="00D87D91">
            <w:r w:rsidRPr="00A53581">
              <w:t>1</w:t>
            </w:r>
            <w:r w:rsidRPr="00A53581">
              <w:t>年未滿</w:t>
            </w:r>
          </w:p>
        </w:tc>
        <w:tc>
          <w:tcPr>
            <w:tcW w:w="1440" w:type="dxa"/>
            <w:shd w:val="clear" w:color="auto" w:fill="auto"/>
          </w:tcPr>
          <w:p w14:paraId="5B86FF7C" w14:textId="77777777" w:rsidR="00203F72" w:rsidRPr="00A53581" w:rsidRDefault="00203F72" w:rsidP="00D87D91">
            <w:r w:rsidRPr="00A53581">
              <w:t>0</w:t>
            </w:r>
          </w:p>
        </w:tc>
        <w:tc>
          <w:tcPr>
            <w:tcW w:w="1440" w:type="dxa"/>
            <w:shd w:val="clear" w:color="auto" w:fill="auto"/>
          </w:tcPr>
          <w:p w14:paraId="65041CC0" w14:textId="77777777" w:rsidR="00203F72" w:rsidRPr="00A53581" w:rsidRDefault="00203F72" w:rsidP="00D87D91">
            <w:r w:rsidRPr="00A53581">
              <w:t>0</w:t>
            </w:r>
          </w:p>
        </w:tc>
        <w:tc>
          <w:tcPr>
            <w:tcW w:w="1440" w:type="dxa"/>
            <w:shd w:val="clear" w:color="auto" w:fill="auto"/>
          </w:tcPr>
          <w:p w14:paraId="69CFD062" w14:textId="77777777" w:rsidR="00203F72" w:rsidRPr="00A53581" w:rsidRDefault="00203F72" w:rsidP="00D87D91">
            <w:r w:rsidRPr="00A53581">
              <w:t>0.00</w:t>
            </w:r>
          </w:p>
        </w:tc>
        <w:tc>
          <w:tcPr>
            <w:tcW w:w="1420" w:type="dxa"/>
            <w:shd w:val="clear" w:color="auto" w:fill="auto"/>
          </w:tcPr>
          <w:p w14:paraId="647A2940" w14:textId="77777777" w:rsidR="00203F72" w:rsidRPr="00A53581" w:rsidRDefault="00203F72" w:rsidP="00D87D91">
            <w:r w:rsidRPr="00A53581">
              <w:t>0.00</w:t>
            </w:r>
          </w:p>
        </w:tc>
      </w:tr>
      <w:tr w:rsidR="00203F72" w:rsidRPr="00A53581" w14:paraId="46C75B34" w14:textId="77777777" w:rsidTr="00203F72">
        <w:tc>
          <w:tcPr>
            <w:tcW w:w="828" w:type="dxa"/>
            <w:vMerge/>
            <w:shd w:val="clear" w:color="auto" w:fill="auto"/>
          </w:tcPr>
          <w:p w14:paraId="72D33A86" w14:textId="77777777" w:rsidR="00203F72" w:rsidRPr="00A53581" w:rsidRDefault="00203F72" w:rsidP="00D87D91"/>
        </w:tc>
        <w:tc>
          <w:tcPr>
            <w:tcW w:w="1620" w:type="dxa"/>
            <w:shd w:val="clear" w:color="auto" w:fill="auto"/>
          </w:tcPr>
          <w:p w14:paraId="2C791D98" w14:textId="77777777" w:rsidR="00203F72" w:rsidRPr="00A53581" w:rsidRDefault="00203F72" w:rsidP="00D87D91">
            <w:r w:rsidRPr="00A53581">
              <w:t>6</w:t>
            </w:r>
            <w:r w:rsidRPr="00A53581">
              <w:t>月未滿</w:t>
            </w:r>
          </w:p>
        </w:tc>
        <w:tc>
          <w:tcPr>
            <w:tcW w:w="1440" w:type="dxa"/>
            <w:shd w:val="clear" w:color="auto" w:fill="auto"/>
          </w:tcPr>
          <w:p w14:paraId="3D710DE3" w14:textId="77777777" w:rsidR="00203F72" w:rsidRPr="00A53581" w:rsidRDefault="00203F72" w:rsidP="00D87D91">
            <w:r w:rsidRPr="00A53581">
              <w:t>0</w:t>
            </w:r>
          </w:p>
        </w:tc>
        <w:tc>
          <w:tcPr>
            <w:tcW w:w="1440" w:type="dxa"/>
            <w:shd w:val="clear" w:color="auto" w:fill="auto"/>
          </w:tcPr>
          <w:p w14:paraId="352E83C0" w14:textId="77777777" w:rsidR="00203F72" w:rsidRPr="00A53581" w:rsidRDefault="00203F72" w:rsidP="00D87D91">
            <w:r w:rsidRPr="00A53581">
              <w:t>0</w:t>
            </w:r>
          </w:p>
        </w:tc>
        <w:tc>
          <w:tcPr>
            <w:tcW w:w="1440" w:type="dxa"/>
            <w:shd w:val="clear" w:color="auto" w:fill="auto"/>
          </w:tcPr>
          <w:p w14:paraId="54811EC3" w14:textId="77777777" w:rsidR="00203F72" w:rsidRPr="00A53581" w:rsidRDefault="00203F72" w:rsidP="00D87D91">
            <w:r w:rsidRPr="00A53581">
              <w:t>0.00</w:t>
            </w:r>
          </w:p>
        </w:tc>
        <w:tc>
          <w:tcPr>
            <w:tcW w:w="1420" w:type="dxa"/>
            <w:shd w:val="clear" w:color="auto" w:fill="auto"/>
          </w:tcPr>
          <w:p w14:paraId="7885F9A6" w14:textId="77777777" w:rsidR="00203F72" w:rsidRPr="00A53581" w:rsidRDefault="00203F72" w:rsidP="00D87D91">
            <w:r w:rsidRPr="00A53581">
              <w:t>0.00</w:t>
            </w:r>
          </w:p>
        </w:tc>
      </w:tr>
      <w:tr w:rsidR="00203F72" w:rsidRPr="00A53581" w14:paraId="02696589" w14:textId="77777777" w:rsidTr="00203F72">
        <w:tc>
          <w:tcPr>
            <w:tcW w:w="828" w:type="dxa"/>
            <w:vMerge/>
            <w:shd w:val="clear" w:color="auto" w:fill="auto"/>
          </w:tcPr>
          <w:p w14:paraId="6902A424" w14:textId="77777777" w:rsidR="00203F72" w:rsidRPr="00A53581" w:rsidRDefault="00203F72" w:rsidP="00D87D91"/>
        </w:tc>
        <w:tc>
          <w:tcPr>
            <w:tcW w:w="1620" w:type="dxa"/>
            <w:shd w:val="clear" w:color="auto" w:fill="auto"/>
          </w:tcPr>
          <w:p w14:paraId="255FF982" w14:textId="77777777" w:rsidR="00203F72" w:rsidRPr="00A53581" w:rsidRDefault="00203F72" w:rsidP="00D87D91">
            <w:r w:rsidRPr="00A53581">
              <w:t>3</w:t>
            </w:r>
            <w:r w:rsidRPr="00A53581">
              <w:t>月未滿</w:t>
            </w:r>
          </w:p>
        </w:tc>
        <w:tc>
          <w:tcPr>
            <w:tcW w:w="1440" w:type="dxa"/>
            <w:shd w:val="clear" w:color="auto" w:fill="auto"/>
          </w:tcPr>
          <w:p w14:paraId="6DF3B070" w14:textId="77777777" w:rsidR="00203F72" w:rsidRPr="00A53581" w:rsidRDefault="00203F72" w:rsidP="00D87D91">
            <w:r w:rsidRPr="00A53581">
              <w:t>0</w:t>
            </w:r>
          </w:p>
        </w:tc>
        <w:tc>
          <w:tcPr>
            <w:tcW w:w="1440" w:type="dxa"/>
            <w:shd w:val="clear" w:color="auto" w:fill="auto"/>
          </w:tcPr>
          <w:p w14:paraId="38C4AC14" w14:textId="77777777" w:rsidR="00203F72" w:rsidRPr="00A53581" w:rsidRDefault="00203F72" w:rsidP="00D87D91">
            <w:r w:rsidRPr="00A53581">
              <w:t>0</w:t>
            </w:r>
          </w:p>
        </w:tc>
        <w:tc>
          <w:tcPr>
            <w:tcW w:w="1440" w:type="dxa"/>
            <w:shd w:val="clear" w:color="auto" w:fill="auto"/>
          </w:tcPr>
          <w:p w14:paraId="6C0A4A9D" w14:textId="77777777" w:rsidR="00203F72" w:rsidRPr="00A53581" w:rsidRDefault="00203F72" w:rsidP="00D87D91">
            <w:r w:rsidRPr="00A53581">
              <w:t>0.00</w:t>
            </w:r>
          </w:p>
        </w:tc>
        <w:tc>
          <w:tcPr>
            <w:tcW w:w="1420" w:type="dxa"/>
            <w:shd w:val="clear" w:color="auto" w:fill="auto"/>
          </w:tcPr>
          <w:p w14:paraId="61DD5096" w14:textId="77777777" w:rsidR="00203F72" w:rsidRPr="00A53581" w:rsidRDefault="00203F72" w:rsidP="00D87D91">
            <w:r w:rsidRPr="00A53581">
              <w:t>0.00</w:t>
            </w:r>
          </w:p>
        </w:tc>
      </w:tr>
      <w:tr w:rsidR="00203F72" w:rsidRPr="00A53581" w14:paraId="013508A3" w14:textId="77777777" w:rsidTr="00203F72">
        <w:tc>
          <w:tcPr>
            <w:tcW w:w="828" w:type="dxa"/>
            <w:vMerge w:val="restart"/>
            <w:shd w:val="clear" w:color="auto" w:fill="auto"/>
          </w:tcPr>
          <w:p w14:paraId="2068E07C" w14:textId="77777777" w:rsidR="00203F72" w:rsidRPr="00A53581" w:rsidRDefault="00203F72" w:rsidP="00D87D91">
            <w:r w:rsidRPr="00A53581">
              <w:t>罰金</w:t>
            </w:r>
          </w:p>
        </w:tc>
        <w:tc>
          <w:tcPr>
            <w:tcW w:w="1620" w:type="dxa"/>
            <w:shd w:val="clear" w:color="auto" w:fill="auto"/>
          </w:tcPr>
          <w:p w14:paraId="7278B2DD" w14:textId="77777777" w:rsidR="00203F72" w:rsidRPr="00A53581" w:rsidRDefault="00203F72" w:rsidP="00D87D91">
            <w:r w:rsidRPr="00A53581">
              <w:t>50</w:t>
            </w:r>
            <w:r w:rsidRPr="00A53581">
              <w:t>圓以上</w:t>
            </w:r>
          </w:p>
        </w:tc>
        <w:tc>
          <w:tcPr>
            <w:tcW w:w="1440" w:type="dxa"/>
            <w:shd w:val="clear" w:color="auto" w:fill="auto"/>
          </w:tcPr>
          <w:p w14:paraId="1B72B383" w14:textId="77777777" w:rsidR="00203F72" w:rsidRPr="00A53581" w:rsidRDefault="00203F72" w:rsidP="00D87D91">
            <w:r w:rsidRPr="00A53581">
              <w:t>57</w:t>
            </w:r>
          </w:p>
        </w:tc>
        <w:tc>
          <w:tcPr>
            <w:tcW w:w="1440" w:type="dxa"/>
            <w:shd w:val="clear" w:color="auto" w:fill="auto"/>
          </w:tcPr>
          <w:p w14:paraId="1A5D595F" w14:textId="77777777" w:rsidR="00203F72" w:rsidRPr="00A53581" w:rsidRDefault="00203F72" w:rsidP="00D87D91">
            <w:r w:rsidRPr="00A53581">
              <w:t>5</w:t>
            </w:r>
          </w:p>
        </w:tc>
        <w:tc>
          <w:tcPr>
            <w:tcW w:w="1440" w:type="dxa"/>
            <w:shd w:val="clear" w:color="auto" w:fill="auto"/>
          </w:tcPr>
          <w:p w14:paraId="0A3A4E82" w14:textId="77777777" w:rsidR="00203F72" w:rsidRPr="00A53581" w:rsidRDefault="00203F72" w:rsidP="00D87D91">
            <w:r w:rsidRPr="00A53581">
              <w:t>17.38</w:t>
            </w:r>
          </w:p>
        </w:tc>
        <w:tc>
          <w:tcPr>
            <w:tcW w:w="1420" w:type="dxa"/>
            <w:shd w:val="clear" w:color="auto" w:fill="auto"/>
          </w:tcPr>
          <w:p w14:paraId="79E27F28" w14:textId="77777777" w:rsidR="00203F72" w:rsidRPr="00A53581" w:rsidRDefault="00203F72" w:rsidP="00D87D91">
            <w:r w:rsidRPr="00A53581">
              <w:t>1.52</w:t>
            </w:r>
          </w:p>
        </w:tc>
      </w:tr>
      <w:tr w:rsidR="00203F72" w:rsidRPr="00A53581" w14:paraId="0F52640C" w14:textId="77777777" w:rsidTr="00203F72">
        <w:tc>
          <w:tcPr>
            <w:tcW w:w="828" w:type="dxa"/>
            <w:vMerge/>
            <w:shd w:val="clear" w:color="auto" w:fill="auto"/>
          </w:tcPr>
          <w:p w14:paraId="6A99064A" w14:textId="77777777" w:rsidR="00203F72" w:rsidRPr="00A53581" w:rsidRDefault="00203F72" w:rsidP="00D87D91"/>
        </w:tc>
        <w:tc>
          <w:tcPr>
            <w:tcW w:w="1620" w:type="dxa"/>
            <w:shd w:val="clear" w:color="auto" w:fill="auto"/>
          </w:tcPr>
          <w:p w14:paraId="0B93441E" w14:textId="77777777" w:rsidR="00203F72" w:rsidRPr="00A53581" w:rsidRDefault="00203F72" w:rsidP="00D87D91">
            <w:r w:rsidRPr="00A53581">
              <w:t>50</w:t>
            </w:r>
            <w:r w:rsidRPr="00A53581">
              <w:t>圓未滿</w:t>
            </w:r>
          </w:p>
        </w:tc>
        <w:tc>
          <w:tcPr>
            <w:tcW w:w="1440" w:type="dxa"/>
            <w:shd w:val="clear" w:color="auto" w:fill="auto"/>
          </w:tcPr>
          <w:p w14:paraId="2BA8DBD0" w14:textId="77777777" w:rsidR="00203F72" w:rsidRPr="00A53581" w:rsidRDefault="00203F72" w:rsidP="00D87D91">
            <w:r w:rsidRPr="00A53581">
              <w:t>17</w:t>
            </w:r>
          </w:p>
        </w:tc>
        <w:tc>
          <w:tcPr>
            <w:tcW w:w="1440" w:type="dxa"/>
            <w:shd w:val="clear" w:color="auto" w:fill="auto"/>
          </w:tcPr>
          <w:p w14:paraId="080574C9" w14:textId="77777777" w:rsidR="00203F72" w:rsidRPr="00A53581" w:rsidRDefault="00203F72" w:rsidP="00D87D91">
            <w:r w:rsidRPr="00A53581">
              <w:t>5</w:t>
            </w:r>
          </w:p>
        </w:tc>
        <w:tc>
          <w:tcPr>
            <w:tcW w:w="1440" w:type="dxa"/>
            <w:shd w:val="clear" w:color="auto" w:fill="auto"/>
          </w:tcPr>
          <w:p w14:paraId="545DFBAA" w14:textId="77777777" w:rsidR="00203F72" w:rsidRPr="00A53581" w:rsidRDefault="00203F72" w:rsidP="00D87D91">
            <w:r w:rsidRPr="00A53581">
              <w:t>5.18</w:t>
            </w:r>
          </w:p>
        </w:tc>
        <w:tc>
          <w:tcPr>
            <w:tcW w:w="1420" w:type="dxa"/>
            <w:shd w:val="clear" w:color="auto" w:fill="auto"/>
          </w:tcPr>
          <w:p w14:paraId="348C8EE3" w14:textId="77777777" w:rsidR="00203F72" w:rsidRPr="00A53581" w:rsidRDefault="00203F72" w:rsidP="00D87D91">
            <w:r w:rsidRPr="00A53581">
              <w:t>1.52</w:t>
            </w:r>
          </w:p>
        </w:tc>
      </w:tr>
      <w:tr w:rsidR="00203F72" w:rsidRPr="00A53581" w14:paraId="124E357E" w14:textId="77777777" w:rsidTr="00203F72">
        <w:tc>
          <w:tcPr>
            <w:tcW w:w="828" w:type="dxa"/>
            <w:vMerge/>
            <w:shd w:val="clear" w:color="auto" w:fill="auto"/>
          </w:tcPr>
          <w:p w14:paraId="66D4E212" w14:textId="77777777" w:rsidR="00203F72" w:rsidRPr="00A53581" w:rsidRDefault="00203F72" w:rsidP="00D87D91"/>
        </w:tc>
        <w:tc>
          <w:tcPr>
            <w:tcW w:w="1620" w:type="dxa"/>
            <w:shd w:val="clear" w:color="auto" w:fill="auto"/>
          </w:tcPr>
          <w:p w14:paraId="0FF1B1D8" w14:textId="77777777" w:rsidR="00203F72" w:rsidRPr="00A53581" w:rsidRDefault="00203F72" w:rsidP="00D87D91">
            <w:r w:rsidRPr="00A53581">
              <w:t>20</w:t>
            </w:r>
            <w:r w:rsidRPr="00A53581">
              <w:t>圓未滿</w:t>
            </w:r>
          </w:p>
        </w:tc>
        <w:tc>
          <w:tcPr>
            <w:tcW w:w="1440" w:type="dxa"/>
            <w:shd w:val="clear" w:color="auto" w:fill="auto"/>
          </w:tcPr>
          <w:p w14:paraId="46407520" w14:textId="77777777" w:rsidR="00203F72" w:rsidRPr="00A53581" w:rsidRDefault="00203F72" w:rsidP="00D87D91">
            <w:r w:rsidRPr="00A53581">
              <w:t>0</w:t>
            </w:r>
          </w:p>
        </w:tc>
        <w:tc>
          <w:tcPr>
            <w:tcW w:w="1440" w:type="dxa"/>
            <w:shd w:val="clear" w:color="auto" w:fill="auto"/>
          </w:tcPr>
          <w:p w14:paraId="31DA154E" w14:textId="77777777" w:rsidR="00203F72" w:rsidRPr="00A53581" w:rsidRDefault="00203F72" w:rsidP="00D87D91">
            <w:r w:rsidRPr="00A53581">
              <w:t>0</w:t>
            </w:r>
          </w:p>
        </w:tc>
        <w:tc>
          <w:tcPr>
            <w:tcW w:w="1440" w:type="dxa"/>
            <w:shd w:val="clear" w:color="auto" w:fill="auto"/>
          </w:tcPr>
          <w:p w14:paraId="16703285" w14:textId="77777777" w:rsidR="00203F72" w:rsidRPr="00A53581" w:rsidRDefault="00203F72" w:rsidP="00D87D91">
            <w:r w:rsidRPr="00A53581">
              <w:t>0.00</w:t>
            </w:r>
          </w:p>
        </w:tc>
        <w:tc>
          <w:tcPr>
            <w:tcW w:w="1420" w:type="dxa"/>
            <w:shd w:val="clear" w:color="auto" w:fill="auto"/>
          </w:tcPr>
          <w:p w14:paraId="694EE258" w14:textId="77777777" w:rsidR="00203F72" w:rsidRPr="00A53581" w:rsidRDefault="00203F72" w:rsidP="00D87D91">
            <w:r w:rsidRPr="00A53581">
              <w:t>0.00</w:t>
            </w:r>
          </w:p>
        </w:tc>
      </w:tr>
      <w:tr w:rsidR="00203F72" w:rsidRPr="00A53581" w14:paraId="269FD222" w14:textId="77777777" w:rsidTr="00203F72">
        <w:tc>
          <w:tcPr>
            <w:tcW w:w="828" w:type="dxa"/>
            <w:vMerge w:val="restart"/>
            <w:shd w:val="clear" w:color="auto" w:fill="auto"/>
          </w:tcPr>
          <w:p w14:paraId="5D66EF59" w14:textId="77777777" w:rsidR="00203F72" w:rsidRPr="00A53581" w:rsidRDefault="00203F72" w:rsidP="00D87D91">
            <w:r w:rsidRPr="00A53581">
              <w:t>罰鍰</w:t>
            </w:r>
          </w:p>
        </w:tc>
        <w:tc>
          <w:tcPr>
            <w:tcW w:w="1620" w:type="dxa"/>
            <w:shd w:val="clear" w:color="auto" w:fill="auto"/>
          </w:tcPr>
          <w:p w14:paraId="50F91B99" w14:textId="77777777" w:rsidR="00203F72" w:rsidRPr="00A53581" w:rsidRDefault="00203F72" w:rsidP="00D87D91">
            <w:r w:rsidRPr="00A53581">
              <w:t>20</w:t>
            </w:r>
            <w:r w:rsidRPr="00A53581">
              <w:t>圓未滿</w:t>
            </w:r>
          </w:p>
        </w:tc>
        <w:tc>
          <w:tcPr>
            <w:tcW w:w="1440" w:type="dxa"/>
            <w:shd w:val="clear" w:color="auto" w:fill="auto"/>
          </w:tcPr>
          <w:p w14:paraId="7FA4967E" w14:textId="77777777" w:rsidR="00203F72" w:rsidRPr="00A53581" w:rsidRDefault="00203F72" w:rsidP="00D87D91">
            <w:r w:rsidRPr="00A53581">
              <w:t>0</w:t>
            </w:r>
          </w:p>
        </w:tc>
        <w:tc>
          <w:tcPr>
            <w:tcW w:w="1440" w:type="dxa"/>
            <w:shd w:val="clear" w:color="auto" w:fill="auto"/>
          </w:tcPr>
          <w:p w14:paraId="682E5EC6" w14:textId="77777777" w:rsidR="00203F72" w:rsidRPr="00A53581" w:rsidRDefault="00203F72" w:rsidP="00D87D91">
            <w:r w:rsidRPr="00A53581">
              <w:t>0</w:t>
            </w:r>
          </w:p>
        </w:tc>
        <w:tc>
          <w:tcPr>
            <w:tcW w:w="1440" w:type="dxa"/>
            <w:shd w:val="clear" w:color="auto" w:fill="auto"/>
          </w:tcPr>
          <w:p w14:paraId="55F6CDA3" w14:textId="77777777" w:rsidR="00203F72" w:rsidRPr="00A53581" w:rsidRDefault="00203F72" w:rsidP="00D87D91">
            <w:r w:rsidRPr="00A53581">
              <w:t>0.00</w:t>
            </w:r>
          </w:p>
        </w:tc>
        <w:tc>
          <w:tcPr>
            <w:tcW w:w="1420" w:type="dxa"/>
            <w:shd w:val="clear" w:color="auto" w:fill="auto"/>
          </w:tcPr>
          <w:p w14:paraId="783BBBC8" w14:textId="77777777" w:rsidR="00203F72" w:rsidRPr="00A53581" w:rsidRDefault="00203F72" w:rsidP="00D87D91">
            <w:r w:rsidRPr="00A53581">
              <w:t>0.00</w:t>
            </w:r>
          </w:p>
        </w:tc>
      </w:tr>
      <w:tr w:rsidR="00203F72" w:rsidRPr="00A53581" w14:paraId="7AEDF2E7" w14:textId="77777777" w:rsidTr="00203F72">
        <w:tc>
          <w:tcPr>
            <w:tcW w:w="828" w:type="dxa"/>
            <w:vMerge/>
            <w:shd w:val="clear" w:color="auto" w:fill="auto"/>
          </w:tcPr>
          <w:p w14:paraId="5C4D1A2C" w14:textId="77777777" w:rsidR="00203F72" w:rsidRPr="00A53581" w:rsidRDefault="00203F72" w:rsidP="00D87D91"/>
        </w:tc>
        <w:tc>
          <w:tcPr>
            <w:tcW w:w="1620" w:type="dxa"/>
            <w:shd w:val="clear" w:color="auto" w:fill="auto"/>
          </w:tcPr>
          <w:p w14:paraId="14F1F031" w14:textId="77777777" w:rsidR="00203F72" w:rsidRPr="00A53581" w:rsidRDefault="00203F72" w:rsidP="00D87D91">
            <w:r w:rsidRPr="00A53581">
              <w:t>10</w:t>
            </w:r>
            <w:r w:rsidRPr="00A53581">
              <w:t>圓未滿</w:t>
            </w:r>
          </w:p>
        </w:tc>
        <w:tc>
          <w:tcPr>
            <w:tcW w:w="1440" w:type="dxa"/>
            <w:shd w:val="clear" w:color="auto" w:fill="auto"/>
          </w:tcPr>
          <w:p w14:paraId="209831FD" w14:textId="77777777" w:rsidR="00203F72" w:rsidRPr="00A53581" w:rsidRDefault="00203F72" w:rsidP="00D87D91">
            <w:r w:rsidRPr="00A53581">
              <w:t>0</w:t>
            </w:r>
          </w:p>
        </w:tc>
        <w:tc>
          <w:tcPr>
            <w:tcW w:w="1440" w:type="dxa"/>
            <w:shd w:val="clear" w:color="auto" w:fill="auto"/>
          </w:tcPr>
          <w:p w14:paraId="09C27481" w14:textId="77777777" w:rsidR="00203F72" w:rsidRPr="00A53581" w:rsidRDefault="00203F72" w:rsidP="00D87D91">
            <w:r w:rsidRPr="00A53581">
              <w:t>0</w:t>
            </w:r>
          </w:p>
        </w:tc>
        <w:tc>
          <w:tcPr>
            <w:tcW w:w="1440" w:type="dxa"/>
            <w:shd w:val="clear" w:color="auto" w:fill="auto"/>
          </w:tcPr>
          <w:p w14:paraId="03FC382F" w14:textId="77777777" w:rsidR="00203F72" w:rsidRPr="00A53581" w:rsidRDefault="00203F72" w:rsidP="00D87D91">
            <w:r w:rsidRPr="00A53581">
              <w:t>0.00</w:t>
            </w:r>
          </w:p>
        </w:tc>
        <w:tc>
          <w:tcPr>
            <w:tcW w:w="1420" w:type="dxa"/>
            <w:shd w:val="clear" w:color="auto" w:fill="auto"/>
          </w:tcPr>
          <w:p w14:paraId="7E0402D7" w14:textId="77777777" w:rsidR="00203F72" w:rsidRPr="00A53581" w:rsidRDefault="00203F72" w:rsidP="00D87D91">
            <w:r w:rsidRPr="00A53581">
              <w:t>0.00</w:t>
            </w:r>
          </w:p>
        </w:tc>
      </w:tr>
      <w:tr w:rsidR="00203F72" w:rsidRPr="00A53581" w14:paraId="47B3D968" w14:textId="77777777" w:rsidTr="00203F72">
        <w:tc>
          <w:tcPr>
            <w:tcW w:w="828" w:type="dxa"/>
            <w:shd w:val="clear" w:color="auto" w:fill="auto"/>
          </w:tcPr>
          <w:p w14:paraId="158C916A" w14:textId="77777777" w:rsidR="00203F72" w:rsidRPr="00A53581" w:rsidRDefault="00203F72" w:rsidP="00D87D91">
            <w:r w:rsidRPr="00A53581">
              <w:t>合計</w:t>
            </w:r>
          </w:p>
        </w:tc>
        <w:tc>
          <w:tcPr>
            <w:tcW w:w="1620" w:type="dxa"/>
            <w:shd w:val="clear" w:color="auto" w:fill="auto"/>
          </w:tcPr>
          <w:p w14:paraId="4CB34EF9" w14:textId="77777777" w:rsidR="00203F72" w:rsidRPr="00A53581" w:rsidRDefault="00203F72" w:rsidP="00D87D91"/>
        </w:tc>
        <w:tc>
          <w:tcPr>
            <w:tcW w:w="1440" w:type="dxa"/>
            <w:shd w:val="clear" w:color="auto" w:fill="auto"/>
          </w:tcPr>
          <w:p w14:paraId="15E97A88" w14:textId="77777777" w:rsidR="00203F72" w:rsidRPr="00A53581" w:rsidRDefault="00203F72" w:rsidP="00D87D91">
            <w:r w:rsidRPr="00A53581">
              <w:t>305</w:t>
            </w:r>
          </w:p>
        </w:tc>
        <w:tc>
          <w:tcPr>
            <w:tcW w:w="1440" w:type="dxa"/>
            <w:shd w:val="clear" w:color="auto" w:fill="auto"/>
          </w:tcPr>
          <w:p w14:paraId="390E5F3D" w14:textId="77777777" w:rsidR="00203F72" w:rsidRPr="00A53581" w:rsidRDefault="00203F72" w:rsidP="00D87D91">
            <w:r w:rsidRPr="00A53581">
              <w:t>23</w:t>
            </w:r>
          </w:p>
        </w:tc>
        <w:tc>
          <w:tcPr>
            <w:tcW w:w="1440" w:type="dxa"/>
            <w:shd w:val="clear" w:color="auto" w:fill="auto"/>
          </w:tcPr>
          <w:p w14:paraId="77688AF6" w14:textId="77777777" w:rsidR="00203F72" w:rsidRPr="00A53581" w:rsidRDefault="00203F72" w:rsidP="00D87D91"/>
        </w:tc>
        <w:tc>
          <w:tcPr>
            <w:tcW w:w="1420" w:type="dxa"/>
            <w:shd w:val="clear" w:color="auto" w:fill="auto"/>
          </w:tcPr>
          <w:p w14:paraId="00A7FD7A" w14:textId="77777777" w:rsidR="00203F72" w:rsidRPr="00A53581" w:rsidRDefault="00203F72" w:rsidP="00D87D91"/>
        </w:tc>
      </w:tr>
    </w:tbl>
    <w:p w14:paraId="59A84B70" w14:textId="77777777" w:rsidR="00203F72" w:rsidRPr="00993D73" w:rsidRDefault="0039258A" w:rsidP="00993D73">
      <w:r w:rsidRPr="00993D73">
        <w:t>【</w:t>
      </w:r>
      <w:r w:rsidR="00203F72" w:rsidRPr="00993D73">
        <w:t>註</w:t>
      </w:r>
      <w:r w:rsidRPr="00993D73">
        <w:t>】</w:t>
      </w:r>
      <w:r w:rsidR="00203F72" w:rsidRPr="00993D73">
        <w:t>地方法院獨議部，判決涉及違反台灣阿片令犯罪人數，總計</w:t>
      </w:r>
      <w:r w:rsidR="00203F72" w:rsidRPr="00993D73">
        <w:t>328</w:t>
      </w:r>
      <w:r w:rsidR="00203F72" w:rsidRPr="00993D73">
        <w:t>人。男女性比例之計算方式，係將其人數除以</w:t>
      </w:r>
      <w:r w:rsidR="00203F72" w:rsidRPr="00993D73">
        <w:t>328</w:t>
      </w:r>
      <w:r w:rsidR="00203F72" w:rsidRPr="00993D73">
        <w:t>人，再乘上</w:t>
      </w:r>
      <w:r w:rsidR="00203F72" w:rsidRPr="00993D73">
        <w:t>100</w:t>
      </w:r>
      <w:r w:rsidR="00203F72" w:rsidRPr="00993D73">
        <w:t>所得之數據。</w:t>
      </w:r>
    </w:p>
    <w:p w14:paraId="2862F921" w14:textId="77777777" w:rsidR="00953151" w:rsidRPr="00993D73" w:rsidRDefault="00203F72" w:rsidP="00993D73">
      <w:r w:rsidRPr="00993D73">
        <w:t>資料來源</w:t>
      </w:r>
      <w:r w:rsidRPr="00993D73">
        <w:footnoteReference w:id="370"/>
      </w:r>
      <w:r w:rsidRPr="00993D73">
        <w:t>：台灣犯罪統計，台灣總督府，昭和</w:t>
      </w:r>
      <w:r w:rsidRPr="00993D73">
        <w:t>6</w:t>
      </w:r>
      <w:r w:rsidRPr="00993D73">
        <w:t>年</w:t>
      </w:r>
      <w:r w:rsidRPr="00993D73">
        <w:t>(1931</w:t>
      </w:r>
      <w:r w:rsidRPr="00993D73">
        <w:t>年</w:t>
      </w:r>
      <w:r w:rsidRPr="00993D73">
        <w:t>)</w:t>
      </w:r>
      <w:r w:rsidRPr="00993D73">
        <w:t>。</w:t>
      </w:r>
    </w:p>
    <w:p w14:paraId="77FC40F9" w14:textId="77777777" w:rsidR="00203F72" w:rsidRPr="00993D73" w:rsidRDefault="0039258A" w:rsidP="00993D73">
      <w:r w:rsidRPr="00993D73">
        <w:t xml:space="preserve">　　</w:t>
      </w:r>
      <w:r w:rsidR="00203F72" w:rsidRPr="00993D73">
        <w:t>於昭和</w:t>
      </w:r>
      <w:r w:rsidR="00203F72" w:rsidRPr="00993D73">
        <w:t>6</w:t>
      </w:r>
      <w:r w:rsidR="00203F72" w:rsidRPr="00993D73">
        <w:t>年</w:t>
      </w:r>
      <w:r w:rsidR="00203F72" w:rsidRPr="00993D73">
        <w:t>(1931</w:t>
      </w:r>
      <w:r w:rsidR="00203F72" w:rsidRPr="00993D73">
        <w:t>年</w:t>
      </w:r>
      <w:r w:rsidR="00203F72" w:rsidRPr="00993D73">
        <w:t>)</w:t>
      </w:r>
      <w:r w:rsidR="00203F72" w:rsidRPr="00993D73">
        <w:t>，在地方法院獨議部，以略式程序受理及判決涉及違反台灣阿片令之案件部分，受判決確定者之人數，男性受判決人為</w:t>
      </w:r>
      <w:r w:rsidR="00203F72" w:rsidRPr="00993D73">
        <w:t>265</w:t>
      </w:r>
      <w:r w:rsidR="00203F72" w:rsidRPr="00993D73">
        <w:t>人，女性受判決人為</w:t>
      </w:r>
      <w:r w:rsidR="00203F72" w:rsidRPr="00993D73">
        <w:t>40</w:t>
      </w:r>
      <w:r w:rsidR="00203F72" w:rsidRPr="00993D73">
        <w:t>人，判決之結果，詳細情形如下表中之昭和</w:t>
      </w:r>
      <w:r w:rsidR="00203F72" w:rsidRPr="00993D73">
        <w:t>6</w:t>
      </w:r>
      <w:r w:rsidR="00203F72" w:rsidRPr="00993D73">
        <w:t>年</w:t>
      </w:r>
      <w:r w:rsidR="00203F72" w:rsidRPr="00993D73">
        <w:t>(1931</w:t>
      </w:r>
      <w:r w:rsidR="00203F72" w:rsidRPr="00993D73">
        <w:t>年</w:t>
      </w:r>
      <w:r w:rsidR="00203F72" w:rsidRPr="00993D73">
        <w:t>)</w:t>
      </w:r>
      <w:r w:rsidR="00203F72" w:rsidRPr="00993D73">
        <w:t>地方法院獨議部，以略式命令，判決涉及違反台灣阿片令人數，約</w:t>
      </w:r>
      <w:r w:rsidR="00203F72" w:rsidRPr="00993D73">
        <w:t>99.34%</w:t>
      </w:r>
      <w:r w:rsidR="00203F72" w:rsidRPr="00993D73">
        <w:t>之案件，係被判處罰金。與犯罪即決之人數相較，涉及台灣阿片令犯罪刑事案件進入地方法院獨議部略式程序之情形，其數量仍是屬於少數。進入地方法院合議程序之情形，在昭和</w:t>
      </w:r>
      <w:r w:rsidR="00203F72" w:rsidRPr="00993D73">
        <w:t>6</w:t>
      </w:r>
      <w:r w:rsidR="00203F72" w:rsidRPr="00993D73">
        <w:t>年</w:t>
      </w:r>
      <w:r w:rsidR="00203F72" w:rsidRPr="00993D73">
        <w:t>(1931</w:t>
      </w:r>
      <w:r w:rsidR="00203F72" w:rsidRPr="00993D73">
        <w:t>年</w:t>
      </w:r>
      <w:r w:rsidR="00203F72" w:rsidRPr="00993D73">
        <w:t>)</w:t>
      </w:r>
      <w:r w:rsidR="00203F72" w:rsidRPr="00993D73">
        <w:t>時，僅</w:t>
      </w:r>
      <w:r w:rsidR="00203F72" w:rsidRPr="00993D73">
        <w:t>1</w:t>
      </w:r>
      <w:r w:rsidR="00203F72" w:rsidRPr="00993D73">
        <w:t>人而已，該人之刑期則為</w:t>
      </w:r>
      <w:r w:rsidR="00203F72" w:rsidRPr="00993D73">
        <w:t>1</w:t>
      </w:r>
      <w:r w:rsidR="00203F72" w:rsidRPr="00993D73">
        <w:t>年以下有期徒刑，故大多數涉及違反台灣阿片令之案件，係以犯罪即決方式，被加以處理之。</w:t>
      </w:r>
    </w:p>
    <w:p w14:paraId="2355966E" w14:textId="77777777" w:rsidR="00203F72" w:rsidRPr="00A53581" w:rsidRDefault="00203F72" w:rsidP="00D87D91">
      <w:r w:rsidRPr="00A53581">
        <w:t xml:space="preserve"> </w:t>
      </w:r>
    </w:p>
    <w:p w14:paraId="2578CB1C" w14:textId="223D3363"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89</w:t>
      </w:r>
      <w:r w:rsidR="00076467">
        <w:rPr>
          <w:noProof/>
        </w:rPr>
        <w:fldChar w:fldCharType="end"/>
      </w:r>
      <w:r w:rsidR="00203F72" w:rsidRPr="00A53581">
        <w:t xml:space="preserve"> </w:t>
      </w:r>
      <w:r w:rsidR="00203F72" w:rsidRPr="00A53581">
        <w:t>昭和</w:t>
      </w:r>
      <w:r w:rsidR="00203F72" w:rsidRPr="00A53581">
        <w:t>6</w:t>
      </w:r>
      <w:r w:rsidR="00203F72" w:rsidRPr="00A53581">
        <w:t>年</w:t>
      </w:r>
      <w:r w:rsidR="00203F72" w:rsidRPr="00A53581">
        <w:t>(1931</w:t>
      </w:r>
      <w:r w:rsidR="00203F72" w:rsidRPr="00A53581">
        <w:t>年</w:t>
      </w:r>
      <w:r w:rsidR="00203F72" w:rsidRPr="00A53581">
        <w:t>)</w:t>
      </w:r>
      <w:r w:rsidR="00203F72" w:rsidRPr="00A53581">
        <w:t>地方法院獨議部以略式命令判決涉及違反台灣阿片令人數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620"/>
        <w:gridCol w:w="1440"/>
        <w:gridCol w:w="1440"/>
        <w:gridCol w:w="1440"/>
        <w:gridCol w:w="1620"/>
      </w:tblGrid>
      <w:tr w:rsidR="00203F72" w:rsidRPr="00A53581" w14:paraId="6EA134F5" w14:textId="77777777" w:rsidTr="00167967">
        <w:trPr>
          <w:tblHeader/>
        </w:trPr>
        <w:tc>
          <w:tcPr>
            <w:tcW w:w="2448" w:type="dxa"/>
            <w:gridSpan w:val="2"/>
            <w:shd w:val="clear" w:color="auto" w:fill="FAF0FA"/>
          </w:tcPr>
          <w:p w14:paraId="2614C026" w14:textId="77777777" w:rsidR="00203F72" w:rsidRPr="00A53581" w:rsidRDefault="00203F72" w:rsidP="00D87D91">
            <w:r w:rsidRPr="00A53581">
              <w:t>性別</w:t>
            </w:r>
          </w:p>
          <w:p w14:paraId="051C3685" w14:textId="77777777" w:rsidR="00203F72" w:rsidRPr="00A53581" w:rsidRDefault="00203F72" w:rsidP="00D87D91">
            <w:pPr>
              <w:rPr>
                <w:kern w:val="0"/>
              </w:rPr>
            </w:pPr>
            <w:r w:rsidRPr="00A53581">
              <w:t>種類</w:t>
            </w:r>
          </w:p>
        </w:tc>
        <w:tc>
          <w:tcPr>
            <w:tcW w:w="1440" w:type="dxa"/>
            <w:shd w:val="clear" w:color="auto" w:fill="FAF0FA"/>
          </w:tcPr>
          <w:p w14:paraId="26642F16" w14:textId="77777777" w:rsidR="00203F72" w:rsidRPr="00A53581" w:rsidRDefault="00203F72" w:rsidP="00D87D91">
            <w:r w:rsidRPr="00A53581">
              <w:t>男性人數</w:t>
            </w:r>
          </w:p>
        </w:tc>
        <w:tc>
          <w:tcPr>
            <w:tcW w:w="1440" w:type="dxa"/>
            <w:shd w:val="clear" w:color="auto" w:fill="FAF0FA"/>
          </w:tcPr>
          <w:p w14:paraId="6C6F1D41" w14:textId="77777777" w:rsidR="00203F72" w:rsidRPr="00A53581" w:rsidRDefault="00203F72" w:rsidP="00D87D91">
            <w:r w:rsidRPr="00A53581">
              <w:t>女性人數</w:t>
            </w:r>
          </w:p>
        </w:tc>
        <w:tc>
          <w:tcPr>
            <w:tcW w:w="1440" w:type="dxa"/>
            <w:shd w:val="clear" w:color="auto" w:fill="FAF0FA"/>
          </w:tcPr>
          <w:p w14:paraId="7DC244A4" w14:textId="77777777" w:rsidR="00203F72" w:rsidRPr="00A53581" w:rsidRDefault="00203F72" w:rsidP="00D87D91">
            <w:r w:rsidRPr="00A53581">
              <w:t>男性比例</w:t>
            </w:r>
            <w:r w:rsidRPr="00A53581">
              <w:t>(%)</w:t>
            </w:r>
          </w:p>
        </w:tc>
        <w:tc>
          <w:tcPr>
            <w:tcW w:w="1620" w:type="dxa"/>
            <w:shd w:val="clear" w:color="auto" w:fill="FAF0FA"/>
          </w:tcPr>
          <w:p w14:paraId="20D03580" w14:textId="77777777" w:rsidR="00203F72" w:rsidRPr="00A53581" w:rsidRDefault="00203F72" w:rsidP="00D87D91">
            <w:r w:rsidRPr="00A53581">
              <w:t>女性比例</w:t>
            </w:r>
            <w:r w:rsidRPr="00A53581">
              <w:t>(%)</w:t>
            </w:r>
          </w:p>
        </w:tc>
      </w:tr>
      <w:tr w:rsidR="00203F72" w:rsidRPr="00A53581" w14:paraId="1D71D546" w14:textId="77777777" w:rsidTr="00203F72">
        <w:tc>
          <w:tcPr>
            <w:tcW w:w="828" w:type="dxa"/>
            <w:vMerge w:val="restart"/>
            <w:shd w:val="clear" w:color="auto" w:fill="auto"/>
          </w:tcPr>
          <w:p w14:paraId="39798374" w14:textId="77777777" w:rsidR="00203F72" w:rsidRPr="00A53581" w:rsidRDefault="00203F72" w:rsidP="00D87D91">
            <w:r w:rsidRPr="00A53581">
              <w:t>罰金</w:t>
            </w:r>
          </w:p>
        </w:tc>
        <w:tc>
          <w:tcPr>
            <w:tcW w:w="1620" w:type="dxa"/>
            <w:shd w:val="clear" w:color="auto" w:fill="auto"/>
          </w:tcPr>
          <w:p w14:paraId="05B4DB13" w14:textId="77777777" w:rsidR="00203F72" w:rsidRPr="00A53581" w:rsidRDefault="00203F72" w:rsidP="00D87D91">
            <w:r w:rsidRPr="00A53581">
              <w:t>50</w:t>
            </w:r>
            <w:r w:rsidRPr="00A53581">
              <w:t>圓以上</w:t>
            </w:r>
          </w:p>
        </w:tc>
        <w:tc>
          <w:tcPr>
            <w:tcW w:w="1440" w:type="dxa"/>
            <w:shd w:val="clear" w:color="auto" w:fill="auto"/>
          </w:tcPr>
          <w:p w14:paraId="06452AE4" w14:textId="77777777" w:rsidR="00203F72" w:rsidRPr="00A53581" w:rsidRDefault="00203F72" w:rsidP="00D87D91">
            <w:r w:rsidRPr="00A53581">
              <w:t>116</w:t>
            </w:r>
          </w:p>
        </w:tc>
        <w:tc>
          <w:tcPr>
            <w:tcW w:w="1440" w:type="dxa"/>
            <w:shd w:val="clear" w:color="auto" w:fill="auto"/>
          </w:tcPr>
          <w:p w14:paraId="268B2F24" w14:textId="77777777" w:rsidR="00203F72" w:rsidRPr="00A53581" w:rsidRDefault="00203F72" w:rsidP="00D87D91">
            <w:r w:rsidRPr="00A53581">
              <w:t>16</w:t>
            </w:r>
          </w:p>
        </w:tc>
        <w:tc>
          <w:tcPr>
            <w:tcW w:w="1440" w:type="dxa"/>
            <w:shd w:val="clear" w:color="auto" w:fill="auto"/>
          </w:tcPr>
          <w:p w14:paraId="449C4867" w14:textId="77777777" w:rsidR="00203F72" w:rsidRPr="00A53581" w:rsidRDefault="00203F72" w:rsidP="00D87D91">
            <w:r w:rsidRPr="00A53581">
              <w:t>38.03%</w:t>
            </w:r>
          </w:p>
        </w:tc>
        <w:tc>
          <w:tcPr>
            <w:tcW w:w="1620" w:type="dxa"/>
            <w:shd w:val="clear" w:color="auto" w:fill="auto"/>
          </w:tcPr>
          <w:p w14:paraId="3A926678" w14:textId="77777777" w:rsidR="00203F72" w:rsidRPr="00A53581" w:rsidRDefault="00203F72" w:rsidP="00D87D91">
            <w:r w:rsidRPr="00A53581">
              <w:t>5.25%</w:t>
            </w:r>
          </w:p>
        </w:tc>
      </w:tr>
      <w:tr w:rsidR="00203F72" w:rsidRPr="00A53581" w14:paraId="00B0BC40" w14:textId="77777777" w:rsidTr="00203F72">
        <w:tc>
          <w:tcPr>
            <w:tcW w:w="828" w:type="dxa"/>
            <w:vMerge/>
            <w:shd w:val="clear" w:color="auto" w:fill="auto"/>
          </w:tcPr>
          <w:p w14:paraId="330FA371" w14:textId="77777777" w:rsidR="00203F72" w:rsidRPr="00A53581" w:rsidRDefault="00203F72" w:rsidP="00D87D91"/>
        </w:tc>
        <w:tc>
          <w:tcPr>
            <w:tcW w:w="1620" w:type="dxa"/>
            <w:shd w:val="clear" w:color="auto" w:fill="auto"/>
          </w:tcPr>
          <w:p w14:paraId="79FDE4B0" w14:textId="77777777" w:rsidR="00203F72" w:rsidRPr="00A53581" w:rsidRDefault="00203F72" w:rsidP="00D87D91">
            <w:r w:rsidRPr="00A53581">
              <w:t>50</w:t>
            </w:r>
            <w:r w:rsidRPr="00A53581">
              <w:t>圓未滿</w:t>
            </w:r>
          </w:p>
        </w:tc>
        <w:tc>
          <w:tcPr>
            <w:tcW w:w="1440" w:type="dxa"/>
            <w:shd w:val="clear" w:color="auto" w:fill="auto"/>
          </w:tcPr>
          <w:p w14:paraId="1C3B2E73" w14:textId="77777777" w:rsidR="00203F72" w:rsidRPr="00A53581" w:rsidRDefault="00203F72" w:rsidP="00D87D91">
            <w:r w:rsidRPr="00A53581">
              <w:t>147</w:t>
            </w:r>
            <w:r w:rsidRPr="00A53581">
              <w:rPr>
                <w:rStyle w:val="af3"/>
                <w:rFonts w:ascii="新細明體" w:hAnsi="新細明體"/>
              </w:rPr>
              <w:footnoteReference w:id="371"/>
            </w:r>
          </w:p>
        </w:tc>
        <w:tc>
          <w:tcPr>
            <w:tcW w:w="1440" w:type="dxa"/>
            <w:shd w:val="clear" w:color="auto" w:fill="auto"/>
          </w:tcPr>
          <w:p w14:paraId="2571A4A8" w14:textId="77777777" w:rsidR="00203F72" w:rsidRPr="00A53581" w:rsidRDefault="00203F72" w:rsidP="00D87D91">
            <w:r w:rsidRPr="00A53581">
              <w:t>23</w:t>
            </w:r>
          </w:p>
        </w:tc>
        <w:tc>
          <w:tcPr>
            <w:tcW w:w="1440" w:type="dxa"/>
            <w:shd w:val="clear" w:color="auto" w:fill="auto"/>
          </w:tcPr>
          <w:p w14:paraId="13C68153" w14:textId="77777777" w:rsidR="00203F72" w:rsidRPr="00A53581" w:rsidRDefault="00203F72" w:rsidP="00D87D91">
            <w:r w:rsidRPr="00A53581">
              <w:t>48.20%</w:t>
            </w:r>
          </w:p>
        </w:tc>
        <w:tc>
          <w:tcPr>
            <w:tcW w:w="1620" w:type="dxa"/>
            <w:shd w:val="clear" w:color="auto" w:fill="auto"/>
          </w:tcPr>
          <w:p w14:paraId="415BFAC9" w14:textId="77777777" w:rsidR="00203F72" w:rsidRPr="00A53581" w:rsidRDefault="00203F72" w:rsidP="00D87D91">
            <w:r w:rsidRPr="00A53581">
              <w:t>7.54%</w:t>
            </w:r>
          </w:p>
        </w:tc>
      </w:tr>
      <w:tr w:rsidR="00203F72" w:rsidRPr="00A53581" w14:paraId="24AE5589" w14:textId="77777777" w:rsidTr="00203F72">
        <w:tc>
          <w:tcPr>
            <w:tcW w:w="828" w:type="dxa"/>
            <w:vMerge/>
            <w:shd w:val="clear" w:color="auto" w:fill="auto"/>
          </w:tcPr>
          <w:p w14:paraId="1732A4D1" w14:textId="77777777" w:rsidR="00203F72" w:rsidRPr="00A53581" w:rsidRDefault="00203F72" w:rsidP="00D87D91"/>
        </w:tc>
        <w:tc>
          <w:tcPr>
            <w:tcW w:w="1620" w:type="dxa"/>
            <w:shd w:val="clear" w:color="auto" w:fill="auto"/>
          </w:tcPr>
          <w:p w14:paraId="0CE996EF" w14:textId="77777777" w:rsidR="00203F72" w:rsidRPr="00A53581" w:rsidRDefault="00203F72" w:rsidP="00D87D91">
            <w:r w:rsidRPr="00A53581">
              <w:t>20</w:t>
            </w:r>
            <w:r w:rsidRPr="00A53581">
              <w:t>圓未滿</w:t>
            </w:r>
          </w:p>
        </w:tc>
        <w:tc>
          <w:tcPr>
            <w:tcW w:w="1440" w:type="dxa"/>
            <w:shd w:val="clear" w:color="auto" w:fill="auto"/>
          </w:tcPr>
          <w:p w14:paraId="785005DB" w14:textId="77777777" w:rsidR="00203F72" w:rsidRPr="00A53581" w:rsidRDefault="00203F72" w:rsidP="00D87D91">
            <w:r w:rsidRPr="00A53581">
              <w:t>0</w:t>
            </w:r>
          </w:p>
        </w:tc>
        <w:tc>
          <w:tcPr>
            <w:tcW w:w="1440" w:type="dxa"/>
            <w:shd w:val="clear" w:color="auto" w:fill="auto"/>
          </w:tcPr>
          <w:p w14:paraId="30FD9F81" w14:textId="77777777" w:rsidR="00203F72" w:rsidRPr="00A53581" w:rsidRDefault="00203F72" w:rsidP="00D87D91">
            <w:r w:rsidRPr="00A53581">
              <w:t>1</w:t>
            </w:r>
          </w:p>
        </w:tc>
        <w:tc>
          <w:tcPr>
            <w:tcW w:w="1440" w:type="dxa"/>
            <w:shd w:val="clear" w:color="auto" w:fill="auto"/>
          </w:tcPr>
          <w:p w14:paraId="0CDCDA2E" w14:textId="77777777" w:rsidR="00203F72" w:rsidRPr="00A53581" w:rsidRDefault="00203F72" w:rsidP="00D87D91">
            <w:r w:rsidRPr="00A53581">
              <w:t>0.00%</w:t>
            </w:r>
          </w:p>
        </w:tc>
        <w:tc>
          <w:tcPr>
            <w:tcW w:w="1620" w:type="dxa"/>
            <w:shd w:val="clear" w:color="auto" w:fill="auto"/>
          </w:tcPr>
          <w:p w14:paraId="0FAAC0AD" w14:textId="77777777" w:rsidR="00203F72" w:rsidRPr="00A53581" w:rsidRDefault="00203F72" w:rsidP="00D87D91">
            <w:r w:rsidRPr="00A53581">
              <w:t>0.33%</w:t>
            </w:r>
          </w:p>
        </w:tc>
      </w:tr>
      <w:tr w:rsidR="00203F72" w:rsidRPr="00A53581" w14:paraId="67AC2C07" w14:textId="77777777" w:rsidTr="00203F72">
        <w:tc>
          <w:tcPr>
            <w:tcW w:w="828" w:type="dxa"/>
            <w:vMerge w:val="restart"/>
            <w:shd w:val="clear" w:color="auto" w:fill="auto"/>
          </w:tcPr>
          <w:p w14:paraId="4F143472" w14:textId="77777777" w:rsidR="00203F72" w:rsidRPr="00A53581" w:rsidRDefault="00203F72" w:rsidP="00D87D91">
            <w:r w:rsidRPr="00A53581">
              <w:t>罰鍰</w:t>
            </w:r>
          </w:p>
        </w:tc>
        <w:tc>
          <w:tcPr>
            <w:tcW w:w="1620" w:type="dxa"/>
            <w:shd w:val="clear" w:color="auto" w:fill="auto"/>
          </w:tcPr>
          <w:p w14:paraId="552CE4C9" w14:textId="77777777" w:rsidR="00203F72" w:rsidRPr="00A53581" w:rsidRDefault="00203F72" w:rsidP="00D87D91">
            <w:r w:rsidRPr="00A53581">
              <w:t>20</w:t>
            </w:r>
            <w:r w:rsidRPr="00A53581">
              <w:t>圓未滿</w:t>
            </w:r>
          </w:p>
        </w:tc>
        <w:tc>
          <w:tcPr>
            <w:tcW w:w="1440" w:type="dxa"/>
            <w:shd w:val="clear" w:color="auto" w:fill="auto"/>
          </w:tcPr>
          <w:p w14:paraId="3651D806" w14:textId="77777777" w:rsidR="00203F72" w:rsidRPr="00A53581" w:rsidRDefault="00203F72" w:rsidP="00D87D91">
            <w:r w:rsidRPr="00A53581">
              <w:t>2</w:t>
            </w:r>
          </w:p>
        </w:tc>
        <w:tc>
          <w:tcPr>
            <w:tcW w:w="1440" w:type="dxa"/>
            <w:shd w:val="clear" w:color="auto" w:fill="auto"/>
          </w:tcPr>
          <w:p w14:paraId="7CD93252" w14:textId="77777777" w:rsidR="00203F72" w:rsidRPr="00A53581" w:rsidRDefault="00203F72" w:rsidP="00D87D91">
            <w:r w:rsidRPr="00A53581">
              <w:t>0</w:t>
            </w:r>
          </w:p>
        </w:tc>
        <w:tc>
          <w:tcPr>
            <w:tcW w:w="1440" w:type="dxa"/>
            <w:shd w:val="clear" w:color="auto" w:fill="auto"/>
          </w:tcPr>
          <w:p w14:paraId="336C7351" w14:textId="77777777" w:rsidR="00203F72" w:rsidRPr="00A53581" w:rsidRDefault="00203F72" w:rsidP="00D87D91">
            <w:r w:rsidRPr="00A53581">
              <w:t>0.66%</w:t>
            </w:r>
          </w:p>
        </w:tc>
        <w:tc>
          <w:tcPr>
            <w:tcW w:w="1620" w:type="dxa"/>
            <w:shd w:val="clear" w:color="auto" w:fill="auto"/>
          </w:tcPr>
          <w:p w14:paraId="6290CA42" w14:textId="77777777" w:rsidR="00203F72" w:rsidRPr="00A53581" w:rsidRDefault="00203F72" w:rsidP="00D87D91">
            <w:r w:rsidRPr="00A53581">
              <w:t>0.00%</w:t>
            </w:r>
          </w:p>
        </w:tc>
      </w:tr>
      <w:tr w:rsidR="00203F72" w:rsidRPr="00A53581" w14:paraId="01E836CD" w14:textId="77777777" w:rsidTr="00203F72">
        <w:tc>
          <w:tcPr>
            <w:tcW w:w="828" w:type="dxa"/>
            <w:vMerge/>
            <w:shd w:val="clear" w:color="auto" w:fill="auto"/>
          </w:tcPr>
          <w:p w14:paraId="5321F184" w14:textId="77777777" w:rsidR="00203F72" w:rsidRPr="00A53581" w:rsidRDefault="00203F72" w:rsidP="00D87D91"/>
        </w:tc>
        <w:tc>
          <w:tcPr>
            <w:tcW w:w="1620" w:type="dxa"/>
            <w:shd w:val="clear" w:color="auto" w:fill="auto"/>
          </w:tcPr>
          <w:p w14:paraId="583B4126" w14:textId="77777777" w:rsidR="00203F72" w:rsidRPr="00A53581" w:rsidRDefault="00203F72" w:rsidP="00D87D91">
            <w:r w:rsidRPr="00A53581">
              <w:t>10</w:t>
            </w:r>
            <w:r w:rsidRPr="00A53581">
              <w:t>圓未滿</w:t>
            </w:r>
          </w:p>
        </w:tc>
        <w:tc>
          <w:tcPr>
            <w:tcW w:w="1440" w:type="dxa"/>
            <w:shd w:val="clear" w:color="auto" w:fill="auto"/>
          </w:tcPr>
          <w:p w14:paraId="743F33BB" w14:textId="77777777" w:rsidR="00203F72" w:rsidRPr="00A53581" w:rsidRDefault="00203F72" w:rsidP="00D87D91">
            <w:r w:rsidRPr="00A53581">
              <w:t>0</w:t>
            </w:r>
          </w:p>
        </w:tc>
        <w:tc>
          <w:tcPr>
            <w:tcW w:w="1440" w:type="dxa"/>
            <w:shd w:val="clear" w:color="auto" w:fill="auto"/>
          </w:tcPr>
          <w:p w14:paraId="37B08079" w14:textId="77777777" w:rsidR="00203F72" w:rsidRPr="00A53581" w:rsidRDefault="00203F72" w:rsidP="00D87D91">
            <w:r w:rsidRPr="00A53581">
              <w:t>0</w:t>
            </w:r>
          </w:p>
        </w:tc>
        <w:tc>
          <w:tcPr>
            <w:tcW w:w="1440" w:type="dxa"/>
            <w:shd w:val="clear" w:color="auto" w:fill="auto"/>
          </w:tcPr>
          <w:p w14:paraId="093D7F65" w14:textId="77777777" w:rsidR="00203F72" w:rsidRPr="00A53581" w:rsidRDefault="00203F72" w:rsidP="00D87D91">
            <w:r w:rsidRPr="00A53581">
              <w:t>0.00%</w:t>
            </w:r>
          </w:p>
        </w:tc>
        <w:tc>
          <w:tcPr>
            <w:tcW w:w="1620" w:type="dxa"/>
            <w:shd w:val="clear" w:color="auto" w:fill="auto"/>
          </w:tcPr>
          <w:p w14:paraId="174D0C94" w14:textId="77777777" w:rsidR="00203F72" w:rsidRPr="00A53581" w:rsidRDefault="00203F72" w:rsidP="00D87D91">
            <w:r w:rsidRPr="00A53581">
              <w:t>0.00%</w:t>
            </w:r>
          </w:p>
        </w:tc>
      </w:tr>
      <w:tr w:rsidR="00203F72" w:rsidRPr="00A53581" w14:paraId="75846454" w14:textId="77777777" w:rsidTr="00203F72">
        <w:tc>
          <w:tcPr>
            <w:tcW w:w="828" w:type="dxa"/>
            <w:shd w:val="clear" w:color="auto" w:fill="auto"/>
          </w:tcPr>
          <w:p w14:paraId="448B1051" w14:textId="77777777" w:rsidR="00203F72" w:rsidRPr="00A53581" w:rsidRDefault="00203F72" w:rsidP="00D87D91">
            <w:r w:rsidRPr="00A53581">
              <w:t>合計</w:t>
            </w:r>
          </w:p>
        </w:tc>
        <w:tc>
          <w:tcPr>
            <w:tcW w:w="1620" w:type="dxa"/>
            <w:shd w:val="clear" w:color="auto" w:fill="auto"/>
          </w:tcPr>
          <w:p w14:paraId="25FDD5F6" w14:textId="77777777" w:rsidR="00203F72" w:rsidRPr="00A53581" w:rsidRDefault="00203F72" w:rsidP="00D87D91"/>
        </w:tc>
        <w:tc>
          <w:tcPr>
            <w:tcW w:w="1440" w:type="dxa"/>
            <w:shd w:val="clear" w:color="auto" w:fill="auto"/>
          </w:tcPr>
          <w:p w14:paraId="16060361" w14:textId="77777777" w:rsidR="00203F72" w:rsidRPr="00A53581" w:rsidRDefault="00203F72" w:rsidP="00D87D91">
            <w:r w:rsidRPr="00A53581">
              <w:t>265</w:t>
            </w:r>
          </w:p>
        </w:tc>
        <w:tc>
          <w:tcPr>
            <w:tcW w:w="1440" w:type="dxa"/>
            <w:shd w:val="clear" w:color="auto" w:fill="auto"/>
          </w:tcPr>
          <w:p w14:paraId="7FBC5EE0" w14:textId="77777777" w:rsidR="00203F72" w:rsidRPr="00A53581" w:rsidRDefault="00203F72" w:rsidP="00D87D91">
            <w:r w:rsidRPr="00A53581">
              <w:t>40</w:t>
            </w:r>
          </w:p>
        </w:tc>
        <w:tc>
          <w:tcPr>
            <w:tcW w:w="1440" w:type="dxa"/>
            <w:shd w:val="clear" w:color="auto" w:fill="auto"/>
          </w:tcPr>
          <w:p w14:paraId="7890B1E1" w14:textId="77777777" w:rsidR="00203F72" w:rsidRPr="00A53581" w:rsidRDefault="00203F72" w:rsidP="00D87D91"/>
        </w:tc>
        <w:tc>
          <w:tcPr>
            <w:tcW w:w="1620" w:type="dxa"/>
            <w:shd w:val="clear" w:color="auto" w:fill="auto"/>
          </w:tcPr>
          <w:p w14:paraId="62050457" w14:textId="77777777" w:rsidR="00203F72" w:rsidRPr="00A53581" w:rsidRDefault="00203F72" w:rsidP="00D87D91">
            <w:r w:rsidRPr="00A53581">
              <w:t>100%</w:t>
            </w:r>
          </w:p>
        </w:tc>
      </w:tr>
    </w:tbl>
    <w:p w14:paraId="7309EBD7" w14:textId="77777777" w:rsidR="00203F72" w:rsidRPr="00167967" w:rsidRDefault="0039258A" w:rsidP="00D87D91">
      <w:r w:rsidRPr="00167967">
        <w:t>【註】</w:t>
      </w:r>
      <w:r w:rsidR="00203F72" w:rsidRPr="00167967">
        <w:t>地方法院獨議部，以略式命令，判決涉及違反台灣阿片令犯罪人數總計</w:t>
      </w:r>
      <w:r w:rsidR="00203F72" w:rsidRPr="00167967">
        <w:t>305</w:t>
      </w:r>
      <w:r w:rsidR="00203F72" w:rsidRPr="00167967">
        <w:t>人。男女性比例之計算方式，係將男女性受判決人數除以</w:t>
      </w:r>
      <w:r w:rsidR="00203F72" w:rsidRPr="00167967">
        <w:t>305</w:t>
      </w:r>
      <w:r w:rsidR="00203F72" w:rsidRPr="00167967">
        <w:t>人，再乘上</w:t>
      </w:r>
      <w:r w:rsidR="00203F72" w:rsidRPr="00167967">
        <w:t>100</w:t>
      </w:r>
      <w:r w:rsidR="00203F72" w:rsidRPr="00167967">
        <w:t>所得之數據。</w:t>
      </w:r>
    </w:p>
    <w:p w14:paraId="5EA984B9" w14:textId="77777777" w:rsidR="00953151" w:rsidRPr="00167967" w:rsidRDefault="00203F72" w:rsidP="00D87D91">
      <w:r w:rsidRPr="00167967">
        <w:t>資料來源</w:t>
      </w:r>
      <w:r w:rsidRPr="00167967">
        <w:footnoteReference w:id="372"/>
      </w:r>
      <w:r w:rsidRPr="00167967">
        <w:t>：台灣犯罪統計，台灣總督府，昭和</w:t>
      </w:r>
      <w:r w:rsidRPr="00167967">
        <w:t>6</w:t>
      </w:r>
      <w:r w:rsidRPr="00167967">
        <w:t>年</w:t>
      </w:r>
      <w:r w:rsidRPr="00167967">
        <w:t>(1931</w:t>
      </w:r>
      <w:r w:rsidRPr="00167967">
        <w:t>年</w:t>
      </w:r>
      <w:r w:rsidRPr="00167967">
        <w:t>)</w:t>
      </w:r>
      <w:r w:rsidRPr="00167967">
        <w:t>。</w:t>
      </w:r>
    </w:p>
    <w:p w14:paraId="2855A385" w14:textId="77777777" w:rsidR="00953151" w:rsidRPr="00167967" w:rsidRDefault="0039258A" w:rsidP="00D87D91">
      <w:r w:rsidRPr="00167967">
        <w:t xml:space="preserve">　　</w:t>
      </w:r>
      <w:r w:rsidR="00203F72" w:rsidRPr="00167967">
        <w:t>有關《臺灣鴉片令》的法律定位方面，事實上，它即為六三法的法律體制下之律令，它是一部命令，但是，透過日本帝國六三法的規定，《臺灣鴉片令》的法律定位，被提升到具有法律的效力，此《臺灣鴉片令》並不是內閣頒佈的命令，而是臺灣總督的命令，故並不屬於敕令，而是敕令以外之律令。</w:t>
      </w:r>
    </w:p>
    <w:p w14:paraId="786EF7E2" w14:textId="77777777" w:rsidR="00203F72" w:rsidRPr="00167967" w:rsidRDefault="0039258A" w:rsidP="00D87D91">
      <w:r w:rsidRPr="00167967">
        <w:t xml:space="preserve">　　</w:t>
      </w:r>
      <w:r w:rsidR="00203F72" w:rsidRPr="00167967">
        <w:t>上述係為日本人對台灣獨創之所謂律令機制，此為非常奇特的法律制度。從</w:t>
      </w:r>
      <w:r w:rsidR="00203F72" w:rsidRPr="00167967">
        <w:t>1897</w:t>
      </w:r>
      <w:r w:rsidR="00203F72" w:rsidRPr="00167967">
        <w:t>年至</w:t>
      </w:r>
      <w:r w:rsidR="00203F72" w:rsidRPr="00167967">
        <w:t>1942</w:t>
      </w:r>
      <w:r w:rsidR="00203F72" w:rsidRPr="00167967">
        <w:t>年，違反鴉片令人數佔歷年年底在監受刑人總人數之百分比例</w:t>
      </w:r>
      <w:r w:rsidR="00203F72" w:rsidRPr="00167967">
        <w:t>(%)</w:t>
      </w:r>
      <w:r w:rsidR="00203F72" w:rsidRPr="00167967">
        <w:t>，如下表所述。最高之一年係為</w:t>
      </w:r>
      <w:r w:rsidR="00203F72" w:rsidRPr="00167967">
        <w:t>1898</w:t>
      </w:r>
      <w:r w:rsidR="00203F72" w:rsidRPr="00167967">
        <w:t>年，違反鴉片令人數佔當年年底在監受刑人總人數之百分比例係為</w:t>
      </w:r>
      <w:r w:rsidR="00203F72" w:rsidRPr="00167967">
        <w:t>16.9%</w:t>
      </w:r>
      <w:r w:rsidR="00203F72" w:rsidRPr="00167967">
        <w:t>，近約</w:t>
      </w:r>
      <w:r w:rsidR="00203F72" w:rsidRPr="00167967">
        <w:t>17%</w:t>
      </w:r>
      <w:r w:rsidR="00203F72" w:rsidRPr="00167967">
        <w:t>。</w:t>
      </w:r>
    </w:p>
    <w:p w14:paraId="54289FBF" w14:textId="77777777" w:rsidR="00203F72" w:rsidRPr="00A53581" w:rsidRDefault="00203F72" w:rsidP="00D87D91">
      <w:pPr>
        <w:pStyle w:val="111"/>
      </w:pPr>
    </w:p>
    <w:p w14:paraId="35854BF6" w14:textId="67BF2C92"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90</w:t>
      </w:r>
      <w:r w:rsidR="00076467">
        <w:rPr>
          <w:noProof/>
        </w:rPr>
        <w:fldChar w:fldCharType="end"/>
      </w:r>
      <w:r w:rsidR="00203F72" w:rsidRPr="00A53581">
        <w:t xml:space="preserve"> </w:t>
      </w:r>
      <w:r w:rsidR="00203F72" w:rsidRPr="00A53581">
        <w:rPr>
          <w:bCs/>
        </w:rPr>
        <w:t>1897</w:t>
      </w:r>
      <w:r w:rsidR="00203F72" w:rsidRPr="00A53581">
        <w:rPr>
          <w:bCs/>
        </w:rPr>
        <w:t>年至</w:t>
      </w:r>
      <w:r w:rsidR="00203F72" w:rsidRPr="00A53581">
        <w:rPr>
          <w:bCs/>
        </w:rPr>
        <w:t>1942</w:t>
      </w:r>
      <w:r w:rsidR="00203F72" w:rsidRPr="00A53581">
        <w:rPr>
          <w:bCs/>
        </w:rPr>
        <w:t>年年底台灣在監受刑人中</w:t>
      </w:r>
      <w:r w:rsidR="00203F72" w:rsidRPr="00A53581">
        <w:t>違反鴉片令人數之百分比例</w:t>
      </w:r>
    </w:p>
    <w:tbl>
      <w:tblPr>
        <w:tblW w:w="8232"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48"/>
        <w:gridCol w:w="2262"/>
        <w:gridCol w:w="1645"/>
        <w:gridCol w:w="2977"/>
      </w:tblGrid>
      <w:tr w:rsidR="00203F72" w:rsidRPr="00A53581" w14:paraId="4F3E310D" w14:textId="77777777" w:rsidTr="00993D73">
        <w:trPr>
          <w:trHeight w:val="330"/>
          <w:tblHeader/>
        </w:trPr>
        <w:tc>
          <w:tcPr>
            <w:tcW w:w="1348" w:type="dxa"/>
            <w:tcBorders>
              <w:top w:val="single" w:sz="4" w:space="0" w:color="auto"/>
              <w:left w:val="single" w:sz="4" w:space="0" w:color="auto"/>
              <w:bottom w:val="single" w:sz="4" w:space="0" w:color="auto"/>
              <w:right w:val="single" w:sz="4" w:space="0" w:color="auto"/>
            </w:tcBorders>
            <w:shd w:val="clear" w:color="auto" w:fill="FAF0FA"/>
            <w:vAlign w:val="bottom"/>
          </w:tcPr>
          <w:p w14:paraId="55BFF395" w14:textId="77777777" w:rsidR="00203F72" w:rsidRPr="00A53581" w:rsidRDefault="00203F72" w:rsidP="00993D73">
            <w:pPr>
              <w:jc w:val="center"/>
            </w:pPr>
            <w:r w:rsidRPr="00A53581">
              <w:t>歷年年底</w:t>
            </w:r>
          </w:p>
        </w:tc>
        <w:tc>
          <w:tcPr>
            <w:tcW w:w="2262" w:type="dxa"/>
            <w:tcBorders>
              <w:top w:val="single" w:sz="4" w:space="0" w:color="auto"/>
              <w:left w:val="single" w:sz="4" w:space="0" w:color="auto"/>
              <w:bottom w:val="single" w:sz="4" w:space="0" w:color="auto"/>
              <w:right w:val="single" w:sz="4" w:space="0" w:color="auto"/>
            </w:tcBorders>
            <w:shd w:val="clear" w:color="auto" w:fill="FAF0FA"/>
            <w:vAlign w:val="bottom"/>
          </w:tcPr>
          <w:p w14:paraId="3FF08574" w14:textId="77777777" w:rsidR="00203F72" w:rsidRPr="00A53581" w:rsidRDefault="00203F72" w:rsidP="00993D73">
            <w:pPr>
              <w:jc w:val="center"/>
            </w:pPr>
            <w:r w:rsidRPr="00A53581">
              <w:t>歷年年底在監受刑人總計人數</w:t>
            </w:r>
          </w:p>
        </w:tc>
        <w:tc>
          <w:tcPr>
            <w:tcW w:w="1645" w:type="dxa"/>
            <w:tcBorders>
              <w:top w:val="single" w:sz="4" w:space="0" w:color="auto"/>
              <w:left w:val="single" w:sz="4" w:space="0" w:color="auto"/>
              <w:bottom w:val="single" w:sz="4" w:space="0" w:color="auto"/>
              <w:right w:val="single" w:sz="4" w:space="0" w:color="auto"/>
            </w:tcBorders>
            <w:shd w:val="clear" w:color="auto" w:fill="FAF0FA"/>
            <w:vAlign w:val="bottom"/>
          </w:tcPr>
          <w:p w14:paraId="093C8351" w14:textId="77777777" w:rsidR="00203F72" w:rsidRPr="00A53581" w:rsidRDefault="00203F72" w:rsidP="00993D73">
            <w:pPr>
              <w:jc w:val="center"/>
            </w:pPr>
            <w:r w:rsidRPr="00A53581">
              <w:t>違反鴉片令人數</w:t>
            </w:r>
          </w:p>
        </w:tc>
        <w:tc>
          <w:tcPr>
            <w:tcW w:w="2977" w:type="dxa"/>
            <w:tcBorders>
              <w:top w:val="single" w:sz="4" w:space="0" w:color="auto"/>
              <w:left w:val="single" w:sz="4" w:space="0" w:color="auto"/>
              <w:bottom w:val="single" w:sz="4" w:space="0" w:color="auto"/>
              <w:right w:val="single" w:sz="4" w:space="0" w:color="auto"/>
            </w:tcBorders>
            <w:shd w:val="clear" w:color="auto" w:fill="FAF0FA"/>
            <w:vAlign w:val="bottom"/>
          </w:tcPr>
          <w:p w14:paraId="71867B89" w14:textId="77777777" w:rsidR="00203F72" w:rsidRPr="00A53581" w:rsidRDefault="00203F72" w:rsidP="00993D73">
            <w:pPr>
              <w:jc w:val="center"/>
            </w:pPr>
            <w:r w:rsidRPr="00A53581">
              <w:t>違反鴉片令人數佔歷年年底在監受刑人總人數之百分比例</w:t>
            </w:r>
            <w:r w:rsidRPr="00A53581">
              <w:t>(</w:t>
            </w:r>
            <w:r w:rsidRPr="00A53581">
              <w:rPr>
                <w:b/>
              </w:rPr>
              <w:t>%</w:t>
            </w:r>
            <w:r w:rsidRPr="00A53581">
              <w:t>)</w:t>
            </w:r>
          </w:p>
        </w:tc>
      </w:tr>
      <w:tr w:rsidR="00203F72" w:rsidRPr="00A53581" w14:paraId="29030FEB"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1FECAA59" w14:textId="77777777" w:rsidR="00203F72" w:rsidRPr="00A53581" w:rsidRDefault="00203F72" w:rsidP="00993D73">
            <w:pPr>
              <w:jc w:val="center"/>
            </w:pPr>
            <w:r w:rsidRPr="00A53581">
              <w:t>1897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554FDE04" w14:textId="77777777" w:rsidR="00203F72" w:rsidRPr="00A53581" w:rsidRDefault="00203F72" w:rsidP="00993D73">
            <w:pPr>
              <w:jc w:val="center"/>
            </w:pPr>
            <w:r w:rsidRPr="00A53581">
              <w:t>727</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74051671" w14:textId="77777777" w:rsidR="00203F72" w:rsidRPr="00A53581" w:rsidRDefault="00203F72" w:rsidP="00993D73">
            <w:pPr>
              <w:jc w:val="center"/>
            </w:pPr>
            <w:r w:rsidRPr="00A53581">
              <w:t>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23AE8D6" w14:textId="77777777" w:rsidR="00203F72" w:rsidRPr="00A53581" w:rsidRDefault="00203F72" w:rsidP="00993D73">
            <w:pPr>
              <w:jc w:val="center"/>
            </w:pPr>
            <w:r w:rsidRPr="00A53581">
              <w:t>7.6</w:t>
            </w:r>
            <w:r w:rsidRPr="00A53581">
              <w:rPr>
                <w:b/>
              </w:rPr>
              <w:t>%</w:t>
            </w:r>
          </w:p>
        </w:tc>
      </w:tr>
      <w:tr w:rsidR="00203F72" w:rsidRPr="00A53581" w14:paraId="69D9E8BA"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75866A5C" w14:textId="77777777" w:rsidR="00203F72" w:rsidRPr="00A53581" w:rsidRDefault="00203F72" w:rsidP="00993D73">
            <w:pPr>
              <w:jc w:val="center"/>
            </w:pPr>
            <w:r w:rsidRPr="00A53581">
              <w:t>1898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0AB40E9" w14:textId="77777777" w:rsidR="00203F72" w:rsidRPr="00A53581" w:rsidRDefault="00203F72" w:rsidP="00993D73">
            <w:pPr>
              <w:jc w:val="center"/>
            </w:pPr>
            <w:r w:rsidRPr="00A53581">
              <w:t>1400</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04E5FD4B" w14:textId="77777777" w:rsidR="00203F72" w:rsidRPr="00A53581" w:rsidRDefault="00203F72" w:rsidP="00993D73">
            <w:pPr>
              <w:jc w:val="center"/>
            </w:pPr>
            <w:r w:rsidRPr="00A53581">
              <w:t>237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632E723" w14:textId="77777777" w:rsidR="00203F72" w:rsidRPr="00A53581" w:rsidRDefault="00203F72" w:rsidP="00993D73">
            <w:pPr>
              <w:jc w:val="center"/>
            </w:pPr>
            <w:r w:rsidRPr="00A53581">
              <w:t>16.9</w:t>
            </w:r>
            <w:r w:rsidRPr="00A53581">
              <w:rPr>
                <w:b/>
              </w:rPr>
              <w:t>%</w:t>
            </w:r>
          </w:p>
        </w:tc>
      </w:tr>
      <w:tr w:rsidR="00203F72" w:rsidRPr="00A53581" w14:paraId="304FF6F6"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67C21E8E" w14:textId="77777777" w:rsidR="00203F72" w:rsidRPr="00A53581" w:rsidRDefault="00203F72" w:rsidP="00993D73">
            <w:pPr>
              <w:jc w:val="center"/>
            </w:pPr>
            <w:r w:rsidRPr="00A53581">
              <w:t>1899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1D1B1883" w14:textId="77777777" w:rsidR="00203F72" w:rsidRPr="00A53581" w:rsidRDefault="00203F72" w:rsidP="00993D73">
            <w:pPr>
              <w:jc w:val="center"/>
            </w:pPr>
            <w:r w:rsidRPr="00A53581">
              <w:t>1834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338814C9" w14:textId="77777777" w:rsidR="00203F72" w:rsidRPr="00A53581" w:rsidRDefault="00203F72" w:rsidP="00993D73">
            <w:pPr>
              <w:jc w:val="center"/>
            </w:pPr>
            <w:r w:rsidRPr="00A53581">
              <w:t>258</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6922988" w14:textId="77777777" w:rsidR="00203F72" w:rsidRPr="00A53581" w:rsidRDefault="00203F72" w:rsidP="00993D73">
            <w:pPr>
              <w:jc w:val="center"/>
            </w:pPr>
            <w:r w:rsidRPr="00A53581">
              <w:t>14.1</w:t>
            </w:r>
            <w:r w:rsidRPr="00A53581">
              <w:rPr>
                <w:b/>
              </w:rPr>
              <w:t>%</w:t>
            </w:r>
          </w:p>
        </w:tc>
      </w:tr>
      <w:tr w:rsidR="00203F72" w:rsidRPr="00A53581" w14:paraId="04F011E2"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06C209D2" w14:textId="77777777" w:rsidR="00203F72" w:rsidRPr="00A53581" w:rsidRDefault="00203F72" w:rsidP="00993D73">
            <w:pPr>
              <w:jc w:val="center"/>
            </w:pPr>
            <w:r w:rsidRPr="00A53581">
              <w:t>1900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5CFF7795" w14:textId="77777777" w:rsidR="00203F72" w:rsidRPr="00A53581" w:rsidRDefault="00203F72" w:rsidP="00993D73">
            <w:pPr>
              <w:jc w:val="center"/>
            </w:pPr>
            <w:r w:rsidRPr="00A53581">
              <w:t>2635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4F9B751B" w14:textId="77777777" w:rsidR="00203F72" w:rsidRPr="00A53581" w:rsidRDefault="00203F72" w:rsidP="00993D73">
            <w:pPr>
              <w:jc w:val="center"/>
            </w:pPr>
            <w:r w:rsidRPr="00A53581">
              <w:t>122</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9E86ED1" w14:textId="77777777" w:rsidR="00203F72" w:rsidRPr="00A53581" w:rsidRDefault="00203F72" w:rsidP="00993D73">
            <w:pPr>
              <w:jc w:val="center"/>
            </w:pPr>
            <w:r w:rsidRPr="00A53581">
              <w:t>4.6</w:t>
            </w:r>
            <w:r w:rsidRPr="00A53581">
              <w:rPr>
                <w:b/>
              </w:rPr>
              <w:t>%</w:t>
            </w:r>
          </w:p>
        </w:tc>
      </w:tr>
      <w:tr w:rsidR="00203F72" w:rsidRPr="00A53581" w14:paraId="0AFFBF4C"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08EAC94C" w14:textId="77777777" w:rsidR="00203F72" w:rsidRPr="00A53581" w:rsidRDefault="00203F72" w:rsidP="00993D73">
            <w:pPr>
              <w:jc w:val="center"/>
            </w:pPr>
            <w:r w:rsidRPr="00A53581">
              <w:t>1901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323912F2" w14:textId="77777777" w:rsidR="00203F72" w:rsidRPr="00A53581" w:rsidRDefault="00203F72" w:rsidP="00993D73">
            <w:pPr>
              <w:jc w:val="center"/>
            </w:pPr>
            <w:r w:rsidRPr="00A53581">
              <w:t>3199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52989971" w14:textId="77777777" w:rsidR="00203F72" w:rsidRPr="00A53581" w:rsidRDefault="00203F72" w:rsidP="00993D73">
            <w:pPr>
              <w:jc w:val="center"/>
            </w:pPr>
            <w:r w:rsidRPr="00A53581">
              <w:t>214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343617D" w14:textId="77777777" w:rsidR="00203F72" w:rsidRPr="00A53581" w:rsidRDefault="00203F72" w:rsidP="00993D73">
            <w:pPr>
              <w:jc w:val="center"/>
            </w:pPr>
            <w:r w:rsidRPr="00A53581">
              <w:t>6.7</w:t>
            </w:r>
            <w:r w:rsidRPr="00A53581">
              <w:rPr>
                <w:b/>
              </w:rPr>
              <w:t>%</w:t>
            </w:r>
          </w:p>
        </w:tc>
      </w:tr>
      <w:tr w:rsidR="00203F72" w:rsidRPr="00A53581" w14:paraId="050B5AE0"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105A73A5" w14:textId="77777777" w:rsidR="00203F72" w:rsidRPr="00A53581" w:rsidRDefault="00203F72" w:rsidP="00993D73">
            <w:pPr>
              <w:jc w:val="center"/>
            </w:pPr>
            <w:r w:rsidRPr="00A53581">
              <w:t>1902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79133AC8" w14:textId="77777777" w:rsidR="00203F72" w:rsidRPr="00A53581" w:rsidRDefault="00203F72" w:rsidP="00993D73">
            <w:pPr>
              <w:jc w:val="center"/>
            </w:pPr>
            <w:r w:rsidRPr="00A53581">
              <w:t>3583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71C3138C" w14:textId="77777777" w:rsidR="00203F72" w:rsidRPr="00A53581" w:rsidRDefault="00203F72" w:rsidP="00993D73">
            <w:pPr>
              <w:jc w:val="center"/>
            </w:pPr>
            <w:r w:rsidRPr="00A53581">
              <w:t>273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3D1DCAA" w14:textId="77777777" w:rsidR="00203F72" w:rsidRPr="00A53581" w:rsidRDefault="00203F72" w:rsidP="00993D73">
            <w:pPr>
              <w:jc w:val="center"/>
            </w:pPr>
            <w:r w:rsidRPr="00A53581">
              <w:t>7.6</w:t>
            </w:r>
            <w:r w:rsidRPr="00A53581">
              <w:rPr>
                <w:b/>
              </w:rPr>
              <w:t>%</w:t>
            </w:r>
          </w:p>
        </w:tc>
      </w:tr>
      <w:tr w:rsidR="00203F72" w:rsidRPr="00A53581" w14:paraId="4FDF5398"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1FA9F32E" w14:textId="77777777" w:rsidR="00203F72" w:rsidRPr="00A53581" w:rsidRDefault="00203F72" w:rsidP="00993D73">
            <w:pPr>
              <w:jc w:val="center"/>
            </w:pPr>
            <w:r w:rsidRPr="00A53581">
              <w:t>1903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55E30134" w14:textId="77777777" w:rsidR="00203F72" w:rsidRPr="00A53581" w:rsidRDefault="00203F72" w:rsidP="00993D73">
            <w:pPr>
              <w:jc w:val="center"/>
            </w:pPr>
            <w:r w:rsidRPr="00A53581">
              <w:t>3248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00B20B66" w14:textId="77777777" w:rsidR="00203F72" w:rsidRPr="00A53581" w:rsidRDefault="00203F72" w:rsidP="00993D73">
            <w:pPr>
              <w:jc w:val="center"/>
            </w:pPr>
            <w:r w:rsidRPr="00A53581">
              <w:t>227</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96C03EC" w14:textId="77777777" w:rsidR="00203F72" w:rsidRPr="00A53581" w:rsidRDefault="00203F72" w:rsidP="00993D73">
            <w:pPr>
              <w:jc w:val="center"/>
            </w:pPr>
            <w:r w:rsidRPr="00A53581">
              <w:t>7.0</w:t>
            </w:r>
            <w:r w:rsidRPr="00A53581">
              <w:rPr>
                <w:b/>
              </w:rPr>
              <w:t>%</w:t>
            </w:r>
          </w:p>
        </w:tc>
      </w:tr>
      <w:tr w:rsidR="00203F72" w:rsidRPr="00A53581" w14:paraId="7099E148"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4596D1E0" w14:textId="77777777" w:rsidR="00203F72" w:rsidRPr="00A53581" w:rsidRDefault="00203F72" w:rsidP="00993D73">
            <w:pPr>
              <w:jc w:val="center"/>
            </w:pPr>
            <w:r w:rsidRPr="00A53581">
              <w:t>1904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5FE482E" w14:textId="77777777" w:rsidR="00203F72" w:rsidRPr="00A53581" w:rsidRDefault="00203F72" w:rsidP="00993D73">
            <w:pPr>
              <w:jc w:val="center"/>
            </w:pPr>
            <w:r w:rsidRPr="00A53581">
              <w:t>2914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4723E354" w14:textId="77777777" w:rsidR="00203F72" w:rsidRPr="00A53581" w:rsidRDefault="00203F72" w:rsidP="00993D73">
            <w:pPr>
              <w:jc w:val="center"/>
            </w:pPr>
            <w:r w:rsidRPr="00A53581">
              <w:t>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6D4E675" w14:textId="77777777" w:rsidR="00203F72" w:rsidRPr="00A53581" w:rsidRDefault="00203F72" w:rsidP="00993D73">
            <w:pPr>
              <w:jc w:val="center"/>
            </w:pPr>
            <w:r w:rsidRPr="00A53581">
              <w:t>1.3</w:t>
            </w:r>
            <w:r w:rsidRPr="00A53581">
              <w:rPr>
                <w:b/>
              </w:rPr>
              <w:t>%</w:t>
            </w:r>
          </w:p>
        </w:tc>
      </w:tr>
      <w:tr w:rsidR="00203F72" w:rsidRPr="00A53581" w14:paraId="0731DE8F"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5A646BA2" w14:textId="77777777" w:rsidR="00203F72" w:rsidRPr="00A53581" w:rsidRDefault="00203F72" w:rsidP="00993D73">
            <w:pPr>
              <w:jc w:val="center"/>
            </w:pPr>
            <w:r w:rsidRPr="00A53581">
              <w:t>1905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59821605" w14:textId="77777777" w:rsidR="00203F72" w:rsidRPr="00A53581" w:rsidRDefault="00203F72" w:rsidP="00993D73">
            <w:pPr>
              <w:jc w:val="center"/>
            </w:pPr>
            <w:r w:rsidRPr="00A53581">
              <w:t>2902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6E93946E" w14:textId="77777777" w:rsidR="00203F72" w:rsidRPr="00A53581" w:rsidRDefault="00203F72" w:rsidP="00993D73">
            <w:pPr>
              <w:jc w:val="center"/>
            </w:pPr>
            <w:r w:rsidRPr="00A53581">
              <w:t>27</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EB23F44" w14:textId="77777777" w:rsidR="00203F72" w:rsidRPr="00A53581" w:rsidRDefault="00203F72" w:rsidP="00993D73">
            <w:pPr>
              <w:jc w:val="center"/>
            </w:pPr>
            <w:r w:rsidRPr="00A53581">
              <w:t>0.9</w:t>
            </w:r>
            <w:r w:rsidRPr="00A53581">
              <w:rPr>
                <w:b/>
              </w:rPr>
              <w:t>%</w:t>
            </w:r>
          </w:p>
        </w:tc>
      </w:tr>
      <w:tr w:rsidR="00203F72" w:rsidRPr="00A53581" w14:paraId="609CAD66"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1F33D909" w14:textId="77777777" w:rsidR="00203F72" w:rsidRPr="00A53581" w:rsidRDefault="00203F72" w:rsidP="00993D73">
            <w:pPr>
              <w:jc w:val="center"/>
            </w:pPr>
            <w:r w:rsidRPr="00A53581">
              <w:t>1906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2319F3E1" w14:textId="77777777" w:rsidR="00203F72" w:rsidRPr="00A53581" w:rsidRDefault="00203F72" w:rsidP="00993D73">
            <w:pPr>
              <w:jc w:val="center"/>
            </w:pPr>
            <w:r w:rsidRPr="00A53581">
              <w:t>2815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35ADCEC3" w14:textId="77777777" w:rsidR="00203F72" w:rsidRPr="00A53581" w:rsidRDefault="00203F72" w:rsidP="00993D73">
            <w:pPr>
              <w:jc w:val="center"/>
            </w:pPr>
            <w:r w:rsidRPr="00A53581">
              <w:t>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7E1E861" w14:textId="77777777" w:rsidR="00203F72" w:rsidRPr="00A53581" w:rsidRDefault="00203F72" w:rsidP="00993D73">
            <w:pPr>
              <w:jc w:val="center"/>
            </w:pPr>
            <w:r w:rsidRPr="00A53581">
              <w:t>1.1</w:t>
            </w:r>
            <w:r w:rsidRPr="00A53581">
              <w:rPr>
                <w:b/>
              </w:rPr>
              <w:t>%</w:t>
            </w:r>
          </w:p>
        </w:tc>
      </w:tr>
      <w:tr w:rsidR="00203F72" w:rsidRPr="00A53581" w14:paraId="7C0320C4"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75B50BED" w14:textId="77777777" w:rsidR="00203F72" w:rsidRPr="00A53581" w:rsidRDefault="00203F72" w:rsidP="00993D73">
            <w:pPr>
              <w:jc w:val="center"/>
            </w:pPr>
            <w:r w:rsidRPr="00A53581">
              <w:t>1907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3D977630" w14:textId="77777777" w:rsidR="00203F72" w:rsidRPr="00A53581" w:rsidRDefault="00203F72" w:rsidP="00993D73">
            <w:pPr>
              <w:jc w:val="center"/>
            </w:pPr>
            <w:r w:rsidRPr="00A53581">
              <w:t>2953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769DE946" w14:textId="77777777" w:rsidR="00203F72" w:rsidRPr="00A53581" w:rsidRDefault="00203F72" w:rsidP="00993D73">
            <w:pPr>
              <w:jc w:val="center"/>
            </w:pPr>
            <w:r w:rsidRPr="00A53581">
              <w:t>74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30B1A78" w14:textId="77777777" w:rsidR="00203F72" w:rsidRPr="00A53581" w:rsidRDefault="00203F72" w:rsidP="00993D73">
            <w:pPr>
              <w:jc w:val="center"/>
            </w:pPr>
            <w:r w:rsidRPr="00A53581">
              <w:t>2.5</w:t>
            </w:r>
            <w:r w:rsidRPr="00A53581">
              <w:rPr>
                <w:b/>
              </w:rPr>
              <w:t>%</w:t>
            </w:r>
          </w:p>
        </w:tc>
      </w:tr>
      <w:tr w:rsidR="00203F72" w:rsidRPr="00A53581" w14:paraId="69C65F72"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1F0D01BB" w14:textId="77777777" w:rsidR="00203F72" w:rsidRPr="00A53581" w:rsidRDefault="00203F72" w:rsidP="00993D73">
            <w:pPr>
              <w:jc w:val="center"/>
            </w:pPr>
            <w:r w:rsidRPr="00A53581">
              <w:t>1908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51082698" w14:textId="77777777" w:rsidR="00203F72" w:rsidRPr="00A53581" w:rsidRDefault="00203F72" w:rsidP="00993D73">
            <w:pPr>
              <w:jc w:val="center"/>
            </w:pPr>
            <w:r w:rsidRPr="00A53581">
              <w:t>2778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40BD6FE2" w14:textId="77777777" w:rsidR="00203F72" w:rsidRPr="00A53581" w:rsidRDefault="00203F72" w:rsidP="00993D73">
            <w:pPr>
              <w:jc w:val="center"/>
            </w:pPr>
            <w:r w:rsidRPr="00A53581">
              <w:t>47</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E7A02B3" w14:textId="77777777" w:rsidR="00203F72" w:rsidRPr="00A53581" w:rsidRDefault="00203F72" w:rsidP="00993D73">
            <w:pPr>
              <w:jc w:val="center"/>
            </w:pPr>
            <w:r w:rsidRPr="00A53581">
              <w:t>1.7</w:t>
            </w:r>
            <w:r w:rsidRPr="00A53581">
              <w:rPr>
                <w:b/>
              </w:rPr>
              <w:t>%</w:t>
            </w:r>
          </w:p>
        </w:tc>
      </w:tr>
      <w:tr w:rsidR="00203F72" w:rsidRPr="00A53581" w14:paraId="23792C93"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7A48911F" w14:textId="77777777" w:rsidR="00203F72" w:rsidRPr="00A53581" w:rsidRDefault="00203F72" w:rsidP="00993D73">
            <w:pPr>
              <w:jc w:val="center"/>
            </w:pPr>
            <w:r w:rsidRPr="00A53581">
              <w:t>1909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CF44401" w14:textId="77777777" w:rsidR="00203F72" w:rsidRPr="00A53581" w:rsidRDefault="00203F72" w:rsidP="00993D73">
            <w:pPr>
              <w:jc w:val="center"/>
            </w:pPr>
            <w:r w:rsidRPr="00A53581">
              <w:t>2958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51E1AA03" w14:textId="77777777" w:rsidR="00203F72" w:rsidRPr="00A53581" w:rsidRDefault="00203F72" w:rsidP="00993D73">
            <w:pPr>
              <w:jc w:val="center"/>
            </w:pPr>
            <w:r w:rsidRPr="00A53581">
              <w:t>54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9441226" w14:textId="77777777" w:rsidR="00203F72" w:rsidRPr="00A53581" w:rsidRDefault="00203F72" w:rsidP="00993D73">
            <w:pPr>
              <w:jc w:val="center"/>
            </w:pPr>
            <w:r w:rsidRPr="00A53581">
              <w:t>1.8</w:t>
            </w:r>
            <w:r w:rsidRPr="00A53581">
              <w:rPr>
                <w:b/>
              </w:rPr>
              <w:t>%</w:t>
            </w:r>
          </w:p>
        </w:tc>
      </w:tr>
      <w:tr w:rsidR="00203F72" w:rsidRPr="00A53581" w14:paraId="34028E05"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7AAFC509" w14:textId="77777777" w:rsidR="00203F72" w:rsidRPr="00A53581" w:rsidRDefault="00203F72" w:rsidP="00993D73">
            <w:pPr>
              <w:jc w:val="center"/>
            </w:pPr>
            <w:r w:rsidRPr="00A53581">
              <w:t>1910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426EEF8" w14:textId="77777777" w:rsidR="00203F72" w:rsidRPr="00A53581" w:rsidRDefault="00203F72" w:rsidP="00993D73">
            <w:pPr>
              <w:jc w:val="center"/>
            </w:pPr>
            <w:r w:rsidRPr="00A53581">
              <w:t>2944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24AA6DF2" w14:textId="77777777" w:rsidR="00203F72" w:rsidRPr="00A53581" w:rsidRDefault="00203F72" w:rsidP="00993D73">
            <w:pPr>
              <w:jc w:val="center"/>
            </w:pPr>
            <w:r w:rsidRPr="00A53581">
              <w:t>98</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948AC30" w14:textId="77777777" w:rsidR="00203F72" w:rsidRPr="00A53581" w:rsidRDefault="00203F72" w:rsidP="00993D73">
            <w:pPr>
              <w:jc w:val="center"/>
            </w:pPr>
            <w:r w:rsidRPr="00A53581">
              <w:t>3.3</w:t>
            </w:r>
            <w:r w:rsidRPr="00A53581">
              <w:rPr>
                <w:b/>
              </w:rPr>
              <w:t>%</w:t>
            </w:r>
          </w:p>
        </w:tc>
      </w:tr>
      <w:tr w:rsidR="00203F72" w:rsidRPr="00A53581" w14:paraId="4C40DB50"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610F34D3" w14:textId="77777777" w:rsidR="00203F72" w:rsidRPr="00A53581" w:rsidRDefault="00203F72" w:rsidP="00993D73">
            <w:pPr>
              <w:jc w:val="center"/>
            </w:pPr>
            <w:r w:rsidRPr="00A53581">
              <w:t>1911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1F6A68C8" w14:textId="77777777" w:rsidR="00203F72" w:rsidRPr="00A53581" w:rsidRDefault="00203F72" w:rsidP="00993D73">
            <w:pPr>
              <w:jc w:val="center"/>
            </w:pPr>
            <w:r w:rsidRPr="00A53581">
              <w:t>2833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50428A3C" w14:textId="77777777" w:rsidR="00203F72" w:rsidRPr="00A53581" w:rsidRDefault="00203F72" w:rsidP="00993D73">
            <w:pPr>
              <w:jc w:val="center"/>
            </w:pPr>
            <w:r w:rsidRPr="00A53581">
              <w:t>105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3BE07E0" w14:textId="77777777" w:rsidR="00203F72" w:rsidRPr="00A53581" w:rsidRDefault="00203F72" w:rsidP="00993D73">
            <w:pPr>
              <w:jc w:val="center"/>
            </w:pPr>
            <w:r w:rsidRPr="00A53581">
              <w:t>3.7</w:t>
            </w:r>
            <w:r w:rsidRPr="00A53581">
              <w:rPr>
                <w:b/>
              </w:rPr>
              <w:t>%</w:t>
            </w:r>
          </w:p>
        </w:tc>
      </w:tr>
      <w:tr w:rsidR="00203F72" w:rsidRPr="00A53581" w14:paraId="4FD74A71"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6F2A7C14" w14:textId="77777777" w:rsidR="00203F72" w:rsidRPr="00A53581" w:rsidRDefault="00203F72" w:rsidP="00993D73">
            <w:pPr>
              <w:jc w:val="center"/>
            </w:pPr>
            <w:r w:rsidRPr="00A53581">
              <w:t>1912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BE6FA4F" w14:textId="77777777" w:rsidR="00203F72" w:rsidRPr="00A53581" w:rsidRDefault="00203F72" w:rsidP="00993D73">
            <w:pPr>
              <w:jc w:val="center"/>
            </w:pPr>
            <w:r w:rsidRPr="00A53581">
              <w:t>2278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771D8A07" w14:textId="77777777" w:rsidR="00203F72" w:rsidRPr="00A53581" w:rsidRDefault="00203F72" w:rsidP="00993D73">
            <w:pPr>
              <w:jc w:val="center"/>
            </w:pPr>
            <w:r w:rsidRPr="00A53581">
              <w:t>130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3452CDF" w14:textId="77777777" w:rsidR="00203F72" w:rsidRPr="00A53581" w:rsidRDefault="00203F72" w:rsidP="00993D73">
            <w:pPr>
              <w:jc w:val="center"/>
            </w:pPr>
            <w:r w:rsidRPr="00A53581">
              <w:t>5.7</w:t>
            </w:r>
            <w:r w:rsidRPr="00A53581">
              <w:rPr>
                <w:b/>
              </w:rPr>
              <w:t>%</w:t>
            </w:r>
          </w:p>
        </w:tc>
      </w:tr>
      <w:tr w:rsidR="00203F72" w:rsidRPr="00A53581" w14:paraId="7C908AD9"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114FAC51" w14:textId="77777777" w:rsidR="00203F72" w:rsidRPr="00A53581" w:rsidRDefault="00203F72" w:rsidP="00993D73">
            <w:pPr>
              <w:jc w:val="center"/>
            </w:pPr>
            <w:r w:rsidRPr="00A53581">
              <w:t>1913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38925C0B" w14:textId="77777777" w:rsidR="00203F72" w:rsidRPr="00A53581" w:rsidRDefault="00203F72" w:rsidP="00993D73">
            <w:pPr>
              <w:jc w:val="center"/>
            </w:pPr>
            <w:r w:rsidRPr="00A53581">
              <w:t>2102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61E1E9CF" w14:textId="77777777" w:rsidR="00203F72" w:rsidRPr="00A53581" w:rsidRDefault="00203F72" w:rsidP="00993D73">
            <w:pPr>
              <w:jc w:val="center"/>
            </w:pPr>
            <w:r w:rsidRPr="00A53581">
              <w:t>116</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2D3A5E8" w14:textId="77777777" w:rsidR="00203F72" w:rsidRPr="00A53581" w:rsidRDefault="00203F72" w:rsidP="00993D73">
            <w:pPr>
              <w:jc w:val="center"/>
            </w:pPr>
            <w:r w:rsidRPr="00A53581">
              <w:t>5.5</w:t>
            </w:r>
            <w:r w:rsidRPr="00A53581">
              <w:rPr>
                <w:b/>
              </w:rPr>
              <w:t>%</w:t>
            </w:r>
          </w:p>
        </w:tc>
      </w:tr>
      <w:tr w:rsidR="00203F72" w:rsidRPr="00A53581" w14:paraId="62E4A33D"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502B914E" w14:textId="77777777" w:rsidR="00203F72" w:rsidRPr="00A53581" w:rsidRDefault="00203F72" w:rsidP="00993D73">
            <w:pPr>
              <w:jc w:val="center"/>
            </w:pPr>
            <w:r w:rsidRPr="00A53581">
              <w:t>1914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32723B86" w14:textId="77777777" w:rsidR="00203F72" w:rsidRPr="00A53581" w:rsidRDefault="00203F72" w:rsidP="00993D73">
            <w:pPr>
              <w:jc w:val="center"/>
            </w:pPr>
            <w:r w:rsidRPr="00A53581">
              <w:t>1986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63624384" w14:textId="77777777" w:rsidR="00203F72" w:rsidRPr="00A53581" w:rsidRDefault="00203F72" w:rsidP="00993D73">
            <w:pPr>
              <w:jc w:val="center"/>
            </w:pPr>
            <w:r w:rsidRPr="00A53581">
              <w:t>93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BC515DD" w14:textId="77777777" w:rsidR="00203F72" w:rsidRPr="00A53581" w:rsidRDefault="00203F72" w:rsidP="00993D73">
            <w:pPr>
              <w:jc w:val="center"/>
            </w:pPr>
            <w:r w:rsidRPr="00A53581">
              <w:t>4.7</w:t>
            </w:r>
            <w:r w:rsidRPr="00A53581">
              <w:rPr>
                <w:b/>
              </w:rPr>
              <w:t>%</w:t>
            </w:r>
          </w:p>
        </w:tc>
      </w:tr>
      <w:tr w:rsidR="00203F72" w:rsidRPr="00A53581" w14:paraId="2D1E8000"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785740D6" w14:textId="77777777" w:rsidR="00203F72" w:rsidRPr="00A53581" w:rsidRDefault="00203F72" w:rsidP="00993D73">
            <w:pPr>
              <w:jc w:val="center"/>
            </w:pPr>
            <w:r w:rsidRPr="00A53581">
              <w:t>1915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65F3E3D" w14:textId="77777777" w:rsidR="00203F72" w:rsidRPr="00A53581" w:rsidRDefault="00203F72" w:rsidP="00993D73">
            <w:pPr>
              <w:jc w:val="center"/>
            </w:pPr>
            <w:r w:rsidRPr="00A53581">
              <w:t>2951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4EE38499" w14:textId="77777777" w:rsidR="00203F72" w:rsidRPr="00A53581" w:rsidRDefault="00203F72" w:rsidP="00993D73">
            <w:pPr>
              <w:jc w:val="center"/>
            </w:pPr>
            <w:r w:rsidRPr="00A53581">
              <w:t>78</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962C4A4" w14:textId="77777777" w:rsidR="00203F72" w:rsidRPr="00A53581" w:rsidRDefault="00203F72" w:rsidP="00993D73">
            <w:pPr>
              <w:jc w:val="center"/>
            </w:pPr>
            <w:r w:rsidRPr="00A53581">
              <w:t>2.6</w:t>
            </w:r>
            <w:r w:rsidRPr="00A53581">
              <w:rPr>
                <w:b/>
              </w:rPr>
              <w:t>%</w:t>
            </w:r>
          </w:p>
        </w:tc>
      </w:tr>
      <w:tr w:rsidR="00203F72" w:rsidRPr="00A53581" w14:paraId="60D368DD"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0621513A" w14:textId="77777777" w:rsidR="00203F72" w:rsidRPr="00A53581" w:rsidRDefault="00203F72" w:rsidP="00993D73">
            <w:pPr>
              <w:jc w:val="center"/>
            </w:pPr>
            <w:r w:rsidRPr="00A53581">
              <w:t>1916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735CDA6" w14:textId="77777777" w:rsidR="00203F72" w:rsidRPr="00A53581" w:rsidRDefault="00203F72" w:rsidP="00993D73">
            <w:pPr>
              <w:jc w:val="center"/>
            </w:pPr>
            <w:r w:rsidRPr="00A53581">
              <w:t>2931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761F4041" w14:textId="77777777" w:rsidR="00203F72" w:rsidRPr="00A53581" w:rsidRDefault="00203F72" w:rsidP="00993D73">
            <w:pPr>
              <w:jc w:val="center"/>
            </w:pPr>
            <w:r w:rsidRPr="00A53581">
              <w:t>95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7F0ED7C" w14:textId="77777777" w:rsidR="00203F72" w:rsidRPr="00A53581" w:rsidRDefault="00203F72" w:rsidP="00993D73">
            <w:pPr>
              <w:jc w:val="center"/>
            </w:pPr>
            <w:r w:rsidRPr="00A53581">
              <w:t>3.2</w:t>
            </w:r>
            <w:r w:rsidRPr="00A53581">
              <w:rPr>
                <w:b/>
              </w:rPr>
              <w:t>%</w:t>
            </w:r>
          </w:p>
        </w:tc>
      </w:tr>
      <w:tr w:rsidR="00203F72" w:rsidRPr="00A53581" w14:paraId="42E559E5"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296AD6AE" w14:textId="77777777" w:rsidR="00203F72" w:rsidRPr="00A53581" w:rsidRDefault="00203F72" w:rsidP="00993D73">
            <w:pPr>
              <w:jc w:val="center"/>
            </w:pPr>
            <w:r w:rsidRPr="00A53581">
              <w:t>1917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02BA9660" w14:textId="77777777" w:rsidR="00203F72" w:rsidRPr="00A53581" w:rsidRDefault="00203F72" w:rsidP="00993D73">
            <w:pPr>
              <w:jc w:val="center"/>
            </w:pPr>
            <w:r w:rsidRPr="00A53581">
              <w:t>2965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4B278717" w14:textId="77777777" w:rsidR="00203F72" w:rsidRPr="00A53581" w:rsidRDefault="00203F72" w:rsidP="00993D73">
            <w:pPr>
              <w:jc w:val="center"/>
            </w:pPr>
            <w:r w:rsidRPr="00A53581">
              <w:t>88</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6764943" w14:textId="77777777" w:rsidR="00203F72" w:rsidRPr="00A53581" w:rsidRDefault="00203F72" w:rsidP="00993D73">
            <w:pPr>
              <w:jc w:val="center"/>
            </w:pPr>
            <w:r w:rsidRPr="00A53581">
              <w:t>3.0</w:t>
            </w:r>
            <w:r w:rsidRPr="00A53581">
              <w:rPr>
                <w:b/>
              </w:rPr>
              <w:t>%</w:t>
            </w:r>
          </w:p>
        </w:tc>
      </w:tr>
      <w:tr w:rsidR="00203F72" w:rsidRPr="00A53581" w14:paraId="2D093592"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73B675C3" w14:textId="77777777" w:rsidR="00203F72" w:rsidRPr="00A53581" w:rsidRDefault="00203F72" w:rsidP="00993D73">
            <w:pPr>
              <w:jc w:val="center"/>
            </w:pPr>
            <w:r w:rsidRPr="00A53581">
              <w:t>1918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39D0B64C" w14:textId="77777777" w:rsidR="00203F72" w:rsidRPr="00A53581" w:rsidRDefault="00203F72" w:rsidP="00993D73">
            <w:pPr>
              <w:jc w:val="center"/>
            </w:pPr>
            <w:r w:rsidRPr="00A53581">
              <w:t>3161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16EE5036" w14:textId="77777777" w:rsidR="00203F72" w:rsidRPr="00A53581" w:rsidRDefault="00203F72" w:rsidP="00993D73">
            <w:pPr>
              <w:jc w:val="center"/>
            </w:pPr>
            <w:r w:rsidRPr="00A53581">
              <w:t>69</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F87EFD9" w14:textId="77777777" w:rsidR="00203F72" w:rsidRPr="00A53581" w:rsidRDefault="00203F72" w:rsidP="00993D73">
            <w:pPr>
              <w:jc w:val="center"/>
            </w:pPr>
            <w:r w:rsidRPr="00A53581">
              <w:t>2.2</w:t>
            </w:r>
            <w:r w:rsidRPr="00A53581">
              <w:rPr>
                <w:b/>
              </w:rPr>
              <w:t>%</w:t>
            </w:r>
          </w:p>
        </w:tc>
      </w:tr>
      <w:tr w:rsidR="00203F72" w:rsidRPr="00A53581" w14:paraId="7306D85F"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5558DE6E" w14:textId="77777777" w:rsidR="00203F72" w:rsidRPr="00A53581" w:rsidRDefault="00203F72" w:rsidP="00993D73">
            <w:pPr>
              <w:jc w:val="center"/>
            </w:pPr>
            <w:r w:rsidRPr="00A53581">
              <w:t>1919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D5A0B3C" w14:textId="77777777" w:rsidR="00203F72" w:rsidRPr="00A53581" w:rsidRDefault="00203F72" w:rsidP="00993D73">
            <w:pPr>
              <w:jc w:val="center"/>
            </w:pPr>
            <w:r w:rsidRPr="00A53581">
              <w:t>2998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126DDE82" w14:textId="77777777" w:rsidR="00203F72" w:rsidRPr="00A53581" w:rsidRDefault="00203F72" w:rsidP="00993D73">
            <w:pPr>
              <w:jc w:val="center"/>
            </w:pPr>
            <w:r w:rsidRPr="00A53581">
              <w:t>52</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BFDCF4F" w14:textId="77777777" w:rsidR="00203F72" w:rsidRPr="00A53581" w:rsidRDefault="00203F72" w:rsidP="00993D73">
            <w:pPr>
              <w:jc w:val="center"/>
            </w:pPr>
            <w:r w:rsidRPr="00A53581">
              <w:t>1.7</w:t>
            </w:r>
            <w:r w:rsidRPr="00A53581">
              <w:rPr>
                <w:b/>
              </w:rPr>
              <w:t>%</w:t>
            </w:r>
          </w:p>
        </w:tc>
      </w:tr>
      <w:tr w:rsidR="00203F72" w:rsidRPr="00A53581" w14:paraId="7B6969E8"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68A7AA12" w14:textId="77777777" w:rsidR="00203F72" w:rsidRPr="00A53581" w:rsidRDefault="00203F72" w:rsidP="00993D73">
            <w:pPr>
              <w:jc w:val="center"/>
            </w:pPr>
            <w:r w:rsidRPr="00A53581">
              <w:t>1920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03347498" w14:textId="77777777" w:rsidR="00203F72" w:rsidRPr="00A53581" w:rsidRDefault="00203F72" w:rsidP="00993D73">
            <w:pPr>
              <w:jc w:val="center"/>
            </w:pPr>
            <w:r w:rsidRPr="00A53581">
              <w:t>2698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0E69AEF5" w14:textId="77777777" w:rsidR="00203F72" w:rsidRPr="00A53581" w:rsidRDefault="00203F72" w:rsidP="00993D73">
            <w:pPr>
              <w:jc w:val="center"/>
            </w:pPr>
            <w:r w:rsidRPr="00A53581">
              <w:t>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769A847" w14:textId="77777777" w:rsidR="00203F72" w:rsidRPr="00A53581" w:rsidRDefault="00203F72" w:rsidP="00993D73">
            <w:pPr>
              <w:jc w:val="center"/>
            </w:pPr>
            <w:r w:rsidRPr="00A53581">
              <w:t>1.4</w:t>
            </w:r>
            <w:r w:rsidRPr="00A53581">
              <w:rPr>
                <w:b/>
              </w:rPr>
              <w:t>%</w:t>
            </w:r>
          </w:p>
        </w:tc>
      </w:tr>
      <w:tr w:rsidR="00203F72" w:rsidRPr="00A53581" w14:paraId="6E7EF098"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1610D960" w14:textId="77777777" w:rsidR="00203F72" w:rsidRPr="00A53581" w:rsidRDefault="00203F72" w:rsidP="00993D73">
            <w:pPr>
              <w:jc w:val="center"/>
            </w:pPr>
            <w:r w:rsidRPr="00A53581">
              <w:t>1921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1F700787" w14:textId="77777777" w:rsidR="00203F72" w:rsidRPr="00A53581" w:rsidRDefault="00203F72" w:rsidP="00993D73">
            <w:pPr>
              <w:jc w:val="center"/>
            </w:pPr>
            <w:r w:rsidRPr="00A53581">
              <w:t>2842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27DD7CBE" w14:textId="77777777" w:rsidR="00203F72" w:rsidRPr="00A53581" w:rsidRDefault="00203F72" w:rsidP="00993D73">
            <w:pPr>
              <w:jc w:val="center"/>
            </w:pPr>
            <w:r w:rsidRPr="00A53581">
              <w:t>67</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7074F6D" w14:textId="77777777" w:rsidR="00203F72" w:rsidRPr="00A53581" w:rsidRDefault="00203F72" w:rsidP="00993D73">
            <w:pPr>
              <w:jc w:val="center"/>
            </w:pPr>
            <w:r w:rsidRPr="00A53581">
              <w:t>2.3</w:t>
            </w:r>
            <w:r w:rsidRPr="00A53581">
              <w:rPr>
                <w:b/>
              </w:rPr>
              <w:t>%</w:t>
            </w:r>
          </w:p>
        </w:tc>
      </w:tr>
      <w:tr w:rsidR="00203F72" w:rsidRPr="00A53581" w14:paraId="26098C4A"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16E0FBEB" w14:textId="77777777" w:rsidR="00203F72" w:rsidRPr="00A53581" w:rsidRDefault="00203F72" w:rsidP="00993D73">
            <w:pPr>
              <w:jc w:val="center"/>
            </w:pPr>
            <w:r w:rsidRPr="00A53581">
              <w:t>1922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502D3439" w14:textId="77777777" w:rsidR="00203F72" w:rsidRPr="00A53581" w:rsidRDefault="00203F72" w:rsidP="00993D73">
            <w:pPr>
              <w:jc w:val="center"/>
            </w:pPr>
            <w:r w:rsidRPr="00A53581">
              <w:t>2469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71393DFA" w14:textId="77777777" w:rsidR="00203F72" w:rsidRPr="00A53581" w:rsidRDefault="00203F72" w:rsidP="00993D73">
            <w:pPr>
              <w:jc w:val="center"/>
            </w:pPr>
            <w:r w:rsidRPr="00A53581">
              <w:t>31</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C0BA6C4" w14:textId="77777777" w:rsidR="00203F72" w:rsidRPr="00A53581" w:rsidRDefault="00203F72" w:rsidP="00993D73">
            <w:pPr>
              <w:jc w:val="center"/>
            </w:pPr>
            <w:r w:rsidRPr="00A53581">
              <w:t>1.3</w:t>
            </w:r>
            <w:r w:rsidRPr="00A53581">
              <w:rPr>
                <w:b/>
              </w:rPr>
              <w:t>%</w:t>
            </w:r>
          </w:p>
        </w:tc>
      </w:tr>
      <w:tr w:rsidR="00203F72" w:rsidRPr="00A53581" w14:paraId="73CA59A3"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5757B99D" w14:textId="77777777" w:rsidR="00203F72" w:rsidRPr="00A53581" w:rsidRDefault="00203F72" w:rsidP="00993D73">
            <w:pPr>
              <w:jc w:val="center"/>
            </w:pPr>
            <w:r w:rsidRPr="00A53581">
              <w:t>1923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5B78A7DB" w14:textId="77777777" w:rsidR="00203F72" w:rsidRPr="00A53581" w:rsidRDefault="00203F72" w:rsidP="00993D73">
            <w:pPr>
              <w:jc w:val="center"/>
            </w:pPr>
            <w:r w:rsidRPr="00A53581">
              <w:t>2719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3ECC6502" w14:textId="77777777" w:rsidR="00203F72" w:rsidRPr="00A53581" w:rsidRDefault="00203F72" w:rsidP="00993D73">
            <w:pPr>
              <w:jc w:val="center"/>
            </w:pPr>
            <w:r w:rsidRPr="00A53581">
              <w:t>34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24BDF82" w14:textId="77777777" w:rsidR="00203F72" w:rsidRPr="00A53581" w:rsidRDefault="00203F72" w:rsidP="00993D73">
            <w:pPr>
              <w:jc w:val="center"/>
            </w:pPr>
            <w:r w:rsidRPr="00A53581">
              <w:t>1.3</w:t>
            </w:r>
            <w:r w:rsidRPr="00A53581">
              <w:rPr>
                <w:b/>
              </w:rPr>
              <w:t>%</w:t>
            </w:r>
          </w:p>
        </w:tc>
      </w:tr>
      <w:tr w:rsidR="00203F72" w:rsidRPr="00A53581" w14:paraId="4899C5FB"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34DDB322" w14:textId="77777777" w:rsidR="00203F72" w:rsidRPr="00A53581" w:rsidRDefault="00203F72" w:rsidP="00993D73">
            <w:pPr>
              <w:jc w:val="center"/>
            </w:pPr>
            <w:r w:rsidRPr="00A53581">
              <w:t>1924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382DEF00" w14:textId="77777777" w:rsidR="00203F72" w:rsidRPr="00A53581" w:rsidRDefault="00203F72" w:rsidP="00993D73">
            <w:pPr>
              <w:jc w:val="center"/>
            </w:pPr>
            <w:r w:rsidRPr="00A53581">
              <w:t>2418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5536B00F" w14:textId="77777777" w:rsidR="00203F72" w:rsidRPr="00A53581" w:rsidRDefault="00203F72" w:rsidP="00993D73">
            <w:pPr>
              <w:jc w:val="center"/>
            </w:pPr>
            <w:r w:rsidRPr="00A53581">
              <w:t>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E0D2038" w14:textId="77777777" w:rsidR="00203F72" w:rsidRPr="00A53581" w:rsidRDefault="00203F72" w:rsidP="00993D73">
            <w:pPr>
              <w:jc w:val="center"/>
            </w:pPr>
            <w:r w:rsidRPr="00A53581">
              <w:t>1.2</w:t>
            </w:r>
            <w:r w:rsidRPr="00A53581">
              <w:rPr>
                <w:b/>
              </w:rPr>
              <w:t>%</w:t>
            </w:r>
          </w:p>
        </w:tc>
      </w:tr>
      <w:tr w:rsidR="00203F72" w:rsidRPr="00A53581" w14:paraId="2CE79F9C"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4E4D0C85" w14:textId="77777777" w:rsidR="00203F72" w:rsidRPr="00A53581" w:rsidRDefault="00203F72" w:rsidP="00993D73">
            <w:pPr>
              <w:jc w:val="center"/>
            </w:pPr>
            <w:r w:rsidRPr="00A53581">
              <w:t>1925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7CE61817" w14:textId="77777777" w:rsidR="00203F72" w:rsidRPr="00A53581" w:rsidRDefault="00203F72" w:rsidP="00993D73">
            <w:pPr>
              <w:jc w:val="center"/>
            </w:pPr>
            <w:r w:rsidRPr="00A53581">
              <w:t>2674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22371907" w14:textId="77777777" w:rsidR="00203F72" w:rsidRPr="00A53581" w:rsidRDefault="00203F72" w:rsidP="00993D73">
            <w:pPr>
              <w:jc w:val="center"/>
            </w:pPr>
            <w:r w:rsidRPr="00A53581">
              <w:t>22</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6C7DFF6" w14:textId="77777777" w:rsidR="00203F72" w:rsidRPr="00A53581" w:rsidRDefault="00203F72" w:rsidP="00993D73">
            <w:pPr>
              <w:jc w:val="center"/>
            </w:pPr>
            <w:r w:rsidRPr="00A53581">
              <w:t>0.8</w:t>
            </w:r>
            <w:r w:rsidRPr="00A53581">
              <w:rPr>
                <w:b/>
              </w:rPr>
              <w:t>%</w:t>
            </w:r>
          </w:p>
        </w:tc>
      </w:tr>
      <w:tr w:rsidR="00203F72" w:rsidRPr="00A53581" w14:paraId="3BD97C49"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4CE2E2D6" w14:textId="77777777" w:rsidR="00203F72" w:rsidRPr="00A53581" w:rsidRDefault="00203F72" w:rsidP="00993D73">
            <w:pPr>
              <w:jc w:val="center"/>
            </w:pPr>
            <w:r w:rsidRPr="00A53581">
              <w:t>1926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37250A4D" w14:textId="77777777" w:rsidR="00203F72" w:rsidRPr="00A53581" w:rsidRDefault="00203F72" w:rsidP="00993D73">
            <w:pPr>
              <w:jc w:val="center"/>
            </w:pPr>
            <w:r w:rsidRPr="00A53581">
              <w:t>2871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23090EA8" w14:textId="77777777" w:rsidR="00203F72" w:rsidRPr="00A53581" w:rsidRDefault="00203F72" w:rsidP="00993D73">
            <w:pPr>
              <w:jc w:val="center"/>
            </w:pPr>
            <w:r w:rsidRPr="00A53581">
              <w:t>44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D83FEFA" w14:textId="77777777" w:rsidR="00203F72" w:rsidRPr="00A53581" w:rsidRDefault="00203F72" w:rsidP="00993D73">
            <w:pPr>
              <w:jc w:val="center"/>
            </w:pPr>
            <w:r w:rsidRPr="00A53581">
              <w:t>1.5</w:t>
            </w:r>
            <w:r w:rsidRPr="00A53581">
              <w:rPr>
                <w:b/>
              </w:rPr>
              <w:t>%</w:t>
            </w:r>
          </w:p>
        </w:tc>
      </w:tr>
      <w:tr w:rsidR="00203F72" w:rsidRPr="00A53581" w14:paraId="53B28C65"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2181D097" w14:textId="77777777" w:rsidR="00203F72" w:rsidRPr="00A53581" w:rsidRDefault="00203F72" w:rsidP="00993D73">
            <w:pPr>
              <w:jc w:val="center"/>
            </w:pPr>
            <w:r w:rsidRPr="00A53581">
              <w:t>1927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0C2C030E" w14:textId="77777777" w:rsidR="00203F72" w:rsidRPr="00A53581" w:rsidRDefault="00203F72" w:rsidP="00993D73">
            <w:pPr>
              <w:jc w:val="center"/>
            </w:pPr>
            <w:r w:rsidRPr="00A53581">
              <w:t>2622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0F7DED88" w14:textId="77777777" w:rsidR="00203F72" w:rsidRPr="00A53581" w:rsidRDefault="00203F72" w:rsidP="00993D73">
            <w:pPr>
              <w:jc w:val="center"/>
            </w:pPr>
            <w:r w:rsidRPr="00A53581">
              <w:t>44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D0E2BC8" w14:textId="77777777" w:rsidR="00203F72" w:rsidRPr="00A53581" w:rsidRDefault="00203F72" w:rsidP="00993D73">
            <w:pPr>
              <w:jc w:val="center"/>
            </w:pPr>
            <w:r w:rsidRPr="00A53581">
              <w:t>1.7</w:t>
            </w:r>
            <w:r w:rsidRPr="00A53581">
              <w:rPr>
                <w:b/>
              </w:rPr>
              <w:t>%</w:t>
            </w:r>
          </w:p>
        </w:tc>
      </w:tr>
      <w:tr w:rsidR="00203F72" w:rsidRPr="00A53581" w14:paraId="5CE3CDBA"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03C0D889" w14:textId="77777777" w:rsidR="00203F72" w:rsidRPr="00A53581" w:rsidRDefault="00203F72" w:rsidP="00993D73">
            <w:pPr>
              <w:jc w:val="center"/>
            </w:pPr>
            <w:r w:rsidRPr="00A53581">
              <w:t>1928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183FAB15" w14:textId="77777777" w:rsidR="00203F72" w:rsidRPr="00A53581" w:rsidRDefault="00203F72" w:rsidP="00993D73">
            <w:pPr>
              <w:jc w:val="center"/>
            </w:pPr>
            <w:r w:rsidRPr="00A53581">
              <w:t>2492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5D92F7A7" w14:textId="77777777" w:rsidR="00203F72" w:rsidRPr="00A53581" w:rsidRDefault="00203F72" w:rsidP="00993D73">
            <w:pPr>
              <w:jc w:val="center"/>
            </w:pPr>
            <w:r w:rsidRPr="00A53581">
              <w:t>32</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A33B641" w14:textId="77777777" w:rsidR="00203F72" w:rsidRPr="00A53581" w:rsidRDefault="00203F72" w:rsidP="00993D73">
            <w:pPr>
              <w:jc w:val="center"/>
            </w:pPr>
            <w:r w:rsidRPr="00A53581">
              <w:t>1.3</w:t>
            </w:r>
            <w:r w:rsidRPr="00A53581">
              <w:rPr>
                <w:b/>
              </w:rPr>
              <w:t>%</w:t>
            </w:r>
          </w:p>
        </w:tc>
      </w:tr>
      <w:tr w:rsidR="00203F72" w:rsidRPr="00A53581" w14:paraId="7FB0CF14"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2A584AEA" w14:textId="77777777" w:rsidR="00203F72" w:rsidRPr="00A53581" w:rsidRDefault="00203F72" w:rsidP="00993D73">
            <w:pPr>
              <w:jc w:val="center"/>
            </w:pPr>
            <w:r w:rsidRPr="00A53581">
              <w:t>1929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183EAD88" w14:textId="77777777" w:rsidR="00203F72" w:rsidRPr="00A53581" w:rsidRDefault="00203F72" w:rsidP="00993D73">
            <w:pPr>
              <w:jc w:val="center"/>
            </w:pPr>
            <w:r w:rsidRPr="00A53581">
              <w:t>2786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3793E890" w14:textId="77777777" w:rsidR="00203F72" w:rsidRPr="00A53581" w:rsidRDefault="00203F72" w:rsidP="00993D73">
            <w:pPr>
              <w:jc w:val="center"/>
            </w:pPr>
            <w:r w:rsidRPr="00A53581">
              <w:t>125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04DB1F5" w14:textId="77777777" w:rsidR="00203F72" w:rsidRPr="00A53581" w:rsidRDefault="00203F72" w:rsidP="00993D73">
            <w:pPr>
              <w:jc w:val="center"/>
            </w:pPr>
            <w:r w:rsidRPr="00A53581">
              <w:t>4.5</w:t>
            </w:r>
            <w:r w:rsidRPr="00A53581">
              <w:rPr>
                <w:b/>
              </w:rPr>
              <w:t>%</w:t>
            </w:r>
          </w:p>
        </w:tc>
      </w:tr>
      <w:tr w:rsidR="00203F72" w:rsidRPr="00A53581" w14:paraId="646EC9AE"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3D05329E" w14:textId="77777777" w:rsidR="00203F72" w:rsidRPr="00A53581" w:rsidRDefault="00203F72" w:rsidP="00993D73">
            <w:pPr>
              <w:jc w:val="center"/>
            </w:pPr>
            <w:r w:rsidRPr="00A53581">
              <w:t>1930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0B73B716" w14:textId="77777777" w:rsidR="00203F72" w:rsidRPr="00A53581" w:rsidRDefault="00203F72" w:rsidP="00993D73">
            <w:pPr>
              <w:jc w:val="center"/>
            </w:pPr>
            <w:r w:rsidRPr="00A53581">
              <w:t>2626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714378BE" w14:textId="77777777" w:rsidR="00203F72" w:rsidRPr="00A53581" w:rsidRDefault="00203F72" w:rsidP="00993D73">
            <w:pPr>
              <w:jc w:val="center"/>
            </w:pPr>
            <w:r w:rsidRPr="00A53581">
              <w:t>73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47C023D" w14:textId="77777777" w:rsidR="00203F72" w:rsidRPr="00A53581" w:rsidRDefault="00203F72" w:rsidP="00993D73">
            <w:pPr>
              <w:jc w:val="center"/>
            </w:pPr>
            <w:r w:rsidRPr="00A53581">
              <w:t>2.8</w:t>
            </w:r>
            <w:r w:rsidRPr="00A53581">
              <w:rPr>
                <w:b/>
              </w:rPr>
              <w:t>%</w:t>
            </w:r>
          </w:p>
        </w:tc>
      </w:tr>
      <w:tr w:rsidR="00203F72" w:rsidRPr="00A53581" w14:paraId="7541FAFF"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093C0B28" w14:textId="77777777" w:rsidR="00203F72" w:rsidRPr="00A53581" w:rsidRDefault="00203F72" w:rsidP="00993D73">
            <w:pPr>
              <w:jc w:val="center"/>
            </w:pPr>
            <w:r w:rsidRPr="00A53581">
              <w:t>1931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5F84A312" w14:textId="77777777" w:rsidR="00203F72" w:rsidRPr="00A53581" w:rsidRDefault="00203F72" w:rsidP="00993D73">
            <w:pPr>
              <w:jc w:val="center"/>
            </w:pPr>
            <w:r w:rsidRPr="00A53581">
              <w:t>2998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7E70C373" w14:textId="77777777" w:rsidR="00203F72" w:rsidRPr="00A53581" w:rsidRDefault="00203F72" w:rsidP="00993D73">
            <w:pPr>
              <w:jc w:val="center"/>
            </w:pPr>
            <w:r w:rsidRPr="00A53581">
              <w:t>159</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70711C8" w14:textId="77777777" w:rsidR="00203F72" w:rsidRPr="00A53581" w:rsidRDefault="00203F72" w:rsidP="00993D73">
            <w:pPr>
              <w:jc w:val="center"/>
            </w:pPr>
            <w:r w:rsidRPr="00A53581">
              <w:t>5.3</w:t>
            </w:r>
            <w:r w:rsidRPr="00A53581">
              <w:rPr>
                <w:b/>
              </w:rPr>
              <w:t>%</w:t>
            </w:r>
          </w:p>
        </w:tc>
      </w:tr>
      <w:tr w:rsidR="00203F72" w:rsidRPr="00A53581" w14:paraId="47501DA3"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7F470491" w14:textId="77777777" w:rsidR="00203F72" w:rsidRPr="00A53581" w:rsidRDefault="00203F72" w:rsidP="00993D73">
            <w:pPr>
              <w:jc w:val="center"/>
            </w:pPr>
            <w:r w:rsidRPr="00A53581">
              <w:t>1932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6287194C" w14:textId="77777777" w:rsidR="00203F72" w:rsidRPr="00A53581" w:rsidRDefault="00203F72" w:rsidP="00993D73">
            <w:pPr>
              <w:jc w:val="center"/>
            </w:pPr>
            <w:r w:rsidRPr="00A53581">
              <w:t>3545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73E264BA" w14:textId="77777777" w:rsidR="00203F72" w:rsidRPr="00A53581" w:rsidRDefault="00203F72" w:rsidP="00993D73">
            <w:pPr>
              <w:jc w:val="center"/>
            </w:pPr>
            <w:r w:rsidRPr="00A53581">
              <w:t>245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F3F37E5" w14:textId="77777777" w:rsidR="00203F72" w:rsidRPr="00A53581" w:rsidRDefault="00203F72" w:rsidP="00993D73">
            <w:pPr>
              <w:jc w:val="center"/>
            </w:pPr>
            <w:r w:rsidRPr="00A53581">
              <w:t>6.9</w:t>
            </w:r>
            <w:r w:rsidRPr="00A53581">
              <w:rPr>
                <w:b/>
              </w:rPr>
              <w:t>%</w:t>
            </w:r>
          </w:p>
        </w:tc>
      </w:tr>
      <w:tr w:rsidR="00203F72" w:rsidRPr="00A53581" w14:paraId="732FC4E3"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678DE10F" w14:textId="77777777" w:rsidR="00203F72" w:rsidRPr="00A53581" w:rsidRDefault="00203F72" w:rsidP="00993D73">
            <w:pPr>
              <w:jc w:val="center"/>
            </w:pPr>
            <w:r w:rsidRPr="00A53581">
              <w:t>1933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8FFFD67" w14:textId="77777777" w:rsidR="00203F72" w:rsidRPr="00A53581" w:rsidRDefault="00203F72" w:rsidP="00993D73">
            <w:pPr>
              <w:jc w:val="center"/>
            </w:pPr>
            <w:r w:rsidRPr="00A53581">
              <w:t>3456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1FA9230D" w14:textId="77777777" w:rsidR="00203F72" w:rsidRPr="00A53581" w:rsidRDefault="00203F72" w:rsidP="00993D73">
            <w:pPr>
              <w:jc w:val="center"/>
            </w:pPr>
            <w:r w:rsidRPr="00A53581">
              <w:t>195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6B259E7" w14:textId="77777777" w:rsidR="00203F72" w:rsidRPr="00A53581" w:rsidRDefault="00203F72" w:rsidP="00993D73">
            <w:pPr>
              <w:jc w:val="center"/>
            </w:pPr>
            <w:r w:rsidRPr="00A53581">
              <w:t>5.6</w:t>
            </w:r>
            <w:r w:rsidRPr="00A53581">
              <w:rPr>
                <w:b/>
              </w:rPr>
              <w:t>%</w:t>
            </w:r>
          </w:p>
        </w:tc>
      </w:tr>
      <w:tr w:rsidR="00203F72" w:rsidRPr="00A53581" w14:paraId="5A31DBB5"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0AA12DBB" w14:textId="77777777" w:rsidR="00203F72" w:rsidRPr="00A53581" w:rsidRDefault="00203F72" w:rsidP="00993D73">
            <w:pPr>
              <w:jc w:val="center"/>
            </w:pPr>
            <w:r w:rsidRPr="00A53581">
              <w:t>1934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64641CBF" w14:textId="77777777" w:rsidR="00203F72" w:rsidRPr="00A53581" w:rsidRDefault="00203F72" w:rsidP="00993D73">
            <w:pPr>
              <w:jc w:val="center"/>
            </w:pPr>
            <w:r w:rsidRPr="00A53581">
              <w:t>3296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6FAFC5F8" w14:textId="77777777" w:rsidR="00203F72" w:rsidRPr="00A53581" w:rsidRDefault="00203F72" w:rsidP="00993D73">
            <w:pPr>
              <w:jc w:val="center"/>
            </w:pPr>
            <w:r w:rsidRPr="00A53581">
              <w:t>140</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54A9B3A" w14:textId="77777777" w:rsidR="00203F72" w:rsidRPr="00A53581" w:rsidRDefault="00203F72" w:rsidP="00993D73">
            <w:pPr>
              <w:jc w:val="center"/>
            </w:pPr>
            <w:r w:rsidRPr="00A53581">
              <w:t>4.2</w:t>
            </w:r>
            <w:r w:rsidRPr="00A53581">
              <w:rPr>
                <w:b/>
              </w:rPr>
              <w:t>%</w:t>
            </w:r>
          </w:p>
        </w:tc>
      </w:tr>
      <w:tr w:rsidR="00203F72" w:rsidRPr="00A53581" w14:paraId="087E1378"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45C68E36" w14:textId="77777777" w:rsidR="00203F72" w:rsidRPr="00A53581" w:rsidRDefault="00203F72" w:rsidP="00993D73">
            <w:pPr>
              <w:jc w:val="center"/>
            </w:pPr>
            <w:r w:rsidRPr="00A53581">
              <w:t>1935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6D4A9730" w14:textId="77777777" w:rsidR="00203F72" w:rsidRPr="00A53581" w:rsidRDefault="00203F72" w:rsidP="00993D73">
            <w:pPr>
              <w:jc w:val="center"/>
            </w:pPr>
            <w:r w:rsidRPr="00A53581">
              <w:t>3621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61970A04" w14:textId="77777777" w:rsidR="00203F72" w:rsidRPr="00A53581" w:rsidRDefault="00203F72" w:rsidP="00993D73">
            <w:pPr>
              <w:jc w:val="center"/>
            </w:pPr>
            <w:r w:rsidRPr="00A53581">
              <w:t>103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A6825C6" w14:textId="77777777" w:rsidR="00203F72" w:rsidRPr="00A53581" w:rsidRDefault="00203F72" w:rsidP="00993D73">
            <w:pPr>
              <w:jc w:val="center"/>
            </w:pPr>
            <w:r w:rsidRPr="00A53581">
              <w:t>2.8</w:t>
            </w:r>
            <w:r w:rsidRPr="00A53581">
              <w:rPr>
                <w:b/>
              </w:rPr>
              <w:t>%</w:t>
            </w:r>
          </w:p>
        </w:tc>
      </w:tr>
      <w:tr w:rsidR="00203F72" w:rsidRPr="00A53581" w14:paraId="585ABD28"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67BDA3DB" w14:textId="77777777" w:rsidR="00203F72" w:rsidRPr="00A53581" w:rsidRDefault="00203F72" w:rsidP="00993D73">
            <w:pPr>
              <w:jc w:val="center"/>
            </w:pPr>
            <w:r w:rsidRPr="00A53581">
              <w:t>1936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7143EA6A" w14:textId="77777777" w:rsidR="00203F72" w:rsidRPr="00A53581" w:rsidRDefault="00203F72" w:rsidP="00993D73">
            <w:pPr>
              <w:jc w:val="center"/>
            </w:pPr>
            <w:r w:rsidRPr="00A53581">
              <w:t>3846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5584C6E3" w14:textId="77777777" w:rsidR="00203F72" w:rsidRPr="00A53581" w:rsidRDefault="00203F72" w:rsidP="00993D73">
            <w:pPr>
              <w:jc w:val="center"/>
            </w:pPr>
            <w:r w:rsidRPr="00A53581">
              <w:t>121</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1CEDF55" w14:textId="77777777" w:rsidR="00203F72" w:rsidRPr="00A53581" w:rsidRDefault="00203F72" w:rsidP="00993D73">
            <w:pPr>
              <w:jc w:val="center"/>
            </w:pPr>
            <w:r w:rsidRPr="00A53581">
              <w:t>3.1</w:t>
            </w:r>
            <w:r w:rsidRPr="00A53581">
              <w:rPr>
                <w:b/>
              </w:rPr>
              <w:t>%</w:t>
            </w:r>
          </w:p>
        </w:tc>
      </w:tr>
      <w:tr w:rsidR="00203F72" w:rsidRPr="00A53581" w14:paraId="2A210319"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2C179C59" w14:textId="77777777" w:rsidR="00203F72" w:rsidRPr="00A53581" w:rsidRDefault="00203F72" w:rsidP="00993D73">
            <w:pPr>
              <w:jc w:val="center"/>
            </w:pPr>
            <w:r w:rsidRPr="00A53581">
              <w:t>1937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20D5BCA1" w14:textId="77777777" w:rsidR="00203F72" w:rsidRPr="00A53581" w:rsidRDefault="00203F72" w:rsidP="00993D73">
            <w:pPr>
              <w:jc w:val="center"/>
            </w:pPr>
            <w:r w:rsidRPr="00A53581">
              <w:t>3895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42B22C1A" w14:textId="77777777" w:rsidR="00203F72" w:rsidRPr="00A53581" w:rsidRDefault="00203F72" w:rsidP="00993D73">
            <w:pPr>
              <w:jc w:val="center"/>
            </w:pPr>
            <w:r w:rsidRPr="00A53581">
              <w:t>58</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852C374" w14:textId="77777777" w:rsidR="00203F72" w:rsidRPr="00A53581" w:rsidRDefault="00203F72" w:rsidP="00993D73">
            <w:pPr>
              <w:jc w:val="center"/>
            </w:pPr>
            <w:r w:rsidRPr="00A53581">
              <w:t>1.5</w:t>
            </w:r>
            <w:r w:rsidRPr="00A53581">
              <w:rPr>
                <w:b/>
              </w:rPr>
              <w:t>%</w:t>
            </w:r>
          </w:p>
        </w:tc>
      </w:tr>
      <w:tr w:rsidR="00203F72" w:rsidRPr="00A53581" w14:paraId="54D57336"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4F809446" w14:textId="77777777" w:rsidR="00203F72" w:rsidRPr="00A53581" w:rsidRDefault="00203F72" w:rsidP="00993D73">
            <w:pPr>
              <w:jc w:val="center"/>
            </w:pPr>
            <w:r w:rsidRPr="00A53581">
              <w:t>1938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12C51221" w14:textId="77777777" w:rsidR="00203F72" w:rsidRPr="00A53581" w:rsidRDefault="00203F72" w:rsidP="00993D73">
            <w:pPr>
              <w:jc w:val="center"/>
            </w:pPr>
            <w:r w:rsidRPr="00A53581">
              <w:t>4339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2D554784" w14:textId="77777777" w:rsidR="00203F72" w:rsidRPr="00A53581" w:rsidRDefault="00203F72" w:rsidP="00993D73">
            <w:pPr>
              <w:jc w:val="center"/>
            </w:pPr>
            <w:r w:rsidRPr="00A53581">
              <w:t>54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BA57064" w14:textId="77777777" w:rsidR="00203F72" w:rsidRPr="00A53581" w:rsidRDefault="00203F72" w:rsidP="00993D73">
            <w:pPr>
              <w:jc w:val="center"/>
            </w:pPr>
            <w:r w:rsidRPr="00A53581">
              <w:t>1.2</w:t>
            </w:r>
            <w:r w:rsidRPr="00A53581">
              <w:rPr>
                <w:b/>
              </w:rPr>
              <w:t>%</w:t>
            </w:r>
          </w:p>
        </w:tc>
      </w:tr>
      <w:tr w:rsidR="00203F72" w:rsidRPr="00A53581" w14:paraId="44BA9F7C"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1BB1B204" w14:textId="77777777" w:rsidR="00203F72" w:rsidRPr="00A53581" w:rsidRDefault="00203F72" w:rsidP="00993D73">
            <w:pPr>
              <w:jc w:val="center"/>
            </w:pPr>
            <w:r w:rsidRPr="00A53581">
              <w:t>1939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0B06FD4D" w14:textId="77777777" w:rsidR="00203F72" w:rsidRPr="00A53581" w:rsidRDefault="00203F72" w:rsidP="00993D73">
            <w:pPr>
              <w:jc w:val="center"/>
            </w:pPr>
            <w:r w:rsidRPr="00A53581">
              <w:t>4232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26302F24" w14:textId="77777777" w:rsidR="00203F72" w:rsidRPr="00A53581" w:rsidRDefault="00203F72" w:rsidP="00993D73">
            <w:pPr>
              <w:jc w:val="center"/>
            </w:pPr>
            <w:r w:rsidRPr="00A53581">
              <w:t>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18D4C73" w14:textId="77777777" w:rsidR="00203F72" w:rsidRPr="00A53581" w:rsidRDefault="00203F72" w:rsidP="00993D73">
            <w:pPr>
              <w:jc w:val="center"/>
            </w:pPr>
            <w:r w:rsidRPr="00A53581">
              <w:t>1.3</w:t>
            </w:r>
            <w:r w:rsidRPr="00A53581">
              <w:rPr>
                <w:b/>
              </w:rPr>
              <w:t>%</w:t>
            </w:r>
          </w:p>
        </w:tc>
      </w:tr>
      <w:tr w:rsidR="00203F72" w:rsidRPr="00A53581" w14:paraId="7F60ECA8"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46852B5E" w14:textId="77777777" w:rsidR="00203F72" w:rsidRPr="00A53581" w:rsidRDefault="00203F72" w:rsidP="00993D73">
            <w:pPr>
              <w:jc w:val="center"/>
            </w:pPr>
            <w:r w:rsidRPr="00A53581">
              <w:t>1940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7DDD8E62" w14:textId="77777777" w:rsidR="00203F72" w:rsidRPr="00A53581" w:rsidRDefault="00203F72" w:rsidP="00993D73">
            <w:pPr>
              <w:jc w:val="center"/>
            </w:pPr>
            <w:r w:rsidRPr="00A53581">
              <w:t>3980</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37AC529E" w14:textId="77777777" w:rsidR="00203F72" w:rsidRPr="00A53581" w:rsidRDefault="00203F72" w:rsidP="00993D73">
            <w:pPr>
              <w:jc w:val="center"/>
            </w:pPr>
            <w:r w:rsidRPr="00A53581">
              <w:t>17</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8EA4B8A" w14:textId="77777777" w:rsidR="00203F72" w:rsidRPr="00A53581" w:rsidRDefault="00203F72" w:rsidP="00993D73">
            <w:pPr>
              <w:jc w:val="center"/>
            </w:pPr>
            <w:r w:rsidRPr="00A53581">
              <w:t>0.4</w:t>
            </w:r>
            <w:r w:rsidRPr="00A53581">
              <w:rPr>
                <w:b/>
              </w:rPr>
              <w:t>%</w:t>
            </w:r>
          </w:p>
        </w:tc>
      </w:tr>
      <w:tr w:rsidR="00203F72" w:rsidRPr="00A53581" w14:paraId="168ACBAB"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4463EF14" w14:textId="77777777" w:rsidR="00203F72" w:rsidRPr="00A53581" w:rsidRDefault="00203F72" w:rsidP="00993D73">
            <w:pPr>
              <w:jc w:val="center"/>
            </w:pPr>
            <w:r w:rsidRPr="00A53581">
              <w:t>1941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8D7AA75" w14:textId="77777777" w:rsidR="00203F72" w:rsidRPr="00A53581" w:rsidRDefault="00203F72" w:rsidP="00993D73">
            <w:pPr>
              <w:jc w:val="center"/>
            </w:pPr>
            <w:r w:rsidRPr="00A53581">
              <w:t>4486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14B31C54" w14:textId="77777777" w:rsidR="00203F72" w:rsidRPr="00A53581" w:rsidRDefault="00203F72" w:rsidP="00993D73">
            <w:pPr>
              <w:jc w:val="center"/>
            </w:pPr>
            <w:r w:rsidRPr="00A53581">
              <w:t>38</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652837B" w14:textId="77777777" w:rsidR="00203F72" w:rsidRPr="00A53581" w:rsidRDefault="00203F72" w:rsidP="00993D73">
            <w:pPr>
              <w:jc w:val="center"/>
            </w:pPr>
            <w:r w:rsidRPr="00A53581">
              <w:t>0.8</w:t>
            </w:r>
            <w:r w:rsidRPr="00A53581">
              <w:rPr>
                <w:b/>
              </w:rPr>
              <w:t>%</w:t>
            </w:r>
          </w:p>
        </w:tc>
      </w:tr>
      <w:tr w:rsidR="00203F72" w:rsidRPr="00A53581" w14:paraId="394C09DA" w14:textId="77777777"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14:paraId="65B42B9F" w14:textId="77777777" w:rsidR="00203F72" w:rsidRPr="00A53581" w:rsidRDefault="00203F72" w:rsidP="00993D73">
            <w:pPr>
              <w:jc w:val="center"/>
            </w:pPr>
            <w:r w:rsidRPr="00A53581">
              <w:t>1942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14:paraId="4BFA5E0F" w14:textId="77777777" w:rsidR="00203F72" w:rsidRPr="00A53581" w:rsidRDefault="00203F72" w:rsidP="00993D73">
            <w:pPr>
              <w:jc w:val="center"/>
            </w:pPr>
            <w:r w:rsidRPr="00A53581">
              <w:t>4368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14:paraId="5EF7437C" w14:textId="77777777" w:rsidR="00203F72" w:rsidRPr="00A53581" w:rsidRDefault="00203F72" w:rsidP="00993D73">
            <w:pPr>
              <w:jc w:val="center"/>
            </w:pPr>
            <w:r w:rsidRPr="00A53581">
              <w:t>15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EE4C450" w14:textId="77777777" w:rsidR="00203F72" w:rsidRPr="00A53581" w:rsidRDefault="00203F72" w:rsidP="00993D73">
            <w:pPr>
              <w:jc w:val="center"/>
            </w:pPr>
            <w:r w:rsidRPr="00A53581">
              <w:t>0.3</w:t>
            </w:r>
            <w:r w:rsidRPr="00A53581">
              <w:rPr>
                <w:b/>
              </w:rPr>
              <w:t>%</w:t>
            </w:r>
          </w:p>
        </w:tc>
      </w:tr>
    </w:tbl>
    <w:p w14:paraId="3522D367" w14:textId="77777777" w:rsidR="00953151" w:rsidRPr="00993D73" w:rsidRDefault="0039258A" w:rsidP="00993D73">
      <w:r w:rsidRPr="00993D73">
        <w:rPr>
          <w:rFonts w:hint="eastAsia"/>
        </w:rPr>
        <w:t>【</w:t>
      </w:r>
      <w:r w:rsidR="00203F72" w:rsidRPr="00993D73">
        <w:t>附註</w:t>
      </w:r>
      <w:r w:rsidR="00203F72" w:rsidRPr="00993D73">
        <w:footnoteReference w:id="373"/>
      </w:r>
      <w:r w:rsidRPr="00993D73">
        <w:rPr>
          <w:rFonts w:hint="eastAsia"/>
        </w:rPr>
        <w:t>】</w:t>
      </w:r>
      <w:r w:rsidR="00203F72" w:rsidRPr="00993D73">
        <w:t>本表包括具有受刑人身分之其他在監者數。材料來源：根據前臺灣總督府各年統計書材料編製，轉引自：中央研究院，臺灣五十年來統計法務部概況，並由筆者計算其百分比。</w:t>
      </w:r>
    </w:p>
    <w:p w14:paraId="1414DCC7" w14:textId="77777777" w:rsidR="003B41D4"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00E91F89">
        <w:rPr>
          <w:rFonts w:ascii="新細明體" w:hAnsi="新細明體"/>
          <w:color w:val="808000"/>
        </w:rPr>
        <w:t>〉〉</w:t>
      </w:r>
    </w:p>
    <w:p w14:paraId="7F668745" w14:textId="77777777" w:rsidR="003B41D4" w:rsidRPr="003B41D4" w:rsidRDefault="003B41D4" w:rsidP="00D87D91"/>
    <w:p w14:paraId="1B605F20" w14:textId="77777777" w:rsidR="00953151" w:rsidRDefault="00203F72" w:rsidP="00767F37">
      <w:pPr>
        <w:pStyle w:val="2"/>
      </w:pPr>
      <w:bookmarkStart w:id="72" w:name="_伍、(戡亂時期)肅清煙毒條例時期之毒品刑事政策(1945至1998年)"/>
      <w:bookmarkEnd w:id="72"/>
      <w:r w:rsidRPr="00A53581">
        <w:t>伍、</w:t>
      </w:r>
      <w:r w:rsidRPr="00A53581">
        <w:t>(</w:t>
      </w:r>
      <w:r w:rsidRPr="00A53581">
        <w:t>戡亂時期</w:t>
      </w:r>
      <w:r w:rsidRPr="00A53581">
        <w:t>)</w:t>
      </w:r>
      <w:r w:rsidRPr="00A53581">
        <w:t>肅清煙毒條例時期之毒品刑事政策</w:t>
      </w:r>
      <w:r w:rsidRPr="00A53581">
        <w:t>(1945</w:t>
      </w:r>
      <w:r w:rsidRPr="00A53581">
        <w:t>至</w:t>
      </w:r>
      <w:r w:rsidRPr="00A53581">
        <w:t>1998</w:t>
      </w:r>
      <w:r w:rsidRPr="00A53581">
        <w:t>年</w:t>
      </w:r>
      <w:r w:rsidRPr="00A53581">
        <w:t>)</w:t>
      </w:r>
      <w:r w:rsidRPr="00A53581">
        <w:t>：嚴刑峻罰禁煙禁毒</w:t>
      </w:r>
    </w:p>
    <w:p w14:paraId="5B2E083E" w14:textId="77777777" w:rsidR="00953151" w:rsidRPr="003B41D4" w:rsidRDefault="0039258A" w:rsidP="00D87D91">
      <w:r w:rsidRPr="003B41D4">
        <w:t xml:space="preserve">　　</w:t>
      </w:r>
      <w:r w:rsidR="00203F72" w:rsidRPr="003B41D4">
        <w:t>從民國</w:t>
      </w:r>
      <w:r w:rsidR="00203F72" w:rsidRPr="003B41D4">
        <w:t>38</w:t>
      </w:r>
      <w:r w:rsidR="00203F72" w:rsidRPr="003B41D4">
        <w:t>年</w:t>
      </w:r>
      <w:r w:rsidR="00203F72" w:rsidRPr="003B41D4">
        <w:t>(1949</w:t>
      </w:r>
      <w:r w:rsidR="00203F72" w:rsidRPr="003B41D4">
        <w:t>年</w:t>
      </w:r>
      <w:r w:rsidR="00203F72" w:rsidRPr="003B41D4">
        <w:t>)</w:t>
      </w:r>
      <w:r w:rsidR="00203F72" w:rsidRPr="003B41D4">
        <w:t>至民國</w:t>
      </w:r>
      <w:r w:rsidR="00203F72" w:rsidRPr="003B41D4">
        <w:t>41</w:t>
      </w:r>
      <w:r w:rsidR="00203F72" w:rsidRPr="003B41D4">
        <w:t>年</w:t>
      </w:r>
      <w:r w:rsidR="00203F72" w:rsidRPr="003B41D4">
        <w:t>(1952</w:t>
      </w:r>
      <w:r w:rsidR="00203F72" w:rsidRPr="003B41D4">
        <w:t>年</w:t>
      </w:r>
      <w:r w:rsidR="00203F72" w:rsidRPr="003B41D4">
        <w:t>)6</w:t>
      </w:r>
      <w:r w:rsidR="00203F72" w:rsidRPr="003B41D4">
        <w:t>月</w:t>
      </w:r>
      <w:r w:rsidR="00203F72" w:rsidRPr="003B41D4">
        <w:t>2</w:t>
      </w:r>
      <w:r w:rsidR="00203F72" w:rsidRPr="003B41D4">
        <w:t>日，台灣地區主要之反毒法律，係為「禁煙禁毒治罪暫行條例」。在民國</w:t>
      </w:r>
      <w:r w:rsidR="00203F72" w:rsidRPr="003B41D4">
        <w:t>41</w:t>
      </w:r>
      <w:r w:rsidR="00203F72" w:rsidRPr="003B41D4">
        <w:t>年</w:t>
      </w:r>
      <w:r w:rsidR="00203F72" w:rsidRPr="003B41D4">
        <w:t>(1952</w:t>
      </w:r>
      <w:r w:rsidR="00203F72" w:rsidRPr="003B41D4">
        <w:t>年</w:t>
      </w:r>
      <w:r w:rsidR="00203F72" w:rsidRPr="003B41D4">
        <w:t>)6</w:t>
      </w:r>
      <w:r w:rsidR="00203F72" w:rsidRPr="003B41D4">
        <w:t>月</w:t>
      </w:r>
      <w:r w:rsidR="00203F72" w:rsidRPr="003B41D4">
        <w:t>2</w:t>
      </w:r>
      <w:r w:rsidR="00203F72" w:rsidRPr="003B41D4">
        <w:t>日以後迄民國</w:t>
      </w:r>
      <w:r w:rsidR="00203F72" w:rsidRPr="003B41D4">
        <w:t>44</w:t>
      </w:r>
      <w:r w:rsidR="00203F72" w:rsidRPr="003B41D4">
        <w:t>年</w:t>
      </w:r>
      <w:r w:rsidR="00203F72" w:rsidRPr="003B41D4">
        <w:t>(1955</w:t>
      </w:r>
      <w:r w:rsidR="00203F72" w:rsidRPr="003B41D4">
        <w:t>年</w:t>
      </w:r>
      <w:r w:rsidR="00203F72" w:rsidRPr="003B41D4">
        <w:t>)6</w:t>
      </w:r>
      <w:r w:rsidR="00203F72" w:rsidRPr="003B41D4">
        <w:t>月</w:t>
      </w:r>
      <w:r w:rsidR="00203F72" w:rsidRPr="003B41D4">
        <w:t>3</w:t>
      </w:r>
      <w:r w:rsidR="00203F72" w:rsidRPr="003B41D4">
        <w:t>日為止，不再適用「禁煙禁毒治罪暫行條例」，我國改採適用</w:t>
      </w:r>
      <w:hyperlink r:id="rId1643" w:history="1">
        <w:r w:rsidR="006B7176" w:rsidRPr="006B7176">
          <w:rPr>
            <w:rStyle w:val="a5"/>
            <w:rFonts w:eastAsia="新細明體"/>
            <w:kern w:val="0"/>
          </w:rPr>
          <w:t>刑法</w:t>
        </w:r>
      </w:hyperlink>
      <w:r w:rsidR="00203F72" w:rsidRPr="003B41D4">
        <w:t>分則中有關鴉片罪章之規定。民國</w:t>
      </w:r>
      <w:r w:rsidR="00203F72" w:rsidRPr="003B41D4">
        <w:t>44</w:t>
      </w:r>
      <w:r w:rsidR="00203F72" w:rsidRPr="003B41D4">
        <w:t>年</w:t>
      </w:r>
      <w:r w:rsidR="00203F72" w:rsidRPr="003B41D4">
        <w:t>(1955</w:t>
      </w:r>
      <w:r w:rsidR="00203F72" w:rsidRPr="003B41D4">
        <w:t>年</w:t>
      </w:r>
      <w:r w:rsidR="00203F72" w:rsidRPr="003B41D4">
        <w:t>)6</w:t>
      </w:r>
      <w:r w:rsidR="00203F72" w:rsidRPr="003B41D4">
        <w:t>月</w:t>
      </w:r>
      <w:r w:rsidR="00203F72" w:rsidRPr="003B41D4">
        <w:t>3</w:t>
      </w:r>
      <w:r w:rsidR="00203F72" w:rsidRPr="003B41D4">
        <w:t>日以後，因</w:t>
      </w:r>
      <w:r w:rsidR="00993D73" w:rsidRPr="003B41D4">
        <w:t>「</w:t>
      </w:r>
      <w:hyperlink r:id="rId1644" w:history="1">
        <w:r w:rsidR="00993D73" w:rsidRPr="00993D73">
          <w:rPr>
            <w:rStyle w:val="a5"/>
            <w:rFonts w:ascii="Times New Roman" w:eastAsia="新細明體" w:hAnsi="Times New Roman"/>
          </w:rPr>
          <w:t>戡亂時期肅清煙毒條例</w:t>
        </w:r>
      </w:hyperlink>
      <w:r w:rsidR="00203F72" w:rsidRPr="003B41D4">
        <w:t>」業已被公布施行，故反毒之刑事法律，改採用</w:t>
      </w:r>
      <w:r w:rsidR="00993D73" w:rsidRPr="003B41D4">
        <w:t>「</w:t>
      </w:r>
      <w:hyperlink r:id="rId1645" w:history="1">
        <w:r w:rsidR="00993D73" w:rsidRPr="00993D73">
          <w:rPr>
            <w:rStyle w:val="a5"/>
            <w:rFonts w:ascii="Times New Roman" w:eastAsia="新細明體" w:hAnsi="Times New Roman"/>
          </w:rPr>
          <w:t>戡亂時期肅清煙毒條例</w:t>
        </w:r>
      </w:hyperlink>
      <w:r w:rsidR="00203F72" w:rsidRPr="003B41D4">
        <w:t>」。其他規製品之重要法律，則尚有「麻醉藥品管理條例」及同條例之施行細則</w:t>
      </w:r>
      <w:r w:rsidR="00203F72" w:rsidRPr="003B41D4">
        <w:footnoteReference w:id="374"/>
      </w:r>
      <w:r w:rsidR="00203F72" w:rsidRPr="003B41D4">
        <w:t>。</w:t>
      </w:r>
    </w:p>
    <w:p w14:paraId="0FFF2684" w14:textId="77777777" w:rsidR="00953151" w:rsidRPr="003B41D4" w:rsidRDefault="0039258A" w:rsidP="00D87D91">
      <w:r w:rsidRPr="003B41D4">
        <w:t xml:space="preserve">　　</w:t>
      </w:r>
      <w:r w:rsidR="00203F72" w:rsidRPr="003B41D4">
        <w:t>本時期除了</w:t>
      </w:r>
      <w:r w:rsidR="00993D73" w:rsidRPr="003B41D4">
        <w:t>「</w:t>
      </w:r>
      <w:hyperlink r:id="rId1646" w:history="1">
        <w:r w:rsidR="00993D73" w:rsidRPr="00993D73">
          <w:rPr>
            <w:rStyle w:val="a5"/>
            <w:rFonts w:ascii="Times New Roman" w:eastAsia="新細明體" w:hAnsi="Times New Roman"/>
          </w:rPr>
          <w:t>戡亂時期肅清煙毒條例</w:t>
        </w:r>
      </w:hyperlink>
      <w:r w:rsidR="00203F72" w:rsidRPr="003B41D4">
        <w:t>」規範有刑事制裁之外，違反麻醉藥品管理條例之行為，亦有施以刑事罰的規定。整個反毒法制，係透由嚴厲之刑事法令，對毒品犯輔以醫療戒治，強力推展禁煙、禁毒之工作。</w:t>
      </w:r>
    </w:p>
    <w:p w14:paraId="4A755052" w14:textId="77777777" w:rsidR="00953151" w:rsidRPr="003B41D4" w:rsidRDefault="0039258A" w:rsidP="00D87D91">
      <w:r w:rsidRPr="003B41D4">
        <w:t xml:space="preserve">　　</w:t>
      </w:r>
      <w:r w:rsidR="00203F72" w:rsidRPr="003B41D4">
        <w:t>有關</w:t>
      </w:r>
      <w:r w:rsidR="00993D73" w:rsidRPr="003B41D4">
        <w:t>「</w:t>
      </w:r>
      <w:hyperlink r:id="rId1647" w:history="1">
        <w:r w:rsidR="00993D73" w:rsidRPr="00993D73">
          <w:rPr>
            <w:rStyle w:val="a5"/>
            <w:rFonts w:ascii="Times New Roman" w:eastAsia="新細明體" w:hAnsi="Times New Roman"/>
          </w:rPr>
          <w:t>戡亂時期肅清煙毒條例</w:t>
        </w:r>
      </w:hyperlink>
      <w:r w:rsidR="00203F72" w:rsidRPr="003B41D4">
        <w:t>」的制定背景方面，於</w:t>
      </w:r>
      <w:r w:rsidR="00203F72" w:rsidRPr="003B41D4">
        <w:t>1955</w:t>
      </w:r>
      <w:r w:rsidR="00203F72" w:rsidRPr="003B41D4">
        <w:t>年，立法院開始著手審議</w:t>
      </w:r>
      <w:r w:rsidR="00993D73" w:rsidRPr="003B41D4">
        <w:t>「</w:t>
      </w:r>
      <w:hyperlink r:id="rId1648" w:history="1">
        <w:r w:rsidR="00993D73" w:rsidRPr="00993D73">
          <w:rPr>
            <w:rStyle w:val="a5"/>
            <w:rFonts w:ascii="Times New Roman" w:eastAsia="新細明體" w:hAnsi="Times New Roman"/>
          </w:rPr>
          <w:t>戡亂時期肅清煙毒條例</w:t>
        </w:r>
      </w:hyperlink>
      <w:r w:rsidR="00203F72" w:rsidRPr="003B41D4">
        <w:t>草案」。根據立法院內政、民行商法、國防三委員會報告審查行政院函請審議</w:t>
      </w:r>
      <w:r w:rsidR="00993D73" w:rsidRPr="003B41D4">
        <w:t>「</w:t>
      </w:r>
      <w:hyperlink r:id="rId1649" w:history="1">
        <w:r w:rsidR="00993D73" w:rsidRPr="00993D73">
          <w:rPr>
            <w:rStyle w:val="a5"/>
            <w:rFonts w:ascii="Times New Roman" w:eastAsia="新細明體" w:hAnsi="Times New Roman"/>
          </w:rPr>
          <w:t>戡亂時期肅清煙毒條例</w:t>
        </w:r>
      </w:hyperlink>
      <w:r w:rsidR="00203F72" w:rsidRPr="003B41D4">
        <w:t>草案」的紀錄內容，當時</w:t>
      </w:r>
      <w:r w:rsidR="00203F72" w:rsidRPr="003B41D4">
        <w:t>(1955</w:t>
      </w:r>
      <w:r w:rsidR="00203F72" w:rsidRPr="003B41D4">
        <w:t>年</w:t>
      </w:r>
      <w:r w:rsidR="00203F72" w:rsidRPr="003B41D4">
        <w:t>)</w:t>
      </w:r>
      <w:r w:rsidR="00203F72" w:rsidRPr="003B41D4">
        <w:t>立法院周</w:t>
      </w:r>
      <w:r w:rsidR="00203F72" w:rsidRPr="003B41D4">
        <w:t>○○</w:t>
      </w:r>
      <w:r w:rsidR="00203F72" w:rsidRPr="003B41D4">
        <w:t>立法委員作如下的表示：</w:t>
      </w:r>
    </w:p>
    <w:p w14:paraId="119746BD" w14:textId="77777777" w:rsidR="00953151" w:rsidRPr="003B41D4" w:rsidRDefault="0039258A" w:rsidP="00D87D91">
      <w:r w:rsidRPr="003B41D4">
        <w:t xml:space="preserve">　　</w:t>
      </w:r>
      <w:r w:rsidR="00203F72" w:rsidRPr="003B41D4">
        <w:t>「本來關於禁煙禁毒，過去有個禁煙禁毒治罪條例，這個禁煙禁毒治罪條例施行很久，到民國</w:t>
      </w:r>
      <w:r w:rsidR="00203F72" w:rsidRPr="003B41D4">
        <w:t>41</w:t>
      </w:r>
      <w:r w:rsidR="00203F72" w:rsidRPr="003B41D4">
        <w:t>年</w:t>
      </w:r>
      <w:r w:rsidR="00203F72" w:rsidRPr="003B41D4">
        <w:t>(1952</w:t>
      </w:r>
      <w:r w:rsidR="00203F72" w:rsidRPr="003B41D4">
        <w:t>年</w:t>
      </w:r>
      <w:r w:rsidR="00203F72" w:rsidRPr="003B41D4">
        <w:t>)6</w:t>
      </w:r>
      <w:r w:rsidR="00203F72" w:rsidRPr="003B41D4">
        <w:t>月間期滿，政府沒有請求繼續讓他生效，因此就廢止了，照理這個禁煙禁毒條例廢止以後，說明煙毒大體已相當肅清了。可是自</w:t>
      </w:r>
      <w:r w:rsidR="00203F72" w:rsidRPr="003B41D4">
        <w:t>41</w:t>
      </w:r>
      <w:r w:rsidR="00203F72" w:rsidRPr="003B41D4">
        <w:t>年該條例廢止以後，根據司法機關統計，煙毒案件逐年增加，四十一年一百四十七件，四十二年一百六十件，四十三年四百五十七件，這又說明由於禁煙禁毒治罪條例廢止以後，煙毒案件不斷在增加，增加的原因在什</w:t>
      </w:r>
      <w:r w:rsidR="002609BD" w:rsidRPr="002609BD">
        <w:rPr>
          <w:rFonts w:hint="eastAsia"/>
        </w:rPr>
        <w:t>麼</w:t>
      </w:r>
      <w:r w:rsidR="00203F72" w:rsidRPr="003B41D4">
        <w:t>地方，據主管機關調查，增加的原因，多半是由於共匪毒化政策及匪諜偷運毒品來臺的結果，我們臺灣這個地方，既不種煙，也不種毒，這些毒品的來源，都是大陸偷運至香港，再由香港偷運到臺灣來</w:t>
      </w:r>
      <w:r w:rsidR="00203F72" w:rsidRPr="003B41D4">
        <w:footnoteReference w:id="375"/>
      </w:r>
      <w:r w:rsidR="00203F72" w:rsidRPr="003B41D4">
        <w:t>。」</w:t>
      </w:r>
    </w:p>
    <w:p w14:paraId="7381782E" w14:textId="77777777" w:rsidR="00203F72" w:rsidRPr="003B41D4" w:rsidRDefault="0039258A" w:rsidP="00D87D91">
      <w:r w:rsidRPr="003B41D4">
        <w:t xml:space="preserve">　　</w:t>
      </w:r>
      <w:r w:rsidR="00203F72" w:rsidRPr="003B41D4">
        <w:t>周</w:t>
      </w:r>
      <w:r w:rsidR="00203F72" w:rsidRPr="003B41D4">
        <w:t>○○</w:t>
      </w:r>
      <w:r w:rsidR="00203F72" w:rsidRPr="003B41D4">
        <w:t>委員尚且認為：</w:t>
      </w:r>
    </w:p>
    <w:p w14:paraId="48EC6D67" w14:textId="77777777" w:rsidR="00953151" w:rsidRPr="003B41D4" w:rsidRDefault="0039258A" w:rsidP="00D87D91">
      <w:r w:rsidRPr="003B41D4">
        <w:t xml:space="preserve">　　</w:t>
      </w:r>
      <w:r w:rsidR="00203F72" w:rsidRPr="003B41D4">
        <w:t>「大陸共匪他基於開闢財源，供給國外匪幫地下活動，換取戰略物資，毒化自由世界等四種目的，施用毒化陰謀，現在大陸種煙面積，達到十幾個省份，僅廣東以種煙十幾萬畝，大規模的製煙工廠有有二十一個，最近更加強製造，製煙廠增至三十所，僅以天津一地而言，月產海洛英三公噸，匪幫靠煙毒收入，每年達兩億五千萬以上美金，並且這個收入逐年在增加，這說明我們自四十一年禁煙禁毒治罪條例廢止以後，本來煙毒可以宣告肅清，但由於匪幫的毒化政策，由於他大量製造毒品偷運來臺，使我們自民國四十一年度以後，煙毒案子不斷增加，這就是說明雖然我們的禁煙禁毒治罪條例宣告廢止失效，但我們的病症還是存在，煙毒案件逐年增加，對於臺灣毒化問題很危險，因此政府對於本法案認為政府證明這種情況確係事實，因此本案在第二次聯席會議上，確定在原則上應該成立，嗣交給審查會討論，初步審查會一共開了五次會，經逐條討論後，報告聯席會議，聯席會議開了三次會，對於本案又逐條加以詳細討論，並對於重要之點加以修正。總括說起來，本案在聯席會議上原則上承認他成立，重要之點都已經加以修正，這就是承認了政府認為當前毒化問題的嚴重，認為本案有成立的必要</w:t>
      </w:r>
      <w:r w:rsidR="00203F72" w:rsidRPr="003B41D4">
        <w:footnoteReference w:id="376"/>
      </w:r>
      <w:r w:rsidR="00203F72" w:rsidRPr="003B41D4">
        <w:t>。」</w:t>
      </w:r>
    </w:p>
    <w:p w14:paraId="312DE974" w14:textId="77777777" w:rsidR="00203F72" w:rsidRPr="003B41D4" w:rsidRDefault="0039258A" w:rsidP="00D87D91">
      <w:r w:rsidRPr="003B41D4">
        <w:t xml:space="preserve">　　</w:t>
      </w:r>
      <w:r w:rsidR="00203F72" w:rsidRPr="003B41D4">
        <w:t>周</w:t>
      </w:r>
      <w:r w:rsidR="00203F72" w:rsidRPr="003B41D4">
        <w:t>○○</w:t>
      </w:r>
      <w:r w:rsidR="00203F72" w:rsidRPr="003B41D4">
        <w:t>立法委員特別指出中國大陸製毒及販毒之四大目的，如下所述</w:t>
      </w:r>
      <w:r w:rsidR="00203F72" w:rsidRPr="003B41D4">
        <w:footnoteReference w:id="377"/>
      </w:r>
      <w:r w:rsidR="00203F72" w:rsidRPr="003B41D4">
        <w:t>：</w:t>
      </w:r>
    </w:p>
    <w:p w14:paraId="4961C33C" w14:textId="77777777" w:rsidR="00203F72" w:rsidRPr="003B41D4" w:rsidRDefault="0039258A" w:rsidP="00D87D91">
      <w:r w:rsidRPr="003B41D4">
        <w:rPr>
          <w:rFonts w:hint="eastAsia"/>
        </w:rPr>
        <w:t xml:space="preserve">　　</w:t>
      </w:r>
      <w:r w:rsidRPr="003B41D4">
        <w:rPr>
          <w:rFonts w:hint="eastAsia"/>
        </w:rPr>
        <w:t>1</w:t>
      </w:r>
      <w:r w:rsidRPr="003B41D4">
        <w:rPr>
          <w:rFonts w:hint="eastAsia"/>
        </w:rPr>
        <w:t>、</w:t>
      </w:r>
      <w:r w:rsidR="00203F72" w:rsidRPr="003B41D4">
        <w:t>基於開闢政府財源。</w:t>
      </w:r>
    </w:p>
    <w:p w14:paraId="468BA233" w14:textId="77777777" w:rsidR="00203F72" w:rsidRPr="003B41D4" w:rsidRDefault="0039258A" w:rsidP="00D87D91">
      <w:r w:rsidRPr="003B41D4">
        <w:rPr>
          <w:rFonts w:hint="eastAsia"/>
        </w:rPr>
        <w:t xml:space="preserve">　　</w:t>
      </w:r>
      <w:r w:rsidRPr="003B41D4">
        <w:rPr>
          <w:rFonts w:hint="eastAsia"/>
        </w:rPr>
        <w:t>2</w:t>
      </w:r>
      <w:r w:rsidRPr="003B41D4">
        <w:rPr>
          <w:rFonts w:hint="eastAsia"/>
        </w:rPr>
        <w:t>、</w:t>
      </w:r>
      <w:r w:rsidR="00203F72" w:rsidRPr="003B41D4">
        <w:t>供給國外情報活動。</w:t>
      </w:r>
    </w:p>
    <w:p w14:paraId="75DA4A5A" w14:textId="77777777" w:rsidR="00203F72" w:rsidRPr="003B41D4" w:rsidRDefault="0039258A" w:rsidP="00D87D91">
      <w:r w:rsidRPr="003B41D4">
        <w:rPr>
          <w:rFonts w:hint="eastAsia"/>
        </w:rPr>
        <w:t xml:space="preserve">　　</w:t>
      </w:r>
      <w:r w:rsidRPr="003B41D4">
        <w:rPr>
          <w:rFonts w:hint="eastAsia"/>
        </w:rPr>
        <w:t>3</w:t>
      </w:r>
      <w:r w:rsidRPr="003B41D4">
        <w:rPr>
          <w:rFonts w:hint="eastAsia"/>
        </w:rPr>
        <w:t>、</w:t>
      </w:r>
      <w:r w:rsidR="00203F72" w:rsidRPr="003B41D4">
        <w:t>換取戰略物資。</w:t>
      </w:r>
    </w:p>
    <w:p w14:paraId="52635801" w14:textId="77777777" w:rsidR="00953151" w:rsidRPr="003B41D4" w:rsidRDefault="0039258A" w:rsidP="00D87D91">
      <w:r w:rsidRPr="003B41D4">
        <w:rPr>
          <w:rFonts w:hint="eastAsia"/>
        </w:rPr>
        <w:t xml:space="preserve">　　</w:t>
      </w:r>
      <w:r w:rsidRPr="003B41D4">
        <w:rPr>
          <w:rFonts w:hint="eastAsia"/>
        </w:rPr>
        <w:t>4</w:t>
      </w:r>
      <w:r w:rsidRPr="003B41D4">
        <w:rPr>
          <w:rFonts w:hint="eastAsia"/>
        </w:rPr>
        <w:t>、</w:t>
      </w:r>
      <w:r w:rsidR="00203F72" w:rsidRPr="003B41D4">
        <w:t>毒化自由世界</w:t>
      </w:r>
      <w:r w:rsidR="00545D58" w:rsidRPr="003B41D4">
        <w:t>。</w:t>
      </w:r>
    </w:p>
    <w:p w14:paraId="4833FB33" w14:textId="77777777" w:rsidR="00953151" w:rsidRPr="003B41D4" w:rsidRDefault="0039258A" w:rsidP="00D87D91">
      <w:r w:rsidRPr="003B41D4">
        <w:t xml:space="preserve">　　</w:t>
      </w:r>
      <w:r w:rsidR="00203F72" w:rsidRPr="003B41D4">
        <w:t>根據上述周</w:t>
      </w:r>
      <w:r w:rsidR="00203F72" w:rsidRPr="003B41D4">
        <w:t>○○</w:t>
      </w:r>
      <w:r w:rsidR="00203F72" w:rsidRPr="003B41D4">
        <w:t>立法委員之見解，中華人民共和國於此一時期製毒及販毒之目的，包括經濟上之誘因、政治目的、軍事戰略目的及毒化自由世界。在</w:t>
      </w:r>
      <w:r w:rsidR="00993D73" w:rsidRPr="003B41D4">
        <w:t>「</w:t>
      </w:r>
      <w:hyperlink r:id="rId1650" w:history="1">
        <w:r w:rsidR="00993D73" w:rsidRPr="00993D73">
          <w:rPr>
            <w:rStyle w:val="a5"/>
            <w:rFonts w:ascii="Times New Roman" w:eastAsia="新細明體" w:hAnsi="Times New Roman"/>
          </w:rPr>
          <w:t>戡亂時期肅清煙毒條例</w:t>
        </w:r>
      </w:hyperlink>
      <w:r w:rsidR="00203F72" w:rsidRPr="003B41D4">
        <w:t>」的制定過程中，大部分的委員對此法案之意見，大多表示贊同。有關中華人民共和國涉及的製毒及販毒之行為，此乃歷史下國共對立的產物，時至今日，中華人民共和國上述違反國際反毒公約的行為，現已不復見。</w:t>
      </w:r>
    </w:p>
    <w:p w14:paraId="0D38AF65" w14:textId="77777777" w:rsidR="00953151" w:rsidRPr="003B41D4" w:rsidRDefault="0039258A" w:rsidP="00D87D91">
      <w:r w:rsidRPr="003B41D4">
        <w:t xml:space="preserve">　　</w:t>
      </w:r>
      <w:r w:rsidR="00203F72" w:rsidRPr="003B41D4">
        <w:t>在</w:t>
      </w:r>
      <w:r w:rsidR="00993D73" w:rsidRPr="003B41D4">
        <w:t>「</w:t>
      </w:r>
      <w:hyperlink r:id="rId1651" w:history="1">
        <w:r w:rsidR="00993D73" w:rsidRPr="00993D73">
          <w:rPr>
            <w:rStyle w:val="a5"/>
            <w:rFonts w:ascii="Times New Roman" w:eastAsia="新細明體" w:hAnsi="Times New Roman"/>
          </w:rPr>
          <w:t>戡亂時期肅清煙毒條例</w:t>
        </w:r>
      </w:hyperlink>
      <w:r w:rsidR="00203F72" w:rsidRPr="003B41D4">
        <w:t>」的重要內容方面，最具有爭議性的條文草案，係為「意圖製造鴉片而栽種罌粟者處死刑」的立法爭議點。關於</w:t>
      </w:r>
      <w:r w:rsidR="00993D73" w:rsidRPr="003B41D4">
        <w:t>「</w:t>
      </w:r>
      <w:hyperlink r:id="rId1652" w:history="1">
        <w:r w:rsidR="00993D73" w:rsidRPr="00993D73">
          <w:rPr>
            <w:rStyle w:val="a5"/>
            <w:rFonts w:ascii="Times New Roman" w:eastAsia="新細明體" w:hAnsi="Times New Roman"/>
          </w:rPr>
          <w:t>戡亂時期肅清煙毒條例</w:t>
        </w:r>
      </w:hyperlink>
      <w:r w:rsidR="00203F72" w:rsidRPr="003B41D4">
        <w:t>」草案中之第五條第四項，行政院原草案是：「意圖製造鴉片而栽種罌粟者處死刑」，周</w:t>
      </w:r>
      <w:r w:rsidR="00203F72" w:rsidRPr="003B41D4">
        <w:t>○○</w:t>
      </w:r>
      <w:r w:rsidR="00203F72" w:rsidRPr="003B41D4">
        <w:t>立法委員在立法院院會時，作出以下之表示：</w:t>
      </w:r>
    </w:p>
    <w:p w14:paraId="52AD5D54" w14:textId="77777777" w:rsidR="00953151" w:rsidRPr="003B41D4" w:rsidRDefault="0039258A" w:rsidP="00D87D91">
      <w:r w:rsidRPr="003B41D4">
        <w:t xml:space="preserve">　　</w:t>
      </w:r>
      <w:r w:rsidR="00203F72" w:rsidRPr="003B41D4">
        <w:t>「在初步審查時辯論，辯論結果，把意圖製造鴉片字樣刪掉而修改成為栽種罌粟者處死刑，有許多同仁都贊同這個主張，認為今天在臺灣打算要徹底肅清煙毒，必須從肅清煙毒來源開始，我們不能在臺灣有任何法律意味准許種植罌粟，所以主張規定種植罌粟者處死刑，因此這一點在初步審查中勝利了。同時過去我們已經廢止的禁煙禁毒條例關於栽種罌粟規定也是處死刑，也是經過院會（到臺灣後）辯論很久才通過的。到聯席會議以後，有許多委員交換意見，認為栽種罌粟者處死刑這個流弊很多，雖然臺灣現況，並沒有栽種罌粟，但只要種一顆罌粟就處死刑，似嫌量刑過重，他們認為刑罰必定要有犯意，栽種罌粟是行為，犯意是意圖製造鴉片，因此辯論結果，經聯席會議表決，仍然恢復行政院原案就是「意圖製造鴉片而栽種罌粟者處死刑」，並沒有採納初步審查的意見</w:t>
      </w:r>
      <w:r w:rsidR="00203F72" w:rsidRPr="003B41D4">
        <w:footnoteReference w:id="378"/>
      </w:r>
      <w:r w:rsidR="00203F72" w:rsidRPr="003B41D4">
        <w:t>。」</w:t>
      </w:r>
    </w:p>
    <w:p w14:paraId="5FE23CBA" w14:textId="77777777" w:rsidR="00953151" w:rsidRPr="003B41D4" w:rsidRDefault="0039258A" w:rsidP="00D87D91">
      <w:r w:rsidRPr="003B41D4">
        <w:t xml:space="preserve">　　</w:t>
      </w:r>
      <w:r w:rsidR="00203F72" w:rsidRPr="003B41D4">
        <w:t>依據上述國會周</w:t>
      </w:r>
      <w:r w:rsidR="00203F72" w:rsidRPr="003B41D4">
        <w:t>○○</w:t>
      </w:r>
      <w:r w:rsidR="00203F72" w:rsidRPr="003B41D4">
        <w:t>立法委員之發言紀錄，可發現我國當初</w:t>
      </w:r>
      <w:r w:rsidR="00993D73" w:rsidRPr="003B41D4">
        <w:t>「</w:t>
      </w:r>
      <w:hyperlink r:id="rId1653" w:history="1">
        <w:r w:rsidR="00993D73" w:rsidRPr="00993D73">
          <w:rPr>
            <w:rStyle w:val="a5"/>
            <w:rFonts w:ascii="Times New Roman" w:eastAsia="新細明體" w:hAnsi="Times New Roman"/>
          </w:rPr>
          <w:t>戡亂時期肅清煙毒條例</w:t>
        </w:r>
      </w:hyperlink>
      <w:r w:rsidR="00203F72" w:rsidRPr="003B41D4">
        <w:t>草案」於立法院接受立法審查之際，對於「意圖製造鴉片」之構成要件，立法委員計分為兩種不同之意見，且反覆來回被立法院立法委員加以討論。於立法審查之初期，即業已決定採用相當嚴厲之毒品刑事政策，在初步審查之時，擬直接對種植罌粟者處以死刑，行為人並無須具有「製造鴉片之意圖」。之後，在立法院聯席會議討論過程中，仍恢復行政院原案</w:t>
      </w:r>
      <w:r w:rsidR="00D92F56" w:rsidRPr="003B41D4">
        <w:t>〜</w:t>
      </w:r>
      <w:r w:rsidR="00203F72" w:rsidRPr="003B41D4">
        <w:t>「意圖製造鴉片而栽種罌粟者處死刑」，此亦是後來立法院通過正式之版本。</w:t>
      </w:r>
    </w:p>
    <w:p w14:paraId="054083EA" w14:textId="77777777" w:rsidR="00953151" w:rsidRPr="003B41D4" w:rsidRDefault="0039258A" w:rsidP="00D87D91">
      <w:r w:rsidRPr="003B41D4">
        <w:t xml:space="preserve">　　</w:t>
      </w:r>
      <w:r w:rsidR="00203F72" w:rsidRPr="003B41D4">
        <w:t>根據本書之統計，事實上，大多數立法委員認為要加上「意圖製造鴉片」，以趙</w:t>
      </w:r>
      <w:r w:rsidR="00203F72" w:rsidRPr="003B41D4">
        <w:t>○○</w:t>
      </w:r>
      <w:r w:rsidR="00203F72" w:rsidRPr="003B41D4">
        <w:t>委員為例，趙委員表示</w:t>
      </w:r>
      <w:r w:rsidR="00203F72" w:rsidRPr="003B41D4">
        <w:footnoteReference w:id="379"/>
      </w:r>
      <w:r w:rsidR="00203F72" w:rsidRPr="003B41D4">
        <w:t>：</w:t>
      </w:r>
    </w:p>
    <w:p w14:paraId="17116168" w14:textId="77777777" w:rsidR="00953151" w:rsidRPr="003B41D4" w:rsidRDefault="0039258A" w:rsidP="00D87D91">
      <w:r w:rsidRPr="003B41D4">
        <w:t xml:space="preserve">　　</w:t>
      </w:r>
      <w:r w:rsidR="00203F72" w:rsidRPr="003B41D4">
        <w:t>「本人參加初步審查小組的，在小組審查中最初將原文改成「栽種罌粟者處死刑」，因為本人保留至聯席會發言，後來在聯席會辯論的結果，還是維持行政院的原案。本人覺得意圖製造鴉片字樣還是非要不可的，因為栽種罌粟者處死刑太簡單而不合理了。研究植物學的人已將罌粟列為雙子葉植物中離瓣植物之一科，往往栽種罌粟來研究，如果對於研究植物學的人，他種了罌粟就處死刑，未免太苛刻</w:t>
      </w:r>
      <w:r w:rsidR="00203F72" w:rsidRPr="003B41D4">
        <w:footnoteReference w:id="380"/>
      </w:r>
      <w:r w:rsidR="00203F72" w:rsidRPr="003B41D4">
        <w:t>。」</w:t>
      </w:r>
    </w:p>
    <w:p w14:paraId="10D28B81" w14:textId="77777777" w:rsidR="00953151" w:rsidRPr="003B41D4" w:rsidRDefault="0039258A" w:rsidP="00D87D91">
      <w:r w:rsidRPr="003B41D4">
        <w:t xml:space="preserve">　　</w:t>
      </w:r>
      <w:r w:rsidR="00203F72" w:rsidRPr="003B41D4">
        <w:t>趙</w:t>
      </w:r>
      <w:r w:rsidR="00203F72" w:rsidRPr="003B41D4">
        <w:t>○○</w:t>
      </w:r>
      <w:r w:rsidR="00203F72" w:rsidRPr="003B41D4">
        <w:t>委員認為仍必須具有「意圖製造鴉片」之構成要件為宜，主要之論點在於栽種罌粟之目的，可能不一而定，有可能是從事植物學之學術研究，故栽種罌粟之目的，必須限定於「意圖製造鴉片」，始能處以死刑。</w:t>
      </w:r>
    </w:p>
    <w:p w14:paraId="783E9A98" w14:textId="77777777" w:rsidR="00953151" w:rsidRPr="003B41D4" w:rsidRDefault="0039258A" w:rsidP="00D87D91">
      <w:r w:rsidRPr="003B41D4">
        <w:t xml:space="preserve">　　</w:t>
      </w:r>
      <w:r w:rsidR="00203F72" w:rsidRPr="003B41D4">
        <w:t>我國在普通刑法</w:t>
      </w:r>
      <w:hyperlink r:id="rId1654" w:anchor="a260"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260</w:t>
        </w:r>
        <w:r w:rsidR="00203F72" w:rsidRPr="001F6A1B">
          <w:rPr>
            <w:rStyle w:val="a5"/>
            <w:rFonts w:ascii="Times New Roman" w:eastAsia="新細明體" w:hAnsi="Times New Roman"/>
          </w:rPr>
          <w:t>條</w:t>
        </w:r>
      </w:hyperlink>
      <w:r w:rsidR="00203F72" w:rsidRPr="003B41D4">
        <w:t>第</w:t>
      </w:r>
      <w:r w:rsidR="00203F72" w:rsidRPr="003B41D4">
        <w:t>1</w:t>
      </w:r>
      <w:r w:rsidR="00203F72" w:rsidRPr="003B41D4">
        <w:t>項亦規定「意圖」供製造鴉片、嗎啡之用，而栽種罌粟者，構成栽種罌粟罪。林山田教授認為普通刑</w:t>
      </w:r>
      <w:r w:rsidR="005D664B" w:rsidRPr="003B41D4">
        <w:t>法</w:t>
      </w:r>
      <w:hyperlink r:id="rId1655" w:anchor="a260" w:history="1">
        <w:r w:rsidR="005D664B" w:rsidRPr="001F6A1B">
          <w:rPr>
            <w:rStyle w:val="a5"/>
            <w:rFonts w:ascii="Times New Roman" w:eastAsia="新細明體" w:hAnsi="Times New Roman"/>
          </w:rPr>
          <w:t>第</w:t>
        </w:r>
        <w:r w:rsidR="005D664B" w:rsidRPr="001F6A1B">
          <w:rPr>
            <w:rStyle w:val="a5"/>
            <w:rFonts w:ascii="Times New Roman" w:eastAsia="新細明體" w:hAnsi="Times New Roman"/>
          </w:rPr>
          <w:t>260</w:t>
        </w:r>
        <w:r w:rsidR="005D664B" w:rsidRPr="001F6A1B">
          <w:rPr>
            <w:rStyle w:val="a5"/>
            <w:rFonts w:ascii="Times New Roman" w:eastAsia="新細明體" w:hAnsi="Times New Roman"/>
          </w:rPr>
          <w:t>條</w:t>
        </w:r>
      </w:hyperlink>
      <w:r w:rsidR="00203F72" w:rsidRPr="003B41D4">
        <w:t>第</w:t>
      </w:r>
      <w:r w:rsidR="00203F72" w:rsidRPr="003B41D4">
        <w:t>1</w:t>
      </w:r>
      <w:r w:rsidR="00203F72" w:rsidRPr="003B41D4">
        <w:t>項主觀之構成要件，必須同時具備栽種故意及供製造鴉片、嗎啡之用之不法意圖，亦即，必須同時具備「故意」及「不法意圖」，而為刑</w:t>
      </w:r>
      <w:r w:rsidR="005D664B" w:rsidRPr="003B41D4">
        <w:t>法</w:t>
      </w:r>
      <w:hyperlink r:id="rId1656" w:anchor="a260" w:history="1">
        <w:r w:rsidR="005D664B" w:rsidRPr="001F6A1B">
          <w:rPr>
            <w:rStyle w:val="a5"/>
            <w:rFonts w:ascii="Times New Roman" w:eastAsia="新細明體" w:hAnsi="Times New Roman"/>
          </w:rPr>
          <w:t>第</w:t>
        </w:r>
        <w:r w:rsidR="005D664B" w:rsidRPr="001F6A1B">
          <w:rPr>
            <w:rStyle w:val="a5"/>
            <w:rFonts w:ascii="Times New Roman" w:eastAsia="新細明體" w:hAnsi="Times New Roman"/>
          </w:rPr>
          <w:t>260</w:t>
        </w:r>
        <w:r w:rsidR="005D664B" w:rsidRPr="001F6A1B">
          <w:rPr>
            <w:rStyle w:val="a5"/>
            <w:rFonts w:ascii="Times New Roman" w:eastAsia="新細明體" w:hAnsi="Times New Roman"/>
          </w:rPr>
          <w:t>條</w:t>
        </w:r>
      </w:hyperlink>
      <w:r w:rsidR="00203F72" w:rsidRPr="003B41D4">
        <w:t>第</w:t>
      </w:r>
      <w:r w:rsidR="00203F72" w:rsidRPr="003B41D4">
        <w:t>1</w:t>
      </w:r>
      <w:r w:rsidR="00203F72" w:rsidRPr="003B41D4">
        <w:t>項罪行之栽種罌粟行為，始構成本罪，若係因出自於植物學研究或是供觀賞之用，因行為人不具備本罪之不法意圖而栽種罌粟，自不構成本罪。是以，根據林山田教授之看法，就普通刑</w:t>
      </w:r>
      <w:r w:rsidR="005D664B" w:rsidRPr="003B41D4">
        <w:t>法</w:t>
      </w:r>
      <w:hyperlink r:id="rId1657" w:anchor="a260" w:history="1">
        <w:r w:rsidR="005D664B" w:rsidRPr="001F6A1B">
          <w:rPr>
            <w:rStyle w:val="a5"/>
            <w:rFonts w:ascii="Times New Roman" w:eastAsia="新細明體" w:hAnsi="Times New Roman"/>
          </w:rPr>
          <w:t>第</w:t>
        </w:r>
        <w:r w:rsidR="005D664B" w:rsidRPr="001F6A1B">
          <w:rPr>
            <w:rStyle w:val="a5"/>
            <w:rFonts w:ascii="Times New Roman" w:eastAsia="新細明體" w:hAnsi="Times New Roman"/>
          </w:rPr>
          <w:t>260</w:t>
        </w:r>
        <w:r w:rsidR="005D664B" w:rsidRPr="001F6A1B">
          <w:rPr>
            <w:rStyle w:val="a5"/>
            <w:rFonts w:ascii="Times New Roman" w:eastAsia="新細明體" w:hAnsi="Times New Roman"/>
          </w:rPr>
          <w:t>條</w:t>
        </w:r>
      </w:hyperlink>
      <w:r w:rsidR="00203F72" w:rsidRPr="003B41D4">
        <w:t>第</w:t>
      </w:r>
      <w:r w:rsidR="00203F72" w:rsidRPr="003B41D4">
        <w:t>1</w:t>
      </w:r>
      <w:r w:rsidR="00203F72" w:rsidRPr="003B41D4">
        <w:t>項而論，仍宜以具有供製造鴉片、嗎啡之用之不法意圖為佳</w:t>
      </w:r>
      <w:r w:rsidR="00203F72" w:rsidRPr="003B41D4">
        <w:footnoteReference w:id="381"/>
      </w:r>
      <w:r w:rsidR="00203F72" w:rsidRPr="003B41D4">
        <w:t>。另外，有關打擊毒品犯罪，是否必須使用極刑</w:t>
      </w:r>
      <w:r w:rsidR="00D92F56" w:rsidRPr="003B41D4">
        <w:t>〜</w:t>
      </w:r>
      <w:r w:rsidR="00203F72" w:rsidRPr="003B41D4">
        <w:t>死刑，本書持較保留之看法，認為此一議題，相當值得深入研究之。</w:t>
      </w:r>
    </w:p>
    <w:p w14:paraId="14BDA50B" w14:textId="77777777" w:rsidR="00953151" w:rsidRPr="003B41D4" w:rsidRDefault="0039258A" w:rsidP="00D87D91">
      <w:r w:rsidRPr="003B41D4">
        <w:t xml:space="preserve">　　</w:t>
      </w:r>
      <w:r w:rsidR="00203F72" w:rsidRPr="003B41D4">
        <w:t>我國在戡亂時期中，主要之反毒刑事特別法律，第一部為</w:t>
      </w:r>
      <w:r w:rsidR="00993D73" w:rsidRPr="003B41D4">
        <w:t>「</w:t>
      </w:r>
      <w:hyperlink r:id="rId1658" w:history="1">
        <w:r w:rsidR="00993D73" w:rsidRPr="00993D73">
          <w:rPr>
            <w:rStyle w:val="a5"/>
            <w:rFonts w:ascii="Times New Roman" w:eastAsia="新細明體" w:hAnsi="Times New Roman"/>
          </w:rPr>
          <w:t>戡亂時期肅清煙毒條例</w:t>
        </w:r>
      </w:hyperlink>
      <w:r w:rsidR="00203F72" w:rsidRPr="003B41D4">
        <w:t>」，第二部則為「</w:t>
      </w:r>
      <w:hyperlink r:id="rId1659" w:history="1">
        <w:r w:rsidR="00203F72" w:rsidRPr="00F272F6">
          <w:rPr>
            <w:rStyle w:val="a5"/>
            <w:rFonts w:ascii="Times New Roman" w:eastAsia="新細明體" w:hAnsi="Times New Roman"/>
          </w:rPr>
          <w:t>麻醉藥品管理條例</w:t>
        </w:r>
      </w:hyperlink>
      <w:r w:rsidR="00203F72" w:rsidRPr="003B41D4">
        <w:t>」，兩部刑事特別法均採取刑罰之手段，嚴打台灣地區之毒品犯罪。</w:t>
      </w:r>
    </w:p>
    <w:p w14:paraId="4A715928" w14:textId="77777777" w:rsidR="00953151" w:rsidRPr="003B41D4" w:rsidRDefault="0039258A" w:rsidP="00D87D91">
      <w:r w:rsidRPr="003B41D4">
        <w:t xml:space="preserve">　　</w:t>
      </w:r>
      <w:r w:rsidR="00203F72" w:rsidRPr="003B41D4">
        <w:t>因我國政府於民國</w:t>
      </w:r>
      <w:r w:rsidR="00203F72" w:rsidRPr="003B41D4">
        <w:t>79</w:t>
      </w:r>
      <w:r w:rsidR="00203F72" w:rsidRPr="003B41D4">
        <w:t>年</w:t>
      </w:r>
      <w:r w:rsidR="00203F72" w:rsidRPr="003B41D4">
        <w:t>(1990</w:t>
      </w:r>
      <w:r w:rsidR="00203F72" w:rsidRPr="003B41D4">
        <w:t>年</w:t>
      </w:r>
      <w:r w:rsidR="00203F72" w:rsidRPr="003B41D4">
        <w:t>)10</w:t>
      </w:r>
      <w:r w:rsidR="00203F72" w:rsidRPr="003B41D4">
        <w:t>月，將安非他命類藥物列入「麻醉藥品管理條例」中加以管制，因而引發衛生署將安非他命列入麻醉藥品類之公告違憲之爭議。</w:t>
      </w:r>
    </w:p>
    <w:p w14:paraId="79763C47" w14:textId="77777777" w:rsidR="00953151" w:rsidRPr="003B41D4" w:rsidRDefault="0039258A" w:rsidP="00D87D91">
      <w:r w:rsidRPr="003B41D4">
        <w:t xml:space="preserve">　　</w:t>
      </w:r>
      <w:r w:rsidR="00203F72" w:rsidRPr="003B41D4">
        <w:t>根據民國</w:t>
      </w:r>
      <w:r w:rsidR="00203F72" w:rsidRPr="003B41D4">
        <w:t> 84</w:t>
      </w:r>
      <w:r w:rsidR="00203F72" w:rsidRPr="003B41D4">
        <w:t>年</w:t>
      </w:r>
      <w:r w:rsidR="00203F72" w:rsidRPr="003B41D4">
        <w:t>(1995</w:t>
      </w:r>
      <w:r w:rsidR="00203F72" w:rsidRPr="003B41D4">
        <w:t>年</w:t>
      </w:r>
      <w:r w:rsidR="00203F72" w:rsidRPr="003B41D4">
        <w:t>)3</w:t>
      </w:r>
      <w:r w:rsidR="00203F72" w:rsidRPr="003B41D4">
        <w:t>月</w:t>
      </w:r>
      <w:r w:rsidR="00203F72" w:rsidRPr="003B41D4">
        <w:t>31</w:t>
      </w:r>
      <w:r w:rsidR="00203F72" w:rsidRPr="003B41D4">
        <w:t>日大法官釋字第</w:t>
      </w:r>
      <w:r w:rsidR="00203F72" w:rsidRPr="003B41D4">
        <w:t>376</w:t>
      </w:r>
      <w:r w:rsidR="00203F72" w:rsidRPr="003B41D4">
        <w:t>之解釋，「化學合成麻醉藥品類及其製劑係為麻醉藥品管理條例所稱麻醉藥品之一種，為同條例第二條第四款所明定。安非他命係以化學原料合成而具有成癮性之藥品，行政院衛生署於中華民國七十九年十月九日以衛署藥字第九</w:t>
      </w:r>
      <w:r w:rsidR="00203F72" w:rsidRPr="003B41D4">
        <w:t>○</w:t>
      </w:r>
      <w:r w:rsidR="00203F72" w:rsidRPr="003B41D4">
        <w:t>四一四二號公告，將安非他命列入麻醉藥品管理條例所稱化學合成麻醉藥品類，係在公告確定其列為管理之項目，並非增列處罰規定或增加人民之義務，與憲法並無牴觸。」</w:t>
      </w:r>
    </w:p>
    <w:p w14:paraId="47F36D73" w14:textId="77777777" w:rsidR="00953151" w:rsidRPr="003B41D4" w:rsidRDefault="0039258A" w:rsidP="00D87D91">
      <w:r w:rsidRPr="003B41D4">
        <w:t xml:space="preserve">　　</w:t>
      </w:r>
      <w:r w:rsidR="00203F72" w:rsidRPr="003B41D4">
        <w:t>依據釋字</w:t>
      </w:r>
      <w:hyperlink r:id="rId1660"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F272F6" w:rsidRPr="003B41D4">
        <w:t>解釋</w:t>
      </w:r>
      <w:r w:rsidR="00203F72" w:rsidRPr="003B41D4">
        <w:t>文之理由書內容，</w:t>
      </w:r>
      <w:r w:rsidR="00F272F6" w:rsidRPr="003B41D4">
        <w:t>字</w:t>
      </w:r>
      <w:hyperlink r:id="rId1661"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203F72" w:rsidRPr="003B41D4">
        <w:t>解釋文理由書指出「安非他命如長期使用，將具耐藥性，同時有心理及生理上之依藥性，產生類似精神分裂症之錯覺、幻覺、妄想並伴有行動與性格異常等副作用，更具有暴力攻擊及反社會行為等傾向，不但影響個人身心健康，且危害社會公共安寧。」因安非他命具有成癮性，故屬麻醉藥品管理條例第二條第四款與麻醉藥品管理條例施行細則第八條所稱之麻醉藥品。</w:t>
      </w:r>
    </w:p>
    <w:p w14:paraId="60BA9FC7" w14:textId="77777777" w:rsidR="00953151" w:rsidRPr="003B41D4" w:rsidRDefault="0039258A" w:rsidP="00D87D91">
      <w:r w:rsidRPr="003B41D4">
        <w:t xml:space="preserve">　　</w:t>
      </w:r>
      <w:r w:rsidR="00203F72" w:rsidRPr="003B41D4">
        <w:t>再者，根據大法官釋字</w:t>
      </w:r>
      <w:r w:rsidR="00F272F6" w:rsidRPr="003B41D4">
        <w:t>字</w:t>
      </w:r>
      <w:hyperlink r:id="rId1662"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203F72" w:rsidRPr="003B41D4">
        <w:t>解釋文之意旨，衛生署於民國七十九年十月九日以衛署藥字第九</w:t>
      </w:r>
      <w:r w:rsidR="00203F72" w:rsidRPr="003B41D4">
        <w:t>○</w:t>
      </w:r>
      <w:r w:rsidR="00203F72" w:rsidRPr="003B41D4">
        <w:t>四一四二號公告，將安非他命列入麻醉藥品管理條例所稱化學合成麻醉藥品類，其主要的理由，大法官們有考量以下的重要因素：安非他命如長期使用，將具耐藥性及依藥性，行會人會產生類似精神分裂症之錯覺、幻覺、妄想並伴有行動與性格異常等副作用，更具有暴力攻擊及反社會行為等傾向。係為維持社會秩序，增進公共利益所必要，是屬於合憲性之行為。大法官在釋字</w:t>
      </w:r>
      <w:r w:rsidR="00F272F6" w:rsidRPr="003B41D4">
        <w:t>字</w:t>
      </w:r>
      <w:hyperlink r:id="rId1663"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203F72" w:rsidRPr="003B41D4">
        <w:t>解釋文中，絕大多數之大法官們均贊同此種看法與見解。本書認為，上開大法官釋字</w:t>
      </w:r>
      <w:r w:rsidR="00F272F6" w:rsidRPr="003B41D4">
        <w:t>字</w:t>
      </w:r>
      <w:hyperlink r:id="rId1664"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203F72" w:rsidRPr="003B41D4">
        <w:t>解釋文的見解，是相當妥適。</w:t>
      </w:r>
    </w:p>
    <w:p w14:paraId="72908EAD" w14:textId="77777777" w:rsidR="00953151" w:rsidRPr="003B41D4" w:rsidRDefault="0039258A" w:rsidP="00D87D91">
      <w:r w:rsidRPr="003B41D4">
        <w:t xml:space="preserve">　　</w:t>
      </w:r>
      <w:r w:rsidR="00203F72" w:rsidRPr="003B41D4">
        <w:t>麻醉藥品管理條例</w:t>
      </w:r>
      <w:hyperlink r:id="rId1665" w:anchor="a2" w:history="1">
        <w:r w:rsidR="00203F72" w:rsidRPr="00F272F6">
          <w:rPr>
            <w:rStyle w:val="a5"/>
            <w:rFonts w:ascii="Times New Roman" w:eastAsia="新細明體" w:hAnsi="Times New Roman"/>
          </w:rPr>
          <w:t>第二條</w:t>
        </w:r>
      </w:hyperlink>
      <w:r w:rsidR="00203F72" w:rsidRPr="003B41D4">
        <w:t>第四款所定「化學合成類麻醉藥品」係屬空白</w:t>
      </w:r>
      <w:hyperlink r:id="rId1666" w:history="1">
        <w:r w:rsidR="006B7176" w:rsidRPr="006B7176">
          <w:rPr>
            <w:rStyle w:val="a5"/>
            <w:rFonts w:eastAsia="新細明體"/>
            <w:kern w:val="0"/>
          </w:rPr>
          <w:t>刑法</w:t>
        </w:r>
      </w:hyperlink>
      <w:r w:rsidR="00203F72" w:rsidRPr="003B41D4">
        <w:t>條款，尚待衛生署隨時針對台灣社會新興毒品遭受濫用之實況，發布行政命令加以補充之，而上述之衛署藥字第九</w:t>
      </w:r>
      <w:r w:rsidR="00203F72" w:rsidRPr="003B41D4">
        <w:t>○</w:t>
      </w:r>
      <w:r w:rsidR="00203F72" w:rsidRPr="003B41D4">
        <w:t>四一四二號公告，係屬補充空白</w:t>
      </w:r>
      <w:hyperlink r:id="rId1667" w:history="1">
        <w:r w:rsidR="006B7176" w:rsidRPr="006B7176">
          <w:rPr>
            <w:rStyle w:val="a5"/>
            <w:rFonts w:eastAsia="新細明體"/>
            <w:kern w:val="0"/>
          </w:rPr>
          <w:t>刑法</w:t>
        </w:r>
      </w:hyperlink>
      <w:r w:rsidR="00203F72" w:rsidRPr="003B41D4">
        <w:t>條款之行政命令，我國司法實務上認為此種委任立法，仍受立法權之監督，故尚符合罪</w:t>
      </w:r>
      <w:hyperlink r:id="rId1668" w:history="1">
        <w:r w:rsidR="006B7176" w:rsidRPr="006B7176">
          <w:rPr>
            <w:rStyle w:val="a5"/>
            <w:rFonts w:eastAsia="新細明體"/>
            <w:kern w:val="0"/>
          </w:rPr>
          <w:t>刑法</w:t>
        </w:r>
      </w:hyperlink>
      <w:r w:rsidR="00203F72" w:rsidRPr="003B41D4">
        <w:t>定之原則</w:t>
      </w:r>
      <w:r w:rsidR="00203F72" w:rsidRPr="003B41D4">
        <w:footnoteReference w:id="382"/>
      </w:r>
      <w:r w:rsidR="00203F72" w:rsidRPr="003B41D4">
        <w:t>。</w:t>
      </w:r>
    </w:p>
    <w:p w14:paraId="2EBE6694" w14:textId="77777777" w:rsidR="003B41D4"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00E91F89">
        <w:rPr>
          <w:rFonts w:ascii="新細明體" w:hAnsi="新細明體"/>
          <w:color w:val="808000"/>
        </w:rPr>
        <w:t>〉〉</w:t>
      </w:r>
    </w:p>
    <w:p w14:paraId="59720C9D" w14:textId="77777777" w:rsidR="003B41D4" w:rsidRPr="003B41D4" w:rsidRDefault="003B41D4" w:rsidP="00D87D91"/>
    <w:p w14:paraId="075ABC81" w14:textId="77777777" w:rsidR="00953151" w:rsidRDefault="00203F72" w:rsidP="00767F37">
      <w:pPr>
        <w:pStyle w:val="2"/>
      </w:pPr>
      <w:bookmarkStart w:id="73" w:name="_陸、當前毒品危害防制條例時期之毒品刑事政策(1998至迄今)：病犯並存"/>
      <w:bookmarkEnd w:id="73"/>
      <w:r w:rsidRPr="00A53581">
        <w:t>陸、當前毒品危害防制條例時期之毒品刑事政策</w:t>
      </w:r>
      <w:r w:rsidRPr="00A53581">
        <w:t>(1998</w:t>
      </w:r>
      <w:r w:rsidRPr="00A53581">
        <w:t>至迄今</w:t>
      </w:r>
      <w:r w:rsidRPr="00A53581">
        <w:t>)</w:t>
      </w:r>
      <w:r w:rsidRPr="00A53581">
        <w:t>：病犯並存、務實處理</w:t>
      </w:r>
    </w:p>
    <w:p w14:paraId="3EFE4FB2" w14:textId="77777777" w:rsidR="00953151" w:rsidRPr="003B41D4" w:rsidRDefault="0039258A" w:rsidP="00D87D91">
      <w:r w:rsidRPr="003B41D4">
        <w:t xml:space="preserve">　　</w:t>
      </w:r>
      <w:r w:rsidR="00203F72" w:rsidRPr="003B41D4">
        <w:t>在當前</w:t>
      </w:r>
      <w:r w:rsidR="00ED5438" w:rsidRPr="003B41D4">
        <w:t>「</w:t>
      </w:r>
      <w:hyperlink r:id="rId1669" w:history="1">
        <w:r w:rsidR="00ED5438" w:rsidRPr="00ED5438">
          <w:rPr>
            <w:rStyle w:val="a5"/>
            <w:rFonts w:ascii="Times New Roman" w:eastAsia="新細明體" w:hAnsi="Times New Roman"/>
          </w:rPr>
          <w:t>毒品危害防制條例</w:t>
        </w:r>
      </w:hyperlink>
      <w:r w:rsidR="00203F72" w:rsidRPr="003B41D4">
        <w:t>」時期之毒品刑事政策的實質內涵方面，「毒品防制條例」之毒品刑事政策，對於毒品施用者而論，已放棄純粹之犯罪觀，而改採綜合性之觀點，亦即，毒品病犯具有雙重角色，一方面是犯罪人，另外一方面，亦同時兼具有病人之屬性，這是一種結合犯罪觀</w:t>
      </w:r>
      <w:r w:rsidR="00203F72" w:rsidRPr="003B41D4">
        <w:t>(</w:t>
      </w:r>
      <w:r w:rsidR="00203F72" w:rsidRPr="003B41D4">
        <w:t>含行政刑罰</w:t>
      </w:r>
      <w:r w:rsidR="00203F72" w:rsidRPr="003B41D4">
        <w:t>)</w:t>
      </w:r>
      <w:r w:rsidR="00203F72" w:rsidRPr="003B41D4">
        <w:t>及醫療觀之毒品刑事政策，是一種綜合型之毒品刑事政策，此種的毒品刑事政策，本書認為是一種相當進步的毒品管制政策。</w:t>
      </w:r>
    </w:p>
    <w:p w14:paraId="3D44274C" w14:textId="77777777" w:rsidR="00953151" w:rsidRPr="003B41D4" w:rsidRDefault="0039258A" w:rsidP="00D87D91">
      <w:r w:rsidRPr="003B41D4">
        <w:t xml:space="preserve">　　</w:t>
      </w:r>
      <w:r w:rsidR="00203F72" w:rsidRPr="003B41D4">
        <w:t>於民國</w:t>
      </w:r>
      <w:r w:rsidR="00203F72" w:rsidRPr="003B41D4">
        <w:t>83</w:t>
      </w:r>
      <w:r w:rsidR="00203F72" w:rsidRPr="003B41D4">
        <w:t>年</w:t>
      </w:r>
      <w:r w:rsidR="00203F72" w:rsidRPr="003B41D4">
        <w:t>(1994</w:t>
      </w:r>
      <w:r w:rsidR="00203F72" w:rsidRPr="003B41D4">
        <w:t>年</w:t>
      </w:r>
      <w:r w:rsidR="00203F72" w:rsidRPr="003B41D4">
        <w:t>)</w:t>
      </w:r>
      <w:r w:rsidR="00203F72" w:rsidRPr="003B41D4">
        <w:t>，「</w:t>
      </w:r>
      <w:hyperlink r:id="rId1670" w:history="1">
        <w:r w:rsidR="00203F72" w:rsidRPr="00ED5438">
          <w:rPr>
            <w:rStyle w:val="a5"/>
            <w:rFonts w:ascii="Times New Roman" w:eastAsia="新細明體" w:hAnsi="Times New Roman"/>
          </w:rPr>
          <w:t>肅清煙毒條例</w:t>
        </w:r>
      </w:hyperlink>
      <w:r w:rsidR="00203F72" w:rsidRPr="003B41D4">
        <w:t>」做相當大幅度之改正，且幾近是全新面貌之修正，並另行更名為</w:t>
      </w:r>
      <w:r w:rsidR="00ED5438" w:rsidRPr="003B41D4">
        <w:t>「</w:t>
      </w:r>
      <w:hyperlink r:id="rId1671" w:history="1">
        <w:r w:rsidR="00ED5438" w:rsidRPr="00ED5438">
          <w:rPr>
            <w:rStyle w:val="a5"/>
            <w:rFonts w:ascii="Times New Roman" w:eastAsia="新細明體" w:hAnsi="Times New Roman"/>
          </w:rPr>
          <w:t>毒品危害防制條例</w:t>
        </w:r>
      </w:hyperlink>
      <w:r w:rsidR="00203F72" w:rsidRPr="003B41D4">
        <w:t>」。於民國</w:t>
      </w:r>
      <w:r w:rsidR="00203F72" w:rsidRPr="003B41D4">
        <w:t>87</w:t>
      </w:r>
      <w:r w:rsidR="00203F72" w:rsidRPr="003B41D4">
        <w:t>年</w:t>
      </w:r>
      <w:r w:rsidR="00203F72" w:rsidRPr="003B41D4">
        <w:t>(1998</w:t>
      </w:r>
      <w:r w:rsidR="00203F72" w:rsidRPr="003B41D4">
        <w:t>年</w:t>
      </w:r>
      <w:r w:rsidR="00203F72" w:rsidRPr="003B41D4">
        <w:t>)5</w:t>
      </w:r>
      <w:r w:rsidR="00203F72" w:rsidRPr="003B41D4">
        <w:t>月</w:t>
      </w:r>
      <w:r w:rsidR="00203F72" w:rsidRPr="003B41D4">
        <w:t>20</w:t>
      </w:r>
      <w:r w:rsidR="00203F72" w:rsidRPr="003B41D4">
        <w:t>日，藉由總統令公布「</w:t>
      </w:r>
      <w:hyperlink r:id="rId1672" w:history="1">
        <w:r w:rsidR="00203F72" w:rsidRPr="00ED5438">
          <w:rPr>
            <w:rStyle w:val="a5"/>
            <w:rFonts w:ascii="Times New Roman" w:eastAsia="新細明體" w:hAnsi="Times New Roman"/>
          </w:rPr>
          <w:t>毒品危害防制條例</w:t>
        </w:r>
      </w:hyperlink>
      <w:r w:rsidR="00203F72" w:rsidRPr="003B41D4">
        <w:t>」</w:t>
      </w:r>
      <w:r w:rsidR="00203F72" w:rsidRPr="003B41D4">
        <w:footnoteReference w:id="383"/>
      </w:r>
      <w:r w:rsidR="00203F72" w:rsidRPr="003B41D4">
        <w:t>。另與反毒較為密切相關之法規，尚有洗錢防制法，該法於民國</w:t>
      </w:r>
      <w:r w:rsidR="00203F72" w:rsidRPr="003B41D4">
        <w:t>85</w:t>
      </w:r>
      <w:r w:rsidR="00203F72" w:rsidRPr="003B41D4">
        <w:t>年</w:t>
      </w:r>
      <w:r w:rsidR="00203F72" w:rsidRPr="003B41D4">
        <w:t>(1996</w:t>
      </w:r>
      <w:r w:rsidR="00203F72" w:rsidRPr="003B41D4">
        <w:t>年</w:t>
      </w:r>
      <w:r w:rsidR="00203F72" w:rsidRPr="003B41D4">
        <w:t>)10</w:t>
      </w:r>
      <w:r w:rsidR="00203F72" w:rsidRPr="003B41D4">
        <w:t>月</w:t>
      </w:r>
      <w:r w:rsidR="00203F72" w:rsidRPr="003B41D4">
        <w:t>23</w:t>
      </w:r>
      <w:r w:rsidR="00203F72" w:rsidRPr="003B41D4">
        <w:t>日經總統令公布</w:t>
      </w:r>
      <w:r w:rsidR="00203F72" w:rsidRPr="003B41D4">
        <w:footnoteReference w:id="384"/>
      </w:r>
      <w:r w:rsidR="00203F72" w:rsidRPr="003B41D4">
        <w:t>。</w:t>
      </w:r>
    </w:p>
    <w:p w14:paraId="7AA45AF5" w14:textId="77777777" w:rsidR="00953151" w:rsidRPr="003B41D4" w:rsidRDefault="00203F72" w:rsidP="00D87D91">
      <w:r w:rsidRPr="003B41D4">
        <w:t xml:space="preserve">　　於民國</w:t>
      </w:r>
      <w:r w:rsidRPr="003B41D4">
        <w:t>83</w:t>
      </w:r>
      <w:r w:rsidRPr="003B41D4">
        <w:t>年</w:t>
      </w:r>
      <w:r w:rsidRPr="003B41D4">
        <w:t>(1994</w:t>
      </w:r>
      <w:r w:rsidRPr="003B41D4">
        <w:t>年</w:t>
      </w:r>
      <w:r w:rsidRPr="003B41D4">
        <w:t>)</w:t>
      </w:r>
      <w:r w:rsidRPr="003B41D4">
        <w:t>，依據立法院第二屆第四會期司法與內政及邊政兩委員會審查</w:t>
      </w:r>
      <w:r w:rsidR="00CC3ABF" w:rsidRPr="003B41D4">
        <w:t>「</w:t>
      </w:r>
      <w:hyperlink r:id="rId1673" w:history="1">
        <w:r w:rsidR="00CC3ABF" w:rsidRPr="00ED5438">
          <w:rPr>
            <w:rStyle w:val="a5"/>
            <w:rFonts w:ascii="Times New Roman" w:eastAsia="新細明體" w:hAnsi="Times New Roman"/>
          </w:rPr>
          <w:t>肅清煙毒條例</w:t>
        </w:r>
      </w:hyperlink>
      <w:r w:rsidRPr="003B41D4">
        <w:t>修正草案」等案第一次聯席會議的紀錄進行文獻的檢</w:t>
      </w:r>
      <w:r w:rsidR="003E240E">
        <w:t>視</w:t>
      </w:r>
      <w:r w:rsidRPr="003B41D4">
        <w:t>與檢討</w:t>
      </w:r>
      <w:r w:rsidRPr="003B41D4">
        <w:footnoteReference w:id="385"/>
      </w:r>
      <w:r w:rsidRPr="003B41D4">
        <w:t>，顯示當時馬英九部長</w:t>
      </w:r>
      <w:r w:rsidRPr="003B41D4">
        <w:t>(</w:t>
      </w:r>
      <w:r w:rsidRPr="003B41D4">
        <w:t>現任我國總統</w:t>
      </w:r>
      <w:r w:rsidRPr="003B41D4">
        <w:t>)</w:t>
      </w:r>
      <w:r w:rsidRPr="003B41D4">
        <w:t>係為此一時期之關鍵人物</w:t>
      </w:r>
      <w:r w:rsidRPr="003B41D4">
        <w:t>(key person)</w:t>
      </w:r>
      <w:r w:rsidRPr="003B41D4">
        <w:t>，其曾說明</w:t>
      </w:r>
      <w:r w:rsidR="00CC3ABF" w:rsidRPr="003B41D4">
        <w:t>「</w:t>
      </w:r>
      <w:hyperlink r:id="rId1674" w:history="1">
        <w:r w:rsidR="00CC3ABF" w:rsidRPr="00ED5438">
          <w:rPr>
            <w:rStyle w:val="a5"/>
            <w:rFonts w:ascii="Times New Roman" w:eastAsia="新細明體" w:hAnsi="Times New Roman"/>
          </w:rPr>
          <w:t>肅清煙毒條例</w:t>
        </w:r>
      </w:hyperlink>
      <w:r w:rsidRPr="003B41D4">
        <w:t>修正草案」之修正要旨。當時之馬英九部長</w:t>
      </w:r>
      <w:r w:rsidRPr="003B41D4">
        <w:t>(</w:t>
      </w:r>
      <w:r w:rsidRPr="003B41D4">
        <w:t>現任我國總統</w:t>
      </w:r>
      <w:r w:rsidRPr="003B41D4">
        <w:t>)</w:t>
      </w:r>
      <w:r w:rsidRPr="003B41D4">
        <w:t>作如下之表示</w:t>
      </w:r>
      <w:r w:rsidRPr="003B41D4">
        <w:footnoteReference w:id="386"/>
      </w:r>
      <w:r w:rsidRPr="003B41D4">
        <w:t>：</w:t>
      </w:r>
    </w:p>
    <w:p w14:paraId="0E426CBB" w14:textId="77777777" w:rsidR="00953151" w:rsidRPr="003B41D4" w:rsidRDefault="0039258A" w:rsidP="00D87D91">
      <w:r w:rsidRPr="003B41D4">
        <w:t xml:space="preserve">　　</w:t>
      </w:r>
      <w:r w:rsidR="00CC3ABF" w:rsidRPr="003B41D4">
        <w:t>「</w:t>
      </w:r>
      <w:hyperlink r:id="rId1675" w:history="1">
        <w:r w:rsidR="00CC3ABF" w:rsidRPr="00ED5438">
          <w:rPr>
            <w:rStyle w:val="a5"/>
            <w:rFonts w:ascii="Times New Roman" w:eastAsia="新細明體" w:hAnsi="Times New Roman"/>
          </w:rPr>
          <w:t>肅清煙毒條例</w:t>
        </w:r>
      </w:hyperlink>
      <w:r w:rsidR="00203F72" w:rsidRPr="003B41D4">
        <w:t>係於民國</w:t>
      </w:r>
      <w:r w:rsidR="00203F72" w:rsidRPr="003B41D4">
        <w:t>44</w:t>
      </w:r>
      <w:r w:rsidR="00203F72" w:rsidRPr="003B41D4">
        <w:t>年</w:t>
      </w:r>
      <w:r w:rsidR="00203F72" w:rsidRPr="003B41D4">
        <w:t>(1955</w:t>
      </w:r>
      <w:r w:rsidR="00203F72" w:rsidRPr="003B41D4">
        <w:t>年</w:t>
      </w:r>
      <w:r w:rsidR="00203F72" w:rsidRPr="003B41D4">
        <w:t>)</w:t>
      </w:r>
      <w:r w:rsidR="00203F72" w:rsidRPr="003B41D4">
        <w:t>制定主要為反映當時的反毒政策，然時至今日，已有近</w:t>
      </w:r>
      <w:r w:rsidR="00203F72" w:rsidRPr="003B41D4">
        <w:t>40</w:t>
      </w:r>
      <w:r w:rsidR="00203F72" w:rsidRPr="003B41D4">
        <w:t>年之久，環顧世界，煙毒為名稱者幾乎未見</w:t>
      </w:r>
      <w:r w:rsidR="00203F72" w:rsidRPr="003B41D4">
        <w:t>(</w:t>
      </w:r>
      <w:r w:rsidR="00203F72" w:rsidRPr="003B41D4">
        <w:t>「煙」係指天然成癮性之物，而「毒」係指化學合成物，此種分法，不符合國際反毒之分法</w:t>
      </w:r>
      <w:r w:rsidR="00203F72" w:rsidRPr="003B41D4">
        <w:t>)</w:t>
      </w:r>
      <w:r w:rsidR="00203F72" w:rsidRPr="003B41D4">
        <w:t>，可知修正之必要。雖於民國</w:t>
      </w:r>
      <w:r w:rsidR="00203F72" w:rsidRPr="003B41D4">
        <w:t>81</w:t>
      </w:r>
      <w:r w:rsidR="00203F72" w:rsidRPr="003B41D4">
        <w:t>年</w:t>
      </w:r>
      <w:r w:rsidR="00203F72" w:rsidRPr="003B41D4">
        <w:t>(1992</w:t>
      </w:r>
      <w:r w:rsidR="00203F72" w:rsidRPr="003B41D4">
        <w:t>年</w:t>
      </w:r>
      <w:r w:rsidR="00203F72" w:rsidRPr="003B41D4">
        <w:t>)</w:t>
      </w:r>
      <w:r w:rsidR="00203F72" w:rsidRPr="003B41D4">
        <w:t>曾二度修改，然修改極為有限，僅將運輸製造販賣由唯一死刑改為無期徒刑和死刑。而此次所做的改變可謂大翻修，幾乎將整個條文更動，從前之條文為二十二條，今者共三十七條，且將毒品的定義分為三級，係為革命性的改變，尤對特別惡性重大之案件處以死刑。」</w:t>
      </w:r>
    </w:p>
    <w:p w14:paraId="25520200" w14:textId="77777777" w:rsidR="00953151" w:rsidRPr="003B41D4" w:rsidRDefault="0039258A" w:rsidP="00D87D91">
      <w:r w:rsidRPr="003B41D4">
        <w:t xml:space="preserve">　　</w:t>
      </w:r>
      <w:r w:rsidR="00203F72" w:rsidRPr="003B41D4">
        <w:t>根據上開當時馬英九部長之說明，可發現</w:t>
      </w:r>
      <w:r w:rsidR="00BE652C" w:rsidRPr="003B41D4">
        <w:t>「</w:t>
      </w:r>
      <w:hyperlink r:id="rId1676" w:history="1">
        <w:r w:rsidR="00BE652C" w:rsidRPr="00ED5438">
          <w:rPr>
            <w:rStyle w:val="a5"/>
            <w:rFonts w:ascii="Times New Roman" w:eastAsia="新細明體" w:hAnsi="Times New Roman"/>
          </w:rPr>
          <w:t>肅清煙毒條例</w:t>
        </w:r>
      </w:hyperlink>
      <w:r w:rsidR="00203F72" w:rsidRPr="003B41D4">
        <w:t>」修法之初，擬將名稱修正為「毒品防制條例」，之後，始變更為</w:t>
      </w:r>
      <w:r w:rsidR="00ED5438" w:rsidRPr="003B41D4">
        <w:t>「</w:t>
      </w:r>
      <w:hyperlink r:id="rId1677" w:history="1">
        <w:r w:rsidR="00ED5438" w:rsidRPr="00ED5438">
          <w:rPr>
            <w:rStyle w:val="a5"/>
            <w:rFonts w:ascii="Times New Roman" w:eastAsia="新細明體" w:hAnsi="Times New Roman"/>
          </w:rPr>
          <w:t>毒品危害防制條例</w:t>
        </w:r>
      </w:hyperlink>
      <w:r w:rsidR="00203F72" w:rsidRPr="003B41D4">
        <w:t>」。當時馬英九部長指出，</w:t>
      </w:r>
      <w:r w:rsidR="00ED5438" w:rsidRPr="003B41D4">
        <w:t>「</w:t>
      </w:r>
      <w:hyperlink r:id="rId1678" w:history="1">
        <w:r w:rsidR="00ED5438" w:rsidRPr="00ED5438">
          <w:rPr>
            <w:rStyle w:val="a5"/>
            <w:rFonts w:ascii="Times New Roman" w:eastAsia="新細明體" w:hAnsi="Times New Roman"/>
          </w:rPr>
          <w:t>毒品危害防制條例</w:t>
        </w:r>
      </w:hyperlink>
      <w:r w:rsidR="00203F72" w:rsidRPr="003B41D4">
        <w:t>」之制定，是宣示我國政府反毒政策之重大變革。由此，亦可知</w:t>
      </w:r>
      <w:r w:rsidR="00203F72" w:rsidRPr="003B41D4">
        <w:t>300</w:t>
      </w:r>
      <w:r w:rsidR="00203F72" w:rsidRPr="003B41D4">
        <w:t>餘年來，我國毒品刑事政策是具有變化</w:t>
      </w:r>
      <w:r w:rsidR="00203F72" w:rsidRPr="003B41D4">
        <w:t>(</w:t>
      </w:r>
      <w:r w:rsidR="00203F72" w:rsidRPr="003B41D4">
        <w:t>遷</w:t>
      </w:r>
      <w:r w:rsidR="00203F72" w:rsidRPr="003B41D4">
        <w:t>)</w:t>
      </w:r>
      <w:r w:rsidR="00203F72" w:rsidRPr="003B41D4">
        <w:t>性，而非一成不變。而</w:t>
      </w:r>
      <w:r w:rsidR="00CC3ABF" w:rsidRPr="003B41D4">
        <w:t>「</w:t>
      </w:r>
      <w:hyperlink r:id="rId1679" w:history="1">
        <w:r w:rsidR="00CC3ABF" w:rsidRPr="00ED5438">
          <w:rPr>
            <w:rStyle w:val="a5"/>
            <w:rFonts w:ascii="Times New Roman" w:eastAsia="新細明體" w:hAnsi="Times New Roman"/>
          </w:rPr>
          <w:t>肅清煙毒條例</w:t>
        </w:r>
      </w:hyperlink>
      <w:r w:rsidR="00203F72" w:rsidRPr="003B41D4">
        <w:t>」與</w:t>
      </w:r>
      <w:r w:rsidR="00ED5438" w:rsidRPr="003B41D4">
        <w:t>「</w:t>
      </w:r>
      <w:hyperlink r:id="rId1680" w:history="1">
        <w:r w:rsidR="00ED5438" w:rsidRPr="00ED5438">
          <w:rPr>
            <w:rStyle w:val="a5"/>
            <w:rFonts w:ascii="Times New Roman" w:eastAsia="新細明體" w:hAnsi="Times New Roman"/>
          </w:rPr>
          <w:t>毒品危害防制條例</w:t>
        </w:r>
      </w:hyperlink>
      <w:r w:rsidR="00203F72" w:rsidRPr="003B41D4">
        <w:t>」兩者最大之區別，在於</w:t>
      </w:r>
      <w:r w:rsidR="00CC3ABF" w:rsidRPr="003B41D4">
        <w:t>「</w:t>
      </w:r>
      <w:hyperlink r:id="rId1681" w:history="1">
        <w:r w:rsidR="00CC3ABF" w:rsidRPr="00ED5438">
          <w:rPr>
            <w:rStyle w:val="a5"/>
            <w:rFonts w:ascii="Times New Roman" w:eastAsia="新細明體" w:hAnsi="Times New Roman"/>
          </w:rPr>
          <w:t>肅清煙毒條例</w:t>
        </w:r>
      </w:hyperlink>
      <w:r w:rsidR="00203F72" w:rsidRPr="003B41D4">
        <w:t>」著於重肅清毒品，以肅殺氣息進行反毒工作。而在</w:t>
      </w:r>
      <w:r w:rsidR="00ED5438" w:rsidRPr="003B41D4">
        <w:t>「</w:t>
      </w:r>
      <w:hyperlink r:id="rId1682" w:history="1">
        <w:r w:rsidR="00ED5438" w:rsidRPr="00ED5438">
          <w:rPr>
            <w:rStyle w:val="a5"/>
            <w:rFonts w:ascii="Times New Roman" w:eastAsia="新細明體" w:hAnsi="Times New Roman"/>
          </w:rPr>
          <w:t>毒品危害防制條例</w:t>
        </w:r>
      </w:hyperlink>
      <w:r w:rsidR="00203F72" w:rsidRPr="003B41D4">
        <w:t>」部分，政府改以相當實際之態度，正面看待台灣毒品遭受濫用之問題。認為欲肅清毒品，恐過於理想化，不如退而求其次，從防制毒品危害加以著手。</w:t>
      </w:r>
    </w:p>
    <w:p w14:paraId="56237917" w14:textId="77777777" w:rsidR="00953151" w:rsidRPr="003B41D4" w:rsidRDefault="0039258A" w:rsidP="00D87D91">
      <w:r w:rsidRPr="003B41D4">
        <w:t xml:space="preserve">　　</w:t>
      </w:r>
      <w:r w:rsidR="00203F72" w:rsidRPr="003B41D4">
        <w:t>於民國</w:t>
      </w:r>
      <w:r w:rsidR="00203F72" w:rsidRPr="003B41D4">
        <w:t>92</w:t>
      </w:r>
      <w:r w:rsidR="00203F72" w:rsidRPr="003B41D4">
        <w:t>年</w:t>
      </w:r>
      <w:r w:rsidR="00203F72" w:rsidRPr="003B41D4">
        <w:t>(2003</w:t>
      </w:r>
      <w:r w:rsidR="00203F72" w:rsidRPr="003B41D4">
        <w:t>年</w:t>
      </w:r>
      <w:r w:rsidR="00203F72" w:rsidRPr="003B41D4">
        <w:t>)5</w:t>
      </w:r>
      <w:r w:rsidR="00203F72" w:rsidRPr="003B41D4">
        <w:t>月，法務部提出</w:t>
      </w:r>
      <w:r w:rsidR="00ED5438" w:rsidRPr="003B41D4">
        <w:t>「</w:t>
      </w:r>
      <w:hyperlink r:id="rId1683" w:history="1">
        <w:r w:rsidR="00ED5438" w:rsidRPr="00ED5438">
          <w:rPr>
            <w:rStyle w:val="a5"/>
            <w:rFonts w:ascii="Times New Roman" w:eastAsia="新細明體" w:hAnsi="Times New Roman"/>
          </w:rPr>
          <w:t>毒品危害防制條例</w:t>
        </w:r>
      </w:hyperlink>
      <w:r w:rsidR="00203F72" w:rsidRPr="003B41D4">
        <w:t>」修正草案，此次，是針對民國</w:t>
      </w:r>
      <w:r w:rsidR="00203F72" w:rsidRPr="003B41D4">
        <w:t>87</w:t>
      </w:r>
      <w:r w:rsidR="00203F72" w:rsidRPr="003B41D4">
        <w:t>年施行的</w:t>
      </w:r>
      <w:r w:rsidR="00ED5438" w:rsidRPr="003B41D4">
        <w:t>「</w:t>
      </w:r>
      <w:hyperlink r:id="rId1684" w:history="1">
        <w:r w:rsidR="00ED5438" w:rsidRPr="00ED5438">
          <w:rPr>
            <w:rStyle w:val="a5"/>
            <w:rFonts w:ascii="Times New Roman" w:eastAsia="新細明體" w:hAnsi="Times New Roman"/>
          </w:rPr>
          <w:t>毒品危害防制條例</w:t>
        </w:r>
      </w:hyperlink>
      <w:r w:rsidR="00203F72" w:rsidRPr="003B41D4">
        <w:t>」加以修改，法務部所擬具之</w:t>
      </w:r>
      <w:hyperlink r:id="rId1685" w:history="1">
        <w:r w:rsidR="00BE652C" w:rsidRPr="00ED5438">
          <w:rPr>
            <w:rStyle w:val="a5"/>
            <w:rFonts w:ascii="Times New Roman" w:eastAsia="新細明體" w:hAnsi="Times New Roman"/>
          </w:rPr>
          <w:t>毒品危害防制條例</w:t>
        </w:r>
      </w:hyperlink>
      <w:r w:rsidR="00203F72" w:rsidRPr="003B41D4">
        <w:t>修正草案計刪除三條，修正二十一條、新增八條，共三十二條，其修正重點如下</w:t>
      </w:r>
      <w:r w:rsidR="00203F72" w:rsidRPr="003B41D4">
        <w:footnoteReference w:id="387"/>
      </w:r>
      <w:r w:rsidR="00203F72" w:rsidRPr="003B41D4">
        <w:t>：</w:t>
      </w:r>
    </w:p>
    <w:p w14:paraId="29E93EF3" w14:textId="77777777" w:rsidR="00203F72" w:rsidRPr="00ED5438" w:rsidRDefault="0039258A" w:rsidP="00D87D91">
      <w:r w:rsidRPr="003B41D4">
        <w:t xml:space="preserve">　　</w:t>
      </w:r>
      <w:r w:rsidR="00203F72" w:rsidRPr="003B41D4">
        <w:t>一、增列第四級毒品之處罰規定（修正條</w:t>
      </w:r>
      <w:r w:rsidR="00441941" w:rsidRPr="00ED5438">
        <w:t>文</w:t>
      </w:r>
      <w:hyperlink r:id="rId1686" w:anchor="b2" w:history="1">
        <w:r w:rsidR="00441941" w:rsidRPr="00ED5438">
          <w:rPr>
            <w:rStyle w:val="a5"/>
            <w:rFonts w:ascii="Times New Roman" w:hAnsi="Times New Roman"/>
          </w:rPr>
          <w:t>第二條</w:t>
        </w:r>
      </w:hyperlink>
      <w:r w:rsidR="00203F72" w:rsidRPr="00ED5438">
        <w:t>、</w:t>
      </w:r>
      <w:hyperlink r:id="rId1687" w:anchor="b4" w:history="1">
        <w:r w:rsidR="001B1539" w:rsidRPr="00ED5438">
          <w:rPr>
            <w:rStyle w:val="a5"/>
            <w:kern w:val="0"/>
          </w:rPr>
          <w:t>第四條</w:t>
        </w:r>
      </w:hyperlink>
      <w:r w:rsidR="00203F72" w:rsidRPr="00ED5438">
        <w:t>至第八條、</w:t>
      </w:r>
      <w:r w:rsidR="00000883" w:rsidRPr="00ED5438">
        <w:t>第</w:t>
      </w:r>
      <w:hyperlink r:id="rId1688" w:anchor="b15" w:history="1">
        <w:r w:rsidR="00000883" w:rsidRPr="00ED5438">
          <w:rPr>
            <w:rStyle w:val="a5"/>
            <w:rFonts w:ascii="Times New Roman" w:eastAsia="新細明體" w:hAnsi="Times New Roman"/>
          </w:rPr>
          <w:t>十五</w:t>
        </w:r>
      </w:hyperlink>
      <w:r w:rsidR="00000883" w:rsidRPr="00ED5438">
        <w:t>條</w:t>
      </w:r>
      <w:r w:rsidR="00203F72" w:rsidRPr="00ED5438">
        <w:t>及第</w:t>
      </w:r>
      <w:hyperlink r:id="rId1689" w:anchor="b17" w:history="1">
        <w:r w:rsidR="00203F72" w:rsidRPr="00ED5438">
          <w:rPr>
            <w:rStyle w:val="a5"/>
            <w:rFonts w:ascii="Times New Roman" w:eastAsia="新細明體" w:hAnsi="Times New Roman"/>
          </w:rPr>
          <w:t>十七</w:t>
        </w:r>
      </w:hyperlink>
      <w:r w:rsidR="00203F72" w:rsidRPr="00ED5438">
        <w:t>條）</w:t>
      </w:r>
      <w:r w:rsidR="00203F72" w:rsidRPr="00ED5438">
        <w:footnoteReference w:id="388"/>
      </w:r>
    </w:p>
    <w:p w14:paraId="7420B0B6" w14:textId="77777777" w:rsidR="00203F72" w:rsidRPr="003B41D4" w:rsidRDefault="00203F72" w:rsidP="00D87D91">
      <w:r w:rsidRPr="003B41D4">
        <w:t xml:space="preserve">　</w:t>
      </w:r>
    </w:p>
    <w:p w14:paraId="25283E6A" w14:textId="77777777" w:rsidR="00953151" w:rsidRPr="003B41D4" w:rsidRDefault="0039258A" w:rsidP="00D87D91">
      <w:r>
        <w:t xml:space="preserve">　　</w:t>
      </w:r>
      <w:r w:rsidR="00203F72" w:rsidRPr="00A53581">
        <w:t>我國現行成癮物質之管制係依據聯合國「一九六一年麻醉藥品單一公約」、「一九七一年影響精神物質公約」、「一九八八年禁止非法販運麻醉藥品和精神物質公約」，以規範麻醉藥品及影響精神物質，防止其流、濫用。我國雖非前開公約之締約國，惟毒品犯罪係萬國公罪，我國不能自外於國際社會，且現行「管制藥品管理條例」對於管制藥品係分四級管理，而毒品僅分三級，致第四級管制藥品之刑事處罰的規定，顯已為不足，無法滿足需</w:t>
      </w:r>
      <w:r w:rsidR="00203F72" w:rsidRPr="003B41D4">
        <w:t>求。為期符合國際公約之精神及與「管制藥品管理條例」互相配合，爰於本條例增列第四級毒品之處罰規定。</w:t>
      </w:r>
    </w:p>
    <w:p w14:paraId="13EF2B92" w14:textId="77777777" w:rsidR="00953151" w:rsidRPr="003B41D4" w:rsidRDefault="0039258A" w:rsidP="00D87D91">
      <w:r w:rsidRPr="003B41D4">
        <w:t xml:space="preserve">　　</w:t>
      </w:r>
      <w:r w:rsidR="00203F72" w:rsidRPr="003B41D4">
        <w:t>二、刪除本條例現條文第</w:t>
      </w:r>
      <w:hyperlink r:id="rId1690" w:anchor="b16" w:history="1">
        <w:r w:rsidR="00203F72" w:rsidRPr="00ED5438">
          <w:rPr>
            <w:rStyle w:val="a5"/>
            <w:rFonts w:ascii="Times New Roman" w:eastAsia="新細明體" w:hAnsi="Times New Roman"/>
          </w:rPr>
          <w:t>十六</w:t>
        </w:r>
      </w:hyperlink>
      <w:r w:rsidR="00203F72" w:rsidRPr="003B41D4">
        <w:t>條有關偽證及誣告反坐之規定（修正條文第十五、第十六條）</w:t>
      </w:r>
      <w:r w:rsidR="00203F72" w:rsidRPr="003B41D4">
        <w:footnoteReference w:id="389"/>
      </w:r>
    </w:p>
    <w:p w14:paraId="59674951" w14:textId="77777777" w:rsidR="00953151" w:rsidRPr="003B41D4" w:rsidRDefault="0039258A" w:rsidP="00D87D91">
      <w:r w:rsidRPr="003B41D4">
        <w:t xml:space="preserve">　　</w:t>
      </w:r>
      <w:r w:rsidR="00203F72" w:rsidRPr="003B41D4">
        <w:t>司法院釋字第五五一號解釋認本條規定未顧及行為人負擔刑事責任應以其行為本身之惡害程度予以非難評價之</w:t>
      </w:r>
      <w:hyperlink r:id="rId1691" w:history="1">
        <w:r w:rsidR="006B7176" w:rsidRPr="006B7176">
          <w:rPr>
            <w:rStyle w:val="a5"/>
            <w:rFonts w:eastAsia="新細明體"/>
            <w:kern w:val="0"/>
          </w:rPr>
          <w:t>刑法</w:t>
        </w:r>
      </w:hyperlink>
      <w:r w:rsidR="00203F72" w:rsidRPr="003B41D4">
        <w:t>原則，強調同害之原始報應刑思想，以所誣告罪反坐，所採措置與欲達成目的及所需程度有失均衡；其責任與刑罰不相對應，罪刑未臻目當，與憲</w:t>
      </w:r>
      <w:r w:rsidR="00B525CE" w:rsidRPr="00A53581">
        <w:rPr>
          <w:rFonts w:ascii="新細明體" w:hAnsi="新細明體"/>
        </w:rPr>
        <w:t>法第</w:t>
      </w:r>
      <w:hyperlink r:id="rId1692" w:anchor="a23" w:history="1">
        <w:r w:rsidR="00B525CE" w:rsidRPr="00B525CE">
          <w:rPr>
            <w:rStyle w:val="a5"/>
          </w:rPr>
          <w:t>二十三</w:t>
        </w:r>
      </w:hyperlink>
      <w:r w:rsidR="00B525CE" w:rsidRPr="00A53581">
        <w:rPr>
          <w:rFonts w:ascii="新細明體" w:hAnsi="新細明體"/>
        </w:rPr>
        <w:t>條</w:t>
      </w:r>
      <w:r w:rsidR="00203F72" w:rsidRPr="003B41D4">
        <w:t>所定比例原則未盡相符。爰刪除現行條文第十六條，並修正</w:t>
      </w:r>
      <w:r w:rsidR="00000883" w:rsidRPr="00686D2C">
        <w:t>第</w:t>
      </w:r>
      <w:hyperlink r:id="rId1693" w:anchor="a15" w:history="1">
        <w:r w:rsidR="00000883" w:rsidRPr="004A35C7">
          <w:rPr>
            <w:rStyle w:val="a5"/>
            <w:rFonts w:ascii="Times New Roman" w:eastAsia="新細明體" w:hAnsi="Times New Roman"/>
          </w:rPr>
          <w:t>十五</w:t>
        </w:r>
      </w:hyperlink>
      <w:r w:rsidR="00000883" w:rsidRPr="00686D2C">
        <w:t>條</w:t>
      </w:r>
      <w:r w:rsidR="00203F72" w:rsidRPr="003B41D4">
        <w:t>第二項公務員包庇罪，以符合前開解釋之意旨。</w:t>
      </w:r>
    </w:p>
    <w:p w14:paraId="6A749AFD" w14:textId="77777777" w:rsidR="00203F72" w:rsidRPr="003B41D4" w:rsidRDefault="0039258A" w:rsidP="00D87D91">
      <w:r w:rsidRPr="003B41D4">
        <w:t xml:space="preserve">　　</w:t>
      </w:r>
      <w:r w:rsidR="00203F72" w:rsidRPr="003B41D4">
        <w:t>三、修正簡化施用毒品者之刑事處遇程序（修正條文第</w:t>
      </w:r>
      <w:hyperlink r:id="rId1694" w:anchor="b20" w:history="1">
        <w:r w:rsidR="00203F72" w:rsidRPr="00ED5438">
          <w:rPr>
            <w:rStyle w:val="a5"/>
            <w:rFonts w:ascii="Times New Roman" w:eastAsia="新細明體" w:hAnsi="Times New Roman"/>
          </w:rPr>
          <w:t>二十</w:t>
        </w:r>
      </w:hyperlink>
      <w:r w:rsidR="00203F72" w:rsidRPr="003B41D4">
        <w:t>條及第</w:t>
      </w:r>
      <w:hyperlink r:id="rId1695" w:anchor="b23" w:history="1">
        <w:r w:rsidR="00203F72" w:rsidRPr="00ED5438">
          <w:rPr>
            <w:rStyle w:val="a5"/>
            <w:rFonts w:ascii="Times New Roman" w:eastAsia="新細明體" w:hAnsi="Times New Roman"/>
          </w:rPr>
          <w:t>二十三</w:t>
        </w:r>
      </w:hyperlink>
      <w:r w:rsidR="00203F72" w:rsidRPr="003B41D4">
        <w:t>條）</w:t>
      </w:r>
      <w:r w:rsidR="00203F72" w:rsidRPr="003B41D4">
        <w:footnoteReference w:id="390"/>
      </w:r>
    </w:p>
    <w:p w14:paraId="166AD1B3" w14:textId="77777777" w:rsidR="00953151" w:rsidRPr="003B41D4" w:rsidRDefault="0039258A" w:rsidP="00D87D91">
      <w:r w:rsidRPr="003B41D4">
        <w:t xml:space="preserve">　　</w:t>
      </w:r>
      <w:r w:rsidR="00203F72" w:rsidRPr="003B41D4">
        <w:t>依據</w:t>
      </w:r>
      <w:r w:rsidR="00ED5438" w:rsidRPr="003B41D4">
        <w:t>「</w:t>
      </w:r>
      <w:hyperlink r:id="rId1696" w:history="1">
        <w:r w:rsidR="00ED5438" w:rsidRPr="00ED5438">
          <w:rPr>
            <w:rStyle w:val="a5"/>
            <w:rFonts w:ascii="Times New Roman" w:eastAsia="新細明體" w:hAnsi="Times New Roman"/>
          </w:rPr>
          <w:t>毒品危害防制條例</w:t>
        </w:r>
      </w:hyperlink>
      <w:r w:rsidR="00203F72" w:rsidRPr="003B41D4">
        <w:t>」舊法的規定</w:t>
      </w:r>
      <w:r w:rsidR="00203F72" w:rsidRPr="003B41D4">
        <w:t>(</w:t>
      </w:r>
      <w:r w:rsidR="00203F72" w:rsidRPr="003B41D4">
        <w:t>尚未修法之前</w:t>
      </w:r>
      <w:r w:rsidR="00203F72" w:rsidRPr="003B41D4">
        <w:t>)</w:t>
      </w:r>
      <w:r w:rsidR="00203F72" w:rsidRPr="003B41D4">
        <w:t>，施用毒品者之犯次，分為第一次犯、五年後再犯、五年內再犯或三犯以上而異其刑事處遇程序，且強制戒治執行滿三月，即得停止強制戒治付保護管束。因三個月之執行期間過短，無法提升強制戒治之成功，再犯率仍偏高，致未了之前案與再犯之新案間，一般刑事訴訟程序與警察勒戒、強制戒治執行程序交錯複雜，於法律適用上引發諸爭議。法務部爰修正簡化施用毒品者之刑事處遇程序，僅區分為初犯、五年後再犯及五年內再犯，且強制戒治期間修正為六個月以上，至無繼續強制戒治之必要為止，最長不得逾一年，以改善強制戒治之成效，並減少司法程序之耗費。</w:t>
      </w:r>
    </w:p>
    <w:p w14:paraId="1AFB8830" w14:textId="77777777" w:rsidR="00203F72" w:rsidRPr="003B41D4" w:rsidRDefault="0039258A" w:rsidP="00D87D91">
      <w:r w:rsidRPr="003B41D4">
        <w:t xml:space="preserve">　　</w:t>
      </w:r>
      <w:r w:rsidR="00203F72" w:rsidRPr="003B41D4">
        <w:t>四、修正現行於醫院內附設勒戒處所之規定，改為於看守所或醫院附設勒戒處所之雙軌制（修正條文第</w:t>
      </w:r>
      <w:hyperlink r:id="rId1697" w:anchor="b27" w:history="1">
        <w:r w:rsidR="00203F72" w:rsidRPr="00ED5438">
          <w:rPr>
            <w:rStyle w:val="a5"/>
            <w:rFonts w:ascii="Times New Roman" w:eastAsia="新細明體" w:hAnsi="Times New Roman"/>
          </w:rPr>
          <w:t>二十七</w:t>
        </w:r>
      </w:hyperlink>
      <w:r w:rsidR="00203F72" w:rsidRPr="003B41D4">
        <w:t>條）</w:t>
      </w:r>
      <w:r w:rsidR="00203F72" w:rsidRPr="003B41D4">
        <w:footnoteReference w:id="391"/>
      </w:r>
    </w:p>
    <w:p w14:paraId="3EA449D7" w14:textId="77777777" w:rsidR="00953151" w:rsidRPr="003B41D4" w:rsidRDefault="0039258A" w:rsidP="00D87D91">
      <w:r w:rsidRPr="003B41D4">
        <w:t xml:space="preserve">　　</w:t>
      </w:r>
      <w:r w:rsidR="00203F72" w:rsidRPr="003B41D4">
        <w:t>本條例既認施用毒品者具「病患性犯人」之特質，即應著重於醫療之處置，故受觀察勒戒人除另因他案依法應予羈押、留置或收容外，本以由相關主管機關於醫院內附設專業之勒戒處所施予生理治療為宜，惟因限於醫療人力、經費等相關問題，短期內無法在醫院內全面性附設勒戒處所，為顧及現實之條件，乃修正為勒戒處所由法務部及國防部於（軍事）看守所、少年觀護所或所屬醫院內附設，或委託行政院國軍退除役官兵輔導委員會、行政院衛生署、直轄巿或縣（巿）政府於指定之醫院內附設，所需相關戒護及醫療經費，由法務部及國防部編列預算支應。</w:t>
      </w:r>
    </w:p>
    <w:p w14:paraId="3FB1A3FB" w14:textId="77777777" w:rsidR="00203F72" w:rsidRPr="003B41D4" w:rsidRDefault="0039258A" w:rsidP="00D87D91">
      <w:r w:rsidRPr="003B41D4">
        <w:t xml:space="preserve">　　</w:t>
      </w:r>
      <w:r w:rsidR="00203F72" w:rsidRPr="003B41D4">
        <w:t>五、修正附設戒治處所之現定（修正條文第</w:t>
      </w:r>
      <w:hyperlink r:id="rId1698" w:anchor="b28" w:history="1">
        <w:r w:rsidR="00203F72" w:rsidRPr="00ED5438">
          <w:rPr>
            <w:rStyle w:val="a5"/>
            <w:rFonts w:ascii="Times New Roman" w:eastAsia="新細明體" w:hAnsi="Times New Roman"/>
          </w:rPr>
          <w:t>二十八</w:t>
        </w:r>
      </w:hyperlink>
      <w:r w:rsidR="00203F72" w:rsidRPr="003B41D4">
        <w:t>條）</w:t>
      </w:r>
      <w:r w:rsidR="00203F72" w:rsidRPr="003B41D4">
        <w:footnoteReference w:id="392"/>
      </w:r>
    </w:p>
    <w:p w14:paraId="1CECBD16" w14:textId="77777777" w:rsidR="00953151" w:rsidRPr="003B41D4" w:rsidRDefault="0039258A" w:rsidP="00D87D91">
      <w:r w:rsidRPr="003B41D4">
        <w:t xml:space="preserve">　　</w:t>
      </w:r>
      <w:r w:rsidR="00203F72" w:rsidRPr="003B41D4">
        <w:t>依「少年矯正學校設置及教育實施通則」</w:t>
      </w:r>
      <w:r w:rsidR="00504052" w:rsidRPr="00504052">
        <w:rPr>
          <w:b/>
        </w:rPr>
        <w:t>第</w:t>
      </w:r>
      <w:hyperlink r:id="rId1699" w:anchor="a83" w:history="1">
        <w:r w:rsidR="00504052" w:rsidRPr="00504052">
          <w:rPr>
            <w:rStyle w:val="a5"/>
            <w:rFonts w:ascii="Times New Roman" w:eastAsia="新細明體" w:hAnsi="Times New Roman"/>
            <w:b/>
          </w:rPr>
          <w:t>八十三</w:t>
        </w:r>
      </w:hyperlink>
      <w:r w:rsidR="00504052" w:rsidRPr="00504052">
        <w:rPr>
          <w:b/>
        </w:rPr>
        <w:t>條</w:t>
      </w:r>
      <w:r w:rsidR="00203F72" w:rsidRPr="003B41D4">
        <w:t>規定，法務部即將就現有之少年輔育院分階段完成矯正學校之設置，且法務部戎治所組織通則第十二條，亦已配合實務需求，規定戒治所未普遍設立前，得依需要於監獄或少年矯正機構內設立之。又醫療機構分國防部、行政院衛生署、行政院國軍退除役官兵輔導委員會及地方政府等體系，爰合修正第一項文字，以求周延。</w:t>
      </w:r>
    </w:p>
    <w:p w14:paraId="411EB3DB" w14:textId="77777777" w:rsidR="00953151" w:rsidRPr="003B41D4" w:rsidRDefault="0039258A" w:rsidP="00D87D91">
      <w:r w:rsidRPr="003B41D4">
        <w:t xml:space="preserve">　　</w:t>
      </w:r>
      <w:r w:rsidR="00203F72" w:rsidRPr="003B41D4">
        <w:t>六、增訂受觀察、勒戒或強制戒治處分人其原受觀察、勒戒或強制戒治處分之裁定經撤銷確定者，原已繳納之費用得請求返還；亦得準用「</w:t>
      </w:r>
      <w:hyperlink r:id="rId1700" w:history="1">
        <w:r w:rsidR="008F066C" w:rsidRPr="008F066C">
          <w:rPr>
            <w:rStyle w:val="a5"/>
            <w:rFonts w:ascii="Times New Roman" w:eastAsia="新細明體" w:hAnsi="Times New Roman"/>
          </w:rPr>
          <w:t>冤獄賠償法</w:t>
        </w:r>
      </w:hyperlink>
      <w:r w:rsidR="00203F72" w:rsidRPr="003B41D4">
        <w:t>」之規定請求賠償，以保障人權（修正第</w:t>
      </w:r>
      <w:hyperlink r:id="rId1701" w:anchor="b30b1" w:history="1">
        <w:r w:rsidR="00203F72" w:rsidRPr="00ED5438">
          <w:rPr>
            <w:rStyle w:val="a5"/>
            <w:rFonts w:ascii="Times New Roman" w:eastAsia="新細明體" w:hAnsi="Times New Roman"/>
          </w:rPr>
          <w:t>三十條之一</w:t>
        </w:r>
      </w:hyperlink>
      <w:r w:rsidR="00203F72" w:rsidRPr="003B41D4">
        <w:t>）</w:t>
      </w:r>
      <w:r w:rsidR="00203F72" w:rsidRPr="003B41D4">
        <w:footnoteReference w:id="393"/>
      </w:r>
      <w:r w:rsidR="00203F72" w:rsidRPr="003B41D4">
        <w:t>。</w:t>
      </w:r>
    </w:p>
    <w:p w14:paraId="51E6C19B" w14:textId="77777777" w:rsidR="00953151" w:rsidRPr="003B41D4" w:rsidRDefault="0039258A" w:rsidP="00D87D91">
      <w:r w:rsidRPr="003B41D4">
        <w:t xml:space="preserve">　　</w:t>
      </w:r>
      <w:r w:rsidR="00203F72" w:rsidRPr="003B41D4">
        <w:t>七、增訂有關「控制下交付」之法源，俾供查緝毒品犯罪機關遵循（修正第</w:t>
      </w:r>
      <w:hyperlink r:id="rId1702" w:anchor="b32b1" w:history="1">
        <w:r w:rsidR="00203F72" w:rsidRPr="00ED5438">
          <w:rPr>
            <w:rStyle w:val="a5"/>
            <w:rFonts w:ascii="Times New Roman" w:eastAsia="新細明體" w:hAnsi="Times New Roman"/>
          </w:rPr>
          <w:t>三十二條之一</w:t>
        </w:r>
      </w:hyperlink>
      <w:r w:rsidR="00203F72" w:rsidRPr="003B41D4">
        <w:t>及第</w:t>
      </w:r>
      <w:hyperlink r:id="rId1703" w:anchor="b32b2" w:history="1">
        <w:r w:rsidR="00203F72" w:rsidRPr="00ED5438">
          <w:rPr>
            <w:rStyle w:val="a5"/>
            <w:rFonts w:ascii="Times New Roman" w:eastAsia="新細明體" w:hAnsi="Times New Roman"/>
          </w:rPr>
          <w:t>三十二條之二</w:t>
        </w:r>
      </w:hyperlink>
      <w:r w:rsidR="00203F72" w:rsidRPr="003B41D4">
        <w:t>）</w:t>
      </w:r>
      <w:r w:rsidR="00203F72" w:rsidRPr="003B41D4">
        <w:footnoteReference w:id="394"/>
      </w:r>
    </w:p>
    <w:p w14:paraId="1C9E4A7A" w14:textId="77777777" w:rsidR="00953151" w:rsidRPr="003B41D4" w:rsidRDefault="0039258A" w:rsidP="00D87D91">
      <w:r w:rsidRPr="003B41D4">
        <w:t xml:space="preserve">　　</w:t>
      </w:r>
      <w:r w:rsidR="00203F72" w:rsidRPr="003B41D4">
        <w:t>「控制下交付」係查緝毒品犯罪之偵查技術，其實施固有賴於國際間彼此合作，其所涉及國際義務，則端賴於國際間之雙方合作協定，惟被告、犯罪嫌疑人及毒品之入出國境，須有法源依據，查緝機關始得據以實施，爰參考日本麻藥特例法第三條第二項、第四條第一項、第二項之規定，明定其入出國境之程序，並規定檢察官或司法警察官，得由其檢察長或其最上級機關首長向最高法院檢察署提出偵查計畫書，經最高法院檢察署檢察總長核可後，核發偵查指揮書始得據以實施。</w:t>
      </w:r>
    </w:p>
    <w:p w14:paraId="7F9BE4C3" w14:textId="77777777" w:rsidR="00203F72" w:rsidRPr="003B41D4" w:rsidRDefault="0039258A" w:rsidP="00D87D91">
      <w:r w:rsidRPr="003B41D4">
        <w:t xml:space="preserve">　　</w:t>
      </w:r>
      <w:r w:rsidR="00203F72" w:rsidRPr="003B41D4">
        <w:t>八、增訂有關施用毒品之尿液檢驗機構，及該機構之認可標準、認可及管理等辦法，及尿液檢驗及作業程序由行政院衛生署明定之授權規定（修正條文第</w:t>
      </w:r>
      <w:hyperlink r:id="rId1704" w:anchor="b33b1" w:history="1">
        <w:r w:rsidR="00203F72" w:rsidRPr="00ED5438">
          <w:rPr>
            <w:rStyle w:val="a5"/>
            <w:rFonts w:ascii="Times New Roman" w:eastAsia="新細明體" w:hAnsi="Times New Roman"/>
          </w:rPr>
          <w:t>三十三條之一</w:t>
        </w:r>
      </w:hyperlink>
      <w:r w:rsidR="00203F72" w:rsidRPr="003B41D4">
        <w:t>）</w:t>
      </w:r>
      <w:r w:rsidR="00203F72" w:rsidRPr="003B41D4">
        <w:footnoteReference w:id="395"/>
      </w:r>
      <w:r w:rsidR="00203F72" w:rsidRPr="003B41D4">
        <w:t>。</w:t>
      </w:r>
    </w:p>
    <w:p w14:paraId="1AA400C2" w14:textId="77777777" w:rsidR="00953151" w:rsidRPr="003B41D4" w:rsidRDefault="0039258A" w:rsidP="00D87D91">
      <w:r w:rsidRPr="003B41D4">
        <w:t xml:space="preserve">　　</w:t>
      </w:r>
      <w:r w:rsidR="00203F72" w:rsidRPr="003B41D4">
        <w:t>為符合行政程序法之規定，並配合實際執行之需要，有必要將行政院衛生署原為執行本條例施行細則第二十條所訂定之「濫用藥物尿液檢驗機構認可及管理要點」及「濫用藥物尿液檢驗機構認可基準」，明定其授權依據。另為期統一尿液檢驗作業程序有統一標準可資遵循，爰授權規定</w:t>
      </w:r>
      <w:r w:rsidR="00203F72" w:rsidRPr="003B41D4">
        <w:footnoteReference w:id="396"/>
      </w:r>
      <w:r w:rsidR="00203F72" w:rsidRPr="003B41D4">
        <w:t>。</w:t>
      </w:r>
    </w:p>
    <w:p w14:paraId="20BDC5F4" w14:textId="77777777" w:rsidR="00953151" w:rsidRPr="003B41D4" w:rsidRDefault="0039258A" w:rsidP="00D87D91">
      <w:r w:rsidRPr="003B41D4">
        <w:t xml:space="preserve">　　</w:t>
      </w:r>
      <w:r w:rsidR="00203F72" w:rsidRPr="003B41D4">
        <w:t>在</w:t>
      </w:r>
      <w:r w:rsidR="00203F72" w:rsidRPr="003B41D4">
        <w:t>2009</w:t>
      </w:r>
      <w:r w:rsidR="00203F72" w:rsidRPr="003B41D4">
        <w:t>年之前，台灣對於施用第三級或第四級毒品者，並無任何刑事或行政處罰的規定。但在</w:t>
      </w:r>
      <w:r w:rsidR="00203F72" w:rsidRPr="003B41D4">
        <w:t>2009</w:t>
      </w:r>
      <w:r w:rsidR="00203F72" w:rsidRPr="003B41D4">
        <w:t>年之後，新修正</w:t>
      </w:r>
      <w:r w:rsidR="00ED5438" w:rsidRPr="003B41D4">
        <w:t>「</w:t>
      </w:r>
      <w:hyperlink r:id="rId1705" w:history="1">
        <w:r w:rsidR="00ED5438" w:rsidRPr="00ED5438">
          <w:rPr>
            <w:rStyle w:val="a5"/>
            <w:rFonts w:ascii="Times New Roman" w:eastAsia="新細明體" w:hAnsi="Times New Roman"/>
          </w:rPr>
          <w:t>毒品危害防制條例</w:t>
        </w:r>
      </w:hyperlink>
      <w:r w:rsidR="00203F72" w:rsidRPr="003B41D4">
        <w:t>」部分條文，其中新增之</w:t>
      </w:r>
      <w:r w:rsidR="005D5A46" w:rsidRPr="003B41D4">
        <w:t>第</w:t>
      </w:r>
      <w:r w:rsidR="00203F72" w:rsidRPr="003B41D4">
        <w:t>11-1</w:t>
      </w:r>
      <w:r w:rsidR="005D5A46" w:rsidRPr="003B41D4">
        <w:t>條</w:t>
      </w:r>
      <w:r w:rsidR="00203F72" w:rsidRPr="003B41D4">
        <w:t>，條文內涵如下</w:t>
      </w:r>
      <w:r w:rsidR="00203F72" w:rsidRPr="003B41D4">
        <w:t xml:space="preserve"> </w:t>
      </w:r>
      <w:r w:rsidR="00203F72" w:rsidRPr="003B41D4">
        <w:t>：「第三級、第四級毒品及製造或施用毒品之器具，無正當理由，不得擅自持有。無正當理由持有或施用第三級或第四級毒品者，處新臺幣一萬元以上五萬元以下罰鍰，並應限期令其接受四小時以上八小時以下之毒品危害講習。</w:t>
      </w:r>
    </w:p>
    <w:p w14:paraId="2B5FF350" w14:textId="77777777" w:rsidR="00953151" w:rsidRPr="003B41D4" w:rsidRDefault="0039258A" w:rsidP="00D87D91">
      <w:r w:rsidRPr="003B41D4">
        <w:t xml:space="preserve">　　</w:t>
      </w:r>
      <w:r w:rsidR="00203F72" w:rsidRPr="003B41D4">
        <w:t>少年施用第三級或第四級毒品者，應依少年事件處理法處理，不適用前項規定。第二項裁罰之基準及毒品危害講習之方式、內容、時機、時數、執行單位等事項之辦法，由法務部會同內政部、行政院衛生署定之。」對於第三級及第四級毒品等入門的毒品，正式採取行政罰加以處罰，以有效控管第三級及第四級毒品不被受到濫用，俾維護民眾健康。</w:t>
      </w:r>
    </w:p>
    <w:p w14:paraId="1B061D74" w14:textId="77777777" w:rsidR="003B41D4"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00E91F89">
        <w:rPr>
          <w:rFonts w:ascii="新細明體" w:hAnsi="新細明體"/>
          <w:color w:val="808000"/>
        </w:rPr>
        <w:t>〉〉</w:t>
      </w:r>
    </w:p>
    <w:p w14:paraId="54A4B95D" w14:textId="77777777" w:rsidR="003B41D4" w:rsidRPr="003B41D4" w:rsidRDefault="003B41D4" w:rsidP="00D87D91"/>
    <w:p w14:paraId="4E6816E6" w14:textId="77777777" w:rsidR="00203F72" w:rsidRPr="00A53581" w:rsidRDefault="00203F72" w:rsidP="00767F37">
      <w:pPr>
        <w:pStyle w:val="2"/>
      </w:pPr>
      <w:bookmarkStart w:id="74" w:name="_柒、我國毒品施用行為之刑事政策之檢討與未來可行之發展"/>
      <w:bookmarkEnd w:id="74"/>
      <w:r w:rsidRPr="00A53581">
        <w:t>柒、我國毒品施用行為之刑事政策之檢討與未來可行之發展</w:t>
      </w:r>
    </w:p>
    <w:p w14:paraId="0A4367E6" w14:textId="77777777" w:rsidR="00953151" w:rsidRDefault="0039258A" w:rsidP="00D87D91">
      <w:r>
        <w:t xml:space="preserve">　　</w:t>
      </w:r>
      <w:r w:rsidR="00203F72" w:rsidRPr="00A53581">
        <w:t>有關我國毒品施用行為之刑事政策的檢討與未來可行的發展，本書認為有以下數點，值得深入加以討論與剖析。</w:t>
      </w:r>
    </w:p>
    <w:p w14:paraId="56F59D13" w14:textId="77777777" w:rsidR="00953151" w:rsidRDefault="0039258A" w:rsidP="00D87D91">
      <w:r>
        <w:t xml:space="preserve">　　</w:t>
      </w:r>
      <w:r w:rsidR="00203F72" w:rsidRPr="00A53581">
        <w:t>一、政府公權力針對毒品施用者之毒品成癮性部分，宜提早加以行政介入</w:t>
      </w:r>
    </w:p>
    <w:p w14:paraId="2797B66C" w14:textId="77777777" w:rsidR="00953151" w:rsidRPr="00BE652C" w:rsidRDefault="0039258A" w:rsidP="00BE652C">
      <w:r>
        <w:rPr>
          <w:spacing w:val="20"/>
        </w:rPr>
        <w:t xml:space="preserve">　　</w:t>
      </w:r>
      <w:r w:rsidR="00203F72" w:rsidRPr="00A53581">
        <w:rPr>
          <w:spacing w:val="20"/>
        </w:rPr>
        <w:t>以日本為例，其對於毒品犯之戒治部分，可以分為</w:t>
      </w:r>
      <w:r w:rsidR="00203F72" w:rsidRPr="00A53581">
        <w:rPr>
          <w:spacing w:val="20"/>
        </w:rPr>
        <w:t>2</w:t>
      </w:r>
      <w:r w:rsidR="00203F72" w:rsidRPr="00A53581">
        <w:rPr>
          <w:spacing w:val="20"/>
        </w:rPr>
        <w:t>個部分。第一，是已被執法人員取締之施用毒品的毒品犯，則屬當然必須接受強制戒治。第二，是針對麻藥成癮性部分，</w:t>
      </w:r>
      <w:r w:rsidR="00203F72" w:rsidRPr="00A53581">
        <w:t>根據日本「麻醉藥物與影響精神物質取締法」</w:t>
      </w:r>
      <w:r w:rsidR="00203F72" w:rsidRPr="00A53581">
        <w:rPr>
          <w:rStyle w:val="af3"/>
          <w:rFonts w:ascii="新細明體" w:hAnsi="新細明體"/>
        </w:rPr>
        <w:footnoteReference w:id="397"/>
      </w:r>
      <w:r w:rsidR="00203F72" w:rsidRPr="00A53581">
        <w:t xml:space="preserve"> (</w:t>
      </w:r>
      <w:r w:rsidR="00203F72" w:rsidRPr="00A53581">
        <w:rPr>
          <w:spacing w:val="-10"/>
          <w:kern w:val="0"/>
        </w:rPr>
        <w:t>NARCOTICS AND PSYCHOTROPICS CONTROL LAW)</w:t>
      </w:r>
      <w:r w:rsidR="00203F72" w:rsidRPr="00A53581">
        <w:rPr>
          <w:spacing w:val="-10"/>
          <w:kern w:val="0"/>
        </w:rPr>
        <w:t>第</w:t>
      </w:r>
      <w:r w:rsidR="00203F72" w:rsidRPr="00A53581">
        <w:rPr>
          <w:spacing w:val="-10"/>
          <w:kern w:val="0"/>
        </w:rPr>
        <w:t>58</w:t>
      </w:r>
      <w:r w:rsidR="00203F72" w:rsidRPr="00A53581">
        <w:rPr>
          <w:spacing w:val="-10"/>
          <w:kern w:val="0"/>
        </w:rPr>
        <w:t>條之</w:t>
      </w:r>
      <w:r w:rsidR="00203F72" w:rsidRPr="00A53581">
        <w:rPr>
          <w:spacing w:val="-10"/>
          <w:kern w:val="0"/>
        </w:rPr>
        <w:t>6</w:t>
      </w:r>
      <w:r w:rsidR="00203F72" w:rsidRPr="00A53581">
        <w:rPr>
          <w:spacing w:val="-10"/>
          <w:kern w:val="0"/>
        </w:rPr>
        <w:t>的法律規定，假若</w:t>
      </w:r>
      <w:r w:rsidR="00203F72" w:rsidRPr="00A53581">
        <w:t>都道府</w:t>
      </w:r>
      <w:r w:rsidR="00203F72" w:rsidRPr="00BE652C">
        <w:t>縣知事</w:t>
      </w:r>
      <w:r w:rsidR="00203F72" w:rsidRPr="00BE652C">
        <w:t>(</w:t>
      </w:r>
      <w:r w:rsidR="00203F72" w:rsidRPr="00BE652C">
        <w:t>相當於台灣之市長、縣長</w:t>
      </w:r>
      <w:r w:rsidR="00203F72" w:rsidRPr="00BE652C">
        <w:t>)</w:t>
      </w:r>
      <w:r w:rsidR="00203F72" w:rsidRPr="00BE652C">
        <w:t>認為麻藥中毒者有接受毒品戒治之必要性或某人疑似有麻藥中毒之情形，則「麻醉藥物與影響精神物質取締法」第</w:t>
      </w:r>
      <w:r w:rsidR="00203F72" w:rsidRPr="00BE652C">
        <w:t>58</w:t>
      </w:r>
      <w:r w:rsidR="00203F72" w:rsidRPr="00BE652C">
        <w:t>條之</w:t>
      </w:r>
      <w:r w:rsidR="00203F72" w:rsidRPr="00BE652C">
        <w:t>6</w:t>
      </w:r>
      <w:r w:rsidR="00203F72" w:rsidRPr="00BE652C">
        <w:t>第</w:t>
      </w:r>
      <w:r w:rsidR="00203F72" w:rsidRPr="00BE652C">
        <w:t>1</w:t>
      </w:r>
      <w:r w:rsidR="00203F72" w:rsidRPr="00BE652C">
        <w:t>項賦予地方政府之首長</w:t>
      </w:r>
      <w:r w:rsidR="00D92F56" w:rsidRPr="00BE652C">
        <w:t>〜</w:t>
      </w:r>
      <w:r w:rsidR="00203F72" w:rsidRPr="00BE652C">
        <w:t>都道府縣知事，有權限針對此一麻藥中毒病患或疑似有麻藥中毒之人，為其選定一名精神保健指定醫師</w:t>
      </w:r>
      <w:r w:rsidR="00203F72" w:rsidRPr="00BE652C">
        <w:footnoteReference w:id="398"/>
      </w:r>
      <w:r w:rsidR="00545D58" w:rsidRPr="00BE652C">
        <w:t>。</w:t>
      </w:r>
    </w:p>
    <w:p w14:paraId="023E22E2" w14:textId="77777777" w:rsidR="00953151" w:rsidRDefault="0039258A" w:rsidP="00BE652C">
      <w:r w:rsidRPr="00BE652C">
        <w:t xml:space="preserve">　　</w:t>
      </w:r>
      <w:r w:rsidR="00203F72" w:rsidRPr="00BE652C">
        <w:t>問題之關鍵點，係精神保健指定醫師可否強行檢查該名麻藥中毒病患？「麻醉藥物與影響精神物質取締法」第</w:t>
      </w:r>
      <w:r w:rsidR="00203F72" w:rsidRPr="00BE652C">
        <w:t>58</w:t>
      </w:r>
      <w:r w:rsidR="00203F72" w:rsidRPr="00BE652C">
        <w:t>條之</w:t>
      </w:r>
      <w:r w:rsidR="00203F72" w:rsidRPr="00BE652C">
        <w:t>6</w:t>
      </w:r>
      <w:r w:rsidR="00203F72" w:rsidRPr="00BE652C">
        <w:t>第</w:t>
      </w:r>
      <w:r w:rsidR="00203F72" w:rsidRPr="00BE652C">
        <w:t>1</w:t>
      </w:r>
      <w:r w:rsidR="00203F72" w:rsidRPr="00BE652C">
        <w:t>項雖未使用強制力之法律用語，但明文規定精神保健指定醫師有權限檢查此一麻藥中毒病患中毒之情形，亦即，此一麻藥中毒病患必須接</w:t>
      </w:r>
      <w:r w:rsidR="00203F72" w:rsidRPr="00A53581">
        <w:t>受精神保健指定醫師之「診察」。</w:t>
      </w:r>
    </w:p>
    <w:p w14:paraId="24CCDCD2" w14:textId="77777777" w:rsidR="00953151" w:rsidRDefault="0039258A" w:rsidP="00D87D91">
      <w:r>
        <w:rPr>
          <w:spacing w:val="-10"/>
          <w:kern w:val="0"/>
        </w:rPr>
        <w:t xml:space="preserve">　　</w:t>
      </w:r>
      <w:r w:rsidR="00203F72" w:rsidRPr="00A53581">
        <w:rPr>
          <w:spacing w:val="-10"/>
          <w:kern w:val="0"/>
        </w:rPr>
        <w:t>為了方便</w:t>
      </w:r>
      <w:r w:rsidR="00203F72" w:rsidRPr="00A53581">
        <w:t>精神保健指定醫師對於麻藥中毒病患實施「診察」其究竟是否有麻藥中毒情形？對於疑似麻藥中毒病患者，根據日本「麻醉藥物與影響精神物質取締法」</w:t>
      </w:r>
      <w:r w:rsidR="00203F72" w:rsidRPr="00A53581">
        <w:rPr>
          <w:spacing w:val="-10"/>
          <w:kern w:val="0"/>
        </w:rPr>
        <w:t>第</w:t>
      </w:r>
      <w:r w:rsidR="00203F72" w:rsidRPr="00A53581">
        <w:rPr>
          <w:spacing w:val="-10"/>
          <w:kern w:val="0"/>
        </w:rPr>
        <w:t>58</w:t>
      </w:r>
      <w:r w:rsidR="00203F72" w:rsidRPr="00A53581">
        <w:rPr>
          <w:spacing w:val="-10"/>
          <w:kern w:val="0"/>
        </w:rPr>
        <w:t>條之</w:t>
      </w:r>
      <w:r w:rsidR="00203F72" w:rsidRPr="00A53581">
        <w:rPr>
          <w:spacing w:val="-10"/>
          <w:kern w:val="0"/>
        </w:rPr>
        <w:t>6</w:t>
      </w:r>
      <w:r w:rsidR="00203F72" w:rsidRPr="00A53581">
        <w:rPr>
          <w:spacing w:val="-10"/>
          <w:kern w:val="0"/>
        </w:rPr>
        <w:t>第</w:t>
      </w:r>
      <w:r w:rsidR="00203F72" w:rsidRPr="00A53581">
        <w:rPr>
          <w:spacing w:val="-10"/>
          <w:kern w:val="0"/>
        </w:rPr>
        <w:t>2</w:t>
      </w:r>
      <w:r w:rsidR="00203F72" w:rsidRPr="00A53581">
        <w:rPr>
          <w:spacing w:val="-10"/>
          <w:kern w:val="0"/>
        </w:rPr>
        <w:t>項之規定，可以命令</w:t>
      </w:r>
      <w:r w:rsidR="00203F72" w:rsidRPr="00A53581">
        <w:t>麻藥中毒病患住入「麻藥中毒者醫療處遇戒治病院」，以不超過</w:t>
      </w:r>
      <w:r w:rsidR="00203F72" w:rsidRPr="00A53581">
        <w:t>30</w:t>
      </w:r>
      <w:r w:rsidR="00203F72" w:rsidRPr="00A53581">
        <w:t>日為限，以方便精神保健指定醫師對於麻藥中毒病患順利地實施「診察」。</w:t>
      </w:r>
    </w:p>
    <w:p w14:paraId="624017EA" w14:textId="77777777" w:rsidR="00953151" w:rsidRDefault="0039258A" w:rsidP="00D87D91">
      <w:r>
        <w:t xml:space="preserve">　　</w:t>
      </w:r>
      <w:r w:rsidR="00203F72" w:rsidRPr="00A53581">
        <w:t>為了讓精神保健指定醫師及協助精神保健指定醫師之職員能夠更進一步順利地對於麻藥中毒病患實施「診察」，「診察」之場所不以醫院診所為限，根據日本「麻醉藥物與影響精神</w:t>
      </w:r>
      <w:r w:rsidR="00203F72" w:rsidRPr="00A53581">
        <w:rPr>
          <w:spacing w:val="-10"/>
          <w:kern w:val="0"/>
        </w:rPr>
        <w:t>物質</w:t>
      </w:r>
      <w:r w:rsidR="00203F72" w:rsidRPr="00A53581">
        <w:t>取締法」</w:t>
      </w:r>
      <w:r w:rsidR="00203F72" w:rsidRPr="00A53581">
        <w:rPr>
          <w:spacing w:val="-10"/>
          <w:kern w:val="0"/>
        </w:rPr>
        <w:t>第</w:t>
      </w:r>
      <w:r w:rsidR="00203F72" w:rsidRPr="00A53581">
        <w:rPr>
          <w:spacing w:val="-10"/>
          <w:kern w:val="0"/>
        </w:rPr>
        <w:t>58</w:t>
      </w:r>
      <w:r w:rsidR="00203F72" w:rsidRPr="00A53581">
        <w:rPr>
          <w:spacing w:val="-10"/>
          <w:kern w:val="0"/>
        </w:rPr>
        <w:t>條之</w:t>
      </w:r>
      <w:r w:rsidR="00203F72" w:rsidRPr="00A53581">
        <w:rPr>
          <w:spacing w:val="-10"/>
          <w:kern w:val="0"/>
        </w:rPr>
        <w:t>6</w:t>
      </w:r>
      <w:r w:rsidR="00203F72" w:rsidRPr="00A53581">
        <w:rPr>
          <w:spacing w:val="-10"/>
          <w:kern w:val="0"/>
        </w:rPr>
        <w:t>第</w:t>
      </w:r>
      <w:r w:rsidR="00203F72" w:rsidRPr="00A53581">
        <w:rPr>
          <w:spacing w:val="-10"/>
          <w:kern w:val="0"/>
        </w:rPr>
        <w:t>5</w:t>
      </w:r>
      <w:r w:rsidR="00203F72" w:rsidRPr="00A53581">
        <w:rPr>
          <w:spacing w:val="-10"/>
          <w:kern w:val="0"/>
        </w:rPr>
        <w:t>項之規定，</w:t>
      </w:r>
      <w:r w:rsidR="00203F72" w:rsidRPr="00A53581">
        <w:t>精神保健指定醫師及協助精神保健指定醫師之職員，有權限進入麻藥中毒病患之居住所，進行「診察」。是以，依據「麻醉藥物與影響精神物質取締法」</w:t>
      </w:r>
      <w:r w:rsidR="00203F72" w:rsidRPr="00A53581">
        <w:rPr>
          <w:spacing w:val="-10"/>
          <w:kern w:val="0"/>
        </w:rPr>
        <w:t>第</w:t>
      </w:r>
      <w:r w:rsidR="00203F72" w:rsidRPr="00A53581">
        <w:rPr>
          <w:spacing w:val="-10"/>
          <w:kern w:val="0"/>
        </w:rPr>
        <w:t>58</w:t>
      </w:r>
      <w:r w:rsidR="00203F72" w:rsidRPr="00A53581">
        <w:rPr>
          <w:spacing w:val="-10"/>
          <w:kern w:val="0"/>
        </w:rPr>
        <w:t>條之</w:t>
      </w:r>
      <w:r w:rsidR="00203F72" w:rsidRPr="00A53581">
        <w:rPr>
          <w:spacing w:val="-10"/>
          <w:kern w:val="0"/>
        </w:rPr>
        <w:t>6</w:t>
      </w:r>
      <w:r w:rsidR="00203F72" w:rsidRPr="00A53581">
        <w:rPr>
          <w:spacing w:val="-10"/>
          <w:kern w:val="0"/>
        </w:rPr>
        <w:t>第</w:t>
      </w:r>
      <w:r w:rsidR="00203F72" w:rsidRPr="00A53581">
        <w:rPr>
          <w:spacing w:val="-10"/>
          <w:kern w:val="0"/>
        </w:rPr>
        <w:t>5</w:t>
      </w:r>
      <w:r w:rsidR="00203F72" w:rsidRPr="00A53581">
        <w:rPr>
          <w:spacing w:val="-10"/>
          <w:kern w:val="0"/>
        </w:rPr>
        <w:t>項之規定，是賦予</w:t>
      </w:r>
      <w:r w:rsidR="00203F72" w:rsidRPr="00A53581">
        <w:t>精神保健指定醫師及協助精神保健指定醫師之職員有主動出擊</w:t>
      </w:r>
      <w:r w:rsidR="00D92F56">
        <w:t>〜</w:t>
      </w:r>
      <w:r w:rsidR="00203F72" w:rsidRPr="00A53581">
        <w:t>-</w:t>
      </w:r>
      <w:r w:rsidR="00203F72" w:rsidRPr="00A53581">
        <w:t>進行「診察」之權力，此限權力掌握在精神保健指定醫師之手中。</w:t>
      </w:r>
    </w:p>
    <w:p w14:paraId="4FE2629E" w14:textId="77777777" w:rsidR="00953151" w:rsidRPr="00BE652C" w:rsidRDefault="0039258A" w:rsidP="00BE652C">
      <w:r w:rsidRPr="00BE652C">
        <w:t xml:space="preserve">　　</w:t>
      </w:r>
      <w:r w:rsidR="00203F72" w:rsidRPr="00BE652C">
        <w:t>若麻藥中毒者經醫師鑑定係屬於已具有成癮性者，則必須進入由厚生勞動部所指定之「麻藥中毒者醫療處遇戒治病院」接受毒品戒治</w:t>
      </w:r>
      <w:r w:rsidR="00203F72" w:rsidRPr="00BE652C">
        <w:footnoteReference w:id="399"/>
      </w:r>
      <w:r w:rsidR="00203F72" w:rsidRPr="00BE652C">
        <w:t>。針對毒品犯之毒癮性，本書建議，政府公權力針對上述毒品成癮性部分，宜提早加以行政介入，並進行適當之處置，如強迫毒品成癮性之患者接受戒治。</w:t>
      </w:r>
    </w:p>
    <w:p w14:paraId="3AEE35D8" w14:textId="77777777" w:rsidR="00953151" w:rsidRDefault="0039258A" w:rsidP="00BE652C">
      <w:r w:rsidRPr="00BE652C">
        <w:t xml:space="preserve">　　</w:t>
      </w:r>
      <w:r w:rsidR="00203F72" w:rsidRPr="00BE652C">
        <w:t>由日本經驗可以得知，反毒之工作，可以向前延伸至毒品成癮性部分，而非待毒品犯已施用毒品之後，再事後加以戒治。我國反毒之政府公權力，未來，似可以向前伸展</w:t>
      </w:r>
      <w:r w:rsidR="00203F72" w:rsidRPr="00A53581">
        <w:t>及延伸至毒品成癮性部分。當發現行為人有毒品成癮性，但未發現實際之施用毒品證據之時，針對此一毒品成癮性，</w:t>
      </w:r>
      <w:hyperlink r:id="rId1706" w:history="1">
        <w:r w:rsidR="00BE652C" w:rsidRPr="00ED5438">
          <w:rPr>
            <w:rStyle w:val="a5"/>
            <w:rFonts w:ascii="Times New Roman" w:eastAsia="新細明體" w:hAnsi="Times New Roman"/>
          </w:rPr>
          <w:t>毒品危害防制條例</w:t>
        </w:r>
      </w:hyperlink>
      <w:r w:rsidR="00203F72" w:rsidRPr="00A53581">
        <w:t>可以授權政府行政部門及早介入，強制毒品成癮者入院接受毒品成癮性之戒治。</w:t>
      </w:r>
    </w:p>
    <w:p w14:paraId="5F946F44" w14:textId="77777777" w:rsidR="00953151" w:rsidRDefault="0039258A" w:rsidP="00D87D91">
      <w:r>
        <w:t xml:space="preserve">　　</w:t>
      </w:r>
      <w:r w:rsidR="00203F72" w:rsidRPr="00A53581">
        <w:t>二、政府宜持續地推展毒品病犯「緩起訴替代療法」計畫</w:t>
      </w:r>
    </w:p>
    <w:p w14:paraId="5C7D6EB3" w14:textId="77777777" w:rsidR="00953151" w:rsidRPr="00BE652C" w:rsidRDefault="0039258A" w:rsidP="00BE652C">
      <w:r w:rsidRPr="00BE652C">
        <w:t xml:space="preserve">　　</w:t>
      </w:r>
      <w:r w:rsidR="00203F72" w:rsidRPr="00BE652C">
        <w:t>由於聯合國所屬相關專門機構推展美沙冬替代療法已顯示有良好之成效</w:t>
      </w:r>
      <w:r w:rsidR="00203F72" w:rsidRPr="00BE652C">
        <w:footnoteReference w:id="400"/>
      </w:r>
      <w:r w:rsidR="00203F72" w:rsidRPr="00BE652C">
        <w:t>，是以，我國於</w:t>
      </w:r>
      <w:r w:rsidR="00203F72" w:rsidRPr="00BE652C">
        <w:t>2005</w:t>
      </w:r>
      <w:r w:rsidR="00203F72" w:rsidRPr="00BE652C">
        <w:t>年</w:t>
      </w:r>
      <w:r w:rsidR="00203F72" w:rsidRPr="00BE652C">
        <w:t>12</w:t>
      </w:r>
      <w:r w:rsidR="00203F72" w:rsidRPr="00BE652C">
        <w:t>月</w:t>
      </w:r>
      <w:r w:rsidR="00203F72" w:rsidRPr="00BE652C">
        <w:t>6</w:t>
      </w:r>
      <w:r w:rsidR="00203F72" w:rsidRPr="00BE652C">
        <w:t>日，經行政院正式核定施行「毒品病患愛滋減害試辦計畫」。其中之一項，即為美沙冬替代療法。對於海洛因之毒癮者，藉由美沙冬替代療法，對其給予口服型之美沙冬。整體而論，美沙冬替代療法之成效頗佳，能有效地降低犯罪率</w:t>
      </w:r>
      <w:r w:rsidR="00203F72" w:rsidRPr="00BE652C">
        <w:footnoteReference w:id="401"/>
      </w:r>
      <w:r w:rsidR="00203F72" w:rsidRPr="00BE652C">
        <w:t>(</w:t>
      </w:r>
      <w:r w:rsidR="00203F72" w:rsidRPr="00BE652C">
        <w:t>法務部、衛生署、教育部、外交部，</w:t>
      </w:r>
      <w:r w:rsidR="00203F72" w:rsidRPr="00BE652C">
        <w:t>2010</w:t>
      </w:r>
      <w:r w:rsidR="00203F72" w:rsidRPr="00BE652C">
        <w:t>年；裘雅恬，</w:t>
      </w:r>
      <w:r w:rsidR="00203F72" w:rsidRPr="00BE652C">
        <w:t>2010)</w:t>
      </w:r>
      <w:r w:rsidR="00203F72" w:rsidRPr="00BE652C">
        <w:t>。</w:t>
      </w:r>
    </w:p>
    <w:p w14:paraId="530CB18D" w14:textId="77777777" w:rsidR="00953151" w:rsidRDefault="0039258A" w:rsidP="00BE652C">
      <w:r w:rsidRPr="00BE652C">
        <w:t xml:space="preserve">　　</w:t>
      </w:r>
      <w:r w:rsidR="00203F72" w:rsidRPr="00BE652C">
        <w:t>之後之發展，係「毒品病患愛滋減害試辦計畫」與刑事訴訟法之緩起訴機制相互結</w:t>
      </w:r>
      <w:r w:rsidR="00203F72" w:rsidRPr="00A53581">
        <w:t>合，此計畫名為緩起訴毒品病犯減害試辦計畫。在台灣，台南地檢署於</w:t>
      </w:r>
      <w:r w:rsidR="00203F72" w:rsidRPr="00A53581">
        <w:t>2006</w:t>
      </w:r>
      <w:r w:rsidR="00203F72" w:rsidRPr="00A53581">
        <w:t>年</w:t>
      </w:r>
      <w:r w:rsidR="00203F72" w:rsidRPr="00A53581">
        <w:t>9</w:t>
      </w:r>
      <w:r w:rsidR="00203F72" w:rsidRPr="00A53581">
        <w:t>月</w:t>
      </w:r>
      <w:r w:rsidR="00203F72" w:rsidRPr="00A53581">
        <w:t>1</w:t>
      </w:r>
      <w:r w:rsidR="00203F72" w:rsidRPr="00A53581">
        <w:t>日開始，針對毒品病犯之</w:t>
      </w:r>
      <w:r w:rsidR="00203F72" w:rsidRPr="00A53581">
        <w:t>2</w:t>
      </w:r>
      <w:r w:rsidR="00203F72" w:rsidRPr="00A53581">
        <w:t>犯，正式實施緩起訴替代療法，效果頗佳。法務部並於</w:t>
      </w:r>
      <w:r w:rsidR="00203F72" w:rsidRPr="00A53581">
        <w:t>2007</w:t>
      </w:r>
      <w:r w:rsidR="00203F72" w:rsidRPr="00A53581">
        <w:t>年，通令全國各地檢署開展及實施緩起訴替代療法。目前實施緩起訴替代療法之法源依據，乃為毒品危害防制條例</w:t>
      </w:r>
      <w:r w:rsidR="00BE652C" w:rsidRPr="002F3FE8">
        <w:t>第</w:t>
      </w:r>
      <w:hyperlink r:id="rId1707" w:anchor="b24" w:history="1">
        <w:r w:rsidR="00BE652C" w:rsidRPr="00BE652C">
          <w:rPr>
            <w:rStyle w:val="a5"/>
            <w:rFonts w:ascii="Times New Roman" w:eastAsia="新細明體" w:hAnsi="Times New Roman"/>
          </w:rPr>
          <w:t>二十四</w:t>
        </w:r>
      </w:hyperlink>
      <w:r w:rsidR="00BE652C" w:rsidRPr="002F3FE8">
        <w:t>條</w:t>
      </w:r>
      <w:r w:rsidR="00203F72" w:rsidRPr="00A53581">
        <w:t>及</w:t>
      </w:r>
      <w:hyperlink r:id="rId1708" w:history="1">
        <w:r w:rsidR="00203F72" w:rsidRPr="00BE652C">
          <w:rPr>
            <w:rStyle w:val="a5"/>
            <w:rFonts w:ascii="Times New Roman" w:eastAsia="新細明體" w:hAnsi="Times New Roman"/>
          </w:rPr>
          <w:t>毒品戒癮治療實施辦法及完成治療認定標準</w:t>
        </w:r>
      </w:hyperlink>
      <w:r w:rsidR="00203F72" w:rsidRPr="00A53581">
        <w:t>。</w:t>
      </w:r>
    </w:p>
    <w:p w14:paraId="290456F9" w14:textId="77777777" w:rsidR="00953151" w:rsidRPr="00BE652C" w:rsidRDefault="0039258A" w:rsidP="00BE652C">
      <w:r>
        <w:t xml:space="preserve">　　</w:t>
      </w:r>
      <w:r w:rsidR="00203F72" w:rsidRPr="00A53581">
        <w:t>根據台南地檢署之實證調查結果，緩起訴替代療法成效非常良好。從</w:t>
      </w:r>
      <w:r w:rsidR="00203F72" w:rsidRPr="00A53581">
        <w:t>2007</w:t>
      </w:r>
      <w:r w:rsidR="00203F72" w:rsidRPr="00A53581">
        <w:t>年</w:t>
      </w:r>
      <w:r w:rsidR="00203F72" w:rsidRPr="00A53581">
        <w:t>8</w:t>
      </w:r>
      <w:r w:rsidR="00203F72" w:rsidRPr="00A53581">
        <w:t>月</w:t>
      </w:r>
      <w:r w:rsidR="00203F72" w:rsidRPr="00A53581">
        <w:t>15</w:t>
      </w:r>
      <w:r w:rsidR="00203F72" w:rsidRPr="00A53581">
        <w:t>日至</w:t>
      </w:r>
      <w:r w:rsidR="00203F72" w:rsidRPr="00A53581">
        <w:t>2008</w:t>
      </w:r>
      <w:r w:rsidR="00203F72" w:rsidRPr="00A53581">
        <w:t>年</w:t>
      </w:r>
      <w:r w:rsidR="00203F72" w:rsidRPr="00A53581">
        <w:t>7</w:t>
      </w:r>
      <w:r w:rsidR="00203F72" w:rsidRPr="00A53581">
        <w:t>月間，於台南地檢署接受緩起訴替代療法之個案，計有</w:t>
      </w:r>
      <w:r w:rsidR="00203F72" w:rsidRPr="00A53581">
        <w:t>301</w:t>
      </w:r>
      <w:r w:rsidR="00203F72" w:rsidRPr="00A53581">
        <w:t>人。上述</w:t>
      </w:r>
      <w:r w:rsidR="00203F72" w:rsidRPr="00BE652C">
        <w:t>之毒品病犯於服用美沙冬期間，再犯竊盜者僅</w:t>
      </w:r>
      <w:r w:rsidR="00203F72" w:rsidRPr="00BE652C">
        <w:t>11</w:t>
      </w:r>
      <w:r w:rsidR="00203F72" w:rsidRPr="00BE652C">
        <w:t>人，再犯搶奪者僅</w:t>
      </w:r>
      <w:r w:rsidR="00203F72" w:rsidRPr="00BE652C">
        <w:t>1</w:t>
      </w:r>
      <w:r w:rsidR="00203F72" w:rsidRPr="00BE652C">
        <w:t>人，犯罪率係大幅下降</w:t>
      </w:r>
      <w:r w:rsidR="00203F72" w:rsidRPr="00BE652C">
        <w:footnoteReference w:id="402"/>
      </w:r>
      <w:r w:rsidR="00203F72" w:rsidRPr="00BE652C">
        <w:t>。簡而言之，緩起訴替代療法可有效地抑制再犯之發生。</w:t>
      </w:r>
    </w:p>
    <w:p w14:paraId="268965C0" w14:textId="77777777" w:rsidR="00953151" w:rsidRPr="00BE652C" w:rsidRDefault="0039258A" w:rsidP="00BE652C">
      <w:r w:rsidRPr="00BE652C">
        <w:t xml:space="preserve">　　</w:t>
      </w:r>
      <w:r w:rsidR="00203F72" w:rsidRPr="00BE652C">
        <w:t>現在發生之實際問題，係為：</w:t>
      </w:r>
      <w:r w:rsidR="00203F72" w:rsidRPr="00BE652C">
        <w:t>1</w:t>
      </w:r>
      <w:r w:rsidR="00203F72" w:rsidRPr="00BE652C">
        <w:t>、緩起訴替代療法經費不足；</w:t>
      </w:r>
      <w:r w:rsidR="00203F72" w:rsidRPr="00BE652C">
        <w:t>2</w:t>
      </w:r>
      <w:r w:rsidR="00203F72" w:rsidRPr="00BE652C">
        <w:t>、替代療法之醫院未普及化；提供美沙冬之時間有時效限制；</w:t>
      </w:r>
      <w:r w:rsidR="00203F72" w:rsidRPr="00BE652C">
        <w:t>3</w:t>
      </w:r>
      <w:r w:rsidR="00203F72" w:rsidRPr="00BE652C">
        <w:t>、檢察官處理</w:t>
      </w:r>
      <w:r w:rsidR="00203F72" w:rsidRPr="00BE652C">
        <w:t>2</w:t>
      </w:r>
      <w:r w:rsidR="00203F72" w:rsidRPr="00BE652C">
        <w:t>犯替代療法緩起訴案件之過程遠比處理毒品初犯更加繁瑣及辛勞</w:t>
      </w:r>
      <w:r w:rsidR="00203F72" w:rsidRPr="00BE652C">
        <w:footnoteReference w:id="403"/>
      </w:r>
      <w:r w:rsidR="00203F72" w:rsidRPr="00BE652C">
        <w:t>。</w:t>
      </w:r>
    </w:p>
    <w:p w14:paraId="001141AF" w14:textId="77777777" w:rsidR="00953151" w:rsidRPr="00BE652C" w:rsidRDefault="0039258A" w:rsidP="00BE652C">
      <w:r w:rsidRPr="00BE652C">
        <w:t xml:space="preserve">　　</w:t>
      </w:r>
      <w:r w:rsidR="00203F72" w:rsidRPr="00BE652C">
        <w:t>針對上述之問題，本書建議：</w:t>
      </w:r>
      <w:r w:rsidR="00203F72" w:rsidRPr="00BE652C">
        <w:t>1</w:t>
      </w:r>
      <w:r w:rsidR="00203F72" w:rsidRPr="00BE652C">
        <w:t>、政府宜寬列緩起訴替代療法之預算；</w:t>
      </w:r>
      <w:r w:rsidR="00203F72" w:rsidRPr="00BE652C">
        <w:t>2</w:t>
      </w:r>
      <w:r w:rsidR="00203F72" w:rsidRPr="00BE652C">
        <w:t>、替代療法之醫院宜更加普及化；提供美沙冬之時間宜延長化</w:t>
      </w:r>
      <w:r w:rsidR="00203F72" w:rsidRPr="00BE652C">
        <w:t>(</w:t>
      </w:r>
      <w:r w:rsidR="00203F72" w:rsidRPr="00BE652C">
        <w:t>亦可考量</w:t>
      </w:r>
      <w:r w:rsidR="00203F72" w:rsidRPr="00BE652C">
        <w:t>24</w:t>
      </w:r>
      <w:r w:rsidR="00203F72" w:rsidRPr="00BE652C">
        <w:t>小時提供之</w:t>
      </w:r>
      <w:r w:rsidR="00203F72" w:rsidRPr="00BE652C">
        <w:t>)</w:t>
      </w:r>
      <w:r w:rsidR="00203F72" w:rsidRPr="00BE652C">
        <w:t>；</w:t>
      </w:r>
      <w:r w:rsidR="00203F72" w:rsidRPr="00BE652C">
        <w:t>3</w:t>
      </w:r>
      <w:r w:rsidR="00203F72" w:rsidRPr="00BE652C">
        <w:t>、檢察官處理</w:t>
      </w:r>
      <w:r w:rsidR="00203F72" w:rsidRPr="00BE652C">
        <w:t>2</w:t>
      </w:r>
      <w:r w:rsidR="00203F72" w:rsidRPr="00BE652C">
        <w:t>犯替代療法緩起訴案件之作業流程，宜再加以適度簡化之。</w:t>
      </w:r>
    </w:p>
    <w:p w14:paraId="31117C44" w14:textId="77777777" w:rsidR="00953151" w:rsidRPr="00BE652C" w:rsidRDefault="0039258A" w:rsidP="00BE652C">
      <w:r w:rsidRPr="00BE652C">
        <w:t xml:space="preserve">　　</w:t>
      </w:r>
      <w:r w:rsidR="00203F72" w:rsidRPr="00BE652C">
        <w:t>三、強化施用及持有第</w:t>
      </w:r>
      <w:r w:rsidR="00203F72" w:rsidRPr="00BE652C">
        <w:t>3</w:t>
      </w:r>
      <w:r w:rsidR="00203F72" w:rsidRPr="00BE652C">
        <w:t>級及第</w:t>
      </w:r>
      <w:r w:rsidR="00203F72" w:rsidRPr="00BE652C">
        <w:t>4</w:t>
      </w:r>
      <w:r w:rsidR="00203F72" w:rsidRPr="00BE652C">
        <w:t>級管制藥物之監控與管理力道</w:t>
      </w:r>
      <w:r w:rsidR="00203F72" w:rsidRPr="00BE652C">
        <w:t xml:space="preserve"> </w:t>
      </w:r>
    </w:p>
    <w:p w14:paraId="06D8FE32" w14:textId="77777777" w:rsidR="00953151" w:rsidRDefault="0039258A" w:rsidP="00BE652C">
      <w:r w:rsidRPr="00BE652C">
        <w:t xml:space="preserve">　　</w:t>
      </w:r>
      <w:r w:rsidR="00203F72" w:rsidRPr="00BE652C">
        <w:t>我國對於第</w:t>
      </w:r>
      <w:r w:rsidR="00203F72" w:rsidRPr="00BE652C">
        <w:t>3</w:t>
      </w:r>
      <w:r w:rsidR="00203F72" w:rsidRPr="00BE652C">
        <w:t>及第</w:t>
      </w:r>
      <w:r w:rsidR="00203F72" w:rsidRPr="00BE652C">
        <w:t>4</w:t>
      </w:r>
      <w:r w:rsidR="00203F72" w:rsidRPr="00BE652C">
        <w:t>級管制藥物施用者之管理，似宜增強管制之力道與能量，亦即，宜考量強化管理之機制，諸如提高行政罰鍰的額度至一定的比例。政府對於第</w:t>
      </w:r>
      <w:r w:rsidR="00203F72" w:rsidRPr="00BE652C">
        <w:t>3</w:t>
      </w:r>
      <w:r w:rsidR="00203F72" w:rsidRPr="00BE652C">
        <w:t>及第</w:t>
      </w:r>
      <w:r w:rsidR="00203F72" w:rsidRPr="00BE652C">
        <w:t>4</w:t>
      </w:r>
      <w:r w:rsidR="00203F72" w:rsidRPr="00A53581">
        <w:t>級管制藥物施用者之管理，不論是初犯，或是累犯，似不宜以刑罰介入，因為，有很多之青少年是因為好奇而施用第</w:t>
      </w:r>
      <w:r w:rsidR="00203F72" w:rsidRPr="00A53581">
        <w:t>3</w:t>
      </w:r>
      <w:r w:rsidR="00203F72" w:rsidRPr="00A53581">
        <w:t>、</w:t>
      </w:r>
      <w:r w:rsidR="00203F72" w:rsidRPr="00A53581">
        <w:t>4</w:t>
      </w:r>
      <w:r w:rsidR="00203F72" w:rsidRPr="00A53581">
        <w:t>級毒品，此時，行政罰是非常理想之政策選擇方案。對於第</w:t>
      </w:r>
      <w:r w:rsidR="00203F72" w:rsidRPr="00A53581">
        <w:t>3</w:t>
      </w:r>
      <w:r w:rsidR="00203F72" w:rsidRPr="00A53581">
        <w:t>及第</w:t>
      </w:r>
      <w:r w:rsidR="00203F72" w:rsidRPr="00A53581">
        <w:t>4</w:t>
      </w:r>
      <w:r w:rsidR="00203F72" w:rsidRPr="00A53581">
        <w:t>級毒品施用者之管理，似宜以教育及輔導手段為佳。</w:t>
      </w:r>
    </w:p>
    <w:p w14:paraId="4D9C7BD6" w14:textId="77777777" w:rsidR="00953151" w:rsidRDefault="0039258A" w:rsidP="00D87D91">
      <w:r>
        <w:t xml:space="preserve">　　</w:t>
      </w:r>
      <w:r w:rsidR="00203F72" w:rsidRPr="00A53581">
        <w:t>在持有第</w:t>
      </w:r>
      <w:r w:rsidR="00203F72" w:rsidRPr="00A53581">
        <w:t>3</w:t>
      </w:r>
      <w:r w:rsidR="00203F72" w:rsidRPr="00A53581">
        <w:t>及第</w:t>
      </w:r>
      <w:r w:rsidR="00203F72" w:rsidRPr="00A53581">
        <w:t>4</w:t>
      </w:r>
      <w:r w:rsidR="00203F72" w:rsidRPr="00A53581">
        <w:t>級毒品方面，於台灣地區單純持有第</w:t>
      </w:r>
      <w:r w:rsidR="00203F72" w:rsidRPr="00A53581">
        <w:t>3</w:t>
      </w:r>
      <w:r w:rsidR="00203F72" w:rsidRPr="00A53581">
        <w:t>及第</w:t>
      </w:r>
      <w:r w:rsidR="00203F72" w:rsidRPr="00A53581">
        <w:t>4</w:t>
      </w:r>
      <w:r w:rsidR="00203F72" w:rsidRPr="00A53581">
        <w:t>級毒品，依據</w:t>
      </w:r>
      <w:r w:rsidR="00203F72" w:rsidRPr="00A53581">
        <w:t>2009</w:t>
      </w:r>
      <w:r w:rsidR="00203F72" w:rsidRPr="00A53581">
        <w:t>年新修正「毒品危害防制條例」</w:t>
      </w:r>
      <w:r w:rsidR="005D5A46">
        <w:t>第</w:t>
      </w:r>
      <w:hyperlink r:id="rId1709" w:anchor="b11b1" w:history="1">
        <w:r w:rsidR="00203F72" w:rsidRPr="00ED5438">
          <w:rPr>
            <w:rStyle w:val="a5"/>
            <w:rFonts w:ascii="Times New Roman" w:eastAsia="新細明體" w:hAnsi="Times New Roman"/>
          </w:rPr>
          <w:t>11</w:t>
        </w:r>
        <w:r w:rsidR="00203F72" w:rsidRPr="00ED5438">
          <w:rPr>
            <w:rStyle w:val="a5"/>
            <w:rFonts w:ascii="Times New Roman" w:eastAsia="新細明體" w:hAnsi="Times New Roman"/>
          </w:rPr>
          <w:t>之</w:t>
        </w:r>
        <w:r w:rsidR="00203F72" w:rsidRPr="00ED5438">
          <w:rPr>
            <w:rStyle w:val="a5"/>
            <w:rFonts w:ascii="Times New Roman" w:eastAsia="新細明體" w:hAnsi="Times New Roman"/>
          </w:rPr>
          <w:t>1</w:t>
        </w:r>
      </w:hyperlink>
      <w:r w:rsidR="005D5A46">
        <w:t>條</w:t>
      </w:r>
      <w:r w:rsidR="00203F72" w:rsidRPr="00A53581">
        <w:t>的條文規定，目前係為行政不法行為，而非刑事不法行為，亦即，是一種無罪之行為，我國尚未加以犯罪化。反觀於日本，僅能於特定之條件之下，諸如：醫療、研究、或其他經政府許可之情形下，始能依法持有列管之麻醉藥物。若違法製造調配、分裝、轉讓、收受或是持有麻醉藥物，根據「麻醉藥物與影響精神物質取締法」第</w:t>
      </w:r>
      <w:r w:rsidR="00203F72" w:rsidRPr="00A53581">
        <w:t>66</w:t>
      </w:r>
      <w:r w:rsidR="00203F72" w:rsidRPr="00A53581">
        <w:t>條第</w:t>
      </w:r>
      <w:r w:rsidR="00203F72" w:rsidRPr="00A53581">
        <w:t>1</w:t>
      </w:r>
      <w:r w:rsidR="00203F72" w:rsidRPr="00A53581">
        <w:t>項之規定，可以處</w:t>
      </w:r>
      <w:r w:rsidR="00203F72" w:rsidRPr="00A53581">
        <w:t>7</w:t>
      </w:r>
      <w:r w:rsidR="00203F72" w:rsidRPr="00A53581">
        <w:t>年以下之有期徒刑</w:t>
      </w:r>
      <w:r w:rsidR="00203F72" w:rsidRPr="00A53581">
        <w:t>(Any person who unlawfully compounds, subdivides, transfers, receives, supplies, or possesses narcotics other than diacetylmorphine, etc. shall be liable to penal servitude not exceeding 7 years)</w:t>
      </w:r>
      <w:r w:rsidR="00203F72" w:rsidRPr="00A53581">
        <w:t>。</w:t>
      </w:r>
    </w:p>
    <w:p w14:paraId="07479903" w14:textId="77777777" w:rsidR="00953151" w:rsidRDefault="0039258A" w:rsidP="00D87D91">
      <w:r>
        <w:t xml:space="preserve">　　</w:t>
      </w:r>
      <w:r w:rsidR="00203F72" w:rsidRPr="00A53581">
        <w:t>若是意圖營利</w:t>
      </w:r>
      <w:r w:rsidR="00203F72" w:rsidRPr="00A53581">
        <w:t>(for the purpose of gain)</w:t>
      </w:r>
      <w:r w:rsidR="00203F72" w:rsidRPr="00A53581">
        <w:t>，則根據「麻醉藥物與影響精神物質取締法」第</w:t>
      </w:r>
      <w:r w:rsidR="00203F72" w:rsidRPr="00A53581">
        <w:t>66</w:t>
      </w:r>
      <w:r w:rsidR="00203F72" w:rsidRPr="00A53581">
        <w:t>條第</w:t>
      </w:r>
      <w:r w:rsidR="00203F72" w:rsidRPr="00A53581">
        <w:t>2</w:t>
      </w:r>
      <w:r w:rsidR="00203F72" w:rsidRPr="00A53581">
        <w:t>項之規定，可以處</w:t>
      </w:r>
      <w:r w:rsidR="00203F72" w:rsidRPr="00A53581">
        <w:t>1</w:t>
      </w:r>
      <w:r w:rsidR="00203F72" w:rsidRPr="00A53581">
        <w:t>年以上、</w:t>
      </w:r>
      <w:r w:rsidR="00203F72" w:rsidRPr="00A53581">
        <w:t>10</w:t>
      </w:r>
      <w:r w:rsidR="00203F72" w:rsidRPr="00A53581">
        <w:t>年以下之有期徒刑，及</w:t>
      </w:r>
      <w:r w:rsidR="00203F72" w:rsidRPr="00A53581">
        <w:t>300</w:t>
      </w:r>
      <w:r w:rsidR="00203F72" w:rsidRPr="00A53581">
        <w:t>萬日圓以下之罰金</w:t>
      </w:r>
      <w:r w:rsidR="00203F72" w:rsidRPr="00A53581">
        <w:t>(shall be liable to penal servitude from 1 year to 10 years inclusive or to both penal servitude from 1 year to 10 years inclusive and a fine not exceeding 3,000,000 yen according to circumstances)</w:t>
      </w:r>
      <w:r w:rsidR="00203F72" w:rsidRPr="00A53581">
        <w:t>。另外，在未遂犯部分，針對持有列管之麻醉藥物、影響精神物質之未遂犯，亦處罰之</w:t>
      </w:r>
      <w:r w:rsidR="00203F72" w:rsidRPr="00A53581">
        <w:t>(An attempt to commit any of the offenses prescribed in the preceding two paragraphs shall he liable to punishment)</w:t>
      </w:r>
      <w:r w:rsidR="00203F72" w:rsidRPr="00A53581">
        <w:t>。</w:t>
      </w:r>
    </w:p>
    <w:p w14:paraId="60C5BA84" w14:textId="77777777" w:rsidR="00953151" w:rsidRDefault="0039258A" w:rsidP="00D87D91">
      <w:r>
        <w:t xml:space="preserve">　　</w:t>
      </w:r>
      <w:r w:rsidR="00203F72" w:rsidRPr="00A53581">
        <w:t>反觀我國，對於第</w:t>
      </w:r>
      <w:r w:rsidR="00203F72" w:rsidRPr="00A53581">
        <w:t>3</w:t>
      </w:r>
      <w:r w:rsidR="00203F72" w:rsidRPr="00A53581">
        <w:t>及第</w:t>
      </w:r>
      <w:r w:rsidR="00203F72" w:rsidRPr="00A53581">
        <w:t>4</w:t>
      </w:r>
      <w:r w:rsidR="00203F72" w:rsidRPr="00A53581">
        <w:t>級毒品之持有，是無罪之行為，我國未加以犯罪化。關於持有及施用第</w:t>
      </w:r>
      <w:r w:rsidR="00203F72" w:rsidRPr="00A53581">
        <w:t>3</w:t>
      </w:r>
      <w:r w:rsidR="00203F72" w:rsidRPr="00A53581">
        <w:t>及第</w:t>
      </w:r>
      <w:r w:rsidR="00203F72" w:rsidRPr="00A53581">
        <w:t>4</w:t>
      </w:r>
      <w:r w:rsidR="00203F72" w:rsidRPr="00A53581">
        <w:t>級部份，本書認為政府的公權力，似宜再增強管控機制，亦即，再增加管控的力道，以提升對於第</w:t>
      </w:r>
      <w:r w:rsidR="00203F72" w:rsidRPr="00A53581">
        <w:t>3</w:t>
      </w:r>
      <w:r w:rsidR="00203F72" w:rsidRPr="00A53581">
        <w:t>及第</w:t>
      </w:r>
      <w:r w:rsidR="00203F72" w:rsidRPr="00A53581">
        <w:t>4</w:t>
      </w:r>
      <w:r w:rsidR="00203F72" w:rsidRPr="00A53581">
        <w:t>級毒品進行管理與監控之效能。</w:t>
      </w:r>
    </w:p>
    <w:p w14:paraId="1C913D29" w14:textId="77777777" w:rsidR="00203F72" w:rsidRPr="00A53581" w:rsidRDefault="0039258A" w:rsidP="00D87D91">
      <w:r>
        <w:t xml:space="preserve">　　</w:t>
      </w:r>
      <w:r w:rsidR="00203F72" w:rsidRPr="00A53581">
        <w:t>四、</w:t>
      </w:r>
      <w:r w:rsidR="00203F72" w:rsidRPr="00A53581">
        <w:t>FM2</w:t>
      </w:r>
      <w:r w:rsidR="00203F72" w:rsidRPr="00A53581">
        <w:t>及</w:t>
      </w:r>
      <w:r w:rsidR="00203F72" w:rsidRPr="00A53581">
        <w:t>Ketamine</w:t>
      </w:r>
      <w:r w:rsidR="00203F72" w:rsidRPr="00A53581">
        <w:t>宜改列為第</w:t>
      </w:r>
      <w:r w:rsidR="00203F72" w:rsidRPr="00A53581">
        <w:t>2</w:t>
      </w:r>
      <w:r w:rsidR="00203F72" w:rsidRPr="00A53581">
        <w:t>級毒品，並嚴加掃蕩；或者，大幅提高對於施用第</w:t>
      </w:r>
      <w:r w:rsidR="00203F72" w:rsidRPr="00A53581">
        <w:t>3</w:t>
      </w:r>
      <w:r w:rsidR="00203F72" w:rsidRPr="00A53581">
        <w:t>級及第</w:t>
      </w:r>
      <w:r w:rsidR="00203F72" w:rsidRPr="00A53581">
        <w:t>4</w:t>
      </w:r>
      <w:r w:rsidR="00203F72" w:rsidRPr="00A53581">
        <w:t>級毒品之行政罰鍰的額度</w:t>
      </w:r>
    </w:p>
    <w:p w14:paraId="0AE41441" w14:textId="77777777" w:rsidR="00203F72" w:rsidRPr="00A53581" w:rsidRDefault="00203F72" w:rsidP="00D87D91"/>
    <w:p w14:paraId="6AE9CA97" w14:textId="77777777" w:rsidR="00953151" w:rsidRDefault="0039258A" w:rsidP="00D87D91">
      <w:r>
        <w:t xml:space="preserve">　　</w:t>
      </w:r>
      <w:r w:rsidR="00203F72" w:rsidRPr="00A53581">
        <w:t>在民國</w:t>
      </w:r>
      <w:r w:rsidR="00203F72" w:rsidRPr="00A53581">
        <w:t>92</w:t>
      </w:r>
      <w:r w:rsidR="00203F72" w:rsidRPr="00A53581">
        <w:t>年</w:t>
      </w:r>
      <w:r w:rsidR="00203F72" w:rsidRPr="00A53581">
        <w:t>(2003)5</w:t>
      </w:r>
      <w:r w:rsidR="00203F72" w:rsidRPr="00A53581">
        <w:t>月立法院審查行政院函請審議</w:t>
      </w:r>
      <w:r w:rsidR="00ED5438" w:rsidRPr="003B41D4">
        <w:t>「</w:t>
      </w:r>
      <w:hyperlink r:id="rId1710" w:history="1">
        <w:r w:rsidR="00ED5438" w:rsidRPr="00ED5438">
          <w:rPr>
            <w:rStyle w:val="a5"/>
            <w:rFonts w:ascii="Times New Roman" w:eastAsia="新細明體" w:hAnsi="Times New Roman"/>
          </w:rPr>
          <w:t>毒品危害防制條例</w:t>
        </w:r>
      </w:hyperlink>
      <w:r w:rsidR="00203F72" w:rsidRPr="00A53581">
        <w:t>修正草案」會議中，邱委員垂貞認為應將第三級與第四級毒品加以犯罪化。邱委員垂貞表示</w:t>
      </w:r>
      <w:r w:rsidR="00203F72" w:rsidRPr="00A53581">
        <w:rPr>
          <w:rStyle w:val="af3"/>
          <w:rFonts w:ascii="新細明體" w:hAnsi="新細明體"/>
        </w:rPr>
        <w:footnoteReference w:id="404"/>
      </w:r>
      <w:r w:rsidR="00203F72" w:rsidRPr="00A53581">
        <w:t>：</w:t>
      </w:r>
    </w:p>
    <w:p w14:paraId="260DFFEA" w14:textId="77777777" w:rsidR="00953151" w:rsidRDefault="0039258A" w:rsidP="00D87D91">
      <w:r>
        <w:t xml:space="preserve">　　</w:t>
      </w:r>
      <w:r w:rsidR="00203F72" w:rsidRPr="00A53581">
        <w:t>「現在處處可見六、七年級同學為了興奮、好奇、好玩，到ＫＴＶ唱歌時，隨手一顆搖頭丸助興，搖頭歌是大家朗朗上口的，而演藝人員也屢屢傳出觀察勒戒的情形。本席認為觀察、勒戒人口數的激增是因毒品危害防制條例</w:t>
      </w:r>
      <w:hyperlink r:id="rId1711" w:anchor="b10" w:history="1">
        <w:r w:rsidR="00ED34D8" w:rsidRPr="00BE652C">
          <w:rPr>
            <w:rStyle w:val="a5"/>
            <w:rFonts w:ascii="Times New Roman" w:hAnsi="Times New Roman"/>
          </w:rPr>
          <w:t>第十條</w:t>
        </w:r>
      </w:hyperlink>
      <w:r w:rsidR="00203F72" w:rsidRPr="00A53581">
        <w:t>中對於施用第三級與第四級毒品的人並沒有科處任何自由刑罰，對吸食者無造成嚇阻效果，而僅僅規範施用第一級與第二級毒品者，所以條文的漏未規範是助長國內吸毒人口數增加的主要原因，如果在條文中能夠增訂施用第三級與第四級毒品者的刑事刑罰，相信就可以有效嚇阻國內吸食毒品的人口！法務部是不是應該往增列第三、四級毒品施用者的刑責方向作研議</w:t>
      </w:r>
      <w:r w:rsidR="00203F72" w:rsidRPr="00A53581">
        <w:rPr>
          <w:rStyle w:val="af3"/>
          <w:rFonts w:ascii="新細明體" w:hAnsi="新細明體"/>
        </w:rPr>
        <w:footnoteReference w:id="405"/>
      </w:r>
      <w:r w:rsidR="00203F72" w:rsidRPr="00A53581">
        <w:t>？</w:t>
      </w:r>
    </w:p>
    <w:p w14:paraId="021F6DA2" w14:textId="77777777" w:rsidR="00953151" w:rsidRDefault="0039258A" w:rsidP="00D87D91">
      <w:r>
        <w:t xml:space="preserve">　　</w:t>
      </w:r>
      <w:r w:rsidR="00203F72" w:rsidRPr="00A53581">
        <w:t>針對上述邱委員垂貞的意見，當時陳部長定南回應如下</w:t>
      </w:r>
      <w:r w:rsidR="00203F72" w:rsidRPr="00A53581">
        <w:rPr>
          <w:rStyle w:val="af3"/>
          <w:rFonts w:ascii="新細明體" w:hAnsi="新細明體"/>
        </w:rPr>
        <w:footnoteReference w:id="406"/>
      </w:r>
      <w:r w:rsidR="00203F72" w:rsidRPr="00A53581">
        <w:t>：</w:t>
      </w:r>
    </w:p>
    <w:p w14:paraId="0ABD871E" w14:textId="77777777" w:rsidR="00953151" w:rsidRDefault="0039258A" w:rsidP="00D87D91">
      <w:r>
        <w:t xml:space="preserve">　　</w:t>
      </w:r>
      <w:r w:rsidR="00203F72" w:rsidRPr="00A53581">
        <w:t>「這方面可以再討論，關於第三級與第四級毒品的部分，目前法律規定只處罰販賣者，由於服用者的成癮性較低，所以並未加以處罰。」</w:t>
      </w:r>
    </w:p>
    <w:p w14:paraId="23F54446" w14:textId="77777777" w:rsidR="00953151" w:rsidRDefault="0039258A" w:rsidP="00D87D91">
      <w:r>
        <w:t xml:space="preserve">　　</w:t>
      </w:r>
      <w:r w:rsidR="00203F72" w:rsidRPr="00A53581">
        <w:t>根據上開邱委員垂貞之意見，有必要往將第三級及第四級部分的毒品之施用行為加以犯罪化之方向思考，本書則認為可將常遭受濫用之</w:t>
      </w:r>
      <w:r w:rsidR="00203F72" w:rsidRPr="00A53581">
        <w:t>FM2</w:t>
      </w:r>
      <w:r w:rsidR="00203F72" w:rsidRPr="00A53581">
        <w:t>及</w:t>
      </w:r>
      <w:r w:rsidR="00203F72" w:rsidRPr="00A53581">
        <w:t>Ketamine</w:t>
      </w:r>
      <w:r w:rsidR="00203F72" w:rsidRPr="00A53581">
        <w:t>提升至第</w:t>
      </w:r>
      <w:r w:rsidR="00203F72" w:rsidRPr="00A53581">
        <w:t>2</w:t>
      </w:r>
      <w:r w:rsidR="00203F72" w:rsidRPr="00A53581">
        <w:t>級，以達到上開邱委員垂貞所主張對吸食者造成嚇阻效果之目的。</w:t>
      </w:r>
    </w:p>
    <w:p w14:paraId="1348E8A5" w14:textId="77777777" w:rsidR="00953151" w:rsidRDefault="0039258A" w:rsidP="00D87D91">
      <w:r>
        <w:t xml:space="preserve">　　</w:t>
      </w:r>
      <w:r w:rsidR="00203F72" w:rsidRPr="00A53581">
        <w:t>日本對於新興毒品之控管是不遺餘力，在我國，氟硝西泮</w:t>
      </w:r>
      <w:r w:rsidR="00203F72" w:rsidRPr="00A53581">
        <w:t>(</w:t>
      </w:r>
      <w:r w:rsidR="00203F72" w:rsidRPr="00A53581">
        <w:t>俗稱為強姦藥片，</w:t>
      </w:r>
      <w:r w:rsidR="00203F72" w:rsidRPr="00A53581">
        <w:t xml:space="preserve">FM2 </w:t>
      </w:r>
      <w:r w:rsidR="00203F72" w:rsidRPr="00A53581">
        <w:t>，英文名稱為</w:t>
      </w:r>
      <w:r w:rsidR="00203F72" w:rsidRPr="00A53581">
        <w:t>flunitrazepam)</w:t>
      </w:r>
      <w:r w:rsidR="00203F72" w:rsidRPr="00A53581">
        <w:t>是屬於第</w:t>
      </w:r>
      <w:r w:rsidR="00203F72" w:rsidRPr="00A53581">
        <w:t>3</w:t>
      </w:r>
      <w:r w:rsidR="00203F72" w:rsidRPr="00A53581">
        <w:t>級之毒品，目前尚未加以犯罪化，本書建議相關政府部門有必要大幅地強化及提升控管強姦藥片</w:t>
      </w:r>
      <w:r w:rsidR="00203F72" w:rsidRPr="00A53581">
        <w:t>FM2 (flunitrazepam)</w:t>
      </w:r>
      <w:r w:rsidR="00203F72" w:rsidRPr="00A53581">
        <w:t>之能量與力道。在</w:t>
      </w:r>
      <w:r w:rsidR="00203F72" w:rsidRPr="00A53581">
        <w:t>1995</w:t>
      </w:r>
      <w:r w:rsidR="00203F72" w:rsidRPr="00A53581">
        <w:t>年，根據日本「部分改正指定麻醉藥物及影響精神物質取締法施行命令與麻醉藥物、影響精神物質及麻醉藥物、影響精神物質先驅化學原料行政命令」</w:t>
      </w:r>
      <w:r w:rsidR="00203F72" w:rsidRPr="00A53581">
        <w:rPr>
          <w:rStyle w:val="af3"/>
          <w:rFonts w:ascii="新細明體" w:hAnsi="新細明體"/>
        </w:rPr>
        <w:footnoteReference w:id="407"/>
      </w:r>
      <w:r w:rsidR="00203F72" w:rsidRPr="00A53581">
        <w:t>第</w:t>
      </w:r>
      <w:r w:rsidR="00203F72" w:rsidRPr="00A53581">
        <w:t>1</w:t>
      </w:r>
      <w:r w:rsidR="00203F72" w:rsidRPr="00A53581">
        <w:t>條之規定</w:t>
      </w:r>
      <w:r w:rsidR="00203F72" w:rsidRPr="00A53581">
        <w:rPr>
          <w:rStyle w:val="af3"/>
          <w:rFonts w:ascii="新細明體" w:hAnsi="新細明體"/>
        </w:rPr>
        <w:footnoteReference w:id="408"/>
      </w:r>
      <w:r w:rsidR="00203F72" w:rsidRPr="00A53581">
        <w:t>，強姦藥片</w:t>
      </w:r>
      <w:r w:rsidR="00203F72" w:rsidRPr="00A53581">
        <w:t xml:space="preserve">(FM2 </w:t>
      </w:r>
      <w:r w:rsidR="00203F72" w:rsidRPr="00A53581">
        <w:t>，</w:t>
      </w:r>
      <w:r w:rsidR="00203F72" w:rsidRPr="00A53581">
        <w:t>flunitrazepam)</w:t>
      </w:r>
      <w:r w:rsidR="00203F72" w:rsidRPr="00A53581">
        <w:t>業已被日本政府列入「麻藥及影響精神物質取締法」管制之中。若違法製造調配、分裝、轉讓、收受、持有或施用強姦藥片</w:t>
      </w:r>
      <w:r w:rsidR="00203F72" w:rsidRPr="00A53581">
        <w:t xml:space="preserve">(FM2 </w:t>
      </w:r>
      <w:r w:rsidR="00203F72" w:rsidRPr="00A53581">
        <w:t>，</w:t>
      </w:r>
      <w:r w:rsidR="00203F72" w:rsidRPr="00A53581">
        <w:t>flunitrazepam)</w:t>
      </w:r>
      <w:r w:rsidR="00203F72" w:rsidRPr="00A53581">
        <w:t>，將被處以刑事罰</w:t>
      </w:r>
      <w:r w:rsidR="00203F72" w:rsidRPr="00A53581">
        <w:rPr>
          <w:rStyle w:val="af3"/>
          <w:rFonts w:ascii="新細明體" w:hAnsi="新細明體"/>
        </w:rPr>
        <w:footnoteReference w:id="409"/>
      </w:r>
      <w:r w:rsidR="00203F72" w:rsidRPr="00A53581">
        <w:t>，但在我國，卻處以行政罰。涉及強姦藥片</w:t>
      </w:r>
      <w:r w:rsidR="00203F72" w:rsidRPr="00A53581">
        <w:t xml:space="preserve">(FM2 </w:t>
      </w:r>
      <w:r w:rsidR="00203F72" w:rsidRPr="00A53581">
        <w:t>，</w:t>
      </w:r>
      <w:r w:rsidR="00203F72" w:rsidRPr="00A53581">
        <w:t>flunitrazepam)</w:t>
      </w:r>
      <w:r w:rsidR="00203F72" w:rsidRPr="00A53581">
        <w:t>的管制，何者的管理政策較適合台灣，似乎尚存有相當大的討論空間，本書認為</w:t>
      </w:r>
      <w:r w:rsidR="00203F72" w:rsidRPr="00A53581">
        <w:t>FM2</w:t>
      </w:r>
      <w:r w:rsidR="00203F72" w:rsidRPr="00A53581">
        <w:t>宜改列為第</w:t>
      </w:r>
      <w:r w:rsidR="00203F72" w:rsidRPr="00A53581">
        <w:t>2</w:t>
      </w:r>
      <w:r w:rsidR="00203F72" w:rsidRPr="00A53581">
        <w:t>級毒品，並嚴加掃蕩及控管。</w:t>
      </w:r>
    </w:p>
    <w:p w14:paraId="6F11C783" w14:textId="77777777" w:rsidR="00953151" w:rsidRDefault="0039258A" w:rsidP="00D87D91">
      <w:r>
        <w:t xml:space="preserve">　　</w:t>
      </w:r>
      <w:r w:rsidR="00203F72" w:rsidRPr="00A53581">
        <w:t>日本「麻醉藥物與影響精神物質取締法」第</w:t>
      </w:r>
      <w:r w:rsidR="00203F72" w:rsidRPr="00A53581">
        <w:t>27</w:t>
      </w:r>
      <w:r w:rsidR="00203F72" w:rsidRPr="00A53581">
        <w:t>條明定於一定之醫學、治療及研究之下，始可施用麻醉藥物</w:t>
      </w:r>
      <w:r w:rsidR="00203F72" w:rsidRPr="00A53581">
        <w:rPr>
          <w:rStyle w:val="af3"/>
          <w:rFonts w:ascii="新細明體" w:hAnsi="新細明體"/>
        </w:rPr>
        <w:footnoteReference w:id="410"/>
      </w:r>
      <w:r w:rsidR="00203F72" w:rsidRPr="00A53581">
        <w:t>。若違法施用，根據「麻醉藥物與影響精神物質取締法」第</w:t>
      </w:r>
      <w:r w:rsidR="00203F72" w:rsidRPr="00A53581">
        <w:t>66</w:t>
      </w:r>
      <w:r w:rsidR="00203F72" w:rsidRPr="00A53581">
        <w:t>條之</w:t>
      </w:r>
      <w:r w:rsidR="00203F72" w:rsidRPr="00A53581">
        <w:t>2</w:t>
      </w:r>
      <w:r w:rsidR="00203F72" w:rsidRPr="00A53581">
        <w:t>之規定，可以處</w:t>
      </w:r>
      <w:r w:rsidR="00203F72" w:rsidRPr="00A53581">
        <w:t>7</w:t>
      </w:r>
      <w:r w:rsidR="00203F72" w:rsidRPr="00A53581">
        <w:t>年以下之有期徒刑</w:t>
      </w:r>
      <w:r w:rsidR="00203F72" w:rsidRPr="00A53581">
        <w:rPr>
          <w:rStyle w:val="af3"/>
          <w:rFonts w:ascii="新細明體" w:hAnsi="新細明體"/>
        </w:rPr>
        <w:footnoteReference w:id="411"/>
      </w:r>
      <w:r w:rsidR="00203F72" w:rsidRPr="00A53581">
        <w:t>。亦即，在台灣之第</w:t>
      </w:r>
      <w:r w:rsidR="00203F72" w:rsidRPr="00A53581">
        <w:t>3</w:t>
      </w:r>
      <w:r w:rsidR="00203F72" w:rsidRPr="00A53581">
        <w:t>、第</w:t>
      </w:r>
      <w:r w:rsidR="00203F72" w:rsidRPr="00A53581">
        <w:t>4</w:t>
      </w:r>
      <w:r w:rsidR="00203F72" w:rsidRPr="00A53581">
        <w:t>級毒品，在台灣施用是尚未加以犯罪化之行為。</w:t>
      </w:r>
    </w:p>
    <w:p w14:paraId="181FCC50" w14:textId="77777777" w:rsidR="00953151" w:rsidRDefault="0039258A" w:rsidP="00D87D91">
      <w:r>
        <w:t xml:space="preserve">　　</w:t>
      </w:r>
      <w:r w:rsidR="00203F72" w:rsidRPr="00A53581">
        <w:t>但於日本，若被日本政府指定為麻藥，如違法施用，可處以</w:t>
      </w:r>
      <w:r w:rsidR="00203F72" w:rsidRPr="00A53581">
        <w:t>7</w:t>
      </w:r>
      <w:r w:rsidR="00203F72" w:rsidRPr="00A53581">
        <w:t>年以下之有期徒刑，這是被日本加以犯罪化之嚴重罪行。同樣之麻醉藥物及影響精神物質，會因為國家之不同，呈現兩種不同之結果。本書認為，台灣地區常遭受濫用之第</w:t>
      </w:r>
      <w:r w:rsidR="00203F72" w:rsidRPr="00A53581">
        <w:t>3</w:t>
      </w:r>
      <w:r w:rsidR="00203F72" w:rsidRPr="00A53581">
        <w:t>及第</w:t>
      </w:r>
      <w:r w:rsidR="00203F72" w:rsidRPr="00A53581">
        <w:t>4</w:t>
      </w:r>
      <w:r w:rsidR="00203F72" w:rsidRPr="00A53581">
        <w:t>級毒品，宜改列為第</w:t>
      </w:r>
      <w:r w:rsidR="00203F72" w:rsidRPr="00A53581">
        <w:t>2</w:t>
      </w:r>
      <w:r w:rsidR="00203F72" w:rsidRPr="00A53581">
        <w:t>級毒品，強力加以嚴管。亦即，有必要加以犯罪化，而非任由青少年朋友施用之。</w:t>
      </w:r>
    </w:p>
    <w:p w14:paraId="16EDE185" w14:textId="77777777" w:rsidR="00953151" w:rsidRPr="00BE652C" w:rsidRDefault="0039258A" w:rsidP="00BE652C">
      <w:r w:rsidRPr="00BE652C">
        <w:t xml:space="preserve">　　</w:t>
      </w:r>
      <w:r w:rsidR="00203F72" w:rsidRPr="00BE652C">
        <w:t>在台灣，</w:t>
      </w:r>
      <w:r w:rsidR="00203F72" w:rsidRPr="00BE652C">
        <w:t>K</w:t>
      </w:r>
      <w:r w:rsidR="00203F72" w:rsidRPr="00BE652C">
        <w:t>他命被列為第</w:t>
      </w:r>
      <w:r w:rsidR="00203F72" w:rsidRPr="00BE652C">
        <w:t>3</w:t>
      </w:r>
      <w:r w:rsidR="00203F72" w:rsidRPr="00BE652C">
        <w:t>級之毒品，假若係單純施用及持有，依照毒品危害防制條例</w:t>
      </w:r>
      <w:hyperlink r:id="rId1712" w:anchor="b11b1" w:history="1">
        <w:r w:rsidR="00203F72" w:rsidRPr="00BE652C">
          <w:rPr>
            <w:rStyle w:val="a5"/>
          </w:rPr>
          <w:t>第11-1條</w:t>
        </w:r>
      </w:hyperlink>
      <w:r w:rsidR="00203F72" w:rsidRPr="00BE652C">
        <w:t>第</w:t>
      </w:r>
      <w:r w:rsidR="00203F72" w:rsidRPr="00BE652C">
        <w:t>2</w:t>
      </w:r>
      <w:r w:rsidR="00203F72" w:rsidRPr="00BE652C">
        <w:t>項之規定，無正當理由持有或施用第三級或第四級毒品者，處新臺幣一萬元以上五萬元以下罰鍰，並應限期令其接受四小時以上八小時以下之毒品危害講習。亦即，是不受刑事處罰，僅接受行政處罰。但在日本部分，</w:t>
      </w:r>
      <w:r w:rsidR="00203F72" w:rsidRPr="00BE652C">
        <w:t>K</w:t>
      </w:r>
      <w:r w:rsidR="00203F72" w:rsidRPr="00BE652C">
        <w:t>他命於</w:t>
      </w:r>
      <w:r w:rsidR="00203F72" w:rsidRPr="00BE652C">
        <w:t>2007</w:t>
      </w:r>
      <w:r w:rsidR="00203F72" w:rsidRPr="00BE652C">
        <w:t>年</w:t>
      </w:r>
      <w:r w:rsidR="00203F72" w:rsidRPr="00BE652C">
        <w:t>1</w:t>
      </w:r>
      <w:r w:rsidR="00203F72" w:rsidRPr="00BE652C">
        <w:t>月</w:t>
      </w:r>
      <w:r w:rsidR="00203F72" w:rsidRPr="00BE652C">
        <w:t>1</w:t>
      </w:r>
      <w:r w:rsidR="00203F72" w:rsidRPr="00BE652C">
        <w:t>日以後，業已被日本政府指定為麻藥之一種，禁止</w:t>
      </w:r>
      <w:r w:rsidR="00203F72" w:rsidRPr="00BE652C">
        <w:t>K</w:t>
      </w:r>
      <w:r w:rsidR="00203F72" w:rsidRPr="00BE652C">
        <w:t>他命之輸入、輸出、製造、分配、受讓、轉讓、持有及施用。</w:t>
      </w:r>
      <w:r w:rsidR="00203F72" w:rsidRPr="00BE652C">
        <w:t>K</w:t>
      </w:r>
      <w:r w:rsidR="00203F72" w:rsidRPr="00BE652C">
        <w:t>他命在日本不論施用及持有，均須受到刑事之制裁</w:t>
      </w:r>
      <w:r w:rsidR="00203F72" w:rsidRPr="00BE652C">
        <w:footnoteReference w:id="412"/>
      </w:r>
      <w:r w:rsidR="00203F72" w:rsidRPr="00BE652C">
        <w:t>。根據日本「部分改正麻醉藥物、麻醉藥物先驅化學品、影響精神物質及麻醉藥物、影響精神物質先驅化學品行政命令」</w:t>
      </w:r>
      <w:r w:rsidR="00203F72" w:rsidRPr="00BE652C">
        <w:t>(</w:t>
      </w:r>
      <w:r w:rsidR="00203F72" w:rsidRPr="00BE652C">
        <w:t>日文原文為：麻薬、麻薬原料植物、向精神薬及び麻薬向精神薬原料を指定する政令の一部を改正する政令</w:t>
      </w:r>
      <w:r w:rsidR="00203F72" w:rsidRPr="00BE652C">
        <w:t>)</w:t>
      </w:r>
      <w:r w:rsidR="00203F72" w:rsidRPr="00BE652C">
        <w:t>之規定，</w:t>
      </w:r>
      <w:r w:rsidR="00203F72" w:rsidRPr="00BE652C">
        <w:t>2006</w:t>
      </w:r>
      <w:r w:rsidR="00203F72" w:rsidRPr="00BE652C">
        <w:t>年之時，</w:t>
      </w:r>
      <w:r w:rsidR="00203F72" w:rsidRPr="00BE652C">
        <w:t>K</w:t>
      </w:r>
      <w:r w:rsidR="00203F72" w:rsidRPr="00BE652C">
        <w:t>他命已被日本列管</w:t>
      </w:r>
      <w:r w:rsidR="00203F72" w:rsidRPr="00BE652C">
        <w:footnoteReference w:id="413"/>
      </w:r>
      <w:r w:rsidR="00203F72" w:rsidRPr="00BE652C">
        <w:t>，被指定成為麻藥之一種。</w:t>
      </w:r>
    </w:p>
    <w:p w14:paraId="3EF17798" w14:textId="77777777" w:rsidR="00953151" w:rsidRPr="00BE652C" w:rsidRDefault="00254E32" w:rsidP="00BE652C">
      <w:r w:rsidRPr="00BE652C">
        <w:t xml:space="preserve">　　</w:t>
      </w:r>
      <w:r w:rsidR="00203F72" w:rsidRPr="00BE652C">
        <w:t>亦即，日本對於相當於我國的第</w:t>
      </w:r>
      <w:r w:rsidR="00203F72" w:rsidRPr="00BE652C">
        <w:t>3</w:t>
      </w:r>
      <w:r w:rsidR="00203F72" w:rsidRPr="00BE652C">
        <w:t>毒品之</w:t>
      </w:r>
      <w:r w:rsidR="00203F72" w:rsidRPr="00BE652C">
        <w:t>K</w:t>
      </w:r>
      <w:r w:rsidR="00203F72" w:rsidRPr="00BE652C">
        <w:t>他命，管制相當嚴格。以</w:t>
      </w:r>
      <w:r w:rsidR="00203F72" w:rsidRPr="00BE652C">
        <w:t>K</w:t>
      </w:r>
      <w:r w:rsidR="00203F72" w:rsidRPr="00BE652C">
        <w:t>他命為例，於</w:t>
      </w:r>
      <w:r w:rsidR="00203F72" w:rsidRPr="00BE652C">
        <w:t>2007</w:t>
      </w:r>
      <w:r w:rsidR="00203F72" w:rsidRPr="00BE652C">
        <w:t>年</w:t>
      </w:r>
      <w:r w:rsidR="00203F72" w:rsidRPr="00BE652C">
        <w:t>1</w:t>
      </w:r>
      <w:r w:rsidR="00203F72" w:rsidRPr="00BE652C">
        <w:t>月</w:t>
      </w:r>
      <w:r w:rsidR="00203F72" w:rsidRPr="00BE652C">
        <w:t>1</w:t>
      </w:r>
      <w:r w:rsidR="00203F72" w:rsidRPr="00BE652C">
        <w:t>日起，</w:t>
      </w:r>
      <w:r w:rsidR="00203F72" w:rsidRPr="00BE652C">
        <w:t>K</w:t>
      </w:r>
      <w:r w:rsidR="00203F72" w:rsidRPr="00BE652C">
        <w:t>他命正式成為日本「麻醉藥物與影響精神物質取締法」列管之麻醉藥物</w:t>
      </w:r>
      <w:r w:rsidR="00203F72" w:rsidRPr="00BE652C">
        <w:t>(</w:t>
      </w:r>
      <w:r w:rsidR="00203F72" w:rsidRPr="00BE652C">
        <w:t>東京都福祉保健局，</w:t>
      </w:r>
      <w:r w:rsidR="00203F72" w:rsidRPr="00BE652C">
        <w:t>2009)</w:t>
      </w:r>
      <w:r w:rsidR="00203F72" w:rsidRPr="00BE652C">
        <w:t>。若違法製造調配、分裝、轉讓、收受、持有或施用</w:t>
      </w:r>
      <w:r w:rsidR="00203F72" w:rsidRPr="00BE652C">
        <w:t>K</w:t>
      </w:r>
      <w:r w:rsidR="00203F72" w:rsidRPr="00BE652C">
        <w:t>他命，根據「麻醉藥物與影響精神物質取締法」第</w:t>
      </w:r>
      <w:r w:rsidR="00203F72" w:rsidRPr="00BE652C">
        <w:t>66</w:t>
      </w:r>
      <w:r w:rsidR="00203F72" w:rsidRPr="00BE652C">
        <w:t>條之</w:t>
      </w:r>
      <w:r w:rsidR="00203F72" w:rsidRPr="00BE652C">
        <w:t>2</w:t>
      </w:r>
      <w:r w:rsidR="00203F72" w:rsidRPr="00BE652C">
        <w:t>之規定，可以處</w:t>
      </w:r>
      <w:r w:rsidR="00203F72" w:rsidRPr="00BE652C">
        <w:t>7</w:t>
      </w:r>
      <w:r w:rsidR="00203F72" w:rsidRPr="00BE652C">
        <w:t>年以下有期徒刑之刑事罰，不僅加以犯罪化，且以較重的刑罰作為管制的手段與工具。</w:t>
      </w:r>
    </w:p>
    <w:p w14:paraId="5085D89C" w14:textId="77777777" w:rsidR="00953151" w:rsidRDefault="0039258A" w:rsidP="00BE652C">
      <w:r w:rsidRPr="00BE652C">
        <w:t xml:space="preserve">　　</w:t>
      </w:r>
      <w:r w:rsidR="00203F72" w:rsidRPr="00BE652C">
        <w:t>我國對於持有或施用</w:t>
      </w:r>
      <w:r w:rsidR="00203F72" w:rsidRPr="00BE652C">
        <w:t>FM2</w:t>
      </w:r>
      <w:r w:rsidR="00203F72" w:rsidRPr="00BE652C">
        <w:t>或</w:t>
      </w:r>
      <w:r w:rsidR="00203F72" w:rsidRPr="00BE652C">
        <w:t>Ketamine</w:t>
      </w:r>
      <w:r w:rsidR="00203F72" w:rsidRPr="00BE652C">
        <w:t>之行為，因考量刑事司法資源之有限性，尚未加以刑事處罰，目前之作法容有改善之空間，本書建議將</w:t>
      </w:r>
      <w:r w:rsidR="00203F72" w:rsidRPr="00BE652C">
        <w:t>FM2</w:t>
      </w:r>
      <w:r w:rsidR="00203F72" w:rsidRPr="00BE652C">
        <w:t>及</w:t>
      </w:r>
      <w:r w:rsidR="00203F72" w:rsidRPr="00BE652C">
        <w:t>Ketamine</w:t>
      </w:r>
      <w:r w:rsidR="00203F72" w:rsidRPr="00BE652C">
        <w:t>之等級提</w:t>
      </w:r>
      <w:r w:rsidR="00203F72" w:rsidRPr="00A53581">
        <w:t>升至第</w:t>
      </w:r>
      <w:r w:rsidR="00203F72" w:rsidRPr="00A53581">
        <w:t>2</w:t>
      </w:r>
      <w:r w:rsidR="00203F72" w:rsidRPr="00A53581">
        <w:t>級毒品，以有效對其進行高度之控管</w:t>
      </w:r>
      <w:r w:rsidR="00203F72" w:rsidRPr="00A53581">
        <w:rPr>
          <w:rStyle w:val="af3"/>
          <w:rFonts w:ascii="新細明體" w:hAnsi="新細明體"/>
        </w:rPr>
        <w:footnoteReference w:id="414"/>
      </w:r>
      <w:r w:rsidR="00203F72" w:rsidRPr="00A53581">
        <w:t>。</w:t>
      </w:r>
    </w:p>
    <w:p w14:paraId="39D3C312" w14:textId="77777777" w:rsidR="00953151" w:rsidRDefault="0039258A" w:rsidP="00D87D91">
      <w:r>
        <w:t xml:space="preserve">　　</w:t>
      </w:r>
      <w:r w:rsidR="00203F72" w:rsidRPr="00A53581">
        <w:t>五、台灣是否推展毒品注射室</w:t>
      </w:r>
      <w:r w:rsidR="00203F72" w:rsidRPr="00A53581">
        <w:t>(</w:t>
      </w:r>
      <w:r w:rsidR="00203F72" w:rsidRPr="00A53581">
        <w:t>又名安全屋，安全注射室</w:t>
      </w:r>
      <w:r w:rsidR="00203F72" w:rsidRPr="00A53581">
        <w:t>)</w:t>
      </w:r>
      <w:r w:rsidR="00203F72" w:rsidRPr="00A53581">
        <w:t>減害計畫尚待進一步之評估，不宜貿然實施</w:t>
      </w:r>
    </w:p>
    <w:p w14:paraId="0BEF60AF" w14:textId="77777777" w:rsidR="00953151" w:rsidRDefault="0039258A" w:rsidP="00D87D91">
      <w:r>
        <w:t xml:space="preserve">　　</w:t>
      </w:r>
      <w:r w:rsidR="00203F72" w:rsidRPr="00A53581">
        <w:t>台灣為了有效抑制毒品犯共用針具所引發之愛滋病問題，於</w:t>
      </w:r>
      <w:r w:rsidR="00203F72" w:rsidRPr="00A53581">
        <w:t>2005</w:t>
      </w:r>
      <w:r w:rsidR="00203F72" w:rsidRPr="00A53581">
        <w:t>年</w:t>
      </w:r>
      <w:r w:rsidR="00203F72" w:rsidRPr="00A53581">
        <w:t>12</w:t>
      </w:r>
      <w:r w:rsidR="00203F72" w:rsidRPr="00A53581">
        <w:t>月</w:t>
      </w:r>
      <w:r w:rsidR="00203F72" w:rsidRPr="00A53581">
        <w:t>6</w:t>
      </w:r>
      <w:r w:rsidR="00203F72" w:rsidRPr="00A53581">
        <w:t>日，經行政院正式所核定施行「毒品病患愛滋減害試辦計畫」之中，其中之一項，即為美沙冬替代療法。對於海洛因之毒癮者，藉由美沙冬替代療法，對其給予口服型之美沙冬。整體而論，美沙冬替代療法之成效頗佳，能有效地降低犯罪率。不過，「毒品病患愛滋減害試辦計畫」亦出現若干問題，諸如：毒品病患無法長期及持續地施用美沙冬，中途中斷之比例，亦相當高，此會降低「毒品病患愛滋減害試辦計畫」之實質成效。</w:t>
      </w:r>
    </w:p>
    <w:p w14:paraId="795CD690" w14:textId="77777777" w:rsidR="00203F72" w:rsidRPr="00A53581" w:rsidRDefault="0039258A" w:rsidP="00D87D91">
      <w:r>
        <w:t xml:space="preserve">　　</w:t>
      </w:r>
      <w:r w:rsidR="00203F72" w:rsidRPr="00A53581">
        <w:t>為瞭解決「毒品病患愛滋減害試辦計畫」現在面臨之困境，台灣在選擇相關減害措施部分，除了美沙冬替代療法之外，另外一種可以列入考量之選項，即為推展毒品注射室。毒品注射室有多種不同之名稱，諸如：安全注射屋</w:t>
      </w:r>
      <w:r w:rsidR="00203F72" w:rsidRPr="00A53581">
        <w:t>(</w:t>
      </w:r>
      <w:r w:rsidR="00203F72" w:rsidRPr="00A53581">
        <w:t>所、點</w:t>
      </w:r>
      <w:r w:rsidR="00203F72" w:rsidRPr="00A53581">
        <w:t>)(Safe Injection Site)</w:t>
      </w:r>
      <w:r w:rsidR="00203F72" w:rsidRPr="00A53581">
        <w:t>、受監控下注射屋</w:t>
      </w:r>
      <w:r w:rsidR="00203F72" w:rsidRPr="00A53581">
        <w:t>(</w:t>
      </w:r>
      <w:r w:rsidR="00203F72" w:rsidRPr="00A53581">
        <w:t>所、點</w:t>
      </w:r>
      <w:r w:rsidR="00203F72" w:rsidRPr="00A53581">
        <w:t>)(Supervised Injection Sites</w:t>
      </w:r>
      <w:r w:rsidR="00203F72" w:rsidRPr="00A53581">
        <w:t>，</w:t>
      </w:r>
      <w:r w:rsidR="00203F72" w:rsidRPr="00A53581">
        <w:t>SIS)</w:t>
      </w:r>
      <w:r w:rsidR="00203F72" w:rsidRPr="00A53581">
        <w:t>、較安全注射屋</w:t>
      </w:r>
      <w:r w:rsidR="00203F72" w:rsidRPr="00A53581">
        <w:t>(</w:t>
      </w:r>
      <w:r w:rsidR="00203F72" w:rsidRPr="00A53581">
        <w:t>所</w:t>
      </w:r>
      <w:r w:rsidR="00203F72" w:rsidRPr="00A53581">
        <w:t>)(Safer Injection Facility</w:t>
      </w:r>
      <w:r w:rsidR="00203F72" w:rsidRPr="00A53581">
        <w:t>，</w:t>
      </w:r>
      <w:r w:rsidR="00203F72" w:rsidRPr="00A53581">
        <w:t>SIF)</w:t>
      </w:r>
      <w:r w:rsidR="00203F72" w:rsidRPr="00A53581">
        <w:t>、毒品施用屋</w:t>
      </w:r>
      <w:r w:rsidR="00203F72" w:rsidRPr="00A53581">
        <w:t>(</w:t>
      </w:r>
      <w:r w:rsidR="00203F72" w:rsidRPr="00A53581">
        <w:t>所</w:t>
      </w:r>
      <w:r w:rsidR="00203F72" w:rsidRPr="00A53581">
        <w:t>)(Drug Consumption Facility</w:t>
      </w:r>
      <w:r w:rsidR="00203F72" w:rsidRPr="00A53581">
        <w:t>，</w:t>
      </w:r>
      <w:r w:rsidR="00203F72" w:rsidRPr="00A53581">
        <w:t>DCF)</w:t>
      </w:r>
      <w:r w:rsidR="00203F72" w:rsidRPr="00A53581">
        <w:t>、或受醫護監控下注射中心</w:t>
      </w:r>
      <w:r w:rsidR="00203F72" w:rsidRPr="00A53581">
        <w:t xml:space="preserve">(Medically Supervised Injection Center </w:t>
      </w:r>
      <w:r w:rsidR="00203F72" w:rsidRPr="00A53581">
        <w:t>，</w:t>
      </w:r>
      <w:r w:rsidR="00203F72" w:rsidRPr="00A53581">
        <w:t>MSIC)</w:t>
      </w:r>
      <w:r w:rsidR="00203F72" w:rsidRPr="00A53581">
        <w:t>。</w:t>
      </w:r>
    </w:p>
    <w:p w14:paraId="79A04CF8" w14:textId="77777777" w:rsidR="00953151" w:rsidRDefault="0039258A" w:rsidP="00D87D91">
      <w:r>
        <w:t xml:space="preserve">　　</w:t>
      </w:r>
      <w:r w:rsidR="00203F72" w:rsidRPr="00A53581">
        <w:t>在醫護專業人員之監控下，於安全之環境中，由政府以低價之方式，提供海洛因給毒品病患注射；或者，由毒品病患自行攜帶海洛因至毒品注射室加以注射，俾利毒品病患在安全之條件下，長期及持續地施打海洛因，可有效地降低死亡率及犯罪率</w:t>
      </w:r>
      <w:r w:rsidR="00203F72" w:rsidRPr="00A53581">
        <w:rPr>
          <w:rStyle w:val="af3"/>
          <w:rFonts w:ascii="新細明體" w:hAnsi="新細明體"/>
        </w:rPr>
        <w:footnoteReference w:id="415"/>
      </w:r>
    </w:p>
    <w:p w14:paraId="15B5AD46" w14:textId="77777777" w:rsidR="00203F72" w:rsidRPr="00A53581" w:rsidRDefault="0039258A" w:rsidP="00D87D91">
      <w:r>
        <w:t xml:space="preserve">　　</w:t>
      </w:r>
      <w:r w:rsidR="00203F72" w:rsidRPr="00A53581">
        <w:t>毒品注射室具有以下若干之特色：</w:t>
      </w:r>
    </w:p>
    <w:p w14:paraId="75C50E8C" w14:textId="77777777" w:rsidR="00203F72" w:rsidRPr="00A53581" w:rsidRDefault="0039258A" w:rsidP="00D87D91">
      <w:r>
        <w:t xml:space="preserve">　　</w:t>
      </w:r>
      <w:r w:rsidR="00203F72" w:rsidRPr="00A53581">
        <w:t>1</w:t>
      </w:r>
      <w:r w:rsidR="00203F72" w:rsidRPr="00A53581">
        <w:t>、減少社會大眾對於毒品病犯於公眾得出入之場所，公開施用毒品之厭惡感</w:t>
      </w:r>
      <w:r w:rsidR="00203F72" w:rsidRPr="00A53581">
        <w:t>(reduce nuisance from public drug use)</w:t>
      </w:r>
      <w:r w:rsidR="00203F72" w:rsidRPr="00A53581">
        <w:t>；</w:t>
      </w:r>
    </w:p>
    <w:p w14:paraId="23CC12F0" w14:textId="77777777" w:rsidR="00203F72" w:rsidRPr="00A53581" w:rsidRDefault="0039258A" w:rsidP="00D87D91">
      <w:r>
        <w:t xml:space="preserve">　　</w:t>
      </w:r>
      <w:r w:rsidR="00203F72" w:rsidRPr="00A53581">
        <w:t>2</w:t>
      </w:r>
      <w:r w:rsidR="00203F72" w:rsidRPr="00A53581">
        <w:t>、對於非法之藥物使用者，大部分是指使用毒品注射之方式</w:t>
      </w:r>
      <w:r w:rsidR="00203F72" w:rsidRPr="00A53581">
        <w:t xml:space="preserve">(mostly </w:t>
      </w:r>
      <w:hyperlink r:id="rId1713" w:tooltip="Drug injection" w:history="1">
        <w:r w:rsidR="00203F72" w:rsidRPr="00A53581">
          <w:rPr>
            <w:rStyle w:val="a5"/>
          </w:rPr>
          <w:t>injecting drug use</w:t>
        </w:r>
      </w:hyperlink>
      <w:r w:rsidR="00203F72" w:rsidRPr="00A53581">
        <w:t>)</w:t>
      </w:r>
      <w:r w:rsidR="00203F72" w:rsidRPr="00A53581">
        <w:t>，於其施用毒品之際，提供一個清潔衛生、安心及無任何心理壓力之安全環境</w:t>
      </w:r>
      <w:r w:rsidR="00203F72" w:rsidRPr="00A53581">
        <w:t>(provide a hygienic and stress-free environment)</w:t>
      </w:r>
      <w:r w:rsidR="00203F72" w:rsidRPr="00A53581">
        <w:t>。毒品病犯在毒品注射室內注射海洛因，除了清潔衛生外，心理亦較安心及舒適化，這是一個相當人性化之毒品減害措施；</w:t>
      </w:r>
    </w:p>
    <w:p w14:paraId="66FF4140" w14:textId="77777777" w:rsidR="00203F72" w:rsidRPr="00A53581" w:rsidRDefault="0039258A" w:rsidP="00D87D91">
      <w:r>
        <w:t xml:space="preserve">　　</w:t>
      </w:r>
      <w:r w:rsidR="00203F72" w:rsidRPr="00A53581">
        <w:t>3</w:t>
      </w:r>
      <w:r w:rsidR="00203F72" w:rsidRPr="00A53581">
        <w:t>、對於非法藥物之使用及毒品走私行為，不再加以犯罪化，改採為赦免化</w:t>
      </w:r>
      <w:r w:rsidR="00203F72" w:rsidRPr="00A53581">
        <w:t>(condones illicit drug use and drug trafficking)</w:t>
      </w:r>
      <w:r w:rsidR="00203F72" w:rsidRPr="00A53581">
        <w:t>；是以，毒品注射室之重要特徵，係將施用行為及走私行為，尤其是施用行為，較傾向於加以除罪化；</w:t>
      </w:r>
    </w:p>
    <w:p w14:paraId="697719B3" w14:textId="77777777" w:rsidR="00203F72" w:rsidRPr="00A53581" w:rsidRDefault="0039258A" w:rsidP="00D87D91">
      <w:r>
        <w:t xml:space="preserve">　　</w:t>
      </w:r>
      <w:r w:rsidR="00203F72" w:rsidRPr="00A53581">
        <w:t>4</w:t>
      </w:r>
      <w:r w:rsidR="00203F72" w:rsidRPr="00A53581">
        <w:t>、恐有違反</w:t>
      </w:r>
      <w:r w:rsidR="00203F72" w:rsidRPr="00A53581">
        <w:t>1988</w:t>
      </w:r>
      <w:r w:rsidR="00203F72" w:rsidRPr="00A53581">
        <w:t>年國際反毒公約相關條文之疑虞</w:t>
      </w:r>
      <w:r w:rsidR="00203F72" w:rsidRPr="00A53581">
        <w:t>(runs counter to the provisions of the international drug control treaties)</w:t>
      </w:r>
      <w:r w:rsidR="00203F72" w:rsidRPr="00A53581">
        <w:t>；</w:t>
      </w:r>
    </w:p>
    <w:p w14:paraId="1921E5FC" w14:textId="77777777" w:rsidR="00203F72" w:rsidRPr="00A53581" w:rsidRDefault="0039258A" w:rsidP="00D87D91">
      <w:r>
        <w:t xml:space="preserve">　　</w:t>
      </w:r>
      <w:r w:rsidR="00203F72" w:rsidRPr="00A53581">
        <w:t>5</w:t>
      </w:r>
      <w:r w:rsidR="00203F72" w:rsidRPr="00A53581">
        <w:t>、毒品注射室提供清潔消毒過之注射針具及器具</w:t>
      </w:r>
      <w:r w:rsidR="00203F72" w:rsidRPr="00A53581">
        <w:t>(The facilities provide sterile injection equipment)</w:t>
      </w:r>
      <w:r w:rsidR="00203F72" w:rsidRPr="00A53581">
        <w:t>；</w:t>
      </w:r>
    </w:p>
    <w:p w14:paraId="4480B4FC" w14:textId="77777777" w:rsidR="00203F72" w:rsidRPr="00A53581" w:rsidRDefault="0039258A" w:rsidP="00D87D91">
      <w:r>
        <w:t xml:space="preserve">　　</w:t>
      </w:r>
      <w:r w:rsidR="00203F72" w:rsidRPr="00A53581">
        <w:t>6</w:t>
      </w:r>
      <w:r w:rsidR="00203F72" w:rsidRPr="00A53581">
        <w:t>、提供毒品及基礎健康醫療之資訊</w:t>
      </w:r>
      <w:r w:rsidR="00203F72" w:rsidRPr="00A53581">
        <w:t>(information about drugs and basic health care)</w:t>
      </w:r>
      <w:r w:rsidR="00203F72" w:rsidRPr="00A53581">
        <w:t>；</w:t>
      </w:r>
    </w:p>
    <w:p w14:paraId="18AC097B" w14:textId="77777777" w:rsidR="00203F72" w:rsidRPr="00A53581" w:rsidRDefault="0039258A" w:rsidP="00D87D91">
      <w:pPr>
        <w:rPr>
          <w:kern w:val="0"/>
        </w:rPr>
      </w:pPr>
      <w:r>
        <w:t xml:space="preserve">　　</w:t>
      </w:r>
      <w:r w:rsidR="00203F72" w:rsidRPr="00A53581">
        <w:t>7</w:t>
      </w:r>
      <w:r w:rsidR="00203F72" w:rsidRPr="00A53581">
        <w:t>、毒品注射室提供毒品戒治處遇之轉介服務</w:t>
      </w:r>
      <w:r w:rsidR="00203F72" w:rsidRPr="00A53581">
        <w:t>(</w:t>
      </w:r>
      <w:r w:rsidR="00203F72" w:rsidRPr="00A53581">
        <w:rPr>
          <w:kern w:val="0"/>
        </w:rPr>
        <w:t>treatment referrals)</w:t>
      </w:r>
      <w:r w:rsidR="00203F72" w:rsidRPr="00A53581">
        <w:rPr>
          <w:kern w:val="0"/>
        </w:rPr>
        <w:t>；</w:t>
      </w:r>
    </w:p>
    <w:p w14:paraId="1AF476AC" w14:textId="77777777" w:rsidR="00203F72" w:rsidRPr="00A53581" w:rsidRDefault="0039258A" w:rsidP="00D87D91">
      <w:r>
        <w:t xml:space="preserve">　　</w:t>
      </w:r>
      <w:r w:rsidR="00203F72" w:rsidRPr="00A53581">
        <w:t>8</w:t>
      </w:r>
      <w:r w:rsidR="00203F72" w:rsidRPr="00A53581">
        <w:t>、毒品注射者有適當之機會及管道，可與醫護人員進行接觸</w:t>
      </w:r>
      <w:r w:rsidR="00203F72" w:rsidRPr="00A53581">
        <w:t>(access to medical staff)</w:t>
      </w:r>
      <w:r w:rsidR="00203F72" w:rsidRPr="00A53581">
        <w:t>；</w:t>
      </w:r>
    </w:p>
    <w:p w14:paraId="2F7966CC" w14:textId="77777777" w:rsidR="00203F72" w:rsidRPr="00A53581" w:rsidRDefault="0039258A" w:rsidP="00D87D91">
      <w:r>
        <w:t xml:space="preserve">　　</w:t>
      </w:r>
      <w:r w:rsidR="00203F72" w:rsidRPr="00A53581">
        <w:t>9</w:t>
      </w:r>
      <w:r w:rsidR="00203F72" w:rsidRPr="00A53581">
        <w:t>、部分毒品注射室對於經常巡迴施用毒品及窮困之毒品注射者</w:t>
      </w:r>
      <w:r w:rsidR="00203F72" w:rsidRPr="00A53581">
        <w:t>(itinerant and impoverished individuals)</w:t>
      </w:r>
      <w:r w:rsidR="00203F72" w:rsidRPr="00A53581">
        <w:t>，會提供諮商輔導、清潔消毒及其他相關之毒品施用服務</w:t>
      </w:r>
      <w:r w:rsidR="00203F72" w:rsidRPr="00A53581">
        <w:t>(offer counseling, hygienic and other services of use)</w:t>
      </w:r>
      <w:r w:rsidR="00203F72" w:rsidRPr="00A53581">
        <w:t>；</w:t>
      </w:r>
    </w:p>
    <w:p w14:paraId="5F69706E" w14:textId="77777777" w:rsidR="00203F72" w:rsidRPr="00A53581" w:rsidRDefault="0039258A" w:rsidP="00D87D91">
      <w:r>
        <w:t xml:space="preserve">　　</w:t>
      </w:r>
      <w:r w:rsidR="00203F72" w:rsidRPr="00A53581">
        <w:t>10</w:t>
      </w:r>
      <w:r w:rsidR="00203F72" w:rsidRPr="00A53581">
        <w:t>、大部分毒品注射室計畫會嚴禁非法藥物之販賣或購買</w:t>
      </w:r>
      <w:r w:rsidR="00203F72" w:rsidRPr="00A53581">
        <w:t>(Most programs prohibit the sale or purchase of illegal drugs)</w:t>
      </w:r>
      <w:r w:rsidR="00203F72" w:rsidRPr="00A53581">
        <w:t>；</w:t>
      </w:r>
    </w:p>
    <w:p w14:paraId="6B0B215F" w14:textId="77777777" w:rsidR="00203F72" w:rsidRPr="00A53581" w:rsidRDefault="0039258A" w:rsidP="00D87D91">
      <w:r>
        <w:t xml:space="preserve">　　</w:t>
      </w:r>
      <w:r w:rsidR="00203F72" w:rsidRPr="00A53581">
        <w:t>11</w:t>
      </w:r>
      <w:r w:rsidR="00203F72" w:rsidRPr="00A53581">
        <w:t>、很多毒品注射室會要求毒品注射者提供其身分證明檔</w:t>
      </w:r>
      <w:r w:rsidR="00203F72" w:rsidRPr="00A53581">
        <w:t>(Many require identification cards)</w:t>
      </w:r>
      <w:r w:rsidR="00203F72" w:rsidRPr="00A53581">
        <w:t>；</w:t>
      </w:r>
    </w:p>
    <w:p w14:paraId="250C2B8E" w14:textId="77777777" w:rsidR="00203F72" w:rsidRPr="00A53581" w:rsidRDefault="0039258A" w:rsidP="00D87D91">
      <w:r>
        <w:t xml:space="preserve">　　</w:t>
      </w:r>
      <w:r w:rsidR="00203F72" w:rsidRPr="00A53581">
        <w:t>12</w:t>
      </w:r>
      <w:r w:rsidR="00203F72" w:rsidRPr="00A53581">
        <w:t>、若干毒品注射室會限制本地社區居民進入及使用</w:t>
      </w:r>
      <w:r w:rsidR="00203F72" w:rsidRPr="00A53581">
        <w:t>(Some restrict access to local residents)</w:t>
      </w:r>
      <w:r w:rsidR="00203F72" w:rsidRPr="00A53581">
        <w:t>，此外，亦設有其他必要之進入門檻的標準</w:t>
      </w:r>
      <w:r w:rsidR="00203F72" w:rsidRPr="00A53581">
        <w:t>(apply other admission criteria)</w:t>
      </w:r>
      <w:r w:rsidR="00203F72" w:rsidRPr="00A53581">
        <w:t>；諸如，僅允許毒品注射者進入毒品注射室</w:t>
      </w:r>
      <w:r w:rsidR="00203F72" w:rsidRPr="00A53581">
        <w:t>( only allowing injection drug users)</w:t>
      </w:r>
      <w:r w:rsidR="00203F72" w:rsidRPr="00A53581">
        <w:t>；</w:t>
      </w:r>
    </w:p>
    <w:p w14:paraId="5EEFABBE" w14:textId="77777777" w:rsidR="00203F72" w:rsidRPr="00A53581" w:rsidRDefault="0039258A" w:rsidP="00D87D91">
      <w:r>
        <w:t xml:space="preserve">　　</w:t>
      </w:r>
      <w:r w:rsidR="00203F72" w:rsidRPr="00A53581">
        <w:t>13</w:t>
      </w:r>
      <w:r w:rsidR="00203F72" w:rsidRPr="00A53581">
        <w:t>、設在歐洲之毒品注射室，對於施用毒品並非採用注射方式，而是使用其他之方式者，亦會加以接納，並不會加以排斥在外</w:t>
      </w:r>
      <w:r w:rsidR="00203F72" w:rsidRPr="00A53581">
        <w:t>(but generally in Europe they don't exclude addicts who consume by other means)</w:t>
      </w:r>
      <w:r w:rsidR="00203F72" w:rsidRPr="00A53581">
        <w:t>。</w:t>
      </w:r>
    </w:p>
    <w:p w14:paraId="2B9C8AF7" w14:textId="77777777" w:rsidR="00953151" w:rsidRDefault="0039258A" w:rsidP="00D87D91">
      <w:r>
        <w:t xml:space="preserve">　　</w:t>
      </w:r>
      <w:r w:rsidR="00203F72" w:rsidRPr="00A53581">
        <w:t>14</w:t>
      </w:r>
      <w:r w:rsidR="00203F72" w:rsidRPr="00A53581">
        <w:t>、在國外，若干先進之國家，諸如：澳洲、加拿大、德國、荷蘭及其他國家等，皆已實施之。</w:t>
      </w:r>
    </w:p>
    <w:p w14:paraId="2F8BF1A2" w14:textId="77777777" w:rsidR="00203F72" w:rsidRPr="00A53581" w:rsidRDefault="0039258A" w:rsidP="00D87D91">
      <w:r>
        <w:t xml:space="preserve">　　</w:t>
      </w:r>
      <w:r w:rsidR="00203F72" w:rsidRPr="00A53581">
        <w:t>在台灣地區方面，根據學者專家們實證調查台灣地區約</w:t>
      </w:r>
      <w:r w:rsidR="00203F72" w:rsidRPr="00A53581">
        <w:t>1000</w:t>
      </w:r>
      <w:r w:rsidR="00203F72" w:rsidRPr="00A53581">
        <w:t>餘位民眾對於毒品注射室之看法，重要之調查發現如下</w:t>
      </w:r>
      <w:r w:rsidR="00203F72" w:rsidRPr="00A53581">
        <w:rPr>
          <w:rStyle w:val="af3"/>
          <w:rFonts w:ascii="新細明體" w:hAnsi="新細明體"/>
        </w:rPr>
        <w:footnoteReference w:id="416"/>
      </w:r>
      <w:r w:rsidR="00203F72" w:rsidRPr="00A53581">
        <w:t>：</w:t>
      </w:r>
    </w:p>
    <w:p w14:paraId="26C1ADC4" w14:textId="77777777" w:rsidR="00203F72" w:rsidRPr="00A53581" w:rsidRDefault="0039258A" w:rsidP="00D87D91">
      <w:r>
        <w:rPr>
          <w:rFonts w:hint="eastAsia"/>
        </w:rPr>
        <w:t xml:space="preserve">　　</w:t>
      </w:r>
      <w:r w:rsidRPr="0039258A">
        <w:rPr>
          <w:rFonts w:hint="eastAsia"/>
        </w:rPr>
        <w:t>1</w:t>
      </w:r>
      <w:r w:rsidRPr="0039258A">
        <w:rPr>
          <w:rFonts w:hint="eastAsia"/>
        </w:rPr>
        <w:t>、</w:t>
      </w:r>
      <w:r w:rsidR="00203F72" w:rsidRPr="00A53581">
        <w:t>在醫療監控下，設置「安全注射室」</w:t>
      </w:r>
      <w:r w:rsidR="00203F72" w:rsidRPr="00A53581">
        <w:t>(N=1027)</w:t>
      </w:r>
      <w:r w:rsidR="00203F72" w:rsidRPr="00A53581">
        <w:t>，民眾贊成者占</w:t>
      </w:r>
      <w:r w:rsidR="00203F72" w:rsidRPr="00A53581">
        <w:t>26.3%</w:t>
      </w:r>
      <w:r w:rsidR="00203F72" w:rsidRPr="00A53581">
        <w:t>。</w:t>
      </w:r>
    </w:p>
    <w:p w14:paraId="6F3410D7" w14:textId="77777777" w:rsidR="00203F72" w:rsidRPr="00A53581" w:rsidRDefault="0039258A" w:rsidP="00D87D91">
      <w:r>
        <w:rPr>
          <w:rFonts w:hint="eastAsia"/>
        </w:rPr>
        <w:t xml:space="preserve">　　</w:t>
      </w:r>
      <w:r>
        <w:rPr>
          <w:rFonts w:hint="eastAsia"/>
        </w:rPr>
        <w:t>2</w:t>
      </w:r>
      <w:r w:rsidRPr="0039258A">
        <w:rPr>
          <w:rFonts w:hint="eastAsia"/>
        </w:rPr>
        <w:t>、</w:t>
      </w:r>
      <w:r w:rsidR="00203F72" w:rsidRPr="00A53581">
        <w:t>能減少疾病與死亡的發生，設置「安全注射室」</w:t>
      </w:r>
      <w:r w:rsidR="00203F72" w:rsidRPr="00A53581">
        <w:t>(N=1028)</w:t>
      </w:r>
      <w:r w:rsidR="00203F72" w:rsidRPr="00A53581">
        <w:t>，民眾贊成者占</w:t>
      </w:r>
      <w:r w:rsidR="00203F72" w:rsidRPr="00A53581">
        <w:t>46.3%</w:t>
      </w:r>
      <w:r w:rsidR="00203F72" w:rsidRPr="00A53581">
        <w:t>。</w:t>
      </w:r>
    </w:p>
    <w:p w14:paraId="3B7703BD" w14:textId="77777777" w:rsidR="00203F72" w:rsidRPr="00A53581" w:rsidRDefault="0039258A" w:rsidP="00D87D91">
      <w:r>
        <w:rPr>
          <w:rFonts w:hint="eastAsia"/>
        </w:rPr>
        <w:t xml:space="preserve">　　</w:t>
      </w:r>
      <w:r>
        <w:rPr>
          <w:rFonts w:hint="eastAsia"/>
        </w:rPr>
        <w:t>3</w:t>
      </w:r>
      <w:r w:rsidRPr="0039258A">
        <w:rPr>
          <w:rFonts w:hint="eastAsia"/>
        </w:rPr>
        <w:t>、</w:t>
      </w:r>
      <w:r w:rsidR="00203F72" w:rsidRPr="00A53581">
        <w:t>可增加毒癮者與醫療接觸，設置「安全注射室」</w:t>
      </w:r>
      <w:r w:rsidR="00203F72" w:rsidRPr="00A53581">
        <w:t>(N=1020)</w:t>
      </w:r>
      <w:r w:rsidR="00203F72" w:rsidRPr="00A53581">
        <w:t>，民眾贊成者占</w:t>
      </w:r>
      <w:r w:rsidR="00203F72" w:rsidRPr="00A53581">
        <w:t>52.3%</w:t>
      </w:r>
      <w:r w:rsidR="00203F72" w:rsidRPr="00A53581">
        <w:t>。</w:t>
      </w:r>
    </w:p>
    <w:p w14:paraId="5FD73868" w14:textId="77777777" w:rsidR="00203F72" w:rsidRPr="00A53581" w:rsidRDefault="0039258A" w:rsidP="00D87D91">
      <w:r>
        <w:rPr>
          <w:rFonts w:hint="eastAsia"/>
        </w:rPr>
        <w:t xml:space="preserve">　　</w:t>
      </w:r>
      <w:r>
        <w:rPr>
          <w:rFonts w:hint="eastAsia"/>
        </w:rPr>
        <w:t>4</w:t>
      </w:r>
      <w:r w:rsidRPr="0039258A">
        <w:rPr>
          <w:rFonts w:hint="eastAsia"/>
        </w:rPr>
        <w:t>、</w:t>
      </w:r>
      <w:r w:rsidR="00203F72" w:rsidRPr="00A53581">
        <w:t>可減少社區與毒品相關犯罪，設置「安全注射室」</w:t>
      </w:r>
      <w:r w:rsidR="00203F72" w:rsidRPr="00A53581">
        <w:t>(N=1036)</w:t>
      </w:r>
      <w:r w:rsidR="00203F72" w:rsidRPr="00A53581">
        <w:t>，民眾贊成者占</w:t>
      </w:r>
      <w:r w:rsidR="00203F72" w:rsidRPr="00A53581">
        <w:t>54.1%</w:t>
      </w:r>
      <w:r w:rsidR="00203F72" w:rsidRPr="00A53581">
        <w:t>。</w:t>
      </w:r>
    </w:p>
    <w:p w14:paraId="5E9BEA4F" w14:textId="77777777" w:rsidR="00203F72" w:rsidRPr="00A53581" w:rsidRDefault="0039258A" w:rsidP="00D87D91">
      <w:r>
        <w:rPr>
          <w:rFonts w:hint="eastAsia"/>
        </w:rPr>
        <w:t xml:space="preserve">　　</w:t>
      </w:r>
      <w:r>
        <w:rPr>
          <w:rFonts w:hint="eastAsia"/>
        </w:rPr>
        <w:t>5</w:t>
      </w:r>
      <w:r w:rsidRPr="0039258A">
        <w:rPr>
          <w:rFonts w:hint="eastAsia"/>
        </w:rPr>
        <w:t>、</w:t>
      </w:r>
      <w:r w:rsidR="00203F72" w:rsidRPr="00A53581">
        <w:t>在自家</w:t>
      </w:r>
      <w:r w:rsidR="00203F72" w:rsidRPr="00A53581">
        <w:t xml:space="preserve">500 </w:t>
      </w:r>
      <w:r w:rsidR="00203F72" w:rsidRPr="00A53581">
        <w:t>公尺內，設置「安全注射室」</w:t>
      </w:r>
      <w:r w:rsidR="00203F72" w:rsidRPr="00A53581">
        <w:t>(N=1036)</w:t>
      </w:r>
      <w:r w:rsidR="00203F72" w:rsidRPr="00A53581">
        <w:t>，民眾贊成者占</w:t>
      </w:r>
      <w:r w:rsidR="00203F72" w:rsidRPr="00A53581">
        <w:t>25.0%</w:t>
      </w:r>
      <w:r w:rsidR="00203F72" w:rsidRPr="00A53581">
        <w:t>。</w:t>
      </w:r>
    </w:p>
    <w:p w14:paraId="1E78D48F" w14:textId="77777777" w:rsidR="00953151" w:rsidRDefault="0039258A" w:rsidP="00D87D91">
      <w:r>
        <w:rPr>
          <w:rFonts w:hint="eastAsia"/>
        </w:rPr>
        <w:t xml:space="preserve">　　</w:t>
      </w:r>
      <w:r>
        <w:rPr>
          <w:rFonts w:hint="eastAsia"/>
        </w:rPr>
        <w:t>6</w:t>
      </w:r>
      <w:r w:rsidRPr="0039258A">
        <w:rPr>
          <w:rFonts w:hint="eastAsia"/>
        </w:rPr>
        <w:t>、</w:t>
      </w:r>
      <w:r w:rsidR="00203F72" w:rsidRPr="00A53581">
        <w:t>毒癮者可能不去醫院治療，設置「安全注射室」</w:t>
      </w:r>
      <w:r w:rsidR="00203F72" w:rsidRPr="00A53581">
        <w:t>(N=1020)</w:t>
      </w:r>
      <w:r w:rsidR="00203F72" w:rsidRPr="00A53581">
        <w:t>，民眾贊成者占</w:t>
      </w:r>
      <w:r w:rsidR="00203F72" w:rsidRPr="00A53581">
        <w:t>17.5%</w:t>
      </w:r>
      <w:r w:rsidR="00203F72" w:rsidRPr="00A53581">
        <w:t>。</w:t>
      </w:r>
    </w:p>
    <w:p w14:paraId="1C7F2F18" w14:textId="77777777" w:rsidR="00953151" w:rsidRDefault="0039258A" w:rsidP="00D87D91">
      <w:r>
        <w:t xml:space="preserve">　　</w:t>
      </w:r>
      <w:r w:rsidR="00203F72" w:rsidRPr="00A53581">
        <w:t>在上述台灣地區約</w:t>
      </w:r>
      <w:r w:rsidR="00203F72" w:rsidRPr="00A53581">
        <w:t>1000</w:t>
      </w:r>
      <w:r w:rsidR="00203F72" w:rsidRPr="00A53581">
        <w:t>餘位民眾對於毒品注射室之看法中，可得知若干重要之訊息如下：</w:t>
      </w:r>
      <w:r w:rsidR="00203F72" w:rsidRPr="00A53581">
        <w:t>1</w:t>
      </w:r>
      <w:r w:rsidR="00203F72" w:rsidRPr="00A53581">
        <w:t>、假若是基於考量可增加毒癮者與醫療系統接觸之機會，則民眾贊成之比例</w:t>
      </w:r>
      <w:r w:rsidR="00203F72" w:rsidRPr="00A53581">
        <w:t>52.3%</w:t>
      </w:r>
      <w:r w:rsidR="00203F72" w:rsidRPr="00A53581">
        <w:t>，業已超過半數。</w:t>
      </w:r>
      <w:r w:rsidR="00203F72" w:rsidRPr="00A53581">
        <w:t>2</w:t>
      </w:r>
      <w:r w:rsidR="00203F72" w:rsidRPr="00A53581">
        <w:t>、假若是基於考量可減少社區與毒品相關犯罪，因而設置「安全注射室」</w:t>
      </w:r>
      <w:r w:rsidR="00203F72" w:rsidRPr="00A53581">
        <w:t>(N=1036)</w:t>
      </w:r>
      <w:r w:rsidR="00203F72" w:rsidRPr="00A53581">
        <w:t>，贊成者占</w:t>
      </w:r>
      <w:r w:rsidR="00203F72" w:rsidRPr="00A53581">
        <w:t>54.1%</w:t>
      </w:r>
      <w:r w:rsidR="00203F72" w:rsidRPr="00A53581">
        <w:t>，業已超過半數。</w:t>
      </w:r>
      <w:r w:rsidR="00203F72" w:rsidRPr="00A53581">
        <w:t>3</w:t>
      </w:r>
      <w:r w:rsidR="00203F72" w:rsidRPr="00A53581">
        <w:t>、假若是基於考量能減少疾病與死亡的發生，因而設置「安全注射室」</w:t>
      </w:r>
      <w:r w:rsidR="00203F72" w:rsidRPr="00A53581">
        <w:t>(N=1028)</w:t>
      </w:r>
      <w:r w:rsidR="00203F72" w:rsidRPr="00A53581">
        <w:t>，贊成者占</w:t>
      </w:r>
      <w:r w:rsidR="00203F72" w:rsidRPr="00A53581">
        <w:t>46.3%</w:t>
      </w:r>
      <w:r w:rsidR="00203F72" w:rsidRPr="00A53581">
        <w:t>，近約半數。</w:t>
      </w:r>
      <w:r w:rsidR="00203F72" w:rsidRPr="00A53581">
        <w:t>4</w:t>
      </w:r>
      <w:r w:rsidR="00203F72" w:rsidRPr="00A53581">
        <w:t>、假若僅是基於考量醫療監控之考量，在醫療監控下，設置「安全注射室」</w:t>
      </w:r>
      <w:r w:rsidR="00203F72" w:rsidRPr="00A53581">
        <w:t>(N=1027)</w:t>
      </w:r>
      <w:r w:rsidR="00203F72" w:rsidRPr="00A53581">
        <w:t>，贊成者占</w:t>
      </w:r>
      <w:r w:rsidR="00203F72" w:rsidRPr="00A53581">
        <w:t>26.3%</w:t>
      </w:r>
      <w:r w:rsidR="00203F72" w:rsidRPr="00A53581">
        <w:t>，未及達</w:t>
      </w:r>
      <w:r w:rsidR="00203F72" w:rsidRPr="00A53581">
        <w:t>3/1</w:t>
      </w:r>
      <w:r w:rsidR="00203F72" w:rsidRPr="00A53581">
        <w:t>。</w:t>
      </w:r>
      <w:r w:rsidR="00203F72" w:rsidRPr="00A53581">
        <w:t>5</w:t>
      </w:r>
      <w:r w:rsidR="00203F72" w:rsidRPr="00A53581">
        <w:t>、若僅是基於考量毒癮者可能不去醫院接受毒癮戒治之治療，因而設置「安全注射室」</w:t>
      </w:r>
      <w:r w:rsidR="00203F72" w:rsidRPr="00A53581">
        <w:t>(N=1020)</w:t>
      </w:r>
      <w:r w:rsidR="00203F72" w:rsidRPr="00A53581">
        <w:t>，贊成者僅占</w:t>
      </w:r>
      <w:r w:rsidR="00203F72" w:rsidRPr="00A53581">
        <w:t>17.5%</w:t>
      </w:r>
      <w:r w:rsidR="00203F72" w:rsidRPr="00A53581">
        <w:rPr>
          <w:rStyle w:val="af3"/>
          <w:rFonts w:ascii="新細明體" w:hAnsi="新細明體"/>
        </w:rPr>
        <w:footnoteReference w:id="417"/>
      </w:r>
      <w:r w:rsidR="00203F72" w:rsidRPr="00A53581">
        <w:t>。</w:t>
      </w:r>
    </w:p>
    <w:p w14:paraId="563E6796" w14:textId="77777777" w:rsidR="00953151" w:rsidRDefault="0039258A" w:rsidP="00D87D91">
      <w:r>
        <w:t xml:space="preserve">　　</w:t>
      </w:r>
      <w:r w:rsidR="00203F72" w:rsidRPr="00A53581">
        <w:t>綜上，台灣民眾比較願意接受「安全注射室」之理由，較偏向於：基於考量可減少社區與毒品相關之犯罪、基於考量可增加毒癮者與醫療系統接觸之機會及基於考量能減少疾病與死亡的發生等。</w:t>
      </w:r>
    </w:p>
    <w:p w14:paraId="3318C45A" w14:textId="77777777" w:rsidR="00203F72" w:rsidRPr="00A53581" w:rsidRDefault="0039258A" w:rsidP="00D87D91">
      <w:r>
        <w:t xml:space="preserve">　　</w:t>
      </w:r>
      <w:r w:rsidR="00203F72" w:rsidRPr="00A53581">
        <w:t>雖然台灣民眾並非強烈地反對「毒品安全注射室」之減害措施，然而，以下之諸多疑慮，亦宜加以同時考量之：</w:t>
      </w:r>
    </w:p>
    <w:p w14:paraId="583188E2" w14:textId="77777777" w:rsidR="00203F72" w:rsidRPr="00A53581" w:rsidRDefault="0039258A" w:rsidP="00D87D91">
      <w:r>
        <w:rPr>
          <w:rFonts w:hint="eastAsia"/>
        </w:rPr>
        <w:t xml:space="preserve">　　</w:t>
      </w:r>
      <w:r w:rsidRPr="0039258A">
        <w:rPr>
          <w:rFonts w:hint="eastAsia"/>
        </w:rPr>
        <w:t>1</w:t>
      </w:r>
      <w:r w:rsidRPr="0039258A">
        <w:rPr>
          <w:rFonts w:hint="eastAsia"/>
        </w:rPr>
        <w:t>、</w:t>
      </w:r>
      <w:r w:rsidR="00203F72" w:rsidRPr="00A53581">
        <w:t>成立毒品注射室，已違反</w:t>
      </w:r>
      <w:r w:rsidR="00203F72" w:rsidRPr="00A53581">
        <w:t>1988</w:t>
      </w:r>
      <w:r w:rsidR="00203F72" w:rsidRPr="00A53581">
        <w:t>年國際反毒公約</w:t>
      </w:r>
      <w:r w:rsidR="00D92F56">
        <w:t>〜</w:t>
      </w:r>
      <w:r w:rsidR="00203F72" w:rsidRPr="00A53581">
        <w:t>《聯合國禁止非法販運麻醉藥品和精神藥品公約》之規定，亦即，成立毒品注射室，這是一個違反國際法之行為。</w:t>
      </w:r>
    </w:p>
    <w:p w14:paraId="7F5D3E48" w14:textId="77777777" w:rsidR="00203F72" w:rsidRPr="00A53581" w:rsidRDefault="0039258A" w:rsidP="00D87D91">
      <w:r>
        <w:rPr>
          <w:rFonts w:hint="eastAsia"/>
        </w:rPr>
        <w:t xml:space="preserve">　　</w:t>
      </w:r>
      <w:r>
        <w:rPr>
          <w:rFonts w:hint="eastAsia"/>
        </w:rPr>
        <w:t>2</w:t>
      </w:r>
      <w:r w:rsidRPr="0039258A">
        <w:rPr>
          <w:rFonts w:hint="eastAsia"/>
        </w:rPr>
        <w:t>、</w:t>
      </w:r>
      <w:r w:rsidR="00203F72" w:rsidRPr="00A53581">
        <w:t>台灣假若欲成立毒品注射室，已違反聯合國麻管局之反毒政策。</w:t>
      </w:r>
    </w:p>
    <w:p w14:paraId="372B5DD9" w14:textId="77777777" w:rsidR="00203F72" w:rsidRPr="00A53581" w:rsidRDefault="0039258A" w:rsidP="00D87D91">
      <w:r>
        <w:rPr>
          <w:rFonts w:hint="eastAsia"/>
        </w:rPr>
        <w:t xml:space="preserve">　　</w:t>
      </w:r>
      <w:r>
        <w:rPr>
          <w:rFonts w:hint="eastAsia"/>
        </w:rPr>
        <w:t>3</w:t>
      </w:r>
      <w:r w:rsidRPr="0039258A">
        <w:rPr>
          <w:rFonts w:hint="eastAsia"/>
        </w:rPr>
        <w:t>、</w:t>
      </w:r>
      <w:r w:rsidR="00203F72" w:rsidRPr="00A53581">
        <w:t>1988</w:t>
      </w:r>
      <w:r w:rsidR="00203F72" w:rsidRPr="00A53581">
        <w:t>年《聯合國禁止非法販運麻醉藥品和精神藥品公約》中，已明確要求締約國將持有和購買麻醉藥品和精神藥品，以供個人非醫療消費的行爲，定爲</w:t>
      </w:r>
      <w:r w:rsidR="00203F72" w:rsidRPr="00A53581">
        <w:t>“</w:t>
      </w:r>
      <w:r w:rsidR="00203F72" w:rsidRPr="00A53581">
        <w:t>刑事犯罪</w:t>
      </w:r>
      <w:r w:rsidR="00203F72" w:rsidRPr="00A53581">
        <w:t>”</w:t>
      </w:r>
      <w:r w:rsidR="00203F72" w:rsidRPr="00A53581">
        <w:t>。是以，在毒品注射室內之毒品施用行為，若非基於醫療目的，恐已觸犯</w:t>
      </w:r>
      <w:r w:rsidR="00203F72" w:rsidRPr="00A53581">
        <w:t>1988</w:t>
      </w:r>
      <w:r w:rsidR="00203F72" w:rsidRPr="00A53581">
        <w:t>年《聯合國禁止非法販運麻醉藥品和精神藥品公約》之規定。</w:t>
      </w:r>
    </w:p>
    <w:p w14:paraId="15BC13E5" w14:textId="77777777" w:rsidR="00203F72" w:rsidRPr="00A53581" w:rsidRDefault="0039258A" w:rsidP="00D87D91">
      <w:r>
        <w:rPr>
          <w:rFonts w:hint="eastAsia"/>
        </w:rPr>
        <w:t xml:space="preserve">　　</w:t>
      </w:r>
      <w:r>
        <w:rPr>
          <w:rFonts w:hint="eastAsia"/>
        </w:rPr>
        <w:t>4</w:t>
      </w:r>
      <w:r w:rsidRPr="0039258A">
        <w:rPr>
          <w:rFonts w:hint="eastAsia"/>
        </w:rPr>
        <w:t>、</w:t>
      </w:r>
      <w:r w:rsidR="00203F72" w:rsidRPr="00A53581">
        <w:t>台灣假若欲成立毒品注射室，並對毒品病患提供海洛因，或自行攜帶海洛因在毒品注射室內加以施打，恐有「以毒換毒」、「飲鴆止渴」之疑慮。再者，持續不斷地對毒品病患擔供海洛因，究竟是協助其戒毒？或是令其愈陷愈深而無法自拔？恐有深入研究必要。</w:t>
      </w:r>
    </w:p>
    <w:p w14:paraId="6B53E54C" w14:textId="77777777" w:rsidR="00203F72" w:rsidRPr="00A53581" w:rsidRDefault="0039258A" w:rsidP="00D87D91">
      <w:r>
        <w:rPr>
          <w:rFonts w:hint="eastAsia"/>
        </w:rPr>
        <w:t xml:space="preserve">　　</w:t>
      </w:r>
      <w:r>
        <w:rPr>
          <w:rFonts w:hint="eastAsia"/>
        </w:rPr>
        <w:t>5</w:t>
      </w:r>
      <w:r w:rsidRPr="0039258A">
        <w:rPr>
          <w:rFonts w:hint="eastAsia"/>
        </w:rPr>
        <w:t>、</w:t>
      </w:r>
      <w:r w:rsidR="00203F72" w:rsidRPr="00A53581">
        <w:t>由於毒品注射室之重要特徵，係將施用行為及走私行為，尤其是施用行為，較傾向於加以除罪化。此一部分，恐有相當大之爭議性，學界及實務界正反兩面之見解均有</w:t>
      </w:r>
      <w:r w:rsidR="00203F72" w:rsidRPr="00A53581">
        <w:rPr>
          <w:rStyle w:val="af3"/>
          <w:rFonts w:ascii="新細明體" w:hAnsi="新細明體"/>
        </w:rPr>
        <w:footnoteReference w:id="418"/>
      </w:r>
      <w:r w:rsidR="00203F72" w:rsidRPr="00A53581">
        <w:t>。不過，聯合國麻管局一向反對將毒品施用行為除罪化，本書亦贊同麻管局目前之立場。</w:t>
      </w:r>
    </w:p>
    <w:p w14:paraId="0C907BCA" w14:textId="77777777" w:rsidR="00953151" w:rsidRDefault="0039258A" w:rsidP="00D87D91">
      <w:r>
        <w:rPr>
          <w:rFonts w:hint="eastAsia"/>
        </w:rPr>
        <w:t xml:space="preserve">　　</w:t>
      </w:r>
      <w:r>
        <w:rPr>
          <w:rFonts w:hint="eastAsia"/>
        </w:rPr>
        <w:t>6</w:t>
      </w:r>
      <w:r w:rsidRPr="0039258A">
        <w:rPr>
          <w:rFonts w:hint="eastAsia"/>
        </w:rPr>
        <w:t>、</w:t>
      </w:r>
      <w:r w:rsidR="00203F72" w:rsidRPr="00A53581">
        <w:t>在抗制犯罪部分，部分實施毒品注射室之地區，其犯罪率不必然會下降，有些甚至會上升，故有些實施毒品注射室地區之評估結論，無法非常肯定地指出毒品注射室會導致犯罪率下降之結果</w:t>
      </w:r>
      <w:r w:rsidR="00203F72" w:rsidRPr="00A53581">
        <w:rPr>
          <w:rStyle w:val="af3"/>
          <w:rFonts w:ascii="新細明體" w:hAnsi="新細明體"/>
        </w:rPr>
        <w:footnoteReference w:id="419"/>
      </w:r>
      <w:r w:rsidR="00203F72" w:rsidRPr="00A53581">
        <w:t>。</w:t>
      </w:r>
    </w:p>
    <w:p w14:paraId="1DE9AC82" w14:textId="77777777" w:rsidR="00402015" w:rsidRDefault="00402015" w:rsidP="00670577">
      <w:pPr>
        <w:jc w:val="right"/>
      </w:pPr>
      <w:r w:rsidRPr="0026266A">
        <w:rPr>
          <w:rFonts w:hint="eastAsia"/>
        </w:rPr>
        <w:t>。。。。。。。。。。。。。。。。。。。。。。。。。</w:t>
      </w:r>
      <w:hyperlink w:anchor="a目次35" w:history="1">
        <w:r w:rsidRPr="00E5474F">
          <w:rPr>
            <w:rStyle w:val="a5"/>
            <w:sz w:val="18"/>
          </w:rPr>
          <w:t>回首頁</w:t>
        </w:r>
      </w:hyperlink>
      <w:r w:rsidR="00E91F89">
        <w:rPr>
          <w:rFonts w:ascii="新細明體" w:hAnsi="新細明體"/>
          <w:color w:val="808000"/>
        </w:rPr>
        <w:t>〉〉</w:t>
      </w:r>
    </w:p>
    <w:p w14:paraId="288BAC94" w14:textId="77777777" w:rsidR="002D7C67" w:rsidRDefault="002D7C67" w:rsidP="00D87D91"/>
    <w:p w14:paraId="116869D5" w14:textId="77777777" w:rsidR="00203F72" w:rsidRPr="00A53581" w:rsidRDefault="00203F72" w:rsidP="00767F37">
      <w:pPr>
        <w:pStyle w:val="2"/>
      </w:pPr>
      <w:bookmarkStart w:id="75" w:name="_捌、結論與建議"/>
      <w:bookmarkEnd w:id="75"/>
      <w:r w:rsidRPr="00A53581">
        <w:t>捌、結論與建議</w:t>
      </w:r>
    </w:p>
    <w:p w14:paraId="6DB0CF77" w14:textId="77777777" w:rsidR="00203F72" w:rsidRPr="00A53581" w:rsidRDefault="0039258A" w:rsidP="00D87D91">
      <w:r>
        <w:t xml:space="preserve">　　</w:t>
      </w:r>
      <w:r w:rsidR="00203F72" w:rsidRPr="00A53581">
        <w:t>一、結論</w:t>
      </w:r>
    </w:p>
    <w:p w14:paraId="33140630" w14:textId="77777777" w:rsidR="00203F72" w:rsidRPr="00A53581" w:rsidRDefault="0039258A" w:rsidP="00D87D91">
      <w:r>
        <w:t xml:space="preserve">　　</w:t>
      </w:r>
      <w:r w:rsidR="00203F72" w:rsidRPr="00A53581">
        <w:t>台灣地區近</w:t>
      </w:r>
      <w:r w:rsidR="00203F72" w:rsidRPr="00A53581">
        <w:t>300</w:t>
      </w:r>
      <w:r w:rsidR="00203F72" w:rsidRPr="00A53581">
        <w:t>年來毒品施用行為之刑事政策，綜合前揭的相關文獻資料，可以相當清晰的顯示，台灣地區此種毒品施用行為之管制政策，政策本身是具有高度的變動性，並非一成不變。毒品施用行為之管制政策之變動，如下表</w:t>
      </w:r>
      <w:r w:rsidR="00D92F56">
        <w:t>〜</w:t>
      </w:r>
      <w:r w:rsidR="00203F72" w:rsidRPr="00A53581">
        <w:rPr>
          <w:lang w:val="x-none" w:eastAsia="x-none"/>
        </w:rPr>
        <w:t>臺灣近百年來各時期毒品刑事政策實質內涵及其演進一覽表所示，</w:t>
      </w:r>
      <w:r w:rsidR="00203F72" w:rsidRPr="00A53581">
        <w:t>包括：</w:t>
      </w:r>
      <w:r w:rsidR="00203F72" w:rsidRPr="00A53581">
        <w:t>1</w:t>
      </w:r>
      <w:r w:rsidR="00203F72" w:rsidRPr="00A53581">
        <w:t>、影響毒品施用行為之刑事政策之政治、經濟及其他因素具有變化性；</w:t>
      </w:r>
      <w:r w:rsidR="00203F72" w:rsidRPr="00A53581">
        <w:t>2</w:t>
      </w:r>
      <w:r w:rsidR="00203F72" w:rsidRPr="00A53581">
        <w:t>、毒品種類之變化，從清朝治台及日據台灣時期之單一鴉片流變至當今約</w:t>
      </w:r>
      <w:r w:rsidR="00203F72" w:rsidRPr="00A53581">
        <w:t>270</w:t>
      </w:r>
      <w:r w:rsidR="00203F72" w:rsidRPr="00A53581">
        <w:t>餘種毒品</w:t>
      </w:r>
      <w:r w:rsidR="00203F72" w:rsidRPr="00A53581">
        <w:t>(</w:t>
      </w:r>
      <w:r w:rsidR="00203F72" w:rsidRPr="00A53581">
        <w:t>其中，包括第</w:t>
      </w:r>
      <w:r w:rsidR="00203F72" w:rsidRPr="00A53581">
        <w:t>1</w:t>
      </w:r>
      <w:r w:rsidR="00203F72" w:rsidRPr="00A53581">
        <w:t>至第</w:t>
      </w:r>
      <w:r w:rsidR="00203F72" w:rsidRPr="00A53581">
        <w:t>4</w:t>
      </w:r>
      <w:r w:rsidR="00203F72" w:rsidRPr="00A53581">
        <w:t>級毒品</w:t>
      </w:r>
      <w:r w:rsidR="00203F72" w:rsidRPr="00A53581">
        <w:t>)</w:t>
      </w:r>
      <w:r w:rsidR="00203F72" w:rsidRPr="00A53581">
        <w:t>；</w:t>
      </w:r>
      <w:r w:rsidR="00203F72" w:rsidRPr="00A53581">
        <w:t>3</w:t>
      </w:r>
      <w:r w:rsidR="00203F72" w:rsidRPr="00A53581">
        <w:t>、毒品施用行為之刑事政策具有流變性；</w:t>
      </w:r>
      <w:r w:rsidR="00203F72" w:rsidRPr="00A53581">
        <w:t>4</w:t>
      </w:r>
      <w:r w:rsidR="00203F72" w:rsidRPr="00A53581">
        <w:t>、刑罰手段具有流動性；</w:t>
      </w:r>
      <w:r w:rsidR="00203F72" w:rsidRPr="00A53581">
        <w:t>5</w:t>
      </w:r>
      <w:r w:rsidR="00203F72" w:rsidRPr="00A53581">
        <w:t>、毒品戒治處遇具有變動性，</w:t>
      </w:r>
      <w:r w:rsidR="00203F72" w:rsidRPr="00A53581">
        <w:t>1830</w:t>
      </w:r>
      <w:r w:rsidR="00203F72" w:rsidRPr="00A53581">
        <w:t>年至</w:t>
      </w:r>
      <w:r w:rsidR="00203F72" w:rsidRPr="00A53581">
        <w:t>2005</w:t>
      </w:r>
      <w:r w:rsidR="00203F72" w:rsidRPr="00A53581">
        <w:t>年之間，以毒品戒治處遇為主，</w:t>
      </w:r>
      <w:r w:rsidR="00203F72" w:rsidRPr="00A53581">
        <w:t>2005</w:t>
      </w:r>
      <w:r w:rsidR="00203F72" w:rsidRPr="00A53581">
        <w:t>年以後，毒品戒治處遇流變至毒品減害計畫及「緩起訴毒品病患減害替代療法」計畫；</w:t>
      </w:r>
      <w:r w:rsidR="00203F72" w:rsidRPr="00A53581">
        <w:t>6</w:t>
      </w:r>
      <w:r w:rsidR="00203F72" w:rsidRPr="00A53581">
        <w:t>、不同毒品犯罪種類採取不同刑罰措施具有變化性。</w:t>
      </w:r>
    </w:p>
    <w:p w14:paraId="223E1FF4" w14:textId="77777777" w:rsidR="00203F72" w:rsidRPr="00A53581" w:rsidRDefault="00203F72" w:rsidP="00D87D91"/>
    <w:p w14:paraId="445C962D" w14:textId="1F0023D7"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91</w:t>
      </w:r>
      <w:r w:rsidR="00076467">
        <w:rPr>
          <w:noProof/>
        </w:rPr>
        <w:fldChar w:fldCharType="end"/>
      </w:r>
      <w:r w:rsidR="00203F72" w:rsidRPr="00A53581">
        <w:t xml:space="preserve"> </w:t>
      </w:r>
      <w:r w:rsidR="00203F72" w:rsidRPr="00A53581">
        <w:rPr>
          <w:lang w:val="x-none" w:eastAsia="x-none"/>
        </w:rPr>
        <w:t>臺灣近</w:t>
      </w:r>
      <w:r w:rsidR="00203F72" w:rsidRPr="00A53581">
        <w:rPr>
          <w:lang w:val="x-none"/>
        </w:rPr>
        <w:t>300</w:t>
      </w:r>
      <w:r w:rsidR="00203F72" w:rsidRPr="00A53581">
        <w:rPr>
          <w:lang w:val="x-none" w:eastAsia="x-none"/>
        </w:rPr>
        <w:t>百年來各時期毒品刑事政策實質內涵及其演進一覽表</w:t>
      </w:r>
    </w:p>
    <w:tbl>
      <w:tblPr>
        <w:tblW w:w="492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2050"/>
        <w:gridCol w:w="2318"/>
        <w:gridCol w:w="2435"/>
      </w:tblGrid>
      <w:tr w:rsidR="00203F72" w:rsidRPr="00A53581" w14:paraId="4F884A69" w14:textId="77777777" w:rsidTr="00DA7551">
        <w:trPr>
          <w:trHeight w:val="1038"/>
          <w:tblHeader/>
        </w:trPr>
        <w:tc>
          <w:tcPr>
            <w:tcW w:w="932" w:type="pct"/>
            <w:shd w:val="clear" w:color="auto" w:fill="FAF0FA"/>
            <w:vAlign w:val="center"/>
          </w:tcPr>
          <w:p w14:paraId="2EFA2194" w14:textId="77777777" w:rsidR="00203F72" w:rsidRPr="002F3FE8" w:rsidRDefault="00203F72" w:rsidP="00D87D91">
            <w:r w:rsidRPr="002F3FE8">
              <w:t>發展時期</w:t>
            </w:r>
          </w:p>
        </w:tc>
        <w:tc>
          <w:tcPr>
            <w:tcW w:w="1226" w:type="pct"/>
            <w:shd w:val="clear" w:color="auto" w:fill="FAF0FA"/>
            <w:vAlign w:val="center"/>
          </w:tcPr>
          <w:p w14:paraId="4CE6ED74" w14:textId="77777777" w:rsidR="00203F72" w:rsidRPr="002F3FE8" w:rsidRDefault="00203F72" w:rsidP="00D87D91">
            <w:pPr>
              <w:rPr>
                <w:i/>
              </w:rPr>
            </w:pPr>
            <w:r w:rsidRPr="002F3FE8">
              <w:t>界定吸食毒品</w:t>
            </w:r>
          </w:p>
          <w:p w14:paraId="523047F1" w14:textId="77777777" w:rsidR="00203F72" w:rsidRPr="002F3FE8" w:rsidRDefault="00203F72" w:rsidP="00D87D91">
            <w:r w:rsidRPr="002F3FE8">
              <w:t>刑事政策的觀點</w:t>
            </w:r>
          </w:p>
        </w:tc>
        <w:tc>
          <w:tcPr>
            <w:tcW w:w="1386" w:type="pct"/>
            <w:shd w:val="clear" w:color="auto" w:fill="FAF0FA"/>
            <w:vAlign w:val="center"/>
          </w:tcPr>
          <w:p w14:paraId="2144C95C" w14:textId="77777777" w:rsidR="00203F72" w:rsidRPr="002F3FE8" w:rsidRDefault="00203F72" w:rsidP="00D87D91">
            <w:pPr>
              <w:rPr>
                <w:i/>
              </w:rPr>
            </w:pPr>
            <w:r w:rsidRPr="002F3FE8">
              <w:t>毒品刑事法</w:t>
            </w:r>
          </w:p>
          <w:p w14:paraId="66ED9BF8" w14:textId="77777777" w:rsidR="00203F72" w:rsidRPr="002F3FE8" w:rsidRDefault="00203F72" w:rsidP="00D87D91">
            <w:r w:rsidRPr="002F3FE8">
              <w:t>律（令）名稱</w:t>
            </w:r>
          </w:p>
        </w:tc>
        <w:tc>
          <w:tcPr>
            <w:tcW w:w="1456" w:type="pct"/>
            <w:shd w:val="clear" w:color="auto" w:fill="FAF0FA"/>
            <w:vAlign w:val="center"/>
          </w:tcPr>
          <w:p w14:paraId="44857939" w14:textId="77777777" w:rsidR="00203F72" w:rsidRPr="002F3FE8" w:rsidRDefault="00203F72" w:rsidP="00D87D91">
            <w:r w:rsidRPr="002F3FE8">
              <w:t>毒品刑事政策實質規範內涵（含罪名）</w:t>
            </w:r>
          </w:p>
        </w:tc>
      </w:tr>
      <w:tr w:rsidR="00203F72" w:rsidRPr="00A53581" w14:paraId="2CC160C6" w14:textId="77777777" w:rsidTr="00DA7551">
        <w:tc>
          <w:tcPr>
            <w:tcW w:w="932" w:type="pct"/>
            <w:shd w:val="clear" w:color="auto" w:fill="auto"/>
            <w:vAlign w:val="center"/>
          </w:tcPr>
          <w:p w14:paraId="3A9B7BA8" w14:textId="77777777" w:rsidR="00203F72" w:rsidRPr="00A53581" w:rsidRDefault="00203F72" w:rsidP="00D87D91">
            <w:r w:rsidRPr="00A53581">
              <w:t>清朝時期（</w:t>
            </w:r>
            <w:r w:rsidRPr="00A53581">
              <w:t>1730~1895</w:t>
            </w:r>
            <w:r w:rsidRPr="00A53581">
              <w:t>）</w:t>
            </w:r>
          </w:p>
        </w:tc>
        <w:tc>
          <w:tcPr>
            <w:tcW w:w="1226" w:type="pct"/>
            <w:shd w:val="clear" w:color="auto" w:fill="EEECE1"/>
          </w:tcPr>
          <w:p w14:paraId="79E3A9E1" w14:textId="77777777" w:rsidR="00203F72" w:rsidRPr="00A53581" w:rsidRDefault="00DA7551" w:rsidP="00DA7551">
            <w:r w:rsidRPr="00DA7551">
              <w:rPr>
                <w:rFonts w:hint="eastAsia"/>
              </w:rPr>
              <w:t>●</w:t>
            </w:r>
            <w:r w:rsidR="00203F72" w:rsidRPr="00A53581">
              <w:t>1862</w:t>
            </w:r>
            <w:r w:rsidR="00203F72" w:rsidRPr="00A53581">
              <w:t>年以前純正犯罪觀：</w:t>
            </w:r>
          </w:p>
          <w:p w14:paraId="2DF91261" w14:textId="77777777" w:rsidR="00203F72" w:rsidRPr="00A53581" w:rsidRDefault="00203F72" w:rsidP="00D87D91">
            <w:r w:rsidRPr="00A53581">
              <w:t>採取嚴厲禁煙刑事政策。</w:t>
            </w:r>
          </w:p>
          <w:p w14:paraId="4742CD9B" w14:textId="77777777" w:rsidR="00203F72" w:rsidRPr="00A53581" w:rsidRDefault="00DA7551" w:rsidP="00DA7551">
            <w:r w:rsidRPr="00DA7551">
              <w:rPr>
                <w:rFonts w:hint="eastAsia"/>
              </w:rPr>
              <w:t>●</w:t>
            </w:r>
            <w:r w:rsidR="00203F72" w:rsidRPr="00A53581">
              <w:t>1862</w:t>
            </w:r>
            <w:r w:rsidR="00203F72" w:rsidRPr="00A53581">
              <w:t>年以後鴉片成為商品：</w:t>
            </w:r>
          </w:p>
          <w:p w14:paraId="68D6A041" w14:textId="77777777" w:rsidR="00203F72" w:rsidRPr="00A53581" w:rsidRDefault="00203F72" w:rsidP="00D87D91">
            <w:r w:rsidRPr="00A53581">
              <w:t>鴉片合法化及除罪化。</w:t>
            </w:r>
          </w:p>
        </w:tc>
        <w:tc>
          <w:tcPr>
            <w:tcW w:w="1386" w:type="pct"/>
            <w:shd w:val="clear" w:color="auto" w:fill="auto"/>
          </w:tcPr>
          <w:p w14:paraId="0CCEBB80" w14:textId="77777777" w:rsidR="00CC3ABF" w:rsidRDefault="00CC3ABF" w:rsidP="00CC3ABF">
            <w:r>
              <w:rPr>
                <w:rFonts w:hint="eastAsia"/>
              </w:rPr>
              <w:t xml:space="preserve">　　</w:t>
            </w:r>
            <w:r>
              <w:rPr>
                <w:rFonts w:hint="eastAsia"/>
              </w:rPr>
              <w:t>1</w:t>
            </w:r>
            <w:r>
              <w:rPr>
                <w:rFonts w:hint="eastAsia"/>
              </w:rPr>
              <w:t>、</w:t>
            </w:r>
            <w:r>
              <w:rPr>
                <w:rFonts w:hint="eastAsia"/>
              </w:rPr>
              <w:t>1730</w:t>
            </w:r>
            <w:r>
              <w:rPr>
                <w:rFonts w:hint="eastAsia"/>
              </w:rPr>
              <w:t>年清朝政府針對臺灣發布「禁止流寓臺灣人民販賣鴉片條例」。</w:t>
            </w:r>
          </w:p>
          <w:p w14:paraId="71FBE7D3" w14:textId="77777777" w:rsidR="00CC3ABF" w:rsidRDefault="00CC3ABF" w:rsidP="00CC3ABF">
            <w:r>
              <w:rPr>
                <w:rFonts w:hint="eastAsia"/>
              </w:rPr>
              <w:t xml:space="preserve">　　</w:t>
            </w:r>
            <w:r>
              <w:rPr>
                <w:rFonts w:hint="eastAsia"/>
              </w:rPr>
              <w:t>2</w:t>
            </w:r>
            <w:r>
              <w:rPr>
                <w:rFonts w:hint="eastAsia"/>
              </w:rPr>
              <w:t>、</w:t>
            </w:r>
            <w:r>
              <w:rPr>
                <w:rFonts w:hint="eastAsia"/>
              </w:rPr>
              <w:t>1730</w:t>
            </w:r>
            <w:r>
              <w:rPr>
                <w:rFonts w:hint="eastAsia"/>
              </w:rPr>
              <w:t>年福建巡撫劉世明針對福建及臺灣另行發布嚴格的地區性禁煙令。</w:t>
            </w:r>
          </w:p>
          <w:p w14:paraId="67F9910C" w14:textId="77777777" w:rsidR="00CC3ABF" w:rsidRDefault="00CC3ABF" w:rsidP="00CC3ABF">
            <w:r>
              <w:rPr>
                <w:rFonts w:hint="eastAsia"/>
              </w:rPr>
              <w:t xml:space="preserve">　　</w:t>
            </w:r>
            <w:r>
              <w:rPr>
                <w:rFonts w:hint="eastAsia"/>
              </w:rPr>
              <w:t>3</w:t>
            </w:r>
            <w:r>
              <w:rPr>
                <w:rFonts w:hint="eastAsia"/>
              </w:rPr>
              <w:t>、徐宗幹巡撫發布禁煙佈告（刑事罰）。</w:t>
            </w:r>
          </w:p>
          <w:p w14:paraId="6C3E5BE3" w14:textId="77777777" w:rsidR="00203F72" w:rsidRPr="00A53581" w:rsidRDefault="00CC3ABF" w:rsidP="00CC3ABF">
            <w:r>
              <w:rPr>
                <w:rFonts w:hint="eastAsia"/>
              </w:rPr>
              <w:t xml:space="preserve">　　</w:t>
            </w:r>
            <w:r>
              <w:rPr>
                <w:rFonts w:hint="eastAsia"/>
              </w:rPr>
              <w:t>4</w:t>
            </w:r>
            <w:r>
              <w:rPr>
                <w:rFonts w:hint="eastAsia"/>
              </w:rPr>
              <w:t>、清朝北京政府發布的其他各式禁煙令（刑事罰）。</w:t>
            </w:r>
          </w:p>
        </w:tc>
        <w:tc>
          <w:tcPr>
            <w:tcW w:w="1456" w:type="pct"/>
            <w:shd w:val="clear" w:color="auto" w:fill="EEECE1"/>
          </w:tcPr>
          <w:p w14:paraId="2F580E33" w14:textId="77777777" w:rsidR="00CC3ABF" w:rsidRDefault="00CC3ABF" w:rsidP="00CC3ABF">
            <w:r>
              <w:rPr>
                <w:rFonts w:hint="eastAsia"/>
              </w:rPr>
              <w:t xml:space="preserve">　　</w:t>
            </w:r>
            <w:r>
              <w:rPr>
                <w:rFonts w:hint="eastAsia"/>
              </w:rPr>
              <w:t>1</w:t>
            </w:r>
            <w:r>
              <w:rPr>
                <w:rFonts w:hint="eastAsia"/>
              </w:rPr>
              <w:t>、</w:t>
            </w:r>
            <w:r>
              <w:rPr>
                <w:rFonts w:hint="eastAsia"/>
              </w:rPr>
              <w:t>1730</w:t>
            </w:r>
            <w:r>
              <w:rPr>
                <w:rFonts w:hint="eastAsia"/>
              </w:rPr>
              <w:t>年「禁止流寓臺灣人民販賣鴉片條例」的規範罪行：</w:t>
            </w:r>
          </w:p>
          <w:p w14:paraId="60258262" w14:textId="77777777" w:rsidR="00CC3ABF" w:rsidRDefault="00CC3ABF" w:rsidP="00CC3ABF">
            <w:r>
              <w:rPr>
                <w:rFonts w:hint="eastAsia"/>
              </w:rPr>
              <w:t xml:space="preserve">　　禁止銷售鴉片罪；禁止私開煙館罪；</w:t>
            </w:r>
          </w:p>
          <w:p w14:paraId="1A07CADC" w14:textId="77777777" w:rsidR="00CC3ABF" w:rsidRDefault="00CC3ABF" w:rsidP="00CC3ABF">
            <w:r>
              <w:rPr>
                <w:rFonts w:hint="eastAsia"/>
              </w:rPr>
              <w:t xml:space="preserve">　　</w:t>
            </w:r>
            <w:r>
              <w:rPr>
                <w:rFonts w:hint="eastAsia"/>
              </w:rPr>
              <w:t>2</w:t>
            </w:r>
            <w:r>
              <w:rPr>
                <w:rFonts w:hint="eastAsia"/>
              </w:rPr>
              <w:t>、徐宗幹「紳民公約」（</w:t>
            </w:r>
            <w:r>
              <w:rPr>
                <w:rFonts w:hint="eastAsia"/>
              </w:rPr>
              <w:t>1850</w:t>
            </w:r>
            <w:r>
              <w:rPr>
                <w:rFonts w:hint="eastAsia"/>
              </w:rPr>
              <w:t>年）：</w:t>
            </w:r>
          </w:p>
          <w:p w14:paraId="37FE2AEC" w14:textId="77777777" w:rsidR="00203F72" w:rsidRPr="00A53581" w:rsidRDefault="00CC3ABF" w:rsidP="00CC3ABF">
            <w:r>
              <w:rPr>
                <w:rFonts w:hint="eastAsia"/>
              </w:rPr>
              <w:t xml:space="preserve">　　販賣鴉片的罪行，定位為等同於謀反罪行。</w:t>
            </w:r>
          </w:p>
        </w:tc>
      </w:tr>
      <w:tr w:rsidR="00203F72" w:rsidRPr="00A53581" w14:paraId="67B30B8A" w14:textId="77777777" w:rsidTr="00DA7551">
        <w:tc>
          <w:tcPr>
            <w:tcW w:w="932" w:type="pct"/>
            <w:shd w:val="clear" w:color="auto" w:fill="auto"/>
            <w:vAlign w:val="center"/>
          </w:tcPr>
          <w:p w14:paraId="11AA58E2" w14:textId="77777777" w:rsidR="00203F72" w:rsidRPr="00A53581" w:rsidRDefault="00203F72" w:rsidP="00D87D91">
            <w:r w:rsidRPr="00A53581">
              <w:t>日據時期（</w:t>
            </w:r>
            <w:r w:rsidRPr="00A53581">
              <w:t>1895~1945</w:t>
            </w:r>
            <w:r w:rsidRPr="00A53581">
              <w:t>）</w:t>
            </w:r>
          </w:p>
        </w:tc>
        <w:tc>
          <w:tcPr>
            <w:tcW w:w="1226" w:type="pct"/>
            <w:shd w:val="clear" w:color="auto" w:fill="EEECE1"/>
          </w:tcPr>
          <w:p w14:paraId="4F209E7B" w14:textId="77777777" w:rsidR="00203F72" w:rsidRPr="00A53581" w:rsidRDefault="00DA7551" w:rsidP="00DA7551">
            <w:r w:rsidRPr="00DA7551">
              <w:rPr>
                <w:rFonts w:hint="eastAsia"/>
              </w:rPr>
              <w:t>●</w:t>
            </w:r>
            <w:r w:rsidR="00203F72" w:rsidRPr="00A53581">
              <w:t>1930</w:t>
            </w:r>
            <w:r w:rsidR="00203F72" w:rsidRPr="00A53581">
              <w:t>年以前純正犯罪觀：</w:t>
            </w:r>
          </w:p>
          <w:p w14:paraId="316CC05B" w14:textId="77777777" w:rsidR="00203F72" w:rsidRPr="00A53581" w:rsidRDefault="00CC3ABF" w:rsidP="00D87D91">
            <w:r>
              <w:rPr>
                <w:rFonts w:hint="eastAsia"/>
              </w:rPr>
              <w:t xml:space="preserve">　　</w:t>
            </w:r>
            <w:r w:rsidR="00203F72" w:rsidRPr="00A53581">
              <w:t>鴉片專賣、吸食特許、漸禁施用鴉片以收經濟利益。</w:t>
            </w:r>
          </w:p>
          <w:p w14:paraId="341C3D93" w14:textId="77777777" w:rsidR="00203F72" w:rsidRPr="00A53581" w:rsidRDefault="00CC3ABF" w:rsidP="00CC3ABF">
            <w:r>
              <w:rPr>
                <w:rFonts w:hint="eastAsia"/>
              </w:rPr>
              <w:t xml:space="preserve">　　</w:t>
            </w:r>
            <w:r w:rsidR="00203F72" w:rsidRPr="00A53581">
              <w:t>1930</w:t>
            </w:r>
            <w:r w:rsidR="00203F72" w:rsidRPr="00A53581">
              <w:t>年以後結合犯罪觀及醫療疾病觀的綜合性觀點：</w:t>
            </w:r>
          </w:p>
          <w:p w14:paraId="3A72F410" w14:textId="77777777" w:rsidR="00203F72" w:rsidRPr="00A53581" w:rsidRDefault="00CC3ABF" w:rsidP="00D87D91">
            <w:r>
              <w:rPr>
                <w:rFonts w:hint="eastAsia"/>
              </w:rPr>
              <w:t xml:space="preserve">　　</w:t>
            </w:r>
            <w:r w:rsidR="00203F72" w:rsidRPr="00A53581">
              <w:t>鴉片專賣、吸食特許、漸禁施用鴉片以收經濟利益，同時醫療戒治鴉片中毒者。</w:t>
            </w:r>
          </w:p>
        </w:tc>
        <w:tc>
          <w:tcPr>
            <w:tcW w:w="1386" w:type="pct"/>
            <w:shd w:val="clear" w:color="auto" w:fill="auto"/>
          </w:tcPr>
          <w:p w14:paraId="6709E479" w14:textId="77777777" w:rsidR="00203F72" w:rsidRPr="00A53581" w:rsidRDefault="00CC3ABF" w:rsidP="00CC3ABF">
            <w:r w:rsidRPr="00CC3ABF">
              <w:rPr>
                <w:rFonts w:hint="eastAsia"/>
              </w:rPr>
              <w:t>1</w:t>
            </w:r>
            <w:r w:rsidRPr="00CC3ABF">
              <w:rPr>
                <w:rFonts w:hint="eastAsia"/>
              </w:rPr>
              <w:t>、</w:t>
            </w:r>
            <w:r w:rsidR="00203F72" w:rsidRPr="00A53581">
              <w:t>臺灣阿片令（特別刑事法優於</w:t>
            </w:r>
            <w:hyperlink r:id="rId1714" w:history="1">
              <w:r w:rsidR="006B7176" w:rsidRPr="00CC3ABF">
                <w:rPr>
                  <w:rStyle w:val="a5"/>
                  <w:rFonts w:eastAsia="新細明體"/>
                  <w:kern w:val="0"/>
                </w:rPr>
                <w:t>刑法</w:t>
              </w:r>
            </w:hyperlink>
            <w:r w:rsidR="00203F72" w:rsidRPr="00A53581">
              <w:t>而被優先適用）</w:t>
            </w:r>
          </w:p>
          <w:p w14:paraId="018EEDEC" w14:textId="77777777" w:rsidR="00203F72" w:rsidRPr="00A53581" w:rsidRDefault="00CC3ABF" w:rsidP="00CC3ABF">
            <w:r>
              <w:rPr>
                <w:rFonts w:hint="eastAsia"/>
              </w:rPr>
              <w:t>2</w:t>
            </w:r>
            <w:r w:rsidRPr="00CC3ABF">
              <w:rPr>
                <w:rFonts w:hint="eastAsia"/>
              </w:rPr>
              <w:t>、</w:t>
            </w:r>
            <w:r w:rsidR="00203F72" w:rsidRPr="00A53581">
              <w:t>日本刑法（取締鴉片的普通法）</w:t>
            </w:r>
          </w:p>
          <w:p w14:paraId="634A22CA" w14:textId="77777777" w:rsidR="00203F72" w:rsidRPr="00A53581" w:rsidRDefault="00CC3ABF" w:rsidP="00CC3ABF">
            <w:r>
              <w:rPr>
                <w:rFonts w:hint="eastAsia"/>
              </w:rPr>
              <w:t>3</w:t>
            </w:r>
            <w:r w:rsidRPr="00CC3ABF">
              <w:rPr>
                <w:rFonts w:hint="eastAsia"/>
              </w:rPr>
              <w:t>、</w:t>
            </w:r>
            <w:r w:rsidR="00203F72" w:rsidRPr="00A53581">
              <w:t>臺灣阿片例舉辦章程（處罰種類為拘留、罰鍰，係為行政秩序罰）</w:t>
            </w:r>
          </w:p>
        </w:tc>
        <w:tc>
          <w:tcPr>
            <w:tcW w:w="1456" w:type="pct"/>
            <w:shd w:val="clear" w:color="auto" w:fill="EEECE1"/>
          </w:tcPr>
          <w:p w14:paraId="2E259818" w14:textId="77777777" w:rsidR="00CC3ABF" w:rsidRDefault="00CC3ABF" w:rsidP="00CC3ABF">
            <w:r>
              <w:rPr>
                <w:rFonts w:hint="eastAsia"/>
              </w:rPr>
              <w:t xml:space="preserve">　　</w:t>
            </w:r>
            <w:r>
              <w:rPr>
                <w:rFonts w:hint="eastAsia"/>
              </w:rPr>
              <w:t>1</w:t>
            </w:r>
            <w:r>
              <w:rPr>
                <w:rFonts w:hint="eastAsia"/>
              </w:rPr>
              <w:t>、未經許可違法發售、讓與、交換、借與煙膏罪；</w:t>
            </w:r>
          </w:p>
          <w:p w14:paraId="7348A78F" w14:textId="77777777" w:rsidR="00CC3ABF" w:rsidRDefault="00CC3ABF" w:rsidP="00CC3ABF">
            <w:r>
              <w:rPr>
                <w:rFonts w:hint="eastAsia"/>
              </w:rPr>
              <w:t xml:space="preserve">　　</w:t>
            </w:r>
            <w:r>
              <w:rPr>
                <w:rFonts w:hint="eastAsia"/>
              </w:rPr>
              <w:t>2</w:t>
            </w:r>
            <w:r>
              <w:rPr>
                <w:rFonts w:hint="eastAsia"/>
              </w:rPr>
              <w:t>、私行進口或煉製煙膏罪；</w:t>
            </w:r>
          </w:p>
          <w:p w14:paraId="455106CB" w14:textId="77777777" w:rsidR="00CC3ABF" w:rsidRDefault="00CC3ABF" w:rsidP="00CC3ABF">
            <w:r>
              <w:rPr>
                <w:rFonts w:hint="eastAsia"/>
              </w:rPr>
              <w:t xml:space="preserve">　　</w:t>
            </w:r>
            <w:r>
              <w:t>3</w:t>
            </w:r>
            <w:r>
              <w:rPr>
                <w:rFonts w:hint="eastAsia"/>
              </w:rPr>
              <w:t>、私種罌粟或藏有罌粟売罪；</w:t>
            </w:r>
          </w:p>
          <w:p w14:paraId="507E7EAC" w14:textId="77777777" w:rsidR="00CC3ABF" w:rsidRDefault="00CC3ABF" w:rsidP="00CC3ABF">
            <w:r>
              <w:rPr>
                <w:rFonts w:hint="eastAsia"/>
              </w:rPr>
              <w:t xml:space="preserve">　　</w:t>
            </w:r>
            <w:r>
              <w:rPr>
                <w:rFonts w:hint="eastAsia"/>
              </w:rPr>
              <w:t>4</w:t>
            </w:r>
            <w:r>
              <w:rPr>
                <w:rFonts w:hint="eastAsia"/>
              </w:rPr>
              <w:t>、私喫阿片罪；</w:t>
            </w:r>
          </w:p>
          <w:p w14:paraId="1FCE8007" w14:textId="77777777" w:rsidR="00CC3ABF" w:rsidRDefault="00CC3ABF" w:rsidP="00CC3ABF">
            <w:r>
              <w:rPr>
                <w:rFonts w:hint="eastAsia"/>
              </w:rPr>
              <w:t xml:space="preserve">　　</w:t>
            </w:r>
            <w:r>
              <w:rPr>
                <w:rFonts w:hint="eastAsia"/>
              </w:rPr>
              <w:t>5</w:t>
            </w:r>
            <w:r>
              <w:rPr>
                <w:rFonts w:hint="eastAsia"/>
              </w:rPr>
              <w:t>、借與喫煙處所或煙具罪；</w:t>
            </w:r>
          </w:p>
          <w:p w14:paraId="50124377" w14:textId="77777777" w:rsidR="00203F72" w:rsidRPr="00A53581" w:rsidRDefault="00CC3ABF" w:rsidP="00CC3ABF">
            <w:r>
              <w:rPr>
                <w:rFonts w:hint="eastAsia"/>
              </w:rPr>
              <w:t xml:space="preserve">　　</w:t>
            </w:r>
            <w:r>
              <w:rPr>
                <w:rFonts w:hint="eastAsia"/>
              </w:rPr>
              <w:t>6</w:t>
            </w:r>
            <w:r>
              <w:rPr>
                <w:rFonts w:hint="eastAsia"/>
              </w:rPr>
              <w:t>、擅留無帶特許喫煙膏牌人借與喫煙處所或煙具罪；</w:t>
            </w:r>
          </w:p>
        </w:tc>
      </w:tr>
      <w:tr w:rsidR="00203F72" w:rsidRPr="00A53581" w14:paraId="6D0D65D1" w14:textId="77777777" w:rsidTr="00DA7551">
        <w:tc>
          <w:tcPr>
            <w:tcW w:w="932" w:type="pct"/>
            <w:shd w:val="clear" w:color="auto" w:fill="auto"/>
            <w:vAlign w:val="center"/>
          </w:tcPr>
          <w:p w14:paraId="5ACE88C5" w14:textId="77777777" w:rsidR="00203F72" w:rsidRPr="00A53581" w:rsidRDefault="00203F72" w:rsidP="00D87D91">
            <w:r w:rsidRPr="00A53581">
              <w:t>（戡亂時期）</w:t>
            </w:r>
          </w:p>
          <w:p w14:paraId="4061CD06" w14:textId="77777777" w:rsidR="00203F72" w:rsidRPr="00A53581" w:rsidRDefault="00203F72" w:rsidP="00D87D91">
            <w:r w:rsidRPr="00A53581">
              <w:t>肅清煙毒條例時期（</w:t>
            </w:r>
            <w:r w:rsidRPr="00A53581">
              <w:t>1945~1998</w:t>
            </w:r>
            <w:r w:rsidRPr="00A53581">
              <w:t>）</w:t>
            </w:r>
          </w:p>
        </w:tc>
        <w:tc>
          <w:tcPr>
            <w:tcW w:w="1226" w:type="pct"/>
            <w:shd w:val="clear" w:color="auto" w:fill="EEECE1"/>
          </w:tcPr>
          <w:p w14:paraId="030348C2" w14:textId="77777777" w:rsidR="00203F72" w:rsidRPr="00A53581" w:rsidRDefault="00CC3ABF" w:rsidP="00CC3ABF">
            <w:r>
              <w:rPr>
                <w:rFonts w:hint="eastAsia"/>
              </w:rPr>
              <w:t xml:space="preserve">　　</w:t>
            </w:r>
            <w:r w:rsidRPr="00CC3ABF">
              <w:rPr>
                <w:rFonts w:hint="eastAsia"/>
              </w:rPr>
              <w:t>1</w:t>
            </w:r>
            <w:r w:rsidRPr="00CC3ABF">
              <w:rPr>
                <w:rFonts w:hint="eastAsia"/>
              </w:rPr>
              <w:t>、</w:t>
            </w:r>
            <w:r w:rsidR="00203F72" w:rsidRPr="00A53581">
              <w:t>以犯罪觀為主，輔以醫療觀點（醫療戒治之角色係為配角）</w:t>
            </w:r>
          </w:p>
          <w:p w14:paraId="300AEB55" w14:textId="77777777" w:rsidR="00203F72" w:rsidRPr="00A53581" w:rsidRDefault="00CC3ABF" w:rsidP="00CC3ABF">
            <w:r>
              <w:rPr>
                <w:rFonts w:hint="eastAsia"/>
              </w:rPr>
              <w:t xml:space="preserve">　　</w:t>
            </w:r>
            <w:r>
              <w:rPr>
                <w:rFonts w:hint="eastAsia"/>
              </w:rPr>
              <w:t>2</w:t>
            </w:r>
            <w:r w:rsidRPr="00CC3ABF">
              <w:rPr>
                <w:rFonts w:hint="eastAsia"/>
              </w:rPr>
              <w:t>、</w:t>
            </w:r>
            <w:r w:rsidR="00203F72" w:rsidRPr="00A53581">
              <w:t>以嚴刑峻罰禁煙禁毒為主</w:t>
            </w:r>
          </w:p>
        </w:tc>
        <w:tc>
          <w:tcPr>
            <w:tcW w:w="1386" w:type="pct"/>
            <w:shd w:val="clear" w:color="auto" w:fill="auto"/>
          </w:tcPr>
          <w:p w14:paraId="2DF2DFD8" w14:textId="77777777" w:rsidR="00203F72" w:rsidRPr="00A53581" w:rsidRDefault="00CC3ABF" w:rsidP="00CC3ABF">
            <w:r>
              <w:rPr>
                <w:rFonts w:hint="eastAsia"/>
              </w:rPr>
              <w:t xml:space="preserve">　　</w:t>
            </w:r>
            <w:r w:rsidRPr="00CC3ABF">
              <w:rPr>
                <w:rFonts w:hint="eastAsia"/>
              </w:rPr>
              <w:t>1</w:t>
            </w:r>
            <w:r w:rsidRPr="00CC3ABF">
              <w:rPr>
                <w:rFonts w:hint="eastAsia"/>
              </w:rPr>
              <w:t>、</w:t>
            </w:r>
            <w:hyperlink r:id="rId1715" w:history="1">
              <w:r w:rsidR="006B7176" w:rsidRPr="00CC3ABF">
                <w:rPr>
                  <w:rStyle w:val="a5"/>
                  <w:rFonts w:eastAsia="新細明體"/>
                  <w:kern w:val="0"/>
                </w:rPr>
                <w:t>刑法</w:t>
              </w:r>
            </w:hyperlink>
          </w:p>
          <w:p w14:paraId="59822248" w14:textId="77777777" w:rsidR="00203F72" w:rsidRPr="00A53581" w:rsidRDefault="00CC3ABF" w:rsidP="00CC3ABF">
            <w:r>
              <w:rPr>
                <w:rFonts w:hint="eastAsia"/>
              </w:rPr>
              <w:t xml:space="preserve">　　</w:t>
            </w:r>
            <w:r>
              <w:rPr>
                <w:rFonts w:hint="eastAsia"/>
              </w:rPr>
              <w:t>2</w:t>
            </w:r>
            <w:r w:rsidRPr="00CC3ABF">
              <w:rPr>
                <w:rFonts w:hint="eastAsia"/>
              </w:rPr>
              <w:t>、</w:t>
            </w:r>
            <w:r w:rsidR="00203F72" w:rsidRPr="00A53581">
              <w:t>戡亂時期肅清煙毒條例（刑事罰）</w:t>
            </w:r>
          </w:p>
          <w:p w14:paraId="706A0290" w14:textId="77777777" w:rsidR="00203F72" w:rsidRPr="00A53581" w:rsidRDefault="00CC3ABF" w:rsidP="00CC3ABF">
            <w:r>
              <w:rPr>
                <w:rFonts w:hint="eastAsia"/>
              </w:rPr>
              <w:t xml:space="preserve">　　</w:t>
            </w:r>
            <w:r>
              <w:rPr>
                <w:rFonts w:hint="eastAsia"/>
              </w:rPr>
              <w:t>3</w:t>
            </w:r>
            <w:r w:rsidRPr="00CC3ABF">
              <w:rPr>
                <w:rFonts w:hint="eastAsia"/>
              </w:rPr>
              <w:t>、</w:t>
            </w:r>
            <w:r w:rsidR="00203F72" w:rsidRPr="00A53581">
              <w:t>肅清煙毒條例（刑事罰）</w:t>
            </w:r>
          </w:p>
          <w:p w14:paraId="2DF1496C" w14:textId="77777777" w:rsidR="00203F72" w:rsidRPr="00A53581" w:rsidRDefault="00CC3ABF" w:rsidP="00CC3ABF">
            <w:r>
              <w:rPr>
                <w:rFonts w:hint="eastAsia"/>
              </w:rPr>
              <w:t xml:space="preserve">　　</w:t>
            </w:r>
            <w:r>
              <w:rPr>
                <w:rFonts w:hint="eastAsia"/>
              </w:rPr>
              <w:t>4</w:t>
            </w:r>
            <w:r w:rsidRPr="00CC3ABF">
              <w:rPr>
                <w:rFonts w:hint="eastAsia"/>
              </w:rPr>
              <w:t>、</w:t>
            </w:r>
            <w:r w:rsidR="00203F72" w:rsidRPr="00A53581">
              <w:t>麻醉藥品管理條例（刑事罰）</w:t>
            </w:r>
          </w:p>
        </w:tc>
        <w:tc>
          <w:tcPr>
            <w:tcW w:w="1456" w:type="pct"/>
            <w:shd w:val="clear" w:color="auto" w:fill="EEECE1"/>
          </w:tcPr>
          <w:p w14:paraId="1C9A787F" w14:textId="77777777" w:rsidR="00203F72" w:rsidRPr="00A53581" w:rsidRDefault="00203F72" w:rsidP="00D87D91">
            <w:r w:rsidRPr="00A53581">
              <w:t>禁止製造、運輸、販賣、轉運、持有、施用、栽種</w:t>
            </w:r>
          </w:p>
        </w:tc>
      </w:tr>
      <w:tr w:rsidR="00203F72" w:rsidRPr="00A53581" w14:paraId="649CE381" w14:textId="77777777" w:rsidTr="00DA7551">
        <w:tc>
          <w:tcPr>
            <w:tcW w:w="932" w:type="pct"/>
            <w:shd w:val="clear" w:color="auto" w:fill="auto"/>
            <w:vAlign w:val="center"/>
          </w:tcPr>
          <w:p w14:paraId="36080048" w14:textId="77777777" w:rsidR="00203F72" w:rsidRPr="00A53581" w:rsidRDefault="00076467" w:rsidP="00D87D91">
            <w:hyperlink r:id="rId1716" w:history="1">
              <w:r w:rsidR="00BE652C" w:rsidRPr="00ED5438">
                <w:rPr>
                  <w:rStyle w:val="a5"/>
                  <w:rFonts w:ascii="Times New Roman" w:eastAsia="新細明體" w:hAnsi="Times New Roman"/>
                </w:rPr>
                <w:t>毒品危害防制條例</w:t>
              </w:r>
            </w:hyperlink>
            <w:r w:rsidR="00203F72" w:rsidRPr="00A53581">
              <w:t>時期</w:t>
            </w:r>
            <w:r w:rsidR="00203F72" w:rsidRPr="00A53581">
              <w:t xml:space="preserve"> </w:t>
            </w:r>
            <w:r w:rsidR="00203F72" w:rsidRPr="00A53581">
              <w:t>（</w:t>
            </w:r>
            <w:r w:rsidR="00203F72" w:rsidRPr="00A53581">
              <w:t>1998~</w:t>
            </w:r>
            <w:r w:rsidR="00203F72" w:rsidRPr="00A53581">
              <w:t>迄今）</w:t>
            </w:r>
          </w:p>
        </w:tc>
        <w:tc>
          <w:tcPr>
            <w:tcW w:w="1226" w:type="pct"/>
            <w:shd w:val="clear" w:color="auto" w:fill="EEECE1"/>
          </w:tcPr>
          <w:p w14:paraId="6BFF9FA6" w14:textId="77777777" w:rsidR="00203F72" w:rsidRPr="00A53581" w:rsidRDefault="00CC3ABF" w:rsidP="00CC3ABF">
            <w:r>
              <w:rPr>
                <w:rFonts w:hint="eastAsia"/>
              </w:rPr>
              <w:t xml:space="preserve">　　</w:t>
            </w:r>
            <w:r w:rsidRPr="00CC3ABF">
              <w:rPr>
                <w:rFonts w:hint="eastAsia"/>
              </w:rPr>
              <w:t>1</w:t>
            </w:r>
            <w:r w:rsidRPr="00CC3ABF">
              <w:rPr>
                <w:rFonts w:hint="eastAsia"/>
              </w:rPr>
              <w:t>、</w:t>
            </w:r>
            <w:r w:rsidR="00203F72" w:rsidRPr="00A53581">
              <w:t>同時具有犯罪觀（含行政刑罰）及醫療觀點。</w:t>
            </w:r>
          </w:p>
          <w:p w14:paraId="489C86CF" w14:textId="77777777" w:rsidR="00203F72" w:rsidRPr="00A53581" w:rsidRDefault="00CC3ABF" w:rsidP="00CC3ABF">
            <w:r>
              <w:rPr>
                <w:rFonts w:hint="eastAsia"/>
              </w:rPr>
              <w:t xml:space="preserve">　　</w:t>
            </w:r>
            <w:r>
              <w:rPr>
                <w:rFonts w:hint="eastAsia"/>
              </w:rPr>
              <w:t>2</w:t>
            </w:r>
            <w:r w:rsidRPr="00CC3ABF">
              <w:rPr>
                <w:rFonts w:hint="eastAsia"/>
              </w:rPr>
              <w:t>、</w:t>
            </w:r>
            <w:r w:rsidR="00203F72" w:rsidRPr="00A53581">
              <w:t>病犯並存、務實處理</w:t>
            </w:r>
          </w:p>
        </w:tc>
        <w:tc>
          <w:tcPr>
            <w:tcW w:w="1386" w:type="pct"/>
            <w:shd w:val="clear" w:color="auto" w:fill="auto"/>
          </w:tcPr>
          <w:p w14:paraId="37EC956E" w14:textId="77777777" w:rsidR="00203F72" w:rsidRPr="00A53581" w:rsidRDefault="00CC3ABF" w:rsidP="00CC3ABF">
            <w:pPr>
              <w:pStyle w:val="aff9"/>
              <w:ind w:leftChars="0" w:left="-31"/>
            </w:pPr>
            <w:r>
              <w:rPr>
                <w:rFonts w:hint="eastAsia"/>
              </w:rPr>
              <w:t xml:space="preserve">　　</w:t>
            </w:r>
            <w:r w:rsidRPr="00CC3ABF">
              <w:rPr>
                <w:rFonts w:hint="eastAsia"/>
              </w:rPr>
              <w:t>1</w:t>
            </w:r>
            <w:r w:rsidRPr="00CC3ABF">
              <w:rPr>
                <w:rFonts w:hint="eastAsia"/>
              </w:rPr>
              <w:t>、</w:t>
            </w:r>
            <w:hyperlink r:id="rId1717" w:history="1">
              <w:r w:rsidR="00BE652C" w:rsidRPr="00ED5438">
                <w:rPr>
                  <w:rStyle w:val="a5"/>
                  <w:rFonts w:ascii="Times New Roman" w:eastAsia="新細明體" w:hAnsi="Times New Roman"/>
                </w:rPr>
                <w:t>毒品危害防制條例</w:t>
              </w:r>
            </w:hyperlink>
            <w:r w:rsidR="00203F72" w:rsidRPr="00A53581">
              <w:t>（刑事及行政罰）</w:t>
            </w:r>
          </w:p>
          <w:p w14:paraId="0A2D7BD3" w14:textId="77777777" w:rsidR="00203F72" w:rsidRPr="00A53581" w:rsidRDefault="00CC3ABF" w:rsidP="00CC3ABF">
            <w:pPr>
              <w:pStyle w:val="aff9"/>
              <w:ind w:leftChars="0" w:left="-31"/>
            </w:pPr>
            <w:r>
              <w:rPr>
                <w:rFonts w:hint="eastAsia"/>
              </w:rPr>
              <w:t xml:space="preserve">　　</w:t>
            </w:r>
            <w:r>
              <w:rPr>
                <w:rFonts w:hint="eastAsia"/>
              </w:rPr>
              <w:t>2</w:t>
            </w:r>
            <w:r w:rsidRPr="00CC3ABF">
              <w:rPr>
                <w:rFonts w:hint="eastAsia"/>
              </w:rPr>
              <w:t>、</w:t>
            </w:r>
            <w:hyperlink r:id="rId1718" w:history="1">
              <w:r w:rsidR="00203F72" w:rsidRPr="00CC3ABF">
                <w:rPr>
                  <w:rStyle w:val="a5"/>
                  <w:rFonts w:ascii="Calibri" w:eastAsia="新細明體" w:hAnsi="Calibri"/>
                  <w:sz w:val="24"/>
                </w:rPr>
                <w:t>管制藥品管理條例</w:t>
              </w:r>
            </w:hyperlink>
            <w:r w:rsidR="00203F72" w:rsidRPr="00A53581">
              <w:t>（行政罰）</w:t>
            </w:r>
          </w:p>
        </w:tc>
        <w:tc>
          <w:tcPr>
            <w:tcW w:w="1456" w:type="pct"/>
            <w:shd w:val="clear" w:color="auto" w:fill="EEECE1"/>
          </w:tcPr>
          <w:p w14:paraId="0DF3FF7C" w14:textId="77777777" w:rsidR="00203F72" w:rsidRPr="00A53581" w:rsidRDefault="00203F72" w:rsidP="00D87D91">
            <w:r w:rsidRPr="00A53581">
              <w:t>禁止製造、運輸、販賣、轉運、持有、施用、栽種（</w:t>
            </w:r>
            <w:r w:rsidRPr="00A53581">
              <w:t>2009</w:t>
            </w:r>
            <w:r w:rsidRPr="00A53581">
              <w:t>年之後，對施用第三級或第四級毒品者，處以行政罰）</w:t>
            </w:r>
          </w:p>
        </w:tc>
      </w:tr>
    </w:tbl>
    <w:p w14:paraId="71D0B330" w14:textId="77777777" w:rsidR="00953151" w:rsidRDefault="00B03E84" w:rsidP="00D87D91">
      <w:r>
        <w:t>【資料來源】</w:t>
      </w:r>
      <w:r w:rsidR="00203F72" w:rsidRPr="00A53581">
        <w:t>柯雨瑞（</w:t>
      </w:r>
      <w:r w:rsidR="00203F72" w:rsidRPr="00A53581">
        <w:t>2006</w:t>
      </w:r>
      <w:r w:rsidR="00203F72" w:rsidRPr="00A53581">
        <w:t>），百年來臺灣毒品刑事政策變遷之研究，中央警察大學犯罪防治研究所博士論文。</w:t>
      </w:r>
    </w:p>
    <w:p w14:paraId="6E7724C8" w14:textId="77777777" w:rsidR="00953151" w:rsidRDefault="0039258A" w:rsidP="00D87D91">
      <w:r>
        <w:t xml:space="preserve">　　</w:t>
      </w:r>
      <w:r w:rsidR="00203F72" w:rsidRPr="00A53581">
        <w:t>二、建議</w:t>
      </w:r>
    </w:p>
    <w:p w14:paraId="6BCAFFAB" w14:textId="77777777" w:rsidR="00953151" w:rsidRDefault="0039258A" w:rsidP="00D87D91">
      <w:r>
        <w:t xml:space="preserve">　　</w:t>
      </w:r>
      <w:r w:rsidR="00203F72" w:rsidRPr="00A53581">
        <w:t>根據前揭之研究發現，本書建議如下：</w:t>
      </w:r>
    </w:p>
    <w:p w14:paraId="65BF3C6E" w14:textId="77777777" w:rsidR="00953151" w:rsidRPr="002F3FE8" w:rsidRDefault="0039258A" w:rsidP="00D87D91">
      <w:r w:rsidRPr="002F3FE8">
        <w:t xml:space="preserve">　　</w:t>
      </w:r>
      <w:r w:rsidR="00203F72" w:rsidRPr="002F3FE8">
        <w:t>(</w:t>
      </w:r>
      <w:r w:rsidR="00203F72" w:rsidRPr="002F3FE8">
        <w:t>一</w:t>
      </w:r>
      <w:r w:rsidR="00203F72" w:rsidRPr="002F3FE8">
        <w:t>)</w:t>
      </w:r>
      <w:r w:rsidR="00203F72" w:rsidRPr="002F3FE8">
        <w:t>宜同時運用刑罰與醫療手段抗制施用毒品之犯罪行為，並重</w:t>
      </w:r>
      <w:r w:rsidR="003E240E">
        <w:t>視</w:t>
      </w:r>
      <w:r w:rsidR="00203F72" w:rsidRPr="002F3FE8">
        <w:t>毒品病患享有健康權</w:t>
      </w:r>
      <w:r w:rsidR="00203F72" w:rsidRPr="002F3FE8">
        <w:t xml:space="preserve"> </w:t>
      </w:r>
    </w:p>
    <w:p w14:paraId="747E24CB" w14:textId="77777777" w:rsidR="00953151" w:rsidRPr="002F3FE8" w:rsidRDefault="0039258A" w:rsidP="00D87D91">
      <w:r w:rsidRPr="002F3FE8">
        <w:t xml:space="preserve">　　</w:t>
      </w:r>
      <w:r w:rsidR="00203F72" w:rsidRPr="002F3FE8">
        <w:t>本書重大發現之一，是除罪化之毒品刑事政策</w:t>
      </w:r>
      <w:r w:rsidR="00203F72" w:rsidRPr="002F3FE8">
        <w:t>(</w:t>
      </w:r>
      <w:r w:rsidR="00203F72" w:rsidRPr="002F3FE8">
        <w:t>第</w:t>
      </w:r>
      <w:r w:rsidR="00203F72" w:rsidRPr="002F3FE8">
        <w:t>2</w:t>
      </w:r>
      <w:r w:rsidR="00203F72" w:rsidRPr="002F3FE8">
        <w:t>次鴉片戰爭之後以迄</w:t>
      </w:r>
      <w:r w:rsidR="00203F72" w:rsidRPr="002F3FE8">
        <w:t>1895</w:t>
      </w:r>
      <w:r w:rsidR="00203F72" w:rsidRPr="002F3FE8">
        <w:t>年，亦即，</w:t>
      </w:r>
      <w:r w:rsidR="00203F72" w:rsidRPr="002F3FE8">
        <w:t>1862</w:t>
      </w:r>
      <w:r w:rsidR="00203F72" w:rsidRPr="002F3FE8">
        <w:t>年</w:t>
      </w:r>
      <w:r w:rsidR="00203F72" w:rsidRPr="002F3FE8">
        <w:t>--1895</w:t>
      </w:r>
      <w:r w:rsidR="00203F72" w:rsidRPr="002F3FE8">
        <w:t>年</w:t>
      </w:r>
      <w:r w:rsidR="00203F72" w:rsidRPr="002F3FE8">
        <w:t>)</w:t>
      </w:r>
      <w:r w:rsidR="00203F72" w:rsidRPr="002F3FE8">
        <w:t>，台灣於晚清此一時期之施用毒品盛行率相當地高</w:t>
      </w:r>
      <w:r w:rsidR="00203F72" w:rsidRPr="002F3FE8">
        <w:t>(</w:t>
      </w:r>
      <w:r w:rsidR="00203F72" w:rsidRPr="002F3FE8">
        <w:t>台東縣政府全球資訊網，</w:t>
      </w:r>
      <w:r w:rsidR="00203F72" w:rsidRPr="002F3FE8">
        <w:t>2006)</w:t>
      </w:r>
      <w:r w:rsidR="00203F72" w:rsidRPr="002F3FE8">
        <w:footnoteReference w:id="420"/>
      </w:r>
      <w:r w:rsidR="00203F72" w:rsidRPr="002F3FE8">
        <w:t>，對於台灣毒品管制之歷史上經驗而論，是屬於管制效果最值得改善及最有精進空間之毒品刑事政策，並非屬於良善型之毒品刑事政策。在當前之階段，本書並不建議政府相關部門及民間採取除罪化之毒品刑事政策。</w:t>
      </w:r>
    </w:p>
    <w:p w14:paraId="265681F9" w14:textId="77777777" w:rsidR="00953151" w:rsidRPr="002F3FE8" w:rsidRDefault="0039258A" w:rsidP="00D87D91">
      <w:r w:rsidRPr="002F3FE8">
        <w:t xml:space="preserve">　　</w:t>
      </w:r>
      <w:r w:rsidR="00203F72" w:rsidRPr="002F3FE8">
        <w:t>雖然</w:t>
      </w:r>
      <w:r w:rsidR="00203F72" w:rsidRPr="002F3FE8">
        <w:t>1988</w:t>
      </w:r>
      <w:r w:rsidR="00203F72" w:rsidRPr="002F3FE8">
        <w:t>年聯合國禁止非法販運麻醉藥品和精神藥物公約未將吸毒行為加以犯罪化，不過，整體而論，在國際社會上，個人對於毒品之吸食，根據相關國際反毒條約之規定，仍是受到國際社會及相關公約之禁制。依據「經《修正一九六一年麻醉品單一公約的議定書》修正的一九六一年麻醉品單一公約」</w:t>
      </w:r>
      <w:r w:rsidR="00203F72" w:rsidRPr="002F3FE8">
        <w:t>(SINGLE CONVENTION ON NARCOTIC DRUGS, 1961, as amended by the 1972 Protocol Amending the Single Convention on Narcotic Drugs, 1961)</w:t>
      </w:r>
      <w:r w:rsidR="00203F72" w:rsidRPr="002F3FE8">
        <w:t>前言之規定，聯合國將麻醉品限於供醫藥及科學用途。再者，根據上開同公約第二條第五項第</w:t>
      </w:r>
      <w:r w:rsidR="00203F72" w:rsidRPr="002F3FE8">
        <w:t>(b)</w:t>
      </w:r>
      <w:r w:rsidR="00203F72" w:rsidRPr="002F3FE8">
        <w:t>款之規定，「締約國如鑒於其國內當時一般情況，認為為保護公共衛生與福利計，以禁止任何此種麻醉品的生產、製造、輸出、輸入、貿易、持有或使用最為適宜時，應予禁止，但專供醫藥及科學研究所需的份量，包括供締約國直接監督管制下所作或受其直接監督管制的診療試驗之用者，不在此限。」</w:t>
      </w:r>
    </w:p>
    <w:p w14:paraId="5FC4FB9B" w14:textId="77777777" w:rsidR="00953151" w:rsidRPr="002F3FE8" w:rsidRDefault="0039258A" w:rsidP="00D87D91">
      <w:r w:rsidRPr="002F3FE8">
        <w:t xml:space="preserve">　　</w:t>
      </w:r>
      <w:r w:rsidR="00203F72" w:rsidRPr="002F3FE8">
        <w:t>是以，就「經《修正一九六一年麻醉品單一公約的議定書》修正的一九六一年麻醉品單一公約」而論，麻醉品之使用，僅限於醫藥及科學研究所需，不及於個人之非法消費及吸食。針對毒品施用者之處罰方面，上開公約似乎未明文規定使用刑罰或行政罰處罰之。</w:t>
      </w:r>
    </w:p>
    <w:p w14:paraId="22F55475" w14:textId="77777777" w:rsidR="00953151" w:rsidRPr="002F3FE8" w:rsidRDefault="0039258A" w:rsidP="00D87D91">
      <w:r w:rsidRPr="002F3FE8">
        <w:t xml:space="preserve">　　</w:t>
      </w:r>
      <w:r w:rsidR="00203F72" w:rsidRPr="002F3FE8">
        <w:t>另外，依據聯合國《</w:t>
      </w:r>
      <w:r w:rsidR="00203F72" w:rsidRPr="002F3FE8">
        <w:t>1971</w:t>
      </w:r>
      <w:r w:rsidR="00203F72" w:rsidRPr="002F3FE8">
        <w:t>影響精神物質公約》第七條之規定，「就附表一內物質而言，各締約國應；禁止其一切使用，但受締約國政府直接管制或由其特別核准之醫學與科學機構內依法奉准人員為科學及甚有限之醫學目的所作之使用，不在此限。」同公約第九條則規定，「各締約國應規定附表二、附表三及附表四內之物質惟憑處方始得供應或配給個人使用，但個人依法奉准執行醫療或科學職務所可合法取得、使用、配給或施用各該物質者，不在此限。」根據上開聯合國《</w:t>
      </w:r>
      <w:r w:rsidR="00203F72" w:rsidRPr="002F3FE8">
        <w:t>1971</w:t>
      </w:r>
      <w:r w:rsidR="00203F72" w:rsidRPr="002F3FE8">
        <w:t>影響精神物質公約》第七條及第九條之規定，均嚴禁毒品之消費及吸食。綜上，不論是「經《修正一九六一年麻醉品單一公約的議定書》修正的一九六一年麻醉品單一公約」，抑或是聯合國《</w:t>
      </w:r>
      <w:r w:rsidR="00203F72" w:rsidRPr="002F3FE8">
        <w:t>1971</w:t>
      </w:r>
      <w:r w:rsidR="00203F72" w:rsidRPr="002F3FE8">
        <w:t>影響精神物質公約》，均明文規定醫藥及科學研究所需以外之個人施用行為，係屬於違反上開國際法之行為，亦即，國際法對於個人之吸毒行為，明確地規範為違法行為，</w:t>
      </w:r>
    </w:p>
    <w:p w14:paraId="38B5DC9A" w14:textId="77777777" w:rsidR="00953151" w:rsidRPr="002F3FE8" w:rsidRDefault="0039258A" w:rsidP="00D87D91">
      <w:r w:rsidRPr="002F3FE8">
        <w:t xml:space="preserve">　　</w:t>
      </w:r>
      <w:r w:rsidR="00203F72" w:rsidRPr="002F3FE8">
        <w:t>在制裁手段方面，聯合國《</w:t>
      </w:r>
      <w:r w:rsidR="00203F72" w:rsidRPr="002F3FE8">
        <w:t>1971</w:t>
      </w:r>
      <w:r w:rsidR="00203F72" w:rsidRPr="002F3FE8">
        <w:t>影響精神物質公約》第二十二條第一項規定「</w:t>
      </w:r>
      <w:r w:rsidR="00203F72" w:rsidRPr="002F3FE8">
        <w:t>(</w:t>
      </w:r>
      <w:r w:rsidR="00203F72" w:rsidRPr="002F3FE8">
        <w:t>一</w:t>
      </w:r>
      <w:r w:rsidR="00203F72" w:rsidRPr="002F3FE8">
        <w:t>)</w:t>
      </w:r>
      <w:r w:rsidR="00203F72" w:rsidRPr="002F3FE8">
        <w:t>、不違背締約國本國憲法上之限制為限，每一締約國對於違反為履行本公約義務所訂法律或規章之任何行為，其系出於故意者，悉應作為可科處刑罰之犯罪行為處分之，並應確保其罪行情節重大者受充分刑罰，尤其受徒刑或其他剝奪自由之處分。</w:t>
      </w:r>
      <w:r w:rsidR="00203F72" w:rsidRPr="002F3FE8">
        <w:t>(</w:t>
      </w:r>
      <w:r w:rsidR="00203F72" w:rsidRPr="002F3FE8">
        <w:t>二</w:t>
      </w:r>
      <w:r w:rsidR="00203F72" w:rsidRPr="002F3FE8">
        <w:t>)</w:t>
      </w:r>
      <w:r w:rsidR="00203F72" w:rsidRPr="002F3FE8">
        <w:t>雖有前項規定，於精神藥物之濫用者犯有上開罪行時，締約國仍得自訂規定，使其依第二十條第一項之規定獲得治療、教育、善後護理、複健並重新與社會融為一體，此可作為判罪或科處刑罰之替代措施，亦可作為科處刑罰之附加措施。」</w:t>
      </w:r>
    </w:p>
    <w:p w14:paraId="33DCE074" w14:textId="77777777" w:rsidR="00953151" w:rsidRPr="002F3FE8" w:rsidRDefault="0039258A" w:rsidP="00D87D91">
      <w:r w:rsidRPr="002F3FE8">
        <w:t xml:space="preserve">　　</w:t>
      </w:r>
      <w:r w:rsidR="00203F72" w:rsidRPr="002F3FE8">
        <w:t>基本上，對於毒品之施用行為，聯合國《</w:t>
      </w:r>
      <w:r w:rsidR="00203F72" w:rsidRPr="002F3FE8">
        <w:t>1971</w:t>
      </w:r>
      <w:r w:rsidR="00203F72" w:rsidRPr="002F3FE8">
        <w:t>影響精神物質公約》第二十二條第一項之制裁手段，明文主張要加以犯罪化，是以，目前，在國際上，若干國家對於吸毒行為採取行政罰之作法，恐有違反聯合國《</w:t>
      </w:r>
      <w:r w:rsidR="00203F72" w:rsidRPr="002F3FE8">
        <w:t>1971</w:t>
      </w:r>
      <w:r w:rsidR="00203F72" w:rsidRPr="002F3FE8">
        <w:t>影響精神物質公約》第二十二條第一項之規定，亦即恐有違反國際法之嫌。</w:t>
      </w:r>
    </w:p>
    <w:p w14:paraId="3B9B9A2F" w14:textId="77777777" w:rsidR="00953151" w:rsidRPr="002F3FE8" w:rsidRDefault="0039258A" w:rsidP="00D87D91">
      <w:r w:rsidRPr="002F3FE8">
        <w:t xml:space="preserve">　　</w:t>
      </w:r>
      <w:r w:rsidR="00203F72" w:rsidRPr="002F3FE8">
        <w:t>我國對於毒品之製造、運輸、銷售、分配、持有及施用等行為，仍宜繼續以刑事制裁手段加以強力壓制與掃蕩。施用毒品之行為，尤其是第一級及第二級的毒品，仍宜持續地加以犯罪化而非除罪化。此外，亦有必要引進醫療戒治之專業資源，以期改善毒癮者毒品戒治處遇之成效。亦即，同時運用刑罰與醫療手段抗制施用毒品之犯罪行為，國外的戒毒模式，稱此為「胡蘿蔔與棍棒」模式。</w:t>
      </w:r>
    </w:p>
    <w:p w14:paraId="5B76C0F5" w14:textId="77777777" w:rsidR="00953151" w:rsidRPr="002F3FE8" w:rsidRDefault="0039258A" w:rsidP="00D87D91">
      <w:r w:rsidRPr="002F3FE8">
        <w:t xml:space="preserve">　　</w:t>
      </w:r>
      <w:r w:rsidR="00203F72" w:rsidRPr="002F3FE8">
        <w:t>台灣宜同時運用刑罰與醫療手段抗制施用毒品之犯罪，雖然，刑事法令於抗制毒品犯罪方面，有相當大的成效，但不是根本之道，有必要輔以醫療手段，建立高品質之戒毒機構，延聘專門之醫療人員、心理師等，施以完善之治療，始能有效戒治毒品犯之心癮與身癮。目前，根據「毒品危害防制條例」</w:t>
      </w:r>
      <w:hyperlink r:id="rId1719" w:anchor="b20" w:history="1">
        <w:r w:rsidR="00203F72" w:rsidRPr="00ED5438">
          <w:rPr>
            <w:rStyle w:val="a5"/>
            <w:rFonts w:ascii="Times New Roman" w:eastAsia="新細明體" w:hAnsi="Times New Roman"/>
          </w:rPr>
          <w:t>第</w:t>
        </w:r>
        <w:r w:rsidR="00203F72" w:rsidRPr="00ED5438">
          <w:rPr>
            <w:rStyle w:val="a5"/>
            <w:rFonts w:ascii="Times New Roman" w:eastAsia="新細明體" w:hAnsi="Times New Roman"/>
          </w:rPr>
          <w:t>20</w:t>
        </w:r>
        <w:r w:rsidR="00203F72" w:rsidRPr="00ED5438">
          <w:rPr>
            <w:rStyle w:val="a5"/>
            <w:rFonts w:ascii="Times New Roman" w:eastAsia="新細明體" w:hAnsi="Times New Roman"/>
          </w:rPr>
          <w:t>條</w:t>
        </w:r>
      </w:hyperlink>
      <w:r w:rsidR="00203F72" w:rsidRPr="002F3FE8">
        <w:t>第</w:t>
      </w:r>
      <w:r w:rsidR="00203F72" w:rsidRPr="002F3FE8">
        <w:t>3</w:t>
      </w:r>
      <w:r w:rsidR="00203F72" w:rsidRPr="002F3FE8">
        <w:t>項的規定：「依前項規定為觀察、勒戒或強制戒治執行完畢釋放後，五年後再犯第十條之罪者，適用本條前二項之規定。」亦即，五年之後再犯者，才有機會接受觀察勒戒、強制戒治，反之，若是五年之內再犯者，則沒有上述機會接受觀察勒戒、強制戒治，而是直接接受徒刑之執行。</w:t>
      </w:r>
    </w:p>
    <w:p w14:paraId="75D56692" w14:textId="77777777" w:rsidR="00953151" w:rsidRPr="002F3FE8" w:rsidRDefault="0039258A" w:rsidP="00D87D91">
      <w:r w:rsidRPr="002F3FE8">
        <w:t xml:space="preserve">　　</w:t>
      </w:r>
      <w:r w:rsidR="00203F72" w:rsidRPr="002F3FE8">
        <w:t>再者，依據「毒品危害防制條例」</w:t>
      </w:r>
      <w:hyperlink r:id="rId1720" w:anchor="b23" w:history="1">
        <w:r w:rsidR="00203F72" w:rsidRPr="00B612C2">
          <w:rPr>
            <w:rStyle w:val="a5"/>
            <w:rFonts w:ascii="Times New Roman" w:eastAsia="新細明體" w:hAnsi="Times New Roman"/>
          </w:rPr>
          <w:t>第</w:t>
        </w:r>
        <w:r w:rsidR="00203F72" w:rsidRPr="00B612C2">
          <w:rPr>
            <w:rStyle w:val="a5"/>
            <w:rFonts w:ascii="Times New Roman" w:eastAsia="新細明體" w:hAnsi="Times New Roman"/>
          </w:rPr>
          <w:t>23</w:t>
        </w:r>
        <w:r w:rsidR="00203F72" w:rsidRPr="00B612C2">
          <w:rPr>
            <w:rStyle w:val="a5"/>
            <w:rFonts w:ascii="Times New Roman" w:eastAsia="新細明體" w:hAnsi="Times New Roman"/>
          </w:rPr>
          <w:t>條</w:t>
        </w:r>
      </w:hyperlink>
      <w:r w:rsidR="00203F72" w:rsidRPr="002F3FE8">
        <w:t>（強制戒治期滿之裁定）第</w:t>
      </w:r>
      <w:r w:rsidR="00203F72" w:rsidRPr="002F3FE8">
        <w:t>2</w:t>
      </w:r>
      <w:r w:rsidR="00203F72" w:rsidRPr="002F3FE8">
        <w:t>項之規定，「觀察、勒戒或強制戒治執行完畢釋放後，五年內再犯第十條之罪者，檢察官或少年法院（地方法院少年法庭）應依法追訴或裁定交付審理。」亦即，五年內再犯施用毒品之罪者，檢察官或少年法院（地方法院少年法庭）應依法追訴或裁定交付審理。似乎，亦沒有上述機會接受觀察勒戒、強制戒治</w:t>
      </w:r>
      <w:r w:rsidR="00203F72" w:rsidRPr="002F3FE8">
        <w:footnoteReference w:id="421"/>
      </w:r>
      <w:r w:rsidR="00203F72" w:rsidRPr="002F3FE8">
        <w:t>。</w:t>
      </w:r>
    </w:p>
    <w:p w14:paraId="16CCDAA4" w14:textId="77777777" w:rsidR="00953151" w:rsidRPr="002F3FE8" w:rsidRDefault="0039258A" w:rsidP="00D87D91">
      <w:r w:rsidRPr="002F3FE8">
        <w:t xml:space="preserve">　　</w:t>
      </w:r>
      <w:r w:rsidR="00203F72" w:rsidRPr="002F3FE8">
        <w:t>在上述接受徒刑之執行之部分，「毒品危害防制條例</w:t>
      </w:r>
      <w:r w:rsidR="00ED5438" w:rsidRPr="002F3FE8">
        <w:t>」</w:t>
      </w:r>
      <w:hyperlink r:id="rId1721" w:anchor="b20" w:history="1">
        <w:r w:rsidR="00ED5438" w:rsidRPr="00ED5438">
          <w:rPr>
            <w:rStyle w:val="a5"/>
            <w:rFonts w:ascii="Times New Roman" w:eastAsia="新細明體" w:hAnsi="Times New Roman"/>
          </w:rPr>
          <w:t>第</w:t>
        </w:r>
        <w:r w:rsidR="00ED5438" w:rsidRPr="00ED5438">
          <w:rPr>
            <w:rStyle w:val="a5"/>
            <w:rFonts w:ascii="Times New Roman" w:eastAsia="新細明體" w:hAnsi="Times New Roman"/>
          </w:rPr>
          <w:t>20</w:t>
        </w:r>
        <w:r w:rsidR="00ED5438" w:rsidRPr="00ED5438">
          <w:rPr>
            <w:rStyle w:val="a5"/>
            <w:rFonts w:ascii="Times New Roman" w:eastAsia="新細明體" w:hAnsi="Times New Roman"/>
          </w:rPr>
          <w:t>條</w:t>
        </w:r>
      </w:hyperlink>
      <w:r w:rsidR="00203F72" w:rsidRPr="002F3FE8">
        <w:t>第</w:t>
      </w:r>
      <w:r w:rsidR="00203F72" w:rsidRPr="002F3FE8">
        <w:t>3</w:t>
      </w:r>
      <w:r w:rsidR="00203F72" w:rsidRPr="002F3FE8">
        <w:t>項則不賦予五年之內再犯者毒品戒治之機會</w:t>
      </w:r>
      <w:r w:rsidR="00203F72" w:rsidRPr="002F3FE8">
        <w:footnoteReference w:id="422"/>
      </w:r>
      <w:r w:rsidR="00203F72" w:rsidRPr="002F3FE8">
        <w:t>。本書認為，「毒品危害防制條例</w:t>
      </w:r>
      <w:r w:rsidR="00ED5438" w:rsidRPr="002F3FE8">
        <w:t>」</w:t>
      </w:r>
      <w:hyperlink r:id="rId1722" w:anchor="b20" w:history="1">
        <w:r w:rsidR="00ED5438" w:rsidRPr="00ED5438">
          <w:rPr>
            <w:rStyle w:val="a5"/>
            <w:rFonts w:ascii="Times New Roman" w:eastAsia="新細明體" w:hAnsi="Times New Roman"/>
          </w:rPr>
          <w:t>第</w:t>
        </w:r>
        <w:r w:rsidR="00ED5438" w:rsidRPr="00ED5438">
          <w:rPr>
            <w:rStyle w:val="a5"/>
            <w:rFonts w:ascii="Times New Roman" w:eastAsia="新細明體" w:hAnsi="Times New Roman"/>
          </w:rPr>
          <w:t>20</w:t>
        </w:r>
        <w:r w:rsidR="00ED5438" w:rsidRPr="00ED5438">
          <w:rPr>
            <w:rStyle w:val="a5"/>
            <w:rFonts w:ascii="Times New Roman" w:eastAsia="新細明體" w:hAnsi="Times New Roman"/>
          </w:rPr>
          <w:t>條</w:t>
        </w:r>
      </w:hyperlink>
      <w:r w:rsidR="00203F72" w:rsidRPr="002F3FE8">
        <w:t>第</w:t>
      </w:r>
      <w:r w:rsidR="00203F72" w:rsidRPr="002F3FE8">
        <w:t>3</w:t>
      </w:r>
      <w:r w:rsidR="00203F72" w:rsidRPr="002F3FE8">
        <w:t>項有關五年再犯的規定，似乎是不符合利用醫療手段抗制毒品犯罪之原則，似宜加以修正。同時，不論毒品犯是五年內或五年之後再犯，亦不論其再犯之次數為何？我國政府似應以病患之角度看待這些毒品癮者，給予適當之醫療。</w:t>
      </w:r>
    </w:p>
    <w:p w14:paraId="4BEC72C2" w14:textId="77777777" w:rsidR="00953151" w:rsidRPr="002F3FE8" w:rsidRDefault="0039258A" w:rsidP="00D87D91">
      <w:r w:rsidRPr="002F3FE8">
        <w:t xml:space="preserve">　　</w:t>
      </w:r>
      <w:r w:rsidR="00203F72" w:rsidRPr="002F3FE8">
        <w:t>綜上，本書認為，毒品犯之身分，同時是具有兩種身分，一種是犯人，一種是相當可憐之病人，這些毒品犯之生理及心理業已生病，有必要接受妥善之醫療及照顧，而照顧這些毒品犯似乎是政府之職責及義務。政府及國家是由人民組成，而人民是國家之主人，而此人民包括毒品犯，當國家或政府之主人生病之時，接受完善之治療似乎是上述這些主人應該享有之權利。</w:t>
      </w:r>
    </w:p>
    <w:p w14:paraId="48FB6A9F" w14:textId="77777777" w:rsidR="00953151" w:rsidRPr="002F3FE8" w:rsidRDefault="0039258A" w:rsidP="00D87D91">
      <w:r w:rsidRPr="002F3FE8">
        <w:t xml:space="preserve">　　</w:t>
      </w:r>
      <w:r w:rsidR="00203F72" w:rsidRPr="002F3FE8">
        <w:t>我國目前現階段，對於五年內再犯者，放棄給予適切醫療之規定，似宜加以修正之。當毒品犯再次施用毒品時，表示他們又生病了，生病之人，當然是有權利接受治療，此宛如一位常常感冒之人，當其再次感冒之時，接受專業醫護人員細心的照顧，是感冒之人就醫之權利。故本書建議，對於施用毒品之犯人，在不放棄刑罰之大原則之下，宜施加妥適之醫療照顧，讓其有機會能接受到專業醫護人員細心的照顧，本書認為，這是他們就醫之權利，這種權利，我們似應加以尊重及提供。故在抗制毒品犯罪方面，筆者建議，我國之</w:t>
      </w:r>
      <w:r w:rsidR="00ED5438" w:rsidRPr="003B41D4">
        <w:t>「</w:t>
      </w:r>
      <w:hyperlink r:id="rId1723" w:history="1">
        <w:r w:rsidR="00ED5438" w:rsidRPr="00ED5438">
          <w:rPr>
            <w:rStyle w:val="a5"/>
            <w:rFonts w:ascii="Times New Roman" w:eastAsia="新細明體" w:hAnsi="Times New Roman"/>
          </w:rPr>
          <w:t>毒品危害防制條例</w:t>
        </w:r>
      </w:hyperlink>
      <w:r w:rsidR="00203F72" w:rsidRPr="002F3FE8">
        <w:t>」在制度之設計上，宜同時存在刑罰及醫療照顧，這兩個機制，是不會衝突的，是可以同時並存的。</w:t>
      </w:r>
    </w:p>
    <w:p w14:paraId="7036300C" w14:textId="77777777" w:rsidR="00203F72" w:rsidRPr="002F3FE8" w:rsidRDefault="0039258A" w:rsidP="00D87D91">
      <w:r w:rsidRPr="002F3FE8">
        <w:t xml:space="preserve">　　</w:t>
      </w:r>
      <w:r w:rsidR="00203F72" w:rsidRPr="002F3FE8">
        <w:t>在毒品戒治實務之運作上，為瞭解決上述之困境，遂利用緩起訴處分被告參與毒品減害替代療法之機制。以臺灣南投地方法院檢察署為例，該署制定「臺灣南投地方法院檢察署辦理緩起訴處分被告參與毒品減害替代療法應行注意事項具結書」，令緩起訴處分被告填具，並自願接受毒品減害替代療法。依據「臺灣南投地方法院檢察署辦理緩起訴處分被告參與毒品減害替代療法應行注意事項具結書」第</w:t>
      </w:r>
      <w:r w:rsidR="00203F72" w:rsidRPr="002F3FE8">
        <w:t>1</w:t>
      </w:r>
      <w:r w:rsidR="00203F72" w:rsidRPr="002F3FE8">
        <w:t>點之規定，實施替代療法之對象如下：</w:t>
      </w:r>
    </w:p>
    <w:p w14:paraId="69DE37D7" w14:textId="77777777" w:rsidR="00203F72" w:rsidRPr="002F3FE8" w:rsidRDefault="0039258A" w:rsidP="00D87D91">
      <w:r w:rsidRPr="002F3FE8">
        <w:t xml:space="preserve">　　</w:t>
      </w:r>
      <w:r w:rsidR="00203F72" w:rsidRPr="002F3FE8">
        <w:t>1.</w:t>
      </w:r>
      <w:r w:rsidR="00203F72" w:rsidRPr="002F3FE8">
        <w:t>曾犯施用毒品罪，於五年內再犯施用一級毒品海洛因，由指定之醫療院所評估符合替代療法，且經檢察官為緩起訴處分確定者</w:t>
      </w:r>
      <w:r w:rsidR="00203F72" w:rsidRPr="002F3FE8">
        <w:t>(</w:t>
      </w:r>
      <w:r w:rsidR="00203F72" w:rsidRPr="002F3FE8">
        <w:t>緩起訴期間為兩年</w:t>
      </w:r>
      <w:r w:rsidR="00203F72" w:rsidRPr="002F3FE8">
        <w:t>)</w:t>
      </w:r>
      <w:r w:rsidR="00203F72" w:rsidRPr="002F3FE8">
        <w:t>。</w:t>
      </w:r>
    </w:p>
    <w:p w14:paraId="0D111A23" w14:textId="77777777" w:rsidR="00953151" w:rsidRPr="002F3FE8" w:rsidRDefault="0039258A" w:rsidP="00D87D91">
      <w:r w:rsidRPr="002F3FE8">
        <w:t xml:space="preserve">　　</w:t>
      </w:r>
      <w:r w:rsidR="00203F72" w:rsidRPr="002F3FE8">
        <w:t>2.</w:t>
      </w:r>
      <w:r w:rsidR="00203F72" w:rsidRPr="002F3FE8">
        <w:t>假釋中再犯施用一級毒品海洛因之受保護管束人，觀護人簽請檢察官辦理，檢察官送請指定之醫療院所評估後符合，且為緩起訴處分確定者。</w:t>
      </w:r>
    </w:p>
    <w:p w14:paraId="64245AD3" w14:textId="77777777" w:rsidR="00203F72" w:rsidRPr="002F3FE8" w:rsidRDefault="0039258A" w:rsidP="00D87D91">
      <w:r w:rsidRPr="002F3FE8">
        <w:t xml:space="preserve">　　</w:t>
      </w:r>
      <w:r w:rsidR="00203F72" w:rsidRPr="002F3FE8">
        <w:t>另依上述「臺灣南投地方法院檢察署辦理緩起訴處分被告參與毒品減害替代療法應行注意事項具結書」第</w:t>
      </w:r>
      <w:r w:rsidR="00203F72" w:rsidRPr="002F3FE8">
        <w:t>3</w:t>
      </w:r>
      <w:r w:rsidR="00203F72" w:rsidRPr="002F3FE8">
        <w:t>點之規定，緩起訴期間，被告應遵守以下之事項：</w:t>
      </w:r>
    </w:p>
    <w:p w14:paraId="61BD2DA3" w14:textId="77777777" w:rsidR="00203F72" w:rsidRPr="002F3FE8" w:rsidRDefault="00203F72" w:rsidP="00D87D91">
      <w:r w:rsidRPr="002F3FE8">
        <w:t>1.</w:t>
      </w:r>
      <w:r w:rsidRPr="002F3FE8">
        <w:t>依醫療院所指定之期間內，按時服用美沙酮或其他替代藥品，至無繼續服用之必要為止，期間最長為一年。</w:t>
      </w:r>
    </w:p>
    <w:p w14:paraId="318CB004" w14:textId="77777777" w:rsidR="00203F72" w:rsidRPr="002F3FE8" w:rsidRDefault="0039258A" w:rsidP="00D87D91">
      <w:r w:rsidRPr="002F3FE8">
        <w:t xml:space="preserve">　　</w:t>
      </w:r>
      <w:r w:rsidR="00203F72" w:rsidRPr="002F3FE8">
        <w:t>2.</w:t>
      </w:r>
      <w:r w:rsidR="00203F72" w:rsidRPr="002F3FE8">
        <w:t>依醫療院所指定之時間，接受各項檢驗及治療。</w:t>
      </w:r>
    </w:p>
    <w:p w14:paraId="7D494F35" w14:textId="77777777" w:rsidR="00203F72" w:rsidRPr="002F3FE8" w:rsidRDefault="0039258A" w:rsidP="00D87D91">
      <w:r w:rsidRPr="002F3FE8">
        <w:t xml:space="preserve">　　</w:t>
      </w:r>
      <w:r w:rsidR="00203F72" w:rsidRPr="002F3FE8">
        <w:t>3.</w:t>
      </w:r>
      <w:r w:rsidR="00203F72" w:rsidRPr="002F3FE8">
        <w:t>依本署觀護人指定之日期，到署報到及接受尿液採驗。</w:t>
      </w:r>
    </w:p>
    <w:p w14:paraId="0070A895" w14:textId="77777777" w:rsidR="00203F72" w:rsidRPr="002F3FE8" w:rsidRDefault="0039258A" w:rsidP="00D87D91">
      <w:r w:rsidRPr="002F3FE8">
        <w:t xml:space="preserve">　　</w:t>
      </w:r>
      <w:r w:rsidR="00203F72" w:rsidRPr="002F3FE8">
        <w:t>4</w:t>
      </w:r>
      <w:r w:rsidR="00203F72" w:rsidRPr="002F3FE8">
        <w:t>、緩起訴處分之被告，具有下列情形之一者，即為違反規定情節重大：</w:t>
      </w:r>
    </w:p>
    <w:p w14:paraId="7D000736" w14:textId="77777777" w:rsidR="00203F72" w:rsidRPr="002F3FE8" w:rsidRDefault="0039258A" w:rsidP="00D87D91">
      <w:r w:rsidRPr="002F3FE8">
        <w:t xml:space="preserve">　　</w:t>
      </w:r>
      <w:r w:rsidR="00203F72" w:rsidRPr="002F3FE8">
        <w:t>（</w:t>
      </w:r>
      <w:r w:rsidR="00203F72" w:rsidRPr="002F3FE8">
        <w:t>1</w:t>
      </w:r>
      <w:r w:rsidR="00203F72" w:rsidRPr="002F3FE8">
        <w:t>）治療期間連續七天以上無故未到指定醫療機構服藥者。</w:t>
      </w:r>
    </w:p>
    <w:p w14:paraId="05218D78" w14:textId="77777777" w:rsidR="00203F72" w:rsidRPr="002F3FE8" w:rsidRDefault="0039258A" w:rsidP="00D87D91">
      <w:r w:rsidRPr="002F3FE8">
        <w:t xml:space="preserve">　　</w:t>
      </w:r>
      <w:r w:rsidR="00203F72" w:rsidRPr="002F3FE8">
        <w:t>（</w:t>
      </w:r>
      <w:r w:rsidR="00203F72" w:rsidRPr="002F3FE8">
        <w:t>2</w:t>
      </w:r>
      <w:r w:rsidR="00203F72" w:rsidRPr="002F3FE8">
        <w:t>）治療期間三次以上無故未到指定醫療機構接受治療處遇、各項檢驗及心理治療者。</w:t>
      </w:r>
    </w:p>
    <w:p w14:paraId="733CF45B" w14:textId="77777777" w:rsidR="00203F72" w:rsidRPr="002F3FE8" w:rsidRDefault="0039258A" w:rsidP="00D87D91">
      <w:r w:rsidRPr="002F3FE8">
        <w:t xml:space="preserve">　　</w:t>
      </w:r>
      <w:r w:rsidR="00203F72" w:rsidRPr="002F3FE8">
        <w:t>（</w:t>
      </w:r>
      <w:r w:rsidR="00203F72" w:rsidRPr="002F3FE8">
        <w:t>3</w:t>
      </w:r>
      <w:r w:rsidR="00203F72" w:rsidRPr="002F3FE8">
        <w:t>）對醫療機構或治療人員為犯罪或騷擾之行為者。</w:t>
      </w:r>
    </w:p>
    <w:p w14:paraId="04773701" w14:textId="77777777" w:rsidR="00203F72" w:rsidRPr="002F3FE8" w:rsidRDefault="0039258A" w:rsidP="00D87D91">
      <w:r w:rsidRPr="002F3FE8">
        <w:t xml:space="preserve">　　</w:t>
      </w:r>
      <w:r w:rsidR="00203F72" w:rsidRPr="002F3FE8">
        <w:t>（</w:t>
      </w:r>
      <w:r w:rsidR="00203F72" w:rsidRPr="002F3FE8">
        <w:t>4</w:t>
      </w:r>
      <w:r w:rsidR="00203F72" w:rsidRPr="002F3FE8">
        <w:t>）治療期間經本署、司法警察機關採尿送驗呈嗎啡類、甲基安非他命類或安非他命類等毒物陽性反應者。</w:t>
      </w:r>
    </w:p>
    <w:p w14:paraId="6C85E339" w14:textId="77777777" w:rsidR="00953151" w:rsidRPr="002F3FE8" w:rsidRDefault="0039258A" w:rsidP="00D87D91">
      <w:r w:rsidRPr="002F3FE8">
        <w:t xml:space="preserve">　　</w:t>
      </w:r>
      <w:r w:rsidR="00203F72" w:rsidRPr="002F3FE8">
        <w:t>（</w:t>
      </w:r>
      <w:r w:rsidR="00203F72" w:rsidRPr="002F3FE8">
        <w:t>5</w:t>
      </w:r>
      <w:r w:rsidR="00203F72" w:rsidRPr="002F3FE8">
        <w:t>）其他違反保護管束規定或緩起訴應遵守或履行之事項者。</w:t>
      </w:r>
    </w:p>
    <w:p w14:paraId="676AF4F2" w14:textId="77777777" w:rsidR="00953151" w:rsidRPr="002F3FE8" w:rsidRDefault="0039258A" w:rsidP="00D87D91">
      <w:r w:rsidRPr="002F3FE8">
        <w:t xml:space="preserve">　　</w:t>
      </w:r>
      <w:r w:rsidR="00203F72" w:rsidRPr="002F3FE8">
        <w:t>在先後次序方面，醫療照顧宜先，刑罰宜後。我國目前之毒品戒治法制，利用五年之時間切割，以決定是否對毒品犯施以醫療照顧，此種以時間作切割之機制，在人道關懷與健康權保障方面，似乎是不夠。本書認為，對於五年內再犯者，放棄給予適切醫療之規定，似乎是已經侵犯毒品犯接受醫療之權利，恐有必要加以改善。雖然，實務上利用緩起訴處分被告參與毒品減害替代療法之機制，但假若被告因違反保護管束規定或緩起訴應遵守或履行之事項，而被檢察官撤銷緩起訴處分，仍有可能被剝削醫療照顧之機會。另外之問題，乃毒品犯所接受之毒品戒治醫療服務品質，不宜低劣，宜維持國內一般醫療照護之水準，以保障其健康權。</w:t>
      </w:r>
    </w:p>
    <w:p w14:paraId="0D43CFD8" w14:textId="77777777" w:rsidR="00203F72" w:rsidRPr="002F3FE8" w:rsidRDefault="0039258A" w:rsidP="00D87D91">
      <w:r w:rsidRPr="002F3FE8">
        <w:t xml:space="preserve">　　</w:t>
      </w:r>
      <w:r w:rsidR="00203F72" w:rsidRPr="002F3FE8">
        <w:t>(</w:t>
      </w:r>
      <w:r w:rsidR="00203F72" w:rsidRPr="002F3FE8">
        <w:t>二</w:t>
      </w:r>
      <w:r w:rsidR="00203F72" w:rsidRPr="002F3FE8">
        <w:t>)</w:t>
      </w:r>
      <w:r w:rsidR="00203F72" w:rsidRPr="002F3FE8">
        <w:t>政府公權力針對行為人之毒品成癮性部分，宜提早加以行政介入及處置，強制行為人接受毒品成癮性之戒治</w:t>
      </w:r>
    </w:p>
    <w:p w14:paraId="7D894278" w14:textId="77777777" w:rsidR="00953151" w:rsidRPr="002F3FE8" w:rsidRDefault="0039258A" w:rsidP="00D87D91">
      <w:r w:rsidRPr="002F3FE8">
        <w:t xml:space="preserve">　　</w:t>
      </w:r>
      <w:r w:rsidR="00203F72" w:rsidRPr="002F3FE8">
        <w:t>我國涉及反毒之政府公權力，似可以向前伸展及延伸至毒品成癮性部分。當發現行為人有毒品成癮性，但未發現實際之施用毒品證據之時，針對此一「毒品成癮性」，似可修正</w:t>
      </w:r>
      <w:hyperlink r:id="rId1724" w:history="1">
        <w:r w:rsidR="00BE652C" w:rsidRPr="00ED5438">
          <w:rPr>
            <w:rStyle w:val="a5"/>
            <w:rFonts w:ascii="Times New Roman" w:eastAsia="新細明體" w:hAnsi="Times New Roman"/>
          </w:rPr>
          <w:t>毒品危害防制條例</w:t>
        </w:r>
      </w:hyperlink>
      <w:r w:rsidR="00203F72" w:rsidRPr="002F3FE8">
        <w:t>，以利該條例能授權政府行政部門</w:t>
      </w:r>
      <w:r w:rsidR="00203F72" w:rsidRPr="002F3FE8">
        <w:t>(</w:t>
      </w:r>
      <w:r w:rsidR="00203F72" w:rsidRPr="002F3FE8">
        <w:t>如各縣市政府及衛生署所屬的署立醫院</w:t>
      </w:r>
      <w:r w:rsidR="00203F72" w:rsidRPr="002F3FE8">
        <w:t>)</w:t>
      </w:r>
      <w:r w:rsidR="00203F72" w:rsidRPr="002F3FE8">
        <w:t>及早介入，以強制手段，促使毒品成癮者進入衛生署所屬的署立醫院接受毒品成癮性之戒治。</w:t>
      </w:r>
    </w:p>
    <w:p w14:paraId="15C7EDDB" w14:textId="77777777" w:rsidR="00953151" w:rsidRPr="002F3FE8" w:rsidRDefault="0039258A" w:rsidP="00D87D91">
      <w:r w:rsidRPr="002F3FE8">
        <w:t xml:space="preserve">　　</w:t>
      </w:r>
      <w:r w:rsidR="00203F72" w:rsidRPr="002F3FE8">
        <w:t>(</w:t>
      </w:r>
      <w:r w:rsidR="00203F72" w:rsidRPr="002F3FE8">
        <w:t>三</w:t>
      </w:r>
      <w:r w:rsidR="00203F72" w:rsidRPr="002F3FE8">
        <w:t>)</w:t>
      </w:r>
      <w:r w:rsidR="00203F72" w:rsidRPr="002F3FE8">
        <w:t>台灣可持續推展毒品病患「緩起訴替代療法」」計畫</w:t>
      </w:r>
    </w:p>
    <w:p w14:paraId="31FCB291" w14:textId="77777777" w:rsidR="00953151" w:rsidRPr="002F3FE8" w:rsidRDefault="0039258A" w:rsidP="00D87D91">
      <w:r w:rsidRPr="002F3FE8">
        <w:t xml:space="preserve">　　</w:t>
      </w:r>
      <w:r w:rsidR="00203F72" w:rsidRPr="002F3FE8">
        <w:t>目前台灣依據毒品危害防制條例第</w:t>
      </w:r>
      <w:hyperlink r:id="rId1725" w:anchor="b24" w:history="1">
        <w:r w:rsidR="00203F72" w:rsidRPr="00BE652C">
          <w:rPr>
            <w:rStyle w:val="a5"/>
            <w:rFonts w:ascii="Times New Roman" w:eastAsia="新細明體" w:hAnsi="Times New Roman"/>
          </w:rPr>
          <w:t>二十四</w:t>
        </w:r>
      </w:hyperlink>
      <w:r w:rsidR="00203F72" w:rsidRPr="002F3FE8">
        <w:t>條第三項及毒品戒癮治療實施辦法及完成治療認定標準的相關規定，正積極推展之「緩起訴毒品病患減害替代療法」計畫，根據以往之實際經驗，上開計畫以及國際社會實施之結果</w:t>
      </w:r>
      <w:r w:rsidR="00203F72" w:rsidRPr="002F3FE8">
        <w:footnoteReference w:id="423"/>
      </w:r>
      <w:r w:rsidR="00203F72" w:rsidRPr="002F3FE8">
        <w:t>，不論是在醫療或降低犯罪率方面，均具有非常正向之成效，故台灣似可考量持續地加以推展之。</w:t>
      </w:r>
    </w:p>
    <w:p w14:paraId="465B2D82" w14:textId="77777777" w:rsidR="00953151" w:rsidRPr="002F3FE8" w:rsidRDefault="0039258A" w:rsidP="00D87D91">
      <w:r w:rsidRPr="002F3FE8">
        <w:t xml:space="preserve">　　</w:t>
      </w:r>
      <w:r w:rsidR="00203F72" w:rsidRPr="002F3FE8">
        <w:t>(</w:t>
      </w:r>
      <w:r w:rsidR="00203F72" w:rsidRPr="002F3FE8">
        <w:t>四</w:t>
      </w:r>
      <w:r w:rsidR="00203F72" w:rsidRPr="002F3FE8">
        <w:t>)</w:t>
      </w:r>
      <w:r w:rsidR="00203F72" w:rsidRPr="002F3FE8">
        <w:t>宜大幅提高對於施用第</w:t>
      </w:r>
      <w:r w:rsidR="00203F72" w:rsidRPr="002F3FE8">
        <w:t>3</w:t>
      </w:r>
      <w:r w:rsidR="00203F72" w:rsidRPr="002F3FE8">
        <w:t>級及第</w:t>
      </w:r>
      <w:r w:rsidR="00203F72" w:rsidRPr="002F3FE8">
        <w:t>4</w:t>
      </w:r>
      <w:r w:rsidR="00203F72" w:rsidRPr="002F3FE8">
        <w:t>級毒品之行政罰鍰額度，以及增強管理力道</w:t>
      </w:r>
    </w:p>
    <w:p w14:paraId="32ED9CFC" w14:textId="77777777" w:rsidR="00953151" w:rsidRPr="002F3FE8" w:rsidRDefault="0039258A" w:rsidP="00D87D91">
      <w:r w:rsidRPr="002F3FE8">
        <w:t xml:space="preserve">　　</w:t>
      </w:r>
      <w:r w:rsidR="00203F72" w:rsidRPr="002F3FE8">
        <w:t>假若因考量司法資源，無法將</w:t>
      </w:r>
      <w:r w:rsidR="00203F72" w:rsidRPr="002F3FE8">
        <w:t>FM2</w:t>
      </w:r>
      <w:r w:rsidR="00203F72" w:rsidRPr="002F3FE8">
        <w:t>及</w:t>
      </w:r>
      <w:r w:rsidR="00203F72" w:rsidRPr="002F3FE8">
        <w:t>Ketamine</w:t>
      </w:r>
      <w:r w:rsidR="00203F72" w:rsidRPr="002F3FE8">
        <w:t>之等級提升至第</w:t>
      </w:r>
      <w:r w:rsidR="00203F72" w:rsidRPr="002F3FE8">
        <w:t>2</w:t>
      </w:r>
      <w:r w:rsidR="00203F72" w:rsidRPr="002F3FE8">
        <w:t>級，則另外一個選項，係提升行政罰之額度。施用第</w:t>
      </w:r>
      <w:r w:rsidR="00203F72" w:rsidRPr="002F3FE8">
        <w:t>3</w:t>
      </w:r>
      <w:r w:rsidR="00203F72" w:rsidRPr="002F3FE8">
        <w:t>級及第</w:t>
      </w:r>
      <w:r w:rsidR="00203F72" w:rsidRPr="002F3FE8">
        <w:t>4</w:t>
      </w:r>
      <w:r w:rsidR="00203F72" w:rsidRPr="002F3FE8">
        <w:t>級毒品之行政罰鍰的額度，目前係為新臺幣一萬元以上五萬元以下之罰鍰，是否過輕，容有討論之空間，本書認為宜大幅提高對於施用第</w:t>
      </w:r>
      <w:r w:rsidR="00203F72" w:rsidRPr="002F3FE8">
        <w:t>3</w:t>
      </w:r>
      <w:r w:rsidR="00203F72" w:rsidRPr="002F3FE8">
        <w:t>級及第</w:t>
      </w:r>
      <w:r w:rsidR="00203F72" w:rsidRPr="002F3FE8">
        <w:t>4</w:t>
      </w:r>
      <w:r w:rsidR="00203F72" w:rsidRPr="002F3FE8">
        <w:t>級毒品之行政罰鍰，俾利產生實質性之嚇阻效果。就目前台灣國民所得逐年升高之趨勢下，新臺幣一萬元以上五萬元以下之罰鍰，恐難產生有效之嚇阻性。此外，宜增加對於青少年之監護人，必須接受一定時數之反毒教育宣導。藉由此項之措施，以強化青少年監護人能對於毒品之危害性，有更深一層之認知與瞭解。</w:t>
      </w:r>
    </w:p>
    <w:p w14:paraId="60AC3155" w14:textId="77777777" w:rsidR="00953151" w:rsidRPr="002F3FE8" w:rsidRDefault="0039258A" w:rsidP="00D87D91">
      <w:r w:rsidRPr="002F3FE8">
        <w:t xml:space="preserve">　　</w:t>
      </w:r>
      <w:r w:rsidR="00203F72" w:rsidRPr="002F3FE8">
        <w:t>(</w:t>
      </w:r>
      <w:r w:rsidR="00203F72" w:rsidRPr="002F3FE8">
        <w:t>五</w:t>
      </w:r>
      <w:r w:rsidR="00203F72" w:rsidRPr="002F3FE8">
        <w:t>)</w:t>
      </w:r>
      <w:r w:rsidR="00203F72" w:rsidRPr="002F3FE8">
        <w:t>除刑不除罪之毒品刑事政策係屬於頗為良善之反毒戰略</w:t>
      </w:r>
    </w:p>
    <w:p w14:paraId="48ED7626" w14:textId="77777777" w:rsidR="00953151" w:rsidRPr="002F3FE8" w:rsidRDefault="0039258A" w:rsidP="00D87D91">
      <w:r w:rsidRPr="002F3FE8">
        <w:t xml:space="preserve">　　</w:t>
      </w:r>
      <w:r w:rsidR="00203F72" w:rsidRPr="002F3FE8">
        <w:t>我國反毒戰爭中所運用之除刑不除罪之毒品刑事政策，係一良善之反毒戰略，宜持續加以沿用之。</w:t>
      </w:r>
    </w:p>
    <w:p w14:paraId="58DA7BB3" w14:textId="77777777" w:rsidR="00953151" w:rsidRPr="002F3FE8" w:rsidRDefault="0039258A" w:rsidP="00D87D91">
      <w:r w:rsidRPr="002F3FE8">
        <w:t xml:space="preserve">　　</w:t>
      </w:r>
      <w:r w:rsidR="00203F72" w:rsidRPr="002F3FE8">
        <w:t>(</w:t>
      </w:r>
      <w:r w:rsidR="00203F72" w:rsidRPr="002F3FE8">
        <w:t>六</w:t>
      </w:r>
      <w:r w:rsidR="00203F72" w:rsidRPr="002F3FE8">
        <w:t>)</w:t>
      </w:r>
      <w:r w:rsidR="00203F72" w:rsidRPr="002F3FE8">
        <w:t>台灣是否引進及實施毒品注射室，尚待進一步科學化評估</w:t>
      </w:r>
    </w:p>
    <w:p w14:paraId="50C87172" w14:textId="77777777" w:rsidR="00953151" w:rsidRPr="002F3FE8" w:rsidRDefault="0039258A" w:rsidP="00D87D91">
      <w:r w:rsidRPr="002F3FE8">
        <w:t xml:space="preserve">　　</w:t>
      </w:r>
      <w:r w:rsidR="00203F72" w:rsidRPr="002F3FE8">
        <w:t>台灣是否有必要引進及實施毒品注射室，因若干實施毒品注射室之地區，其犯罪率不必然會下降；再者，實施毒品注射室違反</w:t>
      </w:r>
      <w:r w:rsidR="00203F72" w:rsidRPr="002F3FE8">
        <w:t>1988</w:t>
      </w:r>
      <w:r w:rsidR="00203F72" w:rsidRPr="002F3FE8">
        <w:t>年國際反毒公約</w:t>
      </w:r>
      <w:r w:rsidR="00D92F56" w:rsidRPr="002F3FE8">
        <w:t>〜</w:t>
      </w:r>
      <w:r w:rsidR="00203F72" w:rsidRPr="002F3FE8">
        <w:t>《聯合國禁止非法販運麻醉藥品和精神藥品公約》之規定，是一個違法之行為，故似有必要再進一步詳加探討其利害得失，再加以決定為妥。</w:t>
      </w:r>
    </w:p>
    <w:p w14:paraId="34B50013" w14:textId="77777777" w:rsidR="003B41D4" w:rsidRDefault="003B41D4" w:rsidP="00B612C2">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1ED0B4B1" w14:textId="77777777" w:rsidR="00203F72" w:rsidRPr="00A53581" w:rsidRDefault="00203F72" w:rsidP="00D87D91"/>
    <w:p w14:paraId="47B0B155" w14:textId="77777777" w:rsidR="00203F72" w:rsidRPr="00637F9F" w:rsidRDefault="00203F72" w:rsidP="00767F37">
      <w:pPr>
        <w:pStyle w:val="2"/>
      </w:pPr>
      <w:bookmarkStart w:id="76" w:name="_第四章_論外國人工作權及相關權利之保障---以外籍勞工為中心"/>
      <w:bookmarkEnd w:id="76"/>
      <w:r w:rsidRPr="00637F9F">
        <w:t>第四章</w:t>
      </w:r>
      <w:r w:rsidRPr="00637F9F">
        <w:t xml:space="preserve"> </w:t>
      </w:r>
      <w:r w:rsidRPr="00637F9F">
        <w:t>論外國人工作權及相關權利之保障</w:t>
      </w:r>
      <w:r w:rsidR="00D92F56">
        <w:t>〜</w:t>
      </w:r>
      <w:r w:rsidRPr="00637F9F">
        <w:t>以外籍勞工為中心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14:paraId="23E5542C" w14:textId="77777777" w:rsidTr="00203F72">
        <w:tc>
          <w:tcPr>
            <w:tcW w:w="8362" w:type="dxa"/>
            <w:shd w:val="clear" w:color="auto" w:fill="auto"/>
          </w:tcPr>
          <w:p w14:paraId="608FEB36" w14:textId="77777777" w:rsidR="00203F72" w:rsidRPr="00ED5438" w:rsidRDefault="00203F72" w:rsidP="00D87D91">
            <w:pPr>
              <w:rPr>
                <w:b/>
              </w:rPr>
            </w:pPr>
            <w:r w:rsidRPr="00ED5438">
              <w:rPr>
                <w:b/>
              </w:rPr>
              <w:t>目次</w:t>
            </w:r>
          </w:p>
          <w:p w14:paraId="0C3F4E96" w14:textId="77777777" w:rsidR="00203F72" w:rsidRPr="003B41D4" w:rsidRDefault="0039258A" w:rsidP="00D87D91">
            <w:r w:rsidRPr="003B41D4">
              <w:t xml:space="preserve">　　</w:t>
            </w:r>
            <w:r w:rsidR="00203F72" w:rsidRPr="003B41D4">
              <w:t>壹、前言</w:t>
            </w:r>
          </w:p>
          <w:p w14:paraId="73B68D68" w14:textId="77777777" w:rsidR="00203F72" w:rsidRPr="003B41D4" w:rsidRDefault="0039258A" w:rsidP="00D87D91">
            <w:r w:rsidRPr="003B41D4">
              <w:t xml:space="preserve">　　</w:t>
            </w:r>
            <w:r w:rsidR="00203F72" w:rsidRPr="003B41D4">
              <w:t>貳、加國安大略省「就業標準法」外籍家事勞工工作權之保障</w:t>
            </w:r>
          </w:p>
          <w:p w14:paraId="3D5BC279" w14:textId="77777777" w:rsidR="00203F72" w:rsidRPr="003B41D4" w:rsidRDefault="0039258A" w:rsidP="00D87D91">
            <w:r w:rsidRPr="003B41D4">
              <w:t xml:space="preserve">　　</w:t>
            </w:r>
            <w:r w:rsidR="00203F72" w:rsidRPr="003B41D4">
              <w:t>一、加國安大略省「就業標準法」外籍家事勞工薪資之法制保障</w:t>
            </w:r>
            <w:r w:rsidR="00203F72" w:rsidRPr="003B41D4">
              <w:t xml:space="preserve"> </w:t>
            </w:r>
          </w:p>
          <w:p w14:paraId="044060D2" w14:textId="77777777" w:rsidR="00203F72" w:rsidRPr="003B41D4" w:rsidRDefault="0039258A" w:rsidP="00D87D91">
            <w:r w:rsidRPr="003B41D4">
              <w:t xml:space="preserve">　　</w:t>
            </w:r>
            <w:r w:rsidR="00203F72" w:rsidRPr="003B41D4">
              <w:t>二、加國安大略省「就業標準法」外籍家事勞工工作時間之法制保障</w:t>
            </w:r>
          </w:p>
          <w:p w14:paraId="34CF08FE" w14:textId="77777777" w:rsidR="00203F72" w:rsidRPr="003B41D4" w:rsidRDefault="0039258A" w:rsidP="00D87D91">
            <w:r w:rsidRPr="003B41D4">
              <w:t xml:space="preserve">　　</w:t>
            </w:r>
            <w:r w:rsidR="00203F72" w:rsidRPr="003B41D4">
              <w:t>參、我國「就業服務法」之考察</w:t>
            </w:r>
          </w:p>
          <w:p w14:paraId="0598D4AA" w14:textId="77777777" w:rsidR="00203F72" w:rsidRPr="003B41D4" w:rsidRDefault="0039258A" w:rsidP="00D87D91">
            <w:r w:rsidRPr="003B41D4">
              <w:t xml:space="preserve">　　</w:t>
            </w:r>
            <w:r w:rsidR="00203F72" w:rsidRPr="003B41D4">
              <w:t>肆、我國與其他國家有關於外國人工作權保障之差異比較</w:t>
            </w:r>
            <w:r w:rsidR="00203F72" w:rsidRPr="003B41D4">
              <w:t xml:space="preserve"> </w:t>
            </w:r>
          </w:p>
          <w:p w14:paraId="53232FCF" w14:textId="77777777" w:rsidR="00203F72" w:rsidRPr="003B41D4" w:rsidRDefault="0039258A" w:rsidP="00D87D91">
            <w:r w:rsidRPr="003B41D4">
              <w:t xml:space="preserve">　　</w:t>
            </w:r>
            <w:r w:rsidR="00203F72" w:rsidRPr="003B41D4">
              <w:t>伍、台灣</w:t>
            </w:r>
            <w:hyperlink r:id="rId1726" w:history="1">
              <w:r w:rsidR="00166E2F" w:rsidRPr="002F3FE8">
                <w:rPr>
                  <w:rStyle w:val="a5"/>
                  <w:rFonts w:ascii="Times New Roman" w:eastAsia="新細明體" w:hAnsi="Times New Roman"/>
                </w:rPr>
                <w:t>勞動基準法</w:t>
              </w:r>
            </w:hyperlink>
            <w:r w:rsidR="00203F72" w:rsidRPr="003B41D4">
              <w:t>之適用對象之再省思</w:t>
            </w:r>
            <w:r w:rsidR="00203F72" w:rsidRPr="003B41D4">
              <w:t xml:space="preserve"> </w:t>
            </w:r>
          </w:p>
          <w:p w14:paraId="07EDFEEE" w14:textId="77777777" w:rsidR="00203F72" w:rsidRPr="003B41D4" w:rsidRDefault="0039258A" w:rsidP="00D87D91">
            <w:r w:rsidRPr="003B41D4">
              <w:t xml:space="preserve">　　</w:t>
            </w:r>
            <w:r w:rsidR="00203F72" w:rsidRPr="003B41D4">
              <w:t>陸、主管機關對於外籍家事勞工與僱主間勞資契約之管控機制</w:t>
            </w:r>
          </w:p>
          <w:p w14:paraId="5059A50F" w14:textId="77777777" w:rsidR="00203F72" w:rsidRPr="003B41D4" w:rsidRDefault="0039258A" w:rsidP="00D87D91">
            <w:r w:rsidRPr="003B41D4">
              <w:t xml:space="preserve">　　</w:t>
            </w:r>
            <w:r w:rsidR="00203F72" w:rsidRPr="003B41D4">
              <w:t>柒、認定家事外勞工作時間（段）是否逾時之計算公式</w:t>
            </w:r>
          </w:p>
          <w:p w14:paraId="1A1E1DEC" w14:textId="77777777" w:rsidR="00203F72" w:rsidRPr="003B41D4" w:rsidRDefault="0039258A" w:rsidP="00D87D91">
            <w:r w:rsidRPr="003B41D4">
              <w:t xml:space="preserve">　　</w:t>
            </w:r>
            <w:r w:rsidR="00203F72" w:rsidRPr="003B41D4">
              <w:t>捌、家事外勞逾時工作之工資標準</w:t>
            </w:r>
          </w:p>
          <w:p w14:paraId="106EA8AD" w14:textId="77777777" w:rsidR="00203F72" w:rsidRPr="003B41D4" w:rsidRDefault="0039258A" w:rsidP="00D87D91">
            <w:r w:rsidRPr="003B41D4">
              <w:t xml:space="preserve">　　</w:t>
            </w:r>
            <w:r w:rsidR="00203F72" w:rsidRPr="003B41D4">
              <w:t>玖、結論與建議</w:t>
            </w:r>
            <w:r w:rsidR="00203F72" w:rsidRPr="003B41D4">
              <w:t xml:space="preserve"> </w:t>
            </w:r>
          </w:p>
          <w:p w14:paraId="0049A255" w14:textId="77777777" w:rsidR="00203F72" w:rsidRPr="00A53581" w:rsidRDefault="00203F72" w:rsidP="00D87D91"/>
        </w:tc>
      </w:tr>
    </w:tbl>
    <w:p w14:paraId="2FDAE5CB" w14:textId="77777777" w:rsidR="003B41D4" w:rsidRDefault="003B41D4" w:rsidP="00670577">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7BAE5B62" w14:textId="77777777" w:rsidR="00203F72" w:rsidRPr="00A53581" w:rsidRDefault="00203F72" w:rsidP="00D87D91"/>
    <w:p w14:paraId="6AF4B91B" w14:textId="77777777" w:rsidR="00953151" w:rsidRDefault="00203F72" w:rsidP="00767F37">
      <w:pPr>
        <w:pStyle w:val="2"/>
      </w:pPr>
      <w:bookmarkStart w:id="77" w:name="_壹、前言_1"/>
      <w:bookmarkEnd w:id="77"/>
      <w:r w:rsidRPr="00A53581">
        <w:t>壹、前言</w:t>
      </w:r>
    </w:p>
    <w:p w14:paraId="496E4069" w14:textId="77777777" w:rsidR="00953151" w:rsidRPr="003B41D4" w:rsidRDefault="0039258A" w:rsidP="00D87D91">
      <w:r w:rsidRPr="003B41D4">
        <w:t xml:space="preserve">　　</w:t>
      </w:r>
      <w:r w:rsidR="00203F72" w:rsidRPr="003B41D4">
        <w:t>首先，本書擬就家事外勞目前在台灣從事勞動之相關情形，先加以介紹。根據美國國務院於</w:t>
      </w:r>
      <w:r w:rsidR="00203F72" w:rsidRPr="003B41D4">
        <w:t>2011</w:t>
      </w:r>
      <w:r w:rsidR="00203F72" w:rsidRPr="003B41D4">
        <w:t>年出版之人口販運報告書中所載之相關文獻資訊顯示，在台灣境內從事勞動之外勞，其中，包括家事外勞，有關遭受勞力剝削之情形，仍時有所聞。美國國務院指出，台灣仍是人口販運之目的國</w:t>
      </w:r>
      <w:r w:rsidR="00203F72" w:rsidRPr="003B41D4">
        <w:t>(Taiwan is a destination)</w:t>
      </w:r>
      <w:r w:rsidR="00203F72" w:rsidRPr="003B41D4">
        <w:t>，外勞</w:t>
      </w:r>
      <w:r w:rsidR="00203F72" w:rsidRPr="003B41D4">
        <w:t>(</w:t>
      </w:r>
      <w:r w:rsidR="00203F72" w:rsidRPr="003B41D4">
        <w:t>含家事外勞</w:t>
      </w:r>
      <w:r w:rsidR="00203F72" w:rsidRPr="003B41D4">
        <w:t>)</w:t>
      </w:r>
      <w:r w:rsidR="00203F72" w:rsidRPr="003B41D4">
        <w:t>至台灣之後，仍會受到強迫勞動</w:t>
      </w:r>
      <w:r w:rsidR="00203F72" w:rsidRPr="003B41D4">
        <w:t>(forced labor)</w:t>
      </w:r>
      <w:r w:rsidR="00203F72" w:rsidRPr="003B41D4">
        <w:t>。在台灣境內之外勞，受到缺乏道德感之仲介公司及雇主</w:t>
      </w:r>
      <w:r w:rsidR="00203F72" w:rsidRPr="003B41D4">
        <w:t>(unscrupulous brokers and employers)</w:t>
      </w:r>
      <w:r w:rsidR="00203F72" w:rsidRPr="003B41D4">
        <w:t>之勞力剝削，而成為人口販運之被害人。為何上述之外勞，會成為被勞力剝削之人口販運之被害人</w:t>
      </w:r>
      <w:r w:rsidR="00203F72" w:rsidRPr="003B41D4">
        <w:t>(fall victim to labor trafficking)</w:t>
      </w:r>
      <w:r w:rsidR="00203F72" w:rsidRPr="003B41D4">
        <w:t>？</w:t>
      </w:r>
    </w:p>
    <w:p w14:paraId="25A9E2E0" w14:textId="77777777" w:rsidR="00203F72" w:rsidRPr="003B41D4" w:rsidRDefault="0039258A" w:rsidP="00D87D91">
      <w:r w:rsidRPr="003B41D4">
        <w:t xml:space="preserve">　　</w:t>
      </w:r>
      <w:r w:rsidR="00203F72" w:rsidRPr="003B41D4">
        <w:t>主因在於仲介公司及雇主利用強制力，脅迫外勞從事勞雇雙方所訂立契約範圍以外之工作</w:t>
      </w:r>
      <w:r w:rsidR="00203F72" w:rsidRPr="003B41D4">
        <w:t>(outside the scope of their contract)</w:t>
      </w:r>
      <w:r w:rsidR="00203F72" w:rsidRPr="003B41D4">
        <w:t>，且外勞經常係處於被勞力剝削之工作條件之下</w:t>
      </w:r>
      <w:r w:rsidR="00203F72" w:rsidRPr="003B41D4">
        <w:t>(under exploitative conditions)</w:t>
      </w:r>
      <w:r w:rsidR="00203F72" w:rsidRPr="003B41D4">
        <w:t>。為了有效地控制及充分地使用家事外勞之勞動力，部分外籍家事勞動者</w:t>
      </w:r>
      <w:r w:rsidR="00203F72" w:rsidRPr="003B41D4">
        <w:t>(domestic workers)</w:t>
      </w:r>
      <w:r w:rsidR="00203F72" w:rsidRPr="003B41D4">
        <w:t>與家庭幫傭</w:t>
      </w:r>
      <w:r w:rsidR="00203F72" w:rsidRPr="003B41D4">
        <w:t>(home caregivers)</w:t>
      </w:r>
      <w:r w:rsidR="00203F72" w:rsidRPr="003B41D4">
        <w:t>之雇主，會禁止受僱人離開其住居所</w:t>
      </w:r>
      <w:r w:rsidR="00203F72" w:rsidRPr="003B41D4">
        <w:t>(forbid their employees from leaving their residences)</w:t>
      </w:r>
      <w:r w:rsidR="00203F72" w:rsidRPr="003B41D4">
        <w:t>，除非是休假日之時段，始可外出。在如此之不人道情境下，上述家事外勞係處於極端地脆弱之處境，非常容易成為人口販運之被害人</w:t>
      </w:r>
      <w:r w:rsidR="00203F72" w:rsidRPr="003B41D4">
        <w:t>(extremely vulnerable to labor trafficking)</w:t>
      </w:r>
      <w:r w:rsidR="00203F72" w:rsidRPr="003B41D4">
        <w:t>，同時，易遭受來自於雇主之虐待</w:t>
      </w:r>
      <w:r w:rsidR="00203F72" w:rsidRPr="003B41D4">
        <w:t>(other abuses)</w:t>
      </w:r>
      <w:r w:rsidR="00203F72" w:rsidRPr="003B41D4">
        <w:t>，且無法向外求助</w:t>
      </w:r>
      <w:r w:rsidR="00203F72" w:rsidRPr="003B41D4">
        <w:t>(</w:t>
      </w:r>
      <w:r w:rsidR="00203F72" w:rsidRPr="003B41D4">
        <w:t>救</w:t>
      </w:r>
      <w:r w:rsidR="00203F72" w:rsidRPr="003B41D4">
        <w:t>)</w:t>
      </w:r>
      <w:r w:rsidR="00203F72" w:rsidRPr="003B41D4">
        <w:footnoteReference w:id="424"/>
      </w:r>
      <w:r w:rsidR="00203F72" w:rsidRPr="003B41D4">
        <w:t>。</w:t>
      </w:r>
    </w:p>
    <w:p w14:paraId="01715FFB" w14:textId="77777777" w:rsidR="00953151" w:rsidRPr="003B41D4" w:rsidRDefault="0039258A" w:rsidP="00D87D91">
      <w:r w:rsidRPr="003B41D4">
        <w:t xml:space="preserve">　　</w:t>
      </w:r>
      <w:r w:rsidR="00203F72" w:rsidRPr="003B41D4">
        <w:t>外籍勞</w:t>
      </w:r>
      <w:r w:rsidR="00203F72" w:rsidRPr="003B41D4">
        <w:t>(</w:t>
      </w:r>
      <w:r w:rsidR="00203F72" w:rsidRPr="003B41D4">
        <w:t>移</w:t>
      </w:r>
      <w:r w:rsidR="00203F72" w:rsidRPr="003B41D4">
        <w:t>)</w:t>
      </w:r>
      <w:r w:rsidR="00203F72" w:rsidRPr="003B41D4">
        <w:t>工如欲進入台灣工作，就所須支付之仲介費用而論，在其母國</w:t>
      </w:r>
      <w:r w:rsidR="00203F72" w:rsidRPr="003B41D4">
        <w:t>(in their home countries)</w:t>
      </w:r>
      <w:r w:rsidR="00203F72" w:rsidRPr="003B41D4">
        <w:t>須支付約美金</w:t>
      </w:r>
      <w:r w:rsidR="00203F72" w:rsidRPr="003B41D4">
        <w:t>7700</w:t>
      </w:r>
      <w:r w:rsidR="00203F72" w:rsidRPr="003B41D4">
        <w:t>元</w:t>
      </w:r>
      <w:r w:rsidR="00203F72" w:rsidRPr="003B41D4">
        <w:t>(</w:t>
      </w:r>
      <w:r w:rsidR="00203F72" w:rsidRPr="003B41D4">
        <w:t>約</w:t>
      </w:r>
      <w:r w:rsidR="00203F72" w:rsidRPr="003B41D4">
        <w:t>23</w:t>
      </w:r>
      <w:r w:rsidR="00203F72" w:rsidRPr="003B41D4">
        <w:t>萬新台幣</w:t>
      </w:r>
      <w:r w:rsidR="00203F72" w:rsidRPr="003B41D4">
        <w:t>)</w:t>
      </w:r>
      <w:r w:rsidR="00203F72" w:rsidRPr="003B41D4">
        <w:t>左右之仲介招募費用</w:t>
      </w:r>
      <w:r w:rsidR="00203F72" w:rsidRPr="003B41D4">
        <w:t>(charged up to $7,700 in recruitment fees)</w:t>
      </w:r>
      <w:r w:rsidR="00203F72" w:rsidRPr="003B41D4">
        <w:t>。美國國務院認為，由於外勞</w:t>
      </w:r>
      <w:r w:rsidR="00203F72" w:rsidRPr="003B41D4">
        <w:t>(</w:t>
      </w:r>
      <w:r w:rsidR="00203F72" w:rsidRPr="003B41D4">
        <w:t>含家事外勞</w:t>
      </w:r>
      <w:r w:rsidR="00203F72" w:rsidRPr="003B41D4">
        <w:t>)</w:t>
      </w:r>
      <w:r w:rsidR="00203F72" w:rsidRPr="003B41D4">
        <w:t>須清償上述之債務，此種之實質性債務</w:t>
      </w:r>
      <w:r w:rsidR="00203F72" w:rsidRPr="003B41D4">
        <w:t>(substantial debt)</w:t>
      </w:r>
      <w:r w:rsidR="00203F72" w:rsidRPr="003B41D4">
        <w:t>，遂成為仲介或雇主強迫外勞從事勞動之脅迫工具</w:t>
      </w:r>
      <w:r w:rsidR="00203F72" w:rsidRPr="003B41D4">
        <w:t>(as a coercive tool to subject the workers to forced labor)</w:t>
      </w:r>
      <w:r w:rsidR="00203F72" w:rsidRPr="003B41D4">
        <w:t>，俾利逼迫外勞就範，在其就範之後，強制其工作。更有甚者，勞力仲介公司經常協助雇主們，利用強制之手法，將有問題之外勞驅逐出境</w:t>
      </w:r>
      <w:r w:rsidR="00203F72" w:rsidRPr="003B41D4">
        <w:t>(deport “problematic” employees forcibly)</w:t>
      </w:r>
      <w:r w:rsidR="00203F72" w:rsidRPr="003B41D4">
        <w:t>。</w:t>
      </w:r>
    </w:p>
    <w:p w14:paraId="757BC0ED" w14:textId="77777777" w:rsidR="00203F72" w:rsidRPr="003B41D4" w:rsidRDefault="0039258A" w:rsidP="00D87D91">
      <w:r w:rsidRPr="003B41D4">
        <w:t xml:space="preserve">　　</w:t>
      </w:r>
      <w:r w:rsidR="00203F72" w:rsidRPr="003B41D4">
        <w:t>承上所述，勞力仲介公司即取得再次招募外勞之缺額</w:t>
      </w:r>
      <w:r w:rsidR="00203F72" w:rsidRPr="003B41D4">
        <w:t>(allowing the broker to fill the empty quota)</w:t>
      </w:r>
      <w:r w:rsidR="00203F72" w:rsidRPr="003B41D4">
        <w:t>，可重新引進新外勞人力。而這些被引進之新外勞，則亦須支付人力仲介公司上述所提及之約</w:t>
      </w:r>
      <w:r w:rsidR="00203F72" w:rsidRPr="003B41D4">
        <w:t>23</w:t>
      </w:r>
      <w:r w:rsidR="00203F72" w:rsidRPr="003B41D4">
        <w:t>萬新台幣之仲介招募費用；而外勞因須支付如此龐大之仲介費用，因而成為人力仲介公司之債務人，遂使其處於被強制勞動之情境中</w:t>
      </w:r>
      <w:r w:rsidR="00203F72" w:rsidRPr="003B41D4">
        <w:t xml:space="preserve">(in a situation of forced labor) </w:t>
      </w:r>
      <w:r w:rsidR="00203F72" w:rsidRPr="003B41D4">
        <w:footnoteReference w:id="425"/>
      </w:r>
      <w:r w:rsidR="00203F72" w:rsidRPr="003B41D4">
        <w:t>。此外，人力仲介公司尚用使用威脅</w:t>
      </w:r>
      <w:r w:rsidR="00203F72" w:rsidRPr="003B41D4">
        <w:t>(Brokers used threats)</w:t>
      </w:r>
      <w:r w:rsidR="00203F72" w:rsidRPr="003B41D4">
        <w:t>及扣留外勞相關證件之不法手法</w:t>
      </w:r>
      <w:r w:rsidR="00203F72" w:rsidRPr="003B41D4">
        <w:t>(the confiscation of travel documents as a means)</w:t>
      </w:r>
      <w:r w:rsidR="00203F72" w:rsidRPr="003B41D4">
        <w:t>，俾利有效地控制外勞</w:t>
      </w:r>
      <w:r w:rsidR="00203F72" w:rsidRPr="003B41D4">
        <w:t>(control workers)</w:t>
      </w:r>
      <w:r w:rsidR="00203F72" w:rsidRPr="003B41D4">
        <w:t>，進而強制其勞動。</w:t>
      </w:r>
    </w:p>
    <w:p w14:paraId="27A52C67" w14:textId="77777777" w:rsidR="00953151" w:rsidRPr="003B41D4" w:rsidRDefault="0039258A" w:rsidP="00D87D91">
      <w:r w:rsidRPr="003B41D4">
        <w:t xml:space="preserve">　　</w:t>
      </w:r>
      <w:r w:rsidR="00203F72" w:rsidRPr="003B41D4">
        <w:t>美國國務院另指出，台灣對於近約</w:t>
      </w:r>
      <w:r w:rsidR="00203F72" w:rsidRPr="003B41D4">
        <w:t>16</w:t>
      </w:r>
      <w:r w:rsidR="00203F72" w:rsidRPr="003B41D4">
        <w:t>萬名家事外勞</w:t>
      </w:r>
      <w:r w:rsidR="00203F72" w:rsidRPr="003B41D4">
        <w:t>(160,000 foreign workers in the domestic service sector)</w:t>
      </w:r>
      <w:r w:rsidR="00203F72" w:rsidRPr="003B41D4">
        <w:t>之勞動條件之保障，仍未提供周延之勞動條件保護</w:t>
      </w:r>
      <w:r w:rsidR="00203F72" w:rsidRPr="003B41D4">
        <w:t>(failed to provide full labor protections)</w:t>
      </w:r>
      <w:r w:rsidR="00203F72" w:rsidRPr="003B41D4">
        <w:t>。截至</w:t>
      </w:r>
      <w:r w:rsidR="00203F72" w:rsidRPr="003B41D4">
        <w:t>2011</w:t>
      </w:r>
      <w:r w:rsidR="00203F72" w:rsidRPr="003B41D4">
        <w:t>年為止，家事外勞之工作時數</w:t>
      </w:r>
      <w:r w:rsidR="00203F72" w:rsidRPr="003B41D4">
        <w:t>(working hours)</w:t>
      </w:r>
      <w:r w:rsidR="00203F72" w:rsidRPr="003B41D4">
        <w:t>與最低薪資</w:t>
      </w:r>
      <w:r w:rsidR="00203F72" w:rsidRPr="003B41D4">
        <w:t>(minimum wages)</w:t>
      </w:r>
      <w:r w:rsidR="00203F72" w:rsidRPr="003B41D4">
        <w:t>之問題，仍未有明確之法令定義</w:t>
      </w:r>
      <w:r w:rsidR="00203F72" w:rsidRPr="003B41D4">
        <w:t>(do not have defined)</w:t>
      </w:r>
      <w:r w:rsidR="00203F72" w:rsidRPr="003B41D4">
        <w:t>。由於工作時數與最低薪資缺乏明確之法律保障，遂有可能導致處於脆弱情境族群之外勞</w:t>
      </w:r>
      <w:r w:rsidR="00203F72" w:rsidRPr="003B41D4">
        <w:t>(this vulnerable group of migrants)</w:t>
      </w:r>
      <w:r w:rsidR="00203F72" w:rsidRPr="003B41D4">
        <w:t>，易成為人口販運中受強迫勞動之受害人</w:t>
      </w:r>
      <w:r w:rsidR="00203F72" w:rsidRPr="003B41D4">
        <w:t xml:space="preserve">(may have contributed to some situations of forced labor) </w:t>
      </w:r>
      <w:r w:rsidR="00203F72" w:rsidRPr="003B41D4">
        <w:footnoteReference w:id="426"/>
      </w:r>
      <w:r w:rsidR="00203F72" w:rsidRPr="003B41D4">
        <w:t>。</w:t>
      </w:r>
    </w:p>
    <w:p w14:paraId="06A52471" w14:textId="77777777" w:rsidR="00203F72" w:rsidRPr="003B41D4" w:rsidRDefault="0039258A" w:rsidP="00D87D91">
      <w:r w:rsidRPr="003B41D4">
        <w:t xml:space="preserve">　　</w:t>
      </w:r>
      <w:r w:rsidR="00203F72" w:rsidRPr="003B41D4">
        <w:t>就家事外勞之薪資而論，這是一個頗為嚴重之問題，因家事外勞薪資未受到充分之保障。美國國務院認為，在</w:t>
      </w:r>
      <w:r w:rsidR="00203F72" w:rsidRPr="003B41D4">
        <w:t>2010</w:t>
      </w:r>
      <w:r w:rsidR="00203F72" w:rsidRPr="003B41D4">
        <w:t>年，勞委會</w:t>
      </w:r>
      <w:r w:rsidR="00203F72" w:rsidRPr="003B41D4">
        <w:t>(Council of Labor Affairs</w:t>
      </w:r>
      <w:r w:rsidR="00203F72" w:rsidRPr="003B41D4">
        <w:t>，</w:t>
      </w:r>
      <w:r w:rsidR="00203F72" w:rsidRPr="003B41D4">
        <w:t>CLA)</w:t>
      </w:r>
      <w:r w:rsidR="00203F72" w:rsidRPr="003B41D4">
        <w:t>持續對外來移民提供</w:t>
      </w:r>
      <w:r w:rsidR="00203F72" w:rsidRPr="003B41D4">
        <w:t>24</w:t>
      </w:r>
      <w:r w:rsidR="00203F72" w:rsidRPr="003B41D4">
        <w:t>小時之諮詢保護熱線服務</w:t>
      </w:r>
      <w:r w:rsidR="00203F72" w:rsidRPr="003B41D4">
        <w:t>(24-hour hotline for migrant workers)</w:t>
      </w:r>
      <w:r w:rsidR="00203F72" w:rsidRPr="003B41D4">
        <w:t>；於</w:t>
      </w:r>
      <w:r w:rsidR="00203F72" w:rsidRPr="003B41D4">
        <w:t>2010</w:t>
      </w:r>
      <w:r w:rsidR="00203F72" w:rsidRPr="003B41D4">
        <w:t>年，該熱線共計接獲約</w:t>
      </w:r>
      <w:r w:rsidR="00203F72" w:rsidRPr="003B41D4">
        <w:t>14</w:t>
      </w:r>
      <w:r w:rsidR="00203F72" w:rsidRPr="003B41D4">
        <w:t>萬</w:t>
      </w:r>
      <w:r w:rsidR="00203F72" w:rsidRPr="003B41D4">
        <w:t>6</w:t>
      </w:r>
      <w:r w:rsidR="00203F72" w:rsidRPr="003B41D4">
        <w:t>仟通之各式求助電話，勞委會及所屬各地之諮詢服務中心人員，協助這些外勞解決其與雇主之薪資爭議</w:t>
      </w:r>
      <w:r w:rsidR="00203F72" w:rsidRPr="003B41D4">
        <w:t>(in resolving wage disputes)</w:t>
      </w:r>
      <w:r w:rsidR="00203F72" w:rsidRPr="003B41D4">
        <w:t>，並代為外勞向雇主追討近約</w:t>
      </w:r>
      <w:r w:rsidR="00203F72" w:rsidRPr="003B41D4">
        <w:t>300</w:t>
      </w:r>
      <w:r w:rsidR="00203F72" w:rsidRPr="003B41D4">
        <w:t>萬美金</w:t>
      </w:r>
      <w:r w:rsidR="00203F72" w:rsidRPr="003B41D4">
        <w:t>(</w:t>
      </w:r>
      <w:r w:rsidR="00203F72" w:rsidRPr="003B41D4">
        <w:t>約</w:t>
      </w:r>
      <w:r w:rsidR="00203F72" w:rsidRPr="003B41D4">
        <w:t>9000</w:t>
      </w:r>
      <w:r w:rsidR="00203F72" w:rsidRPr="003B41D4">
        <w:t>萬新台幣</w:t>
      </w:r>
      <w:r w:rsidR="00203F72" w:rsidRPr="003B41D4">
        <w:t>)</w:t>
      </w:r>
      <w:r w:rsidR="00203F72" w:rsidRPr="003B41D4">
        <w:t>之薪資</w:t>
      </w:r>
      <w:r w:rsidR="00203F72" w:rsidRPr="003B41D4">
        <w:t xml:space="preserve">(involving close to $3 million) </w:t>
      </w:r>
      <w:r w:rsidR="00203F72" w:rsidRPr="003B41D4">
        <w:footnoteReference w:id="427"/>
      </w:r>
      <w:r w:rsidR="00203F72" w:rsidRPr="003B41D4">
        <w:t>。由此，亦可顯示目前外勞在台灣工作之處境，就薪資而論，法律之保障仍嫌不足。</w:t>
      </w:r>
    </w:p>
    <w:p w14:paraId="0873BF4C" w14:textId="77777777" w:rsidR="00953151" w:rsidRDefault="0039258A" w:rsidP="00D87D91">
      <w:r w:rsidRPr="003B41D4">
        <w:t xml:space="preserve">　　</w:t>
      </w:r>
      <w:r w:rsidR="00203F72" w:rsidRPr="003B41D4">
        <w:t>美國國務院有鑑於台灣之外勞處於不利及不人道之處境，遂提出以下若干良性之建言，即台灣宜擴大對於所有職種之外勞</w:t>
      </w:r>
      <w:r w:rsidR="00203F72" w:rsidRPr="003B41D4">
        <w:t>(</w:t>
      </w:r>
      <w:r w:rsidR="00203F72" w:rsidRPr="003B41D4">
        <w:t>包括家事勞動者及外籍幫傭</w:t>
      </w:r>
      <w:r w:rsidR="00203F72" w:rsidRPr="003B41D4">
        <w:t>) (including workers in the domestic service sector and caregivers)</w:t>
      </w:r>
      <w:r w:rsidR="00203F72" w:rsidRPr="003B41D4">
        <w:t>之保護</w:t>
      </w:r>
      <w:r w:rsidR="00203F72" w:rsidRPr="003B41D4">
        <w:t>(</w:t>
      </w:r>
      <w:r w:rsidR="00203F72" w:rsidRPr="003B41D4">
        <w:t>障</w:t>
      </w:r>
      <w:r w:rsidR="00203F72" w:rsidRPr="003B41D4">
        <w:t>)</w:t>
      </w:r>
      <w:r w:rsidR="00203F72" w:rsidRPr="003B41D4">
        <w:footnoteReference w:id="428"/>
      </w:r>
      <w:r w:rsidR="00203F72" w:rsidRPr="003B41D4">
        <w:t xml:space="preserve"> (Extend labor protections to all categories of workers)</w:t>
      </w:r>
      <w:r w:rsidR="00203F72" w:rsidRPr="003B41D4">
        <w:t>，以防止成為人口販運中勞力剝削之受害人</w:t>
      </w:r>
      <w:r w:rsidR="00203F72" w:rsidRPr="003B41D4">
        <w:t>(prevent labor trafficking)</w:t>
      </w:r>
      <w:r w:rsidR="00203F72" w:rsidRPr="003B41D4">
        <w:t>。美國國務院亦指出，在法制之保障面部分，台灣</w:t>
      </w:r>
      <w:hyperlink r:id="rId1727" w:history="1">
        <w:r w:rsidR="00203F72" w:rsidRPr="002F3FE8">
          <w:rPr>
            <w:rStyle w:val="a5"/>
            <w:rFonts w:ascii="Times New Roman" w:eastAsia="新細明體" w:hAnsi="Times New Roman"/>
          </w:rPr>
          <w:t>勞基法</w:t>
        </w:r>
      </w:hyperlink>
      <w:r w:rsidR="00203F72" w:rsidRPr="003B41D4">
        <w:t>(The Labor Standards Law)</w:t>
      </w:r>
      <w:r w:rsidR="00203F72" w:rsidRPr="003B41D4">
        <w:t>明文禁止雇主強迫勞工從事勞動</w:t>
      </w:r>
      <w:r w:rsidR="00203F72" w:rsidRPr="003B41D4">
        <w:t>(prohibits forced labor)</w:t>
      </w:r>
      <w:r w:rsidR="00203F72" w:rsidRPr="003B41D4">
        <w:t>，該法立意雖佳，但卻無法適用近約</w:t>
      </w:r>
      <w:r w:rsidR="00203F72" w:rsidRPr="003B41D4">
        <w:t>16</w:t>
      </w:r>
      <w:r w:rsidR="00203F72" w:rsidRPr="003B41D4">
        <w:t>萬之外籍看護工</w:t>
      </w:r>
      <w:r w:rsidR="00203F72" w:rsidRPr="003B41D4">
        <w:t>(private nursing caregivers)</w:t>
      </w:r>
      <w:r w:rsidR="00203F72" w:rsidRPr="003B41D4">
        <w:t>與外籍家事勞動者</w:t>
      </w:r>
      <w:r w:rsidR="00203F72" w:rsidRPr="003B41D4">
        <w:t>(domestic workers)</w:t>
      </w:r>
      <w:r w:rsidR="00203F72" w:rsidRPr="003B41D4">
        <w:t>，而這些家事外勞所占之比例，近約在台灣境內外勞人數之半數。由於上述約</w:t>
      </w:r>
      <w:r w:rsidR="00203F72" w:rsidRPr="003B41D4">
        <w:t>16</w:t>
      </w:r>
      <w:r w:rsidR="00203F72" w:rsidRPr="003B41D4">
        <w:t>萬家事外勞無法適用</w:t>
      </w:r>
      <w:hyperlink r:id="rId1728" w:history="1">
        <w:r w:rsidR="002F3FE8" w:rsidRPr="002F3FE8">
          <w:rPr>
            <w:rStyle w:val="a5"/>
            <w:rFonts w:ascii="Times New Roman" w:eastAsia="新細明體" w:hAnsi="Times New Roman"/>
          </w:rPr>
          <w:t>勞基法</w:t>
        </w:r>
      </w:hyperlink>
      <w:r w:rsidR="00203F72" w:rsidRPr="003B41D4">
        <w:t>，遂呈現出對這些家事外勞保障不周之現象</w:t>
      </w:r>
      <w:r w:rsidR="00203F72" w:rsidRPr="003B41D4">
        <w:footnoteReference w:id="429"/>
      </w:r>
      <w:r w:rsidR="00203F72" w:rsidRPr="003B41D4">
        <w:t>。要解決此一問題，美國國務院之建言，係認為宜擴大</w:t>
      </w:r>
      <w:hyperlink r:id="rId1729" w:history="1">
        <w:r w:rsidR="002F3FE8" w:rsidRPr="002F3FE8">
          <w:rPr>
            <w:rStyle w:val="a5"/>
            <w:rFonts w:ascii="Times New Roman" w:eastAsia="新細明體" w:hAnsi="Times New Roman"/>
          </w:rPr>
          <w:t>勞基法</w:t>
        </w:r>
      </w:hyperlink>
      <w:r w:rsidR="002F3FE8" w:rsidRPr="003B41D4">
        <w:t xml:space="preserve"> </w:t>
      </w:r>
      <w:r w:rsidR="00203F72" w:rsidRPr="003B41D4">
        <w:t>(The Labor Standards Law)</w:t>
      </w:r>
      <w:r w:rsidR="00203F72" w:rsidRPr="003B41D4">
        <w:t>之適用對象，包括家事勞動者及外籍幫傭，本書亦贊同之</w:t>
      </w:r>
      <w:r w:rsidR="00545D58" w:rsidRPr="003B41D4">
        <w:t>。</w:t>
      </w:r>
    </w:p>
    <w:p w14:paraId="5B7E7B95" w14:textId="77777777" w:rsidR="003B41D4" w:rsidRDefault="003B41D4" w:rsidP="00670577">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1E57ED14" w14:textId="77777777" w:rsidR="003B41D4" w:rsidRPr="003B41D4" w:rsidRDefault="003B41D4" w:rsidP="00D87D91"/>
    <w:p w14:paraId="2E2EEBF6" w14:textId="77777777" w:rsidR="00953151" w:rsidRDefault="00203F72" w:rsidP="00767F37">
      <w:pPr>
        <w:pStyle w:val="2"/>
      </w:pPr>
      <w:bookmarkStart w:id="78" w:name="_貳、加國安大略省「就業標準法」外籍家事勞工工作權之保障"/>
      <w:bookmarkEnd w:id="78"/>
      <w:r w:rsidRPr="00A53581">
        <w:t>貳、加國安大略省「就業標準法」外籍家事勞工工作權之保障</w:t>
      </w:r>
      <w:r w:rsidRPr="00A53581">
        <w:t xml:space="preserve"> </w:t>
      </w:r>
    </w:p>
    <w:p w14:paraId="591F1215" w14:textId="77777777" w:rsidR="00953151" w:rsidRPr="003B41D4" w:rsidRDefault="0039258A" w:rsidP="00D87D91">
      <w:r>
        <w:t xml:space="preserve">　　</w:t>
      </w:r>
      <w:r w:rsidR="00203F72" w:rsidRPr="00A53581">
        <w:t>人口販運犯罪是一種非常惡質</w:t>
      </w:r>
      <w:r w:rsidR="00203F72" w:rsidRPr="00A53581">
        <w:t>(</w:t>
      </w:r>
      <w:r w:rsidR="00203F72" w:rsidRPr="00A53581">
        <w:t>劣</w:t>
      </w:r>
      <w:r w:rsidR="00203F72" w:rsidRPr="00A53581">
        <w:t>)</w:t>
      </w:r>
      <w:r w:rsidR="00203F72" w:rsidRPr="00A53581">
        <w:t>之罪行，嚴重侵犯被害人之人權，使其身心</w:t>
      </w:r>
      <w:r w:rsidR="00203F72" w:rsidRPr="003B41D4">
        <w:t>遭受重大之摧殘。基此，加拿大政府相當重</w:t>
      </w:r>
      <w:r w:rsidR="003E240E">
        <w:t>視</w:t>
      </w:r>
      <w:r w:rsidR="00203F72" w:rsidRPr="003B41D4">
        <w:t>打擊與防制人口販運之犯罪，從</w:t>
      </w:r>
      <w:r w:rsidR="00203F72" w:rsidRPr="003B41D4">
        <w:t>2001</w:t>
      </w:r>
      <w:r w:rsidR="00203F72" w:rsidRPr="003B41D4">
        <w:t>年至</w:t>
      </w:r>
      <w:r w:rsidR="00203F72" w:rsidRPr="003B41D4">
        <w:t>2011</w:t>
      </w:r>
      <w:r w:rsidR="00203F72" w:rsidRPr="003B41D4">
        <w:t>年之間，在防制人口販運之排序等級部分，除了</w:t>
      </w:r>
      <w:r w:rsidR="00203F72" w:rsidRPr="003B41D4">
        <w:t>2003</w:t>
      </w:r>
      <w:r w:rsidR="00203F72" w:rsidRPr="003B41D4">
        <w:t>年被美國國務院評定為第</w:t>
      </w:r>
      <w:r w:rsidR="00203F72" w:rsidRPr="003B41D4">
        <w:t>2</w:t>
      </w:r>
      <w:r w:rsidR="00203F72" w:rsidRPr="003B41D4">
        <w:t>級之外，其餘之各個年度，均被美國國務院評定為第</w:t>
      </w:r>
      <w:r w:rsidR="00203F72" w:rsidRPr="003B41D4">
        <w:t>1</w:t>
      </w:r>
      <w:r w:rsidR="00203F72" w:rsidRPr="003B41D4">
        <w:t>級，符合美國於</w:t>
      </w:r>
      <w:r w:rsidR="00203F72" w:rsidRPr="003B41D4">
        <w:t>2000</w:t>
      </w:r>
      <w:r w:rsidR="00203F72" w:rsidRPr="003B41D4">
        <w:t>年所公布之「人口販運暨暴力被害人保護法」</w:t>
      </w:r>
      <w:r w:rsidR="00203F72" w:rsidRPr="003B41D4">
        <w:t>(Trafficking Victims Protection Act of 2000</w:t>
      </w:r>
      <w:r w:rsidR="00203F72" w:rsidRPr="003B41D4">
        <w:t>，</w:t>
      </w:r>
      <w:r w:rsidR="00203F72" w:rsidRPr="003B41D4">
        <w:t>TVPA)</w:t>
      </w:r>
      <w:r w:rsidR="00203F72" w:rsidRPr="003B41D4">
        <w:t>之規範，屬於業已達到消除人口販運犯罪之最低度標準之西方民主先進國家。加拿大政府除了重</w:t>
      </w:r>
      <w:r w:rsidR="003E240E">
        <w:t>視</w:t>
      </w:r>
      <w:r w:rsidR="00203F72" w:rsidRPr="003B41D4">
        <w:t>性剝削之防制外，另外，對於防制勞力剝削之區塊，近年來，亦不斷地加強及提升治理之力道，尤其是特別重</w:t>
      </w:r>
      <w:r w:rsidR="003E240E">
        <w:t>視</w:t>
      </w:r>
      <w:r w:rsidR="00203F72" w:rsidRPr="003B41D4">
        <w:t>外籍家事勞工工作權益之保障。</w:t>
      </w:r>
    </w:p>
    <w:p w14:paraId="1805A80B" w14:textId="77777777" w:rsidR="00953151" w:rsidRPr="003B41D4" w:rsidRDefault="0039258A" w:rsidP="00D87D91">
      <w:r w:rsidRPr="003B41D4">
        <w:t xml:space="preserve">　　</w:t>
      </w:r>
      <w:r w:rsidR="00203F72" w:rsidRPr="003B41D4">
        <w:t>有關於加拿大外籍家事勞工權益保障之新發展趨勢部分，加拿大聯邦政府為了加強及提升對於外籍家事勞工相關權益之保障，自從</w:t>
      </w:r>
      <w:r w:rsidR="00203F72" w:rsidRPr="003B41D4">
        <w:t>2010</w:t>
      </w:r>
      <w:r w:rsidR="00203F72" w:rsidRPr="003B41D4">
        <w:t>年</w:t>
      </w:r>
      <w:r w:rsidR="00203F72" w:rsidRPr="003B41D4">
        <w:t>4</w:t>
      </w:r>
      <w:r w:rsidR="00203F72" w:rsidRPr="003B41D4">
        <w:t>月開始，正式推出及開展適用於全加拿大境內之「家事勞工計畫」</w:t>
      </w:r>
      <w:r w:rsidR="00203F72" w:rsidRPr="003B41D4">
        <w:t>(Live-in Caregiver Program)</w:t>
      </w:r>
      <w:r w:rsidR="00203F72" w:rsidRPr="003B41D4">
        <w:t>。上述計畫之重點如下</w:t>
      </w:r>
      <w:r w:rsidR="00203F72" w:rsidRPr="003B41D4">
        <w:footnoteReference w:id="430"/>
      </w:r>
      <w:r w:rsidR="00203F72" w:rsidRPr="003B41D4">
        <w:t>：</w:t>
      </w:r>
      <w:r w:rsidR="00203F72" w:rsidRPr="003B41D4">
        <w:t>1</w:t>
      </w:r>
      <w:r w:rsidR="00203F72" w:rsidRPr="003B41D4">
        <w:t>、人力仲介招募公司</w:t>
      </w:r>
      <w:r w:rsidR="00203F72" w:rsidRPr="003B41D4">
        <w:t>(</w:t>
      </w:r>
      <w:r w:rsidR="00203F72" w:rsidRPr="003B41D4">
        <w:t>者</w:t>
      </w:r>
      <w:r w:rsidR="00203F72" w:rsidRPr="003B41D4">
        <w:t>)</w:t>
      </w:r>
      <w:r w:rsidR="00203F72" w:rsidRPr="003B41D4">
        <w:t>不得向外籍家事勞工收取第</w:t>
      </w:r>
      <w:r w:rsidR="00203F72" w:rsidRPr="003B41D4">
        <w:t>3</w:t>
      </w:r>
      <w:r w:rsidR="00203F72" w:rsidRPr="003B41D4">
        <w:t>人之仲介招募費用</w:t>
      </w:r>
      <w:r w:rsidR="00203F72" w:rsidRPr="003B41D4">
        <w:t>(no third party recruitment fees charged by recruiters to Caregivers)</w:t>
      </w:r>
      <w:r w:rsidR="00203F72" w:rsidRPr="003B41D4">
        <w:footnoteReference w:id="431"/>
      </w:r>
      <w:r w:rsidR="00203F72" w:rsidRPr="003B41D4">
        <w:t>；</w:t>
      </w:r>
      <w:r w:rsidR="00203F72" w:rsidRPr="003B41D4">
        <w:t>2</w:t>
      </w:r>
      <w:r w:rsidR="00203F72" w:rsidRPr="003B41D4">
        <w:t>、勞資雙方勞動契約之內容與細節，更加周延化、細緻化且明確化；</w:t>
      </w:r>
      <w:r w:rsidR="00203F72" w:rsidRPr="003B41D4">
        <w:t>3</w:t>
      </w:r>
      <w:r w:rsidR="00203F72" w:rsidRPr="003B41D4">
        <w:t>、由雇主負擔外籍家事勞工之仲介招募費、交通車馬費</w:t>
      </w:r>
      <w:r w:rsidR="00203F72" w:rsidRPr="003B41D4">
        <w:t>(</w:t>
      </w:r>
      <w:r w:rsidR="00203F72" w:rsidRPr="003B41D4">
        <w:t>如飛機票價等</w:t>
      </w:r>
      <w:r w:rsidR="00203F72" w:rsidRPr="003B41D4">
        <w:t>)</w:t>
      </w:r>
      <w:r w:rsidR="00203F72" w:rsidRPr="003B41D4">
        <w:t>及其私人之健康保險費</w:t>
      </w:r>
      <w:r w:rsidR="00203F72" w:rsidRPr="003B41D4">
        <w:t>(private health insurance)</w:t>
      </w:r>
      <w:r w:rsidR="00203F72" w:rsidRPr="003B41D4">
        <w:t>，以上之費用，均由雇主負擔之</w:t>
      </w:r>
      <w:r w:rsidR="00545D58" w:rsidRPr="003B41D4">
        <w:t>。</w:t>
      </w:r>
    </w:p>
    <w:p w14:paraId="2C0C5D81" w14:textId="77777777" w:rsidR="00953151" w:rsidRPr="003B41D4" w:rsidRDefault="0039258A" w:rsidP="00D87D91">
      <w:r w:rsidRPr="003B41D4">
        <w:t xml:space="preserve">　　</w:t>
      </w:r>
      <w:r w:rsidR="00203F72" w:rsidRPr="003B41D4">
        <w:t>在加拿大各省級之中，涉及外籍家事勞工工作權利之法制部分，最為周延之省份，係為人口最多之安大略省。在安大略省之中，有</w:t>
      </w:r>
      <w:r w:rsidR="00203F72" w:rsidRPr="003B41D4">
        <w:t>2</w:t>
      </w:r>
      <w:r w:rsidR="00203F72" w:rsidRPr="003B41D4">
        <w:t>部法典，專門用於保障外籍家事勞工之權利；第一部法律，係為</w:t>
      </w:r>
      <w:r w:rsidR="00203F72" w:rsidRPr="003B41D4">
        <w:t>2000</w:t>
      </w:r>
      <w:r w:rsidR="00203F72" w:rsidRPr="003B41D4">
        <w:t>年「就業標準法」</w:t>
      </w:r>
      <w:r w:rsidR="00203F72" w:rsidRPr="003B41D4">
        <w:t>(Employment Standards Act</w:t>
      </w:r>
      <w:r w:rsidR="00203F72" w:rsidRPr="003B41D4">
        <w:t>，簡稱為</w:t>
      </w:r>
      <w:r w:rsidR="00203F72" w:rsidRPr="003B41D4">
        <w:t>ESA)</w:t>
      </w:r>
      <w:r w:rsidR="00203F72" w:rsidRPr="003B41D4">
        <w:t>；另一部法律，則為</w:t>
      </w:r>
      <w:r w:rsidR="00203F72" w:rsidRPr="003B41D4">
        <w:t>2009</w:t>
      </w:r>
      <w:r w:rsidR="00203F72" w:rsidRPr="003B41D4">
        <w:t>年「外國人就業保護法」</w:t>
      </w:r>
      <w:r w:rsidR="00203F72" w:rsidRPr="003B41D4">
        <w:t>(</w:t>
      </w:r>
      <w:r w:rsidR="00203F72" w:rsidRPr="003B41D4">
        <w:t>外籍家事勞工及其他</w:t>
      </w:r>
      <w:r w:rsidR="00203F72" w:rsidRPr="003B41D4">
        <w:t>)(Employment Protection for Foreign Nationals Act (Live-in Caregivers and Others</w:t>
      </w:r>
      <w:r w:rsidR="00203F72" w:rsidRPr="003B41D4">
        <w:t>，簡稱為</w:t>
      </w:r>
      <w:r w:rsidR="00203F72" w:rsidRPr="003B41D4">
        <w:t>EPFNA)</w:t>
      </w:r>
      <w:r w:rsidR="00203F72" w:rsidRPr="003B41D4">
        <w:t>。上述兩部之法律，均對於安大略省境內外籍家事勞工之相關工作權利提供法律上之保障，但保障之內容及範圍有異，兩者相輔相成。較早公布及施行之法律，係為「就業標準法」，公布及施行之年度，係為</w:t>
      </w:r>
      <w:r w:rsidR="00203F72" w:rsidRPr="003B41D4">
        <w:t>2000</w:t>
      </w:r>
      <w:r w:rsidR="00203F72" w:rsidRPr="003B41D4">
        <w:t>年</w:t>
      </w:r>
      <w:r w:rsidR="00203F72" w:rsidRPr="003B41D4">
        <w:footnoteReference w:id="432"/>
      </w:r>
      <w:r w:rsidR="00203F72" w:rsidRPr="003B41D4">
        <w:t>。</w:t>
      </w:r>
    </w:p>
    <w:p w14:paraId="716BD77B" w14:textId="77777777" w:rsidR="00953151" w:rsidRPr="003B41D4" w:rsidRDefault="0039258A" w:rsidP="00D87D91">
      <w:r w:rsidRPr="003B41D4">
        <w:t xml:space="preserve">　　</w:t>
      </w:r>
      <w:r w:rsidR="00203F72" w:rsidRPr="003B41D4">
        <w:t>較晚公布之法律，則為「外國人就業保護法」，本法於</w:t>
      </w:r>
      <w:r w:rsidR="00203F72" w:rsidRPr="003B41D4">
        <w:t>2009</w:t>
      </w:r>
      <w:r w:rsidR="00203F72" w:rsidRPr="003B41D4">
        <w:t>年公布</w:t>
      </w:r>
      <w:r w:rsidR="00203F72" w:rsidRPr="003B41D4">
        <w:footnoteReference w:id="433"/>
      </w:r>
      <w:r w:rsidR="00203F72" w:rsidRPr="003B41D4">
        <w:t>，並於</w:t>
      </w:r>
      <w:r w:rsidR="00203F72" w:rsidRPr="003B41D4">
        <w:t>2010</w:t>
      </w:r>
      <w:r w:rsidR="00203F72" w:rsidRPr="003B41D4">
        <w:t>年</w:t>
      </w:r>
      <w:r w:rsidR="00203F72" w:rsidRPr="003B41D4">
        <w:t>3</w:t>
      </w:r>
      <w:r w:rsidR="00203F72" w:rsidRPr="003B41D4">
        <w:t>月</w:t>
      </w:r>
      <w:r w:rsidR="00203F72" w:rsidRPr="003B41D4">
        <w:t>22</w:t>
      </w:r>
      <w:r w:rsidR="00203F72" w:rsidRPr="003B41D4">
        <w:t>日正式施行</w:t>
      </w:r>
      <w:r w:rsidR="00203F72" w:rsidRPr="003B41D4">
        <w:footnoteReference w:id="434"/>
      </w:r>
      <w:r w:rsidR="00203F72" w:rsidRPr="003B41D4">
        <w:t>。基本上，兩部法律並非互斥，而係互補。本書因受限於篇幅之因素，故主要係以「就業標準法」中涉及外籍家事勞工薪資及工作時間之法制規範，作為探討之重點。再者，因考量「就業標準法」對於在安大略省工作之勞資雙方，作廣泛性之規定；以及涉及外籍家事勞工之薪資與工作時間之基礎性法制保障部分，係明定於「就業標準法」之中，基於上述相關因素之考量，本書探討之重點，遂集中於「就業標準法」。安大略省之「就業標準法」，在法律之性質上，類似於台灣之「</w:t>
      </w:r>
      <w:hyperlink r:id="rId1730" w:history="1">
        <w:r w:rsidR="00166E2F" w:rsidRPr="002F3FE8">
          <w:rPr>
            <w:rStyle w:val="a5"/>
            <w:rFonts w:ascii="Times New Roman" w:eastAsia="新細明體" w:hAnsi="Times New Roman"/>
          </w:rPr>
          <w:t>勞動基準法</w:t>
        </w:r>
      </w:hyperlink>
      <w:r w:rsidR="00203F72" w:rsidRPr="003B41D4">
        <w:footnoteReference w:id="435"/>
      </w:r>
      <w:r w:rsidR="00203F72" w:rsidRPr="003B41D4">
        <w:t>」。</w:t>
      </w:r>
    </w:p>
    <w:p w14:paraId="51367DAC" w14:textId="77777777" w:rsidR="00953151" w:rsidRPr="003B41D4" w:rsidRDefault="0039258A" w:rsidP="00D87D91">
      <w:r w:rsidRPr="003B41D4">
        <w:t xml:space="preserve">　　</w:t>
      </w:r>
      <w:r w:rsidR="00203F72" w:rsidRPr="003B41D4">
        <w:t>在「就業標準法」之立法架構方面，共計由</w:t>
      </w:r>
      <w:r w:rsidR="00203F72" w:rsidRPr="003B41D4">
        <w:t>28</w:t>
      </w:r>
      <w:r w:rsidR="00203F72" w:rsidRPr="003B41D4">
        <w:t>個部分</w:t>
      </w:r>
      <w:r w:rsidR="00203F72" w:rsidRPr="003B41D4">
        <w:t>(</w:t>
      </w:r>
      <w:r w:rsidR="00203F72" w:rsidRPr="003B41D4">
        <w:t>章</w:t>
      </w:r>
      <w:r w:rsidR="00203F72" w:rsidRPr="003B41D4">
        <w:t>)</w:t>
      </w:r>
      <w:r w:rsidR="00203F72" w:rsidRPr="003B41D4">
        <w:t>及</w:t>
      </w:r>
      <w:r w:rsidR="00203F72" w:rsidRPr="003B41D4">
        <w:t>142</w:t>
      </w:r>
      <w:r w:rsidR="00203F72" w:rsidRPr="003B41D4">
        <w:t>個條文所組成。在各章之章名方面，如下所述：</w:t>
      </w:r>
      <w:r w:rsidR="00203F72" w:rsidRPr="003B41D4">
        <w:t>1.</w:t>
      </w:r>
      <w:r w:rsidR="00203F72" w:rsidRPr="003B41D4">
        <w:t>本法相關名詞之定義；</w:t>
      </w:r>
      <w:r w:rsidR="00203F72" w:rsidRPr="003B41D4">
        <w:t>2.</w:t>
      </w:r>
      <w:r w:rsidR="00203F72" w:rsidRPr="003B41D4">
        <w:t>涉及受聘僱人員權利及義務資訊之公告</w:t>
      </w:r>
      <w:r w:rsidR="00203F72" w:rsidRPr="003B41D4">
        <w:t>(</w:t>
      </w:r>
      <w:r w:rsidR="00203F72" w:rsidRPr="003B41D4">
        <w:t>佈</w:t>
      </w:r>
      <w:r w:rsidR="00203F72" w:rsidRPr="003B41D4">
        <w:t>)</w:t>
      </w:r>
      <w:r w:rsidR="00203F72" w:rsidRPr="003B41D4">
        <w:t>；</w:t>
      </w:r>
      <w:r w:rsidR="00203F72" w:rsidRPr="003B41D4">
        <w:t>3.</w:t>
      </w:r>
      <w:r w:rsidR="00203F72" w:rsidRPr="003B41D4">
        <w:t>本法之適用對象；</w:t>
      </w:r>
      <w:r w:rsidR="00203F72" w:rsidRPr="003B41D4">
        <w:t>4.</w:t>
      </w:r>
      <w:r w:rsidR="00203F72" w:rsidRPr="003B41D4">
        <w:t>就業</w:t>
      </w:r>
      <w:r w:rsidR="00203F72" w:rsidRPr="003B41D4">
        <w:t>(</w:t>
      </w:r>
      <w:r w:rsidR="00203F72" w:rsidRPr="003B41D4">
        <w:t>聘僱</w:t>
      </w:r>
      <w:r w:rsidR="00203F72" w:rsidRPr="003B41D4">
        <w:t>)</w:t>
      </w:r>
      <w:r w:rsidR="00203F72" w:rsidRPr="003B41D4">
        <w:t>之持續性；</w:t>
      </w:r>
      <w:r w:rsidR="00203F72" w:rsidRPr="003B41D4">
        <w:t>5.</w:t>
      </w:r>
      <w:r w:rsidR="00203F72" w:rsidRPr="003B41D4">
        <w:t>薪資之支付；</w:t>
      </w:r>
      <w:r w:rsidR="00203F72" w:rsidRPr="003B41D4">
        <w:t>6.</w:t>
      </w:r>
      <w:r w:rsidR="00203F72" w:rsidRPr="003B41D4">
        <w:t>紀錄；</w:t>
      </w:r>
      <w:r w:rsidR="00203F72" w:rsidRPr="003B41D4">
        <w:t>7.</w:t>
      </w:r>
      <w:r w:rsidR="00203F72" w:rsidRPr="003B41D4">
        <w:t>工作及用膳</w:t>
      </w:r>
      <w:r w:rsidR="00203F72" w:rsidRPr="003B41D4">
        <w:t>(</w:t>
      </w:r>
      <w:r w:rsidR="00203F72" w:rsidRPr="003B41D4">
        <w:t>餐</w:t>
      </w:r>
      <w:r w:rsidR="00203F72" w:rsidRPr="003B41D4">
        <w:t>)</w:t>
      </w:r>
      <w:r w:rsidR="00203F72" w:rsidRPr="003B41D4">
        <w:t>期間之時數；</w:t>
      </w:r>
      <w:r w:rsidR="00203F72" w:rsidRPr="003B41D4">
        <w:t>8.</w:t>
      </w:r>
      <w:r w:rsidR="00203F72" w:rsidRPr="003B41D4">
        <w:t>超時工作之薪資支付；</w:t>
      </w:r>
      <w:r w:rsidR="00203F72" w:rsidRPr="003B41D4">
        <w:t>9.</w:t>
      </w:r>
      <w:r w:rsidR="00203F72" w:rsidRPr="003B41D4">
        <w:t>最低工資；</w:t>
      </w:r>
      <w:r w:rsidR="00203F72" w:rsidRPr="003B41D4">
        <w:t>10.</w:t>
      </w:r>
      <w:r w:rsidR="00203F72" w:rsidRPr="003B41D4">
        <w:t>國定假日；</w:t>
      </w:r>
      <w:r w:rsidR="00203F72" w:rsidRPr="003B41D4">
        <w:t>11.</w:t>
      </w:r>
      <w:r w:rsidR="00203F72" w:rsidRPr="003B41D4">
        <w:t>休假期間薪資之支付；</w:t>
      </w:r>
      <w:r w:rsidR="00203F72" w:rsidRPr="003B41D4">
        <w:t>12.</w:t>
      </w:r>
      <w:r w:rsidR="00203F72" w:rsidRPr="003B41D4">
        <w:t>同工同酬</w:t>
      </w:r>
      <w:r w:rsidR="00203F72" w:rsidRPr="003B41D4">
        <w:t>(Equal pay for equal work)</w:t>
      </w:r>
      <w:r w:rsidR="00203F72" w:rsidRPr="003B41D4">
        <w:t>；</w:t>
      </w:r>
      <w:r w:rsidR="00203F72" w:rsidRPr="003B41D4">
        <w:t>13.</w:t>
      </w:r>
      <w:r w:rsidR="00203F72" w:rsidRPr="003B41D4">
        <w:t>福利津貼計畫</w:t>
      </w:r>
      <w:r w:rsidR="00203F72" w:rsidRPr="003B41D4">
        <w:t>(benefit plans)</w:t>
      </w:r>
      <w:r w:rsidR="00203F72" w:rsidRPr="003B41D4">
        <w:t>；</w:t>
      </w:r>
      <w:r w:rsidR="00203F72" w:rsidRPr="003B41D4">
        <w:t>14.</w:t>
      </w:r>
      <w:r w:rsidR="00203F72" w:rsidRPr="003B41D4">
        <w:t>請假規定；</w:t>
      </w:r>
      <w:r w:rsidR="00203F72" w:rsidRPr="003B41D4">
        <w:t>15.</w:t>
      </w:r>
      <w:r w:rsidR="00203F72" w:rsidRPr="003B41D4">
        <w:t>聘僱契約之到期與解約；</w:t>
      </w:r>
      <w:r w:rsidR="00203F72" w:rsidRPr="003B41D4">
        <w:t>16.</w:t>
      </w:r>
      <w:r w:rsidR="00203F72" w:rsidRPr="003B41D4">
        <w:t>聘僱欺詐之偵查官</w:t>
      </w:r>
      <w:r w:rsidR="00203F72" w:rsidRPr="003B41D4">
        <w:t>(lie detectors)</w:t>
      </w:r>
      <w:r w:rsidR="00203F72" w:rsidRPr="003B41D4">
        <w:t>；</w:t>
      </w:r>
      <w:r w:rsidR="00203F72" w:rsidRPr="003B41D4">
        <w:t>17.</w:t>
      </w:r>
      <w:r w:rsidR="00203F72" w:rsidRPr="003B41D4">
        <w:t>零散之工作；</w:t>
      </w:r>
      <w:r w:rsidR="00203F72" w:rsidRPr="003B41D4">
        <w:t>18.</w:t>
      </w:r>
      <w:r w:rsidR="00203F72" w:rsidRPr="003B41D4">
        <w:t>禁止報復</w:t>
      </w:r>
      <w:r w:rsidR="00203F72" w:rsidRPr="003B41D4">
        <w:t>(</w:t>
      </w:r>
      <w:r w:rsidR="00203F72" w:rsidRPr="003B41D4">
        <w:t>仇</w:t>
      </w:r>
      <w:r w:rsidR="00203F72" w:rsidRPr="003B41D4">
        <w:t>)</w:t>
      </w:r>
      <w:r w:rsidR="00203F72" w:rsidRPr="003B41D4">
        <w:t>；</w:t>
      </w:r>
      <w:r w:rsidR="00203F72" w:rsidRPr="003B41D4">
        <w:t>18-1.</w:t>
      </w:r>
      <w:r w:rsidR="00203F72" w:rsidRPr="003B41D4">
        <w:t>暫時性之協助機構；</w:t>
      </w:r>
      <w:r w:rsidR="00203F72" w:rsidRPr="003B41D4">
        <w:t>19.</w:t>
      </w:r>
      <w:r w:rsidR="00203F72" w:rsidRPr="003B41D4">
        <w:t>建築物之服務提供者</w:t>
      </w:r>
      <w:r w:rsidR="00203F72" w:rsidRPr="003B41D4">
        <w:t>(building services provider)</w:t>
      </w:r>
      <w:r w:rsidR="00203F72" w:rsidRPr="003B41D4">
        <w:t>；</w:t>
      </w:r>
      <w:r w:rsidR="00203F72" w:rsidRPr="003B41D4">
        <w:t>20.</w:t>
      </w:r>
      <w:r w:rsidR="00203F72" w:rsidRPr="003B41D4">
        <w:t>就業標準處處長</w:t>
      </w:r>
      <w:r w:rsidR="00203F72" w:rsidRPr="003B41D4">
        <w:t>(Director of Employment Standards)</w:t>
      </w:r>
      <w:r w:rsidR="00203F72" w:rsidRPr="003B41D4">
        <w:t>之法律責任；</w:t>
      </w:r>
      <w:r w:rsidR="00203F72" w:rsidRPr="003B41D4">
        <w:t>21.</w:t>
      </w:r>
      <w:r w:rsidR="00203F72" w:rsidRPr="003B41D4">
        <w:t>由誰執行本法暨其權限；</w:t>
      </w:r>
      <w:r w:rsidR="00203F72" w:rsidRPr="003B41D4">
        <w:t>22.</w:t>
      </w:r>
      <w:r w:rsidR="00203F72" w:rsidRPr="003B41D4">
        <w:t>申訴與執法；</w:t>
      </w:r>
      <w:r w:rsidR="00203F72" w:rsidRPr="003B41D4">
        <w:t xml:space="preserve">23. </w:t>
      </w:r>
      <w:r w:rsidR="00203F72" w:rsidRPr="003B41D4">
        <w:t>安大略省勞工關係委員會</w:t>
      </w:r>
      <w:r w:rsidR="00203F72" w:rsidRPr="003B41D4">
        <w:t>(the Ontario Labour Relations Board)</w:t>
      </w:r>
      <w:r w:rsidR="00203F72" w:rsidRPr="003B41D4">
        <w:t>之覆審機制</w:t>
      </w:r>
      <w:r w:rsidR="00203F72" w:rsidRPr="003B41D4">
        <w:t>(reviews by the board)</w:t>
      </w:r>
      <w:r w:rsidR="00203F72" w:rsidRPr="003B41D4">
        <w:t>；</w:t>
      </w:r>
      <w:r w:rsidR="00203F72" w:rsidRPr="003B41D4">
        <w:t>24.</w:t>
      </w:r>
      <w:r w:rsidR="00203F72" w:rsidRPr="003B41D4">
        <w:t>未付債款之催收；</w:t>
      </w:r>
      <w:r w:rsidR="00203F72" w:rsidRPr="003B41D4">
        <w:t>25.</w:t>
      </w:r>
      <w:r w:rsidR="00203F72" w:rsidRPr="003B41D4">
        <w:t>觸犯本法之罪行與起訴；</w:t>
      </w:r>
      <w:r w:rsidR="00203F72" w:rsidRPr="003B41D4">
        <w:t>26.</w:t>
      </w:r>
      <w:r w:rsidR="00203F72" w:rsidRPr="003B41D4">
        <w:t>各式證據之提出；</w:t>
      </w:r>
      <w:r w:rsidR="00203F72" w:rsidRPr="003B41D4">
        <w:t>27.</w:t>
      </w:r>
      <w:r w:rsidR="00203F72" w:rsidRPr="003B41D4">
        <w:t>授權命令；</w:t>
      </w:r>
      <w:r w:rsidR="00203F72" w:rsidRPr="003B41D4">
        <w:t>28.</w:t>
      </w:r>
      <w:r w:rsidR="00203F72" w:rsidRPr="003B41D4">
        <w:t>過渡規定。</w:t>
      </w:r>
    </w:p>
    <w:p w14:paraId="32801038" w14:textId="77777777" w:rsidR="00953151" w:rsidRPr="003B41D4" w:rsidRDefault="0039258A" w:rsidP="00D87D91">
      <w:r w:rsidRPr="003B41D4">
        <w:t xml:space="preserve">　　</w:t>
      </w:r>
      <w:r w:rsidR="00203F72" w:rsidRPr="003B41D4">
        <w:t>「就業標準法」（以下簡稱為</w:t>
      </w:r>
      <w:r w:rsidR="00203F72" w:rsidRPr="003B41D4">
        <w:t>ESA</w:t>
      </w:r>
      <w:r w:rsidR="00203F72" w:rsidRPr="003B41D4">
        <w:t>）自從</w:t>
      </w:r>
      <w:r w:rsidR="00203F72" w:rsidRPr="003B41D4">
        <w:t>2000</w:t>
      </w:r>
      <w:r w:rsidR="00203F72" w:rsidRPr="003B41D4">
        <w:t>年公布以來，曾進行數次之修正，修正之年度，分別為</w:t>
      </w:r>
      <w:r w:rsidR="00203F72" w:rsidRPr="003B41D4">
        <w:t>2001</w:t>
      </w:r>
      <w:r w:rsidR="00203F72" w:rsidRPr="003B41D4">
        <w:t>、</w:t>
      </w:r>
      <w:r w:rsidR="00203F72" w:rsidRPr="003B41D4">
        <w:t>2002</w:t>
      </w:r>
      <w:r w:rsidR="00203F72" w:rsidRPr="003B41D4">
        <w:t>、</w:t>
      </w:r>
      <w:r w:rsidR="00203F72" w:rsidRPr="003B41D4">
        <w:t>2004</w:t>
      </w:r>
      <w:r w:rsidR="00203F72" w:rsidRPr="003B41D4">
        <w:t>及</w:t>
      </w:r>
      <w:r w:rsidR="00203F72" w:rsidRPr="003B41D4">
        <w:t>2009</w:t>
      </w:r>
      <w:r w:rsidR="00203F72" w:rsidRPr="003B41D4">
        <w:t>年。經過上開數度之修正，已令</w:t>
      </w:r>
      <w:r w:rsidR="00203F72" w:rsidRPr="003B41D4">
        <w:t>ESA</w:t>
      </w:r>
      <w:r w:rsidR="00203F72" w:rsidRPr="003B41D4">
        <w:t>更加完整與周延。在安大略省，</w:t>
      </w:r>
      <w:r w:rsidR="00203F72" w:rsidRPr="003B41D4">
        <w:t>ESA</w:t>
      </w:r>
      <w:r w:rsidR="00203F72" w:rsidRPr="003B41D4">
        <w:t>之主管機關，係為勞動部</w:t>
      </w:r>
      <w:r w:rsidR="00203F72" w:rsidRPr="003B41D4">
        <w:t>(Ministry of Labour)</w:t>
      </w:r>
      <w:r w:rsidR="00203F72" w:rsidRPr="003B41D4">
        <w:t>；故有關</w:t>
      </w:r>
      <w:r w:rsidR="00203F72" w:rsidRPr="003B41D4">
        <w:t>ESA</w:t>
      </w:r>
      <w:r w:rsidR="00203F72" w:rsidRPr="003B41D4">
        <w:t>之執法，乃由勞動部主其事。勞動部並設置勞動部長</w:t>
      </w:r>
      <w:r w:rsidR="00203F72" w:rsidRPr="003B41D4">
        <w:t>(the Minister of Labour)</w:t>
      </w:r>
      <w:r w:rsidR="00203F72" w:rsidRPr="003B41D4">
        <w:t>一職，主導本法之推動。</w:t>
      </w:r>
    </w:p>
    <w:p w14:paraId="75FAFAEC" w14:textId="77777777" w:rsidR="00953151" w:rsidRPr="003B41D4" w:rsidRDefault="0039258A" w:rsidP="00D87D91">
      <w:r w:rsidRPr="003B41D4">
        <w:t xml:space="preserve">　　</w:t>
      </w:r>
      <w:r w:rsidR="00203F72" w:rsidRPr="003B41D4">
        <w:t>在</w:t>
      </w:r>
      <w:r w:rsidR="00203F72" w:rsidRPr="003B41D4">
        <w:t>ESA</w:t>
      </w:r>
      <w:r w:rsidR="00203F72" w:rsidRPr="003B41D4">
        <w:t>之適用對象方面，外國籍家事勞工亦可適用本法之相關規定。安大略省勞動部為了令境內之外國籍家事勞工能充分瞭解其法律上之權利與義務，特別於其官網上，公告外國籍家事勞工根據</w:t>
      </w:r>
      <w:r w:rsidR="00203F72" w:rsidRPr="003B41D4">
        <w:t>ESA</w:t>
      </w:r>
      <w:r w:rsidR="00203F72" w:rsidRPr="003B41D4">
        <w:t>所能享有之權利，並翻譯成多國籍之語言，輔以影片解說（包括中文解說），主要之目的，係要過過</w:t>
      </w:r>
      <w:r w:rsidR="00203F72" w:rsidRPr="003B41D4">
        <w:t>ESA</w:t>
      </w:r>
      <w:r w:rsidR="00203F72" w:rsidRPr="003B41D4">
        <w:t>之規定，充分保障外國籍家事勞工之權利。</w:t>
      </w:r>
    </w:p>
    <w:p w14:paraId="387933FC" w14:textId="77777777" w:rsidR="00203F72" w:rsidRPr="003B41D4" w:rsidRDefault="0039258A" w:rsidP="00D87D91">
      <w:r w:rsidRPr="003B41D4">
        <w:t xml:space="preserve">　　</w:t>
      </w:r>
      <w:r w:rsidR="00203F72" w:rsidRPr="003B41D4">
        <w:t>根據</w:t>
      </w:r>
      <w:r w:rsidR="00203F72" w:rsidRPr="003B41D4">
        <w:t>ESA</w:t>
      </w:r>
      <w:r w:rsidR="00203F72" w:rsidRPr="003B41D4">
        <w:t>第</w:t>
      </w:r>
      <w:r w:rsidR="00203F72" w:rsidRPr="003B41D4">
        <w:t>3</w:t>
      </w:r>
      <w:r w:rsidR="00203F72" w:rsidRPr="003B41D4">
        <w:t>條第</w:t>
      </w:r>
      <w:r w:rsidR="00203F72" w:rsidRPr="003B41D4">
        <w:t>1</w:t>
      </w:r>
      <w:r w:rsidR="00203F72" w:rsidRPr="003B41D4">
        <w:t>項之規定，在</w:t>
      </w:r>
      <w:r w:rsidR="00203F72" w:rsidRPr="003B41D4">
        <w:t>ESA</w:t>
      </w:r>
      <w:r w:rsidR="00203F72" w:rsidRPr="003B41D4">
        <w:t>中所列舉之就業標準，可適用於以下之對象：</w:t>
      </w:r>
      <w:r w:rsidR="00203F72" w:rsidRPr="003B41D4">
        <w:t>1.</w:t>
      </w:r>
      <w:r w:rsidR="00203F72" w:rsidRPr="003B41D4">
        <w:t>受聘僱之人所執行之工作，係在安大略省境內</w:t>
      </w:r>
      <w:r w:rsidR="00203F72" w:rsidRPr="003B41D4">
        <w:t>(be performed in Ontario)</w:t>
      </w:r>
      <w:r w:rsidR="00203F72" w:rsidRPr="003B41D4">
        <w:t>；</w:t>
      </w:r>
      <w:r w:rsidR="00203F72" w:rsidRPr="003B41D4">
        <w:t>2.</w:t>
      </w:r>
      <w:r w:rsidR="00203F72" w:rsidRPr="003B41D4">
        <w:t>受聘僱之人所執行之工作，除了在安大略省境內，亦在安大略省境外；但在安大略省境外所執行之工作，係屬於由在安大略省境內所執行工作之延伸與持續</w:t>
      </w:r>
      <w:r w:rsidR="00203F72" w:rsidRPr="003B41D4">
        <w:t>(a continuation of work performed in Ontario)</w:t>
      </w:r>
      <w:r w:rsidR="00203F72" w:rsidRPr="003B41D4">
        <w:t>。並非所有在安大略省受聘僱之人，均受到</w:t>
      </w:r>
      <w:r w:rsidR="00203F72" w:rsidRPr="003B41D4">
        <w:t>ESA</w:t>
      </w:r>
      <w:r w:rsidR="00203F72" w:rsidRPr="003B41D4">
        <w:t>之保障；以下之人士，則未受到</w:t>
      </w:r>
      <w:r w:rsidR="00203F72" w:rsidRPr="003B41D4">
        <w:t>ESA</w:t>
      </w:r>
      <w:r w:rsidR="00203F72" w:rsidRPr="003B41D4">
        <w:t>之保障（或僅受到</w:t>
      </w:r>
      <w:r w:rsidR="00203F72" w:rsidRPr="003B41D4">
        <w:t>ESA</w:t>
      </w:r>
      <w:r w:rsidR="00203F72" w:rsidRPr="003B41D4">
        <w:t>部分之保障）：</w:t>
      </w:r>
    </w:p>
    <w:p w14:paraId="1CCC14F4" w14:textId="77777777" w:rsidR="00203F72" w:rsidRPr="003B41D4" w:rsidRDefault="0039258A" w:rsidP="00D87D91">
      <w:r w:rsidRPr="003B41D4">
        <w:rPr>
          <w:rFonts w:hint="eastAsia"/>
        </w:rPr>
        <w:t xml:space="preserve">　　</w:t>
      </w:r>
      <w:r w:rsidRPr="003B41D4">
        <w:rPr>
          <w:rFonts w:hint="eastAsia"/>
        </w:rPr>
        <w:t>(</w:t>
      </w:r>
      <w:r w:rsidRPr="003B41D4">
        <w:rPr>
          <w:rFonts w:hint="eastAsia"/>
        </w:rPr>
        <w:t>一</w:t>
      </w:r>
      <w:r w:rsidRPr="003B41D4">
        <w:rPr>
          <w:rFonts w:hint="eastAsia"/>
        </w:rPr>
        <w:t>)</w:t>
      </w:r>
      <w:r w:rsidR="00203F72" w:rsidRPr="003B41D4">
        <w:t>在加拿大聯邦國會管轄範疇內</w:t>
      </w:r>
      <w:r w:rsidR="00203F72" w:rsidRPr="003B41D4">
        <w:t>(within the legislative jurisdiction of the Parliament of Canada)</w:t>
      </w:r>
      <w:r w:rsidR="00203F72" w:rsidRPr="003B41D4">
        <w:t>工作之雇主及其員工，並非</w:t>
      </w:r>
      <w:r w:rsidR="00203F72" w:rsidRPr="003B41D4">
        <w:t>ESA</w:t>
      </w:r>
      <w:r w:rsidR="00203F72" w:rsidRPr="003B41D4">
        <w:t>適用之對象</w:t>
      </w:r>
      <w:r w:rsidR="00203F72" w:rsidRPr="003B41D4">
        <w:footnoteReference w:id="436"/>
      </w:r>
      <w:r w:rsidR="00203F72" w:rsidRPr="003B41D4">
        <w:t>；</w:t>
      </w:r>
    </w:p>
    <w:p w14:paraId="5C4C9647" w14:textId="77777777" w:rsidR="00203F72" w:rsidRPr="003B41D4" w:rsidRDefault="0039258A" w:rsidP="00D87D91">
      <w:r w:rsidRPr="003B41D4">
        <w:rPr>
          <w:rFonts w:hint="eastAsia"/>
        </w:rPr>
        <w:t xml:space="preserve">　　</w:t>
      </w:r>
      <w:r w:rsidRPr="003B41D4">
        <w:rPr>
          <w:rFonts w:hint="eastAsia"/>
        </w:rPr>
        <w:t>(</w:t>
      </w:r>
      <w:r w:rsidRPr="003B41D4">
        <w:rPr>
          <w:rFonts w:hint="eastAsia"/>
        </w:rPr>
        <w:t>二</w:t>
      </w:r>
      <w:r w:rsidRPr="003B41D4">
        <w:rPr>
          <w:rFonts w:hint="eastAsia"/>
        </w:rPr>
        <w:t>)</w:t>
      </w:r>
      <w:r w:rsidR="00203F72" w:rsidRPr="003B41D4">
        <w:t>在屬於外國政府之大使館或領事館內工作之員工及其雇主，非</w:t>
      </w:r>
      <w:r w:rsidR="00203F72" w:rsidRPr="003B41D4">
        <w:t>ESA</w:t>
      </w:r>
      <w:r w:rsidR="00203F72" w:rsidRPr="003B41D4">
        <w:t>適用之對象</w:t>
      </w:r>
      <w:r w:rsidR="00203F72" w:rsidRPr="003B41D4">
        <w:footnoteReference w:id="437"/>
      </w:r>
      <w:r w:rsidR="00203F72" w:rsidRPr="003B41D4">
        <w:t>；</w:t>
      </w:r>
    </w:p>
    <w:p w14:paraId="012E0022" w14:textId="77777777" w:rsidR="00203F72" w:rsidRPr="003B41D4" w:rsidRDefault="0039258A" w:rsidP="00D87D91">
      <w:r w:rsidRPr="003B41D4">
        <w:rPr>
          <w:rFonts w:hint="eastAsia"/>
        </w:rPr>
        <w:t xml:space="preserve">　　</w:t>
      </w:r>
      <w:r w:rsidRPr="003B41D4">
        <w:rPr>
          <w:rFonts w:hint="eastAsia"/>
        </w:rPr>
        <w:t>(</w:t>
      </w:r>
      <w:r w:rsidRPr="003B41D4">
        <w:rPr>
          <w:rFonts w:hint="eastAsia"/>
        </w:rPr>
        <w:t>三</w:t>
      </w:r>
      <w:r w:rsidRPr="003B41D4">
        <w:rPr>
          <w:rFonts w:hint="eastAsia"/>
        </w:rPr>
        <w:t>)</w:t>
      </w:r>
      <w:r w:rsidR="00203F72" w:rsidRPr="003B41D4">
        <w:t>假若聘僱關係中之雇主，係為加拿大皇室</w:t>
      </w:r>
      <w:r w:rsidR="00203F72" w:rsidRPr="003B41D4">
        <w:t>(the Crown)</w:t>
      </w:r>
      <w:r w:rsidR="00203F72" w:rsidRPr="003B41D4">
        <w:t>、皇室所屬之機構或機關</w:t>
      </w:r>
      <w:r w:rsidR="00203F72" w:rsidRPr="003B41D4">
        <w:t>(a Crown agency or an authority)</w:t>
      </w:r>
      <w:r w:rsidR="00203F72" w:rsidRPr="003B41D4">
        <w:t>、委員會、皇室所任命之委員會或公司</w:t>
      </w:r>
      <w:r w:rsidR="00203F72" w:rsidRPr="003B41D4">
        <w:t>(corporation)</w:t>
      </w:r>
      <w:r w:rsidR="00203F72" w:rsidRPr="003B41D4">
        <w:t>，則僅</w:t>
      </w:r>
      <w:r w:rsidR="00203F72" w:rsidRPr="003B41D4">
        <w:t>ESA</w:t>
      </w:r>
      <w:r w:rsidR="00203F72" w:rsidRPr="003B41D4">
        <w:t>部分之條文，可適用於上開之雇主及其聘僱之員工；可被適用之</w:t>
      </w:r>
      <w:r w:rsidR="00203F72" w:rsidRPr="003B41D4">
        <w:t>ESA</w:t>
      </w:r>
      <w:r w:rsidR="00203F72" w:rsidRPr="003B41D4">
        <w:t>，係為第</w:t>
      </w:r>
      <w:r w:rsidR="00203F72" w:rsidRPr="003B41D4">
        <w:t>4</w:t>
      </w:r>
      <w:r w:rsidR="00203F72" w:rsidRPr="003B41D4">
        <w:t>章第</w:t>
      </w:r>
      <w:r w:rsidR="00203F72" w:rsidRPr="003B41D4">
        <w:t>14</w:t>
      </w:r>
      <w:r w:rsidR="00203F72" w:rsidRPr="003B41D4">
        <w:t>條、第</w:t>
      </w:r>
      <w:r w:rsidR="00203F72" w:rsidRPr="003B41D4">
        <w:t>12</w:t>
      </w:r>
      <w:r w:rsidR="00203F72" w:rsidRPr="003B41D4">
        <w:t>章、第</w:t>
      </w:r>
      <w:r w:rsidR="00203F72" w:rsidRPr="003B41D4">
        <w:t>13</w:t>
      </w:r>
      <w:r w:rsidR="00203F72" w:rsidRPr="003B41D4">
        <w:t>章、第</w:t>
      </w:r>
      <w:r w:rsidR="00203F72" w:rsidRPr="003B41D4">
        <w:t>14</w:t>
      </w:r>
      <w:r w:rsidR="00203F72" w:rsidRPr="003B41D4">
        <w:t>章、第</w:t>
      </w:r>
      <w:r w:rsidR="00203F72" w:rsidRPr="003B41D4">
        <w:t>15</w:t>
      </w:r>
      <w:r w:rsidR="00203F72" w:rsidRPr="003B41D4">
        <w:t>章、第</w:t>
      </w:r>
      <w:r w:rsidR="00203F72" w:rsidRPr="003B41D4">
        <w:t>16</w:t>
      </w:r>
      <w:r w:rsidR="00203F72" w:rsidRPr="003B41D4">
        <w:t>章、第</w:t>
      </w:r>
      <w:r w:rsidR="00203F72" w:rsidRPr="003B41D4">
        <w:t>18</w:t>
      </w:r>
      <w:r w:rsidR="00203F72" w:rsidRPr="003B41D4">
        <w:t>章</w:t>
      </w:r>
      <w:r w:rsidR="00203F72" w:rsidRPr="003B41D4">
        <w:t>(</w:t>
      </w:r>
      <w:r w:rsidR="00203F72" w:rsidRPr="003B41D4">
        <w:t>但不包括</w:t>
      </w:r>
      <w:r w:rsidR="00203F72" w:rsidRPr="003B41D4">
        <w:t>§74(1)(a)(vii)</w:t>
      </w:r>
      <w:r w:rsidR="00203F72" w:rsidRPr="003B41D4">
        <w:t>及</w:t>
      </w:r>
      <w:r w:rsidR="00203F72" w:rsidRPr="003B41D4">
        <w:t>§74(1)(b))</w:t>
      </w:r>
      <w:r w:rsidR="00203F72" w:rsidRPr="003B41D4">
        <w:t>及第</w:t>
      </w:r>
      <w:r w:rsidR="00203F72" w:rsidRPr="003B41D4">
        <w:t>19</w:t>
      </w:r>
      <w:r w:rsidR="00203F72" w:rsidRPr="003B41D4">
        <w:t>章</w:t>
      </w:r>
      <w:r w:rsidR="00203F72" w:rsidRPr="003B41D4">
        <w:footnoteReference w:id="438"/>
      </w:r>
      <w:r w:rsidR="00203F72" w:rsidRPr="003B41D4">
        <w:t>；</w:t>
      </w:r>
    </w:p>
    <w:p w14:paraId="5CC7BFC3" w14:textId="77777777" w:rsidR="00203F72" w:rsidRPr="003B41D4" w:rsidRDefault="0039258A" w:rsidP="00D87D91">
      <w:r w:rsidRPr="003B41D4">
        <w:rPr>
          <w:rFonts w:hint="eastAsia"/>
        </w:rPr>
        <w:t xml:space="preserve">　　</w:t>
      </w:r>
      <w:r w:rsidRPr="003B41D4">
        <w:rPr>
          <w:rFonts w:hint="eastAsia"/>
        </w:rPr>
        <w:t>(</w:t>
      </w:r>
      <w:r w:rsidRPr="003B41D4">
        <w:rPr>
          <w:rFonts w:hint="eastAsia"/>
        </w:rPr>
        <w:t>四</w:t>
      </w:r>
      <w:r w:rsidRPr="003B41D4">
        <w:rPr>
          <w:rFonts w:hint="eastAsia"/>
        </w:rPr>
        <w:t>)</w:t>
      </w:r>
      <w:r w:rsidR="00203F72" w:rsidRPr="003B41D4">
        <w:t>其他之人士，此部分亦非</w:t>
      </w:r>
      <w:r w:rsidR="00203F72" w:rsidRPr="003B41D4">
        <w:t>ESA</w:t>
      </w:r>
      <w:r w:rsidR="00203F72" w:rsidRPr="003B41D4">
        <w:t>可適用之部分</w:t>
      </w:r>
      <w:r w:rsidR="00203F72" w:rsidRPr="003B41D4">
        <w:footnoteReference w:id="439"/>
      </w:r>
      <w:r w:rsidR="00203F72" w:rsidRPr="003B41D4">
        <w:t>；</w:t>
      </w:r>
    </w:p>
    <w:p w14:paraId="76148A82" w14:textId="77777777" w:rsidR="00203F72" w:rsidRPr="003B41D4" w:rsidRDefault="00254E32"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如在學之學生其所從事之工作，係屬於其所註冊就學之學校所主導之工作經驗計畫；</w:t>
      </w:r>
    </w:p>
    <w:p w14:paraId="0D128D66" w14:textId="77777777" w:rsidR="00203F72" w:rsidRPr="003B41D4" w:rsidRDefault="00254E32" w:rsidP="00D87D91">
      <w:r w:rsidRPr="003B41D4">
        <w:rPr>
          <w:rFonts w:hint="eastAsia"/>
        </w:rPr>
        <w:t xml:space="preserve">　　</w:t>
      </w:r>
      <w:r w:rsidR="0039258A" w:rsidRPr="003B41D4">
        <w:rPr>
          <w:rFonts w:hint="eastAsia"/>
        </w:rPr>
        <w:t>2</w:t>
      </w:r>
      <w:r w:rsidR="0039258A" w:rsidRPr="003B41D4">
        <w:rPr>
          <w:rFonts w:hint="eastAsia"/>
        </w:rPr>
        <w:t>、</w:t>
      </w:r>
      <w:r w:rsidR="00203F72" w:rsidRPr="003B41D4">
        <w:t>在經由應用藝術及科技學院或大學所認可之計畫下，執行工作之個人；</w:t>
      </w:r>
    </w:p>
    <w:p w14:paraId="1BC73263" w14:textId="77777777" w:rsidR="00203F72" w:rsidRPr="003B41D4" w:rsidRDefault="00254E32" w:rsidP="00D87D91">
      <w:r w:rsidRPr="003B41D4">
        <w:rPr>
          <w:rFonts w:hint="eastAsia"/>
        </w:rPr>
        <w:t xml:space="preserve">　　</w:t>
      </w:r>
      <w:r w:rsidR="0039258A" w:rsidRPr="003B41D4">
        <w:rPr>
          <w:rFonts w:hint="eastAsia"/>
        </w:rPr>
        <w:t>3</w:t>
      </w:r>
      <w:r w:rsidR="0039258A" w:rsidRPr="003B41D4">
        <w:rPr>
          <w:rFonts w:hint="eastAsia"/>
        </w:rPr>
        <w:t>、</w:t>
      </w:r>
      <w:r w:rsidR="00203F72" w:rsidRPr="003B41D4">
        <w:t>根據</w:t>
      </w:r>
      <w:r w:rsidR="00203F72" w:rsidRPr="003B41D4">
        <w:t>1997</w:t>
      </w:r>
      <w:r w:rsidR="00203F72" w:rsidRPr="003B41D4">
        <w:t>年安大略省工作法</w:t>
      </w:r>
      <w:r w:rsidR="00203F72" w:rsidRPr="003B41D4">
        <w:t>(the Ontario Works Act)</w:t>
      </w:r>
      <w:r w:rsidR="00203F72" w:rsidRPr="003B41D4">
        <w:t>之規定，從事社區參與工作之參與人</w:t>
      </w:r>
      <w:r w:rsidR="00203F72" w:rsidRPr="003B41D4">
        <w:t>(A participant in community participation)</w:t>
      </w:r>
      <w:r w:rsidR="00203F72" w:rsidRPr="003B41D4">
        <w:t>；</w:t>
      </w:r>
    </w:p>
    <w:p w14:paraId="43E4B983" w14:textId="77777777" w:rsidR="00203F72" w:rsidRPr="003B41D4" w:rsidRDefault="00254E32" w:rsidP="00D87D91">
      <w:r w:rsidRPr="003B41D4">
        <w:rPr>
          <w:rFonts w:hint="eastAsia"/>
        </w:rPr>
        <w:t xml:space="preserve">　　</w:t>
      </w:r>
      <w:r w:rsidR="0039258A" w:rsidRPr="003B41D4">
        <w:rPr>
          <w:rFonts w:hint="eastAsia"/>
        </w:rPr>
        <w:t>4</w:t>
      </w:r>
      <w:r w:rsidR="0039258A" w:rsidRPr="003B41D4">
        <w:rPr>
          <w:rFonts w:hint="eastAsia"/>
        </w:rPr>
        <w:t>、</w:t>
      </w:r>
      <w:r w:rsidR="00203F72" w:rsidRPr="003B41D4">
        <w:t>根據矯正事務部組織條例</w:t>
      </w:r>
      <w:r w:rsidR="00203F72" w:rsidRPr="003B41D4">
        <w:t>(the Ministry of Correctional Services Act)</w:t>
      </w:r>
      <w:r w:rsidR="00203F72" w:rsidRPr="003B41D4">
        <w:t>之規定，被收容於矯正機構內受刑人</w:t>
      </w:r>
      <w:r w:rsidR="00203F72" w:rsidRPr="003B41D4">
        <w:t>(an inmate of a correctional institution)</w:t>
      </w:r>
      <w:r w:rsidR="00203F72" w:rsidRPr="003B41D4">
        <w:t>；依據警察服務條例</w:t>
      </w:r>
      <w:r w:rsidR="00203F72" w:rsidRPr="003B41D4">
        <w:t>(Police Services Act)</w:t>
      </w:r>
      <w:r w:rsidR="00203F72" w:rsidRPr="003B41D4">
        <w:t>之規定，被拘留於收容所內之被拘留人；及依據青少年刑事司法條例</w:t>
      </w:r>
      <w:r w:rsidR="00203F72" w:rsidRPr="003B41D4">
        <w:t>(Youth Criminal Justice Act)</w:t>
      </w:r>
      <w:r w:rsidR="00203F72" w:rsidRPr="003B41D4">
        <w:t>之規定，被留置於暫時性之收容中心，或被收容於少年觀護所內之少年，上開之受刑人、被拘留人或被收容之少年，其在前述之矯正機構、收容所</w:t>
      </w:r>
      <w:r w:rsidR="00203F72" w:rsidRPr="003B41D4">
        <w:t>(</w:t>
      </w:r>
      <w:r w:rsidR="00203F72" w:rsidRPr="003B41D4">
        <w:t>中心</w:t>
      </w:r>
      <w:r w:rsidR="00203F72" w:rsidRPr="003B41D4">
        <w:t>)</w:t>
      </w:r>
      <w:r w:rsidR="00203F72" w:rsidRPr="003B41D4">
        <w:t>或少年觀護所內、外，所參與之工作或康復矯正之計畫活動，均不適用</w:t>
      </w:r>
      <w:r w:rsidR="00203F72" w:rsidRPr="003B41D4">
        <w:t>ESA</w:t>
      </w:r>
      <w:r w:rsidR="00203F72" w:rsidRPr="003B41D4">
        <w:t>之保障；</w:t>
      </w:r>
    </w:p>
    <w:p w14:paraId="38AD9D3F" w14:textId="77777777" w:rsidR="00203F72" w:rsidRPr="003B41D4" w:rsidRDefault="00254E32" w:rsidP="00D87D91">
      <w:r w:rsidRPr="003B41D4">
        <w:rPr>
          <w:rFonts w:hint="eastAsia"/>
        </w:rPr>
        <w:t xml:space="preserve">　　</w:t>
      </w:r>
      <w:r w:rsidR="0039258A" w:rsidRPr="003B41D4">
        <w:rPr>
          <w:rFonts w:hint="eastAsia"/>
        </w:rPr>
        <w:t>5</w:t>
      </w:r>
      <w:r w:rsidR="0039258A" w:rsidRPr="003B41D4">
        <w:rPr>
          <w:rFonts w:hint="eastAsia"/>
        </w:rPr>
        <w:t>、</w:t>
      </w:r>
      <w:r w:rsidR="00203F72" w:rsidRPr="003B41D4">
        <w:t>因依據法院之判刑或命令，被告所執行之工作；或因根據青少年刑事司法條例之規定，青少年所執行之工作，係屬於社區矯正措施之一部分，以上之工作及個人，均非</w:t>
      </w:r>
      <w:r w:rsidR="00203F72" w:rsidRPr="003B41D4">
        <w:t>ESA</w:t>
      </w:r>
      <w:r w:rsidR="00203F72" w:rsidRPr="003B41D4">
        <w:t>所適用之對象；</w:t>
      </w:r>
    </w:p>
    <w:p w14:paraId="77765EBD" w14:textId="77777777" w:rsidR="00203F72" w:rsidRPr="003B41D4" w:rsidRDefault="00254E32" w:rsidP="00D87D91">
      <w:r w:rsidRPr="003B41D4">
        <w:rPr>
          <w:rFonts w:hint="eastAsia"/>
        </w:rPr>
        <w:t xml:space="preserve">　　</w:t>
      </w:r>
      <w:r w:rsidR="0039258A" w:rsidRPr="003B41D4">
        <w:rPr>
          <w:rFonts w:hint="eastAsia"/>
        </w:rPr>
        <w:t>6</w:t>
      </w:r>
      <w:r w:rsidR="0039258A" w:rsidRPr="003B41D4">
        <w:rPr>
          <w:rFonts w:hint="eastAsia"/>
        </w:rPr>
        <w:t>、</w:t>
      </w:r>
      <w:r w:rsidR="00203F72" w:rsidRPr="003B41D4">
        <w:t>如行為人所從事之工作或其所處之環境，係屬於矯正處遇之部分內容者，則亦無法適用</w:t>
      </w:r>
      <w:r w:rsidR="00203F72" w:rsidRPr="003B41D4">
        <w:t>ESA</w:t>
      </w:r>
      <w:r w:rsidR="00203F72" w:rsidRPr="003B41D4">
        <w:t>；</w:t>
      </w:r>
    </w:p>
    <w:p w14:paraId="131D653C" w14:textId="77777777" w:rsidR="00203F72" w:rsidRPr="003B41D4" w:rsidRDefault="00254E32" w:rsidP="00D87D91">
      <w:r w:rsidRPr="003B41D4">
        <w:rPr>
          <w:rFonts w:hint="eastAsia"/>
        </w:rPr>
        <w:t xml:space="preserve">　　</w:t>
      </w:r>
      <w:r w:rsidR="0039258A" w:rsidRPr="003B41D4">
        <w:rPr>
          <w:rFonts w:hint="eastAsia"/>
        </w:rPr>
        <w:t>7</w:t>
      </w:r>
      <w:r w:rsidR="0039258A" w:rsidRPr="003B41D4">
        <w:rPr>
          <w:rFonts w:hint="eastAsia"/>
        </w:rPr>
        <w:t>、</w:t>
      </w:r>
      <w:r w:rsidR="00203F72" w:rsidRPr="003B41D4">
        <w:t>政治性、宗教性或司法性辦公處所之負責人</w:t>
      </w:r>
      <w:r w:rsidR="00203F72" w:rsidRPr="003B41D4">
        <w:t>(</w:t>
      </w:r>
      <w:r w:rsidR="00203F72" w:rsidRPr="003B41D4">
        <w:t>佔有人</w:t>
      </w:r>
      <w:r w:rsidR="00203F72" w:rsidRPr="003B41D4">
        <w:t>)</w:t>
      </w:r>
      <w:r w:rsidR="00203F72" w:rsidRPr="003B41D4">
        <w:t>；</w:t>
      </w:r>
    </w:p>
    <w:p w14:paraId="69C169EA" w14:textId="77777777" w:rsidR="00203F72" w:rsidRPr="003B41D4" w:rsidRDefault="00254E32" w:rsidP="00D87D91">
      <w:r w:rsidRPr="003B41D4">
        <w:rPr>
          <w:rFonts w:hint="eastAsia"/>
        </w:rPr>
        <w:t xml:space="preserve">　　</w:t>
      </w:r>
      <w:r w:rsidR="0039258A" w:rsidRPr="003B41D4">
        <w:rPr>
          <w:rFonts w:hint="eastAsia"/>
        </w:rPr>
        <w:t>8</w:t>
      </w:r>
      <w:r w:rsidR="0039258A" w:rsidRPr="003B41D4">
        <w:rPr>
          <w:rFonts w:hint="eastAsia"/>
        </w:rPr>
        <w:t>、</w:t>
      </w:r>
      <w:r w:rsidR="00203F72" w:rsidRPr="003B41D4">
        <w:t>準司法裁判機構之成員，亦非</w:t>
      </w:r>
      <w:r w:rsidR="00203F72" w:rsidRPr="003B41D4">
        <w:t>ESA</w:t>
      </w:r>
      <w:r w:rsidR="00203F72" w:rsidRPr="003B41D4">
        <w:t>所適用之對象；</w:t>
      </w:r>
    </w:p>
    <w:p w14:paraId="3C091BE9" w14:textId="77777777" w:rsidR="00203F72" w:rsidRPr="003B41D4" w:rsidRDefault="00254E32" w:rsidP="00D87D91">
      <w:r w:rsidRPr="003B41D4">
        <w:rPr>
          <w:rFonts w:hint="eastAsia"/>
        </w:rPr>
        <w:t xml:space="preserve">　　</w:t>
      </w:r>
      <w:r w:rsidR="0039258A" w:rsidRPr="003B41D4">
        <w:rPr>
          <w:rFonts w:hint="eastAsia"/>
        </w:rPr>
        <w:t>9</w:t>
      </w:r>
      <w:r w:rsidR="0039258A" w:rsidRPr="003B41D4">
        <w:rPr>
          <w:rFonts w:hint="eastAsia"/>
        </w:rPr>
        <w:t>、</w:t>
      </w:r>
      <w:r w:rsidR="00203F72" w:rsidRPr="003B41D4">
        <w:t>在某個團體組織之中</w:t>
      </w:r>
      <w:r w:rsidR="00203F72" w:rsidRPr="003B41D4">
        <w:t>(</w:t>
      </w:r>
      <w:r w:rsidR="00203F72" w:rsidRPr="003B41D4">
        <w:t>包括商業聯盟之組織</w:t>
      </w:r>
      <w:r w:rsidR="00203F72" w:rsidRPr="003B41D4">
        <w:t>)( including a trade union)</w:t>
      </w:r>
      <w:r w:rsidR="00203F72" w:rsidRPr="003B41D4">
        <w:t>，因選舉之因素，而被成立之辦公處所之負責人</w:t>
      </w:r>
      <w:r w:rsidR="00203F72" w:rsidRPr="003B41D4">
        <w:t>(</w:t>
      </w:r>
      <w:r w:rsidR="00203F72" w:rsidRPr="003B41D4">
        <w:t>佔有人</w:t>
      </w:r>
      <w:r w:rsidR="00203F72" w:rsidRPr="003B41D4">
        <w:t>)( A holder of elected office)</w:t>
      </w:r>
      <w:r w:rsidR="00203F72" w:rsidRPr="003B41D4">
        <w:t>；</w:t>
      </w:r>
    </w:p>
    <w:p w14:paraId="448094AF" w14:textId="77777777" w:rsidR="00203F72" w:rsidRPr="003B41D4" w:rsidRDefault="00254E32" w:rsidP="00D87D91">
      <w:r w:rsidRPr="003B41D4">
        <w:rPr>
          <w:rFonts w:hint="eastAsia"/>
        </w:rPr>
        <w:t xml:space="preserve">　　</w:t>
      </w:r>
      <w:r w:rsidR="0039258A" w:rsidRPr="003B41D4">
        <w:rPr>
          <w:rFonts w:hint="eastAsia"/>
        </w:rPr>
        <w:t>10</w:t>
      </w:r>
      <w:r w:rsidR="0039258A" w:rsidRPr="003B41D4">
        <w:rPr>
          <w:rFonts w:hint="eastAsia"/>
        </w:rPr>
        <w:t>、</w:t>
      </w:r>
      <w:r w:rsidR="00203F72" w:rsidRPr="003B41D4">
        <w:t>警察官</w:t>
      </w:r>
      <w:r w:rsidR="00203F72" w:rsidRPr="003B41D4">
        <w:t>(A police officer)</w:t>
      </w:r>
      <w:r w:rsidR="00203F72" w:rsidRPr="003B41D4">
        <w:t>僅可適用</w:t>
      </w:r>
      <w:r w:rsidR="00203F72" w:rsidRPr="003B41D4">
        <w:t>ESA</w:t>
      </w:r>
      <w:r w:rsidR="00203F72" w:rsidRPr="003B41D4">
        <w:t>中之第</w:t>
      </w:r>
      <w:r w:rsidR="00203F72" w:rsidRPr="003B41D4">
        <w:t>16</w:t>
      </w:r>
      <w:r w:rsidR="00203F72" w:rsidRPr="003B41D4">
        <w:t>章；</w:t>
      </w:r>
    </w:p>
    <w:p w14:paraId="13D4CBA7" w14:textId="77777777" w:rsidR="00953151" w:rsidRPr="003B41D4" w:rsidRDefault="0039258A" w:rsidP="00D87D91">
      <w:r w:rsidRPr="003B41D4">
        <w:rPr>
          <w:rFonts w:hint="eastAsia"/>
        </w:rPr>
        <w:t>11</w:t>
      </w:r>
      <w:r w:rsidRPr="003B41D4">
        <w:rPr>
          <w:rFonts w:hint="eastAsia"/>
        </w:rPr>
        <w:t>、</w:t>
      </w:r>
      <w:r w:rsidR="00203F72" w:rsidRPr="003B41D4">
        <w:t>公司企業之負責人僅可適用</w:t>
      </w:r>
      <w:r w:rsidR="00203F72" w:rsidRPr="003B41D4">
        <w:t>ESA</w:t>
      </w:r>
      <w:r w:rsidR="00203F72" w:rsidRPr="003B41D4">
        <w:t>中之第</w:t>
      </w:r>
      <w:r w:rsidR="00203F72" w:rsidRPr="003B41D4">
        <w:t>20</w:t>
      </w:r>
      <w:r w:rsidR="00203F72" w:rsidRPr="003B41D4">
        <w:t>章、第</w:t>
      </w:r>
      <w:r w:rsidR="00203F72" w:rsidRPr="003B41D4">
        <w:t>21</w:t>
      </w:r>
      <w:r w:rsidR="00203F72" w:rsidRPr="003B41D4">
        <w:t>章、第</w:t>
      </w:r>
      <w:r w:rsidR="00203F72" w:rsidRPr="003B41D4">
        <w:t>22</w:t>
      </w:r>
      <w:r w:rsidR="00203F72" w:rsidRPr="003B41D4">
        <w:t>章、第</w:t>
      </w:r>
      <w:r w:rsidR="00203F72" w:rsidRPr="003B41D4">
        <w:t>23</w:t>
      </w:r>
      <w:r w:rsidR="00203F72" w:rsidRPr="003B41D4">
        <w:t>章、第</w:t>
      </w:r>
      <w:r w:rsidR="00203F72" w:rsidRPr="003B41D4">
        <w:t>24</w:t>
      </w:r>
      <w:r w:rsidR="00203F72" w:rsidRPr="003B41D4">
        <w:t>章、第</w:t>
      </w:r>
      <w:r w:rsidR="00203F72" w:rsidRPr="003B41D4">
        <w:t>25</w:t>
      </w:r>
      <w:r w:rsidR="00203F72" w:rsidRPr="003B41D4">
        <w:t>章、第</w:t>
      </w:r>
      <w:r w:rsidR="00203F72" w:rsidRPr="003B41D4">
        <w:t>26</w:t>
      </w:r>
      <w:r w:rsidR="00203F72" w:rsidRPr="003B41D4">
        <w:t>章、第</w:t>
      </w:r>
      <w:r w:rsidR="00203F72" w:rsidRPr="003B41D4">
        <w:t>27</w:t>
      </w:r>
      <w:r w:rsidR="00203F72" w:rsidRPr="003B41D4">
        <w:t>章及第</w:t>
      </w:r>
      <w:r w:rsidR="00203F72" w:rsidRPr="003B41D4">
        <w:t>28</w:t>
      </w:r>
      <w:r w:rsidR="00203F72" w:rsidRPr="003B41D4">
        <w:t>章；</w:t>
      </w:r>
    </w:p>
    <w:p w14:paraId="6595837B" w14:textId="77777777" w:rsidR="00203F72" w:rsidRPr="003B41D4" w:rsidRDefault="0039258A" w:rsidP="00D87D91">
      <w:r w:rsidRPr="003B41D4">
        <w:t xml:space="preserve">　　</w:t>
      </w:r>
      <w:r w:rsidR="00203F72" w:rsidRPr="003B41D4">
        <w:t>綜整</w:t>
      </w:r>
      <w:r w:rsidR="00203F72" w:rsidRPr="003B41D4">
        <w:t>ESA</w:t>
      </w:r>
      <w:r w:rsidR="00203F72" w:rsidRPr="003B41D4">
        <w:t>第</w:t>
      </w:r>
      <w:r w:rsidR="00203F72" w:rsidRPr="003B41D4">
        <w:t>3</w:t>
      </w:r>
      <w:r w:rsidR="00203F72" w:rsidRPr="003B41D4">
        <w:t>條上述之相關規定，可得知若雇主或被聘僱之人員，其所工作之地點，係在安大略省之內，基本上，是可以適用</w:t>
      </w:r>
      <w:r w:rsidR="00203F72" w:rsidRPr="003B41D4">
        <w:t>ESA</w:t>
      </w:r>
      <w:r w:rsidR="00203F72" w:rsidRPr="003B41D4">
        <w:t>之條文規範；但仍有例外之情形，諸如：於聯邦國會內工作者；在外國政府之大使館或領事館內工作；受僱於加拿大皇家或其所屬之相關機構；在學學生所從事之建教合作方案之工作；執行大學所屬之計畫之個人；社區工作之參與人；矯正機構內之受刑人或受收容人；執行刑事司法判決或社區處遇工作之被告；執行矯正處遇工作之受矯正人；政治、宗教或司法辦公處所之負責人；準司法機構之人員；因選舉之故，設置於某團體組織內之處公處所之負責人；警察官；及公司企業之負責人。</w:t>
      </w:r>
    </w:p>
    <w:p w14:paraId="33E20044" w14:textId="77777777" w:rsidR="00953151" w:rsidRPr="003B41D4" w:rsidRDefault="0039258A" w:rsidP="00D87D91">
      <w:r w:rsidRPr="003B41D4">
        <w:t xml:space="preserve">　　</w:t>
      </w:r>
      <w:r w:rsidR="00203F72" w:rsidRPr="003B41D4">
        <w:t>因外國籍家事勞工之工作地點，係在安大略省之境內，故符合</w:t>
      </w:r>
      <w:r w:rsidR="00203F72" w:rsidRPr="003B41D4">
        <w:t>ESA</w:t>
      </w:r>
      <w:r w:rsidR="00203F72" w:rsidRPr="003B41D4">
        <w:t>第</w:t>
      </w:r>
      <w:r w:rsidR="00203F72" w:rsidRPr="003B41D4">
        <w:t>3</w:t>
      </w:r>
      <w:r w:rsidR="00203F72" w:rsidRPr="003B41D4">
        <w:t>條第</w:t>
      </w:r>
      <w:r w:rsidR="00203F72" w:rsidRPr="003B41D4">
        <w:t>1</w:t>
      </w:r>
      <w:r w:rsidR="00203F72" w:rsidRPr="003B41D4">
        <w:t>項第</w:t>
      </w:r>
      <w:r w:rsidR="00203F72" w:rsidRPr="003B41D4">
        <w:t>(a)</w:t>
      </w:r>
      <w:r w:rsidR="00203F72" w:rsidRPr="003B41D4">
        <w:t>款之規定；再者，其未屬於</w:t>
      </w:r>
      <w:r w:rsidR="00203F72" w:rsidRPr="003B41D4">
        <w:t>ESA</w:t>
      </w:r>
      <w:r w:rsidR="00203F72" w:rsidRPr="003B41D4">
        <w:t>第</w:t>
      </w:r>
      <w:r w:rsidR="00203F72" w:rsidRPr="003B41D4">
        <w:t>3</w:t>
      </w:r>
      <w:r w:rsidR="00203F72" w:rsidRPr="003B41D4">
        <w:t>條第</w:t>
      </w:r>
      <w:r w:rsidR="00203F72" w:rsidRPr="003B41D4">
        <w:t>(2)</w:t>
      </w:r>
      <w:r w:rsidR="00203F72" w:rsidRPr="003B41D4">
        <w:t>、</w:t>
      </w:r>
      <w:r w:rsidR="00203F72" w:rsidRPr="003B41D4">
        <w:t>(3)</w:t>
      </w:r>
      <w:r w:rsidR="00203F72" w:rsidRPr="003B41D4">
        <w:t>、</w:t>
      </w:r>
      <w:r w:rsidR="00203F72" w:rsidRPr="003B41D4">
        <w:t>(4)</w:t>
      </w:r>
      <w:r w:rsidR="00203F72" w:rsidRPr="003B41D4">
        <w:t>、</w:t>
      </w:r>
      <w:r w:rsidR="00203F72" w:rsidRPr="003B41D4">
        <w:t>(5)</w:t>
      </w:r>
      <w:r w:rsidR="00203F72" w:rsidRPr="003B41D4">
        <w:t>項排除適用之對象，故外國籍家事勞工亦可適用</w:t>
      </w:r>
      <w:r w:rsidR="00203F72" w:rsidRPr="003B41D4">
        <w:t>ESA</w:t>
      </w:r>
      <w:r w:rsidR="00203F72" w:rsidRPr="003B41D4">
        <w:t>之相關規定。</w:t>
      </w:r>
    </w:p>
    <w:p w14:paraId="003110D7" w14:textId="77777777" w:rsidR="00203F72" w:rsidRPr="003B41D4" w:rsidRDefault="0039258A" w:rsidP="00D87D91">
      <w:r w:rsidRPr="003B41D4">
        <w:t xml:space="preserve">　　</w:t>
      </w:r>
      <w:r w:rsidR="00203F72" w:rsidRPr="003B41D4">
        <w:t>另外，亦可從</w:t>
      </w:r>
      <w:r w:rsidR="00203F72" w:rsidRPr="003B41D4">
        <w:t>ESA</w:t>
      </w:r>
      <w:r w:rsidR="00203F72" w:rsidRPr="003B41D4">
        <w:t>第</w:t>
      </w:r>
      <w:r w:rsidR="00203F72" w:rsidRPr="003B41D4">
        <w:t>1</w:t>
      </w:r>
      <w:r w:rsidR="00203F72" w:rsidRPr="003B41D4">
        <w:t>條第</w:t>
      </w:r>
      <w:r w:rsidR="00203F72" w:rsidRPr="003B41D4">
        <w:t>1</w:t>
      </w:r>
      <w:r w:rsidR="00203F72" w:rsidRPr="003B41D4">
        <w:t>項涉及被聘僱人員之定義中，可得知</w:t>
      </w:r>
      <w:r w:rsidR="00203F72" w:rsidRPr="003B41D4">
        <w:t>ESA</w:t>
      </w:r>
      <w:r w:rsidR="00203F72" w:rsidRPr="003B41D4">
        <w:t>所適用之對象，包括外國籍家事勞工之工作族群。依據</w:t>
      </w:r>
      <w:r w:rsidR="00203F72" w:rsidRPr="003B41D4">
        <w:t>ESA</w:t>
      </w:r>
      <w:r w:rsidR="00203F72" w:rsidRPr="003B41D4">
        <w:t>第</w:t>
      </w:r>
      <w:r w:rsidR="00203F72" w:rsidRPr="003B41D4">
        <w:t>1</w:t>
      </w:r>
      <w:r w:rsidR="00203F72" w:rsidRPr="003B41D4">
        <w:t>條第</w:t>
      </w:r>
      <w:r w:rsidR="00203F72" w:rsidRPr="003B41D4">
        <w:t>1</w:t>
      </w:r>
      <w:r w:rsidR="00203F72" w:rsidRPr="003B41D4">
        <w:t>項有關被聘僱員工之定義，所謂之「員工」，計包括以下之人士</w:t>
      </w:r>
      <w:r w:rsidR="00203F72" w:rsidRPr="003B41D4">
        <w:footnoteReference w:id="440"/>
      </w:r>
      <w:r w:rsidR="00203F72" w:rsidRPr="003B41D4">
        <w:t>：</w:t>
      </w:r>
    </w:p>
    <w:p w14:paraId="755FBD4D" w14:textId="77777777" w:rsidR="00203F72" w:rsidRPr="003B41D4" w:rsidRDefault="00254E32"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在公司團體內工作之員工，包括幹部</w:t>
      </w:r>
      <w:r w:rsidR="00203F72" w:rsidRPr="003B41D4">
        <w:t>(including an officer of a corporation)</w:t>
      </w:r>
      <w:r w:rsidR="00203F72" w:rsidRPr="003B41D4">
        <w:t>，這些員工與幹部，為雇主執行公司團體之工作，主要之目的，係要透由工作，獲取薪資報酬；</w:t>
      </w:r>
    </w:p>
    <w:p w14:paraId="74EE31D3" w14:textId="77777777" w:rsidR="00203F72" w:rsidRPr="003B41D4" w:rsidRDefault="00254E32" w:rsidP="00D87D91">
      <w:r w:rsidRPr="003B41D4">
        <w:rPr>
          <w:rFonts w:hint="eastAsia"/>
        </w:rPr>
        <w:t xml:space="preserve">　　</w:t>
      </w:r>
      <w:r w:rsidR="0039258A" w:rsidRPr="003B41D4">
        <w:rPr>
          <w:rFonts w:hint="eastAsia"/>
        </w:rPr>
        <w:t>2</w:t>
      </w:r>
      <w:r w:rsidR="0039258A" w:rsidRPr="003B41D4">
        <w:rPr>
          <w:rFonts w:hint="eastAsia"/>
        </w:rPr>
        <w:t>、</w:t>
      </w:r>
      <w:r w:rsidR="00203F72" w:rsidRPr="003B41D4">
        <w:t>為了獲取薪資報酬，為雇主提供服務之人</w:t>
      </w:r>
      <w:r w:rsidR="00203F72" w:rsidRPr="003B41D4">
        <w:t>(who supplies services to an employer)</w:t>
      </w:r>
      <w:r w:rsidR="00203F72" w:rsidRPr="003B41D4">
        <w:t>；</w:t>
      </w:r>
    </w:p>
    <w:p w14:paraId="70FA67CE" w14:textId="77777777" w:rsidR="00203F72" w:rsidRPr="003B41D4" w:rsidRDefault="00254E32" w:rsidP="00D87D91">
      <w:r w:rsidRPr="003B41D4">
        <w:rPr>
          <w:rFonts w:hint="eastAsia"/>
        </w:rPr>
        <w:t xml:space="preserve">　　</w:t>
      </w:r>
      <w:r w:rsidR="0039258A" w:rsidRPr="003B41D4">
        <w:rPr>
          <w:rFonts w:hint="eastAsia"/>
        </w:rPr>
        <w:t>3</w:t>
      </w:r>
      <w:r w:rsidR="0039258A" w:rsidRPr="003B41D4">
        <w:rPr>
          <w:rFonts w:hint="eastAsia"/>
        </w:rPr>
        <w:t>、</w:t>
      </w:r>
      <w:r w:rsidR="00203F72" w:rsidRPr="003B41D4">
        <w:t>從雇主之處接受工作訓練之人；</w:t>
      </w:r>
    </w:p>
    <w:p w14:paraId="516D494A" w14:textId="77777777" w:rsidR="00203F72" w:rsidRPr="003B41D4" w:rsidRDefault="00254E32" w:rsidP="00D87D91">
      <w:r w:rsidRPr="003B41D4">
        <w:rPr>
          <w:rFonts w:hint="eastAsia"/>
        </w:rPr>
        <w:t xml:space="preserve">　　</w:t>
      </w:r>
      <w:r w:rsidR="0039258A" w:rsidRPr="003B41D4">
        <w:rPr>
          <w:rFonts w:hint="eastAsia"/>
        </w:rPr>
        <w:t>4</w:t>
      </w:r>
      <w:r w:rsidR="0039258A" w:rsidRPr="003B41D4">
        <w:rPr>
          <w:rFonts w:hint="eastAsia"/>
        </w:rPr>
        <w:t>、</w:t>
      </w:r>
      <w:r w:rsidR="00203F72" w:rsidRPr="003B41D4">
        <w:t>家庭工作者</w:t>
      </w:r>
      <w:r w:rsidR="00203F72" w:rsidRPr="003B41D4">
        <w:t>(a person who is a homeworker )(</w:t>
      </w:r>
      <w:r w:rsidR="00203F72" w:rsidRPr="003B41D4">
        <w:t>此處，</w:t>
      </w:r>
      <w:r w:rsidR="00203F72" w:rsidRPr="003B41D4">
        <w:t>ESA</w:t>
      </w:r>
      <w:r w:rsidR="00203F72" w:rsidRPr="003B41D4">
        <w:t>並未特別指明是本國籍或外國籍之家事勞工</w:t>
      </w:r>
      <w:r w:rsidR="00203F72" w:rsidRPr="003B41D4">
        <w:t>)</w:t>
      </w:r>
      <w:r w:rsidR="00203F72" w:rsidRPr="003B41D4">
        <w:t>；</w:t>
      </w:r>
    </w:p>
    <w:p w14:paraId="68A174AC" w14:textId="77777777" w:rsidR="00953151" w:rsidRPr="003B41D4" w:rsidRDefault="00254E32" w:rsidP="00D87D91">
      <w:r w:rsidRPr="003B41D4">
        <w:rPr>
          <w:rFonts w:hint="eastAsia"/>
        </w:rPr>
        <w:t xml:space="preserve">　　</w:t>
      </w:r>
      <w:r w:rsidR="0039258A" w:rsidRPr="003B41D4">
        <w:rPr>
          <w:rFonts w:hint="eastAsia"/>
        </w:rPr>
        <w:t>5</w:t>
      </w:r>
      <w:r w:rsidR="0039258A" w:rsidRPr="003B41D4">
        <w:rPr>
          <w:rFonts w:hint="eastAsia"/>
        </w:rPr>
        <w:t>、</w:t>
      </w:r>
      <w:r w:rsidR="00203F72" w:rsidRPr="003B41D4">
        <w:t>曾經是被聘僱之員工；</w:t>
      </w:r>
    </w:p>
    <w:p w14:paraId="1505CDB1" w14:textId="77777777" w:rsidR="00203F72" w:rsidRPr="003B41D4" w:rsidRDefault="0039258A" w:rsidP="00D87D91">
      <w:r w:rsidRPr="003B41D4">
        <w:t xml:space="preserve">　　</w:t>
      </w:r>
      <w:r w:rsidR="00203F72" w:rsidRPr="003B41D4">
        <w:t>根據上述</w:t>
      </w:r>
      <w:r w:rsidR="00203F72" w:rsidRPr="003B41D4">
        <w:t>ESA</w:t>
      </w:r>
      <w:r w:rsidR="00203F72" w:rsidRPr="003B41D4">
        <w:t>第</w:t>
      </w:r>
      <w:r w:rsidR="00203F72" w:rsidRPr="003B41D4">
        <w:t>1</w:t>
      </w:r>
      <w:r w:rsidR="00203F72" w:rsidRPr="003B41D4">
        <w:t>條第</w:t>
      </w:r>
      <w:r w:rsidR="00203F72" w:rsidRPr="003B41D4">
        <w:t>1</w:t>
      </w:r>
      <w:r w:rsidR="00203F72" w:rsidRPr="003B41D4">
        <w:t>項對於「員工」之定義，可得知所謂之被聘雇之員工，計包括家庭工作者，而此「家庭工作者」</w:t>
      </w:r>
      <w:r w:rsidR="00203F72" w:rsidRPr="003B41D4">
        <w:t>(a person who is a homeworker )</w:t>
      </w:r>
      <w:r w:rsidR="00203F72" w:rsidRPr="003B41D4">
        <w:t>之範圍，係包括外國籍之家事勞工。綜合上述</w:t>
      </w:r>
      <w:r w:rsidR="00203F72" w:rsidRPr="003B41D4">
        <w:t>ESA</w:t>
      </w:r>
      <w:r w:rsidR="00203F72" w:rsidRPr="003B41D4">
        <w:t>第</w:t>
      </w:r>
      <w:r w:rsidR="00203F72" w:rsidRPr="003B41D4">
        <w:t>1</w:t>
      </w:r>
      <w:r w:rsidR="00203F72" w:rsidRPr="003B41D4">
        <w:t>條</w:t>
      </w:r>
      <w:r w:rsidR="00203F72" w:rsidRPr="003B41D4">
        <w:t>(</w:t>
      </w:r>
      <w:r w:rsidR="00203F72" w:rsidRPr="003B41D4">
        <w:t>定義</w:t>
      </w:r>
      <w:r w:rsidR="00203F72" w:rsidRPr="003B41D4">
        <w:t>)</w:t>
      </w:r>
      <w:r w:rsidR="00203F72" w:rsidRPr="003B41D4">
        <w:t>及第</w:t>
      </w:r>
      <w:r w:rsidR="00203F72" w:rsidRPr="003B41D4">
        <w:t>3</w:t>
      </w:r>
      <w:r w:rsidR="00203F72" w:rsidRPr="003B41D4">
        <w:t>條</w:t>
      </w:r>
      <w:r w:rsidR="00203F72" w:rsidRPr="003B41D4">
        <w:t>(</w:t>
      </w:r>
      <w:r w:rsidR="00203F72" w:rsidRPr="003B41D4">
        <w:t>適用對象</w:t>
      </w:r>
      <w:r w:rsidR="00203F72" w:rsidRPr="003B41D4">
        <w:t>)</w:t>
      </w:r>
      <w:r w:rsidR="00203F72" w:rsidRPr="003B41D4">
        <w:t>之相關規範，以及安大略省勞動部所公布之相關資訊，應可確定</w:t>
      </w:r>
      <w:r w:rsidR="00203F72" w:rsidRPr="003B41D4">
        <w:t>ESA</w:t>
      </w:r>
      <w:r w:rsidR="00203F72" w:rsidRPr="003B41D4">
        <w:t>所適用之對象，包括外國籍家事勞工</w:t>
      </w:r>
      <w:r w:rsidR="00203F72" w:rsidRPr="003B41D4">
        <w:footnoteReference w:id="441"/>
      </w:r>
      <w:r w:rsidR="00203F72" w:rsidRPr="003B41D4">
        <w:t>。</w:t>
      </w:r>
    </w:p>
    <w:p w14:paraId="1AB0C5A9" w14:textId="77777777" w:rsidR="00203F72" w:rsidRPr="003B41D4" w:rsidRDefault="0039258A" w:rsidP="00D87D91">
      <w:r w:rsidRPr="003B41D4">
        <w:t xml:space="preserve">　　</w:t>
      </w:r>
      <w:r w:rsidR="00203F72" w:rsidRPr="003B41D4">
        <w:t>根據加國安大略省勞動部</w:t>
      </w:r>
      <w:r w:rsidR="00203F72" w:rsidRPr="003B41D4">
        <w:t>(Ontario Ministry of Labour)</w:t>
      </w:r>
      <w:r w:rsidR="00203F72" w:rsidRPr="003B41D4">
        <w:t>官方公開之資料顯示，該部為了令更多之家事外勞知曉其所擁有之相關勞動權益，製作網路宣導之文宣，這些文宣資料之標題，即為「有關您就業標準方面之權益：家事外勞篇」</w:t>
      </w:r>
      <w:r w:rsidR="00203F72" w:rsidRPr="003B41D4">
        <w:t>(Your Employment Standards Rights: Foreign National Live-in Caregivers)</w:t>
      </w:r>
      <w:r w:rsidR="00203F72" w:rsidRPr="003B41D4">
        <w:t>。安大略省勞動部明確指出，作為一位安大略省境內之家事外勞</w:t>
      </w:r>
      <w:r w:rsidR="00203F72" w:rsidRPr="003B41D4">
        <w:t>(As a foreign national working as a live-in caregiver)</w:t>
      </w:r>
      <w:r w:rsidR="00203F72" w:rsidRPr="003B41D4">
        <w:t>，享有就業標準法</w:t>
      </w:r>
      <w:r w:rsidR="00203F72" w:rsidRPr="003B41D4">
        <w:t>(under the Employment Standards Act, 2000 , ESA)</w:t>
      </w:r>
      <w:r w:rsidR="00203F72" w:rsidRPr="003B41D4">
        <w:t>中所規範之相關聘僱權益；同時，亦受到外國人就業保護法之保障</w:t>
      </w:r>
      <w:r w:rsidR="00203F72" w:rsidRPr="003B41D4">
        <w:t>(have protections under the Employment Protection for Foreign Nationals Act)</w:t>
      </w:r>
      <w:r w:rsidR="00203F72" w:rsidRPr="003B41D4">
        <w:t>。加國安大略省勞動部並編製常見之問題集，俾利為家事外勞解答疑惑</w:t>
      </w:r>
      <w:r w:rsidR="00203F72" w:rsidRPr="003B41D4">
        <w:footnoteReference w:id="442"/>
      </w:r>
      <w:r w:rsidR="00203F72" w:rsidRPr="003B41D4">
        <w:t>。綜觀上開問題集之內容，亦規範於</w:t>
      </w:r>
      <w:r w:rsidR="00203F72" w:rsidRPr="003B41D4">
        <w:t>ESA</w:t>
      </w:r>
      <w:r w:rsidR="00203F72" w:rsidRPr="003B41D4">
        <w:t>之中。是以，更可進一步地確定</w:t>
      </w:r>
      <w:r w:rsidR="00203F72" w:rsidRPr="003B41D4">
        <w:t>ESA</w:t>
      </w:r>
      <w:r w:rsidR="00203F72" w:rsidRPr="003B41D4">
        <w:t>之適用對象，包括外國籍家事勞工。</w:t>
      </w:r>
    </w:p>
    <w:p w14:paraId="0A9BAD61" w14:textId="77777777" w:rsidR="00953151" w:rsidRPr="003B41D4" w:rsidRDefault="0039258A" w:rsidP="00D87D91">
      <w:r w:rsidRPr="003B41D4">
        <w:t xml:space="preserve">　　</w:t>
      </w:r>
      <w:r w:rsidR="00203F72" w:rsidRPr="003B41D4">
        <w:t>由於外國籍家事勞工係為</w:t>
      </w:r>
      <w:r w:rsidR="00203F72" w:rsidRPr="003B41D4">
        <w:t>ESA</w:t>
      </w:r>
      <w:r w:rsidR="00203F72" w:rsidRPr="003B41D4">
        <w:t>所規範之對象，故</w:t>
      </w:r>
      <w:r w:rsidR="00203F72" w:rsidRPr="003B41D4">
        <w:t>ESA</w:t>
      </w:r>
      <w:r w:rsidR="00203F72" w:rsidRPr="003B41D4">
        <w:t>中對於受聘僱員工（勞工）相關權利之保障，包括本書所論述</w:t>
      </w:r>
      <w:r w:rsidR="00203F72" w:rsidRPr="003B41D4">
        <w:t>ESA</w:t>
      </w:r>
      <w:r w:rsidR="00203F72" w:rsidRPr="003B41D4">
        <w:t>中涉及薪資與工作時間之部分</w:t>
      </w:r>
      <w:r w:rsidR="00203F72" w:rsidRPr="003B41D4">
        <w:t>(</w:t>
      </w:r>
      <w:r w:rsidR="00203F72" w:rsidRPr="003B41D4">
        <w:t>相關之法律規範內容，詳如附件</w:t>
      </w:r>
      <w:r w:rsidR="00203F72" w:rsidRPr="003B41D4">
        <w:t>)</w:t>
      </w:r>
      <w:r w:rsidR="00203F72" w:rsidRPr="003B41D4">
        <w:t>，均可全部適用於外國籍家事勞工。由於上述之因素，造成很多東南亞國家之人民，頗喜愛至加國安大略省從事家事外勞之工作，不僅因薪資較高，且其基本人權亦受到應有之尊重與保護。</w:t>
      </w:r>
    </w:p>
    <w:p w14:paraId="11571292" w14:textId="77777777" w:rsidR="00953151" w:rsidRPr="003B41D4" w:rsidRDefault="0039258A" w:rsidP="00D87D91">
      <w:r w:rsidRPr="003B41D4">
        <w:t xml:space="preserve">　　</w:t>
      </w:r>
      <w:r w:rsidR="00203F72" w:rsidRPr="003B41D4">
        <w:t>一、加國安大略省「就業標準法」外籍家事勞工薪資之法制保障</w:t>
      </w:r>
      <w:r w:rsidR="00203F72" w:rsidRPr="003B41D4">
        <w:t xml:space="preserve"> </w:t>
      </w:r>
    </w:p>
    <w:p w14:paraId="54702495" w14:textId="77777777" w:rsidR="00203F72" w:rsidRPr="003B41D4" w:rsidRDefault="0039258A" w:rsidP="00D87D91">
      <w:r w:rsidRPr="003B41D4">
        <w:t xml:space="preserve">　　</w:t>
      </w:r>
      <w:r w:rsidR="00203F72" w:rsidRPr="003B41D4">
        <w:t>(</w:t>
      </w:r>
      <w:r w:rsidR="00203F72" w:rsidRPr="003B41D4">
        <w:t>一</w:t>
      </w:r>
      <w:r w:rsidR="00203F72" w:rsidRPr="003B41D4">
        <w:t>)</w:t>
      </w:r>
      <w:r w:rsidR="00203F72" w:rsidRPr="003B41D4">
        <w:t>支付薪資之方式</w:t>
      </w:r>
    </w:p>
    <w:p w14:paraId="6D385526" w14:textId="77777777" w:rsidR="00953151" w:rsidRPr="003B41D4" w:rsidRDefault="0039258A" w:rsidP="00D87D91">
      <w:r w:rsidRPr="003B41D4">
        <w:t xml:space="preserve">　　</w:t>
      </w:r>
      <w:r w:rsidR="00203F72" w:rsidRPr="003B41D4">
        <w:t>依據</w:t>
      </w:r>
      <w:r w:rsidR="00203F72" w:rsidRPr="003B41D4">
        <w:t>ESA</w:t>
      </w:r>
      <w:r w:rsidR="00203F72" w:rsidRPr="003B41D4">
        <w:t>第</w:t>
      </w:r>
      <w:r w:rsidR="00203F72" w:rsidRPr="003B41D4">
        <w:t>11</w:t>
      </w:r>
      <w:r w:rsidR="00203F72" w:rsidRPr="003B41D4">
        <w:t>條第</w:t>
      </w:r>
      <w:r w:rsidR="00203F72" w:rsidRPr="003B41D4">
        <w:t>1</w:t>
      </w:r>
      <w:r w:rsidR="00203F72" w:rsidRPr="003B41D4">
        <w:t>項之規範，雇主對於受僱人（包括家事外勞）支付薪資之方式，應建立一個固定式循環式之薪資支付週期及支付期日，且應支付員工在上開週期內每日所賺取之所有薪資，而非支付假期薪資；在支付之日期方面，雇主支付之時點，不應在上述應支付期日之後</w:t>
      </w:r>
      <w:r w:rsidR="00203F72" w:rsidRPr="003B41D4">
        <w:footnoteReference w:id="443"/>
      </w:r>
      <w:r w:rsidR="00203F72" w:rsidRPr="003B41D4">
        <w:t>。本項之立法目的，主要在課予雇主應建立一套薪資支付之機制，此項機制包括支付薪資之時程、時日及範疇。</w:t>
      </w:r>
    </w:p>
    <w:p w14:paraId="252777A9" w14:textId="77777777" w:rsidR="00953151" w:rsidRPr="003B41D4" w:rsidRDefault="0039258A" w:rsidP="00D87D91">
      <w:r w:rsidRPr="003B41D4">
        <w:t xml:space="preserve">　　</w:t>
      </w:r>
      <w:r w:rsidR="00203F72" w:rsidRPr="003B41D4">
        <w:t>在雇主支付員工薪資之方式部分，根據</w:t>
      </w:r>
      <w:r w:rsidR="00203F72" w:rsidRPr="003B41D4">
        <w:t>ESA</w:t>
      </w:r>
      <w:r w:rsidR="00203F72" w:rsidRPr="003B41D4">
        <w:t>第</w:t>
      </w:r>
      <w:r w:rsidR="00203F72" w:rsidRPr="003B41D4">
        <w:t>11</w:t>
      </w:r>
      <w:r w:rsidR="00203F72" w:rsidRPr="003B41D4">
        <w:t>條第</w:t>
      </w:r>
      <w:r w:rsidR="00203F72" w:rsidRPr="003B41D4">
        <w:t>2</w:t>
      </w:r>
      <w:r w:rsidR="00203F72" w:rsidRPr="003B41D4">
        <w:t>項之要求，計有以下數種之支付方式；</w:t>
      </w:r>
      <w:r w:rsidR="00203F72" w:rsidRPr="003B41D4">
        <w:t>1.</w:t>
      </w:r>
      <w:r w:rsidR="00203F72" w:rsidRPr="003B41D4">
        <w:t>現金支付；</w:t>
      </w:r>
      <w:r w:rsidR="00203F72" w:rsidRPr="003B41D4">
        <w:t>2.</w:t>
      </w:r>
      <w:r w:rsidR="00203F72" w:rsidRPr="003B41D4">
        <w:t>支票方式，受款人僅能為受僱人；</w:t>
      </w:r>
      <w:r w:rsidR="00203F72" w:rsidRPr="003B41D4">
        <w:t>3.</w:t>
      </w:r>
      <w:r w:rsidR="00203F72" w:rsidRPr="003B41D4">
        <w:t>依照</w:t>
      </w:r>
      <w:r w:rsidR="00203F72" w:rsidRPr="003B41D4">
        <w:t>ESA</w:t>
      </w:r>
      <w:r w:rsidR="00203F72" w:rsidRPr="003B41D4">
        <w:t>第</w:t>
      </w:r>
      <w:r w:rsidR="00203F72" w:rsidRPr="003B41D4">
        <w:t>11</w:t>
      </w:r>
      <w:r w:rsidR="00203F72" w:rsidRPr="003B41D4">
        <w:t>條第</w:t>
      </w:r>
      <w:r w:rsidR="00203F72" w:rsidRPr="003B41D4">
        <w:t>4</w:t>
      </w:r>
      <w:r w:rsidR="00203F72" w:rsidRPr="003B41D4">
        <w:t>項之規定，雇主如回應員工之要求，須將薪資存入其指定帳戶者，則應將薪資存入受僱人之指定帳戶內</w:t>
      </w:r>
      <w:r w:rsidR="00203F72" w:rsidRPr="003B41D4">
        <w:footnoteReference w:id="444"/>
      </w:r>
      <w:r w:rsidR="00203F72" w:rsidRPr="003B41D4">
        <w:t>。</w:t>
      </w:r>
    </w:p>
    <w:p w14:paraId="762654C0" w14:textId="77777777" w:rsidR="00953151" w:rsidRPr="003B41D4" w:rsidRDefault="0039258A" w:rsidP="00D87D91">
      <w:r w:rsidRPr="003B41D4">
        <w:t xml:space="preserve">　　</w:t>
      </w:r>
      <w:r w:rsidR="00203F72" w:rsidRPr="003B41D4">
        <w:t>在涉及雇主支付受僱人薪資之地點方面，</w:t>
      </w:r>
      <w:r w:rsidR="00203F72" w:rsidRPr="003B41D4">
        <w:t>ESA</w:t>
      </w:r>
      <w:r w:rsidR="00203F72" w:rsidRPr="003B41D4">
        <w:t>亦作出明確之規範；根據</w:t>
      </w:r>
      <w:r w:rsidR="00203F72" w:rsidRPr="003B41D4">
        <w:t>ESA</w:t>
      </w:r>
      <w:r w:rsidR="00203F72" w:rsidRPr="003B41D4">
        <w:t>第</w:t>
      </w:r>
      <w:r w:rsidR="00203F72" w:rsidRPr="003B41D4">
        <w:t>11</w:t>
      </w:r>
      <w:r w:rsidR="00203F72" w:rsidRPr="003B41D4">
        <w:t>條第</w:t>
      </w:r>
      <w:r w:rsidR="00203F72" w:rsidRPr="003B41D4">
        <w:t>3</w:t>
      </w:r>
      <w:r w:rsidR="00203F72" w:rsidRPr="003B41D4">
        <w:t>項之規定，假若雇主所支付之薪資，係為現金或支票，在支付地點之選擇上，雇主應在受僱人工作之場域，或是經由受僱人所同意之其他處所，支付上開之現金或支票</w:t>
      </w:r>
      <w:r w:rsidR="00203F72" w:rsidRPr="003B41D4">
        <w:footnoteReference w:id="445"/>
      </w:r>
      <w:r w:rsidR="00203F72" w:rsidRPr="003B41D4">
        <w:t>。</w:t>
      </w:r>
    </w:p>
    <w:p w14:paraId="378E3918" w14:textId="77777777" w:rsidR="00953151" w:rsidRPr="003B41D4" w:rsidRDefault="0039258A" w:rsidP="00D87D91">
      <w:r w:rsidRPr="003B41D4">
        <w:t xml:space="preserve">　　</w:t>
      </w:r>
      <w:r w:rsidR="00203F72" w:rsidRPr="003B41D4">
        <w:t>有關於雇主支付受僱人薪資之方式，假若雇主擬利用直接存入金融機構帳戶之方式支付，根據</w:t>
      </w:r>
      <w:r w:rsidR="00203F72" w:rsidRPr="003B41D4">
        <w:t>ESA</w:t>
      </w:r>
      <w:r w:rsidR="00203F72" w:rsidRPr="003B41D4">
        <w:t>第</w:t>
      </w:r>
      <w:r w:rsidR="00203F72" w:rsidRPr="003B41D4">
        <w:t>11</w:t>
      </w:r>
      <w:r w:rsidR="00203F72" w:rsidRPr="003B41D4">
        <w:t>條第</w:t>
      </w:r>
      <w:r w:rsidR="00203F72" w:rsidRPr="003B41D4">
        <w:t>4</w:t>
      </w:r>
      <w:r w:rsidR="00203F72" w:rsidRPr="003B41D4">
        <w:t>項之規定，此種方式是被</w:t>
      </w:r>
      <w:r w:rsidR="00203F72" w:rsidRPr="003B41D4">
        <w:t>ESA</w:t>
      </w:r>
      <w:r w:rsidR="00203F72" w:rsidRPr="003B41D4">
        <w:t>所允許，但須符合以下之構成要件</w:t>
      </w:r>
      <w:r w:rsidR="00203F72" w:rsidRPr="003B41D4">
        <w:footnoteReference w:id="446"/>
      </w:r>
      <w:r w:rsidR="00203F72" w:rsidRPr="003B41D4">
        <w:t>：</w:t>
      </w:r>
      <w:r w:rsidR="00203F72" w:rsidRPr="003B41D4">
        <w:t>1.</w:t>
      </w:r>
      <w:r w:rsidR="00203F72" w:rsidRPr="003B41D4">
        <w:t>帳號之戶名須為受僱人之姓名；</w:t>
      </w:r>
      <w:r w:rsidR="00203F72" w:rsidRPr="003B41D4">
        <w:t>2.</w:t>
      </w:r>
      <w:r w:rsidR="00203F72" w:rsidRPr="003B41D4">
        <w:t>除了受僱人本人或其授權之人之外，任何人禁止存取此一帳號；</w:t>
      </w:r>
      <w:r w:rsidR="00203F72" w:rsidRPr="003B41D4">
        <w:t>3.</w:t>
      </w:r>
      <w:r w:rsidR="00203F72" w:rsidRPr="003B41D4">
        <w:t>在上開雇主擬欲存入薪資之金融機構之地理位置部分，除非獲得受僱人本人之同意，上開金融機構之辦公處所或營業處所，須位於離受僱人日常工作合理之距離以內。</w:t>
      </w:r>
      <w:r w:rsidR="00203F72" w:rsidRPr="003B41D4">
        <w:t>ESA</w:t>
      </w:r>
      <w:r w:rsidR="00203F72" w:rsidRPr="003B41D4">
        <w:t>第</w:t>
      </w:r>
      <w:r w:rsidR="00203F72" w:rsidRPr="003B41D4">
        <w:t>11</w:t>
      </w:r>
      <w:r w:rsidR="00203F72" w:rsidRPr="003B41D4">
        <w:t>條第</w:t>
      </w:r>
      <w:r w:rsidR="00203F72" w:rsidRPr="003B41D4">
        <w:t>4</w:t>
      </w:r>
      <w:r w:rsidR="00203F72" w:rsidRPr="003B41D4">
        <w:t>項為何作如此之規範，主要之目的，係使受僱人如欲利用金融機構進行存款、轉帳及其他功能時，具有方便性、安全性及隱匿性。</w:t>
      </w:r>
    </w:p>
    <w:p w14:paraId="6631248F" w14:textId="77777777" w:rsidR="00953151" w:rsidRPr="003B41D4" w:rsidRDefault="0039258A" w:rsidP="00D87D91">
      <w:r w:rsidRPr="003B41D4">
        <w:t xml:space="preserve">　　</w:t>
      </w:r>
      <w:r w:rsidR="00203F72" w:rsidRPr="003B41D4">
        <w:t>當勞資雙方之聘僱關係結束時，有關於雇主支付薪資之期限，依據</w:t>
      </w:r>
      <w:r w:rsidR="00203F72" w:rsidRPr="003B41D4">
        <w:t>ESA</w:t>
      </w:r>
      <w:r w:rsidR="00203F72" w:rsidRPr="003B41D4">
        <w:t>第</w:t>
      </w:r>
      <w:r w:rsidR="00203F72" w:rsidRPr="003B41D4">
        <w:t>11</w:t>
      </w:r>
      <w:r w:rsidR="00203F72" w:rsidRPr="003B41D4">
        <w:t>條第</w:t>
      </w:r>
      <w:r w:rsidR="00203F72" w:rsidRPr="003B41D4">
        <w:t>5</w:t>
      </w:r>
      <w:r w:rsidR="00203F72" w:rsidRPr="003B41D4">
        <w:t>項之規定，</w:t>
      </w:r>
      <w:r w:rsidR="00203F72" w:rsidRPr="003B41D4">
        <w:t xml:space="preserve"> </w:t>
      </w:r>
      <w:r w:rsidR="00203F72" w:rsidRPr="003B41D4">
        <w:t>雇主支付受僱人薪資之最後期日，有以下兩種之選項：</w:t>
      </w:r>
      <w:r w:rsidR="00203F72" w:rsidRPr="003B41D4">
        <w:t>1.</w:t>
      </w:r>
      <w:r w:rsidR="00203F72" w:rsidRPr="003B41D4">
        <w:t>在聘僱關係結束後之</w:t>
      </w:r>
      <w:r w:rsidR="00203F72" w:rsidRPr="003B41D4">
        <w:t>7</w:t>
      </w:r>
      <w:r w:rsidR="00203F72" w:rsidRPr="003B41D4">
        <w:t>日內支付之；</w:t>
      </w:r>
      <w:r w:rsidR="00203F72" w:rsidRPr="003B41D4">
        <w:t>2.</w:t>
      </w:r>
      <w:r w:rsidR="00203F72" w:rsidRPr="003B41D4">
        <w:t>不得超過往例支付受僱人薪資期日之次日</w:t>
      </w:r>
      <w:r w:rsidR="00203F72" w:rsidRPr="003B41D4">
        <w:footnoteReference w:id="447"/>
      </w:r>
      <w:r w:rsidR="00203F72" w:rsidRPr="003B41D4">
        <w:t>。</w:t>
      </w:r>
      <w:r w:rsidR="00203F72" w:rsidRPr="003B41D4">
        <w:t>ESA</w:t>
      </w:r>
      <w:r w:rsidR="00203F72" w:rsidRPr="003B41D4">
        <w:t>作出上述之要求，可確保受僱人於聘僱關係結束後，於短時間之內，能領取其應獲得之薪資，並可防制雇主拖延給付。</w:t>
      </w:r>
    </w:p>
    <w:p w14:paraId="06546FCC" w14:textId="77777777" w:rsidR="00203F72" w:rsidRPr="003B41D4" w:rsidRDefault="0039258A" w:rsidP="00D87D91">
      <w:r w:rsidRPr="003B41D4">
        <w:t xml:space="preserve">　　</w:t>
      </w:r>
      <w:r w:rsidR="00203F72" w:rsidRPr="003B41D4">
        <w:t>(</w:t>
      </w:r>
      <w:r w:rsidR="00203F72" w:rsidRPr="003B41D4">
        <w:t>二</w:t>
      </w:r>
      <w:r w:rsidR="00203F72" w:rsidRPr="003B41D4">
        <w:t>)</w:t>
      </w:r>
      <w:r w:rsidR="00203F72" w:rsidRPr="003B41D4">
        <w:t>雇主支付薪資之說明（書）</w:t>
      </w:r>
    </w:p>
    <w:p w14:paraId="7051A386" w14:textId="77777777" w:rsidR="00953151" w:rsidRPr="003B41D4" w:rsidRDefault="0039258A" w:rsidP="00D87D91">
      <w:r w:rsidRPr="003B41D4">
        <w:t xml:space="preserve">　　</w:t>
      </w:r>
      <w:r w:rsidR="00203F72" w:rsidRPr="003B41D4">
        <w:t>為了令受僱人（包括家事外勞）能充分瞭解其薪資之各項明細與扣除額，</w:t>
      </w:r>
      <w:r w:rsidR="00203F72" w:rsidRPr="003B41D4">
        <w:t>ESA</w:t>
      </w:r>
      <w:r w:rsidR="00203F72" w:rsidRPr="003B41D4">
        <w:t>要求雇主須提供支付薪資之書面說明書</w:t>
      </w:r>
      <w:r w:rsidR="00203F72" w:rsidRPr="003B41D4">
        <w:t>(a written statement)</w:t>
      </w:r>
      <w:r w:rsidR="00203F72" w:rsidRPr="003B41D4">
        <w:t>；根據</w:t>
      </w:r>
      <w:r w:rsidR="00203F72" w:rsidRPr="003B41D4">
        <w:t>ESA</w:t>
      </w:r>
      <w:r w:rsidR="00203F72" w:rsidRPr="003B41D4">
        <w:t>第</w:t>
      </w:r>
      <w:r w:rsidR="00203F72" w:rsidRPr="003B41D4">
        <w:t>12</w:t>
      </w:r>
      <w:r w:rsidR="00203F72" w:rsidRPr="003B41D4">
        <w:t>條第</w:t>
      </w:r>
      <w:r w:rsidR="00203F72" w:rsidRPr="003B41D4">
        <w:t>1</w:t>
      </w:r>
      <w:r w:rsidR="00203F72" w:rsidRPr="003B41D4">
        <w:t>項之規範，在雇主須支付受僱人薪資期日之當日或之前，雇主應向受僱人提供一份支付薪資之書面說明書，在此一說明書之中，須列明以下之事項</w:t>
      </w:r>
      <w:r w:rsidR="00203F72" w:rsidRPr="003B41D4">
        <w:footnoteReference w:id="448"/>
      </w:r>
      <w:r w:rsidR="00203F72" w:rsidRPr="003B41D4">
        <w:t>：</w:t>
      </w:r>
      <w:r w:rsidR="00203F72" w:rsidRPr="003B41D4">
        <w:t>1.</w:t>
      </w:r>
      <w:r w:rsidR="00203F72" w:rsidRPr="003B41D4">
        <w:t>薪資所包含之期間；</w:t>
      </w:r>
      <w:r w:rsidR="00203F72" w:rsidRPr="003B41D4">
        <w:t>2.</w:t>
      </w:r>
      <w:r w:rsidR="00203F72" w:rsidRPr="003B41D4">
        <w:t>假如有薪資之比率（例）</w:t>
      </w:r>
      <w:r w:rsidR="00203F72" w:rsidRPr="003B41D4">
        <w:t>(the wage rate)</w:t>
      </w:r>
      <w:r w:rsidR="00203F72" w:rsidRPr="003B41D4">
        <w:t>，亦宜明列之；</w:t>
      </w:r>
      <w:r w:rsidR="00203F72" w:rsidRPr="003B41D4">
        <w:t>3.</w:t>
      </w:r>
      <w:r w:rsidR="00203F72" w:rsidRPr="003B41D4">
        <w:t>薪資之總額及如何計算此一總額</w:t>
      </w:r>
      <w:r w:rsidR="00203F72" w:rsidRPr="003B41D4">
        <w:t>(how that amount was calculated)</w:t>
      </w:r>
      <w:r w:rsidR="00203F72" w:rsidRPr="003B41D4">
        <w:t>；</w:t>
      </w:r>
      <w:r w:rsidR="00203F72" w:rsidRPr="003B41D4">
        <w:t>4.</w:t>
      </w:r>
      <w:r w:rsidR="00203F72" w:rsidRPr="003B41D4">
        <w:t>從總薪資中所扣除之每一筆數額及其用途之說明；</w:t>
      </w:r>
      <w:r w:rsidR="00203F72" w:rsidRPr="003B41D4">
        <w:t>5.</w:t>
      </w:r>
      <w:r w:rsidR="00203F72" w:rsidRPr="003B41D4">
        <w:t>住宿費及膳食</w:t>
      </w:r>
      <w:r w:rsidR="00203F72" w:rsidRPr="003B41D4">
        <w:t>(</w:t>
      </w:r>
      <w:r w:rsidR="00203F72" w:rsidRPr="003B41D4">
        <w:t>伙食</w:t>
      </w:r>
      <w:r w:rsidR="00203F72" w:rsidRPr="003B41D4">
        <w:t>)</w:t>
      </w:r>
      <w:r w:rsidR="00203F72" w:rsidRPr="003B41D4">
        <w:t>費，而此一費用之性質，根據</w:t>
      </w:r>
      <w:r w:rsidR="00203F72" w:rsidRPr="003B41D4">
        <w:t>ESA</w:t>
      </w:r>
      <w:r w:rsidR="00203F72" w:rsidRPr="003B41D4">
        <w:t>第</w:t>
      </w:r>
      <w:r w:rsidR="00203F72" w:rsidRPr="003B41D4">
        <w:t>23</w:t>
      </w:r>
      <w:r w:rsidR="00203F72" w:rsidRPr="003B41D4">
        <w:t>條第</w:t>
      </w:r>
      <w:r w:rsidR="00203F72" w:rsidRPr="003B41D4">
        <w:t>2</w:t>
      </w:r>
      <w:r w:rsidR="00203F72" w:rsidRPr="003B41D4">
        <w:t>項之規定，則被</w:t>
      </w:r>
      <w:r w:rsidR="003E240E">
        <w:t>視</w:t>
      </w:r>
      <w:r w:rsidR="00203F72" w:rsidRPr="003B41D4">
        <w:t>為雇主業已支付受僱人薪資之一部分；</w:t>
      </w:r>
      <w:r w:rsidR="00203F72" w:rsidRPr="003B41D4">
        <w:t>6.</w:t>
      </w:r>
      <w:r w:rsidR="00203F72" w:rsidRPr="003B41D4">
        <w:t>薪資淨值總額</w:t>
      </w:r>
      <w:r w:rsidR="00203F72" w:rsidRPr="003B41D4">
        <w:t>(</w:t>
      </w:r>
      <w:r w:rsidR="00203F72" w:rsidRPr="003B41D4">
        <w:t>各項費用扣除後之淨值總額</w:t>
      </w:r>
      <w:r w:rsidR="00203F72" w:rsidRPr="003B41D4">
        <w:t>)</w:t>
      </w:r>
      <w:r w:rsidR="00203F72" w:rsidRPr="003B41D4">
        <w:t>。</w:t>
      </w:r>
    </w:p>
    <w:p w14:paraId="06FB3149" w14:textId="77777777" w:rsidR="00953151" w:rsidRPr="003B41D4" w:rsidRDefault="0039258A" w:rsidP="00D87D91">
      <w:r w:rsidRPr="003B41D4">
        <w:t xml:space="preserve">　　</w:t>
      </w:r>
      <w:r w:rsidR="00203F72" w:rsidRPr="003B41D4">
        <w:t>上開之薪資說明書，除了書面說明資料外，</w:t>
      </w:r>
      <w:r w:rsidR="00203F72" w:rsidRPr="003B41D4">
        <w:t>ESA</w:t>
      </w:r>
      <w:r w:rsidR="00203F72" w:rsidRPr="003B41D4">
        <w:t>亦容許雇主使用電子郵件之方式進行告知。依據</w:t>
      </w:r>
      <w:r w:rsidR="00203F72" w:rsidRPr="003B41D4">
        <w:t>ESA</w:t>
      </w:r>
      <w:r w:rsidR="00203F72" w:rsidRPr="003B41D4">
        <w:t>第</w:t>
      </w:r>
      <w:r w:rsidR="00203F72" w:rsidRPr="003B41D4">
        <w:t>12</w:t>
      </w:r>
      <w:r w:rsidR="00203F72" w:rsidRPr="003B41D4">
        <w:t>條第</w:t>
      </w:r>
      <w:r w:rsidR="00203F72" w:rsidRPr="003B41D4">
        <w:t>3</w:t>
      </w:r>
      <w:r w:rsidR="00203F72" w:rsidRPr="003B41D4">
        <w:t>項之規範；涉及雇主薪資說明書之告知方式部分，假若受僱人能將電子郵件之資訊，利用相關設備，列印成為書面資料，則雇主可運用電子郵件之方式，將上開薪資之說明內容，直接傳輸至受僱人電子郵件帳號之內</w:t>
      </w:r>
      <w:r w:rsidR="00203F72" w:rsidRPr="003B41D4">
        <w:footnoteReference w:id="449"/>
      </w:r>
      <w:r w:rsidR="00203F72" w:rsidRPr="003B41D4">
        <w:t>。</w:t>
      </w:r>
    </w:p>
    <w:p w14:paraId="6D9E7CAE" w14:textId="77777777" w:rsidR="00203F72" w:rsidRPr="003B41D4" w:rsidRDefault="0039258A" w:rsidP="00D87D91">
      <w:r w:rsidRPr="003B41D4">
        <w:t xml:space="preserve">　　</w:t>
      </w:r>
      <w:r w:rsidR="00203F72" w:rsidRPr="003B41D4">
        <w:t>(</w:t>
      </w:r>
      <w:r w:rsidR="00203F72" w:rsidRPr="003B41D4">
        <w:t>三</w:t>
      </w:r>
      <w:r w:rsidR="00203F72" w:rsidRPr="003B41D4">
        <w:t>)</w:t>
      </w:r>
      <w:r w:rsidR="00203F72" w:rsidRPr="003B41D4">
        <w:t>聘僱關係結束時之雇主支付薪資說明</w:t>
      </w:r>
      <w:r w:rsidR="00203F72" w:rsidRPr="003B41D4">
        <w:t>(Statement re wages on termination)</w:t>
      </w:r>
    </w:p>
    <w:p w14:paraId="74222422" w14:textId="77777777" w:rsidR="00953151" w:rsidRPr="003B41D4" w:rsidRDefault="0039258A" w:rsidP="00D87D91">
      <w:r w:rsidRPr="003B41D4">
        <w:t xml:space="preserve">　　</w:t>
      </w:r>
      <w:r w:rsidR="00203F72" w:rsidRPr="003B41D4">
        <w:t>假若勞資雙方聘僱之關係面臨結束，依據</w:t>
      </w:r>
      <w:r w:rsidR="00203F72" w:rsidRPr="003B41D4">
        <w:t>ESA</w:t>
      </w:r>
      <w:r w:rsidR="00203F72" w:rsidRPr="003B41D4">
        <w:t>第</w:t>
      </w:r>
      <w:r w:rsidR="00203F72" w:rsidRPr="003B41D4">
        <w:t>12.1</w:t>
      </w:r>
      <w:r w:rsidR="00203F72" w:rsidRPr="003B41D4">
        <w:t>條之規定，在雇主被</w:t>
      </w:r>
      <w:r w:rsidR="00203F72" w:rsidRPr="003B41D4">
        <w:t>ESA</w:t>
      </w:r>
      <w:r w:rsidR="00203F72" w:rsidRPr="003B41D4">
        <w:t>要求須支付受僱人（包括家事外勞）薪資期日之當日或之前，雇主須向受僱人提供一份書面之說明資料，其內容如下</w:t>
      </w:r>
      <w:r w:rsidR="00203F72" w:rsidRPr="003B41D4">
        <w:footnoteReference w:id="450"/>
      </w:r>
      <w:r w:rsidR="00203F72" w:rsidRPr="003B41D4">
        <w:t>：</w:t>
      </w:r>
      <w:r w:rsidR="00203F72" w:rsidRPr="003B41D4">
        <w:t>1.</w:t>
      </w:r>
      <w:r w:rsidR="00203F72" w:rsidRPr="003B41D4">
        <w:t>因聘僱關係之結束或解除，而須支付給受僱人之薪資總額；</w:t>
      </w:r>
      <w:r w:rsidR="00203F72" w:rsidRPr="003B41D4">
        <w:t>2.</w:t>
      </w:r>
      <w:r w:rsidR="00203F72" w:rsidRPr="003B41D4">
        <w:t>休假</w:t>
      </w:r>
      <w:r w:rsidR="00203F72" w:rsidRPr="003B41D4">
        <w:t>(</w:t>
      </w:r>
      <w:r w:rsidR="00203F72" w:rsidRPr="003B41D4">
        <w:t>假期</w:t>
      </w:r>
      <w:r w:rsidR="00203F72" w:rsidRPr="003B41D4">
        <w:t>)</w:t>
      </w:r>
      <w:r w:rsidR="00203F72" w:rsidRPr="003B41D4">
        <w:t>薪資之總額；</w:t>
      </w:r>
      <w:r w:rsidR="00203F72" w:rsidRPr="003B41D4">
        <w:t>3.</w:t>
      </w:r>
      <w:r w:rsidR="00203F72" w:rsidRPr="003B41D4">
        <w:t>上述兩項薪資如何計算；</w:t>
      </w:r>
      <w:r w:rsidR="00203F72" w:rsidRPr="003B41D4">
        <w:t>4.</w:t>
      </w:r>
      <w:r w:rsidR="00203F72" w:rsidRPr="003B41D4">
        <w:t>除了上述因聘僱關係結束或中止而須支付之薪資或休假薪資之外，其他所有薪資所包含之期間；</w:t>
      </w:r>
      <w:r w:rsidR="00203F72" w:rsidRPr="003B41D4">
        <w:t>5.</w:t>
      </w:r>
      <w:r w:rsidR="00203F72" w:rsidRPr="003B41D4">
        <w:t>假若有薪資之比率</w:t>
      </w:r>
      <w:r w:rsidR="00203F72" w:rsidRPr="003B41D4">
        <w:t>(</w:t>
      </w:r>
      <w:r w:rsidR="00203F72" w:rsidRPr="003B41D4">
        <w:t>例</w:t>
      </w:r>
      <w:r w:rsidR="00203F72" w:rsidRPr="003B41D4">
        <w:t>)</w:t>
      </w:r>
      <w:r w:rsidR="00203F72" w:rsidRPr="003B41D4">
        <w:t>，應明列之；</w:t>
      </w:r>
      <w:r w:rsidR="00203F72" w:rsidRPr="003B41D4">
        <w:t>6.</w:t>
      </w:r>
      <w:r w:rsidR="00203F72" w:rsidRPr="003B41D4">
        <w:t>上述第</w:t>
      </w:r>
      <w:r w:rsidR="00203F72" w:rsidRPr="003B41D4">
        <w:t>4</w:t>
      </w:r>
      <w:r w:rsidR="00203F72" w:rsidRPr="003B41D4">
        <w:t>項</w:t>
      </w:r>
      <w:r w:rsidR="00203F72" w:rsidRPr="003B41D4">
        <w:t>(</w:t>
      </w:r>
      <w:r w:rsidR="00203F72" w:rsidRPr="003B41D4">
        <w:t>不含聘僱結束時之薪資及休假薪資</w:t>
      </w:r>
      <w:r w:rsidR="00203F72" w:rsidRPr="003B41D4">
        <w:t>)</w:t>
      </w:r>
      <w:r w:rsidR="00203F72" w:rsidRPr="003B41D4">
        <w:t>所有薪資之總額及如何計算此一總額之標準；</w:t>
      </w:r>
      <w:r w:rsidR="00203F72" w:rsidRPr="003B41D4">
        <w:t>7.</w:t>
      </w:r>
      <w:r w:rsidR="00203F72" w:rsidRPr="003B41D4">
        <w:t>從總薪資中所扣除之每一筆數額及其用途說明；</w:t>
      </w:r>
      <w:r w:rsidR="00203F72" w:rsidRPr="003B41D4">
        <w:t>8.</w:t>
      </w:r>
      <w:r w:rsidR="00203F72" w:rsidRPr="003B41D4">
        <w:t>住宿費及膳食費，根據</w:t>
      </w:r>
      <w:r w:rsidR="00203F72" w:rsidRPr="003B41D4">
        <w:t>ESA</w:t>
      </w:r>
      <w:r w:rsidR="00203F72" w:rsidRPr="003B41D4">
        <w:t>第</w:t>
      </w:r>
      <w:r w:rsidR="00203F72" w:rsidRPr="003B41D4">
        <w:t>23</w:t>
      </w:r>
      <w:r w:rsidR="00203F72" w:rsidRPr="003B41D4">
        <w:t>條第</w:t>
      </w:r>
      <w:r w:rsidR="00203F72" w:rsidRPr="003B41D4">
        <w:t>2</w:t>
      </w:r>
      <w:r w:rsidR="00203F72" w:rsidRPr="003B41D4">
        <w:t>項之規定，上開費用被</w:t>
      </w:r>
      <w:r w:rsidR="003E240E">
        <w:t>視</w:t>
      </w:r>
      <w:r w:rsidR="00203F72" w:rsidRPr="003B41D4">
        <w:t>為雇主業已支付受僱人薪資之一部分；</w:t>
      </w:r>
      <w:r w:rsidR="00203F72" w:rsidRPr="003B41D4">
        <w:t>9.</w:t>
      </w:r>
      <w:r w:rsidR="00203F72" w:rsidRPr="003B41D4">
        <w:t>薪資淨值總額</w:t>
      </w:r>
      <w:r w:rsidR="00203F72" w:rsidRPr="003B41D4">
        <w:t>(</w:t>
      </w:r>
      <w:r w:rsidR="00203F72" w:rsidRPr="003B41D4">
        <w:t>各項費用扣除之後之淨值總數額</w:t>
      </w:r>
      <w:r w:rsidR="00203F72" w:rsidRPr="003B41D4">
        <w:t>)</w:t>
      </w:r>
      <w:r w:rsidR="00203F72" w:rsidRPr="003B41D4">
        <w:t>。</w:t>
      </w:r>
    </w:p>
    <w:p w14:paraId="5CD10F2E" w14:textId="77777777" w:rsidR="00203F72" w:rsidRPr="003B41D4" w:rsidRDefault="0039258A" w:rsidP="00D87D91">
      <w:r w:rsidRPr="003B41D4">
        <w:t xml:space="preserve">　　</w:t>
      </w:r>
      <w:r w:rsidR="00203F72" w:rsidRPr="003B41D4">
        <w:t>(</w:t>
      </w:r>
      <w:r w:rsidR="00203F72" w:rsidRPr="003B41D4">
        <w:t>四</w:t>
      </w:r>
      <w:r w:rsidR="00203F72" w:rsidRPr="003B41D4">
        <w:t>)</w:t>
      </w:r>
      <w:r w:rsidR="00203F72" w:rsidRPr="003B41D4">
        <w:t>薪資之扣除</w:t>
      </w:r>
      <w:r w:rsidR="00203F72" w:rsidRPr="003B41D4">
        <w:t>(Deductions)</w:t>
      </w:r>
    </w:p>
    <w:p w14:paraId="5B404807" w14:textId="77777777" w:rsidR="00953151" w:rsidRPr="003B41D4" w:rsidRDefault="0039258A" w:rsidP="00D87D91">
      <w:r w:rsidRPr="003B41D4">
        <w:t xml:space="preserve">　　</w:t>
      </w:r>
      <w:r w:rsidR="00203F72" w:rsidRPr="003B41D4">
        <w:t>依據</w:t>
      </w:r>
      <w:r w:rsidR="00203F72" w:rsidRPr="003B41D4">
        <w:t>ESA</w:t>
      </w:r>
      <w:r w:rsidR="00203F72" w:rsidRPr="003B41D4">
        <w:t>第</w:t>
      </w:r>
      <w:r w:rsidR="00203F72" w:rsidRPr="003B41D4">
        <w:t>13</w:t>
      </w:r>
      <w:r w:rsidR="00203F72" w:rsidRPr="003B41D4">
        <w:t>條第</w:t>
      </w:r>
      <w:r w:rsidR="00203F72" w:rsidRPr="003B41D4">
        <w:t>1</w:t>
      </w:r>
      <w:r w:rsidR="00203F72" w:rsidRPr="003B41D4">
        <w:t>項之規定，除非在符合本條規範下之相關條件，否則，雇主不應扣留受僱人（包括家事外勞）之薪資，亦不應從受僱人之薪資中扣除其他費用，此外，</w:t>
      </w:r>
      <w:r w:rsidR="00203F72" w:rsidRPr="003B41D4">
        <w:t>ESA</w:t>
      </w:r>
      <w:r w:rsidR="00203F72" w:rsidRPr="003B41D4">
        <w:t>亦要求不應令受僱人將其業已領取之薪資，返還給雇主</w:t>
      </w:r>
      <w:r w:rsidR="00203F72" w:rsidRPr="003B41D4">
        <w:footnoteReference w:id="451"/>
      </w:r>
      <w:r w:rsidR="00203F72" w:rsidRPr="003B41D4">
        <w:t>。透由上述之規定，可確保受僱人領取其應得之工作薪資。不過，仍有例外之情況。依據</w:t>
      </w:r>
      <w:r w:rsidR="00203F72" w:rsidRPr="003B41D4">
        <w:t>ESA</w:t>
      </w:r>
      <w:r w:rsidR="00203F72" w:rsidRPr="003B41D4">
        <w:t>第</w:t>
      </w:r>
      <w:r w:rsidR="00203F72" w:rsidRPr="003B41D4">
        <w:t>13</w:t>
      </w:r>
      <w:r w:rsidR="00203F72" w:rsidRPr="003B41D4">
        <w:t>條第</w:t>
      </w:r>
      <w:r w:rsidR="00203F72" w:rsidRPr="003B41D4">
        <w:t>2</w:t>
      </w:r>
      <w:r w:rsidR="00203F72" w:rsidRPr="003B41D4">
        <w:t>項之規範，假若取得安大略省、加拿大聯邦政府之相關法令或法院命令之授權，在此情形之下，雇主有權扣留受僱人之薪資，從薪資中扣除其他必要之費用或令受僱人將其業已領取之薪資，返還給雇主</w:t>
      </w:r>
      <w:r w:rsidR="00203F72" w:rsidRPr="003B41D4">
        <w:footnoteReference w:id="452"/>
      </w:r>
      <w:r w:rsidR="00203F72" w:rsidRPr="003B41D4">
        <w:t>。</w:t>
      </w:r>
    </w:p>
    <w:p w14:paraId="4C181919" w14:textId="77777777" w:rsidR="00953151" w:rsidRPr="003B41D4" w:rsidRDefault="0039258A" w:rsidP="00D87D91">
      <w:r w:rsidRPr="003B41D4">
        <w:t xml:space="preserve">　　</w:t>
      </w:r>
      <w:r w:rsidR="00203F72" w:rsidRPr="003B41D4">
        <w:t>假若雇主取得受僱人之書面授權書，因是出自受僱人之同意，則依據</w:t>
      </w:r>
      <w:r w:rsidR="00203F72" w:rsidRPr="003B41D4">
        <w:t>ESA</w:t>
      </w:r>
      <w:r w:rsidR="00203F72" w:rsidRPr="003B41D4">
        <w:t>第</w:t>
      </w:r>
      <w:r w:rsidR="00203F72" w:rsidRPr="003B41D4">
        <w:t>13</w:t>
      </w:r>
      <w:r w:rsidR="00203F72" w:rsidRPr="003B41D4">
        <w:t>條第</w:t>
      </w:r>
      <w:r w:rsidR="00203F72" w:rsidRPr="003B41D4">
        <w:t>3</w:t>
      </w:r>
      <w:r w:rsidR="00203F72" w:rsidRPr="003B41D4">
        <w:t>項之規範，</w:t>
      </w:r>
      <w:r w:rsidR="00203F72" w:rsidRPr="003B41D4">
        <w:t xml:space="preserve"> </w:t>
      </w:r>
      <w:r w:rsidR="00203F72" w:rsidRPr="003B41D4">
        <w:t>雇主有權限扣留受僱人應得之薪資、從薪資中扣除其他必要之費用或令受僱人將其業已領取之薪資，返還給雇主</w:t>
      </w:r>
      <w:r w:rsidR="00203F72" w:rsidRPr="003B41D4">
        <w:footnoteReference w:id="453"/>
      </w:r>
      <w:r w:rsidR="00203F72" w:rsidRPr="003B41D4">
        <w:t>。</w:t>
      </w:r>
    </w:p>
    <w:p w14:paraId="5387A4C7" w14:textId="77777777" w:rsidR="00953151" w:rsidRPr="003B41D4" w:rsidRDefault="0039258A" w:rsidP="00D87D91">
      <w:r w:rsidRPr="003B41D4">
        <w:t xml:space="preserve">　　</w:t>
      </w:r>
      <w:r w:rsidR="00203F72" w:rsidRPr="003B41D4">
        <w:t>在特定之情況下，即使雇主業已取得法令、法院命令或受僱人之書面授權，但仍須支付薪資給受僱人。依據</w:t>
      </w:r>
      <w:r w:rsidR="00203F72" w:rsidRPr="003B41D4">
        <w:t>ESA</w:t>
      </w:r>
      <w:r w:rsidR="00203F72" w:rsidRPr="003B41D4">
        <w:t>第</w:t>
      </w:r>
      <w:r w:rsidR="00203F72" w:rsidRPr="003B41D4">
        <w:t>13</w:t>
      </w:r>
      <w:r w:rsidR="00203F72" w:rsidRPr="003B41D4">
        <w:t>條第</w:t>
      </w:r>
      <w:r w:rsidR="00203F72" w:rsidRPr="003B41D4">
        <w:t>4</w:t>
      </w:r>
      <w:r w:rsidR="00203F72" w:rsidRPr="003B41D4">
        <w:t>項之規範，當安大略省、加拿大聯邦政府之相關法令、法院命令或受僱人之書面授權，明確地要求雇主應將所扣留或扣減後之薪資匯款至第</w:t>
      </w:r>
      <w:r w:rsidR="00203F72" w:rsidRPr="003B41D4">
        <w:t>3</w:t>
      </w:r>
      <w:r w:rsidR="00203F72" w:rsidRPr="003B41D4">
        <w:t>人，但雇主未履行上述之義務時，則雇主並無權限可對受僱人之薪資進行扣留、扣減或令其返還</w:t>
      </w:r>
      <w:r w:rsidR="00203F72" w:rsidRPr="003B41D4">
        <w:footnoteReference w:id="454"/>
      </w:r>
      <w:r w:rsidR="00203F72" w:rsidRPr="003B41D4">
        <w:t>。</w:t>
      </w:r>
    </w:p>
    <w:p w14:paraId="15C95830" w14:textId="77777777" w:rsidR="00203F72" w:rsidRPr="003B41D4" w:rsidRDefault="0039258A" w:rsidP="00D87D91">
      <w:r w:rsidRPr="003B41D4">
        <w:t xml:space="preserve">　　</w:t>
      </w:r>
      <w:r w:rsidR="00203F72" w:rsidRPr="003B41D4">
        <w:t>基本上，</w:t>
      </w:r>
      <w:r w:rsidR="00203F72" w:rsidRPr="003B41D4">
        <w:t>ESA</w:t>
      </w:r>
      <w:r w:rsidR="00203F72" w:rsidRPr="003B41D4">
        <w:t>對於契約自由原則之態度，係予以尊重及有限度地採納之，諸如</w:t>
      </w:r>
      <w:r w:rsidR="00203F72" w:rsidRPr="003B41D4">
        <w:t>ESA</w:t>
      </w:r>
      <w:r w:rsidR="00203F72" w:rsidRPr="003B41D4">
        <w:t>第</w:t>
      </w:r>
      <w:r w:rsidR="00203F72" w:rsidRPr="003B41D4">
        <w:t>13</w:t>
      </w:r>
      <w:r w:rsidR="00203F72" w:rsidRPr="003B41D4">
        <w:t>條第</w:t>
      </w:r>
      <w:r w:rsidR="00203F72" w:rsidRPr="003B41D4">
        <w:t>3</w:t>
      </w:r>
      <w:r w:rsidR="00203F72" w:rsidRPr="003B41D4">
        <w:t>項之規定，假若出於受僱人之書面授權書，</w:t>
      </w:r>
      <w:r w:rsidR="00203F72" w:rsidRPr="003B41D4">
        <w:t xml:space="preserve"> </w:t>
      </w:r>
      <w:r w:rsidR="00203F72" w:rsidRPr="003B41D4">
        <w:t>雇主有權限得對於受僱人之薪資進行扣留、扣減或令其返還</w:t>
      </w:r>
      <w:r w:rsidR="00203F72" w:rsidRPr="003B41D4">
        <w:footnoteReference w:id="455"/>
      </w:r>
      <w:r w:rsidR="00203F72" w:rsidRPr="003B41D4">
        <w:t>；但</w:t>
      </w:r>
      <w:r w:rsidR="00203F72" w:rsidRPr="003B41D4">
        <w:t>ESA</w:t>
      </w:r>
      <w:r w:rsidR="00203F72" w:rsidRPr="003B41D4">
        <w:t>第</w:t>
      </w:r>
      <w:r w:rsidR="00203F72" w:rsidRPr="003B41D4">
        <w:t>13</w:t>
      </w:r>
      <w:r w:rsidR="00203F72" w:rsidRPr="003B41D4">
        <w:t>條對於上述之契約自由原則，仍進行若干之幹預與限制，並非任憑契約自由原則恣意地無限擴張。依據</w:t>
      </w:r>
      <w:r w:rsidR="00203F72" w:rsidRPr="003B41D4">
        <w:t>ESA</w:t>
      </w:r>
      <w:r w:rsidR="00203F72" w:rsidRPr="003B41D4">
        <w:t>第</w:t>
      </w:r>
      <w:r w:rsidR="00203F72" w:rsidRPr="003B41D4">
        <w:t>13</w:t>
      </w:r>
      <w:r w:rsidR="00203F72" w:rsidRPr="003B41D4">
        <w:t>條第</w:t>
      </w:r>
      <w:r w:rsidR="00203F72" w:rsidRPr="003B41D4">
        <w:t>5</w:t>
      </w:r>
      <w:r w:rsidR="00203F72" w:rsidRPr="003B41D4">
        <w:t>項之規定，在符合以下之要件時，</w:t>
      </w:r>
      <w:r w:rsidR="00203F72" w:rsidRPr="003B41D4">
        <w:t>ESA</w:t>
      </w:r>
      <w:r w:rsidR="00203F72" w:rsidRPr="003B41D4">
        <w:t>第</w:t>
      </w:r>
      <w:r w:rsidR="00203F72" w:rsidRPr="003B41D4">
        <w:t>13</w:t>
      </w:r>
      <w:r w:rsidR="00203F72" w:rsidRPr="003B41D4">
        <w:t>條第</w:t>
      </w:r>
      <w:r w:rsidR="00203F72" w:rsidRPr="003B41D4">
        <w:t>3</w:t>
      </w:r>
      <w:r w:rsidR="00203F72" w:rsidRPr="003B41D4">
        <w:t>項將無法適用</w:t>
      </w:r>
      <w:r w:rsidR="00203F72" w:rsidRPr="003B41D4">
        <w:footnoteReference w:id="456"/>
      </w:r>
      <w:r w:rsidR="00203F72" w:rsidRPr="003B41D4">
        <w:t>：</w:t>
      </w:r>
    </w:p>
    <w:p w14:paraId="6848E082" w14:textId="77777777" w:rsidR="00203F72" w:rsidRPr="003B41D4" w:rsidRDefault="0039258A" w:rsidP="00D87D91">
      <w:r w:rsidRPr="003B41D4">
        <w:rPr>
          <w:rFonts w:hint="eastAsia"/>
        </w:rPr>
        <w:t xml:space="preserve">　　</w:t>
      </w:r>
      <w:r w:rsidRPr="003B41D4">
        <w:rPr>
          <w:rFonts w:hint="eastAsia"/>
        </w:rPr>
        <w:t>1</w:t>
      </w:r>
      <w:r w:rsidRPr="003B41D4">
        <w:rPr>
          <w:rFonts w:hint="eastAsia"/>
        </w:rPr>
        <w:t>、</w:t>
      </w:r>
      <w:r w:rsidR="00203F72" w:rsidRPr="003B41D4">
        <w:t>受僱人所出具之書面授權書並未指明明確之特定薪資數額，或者，因未提供計算程序，而無法計算出明確之特定數額；</w:t>
      </w:r>
    </w:p>
    <w:p w14:paraId="4ED9C879" w14:textId="77777777" w:rsidR="00203F72" w:rsidRPr="003B41D4" w:rsidRDefault="0039258A" w:rsidP="00D87D91">
      <w:r w:rsidRPr="003B41D4">
        <w:rPr>
          <w:rFonts w:hint="eastAsia"/>
        </w:rPr>
        <w:t xml:space="preserve">　　</w:t>
      </w:r>
      <w:r w:rsidRPr="003B41D4">
        <w:rPr>
          <w:rFonts w:hint="eastAsia"/>
        </w:rPr>
        <w:t>2</w:t>
      </w:r>
      <w:r w:rsidRPr="003B41D4">
        <w:rPr>
          <w:rFonts w:hint="eastAsia"/>
        </w:rPr>
        <w:t>、</w:t>
      </w:r>
      <w:r w:rsidR="00203F72" w:rsidRPr="003B41D4">
        <w:t>受僱人之薪資因以下之因素，而遭受雇主之扣留、扣減或令其返還：</w:t>
      </w:r>
      <w:r w:rsidR="00203F72" w:rsidRPr="003B41D4">
        <w:t>(1)</w:t>
      </w:r>
      <w:r w:rsidR="00203F72" w:rsidRPr="003B41D4">
        <w:t>因受僱人過失之工作而導致；</w:t>
      </w:r>
      <w:r w:rsidR="00203F72" w:rsidRPr="003B41D4">
        <w:t>(2)</w:t>
      </w:r>
      <w:r w:rsidR="00203F72" w:rsidRPr="003B41D4">
        <w:t>因雇主現金短缺、財產遺失或遭竊而導致；但上述現金、財產之短缺、遺失或遭竊，並非受僱人所為，而係受僱人以外之第</w:t>
      </w:r>
      <w:r w:rsidR="00203F72" w:rsidRPr="003B41D4">
        <w:t>3</w:t>
      </w:r>
      <w:r w:rsidR="00203F72" w:rsidRPr="003B41D4">
        <w:t>人所為；</w:t>
      </w:r>
      <w:r w:rsidR="00203F72" w:rsidRPr="003B41D4">
        <w:t>(3)</w:t>
      </w:r>
      <w:r w:rsidR="00203F72" w:rsidRPr="003B41D4">
        <w:t>其他任何已規範之條件所導致。</w:t>
      </w:r>
    </w:p>
    <w:p w14:paraId="13EC9D5B" w14:textId="77777777" w:rsidR="00953151" w:rsidRPr="003B41D4" w:rsidRDefault="0039258A" w:rsidP="00D87D91">
      <w:r w:rsidRPr="003B41D4">
        <w:rPr>
          <w:rFonts w:hint="eastAsia"/>
        </w:rPr>
        <w:t xml:space="preserve">　　</w:t>
      </w:r>
      <w:r w:rsidRPr="003B41D4">
        <w:rPr>
          <w:rFonts w:hint="eastAsia"/>
        </w:rPr>
        <w:t>3</w:t>
      </w:r>
      <w:r w:rsidRPr="003B41D4">
        <w:rPr>
          <w:rFonts w:hint="eastAsia"/>
        </w:rPr>
        <w:t>、</w:t>
      </w:r>
      <w:r w:rsidR="00203F72" w:rsidRPr="003B41D4">
        <w:t>依據本法所作出之命令之規定，要求受僱人應將薪資返還給雇主。</w:t>
      </w:r>
    </w:p>
    <w:p w14:paraId="775D65E6" w14:textId="77777777" w:rsidR="00953151" w:rsidRPr="003B41D4" w:rsidRDefault="0039258A" w:rsidP="00D87D91">
      <w:r w:rsidRPr="003B41D4">
        <w:t xml:space="preserve">　　</w:t>
      </w:r>
      <w:r w:rsidR="00203F72" w:rsidRPr="003B41D4">
        <w:t>二、加國安大略省「就業標準法」外籍家事勞工工作時間之法制保障</w:t>
      </w:r>
    </w:p>
    <w:p w14:paraId="551B3173" w14:textId="77777777" w:rsidR="00203F72" w:rsidRPr="003B41D4" w:rsidRDefault="0039258A" w:rsidP="00D87D91">
      <w:r w:rsidRPr="003B41D4">
        <w:t xml:space="preserve">　　</w:t>
      </w:r>
      <w:r w:rsidR="00203F72" w:rsidRPr="003B41D4">
        <w:t>(</w:t>
      </w:r>
      <w:r w:rsidR="00203F72" w:rsidRPr="003B41D4">
        <w:t>一</w:t>
      </w:r>
      <w:r w:rsidR="00203F72" w:rsidRPr="003B41D4">
        <w:t>)</w:t>
      </w:r>
      <w:r w:rsidR="00203F72" w:rsidRPr="003B41D4">
        <w:t>工作時數之限制</w:t>
      </w:r>
    </w:p>
    <w:p w14:paraId="0F44DD3A" w14:textId="77777777" w:rsidR="00953151" w:rsidRPr="003B41D4" w:rsidRDefault="0039258A" w:rsidP="00D87D91">
      <w:r w:rsidRPr="003B41D4">
        <w:t xml:space="preserve">　　</w:t>
      </w:r>
      <w:r w:rsidR="00203F72" w:rsidRPr="003B41D4">
        <w:t>加拿大安大略省之</w:t>
      </w:r>
      <w:r w:rsidR="00203F72" w:rsidRPr="003B41D4">
        <w:t>ESA</w:t>
      </w:r>
      <w:r w:rsidR="00203F72" w:rsidRPr="003B41D4">
        <w:t>，為了保障受僱人（包括家事外勞）之工作時數及其用膳（餐）之權利，特地在</w:t>
      </w:r>
      <w:r w:rsidR="00203F72" w:rsidRPr="003B41D4">
        <w:t>ESA</w:t>
      </w:r>
      <w:r w:rsidR="00203F72" w:rsidRPr="003B41D4">
        <w:t>中加以明文規範。依據</w:t>
      </w:r>
      <w:r w:rsidR="00203F72" w:rsidRPr="003B41D4">
        <w:t>ESA</w:t>
      </w:r>
      <w:r w:rsidR="00203F72" w:rsidRPr="003B41D4">
        <w:t>第</w:t>
      </w:r>
      <w:r w:rsidR="00203F72" w:rsidRPr="003B41D4">
        <w:t>17</w:t>
      </w:r>
      <w:r w:rsidR="00203F72" w:rsidRPr="003B41D4">
        <w:t>條第</w:t>
      </w:r>
      <w:r w:rsidR="00203F72" w:rsidRPr="003B41D4">
        <w:t>1</w:t>
      </w:r>
      <w:r w:rsidR="00203F72" w:rsidRPr="003B41D4">
        <w:t>項之規定，雇主要求受僱人工作之時數，不得超過以下之時數：</w:t>
      </w:r>
      <w:r w:rsidR="00203F72" w:rsidRPr="003B41D4">
        <w:t>1.</w:t>
      </w:r>
      <w:r w:rsidR="00203F72" w:rsidRPr="003B41D4">
        <w:t>每日</w:t>
      </w:r>
      <w:r w:rsidR="00203F72" w:rsidRPr="003B41D4">
        <w:t>8</w:t>
      </w:r>
      <w:r w:rsidR="00203F72" w:rsidRPr="003B41D4">
        <w:t>小時；</w:t>
      </w:r>
      <w:r w:rsidR="00203F72" w:rsidRPr="003B41D4">
        <w:t>2.</w:t>
      </w:r>
      <w:r w:rsidR="00203F72" w:rsidRPr="003B41D4">
        <w:t>每週</w:t>
      </w:r>
      <w:r w:rsidR="00203F72" w:rsidRPr="003B41D4">
        <w:t>48</w:t>
      </w:r>
      <w:r w:rsidR="00203F72" w:rsidRPr="003B41D4">
        <w:t>小時</w:t>
      </w:r>
      <w:r w:rsidR="00203F72" w:rsidRPr="003B41D4">
        <w:footnoteReference w:id="457"/>
      </w:r>
      <w:r w:rsidR="00203F72" w:rsidRPr="003B41D4">
        <w:t>。每週工作之時數不得超過</w:t>
      </w:r>
      <w:r w:rsidR="00203F72" w:rsidRPr="003B41D4">
        <w:t>48</w:t>
      </w:r>
      <w:r w:rsidR="00203F72" w:rsidRPr="003B41D4">
        <w:t>小時之計算標準，係為</w:t>
      </w:r>
      <w:r w:rsidR="00203F72" w:rsidRPr="003B41D4">
        <w:t>6</w:t>
      </w:r>
      <w:r w:rsidR="00203F72" w:rsidRPr="003B41D4">
        <w:t>日乘以</w:t>
      </w:r>
      <w:r w:rsidR="00203F72" w:rsidRPr="003B41D4">
        <w:t>8</w:t>
      </w:r>
      <w:r w:rsidR="00203F72" w:rsidRPr="003B41D4">
        <w:t>小時，即為</w:t>
      </w:r>
      <w:r w:rsidR="00203F72" w:rsidRPr="003B41D4">
        <w:t>48</w:t>
      </w:r>
      <w:r w:rsidR="00203F72" w:rsidRPr="003B41D4">
        <w:t>小時。</w:t>
      </w:r>
    </w:p>
    <w:p w14:paraId="5FE7A261" w14:textId="77777777" w:rsidR="00953151" w:rsidRPr="003B41D4" w:rsidRDefault="0039258A" w:rsidP="00D87D91">
      <w:r w:rsidRPr="003B41D4">
        <w:t xml:space="preserve">　　</w:t>
      </w:r>
      <w:r w:rsidR="00203F72" w:rsidRPr="003B41D4">
        <w:t>安大略省於施行</w:t>
      </w:r>
      <w:r w:rsidR="00203F72" w:rsidRPr="003B41D4">
        <w:t>ESA</w:t>
      </w:r>
      <w:r w:rsidR="00203F72" w:rsidRPr="003B41D4">
        <w:t>上述之規定後，在實際之執法過程中，遭遇到一些問題；諸如，有些工作之性質，實際上，無法在每日</w:t>
      </w:r>
      <w:r w:rsidR="00203F72" w:rsidRPr="003B41D4">
        <w:t>8</w:t>
      </w:r>
      <w:r w:rsidR="00203F72" w:rsidRPr="003B41D4">
        <w:t>小時之內完成之，它具有超時性</w:t>
      </w:r>
      <w:r w:rsidR="00203F72" w:rsidRPr="003B41D4">
        <w:t>(</w:t>
      </w:r>
      <w:r w:rsidR="00203F72" w:rsidRPr="003B41D4">
        <w:t>超過</w:t>
      </w:r>
      <w:r w:rsidR="00203F72" w:rsidRPr="003B41D4">
        <w:t>8</w:t>
      </w:r>
      <w:r w:rsidR="00203F72" w:rsidRPr="003B41D4">
        <w:t>小時</w:t>
      </w:r>
      <w:r w:rsidR="00203F72" w:rsidRPr="003B41D4">
        <w:t>)</w:t>
      </w:r>
      <w:r w:rsidR="00203F72" w:rsidRPr="003B41D4">
        <w:t>及連貫性。為了因應上述之實際需求，有必要作例外之規範，將每日</w:t>
      </w:r>
      <w:r w:rsidR="00203F72" w:rsidRPr="003B41D4">
        <w:t>8</w:t>
      </w:r>
      <w:r w:rsidR="00203F72" w:rsidRPr="003B41D4">
        <w:t>小時之工作時數限制，向上調動。故在</w:t>
      </w:r>
      <w:r w:rsidR="00203F72" w:rsidRPr="003B41D4">
        <w:t>2004</w:t>
      </w:r>
      <w:r w:rsidR="00203F72" w:rsidRPr="003B41D4">
        <w:t>年之修法中，並作出例外之規範。</w:t>
      </w:r>
    </w:p>
    <w:p w14:paraId="544D58CD" w14:textId="77777777" w:rsidR="00953151" w:rsidRPr="003B41D4" w:rsidRDefault="0039258A" w:rsidP="00D87D91">
      <w:r w:rsidRPr="003B41D4">
        <w:t xml:space="preserve">　　</w:t>
      </w:r>
      <w:r w:rsidR="00203F72" w:rsidRPr="003B41D4">
        <w:t>依據</w:t>
      </w:r>
      <w:r w:rsidR="00203F72" w:rsidRPr="003B41D4">
        <w:t>ESA</w:t>
      </w:r>
      <w:r w:rsidR="00203F72" w:rsidRPr="003B41D4">
        <w:t>第</w:t>
      </w:r>
      <w:r w:rsidR="00203F72" w:rsidRPr="003B41D4">
        <w:t>17</w:t>
      </w:r>
      <w:r w:rsidR="00203F72" w:rsidRPr="003B41D4">
        <w:t>條第</w:t>
      </w:r>
      <w:r w:rsidR="00203F72" w:rsidRPr="003B41D4">
        <w:t>2</w:t>
      </w:r>
      <w:r w:rsidR="00203F72" w:rsidRPr="003B41D4">
        <w:t>項例外原則之規範，假若受僱人（包括家事外勞）與雇主之間雙方達成協議，</w:t>
      </w:r>
      <w:r w:rsidR="00203F72" w:rsidRPr="003B41D4">
        <w:t xml:space="preserve"> </w:t>
      </w:r>
      <w:r w:rsidR="00203F72" w:rsidRPr="003B41D4">
        <w:t>受僱人可工作超過</w:t>
      </w:r>
      <w:r w:rsidR="00203F72" w:rsidRPr="003B41D4">
        <w:t>8</w:t>
      </w:r>
      <w:r w:rsidR="00203F72" w:rsidRPr="003B41D4">
        <w:t>小時，並達到經雙方協議每日工作時數之上限；同時，</w:t>
      </w:r>
      <w:r w:rsidR="00203F72" w:rsidRPr="003B41D4">
        <w:t xml:space="preserve"> </w:t>
      </w:r>
      <w:r w:rsidR="00203F72" w:rsidRPr="003B41D4">
        <w:t>受僱人每日之工作量額度，不應超過經雙方協議後每日工作量之上限</w:t>
      </w:r>
      <w:r w:rsidR="00203F72" w:rsidRPr="003B41D4">
        <w:footnoteReference w:id="458"/>
      </w:r>
      <w:r w:rsidR="00203F72" w:rsidRPr="003B41D4">
        <w:t>。有關於安大略省</w:t>
      </w:r>
      <w:r w:rsidR="00203F72" w:rsidRPr="003B41D4">
        <w:t>ESA</w:t>
      </w:r>
      <w:r w:rsidR="00203F72" w:rsidRPr="003B41D4">
        <w:t>中對於受僱人工作時數之基本原則（每日不得超過</w:t>
      </w:r>
      <w:r w:rsidR="00203F72" w:rsidRPr="003B41D4">
        <w:t>8</w:t>
      </w:r>
      <w:r w:rsidR="00203F72" w:rsidRPr="003B41D4">
        <w:t>小時，每週不得超過</w:t>
      </w:r>
      <w:r w:rsidR="00203F72" w:rsidRPr="003B41D4">
        <w:t>48</w:t>
      </w:r>
      <w:r w:rsidR="00203F72" w:rsidRPr="003B41D4">
        <w:t>小時）及其例外規定，於</w:t>
      </w:r>
      <w:r w:rsidR="00203F72" w:rsidRPr="003B41D4">
        <w:t>2000</w:t>
      </w:r>
      <w:r w:rsidR="00203F72" w:rsidRPr="003B41D4">
        <w:t>年公布</w:t>
      </w:r>
      <w:r w:rsidR="00203F72" w:rsidRPr="003B41D4">
        <w:t>ESA</w:t>
      </w:r>
      <w:r w:rsidR="00203F72" w:rsidRPr="003B41D4">
        <w:t>時，並未加以規範，於</w:t>
      </w:r>
      <w:r w:rsidR="00203F72" w:rsidRPr="003B41D4">
        <w:t>2004</w:t>
      </w:r>
      <w:r w:rsidR="00203F72" w:rsidRPr="003B41D4">
        <w:t>年修法時，始於</w:t>
      </w:r>
      <w:r w:rsidR="00203F72" w:rsidRPr="003B41D4">
        <w:t>ESA</w:t>
      </w:r>
      <w:r w:rsidR="00203F72" w:rsidRPr="003B41D4">
        <w:t>第</w:t>
      </w:r>
      <w:r w:rsidR="00203F72" w:rsidRPr="003B41D4">
        <w:t>17</w:t>
      </w:r>
      <w:r w:rsidR="00203F72" w:rsidRPr="003B41D4">
        <w:t>條第</w:t>
      </w:r>
      <w:r w:rsidR="00203F72" w:rsidRPr="003B41D4">
        <w:t>1</w:t>
      </w:r>
      <w:r w:rsidR="00203F72" w:rsidRPr="003B41D4">
        <w:t>項及第</w:t>
      </w:r>
      <w:r w:rsidR="00203F72" w:rsidRPr="003B41D4">
        <w:t>2</w:t>
      </w:r>
      <w:r w:rsidR="00203F72" w:rsidRPr="003B41D4">
        <w:t>項作出明確之規定與要求。</w:t>
      </w:r>
    </w:p>
    <w:p w14:paraId="36548A16" w14:textId="77777777" w:rsidR="00203F72" w:rsidRPr="003B41D4" w:rsidRDefault="0039258A" w:rsidP="00D87D91">
      <w:r w:rsidRPr="003B41D4">
        <w:t xml:space="preserve">　　</w:t>
      </w:r>
      <w:r w:rsidR="00203F72" w:rsidRPr="003B41D4">
        <w:t>在每週工作時數不得超過</w:t>
      </w:r>
      <w:r w:rsidR="00203F72" w:rsidRPr="003B41D4">
        <w:t>48</w:t>
      </w:r>
      <w:r w:rsidR="00203F72" w:rsidRPr="003B41D4">
        <w:t>小時之例外規定方面，亦類似於上述之情形。有些工作之屬性，本身具有超時性，為了因應此類工作之需求，</w:t>
      </w:r>
      <w:r w:rsidR="00203F72" w:rsidRPr="003B41D4">
        <w:t>ESA</w:t>
      </w:r>
      <w:r w:rsidR="00203F72" w:rsidRPr="003B41D4">
        <w:t>亦作出例外之規定。依據</w:t>
      </w:r>
      <w:r w:rsidR="00203F72" w:rsidRPr="003B41D4">
        <w:t>ESA</w:t>
      </w:r>
      <w:r w:rsidR="00203F72" w:rsidRPr="003B41D4">
        <w:t>第</w:t>
      </w:r>
      <w:r w:rsidR="00203F72" w:rsidRPr="003B41D4">
        <w:t>17</w:t>
      </w:r>
      <w:r w:rsidR="00203F72" w:rsidRPr="003B41D4">
        <w:t>條第</w:t>
      </w:r>
      <w:r w:rsidR="00203F72" w:rsidRPr="003B41D4">
        <w:t>3</w:t>
      </w:r>
      <w:r w:rsidR="00203F72" w:rsidRPr="003B41D4">
        <w:t>項對每週工作時數之例外原則之規定，當勞動條件符合以下構成要件時，</w:t>
      </w:r>
      <w:r w:rsidR="00203F72" w:rsidRPr="003B41D4">
        <w:t xml:space="preserve"> </w:t>
      </w:r>
      <w:r w:rsidR="00203F72" w:rsidRPr="003B41D4">
        <w:t>受僱人每週工作時數之限制，得超過</w:t>
      </w:r>
      <w:r w:rsidR="00203F72" w:rsidRPr="003B41D4">
        <w:t>48</w:t>
      </w:r>
      <w:r w:rsidR="00203F72" w:rsidRPr="003B41D4">
        <w:t>小時</w:t>
      </w:r>
      <w:r w:rsidR="00203F72" w:rsidRPr="003B41D4">
        <w:footnoteReference w:id="459"/>
      </w:r>
      <w:r w:rsidR="00203F72" w:rsidRPr="003B41D4">
        <w:t>：</w:t>
      </w:r>
    </w:p>
    <w:p w14:paraId="6442511F" w14:textId="77777777" w:rsidR="00203F72" w:rsidRPr="003B41D4" w:rsidRDefault="0039258A" w:rsidP="00D87D91">
      <w:r w:rsidRPr="003B41D4">
        <w:rPr>
          <w:rFonts w:hint="eastAsia"/>
        </w:rPr>
        <w:t xml:space="preserve">　　</w:t>
      </w:r>
      <w:r w:rsidRPr="003B41D4">
        <w:rPr>
          <w:rFonts w:hint="eastAsia"/>
        </w:rPr>
        <w:t>1</w:t>
      </w:r>
      <w:r w:rsidRPr="003B41D4">
        <w:rPr>
          <w:rFonts w:hint="eastAsia"/>
        </w:rPr>
        <w:t>、</w:t>
      </w:r>
      <w:r w:rsidR="00203F72" w:rsidRPr="003B41D4">
        <w:t>假若受僱人與雇主之間，雙方業已達成協議，則受僱人每週可工作超過</w:t>
      </w:r>
      <w:r w:rsidR="00203F72" w:rsidRPr="003B41D4">
        <w:t>48</w:t>
      </w:r>
      <w:r w:rsidR="00203F72" w:rsidRPr="003B41D4">
        <w:t>小時，並達到經雙方協議每週可工作特定時數之上限；</w:t>
      </w:r>
    </w:p>
    <w:p w14:paraId="5F2EF803" w14:textId="77777777" w:rsidR="00203F72" w:rsidRPr="003B41D4" w:rsidRDefault="0039258A" w:rsidP="00D87D91">
      <w:r w:rsidRPr="003B41D4">
        <w:rPr>
          <w:rFonts w:hint="eastAsia"/>
        </w:rPr>
        <w:t xml:space="preserve">　　</w:t>
      </w:r>
      <w:r w:rsidRPr="003B41D4">
        <w:rPr>
          <w:rFonts w:hint="eastAsia"/>
        </w:rPr>
        <w:t>2</w:t>
      </w:r>
      <w:r w:rsidRPr="003B41D4">
        <w:rPr>
          <w:rFonts w:hint="eastAsia"/>
        </w:rPr>
        <w:t>、</w:t>
      </w:r>
      <w:r w:rsidR="00203F72" w:rsidRPr="003B41D4">
        <w:t>雇主向安大略省就業標準處處長提出其所屬之受僱人每週工作時數能超過</w:t>
      </w:r>
      <w:r w:rsidR="00203F72" w:rsidRPr="003B41D4">
        <w:t>48</w:t>
      </w:r>
      <w:r w:rsidR="00203F72" w:rsidRPr="003B41D4">
        <w:t>小時限制之申請，且業已得到就業標準處處長之授權同意，此同意書所能適用之受僱人或某種類受僱人所包括之人；</w:t>
      </w:r>
    </w:p>
    <w:p w14:paraId="27ED7E8E" w14:textId="77777777" w:rsidR="00203F72" w:rsidRPr="003B41D4" w:rsidRDefault="0039258A" w:rsidP="00D87D91">
      <w:r w:rsidRPr="003B41D4">
        <w:rPr>
          <w:rFonts w:hint="eastAsia"/>
        </w:rPr>
        <w:t xml:space="preserve">　　</w:t>
      </w:r>
      <w:r w:rsidRPr="003B41D4">
        <w:rPr>
          <w:rFonts w:hint="eastAsia"/>
        </w:rPr>
        <w:t>3</w:t>
      </w:r>
      <w:r w:rsidRPr="003B41D4">
        <w:rPr>
          <w:rFonts w:hint="eastAsia"/>
        </w:rPr>
        <w:t>、</w:t>
      </w:r>
      <w:r w:rsidR="00203F72" w:rsidRPr="003B41D4">
        <w:t>受僱人每週工作之時數，並未超過以下之標準：</w:t>
      </w:r>
    </w:p>
    <w:p w14:paraId="5D1CE3E7" w14:textId="77777777" w:rsidR="00203F72" w:rsidRPr="003B41D4" w:rsidRDefault="0039258A" w:rsidP="00D87D91">
      <w:r w:rsidRPr="003B41D4">
        <w:rPr>
          <w:rFonts w:hint="eastAsia"/>
        </w:rPr>
        <w:t xml:space="preserve">　　</w:t>
      </w:r>
      <w:r w:rsidRPr="003B41D4">
        <w:rPr>
          <w:rFonts w:hint="eastAsia"/>
        </w:rPr>
        <w:t>(1)</w:t>
      </w:r>
      <w:r w:rsidR="00203F72" w:rsidRPr="003B41D4">
        <w:t>雇主與受僱人雙方達成協議之時數；</w:t>
      </w:r>
    </w:p>
    <w:p w14:paraId="385FF859" w14:textId="77777777" w:rsidR="00953151" w:rsidRPr="003B41D4" w:rsidRDefault="0039258A" w:rsidP="00D87D91">
      <w:r w:rsidRPr="003B41D4">
        <w:rPr>
          <w:rFonts w:hint="eastAsia"/>
        </w:rPr>
        <w:t xml:space="preserve">　　</w:t>
      </w:r>
      <w:r w:rsidRPr="003B41D4">
        <w:rPr>
          <w:rFonts w:hint="eastAsia"/>
        </w:rPr>
        <w:t>(2)</w:t>
      </w:r>
      <w:r w:rsidR="00203F72" w:rsidRPr="003B41D4">
        <w:t>就業標準處處長於授權同意書中所載明之時數；</w:t>
      </w:r>
    </w:p>
    <w:p w14:paraId="54C74998" w14:textId="77777777" w:rsidR="00203F72" w:rsidRPr="003B41D4" w:rsidRDefault="0039258A" w:rsidP="00D87D91">
      <w:r w:rsidRPr="003B41D4">
        <w:t xml:space="preserve">　　</w:t>
      </w:r>
      <w:r w:rsidR="00203F72" w:rsidRPr="003B41D4">
        <w:t>上述之例外規定，可令受僱人每週工作之時數，不受限於</w:t>
      </w:r>
      <w:r w:rsidR="00203F72" w:rsidRPr="003B41D4">
        <w:t>48</w:t>
      </w:r>
      <w:r w:rsidR="00203F72" w:rsidRPr="003B41D4">
        <w:t>小時，切合實際狀況之所需。安大略省為了令受僱人每週工作時數不得超過</w:t>
      </w:r>
      <w:r w:rsidR="00203F72" w:rsidRPr="003B41D4">
        <w:t>48</w:t>
      </w:r>
      <w:r w:rsidR="00203F72" w:rsidRPr="003B41D4">
        <w:t>小時之例外原則</w:t>
      </w:r>
      <w:r w:rsidR="00203F72" w:rsidRPr="003B41D4">
        <w:t>(</w:t>
      </w:r>
      <w:r w:rsidR="00203F72" w:rsidRPr="003B41D4">
        <w:t>即可超過</w:t>
      </w:r>
      <w:r w:rsidR="00203F72" w:rsidRPr="003B41D4">
        <w:t>48</w:t>
      </w:r>
      <w:r w:rsidR="00203F72" w:rsidRPr="003B41D4">
        <w:t>小時</w:t>
      </w:r>
      <w:r w:rsidR="00203F72" w:rsidRPr="003B41D4">
        <w:t>)</w:t>
      </w:r>
      <w:r w:rsidR="00203F72" w:rsidRPr="003B41D4">
        <w:t>於適用時，更具有彈性化，作出若干彈性之規定，如此，俾令上開例外原則更加具有彈性化及方便性，並達到保障受僱人人權之目標。依據</w:t>
      </w:r>
      <w:r w:rsidR="00203F72" w:rsidRPr="003B41D4">
        <w:t>ESA</w:t>
      </w:r>
      <w:r w:rsidR="00203F72" w:rsidRPr="003B41D4">
        <w:t>第</w:t>
      </w:r>
      <w:r w:rsidR="00203F72" w:rsidRPr="003B41D4">
        <w:t>17</w:t>
      </w:r>
      <w:r w:rsidR="00203F72" w:rsidRPr="003B41D4">
        <w:t>條第</w:t>
      </w:r>
      <w:r w:rsidR="00203F72" w:rsidRPr="003B41D4">
        <w:t>4</w:t>
      </w:r>
      <w:r w:rsidR="00203F72" w:rsidRPr="003B41D4">
        <w:t>項之規定，假若雇主向安大略省就業標準處處長提出其所屬之受僱人每週工作時數能超越</w:t>
      </w:r>
      <w:r w:rsidR="00203F72" w:rsidRPr="003B41D4">
        <w:t>48</w:t>
      </w:r>
      <w:r w:rsidR="00203F72" w:rsidRPr="003B41D4">
        <w:t>小時限制之申請，正在審核之中，尚未獲得批准，如能符合以下之構成要件，則受僱人每週工作之時數，亦能超過</w:t>
      </w:r>
      <w:r w:rsidR="00203F72" w:rsidRPr="003B41D4">
        <w:t>48</w:t>
      </w:r>
      <w:r w:rsidR="00203F72" w:rsidRPr="003B41D4">
        <w:t>小時</w:t>
      </w:r>
      <w:r w:rsidR="00203F72" w:rsidRPr="003B41D4">
        <w:footnoteReference w:id="460"/>
      </w:r>
      <w:r w:rsidR="00203F72" w:rsidRPr="003B41D4">
        <w:t>：</w:t>
      </w:r>
    </w:p>
    <w:p w14:paraId="7C5F2F32" w14:textId="77777777"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假若雇主與受僱人之間，雙方業已達成協議，則受僱人每週可工作超過</w:t>
      </w:r>
      <w:r w:rsidR="00203F72" w:rsidRPr="003B41D4">
        <w:t>48</w:t>
      </w:r>
      <w:r w:rsidR="00203F72" w:rsidRPr="003B41D4">
        <w:t>小時，並達到經雙方協議可接受之每週工作特定時數之上限；</w:t>
      </w:r>
    </w:p>
    <w:p w14:paraId="6AA28F57" w14:textId="77777777" w:rsidR="00203F72"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雇主所提出之上述申請案，業已送達就業標準處處長；</w:t>
      </w:r>
    </w:p>
    <w:p w14:paraId="7961F84F" w14:textId="77777777" w:rsidR="00203F72" w:rsidRPr="003B41D4" w:rsidRDefault="002143FF" w:rsidP="00D87D91">
      <w:r w:rsidRPr="003B41D4">
        <w:rPr>
          <w:rFonts w:hint="eastAsia"/>
        </w:rPr>
        <w:t xml:space="preserve">　　</w:t>
      </w:r>
      <w:r w:rsidRPr="003B41D4">
        <w:rPr>
          <w:rFonts w:hint="eastAsia"/>
        </w:rPr>
        <w:t>3</w:t>
      </w:r>
      <w:r w:rsidR="0039258A" w:rsidRPr="003B41D4">
        <w:rPr>
          <w:rFonts w:hint="eastAsia"/>
        </w:rPr>
        <w:t>、</w:t>
      </w:r>
      <w:r w:rsidR="00203F72" w:rsidRPr="003B41D4">
        <w:t>雇主正向安大略省就業標準處處長提出其所屬之受僱人每週工作時數能超越</w:t>
      </w:r>
      <w:r w:rsidR="00203F72" w:rsidRPr="003B41D4">
        <w:t>48</w:t>
      </w:r>
      <w:r w:rsidR="00203F72" w:rsidRPr="003B41D4">
        <w:t>小時限制之申請案，如未來取得上開處長之授權同意，則此同意書所能適用之受僱人或某種類受僱人所包括之人；</w:t>
      </w:r>
    </w:p>
    <w:p w14:paraId="3E7FEAA2" w14:textId="77777777" w:rsidR="00203F72" w:rsidRPr="003B41D4" w:rsidRDefault="002143FF" w:rsidP="00D87D91">
      <w:r w:rsidRPr="003B41D4">
        <w:rPr>
          <w:rFonts w:hint="eastAsia"/>
        </w:rPr>
        <w:t xml:space="preserve">　　</w:t>
      </w:r>
      <w:r w:rsidRPr="003B41D4">
        <w:rPr>
          <w:rFonts w:hint="eastAsia"/>
        </w:rPr>
        <w:t>4</w:t>
      </w:r>
      <w:r w:rsidR="0039258A" w:rsidRPr="003B41D4">
        <w:rPr>
          <w:rFonts w:hint="eastAsia"/>
        </w:rPr>
        <w:t>、</w:t>
      </w:r>
      <w:r w:rsidR="00203F72" w:rsidRPr="003B41D4">
        <w:t>雇主所提出之上開申請案，業已送達就業標準處處長，且已超過</w:t>
      </w:r>
      <w:r w:rsidR="00203F72" w:rsidRPr="003B41D4">
        <w:t>30</w:t>
      </w:r>
      <w:r w:rsidR="00203F72" w:rsidRPr="003B41D4">
        <w:t>日；</w:t>
      </w:r>
    </w:p>
    <w:p w14:paraId="4C590D1C" w14:textId="77777777" w:rsidR="00203F72" w:rsidRPr="003B41D4" w:rsidRDefault="002143FF" w:rsidP="00D87D91">
      <w:r w:rsidRPr="003B41D4">
        <w:rPr>
          <w:rFonts w:hint="eastAsia"/>
        </w:rPr>
        <w:t xml:space="preserve">　　</w:t>
      </w:r>
      <w:r w:rsidRPr="003B41D4">
        <w:rPr>
          <w:rFonts w:hint="eastAsia"/>
        </w:rPr>
        <w:t>5</w:t>
      </w:r>
      <w:r w:rsidR="0039258A" w:rsidRPr="003B41D4">
        <w:rPr>
          <w:rFonts w:hint="eastAsia"/>
        </w:rPr>
        <w:t>、</w:t>
      </w:r>
      <w:r w:rsidR="00203F72" w:rsidRPr="003B41D4">
        <w:t>雇主已提出上開申請案，但尚未收到遭就業標準處處長拒絕之通知；</w:t>
      </w:r>
    </w:p>
    <w:p w14:paraId="0F58D739" w14:textId="77777777" w:rsidR="00203F72" w:rsidRPr="003B41D4" w:rsidRDefault="002143FF" w:rsidP="00D87D91">
      <w:r w:rsidRPr="003B41D4">
        <w:rPr>
          <w:rFonts w:hint="eastAsia"/>
        </w:rPr>
        <w:t xml:space="preserve">　　</w:t>
      </w:r>
      <w:r w:rsidRPr="003B41D4">
        <w:rPr>
          <w:rFonts w:hint="eastAsia"/>
        </w:rPr>
        <w:t>6</w:t>
      </w:r>
      <w:r w:rsidR="0039258A" w:rsidRPr="003B41D4">
        <w:rPr>
          <w:rFonts w:hint="eastAsia"/>
        </w:rPr>
        <w:t>、</w:t>
      </w:r>
      <w:r w:rsidR="00203F72" w:rsidRPr="003B41D4">
        <w:t>為了取得就業標準處處長之授權同意，</w:t>
      </w:r>
      <w:r w:rsidR="00203F72" w:rsidRPr="003B41D4">
        <w:t xml:space="preserve"> </w:t>
      </w:r>
      <w:r w:rsidR="00203F72" w:rsidRPr="003B41D4">
        <w:t>雇主最近一次之上開申請案尚未遭到就業標準處處長之拒絕；</w:t>
      </w:r>
    </w:p>
    <w:p w14:paraId="5E455655" w14:textId="77777777" w:rsidR="00203F72" w:rsidRPr="003B41D4" w:rsidRDefault="002143FF" w:rsidP="00D87D91">
      <w:r w:rsidRPr="003B41D4">
        <w:rPr>
          <w:rFonts w:hint="eastAsia"/>
        </w:rPr>
        <w:t xml:space="preserve">　　</w:t>
      </w:r>
      <w:r w:rsidRPr="003B41D4">
        <w:rPr>
          <w:rFonts w:hint="eastAsia"/>
        </w:rPr>
        <w:t>7</w:t>
      </w:r>
      <w:r w:rsidR="0039258A" w:rsidRPr="003B41D4">
        <w:rPr>
          <w:rFonts w:hint="eastAsia"/>
        </w:rPr>
        <w:t>、</w:t>
      </w:r>
      <w:r w:rsidR="00203F72" w:rsidRPr="003B41D4">
        <w:t>雇主最近從就業標準處處長所取得之授權同意書，尚未遭到撤銷或廢止；</w:t>
      </w:r>
    </w:p>
    <w:p w14:paraId="250DF6AA" w14:textId="77777777" w:rsidR="00953151" w:rsidRPr="003B41D4" w:rsidRDefault="002143FF" w:rsidP="00D87D91">
      <w:r w:rsidRPr="003B41D4">
        <w:rPr>
          <w:rFonts w:hint="eastAsia"/>
        </w:rPr>
        <w:t xml:space="preserve">　　</w:t>
      </w:r>
      <w:r w:rsidRPr="003B41D4">
        <w:rPr>
          <w:rFonts w:hint="eastAsia"/>
        </w:rPr>
        <w:t>8</w:t>
      </w:r>
      <w:r w:rsidR="0039258A" w:rsidRPr="003B41D4">
        <w:rPr>
          <w:rFonts w:hint="eastAsia"/>
        </w:rPr>
        <w:t>、</w:t>
      </w:r>
      <w:r w:rsidR="00203F72" w:rsidRPr="003B41D4">
        <w:t>雇主將延長</w:t>
      </w:r>
      <w:r w:rsidR="00203F72" w:rsidRPr="003B41D4">
        <w:t>48</w:t>
      </w:r>
      <w:r w:rsidR="00203F72" w:rsidRPr="003B41D4">
        <w:t>小時工作時數之申請書，至少公布於受僱人工作場域之一處明顯處所，如此，它有可能會吸引受僱人之同意；同時，</w:t>
      </w:r>
      <w:r w:rsidR="00203F72" w:rsidRPr="003B41D4">
        <w:t xml:space="preserve"> </w:t>
      </w:r>
      <w:r w:rsidR="00203F72" w:rsidRPr="003B41D4">
        <w:t>受僱人每週工作之時數，不應超過以下之條件：</w:t>
      </w:r>
      <w:r w:rsidR="00203F72" w:rsidRPr="003B41D4">
        <w:t>(1)</w:t>
      </w:r>
      <w:r w:rsidR="00203F72" w:rsidRPr="003B41D4">
        <w:t>雇主向就業標準處處長所提出申請案中所載明之時數上限；</w:t>
      </w:r>
      <w:r w:rsidR="00203F72" w:rsidRPr="003B41D4">
        <w:t>(2)</w:t>
      </w:r>
      <w:r w:rsidR="00203F72" w:rsidRPr="003B41D4">
        <w:t>勞資雙方業已達成協議之時數上限；</w:t>
      </w:r>
      <w:r w:rsidR="00203F72" w:rsidRPr="003B41D4">
        <w:t>(3)60</w:t>
      </w:r>
      <w:r w:rsidR="00203F72" w:rsidRPr="003B41D4">
        <w:t>小時。</w:t>
      </w:r>
    </w:p>
    <w:p w14:paraId="23BC8DEF" w14:textId="77777777" w:rsidR="00203F72" w:rsidRPr="003B41D4" w:rsidRDefault="0039258A" w:rsidP="00D87D91">
      <w:r w:rsidRPr="003B41D4">
        <w:t xml:space="preserve">　　</w:t>
      </w:r>
      <w:r w:rsidR="00203F72" w:rsidRPr="003B41D4">
        <w:t>勞資雙方在針對勞方工作時數議題達成正式協議前，</w:t>
      </w:r>
      <w:r w:rsidR="00203F72" w:rsidRPr="003B41D4">
        <w:t>ESA</w:t>
      </w:r>
      <w:r w:rsidR="00203F72" w:rsidRPr="003B41D4">
        <w:t>規定雇主應向受僱人提供涉及勞方權利與資方義務之必要文件，以確保受僱人之權益。根據</w:t>
      </w:r>
      <w:r w:rsidR="00203F72" w:rsidRPr="003B41D4">
        <w:t>ESA</w:t>
      </w:r>
      <w:r w:rsidR="00203F72" w:rsidRPr="003B41D4">
        <w:t>第</w:t>
      </w:r>
      <w:r w:rsidR="00203F72" w:rsidRPr="003B41D4">
        <w:t>17</w:t>
      </w:r>
      <w:r w:rsidR="00203F72" w:rsidRPr="003B41D4">
        <w:t>條第</w:t>
      </w:r>
      <w:r w:rsidR="00203F72" w:rsidRPr="003B41D4">
        <w:t>5</w:t>
      </w:r>
      <w:r w:rsidR="00203F72" w:rsidRPr="003B41D4">
        <w:t>項之規定，雇主與受僱人間雙方之協議，如涉及受僱人每天工作時數可超越</w:t>
      </w:r>
      <w:r w:rsidR="00203F72" w:rsidRPr="003B41D4">
        <w:t>8</w:t>
      </w:r>
      <w:r w:rsidR="00203F72" w:rsidRPr="003B41D4">
        <w:t>小時，或每週工作時數能超越</w:t>
      </w:r>
      <w:r w:rsidR="00203F72" w:rsidRPr="003B41D4">
        <w:t>48</w:t>
      </w:r>
      <w:r w:rsidR="00203F72" w:rsidRPr="003B41D4">
        <w:t>小時限制之內容，上述雙方之協議，須符合以下之要件，始具有效力</w:t>
      </w:r>
      <w:r w:rsidR="00203F72" w:rsidRPr="003B41D4">
        <w:footnoteReference w:id="461"/>
      </w:r>
      <w:r w:rsidR="00203F72" w:rsidRPr="003B41D4">
        <w:t>：</w:t>
      </w:r>
    </w:p>
    <w:p w14:paraId="139DC9D1" w14:textId="77777777"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在勞資雙方達成協議之前，雇主應向受僱人提供一份由就業標準處處長所公布最新文件之影本，文件之內容，係為</w:t>
      </w:r>
      <w:r w:rsidR="00203F72" w:rsidRPr="003B41D4">
        <w:t>ESA</w:t>
      </w:r>
      <w:r w:rsidR="00203F72" w:rsidRPr="003B41D4">
        <w:t>第</w:t>
      </w:r>
      <w:r w:rsidR="00203F72" w:rsidRPr="003B41D4">
        <w:t>7</w:t>
      </w:r>
      <w:r w:rsidR="00203F72" w:rsidRPr="003B41D4">
        <w:t>章所規定涉及受僱人權益，與雇主之義務，及</w:t>
      </w:r>
      <w:r w:rsidR="00203F72" w:rsidRPr="003B41D4">
        <w:t>ESA</w:t>
      </w:r>
      <w:r w:rsidR="00203F72" w:rsidRPr="003B41D4">
        <w:t>第</w:t>
      </w:r>
      <w:r w:rsidR="00203F72" w:rsidRPr="003B41D4">
        <w:t>8</w:t>
      </w:r>
      <w:r w:rsidR="00203F72" w:rsidRPr="003B41D4">
        <w:t>章所規範涉及受僱人逾時工作之薪資之相關資訊；</w:t>
      </w:r>
    </w:p>
    <w:p w14:paraId="27540F0D" w14:textId="77777777" w:rsidR="00203F72"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在勞資雙方所達成之協議文中，須包括受僱人已知悉由雇主所提供上述檔之陳述內容；</w:t>
      </w:r>
    </w:p>
    <w:p w14:paraId="5ED21B12" w14:textId="77777777" w:rsidR="00953151" w:rsidRPr="003B41D4" w:rsidRDefault="0039258A" w:rsidP="00D87D91">
      <w:r w:rsidRPr="003B41D4">
        <w:t xml:space="preserve">　　</w:t>
      </w:r>
      <w:r w:rsidR="00203F72" w:rsidRPr="003B41D4">
        <w:t>在勞資雙方達成協議之前，須向受僱人提供上述之檔，俾利受僱人能充分瞭解其權益，以及雇主所負擔之義務。</w:t>
      </w:r>
    </w:p>
    <w:p w14:paraId="3D6567F7" w14:textId="77777777" w:rsidR="00953151" w:rsidRPr="003B41D4" w:rsidRDefault="0039258A" w:rsidP="00D87D91">
      <w:r w:rsidRPr="003B41D4">
        <w:t xml:space="preserve">　　</w:t>
      </w:r>
      <w:r w:rsidR="00203F72" w:rsidRPr="003B41D4">
        <w:t>在涉及協議之廢止部分，</w:t>
      </w:r>
      <w:r w:rsidR="00203F72" w:rsidRPr="003B41D4">
        <w:t>ESA</w:t>
      </w:r>
      <w:r w:rsidR="00203F72" w:rsidRPr="003B41D4">
        <w:t>賦予受僱人與雇主分別具有終止協議之權限；根據</w:t>
      </w:r>
      <w:r w:rsidR="00203F72" w:rsidRPr="003B41D4">
        <w:t>ESA</w:t>
      </w:r>
      <w:r w:rsidR="00203F72" w:rsidRPr="003B41D4">
        <w:t>第</w:t>
      </w:r>
      <w:r w:rsidR="00203F72" w:rsidRPr="003B41D4">
        <w:t>17</w:t>
      </w:r>
      <w:r w:rsidR="00203F72" w:rsidRPr="003B41D4">
        <w:t>條第</w:t>
      </w:r>
      <w:r w:rsidR="00203F72" w:rsidRPr="003B41D4">
        <w:t>6</w:t>
      </w:r>
      <w:r w:rsidR="00203F72" w:rsidRPr="003B41D4">
        <w:t>項之規定，勞資雙方之協議，如涉及受僱人每天工作時數可逾</w:t>
      </w:r>
      <w:r w:rsidR="00203F72" w:rsidRPr="003B41D4">
        <w:t>8</w:t>
      </w:r>
      <w:r w:rsidR="00203F72" w:rsidRPr="003B41D4">
        <w:t>小時，或每週工作時數可逾</w:t>
      </w:r>
      <w:r w:rsidR="00203F72" w:rsidRPr="003B41D4">
        <w:t>48</w:t>
      </w:r>
      <w:r w:rsidR="00203F72" w:rsidRPr="003B41D4">
        <w:t>小時限制之內容，當受僱人向雇主提交擬終止上開協議之通知起，逾兩週後，終止協議之效力正式生效</w:t>
      </w:r>
      <w:r w:rsidR="00203F72" w:rsidRPr="003B41D4">
        <w:footnoteReference w:id="462"/>
      </w:r>
      <w:r w:rsidR="00203F72" w:rsidRPr="003B41D4">
        <w:t>。</w:t>
      </w:r>
    </w:p>
    <w:p w14:paraId="7652542E" w14:textId="77777777" w:rsidR="00953151" w:rsidRPr="003B41D4" w:rsidRDefault="0039258A" w:rsidP="00D87D91">
      <w:r w:rsidRPr="003B41D4">
        <w:t xml:space="preserve">　　</w:t>
      </w:r>
      <w:r w:rsidR="00203F72" w:rsidRPr="003B41D4">
        <w:t>除了受僱人有權限終止涉及工作時數限制之協議外，雇主亦具有終止上開協議之權限。根據</w:t>
      </w:r>
      <w:r w:rsidR="00203F72" w:rsidRPr="003B41D4">
        <w:t>ESA</w:t>
      </w:r>
      <w:r w:rsidR="00203F72" w:rsidRPr="003B41D4">
        <w:t>第</w:t>
      </w:r>
      <w:r w:rsidR="00203F72" w:rsidRPr="003B41D4">
        <w:t>17</w:t>
      </w:r>
      <w:r w:rsidR="00203F72" w:rsidRPr="003B41D4">
        <w:t>條第</w:t>
      </w:r>
      <w:r w:rsidR="00203F72" w:rsidRPr="003B41D4">
        <w:t>7</w:t>
      </w:r>
      <w:r w:rsidR="00203F72" w:rsidRPr="003B41D4">
        <w:t>項之規定，勞資雙方所達成之上述協議，當雇主向受僱人提交擬終止上開協議之合理通知後，終止協議之效力正式生效</w:t>
      </w:r>
      <w:r w:rsidR="00203F72" w:rsidRPr="003B41D4">
        <w:footnoteReference w:id="463"/>
      </w:r>
      <w:r w:rsidR="00203F72" w:rsidRPr="003B41D4">
        <w:t>。</w:t>
      </w:r>
    </w:p>
    <w:p w14:paraId="4F7466AA" w14:textId="77777777" w:rsidR="00203F72" w:rsidRPr="003B41D4" w:rsidRDefault="0039258A" w:rsidP="00D87D91">
      <w:r w:rsidRPr="003B41D4">
        <w:t xml:space="preserve">　　</w:t>
      </w:r>
      <w:r w:rsidR="00203F72" w:rsidRPr="003B41D4">
        <w:t>(</w:t>
      </w:r>
      <w:r w:rsidR="00203F72" w:rsidRPr="003B41D4">
        <w:t>二</w:t>
      </w:r>
      <w:r w:rsidR="00203F72" w:rsidRPr="003B41D4">
        <w:t>)</w:t>
      </w:r>
      <w:r w:rsidR="00203F72" w:rsidRPr="003B41D4">
        <w:t>每週工作逾</w:t>
      </w:r>
      <w:r w:rsidR="00203F72" w:rsidRPr="003B41D4">
        <w:t>48</w:t>
      </w:r>
      <w:r w:rsidR="00203F72" w:rsidRPr="003B41D4">
        <w:t>小時之申請與核可</w:t>
      </w:r>
    </w:p>
    <w:p w14:paraId="3F936EA2" w14:textId="77777777" w:rsidR="00953151" w:rsidRPr="003B41D4" w:rsidRDefault="0039258A" w:rsidP="00D87D91">
      <w:r w:rsidRPr="003B41D4">
        <w:t xml:space="preserve">　　</w:t>
      </w:r>
      <w:r w:rsidR="00203F72" w:rsidRPr="003B41D4">
        <w:t>依據</w:t>
      </w:r>
      <w:r w:rsidR="00203F72" w:rsidRPr="003B41D4">
        <w:t>ESA</w:t>
      </w:r>
      <w:r w:rsidR="00203F72" w:rsidRPr="003B41D4">
        <w:t>第</w:t>
      </w:r>
      <w:r w:rsidR="00203F72" w:rsidRPr="003B41D4">
        <w:t>17.1</w:t>
      </w:r>
      <w:r w:rsidR="00203F72" w:rsidRPr="003B41D4">
        <w:t>條第</w:t>
      </w:r>
      <w:r w:rsidR="00203F72" w:rsidRPr="003B41D4">
        <w:t>1</w:t>
      </w:r>
      <w:r w:rsidR="00203F72" w:rsidRPr="003B41D4">
        <w:t>項之規範，雇主有權向安大略省就業標準處處長提出受僱人（包括家事外勞）每週工作時數得逾</w:t>
      </w:r>
      <w:r w:rsidR="00203F72" w:rsidRPr="003B41D4">
        <w:t>48</w:t>
      </w:r>
      <w:r w:rsidR="00203F72" w:rsidRPr="003B41D4">
        <w:t>小時之申請，在此種申請案件中所指涉之受僱人範圍，可為雇主所聘用之部分或所有之員工</w:t>
      </w:r>
      <w:r w:rsidR="00203F72" w:rsidRPr="003B41D4">
        <w:footnoteReference w:id="464"/>
      </w:r>
      <w:r w:rsidR="00203F72" w:rsidRPr="003B41D4">
        <w:t>。為了方便雇主提出上開之申請及統一申請之格式，就業標準處處長應提供上述申請案所需之格式，俾利雇主提出申請案</w:t>
      </w:r>
      <w:r w:rsidR="00203F72" w:rsidRPr="003B41D4">
        <w:footnoteReference w:id="465"/>
      </w:r>
      <w:r w:rsidR="00203F72" w:rsidRPr="003B41D4">
        <w:t>。</w:t>
      </w:r>
    </w:p>
    <w:p w14:paraId="160825C1" w14:textId="77777777" w:rsidR="00203F72" w:rsidRPr="003B41D4" w:rsidRDefault="0039258A" w:rsidP="00D87D91">
      <w:r w:rsidRPr="003B41D4">
        <w:t xml:space="preserve">　　</w:t>
      </w:r>
      <w:r w:rsidR="00203F72" w:rsidRPr="003B41D4">
        <w:t>在雇主向就業標準處處長提出受僱人（包括家事外勞）每週工作時數得逾</w:t>
      </w:r>
      <w:r w:rsidR="00203F72" w:rsidRPr="003B41D4">
        <w:t>48</w:t>
      </w:r>
      <w:r w:rsidR="00203F72" w:rsidRPr="003B41D4">
        <w:t>小時申請案之送達部分，依據</w:t>
      </w:r>
      <w:r w:rsidR="00203F72" w:rsidRPr="003B41D4">
        <w:t>ESA</w:t>
      </w:r>
      <w:r w:rsidR="00203F72" w:rsidRPr="003B41D4">
        <w:t>第</w:t>
      </w:r>
      <w:r w:rsidR="00203F72" w:rsidRPr="003B41D4">
        <w:t>17.1</w:t>
      </w:r>
      <w:r w:rsidR="00203F72" w:rsidRPr="003B41D4">
        <w:t>條第</w:t>
      </w:r>
      <w:r w:rsidR="00203F72" w:rsidRPr="003B41D4">
        <w:t>3</w:t>
      </w:r>
      <w:r w:rsidR="00203F72" w:rsidRPr="003B41D4">
        <w:t>項之規範，雇主上開擬申請延長工作時數之案件，其送達之方式，如下所述</w:t>
      </w:r>
      <w:r w:rsidR="00203F72" w:rsidRPr="003B41D4">
        <w:footnoteReference w:id="466"/>
      </w:r>
      <w:r w:rsidR="00203F72" w:rsidRPr="003B41D4">
        <w:t>：</w:t>
      </w:r>
    </w:p>
    <w:p w14:paraId="519D1BFA" w14:textId="77777777"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在就業標準處處長辦公室營業之日期及時段，將申請案件送達至就業標準處處長辦公室</w:t>
      </w:r>
      <w:r w:rsidR="00203F72" w:rsidRPr="003B41D4">
        <w:footnoteReference w:id="467"/>
      </w:r>
      <w:r w:rsidR="00203F72" w:rsidRPr="003B41D4">
        <w:t>；</w:t>
      </w:r>
    </w:p>
    <w:p w14:paraId="13472EDF" w14:textId="77777777" w:rsidR="00203F72"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利用郵寄之方式，將申請案件寄送至就業標準處處長辦公室，且此種郵寄之方式能被證明</w:t>
      </w:r>
      <w:r w:rsidR="00203F72" w:rsidRPr="003B41D4">
        <w:footnoteReference w:id="468"/>
      </w:r>
      <w:r w:rsidR="00203F72" w:rsidRPr="003B41D4">
        <w:t>；</w:t>
      </w:r>
    </w:p>
    <w:p w14:paraId="2CDDEDD1" w14:textId="77777777" w:rsidR="00953151" w:rsidRPr="003B41D4" w:rsidRDefault="002143FF" w:rsidP="00D87D91">
      <w:r w:rsidRPr="003B41D4">
        <w:rPr>
          <w:rFonts w:hint="eastAsia"/>
        </w:rPr>
        <w:t xml:space="preserve">　　</w:t>
      </w:r>
      <w:r w:rsidRPr="003B41D4">
        <w:rPr>
          <w:rFonts w:hint="eastAsia"/>
        </w:rPr>
        <w:t>3</w:t>
      </w:r>
      <w:r w:rsidR="0039258A" w:rsidRPr="003B41D4">
        <w:rPr>
          <w:rFonts w:hint="eastAsia"/>
        </w:rPr>
        <w:t>、</w:t>
      </w:r>
      <w:r w:rsidR="00203F72" w:rsidRPr="003B41D4">
        <w:t>利用電子郵件或傳真機傳送之方式，將申請案件寄送至就業標準處處長之辦公室</w:t>
      </w:r>
      <w:r w:rsidR="00203F72" w:rsidRPr="003B41D4">
        <w:footnoteReference w:id="469"/>
      </w:r>
      <w:r w:rsidR="00203F72" w:rsidRPr="003B41D4">
        <w:t>。</w:t>
      </w:r>
    </w:p>
    <w:p w14:paraId="58F9255E" w14:textId="77777777" w:rsidR="00203F72" w:rsidRPr="003B41D4" w:rsidRDefault="00254E32" w:rsidP="00D87D91">
      <w:r w:rsidRPr="003B41D4">
        <w:t xml:space="preserve">　　</w:t>
      </w:r>
      <w:r w:rsidR="00203F72" w:rsidRPr="003B41D4">
        <w:t>雇主上開送達就業標準處處長辦公室之申請案件，依據</w:t>
      </w:r>
      <w:r w:rsidR="00203F72" w:rsidRPr="003B41D4">
        <w:t>ESA</w:t>
      </w:r>
      <w:r w:rsidR="00203F72" w:rsidRPr="003B41D4">
        <w:t>第</w:t>
      </w:r>
      <w:r w:rsidR="00203F72" w:rsidRPr="003B41D4">
        <w:t>17.1</w:t>
      </w:r>
      <w:r w:rsidR="00203F72" w:rsidRPr="003B41D4">
        <w:t>條第</w:t>
      </w:r>
      <w:r w:rsidR="00203F72" w:rsidRPr="003B41D4">
        <w:t>4</w:t>
      </w:r>
      <w:r w:rsidR="00203F72" w:rsidRPr="003B41D4">
        <w:t>項之規範，如符合下列之構成要件，則能</w:t>
      </w:r>
      <w:r w:rsidR="003E240E">
        <w:t>視</w:t>
      </w:r>
      <w:r w:rsidR="00203F72" w:rsidRPr="003B41D4">
        <w:t>為有效之送達</w:t>
      </w:r>
      <w:r w:rsidR="00203F72" w:rsidRPr="003B41D4">
        <w:footnoteReference w:id="470"/>
      </w:r>
      <w:r w:rsidR="00203F72" w:rsidRPr="003B41D4">
        <w:t>：</w:t>
      </w:r>
    </w:p>
    <w:p w14:paraId="691B7B0F" w14:textId="77777777"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在就業標準處處長辦公室營業之日期及時段送達之申請案件，由處長或其代表人提供給雇主之收據或認可檔，顯示出送達之日期；</w:t>
      </w:r>
    </w:p>
    <w:p w14:paraId="5E4CEE93" w14:textId="77777777" w:rsidR="00203F72"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假若係採用郵寄之方式，則郵寄方式能被證明之日期；</w:t>
      </w:r>
    </w:p>
    <w:p w14:paraId="48696E78" w14:textId="77777777" w:rsidR="00953151" w:rsidRPr="003B41D4" w:rsidRDefault="002143FF" w:rsidP="00D87D91">
      <w:r w:rsidRPr="003B41D4">
        <w:rPr>
          <w:rFonts w:hint="eastAsia"/>
        </w:rPr>
        <w:t xml:space="preserve">　　</w:t>
      </w:r>
      <w:r w:rsidRPr="003B41D4">
        <w:rPr>
          <w:rFonts w:hint="eastAsia"/>
        </w:rPr>
        <w:t>3</w:t>
      </w:r>
      <w:r w:rsidR="0039258A" w:rsidRPr="003B41D4">
        <w:rPr>
          <w:rFonts w:hint="eastAsia"/>
        </w:rPr>
        <w:t>、</w:t>
      </w:r>
      <w:r w:rsidR="00203F72" w:rsidRPr="003B41D4">
        <w:t>假若係利用電子郵件或傳真機傳輸之方式，則完成上述傳輸之日期，被</w:t>
      </w:r>
      <w:r w:rsidR="003E240E">
        <w:t>視</w:t>
      </w:r>
      <w:r w:rsidR="00203F72" w:rsidRPr="003B41D4">
        <w:t>為是送達之日。</w:t>
      </w:r>
    </w:p>
    <w:p w14:paraId="0FBFCF1C" w14:textId="77777777" w:rsidR="00203F72" w:rsidRPr="003B41D4" w:rsidRDefault="0039258A" w:rsidP="00D87D91">
      <w:r w:rsidRPr="003B41D4">
        <w:t xml:space="preserve">　　</w:t>
      </w:r>
      <w:r w:rsidR="00203F72" w:rsidRPr="003B41D4">
        <w:t>在就業標準處處長辦公室非營業日期與時段，如雇主擬利用電子郵件或傳真機傳輸之方式，傳送上開之申請案，依據</w:t>
      </w:r>
      <w:r w:rsidR="00203F72" w:rsidRPr="003B41D4">
        <w:t>ESA</w:t>
      </w:r>
      <w:r w:rsidR="00203F72" w:rsidRPr="003B41D4">
        <w:t>第</w:t>
      </w:r>
      <w:r w:rsidR="00203F72" w:rsidRPr="003B41D4">
        <w:t>17.1</w:t>
      </w:r>
      <w:r w:rsidR="00203F72" w:rsidRPr="003B41D4">
        <w:t>條第</w:t>
      </w:r>
      <w:r w:rsidR="00203F72" w:rsidRPr="003B41D4">
        <w:t>5</w:t>
      </w:r>
      <w:r w:rsidR="00203F72" w:rsidRPr="003B41D4">
        <w:t>項之規定，於下列非營業日期與時段之傳送，有效之送達日期，係為次日，且為就業標準處處長辦公室營業之日</w:t>
      </w:r>
      <w:r w:rsidR="00203F72" w:rsidRPr="003B41D4">
        <w:footnoteReference w:id="471"/>
      </w:r>
      <w:r w:rsidR="00203F72" w:rsidRPr="003B41D4">
        <w:t>：</w:t>
      </w:r>
    </w:p>
    <w:p w14:paraId="4C790CA9" w14:textId="77777777" w:rsidR="00203F72" w:rsidRPr="003B41D4" w:rsidRDefault="0039258A" w:rsidP="00D87D91">
      <w:r w:rsidRPr="003B41D4">
        <w:t xml:space="preserve">　　</w:t>
      </w:r>
      <w:r w:rsidR="00203F72" w:rsidRPr="003B41D4">
        <w:t>1.</w:t>
      </w:r>
      <w:r w:rsidR="00203F72" w:rsidRPr="003B41D4">
        <w:t>於就業標準處處長辦公室非營業之日期傳送；</w:t>
      </w:r>
    </w:p>
    <w:p w14:paraId="5AE77EAB" w14:textId="77777777" w:rsidR="00953151" w:rsidRPr="003B41D4" w:rsidRDefault="0039258A" w:rsidP="00D87D91">
      <w:r w:rsidRPr="003B41D4">
        <w:t xml:space="preserve">　　</w:t>
      </w:r>
      <w:r w:rsidR="00203F72" w:rsidRPr="003B41D4">
        <w:t>2.</w:t>
      </w:r>
      <w:r w:rsidR="00203F72" w:rsidRPr="003B41D4">
        <w:t>下午</w:t>
      </w:r>
      <w:r w:rsidR="00203F72" w:rsidRPr="003B41D4">
        <w:t>5</w:t>
      </w:r>
      <w:r w:rsidR="00203F72" w:rsidRPr="003B41D4">
        <w:t>點以後傳送。</w:t>
      </w:r>
    </w:p>
    <w:p w14:paraId="7DF346B3" w14:textId="77777777" w:rsidR="00203F72" w:rsidRPr="003B41D4" w:rsidRDefault="00254E32" w:rsidP="00D87D91">
      <w:r w:rsidRPr="003B41D4">
        <w:t xml:space="preserve">　　</w:t>
      </w:r>
      <w:r w:rsidR="00203F72" w:rsidRPr="003B41D4">
        <w:t>由於雇主向就業標準處處長所申請之案件，其內容涉及受僱人每週工作時數得逾</w:t>
      </w:r>
      <w:r w:rsidR="00203F72" w:rsidRPr="003B41D4">
        <w:t>48</w:t>
      </w:r>
      <w:r w:rsidR="00203F72" w:rsidRPr="003B41D4">
        <w:t>小時之限制，影響受僱人之權益，</w:t>
      </w:r>
      <w:r w:rsidR="00203F72" w:rsidRPr="003B41D4">
        <w:t xml:space="preserve"> ESA</w:t>
      </w:r>
      <w:r w:rsidR="00203F72" w:rsidRPr="003B41D4">
        <w:t>要求雇主須將上開申請案件內容加以公告，俾利受僱人知曉。依據</w:t>
      </w:r>
      <w:r w:rsidR="00203F72" w:rsidRPr="003B41D4">
        <w:t>ESA</w:t>
      </w:r>
      <w:r w:rsidR="00203F72" w:rsidRPr="003B41D4">
        <w:t>第</w:t>
      </w:r>
      <w:r w:rsidR="00203F72" w:rsidRPr="003B41D4">
        <w:t>17.1</w:t>
      </w:r>
      <w:r w:rsidR="00203F72" w:rsidRPr="003B41D4">
        <w:t>條第</w:t>
      </w:r>
      <w:r w:rsidR="00203F72" w:rsidRPr="003B41D4">
        <w:t>6</w:t>
      </w:r>
      <w:r w:rsidR="00203F72" w:rsidRPr="003B41D4">
        <w:t>項之規定，雇主須將上開申請案之內容加以公布，其公告之方式與期間，如下所述</w:t>
      </w:r>
      <w:r w:rsidR="00203F72" w:rsidRPr="003B41D4">
        <w:footnoteReference w:id="472"/>
      </w:r>
      <w:r w:rsidR="00203F72" w:rsidRPr="003B41D4">
        <w:t>：</w:t>
      </w:r>
    </w:p>
    <w:p w14:paraId="78EC4666" w14:textId="77777777"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在雇主提出申請案之當日，須將申請案件之內容加以影印，並公告於受到此申請案影響之受僱人工作場域之明顯處所，俾利於適用上述申請案件之受僱人或某類員工，有機會注意此一公告之內容；</w:t>
      </w:r>
    </w:p>
    <w:p w14:paraId="1B559D2F" w14:textId="77777777" w:rsidR="00953151"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上述公告之內容，其張貼之時程，須持續至雇主申請案業已被核准，或收到被駁回之通知書為止。</w:t>
      </w:r>
    </w:p>
    <w:p w14:paraId="3E7BDDBB" w14:textId="77777777" w:rsidR="00953151" w:rsidRPr="003B41D4" w:rsidRDefault="0039258A" w:rsidP="00D87D91">
      <w:r w:rsidRPr="003B41D4">
        <w:t xml:space="preserve">　　</w:t>
      </w:r>
      <w:r w:rsidR="00203F72" w:rsidRPr="003B41D4">
        <w:t>在就業標準處處長之權限方面，根據</w:t>
      </w:r>
      <w:r w:rsidR="00203F72" w:rsidRPr="003B41D4">
        <w:t>ESA</w:t>
      </w:r>
      <w:r w:rsidR="00203F72" w:rsidRPr="003B41D4">
        <w:t>第</w:t>
      </w:r>
      <w:r w:rsidR="00203F72" w:rsidRPr="003B41D4">
        <w:t>17.1</w:t>
      </w:r>
      <w:r w:rsidR="00203F72" w:rsidRPr="003B41D4">
        <w:t>條第</w:t>
      </w:r>
      <w:r w:rsidR="00203F72" w:rsidRPr="003B41D4">
        <w:t>7</w:t>
      </w:r>
      <w:r w:rsidR="00203F72" w:rsidRPr="003B41D4">
        <w:t>項之規定，當就業標準處處長收到雇主上開之申請案後，如其認為延長受僱人每週工作時數得逾</w:t>
      </w:r>
      <w:r w:rsidR="00203F72" w:rsidRPr="003B41D4">
        <w:t>48</w:t>
      </w:r>
      <w:r w:rsidR="00203F72" w:rsidRPr="003B41D4">
        <w:t>小時之限制，是適切可行</w:t>
      </w:r>
      <w:r w:rsidR="00203F72" w:rsidRPr="003B41D4">
        <w:t>(be appropriate)</w:t>
      </w:r>
      <w:r w:rsidR="00203F72" w:rsidRPr="003B41D4">
        <w:t>，</w:t>
      </w:r>
      <w:r w:rsidR="00203F72" w:rsidRPr="003B41D4">
        <w:t>ESA</w:t>
      </w:r>
      <w:r w:rsidR="00203F72" w:rsidRPr="003B41D4">
        <w:t>賦予就業標準處處長有權限核准此一申請案件</w:t>
      </w:r>
      <w:r w:rsidR="00203F72" w:rsidRPr="003B41D4">
        <w:t xml:space="preserve">(The Director may issue an approval to the employer) </w:t>
      </w:r>
      <w:r w:rsidR="00203F72" w:rsidRPr="003B41D4">
        <w:footnoteReference w:id="473"/>
      </w:r>
      <w:r w:rsidR="00203F72" w:rsidRPr="003B41D4">
        <w:t>。在上開申請案之審批核准標準方面，最主要之判斷基準，係為從就業標準處處長之觀點而論，如處長認為核准雇主之申請案是「適當的」</w:t>
      </w:r>
      <w:r w:rsidR="00203F72" w:rsidRPr="003B41D4">
        <w:t>(</w:t>
      </w:r>
      <w:r w:rsidR="00203F72" w:rsidRPr="003B41D4">
        <w:t>妥適的</w:t>
      </w:r>
      <w:r w:rsidR="00203F72" w:rsidRPr="003B41D4">
        <w:t>)</w:t>
      </w:r>
      <w:r w:rsidR="00203F72" w:rsidRPr="003B41D4">
        <w:t>，即可作出核可之行政處分。上述</w:t>
      </w:r>
      <w:r w:rsidR="00203F72" w:rsidRPr="003B41D4">
        <w:t>ESA</w:t>
      </w:r>
      <w:r w:rsidR="00203F72" w:rsidRPr="003B41D4">
        <w:t>第</w:t>
      </w:r>
      <w:r w:rsidR="00203F72" w:rsidRPr="003B41D4">
        <w:t>17.1</w:t>
      </w:r>
      <w:r w:rsidR="00203F72" w:rsidRPr="003B41D4">
        <w:t>條第</w:t>
      </w:r>
      <w:r w:rsidR="00203F72" w:rsidRPr="003B41D4">
        <w:t>7</w:t>
      </w:r>
      <w:r w:rsidR="00203F72" w:rsidRPr="003B41D4">
        <w:t>項所明定之審批標準，可稱為「適切性」</w:t>
      </w:r>
      <w:r w:rsidR="00203F72" w:rsidRPr="003B41D4">
        <w:t>(</w:t>
      </w:r>
      <w:r w:rsidR="00203F72" w:rsidRPr="003B41D4">
        <w:t>適當性</w:t>
      </w:r>
      <w:r w:rsidR="00203F72" w:rsidRPr="003B41D4">
        <w:t>)</w:t>
      </w:r>
      <w:r w:rsidR="00203F72" w:rsidRPr="003B41D4">
        <w:t>原則。</w:t>
      </w:r>
    </w:p>
    <w:p w14:paraId="30F6179E" w14:textId="77777777" w:rsidR="00203F72" w:rsidRPr="003B41D4" w:rsidRDefault="0039258A" w:rsidP="00D87D91">
      <w:r w:rsidRPr="003B41D4">
        <w:t xml:space="preserve">　　</w:t>
      </w:r>
      <w:r w:rsidR="00203F72" w:rsidRPr="003B41D4">
        <w:t>在上述</w:t>
      </w:r>
      <w:r w:rsidR="00203F72" w:rsidRPr="003B41D4">
        <w:t>ESA</w:t>
      </w:r>
      <w:r w:rsidR="00203F72" w:rsidRPr="003B41D4">
        <w:t>第</w:t>
      </w:r>
      <w:r w:rsidR="00203F72" w:rsidRPr="003B41D4">
        <w:t>17.1</w:t>
      </w:r>
      <w:r w:rsidR="00203F72" w:rsidRPr="003B41D4">
        <w:t>條第</w:t>
      </w:r>
      <w:r w:rsidR="00203F72" w:rsidRPr="003B41D4">
        <w:t>7</w:t>
      </w:r>
      <w:r w:rsidR="00203F72" w:rsidRPr="003B41D4">
        <w:t>項中所載明之「適切性」</w:t>
      </w:r>
      <w:r w:rsidR="00203F72" w:rsidRPr="003B41D4">
        <w:t>(</w:t>
      </w:r>
      <w:r w:rsidR="00203F72" w:rsidRPr="003B41D4">
        <w:t>適當性</w:t>
      </w:r>
      <w:r w:rsidR="00203F72" w:rsidRPr="003B41D4">
        <w:t>)</w:t>
      </w:r>
      <w:r w:rsidR="00203F72" w:rsidRPr="003B41D4">
        <w:t>原則之標準，因該標準係屬於一種不確定之法律概念，為了使就業標準處處長在實際運用時，能有更加精緻化之參考指標，</w:t>
      </w:r>
      <w:r w:rsidR="00203F72" w:rsidRPr="003B41D4">
        <w:t>ESA</w:t>
      </w:r>
      <w:r w:rsidR="00203F72" w:rsidRPr="003B41D4">
        <w:t>訂出</w:t>
      </w:r>
      <w:r w:rsidR="00203F72" w:rsidRPr="003B41D4">
        <w:t>3</w:t>
      </w:r>
      <w:r w:rsidR="00203F72" w:rsidRPr="003B41D4">
        <w:t>個可加以考量之因素。依據</w:t>
      </w:r>
      <w:r w:rsidR="00203F72" w:rsidRPr="003B41D4">
        <w:t>ESA</w:t>
      </w:r>
      <w:r w:rsidR="00203F72" w:rsidRPr="003B41D4">
        <w:t>第</w:t>
      </w:r>
      <w:r w:rsidR="00203F72" w:rsidRPr="003B41D4">
        <w:t>17.1</w:t>
      </w:r>
      <w:r w:rsidR="00203F72" w:rsidRPr="003B41D4">
        <w:t>條第</w:t>
      </w:r>
      <w:r w:rsidR="00203F72" w:rsidRPr="003B41D4">
        <w:t>8</w:t>
      </w:r>
      <w:r w:rsidR="00203F72" w:rsidRPr="003B41D4">
        <w:t>項之規範，當就業標準處處長於審核雇主所提出之上開申請案是否符合「適切性」</w:t>
      </w:r>
      <w:r w:rsidR="00203F72" w:rsidRPr="003B41D4">
        <w:t>(</w:t>
      </w:r>
      <w:r w:rsidR="00203F72" w:rsidRPr="003B41D4">
        <w:t>適當性</w:t>
      </w:r>
      <w:r w:rsidR="00203F72" w:rsidRPr="003B41D4">
        <w:t>)</w:t>
      </w:r>
      <w:r w:rsidR="00203F72" w:rsidRPr="003B41D4">
        <w:t>標準之際，處長可考量所有涉及「適切性」</w:t>
      </w:r>
      <w:r w:rsidR="00203F72" w:rsidRPr="003B41D4">
        <w:t>(</w:t>
      </w:r>
      <w:r w:rsidR="00203F72" w:rsidRPr="003B41D4">
        <w:t>適當性</w:t>
      </w:r>
      <w:r w:rsidR="00203F72" w:rsidRPr="003B41D4">
        <w:t>)</w:t>
      </w:r>
      <w:r w:rsidR="00203F72" w:rsidRPr="003B41D4">
        <w:t>原則之任何相關因素，同時，處長亦無須受限於如現在採用某一因素，該因素未來之普遍適用問題；亦即，某一個申請案所適用之因素，並不保證該因素未來具有普遍化之適用；亦即，就業標準處處長考量之因素，該因素本身無須具備未來之普遍適用性</w:t>
      </w:r>
      <w:r w:rsidR="00203F72" w:rsidRPr="003B41D4">
        <w:footnoteReference w:id="474"/>
      </w:r>
      <w:r w:rsidR="00203F72" w:rsidRPr="003B41D4">
        <w:t>。就業標準處處長可考量之任何相關因素，如下所述</w:t>
      </w:r>
      <w:r w:rsidR="00203F72" w:rsidRPr="003B41D4">
        <w:footnoteReference w:id="475"/>
      </w:r>
      <w:r w:rsidR="00203F72" w:rsidRPr="003B41D4">
        <w:t>：</w:t>
      </w:r>
    </w:p>
    <w:p w14:paraId="6BF4C337" w14:textId="77777777" w:rsidR="00203F72" w:rsidRPr="003B41D4" w:rsidRDefault="0039258A" w:rsidP="00D87D91">
      <w:r w:rsidRPr="003B41D4">
        <w:t xml:space="preserve">　　</w:t>
      </w:r>
      <w:r w:rsidR="00203F72" w:rsidRPr="003B41D4">
        <w:t>1</w:t>
      </w:r>
      <w:r w:rsidR="00203F72" w:rsidRPr="003B41D4">
        <w:t>、提出申請案件之雇主，現在或過去曾觸犯本法或其施行細則之任何違法情形；</w:t>
      </w:r>
    </w:p>
    <w:p w14:paraId="27F20560" w14:textId="77777777" w:rsidR="00203F72" w:rsidRPr="003B41D4" w:rsidRDefault="0039258A" w:rsidP="00D87D91">
      <w:r w:rsidRPr="003B41D4">
        <w:t xml:space="preserve">　　</w:t>
      </w:r>
      <w:r w:rsidR="00203F72" w:rsidRPr="003B41D4">
        <w:t>2</w:t>
      </w:r>
      <w:r w:rsidR="00203F72" w:rsidRPr="003B41D4">
        <w:t>、受僱人身體健康與工作安全之情形；</w:t>
      </w:r>
    </w:p>
    <w:p w14:paraId="0AC4F90A" w14:textId="77777777" w:rsidR="00953151" w:rsidRPr="003B41D4" w:rsidRDefault="0039258A" w:rsidP="00D87D91">
      <w:r w:rsidRPr="003B41D4">
        <w:t xml:space="preserve">　　</w:t>
      </w:r>
      <w:r w:rsidR="00203F72" w:rsidRPr="003B41D4">
        <w:t>3</w:t>
      </w:r>
      <w:r w:rsidR="00203F72" w:rsidRPr="003B41D4">
        <w:t>、任何被指定之因素；</w:t>
      </w:r>
    </w:p>
    <w:p w14:paraId="41929AD9" w14:textId="77777777" w:rsidR="00953151" w:rsidRPr="003B41D4" w:rsidRDefault="0039258A" w:rsidP="00D87D91">
      <w:r w:rsidRPr="003B41D4">
        <w:t xml:space="preserve">　　</w:t>
      </w:r>
      <w:r w:rsidR="00203F72" w:rsidRPr="003B41D4">
        <w:t>如雇主上開申請案件蒙就業標準處處長核准</w:t>
      </w:r>
      <w:r w:rsidR="00203F72" w:rsidRPr="003B41D4">
        <w:t>(</w:t>
      </w:r>
      <w:r w:rsidR="00203F72" w:rsidRPr="003B41D4">
        <w:t>可</w:t>
      </w:r>
      <w:r w:rsidR="00203F72" w:rsidRPr="003B41D4">
        <w:t>)</w:t>
      </w:r>
      <w:r w:rsidR="00203F72" w:rsidRPr="003B41D4">
        <w:t>，有關於核可處分書適用之對象，依據</w:t>
      </w:r>
      <w:r w:rsidR="00203F72" w:rsidRPr="003B41D4">
        <w:t>ESA</w:t>
      </w:r>
      <w:r w:rsidR="00203F72" w:rsidRPr="003B41D4">
        <w:t>第</w:t>
      </w:r>
      <w:r w:rsidR="00203F72" w:rsidRPr="003B41D4">
        <w:t>17.1</w:t>
      </w:r>
      <w:r w:rsidR="00203F72" w:rsidRPr="003B41D4">
        <w:t>條第</w:t>
      </w:r>
      <w:r w:rsidR="00203F72" w:rsidRPr="003B41D4">
        <w:t>9</w:t>
      </w:r>
      <w:r w:rsidR="00203F72" w:rsidRPr="003B41D4">
        <w:t>項之規範，凡於處長所核准</w:t>
      </w:r>
      <w:r w:rsidR="00203F72" w:rsidRPr="003B41D4">
        <w:t>(</w:t>
      </w:r>
      <w:r w:rsidR="00203F72" w:rsidRPr="003B41D4">
        <w:t>可</w:t>
      </w:r>
      <w:r w:rsidR="00203F72" w:rsidRPr="003B41D4">
        <w:t>)</w:t>
      </w:r>
      <w:r w:rsidR="00203F72" w:rsidRPr="003B41D4">
        <w:t>行政處分書中所載之受僱人，即為行政處分書所能適用之對象；如上開行政處分書所載明之對象，係為某種類之受僱人，則行政處分書可適用之範圍，係為上述某種類受僱人之所有成員；在上述行政處分書被處長核准</w:t>
      </w:r>
      <w:r w:rsidR="00203F72" w:rsidRPr="003B41D4">
        <w:t>(</w:t>
      </w:r>
      <w:r w:rsidR="00203F72" w:rsidRPr="003B41D4">
        <w:t>可</w:t>
      </w:r>
      <w:r w:rsidR="00203F72" w:rsidRPr="003B41D4">
        <w:t>)</w:t>
      </w:r>
      <w:r w:rsidR="00203F72" w:rsidRPr="003B41D4">
        <w:t>時，不論其成員是否已被雇主聘用，均可適用之</w:t>
      </w:r>
      <w:r w:rsidR="00203F72" w:rsidRPr="003B41D4">
        <w:footnoteReference w:id="476"/>
      </w:r>
      <w:r w:rsidR="00203F72" w:rsidRPr="003B41D4">
        <w:t>。</w:t>
      </w:r>
    </w:p>
    <w:p w14:paraId="304B42BC" w14:textId="77777777" w:rsidR="00203F72" w:rsidRPr="003B41D4" w:rsidRDefault="0039258A" w:rsidP="00D87D91">
      <w:r w:rsidRPr="003B41D4">
        <w:t xml:space="preserve">　　</w:t>
      </w:r>
      <w:r w:rsidR="00203F72" w:rsidRPr="003B41D4">
        <w:t>當雇主收到就業標準處處長所核准</w:t>
      </w:r>
      <w:r w:rsidR="00203F72" w:rsidRPr="003B41D4">
        <w:t>(</w:t>
      </w:r>
      <w:r w:rsidR="00203F72" w:rsidRPr="003B41D4">
        <w:t>可</w:t>
      </w:r>
      <w:r w:rsidR="00203F72" w:rsidRPr="003B41D4">
        <w:t>)</w:t>
      </w:r>
      <w:r w:rsidR="00203F72" w:rsidRPr="003B41D4">
        <w:t>行政處分書之後，</w:t>
      </w:r>
      <w:r w:rsidR="00203F72" w:rsidRPr="003B41D4">
        <w:t>ESA</w:t>
      </w:r>
      <w:r w:rsidR="00203F72" w:rsidRPr="003B41D4">
        <w:t>課予雇主法律上之義務，應將受僱人每週工作時數可逾</w:t>
      </w:r>
      <w:r w:rsidR="00203F72" w:rsidRPr="003B41D4">
        <w:t>48</w:t>
      </w:r>
      <w:r w:rsidR="00203F72" w:rsidRPr="003B41D4">
        <w:t>小時之行政處分書加以公告，俾利受僱人知曉。依據</w:t>
      </w:r>
      <w:r w:rsidR="00203F72" w:rsidRPr="003B41D4">
        <w:t>ESA</w:t>
      </w:r>
      <w:r w:rsidR="00203F72" w:rsidRPr="003B41D4">
        <w:t>第</w:t>
      </w:r>
      <w:r w:rsidR="00203F72" w:rsidRPr="003B41D4">
        <w:t>17.1</w:t>
      </w:r>
      <w:r w:rsidR="00203F72" w:rsidRPr="003B41D4">
        <w:t>條第</w:t>
      </w:r>
      <w:r w:rsidR="00203F72" w:rsidRPr="003B41D4">
        <w:t>11</w:t>
      </w:r>
      <w:r w:rsidR="00203F72" w:rsidRPr="003B41D4">
        <w:t>項之規範，當雇主收到上述行政處分書之後，應就以下事項進行處理</w:t>
      </w:r>
      <w:r w:rsidR="00203F72" w:rsidRPr="003B41D4">
        <w:footnoteReference w:id="477"/>
      </w:r>
      <w:r w:rsidR="00203F72" w:rsidRPr="003B41D4">
        <w:t>：</w:t>
      </w:r>
    </w:p>
    <w:p w14:paraId="524C0036" w14:textId="77777777" w:rsidR="00203F72" w:rsidRPr="003B41D4" w:rsidRDefault="0039258A" w:rsidP="00D87D91">
      <w:r w:rsidRPr="003B41D4">
        <w:t xml:space="preserve">　　</w:t>
      </w:r>
      <w:r w:rsidR="00203F72" w:rsidRPr="003B41D4">
        <w:t>1</w:t>
      </w:r>
      <w:r w:rsidR="00203F72" w:rsidRPr="003B41D4">
        <w:t>、在原先張貼申請書影本之工作場域，將上開申請書影本撤下</w:t>
      </w:r>
      <w:r w:rsidR="00203F72" w:rsidRPr="003B41D4">
        <w:t>(</w:t>
      </w:r>
      <w:r w:rsidR="00203F72" w:rsidRPr="003B41D4">
        <w:t>取下</w:t>
      </w:r>
      <w:r w:rsidR="00203F72" w:rsidRPr="003B41D4">
        <w:t>)</w:t>
      </w:r>
      <w:r w:rsidR="00203F72" w:rsidRPr="003B41D4">
        <w:t>；</w:t>
      </w:r>
    </w:p>
    <w:p w14:paraId="48B0F042" w14:textId="77777777" w:rsidR="00203F72" w:rsidRPr="003B41D4" w:rsidRDefault="0039258A" w:rsidP="00D87D91">
      <w:r w:rsidRPr="003B41D4">
        <w:t xml:space="preserve">　　</w:t>
      </w:r>
      <w:r w:rsidR="00203F72" w:rsidRPr="003B41D4">
        <w:t>2</w:t>
      </w:r>
      <w:r w:rsidR="00203F72" w:rsidRPr="003B41D4">
        <w:t>、在受僱人工作場域中之明顯處所，公告前述之行政處分書或其影本，俾利受僱人能加以留意。</w:t>
      </w:r>
      <w:r w:rsidR="00203F72" w:rsidRPr="003B41D4">
        <w:t xml:space="preserve"> </w:t>
      </w:r>
    </w:p>
    <w:p w14:paraId="46FDE93F" w14:textId="77777777" w:rsidR="00953151" w:rsidRPr="003B41D4" w:rsidRDefault="0039258A" w:rsidP="00D87D91">
      <w:r w:rsidRPr="003B41D4">
        <w:t xml:space="preserve">　　</w:t>
      </w:r>
      <w:r w:rsidR="00203F72" w:rsidRPr="003B41D4">
        <w:t>在行政處分書公告之期間方面，依據</w:t>
      </w:r>
      <w:r w:rsidR="00203F72" w:rsidRPr="003B41D4">
        <w:t>ESA</w:t>
      </w:r>
      <w:r w:rsidR="00203F72" w:rsidRPr="003B41D4">
        <w:t>第</w:t>
      </w:r>
      <w:r w:rsidR="00203F72" w:rsidRPr="003B41D4">
        <w:t>17.1</w:t>
      </w:r>
      <w:r w:rsidR="00203F72" w:rsidRPr="003B41D4">
        <w:t>條第</w:t>
      </w:r>
      <w:r w:rsidR="00203F72" w:rsidRPr="003B41D4">
        <w:t>12</w:t>
      </w:r>
      <w:r w:rsidR="00203F72" w:rsidRPr="003B41D4">
        <w:t>項之要求，行政處分書公告於受僱人工作處所中之期間，須持續至上開行政處分書效期終止之日，或被廢止之日為止</w:t>
      </w:r>
      <w:r w:rsidR="00203F72" w:rsidRPr="003B41D4">
        <w:footnoteReference w:id="478"/>
      </w:r>
      <w:r w:rsidR="00203F72" w:rsidRPr="003B41D4">
        <w:t>。</w:t>
      </w:r>
    </w:p>
    <w:p w14:paraId="15E9E47D" w14:textId="77777777" w:rsidR="00953151" w:rsidRPr="003B41D4" w:rsidRDefault="0039258A" w:rsidP="00D87D91">
      <w:r w:rsidRPr="003B41D4">
        <w:t xml:space="preserve">　　</w:t>
      </w:r>
      <w:r w:rsidR="00203F72" w:rsidRPr="003B41D4">
        <w:t>有關於就業標準處處長針對於雇主所核可行政處分書之效期方面，亦有時效之限制，俾利保障受僱人之權益。依據</w:t>
      </w:r>
      <w:r w:rsidR="00203F72" w:rsidRPr="003B41D4">
        <w:t>ESA</w:t>
      </w:r>
      <w:r w:rsidR="00203F72" w:rsidRPr="003B41D4">
        <w:t>第</w:t>
      </w:r>
      <w:r w:rsidR="00203F72" w:rsidRPr="003B41D4">
        <w:t>17.1</w:t>
      </w:r>
      <w:r w:rsidR="00203F72" w:rsidRPr="003B41D4">
        <w:t>條第</w:t>
      </w:r>
      <w:r w:rsidR="00203F72" w:rsidRPr="003B41D4">
        <w:t>13</w:t>
      </w:r>
      <w:r w:rsidR="00203F72" w:rsidRPr="003B41D4">
        <w:t>項之限制，上述行政處分書之有效期間，從核可之日起，不得逾越</w:t>
      </w:r>
      <w:r w:rsidR="00203F72" w:rsidRPr="003B41D4">
        <w:t>3</w:t>
      </w:r>
      <w:r w:rsidR="00203F72" w:rsidRPr="003B41D4">
        <w:t>年</w:t>
      </w:r>
      <w:r w:rsidR="00203F72" w:rsidRPr="003B41D4">
        <w:footnoteReference w:id="479"/>
      </w:r>
      <w:r w:rsidR="00203F72" w:rsidRPr="003B41D4">
        <w:t>。亦即，受僱人每週工作時數得逾</w:t>
      </w:r>
      <w:r w:rsidR="00203F72" w:rsidRPr="003B41D4">
        <w:t>48</w:t>
      </w:r>
      <w:r w:rsidR="00203F72" w:rsidRPr="003B41D4">
        <w:t>小時之行政處分書之最大效期，係為</w:t>
      </w:r>
      <w:r w:rsidR="00203F72" w:rsidRPr="003B41D4">
        <w:t>3</w:t>
      </w:r>
      <w:r w:rsidR="00203F72" w:rsidRPr="003B41D4">
        <w:t>年；超過</w:t>
      </w:r>
      <w:r w:rsidR="00203F72" w:rsidRPr="003B41D4">
        <w:t>3</w:t>
      </w:r>
      <w:r w:rsidR="00203F72" w:rsidRPr="003B41D4">
        <w:t>年之期限，該行政處分書即失其效力。</w:t>
      </w:r>
    </w:p>
    <w:p w14:paraId="48EF57A4" w14:textId="77777777" w:rsidR="00953151" w:rsidRPr="003B41D4" w:rsidRDefault="0039258A" w:rsidP="00D87D91">
      <w:r w:rsidRPr="003B41D4">
        <w:t xml:space="preserve">　　</w:t>
      </w:r>
      <w:r w:rsidR="00203F72" w:rsidRPr="003B41D4">
        <w:t>假若安大略省就業標準處處長所核可超時工作行政處分書之內涵，係為受僱人每週工作時數得逾</w:t>
      </w:r>
      <w:r w:rsidR="00203F72" w:rsidRPr="003B41D4">
        <w:t>60</w:t>
      </w:r>
      <w:r w:rsidR="00203F72" w:rsidRPr="003B41D4">
        <w:t>小時，則前述行政處分書時效之限制，將會更短，俾利能更加周延地保障受僱人之權益。依據</w:t>
      </w:r>
      <w:r w:rsidR="00203F72" w:rsidRPr="003B41D4">
        <w:t>ESA</w:t>
      </w:r>
      <w:r w:rsidR="00203F72" w:rsidRPr="003B41D4">
        <w:t>第</w:t>
      </w:r>
      <w:r w:rsidR="00203F72" w:rsidRPr="003B41D4">
        <w:t>17.1</w:t>
      </w:r>
      <w:r w:rsidR="00203F72" w:rsidRPr="003B41D4">
        <w:t>條第</w:t>
      </w:r>
      <w:r w:rsidR="00203F72" w:rsidRPr="003B41D4">
        <w:t>14</w:t>
      </w:r>
      <w:r w:rsidR="00203F72" w:rsidRPr="003B41D4">
        <w:t>項之規範，就上述受僱人每週工作時數得逾</w:t>
      </w:r>
      <w:r w:rsidR="00203F72" w:rsidRPr="003B41D4">
        <w:t>60</w:t>
      </w:r>
      <w:r w:rsidR="00203F72" w:rsidRPr="003B41D4">
        <w:t>小時之行政處分書而論，就業標準處處長於核發此類處分書時，須載明效期終止之日，從核可之日起算，不得逾越</w:t>
      </w:r>
      <w:r w:rsidR="00203F72" w:rsidRPr="003B41D4">
        <w:t>1</w:t>
      </w:r>
      <w:r w:rsidR="00203F72" w:rsidRPr="003B41D4">
        <w:t>年</w:t>
      </w:r>
      <w:r w:rsidR="00203F72" w:rsidRPr="003B41D4">
        <w:footnoteReference w:id="480"/>
      </w:r>
      <w:r w:rsidR="00203F72" w:rsidRPr="003B41D4">
        <w:t>。亦即，受僱人每週工作時數得逾</w:t>
      </w:r>
      <w:r w:rsidR="00203F72" w:rsidRPr="003B41D4">
        <w:t>60</w:t>
      </w:r>
      <w:r w:rsidR="00203F72" w:rsidRPr="003B41D4">
        <w:t>小時之行政處分書之最大效期，係為</w:t>
      </w:r>
      <w:r w:rsidR="00203F72" w:rsidRPr="003B41D4">
        <w:t>1</w:t>
      </w:r>
      <w:r w:rsidR="00203F72" w:rsidRPr="003B41D4">
        <w:t>年；假若超過</w:t>
      </w:r>
      <w:r w:rsidR="00203F72" w:rsidRPr="003B41D4">
        <w:t>1</w:t>
      </w:r>
      <w:r w:rsidR="00203F72" w:rsidRPr="003B41D4">
        <w:t>年之效期，該行政處分書即失其效力，雇主未具有要求受僱人每週工作時數得逾</w:t>
      </w:r>
      <w:r w:rsidR="00203F72" w:rsidRPr="003B41D4">
        <w:t>60</w:t>
      </w:r>
      <w:r w:rsidR="00203F72" w:rsidRPr="003B41D4">
        <w:t>小時之任何權限。</w:t>
      </w:r>
    </w:p>
    <w:p w14:paraId="21020C51" w14:textId="77777777" w:rsidR="00953151" w:rsidRPr="003B41D4" w:rsidRDefault="0039258A" w:rsidP="00D87D91">
      <w:r w:rsidRPr="003B41D4">
        <w:t xml:space="preserve">　　</w:t>
      </w:r>
      <w:r w:rsidR="00203F72" w:rsidRPr="003B41D4">
        <w:t>針對就業標準處處長之相關權限而言，</w:t>
      </w:r>
      <w:r w:rsidR="00203F72" w:rsidRPr="003B41D4">
        <w:t>ESA</w:t>
      </w:r>
      <w:r w:rsidR="00203F72" w:rsidRPr="003B41D4">
        <w:t>賦予處長擁有核發、附條件核發、廢止及拒絕核發</w:t>
      </w:r>
      <w:r w:rsidR="00203F72" w:rsidRPr="003B41D4">
        <w:t>(</w:t>
      </w:r>
      <w:r w:rsidR="00203F72" w:rsidRPr="003B41D4">
        <w:t>准</w:t>
      </w:r>
      <w:r w:rsidR="00203F72" w:rsidRPr="003B41D4">
        <w:t>)</w:t>
      </w:r>
      <w:r w:rsidR="00203F72" w:rsidRPr="003B41D4">
        <w:t>行政處分之權限。依據</w:t>
      </w:r>
      <w:r w:rsidR="00203F72" w:rsidRPr="003B41D4">
        <w:t>ESA</w:t>
      </w:r>
      <w:r w:rsidR="00203F72" w:rsidRPr="003B41D4">
        <w:t>第</w:t>
      </w:r>
      <w:r w:rsidR="00203F72" w:rsidRPr="003B41D4">
        <w:t>17.1</w:t>
      </w:r>
      <w:r w:rsidR="00203F72" w:rsidRPr="003B41D4">
        <w:t>條第</w:t>
      </w:r>
      <w:r w:rsidR="00203F72" w:rsidRPr="003B41D4">
        <w:t>15</w:t>
      </w:r>
      <w:r w:rsidR="00203F72" w:rsidRPr="003B41D4">
        <w:t>項之規範，就業標準處處長核發</w:t>
      </w:r>
      <w:r w:rsidR="00203F72" w:rsidRPr="003B41D4">
        <w:t>(</w:t>
      </w:r>
      <w:r w:rsidR="00203F72" w:rsidRPr="003B41D4">
        <w:t>准</w:t>
      </w:r>
      <w:r w:rsidR="00203F72" w:rsidRPr="003B41D4">
        <w:t>)</w:t>
      </w:r>
      <w:r w:rsidR="00203F72" w:rsidRPr="003B41D4">
        <w:t>上開行政處分書時，可以附款之方式加以核發</w:t>
      </w:r>
      <w:r w:rsidR="00203F72" w:rsidRPr="003B41D4">
        <w:t>(</w:t>
      </w:r>
      <w:r w:rsidR="00203F72" w:rsidRPr="003B41D4">
        <w:t>准</w:t>
      </w:r>
      <w:r w:rsidR="00203F72" w:rsidRPr="003B41D4">
        <w:t xml:space="preserve">)(impose conditions on an approval) </w:t>
      </w:r>
      <w:r w:rsidR="00203F72" w:rsidRPr="003B41D4">
        <w:footnoteReference w:id="481"/>
      </w:r>
      <w:r w:rsidR="00203F72" w:rsidRPr="003B41D4">
        <w:t>。以上所述，係為處長所擁有之附條件核准權限。再者，在廢止前述行政處分部分，依據</w:t>
      </w:r>
      <w:r w:rsidR="00203F72" w:rsidRPr="003B41D4">
        <w:t>ESA</w:t>
      </w:r>
      <w:r w:rsidR="00203F72" w:rsidRPr="003B41D4">
        <w:t>第</w:t>
      </w:r>
      <w:r w:rsidR="00203F72" w:rsidRPr="003B41D4">
        <w:t>17.1</w:t>
      </w:r>
      <w:r w:rsidR="00203F72" w:rsidRPr="003B41D4">
        <w:t>條第</w:t>
      </w:r>
      <w:r w:rsidR="00203F72" w:rsidRPr="003B41D4">
        <w:t>16</w:t>
      </w:r>
      <w:r w:rsidR="00203F72" w:rsidRPr="003B41D4">
        <w:t>項之規範，假若就業標準處處長根據相關之情況加以判斷，認為所考量之情境因素是屬於合理的</w:t>
      </w:r>
      <w:r w:rsidR="00203F72" w:rsidRPr="003B41D4">
        <w:t>(considers reasonable in the circumstances)</w:t>
      </w:r>
      <w:r w:rsidR="00203F72" w:rsidRPr="003B41D4">
        <w:t>，則可廢止先前所核可之行政處分</w:t>
      </w:r>
      <w:r w:rsidR="00203F72" w:rsidRPr="003B41D4">
        <w:footnoteReference w:id="482"/>
      </w:r>
      <w:r w:rsidR="00203F72" w:rsidRPr="003B41D4">
        <w:t>。以上，係為就業標準處處長之廢止權限。而行使廢止權限之行政裁量之標準，則為「合理性」</w:t>
      </w:r>
      <w:r w:rsidR="00203F72" w:rsidRPr="003B41D4">
        <w:t>(reasonable)</w:t>
      </w:r>
      <w:r w:rsidR="00203F72" w:rsidRPr="003B41D4">
        <w:t>原則。</w:t>
      </w:r>
    </w:p>
    <w:p w14:paraId="669F3BD1" w14:textId="77777777" w:rsidR="00203F72" w:rsidRPr="003B41D4" w:rsidRDefault="0039258A" w:rsidP="00D87D91">
      <w:r w:rsidRPr="003B41D4">
        <w:t xml:space="preserve">　　</w:t>
      </w:r>
      <w:r w:rsidR="00203F72" w:rsidRPr="003B41D4">
        <w:t>在</w:t>
      </w:r>
      <w:r w:rsidR="00203F72" w:rsidRPr="003B41D4">
        <w:t>ESA</w:t>
      </w:r>
      <w:r w:rsidR="00203F72" w:rsidRPr="003B41D4">
        <w:t>第</w:t>
      </w:r>
      <w:r w:rsidR="00203F72" w:rsidRPr="003B41D4">
        <w:t>17.1</w:t>
      </w:r>
      <w:r w:rsidR="00203F72" w:rsidRPr="003B41D4">
        <w:t>條第</w:t>
      </w:r>
      <w:r w:rsidR="00203F72" w:rsidRPr="003B41D4">
        <w:t>16</w:t>
      </w:r>
      <w:r w:rsidR="00203F72" w:rsidRPr="003B41D4">
        <w:t>項中所揭示之「合理性」原則，因該原則之標準係屬於一種不確定之法律概念，為了使就業標準處處長於實際運用法條之際，能有更加細緻化之參考依據，</w:t>
      </w:r>
      <w:r w:rsidR="00203F72" w:rsidRPr="003B41D4">
        <w:t>ESA</w:t>
      </w:r>
      <w:r w:rsidR="00203F72" w:rsidRPr="003B41D4">
        <w:t>訂出若干個可加以考量之相關因素。依據</w:t>
      </w:r>
      <w:r w:rsidR="00203F72" w:rsidRPr="003B41D4">
        <w:t>ESA</w:t>
      </w:r>
      <w:r w:rsidR="00203F72" w:rsidRPr="003B41D4">
        <w:t>第</w:t>
      </w:r>
      <w:r w:rsidR="00203F72" w:rsidRPr="003B41D4">
        <w:t>17.1</w:t>
      </w:r>
      <w:r w:rsidR="00203F72" w:rsidRPr="003B41D4">
        <w:t>條第</w:t>
      </w:r>
      <w:r w:rsidR="00203F72" w:rsidRPr="003B41D4">
        <w:t>17</w:t>
      </w:r>
      <w:r w:rsidR="00203F72" w:rsidRPr="003B41D4">
        <w:t>項之規範，就業標準處處長於決定是否行使附條件核准或廢止前述行政處分時，所能考量之相關因素，包括處長認為所有可能之因素，以及以下之情形</w:t>
      </w:r>
      <w:r w:rsidR="00203F72" w:rsidRPr="003B41D4">
        <w:footnoteReference w:id="483"/>
      </w:r>
      <w:r w:rsidR="00203F72" w:rsidRPr="003B41D4">
        <w:t>：</w:t>
      </w:r>
    </w:p>
    <w:p w14:paraId="05C6AA34" w14:textId="77777777" w:rsidR="00203F72" w:rsidRPr="003B41D4" w:rsidRDefault="0039258A" w:rsidP="00D87D91">
      <w:r w:rsidRPr="003B41D4">
        <w:t xml:space="preserve">　　</w:t>
      </w:r>
      <w:r w:rsidR="00203F72" w:rsidRPr="003B41D4">
        <w:t>1</w:t>
      </w:r>
      <w:r w:rsidR="00203F72" w:rsidRPr="003B41D4">
        <w:t>、向處長提出申請案件之雇主，現在或過去曾觸犯本法或其施行細則之任何違法情形；</w:t>
      </w:r>
    </w:p>
    <w:p w14:paraId="317C483C" w14:textId="77777777" w:rsidR="00203F72" w:rsidRPr="003B41D4" w:rsidRDefault="0039258A" w:rsidP="00D87D91">
      <w:r w:rsidRPr="003B41D4">
        <w:t xml:space="preserve">　　</w:t>
      </w:r>
      <w:r w:rsidR="00203F72" w:rsidRPr="003B41D4">
        <w:t>2</w:t>
      </w:r>
      <w:r w:rsidR="00203F72" w:rsidRPr="003B41D4">
        <w:t>、受僱人身體健康與工作安全之情形；</w:t>
      </w:r>
    </w:p>
    <w:p w14:paraId="07EBFA3F" w14:textId="77777777" w:rsidR="00953151" w:rsidRPr="003B41D4" w:rsidRDefault="0039258A" w:rsidP="00D87D91">
      <w:r w:rsidRPr="003B41D4">
        <w:t xml:space="preserve">　　</w:t>
      </w:r>
      <w:r w:rsidR="00203F72" w:rsidRPr="003B41D4">
        <w:t>3</w:t>
      </w:r>
      <w:r w:rsidR="00203F72" w:rsidRPr="003B41D4">
        <w:t>、任何被指定可加以考量之因素。</w:t>
      </w:r>
    </w:p>
    <w:p w14:paraId="02EBEB34" w14:textId="77777777" w:rsidR="00953151" w:rsidRPr="003B41D4" w:rsidRDefault="0039258A" w:rsidP="00D87D91">
      <w:r w:rsidRPr="003B41D4">
        <w:t xml:space="preserve">　　</w:t>
      </w:r>
      <w:r w:rsidR="00203F72" w:rsidRPr="003B41D4">
        <w:t>在雇主之再次申請權限方面，</w:t>
      </w:r>
      <w:r w:rsidR="00203F72" w:rsidRPr="003B41D4">
        <w:t>ESA</w:t>
      </w:r>
      <w:r w:rsidR="00203F72" w:rsidRPr="003B41D4">
        <w:t>賦予雇主頗多之權益，依據</w:t>
      </w:r>
      <w:r w:rsidR="00203F72" w:rsidRPr="003B41D4">
        <w:t>ESA</w:t>
      </w:r>
      <w:r w:rsidR="00203F72" w:rsidRPr="003B41D4">
        <w:t>第</w:t>
      </w:r>
      <w:r w:rsidR="00203F72" w:rsidRPr="003B41D4">
        <w:t>17.1</w:t>
      </w:r>
      <w:r w:rsidR="00203F72" w:rsidRPr="003B41D4">
        <w:t>條第</w:t>
      </w:r>
      <w:r w:rsidR="00203F72" w:rsidRPr="003B41D4">
        <w:t>18</w:t>
      </w:r>
      <w:r w:rsidR="00203F72" w:rsidRPr="003B41D4">
        <w:t>項之規定，假若雇主有關受僱人每週工作時數得逾</w:t>
      </w:r>
      <w:r w:rsidR="00203F72" w:rsidRPr="003B41D4">
        <w:t>48</w:t>
      </w:r>
      <w:r w:rsidR="00203F72" w:rsidRPr="003B41D4">
        <w:t>小時之先前申請案業已到期、被處長廢止或駁回，為了得到進一步之確認，</w:t>
      </w:r>
      <w:r w:rsidR="00203F72" w:rsidRPr="003B41D4">
        <w:t>ESA</w:t>
      </w:r>
      <w:r w:rsidR="00203F72" w:rsidRPr="003B41D4">
        <w:t>第</w:t>
      </w:r>
      <w:r w:rsidR="00203F72" w:rsidRPr="003B41D4">
        <w:t>17.1</w:t>
      </w:r>
      <w:r w:rsidR="00203F72" w:rsidRPr="003B41D4">
        <w:t>條之相關規定，均無法阻卻</w:t>
      </w:r>
      <w:r w:rsidR="00203F72" w:rsidRPr="003B41D4">
        <w:t>(</w:t>
      </w:r>
      <w:r w:rsidR="00203F72" w:rsidRPr="003B41D4">
        <w:t>排斥</w:t>
      </w:r>
      <w:r w:rsidR="00203F72" w:rsidRPr="003B41D4">
        <w:t>)</w:t>
      </w:r>
      <w:r w:rsidR="00203F72" w:rsidRPr="003B41D4">
        <w:t>雇主擁有再次提出上述申請案之權益</w:t>
      </w:r>
      <w:r w:rsidR="00203F72" w:rsidRPr="003B41D4">
        <w:footnoteReference w:id="484"/>
      </w:r>
      <w:r w:rsidR="00203F72" w:rsidRPr="003B41D4">
        <w:t>。</w:t>
      </w:r>
    </w:p>
    <w:p w14:paraId="2FAAD2BA" w14:textId="77777777" w:rsidR="00203F72" w:rsidRPr="003B41D4" w:rsidRDefault="0039258A" w:rsidP="00D87D91">
      <w:r w:rsidRPr="003B41D4">
        <w:t xml:space="preserve">　　</w:t>
      </w:r>
      <w:r w:rsidR="00203F72" w:rsidRPr="003B41D4">
        <w:t>在就業標準處處長駁回雇主申請案之權限部分，依據</w:t>
      </w:r>
      <w:r w:rsidR="00203F72" w:rsidRPr="003B41D4">
        <w:t>ESA</w:t>
      </w:r>
      <w:r w:rsidR="00203F72" w:rsidRPr="003B41D4">
        <w:t>第</w:t>
      </w:r>
      <w:r w:rsidR="00203F72" w:rsidRPr="003B41D4">
        <w:t>17.1</w:t>
      </w:r>
      <w:r w:rsidR="00203F72" w:rsidRPr="003B41D4">
        <w:t>條第</w:t>
      </w:r>
      <w:r w:rsidR="00203F72" w:rsidRPr="003B41D4">
        <w:t>19</w:t>
      </w:r>
      <w:r w:rsidR="00203F72" w:rsidRPr="003B41D4">
        <w:t>項之規定，假若處長認為核可雇主之申請案係屬於「不適切」，則處長應將拒絕核可通知書達達給雇主，告知其申請案件業已被駁回</w:t>
      </w:r>
      <w:r w:rsidR="00203F72" w:rsidRPr="003B41D4">
        <w:footnoteReference w:id="485"/>
      </w:r>
      <w:r w:rsidR="00203F72" w:rsidRPr="003B41D4">
        <w:t>。依據上述之相關規定，處長在行使駁回之權限時，其所根據之標準，係為「不適切」原則。當雇主收到處長不予同意之行政處分書後，</w:t>
      </w:r>
      <w:r w:rsidR="00203F72" w:rsidRPr="003B41D4">
        <w:t>ESA</w:t>
      </w:r>
      <w:r w:rsidR="00203F72" w:rsidRPr="003B41D4">
        <w:t>課予雇主有張貼與公告之義務，依據</w:t>
      </w:r>
      <w:r w:rsidR="00203F72" w:rsidRPr="003B41D4">
        <w:t>ESA</w:t>
      </w:r>
      <w:r w:rsidR="00203F72" w:rsidRPr="003B41D4">
        <w:t>第</w:t>
      </w:r>
      <w:r w:rsidR="00203F72" w:rsidRPr="003B41D4">
        <w:t>17.1</w:t>
      </w:r>
      <w:r w:rsidR="00203F72" w:rsidRPr="003B41D4">
        <w:t>條第</w:t>
      </w:r>
      <w:r w:rsidR="00203F72" w:rsidRPr="003B41D4">
        <w:t>20</w:t>
      </w:r>
      <w:r w:rsidR="00203F72" w:rsidRPr="003B41D4">
        <w:t>項之規定，當雇主收到上開被處長駁回之行政處分書後，應進行以下之處置</w:t>
      </w:r>
      <w:r w:rsidR="00203F72" w:rsidRPr="003B41D4">
        <w:footnoteReference w:id="486"/>
      </w:r>
      <w:r w:rsidR="00203F72" w:rsidRPr="003B41D4">
        <w:t>：</w:t>
      </w:r>
    </w:p>
    <w:p w14:paraId="47630330" w14:textId="77777777" w:rsidR="00203F72" w:rsidRPr="003B41D4" w:rsidRDefault="0039258A" w:rsidP="00D87D91">
      <w:r w:rsidRPr="003B41D4">
        <w:t xml:space="preserve">　　</w:t>
      </w:r>
      <w:r w:rsidR="00203F72" w:rsidRPr="003B41D4">
        <w:t>1</w:t>
      </w:r>
      <w:r w:rsidR="00203F72" w:rsidRPr="003B41D4">
        <w:t>、在原先張貼與公告於受僱人工作場域中之明顯處所之申請書影本撤下</w:t>
      </w:r>
      <w:r w:rsidR="00203F72" w:rsidRPr="003B41D4">
        <w:t>(</w:t>
      </w:r>
      <w:r w:rsidR="00203F72" w:rsidRPr="003B41D4">
        <w:t>取下</w:t>
      </w:r>
      <w:r w:rsidR="00203F72" w:rsidRPr="003B41D4">
        <w:t>)</w:t>
      </w:r>
      <w:r w:rsidR="00203F72" w:rsidRPr="003B41D4">
        <w:t>；</w:t>
      </w:r>
    </w:p>
    <w:p w14:paraId="3C7E1C35" w14:textId="77777777" w:rsidR="00953151" w:rsidRPr="003B41D4" w:rsidRDefault="0039258A" w:rsidP="00D87D91">
      <w:r w:rsidRPr="003B41D4">
        <w:t xml:space="preserve">　　</w:t>
      </w:r>
      <w:r w:rsidR="00203F72" w:rsidRPr="003B41D4">
        <w:t>2</w:t>
      </w:r>
      <w:r w:rsidR="00203F72" w:rsidRPr="003B41D4">
        <w:t>、雇主須將行政處分書或其影本張貼或公告於受僱人工作場域中之明顯處所，持續公告</w:t>
      </w:r>
      <w:r w:rsidR="00203F72" w:rsidRPr="003B41D4">
        <w:t>60</w:t>
      </w:r>
      <w:r w:rsidR="00203F72" w:rsidRPr="003B41D4">
        <w:t>日，俾利上開行政處分書所適用之受僱人或某類之受僱人，能留意前述行政處分書之內容。</w:t>
      </w:r>
    </w:p>
    <w:p w14:paraId="4D0CF9F1" w14:textId="77777777" w:rsidR="00203F72" w:rsidRPr="003B41D4" w:rsidRDefault="0039258A" w:rsidP="00D87D91">
      <w:r w:rsidRPr="003B41D4">
        <w:t xml:space="preserve">　　</w:t>
      </w:r>
      <w:r w:rsidR="00203F72" w:rsidRPr="003B41D4">
        <w:t>(</w:t>
      </w:r>
      <w:r w:rsidR="00203F72" w:rsidRPr="003B41D4">
        <w:t>三</w:t>
      </w:r>
      <w:r w:rsidR="00203F72" w:rsidRPr="003B41D4">
        <w:t>)</w:t>
      </w:r>
      <w:r w:rsidR="00203F72" w:rsidRPr="003B41D4">
        <w:t>受僱人最有利原則之禁止適用</w:t>
      </w:r>
    </w:p>
    <w:p w14:paraId="05DD607B" w14:textId="77777777" w:rsidR="00953151" w:rsidRPr="003B41D4" w:rsidRDefault="0039258A" w:rsidP="00D87D91">
      <w:r w:rsidRPr="003B41D4">
        <w:t xml:space="preserve">　　</w:t>
      </w:r>
      <w:r w:rsidR="00203F72" w:rsidRPr="003B41D4">
        <w:t>在受僱人最有利原則部分，主要之規範條款，乃為</w:t>
      </w:r>
      <w:r w:rsidR="00203F72" w:rsidRPr="003B41D4">
        <w:t>ESA</w:t>
      </w:r>
      <w:r w:rsidR="00203F72" w:rsidRPr="003B41D4">
        <w:t>第</w:t>
      </w:r>
      <w:r w:rsidR="00203F72" w:rsidRPr="003B41D4">
        <w:t>5</w:t>
      </w:r>
      <w:r w:rsidR="00203F72" w:rsidRPr="003B41D4">
        <w:t>條第</w:t>
      </w:r>
      <w:r w:rsidR="00203F72" w:rsidRPr="003B41D4">
        <w:t>2</w:t>
      </w:r>
      <w:r w:rsidR="00203F72" w:rsidRPr="003B41D4">
        <w:t>項，根據該項之規範，當雇主與受僱人（包括家事外勞）雙方所簽署之合同</w:t>
      </w:r>
      <w:r w:rsidR="00203F72" w:rsidRPr="003B41D4">
        <w:t>(</w:t>
      </w:r>
      <w:r w:rsidR="00203F72" w:rsidRPr="003B41D4">
        <w:t>契約</w:t>
      </w:r>
      <w:r w:rsidR="00203F72" w:rsidRPr="003B41D4">
        <w:t>)</w:t>
      </w:r>
      <w:r w:rsidR="00203F72" w:rsidRPr="003B41D4">
        <w:t>或</w:t>
      </w:r>
      <w:r w:rsidR="00203F72" w:rsidRPr="003B41D4">
        <w:t>ESA</w:t>
      </w:r>
      <w:r w:rsidR="00203F72" w:rsidRPr="003B41D4">
        <w:t>以外之法律，其所規範之事項，與</w:t>
      </w:r>
      <w:r w:rsidR="00203F72" w:rsidRPr="003B41D4">
        <w:t>ESA</w:t>
      </w:r>
      <w:r w:rsidR="00203F72" w:rsidRPr="003B41D4">
        <w:t>所規範之事項相同，但雙方合同</w:t>
      </w:r>
      <w:r w:rsidR="00203F72" w:rsidRPr="003B41D4">
        <w:t>(</w:t>
      </w:r>
      <w:r w:rsidR="00203F72" w:rsidRPr="003B41D4">
        <w:t>契約</w:t>
      </w:r>
      <w:r w:rsidR="00203F72" w:rsidRPr="003B41D4">
        <w:t>)</w:t>
      </w:r>
      <w:r w:rsidR="00203F72" w:rsidRPr="003B41D4">
        <w:t>或</w:t>
      </w:r>
      <w:r w:rsidR="00203F72" w:rsidRPr="003B41D4">
        <w:t>ESA</w:t>
      </w:r>
      <w:r w:rsidR="00203F72" w:rsidRPr="003B41D4">
        <w:t>以外之法律，能提供給受僱人更大之利益之際，則優先適用上述雙方達成共識之合同</w:t>
      </w:r>
      <w:r w:rsidR="00203F72" w:rsidRPr="003B41D4">
        <w:t>(</w:t>
      </w:r>
      <w:r w:rsidR="00203F72" w:rsidRPr="003B41D4">
        <w:t>契約</w:t>
      </w:r>
      <w:r w:rsidR="00203F72" w:rsidRPr="003B41D4">
        <w:t>)</w:t>
      </w:r>
      <w:r w:rsidR="00203F72" w:rsidRPr="003B41D4">
        <w:t>或</w:t>
      </w:r>
      <w:r w:rsidR="00203F72" w:rsidRPr="003B41D4">
        <w:t>ESA</w:t>
      </w:r>
      <w:r w:rsidR="00203F72" w:rsidRPr="003B41D4">
        <w:t>以外之法律。同時，不再適用</w:t>
      </w:r>
      <w:r w:rsidR="00203F72" w:rsidRPr="003B41D4">
        <w:t>ESA</w:t>
      </w:r>
      <w:r w:rsidR="00203F72" w:rsidRPr="003B41D4">
        <w:t>之規定。上述之部分，本書稱之為「受僱人最有利原則」。規據</w:t>
      </w:r>
      <w:r w:rsidR="00203F72" w:rsidRPr="003B41D4">
        <w:t>ESA</w:t>
      </w:r>
      <w:r w:rsidR="00203F72" w:rsidRPr="003B41D4">
        <w:t>第</w:t>
      </w:r>
      <w:r w:rsidR="00203F72" w:rsidRPr="003B41D4">
        <w:t>5</w:t>
      </w:r>
      <w:r w:rsidR="00203F72" w:rsidRPr="003B41D4">
        <w:t>條第</w:t>
      </w:r>
      <w:r w:rsidR="00203F72" w:rsidRPr="003B41D4">
        <w:t>2</w:t>
      </w:r>
      <w:r w:rsidR="00203F72" w:rsidRPr="003B41D4">
        <w:t>項之規定，所謂之「受僱人最有利原則」，乃指勞資雙方之契約效力，針對於受僱人最大之利益方面，係優於</w:t>
      </w:r>
      <w:r w:rsidR="00203F72" w:rsidRPr="003B41D4">
        <w:t>ESA</w:t>
      </w:r>
      <w:r w:rsidR="00203F72" w:rsidRPr="003B41D4">
        <w:t>之效力，亦即，優先適用雙方契約之規範。</w:t>
      </w:r>
    </w:p>
    <w:p w14:paraId="18CAFE91" w14:textId="77777777" w:rsidR="00953151" w:rsidRPr="003B41D4" w:rsidRDefault="0039258A" w:rsidP="00D87D91">
      <w:r w:rsidRPr="003B41D4">
        <w:t xml:space="preserve">　　</w:t>
      </w:r>
      <w:r w:rsidR="00203F72" w:rsidRPr="003B41D4">
        <w:t>儘管</w:t>
      </w:r>
      <w:r w:rsidR="00203F72" w:rsidRPr="003B41D4">
        <w:t>ESA</w:t>
      </w:r>
      <w:r w:rsidR="00203F72" w:rsidRPr="003B41D4">
        <w:t>明文揭示上開「受僱人最有利原則」，依據</w:t>
      </w:r>
      <w:r w:rsidR="00203F72" w:rsidRPr="003B41D4">
        <w:t>ESA</w:t>
      </w:r>
      <w:r w:rsidR="00203F72" w:rsidRPr="003B41D4">
        <w:t>第</w:t>
      </w:r>
      <w:r w:rsidR="00203F72" w:rsidRPr="003B41D4">
        <w:t>17.2</w:t>
      </w:r>
      <w:r w:rsidR="00203F72" w:rsidRPr="003B41D4">
        <w:t>條之規範，除非勞動條件符合</w:t>
      </w:r>
      <w:r w:rsidR="00203F72" w:rsidRPr="003B41D4">
        <w:t>ESA</w:t>
      </w:r>
      <w:r w:rsidR="00203F72" w:rsidRPr="003B41D4">
        <w:t>第</w:t>
      </w:r>
      <w:r w:rsidR="00203F72" w:rsidRPr="003B41D4">
        <w:t>17</w:t>
      </w:r>
      <w:r w:rsidR="00203F72" w:rsidRPr="003B41D4">
        <w:t>條第</w:t>
      </w:r>
      <w:r w:rsidR="00203F72" w:rsidRPr="003B41D4">
        <w:t>3</w:t>
      </w:r>
      <w:r w:rsidR="00203F72" w:rsidRPr="003B41D4">
        <w:t>項或第</w:t>
      </w:r>
      <w:r w:rsidR="00203F72" w:rsidRPr="003B41D4">
        <w:t>4</w:t>
      </w:r>
      <w:r w:rsidR="00203F72" w:rsidRPr="003B41D4">
        <w:t>項之要件，諸如：勞資雙方已達成協議，或雇主已向就業標準處處長提出受僱人每週工作時數得逾</w:t>
      </w:r>
      <w:r w:rsidR="00203F72" w:rsidRPr="003B41D4">
        <w:t>48</w:t>
      </w:r>
      <w:r w:rsidR="00203F72" w:rsidRPr="003B41D4">
        <w:t>小時之申請案等，否則，雇主仍不得要求或同意受僱人每週工作時數超過</w:t>
      </w:r>
      <w:r w:rsidR="00203F72" w:rsidRPr="003B41D4">
        <w:t>48</w:t>
      </w:r>
      <w:r w:rsidR="00203F72" w:rsidRPr="003B41D4">
        <w:t>小時之限制。</w:t>
      </w:r>
    </w:p>
    <w:p w14:paraId="3E94B6C6" w14:textId="77777777" w:rsidR="00953151" w:rsidRPr="003B41D4" w:rsidRDefault="0039258A" w:rsidP="00D87D91">
      <w:r w:rsidRPr="003B41D4">
        <w:t xml:space="preserve">　　</w:t>
      </w:r>
      <w:r w:rsidR="00203F72" w:rsidRPr="003B41D4">
        <w:t>根據上述</w:t>
      </w:r>
      <w:r w:rsidR="00203F72" w:rsidRPr="003B41D4">
        <w:t>ESA</w:t>
      </w:r>
      <w:r w:rsidR="00203F72" w:rsidRPr="003B41D4">
        <w:t>第</w:t>
      </w:r>
      <w:r w:rsidR="00203F72" w:rsidRPr="003B41D4">
        <w:t>17</w:t>
      </w:r>
      <w:r w:rsidR="00203F72" w:rsidRPr="003B41D4">
        <w:t>條第</w:t>
      </w:r>
      <w:r w:rsidR="00203F72" w:rsidRPr="003B41D4">
        <w:t>2</w:t>
      </w:r>
      <w:r w:rsidR="00203F72" w:rsidRPr="003B41D4">
        <w:t>項之規範，有關於</w:t>
      </w:r>
      <w:r w:rsidR="00203F72" w:rsidRPr="003B41D4">
        <w:t>ESA</w:t>
      </w:r>
      <w:r w:rsidR="00203F72" w:rsidRPr="003B41D4">
        <w:t>第</w:t>
      </w:r>
      <w:r w:rsidR="00203F72" w:rsidRPr="003B41D4">
        <w:t>5</w:t>
      </w:r>
      <w:r w:rsidR="00203F72" w:rsidRPr="003B41D4">
        <w:t>條第</w:t>
      </w:r>
      <w:r w:rsidR="00203F72" w:rsidRPr="003B41D4">
        <w:t>2</w:t>
      </w:r>
      <w:r w:rsidR="00203F72" w:rsidRPr="003B41D4">
        <w:t>項與</w:t>
      </w:r>
      <w:r w:rsidR="00203F72" w:rsidRPr="003B41D4">
        <w:t>ESA</w:t>
      </w:r>
      <w:r w:rsidR="00203F72" w:rsidRPr="003B41D4">
        <w:t>第</w:t>
      </w:r>
      <w:r w:rsidR="00203F72" w:rsidRPr="003B41D4">
        <w:t>17</w:t>
      </w:r>
      <w:r w:rsidR="00203F72" w:rsidRPr="003B41D4">
        <w:t>條第</w:t>
      </w:r>
      <w:r w:rsidR="00203F72" w:rsidRPr="003B41D4">
        <w:t>3</w:t>
      </w:r>
      <w:r w:rsidR="00203F72" w:rsidRPr="003B41D4">
        <w:t>項或第</w:t>
      </w:r>
      <w:r w:rsidR="00203F72" w:rsidRPr="003B41D4">
        <w:t>4</w:t>
      </w:r>
      <w:r w:rsidR="00203F72" w:rsidRPr="003B41D4">
        <w:t>項效力之比較方面，</w:t>
      </w:r>
      <w:r w:rsidR="00203F72" w:rsidRPr="003B41D4">
        <w:t>ESA</w:t>
      </w:r>
      <w:r w:rsidR="00203F72" w:rsidRPr="003B41D4">
        <w:t>第</w:t>
      </w:r>
      <w:r w:rsidR="00203F72" w:rsidRPr="003B41D4">
        <w:t>17</w:t>
      </w:r>
      <w:r w:rsidR="00203F72" w:rsidRPr="003B41D4">
        <w:t>條第</w:t>
      </w:r>
      <w:r w:rsidR="00203F72" w:rsidRPr="003B41D4">
        <w:t>3</w:t>
      </w:r>
      <w:r w:rsidR="00203F72" w:rsidRPr="003B41D4">
        <w:t>項或第</w:t>
      </w:r>
      <w:r w:rsidR="00203F72" w:rsidRPr="003B41D4">
        <w:t>4</w:t>
      </w:r>
      <w:r w:rsidR="00203F72" w:rsidRPr="003B41D4">
        <w:t>項之效力，仍優於</w:t>
      </w:r>
      <w:r w:rsidR="00203F72" w:rsidRPr="003B41D4">
        <w:t>ESA</w:t>
      </w:r>
      <w:r w:rsidR="00203F72" w:rsidRPr="003B41D4">
        <w:t>第</w:t>
      </w:r>
      <w:r w:rsidR="00203F72" w:rsidRPr="003B41D4">
        <w:t>5</w:t>
      </w:r>
      <w:r w:rsidR="00203F72" w:rsidRPr="003B41D4">
        <w:t>條第</w:t>
      </w:r>
      <w:r w:rsidR="00203F72" w:rsidRPr="003B41D4">
        <w:t>2</w:t>
      </w:r>
      <w:r w:rsidR="00203F72" w:rsidRPr="003B41D4">
        <w:t>項之效力。此亦顯示出勞資雙方所擬欲訂立契約之內容，當勞資雙方無法達成協議</w:t>
      </w:r>
      <w:r w:rsidR="00203F72" w:rsidRPr="003B41D4">
        <w:t>(</w:t>
      </w:r>
      <w:r w:rsidR="00203F72" w:rsidRPr="003B41D4">
        <w:t>有相互衝突</w:t>
      </w:r>
      <w:r w:rsidR="00203F72" w:rsidRPr="003B41D4">
        <w:t>)</w:t>
      </w:r>
      <w:r w:rsidR="00203F72" w:rsidRPr="003B41D4">
        <w:t>時，仍受到安大略省就業標準處處長之規制；亦即，加國安大略省政府對於勞資雙方之契約自由原則，仍進行必要之管制。換言之，契約自由原則仍受到政府必要之規制，俾利保障受僱人</w:t>
      </w:r>
      <w:r w:rsidR="00203F72" w:rsidRPr="003B41D4">
        <w:t>(</w:t>
      </w:r>
      <w:r w:rsidR="00203F72" w:rsidRPr="003B41D4">
        <w:t>含外國籍家事勞工</w:t>
      </w:r>
      <w:r w:rsidR="00203F72" w:rsidRPr="003B41D4">
        <w:t>)</w:t>
      </w:r>
      <w:r w:rsidR="00203F72" w:rsidRPr="003B41D4">
        <w:t>之工作、健康與安全權益。</w:t>
      </w:r>
    </w:p>
    <w:p w14:paraId="6A34A950" w14:textId="77777777" w:rsidR="00203F72" w:rsidRPr="003B41D4" w:rsidRDefault="0039258A" w:rsidP="00D87D91">
      <w:r w:rsidRPr="003B41D4">
        <w:t xml:space="preserve">　　</w:t>
      </w:r>
      <w:r w:rsidR="00203F72" w:rsidRPr="003B41D4">
        <w:t>(</w:t>
      </w:r>
      <w:r w:rsidR="00203F72" w:rsidRPr="003B41D4">
        <w:t>四</w:t>
      </w:r>
      <w:r w:rsidR="00203F72" w:rsidRPr="003B41D4">
        <w:t>)</w:t>
      </w:r>
      <w:r w:rsidR="00203F72" w:rsidRPr="003B41D4">
        <w:t>受僱人（包括家事外勞）工作以外之自由</w:t>
      </w:r>
      <w:r w:rsidR="00203F72" w:rsidRPr="003B41D4">
        <w:t>(</w:t>
      </w:r>
      <w:r w:rsidR="00203F72" w:rsidRPr="003B41D4">
        <w:t>休息</w:t>
      </w:r>
      <w:r w:rsidR="00203F72" w:rsidRPr="003B41D4">
        <w:t>)</w:t>
      </w:r>
      <w:r w:rsidR="00203F72" w:rsidRPr="003B41D4">
        <w:t>時段</w:t>
      </w:r>
      <w:r w:rsidR="00203F72" w:rsidRPr="003B41D4">
        <w:t>(Hours free from work)</w:t>
      </w:r>
    </w:p>
    <w:p w14:paraId="015044AC" w14:textId="77777777" w:rsidR="00953151" w:rsidRPr="003B41D4" w:rsidRDefault="0039258A" w:rsidP="00D87D91">
      <w:r w:rsidRPr="003B41D4">
        <w:t xml:space="preserve">　　</w:t>
      </w:r>
      <w:r w:rsidR="00203F72" w:rsidRPr="003B41D4">
        <w:t>為了令受僱人得到充分之休息及擁有個人之自由時段，</w:t>
      </w:r>
      <w:r w:rsidR="00203F72" w:rsidRPr="003B41D4">
        <w:t>ESA</w:t>
      </w:r>
      <w:r w:rsidR="00203F72" w:rsidRPr="003B41D4">
        <w:t>對於此一部分，亦作出相當明確之規範，以利勞資雙方共同遵守。根據</w:t>
      </w:r>
      <w:r w:rsidR="00203F72" w:rsidRPr="003B41D4">
        <w:t>ESA</w:t>
      </w:r>
      <w:r w:rsidR="00203F72" w:rsidRPr="003B41D4">
        <w:t>第</w:t>
      </w:r>
      <w:r w:rsidR="00203F72" w:rsidRPr="003B41D4">
        <w:t>18</w:t>
      </w:r>
      <w:r w:rsidR="00203F72" w:rsidRPr="003B41D4">
        <w:t>條第</w:t>
      </w:r>
      <w:r w:rsidR="00203F72" w:rsidRPr="003B41D4">
        <w:t>1</w:t>
      </w:r>
      <w:r w:rsidR="00203F72" w:rsidRPr="003B41D4">
        <w:t>項之規範，在每一個受僱人之工作日，雇主應給予受僱人至少連續</w:t>
      </w:r>
      <w:r w:rsidR="00203F72" w:rsidRPr="003B41D4">
        <w:t>11</w:t>
      </w:r>
      <w:r w:rsidR="00203F72" w:rsidRPr="003B41D4">
        <w:t>個小時之自由時段</w:t>
      </w:r>
      <w:r w:rsidR="00203F72" w:rsidRPr="003B41D4">
        <w:footnoteReference w:id="487"/>
      </w:r>
      <w:r w:rsidR="00203F72" w:rsidRPr="003B41D4">
        <w:t>。上述</w:t>
      </w:r>
      <w:r w:rsidR="00203F72" w:rsidRPr="003B41D4">
        <w:t>11</w:t>
      </w:r>
      <w:r w:rsidR="00203F72" w:rsidRPr="003B41D4">
        <w:t>個小時之自由時段，亦有例外之情形。依據</w:t>
      </w:r>
      <w:r w:rsidR="00203F72" w:rsidRPr="003B41D4">
        <w:t>ESA</w:t>
      </w:r>
      <w:r w:rsidR="00203F72" w:rsidRPr="003B41D4">
        <w:t>第</w:t>
      </w:r>
      <w:r w:rsidR="00203F72" w:rsidRPr="003B41D4">
        <w:t>18</w:t>
      </w:r>
      <w:r w:rsidR="00203F72" w:rsidRPr="003B41D4">
        <w:t>條第</w:t>
      </w:r>
      <w:r w:rsidR="00203F72" w:rsidRPr="003B41D4">
        <w:t>2</w:t>
      </w:r>
      <w:r w:rsidR="00203F72" w:rsidRPr="003B41D4">
        <w:t>項之規範，假若受僱人係處於備勤待命，並已完成備勤待命</w:t>
      </w:r>
      <w:r w:rsidR="00203F72" w:rsidRPr="003B41D4">
        <w:t>(on call and called in during a period)</w:t>
      </w:r>
      <w:r w:rsidR="00203F72" w:rsidRPr="003B41D4">
        <w:t>，且於上述之時程</w:t>
      </w:r>
      <w:r w:rsidR="00203F72" w:rsidRPr="003B41D4">
        <w:t>(</w:t>
      </w:r>
      <w:r w:rsidR="00203F72" w:rsidRPr="003B41D4">
        <w:t>段</w:t>
      </w:r>
      <w:r w:rsidR="00203F72" w:rsidRPr="003B41D4">
        <w:t>)</w:t>
      </w:r>
      <w:r w:rsidR="00203F72" w:rsidRPr="003B41D4">
        <w:t>中，受僱人並非執行雇主之工作</w:t>
      </w:r>
      <w:r w:rsidR="00203F72" w:rsidRPr="003B41D4">
        <w:t>(would not otherwise be expected to perform work for his or her employer)</w:t>
      </w:r>
      <w:r w:rsidR="00203F72" w:rsidRPr="003B41D4">
        <w:t>，於此種情形之下，則無須適用</w:t>
      </w:r>
      <w:r w:rsidR="00203F72" w:rsidRPr="003B41D4">
        <w:t>ESA</w:t>
      </w:r>
      <w:r w:rsidR="00203F72" w:rsidRPr="003B41D4">
        <w:t>第</w:t>
      </w:r>
      <w:r w:rsidR="00203F72" w:rsidRPr="003B41D4">
        <w:t>18</w:t>
      </w:r>
      <w:r w:rsidR="00203F72" w:rsidRPr="003B41D4">
        <w:t>條第</w:t>
      </w:r>
      <w:r w:rsidR="00203F72" w:rsidRPr="003B41D4">
        <w:t>1</w:t>
      </w:r>
      <w:r w:rsidR="00203F72" w:rsidRPr="003B41D4">
        <w:t>項之規範</w:t>
      </w:r>
      <w:r w:rsidR="00203F72" w:rsidRPr="003B41D4">
        <w:footnoteReference w:id="488"/>
      </w:r>
      <w:r w:rsidR="00203F72" w:rsidRPr="003B41D4">
        <w:t>。亦即，雇主無須給予受僱人至少連續</w:t>
      </w:r>
      <w:r w:rsidR="00203F72" w:rsidRPr="003B41D4">
        <w:t>11</w:t>
      </w:r>
      <w:r w:rsidR="00203F72" w:rsidRPr="003B41D4">
        <w:t>個小時之自由時段。最主要之原因，係受僱人於備勤待命中之時段，並非執行雇主之工作，身心並未因工作之故，而導致疲憊，故無須至少連續</w:t>
      </w:r>
      <w:r w:rsidR="00203F72" w:rsidRPr="003B41D4">
        <w:t>11</w:t>
      </w:r>
      <w:r w:rsidR="00203F72" w:rsidRPr="003B41D4">
        <w:t>個小時之自由時段，以利受僱人休養生息，補充體力。基本上，</w:t>
      </w:r>
      <w:r w:rsidR="00203F72" w:rsidRPr="003B41D4">
        <w:t>ESA</w:t>
      </w:r>
      <w:r w:rsidR="00203F72" w:rsidRPr="003B41D4">
        <w:t>第</w:t>
      </w:r>
      <w:r w:rsidR="00203F72" w:rsidRPr="003B41D4">
        <w:t>18</w:t>
      </w:r>
      <w:r w:rsidR="00203F72" w:rsidRPr="003B41D4">
        <w:t>條第</w:t>
      </w:r>
      <w:r w:rsidR="00203F72" w:rsidRPr="003B41D4">
        <w:t>1</w:t>
      </w:r>
      <w:r w:rsidR="00203F72" w:rsidRPr="003B41D4">
        <w:t>項仍屬於原則性之規定，</w:t>
      </w:r>
      <w:r w:rsidR="00203F72" w:rsidRPr="003B41D4">
        <w:t>ESA</w:t>
      </w:r>
      <w:r w:rsidR="00203F72" w:rsidRPr="003B41D4">
        <w:t>第</w:t>
      </w:r>
      <w:r w:rsidR="00203F72" w:rsidRPr="003B41D4">
        <w:t>18</w:t>
      </w:r>
      <w:r w:rsidR="00203F72" w:rsidRPr="003B41D4">
        <w:t>條第</w:t>
      </w:r>
      <w:r w:rsidR="00203F72" w:rsidRPr="003B41D4">
        <w:t>2</w:t>
      </w:r>
      <w:r w:rsidR="00203F72" w:rsidRPr="003B41D4">
        <w:t>項則屬於例外之情形。</w:t>
      </w:r>
    </w:p>
    <w:p w14:paraId="7F672F75" w14:textId="77777777" w:rsidR="00953151" w:rsidRPr="003B41D4" w:rsidRDefault="0039258A" w:rsidP="00D87D91">
      <w:r w:rsidRPr="003B41D4">
        <w:t xml:space="preserve">　　</w:t>
      </w:r>
      <w:r w:rsidR="00203F72" w:rsidRPr="003B41D4">
        <w:t>假若受僱人之工作型態，係屬於輪班之模式，則其所擁有之自由時段，有別於</w:t>
      </w:r>
      <w:r w:rsidR="00203F72" w:rsidRPr="003B41D4">
        <w:t>ESA</w:t>
      </w:r>
      <w:r w:rsidR="00203F72" w:rsidRPr="003B41D4">
        <w:t>第</w:t>
      </w:r>
      <w:r w:rsidR="00203F72" w:rsidRPr="003B41D4">
        <w:t>18</w:t>
      </w:r>
      <w:r w:rsidR="00203F72" w:rsidRPr="003B41D4">
        <w:t>條第</w:t>
      </w:r>
      <w:r w:rsidR="00203F72" w:rsidRPr="003B41D4">
        <w:t>1</w:t>
      </w:r>
      <w:r w:rsidR="00203F72" w:rsidRPr="003B41D4">
        <w:t>項</w:t>
      </w:r>
      <w:r w:rsidR="00203F72" w:rsidRPr="003B41D4">
        <w:t>(</w:t>
      </w:r>
      <w:r w:rsidR="00203F72" w:rsidRPr="003B41D4">
        <w:t>應有至少連續</w:t>
      </w:r>
      <w:r w:rsidR="00203F72" w:rsidRPr="003B41D4">
        <w:t>11</w:t>
      </w:r>
      <w:r w:rsidR="00203F72" w:rsidRPr="003B41D4">
        <w:t>個小時之自由時段</w:t>
      </w:r>
      <w:r w:rsidR="00203F72" w:rsidRPr="003B41D4">
        <w:t>)</w:t>
      </w:r>
      <w:r w:rsidR="00203F72" w:rsidRPr="003B41D4">
        <w:t>之型態。依據</w:t>
      </w:r>
      <w:r w:rsidR="00203F72" w:rsidRPr="003B41D4">
        <w:t>ESA</w:t>
      </w:r>
      <w:r w:rsidR="00203F72" w:rsidRPr="003B41D4">
        <w:t>第</w:t>
      </w:r>
      <w:r w:rsidR="00203F72" w:rsidRPr="003B41D4">
        <w:t>18</w:t>
      </w:r>
      <w:r w:rsidR="00203F72" w:rsidRPr="003B41D4">
        <w:t>條第</w:t>
      </w:r>
      <w:r w:rsidR="00203F72" w:rsidRPr="003B41D4">
        <w:t>3</w:t>
      </w:r>
      <w:r w:rsidR="00203F72" w:rsidRPr="003B41D4">
        <w:t>項之規範，如受僱人所執行之工作，係屬於輪班制，則在每班交替之中間，雇主應給受僱人至少</w:t>
      </w:r>
      <w:r w:rsidR="00203F72" w:rsidRPr="003B41D4">
        <w:t>8</w:t>
      </w:r>
      <w:r w:rsidR="00203F72" w:rsidRPr="003B41D4">
        <w:t>個小時之自由時段。但，如受僱人所執行工作之班次，係屬於連續型班次，且尚未超過</w:t>
      </w:r>
      <w:r w:rsidR="00203F72" w:rsidRPr="003B41D4">
        <w:t>13</w:t>
      </w:r>
      <w:r w:rsidR="00203F72" w:rsidRPr="003B41D4">
        <w:t>個小時，或勞資雙方業已達成協議，則雇主無須給予受僱人至少</w:t>
      </w:r>
      <w:r w:rsidR="00203F72" w:rsidRPr="003B41D4">
        <w:t>8</w:t>
      </w:r>
      <w:r w:rsidR="00203F72" w:rsidRPr="003B41D4">
        <w:t>個小時之自由時段</w:t>
      </w:r>
      <w:r w:rsidR="00203F72" w:rsidRPr="003B41D4">
        <w:footnoteReference w:id="489"/>
      </w:r>
      <w:r w:rsidR="00203F72" w:rsidRPr="003B41D4">
        <w:t>。</w:t>
      </w:r>
    </w:p>
    <w:p w14:paraId="34948574" w14:textId="77777777" w:rsidR="00203F72" w:rsidRPr="003B41D4" w:rsidRDefault="0039258A" w:rsidP="00D87D91">
      <w:r w:rsidRPr="003B41D4">
        <w:t xml:space="preserve">　　</w:t>
      </w:r>
      <w:r w:rsidR="00203F72" w:rsidRPr="003B41D4">
        <w:t>在受僱人每週或每雙週所需之自由時段方面，根據</w:t>
      </w:r>
      <w:r w:rsidR="00203F72" w:rsidRPr="003B41D4">
        <w:t>ESA</w:t>
      </w:r>
      <w:r w:rsidR="00203F72" w:rsidRPr="003B41D4">
        <w:t>第</w:t>
      </w:r>
      <w:r w:rsidR="00203F72" w:rsidRPr="003B41D4">
        <w:t>18</w:t>
      </w:r>
      <w:r w:rsidR="00203F72" w:rsidRPr="003B41D4">
        <w:t>條第</w:t>
      </w:r>
      <w:r w:rsidR="00203F72" w:rsidRPr="003B41D4">
        <w:t>4</w:t>
      </w:r>
      <w:r w:rsidR="00203F72" w:rsidRPr="003B41D4">
        <w:t>項之規範，雇主每週或每雙週應給予受僱人自由時段之情形，如下所述</w:t>
      </w:r>
      <w:r w:rsidR="00203F72" w:rsidRPr="003B41D4">
        <w:footnoteReference w:id="490"/>
      </w:r>
      <w:r w:rsidR="00203F72" w:rsidRPr="003B41D4">
        <w:t>：</w:t>
      </w:r>
    </w:p>
    <w:p w14:paraId="40D09260" w14:textId="77777777" w:rsidR="00203F72" w:rsidRPr="003B41D4" w:rsidRDefault="0039258A" w:rsidP="00D87D91">
      <w:r w:rsidRPr="003B41D4">
        <w:t xml:space="preserve">　　</w:t>
      </w:r>
      <w:r w:rsidR="00203F72" w:rsidRPr="003B41D4">
        <w:t>1</w:t>
      </w:r>
      <w:r w:rsidR="00203F72" w:rsidRPr="003B41D4">
        <w:t>、在每一個工作週次，至少有連續</w:t>
      </w:r>
      <w:r w:rsidR="00203F72" w:rsidRPr="003B41D4">
        <w:t>24</w:t>
      </w:r>
      <w:r w:rsidR="00203F72" w:rsidRPr="003B41D4">
        <w:t>個小時之自由時段；</w:t>
      </w:r>
    </w:p>
    <w:p w14:paraId="1C8C418C" w14:textId="77777777" w:rsidR="00953151" w:rsidRPr="003B41D4" w:rsidRDefault="0039258A" w:rsidP="00D87D91">
      <w:r w:rsidRPr="003B41D4">
        <w:t xml:space="preserve">　　</w:t>
      </w:r>
      <w:r w:rsidR="00203F72" w:rsidRPr="003B41D4">
        <w:t>2</w:t>
      </w:r>
      <w:r w:rsidR="00203F72" w:rsidRPr="003B41D4">
        <w:t>、在每連續</w:t>
      </w:r>
      <w:r w:rsidR="00203F72" w:rsidRPr="003B41D4">
        <w:t>2</w:t>
      </w:r>
      <w:r w:rsidR="00203F72" w:rsidRPr="003B41D4">
        <w:t>個工作週次，應給予受僱人至少連續</w:t>
      </w:r>
      <w:r w:rsidR="00203F72" w:rsidRPr="003B41D4">
        <w:t>48</w:t>
      </w:r>
      <w:r w:rsidR="00203F72" w:rsidRPr="003B41D4">
        <w:t>個小時之自由時段。</w:t>
      </w:r>
    </w:p>
    <w:p w14:paraId="4BBB5513" w14:textId="77777777" w:rsidR="00953151" w:rsidRPr="003B41D4" w:rsidRDefault="0039258A" w:rsidP="00D87D91">
      <w:r w:rsidRPr="003B41D4">
        <w:t xml:space="preserve">　　</w:t>
      </w:r>
      <w:r w:rsidR="00203F72" w:rsidRPr="003B41D4">
        <w:t>ESA</w:t>
      </w:r>
      <w:r w:rsidR="00203F72" w:rsidRPr="003B41D4">
        <w:t>第</w:t>
      </w:r>
      <w:r w:rsidR="00203F72" w:rsidRPr="003B41D4">
        <w:t>18</w:t>
      </w:r>
      <w:r w:rsidR="00203F72" w:rsidRPr="003B41D4">
        <w:t>條第</w:t>
      </w:r>
      <w:r w:rsidR="00203F72" w:rsidRPr="003B41D4">
        <w:t>4</w:t>
      </w:r>
      <w:r w:rsidR="00203F72" w:rsidRPr="003B41D4">
        <w:t>項之立法精神，主要係考量受僱人於連續</w:t>
      </w:r>
      <w:r w:rsidR="00203F72" w:rsidRPr="003B41D4">
        <w:t>6</w:t>
      </w:r>
      <w:r w:rsidR="00203F72" w:rsidRPr="003B41D4">
        <w:t>天或</w:t>
      </w:r>
      <w:r w:rsidR="00203F72" w:rsidRPr="003B41D4">
        <w:t>13</w:t>
      </w:r>
      <w:r w:rsidR="00203F72" w:rsidRPr="003B41D4">
        <w:t>天之後，身心之壓力與疲憊，業已達到一個程度，需要連續至少有</w:t>
      </w:r>
      <w:r w:rsidR="00203F72" w:rsidRPr="003B41D4">
        <w:t>24</w:t>
      </w:r>
      <w:r w:rsidR="00203F72" w:rsidRPr="003B41D4">
        <w:t>個或</w:t>
      </w:r>
      <w:r w:rsidR="00203F72" w:rsidRPr="003B41D4">
        <w:t>48</w:t>
      </w:r>
      <w:r w:rsidR="00203F72" w:rsidRPr="003B41D4">
        <w:t>個小時之休息，俾利受僱人能利用此一自由時段，釋放身心之壓力與疲憊，避免產生過勞死之現象。</w:t>
      </w:r>
    </w:p>
    <w:p w14:paraId="6CBBA319" w14:textId="77777777" w:rsidR="00203F72" w:rsidRPr="003B41D4" w:rsidRDefault="0039258A" w:rsidP="00D87D91">
      <w:r w:rsidRPr="003B41D4">
        <w:t xml:space="preserve">　　</w:t>
      </w:r>
      <w:r w:rsidR="00203F72" w:rsidRPr="003B41D4">
        <w:t>(</w:t>
      </w:r>
      <w:r w:rsidR="00203F72" w:rsidRPr="003B41D4">
        <w:t>五</w:t>
      </w:r>
      <w:r w:rsidR="00203F72" w:rsidRPr="003B41D4">
        <w:t>)</w:t>
      </w:r>
      <w:r w:rsidR="00203F72" w:rsidRPr="003B41D4">
        <w:t>工作時數與自由時段之例外情形</w:t>
      </w:r>
    </w:p>
    <w:p w14:paraId="756CF72E" w14:textId="77777777" w:rsidR="00203F72" w:rsidRPr="003B41D4" w:rsidRDefault="0039258A" w:rsidP="00D87D91">
      <w:r w:rsidRPr="003B41D4">
        <w:t xml:space="preserve">　　</w:t>
      </w:r>
      <w:r w:rsidR="00203F72" w:rsidRPr="003B41D4">
        <w:t>為了因應不可預見或緊急發生之突發性或臨時性之事件或情境，有必要對於受僱人（包括家事外勞）之工作時數與自由時段作出更加彃性之規範，以利勞資雙方能共同因應上述之緊急性或突發性之情境。基於上述之考量，根據</w:t>
      </w:r>
      <w:r w:rsidR="00203F72" w:rsidRPr="003B41D4">
        <w:t>ESA</w:t>
      </w:r>
      <w:r w:rsidR="00203F72" w:rsidRPr="003B41D4">
        <w:t>第</w:t>
      </w:r>
      <w:r w:rsidR="00203F72" w:rsidRPr="003B41D4">
        <w:t>19</w:t>
      </w:r>
      <w:r w:rsidR="00203F72" w:rsidRPr="003B41D4">
        <w:t>條之規範，為了避免對於雇主日常性之工作場域、設備、機具與運作造成嚴重性之幹擾</w:t>
      </w:r>
      <w:r w:rsidR="00203F72" w:rsidRPr="003B41D4">
        <w:t>(</w:t>
      </w:r>
      <w:r w:rsidR="00203F72" w:rsidRPr="003B41D4">
        <w:t>妨害</w:t>
      </w:r>
      <w:r w:rsidR="00203F72" w:rsidRPr="003B41D4">
        <w:t>)</w:t>
      </w:r>
      <w:r w:rsidR="00203F72" w:rsidRPr="003B41D4">
        <w:t>，於必要時，雇主得要求受僱人之工作時數，逾越</w:t>
      </w:r>
      <w:r w:rsidR="00203F72" w:rsidRPr="003B41D4">
        <w:t>ESA</w:t>
      </w:r>
      <w:r w:rsidR="00203F72" w:rsidRPr="003B41D4">
        <w:t>第</w:t>
      </w:r>
      <w:r w:rsidR="00203F72" w:rsidRPr="003B41D4">
        <w:t>17</w:t>
      </w:r>
      <w:r w:rsidR="00203F72" w:rsidRPr="003B41D4">
        <w:t>條所規範之時數限制；或於</w:t>
      </w:r>
      <w:r w:rsidR="00203F72" w:rsidRPr="003B41D4">
        <w:t>ESA</w:t>
      </w:r>
      <w:r w:rsidR="00203F72" w:rsidRPr="003B41D4">
        <w:t>第</w:t>
      </w:r>
      <w:r w:rsidR="00203F72" w:rsidRPr="003B41D4">
        <w:t>18</w:t>
      </w:r>
      <w:r w:rsidR="00203F72" w:rsidRPr="003B41D4">
        <w:t>條所規範之自由時段中，雇主得要求受僱人持續執行其工作。而上述工作時數與自由時段之例外情形，須符合以下之要件</w:t>
      </w:r>
      <w:r w:rsidR="00203F72" w:rsidRPr="003B41D4">
        <w:footnoteReference w:id="491"/>
      </w:r>
      <w:r w:rsidR="00203F72" w:rsidRPr="003B41D4">
        <w:t>：</w:t>
      </w:r>
    </w:p>
    <w:p w14:paraId="70539EB6" w14:textId="77777777" w:rsidR="00203F72" w:rsidRPr="003B41D4" w:rsidRDefault="0039258A" w:rsidP="00D87D91">
      <w:r w:rsidRPr="003B41D4">
        <w:t xml:space="preserve">　　</w:t>
      </w:r>
      <w:r w:rsidR="00203F72" w:rsidRPr="003B41D4">
        <w:t>1</w:t>
      </w:r>
      <w:r w:rsidR="00203F72" w:rsidRPr="003B41D4">
        <w:t>、為了因應突發之緊急事件；</w:t>
      </w:r>
    </w:p>
    <w:p w14:paraId="52FCA7D3" w14:textId="77777777" w:rsidR="00203F72" w:rsidRPr="003B41D4" w:rsidRDefault="0039258A" w:rsidP="00D87D91">
      <w:r w:rsidRPr="003B41D4">
        <w:t xml:space="preserve">　　</w:t>
      </w:r>
      <w:r w:rsidR="00203F72" w:rsidRPr="003B41D4">
        <w:t>2</w:t>
      </w:r>
      <w:r w:rsidR="00203F72" w:rsidRPr="003B41D4">
        <w:t>、假如發生事先無法預知之事態，為了確保社會大眾所需之基本服務能持續地被提供與運轉，無須考量由誰提供上述之服務，受僱人應持續地執行其工作；</w:t>
      </w:r>
    </w:p>
    <w:p w14:paraId="41BF1F4C" w14:textId="77777777" w:rsidR="00203F72" w:rsidRPr="003B41D4" w:rsidRDefault="0039258A" w:rsidP="00D87D91">
      <w:r w:rsidRPr="003B41D4">
        <w:t xml:space="preserve">　　</w:t>
      </w:r>
      <w:r w:rsidR="00203F72" w:rsidRPr="003B41D4">
        <w:t>3</w:t>
      </w:r>
      <w:r w:rsidR="00203F72" w:rsidRPr="003B41D4">
        <w:t>、假如發生事先無法預知之事態，為了確保雇主之工作能持續性或季節性地進展，而不被妨礙</w:t>
      </w:r>
      <w:r w:rsidR="00203F72" w:rsidRPr="003B41D4">
        <w:t>(</w:t>
      </w:r>
      <w:r w:rsidR="00203F72" w:rsidRPr="003B41D4">
        <w:t>幹擾</w:t>
      </w:r>
      <w:r w:rsidR="00203F72" w:rsidRPr="003B41D4">
        <w:t>)</w:t>
      </w:r>
      <w:r w:rsidR="00203F72" w:rsidRPr="003B41D4">
        <w:t>；</w:t>
      </w:r>
    </w:p>
    <w:p w14:paraId="5C2071B0" w14:textId="77777777" w:rsidR="00953151" w:rsidRPr="003B41D4" w:rsidRDefault="0039258A" w:rsidP="00D87D91">
      <w:r w:rsidRPr="003B41D4">
        <w:t xml:space="preserve">　　</w:t>
      </w:r>
      <w:r w:rsidR="00203F72" w:rsidRPr="003B41D4">
        <w:t>4</w:t>
      </w:r>
      <w:r w:rsidR="00203F72" w:rsidRPr="003B41D4">
        <w:t>、因雇主所屬之廠房或設備損壞，須進行立即性之修復。</w:t>
      </w:r>
    </w:p>
    <w:p w14:paraId="63B646ED" w14:textId="77777777" w:rsidR="00203F72" w:rsidRPr="003B41D4" w:rsidRDefault="0039258A" w:rsidP="00D87D91">
      <w:r w:rsidRPr="003B41D4">
        <w:t xml:space="preserve">　　</w:t>
      </w:r>
      <w:r w:rsidR="00203F72" w:rsidRPr="003B41D4">
        <w:t>(</w:t>
      </w:r>
      <w:r w:rsidR="00203F72" w:rsidRPr="003B41D4">
        <w:t>六</w:t>
      </w:r>
      <w:r w:rsidR="00203F72" w:rsidRPr="003B41D4">
        <w:t>)</w:t>
      </w:r>
      <w:r w:rsidR="00203F72" w:rsidRPr="003B41D4">
        <w:t>受僱人用餐</w:t>
      </w:r>
      <w:r w:rsidR="00203F72" w:rsidRPr="003B41D4">
        <w:t>(</w:t>
      </w:r>
      <w:r w:rsidR="00203F72" w:rsidRPr="003B41D4">
        <w:t>膳</w:t>
      </w:r>
      <w:r w:rsidR="00203F72" w:rsidRPr="003B41D4">
        <w:t>)</w:t>
      </w:r>
      <w:r w:rsidR="00203F72" w:rsidRPr="003B41D4">
        <w:t>時間與例外情事</w:t>
      </w:r>
    </w:p>
    <w:p w14:paraId="62CBD1B4" w14:textId="77777777" w:rsidR="00953151" w:rsidRPr="003B41D4" w:rsidRDefault="0039258A" w:rsidP="00D87D91">
      <w:r w:rsidRPr="003B41D4">
        <w:t xml:space="preserve">　　</w:t>
      </w:r>
      <w:r w:rsidR="00203F72" w:rsidRPr="003B41D4">
        <w:t>為了確保受僱人（包括家事外勞）用餐</w:t>
      </w:r>
      <w:r w:rsidR="00203F72" w:rsidRPr="003B41D4">
        <w:t>(</w:t>
      </w:r>
      <w:r w:rsidR="00203F72" w:rsidRPr="003B41D4">
        <w:t>膳</w:t>
      </w:r>
      <w:r w:rsidR="00203F72" w:rsidRPr="003B41D4">
        <w:t>)</w:t>
      </w:r>
      <w:r w:rsidR="00203F72" w:rsidRPr="003B41D4">
        <w:t>權益，</w:t>
      </w:r>
      <w:r w:rsidR="00203F72" w:rsidRPr="003B41D4">
        <w:t>ESA</w:t>
      </w:r>
      <w:r w:rsidR="00203F72" w:rsidRPr="003B41D4">
        <w:t>亦對於用餐</w:t>
      </w:r>
      <w:r w:rsidR="00203F72" w:rsidRPr="003B41D4">
        <w:t>(</w:t>
      </w:r>
      <w:r w:rsidR="00203F72" w:rsidRPr="003B41D4">
        <w:t>膳</w:t>
      </w:r>
      <w:r w:rsidR="00203F72" w:rsidRPr="003B41D4">
        <w:t>)</w:t>
      </w:r>
      <w:r w:rsidR="00203F72" w:rsidRPr="003B41D4">
        <w:t>時段詳加規定，防範受僱人遭到勞力剝削。根據</w:t>
      </w:r>
      <w:r w:rsidR="00203F72" w:rsidRPr="003B41D4">
        <w:t>ESA</w:t>
      </w:r>
      <w:r w:rsidR="00203F72" w:rsidRPr="003B41D4">
        <w:t>第</w:t>
      </w:r>
      <w:r w:rsidR="00203F72" w:rsidRPr="003B41D4">
        <w:t>20</w:t>
      </w:r>
      <w:r w:rsidR="00203F72" w:rsidRPr="003B41D4">
        <w:t>條第</w:t>
      </w:r>
      <w:r w:rsidR="00203F72" w:rsidRPr="003B41D4">
        <w:t>1</w:t>
      </w:r>
      <w:r w:rsidR="00203F72" w:rsidRPr="003B41D4">
        <w:t>項之規範，雇主於受僱人工作之中場時段，應提供一次至少</w:t>
      </w:r>
      <w:r w:rsidR="00203F72" w:rsidRPr="003B41D4">
        <w:t>30</w:t>
      </w:r>
      <w:r w:rsidR="00203F72" w:rsidRPr="003B41D4">
        <w:t>分鐘之用餐</w:t>
      </w:r>
      <w:r w:rsidR="00203F72" w:rsidRPr="003B41D4">
        <w:t>(</w:t>
      </w:r>
      <w:r w:rsidR="00203F72" w:rsidRPr="003B41D4">
        <w:t>膳</w:t>
      </w:r>
      <w:r w:rsidR="00203F72" w:rsidRPr="003B41D4">
        <w:t>)</w:t>
      </w:r>
      <w:r w:rsidR="00203F72" w:rsidRPr="003B41D4">
        <w:t>時間，俾利受僱人之工作時段，未超過連續</w:t>
      </w:r>
      <w:r w:rsidR="00203F72" w:rsidRPr="003B41D4">
        <w:t>5</w:t>
      </w:r>
      <w:r w:rsidR="00203F72" w:rsidRPr="003B41D4">
        <w:t>小時之時程</w:t>
      </w:r>
      <w:r w:rsidR="00203F72" w:rsidRPr="003B41D4">
        <w:footnoteReference w:id="492"/>
      </w:r>
      <w:r w:rsidR="00203F72" w:rsidRPr="003B41D4">
        <w:t>。於例外時，依據</w:t>
      </w:r>
      <w:r w:rsidR="00203F72" w:rsidRPr="003B41D4">
        <w:t>ESA</w:t>
      </w:r>
      <w:r w:rsidR="00203F72" w:rsidRPr="003B41D4">
        <w:t>第</w:t>
      </w:r>
      <w:r w:rsidR="00203F72" w:rsidRPr="003B41D4">
        <w:t>20</w:t>
      </w:r>
      <w:r w:rsidR="00203F72" w:rsidRPr="003B41D4">
        <w:t>條第</w:t>
      </w:r>
      <w:r w:rsidR="00203F72" w:rsidRPr="003B41D4">
        <w:t>2</w:t>
      </w:r>
      <w:r w:rsidR="00203F72" w:rsidRPr="003B41D4">
        <w:t>項之規定，假若勞資雙方業已達成一項協議，該協議不論是否屬於書面，於每次連續</w:t>
      </w:r>
      <w:r w:rsidR="00203F72" w:rsidRPr="003B41D4">
        <w:t>5</w:t>
      </w:r>
      <w:r w:rsidR="00203F72" w:rsidRPr="003B41D4">
        <w:t>個小時時程之中場時段，受僱人可被提供兩個用餐</w:t>
      </w:r>
      <w:r w:rsidR="00203F72" w:rsidRPr="003B41D4">
        <w:t>(</w:t>
      </w:r>
      <w:r w:rsidR="00203F72" w:rsidRPr="003B41D4">
        <w:t>膳</w:t>
      </w:r>
      <w:r w:rsidR="00203F72" w:rsidRPr="003B41D4">
        <w:t>)</w:t>
      </w:r>
      <w:r w:rsidR="00203F72" w:rsidRPr="003B41D4">
        <w:t>時段，總計至少</w:t>
      </w:r>
      <w:r w:rsidR="00203F72" w:rsidRPr="003B41D4">
        <w:t>30</w:t>
      </w:r>
      <w:r w:rsidR="00203F72" w:rsidRPr="003B41D4">
        <w:t>分鐘以上</w:t>
      </w:r>
      <w:r w:rsidR="00203F72" w:rsidRPr="003B41D4">
        <w:footnoteReference w:id="493"/>
      </w:r>
      <w:r w:rsidR="00203F72" w:rsidRPr="003B41D4">
        <w:t>。有關於受僱人於用餐</w:t>
      </w:r>
      <w:r w:rsidR="00203F72" w:rsidRPr="003B41D4">
        <w:t>(</w:t>
      </w:r>
      <w:r w:rsidR="00203F72" w:rsidRPr="003B41D4">
        <w:t>膳</w:t>
      </w:r>
      <w:r w:rsidR="00203F72" w:rsidRPr="003B41D4">
        <w:t>)</w:t>
      </w:r>
      <w:r w:rsidR="00203F72" w:rsidRPr="003B41D4">
        <w:t>時段休息用膳之薪資問題，根據</w:t>
      </w:r>
      <w:r w:rsidR="00203F72" w:rsidRPr="003B41D4">
        <w:t>ESA</w:t>
      </w:r>
      <w:r w:rsidR="00203F72" w:rsidRPr="003B41D4">
        <w:t>第</w:t>
      </w:r>
      <w:r w:rsidR="00203F72" w:rsidRPr="003B41D4">
        <w:t>21</w:t>
      </w:r>
      <w:r w:rsidR="00203F72" w:rsidRPr="003B41D4">
        <w:t>條之規範，受僱人於用餐</w:t>
      </w:r>
      <w:r w:rsidR="00203F72" w:rsidRPr="003B41D4">
        <w:t>(</w:t>
      </w:r>
      <w:r w:rsidR="00203F72" w:rsidRPr="003B41D4">
        <w:t>膳</w:t>
      </w:r>
      <w:r w:rsidR="00203F72" w:rsidRPr="003B41D4">
        <w:t>)</w:t>
      </w:r>
      <w:r w:rsidR="00203F72" w:rsidRPr="003B41D4">
        <w:t>時段，因未執行雇主之工作，故雇主並未被要求須向受僱人支付用餐</w:t>
      </w:r>
      <w:r w:rsidR="00203F72" w:rsidRPr="003B41D4">
        <w:t>(</w:t>
      </w:r>
      <w:r w:rsidR="00203F72" w:rsidRPr="003B41D4">
        <w:t>膳</w:t>
      </w:r>
      <w:r w:rsidR="00203F72" w:rsidRPr="003B41D4">
        <w:t>)</w:t>
      </w:r>
      <w:r w:rsidR="00203F72" w:rsidRPr="003B41D4">
        <w:t>時段之工作薪資；但，如勞資雙方於契約上明定雇主須支付受僱人工作薪資，則屬於例外情形</w:t>
      </w:r>
      <w:r w:rsidR="00203F72" w:rsidRPr="003B41D4">
        <w:footnoteReference w:id="494"/>
      </w:r>
      <w:r w:rsidR="00203F72" w:rsidRPr="003B41D4">
        <w:t>。</w:t>
      </w:r>
    </w:p>
    <w:p w14:paraId="4038DDE7" w14:textId="77777777" w:rsidR="00203F72" w:rsidRPr="003B41D4" w:rsidRDefault="0039258A" w:rsidP="00D87D91">
      <w:r w:rsidRPr="003B41D4">
        <w:t xml:space="preserve">　　</w:t>
      </w:r>
      <w:r w:rsidR="00203F72" w:rsidRPr="003B41D4">
        <w:t>(</w:t>
      </w:r>
      <w:r w:rsidR="00203F72" w:rsidRPr="003B41D4">
        <w:t>七</w:t>
      </w:r>
      <w:r w:rsidR="00203F72" w:rsidRPr="003B41D4">
        <w:t>)</w:t>
      </w:r>
      <w:r w:rsidR="00203F72" w:rsidRPr="003B41D4">
        <w:t>逾時工作之門檻標準</w:t>
      </w:r>
      <w:r w:rsidR="00203F72" w:rsidRPr="003B41D4">
        <w:t>(Overtime threshold)</w:t>
      </w:r>
      <w:r w:rsidR="00203F72" w:rsidRPr="003B41D4">
        <w:t>與薪資</w:t>
      </w:r>
    </w:p>
    <w:p w14:paraId="60A5B5E4" w14:textId="77777777" w:rsidR="00953151" w:rsidRPr="003B41D4" w:rsidRDefault="0039258A" w:rsidP="00D87D91">
      <w:r w:rsidRPr="003B41D4">
        <w:t xml:space="preserve">　　</w:t>
      </w:r>
      <w:r w:rsidR="00203F72" w:rsidRPr="003B41D4">
        <w:t>為了保障受僱人（包括家事外勞）之權益，於每週工作超過一定時數之限制後，其工作薪資將會提升，作為逾時工作之薪資。</w:t>
      </w:r>
      <w:r w:rsidR="00203F72" w:rsidRPr="003B41D4">
        <w:t>ESA</w:t>
      </w:r>
      <w:r w:rsidR="00203F72" w:rsidRPr="003B41D4">
        <w:t>透由提升逾時工作薪資之作法，可達到兩個目的，第一個目的，進一步保障受僱人之權益；第二個目的，可抑制雇主要求受僱人逾時工作之動機，因逾時工作之薪資較高，故可有效地削弱雇主要求受僱人逾時工作之動力。依據</w:t>
      </w:r>
      <w:r w:rsidR="00203F72" w:rsidRPr="003B41D4">
        <w:t>ESA</w:t>
      </w:r>
      <w:r w:rsidR="00203F72" w:rsidRPr="003B41D4">
        <w:t>第</w:t>
      </w:r>
      <w:r w:rsidR="00203F72" w:rsidRPr="003B41D4">
        <w:t>22</w:t>
      </w:r>
      <w:r w:rsidR="00203F72" w:rsidRPr="003B41D4">
        <w:t>條第</w:t>
      </w:r>
      <w:r w:rsidR="00203F72" w:rsidRPr="003B41D4">
        <w:t>1</w:t>
      </w:r>
      <w:r w:rsidR="00203F72" w:rsidRPr="003B41D4">
        <w:t>項之規定，當受僱人每週工作時數業已超過</w:t>
      </w:r>
      <w:r w:rsidR="00203F72" w:rsidRPr="003B41D4">
        <w:t>44</w:t>
      </w:r>
      <w:r w:rsidR="00203F72" w:rsidRPr="003B41D4">
        <w:t>個小時</w:t>
      </w:r>
      <w:r w:rsidR="00203F72" w:rsidRPr="003B41D4">
        <w:t>(in excess of 44 hours)</w:t>
      </w:r>
      <w:r w:rsidR="00203F72" w:rsidRPr="003B41D4">
        <w:t>，則逾時工作每小時之薪資，雇主應支付受僱人較每小時常規薪資至少高</w:t>
      </w:r>
      <w:r w:rsidR="00203F72" w:rsidRPr="003B41D4">
        <w:t>1.5</w:t>
      </w:r>
      <w:r w:rsidR="00203F72" w:rsidRPr="003B41D4">
        <w:t>倍之報酬</w:t>
      </w:r>
      <w:r w:rsidR="00203F72" w:rsidRPr="003B41D4">
        <w:t>(at least one and one-half times his or her regular rate for each hour of work)</w:t>
      </w:r>
      <w:r w:rsidR="00203F72" w:rsidRPr="003B41D4">
        <w:t>。每週逾時工作之標準，係為</w:t>
      </w:r>
      <w:r w:rsidR="00203F72" w:rsidRPr="003B41D4">
        <w:t>44</w:t>
      </w:r>
      <w:r w:rsidR="00203F72" w:rsidRPr="003B41D4">
        <w:t>個小時，但如有其他之規定，則適用其他之規定</w:t>
      </w:r>
      <w:r w:rsidR="00203F72" w:rsidRPr="003B41D4">
        <w:footnoteReference w:id="495"/>
      </w:r>
      <w:r w:rsidR="00203F72" w:rsidRPr="003B41D4">
        <w:t>。</w:t>
      </w:r>
    </w:p>
    <w:p w14:paraId="503FD6E6" w14:textId="77777777" w:rsidR="00203F72" w:rsidRPr="003B41D4" w:rsidRDefault="0039258A" w:rsidP="00D87D91">
      <w:r w:rsidRPr="003B41D4">
        <w:t xml:space="preserve">　　</w:t>
      </w:r>
      <w:r w:rsidR="00203F72" w:rsidRPr="003B41D4">
        <w:t>假若受僱人之工作屬性，係為不連續性，或較為零散，則無法計算出每週</w:t>
      </w:r>
      <w:r w:rsidR="00203F72" w:rsidRPr="003B41D4">
        <w:t>44</w:t>
      </w:r>
      <w:r w:rsidR="00203F72" w:rsidRPr="003B41D4">
        <w:t>個小時之逾時工作標準。關於此一問題，</w:t>
      </w:r>
      <w:r w:rsidR="00203F72" w:rsidRPr="003B41D4">
        <w:t>ESA</w:t>
      </w:r>
      <w:r w:rsidR="00203F72" w:rsidRPr="003B41D4">
        <w:t>則導入平均數</w:t>
      </w:r>
      <w:r w:rsidR="00203F72" w:rsidRPr="003B41D4">
        <w:t>(Averaging)</w:t>
      </w:r>
      <w:r w:rsidR="00203F72" w:rsidRPr="003B41D4">
        <w:t>之計算公式，亦即，利用平均數求出受僱人之工作時段，以便決定是否每週超過</w:t>
      </w:r>
      <w:r w:rsidR="00203F72" w:rsidRPr="003B41D4">
        <w:t>44</w:t>
      </w:r>
      <w:r w:rsidR="00203F72" w:rsidRPr="003B41D4">
        <w:t>個小時？依據</w:t>
      </w:r>
      <w:r w:rsidR="00203F72" w:rsidRPr="003B41D4">
        <w:t>ESA</w:t>
      </w:r>
      <w:r w:rsidR="00203F72" w:rsidRPr="003B41D4">
        <w:t>第</w:t>
      </w:r>
      <w:r w:rsidR="00203F72" w:rsidRPr="003B41D4">
        <w:t>22</w:t>
      </w:r>
      <w:r w:rsidR="00203F72" w:rsidRPr="003B41D4">
        <w:t>條第</w:t>
      </w:r>
      <w:r w:rsidR="00203F72" w:rsidRPr="003B41D4">
        <w:t>2</w:t>
      </w:r>
      <w:r w:rsidR="00203F72" w:rsidRPr="003B41D4">
        <w:t>項有關於工作時段平均數之規範，假若受僱人之工作性質，屬於零散性</w:t>
      </w:r>
      <w:r w:rsidR="00203F72" w:rsidRPr="003B41D4">
        <w:t>(separate)</w:t>
      </w:r>
      <w:r w:rsidR="00203F72" w:rsidRPr="003B41D4">
        <w:t>、未具重疊性</w:t>
      </w:r>
      <w:r w:rsidR="00203F72" w:rsidRPr="003B41D4">
        <w:t>(non-overlapping)</w:t>
      </w:r>
      <w:r w:rsidR="00203F72" w:rsidRPr="003B41D4">
        <w:t>及連續性，則可將連續兩週或兩週以上之上述工作時程</w:t>
      </w:r>
      <w:r w:rsidR="00203F72" w:rsidRPr="003B41D4">
        <w:t>(</w:t>
      </w:r>
      <w:r w:rsidR="00203F72" w:rsidRPr="003B41D4">
        <w:t>段</w:t>
      </w:r>
      <w:r w:rsidR="00203F72" w:rsidRPr="003B41D4">
        <w:t>)</w:t>
      </w:r>
      <w:r w:rsidR="00203F72" w:rsidRPr="003B41D4">
        <w:t>，加以平均化，主要之目的，用於決定受僱人之權益，諸如決定是否每週逾時工作；將上開零散工作時程</w:t>
      </w:r>
      <w:r w:rsidR="00203F72" w:rsidRPr="003B41D4">
        <w:t>(</w:t>
      </w:r>
      <w:r w:rsidR="00203F72" w:rsidRPr="003B41D4">
        <w:t>段</w:t>
      </w:r>
      <w:r w:rsidR="00203F72" w:rsidRPr="003B41D4">
        <w:t>)</w:t>
      </w:r>
      <w:r w:rsidR="00203F72" w:rsidRPr="003B41D4">
        <w:t>總計後，再加以平均化之作法，尚須符合以下之構成要件</w:t>
      </w:r>
      <w:r w:rsidR="00203F72" w:rsidRPr="003B41D4">
        <w:footnoteReference w:id="496"/>
      </w:r>
      <w:r w:rsidR="00203F72" w:rsidRPr="003B41D4">
        <w:t>：</w:t>
      </w:r>
    </w:p>
    <w:p w14:paraId="3C24250C" w14:textId="77777777" w:rsidR="00203F72" w:rsidRPr="003B41D4" w:rsidRDefault="0039258A" w:rsidP="00D87D91">
      <w:r w:rsidRPr="003B41D4">
        <w:t xml:space="preserve">　　</w:t>
      </w:r>
      <w:r w:rsidR="00203F72" w:rsidRPr="003B41D4">
        <w:t>1</w:t>
      </w:r>
      <w:r w:rsidR="00203F72" w:rsidRPr="003B41D4">
        <w:t>、雇主與受僱人業已達成協議</w:t>
      </w:r>
      <w:r w:rsidR="00203F72" w:rsidRPr="003B41D4">
        <w:t>(made an agreement)</w:t>
      </w:r>
      <w:r w:rsidR="00203F72" w:rsidRPr="003B41D4">
        <w:t>，雙方願就所指定之工作時程</w:t>
      </w:r>
      <w:r w:rsidR="00203F72" w:rsidRPr="003B41D4">
        <w:t>(</w:t>
      </w:r>
      <w:r w:rsidR="00203F72" w:rsidRPr="003B41D4">
        <w:t>段</w:t>
      </w:r>
      <w:r w:rsidR="00203F72" w:rsidRPr="003B41D4">
        <w:t>)</w:t>
      </w:r>
      <w:r w:rsidR="00203F72" w:rsidRPr="003B41D4">
        <w:t>加以平均化</w:t>
      </w:r>
      <w:r w:rsidR="00203F72" w:rsidRPr="003B41D4">
        <w:t>(his or her hours of work may be averaged)</w:t>
      </w:r>
      <w:r w:rsidR="00203F72" w:rsidRPr="003B41D4">
        <w:t>；</w:t>
      </w:r>
    </w:p>
    <w:p w14:paraId="51AE21FD" w14:textId="77777777" w:rsidR="00203F72" w:rsidRPr="003B41D4" w:rsidRDefault="0039258A" w:rsidP="00D87D91">
      <w:r w:rsidRPr="003B41D4">
        <w:t xml:space="preserve">　　</w:t>
      </w:r>
      <w:r w:rsidR="00203F72" w:rsidRPr="003B41D4">
        <w:t>2</w:t>
      </w:r>
      <w:r w:rsidR="00203F72" w:rsidRPr="003B41D4">
        <w:t>、雇主向就業標準處處長提出申請案，擬就受僱人之零散式工作時程</w:t>
      </w:r>
      <w:r w:rsidR="00203F72" w:rsidRPr="003B41D4">
        <w:t>(</w:t>
      </w:r>
      <w:r w:rsidR="00203F72" w:rsidRPr="003B41D4">
        <w:t>段</w:t>
      </w:r>
      <w:r w:rsidR="00203F72" w:rsidRPr="003B41D4">
        <w:t>)</w:t>
      </w:r>
      <w:r w:rsidR="00203F72" w:rsidRPr="003B41D4">
        <w:t>加以平均化，且已獲得上開處長業已核准之行政處分書；</w:t>
      </w:r>
    </w:p>
    <w:p w14:paraId="205ABE94" w14:textId="77777777" w:rsidR="00203F72" w:rsidRPr="003B41D4" w:rsidRDefault="0039258A" w:rsidP="00D87D91">
      <w:r w:rsidRPr="003B41D4">
        <w:t xml:space="preserve">　　</w:t>
      </w:r>
      <w:r w:rsidR="00203F72" w:rsidRPr="003B41D4">
        <w:t>3</w:t>
      </w:r>
      <w:r w:rsidR="00203F72" w:rsidRPr="003B41D4">
        <w:t>、平均化之工作時程</w:t>
      </w:r>
      <w:r w:rsidR="00203F72" w:rsidRPr="003B41D4">
        <w:t>(</w:t>
      </w:r>
      <w:r w:rsidR="00203F72" w:rsidRPr="003B41D4">
        <w:t>段</w:t>
      </w:r>
      <w:r w:rsidR="00203F72" w:rsidRPr="003B41D4">
        <w:t>)</w:t>
      </w:r>
      <w:r w:rsidR="00203F72" w:rsidRPr="003B41D4">
        <w:t>，尚未超過以下之情形：</w:t>
      </w:r>
    </w:p>
    <w:p w14:paraId="544DFB2C" w14:textId="77777777" w:rsidR="00203F72" w:rsidRPr="003B41D4" w:rsidRDefault="0039258A" w:rsidP="00D87D91">
      <w:r w:rsidRPr="003B41D4">
        <w:t xml:space="preserve">　　</w:t>
      </w:r>
      <w:r w:rsidR="00203F72" w:rsidRPr="003B41D4">
        <w:t>(1)</w:t>
      </w:r>
      <w:r w:rsidR="00203F72" w:rsidRPr="003B41D4">
        <w:t>勞資雙方業已達成協議中所載明之工作週數</w:t>
      </w:r>
      <w:r w:rsidR="00203F72" w:rsidRPr="003B41D4">
        <w:t>(</w:t>
      </w:r>
      <w:r w:rsidR="00203F72" w:rsidRPr="003B41D4">
        <w:t>次</w:t>
      </w:r>
      <w:r w:rsidR="00203F72" w:rsidRPr="003B41D4">
        <w:t>)</w:t>
      </w:r>
      <w:r w:rsidR="00203F72" w:rsidRPr="003B41D4">
        <w:t>；</w:t>
      </w:r>
    </w:p>
    <w:p w14:paraId="4EA9A4CB" w14:textId="77777777" w:rsidR="00953151" w:rsidRPr="003B41D4" w:rsidRDefault="0039258A" w:rsidP="00D87D91">
      <w:r w:rsidRPr="003B41D4">
        <w:t xml:space="preserve">　　</w:t>
      </w:r>
      <w:r w:rsidR="00203F72" w:rsidRPr="003B41D4">
        <w:t>(2)</w:t>
      </w:r>
      <w:r w:rsidR="00203F72" w:rsidRPr="003B41D4">
        <w:t>就業標準處處長所核准行政處分書中所載明之工作週數</w:t>
      </w:r>
      <w:r w:rsidR="00203F72" w:rsidRPr="003B41D4">
        <w:t>(</w:t>
      </w:r>
      <w:r w:rsidR="00203F72" w:rsidRPr="003B41D4">
        <w:t>次</w:t>
      </w:r>
      <w:r w:rsidR="00203F72" w:rsidRPr="003B41D4">
        <w:t>)</w:t>
      </w:r>
      <w:r w:rsidR="00203F72" w:rsidRPr="003B41D4">
        <w:t>。</w:t>
      </w:r>
    </w:p>
    <w:p w14:paraId="5D23E978" w14:textId="77777777" w:rsidR="00203F72" w:rsidRPr="003B41D4" w:rsidRDefault="0039258A" w:rsidP="00D87D91">
      <w:r w:rsidRPr="003B41D4">
        <w:t xml:space="preserve">　　</w:t>
      </w:r>
      <w:r w:rsidR="00203F72" w:rsidRPr="003B41D4">
        <w:t>假若雇主依據</w:t>
      </w:r>
      <w:r w:rsidR="00203F72" w:rsidRPr="003B41D4">
        <w:t>ESA</w:t>
      </w:r>
      <w:r w:rsidR="00203F72" w:rsidRPr="003B41D4">
        <w:t>第</w:t>
      </w:r>
      <w:r w:rsidR="00203F72" w:rsidRPr="003B41D4">
        <w:t>22</w:t>
      </w:r>
      <w:r w:rsidR="00203F72" w:rsidRPr="003B41D4">
        <w:t>條第</w:t>
      </w:r>
      <w:r w:rsidR="00203F72" w:rsidRPr="003B41D4">
        <w:t>2</w:t>
      </w:r>
      <w:r w:rsidR="00203F72" w:rsidRPr="003B41D4">
        <w:t>項有關於工作時段平均數之規範，業已向就業標準處處長提出申請案，但，尚未獲得上開處長所核准之行政處分書，此時，仍可以就受僱人之零散式工作時數</w:t>
      </w:r>
      <w:r w:rsidR="00203F72" w:rsidRPr="003B41D4">
        <w:t>(</w:t>
      </w:r>
      <w:r w:rsidR="00203F72" w:rsidRPr="003B41D4">
        <w:t>段</w:t>
      </w:r>
      <w:r w:rsidR="00203F72" w:rsidRPr="003B41D4">
        <w:t>)</w:t>
      </w:r>
      <w:r w:rsidR="00203F72" w:rsidRPr="003B41D4">
        <w:t>加以平均化；根據</w:t>
      </w:r>
      <w:r w:rsidR="00203F72" w:rsidRPr="003B41D4">
        <w:t>ESA</w:t>
      </w:r>
      <w:r w:rsidR="00203F72" w:rsidRPr="003B41D4">
        <w:t>第</w:t>
      </w:r>
      <w:r w:rsidR="00203F72" w:rsidRPr="003B41D4">
        <w:t>22</w:t>
      </w:r>
      <w:r w:rsidR="00203F72" w:rsidRPr="003B41D4">
        <w:t>條第</w:t>
      </w:r>
      <w:r w:rsidR="00203F72" w:rsidRPr="003B41D4">
        <w:t>2.1</w:t>
      </w:r>
      <w:r w:rsidR="00203F72" w:rsidRPr="003B41D4">
        <w:t>項之規定，假若雇主擬就受僱人之零散式工作時數</w:t>
      </w:r>
      <w:r w:rsidR="00203F72" w:rsidRPr="003B41D4">
        <w:t>(</w:t>
      </w:r>
      <w:r w:rsidR="00203F72" w:rsidRPr="003B41D4">
        <w:t>段</w:t>
      </w:r>
      <w:r w:rsidR="00203F72" w:rsidRPr="003B41D4">
        <w:t>)</w:t>
      </w:r>
      <w:r w:rsidR="00203F72" w:rsidRPr="003B41D4">
        <w:t>加以平均化之最主要目的，係要決定賦予受僱人之權益，諸如決定逾時工作之薪資；此時，如尚未取得上開處長所核准之行政處分書，雇主仍可以就受僱人之零散式工作時數</w:t>
      </w:r>
      <w:r w:rsidR="00203F72" w:rsidRPr="003B41D4">
        <w:t>(</w:t>
      </w:r>
      <w:r w:rsidR="00203F72" w:rsidRPr="003B41D4">
        <w:t>段</w:t>
      </w:r>
      <w:r w:rsidR="00203F72" w:rsidRPr="003B41D4">
        <w:t>)</w:t>
      </w:r>
      <w:r w:rsidR="00203F72" w:rsidRPr="003B41D4">
        <w:t>加以平均化，但須符合以下之構成要件</w:t>
      </w:r>
      <w:r w:rsidR="00203F72" w:rsidRPr="003B41D4">
        <w:footnoteReference w:id="497"/>
      </w:r>
      <w:r w:rsidR="00203F72" w:rsidRPr="003B41D4">
        <w:t>：</w:t>
      </w:r>
    </w:p>
    <w:p w14:paraId="45C085BF" w14:textId="77777777" w:rsidR="00203F72" w:rsidRPr="003B41D4" w:rsidRDefault="0039258A" w:rsidP="00D87D91">
      <w:r w:rsidRPr="003B41D4">
        <w:t xml:space="preserve">　　</w:t>
      </w:r>
      <w:r w:rsidR="00203F72" w:rsidRPr="003B41D4">
        <w:t>1</w:t>
      </w:r>
      <w:r w:rsidR="00203F72" w:rsidRPr="003B41D4">
        <w:t>、雇主與受僱人依據</w:t>
      </w:r>
      <w:r w:rsidR="00203F72" w:rsidRPr="003B41D4">
        <w:t>ESA</w:t>
      </w:r>
      <w:r w:rsidR="00203F72" w:rsidRPr="003B41D4">
        <w:t>第</w:t>
      </w:r>
      <w:r w:rsidR="00203F72" w:rsidRPr="003B41D4">
        <w:t>22</w:t>
      </w:r>
      <w:r w:rsidR="00203F72" w:rsidRPr="003B41D4">
        <w:t>條第</w:t>
      </w:r>
      <w:r w:rsidR="00203F72" w:rsidRPr="003B41D4">
        <w:t>2</w:t>
      </w:r>
      <w:r w:rsidR="00203F72" w:rsidRPr="003B41D4">
        <w:t>項第</w:t>
      </w:r>
      <w:r w:rsidR="00203F72" w:rsidRPr="003B41D4">
        <w:t>(a)</w:t>
      </w:r>
      <w:r w:rsidR="00203F72" w:rsidRPr="003B41D4">
        <w:t>款之規定，業已達成一項協議，雙方願就所指定之工作時數</w:t>
      </w:r>
      <w:r w:rsidR="00203F72" w:rsidRPr="003B41D4">
        <w:t>(</w:t>
      </w:r>
      <w:r w:rsidR="00203F72" w:rsidRPr="003B41D4">
        <w:t>段</w:t>
      </w:r>
      <w:r w:rsidR="00203F72" w:rsidRPr="003B41D4">
        <w:t>)</w:t>
      </w:r>
      <w:r w:rsidR="00203F72" w:rsidRPr="003B41D4">
        <w:t>加以平均化，俾利決定受僱人之平均工作時數，是否已達逾時工作之標準；</w:t>
      </w:r>
    </w:p>
    <w:p w14:paraId="05D7D279" w14:textId="77777777" w:rsidR="00203F72" w:rsidRPr="003B41D4" w:rsidRDefault="0039258A" w:rsidP="00D87D91">
      <w:r w:rsidRPr="003B41D4">
        <w:t xml:space="preserve">　　</w:t>
      </w:r>
      <w:r w:rsidR="00203F72" w:rsidRPr="003B41D4">
        <w:t>2</w:t>
      </w:r>
      <w:r w:rsidR="00203F72" w:rsidRPr="003B41D4">
        <w:t>、雇主業已依照</w:t>
      </w:r>
      <w:r w:rsidR="00203F72" w:rsidRPr="003B41D4">
        <w:t>ESA</w:t>
      </w:r>
      <w:r w:rsidR="00203F72" w:rsidRPr="003B41D4">
        <w:t>第</w:t>
      </w:r>
      <w:r w:rsidR="00203F72" w:rsidRPr="003B41D4">
        <w:t>22.1</w:t>
      </w:r>
      <w:r w:rsidR="00203F72" w:rsidRPr="003B41D4">
        <w:t>條之規定，向就業標準處處長提出上開申請案，擬就受僱人之零散式工作時數</w:t>
      </w:r>
      <w:r w:rsidR="00203F72" w:rsidRPr="003B41D4">
        <w:t>(</w:t>
      </w:r>
      <w:r w:rsidR="00203F72" w:rsidRPr="003B41D4">
        <w:t>段</w:t>
      </w:r>
      <w:r w:rsidR="00203F72" w:rsidRPr="003B41D4">
        <w:t>)</w:t>
      </w:r>
      <w:r w:rsidR="00203F72" w:rsidRPr="003B41D4">
        <w:t>加以平均化；</w:t>
      </w:r>
    </w:p>
    <w:p w14:paraId="43B21684" w14:textId="77777777" w:rsidR="00203F72" w:rsidRPr="003B41D4" w:rsidRDefault="0039258A" w:rsidP="00D87D91">
      <w:r w:rsidRPr="003B41D4">
        <w:t xml:space="preserve">　　</w:t>
      </w:r>
      <w:r w:rsidR="00203F72" w:rsidRPr="003B41D4">
        <w:t>3</w:t>
      </w:r>
      <w:r w:rsidR="00203F72" w:rsidRPr="003B41D4">
        <w:t>、雇主向就業標準處處長所提出且欲擬取得其同意之上開申請案之適用對象，包含受僱人或某類之受僱人；而此某類之受僱人中，並包括擬就受僱人之零散式工作時數</w:t>
      </w:r>
      <w:r w:rsidR="00203F72" w:rsidRPr="003B41D4">
        <w:t>(</w:t>
      </w:r>
      <w:r w:rsidR="00203F72" w:rsidRPr="003B41D4">
        <w:t>段</w:t>
      </w:r>
      <w:r w:rsidR="00203F72" w:rsidRPr="003B41D4">
        <w:t>)</w:t>
      </w:r>
      <w:r w:rsidR="00203F72" w:rsidRPr="003B41D4">
        <w:t>加以平均化之人；</w:t>
      </w:r>
    </w:p>
    <w:p w14:paraId="2216A663" w14:textId="77777777" w:rsidR="00203F72" w:rsidRPr="003B41D4" w:rsidRDefault="0039258A" w:rsidP="00D87D91">
      <w:r w:rsidRPr="003B41D4">
        <w:t xml:space="preserve">　　</w:t>
      </w:r>
      <w:r w:rsidR="00203F72" w:rsidRPr="003B41D4">
        <w:t>4</w:t>
      </w:r>
      <w:r w:rsidR="00203F72" w:rsidRPr="003B41D4">
        <w:t>、雇主向就業標準處處長提出上開申請案之日數，業已超過</w:t>
      </w:r>
      <w:r w:rsidR="00203F72" w:rsidRPr="003B41D4">
        <w:t>30</w:t>
      </w:r>
      <w:r w:rsidR="00203F72" w:rsidRPr="003B41D4">
        <w:t>日之時程；</w:t>
      </w:r>
    </w:p>
    <w:p w14:paraId="59F9F509" w14:textId="77777777" w:rsidR="00203F72" w:rsidRPr="003B41D4" w:rsidRDefault="0039258A" w:rsidP="00D87D91">
      <w:r w:rsidRPr="003B41D4">
        <w:t xml:space="preserve">　　</w:t>
      </w:r>
      <w:r w:rsidR="00203F72" w:rsidRPr="003B41D4">
        <w:t>5</w:t>
      </w:r>
      <w:r w:rsidR="00203F72" w:rsidRPr="003B41D4">
        <w:t>、雇主尚未收到就業標準處處長針對其上開申請案所作出之駁回通知書；</w:t>
      </w:r>
    </w:p>
    <w:p w14:paraId="653A48A3" w14:textId="77777777" w:rsidR="00203F72" w:rsidRPr="003B41D4" w:rsidRDefault="0039258A" w:rsidP="00D87D91">
      <w:r w:rsidRPr="003B41D4">
        <w:t xml:space="preserve">　　</w:t>
      </w:r>
      <w:r w:rsidR="00203F72" w:rsidRPr="003B41D4">
        <w:t>6</w:t>
      </w:r>
      <w:r w:rsidR="00203F72" w:rsidRPr="003B41D4">
        <w:t>、雇主依照</w:t>
      </w:r>
      <w:r w:rsidR="00203F72" w:rsidRPr="003B41D4">
        <w:t>ESA</w:t>
      </w:r>
      <w:r w:rsidR="00203F72" w:rsidRPr="003B41D4">
        <w:t>第</w:t>
      </w:r>
      <w:r w:rsidR="00203F72" w:rsidRPr="003B41D4">
        <w:t>22.1</w:t>
      </w:r>
      <w:r w:rsidR="00203F72" w:rsidRPr="003B41D4">
        <w:t>條之規定，向就業標準處處長提出且欲擬取得其同意之最新一次之上開申請案，尚未被處長駁回；</w:t>
      </w:r>
    </w:p>
    <w:p w14:paraId="0801846A" w14:textId="77777777" w:rsidR="00203F72" w:rsidRPr="003B41D4" w:rsidRDefault="0039258A" w:rsidP="00D87D91">
      <w:r w:rsidRPr="003B41D4">
        <w:t xml:space="preserve">　　</w:t>
      </w:r>
      <w:r w:rsidR="00203F72" w:rsidRPr="003B41D4">
        <w:t>7</w:t>
      </w:r>
      <w:r w:rsidR="00203F72" w:rsidRPr="003B41D4">
        <w:t>、雇主依照</w:t>
      </w:r>
      <w:r w:rsidR="00203F72" w:rsidRPr="003B41D4">
        <w:t>ESA</w:t>
      </w:r>
      <w:r w:rsidR="00203F72" w:rsidRPr="003B41D4">
        <w:t>第</w:t>
      </w:r>
      <w:r w:rsidR="00203F72" w:rsidRPr="003B41D4">
        <w:t>22.1</w:t>
      </w:r>
      <w:r w:rsidR="00203F72" w:rsidRPr="003B41D4">
        <w:t>條之規定，向就業標準處處長提出且業已取得其同意之最新一次之上開申請案，尚未被處長廢止；</w:t>
      </w:r>
    </w:p>
    <w:p w14:paraId="3D4178E7" w14:textId="77777777" w:rsidR="00953151" w:rsidRDefault="0039258A" w:rsidP="00D87D91">
      <w:r w:rsidRPr="003B41D4">
        <w:t xml:space="preserve">　　</w:t>
      </w:r>
      <w:r w:rsidR="00203F72" w:rsidRPr="003B41D4">
        <w:t>8</w:t>
      </w:r>
      <w:r w:rsidR="00203F72" w:rsidRPr="003B41D4">
        <w:t>、雇主向就業標準處處長提出且欲擬取得其同意之上開申請案尚未正式審批之期間，雇主擬就受僱人屬於零散性、未具重疊性及連續性工作時數</w:t>
      </w:r>
      <w:r w:rsidR="00203F72" w:rsidRPr="003B41D4">
        <w:t>(</w:t>
      </w:r>
      <w:r w:rsidR="00203F72" w:rsidRPr="003B41D4">
        <w:t>段</w:t>
      </w:r>
      <w:r w:rsidR="00203F72" w:rsidRPr="003B41D4">
        <w:t>)</w:t>
      </w:r>
      <w:r w:rsidR="00203F72" w:rsidRPr="003B41D4">
        <w:t>加以平均化之時程，並未超過連續兩週。</w:t>
      </w:r>
    </w:p>
    <w:p w14:paraId="13C7F7B5" w14:textId="77777777" w:rsidR="003B41D4" w:rsidRDefault="003B41D4" w:rsidP="00B612C2">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7976A0A9" w14:textId="77777777" w:rsidR="003B41D4" w:rsidRPr="003B41D4" w:rsidRDefault="003B41D4" w:rsidP="00D87D91"/>
    <w:p w14:paraId="56FE5F4A" w14:textId="77777777" w:rsidR="00203F72" w:rsidRPr="00A53581" w:rsidRDefault="00203F72" w:rsidP="00767F37">
      <w:pPr>
        <w:pStyle w:val="2"/>
      </w:pPr>
      <w:bookmarkStart w:id="79" w:name="_參、我國「就業服務法」之考察"/>
      <w:bookmarkEnd w:id="79"/>
      <w:r w:rsidRPr="00A53581">
        <w:t>參、我國「就業服務法」之考察</w:t>
      </w:r>
    </w:p>
    <w:p w14:paraId="779A894C" w14:textId="77777777" w:rsidR="00953151" w:rsidRPr="003B41D4" w:rsidRDefault="0039258A" w:rsidP="00D87D91">
      <w:r w:rsidRPr="003B41D4">
        <w:t xml:space="preserve">　　</w:t>
      </w:r>
      <w:r w:rsidR="00203F72" w:rsidRPr="003B41D4">
        <w:t>由於「</w:t>
      </w:r>
      <w:hyperlink r:id="rId1731" w:history="1">
        <w:r w:rsidR="00203F72" w:rsidRPr="004D33F7">
          <w:rPr>
            <w:rStyle w:val="a5"/>
            <w:rFonts w:ascii="Times New Roman" w:eastAsia="新細明體" w:hAnsi="Times New Roman"/>
          </w:rPr>
          <w:t>就業服務法</w:t>
        </w:r>
      </w:hyperlink>
      <w:r w:rsidR="00203F72" w:rsidRPr="003B41D4">
        <w:t>」完成立法之程序，使我國就業服務制度建立、業務之推動、國民就業之保障，均有法律依據。同時，也使我國就業安全法制得以健全，對建立我國完整就業安全制度，促進國民就業，進而增進經濟社會發展，將有極大助益。以下，擬就</w:t>
      </w:r>
      <w:r w:rsidR="004D33F7" w:rsidRPr="003B41D4">
        <w:t>「</w:t>
      </w:r>
      <w:hyperlink r:id="rId1732" w:history="1">
        <w:r w:rsidR="004D33F7" w:rsidRPr="004D33F7">
          <w:rPr>
            <w:rStyle w:val="a5"/>
            <w:rFonts w:ascii="Times New Roman" w:eastAsia="新細明體" w:hAnsi="Times New Roman"/>
          </w:rPr>
          <w:t>就業服務法</w:t>
        </w:r>
      </w:hyperlink>
      <w:r w:rsidR="00203F72" w:rsidRPr="003B41D4">
        <w:t>」</w:t>
      </w:r>
      <w:r w:rsidR="00203F72" w:rsidRPr="003B41D4">
        <w:footnoteReference w:id="498"/>
      </w:r>
      <w:r w:rsidR="00203F72" w:rsidRPr="003B41D4">
        <w:t>的立法經過，加以說明</w:t>
      </w:r>
      <w:r w:rsidR="00203F72" w:rsidRPr="003B41D4">
        <w:footnoteReference w:id="499"/>
      </w:r>
      <w:r w:rsidR="00203F72" w:rsidRPr="003B41D4">
        <w:t>：</w:t>
      </w:r>
    </w:p>
    <w:p w14:paraId="7E922CA1" w14:textId="77777777" w:rsidR="00203F72" w:rsidRPr="003B41D4" w:rsidRDefault="002143FF" w:rsidP="00D87D91">
      <w:r w:rsidRPr="003B41D4">
        <w:rPr>
          <w:rFonts w:hint="eastAsia"/>
        </w:rPr>
        <w:t xml:space="preserve">　　一、</w:t>
      </w:r>
      <w:r w:rsidR="00203F72" w:rsidRPr="003B41D4">
        <w:t>立法院於民國</w:t>
      </w:r>
      <w:r w:rsidR="00203F72" w:rsidRPr="003B41D4">
        <w:t>79</w:t>
      </w:r>
      <w:r w:rsidR="00203F72" w:rsidRPr="003B41D4">
        <w:t>年</w:t>
      </w:r>
      <w:r w:rsidR="00203F72" w:rsidRPr="003B41D4">
        <w:t>4</w:t>
      </w:r>
      <w:r w:rsidR="00203F72" w:rsidRPr="003B41D4">
        <w:t>月</w:t>
      </w:r>
      <w:r w:rsidR="00203F72" w:rsidRPr="003B41D4">
        <w:t>16</w:t>
      </w:r>
      <w:r w:rsidR="00203F72" w:rsidRPr="003B41D4">
        <w:t>日，由內政、司法兩委員會聯席審查</w:t>
      </w:r>
      <w:r w:rsidR="004D33F7" w:rsidRPr="003B41D4">
        <w:t>「</w:t>
      </w:r>
      <w:hyperlink r:id="rId1733" w:history="1">
        <w:r w:rsidR="004D33F7" w:rsidRPr="004D33F7">
          <w:rPr>
            <w:rStyle w:val="a5"/>
            <w:rFonts w:ascii="Times New Roman" w:eastAsia="新細明體" w:hAnsi="Times New Roman"/>
          </w:rPr>
          <w:t>就業服務法</w:t>
        </w:r>
      </w:hyperlink>
      <w:r w:rsidR="00203F72" w:rsidRPr="003B41D4">
        <w:t>草案」，決議：「本草案待勞委會補充資料後，再定期開會討論。」勞委會經檢討修正後，將原條文由原</w:t>
      </w:r>
      <w:r w:rsidR="00203F72" w:rsidRPr="003B41D4">
        <w:t>46</w:t>
      </w:r>
      <w:r w:rsidR="00203F72" w:rsidRPr="003B41D4">
        <w:t>條增加至</w:t>
      </w:r>
      <w:r w:rsidR="00203F72" w:rsidRPr="003B41D4">
        <w:t>69</w:t>
      </w:r>
      <w:r w:rsidR="00203F72" w:rsidRPr="003B41D4">
        <w:t>條，於民國</w:t>
      </w:r>
      <w:r w:rsidR="00203F72" w:rsidRPr="003B41D4">
        <w:t>79</w:t>
      </w:r>
      <w:r w:rsidR="00203F72" w:rsidRPr="003B41D4">
        <w:t>年</w:t>
      </w:r>
      <w:r w:rsidR="00203F72" w:rsidRPr="003B41D4">
        <w:t>6</w:t>
      </w:r>
      <w:r w:rsidR="00203F72" w:rsidRPr="003B41D4">
        <w:t>月</w:t>
      </w:r>
      <w:r w:rsidR="00203F72" w:rsidRPr="003B41D4">
        <w:t>25</w:t>
      </w:r>
      <w:r w:rsidR="00203F72" w:rsidRPr="003B41D4">
        <w:t>日再函請行政院審議。行政院於民國</w:t>
      </w:r>
      <w:r w:rsidR="00203F72" w:rsidRPr="003B41D4">
        <w:t>79</w:t>
      </w:r>
      <w:r w:rsidR="00203F72" w:rsidRPr="003B41D4">
        <w:t>年</w:t>
      </w:r>
      <w:r w:rsidR="00203F72" w:rsidRPr="003B41D4">
        <w:t>9</w:t>
      </w:r>
      <w:r w:rsidR="00203F72" w:rsidRPr="003B41D4">
        <w:t>月</w:t>
      </w:r>
      <w:r w:rsidR="00203F72" w:rsidRPr="003B41D4">
        <w:t>13</w:t>
      </w:r>
      <w:r w:rsidR="00203F72" w:rsidRPr="003B41D4">
        <w:t>日再函請立法院審議。</w:t>
      </w:r>
    </w:p>
    <w:p w14:paraId="48C71ECA" w14:textId="77777777" w:rsidR="00203F72" w:rsidRPr="003B41D4" w:rsidRDefault="002143FF" w:rsidP="00D87D91">
      <w:r w:rsidRPr="003B41D4">
        <w:t xml:space="preserve">　　二</w:t>
      </w:r>
      <w:r w:rsidRPr="003B41D4">
        <w:rPr>
          <w:rFonts w:hint="eastAsia"/>
        </w:rPr>
        <w:t>、</w:t>
      </w:r>
      <w:r w:rsidR="00203F72" w:rsidRPr="003B41D4">
        <w:t>立法院自民國</w:t>
      </w:r>
      <w:r w:rsidR="00203F72" w:rsidRPr="003B41D4">
        <w:t>80</w:t>
      </w:r>
      <w:r w:rsidR="00203F72" w:rsidRPr="003B41D4">
        <w:t>年</w:t>
      </w:r>
      <w:r w:rsidR="00203F72" w:rsidRPr="003B41D4">
        <w:t>3</w:t>
      </w:r>
      <w:r w:rsidR="00203F72" w:rsidRPr="003B41D4">
        <w:t>月</w:t>
      </w:r>
      <w:r w:rsidR="00203F72" w:rsidRPr="003B41D4">
        <w:t>18</w:t>
      </w:r>
      <w:r w:rsidR="00203F72" w:rsidRPr="003B41D4">
        <w:t>日起，再由內政、司法兩委員會聯席審查，至同年</w:t>
      </w:r>
      <w:r w:rsidR="00203F72" w:rsidRPr="003B41D4">
        <w:t>(80)</w:t>
      </w:r>
      <w:r w:rsidR="00FB75BE">
        <w:t>7</w:t>
      </w:r>
      <w:r w:rsidR="00203F72" w:rsidRPr="003B41D4">
        <w:t>月</w:t>
      </w:r>
      <w:r w:rsidR="008F066C">
        <w:t>1</w:t>
      </w:r>
      <w:r w:rsidR="00203F72" w:rsidRPr="003B41D4">
        <w:t>日歷經</w:t>
      </w:r>
      <w:r w:rsidR="00203F72" w:rsidRPr="003B41D4">
        <w:t>5</w:t>
      </w:r>
      <w:r w:rsidR="00203F72" w:rsidRPr="003B41D4">
        <w:t>次審查會議，完成一讀程序。</w:t>
      </w:r>
    </w:p>
    <w:p w14:paraId="19F5006E" w14:textId="77777777" w:rsidR="00203F72" w:rsidRPr="003B41D4" w:rsidRDefault="002143FF" w:rsidP="00D87D91">
      <w:r w:rsidRPr="003B41D4">
        <w:rPr>
          <w:rFonts w:hint="eastAsia"/>
        </w:rPr>
        <w:t xml:space="preserve">　　三、</w:t>
      </w:r>
      <w:r w:rsidR="00203F72" w:rsidRPr="003B41D4">
        <w:t>立法院自民國</w:t>
      </w:r>
      <w:r w:rsidR="00203F72" w:rsidRPr="003B41D4">
        <w:t>80</w:t>
      </w:r>
      <w:r w:rsidR="00203F72" w:rsidRPr="003B41D4">
        <w:t>年</w:t>
      </w:r>
      <w:r w:rsidR="00203F72" w:rsidRPr="003B41D4">
        <w:t>11</w:t>
      </w:r>
      <w:r w:rsidR="00203F72" w:rsidRPr="003B41D4">
        <w:t>月</w:t>
      </w:r>
      <w:r w:rsidR="00203F72" w:rsidRPr="003B41D4">
        <w:t>26</w:t>
      </w:r>
      <w:r w:rsidR="00203F72" w:rsidRPr="003B41D4">
        <w:t>日開始進入二讀程序，至民國</w:t>
      </w:r>
      <w:r w:rsidR="00203F72" w:rsidRPr="003B41D4">
        <w:t>81</w:t>
      </w:r>
      <w:r w:rsidR="00203F72" w:rsidRPr="003B41D4">
        <w:t>年</w:t>
      </w:r>
      <w:r w:rsidR="00203F72" w:rsidRPr="003B41D4">
        <w:t>7</w:t>
      </w:r>
      <w:r w:rsidR="00203F72" w:rsidRPr="003B41D4">
        <w:t>月</w:t>
      </w:r>
      <w:r w:rsidR="00203F72" w:rsidRPr="003B41D4">
        <w:t>31</w:t>
      </w:r>
      <w:r w:rsidR="00203F72" w:rsidRPr="003B41D4">
        <w:t>日，歷經八次院會審查。惟因立法院於第</w:t>
      </w:r>
      <w:r w:rsidR="00203F72" w:rsidRPr="003B41D4">
        <w:t>67</w:t>
      </w:r>
      <w:r w:rsidR="00203F72" w:rsidRPr="003B41D4">
        <w:t>條中加入「大陸地區人民工作準用外國人之規定，致行政院於民國</w:t>
      </w:r>
      <w:r w:rsidR="00203F72" w:rsidRPr="003B41D4">
        <w:t>81</w:t>
      </w:r>
      <w:r w:rsidR="00203F72" w:rsidRPr="003B41D4">
        <w:t>年</w:t>
      </w:r>
      <w:r w:rsidR="00203F72" w:rsidRPr="003B41D4">
        <w:t>2</w:t>
      </w:r>
      <w:r w:rsidR="00203F72" w:rsidRPr="003B41D4">
        <w:t>月</w:t>
      </w:r>
      <w:r w:rsidR="00203F72" w:rsidRPr="003B41D4">
        <w:t>1</w:t>
      </w:r>
      <w:r w:rsidR="00203F72" w:rsidRPr="003B41D4">
        <w:t>日函請立法院撤回就業服務法草案。</w:t>
      </w:r>
    </w:p>
    <w:p w14:paraId="671E35A7" w14:textId="77777777" w:rsidR="00203F72" w:rsidRPr="003B41D4" w:rsidRDefault="002143FF" w:rsidP="00D87D91">
      <w:r w:rsidRPr="003B41D4">
        <w:rPr>
          <w:rFonts w:hint="eastAsia"/>
        </w:rPr>
        <w:t xml:space="preserve">　　四、</w:t>
      </w:r>
      <w:r w:rsidR="00203F72" w:rsidRPr="003B41D4">
        <w:t>行政院勞委會再修正後，於民國</w:t>
      </w:r>
      <w:r w:rsidR="00203F72" w:rsidRPr="003B41D4">
        <w:t>81</w:t>
      </w:r>
      <w:r w:rsidR="00203F72" w:rsidRPr="003B41D4">
        <w:t>年</w:t>
      </w:r>
      <w:r w:rsidR="00203F72" w:rsidRPr="003B41D4">
        <w:t>2</w:t>
      </w:r>
      <w:r w:rsidR="00203F72" w:rsidRPr="003B41D4">
        <w:t>月</w:t>
      </w:r>
      <w:r w:rsidR="00203F72" w:rsidRPr="003B41D4">
        <w:t>11</w:t>
      </w:r>
      <w:r w:rsidR="00203F72" w:rsidRPr="003B41D4">
        <w:t>日再次函請行政院審議，經行政院於民國</w:t>
      </w:r>
      <w:r w:rsidR="00203F72" w:rsidRPr="003B41D4">
        <w:t>81</w:t>
      </w:r>
      <w:r w:rsidR="00203F72" w:rsidRPr="003B41D4">
        <w:t>年</w:t>
      </w:r>
      <w:r w:rsidR="00203F72" w:rsidRPr="003B41D4">
        <w:t>2</w:t>
      </w:r>
      <w:r w:rsidR="00203F72" w:rsidRPr="003B41D4">
        <w:t>月</w:t>
      </w:r>
      <w:r w:rsidR="00203F72" w:rsidRPr="003B41D4">
        <w:t>27</w:t>
      </w:r>
      <w:r w:rsidR="00203F72" w:rsidRPr="003B41D4">
        <w:t>日送請立法院審議。</w:t>
      </w:r>
    </w:p>
    <w:p w14:paraId="0CFD42A1" w14:textId="77777777" w:rsidR="00203F72" w:rsidRPr="003B41D4" w:rsidRDefault="002143FF" w:rsidP="00D87D91">
      <w:r w:rsidRPr="003B41D4">
        <w:rPr>
          <w:rFonts w:hint="eastAsia"/>
        </w:rPr>
        <w:t xml:space="preserve">　　五、</w:t>
      </w:r>
      <w:r w:rsidR="00203F72" w:rsidRPr="003B41D4">
        <w:t>立法院於民國</w:t>
      </w:r>
      <w:r w:rsidR="00203F72" w:rsidRPr="003B41D4">
        <w:t>81</w:t>
      </w:r>
      <w:r w:rsidR="00203F72" w:rsidRPr="003B41D4">
        <w:t>年</w:t>
      </w:r>
      <w:r w:rsidR="00203F72" w:rsidRPr="003B41D4">
        <w:t>4</w:t>
      </w:r>
      <w:r w:rsidR="00203F72" w:rsidRPr="003B41D4">
        <w:t>月</w:t>
      </w:r>
      <w:r w:rsidR="00203F72" w:rsidRPr="003B41D4">
        <w:t>10</w:t>
      </w:r>
      <w:r w:rsidR="00203F72" w:rsidRPr="003B41D4">
        <w:t>日及</w:t>
      </w:r>
      <w:r w:rsidR="00203F72" w:rsidRPr="003B41D4">
        <w:t>4</w:t>
      </w:r>
      <w:r w:rsidR="00203F72" w:rsidRPr="003B41D4">
        <w:t>月</w:t>
      </w:r>
      <w:r w:rsidR="00203F72" w:rsidRPr="003B41D4">
        <w:t>14</w:t>
      </w:r>
      <w:r w:rsidR="00203F72" w:rsidRPr="003B41D4">
        <w:t>日以二次院會二讀修正完成就業服務法草案，並於同年</w:t>
      </w:r>
      <w:r w:rsidR="00203F72" w:rsidRPr="003B41D4">
        <w:t>4</w:t>
      </w:r>
      <w:r w:rsidR="00203F72" w:rsidRPr="003B41D4">
        <w:t>月</w:t>
      </w:r>
      <w:r w:rsidR="00203F72" w:rsidRPr="003B41D4">
        <w:t>14</w:t>
      </w:r>
      <w:r w:rsidR="00203F72" w:rsidRPr="003B41D4">
        <w:t>日完成三讀程序。</w:t>
      </w:r>
    </w:p>
    <w:p w14:paraId="6AF1D0BC" w14:textId="77777777" w:rsidR="00953151" w:rsidRPr="003B41D4" w:rsidRDefault="002143FF" w:rsidP="00D87D91">
      <w:r w:rsidRPr="003B41D4">
        <w:rPr>
          <w:rFonts w:hint="eastAsia"/>
        </w:rPr>
        <w:t xml:space="preserve">　　六、</w:t>
      </w:r>
      <w:r w:rsidR="00203F72" w:rsidRPr="003B41D4">
        <w:t>總統於民國</w:t>
      </w:r>
      <w:r w:rsidR="00203F72" w:rsidRPr="003B41D4">
        <w:t>81</w:t>
      </w:r>
      <w:r w:rsidR="00203F72" w:rsidRPr="003B41D4">
        <w:t>年</w:t>
      </w:r>
      <w:r w:rsidR="00203F72" w:rsidRPr="003B41D4">
        <w:t>5</w:t>
      </w:r>
      <w:r w:rsidR="00203F72" w:rsidRPr="003B41D4">
        <w:t>月</w:t>
      </w:r>
      <w:r w:rsidR="00203F72" w:rsidRPr="003B41D4">
        <w:t>8</w:t>
      </w:r>
      <w:r w:rsidR="00203F72" w:rsidRPr="003B41D4">
        <w:t>日以華總義字第</w:t>
      </w:r>
      <w:r w:rsidR="00203F72" w:rsidRPr="003B41D4">
        <w:t>2359</w:t>
      </w:r>
      <w:r w:rsidR="00203F72" w:rsidRPr="003B41D4">
        <w:t>號令公布施行，全文</w:t>
      </w:r>
      <w:r w:rsidR="00203F72" w:rsidRPr="003B41D4">
        <w:t>70</w:t>
      </w:r>
      <w:r w:rsidR="00203F72" w:rsidRPr="003B41D4">
        <w:t>條。</w:t>
      </w:r>
    </w:p>
    <w:p w14:paraId="59E1A99E" w14:textId="77777777" w:rsidR="00953151" w:rsidRPr="003B41D4" w:rsidRDefault="00203F72" w:rsidP="00D87D91">
      <w:r w:rsidRPr="003B41D4">
        <w:t>在行政院於民國</w:t>
      </w:r>
      <w:r w:rsidRPr="003B41D4">
        <w:t>81</w:t>
      </w:r>
      <w:r w:rsidRPr="003B41D4">
        <w:t>年</w:t>
      </w:r>
      <w:r w:rsidRPr="003B41D4">
        <w:t>2</w:t>
      </w:r>
      <w:r w:rsidRPr="003B41D4">
        <w:t>月</w:t>
      </w:r>
      <w:r w:rsidRPr="003B41D4">
        <w:t>27</w:t>
      </w:r>
      <w:r w:rsidRPr="003B41D4">
        <w:t>日送請立法院審議的</w:t>
      </w:r>
      <w:r w:rsidR="004D33F7" w:rsidRPr="003B41D4">
        <w:t>「</w:t>
      </w:r>
      <w:hyperlink r:id="rId1734" w:history="1">
        <w:r w:rsidR="004D33F7" w:rsidRPr="004D33F7">
          <w:rPr>
            <w:rStyle w:val="a5"/>
            <w:rFonts w:ascii="Times New Roman" w:eastAsia="新細明體" w:hAnsi="Times New Roman"/>
          </w:rPr>
          <w:t>就業服務法</w:t>
        </w:r>
      </w:hyperlink>
      <w:r w:rsidRPr="003B41D4">
        <w:t>草案修正草案」中，最受到立委們爭議的，主要是集中於兩個問題：第一個，是大陸勞工來台工作的問題；另一個，是行政院版的</w:t>
      </w:r>
      <w:r w:rsidR="004D33F7" w:rsidRPr="003B41D4">
        <w:t>「</w:t>
      </w:r>
      <w:hyperlink r:id="rId1735" w:history="1">
        <w:r w:rsidR="004D33F7" w:rsidRPr="004D33F7">
          <w:rPr>
            <w:rStyle w:val="a5"/>
            <w:rFonts w:ascii="Times New Roman" w:eastAsia="新細明體" w:hAnsi="Times New Roman"/>
          </w:rPr>
          <w:t>就業服務法</w:t>
        </w:r>
      </w:hyperlink>
      <w:r w:rsidRPr="003B41D4">
        <w:t>草案修正草案」第五十四條第一項增加了一款，即第五款，其規定：「受聘僱從事第四十三條第一項第七款或第八款之工作，經發現有妊娠者。」</w:t>
      </w:r>
      <w:r w:rsidRPr="003B41D4">
        <w:t></w:t>
      </w:r>
      <w:r w:rsidRPr="003B41D4">
        <w:t>以下，擬就此兩個較爭議性的主題進行分析。</w:t>
      </w:r>
    </w:p>
    <w:p w14:paraId="4134ECD6" w14:textId="77777777" w:rsidR="00203F72" w:rsidRPr="003B41D4" w:rsidRDefault="002143FF" w:rsidP="00D87D91">
      <w:r w:rsidRPr="003B41D4">
        <w:t xml:space="preserve">　　</w:t>
      </w:r>
      <w:r w:rsidR="00203F72" w:rsidRPr="003B41D4">
        <w:t>一、大陸勞工聘僱來臺之管理問題</w:t>
      </w:r>
    </w:p>
    <w:p w14:paraId="266EB0CD" w14:textId="77777777" w:rsidR="00953151" w:rsidRPr="003B41D4" w:rsidRDefault="002143FF" w:rsidP="00D87D91">
      <w:r w:rsidRPr="003B41D4">
        <w:t xml:space="preserve">　　</w:t>
      </w:r>
      <w:r w:rsidR="00203F72" w:rsidRPr="003B41D4">
        <w:t>在民國</w:t>
      </w:r>
      <w:r w:rsidR="00203F72" w:rsidRPr="003B41D4">
        <w:t>81</w:t>
      </w:r>
      <w:r w:rsidR="00203F72" w:rsidRPr="003B41D4">
        <w:t>年</w:t>
      </w:r>
      <w:r w:rsidR="00203F72" w:rsidRPr="003B41D4">
        <w:t>4</w:t>
      </w:r>
      <w:r w:rsidR="00203F72" w:rsidRPr="003B41D4">
        <w:t>月立法院二讀會中，林鈺祥委員認為：「行政院撤回本案的原因是，第</w:t>
      </w:r>
      <w:r w:rsidR="00203F72" w:rsidRPr="003B41D4">
        <w:t>67</w:t>
      </w:r>
      <w:r w:rsidR="00203F72" w:rsidRPr="003B41D4">
        <w:t>條第</w:t>
      </w:r>
      <w:r w:rsidR="00203F72" w:rsidRPr="003B41D4">
        <w:t>2</w:t>
      </w:r>
      <w:r w:rsidR="00203F72" w:rsidRPr="003B41D4">
        <w:t>項規定：『前項大陸人民準用之』，此種規定似將大陸人民</w:t>
      </w:r>
      <w:r w:rsidR="003E240E">
        <w:t>視</w:t>
      </w:r>
      <w:r w:rsidR="00203F72" w:rsidRPr="003B41D4">
        <w:t>為外國人，涉及兩國的問題，行政院乃將本案撤回。事實上，本席以為『準用』兩字是更確定大陸地區人民不是外國人，是中國人，只因特殊情形，所以才『準用之』。因此，這是國文的問題，當初行政院撤回本案之理由若果真為此，則行政院實應聘請中文顧問，解釋『準用』之真意為何﹖否則，實在太耽誤本法通過的時間了」</w:t>
      </w:r>
      <w:r w:rsidR="00203F72" w:rsidRPr="003B41D4">
        <w:footnoteReference w:id="500"/>
      </w:r>
      <w:r w:rsidR="00203F72" w:rsidRPr="003B41D4">
        <w:t>。</w:t>
      </w:r>
    </w:p>
    <w:p w14:paraId="7F8160E4" w14:textId="77777777" w:rsidR="00953151" w:rsidRPr="003B41D4" w:rsidRDefault="002143FF" w:rsidP="00D87D91">
      <w:r w:rsidRPr="003B41D4">
        <w:t xml:space="preserve">　　</w:t>
      </w:r>
      <w:r w:rsidR="00203F72" w:rsidRPr="003B41D4">
        <w:t>前總統陳水扁先生認為：「關於有關之第</w:t>
      </w:r>
      <w:r w:rsidR="00203F72" w:rsidRPr="003B41D4">
        <w:t>67</w:t>
      </w:r>
      <w:r w:rsidR="00203F72" w:rsidRPr="003B41D4">
        <w:t>條，本席仍認為應進行朝野協商，以獲得共識。雖然上次鬱委員慕明曾表示這在兩岸關係法中已有詳細規範，但本席認為其規範仍有所不足，而不足之處究應依照兩岸關係法或就業服務法﹖所以，如果同仁對第</w:t>
      </w:r>
      <w:r w:rsidR="00203F72" w:rsidRPr="003B41D4">
        <w:t>67</w:t>
      </w:r>
      <w:r w:rsidR="00203F72" w:rsidRPr="003B41D4">
        <w:t>條：『本法關於外國人之規定，於無國籍人、中國人取得外國國籍而持外國護照入境或持中華民國護照而未在國內設籍，受聘僱從事工作者，準用之。』之規定仍有疑慮的話，本席建議如果第</w:t>
      </w:r>
      <w:r w:rsidR="00203F72" w:rsidRPr="003B41D4">
        <w:t>67</w:t>
      </w:r>
      <w:r w:rsidR="00203F72" w:rsidRPr="003B41D4">
        <w:t>條依行政院草案通過，是否增列第</w:t>
      </w:r>
      <w:r w:rsidR="00203F72" w:rsidRPr="003B41D4">
        <w:t>68</w:t>
      </w:r>
      <w:r w:rsidR="00203F72" w:rsidRPr="003B41D4">
        <w:t>條：『大陸地區人民受聘僱於台灣地區從事工作，其聘僱及管理，除法律另有規定外，準用第五章之規定。』如此亦可避免因準用有關外國人部份之規定，而讓人產生將大陸地區人民</w:t>
      </w:r>
      <w:r w:rsidR="003E240E">
        <w:t>視</w:t>
      </w:r>
      <w:r w:rsidR="00203F72" w:rsidRPr="003B41D4">
        <w:t>為外國人之誤會。又增列之第</w:t>
      </w:r>
      <w:r w:rsidR="00203F72" w:rsidRPr="003B41D4">
        <w:t>68</w:t>
      </w:r>
      <w:r w:rsidR="00203F72" w:rsidRPr="003B41D4">
        <w:t>條除避免明文寫出準用外國人之規定外，如其他法律另有規定亦可依特別法優先之原則從其規定，再有不足，仍可準用本法第五章之規定」</w:t>
      </w:r>
      <w:r w:rsidR="00203F72" w:rsidRPr="003B41D4">
        <w:footnoteReference w:id="501"/>
      </w:r>
      <w:r w:rsidR="00203F72" w:rsidRPr="003B41D4">
        <w:t>。</w:t>
      </w:r>
    </w:p>
    <w:p w14:paraId="216F026A" w14:textId="77777777" w:rsidR="00953151" w:rsidRPr="003B41D4" w:rsidRDefault="002143FF" w:rsidP="00D87D91">
      <w:r w:rsidRPr="003B41D4">
        <w:t xml:space="preserve">　　</w:t>
      </w:r>
      <w:r w:rsidR="00203F72" w:rsidRPr="003B41D4">
        <w:t>大陸勞工的引進問題，既涉及國家的大陸政策，也與我國的外勞政策有關。因此，一方面要顧及大陸政策的需要，也必須符合勞工政策的需求。民國</w:t>
      </w:r>
      <w:r w:rsidR="00203F72" w:rsidRPr="003B41D4">
        <w:t>79</w:t>
      </w:r>
      <w:r w:rsidR="00203F72" w:rsidRPr="003B41D4">
        <w:t>年</w:t>
      </w:r>
      <w:r w:rsidR="00203F72" w:rsidRPr="003B41D4">
        <w:t>8</w:t>
      </w:r>
      <w:r w:rsidR="00203F72" w:rsidRPr="003B41D4">
        <w:t>月以來，聯合報、大陸工作會報及行政院勞委員所作的三次民意調查顯示，台灣地區民眾反對引進大陸勞工者皆在</w:t>
      </w:r>
      <w:r w:rsidR="00203F72" w:rsidRPr="003B41D4">
        <w:t>45</w:t>
      </w:r>
      <w:r w:rsidR="00203F72" w:rsidRPr="003B41D4">
        <w:t>％以上，反對者較贊成者比例持續高出</w:t>
      </w:r>
      <w:r w:rsidR="00203F72" w:rsidRPr="003B41D4">
        <w:t>7</w:t>
      </w:r>
      <w:r w:rsidR="00203F72" w:rsidRPr="003B41D4">
        <w:t>至</w:t>
      </w:r>
      <w:r w:rsidR="00203F72" w:rsidRPr="003B41D4">
        <w:t>11</w:t>
      </w:r>
      <w:r w:rsidR="00203F72" w:rsidRPr="003B41D4">
        <w:t>個百分點</w:t>
      </w:r>
      <w:r w:rsidR="00203F72" w:rsidRPr="003B41D4">
        <w:footnoteReference w:id="502"/>
      </w:r>
      <w:r w:rsidR="00203F72" w:rsidRPr="003B41D4">
        <w:t>。趙守博先生則認為引進大陸勞工須有四個前提、六個要件</w:t>
      </w:r>
      <w:r w:rsidR="00203F72" w:rsidRPr="003B41D4">
        <w:footnoteReference w:id="503"/>
      </w:r>
      <w:r w:rsidR="00203F72" w:rsidRPr="003B41D4">
        <w:t>。所謂四個前提，即開放引進大陸勞工必須在下列四個前提都存在情形下方可以考慮：</w:t>
      </w:r>
      <w:r w:rsidR="00203F72" w:rsidRPr="003B41D4">
        <w:t>1</w:t>
      </w:r>
      <w:r w:rsidR="00203F72" w:rsidRPr="003B41D4">
        <w:t>、有明確而具體的法律管理規範；</w:t>
      </w:r>
      <w:r w:rsidR="00203F72" w:rsidRPr="003B41D4">
        <w:t>2</w:t>
      </w:r>
      <w:r w:rsidR="00203F72" w:rsidRPr="003B41D4">
        <w:t>、台灣的政治社會安全不受影響；</w:t>
      </w:r>
      <w:r w:rsidR="00203F72" w:rsidRPr="003B41D4">
        <w:t>3</w:t>
      </w:r>
      <w:r w:rsidR="00203F72" w:rsidRPr="003B41D4">
        <w:t>、台灣海峽兩岸的關係有良性的發展；</w:t>
      </w:r>
      <w:r w:rsidR="00203F72" w:rsidRPr="003B41D4">
        <w:t>4</w:t>
      </w:r>
      <w:r w:rsidR="00203F72" w:rsidRPr="003B41D4">
        <w:t>、台灣地區的民眾可以接受</w:t>
      </w:r>
    </w:p>
    <w:p w14:paraId="3ABC7274" w14:textId="77777777" w:rsidR="00953151" w:rsidRPr="003B41D4" w:rsidRDefault="002143FF" w:rsidP="00D87D91">
      <w:r w:rsidRPr="003B41D4">
        <w:t xml:space="preserve">　　</w:t>
      </w:r>
      <w:r w:rsidR="00203F72" w:rsidRPr="003B41D4">
        <w:t>除了上述四個前提外，大陸同胞來台工作也應該符合以下六個要件</w:t>
      </w:r>
      <w:r w:rsidR="00203F72" w:rsidRPr="003B41D4">
        <w:footnoteReference w:id="504"/>
      </w:r>
      <w:r w:rsidR="00203F72" w:rsidRPr="003B41D4">
        <w:t>：</w:t>
      </w:r>
      <w:r w:rsidR="00203F72" w:rsidRPr="003B41D4">
        <w:t>1</w:t>
      </w:r>
      <w:r w:rsidR="00203F72" w:rsidRPr="003B41D4">
        <w:t>、不可影響台灣地區人民的工作權益；</w:t>
      </w:r>
      <w:r w:rsidR="00203F72" w:rsidRPr="003B41D4">
        <w:t>2</w:t>
      </w:r>
      <w:r w:rsidR="00203F72" w:rsidRPr="003B41D4">
        <w:t>、不可影響台灣地區的產業升級；</w:t>
      </w:r>
      <w:r w:rsidR="00203F72" w:rsidRPr="003B41D4">
        <w:t>3</w:t>
      </w:r>
      <w:r w:rsidR="00203F72" w:rsidRPr="003B41D4">
        <w:t>、大陸勞工不可做為外來勞工的唯一來源；</w:t>
      </w:r>
      <w:r w:rsidR="00203F72" w:rsidRPr="003B41D4">
        <w:t>4</w:t>
      </w:r>
      <w:r w:rsidR="00203F72" w:rsidRPr="003B41D4">
        <w:t>、引進大陸勞工應受外籍勞工的管理辦法的同等規範；</w:t>
      </w:r>
      <w:r w:rsidR="00203F72" w:rsidRPr="003B41D4">
        <w:t>5</w:t>
      </w:r>
      <w:r w:rsidR="00203F72" w:rsidRPr="003B41D4">
        <w:t>、不可造成變相的移民；</w:t>
      </w:r>
      <w:r w:rsidR="00203F72" w:rsidRPr="003B41D4">
        <w:t>6</w:t>
      </w:r>
      <w:r w:rsidR="00203F72" w:rsidRPr="003B41D4">
        <w:t>、對大陸勞工的引進應以漸進方式為主</w:t>
      </w:r>
      <w:r w:rsidR="00545D58" w:rsidRPr="003B41D4">
        <w:t>。</w:t>
      </w:r>
    </w:p>
    <w:p w14:paraId="6A7F8CBA" w14:textId="77777777" w:rsidR="00953151" w:rsidRPr="003B41D4" w:rsidRDefault="002143FF" w:rsidP="00D87D91">
      <w:r w:rsidRPr="003B41D4">
        <w:t xml:space="preserve">　　</w:t>
      </w:r>
      <w:r w:rsidR="00203F72" w:rsidRPr="003B41D4">
        <w:t>二、外籍女性勞工經發現有妊娠者，是否撤銷其聘僱許可﹖</w:t>
      </w:r>
    </w:p>
    <w:p w14:paraId="3A46AB70" w14:textId="77777777" w:rsidR="00953151" w:rsidRPr="003B41D4" w:rsidRDefault="002143FF" w:rsidP="00D87D91">
      <w:r w:rsidRPr="003B41D4">
        <w:t xml:space="preserve">　　</w:t>
      </w:r>
      <w:r w:rsidR="00203F72" w:rsidRPr="003B41D4">
        <w:t>在立法院二讀院會中，贊成與反對者針鋒相對。朱高正委員主張：「本席堅決主張第五款應予刪除，因為第五款係針對第</w:t>
      </w:r>
      <w:r w:rsidR="00203F72" w:rsidRPr="003B41D4">
        <w:t>43</w:t>
      </w:r>
      <w:r w:rsidR="00203F72" w:rsidRPr="003B41D4">
        <w:t>條第</w:t>
      </w:r>
      <w:r w:rsidR="00203F72" w:rsidRPr="003B41D4">
        <w:t>1</w:t>
      </w:r>
      <w:r w:rsidR="00203F72" w:rsidRPr="003B41D4">
        <w:t>項第</w:t>
      </w:r>
      <w:r w:rsidR="00203F72" w:rsidRPr="003B41D4">
        <w:t>7</w:t>
      </w:r>
      <w:r w:rsidR="00203F72" w:rsidRPr="003B41D4">
        <w:t>款或第</w:t>
      </w:r>
      <w:r w:rsidR="00203F72" w:rsidRPr="003B41D4">
        <w:t>8</w:t>
      </w:r>
      <w:r w:rsidR="00203F72" w:rsidRPr="003B41D4">
        <w:t>款之工作而設限，亦即家庭幫傭或為因應國家重要建設工程或經濟社會發展需要，經中央主管機關指定之工作。均屬勞力工作。依本席之見，外籍女性勞工既依法獲准在中華民國境內工作，我們即不能因其懷孕而強制遣送出境，這是非常不人道的作法。從另一角度來看，我們是否也應規定，外籍男性勞工在台停留期間不能與人發生性行為或使人懷孕，若台灣婦女因外籍男性勞工而受孕，則該男性勞工將遣送回國。請問各位，豈有此理﹖此款一旦制定，勢必貽笑大方，說明台灣為一野蠻的國家。其實，外籍女性勞工既然來台工作，多半不希望懷孕，但是一不小心，也有可能懷孕。而只要外籍勞工是經合法程序獲得許可來台工作，那麼在中華民國的領域內，就應受到同等的法律保障，不應多一分，也不應少一分。同時，外籍女傭在台工作期間懷孕，體力會減退；工作能力會降低，開銷會增加，這已夠令人頭痛了！我們郤還要取消其工作許可，甚至強制遣送回國，實在甚不合理。至於有人擔憂外國新娘的問題，其實只要兩情相悅，外籍女工大可歸化入中華民國國籍，我們若以明文設限未免太不合情理。</w:t>
      </w:r>
      <w:r w:rsidR="00203F72" w:rsidRPr="003B41D4">
        <w:t>……</w:t>
      </w:r>
      <w:r w:rsidR="00203F72" w:rsidRPr="003B41D4">
        <w:t>而且我們仔細研究第</w:t>
      </w:r>
      <w:r w:rsidR="00203F72" w:rsidRPr="003B41D4">
        <w:t>43</w:t>
      </w:r>
      <w:r w:rsidR="00203F72" w:rsidRPr="003B41D4">
        <w:t>條第</w:t>
      </w:r>
      <w:r w:rsidR="00203F72" w:rsidRPr="003B41D4">
        <w:t>7</w:t>
      </w:r>
      <w:r w:rsidR="00203F72" w:rsidRPr="003B41D4">
        <w:t>款、第</w:t>
      </w:r>
      <w:r w:rsidR="00203F72" w:rsidRPr="003B41D4">
        <w:t>8</w:t>
      </w:r>
      <w:r w:rsidR="00203F72" w:rsidRPr="003B41D4">
        <w:t>款，可以發現均屬勞力性質工作，在座同仁若自認支持中下階層的老百姓，這時正應站出來為他們說話。至於第</w:t>
      </w:r>
      <w:r w:rsidR="00203F72" w:rsidRPr="003B41D4">
        <w:t>43</w:t>
      </w:r>
      <w:r w:rsidR="00203F72" w:rsidRPr="003B41D4">
        <w:t>條其他各款，如從事專門性或技術性工作；華僑或外國人經政府核准投資或設立事業之主管；運動教練及運動員；宗教、藝術及演藝工作者等，均不在此限，簡直是職業歧</w:t>
      </w:r>
      <w:r w:rsidR="003E240E">
        <w:t>視</w:t>
      </w:r>
      <w:r w:rsidR="00203F72" w:rsidRPr="003B41D4">
        <w:t>，似乎為人幫傭就較為低下」</w:t>
      </w:r>
      <w:r w:rsidR="00203F72" w:rsidRPr="003B41D4">
        <w:footnoteReference w:id="505"/>
      </w:r>
      <w:r w:rsidR="00203F72" w:rsidRPr="003B41D4">
        <w:t>。朱高正委員以上之意見，較具有人道色彩。</w:t>
      </w:r>
    </w:p>
    <w:p w14:paraId="442BC8CB" w14:textId="77777777" w:rsidR="00953151" w:rsidRPr="003B41D4" w:rsidRDefault="002143FF" w:rsidP="00D87D91">
      <w:r w:rsidRPr="003B41D4">
        <w:t xml:space="preserve">　　</w:t>
      </w:r>
      <w:r w:rsidR="00203F72" w:rsidRPr="003B41D4">
        <w:t>李友吉立委主張：「惟若不遣送已懷孕的外籍女性勞工，難道要生下小孩在本地報戶口、取得戶籍﹖如果小孩子已取得戶籍，那麼他的父母要不要留下來﹖否則，難道只留下小孩，由社會來撫養他﹖凡此種種都是問題」</w:t>
      </w:r>
      <w:r w:rsidR="00203F72" w:rsidRPr="003B41D4">
        <w:footnoteReference w:id="506"/>
      </w:r>
      <w:r w:rsidR="00203F72" w:rsidRPr="003B41D4">
        <w:t>。</w:t>
      </w:r>
    </w:p>
    <w:p w14:paraId="5EC2FD2B" w14:textId="77777777" w:rsidR="00953151" w:rsidRPr="003B41D4" w:rsidRDefault="002143FF" w:rsidP="00D87D91">
      <w:r w:rsidRPr="003B41D4">
        <w:t xml:space="preserve">　　</w:t>
      </w:r>
      <w:r w:rsidR="00203F72" w:rsidRPr="003B41D4">
        <w:t>李慶雄委員主張：「</w:t>
      </w:r>
      <w:r w:rsidR="00203F72" w:rsidRPr="003B41D4">
        <w:t>……</w:t>
      </w:r>
      <w:r w:rsidR="00203F72" w:rsidRPr="003B41D4">
        <w:t>等孩子生下來，還是得遣送回去，得拆散家庭，一樣是不人道。</w:t>
      </w:r>
      <w:r w:rsidR="00203F72" w:rsidRPr="003B41D4">
        <w:t>……</w:t>
      </w:r>
      <w:r w:rsidR="00203F72" w:rsidRPr="003B41D4">
        <w:t>故本席認為與其該她生下孩子再遣送出境，不如在懷孕中即將她送出境，免得增加困擾」</w:t>
      </w:r>
      <w:r w:rsidR="00203F72" w:rsidRPr="003B41D4">
        <w:footnoteReference w:id="507"/>
      </w:r>
      <w:r w:rsidR="00203F72" w:rsidRPr="003B41D4">
        <w:t>。</w:t>
      </w:r>
    </w:p>
    <w:p w14:paraId="79774A43" w14:textId="77777777" w:rsidR="00953151" w:rsidRPr="003B41D4" w:rsidRDefault="002143FF" w:rsidP="00D87D91">
      <w:r w:rsidRPr="003B41D4">
        <w:t xml:space="preserve">　　</w:t>
      </w:r>
      <w:r w:rsidR="00203F72" w:rsidRPr="003B41D4">
        <w:t>朱高正委員亦主張：「</w:t>
      </w:r>
      <w:r w:rsidR="00203F72" w:rsidRPr="003B41D4">
        <w:t>……</w:t>
      </w:r>
      <w:r w:rsidR="00203F72" w:rsidRPr="003B41D4">
        <w:t>我們台灣因小國寡民心態作崇，只知貪他人便宜，卻不願讓別人佔我們的便宜，所以只知布望美國每年能給台灣二萬個移民配額，卻不肯提供更多機會給經濟發展程度較我國為低之國家的人民前來台灣學習。</w:t>
      </w:r>
      <w:r w:rsidR="00203F72" w:rsidRPr="003B41D4">
        <w:t>……</w:t>
      </w:r>
      <w:r w:rsidR="00203F72" w:rsidRPr="003B41D4">
        <w:t>」</w:t>
      </w:r>
      <w:r w:rsidR="00203F72" w:rsidRPr="003B41D4">
        <w:footnoteReference w:id="508"/>
      </w:r>
      <w:r w:rsidR="00203F72" w:rsidRPr="003B41D4">
        <w:t>。</w:t>
      </w:r>
    </w:p>
    <w:p w14:paraId="7068DEE7" w14:textId="77777777" w:rsidR="00953151" w:rsidRPr="003B41D4" w:rsidRDefault="002143FF" w:rsidP="00D87D91">
      <w:r w:rsidRPr="003B41D4">
        <w:t xml:space="preserve">　　</w:t>
      </w:r>
      <w:r w:rsidR="00203F72" w:rsidRPr="003B41D4">
        <w:t>經過一番熱烈辯論後，在</w:t>
      </w:r>
      <w:r w:rsidR="00203F72" w:rsidRPr="003B41D4">
        <w:t>43</w:t>
      </w:r>
      <w:r w:rsidR="00203F72" w:rsidRPr="003B41D4">
        <w:t>位立委中，贊成刪除第</w:t>
      </w:r>
      <w:r w:rsidR="00203F72" w:rsidRPr="003B41D4">
        <w:t>54</w:t>
      </w:r>
      <w:r w:rsidR="00203F72" w:rsidRPr="003B41D4">
        <w:t>條第</w:t>
      </w:r>
      <w:r w:rsidR="00203F72" w:rsidRPr="003B41D4">
        <w:t>1</w:t>
      </w:r>
      <w:r w:rsidR="00203F72" w:rsidRPr="003B41D4">
        <w:t>項第</w:t>
      </w:r>
      <w:r w:rsidR="00203F72" w:rsidRPr="003B41D4">
        <w:t>5</w:t>
      </w:r>
      <w:r w:rsidR="00203F72" w:rsidRPr="003B41D4">
        <w:t>款者，占</w:t>
      </w:r>
      <w:r w:rsidR="00203F72" w:rsidRPr="003B41D4">
        <w:t>24</w:t>
      </w:r>
      <w:r w:rsidR="00203F72" w:rsidRPr="003B41D4">
        <w:t>人，多數通過刪除</w:t>
      </w:r>
      <w:r w:rsidR="004D33F7" w:rsidRPr="003B41D4">
        <w:t>「</w:t>
      </w:r>
      <w:hyperlink r:id="rId1736" w:history="1">
        <w:r w:rsidR="004D33F7" w:rsidRPr="004D33F7">
          <w:rPr>
            <w:rStyle w:val="a5"/>
            <w:rFonts w:ascii="Times New Roman" w:eastAsia="新細明體" w:hAnsi="Times New Roman"/>
          </w:rPr>
          <w:t>就業服務法</w:t>
        </w:r>
      </w:hyperlink>
      <w:r w:rsidR="00203F72" w:rsidRPr="003B41D4">
        <w:t>草案修正草案」第</w:t>
      </w:r>
      <w:r w:rsidR="00203F72" w:rsidRPr="003B41D4">
        <w:t>54</w:t>
      </w:r>
      <w:r w:rsidR="00203F72" w:rsidRPr="003B41D4">
        <w:t>條第</w:t>
      </w:r>
      <w:r w:rsidR="00203F72" w:rsidRPr="003B41D4">
        <w:t>1</w:t>
      </w:r>
      <w:r w:rsidR="00203F72" w:rsidRPr="003B41D4">
        <w:t>項第</w:t>
      </w:r>
      <w:r w:rsidR="00203F72" w:rsidRPr="003B41D4">
        <w:t>5</w:t>
      </w:r>
      <w:r w:rsidR="00203F72" w:rsidRPr="003B41D4">
        <w:t>款</w:t>
      </w:r>
      <w:r w:rsidR="00203F72" w:rsidRPr="003B41D4">
        <w:footnoteReference w:id="509"/>
      </w:r>
      <w:r w:rsidR="00203F72" w:rsidRPr="003B41D4">
        <w:t>。</w:t>
      </w:r>
    </w:p>
    <w:p w14:paraId="023C39C9" w14:textId="77777777" w:rsidR="003B41D4" w:rsidRDefault="003B41D4" w:rsidP="00670577">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5B817CDB" w14:textId="77777777" w:rsidR="003B41D4" w:rsidRDefault="003B41D4" w:rsidP="00D87D91">
      <w:pPr>
        <w:pStyle w:val="afa"/>
      </w:pPr>
    </w:p>
    <w:p w14:paraId="119FB72E" w14:textId="77777777" w:rsidR="00953151" w:rsidRDefault="00203F72" w:rsidP="00767F37">
      <w:pPr>
        <w:pStyle w:val="2"/>
      </w:pPr>
      <w:bookmarkStart w:id="80" w:name="_肆、我國與其他國家有關於外國人工作權保障之差異比較"/>
      <w:bookmarkEnd w:id="80"/>
      <w:r w:rsidRPr="00A53581">
        <w:t>肆、我國與其他國家有關於外國人工作權保障之差異比較</w:t>
      </w:r>
    </w:p>
    <w:p w14:paraId="37430D1E" w14:textId="77777777" w:rsidR="00953151" w:rsidRPr="002F3FE8" w:rsidRDefault="002143FF" w:rsidP="00D87D91">
      <w:r w:rsidRPr="002F3FE8">
        <w:t xml:space="preserve">　　</w:t>
      </w:r>
      <w:r w:rsidR="00203F72" w:rsidRPr="002F3FE8">
        <w:t>一、各國外籍勞工管理法令依據之比較</w:t>
      </w:r>
    </w:p>
    <w:p w14:paraId="225B1496" w14:textId="77777777" w:rsidR="00203F72" w:rsidRPr="002F3FE8" w:rsidRDefault="002143FF" w:rsidP="00D87D91">
      <w:r w:rsidRPr="002F3FE8">
        <w:t xml:space="preserve">　　</w:t>
      </w:r>
      <w:r w:rsidR="00203F72" w:rsidRPr="002F3FE8">
        <w:t>我國之「</w:t>
      </w:r>
      <w:hyperlink r:id="rId1737" w:history="1">
        <w:r w:rsidR="00203F72" w:rsidRPr="002F3FE8">
          <w:rPr>
            <w:rStyle w:val="a5"/>
            <w:rFonts w:ascii="Times New Roman" w:eastAsia="新細明體" w:hAnsi="Times New Roman"/>
          </w:rPr>
          <w:t>就業服務法</w:t>
        </w:r>
      </w:hyperlink>
      <w:r w:rsidR="00203F72" w:rsidRPr="002F3FE8">
        <w:t>」出爐的時間，較其他國家為晚；這有一種好處，可吸收他國外勞管理的相關經驗，經由立法程序，完成外勞管理的法制化。綜合比較後可知，在加拿大安大略省之中，專門用於保障外籍家事勞工之權利，分別為：</w:t>
      </w:r>
      <w:r w:rsidR="00203F72" w:rsidRPr="002F3FE8">
        <w:t>2000</w:t>
      </w:r>
      <w:r w:rsidR="00203F72" w:rsidRPr="002F3FE8">
        <w:t>年「就業標準法」</w:t>
      </w:r>
      <w:r w:rsidR="00203F72" w:rsidRPr="002F3FE8">
        <w:t>(Employment Standards Act</w:t>
      </w:r>
      <w:r w:rsidR="00203F72" w:rsidRPr="002F3FE8">
        <w:t>，簡稱為</w:t>
      </w:r>
      <w:r w:rsidR="00203F72" w:rsidRPr="002F3FE8">
        <w:t>ESA)</w:t>
      </w:r>
      <w:r w:rsidR="00203F72" w:rsidRPr="002F3FE8">
        <w:t>與</w:t>
      </w:r>
      <w:r w:rsidR="00203F72" w:rsidRPr="002F3FE8">
        <w:t>2009</w:t>
      </w:r>
      <w:r w:rsidR="00203F72" w:rsidRPr="002F3FE8">
        <w:t>年「外國人就業保護法」</w:t>
      </w:r>
      <w:r w:rsidR="00203F72" w:rsidRPr="002F3FE8">
        <w:t>(</w:t>
      </w:r>
      <w:r w:rsidR="00203F72" w:rsidRPr="002F3FE8">
        <w:t>外籍家事勞工及其他</w:t>
      </w:r>
      <w:r w:rsidR="00203F72" w:rsidRPr="002F3FE8">
        <w:t>)(Employment Protection for Foreign Nationals Act (Live-in Caregivers and Others</w:t>
      </w:r>
      <w:r w:rsidR="00203F72" w:rsidRPr="002F3FE8">
        <w:t>，簡稱為</w:t>
      </w:r>
      <w:r w:rsidR="00203F72" w:rsidRPr="002F3FE8">
        <w:t>EPFNA)</w:t>
      </w:r>
      <w:r w:rsidR="00203F72" w:rsidRPr="002F3FE8">
        <w:t>；瑞士有「工作許可法」、「瑞士工作許可規則」；法國有「法國工作法」</w:t>
      </w:r>
      <w:r w:rsidR="00203F72" w:rsidRPr="002F3FE8">
        <w:footnoteReference w:id="510"/>
      </w:r>
      <w:r w:rsidR="00203F72" w:rsidRPr="002F3FE8">
        <w:t>；奧地利有「奧地利外籍人士雇用法」</w:t>
      </w:r>
      <w:r w:rsidR="00203F72" w:rsidRPr="002F3FE8">
        <w:footnoteReference w:id="511"/>
      </w:r>
      <w:r w:rsidR="00203F72" w:rsidRPr="002F3FE8">
        <w:t>；德國有「德國就業促進法」、「外</w:t>
      </w:r>
      <w:r w:rsidR="00203F72" w:rsidRPr="00A53581">
        <w:t>國人離德促進</w:t>
      </w:r>
      <w:r w:rsidR="00203F72" w:rsidRPr="002F3FE8">
        <w:t>法」、「歸外國人住宅取得援助法」、「工作介紹法」、「撫卹法」、「外國人法」、「工作許可準則」；美國有「移民法」；新加坡有「外國工人雇用法」、「外國工人雇用令」；日本有「出入國管理及難民認定法」；歐陸的國家，除自己國內的外勞管理法令外，尚須遵守</w:t>
      </w:r>
      <w:r w:rsidR="00203F72" w:rsidRPr="002F3FE8">
        <w:t>1977</w:t>
      </w:r>
      <w:r w:rsidR="00203F72" w:rsidRPr="002F3FE8">
        <w:t>年</w:t>
      </w:r>
      <w:r w:rsidR="00203F72" w:rsidRPr="002F3FE8">
        <w:t>11</w:t>
      </w:r>
      <w:r w:rsidR="00203F72" w:rsidRPr="002F3FE8">
        <w:t>月</w:t>
      </w:r>
      <w:r w:rsidR="00203F72" w:rsidRPr="002F3FE8">
        <w:t>24</w:t>
      </w:r>
      <w:r w:rsidR="00203F72" w:rsidRPr="002F3FE8">
        <w:t>日之「歐洲協定」</w:t>
      </w:r>
      <w:r w:rsidR="00203F72" w:rsidRPr="002F3FE8">
        <w:footnoteReference w:id="512"/>
      </w:r>
      <w:r w:rsidR="00203F72" w:rsidRPr="002F3FE8">
        <w:t>。</w:t>
      </w:r>
    </w:p>
    <w:p w14:paraId="1B318C6C" w14:textId="77777777" w:rsidR="00953151" w:rsidRPr="002F3FE8" w:rsidRDefault="00203F72" w:rsidP="00D87D91">
      <w:r w:rsidRPr="002F3FE8">
        <w:t>由於我國的</w:t>
      </w:r>
      <w:r w:rsidR="004D33F7" w:rsidRPr="003B41D4">
        <w:t>「</w:t>
      </w:r>
      <w:hyperlink r:id="rId1738" w:history="1">
        <w:r w:rsidR="004D33F7" w:rsidRPr="004D33F7">
          <w:rPr>
            <w:rStyle w:val="a5"/>
            <w:rFonts w:ascii="Times New Roman" w:eastAsia="新細明體" w:hAnsi="Times New Roman"/>
          </w:rPr>
          <w:t>就業服務法</w:t>
        </w:r>
      </w:hyperlink>
      <w:r w:rsidRPr="002F3FE8">
        <w:t>」立法的時間，較瑞士、法國、奧地利、德國、美國、新加坡、日本等國較晚（就外籍勞工管理法令而言），故其可吸收外國的經驗，設計出符合我國國情的外勞管理制度。</w:t>
      </w:r>
    </w:p>
    <w:p w14:paraId="56E4BB1D" w14:textId="77777777" w:rsidR="00953151" w:rsidRPr="002F3FE8" w:rsidRDefault="002143FF" w:rsidP="00D87D91">
      <w:r w:rsidRPr="002F3FE8">
        <w:t xml:space="preserve">　　</w:t>
      </w:r>
      <w:r w:rsidR="00203F72" w:rsidRPr="002F3FE8">
        <w:t>二、各國外籍勞工管理主管機關之比較</w:t>
      </w:r>
    </w:p>
    <w:p w14:paraId="1FEB2400" w14:textId="77777777" w:rsidR="00953151" w:rsidRPr="002F3FE8" w:rsidRDefault="002143FF" w:rsidP="00D87D91">
      <w:r w:rsidRPr="002F3FE8">
        <w:t xml:space="preserve">　　</w:t>
      </w:r>
      <w:r w:rsidR="00203F72" w:rsidRPr="002F3FE8">
        <w:t>大部份的國家，其外勞主管機關為政府勞工部門；較特殊的國家是瑞士，因其外勞政策，首重社會治安，故在「工作許可」的核准方面，由各州外事警察負責發照；外國人申請「永久居留」的申請案，准證單位是由「聯邦外事警察」負責</w:t>
      </w:r>
      <w:r w:rsidR="00203F72" w:rsidRPr="002F3FE8">
        <w:footnoteReference w:id="513"/>
      </w:r>
      <w:r w:rsidR="00203F72" w:rsidRPr="002F3FE8">
        <w:t>；其他國家的外勞管理，則由勞工部門掌理。另一較特殊的國家是新加坡，其外勞主管機關「勞工部」及「內政部移民局」的官員在查緝非法外勞及執行相關檢查時，具有搜索及逮捕等司法警察權</w:t>
      </w:r>
      <w:r w:rsidR="00203F72" w:rsidRPr="002F3FE8">
        <w:footnoteReference w:id="514"/>
      </w:r>
      <w:r w:rsidR="00203F72" w:rsidRPr="002F3FE8">
        <w:t>。成之約教授亦曾在其「十四項重要工程得標業者聘僱海外補充勞工措施之追蹤調查評估」中，建議專責管理外勞的機構必須具有執行法律的能力，具有準司法權</w:t>
      </w:r>
      <w:r w:rsidR="00203F72" w:rsidRPr="002F3FE8">
        <w:footnoteReference w:id="515"/>
      </w:r>
      <w:r w:rsidR="00203F72" w:rsidRPr="002F3FE8">
        <w:t>；不過，在國內其可行性如何﹖可能須進一步評估；</w:t>
      </w:r>
    </w:p>
    <w:p w14:paraId="1AD0CD06" w14:textId="77777777" w:rsidR="00953151" w:rsidRPr="002F3FE8" w:rsidRDefault="002143FF" w:rsidP="00D87D91">
      <w:r w:rsidRPr="002F3FE8">
        <w:t xml:space="preserve">　　</w:t>
      </w:r>
      <w:r w:rsidR="00203F72" w:rsidRPr="002F3FE8">
        <w:t>另外，日本因其對外國人的居留及其可從事的活動，均由「出入國管理及難民認定法」統籌規範，故法務省之「入國管理局」扮演著重要的角色；在我國，則由行政院勞工委員會負責外勞之聘僱與管理工作。然勞委會人力並不充足，工作負荷頗重；如該會「職業訓練局」</w:t>
      </w:r>
      <w:r w:rsidR="00203F72" w:rsidRPr="002F3FE8">
        <w:footnoteReference w:id="516"/>
      </w:r>
      <w:r w:rsidR="00203F72" w:rsidRPr="002F3FE8">
        <w:t>負責外勞工作的「就業輔導組」，其正式編制僅</w:t>
      </w:r>
      <w:r w:rsidR="003E43C4">
        <w:rPr>
          <w:rFonts w:hint="eastAsia"/>
        </w:rPr>
        <w:t>8</w:t>
      </w:r>
      <w:r w:rsidR="00203F72" w:rsidRPr="002F3FE8">
        <w:t>人而已。勞委會似應以電腦連線方式，將外勞管理工作分配由各地縣、市政府勞工單位負責，並授權給地方政府，此似為可行之道</w:t>
      </w:r>
      <w:r w:rsidR="00203F72" w:rsidRPr="002F3FE8">
        <w:footnoteReference w:id="517"/>
      </w:r>
      <w:r w:rsidR="00203F72" w:rsidRPr="002F3FE8">
        <w:t>。</w:t>
      </w:r>
    </w:p>
    <w:p w14:paraId="57561B6C" w14:textId="77777777" w:rsidR="00953151" w:rsidRPr="002F3FE8" w:rsidRDefault="002143FF" w:rsidP="00D87D91">
      <w:r w:rsidRPr="002F3FE8">
        <w:t xml:space="preserve">　　</w:t>
      </w:r>
      <w:r w:rsidR="00203F72" w:rsidRPr="002F3FE8">
        <w:t>三、各國外籍勞工「工作許可」種類之比較</w:t>
      </w:r>
    </w:p>
    <w:p w14:paraId="1D66D993" w14:textId="77777777" w:rsidR="00953151" w:rsidRPr="002F3FE8" w:rsidRDefault="002143FF" w:rsidP="00D87D91">
      <w:r w:rsidRPr="002F3FE8">
        <w:t xml:space="preserve">　　</w:t>
      </w:r>
      <w:r w:rsidR="00203F72" w:rsidRPr="002F3FE8">
        <w:t>各國對外勞均藉由核發「工作許可」管理外籍勞動力之引進；法國較特殊的是將「工作證」與「居留證」合併為一證</w:t>
      </w:r>
      <w:r w:rsidR="00203F72" w:rsidRPr="002F3FE8">
        <w:footnoteReference w:id="518"/>
      </w:r>
      <w:r w:rsidR="00203F72" w:rsidRPr="002F3FE8">
        <w:t>。新加坡對「工作許可」的管制，相當完備，其將外勞之工作許可分為「工作準證」與「就業准證」，區隔外勞的管理。在我國，於推動外籍勞工「工作許可」制度之初，係根據「外國人聘僱許可及管理辦法」</w:t>
      </w:r>
      <w:r w:rsidR="00203F72" w:rsidRPr="002F3FE8">
        <w:t>(</w:t>
      </w:r>
      <w:r w:rsidR="00203F72" w:rsidRPr="002F3FE8">
        <w:t>現已改為雇主聘僱外國人許可及管理辦法</w:t>
      </w:r>
      <w:r w:rsidR="00203F72" w:rsidRPr="002F3FE8">
        <w:t>)</w:t>
      </w:r>
      <w:r w:rsidR="00203F72" w:rsidRPr="002F3FE8">
        <w:footnoteReference w:id="519"/>
      </w:r>
      <w:r w:rsidR="003E43C4" w:rsidRPr="00A53581">
        <w:rPr>
          <w:rFonts w:ascii="新細明體" w:hAnsi="新細明體"/>
        </w:rPr>
        <w:t>第</w:t>
      </w:r>
      <w:hyperlink r:id="rId1739" w:anchor="a19" w:history="1">
        <w:r w:rsidR="003E43C4" w:rsidRPr="00DF3454">
          <w:rPr>
            <w:rStyle w:val="a5"/>
          </w:rPr>
          <w:t>十九</w:t>
        </w:r>
      </w:hyperlink>
      <w:r w:rsidR="003E43C4" w:rsidRPr="00A53581">
        <w:rPr>
          <w:rFonts w:ascii="新細明體" w:hAnsi="新細明體"/>
        </w:rPr>
        <w:t>條</w:t>
      </w:r>
      <w:r w:rsidR="00203F72" w:rsidRPr="002F3FE8">
        <w:t>規定，雇主應檢具相關檔，自中央主管機關申請核發該受聘僱外國人之工作許可證；然事實上，勞委會雖有設計工作許可證之樣式，但僅核發數千數而已</w:t>
      </w:r>
      <w:r w:rsidR="00203F72" w:rsidRPr="002F3FE8">
        <w:footnoteReference w:id="520"/>
      </w:r>
      <w:r w:rsidR="00203F72" w:rsidRPr="002F3FE8">
        <w:t>。勞委會宣佈取消工作證之核發，而改發「工作許可函」</w:t>
      </w:r>
      <w:r w:rsidR="00203F72" w:rsidRPr="002F3FE8">
        <w:footnoteReference w:id="521"/>
      </w:r>
      <w:r w:rsidR="00203F72" w:rsidRPr="002F3FE8">
        <w:t>。之後，勞委會針對上述情形有進行若干之改善，依據現行就業服務法</w:t>
      </w:r>
      <w:hyperlink r:id="rId1740" w:anchor="a48" w:history="1">
        <w:r w:rsidR="003E43C4" w:rsidRPr="003E43C4">
          <w:rPr>
            <w:rStyle w:val="a5"/>
          </w:rPr>
          <w:t>第48條</w:t>
        </w:r>
      </w:hyperlink>
      <w:r w:rsidR="00203F72" w:rsidRPr="002F3FE8">
        <w:footnoteReference w:id="522"/>
      </w:r>
      <w:r w:rsidR="00203F72" w:rsidRPr="002F3FE8">
        <w:t>之規定，雇主聘僱外國人工作，必須向主管機關申請許可，並由勞委會核發工作證。故依目前之法制，外國人在台工作，須持有勞委會核發之工作證始可。</w:t>
      </w:r>
    </w:p>
    <w:p w14:paraId="0DB59FFE" w14:textId="77777777" w:rsidR="00953151" w:rsidRPr="002F3FE8" w:rsidRDefault="002143FF" w:rsidP="00D87D91">
      <w:r w:rsidRPr="002F3FE8">
        <w:t xml:space="preserve">　　</w:t>
      </w:r>
      <w:r w:rsidR="00203F72" w:rsidRPr="002F3FE8">
        <w:t>可知，我國在制度的設計上，亦仿照外國之立法例，係運用工作許可證之機制進行管控外國人之工作權，並搭配由入出國及移民署核發外僑居留證</w:t>
      </w:r>
      <w:r w:rsidR="00203F72" w:rsidRPr="002F3FE8">
        <w:footnoteReference w:id="523"/>
      </w:r>
      <w:r w:rsidR="00203F72" w:rsidRPr="002F3FE8">
        <w:t>。於民國</w:t>
      </w:r>
      <w:r w:rsidR="00203F72" w:rsidRPr="002F3FE8">
        <w:t>89</w:t>
      </w:r>
      <w:r w:rsidR="00203F72" w:rsidRPr="002F3FE8">
        <w:t>年之前，就當時「就業服務法」中之</w:t>
      </w:r>
      <w:hyperlink r:id="rId1741" w:anchor="a43"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43</w:t>
        </w:r>
        <w:r w:rsidR="00203F72" w:rsidRPr="002F3FE8">
          <w:rPr>
            <w:rStyle w:val="a5"/>
            <w:rFonts w:ascii="Times New Roman" w:eastAsia="新細明體" w:hAnsi="Times New Roman"/>
          </w:rPr>
          <w:t>條</w:t>
        </w:r>
      </w:hyperlink>
      <w:r w:rsidR="00203F72" w:rsidRPr="002F3FE8">
        <w:t>(</w:t>
      </w:r>
      <w:r w:rsidR="00203F72" w:rsidRPr="002F3FE8">
        <w:t>雇主聘僱外國人在中華民國境內從事之工作種類、資格及審查</w:t>
      </w:r>
      <w:r w:rsidR="00203F72" w:rsidRPr="002F3FE8">
        <w:t>)</w:t>
      </w:r>
      <w:r w:rsidR="00203F72" w:rsidRPr="002F3FE8">
        <w:footnoteReference w:id="524"/>
      </w:r>
      <w:r w:rsidR="00203F72" w:rsidRPr="002F3FE8">
        <w:t>、</w:t>
      </w:r>
      <w:hyperlink r:id="rId1742" w:anchor="a44"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44</w:t>
        </w:r>
        <w:r w:rsidR="00203F72" w:rsidRPr="002F3FE8">
          <w:rPr>
            <w:rStyle w:val="a5"/>
            <w:rFonts w:ascii="Times New Roman" w:eastAsia="新細明體" w:hAnsi="Times New Roman"/>
          </w:rPr>
          <w:t>條</w:t>
        </w:r>
      </w:hyperlink>
      <w:r w:rsidR="00203F72" w:rsidRPr="002F3FE8">
        <w:t>（向各目的事業主管機關申請工作許可）</w:t>
      </w:r>
      <w:r w:rsidR="00203F72" w:rsidRPr="002F3FE8">
        <w:footnoteReference w:id="525"/>
      </w:r>
      <w:r w:rsidR="00203F72" w:rsidRPr="002F3FE8">
        <w:t>、</w:t>
      </w:r>
      <w:hyperlink r:id="rId1743" w:anchor="a45"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45</w:t>
        </w:r>
        <w:r w:rsidR="00203F72" w:rsidRPr="002F3FE8">
          <w:rPr>
            <w:rStyle w:val="a5"/>
            <w:rFonts w:ascii="Times New Roman" w:eastAsia="新細明體" w:hAnsi="Times New Roman"/>
          </w:rPr>
          <w:t>條</w:t>
        </w:r>
      </w:hyperlink>
      <w:r w:rsidR="00203F72" w:rsidRPr="002F3FE8">
        <w:t>（向中央主管機關申請工作許可）</w:t>
      </w:r>
      <w:r w:rsidR="00203F72" w:rsidRPr="002F3FE8">
        <w:footnoteReference w:id="526"/>
      </w:r>
      <w:r w:rsidR="00203F72" w:rsidRPr="002F3FE8">
        <w:t>、</w:t>
      </w:r>
      <w:hyperlink r:id="rId1744" w:anchor="a46"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46</w:t>
        </w:r>
        <w:r w:rsidR="00203F72" w:rsidRPr="002F3FE8">
          <w:rPr>
            <w:rStyle w:val="a5"/>
            <w:rFonts w:ascii="Times New Roman" w:eastAsia="新細明體" w:hAnsi="Times New Roman"/>
          </w:rPr>
          <w:t>條</w:t>
        </w:r>
      </w:hyperlink>
      <w:r w:rsidR="00203F72" w:rsidRPr="002F3FE8">
        <w:t>（向外交部申請工作許可）</w:t>
      </w:r>
      <w:r w:rsidR="00203F72" w:rsidRPr="002F3FE8">
        <w:footnoteReference w:id="527"/>
      </w:r>
      <w:r w:rsidR="00203F72" w:rsidRPr="002F3FE8">
        <w:t>、</w:t>
      </w:r>
      <w:hyperlink r:id="rId1745" w:anchor="a47"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47</w:t>
        </w:r>
        <w:r w:rsidR="00203F72" w:rsidRPr="002F3FE8">
          <w:rPr>
            <w:rStyle w:val="a5"/>
            <w:rFonts w:ascii="Times New Roman" w:eastAsia="新細明體" w:hAnsi="Times New Roman"/>
          </w:rPr>
          <w:t>條</w:t>
        </w:r>
      </w:hyperlink>
      <w:r w:rsidR="00203F72" w:rsidRPr="002F3FE8">
        <w:t>（向教育部申請工作許可）</w:t>
      </w:r>
      <w:r w:rsidR="00203F72" w:rsidRPr="002F3FE8">
        <w:footnoteReference w:id="528"/>
      </w:r>
      <w:r w:rsidR="00203F72" w:rsidRPr="002F3FE8">
        <w:t>等條文加以觀察，外國人如欲來台工作，係分散由不同部會加以管理，對於外國人來台工作之申請作業，恐不便於雇主之申請。</w:t>
      </w:r>
    </w:p>
    <w:p w14:paraId="0BC7809C" w14:textId="77777777" w:rsidR="00953151" w:rsidRPr="002F3FE8" w:rsidRDefault="002143FF" w:rsidP="00D87D91">
      <w:r w:rsidRPr="002F3FE8">
        <w:t xml:space="preserve">　　</w:t>
      </w:r>
      <w:r w:rsidR="00203F72" w:rsidRPr="002F3FE8">
        <w:t>當時，我國對外國人工作聘僱與管理，似不甚完備，係分由各個目的事業主管機關掌理，各司其職，並各訂有相關之聘僱管理辦法，呈現多頭馬車之現象。自</w:t>
      </w:r>
      <w:r w:rsidR="00203F72" w:rsidRPr="002F3FE8">
        <w:t>93</w:t>
      </w:r>
      <w:r w:rsidR="00203F72" w:rsidRPr="002F3FE8">
        <w:t>年</w:t>
      </w:r>
      <w:r w:rsidR="00203F72" w:rsidRPr="002F3FE8">
        <w:t>1</w:t>
      </w:r>
      <w:r w:rsidR="00203F72" w:rsidRPr="002F3FE8">
        <w:t>月起，為方便外國人來台工作之申請作業，全部改由勞委會</w:t>
      </w:r>
      <w:r w:rsidR="00203F72" w:rsidRPr="002F3FE8">
        <w:rPr>
          <w:rFonts w:hint="eastAsia"/>
        </w:rPr>
        <w:t>(</w:t>
      </w:r>
      <w:r w:rsidR="00203F72" w:rsidRPr="002F3FE8">
        <w:rPr>
          <w:rFonts w:hint="eastAsia"/>
        </w:rPr>
        <w:t>現已改為勞動部</w:t>
      </w:r>
      <w:r w:rsidR="00203F72" w:rsidRPr="002F3FE8">
        <w:rPr>
          <w:rFonts w:hint="eastAsia"/>
        </w:rPr>
        <w:t>)</w:t>
      </w:r>
      <w:r w:rsidR="00203F72" w:rsidRPr="002F3FE8">
        <w:t>單一</w:t>
      </w:r>
      <w:r w:rsidR="003E240E">
        <w:t>視</w:t>
      </w:r>
      <w:r w:rsidR="00203F72" w:rsidRPr="002F3FE8">
        <w:t>窗受理申請</w:t>
      </w:r>
      <w:r w:rsidR="00203F72" w:rsidRPr="002F3FE8">
        <w:footnoteReference w:id="529"/>
      </w:r>
      <w:r w:rsidR="00203F72" w:rsidRPr="002F3FE8">
        <w:t>。</w:t>
      </w:r>
    </w:p>
    <w:p w14:paraId="7F9D9006" w14:textId="77777777" w:rsidR="00953151" w:rsidRPr="002F3FE8" w:rsidRDefault="002F3FE8" w:rsidP="00D87D91">
      <w:r w:rsidRPr="002F3FE8">
        <w:rPr>
          <w:rFonts w:hint="eastAsia"/>
        </w:rPr>
        <w:t xml:space="preserve">　　</w:t>
      </w:r>
      <w:r w:rsidR="00203F72" w:rsidRPr="002F3FE8">
        <w:t>四、各國外籍勞工「工作許可期限」之比較</w:t>
      </w:r>
    </w:p>
    <w:p w14:paraId="5AAB2E97" w14:textId="77777777" w:rsidR="00953151" w:rsidRPr="002F3FE8" w:rsidRDefault="002F3FE8" w:rsidP="00D87D91">
      <w:r w:rsidRPr="002F3FE8">
        <w:rPr>
          <w:rFonts w:hint="eastAsia"/>
        </w:rPr>
        <w:t xml:space="preserve">　　</w:t>
      </w:r>
      <w:r w:rsidR="00203F72" w:rsidRPr="002F3FE8">
        <w:t>瑞士、德國、新加坡在制度的考量上，有「永久居留」的設計；法國的「常駐居留證」效期為</w:t>
      </w:r>
      <w:r w:rsidR="00203F72" w:rsidRPr="002F3FE8">
        <w:t>10</w:t>
      </w:r>
      <w:r w:rsidR="00203F72" w:rsidRPr="002F3FE8">
        <w:t>年</w:t>
      </w:r>
      <w:r w:rsidR="00203F72" w:rsidRPr="002F3FE8">
        <w:footnoteReference w:id="530"/>
      </w:r>
      <w:r w:rsidR="00203F72" w:rsidRPr="002F3FE8">
        <w:t>；奧地利的「豁免許可」效期為</w:t>
      </w:r>
      <w:r w:rsidRPr="002F3FE8">
        <w:rPr>
          <w:rFonts w:hint="eastAsia"/>
        </w:rPr>
        <w:t>5</w:t>
      </w:r>
      <w:r w:rsidR="00203F72" w:rsidRPr="002F3FE8">
        <w:t>年；而美國應聘移民類的工作許可證，則無期限的限制；日本允許外國人最長的居留期限為</w:t>
      </w:r>
      <w:r w:rsidR="007D50BB" w:rsidRPr="002F3FE8">
        <w:t>3</w:t>
      </w:r>
      <w:r w:rsidR="00203F72" w:rsidRPr="002F3FE8">
        <w:t>年。</w:t>
      </w:r>
    </w:p>
    <w:p w14:paraId="74272CCC" w14:textId="77777777" w:rsidR="00953151" w:rsidRPr="002F3FE8" w:rsidRDefault="002143FF" w:rsidP="00D87D91">
      <w:r w:rsidRPr="002F3FE8">
        <w:t xml:space="preserve">　　</w:t>
      </w:r>
      <w:r w:rsidR="00203F72" w:rsidRPr="002F3FE8">
        <w:t>綜觀各國核發永居留權給外勞，均有一個大前提，即是核發給擁有專門技術或技能的外國勞動者；德國則基於整合外勞及人道精神，考量的角度稍有不同，餘如瑞士、美國或新加坡等國，均將「永久居留權」核發給擁有專門知識、技術或技能的外國勞動者。</w:t>
      </w:r>
    </w:p>
    <w:p w14:paraId="1DEE7510" w14:textId="77777777" w:rsidR="00953151" w:rsidRPr="002F3FE8" w:rsidRDefault="002143FF" w:rsidP="00D87D91">
      <w:r w:rsidRPr="002F3FE8">
        <w:t xml:space="preserve">　　</w:t>
      </w:r>
      <w:r w:rsidR="00203F72" w:rsidRPr="002F3FE8">
        <w:t>我國在外勞「工作許可期限」的設計上，根據現行「就業服務法」</w:t>
      </w:r>
      <w:hyperlink r:id="rId1746" w:anchor="a52" w:history="1">
        <w:r w:rsidR="00203F72" w:rsidRPr="002F3FE8">
          <w:rPr>
            <w:rStyle w:val="a5"/>
          </w:rPr>
          <w:t>第52條</w:t>
        </w:r>
      </w:hyperlink>
      <w:r w:rsidR="00203F72" w:rsidRPr="002F3FE8">
        <w:footnoteReference w:id="531"/>
      </w:r>
      <w:r w:rsidR="00203F72" w:rsidRPr="002F3FE8">
        <w:t>之規定，聘僱外國人工作許可之期間，最長為</w:t>
      </w:r>
      <w:r w:rsidR="00203F72" w:rsidRPr="002F3FE8">
        <w:t>3</w:t>
      </w:r>
      <w:r w:rsidR="00203F72" w:rsidRPr="002F3FE8">
        <w:t>年，期滿後如有繼續聘僱必要者，雇主得申請展延。外勞在中華民國境內工作期間，累計不得逾十二年。我國對外勞工作許可期限的規定，類似鄰近的日本；臺灣地小人稠，人口密度又高，此種期限規定，是否屬於合情合理，學者專家存有不同之看法。</w:t>
      </w:r>
    </w:p>
    <w:p w14:paraId="600DB077" w14:textId="77777777" w:rsidR="00953151" w:rsidRPr="002F3FE8" w:rsidRDefault="002143FF" w:rsidP="00D87D91">
      <w:r w:rsidRPr="002F3FE8">
        <w:t xml:space="preserve">　　</w:t>
      </w:r>
      <w:r w:rsidR="00203F72" w:rsidRPr="002F3FE8">
        <w:t>不適切之「工作許可期限」機制，易產生</w:t>
      </w:r>
      <w:r w:rsidR="00203F72" w:rsidRPr="002F3FE8">
        <w:rPr>
          <w:rFonts w:hint="eastAsia"/>
        </w:rPr>
        <w:t>「無證外勞」。「無證外勞」之問題，</w:t>
      </w:r>
      <w:r w:rsidR="00203F72" w:rsidRPr="00A53581">
        <w:rPr>
          <w:rFonts w:hint="eastAsia"/>
        </w:rPr>
        <w:t>亦有</w:t>
      </w:r>
      <w:r w:rsidR="00203F72" w:rsidRPr="002F3FE8">
        <w:rPr>
          <w:rFonts w:hint="eastAsia"/>
        </w:rPr>
        <w:t>學者與專家們，稱之為「黑工」；非法外勞之課題，源自於</w:t>
      </w:r>
      <w:r w:rsidR="00203F72" w:rsidRPr="002F3FE8">
        <w:rPr>
          <w:rFonts w:hint="eastAsia"/>
        </w:rPr>
        <w:t>1.</w:t>
      </w:r>
      <w:r w:rsidR="00203F72" w:rsidRPr="002F3FE8">
        <w:rPr>
          <w:rFonts w:hint="eastAsia"/>
        </w:rPr>
        <w:t>在台工作期限之限制；</w:t>
      </w:r>
      <w:r w:rsidR="00203F72" w:rsidRPr="002F3FE8">
        <w:rPr>
          <w:rFonts w:hint="eastAsia"/>
        </w:rPr>
        <w:t>2.</w:t>
      </w:r>
      <w:r w:rsidR="00203F72" w:rsidRPr="002F3FE8">
        <w:rPr>
          <w:rFonts w:hint="eastAsia"/>
        </w:rPr>
        <w:t>不合理之仲介制度；</w:t>
      </w:r>
      <w:r w:rsidR="00203F72" w:rsidRPr="002F3FE8">
        <w:rPr>
          <w:rFonts w:hint="eastAsia"/>
        </w:rPr>
        <w:t>3.</w:t>
      </w:r>
      <w:r w:rsidR="00203F72" w:rsidRPr="002F3FE8">
        <w:rPr>
          <w:rFonts w:hint="eastAsia"/>
        </w:rPr>
        <w:t>惡劣之工作與勞動條件；在</w:t>
      </w:r>
      <w:r w:rsidR="00203F72" w:rsidRPr="002F3FE8">
        <w:rPr>
          <w:rFonts w:hint="eastAsia"/>
        </w:rPr>
        <w:t>2012</w:t>
      </w:r>
      <w:r w:rsidR="00203F72" w:rsidRPr="002F3FE8">
        <w:rPr>
          <w:rFonts w:hint="eastAsia"/>
        </w:rPr>
        <w:t>年，台灣立法院修正就業服務法，對於藍領外勞在台工作年限，由</w:t>
      </w:r>
      <w:r w:rsidR="00203F72" w:rsidRPr="002F3FE8">
        <w:rPr>
          <w:rFonts w:hint="eastAsia"/>
        </w:rPr>
        <w:t>9</w:t>
      </w:r>
      <w:r w:rsidR="00203F72" w:rsidRPr="002F3FE8">
        <w:rPr>
          <w:rFonts w:hint="eastAsia"/>
        </w:rPr>
        <w:t>年延長至</w:t>
      </w:r>
      <w:r w:rsidR="00203F72" w:rsidRPr="002F3FE8">
        <w:rPr>
          <w:rFonts w:hint="eastAsia"/>
        </w:rPr>
        <w:t>12</w:t>
      </w:r>
      <w:r w:rsidR="00203F72" w:rsidRPr="002F3FE8">
        <w:rPr>
          <w:rFonts w:hint="eastAsia"/>
        </w:rPr>
        <w:t>年；取消展延規定；聘僱許可期間由</w:t>
      </w:r>
      <w:r w:rsidR="00203F72" w:rsidRPr="002F3FE8">
        <w:rPr>
          <w:rFonts w:hint="eastAsia"/>
        </w:rPr>
        <w:t>2</w:t>
      </w:r>
      <w:r w:rsidR="00203F72" w:rsidRPr="002F3FE8">
        <w:rPr>
          <w:rFonts w:hint="eastAsia"/>
        </w:rPr>
        <w:t>年修正為</w:t>
      </w:r>
      <w:r w:rsidR="00203F72" w:rsidRPr="002F3FE8">
        <w:rPr>
          <w:rFonts w:hint="eastAsia"/>
        </w:rPr>
        <w:t>3</w:t>
      </w:r>
      <w:r w:rsidR="00203F72" w:rsidRPr="002F3FE8">
        <w:rPr>
          <w:rFonts w:hint="eastAsia"/>
        </w:rPr>
        <w:t>年，但仍維持聘僱期滿，需出國</w:t>
      </w:r>
      <w:r w:rsidR="00203F72" w:rsidRPr="002F3FE8">
        <w:rPr>
          <w:rFonts w:hint="eastAsia"/>
        </w:rPr>
        <w:t>1</w:t>
      </w:r>
      <w:r w:rsidR="00203F72" w:rsidRPr="002F3FE8">
        <w:rPr>
          <w:rFonts w:hint="eastAsia"/>
        </w:rPr>
        <w:t>日，始能再來台之規範。作者認為，假若外勞無法自由地轉換雇主，恐仍無法降低非法外勞之人數。</w:t>
      </w:r>
    </w:p>
    <w:p w14:paraId="0837B447" w14:textId="77777777" w:rsidR="00953151" w:rsidRPr="002F3FE8" w:rsidRDefault="002143FF" w:rsidP="00D87D91">
      <w:r w:rsidRPr="002F3FE8">
        <w:t xml:space="preserve">　　</w:t>
      </w:r>
      <w:r w:rsidR="00203F72" w:rsidRPr="002F3FE8">
        <w:t>各國對外勞「工作許可期限」的限制方面，瑞士、德國、新加坡在制度的考量上，有「永久居留」的設計，我國則無此制度；綜觀瑞、德、新等三國核發永久居留權給外勞，均有一個大前提，即是核發給擁有專門技術或技能的外國勞動者。我國對外勞工作許可期限的規定，基於國情的考量，是頗合情合理。</w:t>
      </w:r>
    </w:p>
    <w:p w14:paraId="5C0BC29C" w14:textId="77777777" w:rsidR="00953151" w:rsidRPr="002F3FE8" w:rsidRDefault="002143FF" w:rsidP="00D87D91">
      <w:r w:rsidRPr="002F3FE8">
        <w:t xml:space="preserve">　　</w:t>
      </w:r>
      <w:r w:rsidR="00203F72" w:rsidRPr="002F3FE8">
        <w:t>五、各國對引進外籍勞工限量的比較</w:t>
      </w:r>
    </w:p>
    <w:p w14:paraId="4A35CB10" w14:textId="77777777" w:rsidR="00953151" w:rsidRPr="002F3FE8" w:rsidRDefault="002143FF" w:rsidP="00D87D91">
      <w:r w:rsidRPr="002F3FE8">
        <w:t xml:space="preserve">　　</w:t>
      </w:r>
      <w:r w:rsidR="00203F72" w:rsidRPr="002F3FE8">
        <w:t>瑞士的「限量」，係由各州政府依當地產業特性、人口分佈及治安狀況，決定外籍勞動力引進的數目，再向聯邦政府報准；奧地利規定外籍人士雇用比例不得超出全國總勞動力的</w:t>
      </w:r>
      <w:r w:rsidR="00203F72" w:rsidRPr="002F3FE8">
        <w:t>10</w:t>
      </w:r>
      <w:r w:rsidR="00203F72" w:rsidRPr="002F3FE8">
        <w:t>％；美國非移民類及移民類勞工，均有配額限制；新加坡採「雇用比例」方式；日本不允許基層低技術及無技術外勞入境日本工作。在我國，民國</w:t>
      </w:r>
      <w:r w:rsidR="00203F72" w:rsidRPr="002F3FE8">
        <w:t>80</w:t>
      </w:r>
      <w:r w:rsidR="00203F72" w:rsidRPr="002F3FE8">
        <w:t>年之後，逐步核准外勞來臺工作的數量</w:t>
      </w:r>
      <w:r w:rsidR="00203F72" w:rsidRPr="002F3FE8">
        <w:footnoteReference w:id="532"/>
      </w:r>
      <w:r w:rsidR="00203F72" w:rsidRPr="002F3FE8">
        <w:t>。至民國</w:t>
      </w:r>
      <w:r w:rsidR="00203F72" w:rsidRPr="002F3FE8">
        <w:t>82</w:t>
      </w:r>
      <w:r w:rsidR="00203F72" w:rsidRPr="002F3FE8">
        <w:t>年止，已開放</w:t>
      </w:r>
      <w:r w:rsidR="00203F72" w:rsidRPr="002F3FE8">
        <w:t>73</w:t>
      </w:r>
      <w:r w:rsidR="00203F72" w:rsidRPr="002F3FE8">
        <w:t>種職業可向勞委會申請引進外勞。此種逐步開放的方式，亦是限量的策略；仍因可能須面臨未開放引進外勞之各業廠商的施壓，難保守住最適量引進外勞的原則。</w:t>
      </w:r>
    </w:p>
    <w:p w14:paraId="0CBC1057" w14:textId="77777777" w:rsidR="00953151" w:rsidRPr="002F3FE8" w:rsidRDefault="002143FF" w:rsidP="00D87D91">
      <w:r w:rsidRPr="002F3FE8">
        <w:t xml:space="preserve">　　</w:t>
      </w:r>
      <w:r w:rsidR="00203F72" w:rsidRPr="002F3FE8">
        <w:t>六、各國對外籍勞工相關權益規定之比較</w:t>
      </w:r>
    </w:p>
    <w:p w14:paraId="25CB7FD2" w14:textId="77777777" w:rsidR="00953151" w:rsidRPr="002F3FE8" w:rsidRDefault="002143FF" w:rsidP="00D87D91">
      <w:r w:rsidRPr="002F3FE8">
        <w:t xml:space="preserve">　　</w:t>
      </w:r>
      <w:r w:rsidR="00203F72" w:rsidRPr="002F3FE8">
        <w:t>在加拿大，涉及外籍家事勞工之薪資與工作時間之基礎性法制保障部分，係明定於「就業標準法」，外籍家事勞工之薪資，受到同工同酬</w:t>
      </w:r>
      <w:r w:rsidR="00203F72" w:rsidRPr="002F3FE8">
        <w:t>(Equal pay for equal work)</w:t>
      </w:r>
      <w:r w:rsidR="00203F72" w:rsidRPr="002F3FE8">
        <w:t>之保障；再者，雇主要求外籍家事勞工工作之時數，不得超過：</w:t>
      </w:r>
      <w:r w:rsidR="00203F72" w:rsidRPr="002F3FE8">
        <w:t>1.</w:t>
      </w:r>
      <w:r w:rsidR="00203F72" w:rsidRPr="002F3FE8">
        <w:t>每日</w:t>
      </w:r>
      <w:r w:rsidR="00203F72" w:rsidRPr="002F3FE8">
        <w:t>8</w:t>
      </w:r>
      <w:r w:rsidR="00203F72" w:rsidRPr="002F3FE8">
        <w:t>小時；</w:t>
      </w:r>
      <w:r w:rsidR="00203F72" w:rsidRPr="002F3FE8">
        <w:t>2.</w:t>
      </w:r>
      <w:r w:rsidR="00203F72" w:rsidRPr="002F3FE8">
        <w:t>每週</w:t>
      </w:r>
      <w:r w:rsidR="00203F72" w:rsidRPr="002F3FE8">
        <w:t>48</w:t>
      </w:r>
      <w:r w:rsidR="00203F72" w:rsidRPr="002F3FE8">
        <w:t>小時</w:t>
      </w:r>
      <w:r w:rsidR="00203F72" w:rsidRPr="002F3FE8">
        <w:footnoteReference w:id="533"/>
      </w:r>
      <w:r w:rsidR="00203F72" w:rsidRPr="002F3FE8">
        <w:t>；瑞士政府對欲「永久居留」的外國人，給予機會，但有一定的申請條件；法國對失業的外勞，給予社會福利的補助；奧地利政府基於福利國家的原則，外勞亦享有完整的社會福利；外勞在德國境內，得加入工會，在「經營協議會」中，有選舉權與被選舉權</w:t>
      </w:r>
      <w:r w:rsidR="00203F72" w:rsidRPr="002F3FE8">
        <w:footnoteReference w:id="534"/>
      </w:r>
      <w:r w:rsidR="00203F72" w:rsidRPr="002F3FE8">
        <w:t>；美國要求其雇主提供外勞的薪資，不得低於本國勞動者；新加坡政府規定同一公司內的外勞，其薪資水準及其他福利，應與本地勞工相同；日本設有專責的「生活指導員」，負責指導外國研修生的生活。在我國，根據民國八十三年八月的調查報告顯示，在營造業工作的外勞，其平均薪資為</w:t>
      </w:r>
      <w:r w:rsidR="00203F72" w:rsidRPr="002F3FE8">
        <w:t>18,305</w:t>
      </w:r>
      <w:r w:rsidR="00203F72" w:rsidRPr="002F3FE8">
        <w:t>元，僅為本國勞工平均薪資</w:t>
      </w:r>
      <w:r w:rsidR="00203F72" w:rsidRPr="002F3FE8">
        <w:t>26,096</w:t>
      </w:r>
      <w:r w:rsidR="00203F72" w:rsidRPr="002F3FE8">
        <w:t>元的</w:t>
      </w:r>
      <w:r w:rsidR="00203F72" w:rsidRPr="002F3FE8">
        <w:t>70.14</w:t>
      </w:r>
      <w:r w:rsidR="00203F72" w:rsidRPr="002F3FE8">
        <w:t>％；在平均工時方面，在營造業工作的外勞，其平均工時為</w:t>
      </w:r>
      <w:r w:rsidR="00203F72" w:rsidRPr="002F3FE8">
        <w:t>239.55</w:t>
      </w:r>
      <w:r w:rsidR="00203F72" w:rsidRPr="002F3FE8">
        <w:t>小時，較本國勞工之平均工時</w:t>
      </w:r>
      <w:r w:rsidR="00203F72" w:rsidRPr="002F3FE8">
        <w:t>205.1</w:t>
      </w:r>
      <w:r w:rsidR="00203F72" w:rsidRPr="002F3FE8">
        <w:t>小時，平均每月多出</w:t>
      </w:r>
      <w:r w:rsidR="00203F72" w:rsidRPr="002F3FE8">
        <w:t>34.5</w:t>
      </w:r>
      <w:r w:rsidR="00203F72" w:rsidRPr="002F3FE8">
        <w:t>小時</w:t>
      </w:r>
      <w:r w:rsidR="00203F72" w:rsidRPr="002F3FE8">
        <w:t></w:t>
      </w:r>
      <w:r w:rsidR="00203F72" w:rsidRPr="002F3FE8">
        <w:t>。由上可知，我國在外勞之同工同酬權利之保障方面，仍應努力。</w:t>
      </w:r>
    </w:p>
    <w:p w14:paraId="0AF36732" w14:textId="77777777" w:rsidR="00953151" w:rsidRPr="002F3FE8" w:rsidRDefault="002143FF" w:rsidP="00D87D91">
      <w:r w:rsidRPr="002F3FE8">
        <w:t xml:space="preserve">　　</w:t>
      </w:r>
      <w:r w:rsidR="00203F72" w:rsidRPr="002F3FE8">
        <w:t>各國對外勞相關權益之規定方面，德國對外勞的權益保障，頗為週延，值得作為其他各國的參考；外勞在德國境內，得加入工會，在「經營協議會」中，有選舉權與被選舉權。此外，加拿大外籍家事勞工之薪資，受到同工同酬</w:t>
      </w:r>
      <w:r w:rsidR="00203F72" w:rsidRPr="002F3FE8">
        <w:t>(Equal pay for equal work)</w:t>
      </w:r>
      <w:r w:rsidR="00203F72" w:rsidRPr="002F3FE8">
        <w:t>之保障，亦頗值得台灣加以學習。在我國，根據民國</w:t>
      </w:r>
      <w:r w:rsidR="00203F72" w:rsidRPr="002F3FE8">
        <w:t>83</w:t>
      </w:r>
      <w:r w:rsidR="00203F72" w:rsidRPr="002F3FE8">
        <w:t>年</w:t>
      </w:r>
      <w:r w:rsidR="00203F72" w:rsidRPr="002F3FE8">
        <w:t>8</w:t>
      </w:r>
      <w:r w:rsidR="00203F72" w:rsidRPr="002F3FE8">
        <w:t>月的調查報告顯示，在營造業工作的外勞，每月的平均薪資為</w:t>
      </w:r>
      <w:r w:rsidR="00203F72" w:rsidRPr="002F3FE8">
        <w:t>18,305</w:t>
      </w:r>
      <w:r w:rsidR="00203F72" w:rsidRPr="002F3FE8">
        <w:t>元，僅為本國勞工每月平均薪資</w:t>
      </w:r>
      <w:r w:rsidR="00203F72" w:rsidRPr="002F3FE8">
        <w:t>26,096</w:t>
      </w:r>
      <w:r w:rsidR="00203F72" w:rsidRPr="002F3FE8">
        <w:t>元的</w:t>
      </w:r>
      <w:r w:rsidR="00203F72" w:rsidRPr="002F3FE8">
        <w:t>70.14</w:t>
      </w:r>
      <w:r w:rsidR="00203F72" w:rsidRPr="002F3FE8">
        <w:t>％；可知，我國在同工同酬方面，有待努力。</w:t>
      </w:r>
    </w:p>
    <w:p w14:paraId="36CA9CB7" w14:textId="77777777" w:rsidR="00953151" w:rsidRPr="002F3FE8" w:rsidRDefault="002143FF" w:rsidP="00D87D91">
      <w:r w:rsidRPr="002F3FE8">
        <w:t xml:space="preserve">　　</w:t>
      </w:r>
      <w:r w:rsidR="004D33F7" w:rsidRPr="003B41D4">
        <w:t>「</w:t>
      </w:r>
      <w:hyperlink r:id="rId1747" w:history="1">
        <w:r w:rsidR="004D33F7" w:rsidRPr="004D33F7">
          <w:rPr>
            <w:rStyle w:val="a5"/>
            <w:rFonts w:ascii="Times New Roman" w:eastAsia="新細明體" w:hAnsi="Times New Roman"/>
          </w:rPr>
          <w:t>就業服務法</w:t>
        </w:r>
      </w:hyperlink>
      <w:r w:rsidR="00203F72" w:rsidRPr="002F3FE8">
        <w:t>」中有關外國人之聘僱與管理，似乎較缺乏人權保障之思想，諸如：在同工同酬的規定方面，未見諸於條文中；綜觀各國對外勞的權益保障，最基本的保障即是「同工同酬」。我國在此方面，仍有待透過修法加以補強。</w:t>
      </w:r>
    </w:p>
    <w:p w14:paraId="15EAF120" w14:textId="77777777" w:rsidR="00953151" w:rsidRPr="002F3FE8" w:rsidRDefault="002143FF" w:rsidP="00D87D91">
      <w:r w:rsidRPr="002F3FE8">
        <w:t xml:space="preserve">　　</w:t>
      </w:r>
      <w:r w:rsidR="00203F72" w:rsidRPr="002F3FE8">
        <w:t>七、各國外籍勞工管理策略的比較</w:t>
      </w:r>
    </w:p>
    <w:p w14:paraId="71310787" w14:textId="77777777" w:rsidR="00953151" w:rsidRPr="002F3FE8" w:rsidRDefault="002143FF" w:rsidP="00D87D91">
      <w:r w:rsidRPr="002F3FE8">
        <w:t xml:space="preserve">　　</w:t>
      </w:r>
      <w:r w:rsidR="00203F72" w:rsidRPr="002F3FE8">
        <w:t>瑞士的外勞政策，係以「社會治安」為首要考量因素，外事警察扮演非常重要的角色；法國的外勞管理策略，較有特色的，是使外勞藉由一定的申請程序，加入法國國籍；奧地利的外勞管理策略，從早期的「替代原則」，改採三個階段式的「外勞整合模式」；德國的外勞管理策略，在引進方面，嚴加管制，對長期居留的外勞，則採「整合」策略；美國考量「人道精神」、「平等原則」及配合其國內經濟發展的需要，對外勞劃分為「非移民類勞工」及「應聘移民類」；新加坡的外勞管理策略係為「短期性就業」、「以價制量」及「循環管制」；日本的外勞政策，相當保守，不接受低技術及無技術的勞動力</w:t>
      </w:r>
      <w:r w:rsidR="00203F72" w:rsidRPr="002F3FE8">
        <w:footnoteReference w:id="535"/>
      </w:r>
      <w:r w:rsidR="00203F72" w:rsidRPr="002F3FE8">
        <w:t>。在我國，外勞係為「補充性」勞力，而非「替代性」勞力，並採「短期就業」的策略。綜觀各國的制度，我國的外勞管理策略，在制度面上，是頗合乎國情；然在實際執行方面，則因勞委會人力不足，使得外勞逃逸現象，日益嚴重，是為制度上的一大缺憾。</w:t>
      </w:r>
    </w:p>
    <w:p w14:paraId="00FABB03" w14:textId="77777777" w:rsidR="003B41D4" w:rsidRDefault="003B41D4" w:rsidP="007F3288">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2DE50409" w14:textId="77777777" w:rsidR="003B41D4" w:rsidRDefault="003B41D4" w:rsidP="00D87D91">
      <w:pPr>
        <w:pStyle w:val="afa"/>
      </w:pPr>
    </w:p>
    <w:p w14:paraId="45D88B9C" w14:textId="77777777" w:rsidR="00953151" w:rsidRDefault="00203F72" w:rsidP="00767F37">
      <w:pPr>
        <w:pStyle w:val="2"/>
      </w:pPr>
      <w:bookmarkStart w:id="81" w:name="_伍、台灣勞動基準法之適用對象之再省思"/>
      <w:bookmarkEnd w:id="81"/>
      <w:r w:rsidRPr="00A53581">
        <w:t>伍、台灣</w:t>
      </w:r>
      <w:hyperlink r:id="rId1748" w:history="1">
        <w:r w:rsidR="00166E2F" w:rsidRPr="002F3FE8">
          <w:rPr>
            <w:rStyle w:val="a5"/>
            <w:rFonts w:ascii="Times New Roman" w:eastAsia="新細明體" w:hAnsi="Times New Roman"/>
          </w:rPr>
          <w:t>勞動基準法</w:t>
        </w:r>
      </w:hyperlink>
      <w:r w:rsidRPr="00A53581">
        <w:t>之適用對象之再省思</w:t>
      </w:r>
      <w:r w:rsidRPr="00A53581">
        <w:t xml:space="preserve"> </w:t>
      </w:r>
    </w:p>
    <w:p w14:paraId="1F70C9CF" w14:textId="77777777" w:rsidR="00203F72" w:rsidRPr="002F3FE8" w:rsidRDefault="00203F72" w:rsidP="00D87D91">
      <w:r w:rsidRPr="002F3FE8">
        <w:t xml:space="preserve">　　台灣</w:t>
      </w:r>
      <w:hyperlink r:id="rId1749" w:history="1">
        <w:r w:rsidRPr="002F3FE8">
          <w:rPr>
            <w:rStyle w:val="a5"/>
            <w:rFonts w:ascii="Times New Roman" w:eastAsia="新細明體" w:hAnsi="Times New Roman"/>
          </w:rPr>
          <w:t>勞動基準法</w:t>
        </w:r>
      </w:hyperlink>
      <w:r w:rsidRPr="002F3FE8">
        <w:t>之適用對象宜包含「外籍家事勞工」，退而求其次，始為訂定專法。目前，根據台灣勞動基準</w:t>
      </w:r>
      <w:r w:rsidR="00026C6F" w:rsidRPr="002F3FE8">
        <w:t>法</w:t>
      </w:r>
      <w:hyperlink r:id="rId1750" w:anchor="a3" w:history="1">
        <w:r w:rsidR="00026C6F" w:rsidRPr="002F3FE8">
          <w:rPr>
            <w:rStyle w:val="a5"/>
          </w:rPr>
          <w:t>第3條</w:t>
        </w:r>
      </w:hyperlink>
      <w:r w:rsidRPr="002F3FE8">
        <w:t>第</w:t>
      </w:r>
      <w:r w:rsidRPr="002F3FE8">
        <w:t>1</w:t>
      </w:r>
      <w:r w:rsidRPr="002F3FE8">
        <w:t>項之規定，該法適用之對象，計如下所述：</w:t>
      </w:r>
      <w:r w:rsidRPr="002F3FE8">
        <w:t>1.</w:t>
      </w:r>
      <w:r w:rsidRPr="002F3FE8">
        <w:t>農、林、漁、牧業；</w:t>
      </w:r>
      <w:r w:rsidRPr="002F3FE8">
        <w:t>2.</w:t>
      </w:r>
      <w:r w:rsidRPr="002F3FE8">
        <w:t>礦業及土石採取業；</w:t>
      </w:r>
      <w:r w:rsidRPr="002F3FE8">
        <w:t>3.</w:t>
      </w:r>
      <w:r w:rsidRPr="002F3FE8">
        <w:t>製造業；</w:t>
      </w:r>
      <w:r w:rsidRPr="002F3FE8">
        <w:t>4.</w:t>
      </w:r>
      <w:r w:rsidRPr="002F3FE8">
        <w:t>營造業；</w:t>
      </w:r>
      <w:r w:rsidRPr="002F3FE8">
        <w:t>5.</w:t>
      </w:r>
      <w:r w:rsidRPr="002F3FE8">
        <w:t>水電、媒氣業；</w:t>
      </w:r>
      <w:r w:rsidRPr="002F3FE8">
        <w:t>6.</w:t>
      </w:r>
      <w:r w:rsidRPr="002F3FE8">
        <w:t>運輸、倉儲及通訊業；</w:t>
      </w:r>
      <w:r w:rsidRPr="002F3FE8">
        <w:t>7.</w:t>
      </w:r>
      <w:r w:rsidRPr="002F3FE8">
        <w:t>大眾傳播業；</w:t>
      </w:r>
      <w:r w:rsidRPr="002F3FE8">
        <w:t>8.</w:t>
      </w:r>
      <w:r w:rsidRPr="002F3FE8">
        <w:t>其他經中央主管機關指定之事業。由上述勞基法</w:t>
      </w:r>
      <w:hyperlink r:id="rId1751" w:anchor="a3" w:history="1">
        <w:r w:rsidRPr="002F3FE8">
          <w:rPr>
            <w:rStyle w:val="a5"/>
            <w:rFonts w:ascii="Times New Roman" w:eastAsia="新細明體" w:hAnsi="Times New Roman"/>
          </w:rPr>
          <w:t>第</w:t>
        </w:r>
        <w:r w:rsidRPr="002F3FE8">
          <w:rPr>
            <w:rStyle w:val="a5"/>
            <w:rFonts w:ascii="Times New Roman" w:eastAsia="新細明體" w:hAnsi="Times New Roman"/>
          </w:rPr>
          <w:t>3</w:t>
        </w:r>
        <w:r w:rsidRPr="002F3FE8">
          <w:rPr>
            <w:rStyle w:val="a5"/>
            <w:rFonts w:ascii="Times New Roman" w:eastAsia="新細明體" w:hAnsi="Times New Roman"/>
          </w:rPr>
          <w:t>條</w:t>
        </w:r>
      </w:hyperlink>
      <w:r w:rsidRPr="002F3FE8">
        <w:t>第</w:t>
      </w:r>
      <w:r w:rsidRPr="002F3FE8">
        <w:t>1</w:t>
      </w:r>
      <w:r w:rsidRPr="002F3FE8">
        <w:t>項之規範對象可得知，並未包括外籍家事勞工。在保障外籍家事勞工之法制部分，可行之選項，除了將外籍家事勞工納入勞基</w:t>
      </w:r>
      <w:r w:rsidR="002F3FE8" w:rsidRPr="002F3FE8">
        <w:t>法</w:t>
      </w:r>
      <w:hyperlink r:id="rId1752" w:anchor="a3" w:history="1">
        <w:r w:rsidR="002F3FE8" w:rsidRPr="002F3FE8">
          <w:rPr>
            <w:rStyle w:val="a5"/>
            <w:rFonts w:ascii="Times New Roman" w:eastAsia="新細明體" w:hAnsi="Times New Roman"/>
          </w:rPr>
          <w:t>第</w:t>
        </w:r>
        <w:r w:rsidR="002F3FE8" w:rsidRPr="002F3FE8">
          <w:rPr>
            <w:rStyle w:val="a5"/>
            <w:rFonts w:ascii="Times New Roman" w:eastAsia="新細明體" w:hAnsi="Times New Roman"/>
          </w:rPr>
          <w:t>3</w:t>
        </w:r>
        <w:r w:rsidR="002F3FE8" w:rsidRPr="002F3FE8">
          <w:rPr>
            <w:rStyle w:val="a5"/>
            <w:rFonts w:ascii="Times New Roman" w:eastAsia="新細明體" w:hAnsi="Times New Roman"/>
          </w:rPr>
          <w:t>條</w:t>
        </w:r>
      </w:hyperlink>
      <w:r w:rsidRPr="002F3FE8">
        <w:t>第</w:t>
      </w:r>
      <w:r w:rsidRPr="002F3FE8">
        <w:t>1</w:t>
      </w:r>
      <w:r w:rsidRPr="002F3FE8">
        <w:t>項之中；另外一種對家事外勞保障較不周延之選項，係為勞委會所主張，另訂「家事勞工保障法」（此種立法模式，並非最佳之保障方式）。經過多年之討論與研議，勞委會業已完成「家事勞工保障法」草案之擬定，並已於</w:t>
      </w:r>
      <w:r w:rsidRPr="002F3FE8">
        <w:t>2011</w:t>
      </w:r>
      <w:r w:rsidRPr="002F3FE8">
        <w:t>年</w:t>
      </w:r>
      <w:r w:rsidRPr="002F3FE8">
        <w:t>3</w:t>
      </w:r>
      <w:r w:rsidRPr="002F3FE8">
        <w:t>月份，將上開草案陳報行政院審議之中</w:t>
      </w:r>
      <w:r w:rsidRPr="002F3FE8">
        <w:footnoteReference w:id="536"/>
      </w:r>
      <w:r w:rsidRPr="002F3FE8">
        <w:t>。</w:t>
      </w:r>
    </w:p>
    <w:p w14:paraId="44FADC2C" w14:textId="77777777" w:rsidR="00203F72" w:rsidRPr="002F3FE8" w:rsidRDefault="002143FF" w:rsidP="00D87D91">
      <w:r w:rsidRPr="002F3FE8">
        <w:t xml:space="preserve">　　</w:t>
      </w:r>
      <w:r w:rsidR="00203F72" w:rsidRPr="002F3FE8">
        <w:t>之所以會另訂定「家事勞工保障法」草案，主要係考量家事外勞工作型態多元化、個案化；契約約定與終止之相關事由與</w:t>
      </w:r>
      <w:hyperlink r:id="rId1753" w:history="1">
        <w:r w:rsidR="00166E2F" w:rsidRPr="002F3FE8">
          <w:rPr>
            <w:rStyle w:val="a5"/>
            <w:rFonts w:ascii="Times New Roman" w:eastAsia="新細明體" w:hAnsi="Times New Roman"/>
          </w:rPr>
          <w:t>勞動基準法</w:t>
        </w:r>
      </w:hyperlink>
      <w:r w:rsidR="00203F72" w:rsidRPr="002F3FE8">
        <w:t>規定性質有異；工作與休息時間不易認定；及職業災害認定困難等，故我國未將外籍家事勞工納入</w:t>
      </w:r>
      <w:hyperlink r:id="rId1754" w:history="1">
        <w:r w:rsidR="002F3FE8" w:rsidRPr="002F3FE8">
          <w:rPr>
            <w:rStyle w:val="a5"/>
            <w:rFonts w:ascii="Times New Roman" w:eastAsia="新細明體" w:hAnsi="Times New Roman"/>
          </w:rPr>
          <w:t>勞基法</w:t>
        </w:r>
      </w:hyperlink>
      <w:r w:rsidR="00203F72" w:rsidRPr="002F3FE8">
        <w:t>，而是採取另</w:t>
      </w:r>
      <w:r w:rsidR="00203F72" w:rsidRPr="00A53581">
        <w:t>定專</w:t>
      </w:r>
      <w:r w:rsidR="00203F72" w:rsidRPr="002F3FE8">
        <w:t>法之保障模式</w:t>
      </w:r>
      <w:r w:rsidR="00203F72" w:rsidRPr="002F3FE8">
        <w:footnoteReference w:id="537"/>
      </w:r>
      <w:r w:rsidR="00203F72" w:rsidRPr="002F3FE8">
        <w:t>。</w:t>
      </w:r>
    </w:p>
    <w:p w14:paraId="66DD52E2" w14:textId="77777777" w:rsidR="00203F72" w:rsidRPr="002F3FE8" w:rsidRDefault="002143FF" w:rsidP="00D87D91">
      <w:r w:rsidRPr="002F3FE8">
        <w:t xml:space="preserve">　　</w:t>
      </w:r>
      <w:r w:rsidR="00203F72" w:rsidRPr="002F3FE8">
        <w:t>不過，一般而論，在探討外籍家事勞工之權益時，國內相關之團體與組織，較重</w:t>
      </w:r>
      <w:r w:rsidR="003E240E">
        <w:t>視</w:t>
      </w:r>
      <w:r w:rsidR="00203F72" w:rsidRPr="002F3FE8">
        <w:t>之議題，係為家事外勞之基本工資、超時加班費</w:t>
      </w:r>
      <w:r w:rsidR="00203F72" w:rsidRPr="002F3FE8">
        <w:footnoteReference w:id="538"/>
      </w:r>
      <w:r w:rsidR="00203F72" w:rsidRPr="002F3FE8">
        <w:t>、工時及休假問題</w:t>
      </w:r>
      <w:r w:rsidR="00203F72" w:rsidRPr="002F3FE8">
        <w:footnoteReference w:id="539"/>
      </w:r>
      <w:r w:rsidR="00203F72" w:rsidRPr="002F3FE8">
        <w:t>；這些問題，在</w:t>
      </w:r>
      <w:hyperlink r:id="rId1755" w:history="1">
        <w:r w:rsidR="002F3FE8" w:rsidRPr="002F3FE8">
          <w:rPr>
            <w:rStyle w:val="a5"/>
            <w:rFonts w:ascii="Times New Roman" w:eastAsia="新細明體" w:hAnsi="Times New Roman"/>
          </w:rPr>
          <w:t>勞基法</w:t>
        </w:r>
      </w:hyperlink>
      <w:r w:rsidR="00203F72" w:rsidRPr="002F3FE8">
        <w:t>之中，均有明確之保障規範。本書認為，如能將家事外勞納入</w:t>
      </w:r>
      <w:hyperlink r:id="rId1756" w:history="1">
        <w:r w:rsidR="002F3FE8" w:rsidRPr="002F3FE8">
          <w:rPr>
            <w:rStyle w:val="a5"/>
            <w:rFonts w:ascii="Times New Roman" w:eastAsia="新細明體" w:hAnsi="Times New Roman"/>
          </w:rPr>
          <w:t>勞基法</w:t>
        </w:r>
      </w:hyperlink>
      <w:r w:rsidR="00203F72" w:rsidRPr="002F3FE8">
        <w:t>之適用對象中，似更能保障其相關之權益。就勞委會上開所提之「家事勞工保障法草案」而論，條文僅約</w:t>
      </w:r>
      <w:r w:rsidR="00203F72" w:rsidRPr="002F3FE8">
        <w:t>20</w:t>
      </w:r>
      <w:r w:rsidR="00203F72" w:rsidRPr="002F3FE8">
        <w:t>餘條，且相關之條文規範，對於家事外勞之基本人權而言，保障仍嫌不足。相對而言，</w:t>
      </w:r>
      <w:hyperlink r:id="rId1757" w:history="1">
        <w:r w:rsidR="002F3FE8" w:rsidRPr="002F3FE8">
          <w:rPr>
            <w:rStyle w:val="a5"/>
            <w:rFonts w:ascii="Times New Roman" w:eastAsia="新細明體" w:hAnsi="Times New Roman"/>
          </w:rPr>
          <w:t>勞基法</w:t>
        </w:r>
      </w:hyperlink>
      <w:r w:rsidR="00203F72" w:rsidRPr="002F3FE8">
        <w:t>對於勞工之保障，則頗為周延；</w:t>
      </w:r>
      <w:hyperlink r:id="rId1758" w:history="1">
        <w:r w:rsidR="002F3FE8" w:rsidRPr="002F3FE8">
          <w:rPr>
            <w:rStyle w:val="a5"/>
            <w:rFonts w:ascii="Times New Roman" w:eastAsia="新細明體" w:hAnsi="Times New Roman"/>
          </w:rPr>
          <w:t>勞基法</w:t>
        </w:r>
      </w:hyperlink>
      <w:r w:rsidR="00203F72" w:rsidRPr="002F3FE8">
        <w:t>共計有</w:t>
      </w:r>
      <w:r w:rsidR="00203F72" w:rsidRPr="002F3FE8">
        <w:t>12</w:t>
      </w:r>
      <w:r w:rsidR="00203F72" w:rsidRPr="002F3FE8">
        <w:t>章，近約</w:t>
      </w:r>
      <w:r w:rsidR="00203F72" w:rsidRPr="002F3FE8">
        <w:t>90</w:t>
      </w:r>
      <w:r w:rsidR="00203F72" w:rsidRPr="002F3FE8">
        <w:t>餘條之條文。上開</w:t>
      </w:r>
      <w:r w:rsidR="00203F72" w:rsidRPr="002F3FE8">
        <w:t>12</w:t>
      </w:r>
      <w:r w:rsidR="00203F72" w:rsidRPr="002F3FE8">
        <w:t>章之章名，如下所述：</w:t>
      </w:r>
      <w:r w:rsidR="00203F72" w:rsidRPr="002F3FE8">
        <w:t>1.</w:t>
      </w:r>
      <w:r w:rsidR="00203F72" w:rsidRPr="002F3FE8">
        <w:t>總則；</w:t>
      </w:r>
      <w:r w:rsidR="00203F72" w:rsidRPr="002F3FE8">
        <w:t>2.</w:t>
      </w:r>
      <w:r w:rsidR="00203F72" w:rsidRPr="002F3FE8">
        <w:t>勞動契約；</w:t>
      </w:r>
      <w:r w:rsidR="00203F72" w:rsidRPr="002F3FE8">
        <w:t>3.</w:t>
      </w:r>
      <w:r w:rsidR="00203F72" w:rsidRPr="002F3FE8">
        <w:t>工資；</w:t>
      </w:r>
      <w:r w:rsidR="00203F72" w:rsidRPr="002F3FE8">
        <w:t>4.</w:t>
      </w:r>
      <w:r w:rsidR="00203F72" w:rsidRPr="002F3FE8">
        <w:t>工作時間、休息、休假；</w:t>
      </w:r>
      <w:r w:rsidR="00203F72" w:rsidRPr="002F3FE8">
        <w:t>5.</w:t>
      </w:r>
      <w:r w:rsidR="00203F72" w:rsidRPr="002F3FE8">
        <w:t>童工、女工；</w:t>
      </w:r>
      <w:r w:rsidR="00203F72" w:rsidRPr="002F3FE8">
        <w:t>6.</w:t>
      </w:r>
      <w:r w:rsidR="00203F72" w:rsidRPr="002F3FE8">
        <w:t>退休；</w:t>
      </w:r>
      <w:r w:rsidR="00203F72" w:rsidRPr="002F3FE8">
        <w:t>7.</w:t>
      </w:r>
      <w:r w:rsidR="00203F72" w:rsidRPr="002F3FE8">
        <w:t>職業災害補償；</w:t>
      </w:r>
      <w:r w:rsidR="00203F72" w:rsidRPr="002F3FE8">
        <w:t>8.</w:t>
      </w:r>
      <w:r w:rsidR="00203F72" w:rsidRPr="002F3FE8">
        <w:t>技術生；</w:t>
      </w:r>
      <w:r w:rsidR="00203F72" w:rsidRPr="002F3FE8">
        <w:t>9.</w:t>
      </w:r>
      <w:r w:rsidR="00203F72" w:rsidRPr="002F3FE8">
        <w:t>工作規則；</w:t>
      </w:r>
      <w:r w:rsidR="00203F72" w:rsidRPr="002F3FE8">
        <w:t>10.</w:t>
      </w:r>
      <w:r w:rsidR="00203F72" w:rsidRPr="002F3FE8">
        <w:t>監督與檢查；</w:t>
      </w:r>
      <w:r w:rsidR="00203F72" w:rsidRPr="002F3FE8">
        <w:t>11.</w:t>
      </w:r>
      <w:r w:rsidR="00203F72" w:rsidRPr="002F3FE8">
        <w:t>罰則；</w:t>
      </w:r>
      <w:r w:rsidR="00203F72" w:rsidRPr="002F3FE8">
        <w:t>12.</w:t>
      </w:r>
      <w:r w:rsidR="00203F72" w:rsidRPr="002F3FE8">
        <w:t>附則。</w:t>
      </w:r>
    </w:p>
    <w:p w14:paraId="53C18C34" w14:textId="77777777" w:rsidR="00203F72" w:rsidRPr="002F3FE8" w:rsidRDefault="002143FF" w:rsidP="00D87D91">
      <w:r w:rsidRPr="002F3FE8">
        <w:t xml:space="preserve">　　</w:t>
      </w:r>
      <w:r w:rsidR="00203F72" w:rsidRPr="002F3FE8">
        <w:t>雖然，勞動基準法中之</w:t>
      </w:r>
      <w:hyperlink r:id="rId1759" w:anchor="a53" w:history="1">
        <w:r w:rsidR="00203F72" w:rsidRPr="007D25E4">
          <w:rPr>
            <w:rStyle w:val="a5"/>
            <w:rFonts w:ascii="Times New Roman" w:eastAsia="新細明體" w:hAnsi="Times New Roman"/>
          </w:rPr>
          <w:t>第</w:t>
        </w:r>
        <w:r w:rsidR="00203F72" w:rsidRPr="007D25E4">
          <w:rPr>
            <w:rStyle w:val="a5"/>
            <w:rFonts w:ascii="Times New Roman" w:eastAsia="新細明體" w:hAnsi="Times New Roman"/>
          </w:rPr>
          <w:t>6</w:t>
        </w:r>
        <w:r w:rsidR="00203F72" w:rsidRPr="007D25E4">
          <w:rPr>
            <w:rStyle w:val="a5"/>
            <w:rFonts w:ascii="Times New Roman" w:eastAsia="新細明體" w:hAnsi="Times New Roman"/>
          </w:rPr>
          <w:t>章</w:t>
        </w:r>
      </w:hyperlink>
      <w:r w:rsidR="00203F72" w:rsidRPr="002F3FE8">
        <w:t>（退休）、</w:t>
      </w:r>
      <w:hyperlink r:id="rId1760" w:anchor="a64" w:history="1">
        <w:r w:rsidR="00203F72" w:rsidRPr="007D25E4">
          <w:rPr>
            <w:rStyle w:val="a5"/>
            <w:rFonts w:ascii="Times New Roman" w:eastAsia="新細明體" w:hAnsi="Times New Roman"/>
          </w:rPr>
          <w:t>第</w:t>
        </w:r>
        <w:r w:rsidR="00203F72" w:rsidRPr="007D25E4">
          <w:rPr>
            <w:rStyle w:val="a5"/>
            <w:rFonts w:ascii="Times New Roman" w:eastAsia="新細明體" w:hAnsi="Times New Roman"/>
          </w:rPr>
          <w:t>8</w:t>
        </w:r>
        <w:r w:rsidR="00203F72" w:rsidRPr="007D25E4">
          <w:rPr>
            <w:rStyle w:val="a5"/>
            <w:rFonts w:ascii="Times New Roman" w:eastAsia="新細明體" w:hAnsi="Times New Roman"/>
          </w:rPr>
          <w:t>章</w:t>
        </w:r>
      </w:hyperlink>
      <w:r w:rsidR="00203F72" w:rsidRPr="002F3FE8">
        <w:t>（技術生）及</w:t>
      </w:r>
      <w:hyperlink r:id="rId1761" w:anchor="a70" w:history="1">
        <w:r w:rsidR="00203F72" w:rsidRPr="007D25E4">
          <w:rPr>
            <w:rStyle w:val="a5"/>
            <w:rFonts w:ascii="Times New Roman" w:eastAsia="新細明體" w:hAnsi="Times New Roman"/>
          </w:rPr>
          <w:t>第</w:t>
        </w:r>
        <w:r w:rsidR="00203F72" w:rsidRPr="007D25E4">
          <w:rPr>
            <w:rStyle w:val="a5"/>
            <w:rFonts w:ascii="Times New Roman" w:eastAsia="新細明體" w:hAnsi="Times New Roman"/>
          </w:rPr>
          <w:t>9</w:t>
        </w:r>
        <w:r w:rsidR="00203F72" w:rsidRPr="007D25E4">
          <w:rPr>
            <w:rStyle w:val="a5"/>
            <w:rFonts w:ascii="Times New Roman" w:eastAsia="新細明體" w:hAnsi="Times New Roman"/>
          </w:rPr>
          <w:t>章</w:t>
        </w:r>
      </w:hyperlink>
      <w:r w:rsidR="00203F72" w:rsidRPr="002F3FE8">
        <w:t>部分，較無法適用至家事外勞；然而，其他之章別，仍可適用於家事外勞。在立法技術方面，可透由將不適用於家事外勞之規範部分加以凍結（或排除適用）之方式，達到</w:t>
      </w:r>
      <w:hyperlink r:id="rId1762" w:history="1">
        <w:r w:rsidR="002F3FE8" w:rsidRPr="002F3FE8">
          <w:rPr>
            <w:rStyle w:val="a5"/>
            <w:rFonts w:ascii="Times New Roman" w:eastAsia="新細明體" w:hAnsi="Times New Roman"/>
          </w:rPr>
          <w:t>勞基法</w:t>
        </w:r>
      </w:hyperlink>
      <w:r w:rsidR="00203F72" w:rsidRPr="002F3FE8">
        <w:t>可適用於家事外勞之目的。經檢</w:t>
      </w:r>
      <w:r w:rsidR="003E240E">
        <w:t>視</w:t>
      </w:r>
      <w:hyperlink r:id="rId1763" w:history="1">
        <w:r w:rsidR="002F3FE8" w:rsidRPr="002F3FE8">
          <w:rPr>
            <w:rStyle w:val="a5"/>
            <w:rFonts w:ascii="Times New Roman" w:eastAsia="新細明體" w:hAnsi="Times New Roman"/>
          </w:rPr>
          <w:t>勞基法</w:t>
        </w:r>
      </w:hyperlink>
      <w:r w:rsidR="00203F72" w:rsidRPr="002F3FE8">
        <w:t>中之勞動契約、工資、工作時間、休息、休假、職業災害補償、主管機關之監督及檢查權限與罰則等相關規範，整體而論，皆較勞委會所提之「家事勞工保障法草案」為佳；對於勞工之保障，平心而論，</w:t>
      </w:r>
      <w:hyperlink r:id="rId1764" w:history="1">
        <w:r w:rsidR="002F3FE8" w:rsidRPr="002F3FE8">
          <w:rPr>
            <w:rStyle w:val="a5"/>
            <w:rFonts w:ascii="Times New Roman" w:eastAsia="新細明體" w:hAnsi="Times New Roman"/>
          </w:rPr>
          <w:t>勞基法</w:t>
        </w:r>
      </w:hyperlink>
      <w:r w:rsidR="00203F72" w:rsidRPr="002F3FE8">
        <w:t>對於家事外勞保障之密度與廣度，皆優於上開之「家事勞工保障法草案」。</w:t>
      </w:r>
    </w:p>
    <w:p w14:paraId="432C9A81" w14:textId="77777777" w:rsidR="00203F72" w:rsidRPr="002F3FE8" w:rsidRDefault="00331EC1" w:rsidP="00D87D91">
      <w:r w:rsidRPr="002F3FE8">
        <w:t xml:space="preserve">　　</w:t>
      </w:r>
      <w:r w:rsidR="00203F72" w:rsidRPr="002F3FE8">
        <w:t>上開「家事勞工保障法草案」較有爭議之部分，計如下所述</w:t>
      </w:r>
      <w:r w:rsidR="00203F72" w:rsidRPr="002F3FE8">
        <w:footnoteReference w:id="540"/>
      </w:r>
      <w:r w:rsidR="00203F72" w:rsidRPr="002F3FE8">
        <w:t>：</w:t>
      </w:r>
    </w:p>
    <w:p w14:paraId="21302B1F" w14:textId="77777777" w:rsidR="00203F72" w:rsidRPr="002F3FE8" w:rsidRDefault="00331EC1" w:rsidP="00D87D91">
      <w:r w:rsidRPr="002F3FE8">
        <w:rPr>
          <w:rFonts w:hint="eastAsia"/>
        </w:rPr>
        <w:t xml:space="preserve">　　</w:t>
      </w:r>
      <w:r w:rsidRPr="002F3FE8">
        <w:rPr>
          <w:rFonts w:hint="eastAsia"/>
        </w:rPr>
        <w:t>1</w:t>
      </w:r>
      <w:r w:rsidRPr="002F3FE8">
        <w:rPr>
          <w:rFonts w:hint="eastAsia"/>
        </w:rPr>
        <w:t>、</w:t>
      </w:r>
      <w:r w:rsidR="00203F72" w:rsidRPr="002F3FE8">
        <w:t>雖然有每日工作時數及休息之規定，但有例外規定，如有（遇）特殊情況，得由勞雇雙方另予議定。台灣國際勞工團體認為，恐會造成雇主利用其權勢，剝奪家事外勞之休息權利；</w:t>
      </w:r>
    </w:p>
    <w:p w14:paraId="4FF2F916" w14:textId="77777777" w:rsidR="00203F72" w:rsidRPr="002F3FE8" w:rsidRDefault="00331EC1" w:rsidP="00D87D91">
      <w:r w:rsidRPr="002F3FE8">
        <w:rPr>
          <w:rFonts w:hint="eastAsia"/>
        </w:rPr>
        <w:t xml:space="preserve">　　</w:t>
      </w:r>
      <w:r w:rsidRPr="002F3FE8">
        <w:rPr>
          <w:rFonts w:hint="eastAsia"/>
        </w:rPr>
        <w:t>2</w:t>
      </w:r>
      <w:r w:rsidRPr="002F3FE8">
        <w:rPr>
          <w:rFonts w:hint="eastAsia"/>
        </w:rPr>
        <w:t>、</w:t>
      </w:r>
      <w:r w:rsidR="00203F72" w:rsidRPr="002F3FE8">
        <w:t>雖然有</w:t>
      </w:r>
      <w:r w:rsidR="00203F72" w:rsidRPr="002F3FE8">
        <w:t>7</w:t>
      </w:r>
      <w:r w:rsidR="00203F72" w:rsidRPr="002F3FE8">
        <w:t>天</w:t>
      </w:r>
      <w:r w:rsidR="00203F72" w:rsidRPr="002F3FE8">
        <w:t>1</w:t>
      </w:r>
      <w:r w:rsidR="00203F72" w:rsidRPr="002F3FE8">
        <w:t>休之規定，但亦有例外之規定，如經過勞資雙方同意，或在緊急狀況下，仍可使家事外勞不休假而繼續工作（但應加給一日之工資）。論者亦主張，上述</w:t>
      </w:r>
      <w:r w:rsidR="00203F72" w:rsidRPr="002F3FE8">
        <w:t>7</w:t>
      </w:r>
      <w:r w:rsidR="00203F72" w:rsidRPr="002F3FE8">
        <w:t>天</w:t>
      </w:r>
      <w:r w:rsidR="00203F72" w:rsidRPr="002F3FE8">
        <w:t>1</w:t>
      </w:r>
      <w:r w:rsidR="00203F72" w:rsidRPr="002F3FE8">
        <w:t>休之機制，雇主仍可運用其權勢，使得家事外勞自願同意放棄休假；</w:t>
      </w:r>
    </w:p>
    <w:p w14:paraId="374A9D01" w14:textId="77777777" w:rsidR="00203F72" w:rsidRPr="002F3FE8" w:rsidRDefault="00331EC1" w:rsidP="00D87D91">
      <w:r w:rsidRPr="002F3FE8">
        <w:rPr>
          <w:rFonts w:hint="eastAsia"/>
        </w:rPr>
        <w:t xml:space="preserve">　　</w:t>
      </w:r>
      <w:r w:rsidRPr="002F3FE8">
        <w:rPr>
          <w:rFonts w:hint="eastAsia"/>
        </w:rPr>
        <w:t>3</w:t>
      </w:r>
      <w:r w:rsidRPr="002F3FE8">
        <w:rPr>
          <w:rFonts w:hint="eastAsia"/>
        </w:rPr>
        <w:t>、</w:t>
      </w:r>
      <w:r w:rsidR="00203F72" w:rsidRPr="002F3FE8">
        <w:t>在不平等及不對稱之勞資權力關係中，家事外勞因擔憂會被解僱與遣返，未有籌碼可與雇主進行協商（議），被迫簽訂「我自願放棄休假」之同意書</w:t>
      </w:r>
      <w:r w:rsidR="00203F72" w:rsidRPr="002F3FE8">
        <w:footnoteReference w:id="541"/>
      </w:r>
      <w:r w:rsidR="00203F72" w:rsidRPr="002F3FE8">
        <w:t>；</w:t>
      </w:r>
    </w:p>
    <w:p w14:paraId="44760B4D" w14:textId="77777777" w:rsidR="00203F72" w:rsidRPr="002F3FE8" w:rsidRDefault="00331EC1" w:rsidP="00D87D91">
      <w:r w:rsidRPr="002F3FE8">
        <w:rPr>
          <w:rFonts w:hint="eastAsia"/>
        </w:rPr>
        <w:t xml:space="preserve">　　</w:t>
      </w:r>
      <w:r w:rsidRPr="002F3FE8">
        <w:rPr>
          <w:rFonts w:hint="eastAsia"/>
        </w:rPr>
        <w:t>4</w:t>
      </w:r>
      <w:r w:rsidRPr="002F3FE8">
        <w:rPr>
          <w:rFonts w:hint="eastAsia"/>
        </w:rPr>
        <w:t>、</w:t>
      </w:r>
      <w:r w:rsidR="00203F72" w:rsidRPr="002F3FE8">
        <w:t>「家事勞工保障法草案」恐無法有效地解決家事外勞全年無休之困境，更甚者，會進一步有效地強化家事外勞全年無休之合法性，亦即，令其具有法律上之合法效果。</w:t>
      </w:r>
    </w:p>
    <w:p w14:paraId="7F9C5DF0" w14:textId="77777777" w:rsidR="00203F72" w:rsidRPr="002F3FE8" w:rsidRDefault="00331EC1" w:rsidP="00D87D91">
      <w:r w:rsidRPr="002F3FE8">
        <w:rPr>
          <w:rFonts w:hint="eastAsia"/>
        </w:rPr>
        <w:t xml:space="preserve">　　</w:t>
      </w:r>
      <w:r w:rsidRPr="002F3FE8">
        <w:rPr>
          <w:rFonts w:hint="eastAsia"/>
        </w:rPr>
        <w:t>5</w:t>
      </w:r>
      <w:r w:rsidRPr="002F3FE8">
        <w:rPr>
          <w:rFonts w:hint="eastAsia"/>
        </w:rPr>
        <w:t>、</w:t>
      </w:r>
      <w:r w:rsidR="00203F72" w:rsidRPr="002F3FE8">
        <w:t>由於受到家庭並非企業工作職場之主張與觀念之影響，仍無法令「家事勞工保障法草案」對於家事外勞作出周延之保障；</w:t>
      </w:r>
    </w:p>
    <w:p w14:paraId="2CCCBFA4" w14:textId="77777777" w:rsidR="00203F72" w:rsidRPr="002F3FE8" w:rsidRDefault="00203F72" w:rsidP="00D87D91">
      <w:r w:rsidRPr="002F3FE8">
        <w:t xml:space="preserve">　　在「家事勞工保障法草案」草擬之過程中，本草案似乎受到不少之批評。諸如，於</w:t>
      </w:r>
      <w:r w:rsidRPr="002F3FE8">
        <w:t>2011</w:t>
      </w:r>
      <w:r w:rsidRPr="002F3FE8">
        <w:t>年元月，外勞團體曾批判過此一草案，最主要之爭議，在於工資及工時之相關條文；外勞團體認為上開草案中，涉及工資及工時條文之規範，對於家事外勞權益之保障，明顯不足，故外勞團體批評上開勞委會所草擬之版本，不僅不及格，甚至僅有</w:t>
      </w:r>
      <w:r w:rsidRPr="002F3FE8">
        <w:t>30</w:t>
      </w:r>
      <w:r w:rsidRPr="002F3FE8">
        <w:t>分</w:t>
      </w:r>
      <w:r w:rsidRPr="002F3FE8">
        <w:footnoteReference w:id="542"/>
      </w:r>
      <w:r w:rsidRPr="002F3FE8">
        <w:t>，</w:t>
      </w:r>
      <w:r w:rsidRPr="002F3FE8">
        <w:t>30</w:t>
      </w:r>
      <w:r w:rsidRPr="002F3FE8">
        <w:t>分是相當低之分數，由此亦可發現，在外勞及外勞人權團體之眼中，「家事勞工保障法」似乎是無法有效地保障家事外勞之工資及工時。</w:t>
      </w:r>
    </w:p>
    <w:p w14:paraId="45E0CF5E" w14:textId="77777777" w:rsidR="00203F72" w:rsidRPr="002F3FE8" w:rsidRDefault="00203F72" w:rsidP="00D87D91">
      <w:r w:rsidRPr="002F3FE8">
        <w:t xml:space="preserve">　　我國對於家事外勞之保障，除了面臨上述之爭議與批評之外，另外，值得關注之一點，係對於家事外勞外勞之保障，是否已符合「國民待遇原則」？亦頗值得加以探討之。何謂「國民待遇原則」，此原則並非「最低基準（標準）」原則</w:t>
      </w:r>
      <w:r w:rsidRPr="002F3FE8">
        <w:footnoteReference w:id="543"/>
      </w:r>
      <w:r w:rsidRPr="002F3FE8">
        <w:t>，而係指給予家事外勞在工作場所、經濟、社會、政治與文化等方面，享有與國民平等之待遇</w:t>
      </w:r>
      <w:r w:rsidRPr="002F3FE8">
        <w:footnoteReference w:id="544"/>
      </w:r>
      <w:r w:rsidRPr="002F3FE8">
        <w:t>。目前，在國際社會上，對於外勞權益之保障最為周延之法律檔，係為「</w:t>
      </w:r>
      <w:hyperlink r:id="rId1765" w:history="1">
        <w:r w:rsidRPr="007D25E4">
          <w:rPr>
            <w:rStyle w:val="a5"/>
            <w:rFonts w:ascii="Times New Roman" w:eastAsia="新細明體" w:hAnsi="Times New Roman"/>
          </w:rPr>
          <w:t>保護所有移徙工人及其家庭成員權利國際公約</w:t>
        </w:r>
      </w:hyperlink>
      <w:r w:rsidRPr="002F3FE8">
        <w:t>」。</w:t>
      </w:r>
    </w:p>
    <w:p w14:paraId="5C802C5A" w14:textId="77777777" w:rsidR="00203F72" w:rsidRPr="002F3FE8" w:rsidRDefault="00331EC1" w:rsidP="00D87D91">
      <w:r w:rsidRPr="002F3FE8">
        <w:t xml:space="preserve">　　</w:t>
      </w:r>
      <w:r w:rsidR="00203F72" w:rsidRPr="002F3FE8">
        <w:t>根據上開公約</w:t>
      </w:r>
      <w:hyperlink r:id="rId1766" w:anchor="a25" w:history="1">
        <w:r w:rsidR="00203F72" w:rsidRPr="007D25E4">
          <w:rPr>
            <w:rStyle w:val="a5"/>
            <w:rFonts w:ascii="Times New Roman" w:eastAsia="新細明體" w:hAnsi="Times New Roman"/>
          </w:rPr>
          <w:t>第</w:t>
        </w:r>
        <w:r w:rsidR="00203F72" w:rsidRPr="007D25E4">
          <w:rPr>
            <w:rStyle w:val="a5"/>
            <w:rFonts w:ascii="Times New Roman" w:eastAsia="新細明體" w:hAnsi="Times New Roman"/>
          </w:rPr>
          <w:t>25</w:t>
        </w:r>
        <w:r w:rsidR="00203F72" w:rsidRPr="007D25E4">
          <w:rPr>
            <w:rStyle w:val="a5"/>
            <w:rFonts w:ascii="Times New Roman" w:eastAsia="新細明體" w:hAnsi="Times New Roman"/>
          </w:rPr>
          <w:t>條</w:t>
        </w:r>
      </w:hyperlink>
      <w:r w:rsidR="00203F72" w:rsidRPr="002F3FE8">
        <w:t>之規定，移徙工人在工作報酬和以下其他方面，應享有不低於適用於就業國國民之待遇；（</w:t>
      </w:r>
      <w:r w:rsidR="00203F72" w:rsidRPr="002F3FE8">
        <w:t>a</w:t>
      </w:r>
      <w:r w:rsidR="00203F72" w:rsidRPr="002F3FE8">
        <w:t>）其他工作條件，即加班、工時、每週休假、有薪假日、安全、衛生、僱傭關係之結束，以及依照國家法律和慣例，本詞所涵蓋之任何其他工作條件；（</w:t>
      </w:r>
      <w:r w:rsidR="00203F72" w:rsidRPr="002F3FE8">
        <w:t>b</w:t>
      </w:r>
      <w:r w:rsidR="00203F72" w:rsidRPr="002F3FE8">
        <w:t>）其他僱傭關係，即最低就業年齡、在家工作之限制，以及依照國家法律和慣例，經認為是僱用條件之任何其他事項（</w:t>
      </w:r>
      <w:hyperlink r:id="rId1767"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00203F72" w:rsidRPr="002F3FE8">
        <w:t>第</w:t>
      </w:r>
      <w:r w:rsidR="00203F72" w:rsidRPr="002F3FE8">
        <w:t>1</w:t>
      </w:r>
      <w:r w:rsidR="00203F72" w:rsidRPr="002F3FE8">
        <w:t>項）；在私人僱用合約中，克減本條第</w:t>
      </w:r>
      <w:r w:rsidR="00203F72" w:rsidRPr="002F3FE8">
        <w:t>1</w:t>
      </w:r>
      <w:r w:rsidR="00203F72" w:rsidRPr="002F3FE8">
        <w:t>項所述之平等待遇原則，應屬非法（</w:t>
      </w:r>
      <w:hyperlink r:id="rId1768"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00203F72" w:rsidRPr="002F3FE8">
        <w:t>第</w:t>
      </w:r>
      <w:r w:rsidR="00203F72" w:rsidRPr="002F3FE8">
        <w:t>2</w:t>
      </w:r>
      <w:r w:rsidR="00203F72" w:rsidRPr="002F3FE8">
        <w:t>項）；締約國應採取一切適當措施，確保移徙工人不因其逗留或就業有任何不正當情況而被剝奪因本原則而獲得之任何權利。特別是雇主不得由於任何這種不正常情況而得免除任何法律的或合同的義務，或對其義務有任何方式之限制（</w:t>
      </w:r>
      <w:hyperlink r:id="rId1769"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00203F72" w:rsidRPr="002F3FE8">
        <w:t>第</w:t>
      </w:r>
      <w:r w:rsidR="00203F72" w:rsidRPr="002F3FE8">
        <w:t>3</w:t>
      </w:r>
      <w:r w:rsidR="00203F72" w:rsidRPr="002F3FE8">
        <w:t>項）。</w:t>
      </w:r>
    </w:p>
    <w:p w14:paraId="3C32656B" w14:textId="77777777" w:rsidR="00203F72" w:rsidRPr="002F3FE8" w:rsidRDefault="00203F72" w:rsidP="00D87D91">
      <w:r w:rsidRPr="002F3FE8">
        <w:t xml:space="preserve">　　依據上開「保護所有移徙工人及其家庭成員權利國際公約」</w:t>
      </w:r>
      <w:hyperlink r:id="rId1770" w:anchor="a25" w:history="1">
        <w:r w:rsidR="00166E2F" w:rsidRPr="007D25E4">
          <w:rPr>
            <w:rStyle w:val="a5"/>
            <w:rFonts w:ascii="Times New Roman" w:eastAsia="新細明體" w:hAnsi="Times New Roman"/>
          </w:rPr>
          <w:t>第</w:t>
        </w:r>
        <w:r w:rsidR="00166E2F" w:rsidRPr="007D25E4">
          <w:rPr>
            <w:rStyle w:val="a5"/>
            <w:rFonts w:ascii="Times New Roman" w:eastAsia="新細明體" w:hAnsi="Times New Roman"/>
          </w:rPr>
          <w:t>25</w:t>
        </w:r>
        <w:r w:rsidR="00166E2F" w:rsidRPr="007D25E4">
          <w:rPr>
            <w:rStyle w:val="a5"/>
            <w:rFonts w:ascii="Times New Roman" w:eastAsia="新細明體" w:hAnsi="Times New Roman"/>
          </w:rPr>
          <w:t>條</w:t>
        </w:r>
      </w:hyperlink>
      <w:r w:rsidRPr="002F3FE8">
        <w:t>之規範，可得知所謂之「國民待遇原則」，針對</w:t>
      </w:r>
      <w:hyperlink r:id="rId1771"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Pr="002F3FE8">
        <w:t>而言，適用之範圍頗廣，計包括：工資（工作報酬）、工作及僱用條件。再者，根據上開公約</w:t>
      </w:r>
      <w:hyperlink r:id="rId1772"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Pr="002F3FE8">
        <w:t>第</w:t>
      </w:r>
      <w:r w:rsidRPr="002F3FE8">
        <w:t>2</w:t>
      </w:r>
      <w:r w:rsidRPr="002F3FE8">
        <w:t>項之規定，在私人僱用合約之中，克減本條第</w:t>
      </w:r>
      <w:r w:rsidRPr="002F3FE8">
        <w:t>1</w:t>
      </w:r>
      <w:r w:rsidRPr="002F3FE8">
        <w:t>項所述之「平等待遇原則」，應屬於非法行為。是以，用此一條項檢</w:t>
      </w:r>
      <w:r w:rsidR="003E240E">
        <w:t>視</w:t>
      </w:r>
      <w:r w:rsidRPr="002F3FE8">
        <w:t>我國之「家事勞工保障法草案」之內涵，上述草案之若干規定，恐有涉嫌違反上開公約</w:t>
      </w:r>
      <w:hyperlink r:id="rId1773"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Pr="002F3FE8">
        <w:t>第</w:t>
      </w:r>
      <w:r w:rsidRPr="002F3FE8">
        <w:t>2</w:t>
      </w:r>
      <w:r w:rsidRPr="002F3FE8">
        <w:t>項之虞。台灣「家事勞工保障法草案」違反上開公約</w:t>
      </w:r>
      <w:hyperlink r:id="rId1774"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Pr="002F3FE8">
        <w:t>平等待遇原則之部分，計如下所述：</w:t>
      </w:r>
      <w:r w:rsidRPr="002F3FE8">
        <w:t>1.</w:t>
      </w:r>
      <w:r w:rsidRPr="002F3FE8">
        <w:t>工作報酬（同工卻不同酬）；</w:t>
      </w:r>
      <w:r w:rsidRPr="002F3FE8">
        <w:t>2.</w:t>
      </w:r>
      <w:r w:rsidRPr="002F3FE8">
        <w:t>加班；</w:t>
      </w:r>
      <w:r w:rsidRPr="002F3FE8">
        <w:t>3.</w:t>
      </w:r>
      <w:r w:rsidRPr="002F3FE8">
        <w:t>工時；</w:t>
      </w:r>
      <w:r w:rsidRPr="002F3FE8">
        <w:t>4.</w:t>
      </w:r>
      <w:r w:rsidRPr="002F3FE8">
        <w:t>每週休假；</w:t>
      </w:r>
      <w:r w:rsidRPr="002F3FE8">
        <w:t>5.</w:t>
      </w:r>
      <w:r w:rsidRPr="002F3FE8">
        <w:t>有薪假日；</w:t>
      </w:r>
      <w:r w:rsidRPr="002F3FE8">
        <w:t>6.</w:t>
      </w:r>
      <w:r w:rsidRPr="002F3FE8">
        <w:t>安全（台灣家事外勞常受到性騷擾與性侵害）</w:t>
      </w:r>
      <w:r w:rsidRPr="002F3FE8">
        <w:footnoteReference w:id="545"/>
      </w:r>
      <w:r w:rsidRPr="002F3FE8">
        <w:t>等。</w:t>
      </w:r>
    </w:p>
    <w:p w14:paraId="746982D9" w14:textId="77777777" w:rsidR="00953151" w:rsidRPr="002F3FE8" w:rsidRDefault="00331EC1" w:rsidP="00D87D91">
      <w:r w:rsidRPr="002F3FE8">
        <w:t xml:space="preserve">　　</w:t>
      </w:r>
      <w:r w:rsidR="00203F72" w:rsidRPr="002F3FE8">
        <w:t>其中，較嚴重之部分，係為工資、工時及休假問題，雖然，我國並非「保護所有移徙工人及其家庭成員權利國際公約」之締約國，並無國際法上之義務，承擔上開公約之法律責任與義務；然而，對於家事外勞基本人權之保障，已是普世公認之價值，台灣自許為人權立國，有關於家事外勞工作權之保障，宜符合國際公約之要求標準為佳。據上所論，本書認為我國「</w:t>
      </w:r>
      <w:hyperlink r:id="rId1775" w:history="1">
        <w:r w:rsidR="00203F72" w:rsidRPr="002F3FE8">
          <w:rPr>
            <w:rStyle w:val="a5"/>
            <w:rFonts w:ascii="Times New Roman" w:eastAsia="新細明體" w:hAnsi="Times New Roman"/>
          </w:rPr>
          <w:t>勞動基準法</w:t>
        </w:r>
      </w:hyperlink>
      <w:r w:rsidR="00203F72" w:rsidRPr="002F3FE8">
        <w:t>」之適用對象，宜包括家事外勞；上述之選項，如反對聲浪過大，主管機關經謹慎之評估後，等而下之，退而求其次，始選擇訂定專法</w:t>
      </w:r>
      <w:r w:rsidR="00203F72" w:rsidRPr="002F3FE8">
        <w:t>(</w:t>
      </w:r>
      <w:r w:rsidR="00203F72" w:rsidRPr="002F3FE8">
        <w:t>諸如「家事勞工保障法草案」</w:t>
      </w:r>
      <w:r w:rsidR="00203F72" w:rsidRPr="002F3FE8">
        <w:t>)</w:t>
      </w:r>
      <w:r w:rsidR="00203F72" w:rsidRPr="002F3FE8">
        <w:t>之模式。</w:t>
      </w:r>
    </w:p>
    <w:p w14:paraId="0ECDBBE4" w14:textId="77777777" w:rsidR="003B41D4" w:rsidRDefault="003B41D4" w:rsidP="00166E2F">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05ADD374" w14:textId="77777777" w:rsidR="003B41D4" w:rsidRDefault="003B41D4" w:rsidP="00D87D91"/>
    <w:p w14:paraId="7895B066" w14:textId="77777777" w:rsidR="00953151" w:rsidRDefault="00203F72" w:rsidP="00767F37">
      <w:pPr>
        <w:pStyle w:val="2"/>
      </w:pPr>
      <w:bookmarkStart w:id="82" w:name="_陸、主管機關對於外籍家事勞工與僱主間勞資契約之管控機制"/>
      <w:bookmarkEnd w:id="82"/>
      <w:r w:rsidRPr="00A53581">
        <w:t>陸、主管機關對於外籍家事勞工與僱主間勞資契約之管控機制</w:t>
      </w:r>
    </w:p>
    <w:p w14:paraId="219D4027" w14:textId="77777777" w:rsidR="00203F72" w:rsidRPr="001B1539" w:rsidRDefault="00203F72" w:rsidP="00D87D91">
      <w:r w:rsidRPr="001B1539">
        <w:t xml:space="preserve">　　因加拿大安大略省對於外籍家事勞工之工作保障，將其納入</w:t>
      </w:r>
      <w:r w:rsidRPr="001B1539">
        <w:t>ESA</w:t>
      </w:r>
      <w:r w:rsidRPr="001B1539">
        <w:t>之適用對象中，故其保障之範疇，頗為周延。相較而論，我國並未將家事外勞納入</w:t>
      </w:r>
      <w:hyperlink r:id="rId1776" w:history="1">
        <w:r w:rsidR="002F3FE8" w:rsidRPr="002F3FE8">
          <w:rPr>
            <w:rStyle w:val="a5"/>
            <w:rFonts w:ascii="Times New Roman" w:eastAsia="新細明體" w:hAnsi="Times New Roman"/>
          </w:rPr>
          <w:t>勞基法</w:t>
        </w:r>
      </w:hyperlink>
      <w:r w:rsidRPr="001B1539">
        <w:t>之中，而係改訂專法</w:t>
      </w:r>
      <w:r w:rsidRPr="001B1539">
        <w:footnoteReference w:id="546"/>
      </w:r>
      <w:r w:rsidRPr="001B1539">
        <w:t>。在「家事勞工保障法草案」之中，涉及工時、工資及休假部分，均訂有勞資雙方協議（議定）之機制；亦即，適用</w:t>
      </w:r>
      <w:hyperlink r:id="rId1777" w:history="1">
        <w:r w:rsidR="008F066C" w:rsidRPr="00707676">
          <w:rPr>
            <w:rStyle w:val="a5"/>
            <w:rFonts w:ascii="Times New Roman" w:eastAsia="新細明體" w:hAnsi="Times New Roman"/>
          </w:rPr>
          <w:t>民法</w:t>
        </w:r>
      </w:hyperlink>
      <w:r w:rsidRPr="001B1539">
        <w:t>契約自由之原則。然而，上開之草案，對於勞資雙方之勞動契約，未訂有審查或管制（規制）之機制，是否適切？頗值得探討。如勞資雙方訂定一項契約，其中約定「全年無休」之條款，是否合法？是否符合國際人權相關公約之規範，不無疑義。</w:t>
      </w:r>
    </w:p>
    <w:p w14:paraId="28B2DED4" w14:textId="77777777" w:rsidR="00203F72" w:rsidRPr="001B1539" w:rsidRDefault="00331EC1" w:rsidP="00D87D91">
      <w:r w:rsidRPr="001B1539">
        <w:t xml:space="preserve">　　</w:t>
      </w:r>
      <w:r w:rsidR="00203F72" w:rsidRPr="001B1539">
        <w:t>再者，家事外勞在全年無休之狀況下，身心恐面臨巨大之壓力，是否會形成一個不定時炸彈，亦值得詳加思索</w:t>
      </w:r>
      <w:r w:rsidR="00203F72" w:rsidRPr="001B1539">
        <w:footnoteReference w:id="547"/>
      </w:r>
      <w:r w:rsidR="00203F72" w:rsidRPr="001B1539">
        <w:t>。有論者甚認為，家事外勞之處境，類似於孤軍，工作環境到處充滿困境；而家事外勞本身就宛如一顆顆不定時之炸彈，隨時會引爆；同時，又像被火紋身之受難者</w:t>
      </w:r>
      <w:r w:rsidR="00203F72" w:rsidRPr="001B1539">
        <w:footnoteReference w:id="548"/>
      </w:r>
      <w:r w:rsidR="00203F72" w:rsidRPr="001B1539">
        <w:t>。上述之情形，很多之問題，均是勞資雙方契約自由所造成之態勢。</w:t>
      </w:r>
    </w:p>
    <w:p w14:paraId="711B2981" w14:textId="77777777" w:rsidR="00203F72" w:rsidRPr="001B1539" w:rsidRDefault="00331EC1" w:rsidP="00D87D91">
      <w:r w:rsidRPr="001B1539">
        <w:t xml:space="preserve">　　</w:t>
      </w:r>
      <w:r w:rsidR="00203F72" w:rsidRPr="001B1539">
        <w:t>是以，有關於適用於</w:t>
      </w:r>
      <w:hyperlink r:id="rId1778" w:history="1">
        <w:r w:rsidR="008F066C" w:rsidRPr="00707676">
          <w:rPr>
            <w:rStyle w:val="a5"/>
            <w:rFonts w:ascii="Times New Roman" w:eastAsia="新細明體" w:hAnsi="Times New Roman"/>
          </w:rPr>
          <w:t>民法</w:t>
        </w:r>
      </w:hyperlink>
      <w:r w:rsidR="00203F72" w:rsidRPr="001B1539">
        <w:t>領域中之契約自由原則，是否仍可全盤地適用於勞動法之領域中，不無疑慮。基本上，</w:t>
      </w:r>
      <w:hyperlink r:id="rId1779" w:history="1">
        <w:r w:rsidR="008F066C" w:rsidRPr="00707676">
          <w:rPr>
            <w:rStyle w:val="a5"/>
            <w:rFonts w:ascii="Times New Roman" w:eastAsia="新細明體" w:hAnsi="Times New Roman"/>
          </w:rPr>
          <w:t>民法</w:t>
        </w:r>
      </w:hyperlink>
      <w:r w:rsidR="00203F72" w:rsidRPr="001B1539">
        <w:t>與勞動法之領域，是完全不同之範疇，此外，再加上處於絕對弱勢之家事外勞之因素，更令上述契約自由原則之正當性與公平性，承受更多之質疑與挑戰。可行之道，似有必要限制或管制勞資契約自由之原則。</w:t>
      </w:r>
    </w:p>
    <w:p w14:paraId="3A14266F" w14:textId="77777777" w:rsidR="00203F72" w:rsidRPr="001B1539" w:rsidRDefault="00331EC1" w:rsidP="00D87D91">
      <w:r w:rsidRPr="001B1539">
        <w:t xml:space="preserve">　　</w:t>
      </w:r>
      <w:r w:rsidR="00203F72" w:rsidRPr="001B1539">
        <w:t>另外，台灣國際勞工協會對於官方版「家事勞工保障法」中之休假及工時基本權利之相關規定，亦提出以下之看法，其主張因「家事勞工保障法」對於家事外勞之休假及工時等之基本權利，設計成為勞雇雙方可加以協商之模式，等於將現行奴工處境加以合法化。台灣國際勞工協會遂大力主張家事外勞之休假權利，係最基本之勞動條件，此項之勞動權利不可協商</w:t>
      </w:r>
      <w:r w:rsidR="00203F72" w:rsidRPr="001B1539">
        <w:footnoteReference w:id="549"/>
      </w:r>
      <w:r w:rsidR="00203F72" w:rsidRPr="001B1539">
        <w:t>。根據上開台灣國際勞工協會之觀點，如將</w:t>
      </w:r>
      <w:hyperlink r:id="rId1780" w:history="1">
        <w:r w:rsidR="008F066C" w:rsidRPr="00707676">
          <w:rPr>
            <w:rStyle w:val="a5"/>
            <w:rFonts w:ascii="Times New Roman" w:eastAsia="新細明體" w:hAnsi="Times New Roman"/>
          </w:rPr>
          <w:t>民法</w:t>
        </w:r>
      </w:hyperlink>
      <w:r w:rsidR="00203F72" w:rsidRPr="001B1539">
        <w:t>領域中之契約自由原則全盤地引進家事勞動之領域中，似乎亦無法有效地解決目前家事外勞全年無休之困境。更甚者，將此一不合理之現象加以合法化。有關台灣國際勞工協會上述所指出之缺陷，「家事勞工保障法」於立法之過程中，立法委員亦宜加以納入考量。</w:t>
      </w:r>
    </w:p>
    <w:p w14:paraId="321351CF" w14:textId="77777777" w:rsidR="00203F72" w:rsidRPr="001B1539" w:rsidRDefault="00203F72" w:rsidP="00D87D91">
      <w:r w:rsidRPr="001B1539">
        <w:t xml:space="preserve">　　茲以家事外勞超時加班、自願長期放棄休假為例，假若勞資雙方契約（以口頭或書面）訂定上開之內容，其合法性頗具爭議性。依據「保護所有移徙工人及其家庭成員權利國際公約」</w:t>
      </w:r>
      <w:hyperlink r:id="rId1781" w:anchor="a10" w:history="1">
        <w:r w:rsidRPr="009937E4">
          <w:rPr>
            <w:rStyle w:val="a5"/>
            <w:rFonts w:ascii="Times New Roman" w:eastAsia="新細明體" w:hAnsi="Times New Roman"/>
          </w:rPr>
          <w:t>第</w:t>
        </w:r>
        <w:r w:rsidRPr="009937E4">
          <w:rPr>
            <w:rStyle w:val="a5"/>
            <w:rFonts w:ascii="Times New Roman" w:eastAsia="新細明體" w:hAnsi="Times New Roman"/>
          </w:rPr>
          <w:t>10</w:t>
        </w:r>
        <w:r w:rsidRPr="009937E4">
          <w:rPr>
            <w:rStyle w:val="a5"/>
            <w:rFonts w:ascii="Times New Roman" w:eastAsia="新細明體" w:hAnsi="Times New Roman"/>
          </w:rPr>
          <w:t>條</w:t>
        </w:r>
      </w:hyperlink>
      <w:r w:rsidRPr="001B1539">
        <w:t>之規定，「移徙工人及其家庭成員不應受到酷刑或殘忍不人道、有辱人格之待遇或處罰。」上述家事外勞所承受超時加班及自願長期放棄休假之待遇，恐有違反上開公約第</w:t>
      </w:r>
      <w:r w:rsidRPr="001B1539">
        <w:t>10</w:t>
      </w:r>
      <w:r w:rsidRPr="001B1539">
        <w:t>條之虞，因家事外勞之所以會簽訂「自願」長期放棄休假，事實上，在勞資不平等之立場上，家事外勞恐毫無選擇之權利。是以，上述之「自願」，乃是出於被迫所導致，故恐無法</w:t>
      </w:r>
      <w:r w:rsidR="003E240E">
        <w:t>視</w:t>
      </w:r>
      <w:r w:rsidRPr="001B1539">
        <w:t>為出於真正之自由意志。因被外在形勢所逼而簽訂之自願長期放棄休假契約，合法性頗存有疑慮，恐是一種殘忍、不人道及有辱家事外勞基本人權之待遇。</w:t>
      </w:r>
    </w:p>
    <w:p w14:paraId="2A3631BD" w14:textId="77777777" w:rsidR="00203F72" w:rsidRPr="001B1539" w:rsidRDefault="00203F72" w:rsidP="00D87D91">
      <w:r w:rsidRPr="001B1539">
        <w:t xml:space="preserve">　　再者，根據上開「保護所有移徙工人及其家庭成員權利國際公約」公約</w:t>
      </w:r>
      <w:hyperlink r:id="rId1782" w:anchor="a11" w:history="1">
        <w:r w:rsidRPr="009937E4">
          <w:rPr>
            <w:rStyle w:val="a5"/>
            <w:rFonts w:ascii="Times New Roman" w:eastAsia="新細明體" w:hAnsi="Times New Roman"/>
          </w:rPr>
          <w:t>第</w:t>
        </w:r>
        <w:r w:rsidRPr="009937E4">
          <w:rPr>
            <w:rStyle w:val="a5"/>
            <w:rFonts w:ascii="Times New Roman" w:eastAsia="新細明體" w:hAnsi="Times New Roman"/>
          </w:rPr>
          <w:t>11</w:t>
        </w:r>
        <w:r w:rsidRPr="009937E4">
          <w:rPr>
            <w:rStyle w:val="a5"/>
            <w:rFonts w:ascii="Times New Roman" w:eastAsia="新細明體" w:hAnsi="Times New Roman"/>
          </w:rPr>
          <w:t>條</w:t>
        </w:r>
      </w:hyperlink>
      <w:r w:rsidRPr="001B1539">
        <w:t>第</w:t>
      </w:r>
      <w:r w:rsidRPr="001B1539">
        <w:t>2</w:t>
      </w:r>
      <w:r w:rsidRPr="001B1539">
        <w:t>項之規定，「移徙工人及其家庭成員不得被要求從事強迫或強制勞動。」然而，在台灣，依據勞委會之調查，家事外勞常遭遇之問題，計有：超時工作無法休假、遭受性騷擾、人身侵害及生活環境不佳等</w:t>
      </w:r>
      <w:r w:rsidRPr="001B1539">
        <w:footnoteReference w:id="550"/>
      </w:r>
      <w:r w:rsidRPr="001B1539">
        <w:t>。上述問題中之超時工作無法休假部分，家事外勞因擔慮會被雇主解聘而遭遣返，在此種情形下所作出之承諾，亦非其內心之本意。此時之超時工作，亦有無耐地被雇主強迫（制）勞動（加班）之虞，恐業已違返上開公</w:t>
      </w:r>
      <w:r w:rsidR="009937E4" w:rsidRPr="001B1539">
        <w:t>約</w:t>
      </w:r>
      <w:hyperlink r:id="rId1783" w:anchor="a11" w:history="1">
        <w:r w:rsidR="009937E4" w:rsidRPr="009937E4">
          <w:rPr>
            <w:rStyle w:val="a5"/>
            <w:rFonts w:ascii="Times New Roman" w:eastAsia="新細明體" w:hAnsi="Times New Roman"/>
          </w:rPr>
          <w:t>第</w:t>
        </w:r>
        <w:r w:rsidR="009937E4" w:rsidRPr="009937E4">
          <w:rPr>
            <w:rStyle w:val="a5"/>
            <w:rFonts w:ascii="Times New Roman" w:eastAsia="新細明體" w:hAnsi="Times New Roman"/>
          </w:rPr>
          <w:t>11</w:t>
        </w:r>
        <w:r w:rsidR="009937E4" w:rsidRPr="009937E4">
          <w:rPr>
            <w:rStyle w:val="a5"/>
            <w:rFonts w:ascii="Times New Roman" w:eastAsia="新細明體" w:hAnsi="Times New Roman"/>
          </w:rPr>
          <w:t>條</w:t>
        </w:r>
      </w:hyperlink>
      <w:r w:rsidRPr="001B1539">
        <w:t>第</w:t>
      </w:r>
      <w:r w:rsidRPr="001B1539">
        <w:t>2</w:t>
      </w:r>
      <w:r w:rsidRPr="001B1539">
        <w:t>項之規範，即不得要求家事外勞強迫或強制勞動之要求與規範。因家事外勞所處之地位極端地不平等與不對稱，無法形成一種與雇主平等之態式，在此種情況下，勞資雙方之契約自由原則，應受到政府之主導、規制與掌控，而非完全放任之。</w:t>
      </w:r>
    </w:p>
    <w:p w14:paraId="7C1EFAB2" w14:textId="77777777" w:rsidR="00203F72" w:rsidRPr="001B1539" w:rsidRDefault="00203F72" w:rsidP="00D87D91">
      <w:r w:rsidRPr="001B1539">
        <w:t xml:space="preserve">　　在我國之實務場景中，家事外勞被雇主以直接或間接之方式強迫加班者，層出不窮；被迫長時間工作，對於家事外勞而言，是一個急需解決之嚴重問題。家事外勞被迫簽下同意書而自願加班，有論者認為，雇主此種之作法，恐已構成侵權</w:t>
      </w:r>
      <w:r w:rsidRPr="001B1539">
        <w:footnoteReference w:id="551"/>
      </w:r>
      <w:r w:rsidRPr="001B1539">
        <w:t>。在</w:t>
      </w:r>
      <w:r w:rsidRPr="001B1539">
        <w:t>21</w:t>
      </w:r>
      <w:r w:rsidRPr="001B1539">
        <w:t>世紀之法治國中，有一項非常重要之原則，即基本人權不得拋棄。我國民法</w:t>
      </w:r>
      <w:hyperlink r:id="rId1784" w:anchor="a17" w:history="1">
        <w:r w:rsidRPr="00707676">
          <w:rPr>
            <w:rStyle w:val="a5"/>
            <w:rFonts w:ascii="Times New Roman" w:eastAsia="新細明體" w:hAnsi="Times New Roman"/>
          </w:rPr>
          <w:t>第</w:t>
        </w:r>
        <w:r w:rsidRPr="00707676">
          <w:rPr>
            <w:rStyle w:val="a5"/>
            <w:rFonts w:ascii="Times New Roman" w:eastAsia="新細明體" w:hAnsi="Times New Roman"/>
          </w:rPr>
          <w:t>17</w:t>
        </w:r>
        <w:r w:rsidRPr="00707676">
          <w:rPr>
            <w:rStyle w:val="a5"/>
            <w:rFonts w:ascii="Times New Roman" w:eastAsia="新細明體" w:hAnsi="Times New Roman"/>
          </w:rPr>
          <w:t>條</w:t>
        </w:r>
      </w:hyperlink>
      <w:r w:rsidRPr="001B1539">
        <w:t>第</w:t>
      </w:r>
      <w:r w:rsidRPr="001B1539">
        <w:t>1</w:t>
      </w:r>
      <w:r w:rsidRPr="001B1539">
        <w:t>項亦明文規範，「自由不得拋棄」。上述之規範，係屬於「強制規定」中之「禁止規定」</w:t>
      </w:r>
      <w:r w:rsidRPr="001B1539">
        <w:footnoteReference w:id="552"/>
      </w:r>
      <w:r w:rsidRPr="001B1539">
        <w:t>。假若勞資雙方之契約內容，違反上述之禁止規定，依民法</w:t>
      </w:r>
      <w:hyperlink r:id="rId1785" w:anchor="a71" w:history="1">
        <w:r w:rsidR="00314E1E" w:rsidRPr="00707676">
          <w:rPr>
            <w:rStyle w:val="a5"/>
            <w:rFonts w:ascii="Times New Roman" w:eastAsia="新細明體" w:hAnsi="Times New Roman"/>
          </w:rPr>
          <w:t>第</w:t>
        </w:r>
        <w:r w:rsidR="00314E1E" w:rsidRPr="00707676">
          <w:rPr>
            <w:rStyle w:val="a5"/>
            <w:rFonts w:ascii="Times New Roman" w:eastAsia="新細明體" w:hAnsi="Times New Roman"/>
          </w:rPr>
          <w:t>71</w:t>
        </w:r>
        <w:r w:rsidR="00314E1E" w:rsidRPr="00707676">
          <w:rPr>
            <w:rStyle w:val="a5"/>
            <w:rFonts w:ascii="Times New Roman" w:eastAsia="新細明體" w:hAnsi="Times New Roman"/>
          </w:rPr>
          <w:t>條</w:t>
        </w:r>
      </w:hyperlink>
      <w:r w:rsidRPr="001B1539">
        <w:t>之規範，「法律行為，違反強制或禁止規定者，無效。」是以，</w:t>
      </w:r>
      <w:r w:rsidRPr="001B1539">
        <w:t xml:space="preserve"> </w:t>
      </w:r>
      <w:r w:rsidRPr="001B1539">
        <w:t>家事外勞自願長期放棄休假之契約，恐有觸犯民</w:t>
      </w:r>
      <w:r w:rsidR="00314E1E" w:rsidRPr="001B1539">
        <w:t>法</w:t>
      </w:r>
      <w:hyperlink r:id="rId1786" w:anchor="a17" w:history="1">
        <w:r w:rsidR="00314E1E" w:rsidRPr="00707676">
          <w:rPr>
            <w:rStyle w:val="a5"/>
            <w:rFonts w:ascii="Times New Roman" w:eastAsia="新細明體" w:hAnsi="Times New Roman"/>
          </w:rPr>
          <w:t>第</w:t>
        </w:r>
        <w:r w:rsidR="00314E1E" w:rsidRPr="00707676">
          <w:rPr>
            <w:rStyle w:val="a5"/>
            <w:rFonts w:ascii="Times New Roman" w:eastAsia="新細明體" w:hAnsi="Times New Roman"/>
          </w:rPr>
          <w:t>17</w:t>
        </w:r>
        <w:r w:rsidR="00314E1E" w:rsidRPr="00707676">
          <w:rPr>
            <w:rStyle w:val="a5"/>
            <w:rFonts w:ascii="Times New Roman" w:eastAsia="新細明體" w:hAnsi="Times New Roman"/>
          </w:rPr>
          <w:t>條</w:t>
        </w:r>
      </w:hyperlink>
      <w:r w:rsidRPr="001B1539">
        <w:t>第</w:t>
      </w:r>
      <w:r w:rsidRPr="001B1539">
        <w:t>1</w:t>
      </w:r>
      <w:r w:rsidRPr="001B1539">
        <w:t>項及</w:t>
      </w:r>
      <w:hyperlink r:id="rId1787" w:anchor="a71" w:history="1">
        <w:r w:rsidRPr="00707676">
          <w:rPr>
            <w:rStyle w:val="a5"/>
            <w:rFonts w:ascii="Times New Roman" w:eastAsia="新細明體" w:hAnsi="Times New Roman"/>
          </w:rPr>
          <w:t>第</w:t>
        </w:r>
        <w:r w:rsidRPr="00707676">
          <w:rPr>
            <w:rStyle w:val="a5"/>
            <w:rFonts w:ascii="Times New Roman" w:eastAsia="新細明體" w:hAnsi="Times New Roman"/>
          </w:rPr>
          <w:t>71</w:t>
        </w:r>
        <w:r w:rsidRPr="00707676">
          <w:rPr>
            <w:rStyle w:val="a5"/>
            <w:rFonts w:ascii="Times New Roman" w:eastAsia="新細明體" w:hAnsi="Times New Roman"/>
          </w:rPr>
          <w:t>條</w:t>
        </w:r>
      </w:hyperlink>
      <w:r w:rsidRPr="001B1539">
        <w:t>規定之嫌。</w:t>
      </w:r>
    </w:p>
    <w:p w14:paraId="4B84731A" w14:textId="77777777" w:rsidR="00203F72" w:rsidRPr="001B1539" w:rsidRDefault="00203F72" w:rsidP="00D87D91">
      <w:r w:rsidRPr="001B1539">
        <w:t xml:space="preserve">　　以上所論，係家事外勞出於自願之部分，反之，假若家事外勞係被雇主所脅迫，在被迫之情境下與雇主達成協議，自願加班並長期（諸如一年至三年）放棄休假，上開勞資雙方之契約，因其目的之法律行為（要求家事外勞放棄休假超時加班）本身，已觸犯禁止規定，故亦屬無效之契約</w:t>
      </w:r>
      <w:r w:rsidRPr="001B1539">
        <w:footnoteReference w:id="553"/>
      </w:r>
      <w:r w:rsidRPr="001B1539">
        <w:t>。我國「家事勞工保障法草案」之中，運用</w:t>
      </w:r>
      <w:hyperlink r:id="rId1788" w:history="1">
        <w:r w:rsidR="008F066C" w:rsidRPr="00707676">
          <w:rPr>
            <w:rStyle w:val="a5"/>
            <w:rFonts w:ascii="Times New Roman" w:eastAsia="新細明體" w:hAnsi="Times New Roman"/>
          </w:rPr>
          <w:t>民法</w:t>
        </w:r>
      </w:hyperlink>
      <w:r w:rsidRPr="001B1539">
        <w:t>體系中之「契約自由」原則，俾利勞資雙方能就工資、工時與休假達成協定。然而，現代</w:t>
      </w:r>
      <w:hyperlink r:id="rId1789" w:history="1">
        <w:r w:rsidR="008F066C" w:rsidRPr="00707676">
          <w:rPr>
            <w:rStyle w:val="a5"/>
            <w:rFonts w:ascii="Times New Roman" w:eastAsia="新細明體" w:hAnsi="Times New Roman"/>
          </w:rPr>
          <w:t>民法</w:t>
        </w:r>
      </w:hyperlink>
      <w:r w:rsidRPr="001B1539">
        <w:t>契約自由之發展史中，「契約正義」之議題，亦受到重</w:t>
      </w:r>
      <w:r w:rsidR="003E240E">
        <w:t>視</w:t>
      </w:r>
      <w:r w:rsidRPr="001B1539">
        <w:t>，兩者宜同時注重之。不宜側重於「契約自由」之一方，而忽</w:t>
      </w:r>
      <w:r w:rsidR="003E240E">
        <w:t>視</w:t>
      </w:r>
      <w:r w:rsidRPr="001B1539">
        <w:t>「契約正義」之範疇。</w:t>
      </w:r>
    </w:p>
    <w:p w14:paraId="334090C7" w14:textId="77777777" w:rsidR="00953151" w:rsidRPr="001B1539" w:rsidRDefault="00331EC1" w:rsidP="00D87D91">
      <w:r w:rsidRPr="001B1539">
        <w:t xml:space="preserve">　　</w:t>
      </w:r>
      <w:r w:rsidR="00203F72" w:rsidRPr="001B1539">
        <w:t>契約是否公平？判斷之基準，計有兩種模式，一種是採行「主觀等值原則」（如</w:t>
      </w:r>
      <w:hyperlink r:id="rId1790" w:history="1">
        <w:r w:rsidR="008F066C" w:rsidRPr="00707676">
          <w:rPr>
            <w:rStyle w:val="a5"/>
            <w:rFonts w:ascii="Times New Roman" w:eastAsia="新細明體" w:hAnsi="Times New Roman"/>
          </w:rPr>
          <w:t>民法</w:t>
        </w:r>
      </w:hyperlink>
      <w:r w:rsidR="00203F72" w:rsidRPr="001B1539">
        <w:t>）；另外一種，係採行「客觀等值原則」。在消費者保護法</w:t>
      </w:r>
      <w:hyperlink r:id="rId1791" w:anchor="a12" w:history="1">
        <w:r w:rsidR="001B1539" w:rsidRPr="001B1539">
          <w:rPr>
            <w:rStyle w:val="a5"/>
          </w:rPr>
          <w:t>第12條</w:t>
        </w:r>
      </w:hyperlink>
      <w:r w:rsidR="00203F72" w:rsidRPr="001B1539">
        <w:t>中關於定型化契約之概括條款，亦採上述之「主觀等值原則」</w:t>
      </w:r>
      <w:r w:rsidR="00203F72" w:rsidRPr="001B1539">
        <w:footnoteReference w:id="554"/>
      </w:r>
      <w:r w:rsidR="00203F72" w:rsidRPr="001B1539">
        <w:t>。綜上，本書認為宜適度地運用「契約正義原則」對於「契約自由原則」進行必要之限制，以利家事外勞相關之權利受到法律上之保障。如何適切地運用上述「契約正義原則」？可行之選項之一，係為制定定型化勞動契約條款，可參卓消費者保護法</w:t>
      </w:r>
      <w:hyperlink r:id="rId1792" w:anchor="a17" w:history="1">
        <w:r w:rsidR="00203F72" w:rsidRPr="001B1539">
          <w:rPr>
            <w:rStyle w:val="a5"/>
          </w:rPr>
          <w:t>第17條</w:t>
        </w:r>
      </w:hyperlink>
      <w:r w:rsidR="00203F72" w:rsidRPr="001B1539">
        <w:t>之立法模式，授權勞委會公告訂定家事外勞專用之家事勞動定型化契約，為了令上開定型化契約之機制符合法律保留原則，故應有法律之明文授權為佳</w:t>
      </w:r>
      <w:r w:rsidR="00203F72" w:rsidRPr="001B1539">
        <w:footnoteReference w:id="555"/>
      </w:r>
      <w:r w:rsidR="00203F72" w:rsidRPr="001B1539">
        <w:t>。在上述定型化家事勞動契約中，宜將</w:t>
      </w:r>
      <w:hyperlink r:id="rId1793" w:history="1">
        <w:r w:rsidR="002F3FE8" w:rsidRPr="002F3FE8">
          <w:rPr>
            <w:rStyle w:val="a5"/>
            <w:rFonts w:ascii="Times New Roman" w:eastAsia="新細明體" w:hAnsi="Times New Roman"/>
          </w:rPr>
          <w:t>勞基法</w:t>
        </w:r>
      </w:hyperlink>
      <w:r w:rsidR="00203F72" w:rsidRPr="001B1539">
        <w:t>相關之規範導入之，俾利能充分地保障家事外勞之人權，防止被雇主剝削（奪）。</w:t>
      </w:r>
    </w:p>
    <w:p w14:paraId="4EFEDE16" w14:textId="77777777" w:rsidR="003B41D4" w:rsidRDefault="003B41D4" w:rsidP="009937E4">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229AC9E3" w14:textId="77777777" w:rsidR="003B41D4" w:rsidRDefault="003B41D4" w:rsidP="00D87D91"/>
    <w:p w14:paraId="273FBF6A" w14:textId="77777777" w:rsidR="00953151" w:rsidRDefault="00203F72" w:rsidP="00767F37">
      <w:pPr>
        <w:pStyle w:val="2"/>
      </w:pPr>
      <w:bookmarkStart w:id="83" w:name="_柒、認定家事外勞工作時間（段）是否逾時之計算公式"/>
      <w:bookmarkEnd w:id="83"/>
      <w:r w:rsidRPr="00A53581">
        <w:t>柒、認定家事外勞工作時間（段）是否逾時之計算公式</w:t>
      </w:r>
    </w:p>
    <w:p w14:paraId="539F16F4" w14:textId="77777777" w:rsidR="00203F72" w:rsidRPr="007D25E4" w:rsidRDefault="00203F72" w:rsidP="007D25E4">
      <w:r w:rsidRPr="007D25E4">
        <w:t xml:space="preserve">　　根據加拿大安大略省</w:t>
      </w:r>
      <w:r w:rsidRPr="007D25E4">
        <w:t>ESA</w:t>
      </w:r>
      <w:r w:rsidRPr="007D25E4">
        <w:t>第</w:t>
      </w:r>
      <w:r w:rsidRPr="007D25E4">
        <w:t>22</w:t>
      </w:r>
      <w:r w:rsidRPr="007D25E4">
        <w:t>條第</w:t>
      </w:r>
      <w:r w:rsidRPr="007D25E4">
        <w:t>1</w:t>
      </w:r>
      <w:r w:rsidRPr="007D25E4">
        <w:t>項之規定，當家事外勞每週工作時數業已超過</w:t>
      </w:r>
      <w:r w:rsidRPr="007D25E4">
        <w:t>44</w:t>
      </w:r>
      <w:r w:rsidRPr="007D25E4">
        <w:t>個小時，則雇主應支付家事外勞較每小時常態薪資至少高</w:t>
      </w:r>
      <w:r w:rsidRPr="007D25E4">
        <w:t>1.5</w:t>
      </w:r>
      <w:r w:rsidRPr="007D25E4">
        <w:t>倍之報酬。因家事外勞之工作特性，屬於不連貫性及零散性，故常無法計算出每週</w:t>
      </w:r>
      <w:r w:rsidRPr="007D25E4">
        <w:t>44</w:t>
      </w:r>
      <w:r w:rsidRPr="007D25E4">
        <w:t>個小時逾時工作之標準。加拿大安大略省</w:t>
      </w:r>
      <w:r w:rsidRPr="007D25E4">
        <w:t>ESA</w:t>
      </w:r>
      <w:r w:rsidRPr="007D25E4">
        <w:t>之作法，係將連續兩週或兩週以上之工作時程（段），加以平均化，俾利求出其每週工作之時數，究竟是否超過</w:t>
      </w:r>
      <w:r w:rsidRPr="007D25E4">
        <w:t>44</w:t>
      </w:r>
      <w:r w:rsidRPr="007D25E4">
        <w:t>個小時？如超過</w:t>
      </w:r>
      <w:r w:rsidRPr="007D25E4">
        <w:t>44</w:t>
      </w:r>
      <w:r w:rsidRPr="007D25E4">
        <w:t>個小時，則家事外勞每小時之工資，至少上揚至</w:t>
      </w:r>
      <w:r w:rsidRPr="007D25E4">
        <w:t>1.5</w:t>
      </w:r>
      <w:r w:rsidRPr="007D25E4">
        <w:t>倍。加國安大略省</w:t>
      </w:r>
      <w:r w:rsidRPr="007D25E4">
        <w:t>ESA</w:t>
      </w:r>
      <w:r w:rsidRPr="007D25E4">
        <w:t>運用平均數之公式，以計算家事外勞每週工作時數是否超過</w:t>
      </w:r>
      <w:r w:rsidRPr="007D25E4">
        <w:t>44</w:t>
      </w:r>
      <w:r w:rsidRPr="007D25E4">
        <w:t>個小時之作法，可提供台灣參考之用。我國在運用家事外勞時，於實務上，常發現之困境，即為家務工作因無打卡制，無法決定何時上班？何時可謂下班？在此種情況下，無法決定工時，亦無法計算出超時之時段</w:t>
      </w:r>
      <w:r w:rsidRPr="007D25E4">
        <w:footnoteReference w:id="556"/>
      </w:r>
      <w:r w:rsidRPr="007D25E4">
        <w:t>。由於無法精準地計算出家事外勞之工作時間，造成家事外勞之工作時數之認定，具有爭議性與模糊性，導致家事外勞之工作、休假與工資問題，無法受到法律周延之保障</w:t>
      </w:r>
      <w:r w:rsidRPr="007D25E4">
        <w:footnoteReference w:id="557"/>
      </w:r>
      <w:r w:rsidRPr="007D25E4">
        <w:t>。</w:t>
      </w:r>
    </w:p>
    <w:p w14:paraId="1940797E" w14:textId="77777777" w:rsidR="00953151" w:rsidRDefault="00203F72" w:rsidP="00D87D91">
      <w:r w:rsidRPr="00A53581">
        <w:t xml:space="preserve">　　為了有效地解決家事外勞工作時數及超時工作標準之認定問題，本書建議相關之主管機關，可參卓上述加拿大安大略省</w:t>
      </w:r>
      <w:r w:rsidRPr="00A53581">
        <w:t>ESA</w:t>
      </w:r>
      <w:r w:rsidRPr="00A53581">
        <w:t>運用平均數之作法，將此一計算標準引進國內，並用法律條文加以明確化規範。所謂之平均數計算公式（標準），係在某一個時程內，決定家事外勞之工作總時數，是否已達超時工作之門檻。在實際運用方法之層面，事實上，亦不會過於複雜，可謂相當容易與簡便，即將家事外勞所從事之工作，逐項地計算出其起迄時間，逐日加總，即可得出該週工作之總時數。然因家事外勞每週工作之總時數，恐會有變異性與差異性，故可選擇數週為計算之單位，諸如兩週，將兩週總時數加總之後，再除以</w:t>
      </w:r>
      <w:r w:rsidRPr="00A53581">
        <w:t>2</w:t>
      </w:r>
      <w:r w:rsidRPr="00A53581">
        <w:t>，即可決定每週之工作時數，進而判斷是否已超時工作（其前提係先決定超時工作之門檻係為</w:t>
      </w:r>
      <w:r w:rsidRPr="00A53581">
        <w:t>40</w:t>
      </w:r>
      <w:r w:rsidRPr="00A53581">
        <w:t>小時或</w:t>
      </w:r>
      <w:r w:rsidRPr="00A53581">
        <w:t>44</w:t>
      </w:r>
      <w:r w:rsidRPr="00A53581">
        <w:t>小時）。當超過一定之時數門檻，諸如</w:t>
      </w:r>
      <w:r w:rsidRPr="00A53581">
        <w:t>44</w:t>
      </w:r>
      <w:r w:rsidRPr="00A53581">
        <w:t>個小時，則每超過一個小時，雇主應支付較常規標準至少</w:t>
      </w:r>
      <w:r w:rsidRPr="00A53581">
        <w:t>1.5</w:t>
      </w:r>
      <w:r w:rsidRPr="00A53581">
        <w:t>倍薪資為佳。</w:t>
      </w:r>
    </w:p>
    <w:p w14:paraId="59818AFF" w14:textId="77777777" w:rsidR="003B41D4" w:rsidRDefault="003B41D4" w:rsidP="001F1D62">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59BE49A1" w14:textId="77777777" w:rsidR="003B41D4" w:rsidRDefault="003B41D4" w:rsidP="00D87D91"/>
    <w:p w14:paraId="741B7C07" w14:textId="77777777" w:rsidR="00203F72" w:rsidRPr="00A53581" w:rsidRDefault="00203F72" w:rsidP="00767F37">
      <w:pPr>
        <w:pStyle w:val="2"/>
      </w:pPr>
      <w:bookmarkStart w:id="84" w:name="_捌、家事外勞逾時工作之工資標準"/>
      <w:bookmarkEnd w:id="84"/>
      <w:r w:rsidRPr="00A53581">
        <w:t>捌、家事外勞逾時工作之工資標準</w:t>
      </w:r>
    </w:p>
    <w:p w14:paraId="5D7210E0" w14:textId="77777777" w:rsidR="00203F72" w:rsidRPr="009937E4" w:rsidRDefault="00331EC1" w:rsidP="009937E4">
      <w:r w:rsidRPr="009937E4">
        <w:t xml:space="preserve">　　</w:t>
      </w:r>
      <w:r w:rsidR="00203F72" w:rsidRPr="009937E4">
        <w:t>在決定家事外勞之超時工作門檻部分，加拿大安大略省以每週</w:t>
      </w:r>
      <w:r w:rsidR="00203F72" w:rsidRPr="009937E4">
        <w:t>44</w:t>
      </w:r>
      <w:r w:rsidR="00203F72" w:rsidRPr="009937E4">
        <w:t>小時為基準，並非以每日</w:t>
      </w:r>
      <w:r w:rsidR="00203F72" w:rsidRPr="009937E4">
        <w:t>8</w:t>
      </w:r>
      <w:r w:rsidR="00203F72" w:rsidRPr="009937E4">
        <w:t>小時為門檻。亦即，當家事外勞每週之工作時數超過</w:t>
      </w:r>
      <w:r w:rsidR="00203F72" w:rsidRPr="009937E4">
        <w:t>44</w:t>
      </w:r>
      <w:r w:rsidR="00203F72" w:rsidRPr="009937E4">
        <w:t>小時，即可認定為超時工作。根據</w:t>
      </w:r>
      <w:r w:rsidR="00203F72" w:rsidRPr="009937E4">
        <w:t>ESA</w:t>
      </w:r>
      <w:r w:rsidR="00203F72" w:rsidRPr="009937E4">
        <w:t>第</w:t>
      </w:r>
      <w:r w:rsidR="00203F72" w:rsidRPr="009937E4">
        <w:t>22</w:t>
      </w:r>
      <w:r w:rsidR="00203F72" w:rsidRPr="009937E4">
        <w:t>條第</w:t>
      </w:r>
      <w:r w:rsidR="00203F72" w:rsidRPr="009937E4">
        <w:t>1</w:t>
      </w:r>
      <w:r w:rsidR="00203F72" w:rsidRPr="009937E4">
        <w:t>項之規定，當家事外勞每週工作時數已超過</w:t>
      </w:r>
      <w:r w:rsidR="00203F72" w:rsidRPr="009937E4">
        <w:t>44</w:t>
      </w:r>
      <w:r w:rsidR="00203F72" w:rsidRPr="009937E4">
        <w:t>個小時，則超時工資之給付標準，係為平日每小時工資標準至少</w:t>
      </w:r>
      <w:r w:rsidR="00203F72" w:rsidRPr="009937E4">
        <w:t>1.5</w:t>
      </w:r>
      <w:r w:rsidR="00203F72" w:rsidRPr="009937E4">
        <w:t>倍以上</w:t>
      </w:r>
      <w:r w:rsidR="00203F72" w:rsidRPr="009937E4">
        <w:footnoteReference w:id="558"/>
      </w:r>
      <w:r w:rsidR="00203F72" w:rsidRPr="009937E4">
        <w:t>。</w:t>
      </w:r>
    </w:p>
    <w:p w14:paraId="7BFE56C9" w14:textId="77777777" w:rsidR="00203F72" w:rsidRPr="009937E4" w:rsidRDefault="00331EC1" w:rsidP="009937E4">
      <w:r w:rsidRPr="009937E4">
        <w:t xml:space="preserve">　　</w:t>
      </w:r>
      <w:r w:rsidR="00203F72" w:rsidRPr="009937E4">
        <w:t>在我國「家事勞工保障法草案」之相關規範中，對於家事外勞超時工作之薪資給付標準，係授權勞資雙方自行議定，亦即，此一部分，適用契約自由之原則。然，因考量勞資雙方地位相當地不平等，故本書認為關於家事外勞逾時工作之薪資給付標準，宜由立法機關加以明文規範為佳。以加拿大安大略省</w:t>
      </w:r>
      <w:r w:rsidR="00203F72" w:rsidRPr="009937E4">
        <w:t>ESA</w:t>
      </w:r>
      <w:r w:rsidR="00203F72" w:rsidRPr="009937E4">
        <w:t>為例，此一部分之規範內容，則明文規定於</w:t>
      </w:r>
      <w:r w:rsidR="00203F72" w:rsidRPr="009937E4">
        <w:t>ESA</w:t>
      </w:r>
      <w:r w:rsidR="00203F72" w:rsidRPr="009937E4">
        <w:t>第</w:t>
      </w:r>
      <w:r w:rsidR="00203F72" w:rsidRPr="009937E4">
        <w:t>22</w:t>
      </w:r>
      <w:r w:rsidR="00203F72" w:rsidRPr="009937E4">
        <w:t>條第</w:t>
      </w:r>
      <w:r w:rsidR="00203F72" w:rsidRPr="009937E4">
        <w:t>1</w:t>
      </w:r>
      <w:r w:rsidR="00203F72" w:rsidRPr="009937E4">
        <w:t>項。茲考量為了保障家事外勞之基本權益，</w:t>
      </w:r>
      <w:r w:rsidR="00203F72" w:rsidRPr="009937E4">
        <w:t xml:space="preserve"> </w:t>
      </w:r>
      <w:r w:rsidR="00203F72" w:rsidRPr="009937E4">
        <w:t>家事外勞逾時工作之工資基準，宜為其平日每小時工資之</w:t>
      </w:r>
      <w:r w:rsidR="00203F72" w:rsidRPr="009937E4">
        <w:t>1.5</w:t>
      </w:r>
      <w:r w:rsidR="00203F72" w:rsidRPr="009937E4">
        <w:t>倍以上為佳，亦即，至少為平日每小時工資之</w:t>
      </w:r>
      <w:r w:rsidR="00203F72" w:rsidRPr="009937E4">
        <w:t>1.5</w:t>
      </w:r>
      <w:r w:rsidR="00203F72" w:rsidRPr="009937E4">
        <w:t>倍；同時，為了保護家事外勞之權益，宜用法律相當明確化之文字加以規範為佳。</w:t>
      </w:r>
    </w:p>
    <w:p w14:paraId="67544F0F" w14:textId="77777777" w:rsidR="00203F72" w:rsidRPr="00A53581" w:rsidRDefault="00203F72" w:rsidP="00D87D91">
      <w:r w:rsidRPr="00A53581">
        <w:t xml:space="preserve">　　依據我國勞動基準</w:t>
      </w:r>
      <w:r w:rsidR="001F1D62" w:rsidRPr="00A53581">
        <w:t>法</w:t>
      </w:r>
      <w:hyperlink r:id="rId1794"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之規定，逾時工資之標準，不同於平日每小時之工資。在逾時工資之基準方面，可分為</w:t>
      </w:r>
      <w:r w:rsidRPr="00A53581">
        <w:t>3</w:t>
      </w:r>
      <w:r w:rsidRPr="00A53581">
        <w:t>種不同之情形，而為不同之給付，但均高於平日每小時之工資。根據勞動基準</w:t>
      </w:r>
      <w:r w:rsidR="001F1D62" w:rsidRPr="00A53581">
        <w:t>法</w:t>
      </w:r>
      <w:hyperlink r:id="rId1795"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之規範，雇主延長勞工工作時間者，其延長工作時間之工資，依下列標準加給之：「</w:t>
      </w:r>
      <w:r w:rsidRPr="00A53581">
        <w:t>1.</w:t>
      </w:r>
      <w:r w:rsidRPr="00A53581">
        <w:t>延長工作時間在</w:t>
      </w:r>
      <w:r w:rsidRPr="00A53581">
        <w:t>2</w:t>
      </w:r>
      <w:r w:rsidRPr="00A53581">
        <w:t>小時以內者，按平日每小時工資額加給三分之一以上；</w:t>
      </w:r>
      <w:r w:rsidRPr="00A53581">
        <w:t>2.</w:t>
      </w:r>
      <w:r w:rsidRPr="00A53581">
        <w:t>再延長工作時間在二小時以內者，按平日每小時工資額加給三分之二以上；</w:t>
      </w:r>
      <w:r w:rsidRPr="00A53581">
        <w:t>3.</w:t>
      </w:r>
      <w:r w:rsidRPr="00A53581">
        <w:t>依第三十二條第三項規定（因天災、事變或突發事件，雇主有使勞工在正常工作時間以外工作之必要者），延長工作時間者，按平日每小時工資額加倍發給之。」綜上，於我國勞動基準</w:t>
      </w:r>
      <w:r w:rsidR="001F1D62" w:rsidRPr="00A53581">
        <w:t>法</w:t>
      </w:r>
      <w:hyperlink r:id="rId1796"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之規範中，相當明確地規範勞工逾時工資之給付標準，介於三分之一至兩倍之間。在上述諸多之超時工資標準中，因考量家事外勞所從事工作性質之特殊性，故加拿大安大略省</w:t>
      </w:r>
      <w:r w:rsidRPr="00A53581">
        <w:t>ESA</w:t>
      </w:r>
      <w:r w:rsidRPr="00A53581">
        <w:t>第</w:t>
      </w:r>
      <w:r w:rsidRPr="00A53581">
        <w:t>22</w:t>
      </w:r>
      <w:r w:rsidRPr="00A53581">
        <w:t>條第</w:t>
      </w:r>
      <w:r w:rsidRPr="00A53581">
        <w:t>1</w:t>
      </w:r>
      <w:r w:rsidRPr="00A53581">
        <w:t>項所採用之</w:t>
      </w:r>
      <w:r w:rsidRPr="00A53581">
        <w:t>1.5</w:t>
      </w:r>
      <w:r w:rsidRPr="00A53581">
        <w:t>倍標準，應是合理且可被接受，頗值得台灣加以仿效之。</w:t>
      </w:r>
    </w:p>
    <w:p w14:paraId="2869DDF9" w14:textId="77777777" w:rsidR="00203F72" w:rsidRPr="00A53581" w:rsidRDefault="00203F72" w:rsidP="00D87D91">
      <w:r w:rsidRPr="009937E4">
        <w:t xml:space="preserve">　　再者，根據相關之國際法文件，台灣實有必要明確化及具體化地保障家事外勞超時之工資，以避免家事外勞之勞力，被台灣雇主無情地加以剝削。就</w:t>
      </w:r>
      <w:r w:rsidRPr="009937E4">
        <w:t>1948</w:t>
      </w:r>
      <w:r w:rsidRPr="009937E4">
        <w:t>年通過之</w:t>
      </w:r>
      <w:hyperlink r:id="rId1797" w:history="1">
        <w:r w:rsidR="00F35C5F" w:rsidRPr="009937E4">
          <w:rPr>
            <w:rStyle w:val="a5"/>
          </w:rPr>
          <w:t>世界人權宣言</w:t>
        </w:r>
      </w:hyperlink>
      <w:r w:rsidRPr="009937E4">
        <w:t>而論，在該宣言之中，即詳實地規範平等原則</w:t>
      </w:r>
      <w:r w:rsidRPr="009937E4">
        <w:footnoteReference w:id="559"/>
      </w:r>
      <w:r w:rsidRPr="009937E4">
        <w:t>。如根據世界人權宣言</w:t>
      </w:r>
      <w:hyperlink r:id="rId1798" w:anchor="a1" w:history="1">
        <w:r w:rsidRPr="009937E4">
          <w:rPr>
            <w:rStyle w:val="a5"/>
          </w:rPr>
          <w:t>第一條</w:t>
        </w:r>
      </w:hyperlink>
      <w:r w:rsidRPr="009937E4">
        <w:t>之規定，</w:t>
      </w:r>
      <w:r w:rsidRPr="009937E4">
        <w:t xml:space="preserve"> </w:t>
      </w:r>
      <w:r w:rsidRPr="009937E4">
        <w:t>「人皆生而自由，在尊嚴及權利上均各平等。」本條之立法，主要目的在闡</w:t>
      </w:r>
      <w:r w:rsidRPr="00A53581">
        <w:t>明人類在人性尊嚴及權利上均各平等。另外，依據上開宣言</w:t>
      </w:r>
      <w:hyperlink r:id="rId1799" w:anchor="a7" w:history="1">
        <w:r w:rsidRPr="00E07281">
          <w:rPr>
            <w:rStyle w:val="a5"/>
          </w:rPr>
          <w:t>第7條</w:t>
        </w:r>
      </w:hyperlink>
      <w:r w:rsidRPr="00A53581">
        <w:t>之規範，「人人在法律上悉屬平等，且應一體享受法律之平等保護。人人有權享受平等保護，以防止違反本宣言之任何歧</w:t>
      </w:r>
      <w:r w:rsidR="003E240E">
        <w:t>視</w:t>
      </w:r>
      <w:r w:rsidRPr="00A53581">
        <w:t>及煽動此種歧</w:t>
      </w:r>
      <w:r w:rsidR="003E240E">
        <w:t>視</w:t>
      </w:r>
      <w:r w:rsidRPr="00A53581">
        <w:t>之任何行為。」本條之重點，在於強調人人應一體享受法律之平等。以台灣家事外勞為例，在超時工資之給付標準方面，並未享有勞基</w:t>
      </w:r>
      <w:r w:rsidR="001F1D62" w:rsidRPr="00A53581">
        <w:t>法</w:t>
      </w:r>
      <w:hyperlink r:id="rId1800"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之權利，似乎業已違反世界人權宣言</w:t>
      </w:r>
      <w:hyperlink r:id="rId1801" w:anchor="a1" w:history="1">
        <w:r w:rsidRPr="00E07281">
          <w:rPr>
            <w:rStyle w:val="a5"/>
          </w:rPr>
          <w:t>第1條</w:t>
        </w:r>
      </w:hyperlink>
      <w:r w:rsidRPr="00A53581">
        <w:t>及</w:t>
      </w:r>
      <w:hyperlink r:id="rId1802" w:anchor="a7" w:history="1">
        <w:r w:rsidRPr="00E07281">
          <w:rPr>
            <w:rStyle w:val="a5"/>
          </w:rPr>
          <w:t>第7條</w:t>
        </w:r>
      </w:hyperlink>
      <w:r w:rsidRPr="00A53581">
        <w:t>之規定，</w:t>
      </w:r>
      <w:r w:rsidRPr="00A53581">
        <w:t xml:space="preserve"> </w:t>
      </w:r>
      <w:r w:rsidRPr="00A53581">
        <w:t>家事外勞未如其他勞動者一般，一體享受法律之平等保護。</w:t>
      </w:r>
    </w:p>
    <w:p w14:paraId="0075660A" w14:textId="77777777" w:rsidR="00203F72" w:rsidRPr="00A53581" w:rsidRDefault="00203F72" w:rsidP="00D87D91">
      <w:r w:rsidRPr="00A53581">
        <w:t xml:space="preserve">　　此外，依據上開宣言</w:t>
      </w:r>
      <w:hyperlink r:id="rId1803" w:anchor="a23" w:history="1">
        <w:r w:rsidRPr="00E07281">
          <w:rPr>
            <w:rStyle w:val="a5"/>
          </w:rPr>
          <w:t>第23條</w:t>
        </w:r>
      </w:hyperlink>
      <w:r w:rsidRPr="00A53581">
        <w:t>第</w:t>
      </w:r>
      <w:r w:rsidRPr="00A53581">
        <w:t>2</w:t>
      </w:r>
      <w:r w:rsidRPr="00A53581">
        <w:t>款之規定，「人人不容任何區別，有同工同酬之權利。」就家事外勞之領域而言，本國籍與外國籍之超時工資，在巿場之實況上，兩者薪資亦具有差異性，家事外勞之超時工資明顯偏低。是以，上述薪資之差異性，恐亦已違反世界人權宣</w:t>
      </w:r>
      <w:r w:rsidR="009937E4" w:rsidRPr="00A53581">
        <w:t>言</w:t>
      </w:r>
      <w:hyperlink r:id="rId1804" w:anchor="a23" w:history="1">
        <w:r w:rsidR="009937E4" w:rsidRPr="00E07281">
          <w:rPr>
            <w:rStyle w:val="a5"/>
          </w:rPr>
          <w:t>第23條</w:t>
        </w:r>
      </w:hyperlink>
      <w:r w:rsidRPr="00A53581">
        <w:t>第</w:t>
      </w:r>
      <w:r w:rsidRPr="00A53581">
        <w:t>2</w:t>
      </w:r>
      <w:r w:rsidRPr="00A53581">
        <w:t>款之規範。</w:t>
      </w:r>
    </w:p>
    <w:p w14:paraId="32D8332C" w14:textId="77777777" w:rsidR="00203F72" w:rsidRPr="00A53581" w:rsidRDefault="00203F72" w:rsidP="00D87D91">
      <w:r w:rsidRPr="00A53581">
        <w:t xml:space="preserve">　　再者，根據世界人權宣</w:t>
      </w:r>
      <w:r w:rsidR="009937E4" w:rsidRPr="00A53581">
        <w:t>言</w:t>
      </w:r>
      <w:hyperlink r:id="rId1805" w:anchor="a23" w:history="1">
        <w:r w:rsidR="009937E4" w:rsidRPr="00E07281">
          <w:rPr>
            <w:rStyle w:val="a5"/>
          </w:rPr>
          <w:t>第23條</w:t>
        </w:r>
      </w:hyperlink>
      <w:r w:rsidRPr="00A53581">
        <w:t>第</w:t>
      </w:r>
      <w:r w:rsidRPr="00A53581">
        <w:t>3</w:t>
      </w:r>
      <w:r w:rsidRPr="00A53581">
        <w:t>款之規定，「人人工作時，有權享受公平優裕之報酬，務使其本人及其家屬之生活，足以維持人類尊嚴，</w:t>
      </w:r>
      <w:r w:rsidRPr="00A53581">
        <w:t>……</w:t>
      </w:r>
      <w:r w:rsidRPr="00A53581">
        <w:t>」就上開規定而言，強調人人工作之報酬，應為公平性及優裕性。以台灣「家事勞工保障法草案」而論，因未明文規範家事外勞超時工資之給付標準，故有可能導致其超時工資之給付基準，等同於平日每小時之工資。對照於適用勞基</w:t>
      </w:r>
      <w:r w:rsidR="001F1D62" w:rsidRPr="00A53581">
        <w:t>法</w:t>
      </w:r>
      <w:hyperlink r:id="rId1806"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規定之超時工資給付標準，顯有失公平性，且恐已違反上開宣</w:t>
      </w:r>
      <w:r w:rsidR="009937E4" w:rsidRPr="00A53581">
        <w:t>言</w:t>
      </w:r>
      <w:hyperlink r:id="rId1807" w:anchor="a23" w:history="1">
        <w:r w:rsidR="009937E4" w:rsidRPr="00E07281">
          <w:rPr>
            <w:rStyle w:val="a5"/>
          </w:rPr>
          <w:t>第23條</w:t>
        </w:r>
      </w:hyperlink>
      <w:r w:rsidRPr="00A53581">
        <w:t>第</w:t>
      </w:r>
      <w:r w:rsidRPr="00A53581">
        <w:t>3</w:t>
      </w:r>
      <w:r w:rsidRPr="00A53581">
        <w:t>款之規範，亦即，與其他非家事外勞超時工資相對照，家事外勞之超時工作，並未享有公平優裕之報酬。此對於家事外勞而論，相當地不公平及不公義。</w:t>
      </w:r>
    </w:p>
    <w:p w14:paraId="2B2FF8E7" w14:textId="77777777" w:rsidR="00953151" w:rsidRPr="00E07281" w:rsidRDefault="00203F72" w:rsidP="00D87D91">
      <w:r w:rsidRPr="00E07281">
        <w:t xml:space="preserve">　　綜合上述之論述，我國目前在家事外勞超時工資之法律規範方面，恐業已違反世界人權宣言中之</w:t>
      </w:r>
      <w:hyperlink r:id="rId1808" w:anchor="a1" w:history="1">
        <w:r w:rsidRPr="009937E4">
          <w:rPr>
            <w:rStyle w:val="a5"/>
            <w:rFonts w:ascii="Times New Roman" w:eastAsia="新細明體" w:hAnsi="Times New Roman"/>
          </w:rPr>
          <w:t>第</w:t>
        </w:r>
        <w:r w:rsidRPr="009937E4">
          <w:rPr>
            <w:rStyle w:val="a5"/>
            <w:rFonts w:ascii="Times New Roman" w:eastAsia="新細明體" w:hAnsi="Times New Roman"/>
          </w:rPr>
          <w:t>1</w:t>
        </w:r>
        <w:r w:rsidRPr="009937E4">
          <w:rPr>
            <w:rStyle w:val="a5"/>
            <w:rFonts w:ascii="Times New Roman" w:eastAsia="新細明體" w:hAnsi="Times New Roman"/>
          </w:rPr>
          <w:t>條</w:t>
        </w:r>
      </w:hyperlink>
      <w:r w:rsidRPr="00E07281">
        <w:t>、</w:t>
      </w:r>
      <w:hyperlink r:id="rId1809" w:anchor="a7" w:history="1">
        <w:r w:rsidRPr="009937E4">
          <w:rPr>
            <w:rStyle w:val="a5"/>
            <w:rFonts w:ascii="Times New Roman" w:eastAsia="新細明體" w:hAnsi="Times New Roman"/>
          </w:rPr>
          <w:t>第</w:t>
        </w:r>
        <w:r w:rsidRPr="009937E4">
          <w:rPr>
            <w:rStyle w:val="a5"/>
            <w:rFonts w:ascii="Times New Roman" w:eastAsia="新細明體" w:hAnsi="Times New Roman"/>
          </w:rPr>
          <w:t>7</w:t>
        </w:r>
        <w:r w:rsidRPr="009937E4">
          <w:rPr>
            <w:rStyle w:val="a5"/>
            <w:rFonts w:ascii="Times New Roman" w:eastAsia="新細明體" w:hAnsi="Times New Roman"/>
          </w:rPr>
          <w:t>條</w:t>
        </w:r>
      </w:hyperlink>
      <w:r w:rsidRPr="00E07281">
        <w:t>（享受法律之平等保護原則）、</w:t>
      </w:r>
      <w:hyperlink r:id="rId1810" w:anchor="a23" w:history="1">
        <w:r w:rsidR="009937E4" w:rsidRPr="00E07281">
          <w:rPr>
            <w:rStyle w:val="a5"/>
          </w:rPr>
          <w:t>第23條</w:t>
        </w:r>
      </w:hyperlink>
      <w:r w:rsidRPr="00E07281">
        <w:t>第</w:t>
      </w:r>
      <w:r w:rsidRPr="00E07281">
        <w:t>2</w:t>
      </w:r>
      <w:r w:rsidRPr="00E07281">
        <w:t>款（同工同酬原則）及</w:t>
      </w:r>
      <w:hyperlink r:id="rId1811" w:anchor="a23" w:history="1">
        <w:r w:rsidR="009937E4" w:rsidRPr="00E07281">
          <w:rPr>
            <w:rStyle w:val="a5"/>
          </w:rPr>
          <w:t>第23條</w:t>
        </w:r>
      </w:hyperlink>
      <w:r w:rsidRPr="00E07281">
        <w:t>第</w:t>
      </w:r>
      <w:r w:rsidRPr="00E07281">
        <w:t>3</w:t>
      </w:r>
      <w:r w:rsidRPr="00E07281">
        <w:t>款（享受公平優裕之報酬）之相關規定。因聯合國、某些國家之憲法或法律，與相關司法判決等，均會引用</w:t>
      </w:r>
      <w:hyperlink r:id="rId1812" w:history="1">
        <w:r w:rsidR="00F35C5F" w:rsidRPr="00E07281">
          <w:rPr>
            <w:rStyle w:val="a5"/>
          </w:rPr>
          <w:t>世界人權宣言</w:t>
        </w:r>
      </w:hyperlink>
      <w:r w:rsidRPr="00E07281">
        <w:t>，因此，有論者主張此一宣言中之相關法律原則，業已成為國際習慣法</w:t>
      </w:r>
      <w:r w:rsidRPr="00E07281">
        <w:footnoteReference w:id="560"/>
      </w:r>
      <w:r w:rsidRPr="00E07281">
        <w:t>。為何</w:t>
      </w:r>
      <w:hyperlink r:id="rId1813" w:history="1">
        <w:r w:rsidR="00F35C5F" w:rsidRPr="00E07281">
          <w:rPr>
            <w:rStyle w:val="a5"/>
          </w:rPr>
          <w:t>世界人權宣言</w:t>
        </w:r>
      </w:hyperlink>
      <w:r w:rsidRPr="00E07281">
        <w:t>業已成為國際習慣法？主要之理由，因</w:t>
      </w:r>
      <w:hyperlink r:id="rId1814" w:history="1">
        <w:r w:rsidR="00F35C5F" w:rsidRPr="00E07281">
          <w:rPr>
            <w:rStyle w:val="a5"/>
          </w:rPr>
          <w:t>世界人權宣言</w:t>
        </w:r>
      </w:hyperlink>
      <w:r w:rsidRPr="00E07281">
        <w:t>於</w:t>
      </w:r>
      <w:r w:rsidRPr="00E07281">
        <w:t>1948</w:t>
      </w:r>
      <w:r w:rsidRPr="00E07281">
        <w:t>年通過時，其形態乃是以聯合國大會決議之方式通過，而非條約之模式，故無須再經由個別國家的簽署、批准或加入，始能生效。迄至</w:t>
      </w:r>
      <w:r w:rsidRPr="00E07281">
        <w:t>2011</w:t>
      </w:r>
      <w:r w:rsidRPr="00E07281">
        <w:t>年止，業已經過</w:t>
      </w:r>
      <w:r w:rsidRPr="00E07281">
        <w:t>64</w:t>
      </w:r>
      <w:r w:rsidRPr="00E07281">
        <w:t>年之演進，</w:t>
      </w:r>
      <w:hyperlink r:id="rId1815" w:history="1">
        <w:r w:rsidR="00F35C5F" w:rsidRPr="00E07281">
          <w:rPr>
            <w:rStyle w:val="a5"/>
          </w:rPr>
          <w:t>世界人權宣言</w:t>
        </w:r>
      </w:hyperlink>
      <w:r w:rsidRPr="00E07281">
        <w:t>已廣泛被全球接受為國際習慣法，對每一個國家均有法律上之拘束力</w:t>
      </w:r>
      <w:r w:rsidRPr="00E07281">
        <w:footnoteReference w:id="561"/>
      </w:r>
      <w:r w:rsidRPr="00E07281">
        <w:t>。亦由於上開宣言具有國際習慣法之法律效力，故該宣言所揭示之人性尊嚴及權利平等原則、享受法律之平等保護原則、同工同酬原則與享受公平優裕之報酬等，宜受到台灣之重</w:t>
      </w:r>
      <w:r w:rsidR="003E240E">
        <w:t>視</w:t>
      </w:r>
      <w:r w:rsidRPr="00E07281">
        <w:t>、尊重與引用，不宜以台灣並非聯合國之會員國，而拒絕適用</w:t>
      </w:r>
      <w:hyperlink r:id="rId1816" w:history="1">
        <w:r w:rsidR="00F35C5F" w:rsidRPr="00E07281">
          <w:rPr>
            <w:rStyle w:val="a5"/>
          </w:rPr>
          <w:t>世界人權宣言</w:t>
        </w:r>
      </w:hyperlink>
      <w:r w:rsidRPr="00E07281">
        <w:t>所揭示與明定之上開原則。反之，台灣宜正向地思考，既為地球村之一員，實宜遵守</w:t>
      </w:r>
      <w:hyperlink r:id="rId1817" w:history="1">
        <w:r w:rsidR="00F35C5F" w:rsidRPr="00E07281">
          <w:rPr>
            <w:rStyle w:val="a5"/>
          </w:rPr>
          <w:t>世界人權宣言</w:t>
        </w:r>
      </w:hyperlink>
      <w:r w:rsidRPr="00E07281">
        <w:t>之相關規定為佳</w:t>
      </w:r>
      <w:r w:rsidR="00545D58" w:rsidRPr="00E07281">
        <w:t>。</w:t>
      </w:r>
    </w:p>
    <w:p w14:paraId="6A6C73B2" w14:textId="77777777" w:rsidR="003B41D4" w:rsidRDefault="003B41D4" w:rsidP="00670577">
      <w:pPr>
        <w:jc w:val="right"/>
        <w:rPr>
          <w:rFonts w:ascii="新細明體" w:hAnsi="新細明體"/>
          <w:color w:val="808000"/>
        </w:rPr>
      </w:pPr>
      <w:r w:rsidRPr="0026266A">
        <w:rPr>
          <w:rFonts w:hint="eastAsia"/>
        </w:rPr>
        <w:t>。。。。。。。。。。。。。。。。。。。。。。。。。</w:t>
      </w:r>
      <w:hyperlink w:anchor="a目次34" w:history="1">
        <w:r>
          <w:rPr>
            <w:rStyle w:val="a5"/>
            <w:sz w:val="18"/>
          </w:rPr>
          <w:t>回目次</w:t>
        </w:r>
      </w:hyperlink>
      <w:r w:rsidR="00E91F89">
        <w:rPr>
          <w:rFonts w:ascii="新細明體" w:hAnsi="新細明體"/>
          <w:color w:val="808000"/>
        </w:rPr>
        <w:t>〉〉</w:t>
      </w:r>
    </w:p>
    <w:p w14:paraId="5D9F5794" w14:textId="77777777" w:rsidR="003B41D4" w:rsidRDefault="003B41D4" w:rsidP="00D87D91"/>
    <w:p w14:paraId="44EFBE1A" w14:textId="77777777" w:rsidR="00203F72" w:rsidRPr="00A53581" w:rsidRDefault="00203F72" w:rsidP="00767F37">
      <w:pPr>
        <w:pStyle w:val="2"/>
      </w:pPr>
      <w:bookmarkStart w:id="85" w:name="_玖、結論與建議"/>
      <w:bookmarkEnd w:id="85"/>
      <w:r w:rsidRPr="00A53581">
        <w:t>玖、結論與建議</w:t>
      </w:r>
      <w:r w:rsidRPr="00A53581">
        <w:t xml:space="preserve"> </w:t>
      </w:r>
    </w:p>
    <w:p w14:paraId="3C5CD685" w14:textId="77777777" w:rsidR="00203F72" w:rsidRPr="00DC1C0D" w:rsidRDefault="00331EC1" w:rsidP="00D87D91">
      <w:r w:rsidRPr="00DC1C0D">
        <w:t xml:space="preserve">　　</w:t>
      </w:r>
      <w:r w:rsidR="00203F72" w:rsidRPr="00DC1C0D">
        <w:t>一、結論</w:t>
      </w:r>
    </w:p>
    <w:p w14:paraId="509E7572" w14:textId="77777777" w:rsidR="00953151" w:rsidRPr="00DC1C0D" w:rsidRDefault="00331EC1" w:rsidP="00D87D91">
      <w:r w:rsidRPr="00DC1C0D">
        <w:t xml:space="preserve">　　</w:t>
      </w:r>
      <w:r w:rsidR="00203F72" w:rsidRPr="00DC1C0D">
        <w:t>經由本書之探討，可得知加拿大安大略省政府</w:t>
      </w:r>
      <w:r w:rsidR="00203F72" w:rsidRPr="00DC1C0D">
        <w:t>(</w:t>
      </w:r>
      <w:r w:rsidR="00203F72" w:rsidRPr="00DC1C0D">
        <w:t>勞工部</w:t>
      </w:r>
      <w:r w:rsidR="00203F72" w:rsidRPr="00DC1C0D">
        <w:t>)</w:t>
      </w:r>
      <w:r w:rsidR="00203F72" w:rsidRPr="00DC1C0D">
        <w:t>相當重</w:t>
      </w:r>
      <w:r w:rsidR="003E240E">
        <w:t>視</w:t>
      </w:r>
      <w:r w:rsidR="00203F72" w:rsidRPr="00DC1C0D">
        <w:t>外籍家事勞工之相關權益；在外籍家事勞工之保障法制部分，主要之法律，係為「就業標準法」與</w:t>
      </w:r>
      <w:r w:rsidR="00203F72" w:rsidRPr="00DC1C0D">
        <w:t>2009</w:t>
      </w:r>
      <w:r w:rsidR="00203F72" w:rsidRPr="00DC1C0D">
        <w:t>年「外國人就業保護法</w:t>
      </w:r>
      <w:r w:rsidR="00203F72" w:rsidRPr="00DC1C0D">
        <w:t>(</w:t>
      </w:r>
      <w:r w:rsidR="00203F72" w:rsidRPr="00DC1C0D">
        <w:t>家事勞工及其他</w:t>
      </w:r>
      <w:r w:rsidR="00203F72" w:rsidRPr="00DC1C0D">
        <w:t>)</w:t>
      </w:r>
      <w:r w:rsidR="00203F72" w:rsidRPr="00DC1C0D">
        <w:t>」。依據</w:t>
      </w:r>
      <w:r w:rsidR="00203F72" w:rsidRPr="00DC1C0D">
        <w:t>ESA</w:t>
      </w:r>
      <w:r w:rsidR="00203F72" w:rsidRPr="00DC1C0D">
        <w:t>第</w:t>
      </w:r>
      <w:r w:rsidR="00203F72" w:rsidRPr="00DC1C0D">
        <w:t>1</w:t>
      </w:r>
      <w:r w:rsidR="00203F72" w:rsidRPr="00DC1C0D">
        <w:t>條第</w:t>
      </w:r>
      <w:r w:rsidR="00203F72" w:rsidRPr="00DC1C0D">
        <w:t>1</w:t>
      </w:r>
      <w:r w:rsidR="00203F72" w:rsidRPr="00DC1C0D">
        <w:t>項之規範，</w:t>
      </w:r>
      <w:r w:rsidR="00203F72" w:rsidRPr="00DC1C0D">
        <w:t>ESA</w:t>
      </w:r>
      <w:r w:rsidR="00203F72" w:rsidRPr="00DC1C0D">
        <w:t>所適用之對象，包括外籍家事勞工在內；加拿大安大略省政府此種之作法，能令外籍家事勞工之權益，受到較為充分之保障。上述之保障，包括薪資之支付方式、工作時間、休假、用餐時段及其他等；透由</w:t>
      </w:r>
      <w:r w:rsidR="00203F72" w:rsidRPr="00DC1C0D">
        <w:t>ESA</w:t>
      </w:r>
      <w:r w:rsidR="00203F72" w:rsidRPr="00DC1C0D">
        <w:t>之明文規範，可有效解決外籍家事勞工超時、超量與無法休假之問題，而這些之問題，正是台灣最需要積極克服之部分。</w:t>
      </w:r>
    </w:p>
    <w:p w14:paraId="6A0C7B0A" w14:textId="77777777" w:rsidR="00953151" w:rsidRPr="00DC1C0D" w:rsidRDefault="00331EC1" w:rsidP="00D87D91">
      <w:r w:rsidRPr="00DC1C0D">
        <w:rPr>
          <w:rFonts w:hint="eastAsia"/>
        </w:rPr>
        <w:t xml:space="preserve">　　</w:t>
      </w:r>
      <w:r w:rsidR="00203F72" w:rsidRPr="00DC1C0D">
        <w:rPr>
          <w:rFonts w:hint="eastAsia"/>
        </w:rPr>
        <w:t>作者認為，</w:t>
      </w:r>
      <w:r w:rsidR="00203F72" w:rsidRPr="00DC1C0D">
        <w:t>台灣宜儘速通過「家事勞工保障法」草案，減少合法外勞因其權益受損，求助無門，而演變成為非法外勞之情事。截至</w:t>
      </w:r>
      <w:r w:rsidR="00203F72" w:rsidRPr="00DC1C0D">
        <w:t>201</w:t>
      </w:r>
      <w:r w:rsidR="00203F72" w:rsidRPr="00DC1C0D">
        <w:rPr>
          <w:rFonts w:hint="eastAsia"/>
        </w:rPr>
        <w:t>5</w:t>
      </w:r>
      <w:r w:rsidR="00203F72" w:rsidRPr="00DC1C0D">
        <w:t>年上半年為止，相當可惜地，台灣尚未通過「家事勞工保障法」草案；本書認為，我國國會如能儘速通過「家事勞工保障法」草案，當可保障外勞之人權，減少合法外勞因其權益受損，求助無門，並可有效地降低合法外勞演變成為非法外勞之情事與人數。</w:t>
      </w:r>
    </w:p>
    <w:p w14:paraId="7BD92CA9" w14:textId="77777777" w:rsidR="00953151" w:rsidRPr="00DC1C0D" w:rsidRDefault="00331EC1" w:rsidP="00D87D91">
      <w:r w:rsidRPr="00DC1C0D">
        <w:t xml:space="preserve">　　</w:t>
      </w:r>
      <w:r w:rsidR="00203F72" w:rsidRPr="00DC1C0D">
        <w:t>台灣之所以會出現上述頗為不人道，及對外籍家事勞工進行勞力剝削之現象，最主要之原因，係台灣現行</w:t>
      </w:r>
      <w:hyperlink r:id="rId1818" w:history="1">
        <w:r w:rsidR="002F3FE8" w:rsidRPr="002F3FE8">
          <w:rPr>
            <w:rStyle w:val="a5"/>
            <w:rFonts w:ascii="Times New Roman" w:eastAsia="新細明體" w:hAnsi="Times New Roman"/>
          </w:rPr>
          <w:t>勞基法</w:t>
        </w:r>
      </w:hyperlink>
      <w:r w:rsidR="00203F72" w:rsidRPr="00DC1C0D">
        <w:t>之適用對象，並未包括外籍家事勞工，外籍家事勞工被排斥於</w:t>
      </w:r>
      <w:hyperlink r:id="rId1819" w:history="1">
        <w:r w:rsidR="002F3FE8" w:rsidRPr="002F3FE8">
          <w:rPr>
            <w:rStyle w:val="a5"/>
            <w:rFonts w:ascii="Times New Roman" w:eastAsia="新細明體" w:hAnsi="Times New Roman"/>
          </w:rPr>
          <w:t>勞基法</w:t>
        </w:r>
      </w:hyperlink>
      <w:r w:rsidR="00203F72" w:rsidRPr="00DC1C0D">
        <w:t>之外。是以，加拿大安大略省所訂定</w:t>
      </w:r>
      <w:r w:rsidR="00203F72" w:rsidRPr="00DC1C0D">
        <w:t>ESA</w:t>
      </w:r>
      <w:r w:rsidR="00203F72" w:rsidRPr="00DC1C0D">
        <w:t>對於外籍家事勞工保障之法制機制，整體而論，</w:t>
      </w:r>
      <w:r w:rsidR="00203F72" w:rsidRPr="00DC1C0D">
        <w:t>ESA</w:t>
      </w:r>
      <w:r w:rsidR="00203F72" w:rsidRPr="00DC1C0D">
        <w:t>頗為人性化、法制化、明確化及具有可預見性，相當值得台灣加以學習與效仿。</w:t>
      </w:r>
    </w:p>
    <w:p w14:paraId="55933D2A" w14:textId="77777777" w:rsidR="00203F72" w:rsidRPr="00DC1C0D" w:rsidRDefault="00331EC1" w:rsidP="00D87D91">
      <w:r w:rsidRPr="00DC1C0D">
        <w:t xml:space="preserve">　　</w:t>
      </w:r>
      <w:r w:rsidR="00203F72" w:rsidRPr="00DC1C0D">
        <w:t>二、建議</w:t>
      </w:r>
    </w:p>
    <w:p w14:paraId="0C9E5225" w14:textId="77777777" w:rsidR="00203F72" w:rsidRPr="00DC1C0D" w:rsidRDefault="00331EC1" w:rsidP="00D87D91">
      <w:r w:rsidRPr="00DC1C0D">
        <w:t xml:space="preserve">　　</w:t>
      </w:r>
      <w:r w:rsidR="00203F72" w:rsidRPr="00DC1C0D">
        <w:t>本書綜整上述之討論與分析，對於我國現前之外籍家事勞工相關聘用機制，臚列以下之建議：</w:t>
      </w:r>
    </w:p>
    <w:p w14:paraId="30C21FC6" w14:textId="77777777" w:rsidR="00203F72" w:rsidRPr="00DC1C0D" w:rsidRDefault="00331EC1" w:rsidP="00D87D91">
      <w:r w:rsidRPr="00DC1C0D">
        <w:t xml:space="preserve">　　</w:t>
      </w:r>
      <w:r w:rsidR="00203F72" w:rsidRPr="00DC1C0D">
        <w:t>(</w:t>
      </w:r>
      <w:r w:rsidR="00203F72" w:rsidRPr="00DC1C0D">
        <w:t>一</w:t>
      </w:r>
      <w:r w:rsidR="00203F72" w:rsidRPr="00DC1C0D">
        <w:t>)</w:t>
      </w:r>
      <w:r w:rsidR="00203F72" w:rsidRPr="00DC1C0D">
        <w:t>台灣</w:t>
      </w:r>
      <w:hyperlink r:id="rId1820" w:history="1">
        <w:r w:rsidR="005576A4" w:rsidRPr="002F3FE8">
          <w:rPr>
            <w:rStyle w:val="a5"/>
            <w:rFonts w:ascii="Times New Roman" w:eastAsia="新細明體" w:hAnsi="Times New Roman"/>
          </w:rPr>
          <w:t>勞動基準法</w:t>
        </w:r>
      </w:hyperlink>
      <w:r w:rsidR="00203F72" w:rsidRPr="00DC1C0D">
        <w:t>之適用對象，宜包括「外籍家事勞工」；</w:t>
      </w:r>
    </w:p>
    <w:p w14:paraId="2249A99A" w14:textId="77777777" w:rsidR="00203F72" w:rsidRPr="00DC1C0D" w:rsidRDefault="00331EC1" w:rsidP="00D87D91">
      <w:r w:rsidRPr="00DC1C0D">
        <w:t xml:space="preserve">　　</w:t>
      </w:r>
      <w:r w:rsidR="00203F72" w:rsidRPr="00DC1C0D">
        <w:t>(</w:t>
      </w:r>
      <w:r w:rsidR="00203F72" w:rsidRPr="00DC1C0D">
        <w:t>二</w:t>
      </w:r>
      <w:r w:rsidR="00203F72" w:rsidRPr="00DC1C0D">
        <w:t>)</w:t>
      </w:r>
      <w:r w:rsidR="00203F72" w:rsidRPr="00DC1C0D">
        <w:t>我國對於外籍家事勞工與雇主間之勞資契約，宜進行必要之管控或規制；</w:t>
      </w:r>
    </w:p>
    <w:p w14:paraId="7EFC3509" w14:textId="77777777" w:rsidR="00203F72" w:rsidRPr="00DC1C0D" w:rsidRDefault="00331EC1" w:rsidP="00D87D91">
      <w:r w:rsidRPr="00DC1C0D">
        <w:t xml:space="preserve">　　</w:t>
      </w:r>
      <w:r w:rsidR="00203F72" w:rsidRPr="00DC1C0D">
        <w:t>(</w:t>
      </w:r>
      <w:r w:rsidR="00203F72" w:rsidRPr="00DC1C0D">
        <w:t>三</w:t>
      </w:r>
      <w:r w:rsidR="00203F72" w:rsidRPr="00DC1C0D">
        <w:t>)</w:t>
      </w:r>
      <w:r w:rsidR="00203F72" w:rsidRPr="00DC1C0D">
        <w:t>在認定外籍家事勞工之工作時間</w:t>
      </w:r>
      <w:r w:rsidR="00203F72" w:rsidRPr="00DC1C0D">
        <w:t>(</w:t>
      </w:r>
      <w:r w:rsidR="00203F72" w:rsidRPr="00DC1C0D">
        <w:t>段</w:t>
      </w:r>
      <w:r w:rsidR="00203F72" w:rsidRPr="00DC1C0D">
        <w:t>)</w:t>
      </w:r>
      <w:r w:rsidR="00203F72" w:rsidRPr="00DC1C0D">
        <w:t>是否逾時部分，可引進加國安大略省平均數之計算公式解決之；</w:t>
      </w:r>
    </w:p>
    <w:p w14:paraId="2C8B8E09" w14:textId="77777777" w:rsidR="00203F72" w:rsidRPr="00DC1C0D" w:rsidRDefault="00331EC1" w:rsidP="00D87D91">
      <w:r w:rsidRPr="00DC1C0D">
        <w:t xml:space="preserve">　　</w:t>
      </w:r>
      <w:r w:rsidR="00203F72" w:rsidRPr="00DC1C0D">
        <w:t>(</w:t>
      </w:r>
      <w:r w:rsidR="00203F72" w:rsidRPr="00DC1C0D">
        <w:t>四</w:t>
      </w:r>
      <w:r w:rsidR="00203F72" w:rsidRPr="00DC1C0D">
        <w:t>)</w:t>
      </w:r>
      <w:r w:rsidR="00203F72" w:rsidRPr="00DC1C0D">
        <w:t>雇主延長外籍家事勞工之工作時間者，逾時工資宜為平日每小時標準之</w:t>
      </w:r>
      <w:r w:rsidR="00203F72" w:rsidRPr="00DC1C0D">
        <w:t>1.5</w:t>
      </w:r>
      <w:r w:rsidR="00203F72" w:rsidRPr="00DC1C0D">
        <w:t>倍以上，並運用法律明文規範為佳，以確實地保障外籍家事勞工之權益。</w:t>
      </w:r>
    </w:p>
    <w:p w14:paraId="00D4BB2D" w14:textId="77777777" w:rsidR="00203F72" w:rsidRPr="00DC1C0D" w:rsidRDefault="00331EC1" w:rsidP="00D87D91">
      <w:r w:rsidRPr="00DC1C0D">
        <w:t xml:space="preserve">　　</w:t>
      </w:r>
      <w:r w:rsidR="00203F72" w:rsidRPr="00DC1C0D">
        <w:t>(</w:t>
      </w:r>
      <w:r w:rsidR="00203F72" w:rsidRPr="00DC1C0D">
        <w:t>五</w:t>
      </w:r>
      <w:r w:rsidR="00203F72" w:rsidRPr="00DC1C0D">
        <w:t>)</w:t>
      </w:r>
      <w:r w:rsidR="00203F72" w:rsidRPr="00DC1C0D">
        <w:t>外籍家事勞工之薪資，如與本國勞工之薪資比較，外籍家事勞工之薪資宜受到同工同酬</w:t>
      </w:r>
      <w:r w:rsidR="00203F72" w:rsidRPr="00DC1C0D">
        <w:t>(Equal pay for equal work)</w:t>
      </w:r>
      <w:r w:rsidR="00203F72" w:rsidRPr="00DC1C0D">
        <w:t>之保障，以符合憲法之平等原則。</w:t>
      </w:r>
    </w:p>
    <w:p w14:paraId="7C1D60E5" w14:textId="77777777" w:rsidR="00203F72" w:rsidRPr="00DC1C0D" w:rsidRDefault="00331EC1" w:rsidP="00D87D91">
      <w:r w:rsidRPr="00DC1C0D">
        <w:t xml:space="preserve">　　</w:t>
      </w:r>
      <w:r w:rsidR="00203F72" w:rsidRPr="00DC1C0D">
        <w:t>(</w:t>
      </w:r>
      <w:r w:rsidR="00203F72" w:rsidRPr="00DC1C0D">
        <w:t>六</w:t>
      </w:r>
      <w:r w:rsidR="00203F72" w:rsidRPr="00DC1C0D">
        <w:t>)</w:t>
      </w:r>
      <w:r w:rsidR="00203F72" w:rsidRPr="00DC1C0D">
        <w:t>台灣對於外國人工作權之保障，似宜與《</w:t>
      </w:r>
      <w:hyperlink r:id="rId1821" w:history="1">
        <w:r w:rsidR="00F35C5F" w:rsidRPr="00F35C5F">
          <w:rPr>
            <w:rStyle w:val="a5"/>
          </w:rPr>
          <w:t>世界人權宣言</w:t>
        </w:r>
      </w:hyperlink>
      <w:r w:rsidR="00203F72" w:rsidRPr="00DC1C0D">
        <w:t>》、《</w:t>
      </w:r>
      <w:hyperlink r:id="rId1822" w:history="1">
        <w:r w:rsidR="00203F72" w:rsidRPr="003B2F8E">
          <w:rPr>
            <w:rStyle w:val="a5"/>
            <w:rFonts w:ascii="Times New Roman" w:eastAsia="新細明體" w:hAnsi="Times New Roman"/>
          </w:rPr>
          <w:t>經濟、社會、文化權利國際公約</w:t>
        </w:r>
      </w:hyperlink>
      <w:r w:rsidR="00203F72" w:rsidRPr="00DC1C0D">
        <w:t>》、《</w:t>
      </w:r>
      <w:hyperlink r:id="rId1823" w:history="1">
        <w:r w:rsidR="00203F72" w:rsidRPr="003B2F8E">
          <w:rPr>
            <w:rStyle w:val="a5"/>
            <w:rFonts w:ascii="Times New Roman" w:eastAsia="新細明體" w:hAnsi="Times New Roman"/>
          </w:rPr>
          <w:t>公民與政治權利國際公約》</w:t>
        </w:r>
      </w:hyperlink>
      <w:r w:rsidR="00203F72" w:rsidRPr="00DC1C0D">
        <w:t>、《</w:t>
      </w:r>
      <w:hyperlink r:id="rId1824" w:history="1">
        <w:r w:rsidR="00203F72" w:rsidRPr="003B2F8E">
          <w:rPr>
            <w:rStyle w:val="a5"/>
            <w:rFonts w:ascii="Times New Roman" w:eastAsia="新細明體" w:hAnsi="Times New Roman"/>
          </w:rPr>
          <w:t>消除一切形式種族歧視國際公約</w:t>
        </w:r>
      </w:hyperlink>
      <w:r w:rsidR="00203F72" w:rsidRPr="00DC1C0D">
        <w:t>》、《</w:t>
      </w:r>
      <w:hyperlink r:id="rId1825" w:history="1">
        <w:r w:rsidR="00203F72" w:rsidRPr="00DC1C0D">
          <w:rPr>
            <w:rStyle w:val="a5"/>
          </w:rPr>
          <w:t>消除對婦女一切形式歧視公約</w:t>
        </w:r>
      </w:hyperlink>
      <w:r w:rsidR="00203F72" w:rsidRPr="00DC1C0D">
        <w:t>》及《</w:t>
      </w:r>
      <w:hyperlink r:id="rId1826" w:history="1">
        <w:r w:rsidR="00DF3454" w:rsidRPr="00DC1C0D">
          <w:rPr>
            <w:rStyle w:val="a5"/>
          </w:rPr>
          <w:t>兒童權利公約</w:t>
        </w:r>
      </w:hyperlink>
      <w:r w:rsidR="00203F72" w:rsidRPr="00DC1C0D">
        <w:t>》等國際條約進行接軌。尤其有必要將「保護所有移徙工人及其家庭成員權利國際公約」相關之條文精神與實際內容，諸如本公約中之</w:t>
      </w:r>
      <w:hyperlink r:id="rId1827" w:anchor="a1" w:history="1">
        <w:r w:rsidR="00203F72" w:rsidRPr="007815B7">
          <w:rPr>
            <w:rStyle w:val="a5"/>
            <w:rFonts w:ascii="Times New Roman" w:eastAsia="新細明體" w:hAnsi="Times New Roman"/>
          </w:rPr>
          <w:t>第</w:t>
        </w:r>
        <w:r w:rsidR="00203F72" w:rsidRPr="007815B7">
          <w:rPr>
            <w:rStyle w:val="a5"/>
            <w:rFonts w:ascii="Times New Roman" w:eastAsia="新細明體" w:hAnsi="Times New Roman"/>
          </w:rPr>
          <w:t>1</w:t>
        </w:r>
        <w:r w:rsidR="00203F72" w:rsidRPr="007815B7">
          <w:rPr>
            <w:rStyle w:val="a5"/>
            <w:rFonts w:ascii="Times New Roman" w:eastAsia="新細明體" w:hAnsi="Times New Roman"/>
          </w:rPr>
          <w:t>條</w:t>
        </w:r>
      </w:hyperlink>
      <w:r w:rsidR="00203F72" w:rsidRPr="00DC1C0D">
        <w:t>(</w:t>
      </w:r>
      <w:r w:rsidR="00203F72" w:rsidRPr="00DC1C0D">
        <w:t>禁止歧</w:t>
      </w:r>
      <w:r w:rsidR="003E240E">
        <w:t>視</w:t>
      </w:r>
      <w:r w:rsidR="00203F72" w:rsidRPr="00DC1C0D">
        <w:t>原則</w:t>
      </w:r>
      <w:r w:rsidR="00203F72" w:rsidRPr="00DC1C0D">
        <w:t>)</w:t>
      </w:r>
      <w:r w:rsidR="00203F72" w:rsidRPr="00DC1C0D">
        <w:footnoteReference w:id="562"/>
      </w:r>
      <w:r w:rsidR="00203F72" w:rsidRPr="00DC1C0D">
        <w:t>、</w:t>
      </w:r>
      <w:hyperlink r:id="rId1828" w:anchor="a7"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7</w:t>
        </w:r>
        <w:r w:rsidR="00203F72" w:rsidRPr="007D12E7">
          <w:rPr>
            <w:rStyle w:val="a5"/>
            <w:rFonts w:ascii="Times New Roman" w:eastAsia="新細明體" w:hAnsi="Times New Roman"/>
          </w:rPr>
          <w:t>條</w:t>
        </w:r>
      </w:hyperlink>
      <w:r w:rsidR="00203F72" w:rsidRPr="00DC1C0D">
        <w:t>(</w:t>
      </w:r>
      <w:r w:rsidR="00203F72" w:rsidRPr="00DC1C0D">
        <w:t>權利方面不受歧</w:t>
      </w:r>
      <w:r w:rsidR="003E240E">
        <w:t>視</w:t>
      </w:r>
      <w:r w:rsidR="00203F72" w:rsidRPr="00DC1C0D">
        <w:t>原則</w:t>
      </w:r>
      <w:r w:rsidR="00203F72" w:rsidRPr="00DC1C0D">
        <w:t>)</w:t>
      </w:r>
      <w:r w:rsidR="00203F72" w:rsidRPr="00DC1C0D">
        <w:footnoteReference w:id="563"/>
      </w:r>
      <w:r w:rsidR="00203F72" w:rsidRPr="00DC1C0D">
        <w:t>、</w:t>
      </w:r>
      <w:hyperlink r:id="rId1829" w:anchor="a8"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8</w:t>
        </w:r>
        <w:r w:rsidR="00203F72" w:rsidRPr="007D12E7">
          <w:rPr>
            <w:rStyle w:val="a5"/>
            <w:rFonts w:ascii="Times New Roman" w:eastAsia="新細明體" w:hAnsi="Times New Roman"/>
          </w:rPr>
          <w:t>條</w:t>
        </w:r>
      </w:hyperlink>
      <w:r w:rsidR="00203F72" w:rsidRPr="00DC1C0D">
        <w:t>(</w:t>
      </w:r>
      <w:r w:rsidR="00203F72" w:rsidRPr="00DC1C0D">
        <w:t>遷徙自由</w:t>
      </w:r>
      <w:r w:rsidR="00203F72" w:rsidRPr="00DC1C0D">
        <w:t>)</w:t>
      </w:r>
      <w:r w:rsidR="00203F72" w:rsidRPr="00DC1C0D">
        <w:footnoteReference w:id="564"/>
      </w:r>
      <w:r w:rsidR="00203F72" w:rsidRPr="00DC1C0D">
        <w:t>、</w:t>
      </w:r>
      <w:hyperlink r:id="rId1830" w:anchor="a9"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9</w:t>
        </w:r>
        <w:r w:rsidR="00203F72" w:rsidRPr="007D12E7">
          <w:rPr>
            <w:rStyle w:val="a5"/>
            <w:rFonts w:ascii="Times New Roman" w:eastAsia="新細明體" w:hAnsi="Times New Roman"/>
          </w:rPr>
          <w:t>條</w:t>
        </w:r>
      </w:hyperlink>
      <w:r w:rsidR="00203F72" w:rsidRPr="00DC1C0D">
        <w:t>(</w:t>
      </w:r>
      <w:r w:rsidR="00203F72" w:rsidRPr="00DC1C0D">
        <w:t>生命權應受法律保護</w:t>
      </w:r>
      <w:r w:rsidR="00203F72" w:rsidRPr="00DC1C0D">
        <w:t>)</w:t>
      </w:r>
      <w:r w:rsidR="00203F72" w:rsidRPr="00DC1C0D">
        <w:footnoteReference w:id="565"/>
      </w:r>
      <w:r w:rsidR="00203F72" w:rsidRPr="00DC1C0D">
        <w:t>、</w:t>
      </w:r>
      <w:hyperlink r:id="rId1831" w:anchor="a10"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10</w:t>
        </w:r>
        <w:r w:rsidR="00203F72" w:rsidRPr="007D12E7">
          <w:rPr>
            <w:rStyle w:val="a5"/>
            <w:rFonts w:ascii="Times New Roman" w:eastAsia="新細明體" w:hAnsi="Times New Roman"/>
          </w:rPr>
          <w:t>條</w:t>
        </w:r>
      </w:hyperlink>
      <w:r w:rsidR="00203F72" w:rsidRPr="00DC1C0D">
        <w:t>(</w:t>
      </w:r>
      <w:r w:rsidR="00203F72" w:rsidRPr="00DC1C0D">
        <w:t>不受不人道、有辱人格的待遇</w:t>
      </w:r>
      <w:r w:rsidR="00203F72" w:rsidRPr="00DC1C0D">
        <w:t>)</w:t>
      </w:r>
      <w:r w:rsidR="00203F72" w:rsidRPr="00DC1C0D">
        <w:footnoteReference w:id="566"/>
      </w:r>
      <w:r w:rsidR="00203F72" w:rsidRPr="00DC1C0D">
        <w:t>、</w:t>
      </w:r>
      <w:hyperlink r:id="rId1832" w:anchor="a11"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11</w:t>
        </w:r>
        <w:r w:rsidR="00203F72" w:rsidRPr="007D12E7">
          <w:rPr>
            <w:rStyle w:val="a5"/>
            <w:rFonts w:ascii="Times New Roman" w:eastAsia="新細明體" w:hAnsi="Times New Roman"/>
          </w:rPr>
          <w:t>條</w:t>
        </w:r>
      </w:hyperlink>
      <w:r w:rsidR="00203F72" w:rsidRPr="00DC1C0D">
        <w:t>(</w:t>
      </w:r>
      <w:r w:rsidR="00203F72" w:rsidRPr="00DC1C0D">
        <w:t>不受奴役</w:t>
      </w:r>
      <w:r w:rsidR="00203F72" w:rsidRPr="00DC1C0D">
        <w:t>)</w:t>
      </w:r>
      <w:r w:rsidR="00203F72" w:rsidRPr="00DC1C0D">
        <w:footnoteReference w:id="567"/>
      </w:r>
      <w:r w:rsidR="00203F72" w:rsidRPr="00DC1C0D">
        <w:t>、</w:t>
      </w:r>
      <w:hyperlink r:id="rId1833" w:anchor="a12"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12</w:t>
        </w:r>
        <w:r w:rsidR="00203F72" w:rsidRPr="007D12E7">
          <w:rPr>
            <w:rStyle w:val="a5"/>
            <w:rFonts w:ascii="Times New Roman" w:eastAsia="新細明體" w:hAnsi="Times New Roman"/>
          </w:rPr>
          <w:t>條</w:t>
        </w:r>
      </w:hyperlink>
      <w:r w:rsidR="00203F72" w:rsidRPr="00DC1C0D">
        <w:t>(</w:t>
      </w:r>
      <w:r w:rsidR="00203F72" w:rsidRPr="00DC1C0D">
        <w:t>思想、良心和宗教自由權利</w:t>
      </w:r>
      <w:r w:rsidR="00203F72" w:rsidRPr="00DC1C0D">
        <w:t>)</w:t>
      </w:r>
      <w:r w:rsidR="00203F72" w:rsidRPr="00DC1C0D">
        <w:footnoteReference w:id="568"/>
      </w:r>
      <w:r w:rsidR="00203F72" w:rsidRPr="00DC1C0D">
        <w:t>、</w:t>
      </w:r>
      <w:hyperlink r:id="rId1834" w:anchor="a13"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13</w:t>
        </w:r>
        <w:r w:rsidR="00203F72" w:rsidRPr="007D12E7">
          <w:rPr>
            <w:rStyle w:val="a5"/>
            <w:rFonts w:ascii="Times New Roman" w:eastAsia="新細明體" w:hAnsi="Times New Roman"/>
          </w:rPr>
          <w:t>條</w:t>
        </w:r>
      </w:hyperlink>
      <w:r w:rsidR="00203F72" w:rsidRPr="00DC1C0D">
        <w:t>(</w:t>
      </w:r>
      <w:r w:rsidR="00203F72" w:rsidRPr="00DC1C0D">
        <w:t>表達意見的自由權利</w:t>
      </w:r>
      <w:r w:rsidR="00203F72" w:rsidRPr="00DC1C0D">
        <w:t>)</w:t>
      </w:r>
      <w:r w:rsidR="00203F72" w:rsidRPr="00DC1C0D">
        <w:footnoteReference w:id="569"/>
      </w:r>
      <w:r w:rsidR="00203F72" w:rsidRPr="00DC1C0D">
        <w:t>、</w:t>
      </w:r>
      <w:hyperlink r:id="rId1835" w:anchor="a14"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14</w:t>
        </w:r>
        <w:r w:rsidR="00203F72" w:rsidRPr="007D12E7">
          <w:rPr>
            <w:rStyle w:val="a5"/>
            <w:rFonts w:ascii="Times New Roman" w:eastAsia="新細明體" w:hAnsi="Times New Roman"/>
          </w:rPr>
          <w:t>條</w:t>
        </w:r>
      </w:hyperlink>
      <w:r w:rsidR="00203F72" w:rsidRPr="00DC1C0D">
        <w:t>(</w:t>
      </w:r>
      <w:r w:rsidR="00203F72" w:rsidRPr="00DC1C0D">
        <w:t>隱私、家庭、住宅、通信權</w:t>
      </w:r>
      <w:r w:rsidR="00203F72" w:rsidRPr="00DC1C0D">
        <w:t>)</w:t>
      </w:r>
      <w:r w:rsidR="00203F72" w:rsidRPr="00DC1C0D">
        <w:footnoteReference w:id="570"/>
      </w:r>
      <w:r w:rsidR="00203F72" w:rsidRPr="00DC1C0D">
        <w:t>、</w:t>
      </w:r>
      <w:hyperlink r:id="rId1836" w:anchor="a15" w:history="1">
        <w:r w:rsidR="00B167C2" w:rsidRPr="00B167C2">
          <w:rPr>
            <w:rStyle w:val="a5"/>
          </w:rPr>
          <w:t>第15條</w:t>
        </w:r>
      </w:hyperlink>
      <w:r w:rsidR="00B167C2" w:rsidRPr="00DC1C0D">
        <w:t xml:space="preserve"> </w:t>
      </w:r>
      <w:r w:rsidR="00203F72" w:rsidRPr="00DC1C0D">
        <w:t>(</w:t>
      </w:r>
      <w:r w:rsidR="00203F72" w:rsidRPr="00DC1C0D">
        <w:t>財產權</w:t>
      </w:r>
      <w:r w:rsidR="00203F72" w:rsidRPr="00DC1C0D">
        <w:t>)</w:t>
      </w:r>
      <w:r w:rsidR="00203F72" w:rsidRPr="00DC1C0D">
        <w:footnoteReference w:id="571"/>
      </w:r>
      <w:r w:rsidR="00203F72" w:rsidRPr="00DC1C0D">
        <w:t>、</w:t>
      </w:r>
      <w:hyperlink r:id="rId1837" w:anchor="a16"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16</w:t>
        </w:r>
        <w:r w:rsidR="00203F72" w:rsidRPr="007D12E7">
          <w:rPr>
            <w:rStyle w:val="a5"/>
            <w:rFonts w:ascii="Times New Roman" w:eastAsia="新細明體" w:hAnsi="Times New Roman"/>
          </w:rPr>
          <w:t>條</w:t>
        </w:r>
      </w:hyperlink>
      <w:r w:rsidR="00203F72" w:rsidRPr="00DC1C0D">
        <w:t>(</w:t>
      </w:r>
      <w:r w:rsidR="00203F72" w:rsidRPr="00DC1C0D">
        <w:t>人身自由和安全權利</w:t>
      </w:r>
      <w:r w:rsidR="00203F72" w:rsidRPr="00DC1C0D">
        <w:t>)</w:t>
      </w:r>
      <w:r w:rsidR="00203F72" w:rsidRPr="00DC1C0D">
        <w:footnoteReference w:id="572"/>
      </w:r>
      <w:r w:rsidR="00203F72" w:rsidRPr="00DC1C0D">
        <w:t>、</w:t>
      </w:r>
      <w:hyperlink r:id="rId1838" w:anchor="a17"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17</w:t>
        </w:r>
        <w:r w:rsidR="00203F72" w:rsidRPr="007D12E7">
          <w:rPr>
            <w:rStyle w:val="a5"/>
            <w:rFonts w:ascii="Times New Roman" w:eastAsia="新細明體" w:hAnsi="Times New Roman"/>
          </w:rPr>
          <w:t>條</w:t>
        </w:r>
      </w:hyperlink>
      <w:r w:rsidR="00203F72" w:rsidRPr="00DC1C0D">
        <w:t>(</w:t>
      </w:r>
      <w:r w:rsidR="00203F72" w:rsidRPr="00DC1C0D">
        <w:t>固有的人的尊嚴之保障</w:t>
      </w:r>
      <w:r w:rsidR="00203F72" w:rsidRPr="00DC1C0D">
        <w:t>)</w:t>
      </w:r>
      <w:r w:rsidR="00203F72" w:rsidRPr="00DC1C0D">
        <w:footnoteReference w:id="573"/>
      </w:r>
      <w:r w:rsidR="00203F72" w:rsidRPr="00DC1C0D">
        <w:t>、</w:t>
      </w:r>
      <w:hyperlink r:id="rId1839" w:anchor="a18"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18</w:t>
        </w:r>
        <w:r w:rsidR="00203F72" w:rsidRPr="007D12E7">
          <w:rPr>
            <w:rStyle w:val="a5"/>
            <w:rFonts w:ascii="Times New Roman" w:eastAsia="新細明體" w:hAnsi="Times New Roman"/>
          </w:rPr>
          <w:t>條</w:t>
        </w:r>
      </w:hyperlink>
      <w:r w:rsidR="00203F72" w:rsidRPr="00DC1C0D">
        <w:t>(</w:t>
      </w:r>
      <w:r w:rsidR="00203F72" w:rsidRPr="00DC1C0D">
        <w:t>在法院享有國民平等待遇權</w:t>
      </w:r>
      <w:r w:rsidR="00203F72" w:rsidRPr="00DC1C0D">
        <w:t>)</w:t>
      </w:r>
      <w:r w:rsidR="00203F72" w:rsidRPr="00DC1C0D">
        <w:footnoteReference w:id="574"/>
      </w:r>
      <w:r w:rsidR="00203F72" w:rsidRPr="00DC1C0D">
        <w:t>、</w:t>
      </w:r>
      <w:hyperlink r:id="rId1840" w:anchor="a21"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21</w:t>
        </w:r>
        <w:r w:rsidR="00203F72" w:rsidRPr="007D12E7">
          <w:rPr>
            <w:rStyle w:val="a5"/>
            <w:rFonts w:ascii="Times New Roman" w:eastAsia="新細明體" w:hAnsi="Times New Roman"/>
          </w:rPr>
          <w:t>條</w:t>
        </w:r>
      </w:hyperlink>
      <w:r w:rsidR="00203F72" w:rsidRPr="00DC1C0D">
        <w:t>(</w:t>
      </w:r>
      <w:r w:rsidR="00203F72" w:rsidRPr="00DC1C0D">
        <w:t>禁止非法扣留證件</w:t>
      </w:r>
      <w:r w:rsidR="00203F72" w:rsidRPr="00DC1C0D">
        <w:t>)</w:t>
      </w:r>
      <w:r w:rsidR="00203F72" w:rsidRPr="00DC1C0D">
        <w:footnoteReference w:id="575"/>
      </w:r>
      <w:r w:rsidR="00203F72" w:rsidRPr="00DC1C0D">
        <w:t>、</w:t>
      </w:r>
      <w:hyperlink r:id="rId1841" w:anchor="a22"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22</w:t>
        </w:r>
        <w:r w:rsidR="00203F72" w:rsidRPr="007D12E7">
          <w:rPr>
            <w:rStyle w:val="a5"/>
            <w:rFonts w:ascii="Times New Roman" w:eastAsia="新細明體" w:hAnsi="Times New Roman"/>
          </w:rPr>
          <w:t>條</w:t>
        </w:r>
      </w:hyperlink>
      <w:r w:rsidR="00203F72" w:rsidRPr="00DC1C0D">
        <w:t>(</w:t>
      </w:r>
      <w:r w:rsidR="00203F72" w:rsidRPr="00DC1C0D">
        <w:t>禁止非法驅逐出境</w:t>
      </w:r>
      <w:r w:rsidR="00203F72" w:rsidRPr="00DC1C0D">
        <w:t>)</w:t>
      </w:r>
      <w:r w:rsidR="00203F72" w:rsidRPr="00DC1C0D">
        <w:footnoteReference w:id="576"/>
      </w:r>
      <w:r w:rsidR="00203F72" w:rsidRPr="00DC1C0D">
        <w:t>、</w:t>
      </w:r>
      <w:hyperlink r:id="rId1842" w:anchor="a23"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23</w:t>
        </w:r>
        <w:r w:rsidR="00203F72" w:rsidRPr="007D12E7">
          <w:rPr>
            <w:rStyle w:val="a5"/>
            <w:rFonts w:ascii="Times New Roman" w:eastAsia="新細明體" w:hAnsi="Times New Roman"/>
          </w:rPr>
          <w:t>條</w:t>
        </w:r>
      </w:hyperlink>
      <w:r w:rsidR="00203F72" w:rsidRPr="00DC1C0D">
        <w:t>(</w:t>
      </w:r>
      <w:r w:rsidR="00203F72" w:rsidRPr="00DC1C0D">
        <w:t>受領事保護權利</w:t>
      </w:r>
      <w:r w:rsidR="00203F72" w:rsidRPr="00DC1C0D">
        <w:t>)</w:t>
      </w:r>
      <w:r w:rsidR="00203F72" w:rsidRPr="00DC1C0D">
        <w:footnoteReference w:id="577"/>
      </w:r>
      <w:r w:rsidR="00203F72" w:rsidRPr="00DC1C0D">
        <w:t>、</w:t>
      </w:r>
      <w:hyperlink r:id="rId1843" w:anchor="a24"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24</w:t>
        </w:r>
        <w:r w:rsidR="00203F72" w:rsidRPr="007D12E7">
          <w:rPr>
            <w:rStyle w:val="a5"/>
            <w:rFonts w:ascii="Times New Roman" w:eastAsia="新細明體" w:hAnsi="Times New Roman"/>
          </w:rPr>
          <w:t>條</w:t>
        </w:r>
      </w:hyperlink>
      <w:r w:rsidR="00203F72" w:rsidRPr="00DC1C0D">
        <w:t>(</w:t>
      </w:r>
      <w:r w:rsidR="00203F72" w:rsidRPr="00DC1C0D">
        <w:t>法律之前的人格權利</w:t>
      </w:r>
      <w:r w:rsidR="00203F72" w:rsidRPr="00DC1C0D">
        <w:t>)</w:t>
      </w:r>
      <w:r w:rsidR="00203F72" w:rsidRPr="00DC1C0D">
        <w:footnoteReference w:id="578"/>
      </w:r>
      <w:r w:rsidR="00203F72" w:rsidRPr="00DC1C0D">
        <w:t>、</w:t>
      </w:r>
      <w:hyperlink r:id="rId1844"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00203F72" w:rsidRPr="00DC1C0D">
        <w:t>(</w:t>
      </w:r>
      <w:r w:rsidR="00203F72" w:rsidRPr="00DC1C0D">
        <w:t>同工同酬等相關權利</w:t>
      </w:r>
      <w:r w:rsidR="00203F72" w:rsidRPr="00DC1C0D">
        <w:t>)</w:t>
      </w:r>
      <w:r w:rsidR="00203F72" w:rsidRPr="00DC1C0D">
        <w:footnoteReference w:id="579"/>
      </w:r>
      <w:r w:rsidR="00203F72" w:rsidRPr="00DC1C0D">
        <w:t>、</w:t>
      </w:r>
      <w:hyperlink r:id="rId1845" w:anchor="a26"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26</w:t>
        </w:r>
        <w:r w:rsidR="00203F72" w:rsidRPr="007D12E7">
          <w:rPr>
            <w:rStyle w:val="a5"/>
            <w:rFonts w:ascii="Times New Roman" w:eastAsia="新細明體" w:hAnsi="Times New Roman"/>
          </w:rPr>
          <w:t>條</w:t>
        </w:r>
      </w:hyperlink>
      <w:r w:rsidR="00203F72" w:rsidRPr="00DC1C0D">
        <w:t>(</w:t>
      </w:r>
      <w:r w:rsidR="00203F72" w:rsidRPr="00DC1C0D">
        <w:t>結社權、集會權</w:t>
      </w:r>
      <w:r w:rsidR="00203F72" w:rsidRPr="00DC1C0D">
        <w:t>)</w:t>
      </w:r>
      <w:r w:rsidR="00203F72" w:rsidRPr="00DC1C0D">
        <w:footnoteReference w:id="580"/>
      </w:r>
      <w:r w:rsidR="00203F72" w:rsidRPr="00DC1C0D">
        <w:t>、</w:t>
      </w:r>
      <w:hyperlink r:id="rId1846" w:anchor="a28"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28</w:t>
        </w:r>
        <w:r w:rsidR="00203F72" w:rsidRPr="007D12E7">
          <w:rPr>
            <w:rStyle w:val="a5"/>
            <w:rFonts w:ascii="Times New Roman" w:eastAsia="新細明體" w:hAnsi="Times New Roman"/>
          </w:rPr>
          <w:t>條</w:t>
        </w:r>
      </w:hyperlink>
      <w:r w:rsidR="00203F72" w:rsidRPr="00DC1C0D">
        <w:t>(</w:t>
      </w:r>
      <w:r w:rsidR="00203F72" w:rsidRPr="00DC1C0D">
        <w:t>健康權</w:t>
      </w:r>
      <w:r w:rsidR="00203F72" w:rsidRPr="00DC1C0D">
        <w:t>)</w:t>
      </w:r>
      <w:r w:rsidR="00203F72" w:rsidRPr="00DC1C0D">
        <w:footnoteReference w:id="581"/>
      </w:r>
      <w:r w:rsidR="00203F72" w:rsidRPr="00DC1C0D">
        <w:t>、</w:t>
      </w:r>
      <w:hyperlink r:id="rId1847" w:anchor="a30"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30</w:t>
        </w:r>
        <w:r w:rsidR="00203F72" w:rsidRPr="007D12E7">
          <w:rPr>
            <w:rStyle w:val="a5"/>
            <w:rFonts w:ascii="Times New Roman" w:eastAsia="新細明體" w:hAnsi="Times New Roman"/>
          </w:rPr>
          <w:t>條</w:t>
        </w:r>
      </w:hyperlink>
      <w:r w:rsidR="00203F72" w:rsidRPr="00DC1C0D">
        <w:t>(</w:t>
      </w:r>
      <w:r w:rsidR="00203F72" w:rsidRPr="00DC1C0D">
        <w:t>子女受教育權利</w:t>
      </w:r>
      <w:r w:rsidR="00203F72" w:rsidRPr="00DC1C0D">
        <w:t>)</w:t>
      </w:r>
      <w:r w:rsidR="00203F72" w:rsidRPr="00DC1C0D">
        <w:footnoteReference w:id="582"/>
      </w:r>
      <w:r w:rsidR="00203F72" w:rsidRPr="00DC1C0D">
        <w:t>、</w:t>
      </w:r>
      <w:hyperlink r:id="rId1848" w:anchor="a31"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31</w:t>
        </w:r>
        <w:r w:rsidR="00203F72" w:rsidRPr="007D12E7">
          <w:rPr>
            <w:rStyle w:val="a5"/>
            <w:rFonts w:ascii="Times New Roman" w:eastAsia="新細明體" w:hAnsi="Times New Roman"/>
          </w:rPr>
          <w:t>條</w:t>
        </w:r>
      </w:hyperlink>
      <w:r w:rsidR="00203F72" w:rsidRPr="00DC1C0D">
        <w:t>(</w:t>
      </w:r>
      <w:r w:rsidR="00203F72" w:rsidRPr="00DC1C0D">
        <w:t>文化權</w:t>
      </w:r>
      <w:r w:rsidR="00203F72" w:rsidRPr="00DC1C0D">
        <w:t>)</w:t>
      </w:r>
      <w:r w:rsidR="00203F72" w:rsidRPr="00DC1C0D">
        <w:footnoteReference w:id="583"/>
      </w:r>
      <w:r w:rsidR="00203F72" w:rsidRPr="00DC1C0D">
        <w:t>、</w:t>
      </w:r>
      <w:hyperlink r:id="rId1849" w:anchor="a32"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32</w:t>
        </w:r>
        <w:r w:rsidR="00203F72" w:rsidRPr="007D12E7">
          <w:rPr>
            <w:rStyle w:val="a5"/>
            <w:rFonts w:ascii="Times New Roman" w:eastAsia="新細明體" w:hAnsi="Times New Roman"/>
          </w:rPr>
          <w:t>條</w:t>
        </w:r>
      </w:hyperlink>
      <w:r w:rsidR="00203F72" w:rsidRPr="00DC1C0D">
        <w:t>(</w:t>
      </w:r>
      <w:r w:rsidR="00203F72" w:rsidRPr="00DC1C0D">
        <w:t>匯兌收益權</w:t>
      </w:r>
      <w:r w:rsidR="00203F72" w:rsidRPr="00DC1C0D">
        <w:t>)</w:t>
      </w:r>
      <w:r w:rsidR="00203F72" w:rsidRPr="00DC1C0D">
        <w:footnoteReference w:id="584"/>
      </w:r>
      <w:r w:rsidR="00203F72" w:rsidRPr="00DC1C0D">
        <w:t>、</w:t>
      </w:r>
      <w:hyperlink r:id="rId1850" w:anchor="a33"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33</w:t>
        </w:r>
      </w:hyperlink>
      <w:r w:rsidR="00203F72" w:rsidRPr="00DC1C0D">
        <w:t>條</w:t>
      </w:r>
      <w:r w:rsidR="00203F72" w:rsidRPr="00DC1C0D">
        <w:t>(</w:t>
      </w:r>
      <w:r w:rsidR="00203F72" w:rsidRPr="00DC1C0D">
        <w:t>受告知資訊權</w:t>
      </w:r>
      <w:r w:rsidR="00203F72" w:rsidRPr="00DC1C0D">
        <w:t>)</w:t>
      </w:r>
      <w:r w:rsidR="00203F72" w:rsidRPr="00DC1C0D">
        <w:footnoteReference w:id="585"/>
      </w:r>
      <w:r w:rsidR="00203F72" w:rsidRPr="00DC1C0D">
        <w:t>、</w:t>
      </w:r>
      <w:hyperlink r:id="rId1851" w:anchor="a39"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39</w:t>
        </w:r>
        <w:r w:rsidR="00203F72" w:rsidRPr="007D12E7">
          <w:rPr>
            <w:rStyle w:val="a5"/>
            <w:rFonts w:ascii="Times New Roman" w:eastAsia="新細明體" w:hAnsi="Times New Roman"/>
          </w:rPr>
          <w:t>條</w:t>
        </w:r>
      </w:hyperlink>
      <w:r w:rsidR="00203F72" w:rsidRPr="00DC1C0D">
        <w:t>(</w:t>
      </w:r>
      <w:r w:rsidR="00203F72" w:rsidRPr="00DC1C0D">
        <w:t>遷徙、居住自由權利</w:t>
      </w:r>
      <w:r w:rsidR="00203F72" w:rsidRPr="00DC1C0D">
        <w:t>)</w:t>
      </w:r>
      <w:r w:rsidR="00203F72" w:rsidRPr="00DC1C0D">
        <w:footnoteReference w:id="586"/>
      </w:r>
      <w:r w:rsidR="00203F72" w:rsidRPr="00DC1C0D">
        <w:t>、</w:t>
      </w:r>
      <w:hyperlink r:id="rId1852" w:anchor="a40"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40</w:t>
        </w:r>
        <w:r w:rsidR="00203F72" w:rsidRPr="007D12E7">
          <w:rPr>
            <w:rStyle w:val="a5"/>
            <w:rFonts w:ascii="Times New Roman" w:eastAsia="新細明體" w:hAnsi="Times New Roman"/>
          </w:rPr>
          <w:t>條</w:t>
        </w:r>
      </w:hyperlink>
      <w:r w:rsidR="00203F72" w:rsidRPr="00DC1C0D">
        <w:t>(</w:t>
      </w:r>
      <w:r w:rsidR="00203F72" w:rsidRPr="00DC1C0D">
        <w:t>結社權</w:t>
      </w:r>
      <w:r w:rsidR="00D92F56" w:rsidRPr="00DC1C0D">
        <w:t>〜</w:t>
      </w:r>
      <w:r w:rsidR="00203F72" w:rsidRPr="00DC1C0D">
        <w:t>組成工會權</w:t>
      </w:r>
      <w:r w:rsidR="00203F72" w:rsidRPr="00DC1C0D">
        <w:t>)</w:t>
      </w:r>
      <w:r w:rsidR="00203F72" w:rsidRPr="00DC1C0D">
        <w:footnoteReference w:id="587"/>
      </w:r>
      <w:r w:rsidR="00203F72" w:rsidRPr="00DC1C0D">
        <w:t>、</w:t>
      </w:r>
      <w:hyperlink r:id="rId1853" w:anchor="a43"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43</w:t>
        </w:r>
        <w:r w:rsidR="00203F72" w:rsidRPr="007D12E7">
          <w:rPr>
            <w:rStyle w:val="a5"/>
            <w:rFonts w:ascii="Times New Roman" w:eastAsia="新細明體" w:hAnsi="Times New Roman"/>
          </w:rPr>
          <w:t>條</w:t>
        </w:r>
      </w:hyperlink>
      <w:r w:rsidR="00203F72" w:rsidRPr="00DC1C0D">
        <w:t xml:space="preserve"> (</w:t>
      </w:r>
      <w:r w:rsidR="00203F72" w:rsidRPr="00DC1C0D">
        <w:t>社會權之國民同等待遇</w:t>
      </w:r>
      <w:r w:rsidR="00203F72" w:rsidRPr="00DC1C0D">
        <w:t>)</w:t>
      </w:r>
      <w:r w:rsidR="00203F72" w:rsidRPr="00DC1C0D">
        <w:footnoteReference w:id="588"/>
      </w:r>
      <w:r w:rsidR="00203F72" w:rsidRPr="00DC1C0D">
        <w:t>、</w:t>
      </w:r>
      <w:hyperlink r:id="rId1854" w:anchor="a44"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44</w:t>
        </w:r>
        <w:r w:rsidR="00203F72" w:rsidRPr="007D12E7">
          <w:rPr>
            <w:rStyle w:val="a5"/>
            <w:rFonts w:ascii="Times New Roman" w:eastAsia="新細明體" w:hAnsi="Times New Roman"/>
          </w:rPr>
          <w:t>條</w:t>
        </w:r>
      </w:hyperlink>
      <w:r w:rsidR="00203F72" w:rsidRPr="00DC1C0D">
        <w:t>(</w:t>
      </w:r>
      <w:r w:rsidR="00203F72" w:rsidRPr="00DC1C0D">
        <w:t>家庭權之適當保護</w:t>
      </w:r>
      <w:r w:rsidR="00203F72" w:rsidRPr="00DC1C0D">
        <w:t>)</w:t>
      </w:r>
      <w:r w:rsidR="00203F72" w:rsidRPr="00DC1C0D">
        <w:footnoteReference w:id="589"/>
      </w:r>
      <w:r w:rsidR="00203F72" w:rsidRPr="00DC1C0D">
        <w:t>、</w:t>
      </w:r>
      <w:hyperlink r:id="rId1855" w:anchor="a45"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45</w:t>
        </w:r>
        <w:r w:rsidR="00203F72" w:rsidRPr="007D12E7">
          <w:rPr>
            <w:rStyle w:val="a5"/>
            <w:rFonts w:ascii="Times New Roman" w:eastAsia="新細明體" w:hAnsi="Times New Roman"/>
          </w:rPr>
          <w:t>條</w:t>
        </w:r>
      </w:hyperlink>
      <w:r w:rsidR="00203F72" w:rsidRPr="00DC1C0D">
        <w:t>(</w:t>
      </w:r>
      <w:r w:rsidR="00203F72" w:rsidRPr="00DC1C0D">
        <w:t>移徙工人家庭成員的經濟社會權</w:t>
      </w:r>
      <w:r w:rsidR="00203F72" w:rsidRPr="00DC1C0D">
        <w:t>)</w:t>
      </w:r>
      <w:r w:rsidR="00203F72" w:rsidRPr="00DC1C0D">
        <w:footnoteReference w:id="590"/>
      </w:r>
      <w:r w:rsidR="00203F72" w:rsidRPr="00DC1C0D">
        <w:t>、</w:t>
      </w:r>
      <w:hyperlink r:id="rId1856" w:anchor="a49"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49</w:t>
        </w:r>
        <w:r w:rsidR="00203F72" w:rsidRPr="007D12E7">
          <w:rPr>
            <w:rStyle w:val="a5"/>
            <w:rFonts w:ascii="Times New Roman" w:eastAsia="新細明體" w:hAnsi="Times New Roman"/>
          </w:rPr>
          <w:t>條</w:t>
        </w:r>
      </w:hyperlink>
      <w:r w:rsidR="00203F72" w:rsidRPr="00DC1C0D">
        <w:t>(</w:t>
      </w:r>
      <w:r w:rsidR="00203F72" w:rsidRPr="00DC1C0D">
        <w:t>居留許可權</w:t>
      </w:r>
      <w:r w:rsidR="00203F72" w:rsidRPr="00DC1C0D">
        <w:t>)</w:t>
      </w:r>
      <w:r w:rsidR="00203F72" w:rsidRPr="00DC1C0D">
        <w:footnoteReference w:id="591"/>
      </w:r>
      <w:r w:rsidR="00203F72" w:rsidRPr="00DC1C0D">
        <w:t>、</w:t>
      </w:r>
      <w:hyperlink r:id="rId1857" w:anchor="a52"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52</w:t>
        </w:r>
        <w:r w:rsidR="00203F72" w:rsidRPr="007D12E7">
          <w:rPr>
            <w:rStyle w:val="a5"/>
            <w:rFonts w:ascii="Times New Roman" w:eastAsia="新細明體" w:hAnsi="Times New Roman"/>
          </w:rPr>
          <w:t>條</w:t>
        </w:r>
      </w:hyperlink>
      <w:r w:rsidR="00203F72" w:rsidRPr="00DC1C0D">
        <w:t>(</w:t>
      </w:r>
      <w:r w:rsidR="00203F72" w:rsidRPr="00DC1C0D">
        <w:t>工作權</w:t>
      </w:r>
      <w:r w:rsidR="00203F72" w:rsidRPr="00DC1C0D">
        <w:t>)</w:t>
      </w:r>
      <w:r w:rsidR="00203F72" w:rsidRPr="00DC1C0D">
        <w:footnoteReference w:id="592"/>
      </w:r>
      <w:r w:rsidR="00203F72" w:rsidRPr="00DC1C0D">
        <w:t>、</w:t>
      </w:r>
      <w:hyperlink r:id="rId1858" w:anchor="a55"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55</w:t>
        </w:r>
        <w:r w:rsidR="00203F72" w:rsidRPr="007D12E7">
          <w:rPr>
            <w:rStyle w:val="a5"/>
            <w:rFonts w:ascii="Times New Roman" w:eastAsia="新細明體" w:hAnsi="Times New Roman"/>
          </w:rPr>
          <w:t>條</w:t>
        </w:r>
      </w:hyperlink>
      <w:r w:rsidR="00203F72" w:rsidRPr="00DC1C0D">
        <w:t>(</w:t>
      </w:r>
      <w:r w:rsidR="00203F72" w:rsidRPr="00DC1C0D">
        <w:t>享有同等待遇權</w:t>
      </w:r>
      <w:r w:rsidR="00203F72" w:rsidRPr="00DC1C0D">
        <w:t>)</w:t>
      </w:r>
      <w:r w:rsidR="00203F72" w:rsidRPr="00DC1C0D">
        <w:footnoteReference w:id="593"/>
      </w:r>
      <w:r w:rsidR="00203F72" w:rsidRPr="00DC1C0D">
        <w:t>及</w:t>
      </w:r>
      <w:hyperlink r:id="rId1859" w:anchor="a64"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64</w:t>
        </w:r>
        <w:r w:rsidR="00203F72" w:rsidRPr="007D12E7">
          <w:rPr>
            <w:rStyle w:val="a5"/>
            <w:rFonts w:ascii="Times New Roman" w:eastAsia="新細明體" w:hAnsi="Times New Roman"/>
          </w:rPr>
          <w:t>條</w:t>
        </w:r>
      </w:hyperlink>
      <w:r w:rsidR="00203F72" w:rsidRPr="00DC1C0D">
        <w:t>(</w:t>
      </w:r>
      <w:r w:rsidR="00203F72" w:rsidRPr="00DC1C0D">
        <w:t>外籍勞工及家庭成員遷徙自由權</w:t>
      </w:r>
      <w:r w:rsidR="00203F72" w:rsidRPr="00DC1C0D">
        <w:t>)</w:t>
      </w:r>
      <w:r w:rsidR="00203F72" w:rsidRPr="00DC1C0D">
        <w:footnoteReference w:id="594"/>
      </w:r>
      <w:r w:rsidR="00203F72" w:rsidRPr="00DC1C0D">
        <w:t>等之內涵與原則，加以引用並融入於台灣之「</w:t>
      </w:r>
      <w:hyperlink r:id="rId1860" w:history="1">
        <w:r w:rsidR="005576A4" w:rsidRPr="002F3FE8">
          <w:rPr>
            <w:rStyle w:val="a5"/>
            <w:rFonts w:ascii="Times New Roman" w:eastAsia="新細明體" w:hAnsi="Times New Roman"/>
          </w:rPr>
          <w:t>勞動基準法</w:t>
        </w:r>
      </w:hyperlink>
      <w:r w:rsidR="00203F72" w:rsidRPr="00DC1C0D">
        <w:t>」或「家事勞工保障法草案」之中，俾利更進一步地保障外籍家事勞工之相關人權。</w:t>
      </w:r>
    </w:p>
    <w:p w14:paraId="0E1B3033" w14:textId="77777777" w:rsidR="006250F1" w:rsidRDefault="006250F1" w:rsidP="00D87D91"/>
    <w:p w14:paraId="4414CF0C" w14:textId="77777777" w:rsidR="003B41D4" w:rsidRDefault="003B41D4" w:rsidP="007F3288">
      <w:pPr>
        <w:jc w:val="right"/>
        <w:rPr>
          <w:rFonts w:ascii="新細明體" w:hAnsi="新細明體"/>
          <w:color w:val="808000"/>
        </w:rPr>
      </w:pPr>
      <w:r w:rsidRPr="0026266A">
        <w:rPr>
          <w:rFonts w:hint="eastAsia"/>
        </w:rPr>
        <w:t>。。。。。。。。。。。。。。。。。。。。。。。。。</w:t>
      </w:r>
      <w:hyperlink w:anchor="a目次35" w:history="1">
        <w:r>
          <w:rPr>
            <w:rStyle w:val="a5"/>
            <w:sz w:val="18"/>
          </w:rPr>
          <w:t>回目次</w:t>
        </w:r>
      </w:hyperlink>
      <w:r w:rsidR="00E91F89">
        <w:rPr>
          <w:rFonts w:ascii="新細明體" w:hAnsi="新細明體"/>
          <w:color w:val="808000"/>
        </w:rPr>
        <w:t>〉〉</w:t>
      </w:r>
    </w:p>
    <w:p w14:paraId="6D57D3E0" w14:textId="77777777" w:rsidR="007F3288" w:rsidRDefault="007F3288" w:rsidP="007F3288">
      <w:pPr>
        <w:jc w:val="right"/>
        <w:rPr>
          <w:rFonts w:ascii="新細明體" w:hAnsi="新細明體"/>
        </w:rPr>
      </w:pPr>
    </w:p>
    <w:p w14:paraId="5D683461" w14:textId="77777777" w:rsidR="00203F72" w:rsidRPr="00DA0302" w:rsidRDefault="00203F72" w:rsidP="00767F37">
      <w:pPr>
        <w:pStyle w:val="2"/>
      </w:pPr>
      <w:bookmarkStart w:id="86" w:name="_第五章_論遷徙自由權、政治庇護權、參政權、社會權與受強制驅逐出國影響相"/>
      <w:bookmarkEnd w:id="86"/>
      <w:r w:rsidRPr="00DA0302">
        <w:t>第五章</w:t>
      </w:r>
      <w:r w:rsidRPr="00DA0302">
        <w:t xml:space="preserve"> </w:t>
      </w:r>
      <w:r w:rsidRPr="00DA0302">
        <w:t>論遷徙自由權、政治庇護權、參政權、社會權與受強制驅逐出國影響相關權利之保障</w:t>
      </w:r>
    </w:p>
    <w:p w14:paraId="01AE5EC2" w14:textId="77777777" w:rsidR="00203F72" w:rsidRPr="006250F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35"/>
      </w:tblGrid>
      <w:tr w:rsidR="00203F72" w:rsidRPr="00A53581" w14:paraId="1CB1B2EE" w14:textId="77777777" w:rsidTr="0054661C">
        <w:tc>
          <w:tcPr>
            <w:tcW w:w="8335" w:type="dxa"/>
          </w:tcPr>
          <w:p w14:paraId="1975F313" w14:textId="77777777" w:rsidR="00203F72" w:rsidRPr="0054661C" w:rsidRDefault="00203F72" w:rsidP="0054661C">
            <w:pPr>
              <w:jc w:val="center"/>
              <w:rPr>
                <w:b/>
              </w:rPr>
            </w:pPr>
            <w:r w:rsidRPr="0054661C">
              <w:rPr>
                <w:b/>
              </w:rPr>
              <w:t>目錄</w:t>
            </w:r>
          </w:p>
          <w:p w14:paraId="5CFAD507" w14:textId="77777777" w:rsidR="00203F72" w:rsidRPr="00A53581" w:rsidRDefault="00C35D4A" w:rsidP="00D87D91">
            <w:r>
              <w:t xml:space="preserve">　　</w:t>
            </w:r>
            <w:r w:rsidR="00203F72" w:rsidRPr="00A53581">
              <w:t>壹、前言</w:t>
            </w:r>
            <w:r w:rsidR="00203F72" w:rsidRPr="00A53581">
              <w:cr/>
            </w:r>
            <w:r>
              <w:t xml:space="preserve">　　</w:t>
            </w:r>
            <w:r w:rsidR="00203F72" w:rsidRPr="00A53581">
              <w:t>貳、國民入出國自由與限制</w:t>
            </w:r>
            <w:r w:rsidR="00203F72" w:rsidRPr="00A53581">
              <w:cr/>
            </w:r>
            <w:r w:rsidR="00203F72" w:rsidRPr="00A53581">
              <w:t xml:space="preserve">　　一、國民入國</w:t>
            </w:r>
            <w:r w:rsidR="00203F72" w:rsidRPr="00A53581">
              <w:cr/>
            </w:r>
            <w:r w:rsidR="00203F72" w:rsidRPr="00A53581">
              <w:t xml:space="preserve">　　二、國民出國</w:t>
            </w:r>
            <w:r w:rsidR="00203F72" w:rsidRPr="00A53581">
              <w:cr/>
            </w:r>
            <w:r>
              <w:t xml:space="preserve">　　</w:t>
            </w:r>
            <w:r w:rsidR="00203F72" w:rsidRPr="00A53581">
              <w:t>參、外國人入出國自由權、參政權、社會權與限制</w:t>
            </w:r>
            <w:r w:rsidR="00203F72" w:rsidRPr="00A53581">
              <w:cr/>
            </w:r>
            <w:r w:rsidR="00203F72" w:rsidRPr="00A53581">
              <w:t xml:space="preserve">　　一、入國</w:t>
            </w:r>
            <w:r w:rsidR="00203F72" w:rsidRPr="00A53581">
              <w:cr/>
            </w:r>
            <w:r w:rsidR="00203F72" w:rsidRPr="00A53581">
              <w:t xml:space="preserve">　　二、出國</w:t>
            </w:r>
            <w:r w:rsidR="00203F72" w:rsidRPr="00A53581">
              <w:cr/>
            </w:r>
            <w:r w:rsidR="00203F72" w:rsidRPr="00A53581">
              <w:t xml:space="preserve">　　三、居停留權、遷徙權、參政權、社會權與限制</w:t>
            </w:r>
            <w:r w:rsidR="00203F72" w:rsidRPr="00A53581">
              <w:t xml:space="preserve"> </w:t>
            </w:r>
            <w:r w:rsidR="00203F72" w:rsidRPr="00A53581">
              <w:cr/>
            </w:r>
            <w:r>
              <w:t xml:space="preserve">　　</w:t>
            </w:r>
            <w:r w:rsidR="00203F72" w:rsidRPr="00A53581">
              <w:t>四、再入國</w:t>
            </w:r>
            <w:r w:rsidR="00203F72" w:rsidRPr="00A53581">
              <w:cr/>
            </w:r>
            <w:r w:rsidR="00203F72" w:rsidRPr="00A53581">
              <w:t xml:space="preserve">　　五、驅逐出國</w:t>
            </w:r>
            <w:r w:rsidR="00203F72" w:rsidRPr="00A53581">
              <w:cr/>
            </w:r>
            <w:r w:rsidR="00203F72" w:rsidRPr="00A53581">
              <w:t xml:space="preserve">　　六、庇護</w:t>
            </w:r>
            <w:r w:rsidR="00203F72" w:rsidRPr="00A53581">
              <w:cr/>
            </w:r>
            <w:r w:rsidR="00203F72" w:rsidRPr="00A53581">
              <w:t xml:space="preserve">　　七、難民</w:t>
            </w:r>
            <w:r w:rsidR="00203F72" w:rsidRPr="00A53581">
              <w:cr/>
            </w:r>
            <w:r>
              <w:t xml:space="preserve">　　</w:t>
            </w:r>
            <w:r w:rsidR="00203F72" w:rsidRPr="00A53581">
              <w:t>肆、我國入出國管理法制之檢討</w:t>
            </w:r>
          </w:p>
          <w:p w14:paraId="1DCB5612" w14:textId="77777777" w:rsidR="00203F72" w:rsidRPr="00A53581" w:rsidRDefault="00C35D4A" w:rsidP="00D87D91">
            <w:r>
              <w:t xml:space="preserve">　　</w:t>
            </w:r>
            <w:r w:rsidR="00203F72" w:rsidRPr="00A53581">
              <w:t>伍、結論與建議</w:t>
            </w:r>
          </w:p>
        </w:tc>
      </w:tr>
    </w:tbl>
    <w:p w14:paraId="682A0563" w14:textId="77777777" w:rsidR="00203F72" w:rsidRPr="00A53581" w:rsidRDefault="0054661C" w:rsidP="00D87D91">
      <w:r w:rsidRPr="0054661C">
        <w:rPr>
          <w:rFonts w:hint="eastAsia"/>
        </w:rPr>
        <w:t>【</w:t>
      </w:r>
      <w:r w:rsidR="00203F72" w:rsidRPr="00A53581">
        <w:t>關鍵詞</w:t>
      </w:r>
      <w:r w:rsidRPr="0054661C">
        <w:rPr>
          <w:rFonts w:hint="eastAsia"/>
        </w:rPr>
        <w:t>】</w:t>
      </w:r>
      <w:r w:rsidR="00203F72" w:rsidRPr="00A53581">
        <w:t>入出國、返鄉權、驅逐出國、難民、庇護、再入國、外國人</w:t>
      </w:r>
      <w:r w:rsidR="00203F72" w:rsidRPr="00A53581">
        <w:c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35"/>
      </w:tblGrid>
      <w:tr w:rsidR="00203F72" w:rsidRPr="00A53581" w14:paraId="61A4AB5F" w14:textId="77777777" w:rsidTr="006250F1">
        <w:tc>
          <w:tcPr>
            <w:tcW w:w="8335" w:type="dxa"/>
          </w:tcPr>
          <w:p w14:paraId="2F1D9842" w14:textId="77777777" w:rsidR="00203F72" w:rsidRPr="00447DAE" w:rsidRDefault="00203F72" w:rsidP="00D87D91">
            <w:r w:rsidRPr="00447DAE">
              <w:t xml:space="preserve"> </w:t>
            </w:r>
            <w:r w:rsidRPr="00447DAE">
              <w:t>摘</w:t>
            </w:r>
            <w:r w:rsidRPr="00447DAE">
              <w:t xml:space="preserve"> </w:t>
            </w:r>
            <w:r w:rsidRPr="00447DAE">
              <w:t>要</w:t>
            </w:r>
          </w:p>
          <w:p w14:paraId="1D66E808" w14:textId="77777777" w:rsidR="00953151" w:rsidRDefault="00C35D4A" w:rsidP="00D87D91">
            <w:r>
              <w:t xml:space="preserve">　　</w:t>
            </w:r>
            <w:r w:rsidR="00203F72" w:rsidRPr="00A53581">
              <w:t>本書從法律的觀點，探討本國人及外國人入出國管理的理論基礎，就本國人而論，本國人的返鄉權，原則上是受到保障，但亦有例外之情形，如法國三位醫生於</w:t>
            </w:r>
            <w:r w:rsidR="00203F72" w:rsidRPr="00A53581">
              <w:t>2003</w:t>
            </w:r>
            <w:r w:rsidR="00203F72" w:rsidRPr="00A53581">
              <w:t>年，在越南感染</w:t>
            </w:r>
            <w:r w:rsidR="00203F72" w:rsidRPr="00A53581">
              <w:t>SARS</w:t>
            </w:r>
            <w:r w:rsidR="00203F72" w:rsidRPr="00A53581">
              <w:t>疫情，法國政府遂禁止其返國接受治療。就本國人的出國權而論，對於出國權原則上是不設限制，但為保護國家安全、公共秩序、公共衛生或道德，或他人的權利和自由所必要者，則可加以限制。</w:t>
            </w:r>
          </w:p>
          <w:p w14:paraId="0FE03C66" w14:textId="77777777" w:rsidR="00953151" w:rsidRDefault="00C35D4A" w:rsidP="00D87D91">
            <w:r>
              <w:t xml:space="preserve">　　</w:t>
            </w:r>
            <w:r w:rsidR="00203F72" w:rsidRPr="00A53581">
              <w:t>就外國人而論，在入國方面，依國際習慣法，國家不負有必須允許外國人入國或居留之義務，再者，允許外國人入國之簽證行為，其本身即為一種政治行為，具有高權的統治色彩，亦是國家主權行使之行為，故國家對於外國人的入國與否，具有高度的自主權，此種具有統治行為色彩的簽證行為，不必然賦予外國人有任何法律救濟的機會。關於國家對於外國人，拒絕其入國的決定，假若未給予外國人有任何的申訴或救濟的法律途徑，這完全未違反任何國際法的規定，因為簽證的行為，是國家主權的表現，是一種政治行為，其不受司法的審查。</w:t>
            </w:r>
          </w:p>
          <w:p w14:paraId="2879BF17" w14:textId="77777777" w:rsidR="00203F72" w:rsidRPr="00A53581" w:rsidRDefault="00C35D4A" w:rsidP="00D87D91">
            <w:r>
              <w:t xml:space="preserve">　　</w:t>
            </w:r>
            <w:r w:rsidR="00203F72" w:rsidRPr="00A53581">
              <w:t>在外國人的出國方面，國際習慣法上，對於外國人的出國較一般國民之出國，有較強烈的保障態度，此乃國家對於外國人只於其領域內具有「領土主權」（屬地管轄權）而無「屬人最高權」（</w:t>
            </w:r>
            <w:r w:rsidR="00203F72" w:rsidRPr="00A53581">
              <w:t>personal supremacy</w:t>
            </w:r>
            <w:r w:rsidR="00203F72" w:rsidRPr="00A53581">
              <w:t>）之故。在整個入出國管理法制中，外國人的權利保障，是較脆弱的一環，尤其，就參政權而言，美國雖號稱為民主國家，其對於具有永久居留權之外國人，仍未給予參政權。相較之下，日本的永住者，則享有較多的參政權。而外國人人權最易受到忽</w:t>
            </w:r>
            <w:r w:rsidR="003E240E">
              <w:t>視</w:t>
            </w:r>
            <w:r w:rsidR="00203F72" w:rsidRPr="00A53581">
              <w:t>的，則當屬難民的權利保護。為了有效落實我國對國際人權法的信守與承諾，以及善盡國際社會之責任，本書建議我國應設計一套有效的法律機制，以促使我國善盡國際責任，為全球的自由、民主與基本人性尊嚴與價值，盡一份力量與責任，並強而有力地悍衛具有普世價值的基本人權與人性尊嚴。</w:t>
            </w:r>
          </w:p>
        </w:tc>
      </w:tr>
    </w:tbl>
    <w:p w14:paraId="054F496F" w14:textId="77777777" w:rsidR="006250F1" w:rsidRDefault="006250F1" w:rsidP="00F962A7">
      <w:pPr>
        <w:jc w:val="right"/>
        <w:rPr>
          <w:rFonts w:ascii="新細明體" w:hAnsi="新細明體"/>
        </w:rPr>
      </w:pPr>
      <w:bookmarkStart w:id="87" w:name="_壹、前言_"/>
      <w:bookmarkEnd w:id="87"/>
      <w:r w:rsidRPr="0026266A">
        <w:rPr>
          <w:rFonts w:hint="eastAsia"/>
        </w:rPr>
        <w:t>。。。。。。。。。。。。。。。。。。。。。。。。。</w:t>
      </w:r>
      <w:hyperlink w:anchor="a目次35" w:history="1">
        <w:r>
          <w:rPr>
            <w:rStyle w:val="a5"/>
            <w:sz w:val="18"/>
          </w:rPr>
          <w:t>回目次</w:t>
        </w:r>
      </w:hyperlink>
      <w:r w:rsidR="00E91F89">
        <w:rPr>
          <w:rFonts w:ascii="新細明體" w:hAnsi="新細明體"/>
          <w:color w:val="808000"/>
        </w:rPr>
        <w:t>〉〉</w:t>
      </w:r>
    </w:p>
    <w:p w14:paraId="4DC0ECB5" w14:textId="77777777" w:rsidR="006250F1" w:rsidRDefault="00203F72" w:rsidP="00767F37">
      <w:pPr>
        <w:pStyle w:val="2"/>
      </w:pPr>
      <w:r w:rsidRPr="00A53581">
        <w:t>壹、前言</w:t>
      </w:r>
    </w:p>
    <w:p w14:paraId="7D45BD3B" w14:textId="77777777" w:rsidR="00203F72" w:rsidRDefault="00C35D4A" w:rsidP="00D87D91">
      <w:pPr>
        <w:rPr>
          <w:rFonts w:ascii="新細明體" w:hAnsi="新細明體"/>
        </w:rPr>
      </w:pPr>
      <w:r w:rsidRPr="006250F1">
        <w:t xml:space="preserve">　　</w:t>
      </w:r>
      <w:r w:rsidR="00203F72" w:rsidRPr="006250F1">
        <w:t>各國的入出國管理制度，雖可區分為本國人及外國人，整個管理機制，主要是針對外國人而設計；就本國人而論，本國人的入國權，幾乎是不作限制；在出國部份，出國旅行自由，除涉及犯罪外，亦少限制</w:t>
      </w:r>
      <w:r w:rsidR="00203F72" w:rsidRPr="006250F1">
        <w:footnoteReference w:id="595"/>
      </w:r>
      <w:r w:rsidR="00203F72" w:rsidRPr="006250F1">
        <w:t>。聯合國大會第三屆大會於</w:t>
      </w:r>
      <w:r w:rsidR="00203F72" w:rsidRPr="006250F1">
        <w:t>1948</w:t>
      </w:r>
      <w:r w:rsidR="00203F72" w:rsidRPr="006250F1">
        <w:t>年</w:t>
      </w:r>
      <w:r w:rsidR="00203F72" w:rsidRPr="006250F1">
        <w:t>12</w:t>
      </w:r>
      <w:r w:rsidR="00203F72" w:rsidRPr="006250F1">
        <w:t>月</w:t>
      </w:r>
      <w:r w:rsidR="00203F72" w:rsidRPr="006250F1">
        <w:t>10</w:t>
      </w:r>
      <w:r w:rsidR="00203F72" w:rsidRPr="006250F1">
        <w:t>日通過「</w:t>
      </w:r>
      <w:hyperlink r:id="rId1861" w:history="1">
        <w:r w:rsidR="00F35C5F" w:rsidRPr="00F35C5F">
          <w:rPr>
            <w:rStyle w:val="a5"/>
          </w:rPr>
          <w:t>世界人權宣言</w:t>
        </w:r>
      </w:hyperlink>
      <w:r w:rsidR="00203F72" w:rsidRPr="006250F1">
        <w:t>」（</w:t>
      </w:r>
      <w:r w:rsidR="00203F72" w:rsidRPr="006250F1">
        <w:t>Universal Declaration of Human Rights</w:t>
      </w:r>
      <w:r w:rsidR="00203F72" w:rsidRPr="006250F1">
        <w:t>），在公民自由權方面，依文義解釋，無論條文中正面表列「人人」（</w:t>
      </w:r>
      <w:r w:rsidR="00203F72" w:rsidRPr="006250F1">
        <w:t>everyone</w:t>
      </w:r>
      <w:r w:rsidR="00203F72" w:rsidRPr="006250F1">
        <w:t>）應享有的權利，或是反面表列「任何人不容被剝奪某權利」（</w:t>
      </w:r>
      <w:r w:rsidR="00203F72" w:rsidRPr="006250F1">
        <w:t>no one shall be subjected to a particular deprivation</w:t>
      </w:r>
      <w:r w:rsidR="00203F72" w:rsidRPr="006250F1">
        <w:t>），理論上，均應包括外國人在內，但在「世界人權宣言」</w:t>
      </w:r>
      <w:hyperlink r:id="rId1862" w:anchor="a13" w:history="1">
        <w:r w:rsidR="00203F72" w:rsidRPr="00E07281">
          <w:rPr>
            <w:rStyle w:val="a5"/>
            <w:rFonts w:ascii="Times New Roman" w:hAnsi="Times New Roman"/>
          </w:rPr>
          <w:t>第</w:t>
        </w:r>
        <w:r w:rsidR="00203F72" w:rsidRPr="00E07281">
          <w:rPr>
            <w:rStyle w:val="a5"/>
            <w:rFonts w:ascii="Times New Roman" w:hAnsi="Times New Roman"/>
          </w:rPr>
          <w:t>13</w:t>
        </w:r>
        <w:r w:rsidR="00203F72" w:rsidRPr="00E07281">
          <w:rPr>
            <w:rStyle w:val="a5"/>
            <w:rFonts w:ascii="Times New Roman" w:hAnsi="Times New Roman"/>
          </w:rPr>
          <w:t>條</w:t>
        </w:r>
      </w:hyperlink>
      <w:r w:rsidR="00203F72" w:rsidRPr="006250F1">
        <w:t>第</w:t>
      </w:r>
      <w:r w:rsidR="00203F72" w:rsidRPr="006250F1">
        <w:t>2</w:t>
      </w:r>
      <w:r w:rsidR="00203F72" w:rsidRPr="006250F1">
        <w:t>項規定：「人人有權離去任何國家，連其本國在內，並有權歸返其本國」，及「世界人權宣言」</w:t>
      </w:r>
      <w:hyperlink r:id="rId1863" w:anchor="a21" w:history="1">
        <w:r w:rsidR="00203F72" w:rsidRPr="00E07281">
          <w:rPr>
            <w:rStyle w:val="a5"/>
            <w:rFonts w:ascii="Times New Roman" w:hAnsi="Times New Roman"/>
          </w:rPr>
          <w:t>第</w:t>
        </w:r>
        <w:r w:rsidR="00203F72" w:rsidRPr="00E07281">
          <w:rPr>
            <w:rStyle w:val="a5"/>
            <w:rFonts w:ascii="Times New Roman" w:hAnsi="Times New Roman"/>
          </w:rPr>
          <w:t>21</w:t>
        </w:r>
        <w:r w:rsidR="00203F72" w:rsidRPr="00E07281">
          <w:rPr>
            <w:rStyle w:val="a5"/>
            <w:rFonts w:ascii="Times New Roman" w:hAnsi="Times New Roman"/>
          </w:rPr>
          <w:t>條</w:t>
        </w:r>
      </w:hyperlink>
      <w:r w:rsidR="00203F72" w:rsidRPr="006250F1">
        <w:t>規定：「人人有權直接或以自由選舉之代表參加其『本國』政府，人人有以平等機會參加其『本國』公務之權」</w:t>
      </w:r>
      <w:r w:rsidR="00203F72" w:rsidRPr="006250F1">
        <w:footnoteReference w:id="596"/>
      </w:r>
      <w:r w:rsidR="00203F72" w:rsidRPr="006250F1">
        <w:t>。依上述文義之解釋，</w:t>
      </w:r>
      <w:hyperlink r:id="rId1864" w:history="1">
        <w:r w:rsidR="00F35C5F" w:rsidRPr="00F35C5F">
          <w:rPr>
            <w:rStyle w:val="a5"/>
          </w:rPr>
          <w:t>世界人權宣言</w:t>
        </w:r>
      </w:hyperlink>
      <w:r w:rsidR="00203F72" w:rsidRPr="006250F1">
        <w:t>保障本國國民的返鄉權（</w:t>
      </w:r>
      <w:hyperlink r:id="rId1865" w:anchor="a13" w:history="1">
        <w:r w:rsidR="00385B82" w:rsidRPr="00E07281">
          <w:rPr>
            <w:rStyle w:val="a5"/>
            <w:rFonts w:ascii="Times New Roman" w:hAnsi="Times New Roman"/>
          </w:rPr>
          <w:t>第</w:t>
        </w:r>
        <w:r w:rsidR="00385B82" w:rsidRPr="00E07281">
          <w:rPr>
            <w:rStyle w:val="a5"/>
            <w:rFonts w:ascii="Times New Roman" w:hAnsi="Times New Roman"/>
          </w:rPr>
          <w:t>13</w:t>
        </w:r>
        <w:r w:rsidR="00385B82" w:rsidRPr="00E07281">
          <w:rPr>
            <w:rStyle w:val="a5"/>
            <w:rFonts w:ascii="Times New Roman" w:hAnsi="Times New Roman"/>
          </w:rPr>
          <w:t>條</w:t>
        </w:r>
      </w:hyperlink>
      <w:r w:rsidR="00203F72" w:rsidRPr="006250F1">
        <w:t>第</w:t>
      </w:r>
      <w:r w:rsidR="00203F72" w:rsidRPr="006250F1">
        <w:t>2</w:t>
      </w:r>
      <w:r w:rsidR="00203F72" w:rsidRPr="006250F1">
        <w:t>項）及參政權（</w:t>
      </w:r>
      <w:hyperlink r:id="rId1866" w:anchor="a21" w:history="1">
        <w:r w:rsidR="00203F72" w:rsidRPr="0054661C">
          <w:rPr>
            <w:rStyle w:val="a5"/>
            <w:rFonts w:ascii="Times New Roman" w:eastAsia="新細明體" w:hAnsi="Times New Roman"/>
          </w:rPr>
          <w:t>第</w:t>
        </w:r>
        <w:r w:rsidR="00203F72" w:rsidRPr="0054661C">
          <w:rPr>
            <w:rStyle w:val="a5"/>
            <w:rFonts w:ascii="Times New Roman" w:eastAsia="新細明體" w:hAnsi="Times New Roman"/>
          </w:rPr>
          <w:t>21</w:t>
        </w:r>
        <w:r w:rsidR="00203F72" w:rsidRPr="0054661C">
          <w:rPr>
            <w:rStyle w:val="a5"/>
            <w:rFonts w:ascii="Times New Roman" w:eastAsia="新細明體" w:hAnsi="Times New Roman"/>
          </w:rPr>
          <w:t>條</w:t>
        </w:r>
      </w:hyperlink>
      <w:r w:rsidR="00203F72" w:rsidRPr="006250F1">
        <w:t>），但並不保障外國人之入國權及參政權，惟保障外國人之出國權（</w:t>
      </w:r>
      <w:hyperlink r:id="rId1867" w:anchor="a13" w:history="1">
        <w:r w:rsidR="00385B82" w:rsidRPr="00E07281">
          <w:rPr>
            <w:rStyle w:val="a5"/>
            <w:rFonts w:ascii="Times New Roman" w:hAnsi="Times New Roman"/>
          </w:rPr>
          <w:t>第</w:t>
        </w:r>
        <w:r w:rsidR="00385B82" w:rsidRPr="00E07281">
          <w:rPr>
            <w:rStyle w:val="a5"/>
            <w:rFonts w:ascii="Times New Roman" w:hAnsi="Times New Roman"/>
          </w:rPr>
          <w:t>13</w:t>
        </w:r>
        <w:r w:rsidR="00385B82" w:rsidRPr="00E07281">
          <w:rPr>
            <w:rStyle w:val="a5"/>
            <w:rFonts w:ascii="Times New Roman" w:hAnsi="Times New Roman"/>
          </w:rPr>
          <w:t>條</w:t>
        </w:r>
      </w:hyperlink>
      <w:r w:rsidR="00203F72" w:rsidRPr="006250F1">
        <w:t>）</w:t>
      </w:r>
      <w:r w:rsidR="00203F72" w:rsidRPr="006250F1">
        <w:footnoteReference w:id="597"/>
      </w:r>
      <w:r w:rsidR="00203F72" w:rsidRPr="006250F1">
        <w:t>。</w:t>
      </w:r>
      <w:r w:rsidR="00203F72" w:rsidRPr="006250F1">
        <w:cr/>
      </w:r>
      <w:r w:rsidRPr="00E07281">
        <w:t xml:space="preserve">　　</w:t>
      </w:r>
      <w:r w:rsidR="00203F72" w:rsidRPr="00E07281">
        <w:t>基於「</w:t>
      </w:r>
      <w:hyperlink r:id="rId1868" w:history="1">
        <w:r w:rsidR="00F35C5F" w:rsidRPr="00E07281">
          <w:rPr>
            <w:rStyle w:val="a5"/>
          </w:rPr>
          <w:t>世界人權宣言</w:t>
        </w:r>
      </w:hyperlink>
      <w:r w:rsidR="00203F72" w:rsidRPr="00E07281">
        <w:t>」之宣示，聯合國人權委員會便接續發布兩個公約，第一個公約為「經濟、社會、文化權利國際公約」（</w:t>
      </w:r>
      <w:r w:rsidR="00203F72" w:rsidRPr="00E07281">
        <w:t>International Covenant On Economic</w:t>
      </w:r>
      <w:r w:rsidR="00203F72" w:rsidRPr="00E07281">
        <w:t>，</w:t>
      </w:r>
      <w:r w:rsidR="00203F72" w:rsidRPr="00E07281">
        <w:t xml:space="preserve"> Social and Cultural Rights</w:t>
      </w:r>
      <w:r w:rsidR="00203F72" w:rsidRPr="00E07281">
        <w:t>），又稱為</w:t>
      </w:r>
      <w:r w:rsidR="00203F72" w:rsidRPr="00E07281">
        <w:t>A</w:t>
      </w:r>
      <w:r w:rsidR="00203F72" w:rsidRPr="00E07281">
        <w:t>公約；第</w:t>
      </w:r>
      <w:r w:rsidR="00203F72" w:rsidRPr="00E07281">
        <w:t>2</w:t>
      </w:r>
      <w:r w:rsidR="00203F72" w:rsidRPr="00E07281">
        <w:t>個公約為「</w:t>
      </w:r>
      <w:hyperlink r:id="rId1869" w:history="1">
        <w:r w:rsidR="00203F72" w:rsidRPr="0054661C">
          <w:rPr>
            <w:rStyle w:val="a5"/>
            <w:rFonts w:ascii="Times New Roman" w:eastAsia="新細明體" w:hAnsi="Times New Roman"/>
          </w:rPr>
          <w:t>公民與政治權利國際公約</w:t>
        </w:r>
      </w:hyperlink>
      <w:r w:rsidR="00203F72" w:rsidRPr="00E07281">
        <w:t>」（</w:t>
      </w:r>
      <w:r w:rsidR="00203F72" w:rsidRPr="00E07281">
        <w:t>International Covenant On Civil and Political Rights</w:t>
      </w:r>
      <w:r w:rsidR="00203F72" w:rsidRPr="00E07281">
        <w:t>），又稱為</w:t>
      </w:r>
      <w:r w:rsidR="00203F72" w:rsidRPr="00E07281">
        <w:t>B</w:t>
      </w:r>
      <w:r w:rsidR="00203F72" w:rsidRPr="00E07281">
        <w:t>公約</w:t>
      </w:r>
      <w:r w:rsidR="00203F72" w:rsidRPr="00E07281">
        <w:footnoteReference w:id="598"/>
      </w:r>
      <w:r w:rsidR="00203F72" w:rsidRPr="00E07281">
        <w:t>。「公民與政治權利國際公約」</w:t>
      </w:r>
      <w:hyperlink r:id="rId1870" w:anchor="a26" w:history="1">
        <w:r w:rsidR="00203F72" w:rsidRPr="0054661C">
          <w:rPr>
            <w:rStyle w:val="a5"/>
            <w:rFonts w:ascii="Times New Roman" w:eastAsia="新細明體" w:hAnsi="Times New Roman"/>
          </w:rPr>
          <w:t>第</w:t>
        </w:r>
        <w:r w:rsidR="00203F72" w:rsidRPr="0054661C">
          <w:rPr>
            <w:rStyle w:val="a5"/>
            <w:rFonts w:ascii="Times New Roman" w:eastAsia="新細明體" w:hAnsi="Times New Roman"/>
          </w:rPr>
          <w:t>26</w:t>
        </w:r>
        <w:r w:rsidR="00203F72" w:rsidRPr="0054661C">
          <w:rPr>
            <w:rStyle w:val="a5"/>
            <w:rFonts w:ascii="Times New Roman" w:eastAsia="新細明體" w:hAnsi="Times New Roman"/>
          </w:rPr>
          <w:t>條</w:t>
        </w:r>
      </w:hyperlink>
      <w:r w:rsidR="00203F72" w:rsidRPr="00E07281">
        <w:t>規定：「所有的人在法律前平等，並有權受法律的平等保護，無所歧</w:t>
      </w:r>
      <w:r w:rsidR="003E240E">
        <w:t>視</w:t>
      </w:r>
      <w:r w:rsidR="00203F72" w:rsidRPr="00E07281">
        <w:t>。在這方面，法律應禁止任何歧</w:t>
      </w:r>
      <w:r w:rsidR="003E240E">
        <w:t>視</w:t>
      </w:r>
      <w:r w:rsidR="00203F72" w:rsidRPr="00E07281">
        <w:t>並保證所有的人得到平等和有效的保護，以免受基於種族、膚色、性別、語言、宗教、政治或其他見解、國籍或社會出身、財產、出生或其他身分等任何理由的歧</w:t>
      </w:r>
      <w:r w:rsidR="003E240E">
        <w:t>視</w:t>
      </w:r>
      <w:r w:rsidR="00203F72" w:rsidRPr="00E07281">
        <w:t>。」</w:t>
      </w:r>
      <w:r w:rsidR="00203F72" w:rsidRPr="00E07281">
        <w:footnoteReference w:id="599"/>
      </w:r>
      <w:r w:rsidR="00203F72" w:rsidRPr="00E07281">
        <w:t>。據此，根據上述</w:t>
      </w:r>
      <w:r w:rsidR="00203F72" w:rsidRPr="00E07281">
        <w:t>B</w:t>
      </w:r>
      <w:r w:rsidR="00203F72" w:rsidRPr="00E07281">
        <w:t>公約</w:t>
      </w:r>
      <w:hyperlink r:id="rId1871" w:anchor="a26" w:history="1">
        <w:r w:rsidR="0054661C" w:rsidRPr="0054661C">
          <w:rPr>
            <w:rStyle w:val="a5"/>
            <w:rFonts w:ascii="Times New Roman" w:eastAsia="新細明體" w:hAnsi="Times New Roman"/>
          </w:rPr>
          <w:t>第</w:t>
        </w:r>
        <w:r w:rsidR="0054661C" w:rsidRPr="0054661C">
          <w:rPr>
            <w:rStyle w:val="a5"/>
            <w:rFonts w:ascii="Times New Roman" w:eastAsia="新細明體" w:hAnsi="Times New Roman"/>
          </w:rPr>
          <w:t>26</w:t>
        </w:r>
        <w:r w:rsidR="0054661C" w:rsidRPr="0054661C">
          <w:rPr>
            <w:rStyle w:val="a5"/>
            <w:rFonts w:ascii="Times New Roman" w:eastAsia="新細明體" w:hAnsi="Times New Roman"/>
          </w:rPr>
          <w:t>條</w:t>
        </w:r>
      </w:hyperlink>
      <w:r w:rsidR="00203F72" w:rsidRPr="00E07281">
        <w:t>之規範，對於外國人與本國人不得有差別待遇，都同樣受到法律的保障</w:t>
      </w:r>
      <w:r w:rsidR="00203F72" w:rsidRPr="00E07281">
        <w:footnoteReference w:id="600"/>
      </w:r>
      <w:r w:rsidR="00203F72" w:rsidRPr="00E07281">
        <w:t>。</w:t>
      </w:r>
      <w:r w:rsidR="00203F72" w:rsidRPr="00E07281">
        <w:cr/>
      </w:r>
      <w:r w:rsidRPr="00E07281">
        <w:t xml:space="preserve">　　</w:t>
      </w:r>
      <w:r w:rsidR="00203F72" w:rsidRPr="00E07281">
        <w:t>「公民與政治權利國際公約」（</w:t>
      </w:r>
      <w:r w:rsidR="00203F72" w:rsidRPr="00E07281">
        <w:t>International Covenant On Civil and Political Rights</w:t>
      </w:r>
      <w:r w:rsidR="00203F72" w:rsidRPr="00E07281">
        <w:t>）</w:t>
      </w:r>
      <w:r w:rsidR="00203F72" w:rsidRPr="00E07281">
        <w:t>(</w:t>
      </w:r>
      <w:r w:rsidR="00203F72" w:rsidRPr="00E07281">
        <w:t>即</w:t>
      </w:r>
      <w:r w:rsidR="00203F72" w:rsidRPr="00E07281">
        <w:t>B</w:t>
      </w:r>
      <w:r w:rsidR="00203F72" w:rsidRPr="00E07281">
        <w:t>公約</w:t>
      </w:r>
      <w:r w:rsidR="00203F72" w:rsidRPr="00E07281">
        <w:t>)</w:t>
      </w:r>
      <w:hyperlink r:id="rId1872" w:anchor="a12" w:history="1">
        <w:r w:rsidR="00203F72" w:rsidRPr="0054661C">
          <w:rPr>
            <w:rStyle w:val="a5"/>
            <w:rFonts w:ascii="Times New Roman" w:eastAsia="新細明體" w:hAnsi="Times New Roman"/>
          </w:rPr>
          <w:t>第</w:t>
        </w:r>
        <w:r w:rsidR="00203F72" w:rsidRPr="0054661C">
          <w:rPr>
            <w:rStyle w:val="a5"/>
            <w:rFonts w:ascii="Times New Roman" w:eastAsia="新細明體" w:hAnsi="Times New Roman"/>
          </w:rPr>
          <w:t>12</w:t>
        </w:r>
        <w:r w:rsidR="00203F72" w:rsidRPr="0054661C">
          <w:rPr>
            <w:rStyle w:val="a5"/>
            <w:rFonts w:ascii="Times New Roman" w:eastAsia="新細明體" w:hAnsi="Times New Roman"/>
          </w:rPr>
          <w:t>條</w:t>
        </w:r>
      </w:hyperlink>
      <w:r w:rsidR="00203F72" w:rsidRPr="00E07281">
        <w:t>規定：「一、合法處在一國領土內的每一個人在該領土內有權享受遷徙自由和選擇住所的自由。二、人人有自由離開任何國家，包括其本國在內。三、上述權利，除法律所規定並為保護國家安全、公共秩序、公共衛生或道德，或他人的權利和自由所必需，且與本公約所承認的其他權利不牴觸的限制外，應不受任何其他限制。四、任何人進入本國的權利，不得任意加以剝奪。」意即非法居留之人不受保障，對於出國權原則上不設限制，但為保護國家安全、公共秩序、公共衛生或道德，或他人的權利和自由所必要者，則可加以限制，另外，對於國民的返鄉權利，不可任意加以剝奪</w:t>
      </w:r>
      <w:r w:rsidR="00203F72" w:rsidRPr="00E07281">
        <w:footnoteReference w:id="601"/>
      </w:r>
      <w:r w:rsidR="00203F72" w:rsidRPr="00E07281">
        <w:t>。</w:t>
      </w:r>
      <w:r w:rsidR="00203F72" w:rsidRPr="00E07281">
        <w:cr/>
      </w:r>
      <w:r w:rsidRPr="00E07281">
        <w:t xml:space="preserve">　　</w:t>
      </w:r>
      <w:r w:rsidR="00203F72" w:rsidRPr="00E07281">
        <w:t>再者，就救濟制度而言，根據「公民與政治權利國際公約</w:t>
      </w:r>
      <w:r w:rsidR="00385B82" w:rsidRPr="006250F1">
        <w:t>」</w:t>
      </w:r>
      <w:hyperlink r:id="rId1873" w:anchor="a13" w:history="1">
        <w:r w:rsidR="00385B82" w:rsidRPr="00E07281">
          <w:rPr>
            <w:rStyle w:val="a5"/>
            <w:rFonts w:ascii="Times New Roman" w:hAnsi="Times New Roman"/>
          </w:rPr>
          <w:t>第</w:t>
        </w:r>
        <w:r w:rsidR="00385B82" w:rsidRPr="00E07281">
          <w:rPr>
            <w:rStyle w:val="a5"/>
            <w:rFonts w:ascii="Times New Roman" w:hAnsi="Times New Roman"/>
          </w:rPr>
          <w:t>13</w:t>
        </w:r>
        <w:r w:rsidR="00385B82" w:rsidRPr="00E07281">
          <w:rPr>
            <w:rStyle w:val="a5"/>
            <w:rFonts w:ascii="Times New Roman" w:hAnsi="Times New Roman"/>
          </w:rPr>
          <w:t>條</w:t>
        </w:r>
      </w:hyperlink>
      <w:r w:rsidR="00203F72" w:rsidRPr="00E07281">
        <w:t>規定：「合法處在本公約締約國領土內的外僑，只有依照依法做出的決定才可以被驅逐出國，並且，除非在國家安全的緊迫原因另有要求的情況下，應准予提出反對驅逐出國的理由，和使它的案件得到合格當局或由合格當局特別指定的人或數人的複審，並為此目的作代表。」</w:t>
      </w:r>
      <w:r w:rsidR="00203F72" w:rsidRPr="00E07281">
        <w:footnoteReference w:id="602"/>
      </w:r>
      <w:r w:rsidR="00203F72" w:rsidRPr="00E07281">
        <w:t>。此一權利對外國人關係重大，因為此時涉及的是地主國採取特定的作為驅逐外國人時之程序保障問題。將外國人驅逐出國，必須根據法律所做的決定，而且，原則上應給予遭驅逐出國外國人抗辯機會</w:t>
      </w:r>
      <w:r w:rsidR="00203F72" w:rsidRPr="00E07281">
        <w:footnoteReference w:id="603"/>
      </w:r>
      <w:r w:rsidR="00203F72" w:rsidRPr="00E07281">
        <w:t>，且容許專業法律人士為其代表。倘如驅逐過程構成對人權之侵害，則縱使驅逐行為具有合理基礎，亦是違反國際法之行為。基於此種規定，吾人或可推出，地主國於驅逐外國人，應有義務提出將之驅逐之理由</w:t>
      </w:r>
      <w:r w:rsidR="00203F72" w:rsidRPr="00E07281">
        <w:footnoteReference w:id="604"/>
      </w:r>
      <w:r w:rsidR="00203F72" w:rsidRPr="00E07281">
        <w:t>。</w:t>
      </w:r>
      <w:r w:rsidR="00203F72" w:rsidRPr="00E07281">
        <w:cr/>
      </w:r>
      <w:r w:rsidRPr="00E07281">
        <w:t xml:space="preserve">　　</w:t>
      </w:r>
      <w:r w:rsidR="00203F72" w:rsidRPr="00E07281">
        <w:t>就外國人入出國管理的法理基礎而言，有一項非常重要的理論基礎，即「國家自衛權」。每一個主權國家為了自我保護以及維護主權，有權禁止外國人進入其領域，或是在其認為適當的某種條件下，許可外國人入國，成為國際法的準則之一</w:t>
      </w:r>
      <w:r w:rsidR="00203F72" w:rsidRPr="00E07281">
        <w:footnoteReference w:id="605"/>
      </w:r>
      <w:r w:rsidR="00203F72" w:rsidRPr="00E07281">
        <w:t>。而所謂國家自衛權（</w:t>
      </w:r>
      <w:r w:rsidR="00203F72" w:rsidRPr="00E07281">
        <w:t>right of self-defence</w:t>
      </w:r>
      <w:r w:rsidR="00203F72" w:rsidRPr="00E07281">
        <w:t>），是國家為維護政治獨立和領土完整，而對於外來侵略或威脅進行防衛的權利，此係由「主權」所衍生而來的一系列權利</w:t>
      </w:r>
      <w:r w:rsidR="00203F72" w:rsidRPr="00E07281">
        <w:footnoteReference w:id="606"/>
      </w:r>
      <w:r w:rsidR="00203F72" w:rsidRPr="00E07281">
        <w:t>。李震山教授認為，自衛自保權之手段，係以一般國際社會所認可者為限</w:t>
      </w:r>
      <w:r w:rsidR="00203F72" w:rsidRPr="00E07281">
        <w:footnoteReference w:id="607"/>
      </w:r>
      <w:r w:rsidR="00203F72" w:rsidRPr="00E07281">
        <w:t>。</w:t>
      </w:r>
      <w:r w:rsidR="00203F72" w:rsidRPr="00E07281">
        <w:cr/>
      </w:r>
      <w:r w:rsidRPr="00E07281">
        <w:t xml:space="preserve">　　</w:t>
      </w:r>
      <w:r w:rsidR="00203F72" w:rsidRPr="00E07281">
        <w:t>綜合以上國際法相關檔所宣示及「國家自衛權」的理論，就本國人而言，對於本國人之入國權是不可任意加以剝奪，而對於出國權原則上不受限制，惟根據「公民與政治權利國際公約」（</w:t>
      </w:r>
      <w:r w:rsidR="00203F72" w:rsidRPr="00E07281">
        <w:t>B</w:t>
      </w:r>
      <w:r w:rsidR="00203F72" w:rsidRPr="00E07281">
        <w:t>公約）</w:t>
      </w:r>
      <w:hyperlink r:id="rId1874" w:anchor="a12" w:history="1">
        <w:r w:rsidR="00F962A7" w:rsidRPr="0054661C">
          <w:rPr>
            <w:rStyle w:val="a5"/>
            <w:rFonts w:ascii="Times New Roman" w:eastAsia="新細明體" w:hAnsi="Times New Roman"/>
          </w:rPr>
          <w:t>第</w:t>
        </w:r>
        <w:r w:rsidR="00F962A7" w:rsidRPr="0054661C">
          <w:rPr>
            <w:rStyle w:val="a5"/>
            <w:rFonts w:ascii="Times New Roman" w:eastAsia="新細明體" w:hAnsi="Times New Roman"/>
          </w:rPr>
          <w:t>12</w:t>
        </w:r>
        <w:r w:rsidR="00F962A7" w:rsidRPr="0054661C">
          <w:rPr>
            <w:rStyle w:val="a5"/>
            <w:rFonts w:ascii="Times New Roman" w:eastAsia="新細明體" w:hAnsi="Times New Roman"/>
          </w:rPr>
          <w:t>條</w:t>
        </w:r>
      </w:hyperlink>
      <w:r w:rsidR="00203F72" w:rsidRPr="00E07281">
        <w:t>的例外規範，即為保護國家安全、公共秩序、公共衛生或道德，或他人的權利和自由所必需者時，可用法律加以限制。在外國人方面，外國人入國權是不受保障的，出國權則與本國人原則上受相同的保障，惟於一定條件下，可用法律加以限制之。而將外國人驅逐出國時，必須是根據法律所作的決定，而且原則上應給予遭驅逐出國外國人抗辯的機會，且容許專業法律人士為其代表</w:t>
      </w:r>
      <w:r w:rsidR="00203F72" w:rsidRPr="00E07281">
        <w:footnoteReference w:id="608"/>
      </w:r>
      <w:r w:rsidR="00203F72" w:rsidRPr="00E07281">
        <w:t>。</w:t>
      </w:r>
      <w:r w:rsidR="00203F72" w:rsidRPr="00E07281">
        <w:cr/>
      </w:r>
    </w:p>
    <w:p w14:paraId="77798CB2" w14:textId="77777777" w:rsidR="006250F1" w:rsidRPr="006250F1" w:rsidRDefault="006250F1" w:rsidP="00F962A7">
      <w:pPr>
        <w:jc w:val="right"/>
        <w:rPr>
          <w:rFonts w:ascii="新細明體" w:hAnsi="新細明體"/>
        </w:rPr>
      </w:pPr>
      <w:r w:rsidRPr="0026266A">
        <w:rPr>
          <w:rFonts w:hint="eastAsia"/>
        </w:rPr>
        <w:t>。。。。。。。。。。。。。。。。。。。。。。。。。</w:t>
      </w:r>
      <w:hyperlink w:anchor="a目次35" w:history="1">
        <w:r>
          <w:rPr>
            <w:rStyle w:val="a5"/>
            <w:sz w:val="18"/>
          </w:rPr>
          <w:t>回目次</w:t>
        </w:r>
      </w:hyperlink>
      <w:r w:rsidR="00E91F89">
        <w:rPr>
          <w:rFonts w:ascii="新細明體" w:hAnsi="新細明體"/>
          <w:color w:val="808000"/>
        </w:rPr>
        <w:t>〉〉</w:t>
      </w:r>
    </w:p>
    <w:p w14:paraId="0D178A12" w14:textId="77777777" w:rsidR="00953151" w:rsidRDefault="00203F72" w:rsidP="00767F37">
      <w:pPr>
        <w:pStyle w:val="2"/>
      </w:pPr>
      <w:bookmarkStart w:id="88" w:name="_貳、國民入出國自由與限制"/>
      <w:bookmarkEnd w:id="88"/>
      <w:r w:rsidRPr="00A53581">
        <w:t>貳、國民入出國自由與限制</w:t>
      </w:r>
      <w:r w:rsidRPr="00A53581">
        <w:t xml:space="preserve"> </w:t>
      </w:r>
    </w:p>
    <w:p w14:paraId="5B187C53" w14:textId="77777777" w:rsidR="00953151" w:rsidRDefault="00C35D4A" w:rsidP="007D25E4">
      <w:r w:rsidRPr="007D25E4">
        <w:t xml:space="preserve">　　</w:t>
      </w:r>
      <w:r w:rsidR="00203F72" w:rsidRPr="007D25E4">
        <w:t>一、國民入國（</w:t>
      </w:r>
      <w:r w:rsidR="00203F72" w:rsidRPr="007D25E4">
        <w:t>Return</w:t>
      </w:r>
      <w:r w:rsidR="00203F72" w:rsidRPr="007D25E4">
        <w:t>）</w:t>
      </w:r>
      <w:r w:rsidR="00203F72" w:rsidRPr="007D25E4">
        <w:cr/>
      </w:r>
      <w:r w:rsidRPr="007D25E4">
        <w:t xml:space="preserve">　　</w:t>
      </w:r>
      <w:r w:rsidR="00203F72" w:rsidRPr="007D25E4">
        <w:t>觀諸世界民主國家，其入國管制均係針對外國人或無國籍而為，對於本國人並無限制</w:t>
      </w:r>
      <w:r w:rsidR="00203F72" w:rsidRPr="007D25E4">
        <w:footnoteReference w:id="609"/>
      </w:r>
      <w:r w:rsidR="00203F72" w:rsidRPr="007D25E4">
        <w:t>。以德國為例，德國基本法第十一條第一項用語中雖無入國權（</w:t>
      </w:r>
      <w:r w:rsidR="00203F72" w:rsidRPr="007D25E4">
        <w:t>Einreise</w:t>
      </w:r>
      <w:r w:rsidR="00203F72" w:rsidRPr="007D25E4">
        <w:t>）之規定，但是，其既保障所有德國人在德境內有遷徙自由，則先決條件應是肯定其有入國權，此種見解已趨一致。何況，在</w:t>
      </w:r>
      <w:r w:rsidR="00203F72" w:rsidRPr="007D25E4">
        <w:t>1948</w:t>
      </w:r>
      <w:r w:rsidR="00203F72" w:rsidRPr="007D25E4">
        <w:t>年</w:t>
      </w:r>
      <w:r w:rsidR="00203F72" w:rsidRPr="007D25E4">
        <w:t>12</w:t>
      </w:r>
      <w:r w:rsidR="00203F72" w:rsidRPr="007D25E4">
        <w:t>月</w:t>
      </w:r>
      <w:r w:rsidR="00203F72" w:rsidRPr="007D25E4">
        <w:t>10</w:t>
      </w:r>
      <w:r w:rsidR="00203F72" w:rsidRPr="007D25E4">
        <w:t>日通過之「</w:t>
      </w:r>
      <w:hyperlink r:id="rId1875" w:history="1">
        <w:r w:rsidR="00F35C5F" w:rsidRPr="007D25E4">
          <w:rPr>
            <w:rStyle w:val="a5"/>
          </w:rPr>
          <w:t>世界人權宣言</w:t>
        </w:r>
      </w:hyperlink>
      <w:r w:rsidR="00203F72" w:rsidRPr="007D25E4">
        <w:t>」，其</w:t>
      </w:r>
      <w:hyperlink r:id="rId1876" w:anchor="a13" w:history="1">
        <w:r w:rsidR="00203F72" w:rsidRPr="00F962A7">
          <w:rPr>
            <w:rStyle w:val="a5"/>
            <w:rFonts w:ascii="Times New Roman" w:eastAsia="新細明體" w:hAnsi="Times New Roman"/>
          </w:rPr>
          <w:t>第</w:t>
        </w:r>
        <w:r w:rsidR="00203F72" w:rsidRPr="00F962A7">
          <w:rPr>
            <w:rStyle w:val="a5"/>
            <w:rFonts w:ascii="Times New Roman" w:eastAsia="新細明體" w:hAnsi="Times New Roman"/>
          </w:rPr>
          <w:t>13</w:t>
        </w:r>
        <w:r w:rsidR="00203F72" w:rsidRPr="00F962A7">
          <w:rPr>
            <w:rStyle w:val="a5"/>
            <w:rFonts w:ascii="Times New Roman" w:eastAsia="新細明體" w:hAnsi="Times New Roman"/>
          </w:rPr>
          <w:t>條</w:t>
        </w:r>
      </w:hyperlink>
      <w:r w:rsidR="00203F72" w:rsidRPr="007D25E4">
        <w:t>第</w:t>
      </w:r>
      <w:r w:rsidR="00203F72" w:rsidRPr="007D25E4">
        <w:t>2</w:t>
      </w:r>
      <w:r w:rsidR="00203F72" w:rsidRPr="007D25E4">
        <w:t>項規定：「人人有權，離去任何國家，連其『本國』在內，並有權歸返其『本國』。」幾已成為憲法中不成文之基礎權利，另加上基本法第</w:t>
      </w:r>
      <w:r w:rsidR="00203F72" w:rsidRPr="007D25E4">
        <w:t>25</w:t>
      </w:r>
      <w:r w:rsidR="00203F72" w:rsidRPr="007D25E4">
        <w:t>條規定：「國際法之一般規則構成聯邦法之一部份。此等一般規則之效力在聯邦法律之上，並對聯邦境內之住民直接發生權利及義務」。因此，德國人返鄉權已成為不待規定而自明之不成文基本權利。在護照法第</w:t>
      </w:r>
      <w:r w:rsidR="00203F72" w:rsidRPr="007D25E4">
        <w:t>10</w:t>
      </w:r>
      <w:r w:rsidR="00203F72" w:rsidRPr="007D25E4">
        <w:t>條第</w:t>
      </w:r>
      <w:r w:rsidR="00203F72" w:rsidRPr="007D25E4">
        <w:t>3</w:t>
      </w:r>
      <w:r w:rsidR="00203F72" w:rsidRPr="007D25E4">
        <w:t>項更有明確規定：「德國人不得被拒絕進入護照法有效施行領域內。」此問題已無爭議性</w:t>
      </w:r>
      <w:r w:rsidR="00203F72" w:rsidRPr="007D25E4">
        <w:footnoteReference w:id="610"/>
      </w:r>
      <w:r w:rsidR="00203F72" w:rsidRPr="007D25E4">
        <w:t>。</w:t>
      </w:r>
      <w:r w:rsidR="00203F72" w:rsidRPr="007D25E4">
        <w:cr/>
      </w:r>
      <w:r w:rsidRPr="007D25E4">
        <w:t xml:space="preserve">　　</w:t>
      </w:r>
      <w:r w:rsidR="00203F72" w:rsidRPr="007D25E4">
        <w:t>雖然上述「世界人權宣言」</w:t>
      </w:r>
      <w:hyperlink r:id="rId1877" w:anchor="a13"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13</w:t>
        </w:r>
        <w:r w:rsidR="00F962A7" w:rsidRPr="00F962A7">
          <w:rPr>
            <w:rStyle w:val="a5"/>
            <w:rFonts w:ascii="Times New Roman" w:eastAsia="新細明體" w:hAnsi="Times New Roman"/>
          </w:rPr>
          <w:t>條</w:t>
        </w:r>
      </w:hyperlink>
      <w:r w:rsidR="00203F72" w:rsidRPr="007D25E4">
        <w:t>第</w:t>
      </w:r>
      <w:r w:rsidR="00203F72" w:rsidRPr="007D25E4">
        <w:t>2</w:t>
      </w:r>
      <w:r w:rsidR="00203F72" w:rsidRPr="007D25E4">
        <w:t>項規定人人有權歸返其『本國』，然而，在實際之國際社會中，亦曾出現母國禁止其人民返回本之案例。諸如，在</w:t>
      </w:r>
      <w:r w:rsidR="00203F72" w:rsidRPr="007D25E4">
        <w:t>2003</w:t>
      </w:r>
      <w:r w:rsidR="00203F72" w:rsidRPr="007D25E4">
        <w:t>年，法國有三名醫務人員在越南河內法國醫院工作，卻不幸感染</w:t>
      </w:r>
      <w:r w:rsidR="00203F72" w:rsidRPr="007D25E4">
        <w:t>SARS</w:t>
      </w:r>
      <w:r w:rsidR="00203F72" w:rsidRPr="007D25E4">
        <w:t>疫情，法國政府明令禁止上述三名醫務人員返回法國接受治療。此種拒絕其返回母國之作法，已經引起這三名放射科醫師之憤怒。法國雖禁止其返國接受治療，不過，法國亦增派</w:t>
      </w:r>
      <w:r w:rsidR="00203F72" w:rsidRPr="007D25E4">
        <w:t>9</w:t>
      </w:r>
      <w:r w:rsidR="00203F72" w:rsidRPr="007D25E4">
        <w:t>名醫師前往越南，加強當地之防治工作</w:t>
      </w:r>
      <w:r w:rsidR="00203F72" w:rsidRPr="007D25E4">
        <w:footnoteReference w:id="611"/>
      </w:r>
      <w:r w:rsidR="00203F72" w:rsidRPr="007D25E4">
        <w:t>。由本案例可得知，上述「世界人權宣言」</w:t>
      </w:r>
      <w:hyperlink r:id="rId1878" w:anchor="a13" w:history="1">
        <w:r w:rsidR="00203F72" w:rsidRPr="007D25E4">
          <w:rPr>
            <w:rStyle w:val="a5"/>
          </w:rPr>
          <w:t>第13條</w:t>
        </w:r>
      </w:hyperlink>
      <w:r w:rsidR="00203F72" w:rsidRPr="007D25E4">
        <w:t>第</w:t>
      </w:r>
      <w:r w:rsidR="00203F72" w:rsidRPr="007D25E4">
        <w:t>2</w:t>
      </w:r>
      <w:r w:rsidR="00203F72" w:rsidRPr="007D25E4">
        <w:t>項之規</w:t>
      </w:r>
      <w:r w:rsidR="00203F72" w:rsidRPr="00A53581">
        <w:t>定，係為原則性之宣示規範，亦有例外之情況發生，諸如上述之案例即為適例。</w:t>
      </w:r>
    </w:p>
    <w:p w14:paraId="5566674C" w14:textId="77777777" w:rsidR="00203F72" w:rsidRPr="00A53581" w:rsidRDefault="00C35D4A" w:rsidP="00D87D91">
      <w:r>
        <w:t xml:space="preserve">　　</w:t>
      </w:r>
      <w:r w:rsidR="00203F72" w:rsidRPr="00A53581">
        <w:t>另外，有關於上述「世界人權宣言</w:t>
      </w:r>
      <w:r w:rsidR="00F90BE3" w:rsidRPr="00A53581">
        <w:t>」</w:t>
      </w:r>
      <w:hyperlink r:id="rId1879" w:anchor="a13" w:history="1">
        <w:r w:rsidR="00F90BE3" w:rsidRPr="00F90BE3">
          <w:rPr>
            <w:rStyle w:val="a5"/>
          </w:rPr>
          <w:t>第13條</w:t>
        </w:r>
      </w:hyperlink>
      <w:r w:rsidR="00203F72" w:rsidRPr="00A53581">
        <w:t>第</w:t>
      </w:r>
      <w:r w:rsidR="00203F72" w:rsidRPr="00A53581">
        <w:t>2</w:t>
      </w:r>
      <w:r w:rsidR="00203F72" w:rsidRPr="00A53581">
        <w:t>項及「公民與政治權利國際公約」（</w:t>
      </w:r>
      <w:r w:rsidR="00203F72" w:rsidRPr="00A53581">
        <w:t>B</w:t>
      </w:r>
      <w:r w:rsidR="00203F72" w:rsidRPr="00A53581">
        <w:t>公約）第</w:t>
      </w:r>
      <w:r w:rsidR="00203F72" w:rsidRPr="00A53581">
        <w:t>12</w:t>
      </w:r>
      <w:r w:rsidR="00203F72" w:rsidRPr="00A53581">
        <w:t>條第</w:t>
      </w:r>
      <w:r w:rsidR="00203F72" w:rsidRPr="00A53581">
        <w:t>4</w:t>
      </w:r>
      <w:r w:rsidR="00203F72" w:rsidRPr="00A53581">
        <w:t>項之例外情形，就我國而言，亦存在此種就「國民返鄉權」加以限制之例外情形。於民國</w:t>
      </w:r>
      <w:r w:rsidR="00203F72" w:rsidRPr="00A53581">
        <w:t>92</w:t>
      </w:r>
      <w:r w:rsidR="00203F72" w:rsidRPr="00A53581">
        <w:t>年</w:t>
      </w:r>
      <w:r w:rsidR="00203F72" w:rsidRPr="00A53581">
        <w:t>4</w:t>
      </w:r>
      <w:r w:rsidR="00203F72" w:rsidRPr="00A53581">
        <w:t>月</w:t>
      </w:r>
      <w:r w:rsidR="00203F72" w:rsidRPr="00A53581">
        <w:t>18</w:t>
      </w:r>
      <w:r w:rsidR="00203F72" w:rsidRPr="00A53581">
        <w:t>日，司法院大法官會議作出釋</w:t>
      </w:r>
      <w:r w:rsidR="00394075" w:rsidRPr="00A53581">
        <w:t>字</w:t>
      </w:r>
      <w:hyperlink r:id="rId1880" w:anchor="r558" w:history="1">
        <w:r w:rsidR="00394075" w:rsidRPr="00394075">
          <w:rPr>
            <w:rStyle w:val="a5"/>
          </w:rPr>
          <w:t>第558號</w:t>
        </w:r>
      </w:hyperlink>
      <w:r w:rsidR="00203F72" w:rsidRPr="00A53581">
        <w:t>之解釋文，該解釋文中指出：「憲法</w:t>
      </w:r>
      <w:hyperlink r:id="rId1881" w:anchor="a10" w:history="1">
        <w:r w:rsidR="00ED34D8" w:rsidRPr="00ED34D8">
          <w:rPr>
            <w:rStyle w:val="a5"/>
            <w:rFonts w:ascii="Times New Roman" w:hAnsi="Times New Roman"/>
          </w:rPr>
          <w:t>第十條</w:t>
        </w:r>
      </w:hyperlink>
      <w:r w:rsidR="00203F72" w:rsidRPr="00A53581">
        <w:t>規定人民有居住、遷徙之自由，旨在保障人民有自由設定住居所、遷徙、旅行，包括入出國境之權利。人民為構成國家要素之一，從而國家不得將國民排斥於國家疆域之外。於臺灣地區設有住所而有戶籍之國民得隨時返回本國，無待許可，惟為維護國家安全及社會秩序，人民入出境之權利，並非不得限制，但須符合憲</w:t>
      </w:r>
      <w:r w:rsidR="00B525CE" w:rsidRPr="00A53581">
        <w:t>法第</w:t>
      </w:r>
      <w:hyperlink r:id="rId1882" w:anchor="a23" w:history="1">
        <w:r w:rsidR="00B525CE" w:rsidRPr="00B525CE">
          <w:rPr>
            <w:rStyle w:val="a5"/>
          </w:rPr>
          <w:t>二十三</w:t>
        </w:r>
      </w:hyperlink>
      <w:r w:rsidR="00B525CE" w:rsidRPr="00A53581">
        <w:t>條</w:t>
      </w:r>
      <w:r w:rsidR="00203F72" w:rsidRPr="00A53581">
        <w:t>之比例原則，並以法律定之。」</w:t>
      </w:r>
    </w:p>
    <w:p w14:paraId="5495C512" w14:textId="77777777" w:rsidR="00953151" w:rsidRDefault="00C35D4A" w:rsidP="00D87D91">
      <w:r>
        <w:t xml:space="preserve">　　</w:t>
      </w:r>
      <w:r w:rsidR="00203F72" w:rsidRPr="00A53581">
        <w:t>從上述之解釋文可得知，我國基本上肯定「臺灣地區設有住所而有戶籍之國民」擁有返鄉權；但相對而論，「僑居國外具有中華民國國籍之國民若非於台灣地區設有住所而有戶籍」，則依據釋</w:t>
      </w:r>
      <w:r w:rsidR="00394075" w:rsidRPr="00A53581">
        <w:t>字</w:t>
      </w:r>
      <w:hyperlink r:id="rId1883" w:anchor="r558" w:history="1">
        <w:r w:rsidR="00394075" w:rsidRPr="00394075">
          <w:rPr>
            <w:rStyle w:val="a5"/>
          </w:rPr>
          <w:t>第558號</w:t>
        </w:r>
      </w:hyperlink>
      <w:r w:rsidR="00203F72" w:rsidRPr="00A53581">
        <w:t>解釋理由書之看法，仍應適用相關法律之規定，此類國民則未必擁有返鄉權，其必須符合一定之要件始能入國。是以，我國國民之返鄉權，取決於是否於台灣地區「設有住所而有戶籍」？不過，此種以國民是否「設有住所而有戶籍」為踐行返鄉權之標準，本書認為並不是理想之作法，恐有侵犯中華民國國民返鄉權之嫌。</w:t>
      </w:r>
    </w:p>
    <w:p w14:paraId="10B6240D" w14:textId="77777777" w:rsidR="00203F72" w:rsidRPr="00A53581" w:rsidRDefault="00C35D4A" w:rsidP="00D87D91">
      <w:r>
        <w:t xml:space="preserve">　　</w:t>
      </w:r>
      <w:r w:rsidR="00203F72" w:rsidRPr="00A53581">
        <w:t>董翔飛大法官於司法院釋</w:t>
      </w:r>
      <w:r w:rsidR="00394075" w:rsidRPr="00A53581">
        <w:t>字</w:t>
      </w:r>
      <w:hyperlink r:id="rId1884" w:anchor="r558" w:history="1">
        <w:r w:rsidR="00394075" w:rsidRPr="00394075">
          <w:rPr>
            <w:rStyle w:val="a5"/>
          </w:rPr>
          <w:t>第558號</w:t>
        </w:r>
      </w:hyperlink>
      <w:r w:rsidR="00203F72" w:rsidRPr="00A53581">
        <w:t>不同意見書中指出：「將具有中華民國國籍之國民區分為在臺灣地區設有戶籍之國民，與在臺灣地區無戶籍之國民，前者</w:t>
      </w:r>
      <w:r w:rsidR="00203F72" w:rsidRPr="00A53581">
        <w:t>(</w:t>
      </w:r>
      <w:r w:rsidR="00203F72" w:rsidRPr="00A53581">
        <w:t>設有戶籍之國民</w:t>
      </w:r>
      <w:r w:rsidR="00203F72" w:rsidRPr="00A53581">
        <w:t>)</w:t>
      </w:r>
      <w:r w:rsidR="00203F72" w:rsidRPr="00A53581">
        <w:t>不需申請許可即可入出國境，而後者</w:t>
      </w:r>
      <w:r w:rsidR="00203F72" w:rsidRPr="00A53581">
        <w:t>(</w:t>
      </w:r>
      <w:r w:rsidR="00203F72" w:rsidRPr="00A53581">
        <w:t>在臺灣地區無戶籍之國民</w:t>
      </w:r>
      <w:r w:rsidR="00203F72" w:rsidRPr="00A53581">
        <w:t>)</w:t>
      </w:r>
      <w:r w:rsidR="00203F72" w:rsidRPr="00A53581">
        <w:t>則需受同法第七條第一項之限制，亦即有下列情形之一者，應不予許可或禁止入國：一、參加叛亂組織或其活動者，二、參加暴力或恐怖組織或其活動者，三、涉有內亂罪、外患罪重大嫌疑者，四、涉嫌重大犯罪或有犯罪習慣者，五、護照或入國許可證件係不法取得、偽造、變造或冒用者。依入出國及移民</w:t>
      </w:r>
      <w:r w:rsidR="004651E8" w:rsidRPr="00394075">
        <w:t>法</w:t>
      </w:r>
      <w:hyperlink r:id="rId1885" w:anchor="b1" w:history="1">
        <w:r w:rsidR="004651E8" w:rsidRPr="00394075">
          <w:rPr>
            <w:rStyle w:val="a5"/>
          </w:rPr>
          <w:t>第一條</w:t>
        </w:r>
      </w:hyperlink>
      <w:r w:rsidR="00203F72" w:rsidRPr="00A53581">
        <w:t>規定觀之，其立法目的既為確保國家安全與維護社會安全，則凡具有中華民國國籍之國民，不問其在臺灣地區有無設有戶籍或住所，如有第七條第一項所列舉之情形之一，理應一律不予許可或禁止入國，始屬允當，焉有獨厚設有戶籍之國民，無待許可，而限制甚至剝奪另一群只因旅居海外沒有在臺灣設籍而有住所之國民返國自由。難道就因為在臺灣地區設有戶籍，即足以認定不會有第七條列舉情形之虞？相反地，難道僑居海外，在台灣地區未設戶籍之國民，就一定係危險人物？人民有無犯罪傾向，有無犯罪習慣，應</w:t>
      </w:r>
      <w:r w:rsidR="003E240E">
        <w:t>視</w:t>
      </w:r>
      <w:r w:rsidR="00203F72" w:rsidRPr="00A53581">
        <w:t>個別犯意、犯行，以及犯罪動機、犯罪事實損及國家利益之輕重密度而為審查，與是否設有戶籍應無必然連帶關係。」本書非常認同與肯</w:t>
      </w:r>
      <w:r w:rsidR="00203F72" w:rsidRPr="00F962A7">
        <w:t>定董翔飛大法官上述之不同意見，作者認為關於國民之返鄉權，就在台灣地區未設戶籍之國民而論，過於嚴苛，恐業已侵犯其基本人權，不過，這也顯示出我國採行雙重國籍之困境所在</w:t>
      </w:r>
      <w:r w:rsidR="00203F72" w:rsidRPr="00F962A7">
        <w:footnoteReference w:id="612"/>
      </w:r>
      <w:r w:rsidR="00203F72" w:rsidRPr="00F962A7">
        <w:t>。</w:t>
      </w:r>
    </w:p>
    <w:p w14:paraId="3691B867" w14:textId="77777777" w:rsidR="00953151" w:rsidRPr="00F962A7" w:rsidRDefault="00C35D4A" w:rsidP="00F962A7">
      <w:r>
        <w:t xml:space="preserve">　　</w:t>
      </w:r>
      <w:r w:rsidR="00203F72" w:rsidRPr="00A53581">
        <w:t>二、國民出國</w:t>
      </w:r>
      <w:r w:rsidR="00203F72" w:rsidRPr="00A53581">
        <w:t>(Travel)</w:t>
      </w:r>
      <w:r w:rsidR="00203F72" w:rsidRPr="00A53581">
        <w:cr/>
      </w:r>
      <w:r w:rsidRPr="00F962A7">
        <w:t xml:space="preserve">　　</w:t>
      </w:r>
      <w:r w:rsidR="00203F72" w:rsidRPr="00F962A7">
        <w:t>就美國法制而論，二次大戰後，美國開始管制人民的出國權利，</w:t>
      </w:r>
      <w:r w:rsidR="00203F72" w:rsidRPr="00F962A7">
        <w:t>1947</w:t>
      </w:r>
      <w:r w:rsidR="00203F72" w:rsidRPr="00F962A7">
        <w:t>年美國國務院對某些「政治見解」有問題之國民（其中，都是共黨黨員），都拒絕發給其護照</w:t>
      </w:r>
      <w:r w:rsidR="00203F72" w:rsidRPr="00F962A7">
        <w:footnoteReference w:id="613"/>
      </w:r>
      <w:r w:rsidR="00203F72" w:rsidRPr="00F962A7">
        <w:t>，以供出國之用。國務院所持的理由，是這些人的出國旅行，將不符合「美國的最佳利益」（</w:t>
      </w:r>
      <w:r w:rsidR="00203F72" w:rsidRPr="00F962A7">
        <w:t>the best interests of the United States</w:t>
      </w:r>
      <w:r w:rsidR="00203F72" w:rsidRPr="00F962A7">
        <w:t>）。在</w:t>
      </w:r>
      <w:r w:rsidR="00203F72" w:rsidRPr="00F962A7">
        <w:t>1952</w:t>
      </w:r>
      <w:r w:rsidR="00203F72" w:rsidRPr="00F962A7">
        <w:t>年，陸續發生二個案件：第一個案件為</w:t>
      </w:r>
      <w:r w:rsidR="00203F72" w:rsidRPr="00F962A7">
        <w:t>Roberson V. Acheson</w:t>
      </w:r>
      <w:r w:rsidR="00203F72" w:rsidRPr="00F962A7">
        <w:t>，以及</w:t>
      </w:r>
      <w:r w:rsidR="00203F72" w:rsidRPr="00F962A7">
        <w:t>Bauer v. Acheson</w:t>
      </w:r>
      <w:r w:rsidR="00203F72" w:rsidRPr="00F962A7">
        <w:t>，兩者都是被國務院以其彼等之出國旅行「有違背國家最佳利益」為由，撤銷已發給（但尚未出國）他們之護照。這兩個屬於地區法院之案件，法院雖未否認國務院有吊銷及拒發護照之權限，但地區法院在</w:t>
      </w:r>
      <w:r w:rsidR="00203F72" w:rsidRPr="00F962A7">
        <w:t>Bauer v. Acheson</w:t>
      </w:r>
      <w:r w:rsidR="00203F72" w:rsidRPr="00F962A7">
        <w:t>案件中，卻明白宣示，應予原告人民有「聽證」之機會，同時，法院在本案中承認：</w:t>
      </w:r>
      <w:r w:rsidR="00203F72" w:rsidRPr="00F962A7">
        <w:t>1.</w:t>
      </w:r>
      <w:r w:rsidR="00203F72" w:rsidRPr="00F962A7">
        <w:t>人民有憲法的旅行權利；</w:t>
      </w:r>
      <w:r w:rsidR="00203F72" w:rsidRPr="00F962A7">
        <w:t>2.</w:t>
      </w:r>
      <w:r w:rsidR="00203F72" w:rsidRPr="00F962A7">
        <w:t>國務院對於發予護照有裁量權；</w:t>
      </w:r>
      <w:r w:rsidR="00203F72" w:rsidRPr="00F962A7">
        <w:t>3.</w:t>
      </w:r>
      <w:r w:rsidR="00203F72" w:rsidRPr="00F962A7">
        <w:t>裁量權不可濫用</w:t>
      </w:r>
      <w:r w:rsidR="00203F72" w:rsidRPr="00F962A7">
        <w:footnoteReference w:id="614"/>
      </w:r>
      <w:r w:rsidR="00203F72" w:rsidRPr="00F962A7">
        <w:t>。</w:t>
      </w:r>
      <w:r w:rsidR="00203F72" w:rsidRPr="00F962A7">
        <w:cr/>
      </w:r>
      <w:r w:rsidRPr="00F962A7">
        <w:t xml:space="preserve">　　</w:t>
      </w:r>
      <w:r w:rsidR="00203F72" w:rsidRPr="00F962A7">
        <w:t>1958</w:t>
      </w:r>
      <w:r w:rsidR="00203F72" w:rsidRPr="00F962A7">
        <w:t>年美國聯邦最高法院公布</w:t>
      </w:r>
      <w:r w:rsidR="00203F72" w:rsidRPr="00F962A7">
        <w:t>Kent v. Pulles</w:t>
      </w:r>
      <w:r w:rsidR="00203F72" w:rsidRPr="00F962A7">
        <w:t>一案之判決，本案由原告獲勝。原告</w:t>
      </w:r>
      <w:r w:rsidR="00203F72" w:rsidRPr="00F962A7">
        <w:t>Rockwell Kent</w:t>
      </w:r>
      <w:r w:rsidR="00203F72" w:rsidRPr="00F962A7">
        <w:t>申請護照到英國訪問，而後轉赴芬蘭，參加一個「世界和平會議」。美國國務院以</w:t>
      </w:r>
      <w:r w:rsidR="00203F72" w:rsidRPr="00F962A7">
        <w:t>Kent</w:t>
      </w:r>
      <w:r w:rsidR="00203F72" w:rsidRPr="00F962A7">
        <w:t>乃共產黨黨員，及「本人是一貫的擁護共產黨」，而原告</w:t>
      </w:r>
      <w:r w:rsidR="00203F72" w:rsidRPr="00F962A7">
        <w:t>Rockwell Kent</w:t>
      </w:r>
      <w:r w:rsidR="00203F72" w:rsidRPr="00F962A7">
        <w:t>也拒絕具結其並不是共黨黨員之聲明，故國務院拒絕發給其護照。以</w:t>
      </w:r>
      <w:r w:rsidR="00203F72" w:rsidRPr="00F962A7">
        <w:t>Douglas</w:t>
      </w:r>
      <w:r w:rsidR="00203F72" w:rsidRPr="00F962A7">
        <w:t>為首的判決理由，認為人民國外的旅行權，可以由國會予以限制。殊不論國會可限制這個人民出入國境權利「到何種程度」，但只要國會認為有必要時，如在戰時限制人民之住居自由（如</w:t>
      </w:r>
      <w:r w:rsidR="00203F72" w:rsidRPr="00F962A7">
        <w:t>Korematsu</w:t>
      </w:r>
      <w:r w:rsidR="00203F72" w:rsidRPr="00F962A7">
        <w:t>案），即須經「正當法律程序」（美國憲法第五條正案）。在本案之情形，「護照法」（</w:t>
      </w:r>
      <w:r w:rsidR="00203F72" w:rsidRPr="00F962A7">
        <w:t>Passport Act of August 18.</w:t>
      </w:r>
      <w:r w:rsidR="00203F72" w:rsidRPr="00F962A7">
        <w:t>，</w:t>
      </w:r>
      <w:r w:rsidR="00203F72" w:rsidRPr="00F962A7">
        <w:t xml:space="preserve"> 1856</w:t>
      </w:r>
      <w:r w:rsidR="00203F72" w:rsidRPr="00F962A7">
        <w:t>）並未授予國務卿可以對「具不同政治信仰及對某些政治社團成員」拒發護照，故判定原告</w:t>
      </w:r>
      <w:r w:rsidR="00203F72" w:rsidRPr="00F962A7">
        <w:t>Rockwell Kent</w:t>
      </w:r>
      <w:r w:rsidR="00203F72" w:rsidRPr="00F962A7">
        <w:t>獲勝。相對而言，以</w:t>
      </w:r>
      <w:r w:rsidR="00203F72" w:rsidRPr="00F962A7">
        <w:t>Clark</w:t>
      </w:r>
      <w:r w:rsidR="00203F72" w:rsidRPr="00F962A7">
        <w:t>大法官為首的另外</w:t>
      </w:r>
      <w:r w:rsidR="00203F72" w:rsidRPr="00F962A7">
        <w:t>4</w:t>
      </w:r>
      <w:r w:rsidR="00203F72" w:rsidRPr="00F962A7">
        <w:t>位大法官，卻持相反看法，判決理由承認國會在戰時可以對忠誠有問題之國民限制出國（如</w:t>
      </w:r>
      <w:r w:rsidR="00203F72" w:rsidRPr="00F962A7">
        <w:t>Korematsu</w:t>
      </w:r>
      <w:r w:rsidR="00203F72" w:rsidRPr="00F962A7">
        <w:t>案），而在當時，本案之判決理由則認為國家是處於平時狀態。另鑒於平時與戰時很難截然劃分，且依當時（</w:t>
      </w:r>
      <w:r w:rsidR="00203F72" w:rsidRPr="00F962A7">
        <w:t>1952</w:t>
      </w:r>
      <w:r w:rsidR="00203F72" w:rsidRPr="00F962A7">
        <w:t>年）總統及國會已屢屢公布之資料，應表示國際共黨之侵略陰謀已極為明顯，以及只要總統已公布國家進入「緊急狀態」，即可授與國務卿有拒絕發予護照之權力</w:t>
      </w:r>
      <w:r w:rsidR="00203F72" w:rsidRPr="00F962A7">
        <w:footnoteReference w:id="615"/>
      </w:r>
      <w:r w:rsidR="00203F72" w:rsidRPr="00F962A7">
        <w:t>。</w:t>
      </w:r>
      <w:r w:rsidR="00203F72" w:rsidRPr="00F962A7">
        <w:cr/>
      </w:r>
      <w:r w:rsidRPr="00F962A7">
        <w:t xml:space="preserve">　　</w:t>
      </w:r>
      <w:r w:rsidR="00203F72" w:rsidRPr="00F962A7">
        <w:t>就在</w:t>
      </w:r>
      <w:r w:rsidR="00203F72" w:rsidRPr="00F962A7">
        <w:t>Kent v. Pullus</w:t>
      </w:r>
      <w:r w:rsidR="00203F72" w:rsidRPr="00F962A7">
        <w:t>判決公布的同一天，美國聯邦最高法院也以同樣的理由，判決國務院在</w:t>
      </w:r>
      <w:r w:rsidR="00203F72" w:rsidRPr="00F962A7">
        <w:t>Dayton V. Pullus</w:t>
      </w:r>
      <w:r w:rsidR="00203F72" w:rsidRPr="00F962A7">
        <w:t>一案（</w:t>
      </w:r>
      <w:r w:rsidR="00203F72" w:rsidRPr="00F962A7">
        <w:t>357 U.S. 144, 2L. Ed. 2d 1221, 78 S.Ct.1127</w:t>
      </w:r>
      <w:r w:rsidR="00203F72" w:rsidRPr="00F962A7">
        <w:t>）中敗訴。本案</w:t>
      </w:r>
      <w:r w:rsidR="00203F72" w:rsidRPr="00F962A7">
        <w:t>Dayton</w:t>
      </w:r>
      <w:r w:rsidR="00203F72" w:rsidRPr="00F962A7">
        <w:t>是共產黨黨員，而且政府所持之「有理由相信該人（</w:t>
      </w:r>
      <w:r w:rsidR="00203F72" w:rsidRPr="00F962A7">
        <w:t>Dayton</w:t>
      </w:r>
      <w:r w:rsidR="00203F72" w:rsidRPr="00F962A7">
        <w:t>）將出國參加共產黨之活動」的看法，也合乎實情，但聯邦最高法院依舊判決國務院敗訴</w:t>
      </w:r>
      <w:r w:rsidR="00203F72" w:rsidRPr="00F962A7">
        <w:footnoteReference w:id="616"/>
      </w:r>
      <w:r w:rsidR="00203F72" w:rsidRPr="00F962A7">
        <w:t>。</w:t>
      </w:r>
    </w:p>
    <w:p w14:paraId="0F5C0B4E" w14:textId="77777777" w:rsidR="00203F72" w:rsidRPr="00A53581" w:rsidRDefault="00C35D4A" w:rsidP="00D87D91">
      <w:r w:rsidRPr="00F962A7">
        <w:t xml:space="preserve">　　</w:t>
      </w:r>
      <w:r w:rsidR="00203F72" w:rsidRPr="00F962A7">
        <w:t>1964</w:t>
      </w:r>
      <w:r w:rsidR="00203F72" w:rsidRPr="00F962A7">
        <w:t>年美國聯邦最高法院公布另一個判決案</w:t>
      </w:r>
      <w:r w:rsidR="00203F72" w:rsidRPr="00F962A7">
        <w:t>Aptheker v. Secretary of States</w:t>
      </w:r>
      <w:r w:rsidR="00203F72" w:rsidRPr="00F962A7">
        <w:t>，本案亦是一個共產黨員申請護照出國被拒絕之訴訟。聯邦最高法院在此判決中，重申在</w:t>
      </w:r>
      <w:r w:rsidR="00203F72" w:rsidRPr="00F962A7">
        <w:t>Kent v. Pullus</w:t>
      </w:r>
      <w:r w:rsidR="00203F72" w:rsidRPr="00F962A7">
        <w:t>案所作的判決理由。以</w:t>
      </w:r>
      <w:r w:rsidR="00203F72" w:rsidRPr="00F962A7">
        <w:t>Goldberg</w:t>
      </w:r>
      <w:r w:rsidR="00203F72" w:rsidRPr="00F962A7">
        <w:t>大法官為首的判決理由，越過國境的出國旅行，是人民自由權之一，非經「正當法律程序」不得予以剝奪。故人民之出國旅行權直接受到憲法第</w:t>
      </w:r>
      <w:r w:rsidR="00203F72" w:rsidRPr="00F962A7">
        <w:t>5</w:t>
      </w:r>
      <w:r w:rsidR="00203F72" w:rsidRPr="00F962A7">
        <w:t>修正案之保障。</w:t>
      </w:r>
      <w:r w:rsidR="00203F72" w:rsidRPr="00F962A7">
        <w:cr/>
      </w:r>
      <w:r w:rsidRPr="00F962A7">
        <w:t xml:space="preserve">　　</w:t>
      </w:r>
      <w:r w:rsidR="00203F72" w:rsidRPr="00F962A7">
        <w:t>美國主管機關國務院所援引「國內安全法」（</w:t>
      </w:r>
      <w:r w:rsidR="00203F72" w:rsidRPr="00F962A7">
        <w:t>Internal Security Act of 1950</w:t>
      </w:r>
      <w:r w:rsidR="00203F72" w:rsidRPr="00F962A7">
        <w:t>），又稱為「顛覆活動管制法」（</w:t>
      </w:r>
      <w:r w:rsidR="00203F72" w:rsidRPr="00F962A7">
        <w:t>Subversive Activities Control Act, 1950</w:t>
      </w:r>
      <w:r w:rsidR="00203F72" w:rsidRPr="00F962A7">
        <w:t>）之「主管機關不得對列名在共產黨團體之人員，發與出國護照」之規定，聯邦最高法院所持之異議，是此規定「太廣泛且不分青紅皂白的限制旅行權」（究竟是自願入黨或被迫﹖是積極黨員﹖或虛應故事之消極黨員﹖</w:t>
      </w:r>
      <w:r w:rsidR="00203F72" w:rsidRPr="00F962A7">
        <w:t>…</w:t>
      </w:r>
      <w:r w:rsidR="00203F72" w:rsidRPr="00F962A7">
        <w:t>），業已違反憲法第五修正案的精神。而且，憲法第一修正案同時也保障人民擁有「結社自由」，如此一來，限制某些「社團」人員之出國，也連帶限制「結社自由權」，故判決「國內安全法」（</w:t>
      </w:r>
      <w:r w:rsidR="00203F72" w:rsidRPr="00F962A7">
        <w:t>Internal Security Act of 1950</w:t>
      </w:r>
      <w:r w:rsidR="00203F72" w:rsidRPr="00F962A7">
        <w:t>）上述規範為違憲</w:t>
      </w:r>
      <w:r w:rsidR="00203F72" w:rsidRPr="00F962A7">
        <w:footnoteReference w:id="617"/>
      </w:r>
      <w:r w:rsidR="00203F72" w:rsidRPr="00F962A7">
        <w:t>。</w:t>
      </w:r>
      <w:r w:rsidR="00203F72" w:rsidRPr="00F962A7">
        <w:cr/>
      </w:r>
      <w:r w:rsidRPr="00F962A7">
        <w:t xml:space="preserve">　　</w:t>
      </w:r>
      <w:r w:rsidR="00203F72" w:rsidRPr="00F962A7">
        <w:t>在出國旅行地限制方面，國家亦可在特定條件下，限制人民出國旅行。</w:t>
      </w:r>
      <w:r w:rsidR="00203F72" w:rsidRPr="00F962A7">
        <w:t>1965</w:t>
      </w:r>
      <w:r w:rsidR="00203F72" w:rsidRPr="00F962A7">
        <w:t>年美國聯邦最高法院公布</w:t>
      </w:r>
      <w:r w:rsidR="00203F72" w:rsidRPr="00F962A7">
        <w:t>Zemel v. Rusk</w:t>
      </w:r>
      <w:r w:rsidR="00203F72" w:rsidRPr="00F962A7">
        <w:t>一案判決，裁判政府限制原告</w:t>
      </w:r>
      <w:r w:rsidR="00203F72" w:rsidRPr="00F962A7">
        <w:t>Zemel</w:t>
      </w:r>
      <w:r w:rsidR="00203F72" w:rsidRPr="00F962A7">
        <w:t>赴古巴旅行之舉，不得謂為違憲。原告</w:t>
      </w:r>
      <w:r w:rsidR="00203F72" w:rsidRPr="00F962A7">
        <w:t>Zemel</w:t>
      </w:r>
      <w:r w:rsidR="00203F72" w:rsidRPr="00F962A7">
        <w:t>是一位欲往古巴旅行的公民，由於國務院在</w:t>
      </w:r>
      <w:r w:rsidR="00203F72" w:rsidRPr="00F962A7">
        <w:t>1962</w:t>
      </w:r>
      <w:r w:rsidR="00203F72" w:rsidRPr="00F962A7">
        <w:t>年</w:t>
      </w:r>
      <w:r w:rsidR="00203F72" w:rsidRPr="00F962A7">
        <w:t>10</w:t>
      </w:r>
      <w:r w:rsidR="00203F72" w:rsidRPr="00F962A7">
        <w:t>月「古巴危機」以後，即禁止人民往赴古巴及西半球地區。</w:t>
      </w:r>
      <w:r w:rsidR="00203F72" w:rsidRPr="00F962A7">
        <w:t>Zemel</w:t>
      </w:r>
      <w:r w:rsidR="00203F72" w:rsidRPr="00F962A7">
        <w:t>並非共產黨員，其欲往訪古巴之理由，據自稱是「除好奇心外，並要親身體驗古巴之情形是否如美國國內之宣傳一樣，使自己成為擁有良好資訊來源之公民」云云。由</w:t>
      </w:r>
      <w:r w:rsidR="00203F72" w:rsidRPr="00F962A7">
        <w:t>Warren</w:t>
      </w:r>
      <w:r w:rsidR="00203F72" w:rsidRPr="00F962A7">
        <w:t>為首的聯邦大法官</w:t>
      </w:r>
      <w:r w:rsidR="00203F72" w:rsidRPr="00A53581">
        <w:t>之判決意見，則支持國務院的理由，認為人民的國外旅行權雖受到憲法保障，但在「正當法律程序」下，可予以限制。聯邦最高法院以為國務院認為古巴及其他一些西半球的國家，會傳播顛覆思想予美國公民，而且，國務院也不希望人民旅行到該處去，以免涉</w:t>
      </w:r>
      <w:r w:rsidR="00203F72" w:rsidRPr="00F962A7">
        <w:t>入危險性的「國際事件」的考量，並不違反「正當法律原則」，本案基於「最優勢國家安全之考量」（</w:t>
      </w:r>
      <w:r w:rsidR="00203F72" w:rsidRPr="00F962A7">
        <w:t>Weightiest considerations of national security</w:t>
      </w:r>
      <w:r w:rsidR="00203F72" w:rsidRPr="00F962A7">
        <w:t>），限制原告</w:t>
      </w:r>
      <w:r w:rsidR="00203F72" w:rsidRPr="00F962A7">
        <w:t>Zemel</w:t>
      </w:r>
      <w:r w:rsidR="00203F72" w:rsidRPr="00F962A7">
        <w:t>之赴古巴旅行之舉，並不違憲。在戰爭期間，政府亦擁有權力管制人民訪問敵對國家，如在越戰期間，國務院若認為有需要之時，即會限制人民訪問北越河內，諸如</w:t>
      </w:r>
      <w:r w:rsidR="00203F72" w:rsidRPr="00F962A7">
        <w:t>Berrigan v. Sigler (475 F. 2d, 918 CD.C. Cir.1973)</w:t>
      </w:r>
      <w:r w:rsidR="00203F72" w:rsidRPr="00F962A7">
        <w:t>一案，以及</w:t>
      </w:r>
      <w:r w:rsidR="00203F72" w:rsidRPr="00F962A7">
        <w:t>Woodward v. Rogers (344F, Supp. 974 (D.D.C.1972)</w:t>
      </w:r>
      <w:r w:rsidR="00203F72" w:rsidRPr="00F962A7">
        <w:t>等案件</w:t>
      </w:r>
      <w:r w:rsidR="00203F72" w:rsidRPr="00F962A7">
        <w:footnoteReference w:id="618"/>
      </w:r>
      <w:r w:rsidR="00203F72" w:rsidRPr="00F962A7">
        <w:t>。</w:t>
      </w:r>
      <w:r w:rsidR="00203F72" w:rsidRPr="00F962A7">
        <w:cr/>
      </w:r>
      <w:r w:rsidRPr="00F962A7">
        <w:t xml:space="preserve">　　</w:t>
      </w:r>
      <w:r w:rsidR="00203F72" w:rsidRPr="00F962A7">
        <w:t>在中止人民國外旅行權（吊銷護照）方面，聯邦最高法院肯定國務院擁有撤銷護照的權限。在</w:t>
      </w:r>
      <w:r w:rsidR="00203F72" w:rsidRPr="00F962A7">
        <w:t>1981</w:t>
      </w:r>
      <w:r w:rsidR="00203F72" w:rsidRPr="00F962A7">
        <w:t>年，美國聯邦最高法院公布</w:t>
      </w:r>
      <w:r w:rsidR="00203F72" w:rsidRPr="00F962A7">
        <w:t>Haig v. Agee</w:t>
      </w:r>
      <w:r w:rsidR="00203F72" w:rsidRPr="00F962A7">
        <w:t>一案判決（</w:t>
      </w:r>
      <w:r w:rsidR="00203F72" w:rsidRPr="00F962A7">
        <w:t>453 U.S. 280, 1981</w:t>
      </w:r>
      <w:r w:rsidR="00203F72" w:rsidRPr="00F962A7">
        <w:t>）。</w:t>
      </w:r>
      <w:r w:rsidR="00203F72" w:rsidRPr="00F962A7">
        <w:t>Philip Agee</w:t>
      </w:r>
      <w:r w:rsidR="00203F72" w:rsidRPr="00F962A7">
        <w:t>是一位前「中央情報局」（</w:t>
      </w:r>
      <w:r w:rsidR="00203F72" w:rsidRPr="00F962A7">
        <w:t>CIA</w:t>
      </w:r>
      <w:r w:rsidR="00203F72" w:rsidRPr="00F962A7">
        <w:t>）的工作人員，常駐在德國。這位美國公民打算在歐洲各國旅行演說，揭發中央情報局的各國情報站及情報員的內情。</w:t>
      </w:r>
      <w:r w:rsidR="00203F72" w:rsidRPr="00F962A7">
        <w:t>1979</w:t>
      </w:r>
      <w:r w:rsidR="00203F72" w:rsidRPr="00F962A7">
        <w:t>年，美國國務院即根據</w:t>
      </w:r>
      <w:r w:rsidR="00203F72" w:rsidRPr="00F962A7">
        <w:t>1966</w:t>
      </w:r>
      <w:r w:rsidR="00203F72" w:rsidRPr="00F962A7">
        <w:t>年的一個行政命令</w:t>
      </w:r>
      <w:r w:rsidR="00203F72" w:rsidRPr="00F962A7">
        <w:footnoteReference w:id="619"/>
      </w:r>
      <w:r w:rsidR="00203F72" w:rsidRPr="00F962A7">
        <w:t>，以一位美國公民「以其在海外之行為，足以造成或可能造成美國國家及外交政策嚴重危害」為依據，撤銷</w:t>
      </w:r>
      <w:r w:rsidR="00203F72" w:rsidRPr="00F962A7">
        <w:t>Philip Agee</w:t>
      </w:r>
      <w:r w:rsidR="00203F72" w:rsidRPr="00F962A7">
        <w:t>的護照。聯邦最高法</w:t>
      </w:r>
      <w:r w:rsidR="00203F72" w:rsidRPr="00A53581">
        <w:t>院認為由於「國家安全」是「明顯及毫無疑問」的最重要之「政府利益」。且「外交政策」又和「國家安全」無法截然劃分。因此聯邦最高法院決定認可「國家安全」及「外交政策」兩者皆可作為限制人民海外旅行的理由。</w:t>
      </w:r>
    </w:p>
    <w:p w14:paraId="592A788A" w14:textId="77777777" w:rsidR="00203F72" w:rsidRDefault="00C35D4A" w:rsidP="00D87D91">
      <w:r>
        <w:t xml:space="preserve">　　</w:t>
      </w:r>
      <w:r w:rsidR="00203F72" w:rsidRPr="00A53581">
        <w:t>不過，</w:t>
      </w:r>
      <w:r w:rsidR="00203F72" w:rsidRPr="00A53581">
        <w:t>Farber</w:t>
      </w:r>
      <w:r w:rsidR="00203F72" w:rsidRPr="00A53581">
        <w:t>氏則批判聯邦最高法案的</w:t>
      </w:r>
      <w:r w:rsidR="00203F72" w:rsidRPr="00A53581">
        <w:t>Agee</w:t>
      </w:r>
      <w:r w:rsidR="00203F72" w:rsidRPr="00A53581">
        <w:t>本案之判決，因為聯邦大法官並未適用當時正在施行的「護照法」，該法於</w:t>
      </w:r>
      <w:r w:rsidR="00203F72" w:rsidRPr="00A53581">
        <w:t>1978</w:t>
      </w:r>
      <w:r w:rsidR="00203F72" w:rsidRPr="00A53581">
        <w:t>年</w:t>
      </w:r>
      <w:r w:rsidR="00203F72" w:rsidRPr="00A53581">
        <w:t>10</w:t>
      </w:r>
      <w:r w:rsidR="00203F72" w:rsidRPr="00A53581">
        <w:t>月</w:t>
      </w:r>
      <w:r w:rsidR="00203F72" w:rsidRPr="00A53581">
        <w:t>7</w:t>
      </w:r>
      <w:r w:rsidR="00203F72" w:rsidRPr="00A53581">
        <w:t>日進行修正，在原「護照法」（</w:t>
      </w:r>
      <w:r w:rsidR="00203F72" w:rsidRPr="00A53581">
        <w:t>Passport Act of August 18, 1856</w:t>
      </w:r>
      <w:r w:rsidR="00203F72" w:rsidRPr="00A53581">
        <w:t>）中，增訂「除了一個已與美國交戰，或是與美國有逐漸增加之武裝敵意存在之國家，或該地區之公共健康及對美國旅客之身體安全會產生危險者外，若無法律的授權，不可指定護照不得旅行該處」（</w:t>
      </w:r>
      <w:r w:rsidR="00203F72" w:rsidRPr="00A53581">
        <w:t>Pub. L. 95~426, Amending 8 U.S.C. §1185</w:t>
      </w:r>
      <w:r w:rsidR="00203F72" w:rsidRPr="00A53581">
        <w:t>）。依據</w:t>
      </w:r>
      <w:r w:rsidR="00203F72" w:rsidRPr="00A53581">
        <w:t>Farber</w:t>
      </w:r>
      <w:r w:rsidR="00203F72" w:rsidRPr="00A53581">
        <w:t>氏之分析，在</w:t>
      </w:r>
      <w:r w:rsidR="00203F72" w:rsidRPr="00A53581">
        <w:t>1978</w:t>
      </w:r>
      <w:r w:rsidR="00203F72" w:rsidRPr="00A53581">
        <w:t>年修正「護照法」對旅行地設限制之標準時，美國國會並不採納國務院所提的行政命令之標準「其旅行將導致對美國外交事務重大損害」</w:t>
      </w:r>
      <w:r w:rsidR="00203F72" w:rsidRPr="00A53581">
        <w:t>[22 C.F.R. §51, 72(1977), added by 31 Fed. Reg. 13544 (1966)]</w:t>
      </w:r>
      <w:r w:rsidR="00203F72" w:rsidRPr="00A53581">
        <w:t>，而是採對旅行人之「生命健康」有直接且危害之「地區」標準。所以，可見得美國國會不願以「國家外交利益」作為限制人民權利</w:t>
      </w:r>
      <w:r w:rsidR="00203F72" w:rsidRPr="00F962A7">
        <w:t>之意圖甚為明顯。惟美國聯邦最高法院之判決，和實定法律的規定，並未十分契合，甚至，聯邦最高法院憑藉其「審判權」來解釋一個國會法律的內容，已漠</w:t>
      </w:r>
      <w:r w:rsidR="003E240E">
        <w:t>視</w:t>
      </w:r>
      <w:r w:rsidR="00203F72" w:rsidRPr="00F962A7">
        <w:t>法律明白之語義</w:t>
      </w:r>
      <w:r w:rsidR="00203F72" w:rsidRPr="00F962A7">
        <w:footnoteReference w:id="620"/>
      </w:r>
      <w:r w:rsidR="00203F72" w:rsidRPr="00F962A7">
        <w:t>。</w:t>
      </w:r>
      <w:r w:rsidR="00203F72" w:rsidRPr="00F962A7">
        <w:cr/>
      </w:r>
    </w:p>
    <w:p w14:paraId="4D5F31BB" w14:textId="77777777" w:rsidR="006250F1" w:rsidRPr="006250F1" w:rsidRDefault="006250F1" w:rsidP="00F962A7">
      <w:pPr>
        <w:jc w:val="right"/>
        <w:rPr>
          <w:rFonts w:ascii="新細明體" w:hAnsi="新細明體"/>
        </w:rPr>
      </w:pPr>
      <w:r w:rsidRPr="0026266A">
        <w:rPr>
          <w:rFonts w:hint="eastAsia"/>
        </w:rPr>
        <w:t>。。。。。。。。。。。。。。。。。。。。。。。。。</w:t>
      </w:r>
      <w:hyperlink w:anchor="a目次35" w:history="1">
        <w:r>
          <w:rPr>
            <w:rStyle w:val="a5"/>
            <w:sz w:val="18"/>
          </w:rPr>
          <w:t>回目次</w:t>
        </w:r>
      </w:hyperlink>
      <w:r w:rsidR="00E91F89">
        <w:rPr>
          <w:rFonts w:ascii="新細明體" w:hAnsi="新細明體"/>
          <w:color w:val="808000"/>
        </w:rPr>
        <w:t>〉〉</w:t>
      </w:r>
    </w:p>
    <w:p w14:paraId="5803A67A" w14:textId="77777777" w:rsidR="006250F1" w:rsidRDefault="00203F72" w:rsidP="00767F37">
      <w:pPr>
        <w:pStyle w:val="2"/>
      </w:pPr>
      <w:bookmarkStart w:id="89" w:name="_參、外國人入出國自由與限制__"/>
      <w:bookmarkEnd w:id="89"/>
      <w:r w:rsidRPr="00A53581">
        <w:t>參、外國人入出國自由與限制</w:t>
      </w:r>
    </w:p>
    <w:p w14:paraId="1F168478" w14:textId="77777777" w:rsidR="00953151" w:rsidRPr="006250F1" w:rsidRDefault="00C35D4A" w:rsidP="00D87D91">
      <w:r w:rsidRPr="006250F1">
        <w:t xml:space="preserve">　　</w:t>
      </w:r>
      <w:r w:rsidR="00203F72" w:rsidRPr="006250F1">
        <w:t>一、入國（</w:t>
      </w:r>
      <w:r w:rsidR="00203F72" w:rsidRPr="006250F1">
        <w:t>Admission</w:t>
      </w:r>
      <w:r w:rsidR="00203F72" w:rsidRPr="006250F1">
        <w:t>）</w:t>
      </w:r>
      <w:r w:rsidR="00203F72" w:rsidRPr="006250F1">
        <w:cr/>
      </w:r>
      <w:r w:rsidRPr="006250F1">
        <w:t xml:space="preserve">　　</w:t>
      </w:r>
      <w:r w:rsidR="00203F72" w:rsidRPr="006250F1">
        <w:t>依國際習慣法，國家不負有必須允許外國人入國或居留之義務</w:t>
      </w:r>
      <w:r w:rsidR="00203F72" w:rsidRPr="006250F1">
        <w:footnoteReference w:id="621"/>
      </w:r>
      <w:r w:rsidR="00203F72" w:rsidRPr="006250F1">
        <w:t>，入國之許可與否，以何種條件准許入國，屬於各國之權限，各國原則上可自由、自行決定之</w:t>
      </w:r>
      <w:r w:rsidR="00203F72" w:rsidRPr="006250F1">
        <w:footnoteReference w:id="622"/>
      </w:r>
      <w:r w:rsidR="00203F72" w:rsidRPr="006250F1">
        <w:t>。</w:t>
      </w:r>
      <w:r w:rsidR="00203F72" w:rsidRPr="006250F1">
        <w:t>1982</w:t>
      </w:r>
      <w:r w:rsidR="00203F72" w:rsidRPr="006250F1">
        <w:t>年國際法協會通過的「有關外國人之入國許可及強制驅逐的國際規則」，其前文即揭示出「各國對於外國人之許可入國，或附帶條件之許可入國，或使其強制驅離之權，乃是源自於該國主權及獨立之理論基石」，同時在本書中亦規定「對外國人之自由入國，除了公共之利害及極重大的理由外，不得全般且恆久的禁止之</w:t>
      </w:r>
      <w:r w:rsidR="00203F72" w:rsidRPr="006250F1">
        <w:footnoteReference w:id="623"/>
      </w:r>
      <w:r w:rsidR="00203F72" w:rsidRPr="006250F1">
        <w:t>。」</w:t>
      </w:r>
    </w:p>
    <w:p w14:paraId="3DE4A385" w14:textId="77777777" w:rsidR="00203F72" w:rsidRPr="006250F1" w:rsidRDefault="00C35D4A" w:rsidP="00D87D91">
      <w:r w:rsidRPr="006250F1">
        <w:t xml:space="preserve">　　</w:t>
      </w:r>
      <w:r w:rsidR="00203F72" w:rsidRPr="006250F1">
        <w:t>就法律理論而言，大部份國家都主張，其可隨意拒絕外國人入國，宣稱這種不合資格權乃主權政府的一種主要象徵。外國人入國前申請簽證階段，學說上認為是屬於外交行為，為政治行為或政府行為，具有高度之政治性，亦即需要高度之機動性，非司法權所及之範圍，故原則上是不接受司法審查。就我國而論，依法務部及內政部訴願實務之見解，外交機關拒發簽證之行為，以及權責機關管制外國人入國之行為，均不得提起訴願及行政訴訟，即為適例。就美國法院而論，在</w:t>
      </w:r>
      <w:r w:rsidR="00203F72" w:rsidRPr="006250F1">
        <w:t>Nishimura Ekiu V. United States (1892)</w:t>
      </w:r>
      <w:r w:rsidR="00203F72" w:rsidRPr="006250F1">
        <w:t>以及</w:t>
      </w:r>
      <w:r w:rsidR="00203F72" w:rsidRPr="006250F1">
        <w:t>Fong Yue Ting v. United States (1893)</w:t>
      </w:r>
      <w:r w:rsidR="00203F72" w:rsidRPr="006250F1">
        <w:t>兩個案例中，美國法院認為拒絕外國人入國，為領土主權的一項重要附屬權力。除非一國受到條約的拘束，否則，該國在國際法下，並沒有允許外國人入國之義務，也沒有任何不能驅逐他們的義務。國際法也並未就被允許入國之外國人的停留期限，對國家課以任何義務</w:t>
      </w:r>
      <w:r w:rsidR="00203F72" w:rsidRPr="006250F1">
        <w:footnoteReference w:id="624"/>
      </w:r>
      <w:r w:rsidR="00203F72" w:rsidRPr="006250F1">
        <w:t>。</w:t>
      </w:r>
      <w:r w:rsidR="00203F72" w:rsidRPr="006250F1">
        <w:cr/>
      </w:r>
      <w:r w:rsidRPr="006250F1">
        <w:t xml:space="preserve">　　</w:t>
      </w:r>
      <w:r w:rsidR="00203F72" w:rsidRPr="006250F1">
        <w:t>二、出國（</w:t>
      </w:r>
      <w:r w:rsidR="00203F72" w:rsidRPr="006250F1">
        <w:t>Leave</w:t>
      </w:r>
      <w:r w:rsidR="00203F72" w:rsidRPr="006250F1">
        <w:t>）</w:t>
      </w:r>
      <w:r w:rsidR="00203F72" w:rsidRPr="006250F1">
        <w:cr/>
      </w:r>
      <w:r w:rsidRPr="006250F1">
        <w:t xml:space="preserve">　　</w:t>
      </w:r>
      <w:r w:rsidR="00203F72" w:rsidRPr="006250F1">
        <w:t>學者</w:t>
      </w:r>
      <w:r w:rsidR="00203F72" w:rsidRPr="006250F1">
        <w:t>Jennings</w:t>
      </w:r>
      <w:r w:rsidR="00203F72" w:rsidRPr="006250F1">
        <w:t>及</w:t>
      </w:r>
      <w:r w:rsidR="00203F72" w:rsidRPr="006250F1">
        <w:t>Watts</w:t>
      </w:r>
      <w:r w:rsidR="00203F72" w:rsidRPr="006250F1">
        <w:t>認為關於外國人之出國自由，原則上，國家不得禁止之。國際習慣法上，對於外國人的出國較一般國民之出國，有較強烈的保障態度，此乃國家對於外國人只於其領域內具有「領土主權」（屬地管轄權）而無「屬人最高權」（</w:t>
      </w:r>
      <w:r w:rsidR="00203F72" w:rsidRPr="006250F1">
        <w:t>personal</w:t>
      </w:r>
      <w:r w:rsidR="00203F72" w:rsidRPr="00A53581">
        <w:t xml:space="preserve"> </w:t>
      </w:r>
      <w:r w:rsidR="00203F72" w:rsidRPr="006250F1">
        <w:t>supremacy</w:t>
      </w:r>
      <w:r w:rsidR="00203F72" w:rsidRPr="006250F1">
        <w:t>）之故</w:t>
      </w:r>
      <w:r w:rsidR="00203F72" w:rsidRPr="006250F1">
        <w:footnoteReference w:id="625"/>
      </w:r>
      <w:r w:rsidR="00203F72" w:rsidRPr="006250F1">
        <w:t>。國內學者劉鐵錚及陳榮傳亦認為，外國人在居留目的終了後，原則上得自由依法離境（出國），但依屬地管轄之原則，亦須無尚未了結之訴訟案件或積欠稅款等被內國政府限制出國之情事</w:t>
      </w:r>
      <w:r w:rsidR="00203F72" w:rsidRPr="006250F1">
        <w:footnoteReference w:id="626"/>
      </w:r>
      <w:r w:rsidR="00203F72" w:rsidRPr="006250F1">
        <w:t>。</w:t>
      </w:r>
      <w:r w:rsidR="00203F72" w:rsidRPr="006250F1">
        <w:cr/>
      </w:r>
      <w:r w:rsidRPr="006250F1">
        <w:t xml:space="preserve">　　</w:t>
      </w:r>
      <w:r w:rsidR="00203F72" w:rsidRPr="006250F1">
        <w:t>根據「</w:t>
      </w:r>
      <w:hyperlink r:id="rId1886" w:history="1">
        <w:r w:rsidR="00F35C5F" w:rsidRPr="00F35C5F">
          <w:rPr>
            <w:rStyle w:val="a5"/>
          </w:rPr>
          <w:t>世界人權宣言</w:t>
        </w:r>
      </w:hyperlink>
      <w:r w:rsidR="00203F72" w:rsidRPr="006250F1">
        <w:t>」（</w:t>
      </w:r>
      <w:r w:rsidR="00203F72" w:rsidRPr="006250F1">
        <w:t>Universal Declaration of Haman Rights, 1948</w:t>
      </w:r>
      <w:r w:rsidR="00203F72" w:rsidRPr="006250F1">
        <w:t>）</w:t>
      </w:r>
      <w:hyperlink r:id="rId1887" w:anchor="a13" w:history="1">
        <w:r w:rsidR="00F90BE3" w:rsidRPr="00F90BE3">
          <w:rPr>
            <w:rStyle w:val="a5"/>
          </w:rPr>
          <w:t>第13條</w:t>
        </w:r>
      </w:hyperlink>
      <w:r w:rsidR="00203F72" w:rsidRPr="006250F1">
        <w:t>第</w:t>
      </w:r>
      <w:r w:rsidR="00203F72" w:rsidRPr="006250F1">
        <w:t>2</w:t>
      </w:r>
      <w:r w:rsidR="00203F72" w:rsidRPr="006250F1">
        <w:t>項規定：「人人有權離去任何國家」及「公民與政治權利國際公約」</w:t>
      </w:r>
      <w:hyperlink r:id="rId1888" w:anchor="a12" w:history="1">
        <w:r w:rsidR="00203F72" w:rsidRPr="00F962A7">
          <w:rPr>
            <w:rStyle w:val="a5"/>
            <w:rFonts w:ascii="Times New Roman" w:eastAsia="新細明體" w:hAnsi="Times New Roman"/>
          </w:rPr>
          <w:t>第</w:t>
        </w:r>
        <w:r w:rsidR="00203F72" w:rsidRPr="00F962A7">
          <w:rPr>
            <w:rStyle w:val="a5"/>
            <w:rFonts w:ascii="Times New Roman" w:eastAsia="新細明體" w:hAnsi="Times New Roman"/>
          </w:rPr>
          <w:t>12</w:t>
        </w:r>
        <w:r w:rsidR="00203F72" w:rsidRPr="00F962A7">
          <w:rPr>
            <w:rStyle w:val="a5"/>
            <w:rFonts w:ascii="Times New Roman" w:eastAsia="新細明體" w:hAnsi="Times New Roman"/>
          </w:rPr>
          <w:t>條</w:t>
        </w:r>
      </w:hyperlink>
      <w:r w:rsidR="00203F72" w:rsidRPr="006250F1">
        <w:t>第</w:t>
      </w:r>
      <w:r w:rsidR="00203F72" w:rsidRPr="006250F1">
        <w:t>2</w:t>
      </w:r>
      <w:r w:rsidR="00203F72" w:rsidRPr="006250F1">
        <w:t>項及第</w:t>
      </w:r>
      <w:r w:rsidR="00203F72" w:rsidRPr="006250F1">
        <w:t>3</w:t>
      </w:r>
      <w:r w:rsidR="00203F72" w:rsidRPr="006250F1">
        <w:t>項之規定，除為保護國家安全、公共秩序、公共衛生或道德，或他人權利與自由所必要，有法律之依據外，原則上，不得限制外國人出國的自由。據此，除外國人須履行稅金、罰金或其他民事債務之義務、犯罪案件調查中或在刑的執行中等正當理由外，不得限制外國人出國</w:t>
      </w:r>
      <w:r w:rsidR="00203F72" w:rsidRPr="006250F1">
        <w:footnoteReference w:id="627"/>
      </w:r>
      <w:r w:rsidR="00203F72" w:rsidRPr="006250F1">
        <w:t>。對於外國人離境的限制，當然必須符合「法律保留」原則，美洲與「歐洲人權公約」中規定尚須有「民主社會所必要者」（</w:t>
      </w:r>
      <w:r w:rsidR="00203F72" w:rsidRPr="006250F1">
        <w:t>necessary in a democratic society</w:t>
      </w:r>
      <w:r w:rsidR="00203F72" w:rsidRPr="006250F1">
        <w:t>），國際法上被允許的限制理由，包括：國家安全、公共秩序、保護他人自由與權利、公共衛生與公眾道德所必要者</w:t>
      </w:r>
      <w:r w:rsidR="00203F72" w:rsidRPr="006250F1">
        <w:footnoteReference w:id="628"/>
      </w:r>
      <w:r w:rsidR="00203F72" w:rsidRPr="006250F1">
        <w:t>。</w:t>
      </w:r>
      <w:r w:rsidR="00203F72" w:rsidRPr="006250F1">
        <w:cr/>
      </w:r>
      <w:r w:rsidRPr="006250F1">
        <w:t xml:space="preserve">　　</w:t>
      </w:r>
      <w:r w:rsidR="00203F72" w:rsidRPr="006250F1">
        <w:t>三、居停留權、遷徙權、參政權、社會權與限制</w:t>
      </w:r>
      <w:r w:rsidR="00203F72" w:rsidRPr="006250F1">
        <w:t xml:space="preserve"> </w:t>
      </w:r>
      <w:r w:rsidR="00203F72" w:rsidRPr="006250F1">
        <w:cr/>
      </w:r>
      <w:r w:rsidRPr="006250F1">
        <w:t xml:space="preserve">　　</w:t>
      </w:r>
      <w:r w:rsidR="00203F72" w:rsidRPr="006250F1">
        <w:t>學者劉鐵錚及陳榮傳於「國際私法論」一書中指出，外國人入國後在內國的居留問題，依屬地管轄的原則，也屬於內國法律規範的範圍。外國人在居留期間於內國的權利與義務之問題，即是外國人地位之問題。外國人在內國之居留，可分為定期居留及永久居留兩種，暫時居留者在其居留目的，即探親、旅遊或留學等結束或許可之期限屆滿後，即喪失繼續居留之權利，除其本國（母國）與內國間訂有容許居留之條約或協定外，不得主張任何國際法上在內國居留之權利。在</w:t>
      </w:r>
      <w:r w:rsidR="00203F72" w:rsidRPr="006250F1">
        <w:t>1954</w:t>
      </w:r>
      <w:r w:rsidR="00203F72" w:rsidRPr="006250F1">
        <w:t>年，德國聯邦明斯特上訴行政法院，審理有關義大利行商的上訴案中，上訴人為義大利行商，為其在德國居留之許可證屆滿後，向德國聯邦政府聲請新證未獲批准事，提起上訴，上訴人並極力主張國際法賦予外國人在一國居留之權利。德國上訴行政法院則於判決中指出，外國人在內國之居留權利，以國際條約或協定特別規定者為限，但因德國與義大利兩國間並無此類國際條約或協定，故上訴人無權請求德國政府無條件發給居留許可證</w:t>
      </w:r>
      <w:r w:rsidR="00203F72" w:rsidRPr="006250F1">
        <w:footnoteReference w:id="629"/>
      </w:r>
      <w:r w:rsidR="00203F72" w:rsidRPr="006250F1">
        <w:t>。著名的國際法學者「史塔克」</w:t>
      </w:r>
      <w:r w:rsidR="00203F72" w:rsidRPr="006250F1">
        <w:t>(Starke)</w:t>
      </w:r>
      <w:r w:rsidR="00203F72" w:rsidRPr="006250F1">
        <w:t>教授於其第</w:t>
      </w:r>
      <w:r w:rsidR="00203F72" w:rsidRPr="006250F1">
        <w:t>11</w:t>
      </w:r>
      <w:r w:rsidR="00203F72" w:rsidRPr="006250F1">
        <w:t>版之國際法中亦認為，國際法也並未就被允許入國之外國人的停留期限，對國家課以任何之義務</w:t>
      </w:r>
      <w:r w:rsidR="00203F72" w:rsidRPr="006250F1">
        <w:footnoteReference w:id="630"/>
      </w:r>
      <w:r w:rsidR="00203F72" w:rsidRPr="006250F1">
        <w:t>。</w:t>
      </w:r>
      <w:r w:rsidR="00203F72" w:rsidRPr="006250F1">
        <w:cr/>
      </w:r>
      <w:r w:rsidRPr="006250F1">
        <w:t xml:space="preserve">　　</w:t>
      </w:r>
      <w:r w:rsidR="00203F72" w:rsidRPr="006250F1">
        <w:t>另外，永久居留者是以久住之目的而入國，又稱為「定居」。各國在許可定居時，通常對內國之人口狀況、聲請者對內國社會安定之可能影響或歸化之可能性等，為通盤之考量，有時也設有數額之限制。以美國為例，</w:t>
      </w:r>
      <w:r w:rsidR="00203F72" w:rsidRPr="006250F1">
        <w:t>1965</w:t>
      </w:r>
      <w:r w:rsidR="00203F72" w:rsidRPr="006250F1">
        <w:t>年以前，對於移民採取「國別配額制度」（</w:t>
      </w:r>
      <w:r w:rsidR="00203F72" w:rsidRPr="006250F1">
        <w:t>national quota system</w:t>
      </w:r>
      <w:r w:rsidR="00203F72" w:rsidRPr="006250F1">
        <w:t>）；於</w:t>
      </w:r>
      <w:r w:rsidR="00203F72" w:rsidRPr="006250F1">
        <w:t>1965</w:t>
      </w:r>
      <w:r w:rsidR="00203F72" w:rsidRPr="006250F1">
        <w:t>年，法律將移民最高額度修正為每年</w:t>
      </w:r>
      <w:r w:rsidR="00203F72" w:rsidRPr="006250F1">
        <w:t>29</w:t>
      </w:r>
      <w:r w:rsidR="00203F72" w:rsidRPr="006250F1">
        <w:t>萬人（</w:t>
      </w:r>
      <w:r w:rsidR="00203F72" w:rsidRPr="006250F1">
        <w:t>1980</w:t>
      </w:r>
      <w:r w:rsidR="00203F72" w:rsidRPr="006250F1">
        <w:t>年難民法實際上已將其減為</w:t>
      </w:r>
      <w:r w:rsidR="00203F72" w:rsidRPr="006250F1">
        <w:t>27</w:t>
      </w:r>
      <w:r w:rsidR="00203F72" w:rsidRPr="006250F1">
        <w:t>萬人），並放棄依原屬國別配額之制度，改以其他個人之身份或技能條件為準，但仍規定自同一國家移入者每年不得逾二萬人</w:t>
      </w:r>
      <w:r w:rsidR="00203F72" w:rsidRPr="006250F1">
        <w:footnoteReference w:id="631"/>
      </w:r>
      <w:r w:rsidR="00203F72" w:rsidRPr="006250F1">
        <w:t>。</w:t>
      </w:r>
      <w:r w:rsidR="00203F72" w:rsidRPr="006250F1">
        <w:cr/>
      </w:r>
      <w:r w:rsidRPr="006250F1">
        <w:t xml:space="preserve">　　</w:t>
      </w:r>
      <w:r w:rsidR="00203F72" w:rsidRPr="006250F1">
        <w:t>再者，就居留地之限制而言，得在內國居留之外國人，原則上仍有居住及遷徙之自由，但內國仍得以國家安全之理由，對外國人之居留為某些地域上之限制</w:t>
      </w:r>
      <w:r w:rsidR="00203F72" w:rsidRPr="006250F1">
        <w:footnoteReference w:id="632"/>
      </w:r>
      <w:r w:rsidR="00203F72" w:rsidRPr="006250F1">
        <w:t>。另者，學者許慶雄、李明峻指出，關於對待外國人之待遇，主要有三種理論：</w:t>
      </w:r>
    </w:p>
    <w:p w14:paraId="0761FA70" w14:textId="77777777" w:rsidR="00203F72" w:rsidRPr="006250F1" w:rsidRDefault="00C35D4A" w:rsidP="00D87D91">
      <w:r w:rsidRPr="006250F1">
        <w:t xml:space="preserve">　　</w:t>
      </w:r>
      <w:r w:rsidR="00203F72" w:rsidRPr="006250F1">
        <w:t>1.</w:t>
      </w:r>
      <w:r w:rsidR="00203F72" w:rsidRPr="006250F1">
        <w:t>本國人民待遇（</w:t>
      </w:r>
      <w:r w:rsidR="00203F72" w:rsidRPr="006250F1">
        <w:t>national treatment</w:t>
      </w:r>
      <w:r w:rsidR="00203F72" w:rsidRPr="006250F1">
        <w:t>）：與本國人同樣的待遇。</w:t>
      </w:r>
    </w:p>
    <w:p w14:paraId="54D15B5A" w14:textId="77777777" w:rsidR="00203F72" w:rsidRPr="006250F1" w:rsidRDefault="00C35D4A" w:rsidP="00D87D91">
      <w:r w:rsidRPr="006250F1">
        <w:t xml:space="preserve">　　</w:t>
      </w:r>
      <w:r w:rsidR="00203F72" w:rsidRPr="006250F1">
        <w:t>2.</w:t>
      </w:r>
      <w:r w:rsidR="00203F72" w:rsidRPr="006250F1">
        <w:t>最惠國待遇：比照給予其他外國人最好之待遇，一般都是適用於同盟及友好之國家。</w:t>
      </w:r>
    </w:p>
    <w:p w14:paraId="7EAA5C2A" w14:textId="77777777" w:rsidR="00203F72" w:rsidRPr="006250F1" w:rsidRDefault="00C35D4A" w:rsidP="00D87D91">
      <w:r w:rsidRPr="006250F1">
        <w:t xml:space="preserve">　　</w:t>
      </w:r>
      <w:r w:rsidR="00203F72" w:rsidRPr="006250F1">
        <w:t>3.</w:t>
      </w:r>
      <w:r w:rsidR="00203F72" w:rsidRPr="006250F1">
        <w:t>特殊待遇：待遇之優厚甚至超過本國國民，一般是存在於宗主國與殖民地之間。</w:t>
      </w:r>
      <w:r w:rsidR="00203F72" w:rsidRPr="006250F1">
        <w:cr/>
      </w:r>
      <w:r w:rsidRPr="006250F1">
        <w:t xml:space="preserve">　　</w:t>
      </w:r>
      <w:r w:rsidR="00203F72" w:rsidRPr="006250F1">
        <w:t>依國際法原則，國家要給予外國人何種待遇﹖原則上可由各國國內法自行規定，但須注意不可牴觸國際法之「標準」。自從「</w:t>
      </w:r>
      <w:hyperlink r:id="rId1889" w:history="1">
        <w:r w:rsidR="00F35C5F" w:rsidRPr="00F35C5F">
          <w:rPr>
            <w:rStyle w:val="a5"/>
          </w:rPr>
          <w:t>世界人權宣言</w:t>
        </w:r>
      </w:hyperlink>
      <w:r w:rsidR="00203F72" w:rsidRPr="006250F1">
        <w:t>」簽署之後，人權保障已有客觀之基本標準。</w:t>
      </w:r>
      <w:r w:rsidR="00203F72" w:rsidRPr="006250F1">
        <w:t>1985</w:t>
      </w:r>
      <w:r w:rsidR="00203F72" w:rsidRPr="006250F1">
        <w:t>年聯合國即依據其申明的「最低標準」通過「外國人人權宣言」，使合法在他國居留的個人，都能在當地享有基本權利。</w:t>
      </w:r>
      <w:r w:rsidR="00203F72" w:rsidRPr="006250F1">
        <w:t>1990</w:t>
      </w:r>
      <w:r w:rsidR="00203F72" w:rsidRPr="006250F1">
        <w:t>年署名的「移民勞動者條約」，則更進一步具體地確立外國人的權利與保護制度</w:t>
      </w:r>
      <w:r w:rsidR="00203F72" w:rsidRPr="006250F1">
        <w:footnoteReference w:id="633"/>
      </w:r>
      <w:r w:rsidR="00203F72" w:rsidRPr="006250F1">
        <w:t>。</w:t>
      </w:r>
      <w:r w:rsidR="00203F72" w:rsidRPr="006250F1">
        <w:cr/>
      </w:r>
      <w:r w:rsidRPr="006250F1">
        <w:t xml:space="preserve">　　</w:t>
      </w:r>
      <w:r w:rsidR="00203F72" w:rsidRPr="006250F1">
        <w:t>李震山教授於「入出境管理之概念與範疇」文中，其主張一個有文化之民族（</w:t>
      </w:r>
      <w:r w:rsidR="00203F72" w:rsidRPr="006250F1">
        <w:t>kulturvoelker</w:t>
      </w:r>
      <w:r w:rsidR="00203F72" w:rsidRPr="006250F1">
        <w:t>），至少應如此對待外國人：</w:t>
      </w:r>
      <w:r w:rsidR="00203F72" w:rsidRPr="006250F1">
        <w:t>1.</w:t>
      </w:r>
      <w:r w:rsidR="00203F72" w:rsidRPr="006250F1">
        <w:t>承認每一位外國人皆為權利主權（</w:t>
      </w:r>
      <w:r w:rsidR="00203F72" w:rsidRPr="006250F1">
        <w:t>Rechtssubjekt</w:t>
      </w:r>
      <w:r w:rsidR="00203F72" w:rsidRPr="006250F1">
        <w:t>）；</w:t>
      </w:r>
      <w:r w:rsidR="00203F72" w:rsidRPr="006250F1">
        <w:t>2.</w:t>
      </w:r>
      <w:r w:rsidR="00203F72" w:rsidRPr="006250F1">
        <w:t>外國人所獲得之私法權利原則上應予尊重；</w:t>
      </w:r>
      <w:r w:rsidR="00203F72" w:rsidRPr="006250F1">
        <w:t>3.</w:t>
      </w:r>
      <w:r w:rsidR="00203F72" w:rsidRPr="006250F1">
        <w:t>應賦予外國人重要之自由權；</w:t>
      </w:r>
      <w:r w:rsidR="00203F72" w:rsidRPr="006250F1">
        <w:t>4.</w:t>
      </w:r>
      <w:r w:rsidR="00203F72" w:rsidRPr="006250F1">
        <w:t>應給予外國人有法律救濟途徑；</w:t>
      </w:r>
      <w:r w:rsidR="00203F72" w:rsidRPr="006250F1">
        <w:t>5.</w:t>
      </w:r>
      <w:r w:rsidR="00203F72" w:rsidRPr="006250F1">
        <w:t>應保護外國人之生命、自由、財產、名譽免受犯罪之侵犯</w:t>
      </w:r>
      <w:r w:rsidR="00203F72" w:rsidRPr="006250F1">
        <w:footnoteReference w:id="634"/>
      </w:r>
      <w:r w:rsidR="00203F72" w:rsidRPr="006250F1">
        <w:t>。</w:t>
      </w:r>
      <w:r w:rsidR="00203F72" w:rsidRPr="006250F1">
        <w:cr/>
      </w:r>
      <w:r w:rsidRPr="006250F1">
        <w:t xml:space="preserve">　　</w:t>
      </w:r>
      <w:r w:rsidR="00203F72" w:rsidRPr="006250F1">
        <w:t>在外國人不受保障的人權方面，日本蘆部信喜教授認為，向來是以參政權、社會權、入國自由為代表，其中，本書在其他部分業已就入國自由加以討論，此部分加以探討者，為外國人之參政權及社會權。參政權的性質，就是僅認許本國國民才有的權利。從而，狹義的參政權（選舉權與被選舉權）不適用於外國人。不過，對於地方自治團體層次，尤其是鄉鎮縣轄巿等與住民生活關係最密切的地方自治團體的選舉權，將其解為認許有永久居住資格的外國僑民適用（或應該認許適用）之說法，在日本已愈發有力。在社會權方面，雖然每個人受自己國家保障的權利，但與參政權不同的，並非原則上不能認許外國人者。只要在財政狀況上沒有困難，法律上使外國人受社會權保障，就憲法言，沒有什麼問題。在</w:t>
      </w:r>
      <w:r w:rsidR="00203F72" w:rsidRPr="006250F1">
        <w:t>1981</w:t>
      </w:r>
      <w:r w:rsidR="00203F72" w:rsidRPr="006250F1">
        <w:t>年，為因應日本批准國際人權公約及「國際難民條約」的新情勢，日本對社會保障關係法令之國籍條件，原則上已加以廢除。除了上述權利之外，自由權、平等權和受益權方面，外國人雖也受保障，但保障的程度與限界，並不與日本國民完全相同。特別成問題的，則是精神自由權中，能發揮參政權機能的政治活動自由。在這方面雖有各種議論，惟因外國人的參政權受到否定，似應解為必須比日本國民受到更大的限制。至少，對於為直接介入日本政治而組織的政治結社，或打倒日本政府的運動，應可加以禁止</w:t>
      </w:r>
      <w:r w:rsidR="00203F72" w:rsidRPr="006250F1">
        <w:footnoteReference w:id="635"/>
      </w:r>
      <w:r w:rsidR="00203F72" w:rsidRPr="006250F1">
        <w:t>。</w:t>
      </w:r>
      <w:r w:rsidR="00203F72" w:rsidRPr="006250F1">
        <w:cr/>
      </w:r>
      <w:r w:rsidRPr="006250F1">
        <w:t xml:space="preserve">　　</w:t>
      </w:r>
      <w:r w:rsidR="00203F72" w:rsidRPr="006250F1">
        <w:t>在上述外國人的參政權方面，在日本，發生一件有名的「麥克麟」事件。美國人麥克麟以一年為期入國日本居住。一年後，申請延長居留期間時，法務部長以麥氏在日本居留中，從事政治活動（參加反越戰、反對出入國管理法案以及反對美日安全保障條約等示威活動或集會等行為）為由，駁回其延長居留之申請。此即「麥克麟」事件。最高法院認為，外國人僑居中的政治活動，除依其外國人地位應認為不適當（對決定日本的政治意思或影響其實施之活動）者外，對外國僑民的政治活動，亦應予保障。然而，對外國人的人權保障，畢竟只是在外國人僑居制度範圍內所賦予的權利；因而僑居中的外國人的行為，縱使合憲、合法，法務大臣仍可據以斟酌，做為拒絕延長居留的消極理由。從而，日本最高法院判決：本案並無法務大臣顯著的逸脫、濫用裁量權的情形存在（最高法院大法庭判決，</w:t>
      </w:r>
      <w:r w:rsidR="00203F72" w:rsidRPr="006250F1">
        <w:t>1978</w:t>
      </w:r>
      <w:r w:rsidR="00203F72" w:rsidRPr="006250F1">
        <w:t>年</w:t>
      </w:r>
      <w:r w:rsidR="00203F72" w:rsidRPr="006250F1">
        <w:t>10</w:t>
      </w:r>
      <w:r w:rsidR="00203F72" w:rsidRPr="006250F1">
        <w:t>月</w:t>
      </w:r>
      <w:r w:rsidR="00203F72" w:rsidRPr="006250F1">
        <w:t>4</w:t>
      </w:r>
      <w:r w:rsidR="00203F72" w:rsidRPr="006250F1">
        <w:t>日民事判例集，第</w:t>
      </w:r>
      <w:r w:rsidR="00203F72" w:rsidRPr="006250F1">
        <w:t>32</w:t>
      </w:r>
      <w:r w:rsidR="00203F72" w:rsidRPr="006250F1">
        <w:t>卷第</w:t>
      </w:r>
      <w:r w:rsidR="00203F72" w:rsidRPr="006250F1">
        <w:t>7</w:t>
      </w:r>
      <w:r w:rsidR="00203F72" w:rsidRPr="006250F1">
        <w:t>號第</w:t>
      </w:r>
      <w:r w:rsidR="00203F72" w:rsidRPr="006250F1">
        <w:t>1223</w:t>
      </w:r>
      <w:r w:rsidR="00203F72" w:rsidRPr="006250F1">
        <w:t>頁）。對於上述最高法院之看法，日本蘆部信喜教授認為，此案就延長居留的審查</w:t>
      </w:r>
      <w:r w:rsidR="003E240E">
        <w:t>視</w:t>
      </w:r>
      <w:r w:rsidR="00203F72" w:rsidRPr="006250F1">
        <w:t>同入國，給予法務部廣泛的裁量權，頗有問題。此外有人批評，所謂不應認許的政治活動，其基準未臻明確，有可能成為實質上全面否認。此外，經濟自由權在權利性質上，原就有必要加上與國民相異的特別限制，因而課以種種限制</w:t>
      </w:r>
      <w:r w:rsidR="00203F72" w:rsidRPr="006250F1">
        <w:footnoteReference w:id="636"/>
      </w:r>
      <w:r w:rsidR="00203F72" w:rsidRPr="006250F1">
        <w:t>。</w:t>
      </w:r>
      <w:r w:rsidR="00203F72" w:rsidRPr="006250F1">
        <w:cr/>
      </w:r>
      <w:r w:rsidRPr="006250F1">
        <w:t xml:space="preserve">　　</w:t>
      </w:r>
      <w:r w:rsidR="00203F72" w:rsidRPr="006250F1">
        <w:t>關於居住、遷徙的自由，則有「外國人登錄法」的限制，在日本，發生一件拒絕捺押指印事件。本案是起因於「外國人登錄法」，要求外國人有義務在外國人登錄正本捺押指印，涉嫌違反日本憲法第</w:t>
      </w:r>
      <w:r w:rsidR="00203F72" w:rsidRPr="006250F1">
        <w:t>13</w:t>
      </w:r>
      <w:r w:rsidR="00203F72" w:rsidRPr="006250F1">
        <w:t>條（個人尊嚴、隱私權）、日本憲法第</w:t>
      </w:r>
      <w:r w:rsidR="00203F72" w:rsidRPr="006250F1">
        <w:t>14</w:t>
      </w:r>
      <w:r w:rsidR="00203F72" w:rsidRPr="006250F1">
        <w:t>條（禁止不合理歧</w:t>
      </w:r>
      <w:r w:rsidR="003E240E">
        <w:t>視</w:t>
      </w:r>
      <w:r w:rsidR="00203F72" w:rsidRPr="006250F1">
        <w:t>）以及國際人權公約的爭議所提出的訴訟案件。多數下級審判決，雖然認為做為私生活自由的一環，人民有「未經承認不被恣意強制捺押指印的自由」，不過捺押指印卻是為確認同一人之必要且合理的手段，應解為合憲。日本於</w:t>
      </w:r>
      <w:r w:rsidR="00203F72" w:rsidRPr="006250F1">
        <w:t>1992</w:t>
      </w:r>
      <w:r w:rsidR="00203F72" w:rsidRPr="006250F1">
        <w:t>年（平成四年）再加以修改，對認許永久居留資格的居住日本之外僑所課加捺押指印的義務，完全予以廢止，變更之為提出照片及簽名的制度</w:t>
      </w:r>
      <w:r w:rsidR="00203F72" w:rsidRPr="006250F1">
        <w:footnoteReference w:id="637"/>
      </w:r>
      <w:r w:rsidR="00203F72" w:rsidRPr="006250F1">
        <w:t>。</w:t>
      </w:r>
      <w:r w:rsidR="00203F72" w:rsidRPr="006250F1">
        <w:cr/>
      </w:r>
      <w:r w:rsidRPr="006250F1">
        <w:t xml:space="preserve">　　</w:t>
      </w:r>
      <w:r w:rsidR="00203F72" w:rsidRPr="006250F1">
        <w:t>在美國﹐就外國人的參政權而論﹐同樣受到限制。在美國擁有永久居留權的外國人（未入籍成為美國公民）﹐仍未享有參政權（未擁有投票權）。永久居留的外國人﹐是否可享有政治上的投票權﹖可分為若干層面探討。就參政權的種類而言﹐美國國內目前之討論﹐大抵僅限於投票權﹐亦即﹐是否需開放投票權給永久居留的外國人﹖另外的一個議題﹐參政權的範圍含蓋層面多廣﹖因其為外國人﹐而非美國公民﹐故亦僅限於在「地方」投票權之探討。在絕大多數之地方﹐擁有永久居留權的外國人（</w:t>
      </w:r>
      <w:r w:rsidR="00203F72" w:rsidRPr="006250F1">
        <w:t>permanent alient</w:t>
      </w:r>
      <w:r w:rsidR="00203F72" w:rsidRPr="006250F1">
        <w:t>）﹐尚未享有地方之投票權。</w:t>
      </w:r>
      <w:r w:rsidR="00203F72" w:rsidRPr="006250F1">
        <w:cr/>
      </w:r>
      <w:r w:rsidRPr="006250F1">
        <w:t xml:space="preserve">　　</w:t>
      </w:r>
      <w:r w:rsidR="00203F72" w:rsidRPr="006250F1">
        <w:t>以美國加州為例﹐在</w:t>
      </w:r>
      <w:r w:rsidR="00203F72" w:rsidRPr="006250F1">
        <w:t>1974</w:t>
      </w:r>
      <w:r w:rsidR="00203F72" w:rsidRPr="006250F1">
        <w:t>年加州第</w:t>
      </w:r>
      <w:r w:rsidR="00203F72" w:rsidRPr="006250F1">
        <w:t>2</w:t>
      </w:r>
      <w:r w:rsidR="00203F72" w:rsidRPr="006250F1">
        <w:t>司法區上訴法院（</w:t>
      </w:r>
      <w:r w:rsidR="00203F72" w:rsidRPr="006250F1">
        <w:t>the California Court of Appeals</w:t>
      </w:r>
      <w:r w:rsidR="00203F72" w:rsidRPr="006250F1">
        <w:t>）公布一個判例﹐其名為「</w:t>
      </w:r>
      <w:r w:rsidR="00203F72" w:rsidRPr="006250F1">
        <w:t>Padilla v. Allison</w:t>
      </w:r>
      <w:r w:rsidR="00203F72" w:rsidRPr="006250F1">
        <w:t>」。本案的原告名為</w:t>
      </w:r>
      <w:r w:rsidR="00203F72" w:rsidRPr="006250F1">
        <w:t>Padilla</w:t>
      </w:r>
      <w:r w:rsidR="00203F72" w:rsidRPr="006250F1">
        <w:t>等人﹐他們在美國是擁有永久居留權的外國人（</w:t>
      </w:r>
      <w:r w:rsidR="00203F72" w:rsidRPr="006250F1">
        <w:t>permanent resident aliens</w:t>
      </w:r>
      <w:r w:rsidR="00203F72" w:rsidRPr="006250F1">
        <w:t>）﹐他們主張加州憲法第</w:t>
      </w:r>
      <w:r w:rsidR="00203F72" w:rsidRPr="006250F1">
        <w:t>1</w:t>
      </w:r>
      <w:r w:rsidR="00203F72" w:rsidRPr="006250F1">
        <w:t>條第</w:t>
      </w:r>
      <w:r w:rsidR="00203F72" w:rsidRPr="006250F1">
        <w:t>2</w:t>
      </w:r>
      <w:r w:rsidR="00203F72" w:rsidRPr="006250F1">
        <w:t>項（</w:t>
      </w:r>
      <w:r w:rsidR="00203F72" w:rsidRPr="006250F1">
        <w:t>Article II Section 1 of the California Constitution</w:t>
      </w:r>
      <w:r w:rsidR="00203F72" w:rsidRPr="006250F1">
        <w:t>）違憲﹐因該條所規範之內涵：「凡年滿</w:t>
      </w:r>
      <w:r w:rsidR="00203F72" w:rsidRPr="006250F1">
        <w:t>18</w:t>
      </w:r>
      <w:r w:rsidR="00203F72" w:rsidRPr="006250F1">
        <w:t>歲的美國公民及現仍在本州（加州）居住者﹐享有投票權」﹐業已違反美國憲法第</w:t>
      </w:r>
      <w:r w:rsidR="00203F72" w:rsidRPr="006250F1">
        <w:t>14</w:t>
      </w:r>
      <w:r w:rsidR="00203F72" w:rsidRPr="006250F1">
        <w:t>條修正案「平等保護條款」（</w:t>
      </w:r>
      <w:r w:rsidR="00203F72" w:rsidRPr="006250F1">
        <w:t>the Fourteenth Amendment Equal Protection Clause</w:t>
      </w:r>
      <w:r w:rsidR="00203F72" w:rsidRPr="006250F1">
        <w:t>）（</w:t>
      </w:r>
      <w:r w:rsidR="00203F72" w:rsidRPr="006250F1">
        <w:t>Padilla v. Allison, Cal. App. 1974</w:t>
      </w:r>
      <w:r w:rsidR="00203F72" w:rsidRPr="006250F1">
        <w:t>）。加州洛杉磯郡法院駁回原告之訴﹐</w:t>
      </w:r>
      <w:r w:rsidR="00203F72" w:rsidRPr="006250F1">
        <w:t>Padilla</w:t>
      </w:r>
      <w:r w:rsidR="00203F72" w:rsidRPr="006250F1">
        <w:t>等人不服﹐遂將本案上訴到「加州上訴法院」（</w:t>
      </w:r>
      <w:r w:rsidR="00203F72" w:rsidRPr="006250F1">
        <w:t>the California Court of Appeals</w:t>
      </w:r>
      <w:r w:rsidR="00203F72" w:rsidRPr="006250F1">
        <w:t>）。加州上訴法院審理之後﹐認為州政府並無義務﹐亦無須對境內的外國人授與參政權（</w:t>
      </w:r>
      <w:r w:rsidR="00203F72" w:rsidRPr="006250F1">
        <w:t>a state is not required to enfranchise aliens</w:t>
      </w:r>
      <w:r w:rsidR="00203F72" w:rsidRPr="006250F1">
        <w:t>）﹐遂將本案駁回（</w:t>
      </w:r>
      <w:r w:rsidR="00203F72" w:rsidRPr="006250F1">
        <w:t>reject</w:t>
      </w:r>
      <w:r w:rsidR="00203F72" w:rsidRPr="006250F1">
        <w:t>）。上訴法院指出﹐假若州在其州憲法之中﹐明文規範州的投票人資格﹐必須為美國公民一事﹐在聯邦憲法之中﹐並未加以禁止之（</w:t>
      </w:r>
      <w:r w:rsidR="00203F72" w:rsidRPr="006250F1">
        <w:t>U.S. Constitution does not prohihit state...</w:t>
      </w:r>
      <w:r w:rsidR="00203F72" w:rsidRPr="006250F1">
        <w:t>）﹐故州憲法上述之明範﹐未違反對外國人平等保護之法律（</w:t>
      </w:r>
      <w:r w:rsidR="00203F72" w:rsidRPr="006250F1">
        <w:t>did not deny equal protection of law to aliens</w:t>
      </w:r>
      <w:r w:rsidR="00203F72" w:rsidRPr="006250F1">
        <w:t>）。</w:t>
      </w:r>
    </w:p>
    <w:p w14:paraId="689EBA9B" w14:textId="77777777" w:rsidR="00953151" w:rsidRPr="006250F1" w:rsidRDefault="00C35D4A" w:rsidP="00D87D91">
      <w:r w:rsidRPr="006250F1">
        <w:t xml:space="preserve">　　</w:t>
      </w:r>
      <w:r w:rsidR="00203F72" w:rsidRPr="006250F1">
        <w:t>加州上訴法院並引用相關之判決</w:t>
      </w:r>
      <w:r w:rsidR="00203F72" w:rsidRPr="006250F1">
        <w:t>Sugarman v. Pougall</w:t>
      </w:r>
      <w:r w:rsidR="00203F72" w:rsidRPr="006250F1">
        <w:t>（</w:t>
      </w:r>
      <w:r w:rsidR="00203F72" w:rsidRPr="006250F1">
        <w:t>413 U.S. 634, 648-649, 93 S.Ct. 2842, 2851, 37L. Ed. 2d 853</w:t>
      </w:r>
      <w:r w:rsidR="00203F72" w:rsidRPr="006250F1">
        <w:t>）用以支持其論點﹐亦即﹐法院從來就不認為外國人享有憲法上之投票權（</w:t>
      </w:r>
      <w:r w:rsidR="00203F72" w:rsidRPr="006250F1">
        <w:t>This Court has never held that aliens have a constitutional right to vote</w:t>
      </w:r>
      <w:r w:rsidR="00203F72" w:rsidRPr="006250F1">
        <w:t>）；對於國籍立法所加之限制與要件﹐只有美國國會才享有此種立法權限﹐州政府未享有之（</w:t>
      </w:r>
      <w:r w:rsidR="00203F72" w:rsidRPr="006250F1">
        <w:t>Congress, not the state, has the sole power... in the field of nationality legislation</w:t>
      </w:r>
      <w:r w:rsidR="00203F72" w:rsidRPr="006250F1">
        <w:t>）。最後﹐上訴法院指稱﹐因為美國國會並未被要求應對外國人授與參政權（</w:t>
      </w:r>
      <w:r w:rsidR="00203F72" w:rsidRPr="006250F1">
        <w:t>the Legislature is not required to enfranchise aliens</w:t>
      </w:r>
      <w:r w:rsidR="00203F72" w:rsidRPr="006250F1">
        <w:t>）﹐是以對於投票權限於美國公民此一資格上的要求及要件﹐就加州的立法而論﹐無法論斷其為無效。因在憲法第</w:t>
      </w:r>
      <w:r w:rsidR="00203F72" w:rsidRPr="006250F1">
        <w:t>14</w:t>
      </w:r>
      <w:r w:rsidR="00203F72" w:rsidRPr="006250F1">
        <w:t>修正案之下﹐外國人尚未被賦予參政權﹐故上訴法院同樣地認為﹐其沒有理由要求加州政府應對外國人賦予投票參政權（</w:t>
      </w:r>
      <w:r w:rsidR="00203F72" w:rsidRPr="006250F1">
        <w:t>no reason to require the state to grant the voting franchise</w:t>
      </w:r>
      <w:r w:rsidR="00203F72" w:rsidRPr="006250F1">
        <w:t>）</w:t>
      </w:r>
      <w:r w:rsidR="00203F72" w:rsidRPr="006250F1">
        <w:footnoteReference w:id="638"/>
      </w:r>
      <w:r w:rsidR="00203F72" w:rsidRPr="006250F1">
        <w:t>。</w:t>
      </w:r>
    </w:p>
    <w:p w14:paraId="2C69B62F" w14:textId="77777777" w:rsidR="00953151" w:rsidRPr="006250F1" w:rsidRDefault="00C35D4A" w:rsidP="00D87D91">
      <w:r w:rsidRPr="006250F1">
        <w:t xml:space="preserve">　　</w:t>
      </w:r>
      <w:r w:rsidR="00203F72" w:rsidRPr="006250F1">
        <w:t>四、再入國</w:t>
      </w:r>
      <w:r w:rsidR="00203F72" w:rsidRPr="006250F1">
        <w:cr/>
      </w:r>
      <w:r w:rsidRPr="006250F1">
        <w:t xml:space="preserve">　　</w:t>
      </w:r>
      <w:r w:rsidR="00203F72" w:rsidRPr="006250F1">
        <w:t>居留中之外國人，有再入國必要為確保其居留權，須申請再入國許可。以日本為例，對於外國人方面，關於其再入國之決定，依國際慣例，一個國家得限制外國人入國條件，因此，外國人再入國權利當然不受到保障</w:t>
      </w:r>
      <w:r w:rsidR="00203F72" w:rsidRPr="006250F1">
        <w:footnoteReference w:id="639"/>
      </w:r>
      <w:r w:rsidR="00203F72" w:rsidRPr="006250F1">
        <w:t>。</w:t>
      </w:r>
    </w:p>
    <w:p w14:paraId="6E7EF5CC" w14:textId="77777777" w:rsidR="00203F72" w:rsidRPr="006250F1" w:rsidRDefault="00C35D4A" w:rsidP="00D87D91">
      <w:r w:rsidRPr="006250F1">
        <w:t xml:space="preserve">　　</w:t>
      </w:r>
      <w:r w:rsidR="00203F72" w:rsidRPr="006250F1">
        <w:t>日本憲法學者蘆部信喜教授認為在日居留的外國人雖然享有出國的自由（受到日本憲法第</w:t>
      </w:r>
      <w:r w:rsidR="00203F72" w:rsidRPr="006250F1">
        <w:t>22</w:t>
      </w:r>
      <w:r w:rsidR="00203F72" w:rsidRPr="006250F1">
        <w:t>條第</w:t>
      </w:r>
      <w:r w:rsidR="00203F72" w:rsidRPr="006250F1">
        <w:t>2</w:t>
      </w:r>
      <w:r w:rsidR="00203F72" w:rsidRPr="006250F1">
        <w:t>項之保障），惟對於再入國的自由，則有爭議。根據蘆部信喜教授的看法，關於外國人再入國的自由，大體可分為二種學說，第一說認為「再入國」自由與「入國」自由同屬委任法務部長自由裁量者。第二說則認為，僑居的外國人有「返回本國的權利」</w:t>
      </w:r>
      <w:r w:rsidR="00203F72" w:rsidRPr="006250F1">
        <w:footnoteReference w:id="640"/>
      </w:r>
      <w:r w:rsidR="00203F72" w:rsidRPr="006250F1">
        <w:t>，再入國自由應</w:t>
      </w:r>
      <w:r w:rsidR="003E240E">
        <w:t>視</w:t>
      </w:r>
      <w:r w:rsidR="00203F72" w:rsidRPr="006250F1">
        <w:t>為此種權利而加以保障。日本實務判例採前說；在森川凱薩琳案件中，本案案情係與日本人結婚之美籍妻子，在攜帶孩子回美國（本國）省</w:t>
      </w:r>
      <w:r w:rsidR="003E240E">
        <w:t>視</w:t>
      </w:r>
      <w:r w:rsidR="00203F72" w:rsidRPr="006250F1">
        <w:t>雙親前，於昭和</w:t>
      </w:r>
      <w:r w:rsidR="00203F72" w:rsidRPr="006250F1">
        <w:t>57</w:t>
      </w:r>
      <w:r w:rsidR="00203F72" w:rsidRPr="006250F1">
        <w:t>年（</w:t>
      </w:r>
      <w:r w:rsidR="00203F72" w:rsidRPr="006250F1">
        <w:t>1982</w:t>
      </w:r>
      <w:r w:rsidR="00203F72" w:rsidRPr="006250F1">
        <w:t>年）確認申請再入國時，因拒絕蓋指紋的原因，未被准許再入國。日本最高法院判示，僑居日本之外國人；「憲法上，其短期到國外旅行的自由，並未受到保障」（日本最高法院判例，平成</w:t>
      </w:r>
      <w:r w:rsidR="00203F72" w:rsidRPr="006250F1">
        <w:t>4</w:t>
      </w:r>
      <w:r w:rsidR="00203F72" w:rsidRPr="006250F1">
        <w:t>年，</w:t>
      </w:r>
      <w:r w:rsidR="00203F72" w:rsidRPr="006250F1">
        <w:t>1992</w:t>
      </w:r>
      <w:r w:rsidR="00203F72" w:rsidRPr="006250F1">
        <w:t>年</w:t>
      </w:r>
      <w:r w:rsidR="00203F72" w:rsidRPr="006250F1">
        <w:t>11</w:t>
      </w:r>
      <w:r w:rsidR="00203F72" w:rsidRPr="006250F1">
        <w:t>月</w:t>
      </w:r>
      <w:r w:rsidR="00203F72" w:rsidRPr="006250F1">
        <w:t>16</w:t>
      </w:r>
      <w:r w:rsidR="00203F72" w:rsidRPr="006250F1">
        <w:t>日）。不過，由於入管法令之修改，特別永久居留者的再入國自由，已被認許</w:t>
      </w:r>
      <w:r w:rsidR="00203F72" w:rsidRPr="006250F1">
        <w:footnoteReference w:id="641"/>
      </w:r>
      <w:r w:rsidR="00203F72" w:rsidRPr="006250F1">
        <w:t>。</w:t>
      </w:r>
      <w:r w:rsidR="00203F72" w:rsidRPr="006250F1">
        <w:cr/>
      </w:r>
      <w:r w:rsidRPr="006250F1">
        <w:t xml:space="preserve">　　</w:t>
      </w:r>
      <w:r w:rsidR="00203F72" w:rsidRPr="006250F1">
        <w:t>五、驅逐出國（</w:t>
      </w:r>
      <w:r w:rsidR="00203F72" w:rsidRPr="006250F1">
        <w:t>expulsion</w:t>
      </w:r>
      <w:r w:rsidR="00203F72" w:rsidRPr="006250F1">
        <w:t>）</w:t>
      </w:r>
      <w:r w:rsidR="00203F72" w:rsidRPr="006250F1">
        <w:cr/>
      </w:r>
      <w:r w:rsidRPr="006250F1">
        <w:t xml:space="preserve">　　</w:t>
      </w:r>
      <w:r w:rsidR="00203F72" w:rsidRPr="006250F1">
        <w:t>國家一般都被承認擁有將外國人驅逐出國的權力。就像可拒絕外國人入國的權力一樣，這也被認為是國家領土主權的一種附屬權力。然而，將外國人驅逐出國必須以一種合理的方式進行，並且，不能對受影響之外國人造成不必要之傷害。</w:t>
      </w:r>
      <w:r w:rsidR="00203F72" w:rsidRPr="006250F1">
        <w:t>1966</w:t>
      </w:r>
      <w:r w:rsidR="00203F72" w:rsidRPr="006250F1">
        <w:t>年「公民與政治權利國際公約」（</w:t>
      </w:r>
      <w:r w:rsidR="00203F72" w:rsidRPr="006250F1">
        <w:t>the International Convenant of 1966 Civil and Political Rights</w:t>
      </w:r>
      <w:r w:rsidR="00203F72" w:rsidRPr="006250F1">
        <w:t>）</w:t>
      </w:r>
      <w:hyperlink r:id="rId1890" w:anchor="a13" w:history="1">
        <w:r w:rsidR="00F962A7" w:rsidRPr="00E07281">
          <w:rPr>
            <w:rStyle w:val="a5"/>
            <w:rFonts w:ascii="Times New Roman" w:hAnsi="Times New Roman"/>
          </w:rPr>
          <w:t>第</w:t>
        </w:r>
        <w:r w:rsidR="00F962A7" w:rsidRPr="00E07281">
          <w:rPr>
            <w:rStyle w:val="a5"/>
            <w:rFonts w:ascii="Times New Roman" w:hAnsi="Times New Roman"/>
          </w:rPr>
          <w:t>13</w:t>
        </w:r>
        <w:r w:rsidR="00F962A7" w:rsidRPr="00E07281">
          <w:rPr>
            <w:rStyle w:val="a5"/>
            <w:rFonts w:ascii="Times New Roman" w:hAnsi="Times New Roman"/>
          </w:rPr>
          <w:t>條</w:t>
        </w:r>
      </w:hyperlink>
      <w:r w:rsidR="00203F72" w:rsidRPr="006250F1">
        <w:t>規定，在法律理論上，位於本公約締約國境內的外國人，只有在遵從由法律所達成的判決下，才可被驅逐，並且除了在有關國家安全及其他強制性理由之外，外國人可被允許提出抗辯其遭驅逐出國的理由，並且可為此目的而在權責單位，或特別被權責單位所指派之人員前，代表自己抗爭。驅逐之前的監禁，應該加以避免，除非該外國人拒絕離開該國，或有可能逃避權責單位之驅逐。同時，外國人也不能被驅逐到一個其個人或自由將因種族、宗教、國籍或政治立場而受到威脅的國家或領土內，他們也不應遭到不必要的尊嚴傷害</w:t>
      </w:r>
      <w:r w:rsidR="00203F72" w:rsidRPr="006250F1">
        <w:footnoteReference w:id="642"/>
      </w:r>
      <w:r w:rsidR="00203F72" w:rsidRPr="006250F1">
        <w:t>。</w:t>
      </w:r>
      <w:r w:rsidR="00203F72" w:rsidRPr="006250F1">
        <w:cr/>
      </w:r>
      <w:r w:rsidRPr="006250F1">
        <w:t xml:space="preserve">　　</w:t>
      </w:r>
      <w:r w:rsidR="00203F72" w:rsidRPr="006250F1">
        <w:t>外國人的大量被驅逐，幾乎不可避免地會違反人權條款，包括違反上述「公民與政治權利國際公約</w:t>
      </w:r>
      <w:r w:rsidR="00AB73B8" w:rsidRPr="006250F1">
        <w:t>」</w:t>
      </w:r>
      <w:hyperlink r:id="rId1891" w:anchor="a13" w:history="1">
        <w:r w:rsidR="00AB73B8" w:rsidRPr="00E07281">
          <w:rPr>
            <w:rStyle w:val="a5"/>
            <w:rFonts w:ascii="Times New Roman" w:hAnsi="Times New Roman"/>
          </w:rPr>
          <w:t>第</w:t>
        </w:r>
        <w:r w:rsidR="00AB73B8" w:rsidRPr="00E07281">
          <w:rPr>
            <w:rStyle w:val="a5"/>
            <w:rFonts w:ascii="Times New Roman" w:hAnsi="Times New Roman"/>
          </w:rPr>
          <w:t>13</w:t>
        </w:r>
        <w:r w:rsidR="00AB73B8" w:rsidRPr="00E07281">
          <w:rPr>
            <w:rStyle w:val="a5"/>
            <w:rFonts w:ascii="Times New Roman" w:hAnsi="Times New Roman"/>
          </w:rPr>
          <w:t>條</w:t>
        </w:r>
      </w:hyperlink>
      <w:r w:rsidR="00203F72" w:rsidRPr="006250F1">
        <w:t>之規定。烏幹達在</w:t>
      </w:r>
      <w:r w:rsidR="00203F72" w:rsidRPr="006250F1">
        <w:t>1972</w:t>
      </w:r>
      <w:r w:rsidR="00203F72" w:rsidRPr="006250F1">
        <w:t>年驅逐其印度人民團體，使其受到雙重的駁斥，因為很多被驅逐的人都是烏幹達公民，並且其沒有定居在其他國家的權利</w:t>
      </w:r>
      <w:r w:rsidR="00203F72" w:rsidRPr="006250F1">
        <w:footnoteReference w:id="643"/>
      </w:r>
      <w:r w:rsidR="00203F72" w:rsidRPr="006250F1">
        <w:t>。</w:t>
      </w:r>
      <w:r w:rsidR="00203F72" w:rsidRPr="006250F1">
        <w:cr/>
      </w:r>
      <w:r w:rsidRPr="006250F1">
        <w:t xml:space="preserve">　　</w:t>
      </w:r>
      <w:r w:rsidR="00203F72" w:rsidRPr="006250F1">
        <w:t>在另外一個相關的公約中，亦規範驅逐外國人之要件及救濟，此公約即為「</w:t>
      </w:r>
      <w:r w:rsidR="00203F72" w:rsidRPr="006250F1">
        <w:t>1990</w:t>
      </w:r>
      <w:r w:rsidR="00203F72" w:rsidRPr="006250F1">
        <w:t>年所有移徙勞工及其家屬權利保障公約」（</w:t>
      </w:r>
      <w:r w:rsidR="00203F72" w:rsidRPr="006250F1">
        <w:t>International Convention on the Protection of the Rights of All Migrant Workers and Members of Their Families, 1990</w:t>
      </w:r>
      <w:r w:rsidR="00203F72" w:rsidRPr="006250F1">
        <w:t>），上述公約是對長久以來各國外勞問題最具意義的國際法上保障。因此，欲追求對外籍勞工國際法上的權利保障，該公約的整體內容，是一部頗值得參考的準則</w:t>
      </w:r>
      <w:r w:rsidR="00203F72" w:rsidRPr="006250F1">
        <w:footnoteReference w:id="644"/>
      </w:r>
      <w:r w:rsidR="00203F72" w:rsidRPr="006250F1">
        <w:t>。上述公約對驅逐外勞作出若干規範。首先，該公約</w:t>
      </w:r>
      <w:hyperlink r:id="rId1892" w:anchor="a22" w:history="1">
        <w:r w:rsidR="00203F72" w:rsidRPr="00F962A7">
          <w:rPr>
            <w:rStyle w:val="a5"/>
            <w:rFonts w:ascii="Times New Roman" w:eastAsia="新細明體" w:hAnsi="Times New Roman"/>
          </w:rPr>
          <w:t>第</w:t>
        </w:r>
        <w:r w:rsidR="00203F72" w:rsidRPr="00F962A7">
          <w:rPr>
            <w:rStyle w:val="a5"/>
            <w:rFonts w:ascii="Times New Roman" w:eastAsia="新細明體" w:hAnsi="Times New Roman"/>
          </w:rPr>
          <w:t>22</w:t>
        </w:r>
        <w:r w:rsidR="00203F72" w:rsidRPr="00F962A7">
          <w:rPr>
            <w:rStyle w:val="a5"/>
            <w:rFonts w:ascii="Times New Roman" w:eastAsia="新細明體" w:hAnsi="Times New Roman"/>
          </w:rPr>
          <w:t>條</w:t>
        </w:r>
      </w:hyperlink>
      <w:r w:rsidR="00203F72" w:rsidRPr="006250F1">
        <w:t>第</w:t>
      </w:r>
      <w:r w:rsidR="00203F72" w:rsidRPr="006250F1">
        <w:t>1</w:t>
      </w:r>
      <w:r w:rsidR="00203F72" w:rsidRPr="006250F1">
        <w:t>項規定：「移徙勞工及其家屬不應被集體驅逐出國（</w:t>
      </w:r>
      <w:r w:rsidR="00203F72" w:rsidRPr="006250F1">
        <w:t>shall not be subject to measures of collective expulsion</w:t>
      </w:r>
      <w:r w:rsidR="00203F72" w:rsidRPr="006250F1">
        <w:t>），驅逐出國的案件須個案審查及決定。」由本公</w:t>
      </w:r>
      <w:r w:rsidR="00F962A7" w:rsidRPr="006250F1">
        <w:t>約</w:t>
      </w:r>
      <w:hyperlink r:id="rId1893" w:anchor="a22"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22</w:t>
        </w:r>
        <w:r w:rsidR="00F962A7" w:rsidRPr="00F962A7">
          <w:rPr>
            <w:rStyle w:val="a5"/>
            <w:rFonts w:ascii="Times New Roman" w:eastAsia="新細明體" w:hAnsi="Times New Roman"/>
          </w:rPr>
          <w:t>條</w:t>
        </w:r>
      </w:hyperlink>
      <w:r w:rsidR="00203F72" w:rsidRPr="006250F1">
        <w:t>第</w:t>
      </w:r>
      <w:r w:rsidR="00203F72" w:rsidRPr="006250F1">
        <w:t>1</w:t>
      </w:r>
      <w:r w:rsidR="00203F72" w:rsidRPr="006250F1">
        <w:t>項之規範，可得知文明的國家，在驅逐外勞時，禁止使用「集體驅逐出國」之不文明手段。本公</w:t>
      </w:r>
      <w:r w:rsidR="00F962A7" w:rsidRPr="006250F1">
        <w:t>約</w:t>
      </w:r>
      <w:hyperlink r:id="rId1894" w:anchor="a22"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22</w:t>
        </w:r>
        <w:r w:rsidR="00F962A7" w:rsidRPr="00F962A7">
          <w:rPr>
            <w:rStyle w:val="a5"/>
            <w:rFonts w:ascii="Times New Roman" w:eastAsia="新細明體" w:hAnsi="Times New Roman"/>
          </w:rPr>
          <w:t>條</w:t>
        </w:r>
      </w:hyperlink>
      <w:r w:rsidR="00203F72" w:rsidRPr="006250F1">
        <w:t>第</w:t>
      </w:r>
      <w:r w:rsidR="00203F72" w:rsidRPr="006250F1">
        <w:t>2</w:t>
      </w:r>
      <w:r w:rsidR="00203F72" w:rsidRPr="006250F1">
        <w:t>項規範：「只有經合格當局依法做出的決定（</w:t>
      </w:r>
      <w:r w:rsidR="00203F72" w:rsidRPr="006250F1">
        <w:t>a decision taken by the competent authority in accordance with law</w:t>
      </w:r>
      <w:r w:rsidR="00203F72" w:rsidRPr="006250F1">
        <w:t>），移徙勞工及其家屬才能從會員國領土被驅逐出國」。由此項之規範，顯示出驅逐外勞須經正當的法律程序，在程序法上，須依照法律之相關規定行之；在組織法上，作出驅逐出國之機關，須是具有「合格」之能力。</w:t>
      </w:r>
      <w:r w:rsidR="00203F72" w:rsidRPr="006250F1">
        <w:cr/>
      </w:r>
      <w:r w:rsidRPr="006250F1">
        <w:t xml:space="preserve">　　</w:t>
      </w:r>
      <w:r w:rsidR="00203F72" w:rsidRPr="006250F1">
        <w:t>「</w:t>
      </w:r>
      <w:r w:rsidR="00203F72" w:rsidRPr="006250F1">
        <w:t>1990</w:t>
      </w:r>
      <w:r w:rsidR="00203F72" w:rsidRPr="006250F1">
        <w:t>年所有移徙勞工及其家屬權利保障公約」</w:t>
      </w:r>
      <w:hyperlink r:id="rId1895" w:anchor="a22"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22</w:t>
        </w:r>
        <w:r w:rsidR="00F962A7" w:rsidRPr="00F962A7">
          <w:rPr>
            <w:rStyle w:val="a5"/>
            <w:rFonts w:ascii="Times New Roman" w:eastAsia="新細明體" w:hAnsi="Times New Roman"/>
          </w:rPr>
          <w:t>條</w:t>
        </w:r>
      </w:hyperlink>
      <w:r w:rsidR="00203F72" w:rsidRPr="006250F1">
        <w:t>第</w:t>
      </w:r>
      <w:r w:rsidR="00203F72" w:rsidRPr="006250F1">
        <w:t>3</w:t>
      </w:r>
      <w:r w:rsidR="00203F72" w:rsidRPr="006250F1">
        <w:t>項規定：「該驅逐出國決定必須以其所瞭解的語言告知他們，並以書面告知，且除非基於國家安全的理由外，應告知該決定的理由；當事人在該決定之前，或至遲在該決定當時，應被告知有此些權利。」根據本項之規定，在國際人權法，最新的發展趨勢，某一個國家在驅逐外勞時，應以書面告知理由（</w:t>
      </w:r>
      <w:r w:rsidR="00203F72" w:rsidRPr="006250F1">
        <w:t>the decision shall be communicated to them in writing</w:t>
      </w:r>
      <w:r w:rsidR="00203F72" w:rsidRPr="006250F1">
        <w:t>），但有例外條款，如有「國家安全」的理由（</w:t>
      </w:r>
      <w:r w:rsidR="00203F72" w:rsidRPr="006250F1">
        <w:t>on account of h national security</w:t>
      </w:r>
      <w:r w:rsidR="00203F72" w:rsidRPr="006250F1">
        <w:t>），則無需告知當事人理由。本公</w:t>
      </w:r>
      <w:r w:rsidR="00F962A7" w:rsidRPr="006250F1">
        <w:t>約</w:t>
      </w:r>
      <w:hyperlink r:id="rId1896" w:anchor="a22"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22</w:t>
        </w:r>
        <w:r w:rsidR="00F962A7" w:rsidRPr="00F962A7">
          <w:rPr>
            <w:rStyle w:val="a5"/>
            <w:rFonts w:ascii="Times New Roman" w:eastAsia="新細明體" w:hAnsi="Times New Roman"/>
          </w:rPr>
          <w:t>條</w:t>
        </w:r>
      </w:hyperlink>
      <w:r w:rsidR="00203F72" w:rsidRPr="006250F1">
        <w:t>第</w:t>
      </w:r>
      <w:r w:rsidR="00203F72" w:rsidRPr="006250F1">
        <w:t>4</w:t>
      </w:r>
      <w:r w:rsidR="00203F72" w:rsidRPr="006250F1">
        <w:t>項規定：「除非經司法當局之最終決定，當事人有權提出反對驅逐出國之理由，及使其案件經合格當局複審，但基於國家安全所必要者除外。在復審中，當事人有尋求居留之權。」根據本項之規範，遭受驅逐出國之外勞，其有提出「複審」之權利（</w:t>
      </w:r>
      <w:r w:rsidR="00203F72" w:rsidRPr="006250F1">
        <w:t>to have his or her case reviewed by the competent authority</w:t>
      </w:r>
      <w:r w:rsidR="00203F72" w:rsidRPr="006250F1">
        <w:t>），本公約對審查機關亦作出明確規範，司法機關擁有最後的司法審查權限。</w:t>
      </w:r>
      <w:r w:rsidR="00203F72" w:rsidRPr="006250F1">
        <w:cr/>
      </w:r>
      <w:r w:rsidRPr="006250F1">
        <w:t xml:space="preserve">　　</w:t>
      </w:r>
      <w:r w:rsidR="00203F72" w:rsidRPr="006250F1">
        <w:t>六、庇護（</w:t>
      </w:r>
      <w:r w:rsidR="00203F72" w:rsidRPr="006250F1">
        <w:t>asylum</w:t>
      </w:r>
      <w:r w:rsidR="00203F72" w:rsidRPr="006250F1">
        <w:t>）</w:t>
      </w:r>
      <w:r w:rsidR="00203F72" w:rsidRPr="006250F1">
        <w:cr/>
      </w:r>
      <w:r w:rsidRPr="006250F1">
        <w:t xml:space="preserve">　　</w:t>
      </w:r>
      <w:r w:rsidR="00203F72" w:rsidRPr="006250F1">
        <w:t>學者</w:t>
      </w:r>
      <w:r w:rsidR="00203F72" w:rsidRPr="006250F1">
        <w:t>Jennings &amp; Watts</w:t>
      </w:r>
      <w:r w:rsidR="00203F72" w:rsidRPr="006250F1">
        <w:t>兩人認為所謂的「庇護權」（</w:t>
      </w:r>
      <w:r w:rsidR="00203F72" w:rsidRPr="006250F1">
        <w:t>right of asylum</w:t>
      </w:r>
      <w:r w:rsidR="00203F72" w:rsidRPr="006250F1">
        <w:t>），並不表示外國人有權要求進入某一國，並要求其給與保護及庇護。雖然，有些國家的憲法規定因政治理由對於被迫害的人，將給與庇護，如</w:t>
      </w:r>
      <w:r w:rsidR="00203F72" w:rsidRPr="006250F1">
        <w:t>1947</w:t>
      </w:r>
      <w:r w:rsidR="00203F72" w:rsidRPr="006250F1">
        <w:t>年義大利憲法第</w:t>
      </w:r>
      <w:r w:rsidR="00203F72" w:rsidRPr="006250F1">
        <w:t>10</w:t>
      </w:r>
      <w:r w:rsidR="00203F72" w:rsidRPr="006250F1">
        <w:t>條以及</w:t>
      </w:r>
      <w:r w:rsidR="00203F72" w:rsidRPr="006250F1">
        <w:t>1949</w:t>
      </w:r>
      <w:r w:rsidR="00203F72" w:rsidRPr="006250F1">
        <w:t>年德國憲法第</w:t>
      </w:r>
      <w:r w:rsidR="00203F72" w:rsidRPr="006250F1">
        <w:t>16</w:t>
      </w:r>
      <w:r w:rsidR="00203F72" w:rsidRPr="006250F1">
        <w:t>條，但這些規定尚未成為國際法的一部份</w:t>
      </w:r>
      <w:r w:rsidR="00203F72" w:rsidRPr="006250F1">
        <w:footnoteReference w:id="645"/>
      </w:r>
      <w:r w:rsidR="00203F72" w:rsidRPr="006250F1">
        <w:t>。「世界人權宣言」</w:t>
      </w:r>
      <w:hyperlink r:id="rId1897" w:anchor="a14" w:history="1">
        <w:r w:rsidR="00203F72" w:rsidRPr="00F962A7">
          <w:rPr>
            <w:rStyle w:val="a5"/>
            <w:rFonts w:ascii="Times New Roman" w:eastAsia="新細明體" w:hAnsi="Times New Roman"/>
          </w:rPr>
          <w:t>第</w:t>
        </w:r>
        <w:r w:rsidR="00203F72" w:rsidRPr="00F962A7">
          <w:rPr>
            <w:rStyle w:val="a5"/>
            <w:rFonts w:ascii="Times New Roman" w:eastAsia="新細明體" w:hAnsi="Times New Roman"/>
          </w:rPr>
          <w:t>14</w:t>
        </w:r>
        <w:r w:rsidR="00203F72" w:rsidRPr="00F962A7">
          <w:rPr>
            <w:rStyle w:val="a5"/>
            <w:rFonts w:ascii="Times New Roman" w:eastAsia="新細明體" w:hAnsi="Times New Roman"/>
          </w:rPr>
          <w:t>條</w:t>
        </w:r>
      </w:hyperlink>
      <w:r w:rsidR="00203F72" w:rsidRPr="006250F1">
        <w:t>規定：「一、人人為避免迫害有權在他國尋求並享有受庇護的自由；二、控訴之確源於非政治性的犯罪，或源於違反聯合國宗旨與原則之行為者，不得享受此種權利。」但學者認為此規定並不表示個人有接受庇護的權利</w:t>
      </w:r>
      <w:r w:rsidR="00203F72" w:rsidRPr="006250F1">
        <w:footnoteReference w:id="646"/>
      </w:r>
      <w:r w:rsidR="00203F72" w:rsidRPr="006250F1">
        <w:t>。在現在所謂庇護權應只是指每個國家有權可以允許被迫害的外國人入國與繼續留其其領土上，國家對其入國也可以課加條件</w:t>
      </w:r>
      <w:r w:rsidR="00203F72" w:rsidRPr="006250F1">
        <w:footnoteReference w:id="647"/>
      </w:r>
      <w:r w:rsidR="00203F72" w:rsidRPr="006250F1">
        <w:t>。在此須加以留意的，</w:t>
      </w:r>
      <w:r w:rsidR="00203F72" w:rsidRPr="006250F1">
        <w:t>1966</w:t>
      </w:r>
      <w:r w:rsidR="00203F72" w:rsidRPr="006250F1">
        <w:t>年</w:t>
      </w:r>
      <w:r w:rsidR="00203F72" w:rsidRPr="006250F1">
        <w:t>12</w:t>
      </w:r>
      <w:r w:rsidR="00203F72" w:rsidRPr="006250F1">
        <w:t>月</w:t>
      </w:r>
      <w:r w:rsidR="00203F72" w:rsidRPr="006250F1">
        <w:t>9</w:t>
      </w:r>
      <w:r w:rsidR="00203F72" w:rsidRPr="006250F1">
        <w:t>日聯合國大會通過的「公民與政治權利國際公約」中，並未規定個人有庇護權</w:t>
      </w:r>
      <w:r w:rsidR="00203F72" w:rsidRPr="006250F1">
        <w:footnoteReference w:id="648"/>
      </w:r>
      <w:r w:rsidR="00203F72" w:rsidRPr="006250F1">
        <w:t>。</w:t>
      </w:r>
      <w:r w:rsidR="00203F72" w:rsidRPr="006250F1">
        <w:cr/>
      </w:r>
      <w:r w:rsidRPr="006250F1">
        <w:t xml:space="preserve">　　</w:t>
      </w:r>
      <w:r w:rsidR="00203F72" w:rsidRPr="006250F1">
        <w:t>另外，根據</w:t>
      </w:r>
      <w:r w:rsidR="00203F72" w:rsidRPr="006250F1">
        <w:t>Starke</w:t>
      </w:r>
      <w:r w:rsidR="00203F72" w:rsidRPr="006250F1">
        <w:t>及</w:t>
      </w:r>
      <w:r w:rsidR="00203F72" w:rsidRPr="006250F1">
        <w:t>Shearer</w:t>
      </w:r>
      <w:r w:rsidR="00203F72" w:rsidRPr="006250F1">
        <w:t>等人的看法，亦與</w:t>
      </w:r>
      <w:r w:rsidR="00203F72" w:rsidRPr="006250F1">
        <w:t>Jennings</w:t>
      </w:r>
      <w:r w:rsidR="00203F72" w:rsidRPr="006250F1">
        <w:t>及</w:t>
      </w:r>
      <w:r w:rsidR="00203F72" w:rsidRPr="006250F1">
        <w:t>Watts</w:t>
      </w:r>
      <w:r w:rsidR="00203F72" w:rsidRPr="006250F1">
        <w:t>的看法相同。</w:t>
      </w:r>
      <w:r w:rsidR="00203F72" w:rsidRPr="006250F1">
        <w:t>Starke</w:t>
      </w:r>
      <w:r w:rsidR="00203F72" w:rsidRPr="006250F1">
        <w:t>及</w:t>
      </w:r>
      <w:r w:rsidR="00203F72" w:rsidRPr="006250F1">
        <w:t>Shearer</w:t>
      </w:r>
      <w:r w:rsidR="00203F72" w:rsidRPr="006250F1">
        <w:t>認為或有人主張難民有「受庇護權」，這是不正確的看法，因為難民在國際法中，沒有強制權利，以享有庇護。唯一涉及的國際法律權利，是避難國本身允許的庇護。內國法律體系（例如：法國、德國及義大利的憲法）有時的確規範對個人逃離迫害的庇護權，而現代國際機制規定個人有逃離迫害的庇護權之條文，係在「</w:t>
      </w:r>
      <w:r w:rsidR="00203F72" w:rsidRPr="006250F1">
        <w:t>1948</w:t>
      </w:r>
      <w:r w:rsidR="00203F72" w:rsidRPr="006250F1">
        <w:t>年世界人權宣言」（</w:t>
      </w:r>
      <w:r w:rsidR="00203F72" w:rsidRPr="006250F1">
        <w:t>the Universal Declaration of Human Rights 1948</w:t>
      </w:r>
      <w:r w:rsidR="00203F72" w:rsidRPr="006250F1">
        <w:t>）</w:t>
      </w:r>
      <w:hyperlink r:id="rId1898" w:anchor="a14"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14</w:t>
        </w:r>
        <w:r w:rsidR="00F962A7" w:rsidRPr="00F962A7">
          <w:rPr>
            <w:rStyle w:val="a5"/>
            <w:rFonts w:ascii="Times New Roman" w:eastAsia="新細明體" w:hAnsi="Times New Roman"/>
          </w:rPr>
          <w:t>條</w:t>
        </w:r>
      </w:hyperlink>
      <w:r w:rsidR="00203F72" w:rsidRPr="006250F1">
        <w:t>之中，它只是非強勢地訴諸「尋求」庇護權。但是到目前為止，國際法並未保障個人此種權利，雖然聯合國大會在</w:t>
      </w:r>
      <w:r w:rsidR="00203F72" w:rsidRPr="006250F1">
        <w:t>1967</w:t>
      </w:r>
      <w:r w:rsidR="00203F72" w:rsidRPr="006250F1">
        <w:t>年</w:t>
      </w:r>
      <w:r w:rsidR="00203F72" w:rsidRPr="006250F1">
        <w:t>12</w:t>
      </w:r>
      <w:r w:rsidR="00203F72" w:rsidRPr="006250F1">
        <w:t>月</w:t>
      </w:r>
      <w:r w:rsidR="00203F72" w:rsidRPr="006250F1">
        <w:t>14</w:t>
      </w:r>
      <w:r w:rsidR="00203F72" w:rsidRPr="006250F1">
        <w:t>日通過「領土庇護宣言」（</w:t>
      </w:r>
      <w:r w:rsidR="00203F72" w:rsidRPr="006250F1">
        <w:t>Declaration on Territorial Asylum</w:t>
      </w:r>
      <w:r w:rsidR="00203F72" w:rsidRPr="006250F1">
        <w:t>），它建議國家在其實踐中所應遵循的一些標準與期望，但因上述係為「宣言」之性質，並非公約，僅係聯合國大會之「建議」而已，為瞭解決這個缺憾，聯合國在</w:t>
      </w:r>
      <w:r w:rsidR="00203F72" w:rsidRPr="006250F1">
        <w:t>1974</w:t>
      </w:r>
      <w:r w:rsidR="00203F72" w:rsidRPr="006250F1">
        <w:t>年至</w:t>
      </w:r>
      <w:r w:rsidR="00203F72" w:rsidRPr="006250F1">
        <w:t>1975</w:t>
      </w:r>
      <w:r w:rsidR="00203F72" w:rsidRPr="006250F1">
        <w:t>年間，經由聯合國大會，一群專家及聯合國秘書長之努力，產生一份「領土庇護公約草案」，該公約草案中，肯定庇護之絕對權利的給予。該公約草案第一條承認庇護之允許屬於一國的主權權利，但締約國應「以人道精神」盡最大的努力，以允許在該公約草案下有資格的人，在其領土內受到庇護，而其理由是因為恐懼受到迫害，或因恐懼於列在第二條中的理由而被懲罰</w:t>
      </w:r>
      <w:r w:rsidR="00203F72" w:rsidRPr="006250F1">
        <w:footnoteReference w:id="649"/>
      </w:r>
      <w:r w:rsidR="00203F72" w:rsidRPr="006250F1">
        <w:t>。</w:t>
      </w:r>
      <w:r w:rsidR="00203F72" w:rsidRPr="006250F1">
        <w:cr/>
      </w:r>
      <w:r w:rsidRPr="006250F1">
        <w:t xml:space="preserve">　　</w:t>
      </w:r>
      <w:r w:rsidR="00203F72" w:rsidRPr="006250F1">
        <w:t>上述「領土庇護公約草案」的內容，成為</w:t>
      </w:r>
      <w:r w:rsidR="00203F72" w:rsidRPr="006250F1">
        <w:t>1977</w:t>
      </w:r>
      <w:r w:rsidR="00203F72" w:rsidRPr="006250F1">
        <w:t>年日內瓦所舉行，而有</w:t>
      </w:r>
      <w:r w:rsidR="00203F72" w:rsidRPr="006250F1">
        <w:t>85</w:t>
      </w:r>
      <w:r w:rsidR="00203F72" w:rsidRPr="006250F1">
        <w:t>個國家參加的領土庇護之聯合國會議（</w:t>
      </w:r>
      <w:r w:rsidR="00203F72" w:rsidRPr="006250F1">
        <w:t>the United Nations Conference on Territorial Asylum</w:t>
      </w:r>
      <w:r w:rsidR="00203F72" w:rsidRPr="006250F1">
        <w:t>）所共同討論之基礎，該會議正是為了通過一個關於這項議題的公約而召開的。但是，很可惜的，該次會議未達成任何共識便結束。故，有關於庇護之議題，其必然的結果，便是肯定一國根據其本國內部法律、政策及實踐，而允許或拒絕庇護之自由裁量權，其具有不受限制的性質</w:t>
      </w:r>
      <w:r w:rsidR="00203F72" w:rsidRPr="006250F1">
        <w:footnoteReference w:id="650"/>
      </w:r>
      <w:r w:rsidR="00203F72" w:rsidRPr="006250F1">
        <w:t>。</w:t>
      </w:r>
      <w:r w:rsidR="00203F72" w:rsidRPr="006250F1">
        <w:cr/>
      </w:r>
      <w:r w:rsidRPr="006250F1">
        <w:t xml:space="preserve">　　</w:t>
      </w:r>
      <w:r w:rsidR="00203F72" w:rsidRPr="006250F1">
        <w:t>七、難民（</w:t>
      </w:r>
      <w:r w:rsidR="00203F72" w:rsidRPr="006250F1">
        <w:t>Refugee</w:t>
      </w:r>
      <w:r w:rsidR="00203F72" w:rsidRPr="006250F1">
        <w:t>）</w:t>
      </w:r>
      <w:r w:rsidR="00203F72" w:rsidRPr="006250F1">
        <w:cr/>
      </w:r>
      <w:r w:rsidRPr="006250F1">
        <w:t xml:space="preserve">　　</w:t>
      </w:r>
      <w:r w:rsidR="00203F72" w:rsidRPr="006250F1">
        <w:t>1951</w:t>
      </w:r>
      <w:r w:rsidR="00203F72" w:rsidRPr="006250F1">
        <w:t>年</w:t>
      </w:r>
      <w:r w:rsidR="00203F72" w:rsidRPr="006250F1">
        <w:t>7</w:t>
      </w:r>
      <w:r w:rsidR="00203F72" w:rsidRPr="006250F1">
        <w:t>月</w:t>
      </w:r>
      <w:r w:rsidR="00203F72" w:rsidRPr="006250F1">
        <w:t>28</w:t>
      </w:r>
      <w:r w:rsidR="00203F72" w:rsidRPr="006250F1">
        <w:t>日聯合國主持召開外交會議，通過「</w:t>
      </w:r>
      <w:hyperlink r:id="rId1899" w:history="1">
        <w:r w:rsidR="00203F72" w:rsidRPr="007236E0">
          <w:rPr>
            <w:rStyle w:val="a5"/>
            <w:rFonts w:ascii="Times New Roman" w:eastAsia="新細明體" w:hAnsi="Times New Roman"/>
          </w:rPr>
          <w:t>難民地位公約</w:t>
        </w:r>
      </w:hyperlink>
      <w:r w:rsidR="00203F72" w:rsidRPr="006250F1">
        <w:t>」（</w:t>
      </w:r>
      <w:r w:rsidR="00203F72" w:rsidRPr="006250F1">
        <w:t>Convention Relating to the Status of Refugees</w:t>
      </w:r>
      <w:r w:rsidR="00203F72" w:rsidRPr="006250F1">
        <w:t>），這個公約對難民地位有廣泛的規定。最初，這個公約只適用於在</w:t>
      </w:r>
      <w:r w:rsidR="00203F72" w:rsidRPr="006250F1">
        <w:t>1951</w:t>
      </w:r>
      <w:r w:rsidR="00203F72" w:rsidRPr="006250F1">
        <w:t>年</w:t>
      </w:r>
      <w:r w:rsidR="00203F72" w:rsidRPr="006250F1">
        <w:t>1</w:t>
      </w:r>
      <w:r w:rsidR="00203F72" w:rsidRPr="006250F1">
        <w:t>月</w:t>
      </w:r>
      <w:r w:rsidR="00203F72" w:rsidRPr="006250F1">
        <w:t>1</w:t>
      </w:r>
      <w:r w:rsidR="00203F72" w:rsidRPr="006250F1">
        <w:t>日以前發生的事情而造成的難民，且締約國可以在簽字、批准或加入時附加保留將公約只適用在歐洲地區發生的事情（難民地位公約</w:t>
      </w:r>
      <w:hyperlink r:id="rId1900" w:anchor="a1" w:history="1">
        <w:r w:rsidR="00203F72" w:rsidRPr="00EA6DAC">
          <w:rPr>
            <w:rStyle w:val="a5"/>
            <w:rFonts w:ascii="Times New Roman" w:eastAsia="新細明體" w:hAnsi="Times New Roman"/>
          </w:rPr>
          <w:t>第一條</w:t>
        </w:r>
      </w:hyperlink>
      <w:r w:rsidR="00203F72" w:rsidRPr="006250F1">
        <w:t>）。但在</w:t>
      </w:r>
      <w:r w:rsidR="00203F72" w:rsidRPr="006250F1">
        <w:t>1967</w:t>
      </w:r>
      <w:r w:rsidR="00203F72" w:rsidRPr="006250F1">
        <w:t>年</w:t>
      </w:r>
      <w:r w:rsidR="00203F72" w:rsidRPr="006250F1">
        <w:t>1</w:t>
      </w:r>
      <w:r w:rsidR="00203F72" w:rsidRPr="006250F1">
        <w:t>月</w:t>
      </w:r>
      <w:r w:rsidR="00203F72" w:rsidRPr="006250F1">
        <w:t>31</w:t>
      </w:r>
      <w:r w:rsidR="00203F72" w:rsidRPr="006250F1">
        <w:t>日又訂立「關於難民地位議定書」（</w:t>
      </w:r>
      <w:r w:rsidR="00203F72" w:rsidRPr="006250F1">
        <w:t>Protocol Relating to the Status of Refugees</w:t>
      </w:r>
      <w:r w:rsidR="00203F72" w:rsidRPr="006250F1">
        <w:t>），排除上述的限制</w:t>
      </w:r>
      <w:r w:rsidR="00203F72" w:rsidRPr="006250F1">
        <w:footnoteReference w:id="651"/>
      </w:r>
      <w:r w:rsidR="00203F72" w:rsidRPr="006250F1">
        <w:t>。國際法學者</w:t>
      </w:r>
      <w:r w:rsidR="00203F72" w:rsidRPr="006250F1">
        <w:t>Starke</w:t>
      </w:r>
      <w:r w:rsidR="00203F72" w:rsidRPr="006250F1">
        <w:t>及</w:t>
      </w:r>
      <w:r w:rsidR="00203F72" w:rsidRPr="006250F1">
        <w:t>Shearer</w:t>
      </w:r>
      <w:r w:rsidR="00203F72" w:rsidRPr="006250F1">
        <w:t>兩人對上述「難民地位公約」提出批判，其認為該公約並未制定關於難民法這種更加重要之規定，亦即，在何種情況，一個尋求以難民身份進入一國的個人可被承認，並藉由其所根據的難民身份，而可獲得永久或暫時的庇護。這個重要的議題（如何認定難民身份及可被承認）目前仍然只由內國法律來實踐；各國顯然大部份都不願意將其國家主權置於必須接受任何難民之國際標準義務之下，這無疑地是由於害怕其可能被無法忍受的難民潮給淹沒</w:t>
      </w:r>
      <w:r w:rsidR="00203F72" w:rsidRPr="006250F1">
        <w:footnoteReference w:id="652"/>
      </w:r>
      <w:r w:rsidR="00203F72" w:rsidRPr="006250F1">
        <w:t>。</w:t>
      </w:r>
      <w:r w:rsidR="00203F72" w:rsidRPr="006250F1">
        <w:cr/>
      </w:r>
      <w:r w:rsidRPr="006250F1">
        <w:t xml:space="preserve">　　</w:t>
      </w:r>
      <w:r w:rsidR="00203F72" w:rsidRPr="006250F1">
        <w:t>但該公約的確達成一項特別重要的原則，亦即，該公約</w:t>
      </w:r>
      <w:hyperlink r:id="rId1901" w:anchor="a33" w:history="1">
        <w:r w:rsidR="00203F72" w:rsidRPr="007236E0">
          <w:rPr>
            <w:rStyle w:val="a5"/>
            <w:rFonts w:ascii="Times New Roman" w:eastAsia="新細明體" w:hAnsi="Times New Roman"/>
          </w:rPr>
          <w:t>第</w:t>
        </w:r>
        <w:r w:rsidR="00203F72" w:rsidRPr="007236E0">
          <w:rPr>
            <w:rStyle w:val="a5"/>
            <w:rFonts w:ascii="Times New Roman" w:eastAsia="新細明體" w:hAnsi="Times New Roman"/>
          </w:rPr>
          <w:t>33</w:t>
        </w:r>
        <w:r w:rsidR="00203F72" w:rsidRPr="007236E0">
          <w:rPr>
            <w:rStyle w:val="a5"/>
            <w:rFonts w:ascii="Times New Roman" w:eastAsia="新細明體" w:hAnsi="Times New Roman"/>
          </w:rPr>
          <w:t>條</w:t>
        </w:r>
      </w:hyperlink>
      <w:r w:rsidR="00203F72" w:rsidRPr="006250F1">
        <w:t>規定，即使是為了任何理由使一國不再希望能將一難民留在其境內，它也「不能以任何方式，將該難民驅逐或遣返至其生命可能因其種族、宗教、國籍，某特定社會團體成員身分或政治立場而受威脅的領土邊境上」（難民地位公</w:t>
      </w:r>
      <w:r w:rsidR="007236E0" w:rsidRPr="006250F1">
        <w:t>約</w:t>
      </w:r>
      <w:hyperlink r:id="rId1902" w:anchor="a33" w:history="1">
        <w:r w:rsidR="007236E0" w:rsidRPr="007236E0">
          <w:rPr>
            <w:rStyle w:val="a5"/>
            <w:rFonts w:ascii="Times New Roman" w:eastAsia="新細明體" w:hAnsi="Times New Roman"/>
          </w:rPr>
          <w:t>第</w:t>
        </w:r>
        <w:r w:rsidR="007236E0" w:rsidRPr="007236E0">
          <w:rPr>
            <w:rStyle w:val="a5"/>
            <w:rFonts w:ascii="Times New Roman" w:eastAsia="新細明體" w:hAnsi="Times New Roman"/>
          </w:rPr>
          <w:t>33</w:t>
        </w:r>
        <w:r w:rsidR="007236E0" w:rsidRPr="007236E0">
          <w:rPr>
            <w:rStyle w:val="a5"/>
            <w:rFonts w:ascii="Times New Roman" w:eastAsia="新細明體" w:hAnsi="Times New Roman"/>
          </w:rPr>
          <w:t>條</w:t>
        </w:r>
      </w:hyperlink>
      <w:r w:rsidR="00203F72" w:rsidRPr="006250F1">
        <w:t>第</w:t>
      </w:r>
      <w:r w:rsidR="00203F72" w:rsidRPr="006250F1">
        <w:t>1</w:t>
      </w:r>
      <w:r w:rsidR="00203F72" w:rsidRPr="006250F1">
        <w:t>項）。這個條文今日已被認為是具有拘束性普遍國際法規則的法律地位。然而，同樣之缺點，仍是</w:t>
      </w:r>
      <w:hyperlink r:id="rId1903" w:anchor="a33" w:history="1">
        <w:r w:rsidR="007236E0" w:rsidRPr="007236E0">
          <w:rPr>
            <w:rStyle w:val="a5"/>
            <w:rFonts w:ascii="Times New Roman" w:eastAsia="新細明體" w:hAnsi="Times New Roman"/>
          </w:rPr>
          <w:t>第</w:t>
        </w:r>
        <w:r w:rsidR="007236E0" w:rsidRPr="007236E0">
          <w:rPr>
            <w:rStyle w:val="a5"/>
            <w:rFonts w:ascii="Times New Roman" w:eastAsia="新細明體" w:hAnsi="Times New Roman"/>
          </w:rPr>
          <w:t>33</w:t>
        </w:r>
        <w:r w:rsidR="007236E0" w:rsidRPr="007236E0">
          <w:rPr>
            <w:rStyle w:val="a5"/>
            <w:rFonts w:ascii="Times New Roman" w:eastAsia="新細明體" w:hAnsi="Times New Roman"/>
          </w:rPr>
          <w:t>條</w:t>
        </w:r>
      </w:hyperlink>
      <w:r w:rsidR="00203F72" w:rsidRPr="006250F1">
        <w:t>只有在當地國根據本公約第一條之定義所承認的難民情況下，才可適用。但公約對於決定承認難民身分之程序，卻沒有加以制定。雖然上開公</w:t>
      </w:r>
      <w:r w:rsidR="00845281" w:rsidRPr="006250F1">
        <w:t>約</w:t>
      </w:r>
      <w:hyperlink r:id="rId1904" w:anchor="a33" w:history="1">
        <w:r w:rsidR="00845281" w:rsidRPr="007236E0">
          <w:rPr>
            <w:rStyle w:val="a5"/>
            <w:rFonts w:ascii="Times New Roman" w:eastAsia="新細明體" w:hAnsi="Times New Roman"/>
          </w:rPr>
          <w:t>第</w:t>
        </w:r>
        <w:r w:rsidR="00845281" w:rsidRPr="007236E0">
          <w:rPr>
            <w:rStyle w:val="a5"/>
            <w:rFonts w:ascii="Times New Roman" w:eastAsia="新細明體" w:hAnsi="Times New Roman"/>
          </w:rPr>
          <w:t>33</w:t>
        </w:r>
        <w:r w:rsidR="00845281" w:rsidRPr="007236E0">
          <w:rPr>
            <w:rStyle w:val="a5"/>
            <w:rFonts w:ascii="Times New Roman" w:eastAsia="新細明體" w:hAnsi="Times New Roman"/>
          </w:rPr>
          <w:t>條</w:t>
        </w:r>
      </w:hyperlink>
      <w:r w:rsidR="00203F72" w:rsidRPr="006250F1">
        <w:t>具有法律及道德意義，但在實際上要確保其被遵行時，仍有困難。面對難民的龐大壓力，有些國家已經訴諸逐出或驅逐的強制手段，或藉由阻卻更多難民的湧入，而將難民身份申請者扣留在嚴格管理的集中營內。在極少數之案例中，有些國家甚至利用軍事武力「侵入」難民之母國，以積極之手段，阻止難民湧入，如</w:t>
      </w:r>
      <w:r w:rsidR="00203F72" w:rsidRPr="006250F1">
        <w:t>2003</w:t>
      </w:r>
      <w:r w:rsidR="00203F72" w:rsidRPr="006250F1">
        <w:t>年</w:t>
      </w:r>
      <w:r w:rsidR="00203F72" w:rsidRPr="006250F1">
        <w:t>3</w:t>
      </w:r>
      <w:r w:rsidR="00203F72" w:rsidRPr="006250F1">
        <w:t>月、</w:t>
      </w:r>
      <w:r w:rsidR="00203F72" w:rsidRPr="006250F1">
        <w:t>4</w:t>
      </w:r>
      <w:r w:rsidR="00203F72" w:rsidRPr="006250F1">
        <w:t>月的美、伊戰爭，土耳其為了避免伊拉克北部的庫德族難民大量湧入，在庫德族難民尚未進入土耳其之前，即派軍先行監控庫德族，此種不人道之作法，已違反國際法，實不足取。</w:t>
      </w:r>
    </w:p>
    <w:p w14:paraId="17A89351" w14:textId="77777777" w:rsidR="00203F72" w:rsidRDefault="00C35D4A" w:rsidP="00D87D91">
      <w:r w:rsidRPr="006250F1">
        <w:t xml:space="preserve">　　</w:t>
      </w:r>
      <w:r w:rsidR="00203F72" w:rsidRPr="006250F1">
        <w:t>聯合國「難民高級專員」（</w:t>
      </w:r>
      <w:r w:rsidR="00203F72" w:rsidRPr="006250F1">
        <w:t>the United Nations High Commissioner for Refugees UNHCR</w:t>
      </w:r>
      <w:r w:rsidR="00203F72" w:rsidRPr="006250F1">
        <w:t>）及其他相關的人權團體組織，已經引入一種「暫時難民」的概念，亦即在技術意義上並不受庇護或具難民身份，但具有「申請者地位」之確認，以及可尋求之「可接受之解決方案」，例如像定居到第三國或甚至最後被遣返。這個概念的目的，在於它可減輕國家對必須在不確定期間內照顧難民之負擔的恐懼。聯合國難民高級專員積極地為取得「暫時難民身份」的人，在其他國家尋找安置地點，並在國際團結的原則下，呼籲各國實質地援助減輕此一已變成世界性的重要問題</w:t>
      </w:r>
      <w:r w:rsidR="00203F72" w:rsidRPr="006250F1">
        <w:footnoteReference w:id="653"/>
      </w:r>
      <w:r w:rsidR="00203F72" w:rsidRPr="006250F1">
        <w:t>。</w:t>
      </w:r>
      <w:r w:rsidR="00203F72" w:rsidRPr="006250F1">
        <w:cr/>
      </w:r>
    </w:p>
    <w:p w14:paraId="392835CF" w14:textId="77777777" w:rsidR="006250F1" w:rsidRPr="006250F1" w:rsidRDefault="006250F1" w:rsidP="00F962A7">
      <w:pPr>
        <w:jc w:val="right"/>
      </w:pPr>
      <w:r w:rsidRPr="0026266A">
        <w:rPr>
          <w:rFonts w:hint="eastAsia"/>
        </w:rPr>
        <w:t>。。。。。。。。。。。。。。。。。。。。。。。。。</w:t>
      </w:r>
      <w:hyperlink w:anchor="a目次35" w:history="1">
        <w:r>
          <w:rPr>
            <w:rStyle w:val="a5"/>
            <w:sz w:val="18"/>
          </w:rPr>
          <w:t>回目次</w:t>
        </w:r>
      </w:hyperlink>
      <w:r w:rsidR="00E91F89">
        <w:rPr>
          <w:rFonts w:ascii="新細明體" w:hAnsi="新細明體"/>
          <w:color w:val="808000"/>
        </w:rPr>
        <w:t>〉〉</w:t>
      </w:r>
    </w:p>
    <w:p w14:paraId="56A5268E" w14:textId="77777777" w:rsidR="00953151" w:rsidRDefault="00203F72" w:rsidP="00767F37">
      <w:pPr>
        <w:pStyle w:val="2"/>
      </w:pPr>
      <w:bookmarkStart w:id="90" w:name="_肆、我國入出國管理法制之檢討"/>
      <w:bookmarkEnd w:id="90"/>
      <w:r w:rsidRPr="00A53581">
        <w:t>肆、我國入出國管理法制之檢討</w:t>
      </w:r>
    </w:p>
    <w:p w14:paraId="18C5060E" w14:textId="77777777" w:rsidR="00953151" w:rsidRDefault="00C35D4A" w:rsidP="00D87D91">
      <w:r>
        <w:t xml:space="preserve">　　</w:t>
      </w:r>
      <w:r w:rsidR="00203F72" w:rsidRPr="00A53581">
        <w:t>由本書上述之法理為基礎，作者擬對我國入出國管理之法制，作以下之檢討與建言：</w:t>
      </w:r>
    </w:p>
    <w:p w14:paraId="59861336" w14:textId="77777777" w:rsidR="00203F72" w:rsidRPr="00A53581" w:rsidRDefault="00C35D4A" w:rsidP="00D87D91">
      <w:r>
        <w:t xml:space="preserve">　　</w:t>
      </w:r>
      <w:r w:rsidR="00203F72" w:rsidRPr="00A53581">
        <w:t>一、建構與深化政治庇護與難民法制</w:t>
      </w:r>
    </w:p>
    <w:p w14:paraId="079BED71" w14:textId="77777777" w:rsidR="00953151" w:rsidRPr="008F066C" w:rsidRDefault="00C35D4A" w:rsidP="00D87D91">
      <w:r w:rsidRPr="008F066C">
        <w:t xml:space="preserve">　　</w:t>
      </w:r>
      <w:r w:rsidR="00203F72" w:rsidRPr="008F066C">
        <w:t>在外國人之權利保障方面，最易受到忽</w:t>
      </w:r>
      <w:r w:rsidR="003E240E">
        <w:t>視</w:t>
      </w:r>
      <w:r w:rsidR="00203F72" w:rsidRPr="008F066C">
        <w:t>的，係為命運非常悲慘的難民。我國目前尚未建構正式之難民法制，不過，值得注意與令人感到慶賀的，是內政部入出國及移民署業已於民國</w:t>
      </w:r>
      <w:r w:rsidR="00203F72" w:rsidRPr="008F066C">
        <w:t>92</w:t>
      </w:r>
      <w:r w:rsidR="00203F72" w:rsidRPr="008F066C">
        <w:t>年上半年草擬及提出「難民法」草案，並邀請相關學者、專家共同參與難民法草案條文之修正</w:t>
      </w:r>
      <w:r w:rsidR="00203F72" w:rsidRPr="008F066C">
        <w:footnoteReference w:id="654"/>
      </w:r>
      <w:r w:rsidR="00203F72" w:rsidRPr="008F066C">
        <w:t>，筆者認為，我國現雖非聯合國之會員國，亦非難民公約的簽署國，在現實的國際社會中，我國願意配合世界潮流，貫徹保障人權，並遵守「世界人權宣言</w:t>
      </w:r>
      <w:r w:rsidR="00F962A7" w:rsidRPr="006250F1">
        <w:t>」</w:t>
      </w:r>
      <w:hyperlink r:id="rId1905" w:anchor="a14"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14</w:t>
        </w:r>
        <w:r w:rsidR="00F962A7" w:rsidRPr="00F962A7">
          <w:rPr>
            <w:rStyle w:val="a5"/>
            <w:rFonts w:ascii="Times New Roman" w:eastAsia="新細明體" w:hAnsi="Times New Roman"/>
          </w:rPr>
          <w:t>條</w:t>
        </w:r>
      </w:hyperlink>
      <w:r w:rsidR="00203F72" w:rsidRPr="008F066C">
        <w:t>之立法宗旨，建構難民法制，是非常值得讚許與嘉勉的人道作法，此為我國人權法制史上，極具歷史意義之重大法案，此象徵著我國對人權更深刻的重</w:t>
      </w:r>
      <w:r w:rsidR="003E240E">
        <w:t>視</w:t>
      </w:r>
      <w:r w:rsidR="00203F72" w:rsidRPr="008F066C">
        <w:t>與尊重。為了更能展現我國對人權之重</w:t>
      </w:r>
      <w:r w:rsidR="003E240E">
        <w:t>視</w:t>
      </w:r>
      <w:r w:rsidR="00203F72" w:rsidRPr="008F066C">
        <w:t>與珍惜，本書對於「難民法草案」提出以下之建言，僅供政府實務部門參考：</w:t>
      </w:r>
    </w:p>
    <w:p w14:paraId="03F0ADF8" w14:textId="77777777" w:rsidR="00203F72" w:rsidRPr="008F066C" w:rsidRDefault="00C35D4A" w:rsidP="00D87D91">
      <w:r w:rsidRPr="008F066C">
        <w:t xml:space="preserve">　　</w:t>
      </w:r>
      <w:r w:rsidR="00203F72" w:rsidRPr="008F066C">
        <w:t>(</w:t>
      </w:r>
      <w:r w:rsidR="00203F72" w:rsidRPr="008F066C">
        <w:t>一</w:t>
      </w:r>
      <w:r w:rsidR="00203F72" w:rsidRPr="008F066C">
        <w:t>)</w:t>
      </w:r>
      <w:r w:rsidR="00203F72" w:rsidRPr="008F066C">
        <w:t>適用對象：</w:t>
      </w:r>
    </w:p>
    <w:p w14:paraId="434EB31F" w14:textId="77777777" w:rsidR="00953151" w:rsidRPr="008F066C" w:rsidRDefault="00C35D4A" w:rsidP="00D87D91">
      <w:r w:rsidRPr="008F066C">
        <w:t xml:space="preserve">　　</w:t>
      </w:r>
      <w:r w:rsidR="00203F72" w:rsidRPr="008F066C">
        <w:t>根據難民法草案的總說明，難民法草案之適用對象僅限於外國人及無國籍人。令人感到惋惜的，是排除大陸地區人士及香港與澳門之居民的適用。雖然「臺灣地區與大陸地區人民關係條例」</w:t>
      </w:r>
      <w:hyperlink r:id="rId1906" w:anchor="b17" w:history="1">
        <w:r w:rsidR="00203F72" w:rsidRPr="006C2B21">
          <w:rPr>
            <w:rStyle w:val="a5"/>
            <w:rFonts w:ascii="Times New Roman" w:eastAsia="新細明體" w:hAnsi="Times New Roman"/>
          </w:rPr>
          <w:t>第</w:t>
        </w:r>
        <w:r w:rsidR="008F066C" w:rsidRPr="006C2B21">
          <w:rPr>
            <w:rStyle w:val="a5"/>
            <w:rFonts w:ascii="Times New Roman" w:eastAsia="新細明體" w:hAnsi="Times New Roman" w:hint="eastAsia"/>
          </w:rPr>
          <w:t>17</w:t>
        </w:r>
        <w:r w:rsidR="00203F72" w:rsidRPr="006C2B21">
          <w:rPr>
            <w:rStyle w:val="a5"/>
            <w:rFonts w:ascii="Times New Roman" w:eastAsia="新細明體" w:hAnsi="Times New Roman"/>
          </w:rPr>
          <w:t>條</w:t>
        </w:r>
      </w:hyperlink>
      <w:r w:rsidR="00203F72" w:rsidRPr="008F066C">
        <w:footnoteReference w:id="655"/>
      </w:r>
      <w:r w:rsidR="00203F72" w:rsidRPr="008F066C">
        <w:t>第</w:t>
      </w:r>
      <w:r w:rsidR="00203F72" w:rsidRPr="008F066C">
        <w:t>4</w:t>
      </w:r>
      <w:r w:rsidR="00203F72" w:rsidRPr="008F066C">
        <w:t>項與「香港澳門關係條例」</w:t>
      </w:r>
      <w:hyperlink r:id="rId1907" w:anchor="a18" w:history="1">
        <w:r w:rsidR="00203F72" w:rsidRPr="006C2B21">
          <w:rPr>
            <w:rStyle w:val="a5"/>
            <w:rFonts w:ascii="Times New Roman" w:eastAsia="新細明體" w:hAnsi="Times New Roman"/>
          </w:rPr>
          <w:t>第</w:t>
        </w:r>
        <w:r w:rsidR="008F066C" w:rsidRPr="006C2B21">
          <w:rPr>
            <w:rStyle w:val="a5"/>
            <w:rFonts w:ascii="Times New Roman" w:eastAsia="新細明體" w:hAnsi="Times New Roman" w:hint="eastAsia"/>
          </w:rPr>
          <w:t>18</w:t>
        </w:r>
        <w:r w:rsidR="00203F72" w:rsidRPr="006C2B21">
          <w:rPr>
            <w:rStyle w:val="a5"/>
            <w:rFonts w:ascii="Times New Roman" w:eastAsia="新細明體" w:hAnsi="Times New Roman"/>
          </w:rPr>
          <w:t>條</w:t>
        </w:r>
      </w:hyperlink>
      <w:r w:rsidR="00203F72" w:rsidRPr="008F066C">
        <w:footnoteReference w:id="656"/>
      </w:r>
      <w:r w:rsidR="00203F72" w:rsidRPr="008F066C">
        <w:t>均有若干之相關性規範，然而上述兩個法律之立法目的，均非針對難民法制，故，不宜將大陸地區人士及港澳人士排除在難民法草案之適用範圍之外。</w:t>
      </w:r>
    </w:p>
    <w:p w14:paraId="3D3A96A9" w14:textId="77777777" w:rsidR="00203F72" w:rsidRPr="008F066C" w:rsidRDefault="00C35D4A" w:rsidP="00D87D91">
      <w:r w:rsidRPr="008F066C">
        <w:t xml:space="preserve">　　</w:t>
      </w:r>
      <w:r w:rsidR="00203F72" w:rsidRPr="008F066C">
        <w:t>(</w:t>
      </w:r>
      <w:r w:rsidR="00203F72" w:rsidRPr="008F066C">
        <w:t>二</w:t>
      </w:r>
      <w:r w:rsidR="00203F72" w:rsidRPr="008F066C">
        <w:t>)</w:t>
      </w:r>
      <w:r w:rsidR="00203F72" w:rsidRPr="008F066C">
        <w:t>續行擴大及強化對難民權益之保障，用以展現我國對難民之實質性人道援助：</w:t>
      </w:r>
    </w:p>
    <w:p w14:paraId="0BB2A88A" w14:textId="77777777" w:rsidR="00953151" w:rsidRPr="00687BCD" w:rsidRDefault="00C35D4A" w:rsidP="00D87D91">
      <w:r w:rsidRPr="008F066C">
        <w:t xml:space="preserve">　　</w:t>
      </w:r>
      <w:r w:rsidR="00203F72" w:rsidRPr="008F066C">
        <w:t>根據入出國及移民署於民國</w:t>
      </w:r>
      <w:r w:rsidR="00203F72" w:rsidRPr="008F066C">
        <w:t>92</w:t>
      </w:r>
      <w:r w:rsidR="00203F72" w:rsidRPr="008F066C">
        <w:t>年上半年所提出之難民法草案規定，難民可享有的權利如下：在台居留（草案第</w:t>
      </w:r>
      <w:r w:rsidR="008F066C">
        <w:t>14</w:t>
      </w:r>
      <w:r w:rsidR="00203F72" w:rsidRPr="008F066C">
        <w:t>條第</w:t>
      </w:r>
      <w:r w:rsidR="008F066C">
        <w:t>1</w:t>
      </w:r>
      <w:r w:rsidR="00203F72" w:rsidRPr="008F066C">
        <w:t>項）、難民家屬團聚權（草案第</w:t>
      </w:r>
      <w:r w:rsidR="008F066C">
        <w:t>14</w:t>
      </w:r>
      <w:r w:rsidR="00203F72" w:rsidRPr="008F066C">
        <w:t>條第</w:t>
      </w:r>
      <w:r w:rsidR="007D50BB" w:rsidRPr="008F066C">
        <w:t>2</w:t>
      </w:r>
      <w:r w:rsidR="00203F72" w:rsidRPr="008F066C">
        <w:t>項）、重入國權（草案第</w:t>
      </w:r>
      <w:r w:rsidR="008F066C">
        <w:t>14</w:t>
      </w:r>
      <w:r w:rsidR="00203F72" w:rsidRPr="008F066C">
        <w:t>條第</w:t>
      </w:r>
      <w:r w:rsidR="007D50BB" w:rsidRPr="008F066C">
        <w:t>3</w:t>
      </w:r>
      <w:r w:rsidR="00203F72" w:rsidRPr="008F066C">
        <w:t>項）、參加健保及就業權（草案第</w:t>
      </w:r>
      <w:r w:rsidR="008F066C">
        <w:t>15</w:t>
      </w:r>
      <w:r w:rsidR="00203F72" w:rsidRPr="008F066C">
        <w:t>條）。然而，將我國</w:t>
      </w:r>
      <w:r w:rsidR="00203F72" w:rsidRPr="00687BCD">
        <w:t>之難民法草案與「</w:t>
      </w:r>
      <w:hyperlink r:id="rId1908" w:history="1">
        <w:r w:rsidR="00203F72" w:rsidRPr="00845281">
          <w:rPr>
            <w:rStyle w:val="a5"/>
            <w:rFonts w:ascii="Times New Roman" w:eastAsia="新細明體" w:hAnsi="Times New Roman"/>
          </w:rPr>
          <w:t>1951</w:t>
        </w:r>
        <w:r w:rsidR="00203F72" w:rsidRPr="00845281">
          <w:rPr>
            <w:rStyle w:val="a5"/>
            <w:rFonts w:ascii="Times New Roman" w:eastAsia="新細明體" w:hAnsi="Times New Roman"/>
          </w:rPr>
          <w:t>年關於難民地位的公約</w:t>
        </w:r>
      </w:hyperlink>
      <w:r w:rsidR="00203F72" w:rsidRPr="00687BCD">
        <w:t>」（</w:t>
      </w:r>
      <w:r w:rsidR="00203F72" w:rsidRPr="00687BCD">
        <w:t>Convention Relating Status of Refugees</w:t>
      </w:r>
      <w:r w:rsidR="00203F72" w:rsidRPr="00687BCD">
        <w:t>）相互作比較，我國之難民法制，對於難民權利之保障，僅可謂具雛形而已。</w:t>
      </w:r>
    </w:p>
    <w:p w14:paraId="5FF8731F" w14:textId="77777777" w:rsidR="00953151" w:rsidRPr="00687BCD" w:rsidRDefault="00C35D4A" w:rsidP="00D87D91">
      <w:r w:rsidRPr="00687BCD">
        <w:t xml:space="preserve">　　</w:t>
      </w:r>
      <w:r w:rsidR="00203F72" w:rsidRPr="00687BCD">
        <w:t>筆者認為，在我國經濟能力能加以負擔之狀況下，似可將「</w:t>
      </w:r>
      <w:hyperlink r:id="rId1909" w:history="1">
        <w:r w:rsidR="008F066C" w:rsidRPr="007236E0">
          <w:rPr>
            <w:rStyle w:val="a5"/>
            <w:rFonts w:ascii="Times New Roman" w:eastAsia="新細明體" w:hAnsi="Times New Roman"/>
          </w:rPr>
          <w:t>1</w:t>
        </w:r>
        <w:r w:rsidR="007F3288" w:rsidRPr="007236E0">
          <w:rPr>
            <w:rStyle w:val="a5"/>
            <w:rFonts w:ascii="Times New Roman" w:eastAsia="新細明體" w:hAnsi="Times New Roman"/>
          </w:rPr>
          <w:t>9</w:t>
        </w:r>
        <w:r w:rsidR="008F066C" w:rsidRPr="007236E0">
          <w:rPr>
            <w:rStyle w:val="a5"/>
            <w:rFonts w:ascii="Times New Roman" w:eastAsia="新細明體" w:hAnsi="Times New Roman"/>
          </w:rPr>
          <w:t>51</w:t>
        </w:r>
        <w:r w:rsidR="00203F72" w:rsidRPr="007236E0">
          <w:rPr>
            <w:rStyle w:val="a5"/>
            <w:rFonts w:ascii="Times New Roman" w:eastAsia="新細明體" w:hAnsi="Times New Roman"/>
          </w:rPr>
          <w:t>年關於難民地位的公約</w:t>
        </w:r>
      </w:hyperlink>
      <w:r w:rsidR="00203F72" w:rsidRPr="00687BCD">
        <w:t>」對難民所賦予之權利，適當地加以遵守，並且，移植及轉化到我國之難民法制之中，諸如上開公約所舉的下述難民權利：動產及不動產權利之保障（</w:t>
      </w:r>
      <w:hyperlink r:id="rId1910" w:anchor="a13"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13</w:t>
        </w:r>
        <w:r w:rsidR="00203F72" w:rsidRPr="00845281">
          <w:rPr>
            <w:rStyle w:val="a5"/>
            <w:rFonts w:ascii="Times New Roman" w:eastAsia="新細明體" w:hAnsi="Times New Roman"/>
          </w:rPr>
          <w:t>條</w:t>
        </w:r>
      </w:hyperlink>
      <w:r w:rsidR="00203F72" w:rsidRPr="00687BCD">
        <w:t>）</w:t>
      </w:r>
      <w:r w:rsidR="00203F72" w:rsidRPr="00687BCD">
        <w:footnoteReference w:id="657"/>
      </w:r>
      <w:r w:rsidR="00203F72" w:rsidRPr="00687BCD">
        <w:t>、藝術權利和工業財產權（</w:t>
      </w:r>
      <w:hyperlink r:id="rId1911" w:anchor="a14"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14</w:t>
        </w:r>
        <w:r w:rsidR="00203F72" w:rsidRPr="00845281">
          <w:rPr>
            <w:rStyle w:val="a5"/>
            <w:rFonts w:ascii="Times New Roman" w:eastAsia="新細明體" w:hAnsi="Times New Roman"/>
          </w:rPr>
          <w:t>條</w:t>
        </w:r>
      </w:hyperlink>
      <w:r w:rsidR="00203F72" w:rsidRPr="00687BCD">
        <w:t>）</w:t>
      </w:r>
      <w:r w:rsidR="00203F72" w:rsidRPr="00687BCD">
        <w:footnoteReference w:id="658"/>
      </w:r>
      <w:r w:rsidR="00203F72" w:rsidRPr="00687BCD">
        <w:t>、非政治性及非營利性結社權（</w:t>
      </w:r>
      <w:hyperlink r:id="rId1912" w:anchor="a15"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15</w:t>
        </w:r>
        <w:r w:rsidR="00203F72" w:rsidRPr="00845281">
          <w:rPr>
            <w:rStyle w:val="a5"/>
            <w:rFonts w:ascii="Times New Roman" w:eastAsia="新細明體" w:hAnsi="Times New Roman"/>
          </w:rPr>
          <w:t>條</w:t>
        </w:r>
      </w:hyperlink>
      <w:r w:rsidR="00203F72" w:rsidRPr="00687BCD">
        <w:t>）</w:t>
      </w:r>
      <w:r w:rsidR="00203F72" w:rsidRPr="00687BCD">
        <w:footnoteReference w:id="659"/>
      </w:r>
      <w:r w:rsidR="00203F72" w:rsidRPr="00687BCD">
        <w:t>、出席法院權利（</w:t>
      </w:r>
      <w:hyperlink r:id="rId1913" w:anchor="a16"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16</w:t>
        </w:r>
        <w:r w:rsidR="00203F72" w:rsidRPr="00845281">
          <w:rPr>
            <w:rStyle w:val="a5"/>
            <w:rFonts w:ascii="Times New Roman" w:eastAsia="新細明體" w:hAnsi="Times New Roman"/>
          </w:rPr>
          <w:t>條</w:t>
        </w:r>
      </w:hyperlink>
      <w:r w:rsidR="00203F72" w:rsidRPr="00687BCD">
        <w:t>）</w:t>
      </w:r>
      <w:r w:rsidR="00203F72" w:rsidRPr="00687BCD">
        <w:footnoteReference w:id="660"/>
      </w:r>
      <w:r w:rsidR="00203F72" w:rsidRPr="00687BCD">
        <w:t>、享有以工資受償雇傭關係之最優惠待遇（</w:t>
      </w:r>
      <w:hyperlink r:id="rId1914" w:anchor="a17"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17</w:t>
        </w:r>
        <w:r w:rsidR="00203F72" w:rsidRPr="00845281">
          <w:rPr>
            <w:rStyle w:val="a5"/>
            <w:rFonts w:ascii="Times New Roman" w:eastAsia="新細明體" w:hAnsi="Times New Roman"/>
          </w:rPr>
          <w:t>條</w:t>
        </w:r>
      </w:hyperlink>
      <w:r w:rsidR="00203F72" w:rsidRPr="00687BCD">
        <w:t>）</w:t>
      </w:r>
      <w:r w:rsidR="00203F72" w:rsidRPr="00687BCD">
        <w:footnoteReference w:id="661"/>
      </w:r>
      <w:r w:rsidR="00203F72" w:rsidRPr="00687BCD">
        <w:t>、自營職業權（</w:t>
      </w:r>
      <w:hyperlink r:id="rId1915" w:anchor="a18"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18</w:t>
        </w:r>
        <w:r w:rsidR="00203F72" w:rsidRPr="00845281">
          <w:rPr>
            <w:rStyle w:val="a5"/>
            <w:rFonts w:ascii="Times New Roman" w:eastAsia="新細明體" w:hAnsi="Times New Roman"/>
          </w:rPr>
          <w:t>條</w:t>
        </w:r>
      </w:hyperlink>
      <w:r w:rsidR="00203F72" w:rsidRPr="00687BCD">
        <w:t>）</w:t>
      </w:r>
      <w:r w:rsidR="00203F72" w:rsidRPr="00687BCD">
        <w:footnoteReference w:id="662"/>
      </w:r>
      <w:r w:rsidR="00203F72" w:rsidRPr="00687BCD">
        <w:t>、從事職業之自由選擇權（</w:t>
      </w:r>
      <w:hyperlink r:id="rId1916" w:anchor="a19"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19</w:t>
        </w:r>
        <w:r w:rsidR="00203F72" w:rsidRPr="00845281">
          <w:rPr>
            <w:rStyle w:val="a5"/>
            <w:rFonts w:ascii="Times New Roman" w:eastAsia="新細明體" w:hAnsi="Times New Roman"/>
          </w:rPr>
          <w:t>條</w:t>
        </w:r>
      </w:hyperlink>
      <w:r w:rsidR="00203F72" w:rsidRPr="00687BCD">
        <w:t>）</w:t>
      </w:r>
      <w:r w:rsidR="00203F72" w:rsidRPr="00687BCD">
        <w:footnoteReference w:id="663"/>
      </w:r>
      <w:r w:rsidR="00203F72" w:rsidRPr="00687BCD">
        <w:t>、公共教育權（</w:t>
      </w:r>
      <w:hyperlink r:id="rId1917" w:anchor="a22"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22</w:t>
        </w:r>
        <w:r w:rsidR="00203F72" w:rsidRPr="00845281">
          <w:rPr>
            <w:rStyle w:val="a5"/>
            <w:rFonts w:ascii="Times New Roman" w:eastAsia="新細明體" w:hAnsi="Times New Roman"/>
          </w:rPr>
          <w:t>條</w:t>
        </w:r>
      </w:hyperlink>
      <w:r w:rsidR="00203F72" w:rsidRPr="00687BCD">
        <w:t>）</w:t>
      </w:r>
      <w:r w:rsidR="00203F72" w:rsidRPr="00687BCD">
        <w:footnoteReference w:id="664"/>
      </w:r>
      <w:r w:rsidR="00203F72" w:rsidRPr="00687BCD">
        <w:t>、公共救濟權（</w:t>
      </w:r>
      <w:hyperlink r:id="rId1918" w:anchor="a23"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23</w:t>
        </w:r>
        <w:r w:rsidR="00203F72" w:rsidRPr="00845281">
          <w:rPr>
            <w:rStyle w:val="a5"/>
            <w:rFonts w:ascii="Times New Roman" w:eastAsia="新細明體" w:hAnsi="Times New Roman"/>
          </w:rPr>
          <w:t>條</w:t>
        </w:r>
      </w:hyperlink>
      <w:r w:rsidR="00203F72" w:rsidRPr="00687BCD">
        <w:t>）</w:t>
      </w:r>
      <w:r w:rsidR="00203F72" w:rsidRPr="00687BCD">
        <w:footnoteReference w:id="665"/>
      </w:r>
      <w:r w:rsidR="00203F72" w:rsidRPr="00687BCD">
        <w:t>、勞動立法與社會安全（</w:t>
      </w:r>
      <w:hyperlink r:id="rId1919" w:anchor="a24"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24</w:t>
        </w:r>
        <w:r w:rsidR="00203F72" w:rsidRPr="00845281">
          <w:rPr>
            <w:rStyle w:val="a5"/>
            <w:rFonts w:ascii="Times New Roman" w:eastAsia="新細明體" w:hAnsi="Times New Roman"/>
          </w:rPr>
          <w:t>條</w:t>
        </w:r>
      </w:hyperlink>
      <w:r w:rsidR="00203F72" w:rsidRPr="00687BCD">
        <w:t>）</w:t>
      </w:r>
      <w:r w:rsidR="00203F72" w:rsidRPr="00687BCD">
        <w:footnoteReference w:id="666"/>
      </w:r>
      <w:r w:rsidR="00203F72" w:rsidRPr="00687BCD">
        <w:t>。</w:t>
      </w:r>
    </w:p>
    <w:p w14:paraId="596566EB" w14:textId="77777777" w:rsidR="00203F72" w:rsidRPr="00687BCD" w:rsidRDefault="00C35D4A" w:rsidP="00D87D91">
      <w:r w:rsidRPr="00687BCD">
        <w:t xml:space="preserve">　　</w:t>
      </w:r>
      <w:r w:rsidR="00203F72" w:rsidRPr="00687BCD">
        <w:t>二、對外國人「驅逐出國」的正式行政聽證程序與救濟法制尚待補強</w:t>
      </w:r>
    </w:p>
    <w:p w14:paraId="222A2C79" w14:textId="77777777" w:rsidR="00203F72" w:rsidRPr="00845281" w:rsidRDefault="00C35D4A" w:rsidP="00845281">
      <w:r w:rsidRPr="00687BCD">
        <w:t xml:space="preserve">　　</w:t>
      </w:r>
      <w:r w:rsidR="00203F72" w:rsidRPr="00687BCD">
        <w:t>外國人若有入出國及移民法</w:t>
      </w:r>
      <w:hyperlink r:id="rId1920" w:anchor="b36"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36</w:t>
        </w:r>
        <w:r w:rsidR="00203F72" w:rsidRPr="00845281">
          <w:rPr>
            <w:rStyle w:val="a5"/>
            <w:rFonts w:ascii="Times New Roman" w:eastAsia="新細明體" w:hAnsi="Times New Roman"/>
          </w:rPr>
          <w:t>條</w:t>
        </w:r>
      </w:hyperlink>
      <w:r w:rsidR="00203F72" w:rsidRPr="00687BCD">
        <w:footnoteReference w:id="667"/>
      </w:r>
      <w:r w:rsidR="00203F72" w:rsidRPr="00687BCD">
        <w:t>各款情形之一者，主管機關得將該民強</w:t>
      </w:r>
      <w:r w:rsidR="00203F72" w:rsidRPr="00A53581">
        <w:t>制驅</w:t>
      </w:r>
      <w:r w:rsidR="00203F72" w:rsidRPr="00845281">
        <w:t>逐出國，為了執行強制出國，同</w:t>
      </w:r>
      <w:r w:rsidR="002673A4" w:rsidRPr="00845281">
        <w:t>法</w:t>
      </w:r>
      <w:hyperlink r:id="rId1921" w:anchor="b38" w:history="1">
        <w:r w:rsidR="002673A4" w:rsidRPr="00845281">
          <w:rPr>
            <w:rStyle w:val="a5"/>
          </w:rPr>
          <w:t>第38條</w:t>
        </w:r>
      </w:hyperlink>
      <w:r w:rsidR="00203F72" w:rsidRPr="00845281">
        <w:footnoteReference w:id="668"/>
      </w:r>
      <w:r w:rsidR="00203F72" w:rsidRPr="00845281">
        <w:t>規定，得對外國人加以收容。本書認為，我國在對外國人進行強制驅逐出國時，在執行之行政程序作為方面，應站在外國人的角度出發，體察其內心之感受，將心比心，假若吾等是一名外國人，在國外活動時，突遭外國政府在未告之理由之情況下，被驅逐出國，內心必定是怨忿難消。是以，我國在執行驅逐出國時，似應履行正式之行政聽證程序，允許外國人提出對自己有利之證據，並告知外國人被強制驅逐出國之理由為佳。</w:t>
      </w:r>
    </w:p>
    <w:p w14:paraId="46F8F566" w14:textId="77777777" w:rsidR="00953151" w:rsidRPr="00687BCD" w:rsidRDefault="00C35D4A" w:rsidP="00845281">
      <w:r w:rsidRPr="00845281">
        <w:t xml:space="preserve">　　</w:t>
      </w:r>
      <w:r w:rsidR="00203F72" w:rsidRPr="00845281">
        <w:t>觀諸入出國及移民法之規定，履行正式之行政聽證程序之機制部分，則付之闕如</w:t>
      </w:r>
      <w:r w:rsidR="00203F72" w:rsidRPr="00845281">
        <w:footnoteReference w:id="669"/>
      </w:r>
      <w:r w:rsidR="00203F72" w:rsidRPr="00845281">
        <w:t>。另外，受強制驅逐出國之外國人，於其提出行政救濟之流程中，可否中止強制驅逐出國處分之執行？該法亦未明文規範。本書認為，根據新近訂定之國際公約</w:t>
      </w:r>
      <w:r w:rsidR="00D92F56" w:rsidRPr="00845281">
        <w:t>〜</w:t>
      </w:r>
      <w:r w:rsidR="00203F72" w:rsidRPr="00845281">
        <w:t>「</w:t>
      </w:r>
      <w:hyperlink r:id="rId1922" w:history="1">
        <w:r w:rsidR="008F066C" w:rsidRPr="00DF0FFD">
          <w:rPr>
            <w:rStyle w:val="a5"/>
            <w:rFonts w:ascii="Times New Roman" w:eastAsia="新細明體" w:hAnsi="Times New Roman"/>
          </w:rPr>
          <w:t>1</w:t>
        </w:r>
        <w:r w:rsidR="007F3288" w:rsidRPr="00DF0FFD">
          <w:rPr>
            <w:rStyle w:val="a5"/>
            <w:rFonts w:ascii="Times New Roman" w:eastAsia="新細明體" w:hAnsi="Times New Roman"/>
          </w:rPr>
          <w:t>990</w:t>
        </w:r>
        <w:r w:rsidR="00203F72" w:rsidRPr="00DF0FFD">
          <w:rPr>
            <w:rStyle w:val="a5"/>
            <w:rFonts w:ascii="Times New Roman" w:eastAsia="新細明體" w:hAnsi="Times New Roman"/>
          </w:rPr>
          <w:t>年所有移徙勞工及其家屬權利保障公約</w:t>
        </w:r>
      </w:hyperlink>
      <w:r w:rsidR="00203F72" w:rsidRPr="00845281">
        <w:t>」的意旨，我國在建構對外國人強制驅逐出國之相關</w:t>
      </w:r>
      <w:r w:rsidR="00203F72" w:rsidRPr="00A53581">
        <w:t>法制時，應考量及遵守「</w:t>
      </w:r>
      <w:r w:rsidR="00203F72" w:rsidRPr="00A53581">
        <w:t>1948</w:t>
      </w:r>
      <w:r w:rsidR="00203F72" w:rsidRPr="00A53581">
        <w:t>年</w:t>
      </w:r>
      <w:hyperlink r:id="rId1923" w:history="1">
        <w:r w:rsidR="00F35C5F" w:rsidRPr="00F35C5F">
          <w:rPr>
            <w:rStyle w:val="a5"/>
          </w:rPr>
          <w:t>世界人權宣言</w:t>
        </w:r>
      </w:hyperlink>
      <w:r w:rsidR="00203F72" w:rsidRPr="00A53581">
        <w:t>」前言所揭示之意旨，亦即，對於基本人權、人格尊嚴與價值，需加以重</w:t>
      </w:r>
      <w:r w:rsidR="003E240E">
        <w:t>視</w:t>
      </w:r>
      <w:r w:rsidR="00203F72" w:rsidRPr="00A53581">
        <w:t>；並站在外國人的角度思考，如何給予外國人應有之人性尊嚴之尊重。基於上述之論理，似應履行正式之行政聽證程序為宜。亦</w:t>
      </w:r>
      <w:r w:rsidR="00203F72" w:rsidRPr="00687BCD">
        <w:t>即，須有一套行政聽證之法律機制；很令人感到可惜的，我國在此一部份，完全是空白的，對在台外國人人權之保障，實有不足。</w:t>
      </w:r>
    </w:p>
    <w:p w14:paraId="57EB22EB" w14:textId="77777777" w:rsidR="00203F72" w:rsidRPr="00687BCD" w:rsidRDefault="00C35D4A" w:rsidP="00D87D91">
      <w:r w:rsidRPr="00687BCD">
        <w:t xml:space="preserve">　　</w:t>
      </w:r>
      <w:r w:rsidR="00203F72" w:rsidRPr="00687BCD">
        <w:t>三、我國對外國人的「收容」法制與國際人權法制相違背，已侵犯外國人之人身自由</w:t>
      </w:r>
    </w:p>
    <w:p w14:paraId="72A77B8B" w14:textId="77777777" w:rsidR="00953151" w:rsidRPr="00687BCD" w:rsidRDefault="00C35D4A" w:rsidP="00D87D91">
      <w:r w:rsidRPr="00687BCD">
        <w:t xml:space="preserve">　　</w:t>
      </w:r>
      <w:r w:rsidR="00203F72" w:rsidRPr="00687BCD">
        <w:t>從「</w:t>
      </w:r>
      <w:r w:rsidR="00203F72" w:rsidRPr="00687BCD">
        <w:t>1948</w:t>
      </w:r>
      <w:r w:rsidR="00203F72" w:rsidRPr="00687BCD">
        <w:t>年</w:t>
      </w:r>
      <w:hyperlink r:id="rId1924" w:history="1">
        <w:r w:rsidR="00F35C5F" w:rsidRPr="00F35C5F">
          <w:rPr>
            <w:rStyle w:val="a5"/>
          </w:rPr>
          <w:t>世界人權宣言</w:t>
        </w:r>
      </w:hyperlink>
      <w:r w:rsidR="00203F72" w:rsidRPr="00687BCD">
        <w:t>」（</w:t>
      </w:r>
      <w:r w:rsidR="00203F72" w:rsidRPr="00687BCD">
        <w:t>Universal Declaration of Human Rights</w:t>
      </w:r>
      <w:r w:rsidR="00203F72" w:rsidRPr="00687BCD">
        <w:t>）中，吾人可感受出聯合國對人性尊嚴之重</w:t>
      </w:r>
      <w:r w:rsidR="003E240E">
        <w:t>視</w:t>
      </w:r>
      <w:r w:rsidR="00203F72" w:rsidRPr="00687BCD">
        <w:t>與保護，該宣</w:t>
      </w:r>
      <w:r w:rsidR="00410BD1" w:rsidRPr="00410BD1">
        <w:t>言</w:t>
      </w:r>
      <w:hyperlink r:id="rId1925" w:anchor="a2" w:history="1">
        <w:r w:rsidR="00410BD1" w:rsidRPr="00410BD1">
          <w:rPr>
            <w:rStyle w:val="a5"/>
          </w:rPr>
          <w:t>第2條</w:t>
        </w:r>
      </w:hyperlink>
      <w:r w:rsidR="00203F72" w:rsidRPr="00687BCD">
        <w:t>規定：「人人得享受本宣言所載一切的權利與自由，不分種族、國籍、出生、他種身分</w:t>
      </w:r>
      <w:r w:rsidR="00203F72" w:rsidRPr="00687BCD">
        <w:t>……</w:t>
      </w:r>
      <w:r w:rsidR="00203F72" w:rsidRPr="00687BCD">
        <w:t>等等。且不得因一人所隸國籍或地區之政治、行政或國際地位之不同而有所區別」。是以，從本條之規定中，不論是本國人或外國人，就「</w:t>
      </w:r>
      <w:hyperlink r:id="rId1926" w:history="1">
        <w:r w:rsidR="00F35C5F" w:rsidRPr="00F35C5F">
          <w:rPr>
            <w:rStyle w:val="a5"/>
          </w:rPr>
          <w:t>世界人權宣言</w:t>
        </w:r>
      </w:hyperlink>
      <w:r w:rsidR="00203F72" w:rsidRPr="00687BCD">
        <w:t>」中所載一切權利與自由而論，本國人及外國人均是無差別的享有，上開宣言</w:t>
      </w:r>
      <w:hyperlink r:id="rId1927" w:anchor="a3" w:history="1">
        <w:r w:rsidR="00203F72" w:rsidRPr="00DF0FFD">
          <w:rPr>
            <w:rStyle w:val="a5"/>
            <w:rFonts w:ascii="Times New Roman" w:eastAsia="新細明體" w:hAnsi="Times New Roman"/>
          </w:rPr>
          <w:t>第</w:t>
        </w:r>
        <w:r w:rsidR="007D50BB" w:rsidRPr="00DF0FFD">
          <w:rPr>
            <w:rStyle w:val="a5"/>
            <w:rFonts w:ascii="Times New Roman" w:eastAsia="新細明體" w:hAnsi="Times New Roman"/>
          </w:rPr>
          <w:t>3</w:t>
        </w:r>
        <w:r w:rsidR="00203F72" w:rsidRPr="00DF0FFD">
          <w:rPr>
            <w:rStyle w:val="a5"/>
            <w:rFonts w:ascii="Times New Roman" w:eastAsia="新細明體" w:hAnsi="Times New Roman"/>
          </w:rPr>
          <w:t>條</w:t>
        </w:r>
      </w:hyperlink>
      <w:r w:rsidR="00203F72" w:rsidRPr="00687BCD">
        <w:t>規定：「人人有權享有生命、自由與人身安全。」是以，外國人與本國人均享有自由及人身之安全。再者，上開宣言</w:t>
      </w:r>
      <w:hyperlink r:id="rId1928" w:anchor="a8" w:history="1">
        <w:r w:rsidR="00203F72" w:rsidRPr="00DF0FFD">
          <w:rPr>
            <w:rStyle w:val="a5"/>
            <w:rFonts w:ascii="Times New Roman" w:eastAsia="新細明體" w:hAnsi="Times New Roman"/>
          </w:rPr>
          <w:t>第</w:t>
        </w:r>
        <w:r w:rsidR="002673A4" w:rsidRPr="00DF0FFD">
          <w:rPr>
            <w:rStyle w:val="a5"/>
            <w:rFonts w:ascii="Times New Roman" w:eastAsia="新細明體" w:hAnsi="Times New Roman" w:hint="eastAsia"/>
          </w:rPr>
          <w:t>8</w:t>
        </w:r>
        <w:r w:rsidR="00203F72" w:rsidRPr="00DF0FFD">
          <w:rPr>
            <w:rStyle w:val="a5"/>
            <w:rFonts w:ascii="Times New Roman" w:eastAsia="新細明體" w:hAnsi="Times New Roman"/>
          </w:rPr>
          <w:t>條</w:t>
        </w:r>
      </w:hyperlink>
      <w:r w:rsidR="00203F72" w:rsidRPr="00687BCD">
        <w:t>規定：「人人於其憲法或法律所賦予之基本權利被侵害時，有權享受國家管轄法庭之有效救濟。」從本條之規範中，聯合國希望身為世界之公民，當其基本權利受到侵害時，該人有權享受法庭之有效救濟。</w:t>
      </w:r>
    </w:p>
    <w:p w14:paraId="1E3B6C19" w14:textId="77777777" w:rsidR="00953151" w:rsidRPr="00687BCD" w:rsidRDefault="00C35D4A" w:rsidP="00D87D91">
      <w:r w:rsidRPr="00687BCD">
        <w:t xml:space="preserve">　　</w:t>
      </w:r>
      <w:r w:rsidR="00203F72" w:rsidRPr="00687BCD">
        <w:t>另外，根據「</w:t>
      </w:r>
      <w:r w:rsidR="008F066C">
        <w:t>1</w:t>
      </w:r>
      <w:r w:rsidR="002673A4">
        <w:rPr>
          <w:rFonts w:hint="eastAsia"/>
        </w:rPr>
        <w:t>966</w:t>
      </w:r>
      <w:r w:rsidR="00203F72" w:rsidRPr="00687BCD">
        <w:t>年公民與政治權利國際公約」</w:t>
      </w:r>
      <w:hyperlink r:id="rId1929" w:anchor="a9" w:history="1">
        <w:r w:rsidR="00203F72" w:rsidRPr="00DF0FFD">
          <w:rPr>
            <w:rStyle w:val="a5"/>
            <w:rFonts w:ascii="Times New Roman" w:eastAsia="新細明體" w:hAnsi="Times New Roman"/>
          </w:rPr>
          <w:t>第</w:t>
        </w:r>
        <w:r w:rsidR="002673A4" w:rsidRPr="00DF0FFD">
          <w:rPr>
            <w:rStyle w:val="a5"/>
            <w:rFonts w:ascii="Times New Roman" w:eastAsia="新細明體" w:hAnsi="Times New Roman" w:hint="eastAsia"/>
          </w:rPr>
          <w:t>9</w:t>
        </w:r>
        <w:r w:rsidR="00203F72" w:rsidRPr="00DF0FFD">
          <w:rPr>
            <w:rStyle w:val="a5"/>
            <w:rFonts w:ascii="Times New Roman" w:eastAsia="新細明體" w:hAnsi="Times New Roman"/>
          </w:rPr>
          <w:t>條</w:t>
        </w:r>
      </w:hyperlink>
      <w:r w:rsidR="00203F72" w:rsidRPr="00687BCD">
        <w:t>第</w:t>
      </w:r>
      <w:r w:rsidR="007D50BB">
        <w:t>2</w:t>
      </w:r>
      <w:r w:rsidR="00203F72" w:rsidRPr="00687BCD">
        <w:t>項之規定：「任何被逮捕的人，在逮捕時應被告知逮捕理由，並應被迅速告知對他提出的任何指控。」從此規範中，可得知本公約在於使被逮捕之人，在被逮捕時，享有被告知被逮捕的理由為何？同公約</w:t>
      </w:r>
      <w:hyperlink r:id="rId1930" w:anchor="a9" w:history="1">
        <w:r w:rsidR="00DF0FFD" w:rsidRPr="00DF0FFD">
          <w:rPr>
            <w:rStyle w:val="a5"/>
            <w:rFonts w:ascii="Times New Roman" w:eastAsia="新細明體" w:hAnsi="Times New Roman"/>
          </w:rPr>
          <w:t>第</w:t>
        </w:r>
        <w:r w:rsidR="00DF0FFD" w:rsidRPr="00DF0FFD">
          <w:rPr>
            <w:rStyle w:val="a5"/>
            <w:rFonts w:ascii="Times New Roman" w:eastAsia="新細明體" w:hAnsi="Times New Roman" w:hint="eastAsia"/>
          </w:rPr>
          <w:t>9</w:t>
        </w:r>
        <w:r w:rsidR="00DF0FFD" w:rsidRPr="00DF0FFD">
          <w:rPr>
            <w:rStyle w:val="a5"/>
            <w:rFonts w:ascii="Times New Roman" w:eastAsia="新細明體" w:hAnsi="Times New Roman"/>
          </w:rPr>
          <w:t>條</w:t>
        </w:r>
      </w:hyperlink>
      <w:r w:rsidR="00203F72" w:rsidRPr="00687BCD">
        <w:t>第</w:t>
      </w:r>
      <w:r w:rsidR="008F066C">
        <w:t>4</w:t>
      </w:r>
      <w:r w:rsidR="00203F72" w:rsidRPr="00687BCD">
        <w:t>項規定：「任何因逮捕或拘禁被剝奪自由的人，有資格向法庭提起訴訟，以便法庭能不拖延地決定他是否合法以及如果拘禁不合法時命令予以釋放。」根據此一規範，不論是本國人或外國人（本公約</w:t>
      </w:r>
      <w:hyperlink r:id="rId1931" w:anchor="a2" w:history="1">
        <w:r w:rsidR="00203F72" w:rsidRPr="00DF0FFD">
          <w:rPr>
            <w:rStyle w:val="a5"/>
            <w:rFonts w:ascii="Times New Roman" w:eastAsia="新細明體" w:hAnsi="Times New Roman"/>
          </w:rPr>
          <w:t>第</w:t>
        </w:r>
        <w:r w:rsidR="007D50BB" w:rsidRPr="00DF0FFD">
          <w:rPr>
            <w:rStyle w:val="a5"/>
            <w:rFonts w:ascii="Times New Roman" w:eastAsia="新細明體" w:hAnsi="Times New Roman"/>
          </w:rPr>
          <w:t>2</w:t>
        </w:r>
        <w:r w:rsidR="00203F72" w:rsidRPr="00DF0FFD">
          <w:rPr>
            <w:rStyle w:val="a5"/>
            <w:rFonts w:ascii="Times New Roman" w:eastAsia="新細明體" w:hAnsi="Times New Roman"/>
          </w:rPr>
          <w:t>條</w:t>
        </w:r>
      </w:hyperlink>
      <w:r w:rsidR="00203F72" w:rsidRPr="00687BCD">
        <w:t>之適用對象，適用於一切的個人，不分任何國籍），當其人身自由被剝奪時，該人及有資格向法庭提起訴訟，要求法官針對其案件進行審理，決定該人是否為合法與否？</w:t>
      </w:r>
    </w:p>
    <w:p w14:paraId="68AEC46F" w14:textId="77777777" w:rsidR="00203F72" w:rsidRPr="00687BCD" w:rsidRDefault="00C35D4A" w:rsidP="00D87D91">
      <w:r w:rsidRPr="00687BCD">
        <w:t xml:space="preserve">　　</w:t>
      </w:r>
      <w:r w:rsidR="00203F72" w:rsidRPr="00687BCD">
        <w:t>由上述的「</w:t>
      </w:r>
      <w:r w:rsidR="008F066C">
        <w:t>1</w:t>
      </w:r>
      <w:r w:rsidR="002673A4">
        <w:rPr>
          <w:rFonts w:hint="eastAsia"/>
        </w:rPr>
        <w:t>9</w:t>
      </w:r>
      <w:r w:rsidR="008F066C">
        <w:t>4</w:t>
      </w:r>
      <w:r w:rsidR="002673A4">
        <w:rPr>
          <w:rFonts w:hint="eastAsia"/>
        </w:rPr>
        <w:t>8</w:t>
      </w:r>
      <w:r w:rsidR="00203F72" w:rsidRPr="00687BCD">
        <w:t>年</w:t>
      </w:r>
      <w:hyperlink r:id="rId1932" w:history="1">
        <w:r w:rsidR="00F35C5F" w:rsidRPr="00F35C5F">
          <w:rPr>
            <w:rStyle w:val="a5"/>
          </w:rPr>
          <w:t>世界人權宣言</w:t>
        </w:r>
      </w:hyperlink>
      <w:r w:rsidR="00203F72" w:rsidRPr="00687BCD">
        <w:t>」與「</w:t>
      </w:r>
      <w:hyperlink r:id="rId1933" w:history="1">
        <w:r w:rsidR="008F066C" w:rsidRPr="002E34D0">
          <w:rPr>
            <w:rStyle w:val="a5"/>
            <w:rFonts w:ascii="Times New Roman" w:eastAsia="新細明體" w:hAnsi="Times New Roman"/>
          </w:rPr>
          <w:t>1</w:t>
        </w:r>
        <w:r w:rsidR="002673A4" w:rsidRPr="002E34D0">
          <w:rPr>
            <w:rStyle w:val="a5"/>
            <w:rFonts w:ascii="Times New Roman" w:eastAsia="新細明體" w:hAnsi="Times New Roman" w:hint="eastAsia"/>
          </w:rPr>
          <w:t>966</w:t>
        </w:r>
        <w:r w:rsidR="00203F72" w:rsidRPr="002E34D0">
          <w:rPr>
            <w:rStyle w:val="a5"/>
            <w:rFonts w:ascii="Times New Roman" w:eastAsia="新細明體" w:hAnsi="Times New Roman"/>
          </w:rPr>
          <w:t>年公民與政治權利國際公約</w:t>
        </w:r>
      </w:hyperlink>
      <w:r w:rsidR="00203F72" w:rsidRPr="00687BCD">
        <w:t>」的相關條文中，可歸納出人身自由是世界人權關懷的重要焦點所在，對於被剝奪人身自由的外國人或本國人，均可向法院提起救濟，要求法官審理其案件，決定他或她是否為合法？這是國際人權法規範的原理原則。由此國際人權標準檢</w:t>
      </w:r>
      <w:r w:rsidR="003E240E">
        <w:t>視</w:t>
      </w:r>
      <w:r w:rsidR="00203F72" w:rsidRPr="00687BCD">
        <w:t>我國對於外國人「收容」之法制，可顯示我國對於人權之保障，尤其是外國人的人身自由，長久以來，未受到重</w:t>
      </w:r>
      <w:r w:rsidR="003E240E">
        <w:t>視</w:t>
      </w:r>
      <w:r w:rsidR="00203F72" w:rsidRPr="00687BCD">
        <w:t>，尚待未來修法加以改善。根據入出國及移民</w:t>
      </w:r>
      <w:r w:rsidR="002673A4" w:rsidRPr="00E2576E">
        <w:t>法</w:t>
      </w:r>
      <w:hyperlink r:id="rId1934"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687BCD">
        <w:t>之規定，假若外國人之活動或行為，符合該</w:t>
      </w:r>
      <w:r w:rsidR="002673A4" w:rsidRPr="00E2576E">
        <w:t>法</w:t>
      </w:r>
      <w:hyperlink r:id="rId1935"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687BCD">
        <w:t>第</w:t>
      </w:r>
      <w:r w:rsidR="008F066C">
        <w:t>1</w:t>
      </w:r>
      <w:r w:rsidR="00203F72" w:rsidRPr="00687BCD">
        <w:t>項</w:t>
      </w:r>
      <w:r w:rsidR="008F066C">
        <w:t>4</w:t>
      </w:r>
      <w:r w:rsidR="00203F72" w:rsidRPr="00687BCD">
        <w:t>款之構成要件，主管機關「得」暫予收容。</w:t>
      </w:r>
    </w:p>
    <w:p w14:paraId="13B2CFDC" w14:textId="77777777" w:rsidR="00953151" w:rsidRPr="00687BCD" w:rsidRDefault="00C35D4A" w:rsidP="00D87D91">
      <w:r w:rsidRPr="00687BCD">
        <w:t xml:space="preserve">　　</w:t>
      </w:r>
      <w:r w:rsidR="00203F72" w:rsidRPr="00687BCD">
        <w:t>所謂的「收容」，事實上，已對外國人之人身自由進行剝奪</w:t>
      </w:r>
      <w:r w:rsidR="00203F72" w:rsidRPr="00687BCD">
        <w:footnoteReference w:id="670"/>
      </w:r>
      <w:r w:rsidR="00203F72" w:rsidRPr="00687BCD">
        <w:t>，依照</w:t>
      </w:r>
      <w:r w:rsidR="002E34D0" w:rsidRPr="00686D2C">
        <w:t>憲法</w:t>
      </w:r>
      <w:hyperlink r:id="rId1936" w:anchor="a8" w:history="1">
        <w:r w:rsidR="002E34D0" w:rsidRPr="001F6A1B">
          <w:rPr>
            <w:rStyle w:val="a5"/>
          </w:rPr>
          <w:t>第8條</w:t>
        </w:r>
      </w:hyperlink>
      <w:r w:rsidR="00203F72" w:rsidRPr="00687BCD">
        <w:t>及司法院釋字</w:t>
      </w:r>
      <w:hyperlink r:id="rId1937" w:anchor="r392" w:history="1">
        <w:r w:rsidR="00203F72" w:rsidRPr="002E34D0">
          <w:rPr>
            <w:rStyle w:val="a5"/>
            <w:rFonts w:ascii="Times New Roman" w:eastAsia="新細明體" w:hAnsi="Times New Roman"/>
          </w:rPr>
          <w:t>第</w:t>
        </w:r>
        <w:r w:rsidR="007D50BB" w:rsidRPr="002E34D0">
          <w:rPr>
            <w:rStyle w:val="a5"/>
            <w:rFonts w:ascii="Times New Roman" w:eastAsia="新細明體" w:hAnsi="Times New Roman"/>
          </w:rPr>
          <w:t>3</w:t>
        </w:r>
        <w:r w:rsidR="002673A4" w:rsidRPr="002E34D0">
          <w:rPr>
            <w:rStyle w:val="a5"/>
            <w:rFonts w:ascii="Times New Roman" w:eastAsia="新細明體" w:hAnsi="Times New Roman" w:hint="eastAsia"/>
          </w:rPr>
          <w:t>9</w:t>
        </w:r>
        <w:r w:rsidR="007D50BB" w:rsidRPr="002E34D0">
          <w:rPr>
            <w:rStyle w:val="a5"/>
            <w:rFonts w:ascii="Times New Roman" w:eastAsia="新細明體" w:hAnsi="Times New Roman"/>
          </w:rPr>
          <w:t>2</w:t>
        </w:r>
        <w:r w:rsidR="00203F72" w:rsidRPr="002E34D0">
          <w:rPr>
            <w:rStyle w:val="a5"/>
            <w:rFonts w:ascii="Times New Roman" w:eastAsia="新細明體" w:hAnsi="Times New Roman"/>
          </w:rPr>
          <w:t>號</w:t>
        </w:r>
      </w:hyperlink>
      <w:r w:rsidR="00203F72" w:rsidRPr="00687BCD">
        <w:t>之解釋及精神，關於剝奪人民之人身自由，應將被逮捕、拘禁之人民，移送該管法院審問。然而，目前根據「入出國及移民法」</w:t>
      </w:r>
      <w:hyperlink r:id="rId1938"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687BCD">
        <w:t>有關收容之法制，及司法院釋字</w:t>
      </w:r>
      <w:hyperlink r:id="rId1939"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687BCD">
        <w:t>之解釋文，因將對外國人之收容，與刑事被告人身自由之剝奪作切割，故對外國人的收容，並未完全適用</w:t>
      </w:r>
      <w:r w:rsidR="002E34D0" w:rsidRPr="00686D2C">
        <w:t>憲法</w:t>
      </w:r>
      <w:hyperlink r:id="rId1940" w:anchor="a8" w:history="1">
        <w:r w:rsidR="002E34D0" w:rsidRPr="001F6A1B">
          <w:rPr>
            <w:rStyle w:val="a5"/>
          </w:rPr>
          <w:t>第8條</w:t>
        </w:r>
      </w:hyperlink>
      <w:r w:rsidR="00203F72" w:rsidRPr="00687BCD">
        <w:t>嚴格法官保留之規定，對於外國人人身自由之保障，仍是不足。</w:t>
      </w:r>
    </w:p>
    <w:p w14:paraId="4DDCF639" w14:textId="77777777" w:rsidR="00953151" w:rsidRPr="00687BCD" w:rsidRDefault="00C35D4A" w:rsidP="00D87D91">
      <w:r w:rsidRPr="00687BCD">
        <w:t xml:space="preserve">　　</w:t>
      </w:r>
      <w:r w:rsidR="00203F72" w:rsidRPr="00687BCD">
        <w:t>另就德國對外國人收容法制而論，不論是準備性或確保性之收容，皆需要依法官之指令為之</w:t>
      </w:r>
      <w:r w:rsidR="00203F72" w:rsidRPr="00687BCD">
        <w:footnoteReference w:id="671"/>
      </w:r>
      <w:r w:rsidR="00203F72" w:rsidRPr="00687BCD">
        <w:t>。此引發本書以下之質疑：入出國及移民</w:t>
      </w:r>
      <w:r w:rsidR="002673A4" w:rsidRPr="00E2576E">
        <w:t>法</w:t>
      </w:r>
      <w:hyperlink r:id="rId1941"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687BCD">
        <w:t>及司法院釋字</w:t>
      </w:r>
      <w:hyperlink r:id="rId1942"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687BCD">
        <w:t>之解釋文，因尚未完全適用嚴格法官保留之規定</w:t>
      </w:r>
      <w:r w:rsidR="00203F72" w:rsidRPr="00687BCD">
        <w:footnoteReference w:id="672"/>
      </w:r>
      <w:r w:rsidR="00203F72" w:rsidRPr="00687BCD">
        <w:t>，事實上，業已非常明顯地，違反「</w:t>
      </w:r>
      <w:hyperlink r:id="rId1943" w:history="1">
        <w:r w:rsidR="00F35C5F" w:rsidRPr="00F35C5F">
          <w:rPr>
            <w:rStyle w:val="a5"/>
          </w:rPr>
          <w:t>世界人權宣言</w:t>
        </w:r>
      </w:hyperlink>
      <w:r w:rsidR="00203F72" w:rsidRPr="00687BCD">
        <w:t>」與「</w:t>
      </w:r>
      <w:r w:rsidR="008F066C">
        <w:t>1</w:t>
      </w:r>
      <w:r w:rsidR="002673A4">
        <w:rPr>
          <w:rFonts w:hint="eastAsia"/>
        </w:rPr>
        <w:t>966</w:t>
      </w:r>
      <w:r w:rsidR="00203F72" w:rsidRPr="00687BCD">
        <w:t>年公民與政治權利國際公約」的相關規範，在未來修法的過程中，司法院釋字</w:t>
      </w:r>
      <w:hyperlink r:id="rId1944"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687BCD">
        <w:t>之解釋文，仍有相當大之改善餘地，本書建議我國對於外國人的收容法制，應與國際人權法制作互相接軌。</w:t>
      </w:r>
    </w:p>
    <w:p w14:paraId="30DED79A" w14:textId="77777777" w:rsidR="00203F72" w:rsidRPr="00687BCD" w:rsidRDefault="00C35D4A" w:rsidP="00D87D91">
      <w:r w:rsidRPr="00687BCD">
        <w:t xml:space="preserve">　　</w:t>
      </w:r>
      <w:r w:rsidR="00203F72" w:rsidRPr="00687BCD">
        <w:t>四、對外國人所作出之「禁止出國」處分，似應明文規範賦予外國人救濟之機會</w:t>
      </w:r>
    </w:p>
    <w:p w14:paraId="70020230" w14:textId="77777777" w:rsidR="00203F72" w:rsidRPr="00687BCD" w:rsidRDefault="00C35D4A" w:rsidP="00D87D91">
      <w:r w:rsidRPr="00687BCD">
        <w:t xml:space="preserve">　　</w:t>
      </w:r>
      <w:r w:rsidR="00203F72" w:rsidRPr="00687BCD">
        <w:t>根據「</w:t>
      </w:r>
      <w:r w:rsidR="008F066C">
        <w:t>1</w:t>
      </w:r>
      <w:r w:rsidR="007F3288">
        <w:t>9</w:t>
      </w:r>
      <w:r w:rsidR="008F066C">
        <w:t>4</w:t>
      </w:r>
      <w:r w:rsidR="002E34D0">
        <w:t>8</w:t>
      </w:r>
      <w:r w:rsidR="00203F72" w:rsidRPr="00687BCD">
        <w:t>年世界人權宣言」</w:t>
      </w:r>
      <w:hyperlink r:id="rId1945" w:anchor="a13" w:history="1">
        <w:r w:rsidR="00203F72" w:rsidRPr="00663B4B">
          <w:rPr>
            <w:rStyle w:val="a5"/>
            <w:rFonts w:ascii="Times New Roman" w:eastAsia="新細明體" w:hAnsi="Times New Roman"/>
          </w:rPr>
          <w:t>第</w:t>
        </w:r>
        <w:r w:rsidR="008F066C" w:rsidRPr="00663B4B">
          <w:rPr>
            <w:rStyle w:val="a5"/>
            <w:rFonts w:ascii="Times New Roman" w:eastAsia="新細明體" w:hAnsi="Times New Roman"/>
          </w:rPr>
          <w:t>1</w:t>
        </w:r>
        <w:r w:rsidR="007D50BB" w:rsidRPr="00663B4B">
          <w:rPr>
            <w:rStyle w:val="a5"/>
            <w:rFonts w:ascii="Times New Roman" w:eastAsia="新細明體" w:hAnsi="Times New Roman"/>
          </w:rPr>
          <w:t>3</w:t>
        </w:r>
        <w:r w:rsidR="00203F72" w:rsidRPr="00663B4B">
          <w:rPr>
            <w:rStyle w:val="a5"/>
            <w:rFonts w:ascii="Times New Roman" w:eastAsia="新細明體" w:hAnsi="Times New Roman"/>
          </w:rPr>
          <w:t>條</w:t>
        </w:r>
      </w:hyperlink>
      <w:r w:rsidR="00203F72" w:rsidRPr="00687BCD">
        <w:t>第</w:t>
      </w:r>
      <w:r w:rsidR="007D50BB">
        <w:t>2</w:t>
      </w:r>
      <w:r w:rsidR="00203F72" w:rsidRPr="00687BCD">
        <w:t>項之規定：「人人有權離去任何國家」；「</w:t>
      </w:r>
      <w:r w:rsidR="008F066C">
        <w:t>1</w:t>
      </w:r>
      <w:r w:rsidR="007F3288">
        <w:t>9</w:t>
      </w:r>
      <w:r w:rsidR="002E34D0">
        <w:t>66</w:t>
      </w:r>
      <w:r w:rsidR="00203F72" w:rsidRPr="00687BCD">
        <w:t>年公民與政治權利國際公約」（又稱為Ｂ公約）</w:t>
      </w:r>
      <w:hyperlink r:id="rId1946" w:anchor="a12" w:history="1">
        <w:r w:rsidR="00203F72" w:rsidRPr="00663B4B">
          <w:rPr>
            <w:rStyle w:val="a5"/>
            <w:rFonts w:ascii="Times New Roman" w:eastAsia="新細明體" w:hAnsi="Times New Roman"/>
          </w:rPr>
          <w:t>第</w:t>
        </w:r>
        <w:r w:rsidR="008F066C" w:rsidRPr="00663B4B">
          <w:rPr>
            <w:rStyle w:val="a5"/>
            <w:rFonts w:ascii="Times New Roman" w:eastAsia="新細明體" w:hAnsi="Times New Roman"/>
          </w:rPr>
          <w:t>1</w:t>
        </w:r>
        <w:r w:rsidR="007D50BB" w:rsidRPr="00663B4B">
          <w:rPr>
            <w:rStyle w:val="a5"/>
            <w:rFonts w:ascii="Times New Roman" w:eastAsia="新細明體" w:hAnsi="Times New Roman"/>
          </w:rPr>
          <w:t>2</w:t>
        </w:r>
        <w:r w:rsidR="00203F72" w:rsidRPr="00663B4B">
          <w:rPr>
            <w:rStyle w:val="a5"/>
            <w:rFonts w:ascii="Times New Roman" w:eastAsia="新細明體" w:hAnsi="Times New Roman"/>
          </w:rPr>
          <w:t>條</w:t>
        </w:r>
      </w:hyperlink>
      <w:r w:rsidR="00203F72" w:rsidRPr="00687BCD">
        <w:t>第</w:t>
      </w:r>
      <w:r w:rsidR="007D50BB">
        <w:t>2</w:t>
      </w:r>
      <w:r w:rsidR="00203F72" w:rsidRPr="00687BCD">
        <w:t>項規定：「人人有自由離開國家，包括本國在內。」是以，從國際人權的觀點出發，本國人及外國人，均享有權利及自由，可離開任何的國家。假若當事國基於「</w:t>
      </w:r>
      <w:r w:rsidR="008F066C">
        <w:t>1</w:t>
      </w:r>
      <w:r w:rsidR="007F3288">
        <w:t>9</w:t>
      </w:r>
      <w:r w:rsidR="002E34D0">
        <w:t>66</w:t>
      </w:r>
      <w:r w:rsidR="00203F72" w:rsidRPr="00687BCD">
        <w:t>年公民與政治權利國際公約」第</w:t>
      </w:r>
      <w:r w:rsidR="008F066C">
        <w:t>1</w:t>
      </w:r>
      <w:r w:rsidR="007D50BB">
        <w:t>2</w:t>
      </w:r>
      <w:r w:rsidR="00203F72" w:rsidRPr="00687BCD">
        <w:t>條第</w:t>
      </w:r>
      <w:r w:rsidR="007D50BB">
        <w:t>3</w:t>
      </w:r>
      <w:r w:rsidR="00203F72" w:rsidRPr="00687BCD">
        <w:t>項之規定，基於保護國家安全、公共秩序、公共衛生或道德，或他人的權利和自由所必須者，對此項出國權利得加以限制。</w:t>
      </w:r>
    </w:p>
    <w:p w14:paraId="181AE413" w14:textId="77777777" w:rsidR="00203F72" w:rsidRPr="00687BCD" w:rsidRDefault="00C35D4A" w:rsidP="00D87D91">
      <w:r w:rsidRPr="00687BCD">
        <w:t xml:space="preserve">　　</w:t>
      </w:r>
      <w:r w:rsidR="00203F72" w:rsidRPr="00687BCD">
        <w:t>為了讓權利受到侵犯的人，能夠得到補救，是以，上開公</w:t>
      </w:r>
      <w:r w:rsidR="00663B4B" w:rsidRPr="00687BCD">
        <w:t>約</w:t>
      </w:r>
      <w:hyperlink r:id="rId1947"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項第</w:t>
      </w:r>
      <w:r w:rsidR="008F066C">
        <w:t>1</w:t>
      </w:r>
      <w:r w:rsidR="00203F72" w:rsidRPr="00687BCD">
        <w:t>款規定：「本公約每一締約國承擔：保證任何一個被侵犯了本公約所承認的權利或自由的人，能得到有效的補救，儘管此種侵犯是以官方資格行事的人所為」。從Ｂ公</w:t>
      </w:r>
      <w:r w:rsidR="00663B4B" w:rsidRPr="00687BCD">
        <w:t>約</w:t>
      </w:r>
      <w:hyperlink r:id="rId1948"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項第</w:t>
      </w:r>
      <w:r w:rsidR="008F066C">
        <w:t>1</w:t>
      </w:r>
      <w:r w:rsidR="00203F72" w:rsidRPr="00687BCD">
        <w:t>款之規定，可知Ｂ公約要求締約之國家，對於權利或自由遭受侵犯之個人，國家對於該人能夠提供「補救」。而問題之爭點，在於是否包括外國人？從Ｂ公約所</w:t>
      </w:r>
      <w:hyperlink r:id="rId1949"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8F066C">
        <w:t>1</w:t>
      </w:r>
      <w:r w:rsidR="00203F72" w:rsidRPr="00687BCD">
        <w:t>項之規範中，一切之個人，是不分種族及國籍，故當外國人之出國權利受到國家侵犯時，締約國應予補救。再者，Ｂ公</w:t>
      </w:r>
      <w:r w:rsidR="00663B4B" w:rsidRPr="00687BCD">
        <w:t>約</w:t>
      </w:r>
      <w:hyperlink r:id="rId1950"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項第</w:t>
      </w:r>
      <w:r w:rsidR="007D50BB">
        <w:t>2</w:t>
      </w:r>
      <w:r w:rsidR="00203F72" w:rsidRPr="00687BCD">
        <w:t>款規定：「保證任何要求此種補救的人能由合格的司法、行政或立法當局或由國家法律制度規定的任何其他合格當局，斷定其在這方面的權利，並發展司法補救的可能性。」從本款之規範中，吾人可知「公民與政治權利國際公約」（即Ｂ公約）在建構對權利或自由遭受侵犯之個人的法律補救制度時，規定締約國家應能保證，由合格的當局，斷定個人的權利或自由是否受到國家之侵犯？並發展司法救濟的可能性。</w:t>
      </w:r>
    </w:p>
    <w:p w14:paraId="5AAC7176" w14:textId="77777777" w:rsidR="00953151" w:rsidRPr="00687BCD" w:rsidRDefault="00E5108F" w:rsidP="00D87D91">
      <w:r w:rsidRPr="00687BCD">
        <w:t xml:space="preserve">　　</w:t>
      </w:r>
      <w:r w:rsidR="00203F72" w:rsidRPr="00687BCD">
        <w:t>反觀我國「入出國及移民法」</w:t>
      </w:r>
      <w:hyperlink r:id="rId1951" w:anchor="b21" w:history="1">
        <w:r w:rsidR="00203F72" w:rsidRPr="007D50BB">
          <w:rPr>
            <w:rStyle w:val="a5"/>
            <w:rFonts w:ascii="Times New Roman" w:hAnsi="Times New Roman"/>
          </w:rPr>
          <w:t>第</w:t>
        </w:r>
        <w:r w:rsidR="00203F72" w:rsidRPr="007D50BB">
          <w:rPr>
            <w:rStyle w:val="a5"/>
            <w:rFonts w:ascii="Times New Roman" w:hAnsi="Times New Roman"/>
          </w:rPr>
          <w:t>21</w:t>
        </w:r>
        <w:r w:rsidR="00203F72" w:rsidRPr="007D50BB">
          <w:rPr>
            <w:rStyle w:val="a5"/>
            <w:rFonts w:ascii="Times New Roman" w:hAnsi="Times New Roman"/>
          </w:rPr>
          <w:t>條</w:t>
        </w:r>
      </w:hyperlink>
      <w:r w:rsidR="00203F72" w:rsidRPr="00687BCD">
        <w:t>之規定</w:t>
      </w:r>
      <w:r w:rsidR="00203F72" w:rsidRPr="00687BCD">
        <w:footnoteReference w:id="673"/>
      </w:r>
      <w:r w:rsidR="00203F72" w:rsidRPr="00687BCD">
        <w:t>，依據該法</w:t>
      </w:r>
      <w:hyperlink r:id="rId1952" w:anchor="b21" w:history="1">
        <w:r w:rsidR="00E2576E" w:rsidRPr="007D50BB">
          <w:rPr>
            <w:rStyle w:val="a5"/>
            <w:rFonts w:ascii="Times New Roman" w:hAnsi="Times New Roman"/>
          </w:rPr>
          <w:t>第</w:t>
        </w:r>
        <w:r w:rsidR="00E2576E" w:rsidRPr="007D50BB">
          <w:rPr>
            <w:rStyle w:val="a5"/>
            <w:rFonts w:ascii="Times New Roman" w:hAnsi="Times New Roman"/>
          </w:rPr>
          <w:t>21</w:t>
        </w:r>
        <w:r w:rsidR="00E2576E" w:rsidRPr="007D50BB">
          <w:rPr>
            <w:rStyle w:val="a5"/>
            <w:rFonts w:ascii="Times New Roman" w:hAnsi="Times New Roman"/>
          </w:rPr>
          <w:t>條</w:t>
        </w:r>
      </w:hyperlink>
      <w:r w:rsidR="00203F72" w:rsidRPr="00687BCD">
        <w:t>第</w:t>
      </w:r>
      <w:r w:rsidR="00203F72" w:rsidRPr="00687BCD">
        <w:t>3</w:t>
      </w:r>
      <w:r w:rsidR="00203F72" w:rsidRPr="00687BCD">
        <w:t>項之規定：「禁止出國者，入出國及移民署應以書面敘明理由，通知當事人。」我國目前對於禁止外國人出國之法制，令人惋惜的，僅只於「書面敘明理由通知當事人」而已，恐頗為不足。與Ｂ公約相較，我國之法制，就禁止外國人出國的法律救濟而言，未達Ｂ公</w:t>
      </w:r>
      <w:r w:rsidR="00663B4B" w:rsidRPr="00687BCD">
        <w:t>約</w:t>
      </w:r>
      <w:hyperlink r:id="rId1953"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rPr>
          <w:rFonts w:hint="eastAsia"/>
        </w:rPr>
        <w:t>3</w:t>
      </w:r>
      <w:r w:rsidR="00203F72" w:rsidRPr="00687BCD">
        <w:t>項之國際人權標準，從Ｂ公</w:t>
      </w:r>
      <w:r w:rsidR="00663B4B" w:rsidRPr="00687BCD">
        <w:t>約</w:t>
      </w:r>
      <w:hyperlink r:id="rId1954"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項之標準檢</w:t>
      </w:r>
      <w:r w:rsidR="003E240E">
        <w:t>視</w:t>
      </w:r>
      <w:r w:rsidR="00203F72" w:rsidRPr="00687BCD">
        <w:t>我國此一部份的法制，我國未能對禁止出國的外國人，提供適當的「補救措施」，亦未告知可透由合格當局，對禁止出國外國人的救濟案件，進行審查與裁判。基本上，Ｂ公約</w:t>
      </w:r>
      <w:hyperlink r:id="rId1955" w:anchor="a12" w:history="1">
        <w:r w:rsidR="00203F72" w:rsidRPr="00663B4B">
          <w:rPr>
            <w:rStyle w:val="a5"/>
            <w:rFonts w:ascii="Times New Roman" w:eastAsia="新細明體" w:hAnsi="Times New Roman"/>
          </w:rPr>
          <w:t>第</w:t>
        </w:r>
        <w:r w:rsidR="007D50BB" w:rsidRPr="00663B4B">
          <w:rPr>
            <w:rStyle w:val="a5"/>
            <w:rFonts w:ascii="Times New Roman" w:eastAsia="新細明體" w:hAnsi="Times New Roman" w:hint="eastAsia"/>
          </w:rPr>
          <w:t>12</w:t>
        </w:r>
        <w:r w:rsidR="00203F72" w:rsidRPr="00663B4B">
          <w:rPr>
            <w:rStyle w:val="a5"/>
            <w:rFonts w:ascii="Times New Roman" w:eastAsia="新細明體" w:hAnsi="Times New Roman"/>
          </w:rPr>
          <w:t>條</w:t>
        </w:r>
      </w:hyperlink>
      <w:r w:rsidR="00203F72" w:rsidRPr="00687BCD">
        <w:t>所保障的「遷徙自由權」部分，我國目前之</w:t>
      </w:r>
      <w:hyperlink r:id="rId1956" w:history="1">
        <w:r w:rsidR="00203F72" w:rsidRPr="00E2576E">
          <w:rPr>
            <w:rStyle w:val="a5"/>
            <w:rFonts w:ascii="Times New Roman" w:hAnsi="Times New Roman"/>
          </w:rPr>
          <w:t>入出國及移民法</w:t>
        </w:r>
      </w:hyperlink>
      <w:r w:rsidR="00203F72" w:rsidRPr="00687BCD">
        <w:t>，其法律之制度，未能符合Ｂ公約前言中所揭示之「人性固有尊嚴」、「免於恐懼的自由」、「對人的權利和自由普遍尊重與遵行」之原則。</w:t>
      </w:r>
    </w:p>
    <w:p w14:paraId="24899D6D" w14:textId="77777777" w:rsidR="00203F72" w:rsidRPr="00687BCD" w:rsidRDefault="00E5108F" w:rsidP="00D87D91">
      <w:r w:rsidRPr="00687BCD">
        <w:t xml:space="preserve">　　</w:t>
      </w:r>
      <w:r w:rsidR="00203F72" w:rsidRPr="00687BCD">
        <w:t>五、對於「台灣地區無戶籍國民」不予許可或禁止入國之處分，恐已剝奪國民返鄉權，似應給予當事人正式之書面行政處分書，並告知及賦予其法律救濟之途徑</w:t>
      </w:r>
    </w:p>
    <w:p w14:paraId="4E69251B" w14:textId="77777777" w:rsidR="00203F72" w:rsidRPr="00687BCD" w:rsidRDefault="00E5108F" w:rsidP="00D87D91">
      <w:r w:rsidRPr="00687BCD">
        <w:t xml:space="preserve">　　</w:t>
      </w:r>
      <w:r w:rsidR="00203F72" w:rsidRPr="00687BCD">
        <w:t>根據「入出國及移民法」</w:t>
      </w:r>
      <w:hyperlink r:id="rId1957" w:anchor="b3" w:history="1">
        <w:r w:rsidR="00203F72" w:rsidRPr="00E2576E">
          <w:rPr>
            <w:rStyle w:val="a5"/>
            <w:rFonts w:ascii="Times New Roman" w:hAnsi="Times New Roman"/>
          </w:rPr>
          <w:t>第</w:t>
        </w:r>
        <w:r w:rsidR="007D50BB" w:rsidRPr="00E2576E">
          <w:rPr>
            <w:rStyle w:val="a5"/>
            <w:rFonts w:ascii="Times New Roman" w:hAnsi="Times New Roman" w:hint="eastAsia"/>
          </w:rPr>
          <w:t>3</w:t>
        </w:r>
        <w:r w:rsidR="00203F72" w:rsidRPr="00E2576E">
          <w:rPr>
            <w:rStyle w:val="a5"/>
            <w:rFonts w:ascii="Times New Roman" w:hAnsi="Times New Roman"/>
          </w:rPr>
          <w:t>條</w:t>
        </w:r>
      </w:hyperlink>
      <w:r w:rsidR="00203F72" w:rsidRPr="00687BCD">
        <w:t>第</w:t>
      </w:r>
      <w:r w:rsidR="00203F72" w:rsidRPr="00687BCD">
        <w:t>5</w:t>
      </w:r>
      <w:r w:rsidR="00203F72" w:rsidRPr="00687BCD">
        <w:t>款的規定，所謂的「台灣地區無戶籍國民」，係指具有我國國籍，現僑居國外之國民，以及「取得、回復我國國籍未在台灣地區設有戶籍之國民」。從上述的定義中，可得知此類人民，係具有中華民國之國籍，既然具有我國國籍，亦是我國的國民。對於此種具有雙重國籍或未在台灣地區設有戶籍之國民，可否對其禁止入國，不無爭議。</w:t>
      </w:r>
    </w:p>
    <w:p w14:paraId="32C153BA" w14:textId="77777777" w:rsidR="00953151" w:rsidRPr="00687BCD" w:rsidRDefault="00E5108F" w:rsidP="00D87D91">
      <w:r w:rsidRPr="00687BCD">
        <w:t xml:space="preserve">　　</w:t>
      </w:r>
      <w:r w:rsidR="00203F72" w:rsidRPr="00687BCD">
        <w:t>雖然，釋</w:t>
      </w:r>
      <w:r w:rsidR="00394075" w:rsidRPr="00A53581">
        <w:rPr>
          <w:rFonts w:ascii="新細明體" w:hAnsi="新細明體"/>
        </w:rPr>
        <w:t>字</w:t>
      </w:r>
      <w:hyperlink r:id="rId1958" w:anchor="r558" w:history="1">
        <w:r w:rsidR="00394075" w:rsidRPr="00394075">
          <w:rPr>
            <w:rStyle w:val="a5"/>
          </w:rPr>
          <w:t>第558號</w:t>
        </w:r>
      </w:hyperlink>
      <w:r w:rsidR="00203F72" w:rsidRPr="00687BCD">
        <w:t>解釋認為：「僑居國外具有中華民國國籍之國民若非於台灣地區設有住所而有戶籍，仍應適用相關法律之規定，此為我國國情之特殊性所使然。」也就是說，多數大法官肯定政府對於「非於台灣地區設有住所而有戶籍」之國民，透由入出國及移民法</w:t>
      </w:r>
      <w:hyperlink r:id="rId1959" w:anchor="b7" w:history="1">
        <w:r w:rsidR="007D50BB" w:rsidRPr="00E2576E">
          <w:rPr>
            <w:rStyle w:val="a5"/>
            <w:rFonts w:ascii="Times New Roman" w:hAnsi="Times New Roman"/>
          </w:rPr>
          <w:t>第七條</w:t>
        </w:r>
      </w:hyperlink>
      <w:r w:rsidR="00203F72" w:rsidRPr="00687BCD">
        <w:footnoteReference w:id="674"/>
      </w:r>
      <w:r w:rsidR="00203F72" w:rsidRPr="00687BCD">
        <w:t>之規定，禁止其入國之管制作為，是為合憲的。不過，本書認為上述釋</w:t>
      </w:r>
      <w:r w:rsidR="00394075" w:rsidRPr="00A53581">
        <w:rPr>
          <w:rFonts w:ascii="新細明體" w:hAnsi="新細明體"/>
        </w:rPr>
        <w:t>字</w:t>
      </w:r>
      <w:hyperlink r:id="rId1960" w:anchor="r558" w:history="1">
        <w:r w:rsidR="00394075" w:rsidRPr="00394075">
          <w:rPr>
            <w:rStyle w:val="a5"/>
          </w:rPr>
          <w:t>第558號</w:t>
        </w:r>
      </w:hyperlink>
      <w:r w:rsidR="00203F72" w:rsidRPr="00687BCD">
        <w:t>解釋之主張，仍尚有討論之空間。</w:t>
      </w:r>
    </w:p>
    <w:p w14:paraId="3DB5D505" w14:textId="77777777" w:rsidR="00953151" w:rsidRPr="00687BCD" w:rsidRDefault="00E5108F" w:rsidP="00D87D91">
      <w:r w:rsidRPr="00687BCD">
        <w:t xml:space="preserve">　　</w:t>
      </w:r>
      <w:r w:rsidR="00203F72" w:rsidRPr="00687BCD">
        <w:t>假若無戶籍國民具有雙重國籍，如其持外國護照入國，現行實務上之做法，我國係將其比照為外國人的地位，適用外國人之入出國管理模式。入出國及移民法</w:t>
      </w:r>
      <w:hyperlink r:id="rId1961" w:anchor="b93" w:history="1">
        <w:r w:rsidR="00203F72" w:rsidRPr="00E2576E">
          <w:rPr>
            <w:rStyle w:val="a5"/>
            <w:rFonts w:ascii="Times New Roman" w:hAnsi="Times New Roman"/>
          </w:rPr>
          <w:t>第</w:t>
        </w:r>
        <w:r w:rsidR="00203F72" w:rsidRPr="00E2576E">
          <w:rPr>
            <w:rStyle w:val="a5"/>
            <w:rFonts w:ascii="Times New Roman" w:hAnsi="Times New Roman"/>
          </w:rPr>
          <w:t>93</w:t>
        </w:r>
        <w:r w:rsidR="00203F72" w:rsidRPr="00E2576E">
          <w:rPr>
            <w:rStyle w:val="a5"/>
            <w:rFonts w:ascii="Times New Roman" w:hAnsi="Times New Roman"/>
          </w:rPr>
          <w:t>條</w:t>
        </w:r>
      </w:hyperlink>
      <w:r w:rsidR="00203F72" w:rsidRPr="00687BCD">
        <w:t>亦有類似之規定，該</w:t>
      </w:r>
      <w:r w:rsidR="0016063F" w:rsidRPr="00687BCD">
        <w:t>法</w:t>
      </w:r>
      <w:hyperlink r:id="rId1962" w:anchor="b93" w:history="1">
        <w:r w:rsidR="0016063F" w:rsidRPr="00E2576E">
          <w:rPr>
            <w:rStyle w:val="a5"/>
            <w:rFonts w:ascii="Times New Roman" w:hAnsi="Times New Roman"/>
          </w:rPr>
          <w:t>第</w:t>
        </w:r>
        <w:r w:rsidR="0016063F" w:rsidRPr="00E2576E">
          <w:rPr>
            <w:rStyle w:val="a5"/>
            <w:rFonts w:ascii="Times New Roman" w:hAnsi="Times New Roman"/>
          </w:rPr>
          <w:t>93</w:t>
        </w:r>
        <w:r w:rsidR="0016063F" w:rsidRPr="00E2576E">
          <w:rPr>
            <w:rStyle w:val="a5"/>
            <w:rFonts w:ascii="Times New Roman" w:hAnsi="Times New Roman"/>
          </w:rPr>
          <w:t>條</w:t>
        </w:r>
      </w:hyperlink>
      <w:r w:rsidR="00203F72" w:rsidRPr="00687BCD">
        <w:t>規定：「本法關於外國人之規定，於國民取得外國國籍而持外國護照入國者及無國籍人民，準用之。」是以，假若雙重國籍者持用外國護照入國，將會被</w:t>
      </w:r>
      <w:r w:rsidR="003E240E">
        <w:t>視</w:t>
      </w:r>
      <w:r w:rsidR="00203F72" w:rsidRPr="00687BCD">
        <w:t>為外國人。但反面而論，假若其持本國護照入國，則不應被</w:t>
      </w:r>
      <w:r w:rsidR="003E240E">
        <w:t>視</w:t>
      </w:r>
      <w:r w:rsidR="00203F72" w:rsidRPr="00687BCD">
        <w:t>為外國人，應為我國國民，對於國民禁止其入國，恐會違反國際人權之潮流。</w:t>
      </w:r>
    </w:p>
    <w:p w14:paraId="03BA017A" w14:textId="77777777" w:rsidR="00953151" w:rsidRDefault="00E5108F" w:rsidP="00D87D91">
      <w:r w:rsidRPr="00687BCD">
        <w:t xml:space="preserve">　　</w:t>
      </w:r>
      <w:r w:rsidR="00203F72" w:rsidRPr="00687BCD">
        <w:t>無戶籍國民僅因未設有戶籍，遂透由相關之構成要件，禁止其入國，頗有違反世界人權法制之嫌。「入出國及移民法」</w:t>
      </w:r>
      <w:hyperlink r:id="rId1963" w:anchor="b7" w:history="1">
        <w:r w:rsidR="00203F72" w:rsidRPr="00E2576E">
          <w:rPr>
            <w:rStyle w:val="a5"/>
            <w:rFonts w:ascii="Times New Roman" w:hAnsi="Times New Roman"/>
          </w:rPr>
          <w:t>第</w:t>
        </w:r>
        <w:r w:rsidR="00E2576E" w:rsidRPr="00E2576E">
          <w:rPr>
            <w:rStyle w:val="a5"/>
            <w:rFonts w:ascii="Times New Roman" w:hAnsi="Times New Roman" w:hint="eastAsia"/>
          </w:rPr>
          <w:t>7</w:t>
        </w:r>
        <w:r w:rsidR="00203F72" w:rsidRPr="00E2576E">
          <w:rPr>
            <w:rStyle w:val="a5"/>
            <w:rFonts w:ascii="Times New Roman" w:hAnsi="Times New Roman"/>
          </w:rPr>
          <w:t>條</w:t>
        </w:r>
      </w:hyperlink>
      <w:r w:rsidR="00203F72" w:rsidRPr="00687BCD">
        <w:t>之規範對象，均是我國之國民，既為本國國民，理應享有「返鄉權」。然而，此又涉及雙重國籍之問題。本書提出以下之建言：根據Ｂ公</w:t>
      </w:r>
      <w:r w:rsidR="00663B4B" w:rsidRPr="00687BCD">
        <w:t>約</w:t>
      </w:r>
      <w:hyperlink r:id="rId1964" w:anchor="a12" w:history="1">
        <w:r w:rsidR="00663B4B" w:rsidRPr="00663B4B">
          <w:rPr>
            <w:rStyle w:val="a5"/>
            <w:rFonts w:ascii="Times New Roman" w:eastAsia="新細明體" w:hAnsi="Times New Roman"/>
          </w:rPr>
          <w:t>第</w:t>
        </w:r>
        <w:r w:rsidR="00663B4B" w:rsidRPr="00663B4B">
          <w:rPr>
            <w:rStyle w:val="a5"/>
            <w:rFonts w:ascii="Times New Roman" w:eastAsia="新細明體" w:hAnsi="Times New Roman" w:hint="eastAsia"/>
          </w:rPr>
          <w:t>12</w:t>
        </w:r>
        <w:r w:rsidR="00663B4B" w:rsidRPr="00663B4B">
          <w:rPr>
            <w:rStyle w:val="a5"/>
            <w:rFonts w:ascii="Times New Roman" w:eastAsia="新細明體" w:hAnsi="Times New Roman"/>
          </w:rPr>
          <w:t>條</w:t>
        </w:r>
      </w:hyperlink>
      <w:r w:rsidR="00203F72" w:rsidRPr="00687BCD">
        <w:t>第</w:t>
      </w:r>
      <w:r w:rsidR="00E2576E">
        <w:rPr>
          <w:rFonts w:hint="eastAsia"/>
        </w:rPr>
        <w:t>4</w:t>
      </w:r>
      <w:r w:rsidR="00203F72" w:rsidRPr="00687BCD">
        <w:t>項之規定：「任何人進入其本國之權利，不得任意加以剝奪。」是以，對於入出國及移民法</w:t>
      </w:r>
      <w:hyperlink r:id="rId1965" w:anchor="b7" w:history="1">
        <w:r w:rsidR="005B6FC7" w:rsidRPr="00E2576E">
          <w:rPr>
            <w:rStyle w:val="a5"/>
            <w:rFonts w:ascii="Times New Roman" w:hAnsi="Times New Roman"/>
          </w:rPr>
          <w:t>第</w:t>
        </w:r>
        <w:r w:rsidR="005B6FC7" w:rsidRPr="00E2576E">
          <w:rPr>
            <w:rStyle w:val="a5"/>
            <w:rFonts w:ascii="Times New Roman" w:hAnsi="Times New Roman" w:hint="eastAsia"/>
          </w:rPr>
          <w:t>7</w:t>
        </w:r>
        <w:r w:rsidR="005B6FC7" w:rsidRPr="00E2576E">
          <w:rPr>
            <w:rStyle w:val="a5"/>
            <w:rFonts w:ascii="Times New Roman" w:hAnsi="Times New Roman"/>
          </w:rPr>
          <w:t>條</w:t>
        </w:r>
      </w:hyperlink>
      <w:r w:rsidR="00203F72" w:rsidRPr="00687BCD">
        <w:t>之無戶籍國民，如禁止或不予許可其入國，應給予正式之書面行政處分書，告知當事人被禁止或不予許可其入國之理由，並賦予及明示告知法律救濟之機會與權利</w:t>
      </w:r>
      <w:r w:rsidR="00203F72" w:rsidRPr="00687BCD">
        <w:t>(</w:t>
      </w:r>
      <w:r w:rsidR="00203F72" w:rsidRPr="00687BCD">
        <w:t>包括：訴願及行政訴訟</w:t>
      </w:r>
      <w:r w:rsidR="00203F72" w:rsidRPr="00687BCD">
        <w:t>)</w:t>
      </w:r>
      <w:r w:rsidR="00203F72" w:rsidRPr="00687BCD">
        <w:t>。基本上，此類人民仍為我國之「國民」，既為我國之國民，當其返鄉權受到限制或剝奪時，理應賦予救濟之管道，方能踐行Ｂ公</w:t>
      </w:r>
      <w:r w:rsidR="00663B4B" w:rsidRPr="00687BCD">
        <w:t>約</w:t>
      </w:r>
      <w:hyperlink r:id="rId1966"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項關於個人權利或自由遭受侵犯時，享有「補救」之救濟規範。</w:t>
      </w:r>
    </w:p>
    <w:p w14:paraId="11D764F0" w14:textId="77777777" w:rsidR="00515D85" w:rsidRDefault="00515D85" w:rsidP="00663B4B">
      <w:pPr>
        <w:jc w:val="right"/>
        <w:rPr>
          <w:rFonts w:ascii="新細明體" w:hAnsi="新細明體"/>
        </w:rPr>
      </w:pPr>
      <w:r w:rsidRPr="0026266A">
        <w:rPr>
          <w:rFonts w:hint="eastAsia"/>
        </w:rPr>
        <w:t>。。。。。。。。。。。。。。。。。。。。。。。。。</w:t>
      </w:r>
      <w:hyperlink w:anchor="a目次35" w:history="1">
        <w:r>
          <w:rPr>
            <w:rStyle w:val="a5"/>
            <w:sz w:val="18"/>
          </w:rPr>
          <w:t>回目次</w:t>
        </w:r>
      </w:hyperlink>
      <w:r w:rsidR="00E91F89">
        <w:rPr>
          <w:rFonts w:ascii="新細明體" w:hAnsi="新細明體"/>
          <w:color w:val="808000"/>
        </w:rPr>
        <w:t>〉〉</w:t>
      </w:r>
    </w:p>
    <w:p w14:paraId="0F4806D5" w14:textId="77777777" w:rsidR="00515D85" w:rsidRPr="00687BCD" w:rsidRDefault="00515D85" w:rsidP="00D87D91"/>
    <w:p w14:paraId="593AE355" w14:textId="77777777" w:rsidR="00203F72" w:rsidRPr="00A53581" w:rsidRDefault="00203F72" w:rsidP="00767F37">
      <w:pPr>
        <w:pStyle w:val="2"/>
      </w:pPr>
      <w:bookmarkStart w:id="91" w:name="_伍、結論與建議_1"/>
      <w:bookmarkEnd w:id="91"/>
      <w:r w:rsidRPr="00A53581">
        <w:t>伍、結論與建議</w:t>
      </w:r>
    </w:p>
    <w:p w14:paraId="4330186F" w14:textId="77777777" w:rsidR="00203F72" w:rsidRPr="00687BCD" w:rsidRDefault="00E5108F" w:rsidP="00D87D91">
      <w:r w:rsidRPr="00687BCD">
        <w:t xml:space="preserve">　　</w:t>
      </w:r>
      <w:r w:rsidR="00203F72" w:rsidRPr="00687BCD">
        <w:t>處在</w:t>
      </w:r>
      <w:r w:rsidR="00203F72" w:rsidRPr="00687BCD">
        <w:t>21</w:t>
      </w:r>
      <w:r w:rsidR="00203F72" w:rsidRPr="00687BCD">
        <w:t>世紀的國際社會中﹐國與國間的互動與交往均更加密切﹐每一個人均有可能成為外國人﹐如何對外國人的權益﹐提升其保護的層次及密度﹐正是我國現正努力追求的目標。就我國而言﹐現階段雖然並非聯合國之成員﹐但﹐在國際人權法日益蓬勃發展的今日﹐實有必要遵守國際條約與慣例﹐以履行國際社會一份子應善盡的義務與責任。本書認為﹐為了讓台灣在國際社會中﹐能成為一個更加文明與文化的國家﹐有必要提升國際人權法及其他條約在我國之法律地位。就目前憲法機制而言﹐依憲</w:t>
      </w:r>
      <w:r w:rsidR="00026C6F" w:rsidRPr="00A53581">
        <w:rPr>
          <w:rFonts w:ascii="新細明體" w:hAnsi="新細明體"/>
        </w:rPr>
        <w:t>法</w:t>
      </w:r>
      <w:hyperlink r:id="rId1967" w:anchor="a63" w:history="1">
        <w:r w:rsidR="00026C6F" w:rsidRPr="00026C6F">
          <w:rPr>
            <w:rStyle w:val="a5"/>
          </w:rPr>
          <w:t>第63條</w:t>
        </w:r>
      </w:hyperlink>
      <w:r w:rsidR="00203F72" w:rsidRPr="00687BCD">
        <w:t>及</w:t>
      </w:r>
      <w:hyperlink r:id="rId1968" w:anchor="a141" w:history="1">
        <w:r w:rsidR="00D27FE5">
          <w:rPr>
            <w:rStyle w:val="a5"/>
            <w:rFonts w:ascii="Arial Unicode MS" w:hAnsi="Arial Unicode MS"/>
          </w:rPr>
          <w:t>第</w:t>
        </w:r>
        <w:r w:rsidR="00D27FE5" w:rsidRPr="00AB0A74">
          <w:rPr>
            <w:rStyle w:val="a5"/>
            <w:rFonts w:ascii="Arial Unicode MS" w:hAnsi="Arial Unicode MS"/>
          </w:rPr>
          <w:t>141</w:t>
        </w:r>
        <w:r w:rsidR="00D27FE5">
          <w:rPr>
            <w:rStyle w:val="a5"/>
            <w:rFonts w:ascii="Arial Unicode MS" w:hAnsi="Arial Unicode MS"/>
          </w:rPr>
          <w:t>條</w:t>
        </w:r>
      </w:hyperlink>
      <w:r w:rsidR="00203F72" w:rsidRPr="00687BCD">
        <w:t>之相關規定，國際條約欲在國內發生等同於法律之效力（尚未具憲法效力）﹐一般而言﹐我國需派遣代表到國際組織中﹐簽訂有關之國際公約﹐回國之後﹐由行政院轉立法院「審議通過」﹐並經呈奉總統簽署批准書﹐始對我國生效</w:t>
      </w:r>
      <w:r w:rsidR="00203F72" w:rsidRPr="00687BCD">
        <w:footnoteReference w:id="675"/>
      </w:r>
      <w:r w:rsidR="00203F72" w:rsidRPr="00687BCD">
        <w:t>﹐且其效力係在憲法之下﹐等同於法律的效力</w:t>
      </w:r>
      <w:r w:rsidR="00545D58" w:rsidRPr="00687BCD">
        <w:t>。</w:t>
      </w:r>
    </w:p>
    <w:p w14:paraId="27262B06" w14:textId="77777777" w:rsidR="00953151" w:rsidRPr="00D27FE5" w:rsidRDefault="00E5108F" w:rsidP="00D27FE5">
      <w:r w:rsidRPr="00687BCD">
        <w:t xml:space="preserve">　　</w:t>
      </w:r>
      <w:r w:rsidR="00203F72" w:rsidRPr="00687BCD">
        <w:t>據筆者之觀察﹐憲</w:t>
      </w:r>
      <w:r w:rsidR="00026C6F" w:rsidRPr="00A53581">
        <w:rPr>
          <w:rFonts w:ascii="新細明體" w:hAnsi="新細明體"/>
        </w:rPr>
        <w:t>法</w:t>
      </w:r>
      <w:hyperlink r:id="rId1969" w:anchor="a63" w:history="1">
        <w:r w:rsidR="00026C6F" w:rsidRPr="00026C6F">
          <w:rPr>
            <w:rStyle w:val="a5"/>
          </w:rPr>
          <w:t>第63條</w:t>
        </w:r>
      </w:hyperlink>
      <w:r w:rsidR="00203F72" w:rsidRPr="00687BCD">
        <w:t>規定：「立法院有議決法律案、預算案、戒嚴案、大赦案、宣戰案、媾和案、條約案及其他國家重要事項之權。」是以﹐國際條約欲在我國生效﹐首先﹐要我國有簽署之舉﹐然考量現實國際情勢﹐我國在聯合國之代表權﹐已被中共取代﹐業已退出諸多的國際組織﹐恐較無適當管道簽署相關之國際公約。第二﹐國際條約尚需立法院審查通過﹐方具效力。若未經立法院審議通過﹐應不具法律效力。</w:t>
      </w:r>
      <w:r w:rsidR="00203F72" w:rsidRPr="00687BCD">
        <w:cr/>
      </w:r>
      <w:r w:rsidRPr="00D27FE5">
        <w:t xml:space="preserve">　　</w:t>
      </w:r>
      <w:r w:rsidR="00203F72" w:rsidRPr="00D27FE5">
        <w:t>本書認為﹐上述將國際條約轉化成為國內法的機制﹐無法積極地展現我國欲成為國際社會成員之企圖心﹐不易促使我國盡善國際義務與責任﹐有效之解決方式﹐近期方面﹐似應仿照德國基本法之立法模式﹐</w:t>
      </w:r>
      <w:r w:rsidR="00203F72" w:rsidRPr="00D27FE5">
        <w:t>1945</w:t>
      </w:r>
      <w:r w:rsidR="00203F72" w:rsidRPr="00D27FE5">
        <w:t>年德國基本法第</w:t>
      </w:r>
      <w:r w:rsidR="00203F72" w:rsidRPr="00D27FE5">
        <w:t>25</w:t>
      </w:r>
      <w:r w:rsidR="00203F72" w:rsidRPr="00D27FE5">
        <w:t>條規定：「國際法之一般規則構成聯邦法律之一部分。此等規則之效力在法律之上﹐並對聯邦領土內居民直接發生權利義務。」</w:t>
      </w:r>
      <w:r w:rsidR="00203F72" w:rsidRPr="00D27FE5">
        <w:footnoteReference w:id="676"/>
      </w:r>
      <w:r w:rsidR="00203F72" w:rsidRPr="00D27FE5">
        <w:t>﹐上述之規範﹐係就國際慣例而論。筆者認為﹐德國將國際慣例直接適用於德國境內之居民﹐且其效力在法律之上的先進作法﹐值得台灣仿倣。</w:t>
      </w:r>
    </w:p>
    <w:p w14:paraId="7E4D50B4" w14:textId="77777777" w:rsidR="00203F72" w:rsidRPr="00D27FE5" w:rsidRDefault="00E5108F" w:rsidP="00D27FE5">
      <w:r w:rsidRPr="00D27FE5">
        <w:t xml:space="preserve">　　</w:t>
      </w:r>
      <w:r w:rsidR="00203F72" w:rsidRPr="00D27FE5">
        <w:t>除了上述之積極修法外，為了有效落實我國對國際人權法的信守與承諾，本書建議我國應設計一套有效的法律機制，以保障外國人相關之權益，諸如：建構難民法制、對外國人加以收容需要有法官之指令、賦予遭受驅逐出國、禁止出國之外國人、不予許可或禁止入國之無戶籍國民訴諸法律救濟的機會等等，以促使我國善盡國際責任，為全球的自由、民主與基本人性尊嚴與價值，盡一份力量與責任。</w:t>
      </w:r>
    </w:p>
    <w:p w14:paraId="771E0D30" w14:textId="77777777" w:rsidR="00515D85" w:rsidRDefault="00515D85" w:rsidP="00D27FE5">
      <w:pPr>
        <w:jc w:val="right"/>
        <w:rPr>
          <w:rFonts w:ascii="新細明體" w:hAnsi="新細明體"/>
        </w:rPr>
      </w:pPr>
      <w:r w:rsidRPr="0026266A">
        <w:rPr>
          <w:rFonts w:hint="eastAsia"/>
        </w:rPr>
        <w:t>。。。。。。。。。。。。。。。。。。。。。。。。。</w:t>
      </w:r>
      <w:hyperlink w:anchor="a目次36" w:history="1">
        <w:r>
          <w:rPr>
            <w:rStyle w:val="a5"/>
            <w:sz w:val="18"/>
          </w:rPr>
          <w:t>回目次</w:t>
        </w:r>
      </w:hyperlink>
      <w:r w:rsidR="00E91F89">
        <w:rPr>
          <w:rFonts w:ascii="新細明體" w:hAnsi="新細明體"/>
          <w:color w:val="808000"/>
        </w:rPr>
        <w:t>〉〉</w:t>
      </w:r>
    </w:p>
    <w:p w14:paraId="56ECD7C2" w14:textId="77777777" w:rsidR="00515D85" w:rsidRDefault="00515D85" w:rsidP="00D87D91"/>
    <w:p w14:paraId="571E07EA" w14:textId="77777777" w:rsidR="00203F72" w:rsidRPr="00A53581" w:rsidRDefault="00203F72" w:rsidP="00767F37">
      <w:pPr>
        <w:pStyle w:val="2"/>
      </w:pPr>
      <w:bookmarkStart w:id="92" w:name="_第六章_論外國人訴訟權、程序基本權與人身自由權之保障----以2010"/>
      <w:bookmarkEnd w:id="92"/>
      <w:r w:rsidRPr="00FF60F2">
        <w:t>第六章</w:t>
      </w:r>
      <w:r w:rsidRPr="00FF60F2">
        <w:t xml:space="preserve"> </w:t>
      </w:r>
      <w:r w:rsidRPr="00865605">
        <w:t>論外國人訴訟權、程序基本權與人身自由權之保障</w:t>
      </w:r>
      <w:r w:rsidR="00D92F56">
        <w:t>〜</w:t>
      </w:r>
      <w:r w:rsidRPr="00865605">
        <w:t>以</w:t>
      </w:r>
      <w:r w:rsidRPr="00865605">
        <w:t>2010</w:t>
      </w:r>
      <w:r w:rsidRPr="00865605">
        <w:t>年聯合國國際法院</w:t>
      </w:r>
      <w:r w:rsidRPr="00865605">
        <w:t>Diallo</w:t>
      </w:r>
      <w:r w:rsidRPr="00865605">
        <w:t>驅逐出國案例為論述中心</w:t>
      </w:r>
    </w:p>
    <w:p w14:paraId="36227F10" w14:textId="77777777" w:rsidR="00203F72" w:rsidRPr="00A53581" w:rsidRDefault="00203F72" w:rsidP="00D87D91">
      <w:pPr>
        <w:rPr>
          <w:lang w:bidi="bn-IN"/>
        </w:rPr>
      </w:pPr>
      <w:r w:rsidRPr="00A53581">
        <w:rPr>
          <w:lang w:bidi="bn-I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0"/>
      </w:tblGrid>
      <w:tr w:rsidR="00203F72" w:rsidRPr="00A53581" w14:paraId="07DA3A67" w14:textId="77777777" w:rsidTr="00203F72">
        <w:tc>
          <w:tcPr>
            <w:tcW w:w="8330" w:type="dxa"/>
            <w:shd w:val="clear" w:color="auto" w:fill="auto"/>
          </w:tcPr>
          <w:p w14:paraId="64716798" w14:textId="77777777" w:rsidR="00203F72" w:rsidRPr="00D27FE5" w:rsidRDefault="00203F72" w:rsidP="00D27FE5">
            <w:pPr>
              <w:jc w:val="center"/>
              <w:rPr>
                <w:b/>
                <w:lang w:bidi="bn-IN"/>
              </w:rPr>
            </w:pPr>
            <w:r w:rsidRPr="00D27FE5">
              <w:rPr>
                <w:b/>
                <w:lang w:bidi="bn-IN"/>
              </w:rPr>
              <w:t>目次</w:t>
            </w:r>
          </w:p>
          <w:p w14:paraId="6DA029CD" w14:textId="77777777" w:rsidR="00203F72" w:rsidRPr="00A53581" w:rsidRDefault="00E5108F" w:rsidP="00D87D91">
            <w:pPr>
              <w:rPr>
                <w:lang w:bidi="bn-IN"/>
              </w:rPr>
            </w:pPr>
            <w:r>
              <w:rPr>
                <w:lang w:bidi="bn-IN"/>
              </w:rPr>
              <w:t xml:space="preserve">　　</w:t>
            </w:r>
            <w:r w:rsidR="00203F72" w:rsidRPr="00A53581">
              <w:rPr>
                <w:lang w:bidi="bn-IN"/>
              </w:rPr>
              <w:t>壹、前言</w:t>
            </w:r>
          </w:p>
          <w:p w14:paraId="347099C8" w14:textId="77777777" w:rsidR="00203F72" w:rsidRPr="00A53581" w:rsidRDefault="00E5108F" w:rsidP="00D87D91">
            <w:pPr>
              <w:rPr>
                <w:lang w:bidi="bn-IN"/>
              </w:rPr>
            </w:pPr>
            <w:r>
              <w:rPr>
                <w:lang w:bidi="bn-IN"/>
              </w:rPr>
              <w:t xml:space="preserve">　　</w:t>
            </w:r>
            <w:r w:rsidR="00203F72" w:rsidRPr="00A53581">
              <w:rPr>
                <w:lang w:bidi="bn-IN"/>
              </w:rPr>
              <w:t>貳、</w:t>
            </w:r>
            <w:r w:rsidR="00203F72" w:rsidRPr="00A53581">
              <w:rPr>
                <w:lang w:bidi="bn-IN"/>
              </w:rPr>
              <w:t>2010</w:t>
            </w:r>
            <w:r w:rsidR="00203F72" w:rsidRPr="00A53581">
              <w:rPr>
                <w:lang w:bidi="bn-IN"/>
              </w:rPr>
              <w:t>年聯合國國際法院</w:t>
            </w:r>
            <w:r w:rsidR="00203F72" w:rsidRPr="00A53581">
              <w:rPr>
                <w:lang w:bidi="bn-IN"/>
              </w:rPr>
              <w:t>Diallo</w:t>
            </w:r>
            <w:r w:rsidR="00203F72" w:rsidRPr="00A53581">
              <w:rPr>
                <w:lang w:bidi="bn-IN"/>
              </w:rPr>
              <w:t>驅逐出國案例之案情簡介</w:t>
            </w:r>
          </w:p>
          <w:p w14:paraId="5EC84E51" w14:textId="77777777" w:rsidR="00203F72" w:rsidRPr="00A53581" w:rsidRDefault="00E5108F" w:rsidP="00D87D91">
            <w:pPr>
              <w:rPr>
                <w:lang w:bidi="bn-IN"/>
              </w:rPr>
            </w:pPr>
            <w:r>
              <w:rPr>
                <w:lang w:bidi="bn-IN"/>
              </w:rPr>
              <w:t xml:space="preserve">　　</w:t>
            </w:r>
            <w:r w:rsidR="00203F72" w:rsidRPr="00A53581">
              <w:rPr>
                <w:lang w:bidi="bn-IN"/>
              </w:rPr>
              <w:t>參、</w:t>
            </w:r>
            <w:r w:rsidR="00203F72" w:rsidRPr="00A53581">
              <w:rPr>
                <w:lang w:bidi="bn-IN"/>
              </w:rPr>
              <w:t>Diallo</w:t>
            </w:r>
            <w:r w:rsidR="00203F72" w:rsidRPr="00A53581">
              <w:rPr>
                <w:lang w:bidi="bn-IN"/>
              </w:rPr>
              <w:t>驅逐出國案例之重要特色</w:t>
            </w:r>
          </w:p>
          <w:p w14:paraId="45717043" w14:textId="77777777" w:rsidR="00203F72" w:rsidRPr="00A53581" w:rsidRDefault="00E5108F" w:rsidP="00D87D91">
            <w:pPr>
              <w:rPr>
                <w:lang w:bidi="bn-IN"/>
              </w:rPr>
            </w:pPr>
            <w:r>
              <w:rPr>
                <w:lang w:bidi="bn-IN"/>
              </w:rPr>
              <w:t xml:space="preserve">　　</w:t>
            </w:r>
            <w:r w:rsidR="00203F72" w:rsidRPr="00A53581">
              <w:rPr>
                <w:lang w:bidi="bn-IN"/>
              </w:rPr>
              <w:t>肆、台灣強制驅逐外國人出國之現況及面臨之困境</w:t>
            </w:r>
          </w:p>
          <w:p w14:paraId="2BEC9754" w14:textId="77777777" w:rsidR="00203F72" w:rsidRPr="00A53581" w:rsidRDefault="00E5108F" w:rsidP="00D87D91">
            <w:pPr>
              <w:rPr>
                <w:lang w:bidi="bn-IN"/>
              </w:rPr>
            </w:pPr>
            <w:r>
              <w:rPr>
                <w:lang w:bidi="bn-IN"/>
              </w:rPr>
              <w:t xml:space="preserve">　　</w:t>
            </w:r>
            <w:r w:rsidR="00203F72" w:rsidRPr="00A53581">
              <w:rPr>
                <w:lang w:bidi="bn-IN"/>
              </w:rPr>
              <w:t>伍、結論與建議</w:t>
            </w:r>
          </w:p>
          <w:p w14:paraId="2E7634F4" w14:textId="77777777" w:rsidR="00203F72" w:rsidRPr="00A53581" w:rsidRDefault="00203F72" w:rsidP="00D87D91">
            <w:pPr>
              <w:rPr>
                <w:lang w:bidi="bn-IN"/>
              </w:rPr>
            </w:pPr>
          </w:p>
        </w:tc>
      </w:tr>
    </w:tbl>
    <w:p w14:paraId="59FF3903" w14:textId="77777777" w:rsidR="00203F72" w:rsidRPr="00A53581" w:rsidRDefault="00203F72" w:rsidP="00D87D91">
      <w:pPr>
        <w:rPr>
          <w:lang w:bidi="b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4"/>
      </w:tblGrid>
      <w:tr w:rsidR="00203F72" w:rsidRPr="00A53581" w14:paraId="3BA4E5F3" w14:textId="77777777" w:rsidTr="00203F72">
        <w:tc>
          <w:tcPr>
            <w:tcW w:w="8334" w:type="dxa"/>
            <w:shd w:val="clear" w:color="auto" w:fill="auto"/>
          </w:tcPr>
          <w:p w14:paraId="2F3B1FC0" w14:textId="77777777" w:rsidR="00203F72" w:rsidRPr="00D27FE5" w:rsidRDefault="00203F72" w:rsidP="00D27FE5">
            <w:pPr>
              <w:jc w:val="center"/>
              <w:rPr>
                <w:b/>
                <w:lang w:bidi="bn-IN"/>
              </w:rPr>
            </w:pPr>
            <w:r w:rsidRPr="00D27FE5">
              <w:rPr>
                <w:b/>
                <w:lang w:bidi="bn-IN"/>
              </w:rPr>
              <w:t>中文摘要</w:t>
            </w:r>
          </w:p>
          <w:p w14:paraId="0A3DE5AA" w14:textId="77777777" w:rsidR="00203F72" w:rsidRPr="0016063F" w:rsidRDefault="00E5108F" w:rsidP="00D87D91">
            <w:r w:rsidRPr="0016063F">
              <w:t xml:space="preserve">　　</w:t>
            </w:r>
            <w:r w:rsidR="00203F72" w:rsidRPr="0016063F">
              <w:t>在</w:t>
            </w:r>
            <w:r w:rsidR="00203F72" w:rsidRPr="0016063F">
              <w:t>2010</w:t>
            </w:r>
            <w:r w:rsidR="00203F72" w:rsidRPr="0016063F">
              <w:t>年</w:t>
            </w:r>
            <w:r w:rsidR="00203F72" w:rsidRPr="0016063F">
              <w:t>11</w:t>
            </w:r>
            <w:r w:rsidR="00203F72" w:rsidRPr="0016063F">
              <w:t>月</w:t>
            </w:r>
            <w:r w:rsidR="00203F72" w:rsidRPr="0016063F">
              <w:t>30</w:t>
            </w:r>
            <w:r w:rsidR="00203F72" w:rsidRPr="0016063F">
              <w:t>日，聯合國國際法院（</w:t>
            </w:r>
            <w:r w:rsidR="00203F72" w:rsidRPr="0016063F">
              <w:t>International Court of Justice</w:t>
            </w:r>
            <w:r w:rsidR="00203F72" w:rsidRPr="0016063F">
              <w:t>，簡稱為</w:t>
            </w:r>
            <w:r w:rsidR="00203F72" w:rsidRPr="0016063F">
              <w:t>ICJ</w:t>
            </w:r>
            <w:r w:rsidR="00203F72" w:rsidRPr="0016063F">
              <w:t>）針對於剛果（</w:t>
            </w:r>
            <w:r w:rsidR="00203F72" w:rsidRPr="0016063F">
              <w:t>Democratic Republic of the Congo</w:t>
            </w:r>
            <w:r w:rsidR="00203F72" w:rsidRPr="0016063F">
              <w:t>，簡稱為</w:t>
            </w:r>
            <w:r w:rsidR="00203F72" w:rsidRPr="0016063F">
              <w:t>DRC</w:t>
            </w:r>
            <w:r w:rsidR="00203F72" w:rsidRPr="0016063F">
              <w:t>）將外國人</w:t>
            </w:r>
            <w:r w:rsidR="00203F72" w:rsidRPr="0016063F">
              <w:t>Diallo</w:t>
            </w:r>
            <w:r w:rsidR="00203F72" w:rsidRPr="0016063F">
              <w:t>驅逐出國之案件，作出史上第一個涉及驅逐出國之判決，本案係由幾內亞共和國（</w:t>
            </w:r>
            <w:r w:rsidR="00203F72" w:rsidRPr="0016063F">
              <w:t>Republic of Guinea</w:t>
            </w:r>
            <w:r w:rsidR="00203F72" w:rsidRPr="0016063F">
              <w:t>）控告剛果民主共和國；在本案之判決書之中，</w:t>
            </w:r>
            <w:r w:rsidR="00203F72" w:rsidRPr="0016063F">
              <w:t>ICJ</w:t>
            </w:r>
            <w:r w:rsidR="00203F72" w:rsidRPr="0016063F">
              <w:t>認為</w:t>
            </w:r>
            <w:r w:rsidR="00203F72" w:rsidRPr="0016063F">
              <w:t>1996</w:t>
            </w:r>
            <w:r w:rsidR="00203F72" w:rsidRPr="0016063F">
              <w:t>年</w:t>
            </w:r>
            <w:r w:rsidR="00203F72" w:rsidRPr="0016063F">
              <w:t>DRC</w:t>
            </w:r>
            <w:r w:rsidR="00203F72" w:rsidRPr="0016063F">
              <w:t>對</w:t>
            </w:r>
            <w:r w:rsidR="00203F72" w:rsidRPr="0016063F">
              <w:t>Diallo</w:t>
            </w:r>
            <w:r w:rsidR="00203F72" w:rsidRPr="0016063F">
              <w:t>之收容，之所以成為違法之行為，主因係由於</w:t>
            </w:r>
            <w:r w:rsidR="00203F72" w:rsidRPr="0016063F">
              <w:t>DRC</w:t>
            </w:r>
            <w:r w:rsidR="00203F72" w:rsidRPr="0016063F">
              <w:t>未告知</w:t>
            </w:r>
            <w:r w:rsidR="00203F72" w:rsidRPr="0016063F">
              <w:t>Diallo</w:t>
            </w:r>
            <w:r w:rsidR="00203F72" w:rsidRPr="0016063F">
              <w:t>享有維也納領事關係公約</w:t>
            </w:r>
            <w:r w:rsidR="00203F72" w:rsidRPr="0016063F">
              <w:t>(Vienna Convention on Diplomatic Relations)</w:t>
            </w:r>
            <w:r w:rsidR="00203F72" w:rsidRPr="0016063F">
              <w:t>之相關權利，故上述之收容，屬於違法之行為。</w:t>
            </w:r>
            <w:r w:rsidR="00203F72" w:rsidRPr="0016063F">
              <w:t>ICJ</w:t>
            </w:r>
            <w:r w:rsidR="00203F72" w:rsidRPr="0016063F">
              <w:t>亦認為</w:t>
            </w:r>
            <w:r w:rsidR="00203F72" w:rsidRPr="0016063F">
              <w:t>DRC</w:t>
            </w:r>
            <w:r w:rsidR="00203F72" w:rsidRPr="0016063F">
              <w:t>對</w:t>
            </w:r>
            <w:r w:rsidR="00203F72" w:rsidRPr="0016063F">
              <w:t>Diallo</w:t>
            </w:r>
            <w:r w:rsidR="00203F72" w:rsidRPr="0016063F">
              <w:t>所裁處之驅逐出國處分，該驅逐出國處分係屬違法；本書並從上述案例之精神出發，檢討台灣強制驅逐外國人出國之現況、困境與對策；於對策方面，本書提出以下可行之建言，以供各界參考之用：</w:t>
            </w:r>
            <w:r w:rsidR="00203F72" w:rsidRPr="0016063F">
              <w:t>1</w:t>
            </w:r>
            <w:r w:rsidR="00203F72" w:rsidRPr="0016063F">
              <w:t>、強制驅逐出國處分宜告知及聯繫當事人原籍國駐華使領館或授權機構；</w:t>
            </w:r>
            <w:r w:rsidR="00203F72" w:rsidRPr="0016063F">
              <w:t>2</w:t>
            </w:r>
            <w:r w:rsidR="00203F72" w:rsidRPr="0016063F">
              <w:t>、台灣宜建構一套國際法上之救濟機制，俾利外國政府可向國際法院，或外國人可向人權</w:t>
            </w:r>
            <w:r w:rsidR="00203F72" w:rsidRPr="0016063F">
              <w:t>(</w:t>
            </w:r>
            <w:r w:rsidR="00203F72" w:rsidRPr="0016063F">
              <w:t>事務</w:t>
            </w:r>
            <w:r w:rsidR="00203F72" w:rsidRPr="0016063F">
              <w:t>)</w:t>
            </w:r>
            <w:r w:rsidR="00203F72" w:rsidRPr="0016063F">
              <w:t>委員會</w:t>
            </w:r>
            <w:r w:rsidR="00203F72" w:rsidRPr="0016063F">
              <w:t>(HRC)</w:t>
            </w:r>
            <w:r w:rsidR="00203F72" w:rsidRPr="0016063F">
              <w:t>提出救濟</w:t>
            </w:r>
            <w:r w:rsidR="00203F72" w:rsidRPr="0016063F">
              <w:t>(</w:t>
            </w:r>
            <w:r w:rsidR="00203F72" w:rsidRPr="0016063F">
              <w:t>申訴</w:t>
            </w:r>
            <w:r w:rsidR="00203F72" w:rsidRPr="0016063F">
              <w:t>)</w:t>
            </w:r>
            <w:r w:rsidR="00203F72" w:rsidRPr="0016063F">
              <w:t>之途徑；</w:t>
            </w:r>
            <w:r w:rsidR="00203F72" w:rsidRPr="0016063F">
              <w:t>3</w:t>
            </w:r>
            <w:r w:rsidR="00203F72" w:rsidRPr="0016063F">
              <w:t>、就台灣而論，移民行政機關為了確保執行驅逐出國之命令，所裁處之收容處分，似乎全部宜經由法院裁定為妥。</w:t>
            </w:r>
          </w:p>
          <w:p w14:paraId="03A0673B" w14:textId="77777777" w:rsidR="00203F72" w:rsidRPr="00A53581" w:rsidRDefault="00203F72" w:rsidP="00D87D91">
            <w:pPr>
              <w:rPr>
                <w:lang w:bidi="bn-IN"/>
              </w:rPr>
            </w:pPr>
          </w:p>
        </w:tc>
      </w:tr>
    </w:tbl>
    <w:p w14:paraId="401678DD" w14:textId="77777777" w:rsidR="00203F72" w:rsidRPr="00A53581" w:rsidRDefault="00E5108F" w:rsidP="00D87D91">
      <w:pPr>
        <w:rPr>
          <w:lang w:bidi="bn-IN"/>
        </w:rPr>
      </w:pPr>
      <w:r w:rsidRPr="00E5108F">
        <w:rPr>
          <w:rFonts w:hint="eastAsia"/>
          <w:lang w:bidi="bn-IN"/>
        </w:rPr>
        <w:t>【</w:t>
      </w:r>
      <w:r w:rsidR="00203F72" w:rsidRPr="00A53581">
        <w:rPr>
          <w:lang w:bidi="bn-IN"/>
        </w:rPr>
        <w:t>中文關鍵詞</w:t>
      </w:r>
      <w:r w:rsidRPr="00E5108F">
        <w:rPr>
          <w:rFonts w:hint="eastAsia"/>
          <w:lang w:bidi="bn-IN"/>
        </w:rPr>
        <w:t>】</w:t>
      </w:r>
      <w:r w:rsidR="00203F72" w:rsidRPr="00A53581">
        <w:rPr>
          <w:lang w:bidi="bn-IN"/>
        </w:rPr>
        <w:t>國際法院、驅逐出國、外國人、收容、</w:t>
      </w:r>
      <w:r w:rsidR="00203F72" w:rsidRPr="00A53581">
        <w:t>非洲人權憲章、公民與政治權利國際公約</w:t>
      </w:r>
      <w:r w:rsidR="00203F72" w:rsidRPr="00A53581">
        <w:t xml:space="preserve"> </w:t>
      </w:r>
    </w:p>
    <w:p w14:paraId="39278B1B" w14:textId="77777777" w:rsidR="00203F72" w:rsidRPr="00A53581" w:rsidRDefault="00203F72" w:rsidP="00D87D91">
      <w:pPr>
        <w:rPr>
          <w:lang w:bidi="b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4"/>
      </w:tblGrid>
      <w:tr w:rsidR="00203F72" w:rsidRPr="00A53581" w14:paraId="49F30EA4" w14:textId="77777777" w:rsidTr="00203F72">
        <w:tc>
          <w:tcPr>
            <w:tcW w:w="8334" w:type="dxa"/>
            <w:shd w:val="clear" w:color="auto" w:fill="auto"/>
          </w:tcPr>
          <w:p w14:paraId="3D1055F6" w14:textId="77777777" w:rsidR="00203F72" w:rsidRPr="00D27FE5" w:rsidRDefault="00203F72" w:rsidP="00D27FE5">
            <w:pPr>
              <w:jc w:val="center"/>
              <w:rPr>
                <w:b/>
                <w:lang w:bidi="bn-IN"/>
              </w:rPr>
            </w:pPr>
            <w:r w:rsidRPr="00D27FE5">
              <w:rPr>
                <w:b/>
                <w:lang w:bidi="bn-IN"/>
              </w:rPr>
              <w:t>English abstract</w:t>
            </w:r>
          </w:p>
          <w:p w14:paraId="36BE9F53" w14:textId="77777777" w:rsidR="00203F72" w:rsidRPr="0016063F" w:rsidRDefault="00E5108F" w:rsidP="00D87D91">
            <w:r w:rsidRPr="0016063F">
              <w:t xml:space="preserve">　　</w:t>
            </w:r>
            <w:r w:rsidR="00203F72" w:rsidRPr="0016063F">
              <w:t>On the 30 November of 2010 year, the International Court of Justice of the UN judged and delivered the first international expelling case concering the Ahmadou Sadio Diallo (Republic of Guinea v. Democratic Republic of the Congo). Owing to the absence of notification to the Ahmadou Sadio Diallo for the detention and deportation implemented by the Democratic Republic of the Congo regulated by the Vienna Convention on Diplomatic Relations, the ICJ appointed out the detention and deportation implemented by the Democratic Republic of the Congo both were illegal. This article adoped the core essence of the above 2010 Ahmadou Sadio Diallo case of the International Court of Justice of the UN and discussed the Taiwan current situation, dilemmas and feasible solutions for expelling foreigners. This article summarizes and proposes following feasible suggestions : 1. the foreigners’ embassy or authorized agency of the subject’s nation of origin in Taiwan shall be notified and contacted of the deportation decision; 2. the Taiwan government should build a international law remedy mechanism for the foreign subjects suffering the deportation decision; and the subjects may file a petition against a deportation decision issued by the National Immigration Agency to the International Court of Justice or the Human Rights Committee of the UN by the above mentioned approach ; 3. the detention measure for the foreign subjects suffering the deportation decision issued by the National Immigration Agency seems to be determined and judged by the courts in order to respect and protect the personal freedom rights of the foreign subjects suffering the deportation decision.</w:t>
            </w:r>
          </w:p>
        </w:tc>
      </w:tr>
    </w:tbl>
    <w:p w14:paraId="0C857B1B" w14:textId="77777777" w:rsidR="00953151" w:rsidRPr="0016063F" w:rsidRDefault="00E5108F" w:rsidP="00D87D91">
      <w:r w:rsidRPr="0016063F">
        <w:rPr>
          <w:rFonts w:hint="eastAsia"/>
        </w:rPr>
        <w:t>【</w:t>
      </w:r>
      <w:r w:rsidR="00203F72" w:rsidRPr="0016063F">
        <w:t>English key words</w:t>
      </w:r>
      <w:r w:rsidRPr="0016063F">
        <w:rPr>
          <w:rFonts w:hint="eastAsia"/>
        </w:rPr>
        <w:t>】</w:t>
      </w:r>
      <w:r w:rsidR="00203F72" w:rsidRPr="0016063F">
        <w:t>International Court of Justice, Expulsion, Foreigners, Detention, African Charter on Human and People’s Rights, International Covenant on Civil and Political Rights</w:t>
      </w:r>
    </w:p>
    <w:p w14:paraId="77D05FE5" w14:textId="77777777" w:rsidR="00515D85" w:rsidRDefault="00515D85" w:rsidP="00670577">
      <w:pPr>
        <w:jc w:val="right"/>
        <w:rPr>
          <w:rFonts w:ascii="新細明體" w:hAnsi="新細明體"/>
        </w:rPr>
      </w:pPr>
      <w:r w:rsidRPr="0026266A">
        <w:rPr>
          <w:rFonts w:hint="eastAsia"/>
        </w:rPr>
        <w:t>。。。。。。。。。。。。。。。。。。。。。。。。。</w:t>
      </w:r>
      <w:hyperlink w:anchor="a目次36" w:history="1">
        <w:r>
          <w:rPr>
            <w:rStyle w:val="a5"/>
            <w:sz w:val="18"/>
          </w:rPr>
          <w:t>回目次</w:t>
        </w:r>
      </w:hyperlink>
      <w:r w:rsidR="00E91F89">
        <w:rPr>
          <w:rFonts w:ascii="新細明體" w:hAnsi="新細明體"/>
          <w:color w:val="808000"/>
        </w:rPr>
        <w:t>〉〉</w:t>
      </w:r>
    </w:p>
    <w:p w14:paraId="0FFBD106" w14:textId="77777777" w:rsidR="00515D85" w:rsidRDefault="00515D85" w:rsidP="00D87D91">
      <w:pPr>
        <w:rPr>
          <w:lang w:bidi="bn-IN"/>
        </w:rPr>
      </w:pPr>
    </w:p>
    <w:p w14:paraId="4A8E9E55" w14:textId="77777777" w:rsidR="00203F72" w:rsidRPr="00A53581" w:rsidRDefault="00203F72" w:rsidP="00767F37">
      <w:pPr>
        <w:pStyle w:val="2"/>
      </w:pPr>
      <w:bookmarkStart w:id="93" w:name="_壹、前言_2"/>
      <w:bookmarkEnd w:id="93"/>
      <w:r w:rsidRPr="00A53581">
        <w:t>壹、前言</w:t>
      </w:r>
      <w:r w:rsidRPr="00A53581">
        <w:t xml:space="preserve"> </w:t>
      </w:r>
    </w:p>
    <w:p w14:paraId="5C5D03D6" w14:textId="77777777" w:rsidR="00953151" w:rsidRPr="0016063F" w:rsidRDefault="00E5108F" w:rsidP="00D87D91">
      <w:r w:rsidRPr="0016063F">
        <w:t xml:space="preserve">　　</w:t>
      </w:r>
      <w:r w:rsidR="00203F72" w:rsidRPr="0016063F">
        <w:t>主權國家對於處在其境內之外國人，所進行之強制驅逐出國作為，對於外國人本人、親密之家人及其周遭之親友而言，會造成相當嚴重程度之影響與衝擊；是以，強制驅逐出國之執法措施，對於外國人之人權而言，會產生極大之幹預。就「人權」而論，其英文名稱為「</w:t>
      </w:r>
      <w:r w:rsidR="00203F72" w:rsidRPr="0016063F">
        <w:t>human rights</w:t>
      </w:r>
      <w:r w:rsidR="00203F72" w:rsidRPr="0016063F">
        <w:t>」，德文為「</w:t>
      </w:r>
      <w:r w:rsidR="00203F72" w:rsidRPr="0016063F">
        <w:t>Menschenrechte</w:t>
      </w:r>
      <w:r w:rsidR="00203F72" w:rsidRPr="0016063F">
        <w:t>」，從字義上而言，係指個人因為身為人類之一員，而擁有之權利</w:t>
      </w:r>
      <w:r w:rsidR="00203F72" w:rsidRPr="0016063F">
        <w:footnoteReference w:id="677"/>
      </w:r>
      <w:r w:rsidR="00203F72" w:rsidRPr="0016063F">
        <w:t>。</w:t>
      </w:r>
    </w:p>
    <w:p w14:paraId="7769043A" w14:textId="77777777" w:rsidR="00203F72" w:rsidRPr="0016063F" w:rsidRDefault="00E5108F" w:rsidP="00D87D91">
      <w:r w:rsidRPr="0016063F">
        <w:t xml:space="preserve">　　</w:t>
      </w:r>
      <w:r w:rsidR="00203F72" w:rsidRPr="0016063F">
        <w:t>假若從哲學之觀點出發，探究人權之本質，則現代人權之理論學說，計有以下數種之論點：</w:t>
      </w:r>
      <w:r w:rsidR="00203F72" w:rsidRPr="0016063F">
        <w:t>1.</w:t>
      </w:r>
      <w:r w:rsidR="00203F72" w:rsidRPr="0016063F">
        <w:t>人權係奠基於自然權利之權利，它是屬於核心之權利；</w:t>
      </w:r>
      <w:r w:rsidR="00203F72" w:rsidRPr="0016063F">
        <w:t>2.</w:t>
      </w:r>
      <w:r w:rsidR="00203F72" w:rsidRPr="0016063F">
        <w:t>以效用價值為基礎之權利；</w:t>
      </w:r>
      <w:r w:rsidR="00203F72" w:rsidRPr="0016063F">
        <w:t>3.</w:t>
      </w:r>
      <w:r w:rsidR="00203F72" w:rsidRPr="0016063F">
        <w:t>以正義為基礎之權利，「正義」是所有社會制度中最重要之美德，而人權即是「正義」之目的之一；</w:t>
      </w:r>
      <w:r w:rsidR="00203F72" w:rsidRPr="0016063F">
        <w:t>4.</w:t>
      </w:r>
      <w:r w:rsidR="00203F72" w:rsidRPr="0016063F">
        <w:t>針對不正義行為（惡行）之反應為基礎之權利；</w:t>
      </w:r>
      <w:r w:rsidR="00203F72" w:rsidRPr="0016063F">
        <w:t>5.</w:t>
      </w:r>
      <w:r w:rsidR="00203F72" w:rsidRPr="0016063F">
        <w:t>以人類尊嚴為基礎之權利；</w:t>
      </w:r>
      <w:r w:rsidR="00203F72" w:rsidRPr="0016063F">
        <w:t>6.</w:t>
      </w:r>
      <w:r w:rsidR="00203F72" w:rsidRPr="0016063F">
        <w:t>以平等之尊重與關懷為基礎之權利；</w:t>
      </w:r>
      <w:r w:rsidR="00203F72" w:rsidRPr="0016063F">
        <w:t>7.</w:t>
      </w:r>
      <w:r w:rsidR="00203F72" w:rsidRPr="0016063F">
        <w:t>以「文化相對主義」為基礎之理論，該主義較不認同有所謂之「絕對人權」（</w:t>
      </w:r>
      <w:r w:rsidR="00203F72" w:rsidRPr="0016063F">
        <w:t>human rights absolutes</w:t>
      </w:r>
      <w:r w:rsidR="00203F72" w:rsidRPr="0016063F">
        <w:t>）</w:t>
      </w:r>
      <w:r w:rsidR="00203F72" w:rsidRPr="0016063F">
        <w:footnoteReference w:id="678"/>
      </w:r>
      <w:r w:rsidR="00203F72" w:rsidRPr="0016063F">
        <w:t>。</w:t>
      </w:r>
    </w:p>
    <w:p w14:paraId="12D41CF5" w14:textId="77777777" w:rsidR="00203F72" w:rsidRPr="0016063F" w:rsidRDefault="00E5108F" w:rsidP="00D87D91">
      <w:r w:rsidRPr="0016063F">
        <w:t xml:space="preserve">　　</w:t>
      </w:r>
      <w:r w:rsidR="00203F72" w:rsidRPr="0016063F">
        <w:t>在人權之特色方面，人權具有以下之重要特點</w:t>
      </w:r>
      <w:r w:rsidR="00203F72" w:rsidRPr="0016063F">
        <w:footnoteReference w:id="679"/>
      </w:r>
      <w:r w:rsidR="00203F72" w:rsidRPr="0016063F">
        <w:t>：</w:t>
      </w:r>
      <w:r w:rsidR="00203F72" w:rsidRPr="0016063F">
        <w:t>1.</w:t>
      </w:r>
      <w:r w:rsidR="00203F72" w:rsidRPr="0016063F">
        <w:t>部分之學者，主張個人原本即享有各種之權利，此為「自然人權」或「天賦人權」之思想，此類之主張，接近於人權係來自於「自然權利」；但，亦有論者提出反對之觀點，不承認有所謂之「自然權利」、「自然人權」或「天賦人權」；</w:t>
      </w:r>
      <w:r w:rsidR="00203F72" w:rsidRPr="0016063F">
        <w:t>2.</w:t>
      </w:r>
      <w:r w:rsidR="00203F72" w:rsidRPr="0016063F">
        <w:t>個人為了尋求和平與秩序，遂將個人權利交給國家；</w:t>
      </w:r>
      <w:r w:rsidR="00203F72" w:rsidRPr="0016063F">
        <w:t>3.</w:t>
      </w:r>
      <w:r w:rsidR="00203F72" w:rsidRPr="0016063F">
        <w:t>國家不應侵害個人人權，更應保障人權；</w:t>
      </w:r>
      <w:r w:rsidR="00203F72" w:rsidRPr="0016063F">
        <w:t>4.</w:t>
      </w:r>
      <w:r w:rsidR="00203F72" w:rsidRPr="0016063F">
        <w:t>若國家迫害人權，則人民可推翻國家政權；</w:t>
      </w:r>
      <w:r w:rsidR="00203F72" w:rsidRPr="0016063F">
        <w:t>5.</w:t>
      </w:r>
      <w:r w:rsidR="00203F72" w:rsidRPr="0016063F">
        <w:t>人人生而平等；</w:t>
      </w:r>
      <w:r w:rsidR="00203F72" w:rsidRPr="0016063F">
        <w:t>6.</w:t>
      </w:r>
      <w:r w:rsidR="00203F72" w:rsidRPr="0016063F">
        <w:t>每個人皆有不可轉讓（讓與）之權利，包括生命權、自由權與財產權等；</w:t>
      </w:r>
      <w:r w:rsidR="00203F72" w:rsidRPr="0016063F">
        <w:t>7.</w:t>
      </w:r>
      <w:r w:rsidR="00203F72" w:rsidRPr="0016063F">
        <w:t>人權是一個總體之概念，可被切割成為個人人權（</w:t>
      </w:r>
      <w:r w:rsidR="00203F72" w:rsidRPr="0016063F">
        <w:t>individual right</w:t>
      </w:r>
      <w:r w:rsidR="00203F72" w:rsidRPr="0016063F">
        <w:t>）與集體人權（</w:t>
      </w:r>
      <w:r w:rsidR="00203F72" w:rsidRPr="0016063F">
        <w:t>collective right</w:t>
      </w:r>
      <w:r w:rsidR="00203F72" w:rsidRPr="0016063F">
        <w:t>）；在個人人權部分，可再細分為：自由權利、政治權利與社</w:t>
      </w:r>
      <w:r w:rsidR="00203F72" w:rsidRPr="00A53581">
        <w:t>會權利；</w:t>
      </w:r>
      <w:r w:rsidR="00203F72" w:rsidRPr="0016063F">
        <w:t>在集體人權方面，則可分割為自決權利、發展權利與和平權利；在個人人權之「自由權」部分，尚可再細分為以下之人權：生命權、人身安全權、思想自由權、宗教自由權、言論自由權、集會自由權、結社自由權、遷徒居住自由權、隱私權</w:t>
      </w:r>
      <w:r w:rsidR="00203F72" w:rsidRPr="0016063F">
        <w:t>(</w:t>
      </w:r>
      <w:r w:rsidR="00203F72" w:rsidRPr="0016063F">
        <w:t>含秘密通訊自由權</w:t>
      </w:r>
      <w:r w:rsidR="00203F72" w:rsidRPr="0016063F">
        <w:t>)</w:t>
      </w:r>
      <w:r w:rsidR="00203F72" w:rsidRPr="0016063F">
        <w:t>、財產權、國籍權、婚姻自由平等權與人格權；在個人人權之「政治權」部分，則尚包括：選舉權、被選舉權、服公職權及政治庇護權；在個人「社會權利」部分，包括：社會福利及健康權、受教育權</w:t>
      </w:r>
      <w:r w:rsidR="00203F72" w:rsidRPr="0016063F">
        <w:t>(</w:t>
      </w:r>
      <w:r w:rsidR="00203F72" w:rsidRPr="0016063F">
        <w:t>學習權</w:t>
      </w:r>
      <w:r w:rsidR="00203F72" w:rsidRPr="0016063F">
        <w:t>)</w:t>
      </w:r>
      <w:r w:rsidR="00203F72" w:rsidRPr="0016063F">
        <w:t>、工作權、勞工權及文化權</w:t>
      </w:r>
      <w:r w:rsidR="00203F72" w:rsidRPr="0016063F">
        <w:t>(</w:t>
      </w:r>
      <w:r w:rsidR="00203F72" w:rsidRPr="0016063F">
        <w:t>文化權有以下內涵：</w:t>
      </w:r>
      <w:r w:rsidR="00203F72" w:rsidRPr="0016063F">
        <w:t>(1).</w:t>
      </w:r>
      <w:r w:rsidR="00203F72" w:rsidRPr="0016063F">
        <w:t>人民有權利要求國家提供豐富其生活之文化措施或作為；</w:t>
      </w:r>
      <w:r w:rsidR="00203F72" w:rsidRPr="0016063F">
        <w:t>(2).</w:t>
      </w:r>
      <w:r w:rsidR="00203F72" w:rsidRPr="0016063F">
        <w:t>國家應保護人民在文化產品上之利益）；</w:t>
      </w:r>
      <w:r w:rsidR="00203F72" w:rsidRPr="0016063F">
        <w:t>8.</w:t>
      </w:r>
      <w:r w:rsidR="00203F72" w:rsidRPr="0016063F">
        <w:t>有部分學者反對「自然權利」之思想，取而代之，認為人權是爭取得來的，而非上天</w:t>
      </w:r>
      <w:r w:rsidR="00203F72" w:rsidRPr="0016063F">
        <w:t>(</w:t>
      </w:r>
      <w:r w:rsidR="00203F72" w:rsidRPr="0016063F">
        <w:t>帝</w:t>
      </w:r>
      <w:r w:rsidR="00203F72" w:rsidRPr="0016063F">
        <w:t>)</w:t>
      </w:r>
      <w:r w:rsidR="00203F72" w:rsidRPr="0016063F">
        <w:t>賦予的；</w:t>
      </w:r>
      <w:r w:rsidR="00203F72" w:rsidRPr="0016063F">
        <w:t>9.</w:t>
      </w:r>
      <w:r w:rsidR="00203F72" w:rsidRPr="0016063F">
        <w:t>在人權之發展史方面，計有第一、第二及第三世代人權之進展史；在第一世代之人權，強調公民權利與政治權利；在第二世代之人權，則重</w:t>
      </w:r>
      <w:r w:rsidR="003E240E">
        <w:t>視</w:t>
      </w:r>
      <w:r w:rsidR="00203F72" w:rsidRPr="0016063F">
        <w:t>經濟權、社會權與文化權；在第三世代之人權方面，則聚焦於自然資源永久主權、自決權、發展權、和平權與環境權；第三世代人權之性質，側重於「集體」權利與「團體」權利；</w:t>
      </w:r>
      <w:r w:rsidR="00203F72" w:rsidRPr="0016063F">
        <w:t>10.</w:t>
      </w:r>
      <w:r w:rsidR="00203F72" w:rsidRPr="0016063F">
        <w:t>有論者主張，人權是各自存在差異之人，基於基本承認之共同價值，而向社會提出之訴求，人權是由人們努力爭取而來；</w:t>
      </w:r>
      <w:r w:rsidR="00203F72" w:rsidRPr="0016063F">
        <w:t>11.</w:t>
      </w:r>
      <w:r w:rsidR="00203F72" w:rsidRPr="0016063F">
        <w:t>一個文明社會之國家，有保護人權之責，不論是本國人之人權，或是外國人之人權；</w:t>
      </w:r>
      <w:r w:rsidR="00203F72" w:rsidRPr="0016063F">
        <w:t>12.</w:t>
      </w:r>
      <w:r w:rsidR="00203F72" w:rsidRPr="0016063F">
        <w:t>人類之發展史，或可簡約歸納成為一部奮鬥不懈爭取人權之歷史。</w:t>
      </w:r>
    </w:p>
    <w:p w14:paraId="6E67AE74" w14:textId="77777777" w:rsidR="00203F72" w:rsidRPr="0016063F" w:rsidRDefault="00E5108F" w:rsidP="00D87D91">
      <w:r w:rsidRPr="0016063F">
        <w:t xml:space="preserve">　　</w:t>
      </w:r>
      <w:r w:rsidR="00203F72" w:rsidRPr="0016063F">
        <w:t>在涉及外國人之人權方面，與外國人較具有相關性之人權，如下所述：</w:t>
      </w:r>
      <w:r w:rsidR="00203F72" w:rsidRPr="0016063F">
        <w:t>1.</w:t>
      </w:r>
      <w:r w:rsidR="00203F72" w:rsidRPr="0016063F">
        <w:t>生命權；</w:t>
      </w:r>
      <w:r w:rsidR="00203F72" w:rsidRPr="0016063F">
        <w:t>2.</w:t>
      </w:r>
      <w:r w:rsidR="00203F72" w:rsidRPr="0016063F">
        <w:t>人身自由權；</w:t>
      </w:r>
      <w:r w:rsidR="00203F72" w:rsidRPr="0016063F">
        <w:t>3.</w:t>
      </w:r>
      <w:r w:rsidR="00203F72" w:rsidRPr="0016063F">
        <w:t>居住與遷徒自由權；</w:t>
      </w:r>
      <w:r w:rsidR="00203F72" w:rsidRPr="0016063F">
        <w:t>4.</w:t>
      </w:r>
      <w:r w:rsidR="00203F72" w:rsidRPr="0016063F">
        <w:t>表現自由；</w:t>
      </w:r>
      <w:r w:rsidR="00203F72" w:rsidRPr="0016063F">
        <w:t>5.</w:t>
      </w:r>
      <w:r w:rsidR="00203F72" w:rsidRPr="0016063F">
        <w:t>秘密通訊自由；</w:t>
      </w:r>
      <w:r w:rsidR="00203F72" w:rsidRPr="0016063F">
        <w:t>6.</w:t>
      </w:r>
      <w:r w:rsidR="00203F72" w:rsidRPr="0016063F">
        <w:t>宗教信仰自由；</w:t>
      </w:r>
      <w:r w:rsidR="00203F72" w:rsidRPr="0016063F">
        <w:t>7.</w:t>
      </w:r>
      <w:r w:rsidR="00203F72" w:rsidRPr="0016063F">
        <w:t>集會結社自由；</w:t>
      </w:r>
      <w:r w:rsidR="00203F72" w:rsidRPr="0016063F">
        <w:t>8.</w:t>
      </w:r>
      <w:r w:rsidR="00203F72" w:rsidRPr="0016063F">
        <w:t>生存權；</w:t>
      </w:r>
      <w:r w:rsidR="00203F72" w:rsidRPr="0016063F">
        <w:t>9.</w:t>
      </w:r>
      <w:r w:rsidR="00203F72" w:rsidRPr="0016063F">
        <w:t>工作權；</w:t>
      </w:r>
      <w:r w:rsidR="00203F72" w:rsidRPr="0016063F">
        <w:t>10.</w:t>
      </w:r>
      <w:r w:rsidR="00203F72" w:rsidRPr="0016063F">
        <w:t>財產權；</w:t>
      </w:r>
      <w:r w:rsidR="00203F72" w:rsidRPr="0016063F">
        <w:t>11.</w:t>
      </w:r>
      <w:r w:rsidR="00203F72" w:rsidRPr="0016063F">
        <w:t>婚姻權；</w:t>
      </w:r>
      <w:r w:rsidR="00203F72" w:rsidRPr="0016063F">
        <w:t>12.</w:t>
      </w:r>
      <w:r w:rsidR="00203F72" w:rsidRPr="0016063F">
        <w:t>家庭</w:t>
      </w:r>
      <w:r w:rsidR="00203F72" w:rsidRPr="0016063F">
        <w:t>(</w:t>
      </w:r>
      <w:r w:rsidR="00203F72" w:rsidRPr="0016063F">
        <w:t>團聚</w:t>
      </w:r>
      <w:r w:rsidR="00203F72" w:rsidRPr="0016063F">
        <w:t>)</w:t>
      </w:r>
      <w:r w:rsidR="00203F72" w:rsidRPr="0016063F">
        <w:t>權；</w:t>
      </w:r>
      <w:r w:rsidR="00203F72" w:rsidRPr="0016063F">
        <w:t>13.</w:t>
      </w:r>
      <w:r w:rsidR="00203F72" w:rsidRPr="0016063F">
        <w:t>受教育權；</w:t>
      </w:r>
      <w:r w:rsidR="00203F72" w:rsidRPr="0016063F">
        <w:t>14.</w:t>
      </w:r>
      <w:r w:rsidR="00203F72" w:rsidRPr="0016063F">
        <w:t>訴願權、訟訴權與程序權；</w:t>
      </w:r>
      <w:r w:rsidR="00203F72" w:rsidRPr="0016063F">
        <w:t>15.</w:t>
      </w:r>
      <w:r w:rsidR="00203F72" w:rsidRPr="0016063F">
        <w:t>參政權；</w:t>
      </w:r>
      <w:r w:rsidR="00203F72" w:rsidRPr="0016063F">
        <w:t>16.</w:t>
      </w:r>
      <w:r w:rsidR="00203F72" w:rsidRPr="0016063F">
        <w:t>平等權；</w:t>
      </w:r>
      <w:r w:rsidR="00203F72" w:rsidRPr="0016063F">
        <w:t>17.</w:t>
      </w:r>
      <w:r w:rsidR="00203F72" w:rsidRPr="0016063F">
        <w:t>隱私權；</w:t>
      </w:r>
      <w:r w:rsidR="00203F72" w:rsidRPr="0016063F">
        <w:t>18.</w:t>
      </w:r>
      <w:r w:rsidR="00203F72" w:rsidRPr="0016063F">
        <w:t>資訊自決權；</w:t>
      </w:r>
      <w:r w:rsidR="00203F72" w:rsidRPr="0016063F">
        <w:t>19.</w:t>
      </w:r>
      <w:r w:rsidR="00203F72" w:rsidRPr="0016063F">
        <w:t>身體不受傷害權。在上述之諸多權利中，經常被學者專家們廣為討論之外國人人權之面向，主要集中於「生命權」、「身體不受傷害權」、「人身自由權」、「居住與遷徒自由」、「工作權」、「家庭團聚權」、「訴訟權」、「程序基本權」</w:t>
      </w:r>
      <w:r w:rsidR="00203F72" w:rsidRPr="0016063F">
        <w:t>(</w:t>
      </w:r>
      <w:r w:rsidR="00203F72" w:rsidRPr="0016063F">
        <w:t>或稱為正當程序權</w:t>
      </w:r>
      <w:r w:rsidR="00203F72" w:rsidRPr="0016063F">
        <w:t>)</w:t>
      </w:r>
      <w:r w:rsidR="00203F72" w:rsidRPr="0016063F">
        <w:t>及「平等權」等</w:t>
      </w:r>
      <w:r w:rsidR="00203F72" w:rsidRPr="0016063F">
        <w:footnoteReference w:id="680"/>
      </w:r>
      <w:r w:rsidR="00203F72" w:rsidRPr="0016063F">
        <w:t>。</w:t>
      </w:r>
    </w:p>
    <w:p w14:paraId="1A9C94F9" w14:textId="77777777" w:rsidR="00953151" w:rsidRPr="0016063F" w:rsidRDefault="00E5108F" w:rsidP="00D87D91">
      <w:r w:rsidRPr="0016063F">
        <w:t xml:space="preserve">　　</w:t>
      </w:r>
      <w:r w:rsidR="00203F72" w:rsidRPr="0016063F">
        <w:t>因有鑑於地主國</w:t>
      </w:r>
      <w:r w:rsidR="00203F72" w:rsidRPr="0016063F">
        <w:t>(</w:t>
      </w:r>
      <w:r w:rsidR="00203F72" w:rsidRPr="0016063F">
        <w:t>驅逐國</w:t>
      </w:r>
      <w:r w:rsidR="00203F72" w:rsidRPr="0016063F">
        <w:t>)</w:t>
      </w:r>
      <w:r w:rsidR="00203F72" w:rsidRPr="0016063F">
        <w:t>將外國人驅逐出國，對於外國人之上述諸多人權造成相當大之影響，會直接或間接地嚴重影響外國人在居停留國之諸多權利，如居住自由、遷徒自由、婚姻與家庭團聚權、參與政治之權利、人身自由權（於驅逐出國前之收容）、工作權、財產權、法律上之訴訟權及其他相關之權利等</w:t>
      </w:r>
      <w:r w:rsidR="00203F72" w:rsidRPr="0016063F">
        <w:footnoteReference w:id="681"/>
      </w:r>
      <w:r w:rsidR="00203F72" w:rsidRPr="0016063F">
        <w:t>。基於此種之認知，本書在此部分，擬藉由分析國際法上有關驅逐出國之實際案例，用以闡明國際法對於地主國</w:t>
      </w:r>
      <w:r w:rsidR="00203F72" w:rsidRPr="0016063F">
        <w:t>(</w:t>
      </w:r>
      <w:r w:rsidR="00203F72" w:rsidRPr="0016063F">
        <w:t>驅逐國</w:t>
      </w:r>
      <w:r w:rsidR="00203F72" w:rsidRPr="0016063F">
        <w:t>)</w:t>
      </w:r>
      <w:r w:rsidR="00203F72" w:rsidRPr="0016063F">
        <w:t>於行使驅逐出國權力時，課予地主國</w:t>
      </w:r>
      <w:r w:rsidR="00203F72" w:rsidRPr="0016063F">
        <w:t>(</w:t>
      </w:r>
      <w:r w:rsidR="00203F72" w:rsidRPr="0016063F">
        <w:t>驅逐國</w:t>
      </w:r>
      <w:r w:rsidR="00203F72" w:rsidRPr="0016063F">
        <w:t>)</w:t>
      </w:r>
      <w:r w:rsidR="00203F72" w:rsidRPr="0016063F">
        <w:t>所需履行之義務與責任；另一方面，藉由案例分析之模式，尚可剖析當事人所享有國際法上之相關權利。藉由解析國際法上涉及驅逐出國之實際案例，可歸納出國際法支配驅逐出國規範之若干原理與原則。在選取國際法上有關驅逐出國之實際案例方面，本書則以</w:t>
      </w:r>
      <w:r w:rsidR="00203F72" w:rsidRPr="0016063F">
        <w:t>2010</w:t>
      </w:r>
      <w:r w:rsidR="00203F72" w:rsidRPr="0016063F">
        <w:t>年聯合國國際法院</w:t>
      </w:r>
      <w:r w:rsidR="00203F72" w:rsidRPr="0016063F">
        <w:t>Diallo</w:t>
      </w:r>
      <w:r w:rsidR="00203F72" w:rsidRPr="0016063F">
        <w:t>驅逐出國案例為主要分析之題材。</w:t>
      </w:r>
    </w:p>
    <w:p w14:paraId="040BDF9D" w14:textId="77777777" w:rsidR="00515D85" w:rsidRDefault="00515D85" w:rsidP="00670577">
      <w:pPr>
        <w:jc w:val="right"/>
        <w:rPr>
          <w:rFonts w:ascii="新細明體" w:hAnsi="新細明體"/>
        </w:rPr>
      </w:pPr>
      <w:r w:rsidRPr="0026266A">
        <w:rPr>
          <w:rFonts w:hint="eastAsia"/>
        </w:rPr>
        <w:t>。。。。。。。。。。。。。。。。。。。。。。。。。</w:t>
      </w:r>
      <w:hyperlink w:anchor="a目次36" w:history="1">
        <w:r>
          <w:rPr>
            <w:rStyle w:val="a5"/>
            <w:sz w:val="18"/>
          </w:rPr>
          <w:t>回目次</w:t>
        </w:r>
      </w:hyperlink>
      <w:r w:rsidR="00E91F89">
        <w:rPr>
          <w:rFonts w:ascii="新細明體" w:hAnsi="新細明體"/>
          <w:color w:val="808000"/>
        </w:rPr>
        <w:t>〉〉</w:t>
      </w:r>
    </w:p>
    <w:p w14:paraId="568E44A1" w14:textId="77777777" w:rsidR="00515D85" w:rsidRDefault="00515D85" w:rsidP="00D87D91">
      <w:pPr>
        <w:rPr>
          <w:lang w:bidi="bn-IN"/>
        </w:rPr>
      </w:pPr>
    </w:p>
    <w:p w14:paraId="2AEBAFFA" w14:textId="77777777" w:rsidR="00953151" w:rsidRDefault="00203F72" w:rsidP="00767F37">
      <w:pPr>
        <w:pStyle w:val="2"/>
      </w:pPr>
      <w:bookmarkStart w:id="94" w:name="_貳、2010年聯合國國際法院Diallo驅逐出國案例之案情簡介"/>
      <w:bookmarkEnd w:id="94"/>
      <w:r w:rsidRPr="00A53581">
        <w:t>貳、</w:t>
      </w:r>
      <w:r w:rsidRPr="00A53581">
        <w:t>2010</w:t>
      </w:r>
      <w:r w:rsidRPr="00A53581">
        <w:t>年聯合國國際法院</w:t>
      </w:r>
      <w:r w:rsidRPr="00A53581">
        <w:t>Diallo</w:t>
      </w:r>
      <w:r w:rsidRPr="00A53581">
        <w:t>驅逐出國案例之案情簡介</w:t>
      </w:r>
      <w:r w:rsidRPr="00A53581">
        <w:t xml:space="preserve"> </w:t>
      </w:r>
    </w:p>
    <w:p w14:paraId="2ECADB58" w14:textId="77777777" w:rsidR="00953151" w:rsidRPr="00B167C2" w:rsidRDefault="00E5108F" w:rsidP="00D87D91">
      <w:r w:rsidRPr="00B167C2">
        <w:t xml:space="preserve">　　</w:t>
      </w:r>
      <w:r w:rsidR="00203F72" w:rsidRPr="00B167C2">
        <w:t>在</w:t>
      </w:r>
      <w:r w:rsidR="00203F72" w:rsidRPr="00B167C2">
        <w:t>2010</w:t>
      </w:r>
      <w:r w:rsidR="00203F72" w:rsidRPr="00B167C2">
        <w:t>年</w:t>
      </w:r>
      <w:r w:rsidR="00203F72" w:rsidRPr="00B167C2">
        <w:t>11</w:t>
      </w:r>
      <w:r w:rsidR="00203F72" w:rsidRPr="00B167C2">
        <w:t>月</w:t>
      </w:r>
      <w:r w:rsidR="00203F72" w:rsidRPr="00B167C2">
        <w:t>30</w:t>
      </w:r>
      <w:r w:rsidR="00203F72" w:rsidRPr="00B167C2">
        <w:t>日，聯合國國際法院（</w:t>
      </w:r>
      <w:r w:rsidR="00203F72" w:rsidRPr="00B167C2">
        <w:t>International Court of Justice</w:t>
      </w:r>
      <w:r w:rsidR="00203F72" w:rsidRPr="00B167C2">
        <w:t>，簡稱為</w:t>
      </w:r>
      <w:r w:rsidR="00203F72" w:rsidRPr="00B167C2">
        <w:t>ICJ</w:t>
      </w:r>
      <w:r w:rsidR="00203F72" w:rsidRPr="00B167C2">
        <w:t>）針對於剛果將外國人</w:t>
      </w:r>
      <w:r w:rsidR="00203F72" w:rsidRPr="00B167C2">
        <w:t>Diallo</w:t>
      </w:r>
      <w:r w:rsidR="00203F72" w:rsidRPr="00B167C2">
        <w:t>驅逐出國之案件，作出史上第一個涉及驅逐出國之判決，本案係由幾內亞共和國（</w:t>
      </w:r>
      <w:r w:rsidR="00203F72" w:rsidRPr="00B167C2">
        <w:t>Republic of Guinea</w:t>
      </w:r>
      <w:r w:rsidR="00203F72" w:rsidRPr="00B167C2">
        <w:t>）控告剛果民主共和國（</w:t>
      </w:r>
      <w:r w:rsidR="00203F72" w:rsidRPr="00B167C2">
        <w:t>Democratic Republic of the Congo</w:t>
      </w:r>
      <w:r w:rsidR="00203F72" w:rsidRPr="00B167C2">
        <w:t>，簡稱為</w:t>
      </w:r>
      <w:r w:rsidR="00203F72" w:rsidRPr="00B167C2">
        <w:t>DRC</w:t>
      </w:r>
      <w:r w:rsidR="00203F72" w:rsidRPr="00B167C2">
        <w:t>）；在本案之案情部分，</w:t>
      </w:r>
      <w:r w:rsidR="00203F72" w:rsidRPr="00B167C2">
        <w:t>Diallo</w:t>
      </w:r>
      <w:r w:rsidR="00203F72" w:rsidRPr="00B167C2">
        <w:t>在剛果經營</w:t>
      </w:r>
      <w:r w:rsidR="00203F72" w:rsidRPr="00B167C2">
        <w:t>2</w:t>
      </w:r>
      <w:r w:rsidR="00203F72" w:rsidRPr="00B167C2">
        <w:t>家企業公司，係為剛果政府及其他企業之債權人，</w:t>
      </w:r>
      <w:r w:rsidR="00203F72" w:rsidRPr="00B167C2">
        <w:t>Diallo</w:t>
      </w:r>
      <w:r w:rsidR="00203F72" w:rsidRPr="00B167C2">
        <w:t>並擬向剛果政府及其他企業追討債務，卻於</w:t>
      </w:r>
      <w:r w:rsidR="00203F72" w:rsidRPr="00B167C2">
        <w:t>1995</w:t>
      </w:r>
      <w:r w:rsidR="00203F72" w:rsidRPr="00B167C2">
        <w:t>年及</w:t>
      </w:r>
      <w:r w:rsidR="00203F72" w:rsidRPr="00B167C2">
        <w:t>1996</w:t>
      </w:r>
      <w:r w:rsidR="00203F72" w:rsidRPr="00B167C2">
        <w:t>年，被剛果執法人員逮捕，並被剛果政府驅逐出國。本案後來由幾內亞政府向聯合國國際法院（</w:t>
      </w:r>
      <w:r w:rsidR="00203F72" w:rsidRPr="00B167C2">
        <w:t>International Court of Justice</w:t>
      </w:r>
      <w:r w:rsidR="00203F72" w:rsidRPr="00B167C2">
        <w:t>，以下簡稱</w:t>
      </w:r>
      <w:r w:rsidR="00203F72" w:rsidRPr="00B167C2">
        <w:t>ICJ</w:t>
      </w:r>
      <w:r w:rsidR="00203F72" w:rsidRPr="00B167C2">
        <w:t>）提起控訴，國際法院於</w:t>
      </w:r>
      <w:r w:rsidR="00203F72" w:rsidRPr="00B167C2">
        <w:t>2010</w:t>
      </w:r>
      <w:r w:rsidR="00203F72" w:rsidRPr="00B167C2">
        <w:t>年</w:t>
      </w:r>
      <w:r w:rsidR="00203F72" w:rsidRPr="00B167C2">
        <w:t>11</w:t>
      </w:r>
      <w:r w:rsidR="00203F72" w:rsidRPr="00B167C2">
        <w:t>月</w:t>
      </w:r>
      <w:r w:rsidR="00203F72" w:rsidRPr="00B167C2">
        <w:t>30</w:t>
      </w:r>
      <w:r w:rsidR="00203F72" w:rsidRPr="00B167C2">
        <w:t>日作出終局之判決。</w:t>
      </w:r>
    </w:p>
    <w:p w14:paraId="374D8A6C" w14:textId="77777777" w:rsidR="00953151" w:rsidRPr="00B167C2" w:rsidRDefault="00E5108F" w:rsidP="00D87D91">
      <w:r w:rsidRPr="00B167C2">
        <w:t xml:space="preserve">　　</w:t>
      </w:r>
      <w:r w:rsidR="00203F72" w:rsidRPr="00B167C2">
        <w:t>在上開</w:t>
      </w:r>
      <w:r w:rsidR="00203F72" w:rsidRPr="00B167C2">
        <w:t>Diallo</w:t>
      </w:r>
      <w:r w:rsidR="00203F72" w:rsidRPr="00B167C2">
        <w:t>案例中，有數個關鍵性議題，值得吾人加以留意，茲介紹如下</w:t>
      </w:r>
      <w:r w:rsidR="00203F72" w:rsidRPr="00B167C2">
        <w:footnoteReference w:id="682"/>
      </w:r>
      <w:r w:rsidR="00203F72" w:rsidRPr="00B167C2">
        <w:t>：在違法逮捕方面，剛果政府為了將</w:t>
      </w:r>
      <w:r w:rsidR="00203F72" w:rsidRPr="00B167C2">
        <w:t>Diallo</w:t>
      </w:r>
      <w:r w:rsidR="00203F72" w:rsidRPr="00B167C2">
        <w:t>驅逐出國，於</w:t>
      </w:r>
      <w:r w:rsidR="00203F72" w:rsidRPr="00B167C2">
        <w:t>1995</w:t>
      </w:r>
      <w:r w:rsidR="00203F72" w:rsidRPr="00B167C2">
        <w:t>年及</w:t>
      </w:r>
      <w:r w:rsidR="00203F72" w:rsidRPr="00B167C2">
        <w:t>1996</w:t>
      </w:r>
      <w:r w:rsidR="00203F72" w:rsidRPr="00B167C2">
        <w:t>年對其進行逮捕，但卻未告知</w:t>
      </w:r>
      <w:r w:rsidR="00203F72" w:rsidRPr="00B167C2">
        <w:t>Diallo</w:t>
      </w:r>
      <w:r w:rsidR="00203F72" w:rsidRPr="00B167C2">
        <w:t>逮捕之理由；國際法院認為此項之逮捕，違反</w:t>
      </w:r>
      <w:r w:rsidR="00203F72" w:rsidRPr="00B167C2">
        <w:t>ICCPR</w:t>
      </w:r>
      <w:hyperlink r:id="rId1970" w:anchor="a9" w:history="1">
        <w:r w:rsidR="00203F72" w:rsidRPr="005E7DE2">
          <w:rPr>
            <w:rStyle w:val="a5"/>
            <w:rFonts w:ascii="Times New Roman" w:hAnsi="Times New Roman"/>
          </w:rPr>
          <w:t>第</w:t>
        </w:r>
        <w:r w:rsidR="00203F72" w:rsidRPr="005E7DE2">
          <w:rPr>
            <w:rStyle w:val="a5"/>
            <w:rFonts w:ascii="Times New Roman" w:hAnsi="Times New Roman"/>
          </w:rPr>
          <w:t>9</w:t>
        </w:r>
        <w:r w:rsidR="00203F72" w:rsidRPr="005E7DE2">
          <w:rPr>
            <w:rStyle w:val="a5"/>
            <w:rFonts w:ascii="Times New Roman" w:hAnsi="Times New Roman"/>
          </w:rPr>
          <w:t>條</w:t>
        </w:r>
      </w:hyperlink>
      <w:r w:rsidR="00203F72" w:rsidRPr="00B167C2">
        <w:footnoteReference w:id="683"/>
      </w:r>
      <w:r w:rsidR="00203F72" w:rsidRPr="00B167C2">
        <w:t>第</w:t>
      </w:r>
      <w:r w:rsidR="00203F72" w:rsidRPr="00B167C2">
        <w:t>1</w:t>
      </w:r>
      <w:r w:rsidR="00203F72" w:rsidRPr="00B167C2">
        <w:t>項及第</w:t>
      </w:r>
      <w:r w:rsidR="00203F72" w:rsidRPr="00B167C2">
        <w:t>2</w:t>
      </w:r>
      <w:r w:rsidR="00203F72" w:rsidRPr="00B167C2">
        <w:t>項之規範；同時，亦違反非洲人權憲章（</w:t>
      </w:r>
      <w:r w:rsidR="00203F72" w:rsidRPr="00B167C2">
        <w:t>African Charter on Human and People’s Rights</w:t>
      </w:r>
      <w:r w:rsidR="00203F72" w:rsidRPr="00B167C2">
        <w:t>）第</w:t>
      </w:r>
      <w:r w:rsidR="00203F72" w:rsidRPr="00B167C2">
        <w:t>6</w:t>
      </w:r>
      <w:r w:rsidR="00203F72" w:rsidRPr="00B167C2">
        <w:t>條</w:t>
      </w:r>
      <w:r w:rsidR="00203F72" w:rsidRPr="00B167C2">
        <w:footnoteReference w:id="684"/>
      </w:r>
      <w:r w:rsidR="00203F72" w:rsidRPr="00B167C2">
        <w:t>之規定。國際法院（</w:t>
      </w:r>
      <w:r w:rsidR="00203F72" w:rsidRPr="00B167C2">
        <w:t>International Court of Justice , ICJ</w:t>
      </w:r>
      <w:r w:rsidR="00203F72" w:rsidRPr="00B167C2">
        <w:t>）為何會作出上述之判決？主要之依據之一，係為</w:t>
      </w:r>
      <w:hyperlink r:id="rId1971" w:history="1">
        <w:r w:rsidR="005532CF" w:rsidRPr="005532CF">
          <w:rPr>
            <w:rStyle w:val="a5"/>
            <w:rFonts w:ascii="Times New Roman" w:eastAsia="新細明體" w:hAnsi="Times New Roman"/>
          </w:rPr>
          <w:t>ICCPR</w:t>
        </w:r>
      </w:hyperlink>
      <w:r w:rsidR="00203F72" w:rsidRPr="00B167C2">
        <w:t>人權</w:t>
      </w:r>
      <w:r w:rsidR="00203F72" w:rsidRPr="00B167C2">
        <w:t>(</w:t>
      </w:r>
      <w:r w:rsidR="00203F72" w:rsidRPr="00B167C2">
        <w:t>事務</w:t>
      </w:r>
      <w:r w:rsidR="00203F72" w:rsidRPr="00B167C2">
        <w:t>)</w:t>
      </w:r>
      <w:r w:rsidR="00203F72" w:rsidRPr="00B167C2">
        <w:t>委員會（</w:t>
      </w:r>
      <w:r w:rsidR="00203F72" w:rsidRPr="00B167C2">
        <w:t>Human Rights Committee</w:t>
      </w:r>
      <w:r w:rsidR="00203F72" w:rsidRPr="00B167C2">
        <w:t>，以下簡稱為</w:t>
      </w:r>
      <w:r w:rsidR="00203F72" w:rsidRPr="00B167C2">
        <w:t>HRC</w:t>
      </w:r>
      <w:r w:rsidR="00203F72" w:rsidRPr="00B167C2">
        <w:t>）於</w:t>
      </w:r>
      <w:r w:rsidR="00203F72" w:rsidRPr="00B167C2">
        <w:t>1982</w:t>
      </w:r>
      <w:r w:rsidR="00203F72" w:rsidRPr="00B167C2">
        <w:t>年</w:t>
      </w:r>
      <w:r w:rsidR="00203F72" w:rsidRPr="00B167C2">
        <w:t>6</w:t>
      </w:r>
      <w:r w:rsidR="00203F72" w:rsidRPr="00B167C2">
        <w:t>月針對</w:t>
      </w:r>
      <w:r w:rsidR="00385B82">
        <w:t>ICCPR</w:t>
      </w:r>
      <w:hyperlink r:id="rId1972"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人身自由權與人身安全之議題，所通過之第</w:t>
      </w:r>
      <w:r w:rsidR="00203F72" w:rsidRPr="00B167C2">
        <w:t>8</w:t>
      </w:r>
      <w:r w:rsidR="00203F72" w:rsidRPr="00B167C2">
        <w:t>號一般性評論意見</w:t>
      </w:r>
      <w:r w:rsidR="00203F72" w:rsidRPr="00B167C2">
        <w:footnoteReference w:id="685"/>
      </w:r>
      <w:r w:rsidR="00203F72" w:rsidRPr="00B167C2">
        <w:t>。</w:t>
      </w:r>
    </w:p>
    <w:p w14:paraId="34C427B4" w14:textId="77777777" w:rsidR="00953151" w:rsidRPr="00B167C2" w:rsidRDefault="00E5108F" w:rsidP="00D87D91">
      <w:r w:rsidRPr="00B167C2">
        <w:t xml:space="preserve">　　</w:t>
      </w:r>
      <w:r w:rsidR="00203F72" w:rsidRPr="00B167C2">
        <w:t>根據上述</w:t>
      </w:r>
      <w:r w:rsidR="00203F72" w:rsidRPr="00B167C2">
        <w:t>HRC</w:t>
      </w:r>
      <w:r w:rsidR="00203F72" w:rsidRPr="00B167C2">
        <w:t>之評論意見，</w:t>
      </w:r>
      <w:r w:rsidR="00385B82">
        <w:t>ICCPR</w:t>
      </w:r>
      <w:hyperlink r:id="rId1973"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1</w:t>
      </w:r>
      <w:r w:rsidR="00203F72" w:rsidRPr="00B167C2">
        <w:t>項、第</w:t>
      </w:r>
      <w:r w:rsidR="00203F72" w:rsidRPr="00B167C2">
        <w:t>2</w:t>
      </w:r>
      <w:r w:rsidR="00203F72" w:rsidRPr="00B167C2">
        <w:t>項及非洲人權憲章第</w:t>
      </w:r>
      <w:r w:rsidR="00203F72" w:rsidRPr="00B167C2">
        <w:t>6</w:t>
      </w:r>
      <w:r w:rsidR="00203F72" w:rsidRPr="00B167C2">
        <w:t>條之規定，可適用至由政府之公共執法機關（</w:t>
      </w:r>
      <w:r w:rsidR="00203F72" w:rsidRPr="00B167C2">
        <w:t>a public authority</w:t>
      </w:r>
      <w:r w:rsidR="00203F72" w:rsidRPr="00B167C2">
        <w:t>）所發動之任何形式之逮捕（</w:t>
      </w:r>
      <w:r w:rsidR="00203F72" w:rsidRPr="00B167C2">
        <w:t>any form of arrest</w:t>
      </w:r>
      <w:r w:rsidR="00203F72" w:rsidRPr="00B167C2">
        <w:t>），或者，任何形態之拘留（收容）（</w:t>
      </w:r>
      <w:r w:rsidR="00203F72" w:rsidRPr="00B167C2">
        <w:t>any form of detention</w:t>
      </w:r>
      <w:r w:rsidR="00203F72" w:rsidRPr="00B167C2">
        <w:t>），而不論其法律之基礎為何？亦不論其欲達成之目標為何？是以，</w:t>
      </w:r>
      <w:r w:rsidR="00203F72" w:rsidRPr="00B167C2">
        <w:t>ICJ</w:t>
      </w:r>
      <w:r w:rsidR="00203F72" w:rsidRPr="00B167C2">
        <w:t>根據上述</w:t>
      </w:r>
      <w:r w:rsidR="00203F72" w:rsidRPr="00B167C2">
        <w:t>HRC 1982</w:t>
      </w:r>
      <w:r w:rsidR="00203F72" w:rsidRPr="00B167C2">
        <w:t>年之第</w:t>
      </w:r>
      <w:r w:rsidR="00203F72" w:rsidRPr="00B167C2">
        <w:t>8</w:t>
      </w:r>
      <w:r w:rsidR="00203F72" w:rsidRPr="00B167C2">
        <w:t>號一般性評論之意見，推導出上述</w:t>
      </w:r>
      <w:r w:rsidR="00385B82">
        <w:t>ICCPR</w:t>
      </w:r>
      <w:hyperlink r:id="rId1974"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1</w:t>
      </w:r>
      <w:r w:rsidR="00203F72" w:rsidRPr="00B167C2">
        <w:t>項、第</w:t>
      </w:r>
      <w:r w:rsidR="00203F72" w:rsidRPr="00B167C2">
        <w:t>2</w:t>
      </w:r>
      <w:r w:rsidR="00203F72" w:rsidRPr="00B167C2">
        <w:t>項與非洲人權憲章第</w:t>
      </w:r>
      <w:r w:rsidR="00203F72" w:rsidRPr="00B167C2">
        <w:t>6</w:t>
      </w:r>
      <w:r w:rsidR="00203F72" w:rsidRPr="00B167C2">
        <w:t>條等相關條款之可適用範圍，並不限於刑事訴訟之程序（</w:t>
      </w:r>
      <w:r w:rsidR="00203F72" w:rsidRPr="00B167C2">
        <w:t>is not confined to criminal proceedings</w:t>
      </w:r>
      <w:r w:rsidR="00203F72" w:rsidRPr="00B167C2">
        <w:t>）；這些條款之適用範疇，包括國家行政機關為了達到行政目的，於行政程序之中（</w:t>
      </w:r>
      <w:r w:rsidR="00203F72" w:rsidRPr="00B167C2">
        <w:t>administrative procedure</w:t>
      </w:r>
      <w:r w:rsidR="00203F72" w:rsidRPr="00B167C2">
        <w:t>），剝奪個人自由（</w:t>
      </w:r>
      <w:r w:rsidR="00203F72" w:rsidRPr="00B167C2">
        <w:t>deprive individuals of their liberty</w:t>
      </w:r>
      <w:r w:rsidR="00203F72" w:rsidRPr="00B167C2">
        <w:t>）所採行之措施。</w:t>
      </w:r>
    </w:p>
    <w:p w14:paraId="6433EF64" w14:textId="77777777" w:rsidR="00953151" w:rsidRPr="00B167C2" w:rsidRDefault="00E5108F" w:rsidP="00D87D91">
      <w:r w:rsidRPr="00B167C2">
        <w:t xml:space="preserve">　　</w:t>
      </w:r>
      <w:r w:rsidR="00203F72" w:rsidRPr="00B167C2">
        <w:t>國家為了能將外國人驅逐出國，不論主權國家所使用之名義，究竟係為強制遣送出境（</w:t>
      </w:r>
      <w:r w:rsidR="00203F72" w:rsidRPr="00B167C2">
        <w:t>forcible removal</w:t>
      </w:r>
      <w:r w:rsidR="00203F72" w:rsidRPr="00B167C2">
        <w:t>）之方式，迫使其強制出國，或「驅逐出國</w:t>
      </w:r>
      <w:r w:rsidR="00203F72" w:rsidRPr="00B167C2">
        <w:t>(</w:t>
      </w:r>
      <w:r w:rsidR="00203F72" w:rsidRPr="00B167C2">
        <w:t>境</w:t>
      </w:r>
      <w:r w:rsidR="00203F72" w:rsidRPr="00B167C2">
        <w:t>)</w:t>
      </w:r>
      <w:r w:rsidR="00203F72" w:rsidRPr="00B167C2">
        <w:t>」（</w:t>
      </w:r>
      <w:r w:rsidR="00203F72" w:rsidRPr="00B167C2">
        <w:t>expulsion</w:t>
      </w:r>
      <w:r w:rsidR="00203F72" w:rsidRPr="00B167C2">
        <w:t>），或「推回」（</w:t>
      </w:r>
      <w:r w:rsidR="00203F72" w:rsidRPr="00B167C2">
        <w:t>refoulement</w:t>
      </w:r>
      <w:r w:rsidR="00203F72" w:rsidRPr="00B167C2">
        <w:t>）；亦不論其是採行刑事訴訟或移民行政之程序，</w:t>
      </w:r>
      <w:r w:rsidR="00385B82">
        <w:t>ICCPR</w:t>
      </w:r>
      <w:hyperlink r:id="rId1975"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項條款之精華，在於「任何被逮捕之人，在被逮捕時，應被告知逮捕他（她）之理由，並應被迅速告知對他提出之任何指控。」</w:t>
      </w:r>
      <w:r w:rsidR="00203F72" w:rsidRPr="00B167C2">
        <w:t>ICJ</w:t>
      </w:r>
      <w:r w:rsidR="00203F72" w:rsidRPr="00B167C2">
        <w:t>認為，在上述</w:t>
      </w:r>
      <w:r w:rsidR="00385B82">
        <w:t>ICCPR</w:t>
      </w:r>
      <w:hyperlink r:id="rId1976"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項之規定中，告知被逮捕之人任何之指控（</w:t>
      </w:r>
      <w:r w:rsidR="00203F72" w:rsidRPr="00B167C2">
        <w:t>informed of any charges</w:t>
      </w:r>
      <w:r w:rsidR="00203F72" w:rsidRPr="00B167C2">
        <w:t>）之乙事，係為上述刑事訴訟過程中，唯一有意義（</w:t>
      </w:r>
      <w:r w:rsidR="00203F72" w:rsidRPr="00B167C2">
        <w:t>only meaningful</w:t>
      </w:r>
      <w:r w:rsidR="00203F72" w:rsidRPr="00B167C2">
        <w:t>）之事。由於</w:t>
      </w:r>
      <w:r w:rsidR="00385B82">
        <w:t>ICCPR</w:t>
      </w:r>
      <w:hyperlink r:id="rId1977"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項亦適用於行政之逮捕過程之中，故為了達到將外國人驅逐出國</w:t>
      </w:r>
      <w:r w:rsidR="00203F72" w:rsidRPr="00B167C2">
        <w:t>(</w:t>
      </w:r>
      <w:r w:rsidR="00203F72" w:rsidRPr="00B167C2">
        <w:t>境</w:t>
      </w:r>
      <w:r w:rsidR="00203F72" w:rsidRPr="00B167C2">
        <w:t>)</w:t>
      </w:r>
      <w:r w:rsidR="00203F72" w:rsidRPr="00B167C2">
        <w:t>之目的，所進行之移民行政逮捕，亦須遵從上述之要求</w:t>
      </w:r>
      <w:r w:rsidR="00203F72" w:rsidRPr="00B167C2">
        <w:footnoteReference w:id="686"/>
      </w:r>
      <w:r w:rsidR="00203F72" w:rsidRPr="00B167C2">
        <w:t>。</w:t>
      </w:r>
    </w:p>
    <w:p w14:paraId="3773C8B6" w14:textId="77777777" w:rsidR="00953151" w:rsidRPr="00B167C2" w:rsidRDefault="00E5108F" w:rsidP="00D87D91">
      <w:r w:rsidRPr="00B167C2">
        <w:t xml:space="preserve">　　</w:t>
      </w:r>
      <w:r w:rsidR="00203F72" w:rsidRPr="00B167C2">
        <w:t>於</w:t>
      </w:r>
      <w:r w:rsidR="00203F72" w:rsidRPr="00B167C2">
        <w:t>1996</w:t>
      </w:r>
      <w:r w:rsidR="00203F72" w:rsidRPr="00B167C2">
        <w:t>年元月時，剛果共和國（</w:t>
      </w:r>
      <w:r w:rsidR="00203F72" w:rsidRPr="00B167C2">
        <w:t>Democratic Republic of the Congo</w:t>
      </w:r>
      <w:r w:rsidR="00203F72" w:rsidRPr="00B167C2">
        <w:t>，以下簡稱為</w:t>
      </w:r>
      <w:r w:rsidR="00203F72" w:rsidRPr="00B167C2">
        <w:t>DRC</w:t>
      </w:r>
      <w:r w:rsidR="00203F72" w:rsidRPr="00B167C2">
        <w:t>）將</w:t>
      </w:r>
      <w:r w:rsidR="00203F72" w:rsidRPr="00B167C2">
        <w:t>Diallo</w:t>
      </w:r>
      <w:r w:rsidR="00203F72" w:rsidRPr="00B167C2">
        <w:t>加以逮捕，在當時，</w:t>
      </w:r>
      <w:r w:rsidR="00203F72" w:rsidRPr="00B167C2">
        <w:t>Diallo</w:t>
      </w:r>
      <w:r w:rsidR="00203F72" w:rsidRPr="00B167C2">
        <w:t>並未被告知逮捕他之任何理由，亦未被告知任何之指控。事實上</w:t>
      </w:r>
      <w:r w:rsidR="00203F72" w:rsidRPr="00B167C2">
        <w:t>DRC</w:t>
      </w:r>
      <w:r w:rsidR="00203F72" w:rsidRPr="00B167C2">
        <w:t>之所以會逮捕</w:t>
      </w:r>
      <w:r w:rsidR="00203F72" w:rsidRPr="00B167C2">
        <w:t>Diallo</w:t>
      </w:r>
      <w:r w:rsidR="00203F72" w:rsidRPr="00B167C2">
        <w:t>，主要之理由，出於執行驅逐出國</w:t>
      </w:r>
      <w:r w:rsidR="00203F72" w:rsidRPr="00B167C2">
        <w:t>(</w:t>
      </w:r>
      <w:r w:rsidR="00203F72" w:rsidRPr="00B167C2">
        <w:t>境</w:t>
      </w:r>
      <w:r w:rsidR="00203F72" w:rsidRPr="00B167C2">
        <w:t>)</w:t>
      </w:r>
      <w:r w:rsidR="00203F72" w:rsidRPr="00B167C2">
        <w:t>之命令（</w:t>
      </w:r>
      <w:r w:rsidR="00203F72" w:rsidRPr="00B167C2">
        <w:t>an expulsion decree</w:t>
      </w:r>
      <w:r w:rsidR="00203F72" w:rsidRPr="00B167C2">
        <w:t>）之所需，準備將</w:t>
      </w:r>
      <w:r w:rsidR="00203F72" w:rsidRPr="00B167C2">
        <w:t>Diallo</w:t>
      </w:r>
      <w:r w:rsidR="00203F72" w:rsidRPr="00B167C2">
        <w:t>逮捕之後，再將其從剛果之領土內，強制遣送出境（</w:t>
      </w:r>
      <w:r w:rsidR="00203F72" w:rsidRPr="00B167C2">
        <w:t>forcibly removed</w:t>
      </w:r>
      <w:r w:rsidR="00203F72" w:rsidRPr="00B167C2">
        <w:t>）</w:t>
      </w:r>
      <w:r w:rsidR="00203F72" w:rsidRPr="00B167C2">
        <w:footnoteReference w:id="687"/>
      </w:r>
      <w:r w:rsidR="00203F72" w:rsidRPr="00B167C2">
        <w:t>。在</w:t>
      </w:r>
      <w:r w:rsidR="00203F72" w:rsidRPr="00B167C2">
        <w:t>Diallo</w:t>
      </w:r>
      <w:r w:rsidR="00203F72" w:rsidRPr="00B167C2">
        <w:t>真正遭到</w:t>
      </w:r>
      <w:r w:rsidR="00203F72" w:rsidRPr="00B167C2">
        <w:t>DRC</w:t>
      </w:r>
      <w:r w:rsidR="00203F72" w:rsidRPr="00B167C2">
        <w:t>驅逐出國</w:t>
      </w:r>
      <w:r w:rsidR="00203F72" w:rsidRPr="00B167C2">
        <w:t>(</w:t>
      </w:r>
      <w:r w:rsidR="00203F72" w:rsidRPr="00B167C2">
        <w:t>境</w:t>
      </w:r>
      <w:r w:rsidR="00203F72" w:rsidRPr="00B167C2">
        <w:t>)</w:t>
      </w:r>
      <w:r w:rsidR="00203F72" w:rsidRPr="00B167C2">
        <w:t>之當日，</w:t>
      </w:r>
      <w:r w:rsidR="00203F72" w:rsidRPr="00B167C2">
        <w:t>Diallo</w:t>
      </w:r>
      <w:r w:rsidR="00203F72" w:rsidRPr="00B167C2">
        <w:t>雖有被告知理由，但卻為不正確之資訊，</w:t>
      </w:r>
      <w:r w:rsidR="00203F72" w:rsidRPr="00B167C2">
        <w:t>Diallo</w:t>
      </w:r>
      <w:r w:rsidR="00203F72" w:rsidRPr="00B167C2">
        <w:t>被告知因其於</w:t>
      </w:r>
      <w:r w:rsidR="00203F72" w:rsidRPr="00B167C2">
        <w:t>DRC</w:t>
      </w:r>
      <w:r w:rsidR="00203F72" w:rsidRPr="00B167C2">
        <w:t>非法停留（</w:t>
      </w:r>
      <w:r w:rsidR="00203F72" w:rsidRPr="00B167C2">
        <w:t>illegal residence</w:t>
      </w:r>
      <w:r w:rsidR="00203F72" w:rsidRPr="00B167C2">
        <w:t>）之故，故須被「推回」（</w:t>
      </w:r>
      <w:r w:rsidR="00203F72" w:rsidRPr="00B167C2">
        <w:t>refoulement</w:t>
      </w:r>
      <w:r w:rsidR="00203F72" w:rsidRPr="00B167C2">
        <w:t>）至其來源國。</w:t>
      </w:r>
      <w:r w:rsidR="00203F72" w:rsidRPr="00B167C2">
        <w:t>ICJ</w:t>
      </w:r>
      <w:r w:rsidR="00203F72" w:rsidRPr="00B167C2">
        <w:t>認為，上述之告知，並不符合</w:t>
      </w:r>
      <w:r w:rsidR="00385B82">
        <w:t>ICCPR</w:t>
      </w:r>
      <w:hyperlink r:id="rId1978"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項之告知要求規範；</w:t>
      </w:r>
      <w:r w:rsidR="00203F72" w:rsidRPr="00B167C2">
        <w:t>DRC</w:t>
      </w:r>
      <w:r w:rsidR="00203F72" w:rsidRPr="00B167C2">
        <w:t>於</w:t>
      </w:r>
      <w:r w:rsidR="00203F72" w:rsidRPr="00B167C2">
        <w:t>1996</w:t>
      </w:r>
      <w:r w:rsidR="00203F72" w:rsidRPr="00B167C2">
        <w:t>年元月對於</w:t>
      </w:r>
      <w:r w:rsidR="00203F72" w:rsidRPr="00B167C2">
        <w:t>Diallo</w:t>
      </w:r>
      <w:r w:rsidR="00203F72" w:rsidRPr="00B167C2">
        <w:t>之行政逮捕，違反上述</w:t>
      </w:r>
      <w:r w:rsidR="00385B82">
        <w:t>ICCPR</w:t>
      </w:r>
      <w:hyperlink r:id="rId1979"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項之規範，屬於國際法上之不法行為</w:t>
      </w:r>
      <w:r w:rsidR="00203F72" w:rsidRPr="00B167C2">
        <w:footnoteReference w:id="688"/>
      </w:r>
      <w:r w:rsidR="00203F72" w:rsidRPr="00B167C2">
        <w:t>。</w:t>
      </w:r>
    </w:p>
    <w:p w14:paraId="6FE7D1D8" w14:textId="77777777" w:rsidR="00953151" w:rsidRPr="00B167C2" w:rsidRDefault="00E5108F" w:rsidP="00D87D91">
      <w:r w:rsidRPr="00B167C2">
        <w:t xml:space="preserve">　　</w:t>
      </w:r>
      <w:r w:rsidR="00203F72" w:rsidRPr="00B167C2">
        <w:t>此外，</w:t>
      </w:r>
      <w:r w:rsidR="00203F72" w:rsidRPr="00B167C2">
        <w:t>ICJ</w:t>
      </w:r>
      <w:r w:rsidR="00203F72" w:rsidRPr="00B167C2">
        <w:t>亦認為</w:t>
      </w:r>
      <w:r w:rsidR="00203F72" w:rsidRPr="00B167C2">
        <w:t>DRC</w:t>
      </w:r>
      <w:r w:rsidR="00203F72" w:rsidRPr="00B167C2">
        <w:t>對於</w:t>
      </w:r>
      <w:r w:rsidR="00203F72" w:rsidRPr="00B167C2">
        <w:t>Diallo</w:t>
      </w:r>
      <w:r w:rsidR="00203F72" w:rsidRPr="00B167C2">
        <w:t>所採取之「移民收容」措施，是屬於違法之收容；在</w:t>
      </w:r>
      <w:r w:rsidR="00203F72" w:rsidRPr="00B167C2">
        <w:t>ICJ</w:t>
      </w:r>
      <w:r w:rsidR="00203F72" w:rsidRPr="00B167C2">
        <w:t>之所有</w:t>
      </w:r>
      <w:r w:rsidR="00203F72" w:rsidRPr="00B167C2">
        <w:t>14</w:t>
      </w:r>
      <w:r w:rsidR="00203F72" w:rsidRPr="00B167C2">
        <w:t>位國際法官中，全部無異議地認為上述</w:t>
      </w:r>
      <w:r w:rsidR="00203F72" w:rsidRPr="00B167C2">
        <w:t>DRC</w:t>
      </w:r>
      <w:r w:rsidR="00203F72" w:rsidRPr="00B167C2">
        <w:t>對於</w:t>
      </w:r>
      <w:r w:rsidR="00203F72" w:rsidRPr="00B167C2">
        <w:t>Diallo</w:t>
      </w:r>
      <w:r w:rsidR="00203F72" w:rsidRPr="00B167C2">
        <w:t>於</w:t>
      </w:r>
      <w:r w:rsidR="00203F72" w:rsidRPr="00B167C2">
        <w:t>1995</w:t>
      </w:r>
      <w:r w:rsidR="00203F72" w:rsidRPr="00B167C2">
        <w:t>年至</w:t>
      </w:r>
      <w:r w:rsidR="00203F72" w:rsidRPr="00B167C2">
        <w:t>1996</w:t>
      </w:r>
      <w:r w:rsidR="00203F72" w:rsidRPr="00B167C2">
        <w:t>年間之移民收容，違反</w:t>
      </w:r>
      <w:r w:rsidR="00385B82">
        <w:t>ICCPR</w:t>
      </w:r>
      <w:hyperlink r:id="rId1980"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1</w:t>
      </w:r>
      <w:r w:rsidR="00203F72" w:rsidRPr="00B167C2">
        <w:t>項之要求，主要之理由，係移民收容之法律程序違法。依據</w:t>
      </w:r>
      <w:r w:rsidR="00203F72" w:rsidRPr="00B167C2">
        <w:t>DRC 1983</w:t>
      </w:r>
      <w:r w:rsidR="00203F72" w:rsidRPr="00B167C2">
        <w:t>年</w:t>
      </w:r>
      <w:r w:rsidR="00203F72" w:rsidRPr="00B167C2">
        <w:t>9</w:t>
      </w:r>
      <w:r w:rsidR="00203F72" w:rsidRPr="00B167C2">
        <w:t>月</w:t>
      </w:r>
      <w:r w:rsidR="00203F72" w:rsidRPr="00B167C2">
        <w:t>12</w:t>
      </w:r>
      <w:r w:rsidR="00203F72" w:rsidRPr="00B167C2">
        <w:t>日有關於入出國管理之「立法法規」（</w:t>
      </w:r>
      <w:r w:rsidR="00203F72" w:rsidRPr="00B167C2">
        <w:t>Legislative Order</w:t>
      </w:r>
      <w:r w:rsidR="00203F72" w:rsidRPr="00B167C2">
        <w:t>）第</w:t>
      </w:r>
      <w:r w:rsidR="00203F72" w:rsidRPr="00B167C2">
        <w:t>15</w:t>
      </w:r>
      <w:r w:rsidR="00203F72" w:rsidRPr="00B167C2">
        <w:t>條之規定，假若外國人遭受驅逐出國之處分，如有脫逃之虞者，則可對上開之外國人加以拘留（</w:t>
      </w:r>
      <w:r w:rsidR="00203F72" w:rsidRPr="00B167C2">
        <w:t>imprisoned</w:t>
      </w:r>
      <w:r w:rsidR="00203F72" w:rsidRPr="00B167C2">
        <w:t>）；第</w:t>
      </w:r>
      <w:r w:rsidR="00203F72" w:rsidRPr="00B167C2">
        <w:t>1</w:t>
      </w:r>
      <w:r w:rsidR="00203F72" w:rsidRPr="00B167C2">
        <w:t>次拘留（收容）之期限，係為</w:t>
      </w:r>
      <w:r w:rsidR="00203F72" w:rsidRPr="00B167C2">
        <w:t>48</w:t>
      </w:r>
      <w:r w:rsidR="00203F72" w:rsidRPr="00B167C2">
        <w:t>個小時；但如有必要，則每次可延長拘留</w:t>
      </w:r>
      <w:r w:rsidR="00203F72" w:rsidRPr="00B167C2">
        <w:t>48</w:t>
      </w:r>
      <w:r w:rsidR="00203F72" w:rsidRPr="00B167C2">
        <w:t>小時，但累積最長之拘留期限，不得超過</w:t>
      </w:r>
      <w:r w:rsidR="00203F72" w:rsidRPr="00B167C2">
        <w:t>8</w:t>
      </w:r>
      <w:r w:rsidR="00203F72" w:rsidRPr="00B167C2">
        <w:t>日。</w:t>
      </w:r>
    </w:p>
    <w:p w14:paraId="2B6A429B" w14:textId="77777777" w:rsidR="00953151" w:rsidRPr="00B167C2" w:rsidRDefault="00E5108F" w:rsidP="00D87D91">
      <w:r w:rsidRPr="00B167C2">
        <w:t xml:space="preserve">　　</w:t>
      </w:r>
      <w:r w:rsidR="00203F72" w:rsidRPr="00B167C2">
        <w:t>以上，是</w:t>
      </w:r>
      <w:r w:rsidR="00203F72" w:rsidRPr="00B167C2">
        <w:t>DRC</w:t>
      </w:r>
      <w:r w:rsidR="00203F72" w:rsidRPr="00B167C2">
        <w:t>對於移民收容程序上之法律規範。</w:t>
      </w:r>
      <w:r w:rsidR="00203F72" w:rsidRPr="00B167C2">
        <w:t>ICJ</w:t>
      </w:r>
      <w:r w:rsidR="00203F72" w:rsidRPr="00B167C2">
        <w:t>審理本案之後，發現</w:t>
      </w:r>
      <w:r w:rsidR="00203F72" w:rsidRPr="00B167C2">
        <w:t>DRC</w:t>
      </w:r>
      <w:r w:rsidR="00203F72" w:rsidRPr="00B167C2">
        <w:t>向國際法院所提交之證據，無法證明</w:t>
      </w:r>
      <w:r w:rsidR="00203F72" w:rsidRPr="00B167C2">
        <w:t>Diallo</w:t>
      </w:r>
      <w:r w:rsidR="00203F72" w:rsidRPr="00B167C2">
        <w:t>於收受遭受驅逐出國處分之後，有脫逃之虞（</w:t>
      </w:r>
      <w:r w:rsidR="00203F72" w:rsidRPr="00B167C2">
        <w:t>likely to evade implementation of the expulsion decree</w:t>
      </w:r>
      <w:r w:rsidR="00203F72" w:rsidRPr="00B167C2">
        <w:t>）；以及，究竟是否有必要加以收容？</w:t>
      </w:r>
      <w:r w:rsidR="00203F72" w:rsidRPr="00B167C2">
        <w:t>DRC</w:t>
      </w:r>
      <w:r w:rsidR="00203F72" w:rsidRPr="00B167C2">
        <w:t>無法提出證明。在</w:t>
      </w:r>
      <w:r w:rsidR="00203F72" w:rsidRPr="00B167C2">
        <w:t>1995</w:t>
      </w:r>
      <w:r w:rsidR="00203F72" w:rsidRPr="00B167C2">
        <w:t>年</w:t>
      </w:r>
      <w:r w:rsidR="00203F72" w:rsidRPr="00B167C2">
        <w:t>11</w:t>
      </w:r>
      <w:r w:rsidR="00203F72" w:rsidRPr="00B167C2">
        <w:t>月</w:t>
      </w:r>
      <w:r w:rsidR="00203F72" w:rsidRPr="00B167C2">
        <w:t>5</w:t>
      </w:r>
      <w:r w:rsidR="00203F72" w:rsidRPr="00B167C2">
        <w:t>日，</w:t>
      </w:r>
      <w:r w:rsidR="00203F72" w:rsidRPr="00B167C2">
        <w:t>Diallo</w:t>
      </w:r>
      <w:r w:rsidR="00203F72" w:rsidRPr="00B167C2">
        <w:t>遭到第</w:t>
      </w:r>
      <w:r w:rsidR="00203F72" w:rsidRPr="00B167C2">
        <w:t>1</w:t>
      </w:r>
      <w:r w:rsidR="00203F72" w:rsidRPr="00B167C2">
        <w:t>次逮捕，非法收容至</w:t>
      </w:r>
      <w:r w:rsidR="00203F72" w:rsidRPr="00B167C2">
        <w:t>1996</w:t>
      </w:r>
      <w:r w:rsidR="00203F72" w:rsidRPr="00B167C2">
        <w:t>年元月</w:t>
      </w:r>
      <w:r w:rsidR="00203F72" w:rsidRPr="00B167C2">
        <w:t>10</w:t>
      </w:r>
      <w:r w:rsidR="00203F72" w:rsidRPr="00B167C2">
        <w:t>日，始被釋放。事實上，於</w:t>
      </w:r>
      <w:r w:rsidR="00203F72" w:rsidRPr="00B167C2">
        <w:t>1996</w:t>
      </w:r>
      <w:r w:rsidR="00203F72" w:rsidRPr="00B167C2">
        <w:t>年元月</w:t>
      </w:r>
      <w:r w:rsidR="00203F72" w:rsidRPr="00B167C2">
        <w:t>10</w:t>
      </w:r>
      <w:r w:rsidR="00203F72" w:rsidRPr="00B167C2">
        <w:t>日</w:t>
      </w:r>
      <w:r w:rsidR="00203F72" w:rsidRPr="00B167C2">
        <w:t>Diallo</w:t>
      </w:r>
      <w:r w:rsidR="00203F72" w:rsidRPr="00B167C2">
        <w:t>被釋放之日，他並未為了避免被驅逐出國而企圖脫逃；基於</w:t>
      </w:r>
      <w:r w:rsidR="00203F72" w:rsidRPr="00B167C2">
        <w:t>Diallo</w:t>
      </w:r>
      <w:r w:rsidR="00203F72" w:rsidRPr="00B167C2">
        <w:t>無脫逃之意圖與行為，</w:t>
      </w:r>
      <w:r w:rsidR="00203F72" w:rsidRPr="00B167C2">
        <w:t>ICJ</w:t>
      </w:r>
      <w:r w:rsidR="00203F72" w:rsidRPr="00B167C2">
        <w:t>認定</w:t>
      </w:r>
      <w:r w:rsidR="00203F72" w:rsidRPr="00B167C2">
        <w:t>DRC</w:t>
      </w:r>
      <w:r w:rsidR="00203F72" w:rsidRPr="00B167C2">
        <w:t>對</w:t>
      </w:r>
      <w:r w:rsidR="00203F72" w:rsidRPr="00B167C2">
        <w:t>Diallo</w:t>
      </w:r>
      <w:r w:rsidR="00203F72" w:rsidRPr="00B167C2">
        <w:t>之移民收容，顯非必要（</w:t>
      </w:r>
      <w:r w:rsidR="00203F72" w:rsidRPr="00B167C2">
        <w:t>no need for his detention</w:t>
      </w:r>
      <w:r w:rsidR="00203F72" w:rsidRPr="00B167C2">
        <w:t>）。</w:t>
      </w:r>
    </w:p>
    <w:p w14:paraId="268A06F5" w14:textId="77777777" w:rsidR="00953151" w:rsidRPr="00B167C2" w:rsidRDefault="00E5108F" w:rsidP="00D87D91">
      <w:r w:rsidRPr="00B167C2">
        <w:t xml:space="preserve">　　</w:t>
      </w:r>
      <w:r w:rsidR="00203F72" w:rsidRPr="00B167C2">
        <w:t>在</w:t>
      </w:r>
      <w:r w:rsidR="00203F72" w:rsidRPr="00B167C2">
        <w:t>1996</w:t>
      </w:r>
      <w:r w:rsidR="00203F72" w:rsidRPr="00B167C2">
        <w:t>年元月</w:t>
      </w:r>
      <w:r w:rsidR="00203F72" w:rsidRPr="00B167C2">
        <w:t>10</w:t>
      </w:r>
      <w:r w:rsidR="00203F72" w:rsidRPr="00B167C2">
        <w:t>日</w:t>
      </w:r>
      <w:r w:rsidR="00203F72" w:rsidRPr="00B167C2">
        <w:t>Diallo</w:t>
      </w:r>
      <w:r w:rsidR="00203F72" w:rsidRPr="00B167C2">
        <w:t>被釋放之後，不久，</w:t>
      </w:r>
      <w:r w:rsidR="00203F72" w:rsidRPr="00B167C2">
        <w:t>DRC</w:t>
      </w:r>
      <w:r w:rsidR="00203F72" w:rsidRPr="00B167C2">
        <w:t>對</w:t>
      </w:r>
      <w:r w:rsidR="00203F72" w:rsidRPr="00B167C2">
        <w:t>Diallo</w:t>
      </w:r>
      <w:r w:rsidR="00203F72" w:rsidRPr="00B167C2">
        <w:t>又進行第</w:t>
      </w:r>
      <w:r w:rsidR="00203F72" w:rsidRPr="00B167C2">
        <w:t>2</w:t>
      </w:r>
      <w:r w:rsidR="00203F72" w:rsidRPr="00B167C2">
        <w:t>次之人身逮捕，並加以收容。有關於</w:t>
      </w:r>
      <w:r w:rsidR="00203F72" w:rsidRPr="00B167C2">
        <w:t>Diallo</w:t>
      </w:r>
      <w:r w:rsidR="00203F72" w:rsidRPr="00B167C2">
        <w:t>被收容之總日數方面，於第</w:t>
      </w:r>
      <w:r w:rsidR="00203F72" w:rsidRPr="00B167C2">
        <w:t>1</w:t>
      </w:r>
      <w:r w:rsidR="00203F72" w:rsidRPr="00B167C2">
        <w:t>次被逮捕之後，被收容</w:t>
      </w:r>
      <w:r w:rsidR="00203F72" w:rsidRPr="00B167C2">
        <w:t>66</w:t>
      </w:r>
      <w:r w:rsidR="00203F72" w:rsidRPr="00B167C2">
        <w:t>日；於第</w:t>
      </w:r>
      <w:r w:rsidR="00203F72" w:rsidRPr="00B167C2">
        <w:t>2</w:t>
      </w:r>
      <w:r w:rsidR="00203F72" w:rsidRPr="00B167C2">
        <w:t>次被</w:t>
      </w:r>
      <w:r w:rsidR="00203F72" w:rsidRPr="00B167C2">
        <w:t>DRC</w:t>
      </w:r>
      <w:r w:rsidR="00203F72" w:rsidRPr="00B167C2">
        <w:t>逮捕之後，再次被收容</w:t>
      </w:r>
      <w:r w:rsidR="00203F72" w:rsidRPr="00B167C2">
        <w:t>6</w:t>
      </w:r>
      <w:r w:rsidR="00203F72" w:rsidRPr="00B167C2">
        <w:t>日，合計</w:t>
      </w:r>
      <w:r w:rsidR="00203F72" w:rsidRPr="00B167C2">
        <w:t>72</w:t>
      </w:r>
      <w:r w:rsidR="00203F72" w:rsidRPr="00B167C2">
        <w:t>日</w:t>
      </w:r>
      <w:r w:rsidR="00203F72" w:rsidRPr="00B167C2">
        <w:footnoteReference w:id="689"/>
      </w:r>
      <w:r w:rsidR="00203F72" w:rsidRPr="00B167C2">
        <w:t>，已遠遠超過上述有關於入出國管理「立法法規」第</w:t>
      </w:r>
      <w:r w:rsidR="00203F72" w:rsidRPr="00B167C2">
        <w:t>15</w:t>
      </w:r>
      <w:r w:rsidR="00203F72" w:rsidRPr="00B167C2">
        <w:t>條所規範</w:t>
      </w:r>
      <w:r w:rsidR="00203F72" w:rsidRPr="00B167C2">
        <w:t>8</w:t>
      </w:r>
      <w:r w:rsidR="00203F72" w:rsidRPr="00B167C2">
        <w:t>日之法定上限；再者，依據上開法規之要求，每經過</w:t>
      </w:r>
      <w:r w:rsidR="00203F72" w:rsidRPr="00B167C2">
        <w:t>48</w:t>
      </w:r>
      <w:r w:rsidR="00203F72" w:rsidRPr="00B167C2">
        <w:t>個小時，應對於收容之合法性，進行覆審（</w:t>
      </w:r>
      <w:r w:rsidR="00203F72" w:rsidRPr="00B167C2">
        <w:t>the detention was reviewed every 48 hours</w:t>
      </w:r>
      <w:r w:rsidR="00203F72" w:rsidRPr="00B167C2">
        <w:t>）。但，</w:t>
      </w:r>
      <w:r w:rsidR="00203F72" w:rsidRPr="00B167C2">
        <w:t>DRC</w:t>
      </w:r>
      <w:r w:rsidR="00203F72" w:rsidRPr="00B167C2">
        <w:t>未踐行上述之覆審程序</w:t>
      </w:r>
      <w:r w:rsidR="00203F72" w:rsidRPr="00B167C2">
        <w:footnoteReference w:id="690"/>
      </w:r>
      <w:r w:rsidR="00203F72" w:rsidRPr="00B167C2">
        <w:t>。據上，</w:t>
      </w:r>
      <w:r w:rsidR="00203F72" w:rsidRPr="00B167C2">
        <w:t>ICJ</w:t>
      </w:r>
      <w:r w:rsidR="00203F72" w:rsidRPr="00B167C2">
        <w:t>判定</w:t>
      </w:r>
      <w:r w:rsidR="00203F72" w:rsidRPr="00B167C2">
        <w:t>DRC</w:t>
      </w:r>
      <w:r w:rsidR="00203F72" w:rsidRPr="00B167C2">
        <w:t>違反</w:t>
      </w:r>
      <w:r w:rsidR="00385B82">
        <w:t>ICCPR</w:t>
      </w:r>
      <w:hyperlink r:id="rId1981"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1</w:t>
      </w:r>
      <w:r w:rsidR="00203F72" w:rsidRPr="00B167C2">
        <w:t>項之規範，</w:t>
      </w:r>
      <w:r w:rsidR="00203F72" w:rsidRPr="00B167C2">
        <w:t>DRC</w:t>
      </w:r>
      <w:r w:rsidR="00203F72" w:rsidRPr="00B167C2">
        <w:t>上述之移民收容行為，係屬於國際不法行為。</w:t>
      </w:r>
    </w:p>
    <w:p w14:paraId="1839A5E5" w14:textId="77777777" w:rsidR="00953151" w:rsidRPr="00B167C2" w:rsidRDefault="00447DAE" w:rsidP="00D87D91">
      <w:r w:rsidRPr="00B167C2">
        <w:t xml:space="preserve">　　</w:t>
      </w:r>
      <w:r w:rsidR="00203F72" w:rsidRPr="00B167C2">
        <w:t>有關於</w:t>
      </w:r>
      <w:r w:rsidR="00203F72" w:rsidRPr="00B167C2">
        <w:t>DRC</w:t>
      </w:r>
      <w:r w:rsidR="00203F72" w:rsidRPr="00B167C2">
        <w:t>違反</w:t>
      </w:r>
      <w:r w:rsidR="00203F72" w:rsidRPr="00B167C2">
        <w:t>ICCPR</w:t>
      </w:r>
      <w:hyperlink r:id="rId1982" w:anchor="a13" w:history="1">
        <w:r w:rsidR="00203F72" w:rsidRPr="005E7DE2">
          <w:rPr>
            <w:rStyle w:val="a5"/>
            <w:rFonts w:ascii="Times New Roman" w:hAnsi="Times New Roman"/>
          </w:rPr>
          <w:t>第</w:t>
        </w:r>
        <w:r w:rsidR="00203F72" w:rsidRPr="005E7DE2">
          <w:rPr>
            <w:rStyle w:val="a5"/>
            <w:rFonts w:ascii="Times New Roman" w:hAnsi="Times New Roman"/>
          </w:rPr>
          <w:t>13</w:t>
        </w:r>
        <w:r w:rsidR="00203F72" w:rsidRPr="005E7DE2">
          <w:rPr>
            <w:rStyle w:val="a5"/>
            <w:rFonts w:ascii="Times New Roman" w:hAnsi="Times New Roman"/>
          </w:rPr>
          <w:t>條</w:t>
        </w:r>
      </w:hyperlink>
      <w:r w:rsidR="00203F72" w:rsidRPr="00B167C2">
        <w:t>及非洲人權憲章（</w:t>
      </w:r>
      <w:r w:rsidR="00203F72" w:rsidRPr="00B167C2">
        <w:t>African Charter</w:t>
      </w:r>
      <w:r w:rsidR="00203F72" w:rsidRPr="00B167C2">
        <w:t>）第</w:t>
      </w:r>
      <w:r w:rsidR="00203F72" w:rsidRPr="00B167C2">
        <w:t>12</w:t>
      </w:r>
      <w:r w:rsidR="00203F72" w:rsidRPr="00B167C2">
        <w:t>條第</w:t>
      </w:r>
      <w:r w:rsidR="00203F72" w:rsidRPr="00B167C2">
        <w:t>4</w:t>
      </w:r>
      <w:r w:rsidR="00203F72" w:rsidRPr="00B167C2">
        <w:t>項之情節部分，</w:t>
      </w:r>
      <w:r w:rsidR="00203F72" w:rsidRPr="00B167C2">
        <w:t>ICJ</w:t>
      </w:r>
      <w:r w:rsidR="00203F72" w:rsidRPr="00B167C2">
        <w:t>指出，於</w:t>
      </w:r>
      <w:r w:rsidR="00203F72" w:rsidRPr="00B167C2">
        <w:t>ICCPR</w:t>
      </w:r>
      <w:hyperlink r:id="rId1983"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規範中所指之「依法」（</w:t>
      </w:r>
      <w:r w:rsidR="00203F72" w:rsidRPr="00B167C2">
        <w:t>accordance with Law</w:t>
      </w:r>
      <w:r w:rsidR="00203F72" w:rsidRPr="00B167C2">
        <w:t>）之定義，即外僑（外國人）唯有依照「依法」作出之決定，如可被驅逐出境（國）。此處之「依法」，依照</w:t>
      </w:r>
      <w:r w:rsidR="00203F72" w:rsidRPr="00B167C2">
        <w:t>ICJ</w:t>
      </w:r>
      <w:r w:rsidR="00203F72" w:rsidRPr="00B167C2">
        <w:t>之看法，它是屬於一種「必需」條件（</w:t>
      </w:r>
      <w:r w:rsidR="00203F72" w:rsidRPr="00B167C2">
        <w:t>a necessary condition</w:t>
      </w:r>
      <w:r w:rsidR="00203F72" w:rsidRPr="00B167C2">
        <w:t>），而非充分條件（</w:t>
      </w:r>
      <w:r w:rsidR="00203F72" w:rsidRPr="00B167C2">
        <w:t>not the sufficient condition</w:t>
      </w:r>
      <w:r w:rsidR="00203F72" w:rsidRPr="00B167C2">
        <w:t>）。國內之法規，除了須符合</w:t>
      </w:r>
      <w:r w:rsidR="00203F72" w:rsidRPr="00B167C2">
        <w:t>C.C.P.R</w:t>
      </w:r>
      <w:r w:rsidR="00203F72" w:rsidRPr="00B167C2">
        <w:t>第</w:t>
      </w:r>
      <w:r w:rsidR="00203F72" w:rsidRPr="00B167C2">
        <w:t>13</w:t>
      </w:r>
      <w:r w:rsidR="00203F72" w:rsidRPr="00B167C2">
        <w:t>條中上述之條件外；同時，尚須符合</w:t>
      </w:r>
      <w:r w:rsidR="003E2214" w:rsidRPr="00B167C2">
        <w:t>ICCPR</w:t>
      </w:r>
      <w:hyperlink r:id="rId1984"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footnoteReference w:id="691"/>
      </w:r>
      <w:r w:rsidR="00203F72" w:rsidRPr="00B167C2">
        <w:t>與非洲人權憲章第</w:t>
      </w:r>
      <w:r w:rsidR="00203F72" w:rsidRPr="00B167C2">
        <w:t>12</w:t>
      </w:r>
      <w:r w:rsidR="00203F72" w:rsidRPr="00B167C2">
        <w:t>條</w:t>
      </w:r>
      <w:r w:rsidR="00203F72" w:rsidRPr="00B167C2">
        <w:footnoteReference w:id="692"/>
      </w:r>
      <w:r w:rsidR="00203F72" w:rsidRPr="00B167C2">
        <w:t>第</w:t>
      </w:r>
      <w:r w:rsidR="00203F72" w:rsidRPr="00B167C2">
        <w:t>4</w:t>
      </w:r>
      <w:r w:rsidR="00203F72" w:rsidRPr="00B167C2">
        <w:t>項之其他要件之要求（</w:t>
      </w:r>
      <w:r w:rsidR="00203F72" w:rsidRPr="00B167C2">
        <w:t>the other requirement</w:t>
      </w:r>
      <w:r w:rsidR="00203F72" w:rsidRPr="00B167C2">
        <w:t>）。再者，主權國家所裁處之驅逐出國處分，不得「獨斷」（</w:t>
      </w:r>
      <w:r w:rsidR="00203F72" w:rsidRPr="00B167C2">
        <w:t>arbitrary</w:t>
      </w:r>
      <w:r w:rsidR="00203F72" w:rsidRPr="00B167C2">
        <w:t>）。在保障人權之國際人權法規範中，為了避免受到獨斷之待遇所採行之保護措施（</w:t>
      </w:r>
      <w:r w:rsidR="00203F72" w:rsidRPr="00B167C2">
        <w:t>protection against arbitrary treatment</w:t>
      </w:r>
      <w:r w:rsidR="00203F72" w:rsidRPr="00B167C2">
        <w:t>），是國際人權法檔保障人權之核心區塊</w:t>
      </w:r>
      <w:r w:rsidR="00203F72" w:rsidRPr="00B167C2">
        <w:footnoteReference w:id="693"/>
      </w:r>
      <w:r w:rsidR="00203F72" w:rsidRPr="00B167C2">
        <w:t>。</w:t>
      </w:r>
    </w:p>
    <w:p w14:paraId="769E0134" w14:textId="77777777" w:rsidR="00953151" w:rsidRPr="00B167C2" w:rsidRDefault="00E5108F" w:rsidP="00D87D91">
      <w:r w:rsidRPr="00B167C2">
        <w:t xml:space="preserve">　　</w:t>
      </w:r>
      <w:r w:rsidR="00203F72" w:rsidRPr="00B167C2">
        <w:t>在</w:t>
      </w:r>
      <w:r w:rsidR="00203F72" w:rsidRPr="00B167C2">
        <w:t>1983</w:t>
      </w:r>
      <w:r w:rsidR="00203F72" w:rsidRPr="00B167C2">
        <w:t>年</w:t>
      </w:r>
      <w:r w:rsidR="00203F72" w:rsidRPr="00B167C2">
        <w:t>9</w:t>
      </w:r>
      <w:r w:rsidR="00203F72" w:rsidRPr="00B167C2">
        <w:t>月</w:t>
      </w:r>
      <w:r w:rsidR="00203F72" w:rsidRPr="00B167C2">
        <w:t>12</w:t>
      </w:r>
      <w:r w:rsidR="00203F72" w:rsidRPr="00B167C2">
        <w:t>日，剛果政府</w:t>
      </w:r>
      <w:r w:rsidR="00203F72" w:rsidRPr="00B167C2">
        <w:footnoteReference w:id="694"/>
      </w:r>
      <w:r w:rsidR="00203F72" w:rsidRPr="00B167C2">
        <w:t>就涉及入出國管理部分，頒布一項入出國管理之法典，名為</w:t>
      </w:r>
      <w:r w:rsidR="00203F72" w:rsidRPr="00B167C2">
        <w:t>1983</w:t>
      </w:r>
      <w:r w:rsidR="00203F72" w:rsidRPr="00B167C2">
        <w:t>年「薩伊立法法令」（</w:t>
      </w:r>
      <w:r w:rsidR="00203F72" w:rsidRPr="00B167C2">
        <w:t>Zaire an Legislative Order</w:t>
      </w:r>
      <w:r w:rsidR="00203F72" w:rsidRPr="00B167C2">
        <w:t>，以下簡稱為</w:t>
      </w:r>
      <w:r w:rsidR="00203F72" w:rsidRPr="00B167C2">
        <w:t>ZLO</w:t>
      </w:r>
      <w:r w:rsidR="00203F72" w:rsidRPr="00B167C2">
        <w:t>）；根據上述剛果</w:t>
      </w:r>
      <w:r w:rsidR="00203F72" w:rsidRPr="00B167C2">
        <w:t>ZLO</w:t>
      </w:r>
      <w:r w:rsidR="00203F72" w:rsidRPr="00B167C2">
        <w:t>第</w:t>
      </w:r>
      <w:r w:rsidR="00203F72" w:rsidRPr="00B167C2">
        <w:t>16</w:t>
      </w:r>
      <w:r w:rsidR="00203F72" w:rsidRPr="00B167C2">
        <w:t>條之規範要求，假若主管機關擬將於剛果境內持有居留准證之外國人（</w:t>
      </w:r>
      <w:r w:rsidR="00203F72" w:rsidRPr="00B167C2">
        <w:t>an alien holding a residence permit</w:t>
      </w:r>
      <w:r w:rsidR="00203F72" w:rsidRPr="00B167C2">
        <w:t>）驅逐出國，則剛果總理（有權下達驅逐出國命令之人）須先徵詢「國家移民委員會」（</w:t>
      </w:r>
      <w:r w:rsidR="00203F72" w:rsidRPr="00B167C2">
        <w:t>National Immigration Board</w:t>
      </w:r>
      <w:r w:rsidR="00203F72" w:rsidRPr="00B167C2">
        <w:t>）之意見；之後，如仍決定將外國人驅逐出國，依據上開</w:t>
      </w:r>
      <w:r w:rsidR="00203F72" w:rsidRPr="00B167C2">
        <w:t>ZLO</w:t>
      </w:r>
      <w:r w:rsidR="00203F72" w:rsidRPr="00B167C2">
        <w:t>第</w:t>
      </w:r>
      <w:r w:rsidR="00203F72" w:rsidRPr="00B167C2">
        <w:t>16</w:t>
      </w:r>
      <w:r w:rsidR="00203F72" w:rsidRPr="00B167C2">
        <w:t>條之規定，須將「國家移民委員會」之諮詢意見（</w:t>
      </w:r>
      <w:r w:rsidR="00203F72" w:rsidRPr="00B167C2">
        <w:t>Board’s opinion</w:t>
      </w:r>
      <w:r w:rsidR="00203F72" w:rsidRPr="00B167C2">
        <w:t>）附記於驅逐出國處分書中；在本案之中，剛果政府在將</w:t>
      </w:r>
      <w:r w:rsidR="00203F72" w:rsidRPr="00B167C2">
        <w:t>Diallo</w:t>
      </w:r>
      <w:r w:rsidR="00203F72" w:rsidRPr="00B167C2">
        <w:t>驅逐出國之前，總理未事先徵詢「國家移民委員會」之意見，故上開之驅逐出國處分未符合剛果</w:t>
      </w:r>
      <w:r w:rsidR="00203F72" w:rsidRPr="00B167C2">
        <w:t>ZLO</w:t>
      </w:r>
      <w:r w:rsidR="00203F72" w:rsidRPr="00B167C2">
        <w:t>第</w:t>
      </w:r>
      <w:r w:rsidR="00203F72" w:rsidRPr="00B167C2">
        <w:t>16</w:t>
      </w:r>
      <w:r w:rsidR="00203F72" w:rsidRPr="00B167C2">
        <w:t>條之規範，顯非「依法」所作出之裁決，已違返</w:t>
      </w:r>
      <w:r w:rsidR="003E2214" w:rsidRPr="00B167C2">
        <w:t>ICCPR</w:t>
      </w:r>
      <w:hyperlink r:id="rId1985"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之規範</w:t>
      </w:r>
      <w:r w:rsidR="00203F72" w:rsidRPr="00B167C2">
        <w:footnoteReference w:id="695"/>
      </w:r>
      <w:r w:rsidR="00203F72" w:rsidRPr="00B167C2">
        <w:t>。</w:t>
      </w:r>
    </w:p>
    <w:p w14:paraId="26A11EE1" w14:textId="77777777" w:rsidR="00953151" w:rsidRPr="00B167C2" w:rsidRDefault="00E5108F" w:rsidP="00D87D91">
      <w:r w:rsidRPr="00B167C2">
        <w:t xml:space="preserve">　　</w:t>
      </w:r>
      <w:r w:rsidR="00203F72" w:rsidRPr="00B167C2">
        <w:t>再者，依據剛果政府上述</w:t>
      </w:r>
      <w:r w:rsidR="00203F72" w:rsidRPr="00B167C2">
        <w:t>1983</w:t>
      </w:r>
      <w:r w:rsidR="00203F72" w:rsidRPr="00B167C2">
        <w:t>年</w:t>
      </w:r>
      <w:r w:rsidR="00203F72" w:rsidRPr="00B167C2">
        <w:t>ZLO</w:t>
      </w:r>
      <w:r w:rsidR="00203F72" w:rsidRPr="00B167C2">
        <w:t>第</w:t>
      </w:r>
      <w:r w:rsidR="00203F72" w:rsidRPr="00B167C2">
        <w:t>15</w:t>
      </w:r>
      <w:r w:rsidR="00203F72" w:rsidRPr="00B167C2">
        <w:t>條之規範要求，將外國人驅逐出國之處分書，其所載之理由，須被加以「合理化」（</w:t>
      </w:r>
      <w:r w:rsidR="00203F72" w:rsidRPr="00B167C2">
        <w:t>should have been “reasoned”</w:t>
      </w:r>
      <w:r w:rsidR="00203F72" w:rsidRPr="00B167C2">
        <w:t>），亦即，主管機關在作成驅逐出國處分書時，須指出合理化之理由（</w:t>
      </w:r>
      <w:r w:rsidR="00203F72" w:rsidRPr="00B167C2">
        <w:t>grounds</w:t>
      </w:r>
      <w:r w:rsidR="00203F72" w:rsidRPr="00B167C2">
        <w:t>）。事實上，在對於</w:t>
      </w:r>
      <w:r w:rsidR="00203F72" w:rsidRPr="00B167C2">
        <w:t>Diallo</w:t>
      </w:r>
      <w:r w:rsidR="00203F72" w:rsidRPr="00B167C2">
        <w:t>所裁決之驅逐出國處分書中，僅僅陳述：「</w:t>
      </w:r>
      <w:r w:rsidR="00203F72" w:rsidRPr="00B167C2">
        <w:t>Diallo</w:t>
      </w:r>
      <w:r w:rsidR="00203F72" w:rsidRPr="00B167C2">
        <w:t>先生所處之現狀與行為，業已違反薩伊之公共秩序（</w:t>
      </w:r>
      <w:r w:rsidR="00203F72" w:rsidRPr="00B167C2">
        <w:t>public order</w:t>
      </w:r>
      <w:r w:rsidR="00203F72" w:rsidRPr="00B167C2">
        <w:t>）；特別是在經濟、財政與貨幣之領域（</w:t>
      </w:r>
      <w:r w:rsidR="00203F72" w:rsidRPr="00B167C2">
        <w:t>especially in the economic, financial and monetary areas</w:t>
      </w:r>
      <w:r w:rsidR="00203F72" w:rsidRPr="00B167C2">
        <w:t>），且持續不斷地正在違犯之中」；在上述之理由中，在前半段（係指違反公共秩序），僅是陳述法源之依據為何？根據</w:t>
      </w:r>
      <w:r w:rsidR="00203F72" w:rsidRPr="00B167C2">
        <w:t>1983</w:t>
      </w:r>
      <w:r w:rsidR="00203F72" w:rsidRPr="00B167C2">
        <w:t>年</w:t>
      </w:r>
      <w:r w:rsidR="00203F72" w:rsidRPr="00B167C2">
        <w:t>ZLO</w:t>
      </w:r>
      <w:r w:rsidR="00203F72" w:rsidRPr="00B167C2">
        <w:t>第</w:t>
      </w:r>
      <w:r w:rsidR="00203F72" w:rsidRPr="00B167C2">
        <w:t>15</w:t>
      </w:r>
      <w:r w:rsidR="00203F72" w:rsidRPr="00B167C2">
        <w:t>條之規定，任何外國人如其所處之現況或行為（</w:t>
      </w:r>
      <w:r w:rsidR="00203F72" w:rsidRPr="00B167C2">
        <w:t>presence or conduct</w:t>
      </w:r>
      <w:r w:rsidR="00203F72" w:rsidRPr="00B167C2">
        <w:t>），對於剛果之和平（</w:t>
      </w:r>
      <w:r w:rsidR="00203F72" w:rsidRPr="00B167C2">
        <w:t>peace</w:t>
      </w:r>
      <w:r w:rsidR="00203F72" w:rsidRPr="00B167C2">
        <w:t>）或公共秩序，已有牴觸或造成威脅，則可將上開外國人驅逐出國。</w:t>
      </w:r>
    </w:p>
    <w:p w14:paraId="0E2A624D" w14:textId="77777777" w:rsidR="00953151" w:rsidRPr="00B167C2" w:rsidRDefault="00E5108F" w:rsidP="00D87D91">
      <w:r w:rsidRPr="00B167C2">
        <w:t xml:space="preserve">　　</w:t>
      </w:r>
      <w:r w:rsidR="00203F72" w:rsidRPr="00B167C2">
        <w:t>在上開處分書之後半段理由中，所呈現之理由，並不清楚易見（</w:t>
      </w:r>
      <w:r w:rsidR="00203F72" w:rsidRPr="00B167C2">
        <w:t>vague</w:t>
      </w:r>
      <w:r w:rsidR="00203F72" w:rsidRPr="00B167C2">
        <w:t>）；故</w:t>
      </w:r>
      <w:r w:rsidR="00203F72" w:rsidRPr="00B167C2">
        <w:t>ICJ</w:t>
      </w:r>
      <w:r w:rsidR="00203F72" w:rsidRPr="00B167C2">
        <w:t>認為，無法從中得知</w:t>
      </w:r>
      <w:r w:rsidR="00203F72" w:rsidRPr="00B167C2">
        <w:t>Diallo</w:t>
      </w:r>
      <w:r w:rsidR="00203F72" w:rsidRPr="00B167C2">
        <w:t>所從事之何種活動，會對於剛果之公共秩序造成威脅（</w:t>
      </w:r>
      <w:r w:rsidR="00203F72" w:rsidRPr="00B167C2">
        <w:t>a threat to public order</w:t>
      </w:r>
      <w:r w:rsidR="00203F72" w:rsidRPr="00B167C2">
        <w:t>）</w:t>
      </w:r>
      <w:r w:rsidR="00203F72" w:rsidRPr="00B167C2">
        <w:footnoteReference w:id="696"/>
      </w:r>
      <w:r w:rsidR="00203F72" w:rsidRPr="00B167C2">
        <w:t>。基於以上之論述，</w:t>
      </w:r>
      <w:r w:rsidR="00203F72" w:rsidRPr="00B167C2">
        <w:t>ICJ</w:t>
      </w:r>
      <w:r w:rsidR="00203F72" w:rsidRPr="00B167C2">
        <w:t>指出，在</w:t>
      </w:r>
      <w:r w:rsidR="00203F72" w:rsidRPr="00B167C2">
        <w:t>Diallo</w:t>
      </w:r>
      <w:r w:rsidR="00203F72" w:rsidRPr="00B167C2">
        <w:t>案件之中，未符合剛果</w:t>
      </w:r>
      <w:r w:rsidR="00203F72" w:rsidRPr="00B167C2">
        <w:t>1983</w:t>
      </w:r>
      <w:r w:rsidR="00203F72" w:rsidRPr="00B167C2">
        <w:t>年</w:t>
      </w:r>
      <w:r w:rsidR="00203F72" w:rsidRPr="00B167C2">
        <w:t>ZLO</w:t>
      </w:r>
      <w:r w:rsidR="00203F72" w:rsidRPr="00B167C2">
        <w:t>所保障之正當法律程序之要求；再者，剛果已將</w:t>
      </w:r>
      <w:r w:rsidR="00203F72" w:rsidRPr="00B167C2">
        <w:t>Diallo</w:t>
      </w:r>
      <w:r w:rsidR="00203F72" w:rsidRPr="00B167C2">
        <w:t>陷於會遭受獨斷待遇之風險中（</w:t>
      </w:r>
      <w:r w:rsidR="00203F72" w:rsidRPr="00B167C2">
        <w:t>risk of arbitrary treatment</w:t>
      </w:r>
      <w:r w:rsidR="00203F72" w:rsidRPr="00B167C2">
        <w:t>）；據上，</w:t>
      </w:r>
      <w:r w:rsidR="00203F72" w:rsidRPr="00B167C2">
        <w:t>ICJ</w:t>
      </w:r>
      <w:r w:rsidR="00203F72" w:rsidRPr="00B167C2">
        <w:t>裁定，剛果政府對於</w:t>
      </w:r>
      <w:r w:rsidR="00203F72" w:rsidRPr="00B167C2">
        <w:t>Diallo</w:t>
      </w:r>
      <w:r w:rsidR="00203F72" w:rsidRPr="00B167C2">
        <w:t>所裁處之驅逐出國處分，未「依法」裁決，違反</w:t>
      </w:r>
      <w:r w:rsidR="003E2214" w:rsidRPr="00B167C2">
        <w:t>ICCPR</w:t>
      </w:r>
      <w:hyperlink r:id="rId1986"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之要求</w:t>
      </w:r>
      <w:r w:rsidR="00203F72" w:rsidRPr="00B167C2">
        <w:footnoteReference w:id="697"/>
      </w:r>
      <w:r w:rsidR="00203F72" w:rsidRPr="00B167C2">
        <w:t>。</w:t>
      </w:r>
    </w:p>
    <w:p w14:paraId="0B09DF2B" w14:textId="77777777" w:rsidR="00953151" w:rsidRPr="00B167C2" w:rsidRDefault="00E5108F" w:rsidP="00D87D91">
      <w:r w:rsidRPr="00B167C2">
        <w:t xml:space="preserve">　　</w:t>
      </w:r>
      <w:r w:rsidR="00203F72" w:rsidRPr="00B167C2">
        <w:t>另外，幾內亞亦控告剛果尚有違反</w:t>
      </w:r>
      <w:r w:rsidR="003E2214" w:rsidRPr="00B167C2">
        <w:t>ICCPR</w:t>
      </w:r>
      <w:hyperlink r:id="rId1987"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之其他違法情事，主要之爭點，如下所述。依據</w:t>
      </w:r>
      <w:r w:rsidR="003E2214" w:rsidRPr="00B167C2">
        <w:t>ICCPR</w:t>
      </w:r>
      <w:hyperlink r:id="rId1988"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之規範，應允許遭受驅逐出國處分之外國人提出反對驅逐出境（國）之理由，和使他的案件得到合格當局，或由合格當局特別指定之一人或數人之複審。在此一部分，剛果政府並未給予</w:t>
      </w:r>
      <w:r w:rsidR="00203F72" w:rsidRPr="00B167C2">
        <w:t>Diallo</w:t>
      </w:r>
      <w:r w:rsidR="00203F72" w:rsidRPr="00B167C2">
        <w:t>提出異議之機會，亦未使其案件得到覆審。</w:t>
      </w:r>
    </w:p>
    <w:p w14:paraId="14C33B22" w14:textId="77777777" w:rsidR="00953151" w:rsidRPr="00B167C2" w:rsidRDefault="00E5108F" w:rsidP="00D87D91">
      <w:r w:rsidRPr="00B167C2">
        <w:t xml:space="preserve">　　</w:t>
      </w:r>
      <w:r w:rsidR="00203F72" w:rsidRPr="00B167C2">
        <w:t>對於幾內亞上述之指控，</w:t>
      </w:r>
      <w:r w:rsidR="00203F72" w:rsidRPr="00B167C2">
        <w:t>DRC</w:t>
      </w:r>
      <w:r w:rsidR="00203F72" w:rsidRPr="00B167C2">
        <w:t>提出反駁；</w:t>
      </w:r>
      <w:r w:rsidR="00203F72" w:rsidRPr="00B167C2">
        <w:t>DRC</w:t>
      </w:r>
      <w:r w:rsidR="00203F72" w:rsidRPr="00B167C2">
        <w:t>指出，因</w:t>
      </w:r>
      <w:r w:rsidR="00203F72" w:rsidRPr="00B167C2">
        <w:t>Diallo</w:t>
      </w:r>
      <w:r w:rsidR="00203F72" w:rsidRPr="00B167C2">
        <w:t>案之情形，符合</w:t>
      </w:r>
      <w:r w:rsidR="003E2214" w:rsidRPr="00B167C2">
        <w:t>ICCPR</w:t>
      </w:r>
      <w:hyperlink r:id="rId1989"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「國家安全之急迫理由」（</w:t>
      </w:r>
      <w:r w:rsidR="00203F72" w:rsidRPr="00B167C2">
        <w:t>compelling reasons of national security</w:t>
      </w:r>
      <w:r w:rsidR="00203F72" w:rsidRPr="00B167C2">
        <w:t>）之要件，故未賦予</w:t>
      </w:r>
      <w:r w:rsidR="00203F72" w:rsidRPr="00B167C2">
        <w:t>Diallo</w:t>
      </w:r>
      <w:r w:rsidR="00203F72" w:rsidRPr="00B167C2">
        <w:t>提出反對理由及覆審之機會。</w:t>
      </w:r>
      <w:r w:rsidR="00203F72" w:rsidRPr="00B167C2">
        <w:t>ICJ</w:t>
      </w:r>
      <w:r w:rsidR="00203F72" w:rsidRPr="00B167C2">
        <w:t>指出，國家有義務證明「急迫理由」（</w:t>
      </w:r>
      <w:r w:rsidR="00203F72" w:rsidRPr="00B167C2">
        <w:t>compelling reasons</w:t>
      </w:r>
      <w:r w:rsidR="00203F72" w:rsidRPr="00B167C2">
        <w:t>）之情事，而非授權由國家自行認定，國家有義務舉證「急迫理由」之事證；或者國家至少應「合理地」（</w:t>
      </w:r>
      <w:r w:rsidR="00203F72" w:rsidRPr="00B167C2">
        <w:t>reasonably</w:t>
      </w:r>
      <w:r w:rsidR="00203F72" w:rsidRPr="00B167C2">
        <w:t>）考量涉及驅逐出國措施之相關情況，俾利決定確有「急迫理由」之存在。在本案之中，</w:t>
      </w:r>
      <w:r w:rsidR="00203F72" w:rsidRPr="00B167C2">
        <w:t>ICJ</w:t>
      </w:r>
      <w:r w:rsidR="00203F72" w:rsidRPr="00B167C2">
        <w:t>認為，</w:t>
      </w:r>
      <w:r w:rsidR="00203F72" w:rsidRPr="00B167C2">
        <w:t>DRC</w:t>
      </w:r>
      <w:r w:rsidR="00203F72" w:rsidRPr="00B167C2">
        <w:t>並未舉證其在對於</w:t>
      </w:r>
      <w:r w:rsidR="00203F72" w:rsidRPr="00B167C2">
        <w:t>Diallo</w:t>
      </w:r>
      <w:r w:rsidR="00203F72" w:rsidRPr="00B167C2">
        <w:t>裁處驅逐出國處分時，存有「國家安全之急迫理由」；亦即，</w:t>
      </w:r>
      <w:r w:rsidR="00203F72" w:rsidRPr="00B167C2">
        <w:t>DRC</w:t>
      </w:r>
      <w:r w:rsidR="00203F72" w:rsidRPr="00B167C2">
        <w:t>無法舉證「急迫理由」之存在，故</w:t>
      </w:r>
      <w:r w:rsidR="00203F72" w:rsidRPr="00B167C2">
        <w:t>ICJ</w:t>
      </w:r>
      <w:r w:rsidR="00203F72" w:rsidRPr="00B167C2">
        <w:t>認為</w:t>
      </w:r>
      <w:r w:rsidR="00203F72" w:rsidRPr="00B167C2">
        <w:t>DRC</w:t>
      </w:r>
      <w:r w:rsidR="00203F72" w:rsidRPr="00B167C2">
        <w:t>上述之驅逐出國處分，違反</w:t>
      </w:r>
      <w:r w:rsidR="003E2214" w:rsidRPr="00B167C2">
        <w:t>ICCPR</w:t>
      </w:r>
      <w:hyperlink r:id="rId1990"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之規範</w:t>
      </w:r>
      <w:r w:rsidR="00203F72" w:rsidRPr="00B167C2">
        <w:footnoteReference w:id="698"/>
      </w:r>
      <w:r w:rsidR="00203F72" w:rsidRPr="00B167C2">
        <w:t>。</w:t>
      </w:r>
    </w:p>
    <w:p w14:paraId="20C037E8" w14:textId="77777777" w:rsidR="00953151" w:rsidRPr="00B167C2" w:rsidRDefault="00E5108F" w:rsidP="00D87D91">
      <w:r w:rsidRPr="00B167C2">
        <w:t xml:space="preserve">　　</w:t>
      </w:r>
      <w:r w:rsidR="00203F72" w:rsidRPr="00B167C2">
        <w:t>在接受領事館之保護方面，幾內亞亦控告剛果政府違反維也納領事公約</w:t>
      </w:r>
      <w:hyperlink r:id="rId1991" w:anchor="a36" w:history="1">
        <w:r w:rsidR="00203F72" w:rsidRPr="00410BD1">
          <w:rPr>
            <w:rStyle w:val="a5"/>
            <w:rFonts w:ascii="Times New Roman" w:hAnsi="Times New Roman"/>
          </w:rPr>
          <w:t>第</w:t>
        </w:r>
        <w:r w:rsidR="00203F72" w:rsidRPr="00410BD1">
          <w:rPr>
            <w:rStyle w:val="a5"/>
            <w:rFonts w:ascii="Times New Roman" w:hAnsi="Times New Roman"/>
          </w:rPr>
          <w:t>36</w:t>
        </w:r>
        <w:r w:rsidR="00203F72" w:rsidRPr="00410BD1">
          <w:rPr>
            <w:rStyle w:val="a5"/>
            <w:rFonts w:ascii="Times New Roman" w:hAnsi="Times New Roman"/>
          </w:rPr>
          <w:t>條</w:t>
        </w:r>
      </w:hyperlink>
      <w:r w:rsidR="00203F72" w:rsidRPr="00B167C2">
        <w:t>第</w:t>
      </w:r>
      <w:r w:rsidR="00203F72" w:rsidRPr="00B167C2">
        <w:t>1</w:t>
      </w:r>
      <w:r w:rsidR="00203F72" w:rsidRPr="00B167C2">
        <w:t>項第</w:t>
      </w:r>
      <w:r w:rsidR="00203F72" w:rsidRPr="00B167C2">
        <w:t>b</w:t>
      </w:r>
      <w:r w:rsidR="00203F72" w:rsidRPr="00B167C2">
        <w:t>款之規範；在</w:t>
      </w:r>
      <w:r w:rsidR="00203F72" w:rsidRPr="00B167C2">
        <w:t>Diallo</w:t>
      </w:r>
      <w:r w:rsidR="00203F72" w:rsidRPr="00B167C2">
        <w:t>案件中，當</w:t>
      </w:r>
      <w:r w:rsidR="00203F72" w:rsidRPr="00B167C2">
        <w:t>Diallo</w:t>
      </w:r>
      <w:r w:rsidR="00203F72" w:rsidRPr="00B167C2">
        <w:t>分別於</w:t>
      </w:r>
      <w:r w:rsidR="00203F72" w:rsidRPr="00B167C2">
        <w:t>1995</w:t>
      </w:r>
      <w:r w:rsidR="00203F72" w:rsidRPr="00B167C2">
        <w:t>年及</w:t>
      </w:r>
      <w:r w:rsidR="00203F72" w:rsidRPr="00B167C2">
        <w:t>1996</w:t>
      </w:r>
      <w:r w:rsidR="00203F72" w:rsidRPr="00B167C2">
        <w:t>年被逮捕時，</w:t>
      </w:r>
      <w:r w:rsidR="00203F72" w:rsidRPr="00B167C2">
        <w:t>DRC</w:t>
      </w:r>
      <w:r w:rsidR="00203F72" w:rsidRPr="00B167C2">
        <w:t>均未告知</w:t>
      </w:r>
      <w:r w:rsidR="00203F72" w:rsidRPr="00B167C2">
        <w:t>Diallo</w:t>
      </w:r>
      <w:r w:rsidR="00203F72" w:rsidRPr="00B167C2">
        <w:t>上開公約第</w:t>
      </w:r>
      <w:r w:rsidR="00203F72" w:rsidRPr="00B167C2">
        <w:t>36</w:t>
      </w:r>
      <w:r w:rsidR="00203F72" w:rsidRPr="00B167C2">
        <w:t>條</w:t>
      </w:r>
      <w:r w:rsidR="00203F72" w:rsidRPr="00B167C2">
        <w:footnoteReference w:id="699"/>
      </w:r>
      <w:r w:rsidR="00203F72" w:rsidRPr="00B167C2">
        <w:t>第</w:t>
      </w:r>
      <w:r w:rsidR="00203F72" w:rsidRPr="00B167C2">
        <w:t>1</w:t>
      </w:r>
      <w:r w:rsidR="00203F72" w:rsidRPr="00B167C2">
        <w:t>項第</w:t>
      </w:r>
      <w:r w:rsidR="00203F72" w:rsidRPr="00B167C2">
        <w:t>b</w:t>
      </w:r>
      <w:r w:rsidR="00203F72" w:rsidRPr="00B167C2">
        <w:t>款之權利保障事項，而上述之保障規定，亦適用於刑事逮捕之外，亦即，亦適用於移民行政之逮捕行為；由於</w:t>
      </w:r>
      <w:r w:rsidR="00203F72" w:rsidRPr="00B167C2">
        <w:t>DRC</w:t>
      </w:r>
      <w:r w:rsidR="00203F72" w:rsidRPr="00B167C2">
        <w:t>均未告知</w:t>
      </w:r>
      <w:r w:rsidR="00203F72" w:rsidRPr="00B167C2">
        <w:t>Diallo</w:t>
      </w:r>
      <w:r w:rsidR="00203F72" w:rsidRPr="00B167C2">
        <w:t>上開公約第</w:t>
      </w:r>
      <w:r w:rsidR="00203F72" w:rsidRPr="00B167C2">
        <w:t>36</w:t>
      </w:r>
      <w:r w:rsidR="00203F72" w:rsidRPr="00B167C2">
        <w:t>條第</w:t>
      </w:r>
      <w:r w:rsidR="00203F72" w:rsidRPr="00B167C2">
        <w:t>1</w:t>
      </w:r>
      <w:r w:rsidR="00203F72" w:rsidRPr="00B167C2">
        <w:t>項第</w:t>
      </w:r>
      <w:r w:rsidR="00203F72" w:rsidRPr="00B167C2">
        <w:t>b</w:t>
      </w:r>
      <w:r w:rsidR="00203F72" w:rsidRPr="00B167C2">
        <w:t>款之規範內容，以致於</w:t>
      </w:r>
      <w:r w:rsidR="00203F72" w:rsidRPr="00B167C2">
        <w:t>Diallo</w:t>
      </w:r>
      <w:r w:rsidR="00203F72" w:rsidRPr="00B167C2">
        <w:t>並不知曉他有請求幾內亞領事館給予保護之權利。</w:t>
      </w:r>
      <w:r w:rsidR="00203F72" w:rsidRPr="00B167C2">
        <w:t>ICJ</w:t>
      </w:r>
      <w:r w:rsidR="00203F72" w:rsidRPr="00B167C2">
        <w:t>指出，因</w:t>
      </w:r>
      <w:r w:rsidR="00203F72" w:rsidRPr="00B167C2">
        <w:t>DRC</w:t>
      </w:r>
      <w:r w:rsidR="00203F72" w:rsidRPr="00B167C2">
        <w:t>於逮捕</w:t>
      </w:r>
      <w:r w:rsidR="00203F72" w:rsidRPr="00B167C2">
        <w:t>Diallo</w:t>
      </w:r>
      <w:r w:rsidR="00203F72" w:rsidRPr="00B167C2">
        <w:t>時，未踐行上開條款之程序上要求，即</w:t>
      </w:r>
      <w:r w:rsidR="00203F72" w:rsidRPr="00B167C2">
        <w:t>DRC</w:t>
      </w:r>
      <w:r w:rsidR="00203F72" w:rsidRPr="00B167C2">
        <w:t>未主動告知當事人擁有請求領事館給予保護之權利，故</w:t>
      </w:r>
      <w:r w:rsidR="00203F72" w:rsidRPr="00B167C2">
        <w:t>DRC</w:t>
      </w:r>
      <w:r w:rsidR="00203F72" w:rsidRPr="00B167C2">
        <w:t>業已違反上述公約第</w:t>
      </w:r>
      <w:r w:rsidR="00203F72" w:rsidRPr="00B167C2">
        <w:t>36</w:t>
      </w:r>
      <w:r w:rsidR="00203F72" w:rsidRPr="00B167C2">
        <w:t>條</w:t>
      </w:r>
      <w:r w:rsidR="00203F72" w:rsidRPr="00B167C2">
        <w:t>1</w:t>
      </w:r>
      <w:r w:rsidR="00203F72" w:rsidRPr="00B167C2">
        <w:t>項第</w:t>
      </w:r>
      <w:r w:rsidR="00203F72" w:rsidRPr="00B167C2">
        <w:t>b</w:t>
      </w:r>
      <w:r w:rsidR="00203F72" w:rsidRPr="00B167C2">
        <w:t>款之規範要求，構成國際不法侵害行為</w:t>
      </w:r>
      <w:r w:rsidR="00203F72" w:rsidRPr="00B167C2">
        <w:footnoteReference w:id="700"/>
      </w:r>
      <w:r w:rsidR="00203F72" w:rsidRPr="00B167C2">
        <w:t>。</w:t>
      </w:r>
    </w:p>
    <w:p w14:paraId="092D8DBC" w14:textId="77777777" w:rsidR="00953151" w:rsidRPr="00B167C2" w:rsidRDefault="00E5108F" w:rsidP="00D87D91">
      <w:r w:rsidRPr="00B167C2">
        <w:t xml:space="preserve">　　</w:t>
      </w:r>
      <w:r w:rsidR="00203F72" w:rsidRPr="00B167C2">
        <w:t>在涉及</w:t>
      </w:r>
      <w:r w:rsidR="00203F72" w:rsidRPr="00B167C2">
        <w:t>Diallo</w:t>
      </w:r>
      <w:r w:rsidR="00203F72" w:rsidRPr="00B167C2">
        <w:t>於剛果境內所持有之兩家公司</w:t>
      </w:r>
      <w:r w:rsidR="00D92F56" w:rsidRPr="00B167C2">
        <w:t>〜</w:t>
      </w:r>
      <w:r w:rsidR="00203F72" w:rsidRPr="00B167C2">
        <w:t>Africom-Zaire</w:t>
      </w:r>
      <w:r w:rsidR="00203F72" w:rsidRPr="00B167C2">
        <w:t>與</w:t>
      </w:r>
      <w:r w:rsidR="00203F72" w:rsidRPr="00B167C2">
        <w:t>Africontainers-Zaire</w:t>
      </w:r>
      <w:r w:rsidR="00203F72" w:rsidRPr="00B167C2">
        <w:t>之股權保護方面，幾內亞政府控告剛果政府之不法行為，已剝奪</w:t>
      </w:r>
      <w:r w:rsidR="00203F72" w:rsidRPr="00B167C2">
        <w:t>Diallo</w:t>
      </w:r>
      <w:r w:rsidR="00203F72" w:rsidRPr="00B167C2">
        <w:t>之股權，主要之爭點，在於</w:t>
      </w:r>
      <w:r w:rsidR="00203F72" w:rsidRPr="00B167C2">
        <w:t>Diallo</w:t>
      </w:r>
      <w:r w:rsidR="00203F72" w:rsidRPr="00B167C2">
        <w:t>是上述兩家公司之合夥人之一，且分別在兩家公司均持有股份（權）；在幾內亞之提告方面，其主張剛果政府透由「間接徵收（沒收）」（</w:t>
      </w:r>
      <w:r w:rsidR="00203F72" w:rsidRPr="00B167C2">
        <w:t>indirect expropriation</w:t>
      </w:r>
      <w:r w:rsidR="00203F72" w:rsidRPr="00B167C2">
        <w:t>）之手法，剝奪</w:t>
      </w:r>
      <w:r w:rsidR="00203F72" w:rsidRPr="00B167C2">
        <w:t>Diallo</w:t>
      </w:r>
      <w:r w:rsidR="00203F72" w:rsidRPr="00B167C2">
        <w:t>先生對於</w:t>
      </w:r>
      <w:r w:rsidR="00203F72" w:rsidRPr="00B167C2">
        <w:t>Africom-Zaire</w:t>
      </w:r>
      <w:r w:rsidR="00203F72" w:rsidRPr="00B167C2">
        <w:t>與</w:t>
      </w:r>
      <w:r w:rsidR="00203F72" w:rsidRPr="00B167C2">
        <w:t>Africontainers-Zaire</w:t>
      </w:r>
      <w:r w:rsidR="00203F72" w:rsidRPr="00B167C2">
        <w:t>兩家公司所持有之股份（權）（</w:t>
      </w:r>
      <w:r w:rsidR="00203F72" w:rsidRPr="00B167C2">
        <w:t>parts sociales</w:t>
      </w:r>
      <w:r w:rsidR="00203F72" w:rsidRPr="00B167C2">
        <w:t>）；同時，剛果對於</w:t>
      </w:r>
      <w:r w:rsidR="00203F72" w:rsidRPr="00B167C2">
        <w:t>Diallo</w:t>
      </w:r>
      <w:r w:rsidR="00203F72" w:rsidRPr="00B167C2">
        <w:t>驅逐出國之不法行為，亦造成</w:t>
      </w:r>
      <w:r w:rsidR="00203F72" w:rsidRPr="00B167C2">
        <w:t>Diallo</w:t>
      </w:r>
      <w:r w:rsidR="00203F72" w:rsidRPr="00B167C2">
        <w:t>不能以上開兩家公司之合夥人之身分，對於兩家公司之營運進行監控與管理；幾內亞政府主張，自從</w:t>
      </w:r>
      <w:r w:rsidR="00203F72" w:rsidRPr="00B167C2">
        <w:t>Diallo</w:t>
      </w:r>
      <w:r w:rsidR="00203F72" w:rsidRPr="00B167C2">
        <w:t>被剛果政府驅逐出國之後，其原本所應享有之合夥人權利（</w:t>
      </w:r>
      <w:r w:rsidR="00203F72" w:rsidRPr="00B167C2">
        <w:t>his rights as associe</w:t>
      </w:r>
      <w:r w:rsidR="00203F72" w:rsidRPr="00B167C2">
        <w:t>），不再享有之。</w:t>
      </w:r>
      <w:r w:rsidR="00203F72" w:rsidRPr="00B167C2">
        <w:t>DRC</w:t>
      </w:r>
      <w:r w:rsidR="00203F72" w:rsidRPr="00B167C2">
        <w:t>對於</w:t>
      </w:r>
      <w:r w:rsidR="00203F72" w:rsidRPr="00B167C2">
        <w:t>Diallo</w:t>
      </w:r>
      <w:r w:rsidR="00203F72" w:rsidRPr="00B167C2">
        <w:t>所進行之驅逐出國處分，事實上，是以一種持續不斷之權利剝奪方式，剝奪</w:t>
      </w:r>
      <w:r w:rsidR="00203F72" w:rsidRPr="00B167C2">
        <w:t>Diallo</w:t>
      </w:r>
      <w:r w:rsidR="00203F72" w:rsidRPr="00B167C2">
        <w:t>對於上開兩家公司之有效監控權（</w:t>
      </w:r>
      <w:r w:rsidR="00203F72" w:rsidRPr="00B167C2">
        <w:t>he has been lastingly deprived of effective control</w:t>
      </w:r>
      <w:r w:rsidR="00203F72" w:rsidRPr="00B167C2">
        <w:t>）；或者，以不中斷之模式，剝奪</w:t>
      </w:r>
      <w:r w:rsidR="00203F72" w:rsidRPr="00B167C2">
        <w:t>Diallo</w:t>
      </w:r>
      <w:r w:rsidR="00203F72" w:rsidRPr="00B167C2">
        <w:t>理應享有或行使之合夥人權利與股份權益</w:t>
      </w:r>
      <w:r w:rsidR="00203F72" w:rsidRPr="00B167C2">
        <w:footnoteReference w:id="701"/>
      </w:r>
      <w:r w:rsidR="00203F72" w:rsidRPr="00B167C2">
        <w:t>。</w:t>
      </w:r>
    </w:p>
    <w:p w14:paraId="33A31F98" w14:textId="77777777" w:rsidR="00953151" w:rsidRPr="00B167C2" w:rsidRDefault="00E5108F" w:rsidP="00D87D91">
      <w:r w:rsidRPr="00B167C2">
        <w:t xml:space="preserve">　　</w:t>
      </w:r>
      <w:r w:rsidR="00203F72" w:rsidRPr="00B167C2">
        <w:t>根據</w:t>
      </w:r>
      <w:r w:rsidR="00203F72" w:rsidRPr="00B167C2">
        <w:t>ICJ</w:t>
      </w:r>
      <w:r w:rsidR="00203F72" w:rsidRPr="00B167C2">
        <w:t>之看法，就國內法之運作原則（</w:t>
      </w:r>
      <w:r w:rsidR="00203F72" w:rsidRPr="00B167C2">
        <w:t>the principle of domestic</w:t>
      </w:r>
      <w:r w:rsidR="00203F72" w:rsidRPr="00B167C2">
        <w:t>）而論，公司本身所擁有之法律上人格（</w:t>
      </w:r>
      <w:r w:rsidR="00203F72" w:rsidRPr="00B167C2">
        <w:t>legal personality</w:t>
      </w:r>
      <w:r w:rsidR="00203F72" w:rsidRPr="00B167C2">
        <w:t>），是不同於股東法律上之權利與義務（</w:t>
      </w:r>
      <w:r w:rsidR="00203F72" w:rsidRPr="00B167C2">
        <w:t>distinct from that of its shareholders</w:t>
      </w:r>
      <w:r w:rsidR="00203F72" w:rsidRPr="00B167C2">
        <w:t>）。在</w:t>
      </w:r>
      <w:r w:rsidR="00203F72" w:rsidRPr="00B167C2">
        <w:t>Diallo</w:t>
      </w:r>
      <w:r w:rsidR="00203F72" w:rsidRPr="00B167C2">
        <w:t>之案件中，儘管幾內亞主張</w:t>
      </w:r>
      <w:r w:rsidR="00203F72" w:rsidRPr="00B167C2">
        <w:t>Diallo</w:t>
      </w:r>
      <w:r w:rsidR="00203F72" w:rsidRPr="00B167C2">
        <w:t>是唯一之合夥人（事實上，共計有</w:t>
      </w:r>
      <w:r w:rsidR="00203F72" w:rsidRPr="00B167C2">
        <w:t>2</w:t>
      </w:r>
      <w:r w:rsidR="00203F72" w:rsidRPr="00B167C2">
        <w:t>位合夥人），</w:t>
      </w:r>
      <w:r w:rsidR="00203F72" w:rsidRPr="00B167C2">
        <w:t>ICJ</w:t>
      </w:r>
      <w:r w:rsidR="00203F72" w:rsidRPr="00B167C2">
        <w:t>指出，即便是單人型（</w:t>
      </w:r>
      <w:r w:rsidR="00203F72" w:rsidRPr="00B167C2">
        <w:t>unipersonal</w:t>
      </w:r>
      <w:r w:rsidR="00203F72" w:rsidRPr="00B167C2">
        <w:t>）之股東，仍舊適用上開公司之獨立法律人格有別於股東之人格之規範與原則。公司所擁有之權利（</w:t>
      </w:r>
      <w:r w:rsidR="00203F72" w:rsidRPr="00B167C2">
        <w:t>rights</w:t>
      </w:r>
      <w:r w:rsidR="00203F72" w:rsidRPr="00B167C2">
        <w:t>）與資產（</w:t>
      </w:r>
      <w:r w:rsidR="00203F72" w:rsidRPr="00B167C2">
        <w:t>assets</w:t>
      </w:r>
      <w:r w:rsidR="00203F72" w:rsidRPr="00B167C2">
        <w:t>），必須與合夥人（</w:t>
      </w:r>
      <w:r w:rsidR="00203F72" w:rsidRPr="00B167C2">
        <w:t>associe</w:t>
      </w:r>
      <w:r w:rsidR="00203F72" w:rsidRPr="00B167C2">
        <w:t>）之權利與資產進行區辨（</w:t>
      </w:r>
      <w:r w:rsidR="00203F72" w:rsidRPr="00B167C2">
        <w:t>be distinguished</w:t>
      </w:r>
      <w:r w:rsidR="00203F72" w:rsidRPr="00B167C2">
        <w:t>）與切割；根據上開公司之權利與資產，不等同於股東（合夥人）之權利與資產之區別原則，有關於幾內亞所主張之「公司之財產」業已與「股東之財產」混合成為一體（</w:t>
      </w:r>
      <w:r w:rsidR="00203F72" w:rsidRPr="00B167C2">
        <w:t>merges with</w:t>
      </w:r>
      <w:r w:rsidR="00203F72" w:rsidRPr="00B167C2">
        <w:t>）之主張，很明顯地，在法律上，很難獲得支持（</w:t>
      </w:r>
      <w:r w:rsidR="00203F72" w:rsidRPr="00B167C2">
        <w:t>legally untenable</w:t>
      </w:r>
      <w:r w:rsidR="00203F72" w:rsidRPr="00B167C2">
        <w:t>）；換句話說，在</w:t>
      </w:r>
      <w:r w:rsidR="00203F72" w:rsidRPr="00B167C2">
        <w:t>ICJ</w:t>
      </w:r>
      <w:r w:rsidR="00203F72" w:rsidRPr="00B167C2">
        <w:t>之認知中，公司之財產不能與股東之財產混為一談，主要之理由，因公司自己本身享有獨立自主之法律上人格。</w:t>
      </w:r>
    </w:p>
    <w:p w14:paraId="13FFC9D6" w14:textId="77777777" w:rsidR="00953151" w:rsidRPr="00B167C2" w:rsidRDefault="00E5108F" w:rsidP="00D87D91">
      <w:r w:rsidRPr="00B167C2">
        <w:t xml:space="preserve">　　</w:t>
      </w:r>
      <w:r w:rsidR="00203F72" w:rsidRPr="00B167C2">
        <w:t>ICJ</w:t>
      </w:r>
      <w:r w:rsidR="00203F72" w:rsidRPr="00B167C2">
        <w:t>進一步指出，公司所應承擔之責任與義務（</w:t>
      </w:r>
      <w:r w:rsidR="00203F72" w:rsidRPr="00B167C2">
        <w:t>liabilities of the company</w:t>
      </w:r>
      <w:r w:rsidR="00203F72" w:rsidRPr="00B167C2">
        <w:t>），是不等同於股東所應承擔之責任與義務（</w:t>
      </w:r>
      <w:r w:rsidR="00203F72" w:rsidRPr="00B167C2">
        <w:t>are not the liabilities of the shareholder</w:t>
      </w:r>
      <w:r w:rsidR="00203F72" w:rsidRPr="00B167C2">
        <w:t>）。再者，根據剛果涉及商業法規相關條款（</w:t>
      </w:r>
      <w:r w:rsidR="00203F72" w:rsidRPr="00B167C2">
        <w:t>Articles of Incorporation</w:t>
      </w:r>
      <w:r w:rsidR="00203F72" w:rsidRPr="00B167C2">
        <w:t>）之規範，就</w:t>
      </w:r>
      <w:r w:rsidR="00203F72" w:rsidRPr="00B167C2">
        <w:t>Africontainers-Zaire</w:t>
      </w:r>
      <w:r w:rsidR="00203F72" w:rsidRPr="00B167C2">
        <w:t>此類型私人責任有限公司而言，每位合夥人就涉及公司之債務與義務（</w:t>
      </w:r>
      <w:r w:rsidR="00203F72" w:rsidRPr="00B167C2">
        <w:t>corporate obligations</w:t>
      </w:r>
      <w:r w:rsidR="00203F72" w:rsidRPr="00B167C2">
        <w:t>）部分，其所應承擔之責任與義務，應僅限於合夥人持有公司股份（權）之部分（</w:t>
      </w:r>
      <w:r w:rsidR="00203F72" w:rsidRPr="00B167C2">
        <w:t>the amount of his/her parts sociales</w:t>
      </w:r>
      <w:r w:rsidR="00203F72" w:rsidRPr="00B167C2">
        <w:t>）；合夥人所應承受之責任與義務，</w:t>
      </w:r>
      <w:r w:rsidR="003E240E">
        <w:t>視</w:t>
      </w:r>
      <w:r w:rsidR="00203F72" w:rsidRPr="00B167C2">
        <w:t>其所持公司股權之比例而作決定，並非概括承受公司所有之債務與義務</w:t>
      </w:r>
      <w:r w:rsidR="00203F72" w:rsidRPr="00B167C2">
        <w:footnoteReference w:id="702"/>
      </w:r>
      <w:r w:rsidR="00203F72" w:rsidRPr="00B167C2">
        <w:t>。</w:t>
      </w:r>
    </w:p>
    <w:p w14:paraId="56EED262" w14:textId="77777777" w:rsidR="00953151" w:rsidRPr="00B167C2" w:rsidRDefault="00E5108F" w:rsidP="00D87D91">
      <w:r w:rsidRPr="00B167C2">
        <w:t xml:space="preserve">　　</w:t>
      </w:r>
      <w:r w:rsidR="00203F72" w:rsidRPr="00B167C2">
        <w:t>ICJ</w:t>
      </w:r>
      <w:r w:rsidR="00203F72" w:rsidRPr="00B167C2">
        <w:t>並援引及重申其於</w:t>
      </w:r>
      <w:r w:rsidR="00203F72" w:rsidRPr="00B167C2">
        <w:t>1970</w:t>
      </w:r>
      <w:r w:rsidR="00203F72" w:rsidRPr="00B167C2">
        <w:t>年巴塞隆納拖曳機案件中之立場，在巴塞隆納拖曳機（</w:t>
      </w:r>
      <w:r w:rsidR="00203F72" w:rsidRPr="00B167C2">
        <w:t>Barcelona Traction</w:t>
      </w:r>
      <w:r w:rsidR="00203F72" w:rsidRPr="00B167C2">
        <w:t>）案例中，</w:t>
      </w:r>
      <w:r w:rsidR="00203F72" w:rsidRPr="00B167C2">
        <w:t>ICJ</w:t>
      </w:r>
      <w:r w:rsidR="00203F72" w:rsidRPr="00B167C2">
        <w:t>指出，雖然，第三者（侵權行為人）對於公司所進行之不法侵權行為（</w:t>
      </w:r>
      <w:r w:rsidR="00203F72" w:rsidRPr="00B167C2">
        <w:t>a wrong done to the company</w:t>
      </w:r>
      <w:r w:rsidR="00203F72" w:rsidRPr="00B167C2">
        <w:t>），經常會導致股東股權利益之受損；但是，造成公司與股東兩者均受到侵權之乙事，並不代表（意味者）兩者均有權利可行使求償權（</w:t>
      </w:r>
      <w:r w:rsidR="00203F72" w:rsidRPr="00B167C2">
        <w:t>claim compensation</w:t>
      </w:r>
      <w:r w:rsidR="00203F72" w:rsidRPr="00B167C2">
        <w:t>）；通常而言，當一個不法侵權行為同時造成公司與股東兩者之權益受到侵害時，僅有公司有權採取適切之法律作為；雖然，同樣之不法侵權行為，同時令兩個不同實體（指公司與股東）蒙受損害，但，僅只有一個法律實體之權利受到侵害（犯）（</w:t>
      </w:r>
      <w:r w:rsidR="00203F72" w:rsidRPr="00B167C2">
        <w:t>only one entity whose rights have been infringed</w:t>
      </w:r>
      <w:r w:rsidR="00203F72" w:rsidRPr="00B167C2">
        <w:t>）</w:t>
      </w:r>
      <w:r w:rsidR="00203F72" w:rsidRPr="00B167C2">
        <w:footnoteReference w:id="703"/>
      </w:r>
      <w:r w:rsidR="00203F72" w:rsidRPr="00B167C2">
        <w:t>。</w:t>
      </w:r>
    </w:p>
    <w:p w14:paraId="2309E9EC" w14:textId="77777777" w:rsidR="00953151" w:rsidRPr="00B167C2" w:rsidRDefault="00E5108F" w:rsidP="00D87D91">
      <w:r w:rsidRPr="00B167C2">
        <w:t xml:space="preserve">　　</w:t>
      </w:r>
      <w:r w:rsidR="00203F72" w:rsidRPr="00B167C2">
        <w:t>在巴塞隆納案例中，</w:t>
      </w:r>
      <w:r w:rsidR="00203F72" w:rsidRPr="00B167C2">
        <w:t>ICJ</w:t>
      </w:r>
      <w:r w:rsidR="00203F72" w:rsidRPr="00B167C2">
        <w:t>認為，僅有公司之權利受到侵害，股東之權利並不受到侵犯。在</w:t>
      </w:r>
      <w:r w:rsidR="00203F72" w:rsidRPr="00B167C2">
        <w:t>Diallo</w:t>
      </w:r>
      <w:r w:rsidR="00203F72" w:rsidRPr="00B167C2">
        <w:t>案例之中，上開之原則，再次受到</w:t>
      </w:r>
      <w:r w:rsidR="00203F72" w:rsidRPr="00B167C2">
        <w:t>ICJ</w:t>
      </w:r>
      <w:r w:rsidR="00203F72" w:rsidRPr="00B167C2">
        <w:t>之重申與確認，</w:t>
      </w:r>
      <w:r w:rsidR="00203F72" w:rsidRPr="00B167C2">
        <w:t>ICJ</w:t>
      </w:r>
      <w:r w:rsidR="00203F72" w:rsidRPr="00B167C2">
        <w:t>並針對上開原則，重新引述其在巴賽隆納案件中之以下觀點：實有必要對於權利（</w:t>
      </w:r>
      <w:r w:rsidR="00203F72" w:rsidRPr="00B167C2">
        <w:t>rights</w:t>
      </w:r>
      <w:r w:rsidR="00203F72" w:rsidRPr="00B167C2">
        <w:t>）與單純之利益（</w:t>
      </w:r>
      <w:r w:rsidR="00203F72" w:rsidRPr="00B167C2">
        <w:t>a simple interest</w:t>
      </w:r>
      <w:r w:rsidR="00203F72" w:rsidRPr="00B167C2">
        <w:t>）受到侵害之情形，進行辨識（</w:t>
      </w:r>
      <w:r w:rsidR="00203F72" w:rsidRPr="00B167C2">
        <w:t>distinction</w:t>
      </w:r>
      <w:r w:rsidR="00203F72" w:rsidRPr="00B167C2">
        <w:t>），在巴塞隆納之案例中，並非股東單純之股份利益受到影響（</w:t>
      </w:r>
      <w:r w:rsidR="00203F72" w:rsidRPr="00B167C2">
        <w:t>Not a mere interest affected</w:t>
      </w:r>
      <w:r w:rsidR="00203F72" w:rsidRPr="00B167C2">
        <w:t>），而是僅有牽涉責任與義務層次之公司權利，會受到侵權損害（</w:t>
      </w:r>
      <w:r w:rsidR="00203F72" w:rsidRPr="00B167C2">
        <w:t>but solely a right infringed involves responsibility</w:t>
      </w:r>
      <w:r w:rsidR="00203F72" w:rsidRPr="00B167C2">
        <w:t>）。是以，第三人不法之侵權行為，僅會對公司之權利（</w:t>
      </w:r>
      <w:r w:rsidR="00203F72" w:rsidRPr="00B167C2">
        <w:t>company’s rights</w:t>
      </w:r>
      <w:r w:rsidR="00203F72" w:rsidRPr="00B167C2">
        <w:t>）造成損害，而不會對於股東之責任與義務（</w:t>
      </w:r>
      <w:r w:rsidR="00203F72" w:rsidRPr="00B167C2">
        <w:t>responsibilities towards the share holders</w:t>
      </w:r>
      <w:r w:rsidR="00203F72" w:rsidRPr="00B167C2">
        <w:t>）造成侵權；儘管股東之利益（</w:t>
      </w:r>
      <w:r w:rsidR="00203F72" w:rsidRPr="00B167C2">
        <w:t>interests</w:t>
      </w:r>
      <w:r w:rsidR="00203F72" w:rsidRPr="00B167C2">
        <w:t>）受到幹擾，但股東之權利（即涉及責任與義務之層次）不會受到侵權行為之影響</w:t>
      </w:r>
      <w:r w:rsidR="00203F72" w:rsidRPr="00B167C2">
        <w:footnoteReference w:id="704"/>
      </w:r>
      <w:r w:rsidR="00203F72" w:rsidRPr="00B167C2">
        <w:t>。</w:t>
      </w:r>
    </w:p>
    <w:p w14:paraId="4E5FC0ED" w14:textId="77777777" w:rsidR="00953151" w:rsidRPr="00B167C2" w:rsidRDefault="00E5108F" w:rsidP="00D87D91">
      <w:r w:rsidRPr="00B167C2">
        <w:t xml:space="preserve">　　</w:t>
      </w:r>
      <w:r w:rsidR="00203F72" w:rsidRPr="00B167C2">
        <w:t>在此，依據</w:t>
      </w:r>
      <w:r w:rsidR="00203F72" w:rsidRPr="00B167C2">
        <w:t>ICJ</w:t>
      </w:r>
      <w:r w:rsidR="00203F72" w:rsidRPr="00B167C2">
        <w:t>之論理，係將「公司之權利」與「股東之利益」作非常清楚之切割。基本上，涉及「權利」（</w:t>
      </w:r>
      <w:r w:rsidR="00203F72" w:rsidRPr="00B167C2">
        <w:t>rights</w:t>
      </w:r>
      <w:r w:rsidR="00203F72" w:rsidRPr="00B167C2">
        <w:t>）與「利益」（</w:t>
      </w:r>
      <w:r w:rsidR="00203F72" w:rsidRPr="00B167C2">
        <w:t>interest</w:t>
      </w:r>
      <w:r w:rsidR="00203F72" w:rsidRPr="00B167C2">
        <w:t>）之本質上差異之議題。</w:t>
      </w:r>
      <w:r w:rsidR="00203F72" w:rsidRPr="00B167C2">
        <w:t>ICJ</w:t>
      </w:r>
      <w:r w:rsidR="00203F72" w:rsidRPr="00B167C2">
        <w:t>認為，所謂之「權利」（</w:t>
      </w:r>
      <w:r w:rsidR="00203F72" w:rsidRPr="00B167C2">
        <w:t>rights</w:t>
      </w:r>
      <w:r w:rsidR="00203F72" w:rsidRPr="00B167C2">
        <w:t>），它處理之對象，是責任與義務（</w:t>
      </w:r>
      <w:r w:rsidR="00203F72" w:rsidRPr="00B167C2">
        <w:t>responsibility</w:t>
      </w:r>
      <w:r w:rsidR="00203F72" w:rsidRPr="00B167C2">
        <w:t>），利益（</w:t>
      </w:r>
      <w:r w:rsidR="00203F72" w:rsidRPr="00B167C2">
        <w:t>interests</w:t>
      </w:r>
      <w:r w:rsidR="00203F72" w:rsidRPr="00B167C2">
        <w:t>）則否</w:t>
      </w:r>
      <w:r w:rsidR="00203F72" w:rsidRPr="00B167C2">
        <w:footnoteReference w:id="705"/>
      </w:r>
      <w:r w:rsidR="00203F72" w:rsidRPr="00B167C2">
        <w:t>。以上，是</w:t>
      </w:r>
      <w:r w:rsidR="00203F72" w:rsidRPr="00B167C2">
        <w:t>ICJ</w:t>
      </w:r>
      <w:r w:rsidR="00203F72" w:rsidRPr="00B167C2">
        <w:t>在巴塞隆納案例中之觀點與認知。在</w:t>
      </w:r>
      <w:r w:rsidR="00203F72" w:rsidRPr="00B167C2">
        <w:t>Diallo</w:t>
      </w:r>
      <w:r w:rsidR="00203F72" w:rsidRPr="00B167C2">
        <w:t>案件中，</w:t>
      </w:r>
      <w:r w:rsidR="00203F72" w:rsidRPr="00B167C2">
        <w:t>ICJ</w:t>
      </w:r>
      <w:r w:rsidR="00203F72" w:rsidRPr="00B167C2">
        <w:t>似乎對於上開「權利」與「利益」之本質差異，並未多加著墨，而籠統地均以「權利」（</w:t>
      </w:r>
      <w:r w:rsidR="00203F72" w:rsidRPr="00B167C2">
        <w:t>rights</w:t>
      </w:r>
      <w:r w:rsidR="00203F72" w:rsidRPr="00B167C2">
        <w:t>）取代之，不再對於權利與利益之差異性，多加著力。</w:t>
      </w:r>
    </w:p>
    <w:p w14:paraId="4A7914CC" w14:textId="77777777" w:rsidR="00953151" w:rsidRPr="00B167C2" w:rsidRDefault="00E5108F" w:rsidP="00D87D91">
      <w:r w:rsidRPr="00B167C2">
        <w:t xml:space="preserve">　　</w:t>
      </w:r>
      <w:r w:rsidR="00203F72" w:rsidRPr="00B167C2">
        <w:t>ICJ</w:t>
      </w:r>
      <w:r w:rsidR="00203F72" w:rsidRPr="00B167C2">
        <w:t>認為</w:t>
      </w:r>
      <w:r w:rsidR="00203F72" w:rsidRPr="00B167C2">
        <w:t>DRC</w:t>
      </w:r>
      <w:r w:rsidR="00203F72" w:rsidRPr="00B167C2">
        <w:t>並未限制</w:t>
      </w:r>
      <w:r w:rsidR="00203F72" w:rsidRPr="00B167C2">
        <w:t>Diallo</w:t>
      </w:r>
      <w:r w:rsidR="00203F72" w:rsidRPr="00B167C2">
        <w:t>作為一名合夥人所應享有之直接權利（</w:t>
      </w:r>
      <w:r w:rsidR="00203F72" w:rsidRPr="00B167C2">
        <w:t>direct right as associe</w:t>
      </w:r>
      <w:r w:rsidR="00203F72" w:rsidRPr="00B167C2">
        <w:t>），如參與股東大會與行使投票之權（</w:t>
      </w:r>
      <w:r w:rsidR="00203F72" w:rsidRPr="00B167C2">
        <w:t>to take part and vote in general meetings of the companies</w:t>
      </w:r>
      <w:r w:rsidR="00203F72" w:rsidRPr="00B167C2">
        <w:t>）；再者，</w:t>
      </w:r>
      <w:r w:rsidR="00203F72" w:rsidRPr="00B167C2">
        <w:t>Diallo</w:t>
      </w:r>
      <w:r w:rsidR="00203F72" w:rsidRPr="00B167C2">
        <w:t>被任命或仍保有代理人（</w:t>
      </w:r>
      <w:r w:rsidR="00203F72" w:rsidRPr="00B167C2">
        <w:t>gerant</w:t>
      </w:r>
      <w:r w:rsidR="00203F72" w:rsidRPr="00B167C2">
        <w:t>）之權利，</w:t>
      </w:r>
      <w:r w:rsidR="00203F72" w:rsidRPr="00B167C2">
        <w:t>ICJ</w:t>
      </w:r>
      <w:r w:rsidR="00203F72" w:rsidRPr="00B167C2">
        <w:t>亦認定其未受剝奪；此外，</w:t>
      </w:r>
      <w:r w:rsidR="00203F72" w:rsidRPr="00B167C2">
        <w:t>Diallo</w:t>
      </w:r>
      <w:r w:rsidR="00203F72" w:rsidRPr="00B167C2">
        <w:t>監督公司營運之權利，亦未受到限制。為何</w:t>
      </w:r>
      <w:r w:rsidR="00203F72" w:rsidRPr="00B167C2">
        <w:t>ICJ</w:t>
      </w:r>
      <w:r w:rsidR="00203F72" w:rsidRPr="00B167C2">
        <w:t>會持上述之見解？原因如下文所述。</w:t>
      </w:r>
      <w:r w:rsidR="00203F72" w:rsidRPr="00B167C2">
        <w:t>ICJ</w:t>
      </w:r>
      <w:r w:rsidR="00203F72" w:rsidRPr="00B167C2">
        <w:t>指出，涉及</w:t>
      </w:r>
      <w:r w:rsidR="00203F72" w:rsidRPr="00B167C2">
        <w:t>Diallo</w:t>
      </w:r>
      <w:r w:rsidR="00203F72" w:rsidRPr="00B167C2">
        <w:t>股權（</w:t>
      </w:r>
      <w:r w:rsidR="00203F72" w:rsidRPr="00B167C2">
        <w:t>parts sociales</w:t>
      </w:r>
      <w:r w:rsidR="00203F72" w:rsidRPr="00B167C2">
        <w:t>）之直接權利（</w:t>
      </w:r>
      <w:r w:rsidR="00203F72" w:rsidRPr="00B167C2">
        <w:t>direct rights</w:t>
      </w:r>
      <w:r w:rsidR="00203F72" w:rsidRPr="00B167C2">
        <w:t>），必須與私人責任有限公司之權利，作非常清楚之辨別（</w:t>
      </w:r>
      <w:r w:rsidR="00203F72" w:rsidRPr="00B167C2">
        <w:t>be clearly distinguished</w:t>
      </w:r>
      <w:r w:rsidR="00203F72" w:rsidRPr="00B167C2">
        <w:t>）；特別是在關於公司之財產權部分（</w:t>
      </w:r>
      <w:r w:rsidR="00203F72" w:rsidRPr="00B167C2">
        <w:t>property rights belonging to the companies</w:t>
      </w:r>
      <w:r w:rsidR="00203F72" w:rsidRPr="00B167C2">
        <w:t>），須與</w:t>
      </w:r>
      <w:r w:rsidR="00203F72" w:rsidRPr="00B167C2">
        <w:t>Diallo</w:t>
      </w:r>
      <w:r w:rsidR="00203F72" w:rsidRPr="00B167C2">
        <w:t>之股權作清楚之區別。在公司之財產中，包括資金之部分（</w:t>
      </w:r>
      <w:r w:rsidR="00203F72" w:rsidRPr="00B167C2">
        <w:t>the capital</w:t>
      </w:r>
      <w:r w:rsidR="00203F72" w:rsidRPr="00B167C2">
        <w:t>），是屬於公司所擁有（</w:t>
      </w:r>
      <w:r w:rsidR="00203F72" w:rsidRPr="00B167C2">
        <w:t>part of the company’s property</w:t>
      </w:r>
      <w:r w:rsidR="00203F72" w:rsidRPr="00B167C2">
        <w:t>）；上述之資金，計包括：公司之資產及應收欠款（</w:t>
      </w:r>
      <w:r w:rsidR="00203F72" w:rsidRPr="00B167C2">
        <w:t>debts receivable from third parties</w:t>
      </w:r>
      <w:r w:rsidR="00203F72" w:rsidRPr="00B167C2">
        <w:t>）。</w:t>
      </w:r>
    </w:p>
    <w:p w14:paraId="221FA1A4" w14:textId="77777777" w:rsidR="00953151" w:rsidRPr="00B167C2" w:rsidRDefault="00E5108F" w:rsidP="00D87D91">
      <w:r w:rsidRPr="00B167C2">
        <w:t xml:space="preserve">　　</w:t>
      </w:r>
      <w:r w:rsidR="00203F72" w:rsidRPr="00B167C2">
        <w:t>相較而論，合夥人（</w:t>
      </w:r>
      <w:r w:rsidR="00203F72" w:rsidRPr="00B167C2">
        <w:t>associes</w:t>
      </w:r>
      <w:r w:rsidR="00203F72" w:rsidRPr="00B167C2">
        <w:t>）所持有者，則為股份（權）（</w:t>
      </w:r>
      <w:r w:rsidR="00203F72" w:rsidRPr="00B167C2">
        <w:t>parts sociales</w:t>
      </w:r>
      <w:r w:rsidR="00203F72" w:rsidRPr="00B167C2">
        <w:t>）。股份（權）代表著資金，但兩者在本質上，是有不同的。擁有股權之人，被賦予經營公司之權利（</w:t>
      </w:r>
      <w:r w:rsidR="00203F72" w:rsidRPr="00B167C2">
        <w:t>confer on their holders rights in the operation of the company</w:t>
      </w:r>
      <w:r w:rsidR="00203F72" w:rsidRPr="00B167C2">
        <w:t>），及收取紅利、股息（</w:t>
      </w:r>
      <w:r w:rsidR="00203F72" w:rsidRPr="00B167C2">
        <w:t>dividends</w:t>
      </w:r>
      <w:r w:rsidR="00203F72" w:rsidRPr="00B167C2">
        <w:t>）之權；或者，在公司接受債務人清償之後，收取其應獲得之款項。</w:t>
      </w:r>
      <w:r w:rsidR="00203F72" w:rsidRPr="00B167C2">
        <w:t>ICJ</w:t>
      </w:r>
      <w:r w:rsidR="00203F72" w:rsidRPr="00B167C2">
        <w:t>指出，</w:t>
      </w:r>
      <w:r w:rsidR="00203F72" w:rsidRPr="00B167C2">
        <w:t>Diallo</w:t>
      </w:r>
      <w:r w:rsidR="00203F72" w:rsidRPr="00B167C2">
        <w:t>之直接權利，僅包括兩項：</w:t>
      </w:r>
      <w:r w:rsidR="00203F72" w:rsidRPr="00B167C2">
        <w:t>1.</w:t>
      </w:r>
      <w:r w:rsidR="00203F72" w:rsidRPr="00B167C2">
        <w:t>收取紅利、股息；</w:t>
      </w:r>
      <w:r w:rsidR="00203F72" w:rsidRPr="00B167C2">
        <w:t>2.</w:t>
      </w:r>
      <w:r w:rsidR="00203F72" w:rsidRPr="00B167C2">
        <w:t>在公司準備結束營業過程中，其可獲得之款項。然而，並無任何之證據顯示，</w:t>
      </w:r>
      <w:r w:rsidR="00203F72" w:rsidRPr="00B167C2">
        <w:t>Diallo</w:t>
      </w:r>
      <w:r w:rsidR="00203F72" w:rsidRPr="00B167C2">
        <w:t>所合夥之公司有進行分紅或發放股息，或者，公司擬結束營業（</w:t>
      </w:r>
      <w:r w:rsidR="00203F72" w:rsidRPr="00B167C2">
        <w:t>wind up the companies</w:t>
      </w:r>
      <w:r w:rsidR="00203F72" w:rsidRPr="00B167C2">
        <w:t>）</w:t>
      </w:r>
      <w:r w:rsidR="00203F72" w:rsidRPr="00B167C2">
        <w:footnoteReference w:id="706"/>
      </w:r>
      <w:r w:rsidR="00203F72" w:rsidRPr="00B167C2">
        <w:t>。</w:t>
      </w:r>
    </w:p>
    <w:p w14:paraId="3288C7A7" w14:textId="77777777" w:rsidR="00953151" w:rsidRPr="00B167C2" w:rsidRDefault="00E5108F" w:rsidP="00D87D91">
      <w:r w:rsidRPr="00B167C2">
        <w:t xml:space="preserve">　　</w:t>
      </w:r>
      <w:r w:rsidR="00203F72" w:rsidRPr="00B167C2">
        <w:t>DRC</w:t>
      </w:r>
      <w:r w:rsidR="00203F72" w:rsidRPr="00B167C2">
        <w:t>在回應幾內亞之指控方面，曾提出一項證據，證明</w:t>
      </w:r>
      <w:r w:rsidR="00203F72" w:rsidRPr="00B167C2">
        <w:t>Diallo</w:t>
      </w:r>
      <w:r w:rsidR="00203F72" w:rsidRPr="00B167C2">
        <w:t>之財產權，並未受到任何之侵害或限制；上開之證據，即為從</w:t>
      </w:r>
      <w:r w:rsidR="00203F72" w:rsidRPr="00B167C2">
        <w:t>1991</w:t>
      </w:r>
      <w:r w:rsidR="00203F72" w:rsidRPr="00B167C2">
        <w:t>年以來，截至</w:t>
      </w:r>
      <w:r w:rsidR="00203F72" w:rsidRPr="00B167C2">
        <w:t>Diallo</w:t>
      </w:r>
      <w:r w:rsidR="00203F72" w:rsidRPr="00B167C2">
        <w:t>被</w:t>
      </w:r>
      <w:r w:rsidR="00203F72" w:rsidRPr="00B167C2">
        <w:t>DRC</w:t>
      </w:r>
      <w:r w:rsidR="00203F72" w:rsidRPr="00B167C2">
        <w:t>驅逐出國之前，</w:t>
      </w:r>
      <w:r w:rsidR="00203F72" w:rsidRPr="00B167C2">
        <w:t>Diallo</w:t>
      </w:r>
      <w:r w:rsidR="00203F72" w:rsidRPr="00B167C2">
        <w:t>所合夥投資之兩家公司</w:t>
      </w:r>
      <w:r w:rsidR="00D92F56" w:rsidRPr="00B167C2">
        <w:t>〜</w:t>
      </w:r>
      <w:r w:rsidR="00203F72" w:rsidRPr="00B167C2">
        <w:t>Africom-Zaire</w:t>
      </w:r>
      <w:r w:rsidR="00203F72" w:rsidRPr="00B167C2">
        <w:t>與</w:t>
      </w:r>
      <w:r w:rsidR="00203F72" w:rsidRPr="00B167C2">
        <w:t>Africontainers-Zaire</w:t>
      </w:r>
      <w:r w:rsidR="00203F72" w:rsidRPr="00B167C2">
        <w:t>，均未再從事任何之商業活動，公司等同處於經濟上之</w:t>
      </w:r>
      <w:r w:rsidR="00203F72" w:rsidRPr="00B167C2">
        <w:t>“</w:t>
      </w:r>
      <w:r w:rsidR="00203F72" w:rsidRPr="00B167C2">
        <w:t>死亡</w:t>
      </w:r>
      <w:r w:rsidR="00203F72" w:rsidRPr="00B167C2">
        <w:t>”</w:t>
      </w:r>
      <w:r w:rsidR="00203F72" w:rsidRPr="00B167C2">
        <w:t>一般（</w:t>
      </w:r>
      <w:r w:rsidR="00203F72" w:rsidRPr="00B167C2">
        <w:t>economic demise of his companies</w:t>
      </w:r>
      <w:r w:rsidR="00203F72" w:rsidRPr="00B167C2">
        <w:t>）；亦即，處在一種</w:t>
      </w:r>
      <w:r w:rsidR="00203F72" w:rsidRPr="00B167C2">
        <w:t>“</w:t>
      </w:r>
      <w:r w:rsidR="00203F72" w:rsidRPr="00B167C2">
        <w:t>未申報之破產狀態</w:t>
      </w:r>
      <w:r w:rsidR="00203F72" w:rsidRPr="00B167C2">
        <w:t>”</w:t>
      </w:r>
      <w:r w:rsidR="00203F72" w:rsidRPr="00B167C2">
        <w:t>（</w:t>
      </w:r>
      <w:r w:rsidR="00203F72" w:rsidRPr="00B167C2">
        <w:t>undeclared bankruptcy</w:t>
      </w:r>
      <w:r w:rsidR="00203F72" w:rsidRPr="00B167C2">
        <w:t>）之中。</w:t>
      </w:r>
      <w:r w:rsidR="00203F72" w:rsidRPr="00B167C2">
        <w:t>DRC</w:t>
      </w:r>
      <w:r w:rsidR="00203F72" w:rsidRPr="00B167C2">
        <w:t>擬從上述之事實狀態，即上開兩家公司均未從事經濟活動之觀點，說明</w:t>
      </w:r>
      <w:r w:rsidR="00203F72" w:rsidRPr="00B167C2">
        <w:t>Diallo</w:t>
      </w:r>
      <w:r w:rsidR="00203F72" w:rsidRPr="00B167C2">
        <w:t>之財產權未受到侵犯；但</w:t>
      </w:r>
      <w:r w:rsidR="00203F72" w:rsidRPr="00B167C2">
        <w:t>ICJ</w:t>
      </w:r>
      <w:r w:rsidR="00203F72" w:rsidRPr="00B167C2">
        <w:t>不接受此種之論證方式。</w:t>
      </w:r>
      <w:r w:rsidR="00203F72" w:rsidRPr="00B167C2">
        <w:t>ICJ</w:t>
      </w:r>
      <w:r w:rsidR="00203F72" w:rsidRPr="00B167C2">
        <w:t>重申其在巴塞隆納案例中之看法，即公司之不穩定財政情況，並不等同於公司實體之滅亡（</w:t>
      </w:r>
      <w:r w:rsidR="00203F72" w:rsidRPr="00B167C2">
        <w:t>cannot be equated with the demise of the corporate entity</w:t>
      </w:r>
      <w:r w:rsidR="00203F72" w:rsidRPr="00B167C2">
        <w:t>）。公司在法律上所享有之地位（</w:t>
      </w:r>
      <w:r w:rsidR="00203F72" w:rsidRPr="00B167C2">
        <w:t>status in law</w:t>
      </w:r>
      <w:r w:rsidR="00203F72" w:rsidRPr="00B167C2">
        <w:t>），它是一種獨立之法律人格，其不受制於公司之經濟情況，亦不受</w:t>
      </w:r>
      <w:r w:rsidR="00203F72" w:rsidRPr="00B167C2">
        <w:t>“</w:t>
      </w:r>
      <w:r w:rsidR="00203F72" w:rsidRPr="00B167C2">
        <w:t>實際上滅亡</w:t>
      </w:r>
      <w:r w:rsidR="00203F72" w:rsidRPr="00B167C2">
        <w:t>”</w:t>
      </w:r>
      <w:r w:rsidR="00203F72" w:rsidRPr="00B167C2">
        <w:t>（</w:t>
      </w:r>
      <w:r w:rsidR="00203F72" w:rsidRPr="00B167C2">
        <w:t>practically defunct</w:t>
      </w:r>
      <w:r w:rsidR="00203F72" w:rsidRPr="00B167C2">
        <w:t>）之風險之左右</w:t>
      </w:r>
      <w:r w:rsidR="00203F72" w:rsidRPr="00B167C2">
        <w:footnoteReference w:id="707"/>
      </w:r>
      <w:r w:rsidR="00203F72" w:rsidRPr="00B167C2">
        <w:t>。</w:t>
      </w:r>
    </w:p>
    <w:p w14:paraId="4460188D" w14:textId="77777777" w:rsidR="00953151" w:rsidRPr="00B167C2" w:rsidRDefault="00E5108F" w:rsidP="00D87D91">
      <w:r w:rsidRPr="00B167C2">
        <w:t xml:space="preserve">　　</w:t>
      </w:r>
      <w:r w:rsidR="00203F72" w:rsidRPr="00B167C2">
        <w:t>是以，根據</w:t>
      </w:r>
      <w:r w:rsidR="00203F72" w:rsidRPr="00B167C2">
        <w:t>ICJ</w:t>
      </w:r>
      <w:r w:rsidR="00203F72" w:rsidRPr="00B167C2">
        <w:t>上開之見解，儘管公司之財政經濟不佳，甚或已處在隨時會破產之邊緣，但，公司在法律上之獨立人格，並不會受到上述因素之限制與影響；主要之原因，是公司在法律上所享有之地位或人格，它是屬於一種獨立之性質，不受上述因素之左右。</w:t>
      </w:r>
      <w:r w:rsidR="00203F72" w:rsidRPr="00B167C2">
        <w:t>ICJ</w:t>
      </w:r>
      <w:r w:rsidR="00203F72" w:rsidRPr="00B167C2">
        <w:t>根據上述之見解，認定幾內亞所主張</w:t>
      </w:r>
      <w:r w:rsidR="00203F72" w:rsidRPr="00B167C2">
        <w:t>Diallo</w:t>
      </w:r>
      <w:r w:rsidR="00203F72" w:rsidRPr="00B167C2">
        <w:t>在上述</w:t>
      </w:r>
      <w:r w:rsidR="00203F72" w:rsidRPr="00B167C2">
        <w:t>2</w:t>
      </w:r>
      <w:r w:rsidR="00203F72" w:rsidRPr="00B167C2">
        <w:t>家公司之股權受到侵害（</w:t>
      </w:r>
      <w:r w:rsidR="00203F72" w:rsidRPr="00B167C2">
        <w:t>infringement</w:t>
      </w:r>
      <w:r w:rsidR="00203F72" w:rsidRPr="00B167C2">
        <w:t>）之乙事，無法成立；換句話說，</w:t>
      </w:r>
      <w:r w:rsidR="00203F72" w:rsidRPr="00B167C2">
        <w:t>DRC</w:t>
      </w:r>
      <w:r w:rsidR="00203F72" w:rsidRPr="00B167C2">
        <w:t>雖將</w:t>
      </w:r>
      <w:r w:rsidR="00203F72" w:rsidRPr="00B167C2">
        <w:t>Diallo</w:t>
      </w:r>
      <w:r w:rsidR="00203F72" w:rsidRPr="00B167C2">
        <w:t>驅逐出國，但其在上述兩家公司之財產權（股權），並未受到侵害，</w:t>
      </w:r>
      <w:r w:rsidR="00203F72" w:rsidRPr="00B167C2">
        <w:t>Diallo</w:t>
      </w:r>
      <w:r w:rsidR="00203F72" w:rsidRPr="00B167C2">
        <w:t>仍可行使其合夥人之權利</w:t>
      </w:r>
      <w:r w:rsidR="00203F72" w:rsidRPr="00B167C2">
        <w:footnoteReference w:id="708"/>
      </w:r>
      <w:r w:rsidR="00203F72" w:rsidRPr="00B167C2">
        <w:t>。</w:t>
      </w:r>
    </w:p>
    <w:p w14:paraId="359AAC9E" w14:textId="77777777" w:rsidR="00515D85" w:rsidRDefault="00515D85" w:rsidP="00D27FE5">
      <w:pPr>
        <w:jc w:val="right"/>
        <w:rPr>
          <w:rFonts w:ascii="新細明體" w:hAnsi="新細明體"/>
        </w:rPr>
      </w:pPr>
      <w:r w:rsidRPr="0026266A">
        <w:rPr>
          <w:rFonts w:hint="eastAsia"/>
        </w:rPr>
        <w:t>。。。。。。。。。。。。。。。。。。。。。。。。。</w:t>
      </w:r>
      <w:hyperlink w:anchor="a目次36" w:history="1">
        <w:r>
          <w:rPr>
            <w:rStyle w:val="a5"/>
            <w:sz w:val="18"/>
          </w:rPr>
          <w:t>回目次</w:t>
        </w:r>
      </w:hyperlink>
      <w:r w:rsidR="00E91F89">
        <w:rPr>
          <w:rFonts w:ascii="新細明體" w:hAnsi="新細明體"/>
          <w:color w:val="808000"/>
        </w:rPr>
        <w:t>〉〉</w:t>
      </w:r>
    </w:p>
    <w:p w14:paraId="09DD099C" w14:textId="77777777" w:rsidR="00515D85" w:rsidRDefault="00515D85" w:rsidP="00D87D91"/>
    <w:p w14:paraId="7FC661D6" w14:textId="77777777" w:rsidR="00953151" w:rsidRDefault="00203F72" w:rsidP="00767F37">
      <w:pPr>
        <w:pStyle w:val="2"/>
      </w:pPr>
      <w:bookmarkStart w:id="95" w:name="_參、Diallo驅逐出國案例之重要特色"/>
      <w:bookmarkEnd w:id="95"/>
      <w:r w:rsidRPr="00A53581">
        <w:t>參、</w:t>
      </w:r>
      <w:r w:rsidRPr="00A53581">
        <w:t>Diallo</w:t>
      </w:r>
      <w:r w:rsidRPr="00A53581">
        <w:t>驅逐出國案例之重要特色</w:t>
      </w:r>
    </w:p>
    <w:p w14:paraId="78A44979" w14:textId="77777777" w:rsidR="00203F72" w:rsidRPr="00B167C2" w:rsidRDefault="00E5108F" w:rsidP="00D87D91">
      <w:r w:rsidRPr="00B167C2">
        <w:t xml:space="preserve">　　</w:t>
      </w:r>
      <w:r w:rsidR="00203F72" w:rsidRPr="00B167C2">
        <w:t>根據上述</w:t>
      </w:r>
      <w:r w:rsidR="00203F72" w:rsidRPr="00B167C2">
        <w:t>2010</w:t>
      </w:r>
      <w:r w:rsidR="00203F72" w:rsidRPr="00B167C2">
        <w:t>年聯合國國際法院</w:t>
      </w:r>
      <w:r w:rsidR="00203F72" w:rsidRPr="00B167C2">
        <w:t>Diallo</w:t>
      </w:r>
      <w:r w:rsidR="00203F72" w:rsidRPr="00B167C2">
        <w:t>驅逐出國案例之判決文內容，本案重要之特色，如下所述：</w:t>
      </w:r>
    </w:p>
    <w:p w14:paraId="51A3952D" w14:textId="77777777" w:rsidR="00203F72" w:rsidRPr="00B167C2" w:rsidRDefault="00E5108F" w:rsidP="00D87D91">
      <w:r w:rsidRPr="00B167C2">
        <w:t xml:space="preserve">　　</w:t>
      </w:r>
      <w:r w:rsidR="00203F72" w:rsidRPr="00B167C2">
        <w:t>1</w:t>
      </w:r>
      <w:r w:rsidR="00203F72" w:rsidRPr="00B167C2">
        <w:t>、</w:t>
      </w:r>
      <w:r w:rsidR="00203F72" w:rsidRPr="00B167C2">
        <w:t>ICJ</w:t>
      </w:r>
      <w:r w:rsidR="00203F72" w:rsidRPr="00B167C2">
        <w:t>不受理</w:t>
      </w:r>
      <w:r w:rsidR="00203F72" w:rsidRPr="00B167C2">
        <w:t>1988</w:t>
      </w:r>
      <w:r w:rsidR="00203F72" w:rsidRPr="00B167C2">
        <w:t>年至</w:t>
      </w:r>
      <w:r w:rsidR="00203F72" w:rsidRPr="00B167C2">
        <w:t>1989</w:t>
      </w:r>
      <w:r w:rsidR="00203F72" w:rsidRPr="00B167C2">
        <w:t>年之間，</w:t>
      </w:r>
      <w:r w:rsidR="00203F72" w:rsidRPr="00B167C2">
        <w:t>DRC</w:t>
      </w:r>
      <w:r w:rsidR="00203F72" w:rsidRPr="00B167C2">
        <w:t>對</w:t>
      </w:r>
      <w:r w:rsidR="00203F72" w:rsidRPr="00B167C2">
        <w:t>Diallo</w:t>
      </w:r>
      <w:r w:rsidR="00203F72" w:rsidRPr="00B167C2">
        <w:t>之逮捕與收容之案情；</w:t>
      </w:r>
    </w:p>
    <w:p w14:paraId="0B9EC0AF" w14:textId="77777777" w:rsidR="00203F72" w:rsidRPr="00B167C2" w:rsidRDefault="00E5108F" w:rsidP="00D87D91">
      <w:r w:rsidRPr="00B167C2">
        <w:t xml:space="preserve">　　</w:t>
      </w:r>
      <w:r w:rsidR="00203F72" w:rsidRPr="00B167C2">
        <w:t>2</w:t>
      </w:r>
      <w:r w:rsidR="00203F72" w:rsidRPr="00B167C2">
        <w:t>、</w:t>
      </w:r>
      <w:r w:rsidR="00203F72" w:rsidRPr="00B167C2">
        <w:t>1996</w:t>
      </w:r>
      <w:r w:rsidR="00203F72" w:rsidRPr="00B167C2">
        <w:t>年</w:t>
      </w:r>
      <w:r w:rsidR="00203F72" w:rsidRPr="00B167C2">
        <w:t>DRC</w:t>
      </w:r>
      <w:r w:rsidR="00203F72" w:rsidRPr="00B167C2">
        <w:t>對</w:t>
      </w:r>
      <w:r w:rsidR="00203F72" w:rsidRPr="00B167C2">
        <w:t>Diallo</w:t>
      </w:r>
      <w:r w:rsidR="00203F72" w:rsidRPr="00B167C2">
        <w:t>所裁處之驅逐出國處分，</w:t>
      </w:r>
      <w:r w:rsidR="00203F72" w:rsidRPr="00B167C2">
        <w:t>ICJ</w:t>
      </w:r>
      <w:r w:rsidR="00203F72" w:rsidRPr="00B167C2">
        <w:t>認為該驅逐出國處分係屬違法；</w:t>
      </w:r>
    </w:p>
    <w:p w14:paraId="6452AB2D" w14:textId="77777777" w:rsidR="00203F72" w:rsidRPr="00B167C2" w:rsidRDefault="00E5108F" w:rsidP="00D87D91">
      <w:r w:rsidRPr="00B167C2">
        <w:t xml:space="preserve">　　</w:t>
      </w:r>
      <w:r w:rsidR="00203F72" w:rsidRPr="00B167C2">
        <w:t>3</w:t>
      </w:r>
      <w:r w:rsidR="00203F72" w:rsidRPr="00B167C2">
        <w:t>、</w:t>
      </w:r>
      <w:r w:rsidR="00203F72" w:rsidRPr="00B167C2">
        <w:t>1996</w:t>
      </w:r>
      <w:r w:rsidR="00203F72" w:rsidRPr="00B167C2">
        <w:t>年</w:t>
      </w:r>
      <w:r w:rsidR="00203F72" w:rsidRPr="00B167C2">
        <w:t>DRC</w:t>
      </w:r>
      <w:r w:rsidR="00203F72" w:rsidRPr="00B167C2">
        <w:t>為了順利執行將</w:t>
      </w:r>
      <w:r w:rsidR="00203F72" w:rsidRPr="00B167C2">
        <w:t>Diallo</w:t>
      </w:r>
      <w:r w:rsidR="00203F72" w:rsidRPr="00B167C2">
        <w:t>驅逐出國之處分，所進行之逮捕與收容，</w:t>
      </w:r>
      <w:r w:rsidR="00203F72" w:rsidRPr="00B167C2">
        <w:t>ICJ</w:t>
      </w:r>
      <w:r w:rsidR="00203F72" w:rsidRPr="00B167C2">
        <w:t>認為係屬於違法；</w:t>
      </w:r>
    </w:p>
    <w:p w14:paraId="527DC0A0" w14:textId="77777777" w:rsidR="00203F72" w:rsidRPr="00B167C2" w:rsidRDefault="00E5108F" w:rsidP="00D87D91">
      <w:r w:rsidRPr="00B167C2">
        <w:t xml:space="preserve">　　</w:t>
      </w:r>
      <w:r w:rsidR="00203F72" w:rsidRPr="00B167C2">
        <w:t>4</w:t>
      </w:r>
      <w:r w:rsidR="00203F72" w:rsidRPr="00B167C2">
        <w:t>、</w:t>
      </w:r>
      <w:r w:rsidR="00203F72" w:rsidRPr="00B167C2">
        <w:t>1996</w:t>
      </w:r>
      <w:r w:rsidR="00203F72" w:rsidRPr="00B167C2">
        <w:t>年</w:t>
      </w:r>
      <w:r w:rsidR="00203F72" w:rsidRPr="00B167C2">
        <w:t>DRC</w:t>
      </w:r>
      <w:r w:rsidR="00203F72" w:rsidRPr="00B167C2">
        <w:t>對</w:t>
      </w:r>
      <w:r w:rsidR="00203F72" w:rsidRPr="00B167C2">
        <w:t>Diallo</w:t>
      </w:r>
      <w:r w:rsidR="00203F72" w:rsidRPr="00B167C2">
        <w:t>之收容，之所以成為違法之行為，</w:t>
      </w:r>
      <w:r w:rsidR="00203F72" w:rsidRPr="00B167C2">
        <w:t>ICJ</w:t>
      </w:r>
      <w:r w:rsidR="00203F72" w:rsidRPr="00B167C2">
        <w:t>認為主因係由於</w:t>
      </w:r>
      <w:r w:rsidR="00203F72" w:rsidRPr="00B167C2">
        <w:t>DRC</w:t>
      </w:r>
      <w:r w:rsidR="00203F72" w:rsidRPr="00B167C2">
        <w:t>未告知</w:t>
      </w:r>
      <w:r w:rsidR="00203F72" w:rsidRPr="00B167C2">
        <w:t>Diallo</w:t>
      </w:r>
      <w:r w:rsidR="00203F72" w:rsidRPr="00B167C2">
        <w:t>享有維也納領事關係公約之相關權利，故上述之收容，亦屬於違法之行為；</w:t>
      </w:r>
    </w:p>
    <w:p w14:paraId="3D53ADD1" w14:textId="77777777" w:rsidR="00203F72" w:rsidRPr="00B167C2" w:rsidRDefault="00E5108F" w:rsidP="00D87D91">
      <w:r w:rsidRPr="00B167C2">
        <w:t xml:space="preserve">　　</w:t>
      </w:r>
      <w:r w:rsidR="00203F72" w:rsidRPr="00B167C2">
        <w:t>5</w:t>
      </w:r>
      <w:r w:rsidR="00203F72" w:rsidRPr="00B167C2">
        <w:t>、</w:t>
      </w:r>
      <w:r w:rsidR="00203F72" w:rsidRPr="00B167C2">
        <w:t>DRC</w:t>
      </w:r>
      <w:r w:rsidR="00203F72" w:rsidRPr="00B167C2">
        <w:t>雖將</w:t>
      </w:r>
      <w:r w:rsidR="00203F72" w:rsidRPr="00B167C2">
        <w:t>Diallo</w:t>
      </w:r>
      <w:r w:rsidR="00203F72" w:rsidRPr="00B167C2">
        <w:t>驅逐出國，但其在兩家公司之財產權（股權），</w:t>
      </w:r>
      <w:r w:rsidR="00203F72" w:rsidRPr="00B167C2">
        <w:t>ICJ</w:t>
      </w:r>
      <w:r w:rsidR="00203F72" w:rsidRPr="00B167C2">
        <w:t>認為並未受到侵害，</w:t>
      </w:r>
      <w:r w:rsidR="00203F72" w:rsidRPr="00B167C2">
        <w:t>Diallo</w:t>
      </w:r>
      <w:r w:rsidR="00203F72" w:rsidRPr="00B167C2">
        <w:t>仍可在海外行使其合夥人之權利；</w:t>
      </w:r>
    </w:p>
    <w:p w14:paraId="4E3FEFC9" w14:textId="77777777" w:rsidR="00203F72" w:rsidRPr="00B167C2" w:rsidRDefault="00E5108F" w:rsidP="00D87D91">
      <w:r w:rsidRPr="00B167C2">
        <w:t xml:space="preserve">　　</w:t>
      </w:r>
      <w:r w:rsidR="00203F72" w:rsidRPr="00B167C2">
        <w:t>6</w:t>
      </w:r>
      <w:r w:rsidR="00203F72" w:rsidRPr="00B167C2">
        <w:t>、</w:t>
      </w:r>
      <w:r w:rsidR="00203F72" w:rsidRPr="00B167C2">
        <w:t>ICJ</w:t>
      </w:r>
      <w:r w:rsidR="00203F72" w:rsidRPr="00B167C2">
        <w:t>裁決</w:t>
      </w:r>
      <w:r w:rsidR="00203F72" w:rsidRPr="00B167C2">
        <w:t>DRC</w:t>
      </w:r>
      <w:r w:rsidR="00203F72" w:rsidRPr="00B167C2">
        <w:t>應對</w:t>
      </w:r>
      <w:r w:rsidR="00203F72" w:rsidRPr="00B167C2">
        <w:t>Diallo</w:t>
      </w:r>
      <w:r w:rsidR="00203F72" w:rsidRPr="00B167C2">
        <w:t>進行補</w:t>
      </w:r>
      <w:r w:rsidR="00203F72" w:rsidRPr="00B167C2">
        <w:t>(</w:t>
      </w:r>
      <w:r w:rsidR="00203F72" w:rsidRPr="00B167C2">
        <w:t>賠</w:t>
      </w:r>
      <w:r w:rsidR="00203F72" w:rsidRPr="00B167C2">
        <w:t>)</w:t>
      </w:r>
      <w:r w:rsidR="00203F72" w:rsidRPr="00B167C2">
        <w:t>償；</w:t>
      </w:r>
    </w:p>
    <w:p w14:paraId="05DEC917" w14:textId="77777777" w:rsidR="00203F72" w:rsidRPr="00B167C2" w:rsidRDefault="00E5108F" w:rsidP="00D87D91">
      <w:r w:rsidRPr="00B167C2">
        <w:t xml:space="preserve">　　</w:t>
      </w:r>
      <w:r w:rsidR="00203F72" w:rsidRPr="00B167C2">
        <w:t>7</w:t>
      </w:r>
      <w:r w:rsidR="00203F72" w:rsidRPr="00B167C2">
        <w:t>、幾內亞並未向</w:t>
      </w:r>
      <w:r w:rsidR="00203F72" w:rsidRPr="00B167C2">
        <w:t>ICJ</w:t>
      </w:r>
      <w:r w:rsidR="00203F72" w:rsidRPr="00B167C2">
        <w:t>控告</w:t>
      </w:r>
      <w:r w:rsidR="00203F72" w:rsidRPr="00B167C2">
        <w:t>1996</w:t>
      </w:r>
      <w:r w:rsidR="00203F72" w:rsidRPr="00B167C2">
        <w:t>年</w:t>
      </w:r>
      <w:r w:rsidR="00203F72" w:rsidRPr="00B167C2">
        <w:t>DRC</w:t>
      </w:r>
      <w:r w:rsidR="00203F72" w:rsidRPr="00B167C2">
        <w:t>對</w:t>
      </w:r>
      <w:r w:rsidR="00203F72" w:rsidRPr="00B167C2">
        <w:t>Diallo</w:t>
      </w:r>
      <w:r w:rsidR="00203F72" w:rsidRPr="00B167C2">
        <w:t>所裁處之驅逐出國處分，未經法院裁決；顯示驅逐國裁處之驅逐出國處分，似乎不必然須經由法院裁定；</w:t>
      </w:r>
    </w:p>
    <w:p w14:paraId="4ED52D61" w14:textId="77777777" w:rsidR="00953151" w:rsidRPr="00B167C2" w:rsidRDefault="00E5108F" w:rsidP="00D87D91">
      <w:r w:rsidRPr="00B167C2">
        <w:t xml:space="preserve">　　</w:t>
      </w:r>
      <w:r w:rsidR="00203F72" w:rsidRPr="00B167C2">
        <w:t>8</w:t>
      </w:r>
      <w:r w:rsidR="00203F72" w:rsidRPr="00B167C2">
        <w:t>、幾內亞並未向</w:t>
      </w:r>
      <w:r w:rsidR="00203F72" w:rsidRPr="00B167C2">
        <w:t>ICJ</w:t>
      </w:r>
      <w:r w:rsidR="00203F72" w:rsidRPr="00B167C2">
        <w:t>控告</w:t>
      </w:r>
      <w:r w:rsidR="00203F72" w:rsidRPr="00B167C2">
        <w:t>1996</w:t>
      </w:r>
      <w:r w:rsidR="00203F72" w:rsidRPr="00B167C2">
        <w:t>年</w:t>
      </w:r>
      <w:r w:rsidR="00203F72" w:rsidRPr="00B167C2">
        <w:t>DRC</w:t>
      </w:r>
      <w:r w:rsidR="00203F72" w:rsidRPr="00B167C2">
        <w:t>對</w:t>
      </w:r>
      <w:r w:rsidR="00203F72" w:rsidRPr="00B167C2">
        <w:t>Diallo</w:t>
      </w:r>
      <w:r w:rsidR="00203F72" w:rsidRPr="00B167C2">
        <w:t>所裁處之收容處分，未經法院裁決；顯示驅逐國裁處之收容處分，似乎不必然須經由法院裁定</w:t>
      </w:r>
      <w:r w:rsidR="00203F72" w:rsidRPr="00B167C2">
        <w:footnoteReference w:id="709"/>
      </w:r>
      <w:r w:rsidR="00203F72" w:rsidRPr="00B167C2">
        <w:t>。</w:t>
      </w:r>
    </w:p>
    <w:p w14:paraId="633ABAA7" w14:textId="77777777" w:rsidR="00515D85" w:rsidRDefault="00515D85" w:rsidP="00D27FE5">
      <w:pPr>
        <w:jc w:val="right"/>
        <w:rPr>
          <w:rFonts w:ascii="新細明體" w:hAnsi="新細明體"/>
        </w:rPr>
      </w:pPr>
      <w:r w:rsidRPr="0026266A">
        <w:rPr>
          <w:rFonts w:hint="eastAsia"/>
        </w:rPr>
        <w:t>。。。。。。。。。。。。。。。。。。。。。。。。。</w:t>
      </w:r>
      <w:hyperlink w:anchor="a目次36" w:history="1">
        <w:r>
          <w:rPr>
            <w:rStyle w:val="a5"/>
            <w:sz w:val="18"/>
          </w:rPr>
          <w:t>回目次</w:t>
        </w:r>
      </w:hyperlink>
      <w:r w:rsidR="00E91F89">
        <w:rPr>
          <w:rFonts w:ascii="新細明體" w:hAnsi="新細明體"/>
          <w:color w:val="808000"/>
        </w:rPr>
        <w:t>〉〉</w:t>
      </w:r>
    </w:p>
    <w:p w14:paraId="5F177F65" w14:textId="77777777" w:rsidR="00515D85" w:rsidRDefault="00515D85" w:rsidP="00D87D91"/>
    <w:p w14:paraId="237F20A8" w14:textId="77777777" w:rsidR="00203F72" w:rsidRPr="00A53581" w:rsidRDefault="00203F72" w:rsidP="00767F37">
      <w:pPr>
        <w:pStyle w:val="2"/>
      </w:pPr>
      <w:bookmarkStart w:id="96" w:name="_肆、台灣強制驅逐外國人出國之現況及面臨之困境"/>
      <w:bookmarkEnd w:id="96"/>
      <w:r w:rsidRPr="00A53581">
        <w:t>肆、台灣強制驅逐外國人出國之現況及面臨之困境</w:t>
      </w:r>
    </w:p>
    <w:p w14:paraId="5F149423" w14:textId="77777777" w:rsidR="00203F72" w:rsidRPr="00B525CE" w:rsidRDefault="00E5108F" w:rsidP="00D87D91">
      <w:r w:rsidRPr="00B525CE">
        <w:t xml:space="preserve">　　</w:t>
      </w:r>
      <w:r w:rsidR="00203F72" w:rsidRPr="00B525CE">
        <w:t>一般而言，對於外國人的入國與居留之認可與否，大多由主權國家進行裁量。此裁量是否適當，對外國人的權益影響至钜，必須謹慎以對。我國現有之外國人居留資格制度及其許可範圍，也賦予執法者裁量空間</w:t>
      </w:r>
      <w:r w:rsidR="00203F72" w:rsidRPr="00B525CE">
        <w:footnoteReference w:id="710"/>
      </w:r>
      <w:r w:rsidR="00203F72" w:rsidRPr="00B525CE">
        <w:t>。依我國最高法院</w:t>
      </w:r>
      <w:r w:rsidR="00203F72" w:rsidRPr="00B525CE">
        <w:t>80</w:t>
      </w:r>
      <w:r w:rsidR="00203F72" w:rsidRPr="00B525CE">
        <w:t>年臺上字第</w:t>
      </w:r>
      <w:r w:rsidR="00203F72" w:rsidRPr="00B525CE">
        <w:t>917</w:t>
      </w:r>
      <w:r w:rsidR="00203F72" w:rsidRPr="00B525CE">
        <w:t>號判決</w:t>
      </w:r>
      <w:r w:rsidR="00203F72" w:rsidRPr="00B525CE">
        <w:t xml:space="preserve">: </w:t>
      </w:r>
      <w:r w:rsidR="00203F72" w:rsidRPr="00B525CE">
        <w:t>「我國為主權國家，被上訴人對於外國人入境、停留、居留申請之准駁，屬行使國家主權之範圍。外國人並無任意進入我國國境居留或停留之權利。縱外國人申請核發入境、停留或居留簽證時，檢具規定之文件，國家基於主權之行使，認為必要時，仍得加以拒絕而不予准許，且無須附加理由。」由此判決可以看出外國人入出我國、停留及居留須經過國家之許可，而此許可係屬於</w:t>
      </w:r>
      <w:r w:rsidR="00B525CE" w:rsidRPr="00B525CE">
        <w:t>一</w:t>
      </w:r>
      <w:r w:rsidR="00203F72" w:rsidRPr="00B525CE">
        <w:t>國主權之行使。</w:t>
      </w:r>
    </w:p>
    <w:p w14:paraId="3383EB04" w14:textId="77777777" w:rsidR="00203F72" w:rsidRPr="00B525CE" w:rsidRDefault="00E5108F" w:rsidP="00D87D91">
      <w:r w:rsidRPr="00B525CE">
        <w:t xml:space="preserve">　　</w:t>
      </w:r>
      <w:r w:rsidR="00203F72" w:rsidRPr="00B525CE">
        <w:t>然而，基於國際間外交、經濟、政治、平等互惠等因素，主權國通常會允許外國人入境活動。不過，基於公共利益與國家安全、福祉等原因，通常也會立法管制入國之外國人</w:t>
      </w:r>
      <w:r w:rsidR="00203F72" w:rsidRPr="00B525CE">
        <w:footnoteReference w:id="711"/>
      </w:r>
      <w:r w:rsidR="00203F72" w:rsidRPr="00B525CE">
        <w:t>。此種對於外國人入出國與居留管理的做法，就外國人的角度來分析，等於對其人權進行規範。這樣的情形，經常形成外國人人權與國家主權關係的一種緊張狀態</w:t>
      </w:r>
      <w:r w:rsidR="00203F72" w:rsidRPr="00B525CE">
        <w:footnoteReference w:id="712"/>
      </w:r>
      <w:r w:rsidR="00203F72" w:rsidRPr="00B525CE">
        <w:t>。其中尤以非法居留的外國人問題最為嚴重，因為他們既沒有合法的居住權，也不受國內法律之保護，</w:t>
      </w:r>
      <w:r w:rsidR="00B525CE" w:rsidRPr="00B525CE">
        <w:t>一</w:t>
      </w:r>
      <w:r w:rsidR="00203F72" w:rsidRPr="00B525CE">
        <w:t>旦查獲主權國常施以強制驅逐出國的手段。</w:t>
      </w:r>
    </w:p>
    <w:p w14:paraId="66DBCC4C" w14:textId="77777777" w:rsidR="00203F72" w:rsidRPr="00B525CE" w:rsidRDefault="00E5108F" w:rsidP="00D87D91">
      <w:r w:rsidRPr="00B525CE">
        <w:t xml:space="preserve">　　</w:t>
      </w:r>
      <w:r w:rsidR="00203F72" w:rsidRPr="00B525CE">
        <w:t>通常所謂強制驅逐出國是指對非法入境與違反法令之外國人，採取一定措施迫使其離開該國。此種措施是一國政府對境內外國人實施管轄的手段之一</w:t>
      </w:r>
      <w:r w:rsidR="00203F72" w:rsidRPr="00B525CE">
        <w:footnoteReference w:id="713"/>
      </w:r>
      <w:r w:rsidR="00203F72" w:rsidRPr="00B525CE">
        <w:t>。即國家對於在本國內之外國人，主動的以強制性的、威嚇的手段使該名外國人在一定期間內出國的方式。一般認為驅逐外國人出國，屬於國際法上國家之權力</w:t>
      </w:r>
      <w:r w:rsidR="00203F72" w:rsidRPr="00B525CE">
        <w:footnoteReference w:id="714"/>
      </w:r>
      <w:r w:rsidR="00203F72" w:rsidRPr="00B525CE">
        <w:t>。就強制驅逐外國人出境，對主權國家而言，為國家利益，</w:t>
      </w:r>
      <w:r w:rsidR="002609BD" w:rsidRPr="002609BD">
        <w:rPr>
          <w:rFonts w:hint="eastAsia"/>
        </w:rPr>
        <w:t>是</w:t>
      </w:r>
      <w:r w:rsidR="00203F72" w:rsidRPr="00B525CE">
        <w:t>有其合理性與必要性。我國有關外國人須驅逐出國之情形，主要規定於移民</w:t>
      </w:r>
      <w:r w:rsidR="00203F72" w:rsidRPr="00D27FE5">
        <w:t>法</w:t>
      </w:r>
      <w:hyperlink r:id="rId1992" w:anchor="b36" w:history="1">
        <w:r w:rsidR="00203F72" w:rsidRPr="00D27FE5">
          <w:rPr>
            <w:rStyle w:val="a5"/>
            <w:rFonts w:ascii="Times New Roman" w:eastAsia="新細明體" w:hAnsi="Times New Roman"/>
          </w:rPr>
          <w:t>第</w:t>
        </w:r>
        <w:r w:rsidR="00203F72" w:rsidRPr="00D27FE5">
          <w:rPr>
            <w:rStyle w:val="a5"/>
            <w:rFonts w:ascii="Times New Roman" w:eastAsia="新細明體" w:hAnsi="Times New Roman"/>
          </w:rPr>
          <w:t>36</w:t>
        </w:r>
        <w:r w:rsidR="00203F72" w:rsidRPr="00D27FE5">
          <w:rPr>
            <w:rStyle w:val="a5"/>
            <w:rFonts w:ascii="Times New Roman" w:eastAsia="新細明體" w:hAnsi="Times New Roman"/>
          </w:rPr>
          <w:t>條</w:t>
        </w:r>
      </w:hyperlink>
      <w:r w:rsidR="00203F72" w:rsidRPr="00B525CE">
        <w:t>規定。只是遭驅逐出境之外國人，也有其人權議題必須考量，這也是本書討論的重點。</w:t>
      </w:r>
    </w:p>
    <w:p w14:paraId="19396344" w14:textId="77777777" w:rsidR="00203F72" w:rsidRPr="00B525CE" w:rsidRDefault="00E5108F" w:rsidP="00D87D91">
      <w:r w:rsidRPr="00B525CE">
        <w:t xml:space="preserve">　　</w:t>
      </w:r>
      <w:r w:rsidR="00203F72" w:rsidRPr="00B525CE">
        <w:t>探討外國人人權主要原因在於，驅逐外國人出國前常須拘束其行動自由，並禁止其繼續居留活動，以為驅逐出境前之準備處分</w:t>
      </w:r>
      <w:r w:rsidR="00203F72" w:rsidRPr="00B525CE">
        <w:footnoteReference w:id="715"/>
      </w:r>
      <w:r w:rsidR="00203F72" w:rsidRPr="00B525CE">
        <w:t>。同時驅逐之行為，將使該外國人原本在主權國家中經營的人際關係、財產、生活等連結受到傷害，對其個人之自由及權力的影響甚钜。</w:t>
      </w:r>
    </w:p>
    <w:p w14:paraId="49A1F182" w14:textId="77777777" w:rsidR="00203F72" w:rsidRPr="00B525CE" w:rsidRDefault="00E5108F" w:rsidP="00D87D91">
      <w:r w:rsidRPr="00B525CE">
        <w:t xml:space="preserve">　　</w:t>
      </w:r>
      <w:r w:rsidR="00203F72" w:rsidRPr="00B525CE">
        <w:t>在執行驅逐外國人出國前通常會將之先行收容，依我國移民</w:t>
      </w:r>
      <w:r w:rsidR="002673A4" w:rsidRPr="00E2576E">
        <w:t>法</w:t>
      </w:r>
      <w:hyperlink r:id="rId1993"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525CE">
        <w:t>規定「外國人有下列情形之一，非予收容，顯難強制驅逐出國者，入出國及移民署得暫予收容：一、受驅逐出國處分或限令七日內出國仍未離境。二、未經許可入國。三、逾期停留、居留。四、受外國政府通緝。」該條明定收容對象，係遭驅逐出國處分之外國人。為順利達成驅逐出國的目的，將其收容於一定處所限制其活動，此即為之收容。易言之，其內涵主要是對違反依國家之有關入出境法規之外國人，於裁決遣送出境處分確定前，經由司法或主管機關長官簽發收容令，拘束其行動自由並禁止其居留活動，以做為行政遣返前之準備</w:t>
      </w:r>
      <w:r w:rsidR="00203F72" w:rsidRPr="00B525CE">
        <w:footnoteReference w:id="716"/>
      </w:r>
      <w:r w:rsidR="00203F72" w:rsidRPr="00B525CE">
        <w:t>，此種行政處分即謂收容。</w:t>
      </w:r>
    </w:p>
    <w:p w14:paraId="64BADED7" w14:textId="77777777" w:rsidR="00203F72" w:rsidRPr="00B525CE" w:rsidRDefault="00E5108F" w:rsidP="00D87D91">
      <w:r w:rsidRPr="00B525CE">
        <w:t xml:space="preserve">　　</w:t>
      </w:r>
      <w:r w:rsidR="00203F72" w:rsidRPr="00B525CE">
        <w:t>在這部分，根據許義寶教授之定義，為保全驅逐出國之執行可以確實達成，採取以拘束、收容行為人在特定處所，並限制其人身自由之方式稱之為行政收容</w:t>
      </w:r>
      <w:r w:rsidR="00203F72" w:rsidRPr="00B525CE">
        <w:footnoteReference w:id="717"/>
      </w:r>
      <w:r w:rsidR="00203F72" w:rsidRPr="00B525CE">
        <w:t>。收容通說都採如是的定義，這樣之定義有其合理性，不過這定義若涉及被收容人之人權維護時，也有不足之處</w:t>
      </w:r>
      <w:r w:rsidR="00203F72" w:rsidRPr="00B525CE">
        <w:footnoteReference w:id="718"/>
      </w:r>
      <w:r w:rsidR="00203F72" w:rsidRPr="00B525CE">
        <w:t>。</w:t>
      </w:r>
    </w:p>
    <w:p w14:paraId="7003DD68" w14:textId="77777777" w:rsidR="00203F72" w:rsidRPr="00B525CE" w:rsidRDefault="00E5108F" w:rsidP="00D87D91">
      <w:r w:rsidRPr="00B525CE">
        <w:t xml:space="preserve">　　</w:t>
      </w:r>
      <w:r w:rsidR="00203F72" w:rsidRPr="00B525CE">
        <w:t>關於收容制度之由來，主要係世界各國為防止「非法移民」造成其國內經濟、社會福利、教育、犯罪、健康保險、人權等各種社會問題趨於惡化而設</w:t>
      </w:r>
      <w:r w:rsidR="00203F72" w:rsidRPr="00B525CE">
        <w:footnoteReference w:id="719"/>
      </w:r>
      <w:r w:rsidR="00203F72" w:rsidRPr="00B525CE">
        <w:t>。也可說是在維護主權國之社會秩序，所以有其必要性。我國目前對於外國人與大陸地區人民之收容，規定於移民法、兩岸條例、香港澳門關係條例或就業服務法等法規；其內容僅係針對已入境之非法外來人口，因有逃逸之虞，基於維持國家安全、社會秩序之必要，於遣返前，將該等外來人口暫時留置於收容處所之行政處分。此種處分係一種拘束其人身自由之暫時性措施。因此，外來人口收容之前提，必須有「保全」之必要性。</w:t>
      </w:r>
      <w:r w:rsidR="00203F72" w:rsidRPr="00B525CE">
        <w:footnoteReference w:id="720"/>
      </w:r>
      <w:r w:rsidR="00203F72" w:rsidRPr="00B525CE">
        <w:t>屬行政保全措施，為短期內無法驅逐出國之便宜措施，不屬於裁罰性之不利處分</w:t>
      </w:r>
      <w:r w:rsidR="00203F72" w:rsidRPr="00B525CE">
        <w:footnoteReference w:id="721"/>
      </w:r>
      <w:r w:rsidR="00203F72" w:rsidRPr="00B525CE">
        <w:t>，其主要目的在「遣返前之保全」。</w:t>
      </w:r>
    </w:p>
    <w:p w14:paraId="5F51CFEC" w14:textId="77777777" w:rsidR="00203F72" w:rsidRPr="00B525CE" w:rsidRDefault="00E5108F" w:rsidP="00D87D91">
      <w:r w:rsidRPr="00B525CE">
        <w:t xml:space="preserve">　　</w:t>
      </w:r>
      <w:r w:rsidR="00203F72" w:rsidRPr="00B525CE">
        <w:t>由於對外國人之收容及強制驅逐出國，牽涉到對外國人人身自由、家庭團聚、工作、教育、居住、遷徙等之限制，所以應審慎為之。我國憲</w:t>
      </w:r>
      <w:r w:rsidR="00F84373" w:rsidRPr="00A53581">
        <w:rPr>
          <w:rFonts w:ascii="新細明體" w:hAnsi="新細明體" w:hint="eastAsia"/>
          <w:kern w:val="0"/>
        </w:rPr>
        <w:t>法</w:t>
      </w:r>
      <w:hyperlink r:id="rId1994" w:anchor="a8" w:history="1">
        <w:r w:rsidR="00F84373" w:rsidRPr="00F84373">
          <w:rPr>
            <w:rStyle w:val="a5"/>
            <w:rFonts w:eastAsia="新細明體" w:hint="eastAsia"/>
            <w:kern w:val="0"/>
          </w:rPr>
          <w:t>第八條</w:t>
        </w:r>
      </w:hyperlink>
      <w:r w:rsidR="00203F72" w:rsidRPr="00B525CE">
        <w:t>有關人身自由之規定揭示，「人民身體之自由應予保障，除現行犯之逮捕由法律另定之，非經司法另或警察機關依法定程序，不得逮捕拘禁。非由法院依法定程序，不得審問處罰，非依法定程序之逮捕、拘禁、審問、處罰，得拒絕之。」前述是憲法規定的基本人權保障，對於人身自由的限制，應「法官保留」。理論上顯法所保障的人身自由、法官保留是否也應適用在國內之外國人</w:t>
      </w:r>
      <w:r w:rsidR="00203F72" w:rsidRPr="00B525CE">
        <w:t>?</w:t>
      </w:r>
      <w:r w:rsidR="00203F72" w:rsidRPr="00B525CE">
        <w:t>實務應用上情形如何</w:t>
      </w:r>
      <w:r w:rsidR="00203F72" w:rsidRPr="00B525CE">
        <w:t>?</w:t>
      </w:r>
      <w:r w:rsidR="00203F72" w:rsidRPr="00B525CE">
        <w:t>將於本書後段論述之。</w:t>
      </w:r>
    </w:p>
    <w:p w14:paraId="60A2755D" w14:textId="77777777" w:rsidR="00203F72" w:rsidRPr="00B525CE" w:rsidRDefault="00E5108F" w:rsidP="00D87D91">
      <w:r w:rsidRPr="00B525CE">
        <w:t xml:space="preserve">　　</w:t>
      </w:r>
      <w:r w:rsidR="00203F72" w:rsidRPr="00B525CE">
        <w:t>此外，「人民因犯罪嫌疑被逮捕拘禁時，其逮捕拘禁機關應將逮捕拘禁原因，以書面告知本人及其本人指定之親友，並至遲於二十四小時內移送該管法院審問。本人或他人亦得聲請該管法院，於二十四小時內向逮捕、拘禁之機關提審。法院對於前項聲請，不得拒絕，並不得先令逮捕拘禁之機關查覆。逮捕拘禁之機關，對於法院之提審，不得拒絕或遲延。人民遭受任何機關非法逮捕拘禁時，其本人或他人得向法院聲請追究，法院不得拒絕，並應於二十四小時內向逮捕拘禁之機關追究，依法處理。」此為憲法對人身自由規定的提審制。此提審制是否也應適用在國內之外國人</w:t>
      </w:r>
      <w:r w:rsidR="00203F72" w:rsidRPr="00B525CE">
        <w:t>?</w:t>
      </w:r>
      <w:r w:rsidR="00203F72" w:rsidRPr="00B525CE">
        <w:t>實務應用上情形如何</w:t>
      </w:r>
      <w:r w:rsidR="00203F72" w:rsidRPr="00B525CE">
        <w:t>?</w:t>
      </w:r>
      <w:r w:rsidR="00203F72" w:rsidRPr="00B525CE">
        <w:t>亦為本書關心的重點。</w:t>
      </w:r>
    </w:p>
    <w:p w14:paraId="537D4873" w14:textId="77777777" w:rsidR="00203F72" w:rsidRPr="00B525CE" w:rsidRDefault="00E5108F" w:rsidP="00D87D91">
      <w:r w:rsidRPr="00B525CE">
        <w:t xml:space="preserve">　　</w:t>
      </w:r>
      <w:r w:rsidR="00203F72" w:rsidRPr="00B525CE">
        <w:t>換言之，我國對於人身自由之拘束基本上屬於高標準之「法律明確性」要求，應適用比例原則，不得逾越必要程度，且幾近絕對之「法官保留」</w:t>
      </w:r>
      <w:r w:rsidR="00203F72" w:rsidRPr="00B525CE">
        <w:footnoteReference w:id="722"/>
      </w:r>
      <w:r w:rsidR="00203F72" w:rsidRPr="00B525CE">
        <w:t>。理想上，台灣亦應採行類似之法令，以保障外國人在主權之人權。只是，為了維護主權國之社會秩序或其它因素（如防疫或衛生），有時只得採行較低標準之法律適用，避免造成主權國之行政或社會負擔。</w:t>
      </w:r>
    </w:p>
    <w:p w14:paraId="0851518D" w14:textId="77777777" w:rsidR="00203F72" w:rsidRPr="00B525CE" w:rsidRDefault="00E5108F" w:rsidP="00D87D91">
      <w:r w:rsidRPr="00B525CE">
        <w:t xml:space="preserve">　　</w:t>
      </w:r>
      <w:r w:rsidR="00203F72" w:rsidRPr="00B525CE">
        <w:t>又查憲法</w:t>
      </w:r>
      <w:hyperlink r:id="rId1995" w:anchor="a10" w:history="1">
        <w:r w:rsidR="00ED34D8" w:rsidRPr="00ED34D8">
          <w:rPr>
            <w:rStyle w:val="a5"/>
            <w:rFonts w:ascii="Times New Roman" w:hAnsi="Times New Roman"/>
          </w:rPr>
          <w:t>第十條</w:t>
        </w:r>
      </w:hyperlink>
      <w:r w:rsidR="00203F72" w:rsidRPr="00B525CE">
        <w:t>:</w:t>
      </w:r>
      <w:r w:rsidR="00203F72" w:rsidRPr="00B525CE">
        <w:t>「人民有居住及遷徙之自由。」有了居住遷徙的自由，人身自由的保障將更為完整。同時有了遷徙的自由，工作、受教、言論、集會遊行等的自由才更得以落實。所謂居住、遷徙自由，其要件即人身自由不受到任意限制，無人身自由即無居住、遷徙自由可言。同時居住、遷徙自由受到限制，也必影響其家庭團聚、受教育等之權利。又查憲法</w:t>
      </w:r>
      <w:r w:rsidR="00C454F8" w:rsidRPr="00686D2C">
        <w:t>第</w:t>
      </w:r>
      <w:hyperlink r:id="rId1996" w:anchor="a11" w:history="1">
        <w:r w:rsidR="00C454F8" w:rsidRPr="00C454F8">
          <w:rPr>
            <w:rStyle w:val="a5"/>
            <w:rFonts w:ascii="Times New Roman" w:hAnsi="Times New Roman"/>
          </w:rPr>
          <w:t>十一</w:t>
        </w:r>
      </w:hyperlink>
      <w:r w:rsidR="00C454F8" w:rsidRPr="00686D2C">
        <w:t>條</w:t>
      </w:r>
      <w:r w:rsidR="00203F72" w:rsidRPr="00B525CE">
        <w:t>:</w:t>
      </w:r>
      <w:r w:rsidR="00203F72" w:rsidRPr="00B525CE">
        <w:t>「人民有言論、講學、著作及出版之自由。」第十二條</w:t>
      </w:r>
      <w:r w:rsidR="00203F72" w:rsidRPr="00B525CE">
        <w:t>:</w:t>
      </w:r>
      <w:r w:rsidR="00203F72" w:rsidRPr="00B525CE">
        <w:t>「人民有秘密通訊之自由。」</w:t>
      </w:r>
      <w:r w:rsidR="00DF3454" w:rsidRPr="00A53581">
        <w:rPr>
          <w:rFonts w:ascii="新細明體" w:hAnsi="新細明體"/>
          <w:kern w:val="0"/>
        </w:rPr>
        <w:t>第</w:t>
      </w:r>
      <w:hyperlink r:id="rId1997" w:anchor="a13" w:history="1">
        <w:r w:rsidR="00DF3454" w:rsidRPr="000D79C4">
          <w:rPr>
            <w:rStyle w:val="a5"/>
            <w:kern w:val="0"/>
          </w:rPr>
          <w:t>十三</w:t>
        </w:r>
      </w:hyperlink>
      <w:r w:rsidR="00DF3454" w:rsidRPr="00A53581">
        <w:rPr>
          <w:rFonts w:ascii="新細明體" w:hAnsi="新細明體"/>
          <w:kern w:val="0"/>
        </w:rPr>
        <w:t>條</w:t>
      </w:r>
      <w:r w:rsidR="00203F72" w:rsidRPr="00B525CE">
        <w:t>:</w:t>
      </w:r>
      <w:r w:rsidR="00203F72" w:rsidRPr="00B525CE">
        <w:t>「人民有集會及結社之自由。」</w:t>
      </w:r>
      <w:r w:rsidR="00000883" w:rsidRPr="00686D2C">
        <w:t>第</w:t>
      </w:r>
      <w:hyperlink r:id="rId1998" w:anchor="a15" w:history="1">
        <w:r w:rsidR="00000883" w:rsidRPr="004A35C7">
          <w:rPr>
            <w:rStyle w:val="a5"/>
            <w:rFonts w:ascii="Times New Roman" w:eastAsia="新細明體" w:hAnsi="Times New Roman"/>
          </w:rPr>
          <w:t>十五</w:t>
        </w:r>
      </w:hyperlink>
      <w:r w:rsidR="00000883" w:rsidRPr="00686D2C">
        <w:t>條</w:t>
      </w:r>
      <w:r w:rsidR="00203F72" w:rsidRPr="00B525CE">
        <w:t>:</w:t>
      </w:r>
      <w:r w:rsidR="00203F72" w:rsidRPr="00B525CE">
        <w:t>「人民之生存權、工作權及財產權，應予保障。」一旦人身自由被限制，這些自由、權利必受影響。對於外國人驅逐出境、收容等的處分，無庸置疑此兩種處分都涉及人身自由，所以也涉及上述言及的各項權利。既然該處分</w:t>
      </w:r>
      <w:r w:rsidR="00496A54" w:rsidRPr="00496A54">
        <w:rPr>
          <w:rFonts w:hint="eastAsia"/>
        </w:rPr>
        <w:t>涉</w:t>
      </w:r>
      <w:r w:rsidR="00203F72" w:rsidRPr="00B525CE">
        <w:t>及的權益範圍很廣，似乎更應明確立法，謹慎執行為當。</w:t>
      </w:r>
    </w:p>
    <w:p w14:paraId="32B245AC" w14:textId="77777777" w:rsidR="00203F72" w:rsidRPr="00B525CE" w:rsidRDefault="00E5108F" w:rsidP="00D87D91">
      <w:r w:rsidRPr="00B525CE">
        <w:t xml:space="preserve">　　</w:t>
      </w:r>
      <w:r w:rsidR="00203F72" w:rsidRPr="00B525CE">
        <w:t>但另一個課題，究竟外國是否得與本國人享一樣法律地位之權利</w:t>
      </w:r>
      <w:r w:rsidR="00203F72" w:rsidRPr="00B525CE">
        <w:t xml:space="preserve">? </w:t>
      </w:r>
      <w:r w:rsidR="00203F72" w:rsidRPr="00B525CE">
        <w:t>我國大法官解釋第</w:t>
      </w:r>
      <w:r w:rsidR="00203F72" w:rsidRPr="00B525CE">
        <w:t>603</w:t>
      </w:r>
      <w:r w:rsidR="00203F72" w:rsidRPr="00B525CE">
        <w:t>號指出：「維護人性尊嚴與尊重人格自由發展，乃自由民主憲政秩序之核心價值」因之，對外國人在台灣之人權尊重應是確切之一個努力方向。謝瑞智教授</w:t>
      </w:r>
      <w:r w:rsidR="00203F72" w:rsidRPr="00B525CE">
        <w:t>(1999)</w:t>
      </w:r>
      <w:r w:rsidR="00203F72" w:rsidRPr="00B525CE">
        <w:t>稱以人民為主體者之權利義務，此不僅以國民為對象，外國人亦包括之</w:t>
      </w:r>
      <w:r w:rsidR="00203F72" w:rsidRPr="00B525CE">
        <w:footnoteReference w:id="723"/>
      </w:r>
      <w:r w:rsidR="00203F72" w:rsidRPr="00B525CE">
        <w:t>。此包括平等權及各種自由權，及受益權在內。李震山教授</w:t>
      </w:r>
      <w:r w:rsidR="00203F72" w:rsidRPr="00B525CE">
        <w:t>(2007)</w:t>
      </w:r>
      <w:r w:rsidR="00203F72" w:rsidRPr="00B525CE">
        <w:t>謂此平等權係做為人即應享有之權利，屬每個人之權力，就該權利之遂行，外國人與本國人應該無異，若有差別待遇即構成「歧</w:t>
      </w:r>
      <w:r w:rsidR="003E240E">
        <w:t>視</w:t>
      </w:r>
      <w:r w:rsidR="00203F72" w:rsidRPr="00B525CE">
        <w:t>」</w:t>
      </w:r>
      <w:r w:rsidR="00203F72" w:rsidRPr="00B525CE">
        <w:footnoteReference w:id="724"/>
      </w:r>
      <w:r w:rsidR="00203F72" w:rsidRPr="00B525CE">
        <w:t>。</w:t>
      </w:r>
    </w:p>
    <w:p w14:paraId="7C279AD7" w14:textId="77777777" w:rsidR="00203F72" w:rsidRPr="00B525CE" w:rsidRDefault="00E5108F" w:rsidP="00D87D91">
      <w:r w:rsidRPr="00B525CE">
        <w:t xml:space="preserve">　　</w:t>
      </w:r>
      <w:r w:rsidR="00203F72" w:rsidRPr="00B525CE">
        <w:t>觀上所述理論上，在我國內的外國人，應該也是我國憲法上所保護的享有基本權利之主體。基本上在國內的外國人所享有的法律上之平等權，是否能更趨於國際認同之標準，是否「合理」而不構成「歧</w:t>
      </w:r>
      <w:r w:rsidR="003E240E">
        <w:t>視</w:t>
      </w:r>
      <w:r w:rsidR="00203F72" w:rsidRPr="00B525CE">
        <w:t>」，正可作為一個國家文明與國際化程度之指標</w:t>
      </w:r>
      <w:r w:rsidR="00203F72" w:rsidRPr="00B525CE">
        <w:footnoteReference w:id="725"/>
      </w:r>
      <w:r w:rsidR="00203F72" w:rsidRPr="00B525CE">
        <w:t>。如此言之，則外國人應予本國人享同樣之保障，擁有同樣之自由權與平等權。所以，我國</w:t>
      </w:r>
      <w:r w:rsidR="001A46D0" w:rsidRPr="00191266">
        <w:t>憲法</w:t>
      </w:r>
      <w:hyperlink r:id="rId1999" w:anchor="a7" w:history="1">
        <w:r w:rsidR="001A46D0" w:rsidRPr="007D50BB">
          <w:rPr>
            <w:rStyle w:val="a5"/>
            <w:rFonts w:ascii="Times New Roman" w:hAnsi="Times New Roman"/>
          </w:rPr>
          <w:t>第七條</w:t>
        </w:r>
      </w:hyperlink>
      <w:r w:rsidR="00203F72" w:rsidRPr="00B525CE">
        <w:t>:</w:t>
      </w:r>
      <w:r w:rsidR="00203F72" w:rsidRPr="00B525CE">
        <w:t>「中華民國人民，無分男女、宗教、種族、階級、黨派，在法律上一律平等。」除中華民國人民也適用於在台之外國人，外國人與本國人享有相同之法律上之平等。</w:t>
      </w:r>
    </w:p>
    <w:p w14:paraId="166C35A0" w14:textId="77777777" w:rsidR="00203F72" w:rsidRPr="00B525CE" w:rsidRDefault="00E5108F" w:rsidP="00D87D91">
      <w:r w:rsidRPr="00B525CE">
        <w:t xml:space="preserve">　　</w:t>
      </w:r>
      <w:r w:rsidR="00203F72" w:rsidRPr="00B525CE">
        <w:t>另就國際人權論述，</w:t>
      </w:r>
      <w:hyperlink r:id="rId2000" w:history="1">
        <w:r w:rsidR="006937CE" w:rsidRPr="006937CE">
          <w:rPr>
            <w:rStyle w:val="a5"/>
            <w:rFonts w:ascii="Times New Roman" w:eastAsia="新細明體" w:hAnsi="Times New Roman"/>
          </w:rPr>
          <w:t>聯合國憲章</w:t>
        </w:r>
      </w:hyperlink>
      <w:r w:rsidR="00203F72" w:rsidRPr="00B525CE">
        <w:t>「全體人類之人權及基本自由之普遍尊重與遵守，不分種族、性別、語言或宗教。」、「</w:t>
      </w:r>
      <w:r w:rsidR="00F35C5F" w:rsidRPr="004B3827">
        <w:rPr>
          <w:rFonts w:ascii="新細明體" w:eastAsiaTheme="minorEastAsia" w:hAnsi="新細明體"/>
        </w:rPr>
        <w:t>世界人權宣言</w:t>
      </w:r>
      <w:r w:rsidR="00203F72" w:rsidRPr="00B525CE">
        <w:t>」</w:t>
      </w:r>
      <w:hyperlink r:id="rId2001" w:anchor="a1" w:history="1">
        <w:r w:rsidR="00203F72" w:rsidRPr="004B3827">
          <w:rPr>
            <w:rStyle w:val="a5"/>
            <w:rFonts w:ascii="Times New Roman" w:eastAsia="新細明體" w:hAnsi="Times New Roman"/>
          </w:rPr>
          <w:t>第一條</w:t>
        </w:r>
      </w:hyperlink>
      <w:r w:rsidR="00203F72" w:rsidRPr="00B525CE">
        <w:t>「人人生而自由，在尊嚴和權力上一律平等。」、「經濟、社會和文化權利國際公約」</w:t>
      </w:r>
      <w:hyperlink r:id="rId2002" w:anchor="a2" w:history="1">
        <w:r w:rsidR="00203F72" w:rsidRPr="004B3827">
          <w:rPr>
            <w:rStyle w:val="a5"/>
            <w:rFonts w:ascii="Times New Roman" w:eastAsia="新細明體" w:hAnsi="Times New Roman"/>
          </w:rPr>
          <w:t>第二條</w:t>
        </w:r>
      </w:hyperlink>
      <w:r w:rsidR="00203F72" w:rsidRPr="00B525CE">
        <w:t>「本公約締約各國承擔保證，本公約所宣佈之權利應予普遍行使，而不得有例如種族、膚色、性別、語言、宗教、政治或其他見解、國籍或社會出身、財產、出生或其他身分等任何區分。」顯然，</w:t>
      </w:r>
      <w:hyperlink r:id="rId2003" w:history="1">
        <w:r w:rsidR="006937CE" w:rsidRPr="006937CE">
          <w:rPr>
            <w:rStyle w:val="a5"/>
            <w:rFonts w:ascii="Times New Roman" w:eastAsia="新細明體" w:hAnsi="Times New Roman"/>
          </w:rPr>
          <w:t>聯合國憲章</w:t>
        </w:r>
      </w:hyperlink>
      <w:r w:rsidR="00203F72" w:rsidRPr="00B525CE">
        <w:t>在人權維護上，並無國籍之分；或者，人權維護其實是普世價值。</w:t>
      </w:r>
    </w:p>
    <w:p w14:paraId="5051F6FE" w14:textId="77777777" w:rsidR="00203F72" w:rsidRPr="00B525CE" w:rsidRDefault="00E5108F" w:rsidP="00D87D91">
      <w:r w:rsidRPr="00B525CE">
        <w:t xml:space="preserve">　　</w:t>
      </w:r>
      <w:r w:rsidR="00203F72" w:rsidRPr="00B525CE">
        <w:t>至於「</w:t>
      </w:r>
      <w:r w:rsidR="00203F72" w:rsidRPr="007F512E">
        <w:t>公民權利和政治權利國際公約</w:t>
      </w:r>
      <w:r w:rsidR="00203F72" w:rsidRPr="00B525CE">
        <w:t>」</w:t>
      </w:r>
      <w:hyperlink r:id="rId2004" w:anchor="a2" w:history="1">
        <w:r w:rsidR="00203F72" w:rsidRPr="007F512E">
          <w:rPr>
            <w:rStyle w:val="a5"/>
            <w:rFonts w:ascii="Times New Roman" w:eastAsia="新細明體" w:hAnsi="Times New Roman"/>
          </w:rPr>
          <w:t>第二條</w:t>
        </w:r>
      </w:hyperlink>
      <w:r w:rsidR="00203F72" w:rsidRPr="00B525CE">
        <w:t>之規範，「一、本公約每一締約國承擔尊重和保證在其領土內和受其管轄之一切個人享有本公約所承認之權利，不分種族、膚色、性別、語言、宗教、政治或其他見解、國籍或社會出身、財產、出生或其他身分等任何區別。二、凡未經現行立法或其他措施予以規定者，本公約每一締約國承擔按照其憲法程序和本公約之規定採取必要步驟，以採納為實施本公約所承認之權利所需之立法或其他措施。三、本公約每一締約國承擔：（甲）保證任何一個被侵犯了本公約所承認之權利或自由之人，能得到有效之補救，儘管此種侵犯是以官方資格行事之人所為；（乙）保證任何要求此種補救之人能由合格之司法、行政或立法當局或由國家法律制度規定之任何其他合格當局斷定其在這方面之權利；並發展司法補救之可能性；（丙）保證合格當局在准予此等補救時，確能付諸實施。」</w:t>
      </w:r>
    </w:p>
    <w:p w14:paraId="737D4D21" w14:textId="77777777" w:rsidR="00203F72" w:rsidRPr="007F512E" w:rsidRDefault="00E5108F" w:rsidP="007F512E">
      <w:r w:rsidRPr="007F512E">
        <w:t xml:space="preserve">　　</w:t>
      </w:r>
      <w:r w:rsidR="00203F72" w:rsidRPr="007F512E">
        <w:t>前述所揭示之規定，是目前國際上最重要之人權保障規範；單從兩公約之締約國數字來看，至</w:t>
      </w:r>
      <w:r w:rsidR="00203F72" w:rsidRPr="007F512E">
        <w:t>2010</w:t>
      </w:r>
      <w:r w:rsidR="00203F72" w:rsidRPr="007F512E">
        <w:t>年已達</w:t>
      </w:r>
      <w:r w:rsidR="00203F72" w:rsidRPr="007F512E">
        <w:t>195</w:t>
      </w:r>
      <w:r w:rsidR="00203F72" w:rsidRPr="007F512E">
        <w:t>國及聯合國會員國數</w:t>
      </w:r>
      <w:r w:rsidR="00203F72" w:rsidRPr="007F512E">
        <w:t>192</w:t>
      </w:r>
      <w:r w:rsidR="00203F72" w:rsidRPr="007F512E">
        <w:t>個之</w:t>
      </w:r>
      <w:r w:rsidR="00203F72" w:rsidRPr="007F512E">
        <w:t>80%</w:t>
      </w:r>
      <w:r w:rsidR="00203F72" w:rsidRPr="007F512E">
        <w:t>以上，此已成為普世遵循之人權規範應無庸置疑</w:t>
      </w:r>
      <w:r w:rsidR="00203F72" w:rsidRPr="007F512E">
        <w:footnoteReference w:id="726"/>
      </w:r>
      <w:r w:rsidR="00203F72" w:rsidRPr="007F512E">
        <w:t>。台灣自</w:t>
      </w:r>
      <w:r w:rsidR="00203F72" w:rsidRPr="007F512E">
        <w:t>1971</w:t>
      </w:r>
      <w:r w:rsidR="00203F72" w:rsidRPr="007F512E">
        <w:t>年退出聯合國後，即無法參與聯合國之活動，如今主動實施兩公約，順應世界人權潮流，提升台灣之人權標準與國際接軌，或許可以藉此促進人權發展，重新融入國際人權體系及拓展國際人權互助合作</w:t>
      </w:r>
      <w:r w:rsidR="00203F72" w:rsidRPr="007F512E">
        <w:footnoteReference w:id="727"/>
      </w:r>
      <w:r w:rsidR="00203F72" w:rsidRPr="007F512E">
        <w:t>。</w:t>
      </w:r>
    </w:p>
    <w:p w14:paraId="2904E98B" w14:textId="77777777" w:rsidR="00203F72" w:rsidRPr="00B525CE" w:rsidRDefault="00E5108F" w:rsidP="00D87D91">
      <w:r>
        <w:rPr>
          <w:kern w:val="0"/>
        </w:rPr>
        <w:t xml:space="preserve">　　</w:t>
      </w:r>
      <w:r w:rsidR="00203F72" w:rsidRPr="00A53581">
        <w:rPr>
          <w:kern w:val="0"/>
        </w:rPr>
        <w:t>為達此一目的我國也特制定</w:t>
      </w:r>
      <w:r w:rsidR="00203F72" w:rsidRPr="00A53581">
        <w:t>「</w:t>
      </w:r>
      <w:hyperlink r:id="rId2005" w:history="1">
        <w:r w:rsidR="00203F72" w:rsidRPr="007F512E">
          <w:rPr>
            <w:rStyle w:val="a5"/>
            <w:rFonts w:ascii="Times New Roman" w:eastAsia="新細明體" w:hAnsi="Times New Roman"/>
          </w:rPr>
          <w:t>公民與政治權利國際公約及經濟社會文化權利國際公約施行法</w:t>
        </w:r>
      </w:hyperlink>
      <w:r w:rsidR="00203F72" w:rsidRPr="00A53581">
        <w:rPr>
          <w:kern w:val="0"/>
          <w:lang w:bidi="bn-IN"/>
        </w:rPr>
        <w:t>」以落實兩公約在國內之實施，其中</w:t>
      </w:r>
      <w:hyperlink r:id="rId2006" w:anchor="a2" w:history="1">
        <w:r w:rsidR="00203F72" w:rsidRPr="007F512E">
          <w:rPr>
            <w:rStyle w:val="a5"/>
            <w:rFonts w:ascii="Times New Roman" w:eastAsia="新細明體" w:hAnsi="Times New Roman"/>
          </w:rPr>
          <w:t>第二條</w:t>
        </w:r>
      </w:hyperlink>
      <w:r w:rsidR="00203F72" w:rsidRPr="00A53581">
        <w:t>明文規定「兩公約所揭示保障人權之規定，具有國內法律之效力</w:t>
      </w:r>
      <w:r w:rsidR="00203F72" w:rsidRPr="00A53581">
        <w:rPr>
          <w:kern w:val="0"/>
          <w:lang w:bidi="bn-IN"/>
        </w:rPr>
        <w:t>」</w:t>
      </w:r>
      <w:r w:rsidR="00203F72" w:rsidRPr="00A53581">
        <w:t>。</w:t>
      </w:r>
      <w:hyperlink r:id="rId2007" w:anchor="a4" w:history="1">
        <w:r w:rsidR="001B1539" w:rsidRPr="007F512E">
          <w:rPr>
            <w:rStyle w:val="a5"/>
            <w:kern w:val="0"/>
          </w:rPr>
          <w:t>第四條</w:t>
        </w:r>
      </w:hyperlink>
      <w:r w:rsidR="00203F72" w:rsidRPr="00A53581">
        <w:t>「各級政府機關行使其職權，應符合兩公約有關人權保障之規定，避免侵害人權，保護人民不受他人侵害，並應積極促進各項人權之實</w:t>
      </w:r>
      <w:r w:rsidR="00203F72" w:rsidRPr="00B525CE">
        <w:t>現」。顯然，台灣應該而且也正持續往人權保障之方向發展。</w:t>
      </w:r>
    </w:p>
    <w:p w14:paraId="3C804B65" w14:textId="77777777" w:rsidR="00203F72" w:rsidRPr="00B525CE" w:rsidRDefault="00E5108F" w:rsidP="00D87D91">
      <w:r w:rsidRPr="00B525CE">
        <w:t xml:space="preserve">　　</w:t>
      </w:r>
      <w:r w:rsidR="00203F72" w:rsidRPr="00B525CE">
        <w:t>強制驅逐出國其涉及外國人人身自由、遷徙自由、婚姻家庭權、工作權與職業自由等，作為文明國家，對外國人該等憲法所保障之權力，應有義務達到文明國家最低標準或最低要求</w:t>
      </w:r>
      <w:r w:rsidR="00203F72" w:rsidRPr="00B525CE">
        <w:footnoteReference w:id="728"/>
      </w:r>
      <w:r w:rsidR="00203F72" w:rsidRPr="00B525CE">
        <w:t>。所以對外國人驅逐出國、收容處分之依據，應符合法律明確性、比例原則、不濫用裁量權、考量人道立場等</w:t>
      </w:r>
      <w:r w:rsidR="00203F72" w:rsidRPr="00B525CE">
        <w:footnoteReference w:id="729"/>
      </w:r>
      <w:r w:rsidR="00203F72" w:rsidRPr="00B525CE">
        <w:t>。這樣之論述固然合理，但目前台灣對於外國人權之尊重，並無法與國人相同，例如企業在引進外籍勞工時，通常因經濟或成本因素，難免存在和本國勞工不同或較低之待遇，又如移民署配合檢察官，對外國人做收容、延長收容之處分，其目的常常是為了方便司法機關之偵辦，俾使外國人能因應司法機關「隨傳隨到」之要求，而非為了收容之必要性</w:t>
      </w:r>
      <w:r w:rsidR="00203F72" w:rsidRPr="00B525CE">
        <w:footnoteReference w:id="730"/>
      </w:r>
      <w:r w:rsidR="00203F72" w:rsidRPr="00B525CE">
        <w:t>。又目前對外國人執行收容、強制驅離作為，並未採取法官保留、提審，這部分有待司法機關之重</w:t>
      </w:r>
      <w:r w:rsidR="003E240E">
        <w:t>視</w:t>
      </w:r>
      <w:r w:rsidR="00203F72" w:rsidRPr="00B525CE">
        <w:t>及努力。基於上述，雖然理論上國人與外國人享有相同之人權。但在實務上，台灣社會對外國人人權之尊重還有一段路要走。</w:t>
      </w:r>
    </w:p>
    <w:p w14:paraId="20D929A0" w14:textId="77777777" w:rsidR="00203F72" w:rsidRPr="007F512E" w:rsidRDefault="00E5108F" w:rsidP="007F512E">
      <w:r w:rsidRPr="007F512E">
        <w:t xml:space="preserve">　　</w:t>
      </w:r>
      <w:r w:rsidR="00203F72" w:rsidRPr="007F512E">
        <w:t>另憲法</w:t>
      </w:r>
      <w:r w:rsidR="00707676" w:rsidRPr="007F512E">
        <w:t>第</w:t>
      </w:r>
      <w:hyperlink r:id="rId2008" w:anchor="a22" w:history="1">
        <w:r w:rsidR="00707676" w:rsidRPr="007F512E">
          <w:rPr>
            <w:rStyle w:val="a5"/>
          </w:rPr>
          <w:t>二十二</w:t>
        </w:r>
      </w:hyperlink>
      <w:r w:rsidR="00707676" w:rsidRPr="007F512E">
        <w:t>條</w:t>
      </w:r>
      <w:r w:rsidR="00203F72" w:rsidRPr="007F512E">
        <w:t>: :</w:t>
      </w:r>
      <w:r w:rsidR="00203F72" w:rsidRPr="007F512E">
        <w:t>「凡人民之其他自由及權利，不妨害社會秩序公共利益者，均受憲法之保障。」</w:t>
      </w:r>
      <w:r w:rsidR="00AA7189" w:rsidRPr="00A53581">
        <w:rPr>
          <w:rFonts w:ascii="新細明體" w:hAnsi="新細明體"/>
        </w:rPr>
        <w:t>第</w:t>
      </w:r>
      <w:hyperlink r:id="rId2009" w:anchor="a23" w:history="1">
        <w:r w:rsidR="00AA7189" w:rsidRPr="00B525CE">
          <w:rPr>
            <w:rStyle w:val="a5"/>
          </w:rPr>
          <w:t>二十三</w:t>
        </w:r>
      </w:hyperlink>
      <w:r w:rsidR="00AA7189" w:rsidRPr="00A53581">
        <w:rPr>
          <w:rFonts w:ascii="新細明體" w:hAnsi="新細明體"/>
        </w:rPr>
        <w:t>條</w:t>
      </w:r>
      <w:r w:rsidR="00203F72" w:rsidRPr="007F512E">
        <w:t>:</w:t>
      </w:r>
      <w:r w:rsidR="00203F72" w:rsidRPr="007F512E">
        <w:t>「以上各條列舉之自由權利，除為防止妨礙他人自由，避免緊急危難，維持社會秩序，或增進公共利益所必要者外，不得以法律限制之。」此種規定，由正面言之，固所以貫澈直接保障主義之目的，非在某種必要情形之下，不得以法律限制之，否則即為違憲，其法律應屬無效。反之，表示人民之自由權利，並非絕對不能限制，唯應在某種必要情形下，由立法機關以法律為之耳</w:t>
      </w:r>
      <w:r w:rsidR="00203F72" w:rsidRPr="007F512E">
        <w:footnoteReference w:id="731"/>
      </w:r>
      <w:r w:rsidR="00203F72" w:rsidRPr="007F512E">
        <w:t>。對外國人之收容及驅逐出境之處分，也應以上述為準則，加以檢</w:t>
      </w:r>
      <w:r w:rsidR="003E240E">
        <w:t>視</w:t>
      </w:r>
      <w:r w:rsidR="00203F72" w:rsidRPr="007F512E">
        <w:t>。不過查實務上，恐有牴觸憲法保障及合乎比例之原則，原因論述如下。</w:t>
      </w:r>
    </w:p>
    <w:p w14:paraId="461EA0FD" w14:textId="77777777" w:rsidR="00953151" w:rsidRPr="007F512E" w:rsidRDefault="00E5108F" w:rsidP="007F512E">
      <w:r w:rsidRPr="007F512E">
        <w:t xml:space="preserve">　　</w:t>
      </w:r>
      <w:r w:rsidR="00203F72" w:rsidRPr="007F512E">
        <w:t>台灣目前對收容及強制驅逐出國之執行，依作者之看法，似乎仍有努力之空間，其在實務執行上所面臨之困境有如下所述之事項：</w:t>
      </w:r>
    </w:p>
    <w:p w14:paraId="2012D6CA" w14:textId="77777777" w:rsidR="00203F72" w:rsidRPr="007F512E" w:rsidRDefault="00447DAE" w:rsidP="007F512E">
      <w:r w:rsidRPr="007F512E">
        <w:t xml:space="preserve">　　一、</w:t>
      </w:r>
      <w:r w:rsidR="00203F72" w:rsidRPr="007F512E">
        <w:t>收容未全部一體適用法官保留及提審制原則</w:t>
      </w:r>
    </w:p>
    <w:p w14:paraId="0DC6C4CC" w14:textId="77777777" w:rsidR="00203F72" w:rsidRPr="00B525CE" w:rsidRDefault="00447DAE" w:rsidP="007F512E">
      <w:r w:rsidRPr="007F512E">
        <w:t xml:space="preserve">　　</w:t>
      </w:r>
      <w:r w:rsidR="00203F72" w:rsidRPr="007F512E">
        <w:t>對外國人之收容及強制驅逐出國係對人身自由之剝奪，依憲法規定應由法院決定，採法官保留原則。同時目前相關規定也欠缺收容後司法提審機制</w:t>
      </w:r>
      <w:r w:rsidR="00203F72" w:rsidRPr="007F512E">
        <w:footnoteReference w:id="732"/>
      </w:r>
      <w:r w:rsidR="00203F72" w:rsidRPr="007F512E">
        <w:t>。依大法官解釋</w:t>
      </w:r>
      <w:hyperlink r:id="rId2010" w:anchor="r567" w:history="1">
        <w:r w:rsidR="00203F72" w:rsidRPr="007F512E">
          <w:rPr>
            <w:rStyle w:val="a5"/>
          </w:rPr>
          <w:t>第567號</w:t>
        </w:r>
      </w:hyperlink>
      <w:r w:rsidR="00203F72" w:rsidRPr="00B525CE">
        <w:t>之闡釋：「</w:t>
      </w:r>
      <w:r w:rsidR="00203F72" w:rsidRPr="00B525CE">
        <w:t>…</w:t>
      </w:r>
      <w:r w:rsidR="00203F72" w:rsidRPr="00B525CE">
        <w:t>戒嚴時期在戒嚴地域內，最高司令官固得於必要範圍內以命令限制人民部分之自由，惟關於限制人身自由之處罰，仍應以法律規定，且其內容須實質正當，並經審判程序，始得為之。</w:t>
      </w:r>
      <w:r w:rsidR="00203F72" w:rsidRPr="00B525CE">
        <w:t xml:space="preserve">…. </w:t>
      </w:r>
      <w:r w:rsidR="00203F72" w:rsidRPr="00B525CE">
        <w:t>」大法官會議解釋</w:t>
      </w:r>
      <w:r w:rsidR="00981964" w:rsidRPr="00686D2C">
        <w:t>字</w:t>
      </w:r>
      <w:hyperlink r:id="rId2011" w:anchor="r636" w:history="1">
        <w:r w:rsidR="00981964" w:rsidRPr="00981964">
          <w:rPr>
            <w:rStyle w:val="a5"/>
            <w:rFonts w:ascii="Times New Roman" w:eastAsia="新細明體" w:hAnsi="Times New Roman"/>
          </w:rPr>
          <w:t>第</w:t>
        </w:r>
        <w:r w:rsidR="00981964" w:rsidRPr="00981964">
          <w:rPr>
            <w:rStyle w:val="a5"/>
            <w:rFonts w:ascii="Times New Roman" w:eastAsia="新細明體" w:hAnsi="Times New Roman"/>
          </w:rPr>
          <w:t>636</w:t>
        </w:r>
        <w:r w:rsidR="00981964" w:rsidRPr="00981964">
          <w:rPr>
            <w:rStyle w:val="a5"/>
            <w:rFonts w:ascii="Times New Roman" w:eastAsia="新細明體" w:hAnsi="Times New Roman"/>
          </w:rPr>
          <w:t>號</w:t>
        </w:r>
      </w:hyperlink>
      <w:r w:rsidR="00203F72" w:rsidRPr="00B525CE">
        <w:t>理由書亦指出「</w:t>
      </w:r>
      <w:r w:rsidR="00203F72" w:rsidRPr="00B525CE">
        <w:t>….</w:t>
      </w:r>
      <w:r w:rsidR="00203F72" w:rsidRPr="00B525CE">
        <w:t>人民身體自由享有充分保障，乃行使憲法所保障其他自由權利之前提，為重要之基本人權。故憲</w:t>
      </w:r>
      <w:r w:rsidR="00F84373" w:rsidRPr="00A53581">
        <w:rPr>
          <w:rFonts w:ascii="新細明體" w:hAnsi="新細明體" w:hint="eastAsia"/>
          <w:kern w:val="0"/>
        </w:rPr>
        <w:t>法</w:t>
      </w:r>
      <w:hyperlink r:id="rId2012" w:anchor="a8" w:history="1">
        <w:r w:rsidR="00F84373" w:rsidRPr="00F84373">
          <w:rPr>
            <w:rStyle w:val="a5"/>
            <w:rFonts w:eastAsia="新細明體" w:hint="eastAsia"/>
            <w:kern w:val="0"/>
          </w:rPr>
          <w:t>第八條</w:t>
        </w:r>
      </w:hyperlink>
      <w:r w:rsidR="00203F72" w:rsidRPr="00B525CE">
        <w:t>對人民身體自由之保障，特詳加規定，其第一項規定「人民身體之自由應予保障。除現行犯之逮捕由法律另定外，非經司法或警察機關依法定程序，不得逮捕拘禁。非由法院依法定程序，不得審問處罰。非依法定程序之逮捕、拘禁、審問、處罰，得拒絕之。」考其意旨，係指國家行使公權力限制人民身體自由，必須遵循法定程序，在一定限度內為憲法保留之範圍。</w:t>
      </w:r>
    </w:p>
    <w:p w14:paraId="1D788F8B" w14:textId="77777777" w:rsidR="00203F72" w:rsidRPr="00B525CE" w:rsidRDefault="00447DAE" w:rsidP="00D87D91">
      <w:r w:rsidRPr="00B525CE">
        <w:t xml:space="preserve">　　</w:t>
      </w:r>
      <w:r w:rsidR="00203F72" w:rsidRPr="00B525CE">
        <w:t>所謂法定程序，依司法院歷來之解釋，凡拘束人民身體自由於特定處所，而與剝奪人民身體自由之刑罰無異者，不問其限制人民身體自由出於何種名義，除須有法律之依據外，尚須分別踐行正當法律程序，且所踐行之程序，應與限制刑事被告人身自由所踐行之正當法律程序相類。</w:t>
      </w:r>
      <w:r w:rsidR="00203F72" w:rsidRPr="00B525CE">
        <w:t xml:space="preserve">….. </w:t>
      </w:r>
      <w:r w:rsidR="00203F72" w:rsidRPr="00B525CE">
        <w:t>」其中明白揭示：依本司法院歷來之解釋，凡拘束人民身體自由於特定處所，而與剝奪人民身體自由之刑罰無異者且不問其限制人民身體自由出於何種名義，除須有法律之依據外，尚須分別踐行正當法律程序，且所踐行之程序，應與限制刑事被告人身自由所踐行之正當法律程序相類。</w:t>
      </w:r>
    </w:p>
    <w:p w14:paraId="35277B46" w14:textId="77777777" w:rsidR="00203F72" w:rsidRPr="00B525CE" w:rsidRDefault="00447DAE" w:rsidP="00D87D91">
      <w:r w:rsidRPr="00B525CE">
        <w:t xml:space="preserve">　　</w:t>
      </w:r>
      <w:r w:rsidR="00203F72" w:rsidRPr="00B525CE">
        <w:t>關於法官保留及提審制的問題，筆者於</w:t>
      </w:r>
      <w:r w:rsidR="00203F72" w:rsidRPr="00B525CE">
        <w:t>2012</w:t>
      </w:r>
      <w:r w:rsidR="00203F72" w:rsidRPr="00B525CE">
        <w:t>年</w:t>
      </w:r>
      <w:r w:rsidR="00203F72" w:rsidRPr="00B525CE">
        <w:t>11</w:t>
      </w:r>
      <w:r w:rsidR="00203F72" w:rsidRPr="00B525CE">
        <w:t>月</w:t>
      </w:r>
      <w:r w:rsidR="00203F72" w:rsidRPr="00B525CE">
        <w:t>5</w:t>
      </w:r>
      <w:r w:rsidR="00203F72" w:rsidRPr="00B525CE">
        <w:t>日下午訪談承辦移民業務人員，該員回答</w:t>
      </w:r>
      <w:r w:rsidR="00203F72" w:rsidRPr="00B525CE">
        <w:t>:</w:t>
      </w:r>
    </w:p>
    <w:p w14:paraId="46B0F39D" w14:textId="77777777" w:rsidR="00203F72" w:rsidRPr="00B525CE" w:rsidRDefault="00447DAE" w:rsidP="00D87D91">
      <w:r w:rsidRPr="00B525CE">
        <w:t xml:space="preserve">　　</w:t>
      </w:r>
      <w:r w:rsidR="00203F72" w:rsidRPr="00B525CE">
        <w:t>「我覺得根本不必再談法官保留及提審的問題了，因為基於平等互惠的原則，外國也沒有對我們如此禮遇。況且很多國家根本也沒有法官保留或提審制。還有現在人權意識抬頭，送到法官那邊要羈押很不容易。尤其外國人都昰犯小案，不太會因案被羈押。如果犯罪者被放在外面趴趴走，而要被遣返的就要被收容，反而更奇怪。」</w:t>
      </w:r>
    </w:p>
    <w:p w14:paraId="0D7E96F2" w14:textId="77777777" w:rsidR="00953151" w:rsidRPr="00B525CE" w:rsidRDefault="00447DAE" w:rsidP="00D87D91">
      <w:r w:rsidRPr="00B525CE">
        <w:t xml:space="preserve">　　</w:t>
      </w:r>
      <w:r w:rsidR="00203F72" w:rsidRPr="00B525CE">
        <w:t>全部適用法官保留及提審制還是憲法規定的應予保護的基本權益，世界上很多國家還是有如此的做法，以確保人權的落實。人權議題應跳脫國家間平等互惠原則的考量，立在一個更為前瞻、宏觀的立場。</w:t>
      </w:r>
    </w:p>
    <w:p w14:paraId="4C716B46" w14:textId="77777777" w:rsidR="00953151" w:rsidRPr="00B525CE" w:rsidRDefault="00447DAE" w:rsidP="00D87D91">
      <w:r w:rsidRPr="00B525CE">
        <w:t xml:space="preserve">　　</w:t>
      </w:r>
      <w:r w:rsidR="00203F72" w:rsidRPr="00B525CE">
        <w:t>二、收容事由之爭議性問題</w:t>
      </w:r>
    </w:p>
    <w:p w14:paraId="362D4076" w14:textId="77777777" w:rsidR="00203F72" w:rsidRPr="00B525CE" w:rsidRDefault="00447DAE" w:rsidP="00D87D91">
      <w:r w:rsidRPr="00B525CE">
        <w:t xml:space="preserve">　　</w:t>
      </w:r>
      <w:r w:rsidR="00203F72" w:rsidRPr="00B525CE">
        <w:t>對外國人之收容行為，「依法行政」絕對是一種必需而且必要的條件。從移民法條文看來，「非予收容，顯難強制驅逐出國者」為收容之主要原因。準此，任何與「保全驅逐出國處分」無關之目的，均不能做為收容之理由</w:t>
      </w:r>
      <w:r w:rsidR="00203F72" w:rsidRPr="00B525CE">
        <w:footnoteReference w:id="733"/>
      </w:r>
      <w:r w:rsidR="00203F72" w:rsidRPr="00B525CE">
        <w:t>。但發現有單純僅為順應司法機關犯罪偵查而為，並未嚴格審查收容是否具備「保全遣返必要性」之前提要件，恐違反「比例原則」</w:t>
      </w:r>
      <w:r w:rsidR="00203F72" w:rsidRPr="00B525CE">
        <w:footnoteReference w:id="734"/>
      </w:r>
      <w:r w:rsidR="00203F72" w:rsidRPr="00B525CE">
        <w:t>。</w:t>
      </w:r>
    </w:p>
    <w:p w14:paraId="010EB527" w14:textId="77777777" w:rsidR="00203F72" w:rsidRPr="00A53581" w:rsidRDefault="00447DAE" w:rsidP="00D87D91">
      <w:pPr>
        <w:rPr>
          <w:lang w:bidi="bn-IN"/>
        </w:rPr>
      </w:pPr>
      <w:r>
        <w:rPr>
          <w:lang w:bidi="bn-IN"/>
        </w:rPr>
        <w:t xml:space="preserve">　　</w:t>
      </w:r>
      <w:r w:rsidR="00203F72" w:rsidRPr="00A53581">
        <w:rPr>
          <w:lang w:bidi="bn-IN"/>
        </w:rPr>
        <w:t>根據本書作者</w:t>
      </w:r>
      <w:r w:rsidR="00203F72" w:rsidRPr="00A53581">
        <w:rPr>
          <w:lang w:bidi="bn-IN"/>
        </w:rPr>
        <w:t>2012</w:t>
      </w:r>
      <w:r w:rsidR="00203F72" w:rsidRPr="00A53581">
        <w:rPr>
          <w:lang w:bidi="bn-IN"/>
        </w:rPr>
        <w:t>年</w:t>
      </w:r>
      <w:r w:rsidR="00203F72" w:rsidRPr="00A53581">
        <w:rPr>
          <w:lang w:bidi="bn-IN"/>
        </w:rPr>
        <w:t>10</w:t>
      </w:r>
      <w:r w:rsidR="00203F72" w:rsidRPr="00A53581">
        <w:rPr>
          <w:lang w:bidi="bn-IN"/>
        </w:rPr>
        <w:t>月</w:t>
      </w:r>
      <w:r w:rsidR="00203F72" w:rsidRPr="00A53581">
        <w:rPr>
          <w:lang w:bidi="bn-IN"/>
        </w:rPr>
        <w:t>31</w:t>
      </w:r>
      <w:r w:rsidR="00203F72" w:rsidRPr="00A53581">
        <w:rPr>
          <w:lang w:bidi="bn-IN"/>
        </w:rPr>
        <w:t>日對承辦移民業務人員所做之訪談，該員提及：</w:t>
      </w:r>
    </w:p>
    <w:p w14:paraId="2C485B2E" w14:textId="77777777" w:rsidR="00203F72" w:rsidRPr="00A53581" w:rsidRDefault="00447DAE" w:rsidP="00D87D91">
      <w:pPr>
        <w:rPr>
          <w:lang w:bidi="bn-IN"/>
        </w:rPr>
      </w:pPr>
      <w:r>
        <w:rPr>
          <w:lang w:bidi="bn-IN"/>
        </w:rPr>
        <w:t xml:space="preserve">　　</w:t>
      </w:r>
      <w:r w:rsidR="00203F72" w:rsidRPr="00A53581">
        <w:rPr>
          <w:lang w:bidi="bn-IN"/>
        </w:rPr>
        <w:t>「目前收容之外國人士中，有一部分為生活無法自理者，對於生活無法自理者予以收容，我們一定會在筆錄中述明其係因生活無法自理，自願被收容，筆錄也一定會要他簽名。」</w:t>
      </w:r>
    </w:p>
    <w:p w14:paraId="6EDECE86" w14:textId="77777777" w:rsidR="00F07452" w:rsidRPr="00E2576E" w:rsidRDefault="00447DAE" w:rsidP="00D87D91">
      <w:r w:rsidRPr="00E2576E">
        <w:t xml:space="preserve">　　</w:t>
      </w:r>
      <w:r w:rsidR="00203F72" w:rsidRPr="00E2576E">
        <w:t>生活無法自理非移民</w:t>
      </w:r>
      <w:r w:rsidR="002673A4" w:rsidRPr="00E2576E">
        <w:t>法</w:t>
      </w:r>
      <w:hyperlink r:id="rId2013"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E2576E">
        <w:t>中規定之收容條件，由於收容係屬於憲法保障之重要權利，理應更為謹慎始得為之，鑑於來台外國人民日益增多，問題將更加繁雜，同時人權問題在國內及國際間日益受到重</w:t>
      </w:r>
      <w:r w:rsidR="003E240E">
        <w:t>視</w:t>
      </w:r>
      <w:r w:rsidR="00203F72" w:rsidRPr="00E2576E">
        <w:t>，為免生糾紛建議多注意此類問題。即便基於保護之立場，對此類收容之外國人，仍宜採取「法官保留」、「提審」制度為宜。</w:t>
      </w:r>
    </w:p>
    <w:p w14:paraId="74A5D5B6" w14:textId="77777777" w:rsidR="00203F72" w:rsidRPr="00E2576E" w:rsidRDefault="00203F72" w:rsidP="00D87D91">
      <w:r w:rsidRPr="00E2576E">
        <w:t xml:space="preserve">　　另作者於</w:t>
      </w:r>
      <w:r w:rsidRPr="00E2576E">
        <w:t>2012</w:t>
      </w:r>
      <w:r w:rsidRPr="00E2576E">
        <w:t>年</w:t>
      </w:r>
      <w:r w:rsidRPr="00E2576E">
        <w:t>10</w:t>
      </w:r>
      <w:r w:rsidRPr="00E2576E">
        <w:t>月</w:t>
      </w:r>
      <w:r w:rsidRPr="00E2576E">
        <w:t>31</w:t>
      </w:r>
      <w:r w:rsidRPr="00E2576E">
        <w:t>日早上</w:t>
      </w:r>
      <w:r w:rsidRPr="00E2576E">
        <w:t>9</w:t>
      </w:r>
      <w:r w:rsidRPr="00E2576E">
        <w:t>點對移民事務承辦人進行訪談，其表示：「在入出國及移民法未修訂前，由於</w:t>
      </w:r>
      <w:hyperlink r:id="rId2014" w:anchor="b38" w:history="1">
        <w:r w:rsidR="00981964" w:rsidRPr="00E2576E">
          <w:rPr>
            <w:rStyle w:val="a5"/>
            <w:rFonts w:ascii="Times New Roman" w:hAnsi="Times New Roman"/>
          </w:rPr>
          <w:t>第</w:t>
        </w:r>
        <w:r w:rsidR="00981964" w:rsidRPr="00E2576E">
          <w:rPr>
            <w:rStyle w:val="a5"/>
            <w:rFonts w:ascii="Times New Roman" w:hAnsi="Times New Roman"/>
          </w:rPr>
          <w:t>38</w:t>
        </w:r>
        <w:r w:rsidR="00981964" w:rsidRPr="00E2576E">
          <w:rPr>
            <w:rStyle w:val="a5"/>
            <w:rFonts w:ascii="Times New Roman" w:hAnsi="Times New Roman"/>
          </w:rPr>
          <w:t>條</w:t>
        </w:r>
      </w:hyperlink>
      <w:r w:rsidRPr="00E2576E">
        <w:t>中有規定「其他在事實上認有暫予收容之必要即可暫予收容」，因「其他在事實上認有</w:t>
      </w:r>
      <w:r w:rsidRPr="00E2576E">
        <w:t>…..</w:t>
      </w:r>
      <w:r w:rsidRPr="00E2576E">
        <w:t>」之認定太模糊，所以法院對於涉案之外國人，常常以此條規定移交由移民署收容，造成移民署工作上負荷。修法後刪除此規定，無法源依據後，法院逕交付移民署收容情形減少很多。」</w:t>
      </w:r>
    </w:p>
    <w:p w14:paraId="1904A66C" w14:textId="77777777" w:rsidR="00203F72" w:rsidRPr="00E2576E" w:rsidRDefault="00447DAE" w:rsidP="00D87D91">
      <w:r w:rsidRPr="00E2576E">
        <w:t xml:space="preserve">　　</w:t>
      </w:r>
      <w:r w:rsidR="00203F72" w:rsidRPr="00E2576E">
        <w:t>由此可以看出，以往司法機關責付移民署收容之外國人有些確為司法機關便宜行事。</w:t>
      </w:r>
    </w:p>
    <w:p w14:paraId="62714816" w14:textId="77777777" w:rsidR="00203F72" w:rsidRPr="00E2576E" w:rsidRDefault="00447DAE" w:rsidP="00D87D91">
      <w:r w:rsidRPr="00E2576E">
        <w:t xml:space="preserve">　　</w:t>
      </w:r>
      <w:r w:rsidR="00203F72" w:rsidRPr="00E2576E">
        <w:t>上述移民事務承辦人並進一步表示：</w:t>
      </w:r>
    </w:p>
    <w:p w14:paraId="2EE75F71" w14:textId="77777777" w:rsidR="00203F72" w:rsidRPr="00E2576E" w:rsidRDefault="00447DAE" w:rsidP="00D87D91">
      <w:r w:rsidRPr="00E2576E">
        <w:t xml:space="preserve">　　</w:t>
      </w:r>
      <w:r w:rsidR="00203F72" w:rsidRPr="00E2576E">
        <w:t>「不過修法後，司法機關之心態還是需要再調整。目前實務上檢察署於查辦外國人涉刑事案件時，如小案件未能羈押，檢察官為俾利日後外國人能隨傳隨到，便利偵辦刑案，還是將該涉案之外籍人士直接責付移交移民署</w:t>
      </w:r>
      <w:r w:rsidR="00203F72" w:rsidRPr="00E2576E">
        <w:t>(</w:t>
      </w:r>
      <w:r w:rsidR="00203F72" w:rsidRPr="00E2576E">
        <w:t>專勤隊</w:t>
      </w:r>
      <w:r w:rsidR="00203F72" w:rsidRPr="00E2576E">
        <w:t>)</w:t>
      </w:r>
      <w:r w:rsidR="00203F72" w:rsidRPr="00E2576E">
        <w:t>收容，不管是否有收容之必要或合法性。造成移民署極大之壓力與困擾。移民署專勤隊在不願得罪檢察官情形下，只好勉為收容。我們跟檢察官溝通多次，感覺仍像無解。以前未修法前，移民署還可以配合司法機關，以移民</w:t>
      </w:r>
      <w:r w:rsidR="002673A4" w:rsidRPr="00E2576E">
        <w:t>法</w:t>
      </w:r>
      <w:hyperlink r:id="rId2015"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E2576E">
        <w:t>:</w:t>
      </w:r>
      <w:r w:rsidR="00203F72" w:rsidRPr="00E2576E">
        <w:t>「</w:t>
      </w:r>
      <w:r w:rsidR="00203F72" w:rsidRPr="00E2576E">
        <w:t>…….</w:t>
      </w:r>
      <w:r w:rsidR="00203F72" w:rsidRPr="00E2576E">
        <w:t>其他在事實上認有暫予收容之必要即可暫予收容。」加以收容，現在修法已刪除，故於近日前，移民署直接對司法機關提出一份書面建議，強烈表達要求沒有收容必要性之外國人，希望他們不要再隨意責付我們收容。」</w:t>
      </w:r>
    </w:p>
    <w:p w14:paraId="7D4537A8" w14:textId="77777777" w:rsidR="00203F72" w:rsidRPr="00E2576E" w:rsidRDefault="00447DAE" w:rsidP="00D87D91">
      <w:r w:rsidRPr="00E2576E">
        <w:t xml:space="preserve">　　</w:t>
      </w:r>
      <w:r w:rsidR="00203F72" w:rsidRPr="00E2576E">
        <w:t>移民署某專勤隊於</w:t>
      </w:r>
      <w:r w:rsidR="00203F72" w:rsidRPr="00E2576E">
        <w:t>2012</w:t>
      </w:r>
      <w:r w:rsidR="00203F72" w:rsidRPr="00E2576E">
        <w:t>年</w:t>
      </w:r>
      <w:r w:rsidR="00203F72" w:rsidRPr="00E2576E">
        <w:t>10</w:t>
      </w:r>
      <w:r w:rsidR="00203F72" w:rsidRPr="00E2576E">
        <w:t>月中所提接收檢察署移交涉案外國人作業流程</w:t>
      </w:r>
      <w:r w:rsidR="00203F72" w:rsidRPr="00E2576E">
        <w:t xml:space="preserve"> (</w:t>
      </w:r>
      <w:r w:rsidR="00203F72" w:rsidRPr="00E2576E">
        <w:t>此份作業流程，係該專勤隊專為此問題向司法機關提出</w:t>
      </w:r>
      <w:r w:rsidR="00203F72" w:rsidRPr="00E2576E">
        <w:t>)</w:t>
      </w:r>
      <w:r w:rsidR="00203F72" w:rsidRPr="00E2576E">
        <w:t>：「檢察署於查辦外國人涉及刑案之案件時，如未辦理羈押，常由檢察官指示將該涉案之外國人移交移民署</w:t>
      </w:r>
      <w:r w:rsidR="00203F72" w:rsidRPr="00E2576E">
        <w:t>(</w:t>
      </w:r>
      <w:r w:rsidR="00203F72" w:rsidRPr="00E2576E">
        <w:t>專勤隊</w:t>
      </w:r>
      <w:r w:rsidR="00203F72" w:rsidRPr="00E2576E">
        <w:t>)</w:t>
      </w:r>
      <w:r w:rsidR="00203F72" w:rsidRPr="00E2576E">
        <w:t>依法處理，俾利日後能順利傳喚到案。該外國人如符合入出國及移民法</w:t>
      </w:r>
      <w:hyperlink r:id="rId2016" w:anchor="b38" w:history="1">
        <w:r w:rsidR="00203F72" w:rsidRPr="00E2576E">
          <w:rPr>
            <w:rStyle w:val="a5"/>
            <w:rFonts w:ascii="Times New Roman" w:hAnsi="Times New Roman"/>
          </w:rPr>
          <w:t>第</w:t>
        </w:r>
        <w:r w:rsidR="00203F72" w:rsidRPr="00E2576E">
          <w:rPr>
            <w:rStyle w:val="a5"/>
            <w:rFonts w:ascii="Times New Roman" w:hAnsi="Times New Roman"/>
          </w:rPr>
          <w:t>38</w:t>
        </w:r>
        <w:r w:rsidR="00203F72" w:rsidRPr="00E2576E">
          <w:rPr>
            <w:rStyle w:val="a5"/>
            <w:rFonts w:ascii="Times New Roman" w:hAnsi="Times New Roman"/>
          </w:rPr>
          <w:t>條</w:t>
        </w:r>
      </w:hyperlink>
      <w:r w:rsidR="00203F72" w:rsidRPr="00E2576E">
        <w:t>得暫予收容之規定時，接案之專勤隊可依法辦理收容。惟如不符收容規定時，若逕予收容，不僅侵犯人權，且有違法之虞，若未予收容，日後如無法順利傳喚致影響案件偵辦時，恐將歸責於專勤隊，為避免造成專勤隊同仁於接收此類案件時之困擾，特製定此作業流程。</w:t>
      </w:r>
      <w:r w:rsidR="00203F72" w:rsidRPr="00E2576E">
        <w:t>……</w:t>
      </w:r>
      <w:r w:rsidR="00203F72" w:rsidRPr="00E2576E">
        <w:t>建議不符收容規定之涉案外國人，由移民署專勤隊瞭解該外國人在台灣親友或關係人</w:t>
      </w:r>
      <w:r w:rsidR="00203F72" w:rsidRPr="00E2576E">
        <w:t>(</w:t>
      </w:r>
      <w:r w:rsidR="00203F72" w:rsidRPr="00E2576E">
        <w:t>雇主、仲介公司或相關團體代表人</w:t>
      </w:r>
      <w:r w:rsidR="00203F72" w:rsidRPr="00E2576E">
        <w:t>)</w:t>
      </w:r>
      <w:r w:rsidR="00203F72" w:rsidRPr="00E2576E">
        <w:t>可提供責付。有親友或關係人</w:t>
      </w:r>
      <w:r w:rsidR="00203F72" w:rsidRPr="00E2576E">
        <w:t>(</w:t>
      </w:r>
      <w:r w:rsidR="00203F72" w:rsidRPr="00E2576E">
        <w:t>雇主、仲介公司或相關團體代表人</w:t>
      </w:r>
      <w:r w:rsidR="00203F72" w:rsidRPr="00E2576E">
        <w:t>)</w:t>
      </w:r>
      <w:r w:rsidR="00203F72" w:rsidRPr="00E2576E">
        <w:t>可提供責付者，立書面切結，並報知檢察官。無親友或關係人</w:t>
      </w:r>
      <w:r w:rsidR="00203F72" w:rsidRPr="00E2576E">
        <w:t>(</w:t>
      </w:r>
      <w:r w:rsidR="00203F72" w:rsidRPr="00E2576E">
        <w:t>雇主、仲介公司或相關團體代表人</w:t>
      </w:r>
      <w:r w:rsidR="00203F72" w:rsidRPr="00E2576E">
        <w:t>)</w:t>
      </w:r>
      <w:r w:rsidR="00203F72" w:rsidRPr="00E2576E">
        <w:t>可提供責付者，調查其在台住所及聯絡方式</w:t>
      </w:r>
      <w:r w:rsidR="00203F72" w:rsidRPr="00E2576E">
        <w:t>(</w:t>
      </w:r>
      <w:r w:rsidR="00203F72" w:rsidRPr="00E2576E">
        <w:t>電話</w:t>
      </w:r>
      <w:r w:rsidR="00203F72" w:rsidRPr="00E2576E">
        <w:t>)</w:t>
      </w:r>
      <w:r w:rsidR="00203F72" w:rsidRPr="00E2576E">
        <w:t>，並報知檢察官。」</w:t>
      </w:r>
    </w:p>
    <w:p w14:paraId="63751E6B" w14:textId="77777777" w:rsidR="00203F72" w:rsidRPr="00E2576E" w:rsidRDefault="00447DAE" w:rsidP="00D87D91">
      <w:r w:rsidRPr="00E2576E">
        <w:t xml:space="preserve">　　</w:t>
      </w:r>
      <w:r w:rsidR="00203F72" w:rsidRPr="00E2576E">
        <w:t>一方面顯現司法機關為追求刑事追訴之目的，要求移民署責付外國人，但確保刑事追訴，並非收容之法定目的，移民署並無「逮捕拘禁」之權責，因此移民署將被收容人遣送出境，或以收容要件不合而不予收容，均無</w:t>
      </w:r>
      <w:hyperlink r:id="rId2017" w:history="1">
        <w:r w:rsidR="006B7176" w:rsidRPr="006B7176">
          <w:rPr>
            <w:rStyle w:val="a5"/>
            <w:rFonts w:eastAsia="新細明體"/>
            <w:kern w:val="0"/>
          </w:rPr>
          <w:t>刑法</w:t>
        </w:r>
      </w:hyperlink>
      <w:r w:rsidR="00203F72" w:rsidRPr="00E2576E">
        <w:t>脫逃罪之適用。外國人收容為強制驅逐出國前之「保全」措施，任何與此目的無關者，例如司法機關「以收容代替羈押」，都是錯誤之做法</w:t>
      </w:r>
      <w:r w:rsidR="00203F72" w:rsidRPr="00E2576E">
        <w:footnoteReference w:id="735"/>
      </w:r>
      <w:r w:rsidR="00203F72" w:rsidRPr="00E2576E">
        <w:t>。</w:t>
      </w:r>
    </w:p>
    <w:p w14:paraId="1F1CC86A" w14:textId="77777777" w:rsidR="00953151" w:rsidRPr="00E2576E" w:rsidRDefault="00447DAE" w:rsidP="00D87D91">
      <w:r w:rsidRPr="00E2576E">
        <w:t xml:space="preserve">　　</w:t>
      </w:r>
      <w:r w:rsidR="00203F72" w:rsidRPr="00E2576E">
        <w:t>由此看來，司法機關的便宜行事，確實造成移民局執行上的困擾。建議監察院在關懷移民署收容業務時，應更加注意司法機關責付收容的合法性。</w:t>
      </w:r>
    </w:p>
    <w:p w14:paraId="2E41404F" w14:textId="77777777" w:rsidR="00953151" w:rsidRPr="00E2576E" w:rsidRDefault="00203F72" w:rsidP="00D87D91">
      <w:r w:rsidRPr="00E2576E">
        <w:t>三、被收容人權益保障仍待提升</w:t>
      </w:r>
      <w:r w:rsidRPr="00E2576E">
        <w:t>(</w:t>
      </w:r>
      <w:r w:rsidRPr="00E2576E">
        <w:t>建置移民法庭、國家人權委員會之問題</w:t>
      </w:r>
      <w:r w:rsidRPr="00E2576E">
        <w:t xml:space="preserve">) </w:t>
      </w:r>
    </w:p>
    <w:p w14:paraId="184CDA36" w14:textId="77777777" w:rsidR="00203F72" w:rsidRPr="00E2576E" w:rsidRDefault="00447DAE" w:rsidP="00D87D91">
      <w:r w:rsidRPr="00E2576E">
        <w:t xml:space="preserve">　　</w:t>
      </w:r>
      <w:r w:rsidR="00203F72" w:rsidRPr="00E2576E">
        <w:t>為強化被收容人之權益保障，本書建議增加移民法庭、國家人權委員會之設置及在收容所內增設法律諮詢</w:t>
      </w:r>
      <w:r w:rsidR="00203F72" w:rsidRPr="00E2576E">
        <w:t>:</w:t>
      </w:r>
      <w:r w:rsidR="00203F72" w:rsidRPr="00E2576E">
        <w:t>作者於</w:t>
      </w:r>
      <w:r w:rsidR="00203F72" w:rsidRPr="00E2576E">
        <w:t>2012</w:t>
      </w:r>
      <w:r w:rsidR="00203F72" w:rsidRPr="00E2576E">
        <w:t>年</w:t>
      </w:r>
      <w:r w:rsidR="00203F72" w:rsidRPr="00E2576E">
        <w:t>10</w:t>
      </w:r>
      <w:r w:rsidR="00203F72" w:rsidRPr="00E2576E">
        <w:t>月</w:t>
      </w:r>
      <w:r w:rsidR="00203F72" w:rsidRPr="00E2576E">
        <w:t>31</w:t>
      </w:r>
      <w:r w:rsidR="00203F72" w:rsidRPr="00E2576E">
        <w:t>日早上</w:t>
      </w:r>
      <w:r w:rsidR="00203F72" w:rsidRPr="00E2576E">
        <w:t>9</w:t>
      </w:r>
      <w:r w:rsidR="00203F72" w:rsidRPr="00E2576E">
        <w:t>點對相關業務承辦人進行訪談，該承辦員表示：</w:t>
      </w:r>
    </w:p>
    <w:p w14:paraId="575C1658" w14:textId="77777777" w:rsidR="00203F72" w:rsidRPr="00E2576E" w:rsidRDefault="00447DAE" w:rsidP="00D87D91">
      <w:r w:rsidRPr="00E2576E">
        <w:t xml:space="preserve">　　</w:t>
      </w:r>
      <w:r w:rsidR="00203F72" w:rsidRPr="00E2576E">
        <w:t>「移民法庭之設置，是一件我們很期待之事，據我們實務上之接觸及瞭解，司法機關人員太少，事情忙不來，短期內增設移民法庭有困難，但依我們實際上在實務之運作中，覺得還是應該要設置移民法庭來辦理外國人之案子比較適宜。」</w:t>
      </w:r>
    </w:p>
    <w:p w14:paraId="02D207D0" w14:textId="77777777" w:rsidR="00203F72" w:rsidRPr="00E2576E" w:rsidRDefault="00447DAE" w:rsidP="00D87D91">
      <w:r w:rsidRPr="00E2576E">
        <w:t xml:space="preserve">　　</w:t>
      </w:r>
      <w:r w:rsidR="00203F72" w:rsidRPr="00E2576E">
        <w:t>隨著國際交流，外資開放，地球村時代之來臨，外國人問題將日益繁複增多，應該增設移民法庭，專門針對外國人民案件予以審查或予以救濟之機會。</w:t>
      </w:r>
    </w:p>
    <w:p w14:paraId="4E8261DF" w14:textId="77777777" w:rsidR="00203F72" w:rsidRPr="00E2576E" w:rsidRDefault="00447DAE" w:rsidP="00D87D91">
      <w:r w:rsidRPr="00E2576E">
        <w:t xml:space="preserve">　　</w:t>
      </w:r>
      <w:r w:rsidR="00203F72" w:rsidRPr="00E2576E">
        <w:t>或者另建立獨立於行政體系之外、國家級、專責所有人權保障之「國家人權委員會」，接受人權侵害案件之申訴與調查、對立法與施政進行人權面向之事前建議及事後監督、人權教育推廣等，方能保證以超然之立場來達成監督兩公約實施之任務</w:t>
      </w:r>
      <w:r w:rsidR="00203F72" w:rsidRPr="00E2576E">
        <w:footnoteReference w:id="736"/>
      </w:r>
      <w:r w:rsidR="00203F72" w:rsidRPr="00E2576E">
        <w:t>。此外，提供適切之法律扶助，亦是必要之舉</w:t>
      </w:r>
      <w:r w:rsidR="00203F72" w:rsidRPr="00E2576E">
        <w:footnoteReference w:id="737"/>
      </w:r>
      <w:r w:rsidR="00203F72" w:rsidRPr="00E2576E">
        <w:t>。</w:t>
      </w:r>
    </w:p>
    <w:p w14:paraId="7AF18166" w14:textId="77777777" w:rsidR="00203F72" w:rsidRPr="00707676" w:rsidRDefault="00447DAE" w:rsidP="00D87D91">
      <w:r w:rsidRPr="00707676">
        <w:t xml:space="preserve">　　</w:t>
      </w:r>
      <w:r w:rsidR="00203F72" w:rsidRPr="00707676">
        <w:t>四、收容所之環境問題</w:t>
      </w:r>
    </w:p>
    <w:p w14:paraId="1DFE31A6" w14:textId="77777777" w:rsidR="00203F72" w:rsidRPr="00707676" w:rsidRDefault="00447DAE" w:rsidP="00D87D91">
      <w:r w:rsidRPr="00707676">
        <w:t xml:space="preserve">　　</w:t>
      </w:r>
      <w:r w:rsidR="00203F72" w:rsidRPr="00707676">
        <w:t>改善收容所之條件是人權之一環，也是對於外國人基本之尊重，移民署宜不斷對收容所進行改善，俾利收容人之健康，受到最低程度之保障</w:t>
      </w:r>
      <w:r w:rsidR="00203F72" w:rsidRPr="00707676">
        <w:footnoteReference w:id="738"/>
      </w:r>
      <w:r w:rsidR="00203F72" w:rsidRPr="00707676">
        <w:t>。</w:t>
      </w:r>
    </w:p>
    <w:p w14:paraId="3BC37011" w14:textId="77777777" w:rsidR="00203F72" w:rsidRPr="00707676" w:rsidRDefault="00447DAE" w:rsidP="00D87D91">
      <w:r w:rsidRPr="00707676">
        <w:t xml:space="preserve">　　</w:t>
      </w:r>
      <w:r w:rsidR="00203F72" w:rsidRPr="00707676">
        <w:t>臺北收容所彭所長提供如下資料</w:t>
      </w:r>
      <w:r w:rsidR="00203F72" w:rsidRPr="00707676">
        <w:t>:</w:t>
      </w:r>
    </w:p>
    <w:p w14:paraId="53AF0FF2" w14:textId="77777777" w:rsidR="00953151" w:rsidRPr="00707676" w:rsidRDefault="00447DAE" w:rsidP="00D87D91">
      <w:r w:rsidRPr="00707676">
        <w:t xml:space="preserve">　　</w:t>
      </w:r>
      <w:r w:rsidR="00203F72" w:rsidRPr="00707676">
        <w:t>「今</w:t>
      </w:r>
      <w:r w:rsidR="00203F72" w:rsidRPr="00707676">
        <w:t>(101)</w:t>
      </w:r>
      <w:r w:rsidR="00203F72" w:rsidRPr="00707676">
        <w:t>年</w:t>
      </w:r>
      <w:r w:rsidR="00203F72" w:rsidRPr="00707676">
        <w:t>12</w:t>
      </w:r>
      <w:r w:rsidR="00203F72" w:rsidRPr="00707676">
        <w:t>月</w:t>
      </w:r>
      <w:r w:rsidR="00203F72" w:rsidRPr="00707676">
        <w:t>12</w:t>
      </w:r>
      <w:r w:rsidR="00203F72" w:rsidRPr="00707676">
        <w:t>日宜蘭收容所兩所將拼成一大所，目前在三星地區已蓋好一棟新的大樓，將作為新所使用，新所在設施各方面都有不錯的規劃。另</w:t>
      </w:r>
      <w:r w:rsidR="00203F72" w:rsidRPr="00707676">
        <w:t>103</w:t>
      </w:r>
      <w:r w:rsidR="00203F72" w:rsidRPr="00707676">
        <w:t>年也將在高雄成立收容所，目前也積極施工中。這些新所成立之後，屆時收容所的問題將會有大幅改善。」</w:t>
      </w:r>
    </w:p>
    <w:p w14:paraId="7E039399" w14:textId="77777777" w:rsidR="00953151" w:rsidRPr="00707676" w:rsidRDefault="00203F72" w:rsidP="00D87D91">
      <w:r w:rsidRPr="00707676">
        <w:t>五、救濟機制尚待強化</w:t>
      </w:r>
      <w:r w:rsidRPr="00707676">
        <w:t xml:space="preserve"> </w:t>
      </w:r>
    </w:p>
    <w:p w14:paraId="6A4248DE" w14:textId="77777777" w:rsidR="00203F72" w:rsidRPr="00707676" w:rsidRDefault="00447DAE" w:rsidP="00D87D91">
      <w:r w:rsidRPr="00707676">
        <w:t xml:space="preserve">　　</w:t>
      </w:r>
      <w:r w:rsidR="00203F72" w:rsidRPr="00707676">
        <w:t>於</w:t>
      </w:r>
      <w:r w:rsidR="00203F72" w:rsidRPr="00707676">
        <w:t>2012</w:t>
      </w:r>
      <w:r w:rsidR="00203F72" w:rsidRPr="00707676">
        <w:t>年</w:t>
      </w:r>
      <w:r w:rsidR="00203F72" w:rsidRPr="00707676">
        <w:t>3</w:t>
      </w:r>
      <w:r w:rsidR="00203F72" w:rsidRPr="00707676">
        <w:t>月左右，有一位受到收容之外國人，聘請律師對政府提出國賠之要求，提出逾期收容一天以</w:t>
      </w:r>
      <w:r w:rsidR="00203F72" w:rsidRPr="00707676">
        <w:t>1000</w:t>
      </w:r>
      <w:r w:rsidR="00203F72" w:rsidRPr="00707676">
        <w:t>元計算。這是第一件外國人因逾期收容提出國賠之案件。</w:t>
      </w:r>
    </w:p>
    <w:p w14:paraId="0BF26942" w14:textId="77777777" w:rsidR="00203F72" w:rsidRPr="00707676" w:rsidRDefault="00447DAE" w:rsidP="00D87D91">
      <w:r w:rsidRPr="00707676">
        <w:t xml:space="preserve">　　</w:t>
      </w:r>
      <w:r w:rsidR="00203F72" w:rsidRPr="00707676">
        <w:t>此事之處理情形，作者于</w:t>
      </w:r>
      <w:r w:rsidR="00203F72" w:rsidRPr="00707676">
        <w:t>2012</w:t>
      </w:r>
      <w:r w:rsidR="00203F72" w:rsidRPr="00707676">
        <w:t>年</w:t>
      </w:r>
      <w:r w:rsidR="00203F72" w:rsidRPr="00707676">
        <w:t>11</w:t>
      </w:r>
      <w:r w:rsidR="00203F72" w:rsidRPr="00707676">
        <w:t>月</w:t>
      </w:r>
      <w:r w:rsidR="00203F72" w:rsidRPr="00707676">
        <w:t>5</w:t>
      </w:r>
      <w:r w:rsidR="00203F72" w:rsidRPr="00707676">
        <w:t>日對相關業務人員進行訪談，該員回答</w:t>
      </w:r>
      <w:r w:rsidR="00203F72" w:rsidRPr="00707676">
        <w:t>:</w:t>
      </w:r>
    </w:p>
    <w:p w14:paraId="6DBCBF13" w14:textId="77777777" w:rsidR="00203F72" w:rsidRPr="00707676" w:rsidRDefault="00447DAE" w:rsidP="00D87D91">
      <w:r w:rsidRPr="00707676">
        <w:t xml:space="preserve">　　</w:t>
      </w:r>
      <w:r w:rsidR="00203F72" w:rsidRPr="00707676">
        <w:t>「我們請該外國人遭收容時之收容所所長去跟他溝通，此事應該說已經平息了。」</w:t>
      </w:r>
    </w:p>
    <w:p w14:paraId="7CFB1B48" w14:textId="77777777" w:rsidR="00203F72" w:rsidRPr="00707676" w:rsidRDefault="00447DAE" w:rsidP="00D87D91">
      <w:r w:rsidRPr="00707676">
        <w:t xml:space="preserve">　　</w:t>
      </w:r>
      <w:r w:rsidR="00203F72" w:rsidRPr="00707676">
        <w:t>隨著人權日益重</w:t>
      </w:r>
      <w:r w:rsidR="003E240E">
        <w:t>視</w:t>
      </w:r>
      <w:r w:rsidR="00203F72" w:rsidRPr="00707676">
        <w:t>及國際交流日益頻繁，外國人因收容、驅逐出境等相關事項，提出救濟之情形應當會越來越普遍，我們必須更注意依法行政之重要性。</w:t>
      </w:r>
    </w:p>
    <w:p w14:paraId="4852A233" w14:textId="77777777" w:rsidR="00203F72" w:rsidRPr="00707676" w:rsidRDefault="00447DAE" w:rsidP="00D87D91">
      <w:r w:rsidRPr="00707676">
        <w:t xml:space="preserve">　　</w:t>
      </w:r>
      <w:r w:rsidR="00203F72" w:rsidRPr="00707676">
        <w:t>依據入出國及移民</w:t>
      </w:r>
      <w:r w:rsidR="002673A4" w:rsidRPr="00E2576E">
        <w:t>法</w:t>
      </w:r>
      <w:hyperlink r:id="rId2018"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707676">
        <w:t>之規定</w:t>
      </w:r>
      <w:r w:rsidR="00203F72" w:rsidRPr="00707676">
        <w:t>:</w:t>
      </w:r>
      <w:r w:rsidR="00203F72" w:rsidRPr="00707676">
        <w:t>「受收容人或其配偶、直系親屬、法定代理人、兄弟姊妹，得於七日內向入出國及移民署提出收容異議。」有關於提出異議之日期，規定為七日內，作者于</w:t>
      </w:r>
      <w:r w:rsidR="00203F72" w:rsidRPr="00707676">
        <w:t>2012</w:t>
      </w:r>
      <w:r w:rsidR="00203F72" w:rsidRPr="00707676">
        <w:t>年</w:t>
      </w:r>
      <w:r w:rsidR="00203F72" w:rsidRPr="00707676">
        <w:t>11</w:t>
      </w:r>
      <w:r w:rsidR="00203F72" w:rsidRPr="00707676">
        <w:t>月</w:t>
      </w:r>
      <w:r w:rsidR="00203F72" w:rsidRPr="00707676">
        <w:t>5</w:t>
      </w:r>
      <w:r w:rsidR="00203F72" w:rsidRPr="00707676">
        <w:t>日訪談承辦相關業務之人員</w:t>
      </w:r>
      <w:r w:rsidR="00203F72" w:rsidRPr="00707676">
        <w:t>:</w:t>
      </w:r>
      <w:r w:rsidR="00203F72" w:rsidRPr="00707676">
        <w:t>「提出異議之時間，目前不以七日內為受理期限，原則上只要外國人遭收容之期間，都可以提出，我們都會受理，但以我目前執行業務所知，還沒有外國人提出過異議。」關於遭收容或驅逐出境外國人在台資產問題，</w:t>
      </w:r>
    </w:p>
    <w:p w14:paraId="252560E9" w14:textId="77777777" w:rsidR="00203F72" w:rsidRPr="00707676" w:rsidRDefault="00447DAE" w:rsidP="00D87D91">
      <w:r w:rsidRPr="00707676">
        <w:t xml:space="preserve">　　</w:t>
      </w:r>
      <w:r w:rsidR="00203F72" w:rsidRPr="00707676">
        <w:t>作者于</w:t>
      </w:r>
      <w:r w:rsidR="00203F72" w:rsidRPr="00707676">
        <w:t>2012</w:t>
      </w:r>
      <w:r w:rsidR="00203F72" w:rsidRPr="00707676">
        <w:t>年</w:t>
      </w:r>
      <w:r w:rsidR="00203F72" w:rsidRPr="00707676">
        <w:t>11</w:t>
      </w:r>
      <w:r w:rsidR="00203F72" w:rsidRPr="00707676">
        <w:t>月</w:t>
      </w:r>
      <w:r w:rsidR="00203F72" w:rsidRPr="00707676">
        <w:t>5</w:t>
      </w:r>
      <w:r w:rsidR="00203F72" w:rsidRPr="00707676">
        <w:t>日對承辦相關業務之人員訪談，回答</w:t>
      </w:r>
      <w:r w:rsidR="00203F72" w:rsidRPr="00707676">
        <w:t>:</w:t>
      </w:r>
    </w:p>
    <w:p w14:paraId="26039114" w14:textId="77777777" w:rsidR="00203F72" w:rsidRPr="00707676" w:rsidRDefault="00447DAE" w:rsidP="00D87D91">
      <w:r w:rsidRPr="00707676">
        <w:t xml:space="preserve">　　</w:t>
      </w:r>
      <w:r w:rsidR="00203F72" w:rsidRPr="00707676">
        <w:t>「對於被驅逐出境之外國人在台財產問題，如果是犯罪所得，就予沒收，否則外國人也可以委託律師處理在台財務。目前實務上沒有接獲因有關財物損失提出救濟之案件。」</w:t>
      </w:r>
    </w:p>
    <w:p w14:paraId="71E17C36" w14:textId="77777777" w:rsidR="00203F72" w:rsidRPr="00707676" w:rsidRDefault="00447DAE" w:rsidP="00D87D91">
      <w:r w:rsidRPr="00707676">
        <w:t xml:space="preserve">　　</w:t>
      </w:r>
      <w:r w:rsidR="00203F72" w:rsidRPr="00707676">
        <w:t>通常主管機關如做出強制驅逐出國或收容之處分後，一旦處分書核發、通知後就產生了效力。強制驅逐出國及收容對當事人所造成之損害很大，剝奪其很多之權利。像這種之行政處分，使外國人遭受之傷害幾與刑罰之程度相當。國家之主管機關，對於外國人事務有依法處分之權利，對於個別具體案件之處分，均屬於人為決定，亦有可能違法或不當處分，導致侵害外國人權利，此有待司法或行政救濟程序予以導正</w:t>
      </w:r>
      <w:r w:rsidR="00203F72" w:rsidRPr="00707676">
        <w:footnoteReference w:id="739"/>
      </w:r>
      <w:r w:rsidR="00203F72" w:rsidRPr="00707676">
        <w:t>。</w:t>
      </w:r>
    </w:p>
    <w:p w14:paraId="72671C8C" w14:textId="77777777" w:rsidR="00203F72" w:rsidRPr="00707676" w:rsidRDefault="00447DAE" w:rsidP="00D87D91">
      <w:r w:rsidRPr="00707676">
        <w:t xml:space="preserve">　　</w:t>
      </w:r>
      <w:r w:rsidR="00203F72" w:rsidRPr="00707676">
        <w:t>理論上有關入出國與居留中外國人的權力，如受到違法處分侵害，得依國內救濟制度提起行政救濟，包刮異議、訴願與行政訴訟</w:t>
      </w:r>
      <w:r w:rsidR="00203F72" w:rsidRPr="00707676">
        <w:footnoteReference w:id="740"/>
      </w:r>
      <w:r w:rsidR="00203F72" w:rsidRPr="00707676">
        <w:t>。但凡與外國人權利保障之制度有關者，即具有實效性之行政救濟制度。雖然規定對收容或強制驅離得於規定期間內向主管機關提出異議，作為救濟。但有關外國人在國內遭受到違法或不當的處分，其救濟的方法與程序還是不夠健全與完善。例如向法院聲請追究、提審等並未建置。同時驅逐出境處分書未送達外國人駐華使館，使該外國人之外國使館無法在第一時間知悉此事，從而瞭解或協助其國人，透過外交或其他國際上途徑救濟之。</w:t>
      </w:r>
    </w:p>
    <w:p w14:paraId="78BF2DA7" w14:textId="77777777" w:rsidR="00203F72" w:rsidRPr="00BD43D3" w:rsidRDefault="00447DAE" w:rsidP="00D87D91">
      <w:r w:rsidRPr="00BD43D3">
        <w:t xml:space="preserve">　　</w:t>
      </w:r>
      <w:r w:rsidR="00203F72" w:rsidRPr="00BD43D3">
        <w:t>目前對於外國人限制住居及活動範圍，此對於救濟權之得否有效行使，關係至钜，應參考外國立法例，有一併納以規範之必要</w:t>
      </w:r>
      <w:r w:rsidR="00203F72" w:rsidRPr="00BD43D3">
        <w:footnoteReference w:id="741"/>
      </w:r>
      <w:r w:rsidR="00203F72" w:rsidRPr="00BD43D3">
        <w:t>。就強制驅逐出境而言，理論上應明文規定外國人被強制驅逐出國前須以書面事先通知當事人，並有義務提出將之驅逐的理由，依據法定程序做出裁決，並允許外國人對強制驅逐出國之處分書，提起救濟，處分書應載明不服處分的法律救濟方法、期間及受理機關</w:t>
      </w:r>
      <w:r w:rsidR="00203F72" w:rsidRPr="00BD43D3">
        <w:footnoteReference w:id="742"/>
      </w:r>
      <w:r w:rsidR="00203F72" w:rsidRPr="00BD43D3">
        <w:t>。依行政執行法</w:t>
      </w:r>
      <w:hyperlink r:id="rId2019" w:anchor="a9" w:history="1">
        <w:r w:rsidR="00BD43D3" w:rsidRPr="00981964">
          <w:rPr>
            <w:rStyle w:val="a5"/>
          </w:rPr>
          <w:t>第九條</w:t>
        </w:r>
      </w:hyperlink>
      <w:r w:rsidR="00203F72" w:rsidRPr="00BD43D3">
        <w:t>第三項</w:t>
      </w:r>
      <w:r w:rsidR="00203F72" w:rsidRPr="00BD43D3">
        <w:t>:</w:t>
      </w:r>
      <w:r w:rsidR="00203F72" w:rsidRPr="00BD43D3">
        <w:t>「行政執行，除法律另有規定外，不因聲明異議而停止執行。但執行機關因必要情形，得依職權或申請停止之。」所以，驅逐出境一但執行，可能對當事人所造成之損失巨大甚且難以弭補。移民</w:t>
      </w:r>
      <w:r w:rsidR="002673A4" w:rsidRPr="00E2576E">
        <w:t>法</w:t>
      </w:r>
      <w:hyperlink r:id="rId2020"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t>雖有</w:t>
      </w:r>
      <w:r w:rsidR="00203F72" w:rsidRPr="00BD43D3">
        <w:t>:</w:t>
      </w:r>
      <w:r w:rsidR="00203F72" w:rsidRPr="00BD43D3">
        <w:t>「受收容人或其配偶、直系親屬、法定代理人、兄弟姊妹，得於七日內向入出國及移民署提出收容異議。」目前對於外國人遭受收容、驅逐出國之處分，可以提出異議，但相關之法令及運作機制應更為具體周延。</w:t>
      </w:r>
    </w:p>
    <w:p w14:paraId="5947572D" w14:textId="77777777" w:rsidR="00953151" w:rsidRPr="00BD43D3" w:rsidRDefault="00447DAE" w:rsidP="00D87D91">
      <w:r w:rsidRPr="00BD43D3">
        <w:t xml:space="preserve">　　</w:t>
      </w:r>
      <w:r w:rsidR="00203F72" w:rsidRPr="00BD43D3">
        <w:t>六、強制驅逐外國人出國之審查會機制之實際成效問題</w:t>
      </w:r>
    </w:p>
    <w:p w14:paraId="20E84EC3" w14:textId="77777777" w:rsidR="00203F72" w:rsidRPr="00BD43D3" w:rsidRDefault="00447DAE" w:rsidP="00D87D91">
      <w:r w:rsidRPr="00BD43D3">
        <w:t xml:space="preserve">　　</w:t>
      </w:r>
      <w:r w:rsidR="00203F72" w:rsidRPr="00BD43D3">
        <w:t>依入出國及移民法第</w:t>
      </w:r>
      <w:hyperlink r:id="rId2021" w:anchor="b36" w:history="1">
        <w:r w:rsidR="00203F72" w:rsidRPr="00E2576E">
          <w:rPr>
            <w:rStyle w:val="a5"/>
            <w:rFonts w:ascii="Times New Roman" w:hAnsi="Times New Roman"/>
          </w:rPr>
          <w:t>三十六</w:t>
        </w:r>
      </w:hyperlink>
      <w:r w:rsidR="00203F72" w:rsidRPr="00BD43D3">
        <w:t>條第三項規定，於強制驅逐外國人出國前得召開審查會，並給予當事人陳述意見之機會。但有些驅逐外國人出境之案件得不須召開審查會，移民法第</w:t>
      </w:r>
      <w:r w:rsidR="00203F72" w:rsidRPr="00BD43D3">
        <w:t>36</w:t>
      </w:r>
      <w:r w:rsidR="00203F72" w:rsidRPr="00BD43D3">
        <w:t>條「但當事人有入出國及移民署依前項規定強制驅逐已取得居留、永久居留許可外國人出國前，應組成審查會審查之，並給予當事人陳述意見之機會。下列情形之一者，得不經審查會審查，逕行強制驅逐出國：一、以書面聲明放棄陳述意見或自願出國。二、經法院於裁判時併宣告驅逐出境。三、依其他法律應限令出國。四、有危害我國利益、公共安全、公共秩序或從事恐怖活動之虞，且情況急迫應即時處分。」</w:t>
      </w:r>
    </w:p>
    <w:p w14:paraId="0B225A85" w14:textId="77777777" w:rsidR="00203F72" w:rsidRPr="00BD43D3" w:rsidRDefault="00447DAE" w:rsidP="00D87D91">
      <w:r w:rsidRPr="00BD43D3">
        <w:t xml:space="preserve">　　</w:t>
      </w:r>
      <w:r w:rsidR="00203F72" w:rsidRPr="00BD43D3">
        <w:t>筆者於</w:t>
      </w:r>
      <w:r w:rsidR="00203F72" w:rsidRPr="00BD43D3">
        <w:t>2012</w:t>
      </w:r>
      <w:r w:rsidR="00203F72" w:rsidRPr="00BD43D3">
        <w:t>年</w:t>
      </w:r>
      <w:r w:rsidR="00203F72" w:rsidRPr="00BD43D3">
        <w:t>11</w:t>
      </w:r>
      <w:r w:rsidR="00203F72" w:rsidRPr="00BD43D3">
        <w:t>月</w:t>
      </w:r>
      <w:r w:rsidR="00203F72" w:rsidRPr="00BD43D3">
        <w:t>5</w:t>
      </w:r>
      <w:r w:rsidR="00203F72" w:rsidRPr="00BD43D3">
        <w:t>日訪談承辦移民業務人員，該員回答</w:t>
      </w:r>
      <w:r w:rsidR="00203F72" w:rsidRPr="00BD43D3">
        <w:t>:</w:t>
      </w:r>
    </w:p>
    <w:p w14:paraId="3FF76553" w14:textId="77777777" w:rsidR="00203F72" w:rsidRPr="00BD43D3" w:rsidRDefault="00447DAE" w:rsidP="00D87D91">
      <w:r w:rsidRPr="00BD43D3">
        <w:t xml:space="preserve">　　</w:t>
      </w:r>
      <w:r w:rsidR="00203F72" w:rsidRPr="00BD43D3">
        <w:t>「審查會就我印象所及，至今只召開過兩次左右。原因就我個人認知就是多一事不如少一事。」</w:t>
      </w:r>
    </w:p>
    <w:p w14:paraId="10F70629" w14:textId="77777777" w:rsidR="00203F72" w:rsidRPr="00BD43D3" w:rsidRDefault="00447DAE" w:rsidP="00D87D91">
      <w:r w:rsidRPr="00BD43D3">
        <w:t xml:space="preserve">　　</w:t>
      </w:r>
      <w:r w:rsidR="00203F72" w:rsidRPr="00BD43D3">
        <w:t>再者，筆者於</w:t>
      </w:r>
      <w:r w:rsidR="00203F72" w:rsidRPr="00BD43D3">
        <w:t>2012</w:t>
      </w:r>
      <w:r w:rsidR="00203F72" w:rsidRPr="00BD43D3">
        <w:t>年</w:t>
      </w:r>
      <w:r w:rsidR="00203F72" w:rsidRPr="00BD43D3">
        <w:t>11</w:t>
      </w:r>
      <w:r w:rsidR="00203F72" w:rsidRPr="00BD43D3">
        <w:t>月</w:t>
      </w:r>
      <w:r w:rsidR="00203F72" w:rsidRPr="00BD43D3">
        <w:t>1</w:t>
      </w:r>
      <w:r w:rsidR="00203F72" w:rsidRPr="00BD43D3">
        <w:t>日</w:t>
      </w:r>
      <w:r w:rsidR="00203F72" w:rsidRPr="00BD43D3">
        <w:t>17</w:t>
      </w:r>
      <w:r w:rsidR="00203F72" w:rsidRPr="00BD43D3">
        <w:t>時電話訪問另一位相關業務承辦員，該員提及：</w:t>
      </w:r>
    </w:p>
    <w:p w14:paraId="6FB400AC" w14:textId="77777777" w:rsidR="00203F72" w:rsidRPr="00BD43D3" w:rsidRDefault="00447DAE" w:rsidP="00D87D91">
      <w:r w:rsidRPr="00BD43D3">
        <w:t xml:space="preserve">　　</w:t>
      </w:r>
      <w:r w:rsidR="00203F72" w:rsidRPr="00BD43D3">
        <w:t>「有關審查會依大陸人民依兩岸關係條例第</w:t>
      </w:r>
      <w:r w:rsidR="00203F72" w:rsidRPr="00BD43D3">
        <w:t>18</w:t>
      </w:r>
      <w:r w:rsidR="00203F72" w:rsidRPr="00BD43D3">
        <w:t>條第二項，外國人士則以移民法第</w:t>
      </w:r>
      <w:r w:rsidR="00203F72" w:rsidRPr="00BD43D3">
        <w:t>36</w:t>
      </w:r>
      <w:r w:rsidR="00203F72" w:rsidRPr="00BD43D3">
        <w:t>條規定辦理。依親居留後有符合強制驅逐者，才需召開。審查會很少召開，其實對於符合召開審查會之案例很少，因為很多案件如果可以以其他規定處理，通常會依其他規定處理。目前依親居留後被強制遣返之案件以賣淫為主。目前實務上一般是逾期停留或居留證有效期內又違法被抓，才會開會限期離境。但因得不經審查會，所以，考量實際情形常不需經審查會，實務機關就不會召開。」</w:t>
      </w:r>
    </w:p>
    <w:p w14:paraId="678AC603" w14:textId="77777777" w:rsidR="00203F72" w:rsidRPr="00BD43D3" w:rsidRDefault="00447DAE" w:rsidP="00D87D91">
      <w:r w:rsidRPr="00BD43D3">
        <w:t xml:space="preserve">　　</w:t>
      </w:r>
      <w:r w:rsidR="00203F72" w:rsidRPr="00BD43D3">
        <w:t>至於召開強制驅逐出國處分之外國人對召開審查會之看法</w:t>
      </w:r>
      <w:r w:rsidR="00203F72" w:rsidRPr="00BD43D3">
        <w:t>?</w:t>
      </w:r>
      <w:r w:rsidR="00203F72" w:rsidRPr="00BD43D3">
        <w:t>筆者於</w:t>
      </w:r>
      <w:r w:rsidR="00203F72" w:rsidRPr="00BD43D3">
        <w:t>2012</w:t>
      </w:r>
      <w:r w:rsidR="00203F72" w:rsidRPr="00BD43D3">
        <w:t>年</w:t>
      </w:r>
      <w:r w:rsidR="00203F72" w:rsidRPr="00BD43D3">
        <w:t>11</w:t>
      </w:r>
      <w:r w:rsidR="00203F72" w:rsidRPr="00BD43D3">
        <w:t>月</w:t>
      </w:r>
      <w:r w:rsidR="00203F72" w:rsidRPr="00BD43D3">
        <w:t>5</w:t>
      </w:r>
      <w:r w:rsidR="00203F72" w:rsidRPr="00BD43D3">
        <w:t>日訪談承辦移民業務人員，該員回答</w:t>
      </w:r>
      <w:r w:rsidR="00203F72" w:rsidRPr="00BD43D3">
        <w:t>:</w:t>
      </w:r>
    </w:p>
    <w:p w14:paraId="51DB40EC" w14:textId="77777777" w:rsidR="00203F72" w:rsidRPr="00BD43D3" w:rsidRDefault="00447DAE" w:rsidP="00D87D91">
      <w:r w:rsidRPr="00BD43D3">
        <w:t xml:space="preserve">　　</w:t>
      </w:r>
      <w:r w:rsidR="00203F72" w:rsidRPr="00BD43D3">
        <w:t>「就我知道，他們也不喜歡我們開審查會，因為他們只想趕快出境回國。」</w:t>
      </w:r>
    </w:p>
    <w:p w14:paraId="635683C9" w14:textId="77777777" w:rsidR="00203F72" w:rsidRPr="00BD43D3" w:rsidRDefault="00447DAE" w:rsidP="00D87D91">
      <w:r w:rsidRPr="00BD43D3">
        <w:t xml:space="preserve">　　</w:t>
      </w:r>
      <w:r w:rsidR="00203F72" w:rsidRPr="00BD43D3">
        <w:t>有關強制驅逐外國人出國審查會之法令規範方面，依強制驅逐外國人出國案件審查會設置要點之規定：審查會置委員十一人至十三人，其中召集人及副召集人各一人，分別由內政部入出國及移民署署長及業務主管副署長兼任；其餘委員，由內政部入出國及移民署遴聘各有關機關、單位主管以上人員及社會公正人士擔任。其中社會公正人士及任一性別委員，均不得少於委員總數三分之一。</w:t>
      </w:r>
    </w:p>
    <w:p w14:paraId="090A9EFF" w14:textId="77777777" w:rsidR="00203F72" w:rsidRPr="00BD43D3" w:rsidRDefault="00447DAE" w:rsidP="00D87D91">
      <w:r w:rsidRPr="00BD43D3">
        <w:t xml:space="preserve">　　</w:t>
      </w:r>
      <w:r w:rsidR="00203F72" w:rsidRPr="00BD43D3">
        <w:t>作者於</w:t>
      </w:r>
      <w:r w:rsidR="00203F72" w:rsidRPr="00BD43D3">
        <w:t>2012</w:t>
      </w:r>
      <w:r w:rsidR="00203F72" w:rsidRPr="00BD43D3">
        <w:t>年</w:t>
      </w:r>
      <w:r w:rsidR="00203F72" w:rsidRPr="00BD43D3">
        <w:t>11</w:t>
      </w:r>
      <w:r w:rsidR="00203F72" w:rsidRPr="00BD43D3">
        <w:t>月</w:t>
      </w:r>
      <w:r w:rsidR="00203F72" w:rsidRPr="00BD43D3">
        <w:t>1</w:t>
      </w:r>
      <w:r w:rsidR="00203F72" w:rsidRPr="00BD43D3">
        <w:t>日</w:t>
      </w:r>
      <w:r w:rsidR="00203F72" w:rsidRPr="00BD43D3">
        <w:t>17</w:t>
      </w:r>
      <w:r w:rsidR="00203F72" w:rsidRPr="00BD43D3">
        <w:t>時電話訪問相關業務承辦員，該員提及</w:t>
      </w:r>
      <w:r w:rsidR="00203F72" w:rsidRPr="00BD43D3">
        <w:t>:</w:t>
      </w:r>
    </w:p>
    <w:p w14:paraId="77826278" w14:textId="77777777" w:rsidR="00203F72" w:rsidRPr="00BD43D3" w:rsidRDefault="00447DAE" w:rsidP="00D87D91">
      <w:r w:rsidRPr="00BD43D3">
        <w:t xml:space="preserve">　　</w:t>
      </w:r>
      <w:r w:rsidR="00203F72" w:rsidRPr="00BD43D3">
        <w:t>「目前審查會之成員除了移民署裡面之成員，還有一些學者專家。通常審查會之召開，是由移民署專一隊簽請移民署副署長主持會議召開，若對於審查會決議遣返之不服，可以提出異議。通常委員在召開會議審查時，與會人員會針對有小孩、有家庭者特別詳加考慮，所以就我所知幾乎沒有外國人士提出異議。」</w:t>
      </w:r>
    </w:p>
    <w:p w14:paraId="60087A85" w14:textId="77777777" w:rsidR="00953151" w:rsidRPr="00BD43D3" w:rsidRDefault="00447DAE" w:rsidP="00D87D91">
      <w:r w:rsidRPr="00BD43D3">
        <w:t xml:space="preserve">　　</w:t>
      </w:r>
      <w:r w:rsidR="00203F72" w:rsidRPr="00BD43D3">
        <w:t>強制驅逐外國人出國審查會之召開，係給予外國人受強制驅逐出國前，一個當場陳述意見之機會，主管之行政機關也可以藉由審查會避免錯誤之處分，所以建議應儘量召開強制驅逐外國人出國審查會。</w:t>
      </w:r>
    </w:p>
    <w:p w14:paraId="405133EE" w14:textId="77777777" w:rsidR="00515D85" w:rsidRDefault="00515D85" w:rsidP="004B3827">
      <w:pPr>
        <w:jc w:val="right"/>
        <w:rPr>
          <w:rFonts w:ascii="新細明體" w:hAnsi="新細明體"/>
        </w:rPr>
      </w:pPr>
      <w:r w:rsidRPr="0026266A">
        <w:rPr>
          <w:rFonts w:hint="eastAsia"/>
        </w:rPr>
        <w:t>。。。。。。。。。。。。。。。。。。。。。。。。。</w:t>
      </w:r>
      <w:hyperlink w:anchor="a目次36" w:history="1">
        <w:r>
          <w:rPr>
            <w:rStyle w:val="a5"/>
            <w:sz w:val="18"/>
          </w:rPr>
          <w:t>回目次</w:t>
        </w:r>
      </w:hyperlink>
      <w:r w:rsidR="00E91F89">
        <w:rPr>
          <w:rFonts w:ascii="新細明體" w:hAnsi="新細明體"/>
          <w:color w:val="808000"/>
        </w:rPr>
        <w:t>〉〉</w:t>
      </w:r>
    </w:p>
    <w:p w14:paraId="064215B8" w14:textId="77777777" w:rsidR="00515D85" w:rsidRDefault="00515D85" w:rsidP="00D87D91">
      <w:pPr>
        <w:pStyle w:val="HTML"/>
      </w:pPr>
    </w:p>
    <w:p w14:paraId="3047E8AB" w14:textId="77777777" w:rsidR="00953151" w:rsidRDefault="00203F72" w:rsidP="00767F37">
      <w:pPr>
        <w:pStyle w:val="2"/>
      </w:pPr>
      <w:bookmarkStart w:id="97" w:name="_伍、結論與建議_2"/>
      <w:bookmarkEnd w:id="97"/>
      <w:r w:rsidRPr="00A53581">
        <w:t>伍、結論與建議</w:t>
      </w:r>
    </w:p>
    <w:p w14:paraId="51B5C422" w14:textId="77777777" w:rsidR="00953151" w:rsidRPr="00515D85" w:rsidRDefault="00447DAE" w:rsidP="00D87D91">
      <w:r w:rsidRPr="00515D85">
        <w:t xml:space="preserve">　　</w:t>
      </w:r>
      <w:r w:rsidR="00203F72" w:rsidRPr="00515D85">
        <w:t>強制驅逐出國其涉及外國人人身自由、遷徙自由、婚姻家庭權、工作權與職業自由等，作為文明國家，對外國人該等憲法所保障之權力，應有義務達到文明國家最低標準或最低要求。故對外國人驅逐出國、收容處分之依據，應符合法律明確性、比例原則、不濫用裁量權、考量人道立場等</w:t>
      </w:r>
      <w:r w:rsidR="00203F72" w:rsidRPr="00515D85">
        <w:footnoteReference w:id="743"/>
      </w:r>
      <w:r w:rsidR="00203F72" w:rsidRPr="00515D85">
        <w:t>。但目前台灣對於外國人權之尊重，並無法與國人相同，例如企業在引進外籍勞工時，通常因經濟或成本因素，難免存在和本國勞工不同或較低之待遇，又如移民署配合檢察官，對外國人做收容、延長收容之處分，其目的常常係為了方便司法機關之偵辦，俾使外國人能因應司法機關「隨傳隨到」之要求，而非為了收容之必要性</w:t>
      </w:r>
      <w:r w:rsidR="00203F72" w:rsidRPr="00515D85">
        <w:footnoteReference w:id="744"/>
      </w:r>
      <w:r w:rsidR="00203F72" w:rsidRPr="00515D85">
        <w:t>。又目前對外國人執行收容、強制驅離作為，並未採取法官保留、提審，這部分有待司法機關之重</w:t>
      </w:r>
      <w:r w:rsidR="003E240E">
        <w:t>視</w:t>
      </w:r>
      <w:r w:rsidR="00203F72" w:rsidRPr="00515D85">
        <w:t>及努力。基於上述之論點，雖然理論上國人與外國人享有相同之人權。但在實務上，台灣社會對外國人人權之尊重與保障，尚有相當大之精進空間。</w:t>
      </w:r>
    </w:p>
    <w:p w14:paraId="4532284A" w14:textId="77777777" w:rsidR="00953151" w:rsidRPr="00515D85" w:rsidRDefault="00447DAE" w:rsidP="00D87D91">
      <w:r w:rsidRPr="00515D85">
        <w:t xml:space="preserve">　　</w:t>
      </w:r>
      <w:r w:rsidR="00203F72" w:rsidRPr="00515D85">
        <w:t>有關於</w:t>
      </w:r>
      <w:r w:rsidR="00203F72" w:rsidRPr="00515D85">
        <w:t>Diallo</w:t>
      </w:r>
      <w:r w:rsidR="00203F72" w:rsidRPr="00515D85">
        <w:t>驅逐出國案例對台灣之啟示部分，如下所述。</w:t>
      </w:r>
    </w:p>
    <w:p w14:paraId="304073DA" w14:textId="77777777" w:rsidR="00953151" w:rsidRPr="00515D85" w:rsidRDefault="00447DAE" w:rsidP="00D87D91">
      <w:r w:rsidRPr="00515D85">
        <w:t xml:space="preserve">　　</w:t>
      </w:r>
      <w:r w:rsidR="00203F72" w:rsidRPr="00515D85">
        <w:t>一、強制驅逐出國處分宜經由正式行政聽證之方式為佳，以保障當事人之行政程序基本權利</w:t>
      </w:r>
    </w:p>
    <w:p w14:paraId="33A94B49" w14:textId="77777777" w:rsidR="00953151" w:rsidRPr="00515D85" w:rsidRDefault="00447DAE" w:rsidP="00D87D91">
      <w:r w:rsidRPr="00515D85">
        <w:t xml:space="preserve">　　</w:t>
      </w:r>
      <w:r w:rsidR="00203F72" w:rsidRPr="00515D85">
        <w:t>由於強制驅逐出國處分強烈地干預當事人之相關自由權利，本書認為，目前，強制驅逐出國處分之機制，特別是假若外國人尚未取得居留，或尚未取得永久居留許可者，不足以保障當事人之行政程序基本權利；強制驅逐出國處分審查會啟動之時機，僅僅限於係為強制驅逐已取得居留或永久居留許可之外國人出國前，應召開審查會。假若，外國人尚未取得居留，或尚未取得永久居留許可，則不適用此種審查會機制。假若，強制驅逐出國處分之對象，係為外國人尚未取得居留，或尚未取得永久居留許可者，本書主張，宜全面改為正式之行政聽證為佳，以保障當事人之行政程序基本權利。台灣目前之移民強制驅逐出國處分法制</w:t>
      </w:r>
      <w:r w:rsidR="00203F72" w:rsidRPr="00515D85">
        <w:footnoteReference w:id="745"/>
      </w:r>
      <w:r w:rsidR="00203F72" w:rsidRPr="00515D85">
        <w:t>，則尚未全面建構正式之行政聽證機制。</w:t>
      </w:r>
    </w:p>
    <w:p w14:paraId="00BA083D" w14:textId="77777777" w:rsidR="00953151" w:rsidRPr="00515D85" w:rsidRDefault="00447DAE" w:rsidP="00D87D91">
      <w:r w:rsidRPr="00515D85">
        <w:t xml:space="preserve">　　</w:t>
      </w:r>
      <w:r w:rsidR="00203F72" w:rsidRPr="00515D85">
        <w:t>依據</w:t>
      </w:r>
      <w:r w:rsidR="00162A78" w:rsidRPr="00687BCD">
        <w:t>入出國及移民法</w:t>
      </w:r>
      <w:hyperlink r:id="rId2022" w:anchor="b36" w:history="1">
        <w:r w:rsidR="00162A78" w:rsidRPr="00845281">
          <w:rPr>
            <w:rStyle w:val="a5"/>
            <w:rFonts w:ascii="Times New Roman" w:eastAsia="新細明體" w:hAnsi="Times New Roman"/>
          </w:rPr>
          <w:t>第</w:t>
        </w:r>
        <w:r w:rsidR="00162A78" w:rsidRPr="00845281">
          <w:rPr>
            <w:rStyle w:val="a5"/>
            <w:rFonts w:ascii="Times New Roman" w:eastAsia="新細明體" w:hAnsi="Times New Roman"/>
          </w:rPr>
          <w:t>36</w:t>
        </w:r>
        <w:r w:rsidR="00162A78" w:rsidRPr="00845281">
          <w:rPr>
            <w:rStyle w:val="a5"/>
            <w:rFonts w:ascii="Times New Roman" w:eastAsia="新細明體" w:hAnsi="Times New Roman"/>
          </w:rPr>
          <w:t>條</w:t>
        </w:r>
      </w:hyperlink>
      <w:r w:rsidR="00203F72" w:rsidRPr="00515D85">
        <w:t>（強制驅逐出國之情形）第</w:t>
      </w:r>
      <w:r w:rsidR="00203F72" w:rsidRPr="00515D85">
        <w:t>4</w:t>
      </w:r>
      <w:r w:rsidR="00203F72" w:rsidRPr="00515D85">
        <w:t>項之規定，入出國及移民署依規定強制驅逐外國人出國前，應給予當事人陳述意見之機會。然而，陳述意見之機會之機制，係屬非正式行政聽證之程序，本書認為，從程序基本權之角度而言，保護力道不足，故本書主張，假若，強制驅逐出國處分之對象，係為外國人尚未取得居留，或尚未取得永久居留許可者，宜全面改為正式之行政聽證為佳，以保障當事人之行政程序基本權利，陳述意見之機會之機制，仍有非常大的進步空間。</w:t>
      </w:r>
    </w:p>
    <w:p w14:paraId="7BDAC208" w14:textId="77777777" w:rsidR="00203F72" w:rsidRPr="00515D85" w:rsidRDefault="00447DAE" w:rsidP="00D87D91">
      <w:r w:rsidRPr="00515D85">
        <w:t xml:space="preserve">　　</w:t>
      </w:r>
      <w:r w:rsidR="00203F72" w:rsidRPr="00515D85">
        <w:t>二、台灣宜建構一套國際法上之救濟機制，俾利外國政府可向國際法院，或外國人可向人權</w:t>
      </w:r>
      <w:r w:rsidR="00203F72" w:rsidRPr="00515D85">
        <w:t>(</w:t>
      </w:r>
      <w:r w:rsidR="00203F72" w:rsidRPr="00515D85">
        <w:t>事務</w:t>
      </w:r>
      <w:r w:rsidR="00203F72" w:rsidRPr="00515D85">
        <w:t>)</w:t>
      </w:r>
      <w:r w:rsidR="00203F72" w:rsidRPr="00515D85">
        <w:t>委員會</w:t>
      </w:r>
      <w:r w:rsidR="00203F72" w:rsidRPr="00515D85">
        <w:t>(HRC)</w:t>
      </w:r>
      <w:r w:rsidR="00203F72" w:rsidRPr="00515D85">
        <w:t>提出救濟</w:t>
      </w:r>
      <w:r w:rsidR="00203F72" w:rsidRPr="00515D85">
        <w:t>(</w:t>
      </w:r>
      <w:r w:rsidR="00203F72" w:rsidRPr="00515D85">
        <w:t>申訴</w:t>
      </w:r>
      <w:r w:rsidR="00203F72" w:rsidRPr="00515D85">
        <w:t>)</w:t>
      </w:r>
      <w:r w:rsidR="00203F72" w:rsidRPr="00515D85">
        <w:t>之途徑</w:t>
      </w:r>
    </w:p>
    <w:p w14:paraId="12529DC1" w14:textId="77777777" w:rsidR="00953151" w:rsidRPr="00515D85" w:rsidRDefault="00447DAE" w:rsidP="00D87D91">
      <w:r w:rsidRPr="00515D85">
        <w:t xml:space="preserve">　　</w:t>
      </w:r>
      <w:r w:rsidR="00203F72" w:rsidRPr="00515D85">
        <w:t>台灣宜思考如何就涉及重大移民管理</w:t>
      </w:r>
      <w:r w:rsidR="00203F72" w:rsidRPr="00515D85">
        <w:t>(</w:t>
      </w:r>
      <w:r w:rsidR="00203F72" w:rsidRPr="00515D85">
        <w:t>含強制驅逐出國處分</w:t>
      </w:r>
      <w:r w:rsidR="00203F72" w:rsidRPr="00515D85">
        <w:t>)</w:t>
      </w:r>
      <w:r w:rsidR="00203F72" w:rsidRPr="00515D85">
        <w:t>之事務，建構一套國際法上之救濟機制，俾利外國政府可向國際法院，或外國人可向人權</w:t>
      </w:r>
      <w:r w:rsidR="00203F72" w:rsidRPr="00515D85">
        <w:t>(</w:t>
      </w:r>
      <w:r w:rsidR="00203F72" w:rsidRPr="00515D85">
        <w:t>事務</w:t>
      </w:r>
      <w:r w:rsidR="00203F72" w:rsidRPr="00515D85">
        <w:t>)</w:t>
      </w:r>
      <w:r w:rsidR="00203F72" w:rsidRPr="00515D85">
        <w:t>委員會</w:t>
      </w:r>
      <w:r w:rsidR="00203F72" w:rsidRPr="00515D85">
        <w:t>(HRC)</w:t>
      </w:r>
      <w:r w:rsidR="00203F72" w:rsidRPr="00515D85">
        <w:t>提出救濟</w:t>
      </w:r>
      <w:r w:rsidR="00203F72" w:rsidRPr="00515D85">
        <w:t>(</w:t>
      </w:r>
      <w:r w:rsidR="00203F72" w:rsidRPr="00515D85">
        <w:t>申訴</w:t>
      </w:r>
      <w:r w:rsidR="00203F72" w:rsidRPr="00515D85">
        <w:t>)</w:t>
      </w:r>
      <w:r w:rsidR="00203F72" w:rsidRPr="00515D85">
        <w:t>之途徑。亦即，令外國政府或外國人有機會透由國際仲裁機制控告台灣政府</w:t>
      </w:r>
      <w:r w:rsidR="00203F72" w:rsidRPr="00515D85">
        <w:t>(ROC)</w:t>
      </w:r>
      <w:r w:rsidR="00203F72" w:rsidRPr="00515D85">
        <w:t>，並請求國際仲裁機構作出公正之裁判。</w:t>
      </w:r>
    </w:p>
    <w:p w14:paraId="067AA2E6" w14:textId="77777777" w:rsidR="00203F72" w:rsidRPr="00515D85" w:rsidRDefault="00447DAE" w:rsidP="00D87D91">
      <w:r w:rsidRPr="00515D85">
        <w:t xml:space="preserve">　　</w:t>
      </w:r>
      <w:r w:rsidR="00203F72" w:rsidRPr="00515D85">
        <w:t>三、就台灣而論，移民行政機關為了確保執行驅逐出國之命令，所裁處之收容處分，似乎全部宜經由法院裁定為妥</w:t>
      </w:r>
      <w:r w:rsidR="00203F72" w:rsidRPr="00515D85">
        <w:t xml:space="preserve"> </w:t>
      </w:r>
    </w:p>
    <w:p w14:paraId="29C8045C" w14:textId="77777777" w:rsidR="00203F72" w:rsidRPr="00515D85" w:rsidRDefault="00447DAE" w:rsidP="00D87D91">
      <w:r w:rsidRPr="00515D85">
        <w:t xml:space="preserve">　　</w:t>
      </w:r>
      <w:r w:rsidR="00203F72" w:rsidRPr="00515D85">
        <w:t>約從</w:t>
      </w:r>
      <w:r w:rsidR="00203F72" w:rsidRPr="00515D85">
        <w:t>2005</w:t>
      </w:r>
      <w:r w:rsidR="00203F72" w:rsidRPr="00515D85">
        <w:t>年左右，位於日內瓦之國際法委員會，開始編纂涉及如何保障遭驅逐出國外國人人權之國際法草案，上開公約草案針對於「在驅逐出國過程中，被收容之外國人之人權（</w:t>
      </w:r>
      <w:r w:rsidR="00203F72" w:rsidRPr="00515D85">
        <w:t>the human rights of an alien being detained</w:t>
      </w:r>
      <w:r w:rsidR="00203F72" w:rsidRPr="00515D85">
        <w:t>）應被尊重」之部分，草擬以下之內容：</w:t>
      </w:r>
    </w:p>
    <w:p w14:paraId="795BF6BD" w14:textId="77777777" w:rsidR="00203F72" w:rsidRPr="00515D85" w:rsidRDefault="00447DAE" w:rsidP="00D87D91">
      <w:r w:rsidRPr="00515D85">
        <w:t xml:space="preserve">　　</w:t>
      </w:r>
      <w:r w:rsidR="00203F72" w:rsidRPr="00515D85">
        <w:t>1.(a)</w:t>
      </w:r>
      <w:r w:rsidR="00203F72" w:rsidRPr="00515D85">
        <w:t>為了將外國人驅逐出國之目的而收容，應在適當地點執行，並應與被判處剝奪自由刑罰之人之拘禁地點分離，同時，應尊重當事人之人權；</w:t>
      </w:r>
    </w:p>
    <w:p w14:paraId="5815AF23" w14:textId="77777777" w:rsidR="00203F72" w:rsidRPr="00515D85" w:rsidRDefault="00447DAE" w:rsidP="00D87D91">
      <w:r w:rsidRPr="00515D85">
        <w:t xml:space="preserve">　　</w:t>
      </w:r>
      <w:r w:rsidR="00203F72" w:rsidRPr="00515D85">
        <w:t>(b)</w:t>
      </w:r>
      <w:r w:rsidR="00203F72" w:rsidRPr="00515D85">
        <w:t>收容已被驅逐出國或正在遭受驅逐出國處分之外國人，不得具有懲罰（</w:t>
      </w:r>
      <w:r w:rsidR="00203F72" w:rsidRPr="00515D85">
        <w:t>punitive</w:t>
      </w:r>
      <w:r w:rsidR="00203F72" w:rsidRPr="00515D85">
        <w:t>）之色彩；</w:t>
      </w:r>
    </w:p>
    <w:p w14:paraId="52ECC2EE" w14:textId="77777777" w:rsidR="00203F72" w:rsidRPr="00515D85" w:rsidRDefault="00447DAE" w:rsidP="00D87D91">
      <w:r w:rsidRPr="00515D85">
        <w:t xml:space="preserve">　　</w:t>
      </w:r>
      <w:r w:rsidR="00203F72" w:rsidRPr="00515D85">
        <w:t>2.(a)</w:t>
      </w:r>
      <w:r w:rsidR="00203F72" w:rsidRPr="00515D85">
        <w:t>收容期限不得毫無限制，收容應以為執行驅逐出國處分，合理所需之一段期間為限，任何超額期限之收容，均應予以禁止（</w:t>
      </w:r>
      <w:r w:rsidR="00203F72" w:rsidRPr="00515D85">
        <w:t>all detention of excessive duration is prohibited</w:t>
      </w:r>
      <w:r w:rsidR="00203F72" w:rsidRPr="00515D85">
        <w:t>）；</w:t>
      </w:r>
    </w:p>
    <w:p w14:paraId="5FFF0FE8" w14:textId="77777777" w:rsidR="00203F72" w:rsidRPr="00515D85" w:rsidRDefault="00447DAE" w:rsidP="00D87D91">
      <w:r w:rsidRPr="00515D85">
        <w:t xml:space="preserve">　　</w:t>
      </w:r>
      <w:r w:rsidR="00203F72" w:rsidRPr="00515D85">
        <w:t>(b)</w:t>
      </w:r>
      <w:r w:rsidR="00203F72" w:rsidRPr="00515D85">
        <w:t>延長收容之期限，僅能由法院（</w:t>
      </w:r>
      <w:r w:rsidR="00203F72" w:rsidRPr="00515D85">
        <w:t>only by a court</w:t>
      </w:r>
      <w:r w:rsidR="00203F72" w:rsidRPr="00515D85">
        <w:t>），或被授權而可行使司法職權之人裁決（</w:t>
      </w:r>
      <w:r w:rsidR="00203F72" w:rsidRPr="00515D85">
        <w:t>a person authorized to exercise judicial power</w:t>
      </w:r>
      <w:r w:rsidR="00203F72" w:rsidRPr="00515D85">
        <w:t>）；</w:t>
      </w:r>
    </w:p>
    <w:p w14:paraId="57122340" w14:textId="77777777" w:rsidR="00203F72" w:rsidRPr="00515D85" w:rsidRDefault="00447DAE" w:rsidP="00D87D91">
      <w:r w:rsidRPr="00515D85">
        <w:t xml:space="preserve">　　</w:t>
      </w:r>
      <w:r w:rsidR="00203F72" w:rsidRPr="00515D85">
        <w:t>3.(a)</w:t>
      </w:r>
      <w:r w:rsidR="00203F72" w:rsidRPr="00515D85">
        <w:t>收容外國人之決定，應根據法律規定之明確標準，按期定時予以審查；</w:t>
      </w:r>
    </w:p>
    <w:p w14:paraId="6DDF44A2" w14:textId="77777777" w:rsidR="00953151" w:rsidRPr="00515D85" w:rsidRDefault="00447DAE" w:rsidP="00D87D91">
      <w:r w:rsidRPr="00515D85">
        <w:t xml:space="preserve">　　</w:t>
      </w:r>
      <w:r w:rsidR="00203F72" w:rsidRPr="00515D85">
        <w:t>(b)</w:t>
      </w:r>
      <w:r w:rsidR="00203F72" w:rsidRPr="00515D85">
        <w:t>假若驅逐出國之處分，因無法歸責（因）於當事人（係指遭受驅逐出國處分者）之理由（</w:t>
      </w:r>
      <w:r w:rsidR="00203F72" w:rsidRPr="00515D85">
        <w:t>not attribu</w:t>
      </w:r>
      <w:r w:rsidR="00162A78">
        <w:rPr>
          <w:rFonts w:hint="eastAsia"/>
        </w:rPr>
        <w:t xml:space="preserve"> </w:t>
      </w:r>
      <w:r w:rsidR="00B03E84" w:rsidRPr="00515D85">
        <w:t>table</w:t>
      </w:r>
      <w:r w:rsidR="00162A78">
        <w:rPr>
          <w:rFonts w:hint="eastAsia"/>
        </w:rPr>
        <w:t xml:space="preserve"> </w:t>
      </w:r>
      <w:r w:rsidR="00203F72" w:rsidRPr="00515D85">
        <w:t>to the person concerned</w:t>
      </w:r>
      <w:r w:rsidR="00203F72" w:rsidRPr="00515D85">
        <w:t>），而不能被執行時，應停止對於外國人之收容（</w:t>
      </w:r>
      <w:r w:rsidR="00203F72" w:rsidRPr="00515D85">
        <w:t>detention shall end</w:t>
      </w:r>
      <w:r w:rsidR="00203F72" w:rsidRPr="00515D85">
        <w:t>）；</w:t>
      </w:r>
    </w:p>
    <w:p w14:paraId="2958FAC2" w14:textId="77777777" w:rsidR="00203F72" w:rsidRPr="00515D85" w:rsidRDefault="00447DAE" w:rsidP="00D87D91">
      <w:r w:rsidRPr="00515D85">
        <w:t xml:space="preserve">　　</w:t>
      </w:r>
      <w:r w:rsidR="00203F72" w:rsidRPr="00515D85">
        <w:t>在國際法新發展趨勢之部分，強制收容是否須經由法院決定，目前聯合國國際法委員會之草案，係收容之初，尚無須經由法院裁定，但延長收容之期限，則必須經由法院（</w:t>
      </w:r>
      <w:r w:rsidR="00203F72" w:rsidRPr="00515D85">
        <w:t>only by a court</w:t>
      </w:r>
      <w:r w:rsidR="00203F72" w:rsidRPr="00515D85">
        <w:t>），或被授權而可行使司法職權之人裁決（</w:t>
      </w:r>
      <w:r w:rsidR="00203F72" w:rsidRPr="00515D85">
        <w:t>a person authorized to exercise judicial power</w:t>
      </w:r>
      <w:r w:rsidR="00203F72" w:rsidRPr="00515D85">
        <w:t>）。不過，本書之看法，比較進步及理想之作法，係收容之初，即應經由法院（</w:t>
      </w:r>
      <w:r w:rsidR="00203F72" w:rsidRPr="00515D85">
        <w:t>only by a court</w:t>
      </w:r>
      <w:r w:rsidR="00203F72" w:rsidRPr="00515D85">
        <w:t>）裁決為佳。台灣目前之收容法制，尚無須經由法院裁定，似容有再精進之空間，以符合台灣憲法</w:t>
      </w:r>
      <w:hyperlink r:id="rId2023" w:anchor="a8" w:history="1">
        <w:r w:rsidR="001F6A1B" w:rsidRPr="001F6A1B">
          <w:rPr>
            <w:rStyle w:val="a5"/>
          </w:rPr>
          <w:t>第8條</w:t>
        </w:r>
      </w:hyperlink>
      <w:r w:rsidR="00203F72" w:rsidRPr="00515D85">
        <w:t>所揭示的法官保留原則。</w:t>
      </w:r>
    </w:p>
    <w:p w14:paraId="55989A59" w14:textId="77777777" w:rsidR="00953151" w:rsidRPr="00515D85" w:rsidRDefault="00447DAE" w:rsidP="00D87D91">
      <w:r w:rsidRPr="00515D85">
        <w:t xml:space="preserve">　　</w:t>
      </w:r>
      <w:r w:rsidR="00203F72" w:rsidRPr="00515D85">
        <w:t>在外國立法例方面，先進民主國家對於外國人所進行之移民收容處分，比較偏向於須經由法院決定，玆以</w:t>
      </w:r>
      <w:r w:rsidR="00203F72" w:rsidRPr="00515D85">
        <w:t>2004</w:t>
      </w:r>
      <w:r w:rsidR="00203F72" w:rsidRPr="00515D85">
        <w:t>年德國居留法</w:t>
      </w:r>
      <w:r w:rsidR="00203F72" w:rsidRPr="00515D85">
        <w:t>(Residence Act)</w:t>
      </w:r>
      <w:r w:rsidR="00203F72" w:rsidRPr="00515D85">
        <w:footnoteReference w:id="746"/>
      </w:r>
      <w:r w:rsidR="00203F72" w:rsidRPr="00515D85">
        <w:t>為例，根據德國居留法第</w:t>
      </w:r>
      <w:r w:rsidR="00203F72" w:rsidRPr="00515D85">
        <w:t>62</w:t>
      </w:r>
      <w:r w:rsidR="00203F72" w:rsidRPr="00515D85">
        <w:t>條</w:t>
      </w:r>
      <w:r w:rsidR="00203F72" w:rsidRPr="00515D85">
        <w:footnoteReference w:id="747"/>
      </w:r>
      <w:r w:rsidR="00203F72" w:rsidRPr="00515D85">
        <w:t>之規範，為了順利執行驅逐出國之處分，對於外國人之收容，可分為三大類：</w:t>
      </w:r>
      <w:r w:rsidR="00203F72" w:rsidRPr="00515D85">
        <w:t>1</w:t>
      </w:r>
      <w:r w:rsidR="00203F72" w:rsidRPr="00515D85">
        <w:t>、準備性收容</w:t>
      </w:r>
      <w:r w:rsidR="00203F72" w:rsidRPr="00515D85">
        <w:t>(the preparation of deportation)</w:t>
      </w:r>
      <w:r w:rsidR="00203F72" w:rsidRPr="00515D85">
        <w:t>；</w:t>
      </w:r>
      <w:r w:rsidR="00203F72" w:rsidRPr="00515D85">
        <w:t>2</w:t>
      </w:r>
      <w:r w:rsidR="00203F72" w:rsidRPr="00515D85">
        <w:t>、確保性收容</w:t>
      </w:r>
      <w:r w:rsidR="00203F72" w:rsidRPr="00515D85">
        <w:t>(for the purpose of safeguarding deportation)</w:t>
      </w:r>
      <w:r w:rsidR="00203F72" w:rsidRPr="00515D85">
        <w:t>；</w:t>
      </w:r>
      <w:r w:rsidR="00203F72" w:rsidRPr="00515D85">
        <w:t>3</w:t>
      </w:r>
      <w:r w:rsidR="00203F72" w:rsidRPr="00515D85">
        <w:t>、暫時性收容</w:t>
      </w:r>
      <w:r w:rsidR="00203F72" w:rsidRPr="00515D85">
        <w:t>(temporary custody )</w:t>
      </w:r>
      <w:r w:rsidR="00203F72" w:rsidRPr="00515D85">
        <w:t>，以上</w:t>
      </w:r>
      <w:r w:rsidR="00203F72" w:rsidRPr="00515D85">
        <w:t>3</w:t>
      </w:r>
      <w:r w:rsidR="00203F72" w:rsidRPr="00515D85">
        <w:t>種之收容，均須經由法院裁定。是以，對於外國人所裁處之收容處分，似乎，宜經由法院裁定為妥，俾利保障外國人之人身自由。</w:t>
      </w:r>
    </w:p>
    <w:p w14:paraId="5A66392C" w14:textId="77777777" w:rsidR="00953151" w:rsidRPr="00515D85" w:rsidRDefault="00447DAE" w:rsidP="00D87D91">
      <w:r w:rsidRPr="00515D85">
        <w:t xml:space="preserve">　　</w:t>
      </w:r>
      <w:r w:rsidR="00203F72" w:rsidRPr="00515D85">
        <w:t>司法院釋字</w:t>
      </w:r>
      <w:hyperlink r:id="rId2024"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【受驅逐出國外國人之收容案】指出</w:t>
      </w:r>
      <w:r w:rsidR="00203F72" w:rsidRPr="00515D85">
        <w:footnoteReference w:id="748"/>
      </w:r>
      <w:r w:rsidR="00203F72" w:rsidRPr="00515D85">
        <w:t>，惟考量暫時收容期間不宜過長，避免過度幹預受暫時收容人之人身自由，並衡酌入出國及移民署現行作業實務，約百分之七十之受收容人可於十五日內遣送出國（入出國及移民署一</w:t>
      </w:r>
      <w:r w:rsidR="007F3288">
        <w:t>0</w:t>
      </w:r>
      <w:r w:rsidR="00203F72" w:rsidRPr="00515D85">
        <w:t>二年一月九日移署專一蓮字第一</w:t>
      </w:r>
      <w:r w:rsidR="007F3288">
        <w:t>0</w:t>
      </w:r>
      <w:r w:rsidR="00203F72" w:rsidRPr="00515D85">
        <w:t>二</w:t>
      </w:r>
      <w:r w:rsidR="007F3288">
        <w:t>00</w:t>
      </w:r>
      <w:r w:rsidR="00203F72" w:rsidRPr="00515D85">
        <w:t>一一四五七號函參照）等情，是得由該署處分暫時收容之期間，其上限不得超過十五日。</w:t>
      </w:r>
    </w:p>
    <w:p w14:paraId="1EAC3BF5" w14:textId="77777777" w:rsidR="00953151" w:rsidRPr="00515D85" w:rsidRDefault="00447DAE" w:rsidP="00D87D91">
      <w:r w:rsidRPr="00515D85">
        <w:t xml:space="preserve">　　</w:t>
      </w:r>
      <w:r w:rsidR="00203F72" w:rsidRPr="00515D85">
        <w:t>依據司法院釋字</w:t>
      </w:r>
      <w:hyperlink r:id="rId2025"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上述之見解，亦即，收容之日數，如在十五日之內，則入出國及移民署有權力自行裁處收容處分，無須經過法院的審查，本書認為，此與憲法人身自由的保障精神，有所不符。憲</w:t>
      </w:r>
      <w:r w:rsidR="00F84373" w:rsidRPr="00A53581">
        <w:rPr>
          <w:rFonts w:ascii="新細明體" w:hAnsi="新細明體" w:hint="eastAsia"/>
          <w:kern w:val="0"/>
        </w:rPr>
        <w:t>法</w:t>
      </w:r>
      <w:hyperlink r:id="rId2026" w:anchor="a8" w:history="1">
        <w:r w:rsidR="00F84373" w:rsidRPr="00F84373">
          <w:rPr>
            <w:rStyle w:val="a5"/>
            <w:rFonts w:eastAsia="新細明體" w:hint="eastAsia"/>
            <w:kern w:val="0"/>
          </w:rPr>
          <w:t>第八條</w:t>
        </w:r>
      </w:hyperlink>
      <w:r w:rsidR="00203F72" w:rsidRPr="00515D85">
        <w:t>第一項即明示：「人民身體之自由應予保障。除現行犯之逮捕由法律另定外，非經司法或警察機關依法定程序，不得逮捕拘禁。非由法院依法定程序，不得審問處罰。非依法定程序之逮捕、拘禁、審問、處罰，得拒絕之。」根據此種之精神，收容之日數，如在十五日之內，本書主張，入出國及移民署並沒有權力自行裁處收容處分，亦應須經過法院的審查為宜。</w:t>
      </w:r>
    </w:p>
    <w:p w14:paraId="5084D9DB" w14:textId="77777777" w:rsidR="00203F72" w:rsidRPr="00515D85" w:rsidRDefault="00447DAE" w:rsidP="00D87D91">
      <w:r w:rsidRPr="00515D85">
        <w:t xml:space="preserve">　　</w:t>
      </w:r>
      <w:r w:rsidR="00203F72" w:rsidRPr="00515D85">
        <w:t>此外，本書整理司法院釋字</w:t>
      </w:r>
      <w:hyperlink r:id="rId2027"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部分不同意見書之內容，如下所述</w:t>
      </w:r>
      <w:r w:rsidR="00203F72" w:rsidRPr="00515D85">
        <w:footnoteReference w:id="749"/>
      </w:r>
      <w:r w:rsidR="00203F72" w:rsidRPr="00515D85">
        <w:t>：</w:t>
      </w:r>
    </w:p>
    <w:p w14:paraId="13A674B6" w14:textId="77777777" w:rsidR="00203F72" w:rsidRPr="00515D85" w:rsidRDefault="00E60AF2" w:rsidP="00D87D91">
      <w:r w:rsidRPr="00515D85">
        <w:rPr>
          <w:rFonts w:hint="eastAsia"/>
        </w:rPr>
        <w:t xml:space="preserve">　　</w:t>
      </w:r>
      <w:r w:rsidRPr="00515D85">
        <w:rPr>
          <w:rFonts w:hint="eastAsia"/>
        </w:rPr>
        <w:t>1</w:t>
      </w:r>
      <w:r w:rsidRPr="00515D85">
        <w:rPr>
          <w:rFonts w:hint="eastAsia"/>
        </w:rPr>
        <w:t>、</w:t>
      </w:r>
      <w:r w:rsidR="00203F72" w:rsidRPr="00515D85">
        <w:t>憲</w:t>
      </w:r>
      <w:r w:rsidR="00F84373" w:rsidRPr="00A53581">
        <w:rPr>
          <w:rFonts w:ascii="新細明體" w:hAnsi="新細明體" w:hint="eastAsia"/>
          <w:kern w:val="0"/>
        </w:rPr>
        <w:t>法</w:t>
      </w:r>
      <w:hyperlink r:id="rId2028" w:anchor="a8" w:history="1">
        <w:r w:rsidR="00F84373" w:rsidRPr="00F84373">
          <w:rPr>
            <w:rStyle w:val="a5"/>
            <w:rFonts w:eastAsia="新細明體" w:hint="eastAsia"/>
            <w:kern w:val="0"/>
          </w:rPr>
          <w:t>第八條</w:t>
        </w:r>
      </w:hyperlink>
      <w:r w:rsidR="00203F72" w:rsidRPr="00515D85">
        <w:t>之明文，並無類似此種以十五日為上限之「合理作業期間」，故因遣送作業所需「至長十五天」暫時收容之論述違憲</w:t>
      </w:r>
      <w:r w:rsidR="00203F72" w:rsidRPr="00515D85">
        <w:footnoteReference w:id="750"/>
      </w:r>
      <w:r w:rsidR="00203F72" w:rsidRPr="00515D85">
        <w:t>。</w:t>
      </w:r>
    </w:p>
    <w:p w14:paraId="73D82EE6" w14:textId="77777777" w:rsidR="00203F72" w:rsidRPr="00515D85" w:rsidRDefault="00E60AF2" w:rsidP="00D87D91">
      <w:r w:rsidRPr="00515D85">
        <w:rPr>
          <w:rFonts w:hint="eastAsia"/>
        </w:rPr>
        <w:t xml:space="preserve">　　</w:t>
      </w:r>
      <w:r w:rsidRPr="00515D85">
        <w:rPr>
          <w:rFonts w:hint="eastAsia"/>
        </w:rPr>
        <w:t>2</w:t>
      </w:r>
      <w:r w:rsidRPr="00515D85">
        <w:rPr>
          <w:rFonts w:hint="eastAsia"/>
        </w:rPr>
        <w:t>、</w:t>
      </w:r>
      <w:r w:rsidR="00203F72" w:rsidRPr="00515D85">
        <w:t>無須區分刑事被告與非刑事被告。</w:t>
      </w:r>
    </w:p>
    <w:p w14:paraId="478C2404" w14:textId="77777777" w:rsidR="00203F72" w:rsidRPr="00515D85" w:rsidRDefault="00E60AF2" w:rsidP="00D87D91">
      <w:r w:rsidRPr="00515D85">
        <w:rPr>
          <w:rFonts w:hint="eastAsia"/>
        </w:rPr>
        <w:t xml:space="preserve">　　</w:t>
      </w:r>
      <w:r w:rsidRPr="00515D85">
        <w:rPr>
          <w:rFonts w:hint="eastAsia"/>
        </w:rPr>
        <w:t>1</w:t>
      </w:r>
      <w:r w:rsidRPr="00515D85">
        <w:rPr>
          <w:rFonts w:hint="eastAsia"/>
        </w:rPr>
        <w:t>、</w:t>
      </w:r>
      <w:r w:rsidR="00203F72" w:rsidRPr="00515D85">
        <w:t>設定限期二年期間之失效期，並不適切。</w:t>
      </w:r>
    </w:p>
    <w:p w14:paraId="664E8E09" w14:textId="77777777" w:rsidR="00203F72" w:rsidRPr="00515D85" w:rsidRDefault="00E60AF2" w:rsidP="00D87D91">
      <w:r w:rsidRPr="00515D85">
        <w:rPr>
          <w:rFonts w:hint="eastAsia"/>
        </w:rPr>
        <w:t xml:space="preserve">　　</w:t>
      </w:r>
      <w:r w:rsidRPr="00515D85">
        <w:rPr>
          <w:rFonts w:hint="eastAsia"/>
        </w:rPr>
        <w:t>2</w:t>
      </w:r>
      <w:r w:rsidRPr="00515D85">
        <w:rPr>
          <w:rFonts w:hint="eastAsia"/>
        </w:rPr>
        <w:t>、</w:t>
      </w:r>
      <w:r w:rsidR="00203F72" w:rsidRPr="00515D85">
        <w:t>外國人有關人身自由與人身安全所應受之保護與本國人相同。</w:t>
      </w:r>
    </w:p>
    <w:p w14:paraId="6EABCE47" w14:textId="77777777" w:rsidR="00203F72" w:rsidRPr="00515D85" w:rsidRDefault="00E60AF2" w:rsidP="00D87D91">
      <w:r w:rsidRPr="00515D85">
        <w:rPr>
          <w:rFonts w:hint="eastAsia"/>
        </w:rPr>
        <w:t xml:space="preserve">　　</w:t>
      </w:r>
      <w:r w:rsidRPr="00515D85">
        <w:rPr>
          <w:rFonts w:hint="eastAsia"/>
        </w:rPr>
        <w:t>3</w:t>
      </w:r>
      <w:r w:rsidRPr="00515D85">
        <w:rPr>
          <w:rFonts w:hint="eastAsia"/>
        </w:rPr>
        <w:t>、</w:t>
      </w:r>
      <w:r w:rsidR="00203F72" w:rsidRPr="00515D85">
        <w:t>解釋憲法應由憲法文字或其精神推衍，而非反而基於行政機關之實務作業為解釋基礎。</w:t>
      </w:r>
    </w:p>
    <w:p w14:paraId="50155FEB" w14:textId="77777777" w:rsidR="00203F72" w:rsidRPr="00515D85" w:rsidRDefault="00E60AF2" w:rsidP="00D87D91">
      <w:r w:rsidRPr="00515D85">
        <w:rPr>
          <w:rFonts w:hint="eastAsia"/>
        </w:rPr>
        <w:t xml:space="preserve">　　</w:t>
      </w:r>
      <w:r w:rsidRPr="00515D85">
        <w:rPr>
          <w:rFonts w:hint="eastAsia"/>
        </w:rPr>
        <w:t>4</w:t>
      </w:r>
      <w:r w:rsidRPr="00515D85">
        <w:rPr>
          <w:rFonts w:hint="eastAsia"/>
        </w:rPr>
        <w:t>、</w:t>
      </w:r>
      <w:r w:rsidR="00203F72" w:rsidRPr="00515D85">
        <w:t>外國人之收容應適用提審法。</w:t>
      </w:r>
    </w:p>
    <w:p w14:paraId="5F0DAA63" w14:textId="77777777" w:rsidR="00203F72" w:rsidRPr="00515D85" w:rsidRDefault="00E60AF2" w:rsidP="00D87D91">
      <w:r w:rsidRPr="00515D85">
        <w:rPr>
          <w:rFonts w:hint="eastAsia"/>
        </w:rPr>
        <w:t xml:space="preserve">　　</w:t>
      </w:r>
      <w:r w:rsidRPr="00515D85">
        <w:rPr>
          <w:rFonts w:hint="eastAsia"/>
        </w:rPr>
        <w:t>5</w:t>
      </w:r>
      <w:r w:rsidRPr="00515D85">
        <w:rPr>
          <w:rFonts w:hint="eastAsia"/>
        </w:rPr>
        <w:t>、</w:t>
      </w:r>
      <w:r w:rsidR="00203F72" w:rsidRPr="00515D85">
        <w:t>對於外觀與實質完全與刑事拘禁的收容措施相類似事件，應適用嚴格的法官保留原則。</w:t>
      </w:r>
    </w:p>
    <w:p w14:paraId="2A4E8703" w14:textId="77777777" w:rsidR="00203F72" w:rsidRPr="00515D85" w:rsidRDefault="00E60AF2" w:rsidP="00D87D91">
      <w:r w:rsidRPr="00515D85">
        <w:rPr>
          <w:rFonts w:hint="eastAsia"/>
        </w:rPr>
        <w:t xml:space="preserve">　　</w:t>
      </w:r>
      <w:r w:rsidRPr="00515D85">
        <w:rPr>
          <w:rFonts w:hint="eastAsia"/>
        </w:rPr>
        <w:t>6</w:t>
      </w:r>
      <w:r w:rsidRPr="00515D85">
        <w:rPr>
          <w:rFonts w:hint="eastAsia"/>
        </w:rPr>
        <w:t>、</w:t>
      </w:r>
      <w:r w:rsidR="00203F72" w:rsidRPr="00515D85">
        <w:t>系爭規定忽</w:t>
      </w:r>
      <w:r w:rsidR="003E240E">
        <w:t>視</w:t>
      </w:r>
      <w:r w:rsidR="00203F72" w:rsidRPr="00515D85">
        <w:t>了法院作為保障人身安全的「保衛者」角色。</w:t>
      </w:r>
    </w:p>
    <w:p w14:paraId="219E38E9" w14:textId="77777777" w:rsidR="00203F72" w:rsidRPr="00515D85" w:rsidRDefault="00E60AF2" w:rsidP="00D87D91">
      <w:r w:rsidRPr="00515D85">
        <w:rPr>
          <w:rFonts w:hint="eastAsia"/>
        </w:rPr>
        <w:t xml:space="preserve">　　</w:t>
      </w:r>
      <w:r w:rsidRPr="00515D85">
        <w:rPr>
          <w:rFonts w:hint="eastAsia"/>
        </w:rPr>
        <w:t>7</w:t>
      </w:r>
      <w:r w:rsidRPr="00515D85">
        <w:rPr>
          <w:rFonts w:hint="eastAsia"/>
        </w:rPr>
        <w:t>、</w:t>
      </w:r>
      <w:r w:rsidR="00203F72" w:rsidRPr="00515D85">
        <w:t>收容之理由</w:t>
      </w:r>
      <w:r w:rsidR="00D92F56" w:rsidRPr="00515D85">
        <w:t>〜</w:t>
      </w:r>
      <w:r w:rsidR="00203F72" w:rsidRPr="00515D85">
        <w:t>驅逐處分之合法性，亦應由法官一併審查。</w:t>
      </w:r>
    </w:p>
    <w:p w14:paraId="4DFA0CAC" w14:textId="77777777" w:rsidR="00203F72" w:rsidRPr="00515D85" w:rsidRDefault="00E60AF2" w:rsidP="00D87D91">
      <w:r w:rsidRPr="00515D85">
        <w:rPr>
          <w:rFonts w:hint="eastAsia"/>
        </w:rPr>
        <w:t xml:space="preserve">　　</w:t>
      </w:r>
      <w:r w:rsidRPr="00515D85">
        <w:rPr>
          <w:rFonts w:hint="eastAsia"/>
        </w:rPr>
        <w:t>8</w:t>
      </w:r>
      <w:r w:rsidRPr="00515D85">
        <w:rPr>
          <w:rFonts w:hint="eastAsia"/>
        </w:rPr>
        <w:t>、</w:t>
      </w:r>
      <w:r w:rsidR="00203F72" w:rsidRPr="00515D85">
        <w:t>本號解釋多數意見顯然忽</w:t>
      </w:r>
      <w:r w:rsidR="003E240E">
        <w:t>視</w:t>
      </w:r>
      <w:r w:rsidR="00203F72" w:rsidRPr="00515D85">
        <w:t>了收容行為具有事實行為與執行行為的屬性，顯有不當。</w:t>
      </w:r>
    </w:p>
    <w:p w14:paraId="0CC50E03" w14:textId="77777777" w:rsidR="00203F72" w:rsidRPr="00515D85" w:rsidRDefault="00E60AF2" w:rsidP="00D87D91">
      <w:r w:rsidRPr="00515D85">
        <w:rPr>
          <w:rFonts w:hint="eastAsia"/>
        </w:rPr>
        <w:t xml:space="preserve">　　</w:t>
      </w:r>
      <w:r w:rsidRPr="00515D85">
        <w:rPr>
          <w:rFonts w:hint="eastAsia"/>
        </w:rPr>
        <w:t>9</w:t>
      </w:r>
      <w:r w:rsidRPr="00515D85">
        <w:rPr>
          <w:rFonts w:hint="eastAsia"/>
        </w:rPr>
        <w:t>、</w:t>
      </w:r>
      <w:r w:rsidR="00203F72" w:rsidRPr="00515D85">
        <w:t>「合理作業時間」的不合目的性與比例原則。</w:t>
      </w:r>
    </w:p>
    <w:p w14:paraId="7EB72F4D" w14:textId="77777777" w:rsidR="00953151" w:rsidRPr="00515D85" w:rsidRDefault="00E60AF2" w:rsidP="00D87D91">
      <w:r w:rsidRPr="00515D85">
        <w:rPr>
          <w:rFonts w:hint="eastAsia"/>
        </w:rPr>
        <w:t xml:space="preserve">　　</w:t>
      </w:r>
      <w:r w:rsidRPr="00515D85">
        <w:rPr>
          <w:rFonts w:hint="eastAsia"/>
        </w:rPr>
        <w:t>10</w:t>
      </w:r>
      <w:r w:rsidRPr="00515D85">
        <w:rPr>
          <w:rFonts w:hint="eastAsia"/>
        </w:rPr>
        <w:t>、</w:t>
      </w:r>
      <w:r w:rsidR="00203F72" w:rsidRPr="00515D85">
        <w:t>解釋客體與範圍未及於難民、申請政治庇護者、外交人員、無國籍人士、大陸或港澳地區人民。</w:t>
      </w:r>
    </w:p>
    <w:p w14:paraId="549E8F3D" w14:textId="77777777" w:rsidR="00953151" w:rsidRPr="00515D85" w:rsidRDefault="00E60AF2" w:rsidP="00D87D91">
      <w:r w:rsidRPr="00515D85">
        <w:t xml:space="preserve">　　</w:t>
      </w:r>
      <w:r w:rsidR="00203F72" w:rsidRPr="00515D85">
        <w:t>針對於上述司法院釋字</w:t>
      </w:r>
      <w:hyperlink r:id="rId2029"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部分不同意見書之內容與見解，本書完全贊同之。特別是對於外國人之收容，其外觀與實質，完全與刑事拘禁相類似，故實應適用非常嚴格的法官保留原則為上策。很可惜的，司法院釋字</w:t>
      </w:r>
      <w:hyperlink r:id="rId2030"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的見解，過於十分保守，且有歧</w:t>
      </w:r>
      <w:r w:rsidR="003E240E">
        <w:t>視</w:t>
      </w:r>
      <w:r w:rsidR="00203F72" w:rsidRPr="00515D85">
        <w:t>外國人人權之嫌，本書不表贊同。</w:t>
      </w:r>
    </w:p>
    <w:p w14:paraId="61E9F126" w14:textId="77777777" w:rsidR="00515D85" w:rsidRDefault="00515D85" w:rsidP="00162A78">
      <w:pPr>
        <w:jc w:val="right"/>
        <w:rPr>
          <w:rFonts w:ascii="新細明體" w:hAnsi="新細明體"/>
        </w:rPr>
      </w:pPr>
      <w:r w:rsidRPr="0026266A">
        <w:rPr>
          <w:rFonts w:hint="eastAsia"/>
        </w:rPr>
        <w:t>。。。。。。。。。。。。。。。。。。。。。。。。。</w:t>
      </w:r>
      <w:hyperlink w:anchor="a目次37" w:history="1">
        <w:r>
          <w:rPr>
            <w:rStyle w:val="a5"/>
            <w:sz w:val="18"/>
          </w:rPr>
          <w:t>回目次</w:t>
        </w:r>
      </w:hyperlink>
      <w:r w:rsidR="00E91F89">
        <w:rPr>
          <w:rFonts w:ascii="新細明體" w:hAnsi="新細明體"/>
          <w:color w:val="808000"/>
        </w:rPr>
        <w:t>〉〉</w:t>
      </w:r>
    </w:p>
    <w:p w14:paraId="66D51E69" w14:textId="77777777" w:rsidR="00D92F56" w:rsidRDefault="00D92F56" w:rsidP="00D87D91"/>
    <w:p w14:paraId="18FC99A8" w14:textId="77777777" w:rsidR="00203F72" w:rsidRDefault="00203F72" w:rsidP="00767F37">
      <w:pPr>
        <w:pStyle w:val="2"/>
      </w:pPr>
      <w:bookmarkStart w:id="98" w:name="_第七章_論外國人人身自由權、程序基本權與身體權之保障---以2004年"/>
      <w:bookmarkEnd w:id="98"/>
      <w:r w:rsidRPr="005E19D3">
        <w:t>第七章</w:t>
      </w:r>
      <w:r w:rsidRPr="005E19D3">
        <w:t xml:space="preserve"> </w:t>
      </w:r>
      <w:r w:rsidRPr="005E19D3">
        <w:t>論外國人人身自由權、程序基本權與身體權之保障</w:t>
      </w:r>
      <w:r w:rsidR="00D92F56">
        <w:t>〜</w:t>
      </w:r>
      <w:r w:rsidRPr="005E19D3">
        <w:t>以</w:t>
      </w:r>
      <w:r w:rsidRPr="005E19D3">
        <w:t>2004</w:t>
      </w:r>
      <w:r w:rsidRPr="005E19D3">
        <w:t>年聯合國人權事務委員會</w:t>
      </w:r>
      <w:r w:rsidRPr="005E19D3">
        <w:t>Ahani</w:t>
      </w:r>
      <w:r w:rsidRPr="005E19D3">
        <w:t>驅逐出國案例為中心</w:t>
      </w:r>
    </w:p>
    <w:p w14:paraId="2D9F9102" w14:textId="77777777" w:rsidR="00162A78" w:rsidRPr="00162A78" w:rsidRDefault="00162A78" w:rsidP="00162A78">
      <w:pPr>
        <w:rPr>
          <w:lang w:bidi="b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4"/>
      </w:tblGrid>
      <w:tr w:rsidR="00203F72" w:rsidRPr="00A53581" w14:paraId="2DBAF9B5" w14:textId="77777777" w:rsidTr="00203F72">
        <w:tc>
          <w:tcPr>
            <w:tcW w:w="8494" w:type="dxa"/>
            <w:shd w:val="clear" w:color="auto" w:fill="auto"/>
          </w:tcPr>
          <w:p w14:paraId="5D8ABE6F" w14:textId="77777777" w:rsidR="00203F72" w:rsidRPr="00162A78" w:rsidRDefault="00203F72" w:rsidP="00162A78">
            <w:pPr>
              <w:jc w:val="center"/>
              <w:rPr>
                <w:b/>
                <w:lang w:bidi="bn-IN"/>
              </w:rPr>
            </w:pPr>
            <w:r w:rsidRPr="00162A78">
              <w:rPr>
                <w:b/>
                <w:lang w:bidi="bn-IN"/>
              </w:rPr>
              <w:t>目次</w:t>
            </w:r>
          </w:p>
          <w:p w14:paraId="2EB897D2" w14:textId="77777777" w:rsidR="00203F72" w:rsidRPr="00515D85" w:rsidRDefault="00E60AF2" w:rsidP="00D87D91">
            <w:r w:rsidRPr="00515D85">
              <w:t xml:space="preserve">　　</w:t>
            </w:r>
            <w:r w:rsidR="00203F72" w:rsidRPr="00515D85">
              <w:t>壹、前言</w:t>
            </w:r>
          </w:p>
          <w:p w14:paraId="7AA5118D" w14:textId="77777777" w:rsidR="00203F72" w:rsidRPr="00515D85" w:rsidRDefault="00E60AF2" w:rsidP="00D87D91">
            <w:r w:rsidRPr="00515D85">
              <w:t xml:space="preserve">　　</w:t>
            </w:r>
            <w:r w:rsidR="00203F72" w:rsidRPr="00515D85">
              <w:t>貳、聯合國人權事務委員會之角色與功能</w:t>
            </w:r>
            <w:r w:rsidR="00203F72" w:rsidRPr="00515D85">
              <w:t xml:space="preserve"> </w:t>
            </w:r>
          </w:p>
          <w:p w14:paraId="299F4C41" w14:textId="77777777" w:rsidR="00203F72" w:rsidRPr="00515D85" w:rsidRDefault="00E60AF2" w:rsidP="00D87D91">
            <w:r w:rsidRPr="00515D85">
              <w:t xml:space="preserve">　　</w:t>
            </w:r>
            <w:r w:rsidR="00203F72" w:rsidRPr="00515D85">
              <w:t>參、聯合國人權事務委員會</w:t>
            </w:r>
            <w:r w:rsidR="00203F72" w:rsidRPr="00515D85">
              <w:t>Ahani</w:t>
            </w:r>
            <w:r w:rsidR="00203F72" w:rsidRPr="00515D85">
              <w:t>驅逐出國案例之案情介紹</w:t>
            </w:r>
          </w:p>
          <w:p w14:paraId="5F3D212B" w14:textId="77777777" w:rsidR="00203F72" w:rsidRPr="00515D85" w:rsidRDefault="00E60AF2" w:rsidP="00D87D91">
            <w:r w:rsidRPr="00515D85">
              <w:t xml:space="preserve">　　</w:t>
            </w:r>
            <w:r w:rsidR="00203F72" w:rsidRPr="00515D85">
              <w:t>肆、人權事務委員會之見解與決定</w:t>
            </w:r>
            <w:r w:rsidR="00203F72" w:rsidRPr="00515D85">
              <w:t xml:space="preserve"> </w:t>
            </w:r>
          </w:p>
          <w:p w14:paraId="472E5A5E" w14:textId="77777777" w:rsidR="00203F72" w:rsidRPr="00515D85" w:rsidRDefault="00E60AF2" w:rsidP="00D87D91">
            <w:r w:rsidRPr="00515D85">
              <w:t xml:space="preserve">　　</w:t>
            </w:r>
            <w:r w:rsidR="00203F72" w:rsidRPr="00515D85">
              <w:t>伍、本案之重要特色</w:t>
            </w:r>
            <w:r w:rsidR="00203F72" w:rsidRPr="00515D85">
              <w:t xml:space="preserve"> </w:t>
            </w:r>
          </w:p>
          <w:p w14:paraId="584DA9A1" w14:textId="77777777" w:rsidR="00203F72" w:rsidRPr="00515D85" w:rsidRDefault="00E60AF2" w:rsidP="00D87D91">
            <w:r w:rsidRPr="00515D85">
              <w:t xml:space="preserve">　　</w:t>
            </w:r>
            <w:r w:rsidR="00203F72" w:rsidRPr="00515D85">
              <w:t>陸、</w:t>
            </w:r>
            <w:r w:rsidR="00203F72" w:rsidRPr="00515D85">
              <w:t>Ahani</w:t>
            </w:r>
            <w:r w:rsidR="00203F72" w:rsidRPr="00515D85">
              <w:t>驅逐出國案例對台灣之啟迪</w:t>
            </w:r>
            <w:r w:rsidR="00D92F56" w:rsidRPr="00515D85">
              <w:t>〜</w:t>
            </w:r>
            <w:r w:rsidR="00203F72" w:rsidRPr="00515D85">
              <w:t>代結論</w:t>
            </w:r>
          </w:p>
          <w:p w14:paraId="36716B64" w14:textId="77777777" w:rsidR="00203F72" w:rsidRPr="00515D85" w:rsidRDefault="00E60AF2" w:rsidP="00D87D91">
            <w:r w:rsidRPr="00515D85">
              <w:t xml:space="preserve">　　</w:t>
            </w:r>
            <w:r w:rsidR="00203F72" w:rsidRPr="00515D85">
              <w:t>一、外國人及本國人之人身自由權利，應平等享有憲法</w:t>
            </w:r>
            <w:hyperlink r:id="rId2031" w:anchor="a8" w:history="1">
              <w:r w:rsidR="001F6A1B" w:rsidRPr="001F6A1B">
                <w:rPr>
                  <w:rStyle w:val="a5"/>
                </w:rPr>
                <w:t>第8條</w:t>
              </w:r>
            </w:hyperlink>
            <w:r w:rsidR="00203F72" w:rsidRPr="00515D85">
              <w:t>之保障</w:t>
            </w:r>
            <w:r w:rsidR="00203F72" w:rsidRPr="00515D85">
              <w:t xml:space="preserve"> </w:t>
            </w:r>
          </w:p>
          <w:p w14:paraId="3831B65E" w14:textId="77777777" w:rsidR="00203F72" w:rsidRPr="00515D85" w:rsidRDefault="00E60AF2" w:rsidP="00D87D91">
            <w:r w:rsidRPr="00515D85">
              <w:t xml:space="preserve">　　</w:t>
            </w:r>
            <w:r w:rsidR="00203F72" w:rsidRPr="00515D85">
              <w:t>二、遭受強制驅逐出國處分之外國人，應享有聽證權利</w:t>
            </w:r>
          </w:p>
          <w:p w14:paraId="662E0239" w14:textId="77777777" w:rsidR="00203F72" w:rsidRPr="00515D85" w:rsidRDefault="00E60AF2" w:rsidP="00D87D91">
            <w:r w:rsidRPr="00515D85">
              <w:t xml:space="preserve">　　</w:t>
            </w:r>
            <w:r w:rsidR="00203F72" w:rsidRPr="00515D85">
              <w:t>三、移民法宜明文規範避免將外國人驅逐出國至會遭受酷刑之國家或地區</w:t>
            </w:r>
          </w:p>
          <w:p w14:paraId="0E1828E4" w14:textId="77777777" w:rsidR="00203F72" w:rsidRPr="00515D85" w:rsidRDefault="00E60AF2" w:rsidP="00D87D91">
            <w:r w:rsidRPr="00515D85">
              <w:t xml:space="preserve">　　</w:t>
            </w:r>
            <w:r w:rsidR="00203F72" w:rsidRPr="00515D85">
              <w:t>四、台灣當儘快批准「公民與政治權利國際公約任擇議定書」以落實遭強制驅逐出國者之人權保障</w:t>
            </w:r>
          </w:p>
          <w:p w14:paraId="4FE560AF" w14:textId="77777777" w:rsidR="00203F72" w:rsidRPr="00A53581" w:rsidRDefault="00203F72" w:rsidP="00D87D91">
            <w:pPr>
              <w:rPr>
                <w:lang w:bidi="bn-IN"/>
              </w:rPr>
            </w:pPr>
          </w:p>
        </w:tc>
      </w:tr>
    </w:tbl>
    <w:p w14:paraId="790A7050" w14:textId="77777777" w:rsidR="00515D85" w:rsidRDefault="00515D85" w:rsidP="00162A78">
      <w:pPr>
        <w:jc w:val="right"/>
        <w:rPr>
          <w:rFonts w:ascii="新細明體" w:hAnsi="新細明體"/>
        </w:rPr>
      </w:pPr>
      <w:r w:rsidRPr="0026266A">
        <w:rPr>
          <w:rFonts w:hint="eastAsia"/>
        </w:rPr>
        <w:t>。。。。。。。。。。。。。。。。。。。。。。。。。</w:t>
      </w:r>
      <w:hyperlink w:anchor="a目次37" w:history="1">
        <w:r>
          <w:rPr>
            <w:rStyle w:val="a5"/>
            <w:sz w:val="18"/>
          </w:rPr>
          <w:t>回目次</w:t>
        </w:r>
      </w:hyperlink>
      <w:r w:rsidR="00E91F89">
        <w:rPr>
          <w:rFonts w:ascii="新細明體" w:hAnsi="新細明體"/>
          <w:color w:val="808000"/>
        </w:rPr>
        <w:t>〉〉</w:t>
      </w:r>
    </w:p>
    <w:p w14:paraId="2083ABEB" w14:textId="77777777" w:rsidR="00203F72" w:rsidRPr="00A53581" w:rsidRDefault="00203F72" w:rsidP="00D87D91">
      <w:pPr>
        <w:rPr>
          <w:lang w:bidi="bn-IN"/>
        </w:rPr>
      </w:pPr>
    </w:p>
    <w:p w14:paraId="76671DC6" w14:textId="77777777" w:rsidR="00953151" w:rsidRDefault="00203F72" w:rsidP="00767F37">
      <w:pPr>
        <w:pStyle w:val="2"/>
      </w:pPr>
      <w:bookmarkStart w:id="99" w:name="_壹、前言_3"/>
      <w:bookmarkEnd w:id="99"/>
      <w:r w:rsidRPr="00A53581">
        <w:t>壹、前言</w:t>
      </w:r>
    </w:p>
    <w:p w14:paraId="6CEE391A" w14:textId="77777777" w:rsidR="00D92F56" w:rsidRPr="00515D85" w:rsidRDefault="00E60AF2" w:rsidP="00D87D91">
      <w:r w:rsidRPr="00515D85">
        <w:t xml:space="preserve">　　</w:t>
      </w:r>
      <w:r w:rsidR="00203F72" w:rsidRPr="00515D85">
        <w:t>國家對於外國人所裁決之強制驅逐出國決定（處分），假若受處分人於該當國家</w:t>
      </w:r>
      <w:r w:rsidR="00203F72" w:rsidRPr="00515D85">
        <w:t>(</w:t>
      </w:r>
      <w:r w:rsidR="00203F72" w:rsidRPr="00515D85">
        <w:t>地主國</w:t>
      </w:r>
      <w:r w:rsidR="00203F72" w:rsidRPr="00515D85">
        <w:t>)</w:t>
      </w:r>
      <w:r w:rsidR="00203F72" w:rsidRPr="00515D85">
        <w:t>用盡一切之救濟程序，從國際人權法角度而言，尚容許受處分人（外國人）有權向由「公民與政治權利國際公約」（</w:t>
      </w:r>
      <w:r w:rsidR="00203F72" w:rsidRPr="00515D85">
        <w:t>International Covenant on Civil and Political Rights</w:t>
      </w:r>
      <w:r w:rsidR="00203F72" w:rsidRPr="00515D85">
        <w:t>，簡稱為</w:t>
      </w:r>
      <w:hyperlink r:id="rId2032" w:history="1">
        <w:r w:rsidR="005532CF" w:rsidRPr="005532CF">
          <w:rPr>
            <w:rStyle w:val="a5"/>
            <w:rFonts w:ascii="Times New Roman" w:eastAsia="新細明體" w:hAnsi="Times New Roman"/>
          </w:rPr>
          <w:t>ICCPR</w:t>
        </w:r>
      </w:hyperlink>
      <w:r w:rsidR="00203F72" w:rsidRPr="00515D85">
        <w:t>）所授權成立之「人權事務委員會」（</w:t>
      </w:r>
      <w:r w:rsidR="00203F72" w:rsidRPr="00515D85">
        <w:t>Human Rights Committee</w:t>
      </w:r>
      <w:r w:rsidR="00203F72" w:rsidRPr="00515D85">
        <w:t>，簡稱為</w:t>
      </w:r>
      <w:r w:rsidR="00203F72" w:rsidRPr="00515D85">
        <w:t>HRC</w:t>
      </w:r>
      <w:r w:rsidR="00203F72" w:rsidRPr="00515D85">
        <w:t>）提出「申訴」（</w:t>
      </w:r>
      <w:r w:rsidR="00203F72" w:rsidRPr="00515D85">
        <w:t>communications</w:t>
      </w:r>
      <w:r w:rsidR="00203F72" w:rsidRPr="00515D85">
        <w:t>）之機會與途徑。</w:t>
      </w:r>
    </w:p>
    <w:p w14:paraId="0A11842C" w14:textId="77777777" w:rsidR="00953151" w:rsidRDefault="00E60AF2" w:rsidP="00D87D91">
      <w:r w:rsidRPr="00515D85">
        <w:t xml:space="preserve">　　</w:t>
      </w:r>
      <w:r w:rsidR="00203F72" w:rsidRPr="00515D85">
        <w:t>聯合國人權</w:t>
      </w:r>
      <w:r w:rsidR="00203F72" w:rsidRPr="00515D85">
        <w:t>(</w:t>
      </w:r>
      <w:r w:rsidR="00203F72" w:rsidRPr="00515D85">
        <w:t>事務</w:t>
      </w:r>
      <w:r w:rsidR="00203F72" w:rsidRPr="00515D85">
        <w:t>)</w:t>
      </w:r>
      <w:r w:rsidR="00203F72" w:rsidRPr="00515D85">
        <w:t>委員會（英語：</w:t>
      </w:r>
      <w:r w:rsidR="00203F72" w:rsidRPr="00515D85">
        <w:t>United Nations Human Rights Committee, UNHRC</w:t>
      </w:r>
      <w:r w:rsidR="00203F72" w:rsidRPr="00515D85">
        <w:t>）是依據「公民與政治權利國際公約」</w:t>
      </w:r>
      <w:r w:rsidR="00203F72" w:rsidRPr="00515D85">
        <w:t>(</w:t>
      </w:r>
      <w:hyperlink r:id="rId2033" w:history="1">
        <w:r w:rsidR="005532CF" w:rsidRPr="005532CF">
          <w:rPr>
            <w:rStyle w:val="a5"/>
            <w:rFonts w:ascii="Times New Roman" w:eastAsia="新細明體" w:hAnsi="Times New Roman"/>
          </w:rPr>
          <w:t>ICCPR</w:t>
        </w:r>
      </w:hyperlink>
      <w:r w:rsidR="00203F72" w:rsidRPr="00515D85">
        <w:t>)</w:t>
      </w:r>
      <w:r w:rsidR="00203F72" w:rsidRPr="00515D85">
        <w:t>成立之機構。在</w:t>
      </w:r>
      <w:hyperlink r:id="rId2034" w:history="1">
        <w:r w:rsidR="005532CF" w:rsidRPr="005532CF">
          <w:rPr>
            <w:rStyle w:val="a5"/>
            <w:rFonts w:ascii="Times New Roman" w:eastAsia="新細明體" w:hAnsi="Times New Roman"/>
          </w:rPr>
          <w:t>ICCPR</w:t>
        </w:r>
      </w:hyperlink>
      <w:r w:rsidR="00203F72" w:rsidRPr="00515D85">
        <w:t>之內容之中，</w:t>
      </w:r>
      <w:r w:rsidR="00203F72" w:rsidRPr="00515D85">
        <w:t>ICCPR</w:t>
      </w:r>
      <w:hyperlink r:id="rId2035" w:anchor="a28" w:history="1">
        <w:r w:rsidR="00203F72" w:rsidRPr="005E7DE2">
          <w:rPr>
            <w:rStyle w:val="a5"/>
            <w:rFonts w:ascii="Times New Roman" w:hAnsi="Times New Roman"/>
          </w:rPr>
          <w:t>第</w:t>
        </w:r>
        <w:r w:rsidR="00203F72" w:rsidRPr="005E7DE2">
          <w:rPr>
            <w:rStyle w:val="a5"/>
            <w:rFonts w:ascii="Times New Roman" w:hAnsi="Times New Roman"/>
          </w:rPr>
          <w:t>28</w:t>
        </w:r>
        <w:r w:rsidR="00203F72" w:rsidRPr="005E7DE2">
          <w:rPr>
            <w:rStyle w:val="a5"/>
            <w:rFonts w:ascii="Times New Roman" w:hAnsi="Times New Roman"/>
          </w:rPr>
          <w:t>條</w:t>
        </w:r>
      </w:hyperlink>
      <w:r w:rsidR="00203F72" w:rsidRPr="00515D85">
        <w:t>規範</w:t>
      </w:r>
      <w:r w:rsidR="00203F72" w:rsidRPr="00515D85">
        <w:t>UNHRC</w:t>
      </w:r>
      <w:r w:rsidR="00203F72" w:rsidRPr="00515D85">
        <w:t>之設立依據</w:t>
      </w:r>
      <w:r w:rsidR="00203F72" w:rsidRPr="00515D85">
        <w:footnoteReference w:id="751"/>
      </w:r>
      <w:r w:rsidR="00203F72" w:rsidRPr="00515D85">
        <w:t>；</w:t>
      </w:r>
      <w:r w:rsidR="00203F72" w:rsidRPr="00515D85">
        <w:t>ICCPR</w:t>
      </w:r>
      <w:hyperlink r:id="rId2036" w:anchor="a29" w:history="1">
        <w:r w:rsidR="00203F72" w:rsidRPr="005E7DE2">
          <w:rPr>
            <w:rStyle w:val="a5"/>
            <w:rFonts w:ascii="Times New Roman" w:hAnsi="Times New Roman"/>
          </w:rPr>
          <w:t>第</w:t>
        </w:r>
        <w:r w:rsidR="00203F72" w:rsidRPr="005E7DE2">
          <w:rPr>
            <w:rStyle w:val="a5"/>
            <w:rFonts w:ascii="Times New Roman" w:hAnsi="Times New Roman"/>
          </w:rPr>
          <w:t>29</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委員產生之方式，委員須品格高尚，且在人權問題方面，係為享有聲譽素著之人士</w:t>
      </w:r>
      <w:r w:rsidR="00203F72" w:rsidRPr="00515D85">
        <w:footnoteReference w:id="752"/>
      </w:r>
      <w:r w:rsidR="00203F72" w:rsidRPr="00515D85">
        <w:t>；</w:t>
      </w:r>
      <w:r w:rsidR="00203F72" w:rsidRPr="00515D85">
        <w:t>ICCPR</w:t>
      </w:r>
      <w:hyperlink r:id="rId2037" w:anchor="a30" w:history="1">
        <w:r w:rsidR="00203F72" w:rsidRPr="005E7DE2">
          <w:rPr>
            <w:rStyle w:val="a5"/>
            <w:rFonts w:ascii="Times New Roman" w:hAnsi="Times New Roman"/>
          </w:rPr>
          <w:t>第</w:t>
        </w:r>
        <w:r w:rsidR="00203F72" w:rsidRPr="005E7DE2">
          <w:rPr>
            <w:rStyle w:val="a5"/>
            <w:rFonts w:ascii="Times New Roman" w:hAnsi="Times New Roman"/>
          </w:rPr>
          <w:t>30</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委員之提名與選舉方式</w:t>
      </w:r>
      <w:r w:rsidR="00203F72" w:rsidRPr="00515D85">
        <w:footnoteReference w:id="753"/>
      </w:r>
      <w:r w:rsidR="00203F72" w:rsidRPr="00515D85">
        <w:t>；</w:t>
      </w:r>
      <w:r w:rsidR="00203F72" w:rsidRPr="00515D85">
        <w:t>ICCPR</w:t>
      </w:r>
      <w:hyperlink r:id="rId2038" w:anchor="a31" w:history="1">
        <w:r w:rsidR="00203F72" w:rsidRPr="005E7DE2">
          <w:rPr>
            <w:rStyle w:val="a5"/>
            <w:rFonts w:ascii="Times New Roman" w:hAnsi="Times New Roman"/>
          </w:rPr>
          <w:t>第</w:t>
        </w:r>
        <w:r w:rsidR="00203F72" w:rsidRPr="005E7DE2">
          <w:rPr>
            <w:rStyle w:val="a5"/>
            <w:rFonts w:ascii="Times New Roman" w:hAnsi="Times New Roman"/>
          </w:rPr>
          <w:t>31</w:t>
        </w:r>
        <w:r w:rsidR="00203F72" w:rsidRPr="005E7DE2">
          <w:rPr>
            <w:rStyle w:val="a5"/>
            <w:rFonts w:ascii="Times New Roman" w:hAnsi="Times New Roman"/>
          </w:rPr>
          <w:t>條</w:t>
        </w:r>
      </w:hyperlink>
      <w:r w:rsidR="00203F72" w:rsidRPr="00515D85">
        <w:t>規範</w:t>
      </w:r>
      <w:r w:rsidR="00203F72" w:rsidRPr="00515D85">
        <w:t>UNHRC</w:t>
      </w:r>
      <w:r w:rsidR="00203F72" w:rsidRPr="00515D85">
        <w:t>之委員，每一個國家僅有一位代表</w:t>
      </w:r>
      <w:r w:rsidR="00203F72" w:rsidRPr="00515D85">
        <w:footnoteReference w:id="754"/>
      </w:r>
      <w:r w:rsidR="00203F72" w:rsidRPr="00515D85">
        <w:t>；</w:t>
      </w:r>
      <w:r w:rsidR="00203F72" w:rsidRPr="00515D85">
        <w:t>ICCPR</w:t>
      </w:r>
      <w:hyperlink r:id="rId2039" w:anchor="a32" w:history="1">
        <w:r w:rsidR="00203F72" w:rsidRPr="005E7DE2">
          <w:rPr>
            <w:rStyle w:val="a5"/>
            <w:rFonts w:ascii="Times New Roman" w:hAnsi="Times New Roman"/>
          </w:rPr>
          <w:t>第</w:t>
        </w:r>
        <w:r w:rsidR="00203F72" w:rsidRPr="005E7DE2">
          <w:rPr>
            <w:rStyle w:val="a5"/>
            <w:rFonts w:ascii="Times New Roman" w:hAnsi="Times New Roman"/>
          </w:rPr>
          <w:t>32</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委員之任期為</w:t>
      </w:r>
      <w:r w:rsidR="00203F72" w:rsidRPr="00515D85">
        <w:t>4</w:t>
      </w:r>
      <w:r w:rsidR="00203F72" w:rsidRPr="00515D85">
        <w:t>年</w:t>
      </w:r>
      <w:r w:rsidR="00203F72" w:rsidRPr="00515D85">
        <w:footnoteReference w:id="755"/>
      </w:r>
      <w:r w:rsidR="00203F72" w:rsidRPr="00515D85">
        <w:t>；</w:t>
      </w:r>
      <w:r w:rsidR="00203F72" w:rsidRPr="00515D85">
        <w:t>ICCPR</w:t>
      </w:r>
      <w:hyperlink r:id="rId2040" w:anchor="a33" w:history="1">
        <w:r w:rsidR="00203F72" w:rsidRPr="005E7DE2">
          <w:rPr>
            <w:rStyle w:val="a5"/>
            <w:rFonts w:ascii="Times New Roman" w:hAnsi="Times New Roman"/>
          </w:rPr>
          <w:t>第</w:t>
        </w:r>
        <w:r w:rsidR="00203F72" w:rsidRPr="005E7DE2">
          <w:rPr>
            <w:rStyle w:val="a5"/>
            <w:rFonts w:ascii="Times New Roman" w:hAnsi="Times New Roman"/>
          </w:rPr>
          <w:t>33</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委員停止執行職務之情形</w:t>
      </w:r>
      <w:r w:rsidR="00203F72" w:rsidRPr="00515D85">
        <w:footnoteReference w:id="756"/>
      </w:r>
      <w:r w:rsidR="00203F72" w:rsidRPr="00515D85">
        <w:t>；</w:t>
      </w:r>
      <w:r w:rsidR="00203F72" w:rsidRPr="00515D85">
        <w:t>ICCPR</w:t>
      </w:r>
      <w:hyperlink r:id="rId2041" w:anchor="a34" w:history="1">
        <w:r w:rsidR="00203F72" w:rsidRPr="005E7DE2">
          <w:rPr>
            <w:rStyle w:val="a5"/>
            <w:rFonts w:ascii="Times New Roman" w:hAnsi="Times New Roman"/>
          </w:rPr>
          <w:t>第</w:t>
        </w:r>
        <w:r w:rsidR="00203F72" w:rsidRPr="005E7DE2">
          <w:rPr>
            <w:rStyle w:val="a5"/>
            <w:rFonts w:ascii="Times New Roman" w:hAnsi="Times New Roman"/>
          </w:rPr>
          <w:t>34</w:t>
        </w:r>
        <w:r w:rsidR="00203F72" w:rsidRPr="005E7DE2">
          <w:rPr>
            <w:rStyle w:val="a5"/>
            <w:rFonts w:ascii="Times New Roman" w:hAnsi="Times New Roman"/>
          </w:rPr>
          <w:t>條</w:t>
        </w:r>
      </w:hyperlink>
      <w:r w:rsidR="00203F72" w:rsidRPr="00515D85">
        <w:t>規範</w:t>
      </w:r>
      <w:r w:rsidR="00203F72" w:rsidRPr="00515D85">
        <w:t>UNHRC</w:t>
      </w:r>
      <w:r w:rsidR="00203F72" w:rsidRPr="00515D85">
        <w:t>遞補委員之產生方式與任期</w:t>
      </w:r>
      <w:r w:rsidR="00203F72" w:rsidRPr="00515D85">
        <w:footnoteReference w:id="757"/>
      </w:r>
      <w:r w:rsidR="00203F72" w:rsidRPr="00515D85">
        <w:t>；</w:t>
      </w:r>
      <w:r w:rsidR="00203F72" w:rsidRPr="00515D85">
        <w:t>ICCPR</w:t>
      </w:r>
      <w:hyperlink r:id="rId2042" w:anchor="a35" w:history="1">
        <w:r w:rsidR="00203F72" w:rsidRPr="005E7DE2">
          <w:rPr>
            <w:rStyle w:val="a5"/>
            <w:rFonts w:ascii="Times New Roman" w:hAnsi="Times New Roman"/>
          </w:rPr>
          <w:t>第</w:t>
        </w:r>
        <w:r w:rsidR="00203F72" w:rsidRPr="005E7DE2">
          <w:rPr>
            <w:rStyle w:val="a5"/>
            <w:rFonts w:ascii="Times New Roman" w:hAnsi="Times New Roman"/>
          </w:rPr>
          <w:t>35</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委員可以領取薪資之條件</w:t>
      </w:r>
      <w:r w:rsidR="00203F72" w:rsidRPr="00515D85">
        <w:footnoteReference w:id="758"/>
      </w:r>
      <w:r w:rsidR="00203F72" w:rsidRPr="00515D85">
        <w:t>；</w:t>
      </w:r>
      <w:r w:rsidR="00203F72" w:rsidRPr="00515D85">
        <w:t>ICCPR</w:t>
      </w:r>
      <w:hyperlink r:id="rId2043" w:anchor="a36" w:history="1">
        <w:r w:rsidR="00203F72" w:rsidRPr="005E7DE2">
          <w:rPr>
            <w:rStyle w:val="a5"/>
            <w:rFonts w:ascii="Times New Roman" w:hAnsi="Times New Roman"/>
          </w:rPr>
          <w:t>第</w:t>
        </w:r>
        <w:r w:rsidR="00203F72" w:rsidRPr="005E7DE2">
          <w:rPr>
            <w:rStyle w:val="a5"/>
            <w:rFonts w:ascii="Times New Roman" w:hAnsi="Times New Roman"/>
          </w:rPr>
          <w:t>36</w:t>
        </w:r>
        <w:r w:rsidR="00203F72" w:rsidRPr="005E7DE2">
          <w:rPr>
            <w:rStyle w:val="a5"/>
            <w:rFonts w:ascii="Times New Roman" w:hAnsi="Times New Roman"/>
          </w:rPr>
          <w:t>條</w:t>
        </w:r>
      </w:hyperlink>
      <w:r w:rsidR="00203F72" w:rsidRPr="00515D85">
        <w:t>規範聯合國秘書應為</w:t>
      </w:r>
      <w:r w:rsidR="00203F72" w:rsidRPr="00515D85">
        <w:t>UNHRC</w:t>
      </w:r>
      <w:r w:rsidR="00203F72" w:rsidRPr="00515D85">
        <w:t>提供工作人員</w:t>
      </w:r>
      <w:r w:rsidR="00203F72" w:rsidRPr="00515D85">
        <w:footnoteReference w:id="759"/>
      </w:r>
      <w:r w:rsidR="00203F72" w:rsidRPr="00515D85">
        <w:t>；</w:t>
      </w:r>
      <w:r w:rsidR="00203F72" w:rsidRPr="00515D85">
        <w:t>ICCPR</w:t>
      </w:r>
      <w:hyperlink r:id="rId2044" w:anchor="a37" w:history="1">
        <w:r w:rsidR="00203F72" w:rsidRPr="005E7DE2">
          <w:rPr>
            <w:rStyle w:val="a5"/>
            <w:rFonts w:ascii="Times New Roman" w:hAnsi="Times New Roman"/>
          </w:rPr>
          <w:t>第</w:t>
        </w:r>
        <w:r w:rsidR="00203F72" w:rsidRPr="005E7DE2">
          <w:rPr>
            <w:rStyle w:val="a5"/>
            <w:rFonts w:ascii="Times New Roman" w:hAnsi="Times New Roman"/>
          </w:rPr>
          <w:t>37</w:t>
        </w:r>
        <w:r w:rsidR="00203F72" w:rsidRPr="005E7DE2">
          <w:rPr>
            <w:rStyle w:val="a5"/>
            <w:rFonts w:ascii="Times New Roman" w:hAnsi="Times New Roman"/>
          </w:rPr>
          <w:t>條</w:t>
        </w:r>
      </w:hyperlink>
      <w:r w:rsidR="00203F72" w:rsidRPr="00515D85">
        <w:t>規範</w:t>
      </w:r>
      <w:r w:rsidR="00203F72" w:rsidRPr="00515D85">
        <w:t>UNHRC</w:t>
      </w:r>
      <w:r w:rsidR="00203F72" w:rsidRPr="00515D85">
        <w:t>開會之地點</w:t>
      </w:r>
      <w:r w:rsidR="00203F72" w:rsidRPr="00515D85">
        <w:footnoteReference w:id="760"/>
      </w:r>
      <w:r w:rsidR="00203F72" w:rsidRPr="00515D85">
        <w:t>；</w:t>
      </w:r>
      <w:r w:rsidR="00203F72" w:rsidRPr="00515D85">
        <w:t>ICCPR</w:t>
      </w:r>
      <w:hyperlink r:id="rId2045" w:anchor="a38" w:history="1">
        <w:r w:rsidR="00203F72" w:rsidRPr="005E7DE2">
          <w:rPr>
            <w:rStyle w:val="a5"/>
            <w:rFonts w:ascii="Times New Roman" w:hAnsi="Times New Roman"/>
          </w:rPr>
          <w:t>第</w:t>
        </w:r>
        <w:r w:rsidR="00203F72" w:rsidRPr="005E7DE2">
          <w:rPr>
            <w:rStyle w:val="a5"/>
            <w:rFonts w:ascii="Times New Roman" w:hAnsi="Times New Roman"/>
          </w:rPr>
          <w:t>38</w:t>
        </w:r>
        <w:r w:rsidR="00203F72" w:rsidRPr="005E7DE2">
          <w:rPr>
            <w:rStyle w:val="a5"/>
            <w:rFonts w:ascii="Times New Roman" w:hAnsi="Times New Roman"/>
          </w:rPr>
          <w:t>條</w:t>
        </w:r>
      </w:hyperlink>
      <w:r w:rsidR="00203F72" w:rsidRPr="00515D85">
        <w:t>規範</w:t>
      </w:r>
      <w:r w:rsidR="00203F72" w:rsidRPr="00515D85">
        <w:t>UNHRC</w:t>
      </w:r>
      <w:r w:rsidR="00203F72" w:rsidRPr="00515D85">
        <w:t>之委員執行職務前，應經宣誓</w:t>
      </w:r>
      <w:r w:rsidR="00203F72" w:rsidRPr="00515D85">
        <w:footnoteReference w:id="761"/>
      </w:r>
      <w:r w:rsidR="00203F72" w:rsidRPr="00515D85">
        <w:t>；</w:t>
      </w:r>
      <w:r w:rsidR="00203F72" w:rsidRPr="00515D85">
        <w:t>ICCPR</w:t>
      </w:r>
      <w:hyperlink r:id="rId2046" w:anchor="a39" w:history="1">
        <w:r w:rsidR="00203F72" w:rsidRPr="005E7DE2">
          <w:rPr>
            <w:rStyle w:val="a5"/>
            <w:rFonts w:ascii="Times New Roman" w:hAnsi="Times New Roman"/>
          </w:rPr>
          <w:t>第</w:t>
        </w:r>
        <w:r w:rsidR="00203F72" w:rsidRPr="005E7DE2">
          <w:rPr>
            <w:rStyle w:val="a5"/>
            <w:rFonts w:ascii="Times New Roman" w:hAnsi="Times New Roman"/>
          </w:rPr>
          <w:t>39</w:t>
        </w:r>
        <w:r w:rsidR="00203F72" w:rsidRPr="005E7DE2">
          <w:rPr>
            <w:rStyle w:val="a5"/>
            <w:rFonts w:ascii="Times New Roman" w:hAnsi="Times New Roman"/>
          </w:rPr>
          <w:t>條</w:t>
        </w:r>
      </w:hyperlink>
      <w:r w:rsidR="00203F72" w:rsidRPr="00515D85">
        <w:t>規範</w:t>
      </w:r>
      <w:r w:rsidR="00203F72" w:rsidRPr="00515D85">
        <w:t>UNHRC</w:t>
      </w:r>
      <w:r w:rsidR="00203F72" w:rsidRPr="00515D85">
        <w:t>應選舉自己之職員，任期</w:t>
      </w:r>
      <w:r w:rsidR="00203F72" w:rsidRPr="00515D85">
        <w:t>2</w:t>
      </w:r>
      <w:r w:rsidR="00203F72" w:rsidRPr="00515D85">
        <w:t>年</w:t>
      </w:r>
      <w:r w:rsidR="00203F72" w:rsidRPr="00515D85">
        <w:footnoteReference w:id="762"/>
      </w:r>
      <w:r w:rsidR="00203F72" w:rsidRPr="00515D85">
        <w:t>；</w:t>
      </w:r>
      <w:r w:rsidR="00203F72" w:rsidRPr="00515D85">
        <w:t>ICCPR</w:t>
      </w:r>
      <w:hyperlink r:id="rId2047" w:anchor="a40" w:history="1">
        <w:r w:rsidR="00203F72" w:rsidRPr="005E7DE2">
          <w:rPr>
            <w:rStyle w:val="a5"/>
            <w:rFonts w:ascii="Times New Roman" w:hAnsi="Times New Roman"/>
          </w:rPr>
          <w:t>第</w:t>
        </w:r>
        <w:r w:rsidR="00203F72" w:rsidRPr="005E7DE2">
          <w:rPr>
            <w:rStyle w:val="a5"/>
            <w:rFonts w:ascii="Times New Roman" w:hAnsi="Times New Roman"/>
          </w:rPr>
          <w:t>40</w:t>
        </w:r>
        <w:r w:rsidR="00203F72" w:rsidRPr="005E7DE2">
          <w:rPr>
            <w:rStyle w:val="a5"/>
            <w:rFonts w:ascii="Times New Roman" w:hAnsi="Times New Roman"/>
          </w:rPr>
          <w:t>條</w:t>
        </w:r>
      </w:hyperlink>
      <w:r w:rsidR="00203F72" w:rsidRPr="00515D85">
        <w:t>規範締約國應提交報告送陳</w:t>
      </w:r>
      <w:r w:rsidR="00203F72" w:rsidRPr="00515D85">
        <w:t>UNHRC</w:t>
      </w:r>
      <w:r w:rsidR="00203F72" w:rsidRPr="00515D85">
        <w:footnoteReference w:id="763"/>
      </w:r>
      <w:r w:rsidR="00203F72" w:rsidRPr="00515D85">
        <w:t>；</w:t>
      </w:r>
      <w:r w:rsidR="00203F72" w:rsidRPr="00515D85">
        <w:t>ICCPR</w:t>
      </w:r>
      <w:hyperlink r:id="rId2048" w:anchor="a41" w:history="1">
        <w:r w:rsidR="00203F72" w:rsidRPr="005E7DE2">
          <w:rPr>
            <w:rStyle w:val="a5"/>
            <w:rFonts w:ascii="Times New Roman" w:hAnsi="Times New Roman"/>
          </w:rPr>
          <w:t>第</w:t>
        </w:r>
        <w:r w:rsidR="00203F72" w:rsidRPr="005E7DE2">
          <w:rPr>
            <w:rStyle w:val="a5"/>
            <w:rFonts w:ascii="Times New Roman" w:hAnsi="Times New Roman"/>
          </w:rPr>
          <w:t>41</w:t>
        </w:r>
        <w:r w:rsidR="00203F72" w:rsidRPr="005E7DE2">
          <w:rPr>
            <w:rStyle w:val="a5"/>
            <w:rFonts w:ascii="Times New Roman" w:hAnsi="Times New Roman"/>
          </w:rPr>
          <w:t>條</w:t>
        </w:r>
      </w:hyperlink>
      <w:r w:rsidR="00203F72" w:rsidRPr="00515D85">
        <w:t>規範</w:t>
      </w:r>
      <w:r w:rsidR="00203F72" w:rsidRPr="00515D85">
        <w:t>UNHRC</w:t>
      </w:r>
      <w:r w:rsidR="00203F72" w:rsidRPr="00515D85">
        <w:t>有權審議涉及締約國指控之前提，係締約國承認</w:t>
      </w:r>
      <w:r w:rsidR="00203F72" w:rsidRPr="00515D85">
        <w:t>UNHRC</w:t>
      </w:r>
      <w:r w:rsidR="00203F72" w:rsidRPr="00515D85">
        <w:t>有權審議對該締約國之相關指控</w:t>
      </w:r>
      <w:r w:rsidR="00203F72" w:rsidRPr="00515D85">
        <w:footnoteReference w:id="764"/>
      </w:r>
      <w:r w:rsidR="00203F72" w:rsidRPr="00515D85">
        <w:t>；</w:t>
      </w:r>
      <w:r w:rsidR="00203F72" w:rsidRPr="00515D85">
        <w:t>ICCPR</w:t>
      </w:r>
      <w:hyperlink r:id="rId2049" w:anchor="a42" w:history="1">
        <w:r w:rsidR="00203F72" w:rsidRPr="005E7DE2">
          <w:rPr>
            <w:rStyle w:val="a5"/>
            <w:rFonts w:ascii="Times New Roman" w:hAnsi="Times New Roman"/>
          </w:rPr>
          <w:t>第</w:t>
        </w:r>
        <w:r w:rsidR="00203F72" w:rsidRPr="005E7DE2">
          <w:rPr>
            <w:rStyle w:val="a5"/>
            <w:rFonts w:ascii="Times New Roman" w:hAnsi="Times New Roman"/>
          </w:rPr>
          <w:t>42</w:t>
        </w:r>
        <w:r w:rsidR="00203F72" w:rsidRPr="005E7DE2">
          <w:rPr>
            <w:rStyle w:val="a5"/>
            <w:rFonts w:ascii="Times New Roman" w:hAnsi="Times New Roman"/>
          </w:rPr>
          <w:t>條</w:t>
        </w:r>
      </w:hyperlink>
      <w:r w:rsidR="00203F72" w:rsidRPr="00515D85">
        <w:t>規範</w:t>
      </w:r>
      <w:r w:rsidR="00203F72" w:rsidRPr="00515D85">
        <w:t>UNHRC</w:t>
      </w:r>
      <w:r w:rsidR="00203F72" w:rsidRPr="00515D85">
        <w:t>有權設立和解委員會</w:t>
      </w:r>
      <w:r w:rsidR="00203F72" w:rsidRPr="00515D85">
        <w:footnoteReference w:id="765"/>
      </w:r>
      <w:r w:rsidR="00203F72" w:rsidRPr="00515D85">
        <w:t>；</w:t>
      </w:r>
      <w:r w:rsidR="00203F72" w:rsidRPr="00515D85">
        <w:t>ICCPR</w:t>
      </w:r>
      <w:hyperlink r:id="rId2050" w:anchor="a43" w:history="1">
        <w:r w:rsidR="00203F72" w:rsidRPr="005E7DE2">
          <w:rPr>
            <w:rStyle w:val="a5"/>
            <w:rFonts w:ascii="Times New Roman" w:hAnsi="Times New Roman"/>
          </w:rPr>
          <w:t>第</w:t>
        </w:r>
        <w:r w:rsidR="00203F72" w:rsidRPr="005E7DE2">
          <w:rPr>
            <w:rStyle w:val="a5"/>
            <w:rFonts w:ascii="Times New Roman" w:hAnsi="Times New Roman"/>
          </w:rPr>
          <w:t>43</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委員有權享有特權與豁免</w:t>
      </w:r>
      <w:r w:rsidR="00203F72" w:rsidRPr="00515D85">
        <w:footnoteReference w:id="766"/>
      </w:r>
      <w:r w:rsidR="00203F72" w:rsidRPr="00515D85">
        <w:t>；</w:t>
      </w:r>
      <w:r w:rsidR="00203F72" w:rsidRPr="00515D85">
        <w:t>ICCPR</w:t>
      </w:r>
      <w:hyperlink r:id="rId2051" w:anchor="a45" w:history="1">
        <w:r w:rsidR="00203F72" w:rsidRPr="005E7DE2">
          <w:rPr>
            <w:rStyle w:val="a5"/>
            <w:rFonts w:ascii="Times New Roman" w:hAnsi="Times New Roman"/>
          </w:rPr>
          <w:t>第</w:t>
        </w:r>
        <w:r w:rsidR="00203F72" w:rsidRPr="005E7DE2">
          <w:rPr>
            <w:rStyle w:val="a5"/>
            <w:rFonts w:ascii="Times New Roman" w:hAnsi="Times New Roman"/>
          </w:rPr>
          <w:t>45</w:t>
        </w:r>
        <w:r w:rsidR="00203F72" w:rsidRPr="005E7DE2">
          <w:rPr>
            <w:rStyle w:val="a5"/>
            <w:rFonts w:ascii="Times New Roman" w:hAnsi="Times New Roman"/>
          </w:rPr>
          <w:t>條</w:t>
        </w:r>
      </w:hyperlink>
      <w:r w:rsidR="00203F72" w:rsidRPr="00515D85">
        <w:t>規範</w:t>
      </w:r>
      <w:r w:rsidR="00203F72" w:rsidRPr="00515D85">
        <w:t>UNHRC</w:t>
      </w:r>
      <w:r w:rsidR="00203F72" w:rsidRPr="00515D85">
        <w:t>須經由經濟暨社會理事會向聯合國大會提交年度報告</w:t>
      </w:r>
      <w:r w:rsidR="00203F72" w:rsidRPr="00515D85">
        <w:footnoteReference w:id="767"/>
      </w:r>
      <w:r w:rsidR="00203F72" w:rsidRPr="00515D85">
        <w:t>。</w:t>
      </w:r>
    </w:p>
    <w:p w14:paraId="5D084AD9" w14:textId="77777777" w:rsidR="00515D85" w:rsidRDefault="00515D85" w:rsidP="00162A78">
      <w:pPr>
        <w:jc w:val="right"/>
        <w:rPr>
          <w:rFonts w:ascii="新細明體" w:hAnsi="新細明體"/>
        </w:rPr>
      </w:pPr>
      <w:r w:rsidRPr="0026266A">
        <w:rPr>
          <w:rFonts w:hint="eastAsia"/>
        </w:rPr>
        <w:t>。。。。。。。。。。。。。。。。。。。。。。。。。</w:t>
      </w:r>
      <w:hyperlink w:anchor="a目次37" w:history="1">
        <w:r>
          <w:rPr>
            <w:rStyle w:val="a5"/>
            <w:sz w:val="18"/>
          </w:rPr>
          <w:t>回目次</w:t>
        </w:r>
      </w:hyperlink>
      <w:r w:rsidR="00E91F89">
        <w:rPr>
          <w:rFonts w:ascii="新細明體" w:hAnsi="新細明體"/>
          <w:color w:val="808000"/>
        </w:rPr>
        <w:t>〉〉</w:t>
      </w:r>
    </w:p>
    <w:p w14:paraId="222C4FE2" w14:textId="77777777" w:rsidR="00515D85" w:rsidRPr="00515D85" w:rsidRDefault="00515D85" w:rsidP="00D87D91"/>
    <w:p w14:paraId="19015DE8" w14:textId="77777777" w:rsidR="00953151" w:rsidRDefault="00203F72" w:rsidP="00767F37">
      <w:pPr>
        <w:pStyle w:val="2"/>
      </w:pPr>
      <w:bookmarkStart w:id="100" w:name="_貳、聯合國人權事務委員會之角色與功能"/>
      <w:bookmarkEnd w:id="100"/>
      <w:r w:rsidRPr="00026D0F">
        <w:t>貳、聯合國人權事務委員會之角色與功能</w:t>
      </w:r>
      <w:r w:rsidRPr="00026D0F">
        <w:t xml:space="preserve"> </w:t>
      </w:r>
    </w:p>
    <w:p w14:paraId="647C47B9" w14:textId="77777777" w:rsidR="00953151" w:rsidRPr="00515D85" w:rsidRDefault="00E60AF2" w:rsidP="00D87D91">
      <w:r w:rsidRPr="00515D85">
        <w:t xml:space="preserve">　　</w:t>
      </w:r>
      <w:r w:rsidR="00203F72" w:rsidRPr="00515D85">
        <w:t>遭受權利侵害之外國人所隸屬之國家，須符合以下之要件，外國人始能向</w:t>
      </w:r>
      <w:r w:rsidR="00203F72" w:rsidRPr="00515D85">
        <w:t>HRC</w:t>
      </w:r>
      <w:r w:rsidR="00203F72" w:rsidRPr="00515D85">
        <w:t>提出申訴</w:t>
      </w:r>
      <w:r w:rsidR="00203F72" w:rsidRPr="00515D85">
        <w:footnoteReference w:id="768"/>
      </w:r>
      <w:r w:rsidR="00203F72" w:rsidRPr="00515D85">
        <w:t>：</w:t>
      </w:r>
      <w:r w:rsidR="00203F72" w:rsidRPr="00515D85">
        <w:t>1.</w:t>
      </w:r>
      <w:r w:rsidR="00203F72" w:rsidRPr="00515D85">
        <w:t>須為上開</w:t>
      </w:r>
      <w:hyperlink r:id="rId2052" w:history="1">
        <w:r w:rsidR="005532CF" w:rsidRPr="005532CF">
          <w:rPr>
            <w:rStyle w:val="a5"/>
            <w:rFonts w:ascii="Times New Roman" w:eastAsia="新細明體" w:hAnsi="Times New Roman"/>
          </w:rPr>
          <w:t>ICCPR</w:t>
        </w:r>
      </w:hyperlink>
      <w:r w:rsidR="00203F72" w:rsidRPr="00515D85">
        <w:t>之締約國；</w:t>
      </w:r>
      <w:r w:rsidR="00203F72" w:rsidRPr="00515D85">
        <w:t>2.</w:t>
      </w:r>
      <w:r w:rsidR="00203F72" w:rsidRPr="00515D85">
        <w:t>該國除了是</w:t>
      </w:r>
      <w:hyperlink r:id="rId2053" w:history="1">
        <w:r w:rsidR="005532CF" w:rsidRPr="005532CF">
          <w:rPr>
            <w:rStyle w:val="a5"/>
            <w:rFonts w:ascii="Times New Roman" w:eastAsia="新細明體" w:hAnsi="Times New Roman"/>
          </w:rPr>
          <w:t>ICCPR</w:t>
        </w:r>
      </w:hyperlink>
      <w:r w:rsidR="00203F72" w:rsidRPr="00515D85">
        <w:t>之締約國之外，尚須是「公民與政治權利國際公約任擇議定書」（</w:t>
      </w:r>
      <w:r w:rsidR="00203F72" w:rsidRPr="00515D85">
        <w:t>Optional Protocol to the International Covenant on Civil and Political Rights</w:t>
      </w:r>
      <w:r w:rsidR="00203F72" w:rsidRPr="00515D85">
        <w:t>，簡稱為</w:t>
      </w:r>
      <w:r w:rsidR="00203F72" w:rsidRPr="00515D85">
        <w:t>OPICCPR</w:t>
      </w:r>
      <w:r w:rsidR="00203F72" w:rsidRPr="00515D85">
        <w:t>）之締約國；</w:t>
      </w:r>
      <w:r w:rsidR="00203F72" w:rsidRPr="00515D85">
        <w:t>3.</w:t>
      </w:r>
      <w:r w:rsidR="00203F72" w:rsidRPr="00515D85">
        <w:t>外國人所處之國家，該國必須批准</w:t>
      </w:r>
      <w:hyperlink r:id="rId2054" w:history="1">
        <w:r w:rsidR="005532CF" w:rsidRPr="005532CF">
          <w:rPr>
            <w:rStyle w:val="a5"/>
            <w:rFonts w:ascii="Times New Roman" w:eastAsia="新細明體" w:hAnsi="Times New Roman"/>
          </w:rPr>
          <w:t>ICCPR</w:t>
        </w:r>
      </w:hyperlink>
      <w:r w:rsidR="00203F72" w:rsidRPr="00515D85">
        <w:t>與上開議定書，同時，將其存放於聯合國；</w:t>
      </w:r>
      <w:r w:rsidR="00203F72" w:rsidRPr="00515D85">
        <w:t>4.</w:t>
      </w:r>
      <w:r w:rsidR="00203F72" w:rsidRPr="00515D85">
        <w:t>遭受地主國強制驅逐出國處分之外國人，於用盡一切之救濟手段之後</w:t>
      </w:r>
      <w:r w:rsidR="00203F72" w:rsidRPr="00515D85">
        <w:footnoteReference w:id="769"/>
      </w:r>
      <w:r w:rsidR="00203F72" w:rsidRPr="00515D85">
        <w:t>，可向由</w:t>
      </w:r>
      <w:hyperlink r:id="rId2055" w:history="1">
        <w:r w:rsidR="005532CF" w:rsidRPr="005532CF">
          <w:rPr>
            <w:rStyle w:val="a5"/>
            <w:rFonts w:ascii="Times New Roman" w:eastAsia="新細明體" w:hAnsi="Times New Roman"/>
          </w:rPr>
          <w:t>ICCPR</w:t>
        </w:r>
      </w:hyperlink>
      <w:r w:rsidR="00203F72" w:rsidRPr="00515D85">
        <w:t>所授權成立之</w:t>
      </w:r>
      <w:r w:rsidR="00203F72" w:rsidRPr="00515D85">
        <w:t>HRC</w:t>
      </w:r>
      <w:r w:rsidR="00203F72" w:rsidRPr="00515D85">
        <w:t>提出申訴，提請</w:t>
      </w:r>
      <w:r w:rsidR="00203F72" w:rsidRPr="00515D85">
        <w:t>HRC</w:t>
      </w:r>
      <w:r w:rsidR="00203F72" w:rsidRPr="00515D85">
        <w:t>作公正之裁決；</w:t>
      </w:r>
      <w:r w:rsidR="00203F72" w:rsidRPr="00515D85">
        <w:t>5.</w:t>
      </w:r>
      <w:r w:rsidR="00203F72" w:rsidRPr="00515D85">
        <w:t>受處分人須向</w:t>
      </w:r>
      <w:r w:rsidR="00203F72" w:rsidRPr="00515D85">
        <w:t>HRC</w:t>
      </w:r>
      <w:r w:rsidR="00203F72" w:rsidRPr="00515D85">
        <w:t>提出「個人申訴書」；</w:t>
      </w:r>
      <w:r w:rsidR="00203F72" w:rsidRPr="00515D85">
        <w:t>6.</w:t>
      </w:r>
      <w:r w:rsidR="00203F72" w:rsidRPr="00515D85">
        <w:t>指控者（即申訴人）如果使用匿名之方式，或被</w:t>
      </w:r>
      <w:r w:rsidR="00203F72" w:rsidRPr="00515D85">
        <w:t>HRC</w:t>
      </w:r>
      <w:r w:rsidR="00203F72" w:rsidRPr="00515D85">
        <w:t>認定個人申訴書濫權指控，或與</w:t>
      </w:r>
      <w:hyperlink r:id="rId2056" w:history="1">
        <w:r w:rsidR="005532CF" w:rsidRPr="005532CF">
          <w:rPr>
            <w:rStyle w:val="a5"/>
            <w:rFonts w:ascii="Times New Roman" w:eastAsia="新細明體" w:hAnsi="Times New Roman"/>
          </w:rPr>
          <w:t>ICCPR</w:t>
        </w:r>
      </w:hyperlink>
      <w:r w:rsidR="00203F72" w:rsidRPr="00515D85">
        <w:t>之相關條款不合，則</w:t>
      </w:r>
      <w:r w:rsidR="00203F72" w:rsidRPr="00515D85">
        <w:t>HRC</w:t>
      </w:r>
      <w:r w:rsidR="00203F72" w:rsidRPr="00515D85">
        <w:t>將不予受理上述之「個人申訴書」；</w:t>
      </w:r>
      <w:r w:rsidR="00203F72" w:rsidRPr="00515D85">
        <w:t>7.</w:t>
      </w:r>
      <w:r w:rsidR="00203F72" w:rsidRPr="00515D85">
        <w:t>個人申訴書所指控之侵權事件，不得在任何其他之國際調查或解決程序中正在處理者</w:t>
      </w:r>
      <w:r w:rsidR="00203F72" w:rsidRPr="00515D85">
        <w:footnoteReference w:id="770"/>
      </w:r>
      <w:r w:rsidR="00203F72" w:rsidRPr="00515D85">
        <w:t>。</w:t>
      </w:r>
    </w:p>
    <w:p w14:paraId="0ED87820" w14:textId="77777777" w:rsidR="00953151" w:rsidRPr="00515D85" w:rsidRDefault="00E60AF2" w:rsidP="00D87D91">
      <w:r w:rsidRPr="00515D85">
        <w:t xml:space="preserve">　　</w:t>
      </w:r>
      <w:r w:rsidR="00203F72" w:rsidRPr="00515D85">
        <w:t>根據上開</w:t>
      </w:r>
      <w:r w:rsidR="00203F72" w:rsidRPr="00515D85">
        <w:t>OPICCPR</w:t>
      </w:r>
      <w:r w:rsidR="00203F72" w:rsidRPr="00515D85">
        <w:t>第</w:t>
      </w:r>
      <w:r w:rsidR="00203F72" w:rsidRPr="00515D85">
        <w:t>4</w:t>
      </w:r>
      <w:r w:rsidR="00203F72" w:rsidRPr="00515D85">
        <w:t>條第</w:t>
      </w:r>
      <w:r w:rsidR="00203F72" w:rsidRPr="00515D85">
        <w:t>1</w:t>
      </w:r>
      <w:r w:rsidR="00203F72" w:rsidRPr="00515D85">
        <w:t>項之規定，「委員會（</w:t>
      </w:r>
      <w:r w:rsidR="00203F72" w:rsidRPr="00515D85">
        <w:t>HRC</w:t>
      </w:r>
      <w:r w:rsidR="00203F72" w:rsidRPr="00515D85">
        <w:t>）應將根據本議定書（</w:t>
      </w:r>
      <w:r w:rsidR="00203F72" w:rsidRPr="00515D85">
        <w:t>OPICCPR</w:t>
      </w:r>
      <w:r w:rsidR="00203F72" w:rsidRPr="00515D85">
        <w:t>）所提出之任何來文（此指個人申訴書）提請被控違反公約（此指</w:t>
      </w:r>
      <w:hyperlink r:id="rId2057" w:history="1">
        <w:r w:rsidR="005532CF" w:rsidRPr="005532CF">
          <w:rPr>
            <w:rStyle w:val="a5"/>
            <w:rFonts w:ascii="Times New Roman" w:eastAsia="新細明體" w:hAnsi="Times New Roman"/>
          </w:rPr>
          <w:t>ICCPR</w:t>
        </w:r>
      </w:hyperlink>
      <w:r w:rsidR="00203F72" w:rsidRPr="00515D85">
        <w:t>）任何規定之本議定書締約國注意。」依據上述之規定，當</w:t>
      </w:r>
      <w:r w:rsidR="00203F72" w:rsidRPr="00515D85">
        <w:t>HRC</w:t>
      </w:r>
      <w:r w:rsidR="00203F72" w:rsidRPr="00515D85">
        <w:t>收到「個人申訴書」之後，會將此申訴書提請</w:t>
      </w:r>
      <w:r w:rsidR="00203F72" w:rsidRPr="00515D85">
        <w:t>OPICCPR</w:t>
      </w:r>
      <w:r w:rsidR="00203F72" w:rsidRPr="00515D85">
        <w:t>之締約國（此處乃指被控告之國家）加以注意。</w:t>
      </w:r>
    </w:p>
    <w:p w14:paraId="21851707" w14:textId="77777777" w:rsidR="00953151" w:rsidRDefault="00E60AF2" w:rsidP="00D87D91">
      <w:r w:rsidRPr="00515D85">
        <w:t xml:space="preserve">　　</w:t>
      </w:r>
      <w:r w:rsidR="00203F72" w:rsidRPr="00515D85">
        <w:t>被控告之國家，於收到上述由</w:t>
      </w:r>
      <w:r w:rsidR="00203F72" w:rsidRPr="00515D85">
        <w:t>HRC</w:t>
      </w:r>
      <w:r w:rsidR="00203F72" w:rsidRPr="00515D85">
        <w:t>所轉送之個人申訴書之後，須進行必要之處置。根據</w:t>
      </w:r>
      <w:r w:rsidR="00203F72" w:rsidRPr="00515D85">
        <w:t>OPICCPR</w:t>
      </w:r>
      <w:r w:rsidR="00203F72" w:rsidRPr="00515D85">
        <w:t>第</w:t>
      </w:r>
      <w:r w:rsidR="00203F72" w:rsidRPr="00515D85">
        <w:t>4</w:t>
      </w:r>
      <w:r w:rsidR="00203F72" w:rsidRPr="00515D85">
        <w:t>條第</w:t>
      </w:r>
      <w:r w:rsidR="00203F72" w:rsidRPr="00515D85">
        <w:t>2</w:t>
      </w:r>
      <w:r w:rsidR="00203F72" w:rsidRPr="00515D85">
        <w:t>項之規範，「收到通知之國家，應於</w:t>
      </w:r>
      <w:r w:rsidR="00203F72" w:rsidRPr="00515D85">
        <w:t>6</w:t>
      </w:r>
      <w:r w:rsidR="00203F72" w:rsidRPr="00515D85">
        <w:t>個月內以書面向委員會</w:t>
      </w:r>
      <w:r w:rsidR="00203F72" w:rsidRPr="00515D85">
        <w:t>(</w:t>
      </w:r>
      <w:r w:rsidR="00203F72" w:rsidRPr="00515D85">
        <w:t>此指</w:t>
      </w:r>
      <w:r w:rsidR="00203F72" w:rsidRPr="00515D85">
        <w:t>HRC)</w:t>
      </w:r>
      <w:r w:rsidR="00203F72" w:rsidRPr="00515D85">
        <w:t>提出解釋或聲明，說明原委，如該國業已採取救濟辦法，則應一併說明。」根據上述之要求，被指控國家於收到上開之個人申訴書之後，須於</w:t>
      </w:r>
      <w:r w:rsidR="00203F72" w:rsidRPr="00515D85">
        <w:t>6</w:t>
      </w:r>
      <w:r w:rsidR="00203F72" w:rsidRPr="00515D85">
        <w:t>個月之內，利用書面之方式，向</w:t>
      </w:r>
      <w:r w:rsidR="00203F72" w:rsidRPr="00515D85">
        <w:t>HRC</w:t>
      </w:r>
      <w:r w:rsidR="00203F72" w:rsidRPr="00515D85">
        <w:t>提出報告，說明整個案件之來龍去脈，併說明該國之補濟措施。</w:t>
      </w:r>
      <w:r w:rsidR="00203F72" w:rsidRPr="00515D85">
        <w:t>HRC</w:t>
      </w:r>
      <w:r w:rsidR="00203F72" w:rsidRPr="00515D85">
        <w:t>於收到上開被指控國家之報告後，以不公開之方式舉行會議</w:t>
      </w:r>
      <w:r w:rsidR="00203F72" w:rsidRPr="00515D85">
        <w:footnoteReference w:id="771"/>
      </w:r>
      <w:r w:rsidR="00203F72" w:rsidRPr="00515D85">
        <w:t>，提出</w:t>
      </w:r>
      <w:r w:rsidR="00203F72" w:rsidRPr="00515D85">
        <w:t>HRC</w:t>
      </w:r>
      <w:r w:rsidR="00203F72" w:rsidRPr="00515D85">
        <w:t>本身之裁定看法，最後，向被指控國家與提交申訴書之個人，送交</w:t>
      </w:r>
      <w:r w:rsidR="00203F72" w:rsidRPr="00515D85">
        <w:t>HRC</w:t>
      </w:r>
      <w:r w:rsidR="00203F72" w:rsidRPr="00515D85">
        <w:t>之裁決意見。</w:t>
      </w:r>
    </w:p>
    <w:p w14:paraId="09D13240" w14:textId="77777777" w:rsidR="00515D85" w:rsidRDefault="00515D85" w:rsidP="00162A78">
      <w:pPr>
        <w:jc w:val="right"/>
        <w:rPr>
          <w:rFonts w:ascii="新細明體" w:hAnsi="新細明體"/>
        </w:rPr>
      </w:pPr>
      <w:r w:rsidRPr="0026266A">
        <w:rPr>
          <w:rFonts w:hint="eastAsia"/>
        </w:rPr>
        <w:t>。。。。。。。。。。。。。。。。。。。。。。。。。</w:t>
      </w:r>
      <w:hyperlink w:anchor="a目次37" w:history="1">
        <w:r>
          <w:rPr>
            <w:rStyle w:val="a5"/>
            <w:sz w:val="18"/>
          </w:rPr>
          <w:t>回目次</w:t>
        </w:r>
      </w:hyperlink>
      <w:r w:rsidR="00E91F89">
        <w:rPr>
          <w:rFonts w:ascii="新細明體" w:hAnsi="新細明體"/>
          <w:color w:val="808000"/>
        </w:rPr>
        <w:t>〉〉</w:t>
      </w:r>
    </w:p>
    <w:p w14:paraId="39817866" w14:textId="77777777" w:rsidR="00515D85" w:rsidRPr="00515D85" w:rsidRDefault="00515D85" w:rsidP="00D87D91"/>
    <w:p w14:paraId="36F4AEE8" w14:textId="77777777" w:rsidR="00953151" w:rsidRDefault="00203F72" w:rsidP="00767F37">
      <w:pPr>
        <w:pStyle w:val="2"/>
      </w:pPr>
      <w:bookmarkStart w:id="101" w:name="_參、聯合國人權事務委員會Ahani驅逐出國案例之案情介紹"/>
      <w:bookmarkEnd w:id="101"/>
      <w:r w:rsidRPr="00A53581">
        <w:t>參、聯合國人權事務委員會</w:t>
      </w:r>
      <w:r w:rsidRPr="00A53581">
        <w:t>Ahani</w:t>
      </w:r>
      <w:r w:rsidRPr="00A53581">
        <w:t>驅逐出國案例之案情介紹</w:t>
      </w:r>
    </w:p>
    <w:p w14:paraId="63E6C98E" w14:textId="77777777" w:rsidR="00953151" w:rsidRPr="00515D85" w:rsidRDefault="00E60AF2" w:rsidP="00D87D91">
      <w:r w:rsidRPr="00515D85">
        <w:t xml:space="preserve">　　</w:t>
      </w:r>
      <w:r w:rsidR="00203F72" w:rsidRPr="00515D85">
        <w:t>以下，擬針對於</w:t>
      </w:r>
      <w:r w:rsidR="00203F72" w:rsidRPr="00515D85">
        <w:t>2004</w:t>
      </w:r>
      <w:r w:rsidR="00203F72" w:rsidRPr="00515D85">
        <w:t>年聯合國人權事務委員會</w:t>
      </w:r>
      <w:r w:rsidR="00203F72" w:rsidRPr="00515D85">
        <w:t>Ahani</w:t>
      </w:r>
      <w:r w:rsidR="00203F72" w:rsidRPr="00515D85">
        <w:t>驅逐出國之案例，先作重點摘要式之介紹。於</w:t>
      </w:r>
      <w:r w:rsidR="00203F72" w:rsidRPr="00515D85">
        <w:t>2004</w:t>
      </w:r>
      <w:r w:rsidR="00203F72" w:rsidRPr="00515D85">
        <w:t>年</w:t>
      </w:r>
      <w:r w:rsidR="00203F72" w:rsidRPr="00515D85">
        <w:t>Mansour Ahani v. Canada</w:t>
      </w:r>
      <w:r w:rsidR="00203F72" w:rsidRPr="00515D85">
        <w:t>乙案之中</w:t>
      </w:r>
      <w:r w:rsidR="00203F72" w:rsidRPr="00515D85">
        <w:footnoteReference w:id="772"/>
      </w:r>
      <w:r w:rsidR="00203F72" w:rsidRPr="00515D85">
        <w:t>，被遭受驅逐出國之被害人，係一名男性伊朗人，於</w:t>
      </w:r>
      <w:r w:rsidR="00203F72" w:rsidRPr="00515D85">
        <w:t>2002</w:t>
      </w:r>
      <w:r w:rsidR="00203F72" w:rsidRPr="00515D85">
        <w:t>年元月</w:t>
      </w:r>
      <w:r w:rsidR="00203F72" w:rsidRPr="00515D85">
        <w:t>10</w:t>
      </w:r>
      <w:r w:rsidR="00203F72" w:rsidRPr="00515D85">
        <w:t>日，透由辯護律師（</w:t>
      </w:r>
      <w:r w:rsidR="00203F72" w:rsidRPr="00515D85">
        <w:t>counsel</w:t>
      </w:r>
      <w:r w:rsidR="00203F72" w:rsidRPr="00515D85">
        <w:t>）之協助與代理，將其個人之申訴案件，於上述之日期，陳交給聯合國人權事務委員會（</w:t>
      </w:r>
      <w:r w:rsidR="00203F72" w:rsidRPr="00515D85">
        <w:t>HRC</w:t>
      </w:r>
      <w:r w:rsidR="00203F72" w:rsidRPr="00515D85">
        <w:t>）；當本案送達</w:t>
      </w:r>
      <w:r w:rsidR="00203F72" w:rsidRPr="00515D85">
        <w:t>HRC</w:t>
      </w:r>
      <w:r w:rsidR="00203F72" w:rsidRPr="00515D85">
        <w:t>之後，</w:t>
      </w:r>
      <w:r w:rsidR="00203F72" w:rsidRPr="00515D85">
        <w:t>HRC</w:t>
      </w:r>
      <w:r w:rsidR="00203F72" w:rsidRPr="00515D85">
        <w:t>正式收件，並給予本案一個案號，此案號為</w:t>
      </w:r>
      <w:r w:rsidR="00203F72" w:rsidRPr="00515D85">
        <w:t>CCPR/C/80/D/1051/2002</w:t>
      </w:r>
      <w:r w:rsidR="00203F72" w:rsidRPr="00515D85">
        <w:t>；在本案之案情方面，如下所述：</w:t>
      </w:r>
      <w:r w:rsidR="00203F72" w:rsidRPr="00515D85">
        <w:t>Mansour Ahani</w:t>
      </w:r>
      <w:r w:rsidR="00203F72" w:rsidRPr="00515D85">
        <w:t>是本案件之申訴人（</w:t>
      </w:r>
      <w:r w:rsidR="00203F72" w:rsidRPr="00515D85">
        <w:t>the author of the communication</w:t>
      </w:r>
      <w:r w:rsidR="00203F72" w:rsidRPr="00515D85">
        <w:t>），出生於</w:t>
      </w:r>
      <w:r w:rsidR="00203F72" w:rsidRPr="00515D85">
        <w:t>1964</w:t>
      </w:r>
      <w:r w:rsidR="00203F72" w:rsidRPr="00515D85">
        <w:t>年</w:t>
      </w:r>
      <w:r w:rsidR="00203F72" w:rsidRPr="00515D85">
        <w:t>12</w:t>
      </w:r>
      <w:r w:rsidR="00203F72" w:rsidRPr="00515D85">
        <w:t>月</w:t>
      </w:r>
      <w:r w:rsidR="00203F72" w:rsidRPr="00515D85">
        <w:t>31</w:t>
      </w:r>
      <w:r w:rsidR="00203F72" w:rsidRPr="00515D85">
        <w:t>日；在他向</w:t>
      </w:r>
      <w:r w:rsidR="00203F72" w:rsidRPr="00515D85">
        <w:t>HRC</w:t>
      </w:r>
      <w:r w:rsidR="00203F72" w:rsidRPr="00515D85">
        <w:t>提出申訴之時，被加拿大政府收容於漢密爾頓之</w:t>
      </w:r>
      <w:r w:rsidR="00203F72" w:rsidRPr="00515D85">
        <w:t>Wentworth</w:t>
      </w:r>
      <w:r w:rsidR="00203F72" w:rsidRPr="00515D85">
        <w:t>收容中心（</w:t>
      </w:r>
      <w:r w:rsidR="00203F72" w:rsidRPr="00515D85">
        <w:t>was detained in Hamilton Wentworth Detention Centre</w:t>
      </w:r>
      <w:r w:rsidR="00203F72" w:rsidRPr="00515D85">
        <w:t>），此一移民收容中心位於加拿大安大略省之漢密爾頓地區（</w:t>
      </w:r>
      <w:r w:rsidR="00203F72" w:rsidRPr="00515D85">
        <w:t>Hamilton, Ontario</w:t>
      </w:r>
      <w:r w:rsidR="00203F72" w:rsidRPr="00515D85">
        <w:t>）。</w:t>
      </w:r>
    </w:p>
    <w:p w14:paraId="27CF2D2C" w14:textId="77777777" w:rsidR="00953151" w:rsidRPr="00515D85" w:rsidRDefault="00E60AF2" w:rsidP="00D87D91">
      <w:r w:rsidRPr="00515D85">
        <w:t xml:space="preserve">　　</w:t>
      </w:r>
      <w:r w:rsidR="00203F72" w:rsidRPr="00515D85">
        <w:t>Ahani</w:t>
      </w:r>
      <w:r w:rsidR="00203F72" w:rsidRPr="00515D85">
        <w:t>因涉嫌從事恐怖活動，故其案件於</w:t>
      </w:r>
      <w:r w:rsidR="00203F72" w:rsidRPr="00515D85">
        <w:t>2002</w:t>
      </w:r>
      <w:r w:rsidR="00203F72" w:rsidRPr="00515D85">
        <w:t>年時，繫屬於加拿大最高法院（</w:t>
      </w:r>
      <w:r w:rsidR="00203F72" w:rsidRPr="00515D85">
        <w:t>the Supreme Court of Canada</w:t>
      </w:r>
      <w:r w:rsidR="00203F72" w:rsidRPr="00515D85">
        <w:t>）；在</w:t>
      </w:r>
      <w:r w:rsidR="00203F72" w:rsidRPr="00515D85">
        <w:t>Ahani</w:t>
      </w:r>
      <w:r w:rsidR="00203F72" w:rsidRPr="00515D85">
        <w:t>向</w:t>
      </w:r>
      <w:r w:rsidR="00203F72" w:rsidRPr="00515D85">
        <w:t>HRC</w:t>
      </w:r>
      <w:r w:rsidR="00203F72" w:rsidRPr="00515D85">
        <w:t>所提起之申訴書之中，他訴求之重點，在於加拿大對他本人所進行之移民收容與驅逐出國之決定，業已違反</w:t>
      </w:r>
      <w:r w:rsidR="00203F72" w:rsidRPr="00515D85">
        <w:t>ICCPR</w:t>
      </w:r>
      <w:r w:rsidR="00203F72" w:rsidRPr="00515D85">
        <w:t>中</w:t>
      </w:r>
      <w:hyperlink r:id="rId2058" w:anchor="a2" w:history="1">
        <w:r w:rsidR="00203F72" w:rsidRPr="00AD010C">
          <w:rPr>
            <w:rStyle w:val="a5"/>
            <w:rFonts w:ascii="Times New Roman" w:hAnsi="Times New Roman"/>
          </w:rPr>
          <w:t>第</w:t>
        </w:r>
        <w:r w:rsidR="00203F72" w:rsidRPr="00AD010C">
          <w:rPr>
            <w:rStyle w:val="a5"/>
            <w:rFonts w:ascii="Times New Roman" w:hAnsi="Times New Roman"/>
          </w:rPr>
          <w:t>2</w:t>
        </w:r>
        <w:r w:rsidR="00203F72" w:rsidRPr="00AD010C">
          <w:rPr>
            <w:rStyle w:val="a5"/>
            <w:rFonts w:ascii="Times New Roman" w:hAnsi="Times New Roman"/>
          </w:rPr>
          <w:t>條</w:t>
        </w:r>
      </w:hyperlink>
      <w:r w:rsidR="00203F72" w:rsidRPr="00515D85">
        <w:footnoteReference w:id="773"/>
      </w:r>
      <w:r w:rsidR="00203F72" w:rsidRPr="00515D85">
        <w:t>、</w:t>
      </w:r>
      <w:hyperlink r:id="rId2059" w:anchor="a6"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6</w:t>
        </w:r>
        <w:r w:rsidR="00203F72" w:rsidRPr="005D3252">
          <w:rPr>
            <w:rStyle w:val="a5"/>
            <w:rFonts w:ascii="Times New Roman" w:eastAsia="新細明體" w:hAnsi="Times New Roman"/>
          </w:rPr>
          <w:t>條</w:t>
        </w:r>
      </w:hyperlink>
      <w:r w:rsidR="00203F72" w:rsidRPr="00515D85">
        <w:footnoteReference w:id="774"/>
      </w:r>
      <w:r w:rsidR="00203F72" w:rsidRPr="00515D85">
        <w:t>、</w:t>
      </w:r>
      <w:hyperlink r:id="rId2060" w:anchor="a7"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7</w:t>
        </w:r>
        <w:r w:rsidR="00203F72" w:rsidRPr="005D3252">
          <w:rPr>
            <w:rStyle w:val="a5"/>
            <w:rFonts w:ascii="Times New Roman" w:eastAsia="新細明體" w:hAnsi="Times New Roman"/>
          </w:rPr>
          <w:t>條</w:t>
        </w:r>
      </w:hyperlink>
      <w:r w:rsidR="00203F72" w:rsidRPr="00515D85">
        <w:footnoteReference w:id="775"/>
      </w:r>
      <w:r w:rsidR="00203F72" w:rsidRPr="00515D85">
        <w:t>、</w:t>
      </w:r>
      <w:hyperlink r:id="rId2061" w:anchor="a9"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9</w:t>
        </w:r>
        <w:r w:rsidR="00203F72" w:rsidRPr="005D3252">
          <w:rPr>
            <w:rStyle w:val="a5"/>
            <w:rFonts w:ascii="Times New Roman" w:eastAsia="新細明體" w:hAnsi="Times New Roman"/>
          </w:rPr>
          <w:t>條</w:t>
        </w:r>
      </w:hyperlink>
      <w:r w:rsidR="00203F72" w:rsidRPr="00515D85">
        <w:footnoteReference w:id="776"/>
      </w:r>
      <w:r w:rsidR="00203F72" w:rsidRPr="00515D85">
        <w:t>、</w:t>
      </w:r>
      <w:hyperlink r:id="rId2062" w:anchor="a13"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13</w:t>
        </w:r>
        <w:r w:rsidR="00203F72" w:rsidRPr="005D3252">
          <w:rPr>
            <w:rStyle w:val="a5"/>
            <w:rFonts w:ascii="Times New Roman" w:eastAsia="新細明體" w:hAnsi="Times New Roman"/>
          </w:rPr>
          <w:t>條</w:t>
        </w:r>
      </w:hyperlink>
      <w:r w:rsidR="00203F72" w:rsidRPr="00515D85">
        <w:footnoteReference w:id="777"/>
      </w:r>
      <w:r w:rsidR="00203F72" w:rsidRPr="00515D85">
        <w:t>及</w:t>
      </w:r>
      <w:hyperlink r:id="rId2063" w:anchor="a14"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14</w:t>
        </w:r>
        <w:r w:rsidR="00203F72" w:rsidRPr="005D3252">
          <w:rPr>
            <w:rStyle w:val="a5"/>
            <w:rFonts w:ascii="Times New Roman" w:eastAsia="新細明體" w:hAnsi="Times New Roman"/>
          </w:rPr>
          <w:t>條</w:t>
        </w:r>
      </w:hyperlink>
      <w:r w:rsidR="00203F72" w:rsidRPr="00515D85">
        <w:footnoteReference w:id="778"/>
      </w:r>
      <w:r w:rsidR="00203F72" w:rsidRPr="00515D85">
        <w:t>之規範。</w:t>
      </w:r>
      <w:r w:rsidR="00203F72" w:rsidRPr="00515D85">
        <w:t>Ahani</w:t>
      </w:r>
      <w:r w:rsidR="00203F72" w:rsidRPr="00515D85">
        <w:t>最初向</w:t>
      </w:r>
      <w:r w:rsidR="00203F72" w:rsidRPr="00515D85">
        <w:t>HRC</w:t>
      </w:r>
      <w:r w:rsidR="00203F72" w:rsidRPr="00515D85">
        <w:t>提出申訴之時間（</w:t>
      </w:r>
      <w:r w:rsidR="00203F72" w:rsidRPr="00515D85">
        <w:t>initial submission</w:t>
      </w:r>
      <w:r w:rsidR="00203F72" w:rsidRPr="00515D85">
        <w:t>），係為</w:t>
      </w:r>
      <w:r w:rsidR="00203F72" w:rsidRPr="00515D85">
        <w:t>2002</w:t>
      </w:r>
      <w:r w:rsidR="00203F72" w:rsidRPr="00515D85">
        <w:t>年元月</w:t>
      </w:r>
      <w:r w:rsidR="00203F72" w:rsidRPr="00515D85">
        <w:t>10</w:t>
      </w:r>
      <w:r w:rsidR="00203F72" w:rsidRPr="00515D85">
        <w:t>日；隔日，亦即，於</w:t>
      </w:r>
      <w:r w:rsidR="00203F72" w:rsidRPr="00515D85">
        <w:t>2002</w:t>
      </w:r>
      <w:r w:rsidR="00203F72" w:rsidRPr="00515D85">
        <w:t>年元月</w:t>
      </w:r>
      <w:r w:rsidR="00203F72" w:rsidRPr="00515D85">
        <w:t>11</w:t>
      </w:r>
      <w:r w:rsidR="00203F72" w:rsidRPr="00515D85">
        <w:t>日，</w:t>
      </w:r>
      <w:r w:rsidR="00203F72" w:rsidRPr="00515D85">
        <w:t>HRC</w:t>
      </w:r>
      <w:r w:rsidR="00203F72" w:rsidRPr="00515D85">
        <w:t>即採取行動，俾利保障</w:t>
      </w:r>
      <w:r w:rsidR="00203F72" w:rsidRPr="00515D85">
        <w:t>Ahani</w:t>
      </w:r>
      <w:r w:rsidR="00203F72" w:rsidRPr="00515D85">
        <w:t>之權利；</w:t>
      </w:r>
      <w:r w:rsidR="00203F72" w:rsidRPr="00515D85">
        <w:t>HRC</w:t>
      </w:r>
      <w:r w:rsidR="00203F72" w:rsidRPr="00515D85">
        <w:t>所採取之快速處理措施，即先指派特別報告員（</w:t>
      </w:r>
      <w:r w:rsidR="00203F72" w:rsidRPr="00515D85">
        <w:t>Special Rapporteur</w:t>
      </w:r>
      <w:r w:rsidR="00203F72" w:rsidRPr="00515D85">
        <w:t>）瞭解本案；特別報告員在掌握本案之案情後，以非常迅速之作法，即</w:t>
      </w:r>
      <w:r w:rsidR="00203F72" w:rsidRPr="00515D85">
        <w:t>2002</w:t>
      </w:r>
      <w:r w:rsidR="00203F72" w:rsidRPr="00515D85">
        <w:t>年元月</w:t>
      </w:r>
      <w:r w:rsidR="00203F72" w:rsidRPr="00515D85">
        <w:t>11</w:t>
      </w:r>
      <w:r w:rsidR="00203F72" w:rsidRPr="00515D85">
        <w:t>日，以</w:t>
      </w:r>
      <w:r w:rsidR="00203F72" w:rsidRPr="00515D85">
        <w:t>HRC</w:t>
      </w:r>
      <w:r w:rsidR="00203F72" w:rsidRPr="00515D85">
        <w:t>之名義，要求加拿大政府於加國最高法院裁判將</w:t>
      </w:r>
      <w:r w:rsidR="00203F72" w:rsidRPr="00515D85">
        <w:t>Ahani</w:t>
      </w:r>
      <w:r w:rsidR="00203F72" w:rsidRPr="00515D85">
        <w:t>驅逐回伊朗之判決（</w:t>
      </w:r>
      <w:r w:rsidR="00203F72" w:rsidRPr="00515D85">
        <w:t>permit the author’s deportation</w:t>
      </w:r>
      <w:r w:rsidR="00203F72" w:rsidRPr="00515D85">
        <w:t>）之後，先勿執行驅逐出國之裁判（</w:t>
      </w:r>
      <w:r w:rsidR="00203F72" w:rsidRPr="00515D85">
        <w:t>to refrain from deportation</w:t>
      </w:r>
      <w:r w:rsidR="00203F72" w:rsidRPr="00515D85">
        <w:t>），以利</w:t>
      </w:r>
      <w:r w:rsidR="00203F72" w:rsidRPr="00515D85">
        <w:t>HRC</w:t>
      </w:r>
      <w:r w:rsidR="00203F72" w:rsidRPr="00515D85">
        <w:t>有機會正式審理</w:t>
      </w:r>
      <w:r w:rsidR="00203F72" w:rsidRPr="00515D85">
        <w:t>Ahani</w:t>
      </w:r>
      <w:r w:rsidR="00203F72" w:rsidRPr="00515D85">
        <w:t>之申述案件（</w:t>
      </w:r>
      <w:r w:rsidR="00203F72" w:rsidRPr="00515D85">
        <w:t>until the Committee had an opportunity to consider the allegations</w:t>
      </w:r>
      <w:r w:rsidR="00203F72" w:rsidRPr="00515D85">
        <w:t>）；</w:t>
      </w:r>
      <w:r w:rsidR="00203F72" w:rsidRPr="00515D85">
        <w:t>HRC</w:t>
      </w:r>
      <w:r w:rsidR="00203F72" w:rsidRPr="00515D85">
        <w:t>之所以會要求加國先勿執行最高法院有關於將</w:t>
      </w:r>
      <w:r w:rsidR="00203F72" w:rsidRPr="00515D85">
        <w:t>Ahani</w:t>
      </w:r>
      <w:r w:rsidR="00203F72" w:rsidRPr="00515D85">
        <w:t>驅逐回伊朗之判決；主要之考量點，因</w:t>
      </w:r>
      <w:r w:rsidR="00203F72" w:rsidRPr="00515D85">
        <w:t>HRC</w:t>
      </w:r>
      <w:r w:rsidR="00203F72" w:rsidRPr="00515D85">
        <w:t>特別關注於</w:t>
      </w:r>
      <w:r w:rsidR="00203F72" w:rsidRPr="00515D85">
        <w:t>Ahani</w:t>
      </w:r>
      <w:r w:rsidR="00203F72" w:rsidRPr="00515D85">
        <w:t>於申請書中所陳述之問題，即如將其遣返回伊朗，將會受到酷刑（</w:t>
      </w:r>
      <w:r w:rsidR="00203F72" w:rsidRPr="00515D85">
        <w:t>torture</w:t>
      </w:r>
      <w:r w:rsidR="00203F72" w:rsidRPr="00515D85">
        <w:t>）、其他非人道待遇（</w:t>
      </w:r>
      <w:r w:rsidR="00203F72" w:rsidRPr="00515D85">
        <w:t>other inhuman treatment</w:t>
      </w:r>
      <w:r w:rsidR="00203F72" w:rsidRPr="00515D85">
        <w:t>），或甚至恐會受到死刑之待遇（</w:t>
      </w:r>
      <w:r w:rsidR="00203F72" w:rsidRPr="00515D85">
        <w:t>death</w:t>
      </w:r>
      <w:r w:rsidR="00203F72" w:rsidRPr="00515D85">
        <w:t>）之案情。</w:t>
      </w:r>
    </w:p>
    <w:p w14:paraId="5204A9A1" w14:textId="77777777" w:rsidR="00953151" w:rsidRPr="00515D85" w:rsidRDefault="00E60AF2" w:rsidP="00D87D91">
      <w:r w:rsidRPr="00515D85">
        <w:t xml:space="preserve">　　</w:t>
      </w:r>
      <w:r w:rsidR="00203F72" w:rsidRPr="00515D85">
        <w:t>上述</w:t>
      </w:r>
      <w:r w:rsidR="00203F72" w:rsidRPr="00515D85">
        <w:t>HRC</w:t>
      </w:r>
      <w:r w:rsidR="00203F72" w:rsidRPr="00515D85">
        <w:t>對於加國之要求，係屬於一種「暫時性權利保障之措施」（</w:t>
      </w:r>
      <w:r w:rsidR="00203F72" w:rsidRPr="00515D85">
        <w:t>interim measures of protection</w:t>
      </w:r>
      <w:r w:rsidR="00203F72" w:rsidRPr="00515D85">
        <w:t>）；於</w:t>
      </w:r>
      <w:r w:rsidR="00203F72" w:rsidRPr="00515D85">
        <w:t>2002</w:t>
      </w:r>
      <w:r w:rsidR="00203F72" w:rsidRPr="00515D85">
        <w:t>年</w:t>
      </w:r>
      <w:r w:rsidR="00203F72" w:rsidRPr="00515D85">
        <w:t>5</w:t>
      </w:r>
      <w:r w:rsidR="00203F72" w:rsidRPr="00515D85">
        <w:t>月</w:t>
      </w:r>
      <w:r w:rsidR="00203F72" w:rsidRPr="00515D85">
        <w:t>17</w:t>
      </w:r>
      <w:r w:rsidR="00203F72" w:rsidRPr="00515D85">
        <w:t>日，</w:t>
      </w:r>
      <w:r w:rsidR="00203F72" w:rsidRPr="00515D85">
        <w:t>HRC</w:t>
      </w:r>
      <w:r w:rsidR="00203F72" w:rsidRPr="00515D85">
        <w:t>被</w:t>
      </w:r>
      <w:r w:rsidR="00203F72" w:rsidRPr="00515D85">
        <w:t>Ahani</w:t>
      </w:r>
      <w:r w:rsidR="00203F72" w:rsidRPr="00515D85">
        <w:t>之律師告知，加拿大政府恐不會遵守</w:t>
      </w:r>
      <w:r w:rsidR="00203F72" w:rsidRPr="00515D85">
        <w:t>HRC</w:t>
      </w:r>
      <w:r w:rsidR="00203F72" w:rsidRPr="00515D85">
        <w:t>之要求（</w:t>
      </w:r>
      <w:r w:rsidR="00203F72" w:rsidRPr="00515D85">
        <w:t>the State Party would not comply with the Committee’s request</w:t>
      </w:r>
      <w:r w:rsidR="00203F72" w:rsidRPr="00515D85">
        <w:t>）；換言之，加國準備將</w:t>
      </w:r>
      <w:r w:rsidR="00203F72" w:rsidRPr="00515D85">
        <w:t>Ahani</w:t>
      </w:r>
      <w:r w:rsidR="00203F72" w:rsidRPr="00515D85">
        <w:t>驅逐回伊朗；</w:t>
      </w:r>
      <w:r w:rsidR="00203F72" w:rsidRPr="00515D85">
        <w:t>HRC</w:t>
      </w:r>
      <w:r w:rsidR="00203F72" w:rsidRPr="00515D85">
        <w:t>於接到</w:t>
      </w:r>
      <w:r w:rsidR="00203F72" w:rsidRPr="00515D85">
        <w:t>Ahani</w:t>
      </w:r>
      <w:r w:rsidR="00203F72" w:rsidRPr="00515D85">
        <w:t>律師上述之通知後，再次向加拿大重申其上述之要求（</w:t>
      </w:r>
      <w:r w:rsidR="00203F72" w:rsidRPr="00515D85">
        <w:t>reiterated its request</w:t>
      </w:r>
      <w:r w:rsidR="00203F72" w:rsidRPr="00515D85">
        <w:t>），令加國執行暫時性權利保障之措施，勿將</w:t>
      </w:r>
      <w:r w:rsidR="00203F72" w:rsidRPr="00515D85">
        <w:t>Ahani</w:t>
      </w:r>
      <w:r w:rsidR="00203F72" w:rsidRPr="00515D85">
        <w:t>驅逐回伊朗；加國對於</w:t>
      </w:r>
      <w:r w:rsidR="00203F72" w:rsidRPr="00515D85">
        <w:t>HRC</w:t>
      </w:r>
      <w:r w:rsidR="00203F72" w:rsidRPr="00515D85">
        <w:t>上述前後兩次之要求，均主張</w:t>
      </w:r>
      <w:r w:rsidR="00203F72" w:rsidRPr="00515D85">
        <w:t>HRC</w:t>
      </w:r>
      <w:r w:rsidR="00203F72" w:rsidRPr="00515D85">
        <w:t>之命令，對於加國政府而言，並不具備法律上之拘束力。於</w:t>
      </w:r>
      <w:r w:rsidR="00203F72" w:rsidRPr="00515D85">
        <w:t>2002</w:t>
      </w:r>
      <w:r w:rsidR="00203F72" w:rsidRPr="00515D85">
        <w:t>年</w:t>
      </w:r>
      <w:r w:rsidR="00203F72" w:rsidRPr="00515D85">
        <w:t>6</w:t>
      </w:r>
      <w:r w:rsidR="00203F72" w:rsidRPr="00515D85">
        <w:t>月</w:t>
      </w:r>
      <w:r w:rsidR="00203F72" w:rsidRPr="00515D85">
        <w:t>10</w:t>
      </w:r>
      <w:r w:rsidR="00203F72" w:rsidRPr="00515D85">
        <w:t>日，加拿大將</w:t>
      </w:r>
      <w:r w:rsidR="00203F72" w:rsidRPr="00515D85">
        <w:t>Ahani</w:t>
      </w:r>
      <w:r w:rsidR="00203F72" w:rsidRPr="00515D85">
        <w:t>驅逐回伊朗（</w:t>
      </w:r>
      <w:r w:rsidR="00203F72" w:rsidRPr="00515D85">
        <w:t>the State party deported the author to Iran</w:t>
      </w:r>
      <w:r w:rsidR="00203F72" w:rsidRPr="00515D85">
        <w:t>）</w:t>
      </w:r>
      <w:r w:rsidR="00203F72" w:rsidRPr="00515D85">
        <w:footnoteReference w:id="779"/>
      </w:r>
      <w:r w:rsidR="00203F72" w:rsidRPr="00515D85">
        <w:t>。以上，係本案事實之重點摘要；有關於</w:t>
      </w:r>
      <w:r w:rsidR="00203F72" w:rsidRPr="00515D85">
        <w:t>Ahani</w:t>
      </w:r>
      <w:r w:rsidR="00203F72" w:rsidRPr="00515D85">
        <w:t>驅逐出國案例之詳細案情，如下所述。</w:t>
      </w:r>
    </w:p>
    <w:p w14:paraId="17EC6B9E" w14:textId="77777777" w:rsidR="00953151" w:rsidRPr="00515D85" w:rsidRDefault="00E60AF2" w:rsidP="00D87D91">
      <w:r w:rsidRPr="00515D85">
        <w:t xml:space="preserve">　　</w:t>
      </w:r>
      <w:r w:rsidR="00203F72" w:rsidRPr="00515D85">
        <w:t>為何加國會驅逐</w:t>
      </w:r>
      <w:r w:rsidR="00203F72" w:rsidRPr="00515D85">
        <w:t>Ahani</w:t>
      </w:r>
      <w:r w:rsidR="00203F72" w:rsidRPr="00515D85">
        <w:t>回伊朗？根據</w:t>
      </w:r>
      <w:r w:rsidR="00203F72" w:rsidRPr="00515D85">
        <w:t>Ahani</w:t>
      </w:r>
      <w:r w:rsidR="00203F72" w:rsidRPr="00515D85">
        <w:t>在申訴書中「事實部分」（</w:t>
      </w:r>
      <w:r w:rsidR="00203F72" w:rsidRPr="00515D85">
        <w:t>the fact</w:t>
      </w:r>
      <w:r w:rsidR="00203F72" w:rsidRPr="00515D85">
        <w:t>）所載之資訊，於</w:t>
      </w:r>
      <w:r w:rsidR="00203F72" w:rsidRPr="00515D85">
        <w:t>1991</w:t>
      </w:r>
      <w:r w:rsidR="00203F72" w:rsidRPr="00515D85">
        <w:t>年</w:t>
      </w:r>
      <w:r w:rsidR="00203F72" w:rsidRPr="00515D85">
        <w:t>10</w:t>
      </w:r>
      <w:r w:rsidR="00203F72" w:rsidRPr="00515D85">
        <w:t>月</w:t>
      </w:r>
      <w:r w:rsidR="00203F72" w:rsidRPr="00515D85">
        <w:t>14</w:t>
      </w:r>
      <w:r w:rsidR="00203F72" w:rsidRPr="00515D85">
        <w:t>日，</w:t>
      </w:r>
      <w:r w:rsidR="00203F72" w:rsidRPr="00515D85">
        <w:t>Ahani</w:t>
      </w:r>
      <w:r w:rsidR="00203F72" w:rsidRPr="00515D85">
        <w:t>從伊朗抵達加國，並依據</w:t>
      </w:r>
      <w:r w:rsidR="00203F72" w:rsidRPr="00515D85">
        <w:t>1951</w:t>
      </w:r>
      <w:r w:rsidR="00203F72" w:rsidRPr="00515D85">
        <w:t>年「</w:t>
      </w:r>
      <w:hyperlink r:id="rId2064" w:history="1">
        <w:r w:rsidR="00203F72" w:rsidRPr="000636BB">
          <w:rPr>
            <w:rStyle w:val="a5"/>
            <w:rFonts w:ascii="Times New Roman" w:eastAsia="新細明體" w:hAnsi="Times New Roman"/>
          </w:rPr>
          <w:t>關於難民地位之公約</w:t>
        </w:r>
      </w:hyperlink>
      <w:r w:rsidR="00203F72" w:rsidRPr="00515D85">
        <w:t>」與</w:t>
      </w:r>
      <w:r w:rsidR="00203F72" w:rsidRPr="00515D85">
        <w:t>1967</w:t>
      </w:r>
      <w:r w:rsidR="00203F72" w:rsidRPr="00515D85">
        <w:t>年「關於難民地位之議定書」（</w:t>
      </w:r>
      <w:r w:rsidR="00203F72" w:rsidRPr="00515D85">
        <w:t>the Convention on the Status of Refugees and its Protocol</w:t>
      </w:r>
      <w:r w:rsidR="00203F72" w:rsidRPr="00515D85">
        <w:t>）之內容與規範，向加國申請難民之保護；而</w:t>
      </w:r>
      <w:r w:rsidR="00203F72" w:rsidRPr="00515D85">
        <w:t>Ahani</w:t>
      </w:r>
      <w:r w:rsidR="00203F72" w:rsidRPr="00515D85">
        <w:t>所主張之理由，係植基於他之政治上理念（</w:t>
      </w:r>
      <w:r w:rsidR="00203F72" w:rsidRPr="00515D85">
        <w:t>political opinion</w:t>
      </w:r>
      <w:r w:rsidR="00203F72" w:rsidRPr="00515D85">
        <w:t>）與屬於特殊社會團體之成員（</w:t>
      </w:r>
      <w:r w:rsidR="00203F72" w:rsidRPr="00515D85">
        <w:t>membership in a particular social group</w:t>
      </w:r>
      <w:r w:rsidR="00203F72" w:rsidRPr="00515D85">
        <w:t>）。</w:t>
      </w:r>
      <w:r w:rsidR="00203F72" w:rsidRPr="00515D85">
        <w:t>Ahani</w:t>
      </w:r>
      <w:r w:rsidR="00203F72" w:rsidRPr="00515D85">
        <w:t>於向加國申請政治難民之主張方面，共計有</w:t>
      </w:r>
      <w:r w:rsidR="00203F72" w:rsidRPr="00515D85">
        <w:t>4</w:t>
      </w:r>
      <w:r w:rsidR="00203F72" w:rsidRPr="00515D85">
        <w:t>點：</w:t>
      </w:r>
      <w:r w:rsidR="00203F72" w:rsidRPr="00515D85">
        <w:t>1.</w:t>
      </w:r>
      <w:r w:rsidR="00203F72" w:rsidRPr="00515D85">
        <w:t>當</w:t>
      </w:r>
      <w:r w:rsidR="00203F72" w:rsidRPr="00515D85">
        <w:t>Ahani</w:t>
      </w:r>
      <w:r w:rsidR="00203F72" w:rsidRPr="00515D85">
        <w:t>在伊朗時，曾因酒醉事件（</w:t>
      </w:r>
      <w:r w:rsidR="00203F72" w:rsidRPr="00515D85">
        <w:t>for being intoxicated</w:t>
      </w:r>
      <w:r w:rsidR="00203F72" w:rsidRPr="00515D85">
        <w:t>），被「回教革命委員會」（</w:t>
      </w:r>
      <w:r w:rsidR="00203F72" w:rsidRPr="00515D85">
        <w:t>Islamic Revolutionary Committee</w:t>
      </w:r>
      <w:r w:rsidR="00203F72" w:rsidRPr="00515D85">
        <w:t>）之成員，進行數次之毆打；</w:t>
      </w:r>
      <w:r w:rsidR="00203F72" w:rsidRPr="00515D85">
        <w:t>2. Ahani</w:t>
      </w:r>
      <w:r w:rsidR="00203F72" w:rsidRPr="00515D85">
        <w:t>曾被伊朗外交部駐外之暗殺機構強迫徵召，而被迫成為伊朗政府之暗殺成員（</w:t>
      </w:r>
      <w:r w:rsidR="00203F72" w:rsidRPr="00515D85">
        <w:t>he had acquired as a forced conscript in the foreign assassins branch of the Iranian Foreign Ministry</w:t>
      </w:r>
      <w:r w:rsidR="00203F72" w:rsidRPr="00515D85">
        <w:t>），故他瞭解伊朗所從事之秘密活動與人事成員（</w:t>
      </w:r>
      <w:r w:rsidR="00203F72" w:rsidRPr="00515D85">
        <w:t>Iranian covert operations and personnel</w:t>
      </w:r>
      <w:r w:rsidR="00203F72" w:rsidRPr="00515D85">
        <w:t>）；由於他具備上述之訊息與知識，故假若他被驅逐回伊朗，恐將危及其生命權（</w:t>
      </w:r>
      <w:r w:rsidR="00203F72" w:rsidRPr="00515D85">
        <w:t>his return to Iran would endanger his life</w:t>
      </w:r>
      <w:r w:rsidR="00203F72" w:rsidRPr="00515D85">
        <w:t>）；</w:t>
      </w:r>
      <w:r w:rsidR="00203F72" w:rsidRPr="00515D85">
        <w:t>3.Ahani</w:t>
      </w:r>
      <w:r w:rsidR="00203F72" w:rsidRPr="00515D85">
        <w:t>曾因拒絕執行暗殺行動，被伊朗監禁</w:t>
      </w:r>
      <w:r w:rsidR="00203F72" w:rsidRPr="00515D85">
        <w:t>4</w:t>
      </w:r>
      <w:r w:rsidR="00203F72" w:rsidRPr="00515D85">
        <w:t>年（</w:t>
      </w:r>
      <w:r w:rsidR="00203F72" w:rsidRPr="00515D85">
        <w:t>he had been jailed for four years</w:t>
      </w:r>
      <w:r w:rsidR="00203F72" w:rsidRPr="00515D85">
        <w:t>）；本案係</w:t>
      </w:r>
      <w:r w:rsidR="00203F72" w:rsidRPr="00515D85">
        <w:t>Ahani</w:t>
      </w:r>
      <w:r w:rsidR="00203F72" w:rsidRPr="00515D85">
        <w:t>處在巴基斯坦境內時，他受命須從事一項利用毒物進行暗殺攻擊（</w:t>
      </w:r>
      <w:r w:rsidR="00203F72" w:rsidRPr="00515D85">
        <w:t>drug raid</w:t>
      </w:r>
      <w:r w:rsidR="00203F72" w:rsidRPr="00515D85">
        <w:t>）之殺人活動，包括毒殺伊朗反對派人士之家人，內含婦女與兒童（</w:t>
      </w:r>
      <w:r w:rsidR="00203F72" w:rsidRPr="00515D85">
        <w:t>a raid on the home of an Iranian dissident, with women and children</w:t>
      </w:r>
      <w:r w:rsidR="00203F72" w:rsidRPr="00515D85">
        <w:t>）；</w:t>
      </w:r>
      <w:r w:rsidR="00203F72" w:rsidRPr="00515D85">
        <w:t>Ahani</w:t>
      </w:r>
      <w:r w:rsidR="00203F72" w:rsidRPr="00515D85">
        <w:t>拒絕執行上述之毒殺行動，結果導致被伊朗監禁</w:t>
      </w:r>
      <w:r w:rsidR="00203F72" w:rsidRPr="00515D85">
        <w:t>4</w:t>
      </w:r>
      <w:r w:rsidR="00203F72" w:rsidRPr="00515D85">
        <w:t>年；</w:t>
      </w:r>
      <w:r w:rsidR="00203F72" w:rsidRPr="00515D85">
        <w:t>4.</w:t>
      </w:r>
      <w:r w:rsidR="00203F72" w:rsidRPr="00515D85">
        <w:t>在獄中，</w:t>
      </w:r>
      <w:r w:rsidR="00203F72" w:rsidRPr="00515D85">
        <w:t>Ahani</w:t>
      </w:r>
      <w:r w:rsidR="00203F72" w:rsidRPr="00515D85">
        <w:t>透由假裝懺悔之方式，而得到釋放（</w:t>
      </w:r>
      <w:r w:rsidR="00203F72" w:rsidRPr="00515D85">
        <w:t>he had been released after pretending to repent</w:t>
      </w:r>
      <w:r w:rsidR="00203F72" w:rsidRPr="00515D85">
        <w:t>）。以上，係</w:t>
      </w:r>
      <w:r w:rsidR="00203F72" w:rsidRPr="00515D85">
        <w:t>Ahani</w:t>
      </w:r>
      <w:r w:rsidR="00203F72" w:rsidRPr="00515D85">
        <w:t>向加國申請政治庇護之理由。</w:t>
      </w:r>
    </w:p>
    <w:p w14:paraId="63E955FA" w14:textId="77777777" w:rsidR="00953151" w:rsidRPr="00515D85" w:rsidRDefault="00E60AF2" w:rsidP="00D87D91">
      <w:r w:rsidRPr="00515D85">
        <w:t xml:space="preserve">　　</w:t>
      </w:r>
      <w:r w:rsidR="00203F72" w:rsidRPr="00515D85">
        <w:t>於</w:t>
      </w:r>
      <w:r w:rsidR="00203F72" w:rsidRPr="00515D85">
        <w:t>1992</w:t>
      </w:r>
      <w:r w:rsidR="00203F72" w:rsidRPr="00515D85">
        <w:t>年</w:t>
      </w:r>
      <w:r w:rsidR="00203F72" w:rsidRPr="00515D85">
        <w:t>4</w:t>
      </w:r>
      <w:r w:rsidR="00203F72" w:rsidRPr="00515D85">
        <w:t>月</w:t>
      </w:r>
      <w:r w:rsidR="00203F72" w:rsidRPr="00515D85">
        <w:t>1</w:t>
      </w:r>
      <w:r w:rsidR="00203F72" w:rsidRPr="00515D85">
        <w:t>日，加拿大「移民暨難民委員會」（</w:t>
      </w:r>
      <w:r w:rsidR="00203F72" w:rsidRPr="00515D85">
        <w:t>IRB</w:t>
      </w:r>
      <w:r w:rsidR="00203F72" w:rsidRPr="00515D85">
        <w:t>）認定</w:t>
      </w:r>
      <w:r w:rsidR="00203F72" w:rsidRPr="00515D85">
        <w:t>Ahani</w:t>
      </w:r>
      <w:r w:rsidR="00203F72" w:rsidRPr="00515D85">
        <w:t>因其政治上之主張</w:t>
      </w:r>
      <w:r w:rsidR="00203F72" w:rsidRPr="00515D85">
        <w:t>(</w:t>
      </w:r>
      <w:r w:rsidR="00203F72" w:rsidRPr="00515D85">
        <w:t>意見</w:t>
      </w:r>
      <w:r w:rsidR="00203F72" w:rsidRPr="00515D85">
        <w:t>)</w:t>
      </w:r>
      <w:r w:rsidR="00203F72" w:rsidRPr="00515D85">
        <w:t>（</w:t>
      </w:r>
      <w:r w:rsidR="00203F72" w:rsidRPr="00515D85">
        <w:t>political opinion</w:t>
      </w:r>
      <w:r w:rsidR="00203F72" w:rsidRPr="00515D85">
        <w:t>）與</w:t>
      </w:r>
      <w:r w:rsidR="00203F72" w:rsidRPr="00515D85">
        <w:t>Ahani</w:t>
      </w:r>
      <w:r w:rsidR="00203F72" w:rsidRPr="00515D85">
        <w:t>係屬於特殊社會團體之一員，故符合上述公約中所認定之難民身分；亦即，</w:t>
      </w:r>
      <w:r w:rsidR="00203F72" w:rsidRPr="00515D85">
        <w:t>IRB</w:t>
      </w:r>
      <w:r w:rsidR="00203F72" w:rsidRPr="00515D85">
        <w:t>承認</w:t>
      </w:r>
      <w:r w:rsidR="00203F72" w:rsidRPr="00515D85">
        <w:t>Ahani</w:t>
      </w:r>
      <w:r w:rsidR="00203F72" w:rsidRPr="00515D85">
        <w:t>具有難民之資格；於</w:t>
      </w:r>
      <w:r w:rsidR="00203F72" w:rsidRPr="00515D85">
        <w:t>1993</w:t>
      </w:r>
      <w:r w:rsidR="00203F72" w:rsidRPr="00515D85">
        <w:t>年</w:t>
      </w:r>
      <w:r w:rsidR="00203F72" w:rsidRPr="00515D85">
        <w:t>6</w:t>
      </w:r>
      <w:r w:rsidR="00203F72" w:rsidRPr="00515D85">
        <w:t>月</w:t>
      </w:r>
      <w:r w:rsidR="00203F72" w:rsidRPr="00515D85">
        <w:t>17</w:t>
      </w:r>
      <w:r w:rsidR="00203F72" w:rsidRPr="00515D85">
        <w:t>日，加國首席檢察長（</w:t>
      </w:r>
      <w:r w:rsidR="00203F72" w:rsidRPr="00515D85">
        <w:t>the Solicitor-General of Canada</w:t>
      </w:r>
      <w:r w:rsidR="00203F72" w:rsidRPr="00515D85">
        <w:t>）與「聘僱暨移民部長」（</w:t>
      </w:r>
      <w:r w:rsidR="00203F72" w:rsidRPr="00515D85">
        <w:t>Minister of Employment &amp; Immigration</w:t>
      </w:r>
      <w:r w:rsidR="00203F72" w:rsidRPr="00515D85">
        <w:t>）根據加國安全情報之報告，認定</w:t>
      </w:r>
      <w:r w:rsidR="00203F72" w:rsidRPr="00515D85">
        <w:t>Ahani</w:t>
      </w:r>
      <w:r w:rsidR="00203F72" w:rsidRPr="00515D85">
        <w:t>曾接受「伊朗情報暨安全部」（</w:t>
      </w:r>
      <w:r w:rsidR="00203F72" w:rsidRPr="00515D85">
        <w:t>the Iranian Ministry of Intelligence and Security</w:t>
      </w:r>
      <w:r w:rsidR="00203F72" w:rsidRPr="00515D85">
        <w:t>，簡稱為</w:t>
      </w:r>
      <w:r w:rsidR="00203F72" w:rsidRPr="00515D85">
        <w:t>MIS</w:t>
      </w:r>
      <w:r w:rsidR="00203F72" w:rsidRPr="00515D85">
        <w:t>）之特殊訓練，而成為一名暗殺人員（</w:t>
      </w:r>
      <w:r w:rsidR="00203F72" w:rsidRPr="00515D85">
        <w:t>was trained to be an assassin</w:t>
      </w:r>
      <w:r w:rsidR="00203F72" w:rsidRPr="00515D85">
        <w:t>）；上述之首席檢察長與部長鹹認為</w:t>
      </w:r>
      <w:r w:rsidR="00203F72" w:rsidRPr="00515D85">
        <w:t>Ahani</w:t>
      </w:r>
      <w:r w:rsidR="00203F72" w:rsidRPr="00515D85">
        <w:t>不具有入國資格（</w:t>
      </w:r>
      <w:r w:rsidR="00203F72" w:rsidRPr="00515D85">
        <w:t>inadmissible</w:t>
      </w:r>
      <w:r w:rsidR="00203F72" w:rsidRPr="00515D85">
        <w:t>）；主要之原因，在於存有合理之理由（</w:t>
      </w:r>
      <w:r w:rsidR="00203F72" w:rsidRPr="00515D85">
        <w:t>reasonable grounds</w:t>
      </w:r>
      <w:r w:rsidR="00203F72" w:rsidRPr="00515D85">
        <w:t>），令人相信</w:t>
      </w:r>
      <w:r w:rsidR="00203F72" w:rsidRPr="00515D85">
        <w:t>Ahani</w:t>
      </w:r>
      <w:r w:rsidR="00203F72" w:rsidRPr="00515D85">
        <w:t>會從事恐怖活動，故禁止</w:t>
      </w:r>
      <w:r w:rsidR="00203F72" w:rsidRPr="00515D85">
        <w:t>Ahani</w:t>
      </w:r>
      <w:r w:rsidR="00203F72" w:rsidRPr="00515D85">
        <w:t>之入國。於同一日，即</w:t>
      </w:r>
      <w:r w:rsidR="00203F72" w:rsidRPr="00515D85">
        <w:t>1993</w:t>
      </w:r>
      <w:r w:rsidR="00203F72" w:rsidRPr="00515D85">
        <w:t>年</w:t>
      </w:r>
      <w:r w:rsidR="00203F72" w:rsidRPr="00515D85">
        <w:t>6</w:t>
      </w:r>
      <w:r w:rsidR="00203F72" w:rsidRPr="00515D85">
        <w:t>月</w:t>
      </w:r>
      <w:r w:rsidR="00203F72" w:rsidRPr="00515D85">
        <w:t>17</w:t>
      </w:r>
      <w:r w:rsidR="00203F72" w:rsidRPr="00515D85">
        <w:t>日，本案被加國聯邦法院起訴（</w:t>
      </w:r>
      <w:r w:rsidR="00203F72" w:rsidRPr="00515D85">
        <w:t>was filed with the Federal Court</w:t>
      </w:r>
      <w:r w:rsidR="00203F72" w:rsidRPr="00515D85">
        <w:t>）</w:t>
      </w:r>
      <w:r w:rsidR="00203F72" w:rsidRPr="00515D85">
        <w:footnoteReference w:id="780"/>
      </w:r>
      <w:r w:rsidR="00203F72" w:rsidRPr="00515D85">
        <w:t>。</w:t>
      </w:r>
    </w:p>
    <w:p w14:paraId="09943FE6" w14:textId="77777777" w:rsidR="00953151" w:rsidRPr="00515D85" w:rsidRDefault="00E60AF2" w:rsidP="00D87D91">
      <w:r w:rsidRPr="00515D85">
        <w:t xml:space="preserve">　　</w:t>
      </w:r>
      <w:r w:rsidR="00203F72" w:rsidRPr="00515D85">
        <w:t>於</w:t>
      </w:r>
      <w:r w:rsidR="00203F72" w:rsidRPr="00515D85">
        <w:t>1993</w:t>
      </w:r>
      <w:r w:rsidR="00203F72" w:rsidRPr="00515D85">
        <w:t>年</w:t>
      </w:r>
      <w:r w:rsidR="00203F72" w:rsidRPr="00515D85">
        <w:t>6</w:t>
      </w:r>
      <w:r w:rsidR="00203F72" w:rsidRPr="00515D85">
        <w:t>月</w:t>
      </w:r>
      <w:r w:rsidR="00203F72" w:rsidRPr="00515D85">
        <w:t>22</w:t>
      </w:r>
      <w:r w:rsidR="00203F72" w:rsidRPr="00515D85">
        <w:t>日，加國根據移民法</w:t>
      </w:r>
      <w:r w:rsidR="00203F72" w:rsidRPr="00515D85">
        <w:t>(the Immigration Act)</w:t>
      </w:r>
      <w:r w:rsidR="00203F72" w:rsidRPr="00515D85">
        <w:t>第</w:t>
      </w:r>
      <w:r w:rsidR="00203F72" w:rsidRPr="00515D85">
        <w:t>40</w:t>
      </w:r>
      <w:r w:rsidR="00203F72" w:rsidRPr="00515D85">
        <w:t>條第</w:t>
      </w:r>
      <w:r w:rsidR="00203F72" w:rsidRPr="00515D85">
        <w:t>1</w:t>
      </w:r>
      <w:r w:rsidR="00203F72" w:rsidRPr="00515D85">
        <w:t>項之法律程序上規定，亦即，針對於「聘僱暨移民部部長」</w:t>
      </w:r>
      <w:r w:rsidR="00203F72" w:rsidRPr="00515D85">
        <w:t>(the Minister of Employment &amp; Immigration)</w:t>
      </w:r>
      <w:r w:rsidR="00203F72" w:rsidRPr="00515D85">
        <w:t>所提出之證明</w:t>
      </w:r>
      <w:r w:rsidR="00203F72" w:rsidRPr="00515D85">
        <w:t>(certificate)</w:t>
      </w:r>
      <w:r w:rsidR="00203F72" w:rsidRPr="00515D85">
        <w:t>，法院須審查此一證明之來源與合法性，究竟是否植基於「有效」</w:t>
      </w:r>
      <w:r w:rsidR="00203F72" w:rsidRPr="00515D85">
        <w:t>(available)</w:t>
      </w:r>
      <w:r w:rsidR="00203F72" w:rsidRPr="00515D85">
        <w:t>之情報</w:t>
      </w:r>
      <w:r w:rsidR="00203F72" w:rsidRPr="00515D85">
        <w:t>(information)?</w:t>
      </w:r>
      <w:r w:rsidR="00203F72" w:rsidRPr="00515D85">
        <w:t>假若上開之證明，係建立於有效情基石之上，則此一證明合法；反之，則上開之證明，不具有合法性。</w:t>
      </w:r>
    </w:p>
    <w:p w14:paraId="1764197F" w14:textId="77777777" w:rsidR="00D92F56" w:rsidRPr="00515D85" w:rsidRDefault="00E60AF2" w:rsidP="00D87D91">
      <w:r w:rsidRPr="00515D85">
        <w:t xml:space="preserve">　　</w:t>
      </w:r>
      <w:r w:rsidR="00203F72" w:rsidRPr="00515D85">
        <w:t>於上述之日期，加國聯邦法院（</w:t>
      </w:r>
      <w:r w:rsidR="00203F72" w:rsidRPr="00515D85">
        <w:t>the Federal Court</w:t>
      </w:r>
      <w:r w:rsidR="00203F72" w:rsidRPr="00515D85">
        <w:t>）開庭審理本案，審</w:t>
      </w:r>
      <w:r w:rsidR="003E240E">
        <w:t>視</w:t>
      </w:r>
      <w:r w:rsidR="00203F72" w:rsidRPr="00515D85">
        <w:t>由檢察總長（</w:t>
      </w:r>
      <w:r w:rsidR="00203F72" w:rsidRPr="00515D85">
        <w:t>the Solicitor-General</w:t>
      </w:r>
      <w:r w:rsidR="00203F72" w:rsidRPr="00515D85">
        <w:t>）與「聘僱暨移民部部長」（</w:t>
      </w:r>
      <w:r w:rsidR="00203F72" w:rsidRPr="00515D85">
        <w:t>Minister</w:t>
      </w:r>
      <w:r w:rsidR="00203F72" w:rsidRPr="00515D85">
        <w:t>）兩人共同提出（呈交）之「安全情報報告」（</w:t>
      </w:r>
      <w:r w:rsidR="00203F72" w:rsidRPr="00515D85">
        <w:t>security intelligence report</w:t>
      </w:r>
      <w:r w:rsidR="00203F72" w:rsidRPr="00515D85">
        <w:t>）及其他證據；上述之情報安全報告之製作格式，係使用照相攝影（</w:t>
      </w:r>
      <w:r w:rsidR="00203F72" w:rsidRPr="00515D85">
        <w:t>in camera</w:t>
      </w:r>
      <w:r w:rsidR="00203F72" w:rsidRPr="00515D85">
        <w:t>）之方式，呈交於聯邦法院。根據加國移民法之規定，假若外國人因部長基於國家安全情報報告之判斷，而核發對加國社會產生國家安全顧慮之證明時，聯邦法院於審理上述部長所核定，危害國家安全證明之合法性之後，在法院審理之過程中，須以「合理」（</w:t>
      </w:r>
      <w:r w:rsidR="00203F72" w:rsidRPr="00515D85">
        <w:t>reasonably</w:t>
      </w:r>
      <w:r w:rsidR="00203F72" w:rsidRPr="00515D85">
        <w:t>）之方式，告知受裁定影響之相關人士（</w:t>
      </w:r>
      <w:r w:rsidR="00203F72" w:rsidRPr="00515D85">
        <w:t>the affected person</w:t>
      </w:r>
      <w:r w:rsidR="00203F72" w:rsidRPr="00515D85">
        <w:t>）；依據上述之相關規定，聯邦法院於開庭審理上述部長所呈交危害加國國家安全證明之合法性之後，以摘錄判決文重點之方式，通知</w:t>
      </w:r>
      <w:r w:rsidR="00203F72" w:rsidRPr="00515D85">
        <w:t>Ahani</w:t>
      </w:r>
      <w:r w:rsidR="00203F72" w:rsidRPr="00515D85">
        <w:t>，並賦予</w:t>
      </w:r>
      <w:r w:rsidR="00203F72" w:rsidRPr="00515D85">
        <w:t>Ahani</w:t>
      </w:r>
      <w:r w:rsidR="00203F72" w:rsidRPr="00515D85">
        <w:t>提供反對意見（異議）之機會（</w:t>
      </w:r>
      <w:r w:rsidR="00203F72" w:rsidRPr="00515D85">
        <w:t>offered the author an opportunity to respond</w:t>
      </w:r>
      <w:r w:rsidR="00203F72" w:rsidRPr="00515D85">
        <w:t>）。</w:t>
      </w:r>
    </w:p>
    <w:p w14:paraId="7632E6CA" w14:textId="77777777" w:rsidR="00953151" w:rsidRPr="00515D85" w:rsidRDefault="00E60AF2" w:rsidP="00D87D91">
      <w:r w:rsidRPr="00515D85">
        <w:t xml:space="preserve">　　</w:t>
      </w:r>
      <w:r w:rsidR="00203F72" w:rsidRPr="00515D85">
        <w:t>Ahani</w:t>
      </w:r>
      <w:r w:rsidR="00203F72" w:rsidRPr="00515D85">
        <w:t>於收到上述通知之後，並未行使表達其反對意見之權力，取而代之者，</w:t>
      </w:r>
      <w:r w:rsidR="00203F72" w:rsidRPr="00515D85">
        <w:t>Ahani</w:t>
      </w:r>
      <w:r w:rsidR="00203F72" w:rsidRPr="00515D85">
        <w:t>就加國上述核定危害國家安全證明之合憲性之流程（</w:t>
      </w:r>
      <w:r w:rsidR="00203F72" w:rsidRPr="00515D85">
        <w:t>constitutionality of the certification procedure</w:t>
      </w:r>
      <w:r w:rsidR="00203F72" w:rsidRPr="00515D85">
        <w:t>）與聯邦法院開庭審理上述證明前，即先行覊押（收容）（</w:t>
      </w:r>
      <w:r w:rsidR="00203F72" w:rsidRPr="00515D85">
        <w:t>detention</w:t>
      </w:r>
      <w:r w:rsidR="00203F72" w:rsidRPr="00515D85">
        <w:t>）之作法，提出質疑與抗告；聯邦法院（</w:t>
      </w:r>
      <w:r w:rsidR="00203F72" w:rsidRPr="00515D85">
        <w:t>the Federal Court</w:t>
      </w:r>
      <w:r w:rsidR="00203F72" w:rsidRPr="00515D85">
        <w:t>）於收到</w:t>
      </w:r>
      <w:r w:rsidR="00203F72" w:rsidRPr="00515D85">
        <w:t>Ahani</w:t>
      </w:r>
      <w:r w:rsidR="00203F72" w:rsidRPr="00515D85">
        <w:t>之抗告後，開庭審理</w:t>
      </w:r>
      <w:r w:rsidR="00203F72" w:rsidRPr="00515D85">
        <w:t>Ahani</w:t>
      </w:r>
      <w:r w:rsidR="00203F72" w:rsidRPr="00515D85">
        <w:t>之抗告案；於</w:t>
      </w:r>
      <w:r w:rsidR="00203F72" w:rsidRPr="00515D85">
        <w:t>1995</w:t>
      </w:r>
      <w:r w:rsidR="00203F72" w:rsidRPr="00515D85">
        <w:t>年</w:t>
      </w:r>
      <w:r w:rsidR="00203F72" w:rsidRPr="00515D85">
        <w:t>9</w:t>
      </w:r>
      <w:r w:rsidR="00203F72" w:rsidRPr="00515D85">
        <w:t>月</w:t>
      </w:r>
      <w:r w:rsidR="00203F72" w:rsidRPr="00515D85">
        <w:t>12</w:t>
      </w:r>
      <w:r w:rsidR="00203F72" w:rsidRPr="00515D85">
        <w:t>日，駁回</w:t>
      </w:r>
      <w:r w:rsidR="00203F72" w:rsidRPr="00515D85">
        <w:t>Ahani</w:t>
      </w:r>
      <w:r w:rsidR="00203F72" w:rsidRPr="00515D85">
        <w:t>之抗告（</w:t>
      </w:r>
      <w:r w:rsidR="00203F72" w:rsidRPr="00515D85">
        <w:t>rejected his challenge</w:t>
      </w:r>
      <w:r w:rsidR="00203F72" w:rsidRPr="00515D85">
        <w:t>）；聯邦法院認為，於本案之中，加國政府之國家利益與</w:t>
      </w:r>
      <w:r w:rsidR="00203F72" w:rsidRPr="00515D85">
        <w:t>Ahani</w:t>
      </w:r>
      <w:r w:rsidR="00203F72" w:rsidRPr="00515D85">
        <w:t>之個人權利保護之間，存在一種「競爭性利益」（</w:t>
      </w:r>
      <w:r w:rsidR="00203F72" w:rsidRPr="00515D85">
        <w:t>competing interests</w:t>
      </w:r>
      <w:r w:rsidR="00203F72" w:rsidRPr="00515D85">
        <w:t>）之關係；而</w:t>
      </w:r>
      <w:r w:rsidR="00203F72" w:rsidRPr="00515D85">
        <w:t>Ahani</w:t>
      </w:r>
      <w:r w:rsidR="00203F72" w:rsidRPr="00515D85">
        <w:t>之抗告行為，會打擊上述競爭性（對抗性）利益之「合理平衡（均衡）性」（</w:t>
      </w:r>
      <w:r w:rsidR="00203F72" w:rsidRPr="00515D85">
        <w:t>reasonable balance</w:t>
      </w:r>
      <w:r w:rsidR="00203F72" w:rsidRPr="00515D85">
        <w:t>）；此外，加國聯邦法院亦認為收容亦具有合法性；乃因聯邦法院於審理加國部長所核可危害該國國家安全之證明書之合理性過程中，有必要將</w:t>
      </w:r>
      <w:r w:rsidR="00203F72" w:rsidRPr="00515D85">
        <w:t>Ahani</w:t>
      </w:r>
      <w:r w:rsidR="00203F72" w:rsidRPr="00515D85">
        <w:t>先行加以移民收容</w:t>
      </w:r>
      <w:r w:rsidR="00203F72" w:rsidRPr="00515D85">
        <w:footnoteReference w:id="781"/>
      </w:r>
      <w:r w:rsidR="00203F72" w:rsidRPr="00515D85">
        <w:t>；此種之移民收容，未具有恣意性（獨斷性）（</w:t>
      </w:r>
      <w:r w:rsidR="00203F72" w:rsidRPr="00515D85">
        <w:t>not arbitrary</w:t>
      </w:r>
      <w:r w:rsidR="00203F72" w:rsidRPr="00515D85">
        <w:t>）。綜上，對於</w:t>
      </w:r>
      <w:r w:rsidR="00203F72" w:rsidRPr="00515D85">
        <w:t>Ahani</w:t>
      </w:r>
      <w:r w:rsidR="00203F72" w:rsidRPr="00515D85">
        <w:t>所質疑加國部長核定安全證明之認定流程之合憲性，與移民收容之合法性之兩個問題，加國聯邦法院（抗告法院）均加以駁回。</w:t>
      </w:r>
    </w:p>
    <w:p w14:paraId="19CCC26E" w14:textId="77777777" w:rsidR="00953151" w:rsidRPr="00515D85" w:rsidRDefault="00E60AF2" w:rsidP="00D87D91">
      <w:r w:rsidRPr="00515D85">
        <w:t xml:space="preserve">　　</w:t>
      </w:r>
      <w:r w:rsidR="00203F72" w:rsidRPr="00515D85">
        <w:t>Ahani</w:t>
      </w:r>
      <w:r w:rsidR="00203F72" w:rsidRPr="00515D85">
        <w:t>不服上述之移民收容裁定，針對於移民收容處分</w:t>
      </w:r>
      <w:r w:rsidR="00203F72" w:rsidRPr="00515D85">
        <w:t>(</w:t>
      </w:r>
      <w:r w:rsidR="00203F72" w:rsidRPr="00515D85">
        <w:t>命令</w:t>
      </w:r>
      <w:r w:rsidR="00203F72" w:rsidRPr="00515D85">
        <w:t>)</w:t>
      </w:r>
      <w:r w:rsidR="00203F72" w:rsidRPr="00515D85">
        <w:t>，先後向加國「聯邦上訴法院」（</w:t>
      </w:r>
      <w:r w:rsidR="00203F72" w:rsidRPr="00515D85">
        <w:t>the Federal Court of Appeal</w:t>
      </w:r>
      <w:r w:rsidR="00203F72" w:rsidRPr="00515D85">
        <w:t>）及「聯邦最高法院」（</w:t>
      </w:r>
      <w:r w:rsidR="00203F72" w:rsidRPr="00515D85">
        <w:t>the Supreme Court</w:t>
      </w:r>
      <w:r w:rsidR="00203F72" w:rsidRPr="00515D85">
        <w:t>）提出上訴。然而，本案於</w:t>
      </w:r>
      <w:r w:rsidR="00203F72" w:rsidRPr="00515D85">
        <w:t>1996</w:t>
      </w:r>
      <w:r w:rsidR="00203F72" w:rsidRPr="00515D85">
        <w:t>年</w:t>
      </w:r>
      <w:r w:rsidR="00203F72" w:rsidRPr="00515D85">
        <w:t>7</w:t>
      </w:r>
      <w:r w:rsidR="00203F72" w:rsidRPr="00515D85">
        <w:t>月</w:t>
      </w:r>
      <w:r w:rsidR="00203F72" w:rsidRPr="00515D85">
        <w:t>4</w:t>
      </w:r>
      <w:r w:rsidR="00203F72" w:rsidRPr="00515D85">
        <w:t>日被「聯邦上訴法院」駁回；之後，</w:t>
      </w:r>
      <w:r w:rsidR="00203F72" w:rsidRPr="00515D85">
        <w:t>Ahani</w:t>
      </w:r>
      <w:r w:rsidR="00203F72" w:rsidRPr="00515D85">
        <w:t>再向「聯邦最高法院」（</w:t>
      </w:r>
      <w:r w:rsidR="00203F72" w:rsidRPr="00515D85">
        <w:t>the Supreme Court</w:t>
      </w:r>
      <w:r w:rsidR="00203F72" w:rsidRPr="00515D85">
        <w:t>）提出上訴，於</w:t>
      </w:r>
      <w:r w:rsidR="00203F72" w:rsidRPr="00515D85">
        <w:t>1997</w:t>
      </w:r>
      <w:r w:rsidR="00203F72" w:rsidRPr="00515D85">
        <w:t>年</w:t>
      </w:r>
      <w:r w:rsidR="00203F72" w:rsidRPr="00515D85">
        <w:t>7</w:t>
      </w:r>
      <w:r w:rsidR="00203F72" w:rsidRPr="00515D85">
        <w:t>月</w:t>
      </w:r>
      <w:r w:rsidR="00203F72" w:rsidRPr="00515D85">
        <w:t>3</w:t>
      </w:r>
      <w:r w:rsidR="00203F72" w:rsidRPr="00515D85">
        <w:t>日，被「聯邦最高法院」駁回。</w:t>
      </w:r>
    </w:p>
    <w:p w14:paraId="5F4BB0EE" w14:textId="77777777" w:rsidR="00953151" w:rsidRPr="00515D85" w:rsidRDefault="00E60AF2" w:rsidP="00D87D91">
      <w:r w:rsidRPr="00515D85">
        <w:t xml:space="preserve">　　</w:t>
      </w:r>
      <w:r w:rsidR="00203F72" w:rsidRPr="00515D85">
        <w:t>由於</w:t>
      </w:r>
      <w:r w:rsidR="00203F72" w:rsidRPr="00515D85">
        <w:t>Ahani</w:t>
      </w:r>
      <w:r w:rsidR="00203F72" w:rsidRPr="00515D85">
        <w:t>對於移民法第</w:t>
      </w:r>
      <w:r w:rsidR="00203F72" w:rsidRPr="00515D85">
        <w:t>40</w:t>
      </w:r>
      <w:r w:rsidR="00203F72" w:rsidRPr="00515D85">
        <w:t>條第</w:t>
      </w:r>
      <w:r w:rsidR="00203F72" w:rsidRPr="00515D85">
        <w:t>1</w:t>
      </w:r>
      <w:r w:rsidR="00203F72" w:rsidRPr="00515D85">
        <w:t>項之流程之合憲性（</w:t>
      </w:r>
      <w:r w:rsidR="00203F72" w:rsidRPr="00515D85">
        <w:t>the constitutionality of the section 40(1) procedure</w:t>
      </w:r>
      <w:r w:rsidR="00203F72" w:rsidRPr="00515D85">
        <w:t>）提出質疑與抗告，遂導致聯邦法院須先行處理此一合憲性問題；在聯邦法院完成上述移民法第</w:t>
      </w:r>
      <w:r w:rsidR="00203F72" w:rsidRPr="00515D85">
        <w:t>40</w:t>
      </w:r>
      <w:r w:rsidR="00203F72" w:rsidRPr="00515D85">
        <w:t>條第</w:t>
      </w:r>
      <w:r w:rsidR="00203F72" w:rsidRPr="00515D85">
        <w:t>1</w:t>
      </w:r>
      <w:r w:rsidR="00203F72" w:rsidRPr="00515D85">
        <w:t>項合憲性之審查後，繼續就部長所提交之危害加國國家安全證明之合法性，進行「原始合理性之聽證」（</w:t>
      </w:r>
      <w:r w:rsidR="00203F72" w:rsidRPr="00515D85">
        <w:t>original reasonableness hearing</w:t>
      </w:r>
      <w:r w:rsidR="00203F72" w:rsidRPr="00515D85">
        <w:t>），及後續之延展性聽證（</w:t>
      </w:r>
      <w:r w:rsidR="00203F72" w:rsidRPr="00515D85">
        <w:t>extensive hearings</w:t>
      </w:r>
      <w:r w:rsidR="00203F72" w:rsidRPr="00515D85">
        <w:t>）；上述之聽證程序，一直持續至</w:t>
      </w:r>
      <w:r w:rsidR="00203F72" w:rsidRPr="00515D85">
        <w:t>1998</w:t>
      </w:r>
      <w:r w:rsidR="00203F72" w:rsidRPr="00515D85">
        <w:t>年</w:t>
      </w:r>
      <w:r w:rsidR="00203F72" w:rsidRPr="00515D85">
        <w:t>4</w:t>
      </w:r>
      <w:r w:rsidR="00203F72" w:rsidRPr="00515D85">
        <w:t>月</w:t>
      </w:r>
      <w:r w:rsidR="00203F72" w:rsidRPr="00515D85">
        <w:t>17</w:t>
      </w:r>
      <w:r w:rsidR="00203F72" w:rsidRPr="00515D85">
        <w:t>日；於該日，聯邦法院完成聽證之程序（包括原始與展延聽證），並作出終局之裁判，認定部長所提交之證明（即證明</w:t>
      </w:r>
      <w:r w:rsidR="00203F72" w:rsidRPr="00515D85">
        <w:t>Ahani</w:t>
      </w:r>
      <w:r w:rsidR="00203F72" w:rsidRPr="00515D85">
        <w:t>之行為，對於加國會造成國家安全之危害），該證明具有「合理性」（</w:t>
      </w:r>
      <w:r w:rsidR="00203F72" w:rsidRPr="00515D85">
        <w:t>the certificate was reasonable</w:t>
      </w:r>
      <w:r w:rsidR="00203F72" w:rsidRPr="00515D85">
        <w:t>）。聯邦法院所採納之證據，包括由外國情報部門所蒐集之情報，利用照相攝影之方式，提交於法庭；由於此種之證據，涉及國家安全之事由（</w:t>
      </w:r>
      <w:r w:rsidR="00203F72" w:rsidRPr="00515D85">
        <w:t>national security grounds</w:t>
      </w:r>
      <w:r w:rsidR="00203F72" w:rsidRPr="00515D85">
        <w:t>），故未允許</w:t>
      </w:r>
      <w:r w:rsidR="00203F72" w:rsidRPr="00515D85">
        <w:t>Ahani</w:t>
      </w:r>
      <w:r w:rsidR="00203F72" w:rsidRPr="00515D85">
        <w:t>蒞庭，在原告缺席之情況下（</w:t>
      </w:r>
      <w:r w:rsidR="00203F72" w:rsidRPr="00515D85">
        <w:t>in the authors absence</w:t>
      </w:r>
      <w:r w:rsidR="00203F72" w:rsidRPr="00515D85">
        <w:t>），聯邦法院採信上述之證據</w:t>
      </w:r>
      <w:r w:rsidR="00203F72" w:rsidRPr="00515D85">
        <w:footnoteReference w:id="782"/>
      </w:r>
      <w:r w:rsidR="00203F72" w:rsidRPr="00515D85">
        <w:t>。</w:t>
      </w:r>
    </w:p>
    <w:p w14:paraId="75CF726C" w14:textId="77777777" w:rsidR="00953151" w:rsidRPr="00515D85" w:rsidRDefault="00E60AF2" w:rsidP="00D87D91">
      <w:r w:rsidRPr="00515D85">
        <w:t xml:space="preserve">　　</w:t>
      </w:r>
      <w:r w:rsidR="00203F72" w:rsidRPr="00515D85">
        <w:t>此外，</w:t>
      </w:r>
      <w:r w:rsidR="00203F72" w:rsidRPr="00515D85">
        <w:t>Ahani</w:t>
      </w:r>
      <w:r w:rsidR="00203F72" w:rsidRPr="00515D85">
        <w:t>亦曾親自出庭，表達其對於部長呈交於法院涉及</w:t>
      </w:r>
      <w:r w:rsidR="00203F72" w:rsidRPr="00515D85">
        <w:t>Ahani</w:t>
      </w:r>
      <w:r w:rsidR="00203F72" w:rsidRPr="00515D85">
        <w:t>危害國家安全證明之合理性（</w:t>
      </w:r>
      <w:r w:rsidR="00203F72" w:rsidRPr="00515D85">
        <w:t>the reasonableness of the certificate</w:t>
      </w:r>
      <w:r w:rsidR="00203F72" w:rsidRPr="00515D85">
        <w:t>）之反對意見，聯邦法院法官亦聽取</w:t>
      </w:r>
      <w:r w:rsidR="00203F72" w:rsidRPr="00515D85">
        <w:t>Ahani</w:t>
      </w:r>
      <w:r w:rsidR="00203F72" w:rsidRPr="00515D85">
        <w:t>之證詞；聯邦法院認為存有相當多之理由，足以認定</w:t>
      </w:r>
      <w:r w:rsidR="00203F72" w:rsidRPr="00515D85">
        <w:t>Ahani</w:t>
      </w:r>
      <w:r w:rsidR="00203F72" w:rsidRPr="00515D85">
        <w:t>是</w:t>
      </w:r>
      <w:r w:rsidR="00203F72" w:rsidRPr="00515D85">
        <w:t>MIS</w:t>
      </w:r>
      <w:r w:rsidR="00203F72" w:rsidRPr="00515D85">
        <w:t>之成員；而</w:t>
      </w:r>
      <w:r w:rsidR="00203F72" w:rsidRPr="00515D85">
        <w:t>MIS</w:t>
      </w:r>
      <w:r w:rsidR="00203F72" w:rsidRPr="00515D85">
        <w:t>之任務，則係直接地主導或從事廣泛之恐佈攻擊活動包括暗殺全世界政治上之異議份子；舉凡與伊朗政治理念不合之異議份子，均是</w:t>
      </w:r>
      <w:r w:rsidR="00203F72" w:rsidRPr="00515D85">
        <w:t>MIS</w:t>
      </w:r>
      <w:r w:rsidR="00203F72" w:rsidRPr="00515D85">
        <w:t>暗殺之對象；由於</w:t>
      </w:r>
      <w:r w:rsidR="00203F72" w:rsidRPr="00515D85">
        <w:t>Ahani</w:t>
      </w:r>
      <w:r w:rsidR="00203F72" w:rsidRPr="00515D85">
        <w:t>曾隸屬於</w:t>
      </w:r>
      <w:r w:rsidR="00203F72" w:rsidRPr="00515D85">
        <w:t>MIS</w:t>
      </w:r>
      <w:r w:rsidR="00203F72" w:rsidRPr="00515D85">
        <w:t>，聯邦法院逐採信由部長所呈交之證明，能有效地證明</w:t>
      </w:r>
      <w:r w:rsidR="00203F72" w:rsidRPr="00515D85">
        <w:t>Ahani</w:t>
      </w:r>
      <w:r w:rsidR="00203F72" w:rsidRPr="00515D85">
        <w:t>對於加國之國家安全，構成威脅與危害。聯邦法院上述之認定，原告不得加以上訴，或聲請覆審（</w:t>
      </w:r>
      <w:r w:rsidR="00203F72" w:rsidRPr="00515D85">
        <w:t>Was not subject to appeal or review</w:t>
      </w:r>
      <w:r w:rsidR="00203F72" w:rsidRPr="00515D85">
        <w:t>）。根據聯邦法院上述之判斷（決），加國移民裁決官於</w:t>
      </w:r>
      <w:r w:rsidR="00203F72" w:rsidRPr="00515D85">
        <w:t>1998</w:t>
      </w:r>
      <w:r w:rsidR="00203F72" w:rsidRPr="00515D85">
        <w:t>年</w:t>
      </w:r>
      <w:r w:rsidR="00203F72" w:rsidRPr="00515D85">
        <w:t>4</w:t>
      </w:r>
      <w:r w:rsidR="00203F72" w:rsidRPr="00515D85">
        <w:t>月，裁處</w:t>
      </w:r>
      <w:r w:rsidR="00203F72" w:rsidRPr="00515D85">
        <w:t>Ahani</w:t>
      </w:r>
      <w:r w:rsidR="00203F72" w:rsidRPr="00515D85">
        <w:t>不具備入境加國之資格；同時，裁定</w:t>
      </w:r>
      <w:r w:rsidR="00203F72" w:rsidRPr="00515D85">
        <w:t>Ahani</w:t>
      </w:r>
      <w:r w:rsidR="00203F72" w:rsidRPr="00515D85">
        <w:t>須被強制驅逐出國。</w:t>
      </w:r>
    </w:p>
    <w:p w14:paraId="3265A2E1" w14:textId="77777777" w:rsidR="00953151" w:rsidRPr="00515D85" w:rsidRDefault="00E60AF2" w:rsidP="00D87D91">
      <w:r w:rsidRPr="00515D85">
        <w:t xml:space="preserve">　　</w:t>
      </w:r>
      <w:r w:rsidR="00203F72" w:rsidRPr="00515D85">
        <w:t>於</w:t>
      </w:r>
      <w:r w:rsidR="00203F72" w:rsidRPr="00515D85">
        <w:t>1998</w:t>
      </w:r>
      <w:r w:rsidR="00203F72" w:rsidRPr="00515D85">
        <w:t>年</w:t>
      </w:r>
      <w:r w:rsidR="00203F72" w:rsidRPr="00515D85">
        <w:t>4</w:t>
      </w:r>
      <w:r w:rsidR="00203F72" w:rsidRPr="00515D85">
        <w:t>月</w:t>
      </w:r>
      <w:r w:rsidR="00203F72" w:rsidRPr="00515D85">
        <w:t>22</w:t>
      </w:r>
      <w:r w:rsidR="00203F72" w:rsidRPr="00515D85">
        <w:t>日，</w:t>
      </w:r>
      <w:r w:rsidR="00203F72" w:rsidRPr="00515D85">
        <w:t>Ahani</w:t>
      </w:r>
      <w:r w:rsidR="00203F72" w:rsidRPr="00515D85">
        <w:t>接到加國「公民暨移民部」（</w:t>
      </w:r>
      <w:r w:rsidR="00203F72" w:rsidRPr="00515D85">
        <w:t>the Ministry of Citizenship &amp; Immigration</w:t>
      </w:r>
      <w:r w:rsidR="00203F72" w:rsidRPr="00515D85">
        <w:t>）之通知，內容係為「公民暨移民部部長」（</w:t>
      </w:r>
      <w:r w:rsidR="00203F72" w:rsidRPr="00515D85">
        <w:t>the Minister of Citizenship &amp; Immigration</w:t>
      </w:r>
      <w:r w:rsidR="00203F72" w:rsidRPr="00515D85">
        <w:t>）將針對於</w:t>
      </w:r>
      <w:r w:rsidR="00203F72" w:rsidRPr="00515D85">
        <w:t>Ahani</w:t>
      </w:r>
      <w:r w:rsidR="00203F72" w:rsidRPr="00515D85">
        <w:t>是否會對加國之安全（</w:t>
      </w:r>
      <w:r w:rsidR="00203F72" w:rsidRPr="00515D85">
        <w:t>security</w:t>
      </w:r>
      <w:r w:rsidR="00203F72" w:rsidRPr="00515D85">
        <w:t>），構成一項風險，及假若其被遣返回伊朗有可能遭受風險之事，進行強制驅逐出國前之風險評估（</w:t>
      </w:r>
      <w:r w:rsidR="00203F72" w:rsidRPr="00515D85">
        <w:t>assess the risk</w:t>
      </w:r>
      <w:r w:rsidR="00203F72" w:rsidRPr="00515D85">
        <w:t>）；部長遂根據移民法第</w:t>
      </w:r>
      <w:r w:rsidR="00203F72" w:rsidRPr="00515D85">
        <w:t>53</w:t>
      </w:r>
      <w:r w:rsidR="00203F72" w:rsidRPr="00515D85">
        <w:t>條第</w:t>
      </w:r>
      <w:r w:rsidR="00203F72" w:rsidRPr="00515D85">
        <w:t>1</w:t>
      </w:r>
      <w:r w:rsidR="00203F72" w:rsidRPr="00515D85">
        <w:t>項第</w:t>
      </w:r>
      <w:r w:rsidR="00203F72" w:rsidRPr="00515D85">
        <w:t>b</w:t>
      </w:r>
      <w:r w:rsidR="00203F72" w:rsidRPr="00515D85">
        <w:t>款之規定（本條項係執行難民地位公約</w:t>
      </w:r>
      <w:hyperlink r:id="rId2065" w:anchor="a33" w:history="1">
        <w:r w:rsidR="00203F72" w:rsidRPr="000636BB">
          <w:rPr>
            <w:rStyle w:val="a5"/>
            <w:rFonts w:ascii="Times New Roman" w:eastAsia="新細明體" w:hAnsi="Times New Roman"/>
          </w:rPr>
          <w:t>第</w:t>
        </w:r>
        <w:r w:rsidR="00203F72" w:rsidRPr="000636BB">
          <w:rPr>
            <w:rStyle w:val="a5"/>
            <w:rFonts w:ascii="Times New Roman" w:eastAsia="新細明體" w:hAnsi="Times New Roman"/>
          </w:rPr>
          <w:t>33</w:t>
        </w:r>
        <w:r w:rsidR="00203F72" w:rsidRPr="000636BB">
          <w:rPr>
            <w:rStyle w:val="a5"/>
            <w:rFonts w:ascii="Times New Roman" w:eastAsia="新細明體" w:hAnsi="Times New Roman"/>
          </w:rPr>
          <w:t>條</w:t>
        </w:r>
      </w:hyperlink>
      <w:r w:rsidR="00203F72" w:rsidRPr="00515D85">
        <w:t>之要求），審查於</w:t>
      </w:r>
      <w:r w:rsidR="00203F72" w:rsidRPr="00515D85">
        <w:t>Ahani</w:t>
      </w:r>
      <w:r w:rsidR="00203F72" w:rsidRPr="00515D85">
        <w:t>之案件中，究竟是否存有禁止將難民遣返回原籍國之情事（</w:t>
      </w:r>
      <w:r w:rsidR="00203F72" w:rsidRPr="00515D85">
        <w:t>the prohibition of removing a Convention Refugee to the country of origin</w:t>
      </w:r>
      <w:r w:rsidR="00203F72" w:rsidRPr="00515D85">
        <w:t>）？針對於上述之情事，</w:t>
      </w:r>
      <w:r w:rsidR="00203F72" w:rsidRPr="00515D85">
        <w:t>Ahani</w:t>
      </w:r>
      <w:r w:rsidR="00203F72" w:rsidRPr="00515D85">
        <w:t>被賦予向部長表達意見之機會。</w:t>
      </w:r>
    </w:p>
    <w:p w14:paraId="00265F25" w14:textId="77777777" w:rsidR="00953151" w:rsidRPr="00515D85" w:rsidRDefault="00E60AF2" w:rsidP="00D87D91">
      <w:r w:rsidRPr="00515D85">
        <w:t xml:space="preserve">　　</w:t>
      </w:r>
      <w:r w:rsidR="00203F72" w:rsidRPr="00515D85">
        <w:t>部長並聽取</w:t>
      </w:r>
      <w:r w:rsidR="00203F72" w:rsidRPr="00515D85">
        <w:t>Ahani</w:t>
      </w:r>
      <w:r w:rsidR="00203F72" w:rsidRPr="00515D85">
        <w:t>所聘請代理人之意見，該代理人明白向部長表達假若</w:t>
      </w:r>
      <w:r w:rsidR="00203F72" w:rsidRPr="00515D85">
        <w:t>Ahani</w:t>
      </w:r>
      <w:r w:rsidR="00203F72" w:rsidRPr="00515D85">
        <w:t>被遣返回伊朗，存有將會面臨遭受酷刑之清晰風險（</w:t>
      </w:r>
      <w:r w:rsidR="00203F72" w:rsidRPr="00515D85">
        <w:t>faced a clear risk of torture in Iran</w:t>
      </w:r>
      <w:r w:rsidR="00203F72" w:rsidRPr="00515D85">
        <w:t>）。此外，部長亦審酌由</w:t>
      </w:r>
      <w:r w:rsidR="00203F72" w:rsidRPr="00515D85">
        <w:t>Ahani</w:t>
      </w:r>
      <w:r w:rsidR="00203F72" w:rsidRPr="00515D85">
        <w:t>所提交意見之附件資料，其他相關之證據及加國官方所出示之法律基礎之意見書，最後，以不附具理由之方式（</w:t>
      </w:r>
      <w:r w:rsidR="00203F72" w:rsidRPr="00515D85">
        <w:t>without reasons</w:t>
      </w:r>
      <w:r w:rsidR="00203F72" w:rsidRPr="00515D85">
        <w:t>），裁定以下事項：</w:t>
      </w:r>
      <w:r w:rsidR="00203F72" w:rsidRPr="00515D85">
        <w:t>1. Ahani</w:t>
      </w:r>
      <w:r w:rsidR="00203F72" w:rsidRPr="00515D85">
        <w:t>對於加國之安全而言，已構成一項危害（</w:t>
      </w:r>
      <w:r w:rsidR="00203F72" w:rsidRPr="00515D85">
        <w:t>constituted a danger to the security of Canada</w:t>
      </w:r>
      <w:r w:rsidR="00203F72" w:rsidRPr="00515D85">
        <w:t>）；</w:t>
      </w:r>
      <w:r w:rsidR="00203F72" w:rsidRPr="00515D85">
        <w:t>2. Ahani</w:t>
      </w:r>
      <w:r w:rsidR="00203F72" w:rsidRPr="00515D85">
        <w:t>須被直接遣返回伊朗。針對於部長上述之裁決意見，</w:t>
      </w:r>
      <w:r w:rsidR="00203F72" w:rsidRPr="00515D85">
        <w:t>Ahani</w:t>
      </w:r>
      <w:r w:rsidR="00203F72" w:rsidRPr="00515D85">
        <w:t>表示不服，並聲請司法審查（</w:t>
      </w:r>
      <w:r w:rsidR="00203F72" w:rsidRPr="00515D85">
        <w:t>judicial review</w:t>
      </w:r>
      <w:r w:rsidR="00203F72" w:rsidRPr="00515D85">
        <w:t>）。在向聯邦法院聲請舉行聽證程序之流程中，</w:t>
      </w:r>
      <w:r w:rsidR="00203F72" w:rsidRPr="00515D85">
        <w:t>Ahani</w:t>
      </w:r>
      <w:r w:rsidR="00203F72" w:rsidRPr="00515D85">
        <w:t>因有鑑於自收到驅逐出國命令（處分）之後，業已經過</w:t>
      </w:r>
      <w:r w:rsidR="00203F72" w:rsidRPr="00515D85">
        <w:t>120</w:t>
      </w:r>
      <w:r w:rsidR="00203F72" w:rsidRPr="00515D85">
        <w:t>日，均處於被收容之狀態，故依移民法第</w:t>
      </w:r>
      <w:r w:rsidR="00203F72" w:rsidRPr="00515D85">
        <w:t>40</w:t>
      </w:r>
      <w:r w:rsidR="00203F72" w:rsidRPr="00515D85">
        <w:t>條第</w:t>
      </w:r>
      <w:r w:rsidR="00203F72" w:rsidRPr="00515D85">
        <w:t>1</w:t>
      </w:r>
      <w:r w:rsidR="00203F72" w:rsidRPr="00515D85">
        <w:t>項第</w:t>
      </w:r>
      <w:r w:rsidR="00203F72" w:rsidRPr="00515D85">
        <w:t>8</w:t>
      </w:r>
      <w:r w:rsidR="00203F72" w:rsidRPr="00515D85">
        <w:t>款之規定，同時聲請終止收容並被釋放（</w:t>
      </w:r>
      <w:r w:rsidR="00203F72" w:rsidRPr="00515D85">
        <w:t>applied for release from detention</w:t>
      </w:r>
      <w:r w:rsidR="00203F72" w:rsidRPr="00515D85">
        <w:t>）。</w:t>
      </w:r>
    </w:p>
    <w:p w14:paraId="5B1CB3E7" w14:textId="77777777" w:rsidR="00953151" w:rsidRPr="00515D85" w:rsidRDefault="00E60AF2" w:rsidP="00D87D91">
      <w:r w:rsidRPr="00515D85">
        <w:t xml:space="preserve">　　</w:t>
      </w:r>
      <w:r w:rsidR="00203F72" w:rsidRPr="00515D85">
        <w:t>加國聯邦法院收到</w:t>
      </w:r>
      <w:r w:rsidR="00203F72" w:rsidRPr="00515D85">
        <w:t>Ahani</w:t>
      </w:r>
      <w:r w:rsidR="00203F72" w:rsidRPr="00515D85">
        <w:t>上述兩項聲請案之後，首先，先審理終止收容之聲請案；之後，再裁決</w:t>
      </w:r>
      <w:r w:rsidR="00203F72" w:rsidRPr="00515D85">
        <w:t>Ahani</w:t>
      </w:r>
      <w:r w:rsidR="00203F72" w:rsidRPr="00515D85">
        <w:t>不服部長意見之聲請案。就終止收容之聲請案而論，聯邦法院發現存有「合理之理由」（</w:t>
      </w:r>
      <w:r w:rsidR="00203F72" w:rsidRPr="00515D85">
        <w:t>reasonable grounds</w:t>
      </w:r>
      <w:r w:rsidR="00203F72" w:rsidRPr="00515D85">
        <w:t>），令人堅信如將</w:t>
      </w:r>
      <w:r w:rsidR="00203F72" w:rsidRPr="00515D85">
        <w:t>Ahani</w:t>
      </w:r>
      <w:r w:rsidR="00203F72" w:rsidRPr="00515D85">
        <w:t>加以釋放，則會危及處於加國境內人士之人身安全，特別是會危害加國境內伊朗籍政治異議人士之安全；基於上述之合理理由，於</w:t>
      </w:r>
      <w:r w:rsidR="00203F72" w:rsidRPr="00515D85">
        <w:t>1999</w:t>
      </w:r>
      <w:r w:rsidR="00203F72" w:rsidRPr="00515D85">
        <w:t>年</w:t>
      </w:r>
      <w:r w:rsidR="00203F72" w:rsidRPr="00515D85">
        <w:t>3</w:t>
      </w:r>
      <w:r w:rsidR="00203F72" w:rsidRPr="00515D85">
        <w:t>月</w:t>
      </w:r>
      <w:r w:rsidR="00203F72" w:rsidRPr="00515D85">
        <w:t>15</w:t>
      </w:r>
      <w:r w:rsidR="00203F72" w:rsidRPr="00515D85">
        <w:t>日，聯邦法院駁回</w:t>
      </w:r>
      <w:r w:rsidR="00203F72" w:rsidRPr="00515D85">
        <w:t>Ahani</w:t>
      </w:r>
      <w:r w:rsidR="00203F72" w:rsidRPr="00515D85">
        <w:t>有關於終止收容之聲請案；</w:t>
      </w:r>
      <w:r w:rsidR="00203F72" w:rsidRPr="00515D85">
        <w:t>Ahani</w:t>
      </w:r>
      <w:r w:rsidR="00203F72" w:rsidRPr="00515D85">
        <w:t>不服聯邦法院之裁判，向聯邦上訴法院（</w:t>
      </w:r>
      <w:r w:rsidR="00203F72" w:rsidRPr="00515D85">
        <w:t>the Federal Court of Appeal</w:t>
      </w:r>
      <w:r w:rsidR="00203F72" w:rsidRPr="00515D85">
        <w:t>）提起司法救濟；不過，聯邦上訴法院仍維持聯邦法院之見解。</w:t>
      </w:r>
    </w:p>
    <w:p w14:paraId="772E9E3A" w14:textId="77777777" w:rsidR="00953151" w:rsidRPr="00515D85" w:rsidRDefault="00E60AF2" w:rsidP="00D87D91">
      <w:r w:rsidRPr="00515D85">
        <w:t xml:space="preserve">　　</w:t>
      </w:r>
      <w:r w:rsidR="00203F72" w:rsidRPr="00515D85">
        <w:t>另外，就</w:t>
      </w:r>
      <w:r w:rsidR="00203F72" w:rsidRPr="00515D85">
        <w:t>Ahani</w:t>
      </w:r>
      <w:r w:rsidR="00203F72" w:rsidRPr="00515D85">
        <w:t>不服部長意見之聲請案而論，聯邦法院（</w:t>
      </w:r>
      <w:r w:rsidR="00203F72" w:rsidRPr="00515D85">
        <w:t>the Federal Court</w:t>
      </w:r>
      <w:r w:rsidR="00203F72" w:rsidRPr="00515D85">
        <w:t>）亦發現存有「充分之證據」（</w:t>
      </w:r>
      <w:r w:rsidR="00203F72" w:rsidRPr="00515D85">
        <w:t>ample evidence</w:t>
      </w:r>
      <w:r w:rsidR="00203F72" w:rsidRPr="00515D85">
        <w:t>），足以支撐部長之裁決，係屬於合法之決定；亦即，</w:t>
      </w:r>
      <w:r w:rsidR="00203F72" w:rsidRPr="00515D85">
        <w:t>Ahani</w:t>
      </w:r>
      <w:r w:rsidR="00203F72" w:rsidRPr="00515D85">
        <w:t>對於加國之安全而言，係已構成一項「危害」（</w:t>
      </w:r>
      <w:r w:rsidR="00203F72" w:rsidRPr="00515D85">
        <w:t>the author constituted a danger to Canada</w:t>
      </w:r>
      <w:r w:rsidR="00203F72" w:rsidRPr="00515D85">
        <w:t>），有足夠之證據，可支援此項之決定；再者，聯邦法院亦認為將</w:t>
      </w:r>
      <w:r w:rsidR="00203F72" w:rsidRPr="00515D85">
        <w:t>Ahani</w:t>
      </w:r>
      <w:r w:rsidR="00203F72" w:rsidRPr="00515D85">
        <w:t>強制驅逐出國之處分，具有「合理性」（適當性）（</w:t>
      </w:r>
      <w:r w:rsidR="00203F72" w:rsidRPr="00515D85">
        <w:t>reasonable</w:t>
      </w:r>
      <w:r w:rsidR="00203F72" w:rsidRPr="00515D85">
        <w:t>）；基於上述之理由與見解，於</w:t>
      </w:r>
      <w:r w:rsidR="00203F72" w:rsidRPr="00515D85">
        <w:t>1999</w:t>
      </w:r>
      <w:r w:rsidR="00203F72" w:rsidRPr="00515D85">
        <w:t>年</w:t>
      </w:r>
      <w:r w:rsidR="00203F72" w:rsidRPr="00515D85">
        <w:t>6</w:t>
      </w:r>
      <w:r w:rsidR="00203F72" w:rsidRPr="00515D85">
        <w:t>月</w:t>
      </w:r>
      <w:r w:rsidR="00203F72" w:rsidRPr="00515D85">
        <w:t>23</w:t>
      </w:r>
      <w:r w:rsidR="00203F72" w:rsidRPr="00515D85">
        <w:t>日，聯邦法院駁回</w:t>
      </w:r>
      <w:r w:rsidR="00203F72" w:rsidRPr="00515D85">
        <w:t>Ahani</w:t>
      </w:r>
      <w:r w:rsidR="00203F72" w:rsidRPr="00515D85">
        <w:t>不服部長意見之司法審查救濟聲請案。</w:t>
      </w:r>
    </w:p>
    <w:p w14:paraId="52790238" w14:textId="77777777" w:rsidR="00953151" w:rsidRPr="00515D85" w:rsidRDefault="00E60AF2" w:rsidP="00D87D91">
      <w:r w:rsidRPr="00515D85">
        <w:t xml:space="preserve">　　</w:t>
      </w:r>
      <w:r w:rsidR="00203F72" w:rsidRPr="00515D85">
        <w:t>在此同時，聯邦法院亦駁回</w:t>
      </w:r>
      <w:r w:rsidR="00203F72" w:rsidRPr="00515D85">
        <w:t>Ahani</w:t>
      </w:r>
      <w:r w:rsidR="00203F72" w:rsidRPr="00515D85">
        <w:t>針對於「程序問題合憲性」之質疑（</w:t>
      </w:r>
      <w:r w:rsidR="00203F72" w:rsidRPr="00515D85">
        <w:t>procedural constitutional challeges</w:t>
      </w:r>
      <w:r w:rsidR="00203F72" w:rsidRPr="00515D85">
        <w:t>），此包括部長針對於</w:t>
      </w:r>
      <w:r w:rsidR="00203F72" w:rsidRPr="00515D85">
        <w:t>Ahani</w:t>
      </w:r>
      <w:r w:rsidR="00203F72" w:rsidRPr="00515D85">
        <w:t>之行為，認定已危害加國安全之意見之程序問題。此等涉及程序上之質疑，均被聯邦法院駁回。</w:t>
      </w:r>
      <w:r w:rsidR="00203F72" w:rsidRPr="00515D85">
        <w:t>Ahani</w:t>
      </w:r>
      <w:r w:rsidR="00203F72" w:rsidRPr="00515D85">
        <w:t>不服聯邦法院上述之判決內容，向聯邦上訴法院（</w:t>
      </w:r>
      <w:r w:rsidR="00203F72" w:rsidRPr="00515D85">
        <w:t>the Court of Appeal</w:t>
      </w:r>
      <w:r w:rsidR="00203F72" w:rsidRPr="00515D85">
        <w:t>）提出司法救濟；於</w:t>
      </w:r>
      <w:r w:rsidR="00203F72" w:rsidRPr="00515D85">
        <w:t>2000</w:t>
      </w:r>
      <w:r w:rsidR="00203F72" w:rsidRPr="00515D85">
        <w:t>年元月</w:t>
      </w:r>
      <w:r w:rsidR="00203F72" w:rsidRPr="00515D85">
        <w:t>18</w:t>
      </w:r>
      <w:r w:rsidR="00203F72" w:rsidRPr="00515D85">
        <w:t>日，聯邦上訴法院駁回</w:t>
      </w:r>
      <w:r w:rsidR="00203F72" w:rsidRPr="00515D85">
        <w:t>Ahani</w:t>
      </w:r>
      <w:r w:rsidR="00203F72" w:rsidRPr="00515D85">
        <w:t>之司法救濟聲請案。為仍聯邦上訴法院會駁回</w:t>
      </w:r>
      <w:r w:rsidR="00203F72" w:rsidRPr="00515D85">
        <w:t>Ahani</w:t>
      </w:r>
      <w:r w:rsidR="00203F72" w:rsidRPr="00515D85">
        <w:t>之司法救濟聲請案？主要之理由，係聯邦上訴法院發現即使將</w:t>
      </w:r>
      <w:r w:rsidR="00203F72" w:rsidRPr="00515D85">
        <w:t>Ahani</w:t>
      </w:r>
      <w:r w:rsidR="00203F72" w:rsidRPr="00515D85">
        <w:t>遣返回伊朗，亦不會令</w:t>
      </w:r>
      <w:r w:rsidR="00203F72" w:rsidRPr="00515D85">
        <w:t>Ahani</w:t>
      </w:r>
      <w:r w:rsidR="00203F72" w:rsidRPr="00515D85">
        <w:t>面臨嚴重之身體傷害之風險（</w:t>
      </w:r>
      <w:r w:rsidR="00203F72" w:rsidRPr="00515D85">
        <w:t>would not be exposed to a serious risk of harm</w:t>
      </w:r>
      <w:r w:rsidR="00203F72" w:rsidRPr="00515D85">
        <w:t>）；再者，</w:t>
      </w:r>
      <w:r w:rsidR="00203F72" w:rsidRPr="00515D85">
        <w:t>Ahani</w:t>
      </w:r>
      <w:r w:rsidR="00203F72" w:rsidRPr="00515D85">
        <w:t>亦不會遭致酷刑（</w:t>
      </w:r>
      <w:r w:rsidR="00203F72" w:rsidRPr="00515D85">
        <w:t>let alone torture</w:t>
      </w:r>
      <w:r w:rsidR="00203F72" w:rsidRPr="00515D85">
        <w:t>）；上述風險評估之結論，係加國部長於審酌相關資料之後，所得到之結論與看法；聯邦上訴法院對於部長之結論與意見，表示贊同，並認為部長之意見係屬正確（</w:t>
      </w:r>
      <w:r w:rsidR="00203F72" w:rsidRPr="00515D85">
        <w:t>the Minister could rightly</w:t>
      </w:r>
      <w:r w:rsidR="00203F72" w:rsidRPr="00515D85">
        <w:t>）。</w:t>
      </w:r>
    </w:p>
    <w:p w14:paraId="0756EE99" w14:textId="77777777" w:rsidR="00953151" w:rsidRPr="00515D85" w:rsidRDefault="00E60AF2" w:rsidP="00D87D91">
      <w:r w:rsidRPr="00515D85">
        <w:t xml:space="preserve">　　</w:t>
      </w:r>
      <w:r w:rsidR="00203F72" w:rsidRPr="00515D85">
        <w:t>另外，聯邦上訴法院亦採認</w:t>
      </w:r>
      <w:r w:rsidR="00203F72" w:rsidRPr="00515D85">
        <w:t>Ahani</w:t>
      </w:r>
      <w:r w:rsidR="00203F72" w:rsidRPr="00515D85">
        <w:t>被控告係為一名伊朗殺手之相關證據；聯邦上訴法院認為存在有「合理之理由」（</w:t>
      </w:r>
      <w:r w:rsidR="00203F72" w:rsidRPr="00515D85">
        <w:t>reasonable grounds</w:t>
      </w:r>
      <w:r w:rsidR="00203F72" w:rsidRPr="00515D85">
        <w:t>），用以支持</w:t>
      </w:r>
      <w:r w:rsidR="00203F72" w:rsidRPr="00515D85">
        <w:t>Ahani</w:t>
      </w:r>
      <w:r w:rsidR="00203F72" w:rsidRPr="00515D85">
        <w:t>係為伊朗情報機關（</w:t>
      </w:r>
      <w:r w:rsidR="00203F72" w:rsidRPr="00515D85">
        <w:t>Iranian secret service</w:t>
      </w:r>
      <w:r w:rsidR="00203F72" w:rsidRPr="00515D85">
        <w:t>）之成員，他是一位訓練有素之殺手（</w:t>
      </w:r>
      <w:r w:rsidR="00203F72" w:rsidRPr="00515D85">
        <w:t>a trained assassin</w:t>
      </w:r>
      <w:r w:rsidR="00203F72" w:rsidRPr="00515D85">
        <w:t>）；基此，對於加國部長認定</w:t>
      </w:r>
      <w:r w:rsidR="00203F72" w:rsidRPr="00515D85">
        <w:t>Ahani</w:t>
      </w:r>
      <w:r w:rsidR="00203F72" w:rsidRPr="00515D85">
        <w:t>會對加國安全造成危害之意見（</w:t>
      </w:r>
      <w:r w:rsidR="00203F72" w:rsidRPr="00515D85">
        <w:t>the Minister opinion that he was a danger to Canada</w:t>
      </w:r>
      <w:r w:rsidR="00203F72" w:rsidRPr="00515D85">
        <w:t>），不應加以忽略；亦即，聯邦上訴法院肯定部長之見解，認定</w:t>
      </w:r>
      <w:r w:rsidR="00203F72" w:rsidRPr="00515D85">
        <w:t>Ahani</w:t>
      </w:r>
      <w:r w:rsidR="00203F72" w:rsidRPr="00515D85">
        <w:t>是一名政治殺手，會對加國安全造成威脅</w:t>
      </w:r>
      <w:r w:rsidR="00203F72" w:rsidRPr="00515D85">
        <w:footnoteReference w:id="783"/>
      </w:r>
      <w:r w:rsidR="00203F72" w:rsidRPr="00515D85">
        <w:t>。</w:t>
      </w:r>
    </w:p>
    <w:p w14:paraId="2D0C054D" w14:textId="77777777" w:rsidR="00953151" w:rsidRPr="00515D85" w:rsidRDefault="00E60AF2" w:rsidP="00D87D91">
      <w:r w:rsidRPr="00515D85">
        <w:t xml:space="preserve">　　</w:t>
      </w:r>
      <w:r w:rsidR="00203F72" w:rsidRPr="00515D85">
        <w:t>Ahani</w:t>
      </w:r>
      <w:r w:rsidR="00203F72" w:rsidRPr="00515D85">
        <w:t>對於聯邦上訴法院上述之判決意見，表示不服，遂向聯邦最高法院提出司法救濟之聲請案；聯邦最高法院開庭審理</w:t>
      </w:r>
      <w:r w:rsidR="00203F72" w:rsidRPr="00515D85">
        <w:t>Ahani</w:t>
      </w:r>
      <w:r w:rsidR="00203F72" w:rsidRPr="00515D85">
        <w:t>之聲請救濟案件，認為存有充分之證據足以支持加國部長之裁定，認定</w:t>
      </w:r>
      <w:r w:rsidR="00203F72" w:rsidRPr="00515D85">
        <w:t>Ahani</w:t>
      </w:r>
      <w:r w:rsidR="00203F72" w:rsidRPr="00515D85">
        <w:t>對於加國之安全而言，會構成一項威脅（</w:t>
      </w:r>
      <w:r w:rsidR="00203F72" w:rsidRPr="00515D85">
        <w:t>the author was a danger to the security of Canada</w:t>
      </w:r>
      <w:r w:rsidR="00203F72" w:rsidRPr="00515D85">
        <w:t>）。除此之外，聯邦最高法院亦頗為肯定加國部長另外之見解，亦即，假若將</w:t>
      </w:r>
      <w:r w:rsidR="00203F72" w:rsidRPr="00515D85">
        <w:t>Ahani</w:t>
      </w:r>
      <w:r w:rsidR="00203F72" w:rsidRPr="00515D85">
        <w:t>驅逐回伊朗，</w:t>
      </w:r>
      <w:r w:rsidR="00203F72" w:rsidRPr="00515D85">
        <w:t>Ahani</w:t>
      </w:r>
      <w:r w:rsidR="00203F72" w:rsidRPr="00515D85">
        <w:t>僅會面臨最低程度（層級）之傷害風險（</w:t>
      </w:r>
      <w:r w:rsidR="00203F72" w:rsidRPr="00515D85">
        <w:t>he only faced a minimal risk of harm</w:t>
      </w:r>
      <w:r w:rsidR="00203F72" w:rsidRPr="00515D85">
        <w:t>），並不會面臨實質性之酷刑風險（</w:t>
      </w:r>
      <w:r w:rsidR="00203F72" w:rsidRPr="00515D85">
        <w:t>rather than a substantial risk of torture</w:t>
      </w:r>
      <w:r w:rsidR="00203F72" w:rsidRPr="00515D85">
        <w:t>）。故聯邦最高法院認為於</w:t>
      </w:r>
      <w:r w:rsidR="00203F72" w:rsidRPr="00515D85">
        <w:t>Ahani</w:t>
      </w:r>
      <w:r w:rsidR="00203F72" w:rsidRPr="00515D85">
        <w:t>被遣返回伊朗之事件中，加國部長將</w:t>
      </w:r>
      <w:r w:rsidR="00203F72" w:rsidRPr="00515D85">
        <w:t>Ahani</w:t>
      </w:r>
      <w:r w:rsidR="00203F72" w:rsidRPr="00515D85">
        <w:t>遣返回伊朗之措施（作法），是屬於合理、適切（</w:t>
      </w:r>
      <w:r w:rsidR="00203F72" w:rsidRPr="00515D85">
        <w:t>reasonable</w:t>
      </w:r>
      <w:r w:rsidR="00203F72" w:rsidRPr="00515D85">
        <w:t>），且無爭論餘地（</w:t>
      </w:r>
      <w:r w:rsidR="00203F72" w:rsidRPr="00515D85">
        <w:t>unassailable</w:t>
      </w:r>
      <w:r w:rsidR="00203F72" w:rsidRPr="00515D85">
        <w:t>）。</w:t>
      </w:r>
    </w:p>
    <w:p w14:paraId="41342AC6" w14:textId="77777777" w:rsidR="00953151" w:rsidRPr="00515D85" w:rsidRDefault="00E60AF2" w:rsidP="00D87D91">
      <w:r w:rsidRPr="00515D85">
        <w:t xml:space="preserve">　　</w:t>
      </w:r>
      <w:r w:rsidR="00203F72" w:rsidRPr="00515D85">
        <w:t>換言之，聯邦最高法院肯定加國部長之意見，認為將</w:t>
      </w:r>
      <w:r w:rsidR="00203F72" w:rsidRPr="00515D85">
        <w:t>Ahani</w:t>
      </w:r>
      <w:r w:rsidR="00203F72" w:rsidRPr="00515D85">
        <w:t>驅逐出國並遣返回伊朗之作法，係屬於合理之措施。假若依據加國移民法第</w:t>
      </w:r>
      <w:r w:rsidR="00203F72" w:rsidRPr="00515D85">
        <w:t>53</w:t>
      </w:r>
      <w:r w:rsidR="00203F72" w:rsidRPr="00515D85">
        <w:t>條第</w:t>
      </w:r>
      <w:r w:rsidR="00203F72" w:rsidRPr="00515D85">
        <w:t>1</w:t>
      </w:r>
      <w:r w:rsidR="00203F72" w:rsidRPr="00515D85">
        <w:t>項第</w:t>
      </w:r>
      <w:r w:rsidR="00203F72" w:rsidRPr="00515D85">
        <w:t>(b)</w:t>
      </w:r>
      <w:r w:rsidR="00203F72" w:rsidRPr="00515D85">
        <w:t>款之規定，擬將外國人驅逐出國，須考量被驅逐出國者於目的國（地）是否會遭受身心傷害之風險（</w:t>
      </w:r>
      <w:r w:rsidR="00203F72" w:rsidRPr="00515D85">
        <w:t>deportation of persons at risk of harm</w:t>
      </w:r>
      <w:r w:rsidR="00203F72" w:rsidRPr="00515D85">
        <w:t>）；聯邦最高法院為瞭解決上述移民法第</w:t>
      </w:r>
      <w:r w:rsidR="00203F72" w:rsidRPr="00515D85">
        <w:t>53</w:t>
      </w:r>
      <w:r w:rsidR="00203F72" w:rsidRPr="00515D85">
        <w:t>條第</w:t>
      </w:r>
      <w:r w:rsidR="00203F72" w:rsidRPr="00515D85">
        <w:t xml:space="preserve">1 </w:t>
      </w:r>
      <w:r w:rsidR="00203F72" w:rsidRPr="00515D85">
        <w:t>項第</w:t>
      </w:r>
      <w:r w:rsidR="00203F72" w:rsidRPr="00515D85">
        <w:t>(b)</w:t>
      </w:r>
      <w:r w:rsidR="00203F72" w:rsidRPr="00515D85">
        <w:t>款合憲性之問題，在論理之邏輯上，係舉</w:t>
      </w:r>
      <w:r w:rsidR="00203F72" w:rsidRPr="00515D85">
        <w:t>Suresh</w:t>
      </w:r>
      <w:r w:rsidR="00203F72" w:rsidRPr="00515D85">
        <w:t>案作為論理上之說明；聯邦最高法院於</w:t>
      </w:r>
      <w:r w:rsidR="00203F72" w:rsidRPr="00515D85">
        <w:t>2001</w:t>
      </w:r>
      <w:r w:rsidR="00203F72" w:rsidRPr="00515D85">
        <w:t>年</w:t>
      </w:r>
      <w:r w:rsidR="00203F72" w:rsidRPr="00515D85">
        <w:t>1</w:t>
      </w:r>
      <w:r w:rsidR="00203F72" w:rsidRPr="00515D85">
        <w:t>月</w:t>
      </w:r>
      <w:r w:rsidR="00203F72" w:rsidRPr="00515D85">
        <w:t>11</w:t>
      </w:r>
      <w:r w:rsidR="00203F72" w:rsidRPr="00515D85">
        <w:t>日，同時就</w:t>
      </w:r>
      <w:r w:rsidR="00203F72" w:rsidRPr="00515D85">
        <w:t>Ahani</w:t>
      </w:r>
      <w:r w:rsidR="00203F72" w:rsidRPr="00515D85">
        <w:t>案與</w:t>
      </w:r>
      <w:r w:rsidR="00203F72" w:rsidRPr="00515D85">
        <w:t>Suresh</w:t>
      </w:r>
      <w:r w:rsidR="00203F72" w:rsidRPr="00515D85">
        <w:t>案作出判決；由於具有此一背景與脈絡，聯邦最高法院遂將</w:t>
      </w:r>
      <w:r w:rsidR="00203F72" w:rsidRPr="00515D85">
        <w:t>Ahani</w:t>
      </w:r>
      <w:r w:rsidR="00203F72" w:rsidRPr="00515D85">
        <w:t>案與</w:t>
      </w:r>
      <w:r w:rsidR="00203F72" w:rsidRPr="00515D85">
        <w:t>Suresh</w:t>
      </w:r>
      <w:r w:rsidR="00203F72" w:rsidRPr="00515D85">
        <w:t>案相互作比較。</w:t>
      </w:r>
    </w:p>
    <w:p w14:paraId="0959B291" w14:textId="77777777" w:rsidR="00953151" w:rsidRPr="00515D85" w:rsidRDefault="00E60AF2" w:rsidP="00D87D91">
      <w:r w:rsidRPr="00515D85">
        <w:t xml:space="preserve">　　</w:t>
      </w:r>
      <w:r w:rsidR="00203F72" w:rsidRPr="00515D85">
        <w:t>加國聯邦最高法院指出，假若不考量非常極端之情境（</w:t>
      </w:r>
      <w:r w:rsidR="00203F72" w:rsidRPr="00515D85">
        <w:t>barring extraordinary circumstances</w:t>
      </w:r>
      <w:r w:rsidR="00203F72" w:rsidRPr="00515D85">
        <w:t>），如將外國人強制驅逐出國至其會遭受酷刑之國家或地區，通常而論，會遣反（背）基本正義之原則（</w:t>
      </w:r>
      <w:r w:rsidR="00203F72" w:rsidRPr="00515D85">
        <w:t>violate the principles of fundamental justice</w:t>
      </w:r>
      <w:r w:rsidR="00203F72" w:rsidRPr="00515D85">
        <w:t>）；在</w:t>
      </w:r>
      <w:r w:rsidR="00203F72" w:rsidRPr="00515D85">
        <w:t>Suresh</w:t>
      </w:r>
      <w:r w:rsidR="00203F72" w:rsidRPr="00515D85">
        <w:t>案件之中，聯邦最高法院指出，業已使用「初步印象」（</w:t>
      </w:r>
      <w:r w:rsidR="00203F72" w:rsidRPr="00515D85">
        <w:t>prima facie</w:t>
      </w:r>
      <w:r w:rsidR="00203F72" w:rsidRPr="00515D85">
        <w:t>）之審查法則，初步審查之結果，</w:t>
      </w:r>
      <w:r w:rsidR="00203F72" w:rsidRPr="00515D85">
        <w:t>Suresh</w:t>
      </w:r>
      <w:r w:rsidR="00203F72" w:rsidRPr="00515D85">
        <w:t>會面臨遭受酷刑之實際風險（</w:t>
      </w:r>
      <w:r w:rsidR="00203F72" w:rsidRPr="00515D85">
        <w:t>risk of torture</w:t>
      </w:r>
      <w:r w:rsidR="00203F72" w:rsidRPr="00515D85">
        <w:t>）。由於</w:t>
      </w:r>
      <w:r w:rsidR="00203F72" w:rsidRPr="00515D85">
        <w:t>Suresh</w:t>
      </w:r>
      <w:r w:rsidR="00203F72" w:rsidRPr="00515D85">
        <w:t>會遭遇被施加酷刑之風險，故他被賦予更高層級之程序保障（</w:t>
      </w:r>
      <w:r w:rsidR="00203F72" w:rsidRPr="00515D85">
        <w:t>to enhanced procedural protection</w:t>
      </w:r>
      <w:r w:rsidR="00203F72" w:rsidRPr="00515D85">
        <w:t>）之權利；此等程序上之保障作法，包括：</w:t>
      </w:r>
      <w:r w:rsidR="00203F72" w:rsidRPr="00515D85">
        <w:t>1.</w:t>
      </w:r>
      <w:r w:rsidR="00203F72" w:rsidRPr="00515D85">
        <w:t>加國部長認定</w:t>
      </w:r>
      <w:r w:rsidR="00203F72" w:rsidRPr="00515D85">
        <w:t>Suresh</w:t>
      </w:r>
      <w:r w:rsidR="00203F72" w:rsidRPr="00515D85">
        <w:t>是否會遭受酷刑風險之一切資料與證據，均須接受檢</w:t>
      </w:r>
      <w:r w:rsidR="003E240E">
        <w:t>視</w:t>
      </w:r>
      <w:r w:rsidR="00203F72" w:rsidRPr="00515D85">
        <w:t>；</w:t>
      </w:r>
      <w:r w:rsidR="00203F72" w:rsidRPr="00515D85">
        <w:t>2. Suresh</w:t>
      </w:r>
      <w:r w:rsidR="00203F72" w:rsidRPr="00515D85">
        <w:t>被賦予權利，可就其涉及是否會遭受酷刑風險之證據，以書面之方式加以提出（</w:t>
      </w:r>
      <w:r w:rsidR="00203F72" w:rsidRPr="00515D85">
        <w:t>an opportunity to address the evidence in writing</w:t>
      </w:r>
      <w:r w:rsidR="00203F72" w:rsidRPr="00515D85">
        <w:t>）；</w:t>
      </w:r>
      <w:r w:rsidR="00203F72" w:rsidRPr="00515D85">
        <w:t>3.</w:t>
      </w:r>
      <w:r w:rsidR="00203F72" w:rsidRPr="00515D85">
        <w:t>對於加國部長之意見（裁決），擁有收到書面理由之權利。然而，在</w:t>
      </w:r>
      <w:r w:rsidR="00203F72" w:rsidRPr="00515D85">
        <w:t>Ahani</w:t>
      </w:r>
      <w:r w:rsidR="00203F72" w:rsidRPr="00515D85">
        <w:t>之案例中，由於缺乏須運用「初步印象」（</w:t>
      </w:r>
      <w:r w:rsidR="00203F72" w:rsidRPr="00515D85">
        <w:t>prima facie</w:t>
      </w:r>
      <w:r w:rsidR="00203F72" w:rsidRPr="00515D85">
        <w:t>）法則進行審查之條件，以及欠缺程序上保護之必要性，導致</w:t>
      </w:r>
      <w:r w:rsidR="00203F72" w:rsidRPr="00515D85">
        <w:t>Ahani</w:t>
      </w:r>
      <w:r w:rsidR="00203F72" w:rsidRPr="00515D85">
        <w:t>所舉出之證據，未具有清晰性（明確性）（</w:t>
      </w:r>
      <w:r w:rsidR="00203F72" w:rsidRPr="00515D85">
        <w:t>not cleared</w:t>
      </w:r>
      <w:r w:rsidR="00203F72" w:rsidRPr="00515D85">
        <w:t>）。</w:t>
      </w:r>
    </w:p>
    <w:p w14:paraId="512426D6" w14:textId="77777777" w:rsidR="00953151" w:rsidRPr="00515D85" w:rsidRDefault="00E60AF2" w:rsidP="00D87D91">
      <w:r w:rsidRPr="00515D85">
        <w:t xml:space="preserve">　　</w:t>
      </w:r>
      <w:r w:rsidR="00203F72" w:rsidRPr="00515D85">
        <w:t>再者，聯邦最高法院亦指出，有關於加國部長裁定</w:t>
      </w:r>
      <w:r w:rsidR="00203F72" w:rsidRPr="00515D85">
        <w:t>Ahani</w:t>
      </w:r>
      <w:r w:rsidR="00203F72" w:rsidRPr="00515D85">
        <w:t>對於加國安全而言，會構成威脅與危害，以及</w:t>
      </w:r>
      <w:r w:rsidR="00203F72" w:rsidRPr="00515D85">
        <w:t>Ahani</w:t>
      </w:r>
      <w:r w:rsidR="00203F72" w:rsidRPr="00515D85">
        <w:t>被驅逐出國至伊朗之後，並不會面臨酷刑風險之意見，業已履行告知</w:t>
      </w:r>
      <w:r w:rsidR="00203F72" w:rsidRPr="00515D85">
        <w:t>Ahani</w:t>
      </w:r>
      <w:r w:rsidR="00203F72" w:rsidRPr="00515D85">
        <w:t>之義務；亦即，上述加國部長之裁決處分，業以書面信件之方式，告知</w:t>
      </w:r>
      <w:r w:rsidR="00203F72" w:rsidRPr="00515D85">
        <w:t>Ahani</w:t>
      </w:r>
      <w:r w:rsidR="00203F72" w:rsidRPr="00515D85">
        <w:t>（</w:t>
      </w:r>
      <w:r w:rsidR="00203F72" w:rsidRPr="00515D85">
        <w:t>in the form of the letter advising him</w:t>
      </w:r>
      <w:r w:rsidR="00203F72" w:rsidRPr="00515D85">
        <w:t>）；同時，並賦予</w:t>
      </w:r>
      <w:r w:rsidR="00203F72" w:rsidRPr="00515D85">
        <w:t>Ahani</w:t>
      </w:r>
      <w:r w:rsidR="00203F72" w:rsidRPr="00515D85">
        <w:t>提出異議之充分機會，故均符合程序上正義之要求。換言之，有關於加國部長裁決處分及書面告知</w:t>
      </w:r>
      <w:r w:rsidR="00203F72" w:rsidRPr="00515D85">
        <w:t>Ahani</w:t>
      </w:r>
      <w:r w:rsidR="00203F72" w:rsidRPr="00515D85">
        <w:t>之程序等，即使在</w:t>
      </w:r>
      <w:r w:rsidR="00203F72" w:rsidRPr="00515D85">
        <w:t>Ahani</w:t>
      </w:r>
      <w:r w:rsidR="00203F72" w:rsidRPr="00515D85">
        <w:t>之案例中，</w:t>
      </w:r>
      <w:r w:rsidR="00203F72" w:rsidRPr="00515D85">
        <w:t>Ahani</w:t>
      </w:r>
      <w:r w:rsidR="00203F72" w:rsidRPr="00515D85">
        <w:t>所提交之證據，並未達到</w:t>
      </w:r>
      <w:r w:rsidR="00203F72" w:rsidRPr="00515D85">
        <w:t>Suresh</w:t>
      </w:r>
      <w:r w:rsidR="00203F72" w:rsidRPr="00515D85">
        <w:t>案件所需程序正義之清晰證據之要件，</w:t>
      </w:r>
      <w:r w:rsidR="00203F72" w:rsidRPr="00515D85">
        <w:t>Ahani</w:t>
      </w:r>
      <w:r w:rsidR="00203F72" w:rsidRPr="00515D85">
        <w:t>所受到之待遇，仍符合「基本正義之諸多原則」（</w:t>
      </w:r>
      <w:r w:rsidR="00203F72" w:rsidRPr="00515D85">
        <w:t>principles of fundamental justice</w:t>
      </w:r>
      <w:r w:rsidR="00203F72" w:rsidRPr="00515D85">
        <w:t>）之要件與要求，並未對</w:t>
      </w:r>
      <w:r w:rsidR="00203F72" w:rsidRPr="00515D85">
        <w:t>Ahani</w:t>
      </w:r>
      <w:r w:rsidR="00203F72" w:rsidRPr="00515D85">
        <w:t>產生偏見（</w:t>
      </w:r>
      <w:r w:rsidR="00203F72" w:rsidRPr="00515D85">
        <w:t>prejudicial</w:t>
      </w:r>
      <w:r w:rsidR="00203F72" w:rsidRPr="00515D85">
        <w:t>）。綜上之理由，於</w:t>
      </w:r>
      <w:r w:rsidR="00203F72" w:rsidRPr="00515D85">
        <w:t>2001</w:t>
      </w:r>
      <w:r w:rsidR="00203F72" w:rsidRPr="00515D85">
        <w:t>年</w:t>
      </w:r>
      <w:r w:rsidR="00203F72" w:rsidRPr="00515D85">
        <w:t>1</w:t>
      </w:r>
      <w:r w:rsidR="00203F72" w:rsidRPr="00515D85">
        <w:t>月</w:t>
      </w:r>
      <w:r w:rsidR="00203F72" w:rsidRPr="00515D85">
        <w:t>11</w:t>
      </w:r>
      <w:r w:rsidR="00203F72" w:rsidRPr="00515D85">
        <w:t>日，加國聯邦最高法院以全體最高法官均為無異議之方式（</w:t>
      </w:r>
      <w:r w:rsidR="00203F72" w:rsidRPr="00515D85">
        <w:t>unanimously</w:t>
      </w:r>
      <w:r w:rsidR="00203F72" w:rsidRPr="00515D85">
        <w:t>），駁回</w:t>
      </w:r>
      <w:r w:rsidR="00203F72" w:rsidRPr="00515D85">
        <w:t>Ahani</w:t>
      </w:r>
      <w:r w:rsidR="00203F72" w:rsidRPr="00515D85">
        <w:t>之上訴聲請案。</w:t>
      </w:r>
    </w:p>
    <w:p w14:paraId="72F2C87D" w14:textId="77777777" w:rsidR="00953151" w:rsidRPr="00515D85" w:rsidRDefault="00E60AF2" w:rsidP="00D87D91">
      <w:r w:rsidRPr="00515D85">
        <w:t xml:space="preserve">　　</w:t>
      </w:r>
      <w:r w:rsidR="00203F72" w:rsidRPr="00515D85">
        <w:t>於</w:t>
      </w:r>
      <w:r w:rsidR="00203F72" w:rsidRPr="00515D85">
        <w:t>2002</w:t>
      </w:r>
      <w:r w:rsidR="00203F72" w:rsidRPr="00515D85">
        <w:t>年</w:t>
      </w:r>
      <w:r w:rsidR="00203F72" w:rsidRPr="00515D85">
        <w:t>1</w:t>
      </w:r>
      <w:r w:rsidR="00203F72" w:rsidRPr="00515D85">
        <w:t>月</w:t>
      </w:r>
      <w:r w:rsidR="00203F72" w:rsidRPr="00515D85">
        <w:t>11</w:t>
      </w:r>
      <w:r w:rsidR="00203F72" w:rsidRPr="00515D85">
        <w:t>日，聯合國</w:t>
      </w:r>
      <w:r w:rsidR="00203F72" w:rsidRPr="00515D85">
        <w:t>HRC</w:t>
      </w:r>
      <w:r w:rsidR="00203F72" w:rsidRPr="00515D85">
        <w:t>依據人權事務委員會審理程序規則（</w:t>
      </w:r>
      <w:r w:rsidR="00203F72" w:rsidRPr="00515D85">
        <w:t>Rules of Procedure</w:t>
      </w:r>
      <w:r w:rsidR="00203F72" w:rsidRPr="00515D85">
        <w:t>）第</w:t>
      </w:r>
      <w:r w:rsidR="00203F72" w:rsidRPr="00515D85">
        <w:t>86</w:t>
      </w:r>
      <w:r w:rsidR="00203F72" w:rsidRPr="00515D85">
        <w:t>條之規定，行使「暫時性（臨時性）保護（全）措施」（</w:t>
      </w:r>
      <w:r w:rsidR="00203F72" w:rsidRPr="00515D85">
        <w:t>interim measures of protection</w:t>
      </w:r>
      <w:r w:rsidR="00203F72" w:rsidRPr="00515D85">
        <w:t>）；亦即，</w:t>
      </w:r>
      <w:r w:rsidR="00203F72" w:rsidRPr="00515D85">
        <w:t>HRC</w:t>
      </w:r>
      <w:r w:rsidR="00203F72" w:rsidRPr="00515D85">
        <w:t>要求加國暫緩將</w:t>
      </w:r>
      <w:r w:rsidR="00203F72" w:rsidRPr="00515D85">
        <w:t>Ahani</w:t>
      </w:r>
      <w:r w:rsidR="00203F72" w:rsidRPr="00515D85">
        <w:t>遣返回伊朗。然而，加國政府並未遵守</w:t>
      </w:r>
      <w:r w:rsidR="00203F72" w:rsidRPr="00515D85">
        <w:t>HRC</w:t>
      </w:r>
      <w:r w:rsidR="00203F72" w:rsidRPr="00515D85">
        <w:t>之要求，仍執行遣返之準備工作，擬將</w:t>
      </w:r>
      <w:r w:rsidR="00203F72" w:rsidRPr="00515D85">
        <w:t>Ahani</w:t>
      </w:r>
      <w:r w:rsidR="00203F72" w:rsidRPr="00515D85">
        <w:t>強制驅逐出國。</w:t>
      </w:r>
      <w:r w:rsidR="00203F72" w:rsidRPr="00515D85">
        <w:t>Ahani</w:t>
      </w:r>
      <w:r w:rsidR="00203F72" w:rsidRPr="00515D85">
        <w:t>除了向聯合國</w:t>
      </w:r>
      <w:r w:rsidR="00203F72" w:rsidRPr="00515D85">
        <w:t>HRC</w:t>
      </w:r>
      <w:r w:rsidR="00203F72" w:rsidRPr="00515D85">
        <w:t>提起申訴救濟之外，並向</w:t>
      </w:r>
      <w:r w:rsidR="00203F72" w:rsidRPr="00515D85">
        <w:t>Ontario</w:t>
      </w:r>
      <w:r w:rsidR="00203F72" w:rsidRPr="00515D85">
        <w:t>高等法院（</w:t>
      </w:r>
      <w:r w:rsidR="00203F72" w:rsidRPr="00515D85">
        <w:t>Ontario Superior Court</w:t>
      </w:r>
      <w:r w:rsidR="00203F72" w:rsidRPr="00515D85">
        <w:t>）提起司法之救濟；</w:t>
      </w:r>
      <w:r w:rsidR="00203F72" w:rsidRPr="00515D85">
        <w:t>Ahani</w:t>
      </w:r>
      <w:r w:rsidR="00203F72" w:rsidRPr="00515D85">
        <w:t>向法院主張，「基本正義之諸多原則」（</w:t>
      </w:r>
      <w:r w:rsidR="00203F72" w:rsidRPr="00515D85">
        <w:t>the principles of fundamental justice</w:t>
      </w:r>
      <w:r w:rsidR="00203F72" w:rsidRPr="00515D85">
        <w:t>）係受到加拿大大憲章之保障（護）（</w:t>
      </w:r>
      <w:r w:rsidR="00203F72" w:rsidRPr="00515D85">
        <w:t>protected by the Charter</w:t>
      </w:r>
      <w:r w:rsidR="00203F72" w:rsidRPr="00515D85">
        <w:t>）</w:t>
      </w:r>
      <w:r w:rsidR="00203F72" w:rsidRPr="00515D85">
        <w:footnoteReference w:id="784"/>
      </w:r>
      <w:r w:rsidR="00203F72" w:rsidRPr="00515D85">
        <w:t>。</w:t>
      </w:r>
    </w:p>
    <w:p w14:paraId="67026110" w14:textId="77777777" w:rsidR="00953151" w:rsidRPr="00515D85" w:rsidRDefault="00E60AF2" w:rsidP="00D87D91">
      <w:r w:rsidRPr="00515D85">
        <w:t xml:space="preserve">　　</w:t>
      </w:r>
      <w:r w:rsidR="00203F72" w:rsidRPr="00515D85">
        <w:t>根據此等大憲章基本正義之原理，因其案件正繫屬於聯合國</w:t>
      </w:r>
      <w:r w:rsidR="00203F72" w:rsidRPr="00515D85">
        <w:t>HRC</w:t>
      </w:r>
      <w:r w:rsidR="00203F72" w:rsidRPr="00515D85">
        <w:t>，於</w:t>
      </w:r>
      <w:r w:rsidR="00203F72" w:rsidRPr="00515D85">
        <w:t>HRC</w:t>
      </w:r>
      <w:r w:rsidR="00203F72" w:rsidRPr="00515D85">
        <w:t>在尚未作成終局裁判之前，應將強制驅逐出國處分（命令）加以中止之（</w:t>
      </w:r>
      <w:r w:rsidR="00203F72" w:rsidRPr="00515D85">
        <w:t>prevented his removal</w:t>
      </w:r>
      <w:r w:rsidR="00203F72" w:rsidRPr="00515D85">
        <w:t>）；於</w:t>
      </w:r>
      <w:r w:rsidR="00203F72" w:rsidRPr="00515D85">
        <w:t>2002</w:t>
      </w:r>
      <w:r w:rsidR="00203F72" w:rsidRPr="00515D85">
        <w:t>年元月</w:t>
      </w:r>
      <w:r w:rsidR="00203F72" w:rsidRPr="00515D85">
        <w:t>15</w:t>
      </w:r>
      <w:r w:rsidR="00203F72" w:rsidRPr="00515D85">
        <w:t>日，</w:t>
      </w:r>
      <w:r w:rsidR="00203F72" w:rsidRPr="00515D85">
        <w:t xml:space="preserve"> Ontario</w:t>
      </w:r>
      <w:r w:rsidR="00203F72" w:rsidRPr="00515D85">
        <w:t>高等法院駁回</w:t>
      </w:r>
      <w:r w:rsidR="00203F72" w:rsidRPr="00515D85">
        <w:t>Ahani</w:t>
      </w:r>
      <w:r w:rsidR="00203F72" w:rsidRPr="00515D85">
        <w:t>上述之司法救濟案件。對於</w:t>
      </w:r>
      <w:r w:rsidR="00203F72" w:rsidRPr="00515D85">
        <w:t>Ontario</w:t>
      </w:r>
      <w:r w:rsidR="00203F72" w:rsidRPr="00515D85">
        <w:t>高等法院之裁判，</w:t>
      </w:r>
      <w:r w:rsidR="00203F72" w:rsidRPr="00515D85">
        <w:t>Ahani</w:t>
      </w:r>
      <w:r w:rsidR="00203F72" w:rsidRPr="00515D85">
        <w:t>表示不服，繼續向</w:t>
      </w:r>
      <w:r w:rsidR="00203F72" w:rsidRPr="00515D85">
        <w:t>Ontario</w:t>
      </w:r>
      <w:r w:rsidR="00203F72" w:rsidRPr="00515D85">
        <w:t>上訴法院提起司法救濟；</w:t>
      </w:r>
      <w:r w:rsidR="00203F72" w:rsidRPr="00515D85">
        <w:t>Ontario</w:t>
      </w:r>
      <w:r w:rsidR="00203F72" w:rsidRPr="00515D85">
        <w:t>上訴法院開庭審理本案，並指出聯合國</w:t>
      </w:r>
      <w:r w:rsidR="00203F72" w:rsidRPr="00515D85">
        <w:t>HRC</w:t>
      </w:r>
      <w:r w:rsidR="00203F72" w:rsidRPr="00515D85">
        <w:t>所採行之「暫時性（臨時性）保證（全）措施」，對於締約國（加國）而言，並無法律上之拘束力（</w:t>
      </w:r>
      <w:r w:rsidR="00203F72" w:rsidRPr="00515D85">
        <w:t>was not binding upon the State party</w:t>
      </w:r>
      <w:r w:rsidR="00203F72" w:rsidRPr="00515D85">
        <w:t>）。</w:t>
      </w:r>
    </w:p>
    <w:p w14:paraId="6152942D" w14:textId="77777777" w:rsidR="00953151" w:rsidRDefault="00E60AF2" w:rsidP="00D87D91">
      <w:r w:rsidRPr="00515D85">
        <w:t xml:space="preserve">　　</w:t>
      </w:r>
      <w:r w:rsidR="00203F72" w:rsidRPr="00515D85">
        <w:t>於</w:t>
      </w:r>
      <w:r w:rsidR="00203F72" w:rsidRPr="00515D85">
        <w:t>2002</w:t>
      </w:r>
      <w:r w:rsidR="00203F72" w:rsidRPr="00515D85">
        <w:t>年</w:t>
      </w:r>
      <w:r w:rsidR="00203F72" w:rsidRPr="00515D85">
        <w:t>5</w:t>
      </w:r>
      <w:r w:rsidR="00203F72" w:rsidRPr="00515D85">
        <w:t>月</w:t>
      </w:r>
      <w:r w:rsidR="00203F72" w:rsidRPr="00515D85">
        <w:t>8</w:t>
      </w:r>
      <w:r w:rsidR="00203F72" w:rsidRPr="00515D85">
        <w:t>日，</w:t>
      </w:r>
      <w:r w:rsidR="00203F72" w:rsidRPr="00515D85">
        <w:t>Ontario</w:t>
      </w:r>
      <w:r w:rsidR="00203F72" w:rsidRPr="00515D85">
        <w:t>上訴法院維持</w:t>
      </w:r>
      <w:r w:rsidR="00203F72" w:rsidRPr="00515D85">
        <w:t>Ontario</w:t>
      </w:r>
      <w:r w:rsidR="00203F72" w:rsidRPr="00515D85">
        <w:t>高等法院之見解，駁回</w:t>
      </w:r>
      <w:r w:rsidR="00203F72" w:rsidRPr="00515D85">
        <w:t>Ahani</w:t>
      </w:r>
      <w:r w:rsidR="00203F72" w:rsidRPr="00515D85">
        <w:t>之司法救濟案；</w:t>
      </w:r>
      <w:r w:rsidR="00203F72" w:rsidRPr="00515D85">
        <w:t>Ahani</w:t>
      </w:r>
      <w:r w:rsidR="00203F72" w:rsidRPr="00515D85">
        <w:t>對於</w:t>
      </w:r>
      <w:r w:rsidR="00203F72" w:rsidRPr="00515D85">
        <w:t>Ontario</w:t>
      </w:r>
      <w:r w:rsidR="00203F72" w:rsidRPr="00515D85">
        <w:t>上訴法院之判決，表示不服，並繼續向加國最高法院（</w:t>
      </w:r>
      <w:r w:rsidR="00203F72" w:rsidRPr="00515D85">
        <w:t>the Supreme Court</w:t>
      </w:r>
      <w:r w:rsidR="00203F72" w:rsidRPr="00515D85">
        <w:t>）提起司法救濟；加國最高法院於收到</w:t>
      </w:r>
      <w:r w:rsidR="00203F72" w:rsidRPr="00515D85">
        <w:t>Ahani</w:t>
      </w:r>
      <w:r w:rsidR="00203F72" w:rsidRPr="00515D85">
        <w:t>之司法救濟上訴案件之後，並未同意開庭審理；最高法院並以未附加任何理由之方式（</w:t>
      </w:r>
      <w:r w:rsidR="00203F72" w:rsidRPr="00515D85">
        <w:t>without giving reasons</w:t>
      </w:r>
      <w:r w:rsidR="00203F72" w:rsidRPr="00515D85">
        <w:t>），拒絕受理</w:t>
      </w:r>
      <w:r w:rsidR="00203F72" w:rsidRPr="00515D85">
        <w:t>Ahani</w:t>
      </w:r>
      <w:r w:rsidR="00203F72" w:rsidRPr="00515D85">
        <w:t>之聲請救濟案。於</w:t>
      </w:r>
      <w:r w:rsidR="00203F72" w:rsidRPr="00515D85">
        <w:t>2002</w:t>
      </w:r>
      <w:r w:rsidR="00203F72" w:rsidRPr="00515D85">
        <w:t>年</w:t>
      </w:r>
      <w:r w:rsidR="00203F72" w:rsidRPr="00515D85">
        <w:t>6</w:t>
      </w:r>
      <w:r w:rsidR="00203F72" w:rsidRPr="00515D85">
        <w:t>月</w:t>
      </w:r>
      <w:r w:rsidR="00203F72" w:rsidRPr="00515D85">
        <w:t>10</w:t>
      </w:r>
      <w:r w:rsidR="00203F72" w:rsidRPr="00515D85">
        <w:t>日，</w:t>
      </w:r>
      <w:r w:rsidR="00203F72" w:rsidRPr="00515D85">
        <w:t>Ahani</w:t>
      </w:r>
      <w:r w:rsidR="00203F72" w:rsidRPr="00515D85">
        <w:t>被強制驅逐回伊朗。</w:t>
      </w:r>
    </w:p>
    <w:p w14:paraId="380B7BBB" w14:textId="77777777" w:rsidR="00515D85" w:rsidRDefault="00515D85" w:rsidP="005D3252">
      <w:pPr>
        <w:jc w:val="right"/>
        <w:rPr>
          <w:rFonts w:ascii="新細明體" w:hAnsi="新細明體"/>
        </w:rPr>
      </w:pPr>
      <w:r w:rsidRPr="0026266A">
        <w:rPr>
          <w:rFonts w:hint="eastAsia"/>
        </w:rPr>
        <w:t>。。。。。。。。。。。。。。。。。。。。。。。。。</w:t>
      </w:r>
      <w:hyperlink w:anchor="a目次37" w:history="1">
        <w:r>
          <w:rPr>
            <w:rStyle w:val="a5"/>
            <w:sz w:val="18"/>
          </w:rPr>
          <w:t>回目次</w:t>
        </w:r>
      </w:hyperlink>
      <w:r w:rsidR="00E91F89">
        <w:rPr>
          <w:rFonts w:ascii="新細明體" w:hAnsi="新細明體"/>
          <w:color w:val="808000"/>
        </w:rPr>
        <w:t>〉〉</w:t>
      </w:r>
    </w:p>
    <w:p w14:paraId="2B9698AA" w14:textId="77777777" w:rsidR="00515D85" w:rsidRPr="00515D85" w:rsidRDefault="00515D85" w:rsidP="00D87D91"/>
    <w:p w14:paraId="4B6B8288" w14:textId="77777777" w:rsidR="00203F72" w:rsidRPr="00A53581" w:rsidRDefault="00203F72" w:rsidP="00767F37">
      <w:pPr>
        <w:pStyle w:val="2"/>
        <w:rPr>
          <w:kern w:val="0"/>
        </w:rPr>
      </w:pPr>
      <w:bookmarkStart w:id="102" w:name="_肆、聯合國HRC對於Ahani案件之見解與決定"/>
      <w:bookmarkEnd w:id="102"/>
      <w:r w:rsidRPr="00026D0F">
        <w:t>肆、聯合國</w:t>
      </w:r>
      <w:r w:rsidRPr="00026D0F">
        <w:t>HRC</w:t>
      </w:r>
      <w:r w:rsidRPr="00026D0F">
        <w:t>對於</w:t>
      </w:r>
      <w:r w:rsidRPr="00026D0F">
        <w:t>Ahani</w:t>
      </w:r>
      <w:r w:rsidRPr="00026D0F">
        <w:t>案件之見解與</w:t>
      </w:r>
      <w:r w:rsidRPr="005D3252">
        <w:rPr>
          <w:lang w:bidi="ar-SA"/>
        </w:rPr>
        <w:t>決定</w:t>
      </w:r>
      <w:r w:rsidRPr="005D3252">
        <w:rPr>
          <w:lang w:bidi="ar-SA"/>
        </w:rPr>
        <w:footnoteReference w:id="785"/>
      </w:r>
    </w:p>
    <w:p w14:paraId="767B6DE6" w14:textId="77777777" w:rsidR="00953151" w:rsidRPr="00515D85" w:rsidRDefault="00026D0F" w:rsidP="00D87D91">
      <w:r w:rsidRPr="00515D85">
        <w:t xml:space="preserve">　　</w:t>
      </w:r>
      <w:r w:rsidR="00203F72" w:rsidRPr="00515D85">
        <w:t>Ahani</w:t>
      </w:r>
      <w:r w:rsidR="00203F72" w:rsidRPr="00515D85">
        <w:t>在向聯合國</w:t>
      </w:r>
      <w:r w:rsidR="00203F72" w:rsidRPr="00515D85">
        <w:t>HRC</w:t>
      </w:r>
      <w:r w:rsidR="00203F72" w:rsidRPr="00515D85">
        <w:t>提交申訴書之中，控告加國對其所施加之收容處分，係屬於一種「恣意性（獨斷性）之收容」（</w:t>
      </w:r>
      <w:r w:rsidR="00203F72" w:rsidRPr="00515D85">
        <w:t>arbitrary detention</w:t>
      </w:r>
      <w:r w:rsidR="00203F72" w:rsidRPr="00515D85">
        <w:t>），此種之收容處分，業已違反</w:t>
      </w:r>
      <w:r w:rsidR="00385B82">
        <w:t>ICCPR</w:t>
      </w:r>
      <w:hyperlink r:id="rId2066"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之精神；針對於</w:t>
      </w:r>
      <w:r w:rsidR="00203F72" w:rsidRPr="00515D85">
        <w:t>Ahani</w:t>
      </w:r>
      <w:r w:rsidR="00203F72" w:rsidRPr="00515D85">
        <w:t>上述之指控，加國（被告）向</w:t>
      </w:r>
      <w:r w:rsidR="00203F72" w:rsidRPr="00515D85">
        <w:t>HRC</w:t>
      </w:r>
      <w:r w:rsidR="00203F72" w:rsidRPr="00515D85">
        <w:t>提出辯駁；加國指出，</w:t>
      </w:r>
      <w:r w:rsidR="00203F72" w:rsidRPr="00515D85">
        <w:t>Ahani</w:t>
      </w:r>
      <w:r w:rsidR="00203F72" w:rsidRPr="00515D85">
        <w:t>上述之指控，</w:t>
      </w:r>
      <w:r w:rsidR="00203F72" w:rsidRPr="00515D85">
        <w:t>HRC</w:t>
      </w:r>
      <w:r w:rsidR="00203F72" w:rsidRPr="00515D85">
        <w:t>不具有可受理性（</w:t>
      </w:r>
      <w:r w:rsidR="00203F72" w:rsidRPr="00515D85">
        <w:t>inadmissible</w:t>
      </w:r>
      <w:r w:rsidR="00203F72" w:rsidRPr="00515D85">
        <w:t>）；因</w:t>
      </w:r>
      <w:r w:rsidR="00203F72" w:rsidRPr="00515D85">
        <w:t>Ahani</w:t>
      </w:r>
      <w:r w:rsidR="00203F72" w:rsidRPr="00515D85">
        <w:t>並未依照加國移民法第</w:t>
      </w:r>
      <w:r w:rsidR="00203F72" w:rsidRPr="00515D85">
        <w:t>40</w:t>
      </w:r>
      <w:r w:rsidR="00203F72" w:rsidRPr="00515D85">
        <w:t>條第</w:t>
      </w:r>
      <w:r w:rsidR="00203F72" w:rsidRPr="00515D85">
        <w:t>1</w:t>
      </w:r>
      <w:r w:rsidR="00203F72" w:rsidRPr="00515D85">
        <w:t>項第</w:t>
      </w:r>
      <w:r w:rsidR="00203F72" w:rsidRPr="00515D85">
        <w:t>8</w:t>
      </w:r>
      <w:r w:rsidR="00203F72" w:rsidRPr="00515D85">
        <w:t>款之規範，向加國最高法院（</w:t>
      </w:r>
      <w:r w:rsidR="00203F72" w:rsidRPr="00515D85">
        <w:t>the Supreme Court</w:t>
      </w:r>
      <w:r w:rsidR="00203F72" w:rsidRPr="00515D85">
        <w:t>）提起司法救濟之上訴尋求被釋放之機會；在此種之情形下，</w:t>
      </w:r>
      <w:r w:rsidR="00203F72" w:rsidRPr="00515D85">
        <w:t>Ahani</w:t>
      </w:r>
      <w:r w:rsidR="00203F72" w:rsidRPr="00515D85">
        <w:t>並未用盡當地國國內之救濟程序（</w:t>
      </w:r>
      <w:r w:rsidR="00203F72" w:rsidRPr="00515D85">
        <w:t>failure to exhaust domestic remedies</w:t>
      </w:r>
      <w:r w:rsidR="00203F72" w:rsidRPr="00515D85">
        <w:t>）；由於</w:t>
      </w:r>
      <w:r w:rsidR="00203F72" w:rsidRPr="00515D85">
        <w:t>Ahani</w:t>
      </w:r>
      <w:r w:rsidR="00203F72" w:rsidRPr="00515D85">
        <w:t>並未用盡可資救濟之機制，故</w:t>
      </w:r>
      <w:r w:rsidR="00203F72" w:rsidRPr="00515D85">
        <w:t>Ahani</w:t>
      </w:r>
      <w:r w:rsidR="00203F72" w:rsidRPr="00515D85">
        <w:t>上述之指控，不應被</w:t>
      </w:r>
      <w:r w:rsidR="00203F72" w:rsidRPr="00515D85">
        <w:t>HRC</w:t>
      </w:r>
      <w:r w:rsidR="00203F72" w:rsidRPr="00515D85">
        <w:t>受理之（不具備可受理性）。</w:t>
      </w:r>
    </w:p>
    <w:p w14:paraId="7834103B" w14:textId="77777777" w:rsidR="00953151" w:rsidRPr="00515D85" w:rsidRDefault="00026D0F" w:rsidP="00D87D91">
      <w:r w:rsidRPr="00515D85">
        <w:t xml:space="preserve">　　</w:t>
      </w:r>
      <w:r w:rsidR="00203F72" w:rsidRPr="00515D85">
        <w:t>不過，就</w:t>
      </w:r>
      <w:r w:rsidR="00203F72" w:rsidRPr="00515D85">
        <w:t>HRC</w:t>
      </w:r>
      <w:r w:rsidR="00203F72" w:rsidRPr="00515D85">
        <w:t>之觀察，</w:t>
      </w:r>
      <w:r w:rsidR="00203F72" w:rsidRPr="00515D85">
        <w:t>Ahani</w:t>
      </w:r>
      <w:r w:rsidR="00203F72" w:rsidRPr="00515D85">
        <w:t>能夠依據加國移民法第</w:t>
      </w:r>
      <w:r w:rsidR="00203F72" w:rsidRPr="00515D85">
        <w:t>40</w:t>
      </w:r>
      <w:r w:rsidR="00203F72" w:rsidRPr="00515D85">
        <w:t>條第</w:t>
      </w:r>
      <w:r w:rsidR="00203F72" w:rsidRPr="00515D85">
        <w:t>1</w:t>
      </w:r>
      <w:r w:rsidR="00203F72" w:rsidRPr="00515D85">
        <w:t>項第</w:t>
      </w:r>
      <w:r w:rsidR="00203F72" w:rsidRPr="00515D85">
        <w:t>8</w:t>
      </w:r>
      <w:r w:rsidR="00203F72" w:rsidRPr="00515D85">
        <w:t>款之規範，向法院提起司法救濟，並要求被釋放之權利，僅限於</w:t>
      </w:r>
      <w:r w:rsidR="00203F72" w:rsidRPr="00515D85">
        <w:t>1998</w:t>
      </w:r>
      <w:r w:rsidR="00203F72" w:rsidRPr="00515D85">
        <w:t>年</w:t>
      </w:r>
      <w:r w:rsidR="00203F72" w:rsidRPr="00515D85">
        <w:t>8</w:t>
      </w:r>
      <w:r w:rsidR="00203F72" w:rsidRPr="00515D85">
        <w:t>月以後之時程；亦即，於加國向</w:t>
      </w:r>
      <w:r w:rsidR="00203F72" w:rsidRPr="00515D85">
        <w:t>Ahani</w:t>
      </w:r>
      <w:r w:rsidR="00203F72" w:rsidRPr="00515D85">
        <w:t>裁處強制驅逐出國命令（處分）生效後之</w:t>
      </w:r>
      <w:r w:rsidR="00203F72" w:rsidRPr="00515D85">
        <w:t>120</w:t>
      </w:r>
      <w:r w:rsidR="00203F72" w:rsidRPr="00515D85">
        <w:t>日，</w:t>
      </w:r>
      <w:r w:rsidR="00203F72" w:rsidRPr="00515D85">
        <w:t>Ahani</w:t>
      </w:r>
      <w:r w:rsidR="00203F72" w:rsidRPr="00515D85">
        <w:t>始有權利向法院提起救濟；截至</w:t>
      </w:r>
      <w:r w:rsidR="00203F72" w:rsidRPr="00515D85">
        <w:t>1998</w:t>
      </w:r>
      <w:r w:rsidR="00203F72" w:rsidRPr="00515D85">
        <w:t>年</w:t>
      </w:r>
      <w:r w:rsidR="00203F72" w:rsidRPr="00515D85">
        <w:t>8</w:t>
      </w:r>
      <w:r w:rsidR="00203F72" w:rsidRPr="00515D85">
        <w:t>月為止，從</w:t>
      </w:r>
      <w:r w:rsidR="00203F72" w:rsidRPr="00515D85">
        <w:t>Ahani</w:t>
      </w:r>
      <w:r w:rsidR="00203F72" w:rsidRPr="00515D85">
        <w:t>最初被收容之時點起算，業已經過</w:t>
      </w:r>
      <w:r w:rsidR="00203F72" w:rsidRPr="00515D85">
        <w:t>5</w:t>
      </w:r>
      <w:r w:rsidR="00203F72" w:rsidRPr="00515D85">
        <w:t>年又</w:t>
      </w:r>
      <w:r w:rsidR="00203F72" w:rsidRPr="00515D85">
        <w:t>2</w:t>
      </w:r>
      <w:r w:rsidR="00203F72" w:rsidRPr="00515D85">
        <w:t>個月（</w:t>
      </w:r>
      <w:r w:rsidR="00203F72" w:rsidRPr="00515D85">
        <w:t>being a total of five years and two months from initial detention</w:t>
      </w:r>
      <w:r w:rsidR="00203F72" w:rsidRPr="00515D85">
        <w:t>）。加國於答辯書之中，針對於</w:t>
      </w:r>
      <w:r w:rsidR="00203F72" w:rsidRPr="00515D85">
        <w:t>1998</w:t>
      </w:r>
      <w:r w:rsidR="00203F72" w:rsidRPr="00515D85">
        <w:t>年</w:t>
      </w:r>
      <w:r w:rsidR="00203F72" w:rsidRPr="00515D85">
        <w:t>8</w:t>
      </w:r>
      <w:r w:rsidR="00203F72" w:rsidRPr="00515D85">
        <w:t>月以前之時程部分，並未明確地向</w:t>
      </w:r>
      <w:r w:rsidR="00203F72" w:rsidRPr="00515D85">
        <w:t>HRC</w:t>
      </w:r>
      <w:r w:rsidR="00203F72" w:rsidRPr="00515D85">
        <w:t>說明</w:t>
      </w:r>
      <w:r w:rsidR="00203F72" w:rsidRPr="00515D85">
        <w:t>Ahani</w:t>
      </w:r>
      <w:r w:rsidR="00203F72" w:rsidRPr="00515D85">
        <w:t>可行使何種之當地國國內救濟之程序？換言之，於</w:t>
      </w:r>
      <w:r w:rsidR="00203F72" w:rsidRPr="00515D85">
        <w:t>1998</w:t>
      </w:r>
      <w:r w:rsidR="00203F72" w:rsidRPr="00515D85">
        <w:t>年</w:t>
      </w:r>
      <w:r w:rsidR="00203F72" w:rsidRPr="00515D85">
        <w:t>8</w:t>
      </w:r>
      <w:r w:rsidR="00203F72" w:rsidRPr="00515D85">
        <w:t>月之前，加國無法舉證究竟有何種之國內救濟手段（</w:t>
      </w:r>
      <w:r w:rsidR="00203F72" w:rsidRPr="00515D85">
        <w:t>domestic remedies</w:t>
      </w:r>
      <w:r w:rsidR="00203F72" w:rsidRPr="00515D85">
        <w:t>），可供</w:t>
      </w:r>
      <w:r w:rsidR="00203F72" w:rsidRPr="00515D85">
        <w:t>Ahani</w:t>
      </w:r>
      <w:r w:rsidR="00203F72" w:rsidRPr="00515D85">
        <w:t>加以行使之。</w:t>
      </w:r>
      <w:r w:rsidR="00203F72" w:rsidRPr="00515D85">
        <w:t>HRC</w:t>
      </w:r>
      <w:r w:rsidR="00203F72" w:rsidRPr="00515D85">
        <w:t>認為，從</w:t>
      </w:r>
      <w:r w:rsidR="00203F72" w:rsidRPr="00515D85">
        <w:t>1993</w:t>
      </w:r>
      <w:r w:rsidR="00203F72" w:rsidRPr="00515D85">
        <w:t>年</w:t>
      </w:r>
      <w:r w:rsidR="00203F72" w:rsidRPr="00515D85">
        <w:t>6</w:t>
      </w:r>
      <w:r w:rsidR="00203F72" w:rsidRPr="00515D85">
        <w:t>月至</w:t>
      </w:r>
      <w:r w:rsidR="00203F72" w:rsidRPr="00515D85">
        <w:t>1998</w:t>
      </w:r>
      <w:r w:rsidR="00203F72" w:rsidRPr="00515D85">
        <w:t>年</w:t>
      </w:r>
      <w:r w:rsidR="00203F72" w:rsidRPr="00515D85">
        <w:t>8</w:t>
      </w:r>
      <w:r w:rsidR="00203F72" w:rsidRPr="00515D85">
        <w:t>月期間，</w:t>
      </w:r>
      <w:r w:rsidR="00203F72" w:rsidRPr="00515D85">
        <w:t>Ahani</w:t>
      </w:r>
      <w:r w:rsidR="00203F72" w:rsidRPr="00515D85">
        <w:t>主張此一段時程內之收容處分，業已違反</w:t>
      </w:r>
      <w:r w:rsidR="00203F72" w:rsidRPr="00515D85">
        <w:t>ICCPR</w:t>
      </w:r>
      <w:hyperlink r:id="rId2067" w:anchor="a9" w:history="1">
        <w:r w:rsidR="00203F72" w:rsidRPr="00AD010C">
          <w:rPr>
            <w:rStyle w:val="a5"/>
            <w:rFonts w:ascii="Times New Roman" w:hAnsi="Times New Roman"/>
          </w:rPr>
          <w:t>第</w:t>
        </w:r>
        <w:r w:rsidR="00203F72" w:rsidRPr="00AD010C">
          <w:rPr>
            <w:rStyle w:val="a5"/>
            <w:rFonts w:ascii="Times New Roman" w:hAnsi="Times New Roman"/>
          </w:rPr>
          <w:t>9</w:t>
        </w:r>
        <w:r w:rsidR="00203F72" w:rsidRPr="00AD010C">
          <w:rPr>
            <w:rStyle w:val="a5"/>
            <w:rFonts w:ascii="Times New Roman" w:hAnsi="Times New Roman"/>
          </w:rPr>
          <w:t>條</w:t>
        </w:r>
      </w:hyperlink>
      <w:r w:rsidR="00203F72" w:rsidRPr="00515D85">
        <w:t>之規定之申訴內容，並非不具有可受理性（</w:t>
      </w:r>
      <w:r w:rsidR="00203F72" w:rsidRPr="00515D85">
        <w:t>is not inadmissible</w:t>
      </w:r>
      <w:r w:rsidR="00203F72" w:rsidRPr="00515D85">
        <w:t>）。</w:t>
      </w:r>
    </w:p>
    <w:p w14:paraId="005F950F" w14:textId="77777777" w:rsidR="00953151" w:rsidRPr="00515D85" w:rsidRDefault="00026D0F" w:rsidP="00D87D91">
      <w:r w:rsidRPr="00515D85">
        <w:t xml:space="preserve">　　</w:t>
      </w:r>
      <w:r w:rsidR="00203F72" w:rsidRPr="00515D85">
        <w:t>換言之，</w:t>
      </w:r>
      <w:r w:rsidR="00203F72" w:rsidRPr="00515D85">
        <w:t>HRC</w:t>
      </w:r>
      <w:r w:rsidR="00203F72" w:rsidRPr="00515D85">
        <w:t>可加以受理。在</w:t>
      </w:r>
      <w:r w:rsidR="00203F72" w:rsidRPr="00515D85">
        <w:t>1998</w:t>
      </w:r>
      <w:r w:rsidR="00203F72" w:rsidRPr="00515D85">
        <w:t>年</w:t>
      </w:r>
      <w:r w:rsidR="00203F72" w:rsidRPr="00515D85">
        <w:t>8</w:t>
      </w:r>
      <w:r w:rsidR="00203F72" w:rsidRPr="00515D85">
        <w:t>月以後，由於</w:t>
      </w:r>
      <w:r w:rsidR="00203F72" w:rsidRPr="00515D85">
        <w:t>Ahani</w:t>
      </w:r>
      <w:r w:rsidR="00203F72" w:rsidRPr="00515D85">
        <w:t>並未依據加國移民法第</w:t>
      </w:r>
      <w:r w:rsidR="00203F72" w:rsidRPr="00515D85">
        <w:t>40</w:t>
      </w:r>
      <w:r w:rsidR="00203F72" w:rsidRPr="00515D85">
        <w:t>條第</w:t>
      </w:r>
      <w:r w:rsidR="00203F72" w:rsidRPr="00515D85">
        <w:t>1</w:t>
      </w:r>
      <w:r w:rsidR="00203F72" w:rsidRPr="00515D85">
        <w:t>項第</w:t>
      </w:r>
      <w:r w:rsidR="00203F72" w:rsidRPr="00515D85">
        <w:t>8</w:t>
      </w:r>
      <w:r w:rsidR="00203F72" w:rsidRPr="00515D85">
        <w:t>款之規範，用盡當地國國內之救濟機制，亦即，未向最高法院提起救濟，故有關</w:t>
      </w:r>
      <w:r w:rsidR="00203F72" w:rsidRPr="00515D85">
        <w:t>Ahani</w:t>
      </w:r>
      <w:r w:rsidR="00203F72" w:rsidRPr="00515D85">
        <w:t>所指控加國違反</w:t>
      </w:r>
      <w:r w:rsidR="00385B82">
        <w:t>ICCPR</w:t>
      </w:r>
      <w:hyperlink r:id="rId2068"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之違法收容之部分，不具備可受理性，</w:t>
      </w:r>
      <w:r w:rsidR="00203F72" w:rsidRPr="00515D85">
        <w:t>HRC</w:t>
      </w:r>
      <w:r w:rsidR="00203F72" w:rsidRPr="00515D85">
        <w:t>無法加以受理之；主要之原因，係</w:t>
      </w:r>
      <w:r w:rsidR="00203F72" w:rsidRPr="00515D85">
        <w:t>Ahani</w:t>
      </w:r>
      <w:r w:rsidR="00203F72" w:rsidRPr="00515D85">
        <w:t>尚可向最高法院提出救濟要求釋放；然而，事實上，</w:t>
      </w:r>
      <w:r w:rsidR="00203F72" w:rsidRPr="00515D85">
        <w:t>Ahani</w:t>
      </w:r>
      <w:r w:rsidR="00203F72" w:rsidRPr="00515D85">
        <w:t>未向最高法院提起司法救濟，故被</w:t>
      </w:r>
      <w:r w:rsidR="00203F72" w:rsidRPr="00515D85">
        <w:t>HRC</w:t>
      </w:r>
      <w:r w:rsidR="00203F72" w:rsidRPr="00515D85">
        <w:t>認定係屬於未用盡國內救濟程序之情況。依據</w:t>
      </w:r>
      <w:r w:rsidR="00203F72" w:rsidRPr="00515D85">
        <w:t>OPICCPR</w:t>
      </w:r>
      <w:r w:rsidR="00203F72" w:rsidRPr="00515D85">
        <w:t>第</w:t>
      </w:r>
      <w:r w:rsidR="00203F72" w:rsidRPr="00515D85">
        <w:t>5</w:t>
      </w:r>
      <w:r w:rsidR="00203F72" w:rsidRPr="00515D85">
        <w:t>條第</w:t>
      </w:r>
      <w:r w:rsidR="00203F72" w:rsidRPr="00515D85">
        <w:t>2</w:t>
      </w:r>
      <w:r w:rsidR="00203F72" w:rsidRPr="00515D85">
        <w:t>項第</w:t>
      </w:r>
      <w:r w:rsidR="00203F72" w:rsidRPr="00515D85">
        <w:t>b</w:t>
      </w:r>
      <w:r w:rsidR="00203F72" w:rsidRPr="00515D85">
        <w:t>款之規定</w:t>
      </w:r>
      <w:r w:rsidR="00203F72" w:rsidRPr="00515D85">
        <w:footnoteReference w:id="786"/>
      </w:r>
      <w:r w:rsidR="00203F72" w:rsidRPr="00515D85">
        <w:t>，上述之情形，</w:t>
      </w:r>
      <w:r w:rsidR="00203F72" w:rsidRPr="00515D85">
        <w:t>HRC</w:t>
      </w:r>
      <w:r w:rsidR="00203F72" w:rsidRPr="00515D85">
        <w:t>對於本案不具有可受理性。</w:t>
      </w:r>
    </w:p>
    <w:p w14:paraId="6DE60A08" w14:textId="77777777" w:rsidR="00953151" w:rsidRPr="00515D85" w:rsidRDefault="00026D0F" w:rsidP="00D87D91">
      <w:r w:rsidRPr="00515D85">
        <w:t xml:space="preserve">　　</w:t>
      </w:r>
      <w:r w:rsidR="00203F72" w:rsidRPr="00515D85">
        <w:t>HRC</w:t>
      </w:r>
      <w:r w:rsidR="00203F72" w:rsidRPr="00515D85">
        <w:t>在決定可受理之範圍之後，便進行實質內容之審理；在實質內容審查之部分，</w:t>
      </w:r>
      <w:r w:rsidR="00203F72" w:rsidRPr="00515D85">
        <w:t>HRC</w:t>
      </w:r>
      <w:r w:rsidR="00203F72" w:rsidRPr="00515D85">
        <w:t>先處理加國究竟是否有違反</w:t>
      </w:r>
      <w:r w:rsidR="00385B82">
        <w:t>ICCPR</w:t>
      </w:r>
      <w:hyperlink r:id="rId2069"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1</w:t>
      </w:r>
      <w:r w:rsidR="00203F72" w:rsidRPr="00515D85">
        <w:t>項及第</w:t>
      </w:r>
      <w:r w:rsidR="00203F72" w:rsidRPr="00515D85">
        <w:t>4</w:t>
      </w:r>
      <w:r w:rsidR="00203F72" w:rsidRPr="00515D85">
        <w:t>項之情事。首先，在</w:t>
      </w:r>
      <w:r w:rsidR="00385B82">
        <w:t>ICCPR</w:t>
      </w:r>
      <w:hyperlink r:id="rId2070"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8F066C">
        <w:t>1</w:t>
      </w:r>
      <w:r w:rsidR="00203F72" w:rsidRPr="00515D85">
        <w:t>項方面，根據</w:t>
      </w:r>
      <w:r w:rsidR="00203F72" w:rsidRPr="00515D85">
        <w:t>HRC</w:t>
      </w:r>
      <w:r w:rsidR="00203F72" w:rsidRPr="00515D85">
        <w:t>之看法，</w:t>
      </w:r>
      <w:r w:rsidR="00203F72" w:rsidRPr="00515D85">
        <w:t>Ahani</w:t>
      </w:r>
      <w:r w:rsidR="00203F72" w:rsidRPr="00515D85">
        <w:t>因部長對其核發違反加國安全之「安全證明」（</w:t>
      </w:r>
      <w:r w:rsidR="00203F72" w:rsidRPr="00515D85">
        <w:t>security certificate</w:t>
      </w:r>
      <w:r w:rsidR="00203F72" w:rsidRPr="00515D85">
        <w:t>）之故，而被裁處強制性收容（</w:t>
      </w:r>
      <w:r w:rsidR="00203F72" w:rsidRPr="00515D85">
        <w:t>was mandatorily taken into detention</w:t>
      </w:r>
      <w:r w:rsidR="00203F72" w:rsidRPr="00515D85">
        <w:t>）；當</w:t>
      </w:r>
      <w:r w:rsidR="00203F72" w:rsidRPr="00515D85">
        <w:t>Ahani</w:t>
      </w:r>
      <w:r w:rsidR="00203F72" w:rsidRPr="00515D85">
        <w:t>遭受強制性收容之後，加國政府依照該國之法律與程序規定，於一週之內，將本案提交給聯邦法院，由法院迅速地審查上述「安全證明」之內容，以及部長之「安全證明」所依據之「證據基礎」（</w:t>
      </w:r>
      <w:r w:rsidR="00203F72" w:rsidRPr="00515D85">
        <w:t>evidentiary foundation</w:t>
      </w:r>
      <w:r w:rsidR="00203F72" w:rsidRPr="00515D85">
        <w:t>）為何？俾利決定加國部長所核發之「安全證明」，是否具備「合理性」（</w:t>
      </w:r>
      <w:r w:rsidR="00203F72" w:rsidRPr="00515D85">
        <w:t>reasonableness</w:t>
      </w:r>
      <w:r w:rsidR="00203F72" w:rsidRPr="00515D85">
        <w:t>）</w:t>
      </w:r>
      <w:r w:rsidR="00203F72" w:rsidRPr="00515D85">
        <w:footnoteReference w:id="787"/>
      </w:r>
      <w:r w:rsidR="00203F72" w:rsidRPr="00515D85">
        <w:t>。</w:t>
      </w:r>
    </w:p>
    <w:p w14:paraId="2D1BCDD8" w14:textId="77777777" w:rsidR="00953151" w:rsidRPr="00515D85" w:rsidRDefault="00026D0F" w:rsidP="00D87D91">
      <w:r w:rsidRPr="00515D85">
        <w:t xml:space="preserve">　　</w:t>
      </w:r>
      <w:r w:rsidR="00203F72" w:rsidRPr="00515D85">
        <w:t>假若聯邦法院開庭審理之結果（論），認為「安全證明」不具有「合理性（適當性）」（</w:t>
      </w:r>
      <w:r w:rsidR="00203F72" w:rsidRPr="00515D85">
        <w:t>not to be reasonable</w:t>
      </w:r>
      <w:r w:rsidR="00203F72" w:rsidRPr="00515D85">
        <w:t>）；此時，名列於「安全證明」上之人士，應立即被釋放，不得再加以收容。</w:t>
      </w:r>
      <w:r w:rsidR="00203F72" w:rsidRPr="00515D85">
        <w:t>HRC</w:t>
      </w:r>
      <w:r w:rsidR="00203F72" w:rsidRPr="00515D85">
        <w:t>指出，加國所發之「安全證明」，須經由兩位部長之審核，基於國家安全之理由，而將</w:t>
      </w:r>
      <w:r w:rsidR="00203F72" w:rsidRPr="00515D85">
        <w:t>Ahani</w:t>
      </w:r>
      <w:r w:rsidR="00203F72" w:rsidRPr="00515D85">
        <w:t>收容；此種之收容，並非屬於獨斷式（恣意性）（</w:t>
      </w:r>
      <w:r w:rsidR="00203F72" w:rsidRPr="00515D85">
        <w:t>not result ipso facto in arbitrary</w:t>
      </w:r>
      <w:r w:rsidR="00203F72" w:rsidRPr="00515D85">
        <w:t>）之收容，故不違反</w:t>
      </w:r>
      <w:r w:rsidR="00385B82">
        <w:t>ICCPR</w:t>
      </w:r>
      <w:hyperlink r:id="rId2071"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1</w:t>
      </w:r>
      <w:r w:rsidR="00203F72" w:rsidRPr="00515D85">
        <w:t>項之規定。</w:t>
      </w:r>
    </w:p>
    <w:p w14:paraId="1EB49FC7" w14:textId="77777777" w:rsidR="00953151" w:rsidRPr="00515D85" w:rsidRDefault="00026D0F" w:rsidP="00D87D91">
      <w:r w:rsidRPr="00515D85">
        <w:t xml:space="preserve">　　</w:t>
      </w:r>
      <w:r w:rsidR="00203F72" w:rsidRPr="00515D85">
        <w:t>在</w:t>
      </w:r>
      <w:r w:rsidR="00385B82">
        <w:t>ICCPR</w:t>
      </w:r>
      <w:hyperlink r:id="rId2072"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項方面，</w:t>
      </w:r>
      <w:r w:rsidR="00203F72" w:rsidRPr="00515D85">
        <w:t>HRC</w:t>
      </w:r>
      <w:r w:rsidR="00203F72" w:rsidRPr="00515D85">
        <w:t>審理</w:t>
      </w:r>
      <w:r w:rsidR="00203F72" w:rsidRPr="00515D85">
        <w:t>Ahani</w:t>
      </w:r>
      <w:r w:rsidR="00203F72" w:rsidRPr="00515D85">
        <w:t>案之後，認為加國業已違反</w:t>
      </w:r>
      <w:r w:rsidR="00385B82">
        <w:t>ICCPR</w:t>
      </w:r>
      <w:hyperlink r:id="rId2073"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項之要求。為何</w:t>
      </w:r>
      <w:r w:rsidR="00203F72" w:rsidRPr="00515D85">
        <w:t>HRC</w:t>
      </w:r>
      <w:r w:rsidR="00203F72" w:rsidRPr="00515D85">
        <w:t>會作出如此之裁判？假若某人因部長所核發之「安全證明」而遭受收容（羈押），但此種之收容，既非因觸犯任何之刑事罪行而被法院定罪，且亦非屬於被法院科刑而須入監服刑之情形；在此種之情形下，依據</w:t>
      </w:r>
      <w:r w:rsidR="00385B82">
        <w:t>ICCPR</w:t>
      </w:r>
      <w:hyperlink r:id="rId2074"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項之規定，受收容人（或受羈押之人）應有適當之途徑，針對於收容（羈押）之事由，接受司法審查（</w:t>
      </w:r>
      <w:r w:rsidR="00203F72" w:rsidRPr="00515D85">
        <w:t>judicial review of the detention</w:t>
      </w:r>
      <w:r w:rsidR="00203F72" w:rsidRPr="00515D85">
        <w:t>）；換言之，就收容之實質正當性問題，由法院進行司法審查（</w:t>
      </w:r>
      <w:r w:rsidR="00203F72" w:rsidRPr="00515D85">
        <w:t>review of the substantive justification of detention</w:t>
      </w:r>
      <w:r w:rsidR="00203F72" w:rsidRPr="00515D85">
        <w:t>）；假若收容之時程有延長之情事，尚須具有充份之經常性審查（</w:t>
      </w:r>
      <w:r w:rsidR="00203F72" w:rsidRPr="00515D85">
        <w:t>sufficiently frequent review</w:t>
      </w:r>
      <w:r w:rsidR="00203F72" w:rsidRPr="00515D85">
        <w:t>）之機制與功能。</w:t>
      </w:r>
    </w:p>
    <w:p w14:paraId="126253A3" w14:textId="77777777" w:rsidR="00953151" w:rsidRPr="00515D85" w:rsidRDefault="00026D0F" w:rsidP="00D87D91">
      <w:r w:rsidRPr="00515D85">
        <w:t xml:space="preserve">　　</w:t>
      </w:r>
      <w:r w:rsidR="00203F72" w:rsidRPr="00515D85">
        <w:t>就</w:t>
      </w:r>
      <w:r w:rsidR="00203F72" w:rsidRPr="00515D85">
        <w:t>Ahani</w:t>
      </w:r>
      <w:r w:rsidR="00203F72" w:rsidRPr="00515D85">
        <w:t>案件而論，</w:t>
      </w:r>
      <w:r w:rsidR="00203F72" w:rsidRPr="00515D85">
        <w:t>HRC</w:t>
      </w:r>
      <w:r w:rsidR="00203F72" w:rsidRPr="00515D85">
        <w:t>指出，</w:t>
      </w:r>
      <w:r w:rsidR="00203F72" w:rsidRPr="00515D85">
        <w:t>Ahani</w:t>
      </w:r>
      <w:r w:rsidR="00203F72" w:rsidRPr="00515D85">
        <w:t>所遭受之強制性收容之基石所在，主要係依據加國部長所核發之「安全證明」（</w:t>
      </w:r>
      <w:r w:rsidR="00203F72" w:rsidRPr="00515D85">
        <w:t>on the basis of a Minister’s security certificate</w:t>
      </w:r>
      <w:r w:rsidR="00203F72" w:rsidRPr="00515D85">
        <w:t>）；在</w:t>
      </w:r>
      <w:r w:rsidR="00203F72" w:rsidRPr="00515D85">
        <w:t>Ahani</w:t>
      </w:r>
      <w:r w:rsidR="00203F72" w:rsidRPr="00515D85">
        <w:t>受到強制性收容之後，加國聯邦法院以迅速不遲延之方式，舉行合理之聽證（</w:t>
      </w:r>
      <w:r w:rsidR="00203F72" w:rsidRPr="00515D85">
        <w:t>a reasonableness hearing in Federal Court</w:t>
      </w:r>
      <w:r w:rsidR="00203F72" w:rsidRPr="00515D85">
        <w:t>），以檢</w:t>
      </w:r>
      <w:r w:rsidR="003E240E">
        <w:t>視</w:t>
      </w:r>
      <w:r w:rsidR="00203F72" w:rsidRPr="00515D85">
        <w:t>上述「安全證明」之合理性；由於加國聯邦法院曾以迅速之方式，開庭審理並踐行聽證之程序，原則上，</w:t>
      </w:r>
      <w:r w:rsidR="00203F72" w:rsidRPr="00515D85">
        <w:t>HRC</w:t>
      </w:r>
      <w:r w:rsidR="00203F72" w:rsidRPr="00515D85">
        <w:t>認定加國之作法，係屬於充分之司法審查（</w:t>
      </w:r>
      <w:r w:rsidR="00203F72" w:rsidRPr="00515D85">
        <w:t>sufficient judicial review</w:t>
      </w:r>
      <w:r w:rsidR="00203F72" w:rsidRPr="00515D85">
        <w:t>），能針對</w:t>
      </w:r>
      <w:r w:rsidR="00203F72" w:rsidRPr="00515D85">
        <w:t>Ahani</w:t>
      </w:r>
      <w:r w:rsidR="00203F72" w:rsidRPr="00515D85">
        <w:t>收容案件所依據之「安全證明」之正當性加以審理。</w:t>
      </w:r>
    </w:p>
    <w:p w14:paraId="612F4C7C" w14:textId="77777777" w:rsidR="00953151" w:rsidRPr="00515D85" w:rsidRDefault="00026D0F" w:rsidP="00D87D91">
      <w:r w:rsidRPr="00515D85">
        <w:t xml:space="preserve">　　</w:t>
      </w:r>
      <w:r w:rsidR="00203F72" w:rsidRPr="00515D85">
        <w:t>基本上，加國上述之措施，符合</w:t>
      </w:r>
      <w:r w:rsidR="00385B82">
        <w:t>ICCPR</w:t>
      </w:r>
      <w:hyperlink r:id="rId2075"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項之要求。然而，當</w:t>
      </w:r>
      <w:r w:rsidR="00203F72" w:rsidRPr="00515D85">
        <w:t>Ahani</w:t>
      </w:r>
      <w:r w:rsidR="00203F72" w:rsidRPr="00515D85">
        <w:t>被加國收容之時程逐漸延長時，相對而言，亦牽動加國法院之司法程序，包括裁定收容之合法性（</w:t>
      </w:r>
      <w:r w:rsidR="00203F72" w:rsidRPr="00515D85">
        <w:t>the determination of the lawfulness of detention</w:t>
      </w:r>
      <w:r w:rsidR="00203F72" w:rsidRPr="00515D85">
        <w:t>），亦加以延展（</w:t>
      </w:r>
      <w:r w:rsidR="00203F72" w:rsidRPr="00515D85">
        <w:t>judicial proceedings become prolonged</w:t>
      </w:r>
      <w:r w:rsidR="00203F72" w:rsidRPr="00515D85">
        <w:t>）；</w:t>
      </w:r>
      <w:r w:rsidR="00203F72" w:rsidRPr="00515D85">
        <w:t>HRC</w:t>
      </w:r>
      <w:r w:rsidR="00203F72" w:rsidRPr="00515D85">
        <w:t>指出，當司法審查時程逐漸延展之時，相關之問題亦出現；主要之問題，在於根據</w:t>
      </w:r>
      <w:r w:rsidR="00385B82">
        <w:t>ICCPR</w:t>
      </w:r>
      <w:hyperlink r:id="rId2076"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項之規定，司法之裁定，須以「不被延遲」（</w:t>
      </w:r>
      <w:r w:rsidR="00203F72" w:rsidRPr="00515D85">
        <w:t>without delay</w:t>
      </w:r>
      <w:r w:rsidR="00203F72" w:rsidRPr="00515D85">
        <w:t>）之方式，迅速作成司法之裁判；除非延展收容之情事，尋求「間歇式」（間斷式）之司法審查（授權）（</w:t>
      </w:r>
      <w:r w:rsidR="00203F72" w:rsidRPr="00515D85">
        <w:t>interim judicial authorization</w:t>
      </w:r>
      <w:r w:rsidR="00203F72" w:rsidRPr="00515D85">
        <w:t>）；亦即，在延長收容之過程中，分成數個部分，以個別之方式（</w:t>
      </w:r>
      <w:r w:rsidR="00203F72" w:rsidRPr="00515D85">
        <w:t>separately</w:t>
      </w:r>
      <w:r w:rsidR="00203F72" w:rsidRPr="00515D85">
        <w:t>），數次取得司法審查之裁定。</w:t>
      </w:r>
    </w:p>
    <w:p w14:paraId="6E961AB1" w14:textId="77777777" w:rsidR="00953151" w:rsidRPr="00515D85" w:rsidRDefault="00026D0F" w:rsidP="00D87D91">
      <w:r w:rsidRPr="00515D85">
        <w:t xml:space="preserve">　　</w:t>
      </w:r>
      <w:r w:rsidR="00203F72" w:rsidRPr="00515D85">
        <w:t>不過，在</w:t>
      </w:r>
      <w:r w:rsidR="00203F72" w:rsidRPr="00515D85">
        <w:t>Ahani</w:t>
      </w:r>
      <w:r w:rsidR="00203F72" w:rsidRPr="00515D85">
        <w:t>案件之中，</w:t>
      </w:r>
      <w:r w:rsidR="00203F72" w:rsidRPr="00515D85">
        <w:t>Ahani</w:t>
      </w:r>
      <w:r w:rsidR="00203F72" w:rsidRPr="00515D85">
        <w:t>最初被收容之時間起點，係為</w:t>
      </w:r>
      <w:r w:rsidR="00203F72" w:rsidRPr="00515D85">
        <w:t>1993</w:t>
      </w:r>
      <w:r w:rsidR="00203F72" w:rsidRPr="00515D85">
        <w:t>年</w:t>
      </w:r>
      <w:r w:rsidR="00203F72" w:rsidRPr="00515D85">
        <w:t>6</w:t>
      </w:r>
      <w:r w:rsidR="00203F72" w:rsidRPr="00515D85">
        <w:t>月，截止加國聯邦法院，完成合理聽證之程序為止，共計經歷</w:t>
      </w:r>
      <w:r w:rsidR="00203F72" w:rsidRPr="00515D85">
        <w:t>4</w:t>
      </w:r>
      <w:r w:rsidR="00203F72" w:rsidRPr="00515D85">
        <w:t>年又</w:t>
      </w:r>
      <w:r w:rsidR="00203F72" w:rsidRPr="00515D85">
        <w:t>10</w:t>
      </w:r>
      <w:r w:rsidR="00203F72" w:rsidRPr="00515D85">
        <w:t>個月，在此</w:t>
      </w:r>
      <w:r w:rsidR="00203F72" w:rsidRPr="00515D85">
        <w:t>4</w:t>
      </w:r>
      <w:r w:rsidR="00203F72" w:rsidRPr="00515D85">
        <w:t>年又</w:t>
      </w:r>
      <w:r w:rsidR="00203F72" w:rsidRPr="00515D85">
        <w:t>10</w:t>
      </w:r>
      <w:r w:rsidR="00203F72" w:rsidRPr="00515D85">
        <w:t>個月之時程中，加國政府所進行之收容處分，均未取得法院之「個別式」（分段式）之授權（</w:t>
      </w:r>
      <w:r w:rsidR="00203F72" w:rsidRPr="00515D85">
        <w:t>no such separate authorization</w:t>
      </w:r>
      <w:r w:rsidR="00203F72" w:rsidRPr="00515D85">
        <w:t>）。為何會經歷如此長之時程，主要之問題，在於</w:t>
      </w:r>
      <w:r w:rsidR="00203F72" w:rsidRPr="00515D85">
        <w:t>Ahani</w:t>
      </w:r>
      <w:r w:rsidR="00203F72" w:rsidRPr="00515D85">
        <w:t>質疑加國部長所核發「安全證明」程序之合憲性（</w:t>
      </w:r>
      <w:r w:rsidR="00203F72" w:rsidRPr="00515D85">
        <w:t>to contest the constitutionality of the security certificate procedure</w:t>
      </w:r>
      <w:r w:rsidR="00203F72" w:rsidRPr="00515D85">
        <w:t>）；由於</w:t>
      </w:r>
      <w:r w:rsidR="00203F72" w:rsidRPr="00515D85">
        <w:t>Ahani</w:t>
      </w:r>
      <w:r w:rsidR="00203F72" w:rsidRPr="00515D85">
        <w:t>提起司法救濟之焦點，係聚焦於上述「安全證明」核發程序之合憲議題，而非針對收容本身之正當性；是以，加國聯邦法院原欲履行之收容處分之「合理性聽證」（</w:t>
      </w:r>
      <w:r w:rsidR="00203F72" w:rsidRPr="00515D85">
        <w:t>reasonableness hearing</w:t>
      </w:r>
      <w:r w:rsidR="00203F72" w:rsidRPr="00515D85">
        <w:t>），被上述「安全證明」程序之合憲性訴訟標的所取而代之；</w:t>
      </w:r>
      <w:r w:rsidR="00203F72" w:rsidRPr="00515D85">
        <w:t>HRC</w:t>
      </w:r>
      <w:r w:rsidR="00203F72" w:rsidRPr="00515D85">
        <w:t>認為，加國聯邦法院共花費</w:t>
      </w:r>
      <w:r w:rsidR="00203F72" w:rsidRPr="00515D85">
        <w:t>4</w:t>
      </w:r>
      <w:r w:rsidR="00203F72" w:rsidRPr="00515D85">
        <w:t>年又</w:t>
      </w:r>
      <w:r w:rsidR="00203F72" w:rsidRPr="00515D85">
        <w:t>10</w:t>
      </w:r>
      <w:r w:rsidR="00203F72" w:rsidRPr="00515D85">
        <w:t>個月之時程，完成收容正當性之聽證，雖然部分之原因，可歸責於</w:t>
      </w:r>
      <w:r w:rsidR="00203F72" w:rsidRPr="00515D85">
        <w:t>Ahani</w:t>
      </w:r>
      <w:r w:rsidR="00203F72" w:rsidRPr="00515D85">
        <w:t>個人之起訴策略失誤所造成。</w:t>
      </w:r>
    </w:p>
    <w:p w14:paraId="0F8AFCDA" w14:textId="77777777" w:rsidR="00953151" w:rsidRPr="00515D85" w:rsidRDefault="00026D0F" w:rsidP="00D87D91">
      <w:r w:rsidRPr="00515D85">
        <w:t xml:space="preserve">　　</w:t>
      </w:r>
      <w:r w:rsidR="00203F72" w:rsidRPr="00515D85">
        <w:t>然而，</w:t>
      </w:r>
      <w:r w:rsidR="00203F72" w:rsidRPr="00515D85">
        <w:t>Ahani</w:t>
      </w:r>
      <w:r w:rsidR="00203F72" w:rsidRPr="00515D85">
        <w:t>所在意之「安全證明」核發程序之合憲性爭議，事實上，加國聯邦法院業已於</w:t>
      </w:r>
      <w:r w:rsidR="00203F72" w:rsidRPr="00515D85">
        <w:t>1997</w:t>
      </w:r>
      <w:r w:rsidR="00203F72" w:rsidRPr="00515D85">
        <w:t>年</w:t>
      </w:r>
      <w:r w:rsidR="00203F72" w:rsidRPr="00515D85">
        <w:t>7</w:t>
      </w:r>
      <w:r w:rsidR="00203F72" w:rsidRPr="00515D85">
        <w:t>月</w:t>
      </w:r>
      <w:r w:rsidR="00203F72" w:rsidRPr="00515D85">
        <w:t>3</w:t>
      </w:r>
      <w:r w:rsidR="00203F72" w:rsidRPr="00515D85">
        <w:t>日完成合憲法之審查。加國聯邦法院於</w:t>
      </w:r>
      <w:r w:rsidR="00203F72" w:rsidRPr="00515D85">
        <w:t>1997</w:t>
      </w:r>
      <w:r w:rsidR="00203F72" w:rsidRPr="00515D85">
        <w:t>年</w:t>
      </w:r>
      <w:r w:rsidR="00203F72" w:rsidRPr="00515D85">
        <w:t>7</w:t>
      </w:r>
      <w:r w:rsidR="00203F72" w:rsidRPr="00515D85">
        <w:t>月</w:t>
      </w:r>
      <w:r w:rsidR="00203F72" w:rsidRPr="00515D85">
        <w:t>3</w:t>
      </w:r>
      <w:r w:rsidR="00203F72" w:rsidRPr="00515D85">
        <w:t>日完成上述「安全證明」核發程序之合憲性審查之後，開始踐行收容</w:t>
      </w:r>
      <w:r w:rsidR="00203F72" w:rsidRPr="00515D85">
        <w:t>Ahani</w:t>
      </w:r>
      <w:r w:rsidR="00203F72" w:rsidRPr="00515D85">
        <w:t>處分（命令）之「合理性」之聽證程序；此項「合理性」聽證（</w:t>
      </w:r>
      <w:r w:rsidR="00203F72" w:rsidRPr="00515D85">
        <w:t>reasonableness hearing</w:t>
      </w:r>
      <w:r w:rsidR="00203F72" w:rsidRPr="00515D85">
        <w:t>）之程序，共計花費加國聯邦法院</w:t>
      </w:r>
      <w:r w:rsidR="00203F72" w:rsidRPr="00515D85">
        <w:t>9</w:t>
      </w:r>
      <w:r w:rsidR="00203F72" w:rsidRPr="00515D85">
        <w:t>個半月之時程；於</w:t>
      </w:r>
      <w:r w:rsidR="00203F72" w:rsidRPr="00515D85">
        <w:t>1998</w:t>
      </w:r>
      <w:r w:rsidR="00203F72" w:rsidRPr="00515D85">
        <w:t>年</w:t>
      </w:r>
      <w:r w:rsidR="00203F72" w:rsidRPr="00515D85">
        <w:t>4</w:t>
      </w:r>
      <w:r w:rsidR="00203F72" w:rsidRPr="00515D85">
        <w:t>月，加國聯邦法院始完成上述之「合理性聽證」之程序。依據</w:t>
      </w:r>
      <w:r w:rsidR="00385B82">
        <w:t>ICCPR</w:t>
      </w:r>
      <w:hyperlink r:id="rId2077"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項之要求，針對於收容（覊押）合法性之司法審查裁定（</w:t>
      </w:r>
      <w:r w:rsidR="00203F72" w:rsidRPr="00515D85">
        <w:t>judicial determination of the lawfulness of detention</w:t>
      </w:r>
      <w:r w:rsidR="00203F72" w:rsidRPr="00515D85">
        <w:t>），須以「不遲延」之方式（</w:t>
      </w:r>
      <w:r w:rsidR="00203F72" w:rsidRPr="00515D85">
        <w:t>without delay</w:t>
      </w:r>
      <w:r w:rsidR="00203F72" w:rsidRPr="00515D85">
        <w:t>），由法院儘速裁決。在</w:t>
      </w:r>
      <w:r w:rsidR="00203F72" w:rsidRPr="00515D85">
        <w:t>Ahani</w:t>
      </w:r>
      <w:r w:rsidR="00203F72" w:rsidRPr="00515D85">
        <w:t>案件中，加國聯邦法院卻花費</w:t>
      </w:r>
      <w:r w:rsidR="00203F72" w:rsidRPr="00515D85">
        <w:t>9</w:t>
      </w:r>
      <w:r w:rsidR="00203F72" w:rsidRPr="00515D85">
        <w:t>個半月之時程，始完成收容處分之合理性</w:t>
      </w:r>
      <w:r w:rsidR="00203F72" w:rsidRPr="00515D85">
        <w:t>(</w:t>
      </w:r>
      <w:r w:rsidR="00203F72" w:rsidRPr="00515D85">
        <w:t>適當性</w:t>
      </w:r>
      <w:r w:rsidR="00203F72" w:rsidRPr="00515D85">
        <w:t>)</w:t>
      </w:r>
      <w:r w:rsidR="00203F72" w:rsidRPr="00515D85">
        <w:t>聽證之程序，</w:t>
      </w:r>
      <w:r w:rsidR="00203F72" w:rsidRPr="00515D85">
        <w:t>HRC</w:t>
      </w:r>
      <w:r w:rsidR="00203F72" w:rsidRPr="00515D85">
        <w:t>認為，此種之審理時程，實已過於冗長，業已違反</w:t>
      </w:r>
      <w:r w:rsidR="00385B82">
        <w:t>ICCPR</w:t>
      </w:r>
      <w:hyperlink r:id="rId2078"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w:t>
      </w:r>
    </w:p>
    <w:p w14:paraId="6212F71B" w14:textId="77777777" w:rsidR="00953151" w:rsidRPr="00515D85" w:rsidRDefault="00026D0F" w:rsidP="00D87D91">
      <w:r w:rsidRPr="00515D85">
        <w:t xml:space="preserve">　　</w:t>
      </w:r>
      <w:r w:rsidR="00203F72" w:rsidRPr="00515D85">
        <w:t>於</w:t>
      </w:r>
      <w:r w:rsidR="00203F72" w:rsidRPr="00515D85">
        <w:t>1998</w:t>
      </w:r>
      <w:r w:rsidR="00203F72" w:rsidRPr="00515D85">
        <w:t>年</w:t>
      </w:r>
      <w:r w:rsidR="00203F72" w:rsidRPr="00515D85">
        <w:t>4</w:t>
      </w:r>
      <w:r w:rsidR="00203F72" w:rsidRPr="00515D85">
        <w:t>月，加國政府移民裁決官正式對</w:t>
      </w:r>
      <w:r w:rsidR="00203F72" w:rsidRPr="00515D85">
        <w:t>Ahani</w:t>
      </w:r>
      <w:r w:rsidR="00203F72" w:rsidRPr="00515D85">
        <w:t>核發強制驅逐出國處分（命令）；在</w:t>
      </w:r>
      <w:r w:rsidR="00203F72" w:rsidRPr="00515D85">
        <w:t>1998</w:t>
      </w:r>
      <w:r w:rsidR="00203F72" w:rsidRPr="00515D85">
        <w:t>年</w:t>
      </w:r>
      <w:r w:rsidR="00203F72" w:rsidRPr="00515D85">
        <w:t>4</w:t>
      </w:r>
      <w:r w:rsidR="00203F72" w:rsidRPr="00515D85">
        <w:t>月之後之</w:t>
      </w:r>
      <w:r w:rsidR="00203F72" w:rsidRPr="00515D85">
        <w:t>120</w:t>
      </w:r>
      <w:r w:rsidR="00203F72" w:rsidRPr="00515D85">
        <w:t>日收容時程，因此一時程係處於</w:t>
      </w:r>
      <w:r w:rsidR="00203F72" w:rsidRPr="00515D85">
        <w:t>Ahani</w:t>
      </w:r>
      <w:r w:rsidR="00203F72" w:rsidRPr="00515D85">
        <w:t>正式具有資格可申請釋放之前（</w:t>
      </w:r>
      <w:r w:rsidR="00203F72" w:rsidRPr="00515D85">
        <w:t>before becoming eligible to apply for release</w:t>
      </w:r>
      <w:r w:rsidR="00203F72" w:rsidRPr="00515D85">
        <w:t>），</w:t>
      </w:r>
      <w:r w:rsidR="00203F72" w:rsidRPr="00515D85">
        <w:t>HRC</w:t>
      </w:r>
      <w:r w:rsidR="00203F72" w:rsidRPr="00515D85">
        <w:t>認為，此</w:t>
      </w:r>
      <w:r w:rsidR="00203F72" w:rsidRPr="00515D85">
        <w:t>120</w:t>
      </w:r>
      <w:r w:rsidR="00203F72" w:rsidRPr="00515D85">
        <w:t>日之收容處分，因可充分地受到聯邦法院之司法審查（</w:t>
      </w:r>
      <w:r w:rsidR="00203F72" w:rsidRPr="00515D85">
        <w:t>was sufficiently proximate to a judicial decision of the Federal Court</w:t>
      </w:r>
      <w:r w:rsidR="00203F72" w:rsidRPr="00515D85">
        <w:t>），故可被</w:t>
      </w:r>
      <w:r w:rsidR="003E240E">
        <w:t>視</w:t>
      </w:r>
      <w:r w:rsidR="00203F72" w:rsidRPr="00515D85">
        <w:t>為已取得法院之同意，並不違反</w:t>
      </w:r>
      <w:r w:rsidR="00385B82">
        <w:t>ICCPR</w:t>
      </w:r>
      <w:hyperlink r:id="rId2079"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項之要求。換言之，因聯邦法院完成第一階段收容處分之「合理性」聽證程序之時點，係為</w:t>
      </w:r>
      <w:r w:rsidR="00203F72" w:rsidRPr="00515D85">
        <w:t>1998</w:t>
      </w:r>
      <w:r w:rsidR="00203F72" w:rsidRPr="00515D85">
        <w:t>年</w:t>
      </w:r>
      <w:r w:rsidR="00203F72" w:rsidRPr="00515D85">
        <w:t>4</w:t>
      </w:r>
      <w:r w:rsidR="00203F72" w:rsidRPr="00515D85">
        <w:t>月，而截至</w:t>
      </w:r>
      <w:r w:rsidR="00203F72" w:rsidRPr="00515D85">
        <w:t>Ahani</w:t>
      </w:r>
      <w:r w:rsidR="00203F72" w:rsidRPr="00515D85">
        <w:t>於</w:t>
      </w:r>
      <w:r w:rsidR="00203F72" w:rsidRPr="00515D85">
        <w:t>1998</w:t>
      </w:r>
      <w:r w:rsidR="00203F72" w:rsidRPr="00515D85">
        <w:t>年</w:t>
      </w:r>
      <w:r w:rsidR="00203F72" w:rsidRPr="00515D85">
        <w:t>8</w:t>
      </w:r>
      <w:r w:rsidR="00203F72" w:rsidRPr="00515D85">
        <w:t>月向聯邦法院提起結束收容並要求被釋放之司法救濟為止，此一中間時程，共經歷</w:t>
      </w:r>
      <w:r w:rsidR="00203F72" w:rsidRPr="00515D85">
        <w:t>120</w:t>
      </w:r>
      <w:r w:rsidR="00203F72" w:rsidRPr="00515D85">
        <w:t>日；根據</w:t>
      </w:r>
      <w:r w:rsidR="00203F72" w:rsidRPr="00515D85">
        <w:t>HRC</w:t>
      </w:r>
      <w:r w:rsidR="00203F72" w:rsidRPr="00515D85">
        <w:t>之上述見解，此</w:t>
      </w:r>
      <w:r w:rsidR="00203F72" w:rsidRPr="00515D85">
        <w:t>120</w:t>
      </w:r>
      <w:r w:rsidR="00203F72" w:rsidRPr="00515D85">
        <w:t>日之收容處分，符合</w:t>
      </w:r>
      <w:r w:rsidR="00385B82">
        <w:t>ICCPR</w:t>
      </w:r>
      <w:hyperlink r:id="rId2080"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項之要求，並不違法</w:t>
      </w:r>
      <w:r w:rsidR="00203F72" w:rsidRPr="00515D85">
        <w:footnoteReference w:id="788"/>
      </w:r>
      <w:r w:rsidR="00203F72" w:rsidRPr="00515D85">
        <w:t>。</w:t>
      </w:r>
    </w:p>
    <w:p w14:paraId="0C9EC4B1" w14:textId="77777777" w:rsidR="00953151" w:rsidRPr="00515D85" w:rsidRDefault="00026D0F" w:rsidP="00D87D91">
      <w:r w:rsidRPr="00515D85">
        <w:t xml:space="preserve">　　</w:t>
      </w:r>
      <w:r w:rsidR="00203F72" w:rsidRPr="00515D85">
        <w:t>此外，在</w:t>
      </w:r>
      <w:r w:rsidR="00203F72" w:rsidRPr="00515D85">
        <w:t>Ahani</w:t>
      </w:r>
      <w:r w:rsidR="00203F72" w:rsidRPr="00515D85">
        <w:t>向</w:t>
      </w:r>
      <w:r w:rsidR="00203F72" w:rsidRPr="00515D85">
        <w:t>HRC</w:t>
      </w:r>
      <w:r w:rsidR="00203F72" w:rsidRPr="00515D85">
        <w:t>控告加國政府違反</w:t>
      </w:r>
      <w:r w:rsidR="00203F72" w:rsidRPr="00515D85">
        <w:t>ICCPR</w:t>
      </w:r>
      <w:hyperlink r:id="rId2081" w:anchor="a6" w:history="1">
        <w:r w:rsidR="00203F72" w:rsidRPr="00AD010C">
          <w:rPr>
            <w:rStyle w:val="a5"/>
            <w:rFonts w:ascii="Times New Roman" w:hAnsi="Times New Roman"/>
          </w:rPr>
          <w:t>第</w:t>
        </w:r>
        <w:r w:rsidR="00203F72" w:rsidRPr="00AD010C">
          <w:rPr>
            <w:rStyle w:val="a5"/>
            <w:rFonts w:ascii="Times New Roman" w:hAnsi="Times New Roman"/>
          </w:rPr>
          <w:t>6</w:t>
        </w:r>
        <w:r w:rsidR="00203F72" w:rsidRPr="00AD010C">
          <w:rPr>
            <w:rStyle w:val="a5"/>
            <w:rFonts w:ascii="Times New Roman" w:hAnsi="Times New Roman"/>
          </w:rPr>
          <w:t>條</w:t>
        </w:r>
      </w:hyperlink>
      <w:r w:rsidR="00203F72" w:rsidRPr="00515D85">
        <w:t>、</w:t>
      </w:r>
      <w:hyperlink r:id="rId2082" w:anchor="a7" w:history="1">
        <w:r w:rsidR="00203F72" w:rsidRPr="00AD010C">
          <w:rPr>
            <w:rStyle w:val="a5"/>
            <w:rFonts w:ascii="Times New Roman" w:hAnsi="Times New Roman"/>
          </w:rPr>
          <w:t>第</w:t>
        </w:r>
        <w:r w:rsidR="00203F72" w:rsidRPr="00AD010C">
          <w:rPr>
            <w:rStyle w:val="a5"/>
            <w:rFonts w:ascii="Times New Roman" w:hAnsi="Times New Roman"/>
          </w:rPr>
          <w:t>7</w:t>
        </w:r>
        <w:r w:rsidR="00203F72" w:rsidRPr="00AD010C">
          <w:rPr>
            <w:rStyle w:val="a5"/>
            <w:rFonts w:ascii="Times New Roman" w:hAnsi="Times New Roman"/>
          </w:rPr>
          <w:t>條</w:t>
        </w:r>
      </w:hyperlink>
      <w:r w:rsidR="00203F72" w:rsidRPr="00515D85">
        <w:t>、</w:t>
      </w:r>
      <w:hyperlink r:id="rId2083" w:anchor="a13" w:history="1">
        <w:r w:rsidR="00203F72" w:rsidRPr="00AD010C">
          <w:rPr>
            <w:rStyle w:val="a5"/>
            <w:rFonts w:ascii="Times New Roman" w:hAnsi="Times New Roman"/>
          </w:rPr>
          <w:t>第</w:t>
        </w:r>
        <w:r w:rsidR="00203F72" w:rsidRPr="00AD010C">
          <w:rPr>
            <w:rStyle w:val="a5"/>
            <w:rFonts w:ascii="Times New Roman" w:hAnsi="Times New Roman"/>
          </w:rPr>
          <w:t>13</w:t>
        </w:r>
        <w:r w:rsidR="00203F72" w:rsidRPr="00AD010C">
          <w:rPr>
            <w:rStyle w:val="a5"/>
            <w:rFonts w:ascii="Times New Roman" w:hAnsi="Times New Roman"/>
          </w:rPr>
          <w:t>條</w:t>
        </w:r>
      </w:hyperlink>
      <w:r w:rsidR="00203F72" w:rsidRPr="00515D85">
        <w:t>及</w:t>
      </w:r>
      <w:hyperlink r:id="rId2084" w:anchor="a14" w:history="1">
        <w:r w:rsidR="00203F72" w:rsidRPr="00AD010C">
          <w:rPr>
            <w:rStyle w:val="a5"/>
            <w:rFonts w:ascii="Times New Roman" w:hAnsi="Times New Roman"/>
          </w:rPr>
          <w:t>第</w:t>
        </w:r>
        <w:r w:rsidR="00203F72" w:rsidRPr="00AD010C">
          <w:rPr>
            <w:rStyle w:val="a5"/>
            <w:rFonts w:ascii="Times New Roman" w:hAnsi="Times New Roman"/>
          </w:rPr>
          <w:t>14</w:t>
        </w:r>
        <w:r w:rsidR="00203F72" w:rsidRPr="00AD010C">
          <w:rPr>
            <w:rStyle w:val="a5"/>
            <w:rFonts w:ascii="Times New Roman" w:hAnsi="Times New Roman"/>
          </w:rPr>
          <w:t>條</w:t>
        </w:r>
      </w:hyperlink>
      <w:r w:rsidR="00203F72" w:rsidRPr="00515D85">
        <w:t>方面，</w:t>
      </w:r>
      <w:r w:rsidR="00203F72" w:rsidRPr="00515D85">
        <w:t>Ahani</w:t>
      </w:r>
      <w:r w:rsidR="00203F72" w:rsidRPr="00515D85">
        <w:t>此一方面之提告，涉及</w:t>
      </w:r>
      <w:r w:rsidR="00203F72" w:rsidRPr="00515D85">
        <w:t>Ahani</w:t>
      </w:r>
      <w:r w:rsidR="00203F72" w:rsidRPr="00515D85">
        <w:t>被加國強制驅逐出國之程序與事實問題；根據</w:t>
      </w:r>
      <w:r w:rsidR="00203F72" w:rsidRPr="00515D85">
        <w:t>HRC</w:t>
      </w:r>
      <w:r w:rsidR="00203F72" w:rsidRPr="00515D85">
        <w:t>之觀察，在整件</w:t>
      </w:r>
      <w:r w:rsidR="00203F72" w:rsidRPr="00515D85">
        <w:t>Ahani</w:t>
      </w:r>
      <w:r w:rsidR="00203F72" w:rsidRPr="00515D85">
        <w:t>案件之最初始階段，當加國政府對</w:t>
      </w:r>
      <w:r w:rsidR="00203F72" w:rsidRPr="00515D85">
        <w:t>Ahani</w:t>
      </w:r>
      <w:r w:rsidR="00203F72" w:rsidRPr="00515D85">
        <w:t>核發「安全證明」之後，加國聯邦法院隨時開庭審理本案，並進行（踐行）「合理性</w:t>
      </w:r>
      <w:r w:rsidR="00203F72" w:rsidRPr="00515D85">
        <w:t>(</w:t>
      </w:r>
      <w:r w:rsidR="00203F72" w:rsidRPr="00515D85">
        <w:t>適當性</w:t>
      </w:r>
      <w:r w:rsidR="00203F72" w:rsidRPr="00515D85">
        <w:t>)</w:t>
      </w:r>
      <w:r w:rsidR="00203F72" w:rsidRPr="00515D85">
        <w:t>聽證（</w:t>
      </w:r>
      <w:r w:rsidR="00203F72" w:rsidRPr="00515D85">
        <w:t>reasonableness hearing</w:t>
      </w:r>
      <w:r w:rsidR="00203F72" w:rsidRPr="00515D85">
        <w:t>）；此一聽證程序之目的，係欲加國部長所核發之「安全證明」，是否具備「合理性」（適當性）之要件。加國聯邦法院在審理本案之後，將法院之判決，以「重點摘錄」（</w:t>
      </w:r>
      <w:r w:rsidR="00203F72" w:rsidRPr="00515D85">
        <w:t>a summary redacted</w:t>
      </w:r>
      <w:r w:rsidR="00203F72" w:rsidRPr="00515D85">
        <w:t>）之方式，告知</w:t>
      </w:r>
      <w:r w:rsidR="00203F72" w:rsidRPr="00515D85">
        <w:t>Ahani</w:t>
      </w:r>
      <w:r w:rsidR="00203F72" w:rsidRPr="00515D85">
        <w:t>本人，令</w:t>
      </w:r>
      <w:r w:rsidR="00203F72" w:rsidRPr="00515D85">
        <w:t>Ahani</w:t>
      </w:r>
      <w:r w:rsidR="00203F72" w:rsidRPr="00515D85">
        <w:t>知曉聯邦法院就其恐涉及安全問題之判決重要內涵。</w:t>
      </w:r>
    </w:p>
    <w:p w14:paraId="41EC73C5" w14:textId="77777777" w:rsidR="00953151" w:rsidRPr="00515D85" w:rsidRDefault="00026D0F" w:rsidP="00D87D91">
      <w:r w:rsidRPr="00515D85">
        <w:t xml:space="preserve">　　</w:t>
      </w:r>
      <w:r w:rsidR="00203F72" w:rsidRPr="00515D85">
        <w:t>再者，</w:t>
      </w:r>
      <w:r w:rsidR="00203F72" w:rsidRPr="00515D85">
        <w:t>HRC</w:t>
      </w:r>
      <w:r w:rsidR="00203F72" w:rsidRPr="00515D85">
        <w:t>亦關注（留意）加國聯邦法院所踐行之程序流程，就聯邦法院而論，法院本身相當清楚地認知它負有程序上之「重責大任」（</w:t>
      </w:r>
      <w:r w:rsidR="00203F72" w:rsidRPr="00515D85">
        <w:t>heavy burden</w:t>
      </w:r>
      <w:r w:rsidR="00203F72" w:rsidRPr="00515D85">
        <w:t>），須令</w:t>
      </w:r>
      <w:r w:rsidR="00203F72" w:rsidRPr="00515D85">
        <w:t>Ahani</w:t>
      </w:r>
      <w:r w:rsidR="00203F72" w:rsidRPr="00515D85">
        <w:t>有能力適切地瞭解本案之程序（</w:t>
      </w:r>
      <w:r w:rsidR="00203F72" w:rsidRPr="00515D85">
        <w:t>the author’s ability appropriately to be aware</w:t>
      </w:r>
      <w:r w:rsidR="00203F72" w:rsidRPr="00515D85">
        <w:t>），及對於本案之審理程序，提出適切之回應（抗辯）。事實上，聯邦法院於開庭審理本案時，亦令</w:t>
      </w:r>
      <w:r w:rsidR="00203F72" w:rsidRPr="00515D85">
        <w:t>Ahani</w:t>
      </w:r>
      <w:r w:rsidR="00203F72" w:rsidRPr="00515D85">
        <w:t>本人親自出庭（</w:t>
      </w:r>
      <w:r w:rsidR="00203F72" w:rsidRPr="00515D85">
        <w:t>present his own case</w:t>
      </w:r>
      <w:r w:rsidR="00203F72" w:rsidRPr="00515D85">
        <w:t>），並對於證人進行交叉詰問（</w:t>
      </w:r>
      <w:r w:rsidR="00203F72" w:rsidRPr="00515D85">
        <w:t>cross-examine witness</w:t>
      </w:r>
      <w:r w:rsidR="00203F72" w:rsidRPr="00515D85">
        <w:t>）。由於本案之案情，涉及加國政府之國家安全議題（</w:t>
      </w:r>
      <w:r w:rsidR="00203F72" w:rsidRPr="00515D85">
        <w:t>national security</w:t>
      </w:r>
      <w:r w:rsidR="00203F72" w:rsidRPr="00515D85">
        <w:t>），就上述加國聯邦法院踐行聽證程序之整個過程而論，因聯邦法院允許</w:t>
      </w:r>
      <w:r w:rsidR="00203F72" w:rsidRPr="00515D85">
        <w:t>Ahani</w:t>
      </w:r>
      <w:r w:rsidR="00203F72" w:rsidRPr="00515D85">
        <w:t>本人出庭，且交互詰問證人；再者，加國之「安全證明」，係由兩位部長審查之後，再行核發；</w:t>
      </w:r>
      <w:r w:rsidR="00203F72" w:rsidRPr="00515D85">
        <w:t>HRC</w:t>
      </w:r>
      <w:r w:rsidR="00203F72" w:rsidRPr="00515D85">
        <w:t>認為，聯邦法院所踐行上述之程序，對於</w:t>
      </w:r>
      <w:r w:rsidR="00203F72" w:rsidRPr="00515D85">
        <w:t>Ahani</w:t>
      </w:r>
      <w:r w:rsidR="00203F72" w:rsidRPr="00515D85">
        <w:t>而言，並非不公平（</w:t>
      </w:r>
      <w:r w:rsidR="00203F72" w:rsidRPr="00515D85">
        <w:t>not unfair</w:t>
      </w:r>
      <w:r w:rsidR="00203F72" w:rsidRPr="00515D85">
        <w:t>）；換言之，聯邦法院之作為，係屬於合法作為。</w:t>
      </w:r>
    </w:p>
    <w:p w14:paraId="2722329F" w14:textId="77777777" w:rsidR="00953151" w:rsidRPr="00515D85" w:rsidRDefault="00026D0F" w:rsidP="00D87D91">
      <w:r w:rsidRPr="00515D85">
        <w:t xml:space="preserve">　　</w:t>
      </w:r>
      <w:r w:rsidR="00203F72" w:rsidRPr="00515D85">
        <w:t>就加國政府所蒐集與提供之證物（</w:t>
      </w:r>
      <w:r w:rsidR="00203F72" w:rsidRPr="00515D85">
        <w:t>Ahani</w:t>
      </w:r>
      <w:r w:rsidR="00203F72" w:rsidRPr="00515D85">
        <w:t>涉入恐佈組織），</w:t>
      </w:r>
      <w:r w:rsidR="00203F72" w:rsidRPr="00515D85">
        <w:t>HRC</w:t>
      </w:r>
      <w:r w:rsidR="00203F72" w:rsidRPr="00515D85">
        <w:t>表示，在評估與審</w:t>
      </w:r>
      <w:r w:rsidR="003E240E">
        <w:t>視</w:t>
      </w:r>
      <w:r w:rsidR="00203F72" w:rsidRPr="00515D85">
        <w:t>加國提供上述之事實與證物部分，</w:t>
      </w:r>
      <w:r w:rsidR="00203F72" w:rsidRPr="00515D85">
        <w:t>HRC</w:t>
      </w:r>
      <w:r w:rsidR="00203F72" w:rsidRPr="00515D85">
        <w:t>所擁有之專業能力與功能，係屬於有侷限之角色（</w:t>
      </w:r>
      <w:r w:rsidR="00203F72" w:rsidRPr="00515D85">
        <w:t>limited role</w:t>
      </w:r>
      <w:r w:rsidR="00203F72" w:rsidRPr="00515D85">
        <w:t>），以致於</w:t>
      </w:r>
      <w:r w:rsidR="00203F72" w:rsidRPr="00515D85">
        <w:t>HRC</w:t>
      </w:r>
      <w:r w:rsidR="00203F72" w:rsidRPr="00515D85">
        <w:t>無法辨識出加國提供之事實與證物，具有任何之缺陷、濫用權力或其他武斷恣意之情事；亦即，</w:t>
      </w:r>
      <w:r w:rsidR="00203F72" w:rsidRPr="00515D85">
        <w:t>HRC</w:t>
      </w:r>
      <w:r w:rsidR="00203F72" w:rsidRPr="00515D85">
        <w:t>對於加國能證明</w:t>
      </w:r>
      <w:r w:rsidR="00203F72" w:rsidRPr="00515D85">
        <w:t>Ahani</w:t>
      </w:r>
      <w:r w:rsidR="00203F72" w:rsidRPr="00515D85">
        <w:t>確係恐佈組織之成員之相關事實與證據，均加以接受。由於上述之證據具有合法性（證據能力），故就聯邦法院針對加國部長核發之「安全證明」之「合理性」（</w:t>
      </w:r>
      <w:r w:rsidR="00203F72" w:rsidRPr="00515D85">
        <w:t>the reasonableness of the certificate</w:t>
      </w:r>
      <w:r w:rsidR="00203F72" w:rsidRPr="00515D85">
        <w:t>）之裁判而言，無法令此判決失效；</w:t>
      </w:r>
      <w:r w:rsidR="00203F72" w:rsidRPr="00515D85">
        <w:t>HRC</w:t>
      </w:r>
      <w:r w:rsidR="00203F72" w:rsidRPr="00515D85">
        <w:t>認為，聯邦法院基於上述合法之證據，所裁判之判決，具有合法性，不容質疑其效力。</w:t>
      </w:r>
      <w:r w:rsidR="00203F72" w:rsidRPr="00515D85">
        <w:t>HRC</w:t>
      </w:r>
      <w:r w:rsidR="00203F72" w:rsidRPr="00515D85">
        <w:t>並指出，除了刑事案件以外（</w:t>
      </w:r>
      <w:r w:rsidR="00203F72" w:rsidRPr="00515D85">
        <w:t>beyond criminal cases</w:t>
      </w:r>
      <w:r w:rsidR="00203F72" w:rsidRPr="00515D85">
        <w:t>），</w:t>
      </w:r>
      <w:hyperlink r:id="rId2085" w:history="1">
        <w:r w:rsidR="005532CF" w:rsidRPr="005532CF">
          <w:rPr>
            <w:rStyle w:val="a5"/>
            <w:rFonts w:ascii="Times New Roman" w:eastAsia="新細明體" w:hAnsi="Times New Roman"/>
          </w:rPr>
          <w:t>ICCPR</w:t>
        </w:r>
      </w:hyperlink>
      <w:r w:rsidR="00203F72" w:rsidRPr="00515D85">
        <w:t>並未就其他類型之案件，賦予當事人可令所有之等議問題，均能受到法院審理之上訴權利（</w:t>
      </w:r>
      <w:r w:rsidR="00203F72" w:rsidRPr="00515D85">
        <w:t>the Covenant does not provide for a right of appeal to all determinations made by a court</w:t>
      </w:r>
      <w:r w:rsidR="00203F72" w:rsidRPr="00515D85">
        <w:t>）</w:t>
      </w:r>
      <w:r w:rsidR="00203F72" w:rsidRPr="00515D85">
        <w:footnoteReference w:id="789"/>
      </w:r>
      <w:r w:rsidR="00203F72" w:rsidRPr="00515D85">
        <w:t>。</w:t>
      </w:r>
    </w:p>
    <w:p w14:paraId="65FCC05F" w14:textId="77777777" w:rsidR="00953151" w:rsidRPr="00515D85" w:rsidRDefault="00026D0F" w:rsidP="00D87D91">
      <w:r w:rsidRPr="00515D85">
        <w:t xml:space="preserve">　　</w:t>
      </w:r>
      <w:r w:rsidR="00203F72" w:rsidRPr="00515D85">
        <w:t>根據此種之法理，</w:t>
      </w:r>
      <w:r w:rsidR="00203F72" w:rsidRPr="00515D85">
        <w:t>HRC</w:t>
      </w:r>
      <w:r w:rsidR="00203F72" w:rsidRPr="00515D85">
        <w:t>認為它本身無須就加國對於</w:t>
      </w:r>
      <w:r w:rsidR="00203F72" w:rsidRPr="00515D85">
        <w:t>Ahani</w:t>
      </w:r>
      <w:r w:rsidR="00203F72" w:rsidRPr="00515D85">
        <w:t>所進行之第一時間（最初始）之逮捕（</w:t>
      </w:r>
      <w:r w:rsidR="00203F72" w:rsidRPr="00515D85">
        <w:t>initial arrest</w:t>
      </w:r>
      <w:r w:rsidR="00203F72" w:rsidRPr="00515D85">
        <w:t>），及加國部長所核發「安全證明」之程序合法問題（</w:t>
      </w:r>
      <w:r w:rsidR="00203F72" w:rsidRPr="00515D85">
        <w:t>certificate proceedings</w:t>
      </w:r>
      <w:r w:rsidR="00203F72" w:rsidRPr="00515D85">
        <w:t>），究竟是否屬於</w:t>
      </w:r>
      <w:r w:rsidR="003E2214" w:rsidRPr="00B167C2">
        <w:t>ICCPR</w:t>
      </w:r>
      <w:hyperlink r:id="rId2086"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或</w:t>
      </w:r>
      <w:hyperlink r:id="rId2087"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所涵蓋之範圍，進行決定。再者，亦因</w:t>
      </w:r>
      <w:r w:rsidR="00203F72" w:rsidRPr="00515D85">
        <w:t>Ahani</w:t>
      </w:r>
      <w:r w:rsidR="00203F72" w:rsidRPr="00515D85">
        <w:t>在控告加國政府違反</w:t>
      </w:r>
      <w:r w:rsidR="003E2214" w:rsidRPr="00B167C2">
        <w:t>ICCPR</w:t>
      </w:r>
      <w:hyperlink r:id="rId2088"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及</w:t>
      </w:r>
      <w:hyperlink r:id="rId2089"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之指控中，就加國聯邦法院所履行之合理性聽證程序而論，</w:t>
      </w:r>
      <w:r w:rsidR="00203F72" w:rsidRPr="00515D85">
        <w:t>Ahani</w:t>
      </w:r>
      <w:r w:rsidR="00203F72" w:rsidRPr="00515D85">
        <w:t>向</w:t>
      </w:r>
      <w:r w:rsidR="00203F72" w:rsidRPr="00515D85">
        <w:t>HRC</w:t>
      </w:r>
      <w:r w:rsidR="00203F72" w:rsidRPr="00515D85">
        <w:t>所提出之控告之事實與證據，並未申訴加國違反</w:t>
      </w:r>
      <w:r w:rsidR="003E2214" w:rsidRPr="00B167C2">
        <w:t>ICCPR</w:t>
      </w:r>
      <w:hyperlink r:id="rId2090"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或</w:t>
      </w:r>
      <w:hyperlink r:id="rId2091"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之要求，基於上述之理由，</w:t>
      </w:r>
      <w:r w:rsidR="00203F72" w:rsidRPr="00515D85">
        <w:t>HRC</w:t>
      </w:r>
      <w:r w:rsidR="00203F72" w:rsidRPr="00515D85">
        <w:t>認為加國對於</w:t>
      </w:r>
      <w:r w:rsidR="00203F72" w:rsidRPr="00515D85">
        <w:t>Ahani</w:t>
      </w:r>
      <w:r w:rsidR="00203F72" w:rsidRPr="00515D85">
        <w:t>之最初逮捕行動，以及加國聯邦法院所踐行之聽證程序，均屬於合法，並未違反</w:t>
      </w:r>
      <w:r w:rsidR="003E2214" w:rsidRPr="00B167C2">
        <w:t>ICCPR</w:t>
      </w:r>
      <w:hyperlink r:id="rId2092"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或</w:t>
      </w:r>
      <w:hyperlink r:id="rId2093"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之規範與要求。</w:t>
      </w:r>
    </w:p>
    <w:p w14:paraId="2C6CE8B6" w14:textId="77777777" w:rsidR="00953151" w:rsidRPr="00515D85" w:rsidRDefault="00026D0F" w:rsidP="00D87D91">
      <w:r w:rsidRPr="00515D85">
        <w:t xml:space="preserve">　　</w:t>
      </w:r>
      <w:r w:rsidR="00203F72" w:rsidRPr="00515D85">
        <w:t>然而，究竟加國因國家安全之理由（</w:t>
      </w:r>
      <w:r w:rsidR="00203F72" w:rsidRPr="00515D85">
        <w:t>on national security grounds</w:t>
      </w:r>
      <w:r w:rsidR="00203F72" w:rsidRPr="00515D85">
        <w:t>），將</w:t>
      </w:r>
      <w:r w:rsidR="00203F72" w:rsidRPr="00515D85">
        <w:t>Ahani</w:t>
      </w:r>
      <w:r w:rsidR="00203F72" w:rsidRPr="00515D85">
        <w:t>驅逐回伊朗，是否會令</w:t>
      </w:r>
      <w:r w:rsidR="00203F72" w:rsidRPr="00515D85">
        <w:t>Ahani</w:t>
      </w:r>
      <w:r w:rsidR="00203F72" w:rsidRPr="00515D85">
        <w:t>面臨存在有實質傷害性之風險（</w:t>
      </w:r>
      <w:r w:rsidR="00203F72" w:rsidRPr="00515D85">
        <w:t>at risk of substantial harm</w:t>
      </w:r>
      <w:r w:rsidR="00203F72" w:rsidRPr="00515D85">
        <w:t>）？</w:t>
      </w:r>
      <w:r w:rsidR="00203F72" w:rsidRPr="00515D85">
        <w:t>HRC</w:t>
      </w:r>
      <w:r w:rsidR="00203F72" w:rsidRPr="00515D85">
        <w:t>指出，加國聯邦最高法院在審理之程序上，因不公平之故，而使得裁判存有缺失（</w:t>
      </w:r>
      <w:r w:rsidR="00203F72" w:rsidRPr="00515D85">
        <w:t>was faulty for unfairness</w:t>
      </w:r>
      <w:r w:rsidR="00203F72" w:rsidRPr="00515D85">
        <w:t>）。亦即，在加國決定將</w:t>
      </w:r>
      <w:r w:rsidR="00203F72" w:rsidRPr="00515D85">
        <w:t>Ahani</w:t>
      </w:r>
      <w:r w:rsidR="00203F72" w:rsidRPr="00515D85">
        <w:t>強制驅逐出國回伊朗之部分，因涉及</w:t>
      </w:r>
      <w:r w:rsidR="00203F72" w:rsidRPr="00515D85">
        <w:t>Ahani</w:t>
      </w:r>
      <w:r w:rsidR="00203F72" w:rsidRPr="00515D85">
        <w:t>恐會面臨伊朗政府施加酷刑之風險，在此一方面，</w:t>
      </w:r>
      <w:r w:rsidR="00203F72" w:rsidRPr="00515D85">
        <w:t>HRC</w:t>
      </w:r>
      <w:r w:rsidR="00203F72" w:rsidRPr="00515D85">
        <w:t>並不贊同加國之作法，主要之理由，係加國忽略</w:t>
      </w:r>
      <w:r w:rsidR="00203F72" w:rsidRPr="00515D85">
        <w:t>Ahani</w:t>
      </w:r>
      <w:r w:rsidR="00203F72" w:rsidRPr="00515D85">
        <w:t>所面臨之酷刑風險之存在事實。</w:t>
      </w:r>
    </w:p>
    <w:p w14:paraId="69284CAE" w14:textId="77777777" w:rsidR="00953151" w:rsidRPr="00515D85" w:rsidRDefault="00026D0F" w:rsidP="00D87D91">
      <w:r w:rsidRPr="00515D85">
        <w:t xml:space="preserve">　　</w:t>
      </w:r>
      <w:r w:rsidR="00203F72" w:rsidRPr="00515D85">
        <w:t>當本案經由</w:t>
      </w:r>
      <w:r w:rsidR="00203F72" w:rsidRPr="00515D85">
        <w:t>Ahani</w:t>
      </w:r>
      <w:r w:rsidR="00203F72" w:rsidRPr="00515D85">
        <w:t>上訴至加國最高法院後，最高法院支持「公民暨移民部」部長（</w:t>
      </w:r>
      <w:r w:rsidR="00203F72" w:rsidRPr="00515D85">
        <w:t>the Minister of Citizenship &amp; Immigration</w:t>
      </w:r>
      <w:r w:rsidR="00203F72" w:rsidRPr="00515D85">
        <w:t>）之看法，</w:t>
      </w:r>
      <w:r w:rsidR="00203F72" w:rsidRPr="00515D85">
        <w:t>Ahani</w:t>
      </w:r>
      <w:r w:rsidR="00203F72" w:rsidRPr="00515D85">
        <w:t>須被強制驅逐出國。</w:t>
      </w:r>
      <w:r w:rsidR="00203F72" w:rsidRPr="00515D85">
        <w:t>HRC</w:t>
      </w:r>
      <w:r w:rsidR="00203F72" w:rsidRPr="00515D85">
        <w:t>指出，最高法院之審理程序，並不公正（</w:t>
      </w:r>
      <w:r w:rsidR="00203F72" w:rsidRPr="00515D85">
        <w:t>unfairnes</w:t>
      </w:r>
      <w:r w:rsidR="00203F72" w:rsidRPr="00515D85">
        <w:t>），在程序上，存有瑕疵（</w:t>
      </w:r>
      <w:r w:rsidR="00203F72" w:rsidRPr="00515D85">
        <w:t>was faulty</w:t>
      </w:r>
      <w:r w:rsidR="00203F72" w:rsidRPr="00515D85">
        <w:t>）；主要之原因，在部長裁決將</w:t>
      </w:r>
      <w:r w:rsidR="00203F72" w:rsidRPr="00515D85">
        <w:t>Ahani</w:t>
      </w:r>
      <w:r w:rsidR="00203F72" w:rsidRPr="00515D85">
        <w:t>強制驅逐出國回伊朗之程序之程序中，</w:t>
      </w:r>
      <w:r w:rsidR="00203F72" w:rsidRPr="00515D85">
        <w:t>Ahani</w:t>
      </w:r>
      <w:r w:rsidR="00203F72" w:rsidRPr="00515D85">
        <w:t>並未被加國賦予適切之權利，尤其是針對於上述部長之裁定，提供有利於自己本身之所有一切證據（</w:t>
      </w:r>
      <w:r w:rsidR="00203F72" w:rsidRPr="00515D85">
        <w:t>he had not been provided with the full materials on which the Minister based his or her decision</w:t>
      </w:r>
      <w:r w:rsidR="00203F72" w:rsidRPr="00515D85">
        <w:t>）；再者，就部長之裁定而言，又因未具有行政之再覆、覆議或其他之救濟機制，造成未賦予</w:t>
      </w:r>
      <w:r w:rsidR="00203F72" w:rsidRPr="00515D85">
        <w:t>Ahani</w:t>
      </w:r>
      <w:r w:rsidR="00203F72" w:rsidRPr="00515D85">
        <w:t>一項，行政上之救濟權利，俾利</w:t>
      </w:r>
      <w:r w:rsidR="00203F72" w:rsidRPr="00515D85">
        <w:t>Ahani</w:t>
      </w:r>
      <w:r w:rsidR="00203F72" w:rsidRPr="00515D85">
        <w:t>能提出書面之救濟機會（</w:t>
      </w:r>
      <w:r w:rsidR="00203F72" w:rsidRPr="00515D85">
        <w:t>an opportunity to comment in writing</w:t>
      </w:r>
      <w:r w:rsidR="00203F72" w:rsidRPr="00515D85">
        <w:t>）。此種之情勢，形成對於部長之強制驅逐出國裁決，</w:t>
      </w:r>
      <w:r w:rsidR="00203F72" w:rsidRPr="00515D85">
        <w:t>Ahani</w:t>
      </w:r>
      <w:r w:rsidR="00203F72" w:rsidRPr="00515D85">
        <w:t>不得對其加以論理或質疑（</w:t>
      </w:r>
      <w:r w:rsidR="00203F72" w:rsidRPr="00515D85">
        <w:t>the Minister’s decision was not reasoned</w:t>
      </w:r>
      <w:r w:rsidR="00203F72" w:rsidRPr="00515D85">
        <w:t>）。</w:t>
      </w:r>
    </w:p>
    <w:p w14:paraId="4A12A2C0" w14:textId="77777777" w:rsidR="00953151" w:rsidRPr="00515D85" w:rsidRDefault="00026D0F" w:rsidP="00D87D91">
      <w:r w:rsidRPr="00515D85">
        <w:t xml:space="preserve">　　</w:t>
      </w:r>
      <w:hyperlink r:id="rId2094" w:history="1">
        <w:r w:rsidR="005532CF" w:rsidRPr="005532CF">
          <w:rPr>
            <w:rStyle w:val="a5"/>
            <w:rFonts w:ascii="Times New Roman" w:eastAsia="新細明體" w:hAnsi="Times New Roman"/>
          </w:rPr>
          <w:t>ICCPR</w:t>
        </w:r>
      </w:hyperlink>
      <w:r w:rsidR="00203F72" w:rsidRPr="00515D85">
        <w:t>所欲保障最重要之價值之一，係為令申訴人免於遭受酷刑之權利（</w:t>
      </w:r>
      <w:r w:rsidR="00203F72" w:rsidRPr="00515D85">
        <w:t>the right to be free from torture</w:t>
      </w:r>
      <w:r w:rsidR="00203F72" w:rsidRPr="00515D85">
        <w:t>），在加國聯邦最高法院審理本案時，實應將上述之權利，應用於公平審理程序之上（</w:t>
      </w:r>
      <w:r w:rsidR="00203F72" w:rsidRPr="00515D85">
        <w:t>should be applied to the fairness of the procedure</w:t>
      </w:r>
      <w:r w:rsidR="00203F72" w:rsidRPr="00515D85">
        <w:t>），特別係於決定個人究竟是否會面臨遭受酷刑之風險（</w:t>
      </w:r>
      <w:r w:rsidR="00203F72" w:rsidRPr="00515D85">
        <w:t>applied to determine whether an individual is at a substantial risk of torture</w:t>
      </w:r>
      <w:r w:rsidR="00203F72" w:rsidRPr="00515D85">
        <w:t>）之案件中。</w:t>
      </w:r>
    </w:p>
    <w:p w14:paraId="47FA7D09" w14:textId="77777777" w:rsidR="00953151" w:rsidRPr="00515D85" w:rsidRDefault="00026D0F" w:rsidP="00D87D91">
      <w:r w:rsidRPr="00515D85">
        <w:t xml:space="preserve">　　</w:t>
      </w:r>
      <w:r w:rsidR="00203F72" w:rsidRPr="00515D85">
        <w:t>換言之，由於加國拒絕執行</w:t>
      </w:r>
      <w:r w:rsidR="00203F72" w:rsidRPr="00515D85">
        <w:t>HRC</w:t>
      </w:r>
      <w:r w:rsidR="00203F72" w:rsidRPr="00515D85">
        <w:t>暫時性保護措施之指令（</w:t>
      </w:r>
      <w:r w:rsidR="00203F72" w:rsidRPr="00515D85">
        <w:t>interim measures of protection</w:t>
      </w:r>
      <w:r w:rsidR="00203F72" w:rsidRPr="00515D85">
        <w:t>），造成</w:t>
      </w:r>
      <w:r w:rsidR="00203F72" w:rsidRPr="00515D85">
        <w:t>Ahani</w:t>
      </w:r>
      <w:r w:rsidR="00203F72" w:rsidRPr="00515D85">
        <w:t>面臨酷刑風險之具體化（</w:t>
      </w:r>
      <w:r w:rsidR="00203F72" w:rsidRPr="00515D85">
        <w:t>at a substantial risk of torture</w:t>
      </w:r>
      <w:r w:rsidR="00203F72" w:rsidRPr="00515D85">
        <w:t>）；根據</w:t>
      </w:r>
      <w:r w:rsidR="00203F72" w:rsidRPr="00515D85">
        <w:t>HRC</w:t>
      </w:r>
      <w:r w:rsidR="00203F72" w:rsidRPr="00515D85">
        <w:t>之見解，加國由於上述相關程序上之瑕疵問題，並未向</w:t>
      </w:r>
      <w:r w:rsidR="00203F72" w:rsidRPr="00515D85">
        <w:t>Ahani</w:t>
      </w:r>
      <w:r w:rsidR="00203F72" w:rsidRPr="00515D85">
        <w:t>提供一套程序上所需之保護機制（</w:t>
      </w:r>
      <w:r w:rsidR="00203F72" w:rsidRPr="00515D85">
        <w:t>the procedural protections</w:t>
      </w:r>
      <w:r w:rsidR="00203F72" w:rsidRPr="00515D85">
        <w:t>）；而此一程序上之保障指施，在</w:t>
      </w:r>
      <w:r w:rsidR="00203F72" w:rsidRPr="00515D85">
        <w:t>Suresh</w:t>
      </w:r>
      <w:r w:rsidR="00203F72" w:rsidRPr="00515D85">
        <w:t>案件之中，係被</w:t>
      </w:r>
      <w:r w:rsidR="003E240E">
        <w:t>視</w:t>
      </w:r>
      <w:r w:rsidR="00203F72" w:rsidRPr="00515D85">
        <w:t>為需要的</w:t>
      </w:r>
      <w:r w:rsidR="00203F72" w:rsidRPr="00515D85">
        <w:footnoteReference w:id="790"/>
      </w:r>
      <w:r w:rsidR="00203F72" w:rsidRPr="00515D85">
        <w:t>。</w:t>
      </w:r>
    </w:p>
    <w:p w14:paraId="6F9BA193" w14:textId="77777777" w:rsidR="00953151" w:rsidRPr="00515D85" w:rsidRDefault="00026D0F" w:rsidP="00D87D91">
      <w:r w:rsidRPr="00515D85">
        <w:t xml:space="preserve">　　</w:t>
      </w:r>
      <w:r w:rsidR="00203F72" w:rsidRPr="00515D85">
        <w:t>在本案之中，加國聯邦最高法院之審理，並未回應</w:t>
      </w:r>
      <w:r w:rsidR="00203F72" w:rsidRPr="00515D85">
        <w:t>HRC</w:t>
      </w:r>
      <w:r w:rsidR="00203F72" w:rsidRPr="00515D85">
        <w:t>應採行暫時權利保護措施之要求；加國聯邦最高法院之審判程序，未達到公正性所需之充分且必要之標準（</w:t>
      </w:r>
      <w:r w:rsidR="00203F72" w:rsidRPr="00515D85">
        <w:t>fails to meet the requisite standard of fairness</w:t>
      </w:r>
      <w:r w:rsidR="00203F72" w:rsidRPr="00515D85">
        <w:t>）；換言之，</w:t>
      </w:r>
      <w:r w:rsidR="00203F72" w:rsidRPr="00515D85">
        <w:t>HRC</w:t>
      </w:r>
      <w:r w:rsidR="00203F72" w:rsidRPr="00515D85">
        <w:t>質疑加國聯邦最高法院審判程序之公正性，主要之理由，因聯邦最高法院未詳加考量</w:t>
      </w:r>
      <w:r w:rsidR="00203F72" w:rsidRPr="00515D85">
        <w:t>Ahani</w:t>
      </w:r>
      <w:r w:rsidR="00203F72" w:rsidRPr="00515D85">
        <w:t>被遣返回伊朗之後，有可能遭受酷刑之風險；</w:t>
      </w:r>
    </w:p>
    <w:p w14:paraId="40928667" w14:textId="77777777" w:rsidR="00953151" w:rsidRPr="00515D85" w:rsidRDefault="00026D0F" w:rsidP="00D87D91">
      <w:r w:rsidRPr="00515D85">
        <w:t xml:space="preserve">　　</w:t>
      </w:r>
      <w:r w:rsidR="00203F72" w:rsidRPr="00515D85">
        <w:t>由於</w:t>
      </w:r>
      <w:r w:rsidR="00203F72" w:rsidRPr="00515D85">
        <w:t>Suresh</w:t>
      </w:r>
      <w:r w:rsidR="00203F72" w:rsidRPr="00515D85">
        <w:t>案與</w:t>
      </w:r>
      <w:r w:rsidR="00203F72" w:rsidRPr="00515D85">
        <w:t>Ahani</w:t>
      </w:r>
      <w:r w:rsidR="00203F72" w:rsidRPr="00515D85">
        <w:t>案具有相似性，既然於</w:t>
      </w:r>
      <w:r w:rsidR="00203F72" w:rsidRPr="00515D85">
        <w:t>Suresh</w:t>
      </w:r>
      <w:r w:rsidR="00203F72" w:rsidRPr="00515D85">
        <w:t>案件之中，需要一套程序上之保障指施，則類推適用於</w:t>
      </w:r>
      <w:r w:rsidR="00203F72" w:rsidRPr="00515D85">
        <w:t>Ahani</w:t>
      </w:r>
      <w:r w:rsidR="00203F72" w:rsidRPr="00515D85">
        <w:t>案之中，加國亦應提供此種程序上之保障作為，但加國並未提供。</w:t>
      </w:r>
      <w:r w:rsidR="00203F72" w:rsidRPr="00515D85">
        <w:t>HRC</w:t>
      </w:r>
      <w:r w:rsidR="00203F72" w:rsidRPr="00515D85">
        <w:t>之所以會認定加國須對</w:t>
      </w:r>
      <w:r w:rsidR="00203F72" w:rsidRPr="00515D85">
        <w:t>Ahani</w:t>
      </w:r>
      <w:r w:rsidR="00203F72" w:rsidRPr="00515D85">
        <w:t>提供程序上之保障措施，乃因</w:t>
      </w:r>
      <w:r w:rsidR="00203F72" w:rsidRPr="00515D85">
        <w:t>Ahani</w:t>
      </w:r>
      <w:r w:rsidR="00203F72" w:rsidRPr="00515D85">
        <w:t>無法利用「初步印象」（</w:t>
      </w:r>
      <w:r w:rsidR="00203F72" w:rsidRPr="00515D85">
        <w:t>prima facie</w:t>
      </w:r>
      <w:r w:rsidR="00203F72" w:rsidRPr="00515D85">
        <w:t>）之方法，正確地辨識出其是否果真會遭遇酷刑之風險？由於加國未對</w:t>
      </w:r>
      <w:r w:rsidR="00203F72" w:rsidRPr="00515D85">
        <w:t>Ahani</w:t>
      </w:r>
      <w:r w:rsidR="00203F72" w:rsidRPr="00515D85">
        <w:t>提供程序上之保護作為，</w:t>
      </w:r>
      <w:r w:rsidR="00203F72" w:rsidRPr="00515D85">
        <w:t>HRC</w:t>
      </w:r>
      <w:r w:rsidR="00203F72" w:rsidRPr="00515D85">
        <w:t>認為加國未達到履行公平正義所需之必要性標準（</w:t>
      </w:r>
      <w:r w:rsidR="00203F72" w:rsidRPr="00515D85">
        <w:t>fails to meet the requisite standard of faimess</w:t>
      </w:r>
      <w:r w:rsidR="00203F72" w:rsidRPr="00515D85">
        <w:t>）。</w:t>
      </w:r>
    </w:p>
    <w:p w14:paraId="503AFCF3" w14:textId="77777777" w:rsidR="00953151" w:rsidRPr="00515D85" w:rsidRDefault="00026D0F" w:rsidP="00D87D91">
      <w:r w:rsidRPr="00515D85">
        <w:t xml:space="preserve">　　</w:t>
      </w:r>
      <w:r w:rsidR="00203F72" w:rsidRPr="00515D85">
        <w:t>依據</w:t>
      </w:r>
      <w:r w:rsidR="00203F72" w:rsidRPr="00515D85">
        <w:t>HRC</w:t>
      </w:r>
      <w:r w:rsidR="00203F72" w:rsidRPr="00515D85">
        <w:t>之觀察，對於加國部長上述強制驅逐出國之裁定，由於</w:t>
      </w:r>
      <w:r w:rsidR="00203F72" w:rsidRPr="00515D85">
        <w:t>Ahani</w:t>
      </w:r>
      <w:r w:rsidR="00203F72" w:rsidRPr="00515D85">
        <w:t>未被賦予行政上再審或覆議之權利，遂造成</w:t>
      </w:r>
      <w:r w:rsidR="00203F72" w:rsidRPr="00515D85">
        <w:t>Ahani</w:t>
      </w:r>
      <w:r w:rsidR="00203F72" w:rsidRPr="00515D85">
        <w:t>無法將其恐會面臨酷刑風險之理由（</w:t>
      </w:r>
      <w:r w:rsidR="00203F72" w:rsidRPr="00515D85">
        <w:t>reasons on the risk of torture</w:t>
      </w:r>
      <w:r w:rsidR="00203F72" w:rsidRPr="00515D85">
        <w:t>），提交給加國之行政部門；此種拒絕程序保障之作法（</w:t>
      </w:r>
      <w:r w:rsidR="00203F72" w:rsidRPr="00515D85">
        <w:t>such a denial of these protections</w:t>
      </w:r>
      <w:r w:rsidR="00203F72" w:rsidRPr="00515D85">
        <w:t>），事實上，係屬於迂迴曲折（</w:t>
      </w:r>
      <w:r w:rsidR="00203F72" w:rsidRPr="00515D85">
        <w:t>circuitous</w:t>
      </w:r>
      <w:r w:rsidR="00203F72" w:rsidRPr="00515D85">
        <w:t>）之模式。</w:t>
      </w:r>
    </w:p>
    <w:p w14:paraId="0206E6D3" w14:textId="77777777" w:rsidR="00953151" w:rsidRPr="00515D85" w:rsidRDefault="00026D0F" w:rsidP="00D87D91">
      <w:r w:rsidRPr="00515D85">
        <w:t xml:space="preserve">　　</w:t>
      </w:r>
      <w:r w:rsidR="00203F72" w:rsidRPr="00515D85">
        <w:t>相對而論，假若同意</w:t>
      </w:r>
      <w:r w:rsidR="00203F72" w:rsidRPr="00515D85">
        <w:t>Ahani</w:t>
      </w:r>
      <w:r w:rsidR="00203F72" w:rsidRPr="00515D85">
        <w:t>提出有利於己之證據，則</w:t>
      </w:r>
      <w:r w:rsidR="00203F72" w:rsidRPr="00515D85">
        <w:t>Ahani</w:t>
      </w:r>
      <w:r w:rsidR="00203F72" w:rsidRPr="00515D85">
        <w:t>有機會能針對加國行政機關所提供不利於己之證據，加以反對，並力陳對於自己有利之觀點；再者，如加國確實履行</w:t>
      </w:r>
      <w:r w:rsidR="00203F72" w:rsidRPr="00515D85">
        <w:t>HRC</w:t>
      </w:r>
      <w:r w:rsidR="00203F72" w:rsidRPr="00515D85">
        <w:t>之暫時性保護措施，如在具備上述程序性之保障措施下，當可令</w:t>
      </w:r>
      <w:r w:rsidR="00203F72" w:rsidRPr="00515D85">
        <w:t>Ahani</w:t>
      </w:r>
      <w:r w:rsidR="00203F72" w:rsidRPr="00515D85">
        <w:t>正確地認知於本案之中，所需之酷刑風險之等級（</w:t>
      </w:r>
      <w:r w:rsidR="00203F72" w:rsidRPr="00515D85">
        <w:t>the author may have been able to make out the necessary level of risk</w:t>
      </w:r>
      <w:r w:rsidR="00203F72" w:rsidRPr="00515D85">
        <w:t>）；由於本案欠缺上述序上之保障作為，導致</w:t>
      </w:r>
      <w:r w:rsidR="00203F72" w:rsidRPr="00515D85">
        <w:t>Ahani</w:t>
      </w:r>
      <w:r w:rsidR="00203F72" w:rsidRPr="00515D85">
        <w:t>無法正確識別究竟酷刑風險須達到何種之層級？始可不被強制驅逐出國回伊朗。</w:t>
      </w:r>
      <w:r w:rsidR="00203F72" w:rsidRPr="00515D85">
        <w:t>HRC</w:t>
      </w:r>
      <w:r w:rsidR="00203F72" w:rsidRPr="00515D85">
        <w:t>認為，加國之作為，係屬於迂曲式之回應。根據</w:t>
      </w:r>
      <w:r w:rsidR="00203F72" w:rsidRPr="00515D85">
        <w:t>HRC</w:t>
      </w:r>
      <w:r w:rsidR="00203F72" w:rsidRPr="00515D85">
        <w:t>之觀點，假若</w:t>
      </w:r>
      <w:r w:rsidR="00203F72" w:rsidRPr="00515D85">
        <w:t>Ahani</w:t>
      </w:r>
      <w:r w:rsidR="00203F72" w:rsidRPr="00515D85">
        <w:t>被遣返回伊朗之後，果真受到伊朗之酷刑，則加國亦應負責此種酷刑之結果。易言之，加國亦違反</w:t>
      </w:r>
      <w:r w:rsidR="00203F72" w:rsidRPr="00515D85">
        <w:t>ICCPR</w:t>
      </w:r>
      <w:hyperlink r:id="rId2095" w:anchor="a7"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7</w:t>
        </w:r>
        <w:r w:rsidR="00203F72" w:rsidRPr="005D3252">
          <w:rPr>
            <w:rStyle w:val="a5"/>
            <w:rFonts w:ascii="Times New Roman" w:eastAsia="新細明體" w:hAnsi="Times New Roman"/>
          </w:rPr>
          <w:t>條</w:t>
        </w:r>
      </w:hyperlink>
      <w:r w:rsidR="00203F72" w:rsidRPr="00515D85">
        <w:t>之要求。</w:t>
      </w:r>
    </w:p>
    <w:p w14:paraId="5DD1D962" w14:textId="77777777" w:rsidR="00953151" w:rsidRPr="00515D85" w:rsidRDefault="00026D0F" w:rsidP="00D87D91">
      <w:r w:rsidRPr="00515D85">
        <w:t xml:space="preserve">　　</w:t>
      </w:r>
      <w:hyperlink r:id="rId2096" w:history="1">
        <w:r w:rsidR="005532CF" w:rsidRPr="005532CF">
          <w:rPr>
            <w:rStyle w:val="a5"/>
            <w:rFonts w:ascii="Times New Roman" w:eastAsia="新細明體" w:hAnsi="Times New Roman"/>
          </w:rPr>
          <w:t>ICCPR</w:t>
        </w:r>
      </w:hyperlink>
      <w:r w:rsidR="00203F72" w:rsidRPr="00515D85">
        <w:t>所保障個人之生命權（</w:t>
      </w:r>
      <w:r w:rsidR="00203F72" w:rsidRPr="00515D85">
        <w:t>the right to life</w:t>
      </w:r>
      <w:r w:rsidR="00203F72" w:rsidRPr="00515D85">
        <w:t>）與免於遭受酷刑之權利（</w:t>
      </w:r>
      <w:r w:rsidR="00203F72" w:rsidRPr="00515D85">
        <w:t>the right to be free from torture</w:t>
      </w:r>
      <w:r w:rsidR="00203F72" w:rsidRPr="00515D85">
        <w:t>），除了締約國不應施加酷刑之外（</w:t>
      </w:r>
      <w:r w:rsidR="00203F72" w:rsidRPr="00515D85">
        <w:t>the State party not only refrain from torture</w:t>
      </w:r>
      <w:r w:rsidR="00203F72" w:rsidRPr="00515D85">
        <w:t>）；此外，締約國更應採取謹慎小心之措施（</w:t>
      </w:r>
      <w:r w:rsidR="00203F72" w:rsidRPr="00515D85">
        <w:t>but take steps of due diligence</w:t>
      </w:r>
      <w:r w:rsidR="00203F72" w:rsidRPr="00515D85">
        <w:t>），避免個人會面臨遭受第</w:t>
      </w:r>
      <w:r w:rsidR="00203F72" w:rsidRPr="00515D85">
        <w:t>3</w:t>
      </w:r>
      <w:r w:rsidR="00203F72" w:rsidRPr="00515D85">
        <w:t>國酷刑之威脅（</w:t>
      </w:r>
      <w:r w:rsidR="00203F72" w:rsidRPr="00515D85">
        <w:t>to avoid a threat to an individual of torture from third parties</w:t>
      </w:r>
      <w:r w:rsidR="00203F72" w:rsidRPr="00515D85">
        <w:t>）</w:t>
      </w:r>
      <w:r w:rsidR="00203F72" w:rsidRPr="00515D85">
        <w:footnoteReference w:id="791"/>
      </w:r>
      <w:r w:rsidR="00203F72" w:rsidRPr="00515D85">
        <w:t>。</w:t>
      </w:r>
    </w:p>
    <w:p w14:paraId="568D6F4D" w14:textId="77777777" w:rsidR="00953151" w:rsidRPr="00515D85" w:rsidRDefault="00026D0F" w:rsidP="00D87D91">
      <w:r w:rsidRPr="00515D85">
        <w:t xml:space="preserve">　　</w:t>
      </w:r>
      <w:r w:rsidR="00203F72" w:rsidRPr="00515D85">
        <w:t>HRC</w:t>
      </w:r>
      <w:r w:rsidR="00203F72" w:rsidRPr="00515D85">
        <w:t>進一步地指出，在</w:t>
      </w:r>
      <w:r w:rsidR="003E2214" w:rsidRPr="00B167C2">
        <w:t>ICCPR</w:t>
      </w:r>
      <w:hyperlink r:id="rId2097"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之涵蓋射程方面，原則上，亦可涵攝加國部長對於</w:t>
      </w:r>
      <w:r w:rsidR="00203F72" w:rsidRPr="00515D85">
        <w:t>Ahani</w:t>
      </w:r>
      <w:r w:rsidR="00203F72" w:rsidRPr="00515D85">
        <w:t>作出強制驅逐出國之裁定，此包括酷刑風險評估之部分（</w:t>
      </w:r>
      <w:r w:rsidR="00203F72" w:rsidRPr="00515D85">
        <w:t>article 13 is in principle applicable to the Minister’s decision on risk of harm</w:t>
      </w:r>
      <w:r w:rsidR="00203F72" w:rsidRPr="00515D85">
        <w:t>）。為何</w:t>
      </w:r>
      <w:r w:rsidR="003E2214" w:rsidRPr="00B167C2">
        <w:t>ICCPR</w:t>
      </w:r>
      <w:hyperlink r:id="rId2098"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之射程，可涵蓋部長之酷刑風險之評估決定？因該部長之裁定，會導致</w:t>
      </w:r>
      <w:r w:rsidR="00203F72" w:rsidRPr="00515D85">
        <w:t>Ahani</w:t>
      </w:r>
      <w:r w:rsidR="00203F72" w:rsidRPr="00515D85">
        <w:t>被強制驅逐出國。</w:t>
      </w:r>
      <w:r w:rsidR="00203F72" w:rsidRPr="00515D85">
        <w:t>HRC</w:t>
      </w:r>
      <w:r w:rsidR="00203F72" w:rsidRPr="00515D85">
        <w:t>指出，假若加國國內之救濟程序，允許</w:t>
      </w:r>
      <w:r w:rsidR="00203F72" w:rsidRPr="00515D85">
        <w:t>Ahani</w:t>
      </w:r>
      <w:r w:rsidR="00203F72" w:rsidRPr="00515D85">
        <w:t>針對其所遭受之強制驅逐出國處分提供有限度之抗辯理由（</w:t>
      </w:r>
      <w:r w:rsidR="00203F72" w:rsidRPr="00515D85">
        <w:t>to provide (limited) reasons against his expulsion</w:t>
      </w:r>
      <w:r w:rsidR="00203F72" w:rsidRPr="00515D85">
        <w:t>），並就本案進行某種程度之覆審（</w:t>
      </w:r>
      <w:r w:rsidR="00203F72" w:rsidRPr="00515D85">
        <w:t>a degree of review</w:t>
      </w:r>
      <w:r w:rsidR="00203F72" w:rsidRPr="00515D85">
        <w:t>）；然而，</w:t>
      </w:r>
      <w:r w:rsidR="00203F72" w:rsidRPr="00515D85">
        <w:t>HRC</w:t>
      </w:r>
      <w:r w:rsidR="00203F72" w:rsidRPr="00515D85">
        <w:t>仍然不認為存在有令人信服之國家安全之理由（</w:t>
      </w:r>
      <w:r w:rsidR="00203F72" w:rsidRPr="00515D85">
        <w:t>compelling reasons of national security</w:t>
      </w:r>
      <w:r w:rsidR="00203F72" w:rsidRPr="00515D85">
        <w:t>），足以令加國豁免其依照</w:t>
      </w:r>
      <w:r w:rsidR="003E2214" w:rsidRPr="00B167C2">
        <w:t>ICCPR</w:t>
      </w:r>
      <w:hyperlink r:id="rId2099"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之規範，所應承擔之責任與義務；依照</w:t>
      </w:r>
      <w:r w:rsidR="003E2214" w:rsidRPr="00B167C2">
        <w:t>ICCPR</w:t>
      </w:r>
      <w:hyperlink r:id="rId2100"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之要求，加國應對</w:t>
      </w:r>
      <w:r w:rsidR="00203F72" w:rsidRPr="00515D85">
        <w:t>Ahani</w:t>
      </w:r>
      <w:r w:rsidR="00203F72" w:rsidRPr="00515D85">
        <w:t>提供程序上之保障（</w:t>
      </w:r>
      <w:r w:rsidR="00203F72" w:rsidRPr="00515D85">
        <w:t>to provide the procedural protection</w:t>
      </w:r>
      <w:r w:rsidR="00203F72" w:rsidRPr="00515D85">
        <w:t>）。</w:t>
      </w:r>
    </w:p>
    <w:p w14:paraId="0AF3C0A1" w14:textId="77777777" w:rsidR="00953151" w:rsidRPr="00515D85" w:rsidRDefault="00026D0F" w:rsidP="00D87D91">
      <w:r w:rsidRPr="00515D85">
        <w:t xml:space="preserve">　　</w:t>
      </w:r>
      <w:r w:rsidR="00203F72" w:rsidRPr="00515D85">
        <w:t>根據</w:t>
      </w:r>
      <w:r w:rsidR="00203F72" w:rsidRPr="00515D85">
        <w:t>HRC</w:t>
      </w:r>
      <w:r w:rsidR="00203F72" w:rsidRPr="00515D85">
        <w:t>之看法與見解，在</w:t>
      </w:r>
      <w:r w:rsidR="00203F72" w:rsidRPr="00515D85">
        <w:t>Suresh</w:t>
      </w:r>
      <w:r w:rsidR="00203F72" w:rsidRPr="00515D85">
        <w:t>案件之中所需之「程序保障」之要件，於</w:t>
      </w:r>
      <w:r w:rsidR="00203F72" w:rsidRPr="00515D85">
        <w:t>Ahani</w:t>
      </w:r>
      <w:r w:rsidR="00203F72" w:rsidRPr="00515D85">
        <w:t>之案件中，加國卻未向</w:t>
      </w:r>
      <w:r w:rsidR="00203F72" w:rsidRPr="00515D85">
        <w:t>Ahani</w:t>
      </w:r>
      <w:r w:rsidR="00203F72" w:rsidRPr="00515D85">
        <w:t>提供之。為何</w:t>
      </w:r>
      <w:r w:rsidR="00203F72" w:rsidRPr="00515D85">
        <w:t>HRC</w:t>
      </w:r>
      <w:r w:rsidR="00203F72" w:rsidRPr="00515D85">
        <w:t>如此重</w:t>
      </w:r>
      <w:r w:rsidR="003E240E">
        <w:t>視</w:t>
      </w:r>
      <w:r w:rsidR="00203F72" w:rsidRPr="00515D85">
        <w:t>與聚焦於「程序保障」之問題，因之所以需要「程序保障」，主要之基，係起因於</w:t>
      </w:r>
      <w:r w:rsidR="00203F72" w:rsidRPr="00515D85">
        <w:t>Ahani</w:t>
      </w:r>
      <w:r w:rsidR="00203F72" w:rsidRPr="00515D85">
        <w:t>對於其有可能遭受酷刑（傷害）之風險，無法作出正確之辨識（</w:t>
      </w:r>
      <w:r w:rsidR="00203F72" w:rsidRPr="00515D85">
        <w:t>on the basis that he had not made out a risk of harm</w:t>
      </w:r>
      <w:r w:rsidR="00203F72" w:rsidRPr="00515D85">
        <w:t>）。依據</w:t>
      </w:r>
      <w:r w:rsidR="003E2214" w:rsidRPr="00B167C2">
        <w:t>ICCPR</w:t>
      </w:r>
      <w:hyperlink r:id="rId2101"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之規範要件，本條允許</w:t>
      </w:r>
      <w:r w:rsidR="00203F72" w:rsidRPr="00515D85">
        <w:t>Ahani</w:t>
      </w:r>
      <w:r w:rsidR="00203F72" w:rsidRPr="00515D85">
        <w:t>針對於加國行政機關（部長）所裁處之強制驅逐出國回伊朗之處分（命令），提出有利於己之證據（理由）（</w:t>
      </w:r>
      <w:r w:rsidR="00203F72" w:rsidRPr="00515D85">
        <w:t>article 13 to allow the author to submit reasons</w:t>
      </w:r>
      <w:r w:rsidR="00203F72" w:rsidRPr="00515D85">
        <w:t>），俾利與上述之強制驅逐出國處分進行抗辯；同時，能令本案受到擁有合法權限之機關之審查；受驅逐者並能於此一審理機關之前，充份完整地提交有利於己之證據（</w:t>
      </w:r>
      <w:r w:rsidR="00203F72" w:rsidRPr="00515D85">
        <w:t>to have such complete submissions</w:t>
      </w:r>
      <w:r w:rsidR="00203F72" w:rsidRPr="00515D85">
        <w:t>）。</w:t>
      </w:r>
    </w:p>
    <w:p w14:paraId="4431AA4B" w14:textId="77777777" w:rsidR="006879EB" w:rsidRPr="00515D85" w:rsidRDefault="00026D0F" w:rsidP="00D87D91">
      <w:r w:rsidRPr="00515D85">
        <w:t xml:space="preserve">　　</w:t>
      </w:r>
      <w:r w:rsidR="00203F72" w:rsidRPr="00515D85">
        <w:t>此外，遭受強制驅逐出國者並被賦予權利，能對提交於上述審理機關之證據與事實，有機會陳述意見（</w:t>
      </w:r>
      <w:r w:rsidR="00203F72" w:rsidRPr="00515D85">
        <w:t>a possibility to comment on the material presented to that authority</w:t>
      </w:r>
      <w:r w:rsidR="00203F72" w:rsidRPr="00515D85">
        <w:t>）。依據</w:t>
      </w:r>
      <w:r w:rsidR="00203F72" w:rsidRPr="00515D85">
        <w:t>HRC</w:t>
      </w:r>
      <w:r w:rsidR="00203F72" w:rsidRPr="00515D85">
        <w:t>之上述意見，從</w:t>
      </w:r>
      <w:r w:rsidR="003E2214" w:rsidRPr="00B167C2">
        <w:t>ICCPR</w:t>
      </w:r>
      <w:hyperlink r:id="rId2102"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之中，應可推導出受強制驅逐出國者享有聽證權，此包括：提交有利於己之證據，及陳述意見。此種之聽證權，屬於「程序保障」之作為。</w:t>
      </w:r>
      <w:r w:rsidR="00203F72" w:rsidRPr="00515D85">
        <w:t>HRC</w:t>
      </w:r>
      <w:r w:rsidR="00203F72" w:rsidRPr="00515D85">
        <w:t>指出，於</w:t>
      </w:r>
      <w:r w:rsidR="003E2214" w:rsidRPr="00B167C2">
        <w:t>ICCPR</w:t>
      </w:r>
      <w:hyperlink r:id="rId2103"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之中，本條可直接地適用於</w:t>
      </w:r>
      <w:r w:rsidR="00203F72" w:rsidRPr="00515D85">
        <w:t>Ahani</w:t>
      </w:r>
      <w:r w:rsidR="00203F72" w:rsidRPr="00515D85">
        <w:t>之案件（</w:t>
      </w:r>
      <w:r w:rsidR="00203F72" w:rsidRPr="00515D85">
        <w:t>article 13 speaks directly to the situation in the present case</w:t>
      </w:r>
      <w:r w:rsidR="00203F72" w:rsidRPr="00515D85">
        <w:t>）；此外，</w:t>
      </w:r>
      <w:r w:rsidR="00203F72" w:rsidRPr="00515D85">
        <w:t>ICCPR</w:t>
      </w:r>
      <w:r w:rsidR="00410BD1">
        <w:rPr>
          <w:rFonts w:hint="eastAsia"/>
        </w:rPr>
        <w:t xml:space="preserve"> </w:t>
      </w:r>
      <w:hyperlink r:id="rId2104"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所要求之「正當程序」（</w:t>
      </w:r>
      <w:r w:rsidR="00203F72" w:rsidRPr="00515D85">
        <w:t>due process</w:t>
      </w:r>
      <w:r w:rsidR="00203F72" w:rsidRPr="00515D85">
        <w:t>）之原則（精神），亦可被適用於本案之中；但，</w:t>
      </w:r>
      <w:r w:rsidR="00203F72" w:rsidRPr="00515D85">
        <w:t>HRC</w:t>
      </w:r>
      <w:r w:rsidR="00203F72" w:rsidRPr="00515D85">
        <w:t>並不贊同直接將</w:t>
      </w:r>
      <w:r w:rsidR="00203F72" w:rsidRPr="00515D85">
        <w:t>ICCPR</w:t>
      </w:r>
      <w:r w:rsidR="00410BD1">
        <w:rPr>
          <w:rFonts w:hint="eastAsia"/>
        </w:rPr>
        <w:t xml:space="preserve"> </w:t>
      </w:r>
      <w:hyperlink r:id="rId2105"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適用於本案；換言之，</w:t>
      </w:r>
      <w:r w:rsidR="00203F72" w:rsidRPr="00515D85">
        <w:t>HRC</w:t>
      </w:r>
      <w:r w:rsidR="00203F72" w:rsidRPr="00515D85">
        <w:t>認為，加國違反</w:t>
      </w:r>
      <w:r w:rsidR="003E2214" w:rsidRPr="00B167C2">
        <w:t>ICCPR</w:t>
      </w:r>
      <w:hyperlink r:id="rId2106"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並同時違反</w:t>
      </w:r>
      <w:r w:rsidR="00203F72" w:rsidRPr="00515D85">
        <w:t>ICCP</w:t>
      </w:r>
      <w:r w:rsidR="00746C75" w:rsidRPr="00746C75">
        <w:t xml:space="preserve"> </w:t>
      </w:r>
      <w:r w:rsidR="00746C75" w:rsidRPr="00515D85">
        <w:t>R</w:t>
      </w:r>
      <w:hyperlink r:id="rId2107"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，但不違反</w:t>
      </w:r>
      <w:r w:rsidR="00203F72" w:rsidRPr="00515D85">
        <w:t>ICCPR</w:t>
      </w:r>
      <w:r w:rsidR="00410BD1">
        <w:rPr>
          <w:rFonts w:hint="eastAsia"/>
        </w:rPr>
        <w:t xml:space="preserve"> </w:t>
      </w:r>
      <w:hyperlink r:id="rId2108"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之規範。</w:t>
      </w:r>
    </w:p>
    <w:p w14:paraId="405ED5DD" w14:textId="77777777" w:rsidR="00953151" w:rsidRPr="00515D85" w:rsidRDefault="00026D0F" w:rsidP="00D87D91">
      <w:r w:rsidRPr="00515D85">
        <w:t xml:space="preserve">　　</w:t>
      </w:r>
      <w:r w:rsidR="00203F72" w:rsidRPr="00515D85">
        <w:t>HRC</w:t>
      </w:r>
      <w:r w:rsidR="00203F72" w:rsidRPr="00515D85">
        <w:t>亦指出，由於加國對</w:t>
      </w:r>
      <w:r w:rsidR="00203F72" w:rsidRPr="00515D85">
        <w:t>Ahani</w:t>
      </w:r>
      <w:r w:rsidR="00203F72" w:rsidRPr="00515D85">
        <w:t>作成強制驅逐出國處分之程序，存有法律上之缺陷（</w:t>
      </w:r>
      <w:r w:rsidR="00203F72" w:rsidRPr="00515D85">
        <w:t>the process leading to the author’s expulsion was deficient</w:t>
      </w:r>
      <w:r w:rsidR="00203F72" w:rsidRPr="00515D85">
        <w:t>）；在此種情境之下，</w:t>
      </w:r>
      <w:r w:rsidR="00203F72" w:rsidRPr="00515D85">
        <w:t>HRC</w:t>
      </w:r>
      <w:r w:rsidR="00203F72" w:rsidRPr="00515D85">
        <w:t>無須進一步審查</w:t>
      </w:r>
      <w:r w:rsidR="00203F72" w:rsidRPr="00515D85">
        <w:t>Ahani</w:t>
      </w:r>
      <w:r w:rsidR="00203F72" w:rsidRPr="00515D85">
        <w:t>所面臨遭受酷刑風險之程度（等級）為何（</w:t>
      </w:r>
      <w:r w:rsidR="00203F72" w:rsidRPr="00515D85">
        <w:t>does not need to decide the extent of the risk of torture</w:t>
      </w:r>
      <w:r w:rsidR="00203F72" w:rsidRPr="00515D85">
        <w:t>），此外，</w:t>
      </w:r>
      <w:r w:rsidR="00203F72" w:rsidRPr="00515D85">
        <w:t>HRC</w:t>
      </w:r>
      <w:r w:rsidR="00203F72" w:rsidRPr="00515D85">
        <w:t>亦無須進一步地決定（判斷）</w:t>
      </w:r>
      <w:r w:rsidR="00203F72" w:rsidRPr="00515D85">
        <w:t>Ahani</w:t>
      </w:r>
      <w:r w:rsidR="00203F72" w:rsidRPr="00515D85">
        <w:t>於被遣返回伊朗之後，究竟是否果真受到酷刑或其他方式之虐待（</w:t>
      </w:r>
      <w:r w:rsidR="00203F72" w:rsidRPr="00515D85">
        <w:t>other ill-treatment</w:t>
      </w:r>
      <w:r w:rsidR="00203F72" w:rsidRPr="00515D85">
        <w:t>）</w:t>
      </w:r>
      <w:r w:rsidR="00203F72" w:rsidRPr="00515D85">
        <w:footnoteReference w:id="792"/>
      </w:r>
      <w:r w:rsidR="00203F72" w:rsidRPr="00515D85">
        <w:t>。</w:t>
      </w:r>
    </w:p>
    <w:p w14:paraId="113F583A" w14:textId="77777777" w:rsidR="00953151" w:rsidRPr="00515D85" w:rsidRDefault="00026D0F" w:rsidP="00D87D91">
      <w:r w:rsidRPr="00515D85">
        <w:t xml:space="preserve">　　</w:t>
      </w:r>
      <w:r w:rsidR="00203F72" w:rsidRPr="00515D85">
        <w:t>在</w:t>
      </w:r>
      <w:r w:rsidR="00203F72" w:rsidRPr="00515D85">
        <w:t>Suresh</w:t>
      </w:r>
      <w:r w:rsidR="00203F72" w:rsidRPr="00515D85">
        <w:t>案件之中，加國最高法院當作出重大之決定，此一決定之內容，亦受到</w:t>
      </w:r>
      <w:r w:rsidR="00203F72" w:rsidRPr="00515D85">
        <w:t>HRC</w:t>
      </w:r>
      <w:r w:rsidR="00203F72" w:rsidRPr="00515D85">
        <w:t>之特別關注；加國最高法院於</w:t>
      </w:r>
      <w:r w:rsidR="00203F72" w:rsidRPr="00515D85">
        <w:t>Suresh</w:t>
      </w:r>
      <w:r w:rsidR="00203F72" w:rsidRPr="00515D85">
        <w:t>案之中指出，對於外國人所裁處之強制驅逐出國處分，即使存有實質性之酷刑風險（</w:t>
      </w:r>
      <w:r w:rsidR="00203F72" w:rsidRPr="00515D85">
        <w:t>where a substantial risk of torture had been found to exist</w:t>
      </w:r>
      <w:r w:rsidR="00203F72" w:rsidRPr="00515D85">
        <w:t>），並非任何一切之情況下，須需被排除而中止執行（</w:t>
      </w:r>
      <w:r w:rsidR="00203F72" w:rsidRPr="00515D85">
        <w:t>was not necessarily precluded in all circumstances</w:t>
      </w:r>
      <w:r w:rsidR="00203F72" w:rsidRPr="00515D85">
        <w:t>）；換言之，依據加國最高法院之見解，在若干特殊之情境下，即使存有實質性之酷刑風險，仍可執行強制驅逐出國處分（命令）；不過，</w:t>
      </w:r>
      <w:r w:rsidR="00203F72" w:rsidRPr="00515D85">
        <w:t>HRC</w:t>
      </w:r>
      <w:r w:rsidR="00203F72" w:rsidRPr="00515D85">
        <w:t>卻不認同上述加國最高法院之看法。</w:t>
      </w:r>
    </w:p>
    <w:p w14:paraId="462873D9" w14:textId="77777777" w:rsidR="00953151" w:rsidRPr="00515D85" w:rsidRDefault="00026D0F" w:rsidP="00D87D91">
      <w:r w:rsidRPr="00515D85">
        <w:t xml:space="preserve">　　</w:t>
      </w:r>
      <w:r w:rsidR="00203F72" w:rsidRPr="00515D85">
        <w:t>HRC</w:t>
      </w:r>
      <w:r w:rsidR="00203F72" w:rsidRPr="00515D85">
        <w:t>指出，在</w:t>
      </w:r>
      <w:r w:rsidR="00203F72" w:rsidRPr="00515D85">
        <w:t>Ahani</w:t>
      </w:r>
      <w:r w:rsidR="00203F72" w:rsidRPr="00515D85">
        <w:t>案件之中，究竟是否存有實質性之酷刑風險之問題，不論是加國國內之各級法院，或是</w:t>
      </w:r>
      <w:r w:rsidR="00203F72" w:rsidRPr="00515D85">
        <w:t>HRC</w:t>
      </w:r>
      <w:r w:rsidR="00203F72" w:rsidRPr="00515D85">
        <w:t>，均未作出判斷；針對於此一議題，</w:t>
      </w:r>
      <w:r w:rsidR="00203F72" w:rsidRPr="00515D85">
        <w:t>HRC</w:t>
      </w:r>
      <w:r w:rsidR="00203F72" w:rsidRPr="00515D85">
        <w:t>無意多所著墨；然而，</w:t>
      </w:r>
      <w:r w:rsidR="00203F72" w:rsidRPr="00515D85">
        <w:t>HRC</w:t>
      </w:r>
      <w:r w:rsidR="00203F72" w:rsidRPr="00515D85">
        <w:t>非常關注之焦點，係在於禁止使用酷刑（</w:t>
      </w:r>
      <w:r w:rsidR="00203F72" w:rsidRPr="00515D85">
        <w:t>the prohibition on torture</w:t>
      </w:r>
      <w:r w:rsidR="00203F72" w:rsidRPr="00515D85">
        <w:t>）乙事，此項之原則，亦明白地規範於</w:t>
      </w:r>
      <w:r w:rsidR="00203F72" w:rsidRPr="00515D85">
        <w:t>ICCP</w:t>
      </w:r>
      <w:r w:rsidR="00746C75" w:rsidRPr="00746C75">
        <w:t xml:space="preserve"> </w:t>
      </w:r>
      <w:r w:rsidR="00746C75" w:rsidRPr="00515D85">
        <w:t>R</w:t>
      </w:r>
      <w:hyperlink r:id="rId2109"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之中；</w:t>
      </w:r>
      <w:r w:rsidR="00203F72" w:rsidRPr="00515D85">
        <w:t>HRC</w:t>
      </w:r>
      <w:r w:rsidR="00203F72" w:rsidRPr="00515D85">
        <w:t>指出，有關於禁止使用酷刑之原理（則），它具有絕對性（</w:t>
      </w:r>
      <w:r w:rsidR="00203F72" w:rsidRPr="00515D85">
        <w:t>an absolute one</w:t>
      </w:r>
      <w:r w:rsidR="00203F72" w:rsidRPr="00515D85">
        <w:t>），它屬於絕對性之規範，不容加國最高法院作反面之解釋（</w:t>
      </w:r>
      <w:r w:rsidR="00203F72" w:rsidRPr="00515D85">
        <w:t>is not subject to countervailing considerations</w:t>
      </w:r>
      <w:r w:rsidR="00203F72" w:rsidRPr="00515D85">
        <w:t>）。是以，加國最高法院於上述</w:t>
      </w:r>
      <w:r w:rsidR="00203F72" w:rsidRPr="00515D85">
        <w:t>Suresh</w:t>
      </w:r>
      <w:r w:rsidR="00203F72" w:rsidRPr="00515D85">
        <w:t>案件之中，對於禁止使用酷刑之理解與見解，與</w:t>
      </w:r>
      <w:r w:rsidR="00203F72" w:rsidRPr="00515D85">
        <w:t>HRC</w:t>
      </w:r>
      <w:r w:rsidR="00203F72" w:rsidRPr="00515D85">
        <w:t>之看法，存有差異性。加國最高法院之見解，違反</w:t>
      </w:r>
      <w:r w:rsidR="003E2214" w:rsidRPr="00B167C2">
        <w:t>ICCPR</w:t>
      </w:r>
      <w:hyperlink r:id="rId2110"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及</w:t>
      </w:r>
      <w:hyperlink r:id="rId2111"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之規範，係屬於違法之意見。</w:t>
      </w:r>
    </w:p>
    <w:p w14:paraId="18F13050" w14:textId="77777777" w:rsidR="00953151" w:rsidRPr="00515D85" w:rsidRDefault="00026D0F" w:rsidP="00D87D91">
      <w:r w:rsidRPr="00515D85">
        <w:t xml:space="preserve">　　</w:t>
      </w:r>
      <w:r w:rsidR="00203F72" w:rsidRPr="00515D85">
        <w:t>在</w:t>
      </w:r>
      <w:r w:rsidR="00203F72" w:rsidRPr="00515D85">
        <w:t>HRC</w:t>
      </w:r>
      <w:r w:rsidR="00203F72" w:rsidRPr="00515D85">
        <w:t>裁決意見書之中，</w:t>
      </w:r>
      <w:r w:rsidR="00203F72" w:rsidRPr="00515D85">
        <w:t>HRC</w:t>
      </w:r>
      <w:r w:rsidR="00203F72" w:rsidRPr="00515D85">
        <w:t>依據</w:t>
      </w:r>
      <w:r w:rsidR="00203F72" w:rsidRPr="00515D85">
        <w:t>OPICCPR</w:t>
      </w:r>
      <w:r w:rsidR="00203F72" w:rsidRPr="00515D85">
        <w:t>第</w:t>
      </w:r>
      <w:r w:rsidR="00203F72" w:rsidRPr="00515D85">
        <w:t>5</w:t>
      </w:r>
      <w:r w:rsidR="00203F72" w:rsidRPr="00515D85">
        <w:t>條第</w:t>
      </w:r>
      <w:r w:rsidR="00203F72" w:rsidRPr="00515D85">
        <w:t>4</w:t>
      </w:r>
      <w:r w:rsidR="00203F72" w:rsidRPr="00515D85">
        <w:t>項之規範，就其所審理之事實與證據，認為加國實已違反</w:t>
      </w:r>
      <w:r w:rsidR="00203F72" w:rsidRPr="00515D85">
        <w:t>ICCP</w:t>
      </w:r>
      <w:r w:rsidR="00746C75" w:rsidRPr="00746C75">
        <w:t xml:space="preserve"> </w:t>
      </w:r>
      <w:r w:rsidR="00746C75" w:rsidRPr="00515D85">
        <w:t>R</w:t>
      </w:r>
      <w:hyperlink r:id="rId2112"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w:t>
      </w:r>
      <w:hyperlink r:id="rId2113" w:anchor="a9" w:history="1">
        <w:r w:rsidR="00410BD1" w:rsidRPr="00AD010C">
          <w:rPr>
            <w:rStyle w:val="a5"/>
            <w:rFonts w:ascii="Times New Roman" w:hAnsi="Times New Roman"/>
          </w:rPr>
          <w:t>第</w:t>
        </w:r>
        <w:r w:rsidR="00410BD1" w:rsidRPr="00AD010C">
          <w:rPr>
            <w:rStyle w:val="a5"/>
            <w:rFonts w:ascii="Times New Roman" w:hAnsi="Times New Roman"/>
          </w:rPr>
          <w:t>9</w:t>
        </w:r>
        <w:r w:rsidR="00410BD1" w:rsidRPr="00AD010C">
          <w:rPr>
            <w:rStyle w:val="a5"/>
            <w:rFonts w:ascii="Times New Roman" w:hAnsi="Times New Roman"/>
          </w:rPr>
          <w:t>條</w:t>
        </w:r>
      </w:hyperlink>
      <w:r w:rsidR="00203F72" w:rsidRPr="00515D85">
        <w:t>第</w:t>
      </w:r>
      <w:r w:rsidR="00203F72" w:rsidRPr="00515D85">
        <w:t>4</w:t>
      </w:r>
      <w:r w:rsidR="00203F72" w:rsidRPr="00515D85">
        <w:t>項及</w:t>
      </w:r>
      <w:hyperlink r:id="rId2114" w:anchor="a13" w:history="1">
        <w:r w:rsidR="005D3252" w:rsidRPr="00E07281">
          <w:rPr>
            <w:rStyle w:val="a5"/>
            <w:rFonts w:ascii="Times New Roman" w:hAnsi="Times New Roman"/>
          </w:rPr>
          <w:t>第</w:t>
        </w:r>
        <w:r w:rsidR="005D3252" w:rsidRPr="00E07281">
          <w:rPr>
            <w:rStyle w:val="a5"/>
            <w:rFonts w:ascii="Times New Roman" w:hAnsi="Times New Roman"/>
          </w:rPr>
          <w:t>13</w:t>
        </w:r>
        <w:r w:rsidR="005D3252" w:rsidRPr="00E07281">
          <w:rPr>
            <w:rStyle w:val="a5"/>
            <w:rFonts w:ascii="Times New Roman" w:hAnsi="Times New Roman"/>
          </w:rPr>
          <w:t>條</w:t>
        </w:r>
      </w:hyperlink>
      <w:r w:rsidR="00203F72" w:rsidRPr="00515D85">
        <w:t>之要求；其中，加國違反</w:t>
      </w:r>
      <w:r w:rsidR="00203F72" w:rsidRPr="00515D85">
        <w:t>ICCP</w:t>
      </w:r>
      <w:r w:rsidR="00746C75" w:rsidRPr="00515D85">
        <w:t>R</w:t>
      </w:r>
      <w:hyperlink r:id="rId2115"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與</w:t>
      </w:r>
      <w:hyperlink r:id="rId2116" w:anchor="a13" w:history="1">
        <w:r w:rsidR="00746C75" w:rsidRPr="00E07281">
          <w:rPr>
            <w:rStyle w:val="a5"/>
            <w:rFonts w:ascii="Times New Roman" w:hAnsi="Times New Roman"/>
          </w:rPr>
          <w:t>第</w:t>
        </w:r>
        <w:r w:rsidR="00746C75" w:rsidRPr="00E07281">
          <w:rPr>
            <w:rStyle w:val="a5"/>
            <w:rFonts w:ascii="Times New Roman" w:hAnsi="Times New Roman"/>
          </w:rPr>
          <w:t>13</w:t>
        </w:r>
        <w:r w:rsidR="00746C75" w:rsidRPr="00E07281">
          <w:rPr>
            <w:rStyle w:val="a5"/>
            <w:rFonts w:ascii="Times New Roman" w:hAnsi="Times New Roman"/>
          </w:rPr>
          <w:t>條</w:t>
        </w:r>
      </w:hyperlink>
      <w:r w:rsidR="00203F72" w:rsidRPr="00515D85">
        <w:t>之情事，具有關聯性（</w:t>
      </w:r>
      <w:r w:rsidR="00203F72" w:rsidRPr="00515D85">
        <w:t>violations by Canada of article 13 in conjunction with article 7</w:t>
      </w:r>
      <w:r w:rsidR="00203F72" w:rsidRPr="00515D85">
        <w:t>）。</w:t>
      </w:r>
      <w:r w:rsidR="00203F72" w:rsidRPr="00515D85">
        <w:t>HRC</w:t>
      </w:r>
      <w:r w:rsidR="00203F72" w:rsidRPr="00515D85">
        <w:t>並再次重覆（申）其裁判之結果，亦即，加國拒絕遵守</w:t>
      </w:r>
      <w:r w:rsidR="00203F72" w:rsidRPr="00515D85">
        <w:t>HRC</w:t>
      </w:r>
      <w:r w:rsidR="00203F72" w:rsidRPr="00515D85">
        <w:t>「暫時性保護措施」之指令，於</w:t>
      </w:r>
      <w:r w:rsidR="00203F72" w:rsidRPr="00515D85">
        <w:t>HRC</w:t>
      </w:r>
      <w:r w:rsidR="00203F72" w:rsidRPr="00515D85">
        <w:t>在針對於</w:t>
      </w:r>
      <w:r w:rsidR="00203F72" w:rsidRPr="00515D85">
        <w:t>Ahani</w:t>
      </w:r>
      <w:r w:rsidR="00203F72" w:rsidRPr="00515D85">
        <w:t>案件，尚未作出終局裁判之前，即逕行將</w:t>
      </w:r>
      <w:r w:rsidR="00203F72" w:rsidRPr="00515D85">
        <w:t>Ahani</w:t>
      </w:r>
      <w:r w:rsidR="00203F72" w:rsidRPr="00515D85">
        <w:t>強制驅逐出國回伊朗，已違反加國根據</w:t>
      </w:r>
      <w:r w:rsidR="00203F72" w:rsidRPr="00515D85">
        <w:t>OPICCPR</w:t>
      </w:r>
      <w:r w:rsidR="00203F72" w:rsidRPr="00515D85">
        <w:t>所應承擔之法律義務（</w:t>
      </w:r>
      <w:r w:rsidR="00203F72" w:rsidRPr="00515D85">
        <w:t>breached its obligations under the Optional Protocol</w:t>
      </w:r>
      <w:r w:rsidR="00203F72" w:rsidRPr="00515D85">
        <w:t>）。</w:t>
      </w:r>
    </w:p>
    <w:p w14:paraId="77D736CA" w14:textId="77777777" w:rsidR="00953151" w:rsidRPr="00515D85" w:rsidRDefault="00026D0F" w:rsidP="00D87D91">
      <w:r w:rsidRPr="00515D85">
        <w:t xml:space="preserve">　　</w:t>
      </w:r>
      <w:r w:rsidR="00203F72" w:rsidRPr="00515D85">
        <w:t>依據</w:t>
      </w:r>
      <w:r w:rsidR="00203F72" w:rsidRPr="00515D85">
        <w:t>ICCPR</w:t>
      </w:r>
      <w:hyperlink r:id="rId2117" w:anchor="a2" w:history="1">
        <w:r w:rsidR="00203F72" w:rsidRPr="00746C75">
          <w:rPr>
            <w:rStyle w:val="a5"/>
            <w:rFonts w:ascii="Times New Roman" w:eastAsia="新細明體" w:hAnsi="Times New Roman"/>
          </w:rPr>
          <w:t>第</w:t>
        </w:r>
        <w:r w:rsidR="00203F72" w:rsidRPr="00746C75">
          <w:rPr>
            <w:rStyle w:val="a5"/>
            <w:rFonts w:ascii="Times New Roman" w:eastAsia="新細明體" w:hAnsi="Times New Roman"/>
          </w:rPr>
          <w:t>2</w:t>
        </w:r>
        <w:r w:rsidR="00203F72" w:rsidRPr="00746C75">
          <w:rPr>
            <w:rStyle w:val="a5"/>
            <w:rFonts w:ascii="Times New Roman" w:eastAsia="新細明體" w:hAnsi="Times New Roman"/>
          </w:rPr>
          <w:t>條</w:t>
        </w:r>
      </w:hyperlink>
      <w:r w:rsidR="00203F72" w:rsidRPr="00515D85">
        <w:t>3(a)</w:t>
      </w:r>
      <w:r w:rsidR="00203F72" w:rsidRPr="00515D85">
        <w:t>之規定，加拿大應對於</w:t>
      </w:r>
      <w:r w:rsidR="00203F72" w:rsidRPr="00515D85">
        <w:t>Ahani</w:t>
      </w:r>
      <w:r w:rsidR="00203F72" w:rsidRPr="00515D85">
        <w:t>提供有效之補救作為（</w:t>
      </w:r>
      <w:r w:rsidR="00203F72" w:rsidRPr="00515D85">
        <w:t>an effective remedy</w:t>
      </w:r>
      <w:r w:rsidR="00203F72" w:rsidRPr="00515D85">
        <w:t>），包括補償金（</w:t>
      </w:r>
      <w:r w:rsidR="00203F72" w:rsidRPr="00515D85">
        <w:t>including compensation</w:t>
      </w:r>
      <w:r w:rsidR="00203F72" w:rsidRPr="00515D85">
        <w:t>）</w:t>
      </w:r>
      <w:r w:rsidR="00203F72" w:rsidRPr="00515D85">
        <w:footnoteReference w:id="793"/>
      </w:r>
      <w:r w:rsidR="00203F72" w:rsidRPr="00515D85">
        <w:t>；</w:t>
      </w:r>
      <w:r w:rsidR="00203F72" w:rsidRPr="00515D85">
        <w:t>HRC</w:t>
      </w:r>
      <w:r w:rsidR="00203F72" w:rsidRPr="00515D85">
        <w:t>指出，由於加國於強制驅逐</w:t>
      </w:r>
      <w:r w:rsidR="00203F72" w:rsidRPr="00515D85">
        <w:t>Ahani</w:t>
      </w:r>
      <w:r w:rsidR="00203F72" w:rsidRPr="00515D85">
        <w:t>出國之前，未妥善地評估</w:t>
      </w:r>
      <w:r w:rsidR="00203F72" w:rsidRPr="00515D85">
        <w:t>Ahani</w:t>
      </w:r>
      <w:r w:rsidR="00203F72" w:rsidRPr="00515D85">
        <w:t>回伊朗之後，究意是否存有實質性之酷刑風險，而貿然地執行上述之強制驅逐出國處分；有鑑於此，</w:t>
      </w:r>
      <w:r w:rsidR="00203F72" w:rsidRPr="00515D85">
        <w:t>HRC</w:t>
      </w:r>
      <w:r w:rsidR="00203F72" w:rsidRPr="00515D85">
        <w:t>要求加國須承擔以下之責任：</w:t>
      </w:r>
      <w:r w:rsidR="00203F72" w:rsidRPr="00515D85">
        <w:t>1.</w:t>
      </w:r>
      <w:r w:rsidR="00203F72" w:rsidRPr="00515D85">
        <w:t>假若</w:t>
      </w:r>
      <w:r w:rsidR="00203F72" w:rsidRPr="00515D85">
        <w:t>Ahani</w:t>
      </w:r>
      <w:r w:rsidR="00203F72" w:rsidRPr="00515D85">
        <w:t>被強制驅逐出國回伊朗之後，果真受到伊朗之酷刑，則加國須對</w:t>
      </w:r>
      <w:r w:rsidR="00203F72" w:rsidRPr="00515D85">
        <w:t>Ahani</w:t>
      </w:r>
      <w:r w:rsidR="00203F72" w:rsidRPr="00515D85">
        <w:t>進行賠償（</w:t>
      </w:r>
      <w:r w:rsidR="00203F72" w:rsidRPr="00515D85">
        <w:t>to make reparation to the author</w:t>
      </w:r>
      <w:r w:rsidR="00203F72" w:rsidRPr="00515D85">
        <w:t>）；</w:t>
      </w:r>
      <w:r w:rsidR="00203F72" w:rsidRPr="00515D85">
        <w:t>2.</w:t>
      </w:r>
      <w:r w:rsidR="00203F72" w:rsidRPr="00515D85">
        <w:t>加國須採行適切的步驟，確保</w:t>
      </w:r>
      <w:r w:rsidR="00203F72" w:rsidRPr="00515D85">
        <w:t>Ahani</w:t>
      </w:r>
      <w:r w:rsidR="00203F72" w:rsidRPr="00515D85">
        <w:t>於未來之時程，不會因其之前曾處在加國，及被加遣返回伊朗之作為，而遭致酷刑之待遇（</w:t>
      </w:r>
      <w:r w:rsidR="00203F72" w:rsidRPr="00515D85">
        <w:t>to ensure that the author is not, in the future, subject to torture as a result of the events of his presence in, and removal from, the State Party</w:t>
      </w:r>
      <w:r w:rsidR="00203F72" w:rsidRPr="00515D85">
        <w:t>）。</w:t>
      </w:r>
    </w:p>
    <w:p w14:paraId="165DD966" w14:textId="77777777" w:rsidR="00953151" w:rsidRDefault="00026D0F" w:rsidP="00D87D91">
      <w:r w:rsidRPr="00515D85">
        <w:t xml:space="preserve">　　</w:t>
      </w:r>
      <w:r w:rsidR="00203F72" w:rsidRPr="00515D85">
        <w:t>HRC</w:t>
      </w:r>
      <w:r w:rsidR="00203F72" w:rsidRPr="00515D85">
        <w:t>並要求加國須遵守</w:t>
      </w:r>
      <w:r w:rsidR="00203F72" w:rsidRPr="00515D85">
        <w:t>ICCP</w:t>
      </w:r>
      <w:r w:rsidR="00746C75" w:rsidRPr="00515D85">
        <w:t>R</w:t>
      </w:r>
      <w:hyperlink r:id="rId2118" w:anchor="a2" w:history="1">
        <w:r w:rsidR="00746C75" w:rsidRPr="00746C75">
          <w:rPr>
            <w:rStyle w:val="a5"/>
            <w:rFonts w:ascii="Times New Roman" w:eastAsia="新細明體" w:hAnsi="Times New Roman"/>
          </w:rPr>
          <w:t>第</w:t>
        </w:r>
        <w:r w:rsidR="00746C75" w:rsidRPr="00746C75">
          <w:rPr>
            <w:rStyle w:val="a5"/>
            <w:rFonts w:ascii="Times New Roman" w:eastAsia="新細明體" w:hAnsi="Times New Roman"/>
          </w:rPr>
          <w:t>2</w:t>
        </w:r>
        <w:r w:rsidR="00746C75" w:rsidRPr="00746C75">
          <w:rPr>
            <w:rStyle w:val="a5"/>
            <w:rFonts w:ascii="Times New Roman" w:eastAsia="新細明體" w:hAnsi="Times New Roman"/>
          </w:rPr>
          <w:t>條</w:t>
        </w:r>
      </w:hyperlink>
      <w:r w:rsidR="00203F72" w:rsidRPr="00515D85">
        <w:t>之要求，對於處在加國境內，及受到加國管轄之所有個人；加國應確保此等人士於</w:t>
      </w:r>
      <w:r w:rsidR="00203F72" w:rsidRPr="00515D85">
        <w:t>ICCPR</w:t>
      </w:r>
      <w:r w:rsidR="00203F72" w:rsidRPr="00515D85">
        <w:t>之中所享有之權利；因加國已違反</w:t>
      </w:r>
      <w:hyperlink r:id="rId2119" w:history="1">
        <w:r w:rsidR="005532CF" w:rsidRPr="005532CF">
          <w:rPr>
            <w:rStyle w:val="a5"/>
            <w:rFonts w:ascii="Times New Roman" w:eastAsia="新細明體" w:hAnsi="Times New Roman"/>
          </w:rPr>
          <w:t>ICCPR</w:t>
        </w:r>
      </w:hyperlink>
      <w:r w:rsidR="00203F72" w:rsidRPr="00515D85">
        <w:t>之規定，故須提供一項有效（</w:t>
      </w:r>
      <w:r w:rsidR="00203F72" w:rsidRPr="00515D85">
        <w:t>effective</w:t>
      </w:r>
      <w:r w:rsidR="00203F72" w:rsidRPr="00515D85">
        <w:t>）及可執行（</w:t>
      </w:r>
      <w:r w:rsidR="00203F72" w:rsidRPr="00515D85">
        <w:t>enforceable</w:t>
      </w:r>
      <w:r w:rsidR="00203F72" w:rsidRPr="00515D85">
        <w:t>）之補救措施（</w:t>
      </w:r>
      <w:r w:rsidR="00203F72" w:rsidRPr="00515D85">
        <w:t>remedy</w:t>
      </w:r>
      <w:r w:rsidR="00203F72" w:rsidRPr="00515D85">
        <w:t>），以賠償被害人。</w:t>
      </w:r>
      <w:r w:rsidR="00203F72" w:rsidRPr="00515D85">
        <w:t>HRC</w:t>
      </w:r>
      <w:r w:rsidR="00203F72" w:rsidRPr="00515D85">
        <w:t>要求加國於未來，應避免發生類似違反</w:t>
      </w:r>
      <w:hyperlink r:id="rId2120" w:history="1">
        <w:r w:rsidR="005532CF" w:rsidRPr="005532CF">
          <w:rPr>
            <w:rStyle w:val="a5"/>
            <w:rFonts w:ascii="Times New Roman" w:eastAsia="新細明體" w:hAnsi="Times New Roman"/>
          </w:rPr>
          <w:t>ICCPR</w:t>
        </w:r>
      </w:hyperlink>
      <w:r w:rsidR="00203F72" w:rsidRPr="00515D85">
        <w:t>之行為；同時，加國對於</w:t>
      </w:r>
      <w:r w:rsidR="00203F72" w:rsidRPr="00515D85">
        <w:t>HRC</w:t>
      </w:r>
      <w:r w:rsidR="00203F72" w:rsidRPr="00515D85">
        <w:t>所要求之暫時性權利保護之措施（</w:t>
      </w:r>
      <w:r w:rsidR="00203F72" w:rsidRPr="00515D85">
        <w:t>interim measures of protection</w:t>
      </w:r>
      <w:r w:rsidR="00203F72" w:rsidRPr="00515D85">
        <w:t>），應加以尊重。</w:t>
      </w:r>
    </w:p>
    <w:p w14:paraId="2969D4D4" w14:textId="77777777" w:rsidR="00515D85" w:rsidRDefault="00515D85" w:rsidP="00746C75">
      <w:pPr>
        <w:jc w:val="right"/>
        <w:rPr>
          <w:rFonts w:ascii="新細明體" w:hAnsi="新細明體"/>
        </w:rPr>
      </w:pPr>
      <w:r w:rsidRPr="0026266A">
        <w:rPr>
          <w:rFonts w:hint="eastAsia"/>
        </w:rPr>
        <w:t>。。。。。。。。。。。。。。。。。。。。。。。。。</w:t>
      </w:r>
      <w:hyperlink w:anchor="a目次37" w:history="1">
        <w:r>
          <w:rPr>
            <w:rStyle w:val="a5"/>
            <w:sz w:val="18"/>
          </w:rPr>
          <w:t>回目次</w:t>
        </w:r>
      </w:hyperlink>
      <w:r w:rsidR="00E91F89">
        <w:rPr>
          <w:rFonts w:ascii="新細明體" w:hAnsi="新細明體"/>
          <w:color w:val="808000"/>
        </w:rPr>
        <w:t>〉〉</w:t>
      </w:r>
    </w:p>
    <w:p w14:paraId="5C169A63" w14:textId="77777777" w:rsidR="00515D85" w:rsidRPr="00515D85" w:rsidRDefault="00515D85" w:rsidP="00D87D91"/>
    <w:p w14:paraId="6A2DABD8" w14:textId="77777777" w:rsidR="00203F72" w:rsidRPr="00A53581" w:rsidRDefault="00203F72" w:rsidP="00767F37">
      <w:pPr>
        <w:pStyle w:val="2"/>
      </w:pPr>
      <w:bookmarkStart w:id="103" w:name="_伍、本案之重要特色"/>
      <w:bookmarkEnd w:id="103"/>
      <w:r w:rsidRPr="00A53581">
        <w:t>伍、本案之重要特色</w:t>
      </w:r>
    </w:p>
    <w:p w14:paraId="75265C2D" w14:textId="77777777" w:rsidR="00203F72" w:rsidRPr="00515D85" w:rsidRDefault="00026D0F" w:rsidP="00D87D91">
      <w:r w:rsidRPr="00515D85">
        <w:t xml:space="preserve">　　</w:t>
      </w:r>
      <w:r w:rsidR="00203F72" w:rsidRPr="00515D85">
        <w:t>本案之重要特色，如下所述：</w:t>
      </w:r>
    </w:p>
    <w:p w14:paraId="5BAB1AF7" w14:textId="77777777" w:rsidR="00203F72" w:rsidRPr="00515D85" w:rsidRDefault="00026D0F" w:rsidP="00D87D91">
      <w:r w:rsidRPr="00515D85">
        <w:rPr>
          <w:rFonts w:hint="eastAsia"/>
        </w:rPr>
        <w:t xml:space="preserve">　　</w:t>
      </w:r>
      <w:r w:rsidRPr="00515D85">
        <w:rPr>
          <w:rFonts w:hint="eastAsia"/>
        </w:rPr>
        <w:t>1</w:t>
      </w:r>
      <w:r w:rsidRPr="00515D85">
        <w:rPr>
          <w:rFonts w:hint="eastAsia"/>
        </w:rPr>
        <w:t>、</w:t>
      </w:r>
      <w:r w:rsidR="00203F72" w:rsidRPr="00515D85">
        <w:t>Ahani</w:t>
      </w:r>
      <w:r w:rsidR="00203F72" w:rsidRPr="00515D85">
        <w:t>向</w:t>
      </w:r>
      <w:r w:rsidR="00203F72" w:rsidRPr="00515D85">
        <w:t>HRC</w:t>
      </w:r>
      <w:r w:rsidR="00203F72" w:rsidRPr="00515D85">
        <w:t>提告，加國對其所進行之初始（最初）逮捕行為，違反</w:t>
      </w:r>
      <w:r w:rsidR="00385B82">
        <w:t>ICCPR</w:t>
      </w:r>
      <w:hyperlink r:id="rId2121"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之規範，由於加國聯邦法院於一週之內，儘速開庭審理本案令</w:t>
      </w:r>
      <w:r w:rsidR="00203F72" w:rsidRPr="00515D85">
        <w:t>Ahani</w:t>
      </w:r>
      <w:r w:rsidR="00203F72" w:rsidRPr="00515D85">
        <w:t>享有聽證權，並決定加國部長所核發之安全證明，具有合理性（適當性）；在此情況之下，</w:t>
      </w:r>
      <w:r w:rsidR="00203F72" w:rsidRPr="00515D85">
        <w:t>HRC</w:t>
      </w:r>
      <w:r w:rsidR="00203F72" w:rsidRPr="00515D85">
        <w:t>認為加國未違反</w:t>
      </w:r>
      <w:r w:rsidR="00385B82">
        <w:t>ICCPR</w:t>
      </w:r>
      <w:hyperlink r:id="rId2122"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1</w:t>
      </w:r>
      <w:r w:rsidR="00203F72" w:rsidRPr="00515D85">
        <w:t>項之要求；</w:t>
      </w:r>
    </w:p>
    <w:p w14:paraId="4E364FDE" w14:textId="77777777" w:rsidR="00203F72" w:rsidRPr="00515D85" w:rsidRDefault="00026D0F" w:rsidP="00D87D91">
      <w:r w:rsidRPr="00515D85">
        <w:rPr>
          <w:rFonts w:hint="eastAsia"/>
        </w:rPr>
        <w:t xml:space="preserve">　　</w:t>
      </w:r>
      <w:r w:rsidRPr="00515D85">
        <w:rPr>
          <w:rFonts w:hint="eastAsia"/>
        </w:rPr>
        <w:t>2</w:t>
      </w:r>
      <w:r w:rsidRPr="00515D85">
        <w:rPr>
          <w:rFonts w:hint="eastAsia"/>
        </w:rPr>
        <w:t>、</w:t>
      </w:r>
      <w:r w:rsidR="00203F72" w:rsidRPr="00515D85">
        <w:t>在加國聯邦法院審理</w:t>
      </w:r>
      <w:r w:rsidR="00203F72" w:rsidRPr="00515D85">
        <w:t>Ahani</w:t>
      </w:r>
      <w:r w:rsidR="00203F72" w:rsidRPr="00515D85">
        <w:t>收容之合法性問題方面，聯邦法院召開審理庭與聽證庭之時間過長，故違反</w:t>
      </w:r>
      <w:r w:rsidR="00385B82">
        <w:t>ICCPR</w:t>
      </w:r>
      <w:hyperlink r:id="rId2123"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w:t>
      </w:r>
    </w:p>
    <w:p w14:paraId="14A2E532" w14:textId="77777777" w:rsidR="00203F72" w:rsidRPr="00515D85" w:rsidRDefault="00026D0F" w:rsidP="00D87D91">
      <w:r w:rsidRPr="00515D85">
        <w:rPr>
          <w:rFonts w:hint="eastAsia"/>
        </w:rPr>
        <w:t xml:space="preserve">　　</w:t>
      </w:r>
      <w:r w:rsidRPr="00515D85">
        <w:rPr>
          <w:rFonts w:hint="eastAsia"/>
        </w:rPr>
        <w:t>3</w:t>
      </w:r>
      <w:r w:rsidRPr="00515D85">
        <w:rPr>
          <w:rFonts w:hint="eastAsia"/>
        </w:rPr>
        <w:t>、</w:t>
      </w:r>
      <w:r w:rsidR="00203F72" w:rsidRPr="00515D85">
        <w:t>Ahani</w:t>
      </w:r>
      <w:r w:rsidR="00203F72" w:rsidRPr="00515D85">
        <w:t>指控加國之逮捕行動，及部長所核定安全證明之裁定程序，兩者均違法，</w:t>
      </w:r>
      <w:r w:rsidR="00203F72" w:rsidRPr="00515D85">
        <w:t>HRC</w:t>
      </w:r>
      <w:r w:rsidR="00203F72" w:rsidRPr="00515D85">
        <w:t>指出，除了刑事案件之外，</w:t>
      </w:r>
      <w:hyperlink r:id="rId2124" w:history="1">
        <w:r w:rsidR="005532CF" w:rsidRPr="005532CF">
          <w:rPr>
            <w:rStyle w:val="a5"/>
            <w:rFonts w:ascii="Times New Roman" w:eastAsia="新細明體" w:hAnsi="Times New Roman"/>
          </w:rPr>
          <w:t>ICCPR</w:t>
        </w:r>
      </w:hyperlink>
      <w:r w:rsidR="00203F72" w:rsidRPr="00515D85">
        <w:t>並未賦予當事人可就任何爭議性之案情，均可提起上述，並尋求法院裁判之權利，故</w:t>
      </w:r>
      <w:r w:rsidR="00203F72" w:rsidRPr="00515D85">
        <w:t>HRC</w:t>
      </w:r>
      <w:r w:rsidR="00203F72" w:rsidRPr="00515D85">
        <w:t>並未就上述兩項之指控，決定是否可被</w:t>
      </w:r>
      <w:r w:rsidR="003E2214" w:rsidRPr="00B167C2">
        <w:t>ICCPR</w:t>
      </w:r>
      <w:hyperlink r:id="rId2125"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或</w:t>
      </w:r>
      <w:hyperlink r:id="rId2126"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之射程所涵蓋；根據</w:t>
      </w:r>
      <w:r w:rsidR="00203F72" w:rsidRPr="00515D85">
        <w:t>HRC</w:t>
      </w:r>
      <w:r w:rsidR="00203F72" w:rsidRPr="00515D85">
        <w:t>之見解，國家對外國人所進行之移民收容處分，不必然須經由法院之裁判；由此可見，</w:t>
      </w:r>
      <w:hyperlink r:id="rId2127" w:history="1">
        <w:r w:rsidR="005532CF" w:rsidRPr="005532CF">
          <w:rPr>
            <w:rStyle w:val="a5"/>
            <w:rFonts w:ascii="Times New Roman" w:eastAsia="新細明體" w:hAnsi="Times New Roman"/>
          </w:rPr>
          <w:t>ICCPR</w:t>
        </w:r>
      </w:hyperlink>
      <w:r w:rsidR="00203F72" w:rsidRPr="00515D85">
        <w:t>對於人身自由之保障，實有改進之空間；</w:t>
      </w:r>
    </w:p>
    <w:p w14:paraId="483F7812" w14:textId="77777777" w:rsidR="00203F72" w:rsidRPr="00515D85" w:rsidRDefault="00026D0F" w:rsidP="00D87D91">
      <w:r w:rsidRPr="00515D85">
        <w:rPr>
          <w:rFonts w:hint="eastAsia"/>
        </w:rPr>
        <w:t xml:space="preserve">　　</w:t>
      </w:r>
      <w:r w:rsidRPr="00515D85">
        <w:rPr>
          <w:rFonts w:hint="eastAsia"/>
        </w:rPr>
        <w:t>4</w:t>
      </w:r>
      <w:r w:rsidRPr="00515D85">
        <w:rPr>
          <w:rFonts w:hint="eastAsia"/>
        </w:rPr>
        <w:t>、</w:t>
      </w:r>
      <w:r w:rsidR="00203F72" w:rsidRPr="00515D85">
        <w:t>加國在強制驅逐</w:t>
      </w:r>
      <w:r w:rsidR="00203F72" w:rsidRPr="00515D85">
        <w:t>Ahani</w:t>
      </w:r>
      <w:r w:rsidR="00203F72" w:rsidRPr="00515D85">
        <w:t>出國回伊朗之過程中，加國部長未落實評估</w:t>
      </w:r>
      <w:r w:rsidR="00203F72" w:rsidRPr="00515D85">
        <w:t>Ahani</w:t>
      </w:r>
      <w:r w:rsidR="00203F72" w:rsidRPr="00515D85">
        <w:t>所面臨死遭受酷刑風險之程度（等級），且未賦予</w:t>
      </w:r>
      <w:r w:rsidR="00203F72" w:rsidRPr="00515D85">
        <w:t>Ahani</w:t>
      </w:r>
      <w:r w:rsidR="00203F72" w:rsidRPr="00515D85">
        <w:t>表達意見之機會與權利，而逕行將</w:t>
      </w:r>
      <w:r w:rsidR="00203F72" w:rsidRPr="00515D85">
        <w:t>Ahani</w:t>
      </w:r>
      <w:r w:rsidR="00203F72" w:rsidRPr="00515D85">
        <w:t>遣返回伊朗；此種之作法，欠缺程序上之保障，屬於程序瑕疵，故違反</w:t>
      </w:r>
      <w:r w:rsidR="00203F72" w:rsidRPr="00515D85">
        <w:t>ICCP</w:t>
      </w:r>
      <w:r w:rsidR="00746C75" w:rsidRPr="00746C75">
        <w:t xml:space="preserve"> </w:t>
      </w:r>
      <w:r w:rsidR="00746C75" w:rsidRPr="00515D85">
        <w:t>R</w:t>
      </w:r>
      <w:hyperlink r:id="rId2128"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及</w:t>
      </w:r>
      <w:hyperlink r:id="rId2129" w:anchor="a13" w:history="1">
        <w:r w:rsidR="00746C75" w:rsidRPr="00E07281">
          <w:rPr>
            <w:rStyle w:val="a5"/>
            <w:rFonts w:ascii="Times New Roman" w:hAnsi="Times New Roman"/>
          </w:rPr>
          <w:t>第</w:t>
        </w:r>
        <w:r w:rsidR="00746C75" w:rsidRPr="00E07281">
          <w:rPr>
            <w:rStyle w:val="a5"/>
            <w:rFonts w:ascii="Times New Roman" w:hAnsi="Times New Roman"/>
          </w:rPr>
          <w:t>13</w:t>
        </w:r>
        <w:r w:rsidR="00746C75" w:rsidRPr="00E07281">
          <w:rPr>
            <w:rStyle w:val="a5"/>
            <w:rFonts w:ascii="Times New Roman" w:hAnsi="Times New Roman"/>
          </w:rPr>
          <w:t>條</w:t>
        </w:r>
      </w:hyperlink>
      <w:r w:rsidR="00203F72" w:rsidRPr="00515D85">
        <w:t>之要求；主要之理由，在於加國部長於評估上述之酷刑風險時，未賦予</w:t>
      </w:r>
      <w:r w:rsidR="00203F72" w:rsidRPr="00515D85">
        <w:t>Ahani</w:t>
      </w:r>
      <w:r w:rsidR="00203F72" w:rsidRPr="00515D85">
        <w:t>享有聽證之權利；</w:t>
      </w:r>
      <w:r w:rsidR="00203F72" w:rsidRPr="00515D85">
        <w:t>Ahani</w:t>
      </w:r>
      <w:r w:rsidR="00203F72" w:rsidRPr="00515D85">
        <w:t>無法提出對於自己有利之證據，亦未賦予利用書面之方式，陳述意見之機會（</w:t>
      </w:r>
      <w:r w:rsidR="00203F72" w:rsidRPr="00515D85">
        <w:t>an opportunity to comment in writing</w:t>
      </w:r>
      <w:r w:rsidR="00203F72" w:rsidRPr="00515D85">
        <w:t>）；在本案中，</w:t>
      </w:r>
      <w:r w:rsidR="00203F72" w:rsidRPr="00515D85">
        <w:t>HRC</w:t>
      </w:r>
      <w:r w:rsidR="00203F72" w:rsidRPr="00515D85">
        <w:t>特別強調加國應保障</w:t>
      </w:r>
      <w:r w:rsidR="00203F72" w:rsidRPr="00515D85">
        <w:t>Ahani</w:t>
      </w:r>
      <w:r w:rsidR="00203F72" w:rsidRPr="00515D85">
        <w:t>之聽證權；</w:t>
      </w:r>
    </w:p>
    <w:p w14:paraId="45EE1A43" w14:textId="77777777" w:rsidR="00203F72" w:rsidRPr="00515D85" w:rsidRDefault="00026D0F" w:rsidP="00D87D91">
      <w:r w:rsidRPr="00515D85">
        <w:rPr>
          <w:rFonts w:hint="eastAsia"/>
        </w:rPr>
        <w:t xml:space="preserve">　　</w:t>
      </w:r>
      <w:r w:rsidRPr="00515D85">
        <w:rPr>
          <w:rFonts w:hint="eastAsia"/>
        </w:rPr>
        <w:t>5</w:t>
      </w:r>
      <w:r w:rsidRPr="00515D85">
        <w:rPr>
          <w:rFonts w:hint="eastAsia"/>
        </w:rPr>
        <w:t>、</w:t>
      </w:r>
      <w:r w:rsidR="00203F72" w:rsidRPr="00515D85">
        <w:t>加國最高法院主張，在特殊情境之下，加國有權將外國人強制驅逐出國至其可能遭受酷刑風險之國家或地區，但，</w:t>
      </w:r>
      <w:r w:rsidR="00203F72" w:rsidRPr="00515D85">
        <w:t>HRC</w:t>
      </w:r>
      <w:r w:rsidR="00203F72" w:rsidRPr="00515D85">
        <w:t>提出反對意見；</w:t>
      </w:r>
      <w:r w:rsidR="00203F72" w:rsidRPr="00515D85">
        <w:t>HRC</w:t>
      </w:r>
      <w:r w:rsidR="00203F72" w:rsidRPr="00515D85">
        <w:t>指出，</w:t>
      </w:r>
      <w:r w:rsidR="00203F72" w:rsidRPr="00515D85">
        <w:t>ICCP</w:t>
      </w:r>
      <w:r w:rsidR="00746C75" w:rsidRPr="00746C75">
        <w:t xml:space="preserve"> </w:t>
      </w:r>
      <w:r w:rsidR="00746C75" w:rsidRPr="00515D85">
        <w:t>R</w:t>
      </w:r>
      <w:hyperlink r:id="rId2130"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之規範，具有「絕對性」（</w:t>
      </w:r>
      <w:r w:rsidR="00203F72" w:rsidRPr="00515D85">
        <w:t>absolute</w:t>
      </w:r>
      <w:r w:rsidR="00203F72" w:rsidRPr="00515D85">
        <w:t>），不容作反面解釋；</w:t>
      </w:r>
    </w:p>
    <w:p w14:paraId="5A72605E" w14:textId="77777777" w:rsidR="00203F72" w:rsidRPr="00515D85" w:rsidRDefault="00026D0F" w:rsidP="00D87D91">
      <w:r w:rsidRPr="00515D85">
        <w:rPr>
          <w:rFonts w:hint="eastAsia"/>
        </w:rPr>
        <w:t xml:space="preserve">　　</w:t>
      </w:r>
      <w:r w:rsidRPr="00515D85">
        <w:rPr>
          <w:rFonts w:hint="eastAsia"/>
        </w:rPr>
        <w:t>6</w:t>
      </w:r>
      <w:r w:rsidRPr="00515D85">
        <w:rPr>
          <w:rFonts w:hint="eastAsia"/>
        </w:rPr>
        <w:t>、</w:t>
      </w:r>
      <w:r w:rsidR="003E2214" w:rsidRPr="00B167C2">
        <w:t>ICCPR</w:t>
      </w:r>
      <w:hyperlink r:id="rId2131"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對於遭受強制驅逐出國者之保護，包括「程序保障」（</w:t>
      </w:r>
      <w:r w:rsidR="00203F72" w:rsidRPr="00515D85">
        <w:t>procedural protection</w:t>
      </w:r>
      <w:r w:rsidR="00203F72" w:rsidRPr="00515D85">
        <w:t>），當事人享有表達意見之權利，以及令其案件，受到合法當局之審理；</w:t>
      </w:r>
    </w:p>
    <w:p w14:paraId="70E7E2CB" w14:textId="77777777" w:rsidR="00953151" w:rsidRPr="00515D85" w:rsidRDefault="00026D0F" w:rsidP="00D87D91">
      <w:r w:rsidRPr="00515D85">
        <w:rPr>
          <w:rFonts w:hint="eastAsia"/>
        </w:rPr>
        <w:t xml:space="preserve">　　</w:t>
      </w:r>
      <w:r w:rsidRPr="00515D85">
        <w:rPr>
          <w:rFonts w:hint="eastAsia"/>
        </w:rPr>
        <w:t>7</w:t>
      </w:r>
      <w:r w:rsidRPr="00515D85">
        <w:rPr>
          <w:rFonts w:hint="eastAsia"/>
        </w:rPr>
        <w:t>、</w:t>
      </w:r>
      <w:r w:rsidR="00203F72" w:rsidRPr="00515D85">
        <w:t>ICCPR</w:t>
      </w:r>
      <w:r w:rsidR="00410BD1">
        <w:rPr>
          <w:rFonts w:hint="eastAsia"/>
        </w:rPr>
        <w:t xml:space="preserve"> </w:t>
      </w:r>
      <w:hyperlink r:id="rId2132"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所保障之「正當程序」（</w:t>
      </w:r>
      <w:r w:rsidR="00203F72" w:rsidRPr="00515D85">
        <w:t>due process</w:t>
      </w:r>
      <w:r w:rsidR="00203F72" w:rsidRPr="00515D85">
        <w:t>），無法「直接地」適用至本案之中；</w:t>
      </w:r>
    </w:p>
    <w:p w14:paraId="0AF46E20" w14:textId="77777777" w:rsidR="00953151" w:rsidRDefault="00026D0F" w:rsidP="00D87D91">
      <w:r w:rsidRPr="00515D85">
        <w:t xml:space="preserve">　　</w:t>
      </w:r>
      <w:r w:rsidR="00203F72" w:rsidRPr="00515D85">
        <w:t>根據</w:t>
      </w:r>
      <w:r w:rsidR="00203F72" w:rsidRPr="00515D85">
        <w:t>HRC</w:t>
      </w:r>
      <w:r w:rsidR="00203F72" w:rsidRPr="00515D85">
        <w:t>之見解，酷刑對於個人傷害之危險性，可與死刑並列（</w:t>
      </w:r>
      <w:r w:rsidR="00203F72" w:rsidRPr="00515D85">
        <w:t>torture is alongside the imposition of the death penalty</w:t>
      </w:r>
      <w:r w:rsidR="00203F72" w:rsidRPr="00515D85">
        <w:t>）；主要之理由，在於酷刑對於個人所造成之傷害，最具有嚴重性（</w:t>
      </w:r>
      <w:r w:rsidR="00203F72" w:rsidRPr="00515D85">
        <w:t>the most grave</w:t>
      </w:r>
      <w:r w:rsidR="00203F72" w:rsidRPr="00515D85">
        <w:t>），及無法被修補性（</w:t>
      </w:r>
      <w:r w:rsidR="00203F72" w:rsidRPr="00515D85">
        <w:t>the most irreparable</w:t>
      </w:r>
      <w:r w:rsidR="00203F72" w:rsidRPr="00515D85">
        <w:t>）之特性</w:t>
      </w:r>
      <w:r w:rsidR="00203F72" w:rsidRPr="00515D85">
        <w:footnoteReference w:id="794"/>
      </w:r>
      <w:r w:rsidR="00203F72" w:rsidRPr="00515D85">
        <w:t>。</w:t>
      </w:r>
    </w:p>
    <w:p w14:paraId="5E317626" w14:textId="77777777" w:rsidR="00515D85" w:rsidRDefault="00515D85" w:rsidP="00746C75">
      <w:pPr>
        <w:jc w:val="right"/>
        <w:rPr>
          <w:rFonts w:ascii="新細明體" w:hAnsi="新細明體"/>
        </w:rPr>
      </w:pPr>
      <w:r w:rsidRPr="0026266A">
        <w:rPr>
          <w:rFonts w:hint="eastAsia"/>
        </w:rPr>
        <w:t>。。。。。。。。。。。。。。。。。。。。。。。。。</w:t>
      </w:r>
      <w:hyperlink w:anchor="a目次37" w:history="1">
        <w:r>
          <w:rPr>
            <w:rStyle w:val="a5"/>
            <w:sz w:val="18"/>
          </w:rPr>
          <w:t>回目次</w:t>
        </w:r>
      </w:hyperlink>
      <w:r w:rsidR="00E91F89">
        <w:rPr>
          <w:rFonts w:ascii="新細明體" w:hAnsi="新細明體"/>
          <w:color w:val="808000"/>
        </w:rPr>
        <w:t>〉〉</w:t>
      </w:r>
    </w:p>
    <w:p w14:paraId="2A8E764F" w14:textId="77777777" w:rsidR="00515D85" w:rsidRPr="00515D85" w:rsidRDefault="00515D85" w:rsidP="00D87D91"/>
    <w:p w14:paraId="365D7AC2" w14:textId="77777777" w:rsidR="00203F72" w:rsidRPr="00A53581" w:rsidRDefault="00203F72" w:rsidP="00767F37">
      <w:pPr>
        <w:pStyle w:val="2"/>
      </w:pPr>
      <w:bookmarkStart w:id="104" w:name="_陸、Ahani驅逐出國案例對台灣之啟迪〜代結論"/>
      <w:bookmarkEnd w:id="104"/>
      <w:r w:rsidRPr="00A53581">
        <w:t>陸、</w:t>
      </w:r>
      <w:r w:rsidRPr="00A53581">
        <w:t>Ahani</w:t>
      </w:r>
      <w:r w:rsidRPr="00A53581">
        <w:t>驅逐出國案例對台灣之啟迪</w:t>
      </w:r>
      <w:r w:rsidR="00D92F56">
        <w:t>〜</w:t>
      </w:r>
      <w:r w:rsidRPr="00A53581">
        <w:t>代結論</w:t>
      </w:r>
    </w:p>
    <w:p w14:paraId="3B3B37F3" w14:textId="77777777" w:rsidR="006879EB" w:rsidRDefault="00026D0F" w:rsidP="00D87D91">
      <w:r>
        <w:t xml:space="preserve">　　</w:t>
      </w:r>
      <w:r w:rsidR="00203F72" w:rsidRPr="00A53581">
        <w:t>人權是人類與生俱來的權利，每個人的價值應得到同等的尊重和保護。失去了人權就無法尊嚴的生存。人權的保障讓我們能夠過著自由而安全的生活，充分的發揮本身的天賦，使身心得到基本的滿足。剝奪人權不只會是個人的創傷，更會在社會和國家間製造衝突，</w:t>
      </w:r>
      <w:r w:rsidR="00203F72" w:rsidRPr="00017547">
        <w:t>形成動盪不安的源頭。國家除了應消極的避免侵害人權，同時也應積極的促進各項人權的實現</w:t>
      </w:r>
      <w:r w:rsidR="00203F72" w:rsidRPr="00017547">
        <w:footnoteReference w:id="795"/>
      </w:r>
      <w:r w:rsidR="00203F72" w:rsidRPr="00017547">
        <w:t>。聯</w:t>
      </w:r>
      <w:r w:rsidR="00203F72" w:rsidRPr="00A53581">
        <w:t>合國為保護和促進人權及基本自由特設「國際人權憲章」，為落實「國際人權憲章」又另訂三項文書：聯合國大會於</w:t>
      </w:r>
      <w:r w:rsidR="00203F72" w:rsidRPr="00A53581">
        <w:t>1948</w:t>
      </w:r>
      <w:r w:rsidR="00203F72" w:rsidRPr="00A53581">
        <w:t>年宣佈的「</w:t>
      </w:r>
      <w:hyperlink r:id="rId2133" w:history="1">
        <w:r w:rsidR="00F35C5F" w:rsidRPr="00F35C5F">
          <w:rPr>
            <w:rStyle w:val="a5"/>
          </w:rPr>
          <w:t>世界人權宣言</w:t>
        </w:r>
      </w:hyperlink>
      <w:r w:rsidR="00203F72" w:rsidRPr="00A53581">
        <w:t>」、</w:t>
      </w:r>
      <w:r w:rsidR="00203F72" w:rsidRPr="00A53581">
        <w:t>1966</w:t>
      </w:r>
      <w:r w:rsidR="00203F72" w:rsidRPr="00A53581">
        <w:t>年通過的「公民權利和政治權利國際公約」和「經濟、社會、文化權利國際公約」。</w:t>
      </w:r>
    </w:p>
    <w:p w14:paraId="69DE2617" w14:textId="77777777" w:rsidR="006879EB" w:rsidRPr="00746C75" w:rsidRDefault="00026D0F" w:rsidP="00746C75">
      <w:r>
        <w:t xml:space="preserve">　　</w:t>
      </w:r>
      <w:r w:rsidR="00203F72" w:rsidRPr="00A53581">
        <w:t>聯合國大會於</w:t>
      </w:r>
      <w:r w:rsidR="00203F72" w:rsidRPr="00A53581">
        <w:t>1948</w:t>
      </w:r>
      <w:r w:rsidR="00203F72" w:rsidRPr="00A53581">
        <w:t>年宣佈「</w:t>
      </w:r>
      <w:hyperlink r:id="rId2134" w:history="1">
        <w:r w:rsidR="00F35C5F" w:rsidRPr="00F35C5F">
          <w:rPr>
            <w:rStyle w:val="a5"/>
          </w:rPr>
          <w:t>世界人權宣言</w:t>
        </w:r>
      </w:hyperlink>
      <w:r w:rsidR="00203F72" w:rsidRPr="00A53581">
        <w:t>」，</w:t>
      </w:r>
      <w:hyperlink r:id="rId2135" w:history="1">
        <w:r w:rsidR="00F35C5F" w:rsidRPr="00F35C5F">
          <w:rPr>
            <w:rStyle w:val="a5"/>
          </w:rPr>
          <w:t>世界人權宣言</w:t>
        </w:r>
      </w:hyperlink>
      <w:r w:rsidR="00203F72" w:rsidRPr="00A53581">
        <w:t>內容包括第一階段的公民和政治權利以及第二階段的經濟、社會和文化權利。通常將「</w:t>
      </w:r>
      <w:hyperlink r:id="rId2136" w:history="1">
        <w:r w:rsidR="00F35C5F" w:rsidRPr="00F35C5F">
          <w:rPr>
            <w:rStyle w:val="a5"/>
          </w:rPr>
          <w:t>世界人權宣言</w:t>
        </w:r>
      </w:hyperlink>
      <w:r w:rsidR="00203F72" w:rsidRPr="00A53581">
        <w:t>」、「公民權利和政治權利國際公約」和「經濟、社會、文化權利國際公約」合稱為「國際人權法典」，再加上「公民權利和政治權利國際公約任擇議定書」此四者被統稱為「國際人權憲章」。是目前國際社會最基本、最重要、且最具綱領性的國際人權規範，也是國際</w:t>
      </w:r>
      <w:r w:rsidR="00203F72" w:rsidRPr="00746C75">
        <w:t>人權保障體系最根本的法源</w:t>
      </w:r>
      <w:r w:rsidR="00203F72" w:rsidRPr="00746C75">
        <w:footnoteReference w:id="796"/>
      </w:r>
      <w:r w:rsidR="00203F72" w:rsidRPr="00746C75">
        <w:t>。基本上「</w:t>
      </w:r>
      <w:hyperlink r:id="rId2137" w:history="1">
        <w:r w:rsidR="00F35C5F" w:rsidRPr="00746C75">
          <w:rPr>
            <w:rStyle w:val="a5"/>
          </w:rPr>
          <w:t>世界人權宣言</w:t>
        </w:r>
      </w:hyperlink>
      <w:r w:rsidR="00203F72" w:rsidRPr="00746C75">
        <w:t>」在國際人權規範中具有母法的地位，許多相關的人權公約都是源自此法典，該規定的諸多原則，也成為國際習慣法；而前述兩個公約對於締約國，則具有法律拘束力</w:t>
      </w:r>
      <w:r w:rsidR="00203F72" w:rsidRPr="00746C75">
        <w:footnoteReference w:id="797"/>
      </w:r>
      <w:r w:rsidR="00203F72" w:rsidRPr="00746C75">
        <w:t>。以聯合國主要人權條約為核心所設立的人權機構，配合「國際國憲章」為主體所成立的人權機構，兩者相輔相成，因應國際人權觀念的擴張與人權保護要求的提升，成為聯合國推動人權保護工作重要的兩大支柱</w:t>
      </w:r>
      <w:r w:rsidR="00203F72" w:rsidRPr="00746C75">
        <w:footnoteReference w:id="798"/>
      </w:r>
      <w:r w:rsidR="00203F72" w:rsidRPr="00746C75">
        <w:t>。</w:t>
      </w:r>
    </w:p>
    <w:p w14:paraId="0A681EC5" w14:textId="77777777" w:rsidR="006879EB" w:rsidRPr="00746C75" w:rsidRDefault="00026D0F" w:rsidP="00746C75">
      <w:r w:rsidRPr="00746C75">
        <w:t xml:space="preserve">　　</w:t>
      </w:r>
      <w:r w:rsidR="00203F72" w:rsidRPr="00746C75">
        <w:t>「</w:t>
      </w:r>
      <w:hyperlink r:id="rId2138" w:history="1">
        <w:r w:rsidR="00203F72" w:rsidRPr="00017547">
          <w:rPr>
            <w:rStyle w:val="a5"/>
            <w:rFonts w:ascii="Times New Roman" w:eastAsia="新細明體" w:hAnsi="Times New Roman"/>
          </w:rPr>
          <w:t>公民權利和政治權利國際公約</w:t>
        </w:r>
      </w:hyperlink>
      <w:r w:rsidR="00203F72" w:rsidRPr="00746C75">
        <w:t>」又稱「</w:t>
      </w:r>
      <w:r w:rsidR="00203F72" w:rsidRPr="00746C75">
        <w:t>B</w:t>
      </w:r>
      <w:r w:rsidR="00203F72" w:rsidRPr="00746C75">
        <w:t>公約」，是「第一代人權」；而「</w:t>
      </w:r>
      <w:hyperlink r:id="rId2139" w:history="1">
        <w:r w:rsidR="00203F72" w:rsidRPr="00017547">
          <w:rPr>
            <w:rStyle w:val="a5"/>
            <w:rFonts w:ascii="Times New Roman" w:eastAsia="新細明體" w:hAnsi="Times New Roman"/>
          </w:rPr>
          <w:t>經濟、社會、文化權利國際公約</w:t>
        </w:r>
      </w:hyperlink>
      <w:r w:rsidR="00203F72" w:rsidRPr="00746C75">
        <w:t>」又稱「</w:t>
      </w:r>
      <w:r w:rsidR="00203F72" w:rsidRPr="00746C75">
        <w:t>A</w:t>
      </w:r>
      <w:r w:rsidR="00203F72" w:rsidRPr="00746C75">
        <w:t>公約」是「第二代人權」，有著共同的序言及關於人民自決權的規定，</w:t>
      </w:r>
      <w:r w:rsidR="00746C75" w:rsidRPr="00746C75">
        <w:t>序言如下</w:t>
      </w:r>
      <w:r w:rsidR="00746C75" w:rsidRPr="00746C75">
        <w:t>:</w:t>
      </w:r>
      <w:r w:rsidR="00746C75" w:rsidRPr="00746C75">
        <w:t>「本盟約締約各國，考慮到，按照聯合國憲章所宣布的原則，對人類家庭所有成員的固有尊嚴及其平等的和不移的權利的承認，乃是世界自由、正義與和平的基礎，確認這些權利是源於人身的固有尊嚴，確認，按照世界人權宣言，只有在創造了使人人可以享有其公民和政治權利，正如享有其經濟、社會和文化權利一樣的條件的情況下，才能實現自由人類享有公民及政治自由和免於恐懼和匱乏的自由的理想，考慮到各國根據聯合國憲章負有義務促進對人的權利和自由的普遍尊重和遵行，認識到個人對其他個人和對他所屬的社會負有義務，應為促進和遵行本盟約所承認的權利而努力。」</w:t>
      </w:r>
    </w:p>
    <w:p w14:paraId="577119F2" w14:textId="77777777" w:rsidR="006879EB" w:rsidRPr="00017547" w:rsidRDefault="00026D0F" w:rsidP="00017547">
      <w:r w:rsidRPr="00746C75">
        <w:t xml:space="preserve">　　</w:t>
      </w:r>
      <w:r w:rsidR="00203F72" w:rsidRPr="00746C75">
        <w:t>1993</w:t>
      </w:r>
      <w:r w:rsidR="00203F72" w:rsidRPr="00746C75">
        <w:t>年「世界人權會議」通過之「維也納宣言及行動綱領」也如此闡述：「一切人權均為普遍、不可分割、相互依存、相互聯繫。國際社會必須站在同樣地位上、</w:t>
      </w:r>
      <w:r w:rsidR="00203F72" w:rsidRPr="00A53581">
        <w:t>用同樣重</w:t>
      </w:r>
      <w:r w:rsidR="003E240E">
        <w:t>視</w:t>
      </w:r>
      <w:r w:rsidR="00203F72" w:rsidRPr="00A53581">
        <w:t>的眼光、以公平、平等的態度全面看待人權。固然，民族特性和地域特徵的意義、以及不同的歷史、文化和宗教背景都必須要考慮，但是各個國家，不論其政治、經濟和</w:t>
      </w:r>
      <w:r w:rsidR="00203F72" w:rsidRPr="00017547">
        <w:t>文化體系如何，都有義務促進和保護一切人權和基本自由。保障人權既是世界潮流，也是國家民主化的指標，更是國際社會關切之重點。</w:t>
      </w:r>
      <w:r w:rsidR="00203F72" w:rsidRPr="00017547">
        <w:footnoteReference w:id="799"/>
      </w:r>
      <w:r w:rsidR="00203F72" w:rsidRPr="00017547">
        <w:t>」</w:t>
      </w:r>
    </w:p>
    <w:p w14:paraId="28FD4377" w14:textId="77777777" w:rsidR="006879EB" w:rsidRPr="00017547" w:rsidRDefault="00026D0F" w:rsidP="00017547">
      <w:r w:rsidRPr="00017547">
        <w:t xml:space="preserve">　　</w:t>
      </w:r>
      <w:r w:rsidR="00203F72" w:rsidRPr="00017547">
        <w:t>由上述兩個公約序言及「維也納宣言及行動綱領」陳述的內容察知，其相當明確的指出，這一切的權利係源於個人所固有的尊嚴。遵循著「</w:t>
      </w:r>
      <w:hyperlink r:id="rId2140" w:history="1">
        <w:r w:rsidR="00F35C5F" w:rsidRPr="00017547">
          <w:rPr>
            <w:rStyle w:val="a5"/>
          </w:rPr>
          <w:t>世界人權宣言</w:t>
        </w:r>
      </w:hyperlink>
      <w:r w:rsidR="00203F72" w:rsidRPr="00017547">
        <w:t>」的精神，唯有在創造了人人可以享有其公民及政治權利，正如享有其經濟、社會和文化權利一樣的條件下，才能實現真正的人權與自由的理想，共同享有生活免於恐懼和匱乏的自由。同時其彼此之間存在著「普遍性」、「不可分割性」與「互相依賴性」的關係，這些都是任何正義社會所不可缺少的</w:t>
      </w:r>
      <w:r w:rsidR="00203F72" w:rsidRPr="00017547">
        <w:footnoteReference w:id="800"/>
      </w:r>
      <w:r w:rsidR="00203F72" w:rsidRPr="00017547">
        <w:t>。</w:t>
      </w:r>
    </w:p>
    <w:p w14:paraId="1711EAF3" w14:textId="77777777" w:rsidR="006879EB" w:rsidRPr="00017547" w:rsidRDefault="00026D0F" w:rsidP="00017547">
      <w:r w:rsidRPr="00017547">
        <w:t xml:space="preserve">　　</w:t>
      </w:r>
      <w:r w:rsidR="00203F72" w:rsidRPr="00017547">
        <w:t>「</w:t>
      </w:r>
      <w:hyperlink r:id="rId2141" w:history="1">
        <w:r w:rsidR="00203F72" w:rsidRPr="00017547">
          <w:rPr>
            <w:rStyle w:val="a5"/>
            <w:rFonts w:ascii="Times New Roman" w:eastAsia="新細明體" w:hAnsi="Times New Roman"/>
          </w:rPr>
          <w:t>公民權利和政治權利國際公約</w:t>
        </w:r>
      </w:hyperlink>
      <w:r w:rsidR="00203F72" w:rsidRPr="00017547">
        <w:t>」</w:t>
      </w:r>
      <w:r w:rsidR="00203F72" w:rsidRPr="00017547">
        <w:t>1967</w:t>
      </w:r>
      <w:r w:rsidR="00203F72" w:rsidRPr="00017547">
        <w:t>年</w:t>
      </w:r>
      <w:r w:rsidR="00203F72" w:rsidRPr="00017547">
        <w:t>4</w:t>
      </w:r>
      <w:r w:rsidR="00203F72" w:rsidRPr="00017547">
        <w:t>月</w:t>
      </w:r>
      <w:r w:rsidR="00203F72" w:rsidRPr="00017547">
        <w:t>23</w:t>
      </w:r>
      <w:r w:rsidR="00203F72" w:rsidRPr="00017547">
        <w:t>日執行，全文</w:t>
      </w:r>
      <w:r w:rsidR="00203F72" w:rsidRPr="00017547">
        <w:t>53</w:t>
      </w:r>
      <w:r w:rsidR="00203F72" w:rsidRPr="00017547">
        <w:t>條，其宗旨在</w:t>
      </w:r>
      <w:r w:rsidR="00203F72" w:rsidRPr="00A53581">
        <w:t>闡明不分種族、膚色、性別、語言、宗教、政治理念、社會階層、財富、出生背景等，所有人民在人權方面人人平等；同時包括兩個任擇議定書。第一任擇議定書重點在建立獨立的上訴機制以便成員國內的人民，自覺人權受到侵犯時，得以提交申述狀給人權委</w:t>
      </w:r>
      <w:r w:rsidR="00203F72" w:rsidRPr="00017547">
        <w:t>員會，請求人權委員會查明。即「公民與政治權利國際公約第一任擇議定書」，訂有各國關於侵犯人權的相關申訴機制，賦予締約國之公民控訴其政府侵犯人權的權利</w:t>
      </w:r>
      <w:r w:rsidR="00203F72" w:rsidRPr="00017547">
        <w:footnoteReference w:id="801"/>
      </w:r>
      <w:r w:rsidR="00203F72" w:rsidRPr="00017547">
        <w:t>。第二任擇議定書重點為廢止死刑。</w:t>
      </w:r>
    </w:p>
    <w:p w14:paraId="256F2107" w14:textId="77777777" w:rsidR="006879EB" w:rsidRDefault="00026D0F" w:rsidP="00D87D91">
      <w:r>
        <w:t xml:space="preserve">　　</w:t>
      </w:r>
      <w:r w:rsidR="00203F72" w:rsidRPr="00A53581">
        <w:t>我國原於</w:t>
      </w:r>
      <w:r w:rsidR="00203F72" w:rsidRPr="00A53581">
        <w:t>1967</w:t>
      </w:r>
      <w:r w:rsidR="00203F72" w:rsidRPr="00A53581">
        <w:t>年</w:t>
      </w:r>
      <w:r w:rsidR="00203F72" w:rsidRPr="00A53581">
        <w:t>10</w:t>
      </w:r>
      <w:r w:rsidR="00203F72" w:rsidRPr="00A53581">
        <w:t>月</w:t>
      </w:r>
      <w:r w:rsidR="00203F72" w:rsidRPr="00A53581">
        <w:t>5</w:t>
      </w:r>
      <w:r w:rsidR="00203F72" w:rsidRPr="00A53581">
        <w:t>日由駐聯合國常任代表代表中華民國政府簽署兩公約，但因</w:t>
      </w:r>
      <w:r w:rsidR="00203F72" w:rsidRPr="00A53581">
        <w:t>1971</w:t>
      </w:r>
      <w:r w:rsidR="00203F72" w:rsidRPr="00A53581">
        <w:t>年</w:t>
      </w:r>
      <w:r w:rsidR="00203F72" w:rsidRPr="00A53581">
        <w:t>10</w:t>
      </w:r>
      <w:r w:rsidR="00203F72" w:rsidRPr="00A53581">
        <w:t>月</w:t>
      </w:r>
      <w:r w:rsidR="00203F72" w:rsidRPr="00A53581">
        <w:t>25</w:t>
      </w:r>
      <w:r w:rsidR="00203F72" w:rsidRPr="00A53581">
        <w:t>日我國退出聯合國，使該案因此停頓。當時先總統蔣公宣示：「我國雖已退出我們參與艱辛締造的聯合國，但我們今後在國際社會終必仍以</w:t>
      </w:r>
      <w:hyperlink r:id="rId2142" w:history="1">
        <w:r w:rsidR="006937CE" w:rsidRPr="006937CE">
          <w:rPr>
            <w:rStyle w:val="a5"/>
            <w:rFonts w:ascii="Times New Roman" w:eastAsia="新細明體" w:hAnsi="Times New Roman"/>
          </w:rPr>
          <w:t>聯合國憲章</w:t>
        </w:r>
      </w:hyperlink>
      <w:r w:rsidR="00203F72" w:rsidRPr="00A53581">
        <w:t>之宗旨與原則為準繩，繼續為維護國際間公義與世界國際和平而奮鬥。」可知，當時兩公約雖未批准，但已成為我國遵循的人權準則之</w:t>
      </w:r>
      <w:r w:rsidR="00017547" w:rsidRPr="00A53581">
        <w:t>一</w:t>
      </w:r>
      <w:r w:rsidR="00203F72" w:rsidRPr="00A53581">
        <w:t>。</w:t>
      </w:r>
    </w:p>
    <w:p w14:paraId="3352DE96" w14:textId="77777777" w:rsidR="006879EB" w:rsidRDefault="00026D0F" w:rsidP="00D87D91">
      <w:r>
        <w:t xml:space="preserve">　　</w:t>
      </w:r>
      <w:r w:rsidR="00203F72" w:rsidRPr="00A53581">
        <w:t>後至前陳總統水扁先生時期，國內重新討論該兩公約的國內法典化。法務部分別於</w:t>
      </w:r>
      <w:r w:rsidR="00203F72" w:rsidRPr="00A53581">
        <w:t>2007</w:t>
      </w:r>
      <w:r w:rsidR="00203F72" w:rsidRPr="00A53581">
        <w:t>年</w:t>
      </w:r>
      <w:r w:rsidR="00203F72" w:rsidRPr="00A53581">
        <w:t>3</w:t>
      </w:r>
      <w:r w:rsidR="00203F72" w:rsidRPr="00A53581">
        <w:t>月</w:t>
      </w:r>
      <w:r w:rsidR="00203F72" w:rsidRPr="00A53581">
        <w:t>23</w:t>
      </w:r>
      <w:r w:rsidR="00203F72" w:rsidRPr="00A53581">
        <w:t>日、</w:t>
      </w:r>
      <w:r w:rsidR="00203F72" w:rsidRPr="00A53581">
        <w:t>2008</w:t>
      </w:r>
      <w:r w:rsidR="00203F72" w:rsidRPr="00A53581">
        <w:t>年</w:t>
      </w:r>
      <w:r w:rsidR="00203F72" w:rsidRPr="00A53581">
        <w:t>1</w:t>
      </w:r>
      <w:r w:rsidR="00203F72" w:rsidRPr="00A53581">
        <w:t>月</w:t>
      </w:r>
      <w:r w:rsidR="00203F72" w:rsidRPr="00A53581">
        <w:t>28</w:t>
      </w:r>
      <w:r w:rsidR="00203F72" w:rsidRPr="00A53581">
        <w:t>日以法規字第</w:t>
      </w:r>
      <w:r w:rsidR="00203F72" w:rsidRPr="00A53581">
        <w:t>0960600200</w:t>
      </w:r>
      <w:r w:rsidR="00203F72" w:rsidRPr="00A53581">
        <w:t>號函、法規字第</w:t>
      </w:r>
      <w:r w:rsidR="00203F72" w:rsidRPr="00A53581">
        <w:t>0970600032</w:t>
      </w:r>
      <w:r w:rsidR="00203F72" w:rsidRPr="00A53581">
        <w:t>號函將</w:t>
      </w:r>
      <w:r w:rsidR="00981964" w:rsidRPr="00A53581">
        <w:t>「</w:t>
      </w:r>
      <w:hyperlink r:id="rId2143" w:history="1">
        <w:r w:rsidR="00981964" w:rsidRPr="007F512E">
          <w:rPr>
            <w:rStyle w:val="a5"/>
            <w:rFonts w:ascii="Times New Roman" w:eastAsia="新細明體" w:hAnsi="Times New Roman"/>
          </w:rPr>
          <w:t>公民與政治權利國際公約及經濟社會文化權利國際公約施行法</w:t>
        </w:r>
      </w:hyperlink>
      <w:r w:rsidR="00203F72" w:rsidRPr="00A53581">
        <w:t>」草案，陳報行政院核轉立法院審議。</w:t>
      </w:r>
      <w:r w:rsidR="00203F72" w:rsidRPr="00A53581">
        <w:t>2009</w:t>
      </w:r>
      <w:r w:rsidR="00203F72" w:rsidRPr="00A53581">
        <w:t>年</w:t>
      </w:r>
      <w:r w:rsidR="00203F72" w:rsidRPr="00A53581">
        <w:t>3</w:t>
      </w:r>
      <w:r w:rsidR="00203F72" w:rsidRPr="00A53581">
        <w:t>月</w:t>
      </w:r>
      <w:r w:rsidR="00203F72" w:rsidRPr="00A53581">
        <w:t>31</w:t>
      </w:r>
      <w:r w:rsidR="00203F72" w:rsidRPr="00A53581">
        <w:t>日，立法院通過「</w:t>
      </w:r>
      <w:hyperlink r:id="rId2144" w:history="1">
        <w:r w:rsidR="00203F72" w:rsidRPr="00017547">
          <w:rPr>
            <w:rStyle w:val="a5"/>
            <w:rFonts w:ascii="Times New Roman" w:eastAsia="新細明體" w:hAnsi="Times New Roman"/>
          </w:rPr>
          <w:t>經濟社會文化權利國際公約</w:t>
        </w:r>
      </w:hyperlink>
      <w:r w:rsidR="00203F72" w:rsidRPr="00A53581">
        <w:t>」及「公民與政治權利國際公約」兩項聯合國人權公約。總統馬英九先生並於</w:t>
      </w:r>
      <w:r w:rsidR="00203F72" w:rsidRPr="00A53581">
        <w:t>2009</w:t>
      </w:r>
      <w:r w:rsidR="00203F72" w:rsidRPr="00A53581">
        <w:t>年</w:t>
      </w:r>
      <w:r w:rsidR="00203F72" w:rsidRPr="00A53581">
        <w:t>05</w:t>
      </w:r>
      <w:r w:rsidR="00203F72" w:rsidRPr="00A53581">
        <w:t>月</w:t>
      </w:r>
      <w:r w:rsidR="00203F72" w:rsidRPr="00A53581">
        <w:t>22</w:t>
      </w:r>
      <w:r w:rsidR="00203F72" w:rsidRPr="00A53581">
        <w:t>日簽署該項公約的批准書，</w:t>
      </w:r>
      <w:r w:rsidR="00203F72" w:rsidRPr="00A53581">
        <w:t>2009</w:t>
      </w:r>
      <w:r w:rsidR="00203F72" w:rsidRPr="00A53581">
        <w:t>年</w:t>
      </w:r>
      <w:r w:rsidR="00203F72" w:rsidRPr="00A53581">
        <w:t>05</w:t>
      </w:r>
      <w:r w:rsidR="00203F72" w:rsidRPr="00A53581">
        <w:t>月</w:t>
      </w:r>
      <w:r w:rsidR="00203F72" w:rsidRPr="00A53581">
        <w:t>22</w:t>
      </w:r>
      <w:r w:rsidR="00203F72" w:rsidRPr="00A53581">
        <w:t>日公布。總統馬英九先生說，「施行法生效之後，這項公約內容已變成我國法律的一部分，執法人員可直接適用，這點意義非常巨大；而把國際法轉化成國內法，更是立法技術上的一項創舉，非常感謝立法院大力支持，這個做法未來也許可以適用在其它有必要這樣處理的國際公約上。」</w:t>
      </w:r>
      <w:r w:rsidR="00203F72" w:rsidRPr="00A53581">
        <w:rPr>
          <w:lang w:bidi="bn-IN"/>
        </w:rPr>
        <w:t>後外交部將批准書</w:t>
      </w:r>
      <w:r w:rsidR="00203F72" w:rsidRPr="00A53581">
        <w:t>經由友邦提交給聯合國，但卻在</w:t>
      </w:r>
      <w:r w:rsidR="00203F72" w:rsidRPr="00A53581">
        <w:t>2009</w:t>
      </w:r>
      <w:r w:rsidR="00203F72" w:rsidRPr="00A53581">
        <w:t>年</w:t>
      </w:r>
      <w:r w:rsidR="00203F72" w:rsidRPr="00A53581">
        <w:t>6</w:t>
      </w:r>
      <w:r w:rsidR="00203F72" w:rsidRPr="00A53581">
        <w:t>月</w:t>
      </w:r>
      <w:r w:rsidR="00203F72" w:rsidRPr="00A53581">
        <w:t>15</w:t>
      </w:r>
      <w:r w:rsidR="00203F72" w:rsidRPr="00A53581">
        <w:t>日，遭聯合國大會</w:t>
      </w:r>
      <w:r w:rsidR="00203F72" w:rsidRPr="00A53581">
        <w:t>2758</w:t>
      </w:r>
      <w:r w:rsidR="00203F72" w:rsidRPr="00A53581">
        <w:t>號決議拒絕，</w:t>
      </w:r>
      <w:r w:rsidR="00203F72" w:rsidRPr="00A53581">
        <w:rPr>
          <w:lang w:bidi="bn-IN"/>
        </w:rPr>
        <w:t>很快就被退回來，</w:t>
      </w:r>
      <w:r w:rsidR="00203F72" w:rsidRPr="00A53581">
        <w:t>理由為聯合國僅承認中華人民共和國為中國唯一合法代表。</w:t>
      </w:r>
    </w:p>
    <w:p w14:paraId="0D32008E" w14:textId="77777777" w:rsidR="006879EB" w:rsidRDefault="00026D0F" w:rsidP="00D87D91">
      <w:pPr>
        <w:rPr>
          <w:lang w:bidi="bn-IN"/>
        </w:rPr>
      </w:pPr>
      <w:r>
        <w:rPr>
          <w:lang w:bidi="bn-IN"/>
        </w:rPr>
        <w:t xml:space="preserve">　　</w:t>
      </w:r>
      <w:r w:rsidR="00203F72" w:rsidRPr="00A53581">
        <w:rPr>
          <w:lang w:bidi="bn-IN"/>
        </w:rPr>
        <w:t>雖然台灣在外交處境上有困難，但要將國際公約落實到國內法卻並不困難。如</w:t>
      </w:r>
      <w:r w:rsidR="00203F72" w:rsidRPr="00A53581">
        <w:rPr>
          <w:lang w:bidi="bn-IN"/>
        </w:rPr>
        <w:t>2007</w:t>
      </w:r>
      <w:r w:rsidR="00203F72" w:rsidRPr="00A53581">
        <w:rPr>
          <w:lang w:bidi="bn-IN"/>
        </w:rPr>
        <w:t>年通過的「</w:t>
      </w:r>
      <w:hyperlink r:id="rId2145" w:history="1">
        <w:r w:rsidR="00DC1C0D" w:rsidRPr="00DC1C0D">
          <w:rPr>
            <w:rStyle w:val="a5"/>
          </w:rPr>
          <w:t>消除對婦女一切形式歧視公約</w:t>
        </w:r>
      </w:hyperlink>
      <w:r w:rsidR="00203F72" w:rsidRPr="00A53581">
        <w:rPr>
          <w:lang w:bidi="bn-IN"/>
        </w:rPr>
        <w:t>」，</w:t>
      </w:r>
      <w:r w:rsidR="00203F72" w:rsidRPr="00A53581">
        <w:rPr>
          <w:lang w:bidi="bn-IN"/>
        </w:rPr>
        <w:t xml:space="preserve"> 2005</w:t>
      </w:r>
      <w:r w:rsidR="00203F72" w:rsidRPr="00A53581">
        <w:rPr>
          <w:lang w:bidi="bn-IN"/>
        </w:rPr>
        <w:t>年立法院通過批准加入世界衛生組織體系底下的「菸草控制框架公約」，</w:t>
      </w:r>
      <w:r w:rsidR="00203F72" w:rsidRPr="00A53581">
        <w:rPr>
          <w:lang w:bidi="bn-IN"/>
        </w:rPr>
        <w:t xml:space="preserve"> 1993</w:t>
      </w:r>
      <w:r w:rsidR="00203F72" w:rsidRPr="00A53581">
        <w:rPr>
          <w:lang w:bidi="bn-IN"/>
        </w:rPr>
        <w:t>年的「</w:t>
      </w:r>
      <w:hyperlink r:id="rId2146" w:history="1">
        <w:r w:rsidR="00DF3454" w:rsidRPr="00DF3454">
          <w:rPr>
            <w:rStyle w:val="a5"/>
          </w:rPr>
          <w:t>兒童權利公約</w:t>
        </w:r>
      </w:hyperlink>
      <w:r w:rsidR="00203F72" w:rsidRPr="00A53581">
        <w:rPr>
          <w:lang w:bidi="bn-IN"/>
        </w:rPr>
        <w:t>」，三個公約雖然都遭到聯合國拒絕，但卻仍以各種不同的方式，讓這些國際公約的規範在國內的法律能有效</w:t>
      </w:r>
      <w:r w:rsidR="00203F72" w:rsidRPr="00981964">
        <w:t>的施行及遵守</w:t>
      </w:r>
      <w:r w:rsidR="00203F72" w:rsidRPr="00981964">
        <w:footnoteReference w:id="802"/>
      </w:r>
      <w:r w:rsidR="00203F72" w:rsidRPr="00981964">
        <w:t>。因此，將國際公約落實到國內法卻並不困難，惟仍有許多必須共同努力的地方。但本書僅就上開加國對</w:t>
      </w:r>
      <w:r w:rsidR="00203F72" w:rsidRPr="00981964">
        <w:t>Ahani</w:t>
      </w:r>
      <w:r w:rsidR="00203F72" w:rsidRPr="00981964">
        <w:t>的案件，外國人收容及強制驅逐出國規定來加</w:t>
      </w:r>
      <w:r w:rsidR="00203F72" w:rsidRPr="00A53581">
        <w:rPr>
          <w:lang w:bidi="bn-IN"/>
        </w:rPr>
        <w:t>以探討。</w:t>
      </w:r>
    </w:p>
    <w:p w14:paraId="524BF5D1" w14:textId="77777777" w:rsidR="006879EB" w:rsidRDefault="00026D0F" w:rsidP="00D87D91">
      <w:pPr>
        <w:rPr>
          <w:rFonts w:ascii="新細明體" w:hAnsi="新細明體"/>
          <w:lang w:bidi="bn-IN"/>
        </w:rPr>
      </w:pPr>
      <w:r>
        <w:rPr>
          <w:rFonts w:ascii="新細明體" w:hAnsi="新細明體"/>
          <w:lang w:bidi="bn-IN"/>
        </w:rPr>
        <w:t xml:space="preserve">　　</w:t>
      </w:r>
      <w:r w:rsidR="00203F72" w:rsidRPr="00A53581">
        <w:rPr>
          <w:rFonts w:ascii="新細明體" w:hAnsi="新細明體"/>
          <w:lang w:bidi="bn-IN"/>
        </w:rPr>
        <w:t>一、外國人及本國人之人身自由權利，應平等地受到憲法</w:t>
      </w:r>
      <w:hyperlink r:id="rId2147" w:anchor="a8" w:history="1">
        <w:r w:rsidR="001F6A1B" w:rsidRPr="001F6A1B">
          <w:rPr>
            <w:rStyle w:val="a5"/>
          </w:rPr>
          <w:t>第8條</w:t>
        </w:r>
      </w:hyperlink>
      <w:r w:rsidR="00203F72" w:rsidRPr="00A53581">
        <w:rPr>
          <w:rFonts w:ascii="新細明體" w:hAnsi="新細明體"/>
          <w:lang w:bidi="bn-IN"/>
        </w:rPr>
        <w:t>之保障</w:t>
      </w:r>
    </w:p>
    <w:p w14:paraId="47222F89" w14:textId="77777777" w:rsidR="006879EB" w:rsidRPr="00515D85" w:rsidRDefault="00026D0F" w:rsidP="00D87D91">
      <w:r>
        <w:t xml:space="preserve">　　</w:t>
      </w:r>
      <w:r w:rsidR="00203F72" w:rsidRPr="00A53581">
        <w:t>就外國人收容、延長收容規定，</w:t>
      </w:r>
      <w:r w:rsidR="00203F72" w:rsidRPr="00A53581">
        <w:rPr>
          <w:lang w:bidi="bn-IN"/>
        </w:rPr>
        <w:t>我國目前對於外國人與大陸地區人民之收容，規定於移民法、兩岸條例、香港澳門關係條例或就業服務法第</w:t>
      </w:r>
      <w:r w:rsidR="00203F72" w:rsidRPr="00A53581">
        <w:rPr>
          <w:lang w:bidi="bn-IN"/>
        </w:rPr>
        <w:t>68</w:t>
      </w:r>
      <w:r w:rsidR="00203F72" w:rsidRPr="00A53581">
        <w:rPr>
          <w:lang w:bidi="bn-IN"/>
        </w:rPr>
        <w:t>條第</w:t>
      </w:r>
      <w:r w:rsidR="00203F72" w:rsidRPr="00A53581">
        <w:rPr>
          <w:lang w:bidi="bn-IN"/>
        </w:rPr>
        <w:t>4</w:t>
      </w:r>
      <w:r w:rsidR="00203F72" w:rsidRPr="00A53581">
        <w:rPr>
          <w:lang w:bidi="bn-IN"/>
        </w:rPr>
        <w:t>項等法規，但執行</w:t>
      </w:r>
      <w:r w:rsidR="00203F72" w:rsidRPr="00515D85">
        <w:t>主要依據為我國移民</w:t>
      </w:r>
      <w:r w:rsidR="002673A4" w:rsidRPr="00E2576E">
        <w:t>法</w:t>
      </w:r>
      <w:hyperlink r:id="rId2148"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515D85">
        <w:footnoteReference w:id="803"/>
      </w:r>
      <w:r w:rsidR="00203F72" w:rsidRPr="00515D85">
        <w:t>；對於非法外來人口，移民署於逮捕後，將該等外來人口暫時留置於收容處所。若需延長收容時間，依移民法規定，由移民署逕予收容處分書。可以明顯看出來收容及延長收容處分並沒有經過法院審理，僅只由行政機關單方面做成決定，此種行政處分並沒有經過中立、公立的裁決程序。依移民法第三十九條之規定，「入出國及移民署對外國人之收容管理，應設置或指定適當處所為之；其收容程序、管理方式及其他應遵行事項之規則，由主管機關定之。」依上條規定，將收容制度的細節，也均委託主管機關制定之</w:t>
      </w:r>
      <w:r w:rsidR="00203F72" w:rsidRPr="00515D85">
        <w:footnoteReference w:id="804"/>
      </w:r>
      <w:r w:rsidR="00203F72" w:rsidRPr="00515D85">
        <w:t>。「收容」是限制人身自由的行政措施，人身自由的保障屬於普世適用的人權，是基本人權重要實踐的最低要求，既然收容對人權幹預程度如此之深，自應以更實質的正當程序與更具體的法官保留為之</w:t>
      </w:r>
      <w:r w:rsidR="00203F72" w:rsidRPr="00515D85">
        <w:footnoteReference w:id="805"/>
      </w:r>
      <w:r w:rsidR="00203F72" w:rsidRPr="00515D85">
        <w:t>。</w:t>
      </w:r>
    </w:p>
    <w:p w14:paraId="05868818" w14:textId="77777777" w:rsidR="00203F72" w:rsidRPr="00515D85" w:rsidRDefault="00026D0F" w:rsidP="00D87D91">
      <w:r w:rsidRPr="00515D85">
        <w:t xml:space="preserve">　　</w:t>
      </w:r>
      <w:r w:rsidR="00203F72" w:rsidRPr="00515D85">
        <w:t>依「公民權利和政治權利國際公約」</w:t>
      </w:r>
      <w:hyperlink r:id="rId2149" w:anchor="a2" w:history="1">
        <w:r w:rsidR="00203F72" w:rsidRPr="0037077F">
          <w:rPr>
            <w:rStyle w:val="a5"/>
            <w:rFonts w:ascii="Times New Roman" w:eastAsia="新細明體" w:hAnsi="Times New Roman"/>
          </w:rPr>
          <w:t>第二條</w:t>
        </w:r>
      </w:hyperlink>
      <w:r w:rsidR="00203F72" w:rsidRPr="00515D85">
        <w:t>「一、本公約每一締約國承擔尊重和保證在其領土內和受其管轄的一切個人享有本公約所承認的權利，不分種族、膚色、性別、語言、宗教、政治或其他見解、國籍或社會出身、財產、出生或其他身分等任何區別。二、凡未經現行立法或其他措施予以規定者，本公約每一締約國承擔按照其憲法程序和本公約的規定採取必要步驟，以採納為實施本公約所承認的權利所需的立法或其他措施」、「經濟、社會和文化權利國際公約」</w:t>
      </w:r>
      <w:hyperlink r:id="rId2150" w:anchor="a2" w:history="1">
        <w:r w:rsidR="00203F72" w:rsidRPr="0037077F">
          <w:rPr>
            <w:rStyle w:val="a5"/>
            <w:rFonts w:ascii="Times New Roman" w:eastAsia="新細明體" w:hAnsi="Times New Roman"/>
          </w:rPr>
          <w:t>第二條</w:t>
        </w:r>
      </w:hyperlink>
      <w:r w:rsidR="00203F72" w:rsidRPr="00515D85">
        <w:t>「本公約締約各國承擔保證，本公約所宣佈的權利應予普遍行使，而不得有例如種族、膚色、性別、語言、宗教、政治或其他見解、國籍或社會出身、財產、出生或其他身分等任何區分。」、「世界人權宣言」</w:t>
      </w:r>
      <w:hyperlink r:id="rId2151" w:anchor="a1" w:history="1">
        <w:r w:rsidR="00203F72" w:rsidRPr="0037077F">
          <w:rPr>
            <w:rStyle w:val="a5"/>
            <w:rFonts w:ascii="Times New Roman" w:eastAsia="新細明體" w:hAnsi="Times New Roman"/>
          </w:rPr>
          <w:t>第一條</w:t>
        </w:r>
      </w:hyperlink>
      <w:r w:rsidR="00203F72" w:rsidRPr="00515D85">
        <w:t>「人人生而自由，在尊嚴和權力上一律平等」、中華民國</w:t>
      </w:r>
      <w:r w:rsidR="001A46D0" w:rsidRPr="00191266">
        <w:t>憲法</w:t>
      </w:r>
      <w:hyperlink r:id="rId2152" w:anchor="a7" w:history="1">
        <w:r w:rsidR="001A46D0" w:rsidRPr="007D50BB">
          <w:rPr>
            <w:rStyle w:val="a5"/>
            <w:rFonts w:ascii="Times New Roman" w:hAnsi="Times New Roman"/>
          </w:rPr>
          <w:t>第七條</w:t>
        </w:r>
      </w:hyperlink>
      <w:r w:rsidR="00203F72" w:rsidRPr="00515D85">
        <w:t>「中華民國人民，無分男女、宗教、種族、階級、黨派，在法律上一律平等」等上述兩公約及憲法之規定可得知，外國人應享有與國人一樣的人權，因此對於侵害個人權益重大的收容措施，不應交由行政機關裁處，確是無庸置疑。</w:t>
      </w:r>
    </w:p>
    <w:p w14:paraId="151FB4B9" w14:textId="77777777" w:rsidR="00203F72" w:rsidRPr="00515D85" w:rsidRDefault="00026D0F" w:rsidP="00D87D91">
      <w:r w:rsidRPr="00515D85">
        <w:t xml:space="preserve">　　</w:t>
      </w:r>
      <w:r w:rsidR="00203F72" w:rsidRPr="00515D85">
        <w:t>再觀「公民權利和政治權利國際公約」</w:t>
      </w:r>
      <w:hyperlink r:id="rId2153" w:anchor="a9" w:history="1">
        <w:r w:rsidR="00BD43D3" w:rsidRPr="00981964">
          <w:rPr>
            <w:rStyle w:val="a5"/>
          </w:rPr>
          <w:t>第九條</w:t>
        </w:r>
      </w:hyperlink>
      <w:r w:rsidR="00203F72" w:rsidRPr="00515D85">
        <w:footnoteReference w:id="806"/>
      </w:r>
      <w:r w:rsidR="00203F72" w:rsidRPr="00515D85">
        <w:t>及我國憲</w:t>
      </w:r>
      <w:r w:rsidR="00F84373" w:rsidRPr="00A53581">
        <w:rPr>
          <w:rFonts w:ascii="新細明體" w:hAnsi="新細明體" w:hint="eastAsia"/>
          <w:kern w:val="0"/>
        </w:rPr>
        <w:t>法</w:t>
      </w:r>
      <w:hyperlink r:id="rId2154" w:anchor="a8" w:history="1">
        <w:r w:rsidR="00F84373" w:rsidRPr="00F84373">
          <w:rPr>
            <w:rStyle w:val="a5"/>
            <w:rFonts w:eastAsia="新細明體" w:hint="eastAsia"/>
            <w:kern w:val="0"/>
          </w:rPr>
          <w:t>第八條</w:t>
        </w:r>
      </w:hyperlink>
      <w:r w:rsidR="00203F72" w:rsidRPr="00515D85">
        <w:footnoteReference w:id="807"/>
      </w:r>
      <w:r w:rsidR="00203F72" w:rsidRPr="00515D85">
        <w:t>有關人身自由之規定等之相關規定，據此可知，對於人身自由之拘束基本上屬於高標準的「法律明確性」要求，應適用比例原則，不得逾越必要程度，且幾近絕對的「法官保留」</w:t>
      </w:r>
      <w:r w:rsidR="00203F72" w:rsidRPr="00515D85">
        <w:footnoteReference w:id="808"/>
      </w:r>
      <w:r w:rsidR="00203F72" w:rsidRPr="00515D85">
        <w:t>。再者，根據大法官會議解釋</w:t>
      </w:r>
      <w:hyperlink r:id="rId2155" w:anchor="r384" w:history="1">
        <w:r w:rsidR="00A32AD8" w:rsidRPr="00A32AD8">
          <w:rPr>
            <w:rStyle w:val="a5"/>
            <w:rFonts w:ascii="Times New Roman" w:hAnsi="Times New Roman"/>
          </w:rPr>
          <w:t>第</w:t>
        </w:r>
        <w:r w:rsidR="00A32AD8" w:rsidRPr="00A32AD8">
          <w:rPr>
            <w:rStyle w:val="a5"/>
            <w:rFonts w:ascii="Times New Roman" w:hAnsi="Times New Roman"/>
          </w:rPr>
          <w:t>384</w:t>
        </w:r>
        <w:r w:rsidR="00A32AD8" w:rsidRPr="00A32AD8">
          <w:rPr>
            <w:rStyle w:val="a5"/>
            <w:rFonts w:ascii="Times New Roman" w:hAnsi="Times New Roman"/>
          </w:rPr>
          <w:t>號</w:t>
        </w:r>
      </w:hyperlink>
      <w:r w:rsidR="00203F72" w:rsidRPr="00515D85">
        <w:t>之內容，「憲</w:t>
      </w:r>
      <w:r w:rsidR="00F84373" w:rsidRPr="00A53581">
        <w:rPr>
          <w:rFonts w:ascii="新細明體" w:hAnsi="新細明體" w:hint="eastAsia"/>
          <w:kern w:val="0"/>
        </w:rPr>
        <w:t>法</w:t>
      </w:r>
      <w:hyperlink r:id="rId2156" w:anchor="a8" w:history="1">
        <w:r w:rsidR="00F84373" w:rsidRPr="00F84373">
          <w:rPr>
            <w:rStyle w:val="a5"/>
            <w:rFonts w:eastAsia="新細明體" w:hint="eastAsia"/>
            <w:kern w:val="0"/>
          </w:rPr>
          <w:t>第八條</w:t>
        </w:r>
      </w:hyperlink>
      <w:r w:rsidR="00203F72" w:rsidRPr="00515D85">
        <w:t>第一項規定：「人民身體之自由應予保障。除現行犯之逮捕由法律另定外，非經司法或警察機關依法定程序，不得逮捕拘禁。非由法院依法定程序，不得審問處罰。非依法定程序之逮捕、拘禁、審問、處罰，得拒絕之。」其所稱「依法定程序」，係指凡限制人民身體自由之處置，不問其是否屬於刑事被告之身分，國家機關所依據之程序，須以法律規定，其內容更須實質正當，並符合憲</w:t>
      </w:r>
      <w:r w:rsidR="00B525CE" w:rsidRPr="00A53581">
        <w:rPr>
          <w:rFonts w:ascii="新細明體" w:hAnsi="新細明體"/>
        </w:rPr>
        <w:t>法第</w:t>
      </w:r>
      <w:hyperlink r:id="rId2157" w:anchor="a23" w:history="1">
        <w:r w:rsidR="00B525CE" w:rsidRPr="00B525CE">
          <w:rPr>
            <w:rStyle w:val="a5"/>
          </w:rPr>
          <w:t>二十三</w:t>
        </w:r>
      </w:hyperlink>
      <w:r w:rsidR="00B525CE" w:rsidRPr="00A53581">
        <w:rPr>
          <w:rFonts w:ascii="新細明體" w:hAnsi="新細明體"/>
        </w:rPr>
        <w:t>條</w:t>
      </w:r>
      <w:r w:rsidR="00203F72" w:rsidRPr="00515D85">
        <w:t>所定相關之條件。」此外，大法官會議解釋</w:t>
      </w:r>
      <w:hyperlink r:id="rId2158" w:anchor="r636" w:history="1">
        <w:r w:rsidR="00981964" w:rsidRPr="00981964">
          <w:rPr>
            <w:rStyle w:val="a5"/>
            <w:rFonts w:ascii="Times New Roman" w:eastAsia="新細明體" w:hAnsi="Times New Roman"/>
          </w:rPr>
          <w:t>第</w:t>
        </w:r>
        <w:r w:rsidR="00981964" w:rsidRPr="00981964">
          <w:rPr>
            <w:rStyle w:val="a5"/>
            <w:rFonts w:ascii="Times New Roman" w:eastAsia="新細明體" w:hAnsi="Times New Roman"/>
          </w:rPr>
          <w:t>636</w:t>
        </w:r>
        <w:r w:rsidR="00981964" w:rsidRPr="00981964">
          <w:rPr>
            <w:rStyle w:val="a5"/>
            <w:rFonts w:ascii="Times New Roman" w:eastAsia="新細明體" w:hAnsi="Times New Roman"/>
          </w:rPr>
          <w:t>號</w:t>
        </w:r>
      </w:hyperlink>
      <w:r w:rsidR="00203F72" w:rsidRPr="00515D85">
        <w:t>理由書亦指出，「</w:t>
      </w:r>
      <w:r w:rsidR="00203F72" w:rsidRPr="00515D85">
        <w:t>….</w:t>
      </w:r>
      <w:r w:rsidR="00203F72" w:rsidRPr="00515D85">
        <w:t>人民身體自由享有充分保障，乃行使憲法所保障其他自由權利之前提，為重要之基本人權。故憲</w:t>
      </w:r>
      <w:r w:rsidR="00F84373" w:rsidRPr="00A53581">
        <w:rPr>
          <w:rFonts w:ascii="新細明體" w:hAnsi="新細明體" w:hint="eastAsia"/>
          <w:kern w:val="0"/>
        </w:rPr>
        <w:t>法</w:t>
      </w:r>
      <w:hyperlink r:id="rId2159" w:anchor="a8" w:history="1">
        <w:r w:rsidR="00F84373" w:rsidRPr="00F84373">
          <w:rPr>
            <w:rStyle w:val="a5"/>
            <w:rFonts w:eastAsia="新細明體" w:hint="eastAsia"/>
            <w:kern w:val="0"/>
          </w:rPr>
          <w:t>第八條</w:t>
        </w:r>
      </w:hyperlink>
      <w:r w:rsidR="00203F72" w:rsidRPr="00515D85">
        <w:t>對人民身體自由之保障，特詳加規定，其第一項規定「人民身體之自由應予保障。除現行犯之逮捕由法律另定外，非經司法或警察機關依法定程序，不得逮捕拘禁。非由法院依法定程序，不得審問處罰。非依法定程序之逮捕、拘禁、審問、處罰，得拒絕之。」考其意旨，係指國家行使公權力限制人民身體自由，必須遵循法定程序，在一定限度內為憲法保留之範圍。所謂法定程序，依本院歷來之解釋，凡拘束人民身體自由於特定處所，而與剝奪人民身體自由之刑罰無異者，不問其限制人民身體自由出於何種名義，除須有法律之依據外，尚須分別踐行正當法律程序，且所踐行之程序，應與限制刑事被告人身自由所踐行之正當法律程序相類。」依據上述之解釋文，對於人身自由之剝奪，應踐行正當法律程序。</w:t>
      </w:r>
    </w:p>
    <w:p w14:paraId="7C64D2ED" w14:textId="77777777" w:rsidR="00203F72" w:rsidRPr="00515D85" w:rsidRDefault="00026D0F" w:rsidP="00D87D91">
      <w:r w:rsidRPr="00515D85">
        <w:t xml:space="preserve">　　</w:t>
      </w:r>
      <w:r w:rsidR="00203F72" w:rsidRPr="00515D85">
        <w:t>於民國</w:t>
      </w:r>
      <w:r w:rsidR="00203F72" w:rsidRPr="00515D85">
        <w:t>102</w:t>
      </w:r>
      <w:r w:rsidR="00203F72" w:rsidRPr="00515D85">
        <w:t>年</w:t>
      </w:r>
      <w:r w:rsidR="00203F72" w:rsidRPr="00515D85">
        <w:t>2</w:t>
      </w:r>
      <w:r w:rsidR="00203F72" w:rsidRPr="00515D85">
        <w:t>月</w:t>
      </w:r>
      <w:r w:rsidR="00203F72" w:rsidRPr="00515D85">
        <w:t>6</w:t>
      </w:r>
      <w:r w:rsidR="00203F72" w:rsidRPr="00515D85">
        <w:t>日，大法官會議作出最新釋字</w:t>
      </w:r>
      <w:hyperlink r:id="rId2160"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之解釋，本案係關於受驅逐出國外國人之收容案，解釋爭點為外國人受驅逐前由移民署為暫時收容，未有即時司法救濟；又逾越暫時收容期間之收容，非由法院審查決定，均違憲否？依據釋字</w:t>
      </w:r>
      <w:hyperlink r:id="rId2161"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之解釋文，民國</w:t>
      </w:r>
      <w:r w:rsidR="00203F72" w:rsidRPr="00515D85">
        <w:t>96</w:t>
      </w:r>
      <w:r w:rsidR="00203F72" w:rsidRPr="00515D85">
        <w:t>年</w:t>
      </w:r>
      <w:r w:rsidR="00203F72" w:rsidRPr="00515D85">
        <w:t>12</w:t>
      </w:r>
      <w:r w:rsidR="00203F72" w:rsidRPr="00515D85">
        <w:t>月</w:t>
      </w:r>
      <w:r w:rsidR="00203F72" w:rsidRPr="00515D85">
        <w:t>26</w:t>
      </w:r>
      <w:r w:rsidR="00203F72" w:rsidRPr="00515D85">
        <w:t>日修正公布之入出國及移民</w:t>
      </w:r>
      <w:r w:rsidR="002673A4" w:rsidRPr="00E2576E">
        <w:t>法</w:t>
      </w:r>
      <w:hyperlink r:id="rId2162"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515D85">
        <w:t>第</w:t>
      </w:r>
      <w:r w:rsidR="00203F72" w:rsidRPr="00515D85">
        <w:t>1</w:t>
      </w:r>
      <w:r w:rsidR="00203F72" w:rsidRPr="00515D85">
        <w:t>項：「外國人有下列情形之一者，入出國及移民署得暫予收容</w:t>
      </w:r>
      <w:r w:rsidR="00203F72" w:rsidRPr="00515D85">
        <w:t>……</w:t>
      </w:r>
      <w:r w:rsidR="00203F72" w:rsidRPr="00515D85">
        <w:t>」（即</w:t>
      </w:r>
      <w:r w:rsidR="00203F72" w:rsidRPr="00515D85">
        <w:t>100</w:t>
      </w:r>
      <w:r w:rsidR="00203F72" w:rsidRPr="00515D85">
        <w:t>年</w:t>
      </w:r>
      <w:r w:rsidR="00203F72" w:rsidRPr="00515D85">
        <w:t>11</w:t>
      </w:r>
      <w:r w:rsidR="00203F72" w:rsidRPr="00515D85">
        <w:t>月</w:t>
      </w:r>
      <w:r w:rsidR="00203F72" w:rsidRPr="00515D85">
        <w:t>23</w:t>
      </w:r>
      <w:r w:rsidR="00203F72" w:rsidRPr="00515D85">
        <w:t>日修正公布同條項：「外國人有下列情形之一，</w:t>
      </w:r>
      <w:r w:rsidR="00203F72" w:rsidRPr="00515D85">
        <w:t>……</w:t>
      </w:r>
      <w:r w:rsidR="00203F72" w:rsidRPr="00515D85">
        <w:t>入出國及移民署得暫予收容</w:t>
      </w:r>
      <w:r w:rsidR="00203F72" w:rsidRPr="00515D85">
        <w:t>……</w:t>
      </w:r>
      <w:r w:rsidR="00203F72" w:rsidRPr="00515D85">
        <w:t>」）之規定，其因遣送所需合理作業期間之暫時收容部分，未賦予受暫時收容人即時之司法救濟；又逾越上開暫時收容期間之收容部分，非由法院審查決定，均有違憲</w:t>
      </w:r>
      <w:r w:rsidR="00F84373" w:rsidRPr="00A53581">
        <w:rPr>
          <w:rFonts w:ascii="新細明體" w:hAnsi="新細明體" w:hint="eastAsia"/>
          <w:kern w:val="0"/>
        </w:rPr>
        <w:t>法</w:t>
      </w:r>
      <w:hyperlink r:id="rId2163" w:anchor="a8" w:history="1">
        <w:r w:rsidR="00F84373" w:rsidRPr="00F84373">
          <w:rPr>
            <w:rStyle w:val="a5"/>
            <w:rFonts w:eastAsia="新細明體" w:hint="eastAsia"/>
            <w:kern w:val="0"/>
          </w:rPr>
          <w:t>第八條</w:t>
        </w:r>
      </w:hyperlink>
      <w:r w:rsidR="00203F72" w:rsidRPr="00515D85">
        <w:t>第一項保障人民身體自由之意旨，應自本解釋公布之日起，至遲於屆滿二年時，失其效力</w:t>
      </w:r>
      <w:r w:rsidR="00545D58" w:rsidRPr="00515D85">
        <w:t>。</w:t>
      </w:r>
    </w:p>
    <w:p w14:paraId="42FCD75E" w14:textId="77777777" w:rsidR="00203F72" w:rsidRPr="00515D85" w:rsidRDefault="00026D0F" w:rsidP="00D87D91">
      <w:r w:rsidRPr="00515D85">
        <w:t xml:space="preserve">　　</w:t>
      </w:r>
      <w:r w:rsidR="00203F72" w:rsidRPr="00515D85">
        <w:t>根據大法官會議釋字</w:t>
      </w:r>
      <w:hyperlink r:id="rId2164"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之理由書內容，人民身體自由享有充分保障，乃行使其憲法上所保障其他自由權利之前提，為重要之基本人權。故憲</w:t>
      </w:r>
      <w:r w:rsidR="00690E4D" w:rsidRPr="00A53581">
        <w:rPr>
          <w:rFonts w:ascii="新細明體" w:hAnsi="新細明體" w:hint="eastAsia"/>
          <w:kern w:val="0"/>
        </w:rPr>
        <w:t>法</w:t>
      </w:r>
      <w:hyperlink r:id="rId2165" w:anchor="a8" w:history="1">
        <w:r w:rsidR="00690E4D" w:rsidRPr="00F84373">
          <w:rPr>
            <w:rStyle w:val="a5"/>
            <w:rFonts w:eastAsia="新細明體" w:hint="eastAsia"/>
            <w:kern w:val="0"/>
          </w:rPr>
          <w:t>第八條</w:t>
        </w:r>
      </w:hyperlink>
      <w:r w:rsidR="00203F72" w:rsidRPr="00515D85">
        <w:t>第一項即明示：「人民身體之自由應予保障。除現行犯之逮捕由法律另定外，非經司法或警察機關依法定程序，不得逮捕拘禁。非由法院依法定程序，不得審問處罰。非依法定程序之逮捕、拘禁、審問、處罰，得拒絕之。」是國家剝奪或限制人民身體自由之處置，不問其是否屬於刑事被告之身分，除須有法律之依據外，尚應踐行必要之司法程序或其他正當法律程序，始符合上開憲法之意旨（本院釋字第五八八號、第六三六號解釋參照）。又人身自由係基本人權，為人類一切自由、權利之根本，任何人不分國籍均應受保障，此為現代法治國家共同之準則。故我國憲</w:t>
      </w:r>
      <w:r w:rsidR="00690E4D" w:rsidRPr="00A53581">
        <w:rPr>
          <w:rFonts w:ascii="新細明體" w:hAnsi="新細明體" w:hint="eastAsia"/>
          <w:kern w:val="0"/>
        </w:rPr>
        <w:t>法</w:t>
      </w:r>
      <w:hyperlink r:id="rId2166" w:anchor="a8" w:history="1">
        <w:r w:rsidR="00690E4D" w:rsidRPr="00F84373">
          <w:rPr>
            <w:rStyle w:val="a5"/>
            <w:rFonts w:eastAsia="新細明體" w:hint="eastAsia"/>
            <w:kern w:val="0"/>
          </w:rPr>
          <w:t>第八條</w:t>
        </w:r>
      </w:hyperlink>
      <w:r w:rsidR="00203F72" w:rsidRPr="00515D85">
        <w:t>關於人身自由之保障亦應及於外國人，使與本國人同受保障。</w:t>
      </w:r>
    </w:p>
    <w:p w14:paraId="78DF01FE" w14:textId="77777777" w:rsidR="00203F72" w:rsidRPr="00515D85" w:rsidRDefault="00026D0F" w:rsidP="00D87D91">
      <w:r w:rsidRPr="00515D85">
        <w:t xml:space="preserve">　　</w:t>
      </w:r>
      <w:r w:rsidR="00203F72" w:rsidRPr="00515D85">
        <w:t>系爭規定所稱之「收容」，雖與刑事羈押或處罰之性質不同，但仍係於一定期間拘束受收容外國人於一定處所，使其與外界隔離</w:t>
      </w:r>
      <w:r w:rsidR="00203F72" w:rsidRPr="00515D85">
        <w:t>….</w:t>
      </w:r>
      <w:r w:rsidR="00203F72" w:rsidRPr="00515D85">
        <w:t>，亦屬剝奪人身自由之一種態樣，係嚴重幹預人民身體自由之強制處分</w:t>
      </w:r>
      <w:r w:rsidR="00203F72" w:rsidRPr="00515D85">
        <w:t>…</w:t>
      </w:r>
      <w:r w:rsidR="00203F72" w:rsidRPr="00515D85">
        <w:t>，依憲</w:t>
      </w:r>
      <w:r w:rsidR="00690E4D" w:rsidRPr="00A53581">
        <w:rPr>
          <w:rFonts w:ascii="新細明體" w:hAnsi="新細明體" w:hint="eastAsia"/>
          <w:kern w:val="0"/>
        </w:rPr>
        <w:t>法</w:t>
      </w:r>
      <w:hyperlink r:id="rId2167" w:anchor="a8" w:history="1">
        <w:r w:rsidR="00690E4D" w:rsidRPr="00F84373">
          <w:rPr>
            <w:rStyle w:val="a5"/>
            <w:rFonts w:eastAsia="新細明體" w:hint="eastAsia"/>
            <w:kern w:val="0"/>
          </w:rPr>
          <w:t>第八條</w:t>
        </w:r>
      </w:hyperlink>
      <w:r w:rsidR="00203F72" w:rsidRPr="00515D85">
        <w:t>第一項規定意旨，自須踐行必要之司法程序或其他正當法律程序。惟刑事被告與非刑事被告之人身自由限制，在目的、方式與程度上畢竟有其差異，是其踐行之司法程序或其他正當法律程序，自非均須同一不可</w:t>
      </w:r>
      <w:r w:rsidR="00203F72" w:rsidRPr="00515D85">
        <w:t>…</w:t>
      </w:r>
      <w:r w:rsidR="00203F72" w:rsidRPr="00515D85">
        <w:t>。查外國人並無自由進入我國國境之權利，而入出國及移民署依系爭規定收容外國人之目的，在儘速將外國人遣送出國，非為逮捕拘禁犯罪嫌疑人，則在該外國人可立即於短期間內迅速遣送出國之情形下，入出國及移民署自須有合理之作業期間，以利執行遣送事宜，例如代為洽購機票、申辦護照及旅行檔、聯繫相關機構協助或其他應辦事項，乃遣送出國過程本質上所必要。因此，從整體法秩序為價值判斷，系爭規定賦予該署合理之遣送作業期間，且於此短暫期間內得處分暫時收容該外國人，以防範其脫逃，俾能迅速將該外國人遣送出國，當屬合理、必要，亦屬國家主權之行使，並不違反憲</w:t>
      </w:r>
      <w:r w:rsidR="00690E4D" w:rsidRPr="00A53581">
        <w:rPr>
          <w:rFonts w:ascii="新細明體" w:hAnsi="新細明體" w:hint="eastAsia"/>
          <w:kern w:val="0"/>
        </w:rPr>
        <w:t>法</w:t>
      </w:r>
      <w:hyperlink r:id="rId2168" w:anchor="a8" w:history="1">
        <w:r w:rsidR="00690E4D" w:rsidRPr="00F84373">
          <w:rPr>
            <w:rStyle w:val="a5"/>
            <w:rFonts w:eastAsia="新細明體" w:hint="eastAsia"/>
            <w:kern w:val="0"/>
          </w:rPr>
          <w:t>第八條</w:t>
        </w:r>
      </w:hyperlink>
      <w:r w:rsidR="00203F72" w:rsidRPr="00515D85">
        <w:t>第一項保障人身自由之意旨，是此暫時收容之處分部分，尚無須經由法院為之。惟基於上述憲法意旨，為落實即時有效之保障功能，對上述處分仍應賦予受暫時收容之外國人有立即聲請法院審查決定之救濟機會，倘受收容人於暫時收容期間內，對於暫時收容處分表示不服，或要求由法院審查決定是否予以收容，入出國及移民署應即於二十四小時內將受收容人移送法院迅速裁定是否予以收容；且於處分或裁定收容之後，亦應即以受收容之外國人可理解之語言及書面，告知其處分收容之原因、法律依據及不服處分之司法救濟途徑，並通知其指定之在臺親友或其原籍國駐華使領館或授權機關，俾受收容人善用上述救濟程序，得即時有效維護其權益，方符上開憲法保障人身自由之意旨。至於因執行遣送作業所需暫時收容之期間長短，則應由立法者斟酌行政作業所需時程及上述遣送前應行處理之事項等實際需要而以法律定之。惟考量暫時收容期間不宜過長，避免過度幹預受暫時收容人之人身自由，並衡酌入出國及移民署現行作業實務，約百分之七十之受收容人可於十五日內遣送出國（入出國及移民署</w:t>
      </w:r>
      <w:r w:rsidR="00203F72" w:rsidRPr="00515D85">
        <w:t>102</w:t>
      </w:r>
      <w:r w:rsidR="00203F72" w:rsidRPr="00515D85">
        <w:t>年</w:t>
      </w:r>
      <w:r w:rsidR="00203F72" w:rsidRPr="00515D85">
        <w:t>1</w:t>
      </w:r>
      <w:r w:rsidR="00203F72" w:rsidRPr="00515D85">
        <w:t>月</w:t>
      </w:r>
      <w:r w:rsidR="00203F72" w:rsidRPr="00515D85">
        <w:t>9</w:t>
      </w:r>
      <w:r w:rsidR="00203F72" w:rsidRPr="00515D85">
        <w:t>日移署專一蓮字第</w:t>
      </w:r>
      <w:r w:rsidR="00203F72" w:rsidRPr="00515D85">
        <w:t>1020011457</w:t>
      </w:r>
      <w:r w:rsidR="00203F72" w:rsidRPr="00515D85">
        <w:t>號函參照）等情，是得由該署處分暫時收容之期間，其上限不得超過十五日。</w:t>
      </w:r>
      <w:r w:rsidR="00203F72" w:rsidRPr="00515D85">
        <w:cr/>
      </w:r>
      <w:r w:rsidRPr="00515D85">
        <w:t xml:space="preserve">　　</w:t>
      </w:r>
      <w:r w:rsidR="00203F72" w:rsidRPr="00515D85">
        <w:t>至受收容人於暫時收容期間內，未表示不服或要求由法院審查決定是否收容，且暫時收容期間將屆滿者，入出國及移民署倘認有繼續收容之必要，因事關人身自由之長期剝奪，基於上述憲法保障人身自由之正當法律程序之要求，系爭規定關於逾越前述暫時收容期間之收容部分，自應由公正、獨立審判之法院依法審查決定。故入出國及移民署應於暫時收容期間屆滿之前，將受暫時收容人移送法院聲請裁定收容，始能續予收容；嗣後如依法有延長收容之必要者，亦同。</w:t>
      </w:r>
    </w:p>
    <w:p w14:paraId="1E5C6D1A" w14:textId="77777777" w:rsidR="00203F72" w:rsidRPr="00515D85" w:rsidRDefault="00026D0F" w:rsidP="00D87D91">
      <w:r w:rsidRPr="00515D85">
        <w:t xml:space="preserve">　　</w:t>
      </w:r>
      <w:r w:rsidR="00203F72" w:rsidRPr="00515D85">
        <w:t>綜上所述，系爭規定授權入出國及移民署對受驅逐出國之外國人得以行政處分暫予收容，其中就遣送所需合理作業期間之暫時收容部分，固非憲法所不許，惟對受收容人必要之保障，雖於</w:t>
      </w:r>
      <w:r w:rsidR="00203F72" w:rsidRPr="00515D85">
        <w:t>100</w:t>
      </w:r>
      <w:r w:rsidR="00203F72" w:rsidRPr="00515D85">
        <w:t>年</w:t>
      </w:r>
      <w:r w:rsidR="00203F72" w:rsidRPr="00515D85">
        <w:t>11</w:t>
      </w:r>
      <w:r w:rsidR="00203F72" w:rsidRPr="00515D85">
        <w:t>月</w:t>
      </w:r>
      <w:r w:rsidR="00203F72" w:rsidRPr="00515D85">
        <w:t>23</w:t>
      </w:r>
      <w:r w:rsidR="00203F72" w:rsidRPr="00515D85">
        <w:t>日已修正增訂入出國及移民法</w:t>
      </w:r>
      <w:r w:rsidR="00A5735A" w:rsidRPr="00E2576E">
        <w:t>第</w:t>
      </w:r>
      <w:hyperlink r:id="rId2169" w:anchor="b38" w:history="1">
        <w:r w:rsidR="00A5735A" w:rsidRPr="00E2576E">
          <w:rPr>
            <w:rStyle w:val="a5"/>
            <w:rFonts w:ascii="Times New Roman" w:hAnsi="Times New Roman"/>
          </w:rPr>
          <w:t>三十八</w:t>
        </w:r>
      </w:hyperlink>
      <w:r w:rsidR="00A5735A" w:rsidRPr="00E2576E">
        <w:t>條</w:t>
      </w:r>
      <w:r w:rsidR="00203F72" w:rsidRPr="00515D85">
        <w:t>第八項，規定收容之處分應以當事人理解之語文作成書面通知，附記處分理由及不服處分提起救濟之方法、期間、受理機關等相關規定，並聯繫當事人原籍國駐華使領館或授權機構，但仍未賦予受暫時收容人即時有效之司法救濟，難認已充分保障受收容人之基本人權，自與憲</w:t>
      </w:r>
      <w:r w:rsidR="00690E4D" w:rsidRPr="00A53581">
        <w:rPr>
          <w:rFonts w:ascii="新細明體" w:hAnsi="新細明體" w:hint="eastAsia"/>
          <w:kern w:val="0"/>
        </w:rPr>
        <w:t>法</w:t>
      </w:r>
      <w:hyperlink r:id="rId2170" w:anchor="a8" w:history="1">
        <w:r w:rsidR="00690E4D" w:rsidRPr="00F84373">
          <w:rPr>
            <w:rStyle w:val="a5"/>
            <w:rFonts w:eastAsia="新細明體" w:hint="eastAsia"/>
            <w:kern w:val="0"/>
          </w:rPr>
          <w:t>第八條</w:t>
        </w:r>
      </w:hyperlink>
      <w:r w:rsidR="00203F72" w:rsidRPr="00515D85">
        <w:t>第一項正當法律程序有違；又逾越上開暫時收容期間之收容部分，系爭規定由入出國及移民署逕為處分，非由法院審查決定，亦牴觸上開憲法規定保障人身自由之意旨</w:t>
      </w:r>
      <w:r w:rsidR="00545D58" w:rsidRPr="00515D85">
        <w:t>。</w:t>
      </w:r>
    </w:p>
    <w:p w14:paraId="5AD253CA" w14:textId="77777777" w:rsidR="00203F72" w:rsidRPr="00515D85" w:rsidRDefault="00026D0F" w:rsidP="00D87D91">
      <w:r w:rsidRPr="00515D85">
        <w:t xml:space="preserve">　　</w:t>
      </w:r>
      <w:r w:rsidR="00203F72" w:rsidRPr="00515D85">
        <w:t>衡酌本案相關法律修正尚須經歷一定之時程，且須妥為研議完整之配套規定，例如是否增訂具保責付、法律扶助，以及如何建構法院迅速審查及審級救濟等審理機制，並應規範收容場所設施及管理方法之合理性，以維護人性尊嚴，兼顧保障外國人之權利及確保國家安全；受收容人對於暫時收容處分表示不服，或要求由法院審查決定是否予以收容，而由法院裁定時，原暫時收容處分之效力為何，以及法院裁定得審查之範圍，有無必要就驅逐出國處分一併納入審查等整體規定，相關機關應自本解釋公布之日起二年內，依本解釋意旨檢討修正系爭規定及相關法律，屆期未完成修法者，系爭規定與憲法不符部分失其效力</w:t>
      </w:r>
      <w:r w:rsidR="00203F72" w:rsidRPr="00515D85">
        <w:footnoteReference w:id="809"/>
      </w:r>
      <w:r w:rsidR="00203F72" w:rsidRPr="00515D85">
        <w:t>。</w:t>
      </w:r>
    </w:p>
    <w:p w14:paraId="51E541F3" w14:textId="77777777" w:rsidR="00203F72" w:rsidRPr="00515D85" w:rsidRDefault="00145751" w:rsidP="00D87D91">
      <w:r w:rsidRPr="00515D85">
        <w:t xml:space="preserve">　　</w:t>
      </w:r>
      <w:r w:rsidR="00203F72" w:rsidRPr="00515D85">
        <w:t>上述司法院大法官會議</w:t>
      </w:r>
      <w:hyperlink r:id="rId2171" w:anchor="r708" w:history="1">
        <w:r w:rsidR="00203F72" w:rsidRPr="00943369">
          <w:rPr>
            <w:rStyle w:val="a5"/>
            <w:rFonts w:ascii="Times New Roman" w:hAnsi="Times New Roman"/>
          </w:rPr>
          <w:t>第</w:t>
        </w:r>
        <w:r w:rsidR="00203F72" w:rsidRPr="00943369">
          <w:rPr>
            <w:rStyle w:val="a5"/>
            <w:rFonts w:ascii="Times New Roman" w:hAnsi="Times New Roman"/>
          </w:rPr>
          <w:t>708</w:t>
        </w:r>
        <w:r w:rsidR="00203F72" w:rsidRPr="00943369">
          <w:rPr>
            <w:rStyle w:val="a5"/>
            <w:rFonts w:ascii="Times New Roman" w:hAnsi="Times New Roman"/>
          </w:rPr>
          <w:t>號</w:t>
        </w:r>
      </w:hyperlink>
      <w:r w:rsidR="00203F72" w:rsidRPr="00515D85">
        <w:t>之解釋文，主要之特色，如下所述：</w:t>
      </w:r>
    </w:p>
    <w:p w14:paraId="631FF1C0" w14:textId="77777777" w:rsidR="00203F72" w:rsidRPr="00515D85" w:rsidRDefault="00170AAF" w:rsidP="00D87D91">
      <w:r w:rsidRPr="00515D85">
        <w:rPr>
          <w:rFonts w:hint="eastAsia"/>
        </w:rPr>
        <w:t xml:space="preserve">　　</w:t>
      </w:r>
      <w:r w:rsidR="00026D0F" w:rsidRPr="00515D85">
        <w:rPr>
          <w:rFonts w:hint="eastAsia"/>
        </w:rPr>
        <w:t>1</w:t>
      </w:r>
      <w:r w:rsidR="00026D0F" w:rsidRPr="00515D85">
        <w:rPr>
          <w:rFonts w:hint="eastAsia"/>
        </w:rPr>
        <w:t>、</w:t>
      </w:r>
      <w:r w:rsidR="00203F72" w:rsidRPr="00515D85">
        <w:t>民國九</w:t>
      </w:r>
      <w:r w:rsidR="00203F72" w:rsidRPr="00515D85">
        <w:t>96</w:t>
      </w:r>
      <w:r w:rsidR="00203F72" w:rsidRPr="00515D85">
        <w:t>年</w:t>
      </w:r>
      <w:r w:rsidR="00203F72" w:rsidRPr="00515D85">
        <w:t>12</w:t>
      </w:r>
      <w:r w:rsidR="00203F72" w:rsidRPr="00515D85">
        <w:t>月二</w:t>
      </w:r>
      <w:r w:rsidR="00203F72" w:rsidRPr="00515D85">
        <w:t>26</w:t>
      </w:r>
      <w:r w:rsidR="00203F72" w:rsidRPr="00515D85">
        <w:t>日修正公布之入出國及移民</w:t>
      </w:r>
      <w:r w:rsidR="002673A4" w:rsidRPr="00E2576E">
        <w:t>法</w:t>
      </w:r>
      <w:hyperlink r:id="rId2172"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515D85">
        <w:t>第</w:t>
      </w:r>
      <w:r w:rsidR="00203F72" w:rsidRPr="00515D85">
        <w:t>1</w:t>
      </w:r>
      <w:r w:rsidR="00203F72" w:rsidRPr="00515D85">
        <w:t>項：「外國人有下列情形之一者，入出國及移民署得暫予收容</w:t>
      </w:r>
      <w:r w:rsidR="00203F72" w:rsidRPr="00515D85">
        <w:t>……</w:t>
      </w:r>
      <w:r w:rsidR="00203F72" w:rsidRPr="00515D85">
        <w:t>」（即</w:t>
      </w:r>
      <w:r w:rsidR="00203F72" w:rsidRPr="00515D85">
        <w:t>100</w:t>
      </w:r>
      <w:r w:rsidR="00203F72" w:rsidRPr="00515D85">
        <w:t>年</w:t>
      </w:r>
      <w:r w:rsidR="00203F72" w:rsidRPr="00515D85">
        <w:t>11</w:t>
      </w:r>
      <w:r w:rsidR="00203F72" w:rsidRPr="00515D85">
        <w:t>月</w:t>
      </w:r>
      <w:r w:rsidR="00203F72" w:rsidRPr="00515D85">
        <w:t>23</w:t>
      </w:r>
      <w:r w:rsidR="00203F72" w:rsidRPr="00515D85">
        <w:t>日修正公布同條項：「外國人有下列情形之一，</w:t>
      </w:r>
      <w:r w:rsidR="00203F72" w:rsidRPr="00515D85">
        <w:t>……</w:t>
      </w:r>
      <w:r w:rsidR="00203F72" w:rsidRPr="00515D85">
        <w:t>入出國及移民署得暫予收容</w:t>
      </w:r>
      <w:r w:rsidR="00203F72" w:rsidRPr="00515D85">
        <w:t>……</w:t>
      </w:r>
      <w:r w:rsidR="00203F72" w:rsidRPr="00515D85">
        <w:t>」）之規定，有違憲</w:t>
      </w:r>
      <w:r w:rsidR="00690E4D" w:rsidRPr="00A53581">
        <w:rPr>
          <w:rFonts w:ascii="新細明體" w:hAnsi="新細明體" w:hint="eastAsia"/>
          <w:kern w:val="0"/>
        </w:rPr>
        <w:t>法</w:t>
      </w:r>
      <w:hyperlink r:id="rId2173" w:anchor="a8" w:history="1">
        <w:r w:rsidR="00690E4D" w:rsidRPr="00F84373">
          <w:rPr>
            <w:rStyle w:val="a5"/>
            <w:rFonts w:eastAsia="新細明體" w:hint="eastAsia"/>
            <w:kern w:val="0"/>
          </w:rPr>
          <w:t>第八條</w:t>
        </w:r>
      </w:hyperlink>
      <w:r w:rsidR="00203F72" w:rsidRPr="00515D85">
        <w:t>第一項保障人民身體自由之意旨，應自本解釋公布之日起，至遲於屆滿二年時，失其效力。</w:t>
      </w:r>
    </w:p>
    <w:p w14:paraId="5B8A30DC" w14:textId="77777777" w:rsidR="00203F72" w:rsidRPr="00515D85" w:rsidRDefault="00170AAF" w:rsidP="00D87D91">
      <w:r w:rsidRPr="00515D85">
        <w:rPr>
          <w:rFonts w:hint="eastAsia"/>
        </w:rPr>
        <w:t xml:space="preserve">　　</w:t>
      </w:r>
      <w:r w:rsidRPr="00515D85">
        <w:rPr>
          <w:rFonts w:hint="eastAsia"/>
        </w:rPr>
        <w:t>2</w:t>
      </w:r>
      <w:r w:rsidR="00026D0F" w:rsidRPr="00515D85">
        <w:rPr>
          <w:rFonts w:hint="eastAsia"/>
        </w:rPr>
        <w:t>、</w:t>
      </w:r>
      <w:r w:rsidR="00203F72" w:rsidRPr="00515D85">
        <w:t>根據移民法規定，移民署得以行政處分收容外國人，以防範其脫逃，俾能迅速將該外國人遣送出國，當屬合理、必要，亦屬國家主權之行使，並不違反憲</w:t>
      </w:r>
      <w:r w:rsidR="00690E4D" w:rsidRPr="00A53581">
        <w:rPr>
          <w:rFonts w:ascii="新細明體" w:hAnsi="新細明體" w:hint="eastAsia"/>
          <w:kern w:val="0"/>
        </w:rPr>
        <w:t>法</w:t>
      </w:r>
      <w:hyperlink r:id="rId2174" w:anchor="a8" w:history="1">
        <w:r w:rsidR="00690E4D" w:rsidRPr="00F84373">
          <w:rPr>
            <w:rStyle w:val="a5"/>
            <w:rFonts w:eastAsia="新細明體" w:hint="eastAsia"/>
            <w:kern w:val="0"/>
          </w:rPr>
          <w:t>第八條</w:t>
        </w:r>
      </w:hyperlink>
      <w:r w:rsidR="00203F72" w:rsidRPr="00515D85">
        <w:t>第一項保障人身自由之意旨，</w:t>
      </w:r>
    </w:p>
    <w:p w14:paraId="5F814727" w14:textId="77777777" w:rsidR="00203F72" w:rsidRPr="00515D85" w:rsidRDefault="00170AAF" w:rsidP="00D87D91">
      <w:r w:rsidRPr="00515D85">
        <w:rPr>
          <w:rFonts w:hint="eastAsia"/>
        </w:rPr>
        <w:t xml:space="preserve">　　</w:t>
      </w:r>
      <w:r w:rsidRPr="00515D85">
        <w:rPr>
          <w:rFonts w:hint="eastAsia"/>
        </w:rPr>
        <w:t>3</w:t>
      </w:r>
      <w:r w:rsidR="00026D0F" w:rsidRPr="00515D85">
        <w:rPr>
          <w:rFonts w:hint="eastAsia"/>
        </w:rPr>
        <w:t>、</w:t>
      </w:r>
      <w:r w:rsidR="00203F72" w:rsidRPr="00515D85">
        <w:t>移民署於遣送作業短暫期間內得暫時收容該外國人，此暫時收容之處分部分，尚無須經由法院為之。</w:t>
      </w:r>
    </w:p>
    <w:p w14:paraId="7D939E32" w14:textId="77777777" w:rsidR="00203F72" w:rsidRPr="00515D85" w:rsidRDefault="00170AAF" w:rsidP="00D87D91">
      <w:r w:rsidRPr="00515D85">
        <w:rPr>
          <w:rFonts w:hint="eastAsia"/>
        </w:rPr>
        <w:t xml:space="preserve">　　</w:t>
      </w:r>
      <w:r w:rsidRPr="00515D85">
        <w:rPr>
          <w:rFonts w:hint="eastAsia"/>
        </w:rPr>
        <w:t>4</w:t>
      </w:r>
      <w:r w:rsidR="00026D0F" w:rsidRPr="00515D85">
        <w:rPr>
          <w:rFonts w:hint="eastAsia"/>
        </w:rPr>
        <w:t>、</w:t>
      </w:r>
      <w:r w:rsidR="00203F72" w:rsidRPr="00515D85">
        <w:t>移民署對外國人裁處暫時收容之期間，其上限不得超過十五日。</w:t>
      </w:r>
    </w:p>
    <w:p w14:paraId="2328EE1C" w14:textId="77777777" w:rsidR="00203F72" w:rsidRPr="00515D85" w:rsidRDefault="00170AAF" w:rsidP="00D87D91">
      <w:r w:rsidRPr="00515D85">
        <w:rPr>
          <w:rFonts w:hint="eastAsia"/>
        </w:rPr>
        <w:t xml:space="preserve">　　</w:t>
      </w:r>
      <w:r w:rsidRPr="00515D85">
        <w:rPr>
          <w:rFonts w:hint="eastAsia"/>
        </w:rPr>
        <w:t>5</w:t>
      </w:r>
      <w:r w:rsidR="00026D0F" w:rsidRPr="00515D85">
        <w:rPr>
          <w:rFonts w:hint="eastAsia"/>
        </w:rPr>
        <w:t>、</w:t>
      </w:r>
      <w:r w:rsidR="00203F72" w:rsidRPr="00515D85">
        <w:t>移民法規定所稱之「收容」，雖與刑事羈押或處罰之性質不同，但仍係於一定期間拘束受收容外國人於一定處所，使其與外界隔離，亦屬剝奪人身自由之一種態樣，係嚴重幹預人民身體自由之強制處分。</w:t>
      </w:r>
    </w:p>
    <w:p w14:paraId="74436B14" w14:textId="77777777" w:rsidR="00203F72" w:rsidRPr="00515D85" w:rsidRDefault="00170AAF" w:rsidP="00D87D91">
      <w:r w:rsidRPr="00515D85">
        <w:rPr>
          <w:rFonts w:hint="eastAsia"/>
        </w:rPr>
        <w:t xml:space="preserve">　　</w:t>
      </w:r>
      <w:r w:rsidRPr="00515D85">
        <w:rPr>
          <w:rFonts w:hint="eastAsia"/>
        </w:rPr>
        <w:t>6</w:t>
      </w:r>
      <w:r w:rsidR="00026D0F" w:rsidRPr="00515D85">
        <w:rPr>
          <w:rFonts w:hint="eastAsia"/>
        </w:rPr>
        <w:t>、</w:t>
      </w:r>
      <w:r w:rsidR="00203F72" w:rsidRPr="00515D85">
        <w:t>我國憲</w:t>
      </w:r>
      <w:r w:rsidR="00690E4D" w:rsidRPr="00A53581">
        <w:rPr>
          <w:rFonts w:ascii="新細明體" w:hAnsi="新細明體" w:hint="eastAsia"/>
          <w:kern w:val="0"/>
        </w:rPr>
        <w:t>法</w:t>
      </w:r>
      <w:hyperlink r:id="rId2175" w:anchor="a8" w:history="1">
        <w:r w:rsidR="00690E4D" w:rsidRPr="00F84373">
          <w:rPr>
            <w:rStyle w:val="a5"/>
            <w:rFonts w:eastAsia="新細明體" w:hint="eastAsia"/>
            <w:kern w:val="0"/>
          </w:rPr>
          <w:t>第八條</w:t>
        </w:r>
      </w:hyperlink>
      <w:r w:rsidR="00203F72" w:rsidRPr="00515D85">
        <w:t>關於人身自由之保障亦應及於外國人，不問其是否屬於刑事被告之身分，除須有法律之依據外，尚應踐行必要之司法程序或其他正當法律程序，非經司法或警察機關依法定程序，不得逮捕拘禁。非由法院依法定程序，不得審問處罰。非依法定程序之逮捕、拘禁、審問、處罰，得拒絕之。</w:t>
      </w:r>
    </w:p>
    <w:p w14:paraId="596FE656" w14:textId="77777777" w:rsidR="00203F72" w:rsidRPr="00515D85" w:rsidRDefault="00170AAF" w:rsidP="00D87D91">
      <w:r w:rsidRPr="00515D85">
        <w:rPr>
          <w:rFonts w:hint="eastAsia"/>
        </w:rPr>
        <w:t xml:space="preserve">　　</w:t>
      </w:r>
      <w:r w:rsidRPr="00515D85">
        <w:rPr>
          <w:rFonts w:hint="eastAsia"/>
        </w:rPr>
        <w:t>7</w:t>
      </w:r>
      <w:r w:rsidR="00026D0F" w:rsidRPr="00515D85">
        <w:rPr>
          <w:rFonts w:hint="eastAsia"/>
        </w:rPr>
        <w:t>、</w:t>
      </w:r>
      <w:r w:rsidR="00203F72" w:rsidRPr="00515D85">
        <w:t>倘受收容人於暫時收容期間內，對於暫時收容處分表示不服，或要求由法院審查決定是否予以收容，入出國及移民署應即於二十四小時內將受收容人移送法院迅速裁定是否予以收容；</w:t>
      </w:r>
    </w:p>
    <w:p w14:paraId="34E445B0" w14:textId="77777777" w:rsidR="00203F72" w:rsidRPr="00515D85" w:rsidRDefault="00170AAF" w:rsidP="00D87D91">
      <w:r w:rsidRPr="00515D85">
        <w:rPr>
          <w:rFonts w:hint="eastAsia"/>
        </w:rPr>
        <w:t xml:space="preserve">　　</w:t>
      </w:r>
      <w:r w:rsidRPr="00515D85">
        <w:rPr>
          <w:rFonts w:hint="eastAsia"/>
        </w:rPr>
        <w:t>8</w:t>
      </w:r>
      <w:r w:rsidR="00026D0F" w:rsidRPr="00515D85">
        <w:rPr>
          <w:rFonts w:hint="eastAsia"/>
        </w:rPr>
        <w:t>、</w:t>
      </w:r>
      <w:r w:rsidR="00203F72" w:rsidRPr="00515D85">
        <w:t>移民署於處分或裁定收容之後，亦應即以受收容之外國人可理解之語言及書面，告知其處分收容之原因、法律依據及不服處分之司法救濟途徑，並通知其指定之在臺親友或其原籍國駐華使領館或授權機關，俾受收容人善用上述救濟程序，得即時有效維護其權益。</w:t>
      </w:r>
    </w:p>
    <w:p w14:paraId="34523F9D" w14:textId="77777777" w:rsidR="00953151" w:rsidRPr="00515D85" w:rsidRDefault="00170AAF" w:rsidP="00D87D91">
      <w:r w:rsidRPr="00515D85">
        <w:rPr>
          <w:rFonts w:hint="eastAsia"/>
        </w:rPr>
        <w:t xml:space="preserve">　　</w:t>
      </w:r>
      <w:r w:rsidRPr="00515D85">
        <w:rPr>
          <w:rFonts w:hint="eastAsia"/>
        </w:rPr>
        <w:t>9</w:t>
      </w:r>
      <w:r w:rsidR="00026D0F" w:rsidRPr="00515D85">
        <w:rPr>
          <w:rFonts w:hint="eastAsia"/>
        </w:rPr>
        <w:t>、</w:t>
      </w:r>
      <w:r w:rsidR="00203F72" w:rsidRPr="00515D85">
        <w:t>移民署倘認有繼續收容之必要，基於上述憲法保障人身自由之正當法律程序之要求，關於逾越前述暫時收容期間之收容部分，自應由公正、獨立審判之法院依法審查決定。故入出國及移民署應於暫時收容期間屆滿之前，將受暫時收容人移送法院聲請裁定收容，始能續予收容；嗣後如依法有延長收容之必要者，亦同。</w:t>
      </w:r>
    </w:p>
    <w:p w14:paraId="525F393C" w14:textId="77777777" w:rsidR="00203F72" w:rsidRPr="00515D85" w:rsidRDefault="00026D0F" w:rsidP="00D87D91">
      <w:r w:rsidRPr="00515D85">
        <w:t xml:space="preserve">　　</w:t>
      </w:r>
      <w:r w:rsidR="00203F72" w:rsidRPr="00515D85">
        <w:t>所有人權基本均溯及到人身不可侵犯之保障，也就是人身自由的保護。對於外國人如涉及人身不可侵犯之自由時，應當以有利於此基本權之方式來為之</w:t>
      </w:r>
      <w:r w:rsidR="00203F72" w:rsidRPr="00515D85">
        <w:footnoteReference w:id="810"/>
      </w:r>
      <w:r w:rsidR="00203F72" w:rsidRPr="00515D85">
        <w:t>。人民身體自由享有充分保障，乃行使其憲法上所保障其他自由權利之前提，為重要之基本人權。大法官解釋</w:t>
      </w:r>
      <w:hyperlink r:id="rId2176" w:anchor="r384" w:history="1">
        <w:r w:rsidR="00A32AD8" w:rsidRPr="00A32AD8">
          <w:rPr>
            <w:rStyle w:val="a5"/>
            <w:rFonts w:ascii="Times New Roman" w:hAnsi="Times New Roman"/>
          </w:rPr>
          <w:t>第</w:t>
        </w:r>
        <w:r w:rsidR="00A32AD8" w:rsidRPr="00A32AD8">
          <w:rPr>
            <w:rStyle w:val="a5"/>
            <w:rFonts w:ascii="Times New Roman" w:hAnsi="Times New Roman"/>
          </w:rPr>
          <w:t>384</w:t>
        </w:r>
        <w:r w:rsidR="00A32AD8" w:rsidRPr="00A32AD8">
          <w:rPr>
            <w:rStyle w:val="a5"/>
            <w:rFonts w:ascii="Times New Roman" w:hAnsi="Times New Roman"/>
          </w:rPr>
          <w:t>號</w:t>
        </w:r>
      </w:hyperlink>
      <w:r w:rsidR="00203F72" w:rsidRPr="00515D85">
        <w:t>理由書「人民身體自由享有充分保障，乃行使其憲法上所保障其他自由權利之前提，為重要之基本人權。故憲</w:t>
      </w:r>
      <w:r w:rsidR="00690E4D" w:rsidRPr="00A53581">
        <w:rPr>
          <w:rFonts w:ascii="新細明體" w:hAnsi="新細明體" w:hint="eastAsia"/>
          <w:kern w:val="0"/>
        </w:rPr>
        <w:t>法</w:t>
      </w:r>
      <w:hyperlink r:id="rId2177" w:anchor="a8" w:history="1">
        <w:r w:rsidR="00690E4D" w:rsidRPr="00F84373">
          <w:rPr>
            <w:rStyle w:val="a5"/>
            <w:rFonts w:eastAsia="新細明體" w:hint="eastAsia"/>
            <w:kern w:val="0"/>
          </w:rPr>
          <w:t>第八條</w:t>
        </w:r>
      </w:hyperlink>
      <w:r w:rsidR="00203F72" w:rsidRPr="00515D85">
        <w:t>對人民身體自由之保障，特詳加規定</w:t>
      </w:r>
      <w:r w:rsidR="00203F72" w:rsidRPr="00515D85">
        <w:t>…</w:t>
      </w:r>
      <w:r w:rsidR="00203F72" w:rsidRPr="00515D85">
        <w:t>指凡限制人民身體自由之處置，在一定限度內為憲法保留之範圍，不問是否屬於刑事被告身分，均受上開規定之保障</w:t>
      </w:r>
      <w:r w:rsidR="00203F72" w:rsidRPr="00515D85">
        <w:t>…</w:t>
      </w:r>
      <w:r w:rsidR="00203F72" w:rsidRPr="00515D85">
        <w:t>除現行犯之逮捕，由法律另定外，其他事項所定之程序，亦須以法律定之，且立法機關於制定法律時，其內容更須合於實質正當，並應符合憲</w:t>
      </w:r>
      <w:r w:rsidR="00B525CE" w:rsidRPr="00A53581">
        <w:rPr>
          <w:rFonts w:ascii="新細明體" w:hAnsi="新細明體"/>
        </w:rPr>
        <w:t>法第</w:t>
      </w:r>
      <w:hyperlink r:id="rId2178" w:anchor="a23" w:history="1">
        <w:r w:rsidR="00B525CE" w:rsidRPr="00B525CE">
          <w:rPr>
            <w:rStyle w:val="a5"/>
          </w:rPr>
          <w:t>二十三</w:t>
        </w:r>
      </w:hyperlink>
      <w:r w:rsidR="00B525CE" w:rsidRPr="00A53581">
        <w:rPr>
          <w:rFonts w:ascii="新細明體" w:hAnsi="新細明體"/>
        </w:rPr>
        <w:t>條</w:t>
      </w:r>
      <w:r w:rsidR="00203F72" w:rsidRPr="00515D85">
        <w:t>所定之條件，此乃屬人身自由之制度性保障。舉凡憲法施行以來已存在之保障人身自由之各種建制及現代法治國家對於人身自由所普遍賦予之權利與保護，均包括在內，否則人身自由之保障，勢將徒託空言，而首開憲法規定，亦必無從貫徹。</w:t>
      </w:r>
    </w:p>
    <w:p w14:paraId="2A238C6A" w14:textId="77777777" w:rsidR="00203F72" w:rsidRPr="00515D85" w:rsidRDefault="00026D0F" w:rsidP="00D87D91">
      <w:r w:rsidRPr="00515D85">
        <w:t xml:space="preserve">　　</w:t>
      </w:r>
      <w:r w:rsidR="00203F72" w:rsidRPr="00515D85">
        <w:t>前述實質正當之法律程序，兼指實體法及程序法規定之內容，就實體法而言，如須遵守罪刑法定主義；就程序法而言，如犯罪嫌疑人除現行犯外，其逮捕應踐行必要之司法程序、被告自白須出於自由意志、犯罪事實應依證據認定、同一行為不得重覆處罰、當事人有與證人對質或詰問證人之權利、審判與檢察之分離、審判過程以公開為原則及對裁判不服提供審級救濟等為其要者。</w:t>
      </w:r>
      <w:r w:rsidR="00203F72" w:rsidRPr="00515D85">
        <w:t>…</w:t>
      </w:r>
      <w:r w:rsidR="00203F72" w:rsidRPr="00515D85">
        <w:t>各種法律之規定，倘與上述各項原則悖離，即應認為有違憲法上實質正當之法律程序。」</w:t>
      </w:r>
    </w:p>
    <w:p w14:paraId="30CE7B47" w14:textId="77777777" w:rsidR="00203F72" w:rsidRPr="00515D85" w:rsidRDefault="00203F72" w:rsidP="00D87D91">
      <w:r w:rsidRPr="00515D85">
        <w:t>所以，對於外國施行收容、延長收容，應比照適用國人人身自由保障的標準，須於一定時間予以提審，經由法院審理，以中立、公立的程序裁決，不能僅由行政機關單方面做成決定。關於收容制度的細節，也不應委由執行行政機關自行規定</w:t>
      </w:r>
      <w:r w:rsidR="00545D58" w:rsidRPr="00515D85">
        <w:t>。</w:t>
      </w:r>
    </w:p>
    <w:p w14:paraId="7C5C122E" w14:textId="77777777" w:rsidR="00203F72" w:rsidRPr="00515D85" w:rsidRDefault="00026D0F" w:rsidP="00D87D91">
      <w:r w:rsidRPr="00515D85">
        <w:t xml:space="preserve">　　</w:t>
      </w:r>
      <w:r w:rsidR="00203F72" w:rsidRPr="00515D85">
        <w:t>移民法第</w:t>
      </w:r>
      <w:hyperlink r:id="rId2179" w:anchor="b38" w:history="1">
        <w:r w:rsidR="00203F72" w:rsidRPr="001A46D0">
          <w:rPr>
            <w:rStyle w:val="a5"/>
            <w:rFonts w:ascii="Times New Roman" w:eastAsia="新細明體" w:hAnsi="Times New Roman"/>
          </w:rPr>
          <w:t>三十八</w:t>
        </w:r>
      </w:hyperlink>
      <w:r w:rsidR="00203F72" w:rsidRPr="00515D85">
        <w:t>條「第二項收容、延長收容及第</w:t>
      </w:r>
      <w:hyperlink r:id="rId2180" w:anchor="b36" w:history="1">
        <w:r w:rsidR="00203F72" w:rsidRPr="001A46D0">
          <w:rPr>
            <w:rStyle w:val="a5"/>
            <w:rFonts w:ascii="Times New Roman" w:eastAsia="新細明體" w:hAnsi="Times New Roman"/>
          </w:rPr>
          <w:t>三十六</w:t>
        </w:r>
      </w:hyperlink>
      <w:r w:rsidR="00203F72" w:rsidRPr="00515D85">
        <w:t>條強制驅逐出國之處分，應以當事人理解之語文作成書面通知，附記處分理由及不服處分提起救濟之方法、期間、受理機關等相關規定；收容處分並應聯繫當事人原籍國駐華使領館或授權機構。」但在台灣監所改革聯盟出的一份報告中提到</w:t>
      </w:r>
      <w:r w:rsidR="00203F72" w:rsidRPr="00515D85">
        <w:t>:</w:t>
      </w:r>
      <w:r w:rsidR="00203F72" w:rsidRPr="00515D85">
        <w:t>在實際接觸外國收容人的經驗中，我們更發現這些被收容人因為不諳台灣的司法、行政程序，在加上語言文化的隔閡，對於攸關其人身自由的收容原因、遣送進度、救濟管道，每每一問三不知。人身自由是相當古典的權利，也是一切權利的基礎。如果我們觀察人身自由權利的發展歷史，更會發現其容易被國家強權剝奪而做為懲罰武器的特性。所以人身自由是一項必須課予國家高度保護義務的普世性的價值</w:t>
      </w:r>
      <w:r w:rsidR="00203F72" w:rsidRPr="00515D85">
        <w:footnoteReference w:id="811"/>
      </w:r>
      <w:r w:rsidR="00203F72" w:rsidRPr="00515D85">
        <w:t>。所以對於以當事人理解的語言作成書面通知，附記處分理由及不服處分提起救濟之方法、期間、受理機關等相關規定權利，應在更與加強落實。</w:t>
      </w:r>
    </w:p>
    <w:p w14:paraId="7332622C" w14:textId="77777777" w:rsidR="00953151" w:rsidRPr="00515D85" w:rsidRDefault="00026D0F" w:rsidP="00D87D91">
      <w:r w:rsidRPr="00515D85">
        <w:t xml:space="preserve">　　</w:t>
      </w:r>
      <w:r w:rsidR="00203F72" w:rsidRPr="00515D85">
        <w:t xml:space="preserve"> </w:t>
      </w:r>
      <w:r w:rsidR="00203F72" w:rsidRPr="00515D85">
        <w:t>收容及延長收容係為一種人身自由的剝奪，人身自由是人權重要的核心議題。兩公約施行法第四條規定</w:t>
      </w:r>
      <w:r w:rsidR="00203F72" w:rsidRPr="00515D85">
        <w:t>:</w:t>
      </w:r>
      <w:r w:rsidR="00203F72" w:rsidRPr="00515D85">
        <w:t>「各級政府機關行使其職權，應符合兩公約有關人權保障之規定，避免侵害人權，保護人民不受他人侵害，並應積極促進各項人權之實現」。故建議應盡速依兩公約施行法</w:t>
      </w:r>
      <w:hyperlink r:id="rId2181" w:anchor="a8" w:history="1">
        <w:r w:rsidR="00203F72" w:rsidRPr="001A46D0">
          <w:rPr>
            <w:rStyle w:val="a5"/>
            <w:rFonts w:ascii="Times New Roman" w:eastAsia="新細明體" w:hAnsi="Times New Roman"/>
          </w:rPr>
          <w:t>第八條</w:t>
        </w:r>
      </w:hyperlink>
      <w:r w:rsidR="00203F72" w:rsidRPr="00515D85">
        <w:t>各級政府機關應依兩公約規定之內容，檢討所主管之法令及行政措施，有不符兩公約規定者，應於本法施行後二年內，完成法令之制（訂）定、修正或廢止及行政措施之改進。儘速修法以落實兩公約人權精神。</w:t>
      </w:r>
    </w:p>
    <w:p w14:paraId="6EED2EBD" w14:textId="77777777" w:rsidR="00203F72" w:rsidRPr="00515D85" w:rsidRDefault="00145751" w:rsidP="00D87D91">
      <w:r w:rsidRPr="00515D85">
        <w:t xml:space="preserve">　　</w:t>
      </w:r>
      <w:r w:rsidR="00203F72" w:rsidRPr="00515D85">
        <w:t>二、遭受強制驅逐出國處分之外國人、大陸及港澳人士，應享有聽證權利</w:t>
      </w:r>
    </w:p>
    <w:p w14:paraId="1C26F323" w14:textId="77777777" w:rsidR="00203F72" w:rsidRPr="00515D85" w:rsidRDefault="00026D0F" w:rsidP="00D87D91">
      <w:r w:rsidRPr="00515D85">
        <w:t xml:space="preserve">　　</w:t>
      </w:r>
      <w:r w:rsidR="00203F72" w:rsidRPr="00515D85">
        <w:t>對外國人驅逐出國之情形，主要規定於我國移民法</w:t>
      </w:r>
      <w:hyperlink r:id="rId2182" w:anchor="b36" w:history="1">
        <w:r w:rsidR="00203F72" w:rsidRPr="001A46D0">
          <w:rPr>
            <w:rStyle w:val="a5"/>
            <w:rFonts w:ascii="Times New Roman" w:eastAsia="新細明體" w:hAnsi="Times New Roman"/>
          </w:rPr>
          <w:t>第</w:t>
        </w:r>
        <w:r w:rsidR="00203F72" w:rsidRPr="001A46D0">
          <w:rPr>
            <w:rStyle w:val="a5"/>
            <w:rFonts w:ascii="Times New Roman" w:eastAsia="新細明體" w:hAnsi="Times New Roman"/>
          </w:rPr>
          <w:t>36</w:t>
        </w:r>
        <w:r w:rsidR="00203F72" w:rsidRPr="001A46D0">
          <w:rPr>
            <w:rStyle w:val="a5"/>
            <w:rFonts w:ascii="Times New Roman" w:eastAsia="新細明體" w:hAnsi="Times New Roman"/>
          </w:rPr>
          <w:t>條</w:t>
        </w:r>
      </w:hyperlink>
      <w:r w:rsidR="00203F72" w:rsidRPr="00515D85">
        <w:t>規定。雖然強制驅逐出境對主權國而言，有其合理性與必要性，只是遭驅逐出境之外國人，也有其人權議題必須考量。首先即應給予強制驅逐出國的外國人一定的人權維護，因為驅逐出國，牽涉到對該外國人人身自由、家庭團聚、工作、教育、居住、遷徙等之限制。但對於人身自由之拘束基本上屬於高標準之「法律明確性」要求，應適用比例原則，不得逾越必要程度，且幾近絕對之「法官保留」</w:t>
      </w:r>
      <w:r w:rsidR="00203F72" w:rsidRPr="00515D85">
        <w:footnoteReference w:id="812"/>
      </w:r>
      <w:r w:rsidR="00203F72" w:rsidRPr="00515D85">
        <w:t>。理想上，台灣亦應採行類似之法令，以保障外國人之人權。</w:t>
      </w:r>
    </w:p>
    <w:p w14:paraId="1D4A3D8A" w14:textId="77777777" w:rsidR="00203F72" w:rsidRPr="00515D85" w:rsidRDefault="00026D0F" w:rsidP="00D87D91">
      <w:r w:rsidRPr="00515D85">
        <w:t xml:space="preserve">　　</w:t>
      </w:r>
      <w:r w:rsidR="00203F72" w:rsidRPr="00515D85">
        <w:t>目前我國外國人及大陸人民之強制驅逐的執行，大陸人民係依兩岸關係條例</w:t>
      </w:r>
      <w:hyperlink r:id="rId2183" w:anchor="b18" w:history="1">
        <w:r w:rsidR="00203F72" w:rsidRPr="00EE7383">
          <w:rPr>
            <w:rStyle w:val="a5"/>
            <w:rFonts w:ascii="Times New Roman" w:eastAsia="新細明體" w:hAnsi="Times New Roman"/>
          </w:rPr>
          <w:t>第</w:t>
        </w:r>
        <w:r w:rsidR="00203F72" w:rsidRPr="00EE7383">
          <w:rPr>
            <w:rStyle w:val="a5"/>
            <w:rFonts w:ascii="Times New Roman" w:eastAsia="新細明體" w:hAnsi="Times New Roman"/>
          </w:rPr>
          <w:t>18</w:t>
        </w:r>
        <w:r w:rsidR="00203F72" w:rsidRPr="00EE7383">
          <w:rPr>
            <w:rStyle w:val="a5"/>
            <w:rFonts w:ascii="Times New Roman" w:eastAsia="新細明體" w:hAnsi="Times New Roman"/>
          </w:rPr>
          <w:t>條</w:t>
        </w:r>
      </w:hyperlink>
      <w:r w:rsidR="00203F72" w:rsidRPr="00515D85">
        <w:t>第二項，外國人士則以移民</w:t>
      </w:r>
      <w:r w:rsidR="001A46D0" w:rsidRPr="00515D85">
        <w:t>法</w:t>
      </w:r>
      <w:hyperlink r:id="rId2184" w:anchor="b36" w:history="1">
        <w:r w:rsidR="001A46D0" w:rsidRPr="001A46D0">
          <w:rPr>
            <w:rStyle w:val="a5"/>
            <w:rFonts w:ascii="Times New Roman" w:eastAsia="新細明體" w:hAnsi="Times New Roman"/>
          </w:rPr>
          <w:t>第</w:t>
        </w:r>
        <w:r w:rsidR="001A46D0" w:rsidRPr="001A46D0">
          <w:rPr>
            <w:rStyle w:val="a5"/>
            <w:rFonts w:ascii="Times New Roman" w:eastAsia="新細明體" w:hAnsi="Times New Roman"/>
          </w:rPr>
          <w:t>36</w:t>
        </w:r>
        <w:r w:rsidR="001A46D0" w:rsidRPr="001A46D0">
          <w:rPr>
            <w:rStyle w:val="a5"/>
            <w:rFonts w:ascii="Times New Roman" w:eastAsia="新細明體" w:hAnsi="Times New Roman"/>
          </w:rPr>
          <w:t>條</w:t>
        </w:r>
      </w:hyperlink>
      <w:r w:rsidR="00203F72" w:rsidRPr="00515D85">
        <w:t>規定辦理。但觀看我國兩岸關係條例</w:t>
      </w:r>
      <w:r w:rsidR="00EE7383" w:rsidRPr="00515D85">
        <w:t>第</w:t>
      </w:r>
      <w:hyperlink r:id="rId2185" w:anchor="b18" w:history="1">
        <w:r w:rsidR="00EE7383" w:rsidRPr="00EE7383">
          <w:rPr>
            <w:rStyle w:val="a5"/>
            <w:rFonts w:ascii="Times New Roman" w:eastAsia="新細明體" w:hAnsi="Times New Roman"/>
          </w:rPr>
          <w:t>十八</w:t>
        </w:r>
      </w:hyperlink>
      <w:r w:rsidR="00203F72" w:rsidRPr="00515D85">
        <w:t>條</w:t>
      </w:r>
      <w:r w:rsidR="00203F72" w:rsidRPr="00515D85">
        <w:footnoteReference w:id="813"/>
      </w:r>
      <w:r w:rsidR="00203F72" w:rsidRPr="00515D85">
        <w:t>及移民</w:t>
      </w:r>
      <w:r w:rsidR="001A46D0" w:rsidRPr="00515D85">
        <w:t>法</w:t>
      </w:r>
      <w:hyperlink r:id="rId2186" w:anchor="b36" w:history="1">
        <w:r w:rsidR="001A46D0" w:rsidRPr="001A46D0">
          <w:rPr>
            <w:rStyle w:val="a5"/>
            <w:rFonts w:ascii="Times New Roman" w:eastAsia="新細明體" w:hAnsi="Times New Roman"/>
          </w:rPr>
          <w:t>第</w:t>
        </w:r>
        <w:r w:rsidR="001A46D0" w:rsidRPr="001A46D0">
          <w:rPr>
            <w:rStyle w:val="a5"/>
            <w:rFonts w:ascii="Times New Roman" w:eastAsia="新細明體" w:hAnsi="Times New Roman"/>
          </w:rPr>
          <w:t>36</w:t>
        </w:r>
        <w:r w:rsidR="001A46D0" w:rsidRPr="001A46D0">
          <w:rPr>
            <w:rStyle w:val="a5"/>
            <w:rFonts w:ascii="Times New Roman" w:eastAsia="新細明體" w:hAnsi="Times New Roman"/>
          </w:rPr>
          <w:t>條</w:t>
        </w:r>
      </w:hyperlink>
      <w:r w:rsidR="00203F72" w:rsidRPr="00515D85">
        <w:footnoteReference w:id="814"/>
      </w:r>
      <w:r w:rsidR="00203F72" w:rsidRPr="00515D85">
        <w:t>之相關規定得知，驅逐出國並未有任何程序上的規定，僅由主關機關單方面行政處份即可決定，移民</w:t>
      </w:r>
      <w:r w:rsidR="001A46D0" w:rsidRPr="00515D85">
        <w:t>法</w:t>
      </w:r>
      <w:hyperlink r:id="rId2187" w:anchor="b36" w:history="1">
        <w:r w:rsidR="001A46D0" w:rsidRPr="001A46D0">
          <w:rPr>
            <w:rStyle w:val="a5"/>
            <w:rFonts w:ascii="Times New Roman" w:eastAsia="新細明體" w:hAnsi="Times New Roman"/>
          </w:rPr>
          <w:t>第</w:t>
        </w:r>
        <w:r w:rsidR="001A46D0" w:rsidRPr="001A46D0">
          <w:rPr>
            <w:rStyle w:val="a5"/>
            <w:rFonts w:ascii="Times New Roman" w:eastAsia="新細明體" w:hAnsi="Times New Roman"/>
          </w:rPr>
          <w:t>36</w:t>
        </w:r>
        <w:r w:rsidR="001A46D0" w:rsidRPr="001A46D0">
          <w:rPr>
            <w:rStyle w:val="a5"/>
            <w:rFonts w:ascii="Times New Roman" w:eastAsia="新細明體" w:hAnsi="Times New Roman"/>
          </w:rPr>
          <w:t>條</w:t>
        </w:r>
      </w:hyperlink>
      <w:r w:rsidR="00203F72" w:rsidRPr="00515D85">
        <w:t>規定「第一項所定強制驅逐出國之處理方式、程序、管理及其他應遵行事項之辦法，由主管機關定之。第二項審查會之組成、審查要件、程序等事宜，由主管機關定之。」兩岸關係條例第</w:t>
      </w:r>
      <w:hyperlink r:id="rId2188" w:anchor="b18" w:history="1">
        <w:r w:rsidR="00203F72" w:rsidRPr="00EE7383">
          <w:rPr>
            <w:rStyle w:val="a5"/>
            <w:rFonts w:ascii="Times New Roman" w:eastAsia="新細明體" w:hAnsi="Times New Roman"/>
          </w:rPr>
          <w:t>十八</w:t>
        </w:r>
      </w:hyperlink>
      <w:r w:rsidR="00203F72" w:rsidRPr="00515D85">
        <w:t>條「第一項之強制出境處理辦法及第三項收容處所之設置及管理辦法，由內政部擬訂，報請行政院核定之。第二項審查會之組成、審查要件、程序等事宜，由內政部定之。」強制驅逐出國制度的細節，均授權委由主管機關訂定之，是否符合法律保留原則，頗有疑慮。</w:t>
      </w:r>
    </w:p>
    <w:p w14:paraId="442796F9" w14:textId="77777777" w:rsidR="00203F72" w:rsidRPr="00515D85" w:rsidRDefault="00170AAF" w:rsidP="00D87D91">
      <w:r w:rsidRPr="00515D85">
        <w:t xml:space="preserve">　　</w:t>
      </w:r>
      <w:r w:rsidR="00203F72" w:rsidRPr="00515D85">
        <w:t>雖然對外國人的管理，涉及國家安全與主權的維護，可以容許主管機關擁有較大的彈性，但對於侵害權力如此重大的驅逐處分，亦應有最低標準的程序保障</w:t>
      </w:r>
      <w:r w:rsidR="00203F72" w:rsidRPr="00515D85">
        <w:footnoteReference w:id="815"/>
      </w:r>
      <w:r w:rsidR="00203F72" w:rsidRPr="00515D85">
        <w:t>。「公民權利和政治權利國際公約」</w:t>
      </w:r>
      <w:hyperlink r:id="rId2189" w:anchor="a9" w:history="1">
        <w:r w:rsidR="00203F72" w:rsidRPr="00EE7383">
          <w:rPr>
            <w:rStyle w:val="a5"/>
            <w:rFonts w:ascii="Times New Roman" w:eastAsia="新細明體" w:hAnsi="Times New Roman"/>
          </w:rPr>
          <w:t>第九條</w:t>
        </w:r>
      </w:hyperlink>
      <w:r w:rsidR="00203F72" w:rsidRPr="00515D85">
        <w:footnoteReference w:id="816"/>
      </w:r>
      <w:r w:rsidR="00203F72" w:rsidRPr="00515D85">
        <w:t>雖然規定刑事案件審理須由法庭審判，並沒有規定強制驅出國的案件須由法庭審理，但驅逐之行為，將使其與原在進入國中之人際關係、財產、生活等連結受到傷害，對個人之自由及權力影響甚钜，基於人權的維護，及世界人權的標準，建議強制驅逐外國人案件，應設置專門移民法庭，接受公平的審理，以落實人權。</w:t>
      </w:r>
    </w:p>
    <w:p w14:paraId="3DD79F01" w14:textId="77777777" w:rsidR="00953151" w:rsidRPr="00515D85" w:rsidRDefault="00026D0F" w:rsidP="00D87D91">
      <w:r w:rsidRPr="00515D85">
        <w:t xml:space="preserve">　　</w:t>
      </w:r>
      <w:r w:rsidR="00203F72" w:rsidRPr="00515D85">
        <w:t>「公民權利和政治權利國際公約」第</w:t>
      </w:r>
      <w:hyperlink r:id="rId2190" w:anchor="a13" w:history="1">
        <w:r w:rsidR="00203F72" w:rsidRPr="00EE7383">
          <w:rPr>
            <w:rStyle w:val="a5"/>
            <w:rFonts w:ascii="Times New Roman" w:eastAsia="新細明體" w:hAnsi="Times New Roman"/>
          </w:rPr>
          <w:t>十三</w:t>
        </w:r>
      </w:hyperlink>
      <w:r w:rsidR="00203F72" w:rsidRPr="00515D85">
        <w:t>條</w:t>
      </w:r>
      <w:r w:rsidR="00203F72" w:rsidRPr="00515D85">
        <w:footnoteReference w:id="817"/>
      </w:r>
      <w:r w:rsidR="00203F72" w:rsidRPr="00515D85">
        <w:t>及</w:t>
      </w:r>
      <w:hyperlink r:id="rId2191" w:anchor="a14" w:history="1">
        <w:r w:rsidR="00203F72" w:rsidRPr="00EE7383">
          <w:rPr>
            <w:rStyle w:val="a5"/>
            <w:rFonts w:ascii="Times New Roman" w:eastAsia="新細明體" w:hAnsi="Times New Roman"/>
          </w:rPr>
          <w:t>十四</w:t>
        </w:r>
      </w:hyperlink>
      <w:r w:rsidR="00203F72" w:rsidRPr="00515D85">
        <w:t>條</w:t>
      </w:r>
      <w:r w:rsidR="00203F72" w:rsidRPr="00515D85">
        <w:footnoteReference w:id="818"/>
      </w:r>
      <w:r w:rsidR="00203F72" w:rsidRPr="00515D85">
        <w:t>對於人權維護的精神，應包括規定對於遭到強制驅離的外國人，應給予一定的人權維護，包括使當事人得到合法當局的審理，有表達意見、享有聽證的權利，提出對自己有利證據並賦予書面陳述意見的機會。</w:t>
      </w:r>
    </w:p>
    <w:p w14:paraId="13FBCD52" w14:textId="77777777" w:rsidR="00203F72" w:rsidRPr="00515D85" w:rsidRDefault="00026D0F" w:rsidP="00D87D91">
      <w:r w:rsidRPr="00515D85">
        <w:t xml:space="preserve">　　</w:t>
      </w:r>
      <w:r w:rsidR="00203F72" w:rsidRPr="00515D85">
        <w:t>三、移民法宜明文規範避免將外國人驅逐出國至會遭受酷刑之國家或地區</w:t>
      </w:r>
    </w:p>
    <w:p w14:paraId="3E00821B" w14:textId="77777777" w:rsidR="00203F72" w:rsidRPr="00515D85" w:rsidRDefault="00026D0F" w:rsidP="00D87D91">
      <w:r w:rsidRPr="00515D85">
        <w:t xml:space="preserve">　　</w:t>
      </w:r>
      <w:r w:rsidR="00203F72" w:rsidRPr="00515D85">
        <w:t>目前我國在執行強制驅逐外國人時，考量都非常片面、單向，僅從國家治安、經濟角度來思考問題，從未由被遣送回國該外籍人士的立場來考慮其處境，例如，依目前規定外籍或大陸配偶一旦離婚，移民署就不再給予延長居留，因此使得許多外籍配偶或陸配在取得身分證之前，為了留在台灣，都只能受其台灣配偶或家庭絕對控制，即便遭受淩虐、家暴、外遇等，也不敢輕言離婚。這種牽制，使台灣配偶得以予取予求</w:t>
      </w:r>
      <w:r w:rsidR="00203F72" w:rsidRPr="00515D85">
        <w:footnoteReference w:id="819"/>
      </w:r>
      <w:r w:rsidR="00203F72" w:rsidRPr="00515D85">
        <w:t>，這也是人權上的一種剝奪。</w:t>
      </w:r>
    </w:p>
    <w:p w14:paraId="348C0BF1" w14:textId="77777777" w:rsidR="00953151" w:rsidRPr="00515D85" w:rsidRDefault="00026D0F" w:rsidP="00D87D91">
      <w:r w:rsidRPr="00515D85">
        <w:t xml:space="preserve">　　</w:t>
      </w:r>
      <w:r w:rsidR="00203F72" w:rsidRPr="00515D85">
        <w:t>同樣的，對於驅逐出國的外國人是否回國後會遭到不人道的酷刑對待，面臨生命危險，也未是我國執行驅逐出國處分時的考量點。依據「公民權利和政治權利國際公約」</w:t>
      </w:r>
      <w:hyperlink r:id="rId2192" w:anchor="a6" w:history="1">
        <w:r w:rsidR="005D5A46" w:rsidRPr="00EE7383">
          <w:rPr>
            <w:rStyle w:val="a5"/>
            <w:rFonts w:ascii="Times New Roman" w:eastAsia="新細明體" w:hAnsi="Times New Roman"/>
          </w:rPr>
          <w:t>第</w:t>
        </w:r>
        <w:r w:rsidR="00203F72" w:rsidRPr="00EE7383">
          <w:rPr>
            <w:rStyle w:val="a5"/>
            <w:rFonts w:ascii="Times New Roman" w:eastAsia="新細明體" w:hAnsi="Times New Roman"/>
          </w:rPr>
          <w:t>六</w:t>
        </w:r>
        <w:r w:rsidR="005D5A46" w:rsidRPr="00EE7383">
          <w:rPr>
            <w:rStyle w:val="a5"/>
            <w:rFonts w:ascii="Times New Roman" w:eastAsia="新細明體" w:hAnsi="Times New Roman"/>
          </w:rPr>
          <w:t>條</w:t>
        </w:r>
      </w:hyperlink>
      <w:r w:rsidR="00203F72" w:rsidRPr="00515D85">
        <w:footnoteReference w:id="820"/>
      </w:r>
      <w:r w:rsidR="00203F72" w:rsidRPr="00515D85">
        <w:t>、</w:t>
      </w:r>
      <w:r w:rsidR="005D5A46" w:rsidRPr="00515D85">
        <w:t>第</w:t>
      </w:r>
      <w:hyperlink r:id="rId2193" w:anchor="a7" w:history="1">
        <w:r w:rsidR="00203F72" w:rsidRPr="00EE7383">
          <w:rPr>
            <w:rStyle w:val="a5"/>
            <w:rFonts w:ascii="Times New Roman" w:eastAsia="新細明體" w:hAnsi="Times New Roman"/>
          </w:rPr>
          <w:t>七</w:t>
        </w:r>
        <w:r w:rsidR="005D5A46" w:rsidRPr="00EE7383">
          <w:rPr>
            <w:rStyle w:val="a5"/>
            <w:rFonts w:ascii="Times New Roman" w:eastAsia="新細明體" w:hAnsi="Times New Roman"/>
          </w:rPr>
          <w:t>條</w:t>
        </w:r>
      </w:hyperlink>
      <w:r w:rsidR="00203F72" w:rsidRPr="00515D85">
        <w:footnoteReference w:id="821"/>
      </w:r>
      <w:r w:rsidR="00203F72" w:rsidRPr="00515D85">
        <w:t>及</w:t>
      </w:r>
      <w:hyperlink r:id="rId2194" w:anchor="a9" w:history="1">
        <w:r w:rsidR="005D5A46" w:rsidRPr="00EE7383">
          <w:rPr>
            <w:rStyle w:val="a5"/>
            <w:rFonts w:ascii="Times New Roman" w:eastAsia="新細明體" w:hAnsi="Times New Roman"/>
          </w:rPr>
          <w:t>第</w:t>
        </w:r>
        <w:r w:rsidR="00203F72" w:rsidRPr="00EE7383">
          <w:rPr>
            <w:rStyle w:val="a5"/>
            <w:rFonts w:ascii="Times New Roman" w:eastAsia="新細明體" w:hAnsi="Times New Roman"/>
          </w:rPr>
          <w:t>九</w:t>
        </w:r>
        <w:r w:rsidR="005D5A46" w:rsidRPr="00EE7383">
          <w:rPr>
            <w:rStyle w:val="a5"/>
            <w:rFonts w:ascii="Times New Roman" w:eastAsia="新細明體" w:hAnsi="Times New Roman"/>
          </w:rPr>
          <w:t>條</w:t>
        </w:r>
      </w:hyperlink>
      <w:r w:rsidR="00203F72" w:rsidRPr="00515D85">
        <w:footnoteReference w:id="822"/>
      </w:r>
      <w:r w:rsidR="00203F72" w:rsidRPr="00515D85">
        <w:t>之相關規範，人權公約所保障的生命權，除了締約國本身不應該施加酷刑之外，更應該避免使人遭受到第三國加</w:t>
      </w:r>
      <w:r w:rsidR="00203F72" w:rsidRPr="00515D85">
        <w:t xml:space="preserve"> </w:t>
      </w:r>
      <w:r w:rsidR="00203F72" w:rsidRPr="00515D85">
        <w:t>以酷刑或施以殘忍的、不人道的或侮辱性的待遇或刑罰</w:t>
      </w:r>
      <w:r w:rsidR="00203F72" w:rsidRPr="00515D85">
        <w:t xml:space="preserve"> </w:t>
      </w:r>
      <w:r w:rsidR="00203F72" w:rsidRPr="00515D85">
        <w:t>。締約國有責任落實、尊重、保障人權。</w:t>
      </w:r>
    </w:p>
    <w:p w14:paraId="7BB2F6FC" w14:textId="77777777" w:rsidR="00F07452" w:rsidRPr="00515D85" w:rsidRDefault="00026D0F" w:rsidP="00D87D91">
      <w:r w:rsidRPr="00515D85">
        <w:t xml:space="preserve">　　</w:t>
      </w:r>
      <w:r w:rsidR="00203F72" w:rsidRPr="00515D85">
        <w:t>雖然目前因政治因素，國際外交上的困窘，使我國無法加入盟約國，但我也應以兩公約提升我國人權標準，促進人權發展，融入國際人權體系，建立更健全的人權制度。另由人權固有性、不可侵犯性、普遍性三大特性分析，人權乃人之為人當然享有之權利，不待國家賦予，只要是人，生下來就是人權主體。任何國家權利皆不得侵犯，即使透過立法或修法的方式也是一樣。換言之，包括立法、行政、司法在內的任何國家權力皆不得侵犯人權，縱使透過修憲之方式亦同。人權與種族、性別及身分無關，甚至外國人，只要是權利性質上允許者，亦一樣享有之。</w:t>
      </w:r>
    </w:p>
    <w:p w14:paraId="1BBA2AF8" w14:textId="77777777" w:rsidR="00953151" w:rsidRPr="00515D85" w:rsidRDefault="00026D0F" w:rsidP="00D87D91">
      <w:r w:rsidRPr="00515D85">
        <w:t xml:space="preserve">　　</w:t>
      </w:r>
      <w:r w:rsidR="00203F72" w:rsidRPr="00515D85">
        <w:t>就「公民與政治權利國際公約任擇議決書」</w:t>
      </w:r>
      <w:r w:rsidR="00203F72" w:rsidRPr="00515D85">
        <w:footnoteReference w:id="823"/>
      </w:r>
      <w:r w:rsidR="00203F72" w:rsidRPr="00515D85">
        <w:t>（一九七六年三月二十六日生效）而論，該項議決書我國曾簽署，但因退出聯合國，未及批准完成加盟，故對我國人民不生效力。但我國一貫立場，身為國際社會之一員，對聯合國及其附屬機構之各項宣言盟約等，仍予應有之尊重，並儘量配合採納改正。右開列舉之憲章，宣言、盟約，議決書等等條文顯示，或明示應有審級，或應有審級為理所當然，無庸一一明示。綜觀四個人權法典宣言之精神，凡救濟應有審級，至為明顯，亦為我國憲法立憲者按照民主國家之標準保障人民權利之意旨，則毋庸置疑。」因之，我國在執行驅逐出國的裁量上，應考慮該外國人士返國後處境，人權制度更形健全。</w:t>
      </w:r>
    </w:p>
    <w:p w14:paraId="500F24AA" w14:textId="77777777" w:rsidR="00953151" w:rsidRPr="00515D85" w:rsidRDefault="00026D0F" w:rsidP="00D87D91">
      <w:r w:rsidRPr="00515D85">
        <w:t xml:space="preserve">　　</w:t>
      </w:r>
      <w:r w:rsidR="00203F72" w:rsidRPr="00515D85">
        <w:t>四、台灣當儘快批准「公民與政治權利國際公約任擇議定書」以落實遭強制驅逐出國者之人權保障</w:t>
      </w:r>
      <w:r w:rsidR="00203F72" w:rsidRPr="00515D85">
        <w:t xml:space="preserve"> </w:t>
      </w:r>
    </w:p>
    <w:p w14:paraId="6FFE6CEA" w14:textId="77777777" w:rsidR="00953151" w:rsidRPr="00515D85" w:rsidRDefault="00026D0F" w:rsidP="00D87D91">
      <w:r w:rsidRPr="00515D85">
        <w:t xml:space="preserve">　　</w:t>
      </w:r>
      <w:r w:rsidR="00203F72" w:rsidRPr="00515D85">
        <w:t>目前台灣已簽署「公民與政治權利國際公約任擇議定書」，但立法院未予批准。公民權利和政治權利國際公約任擇議定書第二條以不違反第一條的規定為限，凡聲稱其在盟約規定下的任何權利遭受侵害的個人，如對可以運用的國內補救辦法，悉已援用無遺，得向委員會提出書面申請</w:t>
      </w:r>
      <w:r w:rsidR="00203F72" w:rsidRPr="00515D85">
        <w:t xml:space="preserve"> </w:t>
      </w:r>
      <w:r w:rsidR="00203F72" w:rsidRPr="00515D85">
        <w:t>，由</w:t>
      </w:r>
      <w:r w:rsidR="00203F72" w:rsidRPr="00515D85">
        <w:t xml:space="preserve"> </w:t>
      </w:r>
      <w:r w:rsidR="00203F72" w:rsidRPr="00515D85">
        <w:t>委</w:t>
      </w:r>
      <w:r w:rsidR="00203F72" w:rsidRPr="00515D85">
        <w:t xml:space="preserve"> </w:t>
      </w:r>
      <w:r w:rsidR="00203F72" w:rsidRPr="00515D85">
        <w:t>員</w:t>
      </w:r>
      <w:r w:rsidR="00203F72" w:rsidRPr="00515D85">
        <w:t xml:space="preserve"> </w:t>
      </w:r>
      <w:r w:rsidR="00203F72" w:rsidRPr="00515D85">
        <w:t>會</w:t>
      </w:r>
      <w:r w:rsidR="00203F72" w:rsidRPr="00515D85">
        <w:t xml:space="preserve"> </w:t>
      </w:r>
      <w:r w:rsidR="00203F72" w:rsidRPr="00515D85">
        <w:t>審</w:t>
      </w:r>
      <w:r w:rsidR="00203F72" w:rsidRPr="00515D85">
        <w:t xml:space="preserve"> </w:t>
      </w:r>
      <w:r w:rsidR="00203F72" w:rsidRPr="00515D85">
        <w:t>查</w:t>
      </w:r>
      <w:r w:rsidR="00203F72" w:rsidRPr="00515D85">
        <w:t xml:space="preserve"> </w:t>
      </w:r>
      <w:r w:rsidR="00203F72" w:rsidRPr="00515D85">
        <w:t>。有了「公民與政治權利國際公約任擇議定書」，始能真正落實「公民與政治權利國際公約」，所以，「公民與政治權利國際公約任擇議定書」是令締約國之人民，可以對公民與政治權利國際公約人權事務委員會提出申訴之機制。沒有此議定書，當外國人士遭到強制驅逐出國時，無法提出申訴。如張文貞教授之寶貴意見：「第一任擇議定書是在</w:t>
      </w:r>
      <w:r w:rsidR="00203F72" w:rsidRPr="00515D85">
        <w:t>1976</w:t>
      </w:r>
      <w:r w:rsidR="00203F72" w:rsidRPr="00515D85">
        <w:t>年與</w:t>
      </w:r>
      <w:hyperlink r:id="rId2195" w:history="1">
        <w:r w:rsidR="005532CF" w:rsidRPr="005532CF">
          <w:rPr>
            <w:rStyle w:val="a5"/>
            <w:rFonts w:ascii="Times New Roman" w:eastAsia="新細明體" w:hAnsi="Times New Roman"/>
          </w:rPr>
          <w:t>ICCPR</w:t>
        </w:r>
      </w:hyperlink>
      <w:r w:rsidR="00203F72" w:rsidRPr="00515D85">
        <w:t>同時生效，這是為了使</w:t>
      </w:r>
      <w:hyperlink r:id="rId2196" w:history="1">
        <w:r w:rsidR="005532CF" w:rsidRPr="005532CF">
          <w:rPr>
            <w:rStyle w:val="a5"/>
            <w:rFonts w:ascii="Times New Roman" w:eastAsia="新細明體" w:hAnsi="Times New Roman"/>
          </w:rPr>
          <w:t>ICCPR</w:t>
        </w:r>
      </w:hyperlink>
      <w:r w:rsidR="00203F72" w:rsidRPr="00515D85">
        <w:t>不只是一隻老虎，還是一隻有牙齒的老虎。第一議定書是讓締約國的個人可以就公約權利的違反向公約的委員會提出申訴。這次台灣只批准了公約本身而不包括議定書，當然在這樣的國際處境上，台灣大概也無法加入第一任擇議定書，但是它確實是讓</w:t>
      </w:r>
      <w:hyperlink r:id="rId2197" w:history="1">
        <w:r w:rsidR="005532CF" w:rsidRPr="005532CF">
          <w:rPr>
            <w:rStyle w:val="a5"/>
            <w:rFonts w:ascii="Times New Roman" w:eastAsia="新細明體" w:hAnsi="Times New Roman"/>
          </w:rPr>
          <w:t>ICCPR</w:t>
        </w:r>
      </w:hyperlink>
      <w:r w:rsidR="00203F72" w:rsidRPr="00515D85">
        <w:t>成為有牙齒的老虎的一個機制</w:t>
      </w:r>
      <w:r w:rsidR="00203F72" w:rsidRPr="00515D85">
        <w:footnoteReference w:id="824"/>
      </w:r>
      <w:r w:rsidR="00203F72" w:rsidRPr="00515D85">
        <w:t>。」我國現在雖然並不是聯合國會員國，但遵守國際義務，努力實踐國際社會責任，以期達到與世界人權進展同步，完成聯合國落實人權、尊重人權自由之宗旨，與其他國家並無不同。所以，台灣應當盡快批准公民與政治權利國際公約之任擇議定書」以落實人權保障。</w:t>
      </w:r>
    </w:p>
    <w:p w14:paraId="0EA54113" w14:textId="77777777" w:rsidR="00953151" w:rsidRPr="00515D85" w:rsidRDefault="00026D0F" w:rsidP="00D87D91">
      <w:r w:rsidRPr="00515D85">
        <w:t xml:space="preserve">　　</w:t>
      </w:r>
      <w:r w:rsidR="00203F72" w:rsidRPr="00515D85">
        <w:t>為落實兩公約，我國立法院另訂兩公約施行法，依兩公約施行法</w:t>
      </w:r>
      <w:hyperlink r:id="rId2198" w:anchor="a5" w:history="1">
        <w:r w:rsidR="00EE7383" w:rsidRPr="00EE7383">
          <w:rPr>
            <w:rStyle w:val="a5"/>
            <w:rFonts w:ascii="Times New Roman" w:eastAsia="新細明體" w:hAnsi="Times New Roman"/>
          </w:rPr>
          <w:t>第五條</w:t>
        </w:r>
      </w:hyperlink>
      <w:r w:rsidR="00203F72" w:rsidRPr="00515D85">
        <w:footnoteReference w:id="825"/>
      </w:r>
      <w:r w:rsidR="00203F72" w:rsidRPr="00515D85">
        <w:t>、</w:t>
      </w:r>
      <w:hyperlink r:id="rId2199" w:anchor="a7" w:history="1">
        <w:r w:rsidR="00203F72" w:rsidRPr="00EE7383">
          <w:rPr>
            <w:rStyle w:val="a5"/>
            <w:rFonts w:ascii="Times New Roman" w:eastAsia="新細明體" w:hAnsi="Times New Roman"/>
          </w:rPr>
          <w:t>第七條</w:t>
        </w:r>
      </w:hyperlink>
      <w:r w:rsidR="00203F72" w:rsidRPr="00515D85">
        <w:footnoteReference w:id="826"/>
      </w:r>
      <w:r w:rsidR="00203F72" w:rsidRPr="00515D85">
        <w:t>、</w:t>
      </w:r>
      <w:hyperlink r:id="rId2200" w:anchor="a8" w:history="1">
        <w:r w:rsidR="00203F72" w:rsidRPr="00EE7383">
          <w:rPr>
            <w:rStyle w:val="a5"/>
            <w:rFonts w:ascii="Times New Roman" w:eastAsia="新細明體" w:hAnsi="Times New Roman"/>
          </w:rPr>
          <w:t>第八條</w:t>
        </w:r>
      </w:hyperlink>
      <w:r w:rsidR="00203F72" w:rsidRPr="00515D85">
        <w:footnoteReference w:id="827"/>
      </w:r>
      <w:r w:rsidR="00203F72" w:rsidRPr="00515D85">
        <w:t>之規定，各級政府機關，應依規定之內容，檢討所主管之法令及行政措施，有不符合兩公約規定者，應於本法施行後</w:t>
      </w:r>
      <w:r w:rsidR="00203F72" w:rsidRPr="00515D85">
        <w:t>2</w:t>
      </w:r>
      <w:r w:rsidR="00203F72" w:rsidRPr="00515D85">
        <w:t>年內完成制訂法令、修正或廢止及改進行政措施；同時亦應當適當的配套立法，可使該兩公約的國際人權規範在我國有法律效力。國內現有法令與兩公約內容不一致者，有必要進行修正，或另外制定新法。透過相關立法與修法，以及法院直接或間接適用國際人權標準，將加強我國人權的保障，並補充我國憲法人權保障之內容。使我國人權更臻完善</w:t>
      </w:r>
      <w:r w:rsidR="00203F72" w:rsidRPr="00515D85">
        <w:footnoteReference w:id="828"/>
      </w:r>
      <w:r w:rsidR="00203F72" w:rsidRPr="00515D85">
        <w:t>。</w:t>
      </w:r>
    </w:p>
    <w:p w14:paraId="74BE3750" w14:textId="77777777" w:rsidR="00953151" w:rsidRDefault="004C0D06" w:rsidP="00D87D91">
      <w:r w:rsidRPr="00515D85">
        <w:rPr>
          <w:rFonts w:hint="eastAsia"/>
        </w:rPr>
        <w:t xml:space="preserve">　　</w:t>
      </w:r>
      <w:r w:rsidR="00203F72" w:rsidRPr="00515D85">
        <w:t>又從兩公約施行法</w:t>
      </w:r>
      <w:hyperlink r:id="rId2201" w:anchor="a4" w:history="1">
        <w:r w:rsidR="00203F72" w:rsidRPr="00EE7383">
          <w:rPr>
            <w:rStyle w:val="a5"/>
            <w:rFonts w:ascii="Times New Roman" w:eastAsia="新細明體" w:hAnsi="Times New Roman"/>
          </w:rPr>
          <w:t>第四條</w:t>
        </w:r>
      </w:hyperlink>
      <w:r w:rsidR="00203F72" w:rsidRPr="00515D85">
        <w:footnoteReference w:id="829"/>
      </w:r>
      <w:r w:rsidR="00203F72" w:rsidRPr="00515D85">
        <w:t>及</w:t>
      </w:r>
      <w:hyperlink r:id="rId2202" w:anchor="a5" w:history="1">
        <w:r w:rsidR="00203F72" w:rsidRPr="00EE7383">
          <w:rPr>
            <w:rStyle w:val="a5"/>
            <w:rFonts w:ascii="Times New Roman" w:eastAsia="新細明體" w:hAnsi="Times New Roman"/>
          </w:rPr>
          <w:t>第五條</w:t>
        </w:r>
      </w:hyperlink>
      <w:r w:rsidR="00203F72" w:rsidRPr="00515D85">
        <w:footnoteReference w:id="830"/>
      </w:r>
      <w:r w:rsidR="00203F72" w:rsidRPr="00515D85">
        <w:t>之規定可得知，批准兩公約更重要的意義，毋寧是對我國國內人權更進一歩的保障與實現。因此，兩公約之批准，是落實我國人權的一大步，同時也是我國與國際人權同步的宣示。同時，人權不但是個人之權利，亦是一種制度性的保障，除了對於本國人民的權利予以保障外，對於外國人權利之保障，也應從人權的特質與特性理論及目前人權之發展趨勢，詳加檢討，以更能適切保障外國人之權利，進而達到人權國家</w:t>
      </w:r>
      <w:r w:rsidR="00203F72" w:rsidRPr="00515D85">
        <w:footnoteReference w:id="831"/>
      </w:r>
      <w:r w:rsidR="00203F72" w:rsidRPr="00515D85">
        <w:t>。因之，有關我國對外國人強制驅逐出國的部分亦應盡速修法或另立法，以確實達到兩公約人權的理念，與國際人權同步。</w:t>
      </w:r>
    </w:p>
    <w:p w14:paraId="405CE7DB" w14:textId="77777777" w:rsidR="00515D85" w:rsidRDefault="00515D85" w:rsidP="005E5AE3">
      <w:pPr>
        <w:jc w:val="right"/>
        <w:rPr>
          <w:rFonts w:ascii="新細明體" w:hAnsi="新細明體"/>
        </w:rPr>
      </w:pPr>
      <w:r w:rsidRPr="0026266A">
        <w:rPr>
          <w:rFonts w:hint="eastAsia"/>
        </w:rPr>
        <w:t>。。。。。。。。。。。。。。。。。。。。。。。。。</w:t>
      </w:r>
      <w:hyperlink w:anchor="a目次38" w:history="1">
        <w:r>
          <w:rPr>
            <w:rStyle w:val="a5"/>
            <w:sz w:val="18"/>
          </w:rPr>
          <w:t>回目次</w:t>
        </w:r>
      </w:hyperlink>
      <w:r w:rsidR="00E91F89">
        <w:rPr>
          <w:rFonts w:ascii="新細明體" w:hAnsi="新細明體"/>
          <w:color w:val="808000"/>
        </w:rPr>
        <w:t>〉〉</w:t>
      </w:r>
    </w:p>
    <w:p w14:paraId="473796B2" w14:textId="77777777" w:rsidR="00515D85" w:rsidRPr="00515D85" w:rsidRDefault="00515D85" w:rsidP="00D87D91"/>
    <w:p w14:paraId="3A9D1836" w14:textId="77777777" w:rsidR="00203F72" w:rsidRPr="00796397" w:rsidRDefault="00203F72" w:rsidP="00767F37">
      <w:pPr>
        <w:pStyle w:val="2"/>
      </w:pPr>
      <w:bookmarkStart w:id="105" w:name="_第八章_人口販運被害人人性尊嚴之保障"/>
      <w:bookmarkEnd w:id="105"/>
      <w:r w:rsidRPr="00796397">
        <w:t>第八章</w:t>
      </w:r>
      <w:r w:rsidRPr="00796397">
        <w:t xml:space="preserve"> </w:t>
      </w:r>
      <w:r w:rsidRPr="00796397">
        <w:t>人口販運被害人人性尊嚴之保障</w:t>
      </w:r>
      <w:r w:rsidRPr="00796397">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14:paraId="16BDC785" w14:textId="77777777" w:rsidTr="00203F72">
        <w:tc>
          <w:tcPr>
            <w:tcW w:w="8362" w:type="dxa"/>
            <w:tcBorders>
              <w:top w:val="single" w:sz="4" w:space="0" w:color="auto"/>
              <w:left w:val="single" w:sz="4" w:space="0" w:color="auto"/>
              <w:bottom w:val="single" w:sz="4" w:space="0" w:color="auto"/>
              <w:right w:val="single" w:sz="4" w:space="0" w:color="auto"/>
            </w:tcBorders>
            <w:hideMark/>
          </w:tcPr>
          <w:p w14:paraId="37B69886" w14:textId="77777777" w:rsidR="00203F72" w:rsidRPr="005E5AE3" w:rsidRDefault="00203F72" w:rsidP="005E5AE3">
            <w:pPr>
              <w:jc w:val="center"/>
              <w:rPr>
                <w:b/>
              </w:rPr>
            </w:pPr>
            <w:r w:rsidRPr="005E5AE3">
              <w:rPr>
                <w:b/>
              </w:rPr>
              <w:t>目次</w:t>
            </w:r>
          </w:p>
          <w:p w14:paraId="73061C67" w14:textId="77777777" w:rsidR="00203F72" w:rsidRPr="00515D85" w:rsidRDefault="00026D0F" w:rsidP="00D87D91">
            <w:r w:rsidRPr="00515D85">
              <w:t xml:space="preserve">　　</w:t>
            </w:r>
            <w:r w:rsidR="00203F72" w:rsidRPr="00515D85">
              <w:t>壹、前言</w:t>
            </w:r>
          </w:p>
          <w:p w14:paraId="4C7C7F72" w14:textId="77777777" w:rsidR="00203F72" w:rsidRPr="00515D85" w:rsidRDefault="00026D0F" w:rsidP="00D87D91">
            <w:r w:rsidRPr="00515D85">
              <w:t xml:space="preserve">　　</w:t>
            </w:r>
            <w:r w:rsidR="00203F72" w:rsidRPr="00515D85">
              <w:t>貳、國際人口販運之現象、特色與防治作為</w:t>
            </w:r>
          </w:p>
          <w:p w14:paraId="5F322522" w14:textId="77777777" w:rsidR="00203F72" w:rsidRPr="00515D85" w:rsidRDefault="00026D0F" w:rsidP="00D87D91">
            <w:r w:rsidRPr="00515D85">
              <w:t xml:space="preserve">　　</w:t>
            </w:r>
            <w:r w:rsidR="00203F72" w:rsidRPr="00515D85">
              <w:t>一、國際人口販運之現象與特色</w:t>
            </w:r>
          </w:p>
          <w:p w14:paraId="21C778B2" w14:textId="77777777" w:rsidR="00203F72" w:rsidRPr="00515D85" w:rsidRDefault="00026D0F" w:rsidP="00D87D91">
            <w:r w:rsidRPr="00515D85">
              <w:t xml:space="preserve">　　</w:t>
            </w:r>
            <w:r w:rsidR="00203F72" w:rsidRPr="00515D85">
              <w:t>二、國際打擊人口販運犯罪之防治作為</w:t>
            </w:r>
          </w:p>
          <w:p w14:paraId="7C6E1B5A" w14:textId="77777777" w:rsidR="00203F72" w:rsidRPr="00515D85" w:rsidRDefault="00026D0F" w:rsidP="00D87D91">
            <w:r w:rsidRPr="00515D85">
              <w:t xml:space="preserve">　　</w:t>
            </w:r>
            <w:r w:rsidR="00203F72" w:rsidRPr="00515D85">
              <w:t>參、全球打擊人口販運犯罪之重大新挑戰</w:t>
            </w:r>
            <w:r w:rsidR="00D92F56" w:rsidRPr="00515D85">
              <w:t>〜</w:t>
            </w:r>
            <w:r w:rsidR="00203F72" w:rsidRPr="00515D85">
              <w:t>2C3D1I1R</w:t>
            </w:r>
          </w:p>
          <w:p w14:paraId="271C51F8" w14:textId="77777777" w:rsidR="00203F72" w:rsidRPr="00515D85" w:rsidRDefault="00026D0F" w:rsidP="00D87D91">
            <w:r w:rsidRPr="00515D85">
              <w:t xml:space="preserve">　　</w:t>
            </w:r>
            <w:r w:rsidR="00203F72" w:rsidRPr="00515D85">
              <w:t>肆、台灣面臨人口販運問題之檢討與回顧</w:t>
            </w:r>
            <w:r w:rsidR="00203F72" w:rsidRPr="00515D85">
              <w:t xml:space="preserve"> </w:t>
            </w:r>
          </w:p>
          <w:p w14:paraId="04815DC1" w14:textId="77777777" w:rsidR="00203F72" w:rsidRPr="00515D85" w:rsidRDefault="00026D0F" w:rsidP="00D87D91">
            <w:r w:rsidRPr="00515D85">
              <w:t xml:space="preserve">　　</w:t>
            </w:r>
            <w:r w:rsidR="00203F72" w:rsidRPr="00515D85">
              <w:t>伍、台灣因應人口販運問題可行之回應對策</w:t>
            </w:r>
          </w:p>
          <w:p w14:paraId="71F6739A" w14:textId="77777777" w:rsidR="00203F72" w:rsidRPr="00A53581" w:rsidRDefault="00026D0F" w:rsidP="00D87D91">
            <w:r w:rsidRPr="00515D85">
              <w:t xml:space="preserve">　　</w:t>
            </w:r>
            <w:r w:rsidR="00203F72" w:rsidRPr="00515D85">
              <w:t>陸、結論與建議</w:t>
            </w:r>
          </w:p>
        </w:tc>
      </w:tr>
    </w:tbl>
    <w:p w14:paraId="099BF470" w14:textId="77777777" w:rsidR="00203F72" w:rsidRPr="00A53581" w:rsidRDefault="00203F72" w:rsidP="00D87D91">
      <w:r w:rsidRPr="00A53581">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14:paraId="56F0683F" w14:textId="77777777" w:rsidTr="00203F72">
        <w:tc>
          <w:tcPr>
            <w:tcW w:w="8362" w:type="dxa"/>
            <w:tcBorders>
              <w:top w:val="single" w:sz="4" w:space="0" w:color="auto"/>
              <w:left w:val="single" w:sz="4" w:space="0" w:color="auto"/>
              <w:bottom w:val="single" w:sz="4" w:space="0" w:color="auto"/>
              <w:right w:val="single" w:sz="4" w:space="0" w:color="auto"/>
            </w:tcBorders>
            <w:hideMark/>
          </w:tcPr>
          <w:p w14:paraId="3EFD2C3A" w14:textId="77777777" w:rsidR="00203F72" w:rsidRPr="005E5AE3" w:rsidRDefault="00203F72" w:rsidP="005E5AE3">
            <w:pPr>
              <w:jc w:val="center"/>
              <w:rPr>
                <w:b/>
              </w:rPr>
            </w:pPr>
            <w:r w:rsidRPr="005E5AE3">
              <w:rPr>
                <w:b/>
              </w:rPr>
              <w:t>中文摘要</w:t>
            </w:r>
          </w:p>
          <w:p w14:paraId="1196881D" w14:textId="77777777" w:rsidR="00203F72" w:rsidRPr="00A53581" w:rsidRDefault="00CC01C1" w:rsidP="00D87D91">
            <w:r>
              <w:t xml:space="preserve">　　</w:t>
            </w:r>
            <w:r w:rsidR="00203F72" w:rsidRPr="00A53581">
              <w:t>人口販運是相當古老之犯罪問題，國際刑警組織將其認定為當今國際社會中，最嚴重之三大犯罪問題之一。近年來，全球在打擊人口販運犯行之際，亦遭受相當大之新阻礙與挑戰，此項新興之障礙，被命名為</w:t>
            </w:r>
            <w:r w:rsidR="00203F72" w:rsidRPr="00A53581">
              <w:rPr>
                <w:kern w:val="0"/>
              </w:rPr>
              <w:t>2C3D1I1R</w:t>
            </w:r>
            <w:r w:rsidR="00D92F56">
              <w:t>〜</w:t>
            </w:r>
            <w:r w:rsidR="00203F72" w:rsidRPr="00A53581">
              <w:t>誤用同意權</w:t>
            </w:r>
            <w:r w:rsidR="00203F72" w:rsidRPr="00A53581">
              <w:t>(</w:t>
            </w:r>
            <w:r w:rsidR="00203F72" w:rsidRPr="00A53581">
              <w:rPr>
                <w:kern w:val="0"/>
                <w:lang w:bidi="bn-IN"/>
              </w:rPr>
              <w:t>consent)</w:t>
            </w:r>
            <w:r w:rsidR="00203F72" w:rsidRPr="00A53581">
              <w:rPr>
                <w:kern w:val="0"/>
                <w:lang w:bidi="bn-IN"/>
              </w:rPr>
              <w:t>、</w:t>
            </w:r>
            <w:r w:rsidR="00203F72" w:rsidRPr="00A53581">
              <w:t>人口販運加害人被定罪</w:t>
            </w:r>
            <w:r w:rsidR="00203F72" w:rsidRPr="00A53581">
              <w:t>(convictions)</w:t>
            </w:r>
            <w:r w:rsidR="00203F72" w:rsidRPr="00A53581">
              <w:t>之比率偏低、收容、遣返、令人口販運被害人失能、人口販運被害人被辨識</w:t>
            </w:r>
            <w:r w:rsidR="00203F72" w:rsidRPr="00A53581">
              <w:t>(identification)</w:t>
            </w:r>
            <w:r w:rsidR="00203F72" w:rsidRPr="00A53581">
              <w:t>成功之比率低落、不重</w:t>
            </w:r>
            <w:r w:rsidR="003E240E">
              <w:t>視</w:t>
            </w:r>
            <w:r w:rsidR="00203F72" w:rsidRPr="00A53581">
              <w:t>人口販運受刑人之矯正、處遇與治療</w:t>
            </w:r>
            <w:r w:rsidR="00203F72" w:rsidRPr="00A53581">
              <w:t>(Rehabilitation)</w:t>
            </w:r>
            <w:r w:rsidR="00203F72" w:rsidRPr="00A53581">
              <w:t>。再者，在台灣防制人口販運之建議方面，本書提出以下之建言，供社會大眾參考，如下所述：</w:t>
            </w:r>
            <w:r w:rsidR="00203F72" w:rsidRPr="00A53581">
              <w:t>1</w:t>
            </w:r>
            <w:r w:rsidR="00203F72" w:rsidRPr="00A53581">
              <w:t>、在整體策略（戰略）上，台灣宜繼續精進</w:t>
            </w:r>
            <w:r w:rsidR="00203F72" w:rsidRPr="00A53581">
              <w:t>4P</w:t>
            </w:r>
            <w:r w:rsidR="00203F72" w:rsidRPr="00A53581">
              <w:t>與積極強力掃除</w:t>
            </w:r>
            <w:r w:rsidR="00203F72" w:rsidRPr="00A53581">
              <w:rPr>
                <w:kern w:val="0"/>
              </w:rPr>
              <w:t>2C3D1I1R</w:t>
            </w:r>
            <w:r w:rsidR="00203F72" w:rsidRPr="00A53581">
              <w:t>之障礙；</w:t>
            </w:r>
            <w:r w:rsidR="00203F72" w:rsidRPr="00A53581">
              <w:t>2</w:t>
            </w:r>
            <w:r w:rsidR="00203F72" w:rsidRPr="00A53581">
              <w:t>、植基於以防制人口販運之相關法令規範為根本，加強對人口販運罪犯之起訴與定罪；</w:t>
            </w:r>
            <w:r w:rsidR="00203F72" w:rsidRPr="00A53581">
              <w:t>3</w:t>
            </w:r>
            <w:r w:rsidR="00203F72" w:rsidRPr="00A53581">
              <w:t>、積極調查、偵處並起訴涉嫌於遠洋漁船之上，虐待或販運漁工之台灣籍漁船船主；</w:t>
            </w:r>
            <w:r w:rsidR="00203F72" w:rsidRPr="00A53581">
              <w:t>4</w:t>
            </w:r>
            <w:r w:rsidR="00203F72" w:rsidRPr="00A53581">
              <w:t>、精進我國外勞之聘用與管理機制，並將我國勞動市場之需求，廣作宣傳；</w:t>
            </w:r>
            <w:r w:rsidR="00203F72" w:rsidRPr="00A53581">
              <w:t>5</w:t>
            </w:r>
            <w:r w:rsidR="00203F72" w:rsidRPr="00A53581">
              <w:t>、不宜對於拒絕協助台灣刑事司法機關進行人口販運之偵審工作者，我國即拒絕對於人口販運被害人提供永久居留機制之保護與協助；</w:t>
            </w:r>
            <w:r w:rsidR="00203F72" w:rsidRPr="00A53581">
              <w:t>6</w:t>
            </w:r>
            <w:r w:rsidR="00203F72" w:rsidRPr="00A53581">
              <w:t>、正</w:t>
            </w:r>
            <w:r w:rsidR="003E240E">
              <w:t>視</w:t>
            </w:r>
            <w:r w:rsidR="00203F72" w:rsidRPr="00A53581">
              <w:t>人口販運犯行之嚴重性而適度提升懲治人口販運罪行之處罰額度；</w:t>
            </w:r>
            <w:r w:rsidR="00203F72" w:rsidRPr="00A53581">
              <w:t>7</w:t>
            </w:r>
            <w:r w:rsidR="00203F72" w:rsidRPr="00A53581">
              <w:t>、修改全台打擊與防治人口販運之行動方案和方針，以符合與掌控當今台灣社會人口販運犯罪之實際發展趨勢；</w:t>
            </w:r>
            <w:r w:rsidR="00203F72" w:rsidRPr="00A53581">
              <w:t>8</w:t>
            </w:r>
            <w:r w:rsidR="00203F72" w:rsidRPr="00A53581">
              <w:t>、釐清打擊與防治人口販運各機關之角色功能與其職權範圍，並能充分協調全台打擊人口販運之各項執法作為；</w:t>
            </w:r>
            <w:r w:rsidR="00203F72" w:rsidRPr="00A53581">
              <w:t>9</w:t>
            </w:r>
            <w:r w:rsidR="00203F72" w:rsidRPr="00A53581">
              <w:t>、強化涉及人口販運情報之蒐集、整合、解析與運用等相關作為；</w:t>
            </w:r>
            <w:r w:rsidR="00203F72" w:rsidRPr="00A53581">
              <w:t>10</w:t>
            </w:r>
            <w:r w:rsidR="00203F72" w:rsidRPr="00A53581">
              <w:t>、持續對執法人員、勞動部官員、勞動檢查員、檢察官及法官進行被害人識別措施和相關法律問題之訓練；</w:t>
            </w:r>
            <w:r w:rsidR="00203F72" w:rsidRPr="00A53581">
              <w:t>11</w:t>
            </w:r>
            <w:r w:rsidR="00203F72" w:rsidRPr="00A53581">
              <w:t>、應大幅提升人口販運被害人被鑑別成功之比例；</w:t>
            </w:r>
            <w:r w:rsidR="00203F72" w:rsidRPr="00A53581">
              <w:t>12</w:t>
            </w:r>
            <w:r w:rsidR="00203F72" w:rsidRPr="00A53581">
              <w:t>、台灣宜大力推展「反性剝削旅遊」及「反兒童性剝削旅遊」運動；</w:t>
            </w:r>
            <w:r w:rsidR="00203F72" w:rsidRPr="00A53581">
              <w:t>13</w:t>
            </w:r>
            <w:r w:rsidR="00203F72" w:rsidRPr="00A53581">
              <w:t>、強化與外國執法調查機關之連繫，並積極推展情報之交換；</w:t>
            </w:r>
            <w:r w:rsidR="00203F72" w:rsidRPr="00A53581">
              <w:t>14</w:t>
            </w:r>
            <w:r w:rsidR="00203F72" w:rsidRPr="00A53581">
              <w:t>、強化對於台灣附近水域之監</w:t>
            </w:r>
            <w:r w:rsidR="003E240E">
              <w:t>視</w:t>
            </w:r>
            <w:r w:rsidR="00203F72" w:rsidRPr="00A53581">
              <w:t>與執法取締；</w:t>
            </w:r>
            <w:r w:rsidR="00203F72" w:rsidRPr="00A53581">
              <w:t>15</w:t>
            </w:r>
            <w:r w:rsidR="00203F72" w:rsidRPr="00A53581">
              <w:t>、台灣宜將針對人口販運被害人</w:t>
            </w:r>
            <w:r w:rsidR="00203F72" w:rsidRPr="00A53581">
              <w:t>HIV/AIDS</w:t>
            </w:r>
            <w:r w:rsidR="00203F72" w:rsidRPr="00A53581">
              <w:t>之各項防制服務及作為整合於遣返政策之中；</w:t>
            </w:r>
            <w:r w:rsidR="00203F72" w:rsidRPr="00A53581">
              <w:t>16</w:t>
            </w:r>
            <w:r w:rsidR="00203F72" w:rsidRPr="00A53581">
              <w:t>、台灣宜大力宣導犯罪被害補償金之機制，令更多人口販運之被害人能獲實益；</w:t>
            </w:r>
            <w:r w:rsidR="00203F72" w:rsidRPr="00A53581">
              <w:t>17</w:t>
            </w:r>
            <w:r w:rsidR="00203F72" w:rsidRPr="00A53581">
              <w:t>、重</w:t>
            </w:r>
            <w:r w:rsidR="003E240E">
              <w:t>視</w:t>
            </w:r>
            <w:r w:rsidR="00203F72" w:rsidRPr="00A53581">
              <w:t>人口販運被害人心理之斯德哥爾摩症候群現象，積極鼓勵與宣導人口販運犯罪被害人勇於報案；</w:t>
            </w:r>
            <w:r w:rsidR="00203F72" w:rsidRPr="00A53581">
              <w:t>18</w:t>
            </w:r>
            <w:r w:rsidR="00203F72" w:rsidRPr="00A53581">
              <w:t>、強調與建構共同打擊人口販運罪行之合作夥伴協力關係，確保打擊與防治人口販運之資訊能有效共用；</w:t>
            </w:r>
            <w:r w:rsidR="00203F72" w:rsidRPr="00A53581">
              <w:t>19</w:t>
            </w:r>
            <w:r w:rsidR="00203F72" w:rsidRPr="00A53581">
              <w:t>、台灣宜從需求面降低人口販運之犯行</w:t>
            </w:r>
            <w:r w:rsidR="00D92F56">
              <w:t>〜</w:t>
            </w:r>
            <w:r w:rsidR="00203F72" w:rsidRPr="00A53581">
              <w:t>我國對於買春之人宜進行刑事制裁而非採取行政制裁，藉以強力壓制買春行為；</w:t>
            </w:r>
            <w:r w:rsidR="00203F72" w:rsidRPr="00A53581">
              <w:t>20</w:t>
            </w:r>
            <w:r w:rsidR="00203F72" w:rsidRPr="00A53581">
              <w:t>、人口販運被害人與雇主之間之契約應屬無效契約；</w:t>
            </w:r>
            <w:r w:rsidR="00203F72" w:rsidRPr="00A53581">
              <w:t>21</w:t>
            </w:r>
            <w:r w:rsidR="00203F72" w:rsidRPr="00A53581">
              <w:t>、被害人部分違法行為宜加以除罪化；</w:t>
            </w:r>
            <w:r w:rsidR="00203F72" w:rsidRPr="00A53581">
              <w:t>22</w:t>
            </w:r>
            <w:r w:rsidR="00203F72" w:rsidRPr="00A53581">
              <w:t>、台灣宜與多國簽訂共同打擊人口販運犯罪之備忘錄；</w:t>
            </w:r>
            <w:r w:rsidR="00203F72" w:rsidRPr="00A53581">
              <w:t>23</w:t>
            </w:r>
            <w:r w:rsidR="00203F72" w:rsidRPr="00A53581">
              <w:t>、以實證科學統計調查結果作為反制人口販運之對策；</w:t>
            </w:r>
            <w:r w:rsidR="00203F72" w:rsidRPr="00A53581">
              <w:t>24</w:t>
            </w:r>
            <w:r w:rsidR="00203F72" w:rsidRPr="00A53581">
              <w:t>、教育社會大眾積極正</w:t>
            </w:r>
            <w:r w:rsidR="003E240E">
              <w:t>視</w:t>
            </w:r>
            <w:r w:rsidR="00203F72" w:rsidRPr="00A53581">
              <w:t>人口販運罪行之多樣性，及其本質之殘酷性、暴力性、迫害性及嚴重性。</w:t>
            </w:r>
          </w:p>
        </w:tc>
      </w:tr>
    </w:tbl>
    <w:p w14:paraId="5FDC1D10" w14:textId="77777777" w:rsidR="00203F72" w:rsidRPr="00A53581" w:rsidRDefault="00170AAF" w:rsidP="00D87D91">
      <w:r w:rsidRPr="00170AAF">
        <w:rPr>
          <w:rFonts w:hint="eastAsia"/>
        </w:rPr>
        <w:t>【</w:t>
      </w:r>
      <w:r w:rsidR="00203F72" w:rsidRPr="00A53581">
        <w:t>中文關鍵詞</w:t>
      </w:r>
      <w:r w:rsidRPr="00170AAF">
        <w:rPr>
          <w:rFonts w:hint="eastAsia"/>
        </w:rPr>
        <w:t>】</w:t>
      </w:r>
      <w:r w:rsidR="00203F72" w:rsidRPr="00A53581">
        <w:t>人口販運、勞力剝削、性剝削、非法移民</w:t>
      </w:r>
    </w:p>
    <w:p w14:paraId="1A53E966" w14:textId="77777777"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2"/>
      </w:tblGrid>
      <w:tr w:rsidR="00203F72" w:rsidRPr="00A53581" w14:paraId="257C8779" w14:textId="77777777" w:rsidTr="00203F72">
        <w:tc>
          <w:tcPr>
            <w:tcW w:w="8362" w:type="dxa"/>
            <w:tcBorders>
              <w:top w:val="single" w:sz="4" w:space="0" w:color="auto"/>
              <w:left w:val="single" w:sz="4" w:space="0" w:color="auto"/>
              <w:bottom w:val="single" w:sz="4" w:space="0" w:color="auto"/>
              <w:right w:val="single" w:sz="4" w:space="0" w:color="auto"/>
            </w:tcBorders>
            <w:hideMark/>
          </w:tcPr>
          <w:p w14:paraId="202DA7D4" w14:textId="77777777" w:rsidR="00CC01C1" w:rsidRPr="000E25C7" w:rsidRDefault="00203F72" w:rsidP="005E5AE3">
            <w:pPr>
              <w:jc w:val="center"/>
              <w:rPr>
                <w:rStyle w:val="hps"/>
                <w:rFonts w:ascii="新細明體" w:hAnsi="新細明體"/>
                <w:b/>
                <w:lang w:val="en"/>
              </w:rPr>
            </w:pPr>
            <w:r w:rsidRPr="000E25C7">
              <w:rPr>
                <w:rStyle w:val="hps"/>
                <w:rFonts w:ascii="新細明體" w:hAnsi="新細明體"/>
                <w:b/>
                <w:lang w:val="en"/>
              </w:rPr>
              <w:t>English</w:t>
            </w:r>
            <w:r w:rsidRPr="000E25C7">
              <w:rPr>
                <w:b/>
                <w:lang w:val="en"/>
              </w:rPr>
              <w:t xml:space="preserve"> </w:t>
            </w:r>
            <w:r w:rsidRPr="000E25C7">
              <w:rPr>
                <w:rStyle w:val="hps"/>
                <w:rFonts w:ascii="新細明體" w:hAnsi="新細明體"/>
                <w:b/>
                <w:lang w:val="en"/>
              </w:rPr>
              <w:t>summary</w:t>
            </w:r>
          </w:p>
          <w:p w14:paraId="128C2538" w14:textId="77777777" w:rsidR="00203F72" w:rsidRPr="000E25C7" w:rsidRDefault="00CC01C1" w:rsidP="005E5AE3">
            <w:r w:rsidRPr="000E25C7">
              <w:rPr>
                <w:rStyle w:val="hps"/>
                <w:rFonts w:ascii="新細明體" w:hAnsi="新細明體"/>
                <w:lang w:val="en"/>
              </w:rPr>
              <w:t xml:space="preserve">　　</w:t>
            </w:r>
            <w:r w:rsidR="00203F72" w:rsidRPr="000E25C7">
              <w:t xml:space="preserve">Firstly, this article reviews and discusses the dilemmas faced by the international community in combating the crime of human trafficking and the countermeasures responded by the global community. Human trafficking crime is a very old problem. The International Criminal Police Organization has recognized it as one of the three most serious crimes in the international community today. In recent years, the global governments have suffered and faced considerable obstacles and challenges when fighting against the human trafficking crime. These new obstacles have been named 2C3D1I1R </w:t>
            </w:r>
            <w:r w:rsidR="00D92F56" w:rsidRPr="000E25C7">
              <w:t>〜</w:t>
            </w:r>
            <w:r w:rsidR="00203F72" w:rsidRPr="000E25C7">
              <w:t xml:space="preserve"> misused consent, the low convicted ratio of human trafficking offenders, high detention ratio, misused deportation and repatriation, disability of human trafficking victims, the low successful recognization (identification) rate of victims of human trafficking, and the inefficiency of correction, treatment and rehabilitation for thehuman trafficking offenders. This paper also examines the problems and issues faced by Taiwan government when combating human trafficking crime. Finally, this article proposes the appropriate recommendations and suggestions for the public and society. </w:t>
            </w:r>
          </w:p>
        </w:tc>
      </w:tr>
    </w:tbl>
    <w:p w14:paraId="3565F44A" w14:textId="77777777" w:rsidR="00953151" w:rsidRPr="005E5AE3" w:rsidRDefault="00170AAF" w:rsidP="005E5AE3">
      <w:r w:rsidRPr="005E5AE3">
        <w:rPr>
          <w:rFonts w:hint="eastAsia"/>
        </w:rPr>
        <w:t>【</w:t>
      </w:r>
      <w:r w:rsidR="00203F72" w:rsidRPr="005E5AE3">
        <w:t>English Keywords</w:t>
      </w:r>
      <w:r w:rsidR="005E23E3" w:rsidRPr="005E5AE3">
        <w:rPr>
          <w:rFonts w:hint="eastAsia"/>
        </w:rPr>
        <w:t>】</w:t>
      </w:r>
      <w:r w:rsidR="00203F72" w:rsidRPr="005E5AE3">
        <w:t>human trafficking, labor exploitation, sexual exploitation, illegal immigrants</w:t>
      </w:r>
    </w:p>
    <w:p w14:paraId="235991BA" w14:textId="77777777" w:rsidR="00515D85" w:rsidRDefault="00515D85" w:rsidP="005E5AE3">
      <w:pPr>
        <w:jc w:val="right"/>
        <w:rPr>
          <w:rFonts w:ascii="新細明體" w:hAnsi="新細明體"/>
        </w:rPr>
      </w:pPr>
      <w:r w:rsidRPr="0026266A">
        <w:rPr>
          <w:rFonts w:hint="eastAsia"/>
        </w:rPr>
        <w:t>。。。。。。。。。。。。。。。。。。。。。。。。。</w:t>
      </w:r>
      <w:hyperlink w:anchor="a目次38" w:history="1">
        <w:r>
          <w:rPr>
            <w:rStyle w:val="a5"/>
            <w:sz w:val="18"/>
          </w:rPr>
          <w:t>回目次</w:t>
        </w:r>
      </w:hyperlink>
      <w:r w:rsidR="00E91F89">
        <w:rPr>
          <w:rFonts w:ascii="新細明體" w:hAnsi="新細明體"/>
          <w:color w:val="808000"/>
        </w:rPr>
        <w:t>〉〉</w:t>
      </w:r>
    </w:p>
    <w:p w14:paraId="3E38540D" w14:textId="77777777" w:rsidR="00515D85" w:rsidRDefault="00515D85" w:rsidP="00D87D91"/>
    <w:p w14:paraId="11FD5B81" w14:textId="77777777" w:rsidR="00203F72" w:rsidRPr="00A53581" w:rsidRDefault="00203F72" w:rsidP="00767F37">
      <w:pPr>
        <w:pStyle w:val="2"/>
      </w:pPr>
      <w:bookmarkStart w:id="106" w:name="_壹、前言_4"/>
      <w:bookmarkEnd w:id="106"/>
      <w:r w:rsidRPr="00A53581">
        <w:t>壹、前言</w:t>
      </w:r>
      <w:r w:rsidRPr="00A53581">
        <w:t xml:space="preserve"> </w:t>
      </w:r>
    </w:p>
    <w:p w14:paraId="3FAC231A" w14:textId="77777777" w:rsidR="00953151" w:rsidRPr="00515D85" w:rsidRDefault="00CC01C1" w:rsidP="00D87D91">
      <w:r w:rsidRPr="00515D85">
        <w:t xml:space="preserve">　　</w:t>
      </w:r>
      <w:r w:rsidR="00203F72" w:rsidRPr="00515D85">
        <w:t>人口販運、偷渡及非法移民三者之關係，可謂緊密地相關，環環相扣。根據聯合國「毒品與犯罪辦公室」（</w:t>
      </w:r>
      <w:r w:rsidR="00203F72" w:rsidRPr="00515D85">
        <w:t>United Nations Office on Drug and Crime</w:t>
      </w:r>
      <w:r w:rsidR="00203F72" w:rsidRPr="00515D85">
        <w:t>）</w:t>
      </w:r>
      <w:r w:rsidR="00203F72" w:rsidRPr="00515D85">
        <w:t>2010</w:t>
      </w:r>
      <w:r w:rsidR="00203F72" w:rsidRPr="00515D85">
        <w:t>年所出版之「遷徙者之偷渡」（</w:t>
      </w:r>
      <w:r w:rsidR="00203F72" w:rsidRPr="00515D85">
        <w:t>Smuggling of Migrants</w:t>
      </w:r>
      <w:r w:rsidR="00203F72" w:rsidRPr="00515D85">
        <w:t>）一書中所載，在不正常人口移動中，遷徙</w:t>
      </w:r>
      <w:r w:rsidR="00203F72" w:rsidRPr="00515D85">
        <w:t>(</w:t>
      </w:r>
      <w:r w:rsidR="00203F72" w:rsidRPr="00515D85">
        <w:t>移居</w:t>
      </w:r>
      <w:r w:rsidR="00203F72" w:rsidRPr="00515D85">
        <w:t>)</w:t>
      </w:r>
      <w:r w:rsidR="00203F72" w:rsidRPr="00515D85">
        <w:t>偷渡之行為，事實上，是扮演一個決定性之角色，以利非法移民者能從甲國偷渡至乙國</w:t>
      </w:r>
      <w:r w:rsidR="00203F72" w:rsidRPr="00515D85">
        <w:footnoteReference w:id="832"/>
      </w:r>
      <w:r w:rsidR="00203F72" w:rsidRPr="00515D85">
        <w:t>。</w:t>
      </w:r>
    </w:p>
    <w:p w14:paraId="49CB81F9" w14:textId="77777777" w:rsidR="00203F72" w:rsidRPr="00515D85" w:rsidRDefault="00CC01C1" w:rsidP="00D87D91">
      <w:r w:rsidRPr="00515D85">
        <w:t xml:space="preserve">　　</w:t>
      </w:r>
      <w:r w:rsidR="00203F72" w:rsidRPr="00515D85">
        <w:t>人口販運防制的問題，它是一個極為重要的普世化，與全球化的人權議題，廣泛地受到全球各國的極高度重</w:t>
      </w:r>
      <w:r w:rsidR="003E240E">
        <w:t>視</w:t>
      </w:r>
      <w:r w:rsidR="00203F72" w:rsidRPr="00515D85">
        <w:t>。有關於人口販運的定義，它本身並不是很容易令人掌握其核心的定義，與真實的意義，它很容易今人誤解其意。根據中華民國人口販運防制</w:t>
      </w:r>
      <w:r w:rsidR="00687BCD" w:rsidRPr="00515D85">
        <w:t>法</w:t>
      </w:r>
      <w:hyperlink r:id="rId2203" w:anchor="a2" w:history="1">
        <w:r w:rsidR="00687BCD" w:rsidRPr="00515D85">
          <w:rPr>
            <w:rStyle w:val="a5"/>
          </w:rPr>
          <w:t>第2條</w:t>
        </w:r>
      </w:hyperlink>
      <w:r w:rsidR="00203F72" w:rsidRPr="00515D85">
        <w:t>（名詞定義）的規定，人口販運的法律上的意義，乃指：（一）指意圖使人從事性交易、勞動與報酬顯不相當之工作或摘取他人器官，而以強暴、脅迫、恐嚇、拘禁、監控、藥劑、催眠術、詐術、故意隱瞞重要資訊、不當債務約束、扣留重要文件、利用他人不能、不知或難以求助之處境，或其他違反本人意願之方法，從事招募、買賣、質押、運送、交付、收受、藏匿、隱避、媒介、容留國內外人口，或以前述方法使之從事性交易、勞動與報酬顯不相當之工作或摘取其器官。（二）指意圖使未滿十八歲之人從事性交易、勞動與報酬顯不相當之工作或摘取其器官，而招募、買賣、質押、運送、交付、收受、藏匿、隱避、媒介、容留未滿十八歲之人，或使未滿十八歲之人從事性交易、勞動與報酬顯不相當之工作或摘取其器官。</w:t>
      </w:r>
    </w:p>
    <w:p w14:paraId="1F460C05" w14:textId="77777777" w:rsidR="00953151" w:rsidRPr="00515D85" w:rsidRDefault="00CC01C1" w:rsidP="00D87D91">
      <w:r w:rsidRPr="00515D85">
        <w:t xml:space="preserve">　　</w:t>
      </w:r>
      <w:r w:rsidR="00203F72" w:rsidRPr="00515D85">
        <w:t>另外，有關於人口販運防制</w:t>
      </w:r>
      <w:r w:rsidR="00515D85" w:rsidRPr="00515D85">
        <w:t>法</w:t>
      </w:r>
      <w:hyperlink r:id="rId2204" w:anchor="a2" w:history="1">
        <w:r w:rsidR="00515D85" w:rsidRPr="00515D85">
          <w:rPr>
            <w:rStyle w:val="a5"/>
          </w:rPr>
          <w:t>第2條</w:t>
        </w:r>
      </w:hyperlink>
      <w:r w:rsidR="00203F72" w:rsidRPr="00515D85">
        <w:t>（名詞定義）「人口販運罪」</w:t>
      </w:r>
      <w:r w:rsidR="00203F72" w:rsidRPr="00515D85">
        <w:t>(</w:t>
      </w:r>
      <w:r w:rsidR="00203F72" w:rsidRPr="00515D85">
        <w:t>特別強調犯行</w:t>
      </w:r>
      <w:r w:rsidR="00203F72" w:rsidRPr="00515D85">
        <w:t>)</w:t>
      </w:r>
      <w:r w:rsidR="00203F72" w:rsidRPr="00515D85">
        <w:t>的定義，乃指從事人口販運，而犯本法、</w:t>
      </w:r>
      <w:hyperlink r:id="rId2205" w:history="1">
        <w:r w:rsidR="006B7176" w:rsidRPr="006B7176">
          <w:rPr>
            <w:rStyle w:val="a5"/>
            <w:rFonts w:eastAsia="新細明體"/>
            <w:kern w:val="0"/>
          </w:rPr>
          <w:t>刑法</w:t>
        </w:r>
      </w:hyperlink>
      <w:r w:rsidR="00203F72" w:rsidRPr="00515D85">
        <w:t>、</w:t>
      </w:r>
      <w:hyperlink r:id="rId2206" w:history="1">
        <w:r w:rsidR="005576A4" w:rsidRPr="002F3FE8">
          <w:rPr>
            <w:rStyle w:val="a5"/>
            <w:rFonts w:ascii="Times New Roman" w:eastAsia="新細明體" w:hAnsi="Times New Roman"/>
          </w:rPr>
          <w:t>勞動基準法</w:t>
        </w:r>
      </w:hyperlink>
      <w:r w:rsidR="00203F72" w:rsidRPr="00515D85">
        <w:t>、</w:t>
      </w:r>
      <w:hyperlink r:id="rId2207" w:history="1">
        <w:r w:rsidR="00203F72" w:rsidRPr="007B2912">
          <w:rPr>
            <w:rStyle w:val="a5"/>
            <w:rFonts w:ascii="Times New Roman" w:eastAsia="新細明體" w:hAnsi="Times New Roman"/>
          </w:rPr>
          <w:t>兒童及少年性交易防制條例</w:t>
        </w:r>
      </w:hyperlink>
      <w:r w:rsidR="00203F72" w:rsidRPr="00515D85">
        <w:t>或其他相關之罪。再者，上述人口販運防制</w:t>
      </w:r>
      <w:r w:rsidR="00515D85" w:rsidRPr="00515D85">
        <w:t>法</w:t>
      </w:r>
      <w:hyperlink r:id="rId2208" w:anchor="a2" w:history="1">
        <w:r w:rsidR="00515D85" w:rsidRPr="00515D85">
          <w:rPr>
            <w:rStyle w:val="a5"/>
          </w:rPr>
          <w:t>第2條</w:t>
        </w:r>
      </w:hyperlink>
      <w:r w:rsidR="00203F72" w:rsidRPr="00515D85">
        <w:t>所提及的「不當債務約束」，乃指以內容或清償方式不確定或顯不合理之債務約束他人，使其從事性交易、提供勞務或摘取其器官，以履行或擔保債務之清償。</w:t>
      </w:r>
    </w:p>
    <w:p w14:paraId="5D47D822" w14:textId="77777777" w:rsidR="00953151" w:rsidRPr="00515D85" w:rsidRDefault="00170AAF" w:rsidP="00D87D91">
      <w:r w:rsidRPr="00515D85">
        <w:t xml:space="preserve">　　</w:t>
      </w:r>
      <w:r w:rsidR="00203F72" w:rsidRPr="00515D85">
        <w:t>有關於人口販運的定義，除了上述的人口販運防制</w:t>
      </w:r>
      <w:r w:rsidR="00515D85" w:rsidRPr="00515D85">
        <w:t>法</w:t>
      </w:r>
      <w:hyperlink r:id="rId2209" w:anchor="a2" w:history="1">
        <w:r w:rsidR="00515D85" w:rsidRPr="00515D85">
          <w:rPr>
            <w:rStyle w:val="a5"/>
          </w:rPr>
          <w:t>第2條</w:t>
        </w:r>
      </w:hyperlink>
      <w:r w:rsidR="00203F72" w:rsidRPr="00515D85">
        <w:t>（名詞定義）的規</w:t>
      </w:r>
      <w:r w:rsidR="00203F72" w:rsidRPr="00A53581">
        <w:t>定之外，於行政院防制人口販運行動計畫之中，亦有定義。行政院防制人口販運行動計畫所</w:t>
      </w:r>
      <w:r w:rsidR="00203F72" w:rsidRPr="00515D85">
        <w:t>指的人口販運，其定義如下：本計畫所稱「人口販運」，係指：以買賣或質押人口、性剝削、勞力剝削或摘取器官等為目的，而以強暴、脅迫、恐嚇、監控、藥劑、催眠術、詐術、不當債務約束或其他強制方法，組織、招募、運送、轉運、藏匿、媒介、收容國內外人口或使之隱蔽之行為。在台灣，有關於人口販運的定義，雖有上開</w:t>
      </w:r>
      <w:r w:rsidR="00203F72" w:rsidRPr="00515D85">
        <w:t>2</w:t>
      </w:r>
      <w:r w:rsidR="00203F72" w:rsidRPr="00515D85">
        <w:t>種不同的模式，一般而論，多數的學者、專家及實務工作者，乃以人口販運防制法第</w:t>
      </w:r>
      <w:r w:rsidR="00203F72" w:rsidRPr="00515D85">
        <w:t>2</w:t>
      </w:r>
      <w:r w:rsidR="00203F72" w:rsidRPr="00515D85">
        <w:t>條（名詞定義）涉及人口販運的規定，作為實務運作與學術討論的主要依據。</w:t>
      </w:r>
    </w:p>
    <w:p w14:paraId="283B72A9" w14:textId="77777777" w:rsidR="00953151" w:rsidRPr="00515D85" w:rsidRDefault="00170AAF" w:rsidP="00D87D91">
      <w:r w:rsidRPr="00515D85">
        <w:t xml:space="preserve">　　</w:t>
      </w:r>
      <w:r w:rsidR="00203F72" w:rsidRPr="00515D85">
        <w:t>在人口販運之國際法上之定義部分，根據「聯合國打擊跨國有組織犯罪公約關於預防、禁止和懲治販運人口特別是婦女和兒童行為之補充議定書」第</w:t>
      </w:r>
      <w:r w:rsidR="00203F72" w:rsidRPr="00515D85">
        <w:t>3</w:t>
      </w:r>
      <w:r w:rsidR="00203F72" w:rsidRPr="00515D85">
        <w:t>條之規定，人口販運之定義，乃指：「為剝削目的而通過暴力威脅或使用暴力手段，或通過其他形式之脅迫，通過誘拐、欺詐、欺騙、濫用權力或濫用脆弱情境，或通過授受酬金或利益，取得對另一人有控制權之某人之同意等手段，而招募、運送、轉移、窩藏或接收人員。剝削應至少包括利用他人賣淫進行剝削，或其他形式之性剝削、強迫勞動或服務、奴役或類似奴役之做法、勞役或切除器官。</w:t>
      </w:r>
      <w:r w:rsidR="00203F72" w:rsidRPr="00515D85">
        <w:footnoteReference w:id="833"/>
      </w:r>
      <w:r w:rsidR="00203F72" w:rsidRPr="00515D85">
        <w:t>」</w:t>
      </w:r>
    </w:p>
    <w:p w14:paraId="0BAA7CDD" w14:textId="77777777" w:rsidR="00953151" w:rsidRPr="00515D85" w:rsidRDefault="00170AAF" w:rsidP="00D87D91">
      <w:r w:rsidRPr="00515D85">
        <w:t xml:space="preserve">　　</w:t>
      </w:r>
      <w:r w:rsidR="00203F72" w:rsidRPr="00515D85">
        <w:t>在遷徙偷渡</w:t>
      </w:r>
      <w:r w:rsidR="00203F72" w:rsidRPr="00515D85">
        <w:t>( Smuggling of Migrants</w:t>
      </w:r>
      <w:r w:rsidR="00203F72" w:rsidRPr="00515D85">
        <w:t>，又被稱為偷運移民</w:t>
      </w:r>
      <w:r w:rsidR="00203F72" w:rsidRPr="00515D85">
        <w:t>)</w:t>
      </w:r>
      <w:r w:rsidR="00203F72" w:rsidRPr="00515D85">
        <w:t>之定義方面，則規範於「聯合國打擊跨國有組織犯罪公約關於打擊陸、海、空偷運移民之補充議定書」</w:t>
      </w:r>
      <w:r w:rsidR="00203F72" w:rsidRPr="00515D85">
        <w:footnoteReference w:id="834"/>
      </w:r>
      <w:r w:rsidR="00203F72" w:rsidRPr="00515D85">
        <w:t>(Protocol Against the Smuggling of Migrants by Land, Sea and Air, Supplementing the United Nations Convention Against Transnational Crime) (</w:t>
      </w:r>
      <w:r w:rsidR="00203F72" w:rsidRPr="00515D85">
        <w:t>此乃為聯合國打擊跨國有組織犯罪公約之附件檔</w:t>
      </w:r>
      <w:r w:rsidR="00203F72" w:rsidRPr="00515D85">
        <w:t>)</w:t>
      </w:r>
      <w:r w:rsidR="00203F72" w:rsidRPr="00515D85">
        <w:t>中之第</w:t>
      </w:r>
      <w:r w:rsidR="00203F72" w:rsidRPr="00515D85">
        <w:t>3</w:t>
      </w:r>
      <w:r w:rsidR="00203F72" w:rsidRPr="00515D85">
        <w:t>條及第</w:t>
      </w:r>
      <w:r w:rsidR="00203F72" w:rsidRPr="00515D85">
        <w:t>6</w:t>
      </w:r>
      <w:r w:rsidR="00203F72" w:rsidRPr="00515D85">
        <w:t>條之條文內涵中。根據上開議定書第</w:t>
      </w:r>
      <w:r w:rsidR="00203F72" w:rsidRPr="00515D85">
        <w:t>3</w:t>
      </w:r>
      <w:r w:rsidR="00203F72" w:rsidRPr="00515D85">
        <w:t>條第</w:t>
      </w:r>
      <w:r w:rsidR="00203F72" w:rsidRPr="00515D85">
        <w:t>(a)</w:t>
      </w:r>
      <w:r w:rsidR="00203F72" w:rsidRPr="00515D85">
        <w:t>款之規定，所謂之「偷運移民」，係指「為直接或間接獲取金錢或其他物質利益，安排非某一締約國國民或永久居民之人，以非法方式進入該締約國」。因上開議定書是對聯合國打擊跨國有組織犯罪公約之補充，故「聯合國打擊跨國有組織犯罪公約關於打擊陸、海、空偷運移民之補充議定書」應連同「聯合國打擊跨國有組織犯罪公約」一併予以解釋，亦即，上開議定書亦具有國際法之法律效力。</w:t>
      </w:r>
    </w:p>
    <w:p w14:paraId="2684D7FE" w14:textId="77777777" w:rsidR="00F07452" w:rsidRPr="00515D85" w:rsidRDefault="00170AAF" w:rsidP="00D87D91">
      <w:r w:rsidRPr="00515D85">
        <w:t xml:space="preserve">　　</w:t>
      </w:r>
      <w:r w:rsidR="00203F72" w:rsidRPr="00515D85">
        <w:t>「聯合國打擊跨國有組織犯罪公約關於打擊陸、海、空偷運移民之補充議定書」第</w:t>
      </w:r>
      <w:r w:rsidR="00203F72" w:rsidRPr="00515D85">
        <w:t>6</w:t>
      </w:r>
      <w:r w:rsidR="00203F72" w:rsidRPr="00515D85">
        <w:t>條則係規定，各締約國應將偷渡行為加以刑事犯罪化。根據上開議定書第</w:t>
      </w:r>
      <w:r w:rsidR="00203F72" w:rsidRPr="00515D85">
        <w:t>6</w:t>
      </w:r>
      <w:r w:rsidR="00203F72" w:rsidRPr="00515D85">
        <w:t>條第</w:t>
      </w:r>
      <w:r w:rsidR="00203F72" w:rsidRPr="00515D85">
        <w:t>1</w:t>
      </w:r>
      <w:r w:rsidR="00203F72" w:rsidRPr="00515D85">
        <w:t>項之規定，「各締約國均應採取必要之立法和其他措施，將下列為直接或間接地獲取經濟或其他物質利益，而故意實施之行為，規定為刑事犯罪：</w:t>
      </w:r>
    </w:p>
    <w:p w14:paraId="515EFD78" w14:textId="77777777" w:rsidR="00F07452" w:rsidRPr="00515D85" w:rsidRDefault="00170AAF" w:rsidP="00D87D91">
      <w:r w:rsidRPr="00515D85">
        <w:t xml:space="preserve">　　</w:t>
      </w:r>
      <w:r w:rsidR="00203F72" w:rsidRPr="00515D85">
        <w:t>（</w:t>
      </w:r>
      <w:r w:rsidR="00203F72" w:rsidRPr="00515D85">
        <w:t>a</w:t>
      </w:r>
      <w:r w:rsidR="00203F72" w:rsidRPr="00515D85">
        <w:t>）偷運移民；</w:t>
      </w:r>
    </w:p>
    <w:p w14:paraId="442EC866" w14:textId="77777777" w:rsidR="00F07452" w:rsidRPr="00515D85" w:rsidRDefault="00170AAF" w:rsidP="00D87D91">
      <w:r w:rsidRPr="00515D85">
        <w:t xml:space="preserve">　　</w:t>
      </w:r>
      <w:r w:rsidR="00203F72" w:rsidRPr="00515D85">
        <w:t>（</w:t>
      </w:r>
      <w:r w:rsidR="00203F72" w:rsidRPr="00515D85">
        <w:t>b</w:t>
      </w:r>
      <w:r w:rsidR="00203F72" w:rsidRPr="00515D85">
        <w:t>）為得以偷運移民而實施下列行為：</w:t>
      </w:r>
    </w:p>
    <w:p w14:paraId="51CAC8CC" w14:textId="77777777" w:rsidR="00F07452" w:rsidRPr="00515D85" w:rsidRDefault="00170AAF" w:rsidP="00D87D91">
      <w:r w:rsidRPr="00515D85">
        <w:t xml:space="preserve">　　</w:t>
      </w:r>
      <w:r w:rsidR="00203F72" w:rsidRPr="00515D85">
        <w:t>1.</w:t>
      </w:r>
      <w:r w:rsidR="00203F72" w:rsidRPr="00515D85">
        <w:t>製作欺詐性旅行或身份證件；</w:t>
      </w:r>
    </w:p>
    <w:p w14:paraId="6B86087B" w14:textId="77777777" w:rsidR="00F07452" w:rsidRPr="00515D85" w:rsidRDefault="00170AAF" w:rsidP="00D87D91">
      <w:r w:rsidRPr="00515D85">
        <w:t xml:space="preserve">　　</w:t>
      </w:r>
      <w:r w:rsidR="00203F72" w:rsidRPr="00515D85">
        <w:t>2.</w:t>
      </w:r>
      <w:r w:rsidR="00203F72" w:rsidRPr="00515D85">
        <w:t>獲取、提供或持有此種證件；</w:t>
      </w:r>
    </w:p>
    <w:p w14:paraId="100056BD" w14:textId="77777777" w:rsidR="00953151" w:rsidRPr="00515D85" w:rsidRDefault="00170AAF" w:rsidP="00D87D91">
      <w:r w:rsidRPr="00515D85">
        <w:t xml:space="preserve">　　</w:t>
      </w:r>
      <w:r w:rsidR="00203F72" w:rsidRPr="00515D85">
        <w:t>（</w:t>
      </w:r>
      <w:r w:rsidR="00203F72" w:rsidRPr="00515D85">
        <w:t>c</w:t>
      </w:r>
      <w:r w:rsidR="00203F72" w:rsidRPr="00515D85">
        <w:t>）使用本項</w:t>
      </w:r>
      <w:r w:rsidR="00203F72" w:rsidRPr="00515D85">
        <w:t>(b)</w:t>
      </w:r>
      <w:r w:rsidR="00203F72" w:rsidRPr="00515D85">
        <w:t>款所述手段或任何其他非法手段，使並非有關國家國民或永久居民之人，以不符合合法居留於該國之必要規定之方式，而居留於於該國。」根據上述之議定書，可得知國際社會對於遷徙偷渡之行為，並不站在同情或認可之立場，而是使用嚴厲之刑事手段加以制裁之。</w:t>
      </w:r>
    </w:p>
    <w:p w14:paraId="780C5478" w14:textId="77777777" w:rsidR="00953151" w:rsidRPr="00515D85" w:rsidRDefault="00170AAF" w:rsidP="00D87D91">
      <w:r w:rsidRPr="00515D85">
        <w:t xml:space="preserve">　　</w:t>
      </w:r>
      <w:r w:rsidR="00203F72" w:rsidRPr="00515D85">
        <w:t>在非法移民之定義方面，有關於「非法移民」（</w:t>
      </w:r>
      <w:r w:rsidR="00203F72" w:rsidRPr="00515D85">
        <w:t>illegal immigration</w:t>
      </w:r>
      <w:r w:rsidR="00203F72" w:rsidRPr="00515D85">
        <w:t>）一詞，尚有另外一種說法，即為「不正常人口移動」（</w:t>
      </w:r>
      <w:r w:rsidR="00203F72" w:rsidRPr="00515D85">
        <w:t>irregular migration</w:t>
      </w:r>
      <w:r w:rsidR="00203F72" w:rsidRPr="00515D85">
        <w:t>），不過，乃以「非法移民」較被廣泛之使用。在國際社會上，聯合國之專門機構之一－－「毒品與犯罪辦公室」亦漸漸使用「不正常人口移動」一詞。「非法移民」與「不正常人口移動」於諸多文獻之中，常被混用之。因兩者具有可替代性，故本書就先針對「不正常人口移動」下定義。在國際社會及學術圈內，有關於不正常人口移動之定義，最被人們廣為接受者，乃為「國際移民組織」（</w:t>
      </w:r>
      <w:r w:rsidR="00203F72" w:rsidRPr="00515D85">
        <w:t>International Organization for Migration</w:t>
      </w:r>
      <w:r w:rsidR="00203F72" w:rsidRPr="00515D85">
        <w:t>，簡稱為</w:t>
      </w:r>
      <w:r w:rsidR="00203F72" w:rsidRPr="00515D85">
        <w:t>IOM</w:t>
      </w:r>
      <w:r w:rsidR="00203F72" w:rsidRPr="00515D85">
        <w:t>）之定義與見解。</w:t>
      </w:r>
    </w:p>
    <w:p w14:paraId="0C116832" w14:textId="77777777" w:rsidR="00203F72" w:rsidRPr="00515D85" w:rsidRDefault="00170AAF" w:rsidP="00D87D91">
      <w:r w:rsidRPr="00515D85">
        <w:t xml:space="preserve">　　</w:t>
      </w:r>
      <w:r w:rsidR="00203F72" w:rsidRPr="00515D85">
        <w:t>根據「聯合國毒品與犯罪辦公室」之文獻資料</w:t>
      </w:r>
      <w:r w:rsidR="00203F72" w:rsidRPr="00515D85">
        <w:footnoteReference w:id="835"/>
      </w:r>
      <w:r w:rsidR="00203F72" w:rsidRPr="00515D85">
        <w:t>，偷渡與人口販運有以下之最主要差異點：</w:t>
      </w:r>
    </w:p>
    <w:p w14:paraId="12D70F86" w14:textId="77777777" w:rsidR="00203F72" w:rsidRPr="00515D85" w:rsidRDefault="00170AAF" w:rsidP="00D87D91">
      <w:r w:rsidRPr="00515D85">
        <w:t xml:space="preserve">　　</w:t>
      </w:r>
      <w:r w:rsidR="00203F72" w:rsidRPr="00515D85">
        <w:t>一、利益（潤）之來源不同：</w:t>
      </w:r>
    </w:p>
    <w:p w14:paraId="5F7B347C" w14:textId="77777777" w:rsidR="00203F72" w:rsidRPr="00515D85" w:rsidRDefault="00170AAF" w:rsidP="00D87D91">
      <w:r w:rsidRPr="00515D85">
        <w:t xml:space="preserve">　　</w:t>
      </w:r>
      <w:r w:rsidR="00203F72" w:rsidRPr="00515D85">
        <w:t>人口販運罪行之最主要利潤來源處，以及主要之目的係為「剝削」。相反地，偷渡私梟之利益來源，則為協助偷渡者非法入境或停留。當私梟順利地協助遷徙者非法進入他國或停留之後，偷渡者與私梟兩者間之關係，即告結束。綜合上述，人口販運罪行之構成要件中，非常核心之要素，乃為「剝削」。「剝削」是人口販運罪行中，至為重要之要素。</w:t>
      </w:r>
    </w:p>
    <w:p w14:paraId="14996AB7" w14:textId="77777777" w:rsidR="00203F72" w:rsidRPr="00515D85" w:rsidRDefault="00170AAF" w:rsidP="00D87D91">
      <w:r w:rsidRPr="00515D85">
        <w:t xml:space="preserve">　　</w:t>
      </w:r>
      <w:r w:rsidR="00203F72" w:rsidRPr="00515D85">
        <w:t>二、跨國性質：</w:t>
      </w:r>
    </w:p>
    <w:p w14:paraId="5C9FB702" w14:textId="77777777" w:rsidR="00203F72" w:rsidRPr="00515D85" w:rsidRDefault="00170AAF" w:rsidP="00D87D91">
      <w:r w:rsidRPr="00515D85">
        <w:t xml:space="preserve">　　</w:t>
      </w:r>
      <w:r w:rsidR="00203F72" w:rsidRPr="00515D85">
        <w:t>在遷徙偷渡之行為態樣中，通常會涉及至少</w:t>
      </w:r>
      <w:r w:rsidR="00203F72" w:rsidRPr="00515D85">
        <w:t>2</w:t>
      </w:r>
      <w:r w:rsidR="00203F72" w:rsidRPr="00515D85">
        <w:t>個國家以上，且具有跨國性質。偷渡之目標，乃在於幫助某人以非法之手段從</w:t>
      </w:r>
      <w:r w:rsidR="00203F72" w:rsidRPr="00515D85">
        <w:t>A</w:t>
      </w:r>
      <w:r w:rsidR="00203F72" w:rsidRPr="00515D85">
        <w:t>國進入</w:t>
      </w:r>
      <w:r w:rsidR="00203F72" w:rsidRPr="00515D85">
        <w:t>B</w:t>
      </w:r>
      <w:r w:rsidR="00203F72" w:rsidRPr="00515D85">
        <w:t>國；</w:t>
      </w:r>
      <w:r w:rsidR="00203F72" w:rsidRPr="00515D85">
        <w:t xml:space="preserve"> </w:t>
      </w:r>
      <w:r w:rsidR="00203F72" w:rsidRPr="00515D85">
        <w:t>偷渡之概念，係著重在利用非法手段，協助他人非法進入他國或非法停留，它具有跨國性。在人口販運方面，於某些情況之下，亦會涉及利用非法之手段，協助某人進入或停留於另一國家；在一般而論，並非如此。有關人口販運被害人之中途運送及停留於他國之情形，亦有可能透由合法之方式進行之。人口販運之被害人，並不會限定於不具備合法之機會進行遷移（移居）。在地點方面，人口販運罪行之發生處，有可能是在國內，而不會涉及任何之國境移動。人口販運所涉及之範圍，包括跨國及國境之內，兩者可能均有之。</w:t>
      </w:r>
    </w:p>
    <w:p w14:paraId="763CC155" w14:textId="77777777" w:rsidR="00203F72" w:rsidRPr="00515D85" w:rsidRDefault="00170AAF" w:rsidP="00D87D91">
      <w:r w:rsidRPr="00515D85">
        <w:t xml:space="preserve">　　</w:t>
      </w:r>
      <w:r w:rsidR="00203F72" w:rsidRPr="00515D85">
        <w:t>三、被害特性：</w:t>
      </w:r>
    </w:p>
    <w:p w14:paraId="13D1D284" w14:textId="77777777" w:rsidR="00953151" w:rsidRPr="00515D85" w:rsidRDefault="00170AAF" w:rsidP="00D87D91">
      <w:r w:rsidRPr="00515D85">
        <w:t xml:space="preserve">　　</w:t>
      </w:r>
      <w:r w:rsidR="00203F72" w:rsidRPr="00515D85">
        <w:t>在偷渡之行為中，不必然一定會涉及遷徙者之被害性。偷渡之遷徙者對於其被私梟進行偷渡之行為，通常是知情，且加以同意之。然而，在整個偷渡之流程中，私梟有可能會對於偷渡者施加暴力，或從事威脅偷渡者生命之犯行。當偷渡者之身體或生命遭受威脅時，在此情況下，不排除偷渡者有可能會撤回其最初之同意與承諾之可能性。與偷渡相反的，人口販運罪行之本質，它是一種侵犯他人之犯罪，人口販運本身即是一種罪行。</w:t>
      </w:r>
    </w:p>
    <w:p w14:paraId="7385D682" w14:textId="77777777" w:rsidR="00953151" w:rsidRPr="00515D85" w:rsidRDefault="00170AAF" w:rsidP="00D87D91">
      <w:r w:rsidRPr="00515D85">
        <w:t xml:space="preserve">　　</w:t>
      </w:r>
      <w:r w:rsidR="00203F72" w:rsidRPr="00515D85">
        <w:t>在人口販運之被害人方面，則不存在同意與承諾之現象。假若人口販運被害人遭受他人綁架或販賣，此時，被害人不會同意之。另外一種之情形，係人口販運私梟透由詐欺或暴力等不法之犯罪手法，而掌控被害人。此時，即使被害人作出同意或承諾，因此種同意，係出於在他人不法之控制下作出，故不具法律效力</w:t>
      </w:r>
      <w:r w:rsidR="00203F72" w:rsidRPr="00515D85">
        <w:footnoteReference w:id="836"/>
      </w:r>
      <w:r w:rsidR="00203F72" w:rsidRPr="00515D85">
        <w:t>。主要之法理，在於契約不得違反善良風俗習慣。</w:t>
      </w:r>
    </w:p>
    <w:p w14:paraId="70834125" w14:textId="77777777" w:rsidR="00953151" w:rsidRDefault="00170AAF" w:rsidP="00D87D91">
      <w:r w:rsidRPr="00515D85">
        <w:t xml:space="preserve">　　</w:t>
      </w:r>
      <w:r w:rsidR="00203F72" w:rsidRPr="00515D85">
        <w:t>為何有必要對於偷渡與人口販運作詳細之區別？從實務與法律效力之觀點著眼，兩者之區別具有重大之意義性。被人口販運之人，她（他）是具有被害人之資格，一般被稱為人口販運被害人，被賦予法律上之權利，可接受法律保護與經濟財政上之補償（助）。相對而論，偷渡者則無此種權利。</w:t>
      </w:r>
    </w:p>
    <w:p w14:paraId="76671576" w14:textId="77777777" w:rsidR="00515D85" w:rsidRDefault="00515D85" w:rsidP="007B2912">
      <w:pPr>
        <w:jc w:val="right"/>
        <w:rPr>
          <w:rFonts w:ascii="新細明體" w:hAnsi="新細明體"/>
        </w:rPr>
      </w:pPr>
      <w:r w:rsidRPr="0026266A">
        <w:rPr>
          <w:rFonts w:hint="eastAsia"/>
        </w:rPr>
        <w:t>。。。。。。。。。。。。。。。。。。。。。。。。。</w:t>
      </w:r>
      <w:hyperlink w:anchor="a目次38" w:history="1">
        <w:r>
          <w:rPr>
            <w:rStyle w:val="a5"/>
            <w:sz w:val="18"/>
          </w:rPr>
          <w:t>回目次</w:t>
        </w:r>
      </w:hyperlink>
      <w:r w:rsidR="00E91F89">
        <w:rPr>
          <w:rFonts w:ascii="新細明體" w:hAnsi="新細明體"/>
          <w:color w:val="808000"/>
        </w:rPr>
        <w:t>〉〉</w:t>
      </w:r>
    </w:p>
    <w:p w14:paraId="6BAF34CB" w14:textId="77777777" w:rsidR="00515D85" w:rsidRPr="00515D85" w:rsidRDefault="00515D85" w:rsidP="00D87D91"/>
    <w:p w14:paraId="3B89435C" w14:textId="77777777" w:rsidR="00953151" w:rsidRDefault="00203F72" w:rsidP="00767F37">
      <w:pPr>
        <w:pStyle w:val="2"/>
      </w:pPr>
      <w:bookmarkStart w:id="107" w:name="_貳、國際人口販運之現象、特色與防治作為"/>
      <w:bookmarkEnd w:id="107"/>
      <w:r w:rsidRPr="00A53581">
        <w:t>貳、國際人口販運之現象、特色與防治作為</w:t>
      </w:r>
    </w:p>
    <w:p w14:paraId="1BEA04C1" w14:textId="77777777" w:rsidR="00203F72" w:rsidRPr="00515D85" w:rsidRDefault="00170AAF" w:rsidP="00D87D91">
      <w:r w:rsidRPr="00515D85">
        <w:t xml:space="preserve">　　</w:t>
      </w:r>
      <w:r w:rsidR="00203F72" w:rsidRPr="00515D85">
        <w:t>一、國際人口販運之現象與特色</w:t>
      </w:r>
    </w:p>
    <w:p w14:paraId="7BC51BE7" w14:textId="77777777" w:rsidR="00203F72" w:rsidRPr="00515D85" w:rsidRDefault="00170AAF" w:rsidP="00D87D91">
      <w:r w:rsidRPr="00515D85">
        <w:t xml:space="preserve">　　</w:t>
      </w:r>
      <w:r w:rsidR="00203F72" w:rsidRPr="00515D85">
        <w:t>人口販運之現象，可謂是</w:t>
      </w:r>
      <w:r w:rsidR="00203F72" w:rsidRPr="00515D85">
        <w:t>21</w:t>
      </w:r>
      <w:r w:rsidR="00203F72" w:rsidRPr="00515D85">
        <w:t>世紀版之奴役制度</w:t>
      </w:r>
      <w:r w:rsidR="00203F72" w:rsidRPr="00515D85">
        <w:footnoteReference w:id="837"/>
      </w:r>
      <w:r w:rsidR="00203F72" w:rsidRPr="00515D85">
        <w:t>，嚴重地侵害人性尊嚴。有關於國際社會人口販運罪行之趨勢部分，根據美國國務院「監控暨打擊人口販運辦公室」所出版之「人口販運報告書」</w:t>
      </w:r>
      <w:r w:rsidR="00203F72" w:rsidRPr="00515D85">
        <w:footnoteReference w:id="838"/>
      </w:r>
      <w:r w:rsidR="00203F72" w:rsidRPr="00515D85">
        <w:t>中所載之文獻及統計數據，於國際上，人口販運罪行之總體趨勢，如下所述</w:t>
      </w:r>
      <w:r w:rsidR="00203F72" w:rsidRPr="00515D85">
        <w:t>(</w:t>
      </w:r>
      <w:r w:rsidR="00203F72" w:rsidRPr="00515D85">
        <w:t>以全球人口販運罪行之趨勢為計算標準</w:t>
      </w:r>
      <w:r w:rsidR="00203F72" w:rsidRPr="00515D85">
        <w:t>)</w:t>
      </w:r>
      <w:r w:rsidR="00203F72" w:rsidRPr="00515D85">
        <w:footnoteReference w:id="839"/>
      </w:r>
      <w:r w:rsidR="00203F72" w:rsidRPr="00515D85">
        <w:t>：</w:t>
      </w:r>
    </w:p>
    <w:p w14:paraId="53CC6B2C" w14:textId="77777777" w:rsidR="00203F72" w:rsidRPr="00515D85" w:rsidRDefault="00170AAF" w:rsidP="00D87D91">
      <w:r w:rsidRPr="00515D85">
        <w:t xml:space="preserve">　　</w:t>
      </w:r>
      <w:r w:rsidR="00203F72" w:rsidRPr="00515D85">
        <w:t>1.</w:t>
      </w:r>
      <w:r w:rsidR="00203F72" w:rsidRPr="00515D85">
        <w:t>針對全球成人及孩童而論，遭受被剝削及被債務束縛之勞工，與被性剝削之被害人，全球合計約</w:t>
      </w:r>
      <w:r w:rsidR="00203F72" w:rsidRPr="00515D85">
        <w:t>1,230</w:t>
      </w:r>
      <w:r w:rsidR="00203F72" w:rsidRPr="00515D85">
        <w:t>萬人；</w:t>
      </w:r>
    </w:p>
    <w:p w14:paraId="6438535E" w14:textId="77777777" w:rsidR="00203F72" w:rsidRPr="00515D85" w:rsidRDefault="00170AAF" w:rsidP="00D87D91">
      <w:r w:rsidRPr="00515D85">
        <w:t xml:space="preserve">　　</w:t>
      </w:r>
      <w:r w:rsidR="00203F72" w:rsidRPr="00515D85">
        <w:t>2.</w:t>
      </w:r>
      <w:r w:rsidR="00203F72" w:rsidRPr="00515D85">
        <w:t>於</w:t>
      </w:r>
      <w:r w:rsidR="00203F72" w:rsidRPr="00515D85">
        <w:t>2009</w:t>
      </w:r>
      <w:r w:rsidR="00203F72" w:rsidRPr="00515D85">
        <w:t>年，全球各國成功地將人口販運私梟定罪之罪犯總數，合計約</w:t>
      </w:r>
      <w:r w:rsidR="00203F72" w:rsidRPr="00515D85">
        <w:t>4166</w:t>
      </w:r>
      <w:r w:rsidR="00203F72" w:rsidRPr="00515D85">
        <w:t>人；於</w:t>
      </w:r>
      <w:r w:rsidR="00203F72" w:rsidRPr="00515D85">
        <w:t>2013</w:t>
      </w:r>
      <w:r w:rsidR="00203F72" w:rsidRPr="00515D85">
        <w:t>年，全球各國成功地將人口販運私梟定罪之罪犯總數，則合計約</w:t>
      </w:r>
      <w:r w:rsidR="00203F72" w:rsidRPr="00515D85">
        <w:t>5776</w:t>
      </w:r>
      <w:r w:rsidR="00203F72" w:rsidRPr="00515D85">
        <w:t>人；</w:t>
      </w:r>
    </w:p>
    <w:p w14:paraId="5FE33BED" w14:textId="77777777" w:rsidR="00203F72" w:rsidRPr="00515D85" w:rsidRDefault="00170AAF" w:rsidP="00D87D91">
      <w:r w:rsidRPr="00515D85">
        <w:t xml:space="preserve">　　</w:t>
      </w:r>
      <w:r w:rsidR="00203F72" w:rsidRPr="00515D85">
        <w:t>3.</w:t>
      </w:r>
      <w:r w:rsidR="00203F72" w:rsidRPr="00515D85">
        <w:t>於</w:t>
      </w:r>
      <w:r w:rsidR="00203F72" w:rsidRPr="00515D85">
        <w:t>2009</w:t>
      </w:r>
      <w:r w:rsidR="00203F72" w:rsidRPr="00515D85">
        <w:t>年，全球各國成功地將勞力剝削人口販運私梟定罪之罪犯總數，合計約</w:t>
      </w:r>
      <w:r w:rsidR="00203F72" w:rsidRPr="00515D85">
        <w:t>335</w:t>
      </w:r>
      <w:r w:rsidR="00203F72" w:rsidRPr="00515D85">
        <w:t>人；於</w:t>
      </w:r>
      <w:r w:rsidR="00203F72" w:rsidRPr="00515D85">
        <w:t>2013</w:t>
      </w:r>
      <w:r w:rsidR="00203F72" w:rsidRPr="00515D85">
        <w:t>年，全球各國成功地將勞力剝削人口販運私梟定罪之罪犯總數，則合計約</w:t>
      </w:r>
      <w:r w:rsidR="00203F72" w:rsidRPr="00515D85">
        <w:t>470</w:t>
      </w:r>
      <w:r w:rsidR="00203F72" w:rsidRPr="00515D85">
        <w:t>人；</w:t>
      </w:r>
    </w:p>
    <w:p w14:paraId="2B7ED9D3" w14:textId="77777777" w:rsidR="00203F72" w:rsidRPr="00515D85" w:rsidRDefault="00170AAF" w:rsidP="00D87D91">
      <w:r w:rsidRPr="00515D85">
        <w:t xml:space="preserve">　　</w:t>
      </w:r>
      <w:r w:rsidR="00203F72" w:rsidRPr="00515D85">
        <w:t>4.</w:t>
      </w:r>
      <w:r w:rsidR="00203F72" w:rsidRPr="00515D85">
        <w:t>於</w:t>
      </w:r>
      <w:r w:rsidR="00203F72" w:rsidRPr="00515D85">
        <w:t>2009</w:t>
      </w:r>
      <w:r w:rsidR="00203F72" w:rsidRPr="00515D85">
        <w:t>年，全球人口販運被害人被鑑別之總人數，合計約</w:t>
      </w:r>
      <w:r w:rsidR="00203F72" w:rsidRPr="00515D85">
        <w:t>49,105</w:t>
      </w:r>
      <w:r w:rsidR="00203F72" w:rsidRPr="00515D85">
        <w:t>人；於</w:t>
      </w:r>
      <w:r w:rsidR="00203F72" w:rsidRPr="00515D85">
        <w:t>2013</w:t>
      </w:r>
      <w:r w:rsidR="00203F72" w:rsidRPr="00515D85">
        <w:t>年，全球人口販運被害人被鑑別之總人數，合計約</w:t>
      </w:r>
      <w:r w:rsidR="00203F72" w:rsidRPr="00515D85">
        <w:t>44758</w:t>
      </w:r>
      <w:r w:rsidR="00203F72" w:rsidRPr="00515D85">
        <w:t>人；</w:t>
      </w:r>
    </w:p>
    <w:p w14:paraId="3C774E9E" w14:textId="77777777" w:rsidR="00203F72" w:rsidRPr="00515D85" w:rsidRDefault="00170AAF" w:rsidP="00D87D91">
      <w:r w:rsidRPr="00515D85">
        <w:t xml:space="preserve">　　</w:t>
      </w:r>
      <w:r w:rsidR="00203F72" w:rsidRPr="00515D85">
        <w:t>5.</w:t>
      </w:r>
      <w:r w:rsidR="00203F72" w:rsidRPr="00515D85">
        <w:t>被起訴之人口販運罪犯人數與被鑑別為人口販運被害人人數之比值，計為</w:t>
      </w:r>
      <w:r w:rsidR="00203F72" w:rsidRPr="00515D85">
        <w:t>8.5%</w:t>
      </w:r>
      <w:r w:rsidR="00203F72" w:rsidRPr="00515D85">
        <w:t>。亦即，在每</w:t>
      </w:r>
      <w:r w:rsidR="00203F72" w:rsidRPr="00515D85">
        <w:t>100</w:t>
      </w:r>
      <w:r w:rsidR="00203F72" w:rsidRPr="00515D85">
        <w:t>位被害人中，計起訴</w:t>
      </w:r>
      <w:r w:rsidR="00203F72" w:rsidRPr="00515D85">
        <w:t>8.5</w:t>
      </w:r>
      <w:r w:rsidR="00203F72" w:rsidRPr="00515D85">
        <w:t>位人口販運罪犯；</w:t>
      </w:r>
    </w:p>
    <w:p w14:paraId="480FCA81" w14:textId="77777777" w:rsidR="00203F72" w:rsidRPr="00515D85" w:rsidRDefault="00170AAF" w:rsidP="00D87D91">
      <w:r w:rsidRPr="00515D85">
        <w:t xml:space="preserve">　　</w:t>
      </w:r>
      <w:r w:rsidR="00203F72" w:rsidRPr="00515D85">
        <w:t>6.</w:t>
      </w:r>
      <w:r w:rsidR="00203F72" w:rsidRPr="00515D85">
        <w:t>被成功地鑑別為被害人人數與估計為被害人人數之比值，計為</w:t>
      </w:r>
      <w:r w:rsidR="00203F72" w:rsidRPr="00515D85">
        <w:t>0.4</w:t>
      </w:r>
      <w:r w:rsidR="00203F72" w:rsidRPr="00515D85">
        <w:t>；亦即，在</w:t>
      </w:r>
      <w:r w:rsidR="00203F72" w:rsidRPr="00515D85">
        <w:t>100</w:t>
      </w:r>
      <w:r w:rsidR="00203F72" w:rsidRPr="00515D85">
        <w:t>位被評估為被害人之中，成功地鑑別</w:t>
      </w:r>
      <w:r w:rsidR="00203F72" w:rsidRPr="00515D85">
        <w:t>40</w:t>
      </w:r>
      <w:r w:rsidR="00203F72" w:rsidRPr="00515D85">
        <w:t>人為被害人，兩者之差距，達至</w:t>
      </w:r>
      <w:r w:rsidR="00203F72" w:rsidRPr="00515D85">
        <w:t>60%</w:t>
      </w:r>
      <w:r w:rsidR="00203F72" w:rsidRPr="00515D85">
        <w:t>；</w:t>
      </w:r>
    </w:p>
    <w:p w14:paraId="20D89F2A" w14:textId="77777777" w:rsidR="00203F72" w:rsidRPr="00515D85" w:rsidRDefault="00170AAF" w:rsidP="00D87D91">
      <w:r w:rsidRPr="00515D85">
        <w:t xml:space="preserve">　　</w:t>
      </w:r>
      <w:r w:rsidR="00203F72" w:rsidRPr="00515D85">
        <w:t>7.</w:t>
      </w:r>
      <w:r w:rsidR="00203F72" w:rsidRPr="00515D85">
        <w:t>依據聯合國「關於預防、禁止和懲治販運人口特別是婦女和兒童行為議定書」</w:t>
      </w:r>
      <w:r w:rsidR="00203F72" w:rsidRPr="00515D85">
        <w:footnoteReference w:id="840"/>
      </w:r>
      <w:r w:rsidR="00203F72" w:rsidRPr="00515D85">
        <w:t xml:space="preserve"> (</w:t>
      </w:r>
      <w:r w:rsidR="00203F72" w:rsidRPr="00515D85">
        <w:t>又名為「巴勒莫</w:t>
      </w:r>
      <w:r w:rsidR="00203F72" w:rsidRPr="00515D85">
        <w:t>(</w:t>
      </w:r>
      <w:r w:rsidR="00203F72" w:rsidRPr="00515D85">
        <w:t>摩</w:t>
      </w:r>
      <w:r w:rsidR="00203F72" w:rsidRPr="00515D85">
        <w:t>)</w:t>
      </w:r>
      <w:r w:rsidR="00203F72" w:rsidRPr="00515D85">
        <w:t>議定書」</w:t>
      </w:r>
      <w:r w:rsidR="00203F72" w:rsidRPr="00515D85">
        <w:t>)</w:t>
      </w:r>
      <w:r w:rsidR="00203F72" w:rsidRPr="00515D85">
        <w:t>之規定，全球各國根據各自所屬之法律，已對人口販運私梟進行定罪之國家數目，計為</w:t>
      </w:r>
      <w:r w:rsidR="00203F72" w:rsidRPr="00515D85">
        <w:t>62</w:t>
      </w:r>
      <w:r w:rsidR="00203F72" w:rsidRPr="00515D85">
        <w:t>國；</w:t>
      </w:r>
    </w:p>
    <w:p w14:paraId="315EE21B" w14:textId="77777777" w:rsidR="00203F72" w:rsidRPr="00515D85" w:rsidRDefault="00170AAF" w:rsidP="00D87D91">
      <w:r w:rsidRPr="00515D85">
        <w:t xml:space="preserve">　　</w:t>
      </w:r>
      <w:r w:rsidR="00203F72" w:rsidRPr="00515D85">
        <w:t>8.</w:t>
      </w:r>
      <w:r w:rsidR="00203F72" w:rsidRPr="00515D85">
        <w:t>全球人口販運被害人之盛行率，約為每</w:t>
      </w:r>
      <w:r w:rsidR="00203F72" w:rsidRPr="00515D85">
        <w:t>1,000</w:t>
      </w:r>
      <w:r w:rsidR="00203F72" w:rsidRPr="00515D85">
        <w:t>位居住者之中，有</w:t>
      </w:r>
      <w:r w:rsidR="00203F72" w:rsidRPr="00515D85">
        <w:t>1.8</w:t>
      </w:r>
      <w:r w:rsidR="00203F72" w:rsidRPr="00515D85">
        <w:t>位人口販運被害人；</w:t>
      </w:r>
    </w:p>
    <w:p w14:paraId="2014E31A" w14:textId="77777777" w:rsidR="00953151" w:rsidRPr="00515D85" w:rsidRDefault="00170AAF" w:rsidP="00D87D91">
      <w:r w:rsidRPr="00515D85">
        <w:t xml:space="preserve">　　</w:t>
      </w:r>
      <w:r w:rsidR="00203F72" w:rsidRPr="00515D85">
        <w:t>9.</w:t>
      </w:r>
      <w:r w:rsidR="00203F72" w:rsidRPr="00515D85">
        <w:t>在亞洲及太平洋地區，人口販運被害人之盛行率，約為每</w:t>
      </w:r>
      <w:r w:rsidR="00203F72" w:rsidRPr="00515D85">
        <w:t>1,000</w:t>
      </w:r>
      <w:r w:rsidR="00203F72" w:rsidRPr="00515D85">
        <w:t>人之中，有</w:t>
      </w:r>
      <w:r w:rsidR="00203F72" w:rsidRPr="00515D85">
        <w:t>3</w:t>
      </w:r>
      <w:r w:rsidR="00203F72" w:rsidRPr="00515D85">
        <w:t>位人口販運之被害人。是以，亞太地區人口販運被害人之盛行率，高於全球之平均值（每</w:t>
      </w:r>
      <w:r w:rsidR="00203F72" w:rsidRPr="00515D85">
        <w:t>1,000</w:t>
      </w:r>
      <w:r w:rsidR="00203F72" w:rsidRPr="00515D85">
        <w:t>人之中，有</w:t>
      </w:r>
      <w:r w:rsidR="00203F72" w:rsidRPr="00515D85">
        <w:t>1.8</w:t>
      </w:r>
      <w:r w:rsidR="00203F72" w:rsidRPr="00515D85">
        <w:t>位被害人），約高出全球平均值之</w:t>
      </w:r>
      <w:r w:rsidR="00203F72" w:rsidRPr="00515D85">
        <w:t>1.7</w:t>
      </w:r>
      <w:r w:rsidR="00203F72" w:rsidRPr="00515D85">
        <w:t>倍。</w:t>
      </w:r>
    </w:p>
    <w:p w14:paraId="5C592640" w14:textId="77777777" w:rsidR="00203F72" w:rsidRPr="00515D85" w:rsidRDefault="00170AAF" w:rsidP="00D87D91">
      <w:r w:rsidRPr="00515D85">
        <w:t xml:space="preserve">　　</w:t>
      </w:r>
      <w:r w:rsidR="00203F72" w:rsidRPr="00515D85">
        <w:t>二、國際打擊人口販運犯罪之防治作為</w:t>
      </w:r>
    </w:p>
    <w:p w14:paraId="631D3BDE" w14:textId="77777777" w:rsidR="00953151" w:rsidRPr="00515D85" w:rsidRDefault="00170AAF" w:rsidP="00D87D91">
      <w:r w:rsidRPr="00515D85">
        <w:t xml:space="preserve">　　</w:t>
      </w:r>
      <w:r w:rsidR="00203F72" w:rsidRPr="00515D85">
        <w:t>依據美國國務院之觀點，在</w:t>
      </w:r>
      <w:r w:rsidR="00203F72" w:rsidRPr="00515D85">
        <w:t>1998</w:t>
      </w:r>
      <w:r w:rsidR="00203F72" w:rsidRPr="00515D85">
        <w:t>年時，由於當時之柯林頓總統簽發「防制對於婦女與孩童進行販運行政備忘錄」（</w:t>
      </w:r>
      <w:r w:rsidR="00203F72" w:rsidRPr="00515D85">
        <w:t>President Bill Clinton’s Executive Memorandum on the Trafficking of Women and Children</w:t>
      </w:r>
      <w:r w:rsidR="00203F72" w:rsidRPr="00515D85">
        <w:t>），美國政府業已大力倡導基於</w:t>
      </w:r>
      <w:r w:rsidR="00203F72" w:rsidRPr="00515D85">
        <w:t>3P</w:t>
      </w:r>
      <w:r w:rsidR="00203F72" w:rsidRPr="00515D85">
        <w:t>之模範政策，用以反制人口販運罪行，此「</w:t>
      </w:r>
      <w:r w:rsidR="00203F72" w:rsidRPr="00515D85">
        <w:t>3P</w:t>
      </w:r>
      <w:r w:rsidR="00203F72" w:rsidRPr="00515D85">
        <w:t>」係為：起訴（</w:t>
      </w:r>
      <w:r w:rsidR="00203F72" w:rsidRPr="00515D85">
        <w:t>prosecution</w:t>
      </w:r>
      <w:r w:rsidR="00203F72" w:rsidRPr="00515D85">
        <w:t>）、保護（</w:t>
      </w:r>
      <w:r w:rsidR="00203F72" w:rsidRPr="00515D85">
        <w:t>protection</w:t>
      </w:r>
      <w:r w:rsidR="00203F72" w:rsidRPr="00515D85">
        <w:t>）與預防（</w:t>
      </w:r>
      <w:r w:rsidR="00203F72" w:rsidRPr="00515D85">
        <w:t>prevention</w:t>
      </w:r>
      <w:r w:rsidR="00203F72" w:rsidRPr="00515D85">
        <w:t>）。後來，另外陸續新增加</w:t>
      </w:r>
      <w:r w:rsidR="00203F72" w:rsidRPr="00515D85">
        <w:t>1P</w:t>
      </w:r>
      <w:r w:rsidR="00203F72" w:rsidRPr="00515D85">
        <w:t>之模範政策，名為夥伴關係（</w:t>
      </w:r>
      <w:r w:rsidR="00203F72" w:rsidRPr="00515D85">
        <w:t>Partnerships</w:t>
      </w:r>
      <w:r w:rsidR="00203F72" w:rsidRPr="00515D85">
        <w:t>）</w:t>
      </w:r>
      <w:r w:rsidR="00203F72" w:rsidRPr="00515D85">
        <w:t xml:space="preserve"> </w:t>
      </w:r>
      <w:r w:rsidR="00203F72" w:rsidRPr="00515D85">
        <w:footnoteReference w:id="841"/>
      </w:r>
      <w:r w:rsidR="00203F72" w:rsidRPr="00515D85">
        <w:t>，如下所述。</w:t>
      </w:r>
    </w:p>
    <w:p w14:paraId="738E8C96" w14:textId="77777777" w:rsidR="00203F72" w:rsidRPr="00515D85" w:rsidRDefault="00170AAF" w:rsidP="00D87D91">
      <w:r w:rsidRPr="00515D85">
        <w:t xml:space="preserve">　　</w:t>
      </w:r>
      <w:r w:rsidR="00203F72" w:rsidRPr="00515D85">
        <w:t>(</w:t>
      </w:r>
      <w:r w:rsidR="00203F72" w:rsidRPr="00515D85">
        <w:t>一</w:t>
      </w:r>
      <w:r w:rsidR="00203F72" w:rsidRPr="00515D85">
        <w:t>)</w:t>
      </w:r>
      <w:r w:rsidR="00203F72" w:rsidRPr="00515D85">
        <w:t>起訴（人口販運罪犯）</w:t>
      </w:r>
    </w:p>
    <w:p w14:paraId="3EB447A2" w14:textId="77777777" w:rsidR="00203F72" w:rsidRPr="00515D85" w:rsidRDefault="00170AAF" w:rsidP="00D87D91">
      <w:r w:rsidRPr="00515D85">
        <w:t xml:space="preserve">　　</w:t>
      </w:r>
      <w:r w:rsidR="00203F72" w:rsidRPr="00515D85">
        <w:t>美國國務院指出，人口販運之本質，它是一種犯罪，此種犯罪之性質，近似於殺人（謀殺）、強制性交及誘拐罪行。對於「巴勒（摩）議定書」（</w:t>
      </w:r>
      <w:r w:rsidR="00203F72" w:rsidRPr="00515D85">
        <w:t>Palermo Protocol</w:t>
      </w:r>
      <w:r w:rsidR="00203F72" w:rsidRPr="00515D85">
        <w:t>），又名為「聯合國關於預防、禁止和懲治販運人口行為之補充議定書」</w:t>
      </w:r>
      <w:r w:rsidR="00203F72" w:rsidRPr="00515D85">
        <w:footnoteReference w:id="842"/>
      </w:r>
      <w:r w:rsidR="00203F72" w:rsidRPr="00515D85">
        <w:t>之所有締約國而言，將人口販運行為加以刑事犯罪化，是法律上之強制規定。美國政府認知起訴人口販運罪行之重要性，故已將此種機制落實及反應至美國之實際執法中。然而，令人感到相當抑鬱之處，仍有不少國家對於人口販運罪行之起訴作為，每年之起訴率，實過於偏低。</w:t>
      </w:r>
    </w:p>
    <w:p w14:paraId="252CF67B" w14:textId="77777777" w:rsidR="00203F72" w:rsidRPr="00515D85" w:rsidRDefault="00170AAF" w:rsidP="00D87D91">
      <w:r w:rsidRPr="00515D85">
        <w:t xml:space="preserve">　　</w:t>
      </w:r>
      <w:r w:rsidR="00203F72" w:rsidRPr="00515D85">
        <w:t>國際社會各國實應儘速通過現代型之法律，禁止各種類型之人口販運行為，特別是應聚焦於防制被害人被奴役之部分（</w:t>
      </w:r>
      <w:r w:rsidR="00203F72" w:rsidRPr="00515D85">
        <w:t>focusing on the enslavement of victims</w:t>
      </w:r>
      <w:r w:rsidR="00203F72" w:rsidRPr="00515D85">
        <w:t>），而非聚焦於防制被剝削勞工或被性剝削婦女之召募及運送工作（</w:t>
      </w:r>
      <w:r w:rsidR="00203F72" w:rsidRPr="00515D85">
        <w:t>rather than the recruitment and transportation of workers or people in prostitution</w:t>
      </w:r>
      <w:r w:rsidR="00203F72" w:rsidRPr="00515D85">
        <w:t>）。上述之作法，是有效地遵守「巴勒莫（摩）議定書」及美國「人口販運被害人保護法」（</w:t>
      </w:r>
      <w:r w:rsidR="00203F72" w:rsidRPr="00515D85">
        <w:t>Trafficking Victims Protection Act</w:t>
      </w:r>
      <w:r w:rsidR="00203F72" w:rsidRPr="00515D85">
        <w:t>）最低要求之第一個重要步驟。亦即，防制人口販運之法律建制，根據美國國務院之見解，核心之重點工作，應在全面性地禁止各種人口販運之形式，特別宜強調防制被害人被奴役之部分。</w:t>
      </w:r>
    </w:p>
    <w:p w14:paraId="48F8A459" w14:textId="77777777" w:rsidR="00203F72" w:rsidRPr="00515D85" w:rsidRDefault="00170AAF" w:rsidP="00D87D91">
      <w:r w:rsidRPr="00515D85">
        <w:t xml:space="preserve">　　</w:t>
      </w:r>
      <w:r w:rsidR="00203F72" w:rsidRPr="00515D85">
        <w:t>上述所建構之法律，如欲有實質之意義，這些法律應被落實執行。徒法不足以自行，重點應在於實際之執行。</w:t>
      </w:r>
      <w:r w:rsidR="00203F72" w:rsidRPr="00515D85">
        <w:t>2009</w:t>
      </w:r>
      <w:r w:rsidR="00203F72" w:rsidRPr="00515D85">
        <w:t>年全球各國對於人口販運罪行之定罪人數，總計約為</w:t>
      </w:r>
      <w:r w:rsidR="00203F72" w:rsidRPr="00515D85">
        <w:t>4,000</w:t>
      </w:r>
      <w:r w:rsidR="00203F72" w:rsidRPr="00515D85">
        <w:t>人。假若全球每年之人口販運罪行之定罪人數，仍維持在</w:t>
      </w:r>
      <w:r w:rsidR="00203F72" w:rsidRPr="00515D85">
        <w:t>4,000</w:t>
      </w:r>
      <w:r w:rsidR="00203F72" w:rsidRPr="00515D85">
        <w:t>左右之人數，它顯示出一種訊息，即人口販運被害人所遭受之不公不義，仍非各國或全球之重要優先議題，被害人所承受之不公平待遇，仍未受到應有之重</w:t>
      </w:r>
      <w:r w:rsidR="003E240E">
        <w:t>視</w:t>
      </w:r>
      <w:r w:rsidR="00203F72" w:rsidRPr="00515D85">
        <w:t>。</w:t>
      </w:r>
    </w:p>
    <w:p w14:paraId="05C5D81B" w14:textId="77777777" w:rsidR="00203F72" w:rsidRPr="00515D85" w:rsidRDefault="00170AAF" w:rsidP="00D87D91">
      <w:r w:rsidRPr="00515D85">
        <w:t xml:space="preserve">　　</w:t>
      </w:r>
      <w:r w:rsidR="00203F72" w:rsidRPr="00515D85">
        <w:t>依據美國國務院之看法，在很多之情況下，人口販運被害人被多數人</w:t>
      </w:r>
      <w:r w:rsidR="003E240E">
        <w:t>視</w:t>
      </w:r>
      <w:r w:rsidR="00203F72" w:rsidRPr="00515D85">
        <w:t>為是該社會之「垃圾物」，它等同於娼妓、逃亡（亡命）者、窮人、民族或種族上之少數族群、低社會地位人群或新近之移入者。人口販運被害人並不知曉與瞭解此類人口販運罪行之法律上之定義；因為不熟悉法律之定義，彼等認為其不應該要求進行「自我辨識」。</w:t>
      </w:r>
    </w:p>
    <w:p w14:paraId="12003B42" w14:textId="77777777" w:rsidR="00203F72" w:rsidRPr="00515D85" w:rsidRDefault="00170AAF" w:rsidP="00D87D91">
      <w:r w:rsidRPr="00515D85">
        <w:t xml:space="preserve">　　</w:t>
      </w:r>
      <w:r w:rsidR="00203F72" w:rsidRPr="00515D85">
        <w:t>由於對於這些處於脆弱階級之被害人之不正確偏見，以及人們對於人口販運被害人缺乏正確認知之能力，故會影響對於被害人之辨識，以及對於人口販運私梟之調查追訴。由於上述之偏見、缺乏有效之辨識及追訴，已阻礙強而有力之執法作為，同時，令人口販運私梟能免於被處罰。此外，亦會削弱法律對每一個人進行平等保護之承諾，並會侵蝕法律之基本法理。</w:t>
      </w:r>
    </w:p>
    <w:p w14:paraId="2DEE1657" w14:textId="77777777" w:rsidR="00953151" w:rsidRPr="00515D85" w:rsidRDefault="00170AAF" w:rsidP="00D87D91">
      <w:r w:rsidRPr="00515D85">
        <w:t xml:space="preserve">　　</w:t>
      </w:r>
      <w:r w:rsidR="00203F72" w:rsidRPr="00515D85">
        <w:t>在追訴人口販運犯罪人之刑事訴訟過程中，應賦予所有之人口販運被害人有權利親眼目賭私梟被起訴及被定罪；被害人之案件，應受到法院適切之審理。在反制人口販運之司法措施上，具有熱情及智慧之起訴作為，是充作為以人口販運被害人為中心模式之重要基石（礎）。綜整上述美國國務院之見解，認為在打擊與反制人口販運罪行之對策方面，起訴之措施與作為，應建構在以被害人為中心之體認與運作模式之上，並且，加以推展之。</w:t>
      </w:r>
    </w:p>
    <w:p w14:paraId="21DBC666" w14:textId="77777777" w:rsidR="00203F72" w:rsidRPr="00515D85" w:rsidRDefault="00170AAF" w:rsidP="00D87D91">
      <w:r w:rsidRPr="00515D85">
        <w:t xml:space="preserve">　　</w:t>
      </w:r>
      <w:r w:rsidR="00203F72" w:rsidRPr="00515D85">
        <w:t>(</w:t>
      </w:r>
      <w:r w:rsidR="00203F72" w:rsidRPr="00515D85">
        <w:t>二</w:t>
      </w:r>
      <w:r w:rsidR="00203F72" w:rsidRPr="00515D85">
        <w:t>)</w:t>
      </w:r>
      <w:r w:rsidR="00203F72" w:rsidRPr="00515D85">
        <w:t>保護（人口販運被害人）</w:t>
      </w:r>
    </w:p>
    <w:p w14:paraId="0756F2C7" w14:textId="77777777" w:rsidR="00203F72" w:rsidRPr="00515D85" w:rsidRDefault="00170AAF" w:rsidP="00D87D91">
      <w:r w:rsidRPr="00515D85">
        <w:t xml:space="preserve">　　</w:t>
      </w:r>
      <w:r w:rsidR="00203F72" w:rsidRPr="00515D85">
        <w:t>宛如像通過立法打擊人口販運，但不加以執行前開法律，乃為一種空泛不實之承諾一般，假若僅有強調起訴及定罪等執法作為，但缺乏對於人口販運被害人提供保護措施，則此種僅有起訴執法但缺乏保護作為之對策，是屬於一種不適切之反應作為。以被害人為中心導向之模式，並不意味者協助潛在可能之證人，直至能取得人口販運被害人之法律證詞為止；而是應針對被害人之需求，提供符合其需求之保護與協助，並履行法律上所規範之保護義務，但並不限於與刑事案件有所牽連之部分。</w:t>
      </w:r>
    </w:p>
    <w:p w14:paraId="2DAC66DB" w14:textId="77777777" w:rsidR="00203F72" w:rsidRPr="00515D85" w:rsidRDefault="00203F72" w:rsidP="00D87D91">
      <w:r w:rsidRPr="00515D85">
        <w:t>提供給予被害人之協助與保護，應超越刑事案件之範疇。執法機關與相關保護及協助之資源提供者之間，兩者應建立夥伴關係，而非相互爭功，各欲爭取處理被害人案件之機會；亦即，兩者之關係，屬於一種同僚共事關係，共同承擔人道救助與協助之義務，以符合被害人最佳利益之需求。對於被害人所提供之保護與援助，假若係被制約於端</w:t>
      </w:r>
      <w:r w:rsidR="003E240E">
        <w:t>視</w:t>
      </w:r>
      <w:r w:rsidRPr="00515D85">
        <w:t>被害人於政府之起訴過程中，其所扮演積極角色而定，則上述之保護與援助作為，並非適切之作為，已偏離保護被害人之原意，已被錯解與錯用之。</w:t>
      </w:r>
    </w:p>
    <w:p w14:paraId="49F299A1" w14:textId="77777777" w:rsidR="00203F72" w:rsidRPr="00515D85" w:rsidRDefault="00170AAF" w:rsidP="00D87D91">
      <w:r w:rsidRPr="00515D85">
        <w:t xml:space="preserve">　　</w:t>
      </w:r>
      <w:r w:rsidR="00203F72" w:rsidRPr="00515D85">
        <w:t>在很多國家之中，對於人口販運被害人所提供免除於移民上之法律義務，以及社會服務之資源，係被作為一種誘因，誘使被害人能主動（具證人角色）與政府執法機關進行合作。這些國家反制人口販運之對策，不強調（重</w:t>
      </w:r>
      <w:r w:rsidR="003E240E">
        <w:t>視</w:t>
      </w:r>
      <w:r w:rsidR="00203F72" w:rsidRPr="00515D85">
        <w:t>）應如何回復被害人之人性尊嚴或身體健康。然而，最理想之保護模式，係要聚焦於所有之被害人，提供她（他）們機會，令其能獲得庇護及廣泛之服務；在特殊之人口販運被害人案件中，對其提供移民豁免權利，免除移民上之法律責任與義務。在對於外國被害人所提供之諸多服務與援助選項中，遣送出國（遣返）不應該是第一個反應（回應）作為，除非是依據適切之行政處分所執行之遣返；同時，對於被害人所進行之遣返作為，必須應符合被害人之最佳利益化之考量。</w:t>
      </w:r>
    </w:p>
    <w:p w14:paraId="7AFC868F" w14:textId="77777777" w:rsidR="00953151" w:rsidRPr="00515D85" w:rsidRDefault="00170AAF" w:rsidP="00D87D91">
      <w:r w:rsidRPr="00515D85">
        <w:t xml:space="preserve">　　</w:t>
      </w:r>
      <w:r w:rsidR="00203F72" w:rsidRPr="00515D85">
        <w:t>將人口販運被害人加以收容（留置）於移民中心之作法，不僅不符合「巴勒莫</w:t>
      </w:r>
      <w:r w:rsidR="00203F72" w:rsidRPr="00515D85">
        <w:t>(</w:t>
      </w:r>
      <w:r w:rsidR="00203F72" w:rsidRPr="00515D85">
        <w:t>摩</w:t>
      </w:r>
      <w:r w:rsidR="00203F72" w:rsidRPr="00515D85">
        <w:t>)</w:t>
      </w:r>
      <w:r w:rsidR="00203F72" w:rsidRPr="00515D85">
        <w:t>議定書」國際公約之規定，且對於被害人有效之生、心理康復及刑事訴追之工作而論，會產生一種不良之效果，亦即，會產生一種反效果。對於被害人所提供之保護與援助，最佳化之模式，係植基於符合及考量被害人之需求，並且，在此被害人之需求上，建構及實施一連串反人口販運之法律及政策</w:t>
      </w:r>
      <w:r w:rsidR="00203F72" w:rsidRPr="00515D85">
        <w:footnoteReference w:id="843"/>
      </w:r>
      <w:r w:rsidR="00203F72" w:rsidRPr="00515D85">
        <w:t>。</w:t>
      </w:r>
    </w:p>
    <w:p w14:paraId="44C30A52" w14:textId="77777777" w:rsidR="00203F72" w:rsidRPr="00515D85" w:rsidRDefault="00170AAF" w:rsidP="00D87D91">
      <w:r w:rsidRPr="00515D85">
        <w:t xml:space="preserve">　　</w:t>
      </w:r>
      <w:r w:rsidR="00203F72" w:rsidRPr="00515D85">
        <w:t>(</w:t>
      </w:r>
      <w:r w:rsidR="00203F72" w:rsidRPr="00515D85">
        <w:t>三</w:t>
      </w:r>
      <w:r w:rsidR="00203F72" w:rsidRPr="00515D85">
        <w:t>)</w:t>
      </w:r>
      <w:r w:rsidR="00203F72" w:rsidRPr="00515D85">
        <w:t>預防（人口販運）</w:t>
      </w:r>
    </w:p>
    <w:p w14:paraId="096FB4B3" w14:textId="77777777" w:rsidR="00203F72" w:rsidRPr="00515D85" w:rsidRDefault="00170AAF" w:rsidP="00D87D91">
      <w:r w:rsidRPr="00515D85">
        <w:t xml:space="preserve">　　</w:t>
      </w:r>
      <w:r w:rsidR="00203F72" w:rsidRPr="00515D85">
        <w:t>在防制人口販運犯罪之</w:t>
      </w:r>
      <w:r w:rsidR="00203F72" w:rsidRPr="00515D85">
        <w:t>4P</w:t>
      </w:r>
      <w:r w:rsidR="00203F72" w:rsidRPr="00515D85">
        <w:t>對策方面，預防（</w:t>
      </w:r>
      <w:r w:rsidR="00203F72" w:rsidRPr="00515D85">
        <w:t>Prevention</w:t>
      </w:r>
      <w:r w:rsidR="00203F72" w:rsidRPr="00515D85">
        <w:t>）是一項非常重要之措施與目標；不論是在「聯合國關於預防、禁止和懲治販運人口行為之補充議定書」（又稱為巴勒莫（摩）議定書）或經美國政府修定之「人口販運被害人保護法」（簡稱</w:t>
      </w:r>
      <w:r w:rsidR="00203F72" w:rsidRPr="00515D85">
        <w:t>TVPA</w:t>
      </w:r>
      <w:r w:rsidR="00203F72" w:rsidRPr="00515D85">
        <w:t>）之中，均對於如何預防人口販運犯罪，訂定相當明確及多樣化之指導綱領，諸如：推展喚醒大眾對於反人口販運警覺之運動，強調側重於根除本質性之原因、執行相關法律，或是強化國境安全。在上述「巴勒莫（摩）議定書」通過後之約</w:t>
      </w:r>
      <w:r w:rsidR="00203F72" w:rsidRPr="00515D85">
        <w:t>10</w:t>
      </w:r>
      <w:r w:rsidR="00203F72" w:rsidRPr="00515D85">
        <w:t>年後，世界各國政府對於預防人口販運犯罪之正確認知，業已擴展至制訂可行之政策及實務作法</w:t>
      </w:r>
      <w:r w:rsidR="00203F72" w:rsidRPr="00515D85">
        <w:t>(</w:t>
      </w:r>
      <w:r w:rsidR="00203F72" w:rsidRPr="00515D85">
        <w:t>措施</w:t>
      </w:r>
      <w:r w:rsidR="00203F72" w:rsidRPr="00515D85">
        <w:t>)</w:t>
      </w:r>
      <w:r w:rsidR="00203F72" w:rsidRPr="00515D85">
        <w:t>，俾利透由此等政策及實務作法，從現代版之奴役犯行之根本源頭加以斬除。</w:t>
      </w:r>
    </w:p>
    <w:p w14:paraId="1D73E064" w14:textId="77777777" w:rsidR="00203F72" w:rsidRPr="00515D85" w:rsidRDefault="00170AAF" w:rsidP="00D87D91">
      <w:r w:rsidRPr="00515D85">
        <w:t xml:space="preserve">　　</w:t>
      </w:r>
      <w:r w:rsidR="00203F72" w:rsidRPr="00515D85">
        <w:t>上述之政策及實務上之作為，包括諸多之行動方案，而從兩個面向著手，第一，一方面打擊商業化性交易之需求；另一方面，宜確保對於廉價勞動力之需求，應規劃一套之平衡機制，諸如：在勞動力之整個供應鍊過程之中，對於勞工（力）之供應，應具有可追溯（蹤）性及透明性，並應對勞工提供妥適之保護作為。在反制勞力剝削部分，全球各國政府、民間公司團體及消費者（雇主）之間，應進行合作及對話，共同確認所謂之自由化商貿活動，係指以自由化之方式提供勞力，同時，雇主對於勞工應支付適當之補償薪資，而非免費地使用他人之勞力付出。</w:t>
      </w:r>
    </w:p>
    <w:p w14:paraId="01741A00" w14:textId="77777777" w:rsidR="00203F72" w:rsidRPr="00515D85" w:rsidRDefault="00170AAF" w:rsidP="00D87D91">
      <w:r w:rsidRPr="00515D85">
        <w:t xml:space="preserve">　　</w:t>
      </w:r>
      <w:r w:rsidR="00203F72" w:rsidRPr="00515D85">
        <w:t>在防制人口販運犯罪之預防層面上，預防作為應著重於在法制系統中之關鍵性脆弱之處，常見之脆弱處，如下所述</w:t>
      </w:r>
      <w:r w:rsidR="00203F72" w:rsidRPr="00515D85">
        <w:footnoteReference w:id="844"/>
      </w:r>
      <w:r w:rsidR="00203F72" w:rsidRPr="00515D85">
        <w:t>：</w:t>
      </w:r>
    </w:p>
    <w:p w14:paraId="5E1611EB" w14:textId="77777777" w:rsidR="00203F72" w:rsidRPr="00515D85" w:rsidRDefault="00170AAF" w:rsidP="00D87D91">
      <w:r w:rsidRPr="00515D85">
        <w:t xml:space="preserve">　　</w:t>
      </w:r>
      <w:r w:rsidR="00203F72" w:rsidRPr="00515D85">
        <w:t>1.</w:t>
      </w:r>
      <w:r w:rsidR="00203F72" w:rsidRPr="00515D85">
        <w:t>諸如政策及實際推展過程中之漏洞，這些政策面及實務執行面之漏洞，易促發人口販運犯行；</w:t>
      </w:r>
    </w:p>
    <w:p w14:paraId="0FBA4CC0" w14:textId="77777777" w:rsidR="00203F72" w:rsidRPr="00515D85" w:rsidRDefault="00170AAF" w:rsidP="00D87D91">
      <w:r w:rsidRPr="00515D85">
        <w:t xml:space="preserve">　　</w:t>
      </w:r>
      <w:r w:rsidR="00203F72" w:rsidRPr="00515D85">
        <w:t>2.</w:t>
      </w:r>
      <w:r w:rsidR="00203F72" w:rsidRPr="00515D85">
        <w:t>對於政府採購及對外之契約中，所存在之缺失，加以容忍之，不願改善此等缺失；</w:t>
      </w:r>
    </w:p>
    <w:p w14:paraId="791F21A9" w14:textId="77777777" w:rsidR="00203F72" w:rsidRPr="00515D85" w:rsidRDefault="00170AAF" w:rsidP="00D87D91">
      <w:r w:rsidRPr="00515D85">
        <w:t xml:space="preserve">　　</w:t>
      </w:r>
      <w:r w:rsidR="00203F72" w:rsidRPr="00515D85">
        <w:t>3.</w:t>
      </w:r>
      <w:r w:rsidR="00203F72" w:rsidRPr="00515D85">
        <w:t>缺乏道德使命之勞工召募仲介公司；</w:t>
      </w:r>
    </w:p>
    <w:p w14:paraId="3A5B4E46" w14:textId="77777777" w:rsidR="00203F72" w:rsidRPr="00515D85" w:rsidRDefault="00170AAF" w:rsidP="00D87D91">
      <w:r w:rsidRPr="00515D85">
        <w:t xml:space="preserve">　　</w:t>
      </w:r>
      <w:r w:rsidR="00203F72" w:rsidRPr="00515D85">
        <w:t>4.</w:t>
      </w:r>
      <w:r w:rsidR="00203F72" w:rsidRPr="00515D85">
        <w:t>嚴厲之簽證實務作為，因而被私梟用作強制及剝削被害人之工具；</w:t>
      </w:r>
    </w:p>
    <w:p w14:paraId="5BD6B343" w14:textId="77777777" w:rsidR="00203F72" w:rsidRPr="00515D85" w:rsidRDefault="00170AAF" w:rsidP="00D87D91">
      <w:r w:rsidRPr="00515D85">
        <w:t xml:space="preserve">　　</w:t>
      </w:r>
      <w:r w:rsidR="00203F72" w:rsidRPr="00515D85">
        <w:t>5.</w:t>
      </w:r>
      <w:r w:rsidR="00203F72" w:rsidRPr="00515D85">
        <w:t>在勞工法規之執法部分，過於寬鬆（勞工法規之執法不力）。</w:t>
      </w:r>
    </w:p>
    <w:p w14:paraId="56A7F764" w14:textId="77777777" w:rsidR="00203F72" w:rsidRPr="00515D85" w:rsidRDefault="00170AAF" w:rsidP="00D87D91">
      <w:r w:rsidRPr="00515D85">
        <w:t xml:space="preserve">　　</w:t>
      </w:r>
      <w:r w:rsidR="00203F72" w:rsidRPr="00515D85">
        <w:t>有效之預防對策，實應聚焦於具有重點化之行動方案之上，旨在保護處在國際社會被邊緣化及低收入之勞工之權利，諸如：家庭幫傭、農場勞工、礦工及成衣勞工等。有效之人口販運預防方案，應有效地保護上述勞工之基本人權及權利。這些社會邊緣化之勞工，經常在處在犯罪之迫害下，諸如受到長時間之勞力剝削，而最嚴重之剝削，當屬人口販運中之勞力剝削。</w:t>
      </w:r>
    </w:p>
    <w:p w14:paraId="04CAA04E" w14:textId="77777777" w:rsidR="00953151" w:rsidRPr="00515D85" w:rsidRDefault="00170AAF" w:rsidP="00D87D91">
      <w:r w:rsidRPr="00515D85">
        <w:t xml:space="preserve">　　</w:t>
      </w:r>
      <w:r w:rsidR="00203F72" w:rsidRPr="00515D85">
        <w:t>預防之對策，它能夠及應該產生經濟上之動能，用以打擊人口販運；上述所謂之「經濟動能」，乃指對於那些直接依賴被強制（剝削）勞工進行貨品之生產或服務之提供之公司或雇主，增加刑事或民事之處罰額度，用刑事罰金或民事罰款打擊從事人口販運罪行之違法公司或雇主。</w:t>
      </w:r>
    </w:p>
    <w:p w14:paraId="6C74962B" w14:textId="77777777" w:rsidR="00203F72" w:rsidRPr="00515D85" w:rsidRDefault="00170AAF" w:rsidP="00D87D91">
      <w:r w:rsidRPr="00515D85">
        <w:t xml:space="preserve">　　</w:t>
      </w:r>
      <w:r w:rsidR="00203F72" w:rsidRPr="00515D85">
        <w:t>(</w:t>
      </w:r>
      <w:r w:rsidR="00203F72" w:rsidRPr="00515D85">
        <w:t>四</w:t>
      </w:r>
      <w:r w:rsidR="00203F72" w:rsidRPr="00515D85">
        <w:t>)</w:t>
      </w:r>
      <w:r w:rsidR="00203F72" w:rsidRPr="00515D85">
        <w:t>夥伴關係（</w:t>
      </w:r>
      <w:r w:rsidR="00203F72" w:rsidRPr="00515D85">
        <w:t>(Partnerships</w:t>
      </w:r>
      <w:r w:rsidR="00203F72" w:rsidRPr="00515D85">
        <w:t>）</w:t>
      </w:r>
    </w:p>
    <w:p w14:paraId="4FB1D48D" w14:textId="77777777" w:rsidR="00953151" w:rsidRPr="00515D85" w:rsidRDefault="00170AAF" w:rsidP="00D87D91">
      <w:r w:rsidRPr="00515D85">
        <w:t xml:space="preserve">　　</w:t>
      </w:r>
      <w:r w:rsidR="00203F72" w:rsidRPr="00515D85">
        <w:t>在防制人口販運之第</w:t>
      </w:r>
      <w:r w:rsidR="00203F72" w:rsidRPr="00515D85">
        <w:t>4</w:t>
      </w:r>
      <w:r w:rsidR="00203F72" w:rsidRPr="00515D85">
        <w:t>個對策方面，美國國務院之見解，仍是建構「夥伴關係」。為何要強調建立夥伴關係？主要之理由，因打擊人口販運犯行需要結合專門化知識（技術）、資源與很多個人及機關部門實體之努力。防制人口販運之議題，它是一個複雜化及多面向之課題，牽涉之範圍相當廣泛，諸如：基本人權、勞力（工）及招募（聘）、醫療健康與服務及執法作為，故需要政府部門及民間團體組織提供廣泛性之回應措施。防制人口販運之工作，它需要上述所有機關組織之夥伴關係，以利能發揮正向之效果。</w:t>
      </w:r>
    </w:p>
    <w:p w14:paraId="7433F279" w14:textId="77777777" w:rsidR="00203F72" w:rsidRPr="00515D85" w:rsidRDefault="00170AAF" w:rsidP="00D87D91">
      <w:r w:rsidRPr="00515D85">
        <w:t xml:space="preserve">　　</w:t>
      </w:r>
      <w:r w:rsidR="00203F72" w:rsidRPr="00515D85">
        <w:t>建立夥伴關係之所以會產生更大之正面影響，主要之因素，所下所述：</w:t>
      </w:r>
    </w:p>
    <w:p w14:paraId="07E9F037" w14:textId="77777777" w:rsidR="00203F72" w:rsidRPr="00515D85" w:rsidRDefault="00170AAF" w:rsidP="00D87D91">
      <w:r w:rsidRPr="00515D85">
        <w:t xml:space="preserve">　　</w:t>
      </w:r>
      <w:r w:rsidR="00203F72" w:rsidRPr="00515D85">
        <w:t>1.</w:t>
      </w:r>
      <w:r w:rsidR="00203F72" w:rsidRPr="00515D85">
        <w:t>可匯集各種不同及多樣化之防制經驗；</w:t>
      </w:r>
    </w:p>
    <w:p w14:paraId="34B122F5" w14:textId="77777777" w:rsidR="00203F72" w:rsidRPr="00515D85" w:rsidRDefault="00170AAF" w:rsidP="00D87D91">
      <w:r w:rsidRPr="00515D85">
        <w:t xml:space="preserve">　　</w:t>
      </w:r>
      <w:r w:rsidR="00203F72" w:rsidRPr="00515D85">
        <w:t>2.</w:t>
      </w:r>
      <w:r w:rsidR="00203F72" w:rsidRPr="00515D85">
        <w:t>擴展訊息之交流；</w:t>
      </w:r>
    </w:p>
    <w:p w14:paraId="0A96D498" w14:textId="77777777" w:rsidR="00953151" w:rsidRPr="00515D85" w:rsidRDefault="00170AAF" w:rsidP="00D87D91">
      <w:r w:rsidRPr="00515D85">
        <w:t xml:space="preserve">　　</w:t>
      </w:r>
      <w:r w:rsidR="00203F72" w:rsidRPr="00515D85">
        <w:t>3.</w:t>
      </w:r>
      <w:r w:rsidR="00203F72" w:rsidRPr="00515D85">
        <w:t>運用槓桿原理分配資源。</w:t>
      </w:r>
    </w:p>
    <w:p w14:paraId="5766788D" w14:textId="77777777" w:rsidR="00203F72" w:rsidRPr="00515D85" w:rsidRDefault="00170AAF" w:rsidP="00D87D91">
      <w:r w:rsidRPr="00515D85">
        <w:t xml:space="preserve">　　</w:t>
      </w:r>
      <w:r w:rsidR="00203F72" w:rsidRPr="00515D85">
        <w:t>上述夥伴關係所產生之效果，需要多個機關團體通力合作，並非一個單獨機關或團體所能獨力完成之。為了促進起訴、預防及保護作為，國際社會上，各政府之間現存之夥伴關係之範例，如下所述</w:t>
      </w:r>
      <w:r w:rsidR="00203F72" w:rsidRPr="00515D85">
        <w:footnoteReference w:id="845"/>
      </w:r>
      <w:r w:rsidR="00203F72" w:rsidRPr="00515D85">
        <w:t>：</w:t>
      </w:r>
    </w:p>
    <w:p w14:paraId="112B8EF2" w14:textId="77777777" w:rsidR="00203F72" w:rsidRPr="00515D85" w:rsidRDefault="00170AAF" w:rsidP="00D87D91">
      <w:r w:rsidRPr="00515D85">
        <w:t xml:space="preserve">　　</w:t>
      </w:r>
      <w:r w:rsidR="00203F72" w:rsidRPr="00515D85">
        <w:t>1.</w:t>
      </w:r>
      <w:r w:rsidR="00203F72" w:rsidRPr="00515D85">
        <w:t>世界各國政府間之執法合作，透由國際執法合作途徑，俾利分享情報（資），在不同司法管轄區執行反制人口販運工作及各國國境間之協同溝通；</w:t>
      </w:r>
    </w:p>
    <w:p w14:paraId="4F178599" w14:textId="77777777" w:rsidR="00203F72" w:rsidRPr="00515D85" w:rsidRDefault="00170AAF" w:rsidP="00D87D91">
      <w:r w:rsidRPr="00515D85">
        <w:t xml:space="preserve">　　</w:t>
      </w:r>
      <w:r w:rsidR="00203F72" w:rsidRPr="00515D85">
        <w:t>2.</w:t>
      </w:r>
      <w:r w:rsidR="00203F72" w:rsidRPr="00515D85">
        <w:t>政府機關與商業團體組織之間建立夥伴聯盟關係，兩者共同訂定可行之協議，針對免於被奴役之勞力供應鍊，上述雙方共同建構一套可供遵循之機制。</w:t>
      </w:r>
    </w:p>
    <w:p w14:paraId="546D1473" w14:textId="77777777" w:rsidR="00953151" w:rsidRPr="00515D85" w:rsidRDefault="00170AAF" w:rsidP="00D87D91">
      <w:r w:rsidRPr="00515D85">
        <w:t xml:space="preserve">　　</w:t>
      </w:r>
      <w:r w:rsidR="00203F72" w:rsidRPr="00515D85">
        <w:t>3.</w:t>
      </w:r>
      <w:r w:rsidR="00203F72" w:rsidRPr="00515D85">
        <w:t>在區域中之各國，共同建立區域層級之夥伴關係，俾利推展反人口販運工作，諸如：美洲國家組織（</w:t>
      </w:r>
      <w:r w:rsidR="00203F72" w:rsidRPr="00515D85">
        <w:t>OAS</w:t>
      </w:r>
      <w:r w:rsidR="00203F72" w:rsidRPr="00515D85">
        <w:t>）或歐盟（</w:t>
      </w:r>
      <w:r w:rsidR="00203F72" w:rsidRPr="00515D85">
        <w:t>EU</w:t>
      </w:r>
      <w:r w:rsidR="00203F72" w:rsidRPr="00515D85">
        <w:t>）等。</w:t>
      </w:r>
    </w:p>
    <w:p w14:paraId="77B65FC2" w14:textId="77777777" w:rsidR="00203F72" w:rsidRPr="00515D85" w:rsidRDefault="00170AAF" w:rsidP="00D87D91">
      <w:r w:rsidRPr="00515D85">
        <w:t xml:space="preserve">　　</w:t>
      </w:r>
      <w:r w:rsidR="00203F72" w:rsidRPr="00515D85">
        <w:t>政府機關外之非政府組織間相互建立之夥伴關係，基於共同防制人口販運犯行之理念，相互連結，主要之目的，如下所述：</w:t>
      </w:r>
    </w:p>
    <w:p w14:paraId="2A848978" w14:textId="77777777" w:rsidR="00203F72" w:rsidRPr="00515D85" w:rsidRDefault="00170AAF" w:rsidP="00D87D91">
      <w:r w:rsidRPr="00515D85">
        <w:t xml:space="preserve">　　</w:t>
      </w:r>
      <w:r w:rsidR="00203F72" w:rsidRPr="00515D85">
        <w:t>1.</w:t>
      </w:r>
      <w:r w:rsidR="00203F72" w:rsidRPr="00515D85">
        <w:t>共同倡導反制人口販運；</w:t>
      </w:r>
    </w:p>
    <w:p w14:paraId="399A7AF7" w14:textId="77777777" w:rsidR="00203F72" w:rsidRPr="00515D85" w:rsidRDefault="00170AAF" w:rsidP="00D87D91">
      <w:r w:rsidRPr="00515D85">
        <w:t xml:space="preserve">　　</w:t>
      </w:r>
      <w:r w:rsidR="00203F72" w:rsidRPr="00515D85">
        <w:t>2.</w:t>
      </w:r>
      <w:r w:rsidR="00203F72" w:rsidRPr="00515D85">
        <w:t>分享資訊；</w:t>
      </w:r>
    </w:p>
    <w:p w14:paraId="766C1C4F" w14:textId="77777777" w:rsidR="00203F72" w:rsidRPr="00515D85" w:rsidRDefault="00170AAF" w:rsidP="00D87D91">
      <w:r w:rsidRPr="00515D85">
        <w:t xml:space="preserve">　　</w:t>
      </w:r>
      <w:r w:rsidR="00203F72" w:rsidRPr="00515D85">
        <w:t>3.</w:t>
      </w:r>
      <w:r w:rsidR="00203F72" w:rsidRPr="00515D85">
        <w:t>建構被害人之網路。</w:t>
      </w:r>
    </w:p>
    <w:p w14:paraId="2C8706F3" w14:textId="77777777" w:rsidR="00953151" w:rsidRPr="00515D85" w:rsidRDefault="00170AAF" w:rsidP="00D87D91">
      <w:r w:rsidRPr="00515D85">
        <w:t xml:space="preserve">　　</w:t>
      </w:r>
      <w:r w:rsidR="00203F72" w:rsidRPr="00515D85">
        <w:t>上述之非政府組織，以更加多元化及多面向之作為與措施，開展反人口販運工作。國際社會對於建構夥伴關係之目的及其所帶來之利益，有廣泛之交集，且多數均加以認同；但，對於應採取何種已被證明為有效且是成功之策略，此一部分，則較少有共識；在未來之時日，有效及成功之防制策略，仍待國際社會共同努力研發創造及分享之。</w:t>
      </w:r>
    </w:p>
    <w:p w14:paraId="532262AE" w14:textId="77777777" w:rsidR="00515D85" w:rsidRDefault="00515D85" w:rsidP="007B2912">
      <w:pPr>
        <w:jc w:val="right"/>
        <w:rPr>
          <w:rFonts w:ascii="新細明體" w:hAnsi="新細明體"/>
        </w:rPr>
      </w:pPr>
      <w:r w:rsidRPr="0026266A">
        <w:rPr>
          <w:rFonts w:hint="eastAsia"/>
        </w:rPr>
        <w:t>。。。。。。。。。。。。。。。。。。。。。。。。。</w:t>
      </w:r>
      <w:hyperlink w:anchor="a目次38" w:history="1">
        <w:r>
          <w:rPr>
            <w:rStyle w:val="a5"/>
            <w:sz w:val="18"/>
          </w:rPr>
          <w:t>回目次</w:t>
        </w:r>
      </w:hyperlink>
      <w:r w:rsidR="00E91F89">
        <w:rPr>
          <w:rFonts w:ascii="新細明體" w:hAnsi="新細明體"/>
          <w:color w:val="808000"/>
        </w:rPr>
        <w:t>〉〉</w:t>
      </w:r>
    </w:p>
    <w:p w14:paraId="69309536" w14:textId="77777777" w:rsidR="00515D85" w:rsidRDefault="00515D85" w:rsidP="00D87D91"/>
    <w:p w14:paraId="07D916F5" w14:textId="77777777" w:rsidR="00953151" w:rsidRDefault="00203F72" w:rsidP="00767F37">
      <w:pPr>
        <w:pStyle w:val="2"/>
      </w:pPr>
      <w:bookmarkStart w:id="108" w:name="_參、全球打擊人口販運犯罪之重大新興挑戰〜2C3D1I1R"/>
      <w:bookmarkEnd w:id="108"/>
      <w:r w:rsidRPr="00170AAF">
        <w:rPr>
          <w:rStyle w:val="30"/>
          <w:bCs/>
          <w:color w:val="990000"/>
          <w:sz w:val="22"/>
        </w:rPr>
        <w:t>參、全球打擊人口販運犯罪之重大新興挑戰</w:t>
      </w:r>
      <w:r w:rsidR="00D92F56">
        <w:rPr>
          <w:rStyle w:val="30"/>
          <w:bCs/>
          <w:color w:val="990000"/>
          <w:sz w:val="22"/>
        </w:rPr>
        <w:t>〜</w:t>
      </w:r>
      <w:r w:rsidRPr="00170AAF">
        <w:rPr>
          <w:rStyle w:val="30"/>
          <w:bCs/>
          <w:color w:val="990000"/>
          <w:sz w:val="22"/>
        </w:rPr>
        <w:t>2C3D1I1R</w:t>
      </w:r>
      <w:r w:rsidRPr="00170AAF">
        <w:rPr>
          <w:rStyle w:val="af3"/>
          <w:vertAlign w:val="baseline"/>
        </w:rPr>
        <w:t xml:space="preserve"> </w:t>
      </w:r>
      <w:r w:rsidRPr="00170AAF">
        <w:rPr>
          <w:rStyle w:val="af3"/>
          <w:vertAlign w:val="baseline"/>
        </w:rPr>
        <w:footnoteReference w:id="846"/>
      </w:r>
    </w:p>
    <w:p w14:paraId="2E525C6B" w14:textId="77777777" w:rsidR="00203F72" w:rsidRPr="00515D85" w:rsidRDefault="00170AAF" w:rsidP="00D87D91">
      <w:r w:rsidRPr="00515D85">
        <w:t xml:space="preserve">　　</w:t>
      </w:r>
      <w:r w:rsidR="00203F72" w:rsidRPr="00515D85">
        <w:t>一、</w:t>
      </w:r>
      <w:r w:rsidR="00203F72" w:rsidRPr="00515D85">
        <w:t>2C</w:t>
      </w:r>
    </w:p>
    <w:p w14:paraId="28B03D2E" w14:textId="77777777" w:rsidR="00953151" w:rsidRPr="00515D85" w:rsidRDefault="00170AAF" w:rsidP="00D87D91">
      <w:r w:rsidRPr="00515D85">
        <w:t xml:space="preserve">　　</w:t>
      </w:r>
      <w:r w:rsidR="00203F72" w:rsidRPr="00515D85">
        <w:t>(</w:t>
      </w:r>
      <w:r w:rsidR="00203F72" w:rsidRPr="00515D85">
        <w:t>一</w:t>
      </w:r>
      <w:r w:rsidR="00203F72" w:rsidRPr="00515D85">
        <w:t>)</w:t>
      </w:r>
      <w:r w:rsidR="00203F72" w:rsidRPr="00515D85">
        <w:t>人口販運被害人所行使之同意權</w:t>
      </w:r>
      <w:r w:rsidR="00203F72" w:rsidRPr="00515D85">
        <w:t>(consent)</w:t>
      </w:r>
      <w:r w:rsidR="00203F72" w:rsidRPr="00515D85">
        <w:t>，被全球刑事司法系統內執法人員嚴重地錯解與誤用</w:t>
      </w:r>
    </w:p>
    <w:p w14:paraId="0C27CC0E" w14:textId="77777777" w:rsidR="00953151" w:rsidRPr="00515D85" w:rsidRDefault="00170AAF" w:rsidP="00D87D91">
      <w:r w:rsidRPr="00515D85">
        <w:t xml:space="preserve">　　</w:t>
      </w:r>
      <w:r w:rsidR="00203F72" w:rsidRPr="00515D85">
        <w:t>根據美國國務院</w:t>
      </w:r>
      <w:r w:rsidR="00203F72" w:rsidRPr="00515D85">
        <w:t>(U.S. State Department)2014</w:t>
      </w:r>
      <w:r w:rsidR="00203F72" w:rsidRPr="00515D85">
        <w:t>年</w:t>
      </w:r>
      <w:r w:rsidR="00203F72" w:rsidRPr="00515D85">
        <w:t>TIP</w:t>
      </w:r>
      <w:r w:rsidR="00203F72" w:rsidRPr="00515D85">
        <w:t>之報告，各式各樣之人口販運被害人，於最初始之時，很有可能知道及瞭解某一位雇主所提供之未來工作性質與地點</w:t>
      </w:r>
      <w:r w:rsidR="00D92F56" w:rsidRPr="00515D85">
        <w:t>〜</w:t>
      </w:r>
      <w:r w:rsidR="00203F72" w:rsidRPr="00515D85">
        <w:t>貧困之工作條件</w:t>
      </w:r>
      <w:r w:rsidR="00203F72" w:rsidRPr="00515D85">
        <w:t>(poor working conditions)</w:t>
      </w:r>
      <w:r w:rsidR="00203F72" w:rsidRPr="00515D85">
        <w:t>，或者，所從事工作之基本職責</w:t>
      </w:r>
      <w:r w:rsidR="00203F72" w:rsidRPr="00515D85">
        <w:t>(the basic duties of the job)</w:t>
      </w:r>
      <w:r w:rsidR="00203F72" w:rsidRPr="00515D85">
        <w:t>，並於開始之始點，行使同意權</w:t>
      </w:r>
      <w:r w:rsidR="00203F72" w:rsidRPr="00515D85">
        <w:t>(and initially agree to)</w:t>
      </w:r>
      <w:r w:rsidR="00203F72" w:rsidRPr="00515D85">
        <w:t>；然而，在後來時，發覺其被欺騙</w:t>
      </w:r>
      <w:r w:rsidR="00203F72" w:rsidRPr="00515D85">
        <w:t>(but later find that they were deceived)</w:t>
      </w:r>
      <w:r w:rsidR="00203F72" w:rsidRPr="00515D85">
        <w:t>，並且，無法離開上述之工作環境</w:t>
      </w:r>
      <w:r w:rsidR="00203F72" w:rsidRPr="00515D85">
        <w:t>(cannot leave the job)</w:t>
      </w:r>
      <w:r w:rsidR="00203F72" w:rsidRPr="00515D85">
        <w:t>，主要之理由，在於受到人口販運加害人之恐嚇，如擬對其家人進行侵害</w:t>
      </w:r>
      <w:r w:rsidR="00203F72" w:rsidRPr="00515D85">
        <w:t>(threats against their families)</w:t>
      </w:r>
      <w:r w:rsidR="00203F72" w:rsidRPr="00515D85">
        <w:t>，或者，人口販運被害人須對於仲介人負擔龐大之工作仲介債務費用</w:t>
      </w:r>
      <w:r w:rsidR="00203F72" w:rsidRPr="00515D85">
        <w:t>(overwhelming debts owed to the recruitment agency that arranged the employment)</w:t>
      </w:r>
      <w:r w:rsidR="00203F72" w:rsidRPr="00515D85">
        <w:t>。根據「巴勒莫（摩）議定書」</w:t>
      </w:r>
      <w:r w:rsidR="00203F72" w:rsidRPr="00515D85">
        <w:footnoteReference w:id="847"/>
      </w:r>
      <w:r w:rsidR="00203F72" w:rsidRPr="00515D85">
        <w:t>第</w:t>
      </w:r>
      <w:r w:rsidR="00203F72" w:rsidRPr="00515D85">
        <w:t>3</w:t>
      </w:r>
      <w:r w:rsidR="00203F72" w:rsidRPr="00515D85">
        <w:t>條</w:t>
      </w:r>
      <w:r w:rsidR="00203F72" w:rsidRPr="00515D85">
        <w:t>(b)</w:t>
      </w:r>
      <w:r w:rsidR="00203F72" w:rsidRPr="00515D85">
        <w:t>之規定</w:t>
      </w:r>
      <w:r w:rsidR="00203F72" w:rsidRPr="00515D85">
        <w:footnoteReference w:id="848"/>
      </w:r>
      <w:r w:rsidR="00203F72" w:rsidRPr="00515D85">
        <w:t>，假若利用任何強制性</w:t>
      </w:r>
      <w:r w:rsidR="00203F72" w:rsidRPr="00515D85">
        <w:t>(</w:t>
      </w:r>
      <w:r w:rsidR="00203F72" w:rsidRPr="00515D85">
        <w:t>恐嚇、威脅</w:t>
      </w:r>
      <w:r w:rsidR="00203F72" w:rsidRPr="00515D85">
        <w:t>)</w:t>
      </w:r>
      <w:r w:rsidR="00203F72" w:rsidRPr="00515D85">
        <w:t>之手段</w:t>
      </w:r>
      <w:r w:rsidR="00203F72" w:rsidRPr="00515D85">
        <w:t>(if any coercive means have been used)</w:t>
      </w:r>
      <w:r w:rsidR="00203F72" w:rsidRPr="00515D85">
        <w:t>，而進一步地取得人口販運被害人之同意，則此種之同意權，與其遭受剝削行為之間，無任何之關聯性</w:t>
      </w:r>
      <w:r w:rsidR="00203F72" w:rsidRPr="00515D85">
        <w:t>(a victim’s consent “shall be irrelevant”)</w:t>
      </w:r>
      <w:r w:rsidR="00203F72" w:rsidRPr="00515D85">
        <w:t>。假若某一位女性，自願出國，並可以預見其未來將於國外從事娼妓工作</w:t>
      </w:r>
      <w:r w:rsidR="00203F72" w:rsidRPr="00515D85">
        <w:t>(a woman who has voluntarily traveled to a country knowing that she would engage in prostitution)</w:t>
      </w:r>
      <w:r w:rsidR="00203F72" w:rsidRPr="00515D85">
        <w:t>，且自願性地同意之，但後來，其不願再從事娼妓工作，但人口販運加害人利用任何強制之手段</w:t>
      </w:r>
      <w:r w:rsidR="00203F72" w:rsidRPr="00515D85">
        <w:t>(any form of coercion)</w:t>
      </w:r>
      <w:r w:rsidR="00203F72" w:rsidRPr="00515D85">
        <w:t>，強迫其繼續從事娼妓工作，俾利維護人口販運加害人之既有利益</w:t>
      </w:r>
      <w:r w:rsidR="00203F72" w:rsidRPr="00515D85">
        <w:t>(to require her to engage in prostitution for their benefit)</w:t>
      </w:r>
      <w:r w:rsidR="00203F72" w:rsidRPr="00515D85">
        <w:t>，則上述之自願性地之同意權，不能阻礙此位女性成為人口販運被害人</w:t>
      </w:r>
      <w:r w:rsidR="00203F72" w:rsidRPr="00515D85">
        <w:t>(is also a trafficking victim)</w:t>
      </w:r>
      <w:r w:rsidR="00203F72" w:rsidRPr="00515D85">
        <w:footnoteReference w:id="849"/>
      </w:r>
      <w:r w:rsidR="00203F72" w:rsidRPr="00515D85">
        <w:t>。</w:t>
      </w:r>
    </w:p>
    <w:p w14:paraId="6DCBED5B" w14:textId="77777777" w:rsidR="00953151" w:rsidRPr="00515D85" w:rsidRDefault="00170AAF" w:rsidP="00D87D91">
      <w:r w:rsidRPr="00515D85">
        <w:t xml:space="preserve">　　</w:t>
      </w:r>
      <w:r w:rsidR="00203F72" w:rsidRPr="00515D85">
        <w:t>偵查人員及檢察官於起訴人口販運加害人之過程中，人口販運加害人喜歡使用之手法，即運用人口販運被害人自願性地之同意權，以此同意權，抗辨其罪行。人口販運被害人自願性地之同意權，無法作為人口販運加害人抗辨其罪行之理由與正當防衛權利</w:t>
      </w:r>
      <w:r w:rsidR="00203F72" w:rsidRPr="00515D85">
        <w:t>(consent cannot be a valid defense to the charge of trafficking)</w:t>
      </w:r>
      <w:r w:rsidR="00203F72" w:rsidRPr="00515D85">
        <w:t>。</w:t>
      </w:r>
    </w:p>
    <w:p w14:paraId="435DA5B5" w14:textId="77777777" w:rsidR="00953151" w:rsidRPr="00515D85" w:rsidRDefault="00170AAF" w:rsidP="00D87D91">
      <w:r w:rsidRPr="00515D85">
        <w:t xml:space="preserve">　　</w:t>
      </w:r>
      <w:r w:rsidR="00203F72" w:rsidRPr="00515D85">
        <w:t>美國國務院建議各國政府，宜對於法官或陪審團進行教育，令其知曉各式之同意權樣式，包括：人口販運被害人自願性地對契約行使同意權</w:t>
      </w:r>
      <w:r w:rsidR="00203F72" w:rsidRPr="00515D85">
        <w:t>(contracts)</w:t>
      </w:r>
      <w:r w:rsidR="00203F72" w:rsidRPr="00515D85">
        <w:t>、未主動地離開被剝削之情境</w:t>
      </w:r>
      <w:r w:rsidR="00203F72" w:rsidRPr="00515D85">
        <w:t>(failure to leave a situation of exploitation)</w:t>
      </w:r>
      <w:r w:rsidR="00203F72" w:rsidRPr="00515D85">
        <w:t>及無法正確地辨識自己是否屬於人口販運被害人</w:t>
      </w:r>
      <w:r w:rsidR="00203F72" w:rsidRPr="00515D85">
        <w:t>(victims who do not self-identify as victims)</w:t>
      </w:r>
      <w:r w:rsidR="00203F72" w:rsidRPr="00515D85">
        <w:t>等等。綜上所述，人口販運被害人所行使之同意權，被全球刑事司法系統內執法人員嚴重地錯解與誤用之情形，值得各國政府重</w:t>
      </w:r>
      <w:r w:rsidR="003E240E">
        <w:t>視</w:t>
      </w:r>
      <w:r w:rsidR="00203F72" w:rsidRPr="00515D85">
        <w:t>之</w:t>
      </w:r>
      <w:r w:rsidR="00203F72" w:rsidRPr="00515D85">
        <w:footnoteReference w:id="850"/>
      </w:r>
      <w:r w:rsidR="00203F72" w:rsidRPr="00515D85">
        <w:t>。</w:t>
      </w:r>
    </w:p>
    <w:p w14:paraId="7AAAEF16" w14:textId="77777777" w:rsidR="00203F72" w:rsidRPr="00515D85" w:rsidRDefault="00170AAF" w:rsidP="00D87D91">
      <w:r w:rsidRPr="00515D85">
        <w:t xml:space="preserve">　　</w:t>
      </w:r>
      <w:r w:rsidR="00203F72" w:rsidRPr="00515D85">
        <w:t>(</w:t>
      </w:r>
      <w:r w:rsidR="00203F72" w:rsidRPr="00515D85">
        <w:t>二</w:t>
      </w:r>
      <w:r w:rsidR="00203F72" w:rsidRPr="00515D85">
        <w:t>)</w:t>
      </w:r>
      <w:r w:rsidR="00203F72" w:rsidRPr="00515D85">
        <w:t>全球人口販運加害人被定罪</w:t>
      </w:r>
      <w:r w:rsidR="00203F72" w:rsidRPr="00515D85">
        <w:t>(convictions)</w:t>
      </w:r>
      <w:r w:rsidR="00203F72" w:rsidRPr="00515D85">
        <w:t>之比率仍偏低</w:t>
      </w:r>
    </w:p>
    <w:p w14:paraId="0AA31322" w14:textId="77777777" w:rsidR="00953151" w:rsidRDefault="00170AAF" w:rsidP="00D87D91">
      <w:r w:rsidRPr="00515D85">
        <w:t xml:space="preserve">　　</w:t>
      </w:r>
      <w:r w:rsidR="00203F72" w:rsidRPr="00515D85">
        <w:t>玆以全球防制人口販運有關性剝削執法為例，全球人口販運加害人被定罪</w:t>
      </w:r>
      <w:r w:rsidR="00203F72" w:rsidRPr="00515D85">
        <w:t>(convictions)</w:t>
      </w:r>
      <w:r w:rsidR="00203F72" w:rsidRPr="00515D85">
        <w:t>之比率</w:t>
      </w:r>
      <w:r w:rsidR="00203F72" w:rsidRPr="00515D85">
        <w:t>(</w:t>
      </w:r>
      <w:r w:rsidR="00203F72" w:rsidRPr="00515D85">
        <w:t>被定罪人數</w:t>
      </w:r>
      <w:r w:rsidR="00203F72" w:rsidRPr="00515D85">
        <w:t>/</w:t>
      </w:r>
      <w:r w:rsidR="00203F72" w:rsidRPr="00515D85">
        <w:t>被起訴人數之百分比率</w:t>
      </w:r>
      <w:r w:rsidR="00203F72" w:rsidRPr="00515D85">
        <w:t>)</w:t>
      </w:r>
      <w:r w:rsidR="00203F72" w:rsidRPr="00515D85">
        <w:t>，從</w:t>
      </w:r>
      <w:r w:rsidR="00203F72" w:rsidRPr="00515D85">
        <w:t>2006</w:t>
      </w:r>
      <w:r w:rsidR="00203F72" w:rsidRPr="00515D85">
        <w:t>年至</w:t>
      </w:r>
      <w:r w:rsidR="00203F72" w:rsidRPr="00515D85">
        <w:t>2013</w:t>
      </w:r>
      <w:r w:rsidR="00203F72" w:rsidRPr="00515D85">
        <w:t>年，分別為</w:t>
      </w:r>
      <w:r w:rsidR="00203F72" w:rsidRPr="00515D85">
        <w:t>54.4%</w:t>
      </w:r>
      <w:r w:rsidR="00203F72" w:rsidRPr="00515D85">
        <w:t>、</w:t>
      </w:r>
      <w:r w:rsidR="00203F72" w:rsidRPr="00515D85">
        <w:t>59.7%</w:t>
      </w:r>
      <w:r w:rsidR="00203F72" w:rsidRPr="00515D85">
        <w:t>、</w:t>
      </w:r>
      <w:r w:rsidR="00203F72" w:rsidRPr="00515D85">
        <w:t>58.8%</w:t>
      </w:r>
      <w:r w:rsidR="00203F72" w:rsidRPr="00515D85">
        <w:t>、</w:t>
      </w:r>
      <w:r w:rsidR="00203F72" w:rsidRPr="00515D85">
        <w:t>74.0%</w:t>
      </w:r>
      <w:r w:rsidR="00203F72" w:rsidRPr="00515D85">
        <w:t>、</w:t>
      </w:r>
      <w:r w:rsidR="00203F72" w:rsidRPr="00515D85">
        <w:t>62.5%</w:t>
      </w:r>
      <w:r w:rsidR="00203F72" w:rsidRPr="00515D85">
        <w:t>、</w:t>
      </w:r>
      <w:r w:rsidR="00203F72" w:rsidRPr="00515D85">
        <w:t>49.5%</w:t>
      </w:r>
      <w:r w:rsidR="00203F72" w:rsidRPr="00515D85">
        <w:t>、</w:t>
      </w:r>
      <w:r w:rsidR="00203F72" w:rsidRPr="00515D85">
        <w:t>64.5%</w:t>
      </w:r>
      <w:r w:rsidR="00203F72" w:rsidRPr="00515D85">
        <w:t>與</w:t>
      </w:r>
      <w:r w:rsidR="00203F72" w:rsidRPr="00515D85">
        <w:t>64.2%</w:t>
      </w:r>
      <w:r w:rsidR="00203F72" w:rsidRPr="00515D85">
        <w:t>，總平均為</w:t>
      </w:r>
      <w:r w:rsidR="00203F72" w:rsidRPr="00515D85">
        <w:t>60.95%</w:t>
      </w:r>
      <w:r w:rsidR="00203F72" w:rsidRPr="00515D85">
        <w:t>，近約</w:t>
      </w:r>
      <w:r w:rsidR="00203F72" w:rsidRPr="00515D85">
        <w:t>6</w:t>
      </w:r>
      <w:r w:rsidR="00203F72" w:rsidRPr="00515D85">
        <w:t>成左右。再者，若以東亞及太平洋地區防制人口販運有關性剝削執法為例，人口販運加害人被定罪之比率</w:t>
      </w:r>
      <w:r w:rsidR="00203F72" w:rsidRPr="00515D85">
        <w:t>(</w:t>
      </w:r>
      <w:r w:rsidR="00203F72" w:rsidRPr="00515D85">
        <w:t>被定罪人數</w:t>
      </w:r>
      <w:r w:rsidR="00203F72" w:rsidRPr="00515D85">
        <w:t>/</w:t>
      </w:r>
      <w:r w:rsidR="00203F72" w:rsidRPr="00515D85">
        <w:t>被起訴人數之百分比率</w:t>
      </w:r>
      <w:r w:rsidR="00203F72" w:rsidRPr="00515D85">
        <w:t>)</w:t>
      </w:r>
      <w:r w:rsidR="00203F72" w:rsidRPr="00515D85">
        <w:t>，從</w:t>
      </w:r>
      <w:r w:rsidR="00203F72" w:rsidRPr="00515D85">
        <w:t>2007</w:t>
      </w:r>
      <w:r w:rsidR="00203F72" w:rsidRPr="00515D85">
        <w:t>年至</w:t>
      </w:r>
      <w:r w:rsidR="00203F72" w:rsidRPr="00515D85">
        <w:t>2013</w:t>
      </w:r>
      <w:r w:rsidR="00203F72" w:rsidRPr="00515D85">
        <w:t>年，分別為</w:t>
      </w:r>
      <w:r w:rsidR="00203F72" w:rsidRPr="00515D85">
        <w:t>61.9%</w:t>
      </w:r>
      <w:r w:rsidR="00203F72" w:rsidRPr="00515D85">
        <w:t>、</w:t>
      </w:r>
      <w:r w:rsidR="00203F72" w:rsidRPr="00515D85">
        <w:t>62.2%</w:t>
      </w:r>
      <w:r w:rsidR="00203F72" w:rsidRPr="00515D85">
        <w:t>、</w:t>
      </w:r>
      <w:r w:rsidR="00203F72" w:rsidRPr="00515D85">
        <w:t>75.4%</w:t>
      </w:r>
      <w:r w:rsidR="00203F72" w:rsidRPr="00515D85">
        <w:t>、</w:t>
      </w:r>
      <w:r w:rsidR="00203F72" w:rsidRPr="00515D85">
        <w:t>44.9%</w:t>
      </w:r>
      <w:r w:rsidR="00203F72" w:rsidRPr="00515D85">
        <w:t>、</w:t>
      </w:r>
      <w:r w:rsidR="00203F72" w:rsidRPr="00515D85">
        <w:t>44.5%</w:t>
      </w:r>
      <w:r w:rsidR="00203F72" w:rsidRPr="00515D85">
        <w:t>、</w:t>
      </w:r>
      <w:r w:rsidR="00203F72" w:rsidRPr="00515D85">
        <w:t>73.3%</w:t>
      </w:r>
      <w:r w:rsidR="00203F72" w:rsidRPr="00515D85">
        <w:t>與</w:t>
      </w:r>
      <w:r w:rsidR="00203F72" w:rsidRPr="00515D85">
        <w:t>54.2%</w:t>
      </w:r>
      <w:r w:rsidR="00203F72" w:rsidRPr="00515D85">
        <w:t>，總平均為</w:t>
      </w:r>
      <w:r w:rsidR="00203F72" w:rsidRPr="00515D85">
        <w:t>59.5%</w:t>
      </w:r>
      <w:r w:rsidR="00203F72" w:rsidRPr="00515D85">
        <w:t>，近約</w:t>
      </w:r>
      <w:r w:rsidR="00203F72" w:rsidRPr="00515D85">
        <w:t>6</w:t>
      </w:r>
      <w:r w:rsidR="00203F72" w:rsidRPr="00515D85">
        <w:t>成左右，但卻低於全球人口販運加害人被定罪之比率。就人口販運加害人被定罪之比率而論，似乎，全球各國均仍有相當大之精進空間。被定罪人數與被起訴人數之差距，有可能是司法警察、移民官、檢察官與法官之間之見解有所差異，如何縮短司法警察、移民官、檢察官與法官之間之見解差異，值得各國執法機關加以重</w:t>
      </w:r>
      <w:r w:rsidR="003E240E">
        <w:t>視</w:t>
      </w:r>
      <w:r w:rsidR="00203F72" w:rsidRPr="00515D85">
        <w:t>與關注。</w:t>
      </w:r>
    </w:p>
    <w:p w14:paraId="2D21C7CF" w14:textId="77777777" w:rsidR="000E25C7" w:rsidRPr="00515D85" w:rsidRDefault="000E25C7" w:rsidP="00D87D91"/>
    <w:p w14:paraId="03FB1C7B" w14:textId="0AFCA26A" w:rsidR="00203F72" w:rsidRPr="000E25C7" w:rsidRDefault="00B03E84" w:rsidP="000E25C7">
      <w:r w:rsidRPr="000E25C7">
        <w:t>【</w:t>
      </w:r>
      <w:r w:rsidRPr="000E25C7">
        <w:t>table</w:t>
      </w:r>
      <w:r w:rsidR="005E23E3" w:rsidRPr="000E25C7">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92</w:t>
      </w:r>
      <w:r w:rsidR="00076467">
        <w:rPr>
          <w:noProof/>
        </w:rPr>
        <w:fldChar w:fldCharType="end"/>
      </w:r>
      <w:r w:rsidR="00203F72" w:rsidRPr="000E25C7">
        <w:t>全球防制人口販運有關性剝削執法統計數據表</w:t>
      </w:r>
      <w:r w:rsidR="00203F72" w:rsidRPr="000E25C7">
        <w:footnoteReference w:id="851"/>
      </w:r>
      <w:r w:rsidR="00203F72" w:rsidRPr="000E25C7">
        <w:t>(</w:t>
      </w:r>
      <w:r w:rsidR="00203F72" w:rsidRPr="000E25C7">
        <w:t>單位：人數</w:t>
      </w:r>
      <w:r w:rsidR="00203F72" w:rsidRPr="000E25C7">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5"/>
        <w:gridCol w:w="1225"/>
        <w:gridCol w:w="1112"/>
        <w:gridCol w:w="2126"/>
        <w:gridCol w:w="2462"/>
      </w:tblGrid>
      <w:tr w:rsidR="00203F72" w:rsidRPr="00A53581" w14:paraId="5951B11A" w14:textId="77777777" w:rsidTr="007B2912">
        <w:trPr>
          <w:tblHeader/>
        </w:trPr>
        <w:tc>
          <w:tcPr>
            <w:tcW w:w="1155" w:type="dxa"/>
            <w:tcBorders>
              <w:top w:val="single" w:sz="4" w:space="0" w:color="auto"/>
              <w:left w:val="single" w:sz="4" w:space="0" w:color="auto"/>
              <w:bottom w:val="single" w:sz="4" w:space="0" w:color="auto"/>
              <w:right w:val="single" w:sz="4" w:space="0" w:color="auto"/>
            </w:tcBorders>
            <w:shd w:val="clear" w:color="auto" w:fill="FAF0FA"/>
            <w:hideMark/>
          </w:tcPr>
          <w:p w14:paraId="53804AB6" w14:textId="77777777" w:rsidR="00203F72" w:rsidRPr="00A53581" w:rsidRDefault="00203F72" w:rsidP="00D87D91">
            <w:r w:rsidRPr="00A53581">
              <w:t>年度</w:t>
            </w:r>
          </w:p>
        </w:tc>
        <w:tc>
          <w:tcPr>
            <w:tcW w:w="1225" w:type="dxa"/>
            <w:tcBorders>
              <w:top w:val="single" w:sz="4" w:space="0" w:color="auto"/>
              <w:left w:val="single" w:sz="4" w:space="0" w:color="auto"/>
              <w:bottom w:val="single" w:sz="4" w:space="0" w:color="auto"/>
              <w:right w:val="single" w:sz="4" w:space="0" w:color="auto"/>
            </w:tcBorders>
            <w:shd w:val="clear" w:color="auto" w:fill="FAF0FA"/>
            <w:hideMark/>
          </w:tcPr>
          <w:p w14:paraId="7BBF1283" w14:textId="77777777" w:rsidR="00203F72" w:rsidRPr="00A53581" w:rsidRDefault="00203F72" w:rsidP="00D87D91">
            <w:r w:rsidRPr="00A53581">
              <w:t>被起訴人數</w:t>
            </w:r>
          </w:p>
        </w:tc>
        <w:tc>
          <w:tcPr>
            <w:tcW w:w="1112" w:type="dxa"/>
            <w:tcBorders>
              <w:top w:val="single" w:sz="4" w:space="0" w:color="auto"/>
              <w:left w:val="single" w:sz="4" w:space="0" w:color="auto"/>
              <w:bottom w:val="single" w:sz="4" w:space="0" w:color="auto"/>
              <w:right w:val="single" w:sz="4" w:space="0" w:color="auto"/>
            </w:tcBorders>
            <w:shd w:val="clear" w:color="auto" w:fill="FAF0FA"/>
            <w:hideMark/>
          </w:tcPr>
          <w:p w14:paraId="6C362918" w14:textId="77777777" w:rsidR="00203F72" w:rsidRPr="00A53581" w:rsidRDefault="00203F72" w:rsidP="00D87D91">
            <w:r w:rsidRPr="00A53581">
              <w:t>被定罪人數</w:t>
            </w:r>
          </w:p>
        </w:tc>
        <w:tc>
          <w:tcPr>
            <w:tcW w:w="2126" w:type="dxa"/>
            <w:tcBorders>
              <w:top w:val="single" w:sz="4" w:space="0" w:color="auto"/>
              <w:left w:val="single" w:sz="4" w:space="0" w:color="auto"/>
              <w:bottom w:val="single" w:sz="4" w:space="0" w:color="auto"/>
              <w:right w:val="single" w:sz="4" w:space="0" w:color="auto"/>
            </w:tcBorders>
            <w:shd w:val="clear" w:color="auto" w:fill="FAF0FA"/>
            <w:hideMark/>
          </w:tcPr>
          <w:p w14:paraId="74D36125" w14:textId="77777777" w:rsidR="00203F72" w:rsidRPr="00A53581" w:rsidRDefault="00203F72" w:rsidP="00D87D91">
            <w:r w:rsidRPr="00A53581">
              <w:t>被定罪人數</w:t>
            </w:r>
            <w:r w:rsidRPr="00A53581">
              <w:t>/</w:t>
            </w:r>
            <w:r w:rsidRPr="00A53581">
              <w:t>被起訴人數之百分比率</w:t>
            </w:r>
          </w:p>
        </w:tc>
        <w:tc>
          <w:tcPr>
            <w:tcW w:w="2462" w:type="dxa"/>
            <w:tcBorders>
              <w:top w:val="single" w:sz="4" w:space="0" w:color="auto"/>
              <w:left w:val="single" w:sz="4" w:space="0" w:color="auto"/>
              <w:bottom w:val="single" w:sz="4" w:space="0" w:color="auto"/>
              <w:right w:val="single" w:sz="4" w:space="0" w:color="auto"/>
            </w:tcBorders>
            <w:shd w:val="clear" w:color="auto" w:fill="FAF0FA"/>
            <w:hideMark/>
          </w:tcPr>
          <w:p w14:paraId="6C42CA24" w14:textId="77777777" w:rsidR="00203F72" w:rsidRPr="00A53581" w:rsidRDefault="00203F72" w:rsidP="00D87D91">
            <w:r w:rsidRPr="00A53581">
              <w:t>被辨識為被害人人數</w:t>
            </w:r>
          </w:p>
        </w:tc>
      </w:tr>
      <w:tr w:rsidR="00203F72" w:rsidRPr="00A53581" w14:paraId="25D07D5B" w14:textId="77777777" w:rsidTr="007B2912">
        <w:tc>
          <w:tcPr>
            <w:tcW w:w="1155" w:type="dxa"/>
            <w:tcBorders>
              <w:top w:val="single" w:sz="4" w:space="0" w:color="auto"/>
              <w:left w:val="single" w:sz="4" w:space="0" w:color="auto"/>
              <w:bottom w:val="single" w:sz="4" w:space="0" w:color="auto"/>
              <w:right w:val="single" w:sz="4" w:space="0" w:color="auto"/>
            </w:tcBorders>
            <w:hideMark/>
          </w:tcPr>
          <w:p w14:paraId="2E040D2F" w14:textId="77777777" w:rsidR="00203F72" w:rsidRPr="00A53581" w:rsidRDefault="00203F72" w:rsidP="000E25C7">
            <w:pPr>
              <w:jc w:val="center"/>
            </w:pPr>
            <w:r w:rsidRPr="00A53581">
              <w:t>2006</w:t>
            </w:r>
          </w:p>
        </w:tc>
        <w:tc>
          <w:tcPr>
            <w:tcW w:w="1225" w:type="dxa"/>
            <w:tcBorders>
              <w:top w:val="single" w:sz="4" w:space="0" w:color="auto"/>
              <w:left w:val="single" w:sz="4" w:space="0" w:color="auto"/>
              <w:bottom w:val="single" w:sz="4" w:space="0" w:color="auto"/>
              <w:right w:val="single" w:sz="4" w:space="0" w:color="auto"/>
            </w:tcBorders>
            <w:hideMark/>
          </w:tcPr>
          <w:p w14:paraId="6C7A9CA3" w14:textId="77777777" w:rsidR="00203F72" w:rsidRPr="00A53581" w:rsidRDefault="00203F72" w:rsidP="000E25C7">
            <w:pPr>
              <w:jc w:val="center"/>
            </w:pPr>
            <w:r w:rsidRPr="00A53581">
              <w:t>5808</w:t>
            </w:r>
          </w:p>
        </w:tc>
        <w:tc>
          <w:tcPr>
            <w:tcW w:w="1112" w:type="dxa"/>
            <w:tcBorders>
              <w:top w:val="single" w:sz="4" w:space="0" w:color="auto"/>
              <w:left w:val="single" w:sz="4" w:space="0" w:color="auto"/>
              <w:bottom w:val="single" w:sz="4" w:space="0" w:color="auto"/>
              <w:right w:val="single" w:sz="4" w:space="0" w:color="auto"/>
            </w:tcBorders>
            <w:hideMark/>
          </w:tcPr>
          <w:p w14:paraId="36D80DE1" w14:textId="77777777" w:rsidR="00203F72" w:rsidRPr="00A53581" w:rsidRDefault="00203F72" w:rsidP="000E25C7">
            <w:pPr>
              <w:jc w:val="center"/>
            </w:pPr>
            <w:r w:rsidRPr="00A53581">
              <w:t>3160</w:t>
            </w:r>
          </w:p>
        </w:tc>
        <w:tc>
          <w:tcPr>
            <w:tcW w:w="2126" w:type="dxa"/>
            <w:tcBorders>
              <w:top w:val="single" w:sz="4" w:space="0" w:color="auto"/>
              <w:left w:val="single" w:sz="4" w:space="0" w:color="auto"/>
              <w:bottom w:val="single" w:sz="4" w:space="0" w:color="auto"/>
              <w:right w:val="single" w:sz="4" w:space="0" w:color="auto"/>
            </w:tcBorders>
            <w:hideMark/>
          </w:tcPr>
          <w:p w14:paraId="19994389" w14:textId="77777777" w:rsidR="00203F72" w:rsidRPr="00A53581" w:rsidRDefault="00203F72" w:rsidP="000E25C7">
            <w:pPr>
              <w:jc w:val="center"/>
            </w:pPr>
            <w:r w:rsidRPr="00A53581">
              <w:t>54.4%</w:t>
            </w:r>
          </w:p>
        </w:tc>
        <w:tc>
          <w:tcPr>
            <w:tcW w:w="2462" w:type="dxa"/>
            <w:tcBorders>
              <w:top w:val="single" w:sz="4" w:space="0" w:color="auto"/>
              <w:left w:val="single" w:sz="4" w:space="0" w:color="auto"/>
              <w:bottom w:val="single" w:sz="4" w:space="0" w:color="auto"/>
              <w:right w:val="single" w:sz="4" w:space="0" w:color="auto"/>
            </w:tcBorders>
            <w:hideMark/>
          </w:tcPr>
          <w:p w14:paraId="27C0AD99" w14:textId="77777777" w:rsidR="00203F72" w:rsidRPr="00A53581" w:rsidRDefault="00203F72" w:rsidP="000E25C7">
            <w:pPr>
              <w:jc w:val="center"/>
            </w:pPr>
            <w:r w:rsidRPr="00A53581">
              <w:t>未統計</w:t>
            </w:r>
          </w:p>
        </w:tc>
      </w:tr>
      <w:tr w:rsidR="00203F72" w:rsidRPr="00A53581" w14:paraId="45B72A82" w14:textId="77777777" w:rsidTr="007B2912">
        <w:tc>
          <w:tcPr>
            <w:tcW w:w="1155" w:type="dxa"/>
            <w:tcBorders>
              <w:top w:val="single" w:sz="4" w:space="0" w:color="auto"/>
              <w:left w:val="single" w:sz="4" w:space="0" w:color="auto"/>
              <w:bottom w:val="single" w:sz="4" w:space="0" w:color="auto"/>
              <w:right w:val="single" w:sz="4" w:space="0" w:color="auto"/>
            </w:tcBorders>
            <w:hideMark/>
          </w:tcPr>
          <w:p w14:paraId="4A65DD6E" w14:textId="77777777" w:rsidR="00203F72" w:rsidRPr="00A53581" w:rsidRDefault="00203F72" w:rsidP="000E25C7">
            <w:pPr>
              <w:jc w:val="center"/>
            </w:pPr>
            <w:r w:rsidRPr="00A53581">
              <w:t>2007</w:t>
            </w:r>
          </w:p>
        </w:tc>
        <w:tc>
          <w:tcPr>
            <w:tcW w:w="1225" w:type="dxa"/>
            <w:tcBorders>
              <w:top w:val="single" w:sz="4" w:space="0" w:color="auto"/>
              <w:left w:val="single" w:sz="4" w:space="0" w:color="auto"/>
              <w:bottom w:val="single" w:sz="4" w:space="0" w:color="auto"/>
              <w:right w:val="single" w:sz="4" w:space="0" w:color="auto"/>
            </w:tcBorders>
            <w:hideMark/>
          </w:tcPr>
          <w:p w14:paraId="40ECA8D7" w14:textId="77777777" w:rsidR="00203F72" w:rsidRPr="00A53581" w:rsidRDefault="00203F72" w:rsidP="000E25C7">
            <w:pPr>
              <w:jc w:val="center"/>
            </w:pPr>
            <w:r w:rsidRPr="00A53581">
              <w:t>5192</w:t>
            </w:r>
          </w:p>
        </w:tc>
        <w:tc>
          <w:tcPr>
            <w:tcW w:w="1112" w:type="dxa"/>
            <w:tcBorders>
              <w:top w:val="single" w:sz="4" w:space="0" w:color="auto"/>
              <w:left w:val="single" w:sz="4" w:space="0" w:color="auto"/>
              <w:bottom w:val="single" w:sz="4" w:space="0" w:color="auto"/>
              <w:right w:val="single" w:sz="4" w:space="0" w:color="auto"/>
            </w:tcBorders>
            <w:hideMark/>
          </w:tcPr>
          <w:p w14:paraId="52161ED0" w14:textId="77777777" w:rsidR="00203F72" w:rsidRPr="00A53581" w:rsidRDefault="00203F72" w:rsidP="000E25C7">
            <w:pPr>
              <w:jc w:val="center"/>
            </w:pPr>
            <w:r w:rsidRPr="00A53581">
              <w:t>3101</w:t>
            </w:r>
          </w:p>
        </w:tc>
        <w:tc>
          <w:tcPr>
            <w:tcW w:w="2126" w:type="dxa"/>
            <w:tcBorders>
              <w:top w:val="single" w:sz="4" w:space="0" w:color="auto"/>
              <w:left w:val="single" w:sz="4" w:space="0" w:color="auto"/>
              <w:bottom w:val="single" w:sz="4" w:space="0" w:color="auto"/>
              <w:right w:val="single" w:sz="4" w:space="0" w:color="auto"/>
            </w:tcBorders>
            <w:hideMark/>
          </w:tcPr>
          <w:p w14:paraId="35A9022E" w14:textId="77777777" w:rsidR="00203F72" w:rsidRPr="00A53581" w:rsidRDefault="00203F72" w:rsidP="000E25C7">
            <w:pPr>
              <w:jc w:val="center"/>
            </w:pPr>
            <w:r w:rsidRPr="00A53581">
              <w:t>59.7%</w:t>
            </w:r>
          </w:p>
        </w:tc>
        <w:tc>
          <w:tcPr>
            <w:tcW w:w="2462" w:type="dxa"/>
            <w:tcBorders>
              <w:top w:val="single" w:sz="4" w:space="0" w:color="auto"/>
              <w:left w:val="single" w:sz="4" w:space="0" w:color="auto"/>
              <w:bottom w:val="single" w:sz="4" w:space="0" w:color="auto"/>
              <w:right w:val="single" w:sz="4" w:space="0" w:color="auto"/>
            </w:tcBorders>
            <w:hideMark/>
          </w:tcPr>
          <w:p w14:paraId="2FC578C7" w14:textId="77777777" w:rsidR="00203F72" w:rsidRPr="00A53581" w:rsidRDefault="00203F72" w:rsidP="000E25C7">
            <w:pPr>
              <w:jc w:val="center"/>
            </w:pPr>
            <w:r w:rsidRPr="00A53581">
              <w:t>未統計</w:t>
            </w:r>
          </w:p>
        </w:tc>
      </w:tr>
      <w:tr w:rsidR="00203F72" w:rsidRPr="00A53581" w14:paraId="72059ABD" w14:textId="77777777" w:rsidTr="007B2912">
        <w:tc>
          <w:tcPr>
            <w:tcW w:w="1155" w:type="dxa"/>
            <w:tcBorders>
              <w:top w:val="single" w:sz="4" w:space="0" w:color="auto"/>
              <w:left w:val="single" w:sz="4" w:space="0" w:color="auto"/>
              <w:bottom w:val="single" w:sz="4" w:space="0" w:color="auto"/>
              <w:right w:val="single" w:sz="4" w:space="0" w:color="auto"/>
            </w:tcBorders>
            <w:hideMark/>
          </w:tcPr>
          <w:p w14:paraId="1EE68A41" w14:textId="77777777" w:rsidR="00203F72" w:rsidRPr="00A53581" w:rsidRDefault="00203F72" w:rsidP="000E25C7">
            <w:pPr>
              <w:jc w:val="center"/>
            </w:pPr>
            <w:r w:rsidRPr="00A53581">
              <w:t>2008</w:t>
            </w:r>
          </w:p>
        </w:tc>
        <w:tc>
          <w:tcPr>
            <w:tcW w:w="1225" w:type="dxa"/>
            <w:tcBorders>
              <w:top w:val="single" w:sz="4" w:space="0" w:color="auto"/>
              <w:left w:val="single" w:sz="4" w:space="0" w:color="auto"/>
              <w:bottom w:val="single" w:sz="4" w:space="0" w:color="auto"/>
              <w:right w:val="single" w:sz="4" w:space="0" w:color="auto"/>
            </w:tcBorders>
            <w:hideMark/>
          </w:tcPr>
          <w:p w14:paraId="0D52AEF7" w14:textId="77777777" w:rsidR="00203F72" w:rsidRPr="00A53581" w:rsidRDefault="00203F72" w:rsidP="000E25C7">
            <w:pPr>
              <w:jc w:val="center"/>
            </w:pPr>
            <w:r w:rsidRPr="00A53581">
              <w:t>4900</w:t>
            </w:r>
          </w:p>
        </w:tc>
        <w:tc>
          <w:tcPr>
            <w:tcW w:w="1112" w:type="dxa"/>
            <w:tcBorders>
              <w:top w:val="single" w:sz="4" w:space="0" w:color="auto"/>
              <w:left w:val="single" w:sz="4" w:space="0" w:color="auto"/>
              <w:bottom w:val="single" w:sz="4" w:space="0" w:color="auto"/>
              <w:right w:val="single" w:sz="4" w:space="0" w:color="auto"/>
            </w:tcBorders>
            <w:hideMark/>
          </w:tcPr>
          <w:p w14:paraId="380EFAEB" w14:textId="77777777" w:rsidR="00203F72" w:rsidRPr="00A53581" w:rsidRDefault="00203F72" w:rsidP="000E25C7">
            <w:pPr>
              <w:jc w:val="center"/>
            </w:pPr>
            <w:r w:rsidRPr="00A53581">
              <w:t>2879</w:t>
            </w:r>
          </w:p>
        </w:tc>
        <w:tc>
          <w:tcPr>
            <w:tcW w:w="2126" w:type="dxa"/>
            <w:tcBorders>
              <w:top w:val="single" w:sz="4" w:space="0" w:color="auto"/>
              <w:left w:val="single" w:sz="4" w:space="0" w:color="auto"/>
              <w:bottom w:val="single" w:sz="4" w:space="0" w:color="auto"/>
              <w:right w:val="single" w:sz="4" w:space="0" w:color="auto"/>
            </w:tcBorders>
            <w:hideMark/>
          </w:tcPr>
          <w:p w14:paraId="31BCE443" w14:textId="77777777" w:rsidR="00203F72" w:rsidRPr="00A53581" w:rsidRDefault="00203F72" w:rsidP="000E25C7">
            <w:pPr>
              <w:jc w:val="center"/>
            </w:pPr>
            <w:r w:rsidRPr="00A53581">
              <w:t>58.8%</w:t>
            </w:r>
          </w:p>
        </w:tc>
        <w:tc>
          <w:tcPr>
            <w:tcW w:w="2462" w:type="dxa"/>
            <w:tcBorders>
              <w:top w:val="single" w:sz="4" w:space="0" w:color="auto"/>
              <w:left w:val="single" w:sz="4" w:space="0" w:color="auto"/>
              <w:bottom w:val="single" w:sz="4" w:space="0" w:color="auto"/>
              <w:right w:val="single" w:sz="4" w:space="0" w:color="auto"/>
            </w:tcBorders>
            <w:hideMark/>
          </w:tcPr>
          <w:p w14:paraId="368D9E7B" w14:textId="77777777" w:rsidR="00203F72" w:rsidRPr="00A53581" w:rsidRDefault="00203F72" w:rsidP="000E25C7">
            <w:pPr>
              <w:jc w:val="center"/>
            </w:pPr>
            <w:r w:rsidRPr="00A53581">
              <w:t>未統計</w:t>
            </w:r>
          </w:p>
        </w:tc>
      </w:tr>
      <w:tr w:rsidR="00203F72" w:rsidRPr="00A53581" w14:paraId="7FA7794A" w14:textId="77777777" w:rsidTr="007B2912">
        <w:tc>
          <w:tcPr>
            <w:tcW w:w="1155" w:type="dxa"/>
            <w:tcBorders>
              <w:top w:val="single" w:sz="4" w:space="0" w:color="auto"/>
              <w:left w:val="single" w:sz="4" w:space="0" w:color="auto"/>
              <w:bottom w:val="single" w:sz="4" w:space="0" w:color="auto"/>
              <w:right w:val="single" w:sz="4" w:space="0" w:color="auto"/>
            </w:tcBorders>
            <w:hideMark/>
          </w:tcPr>
          <w:p w14:paraId="5C0E3E7E" w14:textId="77777777" w:rsidR="00203F72" w:rsidRPr="00A53581" w:rsidRDefault="00203F72" w:rsidP="000E25C7">
            <w:pPr>
              <w:jc w:val="center"/>
            </w:pPr>
            <w:r w:rsidRPr="00A53581">
              <w:t>2009</w:t>
            </w:r>
          </w:p>
        </w:tc>
        <w:tc>
          <w:tcPr>
            <w:tcW w:w="1225" w:type="dxa"/>
            <w:tcBorders>
              <w:top w:val="single" w:sz="4" w:space="0" w:color="auto"/>
              <w:left w:val="single" w:sz="4" w:space="0" w:color="auto"/>
              <w:bottom w:val="single" w:sz="4" w:space="0" w:color="auto"/>
              <w:right w:val="single" w:sz="4" w:space="0" w:color="auto"/>
            </w:tcBorders>
            <w:hideMark/>
          </w:tcPr>
          <w:p w14:paraId="29804F1A" w14:textId="77777777" w:rsidR="00203F72" w:rsidRPr="00A53581" w:rsidRDefault="00203F72" w:rsidP="000E25C7">
            <w:pPr>
              <w:jc w:val="center"/>
            </w:pPr>
            <w:r w:rsidRPr="00A53581">
              <w:t>5174</w:t>
            </w:r>
          </w:p>
        </w:tc>
        <w:tc>
          <w:tcPr>
            <w:tcW w:w="1112" w:type="dxa"/>
            <w:tcBorders>
              <w:top w:val="single" w:sz="4" w:space="0" w:color="auto"/>
              <w:left w:val="single" w:sz="4" w:space="0" w:color="auto"/>
              <w:bottom w:val="single" w:sz="4" w:space="0" w:color="auto"/>
              <w:right w:val="single" w:sz="4" w:space="0" w:color="auto"/>
            </w:tcBorders>
            <w:hideMark/>
          </w:tcPr>
          <w:p w14:paraId="3A675E6E" w14:textId="77777777" w:rsidR="00203F72" w:rsidRPr="00A53581" w:rsidRDefault="00203F72" w:rsidP="000E25C7">
            <w:pPr>
              <w:jc w:val="center"/>
            </w:pPr>
            <w:r w:rsidRPr="00A53581">
              <w:t>3831</w:t>
            </w:r>
          </w:p>
        </w:tc>
        <w:tc>
          <w:tcPr>
            <w:tcW w:w="2126" w:type="dxa"/>
            <w:tcBorders>
              <w:top w:val="single" w:sz="4" w:space="0" w:color="auto"/>
              <w:left w:val="single" w:sz="4" w:space="0" w:color="auto"/>
              <w:bottom w:val="single" w:sz="4" w:space="0" w:color="auto"/>
              <w:right w:val="single" w:sz="4" w:space="0" w:color="auto"/>
            </w:tcBorders>
            <w:hideMark/>
          </w:tcPr>
          <w:p w14:paraId="2A9E6E77" w14:textId="77777777" w:rsidR="00203F72" w:rsidRPr="00A53581" w:rsidRDefault="00203F72" w:rsidP="000E25C7">
            <w:pPr>
              <w:jc w:val="center"/>
            </w:pPr>
            <w:r w:rsidRPr="00A53581">
              <w:t>74%</w:t>
            </w:r>
          </w:p>
        </w:tc>
        <w:tc>
          <w:tcPr>
            <w:tcW w:w="2462" w:type="dxa"/>
            <w:tcBorders>
              <w:top w:val="single" w:sz="4" w:space="0" w:color="auto"/>
              <w:left w:val="single" w:sz="4" w:space="0" w:color="auto"/>
              <w:bottom w:val="single" w:sz="4" w:space="0" w:color="auto"/>
              <w:right w:val="single" w:sz="4" w:space="0" w:color="auto"/>
            </w:tcBorders>
            <w:hideMark/>
          </w:tcPr>
          <w:p w14:paraId="1B00902B" w14:textId="77777777" w:rsidR="00203F72" w:rsidRPr="00A53581" w:rsidRDefault="00203F72" w:rsidP="000E25C7">
            <w:pPr>
              <w:jc w:val="center"/>
            </w:pPr>
            <w:r w:rsidRPr="00A53581">
              <w:t>未統計</w:t>
            </w:r>
          </w:p>
        </w:tc>
      </w:tr>
      <w:tr w:rsidR="00203F72" w:rsidRPr="00A53581" w14:paraId="6E1A7F12" w14:textId="77777777" w:rsidTr="007B2912">
        <w:tc>
          <w:tcPr>
            <w:tcW w:w="1155" w:type="dxa"/>
            <w:tcBorders>
              <w:top w:val="single" w:sz="4" w:space="0" w:color="auto"/>
              <w:left w:val="single" w:sz="4" w:space="0" w:color="auto"/>
              <w:bottom w:val="single" w:sz="4" w:space="0" w:color="auto"/>
              <w:right w:val="single" w:sz="4" w:space="0" w:color="auto"/>
            </w:tcBorders>
            <w:hideMark/>
          </w:tcPr>
          <w:p w14:paraId="56E50A83" w14:textId="77777777" w:rsidR="00203F72" w:rsidRPr="00A53581" w:rsidRDefault="00203F72" w:rsidP="000E25C7">
            <w:pPr>
              <w:jc w:val="center"/>
            </w:pPr>
            <w:r w:rsidRPr="00A53581">
              <w:t>2010</w:t>
            </w:r>
          </w:p>
        </w:tc>
        <w:tc>
          <w:tcPr>
            <w:tcW w:w="1225" w:type="dxa"/>
            <w:tcBorders>
              <w:top w:val="single" w:sz="4" w:space="0" w:color="auto"/>
              <w:left w:val="single" w:sz="4" w:space="0" w:color="auto"/>
              <w:bottom w:val="single" w:sz="4" w:space="0" w:color="auto"/>
              <w:right w:val="single" w:sz="4" w:space="0" w:color="auto"/>
            </w:tcBorders>
            <w:hideMark/>
          </w:tcPr>
          <w:p w14:paraId="2BD11C88" w14:textId="77777777" w:rsidR="00203F72" w:rsidRPr="00A53581" w:rsidRDefault="00203F72" w:rsidP="000E25C7">
            <w:pPr>
              <w:jc w:val="center"/>
            </w:pPr>
            <w:r w:rsidRPr="00A53581">
              <w:t>5410</w:t>
            </w:r>
          </w:p>
        </w:tc>
        <w:tc>
          <w:tcPr>
            <w:tcW w:w="1112" w:type="dxa"/>
            <w:tcBorders>
              <w:top w:val="single" w:sz="4" w:space="0" w:color="auto"/>
              <w:left w:val="single" w:sz="4" w:space="0" w:color="auto"/>
              <w:bottom w:val="single" w:sz="4" w:space="0" w:color="auto"/>
              <w:right w:val="single" w:sz="4" w:space="0" w:color="auto"/>
            </w:tcBorders>
            <w:hideMark/>
          </w:tcPr>
          <w:p w14:paraId="10405830" w14:textId="77777777" w:rsidR="00203F72" w:rsidRPr="00A53581" w:rsidRDefault="00203F72" w:rsidP="000E25C7">
            <w:pPr>
              <w:jc w:val="center"/>
            </w:pPr>
            <w:r w:rsidRPr="00A53581">
              <w:t>3382</w:t>
            </w:r>
          </w:p>
        </w:tc>
        <w:tc>
          <w:tcPr>
            <w:tcW w:w="2126" w:type="dxa"/>
            <w:tcBorders>
              <w:top w:val="single" w:sz="4" w:space="0" w:color="auto"/>
              <w:left w:val="single" w:sz="4" w:space="0" w:color="auto"/>
              <w:bottom w:val="single" w:sz="4" w:space="0" w:color="auto"/>
              <w:right w:val="single" w:sz="4" w:space="0" w:color="auto"/>
            </w:tcBorders>
            <w:hideMark/>
          </w:tcPr>
          <w:p w14:paraId="0F83E78E" w14:textId="77777777" w:rsidR="00203F72" w:rsidRPr="00A53581" w:rsidRDefault="00203F72" w:rsidP="000E25C7">
            <w:pPr>
              <w:jc w:val="center"/>
            </w:pPr>
            <w:r w:rsidRPr="00A53581">
              <w:t>62.5%</w:t>
            </w:r>
          </w:p>
        </w:tc>
        <w:tc>
          <w:tcPr>
            <w:tcW w:w="2462" w:type="dxa"/>
            <w:tcBorders>
              <w:top w:val="single" w:sz="4" w:space="0" w:color="auto"/>
              <w:left w:val="single" w:sz="4" w:space="0" w:color="auto"/>
              <w:bottom w:val="single" w:sz="4" w:space="0" w:color="auto"/>
              <w:right w:val="single" w:sz="4" w:space="0" w:color="auto"/>
            </w:tcBorders>
            <w:hideMark/>
          </w:tcPr>
          <w:p w14:paraId="5256FC51" w14:textId="77777777" w:rsidR="00203F72" w:rsidRPr="00A53581" w:rsidRDefault="00203F72" w:rsidP="000E25C7">
            <w:pPr>
              <w:jc w:val="center"/>
            </w:pPr>
            <w:r w:rsidRPr="00A53581">
              <w:t>未統計</w:t>
            </w:r>
          </w:p>
        </w:tc>
      </w:tr>
      <w:tr w:rsidR="00203F72" w:rsidRPr="00A53581" w14:paraId="2681499F" w14:textId="77777777" w:rsidTr="007B2912">
        <w:tc>
          <w:tcPr>
            <w:tcW w:w="1155" w:type="dxa"/>
            <w:tcBorders>
              <w:top w:val="single" w:sz="4" w:space="0" w:color="auto"/>
              <w:left w:val="single" w:sz="4" w:space="0" w:color="auto"/>
              <w:bottom w:val="single" w:sz="4" w:space="0" w:color="auto"/>
              <w:right w:val="single" w:sz="4" w:space="0" w:color="auto"/>
            </w:tcBorders>
            <w:hideMark/>
          </w:tcPr>
          <w:p w14:paraId="0989D8F8" w14:textId="77777777" w:rsidR="00203F72" w:rsidRPr="00A53581" w:rsidRDefault="00203F72" w:rsidP="000E25C7">
            <w:pPr>
              <w:jc w:val="center"/>
            </w:pPr>
            <w:r w:rsidRPr="00A53581">
              <w:t>2011</w:t>
            </w:r>
          </w:p>
        </w:tc>
        <w:tc>
          <w:tcPr>
            <w:tcW w:w="1225" w:type="dxa"/>
            <w:tcBorders>
              <w:top w:val="single" w:sz="4" w:space="0" w:color="auto"/>
              <w:left w:val="single" w:sz="4" w:space="0" w:color="auto"/>
              <w:bottom w:val="single" w:sz="4" w:space="0" w:color="auto"/>
              <w:right w:val="single" w:sz="4" w:space="0" w:color="auto"/>
            </w:tcBorders>
            <w:hideMark/>
          </w:tcPr>
          <w:p w14:paraId="0855464A" w14:textId="77777777" w:rsidR="00203F72" w:rsidRPr="00A53581" w:rsidRDefault="00203F72" w:rsidP="000E25C7">
            <w:pPr>
              <w:jc w:val="center"/>
            </w:pPr>
            <w:r w:rsidRPr="00A53581">
              <w:t>7453</w:t>
            </w:r>
          </w:p>
        </w:tc>
        <w:tc>
          <w:tcPr>
            <w:tcW w:w="1112" w:type="dxa"/>
            <w:tcBorders>
              <w:top w:val="single" w:sz="4" w:space="0" w:color="auto"/>
              <w:left w:val="single" w:sz="4" w:space="0" w:color="auto"/>
              <w:bottom w:val="single" w:sz="4" w:space="0" w:color="auto"/>
              <w:right w:val="single" w:sz="4" w:space="0" w:color="auto"/>
            </w:tcBorders>
            <w:hideMark/>
          </w:tcPr>
          <w:p w14:paraId="4A762E18" w14:textId="77777777" w:rsidR="00203F72" w:rsidRPr="00A53581" w:rsidRDefault="00203F72" w:rsidP="000E25C7">
            <w:pPr>
              <w:jc w:val="center"/>
            </w:pPr>
            <w:r w:rsidRPr="00A53581">
              <w:t>3691</w:t>
            </w:r>
          </w:p>
        </w:tc>
        <w:tc>
          <w:tcPr>
            <w:tcW w:w="2126" w:type="dxa"/>
            <w:tcBorders>
              <w:top w:val="single" w:sz="4" w:space="0" w:color="auto"/>
              <w:left w:val="single" w:sz="4" w:space="0" w:color="auto"/>
              <w:bottom w:val="single" w:sz="4" w:space="0" w:color="auto"/>
              <w:right w:val="single" w:sz="4" w:space="0" w:color="auto"/>
            </w:tcBorders>
            <w:hideMark/>
          </w:tcPr>
          <w:p w14:paraId="32D324D0" w14:textId="77777777" w:rsidR="00203F72" w:rsidRPr="00A53581" w:rsidRDefault="00203F72" w:rsidP="000E25C7">
            <w:pPr>
              <w:jc w:val="center"/>
            </w:pPr>
            <w:r w:rsidRPr="00A53581">
              <w:t>49.5%</w:t>
            </w:r>
          </w:p>
        </w:tc>
        <w:tc>
          <w:tcPr>
            <w:tcW w:w="2462" w:type="dxa"/>
            <w:tcBorders>
              <w:top w:val="single" w:sz="4" w:space="0" w:color="auto"/>
              <w:left w:val="single" w:sz="4" w:space="0" w:color="auto"/>
              <w:bottom w:val="single" w:sz="4" w:space="0" w:color="auto"/>
              <w:right w:val="single" w:sz="4" w:space="0" w:color="auto"/>
            </w:tcBorders>
            <w:hideMark/>
          </w:tcPr>
          <w:p w14:paraId="69380E16" w14:textId="77777777" w:rsidR="00203F72" w:rsidRPr="00A53581" w:rsidRDefault="00203F72" w:rsidP="000E25C7">
            <w:pPr>
              <w:jc w:val="center"/>
            </w:pPr>
            <w:r w:rsidRPr="00A53581">
              <w:t>27086</w:t>
            </w:r>
          </w:p>
        </w:tc>
      </w:tr>
      <w:tr w:rsidR="00203F72" w:rsidRPr="00A53581" w14:paraId="37A20C78" w14:textId="77777777" w:rsidTr="007B2912">
        <w:tc>
          <w:tcPr>
            <w:tcW w:w="1155" w:type="dxa"/>
            <w:tcBorders>
              <w:top w:val="single" w:sz="4" w:space="0" w:color="auto"/>
              <w:left w:val="single" w:sz="4" w:space="0" w:color="auto"/>
              <w:bottom w:val="single" w:sz="4" w:space="0" w:color="auto"/>
              <w:right w:val="single" w:sz="4" w:space="0" w:color="auto"/>
            </w:tcBorders>
            <w:hideMark/>
          </w:tcPr>
          <w:p w14:paraId="48F21441" w14:textId="77777777" w:rsidR="00203F72" w:rsidRPr="00A53581" w:rsidRDefault="00203F72" w:rsidP="000E25C7">
            <w:pPr>
              <w:jc w:val="center"/>
            </w:pPr>
            <w:r w:rsidRPr="00A53581">
              <w:t>2012</w:t>
            </w:r>
          </w:p>
        </w:tc>
        <w:tc>
          <w:tcPr>
            <w:tcW w:w="1225" w:type="dxa"/>
            <w:tcBorders>
              <w:top w:val="single" w:sz="4" w:space="0" w:color="auto"/>
              <w:left w:val="single" w:sz="4" w:space="0" w:color="auto"/>
              <w:bottom w:val="single" w:sz="4" w:space="0" w:color="auto"/>
              <w:right w:val="single" w:sz="4" w:space="0" w:color="auto"/>
            </w:tcBorders>
            <w:hideMark/>
          </w:tcPr>
          <w:p w14:paraId="09FFE3FF" w14:textId="77777777" w:rsidR="00203F72" w:rsidRPr="00A53581" w:rsidRDefault="00203F72" w:rsidP="000E25C7">
            <w:pPr>
              <w:jc w:val="center"/>
            </w:pPr>
            <w:r w:rsidRPr="00A53581">
              <w:t>6552</w:t>
            </w:r>
          </w:p>
        </w:tc>
        <w:tc>
          <w:tcPr>
            <w:tcW w:w="1112" w:type="dxa"/>
            <w:tcBorders>
              <w:top w:val="single" w:sz="4" w:space="0" w:color="auto"/>
              <w:left w:val="single" w:sz="4" w:space="0" w:color="auto"/>
              <w:bottom w:val="single" w:sz="4" w:space="0" w:color="auto"/>
              <w:right w:val="single" w:sz="4" w:space="0" w:color="auto"/>
            </w:tcBorders>
            <w:hideMark/>
          </w:tcPr>
          <w:p w14:paraId="38DA7412" w14:textId="77777777" w:rsidR="00203F72" w:rsidRPr="00A53581" w:rsidRDefault="00203F72" w:rsidP="000E25C7">
            <w:pPr>
              <w:jc w:val="center"/>
            </w:pPr>
            <w:r w:rsidRPr="00A53581">
              <w:t>4228</w:t>
            </w:r>
          </w:p>
        </w:tc>
        <w:tc>
          <w:tcPr>
            <w:tcW w:w="2126" w:type="dxa"/>
            <w:tcBorders>
              <w:top w:val="single" w:sz="4" w:space="0" w:color="auto"/>
              <w:left w:val="single" w:sz="4" w:space="0" w:color="auto"/>
              <w:bottom w:val="single" w:sz="4" w:space="0" w:color="auto"/>
              <w:right w:val="single" w:sz="4" w:space="0" w:color="auto"/>
            </w:tcBorders>
            <w:hideMark/>
          </w:tcPr>
          <w:p w14:paraId="2FA3A67D" w14:textId="77777777" w:rsidR="00203F72" w:rsidRPr="00A53581" w:rsidRDefault="00203F72" w:rsidP="000E25C7">
            <w:pPr>
              <w:jc w:val="center"/>
            </w:pPr>
            <w:r w:rsidRPr="00A53581">
              <w:t>64.5%</w:t>
            </w:r>
          </w:p>
        </w:tc>
        <w:tc>
          <w:tcPr>
            <w:tcW w:w="2462" w:type="dxa"/>
            <w:tcBorders>
              <w:top w:val="single" w:sz="4" w:space="0" w:color="auto"/>
              <w:left w:val="single" w:sz="4" w:space="0" w:color="auto"/>
              <w:bottom w:val="single" w:sz="4" w:space="0" w:color="auto"/>
              <w:right w:val="single" w:sz="4" w:space="0" w:color="auto"/>
            </w:tcBorders>
            <w:hideMark/>
          </w:tcPr>
          <w:p w14:paraId="3436DBFB" w14:textId="77777777" w:rsidR="00203F72" w:rsidRPr="00A53581" w:rsidRDefault="00203F72" w:rsidP="000E25C7">
            <w:pPr>
              <w:jc w:val="center"/>
            </w:pPr>
            <w:r w:rsidRPr="00A53581">
              <w:t>29202</w:t>
            </w:r>
          </w:p>
        </w:tc>
      </w:tr>
      <w:tr w:rsidR="00203F72" w:rsidRPr="00A53581" w14:paraId="01A10C1E" w14:textId="77777777" w:rsidTr="007B2912">
        <w:tc>
          <w:tcPr>
            <w:tcW w:w="1155" w:type="dxa"/>
            <w:tcBorders>
              <w:top w:val="single" w:sz="4" w:space="0" w:color="auto"/>
              <w:left w:val="single" w:sz="4" w:space="0" w:color="auto"/>
              <w:bottom w:val="single" w:sz="4" w:space="0" w:color="auto"/>
              <w:right w:val="single" w:sz="4" w:space="0" w:color="auto"/>
            </w:tcBorders>
            <w:hideMark/>
          </w:tcPr>
          <w:p w14:paraId="5EC51ABA" w14:textId="77777777" w:rsidR="00203F72" w:rsidRPr="00A53581" w:rsidRDefault="00203F72" w:rsidP="000E25C7">
            <w:pPr>
              <w:jc w:val="center"/>
            </w:pPr>
            <w:r w:rsidRPr="00A53581">
              <w:t>2013</w:t>
            </w:r>
          </w:p>
        </w:tc>
        <w:tc>
          <w:tcPr>
            <w:tcW w:w="1225" w:type="dxa"/>
            <w:tcBorders>
              <w:top w:val="single" w:sz="4" w:space="0" w:color="auto"/>
              <w:left w:val="single" w:sz="4" w:space="0" w:color="auto"/>
              <w:bottom w:val="single" w:sz="4" w:space="0" w:color="auto"/>
              <w:right w:val="single" w:sz="4" w:space="0" w:color="auto"/>
            </w:tcBorders>
            <w:hideMark/>
          </w:tcPr>
          <w:p w14:paraId="4A9F482E" w14:textId="77777777" w:rsidR="00203F72" w:rsidRPr="00A53581" w:rsidRDefault="00203F72" w:rsidP="000E25C7">
            <w:pPr>
              <w:jc w:val="center"/>
            </w:pPr>
            <w:r w:rsidRPr="00A53581">
              <w:t>8261</w:t>
            </w:r>
          </w:p>
        </w:tc>
        <w:tc>
          <w:tcPr>
            <w:tcW w:w="1112" w:type="dxa"/>
            <w:tcBorders>
              <w:top w:val="single" w:sz="4" w:space="0" w:color="auto"/>
              <w:left w:val="single" w:sz="4" w:space="0" w:color="auto"/>
              <w:bottom w:val="single" w:sz="4" w:space="0" w:color="auto"/>
              <w:right w:val="single" w:sz="4" w:space="0" w:color="auto"/>
            </w:tcBorders>
            <w:hideMark/>
          </w:tcPr>
          <w:p w14:paraId="5BA0FB27" w14:textId="77777777" w:rsidR="00203F72" w:rsidRPr="00A53581" w:rsidRDefault="00203F72" w:rsidP="000E25C7">
            <w:pPr>
              <w:jc w:val="center"/>
            </w:pPr>
            <w:r w:rsidRPr="00A53581">
              <w:t>5306</w:t>
            </w:r>
          </w:p>
        </w:tc>
        <w:tc>
          <w:tcPr>
            <w:tcW w:w="2126" w:type="dxa"/>
            <w:tcBorders>
              <w:top w:val="single" w:sz="4" w:space="0" w:color="auto"/>
              <w:left w:val="single" w:sz="4" w:space="0" w:color="auto"/>
              <w:bottom w:val="single" w:sz="4" w:space="0" w:color="auto"/>
              <w:right w:val="single" w:sz="4" w:space="0" w:color="auto"/>
            </w:tcBorders>
            <w:hideMark/>
          </w:tcPr>
          <w:p w14:paraId="49CFFD54" w14:textId="77777777" w:rsidR="00203F72" w:rsidRPr="00A53581" w:rsidRDefault="00203F72" w:rsidP="000E25C7">
            <w:pPr>
              <w:jc w:val="center"/>
            </w:pPr>
            <w:r w:rsidRPr="00A53581">
              <w:t>64.2%</w:t>
            </w:r>
          </w:p>
        </w:tc>
        <w:tc>
          <w:tcPr>
            <w:tcW w:w="2462" w:type="dxa"/>
            <w:tcBorders>
              <w:top w:val="single" w:sz="4" w:space="0" w:color="auto"/>
              <w:left w:val="single" w:sz="4" w:space="0" w:color="auto"/>
              <w:bottom w:val="single" w:sz="4" w:space="0" w:color="auto"/>
              <w:right w:val="single" w:sz="4" w:space="0" w:color="auto"/>
            </w:tcBorders>
            <w:hideMark/>
          </w:tcPr>
          <w:p w14:paraId="4B366A83" w14:textId="77777777" w:rsidR="00203F72" w:rsidRPr="00A53581" w:rsidRDefault="00203F72" w:rsidP="000E25C7">
            <w:pPr>
              <w:jc w:val="center"/>
            </w:pPr>
            <w:r w:rsidRPr="00A53581">
              <w:t>34155</w:t>
            </w:r>
          </w:p>
        </w:tc>
      </w:tr>
      <w:tr w:rsidR="00203F72" w:rsidRPr="00A53581" w14:paraId="6AC05D62" w14:textId="77777777" w:rsidTr="007B2912">
        <w:tc>
          <w:tcPr>
            <w:tcW w:w="1155" w:type="dxa"/>
            <w:tcBorders>
              <w:top w:val="single" w:sz="4" w:space="0" w:color="auto"/>
              <w:left w:val="single" w:sz="4" w:space="0" w:color="auto"/>
              <w:bottom w:val="single" w:sz="4" w:space="0" w:color="auto"/>
              <w:right w:val="single" w:sz="4" w:space="0" w:color="auto"/>
            </w:tcBorders>
            <w:hideMark/>
          </w:tcPr>
          <w:p w14:paraId="1A5A9D4A" w14:textId="77777777" w:rsidR="00203F72" w:rsidRPr="00A53581" w:rsidRDefault="00203F72" w:rsidP="000E25C7">
            <w:pPr>
              <w:jc w:val="center"/>
            </w:pPr>
            <w:r w:rsidRPr="00A53581">
              <w:t>平均</w:t>
            </w:r>
          </w:p>
        </w:tc>
        <w:tc>
          <w:tcPr>
            <w:tcW w:w="1225" w:type="dxa"/>
            <w:tcBorders>
              <w:top w:val="single" w:sz="4" w:space="0" w:color="auto"/>
              <w:left w:val="single" w:sz="4" w:space="0" w:color="auto"/>
              <w:bottom w:val="single" w:sz="4" w:space="0" w:color="auto"/>
              <w:right w:val="single" w:sz="4" w:space="0" w:color="auto"/>
            </w:tcBorders>
          </w:tcPr>
          <w:p w14:paraId="2150D0D0" w14:textId="77777777" w:rsidR="00203F72" w:rsidRPr="00A53581" w:rsidRDefault="00203F72" w:rsidP="000E25C7">
            <w:pPr>
              <w:jc w:val="center"/>
            </w:pPr>
          </w:p>
        </w:tc>
        <w:tc>
          <w:tcPr>
            <w:tcW w:w="1112" w:type="dxa"/>
            <w:tcBorders>
              <w:top w:val="single" w:sz="4" w:space="0" w:color="auto"/>
              <w:left w:val="single" w:sz="4" w:space="0" w:color="auto"/>
              <w:bottom w:val="single" w:sz="4" w:space="0" w:color="auto"/>
              <w:right w:val="single" w:sz="4" w:space="0" w:color="auto"/>
            </w:tcBorders>
          </w:tcPr>
          <w:p w14:paraId="346791FE" w14:textId="77777777" w:rsidR="00203F72" w:rsidRPr="00A53581" w:rsidRDefault="00203F72" w:rsidP="000E25C7">
            <w:pPr>
              <w:jc w:val="center"/>
            </w:pPr>
          </w:p>
        </w:tc>
        <w:tc>
          <w:tcPr>
            <w:tcW w:w="2126" w:type="dxa"/>
            <w:tcBorders>
              <w:top w:val="single" w:sz="4" w:space="0" w:color="auto"/>
              <w:left w:val="single" w:sz="4" w:space="0" w:color="auto"/>
              <w:bottom w:val="single" w:sz="4" w:space="0" w:color="auto"/>
              <w:right w:val="single" w:sz="4" w:space="0" w:color="auto"/>
            </w:tcBorders>
            <w:hideMark/>
          </w:tcPr>
          <w:p w14:paraId="045897FA" w14:textId="77777777" w:rsidR="00203F72" w:rsidRPr="00A53581" w:rsidRDefault="00203F72" w:rsidP="000E25C7">
            <w:pPr>
              <w:jc w:val="center"/>
            </w:pPr>
            <w:r w:rsidRPr="00A53581">
              <w:t>60.95%</w:t>
            </w:r>
          </w:p>
        </w:tc>
        <w:tc>
          <w:tcPr>
            <w:tcW w:w="2462" w:type="dxa"/>
            <w:tcBorders>
              <w:top w:val="single" w:sz="4" w:space="0" w:color="auto"/>
              <w:left w:val="single" w:sz="4" w:space="0" w:color="auto"/>
              <w:bottom w:val="single" w:sz="4" w:space="0" w:color="auto"/>
              <w:right w:val="single" w:sz="4" w:space="0" w:color="auto"/>
            </w:tcBorders>
          </w:tcPr>
          <w:p w14:paraId="55CB13B8" w14:textId="77777777" w:rsidR="00203F72" w:rsidRPr="00A53581" w:rsidRDefault="00203F72" w:rsidP="000E25C7">
            <w:pPr>
              <w:jc w:val="center"/>
            </w:pPr>
          </w:p>
        </w:tc>
      </w:tr>
    </w:tbl>
    <w:p w14:paraId="70CB7188" w14:textId="77777777"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0" w:history="1">
        <w:r w:rsidR="00203F72" w:rsidRPr="007B2912">
          <w:rPr>
            <w:rStyle w:val="a5"/>
          </w:rPr>
          <w:t>Trafficking in Persons Report 201</w:t>
        </w:r>
      </w:hyperlink>
      <w:r w:rsidR="00203F72" w:rsidRPr="007B2912">
        <w:t xml:space="preserve">4 , retrieved 08/04, 2014, from </w:t>
      </w:r>
      <w:hyperlink r:id="rId2211" w:history="1">
        <w:r w:rsidR="00203F72" w:rsidRPr="007B2912">
          <w:rPr>
            <w:rStyle w:val="a5"/>
          </w:rPr>
          <w:t>http://www.state.gov/</w:t>
        </w:r>
      </w:hyperlink>
      <w:r w:rsidR="00203F72" w:rsidRPr="007B2912">
        <w:t>.</w:t>
      </w:r>
    </w:p>
    <w:p w14:paraId="47CF750D" w14:textId="77777777" w:rsidR="00203F72" w:rsidRPr="00A53581" w:rsidRDefault="00203F72" w:rsidP="00D87D91">
      <w:r w:rsidRPr="00A53581">
        <w:t xml:space="preserve"> </w:t>
      </w:r>
    </w:p>
    <w:p w14:paraId="7CCA5D4B" w14:textId="2B5706A3" w:rsidR="00203F72" w:rsidRPr="007B2912" w:rsidRDefault="00B03E84" w:rsidP="007B2912">
      <w:r w:rsidRPr="007B2912">
        <w:t>【</w:t>
      </w:r>
      <w:r w:rsidRPr="007B2912">
        <w:t>table</w:t>
      </w:r>
      <w:r w:rsidR="005E23E3" w:rsidRPr="007B2912">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93</w:t>
      </w:r>
      <w:r w:rsidR="00076467">
        <w:rPr>
          <w:noProof/>
        </w:rPr>
        <w:fldChar w:fldCharType="end"/>
      </w:r>
      <w:r w:rsidR="00203F72" w:rsidRPr="007B2912">
        <w:t xml:space="preserve"> </w:t>
      </w:r>
      <w:r w:rsidR="00203F72" w:rsidRPr="007B2912">
        <w:t>全球防制人口販運有關勞力剝削執法統計數據表</w:t>
      </w:r>
      <w:r w:rsidR="00203F72" w:rsidRPr="007B2912">
        <w:footnoteReference w:id="852"/>
      </w:r>
      <w:r w:rsidR="00203F72" w:rsidRPr="007B2912">
        <w:t>(</w:t>
      </w:r>
      <w:r w:rsidR="00203F72" w:rsidRPr="007B2912">
        <w:t>單位：人數</w:t>
      </w:r>
      <w:r w:rsidR="00203F72" w:rsidRPr="007B2912">
        <w:t>)</w:t>
      </w: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gridCol w:w="1980"/>
        <w:gridCol w:w="2462"/>
      </w:tblGrid>
      <w:tr w:rsidR="00203F72" w:rsidRPr="00A53581" w14:paraId="0FA4CF90" w14:textId="77777777" w:rsidTr="00515D85">
        <w:trPr>
          <w:tblHeader/>
        </w:trPr>
        <w:tc>
          <w:tcPr>
            <w:tcW w:w="1728" w:type="dxa"/>
            <w:tcBorders>
              <w:top w:val="single" w:sz="4" w:space="0" w:color="auto"/>
              <w:left w:val="single" w:sz="4" w:space="0" w:color="auto"/>
              <w:bottom w:val="single" w:sz="4" w:space="0" w:color="auto"/>
              <w:right w:val="single" w:sz="4" w:space="0" w:color="auto"/>
            </w:tcBorders>
            <w:shd w:val="clear" w:color="auto" w:fill="FAF0FA"/>
            <w:hideMark/>
          </w:tcPr>
          <w:p w14:paraId="7A6A03D3" w14:textId="77777777" w:rsidR="00203F72" w:rsidRPr="00A53581" w:rsidRDefault="00203F72" w:rsidP="007B2912">
            <w:pPr>
              <w:jc w:val="center"/>
            </w:pPr>
            <w:r w:rsidRPr="00A53581">
              <w:t>年度</w:t>
            </w:r>
          </w:p>
        </w:tc>
        <w:tc>
          <w:tcPr>
            <w:tcW w:w="2160" w:type="dxa"/>
            <w:tcBorders>
              <w:top w:val="single" w:sz="4" w:space="0" w:color="auto"/>
              <w:left w:val="single" w:sz="4" w:space="0" w:color="auto"/>
              <w:bottom w:val="single" w:sz="4" w:space="0" w:color="auto"/>
              <w:right w:val="single" w:sz="4" w:space="0" w:color="auto"/>
            </w:tcBorders>
            <w:shd w:val="clear" w:color="auto" w:fill="FAF0FA"/>
            <w:hideMark/>
          </w:tcPr>
          <w:p w14:paraId="50219FFA" w14:textId="77777777" w:rsidR="00203F72" w:rsidRPr="00A53581" w:rsidRDefault="00203F72" w:rsidP="007B2912">
            <w:pPr>
              <w:jc w:val="center"/>
            </w:pPr>
            <w:r w:rsidRPr="00A53581">
              <w:t>被起訴人數</w:t>
            </w:r>
          </w:p>
        </w:tc>
        <w:tc>
          <w:tcPr>
            <w:tcW w:w="1980" w:type="dxa"/>
            <w:tcBorders>
              <w:top w:val="single" w:sz="4" w:space="0" w:color="auto"/>
              <w:left w:val="single" w:sz="4" w:space="0" w:color="auto"/>
              <w:bottom w:val="single" w:sz="4" w:space="0" w:color="auto"/>
              <w:right w:val="single" w:sz="4" w:space="0" w:color="auto"/>
            </w:tcBorders>
            <w:shd w:val="clear" w:color="auto" w:fill="FAF0FA"/>
            <w:hideMark/>
          </w:tcPr>
          <w:p w14:paraId="35030A12" w14:textId="77777777" w:rsidR="00203F72" w:rsidRPr="00A53581" w:rsidRDefault="00203F72" w:rsidP="007B2912">
            <w:pPr>
              <w:jc w:val="center"/>
            </w:pPr>
            <w:r w:rsidRPr="00A53581">
              <w:t>被定罪人數</w:t>
            </w:r>
          </w:p>
        </w:tc>
        <w:tc>
          <w:tcPr>
            <w:tcW w:w="2462" w:type="dxa"/>
            <w:tcBorders>
              <w:top w:val="single" w:sz="4" w:space="0" w:color="auto"/>
              <w:left w:val="single" w:sz="4" w:space="0" w:color="auto"/>
              <w:bottom w:val="single" w:sz="4" w:space="0" w:color="auto"/>
              <w:right w:val="single" w:sz="4" w:space="0" w:color="auto"/>
            </w:tcBorders>
            <w:shd w:val="clear" w:color="auto" w:fill="FAF0FA"/>
            <w:hideMark/>
          </w:tcPr>
          <w:p w14:paraId="50A61C9F" w14:textId="77777777" w:rsidR="00203F72" w:rsidRPr="00A53581" w:rsidRDefault="00203F72" w:rsidP="007B2912">
            <w:pPr>
              <w:jc w:val="center"/>
            </w:pPr>
            <w:r w:rsidRPr="00A53581">
              <w:t>被辨識為被害人人數</w:t>
            </w:r>
          </w:p>
        </w:tc>
      </w:tr>
      <w:tr w:rsidR="00203F72" w:rsidRPr="00A53581" w14:paraId="03F13ADB"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40BB8BF2" w14:textId="77777777" w:rsidR="00203F72" w:rsidRPr="00A53581" w:rsidRDefault="00203F72" w:rsidP="007B2912">
            <w:pPr>
              <w:jc w:val="center"/>
            </w:pPr>
            <w:r w:rsidRPr="00A53581">
              <w:t>2006</w:t>
            </w:r>
          </w:p>
        </w:tc>
        <w:tc>
          <w:tcPr>
            <w:tcW w:w="2160" w:type="dxa"/>
            <w:tcBorders>
              <w:top w:val="single" w:sz="4" w:space="0" w:color="auto"/>
              <w:left w:val="single" w:sz="4" w:space="0" w:color="auto"/>
              <w:bottom w:val="single" w:sz="4" w:space="0" w:color="auto"/>
              <w:right w:val="single" w:sz="4" w:space="0" w:color="auto"/>
            </w:tcBorders>
            <w:hideMark/>
          </w:tcPr>
          <w:p w14:paraId="75F4AB70" w14:textId="77777777" w:rsidR="00203F72" w:rsidRPr="00A53581" w:rsidRDefault="00203F72" w:rsidP="007B2912">
            <w:pPr>
              <w:jc w:val="center"/>
            </w:pPr>
            <w:r w:rsidRPr="00A53581">
              <w:t>未統計</w:t>
            </w:r>
          </w:p>
        </w:tc>
        <w:tc>
          <w:tcPr>
            <w:tcW w:w="1980" w:type="dxa"/>
            <w:tcBorders>
              <w:top w:val="single" w:sz="4" w:space="0" w:color="auto"/>
              <w:left w:val="single" w:sz="4" w:space="0" w:color="auto"/>
              <w:bottom w:val="single" w:sz="4" w:space="0" w:color="auto"/>
              <w:right w:val="single" w:sz="4" w:space="0" w:color="auto"/>
            </w:tcBorders>
            <w:hideMark/>
          </w:tcPr>
          <w:p w14:paraId="4661D070" w14:textId="77777777" w:rsidR="00203F72" w:rsidRPr="00A53581" w:rsidRDefault="00203F72" w:rsidP="007B2912">
            <w:pPr>
              <w:jc w:val="center"/>
            </w:pPr>
            <w:r w:rsidRPr="00A53581">
              <w:t>未統計</w:t>
            </w:r>
          </w:p>
        </w:tc>
        <w:tc>
          <w:tcPr>
            <w:tcW w:w="2462" w:type="dxa"/>
            <w:tcBorders>
              <w:top w:val="single" w:sz="4" w:space="0" w:color="auto"/>
              <w:left w:val="single" w:sz="4" w:space="0" w:color="auto"/>
              <w:bottom w:val="single" w:sz="4" w:space="0" w:color="auto"/>
              <w:right w:val="single" w:sz="4" w:space="0" w:color="auto"/>
            </w:tcBorders>
            <w:hideMark/>
          </w:tcPr>
          <w:p w14:paraId="31863021" w14:textId="77777777" w:rsidR="00203F72" w:rsidRPr="00A53581" w:rsidRDefault="00203F72" w:rsidP="007B2912">
            <w:pPr>
              <w:jc w:val="center"/>
            </w:pPr>
            <w:r w:rsidRPr="00A53581">
              <w:t>未統計</w:t>
            </w:r>
          </w:p>
        </w:tc>
      </w:tr>
      <w:tr w:rsidR="00203F72" w:rsidRPr="00A53581" w14:paraId="7C86A2A2"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586BA75E" w14:textId="77777777" w:rsidR="00203F72" w:rsidRPr="00A53581" w:rsidRDefault="00203F72" w:rsidP="007B2912">
            <w:pPr>
              <w:jc w:val="center"/>
            </w:pPr>
            <w:r w:rsidRPr="00A53581">
              <w:t>2007</w:t>
            </w:r>
          </w:p>
        </w:tc>
        <w:tc>
          <w:tcPr>
            <w:tcW w:w="2160" w:type="dxa"/>
            <w:tcBorders>
              <w:top w:val="single" w:sz="4" w:space="0" w:color="auto"/>
              <w:left w:val="single" w:sz="4" w:space="0" w:color="auto"/>
              <w:bottom w:val="single" w:sz="4" w:space="0" w:color="auto"/>
              <w:right w:val="single" w:sz="4" w:space="0" w:color="auto"/>
            </w:tcBorders>
            <w:hideMark/>
          </w:tcPr>
          <w:p w14:paraId="3500A9C0" w14:textId="77777777" w:rsidR="00203F72" w:rsidRPr="00A53581" w:rsidRDefault="00203F72" w:rsidP="007B2912">
            <w:pPr>
              <w:jc w:val="center"/>
            </w:pPr>
            <w:r w:rsidRPr="00A53581">
              <w:t>490</w:t>
            </w:r>
          </w:p>
        </w:tc>
        <w:tc>
          <w:tcPr>
            <w:tcW w:w="1980" w:type="dxa"/>
            <w:tcBorders>
              <w:top w:val="single" w:sz="4" w:space="0" w:color="auto"/>
              <w:left w:val="single" w:sz="4" w:space="0" w:color="auto"/>
              <w:bottom w:val="single" w:sz="4" w:space="0" w:color="auto"/>
              <w:right w:val="single" w:sz="4" w:space="0" w:color="auto"/>
            </w:tcBorders>
            <w:hideMark/>
          </w:tcPr>
          <w:p w14:paraId="757CF41A" w14:textId="77777777" w:rsidR="00203F72" w:rsidRPr="00A53581" w:rsidRDefault="00203F72" w:rsidP="007B2912">
            <w:pPr>
              <w:jc w:val="center"/>
            </w:pPr>
            <w:r w:rsidRPr="00A53581">
              <w:t>326</w:t>
            </w:r>
          </w:p>
        </w:tc>
        <w:tc>
          <w:tcPr>
            <w:tcW w:w="2462" w:type="dxa"/>
            <w:tcBorders>
              <w:top w:val="single" w:sz="4" w:space="0" w:color="auto"/>
              <w:left w:val="single" w:sz="4" w:space="0" w:color="auto"/>
              <w:bottom w:val="single" w:sz="4" w:space="0" w:color="auto"/>
              <w:right w:val="single" w:sz="4" w:space="0" w:color="auto"/>
            </w:tcBorders>
            <w:hideMark/>
          </w:tcPr>
          <w:p w14:paraId="55AD82FA" w14:textId="77777777" w:rsidR="00203F72" w:rsidRPr="00A53581" w:rsidRDefault="00203F72" w:rsidP="007B2912">
            <w:pPr>
              <w:jc w:val="center"/>
            </w:pPr>
            <w:r w:rsidRPr="00A53581">
              <w:t>未統計</w:t>
            </w:r>
          </w:p>
        </w:tc>
      </w:tr>
      <w:tr w:rsidR="00203F72" w:rsidRPr="00A53581" w14:paraId="2208B1EE"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541A1DAE" w14:textId="77777777" w:rsidR="00203F72" w:rsidRPr="00A53581" w:rsidRDefault="00203F72" w:rsidP="007B2912">
            <w:pPr>
              <w:jc w:val="center"/>
            </w:pPr>
            <w:r w:rsidRPr="00A53581">
              <w:t>2008</w:t>
            </w:r>
          </w:p>
        </w:tc>
        <w:tc>
          <w:tcPr>
            <w:tcW w:w="2160" w:type="dxa"/>
            <w:tcBorders>
              <w:top w:val="single" w:sz="4" w:space="0" w:color="auto"/>
              <w:left w:val="single" w:sz="4" w:space="0" w:color="auto"/>
              <w:bottom w:val="single" w:sz="4" w:space="0" w:color="auto"/>
              <w:right w:val="single" w:sz="4" w:space="0" w:color="auto"/>
            </w:tcBorders>
            <w:hideMark/>
          </w:tcPr>
          <w:p w14:paraId="08F18DBB" w14:textId="77777777" w:rsidR="00203F72" w:rsidRPr="00A53581" w:rsidRDefault="00203F72" w:rsidP="007B2912">
            <w:pPr>
              <w:jc w:val="center"/>
            </w:pPr>
            <w:r w:rsidRPr="00A53581">
              <w:t>312</w:t>
            </w:r>
          </w:p>
        </w:tc>
        <w:tc>
          <w:tcPr>
            <w:tcW w:w="1980" w:type="dxa"/>
            <w:tcBorders>
              <w:top w:val="single" w:sz="4" w:space="0" w:color="auto"/>
              <w:left w:val="single" w:sz="4" w:space="0" w:color="auto"/>
              <w:bottom w:val="single" w:sz="4" w:space="0" w:color="auto"/>
              <w:right w:val="single" w:sz="4" w:space="0" w:color="auto"/>
            </w:tcBorders>
            <w:hideMark/>
          </w:tcPr>
          <w:p w14:paraId="35D6F987" w14:textId="77777777" w:rsidR="00203F72" w:rsidRPr="00A53581" w:rsidRDefault="00203F72" w:rsidP="007B2912">
            <w:pPr>
              <w:jc w:val="center"/>
            </w:pPr>
            <w:r w:rsidRPr="00A53581">
              <w:t>104</w:t>
            </w:r>
          </w:p>
        </w:tc>
        <w:tc>
          <w:tcPr>
            <w:tcW w:w="2462" w:type="dxa"/>
            <w:tcBorders>
              <w:top w:val="single" w:sz="4" w:space="0" w:color="auto"/>
              <w:left w:val="single" w:sz="4" w:space="0" w:color="auto"/>
              <w:bottom w:val="single" w:sz="4" w:space="0" w:color="auto"/>
              <w:right w:val="single" w:sz="4" w:space="0" w:color="auto"/>
            </w:tcBorders>
            <w:hideMark/>
          </w:tcPr>
          <w:p w14:paraId="132F8B89" w14:textId="77777777" w:rsidR="00203F72" w:rsidRPr="00A53581" w:rsidRDefault="00203F72" w:rsidP="007B2912">
            <w:pPr>
              <w:jc w:val="center"/>
            </w:pPr>
            <w:r w:rsidRPr="00A53581">
              <w:t>未統計</w:t>
            </w:r>
          </w:p>
        </w:tc>
      </w:tr>
      <w:tr w:rsidR="00203F72" w:rsidRPr="00A53581" w14:paraId="79B1A2B6"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429EC2EA" w14:textId="77777777" w:rsidR="00203F72" w:rsidRPr="00A53581" w:rsidRDefault="00203F72" w:rsidP="007B2912">
            <w:pPr>
              <w:jc w:val="center"/>
            </w:pPr>
            <w:r w:rsidRPr="00A53581">
              <w:t>2009</w:t>
            </w:r>
          </w:p>
        </w:tc>
        <w:tc>
          <w:tcPr>
            <w:tcW w:w="2160" w:type="dxa"/>
            <w:tcBorders>
              <w:top w:val="single" w:sz="4" w:space="0" w:color="auto"/>
              <w:left w:val="single" w:sz="4" w:space="0" w:color="auto"/>
              <w:bottom w:val="single" w:sz="4" w:space="0" w:color="auto"/>
              <w:right w:val="single" w:sz="4" w:space="0" w:color="auto"/>
            </w:tcBorders>
            <w:hideMark/>
          </w:tcPr>
          <w:p w14:paraId="5FA86179" w14:textId="77777777" w:rsidR="00203F72" w:rsidRPr="00A53581" w:rsidRDefault="00203F72" w:rsidP="007B2912">
            <w:pPr>
              <w:jc w:val="center"/>
            </w:pPr>
            <w:r w:rsidRPr="00A53581">
              <w:t>432</w:t>
            </w:r>
          </w:p>
        </w:tc>
        <w:tc>
          <w:tcPr>
            <w:tcW w:w="1980" w:type="dxa"/>
            <w:tcBorders>
              <w:top w:val="single" w:sz="4" w:space="0" w:color="auto"/>
              <w:left w:val="single" w:sz="4" w:space="0" w:color="auto"/>
              <w:bottom w:val="single" w:sz="4" w:space="0" w:color="auto"/>
              <w:right w:val="single" w:sz="4" w:space="0" w:color="auto"/>
            </w:tcBorders>
            <w:hideMark/>
          </w:tcPr>
          <w:p w14:paraId="59B05053" w14:textId="77777777" w:rsidR="00203F72" w:rsidRPr="00A53581" w:rsidRDefault="00203F72" w:rsidP="007B2912">
            <w:pPr>
              <w:jc w:val="center"/>
            </w:pPr>
            <w:r w:rsidRPr="00A53581">
              <w:t>335</w:t>
            </w:r>
          </w:p>
        </w:tc>
        <w:tc>
          <w:tcPr>
            <w:tcW w:w="2462" w:type="dxa"/>
            <w:tcBorders>
              <w:top w:val="single" w:sz="4" w:space="0" w:color="auto"/>
              <w:left w:val="single" w:sz="4" w:space="0" w:color="auto"/>
              <w:bottom w:val="single" w:sz="4" w:space="0" w:color="auto"/>
              <w:right w:val="single" w:sz="4" w:space="0" w:color="auto"/>
            </w:tcBorders>
            <w:hideMark/>
          </w:tcPr>
          <w:p w14:paraId="5C06532C" w14:textId="77777777" w:rsidR="00203F72" w:rsidRPr="00A53581" w:rsidRDefault="00203F72" w:rsidP="007B2912">
            <w:pPr>
              <w:jc w:val="center"/>
            </w:pPr>
            <w:r w:rsidRPr="00A53581">
              <w:t>未統計</w:t>
            </w:r>
          </w:p>
        </w:tc>
      </w:tr>
      <w:tr w:rsidR="00203F72" w:rsidRPr="00A53581" w14:paraId="40BE8FE6"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2EBC1741" w14:textId="77777777" w:rsidR="00203F72" w:rsidRPr="00A53581" w:rsidRDefault="00203F72" w:rsidP="007B2912">
            <w:pPr>
              <w:jc w:val="center"/>
            </w:pPr>
            <w:r w:rsidRPr="00A53581">
              <w:t>2010</w:t>
            </w:r>
          </w:p>
        </w:tc>
        <w:tc>
          <w:tcPr>
            <w:tcW w:w="2160" w:type="dxa"/>
            <w:tcBorders>
              <w:top w:val="single" w:sz="4" w:space="0" w:color="auto"/>
              <w:left w:val="single" w:sz="4" w:space="0" w:color="auto"/>
              <w:bottom w:val="single" w:sz="4" w:space="0" w:color="auto"/>
              <w:right w:val="single" w:sz="4" w:space="0" w:color="auto"/>
            </w:tcBorders>
            <w:hideMark/>
          </w:tcPr>
          <w:p w14:paraId="00D4EB43" w14:textId="77777777" w:rsidR="00203F72" w:rsidRPr="00A53581" w:rsidRDefault="00203F72" w:rsidP="007B2912">
            <w:pPr>
              <w:jc w:val="center"/>
            </w:pPr>
            <w:r w:rsidRPr="00A53581">
              <w:t>607</w:t>
            </w:r>
          </w:p>
        </w:tc>
        <w:tc>
          <w:tcPr>
            <w:tcW w:w="1980" w:type="dxa"/>
            <w:tcBorders>
              <w:top w:val="single" w:sz="4" w:space="0" w:color="auto"/>
              <w:left w:val="single" w:sz="4" w:space="0" w:color="auto"/>
              <w:bottom w:val="single" w:sz="4" w:space="0" w:color="auto"/>
              <w:right w:val="single" w:sz="4" w:space="0" w:color="auto"/>
            </w:tcBorders>
            <w:hideMark/>
          </w:tcPr>
          <w:p w14:paraId="03522A3B" w14:textId="77777777" w:rsidR="00203F72" w:rsidRPr="00A53581" w:rsidRDefault="00203F72" w:rsidP="007B2912">
            <w:pPr>
              <w:jc w:val="center"/>
            </w:pPr>
            <w:r w:rsidRPr="00A53581">
              <w:t>237</w:t>
            </w:r>
          </w:p>
        </w:tc>
        <w:tc>
          <w:tcPr>
            <w:tcW w:w="2462" w:type="dxa"/>
            <w:tcBorders>
              <w:top w:val="single" w:sz="4" w:space="0" w:color="auto"/>
              <w:left w:val="single" w:sz="4" w:space="0" w:color="auto"/>
              <w:bottom w:val="single" w:sz="4" w:space="0" w:color="auto"/>
              <w:right w:val="single" w:sz="4" w:space="0" w:color="auto"/>
            </w:tcBorders>
            <w:hideMark/>
          </w:tcPr>
          <w:p w14:paraId="022AD874" w14:textId="77777777" w:rsidR="00203F72" w:rsidRPr="00A53581" w:rsidRDefault="00203F72" w:rsidP="007B2912">
            <w:pPr>
              <w:jc w:val="center"/>
            </w:pPr>
            <w:r w:rsidRPr="00A53581">
              <w:t>未統計</w:t>
            </w:r>
          </w:p>
        </w:tc>
      </w:tr>
      <w:tr w:rsidR="00203F72" w:rsidRPr="00A53581" w14:paraId="5AE05B8A"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69A34D21" w14:textId="77777777" w:rsidR="00203F72" w:rsidRPr="00A53581" w:rsidRDefault="00203F72" w:rsidP="007B2912">
            <w:pPr>
              <w:jc w:val="center"/>
            </w:pPr>
            <w:r w:rsidRPr="00A53581">
              <w:t>2011</w:t>
            </w:r>
          </w:p>
        </w:tc>
        <w:tc>
          <w:tcPr>
            <w:tcW w:w="2160" w:type="dxa"/>
            <w:tcBorders>
              <w:top w:val="single" w:sz="4" w:space="0" w:color="auto"/>
              <w:left w:val="single" w:sz="4" w:space="0" w:color="auto"/>
              <w:bottom w:val="single" w:sz="4" w:space="0" w:color="auto"/>
              <w:right w:val="single" w:sz="4" w:space="0" w:color="auto"/>
            </w:tcBorders>
            <w:hideMark/>
          </w:tcPr>
          <w:p w14:paraId="38D2E546" w14:textId="77777777" w:rsidR="00203F72" w:rsidRPr="00A53581" w:rsidRDefault="00203F72" w:rsidP="007B2912">
            <w:pPr>
              <w:jc w:val="center"/>
            </w:pPr>
            <w:r w:rsidRPr="00A53581">
              <w:t>456</w:t>
            </w:r>
          </w:p>
        </w:tc>
        <w:tc>
          <w:tcPr>
            <w:tcW w:w="1980" w:type="dxa"/>
            <w:tcBorders>
              <w:top w:val="single" w:sz="4" w:space="0" w:color="auto"/>
              <w:left w:val="single" w:sz="4" w:space="0" w:color="auto"/>
              <w:bottom w:val="single" w:sz="4" w:space="0" w:color="auto"/>
              <w:right w:val="single" w:sz="4" w:space="0" w:color="auto"/>
            </w:tcBorders>
            <w:hideMark/>
          </w:tcPr>
          <w:p w14:paraId="0DB272B1" w14:textId="77777777" w:rsidR="00203F72" w:rsidRPr="00A53581" w:rsidRDefault="00203F72" w:rsidP="007B2912">
            <w:pPr>
              <w:jc w:val="center"/>
            </w:pPr>
            <w:r w:rsidRPr="00A53581">
              <w:t>278</w:t>
            </w:r>
          </w:p>
        </w:tc>
        <w:tc>
          <w:tcPr>
            <w:tcW w:w="2462" w:type="dxa"/>
            <w:tcBorders>
              <w:top w:val="single" w:sz="4" w:space="0" w:color="auto"/>
              <w:left w:val="single" w:sz="4" w:space="0" w:color="auto"/>
              <w:bottom w:val="single" w:sz="4" w:space="0" w:color="auto"/>
              <w:right w:val="single" w:sz="4" w:space="0" w:color="auto"/>
            </w:tcBorders>
            <w:hideMark/>
          </w:tcPr>
          <w:p w14:paraId="11E6B5FD" w14:textId="77777777" w:rsidR="00203F72" w:rsidRPr="00A53581" w:rsidRDefault="00203F72" w:rsidP="007B2912">
            <w:pPr>
              <w:jc w:val="center"/>
            </w:pPr>
            <w:r w:rsidRPr="00A53581">
              <w:t>15205</w:t>
            </w:r>
          </w:p>
        </w:tc>
      </w:tr>
      <w:tr w:rsidR="00203F72" w:rsidRPr="00A53581" w14:paraId="3DC6861A"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6C24928C" w14:textId="77777777" w:rsidR="00203F72" w:rsidRPr="00A53581" w:rsidRDefault="00203F72" w:rsidP="007B2912">
            <w:pPr>
              <w:jc w:val="center"/>
            </w:pPr>
            <w:r w:rsidRPr="00A53581">
              <w:t>2012</w:t>
            </w:r>
          </w:p>
        </w:tc>
        <w:tc>
          <w:tcPr>
            <w:tcW w:w="2160" w:type="dxa"/>
            <w:tcBorders>
              <w:top w:val="single" w:sz="4" w:space="0" w:color="auto"/>
              <w:left w:val="single" w:sz="4" w:space="0" w:color="auto"/>
              <w:bottom w:val="single" w:sz="4" w:space="0" w:color="auto"/>
              <w:right w:val="single" w:sz="4" w:space="0" w:color="auto"/>
            </w:tcBorders>
            <w:hideMark/>
          </w:tcPr>
          <w:p w14:paraId="521707C2" w14:textId="77777777" w:rsidR="00203F72" w:rsidRPr="00A53581" w:rsidRDefault="00203F72" w:rsidP="007B2912">
            <w:pPr>
              <w:jc w:val="center"/>
            </w:pPr>
            <w:r w:rsidRPr="00A53581">
              <w:t>1153</w:t>
            </w:r>
          </w:p>
        </w:tc>
        <w:tc>
          <w:tcPr>
            <w:tcW w:w="1980" w:type="dxa"/>
            <w:tcBorders>
              <w:top w:val="single" w:sz="4" w:space="0" w:color="auto"/>
              <w:left w:val="single" w:sz="4" w:space="0" w:color="auto"/>
              <w:bottom w:val="single" w:sz="4" w:space="0" w:color="auto"/>
              <w:right w:val="single" w:sz="4" w:space="0" w:color="auto"/>
            </w:tcBorders>
            <w:hideMark/>
          </w:tcPr>
          <w:p w14:paraId="589183E7" w14:textId="77777777" w:rsidR="00203F72" w:rsidRPr="00A53581" w:rsidRDefault="00203F72" w:rsidP="007B2912">
            <w:pPr>
              <w:jc w:val="center"/>
            </w:pPr>
            <w:r w:rsidRPr="00A53581">
              <w:t>518</w:t>
            </w:r>
          </w:p>
        </w:tc>
        <w:tc>
          <w:tcPr>
            <w:tcW w:w="2462" w:type="dxa"/>
            <w:tcBorders>
              <w:top w:val="single" w:sz="4" w:space="0" w:color="auto"/>
              <w:left w:val="single" w:sz="4" w:space="0" w:color="auto"/>
              <w:bottom w:val="single" w:sz="4" w:space="0" w:color="auto"/>
              <w:right w:val="single" w:sz="4" w:space="0" w:color="auto"/>
            </w:tcBorders>
            <w:hideMark/>
          </w:tcPr>
          <w:p w14:paraId="617E1A5F" w14:textId="77777777" w:rsidR="00203F72" w:rsidRPr="00A53581" w:rsidRDefault="00203F72" w:rsidP="007B2912">
            <w:pPr>
              <w:jc w:val="center"/>
            </w:pPr>
            <w:r w:rsidRPr="00A53581">
              <w:t>17368</w:t>
            </w:r>
          </w:p>
        </w:tc>
      </w:tr>
      <w:tr w:rsidR="00203F72" w:rsidRPr="00A53581" w14:paraId="658030DF"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04137A40" w14:textId="77777777" w:rsidR="00203F72" w:rsidRPr="00A53581" w:rsidRDefault="00203F72" w:rsidP="007B2912">
            <w:pPr>
              <w:jc w:val="center"/>
            </w:pPr>
            <w:r w:rsidRPr="00A53581">
              <w:t>2013</w:t>
            </w:r>
          </w:p>
        </w:tc>
        <w:tc>
          <w:tcPr>
            <w:tcW w:w="2160" w:type="dxa"/>
            <w:tcBorders>
              <w:top w:val="single" w:sz="4" w:space="0" w:color="auto"/>
              <w:left w:val="single" w:sz="4" w:space="0" w:color="auto"/>
              <w:bottom w:val="single" w:sz="4" w:space="0" w:color="auto"/>
              <w:right w:val="single" w:sz="4" w:space="0" w:color="auto"/>
            </w:tcBorders>
            <w:hideMark/>
          </w:tcPr>
          <w:p w14:paraId="7A45A4D1" w14:textId="77777777" w:rsidR="00203F72" w:rsidRPr="00A53581" w:rsidRDefault="00203F72" w:rsidP="007B2912">
            <w:pPr>
              <w:jc w:val="center"/>
            </w:pPr>
            <w:r w:rsidRPr="00A53581">
              <w:t>1199</w:t>
            </w:r>
          </w:p>
        </w:tc>
        <w:tc>
          <w:tcPr>
            <w:tcW w:w="1980" w:type="dxa"/>
            <w:tcBorders>
              <w:top w:val="single" w:sz="4" w:space="0" w:color="auto"/>
              <w:left w:val="single" w:sz="4" w:space="0" w:color="auto"/>
              <w:bottom w:val="single" w:sz="4" w:space="0" w:color="auto"/>
              <w:right w:val="single" w:sz="4" w:space="0" w:color="auto"/>
            </w:tcBorders>
            <w:hideMark/>
          </w:tcPr>
          <w:p w14:paraId="5CD0CF46" w14:textId="77777777" w:rsidR="00203F72" w:rsidRPr="00A53581" w:rsidRDefault="00203F72" w:rsidP="007B2912">
            <w:pPr>
              <w:jc w:val="center"/>
            </w:pPr>
            <w:r w:rsidRPr="00A53581">
              <w:t>470</w:t>
            </w:r>
          </w:p>
        </w:tc>
        <w:tc>
          <w:tcPr>
            <w:tcW w:w="2462" w:type="dxa"/>
            <w:tcBorders>
              <w:top w:val="single" w:sz="4" w:space="0" w:color="auto"/>
              <w:left w:val="single" w:sz="4" w:space="0" w:color="auto"/>
              <w:bottom w:val="single" w:sz="4" w:space="0" w:color="auto"/>
              <w:right w:val="single" w:sz="4" w:space="0" w:color="auto"/>
            </w:tcBorders>
            <w:hideMark/>
          </w:tcPr>
          <w:p w14:paraId="51AC9941" w14:textId="77777777" w:rsidR="00203F72" w:rsidRPr="00A53581" w:rsidRDefault="00203F72" w:rsidP="007B2912">
            <w:pPr>
              <w:jc w:val="center"/>
            </w:pPr>
            <w:r w:rsidRPr="00A53581">
              <w:t>10603</w:t>
            </w:r>
          </w:p>
        </w:tc>
      </w:tr>
    </w:tbl>
    <w:p w14:paraId="01DFC830" w14:textId="77777777"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2" w:history="1">
        <w:r w:rsidR="00203F72" w:rsidRPr="007B2912">
          <w:rPr>
            <w:rStyle w:val="a5"/>
          </w:rPr>
          <w:t>Trafficking in Persons Report 201</w:t>
        </w:r>
      </w:hyperlink>
      <w:r w:rsidR="00203F72" w:rsidRPr="007B2912">
        <w:t xml:space="preserve">4 , retrieved 08/04, 2014, from </w:t>
      </w:r>
      <w:hyperlink r:id="rId2213" w:history="1">
        <w:r w:rsidR="00203F72" w:rsidRPr="007B2912">
          <w:rPr>
            <w:rStyle w:val="a5"/>
          </w:rPr>
          <w:t>http://www.state.gov/</w:t>
        </w:r>
      </w:hyperlink>
      <w:r w:rsidR="00203F72" w:rsidRPr="007B2912">
        <w:t>.</w:t>
      </w:r>
    </w:p>
    <w:p w14:paraId="010F7F81" w14:textId="77777777" w:rsidR="00203F72" w:rsidRPr="00A53581" w:rsidRDefault="00203F72" w:rsidP="00D87D91"/>
    <w:p w14:paraId="4A9B35D5" w14:textId="6FD48DFF"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94</w:t>
      </w:r>
      <w:r w:rsidR="00076467">
        <w:rPr>
          <w:noProof/>
        </w:rPr>
        <w:fldChar w:fldCharType="end"/>
      </w:r>
      <w:r w:rsidR="00203F72" w:rsidRPr="00A53581">
        <w:t xml:space="preserve"> </w:t>
      </w:r>
      <w:r w:rsidR="00203F72" w:rsidRPr="00A53581">
        <w:t>東亞及太平洋地區防制人口販運有關性剝削執法統計數據表</w:t>
      </w:r>
      <w:r w:rsidR="00203F72" w:rsidRPr="00A53581">
        <w:rPr>
          <w:rStyle w:val="af3"/>
          <w:rFonts w:ascii="新細明體" w:hAnsi="新細明體"/>
          <w:szCs w:val="22"/>
        </w:rPr>
        <w:footnoteReference w:id="853"/>
      </w:r>
      <w:r w:rsidR="00203F72" w:rsidRPr="00A53581">
        <w:t>(</w:t>
      </w:r>
      <w:r w:rsidR="00203F72" w:rsidRPr="00A53581">
        <w:t>單位：人數</w:t>
      </w:r>
      <w:r w:rsidR="00203F72" w:rsidRPr="00A53581">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260"/>
        <w:gridCol w:w="1440"/>
        <w:gridCol w:w="1800"/>
        <w:gridCol w:w="2385"/>
      </w:tblGrid>
      <w:tr w:rsidR="00203F72" w:rsidRPr="00A53581" w14:paraId="267A01A0" w14:textId="77777777" w:rsidTr="00515D85">
        <w:trPr>
          <w:tblHeader/>
        </w:trPr>
        <w:tc>
          <w:tcPr>
            <w:tcW w:w="1728" w:type="dxa"/>
            <w:tcBorders>
              <w:top w:val="single" w:sz="4" w:space="0" w:color="auto"/>
              <w:left w:val="single" w:sz="4" w:space="0" w:color="auto"/>
              <w:bottom w:val="single" w:sz="4" w:space="0" w:color="auto"/>
              <w:right w:val="single" w:sz="4" w:space="0" w:color="auto"/>
            </w:tcBorders>
            <w:shd w:val="clear" w:color="auto" w:fill="FAF0FA"/>
            <w:hideMark/>
          </w:tcPr>
          <w:p w14:paraId="3F6CFF2B" w14:textId="77777777" w:rsidR="00203F72" w:rsidRPr="00A53581" w:rsidRDefault="00203F72" w:rsidP="000E25C7">
            <w:pPr>
              <w:jc w:val="center"/>
            </w:pPr>
            <w:r w:rsidRPr="00A53581">
              <w:t>年度</w:t>
            </w:r>
          </w:p>
        </w:tc>
        <w:tc>
          <w:tcPr>
            <w:tcW w:w="1260" w:type="dxa"/>
            <w:tcBorders>
              <w:top w:val="single" w:sz="4" w:space="0" w:color="auto"/>
              <w:left w:val="single" w:sz="4" w:space="0" w:color="auto"/>
              <w:bottom w:val="single" w:sz="4" w:space="0" w:color="auto"/>
              <w:right w:val="single" w:sz="4" w:space="0" w:color="auto"/>
            </w:tcBorders>
            <w:shd w:val="clear" w:color="auto" w:fill="FAF0FA"/>
            <w:hideMark/>
          </w:tcPr>
          <w:p w14:paraId="5385F6B4" w14:textId="77777777" w:rsidR="00203F72" w:rsidRPr="00A53581" w:rsidRDefault="00203F72" w:rsidP="000E25C7">
            <w:pPr>
              <w:jc w:val="center"/>
            </w:pPr>
            <w:r w:rsidRPr="00A53581">
              <w:t>被起訴人數</w:t>
            </w:r>
          </w:p>
        </w:tc>
        <w:tc>
          <w:tcPr>
            <w:tcW w:w="1440" w:type="dxa"/>
            <w:tcBorders>
              <w:top w:val="single" w:sz="4" w:space="0" w:color="auto"/>
              <w:left w:val="single" w:sz="4" w:space="0" w:color="auto"/>
              <w:bottom w:val="single" w:sz="4" w:space="0" w:color="auto"/>
              <w:right w:val="single" w:sz="4" w:space="0" w:color="auto"/>
            </w:tcBorders>
            <w:shd w:val="clear" w:color="auto" w:fill="FAF0FA"/>
            <w:hideMark/>
          </w:tcPr>
          <w:p w14:paraId="55562850" w14:textId="77777777" w:rsidR="00203F72" w:rsidRPr="00A53581" w:rsidRDefault="00203F72" w:rsidP="000E25C7">
            <w:pPr>
              <w:jc w:val="center"/>
            </w:pPr>
            <w:r w:rsidRPr="00A53581">
              <w:t>被定罪人數</w:t>
            </w:r>
          </w:p>
        </w:tc>
        <w:tc>
          <w:tcPr>
            <w:tcW w:w="1800" w:type="dxa"/>
            <w:tcBorders>
              <w:top w:val="single" w:sz="4" w:space="0" w:color="auto"/>
              <w:left w:val="single" w:sz="4" w:space="0" w:color="auto"/>
              <w:bottom w:val="single" w:sz="4" w:space="0" w:color="auto"/>
              <w:right w:val="single" w:sz="4" w:space="0" w:color="auto"/>
            </w:tcBorders>
            <w:shd w:val="clear" w:color="auto" w:fill="FAF0FA"/>
            <w:hideMark/>
          </w:tcPr>
          <w:p w14:paraId="6555657E" w14:textId="77777777" w:rsidR="00203F72" w:rsidRPr="00A53581" w:rsidRDefault="00203F72" w:rsidP="000E25C7">
            <w:pPr>
              <w:jc w:val="center"/>
            </w:pPr>
            <w:r w:rsidRPr="00A53581">
              <w:t>被定罪人數</w:t>
            </w:r>
            <w:r w:rsidRPr="00A53581">
              <w:t>/</w:t>
            </w:r>
            <w:r w:rsidRPr="00A53581">
              <w:t>被起訴人數之百分比率</w:t>
            </w:r>
          </w:p>
        </w:tc>
        <w:tc>
          <w:tcPr>
            <w:tcW w:w="2385" w:type="dxa"/>
            <w:tcBorders>
              <w:top w:val="single" w:sz="4" w:space="0" w:color="auto"/>
              <w:left w:val="single" w:sz="4" w:space="0" w:color="auto"/>
              <w:bottom w:val="single" w:sz="4" w:space="0" w:color="auto"/>
              <w:right w:val="single" w:sz="4" w:space="0" w:color="auto"/>
            </w:tcBorders>
            <w:shd w:val="clear" w:color="auto" w:fill="FAF0FA"/>
            <w:hideMark/>
          </w:tcPr>
          <w:p w14:paraId="18238A36" w14:textId="77777777" w:rsidR="00203F72" w:rsidRPr="00A53581" w:rsidRDefault="00203F72" w:rsidP="000E25C7">
            <w:pPr>
              <w:jc w:val="center"/>
            </w:pPr>
            <w:r w:rsidRPr="00A53581">
              <w:t>被辨識為被害人人數</w:t>
            </w:r>
          </w:p>
        </w:tc>
      </w:tr>
      <w:tr w:rsidR="00203F72" w:rsidRPr="00A53581" w14:paraId="64992DB1"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319D1FF5" w14:textId="77777777" w:rsidR="00203F72" w:rsidRPr="00A53581" w:rsidRDefault="00203F72" w:rsidP="000E25C7">
            <w:pPr>
              <w:jc w:val="center"/>
            </w:pPr>
            <w:r w:rsidRPr="00A53581">
              <w:t>2007</w:t>
            </w:r>
          </w:p>
        </w:tc>
        <w:tc>
          <w:tcPr>
            <w:tcW w:w="1260" w:type="dxa"/>
            <w:tcBorders>
              <w:top w:val="single" w:sz="4" w:space="0" w:color="auto"/>
              <w:left w:val="single" w:sz="4" w:space="0" w:color="auto"/>
              <w:bottom w:val="single" w:sz="4" w:space="0" w:color="auto"/>
              <w:right w:val="single" w:sz="4" w:space="0" w:color="auto"/>
            </w:tcBorders>
            <w:hideMark/>
          </w:tcPr>
          <w:p w14:paraId="73DFC2C2" w14:textId="77777777" w:rsidR="00203F72" w:rsidRPr="00A53581" w:rsidRDefault="00203F72" w:rsidP="000E25C7">
            <w:pPr>
              <w:jc w:val="center"/>
            </w:pPr>
            <w:r w:rsidRPr="00A53581">
              <w:t>1040</w:t>
            </w:r>
          </w:p>
        </w:tc>
        <w:tc>
          <w:tcPr>
            <w:tcW w:w="1440" w:type="dxa"/>
            <w:tcBorders>
              <w:top w:val="single" w:sz="4" w:space="0" w:color="auto"/>
              <w:left w:val="single" w:sz="4" w:space="0" w:color="auto"/>
              <w:bottom w:val="single" w:sz="4" w:space="0" w:color="auto"/>
              <w:right w:val="single" w:sz="4" w:space="0" w:color="auto"/>
            </w:tcBorders>
            <w:hideMark/>
          </w:tcPr>
          <w:p w14:paraId="6A3F74A0" w14:textId="77777777" w:rsidR="00203F72" w:rsidRPr="00A53581" w:rsidRDefault="00203F72" w:rsidP="000E25C7">
            <w:pPr>
              <w:jc w:val="center"/>
            </w:pPr>
            <w:r w:rsidRPr="00A53581">
              <w:t>644</w:t>
            </w:r>
          </w:p>
        </w:tc>
        <w:tc>
          <w:tcPr>
            <w:tcW w:w="1800" w:type="dxa"/>
            <w:tcBorders>
              <w:top w:val="single" w:sz="4" w:space="0" w:color="auto"/>
              <w:left w:val="single" w:sz="4" w:space="0" w:color="auto"/>
              <w:bottom w:val="single" w:sz="4" w:space="0" w:color="auto"/>
              <w:right w:val="single" w:sz="4" w:space="0" w:color="auto"/>
            </w:tcBorders>
            <w:hideMark/>
          </w:tcPr>
          <w:p w14:paraId="1F6A0A8C" w14:textId="77777777" w:rsidR="00203F72" w:rsidRPr="00A53581" w:rsidRDefault="00203F72" w:rsidP="000E25C7">
            <w:pPr>
              <w:jc w:val="center"/>
            </w:pPr>
            <w:r w:rsidRPr="00A53581">
              <w:t>61.9%</w:t>
            </w:r>
          </w:p>
        </w:tc>
        <w:tc>
          <w:tcPr>
            <w:tcW w:w="2385" w:type="dxa"/>
            <w:tcBorders>
              <w:top w:val="single" w:sz="4" w:space="0" w:color="auto"/>
              <w:left w:val="single" w:sz="4" w:space="0" w:color="auto"/>
              <w:bottom w:val="single" w:sz="4" w:space="0" w:color="auto"/>
              <w:right w:val="single" w:sz="4" w:space="0" w:color="auto"/>
            </w:tcBorders>
            <w:hideMark/>
          </w:tcPr>
          <w:p w14:paraId="42237054" w14:textId="77777777" w:rsidR="00203F72" w:rsidRPr="00A53581" w:rsidRDefault="00203F72" w:rsidP="000E25C7">
            <w:pPr>
              <w:jc w:val="center"/>
            </w:pPr>
            <w:r w:rsidRPr="00A53581">
              <w:t>未統計</w:t>
            </w:r>
          </w:p>
        </w:tc>
      </w:tr>
      <w:tr w:rsidR="00203F72" w:rsidRPr="00A53581" w14:paraId="2D529069"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637ABDB5" w14:textId="77777777" w:rsidR="00203F72" w:rsidRPr="00A53581" w:rsidRDefault="00203F72" w:rsidP="000E25C7">
            <w:pPr>
              <w:jc w:val="center"/>
            </w:pPr>
            <w:r w:rsidRPr="00A53581">
              <w:t>2008</w:t>
            </w:r>
          </w:p>
        </w:tc>
        <w:tc>
          <w:tcPr>
            <w:tcW w:w="1260" w:type="dxa"/>
            <w:tcBorders>
              <w:top w:val="single" w:sz="4" w:space="0" w:color="auto"/>
              <w:left w:val="single" w:sz="4" w:space="0" w:color="auto"/>
              <w:bottom w:val="single" w:sz="4" w:space="0" w:color="auto"/>
              <w:right w:val="single" w:sz="4" w:space="0" w:color="auto"/>
            </w:tcBorders>
            <w:hideMark/>
          </w:tcPr>
          <w:p w14:paraId="76CCC3DC" w14:textId="77777777" w:rsidR="00203F72" w:rsidRPr="00A53581" w:rsidRDefault="00203F72" w:rsidP="000E25C7">
            <w:pPr>
              <w:jc w:val="center"/>
            </w:pPr>
            <w:r w:rsidRPr="00A53581">
              <w:t>977</w:t>
            </w:r>
          </w:p>
        </w:tc>
        <w:tc>
          <w:tcPr>
            <w:tcW w:w="1440" w:type="dxa"/>
            <w:tcBorders>
              <w:top w:val="single" w:sz="4" w:space="0" w:color="auto"/>
              <w:left w:val="single" w:sz="4" w:space="0" w:color="auto"/>
              <w:bottom w:val="single" w:sz="4" w:space="0" w:color="auto"/>
              <w:right w:val="single" w:sz="4" w:space="0" w:color="auto"/>
            </w:tcBorders>
            <w:hideMark/>
          </w:tcPr>
          <w:p w14:paraId="2882B979" w14:textId="77777777" w:rsidR="00203F72" w:rsidRPr="00A53581" w:rsidRDefault="00203F72" w:rsidP="000E25C7">
            <w:pPr>
              <w:jc w:val="center"/>
            </w:pPr>
            <w:r w:rsidRPr="00A53581">
              <w:t>608</w:t>
            </w:r>
          </w:p>
        </w:tc>
        <w:tc>
          <w:tcPr>
            <w:tcW w:w="1800" w:type="dxa"/>
            <w:tcBorders>
              <w:top w:val="single" w:sz="4" w:space="0" w:color="auto"/>
              <w:left w:val="single" w:sz="4" w:space="0" w:color="auto"/>
              <w:bottom w:val="single" w:sz="4" w:space="0" w:color="auto"/>
              <w:right w:val="single" w:sz="4" w:space="0" w:color="auto"/>
            </w:tcBorders>
            <w:hideMark/>
          </w:tcPr>
          <w:p w14:paraId="3A1215D3" w14:textId="77777777" w:rsidR="00203F72" w:rsidRPr="00A53581" w:rsidRDefault="00203F72" w:rsidP="000E25C7">
            <w:pPr>
              <w:jc w:val="center"/>
            </w:pPr>
            <w:r w:rsidRPr="00A53581">
              <w:t>62.2%</w:t>
            </w:r>
          </w:p>
        </w:tc>
        <w:tc>
          <w:tcPr>
            <w:tcW w:w="2385" w:type="dxa"/>
            <w:tcBorders>
              <w:top w:val="single" w:sz="4" w:space="0" w:color="auto"/>
              <w:left w:val="single" w:sz="4" w:space="0" w:color="auto"/>
              <w:bottom w:val="single" w:sz="4" w:space="0" w:color="auto"/>
              <w:right w:val="single" w:sz="4" w:space="0" w:color="auto"/>
            </w:tcBorders>
            <w:hideMark/>
          </w:tcPr>
          <w:p w14:paraId="62DC0256" w14:textId="77777777" w:rsidR="00203F72" w:rsidRPr="00A53581" w:rsidRDefault="00203F72" w:rsidP="000E25C7">
            <w:pPr>
              <w:jc w:val="center"/>
            </w:pPr>
            <w:r w:rsidRPr="00A53581">
              <w:t>未統計</w:t>
            </w:r>
          </w:p>
        </w:tc>
      </w:tr>
      <w:tr w:rsidR="00203F72" w:rsidRPr="00A53581" w14:paraId="34F06D81"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537AC696" w14:textId="77777777" w:rsidR="00203F72" w:rsidRPr="00A53581" w:rsidRDefault="00203F72" w:rsidP="000E25C7">
            <w:pPr>
              <w:jc w:val="center"/>
            </w:pPr>
            <w:r w:rsidRPr="00A53581">
              <w:t>2009</w:t>
            </w:r>
          </w:p>
        </w:tc>
        <w:tc>
          <w:tcPr>
            <w:tcW w:w="1260" w:type="dxa"/>
            <w:tcBorders>
              <w:top w:val="single" w:sz="4" w:space="0" w:color="auto"/>
              <w:left w:val="single" w:sz="4" w:space="0" w:color="auto"/>
              <w:bottom w:val="single" w:sz="4" w:space="0" w:color="auto"/>
              <w:right w:val="single" w:sz="4" w:space="0" w:color="auto"/>
            </w:tcBorders>
            <w:hideMark/>
          </w:tcPr>
          <w:p w14:paraId="28215C68" w14:textId="77777777" w:rsidR="00203F72" w:rsidRPr="00A53581" w:rsidRDefault="00203F72" w:rsidP="000E25C7">
            <w:pPr>
              <w:jc w:val="center"/>
            </w:pPr>
            <w:r w:rsidRPr="00A53581">
              <w:t>244</w:t>
            </w:r>
          </w:p>
        </w:tc>
        <w:tc>
          <w:tcPr>
            <w:tcW w:w="1440" w:type="dxa"/>
            <w:tcBorders>
              <w:top w:val="single" w:sz="4" w:space="0" w:color="auto"/>
              <w:left w:val="single" w:sz="4" w:space="0" w:color="auto"/>
              <w:bottom w:val="single" w:sz="4" w:space="0" w:color="auto"/>
              <w:right w:val="single" w:sz="4" w:space="0" w:color="auto"/>
            </w:tcBorders>
            <w:hideMark/>
          </w:tcPr>
          <w:p w14:paraId="22E2DB8C" w14:textId="77777777" w:rsidR="00203F72" w:rsidRPr="00A53581" w:rsidRDefault="00203F72" w:rsidP="000E25C7">
            <w:pPr>
              <w:jc w:val="center"/>
            </w:pPr>
            <w:r w:rsidRPr="00A53581">
              <w:t>184</w:t>
            </w:r>
          </w:p>
        </w:tc>
        <w:tc>
          <w:tcPr>
            <w:tcW w:w="1800" w:type="dxa"/>
            <w:tcBorders>
              <w:top w:val="single" w:sz="4" w:space="0" w:color="auto"/>
              <w:left w:val="single" w:sz="4" w:space="0" w:color="auto"/>
              <w:bottom w:val="single" w:sz="4" w:space="0" w:color="auto"/>
              <w:right w:val="single" w:sz="4" w:space="0" w:color="auto"/>
            </w:tcBorders>
            <w:hideMark/>
          </w:tcPr>
          <w:p w14:paraId="740D548F" w14:textId="77777777" w:rsidR="00203F72" w:rsidRPr="00A53581" w:rsidRDefault="00203F72" w:rsidP="000E25C7">
            <w:pPr>
              <w:jc w:val="center"/>
            </w:pPr>
            <w:r w:rsidRPr="00A53581">
              <w:t>75.4%</w:t>
            </w:r>
          </w:p>
        </w:tc>
        <w:tc>
          <w:tcPr>
            <w:tcW w:w="2385" w:type="dxa"/>
            <w:tcBorders>
              <w:top w:val="single" w:sz="4" w:space="0" w:color="auto"/>
              <w:left w:val="single" w:sz="4" w:space="0" w:color="auto"/>
              <w:bottom w:val="single" w:sz="4" w:space="0" w:color="auto"/>
              <w:right w:val="single" w:sz="4" w:space="0" w:color="auto"/>
            </w:tcBorders>
            <w:hideMark/>
          </w:tcPr>
          <w:p w14:paraId="3E71F5D3" w14:textId="77777777" w:rsidR="00203F72" w:rsidRPr="00A53581" w:rsidRDefault="00203F72" w:rsidP="000E25C7">
            <w:pPr>
              <w:jc w:val="center"/>
            </w:pPr>
            <w:r w:rsidRPr="00A53581">
              <w:t>未統計</w:t>
            </w:r>
          </w:p>
        </w:tc>
      </w:tr>
      <w:tr w:rsidR="00203F72" w:rsidRPr="00A53581" w14:paraId="53832CD6"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06A5BD24" w14:textId="77777777" w:rsidR="00203F72" w:rsidRPr="00A53581" w:rsidRDefault="00203F72" w:rsidP="000E25C7">
            <w:pPr>
              <w:jc w:val="center"/>
            </w:pPr>
            <w:r w:rsidRPr="00A53581">
              <w:t>2010</w:t>
            </w:r>
          </w:p>
        </w:tc>
        <w:tc>
          <w:tcPr>
            <w:tcW w:w="1260" w:type="dxa"/>
            <w:tcBorders>
              <w:top w:val="single" w:sz="4" w:space="0" w:color="auto"/>
              <w:left w:val="single" w:sz="4" w:space="0" w:color="auto"/>
              <w:bottom w:val="single" w:sz="4" w:space="0" w:color="auto"/>
              <w:right w:val="single" w:sz="4" w:space="0" w:color="auto"/>
            </w:tcBorders>
            <w:hideMark/>
          </w:tcPr>
          <w:p w14:paraId="1F55C84D" w14:textId="77777777" w:rsidR="00203F72" w:rsidRPr="00A53581" w:rsidRDefault="00203F72" w:rsidP="000E25C7">
            <w:pPr>
              <w:jc w:val="center"/>
            </w:pPr>
            <w:r w:rsidRPr="00A53581">
              <w:t>374</w:t>
            </w:r>
          </w:p>
        </w:tc>
        <w:tc>
          <w:tcPr>
            <w:tcW w:w="1440" w:type="dxa"/>
            <w:tcBorders>
              <w:top w:val="single" w:sz="4" w:space="0" w:color="auto"/>
              <w:left w:val="single" w:sz="4" w:space="0" w:color="auto"/>
              <w:bottom w:val="single" w:sz="4" w:space="0" w:color="auto"/>
              <w:right w:val="single" w:sz="4" w:space="0" w:color="auto"/>
            </w:tcBorders>
            <w:hideMark/>
          </w:tcPr>
          <w:p w14:paraId="38F1EA9F" w14:textId="77777777" w:rsidR="00203F72" w:rsidRPr="00A53581" w:rsidRDefault="00203F72" w:rsidP="000E25C7">
            <w:pPr>
              <w:jc w:val="center"/>
            </w:pPr>
            <w:r w:rsidRPr="00A53581">
              <w:t>168</w:t>
            </w:r>
          </w:p>
        </w:tc>
        <w:tc>
          <w:tcPr>
            <w:tcW w:w="1800" w:type="dxa"/>
            <w:tcBorders>
              <w:top w:val="single" w:sz="4" w:space="0" w:color="auto"/>
              <w:left w:val="single" w:sz="4" w:space="0" w:color="auto"/>
              <w:bottom w:val="single" w:sz="4" w:space="0" w:color="auto"/>
              <w:right w:val="single" w:sz="4" w:space="0" w:color="auto"/>
            </w:tcBorders>
            <w:hideMark/>
          </w:tcPr>
          <w:p w14:paraId="33C29587" w14:textId="77777777" w:rsidR="00203F72" w:rsidRPr="00A53581" w:rsidRDefault="00203F72" w:rsidP="000E25C7">
            <w:pPr>
              <w:jc w:val="center"/>
            </w:pPr>
            <w:r w:rsidRPr="00A53581">
              <w:t>44.9%</w:t>
            </w:r>
          </w:p>
        </w:tc>
        <w:tc>
          <w:tcPr>
            <w:tcW w:w="2385" w:type="dxa"/>
            <w:tcBorders>
              <w:top w:val="single" w:sz="4" w:space="0" w:color="auto"/>
              <w:left w:val="single" w:sz="4" w:space="0" w:color="auto"/>
              <w:bottom w:val="single" w:sz="4" w:space="0" w:color="auto"/>
              <w:right w:val="single" w:sz="4" w:space="0" w:color="auto"/>
            </w:tcBorders>
            <w:hideMark/>
          </w:tcPr>
          <w:p w14:paraId="4AEF259F" w14:textId="77777777" w:rsidR="00203F72" w:rsidRPr="00A53581" w:rsidRDefault="00203F72" w:rsidP="000E25C7">
            <w:pPr>
              <w:jc w:val="center"/>
            </w:pPr>
            <w:r w:rsidRPr="00A53581">
              <w:t>未統計</w:t>
            </w:r>
          </w:p>
        </w:tc>
      </w:tr>
      <w:tr w:rsidR="00203F72" w:rsidRPr="00A53581" w14:paraId="53E6C2A1"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6A5BF30B" w14:textId="77777777" w:rsidR="00203F72" w:rsidRPr="00A53581" w:rsidRDefault="00203F72" w:rsidP="000E25C7">
            <w:pPr>
              <w:jc w:val="center"/>
            </w:pPr>
            <w:r w:rsidRPr="00A53581">
              <w:t>2011</w:t>
            </w:r>
          </w:p>
        </w:tc>
        <w:tc>
          <w:tcPr>
            <w:tcW w:w="1260" w:type="dxa"/>
            <w:tcBorders>
              <w:top w:val="single" w:sz="4" w:space="0" w:color="auto"/>
              <w:left w:val="single" w:sz="4" w:space="0" w:color="auto"/>
              <w:bottom w:val="single" w:sz="4" w:space="0" w:color="auto"/>
              <w:right w:val="single" w:sz="4" w:space="0" w:color="auto"/>
            </w:tcBorders>
            <w:hideMark/>
          </w:tcPr>
          <w:p w14:paraId="6487DD03" w14:textId="77777777" w:rsidR="00203F72" w:rsidRPr="00A53581" w:rsidRDefault="00203F72" w:rsidP="000E25C7">
            <w:pPr>
              <w:jc w:val="center"/>
            </w:pPr>
            <w:r w:rsidRPr="00A53581">
              <w:t>2072</w:t>
            </w:r>
          </w:p>
        </w:tc>
        <w:tc>
          <w:tcPr>
            <w:tcW w:w="1440" w:type="dxa"/>
            <w:tcBorders>
              <w:top w:val="single" w:sz="4" w:space="0" w:color="auto"/>
              <w:left w:val="single" w:sz="4" w:space="0" w:color="auto"/>
              <w:bottom w:val="single" w:sz="4" w:space="0" w:color="auto"/>
              <w:right w:val="single" w:sz="4" w:space="0" w:color="auto"/>
            </w:tcBorders>
            <w:hideMark/>
          </w:tcPr>
          <w:p w14:paraId="4B36AB22" w14:textId="77777777" w:rsidR="00203F72" w:rsidRPr="00A53581" w:rsidRDefault="00203F72" w:rsidP="000E25C7">
            <w:pPr>
              <w:jc w:val="center"/>
            </w:pPr>
            <w:r w:rsidRPr="00A53581">
              <w:t>923</w:t>
            </w:r>
          </w:p>
        </w:tc>
        <w:tc>
          <w:tcPr>
            <w:tcW w:w="1800" w:type="dxa"/>
            <w:tcBorders>
              <w:top w:val="single" w:sz="4" w:space="0" w:color="auto"/>
              <w:left w:val="single" w:sz="4" w:space="0" w:color="auto"/>
              <w:bottom w:val="single" w:sz="4" w:space="0" w:color="auto"/>
              <w:right w:val="single" w:sz="4" w:space="0" w:color="auto"/>
            </w:tcBorders>
            <w:hideMark/>
          </w:tcPr>
          <w:p w14:paraId="0B501889" w14:textId="77777777" w:rsidR="00203F72" w:rsidRPr="00A53581" w:rsidRDefault="00203F72" w:rsidP="000E25C7">
            <w:pPr>
              <w:jc w:val="center"/>
            </w:pPr>
            <w:r w:rsidRPr="00A53581">
              <w:t>44.5%</w:t>
            </w:r>
          </w:p>
        </w:tc>
        <w:tc>
          <w:tcPr>
            <w:tcW w:w="2385" w:type="dxa"/>
            <w:tcBorders>
              <w:top w:val="single" w:sz="4" w:space="0" w:color="auto"/>
              <w:left w:val="single" w:sz="4" w:space="0" w:color="auto"/>
              <w:bottom w:val="single" w:sz="4" w:space="0" w:color="auto"/>
              <w:right w:val="single" w:sz="4" w:space="0" w:color="auto"/>
            </w:tcBorders>
            <w:hideMark/>
          </w:tcPr>
          <w:p w14:paraId="1ACA09CD" w14:textId="77777777" w:rsidR="00203F72" w:rsidRPr="00A53581" w:rsidRDefault="00203F72" w:rsidP="000E25C7">
            <w:pPr>
              <w:jc w:val="center"/>
            </w:pPr>
            <w:r w:rsidRPr="00A53581">
              <w:t>5345</w:t>
            </w:r>
          </w:p>
        </w:tc>
      </w:tr>
      <w:tr w:rsidR="00203F72" w:rsidRPr="00A53581" w14:paraId="5682C45F"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56C58D6D" w14:textId="77777777" w:rsidR="00203F72" w:rsidRPr="00A53581" w:rsidRDefault="00203F72" w:rsidP="000E25C7">
            <w:pPr>
              <w:jc w:val="center"/>
            </w:pPr>
            <w:r w:rsidRPr="00A53581">
              <w:t>2012</w:t>
            </w:r>
          </w:p>
        </w:tc>
        <w:tc>
          <w:tcPr>
            <w:tcW w:w="1260" w:type="dxa"/>
            <w:tcBorders>
              <w:top w:val="single" w:sz="4" w:space="0" w:color="auto"/>
              <w:left w:val="single" w:sz="4" w:space="0" w:color="auto"/>
              <w:bottom w:val="single" w:sz="4" w:space="0" w:color="auto"/>
              <w:right w:val="single" w:sz="4" w:space="0" w:color="auto"/>
            </w:tcBorders>
            <w:hideMark/>
          </w:tcPr>
          <w:p w14:paraId="73CF80DC" w14:textId="77777777" w:rsidR="00203F72" w:rsidRPr="00A53581" w:rsidRDefault="00203F72" w:rsidP="000E25C7">
            <w:pPr>
              <w:jc w:val="center"/>
            </w:pPr>
            <w:r w:rsidRPr="00A53581">
              <w:t>1567</w:t>
            </w:r>
          </w:p>
        </w:tc>
        <w:tc>
          <w:tcPr>
            <w:tcW w:w="1440" w:type="dxa"/>
            <w:tcBorders>
              <w:top w:val="single" w:sz="4" w:space="0" w:color="auto"/>
              <w:left w:val="single" w:sz="4" w:space="0" w:color="auto"/>
              <w:bottom w:val="single" w:sz="4" w:space="0" w:color="auto"/>
              <w:right w:val="single" w:sz="4" w:space="0" w:color="auto"/>
            </w:tcBorders>
            <w:hideMark/>
          </w:tcPr>
          <w:p w14:paraId="7A8F7832" w14:textId="77777777" w:rsidR="00203F72" w:rsidRPr="00A53581" w:rsidRDefault="00203F72" w:rsidP="000E25C7">
            <w:pPr>
              <w:jc w:val="center"/>
            </w:pPr>
            <w:r w:rsidRPr="00A53581">
              <w:t>1148</w:t>
            </w:r>
          </w:p>
        </w:tc>
        <w:tc>
          <w:tcPr>
            <w:tcW w:w="1800" w:type="dxa"/>
            <w:tcBorders>
              <w:top w:val="single" w:sz="4" w:space="0" w:color="auto"/>
              <w:left w:val="single" w:sz="4" w:space="0" w:color="auto"/>
              <w:bottom w:val="single" w:sz="4" w:space="0" w:color="auto"/>
              <w:right w:val="single" w:sz="4" w:space="0" w:color="auto"/>
            </w:tcBorders>
            <w:hideMark/>
          </w:tcPr>
          <w:p w14:paraId="6D03152A" w14:textId="77777777" w:rsidR="00203F72" w:rsidRPr="00A53581" w:rsidRDefault="00203F72" w:rsidP="000E25C7">
            <w:pPr>
              <w:jc w:val="center"/>
            </w:pPr>
            <w:r w:rsidRPr="00A53581">
              <w:t>73.3%</w:t>
            </w:r>
          </w:p>
        </w:tc>
        <w:tc>
          <w:tcPr>
            <w:tcW w:w="2385" w:type="dxa"/>
            <w:tcBorders>
              <w:top w:val="single" w:sz="4" w:space="0" w:color="auto"/>
              <w:left w:val="single" w:sz="4" w:space="0" w:color="auto"/>
              <w:bottom w:val="single" w:sz="4" w:space="0" w:color="auto"/>
              <w:right w:val="single" w:sz="4" w:space="0" w:color="auto"/>
            </w:tcBorders>
            <w:hideMark/>
          </w:tcPr>
          <w:p w14:paraId="2A4FE7F7" w14:textId="77777777" w:rsidR="00203F72" w:rsidRPr="00A53581" w:rsidRDefault="00203F72" w:rsidP="000E25C7">
            <w:pPr>
              <w:jc w:val="center"/>
            </w:pPr>
            <w:r w:rsidRPr="00A53581">
              <w:t>6717</w:t>
            </w:r>
          </w:p>
        </w:tc>
      </w:tr>
      <w:tr w:rsidR="00203F72" w:rsidRPr="00A53581" w14:paraId="042B8623"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71B461F3" w14:textId="77777777" w:rsidR="00203F72" w:rsidRPr="00A53581" w:rsidRDefault="00203F72" w:rsidP="000E25C7">
            <w:pPr>
              <w:jc w:val="center"/>
            </w:pPr>
            <w:r w:rsidRPr="00A53581">
              <w:t>2013</w:t>
            </w:r>
          </w:p>
        </w:tc>
        <w:tc>
          <w:tcPr>
            <w:tcW w:w="1260" w:type="dxa"/>
            <w:tcBorders>
              <w:top w:val="single" w:sz="4" w:space="0" w:color="auto"/>
              <w:left w:val="single" w:sz="4" w:space="0" w:color="auto"/>
              <w:bottom w:val="single" w:sz="4" w:space="0" w:color="auto"/>
              <w:right w:val="single" w:sz="4" w:space="0" w:color="auto"/>
            </w:tcBorders>
            <w:hideMark/>
          </w:tcPr>
          <w:p w14:paraId="301EA7A1" w14:textId="77777777" w:rsidR="00203F72" w:rsidRPr="00A53581" w:rsidRDefault="00203F72" w:rsidP="000E25C7">
            <w:pPr>
              <w:jc w:val="center"/>
            </w:pPr>
            <w:r w:rsidRPr="00A53581">
              <w:t>2272</w:t>
            </w:r>
          </w:p>
        </w:tc>
        <w:tc>
          <w:tcPr>
            <w:tcW w:w="1440" w:type="dxa"/>
            <w:tcBorders>
              <w:top w:val="single" w:sz="4" w:space="0" w:color="auto"/>
              <w:left w:val="single" w:sz="4" w:space="0" w:color="auto"/>
              <w:bottom w:val="single" w:sz="4" w:space="0" w:color="auto"/>
              <w:right w:val="single" w:sz="4" w:space="0" w:color="auto"/>
            </w:tcBorders>
            <w:hideMark/>
          </w:tcPr>
          <w:p w14:paraId="2311AB2C" w14:textId="77777777" w:rsidR="00203F72" w:rsidRPr="00A53581" w:rsidRDefault="00203F72" w:rsidP="000E25C7">
            <w:pPr>
              <w:jc w:val="center"/>
            </w:pPr>
            <w:r w:rsidRPr="00A53581">
              <w:t>1232</w:t>
            </w:r>
          </w:p>
        </w:tc>
        <w:tc>
          <w:tcPr>
            <w:tcW w:w="1800" w:type="dxa"/>
            <w:tcBorders>
              <w:top w:val="single" w:sz="4" w:space="0" w:color="auto"/>
              <w:left w:val="single" w:sz="4" w:space="0" w:color="auto"/>
              <w:bottom w:val="single" w:sz="4" w:space="0" w:color="auto"/>
              <w:right w:val="single" w:sz="4" w:space="0" w:color="auto"/>
            </w:tcBorders>
            <w:hideMark/>
          </w:tcPr>
          <w:p w14:paraId="77E08F19" w14:textId="77777777" w:rsidR="00203F72" w:rsidRPr="00A53581" w:rsidRDefault="00203F72" w:rsidP="000E25C7">
            <w:pPr>
              <w:jc w:val="center"/>
            </w:pPr>
            <w:r w:rsidRPr="00A53581">
              <w:t>54.2%</w:t>
            </w:r>
          </w:p>
        </w:tc>
        <w:tc>
          <w:tcPr>
            <w:tcW w:w="2385" w:type="dxa"/>
            <w:tcBorders>
              <w:top w:val="single" w:sz="4" w:space="0" w:color="auto"/>
              <w:left w:val="single" w:sz="4" w:space="0" w:color="auto"/>
              <w:bottom w:val="single" w:sz="4" w:space="0" w:color="auto"/>
              <w:right w:val="single" w:sz="4" w:space="0" w:color="auto"/>
            </w:tcBorders>
            <w:hideMark/>
          </w:tcPr>
          <w:p w14:paraId="7CDEA34C" w14:textId="77777777" w:rsidR="00203F72" w:rsidRPr="00A53581" w:rsidRDefault="00203F72" w:rsidP="000E25C7">
            <w:pPr>
              <w:jc w:val="center"/>
            </w:pPr>
            <w:r w:rsidRPr="00A53581">
              <w:t>6809</w:t>
            </w:r>
          </w:p>
        </w:tc>
      </w:tr>
      <w:tr w:rsidR="00203F72" w:rsidRPr="00A53581" w14:paraId="343BA8BA"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14C59302" w14:textId="77777777" w:rsidR="00203F72" w:rsidRPr="00A53581" w:rsidRDefault="00203F72" w:rsidP="000E25C7">
            <w:pPr>
              <w:jc w:val="center"/>
            </w:pPr>
            <w:r w:rsidRPr="00A53581">
              <w:t>總平均</w:t>
            </w:r>
          </w:p>
        </w:tc>
        <w:tc>
          <w:tcPr>
            <w:tcW w:w="1260" w:type="dxa"/>
            <w:tcBorders>
              <w:top w:val="single" w:sz="4" w:space="0" w:color="auto"/>
              <w:left w:val="single" w:sz="4" w:space="0" w:color="auto"/>
              <w:bottom w:val="single" w:sz="4" w:space="0" w:color="auto"/>
              <w:right w:val="single" w:sz="4" w:space="0" w:color="auto"/>
            </w:tcBorders>
          </w:tcPr>
          <w:p w14:paraId="7AA5603B" w14:textId="77777777" w:rsidR="00203F72" w:rsidRPr="00A53581" w:rsidRDefault="00203F72" w:rsidP="000E25C7">
            <w:pPr>
              <w:jc w:val="center"/>
            </w:pPr>
          </w:p>
        </w:tc>
        <w:tc>
          <w:tcPr>
            <w:tcW w:w="1440" w:type="dxa"/>
            <w:tcBorders>
              <w:top w:val="single" w:sz="4" w:space="0" w:color="auto"/>
              <w:left w:val="single" w:sz="4" w:space="0" w:color="auto"/>
              <w:bottom w:val="single" w:sz="4" w:space="0" w:color="auto"/>
              <w:right w:val="single" w:sz="4" w:space="0" w:color="auto"/>
            </w:tcBorders>
          </w:tcPr>
          <w:p w14:paraId="3569B397" w14:textId="77777777" w:rsidR="00203F72" w:rsidRPr="00A53581" w:rsidRDefault="00203F72" w:rsidP="000E25C7">
            <w:pPr>
              <w:jc w:val="center"/>
            </w:pPr>
          </w:p>
        </w:tc>
        <w:tc>
          <w:tcPr>
            <w:tcW w:w="1800" w:type="dxa"/>
            <w:tcBorders>
              <w:top w:val="single" w:sz="4" w:space="0" w:color="auto"/>
              <w:left w:val="single" w:sz="4" w:space="0" w:color="auto"/>
              <w:bottom w:val="single" w:sz="4" w:space="0" w:color="auto"/>
              <w:right w:val="single" w:sz="4" w:space="0" w:color="auto"/>
            </w:tcBorders>
            <w:hideMark/>
          </w:tcPr>
          <w:p w14:paraId="331B80F2" w14:textId="77777777" w:rsidR="00203F72" w:rsidRPr="00A53581" w:rsidRDefault="00203F72" w:rsidP="000E25C7">
            <w:pPr>
              <w:jc w:val="center"/>
            </w:pPr>
            <w:r w:rsidRPr="00A53581">
              <w:t>59.5%</w:t>
            </w:r>
          </w:p>
        </w:tc>
        <w:tc>
          <w:tcPr>
            <w:tcW w:w="2385" w:type="dxa"/>
            <w:tcBorders>
              <w:top w:val="single" w:sz="4" w:space="0" w:color="auto"/>
              <w:left w:val="single" w:sz="4" w:space="0" w:color="auto"/>
              <w:bottom w:val="single" w:sz="4" w:space="0" w:color="auto"/>
              <w:right w:val="single" w:sz="4" w:space="0" w:color="auto"/>
            </w:tcBorders>
          </w:tcPr>
          <w:p w14:paraId="412E9CA1" w14:textId="77777777" w:rsidR="00203F72" w:rsidRPr="00A53581" w:rsidRDefault="00203F72" w:rsidP="000E25C7">
            <w:pPr>
              <w:jc w:val="center"/>
            </w:pPr>
          </w:p>
        </w:tc>
      </w:tr>
    </w:tbl>
    <w:p w14:paraId="6FC4B20C" w14:textId="77777777"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4" w:history="1">
        <w:r w:rsidR="00203F72" w:rsidRPr="007B2912">
          <w:rPr>
            <w:rStyle w:val="a5"/>
          </w:rPr>
          <w:t>Trafficking in Persons Report 201</w:t>
        </w:r>
      </w:hyperlink>
      <w:r w:rsidR="00203F72" w:rsidRPr="007B2912">
        <w:t xml:space="preserve">4 , retrieved 08/04, 2014, from </w:t>
      </w:r>
      <w:hyperlink r:id="rId2215" w:history="1">
        <w:r w:rsidR="00203F72" w:rsidRPr="007B2912">
          <w:rPr>
            <w:rStyle w:val="a5"/>
          </w:rPr>
          <w:t>http://www.state.gov/</w:t>
        </w:r>
      </w:hyperlink>
      <w:r w:rsidR="00203F72" w:rsidRPr="007B2912">
        <w:t>.</w:t>
      </w:r>
    </w:p>
    <w:p w14:paraId="67EF6553" w14:textId="77777777" w:rsidR="007B2912" w:rsidRDefault="007B2912" w:rsidP="00D87D91">
      <w:pPr>
        <w:pStyle w:val="aff4"/>
      </w:pPr>
    </w:p>
    <w:p w14:paraId="660F21CD" w14:textId="50787F18"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95</w:t>
      </w:r>
      <w:r w:rsidR="00076467">
        <w:rPr>
          <w:noProof/>
        </w:rPr>
        <w:fldChar w:fldCharType="end"/>
      </w:r>
      <w:r w:rsidR="00203F72" w:rsidRPr="00A53581">
        <w:t>東亞及太平洋地區防制人口販運有關勞力剝削執法統計數據表</w:t>
      </w:r>
      <w:r w:rsidR="00203F72" w:rsidRPr="00A53581">
        <w:rPr>
          <w:rStyle w:val="af3"/>
          <w:rFonts w:ascii="新細明體" w:hAnsi="新細明體"/>
          <w:szCs w:val="22"/>
        </w:rPr>
        <w:footnoteReference w:id="854"/>
      </w:r>
      <w:r w:rsidR="00203F72" w:rsidRPr="00A53581">
        <w:t>(</w:t>
      </w:r>
      <w:r w:rsidR="00203F72" w:rsidRPr="00A53581">
        <w:t>單位：人數</w:t>
      </w:r>
      <w:r w:rsidR="00203F72" w:rsidRPr="00A53581">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gridCol w:w="1980"/>
        <w:gridCol w:w="2745"/>
      </w:tblGrid>
      <w:tr w:rsidR="00203F72" w:rsidRPr="00A53581" w14:paraId="5D62A5BA" w14:textId="77777777" w:rsidTr="00515D85">
        <w:trPr>
          <w:tblHeader/>
        </w:trPr>
        <w:tc>
          <w:tcPr>
            <w:tcW w:w="1728" w:type="dxa"/>
            <w:tcBorders>
              <w:top w:val="single" w:sz="4" w:space="0" w:color="auto"/>
              <w:left w:val="single" w:sz="4" w:space="0" w:color="auto"/>
              <w:bottom w:val="single" w:sz="4" w:space="0" w:color="auto"/>
              <w:right w:val="single" w:sz="4" w:space="0" w:color="auto"/>
            </w:tcBorders>
            <w:shd w:val="clear" w:color="auto" w:fill="FAF0FA"/>
            <w:hideMark/>
          </w:tcPr>
          <w:p w14:paraId="6D90B0F4" w14:textId="77777777" w:rsidR="00203F72" w:rsidRPr="00A53581" w:rsidRDefault="00203F72" w:rsidP="000E25C7">
            <w:pPr>
              <w:jc w:val="center"/>
            </w:pPr>
            <w:r w:rsidRPr="00A53581">
              <w:t>年度</w:t>
            </w:r>
          </w:p>
        </w:tc>
        <w:tc>
          <w:tcPr>
            <w:tcW w:w="2160" w:type="dxa"/>
            <w:tcBorders>
              <w:top w:val="single" w:sz="4" w:space="0" w:color="auto"/>
              <w:left w:val="single" w:sz="4" w:space="0" w:color="auto"/>
              <w:bottom w:val="single" w:sz="4" w:space="0" w:color="auto"/>
              <w:right w:val="single" w:sz="4" w:space="0" w:color="auto"/>
            </w:tcBorders>
            <w:shd w:val="clear" w:color="auto" w:fill="FAF0FA"/>
            <w:hideMark/>
          </w:tcPr>
          <w:p w14:paraId="62E167AA" w14:textId="77777777" w:rsidR="00203F72" w:rsidRPr="00A53581" w:rsidRDefault="00203F72" w:rsidP="000E25C7">
            <w:pPr>
              <w:jc w:val="center"/>
            </w:pPr>
            <w:r w:rsidRPr="00A53581">
              <w:t>被起訴人數</w:t>
            </w:r>
          </w:p>
        </w:tc>
        <w:tc>
          <w:tcPr>
            <w:tcW w:w="1980" w:type="dxa"/>
            <w:tcBorders>
              <w:top w:val="single" w:sz="4" w:space="0" w:color="auto"/>
              <w:left w:val="single" w:sz="4" w:space="0" w:color="auto"/>
              <w:bottom w:val="single" w:sz="4" w:space="0" w:color="auto"/>
              <w:right w:val="single" w:sz="4" w:space="0" w:color="auto"/>
            </w:tcBorders>
            <w:shd w:val="clear" w:color="auto" w:fill="FAF0FA"/>
            <w:hideMark/>
          </w:tcPr>
          <w:p w14:paraId="7C52DBAA" w14:textId="77777777" w:rsidR="00203F72" w:rsidRPr="00A53581" w:rsidRDefault="00203F72" w:rsidP="000E25C7">
            <w:pPr>
              <w:jc w:val="center"/>
            </w:pPr>
            <w:r w:rsidRPr="00A53581">
              <w:t>被定罪人數</w:t>
            </w:r>
          </w:p>
        </w:tc>
        <w:tc>
          <w:tcPr>
            <w:tcW w:w="2745" w:type="dxa"/>
            <w:tcBorders>
              <w:top w:val="single" w:sz="4" w:space="0" w:color="auto"/>
              <w:left w:val="single" w:sz="4" w:space="0" w:color="auto"/>
              <w:bottom w:val="single" w:sz="4" w:space="0" w:color="auto"/>
              <w:right w:val="single" w:sz="4" w:space="0" w:color="auto"/>
            </w:tcBorders>
            <w:shd w:val="clear" w:color="auto" w:fill="FAF0FA"/>
            <w:hideMark/>
          </w:tcPr>
          <w:p w14:paraId="11C21314" w14:textId="77777777" w:rsidR="00203F72" w:rsidRPr="00A53581" w:rsidRDefault="00203F72" w:rsidP="000E25C7">
            <w:pPr>
              <w:jc w:val="center"/>
            </w:pPr>
            <w:r w:rsidRPr="00A53581">
              <w:t>被辨識為被害人人數</w:t>
            </w:r>
          </w:p>
        </w:tc>
      </w:tr>
      <w:tr w:rsidR="00203F72" w:rsidRPr="00A53581" w14:paraId="3799A2EF"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2C7CCB01" w14:textId="77777777" w:rsidR="00203F72" w:rsidRPr="00A53581" w:rsidRDefault="00203F72" w:rsidP="000E25C7">
            <w:pPr>
              <w:jc w:val="center"/>
            </w:pPr>
            <w:r w:rsidRPr="00A53581">
              <w:t>2007</w:t>
            </w:r>
          </w:p>
        </w:tc>
        <w:tc>
          <w:tcPr>
            <w:tcW w:w="2160" w:type="dxa"/>
            <w:tcBorders>
              <w:top w:val="single" w:sz="4" w:space="0" w:color="auto"/>
              <w:left w:val="single" w:sz="4" w:space="0" w:color="auto"/>
              <w:bottom w:val="single" w:sz="4" w:space="0" w:color="auto"/>
              <w:right w:val="single" w:sz="4" w:space="0" w:color="auto"/>
            </w:tcBorders>
            <w:hideMark/>
          </w:tcPr>
          <w:p w14:paraId="4A84B78F" w14:textId="77777777" w:rsidR="00203F72" w:rsidRPr="00A53581" w:rsidRDefault="00203F72" w:rsidP="007B2912">
            <w:pPr>
              <w:jc w:val="center"/>
            </w:pPr>
            <w:r w:rsidRPr="00A53581">
              <w:t>7</w:t>
            </w:r>
          </w:p>
        </w:tc>
        <w:tc>
          <w:tcPr>
            <w:tcW w:w="1980" w:type="dxa"/>
            <w:tcBorders>
              <w:top w:val="single" w:sz="4" w:space="0" w:color="auto"/>
              <w:left w:val="single" w:sz="4" w:space="0" w:color="auto"/>
              <w:bottom w:val="single" w:sz="4" w:space="0" w:color="auto"/>
              <w:right w:val="single" w:sz="4" w:space="0" w:color="auto"/>
            </w:tcBorders>
            <w:hideMark/>
          </w:tcPr>
          <w:p w14:paraId="6082CCC1" w14:textId="77777777" w:rsidR="00203F72" w:rsidRPr="00A53581" w:rsidRDefault="00203F72" w:rsidP="007B2912">
            <w:pPr>
              <w:jc w:val="center"/>
            </w:pPr>
            <w:r w:rsidRPr="00A53581">
              <w:t>7</w:t>
            </w:r>
          </w:p>
        </w:tc>
        <w:tc>
          <w:tcPr>
            <w:tcW w:w="2745" w:type="dxa"/>
            <w:tcBorders>
              <w:top w:val="single" w:sz="4" w:space="0" w:color="auto"/>
              <w:left w:val="single" w:sz="4" w:space="0" w:color="auto"/>
              <w:bottom w:val="single" w:sz="4" w:space="0" w:color="auto"/>
              <w:right w:val="single" w:sz="4" w:space="0" w:color="auto"/>
            </w:tcBorders>
            <w:hideMark/>
          </w:tcPr>
          <w:p w14:paraId="14F5DFDB" w14:textId="77777777" w:rsidR="00203F72" w:rsidRPr="00A53581" w:rsidRDefault="00203F72" w:rsidP="007B2912">
            <w:pPr>
              <w:jc w:val="center"/>
            </w:pPr>
            <w:r w:rsidRPr="00A53581">
              <w:t>未統計</w:t>
            </w:r>
          </w:p>
        </w:tc>
      </w:tr>
      <w:tr w:rsidR="00203F72" w:rsidRPr="00A53581" w14:paraId="5CEB54BF"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1C0C8484" w14:textId="77777777" w:rsidR="00203F72" w:rsidRPr="00A53581" w:rsidRDefault="00203F72" w:rsidP="000E25C7">
            <w:pPr>
              <w:jc w:val="center"/>
            </w:pPr>
            <w:r w:rsidRPr="00A53581">
              <w:t>2008</w:t>
            </w:r>
          </w:p>
        </w:tc>
        <w:tc>
          <w:tcPr>
            <w:tcW w:w="2160" w:type="dxa"/>
            <w:tcBorders>
              <w:top w:val="single" w:sz="4" w:space="0" w:color="auto"/>
              <w:left w:val="single" w:sz="4" w:space="0" w:color="auto"/>
              <w:bottom w:val="single" w:sz="4" w:space="0" w:color="auto"/>
              <w:right w:val="single" w:sz="4" w:space="0" w:color="auto"/>
            </w:tcBorders>
            <w:hideMark/>
          </w:tcPr>
          <w:p w14:paraId="27447FB1" w14:textId="77777777" w:rsidR="00203F72" w:rsidRPr="00A53581" w:rsidRDefault="00203F72" w:rsidP="007B2912">
            <w:pPr>
              <w:jc w:val="center"/>
            </w:pPr>
            <w:r w:rsidRPr="00A53581">
              <w:t>106</w:t>
            </w:r>
          </w:p>
        </w:tc>
        <w:tc>
          <w:tcPr>
            <w:tcW w:w="1980" w:type="dxa"/>
            <w:tcBorders>
              <w:top w:val="single" w:sz="4" w:space="0" w:color="auto"/>
              <w:left w:val="single" w:sz="4" w:space="0" w:color="auto"/>
              <w:bottom w:val="single" w:sz="4" w:space="0" w:color="auto"/>
              <w:right w:val="single" w:sz="4" w:space="0" w:color="auto"/>
            </w:tcBorders>
            <w:hideMark/>
          </w:tcPr>
          <w:p w14:paraId="09E36493" w14:textId="77777777" w:rsidR="00203F72" w:rsidRPr="00A53581" w:rsidRDefault="00203F72" w:rsidP="007B2912">
            <w:pPr>
              <w:jc w:val="center"/>
            </w:pPr>
            <w:r w:rsidRPr="00A53581">
              <w:t>35</w:t>
            </w:r>
          </w:p>
        </w:tc>
        <w:tc>
          <w:tcPr>
            <w:tcW w:w="2745" w:type="dxa"/>
            <w:tcBorders>
              <w:top w:val="single" w:sz="4" w:space="0" w:color="auto"/>
              <w:left w:val="single" w:sz="4" w:space="0" w:color="auto"/>
              <w:bottom w:val="single" w:sz="4" w:space="0" w:color="auto"/>
              <w:right w:val="single" w:sz="4" w:space="0" w:color="auto"/>
            </w:tcBorders>
            <w:hideMark/>
          </w:tcPr>
          <w:p w14:paraId="73960283" w14:textId="77777777" w:rsidR="00203F72" w:rsidRPr="00A53581" w:rsidRDefault="00203F72" w:rsidP="007B2912">
            <w:pPr>
              <w:jc w:val="center"/>
            </w:pPr>
            <w:r w:rsidRPr="00A53581">
              <w:t>未統計</w:t>
            </w:r>
          </w:p>
        </w:tc>
      </w:tr>
      <w:tr w:rsidR="00203F72" w:rsidRPr="00A53581" w14:paraId="1AB7612F"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4B1F18A6" w14:textId="77777777" w:rsidR="00203F72" w:rsidRPr="00A53581" w:rsidRDefault="00203F72" w:rsidP="000E25C7">
            <w:pPr>
              <w:jc w:val="center"/>
            </w:pPr>
            <w:r w:rsidRPr="00A53581">
              <w:t>2009</w:t>
            </w:r>
          </w:p>
        </w:tc>
        <w:tc>
          <w:tcPr>
            <w:tcW w:w="2160" w:type="dxa"/>
            <w:tcBorders>
              <w:top w:val="single" w:sz="4" w:space="0" w:color="auto"/>
              <w:left w:val="single" w:sz="4" w:space="0" w:color="auto"/>
              <w:bottom w:val="single" w:sz="4" w:space="0" w:color="auto"/>
              <w:right w:val="single" w:sz="4" w:space="0" w:color="auto"/>
            </w:tcBorders>
            <w:hideMark/>
          </w:tcPr>
          <w:p w14:paraId="03017C6A" w14:textId="77777777" w:rsidR="00203F72" w:rsidRPr="00A53581" w:rsidRDefault="00203F72" w:rsidP="007B2912">
            <w:pPr>
              <w:jc w:val="center"/>
            </w:pPr>
            <w:r w:rsidRPr="00A53581">
              <w:t>113</w:t>
            </w:r>
          </w:p>
        </w:tc>
        <w:tc>
          <w:tcPr>
            <w:tcW w:w="1980" w:type="dxa"/>
            <w:tcBorders>
              <w:top w:val="single" w:sz="4" w:space="0" w:color="auto"/>
              <w:left w:val="single" w:sz="4" w:space="0" w:color="auto"/>
              <w:bottom w:val="single" w:sz="4" w:space="0" w:color="auto"/>
              <w:right w:val="single" w:sz="4" w:space="0" w:color="auto"/>
            </w:tcBorders>
            <w:hideMark/>
          </w:tcPr>
          <w:p w14:paraId="6B0E9565" w14:textId="77777777" w:rsidR="00203F72" w:rsidRPr="00A53581" w:rsidRDefault="00203F72" w:rsidP="007B2912">
            <w:pPr>
              <w:jc w:val="center"/>
            </w:pPr>
            <w:r w:rsidRPr="00A53581">
              <w:t>72</w:t>
            </w:r>
          </w:p>
        </w:tc>
        <w:tc>
          <w:tcPr>
            <w:tcW w:w="2745" w:type="dxa"/>
            <w:tcBorders>
              <w:top w:val="single" w:sz="4" w:space="0" w:color="auto"/>
              <w:left w:val="single" w:sz="4" w:space="0" w:color="auto"/>
              <w:bottom w:val="single" w:sz="4" w:space="0" w:color="auto"/>
              <w:right w:val="single" w:sz="4" w:space="0" w:color="auto"/>
            </w:tcBorders>
            <w:hideMark/>
          </w:tcPr>
          <w:p w14:paraId="298627F3" w14:textId="77777777" w:rsidR="00203F72" w:rsidRPr="00A53581" w:rsidRDefault="00203F72" w:rsidP="007B2912">
            <w:pPr>
              <w:jc w:val="center"/>
            </w:pPr>
            <w:r w:rsidRPr="00A53581">
              <w:t>未統計</w:t>
            </w:r>
          </w:p>
        </w:tc>
      </w:tr>
      <w:tr w:rsidR="00203F72" w:rsidRPr="00A53581" w14:paraId="58DF3F2E"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0817FBA1" w14:textId="77777777" w:rsidR="00203F72" w:rsidRPr="00A53581" w:rsidRDefault="00203F72" w:rsidP="000E25C7">
            <w:pPr>
              <w:jc w:val="center"/>
            </w:pPr>
            <w:r w:rsidRPr="00A53581">
              <w:t>2010</w:t>
            </w:r>
          </w:p>
        </w:tc>
        <w:tc>
          <w:tcPr>
            <w:tcW w:w="2160" w:type="dxa"/>
            <w:tcBorders>
              <w:top w:val="single" w:sz="4" w:space="0" w:color="auto"/>
              <w:left w:val="single" w:sz="4" w:space="0" w:color="auto"/>
              <w:bottom w:val="single" w:sz="4" w:space="0" w:color="auto"/>
              <w:right w:val="single" w:sz="4" w:space="0" w:color="auto"/>
            </w:tcBorders>
            <w:hideMark/>
          </w:tcPr>
          <w:p w14:paraId="1B1D01C5" w14:textId="77777777" w:rsidR="00203F72" w:rsidRPr="00A53581" w:rsidRDefault="00203F72" w:rsidP="007B2912">
            <w:pPr>
              <w:jc w:val="center"/>
            </w:pPr>
            <w:r w:rsidRPr="00A53581">
              <w:t>53</w:t>
            </w:r>
          </w:p>
        </w:tc>
        <w:tc>
          <w:tcPr>
            <w:tcW w:w="1980" w:type="dxa"/>
            <w:tcBorders>
              <w:top w:val="single" w:sz="4" w:space="0" w:color="auto"/>
              <w:left w:val="single" w:sz="4" w:space="0" w:color="auto"/>
              <w:bottom w:val="single" w:sz="4" w:space="0" w:color="auto"/>
              <w:right w:val="single" w:sz="4" w:space="0" w:color="auto"/>
            </w:tcBorders>
            <w:hideMark/>
          </w:tcPr>
          <w:p w14:paraId="42D99179" w14:textId="77777777" w:rsidR="00203F72" w:rsidRPr="00A53581" w:rsidRDefault="00203F72" w:rsidP="007B2912">
            <w:pPr>
              <w:jc w:val="center"/>
            </w:pPr>
            <w:r w:rsidRPr="00A53581">
              <w:t>9</w:t>
            </w:r>
          </w:p>
        </w:tc>
        <w:tc>
          <w:tcPr>
            <w:tcW w:w="2745" w:type="dxa"/>
            <w:tcBorders>
              <w:top w:val="single" w:sz="4" w:space="0" w:color="auto"/>
              <w:left w:val="single" w:sz="4" w:space="0" w:color="auto"/>
              <w:bottom w:val="single" w:sz="4" w:space="0" w:color="auto"/>
              <w:right w:val="single" w:sz="4" w:space="0" w:color="auto"/>
            </w:tcBorders>
            <w:hideMark/>
          </w:tcPr>
          <w:p w14:paraId="2FAE9D8F" w14:textId="77777777" w:rsidR="00203F72" w:rsidRPr="00A53581" w:rsidRDefault="00203F72" w:rsidP="007B2912">
            <w:pPr>
              <w:jc w:val="center"/>
            </w:pPr>
            <w:r w:rsidRPr="00A53581">
              <w:t>未統計</w:t>
            </w:r>
          </w:p>
        </w:tc>
      </w:tr>
      <w:tr w:rsidR="00203F72" w:rsidRPr="00A53581" w14:paraId="60DD8CDE"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0787A573" w14:textId="77777777" w:rsidR="00203F72" w:rsidRPr="00A53581" w:rsidRDefault="00203F72" w:rsidP="000E25C7">
            <w:pPr>
              <w:jc w:val="center"/>
            </w:pPr>
            <w:r w:rsidRPr="00A53581">
              <w:t>2011</w:t>
            </w:r>
          </w:p>
        </w:tc>
        <w:tc>
          <w:tcPr>
            <w:tcW w:w="2160" w:type="dxa"/>
            <w:tcBorders>
              <w:top w:val="single" w:sz="4" w:space="0" w:color="auto"/>
              <w:left w:val="single" w:sz="4" w:space="0" w:color="auto"/>
              <w:bottom w:val="single" w:sz="4" w:space="0" w:color="auto"/>
              <w:right w:val="single" w:sz="4" w:space="0" w:color="auto"/>
            </w:tcBorders>
            <w:hideMark/>
          </w:tcPr>
          <w:p w14:paraId="79E2E92B" w14:textId="77777777" w:rsidR="00203F72" w:rsidRPr="00A53581" w:rsidRDefault="00203F72" w:rsidP="007B2912">
            <w:pPr>
              <w:jc w:val="center"/>
            </w:pPr>
            <w:r w:rsidRPr="00A53581">
              <w:t>55</w:t>
            </w:r>
          </w:p>
        </w:tc>
        <w:tc>
          <w:tcPr>
            <w:tcW w:w="1980" w:type="dxa"/>
            <w:tcBorders>
              <w:top w:val="single" w:sz="4" w:space="0" w:color="auto"/>
              <w:left w:val="single" w:sz="4" w:space="0" w:color="auto"/>
              <w:bottom w:val="single" w:sz="4" w:space="0" w:color="auto"/>
              <w:right w:val="single" w:sz="4" w:space="0" w:color="auto"/>
            </w:tcBorders>
            <w:hideMark/>
          </w:tcPr>
          <w:p w14:paraId="1117FFE6" w14:textId="77777777" w:rsidR="00203F72" w:rsidRPr="00A53581" w:rsidRDefault="00203F72" w:rsidP="007B2912">
            <w:pPr>
              <w:jc w:val="center"/>
            </w:pPr>
            <w:r w:rsidRPr="00A53581">
              <w:t>55</w:t>
            </w:r>
          </w:p>
        </w:tc>
        <w:tc>
          <w:tcPr>
            <w:tcW w:w="2745" w:type="dxa"/>
            <w:tcBorders>
              <w:top w:val="single" w:sz="4" w:space="0" w:color="auto"/>
              <w:left w:val="single" w:sz="4" w:space="0" w:color="auto"/>
              <w:bottom w:val="single" w:sz="4" w:space="0" w:color="auto"/>
              <w:right w:val="single" w:sz="4" w:space="0" w:color="auto"/>
            </w:tcBorders>
            <w:hideMark/>
          </w:tcPr>
          <w:p w14:paraId="60C0D5F9" w14:textId="77777777" w:rsidR="00203F72" w:rsidRPr="00A53581" w:rsidRDefault="00203F72" w:rsidP="007B2912">
            <w:pPr>
              <w:jc w:val="center"/>
            </w:pPr>
            <w:r w:rsidRPr="00A53581">
              <w:t>3140</w:t>
            </w:r>
          </w:p>
        </w:tc>
      </w:tr>
      <w:tr w:rsidR="00203F72" w:rsidRPr="00A53581" w14:paraId="26CD3767"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2E721191" w14:textId="77777777" w:rsidR="00203F72" w:rsidRPr="00A53581" w:rsidRDefault="00203F72" w:rsidP="000E25C7">
            <w:pPr>
              <w:jc w:val="center"/>
            </w:pPr>
            <w:r w:rsidRPr="00A53581">
              <w:t>2012</w:t>
            </w:r>
          </w:p>
        </w:tc>
        <w:tc>
          <w:tcPr>
            <w:tcW w:w="2160" w:type="dxa"/>
            <w:tcBorders>
              <w:top w:val="single" w:sz="4" w:space="0" w:color="auto"/>
              <w:left w:val="single" w:sz="4" w:space="0" w:color="auto"/>
              <w:bottom w:val="single" w:sz="4" w:space="0" w:color="auto"/>
              <w:right w:val="single" w:sz="4" w:space="0" w:color="auto"/>
            </w:tcBorders>
            <w:hideMark/>
          </w:tcPr>
          <w:p w14:paraId="6918B73F" w14:textId="77777777" w:rsidR="00203F72" w:rsidRPr="00A53581" w:rsidRDefault="00203F72" w:rsidP="007B2912">
            <w:pPr>
              <w:jc w:val="center"/>
            </w:pPr>
            <w:r w:rsidRPr="00A53581">
              <w:t>115</w:t>
            </w:r>
          </w:p>
        </w:tc>
        <w:tc>
          <w:tcPr>
            <w:tcW w:w="1980" w:type="dxa"/>
            <w:tcBorders>
              <w:top w:val="single" w:sz="4" w:space="0" w:color="auto"/>
              <w:left w:val="single" w:sz="4" w:space="0" w:color="auto"/>
              <w:bottom w:val="single" w:sz="4" w:space="0" w:color="auto"/>
              <w:right w:val="single" w:sz="4" w:space="0" w:color="auto"/>
            </w:tcBorders>
            <w:hideMark/>
          </w:tcPr>
          <w:p w14:paraId="743AE857" w14:textId="77777777" w:rsidR="00203F72" w:rsidRPr="00A53581" w:rsidRDefault="00203F72" w:rsidP="007B2912">
            <w:pPr>
              <w:jc w:val="center"/>
            </w:pPr>
            <w:r w:rsidRPr="00A53581">
              <w:t>103</w:t>
            </w:r>
          </w:p>
        </w:tc>
        <w:tc>
          <w:tcPr>
            <w:tcW w:w="2745" w:type="dxa"/>
            <w:tcBorders>
              <w:top w:val="single" w:sz="4" w:space="0" w:color="auto"/>
              <w:left w:val="single" w:sz="4" w:space="0" w:color="auto"/>
              <w:bottom w:val="single" w:sz="4" w:space="0" w:color="auto"/>
              <w:right w:val="single" w:sz="4" w:space="0" w:color="auto"/>
            </w:tcBorders>
            <w:hideMark/>
          </w:tcPr>
          <w:p w14:paraId="12F0467F" w14:textId="77777777" w:rsidR="00203F72" w:rsidRPr="00A53581" w:rsidRDefault="00203F72" w:rsidP="007B2912">
            <w:pPr>
              <w:jc w:val="center"/>
            </w:pPr>
            <w:r w:rsidRPr="00A53581">
              <w:t>1804</w:t>
            </w:r>
          </w:p>
        </w:tc>
      </w:tr>
      <w:tr w:rsidR="00203F72" w:rsidRPr="00A53581" w14:paraId="2310DE24" w14:textId="77777777" w:rsidTr="00515D85">
        <w:tc>
          <w:tcPr>
            <w:tcW w:w="1728" w:type="dxa"/>
            <w:tcBorders>
              <w:top w:val="single" w:sz="4" w:space="0" w:color="auto"/>
              <w:left w:val="single" w:sz="4" w:space="0" w:color="auto"/>
              <w:bottom w:val="single" w:sz="4" w:space="0" w:color="auto"/>
              <w:right w:val="single" w:sz="4" w:space="0" w:color="auto"/>
            </w:tcBorders>
            <w:hideMark/>
          </w:tcPr>
          <w:p w14:paraId="29D325EA" w14:textId="77777777" w:rsidR="00203F72" w:rsidRPr="00A53581" w:rsidRDefault="00203F72" w:rsidP="000E25C7">
            <w:pPr>
              <w:jc w:val="center"/>
            </w:pPr>
            <w:r w:rsidRPr="00A53581">
              <w:t>2013</w:t>
            </w:r>
          </w:p>
        </w:tc>
        <w:tc>
          <w:tcPr>
            <w:tcW w:w="2160" w:type="dxa"/>
            <w:tcBorders>
              <w:top w:val="single" w:sz="4" w:space="0" w:color="auto"/>
              <w:left w:val="single" w:sz="4" w:space="0" w:color="auto"/>
              <w:bottom w:val="single" w:sz="4" w:space="0" w:color="auto"/>
              <w:right w:val="single" w:sz="4" w:space="0" w:color="auto"/>
            </w:tcBorders>
            <w:hideMark/>
          </w:tcPr>
          <w:p w14:paraId="24623E07" w14:textId="77777777" w:rsidR="00203F72" w:rsidRPr="00A53581" w:rsidRDefault="00203F72" w:rsidP="007B2912">
            <w:pPr>
              <w:jc w:val="center"/>
            </w:pPr>
            <w:r w:rsidRPr="00A53581">
              <w:t>188</w:t>
            </w:r>
          </w:p>
        </w:tc>
        <w:tc>
          <w:tcPr>
            <w:tcW w:w="1980" w:type="dxa"/>
            <w:tcBorders>
              <w:top w:val="single" w:sz="4" w:space="0" w:color="auto"/>
              <w:left w:val="single" w:sz="4" w:space="0" w:color="auto"/>
              <w:bottom w:val="single" w:sz="4" w:space="0" w:color="auto"/>
              <w:right w:val="single" w:sz="4" w:space="0" w:color="auto"/>
            </w:tcBorders>
            <w:hideMark/>
          </w:tcPr>
          <w:p w14:paraId="67F258F9" w14:textId="77777777" w:rsidR="00203F72" w:rsidRPr="00A53581" w:rsidRDefault="00203F72" w:rsidP="007B2912">
            <w:pPr>
              <w:jc w:val="center"/>
            </w:pPr>
            <w:r w:rsidRPr="00A53581">
              <w:t>39</w:t>
            </w:r>
          </w:p>
        </w:tc>
        <w:tc>
          <w:tcPr>
            <w:tcW w:w="2745" w:type="dxa"/>
            <w:tcBorders>
              <w:top w:val="single" w:sz="4" w:space="0" w:color="auto"/>
              <w:left w:val="single" w:sz="4" w:space="0" w:color="auto"/>
              <w:bottom w:val="single" w:sz="4" w:space="0" w:color="auto"/>
              <w:right w:val="single" w:sz="4" w:space="0" w:color="auto"/>
            </w:tcBorders>
            <w:hideMark/>
          </w:tcPr>
          <w:p w14:paraId="574C3EC5" w14:textId="77777777" w:rsidR="00203F72" w:rsidRPr="00A53581" w:rsidRDefault="00203F72" w:rsidP="007B2912">
            <w:pPr>
              <w:jc w:val="center"/>
            </w:pPr>
            <w:r w:rsidRPr="00A53581">
              <w:t>1077</w:t>
            </w:r>
          </w:p>
        </w:tc>
      </w:tr>
    </w:tbl>
    <w:p w14:paraId="5926C4FF" w14:textId="77777777"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6" w:history="1">
        <w:r w:rsidR="00203F72" w:rsidRPr="007B2912">
          <w:rPr>
            <w:rStyle w:val="a5"/>
          </w:rPr>
          <w:t>Trafficking in Persons Report 201</w:t>
        </w:r>
      </w:hyperlink>
      <w:r w:rsidR="00203F72" w:rsidRPr="007B2912">
        <w:t xml:space="preserve">4 , retrieved 08/04, 2014, from </w:t>
      </w:r>
      <w:hyperlink r:id="rId2217" w:history="1">
        <w:r w:rsidR="00203F72" w:rsidRPr="007B2912">
          <w:rPr>
            <w:rStyle w:val="a5"/>
          </w:rPr>
          <w:t>http://www.state.gov/</w:t>
        </w:r>
      </w:hyperlink>
      <w:r w:rsidR="00203F72" w:rsidRPr="007B2912">
        <w:t>.</w:t>
      </w:r>
    </w:p>
    <w:p w14:paraId="3F605423" w14:textId="77777777" w:rsidR="00515D85" w:rsidRDefault="00515D85" w:rsidP="00D87D91">
      <w:pPr>
        <w:pStyle w:val="af1"/>
      </w:pPr>
    </w:p>
    <w:p w14:paraId="6D8892F6" w14:textId="77777777" w:rsidR="00203F72" w:rsidRPr="00A53581" w:rsidRDefault="00170AAF" w:rsidP="00D87D91">
      <w:r>
        <w:t xml:space="preserve">　　</w:t>
      </w:r>
      <w:r w:rsidR="00203F72" w:rsidRPr="00A53581">
        <w:t>二、</w:t>
      </w:r>
      <w:r w:rsidR="00203F72" w:rsidRPr="00A53581">
        <w:t>3D</w:t>
      </w:r>
    </w:p>
    <w:p w14:paraId="2B7AD5D0" w14:textId="77777777" w:rsidR="00953151" w:rsidRPr="00515D85" w:rsidRDefault="00170AAF" w:rsidP="00D87D91">
      <w:r w:rsidRPr="00515D85">
        <w:t xml:space="preserve">　　</w:t>
      </w:r>
      <w:r w:rsidR="00203F72" w:rsidRPr="00515D85">
        <w:t>由於「巴勒莫（摩）議定書」之通過，在過往之</w:t>
      </w:r>
      <w:r w:rsidR="00203F72" w:rsidRPr="00515D85">
        <w:t>10</w:t>
      </w:r>
      <w:r w:rsidR="00203F72" w:rsidRPr="00515D85">
        <w:t>年間，國際社會運用上開議定書所揭示之</w:t>
      </w:r>
      <w:r w:rsidR="00203F72" w:rsidRPr="00515D85">
        <w:t>3P</w:t>
      </w:r>
      <w:r w:rsidR="00203F72" w:rsidRPr="00515D85">
        <w:t>（預防、保護及起訴），用以抗制人口販運罪行。根據美國國務院</w:t>
      </w:r>
      <w:r w:rsidR="00203F72" w:rsidRPr="00515D85">
        <w:t>2010</w:t>
      </w:r>
      <w:r w:rsidR="00203F72" w:rsidRPr="00515D85">
        <w:t>年之看法與見解，國際社會上，另存有所謂之</w:t>
      </w:r>
      <w:r w:rsidR="00203F72" w:rsidRPr="00515D85">
        <w:t>3D──</w:t>
      </w:r>
      <w:r w:rsidR="00203F72" w:rsidRPr="00515D85">
        <w:t>「收容」、「遣返」與「使被害人失能」（</w:t>
      </w:r>
      <w:r w:rsidR="00203F72" w:rsidRPr="00515D85">
        <w:t>the “3D” phenomenon of detention, deportation and disempowerment</w:t>
      </w:r>
      <w:r w:rsidR="00203F72" w:rsidRPr="00515D85">
        <w:t>）之不適切策略，正嚴重地阻礙反人口販運工作之推展。在國際上，某些國家之移民政策，或是法律體系，未與時更新，過於陳舊，以致於這些國家之移民政策或法律，仍是在執行現代版之奴役機制。由於過時之移民政策或法律，導致對於人口販運之被害人，採行收容（留置）及遣返之對策</w:t>
      </w:r>
      <w:r w:rsidR="00203F72" w:rsidRPr="00515D85">
        <w:footnoteReference w:id="855"/>
      </w:r>
      <w:r w:rsidR="00203F72" w:rsidRPr="00515D85">
        <w:t>。</w:t>
      </w:r>
    </w:p>
    <w:p w14:paraId="22695C83" w14:textId="77777777" w:rsidR="00203F72" w:rsidRPr="00515D85" w:rsidRDefault="00170AAF" w:rsidP="00D87D91">
      <w:r w:rsidRPr="00515D85">
        <w:t xml:space="preserve">　　</w:t>
      </w:r>
      <w:r w:rsidR="00203F72" w:rsidRPr="00515D85">
        <w:t>然而，上述之回應作為之情形，係屬於新興之現象，是在最近幾年始出現，但業已嚴重地影響婦女之人權，尤甚於對男性之影響。為何上述國家會採行</w:t>
      </w:r>
      <w:r w:rsidR="00203F72" w:rsidRPr="00515D85">
        <w:t>3D</w:t>
      </w:r>
      <w:r w:rsidR="00203F72" w:rsidRPr="00515D85">
        <w:t>（因收容及遣返，遂導致被害人失能）對策？主要之動機，為了控制及降低潛在之政府財政負擔，遂出於國家自身利益之考量，而對於被害人進行收容（留置）與遣返。採取</w:t>
      </w:r>
      <w:r w:rsidR="00203F72" w:rsidRPr="00515D85">
        <w:t>3D</w:t>
      </w:r>
      <w:r w:rsidR="00203F72" w:rsidRPr="00515D85">
        <w:t>策略之國家，通常，會先短暫地收容</w:t>
      </w:r>
      <w:r w:rsidR="00203F72" w:rsidRPr="00515D85">
        <w:t>(</w:t>
      </w:r>
      <w:r w:rsidR="00203F72" w:rsidRPr="00515D85">
        <w:t>留置</w:t>
      </w:r>
      <w:r w:rsidR="00203F72" w:rsidRPr="00515D85">
        <w:t>)</w:t>
      </w:r>
      <w:r w:rsidR="00203F72" w:rsidRPr="00515D85">
        <w:t>被害人，之後，將此等被害人遣返其母國或原居地，而未提供充足可靠之機會，俾利渠等能獲得相關之保護與援助，諸如：</w:t>
      </w:r>
    </w:p>
    <w:p w14:paraId="3F0EE029" w14:textId="77777777" w:rsidR="00203F72" w:rsidRPr="00515D85" w:rsidRDefault="00170AAF" w:rsidP="00D87D91">
      <w:r w:rsidRPr="00515D85">
        <w:t xml:space="preserve">　　</w:t>
      </w:r>
      <w:r w:rsidR="00203F72" w:rsidRPr="00515D85">
        <w:t>1.</w:t>
      </w:r>
      <w:r w:rsidR="00203F72" w:rsidRPr="00515D85">
        <w:t>尋求法律上之補償（包括民事補償金）；</w:t>
      </w:r>
    </w:p>
    <w:p w14:paraId="38BA652E" w14:textId="77777777" w:rsidR="00203F72" w:rsidRPr="00515D85" w:rsidRDefault="00170AAF" w:rsidP="00D87D91">
      <w:r w:rsidRPr="00515D85">
        <w:t xml:space="preserve">　　</w:t>
      </w:r>
      <w:r w:rsidR="00203F72" w:rsidRPr="00515D85">
        <w:t>2.</w:t>
      </w:r>
      <w:r w:rsidR="00203F72" w:rsidRPr="00515D85">
        <w:t>適切之心理修（平）復；</w:t>
      </w:r>
    </w:p>
    <w:p w14:paraId="61C858D8" w14:textId="77777777" w:rsidR="00203F72" w:rsidRPr="00515D85" w:rsidRDefault="00170AAF" w:rsidP="00D87D91">
      <w:r w:rsidRPr="00515D85">
        <w:t xml:space="preserve">　　</w:t>
      </w:r>
      <w:r w:rsidR="00203F72" w:rsidRPr="00515D85">
        <w:t>3.</w:t>
      </w:r>
      <w:r w:rsidR="00203F72" w:rsidRPr="00515D85">
        <w:t>長期之居留與工作；</w:t>
      </w:r>
    </w:p>
    <w:p w14:paraId="5E054D14" w14:textId="77777777" w:rsidR="00953151" w:rsidRPr="00515D85" w:rsidRDefault="00170AAF" w:rsidP="00D87D91">
      <w:r w:rsidRPr="00515D85">
        <w:t xml:space="preserve">　　</w:t>
      </w:r>
      <w:r w:rsidR="00203F72" w:rsidRPr="00515D85">
        <w:t>4.</w:t>
      </w:r>
      <w:r w:rsidR="00203F72" w:rsidRPr="00515D85">
        <w:t>或再前往第</w:t>
      </w:r>
      <w:r w:rsidR="00203F72" w:rsidRPr="00515D85">
        <w:t>3</w:t>
      </w:r>
      <w:r w:rsidR="00203F72" w:rsidRPr="00515D85">
        <w:t>國。</w:t>
      </w:r>
    </w:p>
    <w:p w14:paraId="0C6AE6B7" w14:textId="77777777" w:rsidR="00953151" w:rsidRPr="00515D85" w:rsidRDefault="00170AAF" w:rsidP="00D87D91">
      <w:r w:rsidRPr="00515D85">
        <w:t xml:space="preserve">　　</w:t>
      </w:r>
      <w:r w:rsidR="00203F72" w:rsidRPr="00515D85">
        <w:t>上述之援助與保護作為，採行</w:t>
      </w:r>
      <w:r w:rsidR="00203F72" w:rsidRPr="00515D85">
        <w:t>3D</w:t>
      </w:r>
      <w:r w:rsidR="00203F72" w:rsidRPr="00515D85">
        <w:t>政策之國家，均未提供之。這些國家企圖將已被成功地辨識為人口販運之被害人，留置於以收容為主之機構之中，很諷刺的，這些收容機構被上述國家稱為「庇護所」，但，無論上開收容機構是如何地舒適與安全，其本質仍是收容中心，而非「庇護所」，會使被害人在她（他）們正需要回復個人自由感覺之關鍵性時刻，迫使被害人失去自由之能力，喪失個人人身之自由。</w:t>
      </w:r>
    </w:p>
    <w:p w14:paraId="7C21A3EA" w14:textId="77777777" w:rsidR="00953151" w:rsidRPr="00515D85" w:rsidRDefault="00170AAF" w:rsidP="00D87D91">
      <w:r w:rsidRPr="00515D85">
        <w:t xml:space="preserve">　　</w:t>
      </w:r>
      <w:r w:rsidR="00203F72" w:rsidRPr="00515D85">
        <w:t>收容之模式，會切斷被害人與社會服務之提供者或偵查之執法人員有可能建立之和諧融洽之關係，收容會切斷此種信賴關係，其傷害頗深。人口販運被害人之原始創傷，它會持續數個月之久；此時，若加以收容而非提供治療，則會阻礙執法人員之偵查活動，喪失發現重大犯罪事實之時機。主要在於此時若對被害人加以收容，會加劇其創傷，令其失能，其所作出之被害供述，僅是片段且不完整，會嚴重地妨礙偵查之進行。</w:t>
      </w:r>
    </w:p>
    <w:p w14:paraId="319A3302" w14:textId="77777777" w:rsidR="00953151" w:rsidRPr="00515D85" w:rsidRDefault="00170AAF" w:rsidP="00D87D91">
      <w:r w:rsidRPr="00515D85">
        <w:t xml:space="preserve">　　</w:t>
      </w:r>
      <w:r w:rsidR="00203F72" w:rsidRPr="00515D85">
        <w:t>三、</w:t>
      </w:r>
      <w:r w:rsidR="00203F72" w:rsidRPr="00515D85">
        <w:t>1I</w:t>
      </w:r>
      <w:r w:rsidR="00D92F56" w:rsidRPr="00515D85">
        <w:t>〜</w:t>
      </w:r>
      <w:r w:rsidR="00203F72" w:rsidRPr="00515D85">
        <w:t>全球人口販運被害人被辨識</w:t>
      </w:r>
      <w:r w:rsidR="00203F72" w:rsidRPr="00515D85">
        <w:t>(identification)</w:t>
      </w:r>
      <w:r w:rsidR="00203F72" w:rsidRPr="00515D85">
        <w:t>成功之比率微乎其微，成效非常地低落</w:t>
      </w:r>
    </w:p>
    <w:p w14:paraId="03A395E4" w14:textId="77777777" w:rsidR="00203F72" w:rsidRPr="00515D85" w:rsidRDefault="00170AAF" w:rsidP="00D87D91">
      <w:r w:rsidRPr="00515D85">
        <w:t xml:space="preserve">　　</w:t>
      </w:r>
      <w:r w:rsidR="00203F72" w:rsidRPr="00515D85">
        <w:t>根據美國國務院之報告</w:t>
      </w:r>
      <w:r w:rsidR="00203F72" w:rsidRPr="00515D85">
        <w:t>(U.S. State Department)</w:t>
      </w:r>
      <w:r w:rsidR="00203F72" w:rsidRPr="00515D85">
        <w:t>，在</w:t>
      </w:r>
      <w:r w:rsidR="00203F72" w:rsidRPr="00515D85">
        <w:t>2009</w:t>
      </w:r>
      <w:r w:rsidR="00203F72" w:rsidRPr="00515D85">
        <w:t>年，全球各式各樣人口販運之被害人人數，計為</w:t>
      </w:r>
      <w:r w:rsidR="00203F72" w:rsidRPr="00515D85">
        <w:t>2700</w:t>
      </w:r>
      <w:r w:rsidR="00203F72" w:rsidRPr="00515D85">
        <w:t>萬人左右，但僅有</w:t>
      </w:r>
      <w:r w:rsidR="00203F72" w:rsidRPr="00515D85">
        <w:t>49105</w:t>
      </w:r>
      <w:r w:rsidR="00203F72" w:rsidRPr="00515D85">
        <w:t>人，被各國執法機關成功地辨識為人口販運之被害人</w:t>
      </w:r>
      <w:r w:rsidR="00203F72" w:rsidRPr="00515D85">
        <w:t>(Only 46,570 out of an estimated 27 million victims of human trafficking were identified in 2012)</w:t>
      </w:r>
      <w:r w:rsidR="00203F72" w:rsidRPr="00515D85">
        <w:footnoteReference w:id="856"/>
      </w:r>
      <w:r w:rsidR="00203F72" w:rsidRPr="00515D85">
        <w:t>，全球人口販運之被害人，被成功地辨識之比率，事實上，是相當地低，僅為</w:t>
      </w:r>
      <w:r w:rsidR="00203F72" w:rsidRPr="00515D85">
        <w:t>0.0018</w:t>
      </w:r>
      <w:r w:rsidR="00203F72" w:rsidRPr="00515D85">
        <w:t>，近約</w:t>
      </w:r>
      <w:r w:rsidR="00203F72" w:rsidRPr="00515D85">
        <w:t>0.002</w:t>
      </w:r>
      <w:r w:rsidR="00203F72" w:rsidRPr="00515D85">
        <w:t>。再者，在</w:t>
      </w:r>
      <w:r w:rsidR="00203F72" w:rsidRPr="00515D85">
        <w:t>2012</w:t>
      </w:r>
      <w:r w:rsidR="00203F72" w:rsidRPr="00515D85">
        <w:t>年，全球各式各樣人口販運之被害人人數，亦計為</w:t>
      </w:r>
      <w:r w:rsidR="00203F72" w:rsidRPr="00515D85">
        <w:t>2700</w:t>
      </w:r>
      <w:r w:rsidR="00203F72" w:rsidRPr="00515D85">
        <w:t>萬人左右，但僅有</w:t>
      </w:r>
      <w:r w:rsidR="00203F72" w:rsidRPr="00515D85">
        <w:t>46570</w:t>
      </w:r>
      <w:r w:rsidR="00203F72" w:rsidRPr="00515D85">
        <w:t>人被各國執法機關成功地辨識為人口販運之被害人</w:t>
      </w:r>
      <w:r w:rsidR="00203F72" w:rsidRPr="00515D85">
        <w:t>(Only 46,570 out of an estimated 27 million victims of human trafficking were identified in 2012)</w:t>
      </w:r>
      <w:r w:rsidR="00203F72" w:rsidRPr="00515D85">
        <w:footnoteReference w:id="857"/>
      </w:r>
      <w:r w:rsidR="00203F72" w:rsidRPr="00515D85">
        <w:t>，全球人口販運之被害人，被成功地辨識之比率，可謂非常地低，僅為</w:t>
      </w:r>
      <w:r w:rsidR="00203F72" w:rsidRPr="00515D85">
        <w:t>0.0017</w:t>
      </w:r>
      <w:r w:rsidR="00203F72" w:rsidRPr="00515D85">
        <w:t>，近約</w:t>
      </w:r>
      <w:r w:rsidR="00203F72" w:rsidRPr="00515D85">
        <w:t>0.002</w:t>
      </w:r>
      <w:r w:rsidR="00203F72" w:rsidRPr="00515D85">
        <w:t>。</w:t>
      </w:r>
    </w:p>
    <w:p w14:paraId="35BA0E37" w14:textId="77777777" w:rsidR="00203F72" w:rsidRPr="00A53581" w:rsidRDefault="00203F72" w:rsidP="00D87D91">
      <w:r w:rsidRPr="00A53581">
        <w:t xml:space="preserve"> </w:t>
      </w:r>
    </w:p>
    <w:p w14:paraId="3DC02B46" w14:textId="77777777" w:rsidR="00203F72" w:rsidRPr="00A53581" w:rsidRDefault="00203F72" w:rsidP="00D87D91">
      <w:pPr>
        <w:pStyle w:val="aff4"/>
      </w:pPr>
      <w:r w:rsidRPr="00A53581">
        <w:t xml:space="preserve"> </w:t>
      </w:r>
    </w:p>
    <w:p w14:paraId="1048E75C" w14:textId="223362AD" w:rsidR="00203F72" w:rsidRPr="007B2912" w:rsidRDefault="00B03E84" w:rsidP="007B2912">
      <w:r w:rsidRPr="007B2912">
        <w:t>【</w:t>
      </w:r>
      <w:r w:rsidRPr="007B2912">
        <w:t>table</w:t>
      </w:r>
      <w:r w:rsidR="005E23E3" w:rsidRPr="007B2912">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96</w:t>
      </w:r>
      <w:r w:rsidR="00076467">
        <w:rPr>
          <w:noProof/>
        </w:rPr>
        <w:fldChar w:fldCharType="end"/>
      </w:r>
      <w:r w:rsidR="00203F72" w:rsidRPr="007B2912">
        <w:t xml:space="preserve"> </w:t>
      </w:r>
      <w:r w:rsidR="00203F72" w:rsidRPr="007B2912">
        <w:t>全球防制人口販運有關被辨識為被害人人數執法統計數據表</w:t>
      </w:r>
      <w:r w:rsidR="00203F72" w:rsidRPr="007B2912">
        <w:footnoteReference w:id="858"/>
      </w:r>
      <w:r w:rsidR="00203F72" w:rsidRPr="007B2912">
        <w:t xml:space="preserve"> (</w:t>
      </w:r>
      <w:r w:rsidR="00203F72" w:rsidRPr="007B2912">
        <w:t>單位：人數</w:t>
      </w:r>
      <w:r w:rsidR="00203F72" w:rsidRPr="007B2912">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120"/>
      </w:tblGrid>
      <w:tr w:rsidR="00203F72" w:rsidRPr="00A53581" w14:paraId="4E8C9A99" w14:textId="77777777" w:rsidTr="007B2912">
        <w:trPr>
          <w:tblHeader/>
        </w:trPr>
        <w:tc>
          <w:tcPr>
            <w:tcW w:w="1908" w:type="dxa"/>
            <w:tcBorders>
              <w:top w:val="single" w:sz="4" w:space="0" w:color="auto"/>
              <w:left w:val="single" w:sz="4" w:space="0" w:color="auto"/>
              <w:bottom w:val="single" w:sz="4" w:space="0" w:color="auto"/>
              <w:right w:val="single" w:sz="4" w:space="0" w:color="auto"/>
            </w:tcBorders>
            <w:shd w:val="clear" w:color="auto" w:fill="FAF0FA"/>
            <w:hideMark/>
          </w:tcPr>
          <w:p w14:paraId="57E08079" w14:textId="77777777" w:rsidR="00203F72" w:rsidRPr="00A53581" w:rsidRDefault="00203F72" w:rsidP="007B2912">
            <w:pPr>
              <w:jc w:val="center"/>
            </w:pPr>
            <w:r w:rsidRPr="00A53581">
              <w:t>年度</w:t>
            </w:r>
          </w:p>
        </w:tc>
        <w:tc>
          <w:tcPr>
            <w:tcW w:w="6120" w:type="dxa"/>
            <w:tcBorders>
              <w:top w:val="single" w:sz="4" w:space="0" w:color="auto"/>
              <w:left w:val="single" w:sz="4" w:space="0" w:color="auto"/>
              <w:bottom w:val="single" w:sz="4" w:space="0" w:color="auto"/>
              <w:right w:val="single" w:sz="4" w:space="0" w:color="auto"/>
            </w:tcBorders>
            <w:shd w:val="clear" w:color="auto" w:fill="FAF0FA"/>
            <w:hideMark/>
          </w:tcPr>
          <w:p w14:paraId="5AAD89CE" w14:textId="77777777" w:rsidR="00203F72" w:rsidRPr="00A53581" w:rsidRDefault="00203F72" w:rsidP="007B2912">
            <w:pPr>
              <w:jc w:val="center"/>
            </w:pPr>
            <w:r w:rsidRPr="00A53581">
              <w:t>被辨識為被害人人數</w:t>
            </w:r>
            <w:r w:rsidRPr="00A53581">
              <w:t>(</w:t>
            </w:r>
            <w:r w:rsidRPr="00A53581">
              <w:t>計含性剝削與勞力剝削總合</w:t>
            </w:r>
            <w:r w:rsidRPr="00A53581">
              <w:t>)</w:t>
            </w:r>
          </w:p>
        </w:tc>
      </w:tr>
      <w:tr w:rsidR="00203F72" w:rsidRPr="00A53581" w14:paraId="4BC2C640"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0313B59B" w14:textId="77777777" w:rsidR="00203F72" w:rsidRPr="00A53581" w:rsidRDefault="00203F72" w:rsidP="007B2912">
            <w:pPr>
              <w:jc w:val="center"/>
            </w:pPr>
            <w:r w:rsidRPr="00A53581">
              <w:t>2006</w:t>
            </w:r>
          </w:p>
        </w:tc>
        <w:tc>
          <w:tcPr>
            <w:tcW w:w="6120" w:type="dxa"/>
            <w:tcBorders>
              <w:top w:val="single" w:sz="4" w:space="0" w:color="auto"/>
              <w:left w:val="single" w:sz="4" w:space="0" w:color="auto"/>
              <w:bottom w:val="single" w:sz="4" w:space="0" w:color="auto"/>
              <w:right w:val="single" w:sz="4" w:space="0" w:color="auto"/>
            </w:tcBorders>
            <w:hideMark/>
          </w:tcPr>
          <w:p w14:paraId="262A9C81" w14:textId="77777777" w:rsidR="00203F72" w:rsidRPr="00A53581" w:rsidRDefault="00203F72" w:rsidP="007B2912">
            <w:pPr>
              <w:jc w:val="center"/>
            </w:pPr>
            <w:r w:rsidRPr="00A53581">
              <w:t>未統計</w:t>
            </w:r>
          </w:p>
        </w:tc>
      </w:tr>
      <w:tr w:rsidR="00203F72" w:rsidRPr="00A53581" w14:paraId="78439631"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0A3C5760" w14:textId="77777777" w:rsidR="00203F72" w:rsidRPr="00A53581" w:rsidRDefault="00203F72" w:rsidP="007B2912">
            <w:pPr>
              <w:jc w:val="center"/>
            </w:pPr>
            <w:r w:rsidRPr="00A53581">
              <w:t>2007</w:t>
            </w:r>
          </w:p>
        </w:tc>
        <w:tc>
          <w:tcPr>
            <w:tcW w:w="6120" w:type="dxa"/>
            <w:tcBorders>
              <w:top w:val="single" w:sz="4" w:space="0" w:color="auto"/>
              <w:left w:val="single" w:sz="4" w:space="0" w:color="auto"/>
              <w:bottom w:val="single" w:sz="4" w:space="0" w:color="auto"/>
              <w:right w:val="single" w:sz="4" w:space="0" w:color="auto"/>
            </w:tcBorders>
            <w:hideMark/>
          </w:tcPr>
          <w:p w14:paraId="47F0B459" w14:textId="77777777" w:rsidR="00203F72" w:rsidRPr="00A53581" w:rsidRDefault="00203F72" w:rsidP="007B2912">
            <w:pPr>
              <w:jc w:val="center"/>
            </w:pPr>
            <w:r w:rsidRPr="00A53581">
              <w:t>未統計</w:t>
            </w:r>
          </w:p>
        </w:tc>
      </w:tr>
      <w:tr w:rsidR="00203F72" w:rsidRPr="00A53581" w14:paraId="0494D5CF"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53E5CA2A" w14:textId="77777777" w:rsidR="00203F72" w:rsidRPr="00A53581" w:rsidRDefault="00203F72" w:rsidP="007B2912">
            <w:pPr>
              <w:jc w:val="center"/>
            </w:pPr>
            <w:r w:rsidRPr="00A53581">
              <w:t>2008</w:t>
            </w:r>
          </w:p>
        </w:tc>
        <w:tc>
          <w:tcPr>
            <w:tcW w:w="6120" w:type="dxa"/>
            <w:tcBorders>
              <w:top w:val="single" w:sz="4" w:space="0" w:color="auto"/>
              <w:left w:val="single" w:sz="4" w:space="0" w:color="auto"/>
              <w:bottom w:val="single" w:sz="4" w:space="0" w:color="auto"/>
              <w:right w:val="single" w:sz="4" w:space="0" w:color="auto"/>
            </w:tcBorders>
            <w:hideMark/>
          </w:tcPr>
          <w:p w14:paraId="31898A8B" w14:textId="77777777" w:rsidR="00203F72" w:rsidRPr="00A53581" w:rsidRDefault="00203F72" w:rsidP="007B2912">
            <w:pPr>
              <w:jc w:val="center"/>
            </w:pPr>
            <w:r w:rsidRPr="00A53581">
              <w:t>30961</w:t>
            </w:r>
          </w:p>
        </w:tc>
      </w:tr>
      <w:tr w:rsidR="00203F72" w:rsidRPr="00A53581" w14:paraId="5F7D5C15"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5CDB1B79" w14:textId="77777777" w:rsidR="00203F72" w:rsidRPr="00A53581" w:rsidRDefault="00203F72" w:rsidP="007B2912">
            <w:pPr>
              <w:jc w:val="center"/>
            </w:pPr>
            <w:r w:rsidRPr="00A53581">
              <w:t>2009</w:t>
            </w:r>
          </w:p>
        </w:tc>
        <w:tc>
          <w:tcPr>
            <w:tcW w:w="6120" w:type="dxa"/>
            <w:tcBorders>
              <w:top w:val="single" w:sz="4" w:space="0" w:color="auto"/>
              <w:left w:val="single" w:sz="4" w:space="0" w:color="auto"/>
              <w:bottom w:val="single" w:sz="4" w:space="0" w:color="auto"/>
              <w:right w:val="single" w:sz="4" w:space="0" w:color="auto"/>
            </w:tcBorders>
            <w:hideMark/>
          </w:tcPr>
          <w:p w14:paraId="5CB9D06A" w14:textId="77777777" w:rsidR="00203F72" w:rsidRPr="00A53581" w:rsidRDefault="00203F72" w:rsidP="007B2912">
            <w:pPr>
              <w:jc w:val="center"/>
            </w:pPr>
            <w:r w:rsidRPr="00A53581">
              <w:t>49105</w:t>
            </w:r>
          </w:p>
        </w:tc>
      </w:tr>
      <w:tr w:rsidR="00203F72" w:rsidRPr="00A53581" w14:paraId="653A0BEB"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674268D8" w14:textId="77777777" w:rsidR="00203F72" w:rsidRPr="00A53581" w:rsidRDefault="00203F72" w:rsidP="007B2912">
            <w:pPr>
              <w:jc w:val="center"/>
            </w:pPr>
            <w:r w:rsidRPr="00A53581">
              <w:t>2010</w:t>
            </w:r>
          </w:p>
        </w:tc>
        <w:tc>
          <w:tcPr>
            <w:tcW w:w="6120" w:type="dxa"/>
            <w:tcBorders>
              <w:top w:val="single" w:sz="4" w:space="0" w:color="auto"/>
              <w:left w:val="single" w:sz="4" w:space="0" w:color="auto"/>
              <w:bottom w:val="single" w:sz="4" w:space="0" w:color="auto"/>
              <w:right w:val="single" w:sz="4" w:space="0" w:color="auto"/>
            </w:tcBorders>
            <w:hideMark/>
          </w:tcPr>
          <w:p w14:paraId="79BD10CA" w14:textId="77777777" w:rsidR="00203F72" w:rsidRPr="00A53581" w:rsidRDefault="00203F72" w:rsidP="007B2912">
            <w:pPr>
              <w:jc w:val="center"/>
            </w:pPr>
            <w:r w:rsidRPr="00A53581">
              <w:t>33113</w:t>
            </w:r>
          </w:p>
        </w:tc>
      </w:tr>
      <w:tr w:rsidR="00203F72" w:rsidRPr="00A53581" w14:paraId="36E7414E"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7EE81DFE" w14:textId="77777777" w:rsidR="00203F72" w:rsidRPr="00A53581" w:rsidRDefault="00203F72" w:rsidP="007B2912">
            <w:pPr>
              <w:jc w:val="center"/>
            </w:pPr>
            <w:r w:rsidRPr="00A53581">
              <w:t>2011</w:t>
            </w:r>
          </w:p>
        </w:tc>
        <w:tc>
          <w:tcPr>
            <w:tcW w:w="6120" w:type="dxa"/>
            <w:tcBorders>
              <w:top w:val="single" w:sz="4" w:space="0" w:color="auto"/>
              <w:left w:val="single" w:sz="4" w:space="0" w:color="auto"/>
              <w:bottom w:val="single" w:sz="4" w:space="0" w:color="auto"/>
              <w:right w:val="single" w:sz="4" w:space="0" w:color="auto"/>
            </w:tcBorders>
            <w:hideMark/>
          </w:tcPr>
          <w:p w14:paraId="29D3A17F" w14:textId="77777777" w:rsidR="00203F72" w:rsidRPr="00A53581" w:rsidRDefault="00203F72" w:rsidP="007B2912">
            <w:pPr>
              <w:jc w:val="center"/>
            </w:pPr>
            <w:r w:rsidRPr="00A53581">
              <w:t>42291</w:t>
            </w:r>
          </w:p>
        </w:tc>
      </w:tr>
      <w:tr w:rsidR="00203F72" w:rsidRPr="00A53581" w14:paraId="10E75631"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60C121B4" w14:textId="77777777" w:rsidR="00203F72" w:rsidRPr="00A53581" w:rsidRDefault="00203F72" w:rsidP="007B2912">
            <w:pPr>
              <w:jc w:val="center"/>
            </w:pPr>
            <w:r w:rsidRPr="00A53581">
              <w:t>2012</w:t>
            </w:r>
          </w:p>
        </w:tc>
        <w:tc>
          <w:tcPr>
            <w:tcW w:w="6120" w:type="dxa"/>
            <w:tcBorders>
              <w:top w:val="single" w:sz="4" w:space="0" w:color="auto"/>
              <w:left w:val="single" w:sz="4" w:space="0" w:color="auto"/>
              <w:bottom w:val="single" w:sz="4" w:space="0" w:color="auto"/>
              <w:right w:val="single" w:sz="4" w:space="0" w:color="auto"/>
            </w:tcBorders>
            <w:hideMark/>
          </w:tcPr>
          <w:p w14:paraId="6C36E475" w14:textId="77777777" w:rsidR="00203F72" w:rsidRPr="00A53581" w:rsidRDefault="00203F72" w:rsidP="007B2912">
            <w:pPr>
              <w:jc w:val="center"/>
            </w:pPr>
            <w:r w:rsidRPr="00A53581">
              <w:t>46570</w:t>
            </w:r>
          </w:p>
        </w:tc>
      </w:tr>
      <w:tr w:rsidR="00203F72" w:rsidRPr="00A53581" w14:paraId="315F317F"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15E248AE" w14:textId="77777777" w:rsidR="00203F72" w:rsidRPr="00A53581" w:rsidRDefault="00203F72" w:rsidP="007B2912">
            <w:pPr>
              <w:jc w:val="center"/>
            </w:pPr>
            <w:r w:rsidRPr="00A53581">
              <w:t>2013</w:t>
            </w:r>
          </w:p>
        </w:tc>
        <w:tc>
          <w:tcPr>
            <w:tcW w:w="6120" w:type="dxa"/>
            <w:tcBorders>
              <w:top w:val="single" w:sz="4" w:space="0" w:color="auto"/>
              <w:left w:val="single" w:sz="4" w:space="0" w:color="auto"/>
              <w:bottom w:val="single" w:sz="4" w:space="0" w:color="auto"/>
              <w:right w:val="single" w:sz="4" w:space="0" w:color="auto"/>
            </w:tcBorders>
            <w:hideMark/>
          </w:tcPr>
          <w:p w14:paraId="250AFB80" w14:textId="77777777" w:rsidR="00203F72" w:rsidRPr="00A53581" w:rsidRDefault="00203F72" w:rsidP="007B2912">
            <w:pPr>
              <w:jc w:val="center"/>
            </w:pPr>
            <w:r w:rsidRPr="00A53581">
              <w:t>44758</w:t>
            </w:r>
          </w:p>
        </w:tc>
      </w:tr>
    </w:tbl>
    <w:p w14:paraId="2BFAA05E" w14:textId="77777777"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8" w:history="1">
        <w:r w:rsidR="00203F72" w:rsidRPr="007B2912">
          <w:rPr>
            <w:rStyle w:val="a5"/>
          </w:rPr>
          <w:t>Trafficking in Persons Report 201</w:t>
        </w:r>
      </w:hyperlink>
      <w:r w:rsidR="00203F72" w:rsidRPr="007B2912">
        <w:t xml:space="preserve">4 , retrieved 08/04, 2014, from </w:t>
      </w:r>
      <w:hyperlink r:id="rId2219" w:history="1">
        <w:r w:rsidR="00203F72" w:rsidRPr="007B2912">
          <w:rPr>
            <w:rStyle w:val="a5"/>
          </w:rPr>
          <w:t>http://www.state.gov/</w:t>
        </w:r>
      </w:hyperlink>
      <w:r w:rsidR="00203F72" w:rsidRPr="007B2912">
        <w:t>.</w:t>
      </w:r>
    </w:p>
    <w:p w14:paraId="48E6F7B6" w14:textId="77777777" w:rsidR="007B2912" w:rsidRDefault="007B2912" w:rsidP="007B2912"/>
    <w:p w14:paraId="5FB9D87B" w14:textId="46BB1BC2" w:rsidR="00203F72" w:rsidRPr="007B2912" w:rsidRDefault="00B03E84" w:rsidP="007B2912">
      <w:r w:rsidRPr="007B2912">
        <w:t>【</w:t>
      </w:r>
      <w:r w:rsidRPr="007B2912">
        <w:t>table</w:t>
      </w:r>
      <w:r w:rsidR="005E23E3" w:rsidRPr="007B2912">
        <w:t>】</w:t>
      </w:r>
      <w:r w:rsidR="00076467">
        <w:rPr>
          <w:noProof/>
        </w:rPr>
        <w:fldChar w:fldCharType="begin"/>
      </w:r>
      <w:r w:rsidR="00076467">
        <w:rPr>
          <w:noProof/>
        </w:rPr>
        <w:instrText xml:space="preserve"> SEQ table \* ARABIC</w:instrText>
      </w:r>
      <w:r w:rsidR="00076467">
        <w:rPr>
          <w:noProof/>
        </w:rPr>
        <w:instrText xml:space="preserve"> </w:instrText>
      </w:r>
      <w:r w:rsidR="00076467">
        <w:rPr>
          <w:noProof/>
        </w:rPr>
        <w:fldChar w:fldCharType="separate"/>
      </w:r>
      <w:r w:rsidR="00D935B9">
        <w:rPr>
          <w:noProof/>
        </w:rPr>
        <w:t>97</w:t>
      </w:r>
      <w:r w:rsidR="00076467">
        <w:rPr>
          <w:noProof/>
        </w:rPr>
        <w:fldChar w:fldCharType="end"/>
      </w:r>
      <w:r w:rsidR="00203F72" w:rsidRPr="007B2912">
        <w:t xml:space="preserve"> </w:t>
      </w:r>
      <w:r w:rsidR="00203F72" w:rsidRPr="007B2912">
        <w:t>東亞及太平洋地區防制人口販運有關被辨識為被害人人數執法統計數據表</w:t>
      </w:r>
      <w:r w:rsidR="00203F72" w:rsidRPr="007B2912">
        <w:footnoteReference w:id="859"/>
      </w:r>
      <w:r w:rsidR="00203F72" w:rsidRPr="007B2912">
        <w:t>(</w:t>
      </w:r>
      <w:r w:rsidR="00203F72" w:rsidRPr="007B2912">
        <w:t>單位：人數</w:t>
      </w:r>
      <w:r w:rsidR="00203F72" w:rsidRPr="007B2912">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120"/>
      </w:tblGrid>
      <w:tr w:rsidR="00203F72" w:rsidRPr="00A53581" w14:paraId="6EF693B1" w14:textId="77777777" w:rsidTr="00515D85">
        <w:trPr>
          <w:tblHeader/>
        </w:trPr>
        <w:tc>
          <w:tcPr>
            <w:tcW w:w="1908" w:type="dxa"/>
            <w:tcBorders>
              <w:top w:val="single" w:sz="4" w:space="0" w:color="auto"/>
              <w:left w:val="single" w:sz="4" w:space="0" w:color="auto"/>
              <w:bottom w:val="single" w:sz="4" w:space="0" w:color="auto"/>
              <w:right w:val="single" w:sz="4" w:space="0" w:color="auto"/>
            </w:tcBorders>
            <w:shd w:val="clear" w:color="auto" w:fill="FAF0FA"/>
            <w:hideMark/>
          </w:tcPr>
          <w:p w14:paraId="77B2DEF1" w14:textId="77777777" w:rsidR="00203F72" w:rsidRPr="00A53581" w:rsidRDefault="00203F72" w:rsidP="007B2912">
            <w:pPr>
              <w:jc w:val="center"/>
            </w:pPr>
            <w:r w:rsidRPr="00A53581">
              <w:t>年度</w:t>
            </w:r>
          </w:p>
        </w:tc>
        <w:tc>
          <w:tcPr>
            <w:tcW w:w="6120" w:type="dxa"/>
            <w:tcBorders>
              <w:top w:val="single" w:sz="4" w:space="0" w:color="auto"/>
              <w:left w:val="single" w:sz="4" w:space="0" w:color="auto"/>
              <w:bottom w:val="single" w:sz="4" w:space="0" w:color="auto"/>
              <w:right w:val="single" w:sz="4" w:space="0" w:color="auto"/>
            </w:tcBorders>
            <w:shd w:val="clear" w:color="auto" w:fill="FAF0FA"/>
            <w:hideMark/>
          </w:tcPr>
          <w:p w14:paraId="241FB1D9" w14:textId="77777777" w:rsidR="00203F72" w:rsidRPr="00A53581" w:rsidRDefault="00203F72" w:rsidP="007B2912">
            <w:pPr>
              <w:jc w:val="center"/>
            </w:pPr>
            <w:r w:rsidRPr="00A53581">
              <w:t>被辨識為被害人人數</w:t>
            </w:r>
            <w:r w:rsidRPr="00A53581">
              <w:t>(</w:t>
            </w:r>
            <w:r w:rsidRPr="00A53581">
              <w:t>計含性剝削與勞力剝削總合</w:t>
            </w:r>
            <w:r w:rsidRPr="00A53581">
              <w:t>)</w:t>
            </w:r>
          </w:p>
        </w:tc>
      </w:tr>
      <w:tr w:rsidR="00203F72" w:rsidRPr="00A53581" w14:paraId="268274D1"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048CE08B" w14:textId="77777777" w:rsidR="00203F72" w:rsidRPr="00A53581" w:rsidRDefault="00203F72" w:rsidP="007B2912">
            <w:pPr>
              <w:jc w:val="center"/>
            </w:pPr>
            <w:r w:rsidRPr="00A53581">
              <w:t>2007</w:t>
            </w:r>
          </w:p>
        </w:tc>
        <w:tc>
          <w:tcPr>
            <w:tcW w:w="6120" w:type="dxa"/>
            <w:tcBorders>
              <w:top w:val="single" w:sz="4" w:space="0" w:color="auto"/>
              <w:left w:val="single" w:sz="4" w:space="0" w:color="auto"/>
              <w:bottom w:val="single" w:sz="4" w:space="0" w:color="auto"/>
              <w:right w:val="single" w:sz="4" w:space="0" w:color="auto"/>
            </w:tcBorders>
            <w:hideMark/>
          </w:tcPr>
          <w:p w14:paraId="2B8EF60F" w14:textId="77777777" w:rsidR="00203F72" w:rsidRPr="00A53581" w:rsidRDefault="00203F72" w:rsidP="007B2912">
            <w:pPr>
              <w:jc w:val="center"/>
            </w:pPr>
            <w:r w:rsidRPr="00A53581">
              <w:t>未統計</w:t>
            </w:r>
          </w:p>
        </w:tc>
      </w:tr>
      <w:tr w:rsidR="00203F72" w:rsidRPr="00A53581" w14:paraId="6113095A"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75C847D2" w14:textId="77777777" w:rsidR="00203F72" w:rsidRPr="00A53581" w:rsidRDefault="00203F72" w:rsidP="007B2912">
            <w:pPr>
              <w:jc w:val="center"/>
            </w:pPr>
            <w:r w:rsidRPr="00A53581">
              <w:t>2008</w:t>
            </w:r>
          </w:p>
        </w:tc>
        <w:tc>
          <w:tcPr>
            <w:tcW w:w="6120" w:type="dxa"/>
            <w:tcBorders>
              <w:top w:val="single" w:sz="4" w:space="0" w:color="auto"/>
              <w:left w:val="single" w:sz="4" w:space="0" w:color="auto"/>
              <w:bottom w:val="single" w:sz="4" w:space="0" w:color="auto"/>
              <w:right w:val="single" w:sz="4" w:space="0" w:color="auto"/>
            </w:tcBorders>
            <w:hideMark/>
          </w:tcPr>
          <w:p w14:paraId="1F783196" w14:textId="77777777" w:rsidR="00203F72" w:rsidRPr="00A53581" w:rsidRDefault="00203F72" w:rsidP="007B2912">
            <w:pPr>
              <w:jc w:val="center"/>
            </w:pPr>
            <w:r w:rsidRPr="00A53581">
              <w:t>3374</w:t>
            </w:r>
          </w:p>
        </w:tc>
      </w:tr>
      <w:tr w:rsidR="00203F72" w:rsidRPr="00A53581" w14:paraId="03420961"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325AB4F0" w14:textId="77777777" w:rsidR="00203F72" w:rsidRPr="00A53581" w:rsidRDefault="00203F72" w:rsidP="007B2912">
            <w:pPr>
              <w:jc w:val="center"/>
            </w:pPr>
            <w:r w:rsidRPr="00A53581">
              <w:t>2009</w:t>
            </w:r>
          </w:p>
        </w:tc>
        <w:tc>
          <w:tcPr>
            <w:tcW w:w="6120" w:type="dxa"/>
            <w:tcBorders>
              <w:top w:val="single" w:sz="4" w:space="0" w:color="auto"/>
              <w:left w:val="single" w:sz="4" w:space="0" w:color="auto"/>
              <w:bottom w:val="single" w:sz="4" w:space="0" w:color="auto"/>
              <w:right w:val="single" w:sz="4" w:space="0" w:color="auto"/>
            </w:tcBorders>
            <w:hideMark/>
          </w:tcPr>
          <w:p w14:paraId="5CDC1C99" w14:textId="77777777" w:rsidR="00203F72" w:rsidRPr="00A53581" w:rsidRDefault="00203F72" w:rsidP="007B2912">
            <w:pPr>
              <w:jc w:val="center"/>
            </w:pPr>
            <w:r w:rsidRPr="00A53581">
              <w:t>5238</w:t>
            </w:r>
          </w:p>
        </w:tc>
      </w:tr>
      <w:tr w:rsidR="00203F72" w:rsidRPr="00A53581" w14:paraId="64FF3F1F"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176E8204" w14:textId="77777777" w:rsidR="00203F72" w:rsidRPr="00A53581" w:rsidRDefault="00203F72" w:rsidP="007B2912">
            <w:pPr>
              <w:jc w:val="center"/>
            </w:pPr>
            <w:r w:rsidRPr="00A53581">
              <w:t>2010</w:t>
            </w:r>
          </w:p>
        </w:tc>
        <w:tc>
          <w:tcPr>
            <w:tcW w:w="6120" w:type="dxa"/>
            <w:tcBorders>
              <w:top w:val="single" w:sz="4" w:space="0" w:color="auto"/>
              <w:left w:val="single" w:sz="4" w:space="0" w:color="auto"/>
              <w:bottom w:val="single" w:sz="4" w:space="0" w:color="auto"/>
              <w:right w:val="single" w:sz="4" w:space="0" w:color="auto"/>
            </w:tcBorders>
            <w:hideMark/>
          </w:tcPr>
          <w:p w14:paraId="057E9AA4" w14:textId="77777777" w:rsidR="00203F72" w:rsidRPr="00A53581" w:rsidRDefault="00203F72" w:rsidP="007B2912">
            <w:pPr>
              <w:jc w:val="center"/>
            </w:pPr>
            <w:r w:rsidRPr="00A53581">
              <w:t>2597</w:t>
            </w:r>
          </w:p>
        </w:tc>
      </w:tr>
      <w:tr w:rsidR="00203F72" w:rsidRPr="00A53581" w14:paraId="6D6BA94C"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2F257549" w14:textId="77777777" w:rsidR="00203F72" w:rsidRPr="00A53581" w:rsidRDefault="00203F72" w:rsidP="007B2912">
            <w:pPr>
              <w:jc w:val="center"/>
            </w:pPr>
            <w:r w:rsidRPr="00A53581">
              <w:t>2011</w:t>
            </w:r>
          </w:p>
        </w:tc>
        <w:tc>
          <w:tcPr>
            <w:tcW w:w="6120" w:type="dxa"/>
            <w:tcBorders>
              <w:top w:val="single" w:sz="4" w:space="0" w:color="auto"/>
              <w:left w:val="single" w:sz="4" w:space="0" w:color="auto"/>
              <w:bottom w:val="single" w:sz="4" w:space="0" w:color="auto"/>
              <w:right w:val="single" w:sz="4" w:space="0" w:color="auto"/>
            </w:tcBorders>
            <w:hideMark/>
          </w:tcPr>
          <w:p w14:paraId="4B113002" w14:textId="77777777" w:rsidR="00203F72" w:rsidRPr="00A53581" w:rsidRDefault="00203F72" w:rsidP="007B2912">
            <w:pPr>
              <w:jc w:val="center"/>
            </w:pPr>
            <w:r w:rsidRPr="00A53581">
              <w:t>8454</w:t>
            </w:r>
          </w:p>
        </w:tc>
      </w:tr>
      <w:tr w:rsidR="00203F72" w:rsidRPr="00A53581" w14:paraId="24F1C720"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564AAA04" w14:textId="77777777" w:rsidR="00203F72" w:rsidRPr="00A53581" w:rsidRDefault="00203F72" w:rsidP="007B2912">
            <w:pPr>
              <w:jc w:val="center"/>
            </w:pPr>
            <w:r w:rsidRPr="00A53581">
              <w:t>2012</w:t>
            </w:r>
          </w:p>
        </w:tc>
        <w:tc>
          <w:tcPr>
            <w:tcW w:w="6120" w:type="dxa"/>
            <w:tcBorders>
              <w:top w:val="single" w:sz="4" w:space="0" w:color="auto"/>
              <w:left w:val="single" w:sz="4" w:space="0" w:color="auto"/>
              <w:bottom w:val="single" w:sz="4" w:space="0" w:color="auto"/>
              <w:right w:val="single" w:sz="4" w:space="0" w:color="auto"/>
            </w:tcBorders>
            <w:hideMark/>
          </w:tcPr>
          <w:p w14:paraId="09693A64" w14:textId="77777777" w:rsidR="00203F72" w:rsidRPr="00A53581" w:rsidRDefault="00203F72" w:rsidP="007B2912">
            <w:pPr>
              <w:jc w:val="center"/>
            </w:pPr>
            <w:r w:rsidRPr="00A53581">
              <w:t>8521</w:t>
            </w:r>
          </w:p>
        </w:tc>
      </w:tr>
      <w:tr w:rsidR="00203F72" w:rsidRPr="00A53581" w14:paraId="3D433305" w14:textId="77777777" w:rsidTr="00203F72">
        <w:tc>
          <w:tcPr>
            <w:tcW w:w="1908" w:type="dxa"/>
            <w:tcBorders>
              <w:top w:val="single" w:sz="4" w:space="0" w:color="auto"/>
              <w:left w:val="single" w:sz="4" w:space="0" w:color="auto"/>
              <w:bottom w:val="single" w:sz="4" w:space="0" w:color="auto"/>
              <w:right w:val="single" w:sz="4" w:space="0" w:color="auto"/>
            </w:tcBorders>
            <w:hideMark/>
          </w:tcPr>
          <w:p w14:paraId="6A70E453" w14:textId="77777777" w:rsidR="00203F72" w:rsidRPr="00A53581" w:rsidRDefault="00203F72" w:rsidP="007B2912">
            <w:pPr>
              <w:jc w:val="center"/>
            </w:pPr>
            <w:r w:rsidRPr="00A53581">
              <w:t>2013</w:t>
            </w:r>
          </w:p>
        </w:tc>
        <w:tc>
          <w:tcPr>
            <w:tcW w:w="6120" w:type="dxa"/>
            <w:tcBorders>
              <w:top w:val="single" w:sz="4" w:space="0" w:color="auto"/>
              <w:left w:val="single" w:sz="4" w:space="0" w:color="auto"/>
              <w:bottom w:val="single" w:sz="4" w:space="0" w:color="auto"/>
              <w:right w:val="single" w:sz="4" w:space="0" w:color="auto"/>
            </w:tcBorders>
            <w:hideMark/>
          </w:tcPr>
          <w:p w14:paraId="07F42BDB" w14:textId="77777777" w:rsidR="00203F72" w:rsidRPr="00A53581" w:rsidRDefault="00203F72" w:rsidP="007B2912">
            <w:pPr>
              <w:jc w:val="center"/>
            </w:pPr>
            <w:r w:rsidRPr="00A53581">
              <w:t>7886</w:t>
            </w:r>
          </w:p>
        </w:tc>
      </w:tr>
    </w:tbl>
    <w:p w14:paraId="56092513" w14:textId="77777777"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20" w:history="1">
        <w:r w:rsidR="00203F72" w:rsidRPr="007B2912">
          <w:rPr>
            <w:rStyle w:val="a5"/>
          </w:rPr>
          <w:t>Trafficking in Persons Report 201</w:t>
        </w:r>
      </w:hyperlink>
      <w:r w:rsidR="00203F72" w:rsidRPr="007B2912">
        <w:t xml:space="preserve">4 , retrieved 08/04, 2014, from </w:t>
      </w:r>
      <w:hyperlink r:id="rId2221" w:history="1">
        <w:r w:rsidR="00203F72" w:rsidRPr="007B2912">
          <w:rPr>
            <w:rStyle w:val="a5"/>
          </w:rPr>
          <w:t>http://www.state.gov/</w:t>
        </w:r>
      </w:hyperlink>
      <w:r w:rsidR="00203F72" w:rsidRPr="007B2912">
        <w:t>.</w:t>
      </w:r>
    </w:p>
    <w:p w14:paraId="37E03713" w14:textId="77777777" w:rsidR="00953151" w:rsidRDefault="00170AAF" w:rsidP="00D87D91">
      <w:r>
        <w:rPr>
          <w:rFonts w:hint="eastAsia"/>
        </w:rPr>
        <w:t xml:space="preserve">　　</w:t>
      </w:r>
      <w:r w:rsidR="00203F72" w:rsidRPr="00170AAF">
        <w:t>四、</w:t>
      </w:r>
      <w:r w:rsidR="00203F72" w:rsidRPr="00170AAF">
        <w:t>1R</w:t>
      </w:r>
      <w:r w:rsidR="00D92F56">
        <w:t>〜</w:t>
      </w:r>
      <w:r w:rsidR="00203F72" w:rsidRPr="00170AAF">
        <w:t>人口販運受刑人之矯正、處遇與治療</w:t>
      </w:r>
      <w:r w:rsidR="00203F72" w:rsidRPr="00170AAF">
        <w:t>(Rehabilitation)</w:t>
      </w:r>
      <w:r w:rsidR="00203F72" w:rsidRPr="00170AAF">
        <w:t>，未受到全球政府部門之重</w:t>
      </w:r>
      <w:r w:rsidR="003E240E">
        <w:t>視</w:t>
      </w:r>
    </w:p>
    <w:p w14:paraId="2FADA055" w14:textId="77777777" w:rsidR="00953151" w:rsidRDefault="00170AAF" w:rsidP="00D87D91">
      <w:r>
        <w:t xml:space="preserve">　　</w:t>
      </w:r>
      <w:r w:rsidR="00203F72" w:rsidRPr="00A53581">
        <w:t>根據美國</w:t>
      </w:r>
      <w:r w:rsidR="00203F72" w:rsidRPr="00A53581">
        <w:rPr>
          <w:lang w:val="en"/>
        </w:rPr>
        <w:t>國務院</w:t>
      </w:r>
      <w:r w:rsidR="00203F72" w:rsidRPr="00A53581">
        <w:rPr>
          <w:lang w:val="en"/>
        </w:rPr>
        <w:t xml:space="preserve">(U.S. State Department) </w:t>
      </w:r>
      <w:r w:rsidR="00203F72" w:rsidRPr="00A53581">
        <w:t>歷年來</w:t>
      </w:r>
      <w:r w:rsidR="00203F72" w:rsidRPr="00A53581">
        <w:rPr>
          <w:lang w:val="en"/>
        </w:rPr>
        <w:t>TIP</w:t>
      </w:r>
      <w:r w:rsidR="00203F72" w:rsidRPr="00A53581">
        <w:rPr>
          <w:lang w:val="en"/>
        </w:rPr>
        <w:t>之報告，清一色重</w:t>
      </w:r>
      <w:r w:rsidR="003E240E">
        <w:rPr>
          <w:lang w:val="en"/>
        </w:rPr>
        <w:t>視</w:t>
      </w:r>
      <w:r w:rsidR="00203F72" w:rsidRPr="00A53581">
        <w:rPr>
          <w:lang w:val="en"/>
        </w:rPr>
        <w:t>4P</w:t>
      </w:r>
      <w:r w:rsidR="00203F72" w:rsidRPr="00A53581">
        <w:rPr>
          <w:lang w:val="en"/>
        </w:rPr>
        <w:t>之工作，未見其對於</w:t>
      </w:r>
      <w:r w:rsidR="00203F72" w:rsidRPr="00A53581">
        <w:t>人口販運受刑人之矯正與治療有所著墨。此種重</w:t>
      </w:r>
      <w:r w:rsidR="003E240E">
        <w:t>視</w:t>
      </w:r>
      <w:r w:rsidR="00203F72" w:rsidRPr="00A53581">
        <w:t>偵查及審判工作，而輕忽人口販運受刑人之矯正與處遇，對於防治人口販運而言，仍是屬於有所不足。假若人口販運受刑人之矯正不落實，則人口販運受刑人出獄後，仍很有可能成為犯罪人，此會加重人口販運之嚴重性，值得全球重</w:t>
      </w:r>
      <w:r w:rsidR="003E240E">
        <w:t>視</w:t>
      </w:r>
      <w:r w:rsidR="00203F72" w:rsidRPr="00A53581">
        <w:t>之。</w:t>
      </w:r>
    </w:p>
    <w:p w14:paraId="32EC9AD9" w14:textId="77777777" w:rsidR="00515D85" w:rsidRDefault="00515D85" w:rsidP="007B2912">
      <w:pPr>
        <w:jc w:val="right"/>
        <w:rPr>
          <w:rFonts w:ascii="新細明體" w:hAnsi="新細明體"/>
        </w:rPr>
      </w:pPr>
      <w:r w:rsidRPr="0026266A">
        <w:rPr>
          <w:rFonts w:hint="eastAsia"/>
        </w:rPr>
        <w:t>。。。。。。。。。。。。。。。。。。。。。。。。。</w:t>
      </w:r>
      <w:hyperlink w:anchor="a目次38" w:history="1">
        <w:r>
          <w:rPr>
            <w:rStyle w:val="a5"/>
            <w:sz w:val="18"/>
          </w:rPr>
          <w:t>回目次</w:t>
        </w:r>
      </w:hyperlink>
      <w:r w:rsidR="00E91F89">
        <w:rPr>
          <w:rFonts w:ascii="新細明體" w:hAnsi="新細明體"/>
          <w:color w:val="808000"/>
        </w:rPr>
        <w:t>〉〉</w:t>
      </w:r>
    </w:p>
    <w:p w14:paraId="39FD32A0" w14:textId="77777777" w:rsidR="00515D85" w:rsidRDefault="00515D85" w:rsidP="00D87D91"/>
    <w:p w14:paraId="418BFC04" w14:textId="77777777" w:rsidR="00203F72" w:rsidRPr="00A53581" w:rsidRDefault="00203F72" w:rsidP="00767F37">
      <w:pPr>
        <w:pStyle w:val="2"/>
      </w:pPr>
      <w:bookmarkStart w:id="109" w:name="_肆、台灣面臨人口販運問題之檢討與回顧"/>
      <w:bookmarkEnd w:id="109"/>
      <w:r w:rsidRPr="00A53581">
        <w:t>肆、台灣面臨人口販運問題之檢討與回顧</w:t>
      </w:r>
      <w:r w:rsidRPr="00A53581">
        <w:t xml:space="preserve"> </w:t>
      </w:r>
    </w:p>
    <w:p w14:paraId="325001C4" w14:textId="77777777" w:rsidR="00203F72" w:rsidRPr="00515D85" w:rsidRDefault="00170AAF" w:rsidP="00D87D91">
      <w:r w:rsidRPr="00515D85">
        <w:t xml:space="preserve">　　</w:t>
      </w:r>
      <w:r w:rsidR="00203F72" w:rsidRPr="00515D85">
        <w:t>在全球各國反制人口販運犯行的努力與作為上，美國政府作出了極為巨大的貢獻與付出。美國的國務院，它是全球防制人口販運的火車頭，從</w:t>
      </w:r>
      <w:r w:rsidR="00203F72" w:rsidRPr="00515D85">
        <w:t>2004</w:t>
      </w:r>
      <w:r w:rsidR="00203F72" w:rsidRPr="00515D85">
        <w:t>年至今，約在每年的</w:t>
      </w:r>
      <w:r w:rsidR="00203F72" w:rsidRPr="00515D85">
        <w:t>6</w:t>
      </w:r>
      <w:r w:rsidR="00203F72" w:rsidRPr="00515D85">
        <w:t>月，均會發布全球人口販運問題的報告書（</w:t>
      </w:r>
      <w:r w:rsidR="00203F72" w:rsidRPr="00515D85">
        <w:t>Trafficking in Persons</w:t>
      </w:r>
      <w:r w:rsidR="00203F72" w:rsidRPr="00515D85">
        <w:t>，簡稱為</w:t>
      </w:r>
      <w:r w:rsidR="00203F72" w:rsidRPr="00515D85">
        <w:t>TIP</w:t>
      </w:r>
      <w:r w:rsidR="00203F72" w:rsidRPr="00515D85">
        <w:t>），內容會詳盡地描述各國所面對的人口販運問題，及其防制與打擊作為。</w:t>
      </w:r>
    </w:p>
    <w:p w14:paraId="42608DA6" w14:textId="77777777" w:rsidR="00953151" w:rsidRPr="00515D85" w:rsidRDefault="00170AAF" w:rsidP="00D87D91">
      <w:r w:rsidRPr="00515D85">
        <w:t xml:space="preserve">　　</w:t>
      </w:r>
      <w:r w:rsidR="00203F72" w:rsidRPr="00515D85">
        <w:t>有關於台灣面臨人口販運問題之檢討方面，本書擬以美國在</w:t>
      </w:r>
      <w:r w:rsidR="00203F72" w:rsidRPr="00515D85">
        <w:t>2003</w:t>
      </w:r>
      <w:r w:rsidR="00203F72" w:rsidRPr="00515D85">
        <w:t>年通過之「人口販運被害人保護授權法」，與上述之人口販運問題的報告書（</w:t>
      </w:r>
      <w:r w:rsidR="00203F72" w:rsidRPr="00515D85">
        <w:t>Trafficking in Persons</w:t>
      </w:r>
      <w:r w:rsidR="00203F72" w:rsidRPr="00515D85">
        <w:t>，簡稱為</w:t>
      </w:r>
      <w:r w:rsidR="00203F72" w:rsidRPr="00515D85">
        <w:t>TIP</w:t>
      </w:r>
      <w:r w:rsidR="00203F72" w:rsidRPr="00515D85">
        <w:t>）作為討論之基準，檢</w:t>
      </w:r>
      <w:r w:rsidR="003E240E">
        <w:t>視</w:t>
      </w:r>
      <w:r w:rsidR="00203F72" w:rsidRPr="00515D85">
        <w:t>台灣歷年於</w:t>
      </w:r>
      <w:r w:rsidR="00203F72" w:rsidRPr="00515D85">
        <w:t>TVPR</w:t>
      </w:r>
      <w:r w:rsidR="00203F72" w:rsidRPr="00515D85">
        <w:footnoteReference w:id="860"/>
      </w:r>
      <w:r w:rsidR="00203F72" w:rsidRPr="00515D85">
        <w:t>評比之等級，與台灣面臨人口販運之相關問題，玆將人口販運問題的報告書（</w:t>
      </w:r>
      <w:r w:rsidR="00203F72" w:rsidRPr="00515D85">
        <w:t>Trafficking in Persons</w:t>
      </w:r>
      <w:r w:rsidR="00203F72" w:rsidRPr="00515D85">
        <w:t>，簡稱為</w:t>
      </w:r>
      <w:r w:rsidR="00203F72" w:rsidRPr="00515D85">
        <w:t>TIP</w:t>
      </w:r>
      <w:r w:rsidR="00203F72" w:rsidRPr="00515D85">
        <w:t>）摘要整理，如下所述</w:t>
      </w:r>
      <w:r w:rsidR="00203F72" w:rsidRPr="00515D85">
        <w:footnoteReference w:id="861"/>
      </w:r>
      <w:r w:rsidR="00203F72" w:rsidRPr="00515D85">
        <w:t>：</w:t>
      </w:r>
    </w:p>
    <w:p w14:paraId="0D270428" w14:textId="77777777" w:rsidR="00203F72" w:rsidRPr="00515D85" w:rsidRDefault="00170AAF" w:rsidP="00D87D91">
      <w:r w:rsidRPr="00515D85">
        <w:t xml:space="preserve">　　</w:t>
      </w:r>
      <w:r w:rsidR="00203F72" w:rsidRPr="00515D85">
        <w:t>1. 2003</w:t>
      </w:r>
      <w:r w:rsidR="00203F72" w:rsidRPr="00515D85">
        <w:t>年（第二級）：號稱人權立國之台灣，人口販運問題嚴重之程度，在東亞經濟發展程度較高之國家中，僅次於日本，與香港並列第二。</w:t>
      </w:r>
    </w:p>
    <w:p w14:paraId="2CD726C2" w14:textId="77777777" w:rsidR="00203F72" w:rsidRPr="00515D85" w:rsidRDefault="00170AAF" w:rsidP="00D87D91">
      <w:r w:rsidRPr="00515D85">
        <w:t xml:space="preserve">　　</w:t>
      </w:r>
      <w:r w:rsidR="00203F72" w:rsidRPr="00515D85">
        <w:t>2. 2004</w:t>
      </w:r>
      <w:r w:rsidR="00203F72" w:rsidRPr="00515D85">
        <w:t>年（第一級）：台灣是人口販運之來源地，同時亦是中轉地、目的地。並認為台灣當局已認知人口販運之嚴重性，在案件之偵查與預防上均極為努力，達到杜絕人口販運之最低標準。</w:t>
      </w:r>
    </w:p>
    <w:p w14:paraId="54F6AB1B" w14:textId="77777777" w:rsidR="00203F72" w:rsidRPr="00515D85" w:rsidRDefault="00170AAF" w:rsidP="00D87D91">
      <w:r w:rsidRPr="00515D85">
        <w:t xml:space="preserve">　　</w:t>
      </w:r>
      <w:r w:rsidR="00203F72" w:rsidRPr="00515D85">
        <w:t>3. 2005</w:t>
      </w:r>
      <w:r w:rsidR="00203F72" w:rsidRPr="00515D85">
        <w:t>年（第二級）：台灣是從事性剝削而被販運之女子之主要輸入地，這些女子大多數來自中國大陸，她們被暴力脅迫從事賣淫，或以工作、婚姻為餌被騙來臺。台灣當局並未完全達到杜絕人口販運之最低標準，不過，台灣當時非常賣力欲達至此一目標，並已加強努力保護販運受害者。</w:t>
      </w:r>
    </w:p>
    <w:p w14:paraId="160F015B" w14:textId="77777777" w:rsidR="00203F72" w:rsidRPr="00515D85" w:rsidRDefault="00170AAF" w:rsidP="00D87D91">
      <w:r w:rsidRPr="00515D85">
        <w:t xml:space="preserve">　　</w:t>
      </w:r>
      <w:r w:rsidR="00203F72" w:rsidRPr="00515D85">
        <w:t>4. 2006</w:t>
      </w:r>
      <w:r w:rsidR="00203F72" w:rsidRPr="00515D85">
        <w:t>年（第二級觀察名單）：台灣主要是遭受強迫勞動與性剝削之男性、女性及兒童被販運之目的地，來自中華人民共和國及東南亞國家之婦女被販運至台灣，目的是被強迫勞動及被性剝削。儘管台灣擁有充裕之資源，過去一年以來它是否已盡力解決人口販運（特別是處理東南亞外勞及新娘合法入境後遭遇之強迫勞動與性奴役）仍不無疑問。</w:t>
      </w:r>
    </w:p>
    <w:p w14:paraId="58B3ABAA" w14:textId="77777777" w:rsidR="00203F72" w:rsidRPr="00515D85" w:rsidRDefault="00170AAF" w:rsidP="00D87D91">
      <w:r w:rsidRPr="00515D85">
        <w:t xml:space="preserve">　　</w:t>
      </w:r>
      <w:r w:rsidR="00203F72" w:rsidRPr="00515D85">
        <w:t>5. 2007</w:t>
      </w:r>
      <w:r w:rsidR="00203F72" w:rsidRPr="00515D85">
        <w:t>年（第二級）：（入出國及移民署成立）台灣被列為第二級，比第一級之香港還差，但比第二級觀察名單之中國、澳門尚佳。美方國務院官員強調，台灣比香港差之原因，主要是尚未制定防制人口販運之專法，台灣政府應該主動保護被害人，始能將人口販運之蛇頭一網打盡。</w:t>
      </w:r>
    </w:p>
    <w:p w14:paraId="7FCD8E04" w14:textId="77777777" w:rsidR="00203F72" w:rsidRPr="00515D85" w:rsidRDefault="00170AAF" w:rsidP="00D87D91">
      <w:r w:rsidRPr="00515D85">
        <w:t xml:space="preserve">　　</w:t>
      </w:r>
      <w:r w:rsidR="00203F72" w:rsidRPr="00515D85">
        <w:t>6. 2008</w:t>
      </w:r>
      <w:r w:rsidR="00203F72" w:rsidRPr="00515D85">
        <w:t>年（第二級）：台灣當局未能完全符合消除人口販運之最低標準；但當局正十分努力於達到這些標準。在報告期間台灣當局有明顯之進步，包括加強調查與起訴人口販運案件；通過台灣移民法修正案，大幅強化對人口販運受害者之法律保護。</w:t>
      </w:r>
    </w:p>
    <w:p w14:paraId="0BCE39ED" w14:textId="77777777" w:rsidR="00203F72" w:rsidRPr="00515D85" w:rsidRDefault="00170AAF" w:rsidP="00D87D91">
      <w:r w:rsidRPr="00515D85">
        <w:t xml:space="preserve">　　</w:t>
      </w:r>
      <w:r w:rsidR="00203F72" w:rsidRPr="00515D85">
        <w:t>7. 2009</w:t>
      </w:r>
      <w:r w:rsidR="00203F72" w:rsidRPr="00515D85">
        <w:t>年（第二級）：台灣當局未能完全符合消除人口販運之最低標準；但當局正十分努力於達到這些標準。有關當局亦提供執法人員、社工和司法人員相關之訓練，並強化偵辦技巧和提升對人口販運、被害人保護與有關法律議題之瞭解。唯過去一年台灣在被害人鑑別與保護之努力上仍有不足。但非政府組織指出，仍有移民、警察和地方之執法官員將販運被害人</w:t>
      </w:r>
      <w:r w:rsidR="003E240E">
        <w:t>視</w:t>
      </w:r>
      <w:r w:rsidR="00203F72" w:rsidRPr="00515D85">
        <w:t>為逃逸外勞或罪犯，令一些被害人非但得不到保護，反而受到制裁。</w:t>
      </w:r>
    </w:p>
    <w:p w14:paraId="0190DFFD" w14:textId="77777777" w:rsidR="00203F72" w:rsidRPr="00515D85" w:rsidRDefault="00170AAF" w:rsidP="00D87D91">
      <w:r w:rsidRPr="00515D85">
        <w:t xml:space="preserve">　　</w:t>
      </w:r>
      <w:r w:rsidR="00203F72" w:rsidRPr="00515D85">
        <w:t>8. 2010</w:t>
      </w:r>
      <w:r w:rsidR="00203F72" w:rsidRPr="00515D85">
        <w:t>年（第一級）：台灣當局完全符合消除人口販運之最低標準，並鑑別出</w:t>
      </w:r>
      <w:r w:rsidR="00203F72" w:rsidRPr="00515D85">
        <w:t>329</w:t>
      </w:r>
      <w:r w:rsidR="00203F72" w:rsidRPr="00515D85">
        <w:t>名人口販運之被害人，並提供被害人工作許可，令他們可以一邊賺錢，一邊協助起訴加害他們之人口販運罪犯。台灣應該加強對性剝削與勞動販運罪犯之起訴。當局應針對</w:t>
      </w:r>
      <w:r w:rsidR="00203F72" w:rsidRPr="00515D85">
        <w:t>2009</w:t>
      </w:r>
      <w:r w:rsidR="00203F72" w:rsidRPr="00515D85">
        <w:t>年</w:t>
      </w:r>
      <w:hyperlink r:id="rId2222" w:history="1">
        <w:r w:rsidR="00203F72" w:rsidRPr="00E91A5C">
          <w:rPr>
            <w:rStyle w:val="a5"/>
            <w:rFonts w:ascii="Times New Roman" w:eastAsia="新細明體" w:hAnsi="Times New Roman"/>
          </w:rPr>
          <w:t>人口販運防制法</w:t>
        </w:r>
      </w:hyperlink>
      <w:r w:rsidR="00203F72" w:rsidRPr="00515D85">
        <w:t>，持續訓練執法官員、檢察官和法官，並根據此法大大加強對性剝削與勞動販運之調查、起訴和定罪。</w:t>
      </w:r>
    </w:p>
    <w:p w14:paraId="2DEDAACD" w14:textId="77777777" w:rsidR="00203F72" w:rsidRPr="00515D85" w:rsidRDefault="00170AAF" w:rsidP="00D87D91">
      <w:r w:rsidRPr="00515D85">
        <w:t xml:space="preserve">　　</w:t>
      </w:r>
      <w:r w:rsidR="00203F72" w:rsidRPr="00515D85">
        <w:t>9. 2011</w:t>
      </w:r>
      <w:r w:rsidR="00203F72" w:rsidRPr="00515D85">
        <w:t>年（第一級）：台灣主要是以被強迫賣淫和強迫勞動為目的而販運之男、女及兒童之目的地。亦是少數以強迫賣淫和勞動為目的而販運之男、女及兒童之來源地和過境站。台灣大多數人口販運之被害人是來自越南、泰國、印尼、中國大陸、柬埔寨、菲律賓、孟加拉、和印度之勞工，透過招聘機構及仲介掮客被雇用，在台灣製造業和漁業從事低技術性工作，或充當家庭看護和家庭傭工；台灣亦是中國公民非法入境美國之過境站，這些中國公民在美國很可能會成為債務與被迫賣淫之被害人。</w:t>
      </w:r>
    </w:p>
    <w:p w14:paraId="11BE55AA" w14:textId="77777777" w:rsidR="00203F72" w:rsidRPr="00515D85" w:rsidRDefault="00170AAF" w:rsidP="00D87D91">
      <w:r w:rsidRPr="00515D85">
        <w:t xml:space="preserve">　　</w:t>
      </w:r>
      <w:r w:rsidR="00203F72" w:rsidRPr="00515D85">
        <w:t>10. 2012</w:t>
      </w:r>
      <w:r w:rsidR="00203F72" w:rsidRPr="00515D85">
        <w:t>年（第一級）：台灣主要是以性販運和強迫勞動為目的而販運之男、女及兒童之目的地；再者，亦是少數以性販運和強迫勞動為目的而販運男、女及兒童之來源地和過境站。台灣大多數人口販運之被害人是來自越南、泰國、印尼、中國大陸、柬埔寨、菲律賓、孟加拉、和印度之勞工，透過招聘機構及仲介掮客被僱用，在台灣之製造業和漁業從事低技術性工作，或充當家庭看護和家庭傭工，部分來自中國和東南亞國家之婦女與女童，因為假結婚或不實受雇機會而受騙來台，實則從事性販運或強迫勞動。</w:t>
      </w:r>
    </w:p>
    <w:p w14:paraId="4DE91BE8" w14:textId="77777777" w:rsidR="00203F72" w:rsidRPr="00515D85" w:rsidRDefault="00170AAF" w:rsidP="00D87D91">
      <w:r w:rsidRPr="00515D85">
        <w:t xml:space="preserve">　　</w:t>
      </w:r>
      <w:r w:rsidR="00203F72" w:rsidRPr="00515D85">
        <w:t>11. 2013</w:t>
      </w:r>
      <w:r w:rsidR="00203F72" w:rsidRPr="00515D85">
        <w:t>年</w:t>
      </w:r>
      <w:r w:rsidR="00203F72" w:rsidRPr="00515D85">
        <w:t xml:space="preserve"> (</w:t>
      </w:r>
      <w:r w:rsidR="00203F72" w:rsidRPr="00515D85">
        <w:t>第一級</w:t>
      </w:r>
      <w:r w:rsidR="00203F72" w:rsidRPr="00515D85">
        <w:t>)</w:t>
      </w:r>
      <w:r w:rsidR="00203F72" w:rsidRPr="00515D85">
        <w:t>：台灣是以性販運和強迫勞動為目的而被販運之男女及兒童之目的地；再者，亦是少數以性販運和強迫勞動為目的而被販運之男、女及兒童之來源地和過境站。台灣大多數人口販運之被害人，係來自越南、泰國、印尼、中國大陸、柬埔寨、菲律賓、孟加拉、和印度之勞工，透過招聘機構及仲介掮客被僱用，在台灣營造業和漁業界，從事低技術工作，或充當家庭看護和家庭幫傭。部分來自中國大陸和東南亞國家之婦女與女童，因為假結婚或不實受雇機會而受騙來台，實則進行性販運或強迫勞動。根據美國國務院</w:t>
      </w:r>
      <w:r w:rsidR="00203F72" w:rsidRPr="00515D85">
        <w:t>2013</w:t>
      </w:r>
      <w:r w:rsidR="00203F72" w:rsidRPr="00515D85">
        <w:t>年版本的</w:t>
      </w:r>
      <w:r w:rsidR="00203F72" w:rsidRPr="00515D85">
        <w:t>TIP</w:t>
      </w:r>
      <w:r w:rsidR="00203F72" w:rsidRPr="00515D85">
        <w:t>報告書，外勞在未到達台灣之前，須向仲介公司繳交近約</w:t>
      </w:r>
      <w:r w:rsidR="00203F72" w:rsidRPr="00515D85">
        <w:t>7700</w:t>
      </w:r>
      <w:r w:rsidR="00203F72" w:rsidRPr="00515D85">
        <w:t>美元的仲介與招募費用，近約</w:t>
      </w:r>
      <w:r w:rsidR="00203F72" w:rsidRPr="00515D85">
        <w:t>24</w:t>
      </w:r>
      <w:r w:rsidR="00203F72" w:rsidRPr="00515D85">
        <w:t>萬元新台幣（</w:t>
      </w:r>
      <w:r w:rsidR="00203F72" w:rsidRPr="00515D85">
        <w:t>7700</w:t>
      </w:r>
      <w:r w:rsidR="00203F72" w:rsidRPr="00515D85">
        <w:t>元</w:t>
      </w:r>
      <w:r w:rsidR="00203F72" w:rsidRPr="00515D85">
        <w:t>X31</w:t>
      </w:r>
      <w:r w:rsidR="00203F72" w:rsidRPr="00515D85">
        <w:t>元＝</w:t>
      </w:r>
      <w:r w:rsidR="00203F72" w:rsidRPr="00515D85">
        <w:t>238700</w:t>
      </w:r>
      <w:r w:rsidR="00203F72" w:rsidRPr="00515D85">
        <w:t>元）。如此高的招募與仲介費用，造成外勞前</w:t>
      </w:r>
      <w:r w:rsidR="00203F72" w:rsidRPr="00515D85">
        <w:t>2</w:t>
      </w:r>
      <w:r w:rsidR="00203F72" w:rsidRPr="00515D85">
        <w:t>年所賺取的薪資，幾乎全部用於清償上述的</w:t>
      </w:r>
      <w:r w:rsidR="00203F72" w:rsidRPr="00515D85">
        <w:t>24</w:t>
      </w:r>
      <w:r w:rsidR="00203F72" w:rsidRPr="00515D85">
        <w:t>萬元新台幣的仲介與招募費用。再者，台灣的仲介業者與雇主，得以利用外勞上述的脆弱人生處境，運用上述的高額債務，作為脅迫與剝削外勞的工具與籌碼，強制外勞從事勞力工作或性交易。更進一步分析，假若外勞不服從雇主或仲介業的脅迫，雇主與仲介業者兩者可攜手合作終止合同，強制遣送渠等外勞出國，利用其缺額，再引進新外勞。在台灣，若干外籍家庭幫傭或家庭看護的雇主，會嚴厲禁止外勞離開其住戶，限制外勞的人身行動自由。另外，外勞遭受剝削的情形，係雇主利用上述外勞須清償</w:t>
      </w:r>
      <w:r w:rsidR="00203F72" w:rsidRPr="00515D85">
        <w:t>24</w:t>
      </w:r>
      <w:r w:rsidR="00203F72" w:rsidRPr="00515D85">
        <w:t>萬新台幣的弱點，強制外勞從事合約以外的工作。故美國國務院在</w:t>
      </w:r>
      <w:r w:rsidR="00203F72" w:rsidRPr="00515D85">
        <w:t>2013</w:t>
      </w:r>
      <w:r w:rsidR="00203F72" w:rsidRPr="00515D85">
        <w:t>年的</w:t>
      </w:r>
      <w:r w:rsidR="00203F72" w:rsidRPr="00515D85">
        <w:t>TIP</w:t>
      </w:r>
      <w:r w:rsidR="00203F72" w:rsidRPr="00515D85">
        <w:t>報告之中，即指出台灣是「性販運與強制</w:t>
      </w:r>
      <w:r w:rsidR="00203F72" w:rsidRPr="00515D85">
        <w:t>(</w:t>
      </w:r>
      <w:r w:rsidR="00203F72" w:rsidRPr="00515D85">
        <w:t>迫</w:t>
      </w:r>
      <w:r w:rsidR="00203F72" w:rsidRPr="00515D85">
        <w:t>)</w:t>
      </w:r>
      <w:r w:rsidR="00203F72" w:rsidRPr="00515D85">
        <w:t>勞動」的目的國。亦即，台灣是勞力剝削的目的國，關於此點，美國國務院在</w:t>
      </w:r>
      <w:r w:rsidR="00203F72" w:rsidRPr="00515D85">
        <w:t>2014</w:t>
      </w:r>
      <w:r w:rsidR="00203F72" w:rsidRPr="00515D85">
        <w:t>年所出版的</w:t>
      </w:r>
      <w:r w:rsidR="00203F72" w:rsidRPr="00515D85">
        <w:t>2013</w:t>
      </w:r>
      <w:r w:rsidR="00203F72" w:rsidRPr="00515D85">
        <w:t>年度「各國人權報告」（台灣篇）之中，亦提及之；根據上述的</w:t>
      </w:r>
      <w:r w:rsidR="00203F72" w:rsidRPr="00515D85">
        <w:t>2013</w:t>
      </w:r>
      <w:r w:rsidR="00203F72" w:rsidRPr="00515D85">
        <w:t>年度「各國人權報告」，</w:t>
      </w:r>
      <w:r w:rsidR="00203F72" w:rsidRPr="00515D85">
        <w:t xml:space="preserve"> </w:t>
      </w:r>
      <w:r w:rsidR="00203F72" w:rsidRPr="00515D85">
        <w:t>美國國務院指出，在台灣的外勞，相當擔心遭受雇主終止合約，或將其遣返，即使已遭受到雇主的剝削與虐待，亦不願向警察或移民機關告發。此外，在上述的</w:t>
      </w:r>
      <w:r w:rsidR="00203F72" w:rsidRPr="00515D85">
        <w:t>2013</w:t>
      </w:r>
      <w:r w:rsidR="00203F72" w:rsidRPr="00515D85">
        <w:t>年度「各國人權報告」（台灣篇）之中，更指出若干在台灣的外籍幫傭，每個月的實得工資，竟僅有新台幣</w:t>
      </w:r>
      <w:r w:rsidR="00203F72" w:rsidRPr="00515D85">
        <w:t>1000</w:t>
      </w:r>
      <w:r w:rsidR="00203F72" w:rsidRPr="00515D85">
        <w:t>元左右，約相當於我國政府所訂定貧窮標準的</w:t>
      </w:r>
      <w:r w:rsidR="00203F72" w:rsidRPr="00515D85">
        <w:t>6.7</w:t>
      </w:r>
      <w:r w:rsidR="00203F72" w:rsidRPr="00515D85">
        <w:t>％。綜合上述相關的資料，均可顯示出在台灣境內的外籍勞工與外籍幫傭，其遭受雇主或仲介業者剝削的情形，仍屬相當頻繁與嚴重，值得國人重</w:t>
      </w:r>
      <w:r w:rsidR="003E240E">
        <w:t>視</w:t>
      </w:r>
      <w:r w:rsidR="00203F72" w:rsidRPr="00515D85">
        <w:t>之。</w:t>
      </w:r>
    </w:p>
    <w:p w14:paraId="02E07DDF" w14:textId="77777777" w:rsidR="00953151" w:rsidRPr="00515D85" w:rsidRDefault="00170AAF" w:rsidP="00D87D91">
      <w:r w:rsidRPr="00515D85">
        <w:t xml:space="preserve">　　</w:t>
      </w:r>
      <w:r w:rsidR="00203F72" w:rsidRPr="00515D85">
        <w:t>12. 2014</w:t>
      </w:r>
      <w:r w:rsidR="00203F72" w:rsidRPr="00515D85">
        <w:t>年</w:t>
      </w:r>
      <w:r w:rsidR="00203F72" w:rsidRPr="00515D85">
        <w:t xml:space="preserve"> (</w:t>
      </w:r>
      <w:r w:rsidR="00203F72" w:rsidRPr="00515D85">
        <w:t>第一級</w:t>
      </w:r>
      <w:r w:rsidR="00203F72" w:rsidRPr="00515D85">
        <w:t>)</w:t>
      </w:r>
      <w:r w:rsidR="00203F72" w:rsidRPr="00515D85">
        <w:t>：台灣是以強迫勞動和性販運為目的，而被販運之男、女及兒童之目的地；再者，亦是少數遭受性販運之女性來源地。台灣大多數人口販運之被害人來自印尼、中國大陸、菲律賓、柬埔寨、泰國、越南，少數來自孟加拉和印度。</w:t>
      </w:r>
      <w:r w:rsidR="00203F72" w:rsidRPr="00515D85">
        <w:t>50</w:t>
      </w:r>
      <w:r w:rsidR="00203F72" w:rsidRPr="00515D85">
        <w:t>萬人左右之外籍勞工，多數透過招聘機構及仲介掮客被雇用，在台灣之製造業、營造業、和漁業從事低技術工作，或充當家庭看護和家庭幫傭。許多這類外籍勞工在其母國受迫於仲介，有些仲介持有台灣護照，或者在台灣受迫於雇主，成為勞動販運之被害人</w:t>
      </w:r>
      <w:r w:rsidR="00203F72" w:rsidRPr="00515D85">
        <w:footnoteReference w:id="862"/>
      </w:r>
      <w:r w:rsidR="00203F72" w:rsidRPr="00515D85">
        <w:t>。</w:t>
      </w:r>
    </w:p>
    <w:p w14:paraId="79498310" w14:textId="77777777" w:rsidR="00515D85" w:rsidRDefault="00515D85" w:rsidP="00E91A5C">
      <w:pPr>
        <w:jc w:val="right"/>
        <w:rPr>
          <w:rFonts w:ascii="新細明體" w:hAnsi="新細明體"/>
        </w:rPr>
      </w:pPr>
      <w:r w:rsidRPr="0026266A">
        <w:rPr>
          <w:rFonts w:hint="eastAsia"/>
        </w:rPr>
        <w:t>。。。。。。。。。。。。。。。。。。。。。。。。。</w:t>
      </w:r>
      <w:hyperlink w:anchor="a目次38" w:history="1">
        <w:r>
          <w:rPr>
            <w:rStyle w:val="a5"/>
            <w:sz w:val="18"/>
          </w:rPr>
          <w:t>回目次</w:t>
        </w:r>
      </w:hyperlink>
      <w:r w:rsidR="00E91F89">
        <w:rPr>
          <w:rFonts w:ascii="新細明體" w:hAnsi="新細明體"/>
          <w:color w:val="808000"/>
        </w:rPr>
        <w:t>〉〉</w:t>
      </w:r>
    </w:p>
    <w:p w14:paraId="1435FFB8" w14:textId="77777777" w:rsidR="00203F72" w:rsidRPr="00A53581" w:rsidRDefault="00203F72" w:rsidP="00767F37">
      <w:pPr>
        <w:pStyle w:val="2"/>
      </w:pPr>
      <w:bookmarkStart w:id="110" w:name="_伍、台灣因應人口販運問題可行之回應對策"/>
      <w:bookmarkEnd w:id="110"/>
      <w:r w:rsidRPr="00A53581">
        <w:t>伍、台灣因應人口販運問題可行之回應對策</w:t>
      </w:r>
    </w:p>
    <w:p w14:paraId="769FE678" w14:textId="77777777" w:rsidR="00203F72" w:rsidRPr="00515D85" w:rsidRDefault="00170AAF" w:rsidP="00D87D91">
      <w:r w:rsidRPr="00515D85">
        <w:t xml:space="preserve">　　</w:t>
      </w:r>
      <w:r w:rsidR="00203F72" w:rsidRPr="00515D85">
        <w:t>美國國務院對於台灣打擊人口販運之防治工作，於</w:t>
      </w:r>
      <w:r w:rsidR="00203F72" w:rsidRPr="00515D85">
        <w:t>2014</w:t>
      </w:r>
      <w:r w:rsidR="00203F72" w:rsidRPr="00515D85">
        <w:t>年，提出以下正向及積極之建言，頗值得台灣政府部門及社會大眾加以關注及參考，避免此一問題持續地惡化</w:t>
      </w:r>
      <w:r w:rsidR="00203F72" w:rsidRPr="00515D85">
        <w:footnoteReference w:id="863"/>
      </w:r>
      <w:r w:rsidR="00203F72" w:rsidRPr="00515D85">
        <w:t>：</w:t>
      </w:r>
    </w:p>
    <w:p w14:paraId="6F59855F" w14:textId="77777777" w:rsidR="00170AAF" w:rsidRPr="00515D85" w:rsidRDefault="00170AAF" w:rsidP="00D87D91">
      <w:r w:rsidRPr="00515D85">
        <w:rPr>
          <w:rFonts w:hint="eastAsia"/>
        </w:rPr>
        <w:t xml:space="preserve">　　一、植基於以台灣之防制人口販運之法制規範為本，加強對人口販運罪犯進行起訴和定罪之執法作為；</w:t>
      </w:r>
    </w:p>
    <w:p w14:paraId="585E9069" w14:textId="77777777" w:rsidR="00170AAF" w:rsidRPr="00515D85" w:rsidRDefault="00170AAF" w:rsidP="00D87D91">
      <w:r w:rsidRPr="00515D85">
        <w:rPr>
          <w:rFonts w:hint="eastAsia"/>
        </w:rPr>
        <w:t xml:space="preserve">　　二、積極調查、偵處並起訴涉嫌在遠洋漁船之上，虐待或販運漁工之台灣籍漁船船主；</w:t>
      </w:r>
    </w:p>
    <w:p w14:paraId="3ED6F292" w14:textId="77777777" w:rsidR="00170AAF" w:rsidRPr="00515D85" w:rsidRDefault="00170AAF" w:rsidP="00D87D91">
      <w:r w:rsidRPr="00515D85">
        <w:rPr>
          <w:rFonts w:hint="eastAsia"/>
        </w:rPr>
        <w:t xml:space="preserve">　　三、進一步減少外籍勞工被仲介剝削之狀況，其中包括宜有效防制台灣之招募機構和雇主對外籍勞工之剝削情事；</w:t>
      </w:r>
    </w:p>
    <w:p w14:paraId="5724B07E" w14:textId="77777777" w:rsidR="00170AAF" w:rsidRPr="00515D85" w:rsidRDefault="00170AAF" w:rsidP="00D87D91">
      <w:r w:rsidRPr="00515D85">
        <w:rPr>
          <w:rFonts w:hint="eastAsia"/>
        </w:rPr>
        <w:t xml:space="preserve">　　四、為人口販運被害人提供永久居留簽證，而非對被害人處以罰金並將其驅逐出國（遣返）；</w:t>
      </w:r>
    </w:p>
    <w:p w14:paraId="3593A95E" w14:textId="77777777" w:rsidR="00170AAF" w:rsidRPr="00515D85" w:rsidRDefault="00170AAF" w:rsidP="00D87D91">
      <w:r w:rsidRPr="00515D85">
        <w:rPr>
          <w:rFonts w:hint="eastAsia"/>
        </w:rPr>
        <w:t xml:space="preserve">　　五、確保人口販運罪犯宜受到嚴厲之刑罰制裁；</w:t>
      </w:r>
    </w:p>
    <w:p w14:paraId="7CD53B95" w14:textId="77777777" w:rsidR="00170AAF" w:rsidRPr="00515D85" w:rsidRDefault="00170AAF" w:rsidP="00D87D91">
      <w:r w:rsidRPr="00515D85">
        <w:rPr>
          <w:rFonts w:hint="eastAsia"/>
        </w:rPr>
        <w:t xml:space="preserve">　　六、修改全台打擊與防治人口販運之行動方案和方針，以符合當今人口販運犯罪趨勢，例如：台灣宜將漁船上之虐待情節，以及家庭幫傭納入監督管控之範圍；</w:t>
      </w:r>
    </w:p>
    <w:p w14:paraId="1B5BCB6D" w14:textId="77777777" w:rsidR="00170AAF" w:rsidRPr="00515D85" w:rsidRDefault="00170AAF" w:rsidP="00D87D91">
      <w:r w:rsidRPr="00515D85">
        <w:rPr>
          <w:rFonts w:hint="eastAsia"/>
        </w:rPr>
        <w:t xml:space="preserve">　　七、釐清中央協調機構內部之各單位之角色功能與其職權範圍，確保打擊與防治人口販運之資訊能有效共用，並能充分協調全台打擊人口販運之各項執法作為；</w:t>
      </w:r>
    </w:p>
    <w:p w14:paraId="2B97D7A9" w14:textId="77777777" w:rsidR="00170AAF" w:rsidRPr="00515D85" w:rsidRDefault="00170AAF" w:rsidP="00D87D91">
      <w:r w:rsidRPr="00515D85">
        <w:rPr>
          <w:rFonts w:hint="eastAsia"/>
        </w:rPr>
        <w:t xml:space="preserve">　　八、蒐集並解析人口販運案件情報，確保接獲舉報之販運案件，皆為真實可信；</w:t>
      </w:r>
    </w:p>
    <w:p w14:paraId="7B3937AC" w14:textId="77777777" w:rsidR="00170AAF" w:rsidRPr="00515D85" w:rsidRDefault="00170AAF" w:rsidP="00D87D91">
      <w:r w:rsidRPr="00515D85">
        <w:rPr>
          <w:rFonts w:hint="eastAsia"/>
        </w:rPr>
        <w:t xml:space="preserve">　　九、持續對執法人員、勞動部官員、勞動檢察員、檢察官及法官進行被害人識別措施和相關之法律訓練；</w:t>
      </w:r>
    </w:p>
    <w:p w14:paraId="5D19B40C" w14:textId="77777777" w:rsidR="00170AAF" w:rsidRPr="00515D85" w:rsidRDefault="00170AAF" w:rsidP="00D87D91">
      <w:r w:rsidRPr="00515D85">
        <w:rPr>
          <w:rFonts w:hint="eastAsia"/>
        </w:rPr>
        <w:t xml:space="preserve">　　十、加強調查、偵處及起訴台灣護照持有人所觸犯之兒童性觀光罪名；</w:t>
      </w:r>
    </w:p>
    <w:p w14:paraId="3E1D2639" w14:textId="77777777" w:rsidR="00170AAF" w:rsidRPr="00515D85" w:rsidRDefault="00170AAF" w:rsidP="00D87D91">
      <w:r w:rsidRPr="00515D85">
        <w:rPr>
          <w:rFonts w:hint="eastAsia"/>
        </w:rPr>
        <w:t xml:space="preserve">　　十一、持續提升台灣社會公眾對於各種形式人口販運之進一步認識（知）。</w:t>
      </w:r>
    </w:p>
    <w:p w14:paraId="7F5027D4" w14:textId="77777777" w:rsidR="00953151" w:rsidRPr="00515D85" w:rsidRDefault="00170AAF" w:rsidP="00D87D91">
      <w:r w:rsidRPr="00515D85">
        <w:t xml:space="preserve">　　</w:t>
      </w:r>
      <w:r w:rsidR="00203F72" w:rsidRPr="00515D85">
        <w:t>本書擬以上述美國國務院正面且積極性之建言為基石，另外，再參酌相關之文獻，綜合彙整上述相關之資料，提出以下之建議，供台灣社會大眾參考之用</w:t>
      </w:r>
      <w:r w:rsidR="00203F72" w:rsidRPr="00515D85">
        <w:footnoteReference w:id="864"/>
      </w:r>
      <w:r w:rsidR="00203F72" w:rsidRPr="00515D85">
        <w:t>：</w:t>
      </w:r>
    </w:p>
    <w:p w14:paraId="4114E906" w14:textId="77777777" w:rsidR="00953151" w:rsidRPr="00515D85" w:rsidRDefault="00170AAF" w:rsidP="00D87D91">
      <w:r w:rsidRPr="00515D85">
        <w:t xml:space="preserve">　　</w:t>
      </w:r>
      <w:r w:rsidR="00203F72" w:rsidRPr="00515D85">
        <w:t>一、在整體策略（戰略）上，台灣宜繼續精進</w:t>
      </w:r>
      <w:r w:rsidR="00203F72" w:rsidRPr="00515D85">
        <w:t>4P</w:t>
      </w:r>
      <w:r w:rsidR="00203F72" w:rsidRPr="00515D85">
        <w:t>與積極強力掃除</w:t>
      </w:r>
      <w:r w:rsidR="00203F72" w:rsidRPr="00515D85">
        <w:t>2C3D1I1R</w:t>
      </w:r>
      <w:r w:rsidR="00203F72" w:rsidRPr="00515D85">
        <w:t>之障礙</w:t>
      </w:r>
    </w:p>
    <w:p w14:paraId="5A3C7281" w14:textId="77777777" w:rsidR="00953151" w:rsidRPr="00515D85" w:rsidRDefault="00170AAF" w:rsidP="00D87D91">
      <w:r w:rsidRPr="00515D85">
        <w:t xml:space="preserve">　　</w:t>
      </w:r>
      <w:r w:rsidR="00203F72" w:rsidRPr="00515D85">
        <w:t>在防制人口販運之對策上，台灣宜繼續精進</w:t>
      </w:r>
      <w:r w:rsidR="00203F72" w:rsidRPr="00515D85">
        <w:t>4P</w:t>
      </w:r>
      <w:r w:rsidR="00D92F56" w:rsidRPr="00515D85">
        <w:t>〜</w:t>
      </w:r>
      <w:r w:rsidR="00203F72" w:rsidRPr="00515D85">
        <w:t>起訴、保護、預防與夥伴關係之對策，且是以保護被害人權利為核心，加以開展之。在防制人口販運所面臨之</w:t>
      </w:r>
      <w:r w:rsidR="00203F72" w:rsidRPr="00515D85">
        <w:t xml:space="preserve">2C3D1I1R </w:t>
      </w:r>
      <w:r w:rsidR="00D92F56" w:rsidRPr="00515D85">
        <w:t>〜</w:t>
      </w:r>
      <w:r w:rsidR="00203F72" w:rsidRPr="00515D85">
        <w:t>誤用同意權</w:t>
      </w:r>
      <w:r w:rsidR="00203F72" w:rsidRPr="00515D85">
        <w:t>(consent)</w:t>
      </w:r>
      <w:r w:rsidR="00203F72" w:rsidRPr="00515D85">
        <w:t>、人口販運加害人被定罪</w:t>
      </w:r>
      <w:r w:rsidR="00203F72" w:rsidRPr="00515D85">
        <w:t>(convictions)</w:t>
      </w:r>
      <w:r w:rsidR="00203F72" w:rsidRPr="00515D85">
        <w:t>之比率偏低、收容、遣返與令人口販運被害人失能、人口販運被害人被辨識</w:t>
      </w:r>
      <w:r w:rsidR="00203F72" w:rsidRPr="00515D85">
        <w:t>(identification)</w:t>
      </w:r>
      <w:r w:rsidR="00203F72" w:rsidRPr="00515D85">
        <w:t>成功之比率低落、不重</w:t>
      </w:r>
      <w:r w:rsidR="003E240E">
        <w:t>視</w:t>
      </w:r>
      <w:r w:rsidR="00203F72" w:rsidRPr="00515D85">
        <w:t>人口販運受刑人之矯正、處遇與治療</w:t>
      </w:r>
      <w:r w:rsidR="00203F72" w:rsidRPr="00515D85">
        <w:t>(Rehabilitation)</w:t>
      </w:r>
      <w:r w:rsidR="00203F72" w:rsidRPr="00515D85">
        <w:t>之障礙與問題方面，台灣宜檢討</w:t>
      </w:r>
      <w:r w:rsidR="00203F72" w:rsidRPr="00515D85">
        <w:t>2C3D1I1R</w:t>
      </w:r>
      <w:r w:rsidR="00203F72" w:rsidRPr="00515D85">
        <w:t>問題之所在，面對上述問題，並強力掃除</w:t>
      </w:r>
      <w:r w:rsidR="00203F72" w:rsidRPr="00515D85">
        <w:t xml:space="preserve">2C3D1I1R </w:t>
      </w:r>
      <w:r w:rsidR="00D92F56" w:rsidRPr="00515D85">
        <w:t>〜</w:t>
      </w:r>
      <w:r w:rsidR="00203F72" w:rsidRPr="00515D85">
        <w:t>誤用同意權</w:t>
      </w:r>
      <w:r w:rsidR="00203F72" w:rsidRPr="00515D85">
        <w:t>(consent)</w:t>
      </w:r>
      <w:r w:rsidR="00203F72" w:rsidRPr="00515D85">
        <w:t>、人口販運加害人被定罪</w:t>
      </w:r>
      <w:r w:rsidR="00203F72" w:rsidRPr="00515D85">
        <w:t>(convictions)</w:t>
      </w:r>
      <w:r w:rsidR="00203F72" w:rsidRPr="00515D85">
        <w:t>之比率偏低、收容、遣返與令人口販運被害人失能、人口販運被害人被辨識</w:t>
      </w:r>
      <w:r w:rsidR="00203F72" w:rsidRPr="00515D85">
        <w:t>(identification)</w:t>
      </w:r>
      <w:r w:rsidR="00203F72" w:rsidRPr="00515D85">
        <w:t>成功之比率低落、不重</w:t>
      </w:r>
      <w:r w:rsidR="003E240E">
        <w:t>視</w:t>
      </w:r>
      <w:r w:rsidR="00203F72" w:rsidRPr="00515D85">
        <w:t>人口販運受刑人之矯正、處遇與治療</w:t>
      </w:r>
      <w:r w:rsidR="00203F72" w:rsidRPr="00515D85">
        <w:t>(Rehabilitation)</w:t>
      </w:r>
      <w:r w:rsidR="00203F72" w:rsidRPr="00515D85">
        <w:t>之障礙，俾利有效保障人口販運被害人之人性尊嚴及人權。</w:t>
      </w:r>
    </w:p>
    <w:p w14:paraId="5C01AB35" w14:textId="77777777" w:rsidR="00203F72" w:rsidRPr="00515D85" w:rsidRDefault="00170AAF" w:rsidP="00D87D91">
      <w:r w:rsidRPr="00515D85">
        <w:t xml:space="preserve">　　</w:t>
      </w:r>
      <w:r w:rsidR="00203F72" w:rsidRPr="00515D85">
        <w:t>二、植基於以防制人口販運之相關法規範為根本，加強對人口販運罪犯之起訴與定罪</w:t>
      </w:r>
    </w:p>
    <w:p w14:paraId="4712031E" w14:textId="77777777" w:rsidR="00203F72" w:rsidRPr="00515D85" w:rsidRDefault="00170AAF" w:rsidP="00D87D91">
      <w:r w:rsidRPr="00515D85">
        <w:t xml:space="preserve">　　</w:t>
      </w:r>
      <w:r w:rsidR="00203F72" w:rsidRPr="00515D85">
        <w:t>台灣對於人口販運罪犯的起訴率、定罪率與被定罪的刑度均不高，且有偏低的現象。根據美國國務院</w:t>
      </w:r>
      <w:r w:rsidR="00203F72" w:rsidRPr="00515D85">
        <w:t>2014</w:t>
      </w:r>
      <w:r w:rsidR="00203F72" w:rsidRPr="00515D85">
        <w:t>年的</w:t>
      </w:r>
      <w:r w:rsidR="00203F72" w:rsidRPr="00515D85">
        <w:t>TIP</w:t>
      </w:r>
      <w:r w:rsidR="00203F72" w:rsidRPr="00515D85">
        <w:t>，於</w:t>
      </w:r>
      <w:r w:rsidR="00203F72" w:rsidRPr="00515D85">
        <w:t>2013</w:t>
      </w:r>
      <w:r w:rsidR="00203F72" w:rsidRPr="00515D85">
        <w:t>年，我國地檢署依照「</w:t>
      </w:r>
      <w:hyperlink r:id="rId2223" w:history="1">
        <w:r w:rsidR="00027D54" w:rsidRPr="00E91A5C">
          <w:rPr>
            <w:rStyle w:val="a5"/>
            <w:rFonts w:ascii="Times New Roman" w:eastAsia="新細明體" w:hAnsi="Times New Roman"/>
          </w:rPr>
          <w:t>人口販運防制法</w:t>
        </w:r>
      </w:hyperlink>
      <w:r w:rsidR="00203F72" w:rsidRPr="00515D85">
        <w:t>」起訴</w:t>
      </w:r>
      <w:r w:rsidR="00203F72" w:rsidRPr="00515D85">
        <w:t>130</w:t>
      </w:r>
      <w:r w:rsidR="00203F72" w:rsidRPr="00515D85">
        <w:t>名涉嫌人口販運的被告，被法院定罪的被告，則為</w:t>
      </w:r>
      <w:r w:rsidR="00203F72" w:rsidRPr="00515D85">
        <w:t>39</w:t>
      </w:r>
      <w:r w:rsidR="00203F72" w:rsidRPr="00515D85">
        <w:t>人，定罪率為</w:t>
      </w:r>
      <w:r w:rsidR="00203F72" w:rsidRPr="00515D85">
        <w:t>30</w:t>
      </w:r>
      <w:r w:rsidR="00203F72" w:rsidRPr="00515D85">
        <w:t>％（</w:t>
      </w:r>
      <w:r w:rsidR="00203F72" w:rsidRPr="00515D85">
        <w:t>39</w:t>
      </w:r>
      <w:r w:rsidR="00203F72" w:rsidRPr="00515D85">
        <w:t>人</w:t>
      </w:r>
      <w:r w:rsidR="00203F72" w:rsidRPr="00515D85">
        <w:t>/130</w:t>
      </w:r>
      <w:r w:rsidR="00203F72" w:rsidRPr="00515D85">
        <w:t>人＝</w:t>
      </w:r>
      <w:r w:rsidR="00203F72" w:rsidRPr="00515D85">
        <w:t>0.3</w:t>
      </w:r>
      <w:r w:rsidR="00203F72" w:rsidRPr="00515D85">
        <w:t>）；多數的被告，其刑度均在</w:t>
      </w:r>
      <w:r w:rsidR="00203F72" w:rsidRPr="00515D85">
        <w:t>1</w:t>
      </w:r>
      <w:r w:rsidR="00203F72" w:rsidRPr="00515D85">
        <w:t>年以下的短期刑；對於人口販運犯罪人而論，無法產生威嚇力。有關於人口販運被告的刑度的高低程度，掌握在司法院所屬各個地方法院法官之手中；是以，如何令法官相信：人口販運犯行，是一項嚴重地侵犯人權的犯罪，是今後尚待處理的議題。於</w:t>
      </w:r>
      <w:r w:rsidR="00203F72" w:rsidRPr="00515D85">
        <w:t>2013</w:t>
      </w:r>
      <w:r w:rsidR="00203F72" w:rsidRPr="00515D85">
        <w:t>年，我國地檢署檢察官依「</w:t>
      </w:r>
      <w:hyperlink r:id="rId2224" w:history="1">
        <w:r w:rsidR="006B7176" w:rsidRPr="006B7176">
          <w:rPr>
            <w:rStyle w:val="a5"/>
            <w:rFonts w:eastAsia="新細明體"/>
            <w:kern w:val="0"/>
          </w:rPr>
          <w:t>刑法</w:t>
        </w:r>
      </w:hyperlink>
      <w:r w:rsidR="00203F72" w:rsidRPr="00515D85">
        <w:t>」起訴</w:t>
      </w:r>
      <w:r w:rsidR="00203F72" w:rsidRPr="00515D85">
        <w:t>35</w:t>
      </w:r>
      <w:r w:rsidR="00203F72" w:rsidRPr="00515D85">
        <w:t>位涉嫌人口販運犯行的被告，案件繫屬於地方法院，經法官審理之後，僅有</w:t>
      </w:r>
      <w:r w:rsidR="00203F72" w:rsidRPr="00515D85">
        <w:t>6</w:t>
      </w:r>
      <w:r w:rsidR="00203F72" w:rsidRPr="00515D85">
        <w:t>名被告被定罪，被定罪比例為</w:t>
      </w:r>
      <w:r w:rsidR="00203F72" w:rsidRPr="00515D85">
        <w:t>17</w:t>
      </w:r>
      <w:r w:rsidR="00203F72" w:rsidRPr="00515D85">
        <w:t>％（</w:t>
      </w:r>
      <w:r w:rsidR="00203F72" w:rsidRPr="00515D85">
        <w:t>6</w:t>
      </w:r>
      <w:r w:rsidR="00203F72" w:rsidRPr="00515D85">
        <w:t>人</w:t>
      </w:r>
      <w:r w:rsidR="00203F72" w:rsidRPr="00515D85">
        <w:t>/35</w:t>
      </w:r>
      <w:r w:rsidR="00203F72" w:rsidRPr="00515D85">
        <w:t>人＝</w:t>
      </w:r>
      <w:r w:rsidR="00203F72" w:rsidRPr="00515D85">
        <w:t>0.17</w:t>
      </w:r>
      <w:r w:rsidR="00203F72" w:rsidRPr="00515D85">
        <w:t>），比例亦是相當地低。基於以上的介紹，約略可得知，在我國，如果擬依現行的「</w:t>
      </w:r>
      <w:hyperlink r:id="rId2225" w:history="1">
        <w:r w:rsidR="00027D54" w:rsidRPr="00E91A5C">
          <w:rPr>
            <w:rStyle w:val="a5"/>
            <w:rFonts w:ascii="Times New Roman" w:eastAsia="新細明體" w:hAnsi="Times New Roman"/>
          </w:rPr>
          <w:t>人口販運防制法</w:t>
        </w:r>
      </w:hyperlink>
      <w:r w:rsidR="00203F72" w:rsidRPr="00515D85">
        <w:t>」與「</w:t>
      </w:r>
      <w:hyperlink r:id="rId2226" w:history="1">
        <w:r w:rsidR="006B7176" w:rsidRPr="006B7176">
          <w:rPr>
            <w:rStyle w:val="a5"/>
            <w:rFonts w:eastAsia="新細明體"/>
            <w:kern w:val="0"/>
          </w:rPr>
          <w:t>刑法</w:t>
        </w:r>
      </w:hyperlink>
      <w:r w:rsidR="00203F72" w:rsidRPr="00515D85">
        <w:t>」，欲將人口販運被告加以定罪的機率，並不是很高的，甚至，有偏低的情形。</w:t>
      </w:r>
    </w:p>
    <w:p w14:paraId="190E8133" w14:textId="77777777" w:rsidR="00203F72" w:rsidRPr="00515D85" w:rsidRDefault="00170AAF" w:rsidP="00D87D91">
      <w:r w:rsidRPr="00515D85">
        <w:t xml:space="preserve">　　</w:t>
      </w:r>
      <w:r w:rsidR="00203F72" w:rsidRPr="00515D85">
        <w:t>亦即，被地檢署檢察官起訴的人口販運的被告，多數被地方法院的法官裁判為「無罪」，並加以釋放。即使被法官「定罪」，多數的刑度，大多在</w:t>
      </w:r>
      <w:r w:rsidR="00203F72" w:rsidRPr="00515D85">
        <w:t>1</w:t>
      </w:r>
      <w:r w:rsidR="00203F72" w:rsidRPr="00515D85">
        <w:t>年以下的短期自由刑，威嚇力道薄弱。以如此低的刑度，不僅無法嚇阻人口販運的罪行，甚至，或有可能「間接地」鼓勵人口販運犯罪之嫌，令人口販運集團的主謀與共犯等，更是有恃無恐。</w:t>
      </w:r>
    </w:p>
    <w:p w14:paraId="5C7F3933" w14:textId="77777777" w:rsidR="00203F72" w:rsidRPr="00515D85" w:rsidRDefault="00203F72" w:rsidP="00D87D91">
      <w:r w:rsidRPr="00515D85">
        <w:t xml:space="preserve">　　就加強對人口販運罪犯之起訴與定罪而論，我國警察執法人員在偵查跨國</w:t>
      </w:r>
      <w:r w:rsidRPr="00515D85">
        <w:t>(</w:t>
      </w:r>
      <w:r w:rsidRPr="00515D85">
        <w:t>諸如台日</w:t>
      </w:r>
      <w:r w:rsidRPr="00515D85">
        <w:t>)</w:t>
      </w:r>
      <w:r w:rsidRPr="00515D85">
        <w:t>人口販運、賣淫犯行之案件部分，偵查之特性及其可行之解決之道，如下所述</w:t>
      </w:r>
      <w:r w:rsidRPr="00515D85">
        <w:footnoteReference w:id="865"/>
      </w:r>
      <w:r w:rsidRPr="00515D85">
        <w:t>：</w:t>
      </w:r>
      <w:r w:rsidRPr="00515D85">
        <w:t xml:space="preserve"> </w:t>
      </w:r>
    </w:p>
    <w:p w14:paraId="17C231CC" w14:textId="77777777" w:rsidR="00170AAF" w:rsidRPr="00515D85" w:rsidRDefault="00170AAF" w:rsidP="00D87D91">
      <w:r w:rsidRPr="00515D85">
        <w:rPr>
          <w:rFonts w:hint="eastAsia"/>
        </w:rPr>
        <w:t xml:space="preserve">　　</w:t>
      </w:r>
      <w:r w:rsidRPr="00515D85">
        <w:rPr>
          <w:rFonts w:hint="eastAsia"/>
        </w:rPr>
        <w:t>1.</w:t>
      </w:r>
      <w:r w:rsidRPr="00515D85">
        <w:rPr>
          <w:rFonts w:hint="eastAsia"/>
        </w:rPr>
        <w:t>偵辦人口販運集團詐騙我國女子赴日脅迫賣淫之案件，需要長期時間進行偵查，投入相當多之偵查精力，案情常是跨國（境），會增加偵辦之困難度。可行之解決之道，強化跨國（境）偵查之能量，包括：強化外語能力、瞭解犯罪地國之刑事司法體制、增加跨國（境）偵查之預算等等。</w:t>
      </w:r>
    </w:p>
    <w:p w14:paraId="0FFD118A" w14:textId="77777777" w:rsidR="00170AAF" w:rsidRPr="00515D85" w:rsidRDefault="00170AAF" w:rsidP="00D87D91">
      <w:r w:rsidRPr="00515D85">
        <w:rPr>
          <w:rFonts w:hint="eastAsia"/>
        </w:rPr>
        <w:t xml:space="preserve">　　</w:t>
      </w:r>
      <w:r w:rsidRPr="00515D85">
        <w:rPr>
          <w:rFonts w:hint="eastAsia"/>
        </w:rPr>
        <w:t>2.</w:t>
      </w:r>
      <w:r w:rsidRPr="00515D85">
        <w:rPr>
          <w:rFonts w:hint="eastAsia"/>
        </w:rPr>
        <w:t>偵辦台日跨國人口販運集團，常需要以下單位元元之協助：國際刑警組織、刑事局國際科、刑事局國際科駐日本警察聯絡官、日本警察廳國際搜查管理室、日本中央或地方之警察署、我國縣市警察局刑大之協助。成功之偵辦經驗，是雙方密切合作，如日本之地方警察署，指派國際搜查課數名之警察官至刑事局，交換情資及討論案情。可行之解決之道，於平時，警察機關宜重</w:t>
      </w:r>
      <w:r w:rsidR="003E240E">
        <w:rPr>
          <w:rFonts w:hint="eastAsia"/>
        </w:rPr>
        <w:t>視</w:t>
      </w:r>
      <w:r w:rsidRPr="00515D85">
        <w:rPr>
          <w:rFonts w:hint="eastAsia"/>
        </w:rPr>
        <w:t>國內外執法機關相互交流之工作，重</w:t>
      </w:r>
      <w:r w:rsidR="003E240E">
        <w:rPr>
          <w:rFonts w:hint="eastAsia"/>
        </w:rPr>
        <w:t>視</w:t>
      </w:r>
      <w:r w:rsidRPr="00515D85">
        <w:rPr>
          <w:rFonts w:hint="eastAsia"/>
        </w:rPr>
        <w:t>執法人員情感之維繫。</w:t>
      </w:r>
    </w:p>
    <w:p w14:paraId="7A9697F9" w14:textId="77777777" w:rsidR="00170AAF" w:rsidRPr="00515D85" w:rsidRDefault="00170AAF" w:rsidP="00D87D91">
      <w:r w:rsidRPr="00515D85">
        <w:rPr>
          <w:rFonts w:hint="eastAsia"/>
        </w:rPr>
        <w:t xml:space="preserve">　　</w:t>
      </w:r>
      <w:r w:rsidRPr="00515D85">
        <w:rPr>
          <w:rFonts w:hint="eastAsia"/>
        </w:rPr>
        <w:t>3.</w:t>
      </w:r>
      <w:r w:rsidRPr="00515D85">
        <w:rPr>
          <w:rFonts w:hint="eastAsia"/>
        </w:rPr>
        <w:t>台日跨國人口販運受害人之內心，藏有不為人知之心酸。可行之解決之道，於偵查時，宜運用犯罪偵查心理學，突破其不願詳述案情之心防。</w:t>
      </w:r>
    </w:p>
    <w:p w14:paraId="7E51182D" w14:textId="77777777" w:rsidR="00170AAF" w:rsidRPr="00515D85" w:rsidRDefault="00170AAF" w:rsidP="00D87D91">
      <w:r w:rsidRPr="00515D85">
        <w:rPr>
          <w:rFonts w:hint="eastAsia"/>
        </w:rPr>
        <w:t xml:space="preserve">　　</w:t>
      </w:r>
      <w:r w:rsidRPr="00515D85">
        <w:rPr>
          <w:rFonts w:hint="eastAsia"/>
        </w:rPr>
        <w:t>4.</w:t>
      </w:r>
      <w:r w:rsidRPr="00515D85">
        <w:rPr>
          <w:rFonts w:hint="eastAsia"/>
        </w:rPr>
        <w:t>日本法院對於在日本所查獲台日跨國人口販運罪犯，所引述之法條，大多為風俗營業法、賣春防制法、入管法。大多判處緩刑，之後，驅逐出國。可行之解決之道，我國宜呼籲日本法院加重台日跨國人口販運罪犯之刑度，以收威嚇之實效。</w:t>
      </w:r>
    </w:p>
    <w:p w14:paraId="081965C5" w14:textId="77777777" w:rsidR="00170AAF" w:rsidRPr="00515D85" w:rsidRDefault="00170AAF" w:rsidP="00D87D91">
      <w:r w:rsidRPr="00515D85">
        <w:rPr>
          <w:rFonts w:hint="eastAsia"/>
        </w:rPr>
        <w:t xml:space="preserve">　　</w:t>
      </w:r>
      <w:r w:rsidRPr="00515D85">
        <w:rPr>
          <w:rFonts w:hint="eastAsia"/>
        </w:rPr>
        <w:t>5.</w:t>
      </w:r>
      <w:r w:rsidRPr="00515D85">
        <w:rPr>
          <w:rFonts w:hint="eastAsia"/>
        </w:rPr>
        <w:t>刑事局國際科須透過國際刑警組織，發文日本中央局，提供案情之相關司法文書，如起訴書、筆錄。日本中央局提供本案之相關司法文書，如起訴書、筆錄給刑事局國際科，之後，刑事局國際科再請大學教授日文之老師，翻譯為中文。可行之精進之道，我國警察機關宜與日本警察保持良好之溝通管道。</w:t>
      </w:r>
    </w:p>
    <w:p w14:paraId="5161EDF0" w14:textId="77777777" w:rsidR="00170AAF" w:rsidRPr="00515D85" w:rsidRDefault="00170AAF" w:rsidP="00D87D91">
      <w:r w:rsidRPr="00515D85">
        <w:rPr>
          <w:rFonts w:hint="eastAsia"/>
        </w:rPr>
        <w:t xml:space="preserve">　　</w:t>
      </w:r>
      <w:r w:rsidRPr="00515D85">
        <w:rPr>
          <w:rFonts w:hint="eastAsia"/>
        </w:rPr>
        <w:t>6.</w:t>
      </w:r>
      <w:r w:rsidRPr="00515D85">
        <w:rPr>
          <w:rFonts w:hint="eastAsia"/>
        </w:rPr>
        <w:t>偵辦之困難點：台日跨國人口販運受害人常散佈台灣各地、人口販運受害人受到罪犯之恐嚇、跨國人口販運仲介人常居無定所、手機常更換。可行之解決之道：（</w:t>
      </w:r>
      <w:r w:rsidRPr="00515D85">
        <w:rPr>
          <w:rFonts w:hint="eastAsia"/>
        </w:rPr>
        <w:t>1</w:t>
      </w:r>
      <w:r w:rsidRPr="00515D85">
        <w:rPr>
          <w:rFonts w:hint="eastAsia"/>
        </w:rPr>
        <w:t>）全國各警察機關宜相互支援；（</w:t>
      </w:r>
      <w:r w:rsidRPr="00515D85">
        <w:rPr>
          <w:rFonts w:hint="eastAsia"/>
        </w:rPr>
        <w:t>2</w:t>
      </w:r>
      <w:r w:rsidRPr="00515D85">
        <w:rPr>
          <w:rFonts w:hint="eastAsia"/>
        </w:rPr>
        <w:t>）加強保護人口販運受害人，勿受到人口販運罪犯之恐嚇；（</w:t>
      </w:r>
      <w:r w:rsidRPr="00515D85">
        <w:rPr>
          <w:rFonts w:hint="eastAsia"/>
        </w:rPr>
        <w:t>3</w:t>
      </w:r>
      <w:r w:rsidRPr="00515D85">
        <w:rPr>
          <w:rFonts w:hint="eastAsia"/>
        </w:rPr>
        <w:t>）透過監聽之偵查手段，過濾通聯紀錄，高度監控跨國人口販運仲介人之行蹤。</w:t>
      </w:r>
    </w:p>
    <w:p w14:paraId="34F1F2F2" w14:textId="77777777" w:rsidR="00170AAF" w:rsidRPr="00515D85" w:rsidRDefault="00170AAF" w:rsidP="00D87D91">
      <w:r w:rsidRPr="00515D85">
        <w:rPr>
          <w:rFonts w:hint="eastAsia"/>
        </w:rPr>
        <w:t xml:space="preserve">　　</w:t>
      </w:r>
      <w:r w:rsidRPr="00515D85">
        <w:rPr>
          <w:rFonts w:hint="eastAsia"/>
        </w:rPr>
        <w:t>7.</w:t>
      </w:r>
      <w:r w:rsidRPr="00515D85">
        <w:rPr>
          <w:rFonts w:hint="eastAsia"/>
        </w:rPr>
        <w:t>偵辦之法律困難點：台灣仲介與日本賣淫之行為，警察（如刑事局國際科）須能證明因果關係，而犯行常跨國、跨境，犯罪偵查分屬不同之管轄權。可行之解決之道，強化偵查人員蒐證之能量，特別重</w:t>
      </w:r>
      <w:r w:rsidR="003E240E">
        <w:rPr>
          <w:rFonts w:hint="eastAsia"/>
        </w:rPr>
        <w:t>視</w:t>
      </w:r>
      <w:r w:rsidRPr="00515D85">
        <w:rPr>
          <w:rFonts w:hint="eastAsia"/>
        </w:rPr>
        <w:t>人口販運犯行之因果關係之相關證據之蒐證。</w:t>
      </w:r>
    </w:p>
    <w:p w14:paraId="4101F0D3" w14:textId="77777777" w:rsidR="00170AAF" w:rsidRPr="00515D85" w:rsidRDefault="00170AAF" w:rsidP="00D87D91">
      <w:r w:rsidRPr="00515D85">
        <w:rPr>
          <w:rFonts w:hint="eastAsia"/>
        </w:rPr>
        <w:t xml:space="preserve">　　</w:t>
      </w:r>
      <w:r w:rsidRPr="00515D85">
        <w:rPr>
          <w:rFonts w:hint="eastAsia"/>
        </w:rPr>
        <w:t>8.</w:t>
      </w:r>
      <w:r w:rsidRPr="00515D85">
        <w:rPr>
          <w:rFonts w:hint="eastAsia"/>
        </w:rPr>
        <w:t>成功之破案經驗：偵查員多次南下，製作台日跨國人口販運被害人之筆錄；過濾數千筆之通聯，確定仲介人。實施</w:t>
      </w:r>
      <w:r w:rsidRPr="00515D85">
        <w:rPr>
          <w:rFonts w:hint="eastAsia"/>
        </w:rPr>
        <w:t>2</w:t>
      </w:r>
      <w:r w:rsidRPr="00515D85">
        <w:rPr>
          <w:rFonts w:hint="eastAsia"/>
        </w:rPr>
        <w:t>個月之通訊監察，同步搜索及拘提，並扣押關鍵證物。可行之精進之道，適切地運用監聽及過濾通聯紀錄之偵查手段，持續強化偵查人員蒐證之能量。</w:t>
      </w:r>
    </w:p>
    <w:p w14:paraId="0280B05D" w14:textId="77777777" w:rsidR="00953151" w:rsidRPr="00515D85" w:rsidRDefault="00170AAF" w:rsidP="00D87D91">
      <w:r w:rsidRPr="00515D85">
        <w:rPr>
          <w:rFonts w:hint="eastAsia"/>
        </w:rPr>
        <w:t xml:space="preserve">　　</w:t>
      </w:r>
      <w:r w:rsidRPr="00515D85">
        <w:rPr>
          <w:rFonts w:hint="eastAsia"/>
        </w:rPr>
        <w:t>9.</w:t>
      </w:r>
      <w:r w:rsidRPr="00515D85">
        <w:rPr>
          <w:rFonts w:hint="eastAsia"/>
        </w:rPr>
        <w:t>打擊台日跨國人口販運常用之法條：刑法</w:t>
      </w:r>
      <w:hyperlink r:id="rId2227" w:anchor="a231b1" w:history="1">
        <w:r w:rsidRPr="001F6A1B">
          <w:rPr>
            <w:rStyle w:val="a5"/>
            <w:rFonts w:ascii="Times New Roman" w:eastAsia="新細明體" w:hAnsi="Times New Roman" w:hint="eastAsia"/>
          </w:rPr>
          <w:t>231-1</w:t>
        </w:r>
      </w:hyperlink>
      <w:r w:rsidRPr="00515D85">
        <w:rPr>
          <w:rFonts w:hint="eastAsia"/>
        </w:rPr>
        <w:t>、</w:t>
      </w:r>
      <w:hyperlink r:id="rId2228" w:anchor="a296b1" w:history="1">
        <w:r w:rsidRPr="001F6A1B">
          <w:rPr>
            <w:rStyle w:val="a5"/>
            <w:rFonts w:ascii="Times New Roman" w:eastAsia="新細明體" w:hAnsi="Times New Roman" w:hint="eastAsia"/>
          </w:rPr>
          <w:t>296-1</w:t>
        </w:r>
      </w:hyperlink>
      <w:r w:rsidRPr="00515D85">
        <w:rPr>
          <w:rFonts w:hint="eastAsia"/>
        </w:rPr>
        <w:t>、</w:t>
      </w:r>
      <w:hyperlink r:id="rId2229" w:anchor="a297" w:history="1">
        <w:r w:rsidRPr="001F6A1B">
          <w:rPr>
            <w:rStyle w:val="a5"/>
            <w:rFonts w:ascii="Times New Roman" w:eastAsia="新細明體" w:hAnsi="Times New Roman" w:hint="eastAsia"/>
          </w:rPr>
          <w:t>297</w:t>
        </w:r>
      </w:hyperlink>
      <w:r w:rsidRPr="00515D85">
        <w:rPr>
          <w:rFonts w:hint="eastAsia"/>
        </w:rPr>
        <w:t>條，但少使用</w:t>
      </w:r>
      <w:hyperlink r:id="rId2230" w:history="1">
        <w:r w:rsidR="00027D54" w:rsidRPr="00E91A5C">
          <w:rPr>
            <w:rStyle w:val="a5"/>
            <w:rFonts w:ascii="Times New Roman" w:eastAsia="新細明體" w:hAnsi="Times New Roman"/>
          </w:rPr>
          <w:t>人口販運防制法</w:t>
        </w:r>
      </w:hyperlink>
      <w:r w:rsidRPr="00515D85">
        <w:rPr>
          <w:rFonts w:hint="eastAsia"/>
        </w:rPr>
        <w:t>。可行之解決之道，強化偵查人員對</w:t>
      </w:r>
      <w:hyperlink r:id="rId2231" w:history="1">
        <w:r w:rsidR="00027D54" w:rsidRPr="00E91A5C">
          <w:rPr>
            <w:rStyle w:val="a5"/>
            <w:rFonts w:ascii="Times New Roman" w:eastAsia="新細明體" w:hAnsi="Times New Roman"/>
          </w:rPr>
          <w:t>人口販運防制法</w:t>
        </w:r>
      </w:hyperlink>
      <w:r w:rsidRPr="00515D85">
        <w:rPr>
          <w:rFonts w:hint="eastAsia"/>
        </w:rPr>
        <w:t>之正確認知與瞭解。</w:t>
      </w:r>
    </w:p>
    <w:p w14:paraId="1DFA8DDE" w14:textId="77777777" w:rsidR="00203F72" w:rsidRPr="00515D85" w:rsidRDefault="00170AAF" w:rsidP="00D87D91">
      <w:r w:rsidRPr="00515D85">
        <w:t xml:space="preserve">　　</w:t>
      </w:r>
      <w:r w:rsidR="00203F72" w:rsidRPr="00515D85">
        <w:t>三、積極調查、偵處並起訴涉嫌於遠洋漁船之上，虐待或販運漁工之台灣籍漁船船主</w:t>
      </w:r>
    </w:p>
    <w:p w14:paraId="30214C54" w14:textId="77777777" w:rsidR="00203F72" w:rsidRPr="00515D85" w:rsidRDefault="00203F72" w:rsidP="00D87D91">
      <w:r w:rsidRPr="00515D85">
        <w:t xml:space="preserve">　　台灣的偵查機關（含法務部各地檢署），並未積極地調查與起訴涉嫌在遠洋漁船之上，虐待或販運外籍漁工的台灣籍漁船的船主或台籍幹部。美國國務院在</w:t>
      </w:r>
      <w:r w:rsidRPr="00515D85">
        <w:t>2013</w:t>
      </w:r>
      <w:r w:rsidRPr="00515D85">
        <w:t>年與</w:t>
      </w:r>
      <w:r w:rsidRPr="00515D85">
        <w:t>2014</w:t>
      </w:r>
      <w:r w:rsidRPr="00515D85">
        <w:t>年的</w:t>
      </w:r>
      <w:r w:rsidRPr="00515D85">
        <w:t>TIP</w:t>
      </w:r>
      <w:r w:rsidRPr="00515D85">
        <w:t>之中，均一再地指出，台灣宜重</w:t>
      </w:r>
      <w:r w:rsidR="003E240E">
        <w:t>視</w:t>
      </w:r>
      <w:r w:rsidRPr="00515D85">
        <w:t>在遠洋漁船之上，遭受人口販運暴行的外籍漁工的權益與人權。很可惜的，我國在保障遠洋漁船上外籍漁工的權益部分，仍處於「虛位」的狀態。本書擬指出，在遠洋漁船上的外籍漁工，其勞力與人權，正遭受台灣船主與幹部嚴重地剝削之中，這是一個非常嚴重的人權問題，很可惜的，多數的國人，未重</w:t>
      </w:r>
      <w:r w:rsidR="003E240E">
        <w:t>視</w:t>
      </w:r>
      <w:r w:rsidRPr="00515D85">
        <w:t>在遠洋漁船上的外籍漁工的人權。</w:t>
      </w:r>
    </w:p>
    <w:p w14:paraId="0879F25C" w14:textId="77777777" w:rsidR="00953151" w:rsidRPr="00515D85" w:rsidRDefault="00170AAF" w:rsidP="00D87D91">
      <w:r w:rsidRPr="00515D85">
        <w:t xml:space="preserve">　　</w:t>
      </w:r>
      <w:r w:rsidR="00203F72" w:rsidRPr="00515D85">
        <w:t>這些外籍漁工的人權，面臨以下的嚴重困境：</w:t>
      </w:r>
      <w:r w:rsidR="00203F72" w:rsidRPr="00515D85">
        <w:t>1.</w:t>
      </w:r>
      <w:r w:rsidR="00203F72" w:rsidRPr="00515D85">
        <w:t>外籍漁工的薪資偏低，曾有個案顯示，在漁船上工作</w:t>
      </w:r>
      <w:r w:rsidR="00203F72" w:rsidRPr="00515D85">
        <w:t>8</w:t>
      </w:r>
      <w:r w:rsidR="00203F72" w:rsidRPr="00515D85">
        <w:t>個月，卻僅領到</w:t>
      </w:r>
      <w:r w:rsidR="00203F72" w:rsidRPr="00515D85">
        <w:t>2</w:t>
      </w:r>
      <w:r w:rsidR="00203F72" w:rsidRPr="00515D85">
        <w:t>萬元新台幣左右，平均而論，每個月的薪資，約為</w:t>
      </w:r>
      <w:r w:rsidR="00203F72" w:rsidRPr="00515D85">
        <w:t>2500</w:t>
      </w:r>
      <w:r w:rsidR="00203F72" w:rsidRPr="00515D85">
        <w:t>元新台幣</w:t>
      </w:r>
      <w:r w:rsidR="00203F72" w:rsidRPr="00515D85">
        <w:footnoteReference w:id="866"/>
      </w:r>
      <w:r w:rsidR="00203F72" w:rsidRPr="00515D85">
        <w:t>。台灣的遠洋漁船船主與仲介，竟是如此般的剝削外籍漁工，令人感到非常地震憾；外籍漁工的人權，竟被國人踐踏到如此的程度；</w:t>
      </w:r>
      <w:r w:rsidR="00203F72" w:rsidRPr="00515D85">
        <w:t>2.</w:t>
      </w:r>
      <w:r w:rsidR="00203F72" w:rsidRPr="00515D85">
        <w:t>無法領取加班費；</w:t>
      </w:r>
      <w:r w:rsidR="00203F72" w:rsidRPr="00515D85">
        <w:t>3.</w:t>
      </w:r>
      <w:r w:rsidR="00203F72" w:rsidRPr="00515D85">
        <w:t>未有正常的休假日；</w:t>
      </w:r>
      <w:r w:rsidR="00203F72" w:rsidRPr="00515D85">
        <w:t>4.</w:t>
      </w:r>
      <w:r w:rsidR="00203F72" w:rsidRPr="00515D85">
        <w:t>外籍漁工的居留證件，被仲介公司非法扣留；</w:t>
      </w:r>
      <w:r w:rsidR="00203F72" w:rsidRPr="00515D85">
        <w:t>5.</w:t>
      </w:r>
      <w:r w:rsidR="00203F72" w:rsidRPr="00515D85">
        <w:t>工作與生活環境惡劣，未有盥洗室、浴室與熱水；</w:t>
      </w:r>
      <w:r w:rsidR="00203F72" w:rsidRPr="00515D85">
        <w:t>6.</w:t>
      </w:r>
      <w:r w:rsidR="00203F72" w:rsidRPr="00515D85">
        <w:t>外籍漁工常被船長與台籍幹部毆打；</w:t>
      </w:r>
      <w:r w:rsidR="00203F72" w:rsidRPr="00515D85">
        <w:t>7.</w:t>
      </w:r>
      <w:r w:rsidR="00203F72" w:rsidRPr="00515D85">
        <w:t>當外籍漁工向警察與移民機關報案後，仲介公司立即向上述執法機關謊報其「逃跑」，遂容易被移民署驅逐出國</w:t>
      </w:r>
      <w:r w:rsidR="00203F72" w:rsidRPr="00515D85">
        <w:footnoteReference w:id="867"/>
      </w:r>
      <w:r w:rsidR="00203F72" w:rsidRPr="00515D85">
        <w:t>。綜上，</w:t>
      </w:r>
      <w:r w:rsidR="00203F72" w:rsidRPr="00515D85">
        <w:t xml:space="preserve"> </w:t>
      </w:r>
      <w:r w:rsidR="00203F72" w:rsidRPr="00515D85">
        <w:t>美國國務院的</w:t>
      </w:r>
      <w:r w:rsidR="00203F72" w:rsidRPr="00515D85">
        <w:t>TIP</w:t>
      </w:r>
      <w:r w:rsidR="00203F72" w:rsidRPr="00515D85">
        <w:t>，遂建議台灣社會，應積極重</w:t>
      </w:r>
      <w:r w:rsidR="003E240E">
        <w:t>視</w:t>
      </w:r>
      <w:r w:rsidR="00203F72" w:rsidRPr="00515D85">
        <w:t>遠洋漁船上外籍漁工的人權的保障。不過，截至</w:t>
      </w:r>
      <w:r w:rsidR="00203F72" w:rsidRPr="00515D85">
        <w:t>2015</w:t>
      </w:r>
      <w:r w:rsidR="00203F72" w:rsidRPr="00515D85">
        <w:t>年上半年，台灣仍缺乏積極的作為。對於涉嫌於遠洋漁船之上，虐待或販運漁工之台灣籍漁船船主與台籍幹部，我國宜加大調查、偵處並起訴的偵查力道。</w:t>
      </w:r>
    </w:p>
    <w:p w14:paraId="49535D9B" w14:textId="77777777" w:rsidR="00203F72" w:rsidRPr="00515D85" w:rsidRDefault="00170AAF" w:rsidP="00D87D91">
      <w:r w:rsidRPr="00515D85">
        <w:t xml:space="preserve">　　</w:t>
      </w:r>
      <w:r w:rsidR="00203F72" w:rsidRPr="00515D85">
        <w:t>四、精進我國外勞之聘用與管理機制，並將我國勞動市場之需求，廣作宣傳</w:t>
      </w:r>
    </w:p>
    <w:p w14:paraId="1E3AE744" w14:textId="77777777" w:rsidR="00953151" w:rsidRPr="00515D85" w:rsidRDefault="00170AAF" w:rsidP="00D87D91">
      <w:r w:rsidRPr="00515D85">
        <w:t xml:space="preserve">　　</w:t>
      </w:r>
      <w:r w:rsidR="00203F72" w:rsidRPr="00515D85">
        <w:t>根據聯合國</w:t>
      </w:r>
      <w:r w:rsidR="00203F72" w:rsidRPr="00515D85">
        <w:t>IOM</w:t>
      </w:r>
      <w:r w:rsidR="00203F72" w:rsidRPr="00515D85">
        <w:t>之研究，非法移民者之主要關鍵性動力，係為尋找更高利潤之工作條件及機會（職缺），此乃為工作尋找理論。植基於工作尋找理論，可採行之對策，係為將我國勞動市場之需求，諸如：需求名額、職種、工作地點及時間等資訊，於國內及外勞之來源母國，廣作適切地宣傳，俾利外勞於來源母國，即可得知如何透由合法管道來台工作，避免淪為非法外勞之窘（困）境。</w:t>
      </w:r>
    </w:p>
    <w:p w14:paraId="54C6DB04" w14:textId="77777777" w:rsidR="00203F72" w:rsidRPr="00515D85" w:rsidRDefault="00170AAF" w:rsidP="00D87D91">
      <w:r w:rsidRPr="00515D85">
        <w:t xml:space="preserve">　　</w:t>
      </w:r>
      <w:r w:rsidR="00203F72" w:rsidRPr="00515D85">
        <w:t>再者，在精進我國外勞之聘用與管理機制之對策方面，本書提出以下之建議與方案，供社會各界參考：</w:t>
      </w:r>
    </w:p>
    <w:p w14:paraId="6BCD14F2" w14:textId="77777777" w:rsidR="00170AAF" w:rsidRPr="00515D85" w:rsidRDefault="00170AAF" w:rsidP="00D87D91">
      <w:r w:rsidRPr="00515D85">
        <w:rPr>
          <w:rFonts w:hint="eastAsia"/>
        </w:rPr>
        <w:t xml:space="preserve">　　</w:t>
      </w:r>
      <w:r w:rsidRPr="00515D85">
        <w:t>1.</w:t>
      </w:r>
      <w:r w:rsidRPr="00515D85">
        <w:rPr>
          <w:rFonts w:hint="eastAsia"/>
        </w:rPr>
        <w:t>對我國勞動市場勞動力之需求而論，我國究竟需要多少名額之外籍勞工？此須經由實證調查與分析，始可得知。根據李秀娟氏、林師模氏、李高朝氏等人之研究，外籍勞工人數如達至</w:t>
      </w:r>
      <w:r w:rsidRPr="00515D85">
        <w:t>37</w:t>
      </w:r>
      <w:r w:rsidRPr="00515D85">
        <w:rPr>
          <w:rFonts w:hint="eastAsia"/>
        </w:rPr>
        <w:t>萬人，對國內市場仍不會產生排擠效用，是以，如將外籍勞工人數控制在一定之數量之下，似不會佔用國內勞工勞動力之市場缺額。</w:t>
      </w:r>
    </w:p>
    <w:p w14:paraId="35A988B7" w14:textId="77777777" w:rsidR="00170AAF" w:rsidRPr="00515D85" w:rsidRDefault="00170AAF" w:rsidP="00D87D91">
      <w:r w:rsidRPr="00515D85">
        <w:rPr>
          <w:rFonts w:hint="eastAsia"/>
        </w:rPr>
        <w:t xml:space="preserve">　　</w:t>
      </w:r>
      <w:r w:rsidRPr="00515D85">
        <w:t>2.</w:t>
      </w:r>
      <w:r w:rsidRPr="00515D85">
        <w:rPr>
          <w:rFonts w:hint="eastAsia"/>
        </w:rPr>
        <w:t>當國內勞動市場勞動力供需差距過大，則會鼓勵雇主聘用非法外勞，故根本之解決之道，係宜使用非常科學之實證調查技術，精算台灣所需之外勞人數，避免國內供需不足。</w:t>
      </w:r>
    </w:p>
    <w:p w14:paraId="43EEB79C" w14:textId="77777777" w:rsidR="00170AAF" w:rsidRPr="00515D85" w:rsidRDefault="00170AAF" w:rsidP="00D87D91">
      <w:r w:rsidRPr="00515D85">
        <w:rPr>
          <w:rFonts w:hint="eastAsia"/>
        </w:rPr>
        <w:t xml:space="preserve">　　</w:t>
      </w:r>
      <w:r w:rsidRPr="00515D85">
        <w:rPr>
          <w:rFonts w:hint="eastAsia"/>
        </w:rPr>
        <w:t>3.</w:t>
      </w:r>
      <w:r w:rsidRPr="00515D85">
        <w:rPr>
          <w:rFonts w:hint="eastAsia"/>
        </w:rPr>
        <w:t>降低引進外勞之申請門檻。</w:t>
      </w:r>
    </w:p>
    <w:p w14:paraId="3806C16D" w14:textId="77777777" w:rsidR="00170AAF" w:rsidRPr="00515D85" w:rsidRDefault="00170AAF" w:rsidP="00D87D91">
      <w:r w:rsidRPr="00515D85">
        <w:rPr>
          <w:rFonts w:hint="eastAsia"/>
        </w:rPr>
        <w:t xml:space="preserve">　　</w:t>
      </w:r>
      <w:r w:rsidRPr="00515D85">
        <w:rPr>
          <w:rFonts w:hint="eastAsia"/>
        </w:rPr>
        <w:t>4.</w:t>
      </w:r>
      <w:r w:rsidRPr="00515D85">
        <w:rPr>
          <w:rFonts w:hint="eastAsia"/>
        </w:rPr>
        <w:t>假若原雇主將外勞轉出之後，根據目前之規定，</w:t>
      </w:r>
      <w:r w:rsidR="003E240E">
        <w:rPr>
          <w:rFonts w:hint="eastAsia"/>
        </w:rPr>
        <w:t>視</w:t>
      </w:r>
      <w:r w:rsidRPr="00515D85">
        <w:rPr>
          <w:rFonts w:hint="eastAsia"/>
        </w:rPr>
        <w:t>同放棄原名額，會受到政府管制，無法立即遞補。原雇主如欲重新申請，則相當費時，且原雇主須再一次支付外勞申請費用，造成外勞轉出之機制不易執行，衍生外勞直接以逃逸方式解決問題。本書建議，原雇主將外勞轉出之後，可直接進行遞補，原雇主無須重新申請。</w:t>
      </w:r>
    </w:p>
    <w:p w14:paraId="76373FB2" w14:textId="77777777" w:rsidR="00170AAF" w:rsidRPr="00515D85" w:rsidRDefault="00170AAF" w:rsidP="00D87D91">
      <w:r w:rsidRPr="00515D85">
        <w:rPr>
          <w:rFonts w:hint="eastAsia"/>
        </w:rPr>
        <w:t xml:space="preserve">　　</w:t>
      </w:r>
      <w:r w:rsidRPr="00515D85">
        <w:rPr>
          <w:rFonts w:hint="eastAsia"/>
        </w:rPr>
        <w:t>5.</w:t>
      </w:r>
      <w:r w:rsidRPr="00515D85">
        <w:rPr>
          <w:rFonts w:hint="eastAsia"/>
        </w:rPr>
        <w:t>在外勞轉出之機制方面，須由原雇主提出，亦非合理，宜設計一套機制，亦可由外勞提出申請，而非一律須由原雇主提出申請。假若外勞擬提出申請，但原雇主拒絕提出申請，此時，亦會衍生外勞直接以逃逸方式解決問題。</w:t>
      </w:r>
    </w:p>
    <w:p w14:paraId="40938C58" w14:textId="77777777" w:rsidR="00170AAF" w:rsidRPr="00515D85" w:rsidRDefault="00170AAF" w:rsidP="00D87D91">
      <w:r w:rsidRPr="00515D85">
        <w:rPr>
          <w:rFonts w:hint="eastAsia"/>
        </w:rPr>
        <w:t xml:space="preserve">　　</w:t>
      </w:r>
      <w:r w:rsidRPr="00515D85">
        <w:rPr>
          <w:rFonts w:hint="eastAsia"/>
        </w:rPr>
        <w:t>6.</w:t>
      </w:r>
      <w:r w:rsidRPr="00515D85">
        <w:rPr>
          <w:rFonts w:hint="eastAsia"/>
        </w:rPr>
        <w:t>我國目前引進外勞之方式，尚有直聘方式，宜改進直聘所引進外勞之素質與培訓工作，俾利符合雇主之實際要求；再者，亦宜強化以直聘方式引進外勞之管理工作。此外，以直聘方式引進之外勞，因欠缺仲介公司協助解決其相關之問題，其基本人權常受到雇主之侵犯與踐踏，此部分，亦宜改善之。</w:t>
      </w:r>
    </w:p>
    <w:p w14:paraId="777BEF65" w14:textId="77777777" w:rsidR="00203F72" w:rsidRPr="00515D85" w:rsidRDefault="00170AAF" w:rsidP="00D87D91">
      <w:r w:rsidRPr="00515D85">
        <w:rPr>
          <w:rFonts w:hint="eastAsia"/>
        </w:rPr>
        <w:t xml:space="preserve">　　</w:t>
      </w:r>
      <w:r w:rsidRPr="00515D85">
        <w:rPr>
          <w:rFonts w:hint="eastAsia"/>
        </w:rPr>
        <w:t>7.</w:t>
      </w:r>
      <w:r w:rsidRPr="00515D85">
        <w:rPr>
          <w:rFonts w:hint="eastAsia"/>
        </w:rPr>
        <w:t>在引進外勞之機制方面，我國可採取透由直聘中心與民間仲介公司之雙軌並行模式，彼此進行良性競爭，同時，直聘中心與民間仲介公司之功能與角色，亦可進行合作與互補。以外勞之培訓與管理而論，此是直聘中心致命傷與弱點之所在，但卻是民間仲介公司之強項，故以外勞之培訓與管理而論，亦可考量委由民間仲介公司執行。是以，直聘中心與民間仲介公司之角色，似亦可相互合作與互補，進行不同之分工。</w:t>
      </w:r>
    </w:p>
    <w:p w14:paraId="689BF751" w14:textId="77777777" w:rsidR="00953151" w:rsidRPr="00515D85" w:rsidRDefault="00170AAF" w:rsidP="00D87D91">
      <w:r w:rsidRPr="00515D85">
        <w:t xml:space="preserve">　　</w:t>
      </w:r>
      <w:r w:rsidR="00203F72" w:rsidRPr="00515D85">
        <w:t>五、不宜對於拒絕協助台灣刑事司法機關進行人口販運之偵審工作者，我國即拒絕對於人口販運被害人提供永久居留機制之保護與協助</w:t>
      </w:r>
    </w:p>
    <w:p w14:paraId="426BC18E" w14:textId="77777777" w:rsidR="00203F72" w:rsidRPr="00515D85" w:rsidRDefault="00170AAF" w:rsidP="00D87D91">
      <w:r w:rsidRPr="00515D85">
        <w:t xml:space="preserve">　　</w:t>
      </w:r>
      <w:r w:rsidR="00203F72" w:rsidRPr="00515D85">
        <w:t>對於人口販運被害人所提供之保護與協助，宜符合國際人權法之標準：根據聯合國人權事務高級專員辦公室（</w:t>
      </w:r>
      <w:r w:rsidR="00203F72" w:rsidRPr="00515D85">
        <w:t>United Nations High Commissioner for Human Rights</w:t>
      </w:r>
      <w:r w:rsidR="00203F72" w:rsidRPr="00515D85">
        <w:t>）之「人權保障及防制人口販運工作中被推薦使用原則與綱領</w:t>
      </w:r>
      <w:r w:rsidR="00203F72" w:rsidRPr="00515D85">
        <w:t>(E/2002/68/Add.1)</w:t>
      </w:r>
      <w:r w:rsidR="00203F72" w:rsidRPr="00515D85">
        <w:t>」第</w:t>
      </w:r>
      <w:r w:rsidR="00203F72" w:rsidRPr="00515D85">
        <w:t>6</w:t>
      </w:r>
      <w:r w:rsidR="00203F72" w:rsidRPr="00515D85">
        <w:t>個指導綱領之規定，即禁止對於人口販運被害人提供保護與協助之際，尚須有當事人協助刑事司法機關進行人口販運案件之偵審之附帶條件。假若對於人口販運被害人所提供之保護與協助，尚須有當事人協助刑事司法機關進行人口販運案件之偵審之附帶條件，業已明顯地違反「人權保障及防制人口販運工作中被推薦使用原則與綱領（</w:t>
      </w:r>
      <w:r w:rsidR="00203F72" w:rsidRPr="00515D85">
        <w:t>E/2002/68/Add.1</w:t>
      </w:r>
      <w:r w:rsidR="00203F72" w:rsidRPr="00515D85">
        <w:t>）」第</w:t>
      </w:r>
      <w:r w:rsidR="00203F72" w:rsidRPr="00515D85">
        <w:t>6</w:t>
      </w:r>
      <w:r w:rsidR="00203F72" w:rsidRPr="00515D85">
        <w:t>個指導綱領之規範，附帶條件之作法，係屬為一種違反國際人權法之措施，與國際人權思潮不相符合。</w:t>
      </w:r>
    </w:p>
    <w:p w14:paraId="3AED4A57" w14:textId="77777777" w:rsidR="00203F72" w:rsidRPr="00515D85" w:rsidRDefault="00170AAF" w:rsidP="00D87D91">
      <w:r w:rsidRPr="00515D85">
        <w:t xml:space="preserve">　　</w:t>
      </w:r>
      <w:r w:rsidR="00203F72" w:rsidRPr="00515D85">
        <w:t>我國對於人口販運被害人所提供之保護與協助，似不宜以其在刑事訴訟過程之中，協助刑事司法機關進行人口販運之偵審工作，作為交換之條件。亦即，似不宜對於拒絕協助台灣刑事司法機關進行人口販運之偵審工作者，我國即拒絕對於人口販運被害人提供保護與協助。主要之理由，人口販運被害人本質上之身分及角色，係為被害人，而非加害人，其基本人權及人性尊嚴，嚴重地受到國人之不法侵害，故即使其拒絕協助台灣刑事司法機關進行人口販運之偵審工作，其本質之身分及地位，仍是屬於人口販運被害人，並未轉變成為罪犯，故我國對於此類之被害人，似仍負有提供保護與協助之國際道義。</w:t>
      </w:r>
    </w:p>
    <w:p w14:paraId="3C49B8B5" w14:textId="77777777" w:rsidR="00203F72" w:rsidRPr="00515D85" w:rsidRDefault="00170AAF" w:rsidP="00D87D91">
      <w:r w:rsidRPr="00515D85">
        <w:t xml:space="preserve">　　</w:t>
      </w:r>
      <w:r w:rsidR="00203F72" w:rsidRPr="00515D85">
        <w:t>在台灣人口販運被害人停留居留及永久居留機制之中，尚須符合被害人協助偵查或審判之要件，恐非合理之要求。玆以「人口販運被害人停留居留及永久居留專案許可辦法」為例加以說明之，根據上述辦法第三條之規定，被害人因協助偵查或審判而於送返原籍國（地）後人身安全有危險之虞者，安置處所得依被害人之申請，出具被害人返國後人身安全有危險之虞說明書（以下簡稱說明書），並協助被害人向中央主管機關申請專案許可停留或居留。於上述之內容中，人口販運被害人如擬申請停留居留及永久居留之許可，尚須符合被害人協助偵查或審判之要件，恐非合宜作法。</w:t>
      </w:r>
    </w:p>
    <w:p w14:paraId="733FCE12" w14:textId="77777777" w:rsidR="00203F72" w:rsidRPr="00515D85" w:rsidRDefault="00170AAF" w:rsidP="00D87D91">
      <w:r w:rsidRPr="00515D85">
        <w:t xml:space="preserve">　　</w:t>
      </w:r>
      <w:r w:rsidR="00203F72" w:rsidRPr="00515D85">
        <w:t>「人口販運被害人停留居留及永久居留專案許可辦法」第三條對於人口販運被害人所提供之保護與協助，尚須有當事人協助刑事司法機關進行人口販運案件之偵查或審判，作為附帶之條件，上述之規定，是否符合「人權保障及防制人口販運工作中被推薦使用原則與綱領（</w:t>
      </w:r>
      <w:r w:rsidR="00203F72" w:rsidRPr="00515D85">
        <w:t>E/2002/68/Add.1</w:t>
      </w:r>
      <w:r w:rsidR="00203F72" w:rsidRPr="00515D85">
        <w:t>）」第</w:t>
      </w:r>
      <w:r w:rsidR="00203F72" w:rsidRPr="00515D85">
        <w:t>6</w:t>
      </w:r>
      <w:r w:rsidR="00203F72" w:rsidRPr="00515D85">
        <w:t>個指導綱領之規定，以及是否會有子法違背母法（人口販運防制法第</w:t>
      </w:r>
      <w:hyperlink r:id="rId2232" w:anchor="a28" w:history="1">
        <w:r w:rsidR="00203F72" w:rsidRPr="000E25C7">
          <w:rPr>
            <w:rStyle w:val="a5"/>
            <w:rFonts w:ascii="Times New Roman" w:eastAsia="新細明體" w:hAnsi="Times New Roman"/>
          </w:rPr>
          <w:t>二十八</w:t>
        </w:r>
      </w:hyperlink>
      <w:r w:rsidR="00203F72" w:rsidRPr="00515D85">
        <w:t>條第三項）原始立法精神之虞，似值得進一步加以討論。</w:t>
      </w:r>
    </w:p>
    <w:p w14:paraId="71D16BF7" w14:textId="77777777" w:rsidR="00203F72" w:rsidRPr="00515D85" w:rsidRDefault="00170AAF" w:rsidP="00D87D91">
      <w:r w:rsidRPr="00515D85">
        <w:t xml:space="preserve">　　</w:t>
      </w:r>
      <w:r w:rsidR="00203F72" w:rsidRPr="00515D85">
        <w:t>是以，人口販運被害人所獲得的保護與援助，仍屬相當不足，無人可取得永久居留簽證。根據美國國務院於</w:t>
      </w:r>
      <w:r w:rsidR="00203F72" w:rsidRPr="00515D85">
        <w:t>2014</w:t>
      </w:r>
      <w:r w:rsidR="00203F72" w:rsidRPr="00515D85">
        <w:t>年</w:t>
      </w:r>
      <w:r w:rsidR="00203F72" w:rsidRPr="00515D85">
        <w:t>6</w:t>
      </w:r>
      <w:r w:rsidR="00203F72" w:rsidRPr="00515D85">
        <w:t>月公布的</w:t>
      </w:r>
      <w:r w:rsidR="00203F72" w:rsidRPr="00515D85">
        <w:t>TIP</w:t>
      </w:r>
      <w:r w:rsidR="00203F72" w:rsidRPr="00515D85">
        <w:t>報告書，該</w:t>
      </w:r>
      <w:r w:rsidR="00203F72" w:rsidRPr="00515D85">
        <w:t>TIP</w:t>
      </w:r>
      <w:r w:rsidR="00203F72" w:rsidRPr="00515D85">
        <w:t>報告書指出，假若人口販運被害人被移民署遣返回母國之後，恐遭報復，或其處境會變得相當艱難；此時，我國的法制，可賦予該名人口販運的被害人永久居留的權利。但是，截至</w:t>
      </w:r>
      <w:r w:rsidR="00203F72" w:rsidRPr="00515D85">
        <w:t>2014</w:t>
      </w:r>
      <w:r w:rsidR="00203F72" w:rsidRPr="00515D85">
        <w:t>年為止，尚未有任何的人口販運被害人，已取得永久居留的權利，可以顯示出，在台灣的人口販運被害人，最終，仍須被移民署遣返回母國，我國對人口販運被害人的保護，仍屬相當不足的。我國政府為了俾利司法警察在處理人口販運犯行的案件之時，有所依循，業已制定司法警察機關對於人口販運案件的處理標準的流程，它是一個</w:t>
      </w:r>
      <w:r w:rsidR="00203F72" w:rsidRPr="00515D85">
        <w:t>SOP</w:t>
      </w:r>
      <w:r w:rsidR="00203F72" w:rsidRPr="00515D85">
        <w:t>。</w:t>
      </w:r>
    </w:p>
    <w:p w14:paraId="0A27E46F" w14:textId="77777777" w:rsidR="00203F72" w:rsidRPr="00515D85" w:rsidRDefault="00170AAF" w:rsidP="00D87D91">
      <w:r w:rsidRPr="00515D85">
        <w:t xml:space="preserve">　　</w:t>
      </w:r>
      <w:r w:rsidR="00203F72" w:rsidRPr="00515D85">
        <w:t>假若司法警察機關針對於人口販運案件進行偵查，發現人口販運的被害人；依照上述</w:t>
      </w:r>
      <w:r w:rsidR="00203F72" w:rsidRPr="00515D85">
        <w:t>SOP</w:t>
      </w:r>
      <w:r w:rsidR="00203F72" w:rsidRPr="00515D85">
        <w:t>的規定，會將人口販運被害人轉交至權責的安置機關，由權責的安置機關對於被害人提供「安置保護服務」；在權責安置機關對於人口販運被害人提供適切的「安置保護服務」之後，依據上述</w:t>
      </w:r>
      <w:r w:rsidR="00203F72" w:rsidRPr="00515D85">
        <w:t>SOP</w:t>
      </w:r>
      <w:r w:rsidR="00203F72" w:rsidRPr="00515D85">
        <w:t>的規範，最終，係由移民署將人口販運被害人「安全地」送返原籍國</w:t>
      </w:r>
      <w:r w:rsidR="00203F72" w:rsidRPr="00515D85">
        <w:t>(</w:t>
      </w:r>
      <w:r w:rsidR="00203F72" w:rsidRPr="00515D85">
        <w:t>地</w:t>
      </w:r>
      <w:r w:rsidR="00203F72" w:rsidRPr="00515D85">
        <w:t>)</w:t>
      </w:r>
      <w:r w:rsidR="00203F72" w:rsidRPr="00515D85">
        <w:t>。</w:t>
      </w:r>
    </w:p>
    <w:p w14:paraId="377339FC" w14:textId="77777777" w:rsidR="00953151" w:rsidRPr="00515D85" w:rsidRDefault="00170AAF" w:rsidP="00D87D91">
      <w:r w:rsidRPr="00515D85">
        <w:t xml:space="preserve">　　</w:t>
      </w:r>
      <w:r w:rsidR="00203F72" w:rsidRPr="00515D85">
        <w:t>根據上述的</w:t>
      </w:r>
      <w:r w:rsidR="00203F72" w:rsidRPr="00515D85">
        <w:t>SOP</w:t>
      </w:r>
      <w:r w:rsidR="00203F72" w:rsidRPr="00515D85">
        <w:t>，可以發現台灣在對於人口販運被害人所提供的保護機制之中，大前提的假設，並不希望賦予人口販運被害人永久居留的權利。假若，人口販運被害人被移民署遣返回母國之後，其處境會顯得相當艱難，依照目前</w:t>
      </w:r>
      <w:r w:rsidR="00203F72" w:rsidRPr="00515D85">
        <w:t>SOP</w:t>
      </w:r>
      <w:r w:rsidR="00203F72" w:rsidRPr="00515D85">
        <w:t>的保護機制，移民署仍是會將人口販運被害人遣返回原籍地。本書認為，此會造成人口販運被害人再次的傷害與被害。由於人口販運被害人截至</w:t>
      </w:r>
      <w:r w:rsidR="00203F72" w:rsidRPr="00515D85">
        <w:t>2014</w:t>
      </w:r>
      <w:r w:rsidR="00203F72" w:rsidRPr="00515D85">
        <w:t>年為止，仍無人取得我國永久居留的簽證，本書認為，人口販運被害人所獲得的保護與援助，仍屬不足的。</w:t>
      </w:r>
    </w:p>
    <w:p w14:paraId="5A845335" w14:textId="77777777" w:rsidR="00203F72" w:rsidRPr="00515D85" w:rsidRDefault="00170AAF" w:rsidP="00D87D91">
      <w:r w:rsidRPr="00515D85">
        <w:t xml:space="preserve">　　</w:t>
      </w:r>
      <w:r w:rsidR="00203F72" w:rsidRPr="00515D85">
        <w:t>六、正</w:t>
      </w:r>
      <w:r w:rsidR="003E240E">
        <w:t>視</w:t>
      </w:r>
      <w:r w:rsidR="00203F72" w:rsidRPr="00515D85">
        <w:t>人口販運犯行之嚴重性而適度提升懲治人口販運罪行之處罰額度</w:t>
      </w:r>
    </w:p>
    <w:p w14:paraId="21791037" w14:textId="77777777" w:rsidR="00953151" w:rsidRPr="00515D85" w:rsidRDefault="00170AAF" w:rsidP="00D87D91">
      <w:r w:rsidRPr="00515D85">
        <w:t xml:space="preserve">　　</w:t>
      </w:r>
      <w:r w:rsidR="00203F72" w:rsidRPr="00515D85">
        <w:t>根據加拿大刑法第</w:t>
      </w:r>
      <w:r w:rsidR="00203F72" w:rsidRPr="00515D85">
        <w:t>279.01</w:t>
      </w:r>
      <w:r w:rsidR="00203F72" w:rsidRPr="00515D85">
        <w:t>條之規定，對於行為人觸犯販運人口之罪行，最高可科處有期徒刑</w:t>
      </w:r>
      <w:r w:rsidR="00203F72" w:rsidRPr="00515D85">
        <w:t>14</w:t>
      </w:r>
      <w:r w:rsidR="00203F72" w:rsidRPr="00515D85">
        <w:t>年。此外，依據加拿大刑法第</w:t>
      </w:r>
      <w:r w:rsidR="00203F72" w:rsidRPr="00515D85">
        <w:t>279.01</w:t>
      </w:r>
      <w:r w:rsidR="00203F72" w:rsidRPr="00515D85">
        <w:t>條之立法規範，假若行為人於觸犯人口販運犯罪之過程之中，尚且涉及綁架勒贖罪、加重暴行罪、加重性暴行罪或發生致人於死之情形，則最高可科處無期徒刑</w:t>
      </w:r>
      <w:r w:rsidR="00203F72" w:rsidRPr="00515D85">
        <w:footnoteReference w:id="868"/>
      </w:r>
      <w:r w:rsidR="00203F72" w:rsidRPr="00515D85">
        <w:t>。加拿大對於行為人觸犯販運人口之罪行，最高可科處有期徒刑</w:t>
      </w:r>
      <w:r w:rsidR="00203F72" w:rsidRPr="00515D85">
        <w:t>14</w:t>
      </w:r>
      <w:r w:rsidR="00203F72" w:rsidRPr="00515D85">
        <w:t>年。兩相比較之結果，針對人口販運之性剝削罪行而論，加拿大刑罰之額度，高於台灣約</w:t>
      </w:r>
      <w:r w:rsidR="00203F72" w:rsidRPr="00515D85">
        <w:t>2.8</w:t>
      </w:r>
      <w:r w:rsidR="00203F72" w:rsidRPr="00515D85">
        <w:t>倍（</w:t>
      </w:r>
      <w:r w:rsidR="00203F72" w:rsidRPr="00515D85">
        <w:t>14/5=2.8</w:t>
      </w:r>
      <w:r w:rsidR="00203F72" w:rsidRPr="00515D85">
        <w:t>），近約</w:t>
      </w:r>
      <w:r w:rsidR="00203F72" w:rsidRPr="00515D85">
        <w:t>3</w:t>
      </w:r>
      <w:r w:rsidR="00203F72" w:rsidRPr="00515D85">
        <w:t>倍之額度。</w:t>
      </w:r>
    </w:p>
    <w:p w14:paraId="3C6FE067" w14:textId="77777777" w:rsidR="00203F72" w:rsidRPr="00515D85" w:rsidRDefault="00170AAF" w:rsidP="00D87D91">
      <w:r w:rsidRPr="00515D85">
        <w:t xml:space="preserve">　　</w:t>
      </w:r>
      <w:r w:rsidR="00203F72" w:rsidRPr="00515D85">
        <w:t>另外，根據南韓政府之「懲治媒介性交易暨相關行為條例」第</w:t>
      </w:r>
      <w:r w:rsidR="00203F72" w:rsidRPr="00515D85">
        <w:t>18</w:t>
      </w:r>
      <w:r w:rsidR="00203F72" w:rsidRPr="00515D85">
        <w:t>條第</w:t>
      </w:r>
      <w:r w:rsidR="00203F72" w:rsidRPr="00515D85">
        <w:t>1</w:t>
      </w:r>
      <w:r w:rsidR="00203F72" w:rsidRPr="00515D85">
        <w:t>項之規定，以不法手段，強迫他人出售性服務者，可科處</w:t>
      </w:r>
      <w:r w:rsidR="00203F72" w:rsidRPr="00515D85">
        <w:t>10</w:t>
      </w:r>
      <w:r w:rsidR="00203F72" w:rsidRPr="00515D85">
        <w:t>年以下有期徒刑或，科處</w:t>
      </w:r>
      <w:r w:rsidR="00203F72" w:rsidRPr="00515D85">
        <w:t>1</w:t>
      </w:r>
      <w:r w:rsidR="00203F72" w:rsidRPr="00515D85">
        <w:t>億韓幣（約台幣</w:t>
      </w:r>
      <w:r w:rsidR="00203F72" w:rsidRPr="00515D85">
        <w:t>300</w:t>
      </w:r>
      <w:r w:rsidR="00203F72" w:rsidRPr="00515D85">
        <w:t>萬元）。反觀我國</w:t>
      </w:r>
      <w:r w:rsidR="00203F72" w:rsidRPr="00515D85">
        <w:t>2009</w:t>
      </w:r>
      <w:r w:rsidR="00203F72" w:rsidRPr="00515D85">
        <w:t>年之</w:t>
      </w:r>
      <w:hyperlink r:id="rId2233" w:history="1">
        <w:r w:rsidR="00027D54" w:rsidRPr="00E91A5C">
          <w:rPr>
            <w:rStyle w:val="a5"/>
            <w:rFonts w:ascii="Times New Roman" w:eastAsia="新細明體" w:hAnsi="Times New Roman"/>
          </w:rPr>
          <w:t>人口販運防制法</w:t>
        </w:r>
      </w:hyperlink>
      <w:r w:rsidR="00203F72" w:rsidRPr="00515D85">
        <w:t>，該法第</w:t>
      </w:r>
      <w:r w:rsidR="00203F72" w:rsidRPr="00515D85">
        <w:t>31</w:t>
      </w:r>
      <w:r w:rsidR="00203F72" w:rsidRPr="00515D85">
        <w:t>條規定意圖營利，利用不當債務約束或他人不能、不知或難以求助之處境，使人從事性交易者，處</w:t>
      </w:r>
      <w:r w:rsidR="00203F72" w:rsidRPr="00515D85">
        <w:t>6</w:t>
      </w:r>
      <w:r w:rsidR="00203F72" w:rsidRPr="00515D85">
        <w:t>月以上</w:t>
      </w:r>
      <w:r w:rsidR="00203F72" w:rsidRPr="00515D85">
        <w:t>5</w:t>
      </w:r>
      <w:r w:rsidR="00203F72" w:rsidRPr="00515D85">
        <w:t>年以下有期徒刑，得併科新臺幣</w:t>
      </w:r>
      <w:r w:rsidR="00203F72" w:rsidRPr="00515D85">
        <w:t>300</w:t>
      </w:r>
      <w:r w:rsidR="00203F72" w:rsidRPr="00515D85">
        <w:t>萬元以下罰金</w:t>
      </w:r>
      <w:r w:rsidR="00203F72" w:rsidRPr="00515D85">
        <w:footnoteReference w:id="869"/>
      </w:r>
      <w:r w:rsidR="00203F72" w:rsidRPr="00515D85">
        <w:t>。兩相比較之結果，我國有期徒刑之刑度，僅為南韓政府之「懲治媒介性交易暨相關行為條例」第</w:t>
      </w:r>
      <w:r w:rsidR="00203F72" w:rsidRPr="00515D85">
        <w:t>18</w:t>
      </w:r>
      <w:r w:rsidR="00203F72" w:rsidRPr="00515D85">
        <w:t>條第</w:t>
      </w:r>
      <w:r w:rsidR="00203F72" w:rsidRPr="00515D85">
        <w:t>1</w:t>
      </w:r>
      <w:r w:rsidR="00203F72" w:rsidRPr="00515D85">
        <w:t>項有期徒刑處罰額度之一半，顯見我國有期徒刑之刑度較低</w:t>
      </w:r>
      <w:r w:rsidR="00545D58" w:rsidRPr="00515D85">
        <w:t>。</w:t>
      </w:r>
    </w:p>
    <w:p w14:paraId="2B00A1C4" w14:textId="77777777" w:rsidR="00953151" w:rsidRPr="00515D85" w:rsidRDefault="00170AAF" w:rsidP="00D87D91">
      <w:r w:rsidRPr="00515D85">
        <w:t xml:space="preserve">　　</w:t>
      </w:r>
      <w:r w:rsidR="00203F72" w:rsidRPr="00515D85">
        <w:t>亦即，同樣之人口販運之性剝削罪行，台灣</w:t>
      </w:r>
      <w:hyperlink r:id="rId2234" w:history="1">
        <w:r w:rsidR="00027D54" w:rsidRPr="00E91A5C">
          <w:rPr>
            <w:rStyle w:val="a5"/>
            <w:rFonts w:ascii="Times New Roman" w:eastAsia="新細明體" w:hAnsi="Times New Roman"/>
          </w:rPr>
          <w:t>人口販運防制法</w:t>
        </w:r>
      </w:hyperlink>
      <w:r w:rsidR="00203F72" w:rsidRPr="00515D85">
        <w:t>處罰之額度，僅為加拿大刑罰額度之三分之一，或為南韓政府之「懲治媒介性交易暨相關行為條例」第</w:t>
      </w:r>
      <w:r w:rsidR="00203F72" w:rsidRPr="00515D85">
        <w:t>18</w:t>
      </w:r>
      <w:r w:rsidR="00203F72" w:rsidRPr="00515D85">
        <w:t>條第</w:t>
      </w:r>
      <w:r w:rsidR="00203F72" w:rsidRPr="00515D85">
        <w:t>1</w:t>
      </w:r>
      <w:r w:rsidR="00203F72" w:rsidRPr="00515D85">
        <w:t>項有期徒刑處罰額度之一半，台灣</w:t>
      </w:r>
      <w:hyperlink r:id="rId2235" w:history="1">
        <w:r w:rsidR="00027D54" w:rsidRPr="00E91A5C">
          <w:rPr>
            <w:rStyle w:val="a5"/>
            <w:rFonts w:ascii="Times New Roman" w:eastAsia="新細明體" w:hAnsi="Times New Roman"/>
          </w:rPr>
          <w:t>人口販運防制法</w:t>
        </w:r>
      </w:hyperlink>
      <w:r w:rsidR="00203F72" w:rsidRPr="00515D85">
        <w:t>處罰之額度，是否過輕？</w:t>
      </w:r>
      <w:hyperlink r:id="rId2236" w:history="1">
        <w:r w:rsidR="00027D54" w:rsidRPr="00E91A5C">
          <w:rPr>
            <w:rStyle w:val="a5"/>
            <w:rFonts w:ascii="Times New Roman" w:eastAsia="新細明體" w:hAnsi="Times New Roman"/>
          </w:rPr>
          <w:t>人口販運防制法</w:t>
        </w:r>
      </w:hyperlink>
      <w:r w:rsidR="00203F72" w:rsidRPr="00515D85">
        <w:t>處罰過輕，是否會變相地增進及鼓勵人口販運犯行？不無疑義。台灣之反人口販運聯盟、其他相關團體及維權人士，對於</w:t>
      </w:r>
      <w:hyperlink r:id="rId2237" w:history="1">
        <w:r w:rsidR="00027D54" w:rsidRPr="00E91A5C">
          <w:rPr>
            <w:rStyle w:val="a5"/>
            <w:rFonts w:ascii="Times New Roman" w:eastAsia="新細明體" w:hAnsi="Times New Roman"/>
          </w:rPr>
          <w:t>人口販運防制法</w:t>
        </w:r>
      </w:hyperlink>
      <w:r w:rsidR="00203F72" w:rsidRPr="00515D85">
        <w:t>之罰則機制，大多表示人口販運犯罪之罰則太低</w:t>
      </w:r>
      <w:r w:rsidR="00203F72" w:rsidRPr="00515D85">
        <w:footnoteReference w:id="870"/>
      </w:r>
      <w:r w:rsidR="00203F72" w:rsidRPr="00515D85">
        <w:t>。關於</w:t>
      </w:r>
      <w:hyperlink r:id="rId2238" w:history="1">
        <w:r w:rsidR="00027D54" w:rsidRPr="00E91A5C">
          <w:rPr>
            <w:rStyle w:val="a5"/>
            <w:rFonts w:ascii="Times New Roman" w:eastAsia="新細明體" w:hAnsi="Times New Roman"/>
          </w:rPr>
          <w:t>人口販運防制法</w:t>
        </w:r>
      </w:hyperlink>
      <w:r w:rsidR="00203F72" w:rsidRPr="00515D85">
        <w:t>之罰則過低之問題，值得台灣未來進一步深入加以研究。</w:t>
      </w:r>
    </w:p>
    <w:p w14:paraId="524AA795" w14:textId="77777777" w:rsidR="00203F72" w:rsidRPr="00515D85" w:rsidRDefault="00170AAF" w:rsidP="00D87D91">
      <w:r w:rsidRPr="00515D85">
        <w:t xml:space="preserve">　　</w:t>
      </w:r>
      <w:r w:rsidR="00203F72" w:rsidRPr="00515D85">
        <w:t>七、修改全台打擊與防治人口販運之行動方案和方針，以符合與掌控當今台灣社會人口販運犯罪之實際發展趨勢</w:t>
      </w:r>
    </w:p>
    <w:p w14:paraId="150BCEA1" w14:textId="77777777" w:rsidR="00953151" w:rsidRPr="00515D85" w:rsidRDefault="00170AAF" w:rsidP="00D87D91">
      <w:r w:rsidRPr="00515D85">
        <w:t xml:space="preserve">　　</w:t>
      </w:r>
      <w:r w:rsidR="00203F72" w:rsidRPr="00515D85">
        <w:t>台灣打擊人口販運犯罪的行動計畫與方針，未能符合當今人口販運犯罪的最新趨勢。根據美國國務院</w:t>
      </w:r>
      <w:r w:rsidR="00203F72" w:rsidRPr="00515D85">
        <w:t>2014</w:t>
      </w:r>
      <w:r w:rsidR="00203F72" w:rsidRPr="00515D85">
        <w:t>年版本的</w:t>
      </w:r>
      <w:r w:rsidR="00203F72" w:rsidRPr="00515D85">
        <w:t>TIP</w:t>
      </w:r>
      <w:r w:rsidR="00203F72" w:rsidRPr="00515D85">
        <w:t>報告書，該</w:t>
      </w:r>
      <w:r w:rsidR="00203F72" w:rsidRPr="00515D85">
        <w:t>TIP</w:t>
      </w:r>
      <w:r w:rsidR="00203F72" w:rsidRPr="00515D85">
        <w:t>報告書指出，全台防制人口販運犯罪的行動方案與方針，業已與當今人口販運犯罪的發展趨勢脫節。我國在</w:t>
      </w:r>
      <w:r w:rsidR="00203F72" w:rsidRPr="00515D85">
        <w:t>2006</w:t>
      </w:r>
      <w:r w:rsidR="00203F72" w:rsidRPr="00515D85">
        <w:t>年制定「防制人口販運行動計畫」，然而，並未有進一步的更新版本。</w:t>
      </w:r>
      <w:r w:rsidR="00203F72" w:rsidRPr="00515D85">
        <w:t>2006</w:t>
      </w:r>
      <w:r w:rsidR="00203F72" w:rsidRPr="00515D85">
        <w:t>年版本的「防制人口販運行動計畫」的內容，在防制遠洋漁船上外籍漁工與外籍幫傭兩類族群避免遭受勞力剝削的區塊，並未特別地重</w:t>
      </w:r>
      <w:r w:rsidR="003E240E">
        <w:t>視</w:t>
      </w:r>
      <w:r w:rsidR="00203F72" w:rsidRPr="00515D85">
        <w:t>與著墨。很明顯地，上述外籍漁工與外籍家事勞工被剝削的情形，未受到上述「防制人口販運行動計畫」的監控，形成我國在打擊人口販運犯罪的嚴重缺失與漏洞，值得國人關注。主要的問題點，在於上述的計畫，已屬落伍，無法因應環境的變化。執法機關宜掌握台灣社會人口販運犯罪之實際發展趨勢，修改全台打擊與防治人口販運之行動方案和方針，有效地打擊人口販運犯罪。</w:t>
      </w:r>
    </w:p>
    <w:p w14:paraId="0102C59E" w14:textId="77777777" w:rsidR="00203F72" w:rsidRPr="00515D85" w:rsidRDefault="00170AAF" w:rsidP="00D87D91">
      <w:r w:rsidRPr="00515D85">
        <w:t xml:space="preserve">　　</w:t>
      </w:r>
      <w:r w:rsidR="00203F72" w:rsidRPr="00515D85">
        <w:t>八、釐清打擊與防治人口販運各機關之角色功能與其職權範圍，並能充分協調全台打擊人口販運之各項執法作為</w:t>
      </w:r>
    </w:p>
    <w:p w14:paraId="6263EAAE" w14:textId="77777777" w:rsidR="00203F72" w:rsidRPr="00515D85" w:rsidRDefault="00203F72" w:rsidP="00D87D91">
      <w:r w:rsidRPr="00515D85">
        <w:t xml:space="preserve">　　我國打擊人口販運犯行的中央政府機關內的各個單位，其角色與職權模糊不清，情報未能共享，彼此之間，無法充份地協調各項打擊人口販運的執法作為。就台灣而言，外勞的管理與聘用，係由行政院勞動部負責；而在外來人口的居留部分，則由移民署負責；另外，在人口販運犯行部分，能進行查緝的執法機關，包括：法務部各個地檢署、法務部調查局、行政院海岸巡防署、警政署與內政部移民署。在人口販運被害人的保護與安置部分，則分別由勞動部（負責勞力剝削被害人的安置）與內政部移民署（負責性剝削被害人的安置）為權責機關。在遣送人口販運被害人與犯罪人回國方面，則由內政部移民署負責。在上述的諸多機關之中，勞動部的角色與職權，較為模糊不清。勞動部僅負責外勞的聘用管理，但不負責查緝非法外勞，容易形成有權無責的現象。</w:t>
      </w:r>
    </w:p>
    <w:p w14:paraId="2E2EFC77" w14:textId="77777777" w:rsidR="00203F72" w:rsidRPr="00515D85" w:rsidRDefault="00170AAF" w:rsidP="00D87D91">
      <w:r w:rsidRPr="00515D85">
        <w:t xml:space="preserve">　　</w:t>
      </w:r>
      <w:r w:rsidR="00203F72" w:rsidRPr="00515D85">
        <w:t>事實上，外勞之所以受到勞力剝削，問題出在於勞動部的外勞聘用制度；是以，要解決外勞勞力被國人剝削的問題，勞動部有必要深入地精研外勞的招募、聘僱</w:t>
      </w:r>
      <w:r w:rsidR="00203F72" w:rsidRPr="00515D85">
        <w:t>(</w:t>
      </w:r>
      <w:r w:rsidR="00203F72" w:rsidRPr="00515D85">
        <w:t>用</w:t>
      </w:r>
      <w:r w:rsidR="00203F72" w:rsidRPr="00515D85">
        <w:t>)</w:t>
      </w:r>
      <w:r w:rsidR="00203F72" w:rsidRPr="00515D85">
        <w:t>與管理機制，這是外勞勞力被剝削的源頭點之所在。</w:t>
      </w:r>
    </w:p>
    <w:p w14:paraId="5B982BB5" w14:textId="77777777" w:rsidR="00953151" w:rsidRPr="00515D85" w:rsidRDefault="00170AAF" w:rsidP="00D87D91">
      <w:r w:rsidRPr="00515D85">
        <w:t xml:space="preserve">　　</w:t>
      </w:r>
      <w:r w:rsidR="00203F72" w:rsidRPr="00515D85">
        <w:t>我國涉及打擊與防治人口販運之機關，包括：國家安全局、勞動部、法務部、調查局、法院、地檢署、警察機關、移民署、及海巡署等，宜釐清打擊與防治人口販運各機關之角色功能與其職權範圍，並能充分協調上述國家安全局、勞動部、法務部、調查局、法院、地檢署、警察機關、移民署、及海巡署等執法機關之全台打擊人口販運之各項執法作為。</w:t>
      </w:r>
    </w:p>
    <w:p w14:paraId="77D1ADB8" w14:textId="77777777" w:rsidR="00203F72" w:rsidRPr="00515D85" w:rsidRDefault="00170AAF" w:rsidP="00D87D91">
      <w:r w:rsidRPr="00515D85">
        <w:t xml:space="preserve">　　</w:t>
      </w:r>
      <w:r w:rsidR="00203F72" w:rsidRPr="00515D85">
        <w:t>九、強化涉及人口販運情報之蒐集、整合、解析與運用等相關作為</w:t>
      </w:r>
    </w:p>
    <w:p w14:paraId="42026C6C" w14:textId="77777777" w:rsidR="00953151" w:rsidRPr="00515D85" w:rsidRDefault="00203F72" w:rsidP="00D87D91">
      <w:r w:rsidRPr="00515D85">
        <w:t xml:space="preserve">　　行政院勞動部、法務部各個地檢署、調查局、行政院海岸巡防署、內政部移民署與警政署等執法機關，各自所擁有與建制的涉及外勞聘用、居留許可與逃逸資料等情報，相關的各式情報，無法相互分享，亦是相當可惜之處。我國涉及蒐集、整合、解析與運用人口販運犯罪情報之機關，如上所述，計包括：國家安全局、勞動部、法務部、調查局、地檢署、警察機關、移民署、及海巡署等，宜強化渠等對於人口販運情報之蒐集、整合、解析與運用等之能量。</w:t>
      </w:r>
    </w:p>
    <w:p w14:paraId="72063962" w14:textId="77777777" w:rsidR="00203F72" w:rsidRPr="00515D85" w:rsidRDefault="00170AAF" w:rsidP="00D87D91">
      <w:r w:rsidRPr="00515D85">
        <w:t xml:space="preserve">　　</w:t>
      </w:r>
      <w:r w:rsidR="00203F72" w:rsidRPr="00515D85">
        <w:t>十、持續對執法人員、勞動部官員、勞動檢查員、檢察官及法官進行被害人識別措施和相關法律問題之訓練</w:t>
      </w:r>
    </w:p>
    <w:p w14:paraId="73D44FBF" w14:textId="77777777" w:rsidR="00953151" w:rsidRPr="00515D85" w:rsidRDefault="00203F72" w:rsidP="00D87D91">
      <w:r w:rsidRPr="00515D85">
        <w:t xml:space="preserve">　　有關涉及被害人識別措施和相關法律問題等，係屬相當專業之領域，故有必要持續對執法人員、勞動部官員、勞動檢查員、檢察官及法官進行被害人識別措施和相關法律問題之訓練。</w:t>
      </w:r>
    </w:p>
    <w:p w14:paraId="33044900" w14:textId="77777777" w:rsidR="00203F72" w:rsidRPr="00515D85" w:rsidRDefault="00170AAF" w:rsidP="00D87D91">
      <w:r w:rsidRPr="00515D85">
        <w:t xml:space="preserve">　　</w:t>
      </w:r>
      <w:r w:rsidR="00203F72" w:rsidRPr="00515D85">
        <w:t>十一、應大幅提升人口販運被害人被鑑別成功之比例</w:t>
      </w:r>
    </w:p>
    <w:p w14:paraId="46714D28" w14:textId="77777777" w:rsidR="00203F72" w:rsidRPr="00515D85" w:rsidRDefault="00170AAF" w:rsidP="00D87D91">
      <w:r w:rsidRPr="00515D85">
        <w:t xml:space="preserve">　　</w:t>
      </w:r>
      <w:r w:rsidR="00203F72" w:rsidRPr="00515D85">
        <w:t>於</w:t>
      </w:r>
      <w:r w:rsidR="00203F72" w:rsidRPr="00515D85">
        <w:t>2009</w:t>
      </w:r>
      <w:r w:rsidR="00203F72" w:rsidRPr="00515D85">
        <w:t>年，針對全球成人及孩童而論，全球各式各樣人口販運被害人合計約</w:t>
      </w:r>
      <w:r w:rsidR="00203F72" w:rsidRPr="00515D85">
        <w:t>2700</w:t>
      </w:r>
      <w:r w:rsidR="00203F72" w:rsidRPr="00515D85">
        <w:t>萬人。於同年一度（</w:t>
      </w:r>
      <w:r w:rsidR="00203F72" w:rsidRPr="00515D85">
        <w:t>2009</w:t>
      </w:r>
      <w:r w:rsidR="00203F72" w:rsidRPr="00515D85">
        <w:t>年）之中，全球人口販運被害人被成功鑑別之總人數，合計約</w:t>
      </w:r>
      <w:r w:rsidR="00203F72" w:rsidRPr="00515D85">
        <w:t>49,105</w:t>
      </w:r>
      <w:r w:rsidR="00203F72" w:rsidRPr="00515D85">
        <w:t>人，其成功辨識比例僅為</w:t>
      </w:r>
      <w:r w:rsidR="00203F72" w:rsidRPr="00515D85">
        <w:t>0.002</w:t>
      </w:r>
      <w:r w:rsidR="00203F72" w:rsidRPr="00515D85">
        <w:t>；相對而論，失敗之辨識比例為</w:t>
      </w:r>
      <w:r w:rsidR="00203F72" w:rsidRPr="00515D85">
        <w:t>0.998</w:t>
      </w:r>
      <w:r w:rsidR="00203F72" w:rsidRPr="00515D85">
        <w:t>。亦即，每</w:t>
      </w:r>
      <w:r w:rsidR="00203F72" w:rsidRPr="00515D85">
        <w:t>1,000</w:t>
      </w:r>
      <w:r w:rsidR="00203F72" w:rsidRPr="00515D85">
        <w:t>位之人口販運被害人，僅有</w:t>
      </w:r>
      <w:r w:rsidR="00203F72" w:rsidRPr="00515D85">
        <w:t>2</w:t>
      </w:r>
      <w:r w:rsidR="00203F72" w:rsidRPr="00515D85">
        <w:t>人被成功地辨識為被害人，尚有</w:t>
      </w:r>
      <w:r w:rsidR="00203F72" w:rsidRPr="00515D85">
        <w:t>998</w:t>
      </w:r>
      <w:r w:rsidR="00203F72" w:rsidRPr="00515D85">
        <w:t>位未被成功地辨識為被害人。是以，政府及民間部門宜重</w:t>
      </w:r>
      <w:r w:rsidR="003E240E">
        <w:t>視</w:t>
      </w:r>
      <w:r w:rsidR="00203F72" w:rsidRPr="00515D85">
        <w:t>此一問題之嚴重性，並應大幅提升人口販運被害人被鑑別成功之比例。</w:t>
      </w:r>
    </w:p>
    <w:p w14:paraId="03A9CE4D" w14:textId="77777777" w:rsidR="00203F72" w:rsidRPr="00515D85" w:rsidRDefault="00203F72" w:rsidP="00D87D91">
      <w:r w:rsidRPr="00515D85">
        <w:t>執法與司法機關人員對於人口販運被害人的辨識能力，有待強化</w:t>
      </w:r>
    </w:p>
    <w:p w14:paraId="245C207D" w14:textId="77777777" w:rsidR="00203F72" w:rsidRPr="00515D85" w:rsidRDefault="00170AAF" w:rsidP="00D87D91">
      <w:r w:rsidRPr="00515D85">
        <w:t xml:space="preserve">　　</w:t>
      </w:r>
      <w:r w:rsidR="00203F72" w:rsidRPr="00515D85">
        <w:t>根據美國國務院</w:t>
      </w:r>
      <w:r w:rsidR="00203F72" w:rsidRPr="00515D85">
        <w:t>2014</w:t>
      </w:r>
      <w:r w:rsidR="00203F72" w:rsidRPr="00515D85">
        <w:t>年版本的</w:t>
      </w:r>
      <w:r w:rsidR="00203F72" w:rsidRPr="00515D85">
        <w:t>TIP</w:t>
      </w:r>
      <w:r w:rsidR="00203F72" w:rsidRPr="00515D85">
        <w:t>報告指出，我國的執法與司法機關人員，在準確地辨識人口販運被害人方面，能力仍有所欠缺，有時，人口販運的被害人，未被精準地辨識出來，仍被</w:t>
      </w:r>
      <w:r w:rsidR="003E240E">
        <w:t>視</w:t>
      </w:r>
      <w:r w:rsidR="00203F72" w:rsidRPr="00515D85">
        <w:t>為人口販運的罪犯；事實上，他（她）是人口販運的被害人。另外，在</w:t>
      </w:r>
      <w:r w:rsidR="00203F72" w:rsidRPr="00515D85">
        <w:t>2013</w:t>
      </w:r>
      <w:r w:rsidR="00203F72" w:rsidRPr="00515D85">
        <w:t>年版本的</w:t>
      </w:r>
      <w:r w:rsidR="00203F72" w:rsidRPr="00515D85">
        <w:t>TIP</w:t>
      </w:r>
      <w:r w:rsidR="00203F72" w:rsidRPr="00515D85">
        <w:t>報告之中，美國國務院亦指出，根據在台的非政府組織（</w:t>
      </w:r>
      <w:r w:rsidR="00203F72" w:rsidRPr="00515D85">
        <w:t>NGO</w:t>
      </w:r>
      <w:r w:rsidR="00203F72" w:rsidRPr="00515D85">
        <w:t>）向美國國務院的反應，在台灣，人口販運的被害人，有時，仍被執法與司法機關</w:t>
      </w:r>
      <w:r w:rsidR="003E240E">
        <w:t>視</w:t>
      </w:r>
      <w:r w:rsidR="00203F72" w:rsidRPr="00515D85">
        <w:t>為人口販運的犯罪人，此涉及執法與司法機關人員對於人口販運被害人的辨識能力的問題。</w:t>
      </w:r>
    </w:p>
    <w:p w14:paraId="7D571DF1" w14:textId="77777777" w:rsidR="00953151" w:rsidRPr="00515D85" w:rsidRDefault="00170AAF" w:rsidP="00D87D91">
      <w:r w:rsidRPr="00515D85">
        <w:t xml:space="preserve">　　</w:t>
      </w:r>
      <w:r w:rsidR="00203F72" w:rsidRPr="00515D85">
        <w:t>此外，在美國國務院所出版的</w:t>
      </w:r>
      <w:r w:rsidR="00203F72" w:rsidRPr="00515D85">
        <w:t>2012</w:t>
      </w:r>
      <w:r w:rsidR="00203F72" w:rsidRPr="00515D85">
        <w:t>年版本的</w:t>
      </w:r>
      <w:r w:rsidR="00203F72" w:rsidRPr="00515D85">
        <w:t>TIP</w:t>
      </w:r>
      <w:r w:rsidR="00203F72" w:rsidRPr="00515D85">
        <w:t>報告之中，亦是提及台灣將人口販運被害人</w:t>
      </w:r>
      <w:r w:rsidR="003E240E">
        <w:t>視</w:t>
      </w:r>
      <w:r w:rsidR="00203F72" w:rsidRPr="00515D85">
        <w:t>為人口販運的犯罪人，對於被害人進行收容，或裁處行政罰鍰。綜上，台灣的執法與司法機關人員，對於人口販運被害人的辨識能力，尚待精進化。在台灣，人口販運被害人被執法與司法人員誤判為犯罪人的情形，時有所聞，亦可顯示出此一問題的嚴重性，值得國人高度關注它。</w:t>
      </w:r>
    </w:p>
    <w:p w14:paraId="1224B225" w14:textId="77777777" w:rsidR="00203F72" w:rsidRPr="00515D85" w:rsidRDefault="00170AAF" w:rsidP="00D87D91">
      <w:r w:rsidRPr="00515D85">
        <w:t xml:space="preserve">　　</w:t>
      </w:r>
      <w:r w:rsidR="00203F72" w:rsidRPr="00515D85">
        <w:t>十二、台灣宜大力推展「反性剝削旅遊」及「反兒童性剝削旅遊」運動</w:t>
      </w:r>
    </w:p>
    <w:p w14:paraId="24D2F834" w14:textId="77777777" w:rsidR="00203F72" w:rsidRPr="00515D85" w:rsidRDefault="00170AAF" w:rsidP="00D87D91">
      <w:r w:rsidRPr="00515D85">
        <w:t xml:space="preserve">　　</w:t>
      </w:r>
      <w:r w:rsidR="00203F72" w:rsidRPr="00515D85">
        <w:t>以南韓為例，在</w:t>
      </w:r>
      <w:r w:rsidR="00203F72" w:rsidRPr="00515D85">
        <w:t>2007</w:t>
      </w:r>
      <w:r w:rsidR="00203F72" w:rsidRPr="00515D85">
        <w:t>年之年中，南韓法務部推動一項名為「勿作一名醜惡韓國人」之運動（</w:t>
      </w:r>
      <w:r w:rsidR="00203F72" w:rsidRPr="00515D85">
        <w:t>Don’tBe an Ugly Korean campaign</w:t>
      </w:r>
      <w:r w:rsidR="00203F72" w:rsidRPr="00515D85">
        <w:t>），法務部並向廣告商及外國旅遊公司進行宣導及教育，令其知曉南韓政府有能力懲治南韓民眾在國外所觸犯之兒童性剝削旅遊行為。南韓法務部並推行另外一項運動，主要在於鑑別與診斷具有良好商譽之南韓旅遊業者及相關之企業公司，同時，法務部呼籲南韓民眾應有預防及拒絕國外兒童性剝削旅遊之觀念與認知。南韓政府之法律機制，對於國民於國外旅遊時，所觸犯之性剝削不法行為，具有領域外之法律效力，仍可追訴前揭不法之行為。南韓上述作法，頗值得台灣效法，台灣宜大力推展民眾「反性剝削旅遊」及「反兒童性剝削旅遊」之運動。</w:t>
      </w:r>
    </w:p>
    <w:p w14:paraId="4C88B6A9" w14:textId="77777777" w:rsidR="00203F72" w:rsidRPr="00515D85" w:rsidRDefault="00203F72" w:rsidP="00D87D91">
      <w:r w:rsidRPr="00515D85">
        <w:t>我國國民以海外觀光的名義，在國外從事兒童性交易的違法行為，無法受到法律上的制裁</w:t>
      </w:r>
    </w:p>
    <w:p w14:paraId="33D44E15" w14:textId="77777777" w:rsidR="00953151" w:rsidRPr="00515D85" w:rsidRDefault="00170AAF" w:rsidP="00D87D91">
      <w:r w:rsidRPr="00515D85">
        <w:t xml:space="preserve">　　</w:t>
      </w:r>
      <w:r w:rsidR="00203F72" w:rsidRPr="00515D85">
        <w:t>根據美國國務院</w:t>
      </w:r>
      <w:r w:rsidR="00203F72" w:rsidRPr="00515D85">
        <w:t>2008</w:t>
      </w:r>
      <w:r w:rsidR="00203F72" w:rsidRPr="00515D85">
        <w:t>年、</w:t>
      </w:r>
      <w:r w:rsidR="00203F72" w:rsidRPr="00515D85">
        <w:t>2009</w:t>
      </w:r>
      <w:r w:rsidR="00203F72" w:rsidRPr="00515D85">
        <w:t>年、</w:t>
      </w:r>
      <w:r w:rsidR="00203F72" w:rsidRPr="00515D85">
        <w:t>2010</w:t>
      </w:r>
      <w:r w:rsidR="00203F72" w:rsidRPr="00515D85">
        <w:t>年、</w:t>
      </w:r>
      <w:r w:rsidR="00203F72" w:rsidRPr="00515D85">
        <w:t>2011</w:t>
      </w:r>
      <w:r w:rsidR="00203F72" w:rsidRPr="00515D85">
        <w:t>年、</w:t>
      </w:r>
      <w:r w:rsidR="00203F72" w:rsidRPr="00515D85">
        <w:t>2012</w:t>
      </w:r>
      <w:r w:rsidR="00203F72" w:rsidRPr="00515D85">
        <w:t>年、</w:t>
      </w:r>
      <w:r w:rsidR="00203F72" w:rsidRPr="00515D85">
        <w:t>2013</w:t>
      </w:r>
      <w:r w:rsidR="00203F72" w:rsidRPr="00515D85">
        <w:t>年與</w:t>
      </w:r>
      <w:r w:rsidR="00203F72" w:rsidRPr="00515D85">
        <w:t>2014</w:t>
      </w:r>
      <w:r w:rsidR="00203F72" w:rsidRPr="00515D85">
        <w:t>年版本的</w:t>
      </w:r>
      <w:r w:rsidR="00203F72" w:rsidRPr="00515D85">
        <w:t>TIP</w:t>
      </w:r>
      <w:r w:rsidR="00203F72" w:rsidRPr="00515D85">
        <w:t>報告書，中華民國的國民（絕大多數為男性），常假藉國外觀光的美名，事實上，在海外從事兒童性交易，這種違法的行為，被稱為「兒童性觀光」。自從</w:t>
      </w:r>
      <w:r w:rsidR="00203F72" w:rsidRPr="00515D85">
        <w:t>2006</w:t>
      </w:r>
      <w:r w:rsidR="00203F72" w:rsidRPr="00515D85">
        <w:t>年迄至</w:t>
      </w:r>
      <w:r w:rsidR="00203F72" w:rsidRPr="00515D85">
        <w:t>2014</w:t>
      </w:r>
      <w:r w:rsidR="00203F72" w:rsidRPr="00515D85">
        <w:t>年之間，我國執法機關對於上述「兒童性觀光」的犯罪行為，仍然受限於國家管轄權的拘束，無法進行偵查。換言之，截至</w:t>
      </w:r>
      <w:r w:rsidR="00203F72" w:rsidRPr="00515D85">
        <w:t>2014</w:t>
      </w:r>
      <w:r w:rsidR="00203F72" w:rsidRPr="00515D85">
        <w:t>年為止，我國政府仍是放任中華民國的國民，在海外從事「兒童性觀光」的犯罪行為，並無任何有效的反制行為。由於政府缺乏有效的反制作為，台灣的男性民眾，仍是持續地至海外進行「兒童性觀光」。「兒童性觀光」是一個非常嚴重的人口販運的犯罪行為，會強烈地侵犯兒童的心理與生理上的健康，政府實宜重</w:t>
      </w:r>
      <w:r w:rsidR="003E240E">
        <w:t>視</w:t>
      </w:r>
      <w:r w:rsidR="00203F72" w:rsidRPr="00515D85">
        <w:t>之。</w:t>
      </w:r>
    </w:p>
    <w:p w14:paraId="72C4498D" w14:textId="77777777" w:rsidR="00203F72" w:rsidRPr="00515D85" w:rsidRDefault="00170AAF" w:rsidP="00D87D91">
      <w:r w:rsidRPr="00515D85">
        <w:t xml:space="preserve">　　</w:t>
      </w:r>
      <w:r w:rsidR="00203F72" w:rsidRPr="00515D85">
        <w:t>十三、強化與外國執法調查機關之連繫，並積極推展情報之交換</w:t>
      </w:r>
      <w:r w:rsidR="00203F72" w:rsidRPr="00515D85">
        <w:t xml:space="preserve"> </w:t>
      </w:r>
    </w:p>
    <w:p w14:paraId="6F46A2D3" w14:textId="77777777" w:rsidR="00953151" w:rsidRPr="00515D85" w:rsidRDefault="00170AAF" w:rsidP="00D87D91">
      <w:r w:rsidRPr="00515D85">
        <w:t xml:space="preserve">　　</w:t>
      </w:r>
      <w:r w:rsidR="00203F72" w:rsidRPr="00515D85">
        <w:t>日本於平成</w:t>
      </w:r>
      <w:r w:rsidR="00203F72" w:rsidRPr="00515D85">
        <w:t>16</w:t>
      </w:r>
      <w:r w:rsidR="00203F72" w:rsidRPr="00515D85">
        <w:t>年</w:t>
      </w:r>
      <w:r w:rsidR="00203F72" w:rsidRPr="00515D85">
        <w:t>(2004</w:t>
      </w:r>
      <w:r w:rsidR="00203F72" w:rsidRPr="00515D85">
        <w:t>年</w:t>
      </w:r>
      <w:r w:rsidR="00203F72" w:rsidRPr="00515D85">
        <w:t>) 12</w:t>
      </w:r>
      <w:r w:rsidR="00203F72" w:rsidRPr="00515D85">
        <w:t>月</w:t>
      </w:r>
      <w:r w:rsidR="00203F72" w:rsidRPr="00515D85">
        <w:t>7</w:t>
      </w:r>
      <w:r w:rsidR="00203F72" w:rsidRPr="00515D85">
        <w:t>日制訂「人口販運對策行動計畫」，經分析日本「人口販運對策行動計畫」之內容，發現日本防制人口販運之策略中，在預防策略部分，著重於防患於未然，這是一個良善之防制策略，其作法乃為相當重</w:t>
      </w:r>
      <w:r w:rsidR="003E240E">
        <w:t>視</w:t>
      </w:r>
      <w:r w:rsidR="00203F72" w:rsidRPr="00515D85">
        <w:t>與外國執法調查機關之連繫，並積極推展情報之交換。此外，關於偽變造及遺失之護造等旅行文書之情資而論，與外國相關執法機關建構一套情資共用之機制，著重於護造等旅行文書情資之交換及共用。由於人口販運是相當具有隱密性之犯罪活動，依賴正確之國內外情資，將使防制人口販運工作事半功倍。日本此種重</w:t>
      </w:r>
      <w:r w:rsidR="003E240E">
        <w:t>視</w:t>
      </w:r>
      <w:r w:rsidR="00203F72" w:rsidRPr="00515D85">
        <w:t>防制人口販運情資之作法與態度，值得我國效法之。</w:t>
      </w:r>
    </w:p>
    <w:p w14:paraId="03E17B8E" w14:textId="77777777" w:rsidR="00203F72" w:rsidRPr="00515D85" w:rsidRDefault="00170AAF" w:rsidP="00D87D91">
      <w:r w:rsidRPr="00515D85">
        <w:t xml:space="preserve">　　</w:t>
      </w:r>
      <w:r w:rsidR="00203F72" w:rsidRPr="00515D85">
        <w:t>十四、強化對於台灣附近水域之監</w:t>
      </w:r>
      <w:r w:rsidR="003E240E">
        <w:t>視</w:t>
      </w:r>
      <w:r w:rsidR="00203F72" w:rsidRPr="00515D85">
        <w:t>與執法取締</w:t>
      </w:r>
      <w:r w:rsidR="00203F72" w:rsidRPr="00515D85">
        <w:t xml:space="preserve"> </w:t>
      </w:r>
    </w:p>
    <w:p w14:paraId="7C4DB6A5" w14:textId="77777777" w:rsidR="00953151" w:rsidRPr="00515D85" w:rsidRDefault="00170AAF" w:rsidP="00D87D91">
      <w:r w:rsidRPr="00515D85">
        <w:t xml:space="preserve">　　</w:t>
      </w:r>
      <w:r w:rsidR="00203F72" w:rsidRPr="00515D85">
        <w:t>為了強力打擊人口販運跨國活動，對於進入日本水域之船舶，警察機關、入國管理局及海上保安廳等執法機關之間，緊密地聯繫與合作，相互交換涉及人口販運活動之情資，共同合作打擊及取締人口販運活動。日本上述之作法，頗值得台灣學習。</w:t>
      </w:r>
    </w:p>
    <w:p w14:paraId="4C64E3C2" w14:textId="77777777" w:rsidR="00203F72" w:rsidRPr="00515D85" w:rsidRDefault="00170AAF" w:rsidP="00D87D91">
      <w:r w:rsidRPr="00515D85">
        <w:t xml:space="preserve">　　</w:t>
      </w:r>
      <w:r w:rsidR="00203F72" w:rsidRPr="00515D85">
        <w:t>十五、台灣宜將針對人口販運被害人</w:t>
      </w:r>
      <w:r w:rsidR="00203F72" w:rsidRPr="00515D85">
        <w:t>HIV/AIDS</w:t>
      </w:r>
      <w:r w:rsidR="00203F72" w:rsidRPr="00515D85">
        <w:t>之各項防制服務及作為整合於遣返政策之中</w:t>
      </w:r>
    </w:p>
    <w:p w14:paraId="55826137" w14:textId="77777777" w:rsidR="00203F72" w:rsidRPr="00515D85" w:rsidRDefault="00170AAF" w:rsidP="00D87D91">
      <w:r w:rsidRPr="00515D85">
        <w:t xml:space="preserve">　　</w:t>
      </w:r>
      <w:r w:rsidR="00203F72" w:rsidRPr="00515D85">
        <w:t>我國於規劃及推展國家層級之反人口販運防制策略及行動方案（</w:t>
      </w:r>
      <w:r w:rsidR="00203F72" w:rsidRPr="00515D85">
        <w:t>under their relevant national anti-human trafficking strategies and action plans</w:t>
      </w:r>
      <w:r w:rsidR="00203F72" w:rsidRPr="00515D85">
        <w:t>）之際，亦宜考量納入</w:t>
      </w:r>
      <w:r w:rsidR="00203F72" w:rsidRPr="00515D85">
        <w:t>HIV/AIDS</w:t>
      </w:r>
      <w:r w:rsidR="00203F72" w:rsidRPr="00515D85">
        <w:t>之防制服務，確實可將</w:t>
      </w:r>
      <w:r w:rsidR="00203F72" w:rsidRPr="00515D85">
        <w:t>HIV/AIDS</w:t>
      </w:r>
      <w:r w:rsidR="00203F72" w:rsidRPr="00515D85">
        <w:t>之各項防制服務及作為，提供給處於易遭受人口販運脆弱情境之女性被害人。</w:t>
      </w:r>
    </w:p>
    <w:p w14:paraId="05D86FB9" w14:textId="77777777" w:rsidR="00953151" w:rsidRPr="00515D85" w:rsidRDefault="00170AAF" w:rsidP="00D87D91">
      <w:r w:rsidRPr="00515D85">
        <w:t xml:space="preserve">　　</w:t>
      </w:r>
      <w:r w:rsidR="00203F72" w:rsidRPr="00515D85">
        <w:t>我國宜考量及審</w:t>
      </w:r>
      <w:r w:rsidR="003E240E">
        <w:t>視</w:t>
      </w:r>
      <w:r w:rsidR="00203F72" w:rsidRPr="00515D85">
        <w:t>人口販運之被害人之遣返政策，將</w:t>
      </w:r>
      <w:r w:rsidR="00203F72" w:rsidRPr="00515D85">
        <w:t>HIV/AIDS</w:t>
      </w:r>
      <w:r w:rsidR="00203F72" w:rsidRPr="00515D85">
        <w:t>之事前預防及事後之照護服務，整合於遣返政策之中（</w:t>
      </w:r>
      <w:r w:rsidR="00203F72" w:rsidRPr="00515D85">
        <w:t>to incorporate HIV/AIDS prevention and care services</w:t>
      </w:r>
      <w:r w:rsidR="00203F72" w:rsidRPr="00515D85">
        <w:t>）。</w:t>
      </w:r>
    </w:p>
    <w:p w14:paraId="5B42BF88" w14:textId="77777777" w:rsidR="00203F72" w:rsidRPr="00515D85" w:rsidRDefault="00170AAF" w:rsidP="00D87D91">
      <w:r w:rsidRPr="00515D85">
        <w:t xml:space="preserve">　　</w:t>
      </w:r>
      <w:r w:rsidR="00203F72" w:rsidRPr="00515D85">
        <w:t>十六、台灣宜大力宣導犯罪被害補償金之機制，令更多人口販運之被害人能獲實益</w:t>
      </w:r>
    </w:p>
    <w:p w14:paraId="2ABAAE82" w14:textId="77777777" w:rsidR="00203F72" w:rsidRPr="00515D85" w:rsidRDefault="00170AAF" w:rsidP="00D87D91">
      <w:r w:rsidRPr="00515D85">
        <w:t xml:space="preserve">　　</w:t>
      </w:r>
      <w:r w:rsidR="00203F72" w:rsidRPr="00515D85">
        <w:t>加拿大政府對於暴力犯罪被害人，包括人口販運之被害人，設計提供犯罪被害補償金之機制，此一部分，我國亦有相關之機制。如內政部於民國</w:t>
      </w:r>
      <w:r w:rsidR="00203F72" w:rsidRPr="00515D85">
        <w:t>98</w:t>
      </w:r>
      <w:r w:rsidR="00203F72" w:rsidRPr="00515D85">
        <w:t>年</w:t>
      </w:r>
      <w:r w:rsidR="00203F72" w:rsidRPr="00515D85">
        <w:t>6</w:t>
      </w:r>
      <w:r w:rsidR="00203F72" w:rsidRPr="00515D85">
        <w:t>月</w:t>
      </w:r>
      <w:r w:rsidR="00203F72" w:rsidRPr="00515D85">
        <w:t>4</w:t>
      </w:r>
      <w:r w:rsidR="00203F72" w:rsidRPr="00515D85">
        <w:t>日，以中華民國</w:t>
      </w:r>
      <w:r w:rsidR="007F3288">
        <w:t>9</w:t>
      </w:r>
      <w:r w:rsidR="002E34D0">
        <w:t>8</w:t>
      </w:r>
      <w:r w:rsidR="00203F72" w:rsidRPr="00515D85">
        <w:t>年</w:t>
      </w:r>
      <w:r w:rsidR="002E34D0">
        <w:t>6</w:t>
      </w:r>
      <w:r w:rsidR="00203F72" w:rsidRPr="00515D85">
        <w:t>月</w:t>
      </w:r>
      <w:r w:rsidR="008F066C">
        <w:t>1</w:t>
      </w:r>
      <w:r w:rsidR="00203F72" w:rsidRPr="00515D85">
        <w:t>日內政部台內移字第</w:t>
      </w:r>
      <w:r w:rsidR="00203F72" w:rsidRPr="00515D85">
        <w:t>0980959975</w:t>
      </w:r>
      <w:r w:rsidR="00203F72" w:rsidRPr="00515D85">
        <w:t>號令，以及法務部法檢字第</w:t>
      </w:r>
      <w:r w:rsidR="00203F72" w:rsidRPr="00515D85">
        <w:t>0980021933</w:t>
      </w:r>
      <w:r w:rsidR="00203F72" w:rsidRPr="00515D85">
        <w:t>號令會銜訂定發布公布「沒收人口販運犯罪所得撥交及被害人補償辦法」，依據本被害人補償辦</w:t>
      </w:r>
      <w:r w:rsidR="00026C6F" w:rsidRPr="00026C6F">
        <w:rPr>
          <w:rFonts w:ascii="新細明體" w:hAnsi="新細明體"/>
          <w:b/>
        </w:rPr>
        <w:t>法</w:t>
      </w:r>
      <w:hyperlink r:id="rId2239" w:anchor="a3" w:history="1">
        <w:r w:rsidR="00026C6F" w:rsidRPr="00026C6F">
          <w:rPr>
            <w:rStyle w:val="a5"/>
            <w:b/>
          </w:rPr>
          <w:t>第3條</w:t>
        </w:r>
      </w:hyperlink>
      <w:r w:rsidR="00203F72" w:rsidRPr="00515D85">
        <w:t>之規定，被害人補償金之種類，計可分為：遺屬補償金、重傷補償金及精神慰撫金，我國此一方面之立法與執行，可謂相當符合先進國家之保護措施，是一個相當良善之機制。</w:t>
      </w:r>
    </w:p>
    <w:p w14:paraId="56C56C7E" w14:textId="77777777" w:rsidR="00953151" w:rsidRPr="00515D85" w:rsidRDefault="00203F72" w:rsidP="00D87D91">
      <w:r w:rsidRPr="00515D85">
        <w:t>承上所述，我國依照「沒收人口販運犯罪所得撥交及被害人補償辦法」所建構之犯罪被害補償金之機制，是一個非常良善之制度，相關主管機關及非政府組織，似宜透由多重管道，宜多加宣導及教育民眾，諸如網路及流通宣導小冊子等方式，鼓勵人口販運犯罪之被害人或遺屬，於符合條件之情況下，宜多加申請。以利人口販運犯罪之被害人，能夠獲得適當及合法之補償。被害補償金之經費部分，可考量提高遺屬補償金、重傷補償金及精神慰撫金之數額，俾令人口販運犯罪之被害人或遺屬，能獲得更多之補償金，彌補其身心之重大創傷與悲痛。</w:t>
      </w:r>
    </w:p>
    <w:p w14:paraId="6EE0119C" w14:textId="77777777" w:rsidR="00203F72" w:rsidRPr="00515D85" w:rsidRDefault="00170AAF" w:rsidP="00D87D91">
      <w:r w:rsidRPr="00515D85">
        <w:t xml:space="preserve">　　</w:t>
      </w:r>
      <w:r w:rsidR="00203F72" w:rsidRPr="00515D85">
        <w:t>十七、重</w:t>
      </w:r>
      <w:r w:rsidR="003E240E">
        <w:t>視</w:t>
      </w:r>
      <w:r w:rsidR="00203F72" w:rsidRPr="00515D85">
        <w:t>人口販運被害人心理之斯德哥爾摩症候群現象，積極鼓勵與宣導人口販運犯罪被害人勇於報案</w:t>
      </w:r>
    </w:p>
    <w:p w14:paraId="251086D5" w14:textId="77777777" w:rsidR="00953151" w:rsidRPr="00515D85" w:rsidRDefault="00170AAF" w:rsidP="00D87D91">
      <w:r w:rsidRPr="00515D85">
        <w:t xml:space="preserve">　　</w:t>
      </w:r>
      <w:r w:rsidR="00203F72" w:rsidRPr="00515D85">
        <w:t>重</w:t>
      </w:r>
      <w:r w:rsidR="003E240E">
        <w:t>視</w:t>
      </w:r>
      <w:r w:rsidR="00203F72" w:rsidRPr="00515D85">
        <w:t>人口販運犯罪被害人患有斯德哥爾摩症候群（</w:t>
      </w:r>
      <w:r w:rsidR="00203F72" w:rsidRPr="00515D85">
        <w:t>Stockholm syndrome</w:t>
      </w:r>
      <w:r w:rsidR="00203F72" w:rsidRPr="00515D85">
        <w:t>）之特殊心理現象，亦即，人口販運犯罪之被害者，對於犯罪者</w:t>
      </w:r>
      <w:r w:rsidR="00203F72" w:rsidRPr="00515D85">
        <w:t>(</w:t>
      </w:r>
      <w:r w:rsidR="00203F72" w:rsidRPr="00515D85">
        <w:t>加害者</w:t>
      </w:r>
      <w:r w:rsidR="00203F72" w:rsidRPr="00515D85">
        <w:t>)</w:t>
      </w:r>
      <w:r w:rsidR="00203F72" w:rsidRPr="00515D85">
        <w:t>會於心理上產生特殊之依附（依靠或依戀）情感，被害人之心理，並未認為其處於被害之情境之中。亦即，人口販運犯罪被害人其所處之狀況，事實上，是處在被加害人剝削之中，但不自知</w:t>
      </w:r>
      <w:r w:rsidR="00203F72" w:rsidRPr="00515D85">
        <w:footnoteReference w:id="871"/>
      </w:r>
      <w:r w:rsidR="00203F72" w:rsidRPr="00515D85">
        <w:t>。此時，亦透由多種管道及媒介，大力喚起人口販運犯罪被害人之被害意識，積極鼓勵人口販運犯罪被害人向執法人員或機關報案。</w:t>
      </w:r>
    </w:p>
    <w:p w14:paraId="06116848" w14:textId="77777777" w:rsidR="00203F72" w:rsidRPr="00515D85" w:rsidRDefault="00170AAF" w:rsidP="00D87D91">
      <w:r w:rsidRPr="00515D85">
        <w:t xml:space="preserve">　　</w:t>
      </w:r>
      <w:r w:rsidR="00203F72" w:rsidRPr="00515D85">
        <w:t>十八、強調與建構共同打擊人口販運罪行之合作夥伴協力關係，確保打擊與防治人口販運之資訊能有效共用</w:t>
      </w:r>
      <w:r w:rsidR="00203F72" w:rsidRPr="00515D85">
        <w:t xml:space="preserve"> </w:t>
      </w:r>
    </w:p>
    <w:p w14:paraId="64DA4FE5" w14:textId="77777777" w:rsidR="00953151" w:rsidRPr="00515D85" w:rsidRDefault="00170AAF" w:rsidP="00D87D91">
      <w:r w:rsidRPr="00515D85">
        <w:t xml:space="preserve">　　</w:t>
      </w:r>
      <w:r w:rsidR="00203F72" w:rsidRPr="00515D85">
        <w:t>我國官方政府及民間之非政府組織，對於打擊及防制人口販運犯罪之議題，除了傳統上之</w:t>
      </w:r>
      <w:r w:rsidR="00203F72" w:rsidRPr="00515D85">
        <w:t>4P</w:t>
      </w:r>
      <w:r w:rsidR="00203F72" w:rsidRPr="00515D85">
        <w:t>對策</w:t>
      </w:r>
      <w:r w:rsidR="00203F72" w:rsidRPr="00515D85">
        <w:t>──</w:t>
      </w:r>
      <w:r w:rsidR="00203F72" w:rsidRPr="00515D85">
        <w:t>預防、保護、起訴及夥伴合作關係之外，尤其是宜特別重</w:t>
      </w:r>
      <w:r w:rsidR="003E240E">
        <w:t>視</w:t>
      </w:r>
      <w:r w:rsidR="00203F72" w:rsidRPr="00515D85">
        <w:t>跨國夥伴關係之建構。加拿大政府與國際及地區層級之防制人口販運犯罪組織進行合作之作法，亦即，強化國內及國際合作協力之機制，相當值得我國學習之。台灣在跨國（境）合作夥伴關係之建構方面，宜加強與週邊國家建立更加緊密合作之機制，透由國際法律檔（包括共同打擊及防制跨國人口販運犯罪備忘錄）之簽署，共同懲治跨國（境）人口販運之犯罪。</w:t>
      </w:r>
    </w:p>
    <w:p w14:paraId="2637F7CF" w14:textId="77777777" w:rsidR="00953151" w:rsidRPr="00515D85" w:rsidRDefault="00170AAF" w:rsidP="00D87D91">
      <w:r w:rsidRPr="00515D85">
        <w:t xml:space="preserve">　　</w:t>
      </w:r>
      <w:r w:rsidR="00203F72" w:rsidRPr="00515D85">
        <w:t>根據本書之研究，美、加兩國為了打擊跨國犯罪，業已共同建構一套「阻斷及辨識性交易買春者」（</w:t>
      </w:r>
      <w:r w:rsidR="00203F72" w:rsidRPr="00515D85">
        <w:t>the Deter and Identify Sex Consumers, DISC</w:t>
      </w:r>
      <w:r w:rsidR="00203F72" w:rsidRPr="00515D85">
        <w:t>）電子資料庫系統，此套系統能提供美、加兩國相互連線，並能交換情報（</w:t>
      </w:r>
      <w:r w:rsidR="00203F72" w:rsidRPr="00515D85">
        <w:t>communicate information</w:t>
      </w:r>
      <w:r w:rsidR="00203F72" w:rsidRPr="00515D85">
        <w:t>）。</w:t>
      </w:r>
    </w:p>
    <w:p w14:paraId="4C2A7E17" w14:textId="77777777" w:rsidR="00953151" w:rsidRPr="00515D85" w:rsidRDefault="00170AAF" w:rsidP="00D87D91">
      <w:r w:rsidRPr="00515D85">
        <w:t xml:space="preserve">　　</w:t>
      </w:r>
      <w:r w:rsidR="00203F72" w:rsidRPr="00515D85">
        <w:t>就兩岸國境人流管理之資訊平臺而論，假若兩岸能共同建構一套跨境之國境人流管理資訊系統，則能大幅度地提升兩岸國境人流管理之實際成效，並強化兩岸政府間之交流與合作，促進兩岸之合作，可謂互蒙其利。玆以歐洲之申根資訊系統</w:t>
      </w:r>
      <w:r w:rsidR="00203F72" w:rsidRPr="00515D85">
        <w:t>(Schengen Information System</w:t>
      </w:r>
      <w:r w:rsidR="00203F72" w:rsidRPr="00515D85">
        <w:t>，簡稱為</w:t>
      </w:r>
      <w:r w:rsidR="00203F72" w:rsidRPr="00515D85">
        <w:t>SIS)</w:t>
      </w:r>
      <w:r w:rsidR="00203F72" w:rsidRPr="00515D85">
        <w:t>為例，加以說明之。</w:t>
      </w:r>
    </w:p>
    <w:p w14:paraId="1534138C" w14:textId="77777777" w:rsidR="00953151" w:rsidRPr="00515D85" w:rsidRDefault="00170AAF" w:rsidP="00D87D91">
      <w:r w:rsidRPr="00515D85">
        <w:t xml:space="preserve">　　</w:t>
      </w:r>
      <w:r w:rsidR="00203F72" w:rsidRPr="00515D85">
        <w:t>就歐洲公共安全領域而論</w:t>
      </w:r>
      <w:r w:rsidR="00203F72" w:rsidRPr="00515D85">
        <w:t>(for public security in Europe)</w:t>
      </w:r>
      <w:r w:rsidR="00203F72" w:rsidRPr="00515D85">
        <w:t>，</w:t>
      </w:r>
      <w:r w:rsidR="00203F72" w:rsidRPr="00515D85">
        <w:t>SIS</w:t>
      </w:r>
      <w:r w:rsidR="00203F72" w:rsidRPr="00515D85">
        <w:t>是歐洲地區中最大之資訊系統</w:t>
      </w:r>
      <w:r w:rsidR="00203F72" w:rsidRPr="00515D85">
        <w:t>(The Schengen Information System is the largest information system)</w:t>
      </w:r>
      <w:r w:rsidR="00203F72" w:rsidRPr="00515D85">
        <w:t>。為了達到於歐盟地區，人流與物流能夠自由通行與移動</w:t>
      </w:r>
      <w:r w:rsidR="00203F72" w:rsidRPr="00515D85">
        <w:t>(the free movement)</w:t>
      </w:r>
      <w:r w:rsidR="00203F72" w:rsidRPr="00515D85">
        <w:t>，且人流與物流之移動，能在一個安全之環境下進行</w:t>
      </w:r>
      <w:r w:rsidR="00203F72" w:rsidRPr="00515D85">
        <w:t>(take place in a safe environment)</w:t>
      </w:r>
      <w:r w:rsidR="00203F72" w:rsidRPr="00515D85">
        <w:t>之目標，它容許歐盟各會員國之國境管理</w:t>
      </w:r>
      <w:r w:rsidR="00203F72" w:rsidRPr="00515D85">
        <w:t>(national border control)</w:t>
      </w:r>
      <w:r w:rsidR="00203F72" w:rsidRPr="00515D85">
        <w:t>、海關</w:t>
      </w:r>
      <w:r w:rsidR="00203F72" w:rsidRPr="00515D85">
        <w:t>(customs)</w:t>
      </w:r>
      <w:r w:rsidR="00203F72" w:rsidRPr="00515D85">
        <w:t>、簽證、司法及警察執法機關</w:t>
      </w:r>
      <w:r w:rsidR="00203F72" w:rsidRPr="00515D85">
        <w:t>(police authorities)</w:t>
      </w:r>
      <w:r w:rsidR="00203F72" w:rsidRPr="00515D85">
        <w:t>等，能相互以簡易之方式，進行國境管理資訊之交換</w:t>
      </w:r>
      <w:r w:rsidR="00203F72" w:rsidRPr="00515D85">
        <w:t xml:space="preserve">(for easy information exchanges) </w:t>
      </w:r>
      <w:r w:rsidR="00203F72" w:rsidRPr="00515D85">
        <w:footnoteReference w:id="872"/>
      </w:r>
      <w:r w:rsidR="00203F72" w:rsidRPr="00515D85">
        <w:t>。</w:t>
      </w:r>
    </w:p>
    <w:p w14:paraId="09DE9783" w14:textId="77777777" w:rsidR="00953151" w:rsidRPr="00515D85" w:rsidRDefault="00170AAF" w:rsidP="00D87D91">
      <w:r w:rsidRPr="00515D85">
        <w:t xml:space="preserve">　　</w:t>
      </w:r>
      <w:r w:rsidR="00203F72" w:rsidRPr="00515D85">
        <w:t xml:space="preserve"> SIS</w:t>
      </w:r>
      <w:r w:rsidR="00203F72" w:rsidRPr="00515D85">
        <w:t>係為歐盟各會員國</w:t>
      </w:r>
      <w:r w:rsidR="00203F72" w:rsidRPr="00515D85">
        <w:t>(</w:t>
      </w:r>
      <w:r w:rsidR="00203F72" w:rsidRPr="00515D85">
        <w:t>含北歐若干國家</w:t>
      </w:r>
      <w:r w:rsidR="00203F72" w:rsidRPr="00515D85">
        <w:t>)</w:t>
      </w:r>
      <w:r w:rsidR="00203F72" w:rsidRPr="00515D85">
        <w:t>跨政府間之一個跨國性之資訊系統倡議計畫</w:t>
      </w:r>
      <w:r w:rsidR="00203F72" w:rsidRPr="00515D85">
        <w:t>(an intergovernmental initiative)</w:t>
      </w:r>
      <w:r w:rsidR="00203F72" w:rsidRPr="00515D85">
        <w:t>，其當初設立之法源，係為申根公約。直至今日，</w:t>
      </w:r>
      <w:r w:rsidR="00203F72" w:rsidRPr="00515D85">
        <w:t>SIS</w:t>
      </w:r>
      <w:r w:rsidR="00203F72" w:rsidRPr="00515D85">
        <w:t>業已被整合至歐盟之架構中</w:t>
      </w:r>
      <w:r w:rsidR="00203F72" w:rsidRPr="00515D85">
        <w:t>(integrated into the EU framework)</w:t>
      </w:r>
      <w:r w:rsidR="00203F72" w:rsidRPr="00515D85">
        <w:t>。能夠使用</w:t>
      </w:r>
      <w:r w:rsidR="00203F72" w:rsidRPr="00515D85">
        <w:t>SIS</w:t>
      </w:r>
      <w:r w:rsidR="00203F72" w:rsidRPr="00515D85">
        <w:t>之機關，計包括申根國家所屬之以下部門：國境警備、警察、海關、簽證及司法機關。</w:t>
      </w:r>
      <w:r w:rsidR="00203F72" w:rsidRPr="00515D85">
        <w:t>SIS</w:t>
      </w:r>
      <w:r w:rsidR="00203F72" w:rsidRPr="00515D85">
        <w:t>中所包括之相關資料，包含：牽涉觸犯重大犯罪之跨境犯罪分子</w:t>
      </w:r>
      <w:r w:rsidR="00203F72" w:rsidRPr="00515D85">
        <w:t>(persons who may have been involved in a serious crime)</w:t>
      </w:r>
      <w:r w:rsidR="00203F72" w:rsidRPr="00515D85">
        <w:t>、未取得入境歐盟</w:t>
      </w:r>
      <w:r w:rsidR="00203F72" w:rsidRPr="00515D85">
        <w:t>(may not have the right to enter)</w:t>
      </w:r>
      <w:r w:rsidR="00203F72" w:rsidRPr="00515D85">
        <w:t>，或於歐盟境內居、停留之權限。</w:t>
      </w:r>
      <w:r w:rsidR="00203F72" w:rsidRPr="00515D85">
        <w:t>SIS</w:t>
      </w:r>
      <w:r w:rsidR="00203F72" w:rsidRPr="00515D85">
        <w:t>更提供一種強而有力之子系統，即警示功能</w:t>
      </w:r>
      <w:r w:rsidR="00203F72" w:rsidRPr="00515D85">
        <w:t>(contains alerts)</w:t>
      </w:r>
      <w:r w:rsidR="00203F72" w:rsidRPr="00515D85">
        <w:t>。</w:t>
      </w:r>
    </w:p>
    <w:p w14:paraId="3B67322A" w14:textId="77777777" w:rsidR="00953151" w:rsidRPr="00515D85" w:rsidRDefault="00170AAF" w:rsidP="00D87D91">
      <w:r w:rsidRPr="00515D85">
        <w:t xml:space="preserve">　　</w:t>
      </w:r>
      <w:r w:rsidR="00203F72" w:rsidRPr="00515D85">
        <w:t>這些警示之功能，計包含：</w:t>
      </w:r>
      <w:r w:rsidR="00203F72" w:rsidRPr="00515D85">
        <w:t>1</w:t>
      </w:r>
      <w:r w:rsidR="00203F72" w:rsidRPr="00515D85">
        <w:t>、針對失蹤人口</w:t>
      </w:r>
      <w:r w:rsidR="00203F72" w:rsidRPr="00515D85">
        <w:t>(alerts on missing persons)</w:t>
      </w:r>
      <w:r w:rsidR="00203F72" w:rsidRPr="00515D85">
        <w:t>，特別是失蹤孩童之警示；</w:t>
      </w:r>
      <w:r w:rsidR="00203F72" w:rsidRPr="00515D85">
        <w:t>2</w:t>
      </w:r>
      <w:r w:rsidR="00203F72" w:rsidRPr="00515D85">
        <w:t>、就特定之財物，進行警示之作用，這些特定之財物，乃指被偷竊、被侵佔、被盜用或遺失之部分，諸如：鈔票</w:t>
      </w:r>
      <w:r w:rsidR="00203F72" w:rsidRPr="00515D85">
        <w:t>(banknotes)</w:t>
      </w:r>
      <w:r w:rsidR="00203F72" w:rsidRPr="00515D85">
        <w:t>、汽車、貨車</w:t>
      </w:r>
      <w:r w:rsidR="00203F72" w:rsidRPr="00515D85">
        <w:t>(vans)</w:t>
      </w:r>
      <w:r w:rsidR="00203F72" w:rsidRPr="00515D85">
        <w:t>、武器及身分證明檔</w:t>
      </w:r>
      <w:r w:rsidR="00203F72" w:rsidRPr="00515D85">
        <w:t>(identity documents)</w:t>
      </w:r>
      <w:r w:rsidR="00203F72" w:rsidRPr="00515D85">
        <w:t>。</w:t>
      </w:r>
      <w:r w:rsidR="00203F72" w:rsidRPr="00515D85">
        <w:t>SIS</w:t>
      </w:r>
      <w:r w:rsidR="00203F72" w:rsidRPr="00515D85">
        <w:t>傳遞資訊之流程如下：由國家層級之相關機關，能資料輸入</w:t>
      </w:r>
      <w:r w:rsidR="00203F72" w:rsidRPr="00515D85">
        <w:t>SIS (Information is entered into the SIS by national authorities)</w:t>
      </w:r>
      <w:r w:rsidR="00203F72" w:rsidRPr="00515D85">
        <w:t>，之後，將其擬欲發布之資訊，透由</w:t>
      </w:r>
      <w:r w:rsidR="00203F72" w:rsidRPr="00515D85">
        <w:t>SIS</w:t>
      </w:r>
      <w:r w:rsidR="00203F72" w:rsidRPr="00515D85">
        <w:t>之中央系統，再傳送至申根之會員國</w:t>
      </w:r>
      <w:r w:rsidR="00203F72" w:rsidRPr="00515D85">
        <w:t>(forwarded via the Central System to all Schengen States)</w:t>
      </w:r>
      <w:r w:rsidR="00203F72" w:rsidRPr="00515D85">
        <w:t>；歐盟各個會員國亦可針對於儲存於</w:t>
      </w:r>
      <w:r w:rsidR="00203F72" w:rsidRPr="00515D85">
        <w:t>SIS</w:t>
      </w:r>
      <w:r w:rsidR="00203F72" w:rsidRPr="00515D85">
        <w:t>警示系統中之補充資料，相互進行交換與傳送</w:t>
      </w:r>
      <w:r w:rsidR="00203F72" w:rsidRPr="00515D85">
        <w:t xml:space="preserve">(exchanges of supplementary information on alerts stored in SIS) </w:t>
      </w:r>
      <w:r w:rsidR="00203F72" w:rsidRPr="00515D85">
        <w:footnoteReference w:id="873"/>
      </w:r>
      <w:r w:rsidR="00545D58" w:rsidRPr="00515D85">
        <w:t>。</w:t>
      </w:r>
    </w:p>
    <w:p w14:paraId="00FC4A3B" w14:textId="77777777" w:rsidR="00203F72" w:rsidRPr="00515D85" w:rsidRDefault="00145751" w:rsidP="00D87D91">
      <w:r w:rsidRPr="00515D85">
        <w:t xml:space="preserve">　　</w:t>
      </w:r>
      <w:r w:rsidR="00203F72" w:rsidRPr="00515D85">
        <w:t>於</w:t>
      </w:r>
      <w:r w:rsidR="00203F72" w:rsidRPr="00515D85">
        <w:t>2013</w:t>
      </w:r>
      <w:r w:rsidR="00203F72" w:rsidRPr="00515D85">
        <w:t>年</w:t>
      </w:r>
      <w:r w:rsidR="00203F72" w:rsidRPr="00515D85">
        <w:t>4</w:t>
      </w:r>
      <w:r w:rsidR="00203F72" w:rsidRPr="00515D85">
        <w:t>月</w:t>
      </w:r>
      <w:r w:rsidR="00203F72" w:rsidRPr="00515D85">
        <w:t>9</w:t>
      </w:r>
      <w:r w:rsidR="00203F72" w:rsidRPr="00515D85">
        <w:t>日，</w:t>
      </w:r>
      <w:r w:rsidR="00203F72" w:rsidRPr="00515D85">
        <w:t>SIS II(SIS</w:t>
      </w:r>
      <w:r w:rsidR="00203F72" w:rsidRPr="00515D85">
        <w:t>第</w:t>
      </w:r>
      <w:r w:rsidR="00203F72" w:rsidRPr="00515D85">
        <w:t>2</w:t>
      </w:r>
      <w:r w:rsidR="00203F72" w:rsidRPr="00515D85">
        <w:t>代</w:t>
      </w:r>
      <w:r w:rsidR="00203F72" w:rsidRPr="00515D85">
        <w:t>)</w:t>
      </w:r>
      <w:r w:rsidR="00203F72" w:rsidRPr="00515D85">
        <w:t>業已正式進行營運，與</w:t>
      </w:r>
      <w:r w:rsidR="00203F72" w:rsidRPr="00515D85">
        <w:t>SIS I</w:t>
      </w:r>
      <w:r w:rsidR="00203F72" w:rsidRPr="00515D85">
        <w:t>相互比較，</w:t>
      </w:r>
      <w:r w:rsidR="00203F72" w:rsidRPr="00515D85">
        <w:t>SIS II(SIS</w:t>
      </w:r>
      <w:r w:rsidR="00203F72" w:rsidRPr="00515D85">
        <w:t>第</w:t>
      </w:r>
      <w:r w:rsidR="00203F72" w:rsidRPr="00515D85">
        <w:t>2</w:t>
      </w:r>
      <w:r w:rsidR="00203F72" w:rsidRPr="00515D85">
        <w:t>代</w:t>
      </w:r>
      <w:r w:rsidR="00203F72" w:rsidRPr="00515D85">
        <w:t>)</w:t>
      </w:r>
      <w:r w:rsidR="00203F72" w:rsidRPr="00515D85">
        <w:t>增強相當多之功能，諸如</w:t>
      </w:r>
      <w:r w:rsidR="00203F72" w:rsidRPr="00515D85">
        <w:footnoteReference w:id="874"/>
      </w:r>
      <w:r w:rsidR="00203F72" w:rsidRPr="00515D85">
        <w:t>：</w:t>
      </w:r>
    </w:p>
    <w:p w14:paraId="69B86C28" w14:textId="77777777" w:rsidR="00CA2C52" w:rsidRPr="00515D85" w:rsidRDefault="00CA2C52" w:rsidP="00D87D91">
      <w:r w:rsidRPr="00515D85">
        <w:rPr>
          <w:rFonts w:hint="eastAsia"/>
        </w:rPr>
        <w:t xml:space="preserve">　　</w:t>
      </w:r>
      <w:r w:rsidRPr="00515D85">
        <w:rPr>
          <w:rFonts w:hint="eastAsia"/>
        </w:rPr>
        <w:t>1.</w:t>
      </w:r>
      <w:r w:rsidRPr="00515D85">
        <w:rPr>
          <w:rFonts w:hint="eastAsia"/>
        </w:rPr>
        <w:t>可使用生物特徵之資訊</w:t>
      </w:r>
      <w:r w:rsidRPr="00515D85">
        <w:rPr>
          <w:rFonts w:hint="eastAsia"/>
        </w:rPr>
        <w:t>(Biometric data)</w:t>
      </w:r>
      <w:r w:rsidRPr="00515D85">
        <w:rPr>
          <w:rFonts w:hint="eastAsia"/>
        </w:rPr>
        <w:t>，包括被管制人口之指紋及照片</w:t>
      </w:r>
      <w:r w:rsidRPr="00515D85">
        <w:rPr>
          <w:rFonts w:hint="eastAsia"/>
        </w:rPr>
        <w:t>(fingerprints and a photograph)</w:t>
      </w:r>
      <w:r w:rsidRPr="00515D85">
        <w:rPr>
          <w:rFonts w:hint="eastAsia"/>
        </w:rPr>
        <w:t>；</w:t>
      </w:r>
    </w:p>
    <w:p w14:paraId="631A399C" w14:textId="77777777" w:rsidR="00CA2C52" w:rsidRPr="00515D85" w:rsidRDefault="00CA2C52" w:rsidP="00D87D91">
      <w:r w:rsidRPr="00515D85">
        <w:rPr>
          <w:rFonts w:hint="eastAsia"/>
        </w:rPr>
        <w:t xml:space="preserve">　　</w:t>
      </w:r>
      <w:r w:rsidRPr="00515D85">
        <w:rPr>
          <w:rFonts w:hint="eastAsia"/>
        </w:rPr>
        <w:t>2.</w:t>
      </w:r>
      <w:r w:rsidRPr="00515D85">
        <w:rPr>
          <w:rFonts w:hint="eastAsia"/>
        </w:rPr>
        <w:t>設計新式之警示系統，並提升系統對於人與物之警示功能，此包括：被管制人口</w:t>
      </w:r>
      <w:r w:rsidRPr="00515D85">
        <w:rPr>
          <w:rFonts w:hint="eastAsia"/>
        </w:rPr>
        <w:t>(persons)</w:t>
      </w:r>
      <w:r w:rsidRPr="00515D85">
        <w:rPr>
          <w:rFonts w:hint="eastAsia"/>
        </w:rPr>
        <w:t>、車輛、武器、已審批核准之檔</w:t>
      </w:r>
      <w:r w:rsidRPr="00515D85">
        <w:rPr>
          <w:rFonts w:hint="eastAsia"/>
        </w:rPr>
        <w:t>(issued documents)</w:t>
      </w:r>
      <w:r w:rsidRPr="00515D85">
        <w:rPr>
          <w:rFonts w:hint="eastAsia"/>
        </w:rPr>
        <w:t>、空白之文件</w:t>
      </w:r>
      <w:r w:rsidRPr="00515D85">
        <w:rPr>
          <w:rFonts w:hint="eastAsia"/>
        </w:rPr>
        <w:t>(blank documents)</w:t>
      </w:r>
      <w:r w:rsidRPr="00515D85">
        <w:rPr>
          <w:rFonts w:hint="eastAsia"/>
        </w:rPr>
        <w:t>、鈔票</w:t>
      </w:r>
      <w:r w:rsidRPr="00515D85">
        <w:rPr>
          <w:rFonts w:hint="eastAsia"/>
        </w:rPr>
        <w:t>(bank notes)</w:t>
      </w:r>
      <w:r w:rsidRPr="00515D85">
        <w:rPr>
          <w:rFonts w:hint="eastAsia"/>
        </w:rPr>
        <w:t>；</w:t>
      </w:r>
    </w:p>
    <w:p w14:paraId="0020FD60" w14:textId="77777777" w:rsidR="00CA2C52" w:rsidRPr="00515D85" w:rsidRDefault="00CA2C52" w:rsidP="00D87D91">
      <w:r w:rsidRPr="00515D85">
        <w:rPr>
          <w:rFonts w:hint="eastAsia"/>
        </w:rPr>
        <w:t xml:space="preserve">　　</w:t>
      </w:r>
      <w:r w:rsidRPr="00515D85">
        <w:rPr>
          <w:rFonts w:hint="eastAsia"/>
        </w:rPr>
        <w:t>3.</w:t>
      </w:r>
      <w:r w:rsidRPr="00515D85">
        <w:rPr>
          <w:rFonts w:hint="eastAsia"/>
        </w:rPr>
        <w:t>新增警示系統之項目，包含：被偷竊之航空器</w:t>
      </w:r>
      <w:r w:rsidRPr="00515D85">
        <w:rPr>
          <w:rFonts w:hint="eastAsia"/>
        </w:rPr>
        <w:t>(stolen aircrafts)</w:t>
      </w:r>
      <w:r w:rsidRPr="00515D85">
        <w:rPr>
          <w:rFonts w:hint="eastAsia"/>
        </w:rPr>
        <w:t>、船舶</w:t>
      </w:r>
      <w:r w:rsidRPr="00515D85">
        <w:rPr>
          <w:rFonts w:hint="eastAsia"/>
        </w:rPr>
        <w:t>(boats)</w:t>
      </w:r>
      <w:r w:rsidRPr="00515D85">
        <w:rPr>
          <w:rFonts w:hint="eastAsia"/>
        </w:rPr>
        <w:t>、船舶引擎</w:t>
      </w:r>
      <w:r w:rsidRPr="00515D85">
        <w:rPr>
          <w:rFonts w:hint="eastAsia"/>
        </w:rPr>
        <w:t>(boat engines)</w:t>
      </w:r>
      <w:r w:rsidRPr="00515D85">
        <w:rPr>
          <w:rFonts w:hint="eastAsia"/>
        </w:rPr>
        <w:t>、貨櫃</w:t>
      </w:r>
      <w:r w:rsidRPr="00515D85">
        <w:rPr>
          <w:rFonts w:hint="eastAsia"/>
        </w:rPr>
        <w:t>(containers)</w:t>
      </w:r>
      <w:r w:rsidRPr="00515D85">
        <w:rPr>
          <w:rFonts w:hint="eastAsia"/>
        </w:rPr>
        <w:t>、工業用之設備</w:t>
      </w:r>
      <w:r w:rsidRPr="00515D85">
        <w:rPr>
          <w:rFonts w:hint="eastAsia"/>
        </w:rPr>
        <w:t>(industrial equipment)</w:t>
      </w:r>
      <w:r w:rsidRPr="00515D85">
        <w:rPr>
          <w:rFonts w:hint="eastAsia"/>
        </w:rPr>
        <w:t>、有價證券</w:t>
      </w:r>
      <w:r w:rsidRPr="00515D85">
        <w:rPr>
          <w:rFonts w:hint="eastAsia"/>
        </w:rPr>
        <w:t>(securities)</w:t>
      </w:r>
      <w:r w:rsidRPr="00515D85">
        <w:rPr>
          <w:rFonts w:hint="eastAsia"/>
        </w:rPr>
        <w:t>、金融支付工具</w:t>
      </w:r>
      <w:r w:rsidRPr="00515D85">
        <w:rPr>
          <w:rFonts w:hint="eastAsia"/>
        </w:rPr>
        <w:t>(means of payment)</w:t>
      </w:r>
      <w:r w:rsidRPr="00515D85">
        <w:rPr>
          <w:rFonts w:hint="eastAsia"/>
        </w:rPr>
        <w:t>；</w:t>
      </w:r>
    </w:p>
    <w:p w14:paraId="0CA50E57" w14:textId="77777777" w:rsidR="00CA2C52" w:rsidRPr="00515D85" w:rsidRDefault="00CA2C52" w:rsidP="00D87D91">
      <w:r w:rsidRPr="00515D85">
        <w:rPr>
          <w:rFonts w:hint="eastAsia"/>
        </w:rPr>
        <w:t xml:space="preserve">　　</w:t>
      </w:r>
      <w:r w:rsidRPr="00515D85">
        <w:rPr>
          <w:rFonts w:hint="eastAsia"/>
        </w:rPr>
        <w:t>4.</w:t>
      </w:r>
      <w:r w:rsidRPr="00515D85">
        <w:rPr>
          <w:rFonts w:hint="eastAsia"/>
        </w:rPr>
        <w:t>各種不同之警示系統，可相互進行鏈結，如對於人口、貨物與車輛之警示系統，可進行結合</w:t>
      </w:r>
      <w:r w:rsidRPr="00515D85">
        <w:rPr>
          <w:rFonts w:hint="eastAsia"/>
        </w:rPr>
        <w:t>(Linking of alerts on persons, objects &amp; vehicles)</w:t>
      </w:r>
      <w:r w:rsidRPr="00515D85">
        <w:rPr>
          <w:rFonts w:hint="eastAsia"/>
        </w:rPr>
        <w:t>；</w:t>
      </w:r>
    </w:p>
    <w:p w14:paraId="3323D781" w14:textId="77777777" w:rsidR="00CA2C52" w:rsidRPr="00515D85" w:rsidRDefault="00CA2C52" w:rsidP="00D87D91">
      <w:r w:rsidRPr="00515D85">
        <w:rPr>
          <w:rFonts w:hint="eastAsia"/>
        </w:rPr>
        <w:t xml:space="preserve">　　</w:t>
      </w:r>
      <w:r w:rsidRPr="00515D85">
        <w:rPr>
          <w:rFonts w:hint="eastAsia"/>
        </w:rPr>
        <w:t>5.</w:t>
      </w:r>
      <w:r w:rsidRPr="00515D85">
        <w:rPr>
          <w:rFonts w:hint="eastAsia"/>
        </w:rPr>
        <w:t>新增可直接對於</w:t>
      </w:r>
      <w:r w:rsidRPr="00515D85">
        <w:rPr>
          <w:rFonts w:hint="eastAsia"/>
        </w:rPr>
        <w:t>SIS II</w:t>
      </w:r>
      <w:r w:rsidRPr="00515D85">
        <w:rPr>
          <w:rFonts w:hint="eastAsia"/>
        </w:rPr>
        <w:t>之中央主系統進行查詢之功能</w:t>
      </w:r>
      <w:r w:rsidRPr="00515D85">
        <w:rPr>
          <w:rFonts w:hint="eastAsia"/>
        </w:rPr>
        <w:t>(Direct queries in the central system)</w:t>
      </w:r>
      <w:r w:rsidRPr="00515D85">
        <w:rPr>
          <w:rFonts w:hint="eastAsia"/>
        </w:rPr>
        <w:t>；</w:t>
      </w:r>
    </w:p>
    <w:p w14:paraId="010F450D" w14:textId="77777777" w:rsidR="00CA2C52" w:rsidRPr="00515D85" w:rsidRDefault="00CA2C52" w:rsidP="00D87D91">
      <w:r w:rsidRPr="00515D85">
        <w:rPr>
          <w:rFonts w:hint="eastAsia"/>
        </w:rPr>
        <w:t xml:space="preserve">　　</w:t>
      </w:r>
      <w:r w:rsidRPr="00515D85">
        <w:rPr>
          <w:rFonts w:hint="eastAsia"/>
        </w:rPr>
        <w:t>6.</w:t>
      </w:r>
      <w:r w:rsidRPr="00515D85">
        <w:rPr>
          <w:rFonts w:hint="eastAsia"/>
        </w:rPr>
        <w:t>在</w:t>
      </w:r>
      <w:r w:rsidRPr="00515D85">
        <w:rPr>
          <w:rFonts w:hint="eastAsia"/>
        </w:rPr>
        <w:t>SIS II</w:t>
      </w:r>
      <w:r w:rsidRPr="00515D85">
        <w:rPr>
          <w:rFonts w:hint="eastAsia"/>
        </w:rPr>
        <w:t>資料之保護方面，提供更強之保護功用；</w:t>
      </w:r>
    </w:p>
    <w:p w14:paraId="41D8BC1B" w14:textId="77777777" w:rsidR="00CA2C52" w:rsidRPr="00515D85" w:rsidRDefault="00CA2C52" w:rsidP="00D87D91">
      <w:r w:rsidRPr="00515D85">
        <w:rPr>
          <w:rFonts w:hint="eastAsia"/>
        </w:rPr>
        <w:t xml:space="preserve">　　</w:t>
      </w:r>
      <w:r w:rsidRPr="00515D85">
        <w:rPr>
          <w:rFonts w:hint="eastAsia"/>
        </w:rPr>
        <w:t>7.</w:t>
      </w:r>
      <w:r w:rsidRPr="00515D85">
        <w:rPr>
          <w:rFonts w:hint="eastAsia"/>
        </w:rPr>
        <w:t>針對歐盟各個會員國所欲加以逮捕，之後送交或引渡之被通緝罪犯</w:t>
      </w:r>
      <w:r w:rsidRPr="00515D85">
        <w:rPr>
          <w:rFonts w:hint="eastAsia"/>
        </w:rPr>
        <w:t>(for persons wanted for arrest for surrender or extradition)</w:t>
      </w:r>
      <w:r w:rsidRPr="00515D85">
        <w:rPr>
          <w:rFonts w:hint="eastAsia"/>
        </w:rPr>
        <w:t>，可直接將歐洲逮捕令狀附加於警示系統之上</w:t>
      </w:r>
      <w:r w:rsidRPr="00515D85">
        <w:rPr>
          <w:rFonts w:hint="eastAsia"/>
        </w:rPr>
        <w:t>(European Arrest Warrant attached directly to alert)</w:t>
      </w:r>
      <w:r w:rsidRPr="00515D85">
        <w:rPr>
          <w:rFonts w:hint="eastAsia"/>
        </w:rPr>
        <w:t>；</w:t>
      </w:r>
    </w:p>
    <w:p w14:paraId="32B538BB" w14:textId="77777777" w:rsidR="00203F72" w:rsidRPr="00515D85" w:rsidRDefault="00CA2C52" w:rsidP="00D87D91">
      <w:r w:rsidRPr="00515D85">
        <w:rPr>
          <w:rFonts w:hint="eastAsia"/>
        </w:rPr>
        <w:t xml:space="preserve">　　</w:t>
      </w:r>
      <w:r w:rsidRPr="00515D85">
        <w:rPr>
          <w:rFonts w:hint="eastAsia"/>
        </w:rPr>
        <w:t>8.</w:t>
      </w:r>
      <w:r w:rsidRPr="00515D85">
        <w:rPr>
          <w:rFonts w:hint="eastAsia"/>
        </w:rPr>
        <w:t>新增被誤用或被濫用之人別身分之資訊</w:t>
      </w:r>
      <w:r w:rsidRPr="00515D85">
        <w:rPr>
          <w:rFonts w:hint="eastAsia"/>
        </w:rPr>
        <w:t>(Information on misused identity)</w:t>
      </w:r>
      <w:r w:rsidRPr="00515D85">
        <w:rPr>
          <w:rFonts w:hint="eastAsia"/>
        </w:rPr>
        <w:t>，以防制人別身分資料被錯誤地鑑別</w:t>
      </w:r>
      <w:r w:rsidRPr="00515D85">
        <w:rPr>
          <w:rFonts w:hint="eastAsia"/>
        </w:rPr>
        <w:t>(preventing the misidentification)</w:t>
      </w:r>
      <w:r w:rsidRPr="00515D85">
        <w:rPr>
          <w:rFonts w:hint="eastAsia"/>
        </w:rPr>
        <w:t>。</w:t>
      </w:r>
    </w:p>
    <w:p w14:paraId="6D4E2E41" w14:textId="77777777" w:rsidR="00953151" w:rsidRPr="00515D85" w:rsidRDefault="00CA2C52" w:rsidP="00D87D91">
      <w:r w:rsidRPr="00515D85">
        <w:t xml:space="preserve">　　</w:t>
      </w:r>
      <w:r w:rsidR="00203F72" w:rsidRPr="00515D85">
        <w:t>SIS II</w:t>
      </w:r>
      <w:r w:rsidR="00203F72" w:rsidRPr="00515D85">
        <w:t>是屬於全世界最大型之資訊技術系統之一</w:t>
      </w:r>
      <w:r w:rsidR="00203F72" w:rsidRPr="00515D85">
        <w:t>(One of the world's largest IT systems)</w:t>
      </w:r>
      <w:r w:rsidR="00203F72" w:rsidRPr="00515D85">
        <w:t>，在</w:t>
      </w:r>
      <w:r w:rsidR="00203F72" w:rsidRPr="00515D85">
        <w:t>SIS II</w:t>
      </w:r>
      <w:r w:rsidR="00203F72" w:rsidRPr="00515D85">
        <w:t>中央主系統與會員國國家層級之系統之間</w:t>
      </w:r>
      <w:r w:rsidR="00203F72" w:rsidRPr="00515D85">
        <w:t>(between the Central and the national systems)</w:t>
      </w:r>
      <w:r w:rsidR="00203F72" w:rsidRPr="00515D85">
        <w:t>，</w:t>
      </w:r>
      <w:r w:rsidR="00203F72" w:rsidRPr="00515D85">
        <w:t>SIS II</w:t>
      </w:r>
      <w:r w:rsidR="00203F72" w:rsidRPr="00515D85">
        <w:t>之運作機能，它主要係由</w:t>
      </w:r>
      <w:r w:rsidR="00203F72" w:rsidRPr="00515D85">
        <w:t>3</w:t>
      </w:r>
      <w:r w:rsidR="00203F72" w:rsidRPr="00515D85">
        <w:t>個部分組成：</w:t>
      </w:r>
      <w:r w:rsidR="00203F72" w:rsidRPr="00515D85">
        <w:t>SIS II</w:t>
      </w:r>
      <w:r w:rsidR="00203F72" w:rsidRPr="00515D85">
        <w:t>所屬之中央主系統</w:t>
      </w:r>
      <w:r w:rsidR="00203F72" w:rsidRPr="00515D85">
        <w:t>(a Central System)</w:t>
      </w:r>
      <w:r w:rsidR="00203F72" w:rsidRPr="00515D85">
        <w:t>；歐盟各個會員國所屬之國家層級之系統</w:t>
      </w:r>
      <w:r w:rsidR="00203F72" w:rsidRPr="00515D85">
        <w:t>(EU States’ national systems)</w:t>
      </w:r>
      <w:r w:rsidR="00203F72" w:rsidRPr="00515D85">
        <w:t>；資訊溝通之基礎性設施</w:t>
      </w:r>
      <w:r w:rsidR="00203F72" w:rsidRPr="00515D85">
        <w:t>(</w:t>
      </w:r>
      <w:r w:rsidR="00203F72" w:rsidRPr="00515D85">
        <w:t>網路</w:t>
      </w:r>
      <w:r w:rsidR="00203F72" w:rsidRPr="00515D85">
        <w:t>)(a communication infrastructure’network)</w:t>
      </w:r>
      <w:r w:rsidR="00203F72" w:rsidRPr="00515D85">
        <w:footnoteReference w:id="875"/>
      </w:r>
      <w:r w:rsidR="00203F72" w:rsidRPr="00515D85">
        <w:t>。</w:t>
      </w:r>
    </w:p>
    <w:p w14:paraId="6B516906" w14:textId="77777777" w:rsidR="00953151" w:rsidRPr="00515D85" w:rsidRDefault="00CA2C52" w:rsidP="00D87D91">
      <w:r w:rsidRPr="00515D85">
        <w:t xml:space="preserve">　　</w:t>
      </w:r>
      <w:r w:rsidR="00203F72" w:rsidRPr="00515D85">
        <w:t>我國與中國大陸之間，基於打擊跨境犯罪之需，似亦可以考量共同建構一套類似於美、加兩國之「阻斷及辨識性交易買春者系統」（</w:t>
      </w:r>
      <w:r w:rsidR="00203F72" w:rsidRPr="00515D85">
        <w:t>the Deter and Identify Sex Consumers, DISC</w:t>
      </w:r>
      <w:r w:rsidR="00203F72" w:rsidRPr="00515D85">
        <w:t>），與歐洲之申根資訊系統</w:t>
      </w:r>
      <w:r w:rsidR="00203F72" w:rsidRPr="00515D85">
        <w:t>(Schengen Information System)</w:t>
      </w:r>
      <w:r w:rsidR="00203F72" w:rsidRPr="00515D85">
        <w:t>之電子資料庫系統之機制。亦即，兩岸出資共同建構一套抗制跨境犯罪之網際網路情資分享系統，在此一情資分享系統之中，植入犯罪被告之相關情資，諸如：犯罪被告個人之基本資料、犯罪事實、罪犯之個人生物特徵</w:t>
      </w:r>
      <w:r w:rsidR="00203F72" w:rsidRPr="00515D85">
        <w:t>(</w:t>
      </w:r>
      <w:r w:rsidR="00203F72" w:rsidRPr="00515D85">
        <w:t>如指紋、外表．．．等</w:t>
      </w:r>
      <w:r w:rsidR="00203F72" w:rsidRPr="00515D85">
        <w:t>)</w:t>
      </w:r>
      <w:r w:rsidR="00203F72" w:rsidRPr="00515D85">
        <w:t>以利兩岸之執法機關能夠相互分享，及查詢犯罪被告之相關情資，以利強化兩岸執法機關打擊跨境犯罪之實際能量。</w:t>
      </w:r>
    </w:p>
    <w:p w14:paraId="2D36FD4C" w14:textId="77777777" w:rsidR="00203F72" w:rsidRPr="00515D85" w:rsidRDefault="00CA2C52" w:rsidP="00D87D91">
      <w:r w:rsidRPr="00515D85">
        <w:t xml:space="preserve">　　</w:t>
      </w:r>
      <w:r w:rsidR="00203F72" w:rsidRPr="00515D85">
        <w:t>十九、台灣宜從需求面降低人口販運之犯行</w:t>
      </w:r>
      <w:r w:rsidR="00D92F56" w:rsidRPr="00515D85">
        <w:t>〜</w:t>
      </w:r>
      <w:r w:rsidR="00203F72" w:rsidRPr="00515D85">
        <w:t>我國對於買春之人宜進行刑事制裁而非採取行政制裁，藉以強力壓制買春行為</w:t>
      </w:r>
    </w:p>
    <w:p w14:paraId="31A018AA" w14:textId="77777777" w:rsidR="00203F72" w:rsidRPr="00515D85" w:rsidRDefault="00CA2C52" w:rsidP="00D87D91">
      <w:r w:rsidRPr="00515D85">
        <w:t xml:space="preserve">　　</w:t>
      </w:r>
      <w:r w:rsidR="00203F72" w:rsidRPr="00515D85">
        <w:t>有關南韓對於買春之人進行之處罰，係使用刑事制裁之手段，南韓從</w:t>
      </w:r>
      <w:r w:rsidR="00203F72" w:rsidRPr="00515D85">
        <w:t>2004</w:t>
      </w:r>
      <w:r w:rsidR="00203F72" w:rsidRPr="00515D85">
        <w:t>年</w:t>
      </w:r>
      <w:r w:rsidR="00203F72" w:rsidRPr="00515D85">
        <w:t>9</w:t>
      </w:r>
      <w:r w:rsidR="00203F72" w:rsidRPr="00515D85">
        <w:t>月開始實行「性買賣特別法」，截至同年</w:t>
      </w:r>
      <w:r w:rsidR="00203F72" w:rsidRPr="00515D85">
        <w:t>11</w:t>
      </w:r>
      <w:r w:rsidR="00203F72" w:rsidRPr="00515D85">
        <w:t>月為止，計有約</w:t>
      </w:r>
      <w:r w:rsidR="00203F72" w:rsidRPr="00515D85">
        <w:t>2,600</w:t>
      </w:r>
      <w:r w:rsidR="00203F72" w:rsidRPr="00515D85">
        <w:t>名男性，因買春被警察逮捕，並科處刑事處罰，南韓男性協會提出非常嚴重之抗議，主張男性之身體自由權、生存權及追求幸福權，已遭受「性買賣特別法」嚴重侵犯。「懲治媒介性交易暨相關行為條例」施行之後，依照後法優於前法</w:t>
      </w:r>
      <w:r w:rsidR="00203F72" w:rsidRPr="00515D85">
        <w:t>(</w:t>
      </w:r>
      <w:r w:rsidR="00203F72" w:rsidRPr="00515D85">
        <w:t>「性買賣特別法」</w:t>
      </w:r>
      <w:r w:rsidR="00203F72" w:rsidRPr="00515D85">
        <w:t>)</w:t>
      </w:r>
      <w:r w:rsidR="00203F72" w:rsidRPr="00515D85">
        <w:t>之原則，「懲治媒介性交易暨相關行為條例」則取代「性買賣特別法」之效力。</w:t>
      </w:r>
    </w:p>
    <w:p w14:paraId="65DEF33E" w14:textId="77777777" w:rsidR="00953151" w:rsidRPr="00515D85" w:rsidRDefault="00CA2C52" w:rsidP="00D87D91">
      <w:r w:rsidRPr="00515D85">
        <w:t xml:space="preserve">　　</w:t>
      </w:r>
      <w:r w:rsidR="00203F72" w:rsidRPr="00515D85">
        <w:t>根據「懲治媒介性交易暨相關行為條例」第</w:t>
      </w:r>
      <w:r w:rsidR="00203F72" w:rsidRPr="00515D85">
        <w:t>21</w:t>
      </w:r>
      <w:r w:rsidR="00203F72" w:rsidRPr="00515D85">
        <w:t>條之規定，任何從事性交易之人，必須被科處</w:t>
      </w:r>
      <w:r w:rsidR="00203F72" w:rsidRPr="00515D85">
        <w:t>1</w:t>
      </w:r>
      <w:r w:rsidR="00203F72" w:rsidRPr="00515D85">
        <w:t>年以下之有期徒刑、罰金、拘役、或是</w:t>
      </w:r>
      <w:r w:rsidR="00203F72" w:rsidRPr="00515D85">
        <w:t>300</w:t>
      </w:r>
      <w:r w:rsidR="00203F72" w:rsidRPr="00515D85">
        <w:t>萬圓以下之韓幣（約</w:t>
      </w:r>
      <w:r w:rsidR="00203F72" w:rsidRPr="00515D85">
        <w:t>9</w:t>
      </w:r>
      <w:r w:rsidR="00203F72" w:rsidRPr="00515D85">
        <w:t>萬元之台幣）。在南韓，買春之行為，被「懲治媒介性交易暨相關行為條例」第</w:t>
      </w:r>
      <w:r w:rsidR="00203F72" w:rsidRPr="00515D85">
        <w:t>21</w:t>
      </w:r>
      <w:r w:rsidR="00203F72" w:rsidRPr="00515D85">
        <w:t>條加以犯罪化，此種之行為，是必須受到刑事制裁。不過，實際上，對於買春之初犯，則是使用社區處遇，令其參與一日之「約翰學校」</w:t>
      </w:r>
      <w:r w:rsidR="00203F72" w:rsidRPr="00515D85">
        <w:footnoteReference w:id="876"/>
      </w:r>
      <w:r w:rsidR="00203F72" w:rsidRPr="00515D85">
        <w:t>研習會，用社區處遇之「約翰學校」，取代監禁。不過，其參與之條件，則必須是買春之初犯。</w:t>
      </w:r>
    </w:p>
    <w:p w14:paraId="35268849" w14:textId="77777777" w:rsidR="00203F72" w:rsidRPr="00515D85" w:rsidRDefault="00CA2C52" w:rsidP="00D87D91">
      <w:r w:rsidRPr="00515D85">
        <w:t xml:space="preserve">　　</w:t>
      </w:r>
      <w:r w:rsidR="00203F72" w:rsidRPr="00515D85">
        <w:t>反觀台灣，依照社會秩序維護法第</w:t>
      </w:r>
      <w:r w:rsidR="00203F72" w:rsidRPr="00515D85">
        <w:t>80</w:t>
      </w:r>
      <w:r w:rsidR="00203F72" w:rsidRPr="00515D85">
        <w:t>條之規定，從事性交易者，處新臺幣</w:t>
      </w:r>
      <w:r w:rsidR="00203F72" w:rsidRPr="00515D85">
        <w:t>3</w:t>
      </w:r>
      <w:r w:rsidR="00203F72" w:rsidRPr="00515D85">
        <w:t>萬元以下罰鍰，但符合第</w:t>
      </w:r>
      <w:r w:rsidR="00203F72" w:rsidRPr="00515D85">
        <w:t>91</w:t>
      </w:r>
      <w:r w:rsidR="00203F72" w:rsidRPr="00515D85">
        <w:t>條之</w:t>
      </w:r>
      <w:r w:rsidR="00203F72" w:rsidRPr="00515D85">
        <w:t>1</w:t>
      </w:r>
      <w:r w:rsidR="00203F72" w:rsidRPr="00515D85">
        <w:t>第</w:t>
      </w:r>
      <w:r w:rsidR="00203F72" w:rsidRPr="00515D85">
        <w:t>1</w:t>
      </w:r>
      <w:r w:rsidR="00203F72" w:rsidRPr="00515D85">
        <w:t>項至第</w:t>
      </w:r>
      <w:r w:rsidR="00203F72" w:rsidRPr="00515D85">
        <w:t>3</w:t>
      </w:r>
      <w:r w:rsidR="00203F72" w:rsidRPr="00515D85">
        <w:t>項</w:t>
      </w:r>
      <w:r w:rsidR="00203F72" w:rsidRPr="00515D85">
        <w:footnoteReference w:id="877"/>
      </w:r>
      <w:r w:rsidR="00203F72" w:rsidRPr="00515D85">
        <w:t>之自治條例規定者，不適用之（性交易專區排外條款）。買春之人是不受到任何之法律制裁。此種作法，似乎是頗值得加以深入探討，因無任何之處罰，造成無法管制及消除人口販運性剝削之需求面，唯有澈底消除人口販運性剝削之需求面，始能有效防制人口販運之犯行，這是台灣法制面較為缺陷之處。假若性交易之需求面能加以壓制，則人口販運性剝削之供給面必會減少</w:t>
      </w:r>
      <w:r w:rsidR="00203F72" w:rsidRPr="00515D85">
        <w:footnoteReference w:id="878"/>
      </w:r>
      <w:r w:rsidR="00203F72" w:rsidRPr="00515D85">
        <w:t>。相當可惜之處，是國內之民眾，對此尚未有共識，尚待贊同本書之學者、專家及政府廣加宣導。</w:t>
      </w:r>
    </w:p>
    <w:p w14:paraId="22472E8A" w14:textId="77777777" w:rsidR="00953151" w:rsidRPr="00515D85" w:rsidRDefault="00CA2C52" w:rsidP="00D87D91">
      <w:r w:rsidRPr="00515D85">
        <w:t xml:space="preserve">　　</w:t>
      </w:r>
      <w:r w:rsidR="00203F72" w:rsidRPr="00515D85">
        <w:t>從中華傳統文化、道德、東方宗教之觀點而論，已婚者其與配偶外之第三人，所進行之性交行為（含單身未結婚前之同居、性交行為），儘管是雙方志願之性交行為，均是屬於淫邪之範圍，是要加以禁止。內政部似乎未注意到中華傳統文化、道德、宗教及生理健康之觀點。根據中國中醫學家彭鑫博士之近來研究成果</w:t>
      </w:r>
      <w:r w:rsidR="00203F72" w:rsidRPr="00515D85">
        <w:footnoteReference w:id="879"/>
      </w:r>
      <w:r w:rsidR="00203F72" w:rsidRPr="00515D85">
        <w:t>，過度之性交行為，會嚴重影響一個民族之平均智力。全世界智商最高之人種，係為德系猶太人，平均智商在</w:t>
      </w:r>
      <w:r w:rsidR="00203F72" w:rsidRPr="00515D85">
        <w:t>130</w:t>
      </w:r>
      <w:r w:rsidR="00203F72" w:rsidRPr="00515D85">
        <w:t>以上，德系猶太人秉持極其嚴謹之性禁忌，由於對於性交行為有非常嚴謹之態度及規範，導致其平均智商在</w:t>
      </w:r>
      <w:r w:rsidR="00203F72" w:rsidRPr="00515D85">
        <w:t>130</w:t>
      </w:r>
      <w:r w:rsidR="00203F72" w:rsidRPr="00515D85">
        <w:t>以上。</w:t>
      </w:r>
    </w:p>
    <w:p w14:paraId="1FD12BB1" w14:textId="77777777" w:rsidR="00203F72" w:rsidRPr="00515D85" w:rsidRDefault="00CA2C52" w:rsidP="00D87D91">
      <w:r w:rsidRPr="00515D85">
        <w:t xml:space="preserve">　　</w:t>
      </w:r>
      <w:r w:rsidR="00203F72" w:rsidRPr="00515D85">
        <w:t>另外，根據其他研究資料，亦顯示人類如性交氾濫，平均智商會嚴重下降。以南非沙漠高原之叢林人與非洲剛果雨林地區之人群為例，這些居民於成年之後，如男女雙方出於自願，即可以隱秘方式進行性交，致其平均智商約為</w:t>
      </w:r>
      <w:r w:rsidR="00203F72" w:rsidRPr="00515D85">
        <w:t>54</w:t>
      </w:r>
      <w:r w:rsidR="00203F72" w:rsidRPr="00515D85">
        <w:t>。亦有研究指出，根據人類之歷史，如一個種族，其社會對性交之規範愈低，則其男性生殖器官會越大，大腦容量會越小，整個族群之平均智商會越低</w:t>
      </w:r>
      <w:r w:rsidR="00203F72" w:rsidRPr="00515D85">
        <w:footnoteReference w:id="880"/>
      </w:r>
      <w:r w:rsidR="00203F72" w:rsidRPr="00515D85">
        <w:t>。其他之中醫文獻及相關之資料，均顯示頻繁之性交行為，會非常嚴重地影響一個民族之平均智力及生理</w:t>
      </w:r>
      <w:r w:rsidR="00203F72" w:rsidRPr="00515D85">
        <w:footnoteReference w:id="881"/>
      </w:r>
      <w:r w:rsidR="00203F72" w:rsidRPr="00515D85">
        <w:t>。</w:t>
      </w:r>
    </w:p>
    <w:p w14:paraId="3685EAAF" w14:textId="77777777" w:rsidR="00953151" w:rsidRPr="00515D85" w:rsidRDefault="00CA2C52" w:rsidP="00D87D91">
      <w:r w:rsidRPr="00515D85">
        <w:t xml:space="preserve">　　</w:t>
      </w:r>
      <w:r w:rsidR="00203F72" w:rsidRPr="00515D85">
        <w:t>此外，中國中醫對於腎與性交行為之關聯性，亦有以下之主張</w:t>
      </w:r>
      <w:r w:rsidR="00203F72" w:rsidRPr="00515D85">
        <w:footnoteReference w:id="882"/>
      </w:r>
      <w:r w:rsidR="00203F72" w:rsidRPr="00515D85">
        <w:t>：</w:t>
      </w:r>
      <w:r w:rsidR="00203F72" w:rsidRPr="00515D85">
        <w:t>1</w:t>
      </w:r>
      <w:r w:rsidR="00203F72" w:rsidRPr="00515D85">
        <w:t>、腎臟是人體先天之本，主藏精；</w:t>
      </w:r>
      <w:r w:rsidR="00203F72" w:rsidRPr="00515D85">
        <w:t>2</w:t>
      </w:r>
      <w:r w:rsidR="00203F72" w:rsidRPr="00515D85">
        <w:t>、假若將人體比做一盞燈，此時，腎之功能，宛如燈芯；</w:t>
      </w:r>
      <w:r w:rsidR="00203F72" w:rsidRPr="00515D85">
        <w:t>3</w:t>
      </w:r>
      <w:r w:rsidR="00203F72" w:rsidRPr="00515D85">
        <w:t>、性交行為之心理快樂感，係在短時間內大量消耗身體之燈油；</w:t>
      </w:r>
      <w:r w:rsidR="00203F72" w:rsidRPr="00515D85">
        <w:t>4</w:t>
      </w:r>
      <w:r w:rsidR="00203F72" w:rsidRPr="00515D85">
        <w:t>、性交行為不節制，身體之燈油不久就會耗空；</w:t>
      </w:r>
      <w:r w:rsidR="00203F72" w:rsidRPr="00515D85">
        <w:t>5</w:t>
      </w:r>
      <w:r w:rsidR="00203F72" w:rsidRPr="00515D85">
        <w:t>、如果腎氣保存很好，可長壽。內政部將行為人在性交易專區所進行之性交易行為除罪化，此並非良善之法政策，本書相當不贊同設置性交易專區，及將性交易行為除罪化。</w:t>
      </w:r>
    </w:p>
    <w:p w14:paraId="4A891D0E" w14:textId="77777777" w:rsidR="00953151" w:rsidRPr="00515D85" w:rsidRDefault="00CA2C52" w:rsidP="00D87D91">
      <w:r w:rsidRPr="00515D85">
        <w:t xml:space="preserve">　　</w:t>
      </w:r>
      <w:r w:rsidR="00203F72" w:rsidRPr="00515D85">
        <w:t>本書非常強烈地建議與主張，我國對於買春之人宜進行刑事制裁（中華傳統文化、道德、宗教及生理健康之觀點，可作為應刑罰化之基石），或可以比照南韓之刑事處罰方式，修訂相關之法律，諸如修正</w:t>
      </w:r>
      <w:hyperlink r:id="rId2240" w:history="1">
        <w:r w:rsidR="00027D54" w:rsidRPr="00E91A5C">
          <w:rPr>
            <w:rStyle w:val="a5"/>
            <w:rFonts w:ascii="Times New Roman" w:eastAsia="新細明體" w:hAnsi="Times New Roman"/>
          </w:rPr>
          <w:t>人口販運防制法</w:t>
        </w:r>
      </w:hyperlink>
      <w:r w:rsidR="00203F72" w:rsidRPr="00515D85">
        <w:t>，於該法之中，明文規範任何從事性交易之人，必須被科處</w:t>
      </w:r>
      <w:r w:rsidR="00203F72" w:rsidRPr="00515D85">
        <w:t>1</w:t>
      </w:r>
      <w:r w:rsidR="00203F72" w:rsidRPr="00515D85">
        <w:t>年以下之有期徒刑、拘役、或</w:t>
      </w:r>
      <w:r w:rsidR="00203F72" w:rsidRPr="00515D85">
        <w:t>9</w:t>
      </w:r>
      <w:r w:rsidR="00203F72" w:rsidRPr="00515D85">
        <w:t>萬元以下之罰金。</w:t>
      </w:r>
    </w:p>
    <w:p w14:paraId="092C87FE" w14:textId="77777777" w:rsidR="00953151" w:rsidRPr="00515D85" w:rsidRDefault="00CA2C52" w:rsidP="00D87D91">
      <w:r w:rsidRPr="00515D85">
        <w:t xml:space="preserve">　　</w:t>
      </w:r>
      <w:r w:rsidR="00203F72" w:rsidRPr="00515D85">
        <w:t>另外，我國亦宜同時建制用社區處遇之「約翰學校」，取代監禁之刑事政策。不過，其適用之對象，僅為從事性交易之男女初犯，對於從事性交易之男女累犯，則不宜使用社區處遇之「約翰學校」之模式。</w:t>
      </w:r>
    </w:p>
    <w:p w14:paraId="0C69CFF4" w14:textId="77777777" w:rsidR="00203F72" w:rsidRPr="00515D85" w:rsidRDefault="00CA2C52" w:rsidP="00D87D91">
      <w:r w:rsidRPr="00515D85">
        <w:t xml:space="preserve">　　</w:t>
      </w:r>
      <w:r w:rsidR="00203F72" w:rsidRPr="00515D85">
        <w:t>二十、人口販運被害人與雇主之間之契約應屬無效契約</w:t>
      </w:r>
    </w:p>
    <w:p w14:paraId="525B6B5A" w14:textId="77777777" w:rsidR="00203F72" w:rsidRPr="00515D85" w:rsidRDefault="00CA2C52" w:rsidP="00D87D91">
      <w:r w:rsidRPr="00515D85">
        <w:t xml:space="preserve">　　</w:t>
      </w:r>
      <w:r w:rsidR="00203F72" w:rsidRPr="00515D85">
        <w:t>在南韓，根據「懲治媒介性交易暨相關行為條例」第</w:t>
      </w:r>
      <w:r w:rsidR="00203F72" w:rsidRPr="00515D85">
        <w:t>10</w:t>
      </w:r>
      <w:r w:rsidR="00203F72" w:rsidRPr="00515D85">
        <w:t>條之規定，媒介性交易暨相關行為、聘僱或召募出賣性服務、介紹與媒介出賣性服務及意圖使人從事性交易而販運人口等之犯罪人，其與人口販運被害人所簽訂之契約，上述犯罪人根據其與人口販運被害人所簽訂之契約之人內容，所主張之權利，並不具有法律效果。亦即，上述之契約，不具有法效力。</w:t>
      </w:r>
    </w:p>
    <w:p w14:paraId="18323FE1" w14:textId="77777777" w:rsidR="00203F72" w:rsidRPr="00515D85" w:rsidRDefault="00CA2C52" w:rsidP="00D87D91">
      <w:r w:rsidRPr="00515D85">
        <w:t xml:space="preserve">　　</w:t>
      </w:r>
      <w:r w:rsidR="00203F72" w:rsidRPr="00515D85">
        <w:t>國人對於各式的人口販運的犯行，仍是認識不清、觀念模糊、法制不足。事實上，人口販運的犯罪行為，除了「性剝削」之外，尚包括「勞力剝削」與海外的「兒童性觀光」。就性剝削與勞力剝削而言，社會大眾常有一個盲點，即認為當初這些外勞或性工作者，均是自願簽訂合同的，被非被強迫簽訂的；然而，當事人最初的行使同意權，並不表示日後他（她）沒有權利行使「撤銷權」；事實上，他（她）乃保有隨時可終止性交易或勞動契約的自由權利，這是契約自由原則，國人的思考盲點，在於當事人的最初同意書，須一直令契約生效，當事人不能終止契約。</w:t>
      </w:r>
    </w:p>
    <w:p w14:paraId="5AC94898" w14:textId="77777777" w:rsidR="00203F72" w:rsidRPr="00515D85" w:rsidRDefault="00CA2C52" w:rsidP="00D87D91">
      <w:r w:rsidRPr="00515D85">
        <w:t xml:space="preserve">　　</w:t>
      </w:r>
      <w:r w:rsidR="00203F72" w:rsidRPr="00515D85">
        <w:t>這種的思維邏輯，本書擬指出，它是極為錯誤的觀念，是違反當事人自由意願的，是侵犯當事人的基本人權的。另外的問題，國人常會質疑：既然外勞受到性或勞力剝削，為何不逃跑？為何不求救？因外勞處在特別脆弱的情境，如須清償</w:t>
      </w:r>
      <w:r w:rsidR="00203F72" w:rsidRPr="00515D85">
        <w:t>24</w:t>
      </w:r>
      <w:r w:rsidR="00203F72" w:rsidRPr="00515D85">
        <w:t>萬新台幣的仲介與招募費用，他（她）沒有籌碼逃跑。在此種的情況下，假若外勞未逃跑，但仍受到雇主的勞力剝削，仍屬人口販運的被害人。另外，就「海外兒童性觀光」的行為而論，它的本質，仍是屬於人口販運的犯罪行為。</w:t>
      </w:r>
    </w:p>
    <w:p w14:paraId="76F2CF59" w14:textId="77777777" w:rsidR="00953151" w:rsidRPr="00515D85" w:rsidRDefault="00CA2C52" w:rsidP="00D87D91">
      <w:r w:rsidRPr="00515D85">
        <w:t xml:space="preserve">　　</w:t>
      </w:r>
      <w:r w:rsidR="00203F72" w:rsidRPr="00515D85">
        <w:t>再者，從牴觸強制禁止規定之角度而論，因為性或勞力剝削人口販運行為，已為我國所明文禁止，是一種犯罪行為。根據民法第</w:t>
      </w:r>
      <w:r w:rsidR="00203F72" w:rsidRPr="00515D85">
        <w:t>71</w:t>
      </w:r>
      <w:r w:rsidR="00203F72" w:rsidRPr="00515D85">
        <w:t>條之規定，法律行為，違反強制或禁止規定者，無效</w:t>
      </w:r>
      <w:r w:rsidR="00203F72" w:rsidRPr="00515D85">
        <w:footnoteReference w:id="883"/>
      </w:r>
      <w:r w:rsidR="00203F72" w:rsidRPr="00515D85">
        <w:t>。是以，假若以性或勞力剝削為契約內容，則符合民法第</w:t>
      </w:r>
      <w:r w:rsidR="00203F72" w:rsidRPr="00515D85">
        <w:t>71</w:t>
      </w:r>
      <w:r w:rsidR="00203F72" w:rsidRPr="00515D85">
        <w:t>條之規定，契約屬於無效。未來，我國似可比照上述南韓「懲治媒介性交易暨相關行為條例」第</w:t>
      </w:r>
      <w:r w:rsidR="00203F72" w:rsidRPr="00515D85">
        <w:t>10</w:t>
      </w:r>
      <w:r w:rsidR="00203F72" w:rsidRPr="00515D85">
        <w:t>條之規範模式，於</w:t>
      </w:r>
      <w:hyperlink r:id="rId2241" w:history="1">
        <w:r w:rsidR="00027D54" w:rsidRPr="00E91A5C">
          <w:rPr>
            <w:rStyle w:val="a5"/>
            <w:rFonts w:ascii="Times New Roman" w:eastAsia="新細明體" w:hAnsi="Times New Roman"/>
          </w:rPr>
          <w:t>人口販運防制法</w:t>
        </w:r>
      </w:hyperlink>
      <w:r w:rsidR="00203F72" w:rsidRPr="00515D85">
        <w:t>中，增訂將不當債務約束之契約，明文規範是屬於無效之契約，更加明確地保障人口販運之權益。</w:t>
      </w:r>
    </w:p>
    <w:p w14:paraId="5C098B42" w14:textId="77777777" w:rsidR="00203F72" w:rsidRPr="00515D85" w:rsidRDefault="00CA2C52" w:rsidP="00D87D91">
      <w:r w:rsidRPr="00515D85">
        <w:t xml:space="preserve">　　</w:t>
      </w:r>
      <w:r w:rsidR="00203F72" w:rsidRPr="00515D85">
        <w:t>二十一、被害人部分違法行為宜加以除罪化</w:t>
      </w:r>
    </w:p>
    <w:p w14:paraId="75303B9D" w14:textId="77777777" w:rsidR="00953151" w:rsidRPr="00515D85" w:rsidRDefault="00CA2C52" w:rsidP="00D87D91">
      <w:r w:rsidRPr="00515D85">
        <w:t xml:space="preserve">　　</w:t>
      </w:r>
      <w:r w:rsidR="00203F72" w:rsidRPr="00515D85">
        <w:t>南韓政府對於遭受性剝削人口販運之被害人，所涉及部分違法之行為，諸如：意圖得利所為之出賣性服務行為、違法入出國行為、違法工作就業或是賣淫等行為，南韓政府採取非常寬容及包容之作法，亦即，不將上述被害人之違法行為加以犯罪化，不使用刑罰加以制裁，取而代之者，是用保護、安置及關懷之態度，對待這些外國籍遭受性剝削人口販運之被害人，不過，大前提必須是被害人要符合遭受性剝削人口販運之要件，亦即，必須是一名被害人始可。此外，所涉及之違法行為之範圍，是限於意圖得利所為之出賣性服務行為、違法入出國行為、違法工作就業或是賣淫等行為，並非所有之違法行為均加以除罪化。</w:t>
      </w:r>
    </w:p>
    <w:p w14:paraId="566BF1AA" w14:textId="77777777" w:rsidR="00203F72" w:rsidRPr="00515D85" w:rsidRDefault="00CA2C52" w:rsidP="00D87D91">
      <w:r w:rsidRPr="00515D85">
        <w:t xml:space="preserve">　　</w:t>
      </w:r>
      <w:r w:rsidR="00203F72" w:rsidRPr="00515D85">
        <w:t>二十二、台灣宜與多國簽訂共同打擊人口販運犯罪之備忘錄</w:t>
      </w:r>
    </w:p>
    <w:p w14:paraId="0622FBE0" w14:textId="77777777" w:rsidR="00953151" w:rsidRPr="00515D85" w:rsidRDefault="00CA2C52" w:rsidP="00D87D91">
      <w:r w:rsidRPr="00515D85">
        <w:t xml:space="preserve">　　</w:t>
      </w:r>
      <w:r w:rsidR="00203F72" w:rsidRPr="00515D85">
        <w:t>打擊人口販運之犯罪，須藉助於國際合作，截至</w:t>
      </w:r>
      <w:r w:rsidR="00203F72" w:rsidRPr="00515D85">
        <w:t>2002</w:t>
      </w:r>
      <w:r w:rsidR="00203F72" w:rsidRPr="00515D85">
        <w:t>年止，與南韓政府簽訂雙邊刑事司法互助條約之國家，已達</w:t>
      </w:r>
      <w:r w:rsidR="00203F72" w:rsidRPr="00515D85">
        <w:t>24</w:t>
      </w:r>
      <w:r w:rsidR="00203F72" w:rsidRPr="00515D85">
        <w:t>個。就台灣而論，因受限於我國之國際處境，本書建議我國政府可與外國政府簽訂共同打擊人口販運犯罪之合作備忘錄，以合作備忘錄之模式，取代條約，以擴展我國打擊人口販運犯罪之廣度與國際網絡，令人口販運之罪犯，即使身處外國，我國仍可透由共同打擊人口販運犯罪之合作備忘錄，獲得外國政府之協助，將其遣送回國，接受刑事制裁。</w:t>
      </w:r>
    </w:p>
    <w:p w14:paraId="0725702F" w14:textId="77777777" w:rsidR="00203F72" w:rsidRPr="00515D85" w:rsidRDefault="00CA2C52" w:rsidP="00D87D91">
      <w:r w:rsidRPr="00515D85">
        <w:t xml:space="preserve">　　</w:t>
      </w:r>
      <w:r w:rsidR="00203F72" w:rsidRPr="00515D85">
        <w:t>二十三、以實證科學統計調查結果作為反制人口販運之對策</w:t>
      </w:r>
    </w:p>
    <w:p w14:paraId="424D6A34" w14:textId="77777777" w:rsidR="00953151" w:rsidRPr="00515D85" w:rsidRDefault="00CA2C52" w:rsidP="00D87D91">
      <w:r w:rsidRPr="00515D85">
        <w:t xml:space="preserve">　　</w:t>
      </w:r>
      <w:r w:rsidR="00203F72" w:rsidRPr="00515D85">
        <w:t>以南韓為例，南韓政府對於反人口販運相關政策之制訂，是植基於實證科學統計調查之上。於</w:t>
      </w:r>
      <w:r w:rsidR="00203F72" w:rsidRPr="00515D85">
        <w:t>2003</w:t>
      </w:r>
      <w:r w:rsidR="00203F72" w:rsidRPr="00515D85">
        <w:t>年，南韓「性別平等暨家庭部」進行一項實證性之科學調查研究，以統計調查為基礎，這是南韓政府第</w:t>
      </w:r>
      <w:r w:rsidR="00203F72" w:rsidRPr="00515D85">
        <w:t>1</w:t>
      </w:r>
      <w:r w:rsidR="00203F72" w:rsidRPr="00515D85">
        <w:t>次以實證科學之方式，委由學者專家針對外國女性於南韓性工作巿場之實際相關情形，進行實證調查，研究調查之結果，可以有效解釋南韓買春及賣春之巿場需求與現況，並且依據調查研究之結果與建議，以科學客觀方式，推衍出可行之保護及援助遭受性剝削人口販運被害人之政策，俾利有效地保護外國籍人口販運之被害人</w:t>
      </w:r>
      <w:r w:rsidR="00203F72" w:rsidRPr="00515D85">
        <w:footnoteReference w:id="884"/>
      </w:r>
      <w:r w:rsidR="00203F72" w:rsidRPr="00515D85">
        <w:t>。南韓上述作法，相當值得台灣加以學習，台灣亦宜以實證科學統計調查之結果，供作為反人口販運之對策。</w:t>
      </w:r>
    </w:p>
    <w:p w14:paraId="2EF03066" w14:textId="77777777" w:rsidR="00203F72" w:rsidRPr="00515D85" w:rsidRDefault="00CA2C52" w:rsidP="00D87D91">
      <w:r w:rsidRPr="00515D85">
        <w:t xml:space="preserve">　　</w:t>
      </w:r>
      <w:r w:rsidR="00203F72" w:rsidRPr="00515D85">
        <w:t>二十四、教育社會大眾積極正</w:t>
      </w:r>
      <w:r w:rsidR="003E240E">
        <w:t>視</w:t>
      </w:r>
      <w:r w:rsidR="00203F72" w:rsidRPr="00515D85">
        <w:t>人口販運罪行之多樣性，及其本質之殘酷性、暴力性、迫害性及嚴重性</w:t>
      </w:r>
    </w:p>
    <w:p w14:paraId="4F7D74EC" w14:textId="77777777" w:rsidR="00953151" w:rsidRPr="00515D85" w:rsidRDefault="00CA2C52" w:rsidP="00D87D91">
      <w:r w:rsidRPr="00515D85">
        <w:t xml:space="preserve">　　</w:t>
      </w:r>
      <w:r w:rsidR="00203F72" w:rsidRPr="00515D85">
        <w:t>以人文、歷史、東方宗教、倫理學及傳統道德等多重角度之觀點，重新定位及反思人口販運罪行之本質性、嚴重性及巨大危害性：古諺雲</w:t>
      </w:r>
      <w:r w:rsidR="00D92F56" w:rsidRPr="00515D85">
        <w:t>〜</w:t>
      </w:r>
      <w:r w:rsidR="00203F72" w:rsidRPr="00515D85">
        <w:t>「奸近殺」，乃指姦淫一位女性，就如同把她殺了一樣殘酷，亦即傳統東方中國宗教所謂之：「殺人者，殺其一身；淫人者，殺其三世。」因為姦淫一位女性，不僅造成女性當事人終身在心理上之陰影及傷害，同時，亦會令其家人，包括父母、配偶、兄弟、子女，感到羞恥及痛苦不堪，某些人（包含受害人）甚至因為忍受不了這種羞恥，而選擇結束自己之生命。故因姦淫所發生之兇殺案件，或男殺女，或女殺男，或婦殺夫，殺人犯罪手法（手段）均極為殘忍</w:t>
      </w:r>
      <w:r w:rsidR="00203F72" w:rsidRPr="00515D85">
        <w:footnoteReference w:id="885"/>
      </w:r>
      <w:r w:rsidR="00203F72" w:rsidRPr="00515D85">
        <w:t>。上述所謂之「奸近殺」中之姦淫，包括已取得女性本身之同意，其所造成之危害性，尚且如此地嚴重。以當今</w:t>
      </w:r>
      <w:r w:rsidR="00203F72" w:rsidRPr="00515D85">
        <w:t>21</w:t>
      </w:r>
      <w:r w:rsidR="00203F72" w:rsidRPr="00515D85">
        <w:t>世紀，人口販運罪犯所使用之各式各樣之犯罪手法，諸如：強暴、脅迫、恐嚇、拘禁、監控、藥劑、催眠術、詐術、故意隱瞞重要資訊、不當債務約束、扣留重要文件、利用他人不能、不知或難以求助之處境等犯罪手段，常造成人口販運被害女性長期處在被性剝削之中</w:t>
      </w:r>
      <w:r w:rsidR="00203F72" w:rsidRPr="00515D85">
        <w:footnoteReference w:id="886"/>
      </w:r>
      <w:r w:rsidR="00203F72" w:rsidRPr="00515D85">
        <w:t>，更有可能容易造成性剝削之行為，與殺害被害人及其家人之行為，兩者之間產生關連性。在此情形下，實宜正</w:t>
      </w:r>
      <w:r w:rsidR="003E240E">
        <w:t>視</w:t>
      </w:r>
      <w:r w:rsidR="00203F72" w:rsidRPr="00515D85">
        <w:t>人口販運罪行本質之殘酷性、暴力性、迫害性及嚴重性，不宜輕忽人口販運罪行對於被害人及其家人生命及身體，所造成之危險性及風險性。</w:t>
      </w:r>
      <w:r w:rsidR="00203F72" w:rsidRPr="00515D85">
        <w:footnoteReference w:id="887"/>
      </w:r>
    </w:p>
    <w:p w14:paraId="1AFB6099" w14:textId="77777777" w:rsidR="00515D85" w:rsidRDefault="00515D85" w:rsidP="00703176">
      <w:pPr>
        <w:jc w:val="right"/>
        <w:rPr>
          <w:rFonts w:ascii="新細明體" w:hAnsi="新細明體"/>
        </w:rPr>
      </w:pPr>
      <w:r w:rsidRPr="0026266A">
        <w:rPr>
          <w:rFonts w:hint="eastAsia"/>
        </w:rPr>
        <w:t>。。。。。。。。。。。。。。。。。。。。。。。。。</w:t>
      </w:r>
      <w:hyperlink w:anchor="a目次38" w:history="1">
        <w:r>
          <w:rPr>
            <w:rStyle w:val="a5"/>
            <w:sz w:val="18"/>
          </w:rPr>
          <w:t>回目次</w:t>
        </w:r>
      </w:hyperlink>
      <w:r w:rsidR="00E91F89">
        <w:rPr>
          <w:rFonts w:ascii="新細明體" w:hAnsi="新細明體"/>
          <w:color w:val="808000"/>
        </w:rPr>
        <w:t>〉〉</w:t>
      </w:r>
    </w:p>
    <w:p w14:paraId="38B57F69" w14:textId="77777777" w:rsidR="00515D85" w:rsidRDefault="00515D85" w:rsidP="00D87D91"/>
    <w:p w14:paraId="25E5B0F8" w14:textId="77777777" w:rsidR="00203F72" w:rsidRPr="00A53581" w:rsidRDefault="00203F72" w:rsidP="00767F37">
      <w:pPr>
        <w:pStyle w:val="2"/>
      </w:pPr>
      <w:bookmarkStart w:id="111" w:name="_陸、結論與建議"/>
      <w:bookmarkEnd w:id="111"/>
      <w:r w:rsidRPr="00A53581">
        <w:t>陸、結論與建議</w:t>
      </w:r>
    </w:p>
    <w:p w14:paraId="77C2DB0E" w14:textId="77777777" w:rsidR="00953151" w:rsidRPr="00515D85" w:rsidRDefault="00CA2C52" w:rsidP="00D87D91">
      <w:r w:rsidRPr="00515D85">
        <w:t xml:space="preserve">　　</w:t>
      </w:r>
      <w:r w:rsidR="00203F72" w:rsidRPr="00515D85">
        <w:t>全球人口販運犯行之問題，仍是一個相當嚴重之問題，為了有效打擊人口販運犯行，國際社會所採行之最優先之防制對策，仍是強調</w:t>
      </w:r>
      <w:r w:rsidR="00203F72" w:rsidRPr="00515D85">
        <w:t>4P</w:t>
      </w:r>
      <w:r w:rsidR="00D92F56" w:rsidRPr="00515D85">
        <w:t>〜</w:t>
      </w:r>
      <w:r w:rsidR="00203F72" w:rsidRPr="00515D85">
        <w:t>起訴、保護、預防與夥伴關係。然而，近年來，全球在打擊人口販運犯行之際，亦遭受相當大之新阻礙與挑戰，此項新興之障礙，本書將其稱之為</w:t>
      </w:r>
      <w:r w:rsidR="00203F72" w:rsidRPr="00515D85">
        <w:t xml:space="preserve">2C3D1I1R </w:t>
      </w:r>
      <w:r w:rsidR="00D92F56" w:rsidRPr="00515D85">
        <w:t>〜</w:t>
      </w:r>
      <w:r w:rsidR="00203F72" w:rsidRPr="00515D85">
        <w:t>嚴重地誤用人口販運被害人同意權</w:t>
      </w:r>
      <w:r w:rsidR="00203F72" w:rsidRPr="00515D85">
        <w:t>(consent)</w:t>
      </w:r>
      <w:r w:rsidR="00203F72" w:rsidRPr="00515D85">
        <w:t>、人口販運加害人被定罪</w:t>
      </w:r>
      <w:r w:rsidR="00203F72" w:rsidRPr="00515D85">
        <w:t>(convictions)</w:t>
      </w:r>
      <w:r w:rsidR="00203F72" w:rsidRPr="00515D85">
        <w:t>之比率偏低、收容、遣返與令人口販運被害人失能、人口販運被害人被辨識</w:t>
      </w:r>
      <w:r w:rsidR="00203F72" w:rsidRPr="00515D85">
        <w:t>(identification)</w:t>
      </w:r>
      <w:r w:rsidR="00203F72" w:rsidRPr="00515D85">
        <w:t>成功之比率低落、非常不重</w:t>
      </w:r>
      <w:r w:rsidR="003E240E">
        <w:t>視</w:t>
      </w:r>
      <w:r w:rsidR="00203F72" w:rsidRPr="00515D85">
        <w:t>人口販運受刑人之矯正、處遇與治療</w:t>
      </w:r>
      <w:r w:rsidR="00203F72" w:rsidRPr="00515D85">
        <w:t>(Rehabilitation)</w:t>
      </w:r>
      <w:r w:rsidR="00203F72" w:rsidRPr="00515D85">
        <w:t>。未來，涉及防制人口販運之對策方面，宜朝向如何有效地掃除上述</w:t>
      </w:r>
      <w:r w:rsidR="00203F72" w:rsidRPr="00515D85">
        <w:t>2C3D1I1R</w:t>
      </w:r>
      <w:r w:rsidR="00203F72" w:rsidRPr="00515D85">
        <w:t>之各式障礙，並往良善之方向發展。同時，亦宜更深入及精進上述</w:t>
      </w:r>
      <w:r w:rsidR="00203F72" w:rsidRPr="00515D85">
        <w:t>4P</w:t>
      </w:r>
      <w:r w:rsidR="00D92F56" w:rsidRPr="00515D85">
        <w:t>〜</w:t>
      </w:r>
      <w:r w:rsidR="00203F72" w:rsidRPr="00515D85">
        <w:t>起訴、保護、預防與夥伴關係之機制與功能，俾利人口販運被害人之人性尊嚴，獲得更佳之保障與保護。</w:t>
      </w:r>
    </w:p>
    <w:p w14:paraId="095A9470" w14:textId="77777777" w:rsidR="00953151" w:rsidRPr="00515D85" w:rsidRDefault="00CA2C52" w:rsidP="00D87D91">
      <w:r w:rsidRPr="00515D85">
        <w:t xml:space="preserve">　　</w:t>
      </w:r>
      <w:r w:rsidR="00203F72" w:rsidRPr="00515D85">
        <w:t>就台灣所面臨的人口販運的問題而論，除了本書前開所述內容之外，尚包括以下的若干問題</w:t>
      </w:r>
      <w:r w:rsidR="00203F72" w:rsidRPr="00515D85">
        <w:footnoteReference w:id="888"/>
      </w:r>
      <w:r w:rsidR="00203F72" w:rsidRPr="00515D85">
        <w:t>：</w:t>
      </w:r>
      <w:r w:rsidR="00203F72" w:rsidRPr="00515D85">
        <w:t>1.</w:t>
      </w:r>
      <w:r w:rsidR="00203F72" w:rsidRPr="00515D85">
        <w:t>外籍的家庭看護工與外籍家庭幫傭，無法適用「</w:t>
      </w:r>
      <w:hyperlink r:id="rId2242" w:history="1">
        <w:r w:rsidR="005576A4" w:rsidRPr="002F3FE8">
          <w:rPr>
            <w:rStyle w:val="a5"/>
            <w:rFonts w:ascii="Times New Roman" w:eastAsia="新細明體" w:hAnsi="Times New Roman"/>
          </w:rPr>
          <w:t>勞動基準法</w:t>
        </w:r>
      </w:hyperlink>
      <w:r w:rsidR="00203F72" w:rsidRPr="00515D85">
        <w:t>」，這是一個非常嚴重的問題，不符合平等原則；未有加班費被迫無給加班；不受最低工時與基本工資的保障；每日或每週工時，未有設限；未受到休息與休假時間的保障；部分的外籍家庭幫傭，尚未受到就業服務法的保障；整體而言，外籍家庭幫傭的法律處境，相當可憐；</w:t>
      </w:r>
      <w:r w:rsidR="00203F72" w:rsidRPr="00515D85">
        <w:t>2.</w:t>
      </w:r>
      <w:r w:rsidR="00203F72" w:rsidRPr="00515D85">
        <w:t>仲介公司與雇主向外勞超收各式費用；</w:t>
      </w:r>
      <w:r w:rsidR="00203F72" w:rsidRPr="00515D85">
        <w:t>3.</w:t>
      </w:r>
      <w:r w:rsidR="00203F72" w:rsidRPr="00515D85">
        <w:t>行政院勞動部所屬的</w:t>
      </w:r>
      <w:r w:rsidR="00203F72" w:rsidRPr="00515D85">
        <w:t>300</w:t>
      </w:r>
      <w:r w:rsidR="00203F72" w:rsidRPr="00515D85">
        <w:t>餘位「勞動檢查員」，人數偏低，其勞動檢查率亦非常低，此會令雇主可有恃無恐地恣意剝削外勞的勞動力；</w:t>
      </w:r>
      <w:r w:rsidR="00203F72" w:rsidRPr="00515D85">
        <w:t>4.</w:t>
      </w:r>
      <w:r w:rsidR="00203F72" w:rsidRPr="00515D85">
        <w:t>外勞無法「自由地」轉換雇主不符合自由經濟巿場原則；外勞的薪資，應回歸到自由市場，由市場決定價格；</w:t>
      </w:r>
      <w:r w:rsidR="00203F72" w:rsidRPr="00515D85">
        <w:t>5.</w:t>
      </w:r>
      <w:r w:rsidR="00203F72" w:rsidRPr="00515D85">
        <w:t>外籍勞工直接聘僱聯合服務中心</w:t>
      </w:r>
      <w:r w:rsidR="00203F72" w:rsidRPr="00515D85">
        <w:t>(</w:t>
      </w:r>
      <w:r w:rsidR="00203F72" w:rsidRPr="00515D85">
        <w:t>直聘中心</w:t>
      </w:r>
      <w:r w:rsidR="00203F72" w:rsidRPr="00515D85">
        <w:t>)</w:t>
      </w:r>
      <w:r w:rsidR="00203F72" w:rsidRPr="00515D85">
        <w:t>的機制，由於程序過於複雜，成效不佳，未能普及化；</w:t>
      </w:r>
      <w:r w:rsidR="00203F72" w:rsidRPr="00515D85">
        <w:t>6.</w:t>
      </w:r>
      <w:r w:rsidR="00203F72" w:rsidRPr="00515D85">
        <w:t>有些台灣的雇主，缺乏法制觀念，禁止外勞離開住所，嚴重地限制外勞的人身自由，違反憲法</w:t>
      </w:r>
      <w:hyperlink r:id="rId2243" w:anchor="a8" w:history="1">
        <w:r w:rsidR="001F6A1B" w:rsidRPr="001F6A1B">
          <w:rPr>
            <w:rStyle w:val="a5"/>
          </w:rPr>
          <w:t>第8條</w:t>
        </w:r>
      </w:hyperlink>
      <w:r w:rsidR="00203F72" w:rsidRPr="00515D85">
        <w:t>的規定；</w:t>
      </w:r>
      <w:r w:rsidR="00203F72" w:rsidRPr="00515D85">
        <w:t>7.</w:t>
      </w:r>
      <w:r w:rsidR="00203F72" w:rsidRPr="00515D85">
        <w:t>台灣國人至中國大陸與東南亞地區，運用「假結婚」或「不實工作的機會」的非法手法，將女性或女童誘騙來台，並對於上述的婦女或女童恣意地，進行性剝削或勞力剝削；</w:t>
      </w:r>
      <w:r w:rsidR="00203F72" w:rsidRPr="00515D85">
        <w:t>8.</w:t>
      </w:r>
      <w:r w:rsidR="00203F72" w:rsidRPr="00515D85">
        <w:t>若干的台灣女性，受到不實商業或勞動分類廣告的誘騙，而被人口販運的私梟，運送至日本、澳洲、英國與美國，成為當地性剝削的被害人，處境非常悲慘；</w:t>
      </w:r>
      <w:r w:rsidR="00203F72" w:rsidRPr="00515D85">
        <w:t>9</w:t>
      </w:r>
      <w:r w:rsidR="00203F72" w:rsidRPr="00515D85">
        <w:t>、近年來，全球在打擊人口販運犯行之際，亦遭受相當大的新阻礙與挑戰，此項新興的障礙，即為非常不重</w:t>
      </w:r>
      <w:r w:rsidR="003E240E">
        <w:t>視</w:t>
      </w:r>
      <w:r w:rsidR="00203F72" w:rsidRPr="00515D85">
        <w:t>人口販運受刑人的矯正、處遇與治療</w:t>
      </w:r>
      <w:r w:rsidR="00203F72" w:rsidRPr="00515D85">
        <w:t>(Rehabilitation)</w:t>
      </w:r>
      <w:r w:rsidR="00203F72" w:rsidRPr="00515D85">
        <w:t>。</w:t>
      </w:r>
    </w:p>
    <w:p w14:paraId="72FD32F9" w14:textId="77777777" w:rsidR="00203F72" w:rsidRPr="00515D85" w:rsidRDefault="00CA2C52" w:rsidP="00D87D91">
      <w:r w:rsidRPr="00515D85">
        <w:t xml:space="preserve">　　</w:t>
      </w:r>
      <w:r w:rsidR="00203F72" w:rsidRPr="00515D85">
        <w:t>在台灣防制人口販運之建議方面，本書提出以下之建言，供社會大眾參考，如下所述</w:t>
      </w:r>
      <w:r w:rsidR="00203F72" w:rsidRPr="00515D85">
        <w:footnoteReference w:id="889"/>
      </w:r>
      <w:r w:rsidR="00203F72" w:rsidRPr="00515D85">
        <w:t>：</w:t>
      </w:r>
    </w:p>
    <w:p w14:paraId="769973B0" w14:textId="77777777" w:rsidR="00CA2C52" w:rsidRPr="00515D85" w:rsidRDefault="00CA2C52" w:rsidP="00D87D91">
      <w:r w:rsidRPr="00515D85">
        <w:rPr>
          <w:rFonts w:hint="eastAsia"/>
        </w:rPr>
        <w:t xml:space="preserve">　　一、在整體策略（戰略）上，台灣宜繼續精進</w:t>
      </w:r>
      <w:r w:rsidRPr="00515D85">
        <w:rPr>
          <w:rFonts w:hint="eastAsia"/>
        </w:rPr>
        <w:t>4P(</w:t>
      </w:r>
      <w:r w:rsidRPr="00515D85">
        <w:rPr>
          <w:rFonts w:hint="eastAsia"/>
        </w:rPr>
        <w:t>預防：</w:t>
      </w:r>
      <w:r w:rsidRPr="00515D85">
        <w:rPr>
          <w:rFonts w:hint="eastAsia"/>
        </w:rPr>
        <w:t>prevention</w:t>
      </w:r>
      <w:r w:rsidRPr="00515D85">
        <w:rPr>
          <w:rFonts w:hint="eastAsia"/>
        </w:rPr>
        <w:t>；保護：</w:t>
      </w:r>
      <w:r w:rsidRPr="00515D85">
        <w:rPr>
          <w:rFonts w:hint="eastAsia"/>
        </w:rPr>
        <w:t>protection</w:t>
      </w:r>
      <w:r w:rsidRPr="00515D85">
        <w:rPr>
          <w:rFonts w:hint="eastAsia"/>
        </w:rPr>
        <w:t>；起訴：</w:t>
      </w:r>
      <w:r w:rsidRPr="00515D85">
        <w:rPr>
          <w:rFonts w:hint="eastAsia"/>
        </w:rPr>
        <w:t>prosecution</w:t>
      </w:r>
      <w:r w:rsidRPr="00515D85">
        <w:rPr>
          <w:rFonts w:hint="eastAsia"/>
        </w:rPr>
        <w:t>；建立夥伴關係：</w:t>
      </w:r>
      <w:r w:rsidRPr="00515D85">
        <w:rPr>
          <w:rFonts w:hint="eastAsia"/>
        </w:rPr>
        <w:t>partnership)</w:t>
      </w:r>
      <w:r w:rsidRPr="00515D85">
        <w:rPr>
          <w:rFonts w:hint="eastAsia"/>
        </w:rPr>
        <w:t>與積極強力掃除</w:t>
      </w:r>
      <w:r w:rsidRPr="00515D85">
        <w:rPr>
          <w:rFonts w:hint="eastAsia"/>
        </w:rPr>
        <w:t>2C3D1I1R</w:t>
      </w:r>
      <w:r w:rsidRPr="00515D85">
        <w:rPr>
          <w:rFonts w:hint="eastAsia"/>
        </w:rPr>
        <w:t>之障礙；宜重</w:t>
      </w:r>
      <w:r w:rsidR="003E240E">
        <w:rPr>
          <w:rFonts w:hint="eastAsia"/>
        </w:rPr>
        <w:t>視</w:t>
      </w:r>
      <w:r w:rsidRPr="00515D85">
        <w:rPr>
          <w:rFonts w:hint="eastAsia"/>
        </w:rPr>
        <w:t>與精進化對於人口販運受刑人的矯正、處遇與治療</w:t>
      </w:r>
      <w:r w:rsidRPr="00515D85">
        <w:rPr>
          <w:rFonts w:hint="eastAsia"/>
        </w:rPr>
        <w:t>(Rehabilitation)</w:t>
      </w:r>
      <w:r w:rsidRPr="00515D85">
        <w:rPr>
          <w:rFonts w:hint="eastAsia"/>
        </w:rPr>
        <w:t>，令人口販運受刑人出監之後，能順利地重回社會，而非重操舊業</w:t>
      </w:r>
      <w:r w:rsidR="00D92F56" w:rsidRPr="00515D85">
        <w:rPr>
          <w:rFonts w:hint="eastAsia"/>
        </w:rPr>
        <w:t>〜</w:t>
      </w:r>
      <w:r w:rsidRPr="00515D85">
        <w:rPr>
          <w:rFonts w:hint="eastAsia"/>
        </w:rPr>
        <w:t>從事人口販運犯行；</w:t>
      </w:r>
    </w:p>
    <w:p w14:paraId="77F8233E" w14:textId="77777777" w:rsidR="00CA2C52" w:rsidRPr="00515D85" w:rsidRDefault="00CA2C52" w:rsidP="00D87D91">
      <w:r w:rsidRPr="00515D85">
        <w:rPr>
          <w:rFonts w:hint="eastAsia"/>
        </w:rPr>
        <w:t xml:space="preserve">　　二、植基於以防制人口販運之相關法令規範為根本，加強對人口販運罪犯之起訴與定罪；</w:t>
      </w:r>
    </w:p>
    <w:p w14:paraId="056CE88E" w14:textId="77777777" w:rsidR="00CA2C52" w:rsidRPr="00515D85" w:rsidRDefault="00CA2C52" w:rsidP="00D87D91">
      <w:r w:rsidRPr="00515D85">
        <w:rPr>
          <w:rFonts w:hint="eastAsia"/>
        </w:rPr>
        <w:t xml:space="preserve">　　三、積極調查、偵處並起訴涉嫌於遠洋漁船之上，虐待或販運漁工之台灣籍漁船船主；</w:t>
      </w:r>
    </w:p>
    <w:p w14:paraId="3E2239C5" w14:textId="77777777" w:rsidR="00CA2C52" w:rsidRPr="00515D85" w:rsidRDefault="00CA2C52" w:rsidP="00D87D91">
      <w:r w:rsidRPr="00515D85">
        <w:rPr>
          <w:rFonts w:hint="eastAsia"/>
        </w:rPr>
        <w:t xml:space="preserve">　　四、精進我國外勞之聘用與管理機制，並將我國勞動市場之需求，廣作宣傳；</w:t>
      </w:r>
    </w:p>
    <w:p w14:paraId="420F1E85" w14:textId="77777777" w:rsidR="00CA2C52" w:rsidRPr="00515D85" w:rsidRDefault="00CA2C52" w:rsidP="00D87D91">
      <w:r w:rsidRPr="00515D85">
        <w:rPr>
          <w:rFonts w:hint="eastAsia"/>
        </w:rPr>
        <w:t xml:space="preserve">　　五、不宜對於拒絕協助台灣刑事司法機關進行人口販運之偵審工作者，我國即拒絕對於人口販運被害人提供永久居留機制之保護與協助；</w:t>
      </w:r>
    </w:p>
    <w:p w14:paraId="5912B9FE" w14:textId="77777777" w:rsidR="00CA2C52" w:rsidRPr="00515D85" w:rsidRDefault="00CA2C52" w:rsidP="00D87D91">
      <w:r w:rsidRPr="00515D85">
        <w:rPr>
          <w:rFonts w:hint="eastAsia"/>
        </w:rPr>
        <w:t xml:space="preserve">　　六、正</w:t>
      </w:r>
      <w:r w:rsidR="003E240E">
        <w:rPr>
          <w:rFonts w:hint="eastAsia"/>
        </w:rPr>
        <w:t>視</w:t>
      </w:r>
      <w:r w:rsidRPr="00515D85">
        <w:rPr>
          <w:rFonts w:hint="eastAsia"/>
        </w:rPr>
        <w:t>人口販運犯行之嚴重性而適度提升懲治人口販運罪行之處罰額度；</w:t>
      </w:r>
    </w:p>
    <w:p w14:paraId="3E7631C5" w14:textId="77777777" w:rsidR="00CA2C52" w:rsidRPr="00515D85" w:rsidRDefault="00CA2C52" w:rsidP="00D87D91">
      <w:r w:rsidRPr="00515D85">
        <w:rPr>
          <w:rFonts w:hint="eastAsia"/>
        </w:rPr>
        <w:t xml:space="preserve">　　七、修改全台打擊與防治人口販運之行動方案和方針，以符合與掌控當今台灣社會人口販運犯罪之實際發展趨勢；</w:t>
      </w:r>
    </w:p>
    <w:p w14:paraId="57602D01" w14:textId="77777777" w:rsidR="00CA2C52" w:rsidRPr="00515D85" w:rsidRDefault="00CA2C52" w:rsidP="00D87D91">
      <w:r w:rsidRPr="00515D85">
        <w:rPr>
          <w:rFonts w:hint="eastAsia"/>
        </w:rPr>
        <w:t xml:space="preserve">　　八、釐清打擊與防治人口販運各機關之角色功能與其職權範圍，並能充分協調全台打擊人口販運之各項執法作為；</w:t>
      </w:r>
    </w:p>
    <w:p w14:paraId="1FAB626C" w14:textId="77777777" w:rsidR="00CA2C52" w:rsidRPr="00515D85" w:rsidRDefault="00CA2C52" w:rsidP="00D87D91">
      <w:r w:rsidRPr="00515D85">
        <w:rPr>
          <w:rFonts w:hint="eastAsia"/>
        </w:rPr>
        <w:t xml:space="preserve">　　九、強化涉及人口販運情報之蒐集、整合、解析與運用等相關作為；</w:t>
      </w:r>
    </w:p>
    <w:p w14:paraId="0CEB81A9" w14:textId="77777777" w:rsidR="00CA2C52" w:rsidRPr="00515D85" w:rsidRDefault="00CA2C52" w:rsidP="00D87D91">
      <w:r w:rsidRPr="00515D85">
        <w:rPr>
          <w:rFonts w:hint="eastAsia"/>
        </w:rPr>
        <w:t xml:space="preserve">　　十、持續對執法人員、勞動部官員、勞動檢查員、檢察官及法官進行被害人識別措施和相關法律問題之訓練；</w:t>
      </w:r>
    </w:p>
    <w:p w14:paraId="41D9DB41" w14:textId="77777777" w:rsidR="00CA2C52" w:rsidRPr="00515D85" w:rsidRDefault="00CA2C52" w:rsidP="00D87D91">
      <w:r w:rsidRPr="00515D85">
        <w:rPr>
          <w:rFonts w:hint="eastAsia"/>
        </w:rPr>
        <w:t xml:space="preserve">　　十一、應大幅提升人口販運被害人被鑑別成功之比例；</w:t>
      </w:r>
    </w:p>
    <w:p w14:paraId="5DBD228E" w14:textId="77777777" w:rsidR="00CA2C52" w:rsidRPr="00515D85" w:rsidRDefault="00CA2C52" w:rsidP="00D87D91">
      <w:r w:rsidRPr="00515D85">
        <w:rPr>
          <w:rFonts w:hint="eastAsia"/>
        </w:rPr>
        <w:t xml:space="preserve">　　十二、台灣宜大力推展「反性剝削旅遊」及「反兒童性剝削旅遊」運動；</w:t>
      </w:r>
    </w:p>
    <w:p w14:paraId="3BE3888A" w14:textId="77777777" w:rsidR="00CA2C52" w:rsidRPr="00515D85" w:rsidRDefault="00CA2C52" w:rsidP="00D87D91">
      <w:r w:rsidRPr="00515D85">
        <w:rPr>
          <w:rFonts w:hint="eastAsia"/>
        </w:rPr>
        <w:t xml:space="preserve">　　十三、強化與外國執法調查機關之連繫，並積極推展情報之交換；</w:t>
      </w:r>
    </w:p>
    <w:p w14:paraId="22F9DFA4" w14:textId="77777777" w:rsidR="00CA2C52" w:rsidRPr="00515D85" w:rsidRDefault="00CA2C52" w:rsidP="00D87D91">
      <w:r w:rsidRPr="00515D85">
        <w:rPr>
          <w:rFonts w:hint="eastAsia"/>
        </w:rPr>
        <w:t xml:space="preserve">　　十四、強化對於台灣附近水域之監</w:t>
      </w:r>
      <w:r w:rsidR="003E240E">
        <w:rPr>
          <w:rFonts w:hint="eastAsia"/>
        </w:rPr>
        <w:t>視</w:t>
      </w:r>
      <w:r w:rsidRPr="00515D85">
        <w:rPr>
          <w:rFonts w:hint="eastAsia"/>
        </w:rPr>
        <w:t>與執法取締；</w:t>
      </w:r>
    </w:p>
    <w:p w14:paraId="67055152" w14:textId="77777777" w:rsidR="00CA2C52" w:rsidRPr="00515D85" w:rsidRDefault="00CA2C52" w:rsidP="00D87D91">
      <w:r w:rsidRPr="00515D85">
        <w:rPr>
          <w:rFonts w:hint="eastAsia"/>
        </w:rPr>
        <w:t xml:space="preserve">　　十五、台灣宜將針對人口販運被害人</w:t>
      </w:r>
      <w:r w:rsidRPr="00515D85">
        <w:rPr>
          <w:rFonts w:hint="eastAsia"/>
        </w:rPr>
        <w:t>HIV/AIDS</w:t>
      </w:r>
      <w:r w:rsidRPr="00515D85">
        <w:rPr>
          <w:rFonts w:hint="eastAsia"/>
        </w:rPr>
        <w:t>之各項防制服務及作為整合於遣返政策之中；</w:t>
      </w:r>
    </w:p>
    <w:p w14:paraId="520DA036" w14:textId="77777777" w:rsidR="00CA2C52" w:rsidRPr="00515D85" w:rsidRDefault="00CA2C52" w:rsidP="00D87D91">
      <w:r w:rsidRPr="00515D85">
        <w:rPr>
          <w:rFonts w:hint="eastAsia"/>
        </w:rPr>
        <w:t xml:space="preserve">　　十六、台灣宜大力宣導犯罪被害補償金之機制，令更多人口販運之被害人能獲實益；</w:t>
      </w:r>
    </w:p>
    <w:p w14:paraId="6FC82742" w14:textId="77777777" w:rsidR="00CA2C52" w:rsidRPr="00515D85" w:rsidRDefault="00CA2C52" w:rsidP="00D87D91">
      <w:r w:rsidRPr="00515D85">
        <w:rPr>
          <w:rFonts w:hint="eastAsia"/>
        </w:rPr>
        <w:t xml:space="preserve">　　十七、重</w:t>
      </w:r>
      <w:r w:rsidR="003E240E">
        <w:rPr>
          <w:rFonts w:hint="eastAsia"/>
        </w:rPr>
        <w:t>視</w:t>
      </w:r>
      <w:r w:rsidRPr="00515D85">
        <w:rPr>
          <w:rFonts w:hint="eastAsia"/>
        </w:rPr>
        <w:t>人口販運被害人心理之斯德哥爾摩症候群現象，積極鼓勵與宣導人口販運犯罪被害人勇於報案；</w:t>
      </w:r>
    </w:p>
    <w:p w14:paraId="6C97018A" w14:textId="77777777" w:rsidR="00CA2C52" w:rsidRPr="00515D85" w:rsidRDefault="00CA2C52" w:rsidP="00D87D91">
      <w:r w:rsidRPr="00515D85">
        <w:rPr>
          <w:rFonts w:hint="eastAsia"/>
        </w:rPr>
        <w:t xml:space="preserve">　　十八、強調與建構共同打擊人口販運罪行之合作夥伴協力關係，確保打擊與防治人口販運之資訊能有效共用；</w:t>
      </w:r>
    </w:p>
    <w:p w14:paraId="782300FE" w14:textId="77777777" w:rsidR="00CA2C52" w:rsidRPr="00515D85" w:rsidRDefault="00CA2C52" w:rsidP="00D87D91">
      <w:r w:rsidRPr="00515D85">
        <w:rPr>
          <w:rFonts w:hint="eastAsia"/>
        </w:rPr>
        <w:t xml:space="preserve">　　十九、台灣宜從需求面降低人口販運之犯行</w:t>
      </w:r>
      <w:r w:rsidR="00D92F56" w:rsidRPr="00515D85">
        <w:rPr>
          <w:rFonts w:hint="eastAsia"/>
        </w:rPr>
        <w:t>〜</w:t>
      </w:r>
      <w:r w:rsidRPr="00515D85">
        <w:rPr>
          <w:rFonts w:hint="eastAsia"/>
        </w:rPr>
        <w:t>我國對於買春之人宜進行刑事制裁而非採取行政制裁，藉以強力壓制買春行為；</w:t>
      </w:r>
    </w:p>
    <w:p w14:paraId="71EA05D5" w14:textId="77777777" w:rsidR="00CA2C52" w:rsidRPr="00515D85" w:rsidRDefault="00CA2C52" w:rsidP="00D87D91">
      <w:r w:rsidRPr="00515D85">
        <w:rPr>
          <w:rFonts w:hint="eastAsia"/>
        </w:rPr>
        <w:t xml:space="preserve">　　二十、人口販運被害人與雇主之間之契約應屬無效契約；</w:t>
      </w:r>
    </w:p>
    <w:p w14:paraId="39EEBC6F" w14:textId="77777777" w:rsidR="00CA2C52" w:rsidRPr="00515D85" w:rsidRDefault="00CA2C52" w:rsidP="00D87D91">
      <w:r w:rsidRPr="00515D85">
        <w:rPr>
          <w:rFonts w:hint="eastAsia"/>
        </w:rPr>
        <w:t xml:space="preserve">　　二十一、被害人部分違法行為宜加以除罪化；</w:t>
      </w:r>
    </w:p>
    <w:p w14:paraId="16BFB223" w14:textId="77777777" w:rsidR="00CA2C52" w:rsidRPr="00515D85" w:rsidRDefault="00CA2C52" w:rsidP="00D87D91">
      <w:r w:rsidRPr="00515D85">
        <w:rPr>
          <w:rFonts w:hint="eastAsia"/>
        </w:rPr>
        <w:t xml:space="preserve">　　二十二、台灣宜與多國簽訂共同打擊人口販運犯罪之備忘錄；</w:t>
      </w:r>
    </w:p>
    <w:p w14:paraId="5321AAF3" w14:textId="77777777" w:rsidR="00CA2C52" w:rsidRPr="00515D85" w:rsidRDefault="00CA2C52" w:rsidP="00D87D91">
      <w:r w:rsidRPr="00515D85">
        <w:rPr>
          <w:rFonts w:hint="eastAsia"/>
        </w:rPr>
        <w:t xml:space="preserve">　　二十三、以實證科學統計調查結果作為反制人口販運之對策；</w:t>
      </w:r>
    </w:p>
    <w:p w14:paraId="4DA81BFF" w14:textId="77777777" w:rsidR="00953151" w:rsidRPr="00515D85" w:rsidRDefault="00CA2C52" w:rsidP="00D87D91">
      <w:r w:rsidRPr="00515D85">
        <w:rPr>
          <w:rFonts w:hint="eastAsia"/>
        </w:rPr>
        <w:t xml:space="preserve">　　二十四、教育社會大眾積極正</w:t>
      </w:r>
      <w:r w:rsidR="003E240E">
        <w:rPr>
          <w:rFonts w:hint="eastAsia"/>
        </w:rPr>
        <w:t>視</w:t>
      </w:r>
      <w:r w:rsidRPr="00515D85">
        <w:rPr>
          <w:rFonts w:hint="eastAsia"/>
        </w:rPr>
        <w:t>人口販運罪行之多樣性，及其本質之殘酷性、暴力性、迫害性及嚴重性。</w:t>
      </w:r>
    </w:p>
    <w:p w14:paraId="4546D8CF" w14:textId="77777777" w:rsidR="007D52D6" w:rsidRDefault="007D52D6" w:rsidP="00703176">
      <w:pPr>
        <w:jc w:val="right"/>
        <w:rPr>
          <w:rFonts w:ascii="新細明體" w:hAnsi="新細明體"/>
        </w:rPr>
      </w:pPr>
      <w:r w:rsidRPr="0026266A">
        <w:rPr>
          <w:rFonts w:hint="eastAsia"/>
        </w:rPr>
        <w:t>。。。。。。。。。。。。。。。。。。。。。。。。。</w:t>
      </w:r>
      <w:hyperlink w:anchor="a目次39" w:history="1">
        <w:r>
          <w:rPr>
            <w:rStyle w:val="a5"/>
            <w:sz w:val="18"/>
          </w:rPr>
          <w:t>回目次</w:t>
        </w:r>
      </w:hyperlink>
      <w:r w:rsidR="00E91F89">
        <w:rPr>
          <w:rFonts w:ascii="新細明體" w:hAnsi="新細明體"/>
          <w:color w:val="808000"/>
        </w:rPr>
        <w:t>〉〉</w:t>
      </w:r>
    </w:p>
    <w:p w14:paraId="49F84880" w14:textId="77777777" w:rsidR="005A482C" w:rsidRDefault="005A482C" w:rsidP="00D87D91"/>
    <w:p w14:paraId="55024565" w14:textId="77777777" w:rsidR="00203F72" w:rsidRPr="00246583" w:rsidRDefault="00203F72" w:rsidP="00767F37">
      <w:pPr>
        <w:pStyle w:val="2"/>
      </w:pPr>
      <w:bookmarkStart w:id="112" w:name="_第九章_我國憲法明文規範「廢止死刑」必要性之研究"/>
      <w:bookmarkEnd w:id="112"/>
      <w:r w:rsidRPr="00246583">
        <w:t>第九章</w:t>
      </w:r>
      <w:r w:rsidRPr="00246583">
        <w:t xml:space="preserve"> </w:t>
      </w:r>
      <w:r w:rsidRPr="00246583">
        <w:t>我國憲法明文規範「廢止死刑」必要性之研究</w:t>
      </w:r>
    </w:p>
    <w:p w14:paraId="532D06F0" w14:textId="77777777"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9"/>
      </w:tblGrid>
      <w:tr w:rsidR="00203F72" w:rsidRPr="00A53581" w14:paraId="4B07BF5A" w14:textId="77777777" w:rsidTr="00203F72">
        <w:tc>
          <w:tcPr>
            <w:tcW w:w="8049" w:type="dxa"/>
            <w:shd w:val="clear" w:color="auto" w:fill="auto"/>
          </w:tcPr>
          <w:p w14:paraId="016FF777" w14:textId="77777777" w:rsidR="00203F72" w:rsidRPr="00CA2C52" w:rsidRDefault="00203F72" w:rsidP="00D87D91">
            <w:r w:rsidRPr="00CA2C52">
              <w:t>目次</w:t>
            </w:r>
          </w:p>
          <w:p w14:paraId="3F752E47" w14:textId="77777777" w:rsidR="00203F72" w:rsidRPr="00A53581" w:rsidRDefault="00CA2C52" w:rsidP="00D87D91">
            <w:r>
              <w:t xml:space="preserve">　　</w:t>
            </w:r>
            <w:r w:rsidR="00203F72" w:rsidRPr="00A53581">
              <w:t>壹、前言</w:t>
            </w:r>
          </w:p>
          <w:p w14:paraId="0D7D2D6B" w14:textId="77777777" w:rsidR="00203F72" w:rsidRPr="00A53581" w:rsidRDefault="00CA2C52" w:rsidP="00D87D91">
            <w:r>
              <w:t xml:space="preserve">　　</w:t>
            </w:r>
            <w:r w:rsidR="00203F72" w:rsidRPr="00A53581">
              <w:t>貳、民主先進國家針對廢止死刑的立憲體例</w:t>
            </w:r>
          </w:p>
          <w:p w14:paraId="164415B9" w14:textId="77777777" w:rsidR="00203F72" w:rsidRPr="00A53581" w:rsidRDefault="00CA2C52" w:rsidP="00D87D91">
            <w:r>
              <w:t xml:space="preserve">　　</w:t>
            </w:r>
            <w:r w:rsidR="00203F72" w:rsidRPr="00A53581">
              <w:t>參、「廢死」業已成為國際社會非常主流之人權運動，</w:t>
            </w:r>
          </w:p>
          <w:p w14:paraId="4D02285B" w14:textId="77777777" w:rsidR="00203F72" w:rsidRPr="00A53581" w:rsidRDefault="00CA2C52" w:rsidP="00D87D91">
            <w:r>
              <w:t xml:space="preserve">　　</w:t>
            </w:r>
            <w:r w:rsidR="00203F72" w:rsidRPr="00A53581">
              <w:t>肆、執行死刑機制會積極地促發各類型犯罪</w:t>
            </w:r>
            <w:r w:rsidR="00D92F56">
              <w:t>〜</w:t>
            </w:r>
            <w:r w:rsidR="00203F72" w:rsidRPr="00A53581">
              <w:t>「死刑無用理論」</w:t>
            </w:r>
          </w:p>
          <w:p w14:paraId="66D31634" w14:textId="77777777" w:rsidR="00203F72" w:rsidRPr="00A53581" w:rsidRDefault="00CA2C52" w:rsidP="00D87D91">
            <w:r>
              <w:t xml:space="preserve">　　</w:t>
            </w:r>
            <w:r w:rsidR="00203F72" w:rsidRPr="00A53581">
              <w:t>伍、結論</w:t>
            </w:r>
          </w:p>
        </w:tc>
      </w:tr>
    </w:tbl>
    <w:p w14:paraId="0344C035" w14:textId="77777777" w:rsidR="007D52D6" w:rsidRDefault="007D52D6" w:rsidP="00703176">
      <w:pPr>
        <w:jc w:val="right"/>
        <w:rPr>
          <w:rFonts w:ascii="新細明體" w:hAnsi="新細明體"/>
        </w:rPr>
      </w:pPr>
      <w:r w:rsidRPr="0026266A">
        <w:rPr>
          <w:rFonts w:hint="eastAsia"/>
        </w:rPr>
        <w:t>。。。。。。。。。。。。。。。。。。。。。。。。。</w:t>
      </w:r>
      <w:hyperlink w:anchor="a目次39" w:history="1">
        <w:r>
          <w:rPr>
            <w:rStyle w:val="a5"/>
            <w:sz w:val="18"/>
          </w:rPr>
          <w:t>回目次</w:t>
        </w:r>
      </w:hyperlink>
      <w:r w:rsidR="00E91F89">
        <w:rPr>
          <w:rFonts w:ascii="新細明體" w:hAnsi="新細明體"/>
          <w:color w:val="808000"/>
        </w:rPr>
        <w:t>〉〉</w:t>
      </w:r>
    </w:p>
    <w:p w14:paraId="7F8E62EE" w14:textId="77777777" w:rsidR="00203F72" w:rsidRPr="00A53581" w:rsidRDefault="00203F72" w:rsidP="00D87D91"/>
    <w:p w14:paraId="14762EB7" w14:textId="77777777" w:rsidR="00953151" w:rsidRDefault="00203F72" w:rsidP="00767F37">
      <w:pPr>
        <w:pStyle w:val="2"/>
      </w:pPr>
      <w:bookmarkStart w:id="113" w:name="_壹、前言_5"/>
      <w:bookmarkEnd w:id="113"/>
      <w:r w:rsidRPr="00A53581">
        <w:t>壹、前言</w:t>
      </w:r>
    </w:p>
    <w:p w14:paraId="14EADC67" w14:textId="77777777" w:rsidR="00953151" w:rsidRPr="00515D85" w:rsidRDefault="00CA2C52" w:rsidP="00D87D91">
      <w:r w:rsidRPr="00515D85">
        <w:t xml:space="preserve">　　</w:t>
      </w:r>
      <w:r w:rsidR="00203F72" w:rsidRPr="00515D85">
        <w:t>「死刑」</w:t>
      </w:r>
      <w:r w:rsidR="00203F72" w:rsidRPr="00515D85">
        <w:t>(capital punishment)</w:t>
      </w:r>
      <w:r w:rsidR="00203F72" w:rsidRPr="00515D85">
        <w:t>雖由國家名義執行之，但，事實上，「死刑」之刑罰，須經過國會多數立委之支持；故，假若死刑仍存在，表示台灣仍然同意「集體殺人權利」之存在。茲舉一實例說明之，某甲殺人，某乙看見某甲殺人，某乙非常質疑，為何甲可以殺人？而我本人卻不可以殺人？某乙一直心生不滿？同樣是人類，某甲是人，而我亦是人，在不斷質疑某甲之殺人權之後，某乙不願再受到傳統上，不可殺人之約束。某乙覺得此種之約束，已限制其殺人之自由權之行使，某乙遂主張其亦應享有「殺人權」；某乙之論點如下：「殺人」之權利，是固有之人權，是與生俱來的；「殺人」，它是屬於一種「權利」。既然某甲可「殺人」，則某乙亦應可主張其有「殺人」之權利，此項殺人權，不應被限制。</w:t>
      </w:r>
    </w:p>
    <w:p w14:paraId="11161E8F" w14:textId="77777777" w:rsidR="00953151" w:rsidRPr="00515D85" w:rsidRDefault="00CA2C52" w:rsidP="00D87D91">
      <w:r w:rsidRPr="00515D85">
        <w:t xml:space="preserve">　　</w:t>
      </w:r>
      <w:r w:rsidR="00203F72" w:rsidRPr="00515D85">
        <w:t>在上述某乙之論點中，存在以下之盲點：</w:t>
      </w:r>
      <w:r w:rsidR="00203F72" w:rsidRPr="00515D85">
        <w:t>1.</w:t>
      </w:r>
      <w:r w:rsidR="00203F72" w:rsidRPr="00515D85">
        <w:t>為何某甲殺人，某乙即可主張其亦有「殺人權」？</w:t>
      </w:r>
      <w:r w:rsidR="00203F72" w:rsidRPr="00515D85">
        <w:t>2.</w:t>
      </w:r>
      <w:r w:rsidR="00203F72" w:rsidRPr="00515D85">
        <w:t>「殺人」是一種罪惡，其非「權利」；</w:t>
      </w:r>
      <w:r w:rsidR="00203F72" w:rsidRPr="00515D85">
        <w:t>3.</w:t>
      </w:r>
      <w:r w:rsidR="00203F72" w:rsidRPr="00515D85">
        <w:t>某甲殺人之行為，是一種「自然惡」，其非「行使權利」，它並非固有之人權；</w:t>
      </w:r>
      <w:r w:rsidR="00203F72" w:rsidRPr="00515D85">
        <w:t>4.</w:t>
      </w:r>
      <w:r w:rsidR="00203F72" w:rsidRPr="00515D85">
        <w:t>在國際人權法典之中，所規範之各項權利，並無「殺人權」。是以，根據上述之論理，某乙不得主張其有「殺人權」。換言之，某乙不可因某甲殺人之事實與行為，而主張其亦可以殺人。</w:t>
      </w:r>
    </w:p>
    <w:p w14:paraId="189EFDD6" w14:textId="77777777" w:rsidR="00953151" w:rsidRPr="00515D85" w:rsidRDefault="00CA2C52" w:rsidP="00D87D91">
      <w:r w:rsidRPr="00515D85">
        <w:t xml:space="preserve">　　</w:t>
      </w:r>
      <w:r w:rsidR="00203F72" w:rsidRPr="00515D85">
        <w:t>假若，個人不得主張擁有個別之「殺人權」；放大而言，整個台灣社會，是否擁有「集體（性）殺人權利」</w:t>
      </w:r>
      <w:r w:rsidR="00203F72" w:rsidRPr="00515D85">
        <w:t>(</w:t>
      </w:r>
      <w:r w:rsidR="00203F72" w:rsidRPr="00515D85">
        <w:t>乃指以國家之名義，經由立法院之同意，仍維持死刑，由國家執行死刑之權</w:t>
      </w:r>
      <w:r w:rsidR="00203F72" w:rsidRPr="00515D85">
        <w:t>)</w:t>
      </w:r>
      <w:r w:rsidR="00203F72" w:rsidRPr="00515D85">
        <w:t>，或可簡稱為「集體殺人權」</w:t>
      </w:r>
      <w:r w:rsidR="00203F72" w:rsidRPr="00515D85">
        <w:t>)</w:t>
      </w:r>
      <w:r w:rsidR="00203F72" w:rsidRPr="00515D85">
        <w:t>？死刑係</w:t>
      </w:r>
      <w:hyperlink r:id="rId2244" w:history="1">
        <w:r w:rsidR="006B7176" w:rsidRPr="006B7176">
          <w:rPr>
            <w:rStyle w:val="a5"/>
            <w:rFonts w:eastAsia="新細明體"/>
            <w:kern w:val="0"/>
          </w:rPr>
          <w:t>刑法</w:t>
        </w:r>
      </w:hyperlink>
      <w:r w:rsidR="00203F72" w:rsidRPr="00515D85">
        <w:t>之刑罰樣態之一，且係由多數立委同意；此種之意涵，即表示台灣尚存有「集體殺人權」。所謂之「集體殺人權」，乃指對於凶殘無比之殺人犯，因個別之巿民或被害人之家屬，並無法主張個別之「殺人權」；為瞭解決此種之困境，轉而以國家刑罰之名義執行之。然而，死刑之刑罰，仍須得到立法院之多數決同意後，始能施行。在民主國家中，國會代表「民意」。是以，由國會所通過之死刑刑罰，其背後須有廣大民意之基礎。</w:t>
      </w:r>
    </w:p>
    <w:p w14:paraId="267CC2D3" w14:textId="77777777" w:rsidR="00953151" w:rsidRPr="00515D85" w:rsidRDefault="00CA2C52" w:rsidP="00D87D91">
      <w:r w:rsidRPr="00515D85">
        <w:t xml:space="preserve">　　</w:t>
      </w:r>
      <w:r w:rsidR="00203F72" w:rsidRPr="00515D85">
        <w:t>然而，「集體殺人權」之概念，存有以下之問題、盲點與爭議點：</w:t>
      </w:r>
      <w:r w:rsidR="00203F72" w:rsidRPr="00515D85">
        <w:t>1.</w:t>
      </w:r>
      <w:r w:rsidR="00203F72" w:rsidRPr="00515D85">
        <w:t>「個別巿民化之殺人權」與「集體殺人權」之差異性何在？集體之民眾，亦是由單數之公民集合而成；假若個別之公民，既然無法主張擁有「殺人權」，為何由個別個人所組成之「集體」，會擁有「殺人權」？</w:t>
      </w:r>
      <w:r w:rsidR="00203F72" w:rsidRPr="00515D85">
        <w:t>2.</w:t>
      </w:r>
      <w:r w:rsidR="00203F72" w:rsidRPr="00515D85">
        <w:t>「殺人」是一種自然惡，並非一項「權利」；故，由多數個人所組成之「集體」，包括國會即無法主張享有「集體殺人權」；</w:t>
      </w:r>
      <w:r w:rsidR="00203F72" w:rsidRPr="00515D85">
        <w:t>3.</w:t>
      </w:r>
      <w:r w:rsidR="00203F72" w:rsidRPr="00515D85">
        <w:t>國家是否可主張擁有執行死刑之權利（殺人權）？此頗具有爭議性；假若某甲殺人，國家（中華民國）遂主張：為何某甲可殺人？既然某甲可殺人，則台灣社會亦可主張：國家亦可殺人，國家亦擁有殺人權；上述以國家之名義，主張國家擁有殺人權之論理缺失，在於國者人之積也，</w:t>
      </w:r>
      <w:r w:rsidR="00203F72" w:rsidRPr="00515D85">
        <w:t>2</w:t>
      </w:r>
      <w:r w:rsidR="00203F72" w:rsidRPr="00515D85">
        <w:t>仟</w:t>
      </w:r>
      <w:r w:rsidR="00203F72" w:rsidRPr="00515D85">
        <w:t>3</w:t>
      </w:r>
      <w:r w:rsidR="00203F72" w:rsidRPr="00515D85">
        <w:t>佰多萬之人口數，亦是單一人口不斷累積而成；既然單一之個人，無法主張有「殺人權」，則國家亦不得主張「殺人權」。</w:t>
      </w:r>
    </w:p>
    <w:p w14:paraId="1B4AE874" w14:textId="77777777" w:rsidR="00953151" w:rsidRDefault="00CA2C52" w:rsidP="00D87D91">
      <w:r w:rsidRPr="00515D85">
        <w:t xml:space="preserve">　　</w:t>
      </w:r>
      <w:r w:rsidR="00203F72" w:rsidRPr="00515D85">
        <w:t>基於以上之論述，本書認為，「殺人」是一種自然之惡行（自然惡），它並非屬於一種權利；假若某甲殺人，此時，並無任何之人，有權利主張：「殺人」是一種天賦人權，是屬於固有的人權，或屬於源生性之人權，因而殺人；進一步推廣而言，假若單獨之個人，無所謂之「殺人權」；則由個人所累積而成之「社會」或「國家」，均不存在有所謂之「集體殺人權」。既然不存在上述所謂之「集體殺人權」，則國家亦不得透由刑罰之機制，對於殺人犯執行死刑，台灣尚未「廢死」恐有嚴重之缺失。</w:t>
      </w:r>
    </w:p>
    <w:p w14:paraId="23C46EC7" w14:textId="77777777" w:rsidR="007D52D6" w:rsidRDefault="007D52D6" w:rsidP="00703176">
      <w:pPr>
        <w:jc w:val="right"/>
        <w:rPr>
          <w:rFonts w:ascii="新細明體" w:hAnsi="新細明體"/>
        </w:rPr>
      </w:pPr>
      <w:r w:rsidRPr="0026266A">
        <w:rPr>
          <w:rFonts w:hint="eastAsia"/>
        </w:rPr>
        <w:t>。。。。。。。。。。。。。。。。。。。。。。。。。</w:t>
      </w:r>
      <w:hyperlink w:anchor="a目次39" w:history="1">
        <w:r>
          <w:rPr>
            <w:rStyle w:val="a5"/>
            <w:sz w:val="18"/>
          </w:rPr>
          <w:t>回目次</w:t>
        </w:r>
      </w:hyperlink>
      <w:r w:rsidR="00E91F89">
        <w:rPr>
          <w:rFonts w:ascii="新細明體" w:hAnsi="新細明體"/>
          <w:color w:val="808000"/>
        </w:rPr>
        <w:t>〉〉</w:t>
      </w:r>
    </w:p>
    <w:p w14:paraId="41DA8A74" w14:textId="77777777" w:rsidR="007D52D6" w:rsidRPr="00515D85" w:rsidRDefault="007D52D6" w:rsidP="00D87D91"/>
    <w:p w14:paraId="77FE6CE3" w14:textId="77777777" w:rsidR="00953151" w:rsidRDefault="00203F72" w:rsidP="00767F37">
      <w:pPr>
        <w:pStyle w:val="2"/>
      </w:pPr>
      <w:bookmarkStart w:id="114" w:name="_貳、民主先進國家針對廢止死刑的立憲體例"/>
      <w:bookmarkEnd w:id="114"/>
      <w:r w:rsidRPr="00A53581">
        <w:t>貳、民主先進國家針對廢止死刑的立憲體例</w:t>
      </w:r>
    </w:p>
    <w:p w14:paraId="76A43E1E" w14:textId="77777777" w:rsidR="00203F72" w:rsidRPr="00515D85" w:rsidRDefault="00CA2C52" w:rsidP="00D87D91">
      <w:r w:rsidRPr="00515D85">
        <w:t xml:space="preserve">　　</w:t>
      </w:r>
      <w:r w:rsidR="00203F72" w:rsidRPr="00515D85">
        <w:t>根據德國基本法第</w:t>
      </w:r>
      <w:r w:rsidR="00203F72" w:rsidRPr="00515D85">
        <w:t>102</w:t>
      </w:r>
      <w:r w:rsidR="00203F72" w:rsidRPr="00515D85">
        <w:t>條之規定，德國已明文規範「廢止死刑」</w:t>
      </w:r>
      <w:r w:rsidR="00203F72" w:rsidRPr="00515D85">
        <w:t xml:space="preserve">(Capital punishment is abolished) </w:t>
      </w:r>
      <w:r w:rsidR="00203F72" w:rsidRPr="00515D85">
        <w:footnoteReference w:id="890"/>
      </w:r>
      <w:r w:rsidR="00203F72" w:rsidRPr="00515D85">
        <w:t>。此外，就瑞典憲法而論，依據瑞典憲法第</w:t>
      </w:r>
      <w:r w:rsidR="00203F72" w:rsidRPr="00515D85">
        <w:t>2</w:t>
      </w:r>
      <w:r w:rsidR="00203F72" w:rsidRPr="00515D85">
        <w:t>章第</w:t>
      </w:r>
      <w:r w:rsidR="00203F72" w:rsidRPr="00515D85">
        <w:t>4</w:t>
      </w:r>
      <w:r w:rsidR="00203F72" w:rsidRPr="00515D85">
        <w:t>條</w:t>
      </w:r>
      <w:r w:rsidR="00203F72" w:rsidRPr="00515D85">
        <w:footnoteReference w:id="891"/>
      </w:r>
      <w:r w:rsidR="00203F72" w:rsidRPr="00515D85">
        <w:t>之規定，瑞典亦已明文規範「廢止死刑」</w:t>
      </w:r>
      <w:r w:rsidR="00203F72" w:rsidRPr="00515D85">
        <w:t>(There shall be no capital punishment)</w:t>
      </w:r>
      <w:r w:rsidR="00203F72" w:rsidRPr="00515D85">
        <w:t>。在法國部分，法國憲法第</w:t>
      </w:r>
      <w:r w:rsidR="00203F72" w:rsidRPr="00515D85">
        <w:t>66-1</w:t>
      </w:r>
      <w:r w:rsidR="00203F72" w:rsidRPr="00515D85">
        <w:t>條</w:t>
      </w:r>
      <w:r w:rsidR="00203F72" w:rsidRPr="00515D85">
        <w:footnoteReference w:id="892"/>
      </w:r>
      <w:r w:rsidR="00203F72" w:rsidRPr="00515D85">
        <w:t>業已明文「廢止死刑」</w:t>
      </w:r>
      <w:r w:rsidR="00203F72" w:rsidRPr="00515D85">
        <w:t>(No one shall be sentenced to death)</w:t>
      </w:r>
      <w:r w:rsidR="00203F72" w:rsidRPr="00515D85">
        <w:t>。在荷蘭方面，依據荷蘭憲法</w:t>
      </w:r>
      <w:r w:rsidR="00203F72" w:rsidRPr="00515D85">
        <w:t>(The Constitution of the Kingdom of the Netherlands 2002)</w:t>
      </w:r>
      <w:r w:rsidR="00203F72" w:rsidRPr="00515D85">
        <w:t>第</w:t>
      </w:r>
      <w:r w:rsidR="00203F72" w:rsidRPr="00515D85">
        <w:t>114</w:t>
      </w:r>
      <w:r w:rsidR="00203F72" w:rsidRPr="00515D85">
        <w:t>條之規定</w:t>
      </w:r>
      <w:r w:rsidR="00203F72" w:rsidRPr="00515D85">
        <w:footnoteReference w:id="893"/>
      </w:r>
      <w:r w:rsidR="00203F72" w:rsidRPr="00515D85">
        <w:t>，荷蘭業已明文「廢止死刑」</w:t>
      </w:r>
      <w:r w:rsidR="00203F72" w:rsidRPr="00515D85">
        <w:t>(Capital punishment may not be imposed)</w:t>
      </w:r>
      <w:r w:rsidR="00203F72" w:rsidRPr="00515D85">
        <w:t>。</w:t>
      </w:r>
    </w:p>
    <w:p w14:paraId="15EFF645" w14:textId="77777777" w:rsidR="00953151" w:rsidRDefault="00CA2C52" w:rsidP="00D87D91">
      <w:r w:rsidRPr="00515D85">
        <w:t xml:space="preserve">　　</w:t>
      </w:r>
      <w:r w:rsidR="00203F72" w:rsidRPr="00515D85">
        <w:t>在歐洲奧地利方面，根據奧地利憲法</w:t>
      </w:r>
      <w:r w:rsidR="00203F72" w:rsidRPr="00306E89">
        <w:t>第</w:t>
      </w:r>
      <w:r w:rsidR="00203F72" w:rsidRPr="00306E89">
        <w:t>85</w:t>
      </w:r>
      <w:r w:rsidR="00203F72" w:rsidRPr="00306E89">
        <w:t>條</w:t>
      </w:r>
      <w:r w:rsidR="00203F72" w:rsidRPr="00515D85">
        <w:t>之規定</w:t>
      </w:r>
      <w:r w:rsidR="00203F72" w:rsidRPr="00515D85">
        <w:footnoteReference w:id="894"/>
      </w:r>
      <w:r w:rsidR="00203F72" w:rsidRPr="00515D85">
        <w:t>，奧地利已明文「廢止死刑」</w:t>
      </w:r>
      <w:r w:rsidR="00203F72" w:rsidRPr="00515D85">
        <w:t>(Capital punishment is abolished)</w:t>
      </w:r>
      <w:r w:rsidR="00203F72" w:rsidRPr="00515D85">
        <w:t>。另外，就瑞士而論，根據瑞士憲法</w:t>
      </w:r>
      <w:r w:rsidR="00203F72" w:rsidRPr="00515D85">
        <w:t>(Switzerland Constitution)</w:t>
      </w:r>
      <w:r w:rsidR="00203F72" w:rsidRPr="00515D85">
        <w:t>第</w:t>
      </w:r>
      <w:r w:rsidR="00203F72" w:rsidRPr="00515D85">
        <w:t>10</w:t>
      </w:r>
      <w:r w:rsidR="00203F72" w:rsidRPr="00515D85">
        <w:t>條第</w:t>
      </w:r>
      <w:r w:rsidR="00203F72" w:rsidRPr="00515D85">
        <w:t>1</w:t>
      </w:r>
      <w:r w:rsidR="00203F72" w:rsidRPr="00515D85">
        <w:t>款之規定</w:t>
      </w:r>
      <w:r w:rsidR="00203F72" w:rsidRPr="00515D85">
        <w:footnoteReference w:id="895"/>
      </w:r>
      <w:r w:rsidR="00203F72" w:rsidRPr="00515D85">
        <w:t>，瑞士已明文「廢止死刑」。依據瑞士憲法第</w:t>
      </w:r>
      <w:r w:rsidR="00203F72" w:rsidRPr="00515D85">
        <w:t>10</w:t>
      </w:r>
      <w:r w:rsidR="00203F72" w:rsidRPr="00515D85">
        <w:t>條第</w:t>
      </w:r>
      <w:r w:rsidR="00203F72" w:rsidRPr="00515D85">
        <w:t>1</w:t>
      </w:r>
      <w:r w:rsidR="00203F72" w:rsidRPr="00515D85">
        <w:t>款之立憲要求，「在瑞士，任何人均擁有生命權，死刑應被禁止之」</w:t>
      </w:r>
      <w:r w:rsidR="00203F72" w:rsidRPr="00515D85">
        <w:t>(Every person has the right to life.The death penalty is prohibited)</w:t>
      </w:r>
      <w:r w:rsidR="00203F72" w:rsidRPr="00515D85">
        <w:t>。在瑞士，殺人犯之生命權</w:t>
      </w:r>
      <w:r w:rsidR="00203F72" w:rsidRPr="00515D85">
        <w:t>(the right to life)</w:t>
      </w:r>
      <w:r w:rsidR="00203F72" w:rsidRPr="00515D85">
        <w:t>，亦受到瑞士憲法第</w:t>
      </w:r>
      <w:r w:rsidR="00203F72" w:rsidRPr="00515D85">
        <w:t>10</w:t>
      </w:r>
      <w:r w:rsidR="00203F72" w:rsidRPr="00515D85">
        <w:t>條第</w:t>
      </w:r>
      <w:r w:rsidR="00203F72" w:rsidRPr="00515D85">
        <w:t>1</w:t>
      </w:r>
      <w:r w:rsidR="00203F72" w:rsidRPr="00515D85">
        <w:t>款之保障，任何人均不得剝奪殺人犯之生命權。</w:t>
      </w:r>
    </w:p>
    <w:p w14:paraId="31C761CD" w14:textId="77777777" w:rsidR="007D52D6" w:rsidRDefault="007D52D6" w:rsidP="00703176">
      <w:pPr>
        <w:jc w:val="right"/>
        <w:rPr>
          <w:rFonts w:ascii="新細明體" w:hAnsi="新細明體"/>
        </w:rPr>
      </w:pPr>
      <w:r w:rsidRPr="0026266A">
        <w:rPr>
          <w:rFonts w:hint="eastAsia"/>
        </w:rPr>
        <w:t>。。。。。。。。。。。。。。。。。。。。。。。。。</w:t>
      </w:r>
      <w:hyperlink w:anchor="a目次39" w:history="1">
        <w:r>
          <w:rPr>
            <w:rStyle w:val="a5"/>
            <w:sz w:val="18"/>
          </w:rPr>
          <w:t>回目次</w:t>
        </w:r>
      </w:hyperlink>
      <w:r w:rsidR="00E91F89">
        <w:rPr>
          <w:rFonts w:ascii="新細明體" w:hAnsi="新細明體"/>
          <w:color w:val="808000"/>
        </w:rPr>
        <w:t>〉〉</w:t>
      </w:r>
    </w:p>
    <w:p w14:paraId="48FFB9CF" w14:textId="77777777" w:rsidR="007D52D6" w:rsidRPr="00515D85" w:rsidRDefault="007D52D6" w:rsidP="00D87D91"/>
    <w:p w14:paraId="158806DB" w14:textId="77777777" w:rsidR="00953151" w:rsidRDefault="00203F72" w:rsidP="00767F37">
      <w:pPr>
        <w:pStyle w:val="2"/>
      </w:pPr>
      <w:bookmarkStart w:id="115" w:name="_參、「廢死」業已成為國際社會非常主流之人權運動"/>
      <w:bookmarkEnd w:id="115"/>
      <w:r w:rsidRPr="00A53581">
        <w:t>參、「廢死」業已成為國際社會非常主流之人權運動</w:t>
      </w:r>
      <w:r w:rsidRPr="00A53581">
        <w:t xml:space="preserve"> </w:t>
      </w:r>
    </w:p>
    <w:p w14:paraId="1E7BAC12" w14:textId="77777777" w:rsidR="00953151" w:rsidRPr="00515D85" w:rsidRDefault="00CA2C52" w:rsidP="00D87D91">
      <w:r w:rsidRPr="00515D85">
        <w:t xml:space="preserve">　　</w:t>
      </w:r>
      <w:r w:rsidR="00203F72" w:rsidRPr="00515D85">
        <w:t>在國際社會上，廢死業已成為主流之人權運動，此種人權運動，愈來愈普及化；茲以「國際刑事法院羅馬規約」（被簡稱為羅馬規約）為例，該公約於</w:t>
      </w:r>
      <w:r w:rsidR="00203F72" w:rsidRPr="00515D85">
        <w:t>1998</w:t>
      </w:r>
      <w:r w:rsidR="00203F72" w:rsidRPr="00515D85">
        <w:t>年通過，於</w:t>
      </w:r>
      <w:r w:rsidR="00203F72" w:rsidRPr="00515D85">
        <w:t>2002</w:t>
      </w:r>
      <w:r w:rsidR="00203F72" w:rsidRPr="00515D85">
        <w:t>年生效。在羅馬規約第</w:t>
      </w:r>
      <w:r w:rsidR="00203F72" w:rsidRPr="00515D85">
        <w:t>77</w:t>
      </w:r>
      <w:r w:rsidR="00203F72" w:rsidRPr="00515D85">
        <w:t>條刑罰種類方面，並無死刑之選項，最重之刑罰，係為無期徒刑。故，在國際社會上，對於極端凶殘之戰爭罪、侵略罪、滅絕種族罪或危害人類罪之罪犯，國際刑事法院不得對其判處死刑，對上述之罪犯，最重之刑罰，係為無期徒刑。</w:t>
      </w:r>
    </w:p>
    <w:p w14:paraId="0984DDF9" w14:textId="77777777" w:rsidR="00953151" w:rsidRPr="00515D85" w:rsidRDefault="00CA2C52" w:rsidP="00D87D91">
      <w:r w:rsidRPr="00515D85">
        <w:t xml:space="preserve">　　</w:t>
      </w:r>
      <w:r w:rsidR="00203F72" w:rsidRPr="00515D85">
        <w:t>是以，在羅馬規約之制裁體系中，已廢除死刑。既然，國際社會對於犯下非常殘酷罪行之刑事罪犯，已廢止死刑，台灣對於刑事案件殺人犯，如繼續保留死刑，很明顯地，已非國際社會主流之作法。從羅馬規約廢死之精神，可令吾人體會以下之事實：即使是觸犯羅馬規約第</w:t>
      </w:r>
      <w:r w:rsidR="00203F72" w:rsidRPr="00515D85">
        <w:t>5</w:t>
      </w:r>
      <w:r w:rsidR="00203F72" w:rsidRPr="00515D85">
        <w:t>條之滅絕種族罪、危害人類罪、戰爭罪或侵略罪之罪犯，該罪犯亦擁有生存權與生命權。</w:t>
      </w:r>
    </w:p>
    <w:p w14:paraId="49444C1C" w14:textId="77777777" w:rsidR="00203F72" w:rsidRPr="00515D85" w:rsidRDefault="00CA2C52" w:rsidP="00D87D91">
      <w:r w:rsidRPr="00515D85">
        <w:t xml:space="preserve">　　</w:t>
      </w:r>
      <w:r w:rsidR="00203F72" w:rsidRPr="00515D85">
        <w:t>就滅絕種族罪而論，依羅馬規約第</w:t>
      </w:r>
      <w:r w:rsidR="00203F72" w:rsidRPr="00515D85">
        <w:t>6</w:t>
      </w:r>
      <w:r w:rsidR="00203F72" w:rsidRPr="00515D85">
        <w:t>條</w:t>
      </w:r>
      <w:r w:rsidR="00203F72" w:rsidRPr="00515D85">
        <w:t>(</w:t>
      </w:r>
      <w:r w:rsidR="00203F72" w:rsidRPr="00515D85">
        <w:t>滅絕種族罪</w:t>
      </w:r>
      <w:r w:rsidR="00203F72" w:rsidRPr="00515D85">
        <w:t>)</w:t>
      </w:r>
      <w:r w:rsidR="00203F72" w:rsidRPr="00515D85">
        <w:t>之規定，為了本規約的目的</w:t>
      </w:r>
      <w:r w:rsidR="00203F72" w:rsidRPr="00515D85">
        <w:t>,“</w:t>
      </w:r>
      <w:r w:rsidR="00203F72" w:rsidRPr="00515D85">
        <w:t>滅絕種族罪</w:t>
      </w:r>
      <w:r w:rsidR="00203F72" w:rsidRPr="00515D85">
        <w:t>”</w:t>
      </w:r>
      <w:r w:rsidR="00203F72" w:rsidRPr="00515D85">
        <w:t>是指蓄意全部或局部消滅某一民族、族裔、種族或宗教團體而實施的下列任何一種行為：</w:t>
      </w:r>
    </w:p>
    <w:p w14:paraId="5C289FEB" w14:textId="77777777" w:rsidR="00203F72" w:rsidRPr="00515D85" w:rsidRDefault="00CA2C52" w:rsidP="00D87D91">
      <w:r w:rsidRPr="00515D85">
        <w:t xml:space="preserve">　　</w:t>
      </w:r>
      <w:r w:rsidR="00203F72" w:rsidRPr="00515D85">
        <w:t xml:space="preserve">1. </w:t>
      </w:r>
      <w:r w:rsidR="00203F72" w:rsidRPr="00515D85">
        <w:t>殺害該團體的成員</w:t>
      </w:r>
      <w:r w:rsidR="00203F72" w:rsidRPr="00515D85">
        <w:t>;</w:t>
      </w:r>
    </w:p>
    <w:p w14:paraId="1D8BDABB" w14:textId="77777777" w:rsidR="00203F72" w:rsidRPr="00515D85" w:rsidRDefault="00CA2C52" w:rsidP="00D87D91">
      <w:r w:rsidRPr="00515D85">
        <w:t xml:space="preserve">　　</w:t>
      </w:r>
      <w:r w:rsidR="00203F72" w:rsidRPr="00515D85">
        <w:t xml:space="preserve">2. </w:t>
      </w:r>
      <w:r w:rsidR="00203F72" w:rsidRPr="00515D85">
        <w:t>致使該團體的成員在身體上或精神上遭受嚴重傷害</w:t>
      </w:r>
      <w:r w:rsidR="00203F72" w:rsidRPr="00515D85">
        <w:t>;</w:t>
      </w:r>
    </w:p>
    <w:p w14:paraId="1953020A" w14:textId="77777777" w:rsidR="00203F72" w:rsidRPr="00515D85" w:rsidRDefault="00CA2C52" w:rsidP="00D87D91">
      <w:r w:rsidRPr="00515D85">
        <w:t xml:space="preserve">　　</w:t>
      </w:r>
      <w:r w:rsidR="00203F72" w:rsidRPr="00515D85">
        <w:t xml:space="preserve">3. </w:t>
      </w:r>
      <w:r w:rsidR="00203F72" w:rsidRPr="00515D85">
        <w:t>故意使該團體處於某種生活狀況下</w:t>
      </w:r>
      <w:r w:rsidR="00203F72" w:rsidRPr="00515D85">
        <w:t>,</w:t>
      </w:r>
      <w:r w:rsidR="00203F72" w:rsidRPr="00515D85">
        <w:t>毀滅其全部或局部的生命</w:t>
      </w:r>
      <w:r w:rsidR="00203F72" w:rsidRPr="00515D85">
        <w:t>;</w:t>
      </w:r>
    </w:p>
    <w:p w14:paraId="208205C3" w14:textId="77777777" w:rsidR="00203F72" w:rsidRPr="00515D85" w:rsidRDefault="00CA2C52" w:rsidP="00D87D91">
      <w:r w:rsidRPr="00515D85">
        <w:t xml:space="preserve">　　</w:t>
      </w:r>
      <w:r w:rsidR="00203F72" w:rsidRPr="00515D85">
        <w:t xml:space="preserve">4. </w:t>
      </w:r>
      <w:r w:rsidR="00203F72" w:rsidRPr="00515D85">
        <w:t>強制施行辦法</w:t>
      </w:r>
      <w:r w:rsidR="00203F72" w:rsidRPr="00515D85">
        <w:t>,</w:t>
      </w:r>
      <w:r w:rsidR="00203F72" w:rsidRPr="00515D85">
        <w:t>意圖防止該團體內的生育</w:t>
      </w:r>
      <w:r w:rsidR="00203F72" w:rsidRPr="00515D85">
        <w:t>;</w:t>
      </w:r>
    </w:p>
    <w:p w14:paraId="3723D24C" w14:textId="77777777" w:rsidR="00953151" w:rsidRPr="00515D85" w:rsidRDefault="00CA2C52" w:rsidP="00D87D91">
      <w:r w:rsidRPr="00515D85">
        <w:t xml:space="preserve">　　</w:t>
      </w:r>
      <w:r w:rsidR="00203F72" w:rsidRPr="00515D85">
        <w:t xml:space="preserve">5. </w:t>
      </w:r>
      <w:r w:rsidR="00203F72" w:rsidRPr="00515D85">
        <w:t>強迫轉移該團體的兒童至另一團體。</w:t>
      </w:r>
    </w:p>
    <w:p w14:paraId="744779E2" w14:textId="77777777" w:rsidR="00203F72" w:rsidRPr="00515D85" w:rsidRDefault="00CA2C52" w:rsidP="00D87D91">
      <w:r w:rsidRPr="00515D85">
        <w:t xml:space="preserve">　　</w:t>
      </w:r>
      <w:r w:rsidR="00203F72" w:rsidRPr="00515D85">
        <w:t>就危害人類罪而論，依羅馬規約第七條危害人類罪之規定：</w:t>
      </w:r>
    </w:p>
    <w:p w14:paraId="751BCFDB" w14:textId="77777777" w:rsidR="00203F72" w:rsidRPr="00515D85" w:rsidRDefault="00CA2C52" w:rsidP="00D87D91">
      <w:r w:rsidRPr="00515D85">
        <w:t xml:space="preserve">　　</w:t>
      </w:r>
      <w:r w:rsidR="00203F72" w:rsidRPr="00515D85">
        <w:t>(</w:t>
      </w:r>
      <w:r w:rsidR="00203F72" w:rsidRPr="00515D85">
        <w:t>一</w:t>
      </w:r>
      <w:r w:rsidR="00203F72" w:rsidRPr="00515D85">
        <w:t xml:space="preserve">) </w:t>
      </w:r>
      <w:r w:rsidR="00203F72" w:rsidRPr="00515D85">
        <w:t>為了本規約的目的</w:t>
      </w:r>
      <w:r w:rsidR="00203F72" w:rsidRPr="00515D85">
        <w:t>,“</w:t>
      </w:r>
      <w:r w:rsidR="00203F72" w:rsidRPr="00515D85">
        <w:t>危害人類罪</w:t>
      </w:r>
      <w:r w:rsidR="00203F72" w:rsidRPr="00515D85">
        <w:t>”</w:t>
      </w:r>
      <w:r w:rsidR="00203F72" w:rsidRPr="00515D85">
        <w:t>是指在廣泛或有系統地針對任何平民人口進行的攻擊中</w:t>
      </w:r>
      <w:r w:rsidR="00203F72" w:rsidRPr="00515D85">
        <w:t>,</w:t>
      </w:r>
      <w:r w:rsidR="00203F72" w:rsidRPr="00515D85">
        <w:t>在明知這一攻擊的情況下</w:t>
      </w:r>
      <w:r w:rsidR="00203F72" w:rsidRPr="00515D85">
        <w:t>,</w:t>
      </w:r>
      <w:r w:rsidR="00203F72" w:rsidRPr="00515D85">
        <w:t>作為攻擊的一部分而實施的下列任何一種行為：</w:t>
      </w:r>
    </w:p>
    <w:p w14:paraId="4701EF08" w14:textId="77777777" w:rsidR="00203F72" w:rsidRPr="00515D85" w:rsidRDefault="00CA2C52" w:rsidP="00D87D91">
      <w:r w:rsidRPr="00515D85">
        <w:t xml:space="preserve">　　</w:t>
      </w:r>
      <w:r w:rsidR="00203F72" w:rsidRPr="00515D85">
        <w:t xml:space="preserve">1. </w:t>
      </w:r>
      <w:r w:rsidR="00203F72" w:rsidRPr="00515D85">
        <w:t>謀殺</w:t>
      </w:r>
      <w:r w:rsidR="00203F72" w:rsidRPr="00515D85">
        <w:t>;</w:t>
      </w:r>
    </w:p>
    <w:p w14:paraId="303BE418" w14:textId="77777777" w:rsidR="00203F72" w:rsidRPr="00515D85" w:rsidRDefault="00CA2C52" w:rsidP="00D87D91">
      <w:r w:rsidRPr="00515D85">
        <w:t xml:space="preserve">　　</w:t>
      </w:r>
      <w:r w:rsidR="00203F72" w:rsidRPr="00515D85">
        <w:t xml:space="preserve">2. </w:t>
      </w:r>
      <w:r w:rsidR="00203F72" w:rsidRPr="00515D85">
        <w:t>滅絕</w:t>
      </w:r>
      <w:r w:rsidR="00203F72" w:rsidRPr="00515D85">
        <w:t>;</w:t>
      </w:r>
    </w:p>
    <w:p w14:paraId="04AA2C90" w14:textId="77777777" w:rsidR="00203F72" w:rsidRPr="00515D85" w:rsidRDefault="00CA2C52" w:rsidP="00D87D91">
      <w:r w:rsidRPr="00515D85">
        <w:t xml:space="preserve">　　</w:t>
      </w:r>
      <w:r w:rsidR="00203F72" w:rsidRPr="00515D85">
        <w:t xml:space="preserve">3. </w:t>
      </w:r>
      <w:r w:rsidR="00203F72" w:rsidRPr="00515D85">
        <w:t>奴役</w:t>
      </w:r>
      <w:r w:rsidR="00203F72" w:rsidRPr="00515D85">
        <w:t>;</w:t>
      </w:r>
    </w:p>
    <w:p w14:paraId="0F7C3A80" w14:textId="77777777" w:rsidR="00203F72" w:rsidRPr="00515D85" w:rsidRDefault="00CA2C52" w:rsidP="00D87D91">
      <w:r w:rsidRPr="00515D85">
        <w:t xml:space="preserve">　　</w:t>
      </w:r>
      <w:r w:rsidR="00203F72" w:rsidRPr="00515D85">
        <w:t xml:space="preserve">4. </w:t>
      </w:r>
      <w:r w:rsidR="00203F72" w:rsidRPr="00515D85">
        <w:t>驅逐出境或強行遷移人口</w:t>
      </w:r>
      <w:r w:rsidR="00203F72" w:rsidRPr="00515D85">
        <w:t>;</w:t>
      </w:r>
    </w:p>
    <w:p w14:paraId="2BDCFE18" w14:textId="77777777" w:rsidR="00203F72" w:rsidRPr="00515D85" w:rsidRDefault="00CA2C52" w:rsidP="00D87D91">
      <w:r w:rsidRPr="00515D85">
        <w:t xml:space="preserve">　　</w:t>
      </w:r>
      <w:r w:rsidR="00203F72" w:rsidRPr="00515D85">
        <w:t xml:space="preserve">5. </w:t>
      </w:r>
      <w:r w:rsidR="00203F72" w:rsidRPr="00515D85">
        <w:t>違反國際法基本規則</w:t>
      </w:r>
      <w:r w:rsidR="00203F72" w:rsidRPr="00515D85">
        <w:t>,</w:t>
      </w:r>
      <w:r w:rsidR="00203F72" w:rsidRPr="00515D85">
        <w:t>監禁或以其他方式嚴重剝奪人身自由</w:t>
      </w:r>
      <w:r w:rsidR="00203F72" w:rsidRPr="00515D85">
        <w:t>;</w:t>
      </w:r>
    </w:p>
    <w:p w14:paraId="580C9E08" w14:textId="77777777" w:rsidR="00203F72" w:rsidRPr="00515D85" w:rsidRDefault="00CA2C52" w:rsidP="00D87D91">
      <w:r w:rsidRPr="00515D85">
        <w:t xml:space="preserve">　　</w:t>
      </w:r>
      <w:r w:rsidR="00203F72" w:rsidRPr="00515D85">
        <w:t xml:space="preserve">6. </w:t>
      </w:r>
      <w:r w:rsidR="00203F72" w:rsidRPr="00515D85">
        <w:t>酷刑</w:t>
      </w:r>
      <w:r w:rsidR="00203F72" w:rsidRPr="00515D85">
        <w:t>;</w:t>
      </w:r>
    </w:p>
    <w:p w14:paraId="77178566" w14:textId="77777777" w:rsidR="00203F72" w:rsidRPr="00515D85" w:rsidRDefault="00CA2C52" w:rsidP="00D87D91">
      <w:r w:rsidRPr="00515D85">
        <w:t xml:space="preserve">　　</w:t>
      </w:r>
      <w:r w:rsidR="00203F72" w:rsidRPr="00515D85">
        <w:t xml:space="preserve">7. </w:t>
      </w:r>
      <w:r w:rsidR="00203F72" w:rsidRPr="00515D85">
        <w:t>強姦、性奴役、強迫賣淫、強迫懷孕、強迫絕育或嚴重程度相當的任何其他形式的性暴力</w:t>
      </w:r>
      <w:r w:rsidR="00203F72" w:rsidRPr="00515D85">
        <w:t>;</w:t>
      </w:r>
    </w:p>
    <w:p w14:paraId="5C659ADB" w14:textId="77777777" w:rsidR="00203F72" w:rsidRPr="00515D85" w:rsidRDefault="00CA2C52" w:rsidP="00D87D91">
      <w:r w:rsidRPr="00515D85">
        <w:t xml:space="preserve">　　</w:t>
      </w:r>
      <w:r w:rsidR="00203F72" w:rsidRPr="00515D85">
        <w:t xml:space="preserve">8. </w:t>
      </w:r>
      <w:r w:rsidR="00203F72" w:rsidRPr="00515D85">
        <w:t>基於政治、種族、民族、族裔、文化、宗教、第三款所界定的性別</w:t>
      </w:r>
      <w:r w:rsidR="00203F72" w:rsidRPr="00515D85">
        <w:t>,</w:t>
      </w:r>
      <w:r w:rsidR="00203F72" w:rsidRPr="00515D85">
        <w:t>或根據公認為國際法不容的其他理由</w:t>
      </w:r>
      <w:r w:rsidR="00203F72" w:rsidRPr="00515D85">
        <w:t>,</w:t>
      </w:r>
      <w:r w:rsidR="00203F72" w:rsidRPr="00515D85">
        <w:t>對任何可以識別的團體或集體進行迫害</w:t>
      </w:r>
      <w:r w:rsidR="00203F72" w:rsidRPr="00515D85">
        <w:t>,</w:t>
      </w:r>
      <w:r w:rsidR="00203F72" w:rsidRPr="00515D85">
        <w:t>而且與任何一種本款提及的行為或任何一種本法院管轄權內的犯罪結合發生</w:t>
      </w:r>
      <w:r w:rsidR="00203F72" w:rsidRPr="00515D85">
        <w:t>;</w:t>
      </w:r>
    </w:p>
    <w:p w14:paraId="40F2A6B0" w14:textId="77777777" w:rsidR="00203F72" w:rsidRPr="00515D85" w:rsidRDefault="00CA2C52" w:rsidP="00D87D91">
      <w:r w:rsidRPr="00515D85">
        <w:t xml:space="preserve">　　</w:t>
      </w:r>
      <w:r w:rsidR="00203F72" w:rsidRPr="00515D85">
        <w:t xml:space="preserve">9. </w:t>
      </w:r>
      <w:r w:rsidR="00203F72" w:rsidRPr="00515D85">
        <w:t>強迫人員失蹤</w:t>
      </w:r>
      <w:r w:rsidR="00203F72" w:rsidRPr="00515D85">
        <w:t>;</w:t>
      </w:r>
    </w:p>
    <w:p w14:paraId="37F193B1" w14:textId="77777777" w:rsidR="00203F72" w:rsidRPr="00515D85" w:rsidRDefault="00CA2C52" w:rsidP="00D87D91">
      <w:r w:rsidRPr="00515D85">
        <w:t xml:space="preserve">　　</w:t>
      </w:r>
      <w:r w:rsidR="00203F72" w:rsidRPr="00515D85">
        <w:t xml:space="preserve">10. </w:t>
      </w:r>
      <w:r w:rsidR="00203F72" w:rsidRPr="00515D85">
        <w:t>種族隔離罪</w:t>
      </w:r>
      <w:r w:rsidR="00203F72" w:rsidRPr="00515D85">
        <w:t>;</w:t>
      </w:r>
    </w:p>
    <w:p w14:paraId="49BBBA67" w14:textId="77777777" w:rsidR="00203F72" w:rsidRPr="00515D85" w:rsidRDefault="00CA2C52" w:rsidP="00D87D91">
      <w:r w:rsidRPr="00515D85">
        <w:t xml:space="preserve">　　</w:t>
      </w:r>
      <w:r w:rsidR="00203F72" w:rsidRPr="00515D85">
        <w:t xml:space="preserve">11. </w:t>
      </w:r>
      <w:r w:rsidR="00203F72" w:rsidRPr="00515D85">
        <w:t>故意造成重大痛苦</w:t>
      </w:r>
      <w:r w:rsidR="00203F72" w:rsidRPr="00515D85">
        <w:t>,</w:t>
      </w:r>
      <w:r w:rsidR="00203F72" w:rsidRPr="00515D85">
        <w:t>或對人體或身心健康造成嚴重傷害的其他性質相同的不人道行為。</w:t>
      </w:r>
    </w:p>
    <w:p w14:paraId="41EAD7BC" w14:textId="77777777" w:rsidR="00203F72" w:rsidRPr="00515D85" w:rsidRDefault="00CA2C52" w:rsidP="00D87D91">
      <w:r w:rsidRPr="00515D85">
        <w:t xml:space="preserve">　　</w:t>
      </w:r>
      <w:r w:rsidR="00203F72" w:rsidRPr="00515D85">
        <w:t>(</w:t>
      </w:r>
      <w:r w:rsidR="00203F72" w:rsidRPr="00515D85">
        <w:t>二</w:t>
      </w:r>
      <w:r w:rsidR="00203F72" w:rsidRPr="00515D85">
        <w:t xml:space="preserve">) </w:t>
      </w:r>
      <w:r w:rsidR="00203F72" w:rsidRPr="00515D85">
        <w:t>為了第一項的目的：</w:t>
      </w:r>
    </w:p>
    <w:p w14:paraId="69632AB9" w14:textId="77777777" w:rsidR="00203F72" w:rsidRPr="00515D85" w:rsidRDefault="00CA2C52" w:rsidP="00D87D91">
      <w:r w:rsidRPr="00515D85">
        <w:t xml:space="preserve">　　</w:t>
      </w:r>
      <w:r w:rsidR="00203F72" w:rsidRPr="00515D85">
        <w:t>1. “</w:t>
      </w:r>
      <w:r w:rsidR="00203F72" w:rsidRPr="00515D85">
        <w:t>針對任何平民人口進行的攻擊</w:t>
      </w:r>
      <w:r w:rsidR="00203F72" w:rsidRPr="00515D85">
        <w:t>”</w:t>
      </w:r>
      <w:r w:rsidR="00203F72" w:rsidRPr="00515D85">
        <w:t>是指根據國家或組織攻擊平民人口的政策</w:t>
      </w:r>
      <w:r w:rsidR="00203F72" w:rsidRPr="00515D85">
        <w:t>,</w:t>
      </w:r>
      <w:r w:rsidR="00203F72" w:rsidRPr="00515D85">
        <w:t>或為了推行這種政策</w:t>
      </w:r>
      <w:r w:rsidR="00203F72" w:rsidRPr="00515D85">
        <w:t>,</w:t>
      </w:r>
      <w:r w:rsidR="00203F72" w:rsidRPr="00515D85">
        <w:t>針對任何平民人口多次實施第一款所述行為的行為過程</w:t>
      </w:r>
      <w:r w:rsidR="00203F72" w:rsidRPr="00515D85">
        <w:t>;</w:t>
      </w:r>
    </w:p>
    <w:p w14:paraId="1C6AFCD6" w14:textId="77777777" w:rsidR="00203F72" w:rsidRPr="00515D85" w:rsidRDefault="00CA2C52" w:rsidP="00D87D91">
      <w:r w:rsidRPr="00515D85">
        <w:t xml:space="preserve">　　</w:t>
      </w:r>
      <w:r w:rsidR="00203F72" w:rsidRPr="00515D85">
        <w:t>2. “</w:t>
      </w:r>
      <w:r w:rsidR="00203F72" w:rsidRPr="00515D85">
        <w:t>滅絕</w:t>
      </w:r>
      <w:r w:rsidR="00203F72" w:rsidRPr="00515D85">
        <w:t>”</w:t>
      </w:r>
      <w:r w:rsidR="00203F72" w:rsidRPr="00515D85">
        <w:t>包括故意施加某種生活狀況</w:t>
      </w:r>
      <w:r w:rsidR="00203F72" w:rsidRPr="00515D85">
        <w:t>,</w:t>
      </w:r>
      <w:r w:rsidR="00203F72" w:rsidRPr="00515D85">
        <w:t>如斷絕糧食和藥品來源</w:t>
      </w:r>
      <w:r w:rsidR="00203F72" w:rsidRPr="00515D85">
        <w:t>,</w:t>
      </w:r>
      <w:r w:rsidR="00203F72" w:rsidRPr="00515D85">
        <w:t>目的是毀滅部分的人口</w:t>
      </w:r>
      <w:r w:rsidR="00203F72" w:rsidRPr="00515D85">
        <w:t>;</w:t>
      </w:r>
    </w:p>
    <w:p w14:paraId="4F725A5C" w14:textId="77777777" w:rsidR="00203F72" w:rsidRPr="00515D85" w:rsidRDefault="00CA2C52" w:rsidP="00D87D91">
      <w:r w:rsidRPr="00515D85">
        <w:t xml:space="preserve">　　</w:t>
      </w:r>
      <w:r w:rsidR="00203F72" w:rsidRPr="00515D85">
        <w:t>3. “</w:t>
      </w:r>
      <w:r w:rsidR="00203F72" w:rsidRPr="00515D85">
        <w:t>奴役</w:t>
      </w:r>
      <w:r w:rsidR="00203F72" w:rsidRPr="00515D85">
        <w:t>”</w:t>
      </w:r>
      <w:r w:rsidR="00203F72" w:rsidRPr="00515D85">
        <w:t>是指對一人行使附屬於所有權的任何或一切權力</w:t>
      </w:r>
      <w:r w:rsidR="00203F72" w:rsidRPr="00515D85">
        <w:t>,</w:t>
      </w:r>
      <w:r w:rsidR="00203F72" w:rsidRPr="00515D85">
        <w:t>包括在販賣人口</w:t>
      </w:r>
      <w:r w:rsidR="00203F72" w:rsidRPr="00515D85">
        <w:t>,</w:t>
      </w:r>
      <w:r w:rsidR="00203F72" w:rsidRPr="00515D85">
        <w:t>特別是販賣婦女和兒童的過程中行使這種權力</w:t>
      </w:r>
      <w:r w:rsidR="00203F72" w:rsidRPr="00515D85">
        <w:t>;</w:t>
      </w:r>
    </w:p>
    <w:p w14:paraId="7101533C" w14:textId="77777777" w:rsidR="00203F72" w:rsidRPr="00515D85" w:rsidRDefault="00CA2C52" w:rsidP="00D87D91">
      <w:r w:rsidRPr="00515D85">
        <w:t xml:space="preserve">　　</w:t>
      </w:r>
      <w:r w:rsidR="00203F72" w:rsidRPr="00515D85">
        <w:t>4. “</w:t>
      </w:r>
      <w:r w:rsidR="00203F72" w:rsidRPr="00515D85">
        <w:t>驅逐出境或強行遷移人口</w:t>
      </w:r>
      <w:r w:rsidR="00203F72" w:rsidRPr="00515D85">
        <w:t>”</w:t>
      </w:r>
      <w:r w:rsidR="00203F72" w:rsidRPr="00515D85">
        <w:t>是指在缺乏國際法容許的理由的情況下</w:t>
      </w:r>
      <w:r w:rsidR="00203F72" w:rsidRPr="00515D85">
        <w:t>,</w:t>
      </w:r>
      <w:r w:rsidR="00203F72" w:rsidRPr="00515D85">
        <w:t>以驅逐或其他脅迫行為</w:t>
      </w:r>
      <w:r w:rsidR="00203F72" w:rsidRPr="00515D85">
        <w:t>,</w:t>
      </w:r>
      <w:r w:rsidR="00203F72" w:rsidRPr="00515D85">
        <w:t>強迫有關的人遷離其合法留在的地區</w:t>
      </w:r>
      <w:r w:rsidR="00203F72" w:rsidRPr="00515D85">
        <w:t>;</w:t>
      </w:r>
    </w:p>
    <w:p w14:paraId="5AE32081" w14:textId="77777777" w:rsidR="00203F72" w:rsidRPr="00515D85" w:rsidRDefault="00CA2C52" w:rsidP="00D87D91">
      <w:r w:rsidRPr="00515D85">
        <w:t xml:space="preserve">　　</w:t>
      </w:r>
      <w:r w:rsidR="00203F72" w:rsidRPr="00515D85">
        <w:t>5. “</w:t>
      </w:r>
      <w:r w:rsidR="00203F72" w:rsidRPr="00515D85">
        <w:t>酷刑</w:t>
      </w:r>
      <w:r w:rsidR="00203F72" w:rsidRPr="00515D85">
        <w:t>”</w:t>
      </w:r>
      <w:r w:rsidR="00203F72" w:rsidRPr="00515D85">
        <w:t>是指故意致使在被告人羈押或控制下的人的身體或精神遭受重大痛苦</w:t>
      </w:r>
      <w:r w:rsidR="00203F72" w:rsidRPr="00515D85">
        <w:t>;</w:t>
      </w:r>
      <w:r w:rsidR="00203F72" w:rsidRPr="00515D85">
        <w:t>但酷刑不應包括純因合法制裁而引起的</w:t>
      </w:r>
      <w:r w:rsidR="00203F72" w:rsidRPr="00515D85">
        <w:t>,</w:t>
      </w:r>
      <w:r w:rsidR="00203F72" w:rsidRPr="00515D85">
        <w:t>或這種制裁所固有或附帶的痛苦</w:t>
      </w:r>
      <w:r w:rsidR="00203F72" w:rsidRPr="00515D85">
        <w:t>;</w:t>
      </w:r>
    </w:p>
    <w:p w14:paraId="5662CA81" w14:textId="77777777" w:rsidR="00203F72" w:rsidRPr="00515D85" w:rsidRDefault="00CA2C52" w:rsidP="00D87D91">
      <w:r w:rsidRPr="00515D85">
        <w:t xml:space="preserve">　　</w:t>
      </w:r>
      <w:r w:rsidR="00203F72" w:rsidRPr="00515D85">
        <w:t>6. “</w:t>
      </w:r>
      <w:r w:rsidR="00203F72" w:rsidRPr="00515D85">
        <w:t>強迫懷孕</w:t>
      </w:r>
      <w:r w:rsidR="00203F72" w:rsidRPr="00515D85">
        <w:t>”</w:t>
      </w:r>
      <w:r w:rsidR="00203F72" w:rsidRPr="00515D85">
        <w:t>是指以影響任何人口的族裔構成的目的</w:t>
      </w:r>
      <w:r w:rsidR="00203F72" w:rsidRPr="00515D85">
        <w:t>,</w:t>
      </w:r>
      <w:r w:rsidR="00203F72" w:rsidRPr="00515D85">
        <w:t>或以進行其他嚴重違反國際法的行為的目的</w:t>
      </w:r>
      <w:r w:rsidR="00203F72" w:rsidRPr="00515D85">
        <w:t>,</w:t>
      </w:r>
      <w:r w:rsidR="00203F72" w:rsidRPr="00515D85">
        <w:t>非法禁閉被強迫懷孕的婦女。本定義不得以任何方式解釋為影響國內關於妊娠的法律</w:t>
      </w:r>
      <w:r w:rsidR="00203F72" w:rsidRPr="00515D85">
        <w:t>;</w:t>
      </w:r>
    </w:p>
    <w:p w14:paraId="26FFA84E" w14:textId="77777777" w:rsidR="00203F72" w:rsidRPr="00515D85" w:rsidRDefault="00CA2C52" w:rsidP="00D87D91">
      <w:r w:rsidRPr="00515D85">
        <w:t xml:space="preserve">　　</w:t>
      </w:r>
      <w:r w:rsidR="00203F72" w:rsidRPr="00515D85">
        <w:t>7. “</w:t>
      </w:r>
      <w:r w:rsidR="00203F72" w:rsidRPr="00515D85">
        <w:t>迫害</w:t>
      </w:r>
      <w:r w:rsidR="00203F72" w:rsidRPr="00515D85">
        <w:t>”</w:t>
      </w:r>
      <w:r w:rsidR="00203F72" w:rsidRPr="00515D85">
        <w:t>是指違反國際法規定</w:t>
      </w:r>
      <w:r w:rsidR="00203F72" w:rsidRPr="00515D85">
        <w:t>,</w:t>
      </w:r>
      <w:r w:rsidR="00203F72" w:rsidRPr="00515D85">
        <w:t>針對某一團體或集體的特性</w:t>
      </w:r>
      <w:r w:rsidR="00203F72" w:rsidRPr="00515D85">
        <w:t>,</w:t>
      </w:r>
      <w:r w:rsidR="00203F72" w:rsidRPr="00515D85">
        <w:t>故意和嚴重地剝奪基本權利</w:t>
      </w:r>
      <w:r w:rsidR="00203F72" w:rsidRPr="00515D85">
        <w:t>;</w:t>
      </w:r>
    </w:p>
    <w:p w14:paraId="38E89253" w14:textId="77777777" w:rsidR="00203F72" w:rsidRPr="00515D85" w:rsidRDefault="00CA2C52" w:rsidP="00D87D91">
      <w:r w:rsidRPr="00515D85">
        <w:t xml:space="preserve">　　</w:t>
      </w:r>
      <w:r w:rsidR="00203F72" w:rsidRPr="00515D85">
        <w:t>8. “</w:t>
      </w:r>
      <w:r w:rsidR="00203F72" w:rsidRPr="00515D85">
        <w:t>種族隔離罪</w:t>
      </w:r>
      <w:r w:rsidR="00203F72" w:rsidRPr="00515D85">
        <w:t>”</w:t>
      </w:r>
      <w:r w:rsidR="00203F72" w:rsidRPr="00515D85">
        <w:t>是指一個種族團體對任何其他一個或多個種族團體</w:t>
      </w:r>
      <w:r w:rsidR="00203F72" w:rsidRPr="00515D85">
        <w:t>,</w:t>
      </w:r>
      <w:r w:rsidR="00203F72" w:rsidRPr="00515D85">
        <w:t>在一個有計劃地實行壓迫和統治的體制化制度下</w:t>
      </w:r>
      <w:r w:rsidR="00203F72" w:rsidRPr="00515D85">
        <w:t>,</w:t>
      </w:r>
      <w:r w:rsidR="00203F72" w:rsidRPr="00515D85">
        <w:t>實施性質與第一款所述行為相同的不人道行為</w:t>
      </w:r>
      <w:r w:rsidR="00203F72" w:rsidRPr="00515D85">
        <w:t>,</w:t>
      </w:r>
      <w:r w:rsidR="00203F72" w:rsidRPr="00515D85">
        <w:t>目的是維持該制度的存在</w:t>
      </w:r>
      <w:r w:rsidR="00203F72" w:rsidRPr="00515D85">
        <w:t>;</w:t>
      </w:r>
    </w:p>
    <w:p w14:paraId="4D4259C3" w14:textId="77777777" w:rsidR="00203F72" w:rsidRPr="00515D85" w:rsidRDefault="00CA2C52" w:rsidP="00D87D91">
      <w:r w:rsidRPr="00515D85">
        <w:t xml:space="preserve">　　</w:t>
      </w:r>
      <w:r w:rsidR="00203F72" w:rsidRPr="00515D85">
        <w:t>9. “</w:t>
      </w:r>
      <w:r w:rsidR="00203F72" w:rsidRPr="00515D85">
        <w:t>強迫人員失蹤</w:t>
      </w:r>
      <w:r w:rsidR="00203F72" w:rsidRPr="00515D85">
        <w:t>”</w:t>
      </w:r>
      <w:r w:rsidR="00203F72" w:rsidRPr="00515D85">
        <w:t>是指國家或政治組織直接地</w:t>
      </w:r>
      <w:r w:rsidR="00203F72" w:rsidRPr="00515D85">
        <w:t>,</w:t>
      </w:r>
      <w:r w:rsidR="00203F72" w:rsidRPr="00515D85">
        <w:t>或在其同意、支持或默許下</w:t>
      </w:r>
      <w:r w:rsidR="00203F72" w:rsidRPr="00515D85">
        <w:t>,</w:t>
      </w:r>
      <w:r w:rsidR="00203F72" w:rsidRPr="00515D85">
        <w:t>逮捕、羈押或綁架人員</w:t>
      </w:r>
      <w:r w:rsidR="00203F72" w:rsidRPr="00515D85">
        <w:t>,</w:t>
      </w:r>
      <w:r w:rsidR="00203F72" w:rsidRPr="00515D85">
        <w:t>繼而拒絕承認這種剝奪自由的行為</w:t>
      </w:r>
      <w:r w:rsidR="00203F72" w:rsidRPr="00515D85">
        <w:t>,</w:t>
      </w:r>
      <w:r w:rsidR="00203F72" w:rsidRPr="00515D85">
        <w:t>或拒絕透露有關人員的命運或下落</w:t>
      </w:r>
      <w:r w:rsidR="00203F72" w:rsidRPr="00515D85">
        <w:t>,</w:t>
      </w:r>
      <w:r w:rsidR="00203F72" w:rsidRPr="00515D85">
        <w:t>目的是將其長期置於法律保護之外。</w:t>
      </w:r>
    </w:p>
    <w:p w14:paraId="057A5EFE" w14:textId="77777777" w:rsidR="00953151" w:rsidRPr="00515D85" w:rsidRDefault="00CA2C52" w:rsidP="00D87D91">
      <w:r w:rsidRPr="00515D85">
        <w:t xml:space="preserve">　　</w:t>
      </w:r>
      <w:r w:rsidR="00203F72" w:rsidRPr="00515D85">
        <w:t>(</w:t>
      </w:r>
      <w:r w:rsidR="00203F72" w:rsidRPr="00515D85">
        <w:t>三</w:t>
      </w:r>
      <w:r w:rsidR="00203F72" w:rsidRPr="00515D85">
        <w:t xml:space="preserve">) </w:t>
      </w:r>
      <w:r w:rsidR="00203F72" w:rsidRPr="00515D85">
        <w:t>為了本規約的目的</w:t>
      </w:r>
      <w:r w:rsidR="00203F72" w:rsidRPr="00515D85">
        <w:t>,“</w:t>
      </w:r>
      <w:r w:rsidR="00203F72" w:rsidRPr="00515D85">
        <w:t>性別</w:t>
      </w:r>
      <w:r w:rsidR="00203F72" w:rsidRPr="00515D85">
        <w:t>”</w:t>
      </w:r>
      <w:r w:rsidR="00203F72" w:rsidRPr="00515D85">
        <w:t>一詞應被理解為是指社會上的男女兩性。</w:t>
      </w:r>
      <w:r w:rsidR="00203F72" w:rsidRPr="00515D85">
        <w:t>“</w:t>
      </w:r>
      <w:r w:rsidR="00203F72" w:rsidRPr="00515D85">
        <w:t>性別</w:t>
      </w:r>
      <w:r w:rsidR="00203F72" w:rsidRPr="00515D85">
        <w:t>”</w:t>
      </w:r>
      <w:r w:rsidR="00203F72" w:rsidRPr="00515D85">
        <w:t>一詞僅反映上述意思。</w:t>
      </w:r>
    </w:p>
    <w:p w14:paraId="429ADEE2" w14:textId="77777777" w:rsidR="00953151" w:rsidRPr="00515D85" w:rsidRDefault="00CA2C52" w:rsidP="00D87D91">
      <w:r w:rsidRPr="00515D85">
        <w:t xml:space="preserve">　　</w:t>
      </w:r>
      <w:r w:rsidR="00203F72" w:rsidRPr="00515D85">
        <w:t>就戰爭罪而論，依羅馬規約第八條</w:t>
      </w:r>
      <w:r w:rsidR="00203F72" w:rsidRPr="00515D85">
        <w:t>(</w:t>
      </w:r>
      <w:r w:rsidR="00203F72" w:rsidRPr="00515D85">
        <w:t>戰爭罪</w:t>
      </w:r>
      <w:r w:rsidR="00203F72" w:rsidRPr="00515D85">
        <w:t>)</w:t>
      </w:r>
      <w:r w:rsidR="00203F72" w:rsidRPr="00515D85">
        <w:t>之規定，乃指：第</w:t>
      </w:r>
      <w:r w:rsidR="00203F72" w:rsidRPr="00515D85">
        <w:t>(</w:t>
      </w:r>
      <w:r w:rsidR="00203F72" w:rsidRPr="00515D85">
        <w:t>一</w:t>
      </w:r>
      <w:r w:rsidR="00203F72" w:rsidRPr="00515D85">
        <w:t>)</w:t>
      </w:r>
      <w:r w:rsidR="00203F72" w:rsidRPr="00515D85">
        <w:t>項：本法院</w:t>
      </w:r>
      <w:r w:rsidR="00203F72" w:rsidRPr="00515D85">
        <w:t>(</w:t>
      </w:r>
      <w:r w:rsidR="00203F72" w:rsidRPr="00515D85">
        <w:t>國際刑事法院</w:t>
      </w:r>
      <w:r w:rsidR="00203F72" w:rsidRPr="00515D85">
        <w:t>)</w:t>
      </w:r>
      <w:r w:rsidR="00203F72" w:rsidRPr="00515D85">
        <w:t>對戰爭罪具有管轄權</w:t>
      </w:r>
      <w:r w:rsidR="00203F72" w:rsidRPr="00515D85">
        <w:t>,</w:t>
      </w:r>
      <w:r w:rsidR="00203F72" w:rsidRPr="00515D85">
        <w:t>特別是對於作為一項計畫或政策的一部分所實施的行為</w:t>
      </w:r>
      <w:r w:rsidR="00203F72" w:rsidRPr="00515D85">
        <w:t>,</w:t>
      </w:r>
      <w:r w:rsidR="00203F72" w:rsidRPr="00515D85">
        <w:t>或作為在大規模實施這些犯罪中所實施的行為。</w:t>
      </w:r>
    </w:p>
    <w:p w14:paraId="4A656F2C" w14:textId="77777777" w:rsidR="00203F72" w:rsidRPr="00515D85" w:rsidRDefault="00CA2C52" w:rsidP="00D87D91">
      <w:r w:rsidRPr="00515D85">
        <w:t xml:space="preserve">　　</w:t>
      </w:r>
      <w:r w:rsidR="00203F72" w:rsidRPr="00515D85">
        <w:t>第</w:t>
      </w:r>
      <w:r w:rsidR="00203F72" w:rsidRPr="00515D85">
        <w:t>(</w:t>
      </w:r>
      <w:r w:rsidR="00203F72" w:rsidRPr="00515D85">
        <w:t>二</w:t>
      </w:r>
      <w:r w:rsidR="00203F72" w:rsidRPr="00515D85">
        <w:t>)</w:t>
      </w:r>
      <w:r w:rsidR="00203F72" w:rsidRPr="00515D85">
        <w:t>項：為了本規約的目的</w:t>
      </w:r>
      <w:r w:rsidR="00203F72" w:rsidRPr="00515D85">
        <w:t>,“</w:t>
      </w:r>
      <w:r w:rsidR="00203F72" w:rsidRPr="00515D85">
        <w:t>戰爭罪</w:t>
      </w:r>
      <w:r w:rsidR="00203F72" w:rsidRPr="00515D85">
        <w:t>”</w:t>
      </w:r>
      <w:r w:rsidR="00203F72" w:rsidRPr="00515D85">
        <w:t>是指：</w:t>
      </w:r>
    </w:p>
    <w:p w14:paraId="3066DA7B" w14:textId="77777777" w:rsidR="00203F72" w:rsidRPr="00515D85" w:rsidRDefault="00CA2C52" w:rsidP="00D87D91">
      <w:r w:rsidRPr="00515D85">
        <w:t xml:space="preserve">　　</w:t>
      </w:r>
      <w:r w:rsidR="00203F72" w:rsidRPr="00515D85">
        <w:t xml:space="preserve">1. </w:t>
      </w:r>
      <w:r w:rsidR="00203F72" w:rsidRPr="00515D85">
        <w:t>嚴重破壞</w:t>
      </w:r>
      <w:r w:rsidR="00203F72" w:rsidRPr="00515D85">
        <w:t>1949</w:t>
      </w:r>
      <w:r w:rsidR="00203F72" w:rsidRPr="00515D85">
        <w:t>年</w:t>
      </w:r>
      <w:r w:rsidR="00203F72" w:rsidRPr="00515D85">
        <w:t>8</w:t>
      </w:r>
      <w:r w:rsidR="00203F72" w:rsidRPr="00515D85">
        <w:t>月</w:t>
      </w:r>
      <w:r w:rsidR="00203F72" w:rsidRPr="00515D85">
        <w:t>12</w:t>
      </w:r>
      <w:r w:rsidR="00203F72" w:rsidRPr="00515D85">
        <w:t>日《日內瓦公約》的行為</w:t>
      </w:r>
      <w:r w:rsidR="00203F72" w:rsidRPr="00515D85">
        <w:t>,</w:t>
      </w:r>
      <w:r w:rsidR="00203F72" w:rsidRPr="00515D85">
        <w:t>即對有關的《日內瓦公約》規定保護的人或財產實施下列任何一種行為：</w:t>
      </w:r>
    </w:p>
    <w:p w14:paraId="74D85EF2" w14:textId="77777777" w:rsidR="00CA2C52" w:rsidRPr="00515D85" w:rsidRDefault="00CA2C52" w:rsidP="00D87D91">
      <w:r w:rsidRPr="00515D85">
        <w:rPr>
          <w:rFonts w:hint="eastAsia"/>
        </w:rPr>
        <w:t xml:space="preserve">　　（</w:t>
      </w:r>
      <w:r w:rsidRPr="00515D85">
        <w:rPr>
          <w:rFonts w:hint="eastAsia"/>
        </w:rPr>
        <w:t>1</w:t>
      </w:r>
      <w:r w:rsidRPr="00515D85">
        <w:rPr>
          <w:rFonts w:hint="eastAsia"/>
        </w:rPr>
        <w:t>）</w:t>
      </w:r>
      <w:r w:rsidRPr="00515D85">
        <w:rPr>
          <w:rFonts w:hint="eastAsia"/>
        </w:rPr>
        <w:t>.</w:t>
      </w:r>
      <w:r w:rsidRPr="00515D85">
        <w:rPr>
          <w:rFonts w:hint="eastAsia"/>
        </w:rPr>
        <w:t>故意殺害</w:t>
      </w:r>
      <w:r w:rsidRPr="00515D85">
        <w:rPr>
          <w:rFonts w:hint="eastAsia"/>
        </w:rPr>
        <w:t>;</w:t>
      </w:r>
    </w:p>
    <w:p w14:paraId="2BBF67F2" w14:textId="77777777" w:rsidR="00CA2C52" w:rsidRPr="00515D85" w:rsidRDefault="00CA2C52" w:rsidP="00D87D91">
      <w:r w:rsidRPr="00515D85">
        <w:rPr>
          <w:rFonts w:hint="eastAsia"/>
        </w:rPr>
        <w:t xml:space="preserve">　　（</w:t>
      </w:r>
      <w:r w:rsidRPr="00515D85">
        <w:rPr>
          <w:rFonts w:hint="eastAsia"/>
        </w:rPr>
        <w:t>2</w:t>
      </w:r>
      <w:r w:rsidRPr="00515D85">
        <w:rPr>
          <w:rFonts w:hint="eastAsia"/>
        </w:rPr>
        <w:t>）</w:t>
      </w:r>
      <w:r w:rsidRPr="00515D85">
        <w:rPr>
          <w:rFonts w:hint="eastAsia"/>
        </w:rPr>
        <w:t>.</w:t>
      </w:r>
      <w:r w:rsidRPr="00515D85">
        <w:rPr>
          <w:rFonts w:hint="eastAsia"/>
        </w:rPr>
        <w:t>酷刑或不人道待遇</w:t>
      </w:r>
      <w:r w:rsidRPr="00515D85">
        <w:rPr>
          <w:rFonts w:hint="eastAsia"/>
        </w:rPr>
        <w:t>,</w:t>
      </w:r>
      <w:r w:rsidRPr="00515D85">
        <w:rPr>
          <w:rFonts w:hint="eastAsia"/>
        </w:rPr>
        <w:t>包括生物學實驗</w:t>
      </w:r>
      <w:r w:rsidRPr="00515D85">
        <w:rPr>
          <w:rFonts w:hint="eastAsia"/>
        </w:rPr>
        <w:t>;</w:t>
      </w:r>
    </w:p>
    <w:p w14:paraId="69037678" w14:textId="77777777" w:rsidR="00CA2C52" w:rsidRPr="00515D85" w:rsidRDefault="00CA2C52" w:rsidP="00D87D91">
      <w:r w:rsidRPr="00515D85">
        <w:rPr>
          <w:rFonts w:hint="eastAsia"/>
        </w:rPr>
        <w:t xml:space="preserve">　　（</w:t>
      </w:r>
      <w:r w:rsidRPr="00515D85">
        <w:rPr>
          <w:rFonts w:hint="eastAsia"/>
        </w:rPr>
        <w:t>3</w:t>
      </w:r>
      <w:r w:rsidRPr="00515D85">
        <w:rPr>
          <w:rFonts w:hint="eastAsia"/>
        </w:rPr>
        <w:t>）</w:t>
      </w:r>
      <w:r w:rsidRPr="00515D85">
        <w:rPr>
          <w:rFonts w:hint="eastAsia"/>
        </w:rPr>
        <w:t>.</w:t>
      </w:r>
      <w:r w:rsidRPr="00515D85">
        <w:rPr>
          <w:rFonts w:hint="eastAsia"/>
        </w:rPr>
        <w:t>故意使身體或健康遭受重大痛苦或嚴重傷害</w:t>
      </w:r>
      <w:r w:rsidRPr="00515D85">
        <w:rPr>
          <w:rFonts w:hint="eastAsia"/>
        </w:rPr>
        <w:t>;</w:t>
      </w:r>
    </w:p>
    <w:p w14:paraId="44E4C557" w14:textId="77777777" w:rsidR="00CA2C52" w:rsidRPr="00515D85" w:rsidRDefault="00CA2C52" w:rsidP="00D87D91">
      <w:r w:rsidRPr="00515D85">
        <w:rPr>
          <w:rFonts w:hint="eastAsia"/>
        </w:rPr>
        <w:t xml:space="preserve">　　（</w:t>
      </w:r>
      <w:r w:rsidRPr="00515D85">
        <w:rPr>
          <w:rFonts w:hint="eastAsia"/>
        </w:rPr>
        <w:t>4</w:t>
      </w:r>
      <w:r w:rsidRPr="00515D85">
        <w:rPr>
          <w:rFonts w:hint="eastAsia"/>
        </w:rPr>
        <w:t>）</w:t>
      </w:r>
      <w:r w:rsidRPr="00515D85">
        <w:rPr>
          <w:rFonts w:hint="eastAsia"/>
        </w:rPr>
        <w:t>.</w:t>
      </w:r>
      <w:r w:rsidRPr="00515D85">
        <w:rPr>
          <w:rFonts w:hint="eastAsia"/>
        </w:rPr>
        <w:t>無軍事上的必要</w:t>
      </w:r>
      <w:r w:rsidRPr="00515D85">
        <w:rPr>
          <w:rFonts w:hint="eastAsia"/>
        </w:rPr>
        <w:t>,</w:t>
      </w:r>
      <w:r w:rsidRPr="00515D85">
        <w:rPr>
          <w:rFonts w:hint="eastAsia"/>
        </w:rPr>
        <w:t>非法和恣意地廣泛破壞和侵佔財產</w:t>
      </w:r>
      <w:r w:rsidRPr="00515D85">
        <w:rPr>
          <w:rFonts w:hint="eastAsia"/>
        </w:rPr>
        <w:t>;</w:t>
      </w:r>
    </w:p>
    <w:p w14:paraId="17737C17" w14:textId="77777777" w:rsidR="00CA2C52" w:rsidRPr="00515D85" w:rsidRDefault="00CA2C52" w:rsidP="00D87D91">
      <w:r w:rsidRPr="00515D85">
        <w:rPr>
          <w:rFonts w:hint="eastAsia"/>
        </w:rPr>
        <w:t xml:space="preserve">　　（</w:t>
      </w:r>
      <w:r w:rsidRPr="00515D85">
        <w:rPr>
          <w:rFonts w:hint="eastAsia"/>
        </w:rPr>
        <w:t>5</w:t>
      </w:r>
      <w:r w:rsidRPr="00515D85">
        <w:rPr>
          <w:rFonts w:hint="eastAsia"/>
        </w:rPr>
        <w:t>）</w:t>
      </w:r>
      <w:r w:rsidRPr="00515D85">
        <w:rPr>
          <w:rFonts w:hint="eastAsia"/>
        </w:rPr>
        <w:t>.</w:t>
      </w:r>
      <w:r w:rsidRPr="00515D85">
        <w:rPr>
          <w:rFonts w:hint="eastAsia"/>
        </w:rPr>
        <w:t>強迫戰俘或其他被保護人在敵國部隊中服役</w:t>
      </w:r>
      <w:r w:rsidRPr="00515D85">
        <w:rPr>
          <w:rFonts w:hint="eastAsia"/>
        </w:rPr>
        <w:t>;</w:t>
      </w:r>
    </w:p>
    <w:p w14:paraId="446C3DE5" w14:textId="77777777" w:rsidR="00CA2C52" w:rsidRPr="00515D85" w:rsidRDefault="00CA2C52" w:rsidP="00D87D91">
      <w:r w:rsidRPr="00515D85">
        <w:rPr>
          <w:rFonts w:hint="eastAsia"/>
        </w:rPr>
        <w:t xml:space="preserve">　　（</w:t>
      </w:r>
      <w:r w:rsidRPr="00515D85">
        <w:rPr>
          <w:rFonts w:hint="eastAsia"/>
        </w:rPr>
        <w:t>6</w:t>
      </w:r>
      <w:r w:rsidRPr="00515D85">
        <w:rPr>
          <w:rFonts w:hint="eastAsia"/>
        </w:rPr>
        <w:t>）</w:t>
      </w:r>
      <w:r w:rsidRPr="00515D85">
        <w:rPr>
          <w:rFonts w:hint="eastAsia"/>
        </w:rPr>
        <w:t>.</w:t>
      </w:r>
      <w:r w:rsidRPr="00515D85">
        <w:rPr>
          <w:rFonts w:hint="eastAsia"/>
        </w:rPr>
        <w:t>故意剝奪戰俘或其他被保護人應享的公允及合法審判的權利</w:t>
      </w:r>
      <w:r w:rsidRPr="00515D85">
        <w:rPr>
          <w:rFonts w:hint="eastAsia"/>
        </w:rPr>
        <w:t>;</w:t>
      </w:r>
    </w:p>
    <w:p w14:paraId="078F553C" w14:textId="77777777" w:rsidR="00CA2C52" w:rsidRPr="00515D85" w:rsidRDefault="00CA2C52" w:rsidP="00D87D91">
      <w:r w:rsidRPr="00515D85">
        <w:rPr>
          <w:rFonts w:hint="eastAsia"/>
        </w:rPr>
        <w:t xml:space="preserve">　　（</w:t>
      </w:r>
      <w:r w:rsidRPr="00515D85">
        <w:rPr>
          <w:rFonts w:hint="eastAsia"/>
        </w:rPr>
        <w:t>7</w:t>
      </w:r>
      <w:r w:rsidRPr="00515D85">
        <w:rPr>
          <w:rFonts w:hint="eastAsia"/>
        </w:rPr>
        <w:t>）</w:t>
      </w:r>
      <w:r w:rsidRPr="00515D85">
        <w:rPr>
          <w:rFonts w:hint="eastAsia"/>
        </w:rPr>
        <w:t>.</w:t>
      </w:r>
      <w:r w:rsidRPr="00515D85">
        <w:rPr>
          <w:rFonts w:hint="eastAsia"/>
        </w:rPr>
        <w:t>非法驅逐出境或遷移或非法禁閉</w:t>
      </w:r>
      <w:r w:rsidRPr="00515D85">
        <w:rPr>
          <w:rFonts w:hint="eastAsia"/>
        </w:rPr>
        <w:t>;</w:t>
      </w:r>
    </w:p>
    <w:p w14:paraId="20C58683" w14:textId="77777777" w:rsidR="00CA2C52" w:rsidRPr="00515D85" w:rsidRDefault="00CA2C52" w:rsidP="00D87D91">
      <w:r w:rsidRPr="00515D85">
        <w:rPr>
          <w:rFonts w:hint="eastAsia"/>
        </w:rPr>
        <w:t xml:space="preserve">　　（</w:t>
      </w:r>
      <w:r w:rsidRPr="00515D85">
        <w:rPr>
          <w:rFonts w:hint="eastAsia"/>
        </w:rPr>
        <w:t>8</w:t>
      </w:r>
      <w:r w:rsidRPr="00515D85">
        <w:rPr>
          <w:rFonts w:hint="eastAsia"/>
        </w:rPr>
        <w:t>）</w:t>
      </w:r>
      <w:r w:rsidRPr="00515D85">
        <w:rPr>
          <w:rFonts w:hint="eastAsia"/>
        </w:rPr>
        <w:t>.</w:t>
      </w:r>
      <w:r w:rsidRPr="00515D85">
        <w:rPr>
          <w:rFonts w:hint="eastAsia"/>
        </w:rPr>
        <w:t>劫持人質。</w:t>
      </w:r>
    </w:p>
    <w:p w14:paraId="54C60D68" w14:textId="77777777" w:rsidR="00CA2C52" w:rsidRPr="00515D85" w:rsidRDefault="00CA2C52" w:rsidP="00D87D91">
      <w:r w:rsidRPr="00515D85">
        <w:rPr>
          <w:rFonts w:hint="eastAsia"/>
        </w:rPr>
        <w:t xml:space="preserve">　　</w:t>
      </w:r>
      <w:r w:rsidRPr="00515D85">
        <w:rPr>
          <w:rFonts w:hint="eastAsia"/>
        </w:rPr>
        <w:t>2.</w:t>
      </w:r>
      <w:r w:rsidRPr="00515D85">
        <w:rPr>
          <w:rFonts w:hint="eastAsia"/>
        </w:rPr>
        <w:t>嚴重違反國際法既定範圍內適用於國際武裝衝突的法規和慣例的其他行為</w:t>
      </w:r>
      <w:r w:rsidRPr="00515D85">
        <w:rPr>
          <w:rFonts w:hint="eastAsia"/>
        </w:rPr>
        <w:t>,</w:t>
      </w:r>
      <w:r w:rsidRPr="00515D85">
        <w:rPr>
          <w:rFonts w:hint="eastAsia"/>
        </w:rPr>
        <w:t>即下列任何一種行為：</w:t>
      </w:r>
    </w:p>
    <w:p w14:paraId="4CFD2300" w14:textId="77777777" w:rsidR="00CA2C52" w:rsidRPr="00515D85" w:rsidRDefault="00CA2C52" w:rsidP="00D87D91">
      <w:r w:rsidRPr="00515D85">
        <w:rPr>
          <w:rFonts w:hint="eastAsia"/>
        </w:rPr>
        <w:t xml:space="preserve">　　（</w:t>
      </w:r>
      <w:r w:rsidRPr="00515D85">
        <w:rPr>
          <w:rFonts w:hint="eastAsia"/>
        </w:rPr>
        <w:t>1</w:t>
      </w:r>
      <w:r w:rsidRPr="00515D85">
        <w:rPr>
          <w:rFonts w:hint="eastAsia"/>
        </w:rPr>
        <w:t>）故意指令攻擊平民人口本身或未直接參加敵對行動的個別平民</w:t>
      </w:r>
      <w:r w:rsidRPr="00515D85">
        <w:rPr>
          <w:rFonts w:hint="eastAsia"/>
        </w:rPr>
        <w:t>;</w:t>
      </w:r>
    </w:p>
    <w:p w14:paraId="26349723" w14:textId="77777777" w:rsidR="00CA2C52" w:rsidRPr="00515D85" w:rsidRDefault="00CA2C52" w:rsidP="00D87D91">
      <w:r w:rsidRPr="00515D85">
        <w:rPr>
          <w:rFonts w:hint="eastAsia"/>
        </w:rPr>
        <w:t xml:space="preserve">　　（</w:t>
      </w:r>
      <w:r w:rsidRPr="00515D85">
        <w:rPr>
          <w:rFonts w:hint="eastAsia"/>
        </w:rPr>
        <w:t>2</w:t>
      </w:r>
      <w:r w:rsidRPr="00515D85">
        <w:rPr>
          <w:rFonts w:hint="eastAsia"/>
        </w:rPr>
        <w:t>）故意指令攻擊民用物體</w:t>
      </w:r>
      <w:r w:rsidRPr="00515D85">
        <w:rPr>
          <w:rFonts w:hint="eastAsia"/>
        </w:rPr>
        <w:t>,</w:t>
      </w:r>
      <w:r w:rsidRPr="00515D85">
        <w:rPr>
          <w:rFonts w:hint="eastAsia"/>
        </w:rPr>
        <w:t>即非軍事目標的物體</w:t>
      </w:r>
      <w:r w:rsidRPr="00515D85">
        <w:rPr>
          <w:rFonts w:hint="eastAsia"/>
        </w:rPr>
        <w:t>;</w:t>
      </w:r>
    </w:p>
    <w:p w14:paraId="4A96CEEA" w14:textId="77777777" w:rsidR="00CA2C52" w:rsidRPr="00515D85" w:rsidRDefault="00CA2C52" w:rsidP="00D87D91">
      <w:r w:rsidRPr="00515D85">
        <w:rPr>
          <w:rFonts w:hint="eastAsia"/>
        </w:rPr>
        <w:t xml:space="preserve">　　（</w:t>
      </w:r>
      <w:r w:rsidRPr="00515D85">
        <w:rPr>
          <w:rFonts w:hint="eastAsia"/>
        </w:rPr>
        <w:t>3</w:t>
      </w:r>
      <w:r w:rsidRPr="00515D85">
        <w:rPr>
          <w:rFonts w:hint="eastAsia"/>
        </w:rPr>
        <w:t>）故意指令攻擊依照《</w:t>
      </w:r>
      <w:hyperlink r:id="rId2245" w:history="1">
        <w:r w:rsidR="006937CE" w:rsidRPr="006937CE">
          <w:rPr>
            <w:rStyle w:val="a5"/>
            <w:rFonts w:ascii="Times New Roman" w:eastAsia="新細明體" w:hAnsi="Times New Roman"/>
          </w:rPr>
          <w:t>聯合國憲章</w:t>
        </w:r>
      </w:hyperlink>
      <w:r w:rsidRPr="00515D85">
        <w:rPr>
          <w:rFonts w:hint="eastAsia"/>
        </w:rPr>
        <w:t>》執行的人道主義援助或維持和平行動的所涉人員、設施、物資、單位或車輛</w:t>
      </w:r>
      <w:r w:rsidRPr="00515D85">
        <w:rPr>
          <w:rFonts w:hint="eastAsia"/>
        </w:rPr>
        <w:t>,</w:t>
      </w:r>
      <w:r w:rsidRPr="00515D85">
        <w:rPr>
          <w:rFonts w:hint="eastAsia"/>
        </w:rPr>
        <w:t>如果這些人員和物體有權得到武裝衝突國際法規給予平民和民用物體的保護</w:t>
      </w:r>
      <w:r w:rsidRPr="00515D85">
        <w:rPr>
          <w:rFonts w:hint="eastAsia"/>
        </w:rPr>
        <w:t>;</w:t>
      </w:r>
    </w:p>
    <w:p w14:paraId="168CBF80" w14:textId="77777777" w:rsidR="00CA2C52" w:rsidRPr="00515D85" w:rsidRDefault="00CA2C52" w:rsidP="00D87D91">
      <w:r w:rsidRPr="00515D85">
        <w:rPr>
          <w:rFonts w:hint="eastAsia"/>
        </w:rPr>
        <w:t xml:space="preserve">　　（</w:t>
      </w:r>
      <w:r w:rsidRPr="00515D85">
        <w:rPr>
          <w:rFonts w:hint="eastAsia"/>
        </w:rPr>
        <w:t>4</w:t>
      </w:r>
      <w:r w:rsidRPr="00515D85">
        <w:rPr>
          <w:rFonts w:hint="eastAsia"/>
        </w:rPr>
        <w:t>）故意發動攻擊</w:t>
      </w:r>
      <w:r w:rsidRPr="00515D85">
        <w:rPr>
          <w:rFonts w:hint="eastAsia"/>
        </w:rPr>
        <w:t>,</w:t>
      </w:r>
      <w:r w:rsidRPr="00515D85">
        <w:rPr>
          <w:rFonts w:hint="eastAsia"/>
        </w:rPr>
        <w:t>明知這種攻擊將附帶造成平民傷亡或破壞民用物體或致使自然環境遭受廣泛、長期和嚴重的破壞</w:t>
      </w:r>
      <w:r w:rsidRPr="00515D85">
        <w:rPr>
          <w:rFonts w:hint="eastAsia"/>
        </w:rPr>
        <w:t>,</w:t>
      </w:r>
      <w:r w:rsidRPr="00515D85">
        <w:rPr>
          <w:rFonts w:hint="eastAsia"/>
        </w:rPr>
        <w:t>其程度與預期得到的具體和直接的整體軍事利益相比顯然是過分的</w:t>
      </w:r>
      <w:r w:rsidRPr="00515D85">
        <w:rPr>
          <w:rFonts w:hint="eastAsia"/>
        </w:rPr>
        <w:t>;</w:t>
      </w:r>
    </w:p>
    <w:p w14:paraId="309B58D5" w14:textId="77777777" w:rsidR="00CA2C52" w:rsidRPr="00515D85" w:rsidRDefault="00CA2C52" w:rsidP="00D87D91">
      <w:r w:rsidRPr="00515D85">
        <w:rPr>
          <w:rFonts w:hint="eastAsia"/>
        </w:rPr>
        <w:t xml:space="preserve">　　（</w:t>
      </w:r>
      <w:r w:rsidRPr="00515D85">
        <w:rPr>
          <w:rFonts w:hint="eastAsia"/>
        </w:rPr>
        <w:t>5</w:t>
      </w:r>
      <w:r w:rsidRPr="00515D85">
        <w:rPr>
          <w:rFonts w:hint="eastAsia"/>
        </w:rPr>
        <w:t>）以任何手段攻擊或轟擊非軍事目標的不設防城鎮、村莊、住所或建築物</w:t>
      </w:r>
      <w:r w:rsidRPr="00515D85">
        <w:rPr>
          <w:rFonts w:hint="eastAsia"/>
        </w:rPr>
        <w:t>;</w:t>
      </w:r>
    </w:p>
    <w:p w14:paraId="52ABBA38" w14:textId="77777777" w:rsidR="00CA2C52" w:rsidRPr="00515D85" w:rsidRDefault="00CA2C52" w:rsidP="00D87D91">
      <w:r w:rsidRPr="00515D85">
        <w:rPr>
          <w:rFonts w:hint="eastAsia"/>
        </w:rPr>
        <w:t xml:space="preserve">　　（</w:t>
      </w:r>
      <w:r w:rsidRPr="00515D85">
        <w:rPr>
          <w:rFonts w:hint="eastAsia"/>
        </w:rPr>
        <w:t>6</w:t>
      </w:r>
      <w:r w:rsidRPr="00515D85">
        <w:rPr>
          <w:rFonts w:hint="eastAsia"/>
        </w:rPr>
        <w:t>）殺、傷已經放下武器或喪失自衛能力並已無條件投降的戰鬥員</w:t>
      </w:r>
      <w:r w:rsidRPr="00515D85">
        <w:rPr>
          <w:rFonts w:hint="eastAsia"/>
        </w:rPr>
        <w:t>;</w:t>
      </w:r>
    </w:p>
    <w:p w14:paraId="2113E431" w14:textId="77777777" w:rsidR="00CA2C52" w:rsidRPr="00515D85" w:rsidRDefault="00CA2C52" w:rsidP="00D87D91">
      <w:r w:rsidRPr="00515D85">
        <w:rPr>
          <w:rFonts w:hint="eastAsia"/>
        </w:rPr>
        <w:t xml:space="preserve">　　（</w:t>
      </w:r>
      <w:r w:rsidRPr="00515D85">
        <w:rPr>
          <w:rFonts w:hint="eastAsia"/>
        </w:rPr>
        <w:t>7</w:t>
      </w:r>
      <w:r w:rsidRPr="00515D85">
        <w:rPr>
          <w:rFonts w:hint="eastAsia"/>
        </w:rPr>
        <w:t>）不當使用休戰旗、敵方或聯合國旗幟或軍事標誌和制服</w:t>
      </w:r>
      <w:r w:rsidRPr="00515D85">
        <w:rPr>
          <w:rFonts w:hint="eastAsia"/>
        </w:rPr>
        <w:t>,</w:t>
      </w:r>
      <w:r w:rsidRPr="00515D85">
        <w:rPr>
          <w:rFonts w:hint="eastAsia"/>
        </w:rPr>
        <w:t>以及《日內瓦公約》所訂特殊標誌</w:t>
      </w:r>
      <w:r w:rsidRPr="00515D85">
        <w:rPr>
          <w:rFonts w:hint="eastAsia"/>
        </w:rPr>
        <w:t>,</w:t>
      </w:r>
      <w:r w:rsidRPr="00515D85">
        <w:rPr>
          <w:rFonts w:hint="eastAsia"/>
        </w:rPr>
        <w:t>致使人員死亡或重傷</w:t>
      </w:r>
      <w:r w:rsidRPr="00515D85">
        <w:rPr>
          <w:rFonts w:hint="eastAsia"/>
        </w:rPr>
        <w:t>;</w:t>
      </w:r>
    </w:p>
    <w:p w14:paraId="1325EA38" w14:textId="77777777" w:rsidR="00CA2C52" w:rsidRPr="00515D85" w:rsidRDefault="00CA2C52" w:rsidP="00D87D91">
      <w:r w:rsidRPr="00515D85">
        <w:rPr>
          <w:rFonts w:hint="eastAsia"/>
        </w:rPr>
        <w:t xml:space="preserve">　　（</w:t>
      </w:r>
      <w:r w:rsidRPr="00515D85">
        <w:rPr>
          <w:rFonts w:hint="eastAsia"/>
        </w:rPr>
        <w:t>8</w:t>
      </w:r>
      <w:r w:rsidRPr="00515D85">
        <w:rPr>
          <w:rFonts w:hint="eastAsia"/>
        </w:rPr>
        <w:t>）佔領國將部分本國平民人口間接或直接遷移到其佔領的領土</w:t>
      </w:r>
      <w:r w:rsidRPr="00515D85">
        <w:rPr>
          <w:rFonts w:hint="eastAsia"/>
        </w:rPr>
        <w:t>,</w:t>
      </w:r>
      <w:r w:rsidRPr="00515D85">
        <w:rPr>
          <w:rFonts w:hint="eastAsia"/>
        </w:rPr>
        <w:t>或將被佔領領土的全部或部分人口驅逐或遷移到被佔領領土內或外的地方</w:t>
      </w:r>
      <w:r w:rsidRPr="00515D85">
        <w:rPr>
          <w:rFonts w:hint="eastAsia"/>
        </w:rPr>
        <w:t>;</w:t>
      </w:r>
    </w:p>
    <w:p w14:paraId="30972596" w14:textId="77777777" w:rsidR="00CA2C52" w:rsidRPr="00515D85" w:rsidRDefault="00CA2C52" w:rsidP="00D87D91">
      <w:r w:rsidRPr="00515D85">
        <w:rPr>
          <w:rFonts w:hint="eastAsia"/>
        </w:rPr>
        <w:t xml:space="preserve">　　（</w:t>
      </w:r>
      <w:r w:rsidRPr="00515D85">
        <w:rPr>
          <w:rFonts w:hint="eastAsia"/>
        </w:rPr>
        <w:t>9</w:t>
      </w:r>
      <w:r w:rsidRPr="00515D85">
        <w:rPr>
          <w:rFonts w:hint="eastAsia"/>
        </w:rPr>
        <w:t>）故意指令攻擊專用於宗教、教育、藝術、科學或慈善事業的建築物、歷史紀念物、醫院和傷病人員收容所</w:t>
      </w:r>
      <w:r w:rsidRPr="00515D85">
        <w:rPr>
          <w:rFonts w:hint="eastAsia"/>
        </w:rPr>
        <w:t>,</w:t>
      </w:r>
      <w:r w:rsidRPr="00515D85">
        <w:rPr>
          <w:rFonts w:hint="eastAsia"/>
        </w:rPr>
        <w:t>除非這些地方是軍事目標</w:t>
      </w:r>
      <w:r w:rsidRPr="00515D85">
        <w:rPr>
          <w:rFonts w:hint="eastAsia"/>
        </w:rPr>
        <w:t>;</w:t>
      </w:r>
    </w:p>
    <w:p w14:paraId="3189AAA8" w14:textId="77777777" w:rsidR="00CA2C52" w:rsidRPr="00515D85" w:rsidRDefault="00CA2C52" w:rsidP="00D87D91">
      <w:r w:rsidRPr="00515D85">
        <w:rPr>
          <w:rFonts w:hint="eastAsia"/>
        </w:rPr>
        <w:t xml:space="preserve">　　（</w:t>
      </w:r>
      <w:r w:rsidRPr="00515D85">
        <w:rPr>
          <w:rFonts w:hint="eastAsia"/>
        </w:rPr>
        <w:t>10</w:t>
      </w:r>
      <w:r w:rsidRPr="00515D85">
        <w:rPr>
          <w:rFonts w:hint="eastAsia"/>
        </w:rPr>
        <w:t>）致使在敵方權力下的人員肢體遭受殘傷</w:t>
      </w:r>
      <w:r w:rsidRPr="00515D85">
        <w:rPr>
          <w:rFonts w:hint="eastAsia"/>
        </w:rPr>
        <w:t>,</w:t>
      </w:r>
      <w:r w:rsidRPr="00515D85">
        <w:rPr>
          <w:rFonts w:hint="eastAsia"/>
        </w:rPr>
        <w:t>或對其進行任何種類的醫學或科學實驗</w:t>
      </w:r>
      <w:r w:rsidRPr="00515D85">
        <w:rPr>
          <w:rFonts w:hint="eastAsia"/>
        </w:rPr>
        <w:t>,</w:t>
      </w:r>
      <w:r w:rsidRPr="00515D85">
        <w:rPr>
          <w:rFonts w:hint="eastAsia"/>
        </w:rPr>
        <w:t>而這些實驗既不具有醫學、牙醫學或住院治療有關人員的理由</w:t>
      </w:r>
      <w:r w:rsidRPr="00515D85">
        <w:rPr>
          <w:rFonts w:hint="eastAsia"/>
        </w:rPr>
        <w:t>,</w:t>
      </w:r>
      <w:r w:rsidRPr="00515D85">
        <w:rPr>
          <w:rFonts w:hint="eastAsia"/>
        </w:rPr>
        <w:t>也不是為了該人員的利益而進行的</w:t>
      </w:r>
      <w:r w:rsidRPr="00515D85">
        <w:rPr>
          <w:rFonts w:hint="eastAsia"/>
        </w:rPr>
        <w:t>,</w:t>
      </w:r>
      <w:r w:rsidRPr="00515D85">
        <w:rPr>
          <w:rFonts w:hint="eastAsia"/>
        </w:rPr>
        <w:t>並且導致這些人員死亡或嚴重危及其健康</w:t>
      </w:r>
      <w:r w:rsidRPr="00515D85">
        <w:rPr>
          <w:rFonts w:hint="eastAsia"/>
        </w:rPr>
        <w:t>;</w:t>
      </w:r>
    </w:p>
    <w:p w14:paraId="0964CD98" w14:textId="77777777" w:rsidR="00CA2C52" w:rsidRPr="00515D85" w:rsidRDefault="00CA2C52" w:rsidP="00D87D91">
      <w:r w:rsidRPr="00515D85">
        <w:rPr>
          <w:rFonts w:hint="eastAsia"/>
        </w:rPr>
        <w:t xml:space="preserve">　　（</w:t>
      </w:r>
      <w:r w:rsidRPr="00515D85">
        <w:rPr>
          <w:rFonts w:hint="eastAsia"/>
        </w:rPr>
        <w:t>11</w:t>
      </w:r>
      <w:r w:rsidRPr="00515D85">
        <w:rPr>
          <w:rFonts w:hint="eastAsia"/>
        </w:rPr>
        <w:t>）以背信棄義的方式殺、傷屬於敵國或敵軍的人員</w:t>
      </w:r>
      <w:r w:rsidRPr="00515D85">
        <w:rPr>
          <w:rFonts w:hint="eastAsia"/>
        </w:rPr>
        <w:t>;</w:t>
      </w:r>
    </w:p>
    <w:p w14:paraId="7B2FFC88" w14:textId="77777777" w:rsidR="00CA2C52" w:rsidRPr="00515D85" w:rsidRDefault="00CA2C52" w:rsidP="00D87D91">
      <w:r w:rsidRPr="00515D85">
        <w:rPr>
          <w:rFonts w:hint="eastAsia"/>
        </w:rPr>
        <w:t xml:space="preserve">　　（</w:t>
      </w:r>
      <w:r w:rsidRPr="00515D85">
        <w:rPr>
          <w:rFonts w:hint="eastAsia"/>
        </w:rPr>
        <w:t>12</w:t>
      </w:r>
      <w:r w:rsidRPr="00515D85">
        <w:rPr>
          <w:rFonts w:hint="eastAsia"/>
        </w:rPr>
        <w:t>）宣告決不納降</w:t>
      </w:r>
      <w:r w:rsidRPr="00515D85">
        <w:rPr>
          <w:rFonts w:hint="eastAsia"/>
        </w:rPr>
        <w:t>;</w:t>
      </w:r>
    </w:p>
    <w:p w14:paraId="7AF7F612" w14:textId="77777777" w:rsidR="00CA2C52" w:rsidRPr="00515D85" w:rsidRDefault="00CA2C52" w:rsidP="00D87D91">
      <w:r w:rsidRPr="00515D85">
        <w:rPr>
          <w:rFonts w:hint="eastAsia"/>
        </w:rPr>
        <w:t xml:space="preserve">　　（</w:t>
      </w:r>
      <w:r w:rsidRPr="00515D85">
        <w:rPr>
          <w:rFonts w:hint="eastAsia"/>
        </w:rPr>
        <w:t>13</w:t>
      </w:r>
      <w:r w:rsidRPr="00515D85">
        <w:rPr>
          <w:rFonts w:hint="eastAsia"/>
        </w:rPr>
        <w:t>）摧毀或沒收敵方財產</w:t>
      </w:r>
      <w:r w:rsidRPr="00515D85">
        <w:rPr>
          <w:rFonts w:hint="eastAsia"/>
        </w:rPr>
        <w:t>,</w:t>
      </w:r>
      <w:r w:rsidRPr="00515D85">
        <w:rPr>
          <w:rFonts w:hint="eastAsia"/>
        </w:rPr>
        <w:t>除非是基於戰爭的必要</w:t>
      </w:r>
      <w:r w:rsidRPr="00515D85">
        <w:rPr>
          <w:rFonts w:hint="eastAsia"/>
        </w:rPr>
        <w:t>;</w:t>
      </w:r>
    </w:p>
    <w:p w14:paraId="15A81CBC" w14:textId="77777777" w:rsidR="00CA2C52" w:rsidRPr="00515D85" w:rsidRDefault="00CA2C52" w:rsidP="00D87D91">
      <w:r w:rsidRPr="00515D85">
        <w:rPr>
          <w:rFonts w:hint="eastAsia"/>
        </w:rPr>
        <w:t xml:space="preserve">　　（</w:t>
      </w:r>
      <w:r w:rsidRPr="00515D85">
        <w:rPr>
          <w:rFonts w:hint="eastAsia"/>
        </w:rPr>
        <w:t>14</w:t>
      </w:r>
      <w:r w:rsidRPr="00515D85">
        <w:rPr>
          <w:rFonts w:hint="eastAsia"/>
        </w:rPr>
        <w:t>）宣佈取消、停止敵方國民的權利和訴訟權</w:t>
      </w:r>
      <w:r w:rsidRPr="00515D85">
        <w:rPr>
          <w:rFonts w:hint="eastAsia"/>
        </w:rPr>
        <w:t>,</w:t>
      </w:r>
      <w:r w:rsidRPr="00515D85">
        <w:rPr>
          <w:rFonts w:hint="eastAsia"/>
        </w:rPr>
        <w:t>或在法院中不予執行</w:t>
      </w:r>
      <w:r w:rsidRPr="00515D85">
        <w:rPr>
          <w:rFonts w:hint="eastAsia"/>
        </w:rPr>
        <w:t>;</w:t>
      </w:r>
    </w:p>
    <w:p w14:paraId="6D630613" w14:textId="77777777" w:rsidR="00CA2C52" w:rsidRPr="00515D85" w:rsidRDefault="00CA2C52" w:rsidP="00D87D91">
      <w:r w:rsidRPr="00515D85">
        <w:rPr>
          <w:rFonts w:hint="eastAsia"/>
        </w:rPr>
        <w:t xml:space="preserve">　　（</w:t>
      </w:r>
      <w:r w:rsidRPr="00515D85">
        <w:rPr>
          <w:rFonts w:hint="eastAsia"/>
        </w:rPr>
        <w:t>15</w:t>
      </w:r>
      <w:r w:rsidRPr="00515D85">
        <w:rPr>
          <w:rFonts w:hint="eastAsia"/>
        </w:rPr>
        <w:t>）強迫敵方國民參加反對他們本國的作戰行動</w:t>
      </w:r>
      <w:r w:rsidRPr="00515D85">
        <w:rPr>
          <w:rFonts w:hint="eastAsia"/>
        </w:rPr>
        <w:t>,</w:t>
      </w:r>
      <w:r w:rsidRPr="00515D85">
        <w:rPr>
          <w:rFonts w:hint="eastAsia"/>
        </w:rPr>
        <w:t>即使這些人在戰爭開始前</w:t>
      </w:r>
      <w:r w:rsidRPr="00515D85">
        <w:rPr>
          <w:rFonts w:hint="eastAsia"/>
        </w:rPr>
        <w:t>,</w:t>
      </w:r>
      <w:r w:rsidRPr="00515D85">
        <w:rPr>
          <w:rFonts w:hint="eastAsia"/>
        </w:rPr>
        <w:t>已為該交戰國服役</w:t>
      </w:r>
      <w:r w:rsidRPr="00515D85">
        <w:rPr>
          <w:rFonts w:hint="eastAsia"/>
        </w:rPr>
        <w:t>;</w:t>
      </w:r>
    </w:p>
    <w:p w14:paraId="0AED066F" w14:textId="77777777" w:rsidR="00CA2C52" w:rsidRPr="00515D85" w:rsidRDefault="00CA2C52" w:rsidP="00D87D91">
      <w:r w:rsidRPr="00515D85">
        <w:rPr>
          <w:rFonts w:hint="eastAsia"/>
        </w:rPr>
        <w:t xml:space="preserve">　　（</w:t>
      </w:r>
      <w:r w:rsidRPr="00515D85">
        <w:rPr>
          <w:rFonts w:hint="eastAsia"/>
        </w:rPr>
        <w:t>16</w:t>
      </w:r>
      <w:r w:rsidRPr="00515D85">
        <w:rPr>
          <w:rFonts w:hint="eastAsia"/>
        </w:rPr>
        <w:t>）搶劫即使是突擊攻下的城鎮或地方</w:t>
      </w:r>
      <w:r w:rsidRPr="00515D85">
        <w:rPr>
          <w:rFonts w:hint="eastAsia"/>
        </w:rPr>
        <w:t>;</w:t>
      </w:r>
    </w:p>
    <w:p w14:paraId="421C89CB" w14:textId="77777777" w:rsidR="00CA2C52" w:rsidRPr="00515D85" w:rsidRDefault="00CA2C52" w:rsidP="00D87D91">
      <w:r w:rsidRPr="00515D85">
        <w:rPr>
          <w:rFonts w:hint="eastAsia"/>
        </w:rPr>
        <w:t xml:space="preserve">　　（</w:t>
      </w:r>
      <w:r w:rsidRPr="00515D85">
        <w:rPr>
          <w:rFonts w:hint="eastAsia"/>
        </w:rPr>
        <w:t>17</w:t>
      </w:r>
      <w:r w:rsidRPr="00515D85">
        <w:rPr>
          <w:rFonts w:hint="eastAsia"/>
        </w:rPr>
        <w:t>）使用毒物或有毒武器</w:t>
      </w:r>
      <w:r w:rsidRPr="00515D85">
        <w:rPr>
          <w:rFonts w:hint="eastAsia"/>
        </w:rPr>
        <w:t>;</w:t>
      </w:r>
    </w:p>
    <w:p w14:paraId="5BDF16CC" w14:textId="77777777" w:rsidR="00CA2C52" w:rsidRPr="00515D85" w:rsidRDefault="00CA2C52" w:rsidP="00D87D91">
      <w:r w:rsidRPr="00515D85">
        <w:rPr>
          <w:rFonts w:hint="eastAsia"/>
        </w:rPr>
        <w:t xml:space="preserve">　　（</w:t>
      </w:r>
      <w:r w:rsidRPr="00515D85">
        <w:rPr>
          <w:rFonts w:hint="eastAsia"/>
        </w:rPr>
        <w:t>18</w:t>
      </w:r>
      <w:r w:rsidRPr="00515D85">
        <w:rPr>
          <w:rFonts w:hint="eastAsia"/>
        </w:rPr>
        <w:t>）使用窒息性、有毒或其他氣體</w:t>
      </w:r>
      <w:r w:rsidRPr="00515D85">
        <w:rPr>
          <w:rFonts w:hint="eastAsia"/>
        </w:rPr>
        <w:t>,</w:t>
      </w:r>
      <w:r w:rsidRPr="00515D85">
        <w:rPr>
          <w:rFonts w:hint="eastAsia"/>
        </w:rPr>
        <w:t>以及所有類似的液體、物質或器件</w:t>
      </w:r>
      <w:r w:rsidRPr="00515D85">
        <w:rPr>
          <w:rFonts w:hint="eastAsia"/>
        </w:rPr>
        <w:t>;</w:t>
      </w:r>
    </w:p>
    <w:p w14:paraId="187A7916" w14:textId="77777777" w:rsidR="00CA2C52" w:rsidRPr="00515D85" w:rsidRDefault="00CA2C52" w:rsidP="00D87D91">
      <w:r w:rsidRPr="00515D85">
        <w:rPr>
          <w:rFonts w:hint="eastAsia"/>
        </w:rPr>
        <w:t xml:space="preserve">　　（</w:t>
      </w:r>
      <w:r w:rsidRPr="00515D85">
        <w:rPr>
          <w:rFonts w:hint="eastAsia"/>
        </w:rPr>
        <w:t>19</w:t>
      </w:r>
      <w:r w:rsidRPr="00515D85">
        <w:rPr>
          <w:rFonts w:hint="eastAsia"/>
        </w:rPr>
        <w:t>）使用在人體內易於膨脹或變扁的子彈</w:t>
      </w:r>
      <w:r w:rsidRPr="00515D85">
        <w:rPr>
          <w:rFonts w:hint="eastAsia"/>
        </w:rPr>
        <w:t>,</w:t>
      </w:r>
      <w:r w:rsidRPr="00515D85">
        <w:rPr>
          <w:rFonts w:hint="eastAsia"/>
        </w:rPr>
        <w:t>如外殼堅硬而不完全包裹彈芯或外殼經切穿的子彈</w:t>
      </w:r>
      <w:r w:rsidRPr="00515D85">
        <w:rPr>
          <w:rFonts w:hint="eastAsia"/>
        </w:rPr>
        <w:t>;</w:t>
      </w:r>
    </w:p>
    <w:p w14:paraId="2D8406D4" w14:textId="77777777" w:rsidR="00CA2C52" w:rsidRPr="00515D85" w:rsidRDefault="00CA2C52" w:rsidP="00D87D91">
      <w:r w:rsidRPr="00515D85">
        <w:rPr>
          <w:rFonts w:hint="eastAsia"/>
        </w:rPr>
        <w:t xml:space="preserve">　　（</w:t>
      </w:r>
      <w:r w:rsidRPr="00515D85">
        <w:rPr>
          <w:rFonts w:hint="eastAsia"/>
        </w:rPr>
        <w:t>20</w:t>
      </w:r>
      <w:r w:rsidRPr="00515D85">
        <w:rPr>
          <w:rFonts w:hint="eastAsia"/>
        </w:rPr>
        <w:t>）違反武裝衝突國際法規</w:t>
      </w:r>
      <w:r w:rsidRPr="00515D85">
        <w:rPr>
          <w:rFonts w:hint="eastAsia"/>
        </w:rPr>
        <w:t>,</w:t>
      </w:r>
      <w:r w:rsidRPr="00515D85">
        <w:rPr>
          <w:rFonts w:hint="eastAsia"/>
        </w:rPr>
        <w:t>使用具有造成過分傷害或不必要痛苦的性質</w:t>
      </w:r>
      <w:r w:rsidRPr="00515D85">
        <w:rPr>
          <w:rFonts w:hint="eastAsia"/>
        </w:rPr>
        <w:t>,</w:t>
      </w:r>
      <w:r w:rsidRPr="00515D85">
        <w:rPr>
          <w:rFonts w:hint="eastAsia"/>
        </w:rPr>
        <w:t>或基本上為濫殺濫傷的武器、射彈、裝備和作戰方法</w:t>
      </w:r>
      <w:r w:rsidRPr="00515D85">
        <w:rPr>
          <w:rFonts w:hint="eastAsia"/>
        </w:rPr>
        <w:t>,</w:t>
      </w:r>
      <w:r w:rsidRPr="00515D85">
        <w:rPr>
          <w:rFonts w:hint="eastAsia"/>
        </w:rPr>
        <w:t>但這些武器、射彈、裝備和作戰方法應當已被全面禁止</w:t>
      </w:r>
      <w:r w:rsidRPr="00515D85">
        <w:rPr>
          <w:rFonts w:hint="eastAsia"/>
        </w:rPr>
        <w:t>,</w:t>
      </w:r>
      <w:r w:rsidRPr="00515D85">
        <w:rPr>
          <w:rFonts w:hint="eastAsia"/>
        </w:rPr>
        <w:t>並已依照第一百二十一條和第一百二十三條的有關規定以一項修正案的形式列入本規約的一項附件內</w:t>
      </w:r>
      <w:r w:rsidRPr="00515D85">
        <w:rPr>
          <w:rFonts w:hint="eastAsia"/>
        </w:rPr>
        <w:t>;</w:t>
      </w:r>
    </w:p>
    <w:p w14:paraId="3D06B195" w14:textId="77777777" w:rsidR="00CA2C52" w:rsidRPr="00515D85" w:rsidRDefault="00CA2C52" w:rsidP="00D87D91">
      <w:r w:rsidRPr="00515D85">
        <w:rPr>
          <w:rFonts w:hint="eastAsia"/>
        </w:rPr>
        <w:t xml:space="preserve">　　（</w:t>
      </w:r>
      <w:r w:rsidRPr="00515D85">
        <w:rPr>
          <w:rFonts w:hint="eastAsia"/>
        </w:rPr>
        <w:t>21</w:t>
      </w:r>
      <w:r w:rsidRPr="00515D85">
        <w:rPr>
          <w:rFonts w:hint="eastAsia"/>
        </w:rPr>
        <w:t>）損害個人尊嚴</w:t>
      </w:r>
      <w:r w:rsidRPr="00515D85">
        <w:rPr>
          <w:rFonts w:hint="eastAsia"/>
        </w:rPr>
        <w:t>,</w:t>
      </w:r>
      <w:r w:rsidRPr="00515D85">
        <w:rPr>
          <w:rFonts w:hint="eastAsia"/>
        </w:rPr>
        <w:t>特別是侮辱性和有辱人格的待遇</w:t>
      </w:r>
      <w:r w:rsidRPr="00515D85">
        <w:rPr>
          <w:rFonts w:hint="eastAsia"/>
        </w:rPr>
        <w:t>;</w:t>
      </w:r>
    </w:p>
    <w:p w14:paraId="44D76E4E" w14:textId="77777777" w:rsidR="00CA2C52" w:rsidRPr="00515D85" w:rsidRDefault="00CA2C52" w:rsidP="00D87D91">
      <w:r w:rsidRPr="00515D85">
        <w:rPr>
          <w:rFonts w:hint="eastAsia"/>
        </w:rPr>
        <w:t xml:space="preserve">　　（</w:t>
      </w:r>
      <w:r w:rsidRPr="00515D85">
        <w:rPr>
          <w:rFonts w:hint="eastAsia"/>
        </w:rPr>
        <w:t>22</w:t>
      </w:r>
      <w:r w:rsidRPr="00515D85">
        <w:rPr>
          <w:rFonts w:hint="eastAsia"/>
        </w:rPr>
        <w:t>）強姦、性奴役、強迫賣淫、第七條第二款第</w:t>
      </w:r>
      <w:r w:rsidRPr="00515D85">
        <w:rPr>
          <w:rFonts w:hint="eastAsia"/>
        </w:rPr>
        <w:t>6</w:t>
      </w:r>
      <w:r w:rsidRPr="00515D85">
        <w:rPr>
          <w:rFonts w:hint="eastAsia"/>
        </w:rPr>
        <w:t>項所界定的強迫懷孕、強迫絕育或構成嚴重破壞《日內瓦公約》的任何其他形式的性暴力</w:t>
      </w:r>
      <w:r w:rsidRPr="00515D85">
        <w:rPr>
          <w:rFonts w:hint="eastAsia"/>
        </w:rPr>
        <w:t>;</w:t>
      </w:r>
    </w:p>
    <w:p w14:paraId="17AF83A0" w14:textId="77777777" w:rsidR="00CA2C52" w:rsidRPr="00515D85" w:rsidRDefault="00CA2C52" w:rsidP="00D87D91">
      <w:r w:rsidRPr="00515D85">
        <w:rPr>
          <w:rFonts w:hint="eastAsia"/>
        </w:rPr>
        <w:t xml:space="preserve">　　（</w:t>
      </w:r>
      <w:r w:rsidRPr="00515D85">
        <w:rPr>
          <w:rFonts w:hint="eastAsia"/>
        </w:rPr>
        <w:t>23</w:t>
      </w:r>
      <w:r w:rsidRPr="00515D85">
        <w:rPr>
          <w:rFonts w:hint="eastAsia"/>
        </w:rPr>
        <w:t>）將平民或其他被保護人置於某些地點、地區或軍事部隊</w:t>
      </w:r>
      <w:r w:rsidRPr="00515D85">
        <w:rPr>
          <w:rFonts w:hint="eastAsia"/>
        </w:rPr>
        <w:t>,</w:t>
      </w:r>
      <w:r w:rsidRPr="00515D85">
        <w:rPr>
          <w:rFonts w:hint="eastAsia"/>
        </w:rPr>
        <w:t>利用其存在使該地點、地區或軍事部隊免受軍事攻擊</w:t>
      </w:r>
      <w:r w:rsidRPr="00515D85">
        <w:rPr>
          <w:rFonts w:hint="eastAsia"/>
        </w:rPr>
        <w:t>;</w:t>
      </w:r>
    </w:p>
    <w:p w14:paraId="43594A12" w14:textId="77777777" w:rsidR="00CA2C52" w:rsidRPr="00515D85" w:rsidRDefault="00CA2C52" w:rsidP="00D87D91">
      <w:r w:rsidRPr="00515D85">
        <w:rPr>
          <w:rFonts w:hint="eastAsia"/>
        </w:rPr>
        <w:t xml:space="preserve">　　（</w:t>
      </w:r>
      <w:r w:rsidRPr="00515D85">
        <w:rPr>
          <w:rFonts w:hint="eastAsia"/>
        </w:rPr>
        <w:t>24</w:t>
      </w:r>
      <w:r w:rsidRPr="00515D85">
        <w:rPr>
          <w:rFonts w:hint="eastAsia"/>
        </w:rPr>
        <w:t>）故意指令攻擊依照國際法使用《日內瓦公約》所訂特殊標誌的建築物、裝備、醫療單位和運輸工具及人員</w:t>
      </w:r>
      <w:r w:rsidRPr="00515D85">
        <w:rPr>
          <w:rFonts w:hint="eastAsia"/>
        </w:rPr>
        <w:t>;</w:t>
      </w:r>
    </w:p>
    <w:p w14:paraId="537B702D" w14:textId="77777777" w:rsidR="00CA2C52" w:rsidRPr="00515D85" w:rsidRDefault="00CA2C52" w:rsidP="00D87D91">
      <w:r w:rsidRPr="00515D85">
        <w:rPr>
          <w:rFonts w:hint="eastAsia"/>
        </w:rPr>
        <w:t xml:space="preserve">　　（</w:t>
      </w:r>
      <w:r w:rsidRPr="00515D85">
        <w:rPr>
          <w:rFonts w:hint="eastAsia"/>
        </w:rPr>
        <w:t>25</w:t>
      </w:r>
      <w:r w:rsidRPr="00515D85">
        <w:rPr>
          <w:rFonts w:hint="eastAsia"/>
        </w:rPr>
        <w:t>）故意以斷絕平民糧食作為戰爭方法</w:t>
      </w:r>
      <w:r w:rsidRPr="00515D85">
        <w:rPr>
          <w:rFonts w:hint="eastAsia"/>
        </w:rPr>
        <w:t>,</w:t>
      </w:r>
      <w:r w:rsidRPr="00515D85">
        <w:rPr>
          <w:rFonts w:hint="eastAsia"/>
        </w:rPr>
        <w:t>使平民無法取得其生存所必需的物品</w:t>
      </w:r>
      <w:r w:rsidRPr="00515D85">
        <w:rPr>
          <w:rFonts w:hint="eastAsia"/>
        </w:rPr>
        <w:t>,</w:t>
      </w:r>
      <w:r w:rsidRPr="00515D85">
        <w:rPr>
          <w:rFonts w:hint="eastAsia"/>
        </w:rPr>
        <w:t>包括故意阻礙根據《日內瓦公約》規定提供救濟物品</w:t>
      </w:r>
      <w:r w:rsidRPr="00515D85">
        <w:rPr>
          <w:rFonts w:hint="eastAsia"/>
        </w:rPr>
        <w:t>;</w:t>
      </w:r>
    </w:p>
    <w:p w14:paraId="418B4DCE" w14:textId="77777777" w:rsidR="00CA2C52" w:rsidRPr="00515D85" w:rsidRDefault="00CA2C52" w:rsidP="00D87D91">
      <w:r w:rsidRPr="00515D85">
        <w:rPr>
          <w:rFonts w:hint="eastAsia"/>
        </w:rPr>
        <w:t xml:space="preserve">　　（</w:t>
      </w:r>
      <w:r w:rsidRPr="00515D85">
        <w:rPr>
          <w:rFonts w:hint="eastAsia"/>
        </w:rPr>
        <w:t>26</w:t>
      </w:r>
      <w:r w:rsidRPr="00515D85">
        <w:rPr>
          <w:rFonts w:hint="eastAsia"/>
        </w:rPr>
        <w:t>）徵募不滿十五歲的兒童加入國家武裝部隊</w:t>
      </w:r>
      <w:r w:rsidRPr="00515D85">
        <w:rPr>
          <w:rFonts w:hint="eastAsia"/>
        </w:rPr>
        <w:t>,</w:t>
      </w:r>
      <w:r w:rsidRPr="00515D85">
        <w:rPr>
          <w:rFonts w:hint="eastAsia"/>
        </w:rPr>
        <w:t>或利用他們積極參與敵對行動。</w:t>
      </w:r>
    </w:p>
    <w:p w14:paraId="1834C16A" w14:textId="77777777" w:rsidR="00CA2C52" w:rsidRPr="00515D85" w:rsidRDefault="00CA2C52" w:rsidP="00D87D91">
      <w:r w:rsidRPr="00515D85">
        <w:rPr>
          <w:rFonts w:hint="eastAsia"/>
        </w:rPr>
        <w:t xml:space="preserve">　　</w:t>
      </w:r>
      <w:r w:rsidRPr="00515D85">
        <w:rPr>
          <w:rFonts w:hint="eastAsia"/>
        </w:rPr>
        <w:t>3.</w:t>
      </w:r>
      <w:r w:rsidRPr="00515D85">
        <w:rPr>
          <w:rFonts w:hint="eastAsia"/>
        </w:rPr>
        <w:t>在非國際性武裝衝突中</w:t>
      </w:r>
      <w:r w:rsidRPr="00515D85">
        <w:rPr>
          <w:rFonts w:hint="eastAsia"/>
        </w:rPr>
        <w:t>,</w:t>
      </w:r>
      <w:r w:rsidRPr="00515D85">
        <w:rPr>
          <w:rFonts w:hint="eastAsia"/>
        </w:rPr>
        <w:t>嚴重違反</w:t>
      </w:r>
      <w:r w:rsidRPr="00515D85">
        <w:rPr>
          <w:rFonts w:hint="eastAsia"/>
        </w:rPr>
        <w:t>1949</w:t>
      </w:r>
      <w:r w:rsidRPr="00515D85">
        <w:rPr>
          <w:rFonts w:hint="eastAsia"/>
        </w:rPr>
        <w:t>年</w:t>
      </w:r>
      <w:r w:rsidRPr="00515D85">
        <w:rPr>
          <w:rFonts w:hint="eastAsia"/>
        </w:rPr>
        <w:t>8</w:t>
      </w:r>
      <w:r w:rsidRPr="00515D85">
        <w:rPr>
          <w:rFonts w:hint="eastAsia"/>
        </w:rPr>
        <w:t>月</w:t>
      </w:r>
      <w:r w:rsidRPr="00515D85">
        <w:rPr>
          <w:rFonts w:hint="eastAsia"/>
        </w:rPr>
        <w:t>12</w:t>
      </w:r>
      <w:r w:rsidRPr="00515D85">
        <w:rPr>
          <w:rFonts w:hint="eastAsia"/>
        </w:rPr>
        <w:t>日四項《日內瓦公約》共同第三條的行為</w:t>
      </w:r>
      <w:r w:rsidRPr="00515D85">
        <w:rPr>
          <w:rFonts w:hint="eastAsia"/>
        </w:rPr>
        <w:t>,</w:t>
      </w:r>
      <w:r w:rsidRPr="00515D85">
        <w:rPr>
          <w:rFonts w:hint="eastAsia"/>
        </w:rPr>
        <w:t>即對不實際參加敵對行動的人</w:t>
      </w:r>
      <w:r w:rsidRPr="00515D85">
        <w:rPr>
          <w:rFonts w:hint="eastAsia"/>
        </w:rPr>
        <w:t>,</w:t>
      </w:r>
      <w:r w:rsidRPr="00515D85">
        <w:rPr>
          <w:rFonts w:hint="eastAsia"/>
        </w:rPr>
        <w:t>包括已經放下武器的武裝部隊人員</w:t>
      </w:r>
      <w:r w:rsidRPr="00515D85">
        <w:rPr>
          <w:rFonts w:hint="eastAsia"/>
        </w:rPr>
        <w:t>,</w:t>
      </w:r>
      <w:r w:rsidRPr="00515D85">
        <w:rPr>
          <w:rFonts w:hint="eastAsia"/>
        </w:rPr>
        <w:t>及因病、傷、拘留或任何其他原因而失去戰鬥力的人員</w:t>
      </w:r>
      <w:r w:rsidRPr="00515D85">
        <w:rPr>
          <w:rFonts w:hint="eastAsia"/>
        </w:rPr>
        <w:t>,</w:t>
      </w:r>
      <w:r w:rsidRPr="00515D85">
        <w:rPr>
          <w:rFonts w:hint="eastAsia"/>
        </w:rPr>
        <w:t>實施下列任何一種行為：</w:t>
      </w:r>
    </w:p>
    <w:p w14:paraId="3AECB05D" w14:textId="77777777" w:rsidR="00CA2C52" w:rsidRPr="00515D85" w:rsidRDefault="00CA2C52" w:rsidP="00D87D91">
      <w:r w:rsidRPr="00515D85">
        <w:rPr>
          <w:rFonts w:hint="eastAsia"/>
        </w:rPr>
        <w:t xml:space="preserve">　　（</w:t>
      </w:r>
      <w:r w:rsidRPr="00515D85">
        <w:rPr>
          <w:rFonts w:hint="eastAsia"/>
        </w:rPr>
        <w:t>1</w:t>
      </w:r>
      <w:r w:rsidRPr="00515D85">
        <w:rPr>
          <w:rFonts w:hint="eastAsia"/>
        </w:rPr>
        <w:t>）對生命與人身施以暴力</w:t>
      </w:r>
      <w:r w:rsidRPr="00515D85">
        <w:rPr>
          <w:rFonts w:hint="eastAsia"/>
        </w:rPr>
        <w:t>,</w:t>
      </w:r>
      <w:r w:rsidRPr="00515D85">
        <w:rPr>
          <w:rFonts w:hint="eastAsia"/>
        </w:rPr>
        <w:t>特別是各種謀殺、殘傷肢體、虐待及酷刑</w:t>
      </w:r>
      <w:r w:rsidRPr="00515D85">
        <w:rPr>
          <w:rFonts w:hint="eastAsia"/>
        </w:rPr>
        <w:t>;</w:t>
      </w:r>
    </w:p>
    <w:p w14:paraId="2536A3BF" w14:textId="77777777" w:rsidR="00CA2C52" w:rsidRPr="00515D85" w:rsidRDefault="00CA2C52" w:rsidP="00D87D91">
      <w:r w:rsidRPr="00515D85">
        <w:rPr>
          <w:rFonts w:hint="eastAsia"/>
        </w:rPr>
        <w:t xml:space="preserve">　　（</w:t>
      </w:r>
      <w:r w:rsidRPr="00515D85">
        <w:rPr>
          <w:rFonts w:hint="eastAsia"/>
        </w:rPr>
        <w:t>2</w:t>
      </w:r>
      <w:r w:rsidRPr="00515D85">
        <w:rPr>
          <w:rFonts w:hint="eastAsia"/>
        </w:rPr>
        <w:t>）損害個人尊嚴</w:t>
      </w:r>
      <w:r w:rsidRPr="00515D85">
        <w:rPr>
          <w:rFonts w:hint="eastAsia"/>
        </w:rPr>
        <w:t>,</w:t>
      </w:r>
      <w:r w:rsidRPr="00515D85">
        <w:rPr>
          <w:rFonts w:hint="eastAsia"/>
        </w:rPr>
        <w:t>特別是侮辱性和有辱人格的待遇</w:t>
      </w:r>
      <w:r w:rsidRPr="00515D85">
        <w:rPr>
          <w:rFonts w:hint="eastAsia"/>
        </w:rPr>
        <w:t>;</w:t>
      </w:r>
    </w:p>
    <w:p w14:paraId="3C34A690" w14:textId="77777777" w:rsidR="00CA2C52" w:rsidRPr="00515D85" w:rsidRDefault="00CA2C52" w:rsidP="00D87D91">
      <w:r w:rsidRPr="00515D85">
        <w:rPr>
          <w:rFonts w:hint="eastAsia"/>
        </w:rPr>
        <w:t xml:space="preserve">　　（</w:t>
      </w:r>
      <w:r w:rsidRPr="00515D85">
        <w:rPr>
          <w:rFonts w:hint="eastAsia"/>
        </w:rPr>
        <w:t>3</w:t>
      </w:r>
      <w:r w:rsidRPr="00515D85">
        <w:rPr>
          <w:rFonts w:hint="eastAsia"/>
        </w:rPr>
        <w:t>）劫持人質</w:t>
      </w:r>
      <w:r w:rsidRPr="00515D85">
        <w:rPr>
          <w:rFonts w:hint="eastAsia"/>
        </w:rPr>
        <w:t>;</w:t>
      </w:r>
    </w:p>
    <w:p w14:paraId="4AE6A36D" w14:textId="77777777" w:rsidR="00CA2C52" w:rsidRPr="00515D85" w:rsidRDefault="00CA2C52" w:rsidP="00D87D91">
      <w:r w:rsidRPr="00515D85">
        <w:rPr>
          <w:rFonts w:hint="eastAsia"/>
        </w:rPr>
        <w:t xml:space="preserve">　　（</w:t>
      </w:r>
      <w:r w:rsidRPr="00515D85">
        <w:rPr>
          <w:rFonts w:hint="eastAsia"/>
        </w:rPr>
        <w:t>4</w:t>
      </w:r>
      <w:r w:rsidRPr="00515D85">
        <w:rPr>
          <w:rFonts w:hint="eastAsia"/>
        </w:rPr>
        <w:t>）未經具有公認為必需的司法保障的正規組織的法庭宣判</w:t>
      </w:r>
      <w:r w:rsidRPr="00515D85">
        <w:rPr>
          <w:rFonts w:hint="eastAsia"/>
        </w:rPr>
        <w:t>,</w:t>
      </w:r>
      <w:r w:rsidRPr="00515D85">
        <w:rPr>
          <w:rFonts w:hint="eastAsia"/>
        </w:rPr>
        <w:t>徑行判罪和處決。</w:t>
      </w:r>
    </w:p>
    <w:p w14:paraId="0D186085" w14:textId="77777777" w:rsidR="00CA2C52" w:rsidRPr="00515D85" w:rsidRDefault="00CA2C52" w:rsidP="00D87D91">
      <w:r w:rsidRPr="00515D85">
        <w:rPr>
          <w:rFonts w:hint="eastAsia"/>
        </w:rPr>
        <w:t xml:space="preserve">　　</w:t>
      </w:r>
      <w:r w:rsidRPr="00515D85">
        <w:rPr>
          <w:rFonts w:hint="eastAsia"/>
        </w:rPr>
        <w:t>4.</w:t>
      </w:r>
      <w:r w:rsidRPr="00515D85">
        <w:rPr>
          <w:rFonts w:hint="eastAsia"/>
        </w:rPr>
        <w:t>第二項第</w:t>
      </w:r>
      <w:r w:rsidRPr="00515D85">
        <w:rPr>
          <w:rFonts w:hint="eastAsia"/>
        </w:rPr>
        <w:t>3</w:t>
      </w:r>
      <w:r w:rsidRPr="00515D85">
        <w:rPr>
          <w:rFonts w:hint="eastAsia"/>
        </w:rPr>
        <w:t>款適用於非國際性武裝衝突</w:t>
      </w:r>
      <w:r w:rsidRPr="00515D85">
        <w:rPr>
          <w:rFonts w:hint="eastAsia"/>
        </w:rPr>
        <w:t>,</w:t>
      </w:r>
      <w:r w:rsidRPr="00515D85">
        <w:rPr>
          <w:rFonts w:hint="eastAsia"/>
        </w:rPr>
        <w:t>因此不適用於內部動亂和緊張局勢</w:t>
      </w:r>
      <w:r w:rsidRPr="00515D85">
        <w:rPr>
          <w:rFonts w:hint="eastAsia"/>
        </w:rPr>
        <w:t>,</w:t>
      </w:r>
      <w:r w:rsidRPr="00515D85">
        <w:rPr>
          <w:rFonts w:hint="eastAsia"/>
        </w:rPr>
        <w:t>如暴動、孤立和零星的暴力行為或其他性質相同的行為。</w:t>
      </w:r>
    </w:p>
    <w:p w14:paraId="7B3B9293" w14:textId="77777777" w:rsidR="00CA2C52" w:rsidRPr="00515D85" w:rsidRDefault="00CA2C52" w:rsidP="00D87D91">
      <w:r w:rsidRPr="00515D85">
        <w:rPr>
          <w:rFonts w:hint="eastAsia"/>
        </w:rPr>
        <w:t xml:space="preserve">　　</w:t>
      </w:r>
      <w:r w:rsidRPr="00515D85">
        <w:rPr>
          <w:rFonts w:hint="eastAsia"/>
        </w:rPr>
        <w:t>5.</w:t>
      </w:r>
      <w:r w:rsidRPr="00515D85">
        <w:rPr>
          <w:rFonts w:hint="eastAsia"/>
        </w:rPr>
        <w:t>嚴重違反國際法既定範圍內適用於非國際性武裝衝突的法規和慣例的其他行為</w:t>
      </w:r>
      <w:r w:rsidRPr="00515D85">
        <w:rPr>
          <w:rFonts w:hint="eastAsia"/>
        </w:rPr>
        <w:t>,</w:t>
      </w:r>
      <w:r w:rsidRPr="00515D85">
        <w:rPr>
          <w:rFonts w:hint="eastAsia"/>
        </w:rPr>
        <w:t>即下列任何一種行為：</w:t>
      </w:r>
    </w:p>
    <w:p w14:paraId="3772FD73" w14:textId="77777777" w:rsidR="00CA2C52" w:rsidRPr="00515D85" w:rsidRDefault="00CA2C52" w:rsidP="00D87D91">
      <w:r w:rsidRPr="00515D85">
        <w:rPr>
          <w:rFonts w:hint="eastAsia"/>
        </w:rPr>
        <w:t xml:space="preserve">　　（</w:t>
      </w:r>
      <w:r w:rsidRPr="00515D85">
        <w:rPr>
          <w:rFonts w:hint="eastAsia"/>
        </w:rPr>
        <w:t>1</w:t>
      </w:r>
      <w:r w:rsidRPr="00515D85">
        <w:rPr>
          <w:rFonts w:hint="eastAsia"/>
        </w:rPr>
        <w:t>）故意指令攻擊平民人口本身或未直接參加敵對行動的個別平民</w:t>
      </w:r>
      <w:r w:rsidRPr="00515D85">
        <w:rPr>
          <w:rFonts w:hint="eastAsia"/>
        </w:rPr>
        <w:t>;</w:t>
      </w:r>
    </w:p>
    <w:p w14:paraId="5171FBEB" w14:textId="77777777" w:rsidR="00CA2C52" w:rsidRPr="00515D85" w:rsidRDefault="00CA2C52" w:rsidP="00D87D91">
      <w:r w:rsidRPr="00515D85">
        <w:rPr>
          <w:rFonts w:hint="eastAsia"/>
        </w:rPr>
        <w:t xml:space="preserve">　　（</w:t>
      </w:r>
      <w:r w:rsidRPr="00515D85">
        <w:rPr>
          <w:rFonts w:hint="eastAsia"/>
        </w:rPr>
        <w:t>2</w:t>
      </w:r>
      <w:r w:rsidRPr="00515D85">
        <w:rPr>
          <w:rFonts w:hint="eastAsia"/>
        </w:rPr>
        <w:t>）故意指令攻擊按照國際法使用《日內瓦公約》所訂特殊標誌的建築物、裝備、醫療單位和運輸工具及人員</w:t>
      </w:r>
      <w:r w:rsidRPr="00515D85">
        <w:rPr>
          <w:rFonts w:hint="eastAsia"/>
        </w:rPr>
        <w:t>;</w:t>
      </w:r>
    </w:p>
    <w:p w14:paraId="1CDA49BA" w14:textId="77777777" w:rsidR="00CA2C52" w:rsidRPr="00515D85" w:rsidRDefault="00CA2C52" w:rsidP="00D87D91">
      <w:r w:rsidRPr="00515D85">
        <w:rPr>
          <w:rFonts w:hint="eastAsia"/>
        </w:rPr>
        <w:t xml:space="preserve">　　（</w:t>
      </w:r>
      <w:r w:rsidRPr="00515D85">
        <w:rPr>
          <w:rFonts w:hint="eastAsia"/>
        </w:rPr>
        <w:t>3</w:t>
      </w:r>
      <w:r w:rsidRPr="00515D85">
        <w:rPr>
          <w:rFonts w:hint="eastAsia"/>
        </w:rPr>
        <w:t>）故意指令攻擊依照《</w:t>
      </w:r>
      <w:hyperlink r:id="rId2246" w:history="1">
        <w:r w:rsidR="006937CE" w:rsidRPr="006937CE">
          <w:rPr>
            <w:rStyle w:val="a5"/>
            <w:rFonts w:ascii="Times New Roman" w:eastAsia="新細明體" w:hAnsi="Times New Roman"/>
          </w:rPr>
          <w:t>聯合國憲章</w:t>
        </w:r>
      </w:hyperlink>
      <w:r w:rsidRPr="00515D85">
        <w:rPr>
          <w:rFonts w:hint="eastAsia"/>
        </w:rPr>
        <w:t>》執行的人道主義援助或維持和平行動的所涉人員、設施、物資、單位或車輛</w:t>
      </w:r>
      <w:r w:rsidRPr="00515D85">
        <w:rPr>
          <w:rFonts w:hint="eastAsia"/>
        </w:rPr>
        <w:t>,</w:t>
      </w:r>
      <w:r w:rsidRPr="00515D85">
        <w:rPr>
          <w:rFonts w:hint="eastAsia"/>
        </w:rPr>
        <w:t>如果這些人員和物體有權得到武裝衝突法規給予平民和民用物體的保護</w:t>
      </w:r>
      <w:r w:rsidRPr="00515D85">
        <w:rPr>
          <w:rFonts w:hint="eastAsia"/>
        </w:rPr>
        <w:t>;</w:t>
      </w:r>
    </w:p>
    <w:p w14:paraId="7D4B38DC" w14:textId="77777777" w:rsidR="00CA2C52" w:rsidRPr="00515D85" w:rsidRDefault="00CA2C52" w:rsidP="00D87D91">
      <w:r w:rsidRPr="00515D85">
        <w:rPr>
          <w:rFonts w:hint="eastAsia"/>
        </w:rPr>
        <w:t xml:space="preserve">　　（</w:t>
      </w:r>
      <w:r w:rsidRPr="00515D85">
        <w:rPr>
          <w:rFonts w:hint="eastAsia"/>
        </w:rPr>
        <w:t>4</w:t>
      </w:r>
      <w:r w:rsidRPr="00515D85">
        <w:rPr>
          <w:rFonts w:hint="eastAsia"/>
        </w:rPr>
        <w:t>）故意指令攻擊專用於宗教、教育、藝術、科學或慈善事業的建築物、歷史紀念物、醫院和傷病人員收容所</w:t>
      </w:r>
      <w:r w:rsidRPr="00515D85">
        <w:rPr>
          <w:rFonts w:hint="eastAsia"/>
        </w:rPr>
        <w:t>,</w:t>
      </w:r>
      <w:r w:rsidRPr="00515D85">
        <w:rPr>
          <w:rFonts w:hint="eastAsia"/>
        </w:rPr>
        <w:t>除非這些地方是軍事目標</w:t>
      </w:r>
      <w:r w:rsidRPr="00515D85">
        <w:rPr>
          <w:rFonts w:hint="eastAsia"/>
        </w:rPr>
        <w:t>;</w:t>
      </w:r>
    </w:p>
    <w:p w14:paraId="49D15D63" w14:textId="77777777" w:rsidR="00CA2C52" w:rsidRPr="00515D85" w:rsidRDefault="00CA2C52" w:rsidP="00D87D91">
      <w:r w:rsidRPr="00515D85">
        <w:rPr>
          <w:rFonts w:hint="eastAsia"/>
        </w:rPr>
        <w:t xml:space="preserve">　　（</w:t>
      </w:r>
      <w:r w:rsidRPr="00515D85">
        <w:rPr>
          <w:rFonts w:hint="eastAsia"/>
        </w:rPr>
        <w:t>5</w:t>
      </w:r>
      <w:r w:rsidRPr="00515D85">
        <w:rPr>
          <w:rFonts w:hint="eastAsia"/>
        </w:rPr>
        <w:t>）搶劫已被攻佔的城鎮或地方</w:t>
      </w:r>
      <w:r w:rsidRPr="00515D85">
        <w:rPr>
          <w:rFonts w:hint="eastAsia"/>
        </w:rPr>
        <w:t>;</w:t>
      </w:r>
    </w:p>
    <w:p w14:paraId="7FF87667" w14:textId="77777777" w:rsidR="00CA2C52" w:rsidRPr="00515D85" w:rsidRDefault="00CA2C52" w:rsidP="00D87D91">
      <w:r w:rsidRPr="00515D85">
        <w:rPr>
          <w:rFonts w:hint="eastAsia"/>
        </w:rPr>
        <w:t xml:space="preserve">　　（</w:t>
      </w:r>
      <w:r w:rsidRPr="00515D85">
        <w:rPr>
          <w:rFonts w:hint="eastAsia"/>
        </w:rPr>
        <w:t>6</w:t>
      </w:r>
      <w:r w:rsidRPr="00515D85">
        <w:rPr>
          <w:rFonts w:hint="eastAsia"/>
        </w:rPr>
        <w:t>）強姦、性奴役、強迫賣淫、第七條第二款第</w:t>
      </w:r>
      <w:r w:rsidRPr="00515D85">
        <w:rPr>
          <w:rFonts w:hint="eastAsia"/>
        </w:rPr>
        <w:t>6</w:t>
      </w:r>
      <w:r w:rsidRPr="00515D85">
        <w:rPr>
          <w:rFonts w:hint="eastAsia"/>
        </w:rPr>
        <w:t>項所界定的強迫懷孕、強迫絕育以及構成嚴重違反四項《日內瓦公約》共同第三條的任何其他形式的性暴力</w:t>
      </w:r>
      <w:r w:rsidRPr="00515D85">
        <w:rPr>
          <w:rFonts w:hint="eastAsia"/>
        </w:rPr>
        <w:t>;</w:t>
      </w:r>
    </w:p>
    <w:p w14:paraId="79E34CA5" w14:textId="77777777" w:rsidR="00CA2C52" w:rsidRPr="00515D85" w:rsidRDefault="00CA2C52" w:rsidP="00D87D91">
      <w:r w:rsidRPr="00515D85">
        <w:rPr>
          <w:rFonts w:hint="eastAsia"/>
        </w:rPr>
        <w:t xml:space="preserve">　　（</w:t>
      </w:r>
      <w:r w:rsidRPr="00515D85">
        <w:rPr>
          <w:rFonts w:hint="eastAsia"/>
        </w:rPr>
        <w:t>7</w:t>
      </w:r>
      <w:r w:rsidRPr="00515D85">
        <w:rPr>
          <w:rFonts w:hint="eastAsia"/>
        </w:rPr>
        <w:t>）徵募不滿十五歲的兒童加入武裝部隊或集團</w:t>
      </w:r>
      <w:r w:rsidRPr="00515D85">
        <w:rPr>
          <w:rFonts w:hint="eastAsia"/>
        </w:rPr>
        <w:t>,</w:t>
      </w:r>
      <w:r w:rsidRPr="00515D85">
        <w:rPr>
          <w:rFonts w:hint="eastAsia"/>
        </w:rPr>
        <w:t>或利用他們積極參加敵對行動</w:t>
      </w:r>
      <w:r w:rsidRPr="00515D85">
        <w:rPr>
          <w:rFonts w:hint="eastAsia"/>
        </w:rPr>
        <w:t>;</w:t>
      </w:r>
    </w:p>
    <w:p w14:paraId="20004044" w14:textId="77777777" w:rsidR="00CA2C52" w:rsidRPr="00515D85" w:rsidRDefault="00CA2C52" w:rsidP="00D87D91">
      <w:r w:rsidRPr="00515D85">
        <w:rPr>
          <w:rFonts w:hint="eastAsia"/>
        </w:rPr>
        <w:t xml:space="preserve">　　（</w:t>
      </w:r>
      <w:r w:rsidRPr="00515D85">
        <w:rPr>
          <w:rFonts w:hint="eastAsia"/>
        </w:rPr>
        <w:t>8</w:t>
      </w:r>
      <w:r w:rsidRPr="00515D85">
        <w:rPr>
          <w:rFonts w:hint="eastAsia"/>
        </w:rPr>
        <w:t>）基於與衝突有關的理由下令平民人口遷移</w:t>
      </w:r>
      <w:r w:rsidRPr="00515D85">
        <w:rPr>
          <w:rFonts w:hint="eastAsia"/>
        </w:rPr>
        <w:t>,</w:t>
      </w:r>
      <w:r w:rsidRPr="00515D85">
        <w:rPr>
          <w:rFonts w:hint="eastAsia"/>
        </w:rPr>
        <w:t>但因所涉平民的安全或因迫切的軍事理由而有需要的除外</w:t>
      </w:r>
      <w:r w:rsidRPr="00515D85">
        <w:rPr>
          <w:rFonts w:hint="eastAsia"/>
        </w:rPr>
        <w:t>;</w:t>
      </w:r>
    </w:p>
    <w:p w14:paraId="44AE40F4" w14:textId="77777777" w:rsidR="00CA2C52" w:rsidRPr="00515D85" w:rsidRDefault="00CA2C52" w:rsidP="00D87D91">
      <w:r w:rsidRPr="00515D85">
        <w:rPr>
          <w:rFonts w:hint="eastAsia"/>
        </w:rPr>
        <w:t xml:space="preserve">　　（</w:t>
      </w:r>
      <w:r w:rsidRPr="00515D85">
        <w:rPr>
          <w:rFonts w:hint="eastAsia"/>
        </w:rPr>
        <w:t>9</w:t>
      </w:r>
      <w:r w:rsidRPr="00515D85">
        <w:rPr>
          <w:rFonts w:hint="eastAsia"/>
        </w:rPr>
        <w:t>）以背信棄義的方式殺、傷屬敵對方戰鬥員</w:t>
      </w:r>
      <w:r w:rsidRPr="00515D85">
        <w:rPr>
          <w:rFonts w:hint="eastAsia"/>
        </w:rPr>
        <w:t>;</w:t>
      </w:r>
    </w:p>
    <w:p w14:paraId="6BFE98B8" w14:textId="77777777" w:rsidR="00CA2C52" w:rsidRPr="00515D85" w:rsidRDefault="00CA2C52" w:rsidP="00D87D91">
      <w:r w:rsidRPr="00515D85">
        <w:rPr>
          <w:rFonts w:hint="eastAsia"/>
        </w:rPr>
        <w:t xml:space="preserve">　　（</w:t>
      </w:r>
      <w:r w:rsidRPr="00515D85">
        <w:rPr>
          <w:rFonts w:hint="eastAsia"/>
        </w:rPr>
        <w:t>10</w:t>
      </w:r>
      <w:r w:rsidRPr="00515D85">
        <w:rPr>
          <w:rFonts w:hint="eastAsia"/>
        </w:rPr>
        <w:t>）宣告決不納降</w:t>
      </w:r>
      <w:r w:rsidRPr="00515D85">
        <w:rPr>
          <w:rFonts w:hint="eastAsia"/>
        </w:rPr>
        <w:t>;</w:t>
      </w:r>
    </w:p>
    <w:p w14:paraId="2135C102" w14:textId="77777777" w:rsidR="00CA2C52" w:rsidRPr="00515D85" w:rsidRDefault="00CA2C52" w:rsidP="00D87D91">
      <w:r w:rsidRPr="00515D85">
        <w:rPr>
          <w:rFonts w:hint="eastAsia"/>
        </w:rPr>
        <w:t xml:space="preserve">　　（</w:t>
      </w:r>
      <w:r w:rsidRPr="00515D85">
        <w:rPr>
          <w:rFonts w:hint="eastAsia"/>
        </w:rPr>
        <w:t>11</w:t>
      </w:r>
      <w:r w:rsidRPr="00515D85">
        <w:rPr>
          <w:rFonts w:hint="eastAsia"/>
        </w:rPr>
        <w:t>）致使在衝突另一方權力下的人員肢體遭受殘傷</w:t>
      </w:r>
      <w:r w:rsidRPr="00515D85">
        <w:rPr>
          <w:rFonts w:hint="eastAsia"/>
        </w:rPr>
        <w:t>,</w:t>
      </w:r>
      <w:r w:rsidRPr="00515D85">
        <w:rPr>
          <w:rFonts w:hint="eastAsia"/>
        </w:rPr>
        <w:t>或對其進行任何種類的醫學或科學實驗</w:t>
      </w:r>
      <w:r w:rsidRPr="00515D85">
        <w:rPr>
          <w:rFonts w:hint="eastAsia"/>
        </w:rPr>
        <w:t>,</w:t>
      </w:r>
      <w:r w:rsidRPr="00515D85">
        <w:rPr>
          <w:rFonts w:hint="eastAsia"/>
        </w:rPr>
        <w:t>而這些實驗既不具有醫學、牙醫學或住院治療有關人員的理由</w:t>
      </w:r>
      <w:r w:rsidRPr="00515D85">
        <w:rPr>
          <w:rFonts w:hint="eastAsia"/>
        </w:rPr>
        <w:t>,</w:t>
      </w:r>
      <w:r w:rsidRPr="00515D85">
        <w:rPr>
          <w:rFonts w:hint="eastAsia"/>
        </w:rPr>
        <w:t>也不是為了該人員的利益而進行的</w:t>
      </w:r>
      <w:r w:rsidRPr="00515D85">
        <w:rPr>
          <w:rFonts w:hint="eastAsia"/>
        </w:rPr>
        <w:t>,</w:t>
      </w:r>
      <w:r w:rsidRPr="00515D85">
        <w:rPr>
          <w:rFonts w:hint="eastAsia"/>
        </w:rPr>
        <w:t>並且導致這些人員死亡或嚴重危及其健康</w:t>
      </w:r>
      <w:r w:rsidRPr="00515D85">
        <w:rPr>
          <w:rFonts w:hint="eastAsia"/>
        </w:rPr>
        <w:t>;</w:t>
      </w:r>
    </w:p>
    <w:p w14:paraId="263A2E70" w14:textId="77777777" w:rsidR="00CA2C52" w:rsidRPr="00515D85" w:rsidRDefault="00CA2C52" w:rsidP="00D87D91">
      <w:r w:rsidRPr="00515D85">
        <w:rPr>
          <w:rFonts w:hint="eastAsia"/>
        </w:rPr>
        <w:t xml:space="preserve">　　（</w:t>
      </w:r>
      <w:r w:rsidRPr="00515D85">
        <w:rPr>
          <w:rFonts w:hint="eastAsia"/>
        </w:rPr>
        <w:t>12</w:t>
      </w:r>
      <w:r w:rsidRPr="00515D85">
        <w:rPr>
          <w:rFonts w:hint="eastAsia"/>
        </w:rPr>
        <w:t>）摧毀或沒收敵對方的財產</w:t>
      </w:r>
      <w:r w:rsidRPr="00515D85">
        <w:rPr>
          <w:rFonts w:hint="eastAsia"/>
        </w:rPr>
        <w:t>,</w:t>
      </w:r>
      <w:r w:rsidRPr="00515D85">
        <w:rPr>
          <w:rFonts w:hint="eastAsia"/>
        </w:rPr>
        <w:t>除非是基於衝突的必要</w:t>
      </w:r>
      <w:r w:rsidRPr="00515D85">
        <w:rPr>
          <w:rFonts w:hint="eastAsia"/>
        </w:rPr>
        <w:t>;</w:t>
      </w:r>
    </w:p>
    <w:p w14:paraId="211447D2" w14:textId="77777777" w:rsidR="00953151" w:rsidRPr="00515D85" w:rsidRDefault="00CA2C52" w:rsidP="00D87D91">
      <w:r w:rsidRPr="00515D85">
        <w:rPr>
          <w:rFonts w:hint="eastAsia"/>
        </w:rPr>
        <w:t xml:space="preserve">　　</w:t>
      </w:r>
      <w:r w:rsidRPr="00515D85">
        <w:rPr>
          <w:rFonts w:hint="eastAsia"/>
        </w:rPr>
        <w:t>6.</w:t>
      </w:r>
      <w:r w:rsidRPr="00515D85">
        <w:rPr>
          <w:rFonts w:hint="eastAsia"/>
        </w:rPr>
        <w:t>第二項第</w:t>
      </w:r>
      <w:r w:rsidRPr="00515D85">
        <w:rPr>
          <w:rFonts w:hint="eastAsia"/>
        </w:rPr>
        <w:t>5</w:t>
      </w:r>
      <w:r w:rsidRPr="00515D85">
        <w:rPr>
          <w:rFonts w:hint="eastAsia"/>
        </w:rPr>
        <w:t>款適用於非國際性武裝衝突</w:t>
      </w:r>
      <w:r w:rsidRPr="00515D85">
        <w:rPr>
          <w:rFonts w:hint="eastAsia"/>
        </w:rPr>
        <w:t>,</w:t>
      </w:r>
      <w:r w:rsidRPr="00515D85">
        <w:rPr>
          <w:rFonts w:hint="eastAsia"/>
        </w:rPr>
        <w:t>因此不適用於內部動亂和緊張局勢</w:t>
      </w:r>
      <w:r w:rsidRPr="00515D85">
        <w:rPr>
          <w:rFonts w:hint="eastAsia"/>
        </w:rPr>
        <w:t>,</w:t>
      </w:r>
      <w:r w:rsidRPr="00515D85">
        <w:rPr>
          <w:rFonts w:hint="eastAsia"/>
        </w:rPr>
        <w:t>如暴動、孤立和零星的暴力行為或其他性質相同的行為。該項規定適用於在一國境內發生的武裝衝突</w:t>
      </w:r>
      <w:r w:rsidRPr="00515D85">
        <w:rPr>
          <w:rFonts w:hint="eastAsia"/>
        </w:rPr>
        <w:t>,</w:t>
      </w:r>
      <w:r w:rsidRPr="00515D85">
        <w:rPr>
          <w:rFonts w:hint="eastAsia"/>
        </w:rPr>
        <w:t>如果政府當局與有組織武裝集團之間</w:t>
      </w:r>
      <w:r w:rsidRPr="00515D85">
        <w:rPr>
          <w:rFonts w:hint="eastAsia"/>
        </w:rPr>
        <w:t>,</w:t>
      </w:r>
      <w:r w:rsidRPr="00515D85">
        <w:rPr>
          <w:rFonts w:hint="eastAsia"/>
        </w:rPr>
        <w:t>或這種集團相互之間長期進行武裝衝突。</w:t>
      </w:r>
    </w:p>
    <w:p w14:paraId="2214018E" w14:textId="77777777" w:rsidR="00953151" w:rsidRPr="00515D85" w:rsidRDefault="00CA2C52" w:rsidP="00D87D91">
      <w:r w:rsidRPr="00515D85">
        <w:t xml:space="preserve">　　</w:t>
      </w:r>
      <w:r w:rsidR="00203F72" w:rsidRPr="00515D85">
        <w:t>第</w:t>
      </w:r>
      <w:r w:rsidR="00203F72" w:rsidRPr="00515D85">
        <w:t>(</w:t>
      </w:r>
      <w:r w:rsidR="00203F72" w:rsidRPr="00515D85">
        <w:t>三</w:t>
      </w:r>
      <w:r w:rsidR="00203F72" w:rsidRPr="00515D85">
        <w:t>)</w:t>
      </w:r>
      <w:r w:rsidR="00203F72" w:rsidRPr="00515D85">
        <w:t>項：第二項第</w:t>
      </w:r>
      <w:r w:rsidR="00203F72" w:rsidRPr="00515D85">
        <w:t>3</w:t>
      </w:r>
      <w:r w:rsidR="00203F72" w:rsidRPr="00515D85">
        <w:t>款和第</w:t>
      </w:r>
      <w:r w:rsidR="00203F72" w:rsidRPr="00515D85">
        <w:t>4</w:t>
      </w:r>
      <w:r w:rsidR="00203F72" w:rsidRPr="00515D85">
        <w:t>款的任何規定</w:t>
      </w:r>
      <w:r w:rsidR="00203F72" w:rsidRPr="00515D85">
        <w:t>,</w:t>
      </w:r>
      <w:r w:rsidR="00203F72" w:rsidRPr="00515D85">
        <w:t>均不影響一國政府以一切合法手段維持或恢復國內法律和秩序</w:t>
      </w:r>
      <w:r w:rsidR="00203F72" w:rsidRPr="00515D85">
        <w:t>,</w:t>
      </w:r>
      <w:r w:rsidR="00203F72" w:rsidRPr="00515D85">
        <w:t>或保衛國家統一和領土完整的責任。</w:t>
      </w:r>
    </w:p>
    <w:p w14:paraId="748C7C40" w14:textId="77777777" w:rsidR="00953151" w:rsidRDefault="00CA2C52" w:rsidP="00D87D91">
      <w:r w:rsidRPr="00515D85">
        <w:t xml:space="preserve">　　</w:t>
      </w:r>
      <w:r w:rsidR="00203F72" w:rsidRPr="00515D85">
        <w:t>就羅馬規約之角度而論，即使國際刑事罪犯觸犯羅馬規約上述之滅絕種族罪、危害人類罪或戰爭罪，亦不得將其處以死刑。由於生命權是一種源生性之權利，它是固有之人權，在人權之階層化中，位居首位，故禁止因任何之因素而剝奪上述罪犯之生命權。</w:t>
      </w:r>
    </w:p>
    <w:p w14:paraId="4C879105" w14:textId="77777777" w:rsidR="007D52D6" w:rsidRDefault="007D52D6" w:rsidP="007F3288">
      <w:pPr>
        <w:jc w:val="right"/>
        <w:rPr>
          <w:rFonts w:ascii="新細明體" w:hAnsi="新細明體"/>
        </w:rPr>
      </w:pPr>
      <w:r w:rsidRPr="0026266A">
        <w:rPr>
          <w:rFonts w:hint="eastAsia"/>
        </w:rPr>
        <w:t>。。。。。。。。。。。。。。。。。。。。。。。。。</w:t>
      </w:r>
      <w:hyperlink w:anchor="a目次39" w:history="1">
        <w:r>
          <w:rPr>
            <w:rStyle w:val="a5"/>
            <w:sz w:val="18"/>
          </w:rPr>
          <w:t>回目次</w:t>
        </w:r>
      </w:hyperlink>
      <w:r w:rsidR="00E91F89">
        <w:rPr>
          <w:rFonts w:ascii="新細明體" w:hAnsi="新細明體"/>
          <w:color w:val="808000"/>
        </w:rPr>
        <w:t>〉〉</w:t>
      </w:r>
    </w:p>
    <w:p w14:paraId="07D34AB5" w14:textId="77777777" w:rsidR="007D52D6" w:rsidRPr="00515D85" w:rsidRDefault="007D52D6" w:rsidP="00D87D91"/>
    <w:p w14:paraId="4FE5A5B8" w14:textId="77777777" w:rsidR="00953151" w:rsidRDefault="00203F72" w:rsidP="00767F37">
      <w:pPr>
        <w:pStyle w:val="2"/>
      </w:pPr>
      <w:bookmarkStart w:id="116" w:name="_肆、執行死刑機制積極地促發各類型犯罪〜「死刑積極促發各類型犯罪理論」之"/>
      <w:bookmarkEnd w:id="116"/>
      <w:r w:rsidRPr="00A53581">
        <w:t>肆、執行死刑機制積極地促發各類型犯罪</w:t>
      </w:r>
      <w:r w:rsidR="00D92F56">
        <w:t>〜</w:t>
      </w:r>
      <w:r w:rsidRPr="00A53581">
        <w:t>「死刑積極促發各類型犯罪理論」之剖析</w:t>
      </w:r>
    </w:p>
    <w:p w14:paraId="381364E0" w14:textId="77777777" w:rsidR="00203F72" w:rsidRPr="00515D85" w:rsidRDefault="00CA2C52" w:rsidP="00D87D91">
      <w:r w:rsidRPr="00515D85">
        <w:t xml:space="preserve">　　</w:t>
      </w:r>
      <w:r w:rsidR="00203F72" w:rsidRPr="00515D85">
        <w:t>在執行死刑機制積極地促發各類型犯罪</w:t>
      </w:r>
      <w:r w:rsidR="00203F72" w:rsidRPr="00515D85">
        <w:t>-</w:t>
      </w:r>
      <w:r w:rsidR="00D92F56" w:rsidRPr="00515D85">
        <w:t>〜</w:t>
      </w:r>
      <w:r w:rsidR="00203F72" w:rsidRPr="00515D85">
        <w:t>「死刑積極促發各類型犯罪理論」之部分，以下，本書擬利用實證統計科學的相關文獻，探討死刑並未具有任何之嚇阻效應，甚至，有助長犯罪的影響力，死刑之機制，無法控制犯罪。於下述之「我國執行死刑對暴力犯罪長期嚇阻效應綜合摘要表（同時模式）」之中，所謂「絶對數模式」，乃指影響犯罪率之各個自變項之「絶對數值」，對犯罪率「絶對數值」之影響與效果；而所謂之「相對數模式」，乃指影響犯罪率之各個自變項之「相對數值」（自變數之變化），對犯罪率「相對數值」之影響與效果。相對數模式之定義，乃指前一年自變數之「變化」，是否亦會牽動與影響後一年犯罪率之變化</w:t>
      </w:r>
      <w:r w:rsidR="00203F72" w:rsidRPr="00515D85">
        <w:footnoteReference w:id="896"/>
      </w:r>
      <w:r w:rsidR="00203F72" w:rsidRPr="00515D85">
        <w:t>。</w:t>
      </w:r>
    </w:p>
    <w:p w14:paraId="5B11C7D4" w14:textId="77777777" w:rsidR="00953151" w:rsidRPr="00515D85" w:rsidRDefault="00CA2C52" w:rsidP="00D87D91">
      <w:r w:rsidRPr="00515D85">
        <w:t xml:space="preserve">　　</w:t>
      </w:r>
      <w:r w:rsidR="00203F72" w:rsidRPr="00515D85">
        <w:t>茲舉一例說明自變數之「相對數值」，以失業率為例，如前一年之失業率，係</w:t>
      </w:r>
      <w:r w:rsidR="00203F72" w:rsidRPr="00515D85">
        <w:t>4</w:t>
      </w:r>
      <w:r w:rsidR="00203F72" w:rsidRPr="00515D85">
        <w:t>％，而今年之失業率係</w:t>
      </w:r>
      <w:r w:rsidR="00203F72" w:rsidRPr="00515D85">
        <w:t>5</w:t>
      </w:r>
      <w:r w:rsidR="00203F72" w:rsidRPr="00515D85">
        <w:t>％，「相對數值」為</w:t>
      </w:r>
      <w:r w:rsidR="00203F72" w:rsidRPr="00515D85">
        <w:t>5-4</w:t>
      </w:r>
      <w:r w:rsidR="00203F72" w:rsidRPr="00515D85">
        <w:t>＝</w:t>
      </w:r>
      <w:r w:rsidR="00203F72" w:rsidRPr="00515D85">
        <w:t>1</w:t>
      </w:r>
      <w:r w:rsidR="00203F72" w:rsidRPr="00515D85">
        <w:t>；亦即，失業率之變化（相對數值），係為</w:t>
      </w:r>
      <w:r w:rsidR="00203F72" w:rsidRPr="00515D85">
        <w:t>+1</w:t>
      </w:r>
      <w:r w:rsidR="00203F72" w:rsidRPr="00515D85">
        <w:t>。</w:t>
      </w:r>
    </w:p>
    <w:p w14:paraId="542C03C7" w14:textId="77777777" w:rsidR="00953151" w:rsidRPr="00515D85" w:rsidRDefault="00CA2C52" w:rsidP="00D87D91">
      <w:r w:rsidRPr="00515D85">
        <w:t xml:space="preserve">　　</w:t>
      </w:r>
      <w:r w:rsidR="00203F72" w:rsidRPr="00515D85">
        <w:t>在下表中，本表格所使用之迴歸係數</w:t>
      </w:r>
      <w:r w:rsidR="00203F72" w:rsidRPr="00515D85">
        <w:t>(B</w:t>
      </w:r>
      <w:r w:rsidR="00203F72" w:rsidRPr="00515D85">
        <w:t>係數</w:t>
      </w:r>
      <w:r w:rsidR="00203F72" w:rsidRPr="00515D85">
        <w:t>)</w:t>
      </w:r>
      <w:r w:rsidR="00203F72" w:rsidRPr="00515D85">
        <w:t>，係為未被加以標準化的迴歸係數，其意義為每單位</w:t>
      </w:r>
      <w:r w:rsidR="00203F72" w:rsidRPr="00515D85">
        <w:t>X</w:t>
      </w:r>
      <w:r w:rsidR="00203F72" w:rsidRPr="00515D85">
        <w:t>值</w:t>
      </w:r>
      <w:r w:rsidR="00203F72" w:rsidRPr="00515D85">
        <w:t>(</w:t>
      </w:r>
      <w:r w:rsidR="00203F72" w:rsidRPr="00515D85">
        <w:t>自變數、自變項、解釋變項、因變項、控制變數</w:t>
      </w:r>
      <w:r w:rsidR="00203F72" w:rsidRPr="00515D85">
        <w:t>)</w:t>
      </w:r>
      <w:r w:rsidR="00203F72" w:rsidRPr="00515D85">
        <w:t>的變動時，</w:t>
      </w:r>
      <w:r w:rsidR="00203F72" w:rsidRPr="00515D85">
        <w:t>Y</w:t>
      </w:r>
      <w:r w:rsidR="00203F72" w:rsidRPr="00515D85">
        <w:t>值</w:t>
      </w:r>
      <w:r w:rsidR="00203F72" w:rsidRPr="00515D85">
        <w:t>(</w:t>
      </w:r>
      <w:r w:rsidR="00203F72" w:rsidRPr="00515D85">
        <w:t>依變項、結果變項、應變項、目的變項</w:t>
      </w:r>
      <w:r w:rsidR="00203F72" w:rsidRPr="00515D85">
        <w:t>)</w:t>
      </w:r>
      <w:r w:rsidR="00203F72" w:rsidRPr="00515D85">
        <w:t>隨著變動的原始量。</w:t>
      </w:r>
      <w:r w:rsidR="00203F72" w:rsidRPr="00515D85">
        <w:t>B</w:t>
      </w:r>
      <w:r w:rsidR="00203F72" w:rsidRPr="00515D85">
        <w:t>係數之性質，正負向則代表</w:t>
      </w:r>
      <w:r w:rsidR="00203F72" w:rsidRPr="00515D85">
        <w:t>X(</w:t>
      </w:r>
      <w:r w:rsidR="00203F72" w:rsidRPr="00515D85">
        <w:t>自變數、自變項、解釋變項、因變項、控制變數</w:t>
      </w:r>
      <w:r w:rsidR="00203F72" w:rsidRPr="00515D85">
        <w:t>)</w:t>
      </w:r>
      <w:r w:rsidR="00203F72" w:rsidRPr="00515D85">
        <w:t>與</w:t>
      </w:r>
      <w:r w:rsidR="00203F72" w:rsidRPr="00515D85">
        <w:t>Y</w:t>
      </w:r>
      <w:r w:rsidR="00203F72" w:rsidRPr="00515D85">
        <w:t>變項</w:t>
      </w:r>
      <w:r w:rsidR="00203F72" w:rsidRPr="00515D85">
        <w:t>(</w:t>
      </w:r>
      <w:r w:rsidR="00203F72" w:rsidRPr="00515D85">
        <w:t>依變項、結果變項、應變項、目的變項</w:t>
      </w:r>
      <w:r w:rsidR="00203F72" w:rsidRPr="00515D85">
        <w:t>)</w:t>
      </w:r>
      <w:r w:rsidR="00203F72" w:rsidRPr="00515D85">
        <w:t>的關係方向。通常，未標準化之迴歸係數之正負方向，會與</w:t>
      </w:r>
      <w:r w:rsidR="00203F72" w:rsidRPr="00515D85">
        <w:t>t</w:t>
      </w:r>
      <w:r w:rsidR="00203F72" w:rsidRPr="00515D85">
        <w:t>值之正負方向，兩者呈現一致化之情形。未標準化之迴歸係數為正方向時，</w:t>
      </w:r>
      <w:r w:rsidR="00203F72" w:rsidRPr="00515D85">
        <w:t>t</w:t>
      </w:r>
      <w:r w:rsidR="00203F72" w:rsidRPr="00515D85">
        <w:t>值亦為正方向。未標準化之迴歸係數為負方向時，</w:t>
      </w:r>
      <w:r w:rsidR="00203F72" w:rsidRPr="00515D85">
        <w:t>t</w:t>
      </w:r>
      <w:r w:rsidR="00203F72" w:rsidRPr="00515D85">
        <w:t>值亦為負方向。</w:t>
      </w:r>
    </w:p>
    <w:p w14:paraId="3799DB7C" w14:textId="77777777" w:rsidR="00203F72" w:rsidRPr="00515D85" w:rsidRDefault="00CA2C52" w:rsidP="00D87D91">
      <w:r w:rsidRPr="00515D85">
        <w:t xml:space="preserve">　　</w:t>
      </w:r>
      <w:r w:rsidR="00203F72" w:rsidRPr="00515D85">
        <w:t>根據下表「各種重要犯罪嚇阻指標及社會指標與犯罪率之同時效應複迴歸分析表（絶對數模式）」之數據，就執行死刑之同一年度內的同時效應而論，死刑對於同一年度內之總犯罪率，並沒有壓制效果，死刑無法抑制總體犯罪率。死刑對於同一年度內之「強姦犯罪率」、「暴力性財產犯罪率」與「擄人勒贖犯罪率」而言，均是沒有統計上之抑制與壓制力道。換言之，國家執行死刑，並不會「抑制」或「降低」同一年度內之「總體犯罪率」、「強姦犯罪率」、「暴力性財產犯罪率」與「擄人勒贖犯罪率」。在殺人犯罪率方面，死刑對於同一年度內之殺人犯罪率，不僅沒有壓制效果，更甚者，會助長殺人案件之發生，且達統計上之顯著水準（迴歸係數為</w:t>
      </w:r>
      <w:r w:rsidR="00203F72" w:rsidRPr="00515D85">
        <w:t>0.18</w:t>
      </w:r>
      <w:r w:rsidR="00203F72" w:rsidRPr="00515D85">
        <w:t>，</w:t>
      </w:r>
      <w:r w:rsidR="00203F72" w:rsidRPr="00515D85">
        <w:t>t</w:t>
      </w:r>
      <w:r w:rsidR="00203F72" w:rsidRPr="00515D85">
        <w:t>值為</w:t>
      </w:r>
      <w:r w:rsidR="00203F72" w:rsidRPr="00515D85">
        <w:t>2.417</w:t>
      </w:r>
      <w:r w:rsidR="00203F72" w:rsidRPr="00515D85">
        <w:t>）。換言之，死刑會促發殺人案件之發生，死刑無法嚇阻或壓制殺人案件之發生。吾人不僅要反思，既然死刑會促進殺人犯罪率之發生，死刑即無存在之必要性。因為，法務部－執行死刑，同一年度內之殺人犯罪率，即會上升。作者擬要提問以下之問題：難道有必要須執行死刑，而令殺人案件不斷上揚？死刑是一個好的刑事司法制裁之措施？國家存在之目的，係要促進殺人犯罪率？或者，降低殺人犯罪率？</w:t>
      </w:r>
    </w:p>
    <w:p w14:paraId="2485F6FF" w14:textId="77777777" w:rsidR="00203F72" w:rsidRPr="00515D85" w:rsidRDefault="00CA2C52" w:rsidP="00D87D91">
      <w:r w:rsidRPr="00515D85">
        <w:t xml:space="preserve">　　</w:t>
      </w:r>
      <w:r w:rsidR="00203F72" w:rsidRPr="00515D85">
        <w:t>答案應為：沒有必要須執行死刑，死刑不是一個好的刑事司法制裁之措施，國家存在之目的，係要降低殺人犯罪率。基此，宜廢止死刑。</w:t>
      </w:r>
    </w:p>
    <w:p w14:paraId="42614B09" w14:textId="77777777" w:rsidR="00203F72" w:rsidRPr="00A53581" w:rsidRDefault="00203F72" w:rsidP="00D87D91"/>
    <w:p w14:paraId="29886D2A" w14:textId="7DC7E339"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98</w:t>
      </w:r>
      <w:r w:rsidR="00076467">
        <w:rPr>
          <w:noProof/>
        </w:rPr>
        <w:fldChar w:fldCharType="end"/>
      </w:r>
      <w:r w:rsidR="00203F72" w:rsidRPr="00A53581">
        <w:t>各種犯罪嚇阻重要指標及社會指標對於犯罪率之同時效應複迴歸分析</w:t>
      </w:r>
      <w:r w:rsidR="00203F72" w:rsidRPr="00A53581">
        <w:t>(</w:t>
      </w:r>
      <w:r w:rsidR="00203F72" w:rsidRPr="00A53581">
        <w:t>絕對數模式</w:t>
      </w:r>
      <w:r w:rsidR="00203F72" w:rsidRPr="00A53581">
        <w:t>)(1961~1990)(</w:t>
      </w:r>
      <w:r w:rsidR="00203F72" w:rsidRPr="00A53581">
        <w:t>括號內為</w:t>
      </w:r>
      <w:r w:rsidR="00203F72" w:rsidRPr="00A53581">
        <w:t>t</w:t>
      </w:r>
      <w:r w:rsidR="00203F72" w:rsidRPr="00A53581">
        <w:t>值</w:t>
      </w:r>
      <w:r w:rsidR="00203F72" w:rsidRPr="00A53581">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1506"/>
        <w:gridCol w:w="1616"/>
        <w:gridCol w:w="1421"/>
        <w:gridCol w:w="1404"/>
        <w:gridCol w:w="1549"/>
      </w:tblGrid>
      <w:tr w:rsidR="00203F72" w:rsidRPr="00A53581" w14:paraId="24C961ED" w14:textId="77777777" w:rsidTr="00703176">
        <w:trPr>
          <w:tblHeader/>
          <w:jc w:val="center"/>
        </w:trPr>
        <w:tc>
          <w:tcPr>
            <w:tcW w:w="1069" w:type="dxa"/>
            <w:shd w:val="clear" w:color="auto" w:fill="FAF0FA"/>
          </w:tcPr>
          <w:p w14:paraId="71D0B660" w14:textId="77777777" w:rsidR="00953151" w:rsidRDefault="00203F72" w:rsidP="00D87D91">
            <w:r w:rsidRPr="00A53581">
              <w:t>依變項</w:t>
            </w:r>
          </w:p>
          <w:p w14:paraId="6EF18412" w14:textId="77777777" w:rsidR="00953151" w:rsidRDefault="00203F72" w:rsidP="00D87D91">
            <w:r w:rsidRPr="00A53581">
              <w:t>迴歸係數</w:t>
            </w:r>
            <w:r w:rsidRPr="00A53581">
              <w:t>(t</w:t>
            </w:r>
            <w:r w:rsidRPr="00A53581">
              <w:t>值</w:t>
            </w:r>
            <w:r w:rsidRPr="00A53581">
              <w:t>)</w:t>
            </w:r>
          </w:p>
          <w:p w14:paraId="4264A8D7" w14:textId="77777777" w:rsidR="00203F72" w:rsidRPr="00A53581" w:rsidRDefault="00203F72" w:rsidP="00D87D91">
            <w:r w:rsidRPr="00A53581">
              <w:t>自</w:t>
            </w:r>
            <w:r w:rsidRPr="00A53581">
              <w:t>(</w:t>
            </w:r>
            <w:r w:rsidRPr="00A53581">
              <w:t>因</w:t>
            </w:r>
            <w:r w:rsidRPr="00A53581">
              <w:t>)</w:t>
            </w:r>
            <w:r w:rsidRPr="00A53581">
              <w:t>變項</w:t>
            </w:r>
          </w:p>
        </w:tc>
        <w:tc>
          <w:tcPr>
            <w:tcW w:w="1313" w:type="dxa"/>
            <w:shd w:val="clear" w:color="auto" w:fill="FAF0FA"/>
          </w:tcPr>
          <w:p w14:paraId="2AAE1527" w14:textId="77777777" w:rsidR="00203F72" w:rsidRPr="00A53581" w:rsidRDefault="00203F72" w:rsidP="00D87D91">
            <w:r w:rsidRPr="00A53581">
              <w:t>總犯罪率</w:t>
            </w:r>
            <w:r w:rsidRPr="00A53581">
              <w:t>(</w:t>
            </w:r>
            <w:r w:rsidRPr="00A53581">
              <w:t>依變項</w:t>
            </w:r>
            <w:r w:rsidRPr="00A53581">
              <w:rPr>
                <w:iCs/>
                <w:lang w:bidi="bn-IN"/>
              </w:rPr>
              <w:t>，</w:t>
            </w:r>
            <w:r w:rsidRPr="00A53581">
              <w:t>應變數</w:t>
            </w:r>
            <w:r w:rsidRPr="00A53581">
              <w:t xml:space="preserve">) </w:t>
            </w:r>
          </w:p>
        </w:tc>
        <w:tc>
          <w:tcPr>
            <w:tcW w:w="1426" w:type="dxa"/>
            <w:shd w:val="clear" w:color="auto" w:fill="FAF0FA"/>
          </w:tcPr>
          <w:p w14:paraId="736E32DC" w14:textId="77777777" w:rsidR="00203F72" w:rsidRPr="00A53581" w:rsidRDefault="00203F72" w:rsidP="00D87D91">
            <w:r w:rsidRPr="00A53581">
              <w:t>殺人犯罪率</w:t>
            </w:r>
            <w:r w:rsidRPr="00A53581">
              <w:t>(</w:t>
            </w:r>
            <w:r w:rsidRPr="00A53581">
              <w:t>依變項</w:t>
            </w:r>
            <w:r w:rsidRPr="00A53581">
              <w:rPr>
                <w:iCs/>
                <w:lang w:bidi="bn-IN"/>
              </w:rPr>
              <w:t>，</w:t>
            </w:r>
            <w:r w:rsidRPr="00A53581">
              <w:t>應變數</w:t>
            </w:r>
            <w:r w:rsidRPr="00A53581">
              <w:t>)</w:t>
            </w:r>
          </w:p>
        </w:tc>
        <w:tc>
          <w:tcPr>
            <w:tcW w:w="1440" w:type="dxa"/>
            <w:shd w:val="clear" w:color="auto" w:fill="FAF0FA"/>
          </w:tcPr>
          <w:p w14:paraId="65A21CE1" w14:textId="77777777" w:rsidR="00203F72" w:rsidRPr="00A53581" w:rsidRDefault="00203F72" w:rsidP="00D87D91">
            <w:r w:rsidRPr="00A53581">
              <w:t>強姦犯罪率</w:t>
            </w:r>
            <w:r w:rsidRPr="00A53581">
              <w:t>(</w:t>
            </w:r>
            <w:r w:rsidRPr="00A53581">
              <w:t>依變項</w:t>
            </w:r>
            <w:r w:rsidRPr="00A53581">
              <w:rPr>
                <w:iCs/>
                <w:lang w:bidi="bn-IN"/>
              </w:rPr>
              <w:t>，</w:t>
            </w:r>
            <w:r w:rsidRPr="00A53581">
              <w:t>應變數</w:t>
            </w:r>
            <w:r w:rsidRPr="00A53581">
              <w:t>)</w:t>
            </w:r>
          </w:p>
        </w:tc>
        <w:tc>
          <w:tcPr>
            <w:tcW w:w="1440" w:type="dxa"/>
            <w:shd w:val="clear" w:color="auto" w:fill="FAF0FA"/>
          </w:tcPr>
          <w:p w14:paraId="173AC06D" w14:textId="77777777" w:rsidR="00203F72" w:rsidRPr="00A53581" w:rsidRDefault="00203F72" w:rsidP="00D87D91">
            <w:r w:rsidRPr="00A53581">
              <w:t>暴力性財產犯罪率</w:t>
            </w:r>
            <w:r w:rsidRPr="00A53581">
              <w:t>(</w:t>
            </w:r>
            <w:r w:rsidRPr="00A53581">
              <w:t>依變項</w:t>
            </w:r>
            <w:r w:rsidRPr="00A53581">
              <w:rPr>
                <w:iCs/>
                <w:lang w:bidi="bn-IN"/>
              </w:rPr>
              <w:t>，</w:t>
            </w:r>
            <w:r w:rsidRPr="00A53581">
              <w:t>應變數</w:t>
            </w:r>
            <w:r w:rsidRPr="00A53581">
              <w:t>)</w:t>
            </w:r>
          </w:p>
        </w:tc>
        <w:tc>
          <w:tcPr>
            <w:tcW w:w="1560" w:type="dxa"/>
            <w:shd w:val="clear" w:color="auto" w:fill="FAF0FA"/>
          </w:tcPr>
          <w:p w14:paraId="43F4E386" w14:textId="77777777" w:rsidR="00203F72" w:rsidRPr="00A53581" w:rsidRDefault="00203F72" w:rsidP="00D87D91">
            <w:r w:rsidRPr="00A53581">
              <w:t>擄人勒贖犯罪率</w:t>
            </w:r>
            <w:r w:rsidRPr="00A53581">
              <w:t>(</w:t>
            </w:r>
            <w:r w:rsidRPr="00A53581">
              <w:t>依變項</w:t>
            </w:r>
            <w:r w:rsidRPr="00A53581">
              <w:rPr>
                <w:iCs/>
                <w:lang w:bidi="bn-IN"/>
              </w:rPr>
              <w:t>，</w:t>
            </w:r>
            <w:r w:rsidRPr="00A53581">
              <w:t>應變數</w:t>
            </w:r>
            <w:r w:rsidRPr="00A53581">
              <w:t>)</w:t>
            </w:r>
          </w:p>
        </w:tc>
      </w:tr>
      <w:tr w:rsidR="00203F72" w:rsidRPr="00A53581" w14:paraId="5CF58CF9" w14:textId="77777777" w:rsidTr="00203F72">
        <w:trPr>
          <w:jc w:val="center"/>
        </w:trPr>
        <w:tc>
          <w:tcPr>
            <w:tcW w:w="1069" w:type="dxa"/>
            <w:shd w:val="clear" w:color="auto" w:fill="auto"/>
          </w:tcPr>
          <w:p w14:paraId="5CBE7732" w14:textId="77777777" w:rsidR="00203F72" w:rsidRPr="00A53581" w:rsidRDefault="00203F72" w:rsidP="00D87D91">
            <w:r w:rsidRPr="00A53581">
              <w:t>被執行死刑之人數</w:t>
            </w:r>
            <w:r w:rsidRPr="00A53581">
              <w:t>(</w:t>
            </w:r>
            <w:r w:rsidRPr="00A53581">
              <w:t>自變項</w:t>
            </w:r>
            <w:r w:rsidRPr="00A53581">
              <w:t xml:space="preserve">) </w:t>
            </w:r>
          </w:p>
        </w:tc>
        <w:tc>
          <w:tcPr>
            <w:tcW w:w="1313" w:type="dxa"/>
            <w:shd w:val="clear" w:color="auto" w:fill="auto"/>
          </w:tcPr>
          <w:p w14:paraId="11EF988D" w14:textId="77777777" w:rsidR="00203F72" w:rsidRPr="00A53581" w:rsidRDefault="00203F72" w:rsidP="00D87D91">
            <w:r w:rsidRPr="00A53581">
              <w:t>.080</w:t>
            </w:r>
          </w:p>
          <w:p w14:paraId="2FBC1577" w14:textId="77777777" w:rsidR="00203F72" w:rsidRPr="00A53581" w:rsidRDefault="00203F72" w:rsidP="00D87D91">
            <w:r w:rsidRPr="00A53581">
              <w:t>(1.089)</w:t>
            </w:r>
          </w:p>
        </w:tc>
        <w:tc>
          <w:tcPr>
            <w:tcW w:w="1426" w:type="dxa"/>
            <w:shd w:val="clear" w:color="auto" w:fill="auto"/>
          </w:tcPr>
          <w:p w14:paraId="5D905191" w14:textId="77777777" w:rsidR="00203F72" w:rsidRPr="00A53581" w:rsidRDefault="00203F72" w:rsidP="00D87D91">
            <w:r w:rsidRPr="00A53581">
              <w:t>.0180</w:t>
            </w:r>
          </w:p>
          <w:p w14:paraId="049611A1" w14:textId="77777777" w:rsidR="00203F72" w:rsidRPr="00A53581" w:rsidRDefault="00203F72" w:rsidP="00D87D91">
            <w:r w:rsidRPr="00A53581">
              <w:t>(2.417)</w:t>
            </w:r>
            <w:r w:rsidRPr="00A53581">
              <w:rPr>
                <w:position w:val="10"/>
              </w:rPr>
              <w:t>﹡</w:t>
            </w:r>
          </w:p>
        </w:tc>
        <w:tc>
          <w:tcPr>
            <w:tcW w:w="1440" w:type="dxa"/>
            <w:shd w:val="clear" w:color="auto" w:fill="auto"/>
          </w:tcPr>
          <w:p w14:paraId="0C2EFAD3" w14:textId="77777777" w:rsidR="00203F72" w:rsidRPr="00A53581" w:rsidRDefault="00203F72" w:rsidP="00D87D91">
            <w:r w:rsidRPr="00A53581">
              <w:t>-.025</w:t>
            </w:r>
          </w:p>
          <w:p w14:paraId="01592003" w14:textId="77777777" w:rsidR="00203F72" w:rsidRPr="00A53581" w:rsidRDefault="00203F72" w:rsidP="00D87D91">
            <w:r w:rsidRPr="00A53581">
              <w:t>(-.868)</w:t>
            </w:r>
          </w:p>
        </w:tc>
        <w:tc>
          <w:tcPr>
            <w:tcW w:w="1440" w:type="dxa"/>
            <w:shd w:val="clear" w:color="auto" w:fill="auto"/>
          </w:tcPr>
          <w:p w14:paraId="532DBEC6" w14:textId="77777777" w:rsidR="00203F72" w:rsidRPr="00A53581" w:rsidRDefault="00203F72" w:rsidP="00D87D91">
            <w:r w:rsidRPr="00A53581">
              <w:t>-.008</w:t>
            </w:r>
          </w:p>
          <w:p w14:paraId="1CFC87CD" w14:textId="77777777" w:rsidR="00203F72" w:rsidRPr="00A53581" w:rsidRDefault="00203F72" w:rsidP="00D87D91">
            <w:r w:rsidRPr="00A53581">
              <w:t>(-1.801)</w:t>
            </w:r>
          </w:p>
        </w:tc>
        <w:tc>
          <w:tcPr>
            <w:tcW w:w="1560" w:type="dxa"/>
            <w:shd w:val="clear" w:color="auto" w:fill="auto"/>
          </w:tcPr>
          <w:p w14:paraId="1EF2888F" w14:textId="77777777" w:rsidR="00203F72" w:rsidRPr="00A53581" w:rsidRDefault="00203F72" w:rsidP="00D87D91">
            <w:r w:rsidRPr="00A53581">
              <w:t>-1.668(E-04)</w:t>
            </w:r>
            <w:r w:rsidRPr="00A53581">
              <w:rPr>
                <w:rStyle w:val="af3"/>
                <w:rFonts w:ascii="新細明體" w:hAnsi="新細明體"/>
              </w:rPr>
              <w:footnoteReference w:id="897"/>
            </w:r>
            <w:r w:rsidRPr="00A53581">
              <w:t xml:space="preserve"> </w:t>
            </w:r>
          </w:p>
          <w:p w14:paraId="596D9B8E" w14:textId="77777777" w:rsidR="00203F72" w:rsidRPr="00A53581" w:rsidRDefault="00203F72" w:rsidP="00D87D91">
            <w:r w:rsidRPr="00A53581">
              <w:t>(-.055)</w:t>
            </w:r>
          </w:p>
        </w:tc>
      </w:tr>
      <w:tr w:rsidR="00203F72" w:rsidRPr="00A53581" w14:paraId="3778A159" w14:textId="77777777" w:rsidTr="00203F72">
        <w:trPr>
          <w:jc w:val="center"/>
        </w:trPr>
        <w:tc>
          <w:tcPr>
            <w:tcW w:w="1069" w:type="dxa"/>
            <w:shd w:val="clear" w:color="auto" w:fill="auto"/>
          </w:tcPr>
          <w:p w14:paraId="532E05FF" w14:textId="77777777" w:rsidR="00203F72" w:rsidRPr="00A53581" w:rsidRDefault="00203F72" w:rsidP="00D87D91">
            <w:r w:rsidRPr="00A53581">
              <w:t>刑案破獲率</w:t>
            </w:r>
            <w:r w:rsidRPr="00A53581">
              <w:t>(</w:t>
            </w:r>
            <w:r w:rsidRPr="00A53581">
              <w:t>自變項</w:t>
            </w:r>
            <w:r w:rsidRPr="00A53581">
              <w:t>)</w:t>
            </w:r>
          </w:p>
        </w:tc>
        <w:tc>
          <w:tcPr>
            <w:tcW w:w="1313" w:type="dxa"/>
            <w:shd w:val="clear" w:color="auto" w:fill="auto"/>
          </w:tcPr>
          <w:p w14:paraId="27A8E3CD" w14:textId="77777777" w:rsidR="00203F72" w:rsidRPr="00A53581" w:rsidRDefault="00203F72" w:rsidP="00D87D91">
            <w:r w:rsidRPr="00A53581">
              <w:t>.073</w:t>
            </w:r>
          </w:p>
          <w:p w14:paraId="1537F2FC" w14:textId="77777777" w:rsidR="00203F72" w:rsidRPr="00A53581" w:rsidRDefault="00203F72" w:rsidP="00D87D91">
            <w:r w:rsidRPr="00A53581">
              <w:t>(.324)</w:t>
            </w:r>
          </w:p>
        </w:tc>
        <w:tc>
          <w:tcPr>
            <w:tcW w:w="1426" w:type="dxa"/>
            <w:shd w:val="clear" w:color="auto" w:fill="auto"/>
          </w:tcPr>
          <w:p w14:paraId="1E717A47" w14:textId="77777777" w:rsidR="00203F72" w:rsidRPr="00A53581" w:rsidRDefault="00203F72" w:rsidP="00D87D91">
            <w:r w:rsidRPr="00A53581">
              <w:t>-.008</w:t>
            </w:r>
          </w:p>
          <w:p w14:paraId="026CA946" w14:textId="77777777" w:rsidR="00203F72" w:rsidRPr="00A53581" w:rsidRDefault="00203F72" w:rsidP="00D87D91">
            <w:r w:rsidRPr="00A53581">
              <w:t>(-.49)</w:t>
            </w:r>
          </w:p>
        </w:tc>
        <w:tc>
          <w:tcPr>
            <w:tcW w:w="1440" w:type="dxa"/>
            <w:shd w:val="clear" w:color="auto" w:fill="auto"/>
          </w:tcPr>
          <w:p w14:paraId="1DA68DBE" w14:textId="77777777" w:rsidR="00203F72" w:rsidRPr="00A53581" w:rsidRDefault="00203F72" w:rsidP="00D87D91">
            <w:r w:rsidRPr="00A53581">
              <w:t>-0.21</w:t>
            </w:r>
          </w:p>
          <w:p w14:paraId="1998650E" w14:textId="77777777" w:rsidR="00203F72" w:rsidRPr="00A53581" w:rsidRDefault="00203F72" w:rsidP="00D87D91">
            <w:r w:rsidRPr="00A53581">
              <w:t>(-.931)</w:t>
            </w:r>
          </w:p>
        </w:tc>
        <w:tc>
          <w:tcPr>
            <w:tcW w:w="1440" w:type="dxa"/>
            <w:shd w:val="clear" w:color="auto" w:fill="auto"/>
          </w:tcPr>
          <w:p w14:paraId="066988F4" w14:textId="77777777" w:rsidR="00203F72" w:rsidRPr="00A53581" w:rsidRDefault="00203F72" w:rsidP="00D87D91">
            <w:r w:rsidRPr="00A53581">
              <w:t>-.003</w:t>
            </w:r>
          </w:p>
          <w:p w14:paraId="19B7BB54" w14:textId="77777777" w:rsidR="00203F72" w:rsidRPr="00A53581" w:rsidRDefault="00203F72" w:rsidP="00D87D91">
            <w:r w:rsidRPr="00A53581">
              <w:t>(-.520)</w:t>
            </w:r>
          </w:p>
        </w:tc>
        <w:tc>
          <w:tcPr>
            <w:tcW w:w="1560" w:type="dxa"/>
            <w:shd w:val="clear" w:color="auto" w:fill="auto"/>
          </w:tcPr>
          <w:p w14:paraId="389A5251" w14:textId="77777777" w:rsidR="00203F72" w:rsidRPr="00A53581" w:rsidRDefault="00203F72" w:rsidP="00D87D91">
            <w:r w:rsidRPr="00A53581">
              <w:t>4.889(E-04)</w:t>
            </w:r>
            <w:r w:rsidRPr="00A53581">
              <w:rPr>
                <w:rStyle w:val="af3"/>
                <w:rFonts w:ascii="新細明體" w:hAnsi="新細明體"/>
              </w:rPr>
              <w:footnoteReference w:id="898"/>
            </w:r>
          </w:p>
          <w:p w14:paraId="1354CE3C" w14:textId="77777777" w:rsidR="00203F72" w:rsidRPr="00A53581" w:rsidRDefault="00203F72" w:rsidP="00D87D91">
            <w:r w:rsidRPr="00A53581">
              <w:t>(.568)</w:t>
            </w:r>
          </w:p>
        </w:tc>
      </w:tr>
      <w:tr w:rsidR="00203F72" w:rsidRPr="00A53581" w14:paraId="1A01DD57" w14:textId="77777777" w:rsidTr="00203F72">
        <w:trPr>
          <w:jc w:val="center"/>
        </w:trPr>
        <w:tc>
          <w:tcPr>
            <w:tcW w:w="1069" w:type="dxa"/>
            <w:shd w:val="clear" w:color="auto" w:fill="auto"/>
          </w:tcPr>
          <w:p w14:paraId="29D2AD19" w14:textId="77777777" w:rsidR="00203F72" w:rsidRPr="00A53581" w:rsidRDefault="00203F72" w:rsidP="00D87D91">
            <w:r w:rsidRPr="00A53581">
              <w:t>失業率</w:t>
            </w:r>
            <w:r w:rsidRPr="00A53581">
              <w:t>(</w:t>
            </w:r>
            <w:r w:rsidRPr="00A53581">
              <w:t>自變項</w:t>
            </w:r>
            <w:r w:rsidRPr="00A53581">
              <w:t>)</w:t>
            </w:r>
          </w:p>
        </w:tc>
        <w:tc>
          <w:tcPr>
            <w:tcW w:w="1313" w:type="dxa"/>
            <w:shd w:val="clear" w:color="auto" w:fill="auto"/>
          </w:tcPr>
          <w:p w14:paraId="124762CA" w14:textId="77777777" w:rsidR="00203F72" w:rsidRPr="00A53581" w:rsidRDefault="00203F72" w:rsidP="00D87D91">
            <w:r w:rsidRPr="00A53581">
              <w:t>3.848</w:t>
            </w:r>
          </w:p>
          <w:p w14:paraId="57A59687" w14:textId="77777777" w:rsidR="00203F72" w:rsidRPr="00A53581" w:rsidRDefault="00203F72" w:rsidP="00D87D91">
            <w:r w:rsidRPr="00A53581">
              <w:t xml:space="preserve">(3.077) </w:t>
            </w:r>
            <w:r w:rsidRPr="00A53581">
              <w:rPr>
                <w:position w:val="10"/>
              </w:rPr>
              <w:t>﹡</w:t>
            </w:r>
            <w:r w:rsidRPr="00A53581">
              <w:t xml:space="preserve"> </w:t>
            </w:r>
          </w:p>
        </w:tc>
        <w:tc>
          <w:tcPr>
            <w:tcW w:w="1426" w:type="dxa"/>
            <w:shd w:val="clear" w:color="auto" w:fill="auto"/>
          </w:tcPr>
          <w:p w14:paraId="068CAD43" w14:textId="77777777" w:rsidR="00203F72" w:rsidRPr="00A53581" w:rsidRDefault="00203F72" w:rsidP="00D87D91">
            <w:r w:rsidRPr="00A53581">
              <w:t>.033</w:t>
            </w:r>
          </w:p>
          <w:p w14:paraId="5DDF8C40" w14:textId="77777777" w:rsidR="00203F72" w:rsidRPr="00A53581" w:rsidRDefault="00203F72" w:rsidP="00D87D91">
            <w:r w:rsidRPr="00A53581">
              <w:t>(.697)</w:t>
            </w:r>
          </w:p>
        </w:tc>
        <w:tc>
          <w:tcPr>
            <w:tcW w:w="1440" w:type="dxa"/>
            <w:shd w:val="clear" w:color="auto" w:fill="auto"/>
          </w:tcPr>
          <w:p w14:paraId="641453D5" w14:textId="77777777" w:rsidR="00203F72" w:rsidRPr="00A53581" w:rsidRDefault="00203F72" w:rsidP="00D87D91">
            <w:r w:rsidRPr="00A53581">
              <w:t>-.027</w:t>
            </w:r>
          </w:p>
          <w:p w14:paraId="7AE0F162" w14:textId="77777777" w:rsidR="00203F72" w:rsidRPr="00A53581" w:rsidRDefault="00203F72" w:rsidP="00D87D91">
            <w:r w:rsidRPr="00A53581">
              <w:t>(-.376)</w:t>
            </w:r>
          </w:p>
        </w:tc>
        <w:tc>
          <w:tcPr>
            <w:tcW w:w="1440" w:type="dxa"/>
            <w:shd w:val="clear" w:color="auto" w:fill="auto"/>
          </w:tcPr>
          <w:p w14:paraId="22994918" w14:textId="77777777" w:rsidR="00203F72" w:rsidRPr="00A53581" w:rsidRDefault="00203F72" w:rsidP="00D87D91">
            <w:r w:rsidRPr="00A53581">
              <w:t>.005</w:t>
            </w:r>
          </w:p>
          <w:p w14:paraId="6D95E75F" w14:textId="77777777" w:rsidR="00203F72" w:rsidRPr="00A53581" w:rsidRDefault="00203F72" w:rsidP="00D87D91">
            <w:r w:rsidRPr="00A53581">
              <w:t>(.117)</w:t>
            </w:r>
          </w:p>
        </w:tc>
        <w:tc>
          <w:tcPr>
            <w:tcW w:w="1560" w:type="dxa"/>
            <w:shd w:val="clear" w:color="auto" w:fill="auto"/>
          </w:tcPr>
          <w:p w14:paraId="2ADA168F" w14:textId="77777777" w:rsidR="00203F72" w:rsidRPr="00A53581" w:rsidRDefault="00203F72" w:rsidP="00D87D91">
            <w:r w:rsidRPr="00A53581">
              <w:t>.009</w:t>
            </w:r>
          </w:p>
          <w:p w14:paraId="0BA026EC" w14:textId="77777777" w:rsidR="00203F72" w:rsidRPr="00A53581" w:rsidRDefault="00203F72" w:rsidP="00D87D91">
            <w:r w:rsidRPr="00A53581">
              <w:t>(1.019)</w:t>
            </w:r>
          </w:p>
        </w:tc>
      </w:tr>
      <w:tr w:rsidR="00203F72" w:rsidRPr="00A53581" w14:paraId="292B0C16" w14:textId="77777777" w:rsidTr="00203F72">
        <w:trPr>
          <w:jc w:val="center"/>
        </w:trPr>
        <w:tc>
          <w:tcPr>
            <w:tcW w:w="1069" w:type="dxa"/>
            <w:shd w:val="clear" w:color="auto" w:fill="auto"/>
          </w:tcPr>
          <w:p w14:paraId="54950F85" w14:textId="77777777" w:rsidR="00203F72" w:rsidRPr="00A53581" w:rsidRDefault="00203F72" w:rsidP="00D87D91">
            <w:r w:rsidRPr="00A53581">
              <w:t>離婚率</w:t>
            </w:r>
            <w:r w:rsidRPr="00A53581">
              <w:t>(</w:t>
            </w:r>
            <w:r w:rsidRPr="00A53581">
              <w:t>自變項</w:t>
            </w:r>
            <w:r w:rsidRPr="00A53581">
              <w:t>)</w:t>
            </w:r>
          </w:p>
        </w:tc>
        <w:tc>
          <w:tcPr>
            <w:tcW w:w="1313" w:type="dxa"/>
            <w:shd w:val="clear" w:color="auto" w:fill="auto"/>
          </w:tcPr>
          <w:p w14:paraId="75815501" w14:textId="77777777" w:rsidR="00203F72" w:rsidRPr="00703176" w:rsidRDefault="00203F72" w:rsidP="00703176">
            <w:r w:rsidRPr="00703176">
              <w:t>59.425</w:t>
            </w:r>
          </w:p>
          <w:p w14:paraId="7DA6F295" w14:textId="77777777" w:rsidR="00203F72" w:rsidRPr="00703176" w:rsidRDefault="00203F72" w:rsidP="00703176">
            <w:r w:rsidRPr="00703176">
              <w:t xml:space="preserve">(2.776) </w:t>
            </w:r>
            <w:r w:rsidRPr="00703176">
              <w:t>﹡</w:t>
            </w:r>
          </w:p>
        </w:tc>
        <w:tc>
          <w:tcPr>
            <w:tcW w:w="1426" w:type="dxa"/>
            <w:shd w:val="clear" w:color="auto" w:fill="auto"/>
          </w:tcPr>
          <w:p w14:paraId="08B53BA3" w14:textId="77777777" w:rsidR="00203F72" w:rsidRPr="00703176" w:rsidRDefault="00203F72" w:rsidP="00703176">
            <w:r w:rsidRPr="00703176">
              <w:t>2.219</w:t>
            </w:r>
          </w:p>
          <w:p w14:paraId="2BBD9948" w14:textId="77777777" w:rsidR="00203F72" w:rsidRPr="00703176" w:rsidRDefault="00203F72" w:rsidP="00703176">
            <w:r w:rsidRPr="00703176">
              <w:t xml:space="preserve">(2.985) </w:t>
            </w:r>
            <w:r w:rsidRPr="00703176">
              <w:t>﹡</w:t>
            </w:r>
          </w:p>
        </w:tc>
        <w:tc>
          <w:tcPr>
            <w:tcW w:w="1440" w:type="dxa"/>
            <w:shd w:val="clear" w:color="auto" w:fill="auto"/>
          </w:tcPr>
          <w:p w14:paraId="23AE3A6C" w14:textId="77777777" w:rsidR="00203F72" w:rsidRPr="00A53581" w:rsidRDefault="00203F72" w:rsidP="00D87D91">
            <w:r w:rsidRPr="00A53581">
              <w:t>-.127</w:t>
            </w:r>
          </w:p>
          <w:p w14:paraId="6E03FDD9" w14:textId="77777777" w:rsidR="00203F72" w:rsidRPr="00A53581" w:rsidRDefault="00203F72" w:rsidP="00D87D91">
            <w:r w:rsidRPr="00A53581">
              <w:t>(-.129)</w:t>
            </w:r>
          </w:p>
        </w:tc>
        <w:tc>
          <w:tcPr>
            <w:tcW w:w="1440" w:type="dxa"/>
            <w:shd w:val="clear" w:color="auto" w:fill="auto"/>
          </w:tcPr>
          <w:p w14:paraId="2A2E6C03" w14:textId="77777777" w:rsidR="00203F72" w:rsidRPr="00A53581" w:rsidRDefault="00203F72" w:rsidP="00D87D91">
            <w:r w:rsidRPr="00A53581">
              <w:t>-.374</w:t>
            </w:r>
          </w:p>
          <w:p w14:paraId="51F2846F" w14:textId="77777777" w:rsidR="00203F72" w:rsidRPr="00A53581" w:rsidRDefault="00203F72" w:rsidP="00D87D91">
            <w:r w:rsidRPr="00A53581">
              <w:t>(-.494)</w:t>
            </w:r>
          </w:p>
        </w:tc>
        <w:tc>
          <w:tcPr>
            <w:tcW w:w="1560" w:type="dxa"/>
            <w:shd w:val="clear" w:color="auto" w:fill="auto"/>
          </w:tcPr>
          <w:p w14:paraId="5FCF6BE4" w14:textId="77777777" w:rsidR="00203F72" w:rsidRPr="00A53581" w:rsidRDefault="00203F72" w:rsidP="00D87D91">
            <w:r w:rsidRPr="00A53581">
              <w:t>-.103</w:t>
            </w:r>
          </w:p>
          <w:p w14:paraId="336AF44D" w14:textId="77777777" w:rsidR="00203F72" w:rsidRPr="00A53581" w:rsidRDefault="00203F72" w:rsidP="00D87D91">
            <w:r w:rsidRPr="00A53581">
              <w:t>(-1.201)</w:t>
            </w:r>
          </w:p>
        </w:tc>
      </w:tr>
      <w:tr w:rsidR="00203F72" w:rsidRPr="00A53581" w14:paraId="5D6DA5D5" w14:textId="77777777" w:rsidTr="00203F72">
        <w:trPr>
          <w:jc w:val="center"/>
        </w:trPr>
        <w:tc>
          <w:tcPr>
            <w:tcW w:w="1069" w:type="dxa"/>
            <w:shd w:val="clear" w:color="auto" w:fill="auto"/>
          </w:tcPr>
          <w:p w14:paraId="737B60DC" w14:textId="77777777" w:rsidR="00203F72" w:rsidRPr="00A53581" w:rsidRDefault="00203F72" w:rsidP="00D87D91">
            <w:r w:rsidRPr="00A53581">
              <w:t>15~29</w:t>
            </w:r>
            <w:r w:rsidRPr="00A53581">
              <w:t>歲</w:t>
            </w:r>
          </w:p>
          <w:p w14:paraId="5F3FD2F4" w14:textId="77777777" w:rsidR="00203F72" w:rsidRPr="00A53581" w:rsidRDefault="00203F72" w:rsidP="00D87D91">
            <w:r w:rsidRPr="00A53581">
              <w:t>人口比例</w:t>
            </w:r>
            <w:r w:rsidRPr="00A53581">
              <w:t>(</w:t>
            </w:r>
            <w:r w:rsidRPr="00A53581">
              <w:t>自變項</w:t>
            </w:r>
            <w:r w:rsidRPr="00A53581">
              <w:t>)</w:t>
            </w:r>
          </w:p>
        </w:tc>
        <w:tc>
          <w:tcPr>
            <w:tcW w:w="1313" w:type="dxa"/>
            <w:shd w:val="clear" w:color="auto" w:fill="auto"/>
          </w:tcPr>
          <w:p w14:paraId="2E8CBE5F" w14:textId="77777777" w:rsidR="00203F72" w:rsidRPr="00703176" w:rsidRDefault="00203F72" w:rsidP="00703176">
            <w:r w:rsidRPr="00703176">
              <w:t>-2.190</w:t>
            </w:r>
          </w:p>
          <w:p w14:paraId="68701348" w14:textId="77777777" w:rsidR="00203F72" w:rsidRPr="00703176" w:rsidRDefault="00203F72" w:rsidP="00703176">
            <w:r w:rsidRPr="00703176">
              <w:t xml:space="preserve">(-4.893) </w:t>
            </w:r>
            <w:r w:rsidRPr="00703176">
              <w:t>﹡</w:t>
            </w:r>
          </w:p>
        </w:tc>
        <w:tc>
          <w:tcPr>
            <w:tcW w:w="1426" w:type="dxa"/>
            <w:shd w:val="clear" w:color="auto" w:fill="auto"/>
          </w:tcPr>
          <w:p w14:paraId="2EA0AA04" w14:textId="77777777" w:rsidR="00203F72" w:rsidRPr="00703176" w:rsidRDefault="00203F72" w:rsidP="00703176">
            <w:r w:rsidRPr="00703176">
              <w:t>-.027</w:t>
            </w:r>
          </w:p>
          <w:p w14:paraId="64A734C4" w14:textId="77777777" w:rsidR="00203F72" w:rsidRPr="00703176" w:rsidRDefault="00203F72" w:rsidP="00703176">
            <w:r w:rsidRPr="00703176">
              <w:t>(-1.867)</w:t>
            </w:r>
          </w:p>
        </w:tc>
        <w:tc>
          <w:tcPr>
            <w:tcW w:w="1440" w:type="dxa"/>
            <w:shd w:val="clear" w:color="auto" w:fill="auto"/>
          </w:tcPr>
          <w:p w14:paraId="7DA030D2" w14:textId="77777777" w:rsidR="00203F72" w:rsidRPr="00A53581" w:rsidRDefault="00203F72" w:rsidP="00D87D91">
            <w:r w:rsidRPr="00A53581">
              <w:t>-.761</w:t>
            </w:r>
          </w:p>
          <w:p w14:paraId="057DDE88" w14:textId="77777777" w:rsidR="00203F72" w:rsidRPr="00A53581" w:rsidRDefault="00203F72" w:rsidP="00D87D91">
            <w:r w:rsidRPr="00A53581">
              <w:t>(-1.042)</w:t>
            </w:r>
          </w:p>
        </w:tc>
        <w:tc>
          <w:tcPr>
            <w:tcW w:w="1440" w:type="dxa"/>
            <w:shd w:val="clear" w:color="auto" w:fill="auto"/>
          </w:tcPr>
          <w:p w14:paraId="48CEACCC" w14:textId="77777777" w:rsidR="00203F72" w:rsidRPr="00A53581" w:rsidRDefault="00203F72" w:rsidP="00D87D91">
            <w:r w:rsidRPr="00A53581">
              <w:t>-.029</w:t>
            </w:r>
          </w:p>
          <w:p w14:paraId="3BC7DA16" w14:textId="77777777" w:rsidR="00203F72" w:rsidRPr="00A53581" w:rsidRDefault="00203F72" w:rsidP="00D87D91">
            <w:r w:rsidRPr="00A53581">
              <w:t>(-1.901)</w:t>
            </w:r>
          </w:p>
        </w:tc>
        <w:tc>
          <w:tcPr>
            <w:tcW w:w="1560" w:type="dxa"/>
            <w:shd w:val="clear" w:color="auto" w:fill="auto"/>
          </w:tcPr>
          <w:p w14:paraId="7D065EDF" w14:textId="77777777" w:rsidR="00203F72" w:rsidRPr="00A53581" w:rsidRDefault="00203F72" w:rsidP="00D87D91">
            <w:r w:rsidRPr="00A53581">
              <w:t>.004</w:t>
            </w:r>
          </w:p>
          <w:p w14:paraId="78728BE4" w14:textId="77777777" w:rsidR="00203F72" w:rsidRPr="00A53581" w:rsidRDefault="00203F72" w:rsidP="00D87D91">
            <w:r w:rsidRPr="00A53581">
              <w:t>(.991)</w:t>
            </w:r>
          </w:p>
        </w:tc>
      </w:tr>
      <w:tr w:rsidR="00203F72" w:rsidRPr="00A53581" w14:paraId="16230939" w14:textId="77777777" w:rsidTr="00203F72">
        <w:trPr>
          <w:jc w:val="center"/>
        </w:trPr>
        <w:tc>
          <w:tcPr>
            <w:tcW w:w="1069" w:type="dxa"/>
            <w:shd w:val="clear" w:color="auto" w:fill="auto"/>
          </w:tcPr>
          <w:p w14:paraId="527FCDE5" w14:textId="77777777" w:rsidR="00203F72" w:rsidRPr="00A53581" w:rsidRDefault="00203F72" w:rsidP="00D87D91">
            <w:r w:rsidRPr="00A53581">
              <w:t>國民平均所得</w:t>
            </w:r>
            <w:r w:rsidRPr="00A53581">
              <w:t>(</w:t>
            </w:r>
            <w:r w:rsidRPr="00A53581">
              <w:t>自變項</w:t>
            </w:r>
            <w:r w:rsidRPr="00A53581">
              <w:t>)</w:t>
            </w:r>
          </w:p>
        </w:tc>
        <w:tc>
          <w:tcPr>
            <w:tcW w:w="1313" w:type="dxa"/>
            <w:shd w:val="clear" w:color="auto" w:fill="auto"/>
          </w:tcPr>
          <w:p w14:paraId="0C0AAB27" w14:textId="77777777" w:rsidR="00203F72" w:rsidRPr="00703176" w:rsidRDefault="00203F72" w:rsidP="00703176">
            <w:r w:rsidRPr="00703176">
              <w:t>3.80(E-04)</w:t>
            </w:r>
            <w:r w:rsidRPr="00703176">
              <w:footnoteReference w:id="899"/>
            </w:r>
          </w:p>
          <w:p w14:paraId="1054AC4C" w14:textId="77777777" w:rsidR="00203F72" w:rsidRPr="00703176" w:rsidRDefault="00203F72" w:rsidP="00703176">
            <w:r w:rsidRPr="00703176">
              <w:t xml:space="preserve">(4.120) </w:t>
            </w:r>
            <w:r w:rsidRPr="00703176">
              <w:t>﹡</w:t>
            </w:r>
          </w:p>
        </w:tc>
        <w:tc>
          <w:tcPr>
            <w:tcW w:w="1426" w:type="dxa"/>
            <w:shd w:val="clear" w:color="auto" w:fill="auto"/>
          </w:tcPr>
          <w:p w14:paraId="1B628AC5" w14:textId="77777777" w:rsidR="00203F72" w:rsidRPr="00703176" w:rsidRDefault="00203F72" w:rsidP="00703176">
            <w:r w:rsidRPr="00703176">
              <w:t>9.743(E-07)</w:t>
            </w:r>
            <w:r w:rsidRPr="00703176">
              <w:footnoteReference w:id="900"/>
            </w:r>
          </w:p>
          <w:p w14:paraId="2E727305" w14:textId="77777777" w:rsidR="00203F72" w:rsidRPr="00703176" w:rsidRDefault="00203F72" w:rsidP="00703176">
            <w:r w:rsidRPr="00703176">
              <w:t>(.247)</w:t>
            </w:r>
          </w:p>
        </w:tc>
        <w:tc>
          <w:tcPr>
            <w:tcW w:w="1440" w:type="dxa"/>
            <w:shd w:val="clear" w:color="auto" w:fill="auto"/>
          </w:tcPr>
          <w:p w14:paraId="77B35D48" w14:textId="77777777" w:rsidR="00203F72" w:rsidRPr="00A53581" w:rsidRDefault="00203F72" w:rsidP="00D87D91">
            <w:r w:rsidRPr="00A53581">
              <w:t>-9.009(E-06)</w:t>
            </w:r>
          </w:p>
          <w:p w14:paraId="370E8486" w14:textId="77777777" w:rsidR="00203F72" w:rsidRPr="00A53581" w:rsidRDefault="00203F72" w:rsidP="00D87D91">
            <w:r w:rsidRPr="00A53581">
              <w:t>(-.668)</w:t>
            </w:r>
          </w:p>
        </w:tc>
        <w:tc>
          <w:tcPr>
            <w:tcW w:w="1440" w:type="dxa"/>
            <w:shd w:val="clear" w:color="auto" w:fill="auto"/>
          </w:tcPr>
          <w:p w14:paraId="42FEDBC6" w14:textId="77777777" w:rsidR="00203F72" w:rsidRPr="00A53581" w:rsidRDefault="00203F72" w:rsidP="00D87D91">
            <w:r w:rsidRPr="00A53581">
              <w:t>5.774(E-07)</w:t>
            </w:r>
          </w:p>
          <w:p w14:paraId="464225A1" w14:textId="77777777" w:rsidR="00203F72" w:rsidRPr="00A53581" w:rsidRDefault="00203F72" w:rsidP="00D87D91">
            <w:r w:rsidRPr="00A53581">
              <w:t>(.145)</w:t>
            </w:r>
          </w:p>
        </w:tc>
        <w:tc>
          <w:tcPr>
            <w:tcW w:w="1560" w:type="dxa"/>
            <w:shd w:val="clear" w:color="auto" w:fill="auto"/>
          </w:tcPr>
          <w:p w14:paraId="72AA5E23" w14:textId="77777777" w:rsidR="00203F72" w:rsidRPr="00A53581" w:rsidRDefault="00203F72" w:rsidP="00D87D91">
            <w:r w:rsidRPr="00A53581">
              <w:t>1.083(E-07)</w:t>
            </w:r>
          </w:p>
          <w:p w14:paraId="0CEA5DF4" w14:textId="77777777" w:rsidR="00203F72" w:rsidRPr="00A53581" w:rsidRDefault="00203F72" w:rsidP="00D87D91">
            <w:r w:rsidRPr="00A53581">
              <w:t>(.192)</w:t>
            </w:r>
          </w:p>
        </w:tc>
      </w:tr>
      <w:tr w:rsidR="00203F72" w:rsidRPr="00A53581" w14:paraId="7D246FE1" w14:textId="77777777" w:rsidTr="00203F72">
        <w:trPr>
          <w:jc w:val="center"/>
        </w:trPr>
        <w:tc>
          <w:tcPr>
            <w:tcW w:w="1069" w:type="dxa"/>
            <w:shd w:val="clear" w:color="auto" w:fill="auto"/>
          </w:tcPr>
          <w:p w14:paraId="5925904B" w14:textId="77777777" w:rsidR="00203F72" w:rsidRPr="00A53581" w:rsidRDefault="00203F72" w:rsidP="00D87D91">
            <w:r w:rsidRPr="00A53581">
              <w:t>司法經費</w:t>
            </w:r>
            <w:r w:rsidRPr="00A53581">
              <w:t>(</w:t>
            </w:r>
            <w:r w:rsidRPr="00A53581">
              <w:t>自變項</w:t>
            </w:r>
            <w:r w:rsidRPr="00A53581">
              <w:t>)</w:t>
            </w:r>
          </w:p>
        </w:tc>
        <w:tc>
          <w:tcPr>
            <w:tcW w:w="1313" w:type="dxa"/>
            <w:shd w:val="clear" w:color="auto" w:fill="auto"/>
          </w:tcPr>
          <w:p w14:paraId="111D7D1E" w14:textId="77777777" w:rsidR="00203F72" w:rsidRPr="00703176" w:rsidRDefault="00203F72" w:rsidP="00703176">
            <w:r w:rsidRPr="00703176">
              <w:t>-.049</w:t>
            </w:r>
          </w:p>
          <w:p w14:paraId="3355A2A5" w14:textId="77777777" w:rsidR="00203F72" w:rsidRPr="00703176" w:rsidRDefault="00203F72" w:rsidP="00703176">
            <w:r w:rsidRPr="00703176">
              <w:t xml:space="preserve">(-4.197) </w:t>
            </w:r>
            <w:r w:rsidRPr="00703176">
              <w:t>﹡</w:t>
            </w:r>
          </w:p>
        </w:tc>
        <w:tc>
          <w:tcPr>
            <w:tcW w:w="1426" w:type="dxa"/>
            <w:shd w:val="clear" w:color="auto" w:fill="auto"/>
          </w:tcPr>
          <w:p w14:paraId="774D5700" w14:textId="77777777" w:rsidR="00203F72" w:rsidRPr="00703176" w:rsidRDefault="00203F72" w:rsidP="00703176">
            <w:r w:rsidRPr="00703176">
              <w:t>-.001</w:t>
            </w:r>
          </w:p>
          <w:p w14:paraId="6D0F8AA4" w14:textId="77777777" w:rsidR="00203F72" w:rsidRPr="00703176" w:rsidRDefault="00203F72" w:rsidP="00703176">
            <w:r w:rsidRPr="00703176">
              <w:t xml:space="preserve">(-2.947) </w:t>
            </w:r>
            <w:r w:rsidRPr="00703176">
              <w:t>﹡</w:t>
            </w:r>
          </w:p>
        </w:tc>
        <w:tc>
          <w:tcPr>
            <w:tcW w:w="1440" w:type="dxa"/>
            <w:shd w:val="clear" w:color="auto" w:fill="auto"/>
          </w:tcPr>
          <w:p w14:paraId="0846A84C" w14:textId="77777777" w:rsidR="00203F72" w:rsidRPr="00A53581" w:rsidRDefault="00203F72" w:rsidP="00D87D91">
            <w:r w:rsidRPr="00A53581">
              <w:t>-.004(E-04)</w:t>
            </w:r>
          </w:p>
          <w:p w14:paraId="19B322AF" w14:textId="77777777" w:rsidR="00203F72" w:rsidRPr="00A53581" w:rsidRDefault="00203F72" w:rsidP="00D87D91">
            <w:r w:rsidRPr="00A53581">
              <w:t>(-1.266)</w:t>
            </w:r>
          </w:p>
        </w:tc>
        <w:tc>
          <w:tcPr>
            <w:tcW w:w="1440" w:type="dxa"/>
            <w:shd w:val="clear" w:color="auto" w:fill="auto"/>
          </w:tcPr>
          <w:p w14:paraId="08465A76" w14:textId="77777777" w:rsidR="00203F72" w:rsidRPr="00A53581" w:rsidRDefault="00203F72" w:rsidP="00D87D91">
            <w:r w:rsidRPr="00A53581">
              <w:t>6.395(E-04)</w:t>
            </w:r>
          </w:p>
          <w:p w14:paraId="0E090DE7" w14:textId="77777777" w:rsidR="00203F72" w:rsidRPr="00A53581" w:rsidRDefault="00203F72" w:rsidP="00D87D91">
            <w:r w:rsidRPr="00A53581">
              <w:t>(1.626)</w:t>
            </w:r>
          </w:p>
        </w:tc>
        <w:tc>
          <w:tcPr>
            <w:tcW w:w="1560" w:type="dxa"/>
            <w:shd w:val="clear" w:color="auto" w:fill="auto"/>
          </w:tcPr>
          <w:p w14:paraId="0C6710C4" w14:textId="77777777" w:rsidR="00203F72" w:rsidRPr="00A53581" w:rsidRDefault="00203F72" w:rsidP="00D87D91">
            <w:r w:rsidRPr="00A53581">
              <w:t>7.523(E-05)</w:t>
            </w:r>
          </w:p>
          <w:p w14:paraId="68FAEB5E" w14:textId="77777777" w:rsidR="00203F72" w:rsidRPr="00A53581" w:rsidRDefault="00203F72" w:rsidP="00D87D91">
            <w:r w:rsidRPr="00A53581">
              <w:t>(1.765)</w:t>
            </w:r>
          </w:p>
        </w:tc>
      </w:tr>
      <w:tr w:rsidR="00203F72" w:rsidRPr="00A53581" w14:paraId="6FE401E2" w14:textId="77777777" w:rsidTr="00203F72">
        <w:trPr>
          <w:jc w:val="center"/>
        </w:trPr>
        <w:tc>
          <w:tcPr>
            <w:tcW w:w="1069" w:type="dxa"/>
            <w:shd w:val="clear" w:color="auto" w:fill="auto"/>
          </w:tcPr>
          <w:p w14:paraId="79E4F8CE" w14:textId="77777777" w:rsidR="00203F72" w:rsidRPr="00A53581" w:rsidRDefault="00203F72" w:rsidP="00D87D91">
            <w:r w:rsidRPr="00A53581">
              <w:t>警民比例</w:t>
            </w:r>
            <w:r w:rsidRPr="00A53581">
              <w:t>(</w:t>
            </w:r>
            <w:r w:rsidRPr="00A53581">
              <w:t>自變項</w:t>
            </w:r>
            <w:r w:rsidRPr="00A53581">
              <w:t>)</w:t>
            </w:r>
          </w:p>
        </w:tc>
        <w:tc>
          <w:tcPr>
            <w:tcW w:w="1313" w:type="dxa"/>
            <w:shd w:val="clear" w:color="auto" w:fill="auto"/>
          </w:tcPr>
          <w:p w14:paraId="6029F098" w14:textId="77777777" w:rsidR="00203F72" w:rsidRPr="00703176" w:rsidRDefault="00203F72" w:rsidP="00703176">
            <w:r w:rsidRPr="00703176">
              <w:t>.635</w:t>
            </w:r>
          </w:p>
          <w:p w14:paraId="43FFD780" w14:textId="77777777" w:rsidR="00203F72" w:rsidRPr="00703176" w:rsidRDefault="00203F72" w:rsidP="00703176">
            <w:r w:rsidRPr="00703176">
              <w:t>(.836)</w:t>
            </w:r>
          </w:p>
        </w:tc>
        <w:tc>
          <w:tcPr>
            <w:tcW w:w="1426" w:type="dxa"/>
            <w:shd w:val="clear" w:color="auto" w:fill="auto"/>
          </w:tcPr>
          <w:p w14:paraId="48FB3300" w14:textId="77777777" w:rsidR="00203F72" w:rsidRPr="00703176" w:rsidRDefault="00203F72" w:rsidP="00703176">
            <w:r w:rsidRPr="00703176">
              <w:t>-.007</w:t>
            </w:r>
          </w:p>
          <w:p w14:paraId="67E0573F" w14:textId="77777777" w:rsidR="00203F72" w:rsidRPr="00703176" w:rsidRDefault="00203F72" w:rsidP="00703176">
            <w:r w:rsidRPr="00703176">
              <w:t>(-.225)</w:t>
            </w:r>
          </w:p>
        </w:tc>
        <w:tc>
          <w:tcPr>
            <w:tcW w:w="1440" w:type="dxa"/>
            <w:shd w:val="clear" w:color="auto" w:fill="auto"/>
          </w:tcPr>
          <w:p w14:paraId="247FFA55" w14:textId="77777777" w:rsidR="00203F72" w:rsidRPr="00A53581" w:rsidRDefault="00203F72" w:rsidP="00D87D91">
            <w:r w:rsidRPr="00A53581">
              <w:t>-.034</w:t>
            </w:r>
          </w:p>
          <w:p w14:paraId="5CB35EAD" w14:textId="77777777" w:rsidR="00203F72" w:rsidRPr="00A53581" w:rsidRDefault="00203F72" w:rsidP="00D87D91">
            <w:r w:rsidRPr="00A53581">
              <w:t>(-1.338)</w:t>
            </w:r>
          </w:p>
        </w:tc>
        <w:tc>
          <w:tcPr>
            <w:tcW w:w="1440" w:type="dxa"/>
            <w:shd w:val="clear" w:color="auto" w:fill="auto"/>
          </w:tcPr>
          <w:p w14:paraId="6843FDD8" w14:textId="77777777" w:rsidR="00203F72" w:rsidRPr="00A53581" w:rsidRDefault="00203F72" w:rsidP="00D87D91">
            <w:r w:rsidRPr="00A53581">
              <w:t>.089</w:t>
            </w:r>
          </w:p>
          <w:p w14:paraId="136E2FFF" w14:textId="77777777" w:rsidR="00203F72" w:rsidRPr="00A53581" w:rsidRDefault="00203F72" w:rsidP="00D87D91">
            <w:r w:rsidRPr="00A53581">
              <w:t xml:space="preserve">(2.884) </w:t>
            </w:r>
            <w:r w:rsidRPr="00A53581">
              <w:rPr>
                <w:position w:val="10"/>
              </w:rPr>
              <w:t>﹡</w:t>
            </w:r>
          </w:p>
        </w:tc>
        <w:tc>
          <w:tcPr>
            <w:tcW w:w="1560" w:type="dxa"/>
            <w:shd w:val="clear" w:color="auto" w:fill="auto"/>
          </w:tcPr>
          <w:p w14:paraId="05340C07" w14:textId="77777777" w:rsidR="00203F72" w:rsidRPr="00A53581" w:rsidRDefault="00203F72" w:rsidP="00D87D91">
            <w:r w:rsidRPr="00A53581">
              <w:t>.001</w:t>
            </w:r>
          </w:p>
          <w:p w14:paraId="38BE1979" w14:textId="77777777" w:rsidR="00203F72" w:rsidRPr="00A53581" w:rsidRDefault="00203F72" w:rsidP="00D87D91">
            <w:r w:rsidRPr="00A53581">
              <w:t>(.438)</w:t>
            </w:r>
          </w:p>
        </w:tc>
      </w:tr>
      <w:tr w:rsidR="00203F72" w:rsidRPr="00A53581" w14:paraId="56513640" w14:textId="77777777" w:rsidTr="00203F72">
        <w:trPr>
          <w:jc w:val="center"/>
        </w:trPr>
        <w:tc>
          <w:tcPr>
            <w:tcW w:w="1069" w:type="dxa"/>
            <w:shd w:val="clear" w:color="auto" w:fill="auto"/>
          </w:tcPr>
          <w:p w14:paraId="19292D85" w14:textId="77777777" w:rsidR="00203F72" w:rsidRPr="00A53581" w:rsidRDefault="00203F72" w:rsidP="00D87D91">
            <w:r w:rsidRPr="00A53581">
              <w:t>常數</w:t>
            </w:r>
          </w:p>
        </w:tc>
        <w:tc>
          <w:tcPr>
            <w:tcW w:w="1313" w:type="dxa"/>
            <w:shd w:val="clear" w:color="auto" w:fill="auto"/>
          </w:tcPr>
          <w:p w14:paraId="5BC408E1" w14:textId="77777777" w:rsidR="00203F72" w:rsidRPr="00703176" w:rsidRDefault="00203F72" w:rsidP="00703176">
            <w:r w:rsidRPr="00703176">
              <w:t>21.568</w:t>
            </w:r>
          </w:p>
          <w:p w14:paraId="0A95771C" w14:textId="77777777" w:rsidR="00203F72" w:rsidRPr="00703176" w:rsidRDefault="00203F72" w:rsidP="00703176">
            <w:r w:rsidRPr="00703176">
              <w:t>(.818)</w:t>
            </w:r>
          </w:p>
        </w:tc>
        <w:tc>
          <w:tcPr>
            <w:tcW w:w="1426" w:type="dxa"/>
            <w:shd w:val="clear" w:color="auto" w:fill="auto"/>
          </w:tcPr>
          <w:p w14:paraId="230718B5" w14:textId="77777777" w:rsidR="00203F72" w:rsidRPr="00703176" w:rsidRDefault="00203F72" w:rsidP="00703176">
            <w:r w:rsidRPr="00703176">
              <w:t>1.292</w:t>
            </w:r>
          </w:p>
          <w:p w14:paraId="624B9FAF" w14:textId="77777777" w:rsidR="00203F72" w:rsidRPr="00703176" w:rsidRDefault="00203F72" w:rsidP="00703176">
            <w:r w:rsidRPr="00703176">
              <w:t>(.562)</w:t>
            </w:r>
          </w:p>
        </w:tc>
        <w:tc>
          <w:tcPr>
            <w:tcW w:w="1440" w:type="dxa"/>
            <w:shd w:val="clear" w:color="auto" w:fill="auto"/>
          </w:tcPr>
          <w:p w14:paraId="0A39E4CE" w14:textId="77777777" w:rsidR="00203F72" w:rsidRPr="00A53581" w:rsidRDefault="00203F72" w:rsidP="00D87D91">
            <w:r w:rsidRPr="00A53581">
              <w:t>28.897</w:t>
            </w:r>
          </w:p>
          <w:p w14:paraId="6A0B5959" w14:textId="77777777" w:rsidR="00203F72" w:rsidRPr="00A53581" w:rsidRDefault="00203F72" w:rsidP="00D87D91">
            <w:r w:rsidRPr="00A53581">
              <w:t>(1.129)</w:t>
            </w:r>
          </w:p>
        </w:tc>
        <w:tc>
          <w:tcPr>
            <w:tcW w:w="1440" w:type="dxa"/>
            <w:shd w:val="clear" w:color="auto" w:fill="auto"/>
          </w:tcPr>
          <w:p w14:paraId="506F931B" w14:textId="77777777" w:rsidR="00203F72" w:rsidRPr="00A53581" w:rsidRDefault="00203F72" w:rsidP="00D87D91">
            <w:r w:rsidRPr="00A53581">
              <w:t>-.659</w:t>
            </w:r>
          </w:p>
          <w:p w14:paraId="636B629A" w14:textId="77777777" w:rsidR="00203F72" w:rsidRPr="00A53581" w:rsidRDefault="00203F72" w:rsidP="00D87D91">
            <w:r w:rsidRPr="00A53581">
              <w:t>(-.500)</w:t>
            </w:r>
          </w:p>
        </w:tc>
        <w:tc>
          <w:tcPr>
            <w:tcW w:w="1560" w:type="dxa"/>
            <w:shd w:val="clear" w:color="auto" w:fill="auto"/>
          </w:tcPr>
          <w:p w14:paraId="29B28816" w14:textId="77777777" w:rsidR="00203F72" w:rsidRPr="00A53581" w:rsidRDefault="00203F72" w:rsidP="00D87D91">
            <w:r w:rsidRPr="00A53581">
              <w:t>-.183</w:t>
            </w:r>
          </w:p>
          <w:p w14:paraId="411B7B2D" w14:textId="77777777" w:rsidR="00203F72" w:rsidRPr="00A53581" w:rsidRDefault="00203F72" w:rsidP="00D87D91">
            <w:r w:rsidRPr="00A53581">
              <w:t>(-1.191)</w:t>
            </w:r>
          </w:p>
        </w:tc>
      </w:tr>
    </w:tbl>
    <w:p w14:paraId="049B2B57" w14:textId="77777777" w:rsidR="00203F72" w:rsidRPr="00A53581" w:rsidRDefault="00203F72" w:rsidP="00D87D91"/>
    <w:p w14:paraId="4FDA6645" w14:textId="77777777" w:rsidR="00953151" w:rsidRPr="00515D85" w:rsidRDefault="00CA2C52" w:rsidP="00D87D91">
      <w:r w:rsidRPr="00515D85">
        <w:rPr>
          <w:rFonts w:hint="eastAsia"/>
        </w:rPr>
        <w:t>【</w:t>
      </w:r>
      <w:r w:rsidR="00203F72" w:rsidRPr="00515D85">
        <w:t>註</w:t>
      </w:r>
      <w:r w:rsidRPr="00515D85">
        <w:rPr>
          <w:rFonts w:hint="eastAsia"/>
        </w:rPr>
        <w:t>】</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119</w:t>
      </w:r>
      <w:r w:rsidR="00203F72" w:rsidRPr="00515D85">
        <w:t>，並經由作者重新改寫與闡釋其統計實證數據之意義。</w:t>
      </w:r>
    </w:p>
    <w:p w14:paraId="089251B7" w14:textId="77777777" w:rsidR="00203F72" w:rsidRPr="00515D85" w:rsidRDefault="00CA2C52" w:rsidP="00D87D91">
      <w:r w:rsidRPr="00515D85">
        <w:t xml:space="preserve">　　</w:t>
      </w:r>
      <w:r w:rsidR="00203F72" w:rsidRPr="00515D85">
        <w:t>根據下表「各種重要犯罪嚇阻指標變化及社會指標變化與犯罪率變化之同時效應複迴歸分析表」（相對數模式）之實證數據，就執行死刑之同一年度內的同時效應而言</w:t>
      </w:r>
      <w:r w:rsidR="00203F72" w:rsidRPr="00A53581">
        <w:t>（相</w:t>
      </w:r>
      <w:r w:rsidR="00203F72" w:rsidRPr="00515D85">
        <w:t>對數模式），死刑對於同一年度內之「總體犯罪率」、「強姦犯罪率」、「暴力性財產犯罪率」與「擄人勒贖犯罪率」而論，均欠缺抑制及嚇阻之作用。亦即，死刑對於上述之各類犯罪，沒有嚇阻力道。然而，死刑對於殺人犯罪率而論，卻存有正向的助長作用；亦即，死刑可提升殺人犯罪之發生，且達到統計上之正向顯著效果（迴歸係數為</w:t>
      </w:r>
      <w:r w:rsidR="00203F72" w:rsidRPr="00515D85">
        <w:t>0.15</w:t>
      </w:r>
      <w:r w:rsidR="00203F72" w:rsidRPr="00515D85">
        <w:t>，</w:t>
      </w:r>
      <w:r w:rsidR="00203F72" w:rsidRPr="00515D85">
        <w:t>t</w:t>
      </w:r>
      <w:r w:rsidR="00203F72" w:rsidRPr="00515D85">
        <w:t>值為</w:t>
      </w:r>
      <w:r w:rsidR="00203F72" w:rsidRPr="00515D85">
        <w:t>2.230</w:t>
      </w:r>
      <w:r w:rsidR="00203F72" w:rsidRPr="00515D85">
        <w:t>）。</w:t>
      </w:r>
    </w:p>
    <w:p w14:paraId="70559B7D" w14:textId="77777777" w:rsidR="00953151" w:rsidRDefault="00CA2C52" w:rsidP="00D87D91">
      <w:r w:rsidRPr="00515D85">
        <w:t xml:space="preserve">　　</w:t>
      </w:r>
      <w:r w:rsidR="00203F72" w:rsidRPr="00515D85">
        <w:t>換言之，法務部－執行死刑，當年度之殺人案件數立即上揚。吾人擬要反問一個問題；國家存在之必要，究竟是要抑制殺人犯罪案件之發生？抑或，國家有憲法上之法律義務，須不斷地思考如何助長殺人犯罪案件之發生？假若當吾人已確知：死刑會助長殺人案件之發生，台灣社會仍須要「支持死刑」否？有必要須如此「不理智」與「不成熟」否？有必要須如此「意氣用事」否？根據上述之實證調查結果，已充分地顯示：死刑確會增進殺人犯罪案件之發生。在此種情況下，理論上，實應廢除死刑。假若吾人仍繼續支持死刑，在「理智」上，即顯得非常不成熟，欠缺法律邏輯性及思考性。為了有效地降低殺人犯罪之發生，國家廢除死刑是唯一之王道、仁道與正道。國家如維持死刑，恐係霸道、不仁道與不正道。</w:t>
      </w:r>
    </w:p>
    <w:p w14:paraId="1F3B0B97" w14:textId="77777777" w:rsidR="00703176" w:rsidRPr="00515D85" w:rsidRDefault="00703176" w:rsidP="00D87D91"/>
    <w:p w14:paraId="37385907" w14:textId="7E0EBA41"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99</w:t>
      </w:r>
      <w:r w:rsidR="00076467">
        <w:rPr>
          <w:noProof/>
        </w:rPr>
        <w:fldChar w:fldCharType="end"/>
      </w:r>
      <w:r w:rsidR="00203F72" w:rsidRPr="00A53581">
        <w:t>各種嚇阻犯罪重要指標變化及社會指標之變化對於犯罪率之變化之同時效應複回歸分析</w:t>
      </w:r>
      <w:r w:rsidR="00203F72" w:rsidRPr="00A53581">
        <w:t>(</w:t>
      </w:r>
      <w:r w:rsidR="00203F72" w:rsidRPr="00A53581">
        <w:t>相對數模式</w:t>
      </w:r>
      <w:r w:rsidR="00203F72" w:rsidRPr="00A53581">
        <w:t>) (1961~1990) (</w:t>
      </w:r>
      <w:r w:rsidR="00203F72" w:rsidRPr="00A53581">
        <w:t>括號內為</w:t>
      </w:r>
      <w:r w:rsidR="00203F72" w:rsidRPr="00A53581">
        <w:t>t</w:t>
      </w:r>
      <w:r w:rsidR="00203F72" w:rsidRPr="00A53581">
        <w:t>值</w:t>
      </w:r>
      <w:r w:rsidR="00203F72" w:rsidRPr="00A53581">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405"/>
        <w:gridCol w:w="1435"/>
        <w:gridCol w:w="1435"/>
        <w:gridCol w:w="1435"/>
        <w:gridCol w:w="1689"/>
      </w:tblGrid>
      <w:tr w:rsidR="00203F72" w:rsidRPr="00A53581" w14:paraId="5A8D942A" w14:textId="77777777" w:rsidTr="00203F72">
        <w:trPr>
          <w:tblHeader/>
          <w:jc w:val="center"/>
        </w:trPr>
        <w:tc>
          <w:tcPr>
            <w:tcW w:w="1116" w:type="dxa"/>
            <w:shd w:val="clear" w:color="auto" w:fill="auto"/>
          </w:tcPr>
          <w:p w14:paraId="07BC2BBA" w14:textId="77777777" w:rsidR="00953151" w:rsidRDefault="00203F72" w:rsidP="00D87D91">
            <w:r w:rsidRPr="00A53581">
              <w:t>依變項</w:t>
            </w:r>
            <w:r w:rsidRPr="00A53581">
              <w:t xml:space="preserve"> </w:t>
            </w:r>
          </w:p>
          <w:p w14:paraId="58E62B4D" w14:textId="77777777" w:rsidR="00203F72" w:rsidRPr="00A53581" w:rsidRDefault="00203F72" w:rsidP="00D87D91">
            <w:r w:rsidRPr="00A53581">
              <w:t>迴歸係數</w:t>
            </w:r>
          </w:p>
          <w:p w14:paraId="111813AC" w14:textId="77777777" w:rsidR="00953151" w:rsidRDefault="00203F72" w:rsidP="00D87D91">
            <w:r w:rsidRPr="00A53581">
              <w:t>t-</w:t>
            </w:r>
            <w:r w:rsidRPr="00A53581">
              <w:t>值</w:t>
            </w:r>
          </w:p>
          <w:p w14:paraId="63B77A22" w14:textId="77777777" w:rsidR="00203F72" w:rsidRPr="00A53581" w:rsidRDefault="00203F72" w:rsidP="00D87D91">
            <w:r w:rsidRPr="00A53581">
              <w:t>自變項</w:t>
            </w:r>
          </w:p>
        </w:tc>
        <w:tc>
          <w:tcPr>
            <w:tcW w:w="1412" w:type="dxa"/>
            <w:shd w:val="clear" w:color="auto" w:fill="auto"/>
          </w:tcPr>
          <w:p w14:paraId="10D56397" w14:textId="77777777" w:rsidR="00203F72" w:rsidRPr="00A53581" w:rsidRDefault="00203F72" w:rsidP="00D87D91">
            <w:r w:rsidRPr="00A53581">
              <w:t>總犯罪率之變化</w:t>
            </w:r>
            <w:r w:rsidRPr="00A53581">
              <w:t>(</w:t>
            </w:r>
            <w:r w:rsidRPr="00A53581">
              <w:t>依變項、結果變項</w:t>
            </w:r>
            <w:r w:rsidRPr="00A53581">
              <w:t>)</w:t>
            </w:r>
          </w:p>
        </w:tc>
        <w:tc>
          <w:tcPr>
            <w:tcW w:w="1440" w:type="dxa"/>
            <w:shd w:val="clear" w:color="auto" w:fill="auto"/>
          </w:tcPr>
          <w:p w14:paraId="655A4748" w14:textId="77777777" w:rsidR="00203F72" w:rsidRPr="00A53581" w:rsidRDefault="00203F72" w:rsidP="00D87D91">
            <w:r w:rsidRPr="00A53581">
              <w:t>殺人犯罪率之變化</w:t>
            </w:r>
            <w:r w:rsidRPr="00A53581">
              <w:t>(</w:t>
            </w:r>
            <w:r w:rsidRPr="00A53581">
              <w:t>依變項、結果變項</w:t>
            </w:r>
            <w:r w:rsidRPr="00A53581">
              <w:t>)</w:t>
            </w:r>
          </w:p>
        </w:tc>
        <w:tc>
          <w:tcPr>
            <w:tcW w:w="1440" w:type="dxa"/>
            <w:shd w:val="clear" w:color="auto" w:fill="auto"/>
          </w:tcPr>
          <w:p w14:paraId="536D9489" w14:textId="77777777" w:rsidR="00203F72" w:rsidRPr="00A53581" w:rsidRDefault="00203F72" w:rsidP="00D87D91">
            <w:r w:rsidRPr="00A53581">
              <w:t>強姦犯罪率之變化</w:t>
            </w:r>
            <w:r w:rsidRPr="00A53581">
              <w:t>(</w:t>
            </w:r>
            <w:r w:rsidRPr="00A53581">
              <w:t>依變項、結果變項</w:t>
            </w:r>
            <w:r w:rsidRPr="00A53581">
              <w:t>)</w:t>
            </w:r>
          </w:p>
        </w:tc>
        <w:tc>
          <w:tcPr>
            <w:tcW w:w="1440" w:type="dxa"/>
            <w:shd w:val="clear" w:color="auto" w:fill="auto"/>
          </w:tcPr>
          <w:p w14:paraId="2DE81D85" w14:textId="77777777" w:rsidR="00203F72" w:rsidRPr="00A53581" w:rsidRDefault="00203F72" w:rsidP="00D87D91">
            <w:r w:rsidRPr="00A53581">
              <w:t>暴力性財產犯罪率之變化</w:t>
            </w:r>
            <w:r w:rsidRPr="00A53581">
              <w:t>(</w:t>
            </w:r>
            <w:r w:rsidRPr="00A53581">
              <w:t>依變項、結果變項</w:t>
            </w:r>
            <w:r w:rsidRPr="00A53581">
              <w:t>)</w:t>
            </w:r>
          </w:p>
        </w:tc>
        <w:tc>
          <w:tcPr>
            <w:tcW w:w="1501" w:type="dxa"/>
            <w:shd w:val="clear" w:color="auto" w:fill="auto"/>
          </w:tcPr>
          <w:p w14:paraId="3CC13150" w14:textId="77777777" w:rsidR="00203F72" w:rsidRPr="00A53581" w:rsidRDefault="00203F72" w:rsidP="00D87D91">
            <w:r w:rsidRPr="00A53581">
              <w:t>擄人勒贖犯罪率之變化</w:t>
            </w:r>
            <w:r w:rsidRPr="00A53581">
              <w:t>(</w:t>
            </w:r>
            <w:r w:rsidRPr="00A53581">
              <w:t>依變項、結果變項</w:t>
            </w:r>
            <w:r w:rsidRPr="00A53581">
              <w:t>)</w:t>
            </w:r>
          </w:p>
        </w:tc>
      </w:tr>
      <w:tr w:rsidR="00203F72" w:rsidRPr="00A53581" w14:paraId="40065443" w14:textId="77777777" w:rsidTr="00203F72">
        <w:trPr>
          <w:jc w:val="center"/>
        </w:trPr>
        <w:tc>
          <w:tcPr>
            <w:tcW w:w="1116" w:type="dxa"/>
            <w:shd w:val="clear" w:color="auto" w:fill="auto"/>
          </w:tcPr>
          <w:p w14:paraId="047A01C1" w14:textId="77777777" w:rsidR="00203F72" w:rsidRPr="00A53581" w:rsidRDefault="00203F72" w:rsidP="00D87D91">
            <w:r w:rsidRPr="00A53581">
              <w:t>被執行死刑之人數之變化</w:t>
            </w:r>
            <w:r w:rsidRPr="00A53581">
              <w:t>(</w:t>
            </w:r>
            <w:r w:rsidRPr="00A53581">
              <w:t>自變項</w:t>
            </w:r>
            <w:r w:rsidRPr="00A53581">
              <w:t>)</w:t>
            </w:r>
          </w:p>
        </w:tc>
        <w:tc>
          <w:tcPr>
            <w:tcW w:w="1412" w:type="dxa"/>
            <w:shd w:val="clear" w:color="auto" w:fill="auto"/>
          </w:tcPr>
          <w:p w14:paraId="57A1EB34" w14:textId="77777777" w:rsidR="00203F72" w:rsidRPr="00A53581" w:rsidRDefault="00203F72" w:rsidP="00D87D91">
            <w:r w:rsidRPr="00A53581">
              <w:t>.152</w:t>
            </w:r>
          </w:p>
          <w:p w14:paraId="79C91C87" w14:textId="77777777" w:rsidR="00203F72" w:rsidRPr="00A53581" w:rsidRDefault="00203F72" w:rsidP="00D87D91">
            <w:r w:rsidRPr="00A53581">
              <w:t>(1.701)</w:t>
            </w:r>
          </w:p>
        </w:tc>
        <w:tc>
          <w:tcPr>
            <w:tcW w:w="1440" w:type="dxa"/>
            <w:shd w:val="clear" w:color="auto" w:fill="auto"/>
          </w:tcPr>
          <w:p w14:paraId="335863CD" w14:textId="77777777" w:rsidR="00203F72" w:rsidRPr="00A53581" w:rsidRDefault="00203F72" w:rsidP="00D87D91">
            <w:r w:rsidRPr="00A53581">
              <w:t>.015</w:t>
            </w:r>
          </w:p>
          <w:p w14:paraId="60F97395" w14:textId="77777777" w:rsidR="00203F72" w:rsidRPr="00A53581" w:rsidRDefault="00203F72" w:rsidP="00D87D91">
            <w:r w:rsidRPr="00A53581">
              <w:t>(2.230)</w:t>
            </w:r>
            <w:r w:rsidRPr="00A53581">
              <w:rPr>
                <w:position w:val="10"/>
              </w:rPr>
              <w:t>﹡</w:t>
            </w:r>
          </w:p>
        </w:tc>
        <w:tc>
          <w:tcPr>
            <w:tcW w:w="1440" w:type="dxa"/>
            <w:shd w:val="clear" w:color="auto" w:fill="auto"/>
          </w:tcPr>
          <w:p w14:paraId="5CD3F93D" w14:textId="77777777" w:rsidR="00203F72" w:rsidRPr="00A53581" w:rsidRDefault="00203F72" w:rsidP="00D87D91">
            <w:r w:rsidRPr="00A53581">
              <w:t>.008</w:t>
            </w:r>
          </w:p>
          <w:p w14:paraId="4B0D7865" w14:textId="77777777" w:rsidR="00203F72" w:rsidRPr="00A53581" w:rsidRDefault="00203F72" w:rsidP="00D87D91">
            <w:r w:rsidRPr="00A53581">
              <w:t>(2.070)</w:t>
            </w:r>
          </w:p>
        </w:tc>
        <w:tc>
          <w:tcPr>
            <w:tcW w:w="1440" w:type="dxa"/>
            <w:shd w:val="clear" w:color="auto" w:fill="auto"/>
          </w:tcPr>
          <w:p w14:paraId="5ED08F5C" w14:textId="77777777" w:rsidR="00203F72" w:rsidRPr="00A53581" w:rsidRDefault="00203F72" w:rsidP="00D87D91">
            <w:r w:rsidRPr="00A53581">
              <w:t>-.051</w:t>
            </w:r>
          </w:p>
          <w:p w14:paraId="0218A001" w14:textId="77777777" w:rsidR="00203F72" w:rsidRPr="00A53581" w:rsidRDefault="00203F72" w:rsidP="00D87D91">
            <w:r w:rsidRPr="00A53581">
              <w:t>(-1.748)</w:t>
            </w:r>
          </w:p>
        </w:tc>
        <w:tc>
          <w:tcPr>
            <w:tcW w:w="1501" w:type="dxa"/>
            <w:shd w:val="clear" w:color="auto" w:fill="auto"/>
          </w:tcPr>
          <w:p w14:paraId="05BF0934" w14:textId="77777777" w:rsidR="00203F72" w:rsidRPr="00A53581" w:rsidRDefault="00203F72" w:rsidP="00D87D91">
            <w:r w:rsidRPr="00A53581">
              <w:t>.004</w:t>
            </w:r>
          </w:p>
          <w:p w14:paraId="0CD0C445" w14:textId="77777777" w:rsidR="00203F72" w:rsidRPr="00A53581" w:rsidRDefault="00203F72" w:rsidP="00D87D91">
            <w:r w:rsidRPr="00A53581">
              <w:t>(1.172)</w:t>
            </w:r>
          </w:p>
        </w:tc>
      </w:tr>
      <w:tr w:rsidR="00203F72" w:rsidRPr="00A53581" w14:paraId="6A1B3BCF" w14:textId="77777777" w:rsidTr="00203F72">
        <w:trPr>
          <w:jc w:val="center"/>
        </w:trPr>
        <w:tc>
          <w:tcPr>
            <w:tcW w:w="1116" w:type="dxa"/>
            <w:shd w:val="clear" w:color="auto" w:fill="auto"/>
          </w:tcPr>
          <w:p w14:paraId="4DDB6AAE" w14:textId="77777777" w:rsidR="00203F72" w:rsidRPr="00A53581" w:rsidRDefault="00203F72" w:rsidP="00D87D91">
            <w:r w:rsidRPr="00A53581">
              <w:t>刑案破獲率之變化</w:t>
            </w:r>
            <w:r w:rsidRPr="00A53581">
              <w:t>(</w:t>
            </w:r>
            <w:r w:rsidRPr="00A53581">
              <w:t>自變項</w:t>
            </w:r>
            <w:r w:rsidRPr="00A53581">
              <w:t>)</w:t>
            </w:r>
          </w:p>
        </w:tc>
        <w:tc>
          <w:tcPr>
            <w:tcW w:w="1412" w:type="dxa"/>
            <w:shd w:val="clear" w:color="auto" w:fill="auto"/>
          </w:tcPr>
          <w:p w14:paraId="75986E13" w14:textId="77777777" w:rsidR="00203F72" w:rsidRPr="00A53581" w:rsidRDefault="00203F72" w:rsidP="00D87D91">
            <w:r w:rsidRPr="00A53581">
              <w:t>-.057</w:t>
            </w:r>
          </w:p>
          <w:p w14:paraId="73C3B913" w14:textId="77777777" w:rsidR="00203F72" w:rsidRPr="00A53581" w:rsidRDefault="00203F72" w:rsidP="00D87D91">
            <w:r w:rsidRPr="00A53581">
              <w:t>(-.203)</w:t>
            </w:r>
          </w:p>
        </w:tc>
        <w:tc>
          <w:tcPr>
            <w:tcW w:w="1440" w:type="dxa"/>
            <w:shd w:val="clear" w:color="auto" w:fill="auto"/>
          </w:tcPr>
          <w:p w14:paraId="369FF694" w14:textId="77777777" w:rsidR="00203F72" w:rsidRPr="00A53581" w:rsidRDefault="00203F72" w:rsidP="00D87D91">
            <w:r w:rsidRPr="00A53581">
              <w:t>-.009</w:t>
            </w:r>
          </w:p>
          <w:p w14:paraId="31C35C2A" w14:textId="77777777" w:rsidR="00203F72" w:rsidRPr="00A53581" w:rsidRDefault="00203F72" w:rsidP="00D87D91">
            <w:r w:rsidRPr="00A53581">
              <w:t>(-.547)</w:t>
            </w:r>
          </w:p>
        </w:tc>
        <w:tc>
          <w:tcPr>
            <w:tcW w:w="1440" w:type="dxa"/>
            <w:shd w:val="clear" w:color="auto" w:fill="auto"/>
          </w:tcPr>
          <w:p w14:paraId="2EB38D47" w14:textId="77777777" w:rsidR="00203F72" w:rsidRPr="00A53581" w:rsidRDefault="00203F72" w:rsidP="00D87D91">
            <w:r w:rsidRPr="00A53581">
              <w:t>-.004</w:t>
            </w:r>
          </w:p>
          <w:p w14:paraId="393FA45A" w14:textId="77777777" w:rsidR="00203F72" w:rsidRPr="00A53581" w:rsidRDefault="00203F72" w:rsidP="00D87D91">
            <w:r w:rsidRPr="00A53581">
              <w:t>(-1.044)</w:t>
            </w:r>
          </w:p>
        </w:tc>
        <w:tc>
          <w:tcPr>
            <w:tcW w:w="1440" w:type="dxa"/>
            <w:shd w:val="clear" w:color="auto" w:fill="auto"/>
          </w:tcPr>
          <w:p w14:paraId="5990D614" w14:textId="77777777" w:rsidR="00203F72" w:rsidRPr="00A53581" w:rsidRDefault="00203F72" w:rsidP="00D87D91">
            <w:r w:rsidRPr="00A53581">
              <w:t>-0.034</w:t>
            </w:r>
          </w:p>
          <w:p w14:paraId="24719EC0" w14:textId="77777777" w:rsidR="00203F72" w:rsidRPr="00A53581" w:rsidRDefault="00203F72" w:rsidP="00D87D91">
            <w:r w:rsidRPr="00A53581">
              <w:t>(-1.895)</w:t>
            </w:r>
          </w:p>
        </w:tc>
        <w:tc>
          <w:tcPr>
            <w:tcW w:w="1501" w:type="dxa"/>
            <w:shd w:val="clear" w:color="auto" w:fill="auto"/>
          </w:tcPr>
          <w:p w14:paraId="35E3EB4A" w14:textId="77777777" w:rsidR="00203F72" w:rsidRPr="00703176" w:rsidRDefault="00203F72" w:rsidP="00703176">
            <w:r w:rsidRPr="00703176">
              <w:t>-3.499(E-05)</w:t>
            </w:r>
            <w:r w:rsidRPr="00703176">
              <w:footnoteReference w:id="901"/>
            </w:r>
            <w:r w:rsidRPr="00703176">
              <w:t xml:space="preserve"> </w:t>
            </w:r>
          </w:p>
          <w:p w14:paraId="03C650ED" w14:textId="77777777" w:rsidR="00203F72" w:rsidRPr="00703176" w:rsidRDefault="00203F72" w:rsidP="00703176">
            <w:r w:rsidRPr="00703176">
              <w:t>(-.055)</w:t>
            </w:r>
          </w:p>
        </w:tc>
      </w:tr>
      <w:tr w:rsidR="00203F72" w:rsidRPr="00A53581" w14:paraId="6D1B2807" w14:textId="77777777" w:rsidTr="00203F72">
        <w:trPr>
          <w:jc w:val="center"/>
        </w:trPr>
        <w:tc>
          <w:tcPr>
            <w:tcW w:w="1116" w:type="dxa"/>
            <w:shd w:val="clear" w:color="auto" w:fill="auto"/>
          </w:tcPr>
          <w:p w14:paraId="31D25861" w14:textId="77777777" w:rsidR="00203F72" w:rsidRPr="00A53581" w:rsidRDefault="00203F72" w:rsidP="00D87D91">
            <w:r w:rsidRPr="00A53581">
              <w:t>失業率之變化</w:t>
            </w:r>
            <w:r w:rsidRPr="00A53581">
              <w:t>(</w:t>
            </w:r>
            <w:r w:rsidRPr="00A53581">
              <w:t>自變項</w:t>
            </w:r>
            <w:r w:rsidRPr="00A53581">
              <w:t>)</w:t>
            </w:r>
          </w:p>
        </w:tc>
        <w:tc>
          <w:tcPr>
            <w:tcW w:w="1412" w:type="dxa"/>
            <w:shd w:val="clear" w:color="auto" w:fill="auto"/>
          </w:tcPr>
          <w:p w14:paraId="6D955575" w14:textId="77777777" w:rsidR="00203F72" w:rsidRPr="00A53581" w:rsidRDefault="00203F72" w:rsidP="00D87D91">
            <w:r w:rsidRPr="00A53581">
              <w:t>3.975</w:t>
            </w:r>
          </w:p>
          <w:p w14:paraId="14FC49A4" w14:textId="77777777" w:rsidR="00203F72" w:rsidRPr="00A53581" w:rsidRDefault="00203F72" w:rsidP="00D87D91">
            <w:r w:rsidRPr="00A53581">
              <w:t>(2.049)</w:t>
            </w:r>
          </w:p>
        </w:tc>
        <w:tc>
          <w:tcPr>
            <w:tcW w:w="1440" w:type="dxa"/>
            <w:shd w:val="clear" w:color="auto" w:fill="auto"/>
          </w:tcPr>
          <w:p w14:paraId="2DA1CDDB" w14:textId="77777777" w:rsidR="00203F72" w:rsidRPr="00A53581" w:rsidRDefault="00203F72" w:rsidP="00D87D91">
            <w:r w:rsidRPr="00A53581">
              <w:t>-0.56</w:t>
            </w:r>
          </w:p>
          <w:p w14:paraId="336303A8" w14:textId="77777777" w:rsidR="00203F72" w:rsidRPr="00A53581" w:rsidRDefault="00203F72" w:rsidP="00D87D91">
            <w:r w:rsidRPr="00A53581">
              <w:t>(-.700)</w:t>
            </w:r>
          </w:p>
        </w:tc>
        <w:tc>
          <w:tcPr>
            <w:tcW w:w="1440" w:type="dxa"/>
            <w:shd w:val="clear" w:color="auto" w:fill="auto"/>
          </w:tcPr>
          <w:p w14:paraId="7890073D" w14:textId="77777777" w:rsidR="00203F72" w:rsidRPr="00A53581" w:rsidRDefault="00203F72" w:rsidP="00D87D91">
            <w:r w:rsidRPr="00A53581">
              <w:t>.071</w:t>
            </w:r>
          </w:p>
          <w:p w14:paraId="4872ACBD" w14:textId="77777777" w:rsidR="00203F72" w:rsidRPr="00A53581" w:rsidRDefault="00203F72" w:rsidP="00D87D91">
            <w:r w:rsidRPr="00A53581">
              <w:t>(1.500)</w:t>
            </w:r>
          </w:p>
        </w:tc>
        <w:tc>
          <w:tcPr>
            <w:tcW w:w="1440" w:type="dxa"/>
            <w:shd w:val="clear" w:color="auto" w:fill="auto"/>
          </w:tcPr>
          <w:p w14:paraId="7259B8FB" w14:textId="77777777" w:rsidR="00203F72" w:rsidRPr="00A53581" w:rsidRDefault="00203F72" w:rsidP="00D87D91">
            <w:r w:rsidRPr="00A53581">
              <w:t>.109</w:t>
            </w:r>
          </w:p>
          <w:p w14:paraId="771A6BB8" w14:textId="77777777" w:rsidR="00203F72" w:rsidRPr="00A53581" w:rsidRDefault="00203F72" w:rsidP="00D87D91">
            <w:r w:rsidRPr="00A53581">
              <w:t>(1.183)</w:t>
            </w:r>
          </w:p>
        </w:tc>
        <w:tc>
          <w:tcPr>
            <w:tcW w:w="1501" w:type="dxa"/>
            <w:shd w:val="clear" w:color="auto" w:fill="auto"/>
          </w:tcPr>
          <w:p w14:paraId="4BA35978" w14:textId="77777777" w:rsidR="00203F72" w:rsidRPr="00703176" w:rsidRDefault="00203F72" w:rsidP="00703176">
            <w:r w:rsidRPr="00703176">
              <w:t>-4.434(E-04)</w:t>
            </w:r>
            <w:r w:rsidRPr="00703176">
              <w:footnoteReference w:id="902"/>
            </w:r>
            <w:r w:rsidRPr="00703176">
              <w:t xml:space="preserve"> </w:t>
            </w:r>
          </w:p>
          <w:p w14:paraId="54AC3286" w14:textId="77777777" w:rsidR="00203F72" w:rsidRPr="00703176" w:rsidRDefault="00203F72" w:rsidP="00703176">
            <w:r w:rsidRPr="00703176">
              <w:t>(-.044)</w:t>
            </w:r>
          </w:p>
        </w:tc>
      </w:tr>
      <w:tr w:rsidR="00203F72" w:rsidRPr="00A53581" w14:paraId="7132AB56" w14:textId="77777777" w:rsidTr="00203F72">
        <w:trPr>
          <w:jc w:val="center"/>
        </w:trPr>
        <w:tc>
          <w:tcPr>
            <w:tcW w:w="1116" w:type="dxa"/>
            <w:shd w:val="clear" w:color="auto" w:fill="auto"/>
          </w:tcPr>
          <w:p w14:paraId="45DB7D38" w14:textId="77777777" w:rsidR="00203F72" w:rsidRPr="00A53581" w:rsidRDefault="00203F72" w:rsidP="00D87D91">
            <w:r w:rsidRPr="00A53581">
              <w:t>離婚率之變化</w:t>
            </w:r>
            <w:r w:rsidRPr="00A53581">
              <w:t>(</w:t>
            </w:r>
            <w:r w:rsidRPr="00A53581">
              <w:t>自變項</w:t>
            </w:r>
            <w:r w:rsidRPr="00A53581">
              <w:t>)</w:t>
            </w:r>
          </w:p>
        </w:tc>
        <w:tc>
          <w:tcPr>
            <w:tcW w:w="1412" w:type="dxa"/>
            <w:shd w:val="clear" w:color="auto" w:fill="auto"/>
          </w:tcPr>
          <w:p w14:paraId="105F9DBF" w14:textId="77777777" w:rsidR="00203F72" w:rsidRPr="00A53581" w:rsidRDefault="00203F72" w:rsidP="00D87D91">
            <w:r w:rsidRPr="00A53581">
              <w:t>61.828</w:t>
            </w:r>
          </w:p>
          <w:p w14:paraId="3F33580B" w14:textId="77777777" w:rsidR="00203F72" w:rsidRPr="00A53581" w:rsidRDefault="00203F72" w:rsidP="00D87D91">
            <w:r w:rsidRPr="00A53581">
              <w:t>(1.886)</w:t>
            </w:r>
          </w:p>
        </w:tc>
        <w:tc>
          <w:tcPr>
            <w:tcW w:w="1440" w:type="dxa"/>
            <w:shd w:val="clear" w:color="auto" w:fill="auto"/>
          </w:tcPr>
          <w:p w14:paraId="2FC5658E" w14:textId="77777777" w:rsidR="00203F72" w:rsidRPr="00A53581" w:rsidRDefault="00203F72" w:rsidP="00D87D91">
            <w:r w:rsidRPr="00A53581">
              <w:t>1.328</w:t>
            </w:r>
          </w:p>
          <w:p w14:paraId="42D5BDF8" w14:textId="77777777" w:rsidR="00203F72" w:rsidRPr="00A53581" w:rsidRDefault="00203F72" w:rsidP="00D87D91">
            <w:r w:rsidRPr="00A53581">
              <w:t>(1.295)</w:t>
            </w:r>
          </w:p>
        </w:tc>
        <w:tc>
          <w:tcPr>
            <w:tcW w:w="1440" w:type="dxa"/>
            <w:shd w:val="clear" w:color="auto" w:fill="auto"/>
          </w:tcPr>
          <w:p w14:paraId="1CE5B494" w14:textId="77777777" w:rsidR="00203F72" w:rsidRPr="00A53581" w:rsidRDefault="00203F72" w:rsidP="00D87D91">
            <w:r w:rsidRPr="00A53581">
              <w:t>1.522</w:t>
            </w:r>
          </w:p>
          <w:p w14:paraId="334D514E" w14:textId="77777777" w:rsidR="00203F72" w:rsidRPr="00A53581" w:rsidRDefault="00203F72" w:rsidP="00D87D91">
            <w:r w:rsidRPr="00A53581">
              <w:t>(1.728)</w:t>
            </w:r>
          </w:p>
        </w:tc>
        <w:tc>
          <w:tcPr>
            <w:tcW w:w="1440" w:type="dxa"/>
            <w:shd w:val="clear" w:color="auto" w:fill="auto"/>
          </w:tcPr>
          <w:p w14:paraId="3834F860" w14:textId="77777777" w:rsidR="00203F72" w:rsidRPr="00A53581" w:rsidRDefault="00203F72" w:rsidP="00D87D91">
            <w:r w:rsidRPr="00A53581">
              <w:t>-.336</w:t>
            </w:r>
          </w:p>
          <w:p w14:paraId="632948F3" w14:textId="77777777" w:rsidR="00203F72" w:rsidRPr="00A53581" w:rsidRDefault="00203F72" w:rsidP="00D87D91">
            <w:r w:rsidRPr="00A53581">
              <w:t>(-.476)</w:t>
            </w:r>
          </w:p>
        </w:tc>
        <w:tc>
          <w:tcPr>
            <w:tcW w:w="1501" w:type="dxa"/>
            <w:shd w:val="clear" w:color="auto" w:fill="auto"/>
          </w:tcPr>
          <w:p w14:paraId="41E07675" w14:textId="77777777" w:rsidR="00203F72" w:rsidRPr="00703176" w:rsidRDefault="00203F72" w:rsidP="00703176">
            <w:r w:rsidRPr="00703176">
              <w:t>-.303</w:t>
            </w:r>
          </w:p>
          <w:p w14:paraId="5B2D3AB9" w14:textId="77777777" w:rsidR="00203F72" w:rsidRPr="00703176" w:rsidRDefault="00203F72" w:rsidP="00703176">
            <w:r w:rsidRPr="00703176">
              <w:t xml:space="preserve">(-2.122) </w:t>
            </w:r>
            <w:r w:rsidRPr="00703176">
              <w:t>﹡</w:t>
            </w:r>
          </w:p>
        </w:tc>
      </w:tr>
      <w:tr w:rsidR="00203F72" w:rsidRPr="00A53581" w14:paraId="45D11617" w14:textId="77777777" w:rsidTr="00203F72">
        <w:trPr>
          <w:jc w:val="center"/>
        </w:trPr>
        <w:tc>
          <w:tcPr>
            <w:tcW w:w="1116" w:type="dxa"/>
            <w:shd w:val="clear" w:color="auto" w:fill="auto"/>
          </w:tcPr>
          <w:p w14:paraId="3FE4042B" w14:textId="77777777" w:rsidR="00203F72" w:rsidRPr="00A53581" w:rsidRDefault="00203F72" w:rsidP="00D87D91">
            <w:r w:rsidRPr="00A53581">
              <w:t>15~29</w:t>
            </w:r>
            <w:r w:rsidRPr="00A53581">
              <w:t>歲</w:t>
            </w:r>
          </w:p>
          <w:p w14:paraId="2980BE43" w14:textId="77777777" w:rsidR="00203F72" w:rsidRPr="00A53581" w:rsidRDefault="00203F72" w:rsidP="00D87D91">
            <w:r w:rsidRPr="00A53581">
              <w:t>人口比例之變化</w:t>
            </w:r>
            <w:r w:rsidRPr="00A53581">
              <w:t>(</w:t>
            </w:r>
            <w:r w:rsidRPr="00A53581">
              <w:t>自變項</w:t>
            </w:r>
            <w:r w:rsidRPr="00A53581">
              <w:t>)</w:t>
            </w:r>
          </w:p>
        </w:tc>
        <w:tc>
          <w:tcPr>
            <w:tcW w:w="1412" w:type="dxa"/>
            <w:shd w:val="clear" w:color="auto" w:fill="auto"/>
          </w:tcPr>
          <w:p w14:paraId="4B0FE59C" w14:textId="77777777" w:rsidR="00203F72" w:rsidRPr="00A53581" w:rsidRDefault="00203F72" w:rsidP="00D87D91">
            <w:r w:rsidRPr="00A53581">
              <w:t>-3.161</w:t>
            </w:r>
          </w:p>
          <w:p w14:paraId="3BE86046" w14:textId="77777777" w:rsidR="00203F72" w:rsidRPr="00A53581" w:rsidRDefault="00203F72" w:rsidP="00D87D91">
            <w:r w:rsidRPr="00A53581">
              <w:t>(-1.251)</w:t>
            </w:r>
          </w:p>
        </w:tc>
        <w:tc>
          <w:tcPr>
            <w:tcW w:w="1440" w:type="dxa"/>
            <w:shd w:val="clear" w:color="auto" w:fill="auto"/>
          </w:tcPr>
          <w:p w14:paraId="5CC225A9" w14:textId="77777777" w:rsidR="00203F72" w:rsidRPr="00A53581" w:rsidRDefault="00203F72" w:rsidP="00D87D91">
            <w:r w:rsidRPr="00A53581">
              <w:t>-.002</w:t>
            </w:r>
          </w:p>
          <w:p w14:paraId="1F2BA222" w14:textId="77777777" w:rsidR="00203F72" w:rsidRPr="00A53581" w:rsidRDefault="00203F72" w:rsidP="00D87D91">
            <w:r w:rsidRPr="00A53581">
              <w:t>(-.022)</w:t>
            </w:r>
          </w:p>
        </w:tc>
        <w:tc>
          <w:tcPr>
            <w:tcW w:w="1440" w:type="dxa"/>
            <w:shd w:val="clear" w:color="auto" w:fill="auto"/>
          </w:tcPr>
          <w:p w14:paraId="67F7AEBE" w14:textId="77777777" w:rsidR="00203F72" w:rsidRPr="00A53581" w:rsidRDefault="00203F72" w:rsidP="00D87D91">
            <w:r w:rsidRPr="00A53581">
              <w:t>-.189</w:t>
            </w:r>
          </w:p>
          <w:p w14:paraId="23F7984D" w14:textId="77777777" w:rsidR="00203F72" w:rsidRPr="00A53581" w:rsidRDefault="00203F72" w:rsidP="00D87D91">
            <w:r w:rsidRPr="00A53581">
              <w:t>(-2.976)</w:t>
            </w:r>
          </w:p>
        </w:tc>
        <w:tc>
          <w:tcPr>
            <w:tcW w:w="1440" w:type="dxa"/>
            <w:shd w:val="clear" w:color="auto" w:fill="auto"/>
          </w:tcPr>
          <w:p w14:paraId="6C9A7D50" w14:textId="77777777" w:rsidR="00203F72" w:rsidRPr="00A53581" w:rsidRDefault="00203F72" w:rsidP="00D87D91">
            <w:r w:rsidRPr="00A53581">
              <w:t>-.976</w:t>
            </w:r>
          </w:p>
          <w:p w14:paraId="7DC660DE" w14:textId="77777777" w:rsidR="00203F72" w:rsidRPr="00A53581" w:rsidRDefault="00203F72" w:rsidP="00D87D91">
            <w:r w:rsidRPr="00A53581">
              <w:t>(-1.562)</w:t>
            </w:r>
          </w:p>
        </w:tc>
        <w:tc>
          <w:tcPr>
            <w:tcW w:w="1501" w:type="dxa"/>
            <w:shd w:val="clear" w:color="auto" w:fill="auto"/>
          </w:tcPr>
          <w:p w14:paraId="3E7F19C3" w14:textId="77777777" w:rsidR="00203F72" w:rsidRPr="00703176" w:rsidRDefault="00203F72" w:rsidP="00703176">
            <w:r w:rsidRPr="00703176">
              <w:t>-.012</w:t>
            </w:r>
          </w:p>
          <w:p w14:paraId="2D0C2415" w14:textId="77777777" w:rsidR="00203F72" w:rsidRPr="00703176" w:rsidRDefault="00203F72" w:rsidP="00703176">
            <w:r w:rsidRPr="00703176">
              <w:t>(-.989)</w:t>
            </w:r>
          </w:p>
        </w:tc>
      </w:tr>
      <w:tr w:rsidR="00203F72" w:rsidRPr="00A53581" w14:paraId="260046B8" w14:textId="77777777" w:rsidTr="00203F72">
        <w:trPr>
          <w:jc w:val="center"/>
        </w:trPr>
        <w:tc>
          <w:tcPr>
            <w:tcW w:w="1116" w:type="dxa"/>
            <w:shd w:val="clear" w:color="auto" w:fill="auto"/>
          </w:tcPr>
          <w:p w14:paraId="01494FBE" w14:textId="77777777" w:rsidR="00203F72" w:rsidRPr="00A53581" w:rsidRDefault="00203F72" w:rsidP="00D87D91">
            <w:r w:rsidRPr="00A53581">
              <w:t>國民平均所得之變化</w:t>
            </w:r>
            <w:r w:rsidRPr="00A53581">
              <w:t>(</w:t>
            </w:r>
            <w:r w:rsidRPr="00A53581">
              <w:t>自變項</w:t>
            </w:r>
            <w:r w:rsidRPr="00A53581">
              <w:t>)</w:t>
            </w:r>
          </w:p>
        </w:tc>
        <w:tc>
          <w:tcPr>
            <w:tcW w:w="1412" w:type="dxa"/>
            <w:shd w:val="clear" w:color="auto" w:fill="auto"/>
          </w:tcPr>
          <w:p w14:paraId="7484E843" w14:textId="77777777" w:rsidR="00203F72" w:rsidRPr="00A53581" w:rsidRDefault="00203F72" w:rsidP="00D87D91">
            <w:r w:rsidRPr="00A53581">
              <w:t>2.398(E-04)</w:t>
            </w:r>
          </w:p>
          <w:p w14:paraId="29CF540B" w14:textId="77777777" w:rsidR="00203F72" w:rsidRPr="00A53581" w:rsidRDefault="00203F72" w:rsidP="00D87D91">
            <w:r w:rsidRPr="00A53581">
              <w:t>(1.165)</w:t>
            </w:r>
          </w:p>
        </w:tc>
        <w:tc>
          <w:tcPr>
            <w:tcW w:w="1440" w:type="dxa"/>
            <w:shd w:val="clear" w:color="auto" w:fill="auto"/>
          </w:tcPr>
          <w:p w14:paraId="11D7F933" w14:textId="77777777" w:rsidR="00203F72" w:rsidRPr="00A53581" w:rsidRDefault="00203F72" w:rsidP="00D87D91">
            <w:r w:rsidRPr="00A53581">
              <w:t>-4.505(E-06)</w:t>
            </w:r>
          </w:p>
          <w:p w14:paraId="257FCCC8" w14:textId="77777777" w:rsidR="00203F72" w:rsidRPr="00A53581" w:rsidRDefault="00203F72" w:rsidP="00D87D91">
            <w:r w:rsidRPr="00A53581">
              <w:t>(.526)</w:t>
            </w:r>
          </w:p>
        </w:tc>
        <w:tc>
          <w:tcPr>
            <w:tcW w:w="1440" w:type="dxa"/>
            <w:shd w:val="clear" w:color="auto" w:fill="auto"/>
          </w:tcPr>
          <w:p w14:paraId="32DFD16D" w14:textId="77777777" w:rsidR="00203F72" w:rsidRPr="00A53581" w:rsidRDefault="00203F72" w:rsidP="00D87D91">
            <w:r w:rsidRPr="00A53581">
              <w:t>-9.972(E-06)</w:t>
            </w:r>
          </w:p>
          <w:p w14:paraId="4F7201FD" w14:textId="77777777" w:rsidR="00203F72" w:rsidRPr="00A53581" w:rsidRDefault="00203F72" w:rsidP="00D87D91">
            <w:r w:rsidRPr="00A53581">
              <w:t>(-1.664)</w:t>
            </w:r>
          </w:p>
        </w:tc>
        <w:tc>
          <w:tcPr>
            <w:tcW w:w="1440" w:type="dxa"/>
            <w:shd w:val="clear" w:color="auto" w:fill="auto"/>
          </w:tcPr>
          <w:p w14:paraId="63C31402" w14:textId="77777777" w:rsidR="00203F72" w:rsidRPr="00A53581" w:rsidRDefault="00203F72" w:rsidP="00D87D91">
            <w:r w:rsidRPr="00A53581">
              <w:t>5.245(E-06)</w:t>
            </w:r>
          </w:p>
          <w:p w14:paraId="4DE38D68" w14:textId="77777777" w:rsidR="00203F72" w:rsidRPr="00A53581" w:rsidRDefault="00203F72" w:rsidP="00D87D91">
            <w:r w:rsidRPr="00A53581">
              <w:t>(.421)</w:t>
            </w:r>
          </w:p>
        </w:tc>
        <w:tc>
          <w:tcPr>
            <w:tcW w:w="1501" w:type="dxa"/>
            <w:shd w:val="clear" w:color="auto" w:fill="auto"/>
          </w:tcPr>
          <w:p w14:paraId="2DB4B236" w14:textId="77777777" w:rsidR="00203F72" w:rsidRPr="00703176" w:rsidRDefault="00203F72" w:rsidP="00703176">
            <w:r w:rsidRPr="00703176">
              <w:t>-1.228(E-06)</w:t>
            </w:r>
            <w:r w:rsidRPr="00703176">
              <w:footnoteReference w:id="903"/>
            </w:r>
          </w:p>
          <w:p w14:paraId="08259CE2" w14:textId="77777777" w:rsidR="00203F72" w:rsidRPr="00703176" w:rsidRDefault="00203F72" w:rsidP="00703176">
            <w:r w:rsidRPr="00703176">
              <w:t>(-1.049)</w:t>
            </w:r>
          </w:p>
        </w:tc>
      </w:tr>
      <w:tr w:rsidR="00203F72" w:rsidRPr="00A53581" w14:paraId="482EF48E" w14:textId="77777777" w:rsidTr="00203F72">
        <w:trPr>
          <w:jc w:val="center"/>
        </w:trPr>
        <w:tc>
          <w:tcPr>
            <w:tcW w:w="1116" w:type="dxa"/>
            <w:shd w:val="clear" w:color="auto" w:fill="auto"/>
          </w:tcPr>
          <w:p w14:paraId="73A5D8A8" w14:textId="77777777" w:rsidR="00203F72" w:rsidRPr="00A53581" w:rsidRDefault="00203F72" w:rsidP="00D87D91">
            <w:r w:rsidRPr="00A53581">
              <w:t>司法經費之變化</w:t>
            </w:r>
            <w:r w:rsidRPr="00A53581">
              <w:t>(</w:t>
            </w:r>
            <w:r w:rsidRPr="00A53581">
              <w:t>自變項</w:t>
            </w:r>
            <w:r w:rsidRPr="00A53581">
              <w:t>)</w:t>
            </w:r>
          </w:p>
        </w:tc>
        <w:tc>
          <w:tcPr>
            <w:tcW w:w="1412" w:type="dxa"/>
            <w:shd w:val="clear" w:color="auto" w:fill="auto"/>
          </w:tcPr>
          <w:p w14:paraId="3C75A0BD" w14:textId="77777777" w:rsidR="00203F72" w:rsidRPr="00A53581" w:rsidRDefault="00203F72" w:rsidP="00D87D91">
            <w:r w:rsidRPr="00A53581">
              <w:t>-.053</w:t>
            </w:r>
          </w:p>
          <w:p w14:paraId="07A4484F" w14:textId="77777777" w:rsidR="00203F72" w:rsidRPr="00A53581" w:rsidRDefault="00203F72" w:rsidP="00D87D91">
            <w:r w:rsidRPr="00A53581">
              <w:t xml:space="preserve">(-3.166) </w:t>
            </w:r>
            <w:r w:rsidRPr="00A53581">
              <w:rPr>
                <w:position w:val="10"/>
              </w:rPr>
              <w:t>﹡</w:t>
            </w:r>
          </w:p>
        </w:tc>
        <w:tc>
          <w:tcPr>
            <w:tcW w:w="1440" w:type="dxa"/>
            <w:shd w:val="clear" w:color="auto" w:fill="auto"/>
          </w:tcPr>
          <w:p w14:paraId="4476A36A" w14:textId="77777777" w:rsidR="00203F72" w:rsidRPr="00A53581" w:rsidRDefault="00203F72" w:rsidP="00D87D91">
            <w:r w:rsidRPr="00A53581">
              <w:t>-5.670(E-04)</w:t>
            </w:r>
          </w:p>
          <w:p w14:paraId="1667F380" w14:textId="77777777" w:rsidR="00203F72" w:rsidRPr="00A53581" w:rsidRDefault="00203F72" w:rsidP="00D87D91">
            <w:r w:rsidRPr="00A53581">
              <w:t>(-0.910)</w:t>
            </w:r>
          </w:p>
        </w:tc>
        <w:tc>
          <w:tcPr>
            <w:tcW w:w="1440" w:type="dxa"/>
            <w:shd w:val="clear" w:color="auto" w:fill="auto"/>
          </w:tcPr>
          <w:p w14:paraId="2CF52EBF" w14:textId="77777777" w:rsidR="00203F72" w:rsidRPr="00A53581" w:rsidRDefault="00203F72" w:rsidP="00D87D91">
            <w:r w:rsidRPr="00A53581">
              <w:t>-.001</w:t>
            </w:r>
          </w:p>
          <w:p w14:paraId="550F2688" w14:textId="77777777" w:rsidR="00203F72" w:rsidRPr="00A53581" w:rsidRDefault="00203F72" w:rsidP="00D87D91">
            <w:r w:rsidRPr="00A53581">
              <w:t xml:space="preserve">(-3.119) </w:t>
            </w:r>
            <w:r w:rsidRPr="00A53581">
              <w:rPr>
                <w:position w:val="10"/>
              </w:rPr>
              <w:t>﹡</w:t>
            </w:r>
          </w:p>
        </w:tc>
        <w:tc>
          <w:tcPr>
            <w:tcW w:w="1440" w:type="dxa"/>
            <w:shd w:val="clear" w:color="auto" w:fill="auto"/>
          </w:tcPr>
          <w:p w14:paraId="414624BF" w14:textId="77777777" w:rsidR="00203F72" w:rsidRPr="00A53581" w:rsidRDefault="00203F72" w:rsidP="00D87D91">
            <w:r w:rsidRPr="00A53581">
              <w:t>-5.887(E-04)</w:t>
            </w:r>
          </w:p>
          <w:p w14:paraId="3AFC7819" w14:textId="77777777" w:rsidR="00203F72" w:rsidRPr="00A53581" w:rsidRDefault="00203F72" w:rsidP="00D87D91">
            <w:r w:rsidRPr="00A53581">
              <w:t>(-1.019)</w:t>
            </w:r>
          </w:p>
        </w:tc>
        <w:tc>
          <w:tcPr>
            <w:tcW w:w="1501" w:type="dxa"/>
            <w:shd w:val="clear" w:color="auto" w:fill="auto"/>
          </w:tcPr>
          <w:p w14:paraId="02982037" w14:textId="77777777" w:rsidR="00203F72" w:rsidRPr="00703176" w:rsidRDefault="00203F72" w:rsidP="00703176">
            <w:r w:rsidRPr="00703176">
              <w:t>-1.959(E-05)</w:t>
            </w:r>
          </w:p>
          <w:p w14:paraId="21189C40" w14:textId="77777777" w:rsidR="00203F72" w:rsidRPr="00703176" w:rsidRDefault="00203F72" w:rsidP="00703176">
            <w:r w:rsidRPr="00703176">
              <w:t>(-.335)</w:t>
            </w:r>
          </w:p>
        </w:tc>
      </w:tr>
      <w:tr w:rsidR="00203F72" w:rsidRPr="00A53581" w14:paraId="4A3F0F0E" w14:textId="77777777" w:rsidTr="00203F72">
        <w:trPr>
          <w:jc w:val="center"/>
        </w:trPr>
        <w:tc>
          <w:tcPr>
            <w:tcW w:w="1116" w:type="dxa"/>
            <w:shd w:val="clear" w:color="auto" w:fill="auto"/>
          </w:tcPr>
          <w:p w14:paraId="4C68C9FF" w14:textId="77777777" w:rsidR="00203F72" w:rsidRPr="00A53581" w:rsidRDefault="00203F72" w:rsidP="00D87D91">
            <w:r w:rsidRPr="00A53581">
              <w:t>警民比例之變化</w:t>
            </w:r>
            <w:r w:rsidRPr="00A53581">
              <w:t>(</w:t>
            </w:r>
            <w:r w:rsidRPr="00A53581">
              <w:t>自變項</w:t>
            </w:r>
            <w:r w:rsidRPr="00A53581">
              <w:t>)</w:t>
            </w:r>
          </w:p>
        </w:tc>
        <w:tc>
          <w:tcPr>
            <w:tcW w:w="1412" w:type="dxa"/>
            <w:shd w:val="clear" w:color="auto" w:fill="auto"/>
          </w:tcPr>
          <w:p w14:paraId="6B1A1061" w14:textId="77777777" w:rsidR="00203F72" w:rsidRPr="00A53581" w:rsidRDefault="00203F72" w:rsidP="00D87D91">
            <w:r w:rsidRPr="00A53581">
              <w:t>-0.40</w:t>
            </w:r>
          </w:p>
          <w:p w14:paraId="61F343C9" w14:textId="77777777" w:rsidR="00203F72" w:rsidRPr="00A53581" w:rsidRDefault="00203F72" w:rsidP="00D87D91">
            <w:r w:rsidRPr="00A53581">
              <w:t>(-.165)</w:t>
            </w:r>
          </w:p>
        </w:tc>
        <w:tc>
          <w:tcPr>
            <w:tcW w:w="1440" w:type="dxa"/>
            <w:shd w:val="clear" w:color="auto" w:fill="auto"/>
          </w:tcPr>
          <w:p w14:paraId="4C7C5B3F" w14:textId="77777777" w:rsidR="00203F72" w:rsidRPr="00A53581" w:rsidRDefault="00203F72" w:rsidP="00D87D91">
            <w:r w:rsidRPr="00A53581">
              <w:t>-.006</w:t>
            </w:r>
          </w:p>
          <w:p w14:paraId="59C568EF" w14:textId="77777777" w:rsidR="00203F72" w:rsidRPr="00A53581" w:rsidRDefault="00203F72" w:rsidP="00D87D91">
            <w:r w:rsidRPr="00A53581">
              <w:t>(-.166)</w:t>
            </w:r>
          </w:p>
        </w:tc>
        <w:tc>
          <w:tcPr>
            <w:tcW w:w="1440" w:type="dxa"/>
            <w:shd w:val="clear" w:color="auto" w:fill="auto"/>
          </w:tcPr>
          <w:p w14:paraId="05578BFE" w14:textId="77777777" w:rsidR="00203F72" w:rsidRPr="00A53581" w:rsidRDefault="00203F72" w:rsidP="00D87D91">
            <w:r w:rsidRPr="00A53581">
              <w:t>.066</w:t>
            </w:r>
          </w:p>
          <w:p w14:paraId="0AA249B9" w14:textId="77777777" w:rsidR="00203F72" w:rsidRPr="00A53581" w:rsidRDefault="00203F72" w:rsidP="00D87D91">
            <w:r w:rsidRPr="00A53581">
              <w:t xml:space="preserve">(2.990) </w:t>
            </w:r>
            <w:r w:rsidRPr="00A53581">
              <w:rPr>
                <w:position w:val="10"/>
              </w:rPr>
              <w:t>﹡</w:t>
            </w:r>
          </w:p>
        </w:tc>
        <w:tc>
          <w:tcPr>
            <w:tcW w:w="1440" w:type="dxa"/>
            <w:shd w:val="clear" w:color="auto" w:fill="auto"/>
          </w:tcPr>
          <w:p w14:paraId="0EF2E566" w14:textId="77777777" w:rsidR="00203F72" w:rsidRPr="00A53581" w:rsidRDefault="00203F72" w:rsidP="00D87D91">
            <w:r w:rsidRPr="00A53581">
              <w:t>-.041</w:t>
            </w:r>
          </w:p>
          <w:p w14:paraId="17572D75" w14:textId="77777777" w:rsidR="00203F72" w:rsidRPr="00A53581" w:rsidRDefault="00203F72" w:rsidP="00D87D91">
            <w:r w:rsidRPr="00A53581">
              <w:t>(-2.056)</w:t>
            </w:r>
          </w:p>
        </w:tc>
        <w:tc>
          <w:tcPr>
            <w:tcW w:w="1501" w:type="dxa"/>
            <w:shd w:val="clear" w:color="auto" w:fill="auto"/>
          </w:tcPr>
          <w:p w14:paraId="0677AC36" w14:textId="77777777" w:rsidR="00203F72" w:rsidRPr="00703176" w:rsidRDefault="00203F72" w:rsidP="00703176">
            <w:r w:rsidRPr="00703176">
              <w:t>-8.697(E-04)</w:t>
            </w:r>
            <w:r w:rsidRPr="00703176">
              <w:footnoteReference w:id="904"/>
            </w:r>
          </w:p>
          <w:p w14:paraId="38164AC4" w14:textId="77777777" w:rsidR="00203F72" w:rsidRPr="00703176" w:rsidRDefault="00203F72" w:rsidP="00703176">
            <w:r w:rsidRPr="00703176">
              <w:t>(-.337)</w:t>
            </w:r>
          </w:p>
        </w:tc>
      </w:tr>
      <w:tr w:rsidR="00203F72" w:rsidRPr="00A53581" w14:paraId="1081D8A7" w14:textId="77777777" w:rsidTr="00203F72">
        <w:trPr>
          <w:jc w:val="center"/>
        </w:trPr>
        <w:tc>
          <w:tcPr>
            <w:tcW w:w="1116" w:type="dxa"/>
            <w:shd w:val="clear" w:color="auto" w:fill="auto"/>
          </w:tcPr>
          <w:p w14:paraId="70315B5C" w14:textId="77777777" w:rsidR="00203F72" w:rsidRPr="00A53581" w:rsidRDefault="00203F72" w:rsidP="00D87D91">
            <w:r w:rsidRPr="00A53581">
              <w:t>常數</w:t>
            </w:r>
          </w:p>
        </w:tc>
        <w:tc>
          <w:tcPr>
            <w:tcW w:w="1412" w:type="dxa"/>
            <w:shd w:val="clear" w:color="auto" w:fill="auto"/>
          </w:tcPr>
          <w:p w14:paraId="308AB901" w14:textId="77777777" w:rsidR="00203F72" w:rsidRPr="00A53581" w:rsidRDefault="00203F72" w:rsidP="00D87D91">
            <w:r w:rsidRPr="00A53581">
              <w:t>1.636</w:t>
            </w:r>
          </w:p>
          <w:p w14:paraId="54E83A72" w14:textId="77777777" w:rsidR="00203F72" w:rsidRPr="00A53581" w:rsidRDefault="00203F72" w:rsidP="00D87D91">
            <w:r w:rsidRPr="00A53581">
              <w:t>(.597)</w:t>
            </w:r>
          </w:p>
        </w:tc>
        <w:tc>
          <w:tcPr>
            <w:tcW w:w="1440" w:type="dxa"/>
            <w:shd w:val="clear" w:color="auto" w:fill="auto"/>
          </w:tcPr>
          <w:p w14:paraId="6C171482" w14:textId="77777777" w:rsidR="00203F72" w:rsidRPr="00A53581" w:rsidRDefault="00203F72" w:rsidP="00D87D91">
            <w:r w:rsidRPr="00A53581">
              <w:t>-.043</w:t>
            </w:r>
          </w:p>
          <w:p w14:paraId="4C7AAB0C" w14:textId="77777777" w:rsidR="00203F72" w:rsidRPr="00A53581" w:rsidRDefault="00203F72" w:rsidP="00D87D91">
            <w:r w:rsidRPr="00A53581">
              <w:t>(-.378)</w:t>
            </w:r>
          </w:p>
        </w:tc>
        <w:tc>
          <w:tcPr>
            <w:tcW w:w="1440" w:type="dxa"/>
            <w:shd w:val="clear" w:color="auto" w:fill="auto"/>
          </w:tcPr>
          <w:p w14:paraId="1900D3E3" w14:textId="77777777" w:rsidR="00203F72" w:rsidRPr="00A53581" w:rsidRDefault="00203F72" w:rsidP="00D87D91">
            <w:r w:rsidRPr="00A53581">
              <w:t>.181</w:t>
            </w:r>
          </w:p>
          <w:p w14:paraId="4FCD6DDA" w14:textId="77777777" w:rsidR="00203F72" w:rsidRPr="00A53581" w:rsidRDefault="00203F72" w:rsidP="00D87D91">
            <w:r w:rsidRPr="00A53581">
              <w:t>(2.631)</w:t>
            </w:r>
          </w:p>
        </w:tc>
        <w:tc>
          <w:tcPr>
            <w:tcW w:w="1440" w:type="dxa"/>
            <w:shd w:val="clear" w:color="auto" w:fill="auto"/>
          </w:tcPr>
          <w:p w14:paraId="16FC1B7D" w14:textId="77777777" w:rsidR="00203F72" w:rsidRPr="00A53581" w:rsidRDefault="00203F72" w:rsidP="00D87D91">
            <w:r w:rsidRPr="00A53581">
              <w:t>-.257</w:t>
            </w:r>
          </w:p>
          <w:p w14:paraId="60B75556" w14:textId="77777777" w:rsidR="00203F72" w:rsidRPr="00A53581" w:rsidRDefault="00203F72" w:rsidP="00D87D91">
            <w:r w:rsidRPr="00A53581">
              <w:t>(-1.442)</w:t>
            </w:r>
          </w:p>
        </w:tc>
        <w:tc>
          <w:tcPr>
            <w:tcW w:w="1501" w:type="dxa"/>
            <w:shd w:val="clear" w:color="auto" w:fill="auto"/>
          </w:tcPr>
          <w:p w14:paraId="7451B6A8" w14:textId="77777777" w:rsidR="00203F72" w:rsidRPr="00703176" w:rsidRDefault="00203F72" w:rsidP="00703176">
            <w:r w:rsidRPr="00703176">
              <w:t>.032</w:t>
            </w:r>
          </w:p>
          <w:p w14:paraId="7DD932E1" w14:textId="77777777" w:rsidR="00203F72" w:rsidRPr="00703176" w:rsidRDefault="00203F72" w:rsidP="00703176">
            <w:r w:rsidRPr="00703176">
              <w:t>(1.858)</w:t>
            </w:r>
          </w:p>
        </w:tc>
      </w:tr>
    </w:tbl>
    <w:p w14:paraId="60613C55" w14:textId="77777777" w:rsidR="00203F72" w:rsidRPr="00A53581" w:rsidRDefault="00203F72" w:rsidP="00D87D91"/>
    <w:p w14:paraId="0D547587" w14:textId="77777777" w:rsidR="00953151" w:rsidRPr="00515D85" w:rsidRDefault="00CA2C52" w:rsidP="00D87D91">
      <w:r w:rsidRPr="00515D85">
        <w:rPr>
          <w:rFonts w:hint="eastAsia"/>
        </w:rPr>
        <w:t>【</w:t>
      </w:r>
      <w:r w:rsidR="00203F72" w:rsidRPr="00515D85">
        <w:t>註</w:t>
      </w:r>
      <w:r w:rsidRPr="00515D85">
        <w:rPr>
          <w:rFonts w:hint="eastAsia"/>
        </w:rPr>
        <w:t>】</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120</w:t>
      </w:r>
      <w:r w:rsidR="00203F72" w:rsidRPr="00515D85">
        <w:t>，並經由作者重新改寫與闡釋其統計實證數據之意義。</w:t>
      </w:r>
    </w:p>
    <w:p w14:paraId="7C2D7E0D" w14:textId="77777777" w:rsidR="00203F72" w:rsidRPr="00515D85" w:rsidRDefault="00CA2C52" w:rsidP="00D87D91">
      <w:r w:rsidRPr="00515D85">
        <w:t xml:space="preserve">　　</w:t>
      </w:r>
      <w:r w:rsidR="00203F72" w:rsidRPr="00515D85">
        <w:t>根據下表「各種重要犯罪嚇阻指標及社會指標與犯罪率之墮差效應複迴歸分析表」（絶對數模式）之實證統計數據，就執行死刑之墮差效應（當年度之次一年）而言，當年度之死刑對於下一年度之總體犯罪率，並沒有壓制效果，</w:t>
      </w:r>
      <w:r w:rsidR="00203F72" w:rsidRPr="00515D85">
        <w:t>B</w:t>
      </w:r>
      <w:r w:rsidR="00203F72" w:rsidRPr="00515D85">
        <w:t>值（未標準化之迴歸係數值）＝</w:t>
      </w:r>
      <w:r w:rsidR="00203F72" w:rsidRPr="00515D85">
        <w:t>0.70</w:t>
      </w:r>
      <w:r w:rsidR="00203F72" w:rsidRPr="00515D85">
        <w:t>，</w:t>
      </w:r>
      <w:r w:rsidR="00203F72" w:rsidRPr="00515D85">
        <w:t>t</w:t>
      </w:r>
      <w:r w:rsidR="00203F72" w:rsidRPr="00515D85">
        <w:t>值＝</w:t>
      </w:r>
      <w:r w:rsidR="00203F72" w:rsidRPr="00515D85">
        <w:t>0.568</w:t>
      </w:r>
      <w:r w:rsidR="00203F72" w:rsidRPr="00515D85">
        <w:t>，未達統計上之顯著水準；當年度之死刑，對於下一年度之殺人犯罪率，並無嚇阻或抑制之效果，</w:t>
      </w:r>
      <w:r w:rsidR="00203F72" w:rsidRPr="00515D85">
        <w:t>B</w:t>
      </w:r>
      <w:r w:rsidR="00203F72" w:rsidRPr="00515D85">
        <w:t>值（未標準化之迴歸係數值）＝</w:t>
      </w:r>
      <w:r w:rsidR="00203F72" w:rsidRPr="00515D85">
        <w:t>-0.005</w:t>
      </w:r>
      <w:r w:rsidR="00203F72" w:rsidRPr="00515D85">
        <w:t>，</w:t>
      </w:r>
      <w:r w:rsidR="00203F72" w:rsidRPr="00515D85">
        <w:t>t</w:t>
      </w:r>
      <w:r w:rsidR="00203F72" w:rsidRPr="00515D85">
        <w:t>＝</w:t>
      </w:r>
      <w:r w:rsidR="00203F72" w:rsidRPr="00515D85">
        <w:t>-0.538</w:t>
      </w:r>
      <w:r w:rsidR="00203F72" w:rsidRPr="00515D85">
        <w:t>，未達統計上之顯著水準；當年度之執行死刑，對於下一年度之暴力性財產犯罪率而言，亦無壓制力道，</w:t>
      </w:r>
      <w:r w:rsidR="00203F72" w:rsidRPr="00515D85">
        <w:t>B</w:t>
      </w:r>
      <w:r w:rsidR="00203F72" w:rsidRPr="00515D85">
        <w:t>（未標準化之迴歸係數值）＝</w:t>
      </w:r>
      <w:r w:rsidR="00203F72" w:rsidRPr="00515D85">
        <w:t>1.136</w:t>
      </w:r>
      <w:r w:rsidR="00203F72" w:rsidRPr="00515D85">
        <w:t>，</w:t>
      </w:r>
      <w:r w:rsidR="00203F72" w:rsidRPr="00515D85">
        <w:t>t</w:t>
      </w:r>
      <w:r w:rsidR="00203F72" w:rsidRPr="00515D85">
        <w:t>＝</w:t>
      </w:r>
      <w:r w:rsidR="00203F72" w:rsidRPr="00515D85">
        <w:t>0.034</w:t>
      </w:r>
      <w:r w:rsidR="00203F72" w:rsidRPr="00515D85">
        <w:t>，仍是未達統計上之顯著水準；當年度執行死刑之人數，對於下一年度之強姦犯罪率，未有抑制之成效，</w:t>
      </w:r>
      <w:r w:rsidR="00203F72" w:rsidRPr="00515D85">
        <w:t>B</w:t>
      </w:r>
      <w:r w:rsidR="00203F72" w:rsidRPr="00515D85">
        <w:t>（未標準化之迴歸係數值）＝</w:t>
      </w:r>
      <w:r w:rsidR="00203F72" w:rsidRPr="00515D85">
        <w:t>0.003</w:t>
      </w:r>
      <w:r w:rsidR="00203F72" w:rsidRPr="00515D85">
        <w:t>，</w:t>
      </w:r>
      <w:r w:rsidR="00203F72" w:rsidRPr="00515D85">
        <w:t>t</w:t>
      </w:r>
      <w:r w:rsidR="00203F72" w:rsidRPr="00515D85">
        <w:t>＝</w:t>
      </w:r>
      <w:r w:rsidR="00203F72" w:rsidRPr="00515D85">
        <w:t>0.157</w:t>
      </w:r>
      <w:r w:rsidR="00203F72" w:rsidRPr="00515D85">
        <w:t>，未達統計上之顯著水準；當年度執行死刑之人數（自變項），對於下一年度之擄人勒贖犯罪率（結果變項、依變項）而言，仍沒有嚇阻成效，</w:t>
      </w:r>
      <w:r w:rsidR="00203F72" w:rsidRPr="00515D85">
        <w:t>B</w:t>
      </w:r>
      <w:r w:rsidR="00203F72" w:rsidRPr="00515D85">
        <w:t>（未標準化之迴歸係數值）＝</w:t>
      </w:r>
      <w:r w:rsidR="00203F72" w:rsidRPr="00515D85">
        <w:t>0.001</w:t>
      </w:r>
      <w:r w:rsidR="00203F72" w:rsidRPr="00515D85">
        <w:t>，</w:t>
      </w:r>
      <w:r w:rsidR="00203F72" w:rsidRPr="00515D85">
        <w:t>t</w:t>
      </w:r>
      <w:r w:rsidR="00203F72" w:rsidRPr="00515D85">
        <w:t>＝</w:t>
      </w:r>
      <w:r w:rsidR="00203F72" w:rsidRPr="00515D85">
        <w:t>0.444</w:t>
      </w:r>
      <w:r w:rsidR="00203F72" w:rsidRPr="00515D85">
        <w:t>。</w:t>
      </w:r>
    </w:p>
    <w:p w14:paraId="7849B9E5" w14:textId="77777777" w:rsidR="00203F72" w:rsidRPr="00515D85" w:rsidRDefault="00CA2C52" w:rsidP="00D87D91">
      <w:r w:rsidRPr="00515D85">
        <w:t xml:space="preserve">　　</w:t>
      </w:r>
      <w:r w:rsidR="00203F72" w:rsidRPr="00515D85">
        <w:t>綜上，法務部在當年度所執行之死刑，對於下一年度之「總犯罪率」、「殺人犯罪率」、「暴力性財產犯罪率」、「強姦犯罪率」及「擄人勒贖犯罪率」而論，全部均欠缺嚇阻力道。根據上述之實證統計結果，既然死刑無法壓抑各類重大犯罪之發生，死刑即缺乏存在之必要性。在此種之論證下，國人宜非常認真考慮廢除死刑，主因在於它缺乏實效性。</w:t>
      </w:r>
    </w:p>
    <w:p w14:paraId="3F6D8C17" w14:textId="77777777" w:rsidR="00203F72" w:rsidRPr="00A53581" w:rsidRDefault="00203F72" w:rsidP="00D87D91">
      <w:r w:rsidRPr="00A53581">
        <w:t xml:space="preserve"> </w:t>
      </w:r>
    </w:p>
    <w:p w14:paraId="68A4189B" w14:textId="78ADB54F"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100</w:t>
      </w:r>
      <w:r w:rsidR="00076467">
        <w:rPr>
          <w:noProof/>
        </w:rPr>
        <w:fldChar w:fldCharType="end"/>
      </w:r>
      <w:r w:rsidR="00203F72" w:rsidRPr="00A53581">
        <w:t>各種犯罪嚇阻重要指標及社會指標對於犯罪率之墮差效應複迴歸分析</w:t>
      </w:r>
      <w:r w:rsidR="00203F72" w:rsidRPr="00A53581">
        <w:t>(</w:t>
      </w:r>
      <w:r w:rsidR="00203F72" w:rsidRPr="00A53581">
        <w:t>絕對數模式</w:t>
      </w:r>
      <w:r w:rsidR="00203F72" w:rsidRPr="00A53581">
        <w:t>)(1961~1990) (</w:t>
      </w:r>
      <w:r w:rsidR="00203F72" w:rsidRPr="00A53581">
        <w:t>括號內為</w:t>
      </w:r>
      <w:r w:rsidR="00203F72" w:rsidRPr="00A53581">
        <w:t>t</w:t>
      </w:r>
      <w:r w:rsidR="00203F72" w:rsidRPr="00A53581">
        <w:t>值</w:t>
      </w:r>
      <w:r w:rsidR="00203F72" w:rsidRPr="00A53581">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1426"/>
        <w:gridCol w:w="1427"/>
        <w:gridCol w:w="1427"/>
        <w:gridCol w:w="1427"/>
        <w:gridCol w:w="1201"/>
      </w:tblGrid>
      <w:tr w:rsidR="00203F72" w:rsidRPr="00A53581" w14:paraId="28DE6534" w14:textId="77777777" w:rsidTr="00703176">
        <w:trPr>
          <w:tblHeader/>
          <w:jc w:val="center"/>
        </w:trPr>
        <w:tc>
          <w:tcPr>
            <w:tcW w:w="1360" w:type="dxa"/>
            <w:shd w:val="clear" w:color="auto" w:fill="FAF0FA"/>
          </w:tcPr>
          <w:p w14:paraId="7A50F2BC" w14:textId="77777777" w:rsidR="00953151" w:rsidRPr="00703176" w:rsidRDefault="00203F72" w:rsidP="00703176">
            <w:r w:rsidRPr="00703176">
              <w:t>依變項</w:t>
            </w:r>
          </w:p>
          <w:p w14:paraId="0E7CFCE1" w14:textId="77777777" w:rsidR="00203F72" w:rsidRPr="00703176" w:rsidRDefault="00203F72" w:rsidP="00703176">
            <w:r w:rsidRPr="00703176">
              <w:t>迴歸係數</w:t>
            </w:r>
          </w:p>
          <w:p w14:paraId="6BFDEA79" w14:textId="77777777" w:rsidR="00953151" w:rsidRPr="00703176" w:rsidRDefault="00203F72" w:rsidP="00703176">
            <w:r w:rsidRPr="00703176">
              <w:t>t-</w:t>
            </w:r>
            <w:r w:rsidRPr="00703176">
              <w:t>值</w:t>
            </w:r>
          </w:p>
          <w:p w14:paraId="071920A4" w14:textId="77777777" w:rsidR="00203F72" w:rsidRPr="00703176" w:rsidRDefault="00203F72" w:rsidP="00703176">
            <w:r w:rsidRPr="00703176">
              <w:t>自變項</w:t>
            </w:r>
          </w:p>
        </w:tc>
        <w:tc>
          <w:tcPr>
            <w:tcW w:w="1426" w:type="dxa"/>
            <w:shd w:val="clear" w:color="auto" w:fill="FAF0FA"/>
          </w:tcPr>
          <w:p w14:paraId="6A05F0A4" w14:textId="77777777" w:rsidR="00203F72" w:rsidRPr="00703176" w:rsidRDefault="00203F72" w:rsidP="00703176">
            <w:r w:rsidRPr="00703176">
              <w:t>總犯罪率</w:t>
            </w:r>
            <w:r w:rsidRPr="00703176">
              <w:t>(</w:t>
            </w:r>
            <w:r w:rsidRPr="00703176">
              <w:t>依變項、結果變項</w:t>
            </w:r>
            <w:r w:rsidRPr="00703176">
              <w:footnoteReference w:id="905"/>
            </w:r>
            <w:r w:rsidRPr="00703176">
              <w:t>)</w:t>
            </w:r>
          </w:p>
        </w:tc>
        <w:tc>
          <w:tcPr>
            <w:tcW w:w="1427" w:type="dxa"/>
            <w:shd w:val="clear" w:color="auto" w:fill="FAF0FA"/>
          </w:tcPr>
          <w:p w14:paraId="00EDC535" w14:textId="77777777" w:rsidR="00203F72" w:rsidRPr="00703176" w:rsidRDefault="00203F72" w:rsidP="00703176">
            <w:r w:rsidRPr="00703176">
              <w:t>殺人犯罪率</w:t>
            </w:r>
            <w:r w:rsidRPr="00703176">
              <w:t>(</w:t>
            </w:r>
            <w:r w:rsidRPr="00703176">
              <w:t>依變項、結果變項</w:t>
            </w:r>
            <w:r w:rsidRPr="00703176">
              <w:t>)</w:t>
            </w:r>
          </w:p>
        </w:tc>
        <w:tc>
          <w:tcPr>
            <w:tcW w:w="1427" w:type="dxa"/>
            <w:shd w:val="clear" w:color="auto" w:fill="FAF0FA"/>
          </w:tcPr>
          <w:p w14:paraId="3CB33EDF" w14:textId="77777777" w:rsidR="00203F72" w:rsidRPr="00703176" w:rsidRDefault="00203F72" w:rsidP="00703176">
            <w:r w:rsidRPr="00703176">
              <w:t>暴力性財產犯罪率</w:t>
            </w:r>
            <w:r w:rsidRPr="00703176">
              <w:t>(</w:t>
            </w:r>
            <w:r w:rsidRPr="00703176">
              <w:t>依變項、結果變項</w:t>
            </w:r>
            <w:r w:rsidRPr="00703176">
              <w:t>)</w:t>
            </w:r>
          </w:p>
        </w:tc>
        <w:tc>
          <w:tcPr>
            <w:tcW w:w="1427" w:type="dxa"/>
            <w:shd w:val="clear" w:color="auto" w:fill="FAF0FA"/>
          </w:tcPr>
          <w:p w14:paraId="437FC8D4" w14:textId="77777777" w:rsidR="00203F72" w:rsidRPr="00703176" w:rsidRDefault="00203F72" w:rsidP="00703176">
            <w:r w:rsidRPr="00703176">
              <w:t>強姦犯罪率</w:t>
            </w:r>
            <w:r w:rsidRPr="00703176">
              <w:t>(</w:t>
            </w:r>
            <w:r w:rsidRPr="00703176">
              <w:t>依變項、結果變項</w:t>
            </w:r>
            <w:r w:rsidRPr="00703176">
              <w:t>)</w:t>
            </w:r>
          </w:p>
        </w:tc>
        <w:tc>
          <w:tcPr>
            <w:tcW w:w="1201" w:type="dxa"/>
            <w:shd w:val="clear" w:color="auto" w:fill="FAF0FA"/>
          </w:tcPr>
          <w:p w14:paraId="18484DD3" w14:textId="77777777" w:rsidR="00203F72" w:rsidRPr="00703176" w:rsidRDefault="00203F72" w:rsidP="00703176">
            <w:r w:rsidRPr="00703176">
              <w:t>擄人勒贖犯罪率</w:t>
            </w:r>
            <w:r w:rsidRPr="00703176">
              <w:t>(</w:t>
            </w:r>
            <w:r w:rsidRPr="00703176">
              <w:t>依變項、結果變項</w:t>
            </w:r>
            <w:r w:rsidRPr="00703176">
              <w:t>)</w:t>
            </w:r>
          </w:p>
        </w:tc>
      </w:tr>
      <w:tr w:rsidR="00203F72" w:rsidRPr="00A53581" w14:paraId="32D4126E" w14:textId="77777777" w:rsidTr="00203F72">
        <w:trPr>
          <w:jc w:val="center"/>
        </w:trPr>
        <w:tc>
          <w:tcPr>
            <w:tcW w:w="1360" w:type="dxa"/>
            <w:shd w:val="clear" w:color="auto" w:fill="auto"/>
          </w:tcPr>
          <w:p w14:paraId="76DD55A7" w14:textId="77777777" w:rsidR="00203F72" w:rsidRPr="00A53581" w:rsidRDefault="00203F72" w:rsidP="00D87D91">
            <w:r w:rsidRPr="00A53581">
              <w:t>被執行死刑之人數</w:t>
            </w:r>
            <w:r w:rsidRPr="00A53581">
              <w:t>(</w:t>
            </w:r>
            <w:r w:rsidRPr="00A53581">
              <w:t>自變項</w:t>
            </w:r>
            <w:r w:rsidRPr="00A53581">
              <w:t>)</w:t>
            </w:r>
          </w:p>
        </w:tc>
        <w:tc>
          <w:tcPr>
            <w:tcW w:w="1426" w:type="dxa"/>
            <w:shd w:val="clear" w:color="auto" w:fill="auto"/>
          </w:tcPr>
          <w:p w14:paraId="242BD8BD" w14:textId="77777777" w:rsidR="00203F72" w:rsidRPr="00A53581" w:rsidRDefault="00203F72" w:rsidP="00D87D91">
            <w:r w:rsidRPr="00A53581">
              <w:t>0.70</w:t>
            </w:r>
          </w:p>
          <w:p w14:paraId="412681E2" w14:textId="77777777" w:rsidR="00203F72" w:rsidRPr="00A53581" w:rsidRDefault="00203F72" w:rsidP="00D87D91">
            <w:r w:rsidRPr="00A53581">
              <w:t>(.568)</w:t>
            </w:r>
          </w:p>
        </w:tc>
        <w:tc>
          <w:tcPr>
            <w:tcW w:w="1427" w:type="dxa"/>
            <w:shd w:val="clear" w:color="auto" w:fill="auto"/>
          </w:tcPr>
          <w:p w14:paraId="7D518FEB" w14:textId="77777777" w:rsidR="00203F72" w:rsidRPr="00A53581" w:rsidRDefault="00203F72" w:rsidP="00D87D91">
            <w:r w:rsidRPr="00A53581">
              <w:t>-.005</w:t>
            </w:r>
          </w:p>
          <w:p w14:paraId="3D0B1BE3" w14:textId="77777777" w:rsidR="00203F72" w:rsidRPr="00A53581" w:rsidRDefault="00203F72" w:rsidP="00D87D91">
            <w:r w:rsidRPr="00A53581">
              <w:t>(-.538)</w:t>
            </w:r>
          </w:p>
        </w:tc>
        <w:tc>
          <w:tcPr>
            <w:tcW w:w="1427" w:type="dxa"/>
            <w:shd w:val="clear" w:color="auto" w:fill="auto"/>
          </w:tcPr>
          <w:p w14:paraId="6E39B47F" w14:textId="77777777" w:rsidR="00203F72" w:rsidRPr="00A53581" w:rsidRDefault="00203F72" w:rsidP="00D87D91">
            <w:r w:rsidRPr="00A53581">
              <w:t>1.136</w:t>
            </w:r>
          </w:p>
          <w:p w14:paraId="36CE4E98" w14:textId="77777777" w:rsidR="00203F72" w:rsidRPr="00A53581" w:rsidRDefault="00203F72" w:rsidP="00D87D91">
            <w:r w:rsidRPr="00A53581">
              <w:t>(.034)</w:t>
            </w:r>
          </w:p>
        </w:tc>
        <w:tc>
          <w:tcPr>
            <w:tcW w:w="1427" w:type="dxa"/>
            <w:shd w:val="clear" w:color="auto" w:fill="auto"/>
          </w:tcPr>
          <w:p w14:paraId="23A9EAC6" w14:textId="77777777" w:rsidR="00203F72" w:rsidRPr="00A53581" w:rsidRDefault="00203F72" w:rsidP="00D87D91">
            <w:r w:rsidRPr="00A53581">
              <w:t>.003</w:t>
            </w:r>
          </w:p>
          <w:p w14:paraId="48A06155" w14:textId="77777777" w:rsidR="00203F72" w:rsidRPr="00A53581" w:rsidRDefault="00203F72" w:rsidP="00D87D91">
            <w:r w:rsidRPr="00A53581">
              <w:t>(.157)</w:t>
            </w:r>
          </w:p>
        </w:tc>
        <w:tc>
          <w:tcPr>
            <w:tcW w:w="1201" w:type="dxa"/>
            <w:shd w:val="clear" w:color="auto" w:fill="auto"/>
          </w:tcPr>
          <w:p w14:paraId="4BC2C495" w14:textId="77777777" w:rsidR="00203F72" w:rsidRPr="00A53581" w:rsidRDefault="00203F72" w:rsidP="00D87D91">
            <w:r w:rsidRPr="00A53581">
              <w:t>.001</w:t>
            </w:r>
          </w:p>
          <w:p w14:paraId="09FC65A5" w14:textId="77777777" w:rsidR="00203F72" w:rsidRPr="00A53581" w:rsidRDefault="00203F72" w:rsidP="00D87D91">
            <w:r w:rsidRPr="00A53581">
              <w:t>(.444)</w:t>
            </w:r>
          </w:p>
        </w:tc>
      </w:tr>
      <w:tr w:rsidR="00203F72" w:rsidRPr="00A53581" w14:paraId="7A3D691D" w14:textId="77777777" w:rsidTr="00203F72">
        <w:trPr>
          <w:jc w:val="center"/>
        </w:trPr>
        <w:tc>
          <w:tcPr>
            <w:tcW w:w="1360" w:type="dxa"/>
            <w:shd w:val="clear" w:color="auto" w:fill="auto"/>
          </w:tcPr>
          <w:p w14:paraId="0CD3D53D" w14:textId="77777777" w:rsidR="00203F72" w:rsidRPr="00A53581" w:rsidRDefault="00203F72" w:rsidP="00D87D91">
            <w:r w:rsidRPr="00A53581">
              <w:t>刑案破獲率</w:t>
            </w:r>
            <w:r w:rsidRPr="00A53581">
              <w:t>(</w:t>
            </w:r>
            <w:r w:rsidRPr="00A53581">
              <w:t>自變項</w:t>
            </w:r>
            <w:r w:rsidRPr="00A53581">
              <w:t>)</w:t>
            </w:r>
          </w:p>
        </w:tc>
        <w:tc>
          <w:tcPr>
            <w:tcW w:w="1426" w:type="dxa"/>
            <w:shd w:val="clear" w:color="auto" w:fill="auto"/>
          </w:tcPr>
          <w:p w14:paraId="35A83F61" w14:textId="77777777" w:rsidR="00203F72" w:rsidRPr="00A53581" w:rsidRDefault="00203F72" w:rsidP="00D87D91">
            <w:r w:rsidRPr="00A53581">
              <w:t>.076</w:t>
            </w:r>
          </w:p>
          <w:p w14:paraId="12944B40" w14:textId="77777777" w:rsidR="00203F72" w:rsidRPr="00A53581" w:rsidRDefault="00203F72" w:rsidP="00D87D91">
            <w:r w:rsidRPr="00A53581">
              <w:t>(.219)</w:t>
            </w:r>
          </w:p>
        </w:tc>
        <w:tc>
          <w:tcPr>
            <w:tcW w:w="1427" w:type="dxa"/>
            <w:shd w:val="clear" w:color="auto" w:fill="auto"/>
          </w:tcPr>
          <w:p w14:paraId="5E179603" w14:textId="77777777" w:rsidR="00203F72" w:rsidRPr="00A53581" w:rsidRDefault="00203F72" w:rsidP="00D87D91">
            <w:r w:rsidRPr="00A53581">
              <w:t>-.006</w:t>
            </w:r>
          </w:p>
          <w:p w14:paraId="49E2E108" w14:textId="77777777" w:rsidR="00203F72" w:rsidRPr="00A53581" w:rsidRDefault="00203F72" w:rsidP="00D87D91">
            <w:r w:rsidRPr="00A53581">
              <w:t>(-.339)</w:t>
            </w:r>
          </w:p>
        </w:tc>
        <w:tc>
          <w:tcPr>
            <w:tcW w:w="1427" w:type="dxa"/>
            <w:shd w:val="clear" w:color="auto" w:fill="auto"/>
          </w:tcPr>
          <w:p w14:paraId="1FDFD7FC" w14:textId="77777777" w:rsidR="00203F72" w:rsidRPr="00A53581" w:rsidRDefault="00203F72" w:rsidP="00D87D91">
            <w:r w:rsidRPr="00A53581">
              <w:t>.015</w:t>
            </w:r>
            <w:r w:rsidRPr="00A53581">
              <w:rPr>
                <w:position w:val="10"/>
              </w:rPr>
              <w:t>﹡</w:t>
            </w:r>
          </w:p>
          <w:p w14:paraId="696D9D7C" w14:textId="77777777" w:rsidR="00203F72" w:rsidRPr="00A53581" w:rsidRDefault="00203F72" w:rsidP="00D87D91">
            <w:r w:rsidRPr="00A53581">
              <w:t>(3.022)</w:t>
            </w:r>
          </w:p>
        </w:tc>
        <w:tc>
          <w:tcPr>
            <w:tcW w:w="1427" w:type="dxa"/>
            <w:shd w:val="clear" w:color="auto" w:fill="auto"/>
          </w:tcPr>
          <w:p w14:paraId="2D3F8E11" w14:textId="77777777" w:rsidR="00203F72" w:rsidRPr="00A53581" w:rsidRDefault="00203F72" w:rsidP="00D87D91">
            <w:r w:rsidRPr="00A53581">
              <w:t>-.004</w:t>
            </w:r>
          </w:p>
          <w:p w14:paraId="7A39EADA" w14:textId="77777777" w:rsidR="00203F72" w:rsidRPr="00A53581" w:rsidRDefault="00203F72" w:rsidP="00D87D91">
            <w:r w:rsidRPr="00A53581">
              <w:t>(-.245)</w:t>
            </w:r>
          </w:p>
        </w:tc>
        <w:tc>
          <w:tcPr>
            <w:tcW w:w="1201" w:type="dxa"/>
            <w:shd w:val="clear" w:color="auto" w:fill="auto"/>
          </w:tcPr>
          <w:p w14:paraId="1AF3B4BE" w14:textId="77777777" w:rsidR="00203F72" w:rsidRPr="00A53581" w:rsidRDefault="00203F72" w:rsidP="00D87D91">
            <w:r w:rsidRPr="00A53581">
              <w:t>2.53</w:t>
            </w:r>
          </w:p>
          <w:p w14:paraId="1269A721" w14:textId="77777777" w:rsidR="00203F72" w:rsidRPr="00A53581" w:rsidRDefault="00203F72" w:rsidP="00D87D91">
            <w:r w:rsidRPr="00A53581">
              <w:t>(.315)</w:t>
            </w:r>
          </w:p>
        </w:tc>
      </w:tr>
      <w:tr w:rsidR="00203F72" w:rsidRPr="00A53581" w14:paraId="6068BDF0" w14:textId="77777777" w:rsidTr="00203F72">
        <w:trPr>
          <w:jc w:val="center"/>
        </w:trPr>
        <w:tc>
          <w:tcPr>
            <w:tcW w:w="1360" w:type="dxa"/>
            <w:shd w:val="clear" w:color="auto" w:fill="auto"/>
          </w:tcPr>
          <w:p w14:paraId="20F66C5B" w14:textId="77777777" w:rsidR="00203F72" w:rsidRPr="00A53581" w:rsidRDefault="00203F72" w:rsidP="00D87D91">
            <w:r w:rsidRPr="00A53581">
              <w:t>失業率</w:t>
            </w:r>
            <w:r w:rsidRPr="00A53581">
              <w:t>(</w:t>
            </w:r>
            <w:r w:rsidRPr="00A53581">
              <w:t>自變項</w:t>
            </w:r>
            <w:r w:rsidRPr="00A53581">
              <w:t>)</w:t>
            </w:r>
          </w:p>
        </w:tc>
        <w:tc>
          <w:tcPr>
            <w:tcW w:w="1426" w:type="dxa"/>
            <w:shd w:val="clear" w:color="auto" w:fill="auto"/>
          </w:tcPr>
          <w:p w14:paraId="28A7AB6A" w14:textId="77777777" w:rsidR="00203F72" w:rsidRPr="00A53581" w:rsidRDefault="00203F72" w:rsidP="00D87D91">
            <w:r w:rsidRPr="00A53581">
              <w:t>2.554</w:t>
            </w:r>
          </w:p>
          <w:p w14:paraId="4367B881" w14:textId="77777777" w:rsidR="00203F72" w:rsidRPr="00A53581" w:rsidRDefault="00203F72" w:rsidP="00D87D91">
            <w:r w:rsidRPr="00A53581">
              <w:t>(1.338)</w:t>
            </w:r>
          </w:p>
        </w:tc>
        <w:tc>
          <w:tcPr>
            <w:tcW w:w="1427" w:type="dxa"/>
            <w:shd w:val="clear" w:color="auto" w:fill="auto"/>
          </w:tcPr>
          <w:p w14:paraId="7D1E1323" w14:textId="77777777" w:rsidR="00203F72" w:rsidRPr="00A53581" w:rsidRDefault="00203F72" w:rsidP="00D87D91">
            <w:r w:rsidRPr="00A53581">
              <w:t>.062</w:t>
            </w:r>
          </w:p>
          <w:p w14:paraId="05D12399" w14:textId="77777777" w:rsidR="00203F72" w:rsidRPr="00A53581" w:rsidRDefault="00203F72" w:rsidP="00D87D91">
            <w:r w:rsidRPr="00A53581">
              <w:t>(1.162)</w:t>
            </w:r>
          </w:p>
        </w:tc>
        <w:tc>
          <w:tcPr>
            <w:tcW w:w="1427" w:type="dxa"/>
            <w:shd w:val="clear" w:color="auto" w:fill="auto"/>
          </w:tcPr>
          <w:p w14:paraId="434F5E0D" w14:textId="77777777" w:rsidR="00203F72" w:rsidRPr="00A53581" w:rsidRDefault="00203F72" w:rsidP="00D87D91">
            <w:r w:rsidRPr="00A53581">
              <w:t>.068</w:t>
            </w:r>
          </w:p>
          <w:p w14:paraId="56D7FEC6" w14:textId="77777777" w:rsidR="00203F72" w:rsidRPr="00A53581" w:rsidRDefault="00203F72" w:rsidP="00D87D91">
            <w:r w:rsidRPr="00A53581">
              <w:t>(1.998)</w:t>
            </w:r>
          </w:p>
        </w:tc>
        <w:tc>
          <w:tcPr>
            <w:tcW w:w="1427" w:type="dxa"/>
            <w:shd w:val="clear" w:color="auto" w:fill="auto"/>
          </w:tcPr>
          <w:p w14:paraId="3755DAE8" w14:textId="77777777" w:rsidR="00203F72" w:rsidRPr="00A53581" w:rsidRDefault="00203F72" w:rsidP="00D87D91">
            <w:r w:rsidRPr="00A53581">
              <w:t>.04</w:t>
            </w:r>
          </w:p>
          <w:p w14:paraId="73BBBC1D" w14:textId="77777777" w:rsidR="00203F72" w:rsidRPr="00A53581" w:rsidRDefault="00203F72" w:rsidP="00D87D91">
            <w:r w:rsidRPr="00A53581">
              <w:t>(.737)</w:t>
            </w:r>
          </w:p>
        </w:tc>
        <w:tc>
          <w:tcPr>
            <w:tcW w:w="1201" w:type="dxa"/>
            <w:shd w:val="clear" w:color="auto" w:fill="auto"/>
          </w:tcPr>
          <w:p w14:paraId="042C8978" w14:textId="77777777" w:rsidR="00203F72" w:rsidRPr="00A53581" w:rsidRDefault="00203F72" w:rsidP="00D87D91">
            <w:r w:rsidRPr="00A53581">
              <w:t>0.09</w:t>
            </w:r>
          </w:p>
          <w:p w14:paraId="3BA2677B" w14:textId="77777777" w:rsidR="00203F72" w:rsidRPr="00A53581" w:rsidRDefault="00203F72" w:rsidP="00D87D91">
            <w:r w:rsidRPr="00A53581">
              <w:t>(1.076)</w:t>
            </w:r>
          </w:p>
        </w:tc>
      </w:tr>
      <w:tr w:rsidR="00203F72" w:rsidRPr="00A53581" w14:paraId="1843C327" w14:textId="77777777" w:rsidTr="00203F72">
        <w:trPr>
          <w:jc w:val="center"/>
        </w:trPr>
        <w:tc>
          <w:tcPr>
            <w:tcW w:w="1360" w:type="dxa"/>
            <w:shd w:val="clear" w:color="auto" w:fill="auto"/>
          </w:tcPr>
          <w:p w14:paraId="2D4B7B60" w14:textId="77777777" w:rsidR="00203F72" w:rsidRPr="00A53581" w:rsidRDefault="00203F72" w:rsidP="00D87D91">
            <w:r w:rsidRPr="00A53581">
              <w:t>離婚率</w:t>
            </w:r>
            <w:r w:rsidRPr="00A53581">
              <w:t>(</w:t>
            </w:r>
            <w:r w:rsidRPr="00A53581">
              <w:t>自變項</w:t>
            </w:r>
            <w:r w:rsidRPr="00A53581">
              <w:t>)</w:t>
            </w:r>
          </w:p>
        </w:tc>
        <w:tc>
          <w:tcPr>
            <w:tcW w:w="1426" w:type="dxa"/>
            <w:shd w:val="clear" w:color="auto" w:fill="auto"/>
          </w:tcPr>
          <w:p w14:paraId="43C8EDE3" w14:textId="77777777" w:rsidR="00203F72" w:rsidRPr="00A53581" w:rsidRDefault="00203F72" w:rsidP="00D87D91">
            <w:r w:rsidRPr="00A53581">
              <w:t>53.565</w:t>
            </w:r>
          </w:p>
          <w:p w14:paraId="0E5AF968" w14:textId="77777777" w:rsidR="00203F72" w:rsidRPr="00A53581" w:rsidRDefault="00203F72" w:rsidP="00D87D91">
            <w:r w:rsidRPr="00A53581">
              <w:t>(1.64)</w:t>
            </w:r>
          </w:p>
        </w:tc>
        <w:tc>
          <w:tcPr>
            <w:tcW w:w="1427" w:type="dxa"/>
            <w:shd w:val="clear" w:color="auto" w:fill="auto"/>
          </w:tcPr>
          <w:p w14:paraId="531EB963" w14:textId="77777777" w:rsidR="00203F72" w:rsidRPr="00A53581" w:rsidRDefault="00203F72" w:rsidP="00D87D91">
            <w:r w:rsidRPr="00A53581">
              <w:t>.885</w:t>
            </w:r>
          </w:p>
          <w:p w14:paraId="5CBAE40E" w14:textId="77777777" w:rsidR="00203F72" w:rsidRPr="00A53581" w:rsidRDefault="00203F72" w:rsidP="00D87D91">
            <w:r w:rsidRPr="00A53581">
              <w:t>(1.053)</w:t>
            </w:r>
          </w:p>
        </w:tc>
        <w:tc>
          <w:tcPr>
            <w:tcW w:w="1427" w:type="dxa"/>
            <w:shd w:val="clear" w:color="auto" w:fill="auto"/>
          </w:tcPr>
          <w:p w14:paraId="08CBC5CE" w14:textId="77777777" w:rsidR="00203F72" w:rsidRPr="00A53581" w:rsidRDefault="00203F72" w:rsidP="00D87D91">
            <w:r w:rsidRPr="00A53581">
              <w:t>-.39</w:t>
            </w:r>
          </w:p>
          <w:p w14:paraId="0C7025B6" w14:textId="77777777" w:rsidR="00203F72" w:rsidRPr="00A53581" w:rsidRDefault="00203F72" w:rsidP="00D87D91">
            <w:r w:rsidRPr="00A53581">
              <w:t>(-.659)</w:t>
            </w:r>
          </w:p>
        </w:tc>
        <w:tc>
          <w:tcPr>
            <w:tcW w:w="1427" w:type="dxa"/>
            <w:shd w:val="clear" w:color="auto" w:fill="auto"/>
          </w:tcPr>
          <w:p w14:paraId="45638199" w14:textId="77777777" w:rsidR="00203F72" w:rsidRPr="00A53581" w:rsidRDefault="00203F72" w:rsidP="00D87D91">
            <w:r w:rsidRPr="00A53581">
              <w:t>1.167</w:t>
            </w:r>
          </w:p>
          <w:p w14:paraId="156F9331" w14:textId="77777777" w:rsidR="00203F72" w:rsidRPr="00A53581" w:rsidRDefault="00203F72" w:rsidP="00D87D91">
            <w:r w:rsidRPr="00A53581">
              <w:t>(1.571)</w:t>
            </w:r>
          </w:p>
        </w:tc>
        <w:tc>
          <w:tcPr>
            <w:tcW w:w="1201" w:type="dxa"/>
            <w:shd w:val="clear" w:color="auto" w:fill="auto"/>
          </w:tcPr>
          <w:p w14:paraId="746E72A6" w14:textId="77777777" w:rsidR="00203F72" w:rsidRPr="00A53581" w:rsidRDefault="00203F72" w:rsidP="00D87D91">
            <w:r w:rsidRPr="00A53581">
              <w:t>-.112</w:t>
            </w:r>
          </w:p>
          <w:p w14:paraId="4C313ED1" w14:textId="77777777" w:rsidR="00203F72" w:rsidRPr="00A53581" w:rsidRDefault="00203F72" w:rsidP="00D87D91">
            <w:r w:rsidRPr="00A53581">
              <w:t>(-1.529)</w:t>
            </w:r>
          </w:p>
        </w:tc>
      </w:tr>
      <w:tr w:rsidR="00203F72" w:rsidRPr="00A53581" w14:paraId="2FF7E9A7" w14:textId="77777777" w:rsidTr="00203F72">
        <w:trPr>
          <w:jc w:val="center"/>
        </w:trPr>
        <w:tc>
          <w:tcPr>
            <w:tcW w:w="1360" w:type="dxa"/>
            <w:shd w:val="clear" w:color="auto" w:fill="auto"/>
          </w:tcPr>
          <w:p w14:paraId="7AA25FDE" w14:textId="77777777" w:rsidR="00203F72" w:rsidRPr="00A53581" w:rsidRDefault="00203F72" w:rsidP="00D87D91">
            <w:r w:rsidRPr="00A53581">
              <w:t>15~29</w:t>
            </w:r>
            <w:r w:rsidRPr="00A53581">
              <w:t>歲</w:t>
            </w:r>
          </w:p>
          <w:p w14:paraId="4244CA66" w14:textId="77777777" w:rsidR="00203F72" w:rsidRPr="00A53581" w:rsidRDefault="00203F72" w:rsidP="00D87D91">
            <w:r w:rsidRPr="00A53581">
              <w:t>人口比例</w:t>
            </w:r>
            <w:r w:rsidRPr="00A53581">
              <w:t>(</w:t>
            </w:r>
            <w:r w:rsidRPr="00A53581">
              <w:t>自變項</w:t>
            </w:r>
            <w:r w:rsidRPr="00A53581">
              <w:t>)</w:t>
            </w:r>
          </w:p>
        </w:tc>
        <w:tc>
          <w:tcPr>
            <w:tcW w:w="1426" w:type="dxa"/>
            <w:shd w:val="clear" w:color="auto" w:fill="auto"/>
          </w:tcPr>
          <w:p w14:paraId="6415838B" w14:textId="77777777" w:rsidR="00203F72" w:rsidRPr="00A53581" w:rsidRDefault="00203F72" w:rsidP="00D87D91">
            <w:r w:rsidRPr="00A53581">
              <w:t>-2.624</w:t>
            </w:r>
            <w:r w:rsidRPr="00A53581">
              <w:rPr>
                <w:position w:val="10"/>
              </w:rPr>
              <w:t>﹡</w:t>
            </w:r>
          </w:p>
          <w:p w14:paraId="28645931" w14:textId="77777777" w:rsidR="00203F72" w:rsidRPr="00A53581" w:rsidRDefault="00203F72" w:rsidP="00D87D91">
            <w:r w:rsidRPr="00A53581">
              <w:t>(-3.84)</w:t>
            </w:r>
          </w:p>
        </w:tc>
        <w:tc>
          <w:tcPr>
            <w:tcW w:w="1427" w:type="dxa"/>
            <w:shd w:val="clear" w:color="auto" w:fill="auto"/>
          </w:tcPr>
          <w:p w14:paraId="2CBE83A5" w14:textId="77777777" w:rsidR="00203F72" w:rsidRPr="00A53581" w:rsidRDefault="00203F72" w:rsidP="00D87D91">
            <w:r w:rsidRPr="00A53581">
              <w:t>-.024</w:t>
            </w:r>
          </w:p>
          <w:p w14:paraId="23CD186D" w14:textId="77777777" w:rsidR="00203F72" w:rsidRPr="00A53581" w:rsidRDefault="00203F72" w:rsidP="00D87D91">
            <w:r w:rsidRPr="00A53581">
              <w:t>(-1.47)</w:t>
            </w:r>
          </w:p>
        </w:tc>
        <w:tc>
          <w:tcPr>
            <w:tcW w:w="1427" w:type="dxa"/>
            <w:shd w:val="clear" w:color="auto" w:fill="auto"/>
          </w:tcPr>
          <w:p w14:paraId="0E2ECC04" w14:textId="77777777" w:rsidR="00203F72" w:rsidRPr="00A53581" w:rsidRDefault="00203F72" w:rsidP="00D87D91">
            <w:r w:rsidRPr="00A53581">
              <w:t>.011</w:t>
            </w:r>
          </w:p>
          <w:p w14:paraId="345574B2" w14:textId="77777777" w:rsidR="00203F72" w:rsidRPr="00A53581" w:rsidRDefault="00203F72" w:rsidP="00D87D91">
            <w:r w:rsidRPr="00A53581">
              <w:t>(.924)</w:t>
            </w:r>
          </w:p>
        </w:tc>
        <w:tc>
          <w:tcPr>
            <w:tcW w:w="1427" w:type="dxa"/>
            <w:shd w:val="clear" w:color="auto" w:fill="auto"/>
          </w:tcPr>
          <w:p w14:paraId="4D6A8FD4" w14:textId="77777777" w:rsidR="00203F72" w:rsidRPr="00A53581" w:rsidRDefault="00203F72" w:rsidP="00D87D91">
            <w:r w:rsidRPr="00A53581">
              <w:t>.646</w:t>
            </w:r>
          </w:p>
          <w:p w14:paraId="0C1C9694" w14:textId="77777777" w:rsidR="00203F72" w:rsidRPr="00A53581" w:rsidRDefault="00203F72" w:rsidP="00D87D91">
            <w:r w:rsidRPr="00A53581">
              <w:t>(1.171)</w:t>
            </w:r>
          </w:p>
        </w:tc>
        <w:tc>
          <w:tcPr>
            <w:tcW w:w="1201" w:type="dxa"/>
            <w:shd w:val="clear" w:color="auto" w:fill="auto"/>
          </w:tcPr>
          <w:p w14:paraId="3FC96815" w14:textId="77777777" w:rsidR="00203F72" w:rsidRPr="00A53581" w:rsidRDefault="00203F72" w:rsidP="00D87D91">
            <w:r w:rsidRPr="00A53581">
              <w:t>.005</w:t>
            </w:r>
          </w:p>
          <w:p w14:paraId="2CAACFF0" w14:textId="77777777" w:rsidR="00203F72" w:rsidRPr="00A53581" w:rsidRDefault="00203F72" w:rsidP="00D87D91">
            <w:r w:rsidRPr="00A53581">
              <w:t>(1.37)</w:t>
            </w:r>
          </w:p>
        </w:tc>
      </w:tr>
      <w:tr w:rsidR="00203F72" w:rsidRPr="00A53581" w14:paraId="5534EFB6" w14:textId="77777777" w:rsidTr="00203F72">
        <w:trPr>
          <w:jc w:val="center"/>
        </w:trPr>
        <w:tc>
          <w:tcPr>
            <w:tcW w:w="1360" w:type="dxa"/>
            <w:shd w:val="clear" w:color="auto" w:fill="auto"/>
          </w:tcPr>
          <w:p w14:paraId="54CB7FBD" w14:textId="77777777" w:rsidR="00203F72" w:rsidRPr="00A53581" w:rsidRDefault="00203F72" w:rsidP="00D87D91">
            <w:r w:rsidRPr="00A53581">
              <w:t>國民平均所得</w:t>
            </w:r>
            <w:r w:rsidRPr="00A53581">
              <w:t>(</w:t>
            </w:r>
            <w:r w:rsidRPr="00A53581">
              <w:t>自變項</w:t>
            </w:r>
            <w:r w:rsidRPr="00A53581">
              <w:t>)</w:t>
            </w:r>
          </w:p>
        </w:tc>
        <w:tc>
          <w:tcPr>
            <w:tcW w:w="1426" w:type="dxa"/>
            <w:shd w:val="clear" w:color="auto" w:fill="auto"/>
          </w:tcPr>
          <w:p w14:paraId="1DF047DC" w14:textId="77777777" w:rsidR="00203F72" w:rsidRPr="00A53581" w:rsidRDefault="00203F72" w:rsidP="00D87D91">
            <w:r w:rsidRPr="00A53581">
              <w:t>3.15</w:t>
            </w:r>
            <w:r w:rsidRPr="00A53581">
              <w:rPr>
                <w:position w:val="10"/>
              </w:rPr>
              <w:t>﹡</w:t>
            </w:r>
          </w:p>
          <w:p w14:paraId="2601805D" w14:textId="77777777" w:rsidR="00203F72" w:rsidRPr="00A53581" w:rsidRDefault="00203F72" w:rsidP="00D87D91">
            <w:r w:rsidRPr="00A53581">
              <w:t>(2.241)</w:t>
            </w:r>
          </w:p>
        </w:tc>
        <w:tc>
          <w:tcPr>
            <w:tcW w:w="1427" w:type="dxa"/>
            <w:shd w:val="clear" w:color="auto" w:fill="auto"/>
          </w:tcPr>
          <w:p w14:paraId="22A64787" w14:textId="77777777" w:rsidR="00203F72" w:rsidRPr="00A53581" w:rsidRDefault="00203F72" w:rsidP="00D87D91">
            <w:r w:rsidRPr="00A53581">
              <w:t>2.48</w:t>
            </w:r>
          </w:p>
          <w:p w14:paraId="6012D46B" w14:textId="77777777" w:rsidR="00203F72" w:rsidRPr="00A53581" w:rsidRDefault="00203F72" w:rsidP="00D87D91">
            <w:r w:rsidRPr="00A53581">
              <w:t>(.556)</w:t>
            </w:r>
          </w:p>
        </w:tc>
        <w:tc>
          <w:tcPr>
            <w:tcW w:w="1427" w:type="dxa"/>
            <w:shd w:val="clear" w:color="auto" w:fill="auto"/>
          </w:tcPr>
          <w:p w14:paraId="4D6BE68F" w14:textId="77777777" w:rsidR="00203F72" w:rsidRPr="00A53581" w:rsidRDefault="00203F72" w:rsidP="00D87D91">
            <w:r w:rsidRPr="00A53581">
              <w:t>7.495</w:t>
            </w:r>
            <w:r w:rsidRPr="00A53581">
              <w:rPr>
                <w:position w:val="10"/>
              </w:rPr>
              <w:t>﹡</w:t>
            </w:r>
          </w:p>
          <w:p w14:paraId="3F78E60C" w14:textId="77777777" w:rsidR="00203F72" w:rsidRPr="00A53581" w:rsidRDefault="00203F72" w:rsidP="00D87D91">
            <w:r w:rsidRPr="00A53581">
              <w:t>(2.415)</w:t>
            </w:r>
          </w:p>
        </w:tc>
        <w:tc>
          <w:tcPr>
            <w:tcW w:w="1427" w:type="dxa"/>
            <w:shd w:val="clear" w:color="auto" w:fill="auto"/>
          </w:tcPr>
          <w:p w14:paraId="1C1E3BFE" w14:textId="77777777" w:rsidR="00203F72" w:rsidRPr="00A53581" w:rsidRDefault="00203F72" w:rsidP="00D87D91">
            <w:r w:rsidRPr="00A53581">
              <w:t>1.499</w:t>
            </w:r>
          </w:p>
          <w:p w14:paraId="4EF04CC0" w14:textId="77777777" w:rsidR="00203F72" w:rsidRPr="00A53581" w:rsidRDefault="00203F72" w:rsidP="00D87D91">
            <w:r w:rsidRPr="00A53581">
              <w:t>(1.513)</w:t>
            </w:r>
          </w:p>
        </w:tc>
        <w:tc>
          <w:tcPr>
            <w:tcW w:w="1201" w:type="dxa"/>
            <w:shd w:val="clear" w:color="auto" w:fill="auto"/>
          </w:tcPr>
          <w:p w14:paraId="73BD348B" w14:textId="77777777" w:rsidR="00203F72" w:rsidRPr="00A53581" w:rsidRDefault="00203F72" w:rsidP="00D87D91">
            <w:r w:rsidRPr="00A53581">
              <w:t>2.728</w:t>
            </w:r>
          </w:p>
          <w:p w14:paraId="3C95ADAF" w14:textId="77777777" w:rsidR="00203F72" w:rsidRPr="00A53581" w:rsidRDefault="00203F72" w:rsidP="00D87D91">
            <w:r w:rsidRPr="00A53581">
              <w:t>(5.19)</w:t>
            </w:r>
          </w:p>
        </w:tc>
      </w:tr>
      <w:tr w:rsidR="00203F72" w:rsidRPr="00A53581" w14:paraId="414F2EA0" w14:textId="77777777" w:rsidTr="00203F72">
        <w:trPr>
          <w:jc w:val="center"/>
        </w:trPr>
        <w:tc>
          <w:tcPr>
            <w:tcW w:w="1360" w:type="dxa"/>
            <w:shd w:val="clear" w:color="auto" w:fill="auto"/>
          </w:tcPr>
          <w:p w14:paraId="6ADCEA7D" w14:textId="77777777" w:rsidR="00203F72" w:rsidRPr="00A53581" w:rsidRDefault="00203F72" w:rsidP="00D87D91">
            <w:r w:rsidRPr="00A53581">
              <w:t>司法經費</w:t>
            </w:r>
            <w:r w:rsidRPr="00A53581">
              <w:t>(</w:t>
            </w:r>
            <w:r w:rsidRPr="00A53581">
              <w:t>自變項</w:t>
            </w:r>
            <w:r w:rsidRPr="00A53581">
              <w:t>)</w:t>
            </w:r>
          </w:p>
        </w:tc>
        <w:tc>
          <w:tcPr>
            <w:tcW w:w="1426" w:type="dxa"/>
            <w:shd w:val="clear" w:color="auto" w:fill="auto"/>
          </w:tcPr>
          <w:p w14:paraId="381CA14A" w14:textId="77777777" w:rsidR="00203F72" w:rsidRPr="00A53581" w:rsidRDefault="00203F72" w:rsidP="00D87D91">
            <w:r w:rsidRPr="00A53581">
              <w:t>-0.43</w:t>
            </w:r>
            <w:r w:rsidRPr="00A53581">
              <w:rPr>
                <w:position w:val="10"/>
              </w:rPr>
              <w:t>﹡</w:t>
            </w:r>
          </w:p>
          <w:p w14:paraId="3D6472AB" w14:textId="77777777" w:rsidR="00203F72" w:rsidRPr="00A53581" w:rsidRDefault="00203F72" w:rsidP="00D87D91">
            <w:r w:rsidRPr="00A53581">
              <w:t>(-2.407)</w:t>
            </w:r>
          </w:p>
        </w:tc>
        <w:tc>
          <w:tcPr>
            <w:tcW w:w="1427" w:type="dxa"/>
            <w:shd w:val="clear" w:color="auto" w:fill="auto"/>
          </w:tcPr>
          <w:p w14:paraId="518FDB58" w14:textId="77777777" w:rsidR="00203F72" w:rsidRPr="00A53581" w:rsidRDefault="00203F72" w:rsidP="00D87D91">
            <w:r w:rsidRPr="00A53581">
              <w:t>-5.62</w:t>
            </w:r>
          </w:p>
          <w:p w14:paraId="16DE94EA" w14:textId="77777777" w:rsidR="00203F72" w:rsidRPr="00A53581" w:rsidRDefault="00203F72" w:rsidP="00D87D91">
            <w:r w:rsidRPr="00A53581">
              <w:t>(-1.366)</w:t>
            </w:r>
          </w:p>
        </w:tc>
        <w:tc>
          <w:tcPr>
            <w:tcW w:w="1427" w:type="dxa"/>
            <w:shd w:val="clear" w:color="auto" w:fill="auto"/>
          </w:tcPr>
          <w:p w14:paraId="74039598" w14:textId="77777777" w:rsidR="00203F72" w:rsidRPr="00A53581" w:rsidRDefault="00203F72" w:rsidP="00D87D91">
            <w:r w:rsidRPr="00A53581">
              <w:t>5.234</w:t>
            </w:r>
          </w:p>
          <w:p w14:paraId="488ED816" w14:textId="77777777" w:rsidR="00203F72" w:rsidRPr="00A53581" w:rsidRDefault="00203F72" w:rsidP="00D87D91">
            <w:r w:rsidRPr="00A53581">
              <w:t>(1.705)</w:t>
            </w:r>
          </w:p>
        </w:tc>
        <w:tc>
          <w:tcPr>
            <w:tcW w:w="1427" w:type="dxa"/>
            <w:shd w:val="clear" w:color="auto" w:fill="auto"/>
          </w:tcPr>
          <w:p w14:paraId="2B04A52D" w14:textId="77777777" w:rsidR="00203F72" w:rsidRPr="00A53581" w:rsidRDefault="00203F72" w:rsidP="00D87D91">
            <w:r w:rsidRPr="00A53581">
              <w:t>2.086</w:t>
            </w:r>
          </w:p>
          <w:p w14:paraId="6C417960" w14:textId="77777777" w:rsidR="00203F72" w:rsidRPr="00A53581" w:rsidRDefault="00203F72" w:rsidP="00D87D91">
            <w:r w:rsidRPr="00A53581">
              <w:t>(.343)</w:t>
            </w:r>
          </w:p>
        </w:tc>
        <w:tc>
          <w:tcPr>
            <w:tcW w:w="1201" w:type="dxa"/>
            <w:shd w:val="clear" w:color="auto" w:fill="auto"/>
          </w:tcPr>
          <w:p w14:paraId="26DA4366" w14:textId="77777777" w:rsidR="00203F72" w:rsidRPr="00A53581" w:rsidRDefault="00203F72" w:rsidP="00D87D91">
            <w:r w:rsidRPr="00A53581">
              <w:t>8.674</w:t>
            </w:r>
            <w:r w:rsidRPr="00A53581">
              <w:rPr>
                <w:position w:val="10"/>
              </w:rPr>
              <w:t>﹡</w:t>
            </w:r>
          </w:p>
          <w:p w14:paraId="1E586CB5" w14:textId="77777777" w:rsidR="00203F72" w:rsidRPr="00A53581" w:rsidRDefault="00203F72" w:rsidP="00D87D91">
            <w:r w:rsidRPr="00A53581">
              <w:t>(2.179)</w:t>
            </w:r>
          </w:p>
        </w:tc>
      </w:tr>
      <w:tr w:rsidR="00203F72" w:rsidRPr="00A53581" w14:paraId="32B6E7B7" w14:textId="77777777" w:rsidTr="00203F72">
        <w:trPr>
          <w:jc w:val="center"/>
        </w:trPr>
        <w:tc>
          <w:tcPr>
            <w:tcW w:w="1360" w:type="dxa"/>
            <w:shd w:val="clear" w:color="auto" w:fill="auto"/>
          </w:tcPr>
          <w:p w14:paraId="15BC85EC" w14:textId="77777777" w:rsidR="00203F72" w:rsidRPr="00A53581" w:rsidRDefault="00203F72" w:rsidP="00D87D91">
            <w:r w:rsidRPr="00A53581">
              <w:t>警民比例</w:t>
            </w:r>
            <w:r w:rsidRPr="00A53581">
              <w:t>(</w:t>
            </w:r>
            <w:r w:rsidRPr="00A53581">
              <w:t>自變項</w:t>
            </w:r>
            <w:r w:rsidRPr="00A53581">
              <w:t>)</w:t>
            </w:r>
          </w:p>
        </w:tc>
        <w:tc>
          <w:tcPr>
            <w:tcW w:w="1426" w:type="dxa"/>
            <w:shd w:val="clear" w:color="auto" w:fill="auto"/>
          </w:tcPr>
          <w:p w14:paraId="7C6A6162" w14:textId="77777777" w:rsidR="00203F72" w:rsidRPr="00A53581" w:rsidRDefault="00203F72" w:rsidP="00D87D91">
            <w:r w:rsidRPr="00A53581">
              <w:t>.693</w:t>
            </w:r>
          </w:p>
          <w:p w14:paraId="1826E4B7" w14:textId="77777777" w:rsidR="00203F72" w:rsidRPr="00A53581" w:rsidRDefault="00203F72" w:rsidP="00D87D91">
            <w:r w:rsidRPr="00A53581">
              <w:t>(.598)</w:t>
            </w:r>
          </w:p>
        </w:tc>
        <w:tc>
          <w:tcPr>
            <w:tcW w:w="1427" w:type="dxa"/>
            <w:shd w:val="clear" w:color="auto" w:fill="auto"/>
          </w:tcPr>
          <w:p w14:paraId="2720FA8D" w14:textId="77777777" w:rsidR="00203F72" w:rsidRPr="00A53581" w:rsidRDefault="00203F72" w:rsidP="00D87D91">
            <w:r w:rsidRPr="00A53581">
              <w:t>.012</w:t>
            </w:r>
          </w:p>
          <w:p w14:paraId="3738C44C" w14:textId="77777777" w:rsidR="00203F72" w:rsidRPr="00A53581" w:rsidRDefault="00203F72" w:rsidP="00D87D91">
            <w:r w:rsidRPr="00A53581">
              <w:t>(.33)</w:t>
            </w:r>
          </w:p>
        </w:tc>
        <w:tc>
          <w:tcPr>
            <w:tcW w:w="1427" w:type="dxa"/>
            <w:shd w:val="clear" w:color="auto" w:fill="auto"/>
          </w:tcPr>
          <w:p w14:paraId="17CF5F9E" w14:textId="77777777" w:rsidR="00203F72" w:rsidRPr="00A53581" w:rsidRDefault="00203F72" w:rsidP="00D87D91">
            <w:r w:rsidRPr="00A53581">
              <w:t>.008</w:t>
            </w:r>
          </w:p>
          <w:p w14:paraId="0993F93B" w14:textId="77777777" w:rsidR="00203F72" w:rsidRPr="00A53581" w:rsidRDefault="00203F72" w:rsidP="00D87D91">
            <w:r w:rsidRPr="00A53581">
              <w:t>(.317)</w:t>
            </w:r>
          </w:p>
        </w:tc>
        <w:tc>
          <w:tcPr>
            <w:tcW w:w="1427" w:type="dxa"/>
            <w:shd w:val="clear" w:color="auto" w:fill="auto"/>
          </w:tcPr>
          <w:p w14:paraId="0CCD1531" w14:textId="77777777" w:rsidR="00203F72" w:rsidRPr="00A53581" w:rsidRDefault="00203F72" w:rsidP="00D87D91">
            <w:r w:rsidRPr="00A53581">
              <w:t>.014</w:t>
            </w:r>
          </w:p>
          <w:p w14:paraId="32B2BA97" w14:textId="77777777" w:rsidR="00203F72" w:rsidRPr="00A53581" w:rsidRDefault="00203F72" w:rsidP="00D87D91">
            <w:r w:rsidRPr="00A53581">
              <w:t>(.749)</w:t>
            </w:r>
          </w:p>
        </w:tc>
        <w:tc>
          <w:tcPr>
            <w:tcW w:w="1201" w:type="dxa"/>
            <w:shd w:val="clear" w:color="auto" w:fill="auto"/>
          </w:tcPr>
          <w:p w14:paraId="0DACF8C4" w14:textId="77777777" w:rsidR="00203F72" w:rsidRPr="00A53581" w:rsidRDefault="00203F72" w:rsidP="00D87D91">
            <w:r w:rsidRPr="00A53581">
              <w:t>-.002</w:t>
            </w:r>
          </w:p>
          <w:p w14:paraId="3FD03CBD" w14:textId="77777777" w:rsidR="00203F72" w:rsidRPr="00A53581" w:rsidRDefault="00203F72" w:rsidP="00D87D91">
            <w:r w:rsidRPr="00A53581">
              <w:t>(-.963)</w:t>
            </w:r>
          </w:p>
        </w:tc>
      </w:tr>
      <w:tr w:rsidR="00203F72" w:rsidRPr="00A53581" w14:paraId="4531DD62" w14:textId="77777777" w:rsidTr="00203F72">
        <w:trPr>
          <w:jc w:val="center"/>
        </w:trPr>
        <w:tc>
          <w:tcPr>
            <w:tcW w:w="1360" w:type="dxa"/>
            <w:shd w:val="clear" w:color="auto" w:fill="auto"/>
          </w:tcPr>
          <w:p w14:paraId="2DE43524" w14:textId="77777777" w:rsidR="00203F72" w:rsidRPr="00A53581" w:rsidRDefault="00203F72" w:rsidP="00D87D91">
            <w:r w:rsidRPr="00A53581">
              <w:t>常數</w:t>
            </w:r>
          </w:p>
        </w:tc>
        <w:tc>
          <w:tcPr>
            <w:tcW w:w="1426" w:type="dxa"/>
            <w:shd w:val="clear" w:color="auto" w:fill="auto"/>
          </w:tcPr>
          <w:p w14:paraId="26D781DE" w14:textId="77777777" w:rsidR="00203F72" w:rsidRPr="00A53581" w:rsidRDefault="00203F72" w:rsidP="00D87D91">
            <w:r w:rsidRPr="00A53581">
              <w:t>40.715</w:t>
            </w:r>
          </w:p>
          <w:p w14:paraId="349DE8AE" w14:textId="77777777" w:rsidR="00203F72" w:rsidRPr="00A53581" w:rsidRDefault="00203F72" w:rsidP="00D87D91">
            <w:r w:rsidRPr="00A53581">
              <w:t>(1.011)</w:t>
            </w:r>
          </w:p>
        </w:tc>
        <w:tc>
          <w:tcPr>
            <w:tcW w:w="1427" w:type="dxa"/>
            <w:shd w:val="clear" w:color="auto" w:fill="auto"/>
          </w:tcPr>
          <w:p w14:paraId="28F43C8B" w14:textId="77777777" w:rsidR="00203F72" w:rsidRPr="00A53581" w:rsidRDefault="00203F72" w:rsidP="00D87D91">
            <w:r w:rsidRPr="00A53581">
              <w:t>1.094</w:t>
            </w:r>
          </w:p>
          <w:p w14:paraId="3CC37876" w14:textId="77777777" w:rsidR="00203F72" w:rsidRPr="00A53581" w:rsidRDefault="00203F72" w:rsidP="00D87D91">
            <w:r w:rsidRPr="00A53581">
              <w:t>(.421)</w:t>
            </w:r>
          </w:p>
        </w:tc>
        <w:tc>
          <w:tcPr>
            <w:tcW w:w="1427" w:type="dxa"/>
            <w:shd w:val="clear" w:color="auto" w:fill="auto"/>
          </w:tcPr>
          <w:p w14:paraId="31F12A26" w14:textId="77777777" w:rsidR="00203F72" w:rsidRPr="00A53581" w:rsidRDefault="00203F72" w:rsidP="00D87D91">
            <w:r w:rsidRPr="00A53581">
              <w:t>-1.95</w:t>
            </w:r>
          </w:p>
          <w:p w14:paraId="0BEAC122" w14:textId="77777777" w:rsidR="00203F72" w:rsidRPr="00A53581" w:rsidRDefault="00203F72" w:rsidP="00D87D91">
            <w:r w:rsidRPr="00A53581">
              <w:t>(-1.896)</w:t>
            </w:r>
          </w:p>
        </w:tc>
        <w:tc>
          <w:tcPr>
            <w:tcW w:w="1427" w:type="dxa"/>
            <w:shd w:val="clear" w:color="auto" w:fill="auto"/>
          </w:tcPr>
          <w:p w14:paraId="47FFFA36" w14:textId="77777777" w:rsidR="00203F72" w:rsidRPr="00A53581" w:rsidRDefault="00203F72" w:rsidP="00D87D91">
            <w:r w:rsidRPr="00A53581">
              <w:t>-22.659</w:t>
            </w:r>
          </w:p>
          <w:p w14:paraId="422EC0AF" w14:textId="77777777" w:rsidR="00203F72" w:rsidRPr="00A53581" w:rsidRDefault="00203F72" w:rsidP="00D87D91">
            <w:r w:rsidRPr="00A53581">
              <w:t>(-1.171)</w:t>
            </w:r>
          </w:p>
        </w:tc>
        <w:tc>
          <w:tcPr>
            <w:tcW w:w="1201" w:type="dxa"/>
            <w:shd w:val="clear" w:color="auto" w:fill="auto"/>
          </w:tcPr>
          <w:p w14:paraId="16A2D5F7" w14:textId="77777777" w:rsidR="00203F72" w:rsidRPr="00A53581" w:rsidRDefault="00203F72" w:rsidP="00D87D91">
            <w:r w:rsidRPr="00A53581">
              <w:t>-.117</w:t>
            </w:r>
          </w:p>
          <w:p w14:paraId="7FF716C7" w14:textId="77777777" w:rsidR="00203F72" w:rsidRPr="00A53581" w:rsidRDefault="00203F72" w:rsidP="00D87D91">
            <w:r w:rsidRPr="00A53581">
              <w:t>(-.817)</w:t>
            </w:r>
          </w:p>
        </w:tc>
      </w:tr>
    </w:tbl>
    <w:p w14:paraId="2506D3A4" w14:textId="77777777" w:rsidR="00203F72" w:rsidRPr="00A53581" w:rsidRDefault="00203F72" w:rsidP="00D87D91"/>
    <w:p w14:paraId="11F208A8" w14:textId="77777777" w:rsidR="00953151" w:rsidRPr="00515D85" w:rsidRDefault="00CA2C52" w:rsidP="00D87D91">
      <w:r w:rsidRPr="00515D85">
        <w:rPr>
          <w:rFonts w:hint="eastAsia"/>
        </w:rPr>
        <w:t>【</w:t>
      </w:r>
      <w:r w:rsidR="00203F72" w:rsidRPr="00515D85">
        <w:t>註</w:t>
      </w:r>
      <w:r w:rsidRPr="00515D85">
        <w:rPr>
          <w:rFonts w:hint="eastAsia"/>
        </w:rPr>
        <w:t>】</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130</w:t>
      </w:r>
      <w:r w:rsidR="00203F72" w:rsidRPr="00515D85">
        <w:t>，並經由作者重新改寫與闡釋其統計實證數據之意義。</w:t>
      </w:r>
    </w:p>
    <w:p w14:paraId="0D42D2DA" w14:textId="77777777" w:rsidR="00203F72" w:rsidRPr="00515D85" w:rsidRDefault="00CA2C52" w:rsidP="00D87D91">
      <w:r w:rsidRPr="00515D85">
        <w:t xml:space="preserve">　　</w:t>
      </w:r>
      <w:r w:rsidR="00203F72" w:rsidRPr="00515D85">
        <w:t>根據下表「各種重要犯罪嚇阻指標變化及社會指標變化與犯罪率變化之墮差效應複迴歸分析表」（相對數模式）之實證統計數據，就執行死刑之墮差效應（當年度之後一年度）而言，當年度法務部，執行死刑人數之變化，對於後一年度各類重大犯罪率之變化，未產生實質上之嚇阻力道，茲分析如下。當年度執行死刑人數之變化，對於後一年度總體犯罪率之變化，並沒有壓制之力道，</w:t>
      </w:r>
      <w:r w:rsidR="00203F72" w:rsidRPr="00515D85">
        <w:t>B</w:t>
      </w:r>
      <w:r w:rsidR="00203F72" w:rsidRPr="00515D85">
        <w:t>值＝</w:t>
      </w:r>
      <w:r w:rsidR="00203F72" w:rsidRPr="00515D85">
        <w:t>-0.178</w:t>
      </w:r>
      <w:r w:rsidR="00203F72" w:rsidRPr="00515D85">
        <w:t>，</w:t>
      </w:r>
      <w:r w:rsidR="00203F72" w:rsidRPr="00515D85">
        <w:t>t</w:t>
      </w:r>
      <w:r w:rsidR="00203F72" w:rsidRPr="00515D85">
        <w:t>＝</w:t>
      </w:r>
      <w:r w:rsidR="00203F72" w:rsidRPr="00515D85">
        <w:t>2.067</w:t>
      </w:r>
      <w:r w:rsidR="00203F72" w:rsidRPr="00515D85">
        <w:t>，未達到統計上之顯著水準，當年度執行死刑人數之變化，對於後一年度殺人犯罪率之變化，亦未產生抑制效果，</w:t>
      </w:r>
      <w:r w:rsidR="00203F72" w:rsidRPr="00515D85">
        <w:t>B</w:t>
      </w:r>
      <w:r w:rsidR="00203F72" w:rsidRPr="00515D85">
        <w:t>＝</w:t>
      </w:r>
      <w:r w:rsidR="00203F72" w:rsidRPr="00515D85">
        <w:t>-0.009</w:t>
      </w:r>
      <w:r w:rsidR="00203F72" w:rsidRPr="00515D85">
        <w:t>，</w:t>
      </w:r>
      <w:r w:rsidR="00203F72" w:rsidRPr="00515D85">
        <w:t>t</w:t>
      </w:r>
      <w:r w:rsidR="00203F72" w:rsidRPr="00515D85">
        <w:t>＝</w:t>
      </w:r>
      <w:r w:rsidR="00203F72" w:rsidRPr="00515D85">
        <w:t>-1.36</w:t>
      </w:r>
      <w:r w:rsidR="00203F72" w:rsidRPr="00515D85">
        <w:t>，未達到統計上之顯著水準；當年度執行死刑人數之變化，對於後一年度暴力性財產犯罪率之變化，沒有嚇阻之實效，</w:t>
      </w:r>
      <w:r w:rsidR="00203F72" w:rsidRPr="00515D85">
        <w:t>B</w:t>
      </w:r>
      <w:r w:rsidR="00203F72" w:rsidRPr="00515D85">
        <w:t>＝</w:t>
      </w:r>
      <w:r w:rsidR="00203F72" w:rsidRPr="00515D85">
        <w:t>-5.469</w:t>
      </w:r>
      <w:r w:rsidR="00203F72" w:rsidRPr="00515D85">
        <w:t>，</w:t>
      </w:r>
      <w:r w:rsidR="00203F72" w:rsidRPr="00515D85">
        <w:t>t</w:t>
      </w:r>
      <w:r w:rsidR="00203F72" w:rsidRPr="00515D85">
        <w:t>＝</w:t>
      </w:r>
      <w:r w:rsidR="00203F72" w:rsidRPr="00515D85">
        <w:t>-0.127</w:t>
      </w:r>
      <w:r w:rsidR="00203F72" w:rsidRPr="00515D85">
        <w:t>，未達到統計上之顯著水準；當年度執行死刑人數之變化，對於後一年度強姦犯罪率之變化，亦欠缺實質性之嚇阻成效，</w:t>
      </w:r>
      <w:r w:rsidR="00203F72" w:rsidRPr="00515D85">
        <w:t>B</w:t>
      </w:r>
      <w:r w:rsidR="00203F72" w:rsidRPr="00515D85">
        <w:t>＝</w:t>
      </w:r>
      <w:r w:rsidR="00203F72" w:rsidRPr="00515D85">
        <w:t>-0.014</w:t>
      </w:r>
      <w:r w:rsidR="00203F72" w:rsidRPr="00515D85">
        <w:t>，</w:t>
      </w:r>
      <w:r w:rsidR="00203F72" w:rsidRPr="00515D85">
        <w:t>t</w:t>
      </w:r>
      <w:r w:rsidR="00203F72" w:rsidRPr="00515D85">
        <w:t>＝</w:t>
      </w:r>
      <w:r w:rsidR="00203F72" w:rsidRPr="00515D85">
        <w:t>-0.489</w:t>
      </w:r>
      <w:r w:rsidR="00203F72" w:rsidRPr="00515D85">
        <w:t>，未達到統計上之顯著水準。當年度執行死刑人數之變化，對於後一年度</w:t>
      </w:r>
      <w:r w:rsidR="00203F72" w:rsidRPr="00515D85">
        <w:t>(</w:t>
      </w:r>
      <w:r w:rsidR="00203F72" w:rsidRPr="00515D85">
        <w:t>下一個年度</w:t>
      </w:r>
      <w:r w:rsidR="00203F72" w:rsidRPr="00515D85">
        <w:t>)</w:t>
      </w:r>
      <w:r w:rsidR="00203F72" w:rsidRPr="00515D85">
        <w:t>之擄人勒贖犯罪率而言，亦是無壓制之力道，</w:t>
      </w:r>
      <w:r w:rsidR="00203F72" w:rsidRPr="00515D85">
        <w:t>B</w:t>
      </w:r>
      <w:r w:rsidR="00203F72" w:rsidRPr="00515D85">
        <w:t>＝</w:t>
      </w:r>
      <w:r w:rsidR="00203F72" w:rsidRPr="00515D85">
        <w:t>0.002</w:t>
      </w:r>
      <w:r w:rsidR="00203F72" w:rsidRPr="00515D85">
        <w:t>，</w:t>
      </w:r>
      <w:r w:rsidR="00203F72" w:rsidRPr="00515D85">
        <w:t>t</w:t>
      </w:r>
      <w:r w:rsidR="00203F72" w:rsidRPr="00515D85">
        <w:t>＝</w:t>
      </w:r>
      <w:r w:rsidR="00203F72" w:rsidRPr="00515D85">
        <w:t>0.576</w:t>
      </w:r>
      <w:r w:rsidR="00203F72" w:rsidRPr="00515D85">
        <w:t>，未達到統計上之顯著水準。綜上，當年度之死刑，對於後一年度各類重大犯罪而言，欠缺實質性的壓制效果。既然死刑是一種無效之措施，本書建議，國人應考量廢除死刑，對於重大犯罪而論，因它不具備實質性嚇阻成效，即拋棄死刑，不再執行死刑，本書稱之為「死刑無用」理論。</w:t>
      </w:r>
    </w:p>
    <w:p w14:paraId="579FA30D" w14:textId="77777777" w:rsidR="00203F72" w:rsidRPr="00A53581" w:rsidRDefault="00203F72" w:rsidP="00D87D91">
      <w:r w:rsidRPr="00A53581">
        <w:t xml:space="preserve"> </w:t>
      </w:r>
    </w:p>
    <w:p w14:paraId="223F09DC" w14:textId="09341B6C"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101</w:t>
      </w:r>
      <w:r w:rsidR="00076467">
        <w:rPr>
          <w:noProof/>
        </w:rPr>
        <w:fldChar w:fldCharType="end"/>
      </w:r>
      <w:r w:rsidR="00203F72" w:rsidRPr="00A53581">
        <w:t xml:space="preserve"> </w:t>
      </w:r>
      <w:r w:rsidR="00203F72" w:rsidRPr="00A53581">
        <w:t>各種犯罪嚇阻重要指標之變化及社會指標之變化對於犯罪率之變化之墮差效應複迴歸分析</w:t>
      </w:r>
      <w:r w:rsidR="00203F72" w:rsidRPr="00A53581">
        <w:t>(</w:t>
      </w:r>
      <w:r w:rsidR="00203F72" w:rsidRPr="00A53581">
        <w:t>相對數模式</w:t>
      </w:r>
      <w:r w:rsidR="00203F72" w:rsidRPr="00A53581">
        <w:t>)(1961~1990) (</w:t>
      </w:r>
      <w:r w:rsidR="00203F72" w:rsidRPr="00A53581">
        <w:t>括號內為</w:t>
      </w:r>
      <w:r w:rsidR="00203F72" w:rsidRPr="00A53581">
        <w:t>t</w:t>
      </w:r>
      <w:r w:rsidR="00203F72" w:rsidRPr="00A53581">
        <w:t>值</w:t>
      </w:r>
      <w:r w:rsidR="00203F72" w:rsidRPr="00A53581">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7"/>
        <w:gridCol w:w="1411"/>
        <w:gridCol w:w="1441"/>
        <w:gridCol w:w="1412"/>
        <w:gridCol w:w="1194"/>
        <w:gridCol w:w="1151"/>
      </w:tblGrid>
      <w:tr w:rsidR="00203F72" w:rsidRPr="00A53581" w14:paraId="19575CE0" w14:textId="77777777" w:rsidTr="00703176">
        <w:trPr>
          <w:tblHeader/>
          <w:jc w:val="center"/>
        </w:trPr>
        <w:tc>
          <w:tcPr>
            <w:tcW w:w="1377" w:type="dxa"/>
            <w:shd w:val="clear" w:color="auto" w:fill="FAF0FA"/>
          </w:tcPr>
          <w:p w14:paraId="6769F21E" w14:textId="77777777" w:rsidR="00953151" w:rsidRDefault="00203F72" w:rsidP="00D87D91">
            <w:r w:rsidRPr="00A53581">
              <w:t>依變項</w:t>
            </w:r>
          </w:p>
          <w:p w14:paraId="667A67C0" w14:textId="77777777" w:rsidR="00203F72" w:rsidRPr="00A53581" w:rsidRDefault="00203F72" w:rsidP="00D87D91">
            <w:r w:rsidRPr="00A53581">
              <w:t>迴歸係數</w:t>
            </w:r>
          </w:p>
          <w:p w14:paraId="00EB1E73" w14:textId="77777777" w:rsidR="00953151" w:rsidRDefault="00203F72" w:rsidP="00D87D91">
            <w:r w:rsidRPr="00A53581">
              <w:t>t-</w:t>
            </w:r>
            <w:r w:rsidRPr="00A53581">
              <w:t>值</w:t>
            </w:r>
          </w:p>
          <w:p w14:paraId="56FBD241" w14:textId="77777777" w:rsidR="00203F72" w:rsidRPr="00A53581" w:rsidRDefault="00203F72" w:rsidP="00D87D91">
            <w:r w:rsidRPr="00A53581">
              <w:t>自變項</w:t>
            </w:r>
          </w:p>
        </w:tc>
        <w:tc>
          <w:tcPr>
            <w:tcW w:w="1411" w:type="dxa"/>
            <w:shd w:val="clear" w:color="auto" w:fill="FAF0FA"/>
          </w:tcPr>
          <w:p w14:paraId="15BDF576" w14:textId="77777777" w:rsidR="00203F72" w:rsidRPr="00A53581" w:rsidRDefault="00203F72" w:rsidP="00D87D91">
            <w:r w:rsidRPr="00A53581">
              <w:t>總犯罪率之變化</w:t>
            </w:r>
            <w:r w:rsidRPr="00A53581">
              <w:t>(</w:t>
            </w:r>
            <w:r w:rsidRPr="00A53581">
              <w:t>依變項、結果變項</w:t>
            </w:r>
            <w:r w:rsidRPr="00A53581">
              <w:t>)</w:t>
            </w:r>
          </w:p>
        </w:tc>
        <w:tc>
          <w:tcPr>
            <w:tcW w:w="1441" w:type="dxa"/>
            <w:shd w:val="clear" w:color="auto" w:fill="FAF0FA"/>
          </w:tcPr>
          <w:p w14:paraId="337E79BF" w14:textId="77777777" w:rsidR="00203F72" w:rsidRPr="00A53581" w:rsidRDefault="00203F72" w:rsidP="00D87D91">
            <w:r w:rsidRPr="00A53581">
              <w:t>殺人犯罪率之變化</w:t>
            </w:r>
            <w:r w:rsidRPr="00A53581">
              <w:t>(</w:t>
            </w:r>
            <w:r w:rsidRPr="00A53581">
              <w:t>依變項、結果變項</w:t>
            </w:r>
            <w:r w:rsidRPr="00A53581">
              <w:t>)</w:t>
            </w:r>
          </w:p>
        </w:tc>
        <w:tc>
          <w:tcPr>
            <w:tcW w:w="1412" w:type="dxa"/>
            <w:shd w:val="clear" w:color="auto" w:fill="FAF0FA"/>
          </w:tcPr>
          <w:p w14:paraId="161171FA" w14:textId="77777777" w:rsidR="00203F72" w:rsidRPr="00A53581" w:rsidRDefault="00203F72" w:rsidP="00D87D91">
            <w:r w:rsidRPr="00A53581">
              <w:t>暴力性財產犯罪率之變化</w:t>
            </w:r>
            <w:r w:rsidRPr="00A53581">
              <w:t>(</w:t>
            </w:r>
            <w:r w:rsidRPr="00A53581">
              <w:t>依變項、結果變項</w:t>
            </w:r>
            <w:r w:rsidRPr="00A53581">
              <w:t>)</w:t>
            </w:r>
          </w:p>
        </w:tc>
        <w:tc>
          <w:tcPr>
            <w:tcW w:w="1194" w:type="dxa"/>
            <w:shd w:val="clear" w:color="auto" w:fill="FAF0FA"/>
          </w:tcPr>
          <w:p w14:paraId="364E3247" w14:textId="77777777" w:rsidR="00203F72" w:rsidRPr="00A53581" w:rsidRDefault="00203F72" w:rsidP="00D87D91">
            <w:r w:rsidRPr="00A53581">
              <w:t>強姦犯罪率之變化</w:t>
            </w:r>
            <w:r w:rsidRPr="00A53581">
              <w:t>(</w:t>
            </w:r>
            <w:r w:rsidRPr="00A53581">
              <w:t>依變項、結果變項</w:t>
            </w:r>
            <w:r w:rsidRPr="00A53581">
              <w:t>)</w:t>
            </w:r>
          </w:p>
        </w:tc>
        <w:tc>
          <w:tcPr>
            <w:tcW w:w="1151" w:type="dxa"/>
            <w:shd w:val="clear" w:color="auto" w:fill="FAF0FA"/>
          </w:tcPr>
          <w:p w14:paraId="70EB98F2" w14:textId="77777777" w:rsidR="00203F72" w:rsidRPr="00A53581" w:rsidRDefault="00203F72" w:rsidP="00D87D91">
            <w:r w:rsidRPr="00A53581">
              <w:t>擄人勒贖犯罪率之變化</w:t>
            </w:r>
            <w:r w:rsidRPr="00A53581">
              <w:t>(</w:t>
            </w:r>
            <w:r w:rsidRPr="00A53581">
              <w:t>依變項、結果變項</w:t>
            </w:r>
            <w:r w:rsidRPr="00A53581">
              <w:t>)</w:t>
            </w:r>
          </w:p>
        </w:tc>
      </w:tr>
      <w:tr w:rsidR="00203F72" w:rsidRPr="00A53581" w14:paraId="181A907A" w14:textId="77777777" w:rsidTr="00203F72">
        <w:trPr>
          <w:jc w:val="center"/>
        </w:trPr>
        <w:tc>
          <w:tcPr>
            <w:tcW w:w="1377" w:type="dxa"/>
            <w:shd w:val="clear" w:color="auto" w:fill="auto"/>
          </w:tcPr>
          <w:p w14:paraId="4792B2A6" w14:textId="77777777" w:rsidR="00203F72" w:rsidRPr="00A53581" w:rsidRDefault="00203F72" w:rsidP="00D87D91">
            <w:r w:rsidRPr="00A53581">
              <w:t>被執行死刑之人數之變化</w:t>
            </w:r>
            <w:r w:rsidRPr="00A53581">
              <w:t>(</w:t>
            </w:r>
            <w:r w:rsidRPr="00A53581">
              <w:t>自變項</w:t>
            </w:r>
            <w:r w:rsidRPr="00A53581">
              <w:rPr>
                <w:rStyle w:val="af3"/>
                <w:rFonts w:ascii="新細明體" w:hAnsi="新細明體"/>
              </w:rPr>
              <w:footnoteReference w:id="906"/>
            </w:r>
            <w:r w:rsidRPr="00A53581">
              <w:t xml:space="preserve">) </w:t>
            </w:r>
          </w:p>
        </w:tc>
        <w:tc>
          <w:tcPr>
            <w:tcW w:w="1411" w:type="dxa"/>
            <w:shd w:val="clear" w:color="auto" w:fill="auto"/>
          </w:tcPr>
          <w:p w14:paraId="61DC69C3" w14:textId="77777777" w:rsidR="00203F72" w:rsidRPr="00A53581" w:rsidRDefault="00203F72" w:rsidP="00D87D91">
            <w:r w:rsidRPr="00A53581">
              <w:t>-.178</w:t>
            </w:r>
          </w:p>
          <w:p w14:paraId="5FD2476A" w14:textId="77777777" w:rsidR="00203F72" w:rsidRPr="00A53581" w:rsidRDefault="00203F72" w:rsidP="00D87D91">
            <w:r w:rsidRPr="00A53581">
              <w:t>(2.067)</w:t>
            </w:r>
          </w:p>
        </w:tc>
        <w:tc>
          <w:tcPr>
            <w:tcW w:w="1441" w:type="dxa"/>
            <w:shd w:val="clear" w:color="auto" w:fill="auto"/>
          </w:tcPr>
          <w:p w14:paraId="210A84BA" w14:textId="77777777" w:rsidR="00203F72" w:rsidRPr="00A53581" w:rsidRDefault="00203F72" w:rsidP="00D87D91">
            <w:r w:rsidRPr="00A53581">
              <w:t>-.009</w:t>
            </w:r>
          </w:p>
          <w:p w14:paraId="2B929788" w14:textId="77777777" w:rsidR="00203F72" w:rsidRPr="00A53581" w:rsidRDefault="00203F72" w:rsidP="00D87D91">
            <w:r w:rsidRPr="00A53581">
              <w:t>(-1.36)</w:t>
            </w:r>
          </w:p>
        </w:tc>
        <w:tc>
          <w:tcPr>
            <w:tcW w:w="1412" w:type="dxa"/>
            <w:shd w:val="clear" w:color="auto" w:fill="auto"/>
          </w:tcPr>
          <w:p w14:paraId="31CC0C95" w14:textId="77777777" w:rsidR="00203F72" w:rsidRPr="00A53581" w:rsidRDefault="00203F72" w:rsidP="00D87D91">
            <w:r w:rsidRPr="00A53581">
              <w:t>-5.469</w:t>
            </w:r>
          </w:p>
          <w:p w14:paraId="7C0B713D" w14:textId="77777777" w:rsidR="00203F72" w:rsidRPr="00A53581" w:rsidRDefault="00203F72" w:rsidP="00D87D91">
            <w:r w:rsidRPr="00A53581">
              <w:t>(-.127)</w:t>
            </w:r>
          </w:p>
        </w:tc>
        <w:tc>
          <w:tcPr>
            <w:tcW w:w="1194" w:type="dxa"/>
            <w:shd w:val="clear" w:color="auto" w:fill="auto"/>
          </w:tcPr>
          <w:p w14:paraId="5E042B71" w14:textId="77777777" w:rsidR="00203F72" w:rsidRPr="00A53581" w:rsidRDefault="00203F72" w:rsidP="00D87D91">
            <w:r w:rsidRPr="00A53581">
              <w:t>-.014</w:t>
            </w:r>
          </w:p>
          <w:p w14:paraId="610378AC" w14:textId="77777777" w:rsidR="00203F72" w:rsidRPr="00A53581" w:rsidRDefault="00203F72" w:rsidP="00D87D91">
            <w:r w:rsidRPr="00A53581">
              <w:t>(-.489)</w:t>
            </w:r>
          </w:p>
        </w:tc>
        <w:tc>
          <w:tcPr>
            <w:tcW w:w="1151" w:type="dxa"/>
            <w:shd w:val="clear" w:color="auto" w:fill="auto"/>
          </w:tcPr>
          <w:p w14:paraId="5D394A88" w14:textId="77777777" w:rsidR="00203F72" w:rsidRPr="00A53581" w:rsidRDefault="00203F72" w:rsidP="00D87D91">
            <w:r w:rsidRPr="00A53581">
              <w:t>.002</w:t>
            </w:r>
          </w:p>
          <w:p w14:paraId="79ED1A65" w14:textId="77777777" w:rsidR="00203F72" w:rsidRPr="00A53581" w:rsidRDefault="00203F72" w:rsidP="00D87D91">
            <w:r w:rsidRPr="00A53581">
              <w:t>(.576)</w:t>
            </w:r>
          </w:p>
        </w:tc>
      </w:tr>
      <w:tr w:rsidR="00203F72" w:rsidRPr="00A53581" w14:paraId="40D75B69" w14:textId="77777777" w:rsidTr="00203F72">
        <w:trPr>
          <w:jc w:val="center"/>
        </w:trPr>
        <w:tc>
          <w:tcPr>
            <w:tcW w:w="1377" w:type="dxa"/>
            <w:shd w:val="clear" w:color="auto" w:fill="auto"/>
          </w:tcPr>
          <w:p w14:paraId="4E254E7E" w14:textId="77777777" w:rsidR="00203F72" w:rsidRPr="00A53581" w:rsidRDefault="00203F72" w:rsidP="00D87D91">
            <w:r w:rsidRPr="00A53581">
              <w:t>刑案破獲率之變化</w:t>
            </w:r>
            <w:r w:rsidRPr="00A53581">
              <w:t>(</w:t>
            </w:r>
            <w:r w:rsidRPr="00A53581">
              <w:t>自變項</w:t>
            </w:r>
            <w:r w:rsidRPr="00A53581">
              <w:t>)</w:t>
            </w:r>
          </w:p>
        </w:tc>
        <w:tc>
          <w:tcPr>
            <w:tcW w:w="1411" w:type="dxa"/>
            <w:shd w:val="clear" w:color="auto" w:fill="auto"/>
          </w:tcPr>
          <w:p w14:paraId="08411E21" w14:textId="77777777" w:rsidR="00203F72" w:rsidRPr="00A53581" w:rsidRDefault="00203F72" w:rsidP="00D87D91">
            <w:r w:rsidRPr="00A53581">
              <w:t>.337</w:t>
            </w:r>
          </w:p>
          <w:p w14:paraId="452D901C" w14:textId="77777777" w:rsidR="00203F72" w:rsidRPr="00A53581" w:rsidRDefault="00203F72" w:rsidP="00D87D91">
            <w:r w:rsidRPr="00A53581">
              <w:t>(1.262)</w:t>
            </w:r>
          </w:p>
        </w:tc>
        <w:tc>
          <w:tcPr>
            <w:tcW w:w="1441" w:type="dxa"/>
            <w:shd w:val="clear" w:color="auto" w:fill="auto"/>
          </w:tcPr>
          <w:p w14:paraId="7FFE5DE1" w14:textId="77777777" w:rsidR="00203F72" w:rsidRPr="00A53581" w:rsidRDefault="00203F72" w:rsidP="00D87D91">
            <w:r w:rsidRPr="00A53581">
              <w:t>-.022</w:t>
            </w:r>
          </w:p>
          <w:p w14:paraId="5C648D87" w14:textId="77777777" w:rsidR="00203F72" w:rsidRPr="00A53581" w:rsidRDefault="00203F72" w:rsidP="00D87D91">
            <w:r w:rsidRPr="00A53581">
              <w:t>(-1.402)</w:t>
            </w:r>
          </w:p>
        </w:tc>
        <w:tc>
          <w:tcPr>
            <w:tcW w:w="1412" w:type="dxa"/>
            <w:shd w:val="clear" w:color="auto" w:fill="auto"/>
          </w:tcPr>
          <w:p w14:paraId="18965993" w14:textId="77777777" w:rsidR="00203F72" w:rsidRPr="00A53581" w:rsidRDefault="00203F72" w:rsidP="00D87D91">
            <w:r w:rsidRPr="00A53581">
              <w:t>.017</w:t>
            </w:r>
            <w:r w:rsidRPr="00A53581">
              <w:rPr>
                <w:position w:val="10"/>
              </w:rPr>
              <w:t>﹡</w:t>
            </w:r>
          </w:p>
          <w:p w14:paraId="5AF71499" w14:textId="77777777" w:rsidR="00203F72" w:rsidRPr="00A53581" w:rsidRDefault="00203F72" w:rsidP="00D87D91">
            <w:r w:rsidRPr="00A53581">
              <w:t>(3.782)</w:t>
            </w:r>
          </w:p>
        </w:tc>
        <w:tc>
          <w:tcPr>
            <w:tcW w:w="1194" w:type="dxa"/>
            <w:shd w:val="clear" w:color="auto" w:fill="auto"/>
          </w:tcPr>
          <w:p w14:paraId="53DE1443" w14:textId="77777777" w:rsidR="00203F72" w:rsidRPr="00A53581" w:rsidRDefault="00203F72" w:rsidP="00D87D91">
            <w:r w:rsidRPr="00A53581">
              <w:t>-.013</w:t>
            </w:r>
          </w:p>
          <w:p w14:paraId="09BC30A6" w14:textId="77777777" w:rsidR="00203F72" w:rsidRPr="00A53581" w:rsidRDefault="00203F72" w:rsidP="00D87D91">
            <w:r w:rsidRPr="00A53581">
              <w:t>(-.763)</w:t>
            </w:r>
          </w:p>
        </w:tc>
        <w:tc>
          <w:tcPr>
            <w:tcW w:w="1151" w:type="dxa"/>
            <w:shd w:val="clear" w:color="auto" w:fill="auto"/>
          </w:tcPr>
          <w:p w14:paraId="13A30FC6" w14:textId="77777777" w:rsidR="00203F72" w:rsidRPr="00A53581" w:rsidRDefault="00203F72" w:rsidP="00D87D91">
            <w:r w:rsidRPr="00A53581">
              <w:t>3.438</w:t>
            </w:r>
          </w:p>
          <w:p w14:paraId="71A0CCA2" w14:textId="77777777" w:rsidR="00203F72" w:rsidRPr="00A53581" w:rsidRDefault="00203F72" w:rsidP="00D87D91">
            <w:r w:rsidRPr="00A53581">
              <w:t>(.567)</w:t>
            </w:r>
          </w:p>
        </w:tc>
      </w:tr>
      <w:tr w:rsidR="00203F72" w:rsidRPr="00A53581" w14:paraId="66940985" w14:textId="77777777" w:rsidTr="00203F72">
        <w:trPr>
          <w:jc w:val="center"/>
        </w:trPr>
        <w:tc>
          <w:tcPr>
            <w:tcW w:w="1377" w:type="dxa"/>
            <w:shd w:val="clear" w:color="auto" w:fill="auto"/>
          </w:tcPr>
          <w:p w14:paraId="20DAAF07" w14:textId="77777777" w:rsidR="00203F72" w:rsidRPr="00A53581" w:rsidRDefault="00203F72" w:rsidP="00D87D91">
            <w:r w:rsidRPr="00A53581">
              <w:t>失業率之變化</w:t>
            </w:r>
            <w:r w:rsidRPr="00A53581">
              <w:t>(</w:t>
            </w:r>
            <w:r w:rsidRPr="00A53581">
              <w:t>自變項</w:t>
            </w:r>
            <w:r w:rsidRPr="00A53581">
              <w:t>)</w:t>
            </w:r>
          </w:p>
        </w:tc>
        <w:tc>
          <w:tcPr>
            <w:tcW w:w="1411" w:type="dxa"/>
            <w:shd w:val="clear" w:color="auto" w:fill="auto"/>
          </w:tcPr>
          <w:p w14:paraId="007957E5" w14:textId="77777777" w:rsidR="00203F72" w:rsidRPr="00A53581" w:rsidRDefault="00203F72" w:rsidP="00D87D91">
            <w:r w:rsidRPr="00A53581">
              <w:t>1.096</w:t>
            </w:r>
          </w:p>
          <w:p w14:paraId="4A2D9015" w14:textId="77777777" w:rsidR="00203F72" w:rsidRPr="00A53581" w:rsidRDefault="00203F72" w:rsidP="00D87D91">
            <w:r w:rsidRPr="00A53581">
              <w:t>(.59)</w:t>
            </w:r>
          </w:p>
        </w:tc>
        <w:tc>
          <w:tcPr>
            <w:tcW w:w="1441" w:type="dxa"/>
            <w:shd w:val="clear" w:color="auto" w:fill="auto"/>
          </w:tcPr>
          <w:p w14:paraId="50FD4FB1" w14:textId="77777777" w:rsidR="00203F72" w:rsidRPr="00A53581" w:rsidRDefault="00203F72" w:rsidP="00D87D91">
            <w:r w:rsidRPr="00A53581">
              <w:t>.07</w:t>
            </w:r>
          </w:p>
          <w:p w14:paraId="20E72B58" w14:textId="77777777" w:rsidR="00203F72" w:rsidRPr="00A53581" w:rsidRDefault="00203F72" w:rsidP="00D87D91">
            <w:r w:rsidRPr="00A53581">
              <w:t>(.869)</w:t>
            </w:r>
          </w:p>
        </w:tc>
        <w:tc>
          <w:tcPr>
            <w:tcW w:w="1412" w:type="dxa"/>
            <w:shd w:val="clear" w:color="auto" w:fill="auto"/>
          </w:tcPr>
          <w:p w14:paraId="5F7693FA" w14:textId="77777777" w:rsidR="00203F72" w:rsidRPr="00A53581" w:rsidRDefault="00203F72" w:rsidP="00D87D91">
            <w:r w:rsidRPr="00A53581">
              <w:t>.092</w:t>
            </w:r>
          </w:p>
          <w:p w14:paraId="6317C2D2" w14:textId="77777777" w:rsidR="00203F72" w:rsidRPr="00A53581" w:rsidRDefault="00203F72" w:rsidP="00D87D91">
            <w:r w:rsidRPr="00A53581">
              <w:t>(1.72)</w:t>
            </w:r>
          </w:p>
        </w:tc>
        <w:tc>
          <w:tcPr>
            <w:tcW w:w="1194" w:type="dxa"/>
            <w:shd w:val="clear" w:color="auto" w:fill="auto"/>
          </w:tcPr>
          <w:p w14:paraId="2199ECCD" w14:textId="77777777" w:rsidR="00203F72" w:rsidRPr="00A53581" w:rsidRDefault="00203F72" w:rsidP="00D87D91">
            <w:r w:rsidRPr="00A53581">
              <w:t>.129</w:t>
            </w:r>
          </w:p>
          <w:p w14:paraId="291E2747" w14:textId="77777777" w:rsidR="00203F72" w:rsidRPr="00A53581" w:rsidRDefault="00203F72" w:rsidP="00D87D91">
            <w:r w:rsidRPr="00A53581">
              <w:t>(1.474)</w:t>
            </w:r>
          </w:p>
        </w:tc>
        <w:tc>
          <w:tcPr>
            <w:tcW w:w="1151" w:type="dxa"/>
            <w:shd w:val="clear" w:color="auto" w:fill="auto"/>
          </w:tcPr>
          <w:p w14:paraId="04D5881E" w14:textId="77777777" w:rsidR="00203F72" w:rsidRPr="00A53581" w:rsidRDefault="00203F72" w:rsidP="00D87D91">
            <w:r w:rsidRPr="00A53581">
              <w:t>-.003</w:t>
            </w:r>
          </w:p>
          <w:p w14:paraId="0ED398A7" w14:textId="77777777" w:rsidR="00203F72" w:rsidRPr="00A53581" w:rsidRDefault="00203F72" w:rsidP="00D87D91">
            <w:r w:rsidRPr="00A53581">
              <w:t>(-.368)</w:t>
            </w:r>
          </w:p>
        </w:tc>
      </w:tr>
      <w:tr w:rsidR="00203F72" w:rsidRPr="00A53581" w14:paraId="4FCE97B0" w14:textId="77777777" w:rsidTr="00203F72">
        <w:trPr>
          <w:jc w:val="center"/>
        </w:trPr>
        <w:tc>
          <w:tcPr>
            <w:tcW w:w="1377" w:type="dxa"/>
            <w:shd w:val="clear" w:color="auto" w:fill="auto"/>
          </w:tcPr>
          <w:p w14:paraId="583E1EC3" w14:textId="77777777" w:rsidR="00203F72" w:rsidRPr="00A53581" w:rsidRDefault="00203F72" w:rsidP="00D87D91">
            <w:r w:rsidRPr="00A53581">
              <w:t>離婚率之變化</w:t>
            </w:r>
            <w:r w:rsidRPr="00A53581">
              <w:t>(</w:t>
            </w:r>
            <w:r w:rsidRPr="00A53581">
              <w:t>自變項</w:t>
            </w:r>
            <w:r w:rsidRPr="00A53581">
              <w:t>)</w:t>
            </w:r>
          </w:p>
        </w:tc>
        <w:tc>
          <w:tcPr>
            <w:tcW w:w="1411" w:type="dxa"/>
            <w:shd w:val="clear" w:color="auto" w:fill="auto"/>
          </w:tcPr>
          <w:p w14:paraId="622F0ACF" w14:textId="77777777" w:rsidR="00203F72" w:rsidRPr="00A53581" w:rsidRDefault="00203F72" w:rsidP="00D87D91">
            <w:r w:rsidRPr="00A53581">
              <w:t>-8.063</w:t>
            </w:r>
          </w:p>
          <w:p w14:paraId="41BE9D96" w14:textId="77777777" w:rsidR="00203F72" w:rsidRPr="00A53581" w:rsidRDefault="00203F72" w:rsidP="00D87D91">
            <w:r w:rsidRPr="00A53581">
              <w:t>(-.257)</w:t>
            </w:r>
          </w:p>
        </w:tc>
        <w:tc>
          <w:tcPr>
            <w:tcW w:w="1441" w:type="dxa"/>
            <w:shd w:val="clear" w:color="auto" w:fill="auto"/>
          </w:tcPr>
          <w:p w14:paraId="48B05D08" w14:textId="77777777" w:rsidR="00203F72" w:rsidRPr="00A53581" w:rsidRDefault="00203F72" w:rsidP="00D87D91">
            <w:r w:rsidRPr="00A53581">
              <w:t>.194</w:t>
            </w:r>
          </w:p>
          <w:p w14:paraId="30EDD812" w14:textId="77777777" w:rsidR="00203F72" w:rsidRPr="00A53581" w:rsidRDefault="00203F72" w:rsidP="00D87D91">
            <w:r w:rsidRPr="00A53581">
              <w:t>(.189)</w:t>
            </w:r>
          </w:p>
        </w:tc>
        <w:tc>
          <w:tcPr>
            <w:tcW w:w="1412" w:type="dxa"/>
            <w:shd w:val="clear" w:color="auto" w:fill="auto"/>
          </w:tcPr>
          <w:p w14:paraId="2F86EE0D" w14:textId="77777777" w:rsidR="00203F72" w:rsidRPr="00A53581" w:rsidRDefault="00203F72" w:rsidP="00D87D91">
            <w:r w:rsidRPr="00A53581">
              <w:t>-.577</w:t>
            </w:r>
          </w:p>
          <w:p w14:paraId="66673572" w14:textId="77777777" w:rsidR="00203F72" w:rsidRPr="00A53581" w:rsidRDefault="00203F72" w:rsidP="00D87D91">
            <w:r w:rsidRPr="00A53581">
              <w:t>(-.58)</w:t>
            </w:r>
          </w:p>
        </w:tc>
        <w:tc>
          <w:tcPr>
            <w:tcW w:w="1194" w:type="dxa"/>
            <w:shd w:val="clear" w:color="auto" w:fill="auto"/>
          </w:tcPr>
          <w:p w14:paraId="207A569E" w14:textId="77777777" w:rsidR="00203F72" w:rsidRPr="00A53581" w:rsidRDefault="00203F72" w:rsidP="00D87D91">
            <w:r w:rsidRPr="00A53581">
              <w:t>.972</w:t>
            </w:r>
          </w:p>
          <w:p w14:paraId="1059BD13" w14:textId="77777777" w:rsidR="00203F72" w:rsidRPr="00A53581" w:rsidRDefault="00203F72" w:rsidP="00D87D91">
            <w:r w:rsidRPr="00A53581">
              <w:t>(1.449)</w:t>
            </w:r>
          </w:p>
        </w:tc>
        <w:tc>
          <w:tcPr>
            <w:tcW w:w="1151" w:type="dxa"/>
            <w:shd w:val="clear" w:color="auto" w:fill="auto"/>
          </w:tcPr>
          <w:p w14:paraId="5DB734ED" w14:textId="77777777" w:rsidR="00203F72" w:rsidRPr="00A53581" w:rsidRDefault="00203F72" w:rsidP="00D87D91">
            <w:r w:rsidRPr="00A53581">
              <w:t>-.199</w:t>
            </w:r>
          </w:p>
          <w:p w14:paraId="58765CAF" w14:textId="77777777" w:rsidR="00203F72" w:rsidRPr="00A53581" w:rsidRDefault="00203F72" w:rsidP="00D87D91">
            <w:r w:rsidRPr="00A53581">
              <w:t>(-1.472)</w:t>
            </w:r>
          </w:p>
        </w:tc>
      </w:tr>
      <w:tr w:rsidR="00203F72" w:rsidRPr="00A53581" w14:paraId="1BA41A97" w14:textId="77777777" w:rsidTr="00203F72">
        <w:trPr>
          <w:jc w:val="center"/>
        </w:trPr>
        <w:tc>
          <w:tcPr>
            <w:tcW w:w="1377" w:type="dxa"/>
            <w:shd w:val="clear" w:color="auto" w:fill="auto"/>
          </w:tcPr>
          <w:p w14:paraId="439E2D47" w14:textId="77777777" w:rsidR="00203F72" w:rsidRPr="00A53581" w:rsidRDefault="00203F72" w:rsidP="00D87D91">
            <w:r w:rsidRPr="00A53581">
              <w:t>15~29</w:t>
            </w:r>
            <w:r w:rsidRPr="00A53581">
              <w:t>歲</w:t>
            </w:r>
          </w:p>
          <w:p w14:paraId="263BDDAD" w14:textId="77777777" w:rsidR="00203F72" w:rsidRPr="00A53581" w:rsidRDefault="00203F72" w:rsidP="00D87D91">
            <w:r w:rsidRPr="00A53581">
              <w:t>人口比例</w:t>
            </w:r>
            <w:r w:rsidRPr="00A53581">
              <w:t>(</w:t>
            </w:r>
            <w:r w:rsidRPr="00A53581">
              <w:t>自變項</w:t>
            </w:r>
            <w:r w:rsidRPr="00A53581">
              <w:t>)</w:t>
            </w:r>
          </w:p>
        </w:tc>
        <w:tc>
          <w:tcPr>
            <w:tcW w:w="1411" w:type="dxa"/>
            <w:shd w:val="clear" w:color="auto" w:fill="auto"/>
          </w:tcPr>
          <w:p w14:paraId="61B40A5D" w14:textId="77777777" w:rsidR="00203F72" w:rsidRPr="00A53581" w:rsidRDefault="00203F72" w:rsidP="00D87D91">
            <w:r w:rsidRPr="00A53581">
              <w:t>5.842</w:t>
            </w:r>
            <w:r w:rsidRPr="00A53581">
              <w:rPr>
                <w:position w:val="10"/>
              </w:rPr>
              <w:t>﹡</w:t>
            </w:r>
          </w:p>
          <w:p w14:paraId="52FE8DCA" w14:textId="77777777" w:rsidR="00203F72" w:rsidRPr="00A53581" w:rsidRDefault="00203F72" w:rsidP="00D87D91">
            <w:r w:rsidRPr="00A53581">
              <w:t>(2.412)</w:t>
            </w:r>
          </w:p>
        </w:tc>
        <w:tc>
          <w:tcPr>
            <w:tcW w:w="1441" w:type="dxa"/>
            <w:shd w:val="clear" w:color="auto" w:fill="auto"/>
          </w:tcPr>
          <w:p w14:paraId="0A926FD4" w14:textId="77777777" w:rsidR="00203F72" w:rsidRPr="00A53581" w:rsidRDefault="00203F72" w:rsidP="00D87D91">
            <w:r w:rsidRPr="00A53581">
              <w:t>0.127</w:t>
            </w:r>
          </w:p>
          <w:p w14:paraId="2ED8CBA5" w14:textId="77777777" w:rsidR="00203F72" w:rsidRPr="00A53581" w:rsidRDefault="00203F72" w:rsidP="00D87D91">
            <w:r w:rsidRPr="00A53581">
              <w:t>(1.125)</w:t>
            </w:r>
          </w:p>
        </w:tc>
        <w:tc>
          <w:tcPr>
            <w:tcW w:w="1412" w:type="dxa"/>
            <w:shd w:val="clear" w:color="auto" w:fill="auto"/>
          </w:tcPr>
          <w:p w14:paraId="4E093230" w14:textId="77777777" w:rsidR="00203F72" w:rsidRPr="00A53581" w:rsidRDefault="00203F72" w:rsidP="00D87D91">
            <w:r w:rsidRPr="00A53581">
              <w:t>-.027</w:t>
            </w:r>
          </w:p>
          <w:p w14:paraId="51D72C96" w14:textId="77777777" w:rsidR="00203F72" w:rsidRPr="00A53581" w:rsidRDefault="00203F72" w:rsidP="00D87D91">
            <w:r w:rsidRPr="00A53581">
              <w:t>(-.373)</w:t>
            </w:r>
          </w:p>
        </w:tc>
        <w:tc>
          <w:tcPr>
            <w:tcW w:w="1194" w:type="dxa"/>
            <w:shd w:val="clear" w:color="auto" w:fill="auto"/>
          </w:tcPr>
          <w:p w14:paraId="46D64577" w14:textId="77777777" w:rsidR="00203F72" w:rsidRPr="00A53581" w:rsidRDefault="00203F72" w:rsidP="00D87D91">
            <w:r w:rsidRPr="00A53581">
              <w:t>.49</w:t>
            </w:r>
          </w:p>
          <w:p w14:paraId="2533D14E" w14:textId="77777777" w:rsidR="00203F72" w:rsidRPr="00A53581" w:rsidRDefault="00203F72" w:rsidP="00D87D91">
            <w:r w:rsidRPr="00A53581">
              <w:t>(.827)</w:t>
            </w:r>
          </w:p>
        </w:tc>
        <w:tc>
          <w:tcPr>
            <w:tcW w:w="1151" w:type="dxa"/>
            <w:shd w:val="clear" w:color="auto" w:fill="auto"/>
          </w:tcPr>
          <w:p w14:paraId="4FF16677" w14:textId="77777777" w:rsidR="00203F72" w:rsidRPr="00A53581" w:rsidRDefault="00203F72" w:rsidP="00D87D91">
            <w:r w:rsidRPr="00A53581">
              <w:t>-.001</w:t>
            </w:r>
          </w:p>
          <w:p w14:paraId="7AF4C7DB" w14:textId="77777777" w:rsidR="00203F72" w:rsidRPr="00A53581" w:rsidRDefault="00203F72" w:rsidP="00D87D91">
            <w:r w:rsidRPr="00A53581">
              <w:t>(-.117)</w:t>
            </w:r>
          </w:p>
        </w:tc>
      </w:tr>
      <w:tr w:rsidR="00203F72" w:rsidRPr="00A53581" w14:paraId="2074449F" w14:textId="77777777" w:rsidTr="00203F72">
        <w:trPr>
          <w:jc w:val="center"/>
        </w:trPr>
        <w:tc>
          <w:tcPr>
            <w:tcW w:w="1377" w:type="dxa"/>
            <w:shd w:val="clear" w:color="auto" w:fill="auto"/>
          </w:tcPr>
          <w:p w14:paraId="019CDA6B" w14:textId="77777777" w:rsidR="00203F72" w:rsidRPr="00A53581" w:rsidRDefault="00203F72" w:rsidP="00D87D91">
            <w:r w:rsidRPr="00A53581">
              <w:t>國民平均所得之變化</w:t>
            </w:r>
            <w:r w:rsidRPr="00A53581">
              <w:t>(</w:t>
            </w:r>
            <w:r w:rsidRPr="00A53581">
              <w:t>自變項</w:t>
            </w:r>
            <w:r w:rsidRPr="00A53581">
              <w:t>)</w:t>
            </w:r>
          </w:p>
        </w:tc>
        <w:tc>
          <w:tcPr>
            <w:tcW w:w="1411" w:type="dxa"/>
            <w:shd w:val="clear" w:color="auto" w:fill="auto"/>
          </w:tcPr>
          <w:p w14:paraId="7973D9E3" w14:textId="77777777" w:rsidR="00203F72" w:rsidRPr="00A53581" w:rsidRDefault="00203F72" w:rsidP="00D87D91">
            <w:r w:rsidRPr="00A53581">
              <w:t>9.24</w:t>
            </w:r>
            <w:r w:rsidRPr="00A53581">
              <w:rPr>
                <w:position w:val="10"/>
              </w:rPr>
              <w:t>﹡﹡</w:t>
            </w:r>
          </w:p>
          <w:p w14:paraId="6C7AE14F" w14:textId="77777777" w:rsidR="00203F72" w:rsidRPr="00A53581" w:rsidRDefault="00203F72" w:rsidP="00D87D91">
            <w:r w:rsidRPr="00A53581">
              <w:t>(4.687)</w:t>
            </w:r>
          </w:p>
        </w:tc>
        <w:tc>
          <w:tcPr>
            <w:tcW w:w="1441" w:type="dxa"/>
            <w:shd w:val="clear" w:color="auto" w:fill="auto"/>
          </w:tcPr>
          <w:p w14:paraId="41228537" w14:textId="77777777" w:rsidR="00203F72" w:rsidRPr="00A53581" w:rsidRDefault="00203F72" w:rsidP="00D87D91">
            <w:r w:rsidRPr="00A53581">
              <w:t>1.527</w:t>
            </w:r>
          </w:p>
          <w:p w14:paraId="645D7003" w14:textId="77777777" w:rsidR="00203F72" w:rsidRPr="00A53581" w:rsidRDefault="00203F72" w:rsidP="00D87D91">
            <w:r w:rsidRPr="00A53581">
              <w:t>(1.728)</w:t>
            </w:r>
          </w:p>
        </w:tc>
        <w:tc>
          <w:tcPr>
            <w:tcW w:w="1412" w:type="dxa"/>
            <w:shd w:val="clear" w:color="auto" w:fill="auto"/>
          </w:tcPr>
          <w:p w14:paraId="6F9F058B" w14:textId="77777777" w:rsidR="00203F72" w:rsidRPr="00A53581" w:rsidRDefault="00203F72" w:rsidP="00D87D91">
            <w:r w:rsidRPr="00A53581">
              <w:t>4.241</w:t>
            </w:r>
          </w:p>
          <w:p w14:paraId="42A49943" w14:textId="77777777" w:rsidR="00203F72" w:rsidRPr="00A53581" w:rsidRDefault="00203F72" w:rsidP="00D87D91">
            <w:r w:rsidRPr="00A53581">
              <w:t>(.626)</w:t>
            </w:r>
          </w:p>
        </w:tc>
        <w:tc>
          <w:tcPr>
            <w:tcW w:w="1194" w:type="dxa"/>
            <w:shd w:val="clear" w:color="auto" w:fill="auto"/>
          </w:tcPr>
          <w:p w14:paraId="3F986B3E" w14:textId="77777777" w:rsidR="00203F72" w:rsidRPr="00A53581" w:rsidRDefault="00203F72" w:rsidP="00D87D91">
            <w:r w:rsidRPr="00A53581">
              <w:t>2.402</w:t>
            </w:r>
          </w:p>
          <w:p w14:paraId="55570370" w14:textId="77777777" w:rsidR="00203F72" w:rsidRPr="00A53581" w:rsidRDefault="00203F72" w:rsidP="00D87D91">
            <w:r w:rsidRPr="00A53581">
              <w:t>(2.031)</w:t>
            </w:r>
          </w:p>
        </w:tc>
        <w:tc>
          <w:tcPr>
            <w:tcW w:w="1151" w:type="dxa"/>
            <w:shd w:val="clear" w:color="auto" w:fill="auto"/>
          </w:tcPr>
          <w:p w14:paraId="062BB855" w14:textId="77777777" w:rsidR="00203F72" w:rsidRPr="00A53581" w:rsidRDefault="00203F72" w:rsidP="00D87D91">
            <w:r w:rsidRPr="00A53581">
              <w:t>-1.009</w:t>
            </w:r>
          </w:p>
          <w:p w14:paraId="564B43C8" w14:textId="77777777" w:rsidR="00203F72" w:rsidRPr="00A53581" w:rsidRDefault="00203F72" w:rsidP="00D87D91">
            <w:r w:rsidRPr="00A53581">
              <w:t>(-.912)</w:t>
            </w:r>
          </w:p>
        </w:tc>
      </w:tr>
      <w:tr w:rsidR="00203F72" w:rsidRPr="00A53581" w14:paraId="4A970284" w14:textId="77777777" w:rsidTr="00203F72">
        <w:trPr>
          <w:jc w:val="center"/>
        </w:trPr>
        <w:tc>
          <w:tcPr>
            <w:tcW w:w="1377" w:type="dxa"/>
            <w:shd w:val="clear" w:color="auto" w:fill="auto"/>
          </w:tcPr>
          <w:p w14:paraId="27794FFF" w14:textId="77777777" w:rsidR="00203F72" w:rsidRPr="00A53581" w:rsidRDefault="00203F72" w:rsidP="00D87D91">
            <w:r w:rsidRPr="00A53581">
              <w:t>司法經費之變化</w:t>
            </w:r>
            <w:r w:rsidRPr="00A53581">
              <w:t>(</w:t>
            </w:r>
            <w:r w:rsidRPr="00A53581">
              <w:t>自變項</w:t>
            </w:r>
            <w:r w:rsidRPr="00A53581">
              <w:t>)</w:t>
            </w:r>
          </w:p>
        </w:tc>
        <w:tc>
          <w:tcPr>
            <w:tcW w:w="1411" w:type="dxa"/>
            <w:shd w:val="clear" w:color="auto" w:fill="auto"/>
          </w:tcPr>
          <w:p w14:paraId="73FEA102" w14:textId="77777777" w:rsidR="00203F72" w:rsidRPr="00A53581" w:rsidRDefault="00203F72" w:rsidP="00D87D91">
            <w:r w:rsidRPr="00A53581">
              <w:t>0.40</w:t>
            </w:r>
            <w:r w:rsidRPr="00A53581">
              <w:rPr>
                <w:position w:val="10"/>
              </w:rPr>
              <w:t>﹡</w:t>
            </w:r>
          </w:p>
          <w:p w14:paraId="0A73AC7C" w14:textId="77777777" w:rsidR="00203F72" w:rsidRPr="00A53581" w:rsidRDefault="00203F72" w:rsidP="00D87D91">
            <w:r w:rsidRPr="00A53581">
              <w:t>(2.502)</w:t>
            </w:r>
          </w:p>
        </w:tc>
        <w:tc>
          <w:tcPr>
            <w:tcW w:w="1441" w:type="dxa"/>
            <w:shd w:val="clear" w:color="auto" w:fill="auto"/>
          </w:tcPr>
          <w:p w14:paraId="12ACD41C" w14:textId="77777777" w:rsidR="00203F72" w:rsidRPr="00A53581" w:rsidRDefault="00203F72" w:rsidP="00D87D91">
            <w:r w:rsidRPr="00A53581">
              <w:t>6.489</w:t>
            </w:r>
          </w:p>
          <w:p w14:paraId="0B51FF75" w14:textId="77777777" w:rsidR="00203F72" w:rsidRPr="00A53581" w:rsidRDefault="00203F72" w:rsidP="00D87D91">
            <w:r w:rsidRPr="00A53581">
              <w:t>(1.042)</w:t>
            </w:r>
          </w:p>
        </w:tc>
        <w:tc>
          <w:tcPr>
            <w:tcW w:w="1412" w:type="dxa"/>
            <w:shd w:val="clear" w:color="auto" w:fill="auto"/>
          </w:tcPr>
          <w:p w14:paraId="63C1D157" w14:textId="77777777" w:rsidR="00203F72" w:rsidRPr="00A53581" w:rsidRDefault="00203F72" w:rsidP="00D87D91">
            <w:r w:rsidRPr="00A53581">
              <w:t>4.544</w:t>
            </w:r>
          </w:p>
          <w:p w14:paraId="1D88EC65" w14:textId="77777777" w:rsidR="00203F72" w:rsidRPr="00A53581" w:rsidRDefault="00203F72" w:rsidP="00D87D91">
            <w:r w:rsidRPr="00A53581">
              <w:t>(.879)</w:t>
            </w:r>
          </w:p>
        </w:tc>
        <w:tc>
          <w:tcPr>
            <w:tcW w:w="1194" w:type="dxa"/>
            <w:shd w:val="clear" w:color="auto" w:fill="auto"/>
          </w:tcPr>
          <w:p w14:paraId="28E1A6D9" w14:textId="77777777" w:rsidR="00203F72" w:rsidRPr="00A53581" w:rsidRDefault="00203F72" w:rsidP="00D87D91">
            <w:r w:rsidRPr="00A53581">
              <w:t>.009</w:t>
            </w:r>
          </w:p>
          <w:p w14:paraId="73CAA999" w14:textId="77777777" w:rsidR="00203F72" w:rsidRPr="00A53581" w:rsidRDefault="00203F72" w:rsidP="00D87D91">
            <w:r w:rsidRPr="00A53581">
              <w:t>(.451)</w:t>
            </w:r>
          </w:p>
        </w:tc>
        <w:tc>
          <w:tcPr>
            <w:tcW w:w="1151" w:type="dxa"/>
            <w:shd w:val="clear" w:color="auto" w:fill="auto"/>
          </w:tcPr>
          <w:p w14:paraId="40D93975" w14:textId="77777777" w:rsidR="00203F72" w:rsidRPr="00A53581" w:rsidRDefault="00203F72" w:rsidP="00D87D91">
            <w:r w:rsidRPr="00A53581">
              <w:t>7.883</w:t>
            </w:r>
          </w:p>
          <w:p w14:paraId="687E267A" w14:textId="77777777" w:rsidR="00203F72" w:rsidRPr="00A53581" w:rsidRDefault="00203F72" w:rsidP="00D87D91">
            <w:r w:rsidRPr="00A53581">
              <w:t>(1.425)</w:t>
            </w:r>
          </w:p>
        </w:tc>
      </w:tr>
      <w:tr w:rsidR="00203F72" w:rsidRPr="00A53581" w14:paraId="0C87E58A" w14:textId="77777777" w:rsidTr="00203F72">
        <w:trPr>
          <w:jc w:val="center"/>
        </w:trPr>
        <w:tc>
          <w:tcPr>
            <w:tcW w:w="1377" w:type="dxa"/>
            <w:shd w:val="clear" w:color="auto" w:fill="auto"/>
          </w:tcPr>
          <w:p w14:paraId="1E4866E2" w14:textId="77777777" w:rsidR="00203F72" w:rsidRPr="00A53581" w:rsidRDefault="00203F72" w:rsidP="00D87D91">
            <w:r w:rsidRPr="00A53581">
              <w:t>警民比例之變化</w:t>
            </w:r>
            <w:r w:rsidRPr="00A53581">
              <w:t>(</w:t>
            </w:r>
            <w:r w:rsidRPr="00A53581">
              <w:t>自變項</w:t>
            </w:r>
            <w:r w:rsidRPr="00A53581">
              <w:t>)</w:t>
            </w:r>
          </w:p>
        </w:tc>
        <w:tc>
          <w:tcPr>
            <w:tcW w:w="1411" w:type="dxa"/>
            <w:shd w:val="clear" w:color="auto" w:fill="auto"/>
          </w:tcPr>
          <w:p w14:paraId="5A9FB947" w14:textId="77777777" w:rsidR="00203F72" w:rsidRPr="00A53581" w:rsidRDefault="00203F72" w:rsidP="00D87D91">
            <w:r w:rsidRPr="00A53581">
              <w:t>.458</w:t>
            </w:r>
          </w:p>
          <w:p w14:paraId="3C93B614" w14:textId="77777777" w:rsidR="00203F72" w:rsidRPr="00A53581" w:rsidRDefault="00203F72" w:rsidP="00D87D91">
            <w:r w:rsidRPr="00A53581">
              <w:t>(.56)</w:t>
            </w:r>
          </w:p>
        </w:tc>
        <w:tc>
          <w:tcPr>
            <w:tcW w:w="1441" w:type="dxa"/>
            <w:shd w:val="clear" w:color="auto" w:fill="auto"/>
          </w:tcPr>
          <w:p w14:paraId="09BCFC94" w14:textId="77777777" w:rsidR="00203F72" w:rsidRPr="00A53581" w:rsidRDefault="00203F72" w:rsidP="00D87D91">
            <w:r w:rsidRPr="00A53581">
              <w:t>-.041</w:t>
            </w:r>
          </w:p>
          <w:p w14:paraId="32326F0A" w14:textId="77777777" w:rsidR="00203F72" w:rsidRPr="00A53581" w:rsidRDefault="00203F72" w:rsidP="00D87D91">
            <w:r w:rsidRPr="00A53581">
              <w:t>(-1.164)</w:t>
            </w:r>
          </w:p>
        </w:tc>
        <w:tc>
          <w:tcPr>
            <w:tcW w:w="1412" w:type="dxa"/>
            <w:shd w:val="clear" w:color="auto" w:fill="auto"/>
          </w:tcPr>
          <w:p w14:paraId="53DAB217" w14:textId="77777777" w:rsidR="00203F72" w:rsidRPr="00A53581" w:rsidRDefault="00203F72" w:rsidP="00D87D91">
            <w:r w:rsidRPr="00A53581">
              <w:t>8.941</w:t>
            </w:r>
            <w:r w:rsidRPr="00A53581">
              <w:rPr>
                <w:position w:val="10"/>
              </w:rPr>
              <w:t>﹡</w:t>
            </w:r>
          </w:p>
          <w:p w14:paraId="07EF05EF" w14:textId="77777777" w:rsidR="00203F72" w:rsidRPr="00A53581" w:rsidRDefault="00203F72" w:rsidP="00D87D91">
            <w:r w:rsidRPr="00A53581">
              <w:t>(.036)</w:t>
            </w:r>
          </w:p>
        </w:tc>
        <w:tc>
          <w:tcPr>
            <w:tcW w:w="1194" w:type="dxa"/>
            <w:shd w:val="clear" w:color="auto" w:fill="auto"/>
          </w:tcPr>
          <w:p w14:paraId="77C352AD" w14:textId="77777777" w:rsidR="00203F72" w:rsidRPr="00A53581" w:rsidRDefault="00203F72" w:rsidP="00D87D91">
            <w:r w:rsidRPr="00A53581">
              <w:t>.009</w:t>
            </w:r>
          </w:p>
          <w:p w14:paraId="1B47A12C" w14:textId="77777777" w:rsidR="00203F72" w:rsidRPr="00A53581" w:rsidRDefault="00203F72" w:rsidP="00D87D91">
            <w:r w:rsidRPr="00A53581">
              <w:t>(.451)</w:t>
            </w:r>
          </w:p>
        </w:tc>
        <w:tc>
          <w:tcPr>
            <w:tcW w:w="1151" w:type="dxa"/>
            <w:shd w:val="clear" w:color="auto" w:fill="auto"/>
          </w:tcPr>
          <w:p w14:paraId="25FEE53C" w14:textId="77777777" w:rsidR="00203F72" w:rsidRPr="00A53581" w:rsidRDefault="00203F72" w:rsidP="00D87D91">
            <w:r w:rsidRPr="00A53581">
              <w:t>-.003</w:t>
            </w:r>
          </w:p>
          <w:p w14:paraId="3EACF6E1" w14:textId="77777777" w:rsidR="00203F72" w:rsidRPr="00A53581" w:rsidRDefault="00203F72" w:rsidP="00D87D91">
            <w:r w:rsidRPr="00A53581">
              <w:t>(-1.117)</w:t>
            </w:r>
          </w:p>
        </w:tc>
      </w:tr>
      <w:tr w:rsidR="00203F72" w:rsidRPr="00A53581" w14:paraId="54CD4E12" w14:textId="77777777" w:rsidTr="00203F72">
        <w:trPr>
          <w:jc w:val="center"/>
        </w:trPr>
        <w:tc>
          <w:tcPr>
            <w:tcW w:w="1377" w:type="dxa"/>
            <w:shd w:val="clear" w:color="auto" w:fill="auto"/>
          </w:tcPr>
          <w:p w14:paraId="547DA3C4" w14:textId="77777777" w:rsidR="00203F72" w:rsidRPr="00A53581" w:rsidRDefault="00203F72" w:rsidP="00D87D91">
            <w:r w:rsidRPr="00A53581">
              <w:t>常數</w:t>
            </w:r>
          </w:p>
        </w:tc>
        <w:tc>
          <w:tcPr>
            <w:tcW w:w="1411" w:type="dxa"/>
            <w:shd w:val="clear" w:color="auto" w:fill="auto"/>
          </w:tcPr>
          <w:p w14:paraId="73007EBA" w14:textId="77777777" w:rsidR="00203F72" w:rsidRPr="00A53581" w:rsidRDefault="00203F72" w:rsidP="00D87D91">
            <w:r w:rsidRPr="00A53581">
              <w:t>-9.277</w:t>
            </w:r>
          </w:p>
          <w:p w14:paraId="750A8E51" w14:textId="77777777" w:rsidR="00203F72" w:rsidRPr="00A53581" w:rsidRDefault="00203F72" w:rsidP="00D87D91">
            <w:r w:rsidRPr="00A53581">
              <w:t>(.0026)</w:t>
            </w:r>
          </w:p>
        </w:tc>
        <w:tc>
          <w:tcPr>
            <w:tcW w:w="1441" w:type="dxa"/>
            <w:shd w:val="clear" w:color="auto" w:fill="auto"/>
          </w:tcPr>
          <w:p w14:paraId="3102B73B" w14:textId="77777777" w:rsidR="00203F72" w:rsidRPr="00A53581" w:rsidRDefault="00203F72" w:rsidP="00D87D91">
            <w:r w:rsidRPr="00A53581">
              <w:t>-.149</w:t>
            </w:r>
          </w:p>
          <w:p w14:paraId="503C2B5F" w14:textId="77777777" w:rsidR="00203F72" w:rsidRPr="00A53581" w:rsidRDefault="00203F72" w:rsidP="00D87D91">
            <w:r w:rsidRPr="00A53581">
              <w:t>(-1.327)</w:t>
            </w:r>
          </w:p>
        </w:tc>
        <w:tc>
          <w:tcPr>
            <w:tcW w:w="1412" w:type="dxa"/>
            <w:shd w:val="clear" w:color="auto" w:fill="auto"/>
          </w:tcPr>
          <w:p w14:paraId="2F58CCA8" w14:textId="77777777" w:rsidR="00203F72" w:rsidRPr="00A53581" w:rsidRDefault="00203F72" w:rsidP="00D87D91">
            <w:r w:rsidRPr="00A53581">
              <w:t>.053</w:t>
            </w:r>
          </w:p>
          <w:p w14:paraId="7CB00725" w14:textId="77777777" w:rsidR="00203F72" w:rsidRPr="00A53581" w:rsidRDefault="00203F72" w:rsidP="00D87D91">
            <w:r w:rsidRPr="00A53581">
              <w:t>(.685)</w:t>
            </w:r>
          </w:p>
        </w:tc>
        <w:tc>
          <w:tcPr>
            <w:tcW w:w="1194" w:type="dxa"/>
            <w:shd w:val="clear" w:color="auto" w:fill="auto"/>
          </w:tcPr>
          <w:p w14:paraId="080F068A" w14:textId="77777777" w:rsidR="00203F72" w:rsidRPr="00A53581" w:rsidRDefault="00203F72" w:rsidP="00D87D91">
            <w:r w:rsidRPr="00A53581">
              <w:t>-.166</w:t>
            </w:r>
          </w:p>
          <w:p w14:paraId="437A856B" w14:textId="77777777" w:rsidR="00203F72" w:rsidRPr="00A53581" w:rsidRDefault="00203F72" w:rsidP="00D87D91">
            <w:r w:rsidRPr="00A53581">
              <w:t>(-.977)</w:t>
            </w:r>
          </w:p>
        </w:tc>
        <w:tc>
          <w:tcPr>
            <w:tcW w:w="1151" w:type="dxa"/>
            <w:shd w:val="clear" w:color="auto" w:fill="auto"/>
          </w:tcPr>
          <w:p w14:paraId="4E5D36EE" w14:textId="77777777" w:rsidR="00203F72" w:rsidRPr="00A53581" w:rsidRDefault="00203F72" w:rsidP="00D87D91">
            <w:r w:rsidRPr="00A53581">
              <w:t>.014</w:t>
            </w:r>
          </w:p>
          <w:p w14:paraId="6911393A" w14:textId="77777777" w:rsidR="00203F72" w:rsidRPr="00A53581" w:rsidRDefault="00203F72" w:rsidP="00D87D91">
            <w:r w:rsidRPr="00A53581">
              <w:t>(.879)</w:t>
            </w:r>
          </w:p>
        </w:tc>
      </w:tr>
    </w:tbl>
    <w:p w14:paraId="6338E6DF" w14:textId="77777777" w:rsidR="00953151" w:rsidRPr="00515D85" w:rsidRDefault="00CA2C52" w:rsidP="00D87D91">
      <w:r w:rsidRPr="00515D85">
        <w:rPr>
          <w:rFonts w:hint="eastAsia"/>
        </w:rPr>
        <w:t>【</w:t>
      </w:r>
      <w:r w:rsidR="00203F72" w:rsidRPr="00515D85">
        <w:t>註</w:t>
      </w:r>
      <w:r w:rsidRPr="00515D85">
        <w:rPr>
          <w:rFonts w:hint="eastAsia"/>
        </w:rPr>
        <w:t>】</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131</w:t>
      </w:r>
      <w:r w:rsidR="00203F72" w:rsidRPr="00515D85">
        <w:t>，並經由作者重新改寫與闡釋其統計實證數據之意義。</w:t>
      </w:r>
    </w:p>
    <w:p w14:paraId="18FDED27" w14:textId="77777777" w:rsidR="00203F72" w:rsidRPr="00515D85" w:rsidRDefault="00CA2C52" w:rsidP="00D87D91">
      <w:r w:rsidRPr="00515D85">
        <w:t xml:space="preserve">　　</w:t>
      </w:r>
      <w:r w:rsidR="00203F72" w:rsidRPr="00515D85">
        <w:t>在下述之表格中，</w:t>
      </w:r>
      <w:r w:rsidR="00203F72" w:rsidRPr="00515D85">
        <w:t>R2</w:t>
      </w:r>
      <w:r w:rsidR="00203F72" w:rsidRPr="00515D85">
        <w:t>（</w:t>
      </w:r>
      <w:r w:rsidR="00203F72" w:rsidRPr="00515D85">
        <w:t>R square</w:t>
      </w:r>
      <w:r w:rsidR="00203F72" w:rsidRPr="00515D85">
        <w:t>）之意義，係在迴歸分析中，代表可解釋變異量比，表示使用</w:t>
      </w:r>
      <w:r w:rsidR="00203F72" w:rsidRPr="00515D85">
        <w:t>X(</w:t>
      </w:r>
      <w:r w:rsidR="00203F72" w:rsidRPr="00515D85">
        <w:t>自變項，解釋變數</w:t>
      </w:r>
      <w:r w:rsidR="00203F72" w:rsidRPr="00515D85">
        <w:t>)</w:t>
      </w:r>
      <w:r w:rsidR="00203F72" w:rsidRPr="00515D85">
        <w:t>預測</w:t>
      </w:r>
      <w:r w:rsidR="00203F72" w:rsidRPr="00515D85">
        <w:t>Y(</w:t>
      </w:r>
      <w:r w:rsidR="00203F72" w:rsidRPr="00515D85">
        <w:t>依變項、目的變數、應變數</w:t>
      </w:r>
      <w:r w:rsidR="00203F72" w:rsidRPr="00515D85">
        <w:t>)</w:t>
      </w:r>
      <w:r w:rsidR="00203F72" w:rsidRPr="00515D85">
        <w:t>時的預測解釋力之大小之程度。決定係數</w:t>
      </w:r>
      <w:r w:rsidR="00203F72" w:rsidRPr="00515D85">
        <w:t>R2 (coefficient of determination)</w:t>
      </w:r>
      <w:r w:rsidR="00203F72" w:rsidRPr="00515D85">
        <w:t>，</w:t>
      </w:r>
      <w:r w:rsidR="00203F72" w:rsidRPr="00515D85">
        <w:t xml:space="preserve"> </w:t>
      </w:r>
      <w:r w:rsidR="00203F72" w:rsidRPr="00515D85">
        <w:t>是用來解釋線性迴歸模式的適配度</w:t>
      </w:r>
      <w:r w:rsidR="00203F72" w:rsidRPr="00515D85">
        <w:t>(goodness of fit)</w:t>
      </w:r>
      <w:r w:rsidR="00203F72" w:rsidRPr="00515D85">
        <w:t>。亦即，</w:t>
      </w:r>
      <w:r w:rsidR="00203F72" w:rsidRPr="00515D85">
        <w:t>Y</w:t>
      </w:r>
      <w:r w:rsidR="00203F72" w:rsidRPr="00515D85">
        <w:t>變項</w:t>
      </w:r>
      <w:r w:rsidR="00203F72" w:rsidRPr="00515D85">
        <w:t>(</w:t>
      </w:r>
      <w:r w:rsidR="00203F72" w:rsidRPr="00515D85">
        <w:t>依變項，應變數</w:t>
      </w:r>
      <w:r w:rsidR="00203F72" w:rsidRPr="00515D85">
        <w:t>)</w:t>
      </w:r>
      <w:r w:rsidR="00203F72" w:rsidRPr="00515D85">
        <w:t>被自變項所解釋的比率之程度。此可反應由自變項</w:t>
      </w:r>
      <w:r w:rsidR="00203F72" w:rsidRPr="00515D85">
        <w:t>(</w:t>
      </w:r>
      <w:r w:rsidR="00203F72" w:rsidRPr="00515D85">
        <w:t>解釋變數</w:t>
      </w:r>
      <w:r w:rsidR="00203F72" w:rsidRPr="00515D85">
        <w:t>)</w:t>
      </w:r>
      <w:r w:rsidR="00203F72" w:rsidRPr="00515D85">
        <w:t>與依變項</w:t>
      </w:r>
      <w:r w:rsidR="00203F72" w:rsidRPr="00515D85">
        <w:t>(</w:t>
      </w:r>
      <w:r w:rsidR="00203F72" w:rsidRPr="00515D85">
        <w:t>應變數</w:t>
      </w:r>
      <w:r w:rsidR="00203F72" w:rsidRPr="00515D85">
        <w:t>)</w:t>
      </w:r>
      <w:r w:rsidR="00203F72" w:rsidRPr="00515D85">
        <w:t>所形成的線性迴歸模式，此模式之契合度之程度（</w:t>
      </w:r>
      <w:r w:rsidR="00203F72" w:rsidRPr="00515D85">
        <w:t>goodness of fit</w:t>
      </w:r>
      <w:r w:rsidR="00203F72" w:rsidRPr="00515D85">
        <w:t>），又稱為迴歸模型的決定係數（</w:t>
      </w:r>
      <w:r w:rsidR="00203F72" w:rsidRPr="00515D85">
        <w:t>coefficient of determination</w:t>
      </w:r>
      <w:r w:rsidR="00203F72" w:rsidRPr="00515D85">
        <w:t>）。</w:t>
      </w:r>
    </w:p>
    <w:p w14:paraId="607FB979" w14:textId="77777777" w:rsidR="00953151" w:rsidRPr="00515D85" w:rsidRDefault="00CA2C52" w:rsidP="00D87D91">
      <w:r w:rsidRPr="00515D85">
        <w:t xml:space="preserve">　　</w:t>
      </w:r>
      <w:r w:rsidR="00203F72" w:rsidRPr="00515D85">
        <w:t xml:space="preserve">R 2 ≠0 </w:t>
      </w:r>
      <w:r w:rsidR="00203F72" w:rsidRPr="00515D85">
        <w:t>時，代表依變數</w:t>
      </w:r>
      <w:r w:rsidR="00203F72" w:rsidRPr="00515D85">
        <w:t>(Y)</w:t>
      </w:r>
      <w:r w:rsidR="00203F72" w:rsidRPr="00515D85">
        <w:t>被自變數</w:t>
      </w:r>
      <w:r w:rsidR="00203F72" w:rsidRPr="00515D85">
        <w:t>(X n )</w:t>
      </w:r>
      <w:r w:rsidR="00203F72" w:rsidRPr="00515D85">
        <w:t>所解釋的變異量之比率的程度。</w:t>
      </w:r>
      <w:r w:rsidR="00203F72" w:rsidRPr="00515D85">
        <w:t xml:space="preserve">R 2 </w:t>
      </w:r>
      <w:r w:rsidR="00203F72" w:rsidRPr="00515D85">
        <w:t>會用來說明整個模式的解釋力，但是</w:t>
      </w:r>
      <w:r w:rsidR="00203F72" w:rsidRPr="00515D85">
        <w:t xml:space="preserve">R 2 </w:t>
      </w:r>
      <w:r w:rsidR="00203F72" w:rsidRPr="00515D85">
        <w:t>會受到樣本大小的影響，而呈現高估現象</w:t>
      </w:r>
      <w:r w:rsidR="00203F72" w:rsidRPr="00515D85">
        <w:footnoteReference w:id="907"/>
      </w:r>
      <w:r w:rsidR="00203F72" w:rsidRPr="00515D85">
        <w:t>。另外，</w:t>
      </w:r>
      <w:r w:rsidR="00203F72" w:rsidRPr="00515D85">
        <w:t>adjusted R2</w:t>
      </w:r>
      <w:r w:rsidR="00203F72" w:rsidRPr="00515D85">
        <w:t>表示校正後迴歸模型的決定係數，為何須要校正？因校正後</w:t>
      </w:r>
      <w:r w:rsidR="00203F72" w:rsidRPr="00515D85">
        <w:t>R2</w:t>
      </w:r>
      <w:r w:rsidR="00203F72" w:rsidRPr="00515D85">
        <w:t>（</w:t>
      </w:r>
      <w:r w:rsidR="00203F72" w:rsidRPr="00515D85">
        <w:t>adjusted R2</w:t>
      </w:r>
      <w:r w:rsidR="00203F72" w:rsidRPr="00515D85">
        <w:t>），可以減輕因為樣本估計帶來的</w:t>
      </w:r>
      <w:r w:rsidR="00203F72" w:rsidRPr="00515D85">
        <w:t>R2</w:t>
      </w:r>
      <w:r w:rsidR="00203F72" w:rsidRPr="00515D85">
        <w:t>膨脹與擴大之效果。</w:t>
      </w:r>
    </w:p>
    <w:p w14:paraId="1EFB3BAA" w14:textId="77777777" w:rsidR="00203F72" w:rsidRPr="00515D85" w:rsidRDefault="00CA2C52" w:rsidP="00D87D91">
      <w:r w:rsidRPr="00515D85">
        <w:t xml:space="preserve">　　</w:t>
      </w:r>
      <w:r w:rsidR="00203F72" w:rsidRPr="00515D85">
        <w:t>再者，在下述之表格中，斜率係數</w:t>
      </w:r>
      <w:r w:rsidR="00203F72" w:rsidRPr="00515D85">
        <w:t>(</w:t>
      </w:r>
      <w:r w:rsidR="00203F72" w:rsidRPr="00515D85">
        <w:t>未標準化迴歸係數</w:t>
      </w:r>
      <w:r w:rsidR="00203F72" w:rsidRPr="00515D85">
        <w:t>)</w:t>
      </w:r>
      <w:r w:rsidR="00203F72" w:rsidRPr="00515D85">
        <w:t>具有以下之特色</w:t>
      </w:r>
      <w:r w:rsidR="00203F72" w:rsidRPr="00515D85">
        <w:footnoteReference w:id="908"/>
      </w:r>
      <w:r w:rsidR="00203F72" w:rsidRPr="00515D85">
        <w:t>：</w:t>
      </w:r>
    </w:p>
    <w:p w14:paraId="272CA108" w14:textId="77777777" w:rsidR="00203F72" w:rsidRPr="00515D85" w:rsidRDefault="00CA2C52" w:rsidP="00D87D91">
      <w:r w:rsidRPr="00515D85">
        <w:t xml:space="preserve">　　</w:t>
      </w:r>
      <w:r w:rsidR="00203F72" w:rsidRPr="00515D85">
        <w:t>1</w:t>
      </w:r>
      <w:r w:rsidR="00203F72" w:rsidRPr="00515D85">
        <w:t>、斜率係數</w:t>
      </w:r>
      <w:r w:rsidR="00203F72" w:rsidRPr="00515D85">
        <w:t>(</w:t>
      </w:r>
      <w:r w:rsidR="00203F72" w:rsidRPr="00515D85">
        <w:t>迴歸係數</w:t>
      </w:r>
      <w:r w:rsidR="00203F72" w:rsidRPr="00515D85">
        <w:t>)</w:t>
      </w:r>
      <w:r w:rsidR="00203F72" w:rsidRPr="00515D85">
        <w:t>，表示對應的自變項</w:t>
      </w:r>
      <w:r w:rsidR="00203F72" w:rsidRPr="00515D85">
        <w:t>(</w:t>
      </w:r>
      <w:r w:rsidR="00203F72" w:rsidRPr="00515D85">
        <w:t>解釋變數</w:t>
      </w:r>
      <w:r w:rsidR="00203F72" w:rsidRPr="00515D85">
        <w:t>)</w:t>
      </w:r>
      <w:r w:rsidR="00203F72" w:rsidRPr="00515D85">
        <w:t>變動</w:t>
      </w:r>
      <w:r w:rsidR="00203F72" w:rsidRPr="00515D85">
        <w:t xml:space="preserve"> 1 </w:t>
      </w:r>
      <w:r w:rsidR="00203F72" w:rsidRPr="00515D85">
        <w:t>個單位時，且其他解釋變數亦是維持不變，在此情形之下，迴歸模型所預測應變數</w:t>
      </w:r>
      <w:r w:rsidR="00203F72" w:rsidRPr="00515D85">
        <w:t>(</w:t>
      </w:r>
      <w:r w:rsidR="00203F72" w:rsidRPr="00515D85">
        <w:t>依變項</w:t>
      </w:r>
      <w:r w:rsidR="00203F72" w:rsidRPr="00515D85">
        <w:t xml:space="preserve">) Y </w:t>
      </w:r>
      <w:r w:rsidR="00203F72" w:rsidRPr="00515D85">
        <w:t>的變動幅度；</w:t>
      </w:r>
    </w:p>
    <w:p w14:paraId="762A7330" w14:textId="77777777" w:rsidR="00203F72" w:rsidRPr="00515D85" w:rsidRDefault="00CA2C52" w:rsidP="00D87D91">
      <w:r w:rsidRPr="00515D85">
        <w:t xml:space="preserve">　　</w:t>
      </w:r>
      <w:r w:rsidR="00203F72" w:rsidRPr="00515D85">
        <w:t>2</w:t>
      </w:r>
      <w:r w:rsidR="00203F72" w:rsidRPr="00515D85">
        <w:t>、在控制其他變數可能產生的影響之後，斜率係數之意義，代表該解釋變數</w:t>
      </w:r>
      <w:r w:rsidR="00203F72" w:rsidRPr="00515D85">
        <w:t>(</w:t>
      </w:r>
      <w:r w:rsidR="00203F72" w:rsidRPr="00515D85">
        <w:t>自變項</w:t>
      </w:r>
      <w:r w:rsidR="00203F72" w:rsidRPr="00515D85">
        <w:t>)</w:t>
      </w:r>
      <w:r w:rsidR="00203F72" w:rsidRPr="00515D85">
        <w:t>的「淨」效果；</w:t>
      </w:r>
    </w:p>
    <w:p w14:paraId="5591FCFC" w14:textId="77777777" w:rsidR="00953151" w:rsidRPr="00515D85" w:rsidRDefault="00CA2C52" w:rsidP="00D87D91">
      <w:r w:rsidRPr="00515D85">
        <w:t xml:space="preserve">　　</w:t>
      </w:r>
      <w:r w:rsidR="00203F72" w:rsidRPr="00515D85">
        <w:t>3</w:t>
      </w:r>
      <w:r w:rsidR="00203F72" w:rsidRPr="00515D85">
        <w:t>、解釋變數亦被命名為「控制變數」。</w:t>
      </w:r>
    </w:p>
    <w:p w14:paraId="5CA335D3" w14:textId="77777777" w:rsidR="00953151" w:rsidRPr="00515D85" w:rsidRDefault="00CA2C52" w:rsidP="00D87D91">
      <w:r w:rsidRPr="00515D85">
        <w:t xml:space="preserve">　　</w:t>
      </w:r>
      <w:r w:rsidR="00203F72" w:rsidRPr="00515D85">
        <w:t>根據下表「被執行死刑總人數對於殺人犯罪發生件數短期效應之影響表」之實證調查統計數據，在短期效應（執行死刑之當月、後第一個月、後第</w:t>
      </w:r>
      <w:r w:rsidR="00203F72" w:rsidRPr="00515D85">
        <w:t>2</w:t>
      </w:r>
      <w:r w:rsidR="00203F72" w:rsidRPr="00515D85">
        <w:t>個月，後第</w:t>
      </w:r>
      <w:r w:rsidR="00203F72" w:rsidRPr="00515D85">
        <w:t>3</w:t>
      </w:r>
      <w:r w:rsidR="00203F72" w:rsidRPr="00515D85">
        <w:t>個月及後第</w:t>
      </w:r>
      <w:r w:rsidR="00203F72" w:rsidRPr="00515D85">
        <w:t>4</w:t>
      </w:r>
      <w:r w:rsidR="00203F72" w:rsidRPr="00515D85">
        <w:t>個月）部分，死刑在短期上，會實質性地助長殺人犯罪之發生。法務部當月執行死刑之人數，會助長當月殺人犯罪案件之發生，修正後之</w:t>
      </w:r>
      <w:r w:rsidR="00203F72" w:rsidRPr="00515D85">
        <w:t>R2</w:t>
      </w:r>
      <w:r w:rsidR="00203F72" w:rsidRPr="00515D85">
        <w:t>＝</w:t>
      </w:r>
      <w:r w:rsidR="00203F72" w:rsidRPr="00515D85">
        <w:t>0.0245</w:t>
      </w:r>
      <w:r w:rsidR="00203F72" w:rsidRPr="00515D85">
        <w:t>；亦即，當月殺人案件發生之百分比例變異量，有</w:t>
      </w:r>
      <w:r w:rsidR="00203F72" w:rsidRPr="00515D85">
        <w:t>2.45</w:t>
      </w:r>
      <w:r w:rsidR="00203F72" w:rsidRPr="00515D85">
        <w:t>％之解釋量比重，係因法務部當月執行死刑所導致。法務部當月執行死刑之人數，亦會助長後一個月殺人犯罪案件之發生，修正後之</w:t>
      </w:r>
      <w:r w:rsidR="00203F72" w:rsidRPr="00515D85">
        <w:t>R2</w:t>
      </w:r>
      <w:r w:rsidR="00203F72" w:rsidRPr="00515D85">
        <w:t>＝</w:t>
      </w:r>
      <w:r w:rsidR="00203F72" w:rsidRPr="00515D85">
        <w:t>0.0245</w:t>
      </w:r>
      <w:r w:rsidR="00203F72" w:rsidRPr="00515D85">
        <w:t>；亦即，當月殺人案件發生之百分比例變異量，有</w:t>
      </w:r>
      <w:r w:rsidR="00203F72" w:rsidRPr="00515D85">
        <w:t>2.45</w:t>
      </w:r>
      <w:r w:rsidR="00203F72" w:rsidRPr="00515D85">
        <w:t>％之解釋量比重，係因法務部當月執行死刑所導致。法務部當月執行死刑之人數，亦會助長後一個月殺人犯罪案件之發生，修正後之</w:t>
      </w:r>
      <w:r w:rsidR="00203F72" w:rsidRPr="00515D85">
        <w:t>R2</w:t>
      </w:r>
      <w:r w:rsidR="00203F72" w:rsidRPr="00515D85">
        <w:t>＝</w:t>
      </w:r>
      <w:r w:rsidR="00203F72" w:rsidRPr="00515D85">
        <w:t>0.0840</w:t>
      </w:r>
      <w:r w:rsidR="00203F72" w:rsidRPr="00515D85">
        <w:t>；亦即，在後第一個月殺人案件發生之百分比例變異量之中，有</w:t>
      </w:r>
      <w:r w:rsidR="00203F72" w:rsidRPr="00515D85">
        <w:t>8.4%</w:t>
      </w:r>
      <w:r w:rsidR="00203F72" w:rsidRPr="00515D85">
        <w:t>解釋量之比重，係因上一個月執行死刑所導致之結果。</w:t>
      </w:r>
    </w:p>
    <w:p w14:paraId="7C54B72A" w14:textId="77777777" w:rsidR="00953151" w:rsidRPr="00515D85" w:rsidRDefault="00CA2C52" w:rsidP="00D87D91">
      <w:r w:rsidRPr="00515D85">
        <w:t xml:space="preserve">　　</w:t>
      </w:r>
      <w:r w:rsidR="00203F72" w:rsidRPr="00515D85">
        <w:t>再者，當月執行死刑之人數，亦會助長後第兩個月殺人犯罪案件之發生，修正後之</w:t>
      </w:r>
      <w:r w:rsidR="00203F72" w:rsidRPr="00515D85">
        <w:t>R2</w:t>
      </w:r>
      <w:r w:rsidR="00203F72" w:rsidRPr="00515D85">
        <w:t>＝</w:t>
      </w:r>
      <w:r w:rsidR="00203F72" w:rsidRPr="00515D85">
        <w:t>0.0274</w:t>
      </w:r>
      <w:r w:rsidR="00203F72" w:rsidRPr="00515D85">
        <w:t>；亦即，在後第</w:t>
      </w:r>
      <w:r w:rsidR="00203F72" w:rsidRPr="00515D85">
        <w:t>2</w:t>
      </w:r>
      <w:r w:rsidR="00203F72" w:rsidRPr="00515D85">
        <w:t>個月殺人案件發生之百分比例變異量之中，有</w:t>
      </w:r>
      <w:r w:rsidR="00203F72" w:rsidRPr="00515D85">
        <w:t>2.74</w:t>
      </w:r>
      <w:r w:rsidR="00203F72" w:rsidRPr="00515D85">
        <w:t>％解釋量之比重，係因前</w:t>
      </w:r>
      <w:r w:rsidR="00203F72" w:rsidRPr="00515D85">
        <w:t>2</w:t>
      </w:r>
      <w:r w:rsidR="00203F72" w:rsidRPr="00515D85">
        <w:t>個月執行死刑所引發之結果。當月執行死刑之人數，亦會助長後第</w:t>
      </w:r>
      <w:r w:rsidR="00203F72" w:rsidRPr="00515D85">
        <w:t>3</w:t>
      </w:r>
      <w:r w:rsidR="00203F72" w:rsidRPr="00515D85">
        <w:t>個月殺人犯罪案件之發生，修正後之</w:t>
      </w:r>
      <w:r w:rsidR="00203F72" w:rsidRPr="00515D85">
        <w:t>R2</w:t>
      </w:r>
      <w:r w:rsidR="00203F72" w:rsidRPr="00515D85">
        <w:t>＝</w:t>
      </w:r>
      <w:r w:rsidR="00203F72" w:rsidRPr="00515D85">
        <w:t>0.0232</w:t>
      </w:r>
      <w:r w:rsidR="00203F72" w:rsidRPr="00515D85">
        <w:t>；亦即，在後第</w:t>
      </w:r>
      <w:r w:rsidR="00203F72" w:rsidRPr="00515D85">
        <w:t>3</w:t>
      </w:r>
      <w:r w:rsidR="00203F72" w:rsidRPr="00515D85">
        <w:t>個月殺人案件發生之百分比例變異量之中，有</w:t>
      </w:r>
      <w:r w:rsidR="00203F72" w:rsidRPr="00515D85">
        <w:t>2.32</w:t>
      </w:r>
      <w:r w:rsidR="00203F72" w:rsidRPr="00515D85">
        <w:t>％解釋之比重，係因前</w:t>
      </w:r>
      <w:r w:rsidR="00203F72" w:rsidRPr="00515D85">
        <w:t>3</w:t>
      </w:r>
      <w:r w:rsidR="00203F72" w:rsidRPr="00515D85">
        <w:t>個月執行死刑所導致之結果。</w:t>
      </w:r>
    </w:p>
    <w:p w14:paraId="5903CC74" w14:textId="77777777" w:rsidR="00953151" w:rsidRPr="00515D85" w:rsidRDefault="00CA2C52" w:rsidP="00D87D91">
      <w:r>
        <w:rPr>
          <w:rFonts w:ascii="新細明體" w:hAnsi="新細明體"/>
          <w:kern w:val="0"/>
        </w:rPr>
        <w:t xml:space="preserve">　　</w:t>
      </w:r>
      <w:r w:rsidR="00203F72" w:rsidRPr="00A53581">
        <w:rPr>
          <w:rFonts w:ascii="新細明體" w:hAnsi="新細明體"/>
          <w:kern w:val="0"/>
        </w:rPr>
        <w:t>當月執行死刑之人數，仍會促進第4個月殺人犯罪案件之發生，修正後之R</w:t>
      </w:r>
      <w:r w:rsidR="00203F72" w:rsidRPr="00A53581">
        <w:rPr>
          <w:rFonts w:ascii="新細明體" w:hAnsi="新細明體"/>
          <w:kern w:val="0"/>
          <w:vertAlign w:val="superscript"/>
        </w:rPr>
        <w:t>2</w:t>
      </w:r>
      <w:r w:rsidR="00203F72" w:rsidRPr="00A53581">
        <w:rPr>
          <w:rFonts w:ascii="新細明體" w:hAnsi="新細明體"/>
          <w:kern w:val="0"/>
        </w:rPr>
        <w:t>＝0.0436；亦即，在後第4個月殺人案件發生之百分比例變異量之中，有4.36％解釋</w:t>
      </w:r>
      <w:r w:rsidR="00203F72" w:rsidRPr="00515D85">
        <w:t>量之比重，係因前</w:t>
      </w:r>
      <w:r w:rsidR="00203F72" w:rsidRPr="00515D85">
        <w:t>4</w:t>
      </w:r>
      <w:r w:rsidR="00203F72" w:rsidRPr="00515D85">
        <w:t>個月國家執行死刑所導致之結果。綜上，死刑之執行，對於當月、後第</w:t>
      </w:r>
      <w:r w:rsidR="00203F72" w:rsidRPr="00515D85">
        <w:t>1</w:t>
      </w:r>
      <w:r w:rsidR="00203F72" w:rsidRPr="00515D85">
        <w:t>個月、後第</w:t>
      </w:r>
      <w:r w:rsidR="00203F72" w:rsidRPr="00515D85">
        <w:t>2</w:t>
      </w:r>
      <w:r w:rsidR="00203F72" w:rsidRPr="00515D85">
        <w:t>個月、後第</w:t>
      </w:r>
      <w:r w:rsidR="00203F72" w:rsidRPr="00515D85">
        <w:t>3</w:t>
      </w:r>
      <w:r w:rsidR="00203F72" w:rsidRPr="00515D85">
        <w:t>個月及後第</w:t>
      </w:r>
      <w:r w:rsidR="00203F72" w:rsidRPr="00515D85">
        <w:t>4</w:t>
      </w:r>
      <w:r w:rsidR="00203F72" w:rsidRPr="00515D85">
        <w:t>個月之殺人犯罪案件之發生，具有實質性之助長與推波助瀾之效果，此種助長效應，並均已達統計上之顯著水準。由此可見，就短期效應而論，死刑不僅無法抑制殺人犯罪之發生，尚且會助長殺人犯罪案件之發生。在此種情況下，假若吾人仍支持死刑，即表示贊同殺人犯罪案件可不斷地令其發生。上述之心態，令人可議。正常之推理，宜廢除死刑為佳，俾利降低殺人犯罪案件之發生。可見，以殺無法止殺，唯有廢除死刑，始可降低殺人犯罪案件之發生。</w:t>
      </w:r>
    </w:p>
    <w:p w14:paraId="01C76446" w14:textId="4872D659"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102</w:t>
      </w:r>
      <w:r w:rsidR="00076467">
        <w:rPr>
          <w:noProof/>
        </w:rPr>
        <w:fldChar w:fldCharType="end"/>
      </w:r>
      <w:r w:rsidR="00203F72" w:rsidRPr="00A53581">
        <w:t xml:space="preserve"> </w:t>
      </w:r>
      <w:r w:rsidR="00203F72" w:rsidRPr="00A53581">
        <w:t>被執行死刑總人數</w:t>
      </w:r>
      <w:r w:rsidR="00203F72" w:rsidRPr="00A53581">
        <w:t>(</w:t>
      </w:r>
      <w:r w:rsidR="00203F72" w:rsidRPr="00A53581">
        <w:t>自變項</w:t>
      </w:r>
      <w:r w:rsidR="00203F72" w:rsidRPr="00A53581">
        <w:t>)</w:t>
      </w:r>
      <w:r w:rsidR="00203F72" w:rsidRPr="00A53581">
        <w:t>對殺人犯罪發生件數</w:t>
      </w:r>
      <w:r w:rsidR="00203F72" w:rsidRPr="00A53581">
        <w:t>(</w:t>
      </w:r>
      <w:r w:rsidR="00203F72" w:rsidRPr="00A53581">
        <w:t>依變項</w:t>
      </w:r>
      <w:r w:rsidR="00203F72" w:rsidRPr="00A53581">
        <w:t>)</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80"/>
        <w:gridCol w:w="1144"/>
        <w:gridCol w:w="1048"/>
        <w:gridCol w:w="1225"/>
        <w:gridCol w:w="1143"/>
        <w:gridCol w:w="1200"/>
      </w:tblGrid>
      <w:tr w:rsidR="00203F72" w:rsidRPr="00A53581" w14:paraId="55020471" w14:textId="77777777" w:rsidTr="00703176">
        <w:trPr>
          <w:tblHeader/>
        </w:trPr>
        <w:tc>
          <w:tcPr>
            <w:tcW w:w="1428" w:type="dxa"/>
            <w:shd w:val="clear" w:color="auto" w:fill="FAF0FA"/>
          </w:tcPr>
          <w:p w14:paraId="595E74A5" w14:textId="77777777" w:rsidR="00203F72" w:rsidRPr="00A53581" w:rsidRDefault="00203F72" w:rsidP="00D87D91">
            <w:r w:rsidRPr="00A53581">
              <w:t>被執行死刑總人數對殺人犯罪發生件數之影響</w:t>
            </w:r>
          </w:p>
        </w:tc>
        <w:tc>
          <w:tcPr>
            <w:tcW w:w="1080" w:type="dxa"/>
            <w:shd w:val="clear" w:color="auto" w:fill="FAF0FA"/>
          </w:tcPr>
          <w:p w14:paraId="17ADC606" w14:textId="77777777" w:rsidR="00203F72" w:rsidRPr="00A53581" w:rsidRDefault="00203F72" w:rsidP="00D87D91">
            <w:r w:rsidRPr="00A53581">
              <w:t>a</w:t>
            </w:r>
          </w:p>
          <w:p w14:paraId="009283C3" w14:textId="77777777" w:rsidR="00203F72" w:rsidRPr="00A53581" w:rsidRDefault="00203F72" w:rsidP="00D87D91">
            <w:r w:rsidRPr="00A53581">
              <w:t>常數</w:t>
            </w:r>
          </w:p>
        </w:tc>
        <w:tc>
          <w:tcPr>
            <w:tcW w:w="1144" w:type="dxa"/>
            <w:shd w:val="clear" w:color="auto" w:fill="FAF0FA"/>
          </w:tcPr>
          <w:p w14:paraId="0FD5906E" w14:textId="77777777" w:rsidR="00203F72" w:rsidRPr="00A53581" w:rsidRDefault="00203F72" w:rsidP="00D87D91">
            <w:r w:rsidRPr="00A53581">
              <w:t>b</w:t>
            </w:r>
          </w:p>
          <w:p w14:paraId="0F129578" w14:textId="77777777" w:rsidR="00203F72" w:rsidRPr="00A53581" w:rsidRDefault="00203F72" w:rsidP="00D87D91">
            <w:r w:rsidRPr="00A53581">
              <w:t>斜率</w:t>
            </w:r>
            <w:r w:rsidRPr="00A53581">
              <w:t xml:space="preserve"> (</w:t>
            </w:r>
            <w:r w:rsidRPr="00A53581">
              <w:t>未標準化迴歸係數</w:t>
            </w:r>
            <w:r w:rsidRPr="00A53581">
              <w:t>)</w:t>
            </w:r>
          </w:p>
        </w:tc>
        <w:tc>
          <w:tcPr>
            <w:tcW w:w="1048" w:type="dxa"/>
            <w:shd w:val="clear" w:color="auto" w:fill="FAF0FA"/>
          </w:tcPr>
          <w:p w14:paraId="56FCE2D7" w14:textId="77777777" w:rsidR="00203F72" w:rsidRPr="00A53581" w:rsidRDefault="00203F72" w:rsidP="00D87D91">
            <w:r w:rsidRPr="00A53581">
              <w:t>t</w:t>
            </w:r>
          </w:p>
          <w:p w14:paraId="3E9723D1" w14:textId="77777777" w:rsidR="00203F72" w:rsidRPr="00A53581" w:rsidRDefault="00203F72" w:rsidP="00D87D91">
            <w:r w:rsidRPr="00A53581">
              <w:t>值</w:t>
            </w:r>
          </w:p>
        </w:tc>
        <w:tc>
          <w:tcPr>
            <w:tcW w:w="1225" w:type="dxa"/>
            <w:shd w:val="clear" w:color="auto" w:fill="FAF0FA"/>
          </w:tcPr>
          <w:p w14:paraId="4745D2A8" w14:textId="77777777" w:rsidR="00203F72" w:rsidRPr="00A53581" w:rsidRDefault="00203F72" w:rsidP="00D87D91">
            <w:r w:rsidRPr="00A53581">
              <w:t>t</w:t>
            </w:r>
            <w:r w:rsidRPr="00A53581">
              <w:t>值</w:t>
            </w:r>
          </w:p>
          <w:p w14:paraId="5CAF46AE" w14:textId="77777777" w:rsidR="00203F72" w:rsidRPr="00A53581" w:rsidRDefault="00203F72" w:rsidP="00D87D91">
            <w:r w:rsidRPr="00A53581">
              <w:t>顯著性</w:t>
            </w:r>
          </w:p>
        </w:tc>
        <w:tc>
          <w:tcPr>
            <w:tcW w:w="1143" w:type="dxa"/>
            <w:shd w:val="clear" w:color="auto" w:fill="FAF0FA"/>
          </w:tcPr>
          <w:p w14:paraId="4B375E46" w14:textId="77777777" w:rsidR="00203F72" w:rsidRPr="00A53581" w:rsidRDefault="00203F72" w:rsidP="00D87D91">
            <w:r w:rsidRPr="00A53581">
              <w:t>模式</w:t>
            </w:r>
          </w:p>
          <w:p w14:paraId="26286DD6" w14:textId="77777777" w:rsidR="00203F72" w:rsidRPr="00A53581" w:rsidRDefault="00203F72" w:rsidP="00D87D91">
            <w:r w:rsidRPr="00A53581">
              <w:t>R</w:t>
            </w:r>
            <w:r w:rsidRPr="00A53581">
              <w:rPr>
                <w:vertAlign w:val="superscript"/>
              </w:rPr>
              <w:t>2</w:t>
            </w:r>
          </w:p>
          <w:p w14:paraId="780A6C60" w14:textId="77777777" w:rsidR="00203F72" w:rsidRPr="00A53581" w:rsidRDefault="00203F72" w:rsidP="00D87D91">
            <w:pPr>
              <w:rPr>
                <w:vertAlign w:val="superscript"/>
              </w:rPr>
            </w:pPr>
            <w:r w:rsidRPr="00A53581">
              <w:t>adjusted R</w:t>
            </w:r>
            <w:r w:rsidRPr="00A53581">
              <w:rPr>
                <w:vertAlign w:val="superscript"/>
              </w:rPr>
              <w:t>2</w:t>
            </w:r>
          </w:p>
          <w:p w14:paraId="42ECA393" w14:textId="77777777" w:rsidR="00203F72" w:rsidRPr="00A53581" w:rsidRDefault="00203F72" w:rsidP="00D87D91"/>
        </w:tc>
        <w:tc>
          <w:tcPr>
            <w:tcW w:w="1200" w:type="dxa"/>
            <w:shd w:val="clear" w:color="auto" w:fill="FAF0FA"/>
          </w:tcPr>
          <w:p w14:paraId="0B4C0C42" w14:textId="77777777" w:rsidR="00203F72" w:rsidRPr="00A53581" w:rsidRDefault="00203F72" w:rsidP="00D87D91">
            <w:r w:rsidRPr="00A53581">
              <w:t>模式</w:t>
            </w:r>
          </w:p>
          <w:p w14:paraId="7F7EE8E2" w14:textId="77777777" w:rsidR="00203F72" w:rsidRPr="00A53581" w:rsidRDefault="00203F72" w:rsidP="00D87D91">
            <w:r w:rsidRPr="00A53581">
              <w:t>F</w:t>
            </w:r>
          </w:p>
          <w:p w14:paraId="42B92D0C" w14:textId="77777777" w:rsidR="00203F72" w:rsidRPr="00A53581" w:rsidRDefault="00203F72" w:rsidP="00D87D91">
            <w:r w:rsidRPr="00A53581">
              <w:t>值</w:t>
            </w:r>
          </w:p>
        </w:tc>
      </w:tr>
      <w:tr w:rsidR="00203F72" w:rsidRPr="00A53581" w14:paraId="2F9189F8" w14:textId="77777777" w:rsidTr="00203F72">
        <w:tc>
          <w:tcPr>
            <w:tcW w:w="1428" w:type="dxa"/>
            <w:shd w:val="clear" w:color="auto" w:fill="auto"/>
          </w:tcPr>
          <w:p w14:paraId="49715025" w14:textId="77777777" w:rsidR="00203F72" w:rsidRPr="00A53581" w:rsidRDefault="00203F72" w:rsidP="00D87D91">
            <w:r w:rsidRPr="00A53581">
              <w:t>當月效果</w:t>
            </w:r>
          </w:p>
        </w:tc>
        <w:tc>
          <w:tcPr>
            <w:tcW w:w="1080" w:type="dxa"/>
            <w:shd w:val="clear" w:color="auto" w:fill="auto"/>
          </w:tcPr>
          <w:p w14:paraId="1B1C8744" w14:textId="77777777" w:rsidR="00203F72" w:rsidRPr="00A53581" w:rsidRDefault="00203F72" w:rsidP="00D87D91">
            <w:r w:rsidRPr="00A53581">
              <w:t>120.976</w:t>
            </w:r>
          </w:p>
        </w:tc>
        <w:tc>
          <w:tcPr>
            <w:tcW w:w="1144" w:type="dxa"/>
            <w:shd w:val="clear" w:color="auto" w:fill="auto"/>
          </w:tcPr>
          <w:p w14:paraId="307DFDCB" w14:textId="77777777" w:rsidR="00203F72" w:rsidRPr="00A53581" w:rsidRDefault="00203F72" w:rsidP="00D87D91">
            <w:r w:rsidRPr="00A53581">
              <w:t>1.327</w:t>
            </w:r>
          </w:p>
        </w:tc>
        <w:tc>
          <w:tcPr>
            <w:tcW w:w="1048" w:type="dxa"/>
            <w:shd w:val="clear" w:color="auto" w:fill="auto"/>
          </w:tcPr>
          <w:p w14:paraId="6C7E1029" w14:textId="77777777" w:rsidR="00203F72" w:rsidRPr="00A53581" w:rsidRDefault="00203F72" w:rsidP="00D87D91">
            <w:r w:rsidRPr="00A53581">
              <w:t>2.072</w:t>
            </w:r>
          </w:p>
        </w:tc>
        <w:tc>
          <w:tcPr>
            <w:tcW w:w="1225" w:type="dxa"/>
            <w:shd w:val="clear" w:color="auto" w:fill="auto"/>
          </w:tcPr>
          <w:p w14:paraId="3B3EF6AC" w14:textId="77777777" w:rsidR="00203F72" w:rsidRPr="00A53581" w:rsidRDefault="00203F72" w:rsidP="00D87D91">
            <w:r w:rsidRPr="00A53581">
              <w:t>.0402</w:t>
            </w:r>
            <w:r w:rsidRPr="00A53581">
              <w:rPr>
                <w:position w:val="10"/>
              </w:rPr>
              <w:t>﹡</w:t>
            </w:r>
          </w:p>
        </w:tc>
        <w:tc>
          <w:tcPr>
            <w:tcW w:w="1143" w:type="dxa"/>
            <w:shd w:val="clear" w:color="auto" w:fill="auto"/>
          </w:tcPr>
          <w:p w14:paraId="7989EF09" w14:textId="77777777" w:rsidR="00203F72" w:rsidRPr="00A53581" w:rsidRDefault="00203F72" w:rsidP="00D87D91">
            <w:r w:rsidRPr="00A53581">
              <w:t>.0320</w:t>
            </w:r>
          </w:p>
          <w:p w14:paraId="3BA42235" w14:textId="77777777" w:rsidR="00203F72" w:rsidRPr="00A53581" w:rsidRDefault="00203F72" w:rsidP="00D87D91">
            <w:r w:rsidRPr="00A53581">
              <w:t>.0245</w:t>
            </w:r>
          </w:p>
        </w:tc>
        <w:tc>
          <w:tcPr>
            <w:tcW w:w="1200" w:type="dxa"/>
            <w:shd w:val="clear" w:color="auto" w:fill="auto"/>
          </w:tcPr>
          <w:p w14:paraId="22C12180" w14:textId="77777777" w:rsidR="00203F72" w:rsidRPr="00A53581" w:rsidRDefault="00203F72" w:rsidP="00D87D91">
            <w:r w:rsidRPr="00A53581">
              <w:t>4.2949</w:t>
            </w:r>
          </w:p>
          <w:p w14:paraId="662EE199" w14:textId="77777777" w:rsidR="00203F72" w:rsidRPr="00A53581" w:rsidRDefault="00203F72" w:rsidP="00D87D91">
            <w:r w:rsidRPr="00A53581">
              <w:t>(.0402</w:t>
            </w:r>
            <w:r w:rsidRPr="00A53581">
              <w:rPr>
                <w:position w:val="10"/>
              </w:rPr>
              <w:t>﹡</w:t>
            </w:r>
            <w:r w:rsidRPr="00A53581">
              <w:t>)</w:t>
            </w:r>
          </w:p>
        </w:tc>
      </w:tr>
      <w:tr w:rsidR="00203F72" w:rsidRPr="00A53581" w14:paraId="7617AEF9" w14:textId="77777777" w:rsidTr="00203F72">
        <w:tc>
          <w:tcPr>
            <w:tcW w:w="1428" w:type="dxa"/>
            <w:shd w:val="clear" w:color="auto" w:fill="auto"/>
          </w:tcPr>
          <w:p w14:paraId="7D66AB55" w14:textId="77777777" w:rsidR="00203F72" w:rsidRPr="00A53581" w:rsidRDefault="00203F72" w:rsidP="00D87D91">
            <w:r w:rsidRPr="00A53581">
              <w:t>延遲一月效果</w:t>
            </w:r>
          </w:p>
        </w:tc>
        <w:tc>
          <w:tcPr>
            <w:tcW w:w="1080" w:type="dxa"/>
            <w:shd w:val="clear" w:color="auto" w:fill="auto"/>
          </w:tcPr>
          <w:p w14:paraId="66C7DD94" w14:textId="77777777" w:rsidR="00203F72" w:rsidRPr="00A53581" w:rsidRDefault="00203F72" w:rsidP="00D87D91">
            <w:r w:rsidRPr="00A53581">
              <w:t>119.318</w:t>
            </w:r>
          </w:p>
        </w:tc>
        <w:tc>
          <w:tcPr>
            <w:tcW w:w="1144" w:type="dxa"/>
            <w:shd w:val="clear" w:color="auto" w:fill="auto"/>
          </w:tcPr>
          <w:p w14:paraId="1C8C60CB" w14:textId="77777777" w:rsidR="00203F72" w:rsidRPr="00A53581" w:rsidRDefault="00203F72" w:rsidP="00D87D91">
            <w:r w:rsidRPr="00A53581">
              <w:t>2.221</w:t>
            </w:r>
          </w:p>
        </w:tc>
        <w:tc>
          <w:tcPr>
            <w:tcW w:w="1048" w:type="dxa"/>
            <w:shd w:val="clear" w:color="auto" w:fill="auto"/>
          </w:tcPr>
          <w:p w14:paraId="506A000C" w14:textId="77777777" w:rsidR="00203F72" w:rsidRPr="00A53581" w:rsidRDefault="00203F72" w:rsidP="00D87D91">
            <w:r w:rsidRPr="00A53581">
              <w:t>3.595</w:t>
            </w:r>
          </w:p>
        </w:tc>
        <w:tc>
          <w:tcPr>
            <w:tcW w:w="1225" w:type="dxa"/>
            <w:shd w:val="clear" w:color="auto" w:fill="auto"/>
          </w:tcPr>
          <w:p w14:paraId="0D909DF6" w14:textId="77777777" w:rsidR="00203F72" w:rsidRPr="00A53581" w:rsidRDefault="00203F72" w:rsidP="00D87D91">
            <w:r w:rsidRPr="00A53581">
              <w:t>.0005</w:t>
            </w:r>
            <w:r w:rsidRPr="00A53581">
              <w:rPr>
                <w:position w:val="10"/>
              </w:rPr>
              <w:t>﹡</w:t>
            </w:r>
          </w:p>
        </w:tc>
        <w:tc>
          <w:tcPr>
            <w:tcW w:w="1143" w:type="dxa"/>
            <w:shd w:val="clear" w:color="auto" w:fill="auto"/>
          </w:tcPr>
          <w:p w14:paraId="0008926E" w14:textId="77777777" w:rsidR="00203F72" w:rsidRPr="00A53581" w:rsidRDefault="00203F72" w:rsidP="00D87D91">
            <w:r w:rsidRPr="00A53581">
              <w:t>.0911</w:t>
            </w:r>
          </w:p>
          <w:p w14:paraId="63E631F1" w14:textId="77777777" w:rsidR="00203F72" w:rsidRPr="00A53581" w:rsidRDefault="00203F72" w:rsidP="00D87D91">
            <w:r w:rsidRPr="00A53581">
              <w:t>.0840</w:t>
            </w:r>
          </w:p>
        </w:tc>
        <w:tc>
          <w:tcPr>
            <w:tcW w:w="1200" w:type="dxa"/>
            <w:shd w:val="clear" w:color="auto" w:fill="auto"/>
          </w:tcPr>
          <w:p w14:paraId="1116DC4C" w14:textId="77777777" w:rsidR="00203F72" w:rsidRPr="00A53581" w:rsidRDefault="00203F72" w:rsidP="00D87D91">
            <w:r w:rsidRPr="00A53581">
              <w:t>12.9275</w:t>
            </w:r>
          </w:p>
          <w:p w14:paraId="350E0662" w14:textId="77777777" w:rsidR="00203F72" w:rsidRPr="00A53581" w:rsidRDefault="00203F72" w:rsidP="00D87D91">
            <w:r w:rsidRPr="00A53581">
              <w:t>(.0005</w:t>
            </w:r>
            <w:r w:rsidRPr="00A53581">
              <w:rPr>
                <w:position w:val="10"/>
              </w:rPr>
              <w:t>﹡</w:t>
            </w:r>
            <w:r w:rsidRPr="00A53581">
              <w:t>)</w:t>
            </w:r>
          </w:p>
        </w:tc>
      </w:tr>
      <w:tr w:rsidR="00203F72" w:rsidRPr="00A53581" w14:paraId="4C48674A" w14:textId="77777777" w:rsidTr="00203F72">
        <w:tc>
          <w:tcPr>
            <w:tcW w:w="1428" w:type="dxa"/>
            <w:shd w:val="clear" w:color="auto" w:fill="auto"/>
          </w:tcPr>
          <w:p w14:paraId="05A06A57" w14:textId="77777777" w:rsidR="00203F72" w:rsidRPr="00A53581" w:rsidRDefault="00203F72" w:rsidP="00D87D91">
            <w:r w:rsidRPr="00A53581">
              <w:t>延遲二月效果</w:t>
            </w:r>
          </w:p>
        </w:tc>
        <w:tc>
          <w:tcPr>
            <w:tcW w:w="1080" w:type="dxa"/>
            <w:shd w:val="clear" w:color="auto" w:fill="auto"/>
          </w:tcPr>
          <w:p w14:paraId="761C4406" w14:textId="77777777" w:rsidR="00203F72" w:rsidRPr="00A53581" w:rsidRDefault="00203F72" w:rsidP="00D87D91">
            <w:r w:rsidRPr="00A53581">
              <w:t>120.987</w:t>
            </w:r>
          </w:p>
        </w:tc>
        <w:tc>
          <w:tcPr>
            <w:tcW w:w="1144" w:type="dxa"/>
            <w:shd w:val="clear" w:color="auto" w:fill="auto"/>
          </w:tcPr>
          <w:p w14:paraId="356A91C4" w14:textId="77777777" w:rsidR="00203F72" w:rsidRPr="00A53581" w:rsidRDefault="00203F72" w:rsidP="00D87D91">
            <w:r w:rsidRPr="00A53581">
              <w:t>1.375</w:t>
            </w:r>
          </w:p>
        </w:tc>
        <w:tc>
          <w:tcPr>
            <w:tcW w:w="1048" w:type="dxa"/>
            <w:shd w:val="clear" w:color="auto" w:fill="auto"/>
          </w:tcPr>
          <w:p w14:paraId="5466E225" w14:textId="77777777" w:rsidR="00203F72" w:rsidRPr="00A53581" w:rsidRDefault="00203F72" w:rsidP="00D87D91">
            <w:r w:rsidRPr="00A53581">
              <w:t>2.152</w:t>
            </w:r>
          </w:p>
        </w:tc>
        <w:tc>
          <w:tcPr>
            <w:tcW w:w="1225" w:type="dxa"/>
            <w:shd w:val="clear" w:color="auto" w:fill="auto"/>
          </w:tcPr>
          <w:p w14:paraId="09FE8C66" w14:textId="77777777" w:rsidR="00203F72" w:rsidRPr="00A53581" w:rsidRDefault="00203F72" w:rsidP="00D87D91">
            <w:r w:rsidRPr="00A53581">
              <w:t>.0333</w:t>
            </w:r>
            <w:r w:rsidRPr="00A53581">
              <w:rPr>
                <w:position w:val="10"/>
              </w:rPr>
              <w:t>﹡</w:t>
            </w:r>
          </w:p>
        </w:tc>
        <w:tc>
          <w:tcPr>
            <w:tcW w:w="1143" w:type="dxa"/>
            <w:shd w:val="clear" w:color="auto" w:fill="auto"/>
          </w:tcPr>
          <w:p w14:paraId="055CC833" w14:textId="77777777" w:rsidR="00203F72" w:rsidRPr="00A53581" w:rsidRDefault="00203F72" w:rsidP="00D87D91">
            <w:r w:rsidRPr="00A53581">
              <w:t>.1349</w:t>
            </w:r>
          </w:p>
          <w:p w14:paraId="53790745" w14:textId="77777777" w:rsidR="00203F72" w:rsidRPr="00A53581" w:rsidRDefault="00203F72" w:rsidP="00D87D91">
            <w:r w:rsidRPr="00A53581">
              <w:t>.0274</w:t>
            </w:r>
          </w:p>
        </w:tc>
        <w:tc>
          <w:tcPr>
            <w:tcW w:w="1200" w:type="dxa"/>
            <w:shd w:val="clear" w:color="auto" w:fill="auto"/>
          </w:tcPr>
          <w:p w14:paraId="6518CB7D" w14:textId="77777777" w:rsidR="00203F72" w:rsidRPr="00A53581" w:rsidRDefault="00203F72" w:rsidP="00D87D91">
            <w:r w:rsidRPr="00A53581">
              <w:t>4.6318</w:t>
            </w:r>
          </w:p>
          <w:p w14:paraId="03436A0F" w14:textId="77777777" w:rsidR="00203F72" w:rsidRPr="00A53581" w:rsidRDefault="00203F72" w:rsidP="00D87D91">
            <w:r w:rsidRPr="00A53581">
              <w:t>(.0333</w:t>
            </w:r>
            <w:r w:rsidRPr="00A53581">
              <w:rPr>
                <w:position w:val="10"/>
              </w:rPr>
              <w:t>﹡</w:t>
            </w:r>
            <w:r w:rsidRPr="00A53581">
              <w:t>)</w:t>
            </w:r>
          </w:p>
        </w:tc>
      </w:tr>
      <w:tr w:rsidR="00203F72" w:rsidRPr="00A53581" w14:paraId="1DF683DD" w14:textId="77777777" w:rsidTr="00203F72">
        <w:tc>
          <w:tcPr>
            <w:tcW w:w="1428" w:type="dxa"/>
            <w:shd w:val="clear" w:color="auto" w:fill="auto"/>
          </w:tcPr>
          <w:p w14:paraId="10AF5150" w14:textId="77777777" w:rsidR="00203F72" w:rsidRPr="00A53581" w:rsidRDefault="00203F72" w:rsidP="00D87D91">
            <w:r w:rsidRPr="00A53581">
              <w:t>延遲三月效果</w:t>
            </w:r>
          </w:p>
        </w:tc>
        <w:tc>
          <w:tcPr>
            <w:tcW w:w="1080" w:type="dxa"/>
            <w:shd w:val="clear" w:color="auto" w:fill="auto"/>
          </w:tcPr>
          <w:p w14:paraId="30CF22DC" w14:textId="77777777" w:rsidR="00203F72" w:rsidRPr="00A53581" w:rsidRDefault="00203F72" w:rsidP="00D87D91">
            <w:r w:rsidRPr="00A53581">
              <w:t>120.847</w:t>
            </w:r>
          </w:p>
        </w:tc>
        <w:tc>
          <w:tcPr>
            <w:tcW w:w="1144" w:type="dxa"/>
            <w:shd w:val="clear" w:color="auto" w:fill="auto"/>
          </w:tcPr>
          <w:p w14:paraId="15791FA0" w14:textId="77777777" w:rsidR="00203F72" w:rsidRPr="00A53581" w:rsidRDefault="00203F72" w:rsidP="00D87D91">
            <w:r w:rsidRPr="00A53581">
              <w:t>1.273</w:t>
            </w:r>
          </w:p>
        </w:tc>
        <w:tc>
          <w:tcPr>
            <w:tcW w:w="1048" w:type="dxa"/>
            <w:shd w:val="clear" w:color="auto" w:fill="auto"/>
          </w:tcPr>
          <w:p w14:paraId="62BEFE76" w14:textId="77777777" w:rsidR="00203F72" w:rsidRPr="00A53581" w:rsidRDefault="00203F72" w:rsidP="00D87D91">
            <w:r w:rsidRPr="00A53581">
              <w:t>2.009</w:t>
            </w:r>
          </w:p>
        </w:tc>
        <w:tc>
          <w:tcPr>
            <w:tcW w:w="1225" w:type="dxa"/>
            <w:shd w:val="clear" w:color="auto" w:fill="auto"/>
          </w:tcPr>
          <w:p w14:paraId="5434DDB1" w14:textId="77777777" w:rsidR="00203F72" w:rsidRPr="00A53581" w:rsidRDefault="00203F72" w:rsidP="00D87D91">
            <w:r w:rsidRPr="00A53581">
              <w:t>.0467</w:t>
            </w:r>
            <w:r w:rsidRPr="00A53581">
              <w:rPr>
                <w:position w:val="10"/>
              </w:rPr>
              <w:t>﹡</w:t>
            </w:r>
          </w:p>
        </w:tc>
        <w:tc>
          <w:tcPr>
            <w:tcW w:w="1143" w:type="dxa"/>
            <w:shd w:val="clear" w:color="auto" w:fill="auto"/>
          </w:tcPr>
          <w:p w14:paraId="0B29AD90" w14:textId="77777777" w:rsidR="00203F72" w:rsidRPr="00A53581" w:rsidRDefault="00203F72" w:rsidP="00D87D91">
            <w:r w:rsidRPr="00A53581">
              <w:t>.0308</w:t>
            </w:r>
          </w:p>
          <w:p w14:paraId="58F4341E" w14:textId="77777777" w:rsidR="00203F72" w:rsidRPr="00A53581" w:rsidRDefault="00203F72" w:rsidP="00D87D91">
            <w:r w:rsidRPr="00A53581">
              <w:t>.0232</w:t>
            </w:r>
          </w:p>
        </w:tc>
        <w:tc>
          <w:tcPr>
            <w:tcW w:w="1200" w:type="dxa"/>
            <w:shd w:val="clear" w:color="auto" w:fill="auto"/>
          </w:tcPr>
          <w:p w14:paraId="2B8055B1" w14:textId="77777777" w:rsidR="00203F72" w:rsidRPr="00A53581" w:rsidRDefault="00203F72" w:rsidP="00D87D91">
            <w:r w:rsidRPr="00A53581">
              <w:t>4.0342</w:t>
            </w:r>
          </w:p>
          <w:p w14:paraId="75642543" w14:textId="77777777" w:rsidR="00203F72" w:rsidRPr="00A53581" w:rsidRDefault="00203F72" w:rsidP="00D87D91">
            <w:r w:rsidRPr="00A53581">
              <w:t>(.0467</w:t>
            </w:r>
            <w:r w:rsidRPr="00A53581">
              <w:rPr>
                <w:position w:val="10"/>
              </w:rPr>
              <w:t>﹡</w:t>
            </w:r>
            <w:r w:rsidRPr="00A53581">
              <w:t>)</w:t>
            </w:r>
          </w:p>
        </w:tc>
      </w:tr>
      <w:tr w:rsidR="00203F72" w:rsidRPr="00A53581" w14:paraId="1C84187C" w14:textId="77777777" w:rsidTr="00203F72">
        <w:tc>
          <w:tcPr>
            <w:tcW w:w="1428" w:type="dxa"/>
            <w:shd w:val="clear" w:color="auto" w:fill="auto"/>
          </w:tcPr>
          <w:p w14:paraId="152D66F7" w14:textId="77777777" w:rsidR="00203F72" w:rsidRPr="00A53581" w:rsidRDefault="00203F72" w:rsidP="00D87D91">
            <w:r w:rsidRPr="00A53581">
              <w:t>延遲四月效果</w:t>
            </w:r>
          </w:p>
        </w:tc>
        <w:tc>
          <w:tcPr>
            <w:tcW w:w="1080" w:type="dxa"/>
            <w:shd w:val="clear" w:color="auto" w:fill="auto"/>
          </w:tcPr>
          <w:p w14:paraId="09D3D59E" w14:textId="77777777" w:rsidR="00203F72" w:rsidRPr="00A53581" w:rsidRDefault="00203F72" w:rsidP="00D87D91">
            <w:r w:rsidRPr="00A53581">
              <w:t>119.916</w:t>
            </w:r>
          </w:p>
        </w:tc>
        <w:tc>
          <w:tcPr>
            <w:tcW w:w="1144" w:type="dxa"/>
            <w:shd w:val="clear" w:color="auto" w:fill="auto"/>
          </w:tcPr>
          <w:p w14:paraId="1EB6D79B" w14:textId="77777777" w:rsidR="00203F72" w:rsidRPr="00A53581" w:rsidRDefault="00203F72" w:rsidP="00D87D91">
            <w:r w:rsidRPr="00A53581">
              <w:t>1.637</w:t>
            </w:r>
          </w:p>
        </w:tc>
        <w:tc>
          <w:tcPr>
            <w:tcW w:w="1048" w:type="dxa"/>
            <w:shd w:val="clear" w:color="auto" w:fill="auto"/>
          </w:tcPr>
          <w:p w14:paraId="677A1A8A" w14:textId="77777777" w:rsidR="00203F72" w:rsidRPr="00A53581" w:rsidRDefault="00203F72" w:rsidP="00D87D91">
            <w:r w:rsidRPr="00A53581">
              <w:t>2.605</w:t>
            </w:r>
          </w:p>
        </w:tc>
        <w:tc>
          <w:tcPr>
            <w:tcW w:w="1225" w:type="dxa"/>
            <w:shd w:val="clear" w:color="auto" w:fill="auto"/>
          </w:tcPr>
          <w:p w14:paraId="52591A0A" w14:textId="77777777" w:rsidR="00203F72" w:rsidRPr="00A53581" w:rsidRDefault="00203F72" w:rsidP="00D87D91">
            <w:r w:rsidRPr="00A53581">
              <w:t>.0103</w:t>
            </w:r>
            <w:r w:rsidRPr="00A53581">
              <w:rPr>
                <w:position w:val="10"/>
              </w:rPr>
              <w:t>﹡</w:t>
            </w:r>
          </w:p>
        </w:tc>
        <w:tc>
          <w:tcPr>
            <w:tcW w:w="1143" w:type="dxa"/>
            <w:shd w:val="clear" w:color="auto" w:fill="auto"/>
          </w:tcPr>
          <w:p w14:paraId="3F48DFC7" w14:textId="77777777" w:rsidR="00203F72" w:rsidRPr="00A53581" w:rsidRDefault="00203F72" w:rsidP="00D87D91">
            <w:r w:rsidRPr="00A53581">
              <w:t>.0511</w:t>
            </w:r>
          </w:p>
          <w:p w14:paraId="69BDAF94" w14:textId="77777777" w:rsidR="00203F72" w:rsidRPr="00A53581" w:rsidRDefault="00203F72" w:rsidP="00D87D91">
            <w:r w:rsidRPr="00A53581">
              <w:t>.0436</w:t>
            </w:r>
          </w:p>
        </w:tc>
        <w:tc>
          <w:tcPr>
            <w:tcW w:w="1200" w:type="dxa"/>
            <w:shd w:val="clear" w:color="auto" w:fill="auto"/>
          </w:tcPr>
          <w:p w14:paraId="2D05BC40" w14:textId="77777777" w:rsidR="00203F72" w:rsidRPr="00A53581" w:rsidRDefault="00203F72" w:rsidP="00D87D91">
            <w:r w:rsidRPr="00A53581">
              <w:t>6.7879</w:t>
            </w:r>
          </w:p>
          <w:p w14:paraId="5013A3EA" w14:textId="77777777" w:rsidR="00203F72" w:rsidRPr="00A53581" w:rsidRDefault="00203F72" w:rsidP="00D87D91">
            <w:r w:rsidRPr="00A53581">
              <w:t>(.0103</w:t>
            </w:r>
            <w:r w:rsidRPr="00A53581">
              <w:rPr>
                <w:position w:val="10"/>
              </w:rPr>
              <w:t>﹡</w:t>
            </w:r>
            <w:r w:rsidRPr="00A53581">
              <w:t>)</w:t>
            </w:r>
          </w:p>
        </w:tc>
      </w:tr>
    </w:tbl>
    <w:p w14:paraId="12AC03AC" w14:textId="77777777" w:rsidR="00203F72" w:rsidRPr="00A53581" w:rsidRDefault="00203F72" w:rsidP="00D87D91"/>
    <w:p w14:paraId="6C15A0EB" w14:textId="77777777" w:rsidR="00953151" w:rsidRPr="00515D85" w:rsidRDefault="00CA2C52" w:rsidP="00D87D91">
      <w:r w:rsidRPr="00515D85">
        <w:rPr>
          <w:rFonts w:hint="eastAsia"/>
        </w:rPr>
        <w:t>【註】</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133</w:t>
      </w:r>
      <w:r w:rsidR="00203F72" w:rsidRPr="00515D85">
        <w:t>，並經由作者重新改寫與闡釋其統計實證數據之意義。</w:t>
      </w:r>
    </w:p>
    <w:p w14:paraId="14CB437F" w14:textId="77777777" w:rsidR="00203F72" w:rsidRPr="00515D85" w:rsidRDefault="00CA2C52" w:rsidP="00D87D91">
      <w:r w:rsidRPr="00515D85">
        <w:t xml:space="preserve">　　</w:t>
      </w:r>
      <w:r w:rsidR="00203F72" w:rsidRPr="00515D85">
        <w:t>根據下表「被執行死刑總人數對搶劫案發生件數短期效應之影響表」之實證調查統計數據，在短期效應（執行死刑之當月、後第</w:t>
      </w:r>
      <w:r w:rsidR="00203F72" w:rsidRPr="00515D85">
        <w:t>1</w:t>
      </w:r>
      <w:r w:rsidR="00203F72" w:rsidRPr="00515D85">
        <w:t>個月、後第</w:t>
      </w:r>
      <w:r w:rsidR="00203F72" w:rsidRPr="00515D85">
        <w:t>2</w:t>
      </w:r>
      <w:r w:rsidR="00203F72" w:rsidRPr="00515D85">
        <w:t>個月、後第</w:t>
      </w:r>
      <w:r w:rsidR="00203F72" w:rsidRPr="00515D85">
        <w:t>3</w:t>
      </w:r>
      <w:r w:rsidR="00203F72" w:rsidRPr="00515D85">
        <w:t>個月與後第</w:t>
      </w:r>
      <w:r w:rsidR="00203F72" w:rsidRPr="00515D85">
        <w:t>4</w:t>
      </w:r>
      <w:r w:rsidR="00203F72" w:rsidRPr="00515D85">
        <w:t>個月）部分，死刑在短期時程上，會大幅度地與實質性地助長搶劫案件之發生，已達統計上之極顯著水準。當月執行死刑之總體人數，會助長當月搶劫案件之發生，修正後之</w:t>
      </w:r>
      <w:r w:rsidR="00203F72" w:rsidRPr="00515D85">
        <w:t>R2</w:t>
      </w:r>
      <w:r w:rsidR="00203F72" w:rsidRPr="00515D85">
        <w:t>＝</w:t>
      </w:r>
      <w:r w:rsidR="00203F72" w:rsidRPr="00515D85">
        <w:t>0.2999</w:t>
      </w:r>
      <w:r w:rsidR="00203F72" w:rsidRPr="00515D85">
        <w:t>；換言之，在當月搶劫案件發生之百分比例變異量之中，有</w:t>
      </w:r>
      <w:r w:rsidR="00203F72" w:rsidRPr="00515D85">
        <w:t>29.99%</w:t>
      </w:r>
      <w:r w:rsidR="00203F72" w:rsidRPr="00515D85">
        <w:t>解釋量之比重，係因當月執行死刑所導致之結果，比重可謂非常地驚人。</w:t>
      </w:r>
    </w:p>
    <w:p w14:paraId="54E916CF" w14:textId="77777777" w:rsidR="00953151" w:rsidRPr="00515D85" w:rsidRDefault="00431391" w:rsidP="00D87D91">
      <w:r w:rsidRPr="00515D85">
        <w:t xml:space="preserve">　　</w:t>
      </w:r>
      <w:r w:rsidR="00203F72" w:rsidRPr="00515D85">
        <w:t>當月執行死刑之總人數，亦會助長後第一個月搶劫案件之發生，修正後之</w:t>
      </w:r>
      <w:r w:rsidR="00203F72" w:rsidRPr="00515D85">
        <w:t>R2</w:t>
      </w:r>
      <w:r w:rsidR="00203F72" w:rsidRPr="00515D85">
        <w:t>＝</w:t>
      </w:r>
      <w:r w:rsidR="00203F72" w:rsidRPr="00515D85">
        <w:t>0.3216</w:t>
      </w:r>
      <w:r w:rsidR="00203F72" w:rsidRPr="00515D85">
        <w:t>；換言之，在後第</w:t>
      </w:r>
      <w:r w:rsidR="00203F72" w:rsidRPr="00515D85">
        <w:t>1</w:t>
      </w:r>
      <w:r w:rsidR="00203F72" w:rsidRPr="00515D85">
        <w:t>個月搶劫案件發生之百分比例變異量之中，有</w:t>
      </w:r>
      <w:r w:rsidR="00203F72" w:rsidRPr="00515D85">
        <w:t>32.16</w:t>
      </w:r>
      <w:r w:rsidR="00203F72" w:rsidRPr="00515D85">
        <w:t>％解釋量之比重，係因前一個月執行死刑所引發之結果，比重可謂非常地高，令人須嚴肅地面對死刑之重大負面效益。亦即，死刑大幅度地引發搶劫案件之發生。此外，當月執行死刑之總人數，亦會影響當月之後第</w:t>
      </w:r>
      <w:r w:rsidR="00203F72" w:rsidRPr="00515D85">
        <w:t>2</w:t>
      </w:r>
      <w:r w:rsidR="00203F72" w:rsidRPr="00515D85">
        <w:t>個月搶劫案件之發生，修正後之</w:t>
      </w:r>
      <w:r w:rsidR="00203F72" w:rsidRPr="00515D85">
        <w:t>R2</w:t>
      </w:r>
      <w:r w:rsidR="00203F72" w:rsidRPr="00515D85">
        <w:t>＝</w:t>
      </w:r>
      <w:r w:rsidR="00203F72" w:rsidRPr="00515D85">
        <w:t>0.3230</w:t>
      </w:r>
      <w:r w:rsidR="00203F72" w:rsidRPr="00515D85">
        <w:t>；亦即，在後第</w:t>
      </w:r>
      <w:r w:rsidR="00203F72" w:rsidRPr="00515D85">
        <w:t>2</w:t>
      </w:r>
      <w:r w:rsidR="00203F72" w:rsidRPr="00515D85">
        <w:t>個月搶劫案件發生之百分比例變異量之中有</w:t>
      </w:r>
      <w:r w:rsidR="00203F72" w:rsidRPr="00515D85">
        <w:t>32.30</w:t>
      </w:r>
      <w:r w:rsidR="00203F72" w:rsidRPr="00515D85">
        <w:t>％解釋之比重，係因前</w:t>
      </w:r>
      <w:r w:rsidR="00203F72" w:rsidRPr="00515D85">
        <w:t>2</w:t>
      </w:r>
      <w:r w:rsidR="00203F72" w:rsidRPr="00515D85">
        <w:t>個月國家執行死刑所導致之結果，比重仍可謂相當地高。再次證明，死刑會以一種非常積極之方式，高度促發搶劫案件之發生。當月執行死刑之總人數，仍會積極促發當月之後第</w:t>
      </w:r>
      <w:r w:rsidR="00203F72" w:rsidRPr="00515D85">
        <w:t>3</w:t>
      </w:r>
      <w:r w:rsidR="00203F72" w:rsidRPr="00515D85">
        <w:t>個月搶劫案件之發生，修正後之</w:t>
      </w:r>
      <w:r w:rsidR="00203F72" w:rsidRPr="00515D85">
        <w:t>R2</w:t>
      </w:r>
      <w:r w:rsidR="00203F72" w:rsidRPr="00515D85">
        <w:t>＝</w:t>
      </w:r>
      <w:r w:rsidR="00203F72" w:rsidRPr="00515D85">
        <w:t>0.2910</w:t>
      </w:r>
      <w:r w:rsidR="00203F72" w:rsidRPr="00515D85">
        <w:t>；換言之，在後第</w:t>
      </w:r>
      <w:r w:rsidR="00203F72" w:rsidRPr="00515D85">
        <w:t>3</w:t>
      </w:r>
      <w:r w:rsidR="00203F72" w:rsidRPr="00515D85">
        <w:t>個月搶劫案件發生之百分比例變異量之中，有</w:t>
      </w:r>
      <w:r w:rsidR="00203F72" w:rsidRPr="00515D85">
        <w:t>29.10</w:t>
      </w:r>
      <w:r w:rsidR="00203F72" w:rsidRPr="00515D85">
        <w:t>％；換言之，在後第</w:t>
      </w:r>
      <w:r w:rsidR="00203F72" w:rsidRPr="00515D85">
        <w:t>3</w:t>
      </w:r>
      <w:r w:rsidR="00203F72" w:rsidRPr="00515D85">
        <w:t>個月搶劫案件發生之百分比例變異量之中，有</w:t>
      </w:r>
      <w:r w:rsidR="00203F72" w:rsidRPr="00515D85">
        <w:t>29.10</w:t>
      </w:r>
      <w:r w:rsidR="00203F72" w:rsidRPr="00515D85">
        <w:t>％解釋量之比重，係因前</w:t>
      </w:r>
      <w:r w:rsidR="00203F72" w:rsidRPr="00515D85">
        <w:t>3</w:t>
      </w:r>
      <w:r w:rsidR="00203F72" w:rsidRPr="00515D85">
        <w:t>個月國家執行死刑所導致之結果，比重仍維持相當高之程度；再一次證明，死刑會以一種非常積極之方式，高度地誘搶劫案件之發生；被執行死刑之人犯愈多，社會上，愈會發生搶劫案件，此可謂「死刑助長搶劫犯罪理論」。</w:t>
      </w:r>
    </w:p>
    <w:p w14:paraId="0D1CDB78" w14:textId="77777777" w:rsidR="00953151" w:rsidRDefault="00431391" w:rsidP="00D87D91">
      <w:r w:rsidRPr="00515D85">
        <w:t xml:space="preserve">　　</w:t>
      </w:r>
      <w:r w:rsidR="00203F72" w:rsidRPr="00515D85">
        <w:t>當月執行死刑之總人數，仍亦會非常積極地促發當月之後第</w:t>
      </w:r>
      <w:r w:rsidR="00203F72" w:rsidRPr="00515D85">
        <w:t>4</w:t>
      </w:r>
      <w:r w:rsidR="00203F72" w:rsidRPr="00515D85">
        <w:t>個月搶劫案件之發生，修正後之</w:t>
      </w:r>
      <w:r w:rsidR="00203F72" w:rsidRPr="00515D85">
        <w:t>R2</w:t>
      </w:r>
      <w:r w:rsidR="00203F72" w:rsidRPr="00515D85">
        <w:t>＝</w:t>
      </w:r>
      <w:r w:rsidR="00203F72" w:rsidRPr="00515D85">
        <w:t>0.3043</w:t>
      </w:r>
      <w:r w:rsidR="00203F72" w:rsidRPr="00515D85">
        <w:t>；換言之，在後第</w:t>
      </w:r>
      <w:r w:rsidR="00203F72" w:rsidRPr="00515D85">
        <w:t>4</w:t>
      </w:r>
      <w:r w:rsidR="00203F72" w:rsidRPr="00515D85">
        <w:t>個月搶劫案件發生之百分比例變異量之中，有</w:t>
      </w:r>
      <w:r w:rsidR="00203F72" w:rsidRPr="00515D85">
        <w:t>30.43</w:t>
      </w:r>
      <w:r w:rsidR="00203F72" w:rsidRPr="00515D85">
        <w:t>％迴歸分析解釋量之比重，係因前</w:t>
      </w:r>
      <w:r w:rsidR="00203F72" w:rsidRPr="00515D85">
        <w:t>4</w:t>
      </w:r>
      <w:r w:rsidR="00203F72" w:rsidRPr="00515D85">
        <w:t>個月國家執行死刑所導致之非常嚴重後果，比重仍非常地高。又再一次地證明，被國家槍決之死刑犯人數愈多時，在台灣社會上，愈會發生搶劫案件，「死刑助長搶劫犯罪理論」再次獲得實證統計上之支持。假若吾人擬壓制搶劫案件之發生，最直接最有效與最快速之模式，係廢除死刑。唯有廢除死刑，始可有效地控制搶劫案件之發生。</w:t>
      </w:r>
    </w:p>
    <w:p w14:paraId="271C3D06" w14:textId="77777777" w:rsidR="00703176" w:rsidRPr="00515D85" w:rsidRDefault="00703176" w:rsidP="00D87D91"/>
    <w:p w14:paraId="015DCC07" w14:textId="0B1DEFD8"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103</w:t>
      </w:r>
      <w:r w:rsidR="00076467">
        <w:rPr>
          <w:noProof/>
        </w:rPr>
        <w:fldChar w:fldCharType="end"/>
      </w:r>
      <w:r w:rsidR="00203F72" w:rsidRPr="00A53581">
        <w:t>被執行死刑總人數</w:t>
      </w:r>
      <w:r w:rsidR="00203F72" w:rsidRPr="00A53581">
        <w:t>(</w:t>
      </w:r>
      <w:r w:rsidR="00203F72" w:rsidRPr="00A53581">
        <w:t>自變項</w:t>
      </w:r>
      <w:r w:rsidR="00203F72" w:rsidRPr="00A53581">
        <w:t>)</w:t>
      </w:r>
      <w:r w:rsidR="00203F72" w:rsidRPr="00A53581">
        <w:t>對搶劫案發生件數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1080"/>
        <w:gridCol w:w="1166"/>
        <w:gridCol w:w="922"/>
        <w:gridCol w:w="912"/>
        <w:gridCol w:w="1200"/>
        <w:gridCol w:w="1320"/>
      </w:tblGrid>
      <w:tr w:rsidR="00203F72" w:rsidRPr="00A53581" w14:paraId="39BE1980" w14:textId="77777777" w:rsidTr="00703176">
        <w:trPr>
          <w:tblHeader/>
        </w:trPr>
        <w:tc>
          <w:tcPr>
            <w:tcW w:w="1548" w:type="dxa"/>
            <w:shd w:val="clear" w:color="auto" w:fill="FAF0FA"/>
          </w:tcPr>
          <w:p w14:paraId="0668C88B" w14:textId="77777777" w:rsidR="00203F72" w:rsidRPr="00A53581" w:rsidRDefault="00203F72" w:rsidP="00D87D91">
            <w:r w:rsidRPr="00A53581">
              <w:t>被執行死刑總人數對搶劫案發生件數之影響</w:t>
            </w:r>
          </w:p>
        </w:tc>
        <w:tc>
          <w:tcPr>
            <w:tcW w:w="1080" w:type="dxa"/>
            <w:shd w:val="clear" w:color="auto" w:fill="FAF0FA"/>
          </w:tcPr>
          <w:p w14:paraId="7CE21F1C" w14:textId="77777777" w:rsidR="00203F72" w:rsidRPr="00A53581" w:rsidRDefault="00203F72" w:rsidP="00D87D91">
            <w:r w:rsidRPr="00A53581">
              <w:t>a</w:t>
            </w:r>
          </w:p>
          <w:p w14:paraId="09D07DBA" w14:textId="77777777" w:rsidR="00203F72" w:rsidRPr="00A53581" w:rsidRDefault="00203F72" w:rsidP="00D87D91">
            <w:r w:rsidRPr="00A53581">
              <w:t>常數</w:t>
            </w:r>
          </w:p>
        </w:tc>
        <w:tc>
          <w:tcPr>
            <w:tcW w:w="1166" w:type="dxa"/>
            <w:shd w:val="clear" w:color="auto" w:fill="FAF0FA"/>
          </w:tcPr>
          <w:p w14:paraId="1E74093C" w14:textId="77777777" w:rsidR="00203F72" w:rsidRPr="00A53581" w:rsidRDefault="00203F72" w:rsidP="00D87D91">
            <w:r w:rsidRPr="00A53581">
              <w:t>b</w:t>
            </w:r>
          </w:p>
          <w:p w14:paraId="64931345" w14:textId="77777777" w:rsidR="00203F72" w:rsidRPr="00A53581" w:rsidRDefault="00203F72" w:rsidP="00D87D91">
            <w:r w:rsidRPr="00A53581">
              <w:t>斜率</w:t>
            </w:r>
            <w:r w:rsidRPr="00A53581">
              <w:t>(</w:t>
            </w:r>
            <w:r w:rsidRPr="00A53581">
              <w:t>未標準化迴歸係數</w:t>
            </w:r>
            <w:r w:rsidRPr="00A53581">
              <w:t>)</w:t>
            </w:r>
          </w:p>
        </w:tc>
        <w:tc>
          <w:tcPr>
            <w:tcW w:w="922" w:type="dxa"/>
            <w:shd w:val="clear" w:color="auto" w:fill="FAF0FA"/>
          </w:tcPr>
          <w:p w14:paraId="79571B0D" w14:textId="77777777" w:rsidR="00203F72" w:rsidRPr="00A53581" w:rsidRDefault="00203F72" w:rsidP="00D87D91">
            <w:r w:rsidRPr="00A53581">
              <w:t>t</w:t>
            </w:r>
          </w:p>
          <w:p w14:paraId="1DB5AB86" w14:textId="77777777" w:rsidR="00203F72" w:rsidRPr="00A53581" w:rsidRDefault="00203F72" w:rsidP="00D87D91">
            <w:r w:rsidRPr="00A53581">
              <w:t>值</w:t>
            </w:r>
          </w:p>
        </w:tc>
        <w:tc>
          <w:tcPr>
            <w:tcW w:w="912" w:type="dxa"/>
            <w:shd w:val="clear" w:color="auto" w:fill="FAF0FA"/>
          </w:tcPr>
          <w:p w14:paraId="5D81F970" w14:textId="77777777" w:rsidR="00203F72" w:rsidRPr="00A53581" w:rsidRDefault="00203F72" w:rsidP="00D87D91">
            <w:r w:rsidRPr="00A53581">
              <w:t>t</w:t>
            </w:r>
            <w:r w:rsidRPr="00A53581">
              <w:t>值</w:t>
            </w:r>
          </w:p>
          <w:p w14:paraId="5E4B1BA5" w14:textId="77777777" w:rsidR="00203F72" w:rsidRPr="00A53581" w:rsidRDefault="00203F72" w:rsidP="00D87D91">
            <w:r w:rsidRPr="00A53581">
              <w:t>顯著性</w:t>
            </w:r>
          </w:p>
        </w:tc>
        <w:tc>
          <w:tcPr>
            <w:tcW w:w="1200" w:type="dxa"/>
            <w:shd w:val="clear" w:color="auto" w:fill="FAF0FA"/>
          </w:tcPr>
          <w:p w14:paraId="0270809B" w14:textId="77777777" w:rsidR="00203F72" w:rsidRPr="00A53581" w:rsidRDefault="00203F72" w:rsidP="00D87D91">
            <w:r w:rsidRPr="00A53581">
              <w:t>模式</w:t>
            </w:r>
          </w:p>
          <w:p w14:paraId="310270DC" w14:textId="77777777" w:rsidR="00203F72" w:rsidRPr="00A53581" w:rsidRDefault="00203F72" w:rsidP="00D87D91">
            <w:pPr>
              <w:rPr>
                <w:vertAlign w:val="superscript"/>
              </w:rPr>
            </w:pPr>
            <w:r w:rsidRPr="00A53581">
              <w:t>R</w:t>
            </w:r>
            <w:r w:rsidRPr="00A53581">
              <w:rPr>
                <w:vertAlign w:val="superscript"/>
              </w:rPr>
              <w:t>2</w:t>
            </w:r>
          </w:p>
          <w:p w14:paraId="45B06464" w14:textId="77777777" w:rsidR="00203F72" w:rsidRPr="00A53581" w:rsidRDefault="00203F72" w:rsidP="00D87D91">
            <w:r w:rsidRPr="00A53581">
              <w:t>adjusted R</w:t>
            </w:r>
            <w:r w:rsidRPr="00A53581">
              <w:rPr>
                <w:vertAlign w:val="superscript"/>
              </w:rPr>
              <w:t>2</w:t>
            </w:r>
          </w:p>
        </w:tc>
        <w:tc>
          <w:tcPr>
            <w:tcW w:w="1320" w:type="dxa"/>
            <w:shd w:val="clear" w:color="auto" w:fill="FAF0FA"/>
          </w:tcPr>
          <w:p w14:paraId="1B083137" w14:textId="77777777" w:rsidR="00203F72" w:rsidRPr="00A53581" w:rsidRDefault="00203F72" w:rsidP="00D87D91">
            <w:r w:rsidRPr="00A53581">
              <w:t>模式</w:t>
            </w:r>
          </w:p>
          <w:p w14:paraId="2454B923" w14:textId="77777777" w:rsidR="00203F72" w:rsidRPr="00A53581" w:rsidRDefault="00203F72" w:rsidP="00D87D91">
            <w:r w:rsidRPr="00A53581">
              <w:t>F</w:t>
            </w:r>
          </w:p>
          <w:p w14:paraId="614F495B" w14:textId="77777777" w:rsidR="00203F72" w:rsidRPr="00A53581" w:rsidRDefault="00203F72" w:rsidP="00D87D91">
            <w:r w:rsidRPr="00A53581">
              <w:t>值</w:t>
            </w:r>
          </w:p>
        </w:tc>
      </w:tr>
      <w:tr w:rsidR="00203F72" w:rsidRPr="00A53581" w14:paraId="2E1DE91C" w14:textId="77777777" w:rsidTr="00203F72">
        <w:tc>
          <w:tcPr>
            <w:tcW w:w="1548" w:type="dxa"/>
            <w:shd w:val="clear" w:color="auto" w:fill="auto"/>
          </w:tcPr>
          <w:p w14:paraId="4CE51D7D" w14:textId="77777777" w:rsidR="00203F72" w:rsidRPr="00A53581" w:rsidRDefault="00203F72" w:rsidP="00D87D91">
            <w:r w:rsidRPr="00A53581">
              <w:t>當月效果</w:t>
            </w:r>
          </w:p>
        </w:tc>
        <w:tc>
          <w:tcPr>
            <w:tcW w:w="1080" w:type="dxa"/>
            <w:shd w:val="clear" w:color="auto" w:fill="auto"/>
          </w:tcPr>
          <w:p w14:paraId="0CA92406" w14:textId="77777777" w:rsidR="00203F72" w:rsidRPr="00A53581" w:rsidRDefault="00203F72" w:rsidP="00D87D91">
            <w:r w:rsidRPr="00A53581">
              <w:t>111.366</w:t>
            </w:r>
          </w:p>
        </w:tc>
        <w:tc>
          <w:tcPr>
            <w:tcW w:w="1166" w:type="dxa"/>
            <w:shd w:val="clear" w:color="auto" w:fill="auto"/>
          </w:tcPr>
          <w:p w14:paraId="4FD7A4F7" w14:textId="77777777" w:rsidR="00203F72" w:rsidRPr="00A53581" w:rsidRDefault="00203F72" w:rsidP="00D87D91">
            <w:r w:rsidRPr="00A53581">
              <w:t>13.399</w:t>
            </w:r>
          </w:p>
        </w:tc>
        <w:tc>
          <w:tcPr>
            <w:tcW w:w="922" w:type="dxa"/>
            <w:shd w:val="clear" w:color="auto" w:fill="auto"/>
          </w:tcPr>
          <w:p w14:paraId="1EE066B5" w14:textId="77777777" w:rsidR="00203F72" w:rsidRPr="00A53581" w:rsidRDefault="00203F72" w:rsidP="00D87D91">
            <w:r w:rsidRPr="00A53581">
              <w:t>7.558</w:t>
            </w:r>
          </w:p>
        </w:tc>
        <w:tc>
          <w:tcPr>
            <w:tcW w:w="912" w:type="dxa"/>
            <w:shd w:val="clear" w:color="auto" w:fill="auto"/>
          </w:tcPr>
          <w:p w14:paraId="21D0F277" w14:textId="77777777" w:rsidR="00203F72" w:rsidRPr="00A53581" w:rsidRDefault="00203F72" w:rsidP="00D87D91">
            <w:r w:rsidRPr="00A53581">
              <w:t>.0000</w:t>
            </w:r>
            <w:r w:rsidRPr="00A53581">
              <w:rPr>
                <w:position w:val="10"/>
              </w:rPr>
              <w:t>﹡</w:t>
            </w:r>
          </w:p>
        </w:tc>
        <w:tc>
          <w:tcPr>
            <w:tcW w:w="1200" w:type="dxa"/>
            <w:shd w:val="clear" w:color="auto" w:fill="auto"/>
          </w:tcPr>
          <w:p w14:paraId="67F2885C" w14:textId="77777777" w:rsidR="00203F72" w:rsidRPr="00A53581" w:rsidRDefault="00203F72" w:rsidP="00D87D91">
            <w:r w:rsidRPr="00A53581">
              <w:t>.3053</w:t>
            </w:r>
          </w:p>
          <w:p w14:paraId="5E66160D" w14:textId="77777777" w:rsidR="00203F72" w:rsidRPr="00A53581" w:rsidRDefault="00203F72" w:rsidP="00D87D91">
            <w:r w:rsidRPr="00A53581">
              <w:t>.2999</w:t>
            </w:r>
          </w:p>
        </w:tc>
        <w:tc>
          <w:tcPr>
            <w:tcW w:w="1320" w:type="dxa"/>
            <w:shd w:val="clear" w:color="auto" w:fill="auto"/>
          </w:tcPr>
          <w:p w14:paraId="0D68C864" w14:textId="77777777" w:rsidR="00203F72" w:rsidRPr="00A53581" w:rsidRDefault="00203F72" w:rsidP="00D87D91">
            <w:r w:rsidRPr="00A53581">
              <w:t>57.1175</w:t>
            </w:r>
          </w:p>
          <w:p w14:paraId="07DC6BBD" w14:textId="77777777" w:rsidR="00203F72" w:rsidRPr="00A53581" w:rsidRDefault="00203F72" w:rsidP="00D87D91">
            <w:r w:rsidRPr="00A53581">
              <w:t>(.0000</w:t>
            </w:r>
            <w:r w:rsidRPr="00A53581">
              <w:rPr>
                <w:position w:val="10"/>
              </w:rPr>
              <w:t>﹡</w:t>
            </w:r>
            <w:r w:rsidRPr="00A53581">
              <w:t>)</w:t>
            </w:r>
          </w:p>
        </w:tc>
      </w:tr>
      <w:tr w:rsidR="00203F72" w:rsidRPr="00A53581" w14:paraId="56CFEC84" w14:textId="77777777" w:rsidTr="00203F72">
        <w:tc>
          <w:tcPr>
            <w:tcW w:w="1548" w:type="dxa"/>
            <w:shd w:val="clear" w:color="auto" w:fill="auto"/>
          </w:tcPr>
          <w:p w14:paraId="4C849A88" w14:textId="77777777" w:rsidR="00203F72" w:rsidRPr="00A53581" w:rsidRDefault="00203F72" w:rsidP="00D87D91">
            <w:r w:rsidRPr="00A53581">
              <w:t>延遲一月效果</w:t>
            </w:r>
          </w:p>
        </w:tc>
        <w:tc>
          <w:tcPr>
            <w:tcW w:w="1080" w:type="dxa"/>
            <w:shd w:val="clear" w:color="auto" w:fill="auto"/>
          </w:tcPr>
          <w:p w14:paraId="16293890" w14:textId="77777777" w:rsidR="00203F72" w:rsidRPr="00A53581" w:rsidRDefault="00203F72" w:rsidP="00D87D91">
            <w:r w:rsidRPr="00A53581">
              <w:t>110.592</w:t>
            </w:r>
          </w:p>
        </w:tc>
        <w:tc>
          <w:tcPr>
            <w:tcW w:w="1166" w:type="dxa"/>
            <w:shd w:val="clear" w:color="auto" w:fill="auto"/>
          </w:tcPr>
          <w:p w14:paraId="466BA808" w14:textId="77777777" w:rsidR="00203F72" w:rsidRPr="00A53581" w:rsidRDefault="00203F72" w:rsidP="00D87D91">
            <w:r w:rsidRPr="00A53581">
              <w:t>13.860</w:t>
            </w:r>
          </w:p>
        </w:tc>
        <w:tc>
          <w:tcPr>
            <w:tcW w:w="922" w:type="dxa"/>
            <w:shd w:val="clear" w:color="auto" w:fill="auto"/>
          </w:tcPr>
          <w:p w14:paraId="2B1A0BD5" w14:textId="77777777" w:rsidR="00203F72" w:rsidRPr="00A53581" w:rsidRDefault="00203F72" w:rsidP="00D87D91">
            <w:r w:rsidRPr="00A53581">
              <w:t>7.914</w:t>
            </w:r>
          </w:p>
        </w:tc>
        <w:tc>
          <w:tcPr>
            <w:tcW w:w="912" w:type="dxa"/>
            <w:shd w:val="clear" w:color="auto" w:fill="auto"/>
          </w:tcPr>
          <w:p w14:paraId="2144A473" w14:textId="77777777" w:rsidR="00203F72" w:rsidRPr="00A53581" w:rsidRDefault="00203F72" w:rsidP="00D87D91">
            <w:r w:rsidRPr="00A53581">
              <w:t>.0000</w:t>
            </w:r>
            <w:r w:rsidRPr="00A53581">
              <w:rPr>
                <w:position w:val="10"/>
              </w:rPr>
              <w:t>﹡</w:t>
            </w:r>
          </w:p>
        </w:tc>
        <w:tc>
          <w:tcPr>
            <w:tcW w:w="1200" w:type="dxa"/>
            <w:shd w:val="clear" w:color="auto" w:fill="auto"/>
          </w:tcPr>
          <w:p w14:paraId="6165A0D9" w14:textId="77777777" w:rsidR="00203F72" w:rsidRPr="00A53581" w:rsidRDefault="00203F72" w:rsidP="00D87D91">
            <w:r w:rsidRPr="00A53581">
              <w:t>.3268</w:t>
            </w:r>
          </w:p>
          <w:p w14:paraId="12D89334" w14:textId="77777777" w:rsidR="00203F72" w:rsidRPr="00A53581" w:rsidRDefault="00203F72" w:rsidP="00D87D91">
            <w:r w:rsidRPr="00A53581">
              <w:t>.3216</w:t>
            </w:r>
          </w:p>
        </w:tc>
        <w:tc>
          <w:tcPr>
            <w:tcW w:w="1320" w:type="dxa"/>
            <w:shd w:val="clear" w:color="auto" w:fill="auto"/>
          </w:tcPr>
          <w:p w14:paraId="1993FAB9" w14:textId="77777777" w:rsidR="00203F72" w:rsidRPr="00A53581" w:rsidRDefault="00203F72" w:rsidP="00D87D91">
            <w:r w:rsidRPr="00A53581">
              <w:t>62.6253</w:t>
            </w:r>
          </w:p>
          <w:p w14:paraId="5D0653F6" w14:textId="77777777" w:rsidR="00203F72" w:rsidRPr="00A53581" w:rsidRDefault="00203F72" w:rsidP="00D87D91">
            <w:r w:rsidRPr="00A53581">
              <w:t>(.0000</w:t>
            </w:r>
            <w:r w:rsidRPr="00A53581">
              <w:rPr>
                <w:position w:val="10"/>
              </w:rPr>
              <w:t>﹡</w:t>
            </w:r>
            <w:r w:rsidRPr="00A53581">
              <w:t>)</w:t>
            </w:r>
          </w:p>
        </w:tc>
      </w:tr>
      <w:tr w:rsidR="00203F72" w:rsidRPr="00A53581" w14:paraId="737B952A" w14:textId="77777777" w:rsidTr="00203F72">
        <w:tc>
          <w:tcPr>
            <w:tcW w:w="1548" w:type="dxa"/>
            <w:shd w:val="clear" w:color="auto" w:fill="auto"/>
          </w:tcPr>
          <w:p w14:paraId="01B1703B" w14:textId="77777777" w:rsidR="00203F72" w:rsidRPr="00A53581" w:rsidRDefault="00203F72" w:rsidP="00D87D91">
            <w:r w:rsidRPr="00A53581">
              <w:t>延遲二月效果</w:t>
            </w:r>
          </w:p>
        </w:tc>
        <w:tc>
          <w:tcPr>
            <w:tcW w:w="1080" w:type="dxa"/>
            <w:shd w:val="clear" w:color="auto" w:fill="auto"/>
          </w:tcPr>
          <w:p w14:paraId="0F2B269B" w14:textId="77777777" w:rsidR="00203F72" w:rsidRPr="00A53581" w:rsidRDefault="00203F72" w:rsidP="00D87D91">
            <w:r w:rsidRPr="00A53581">
              <w:t>110.229</w:t>
            </w:r>
          </w:p>
        </w:tc>
        <w:tc>
          <w:tcPr>
            <w:tcW w:w="1166" w:type="dxa"/>
            <w:shd w:val="clear" w:color="auto" w:fill="auto"/>
          </w:tcPr>
          <w:p w14:paraId="0574D15F" w14:textId="77777777" w:rsidR="00203F72" w:rsidRPr="00A53581" w:rsidRDefault="00203F72" w:rsidP="00D87D91">
            <w:r w:rsidRPr="00A53581">
              <w:t>13.916</w:t>
            </w:r>
          </w:p>
        </w:tc>
        <w:tc>
          <w:tcPr>
            <w:tcW w:w="922" w:type="dxa"/>
            <w:shd w:val="clear" w:color="auto" w:fill="auto"/>
          </w:tcPr>
          <w:p w14:paraId="6D90D172" w14:textId="77777777" w:rsidR="00203F72" w:rsidRPr="00A53581" w:rsidRDefault="00203F72" w:rsidP="00D87D91">
            <w:r w:rsidRPr="00A53581">
              <w:t>7.910</w:t>
            </w:r>
          </w:p>
        </w:tc>
        <w:tc>
          <w:tcPr>
            <w:tcW w:w="912" w:type="dxa"/>
            <w:shd w:val="clear" w:color="auto" w:fill="auto"/>
          </w:tcPr>
          <w:p w14:paraId="67BFFB7F" w14:textId="77777777" w:rsidR="00203F72" w:rsidRPr="00A53581" w:rsidRDefault="00203F72" w:rsidP="00D87D91">
            <w:r w:rsidRPr="00A53581">
              <w:t>.0000</w:t>
            </w:r>
            <w:r w:rsidRPr="00A53581">
              <w:rPr>
                <w:position w:val="10"/>
              </w:rPr>
              <w:t>﹡</w:t>
            </w:r>
          </w:p>
        </w:tc>
        <w:tc>
          <w:tcPr>
            <w:tcW w:w="1200" w:type="dxa"/>
            <w:shd w:val="clear" w:color="auto" w:fill="auto"/>
          </w:tcPr>
          <w:p w14:paraId="4B20255B" w14:textId="77777777" w:rsidR="00203F72" w:rsidRPr="00A53581" w:rsidRDefault="00203F72" w:rsidP="00D87D91">
            <w:r w:rsidRPr="00A53581">
              <w:t>.3283</w:t>
            </w:r>
          </w:p>
          <w:p w14:paraId="2B45F551" w14:textId="77777777" w:rsidR="00203F72" w:rsidRPr="00A53581" w:rsidRDefault="00203F72" w:rsidP="00D87D91">
            <w:r w:rsidRPr="00A53581">
              <w:t>.3230</w:t>
            </w:r>
          </w:p>
        </w:tc>
        <w:tc>
          <w:tcPr>
            <w:tcW w:w="1320" w:type="dxa"/>
            <w:shd w:val="clear" w:color="auto" w:fill="auto"/>
          </w:tcPr>
          <w:p w14:paraId="35E0F56D" w14:textId="77777777" w:rsidR="00203F72" w:rsidRPr="00A53581" w:rsidRDefault="00203F72" w:rsidP="00D87D91">
            <w:r w:rsidRPr="00A53581">
              <w:t>62.5662</w:t>
            </w:r>
          </w:p>
          <w:p w14:paraId="123417A3" w14:textId="77777777" w:rsidR="00203F72" w:rsidRPr="00A53581" w:rsidRDefault="00203F72" w:rsidP="00D87D91">
            <w:r w:rsidRPr="00A53581">
              <w:t>(.0000</w:t>
            </w:r>
            <w:r w:rsidRPr="00A53581">
              <w:rPr>
                <w:position w:val="10"/>
              </w:rPr>
              <w:t>﹡</w:t>
            </w:r>
            <w:r w:rsidRPr="00A53581">
              <w:t>)</w:t>
            </w:r>
          </w:p>
        </w:tc>
      </w:tr>
      <w:tr w:rsidR="00203F72" w:rsidRPr="00A53581" w14:paraId="29B60B1F" w14:textId="77777777" w:rsidTr="00203F72">
        <w:tc>
          <w:tcPr>
            <w:tcW w:w="1548" w:type="dxa"/>
            <w:shd w:val="clear" w:color="auto" w:fill="auto"/>
          </w:tcPr>
          <w:p w14:paraId="67165B00" w14:textId="77777777" w:rsidR="00203F72" w:rsidRPr="00A53581" w:rsidRDefault="00203F72" w:rsidP="00D87D91">
            <w:r w:rsidRPr="00A53581">
              <w:t>延遲三月效果</w:t>
            </w:r>
          </w:p>
        </w:tc>
        <w:tc>
          <w:tcPr>
            <w:tcW w:w="1080" w:type="dxa"/>
            <w:shd w:val="clear" w:color="auto" w:fill="auto"/>
          </w:tcPr>
          <w:p w14:paraId="5FADFAD2" w14:textId="77777777" w:rsidR="00203F72" w:rsidRPr="00A53581" w:rsidRDefault="00203F72" w:rsidP="00D87D91">
            <w:r w:rsidRPr="00A53581">
              <w:t>111.422</w:t>
            </w:r>
          </w:p>
        </w:tc>
        <w:tc>
          <w:tcPr>
            <w:tcW w:w="1166" w:type="dxa"/>
            <w:shd w:val="clear" w:color="auto" w:fill="auto"/>
          </w:tcPr>
          <w:p w14:paraId="307C32BE" w14:textId="77777777" w:rsidR="00203F72" w:rsidRPr="00A53581" w:rsidRDefault="00203F72" w:rsidP="00D87D91">
            <w:r w:rsidRPr="00A53581">
              <w:t>13.226</w:t>
            </w:r>
          </w:p>
        </w:tc>
        <w:tc>
          <w:tcPr>
            <w:tcW w:w="922" w:type="dxa"/>
            <w:shd w:val="clear" w:color="auto" w:fill="auto"/>
          </w:tcPr>
          <w:p w14:paraId="27B35E72" w14:textId="77777777" w:rsidR="00203F72" w:rsidRPr="00A53581" w:rsidRDefault="00203F72" w:rsidP="00D87D91">
            <w:r w:rsidRPr="00A53581">
              <w:t>7.316</w:t>
            </w:r>
          </w:p>
        </w:tc>
        <w:tc>
          <w:tcPr>
            <w:tcW w:w="912" w:type="dxa"/>
            <w:shd w:val="clear" w:color="auto" w:fill="auto"/>
          </w:tcPr>
          <w:p w14:paraId="273AF077" w14:textId="77777777" w:rsidR="00203F72" w:rsidRPr="00A53581" w:rsidRDefault="00203F72" w:rsidP="00D87D91">
            <w:r w:rsidRPr="00A53581">
              <w:t>.0000</w:t>
            </w:r>
            <w:r w:rsidRPr="00A53581">
              <w:rPr>
                <w:position w:val="10"/>
              </w:rPr>
              <w:t>﹡</w:t>
            </w:r>
          </w:p>
        </w:tc>
        <w:tc>
          <w:tcPr>
            <w:tcW w:w="1200" w:type="dxa"/>
            <w:shd w:val="clear" w:color="auto" w:fill="auto"/>
          </w:tcPr>
          <w:p w14:paraId="1B27CFC9" w14:textId="77777777" w:rsidR="00203F72" w:rsidRPr="00A53581" w:rsidRDefault="00203F72" w:rsidP="00D87D91">
            <w:r w:rsidRPr="00A53581">
              <w:t>.2965</w:t>
            </w:r>
          </w:p>
          <w:p w14:paraId="615B2197" w14:textId="77777777" w:rsidR="00203F72" w:rsidRPr="00A53581" w:rsidRDefault="00203F72" w:rsidP="00D87D91">
            <w:r w:rsidRPr="00A53581">
              <w:t>.2910</w:t>
            </w:r>
          </w:p>
        </w:tc>
        <w:tc>
          <w:tcPr>
            <w:tcW w:w="1320" w:type="dxa"/>
            <w:shd w:val="clear" w:color="auto" w:fill="auto"/>
          </w:tcPr>
          <w:p w14:paraId="00249A51" w14:textId="77777777" w:rsidR="00203F72" w:rsidRPr="00A53581" w:rsidRDefault="00203F72" w:rsidP="00D87D91">
            <w:r w:rsidRPr="00A53581">
              <w:t>53.5254</w:t>
            </w:r>
          </w:p>
          <w:p w14:paraId="1740BD97" w14:textId="77777777" w:rsidR="00203F72" w:rsidRPr="00A53581" w:rsidRDefault="00203F72" w:rsidP="00D87D91">
            <w:r w:rsidRPr="00A53581">
              <w:t>(.0000</w:t>
            </w:r>
            <w:r w:rsidRPr="00A53581">
              <w:rPr>
                <w:position w:val="10"/>
              </w:rPr>
              <w:t>﹡</w:t>
            </w:r>
            <w:r w:rsidRPr="00A53581">
              <w:t>)</w:t>
            </w:r>
          </w:p>
        </w:tc>
      </w:tr>
      <w:tr w:rsidR="00203F72" w:rsidRPr="00A53581" w14:paraId="5ABA53CF" w14:textId="77777777" w:rsidTr="00203F72">
        <w:tc>
          <w:tcPr>
            <w:tcW w:w="1548" w:type="dxa"/>
            <w:shd w:val="clear" w:color="auto" w:fill="auto"/>
          </w:tcPr>
          <w:p w14:paraId="47D56E1F" w14:textId="77777777" w:rsidR="00203F72" w:rsidRPr="00A53581" w:rsidRDefault="00203F72" w:rsidP="00D87D91">
            <w:r w:rsidRPr="00A53581">
              <w:t>延遲四月效果</w:t>
            </w:r>
          </w:p>
        </w:tc>
        <w:tc>
          <w:tcPr>
            <w:tcW w:w="1080" w:type="dxa"/>
            <w:shd w:val="clear" w:color="auto" w:fill="auto"/>
          </w:tcPr>
          <w:p w14:paraId="61EE80B6" w14:textId="77777777" w:rsidR="00203F72" w:rsidRPr="00A53581" w:rsidRDefault="00203F72" w:rsidP="00D87D91">
            <w:r w:rsidRPr="00A53581">
              <w:t>110.619</w:t>
            </w:r>
          </w:p>
        </w:tc>
        <w:tc>
          <w:tcPr>
            <w:tcW w:w="1166" w:type="dxa"/>
            <w:shd w:val="clear" w:color="auto" w:fill="auto"/>
          </w:tcPr>
          <w:p w14:paraId="15CCC413" w14:textId="77777777" w:rsidR="00203F72" w:rsidRPr="00A53581" w:rsidRDefault="00203F72" w:rsidP="00D87D91">
            <w:r w:rsidRPr="00A53581">
              <w:t>13.515</w:t>
            </w:r>
          </w:p>
        </w:tc>
        <w:tc>
          <w:tcPr>
            <w:tcW w:w="922" w:type="dxa"/>
            <w:shd w:val="clear" w:color="auto" w:fill="auto"/>
          </w:tcPr>
          <w:p w14:paraId="6B8ACD57" w14:textId="77777777" w:rsidR="00203F72" w:rsidRPr="00A53581" w:rsidRDefault="00203F72" w:rsidP="00D87D91">
            <w:r w:rsidRPr="00A53581">
              <w:t>7.519</w:t>
            </w:r>
          </w:p>
        </w:tc>
        <w:tc>
          <w:tcPr>
            <w:tcW w:w="912" w:type="dxa"/>
            <w:shd w:val="clear" w:color="auto" w:fill="auto"/>
          </w:tcPr>
          <w:p w14:paraId="46F46489" w14:textId="77777777" w:rsidR="00203F72" w:rsidRPr="00A53581" w:rsidRDefault="00203F72" w:rsidP="00D87D91">
            <w:r w:rsidRPr="00A53581">
              <w:t>.0000</w:t>
            </w:r>
            <w:r w:rsidRPr="00A53581">
              <w:rPr>
                <w:position w:val="10"/>
              </w:rPr>
              <w:t>﹡</w:t>
            </w:r>
          </w:p>
        </w:tc>
        <w:tc>
          <w:tcPr>
            <w:tcW w:w="1200" w:type="dxa"/>
            <w:shd w:val="clear" w:color="auto" w:fill="auto"/>
          </w:tcPr>
          <w:p w14:paraId="28C1C532" w14:textId="77777777" w:rsidR="00203F72" w:rsidRPr="00A53581" w:rsidRDefault="00203F72" w:rsidP="00D87D91">
            <w:r w:rsidRPr="00A53581">
              <w:t>.3098</w:t>
            </w:r>
          </w:p>
          <w:p w14:paraId="2CB6D872" w14:textId="77777777" w:rsidR="00203F72" w:rsidRPr="00A53581" w:rsidRDefault="00203F72" w:rsidP="00D87D91">
            <w:r w:rsidRPr="00A53581">
              <w:t>.3043</w:t>
            </w:r>
          </w:p>
        </w:tc>
        <w:tc>
          <w:tcPr>
            <w:tcW w:w="1320" w:type="dxa"/>
            <w:shd w:val="clear" w:color="auto" w:fill="auto"/>
          </w:tcPr>
          <w:p w14:paraId="7D9A599D" w14:textId="77777777" w:rsidR="00203F72" w:rsidRPr="00A53581" w:rsidRDefault="00203F72" w:rsidP="00D87D91">
            <w:r w:rsidRPr="00A53581">
              <w:t>56.5413</w:t>
            </w:r>
          </w:p>
          <w:p w14:paraId="256CD1D3" w14:textId="77777777" w:rsidR="00203F72" w:rsidRPr="00A53581" w:rsidRDefault="00203F72" w:rsidP="00D87D91">
            <w:r w:rsidRPr="00A53581">
              <w:t>(.0000</w:t>
            </w:r>
            <w:r w:rsidRPr="00A53581">
              <w:rPr>
                <w:position w:val="10"/>
              </w:rPr>
              <w:t>﹡</w:t>
            </w:r>
            <w:r w:rsidRPr="00A53581">
              <w:t>)</w:t>
            </w:r>
          </w:p>
        </w:tc>
      </w:tr>
    </w:tbl>
    <w:p w14:paraId="392E02F8" w14:textId="77777777" w:rsidR="00953151" w:rsidRDefault="00353CFF" w:rsidP="00D87D91">
      <w:r>
        <w:t>【註】</w:t>
      </w:r>
      <w:r w:rsidR="00203F72" w:rsidRPr="00A53581">
        <w:t>本表格之資料來源，係為</w:t>
      </w:r>
      <w:r w:rsidR="00D92F56">
        <w:t>〜</w:t>
      </w:r>
      <w:r w:rsidR="00203F72" w:rsidRPr="00A53581">
        <w:t>許春金、吳景芳、李湧清、曾正一、許金標、蔡田木</w:t>
      </w:r>
      <w:r w:rsidR="00203F72" w:rsidRPr="00A53581">
        <w:t>(1994)</w:t>
      </w:r>
      <w:r w:rsidR="00203F72" w:rsidRPr="00A53581">
        <w:t>，死刑存廢之探討，台北：行政院研究發展考核委員會編印，頁</w:t>
      </w:r>
      <w:r w:rsidR="00203F72" w:rsidRPr="00A53581">
        <w:t>134</w:t>
      </w:r>
      <w:r w:rsidR="00203F72" w:rsidRPr="00A53581">
        <w:t>，並經由作者重新改寫與闡釋其統計實證數據之意義。</w:t>
      </w:r>
    </w:p>
    <w:p w14:paraId="3534A49C" w14:textId="77777777" w:rsidR="00203F72" w:rsidRPr="00A53581" w:rsidRDefault="00353CFF" w:rsidP="00D87D91">
      <w:r>
        <w:t xml:space="preserve">　　</w:t>
      </w:r>
      <w:r w:rsidR="00203F72" w:rsidRPr="00A53581">
        <w:t>根據下表「被執行死刑總人數對搶奪案發生件數短期效應之影響表」之實證調查統計之數據，針對短期效應部分（執行死刑之當月、當後第</w:t>
      </w:r>
      <w:r w:rsidR="00203F72" w:rsidRPr="00A53581">
        <w:t>1</w:t>
      </w:r>
      <w:r w:rsidR="00203F72" w:rsidRPr="00A53581">
        <w:t>個月、當月之後第</w:t>
      </w:r>
      <w:r w:rsidR="00203F72" w:rsidRPr="00A53581">
        <w:t>2</w:t>
      </w:r>
      <w:r w:rsidR="00203F72" w:rsidRPr="00A53581">
        <w:t>個月、當月之後第</w:t>
      </w:r>
      <w:r w:rsidR="00203F72" w:rsidRPr="00A53581">
        <w:t>3</w:t>
      </w:r>
      <w:r w:rsidR="00203F72" w:rsidRPr="00A53581">
        <w:t>個月與當月之後第</w:t>
      </w:r>
      <w:r w:rsidR="00203F72" w:rsidRPr="00A53581">
        <w:t>4</w:t>
      </w:r>
      <w:r w:rsidR="00203F72" w:rsidRPr="00A53581">
        <w:t>個月），死刑在短期時程之上，對於搶奪案件之發生，在統計上，無法發揮抑制之效果，均未達統計上之顯著水準，</w:t>
      </w:r>
      <w:r w:rsidR="00203F72" w:rsidRPr="00A53581">
        <w:t>t</w:t>
      </w:r>
      <w:r w:rsidR="00203F72" w:rsidRPr="00A53581">
        <w:t>值均未達顯著性，本書稱之為「死刑抑制搶奪犯罪無效理論」。此表示死刑在抑制與壓制搶奪犯罪之上，是一種無效與無能之刑事政策。當月執行死刑之總人數，無法壓制當月搶奪犯罪之發生；雖然，</w:t>
      </w:r>
      <w:r w:rsidR="00203F72" w:rsidRPr="00A53581">
        <w:t>b</w:t>
      </w:r>
      <w:r w:rsidR="00203F72" w:rsidRPr="00A53581">
        <w:t>＝</w:t>
      </w:r>
      <w:r w:rsidR="00203F72" w:rsidRPr="00A53581">
        <w:t>-0.007</w:t>
      </w:r>
      <w:r w:rsidR="00203F72" w:rsidRPr="00A53581">
        <w:t>，表示死刑稍有抑制搶奪犯罪之能量，但仍未達統計上之顯著水準。既然未達統計上之顯著水準，客觀之陳述，即為死刑無法有效地壓制搶奪犯罪之發生。另外，就</w:t>
      </w:r>
      <w:r w:rsidR="00203F72" w:rsidRPr="00A53581">
        <w:t>R</w:t>
      </w:r>
      <w:r w:rsidR="00203F72" w:rsidRPr="00A53581">
        <w:rPr>
          <w:vertAlign w:val="superscript"/>
        </w:rPr>
        <w:t>2</w:t>
      </w:r>
      <w:r w:rsidR="00203F72" w:rsidRPr="00A53581">
        <w:t>加以觀察</w:t>
      </w:r>
      <w:r w:rsidR="00203F72" w:rsidRPr="00A53581">
        <w:rPr>
          <w:vertAlign w:val="superscript"/>
        </w:rPr>
        <w:t>，</w:t>
      </w:r>
      <w:r w:rsidR="00203F72" w:rsidRPr="00A53581">
        <w:t>R</w:t>
      </w:r>
      <w:r w:rsidR="00203F72" w:rsidRPr="00A53581">
        <w:rPr>
          <w:vertAlign w:val="superscript"/>
        </w:rPr>
        <w:t>2</w:t>
      </w:r>
      <w:r w:rsidR="00203F72" w:rsidRPr="00A53581">
        <w:t>＝</w:t>
      </w:r>
      <w:r w:rsidR="00203F72" w:rsidRPr="00A53581">
        <w:t>0.0077</w:t>
      </w:r>
      <w:r w:rsidR="00203F72" w:rsidRPr="00A53581">
        <w:t>，在壓制當月搶奪案件發生之百分比例變異量之中，僅有</w:t>
      </w:r>
      <w:r w:rsidR="00203F72" w:rsidRPr="00A53581">
        <w:t>00.77</w:t>
      </w:r>
      <w:r w:rsidR="00203F72" w:rsidRPr="00A53581">
        <w:t>％迴歸分析解釋量之比重，係因當月執行死刑所產生之威嚇力道，比例可謂非常地低，尚未達</w:t>
      </w:r>
      <w:r w:rsidR="00203F72" w:rsidRPr="00A53581">
        <w:t>1</w:t>
      </w:r>
      <w:r w:rsidR="00203F72" w:rsidRPr="00A53581">
        <w:t>％。故無法達到統計上之顯著水準。</w:t>
      </w:r>
    </w:p>
    <w:p w14:paraId="3F9BB735" w14:textId="77777777" w:rsidR="00953151" w:rsidRDefault="00353CFF" w:rsidP="00D87D91">
      <w:r>
        <w:t xml:space="preserve">　　</w:t>
      </w:r>
      <w:r w:rsidR="00203F72" w:rsidRPr="00A53581">
        <w:t>此外，當月執行死刑之總人數，對於第一個月，後第</w:t>
      </w:r>
      <w:r w:rsidR="00203F72" w:rsidRPr="00A53581">
        <w:t>2</w:t>
      </w:r>
      <w:r w:rsidR="00203F72" w:rsidRPr="00A53581">
        <w:t>個月，後第</w:t>
      </w:r>
      <w:r w:rsidR="00203F72" w:rsidRPr="00A53581">
        <w:t>3</w:t>
      </w:r>
      <w:r w:rsidR="00203F72" w:rsidRPr="00A53581">
        <w:t>個月與後第</w:t>
      </w:r>
      <w:r w:rsidR="00203F72" w:rsidRPr="00A53581">
        <w:t>4</w:t>
      </w:r>
      <w:r w:rsidR="00203F72" w:rsidRPr="00A53581">
        <w:t>個月而言，因</w:t>
      </w:r>
      <w:r w:rsidR="00203F72" w:rsidRPr="00A53581">
        <w:t>t</w:t>
      </w:r>
      <w:r w:rsidR="00203F72" w:rsidRPr="00A53581">
        <w:t>值均無法達到統計上之顯著水準，故可得知死刑在壓制搶奪犯罪之發生方面，均是無效的，均為失能之刑事政策，本書將此種之現象，特稱之為「死刑抑制搶奪犯罪無效理論」。假若看人擬壓制搶奪犯罪之生，死刑無法達到此種目的；既然死刑無法抑制搶奪犯罪之發生，表示即可廢除死刑。主要之理由，乃在於死刑對於壓制搶奪犯罪之發生，無法發揮抑制之力道，它是無用之刑事政策。既是無用之刑事政策，即可放棄死刑。</w:t>
      </w:r>
    </w:p>
    <w:p w14:paraId="53D0517B" w14:textId="77777777" w:rsidR="00703176" w:rsidRDefault="00703176" w:rsidP="00D87D91"/>
    <w:p w14:paraId="79D2C4BB" w14:textId="7EC6DFF0"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104</w:t>
      </w:r>
      <w:r w:rsidR="00076467">
        <w:rPr>
          <w:noProof/>
        </w:rPr>
        <w:fldChar w:fldCharType="end"/>
      </w:r>
      <w:r w:rsidR="00203F72" w:rsidRPr="00A53581">
        <w:t xml:space="preserve"> </w:t>
      </w:r>
      <w:r w:rsidR="00203F72" w:rsidRPr="00A53581">
        <w:t>被執行死刑總人數</w:t>
      </w:r>
      <w:r w:rsidR="00203F72" w:rsidRPr="00A53581">
        <w:t>(</w:t>
      </w:r>
      <w:r w:rsidR="00203F72" w:rsidRPr="00A53581">
        <w:t>自變項</w:t>
      </w:r>
      <w:r w:rsidR="00203F72" w:rsidRPr="00A53581">
        <w:t>)</w:t>
      </w:r>
      <w:r w:rsidR="00203F72" w:rsidRPr="00A53581">
        <w:t>對搶奪案發生件數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80"/>
        <w:gridCol w:w="1031"/>
        <w:gridCol w:w="889"/>
        <w:gridCol w:w="1080"/>
        <w:gridCol w:w="1320"/>
        <w:gridCol w:w="1320"/>
      </w:tblGrid>
      <w:tr w:rsidR="00203F72" w:rsidRPr="00A53581" w14:paraId="389E38BC" w14:textId="77777777" w:rsidTr="00703176">
        <w:trPr>
          <w:tblHeader/>
        </w:trPr>
        <w:tc>
          <w:tcPr>
            <w:tcW w:w="1428" w:type="dxa"/>
            <w:shd w:val="clear" w:color="auto" w:fill="FAF0FA"/>
          </w:tcPr>
          <w:p w14:paraId="25D22D1A" w14:textId="77777777" w:rsidR="00203F72" w:rsidRPr="00A53581" w:rsidRDefault="00203F72" w:rsidP="00D87D91">
            <w:r w:rsidRPr="00A53581">
              <w:t>被執行死刑總人數對搶奪案發生件數之影響</w:t>
            </w:r>
          </w:p>
        </w:tc>
        <w:tc>
          <w:tcPr>
            <w:tcW w:w="1080" w:type="dxa"/>
            <w:shd w:val="clear" w:color="auto" w:fill="FAF0FA"/>
          </w:tcPr>
          <w:p w14:paraId="0B18F8F8" w14:textId="77777777" w:rsidR="00203F72" w:rsidRPr="00A53581" w:rsidRDefault="00203F72" w:rsidP="00703176">
            <w:pPr>
              <w:jc w:val="center"/>
            </w:pPr>
            <w:r w:rsidRPr="00A53581">
              <w:t>a</w:t>
            </w:r>
          </w:p>
          <w:p w14:paraId="5813F040" w14:textId="77777777" w:rsidR="00203F72" w:rsidRPr="00A53581" w:rsidRDefault="00203F72" w:rsidP="00703176">
            <w:pPr>
              <w:jc w:val="center"/>
            </w:pPr>
            <w:r w:rsidRPr="00A53581">
              <w:t>常數</w:t>
            </w:r>
          </w:p>
        </w:tc>
        <w:tc>
          <w:tcPr>
            <w:tcW w:w="1031" w:type="dxa"/>
            <w:shd w:val="clear" w:color="auto" w:fill="FAF0FA"/>
          </w:tcPr>
          <w:p w14:paraId="0FF49CE5" w14:textId="77777777" w:rsidR="00203F72" w:rsidRPr="00A53581" w:rsidRDefault="00203F72" w:rsidP="00703176">
            <w:pPr>
              <w:jc w:val="center"/>
            </w:pPr>
            <w:r w:rsidRPr="00A53581">
              <w:t>b</w:t>
            </w:r>
          </w:p>
          <w:p w14:paraId="3633C845" w14:textId="77777777" w:rsidR="00203F72" w:rsidRPr="00A53581" w:rsidRDefault="00203F72" w:rsidP="00703176">
            <w:pPr>
              <w:jc w:val="center"/>
            </w:pPr>
            <w:r w:rsidRPr="00A53581">
              <w:t>斜率</w:t>
            </w:r>
            <w:r w:rsidRPr="00A53581">
              <w:t>(</w:t>
            </w:r>
            <w:r w:rsidRPr="00A53581">
              <w:t>未標準化迴歸係數</w:t>
            </w:r>
            <w:r w:rsidRPr="00A53581">
              <w:t>)</w:t>
            </w:r>
          </w:p>
        </w:tc>
        <w:tc>
          <w:tcPr>
            <w:tcW w:w="889" w:type="dxa"/>
            <w:shd w:val="clear" w:color="auto" w:fill="FAF0FA"/>
          </w:tcPr>
          <w:p w14:paraId="7B96D90D" w14:textId="77777777" w:rsidR="00203F72" w:rsidRPr="00A53581" w:rsidRDefault="00203F72" w:rsidP="00703176">
            <w:pPr>
              <w:jc w:val="center"/>
            </w:pPr>
            <w:r w:rsidRPr="00A53581">
              <w:t>t</w:t>
            </w:r>
          </w:p>
          <w:p w14:paraId="6511CDB1" w14:textId="77777777" w:rsidR="00203F72" w:rsidRPr="00A53581" w:rsidRDefault="00203F72" w:rsidP="00703176">
            <w:pPr>
              <w:jc w:val="center"/>
            </w:pPr>
            <w:r w:rsidRPr="00A53581">
              <w:t>值</w:t>
            </w:r>
          </w:p>
        </w:tc>
        <w:tc>
          <w:tcPr>
            <w:tcW w:w="1080" w:type="dxa"/>
            <w:shd w:val="clear" w:color="auto" w:fill="FAF0FA"/>
          </w:tcPr>
          <w:p w14:paraId="770CF6CF" w14:textId="77777777" w:rsidR="00203F72" w:rsidRPr="00A53581" w:rsidRDefault="00203F72" w:rsidP="00703176">
            <w:pPr>
              <w:jc w:val="center"/>
            </w:pPr>
            <w:r w:rsidRPr="00A53581">
              <w:t>t</w:t>
            </w:r>
            <w:r w:rsidRPr="00A53581">
              <w:t>值</w:t>
            </w:r>
          </w:p>
          <w:p w14:paraId="47655889" w14:textId="77777777" w:rsidR="00203F72" w:rsidRPr="00A53581" w:rsidRDefault="00203F72" w:rsidP="00703176">
            <w:pPr>
              <w:jc w:val="center"/>
            </w:pPr>
            <w:r w:rsidRPr="00A53581">
              <w:t>顯著性</w:t>
            </w:r>
          </w:p>
        </w:tc>
        <w:tc>
          <w:tcPr>
            <w:tcW w:w="1320" w:type="dxa"/>
            <w:shd w:val="clear" w:color="auto" w:fill="FAF0FA"/>
          </w:tcPr>
          <w:p w14:paraId="16026AFF" w14:textId="77777777" w:rsidR="00203F72" w:rsidRPr="00A53581" w:rsidRDefault="00203F72" w:rsidP="00703176">
            <w:pPr>
              <w:jc w:val="center"/>
            </w:pPr>
            <w:r w:rsidRPr="00A53581">
              <w:t>模式</w:t>
            </w:r>
          </w:p>
          <w:p w14:paraId="75CF6956" w14:textId="77777777" w:rsidR="00203F72" w:rsidRPr="00A53581" w:rsidRDefault="00203F72" w:rsidP="00703176">
            <w:pPr>
              <w:jc w:val="center"/>
              <w:rPr>
                <w:vertAlign w:val="superscript"/>
              </w:rPr>
            </w:pPr>
            <w:r w:rsidRPr="00A53581">
              <w:t>R</w:t>
            </w:r>
            <w:r w:rsidRPr="00A53581">
              <w:rPr>
                <w:vertAlign w:val="superscript"/>
              </w:rPr>
              <w:t>2</w:t>
            </w:r>
          </w:p>
          <w:p w14:paraId="31090AFE" w14:textId="77777777" w:rsidR="00203F72" w:rsidRPr="00A53581" w:rsidRDefault="00203F72" w:rsidP="00703176">
            <w:pPr>
              <w:jc w:val="center"/>
              <w:rPr>
                <w:vertAlign w:val="superscript"/>
              </w:rPr>
            </w:pPr>
            <w:r w:rsidRPr="00A53581">
              <w:t>adjusted R</w:t>
            </w:r>
            <w:r w:rsidRPr="00A53581">
              <w:rPr>
                <w:vertAlign w:val="superscript"/>
              </w:rPr>
              <w:t>2</w:t>
            </w:r>
          </w:p>
          <w:p w14:paraId="42F78AC4" w14:textId="77777777" w:rsidR="00203F72" w:rsidRPr="00A53581" w:rsidRDefault="00203F72" w:rsidP="00703176">
            <w:pPr>
              <w:jc w:val="center"/>
            </w:pPr>
          </w:p>
        </w:tc>
        <w:tc>
          <w:tcPr>
            <w:tcW w:w="1320" w:type="dxa"/>
            <w:shd w:val="clear" w:color="auto" w:fill="FAF0FA"/>
          </w:tcPr>
          <w:p w14:paraId="2D934889" w14:textId="77777777" w:rsidR="00203F72" w:rsidRPr="00A53581" w:rsidRDefault="00203F72" w:rsidP="00703176">
            <w:pPr>
              <w:jc w:val="center"/>
            </w:pPr>
            <w:r w:rsidRPr="00A53581">
              <w:t>模式</w:t>
            </w:r>
          </w:p>
          <w:p w14:paraId="0652869E" w14:textId="77777777" w:rsidR="00203F72" w:rsidRPr="00A53581" w:rsidRDefault="00203F72" w:rsidP="00703176">
            <w:pPr>
              <w:jc w:val="center"/>
            </w:pPr>
            <w:r w:rsidRPr="00A53581">
              <w:t>F</w:t>
            </w:r>
          </w:p>
          <w:p w14:paraId="2702FC85" w14:textId="77777777" w:rsidR="00203F72" w:rsidRPr="00A53581" w:rsidRDefault="00203F72" w:rsidP="00703176">
            <w:pPr>
              <w:jc w:val="center"/>
            </w:pPr>
            <w:r w:rsidRPr="00A53581">
              <w:t>值</w:t>
            </w:r>
          </w:p>
        </w:tc>
      </w:tr>
      <w:tr w:rsidR="00203F72" w:rsidRPr="00A53581" w14:paraId="40595AC7" w14:textId="77777777" w:rsidTr="00203F72">
        <w:tc>
          <w:tcPr>
            <w:tcW w:w="1428" w:type="dxa"/>
            <w:shd w:val="clear" w:color="auto" w:fill="auto"/>
          </w:tcPr>
          <w:p w14:paraId="28F3438A" w14:textId="77777777" w:rsidR="00203F72" w:rsidRPr="00A53581" w:rsidRDefault="00203F72" w:rsidP="00D87D91">
            <w:r w:rsidRPr="00A53581">
              <w:t>當月效果</w:t>
            </w:r>
          </w:p>
        </w:tc>
        <w:tc>
          <w:tcPr>
            <w:tcW w:w="1080" w:type="dxa"/>
            <w:shd w:val="clear" w:color="auto" w:fill="auto"/>
          </w:tcPr>
          <w:p w14:paraId="1772C44D" w14:textId="77777777" w:rsidR="00203F72" w:rsidRPr="00A53581" w:rsidRDefault="00203F72" w:rsidP="00703176">
            <w:pPr>
              <w:jc w:val="center"/>
            </w:pPr>
            <w:r w:rsidRPr="00A53581">
              <w:t>72.120</w:t>
            </w:r>
          </w:p>
        </w:tc>
        <w:tc>
          <w:tcPr>
            <w:tcW w:w="1031" w:type="dxa"/>
            <w:shd w:val="clear" w:color="auto" w:fill="auto"/>
          </w:tcPr>
          <w:p w14:paraId="28E1762C" w14:textId="77777777" w:rsidR="00203F72" w:rsidRPr="00A53581" w:rsidRDefault="00203F72" w:rsidP="00703176">
            <w:pPr>
              <w:jc w:val="center"/>
            </w:pPr>
            <w:r w:rsidRPr="00A53581">
              <w:t>-.007</w:t>
            </w:r>
          </w:p>
        </w:tc>
        <w:tc>
          <w:tcPr>
            <w:tcW w:w="889" w:type="dxa"/>
            <w:shd w:val="clear" w:color="auto" w:fill="auto"/>
          </w:tcPr>
          <w:p w14:paraId="6C7F324D" w14:textId="77777777" w:rsidR="00203F72" w:rsidRPr="00A53581" w:rsidRDefault="00203F72" w:rsidP="00703176">
            <w:pPr>
              <w:jc w:val="center"/>
            </w:pPr>
            <w:r w:rsidRPr="00A53581">
              <w:t>-.010</w:t>
            </w:r>
          </w:p>
        </w:tc>
        <w:tc>
          <w:tcPr>
            <w:tcW w:w="1080" w:type="dxa"/>
            <w:shd w:val="clear" w:color="auto" w:fill="auto"/>
          </w:tcPr>
          <w:p w14:paraId="66B99647" w14:textId="77777777" w:rsidR="00203F72" w:rsidRPr="00A53581" w:rsidRDefault="00203F72" w:rsidP="00703176">
            <w:pPr>
              <w:jc w:val="center"/>
            </w:pPr>
            <w:r w:rsidRPr="00A53581">
              <w:t>.9920</w:t>
            </w:r>
          </w:p>
        </w:tc>
        <w:tc>
          <w:tcPr>
            <w:tcW w:w="1320" w:type="dxa"/>
            <w:shd w:val="clear" w:color="auto" w:fill="auto"/>
          </w:tcPr>
          <w:p w14:paraId="78C7079E" w14:textId="77777777" w:rsidR="00203F72" w:rsidRPr="00A53581" w:rsidRDefault="00203F72" w:rsidP="00703176">
            <w:pPr>
              <w:jc w:val="center"/>
            </w:pPr>
            <w:r w:rsidRPr="00A53581">
              <w:t>.0000</w:t>
            </w:r>
          </w:p>
          <w:p w14:paraId="067C32D6" w14:textId="77777777" w:rsidR="00203F72" w:rsidRPr="00A53581" w:rsidRDefault="00203F72" w:rsidP="00703176">
            <w:pPr>
              <w:jc w:val="center"/>
            </w:pPr>
            <w:r w:rsidRPr="00A53581">
              <w:t>.0077</w:t>
            </w:r>
          </w:p>
        </w:tc>
        <w:tc>
          <w:tcPr>
            <w:tcW w:w="1320" w:type="dxa"/>
            <w:shd w:val="clear" w:color="auto" w:fill="auto"/>
          </w:tcPr>
          <w:p w14:paraId="65B6E7B9" w14:textId="77777777" w:rsidR="00203F72" w:rsidRPr="00A53581" w:rsidRDefault="00203F72" w:rsidP="00703176">
            <w:pPr>
              <w:jc w:val="center"/>
            </w:pPr>
            <w:r w:rsidRPr="00A53581">
              <w:t>.0001</w:t>
            </w:r>
          </w:p>
          <w:p w14:paraId="34E495F3" w14:textId="77777777" w:rsidR="00203F72" w:rsidRPr="00A53581" w:rsidRDefault="00203F72" w:rsidP="00703176">
            <w:pPr>
              <w:jc w:val="center"/>
            </w:pPr>
            <w:r w:rsidRPr="00A53581">
              <w:t>(.9920)</w:t>
            </w:r>
          </w:p>
        </w:tc>
      </w:tr>
      <w:tr w:rsidR="00203F72" w:rsidRPr="00A53581" w14:paraId="6C94C39A" w14:textId="77777777" w:rsidTr="00203F72">
        <w:tc>
          <w:tcPr>
            <w:tcW w:w="1428" w:type="dxa"/>
            <w:shd w:val="clear" w:color="auto" w:fill="auto"/>
          </w:tcPr>
          <w:p w14:paraId="3EFC536B" w14:textId="77777777" w:rsidR="00203F72" w:rsidRPr="00A53581" w:rsidRDefault="00203F72" w:rsidP="00D87D91">
            <w:r w:rsidRPr="00A53581">
              <w:t>延遲一月效果</w:t>
            </w:r>
          </w:p>
        </w:tc>
        <w:tc>
          <w:tcPr>
            <w:tcW w:w="1080" w:type="dxa"/>
            <w:shd w:val="clear" w:color="auto" w:fill="auto"/>
          </w:tcPr>
          <w:p w14:paraId="71190284" w14:textId="77777777" w:rsidR="00203F72" w:rsidRPr="00A53581" w:rsidRDefault="00203F72" w:rsidP="00703176">
            <w:pPr>
              <w:jc w:val="center"/>
            </w:pPr>
            <w:r w:rsidRPr="00A53581">
              <w:t>71.625</w:t>
            </w:r>
          </w:p>
        </w:tc>
        <w:tc>
          <w:tcPr>
            <w:tcW w:w="1031" w:type="dxa"/>
            <w:shd w:val="clear" w:color="auto" w:fill="auto"/>
          </w:tcPr>
          <w:p w14:paraId="67826934" w14:textId="77777777" w:rsidR="00203F72" w:rsidRPr="00A53581" w:rsidRDefault="00203F72" w:rsidP="00703176">
            <w:pPr>
              <w:jc w:val="center"/>
            </w:pPr>
            <w:r w:rsidRPr="00A53581">
              <w:t>.323</w:t>
            </w:r>
          </w:p>
        </w:tc>
        <w:tc>
          <w:tcPr>
            <w:tcW w:w="889" w:type="dxa"/>
            <w:shd w:val="clear" w:color="auto" w:fill="auto"/>
          </w:tcPr>
          <w:p w14:paraId="110AD56C" w14:textId="77777777" w:rsidR="00203F72" w:rsidRPr="00A53581" w:rsidRDefault="00203F72" w:rsidP="00703176">
            <w:pPr>
              <w:jc w:val="center"/>
            </w:pPr>
            <w:r w:rsidRPr="00A53581">
              <w:t>.494</w:t>
            </w:r>
          </w:p>
        </w:tc>
        <w:tc>
          <w:tcPr>
            <w:tcW w:w="1080" w:type="dxa"/>
            <w:shd w:val="clear" w:color="auto" w:fill="auto"/>
          </w:tcPr>
          <w:p w14:paraId="67AA486E" w14:textId="77777777" w:rsidR="00203F72" w:rsidRPr="00A53581" w:rsidRDefault="00203F72" w:rsidP="00703176">
            <w:pPr>
              <w:jc w:val="center"/>
            </w:pPr>
            <w:r w:rsidRPr="00A53581">
              <w:t>.6218</w:t>
            </w:r>
          </w:p>
        </w:tc>
        <w:tc>
          <w:tcPr>
            <w:tcW w:w="1320" w:type="dxa"/>
            <w:shd w:val="clear" w:color="auto" w:fill="auto"/>
          </w:tcPr>
          <w:p w14:paraId="0AA986A5" w14:textId="77777777" w:rsidR="00203F72" w:rsidRPr="00A53581" w:rsidRDefault="00203F72" w:rsidP="00703176">
            <w:pPr>
              <w:jc w:val="center"/>
            </w:pPr>
            <w:r w:rsidRPr="00A53581">
              <w:t>.0019</w:t>
            </w:r>
          </w:p>
          <w:p w14:paraId="249F23E3" w14:textId="77777777" w:rsidR="00203F72" w:rsidRPr="00A53581" w:rsidRDefault="00203F72" w:rsidP="00703176">
            <w:pPr>
              <w:jc w:val="center"/>
            </w:pPr>
            <w:r w:rsidRPr="00A53581">
              <w:t>.0059</w:t>
            </w:r>
          </w:p>
        </w:tc>
        <w:tc>
          <w:tcPr>
            <w:tcW w:w="1320" w:type="dxa"/>
            <w:shd w:val="clear" w:color="auto" w:fill="auto"/>
          </w:tcPr>
          <w:p w14:paraId="08307AEF" w14:textId="77777777" w:rsidR="00203F72" w:rsidRPr="00A53581" w:rsidRDefault="00203F72" w:rsidP="00703176">
            <w:pPr>
              <w:jc w:val="center"/>
            </w:pPr>
            <w:r w:rsidRPr="00A53581">
              <w:t>.2445</w:t>
            </w:r>
          </w:p>
          <w:p w14:paraId="46E8D088" w14:textId="77777777" w:rsidR="00203F72" w:rsidRPr="00A53581" w:rsidRDefault="00203F72" w:rsidP="00703176">
            <w:pPr>
              <w:jc w:val="center"/>
            </w:pPr>
            <w:r w:rsidRPr="00A53581">
              <w:t>(.6218)</w:t>
            </w:r>
          </w:p>
        </w:tc>
      </w:tr>
      <w:tr w:rsidR="00203F72" w:rsidRPr="00A53581" w14:paraId="2C1F9804" w14:textId="77777777" w:rsidTr="00203F72">
        <w:tc>
          <w:tcPr>
            <w:tcW w:w="1428" w:type="dxa"/>
            <w:shd w:val="clear" w:color="auto" w:fill="auto"/>
          </w:tcPr>
          <w:p w14:paraId="2220CEC0" w14:textId="77777777" w:rsidR="00203F72" w:rsidRPr="00A53581" w:rsidRDefault="00203F72" w:rsidP="00D87D91">
            <w:r w:rsidRPr="00A53581">
              <w:t>延遲二月效果</w:t>
            </w:r>
          </w:p>
        </w:tc>
        <w:tc>
          <w:tcPr>
            <w:tcW w:w="1080" w:type="dxa"/>
            <w:shd w:val="clear" w:color="auto" w:fill="auto"/>
          </w:tcPr>
          <w:p w14:paraId="5FA8737D" w14:textId="77777777" w:rsidR="00203F72" w:rsidRPr="00A53581" w:rsidRDefault="00203F72" w:rsidP="00703176">
            <w:pPr>
              <w:jc w:val="center"/>
            </w:pPr>
            <w:r w:rsidRPr="00A53581">
              <w:t>72.655</w:t>
            </w:r>
          </w:p>
        </w:tc>
        <w:tc>
          <w:tcPr>
            <w:tcW w:w="1031" w:type="dxa"/>
            <w:shd w:val="clear" w:color="auto" w:fill="auto"/>
          </w:tcPr>
          <w:p w14:paraId="5C637726" w14:textId="77777777" w:rsidR="00203F72" w:rsidRPr="00A53581" w:rsidRDefault="00203F72" w:rsidP="00703176">
            <w:pPr>
              <w:jc w:val="center"/>
            </w:pPr>
            <w:r w:rsidRPr="00A53581">
              <w:t>-.149</w:t>
            </w:r>
          </w:p>
        </w:tc>
        <w:tc>
          <w:tcPr>
            <w:tcW w:w="889" w:type="dxa"/>
            <w:shd w:val="clear" w:color="auto" w:fill="auto"/>
          </w:tcPr>
          <w:p w14:paraId="6EDEC67E" w14:textId="77777777" w:rsidR="00203F72" w:rsidRPr="00A53581" w:rsidRDefault="00203F72" w:rsidP="00703176">
            <w:pPr>
              <w:jc w:val="center"/>
            </w:pPr>
            <w:r w:rsidRPr="00A53581">
              <w:t>-.222</w:t>
            </w:r>
          </w:p>
        </w:tc>
        <w:tc>
          <w:tcPr>
            <w:tcW w:w="1080" w:type="dxa"/>
            <w:shd w:val="clear" w:color="auto" w:fill="auto"/>
          </w:tcPr>
          <w:p w14:paraId="7371B9DE" w14:textId="77777777" w:rsidR="00203F72" w:rsidRPr="00A53581" w:rsidRDefault="00203F72" w:rsidP="00703176">
            <w:pPr>
              <w:jc w:val="center"/>
            </w:pPr>
            <w:r w:rsidRPr="00A53581">
              <w:t>.8249</w:t>
            </w:r>
          </w:p>
        </w:tc>
        <w:tc>
          <w:tcPr>
            <w:tcW w:w="1320" w:type="dxa"/>
            <w:shd w:val="clear" w:color="auto" w:fill="auto"/>
          </w:tcPr>
          <w:p w14:paraId="6CF481A4" w14:textId="77777777" w:rsidR="00203F72" w:rsidRPr="00A53581" w:rsidRDefault="00203F72" w:rsidP="00703176">
            <w:pPr>
              <w:jc w:val="center"/>
            </w:pPr>
            <w:r w:rsidRPr="00A53581">
              <w:t>.0004</w:t>
            </w:r>
          </w:p>
          <w:p w14:paraId="7B1E647D" w14:textId="77777777" w:rsidR="00203F72" w:rsidRPr="00A53581" w:rsidRDefault="00203F72" w:rsidP="00703176">
            <w:pPr>
              <w:jc w:val="center"/>
            </w:pPr>
            <w:r w:rsidRPr="00A53581">
              <w:t>.0074</w:t>
            </w:r>
          </w:p>
        </w:tc>
        <w:tc>
          <w:tcPr>
            <w:tcW w:w="1320" w:type="dxa"/>
            <w:shd w:val="clear" w:color="auto" w:fill="auto"/>
          </w:tcPr>
          <w:p w14:paraId="58020F9C" w14:textId="77777777" w:rsidR="00203F72" w:rsidRPr="00A53581" w:rsidRDefault="00203F72" w:rsidP="00703176">
            <w:pPr>
              <w:jc w:val="center"/>
            </w:pPr>
            <w:r w:rsidRPr="00A53581">
              <w:t>.0492</w:t>
            </w:r>
          </w:p>
          <w:p w14:paraId="621DCBC8" w14:textId="77777777" w:rsidR="00203F72" w:rsidRPr="00A53581" w:rsidRDefault="00203F72" w:rsidP="00703176">
            <w:pPr>
              <w:jc w:val="center"/>
            </w:pPr>
            <w:r w:rsidRPr="00A53581">
              <w:t>(.8249)</w:t>
            </w:r>
          </w:p>
        </w:tc>
      </w:tr>
      <w:tr w:rsidR="00203F72" w:rsidRPr="00A53581" w14:paraId="722D9BFA" w14:textId="77777777" w:rsidTr="00203F72">
        <w:tc>
          <w:tcPr>
            <w:tcW w:w="1428" w:type="dxa"/>
            <w:shd w:val="clear" w:color="auto" w:fill="auto"/>
          </w:tcPr>
          <w:p w14:paraId="53179B8E" w14:textId="77777777" w:rsidR="00203F72" w:rsidRPr="00A53581" w:rsidRDefault="00203F72" w:rsidP="00D87D91">
            <w:r w:rsidRPr="00A53581">
              <w:t>延遲三月效果</w:t>
            </w:r>
          </w:p>
        </w:tc>
        <w:tc>
          <w:tcPr>
            <w:tcW w:w="1080" w:type="dxa"/>
            <w:shd w:val="clear" w:color="auto" w:fill="auto"/>
          </w:tcPr>
          <w:p w14:paraId="4BB78913" w14:textId="77777777" w:rsidR="00203F72" w:rsidRPr="00A53581" w:rsidRDefault="00203F72" w:rsidP="00703176">
            <w:pPr>
              <w:jc w:val="center"/>
            </w:pPr>
            <w:r w:rsidRPr="00A53581">
              <w:t>72.874</w:t>
            </w:r>
          </w:p>
        </w:tc>
        <w:tc>
          <w:tcPr>
            <w:tcW w:w="1031" w:type="dxa"/>
            <w:shd w:val="clear" w:color="auto" w:fill="auto"/>
          </w:tcPr>
          <w:p w14:paraId="5B128CB8" w14:textId="77777777" w:rsidR="00203F72" w:rsidRPr="00A53581" w:rsidRDefault="00203F72" w:rsidP="00703176">
            <w:pPr>
              <w:jc w:val="center"/>
            </w:pPr>
            <w:r w:rsidRPr="00A53581">
              <w:t>-.277</w:t>
            </w:r>
          </w:p>
        </w:tc>
        <w:tc>
          <w:tcPr>
            <w:tcW w:w="889" w:type="dxa"/>
            <w:shd w:val="clear" w:color="auto" w:fill="auto"/>
          </w:tcPr>
          <w:p w14:paraId="71AD617B" w14:textId="77777777" w:rsidR="00203F72" w:rsidRPr="00A53581" w:rsidRDefault="00203F72" w:rsidP="00703176">
            <w:pPr>
              <w:jc w:val="center"/>
            </w:pPr>
            <w:r w:rsidRPr="00A53581">
              <w:t>-.419</w:t>
            </w:r>
          </w:p>
        </w:tc>
        <w:tc>
          <w:tcPr>
            <w:tcW w:w="1080" w:type="dxa"/>
            <w:shd w:val="clear" w:color="auto" w:fill="auto"/>
          </w:tcPr>
          <w:p w14:paraId="2381A871" w14:textId="77777777" w:rsidR="00203F72" w:rsidRPr="00A53581" w:rsidRDefault="00203F72" w:rsidP="00703176">
            <w:pPr>
              <w:jc w:val="center"/>
            </w:pPr>
            <w:r w:rsidRPr="00A53581">
              <w:t>.6759</w:t>
            </w:r>
          </w:p>
        </w:tc>
        <w:tc>
          <w:tcPr>
            <w:tcW w:w="1320" w:type="dxa"/>
            <w:shd w:val="clear" w:color="auto" w:fill="auto"/>
          </w:tcPr>
          <w:p w14:paraId="4027BB29" w14:textId="77777777" w:rsidR="00203F72" w:rsidRPr="00A53581" w:rsidRDefault="00203F72" w:rsidP="00703176">
            <w:pPr>
              <w:jc w:val="center"/>
            </w:pPr>
            <w:r w:rsidRPr="00A53581">
              <w:t>.0014</w:t>
            </w:r>
          </w:p>
          <w:p w14:paraId="4F43F201" w14:textId="77777777" w:rsidR="00203F72" w:rsidRPr="00A53581" w:rsidRDefault="00203F72" w:rsidP="00703176">
            <w:pPr>
              <w:jc w:val="center"/>
            </w:pPr>
            <w:r w:rsidRPr="00A53581">
              <w:t>.0064</w:t>
            </w:r>
          </w:p>
        </w:tc>
        <w:tc>
          <w:tcPr>
            <w:tcW w:w="1320" w:type="dxa"/>
            <w:shd w:val="clear" w:color="auto" w:fill="auto"/>
          </w:tcPr>
          <w:p w14:paraId="7CA7EF98" w14:textId="77777777" w:rsidR="00203F72" w:rsidRPr="00A53581" w:rsidRDefault="00203F72" w:rsidP="00703176">
            <w:pPr>
              <w:jc w:val="center"/>
            </w:pPr>
            <w:r w:rsidRPr="00A53581">
              <w:t>.1756</w:t>
            </w:r>
          </w:p>
          <w:p w14:paraId="519F9540" w14:textId="77777777" w:rsidR="00203F72" w:rsidRPr="00A53581" w:rsidRDefault="00203F72" w:rsidP="00703176">
            <w:pPr>
              <w:jc w:val="center"/>
            </w:pPr>
            <w:r w:rsidRPr="00A53581">
              <w:t>(.6759)</w:t>
            </w:r>
          </w:p>
        </w:tc>
      </w:tr>
      <w:tr w:rsidR="00203F72" w:rsidRPr="00A53581" w14:paraId="68D3BE81" w14:textId="77777777" w:rsidTr="00203F72">
        <w:tc>
          <w:tcPr>
            <w:tcW w:w="1428" w:type="dxa"/>
            <w:shd w:val="clear" w:color="auto" w:fill="auto"/>
          </w:tcPr>
          <w:p w14:paraId="5AC5BCF4" w14:textId="77777777" w:rsidR="00203F72" w:rsidRPr="00A53581" w:rsidRDefault="00203F72" w:rsidP="00D87D91">
            <w:r w:rsidRPr="00A53581">
              <w:t>延遲四月效果</w:t>
            </w:r>
          </w:p>
        </w:tc>
        <w:tc>
          <w:tcPr>
            <w:tcW w:w="1080" w:type="dxa"/>
            <w:shd w:val="clear" w:color="auto" w:fill="auto"/>
          </w:tcPr>
          <w:p w14:paraId="6EEED5A6" w14:textId="77777777" w:rsidR="00203F72" w:rsidRPr="00A53581" w:rsidRDefault="00203F72" w:rsidP="00703176">
            <w:pPr>
              <w:jc w:val="center"/>
            </w:pPr>
            <w:r w:rsidRPr="00A53581">
              <w:t>72.517</w:t>
            </w:r>
          </w:p>
        </w:tc>
        <w:tc>
          <w:tcPr>
            <w:tcW w:w="1031" w:type="dxa"/>
            <w:shd w:val="clear" w:color="auto" w:fill="auto"/>
          </w:tcPr>
          <w:p w14:paraId="5B87288E" w14:textId="77777777" w:rsidR="00203F72" w:rsidRPr="00A53581" w:rsidRDefault="00203F72" w:rsidP="00703176">
            <w:pPr>
              <w:jc w:val="center"/>
            </w:pPr>
            <w:r w:rsidRPr="00A53581">
              <w:t>-.129</w:t>
            </w:r>
          </w:p>
        </w:tc>
        <w:tc>
          <w:tcPr>
            <w:tcW w:w="889" w:type="dxa"/>
            <w:shd w:val="clear" w:color="auto" w:fill="auto"/>
          </w:tcPr>
          <w:p w14:paraId="6B2BB51D" w14:textId="77777777" w:rsidR="00203F72" w:rsidRPr="00A53581" w:rsidRDefault="00203F72" w:rsidP="00703176">
            <w:pPr>
              <w:jc w:val="center"/>
            </w:pPr>
            <w:r w:rsidRPr="00A53581">
              <w:t>-.195</w:t>
            </w:r>
          </w:p>
        </w:tc>
        <w:tc>
          <w:tcPr>
            <w:tcW w:w="1080" w:type="dxa"/>
            <w:shd w:val="clear" w:color="auto" w:fill="auto"/>
          </w:tcPr>
          <w:p w14:paraId="06CFF819" w14:textId="77777777" w:rsidR="00203F72" w:rsidRPr="00A53581" w:rsidRDefault="00203F72" w:rsidP="00703176">
            <w:pPr>
              <w:jc w:val="center"/>
            </w:pPr>
            <w:r w:rsidRPr="00A53581">
              <w:t>.8454</w:t>
            </w:r>
          </w:p>
        </w:tc>
        <w:tc>
          <w:tcPr>
            <w:tcW w:w="1320" w:type="dxa"/>
            <w:shd w:val="clear" w:color="auto" w:fill="auto"/>
          </w:tcPr>
          <w:p w14:paraId="736D938C" w14:textId="77777777" w:rsidR="00203F72" w:rsidRPr="00A53581" w:rsidRDefault="00203F72" w:rsidP="00703176">
            <w:pPr>
              <w:jc w:val="center"/>
            </w:pPr>
            <w:r w:rsidRPr="00A53581">
              <w:t>.0003</w:t>
            </w:r>
          </w:p>
          <w:p w14:paraId="4DC2521A" w14:textId="77777777" w:rsidR="00203F72" w:rsidRPr="00A53581" w:rsidRDefault="00203F72" w:rsidP="00703176">
            <w:pPr>
              <w:jc w:val="center"/>
            </w:pPr>
            <w:r w:rsidRPr="00A53581">
              <w:t>.0076</w:t>
            </w:r>
          </w:p>
        </w:tc>
        <w:tc>
          <w:tcPr>
            <w:tcW w:w="1320" w:type="dxa"/>
            <w:shd w:val="clear" w:color="auto" w:fill="auto"/>
          </w:tcPr>
          <w:p w14:paraId="32D48D2F" w14:textId="77777777" w:rsidR="00203F72" w:rsidRPr="00A53581" w:rsidRDefault="00203F72" w:rsidP="00703176">
            <w:pPr>
              <w:jc w:val="center"/>
            </w:pPr>
            <w:r w:rsidRPr="00A53581">
              <w:t>.0382</w:t>
            </w:r>
          </w:p>
          <w:p w14:paraId="1F390078" w14:textId="77777777" w:rsidR="00203F72" w:rsidRPr="00A53581" w:rsidRDefault="00203F72" w:rsidP="00703176">
            <w:pPr>
              <w:jc w:val="center"/>
            </w:pPr>
            <w:r w:rsidRPr="00A53581">
              <w:t>(.8454)</w:t>
            </w:r>
          </w:p>
        </w:tc>
      </w:tr>
    </w:tbl>
    <w:p w14:paraId="1E403C92" w14:textId="77777777" w:rsidR="00203F72" w:rsidRPr="00A53581" w:rsidRDefault="00203F72" w:rsidP="00D87D91"/>
    <w:p w14:paraId="2160817C" w14:textId="77777777" w:rsidR="00953151" w:rsidRPr="00515D85" w:rsidRDefault="00353CFF" w:rsidP="00D87D91">
      <w:r w:rsidRPr="00515D85">
        <w:t>【註】</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135</w:t>
      </w:r>
      <w:r w:rsidR="00203F72" w:rsidRPr="00515D85">
        <w:t>，並經由作者重新改寫與闡釋其統計實證數據之意義。原始表格中之</w:t>
      </w:r>
      <w:r w:rsidR="00203F72" w:rsidRPr="00515D85">
        <w:t>adjusted R2</w:t>
      </w:r>
      <w:r w:rsidR="00203F72" w:rsidRPr="00515D85">
        <w:t>，被誤植為負值，已經本書作者更正之。</w:t>
      </w:r>
    </w:p>
    <w:p w14:paraId="0E5440BA" w14:textId="77777777" w:rsidR="00203F72" w:rsidRPr="00515D85" w:rsidRDefault="00353CFF" w:rsidP="00D87D91">
      <w:r w:rsidRPr="00515D85">
        <w:t xml:space="preserve">　　</w:t>
      </w:r>
      <w:r w:rsidR="00203F72" w:rsidRPr="00515D85">
        <w:t>根據下表「被執行死刑總人數對擄人勒贖案發生件數短期效應之影響表」之實證調查統計之客觀數據，針對於短期效應而言，死刑在短期時程之上，對於擄人勒贖案件之生，在統計上，具有相當積極之促發效應，</w:t>
      </w:r>
      <w:r w:rsidR="00203F72" w:rsidRPr="00515D85">
        <w:t>b</w:t>
      </w:r>
      <w:r w:rsidR="00203F72" w:rsidRPr="00515D85">
        <w:t>值均為正值，</w:t>
      </w:r>
      <w:r w:rsidR="00203F72" w:rsidRPr="00515D85">
        <w:t>t</w:t>
      </w:r>
      <w:r w:rsidR="00203F72" w:rsidRPr="00515D85">
        <w:t>值均已達統計上之極顯著水準，本書稱之為「死刑積極促發擄人勒贖犯罪理論」。當月執行死刑之總人數，會正面地促發當月擄人勒贖犯罪之發生，修正後之</w:t>
      </w:r>
      <w:r w:rsidR="00203F72" w:rsidRPr="00515D85">
        <w:t>R2</w:t>
      </w:r>
      <w:r w:rsidR="00203F72" w:rsidRPr="00515D85">
        <w:t>＝</w:t>
      </w:r>
      <w:r w:rsidR="00203F72" w:rsidRPr="00515D85">
        <w:t>0.1474</w:t>
      </w:r>
      <w:r w:rsidR="00203F72" w:rsidRPr="00515D85">
        <w:t>；亦即，在當月擄人勒贖案件發生的百分比例變異量之中，有</w:t>
      </w:r>
      <w:r w:rsidR="00203F72" w:rsidRPr="00515D85">
        <w:t>14.74</w:t>
      </w:r>
      <w:r w:rsidR="00203F72" w:rsidRPr="00515D85">
        <w:t>％迴歸分別解釋量之比重，係因國家當月執行死刑所引發之結果，比重仍維持相當一定之程度；再次地證明，死刑會以積極之方式，導致擄人勒贖案件的發生。</w:t>
      </w:r>
    </w:p>
    <w:p w14:paraId="5143C868" w14:textId="77777777" w:rsidR="00953151" w:rsidRPr="00515D85" w:rsidRDefault="00353CFF" w:rsidP="00D87D91">
      <w:r w:rsidRPr="00515D85">
        <w:t xml:space="preserve">　　</w:t>
      </w:r>
      <w:r w:rsidR="00203F72" w:rsidRPr="00515D85">
        <w:t>當月執行死刑的總人數，亦會積極地促發當月之後，第</w:t>
      </w:r>
      <w:r w:rsidR="00203F72" w:rsidRPr="00515D85">
        <w:t>1</w:t>
      </w:r>
      <w:r w:rsidR="00203F72" w:rsidRPr="00515D85">
        <w:t>個月擄人勒贖案件的發生，修正後之</w:t>
      </w:r>
      <w:r w:rsidR="00203F72" w:rsidRPr="00515D85">
        <w:t>R2</w:t>
      </w:r>
      <w:r w:rsidR="00203F72" w:rsidRPr="00515D85">
        <w:t>＝</w:t>
      </w:r>
      <w:r w:rsidR="00203F72" w:rsidRPr="00515D85">
        <w:t>19.84</w:t>
      </w:r>
      <w:r w:rsidR="00203F72" w:rsidRPr="00515D85">
        <w:t>；換言之，在當月之後的第</w:t>
      </w:r>
      <w:r w:rsidR="00203F72" w:rsidRPr="00515D85">
        <w:t>1</w:t>
      </w:r>
      <w:r w:rsidR="00203F72" w:rsidRPr="00515D85">
        <w:t>個月之擄人勒贖案件發生的百分比例變異量之中，有</w:t>
      </w:r>
      <w:r w:rsidR="00203F72" w:rsidRPr="00515D85">
        <w:t>19.84</w:t>
      </w:r>
      <w:r w:rsidR="00203F72" w:rsidRPr="00515D85">
        <w:t>％解釋量之比重，係因國家前</w:t>
      </w:r>
      <w:r w:rsidR="00203F72" w:rsidRPr="00515D85">
        <w:t>1</w:t>
      </w:r>
      <w:r w:rsidR="00203F72" w:rsidRPr="00515D85">
        <w:t>個月執行死刑所導致的結果，比重佔相當高的程度，近約</w:t>
      </w:r>
      <w:r w:rsidR="00203F72" w:rsidRPr="00515D85">
        <w:t>20</w:t>
      </w:r>
      <w:r w:rsidR="00203F72" w:rsidRPr="00515D85">
        <w:t>％；再一次地驗證，死刑會以正當的方式，導致擄人勒贖案件之發生。再者，當月執行死刑的總人數，仍然會正向地促發當月之後第</w:t>
      </w:r>
      <w:r w:rsidR="00203F72" w:rsidRPr="00515D85">
        <w:t>2</w:t>
      </w:r>
      <w:r w:rsidR="00203F72" w:rsidRPr="00515D85">
        <w:t>個月擄人勒贖犯罪之發生，修正後之</w:t>
      </w:r>
      <w:r w:rsidR="00203F72" w:rsidRPr="00515D85">
        <w:t>R2</w:t>
      </w:r>
      <w:r w:rsidR="00203F72" w:rsidRPr="00515D85">
        <w:t>＝</w:t>
      </w:r>
      <w:r w:rsidR="00203F72" w:rsidRPr="00515D85">
        <w:t>0.1747</w:t>
      </w:r>
      <w:r w:rsidR="00203F72" w:rsidRPr="00515D85">
        <w:t>；亦即，在當月之後的第</w:t>
      </w:r>
      <w:r w:rsidR="00203F72" w:rsidRPr="00515D85">
        <w:t>2</w:t>
      </w:r>
      <w:r w:rsidR="00203F72" w:rsidRPr="00515D85">
        <w:t>個月擄人勒贖案件生的百分比例變異量之中，有</w:t>
      </w:r>
      <w:r w:rsidR="00203F72" w:rsidRPr="00515D85">
        <w:t>17.47%</w:t>
      </w:r>
      <w:r w:rsidR="00203F72" w:rsidRPr="00515D85">
        <w:t>迴歸分析解釋量之比重，係因國家前</w:t>
      </w:r>
      <w:r w:rsidR="00203F72" w:rsidRPr="00515D85">
        <w:t>2</w:t>
      </w:r>
      <w:r w:rsidR="00203F72" w:rsidRPr="00515D85">
        <w:t>個月執行死刑所引之結果，比重仍佔頗高之程度；再一次地證明，死刑會以積極及正面之方式，導致擄人勒贖案件的發生。此外，當月執行死刑的總人數，仍然會積極地促發當月之後第</w:t>
      </w:r>
      <w:r w:rsidR="00203F72" w:rsidRPr="00515D85">
        <w:t>3</w:t>
      </w:r>
      <w:r w:rsidR="00203F72" w:rsidRPr="00515D85">
        <w:t>個月擄人勒贖犯罪之生，修正後之</w:t>
      </w:r>
      <w:r w:rsidR="00203F72" w:rsidRPr="00515D85">
        <w:t>R2</w:t>
      </w:r>
      <w:r w:rsidR="00203F72" w:rsidRPr="00515D85">
        <w:t>＝</w:t>
      </w:r>
      <w:r w:rsidR="00203F72" w:rsidRPr="00515D85">
        <w:t>0.1092</w:t>
      </w:r>
      <w:r w:rsidR="00203F72" w:rsidRPr="00515D85">
        <w:t>；亦即，在當月之後的第</w:t>
      </w:r>
      <w:r w:rsidR="00203F72" w:rsidRPr="00515D85">
        <w:t>3</w:t>
      </w:r>
      <w:r w:rsidR="00203F72" w:rsidRPr="00515D85">
        <w:t>個月擄人勒贖案件發生的百分比例變異量之中，有</w:t>
      </w:r>
      <w:r w:rsidR="00203F72" w:rsidRPr="00515D85">
        <w:t>10.92</w:t>
      </w:r>
      <w:r w:rsidR="00203F72" w:rsidRPr="00515D85">
        <w:t>％迴歸分析解釋量之比重，係因國家前</w:t>
      </w:r>
      <w:r w:rsidR="00203F72" w:rsidRPr="00515D85">
        <w:t>3</w:t>
      </w:r>
      <w:r w:rsidR="00203F72" w:rsidRPr="00515D85">
        <w:t>個月執行死刑所引發的結果，比重仍屬較高的層級；再一次證明，死刑會以積極之方式，導致擄人勒贖犯罪的發生。</w:t>
      </w:r>
    </w:p>
    <w:p w14:paraId="306C1766" w14:textId="77777777" w:rsidR="00953151" w:rsidRPr="00515D85" w:rsidRDefault="00353CFF" w:rsidP="00D87D91">
      <w:r w:rsidRPr="00515D85">
        <w:t xml:space="preserve">　　</w:t>
      </w:r>
      <w:r w:rsidR="00203F72" w:rsidRPr="00515D85">
        <w:t>進一步而論，當月執行死刑的總人數，仍然會正面地促發當月之後第</w:t>
      </w:r>
      <w:r w:rsidR="00203F72" w:rsidRPr="00515D85">
        <w:t>4</w:t>
      </w:r>
      <w:r w:rsidR="00203F72" w:rsidRPr="00515D85">
        <w:t>個月擄人勒贖犯罪的發生，修正後的</w:t>
      </w:r>
      <w:r w:rsidR="00203F72" w:rsidRPr="00515D85">
        <w:t>R2</w:t>
      </w:r>
      <w:r w:rsidR="00203F72" w:rsidRPr="00515D85">
        <w:t>＝</w:t>
      </w:r>
      <w:r w:rsidR="00203F72" w:rsidRPr="00515D85">
        <w:t>0.2293</w:t>
      </w:r>
      <w:r w:rsidR="00203F72" w:rsidRPr="00515D85">
        <w:t>；亦即，在當月之後的第</w:t>
      </w:r>
      <w:r w:rsidR="00203F72" w:rsidRPr="00515D85">
        <w:t>4</w:t>
      </w:r>
      <w:r w:rsidR="00203F72" w:rsidRPr="00515D85">
        <w:t>個月擄人勒贖案件發生的百分比例變異量之中，有</w:t>
      </w:r>
      <w:r w:rsidR="00203F72" w:rsidRPr="00515D85">
        <w:t>22.93%</w:t>
      </w:r>
      <w:r w:rsidR="00203F72" w:rsidRPr="00515D85">
        <w:t>迴歸分析解釋量之比重，係因國家前</w:t>
      </w:r>
      <w:r w:rsidR="00203F72" w:rsidRPr="00515D85">
        <w:t>4</w:t>
      </w:r>
      <w:r w:rsidR="00203F72" w:rsidRPr="00515D85">
        <w:t>個月執行死刑所引發的負面結果，比重佔相當高的程度，近約</w:t>
      </w:r>
      <w:r w:rsidR="00203F72" w:rsidRPr="00515D85">
        <w:t>23</w:t>
      </w:r>
      <w:r w:rsidR="00203F72" w:rsidRPr="00515D85">
        <w:t>％。再一次地驗證，死刑會以積極之方式，導致擄人勒贖犯罪之發生。綜上，本書所提出之「死刑積極促發擄人勒贖犯罪理論」之論點，得到實證統計上之強力支持。換言之，死刑不僅無法壓制擄人勒贖犯罪理論」之論點，得到實證統計上之強力支持。</w:t>
      </w:r>
    </w:p>
    <w:p w14:paraId="3DCA60D2" w14:textId="77777777" w:rsidR="00953151" w:rsidRDefault="00353CFF" w:rsidP="00D87D91">
      <w:r w:rsidRPr="00515D85">
        <w:t xml:space="preserve">　　</w:t>
      </w:r>
      <w:r w:rsidR="00203F72" w:rsidRPr="00515D85">
        <w:t>換言之，死刑不僅無法壓制擄人勒贖犯罪，更甚者，死刑係會積極地助長擄人勒贖犯罪。在此，本書擬作一個提問：究竟吾人是希望台灣社會儘量地生擄人勒贖犯罪？抑或，降低擄人勒贖犯罪？假若國家擬有效地降低擄人勒贖犯罪，非常有效之方法，係廢止死刑。死刑在壓制擄人勒贖犯罪之功用上，是無效的。</w:t>
      </w:r>
    </w:p>
    <w:p w14:paraId="17F13E0B" w14:textId="77777777" w:rsidR="00703176" w:rsidRPr="00515D85" w:rsidRDefault="00703176" w:rsidP="00D87D91"/>
    <w:p w14:paraId="1CE5F91A" w14:textId="30EEA48B"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105</w:t>
      </w:r>
      <w:r w:rsidR="00076467">
        <w:rPr>
          <w:noProof/>
        </w:rPr>
        <w:fldChar w:fldCharType="end"/>
      </w:r>
      <w:r w:rsidR="00203F72" w:rsidRPr="00A53581">
        <w:t xml:space="preserve"> </w:t>
      </w:r>
      <w:r w:rsidR="00203F72" w:rsidRPr="00A53581">
        <w:t>被執行死刑總人數</w:t>
      </w:r>
      <w:r w:rsidR="00203F72" w:rsidRPr="00A53581">
        <w:t>(</w:t>
      </w:r>
      <w:r w:rsidR="00203F72" w:rsidRPr="00A53581">
        <w:t>自變項</w:t>
      </w:r>
      <w:r w:rsidR="00203F72" w:rsidRPr="00A53581">
        <w:t>)</w:t>
      </w:r>
      <w:r w:rsidR="00203F72" w:rsidRPr="00A53581">
        <w:t>對擄人勒贖案發生件數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850"/>
        <w:gridCol w:w="936"/>
        <w:gridCol w:w="974"/>
        <w:gridCol w:w="1080"/>
        <w:gridCol w:w="1200"/>
        <w:gridCol w:w="1320"/>
      </w:tblGrid>
      <w:tr w:rsidR="00203F72" w:rsidRPr="00A53581" w14:paraId="6DE7CF66" w14:textId="77777777" w:rsidTr="009C68E0">
        <w:trPr>
          <w:tblHeader/>
        </w:trPr>
        <w:tc>
          <w:tcPr>
            <w:tcW w:w="1668" w:type="dxa"/>
            <w:shd w:val="clear" w:color="auto" w:fill="FAF0FA"/>
          </w:tcPr>
          <w:p w14:paraId="3D920A66" w14:textId="77777777" w:rsidR="00203F72" w:rsidRPr="00A53581" w:rsidRDefault="00203F72" w:rsidP="00D87D91">
            <w:r w:rsidRPr="00A53581">
              <w:t>被執行死刑總人數對擄人勒贖案發生件數之影響</w:t>
            </w:r>
          </w:p>
        </w:tc>
        <w:tc>
          <w:tcPr>
            <w:tcW w:w="850" w:type="dxa"/>
            <w:shd w:val="clear" w:color="auto" w:fill="FAF0FA"/>
          </w:tcPr>
          <w:p w14:paraId="26A5CE7D" w14:textId="77777777" w:rsidR="00203F72" w:rsidRPr="00A53581" w:rsidRDefault="00203F72" w:rsidP="00D87D91">
            <w:r w:rsidRPr="00A53581">
              <w:t>a</w:t>
            </w:r>
          </w:p>
          <w:p w14:paraId="41EF464F" w14:textId="77777777" w:rsidR="00203F72" w:rsidRPr="00A53581" w:rsidRDefault="00203F72" w:rsidP="00D87D91">
            <w:r w:rsidRPr="00A53581">
              <w:t>常數</w:t>
            </w:r>
          </w:p>
        </w:tc>
        <w:tc>
          <w:tcPr>
            <w:tcW w:w="936" w:type="dxa"/>
            <w:shd w:val="clear" w:color="auto" w:fill="FAF0FA"/>
          </w:tcPr>
          <w:p w14:paraId="136927AF" w14:textId="77777777" w:rsidR="00203F72" w:rsidRPr="00A53581" w:rsidRDefault="00203F72" w:rsidP="00D87D91">
            <w:r w:rsidRPr="00A53581">
              <w:t>b</w:t>
            </w:r>
          </w:p>
          <w:p w14:paraId="44241607" w14:textId="77777777" w:rsidR="00203F72" w:rsidRPr="00A53581" w:rsidRDefault="00203F72" w:rsidP="00D87D91">
            <w:r w:rsidRPr="00A53581">
              <w:t>斜率</w:t>
            </w:r>
            <w:r w:rsidRPr="00A53581">
              <w:t>(</w:t>
            </w:r>
            <w:r w:rsidRPr="00A53581">
              <w:t>未標準化迴歸係數</w:t>
            </w:r>
            <w:r w:rsidRPr="00A53581">
              <w:t>)</w:t>
            </w:r>
          </w:p>
        </w:tc>
        <w:tc>
          <w:tcPr>
            <w:tcW w:w="974" w:type="dxa"/>
            <w:shd w:val="clear" w:color="auto" w:fill="FAF0FA"/>
          </w:tcPr>
          <w:p w14:paraId="376DDFE3" w14:textId="77777777" w:rsidR="00203F72" w:rsidRPr="00A53581" w:rsidRDefault="00203F72" w:rsidP="00D87D91">
            <w:r w:rsidRPr="00A53581">
              <w:t>t</w:t>
            </w:r>
          </w:p>
          <w:p w14:paraId="0D32DD09" w14:textId="77777777" w:rsidR="00203F72" w:rsidRPr="00A53581" w:rsidRDefault="00203F72" w:rsidP="00D87D91">
            <w:r w:rsidRPr="00A53581">
              <w:t>值</w:t>
            </w:r>
          </w:p>
        </w:tc>
        <w:tc>
          <w:tcPr>
            <w:tcW w:w="1080" w:type="dxa"/>
            <w:shd w:val="clear" w:color="auto" w:fill="FAF0FA"/>
          </w:tcPr>
          <w:p w14:paraId="73566660" w14:textId="77777777" w:rsidR="00203F72" w:rsidRPr="00A53581" w:rsidRDefault="00203F72" w:rsidP="00D87D91">
            <w:r w:rsidRPr="00A53581">
              <w:t>t</w:t>
            </w:r>
            <w:r w:rsidRPr="00A53581">
              <w:t>值</w:t>
            </w:r>
          </w:p>
          <w:p w14:paraId="54A27559" w14:textId="77777777" w:rsidR="00203F72" w:rsidRPr="00A53581" w:rsidRDefault="00203F72" w:rsidP="00D87D91">
            <w:r w:rsidRPr="00A53581">
              <w:t>顯著性</w:t>
            </w:r>
          </w:p>
        </w:tc>
        <w:tc>
          <w:tcPr>
            <w:tcW w:w="1200" w:type="dxa"/>
            <w:shd w:val="clear" w:color="auto" w:fill="FAF0FA"/>
          </w:tcPr>
          <w:p w14:paraId="777CB690" w14:textId="77777777" w:rsidR="00203F72" w:rsidRPr="00A53581" w:rsidRDefault="00203F72" w:rsidP="00D87D91">
            <w:r w:rsidRPr="00A53581">
              <w:t>模式</w:t>
            </w:r>
          </w:p>
          <w:p w14:paraId="0674AD59" w14:textId="77777777" w:rsidR="00203F72" w:rsidRPr="00A53581" w:rsidRDefault="00203F72" w:rsidP="00D87D91">
            <w:pPr>
              <w:rPr>
                <w:vertAlign w:val="superscript"/>
              </w:rPr>
            </w:pPr>
            <w:r w:rsidRPr="00A53581">
              <w:t>R</w:t>
            </w:r>
            <w:r w:rsidRPr="00A53581">
              <w:rPr>
                <w:vertAlign w:val="superscript"/>
              </w:rPr>
              <w:t>2</w:t>
            </w:r>
          </w:p>
          <w:p w14:paraId="452AECB3" w14:textId="77777777" w:rsidR="00203F72" w:rsidRPr="00A53581" w:rsidRDefault="00203F72" w:rsidP="00D87D91">
            <w:pPr>
              <w:rPr>
                <w:vertAlign w:val="superscript"/>
              </w:rPr>
            </w:pPr>
            <w:r w:rsidRPr="00A53581">
              <w:t>adjusted R</w:t>
            </w:r>
            <w:r w:rsidRPr="00A53581">
              <w:rPr>
                <w:vertAlign w:val="superscript"/>
              </w:rPr>
              <w:t>2</w:t>
            </w:r>
          </w:p>
          <w:p w14:paraId="1AC75FCD" w14:textId="77777777" w:rsidR="00203F72" w:rsidRPr="00A53581" w:rsidRDefault="00203F72" w:rsidP="00D87D91"/>
        </w:tc>
        <w:tc>
          <w:tcPr>
            <w:tcW w:w="1320" w:type="dxa"/>
            <w:shd w:val="clear" w:color="auto" w:fill="FAF0FA"/>
          </w:tcPr>
          <w:p w14:paraId="6DB30DF7" w14:textId="77777777" w:rsidR="00203F72" w:rsidRPr="00A53581" w:rsidRDefault="00203F72" w:rsidP="00D87D91">
            <w:r w:rsidRPr="00A53581">
              <w:t>模式</w:t>
            </w:r>
          </w:p>
          <w:p w14:paraId="092BBC69" w14:textId="77777777" w:rsidR="00203F72" w:rsidRPr="00A53581" w:rsidRDefault="00203F72" w:rsidP="00D87D91">
            <w:r w:rsidRPr="00A53581">
              <w:t>F</w:t>
            </w:r>
            <w:r w:rsidRPr="00A53581">
              <w:t>值</w:t>
            </w:r>
          </w:p>
        </w:tc>
      </w:tr>
      <w:tr w:rsidR="00203F72" w:rsidRPr="00A53581" w14:paraId="668D458F" w14:textId="77777777" w:rsidTr="00203F72">
        <w:tc>
          <w:tcPr>
            <w:tcW w:w="1668" w:type="dxa"/>
            <w:shd w:val="clear" w:color="auto" w:fill="auto"/>
          </w:tcPr>
          <w:p w14:paraId="710C724A" w14:textId="77777777" w:rsidR="00203F72" w:rsidRPr="00A53581" w:rsidRDefault="00203F72" w:rsidP="00D87D91">
            <w:r w:rsidRPr="00A53581">
              <w:t>當月效果</w:t>
            </w:r>
          </w:p>
        </w:tc>
        <w:tc>
          <w:tcPr>
            <w:tcW w:w="850" w:type="dxa"/>
            <w:shd w:val="clear" w:color="auto" w:fill="auto"/>
          </w:tcPr>
          <w:p w14:paraId="05897301" w14:textId="77777777" w:rsidR="00203F72" w:rsidRPr="00A53581" w:rsidRDefault="00203F72" w:rsidP="00D87D91">
            <w:r w:rsidRPr="00A53581">
              <w:t>6.472</w:t>
            </w:r>
          </w:p>
        </w:tc>
        <w:tc>
          <w:tcPr>
            <w:tcW w:w="936" w:type="dxa"/>
            <w:shd w:val="clear" w:color="auto" w:fill="auto"/>
          </w:tcPr>
          <w:p w14:paraId="050D930E" w14:textId="77777777" w:rsidR="00203F72" w:rsidRPr="00A53581" w:rsidRDefault="00203F72" w:rsidP="00D87D91">
            <w:r w:rsidRPr="00A53581">
              <w:t>.545</w:t>
            </w:r>
          </w:p>
        </w:tc>
        <w:tc>
          <w:tcPr>
            <w:tcW w:w="974" w:type="dxa"/>
            <w:shd w:val="clear" w:color="auto" w:fill="auto"/>
          </w:tcPr>
          <w:p w14:paraId="74CF4192" w14:textId="77777777" w:rsidR="00203F72" w:rsidRPr="00A53581" w:rsidRDefault="00203F72" w:rsidP="00D87D91">
            <w:r w:rsidRPr="00A53581">
              <w:t>4.863</w:t>
            </w:r>
          </w:p>
        </w:tc>
        <w:tc>
          <w:tcPr>
            <w:tcW w:w="1080" w:type="dxa"/>
            <w:shd w:val="clear" w:color="auto" w:fill="auto"/>
          </w:tcPr>
          <w:p w14:paraId="4E1374CD" w14:textId="77777777" w:rsidR="00203F72" w:rsidRPr="00A53581" w:rsidRDefault="00203F72" w:rsidP="00D87D91">
            <w:r w:rsidRPr="00A53581">
              <w:t>.0000</w:t>
            </w:r>
            <w:r w:rsidRPr="00A53581">
              <w:rPr>
                <w:position w:val="10"/>
              </w:rPr>
              <w:t>﹡</w:t>
            </w:r>
          </w:p>
        </w:tc>
        <w:tc>
          <w:tcPr>
            <w:tcW w:w="1200" w:type="dxa"/>
            <w:shd w:val="clear" w:color="auto" w:fill="auto"/>
          </w:tcPr>
          <w:p w14:paraId="5B74B290" w14:textId="77777777" w:rsidR="00203F72" w:rsidRPr="00A53581" w:rsidRDefault="00203F72" w:rsidP="00D87D91">
            <w:r w:rsidRPr="00A53581">
              <w:t>.1539</w:t>
            </w:r>
          </w:p>
          <w:p w14:paraId="26F33334" w14:textId="77777777" w:rsidR="00203F72" w:rsidRPr="00A53581" w:rsidRDefault="00203F72" w:rsidP="00D87D91">
            <w:r w:rsidRPr="00A53581">
              <w:t>.1474</w:t>
            </w:r>
          </w:p>
        </w:tc>
        <w:tc>
          <w:tcPr>
            <w:tcW w:w="1320" w:type="dxa"/>
            <w:shd w:val="clear" w:color="auto" w:fill="auto"/>
          </w:tcPr>
          <w:p w14:paraId="5B001327" w14:textId="77777777" w:rsidR="00203F72" w:rsidRPr="00A53581" w:rsidRDefault="00203F72" w:rsidP="00D87D91">
            <w:r w:rsidRPr="00A53581">
              <w:t>23.6500</w:t>
            </w:r>
          </w:p>
          <w:p w14:paraId="2CEBA107" w14:textId="77777777" w:rsidR="00203F72" w:rsidRPr="00A53581" w:rsidRDefault="00203F72" w:rsidP="00D87D91">
            <w:r w:rsidRPr="00A53581">
              <w:t>(.0000</w:t>
            </w:r>
            <w:r w:rsidRPr="00A53581">
              <w:rPr>
                <w:position w:val="10"/>
              </w:rPr>
              <w:t>﹡</w:t>
            </w:r>
            <w:r w:rsidRPr="00A53581">
              <w:t>)</w:t>
            </w:r>
          </w:p>
        </w:tc>
      </w:tr>
      <w:tr w:rsidR="00203F72" w:rsidRPr="00A53581" w14:paraId="6D0A19E9" w14:textId="77777777" w:rsidTr="00203F72">
        <w:tc>
          <w:tcPr>
            <w:tcW w:w="1668" w:type="dxa"/>
            <w:shd w:val="clear" w:color="auto" w:fill="auto"/>
          </w:tcPr>
          <w:p w14:paraId="54B26BBF" w14:textId="77777777" w:rsidR="00203F72" w:rsidRPr="00A53581" w:rsidRDefault="00203F72" w:rsidP="00D87D91">
            <w:r w:rsidRPr="00A53581">
              <w:t>延遲一月效果</w:t>
            </w:r>
          </w:p>
        </w:tc>
        <w:tc>
          <w:tcPr>
            <w:tcW w:w="850" w:type="dxa"/>
            <w:shd w:val="clear" w:color="auto" w:fill="auto"/>
          </w:tcPr>
          <w:p w14:paraId="5BDC4E55" w14:textId="77777777" w:rsidR="00203F72" w:rsidRPr="00A53581" w:rsidRDefault="00203F72" w:rsidP="00D87D91">
            <w:r w:rsidRPr="00A53581">
              <w:t>6.295</w:t>
            </w:r>
          </w:p>
        </w:tc>
        <w:tc>
          <w:tcPr>
            <w:tcW w:w="936" w:type="dxa"/>
            <w:shd w:val="clear" w:color="auto" w:fill="auto"/>
          </w:tcPr>
          <w:p w14:paraId="2DB60BD1" w14:textId="77777777" w:rsidR="00203F72" w:rsidRPr="00A53581" w:rsidRDefault="00203F72" w:rsidP="00D87D91">
            <w:r w:rsidRPr="00A53581">
              <w:t>.629</w:t>
            </w:r>
          </w:p>
        </w:tc>
        <w:tc>
          <w:tcPr>
            <w:tcW w:w="974" w:type="dxa"/>
            <w:shd w:val="clear" w:color="auto" w:fill="auto"/>
          </w:tcPr>
          <w:p w14:paraId="3BF00AD9" w14:textId="77777777" w:rsidR="00203F72" w:rsidRPr="00A53581" w:rsidRDefault="00203F72" w:rsidP="00D87D91">
            <w:r w:rsidRPr="00A53581">
              <w:t>5.759</w:t>
            </w:r>
          </w:p>
        </w:tc>
        <w:tc>
          <w:tcPr>
            <w:tcW w:w="1080" w:type="dxa"/>
            <w:shd w:val="clear" w:color="auto" w:fill="auto"/>
          </w:tcPr>
          <w:p w14:paraId="02DCE9F9" w14:textId="77777777" w:rsidR="00203F72" w:rsidRPr="00A53581" w:rsidRDefault="00203F72" w:rsidP="00D87D91">
            <w:r w:rsidRPr="00A53581">
              <w:t>.0000</w:t>
            </w:r>
            <w:r w:rsidRPr="00A53581">
              <w:rPr>
                <w:position w:val="10"/>
              </w:rPr>
              <w:t>﹡</w:t>
            </w:r>
          </w:p>
        </w:tc>
        <w:tc>
          <w:tcPr>
            <w:tcW w:w="1200" w:type="dxa"/>
            <w:shd w:val="clear" w:color="auto" w:fill="auto"/>
          </w:tcPr>
          <w:p w14:paraId="70089F57" w14:textId="77777777" w:rsidR="00203F72" w:rsidRPr="00A53581" w:rsidRDefault="00203F72" w:rsidP="00D87D91">
            <w:r w:rsidRPr="00A53581">
              <w:t>.2045</w:t>
            </w:r>
          </w:p>
          <w:p w14:paraId="15D5BB0E" w14:textId="77777777" w:rsidR="00203F72" w:rsidRPr="00A53581" w:rsidRDefault="00203F72" w:rsidP="00D87D91">
            <w:r w:rsidRPr="00A53581">
              <w:t>.1984</w:t>
            </w:r>
          </w:p>
        </w:tc>
        <w:tc>
          <w:tcPr>
            <w:tcW w:w="1320" w:type="dxa"/>
            <w:shd w:val="clear" w:color="auto" w:fill="auto"/>
          </w:tcPr>
          <w:p w14:paraId="4375C899" w14:textId="77777777" w:rsidR="00203F72" w:rsidRPr="00A53581" w:rsidRDefault="00203F72" w:rsidP="00D87D91">
            <w:r w:rsidRPr="00A53581">
              <w:t>33.1702</w:t>
            </w:r>
          </w:p>
          <w:p w14:paraId="189D7E7C" w14:textId="77777777" w:rsidR="00203F72" w:rsidRPr="00A53581" w:rsidRDefault="00203F72" w:rsidP="00D87D91">
            <w:r w:rsidRPr="00A53581">
              <w:t>(.0000</w:t>
            </w:r>
            <w:r w:rsidRPr="00A53581">
              <w:rPr>
                <w:position w:val="10"/>
              </w:rPr>
              <w:t>﹡</w:t>
            </w:r>
            <w:r w:rsidRPr="00A53581">
              <w:t>)</w:t>
            </w:r>
          </w:p>
        </w:tc>
      </w:tr>
      <w:tr w:rsidR="00203F72" w:rsidRPr="00A53581" w14:paraId="5EDFEA1B" w14:textId="77777777" w:rsidTr="00203F72">
        <w:tc>
          <w:tcPr>
            <w:tcW w:w="1668" w:type="dxa"/>
            <w:shd w:val="clear" w:color="auto" w:fill="auto"/>
          </w:tcPr>
          <w:p w14:paraId="3790E8B2" w14:textId="77777777" w:rsidR="00203F72" w:rsidRPr="00A53581" w:rsidRDefault="00203F72" w:rsidP="00D87D91">
            <w:r w:rsidRPr="00A53581">
              <w:t>延遲二月效果</w:t>
            </w:r>
          </w:p>
        </w:tc>
        <w:tc>
          <w:tcPr>
            <w:tcW w:w="850" w:type="dxa"/>
            <w:shd w:val="clear" w:color="auto" w:fill="auto"/>
          </w:tcPr>
          <w:p w14:paraId="4D3BC19D" w14:textId="77777777" w:rsidR="00203F72" w:rsidRPr="00A53581" w:rsidRDefault="00203F72" w:rsidP="00D87D91">
            <w:r w:rsidRPr="00A53581">
              <w:t>6.414</w:t>
            </w:r>
          </w:p>
        </w:tc>
        <w:tc>
          <w:tcPr>
            <w:tcW w:w="936" w:type="dxa"/>
            <w:shd w:val="clear" w:color="auto" w:fill="auto"/>
          </w:tcPr>
          <w:p w14:paraId="087F92C8" w14:textId="77777777" w:rsidR="00203F72" w:rsidRPr="00A53581" w:rsidRDefault="00203F72" w:rsidP="00D87D91">
            <w:r w:rsidRPr="00A53581">
              <w:t>.589</w:t>
            </w:r>
          </w:p>
        </w:tc>
        <w:tc>
          <w:tcPr>
            <w:tcW w:w="974" w:type="dxa"/>
            <w:shd w:val="clear" w:color="auto" w:fill="auto"/>
          </w:tcPr>
          <w:p w14:paraId="212EC7F8" w14:textId="77777777" w:rsidR="00203F72" w:rsidRPr="00A53581" w:rsidRDefault="00203F72" w:rsidP="00D87D91">
            <w:r w:rsidRPr="00A53581">
              <w:t>5.321</w:t>
            </w:r>
          </w:p>
        </w:tc>
        <w:tc>
          <w:tcPr>
            <w:tcW w:w="1080" w:type="dxa"/>
            <w:shd w:val="clear" w:color="auto" w:fill="auto"/>
          </w:tcPr>
          <w:p w14:paraId="1ABA293F" w14:textId="77777777" w:rsidR="00203F72" w:rsidRPr="00A53581" w:rsidRDefault="00203F72" w:rsidP="00D87D91">
            <w:r w:rsidRPr="00A53581">
              <w:t>.0000</w:t>
            </w:r>
            <w:r w:rsidRPr="00A53581">
              <w:rPr>
                <w:position w:val="10"/>
              </w:rPr>
              <w:t>﹡</w:t>
            </w:r>
          </w:p>
        </w:tc>
        <w:tc>
          <w:tcPr>
            <w:tcW w:w="1200" w:type="dxa"/>
            <w:shd w:val="clear" w:color="auto" w:fill="auto"/>
          </w:tcPr>
          <w:p w14:paraId="72CD198B" w14:textId="77777777" w:rsidR="00203F72" w:rsidRPr="00A53581" w:rsidRDefault="00203F72" w:rsidP="00D87D91">
            <w:r w:rsidRPr="00A53581">
              <w:t>.1811</w:t>
            </w:r>
          </w:p>
          <w:p w14:paraId="4159EA86" w14:textId="77777777" w:rsidR="00203F72" w:rsidRPr="00A53581" w:rsidRDefault="00203F72" w:rsidP="00D87D91">
            <w:r w:rsidRPr="00A53581">
              <w:t>.1747</w:t>
            </w:r>
          </w:p>
        </w:tc>
        <w:tc>
          <w:tcPr>
            <w:tcW w:w="1320" w:type="dxa"/>
            <w:shd w:val="clear" w:color="auto" w:fill="auto"/>
          </w:tcPr>
          <w:p w14:paraId="3186E86D" w14:textId="77777777" w:rsidR="00203F72" w:rsidRPr="00A53581" w:rsidRDefault="00203F72" w:rsidP="00D87D91">
            <w:r w:rsidRPr="00A53581">
              <w:t>28.3077</w:t>
            </w:r>
          </w:p>
          <w:p w14:paraId="1F8F7DF5" w14:textId="77777777" w:rsidR="00203F72" w:rsidRPr="00A53581" w:rsidRDefault="00203F72" w:rsidP="00D87D91">
            <w:r w:rsidRPr="00A53581">
              <w:t>(.0000</w:t>
            </w:r>
            <w:r w:rsidRPr="00A53581">
              <w:rPr>
                <w:position w:val="10"/>
              </w:rPr>
              <w:t>﹡</w:t>
            </w:r>
            <w:r w:rsidRPr="00A53581">
              <w:t>)</w:t>
            </w:r>
          </w:p>
        </w:tc>
      </w:tr>
      <w:tr w:rsidR="00203F72" w:rsidRPr="00A53581" w14:paraId="7C161957" w14:textId="77777777" w:rsidTr="00203F72">
        <w:tc>
          <w:tcPr>
            <w:tcW w:w="1668" w:type="dxa"/>
            <w:shd w:val="clear" w:color="auto" w:fill="auto"/>
          </w:tcPr>
          <w:p w14:paraId="4F25004C" w14:textId="77777777" w:rsidR="00203F72" w:rsidRPr="00A53581" w:rsidRDefault="00203F72" w:rsidP="00D87D91">
            <w:r w:rsidRPr="00A53581">
              <w:t>延遲三月效果</w:t>
            </w:r>
          </w:p>
        </w:tc>
        <w:tc>
          <w:tcPr>
            <w:tcW w:w="850" w:type="dxa"/>
            <w:shd w:val="clear" w:color="auto" w:fill="auto"/>
          </w:tcPr>
          <w:p w14:paraId="5989526D" w14:textId="77777777" w:rsidR="00203F72" w:rsidRPr="00A53581" w:rsidRDefault="00203F72" w:rsidP="00D87D91">
            <w:r w:rsidRPr="00A53581">
              <w:t>6.715</w:t>
            </w:r>
          </w:p>
        </w:tc>
        <w:tc>
          <w:tcPr>
            <w:tcW w:w="936" w:type="dxa"/>
            <w:shd w:val="clear" w:color="auto" w:fill="auto"/>
          </w:tcPr>
          <w:p w14:paraId="042C123E" w14:textId="77777777" w:rsidR="00203F72" w:rsidRPr="00A53581" w:rsidRDefault="00203F72" w:rsidP="00D87D91">
            <w:r w:rsidRPr="00A53581">
              <w:t>.469</w:t>
            </w:r>
          </w:p>
        </w:tc>
        <w:tc>
          <w:tcPr>
            <w:tcW w:w="974" w:type="dxa"/>
            <w:shd w:val="clear" w:color="auto" w:fill="auto"/>
          </w:tcPr>
          <w:p w14:paraId="29C4848E" w14:textId="77777777" w:rsidR="00203F72" w:rsidRPr="00A53581" w:rsidRDefault="00203F72" w:rsidP="00D87D91">
            <w:r w:rsidRPr="00A53581">
              <w:t>4.085</w:t>
            </w:r>
          </w:p>
        </w:tc>
        <w:tc>
          <w:tcPr>
            <w:tcW w:w="1080" w:type="dxa"/>
            <w:shd w:val="clear" w:color="auto" w:fill="auto"/>
          </w:tcPr>
          <w:p w14:paraId="731DFF9E" w14:textId="77777777" w:rsidR="00203F72" w:rsidRPr="00A53581" w:rsidRDefault="00203F72" w:rsidP="00D87D91">
            <w:r w:rsidRPr="00A53581">
              <w:t>.0001</w:t>
            </w:r>
            <w:r w:rsidRPr="00A53581">
              <w:rPr>
                <w:position w:val="10"/>
              </w:rPr>
              <w:t>﹡</w:t>
            </w:r>
          </w:p>
        </w:tc>
        <w:tc>
          <w:tcPr>
            <w:tcW w:w="1200" w:type="dxa"/>
            <w:shd w:val="clear" w:color="auto" w:fill="auto"/>
          </w:tcPr>
          <w:p w14:paraId="60E44DE7" w14:textId="77777777" w:rsidR="00203F72" w:rsidRPr="00A53581" w:rsidRDefault="00203F72" w:rsidP="00D87D91">
            <w:r w:rsidRPr="00A53581">
              <w:t>.1161</w:t>
            </w:r>
          </w:p>
          <w:p w14:paraId="318D7A59" w14:textId="77777777" w:rsidR="00203F72" w:rsidRPr="00A53581" w:rsidRDefault="00203F72" w:rsidP="00D87D91">
            <w:r w:rsidRPr="00A53581">
              <w:t>.1092</w:t>
            </w:r>
          </w:p>
        </w:tc>
        <w:tc>
          <w:tcPr>
            <w:tcW w:w="1320" w:type="dxa"/>
            <w:shd w:val="clear" w:color="auto" w:fill="auto"/>
          </w:tcPr>
          <w:p w14:paraId="1B9B8399" w14:textId="77777777" w:rsidR="00203F72" w:rsidRPr="00A53581" w:rsidRDefault="00203F72" w:rsidP="00D87D91">
            <w:r w:rsidRPr="00A53581">
              <w:t>16.6857</w:t>
            </w:r>
          </w:p>
          <w:p w14:paraId="38144133" w14:textId="77777777" w:rsidR="00203F72" w:rsidRPr="00A53581" w:rsidRDefault="00203F72" w:rsidP="00D87D91">
            <w:r w:rsidRPr="00A53581">
              <w:t>(.0001</w:t>
            </w:r>
            <w:r w:rsidRPr="00A53581">
              <w:rPr>
                <w:position w:val="10"/>
              </w:rPr>
              <w:t>﹡</w:t>
            </w:r>
            <w:r w:rsidRPr="00A53581">
              <w:t>)</w:t>
            </w:r>
          </w:p>
        </w:tc>
      </w:tr>
      <w:tr w:rsidR="00203F72" w:rsidRPr="00A53581" w14:paraId="7724A52F" w14:textId="77777777" w:rsidTr="00203F72">
        <w:tc>
          <w:tcPr>
            <w:tcW w:w="1668" w:type="dxa"/>
            <w:shd w:val="clear" w:color="auto" w:fill="auto"/>
          </w:tcPr>
          <w:p w14:paraId="76D71A4F" w14:textId="77777777" w:rsidR="00203F72" w:rsidRPr="00A53581" w:rsidRDefault="00203F72" w:rsidP="00D87D91">
            <w:r w:rsidRPr="00A53581">
              <w:t>延遲四月效果</w:t>
            </w:r>
          </w:p>
        </w:tc>
        <w:tc>
          <w:tcPr>
            <w:tcW w:w="850" w:type="dxa"/>
            <w:shd w:val="clear" w:color="auto" w:fill="auto"/>
          </w:tcPr>
          <w:p w14:paraId="351944B5" w14:textId="77777777" w:rsidR="00203F72" w:rsidRPr="00A53581" w:rsidRDefault="00203F72" w:rsidP="00D87D91">
            <w:r w:rsidRPr="00A53581">
              <w:t>6.253</w:t>
            </w:r>
          </w:p>
        </w:tc>
        <w:tc>
          <w:tcPr>
            <w:tcW w:w="936" w:type="dxa"/>
            <w:shd w:val="clear" w:color="auto" w:fill="auto"/>
          </w:tcPr>
          <w:p w14:paraId="256D9EE9" w14:textId="77777777" w:rsidR="00203F72" w:rsidRPr="00A53581" w:rsidRDefault="00203F72" w:rsidP="00D87D91">
            <w:r w:rsidRPr="00A53581">
              <w:t>.666</w:t>
            </w:r>
          </w:p>
        </w:tc>
        <w:tc>
          <w:tcPr>
            <w:tcW w:w="974" w:type="dxa"/>
            <w:shd w:val="clear" w:color="auto" w:fill="auto"/>
          </w:tcPr>
          <w:p w14:paraId="79760B3C" w14:textId="77777777" w:rsidR="00203F72" w:rsidRPr="00A53581" w:rsidRDefault="00203F72" w:rsidP="00D87D91">
            <w:r w:rsidRPr="00A53581">
              <w:t>6.227</w:t>
            </w:r>
          </w:p>
        </w:tc>
        <w:tc>
          <w:tcPr>
            <w:tcW w:w="1080" w:type="dxa"/>
            <w:shd w:val="clear" w:color="auto" w:fill="auto"/>
          </w:tcPr>
          <w:p w14:paraId="4099FEA6" w14:textId="77777777" w:rsidR="00203F72" w:rsidRPr="00A53581" w:rsidRDefault="00203F72" w:rsidP="00D87D91">
            <w:r w:rsidRPr="00A53581">
              <w:t>.0000</w:t>
            </w:r>
            <w:r w:rsidRPr="00A53581">
              <w:rPr>
                <w:position w:val="10"/>
              </w:rPr>
              <w:t>﹡</w:t>
            </w:r>
          </w:p>
        </w:tc>
        <w:tc>
          <w:tcPr>
            <w:tcW w:w="1200" w:type="dxa"/>
            <w:shd w:val="clear" w:color="auto" w:fill="auto"/>
          </w:tcPr>
          <w:p w14:paraId="6ECAF7E6" w14:textId="77777777" w:rsidR="00203F72" w:rsidRPr="00A53581" w:rsidRDefault="00203F72" w:rsidP="00D87D91">
            <w:r w:rsidRPr="00A53581">
              <w:t>.2353</w:t>
            </w:r>
          </w:p>
          <w:p w14:paraId="7B952B56" w14:textId="77777777" w:rsidR="00203F72" w:rsidRPr="00A53581" w:rsidRDefault="00203F72" w:rsidP="00D87D91">
            <w:r w:rsidRPr="00A53581">
              <w:t>.2293</w:t>
            </w:r>
          </w:p>
        </w:tc>
        <w:tc>
          <w:tcPr>
            <w:tcW w:w="1320" w:type="dxa"/>
            <w:shd w:val="clear" w:color="auto" w:fill="auto"/>
          </w:tcPr>
          <w:p w14:paraId="24AC7AF4" w14:textId="77777777" w:rsidR="00203F72" w:rsidRPr="00A53581" w:rsidRDefault="00203F72" w:rsidP="00D87D91">
            <w:r w:rsidRPr="00A53581">
              <w:t>38.7762</w:t>
            </w:r>
          </w:p>
          <w:p w14:paraId="07F5AE19" w14:textId="77777777" w:rsidR="00203F72" w:rsidRPr="00A53581" w:rsidRDefault="00203F72" w:rsidP="00D87D91">
            <w:r w:rsidRPr="00A53581">
              <w:t>(.0000</w:t>
            </w:r>
            <w:r w:rsidRPr="00A53581">
              <w:rPr>
                <w:position w:val="10"/>
              </w:rPr>
              <w:t>﹡</w:t>
            </w:r>
            <w:r w:rsidRPr="00A53581">
              <w:t>)</w:t>
            </w:r>
          </w:p>
        </w:tc>
      </w:tr>
    </w:tbl>
    <w:p w14:paraId="53E1ED71" w14:textId="77777777" w:rsidR="00953151" w:rsidRPr="009C68E0" w:rsidRDefault="00353CFF" w:rsidP="00D87D91">
      <w:r w:rsidRPr="009C68E0">
        <w:t>【註】</w:t>
      </w:r>
      <w:r w:rsidR="00203F72" w:rsidRPr="009C68E0">
        <w:t>本表格之資料來源，係為</w:t>
      </w:r>
      <w:r w:rsidR="00D92F56" w:rsidRPr="009C68E0">
        <w:t>〜</w:t>
      </w:r>
      <w:r w:rsidR="00203F72" w:rsidRPr="009C68E0">
        <w:t>許春金、吳景芳、李湧清、曾正一、許金標、蔡田木</w:t>
      </w:r>
      <w:r w:rsidR="00203F72" w:rsidRPr="009C68E0">
        <w:t>(1994)</w:t>
      </w:r>
      <w:r w:rsidR="00203F72" w:rsidRPr="009C68E0">
        <w:t>，死刑存廢之探討，台北：行政院研究發展考核委員會編印，頁</w:t>
      </w:r>
      <w:r w:rsidR="00203F72" w:rsidRPr="009C68E0">
        <w:t>136</w:t>
      </w:r>
      <w:r w:rsidR="00203F72" w:rsidRPr="009C68E0">
        <w:t>，並經由作者重新改寫與闡釋其統計實證數據之意義。</w:t>
      </w:r>
    </w:p>
    <w:p w14:paraId="1D5EDB26" w14:textId="77777777" w:rsidR="00203F72" w:rsidRPr="009C68E0" w:rsidRDefault="00353CFF" w:rsidP="00D87D91">
      <w:r w:rsidRPr="009C68E0">
        <w:t xml:space="preserve">　　</w:t>
      </w:r>
      <w:r w:rsidR="00203F72" w:rsidRPr="009C68E0">
        <w:t>根據下表「因殺人罪被執行死刑總人數對殺人案發生件數短期效應之影響表」之實證調查統計之客觀數據，針對於短期效應（因「殺人罪」被執行死刑總人數的當月、後第</w:t>
      </w:r>
      <w:r w:rsidR="00203F72" w:rsidRPr="009C68E0">
        <w:t>1</w:t>
      </w:r>
      <w:r w:rsidR="00203F72" w:rsidRPr="009C68E0">
        <w:t>個月、後第</w:t>
      </w:r>
      <w:r w:rsidR="00203F72" w:rsidRPr="009C68E0">
        <w:t>2</w:t>
      </w:r>
      <w:r w:rsidR="00203F72" w:rsidRPr="009C68E0">
        <w:t>個月、後第</w:t>
      </w:r>
      <w:r w:rsidR="00203F72" w:rsidRPr="009C68E0">
        <w:t>3</w:t>
      </w:r>
      <w:r w:rsidR="00203F72" w:rsidRPr="009C68E0">
        <w:t>個月及後第</w:t>
      </w:r>
      <w:r w:rsidR="00203F72" w:rsidRPr="009C68E0">
        <w:t>4</w:t>
      </w:r>
      <w:r w:rsidR="00203F72" w:rsidRPr="009C68E0">
        <w:t>個月）而論，死刑在短期時程上，於執行死刑當月後的第</w:t>
      </w:r>
      <w:r w:rsidR="00203F72" w:rsidRPr="009C68E0">
        <w:t>2</w:t>
      </w:r>
      <w:r w:rsidR="00203F72" w:rsidRPr="009C68E0">
        <w:t>個月部分，達到統計上的顯著水準，</w:t>
      </w:r>
      <w:r w:rsidR="00203F72" w:rsidRPr="009C68E0">
        <w:t>b</w:t>
      </w:r>
      <w:r w:rsidR="00203F72" w:rsidRPr="009C68E0">
        <w:t>＝</w:t>
      </w:r>
      <w:r w:rsidR="00203F72" w:rsidRPr="009C68E0">
        <w:t>4.821</w:t>
      </w:r>
      <w:r w:rsidR="00203F72" w:rsidRPr="009C68E0">
        <w:t>，</w:t>
      </w:r>
      <w:r w:rsidR="00203F72" w:rsidRPr="009C68E0">
        <w:t>t</w:t>
      </w:r>
      <w:r w:rsidR="00203F72" w:rsidRPr="009C68E0">
        <w:t>＝</w:t>
      </w:r>
      <w:r w:rsidR="00203F72" w:rsidRPr="009C68E0">
        <w:t>0.0125</w:t>
      </w:r>
      <w:r w:rsidR="00203F72" w:rsidRPr="009C68E0">
        <w:t>，顯示因「殺人罪被執行死刑總人數」的因素，具有積極之促發作用，導致殺人犯罪之發生，本書稱之為「死刑積極促發殺人犯罪理論」。再者，因殺人罪被執行死刑的總人數的自變項，對於當月、後第</w:t>
      </w:r>
      <w:r w:rsidR="00203F72" w:rsidRPr="009C68E0">
        <w:t>1</w:t>
      </w:r>
      <w:r w:rsidR="00203F72" w:rsidRPr="009C68E0">
        <w:t>個月、後第</w:t>
      </w:r>
      <w:r w:rsidR="00203F72" w:rsidRPr="009C68E0">
        <w:t>3</w:t>
      </w:r>
      <w:r w:rsidR="00203F72" w:rsidRPr="009C68E0">
        <w:t>個月與後第</w:t>
      </w:r>
      <w:r w:rsidR="00203F72" w:rsidRPr="009C68E0">
        <w:t>4</w:t>
      </w:r>
      <w:r w:rsidR="00203F72" w:rsidRPr="009C68E0">
        <w:t>個月的作用力方面，均顯示未達到統計上的顯著水準，表示「因殺人罪而被執行死刑總人數」的自變項，對於殺人案件的發生，均未產生嚇阻與抑制的作用與效果，本書稱之為「死刑無法嚇阻殺人犯罪理論」，是以，針對於殺人罪犯加以執行死刑，亦無法有效地嚇阻殺人犯罪之發生，茲再進一步分析如下。</w:t>
      </w:r>
    </w:p>
    <w:p w14:paraId="5B0A0523" w14:textId="77777777" w:rsidR="00953151" w:rsidRPr="009C68E0" w:rsidRDefault="00353CFF" w:rsidP="00D87D91">
      <w:r w:rsidRPr="009C68E0">
        <w:t xml:space="preserve">　　</w:t>
      </w:r>
      <w:r w:rsidR="00203F72" w:rsidRPr="009C68E0">
        <w:t>「因殺人罪被執行死刑總人數」的自變項，對於當月殺人案件之作用力方面，</w:t>
      </w:r>
      <w:r w:rsidR="00203F72" w:rsidRPr="009C68E0">
        <w:t>t</w:t>
      </w:r>
      <w:r w:rsidR="00203F72" w:rsidRPr="009C68E0">
        <w:t>值＝</w:t>
      </w:r>
      <w:r w:rsidR="00203F72" w:rsidRPr="009C68E0">
        <w:t>0.4334</w:t>
      </w:r>
      <w:r w:rsidR="00203F72" w:rsidRPr="009C68E0">
        <w:t>，未達顯著水準；換言之，由於</w:t>
      </w:r>
      <w:r w:rsidR="00203F72" w:rsidRPr="009C68E0">
        <w:t>t</w:t>
      </w:r>
      <w:r w:rsidR="00203F72" w:rsidRPr="009C68E0">
        <w:t>值＝</w:t>
      </w:r>
      <w:r w:rsidR="00203F72" w:rsidRPr="009C68E0">
        <w:t>0.4334</w:t>
      </w:r>
      <w:r w:rsidR="00203F72" w:rsidRPr="009C68E0">
        <w:t>，且未達到統計上之顯著水準，故在解釋上，即顯示針對於殺人罪犯執行死刑，就執行死刑當月的短期效應而言，死刑對殺人犯罪並沒有任何的抑制作用力，「死刑無法嚇阻殺人犯罪理論」得到實證上的支持。另外，當月「因殺人罪被執行死刑總人數」對於後第一個月而論，</w:t>
      </w:r>
      <w:r w:rsidR="00203F72" w:rsidRPr="009C68E0">
        <w:t>t</w:t>
      </w:r>
      <w:r w:rsidR="00203F72" w:rsidRPr="009C68E0">
        <w:t>值＝</w:t>
      </w:r>
      <w:r w:rsidR="00203F72" w:rsidRPr="009C68E0">
        <w:t>0.0580</w:t>
      </w:r>
      <w:r w:rsidR="00203F72" w:rsidRPr="009C68E0">
        <w:t>，未達到統計上的顯著水準，表示未有嚇阻力道。換言之，由於</w:t>
      </w:r>
      <w:r w:rsidR="00203F72" w:rsidRPr="009C68E0">
        <w:t>t</w:t>
      </w:r>
      <w:r w:rsidR="00203F72" w:rsidRPr="009C68E0">
        <w:t>值＝</w:t>
      </w:r>
      <w:r w:rsidR="00203F72" w:rsidRPr="009C68E0">
        <w:t>0.0580</w:t>
      </w:r>
      <w:r w:rsidR="00203F72" w:rsidRPr="009C68E0">
        <w:t>，且未達統計上之顯著水準，表示針對於殺人罪犯執行死刑，就執行死刑後第一個月的短期效應而言，並沒有任何嚇阻與抑制的作用力，「死刑無法嚇阻殺人犯罪理論」再一次地得到統計上的實證科學的強力支持。</w:t>
      </w:r>
    </w:p>
    <w:p w14:paraId="2A7402BB" w14:textId="77777777" w:rsidR="00953151" w:rsidRPr="009C68E0" w:rsidRDefault="00353CFF" w:rsidP="00D87D91">
      <w:r w:rsidRPr="009C68E0">
        <w:rPr>
          <w:rFonts w:hint="eastAsia"/>
        </w:rPr>
        <w:t xml:space="preserve">　　</w:t>
      </w:r>
      <w:r w:rsidR="00203F72" w:rsidRPr="009C68E0">
        <w:t>再者，當月「因殺人罪被執行死刑總人數」的自變項，對於後第</w:t>
      </w:r>
      <w:r w:rsidR="00203F72" w:rsidRPr="009C68E0">
        <w:t>3</w:t>
      </w:r>
      <w:r w:rsidR="00203F72" w:rsidRPr="009C68E0">
        <w:t>個月</w:t>
      </w:r>
      <w:r w:rsidR="00203F72" w:rsidRPr="009C68E0">
        <w:t>(</w:t>
      </w:r>
      <w:r w:rsidR="00203F72" w:rsidRPr="009C68E0">
        <w:t>延遲</w:t>
      </w:r>
      <w:r w:rsidR="00203F72" w:rsidRPr="009C68E0">
        <w:t>3</w:t>
      </w:r>
      <w:r w:rsidR="00203F72" w:rsidRPr="009C68E0">
        <w:t>個月的短期效果</w:t>
      </w:r>
      <w:r w:rsidR="00203F72" w:rsidRPr="009C68E0">
        <w:t>)</w:t>
      </w:r>
      <w:r w:rsidR="00203F72" w:rsidRPr="009C68E0">
        <w:t>而論，</w:t>
      </w:r>
      <w:r w:rsidR="00203F72" w:rsidRPr="009C68E0">
        <w:t>t</w:t>
      </w:r>
      <w:r w:rsidR="00203F72" w:rsidRPr="009C68E0">
        <w:t>值＝</w:t>
      </w:r>
      <w:r w:rsidR="00203F72" w:rsidRPr="009C68E0">
        <w:t>0.1503</w:t>
      </w:r>
      <w:r w:rsidR="00203F72" w:rsidRPr="009C68E0">
        <w:t>，並未達到統計上的顯著水準，表示針對於殺人罪犯執行死刑，就執行死刑第</w:t>
      </w:r>
      <w:r w:rsidR="00203F72" w:rsidRPr="009C68E0">
        <w:t>3</w:t>
      </w:r>
      <w:r w:rsidR="00203F72" w:rsidRPr="009C68E0">
        <w:t>個月的短期效應而言，死刑對於殺人犯罪並未有任何的抑制力道，「死刑無法嚇阻殺人犯罪理論」再一次地得到統計上的實證支持。進一步而言，「死刑」的執行，並無法令殺人犯罪案件下率，死刑無法有效地抑制殺人犯罪。此外，當月「因殺人罪被執行死刑總人數」的自變項，對於後第</w:t>
      </w:r>
      <w:r w:rsidR="00203F72" w:rsidRPr="009C68E0">
        <w:t>4</w:t>
      </w:r>
      <w:r w:rsidR="00203F72" w:rsidRPr="009C68E0">
        <w:t>個月（延遲</w:t>
      </w:r>
      <w:r w:rsidR="00203F72" w:rsidRPr="009C68E0">
        <w:t>4</w:t>
      </w:r>
      <w:r w:rsidR="00203F72" w:rsidRPr="009C68E0">
        <w:t>個月的短期效果）而論；</w:t>
      </w:r>
      <w:r w:rsidR="00203F72" w:rsidRPr="009C68E0">
        <w:t>t</w:t>
      </w:r>
      <w:r w:rsidR="00203F72" w:rsidRPr="009C68E0">
        <w:t>值＝</w:t>
      </w:r>
      <w:r w:rsidR="00203F72" w:rsidRPr="009C68E0">
        <w:t>0.1606</w:t>
      </w:r>
      <w:r w:rsidR="00203F72" w:rsidRPr="009C68E0">
        <w:t>，並未達到統計上的顯著水準；此意味著，台灣社會針對於殺人罪犯執行死刑，就執行死刑之後的第</w:t>
      </w:r>
      <w:r w:rsidR="00203F72" w:rsidRPr="009C68E0">
        <w:t>4</w:t>
      </w:r>
      <w:r w:rsidR="00203F72" w:rsidRPr="009C68E0">
        <w:t>個月的短期效應而論，死刑無法令殺人犯罪案件下降，「死刑無法嚇阻殺人犯罪理論」再一次地得到統計上的實證支持。</w:t>
      </w:r>
    </w:p>
    <w:p w14:paraId="3F9992CE" w14:textId="77777777" w:rsidR="00203F72" w:rsidRPr="009C68E0" w:rsidRDefault="00353CFF" w:rsidP="00D87D91">
      <w:r w:rsidRPr="009C68E0">
        <w:t xml:space="preserve">　　</w:t>
      </w:r>
      <w:r w:rsidR="00203F72" w:rsidRPr="009C68E0">
        <w:t>綜合以上的實證統計資料，國家針對於殺人罪犯執行死刑，在短期效應之上，具有兩種之效果：</w:t>
      </w:r>
      <w:r w:rsidR="00203F72" w:rsidRPr="009C68E0">
        <w:t>1.</w:t>
      </w:r>
      <w:r w:rsidR="00203F72" w:rsidRPr="009C68E0">
        <w:t>死刑無法抑制之後之殺人犯罪，在此部分，「死刑無法嚇阻殺人犯罪理論」得到支持；</w:t>
      </w:r>
      <w:r w:rsidR="00203F72" w:rsidRPr="009C68E0">
        <w:t>2.</w:t>
      </w:r>
      <w:r w:rsidR="00203F72" w:rsidRPr="009C68E0">
        <w:t>死刑對於之後的殺人犯罪案件，具有積極的促發作用，亦即，假若殺人罪犯被國家執行死刑的人數愈多，則會出現一種報復性的因果反作用力道，亦即，此時，殺人犯罪的案件則會增加，「死刑積極促發殺人犯罪理論」得到本土性統計上實證數據的有力支持。此是令人非常震憾的結果，亦即，針對於殺人罪犯執行死刑，會促發殺人犯罪的發生，已打破一般社會大罪之傳統認知，值得關注。</w:t>
      </w:r>
    </w:p>
    <w:p w14:paraId="01A1BEA2" w14:textId="77777777" w:rsidR="00203F72" w:rsidRPr="00A53581" w:rsidRDefault="00203F72" w:rsidP="00D87D91">
      <w:r w:rsidRPr="00A53581">
        <w:t xml:space="preserve"> </w:t>
      </w:r>
    </w:p>
    <w:p w14:paraId="351AFF81" w14:textId="137663C3"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106</w:t>
      </w:r>
      <w:r w:rsidR="00076467">
        <w:rPr>
          <w:noProof/>
        </w:rPr>
        <w:fldChar w:fldCharType="end"/>
      </w:r>
      <w:r w:rsidR="00203F72" w:rsidRPr="00A53581">
        <w:t xml:space="preserve"> </w:t>
      </w:r>
      <w:r w:rsidR="00203F72" w:rsidRPr="00A53581">
        <w:t>因殺人罪被執行死刑總人數</w:t>
      </w:r>
      <w:r w:rsidR="00203F72" w:rsidRPr="00A53581">
        <w:t>(</w:t>
      </w:r>
      <w:r w:rsidR="00203F72" w:rsidRPr="00A53581">
        <w:t>自變項</w:t>
      </w:r>
      <w:r w:rsidR="00203F72" w:rsidRPr="00A53581">
        <w:t>)</w:t>
      </w:r>
      <w:r w:rsidR="00203F72" w:rsidRPr="00A53581">
        <w:t>對殺人案發生件數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80"/>
        <w:gridCol w:w="1020"/>
        <w:gridCol w:w="1182"/>
        <w:gridCol w:w="1038"/>
        <w:gridCol w:w="970"/>
        <w:gridCol w:w="1552"/>
      </w:tblGrid>
      <w:tr w:rsidR="00203F72" w:rsidRPr="00A53581" w14:paraId="6673609A" w14:textId="77777777" w:rsidTr="00703176">
        <w:trPr>
          <w:tblHeader/>
        </w:trPr>
        <w:tc>
          <w:tcPr>
            <w:tcW w:w="1428" w:type="dxa"/>
            <w:shd w:val="clear" w:color="auto" w:fill="FAF0FA"/>
          </w:tcPr>
          <w:p w14:paraId="67C8C99C" w14:textId="77777777" w:rsidR="00203F72" w:rsidRPr="00A53581" w:rsidRDefault="00203F72" w:rsidP="00D87D91">
            <w:r w:rsidRPr="00A53581">
              <w:t>因殺人罪被執行死刑總人數對殺人案發生件數之影響</w:t>
            </w:r>
          </w:p>
        </w:tc>
        <w:tc>
          <w:tcPr>
            <w:tcW w:w="1080" w:type="dxa"/>
            <w:shd w:val="clear" w:color="auto" w:fill="FAF0FA"/>
          </w:tcPr>
          <w:p w14:paraId="1CEB5189" w14:textId="77777777" w:rsidR="00203F72" w:rsidRPr="00A53581" w:rsidRDefault="00203F72" w:rsidP="00D87D91">
            <w:r w:rsidRPr="00A53581">
              <w:t>a</w:t>
            </w:r>
            <w:r w:rsidRPr="00A53581">
              <w:t>常數</w:t>
            </w:r>
          </w:p>
        </w:tc>
        <w:tc>
          <w:tcPr>
            <w:tcW w:w="1020" w:type="dxa"/>
            <w:shd w:val="clear" w:color="auto" w:fill="FAF0FA"/>
          </w:tcPr>
          <w:p w14:paraId="0AA3A720" w14:textId="77777777" w:rsidR="00203F72" w:rsidRPr="00A53581" w:rsidRDefault="00203F72" w:rsidP="00D87D91">
            <w:r w:rsidRPr="00A53581">
              <w:t>b</w:t>
            </w:r>
            <w:r w:rsidRPr="00A53581">
              <w:t>斜率</w:t>
            </w:r>
            <w:r w:rsidRPr="00A53581">
              <w:t>(</w:t>
            </w:r>
            <w:r w:rsidRPr="00A53581">
              <w:t>未標準化迴歸係數</w:t>
            </w:r>
            <w:r w:rsidRPr="00A53581">
              <w:t>)</w:t>
            </w:r>
          </w:p>
        </w:tc>
        <w:tc>
          <w:tcPr>
            <w:tcW w:w="1182" w:type="dxa"/>
            <w:shd w:val="clear" w:color="auto" w:fill="FAF0FA"/>
          </w:tcPr>
          <w:p w14:paraId="434F2C80" w14:textId="77777777" w:rsidR="00203F72" w:rsidRPr="00A53581" w:rsidRDefault="00203F72" w:rsidP="00D87D91">
            <w:r w:rsidRPr="00A53581">
              <w:t>t</w:t>
            </w:r>
            <w:r w:rsidRPr="00A53581">
              <w:t>值</w:t>
            </w:r>
          </w:p>
        </w:tc>
        <w:tc>
          <w:tcPr>
            <w:tcW w:w="1038" w:type="dxa"/>
            <w:shd w:val="clear" w:color="auto" w:fill="FAF0FA"/>
          </w:tcPr>
          <w:p w14:paraId="4F6AF4FA" w14:textId="77777777" w:rsidR="00203F72" w:rsidRPr="00A53581" w:rsidRDefault="00203F72" w:rsidP="00D87D91">
            <w:r w:rsidRPr="00A53581">
              <w:t>t</w:t>
            </w:r>
            <w:r w:rsidRPr="00A53581">
              <w:t>值顯著性</w:t>
            </w:r>
          </w:p>
        </w:tc>
        <w:tc>
          <w:tcPr>
            <w:tcW w:w="970" w:type="dxa"/>
            <w:shd w:val="clear" w:color="auto" w:fill="FAF0FA"/>
          </w:tcPr>
          <w:p w14:paraId="554509CA" w14:textId="77777777" w:rsidR="00203F72" w:rsidRPr="00A53581" w:rsidRDefault="00203F72" w:rsidP="00D87D91">
            <w:r w:rsidRPr="00A53581">
              <w:t>模式</w:t>
            </w:r>
          </w:p>
          <w:p w14:paraId="54956498" w14:textId="77777777" w:rsidR="00203F72" w:rsidRPr="00A53581" w:rsidRDefault="00203F72" w:rsidP="00D87D91">
            <w:pPr>
              <w:rPr>
                <w:vertAlign w:val="superscript"/>
              </w:rPr>
            </w:pPr>
            <w:r w:rsidRPr="00A53581">
              <w:t>R</w:t>
            </w:r>
            <w:r w:rsidRPr="00A53581">
              <w:rPr>
                <w:vertAlign w:val="superscript"/>
              </w:rPr>
              <w:t>2</w:t>
            </w:r>
          </w:p>
          <w:p w14:paraId="02410FBD" w14:textId="77777777" w:rsidR="00203F72" w:rsidRPr="00A53581" w:rsidRDefault="00203F72" w:rsidP="00D87D91">
            <w:pPr>
              <w:rPr>
                <w:vertAlign w:val="superscript"/>
              </w:rPr>
            </w:pPr>
            <w:r w:rsidRPr="00A53581">
              <w:t>adjusted R</w:t>
            </w:r>
            <w:r w:rsidRPr="00A53581">
              <w:rPr>
                <w:vertAlign w:val="superscript"/>
              </w:rPr>
              <w:t>2</w:t>
            </w:r>
          </w:p>
          <w:p w14:paraId="15056416" w14:textId="77777777" w:rsidR="00203F72" w:rsidRPr="00A53581" w:rsidRDefault="00203F72" w:rsidP="00D87D91"/>
        </w:tc>
        <w:tc>
          <w:tcPr>
            <w:tcW w:w="1552" w:type="dxa"/>
            <w:shd w:val="clear" w:color="auto" w:fill="FAF0FA"/>
          </w:tcPr>
          <w:p w14:paraId="0ADD49BC" w14:textId="77777777" w:rsidR="00203F72" w:rsidRPr="00A53581" w:rsidRDefault="00203F72" w:rsidP="00D87D91">
            <w:r w:rsidRPr="00A53581">
              <w:t>模式</w:t>
            </w:r>
          </w:p>
          <w:p w14:paraId="66625C14" w14:textId="77777777" w:rsidR="00203F72" w:rsidRPr="00A53581" w:rsidRDefault="00203F72" w:rsidP="00D87D91">
            <w:r w:rsidRPr="00A53581">
              <w:t>F</w:t>
            </w:r>
            <w:r w:rsidRPr="00A53581">
              <w:t>值</w:t>
            </w:r>
          </w:p>
        </w:tc>
      </w:tr>
      <w:tr w:rsidR="00203F72" w:rsidRPr="00A53581" w14:paraId="5427DD2A" w14:textId="77777777" w:rsidTr="00203F72">
        <w:tc>
          <w:tcPr>
            <w:tcW w:w="1428" w:type="dxa"/>
            <w:shd w:val="clear" w:color="auto" w:fill="auto"/>
          </w:tcPr>
          <w:p w14:paraId="734DDF04" w14:textId="77777777" w:rsidR="00203F72" w:rsidRPr="00A53581" w:rsidRDefault="00203F72" w:rsidP="00D87D91">
            <w:r w:rsidRPr="00A53581">
              <w:t>當月效果</w:t>
            </w:r>
          </w:p>
        </w:tc>
        <w:tc>
          <w:tcPr>
            <w:tcW w:w="1080" w:type="dxa"/>
            <w:shd w:val="clear" w:color="auto" w:fill="auto"/>
          </w:tcPr>
          <w:p w14:paraId="0D718BF3" w14:textId="77777777" w:rsidR="00203F72" w:rsidRPr="00A53581" w:rsidRDefault="00203F72" w:rsidP="00D87D91">
            <w:r w:rsidRPr="00A53581">
              <w:t>122.743</w:t>
            </w:r>
          </w:p>
        </w:tc>
        <w:tc>
          <w:tcPr>
            <w:tcW w:w="1020" w:type="dxa"/>
            <w:shd w:val="clear" w:color="auto" w:fill="auto"/>
          </w:tcPr>
          <w:p w14:paraId="5812A78B" w14:textId="77777777" w:rsidR="00203F72" w:rsidRPr="00A53581" w:rsidRDefault="00203F72" w:rsidP="00D87D91">
            <w:r w:rsidRPr="00A53581">
              <w:t>1.531</w:t>
            </w:r>
          </w:p>
        </w:tc>
        <w:tc>
          <w:tcPr>
            <w:tcW w:w="1182" w:type="dxa"/>
            <w:shd w:val="clear" w:color="auto" w:fill="auto"/>
          </w:tcPr>
          <w:p w14:paraId="5EB25729" w14:textId="77777777" w:rsidR="00203F72" w:rsidRPr="00A53581" w:rsidRDefault="00203F72" w:rsidP="00D87D91">
            <w:r w:rsidRPr="00A53581">
              <w:t>.786</w:t>
            </w:r>
          </w:p>
        </w:tc>
        <w:tc>
          <w:tcPr>
            <w:tcW w:w="1038" w:type="dxa"/>
            <w:shd w:val="clear" w:color="auto" w:fill="auto"/>
          </w:tcPr>
          <w:p w14:paraId="7AC6ADA9" w14:textId="77777777" w:rsidR="00203F72" w:rsidRPr="00A53581" w:rsidRDefault="00203F72" w:rsidP="00D87D91">
            <w:r w:rsidRPr="00A53581">
              <w:t>.4334</w:t>
            </w:r>
          </w:p>
        </w:tc>
        <w:tc>
          <w:tcPr>
            <w:tcW w:w="970" w:type="dxa"/>
            <w:shd w:val="clear" w:color="auto" w:fill="auto"/>
          </w:tcPr>
          <w:p w14:paraId="33013092" w14:textId="77777777" w:rsidR="00203F72" w:rsidRPr="00A53581" w:rsidRDefault="00203F72" w:rsidP="00D87D91">
            <w:r w:rsidRPr="00A53581">
              <w:t>.0047</w:t>
            </w:r>
          </w:p>
          <w:p w14:paraId="4FB11466" w14:textId="77777777" w:rsidR="00203F72" w:rsidRPr="00A53581" w:rsidRDefault="00203F72" w:rsidP="00D87D91">
            <w:r w:rsidRPr="00A53581">
              <w:t>.0029</w:t>
            </w:r>
          </w:p>
        </w:tc>
        <w:tc>
          <w:tcPr>
            <w:tcW w:w="1552" w:type="dxa"/>
            <w:shd w:val="clear" w:color="auto" w:fill="auto"/>
          </w:tcPr>
          <w:p w14:paraId="57687235" w14:textId="77777777" w:rsidR="00203F72" w:rsidRPr="00A53581" w:rsidRDefault="00203F72" w:rsidP="00D87D91">
            <w:r w:rsidRPr="00A53581">
              <w:t>.6173</w:t>
            </w:r>
          </w:p>
          <w:p w14:paraId="5CF23D55" w14:textId="77777777" w:rsidR="00203F72" w:rsidRPr="00A53581" w:rsidRDefault="00203F72" w:rsidP="00D87D91">
            <w:r w:rsidRPr="00A53581">
              <w:t>(.4334)</w:t>
            </w:r>
          </w:p>
        </w:tc>
      </w:tr>
      <w:tr w:rsidR="00203F72" w:rsidRPr="00A53581" w14:paraId="270038B9" w14:textId="77777777" w:rsidTr="00203F72">
        <w:tc>
          <w:tcPr>
            <w:tcW w:w="1428" w:type="dxa"/>
            <w:shd w:val="clear" w:color="auto" w:fill="auto"/>
          </w:tcPr>
          <w:p w14:paraId="185C74B1" w14:textId="77777777" w:rsidR="00203F72" w:rsidRPr="00A53581" w:rsidRDefault="00203F72" w:rsidP="00D87D91">
            <w:r w:rsidRPr="00A53581">
              <w:t>延遲一月效果</w:t>
            </w:r>
          </w:p>
        </w:tc>
        <w:tc>
          <w:tcPr>
            <w:tcW w:w="1080" w:type="dxa"/>
            <w:shd w:val="clear" w:color="auto" w:fill="auto"/>
          </w:tcPr>
          <w:p w14:paraId="2DF57B60" w14:textId="77777777" w:rsidR="00203F72" w:rsidRPr="00A53581" w:rsidRDefault="00203F72" w:rsidP="00D87D91">
            <w:r w:rsidRPr="00A53581">
              <w:t>121.523</w:t>
            </w:r>
          </w:p>
        </w:tc>
        <w:tc>
          <w:tcPr>
            <w:tcW w:w="1020" w:type="dxa"/>
            <w:shd w:val="clear" w:color="auto" w:fill="auto"/>
          </w:tcPr>
          <w:p w14:paraId="3D8AD9E2" w14:textId="77777777" w:rsidR="00203F72" w:rsidRPr="00A53581" w:rsidRDefault="00203F72" w:rsidP="00D87D91">
            <w:r w:rsidRPr="00A53581">
              <w:t>3.667</w:t>
            </w:r>
          </w:p>
        </w:tc>
        <w:tc>
          <w:tcPr>
            <w:tcW w:w="1182" w:type="dxa"/>
            <w:shd w:val="clear" w:color="auto" w:fill="auto"/>
          </w:tcPr>
          <w:p w14:paraId="12D57BEF" w14:textId="77777777" w:rsidR="00203F72" w:rsidRPr="00A53581" w:rsidRDefault="00203F72" w:rsidP="00D87D91">
            <w:r w:rsidRPr="00A53581">
              <w:t>1.913</w:t>
            </w:r>
          </w:p>
        </w:tc>
        <w:tc>
          <w:tcPr>
            <w:tcW w:w="1038" w:type="dxa"/>
            <w:shd w:val="clear" w:color="auto" w:fill="auto"/>
          </w:tcPr>
          <w:p w14:paraId="23004895" w14:textId="77777777" w:rsidR="00203F72" w:rsidRPr="00A53581" w:rsidRDefault="00203F72" w:rsidP="00D87D91">
            <w:r w:rsidRPr="00A53581">
              <w:t>.0580</w:t>
            </w:r>
          </w:p>
        </w:tc>
        <w:tc>
          <w:tcPr>
            <w:tcW w:w="970" w:type="dxa"/>
            <w:shd w:val="clear" w:color="auto" w:fill="auto"/>
          </w:tcPr>
          <w:p w14:paraId="5CED3DEA" w14:textId="77777777" w:rsidR="00203F72" w:rsidRPr="00A53581" w:rsidRDefault="00203F72" w:rsidP="00D87D91">
            <w:r w:rsidRPr="00A53581">
              <w:t>.0276</w:t>
            </w:r>
          </w:p>
          <w:p w14:paraId="146D2648" w14:textId="77777777" w:rsidR="00203F72" w:rsidRPr="00A53581" w:rsidRDefault="00203F72" w:rsidP="00D87D91">
            <w:r w:rsidRPr="00A53581">
              <w:t>.0201</w:t>
            </w:r>
          </w:p>
        </w:tc>
        <w:tc>
          <w:tcPr>
            <w:tcW w:w="1552" w:type="dxa"/>
            <w:shd w:val="clear" w:color="auto" w:fill="auto"/>
          </w:tcPr>
          <w:p w14:paraId="3A625DB1" w14:textId="77777777" w:rsidR="00203F72" w:rsidRPr="00A53581" w:rsidRDefault="00203F72" w:rsidP="00D87D91">
            <w:r w:rsidRPr="00A53581">
              <w:t>3.6598</w:t>
            </w:r>
          </w:p>
          <w:p w14:paraId="6AB1185B" w14:textId="77777777" w:rsidR="00203F72" w:rsidRPr="00A53581" w:rsidRDefault="00203F72" w:rsidP="00D87D91">
            <w:r w:rsidRPr="00A53581">
              <w:t>(.0580)</w:t>
            </w:r>
          </w:p>
        </w:tc>
      </w:tr>
      <w:tr w:rsidR="00203F72" w:rsidRPr="00A53581" w14:paraId="365AE1DB" w14:textId="77777777" w:rsidTr="00203F72">
        <w:tc>
          <w:tcPr>
            <w:tcW w:w="1428" w:type="dxa"/>
            <w:shd w:val="clear" w:color="auto" w:fill="auto"/>
          </w:tcPr>
          <w:p w14:paraId="4E8CC6A1" w14:textId="77777777" w:rsidR="00203F72" w:rsidRPr="00A53581" w:rsidRDefault="00203F72" w:rsidP="00D87D91">
            <w:r w:rsidRPr="00A53581">
              <w:t>延遲二月效果</w:t>
            </w:r>
          </w:p>
        </w:tc>
        <w:tc>
          <w:tcPr>
            <w:tcW w:w="1080" w:type="dxa"/>
            <w:shd w:val="clear" w:color="auto" w:fill="auto"/>
          </w:tcPr>
          <w:p w14:paraId="09ACFBE3" w14:textId="77777777" w:rsidR="00203F72" w:rsidRPr="00A53581" w:rsidRDefault="00203F72" w:rsidP="00D87D91">
            <w:r w:rsidRPr="00A53581">
              <w:t>120.557</w:t>
            </w:r>
          </w:p>
        </w:tc>
        <w:tc>
          <w:tcPr>
            <w:tcW w:w="1020" w:type="dxa"/>
            <w:shd w:val="clear" w:color="auto" w:fill="auto"/>
          </w:tcPr>
          <w:p w14:paraId="4C47EE6F" w14:textId="77777777" w:rsidR="00203F72" w:rsidRPr="00A53581" w:rsidRDefault="00203F72" w:rsidP="00D87D91">
            <w:r w:rsidRPr="00A53581">
              <w:t>4.821</w:t>
            </w:r>
          </w:p>
        </w:tc>
        <w:tc>
          <w:tcPr>
            <w:tcW w:w="1182" w:type="dxa"/>
            <w:shd w:val="clear" w:color="auto" w:fill="auto"/>
          </w:tcPr>
          <w:p w14:paraId="7E92F049" w14:textId="77777777" w:rsidR="00203F72" w:rsidRPr="00A53581" w:rsidRDefault="00203F72" w:rsidP="00D87D91">
            <w:r w:rsidRPr="00A53581">
              <w:t>2.532</w:t>
            </w:r>
          </w:p>
        </w:tc>
        <w:tc>
          <w:tcPr>
            <w:tcW w:w="1038" w:type="dxa"/>
            <w:shd w:val="clear" w:color="auto" w:fill="auto"/>
          </w:tcPr>
          <w:p w14:paraId="66192A29" w14:textId="77777777" w:rsidR="00203F72" w:rsidRPr="00A53581" w:rsidRDefault="00203F72" w:rsidP="00D87D91">
            <w:r w:rsidRPr="00A53581">
              <w:t>.0125</w:t>
            </w:r>
            <w:r w:rsidRPr="00A53581">
              <w:rPr>
                <w:position w:val="10"/>
              </w:rPr>
              <w:t>﹡</w:t>
            </w:r>
          </w:p>
        </w:tc>
        <w:tc>
          <w:tcPr>
            <w:tcW w:w="970" w:type="dxa"/>
            <w:shd w:val="clear" w:color="auto" w:fill="auto"/>
          </w:tcPr>
          <w:p w14:paraId="6E735AA8" w14:textId="77777777" w:rsidR="00203F72" w:rsidRPr="00A53581" w:rsidRDefault="00203F72" w:rsidP="00D87D91">
            <w:r w:rsidRPr="00A53581">
              <w:t>.0477</w:t>
            </w:r>
          </w:p>
          <w:p w14:paraId="5A69D138" w14:textId="77777777" w:rsidR="00203F72" w:rsidRPr="00A53581" w:rsidRDefault="00203F72" w:rsidP="00D87D91">
            <w:r w:rsidRPr="00A53581">
              <w:t>.0403</w:t>
            </w:r>
          </w:p>
        </w:tc>
        <w:tc>
          <w:tcPr>
            <w:tcW w:w="1552" w:type="dxa"/>
            <w:shd w:val="clear" w:color="auto" w:fill="auto"/>
          </w:tcPr>
          <w:p w14:paraId="288C4AA8" w14:textId="77777777" w:rsidR="00203F72" w:rsidRPr="00A53581" w:rsidRDefault="00203F72" w:rsidP="00D87D91">
            <w:r w:rsidRPr="00A53581">
              <w:t>6.4122</w:t>
            </w:r>
            <w:r w:rsidRPr="00A53581">
              <w:rPr>
                <w:position w:val="10"/>
              </w:rPr>
              <w:t>﹡</w:t>
            </w:r>
          </w:p>
          <w:p w14:paraId="2918C56E" w14:textId="77777777" w:rsidR="00203F72" w:rsidRPr="00A53581" w:rsidRDefault="00203F72" w:rsidP="00D87D91">
            <w:r w:rsidRPr="00A53581">
              <w:t>(.0125)</w:t>
            </w:r>
          </w:p>
        </w:tc>
      </w:tr>
      <w:tr w:rsidR="00203F72" w:rsidRPr="00A53581" w14:paraId="6A7B9983" w14:textId="77777777" w:rsidTr="00203F72">
        <w:tc>
          <w:tcPr>
            <w:tcW w:w="1428" w:type="dxa"/>
            <w:shd w:val="clear" w:color="auto" w:fill="auto"/>
          </w:tcPr>
          <w:p w14:paraId="579760AE" w14:textId="77777777" w:rsidR="00203F72" w:rsidRPr="00A53581" w:rsidRDefault="00203F72" w:rsidP="00D87D91">
            <w:r w:rsidRPr="00A53581">
              <w:t>延遲三月效果</w:t>
            </w:r>
          </w:p>
        </w:tc>
        <w:tc>
          <w:tcPr>
            <w:tcW w:w="1080" w:type="dxa"/>
            <w:shd w:val="clear" w:color="auto" w:fill="auto"/>
          </w:tcPr>
          <w:p w14:paraId="6564D00C" w14:textId="77777777" w:rsidR="00203F72" w:rsidRPr="00A53581" w:rsidRDefault="00203F72" w:rsidP="00D87D91">
            <w:r w:rsidRPr="00A53581">
              <w:t>121.664</w:t>
            </w:r>
          </w:p>
        </w:tc>
        <w:tc>
          <w:tcPr>
            <w:tcW w:w="1020" w:type="dxa"/>
            <w:shd w:val="clear" w:color="auto" w:fill="auto"/>
          </w:tcPr>
          <w:p w14:paraId="678E3838" w14:textId="77777777" w:rsidR="00203F72" w:rsidRPr="00A53581" w:rsidRDefault="00203F72" w:rsidP="00D87D91">
            <w:r w:rsidRPr="00A53581">
              <w:t>2.773</w:t>
            </w:r>
          </w:p>
        </w:tc>
        <w:tc>
          <w:tcPr>
            <w:tcW w:w="1182" w:type="dxa"/>
            <w:shd w:val="clear" w:color="auto" w:fill="auto"/>
          </w:tcPr>
          <w:p w14:paraId="560FB0B5" w14:textId="77777777" w:rsidR="00203F72" w:rsidRPr="00A53581" w:rsidRDefault="00203F72" w:rsidP="00D87D91">
            <w:r w:rsidRPr="00A53581">
              <w:t>1.447</w:t>
            </w:r>
          </w:p>
        </w:tc>
        <w:tc>
          <w:tcPr>
            <w:tcW w:w="1038" w:type="dxa"/>
            <w:shd w:val="clear" w:color="auto" w:fill="auto"/>
          </w:tcPr>
          <w:p w14:paraId="32FAECF7" w14:textId="77777777" w:rsidR="00203F72" w:rsidRPr="00A53581" w:rsidRDefault="00203F72" w:rsidP="00D87D91">
            <w:r w:rsidRPr="00A53581">
              <w:t>.1503</w:t>
            </w:r>
          </w:p>
        </w:tc>
        <w:tc>
          <w:tcPr>
            <w:tcW w:w="970" w:type="dxa"/>
            <w:shd w:val="clear" w:color="auto" w:fill="auto"/>
          </w:tcPr>
          <w:p w14:paraId="5F619812" w14:textId="77777777" w:rsidR="00203F72" w:rsidRPr="00A53581" w:rsidRDefault="00203F72" w:rsidP="00D87D91">
            <w:r w:rsidRPr="00A53581">
              <w:t>.0162</w:t>
            </w:r>
          </w:p>
          <w:p w14:paraId="3E13CA4C" w14:textId="77777777" w:rsidR="00203F72" w:rsidRPr="00A53581" w:rsidRDefault="00203F72" w:rsidP="00D87D91">
            <w:r w:rsidRPr="00A53581">
              <w:t>.0085</w:t>
            </w:r>
          </w:p>
        </w:tc>
        <w:tc>
          <w:tcPr>
            <w:tcW w:w="1552" w:type="dxa"/>
            <w:shd w:val="clear" w:color="auto" w:fill="auto"/>
          </w:tcPr>
          <w:p w14:paraId="1844A4B2" w14:textId="77777777" w:rsidR="00203F72" w:rsidRPr="00A53581" w:rsidRDefault="00203F72" w:rsidP="00D87D91">
            <w:r w:rsidRPr="00A53581">
              <w:t>2.0945</w:t>
            </w:r>
          </w:p>
          <w:p w14:paraId="1C6F0766" w14:textId="77777777" w:rsidR="00203F72" w:rsidRPr="00A53581" w:rsidRDefault="00203F72" w:rsidP="00D87D91">
            <w:r w:rsidRPr="00A53581">
              <w:t>(.1503)</w:t>
            </w:r>
          </w:p>
        </w:tc>
      </w:tr>
      <w:tr w:rsidR="00203F72" w:rsidRPr="00A53581" w14:paraId="491919D4" w14:textId="77777777" w:rsidTr="00203F72">
        <w:tc>
          <w:tcPr>
            <w:tcW w:w="1428" w:type="dxa"/>
            <w:shd w:val="clear" w:color="auto" w:fill="auto"/>
          </w:tcPr>
          <w:p w14:paraId="22BD1F0B" w14:textId="77777777" w:rsidR="00203F72" w:rsidRPr="00A53581" w:rsidRDefault="00203F72" w:rsidP="00D87D91">
            <w:r w:rsidRPr="00A53581">
              <w:t>延遲四月效果</w:t>
            </w:r>
          </w:p>
        </w:tc>
        <w:tc>
          <w:tcPr>
            <w:tcW w:w="1080" w:type="dxa"/>
            <w:shd w:val="clear" w:color="auto" w:fill="auto"/>
          </w:tcPr>
          <w:p w14:paraId="4C5CA46A" w14:textId="77777777" w:rsidR="00203F72" w:rsidRPr="00A53581" w:rsidRDefault="00203F72" w:rsidP="00D87D91">
            <w:r w:rsidRPr="00A53581">
              <w:t>121.590</w:t>
            </w:r>
          </w:p>
        </w:tc>
        <w:tc>
          <w:tcPr>
            <w:tcW w:w="1020" w:type="dxa"/>
            <w:shd w:val="clear" w:color="auto" w:fill="auto"/>
          </w:tcPr>
          <w:p w14:paraId="191C51EC" w14:textId="77777777" w:rsidR="00203F72" w:rsidRPr="00A53581" w:rsidRDefault="00203F72" w:rsidP="00D87D91">
            <w:r w:rsidRPr="00A53581">
              <w:t>2.725</w:t>
            </w:r>
          </w:p>
        </w:tc>
        <w:tc>
          <w:tcPr>
            <w:tcW w:w="1182" w:type="dxa"/>
            <w:shd w:val="clear" w:color="auto" w:fill="auto"/>
          </w:tcPr>
          <w:p w14:paraId="6E7F9549" w14:textId="77777777" w:rsidR="00203F72" w:rsidRPr="00A53581" w:rsidRDefault="00203F72" w:rsidP="00D87D91">
            <w:r w:rsidRPr="00A53581">
              <w:t>1.411</w:t>
            </w:r>
          </w:p>
        </w:tc>
        <w:tc>
          <w:tcPr>
            <w:tcW w:w="1038" w:type="dxa"/>
            <w:shd w:val="clear" w:color="auto" w:fill="auto"/>
          </w:tcPr>
          <w:p w14:paraId="2F8F0775" w14:textId="77777777" w:rsidR="00203F72" w:rsidRPr="00A53581" w:rsidRDefault="00203F72" w:rsidP="00D87D91">
            <w:r w:rsidRPr="00A53581">
              <w:t>.1606</w:t>
            </w:r>
          </w:p>
        </w:tc>
        <w:tc>
          <w:tcPr>
            <w:tcW w:w="970" w:type="dxa"/>
            <w:shd w:val="clear" w:color="auto" w:fill="auto"/>
          </w:tcPr>
          <w:p w14:paraId="1D1DE9C0" w14:textId="77777777" w:rsidR="00203F72" w:rsidRPr="00A53581" w:rsidRDefault="00203F72" w:rsidP="00D87D91">
            <w:r w:rsidRPr="00A53581">
              <w:t>.0156</w:t>
            </w:r>
          </w:p>
          <w:p w14:paraId="1F9D20DA" w14:textId="77777777" w:rsidR="00203F72" w:rsidRPr="00A53581" w:rsidRDefault="00203F72" w:rsidP="00D87D91">
            <w:r w:rsidRPr="00A53581">
              <w:t>.0078</w:t>
            </w:r>
          </w:p>
        </w:tc>
        <w:tc>
          <w:tcPr>
            <w:tcW w:w="1552" w:type="dxa"/>
            <w:shd w:val="clear" w:color="auto" w:fill="auto"/>
          </w:tcPr>
          <w:p w14:paraId="6A020437" w14:textId="77777777" w:rsidR="00203F72" w:rsidRPr="00A53581" w:rsidRDefault="00203F72" w:rsidP="00D87D91">
            <w:r w:rsidRPr="00A53581">
              <w:t>1.9919</w:t>
            </w:r>
          </w:p>
          <w:p w14:paraId="6A689495" w14:textId="77777777" w:rsidR="00203F72" w:rsidRPr="00A53581" w:rsidRDefault="00203F72" w:rsidP="00D87D91">
            <w:r w:rsidRPr="00A53581">
              <w:t>(.1606)</w:t>
            </w:r>
          </w:p>
        </w:tc>
      </w:tr>
    </w:tbl>
    <w:p w14:paraId="6300C3F6" w14:textId="77777777" w:rsidR="00203F72" w:rsidRPr="00A53581" w:rsidRDefault="00203F72" w:rsidP="00D87D91"/>
    <w:p w14:paraId="2F6AAE6D" w14:textId="77777777" w:rsidR="00953151" w:rsidRPr="009C68E0" w:rsidRDefault="00353CFF" w:rsidP="00D87D91">
      <w:r w:rsidRPr="009C68E0">
        <w:t>【註】</w:t>
      </w:r>
      <w:r w:rsidR="00203F72" w:rsidRPr="009C68E0">
        <w:t>本表格之資料來源，係為</w:t>
      </w:r>
      <w:r w:rsidR="00D92F56" w:rsidRPr="009C68E0">
        <w:t>〜</w:t>
      </w:r>
      <w:r w:rsidR="00203F72" w:rsidRPr="009C68E0">
        <w:t>許春金、吳景芳、李湧清、曾正一、許金標、蔡田木</w:t>
      </w:r>
      <w:r w:rsidR="00203F72" w:rsidRPr="009C68E0">
        <w:t>(1994)</w:t>
      </w:r>
      <w:r w:rsidR="00203F72" w:rsidRPr="009C68E0">
        <w:t>，死刑存廢之探討，台北：行政院研究發展考核委員會編印，頁</w:t>
      </w:r>
      <w:r w:rsidR="00203F72" w:rsidRPr="009C68E0">
        <w:t>137</w:t>
      </w:r>
      <w:r w:rsidR="00203F72" w:rsidRPr="009C68E0">
        <w:t>，並經由作者重新改寫與闡釋其統計實證數據之意義。原始表格中之</w:t>
      </w:r>
      <w:r w:rsidR="00203F72" w:rsidRPr="009C68E0">
        <w:t>adjusted R2</w:t>
      </w:r>
      <w:r w:rsidR="00203F72" w:rsidRPr="009C68E0">
        <w:t>，被誤植為負值，已經本書作者更正之。</w:t>
      </w:r>
    </w:p>
    <w:p w14:paraId="2AB26151" w14:textId="77777777" w:rsidR="00953151" w:rsidRPr="009C68E0" w:rsidRDefault="00353CFF" w:rsidP="00D87D91">
      <w:r w:rsidRPr="009C68E0">
        <w:t xml:space="preserve">　　</w:t>
      </w:r>
      <w:r w:rsidR="00203F72" w:rsidRPr="009C68E0">
        <w:t>根據下表「因搶劫罪被執行死刑總人數對搶劫案發生件數短期效應之影響表」之實證調查統計的客觀之數據，針對於「搶劫罪犯」加以執行死刑對於搶劫案件發生的短期效應而論（因「搶劫罪」被國家執行死刑總人數的當月、後第</w:t>
      </w:r>
      <w:r w:rsidR="00203F72" w:rsidRPr="009C68E0">
        <w:t>1</w:t>
      </w:r>
      <w:r w:rsidR="00203F72" w:rsidRPr="009C68E0">
        <w:t>個月、後第</w:t>
      </w:r>
      <w:r w:rsidR="00203F72" w:rsidRPr="009C68E0">
        <w:t>2</w:t>
      </w:r>
      <w:r w:rsidR="00203F72" w:rsidRPr="009C68E0">
        <w:t>個月、後第</w:t>
      </w:r>
      <w:r w:rsidR="00203F72" w:rsidRPr="009C68E0">
        <w:t>3</w:t>
      </w:r>
      <w:r w:rsidR="00203F72" w:rsidRPr="009C68E0">
        <w:t>個月與後第</w:t>
      </w:r>
      <w:r w:rsidR="00203F72" w:rsidRPr="009C68E0">
        <w:t>4</w:t>
      </w:r>
      <w:r w:rsidR="00203F72" w:rsidRPr="009C68E0">
        <w:t>個月），本書茲分析如下所述。首先，當月「因搶劫罪，被執行死刑總人數」的自變項（表原因），對於國家執行死刑之當個月之搶劫案件的發生的效果而言，</w:t>
      </w:r>
      <w:r w:rsidR="00203F72" w:rsidRPr="009C68E0">
        <w:t>t</w:t>
      </w:r>
      <w:r w:rsidR="00203F72" w:rsidRPr="009C68E0">
        <w:t>值＝</w:t>
      </w:r>
      <w:r w:rsidR="00203F72" w:rsidRPr="009C68E0">
        <w:t>0.1904</w:t>
      </w:r>
      <w:r w:rsidR="00203F72" w:rsidRPr="009C68E0">
        <w:t>，並未達到統計上的顯著水準；表示國家針對於搶劫的罪犯執行死刑，在執行死刑的當月的短期效應部分，死刑對於搶劫犯罪之發生，並沒有抑制力道，本書稱之為「死刑無法嚇阻搶劫犯罪理論」。</w:t>
      </w:r>
    </w:p>
    <w:p w14:paraId="184C327A" w14:textId="77777777" w:rsidR="00953151" w:rsidRPr="009C68E0" w:rsidRDefault="00353CFF" w:rsidP="00D87D91">
      <w:r w:rsidRPr="009C68E0">
        <w:t xml:space="preserve">　　</w:t>
      </w:r>
      <w:r w:rsidR="00203F72" w:rsidRPr="009C68E0">
        <w:t>其次，當月「因搶劫罪被執行死刑總人數」的自變項（表原因），對於死刑後第一個月搶劫案件發生的短期效應而論，</w:t>
      </w:r>
      <w:r w:rsidR="00203F72" w:rsidRPr="009C68E0">
        <w:t>t</w:t>
      </w:r>
      <w:r w:rsidR="00203F72" w:rsidRPr="009C68E0">
        <w:t>值＝</w:t>
      </w:r>
      <w:r w:rsidR="00203F72" w:rsidRPr="009C68E0">
        <w:t>0.3814</w:t>
      </w:r>
      <w:r w:rsidR="00203F72" w:rsidRPr="009C68E0">
        <w:t>，並未達到統計上的顯著水準；表示國家針對於搶劫罪犯執行死刑，在國家執行死刑的後第一個月的搶劫案件發生的短期效應部分，死刑對於搶劫犯罪之發生，事實上，並沒有抑制的能量，在此，「死刑無法嚇阻搶劫犯罪理論」再一次地得到統計上的實證科學的支持。此種的結論，完全推翻了社會大眾傳統的看法。此外，當月「因搶劫罪被執行死刑總人數」的自變項（表示原因），對於死刑後第</w:t>
      </w:r>
      <w:r w:rsidR="00203F72" w:rsidRPr="009C68E0">
        <w:t>2</w:t>
      </w:r>
      <w:r w:rsidR="00203F72" w:rsidRPr="009C68E0">
        <w:t>個月搶劫案件犯罪發生的短期性效應而論，</w:t>
      </w:r>
      <w:r w:rsidR="00203F72" w:rsidRPr="009C68E0">
        <w:t xml:space="preserve"> t</w:t>
      </w:r>
      <w:r w:rsidR="00203F72" w:rsidRPr="009C68E0">
        <w:t>值＝</w:t>
      </w:r>
      <w:r w:rsidR="00203F72" w:rsidRPr="009C68E0">
        <w:t>0.4841</w:t>
      </w:r>
      <w:r w:rsidR="00203F72" w:rsidRPr="009C68E0">
        <w:t>，並沒有達到統計上的顯著水準；它表示國家針對於搶劫罪犯執行死刑，其對於後第</w:t>
      </w:r>
      <w:r w:rsidR="00203F72" w:rsidRPr="009C68E0">
        <w:t>2</w:t>
      </w:r>
      <w:r w:rsidR="00203F72" w:rsidRPr="009C68E0">
        <w:t>個月的搶劫案件發生的短期效應而論，死刑對於搶劫罪之發生，並沒有產生嚇阻的力道；亦即，死刑並無法抑制搶劫案件的發生，在此，本書主張的「死刑無法嚇阻搶劫犯罪理論」又再一次地得到實證科學上的統計支持。此種之結論，在政策上的意涵，表示台灣可廢除死刑，因為死刑是無法降低搶劫犯罪。</w:t>
      </w:r>
    </w:p>
    <w:p w14:paraId="3E3921D3" w14:textId="77777777" w:rsidR="00953151" w:rsidRPr="009C68E0" w:rsidRDefault="00353CFF" w:rsidP="00D87D91">
      <w:r w:rsidRPr="009C68E0">
        <w:t xml:space="preserve">　　</w:t>
      </w:r>
      <w:r w:rsidR="00203F72" w:rsidRPr="009C68E0">
        <w:t>再者，當月「因搶劫罪被執行死刑總人數」的原因變項</w:t>
      </w:r>
      <w:r w:rsidR="00203F72" w:rsidRPr="009C68E0">
        <w:t>(</w:t>
      </w:r>
      <w:r w:rsidR="00203F72" w:rsidRPr="009C68E0">
        <w:t>自變項</w:t>
      </w:r>
      <w:r w:rsidR="00203F72" w:rsidRPr="009C68E0">
        <w:t>)</w:t>
      </w:r>
      <w:r w:rsidR="00203F72" w:rsidRPr="009C68E0">
        <w:t>，對於國家執行死刑後的第</w:t>
      </w:r>
      <w:r w:rsidR="00203F72" w:rsidRPr="009C68E0">
        <w:t>3</w:t>
      </w:r>
      <w:r w:rsidR="00203F72" w:rsidRPr="009C68E0">
        <w:t>個月搶劫案件犯罪發生的短期性效應而論，</w:t>
      </w:r>
      <w:r w:rsidR="00203F72" w:rsidRPr="009C68E0">
        <w:t>t</w:t>
      </w:r>
      <w:r w:rsidR="00203F72" w:rsidRPr="009C68E0">
        <w:t>值＝</w:t>
      </w:r>
      <w:r w:rsidR="00203F72" w:rsidRPr="009C68E0">
        <w:t>0.6414</w:t>
      </w:r>
      <w:r w:rsidR="00203F72" w:rsidRPr="009C68E0">
        <w:t>，並未達到統計上的顯著水準；它表示國家針對於「搶劫罪犯」執行最嚴厲的死刑，它對於後第</w:t>
      </w:r>
      <w:r w:rsidR="00203F72" w:rsidRPr="009C68E0">
        <w:t>3</w:t>
      </w:r>
      <w:r w:rsidR="00203F72" w:rsidRPr="009C68E0">
        <w:t>個月的搶劫案件發生的短期效應而論，死刑對於槍劫犯罪之發生，並沒有產生台灣社會大眾所預期的嚇阻力道；換言之，死刑並無法抑制或有效地降低搶劫犯罪之發生，在此，「死刑無法嚇阻搶劫犯罪理論」又再一次地得到實證科學上的統計支持。此外，當月「因搶劫罪被執行死刑總人數」的自變項</w:t>
      </w:r>
      <w:r w:rsidR="00203F72" w:rsidRPr="009C68E0">
        <w:t>(</w:t>
      </w:r>
      <w:r w:rsidR="00203F72" w:rsidRPr="009C68E0">
        <w:t>表示原因的變項</w:t>
      </w:r>
      <w:r w:rsidR="00203F72" w:rsidRPr="009C68E0">
        <w:t>)</w:t>
      </w:r>
      <w:r w:rsidR="00203F72" w:rsidRPr="009C68E0">
        <w:t>，它對於國家執行死刑後的第</w:t>
      </w:r>
      <w:r w:rsidR="00203F72" w:rsidRPr="009C68E0">
        <w:t>4</w:t>
      </w:r>
      <w:r w:rsidR="00203F72" w:rsidRPr="009C68E0">
        <w:t>個月搶劫犯罪發生的短期性效應而言，</w:t>
      </w:r>
      <w:r w:rsidR="00203F72" w:rsidRPr="009C68E0">
        <w:t>t</w:t>
      </w:r>
      <w:r w:rsidR="00203F72" w:rsidRPr="009C68E0">
        <w:t>值＝</w:t>
      </w:r>
      <w:r w:rsidR="00203F72" w:rsidRPr="009C68E0">
        <w:t>0.4408</w:t>
      </w:r>
      <w:r w:rsidR="00203F72" w:rsidRPr="009C68E0">
        <w:t>，並未達到統計上的顯著水準；它表示假設國家針對於「搶劫罪犯」執行最為嚴厲的生命刑－死刑，它對於後第</w:t>
      </w:r>
      <w:r w:rsidR="00203F72" w:rsidRPr="009C68E0">
        <w:t>4</w:t>
      </w:r>
      <w:r w:rsidR="00203F72" w:rsidRPr="009C68E0">
        <w:t>個月的搶劫犯罪發生的短期效應而論，死刑對於搶劫犯罪之生，並沒有產生嚇阻的力道；亦即，死刑並無法有效地降低搶劫犯罪的發生，在此，「死刑無法嚇阻搶劫犯罪理論」又再一次地得到實證科學上的統計支持。</w:t>
      </w:r>
    </w:p>
    <w:p w14:paraId="30D37BA3" w14:textId="77777777" w:rsidR="00953151" w:rsidRPr="009C68E0" w:rsidRDefault="00353CFF" w:rsidP="00D87D91">
      <w:r w:rsidRPr="009C68E0">
        <w:t xml:space="preserve">　　</w:t>
      </w:r>
      <w:r w:rsidR="00203F72" w:rsidRPr="009C68E0">
        <w:t>綜合以上的實證科學的統計數據，可得到以下的結論：</w:t>
      </w:r>
      <w:r w:rsidR="00203F72" w:rsidRPr="009C68E0">
        <w:t>1.</w:t>
      </w:r>
      <w:r w:rsidR="00203F72" w:rsidRPr="009C68E0">
        <w:t>國家針對於搶劫罪犯之所以會選擇執行死刑，乃因台灣社會大眾普遍的認知，太多均會認為死刑應可以「有效地嚇阻」搶劫犯罪的發生；實際的情形，恰巧與上述的社會大眾的看法相反，死刑無法有效地降地搶劫犯罪，「以殺止搶」的策略，是澈澈底底的失敗與無效；</w:t>
      </w:r>
      <w:r w:rsidR="00203F72" w:rsidRPr="009C68E0">
        <w:t>2.</w:t>
      </w:r>
      <w:r w:rsidR="00203F72" w:rsidRPr="009C68E0">
        <w:t>「死刑無法嚇阻搶劫犯罪理論」不斷地獲得實證科學上的統計支持；</w:t>
      </w:r>
      <w:r w:rsidR="00203F72" w:rsidRPr="009C68E0">
        <w:t>3.</w:t>
      </w:r>
      <w:r w:rsidR="00203F72" w:rsidRPr="009C68E0">
        <w:t>由於死刑無法嚇阻搶劫犯罪的發生，充分地驗證死刑是一種無效的措施，「廢死」是未來刑罰的「正道」與「王道」。</w:t>
      </w:r>
    </w:p>
    <w:p w14:paraId="3C3AE9D7" w14:textId="6A913911"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107</w:t>
      </w:r>
      <w:r w:rsidR="00076467">
        <w:rPr>
          <w:noProof/>
        </w:rPr>
        <w:fldChar w:fldCharType="end"/>
      </w:r>
      <w:r w:rsidR="00203F72" w:rsidRPr="00A53581">
        <w:t xml:space="preserve"> </w:t>
      </w:r>
      <w:r w:rsidR="00203F72" w:rsidRPr="00A53581">
        <w:t>因搶劫罪被執行死刑總人數</w:t>
      </w:r>
      <w:r w:rsidR="00203F72" w:rsidRPr="00A53581">
        <w:t>(</w:t>
      </w:r>
      <w:r w:rsidR="00203F72" w:rsidRPr="00A53581">
        <w:t>自變項</w:t>
      </w:r>
      <w:r w:rsidR="00203F72" w:rsidRPr="00A53581">
        <w:t>)</w:t>
      </w:r>
      <w:r w:rsidR="00203F72" w:rsidRPr="00A53581">
        <w:t>對搶劫案發生件數</w:t>
      </w:r>
      <w:r w:rsidR="00203F72" w:rsidRPr="00A53581">
        <w:t>(</w:t>
      </w:r>
      <w:r w:rsidR="00203F72" w:rsidRPr="00A53581">
        <w:t>依變項</w:t>
      </w:r>
      <w:r w:rsidR="00203F72" w:rsidRPr="00A53581">
        <w:t>)</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200"/>
        <w:gridCol w:w="1082"/>
        <w:gridCol w:w="1208"/>
        <w:gridCol w:w="1177"/>
        <w:gridCol w:w="1279"/>
        <w:gridCol w:w="1014"/>
      </w:tblGrid>
      <w:tr w:rsidR="00203F72" w:rsidRPr="00A53581" w14:paraId="0EFD6DE6" w14:textId="77777777" w:rsidTr="009C68E0">
        <w:trPr>
          <w:tblHeader/>
        </w:trPr>
        <w:tc>
          <w:tcPr>
            <w:tcW w:w="1308" w:type="dxa"/>
            <w:shd w:val="clear" w:color="auto" w:fill="FAF0FA"/>
          </w:tcPr>
          <w:p w14:paraId="3B29BDD7" w14:textId="77777777" w:rsidR="00203F72" w:rsidRPr="00A53581" w:rsidRDefault="00203F72" w:rsidP="00D87D91">
            <w:r w:rsidRPr="00A53581">
              <w:t>因搶劫罪被執行死刑總人數對搶劫案發生件數之影響</w:t>
            </w:r>
          </w:p>
        </w:tc>
        <w:tc>
          <w:tcPr>
            <w:tcW w:w="1200" w:type="dxa"/>
            <w:shd w:val="clear" w:color="auto" w:fill="FAF0FA"/>
          </w:tcPr>
          <w:p w14:paraId="4B64A7B0" w14:textId="77777777" w:rsidR="00203F72" w:rsidRPr="00A53581" w:rsidRDefault="00203F72" w:rsidP="00D87D91">
            <w:r w:rsidRPr="00A53581">
              <w:t>a</w:t>
            </w:r>
          </w:p>
          <w:p w14:paraId="6F81E8D2" w14:textId="77777777" w:rsidR="00203F72" w:rsidRPr="00A53581" w:rsidRDefault="00203F72" w:rsidP="00D87D91">
            <w:r w:rsidRPr="00A53581">
              <w:t>常數</w:t>
            </w:r>
          </w:p>
        </w:tc>
        <w:tc>
          <w:tcPr>
            <w:tcW w:w="1082" w:type="dxa"/>
            <w:shd w:val="clear" w:color="auto" w:fill="FAF0FA"/>
          </w:tcPr>
          <w:p w14:paraId="65CDB0FB" w14:textId="77777777" w:rsidR="00203F72" w:rsidRPr="00A53581" w:rsidRDefault="00203F72" w:rsidP="00D87D91">
            <w:r w:rsidRPr="00A53581">
              <w:t>b</w:t>
            </w:r>
            <w:r w:rsidRPr="00A53581">
              <w:t>斜率</w:t>
            </w:r>
            <w:r w:rsidRPr="00A53581">
              <w:t>(</w:t>
            </w:r>
            <w:r w:rsidRPr="00A53581">
              <w:t>未標準化迴歸係數</w:t>
            </w:r>
            <w:r w:rsidRPr="00A53581">
              <w:t>)</w:t>
            </w:r>
          </w:p>
        </w:tc>
        <w:tc>
          <w:tcPr>
            <w:tcW w:w="1208" w:type="dxa"/>
            <w:shd w:val="clear" w:color="auto" w:fill="FAF0FA"/>
          </w:tcPr>
          <w:p w14:paraId="1F0B6E38" w14:textId="77777777" w:rsidR="00203F72" w:rsidRPr="00A53581" w:rsidRDefault="00203F72" w:rsidP="00D87D91">
            <w:r w:rsidRPr="00A53581">
              <w:t>t</w:t>
            </w:r>
          </w:p>
          <w:p w14:paraId="14901670" w14:textId="77777777" w:rsidR="00203F72" w:rsidRPr="00A53581" w:rsidRDefault="00203F72" w:rsidP="00D87D91">
            <w:r w:rsidRPr="00A53581">
              <w:t>值</w:t>
            </w:r>
          </w:p>
        </w:tc>
        <w:tc>
          <w:tcPr>
            <w:tcW w:w="1177" w:type="dxa"/>
            <w:shd w:val="clear" w:color="auto" w:fill="FAF0FA"/>
          </w:tcPr>
          <w:p w14:paraId="76B99416" w14:textId="77777777" w:rsidR="00203F72" w:rsidRPr="00A53581" w:rsidRDefault="00203F72" w:rsidP="00D87D91">
            <w:r w:rsidRPr="00A53581">
              <w:t>t</w:t>
            </w:r>
            <w:r w:rsidRPr="00A53581">
              <w:t>值</w:t>
            </w:r>
          </w:p>
          <w:p w14:paraId="4873022F" w14:textId="77777777" w:rsidR="00203F72" w:rsidRPr="00A53581" w:rsidRDefault="00203F72" w:rsidP="00D87D91">
            <w:r w:rsidRPr="00A53581">
              <w:t>顯著性</w:t>
            </w:r>
          </w:p>
        </w:tc>
        <w:tc>
          <w:tcPr>
            <w:tcW w:w="1279" w:type="dxa"/>
            <w:shd w:val="clear" w:color="auto" w:fill="FAF0FA"/>
          </w:tcPr>
          <w:p w14:paraId="7F279804" w14:textId="77777777" w:rsidR="00203F72" w:rsidRPr="00A53581" w:rsidRDefault="00203F72" w:rsidP="00D87D91">
            <w:r w:rsidRPr="00A53581">
              <w:t>模式</w:t>
            </w:r>
          </w:p>
          <w:p w14:paraId="2CFFD494" w14:textId="77777777" w:rsidR="00203F72" w:rsidRPr="00A53581" w:rsidRDefault="00203F72" w:rsidP="00D87D91">
            <w:pPr>
              <w:rPr>
                <w:vertAlign w:val="superscript"/>
              </w:rPr>
            </w:pPr>
            <w:r w:rsidRPr="00A53581">
              <w:t>R</w:t>
            </w:r>
            <w:r w:rsidRPr="00A53581">
              <w:rPr>
                <w:vertAlign w:val="superscript"/>
              </w:rPr>
              <w:t>2</w:t>
            </w:r>
          </w:p>
          <w:p w14:paraId="6D8B06CF" w14:textId="77777777" w:rsidR="00203F72" w:rsidRPr="00A53581" w:rsidRDefault="00203F72" w:rsidP="00D87D91">
            <w:pPr>
              <w:rPr>
                <w:vertAlign w:val="superscript"/>
              </w:rPr>
            </w:pPr>
            <w:r w:rsidRPr="00A53581">
              <w:t>adjusted R</w:t>
            </w:r>
            <w:r w:rsidRPr="00A53581">
              <w:rPr>
                <w:vertAlign w:val="superscript"/>
              </w:rPr>
              <w:t>2</w:t>
            </w:r>
          </w:p>
          <w:p w14:paraId="09911343" w14:textId="77777777" w:rsidR="00203F72" w:rsidRPr="00A53581" w:rsidRDefault="00203F72" w:rsidP="00D87D91"/>
        </w:tc>
        <w:tc>
          <w:tcPr>
            <w:tcW w:w="1014" w:type="dxa"/>
            <w:shd w:val="clear" w:color="auto" w:fill="FAF0FA"/>
          </w:tcPr>
          <w:p w14:paraId="1D9C9FB9" w14:textId="77777777" w:rsidR="00203F72" w:rsidRPr="00A53581" w:rsidRDefault="00203F72" w:rsidP="00D87D91">
            <w:r w:rsidRPr="00A53581">
              <w:t>模式</w:t>
            </w:r>
          </w:p>
          <w:p w14:paraId="1CA84065" w14:textId="77777777" w:rsidR="00203F72" w:rsidRPr="00A53581" w:rsidRDefault="00203F72" w:rsidP="00D87D91">
            <w:r w:rsidRPr="00A53581">
              <w:t>F</w:t>
            </w:r>
          </w:p>
          <w:p w14:paraId="7DBB2167" w14:textId="77777777" w:rsidR="00203F72" w:rsidRPr="00A53581" w:rsidRDefault="00203F72" w:rsidP="00D87D91">
            <w:r w:rsidRPr="00A53581">
              <w:t>值</w:t>
            </w:r>
          </w:p>
        </w:tc>
      </w:tr>
      <w:tr w:rsidR="00203F72" w:rsidRPr="00A53581" w14:paraId="5280AE28" w14:textId="77777777" w:rsidTr="00203F72">
        <w:tc>
          <w:tcPr>
            <w:tcW w:w="1308" w:type="dxa"/>
            <w:shd w:val="clear" w:color="auto" w:fill="auto"/>
          </w:tcPr>
          <w:p w14:paraId="2B6DBF3D" w14:textId="77777777" w:rsidR="00203F72" w:rsidRPr="00A53581" w:rsidRDefault="00203F72" w:rsidP="00D87D91">
            <w:r w:rsidRPr="00A53581">
              <w:t>當月效果</w:t>
            </w:r>
          </w:p>
        </w:tc>
        <w:tc>
          <w:tcPr>
            <w:tcW w:w="1200" w:type="dxa"/>
            <w:shd w:val="clear" w:color="auto" w:fill="auto"/>
          </w:tcPr>
          <w:p w14:paraId="2C4E40DB" w14:textId="77777777" w:rsidR="00203F72" w:rsidRPr="00A53581" w:rsidRDefault="00203F72" w:rsidP="00D87D91">
            <w:r w:rsidRPr="00A53581">
              <w:t>140.872</w:t>
            </w:r>
          </w:p>
        </w:tc>
        <w:tc>
          <w:tcPr>
            <w:tcW w:w="1082" w:type="dxa"/>
            <w:shd w:val="clear" w:color="auto" w:fill="auto"/>
          </w:tcPr>
          <w:p w14:paraId="511AE627" w14:textId="77777777" w:rsidR="00203F72" w:rsidRPr="00A53581" w:rsidRDefault="00203F72" w:rsidP="00D87D91">
            <w:r w:rsidRPr="00A53581">
              <w:t>-14.520</w:t>
            </w:r>
          </w:p>
        </w:tc>
        <w:tc>
          <w:tcPr>
            <w:tcW w:w="1208" w:type="dxa"/>
            <w:shd w:val="clear" w:color="auto" w:fill="auto"/>
          </w:tcPr>
          <w:p w14:paraId="0FFC42C8" w14:textId="77777777" w:rsidR="00203F72" w:rsidRPr="00A53581" w:rsidRDefault="00203F72" w:rsidP="00D87D91">
            <w:r w:rsidRPr="00A53581">
              <w:t>-1.316</w:t>
            </w:r>
          </w:p>
        </w:tc>
        <w:tc>
          <w:tcPr>
            <w:tcW w:w="1177" w:type="dxa"/>
            <w:shd w:val="clear" w:color="auto" w:fill="auto"/>
          </w:tcPr>
          <w:p w14:paraId="5B9AB99D" w14:textId="77777777" w:rsidR="00203F72" w:rsidRPr="00A53581" w:rsidRDefault="00203F72" w:rsidP="00D87D91">
            <w:r w:rsidRPr="00A53581">
              <w:t>.1904</w:t>
            </w:r>
          </w:p>
        </w:tc>
        <w:tc>
          <w:tcPr>
            <w:tcW w:w="1279" w:type="dxa"/>
            <w:shd w:val="clear" w:color="auto" w:fill="auto"/>
          </w:tcPr>
          <w:p w14:paraId="59CF9666" w14:textId="77777777" w:rsidR="00203F72" w:rsidRPr="00A53581" w:rsidRDefault="00203F72" w:rsidP="00D87D91">
            <w:r w:rsidRPr="00A53581">
              <w:t>.0132</w:t>
            </w:r>
          </w:p>
          <w:p w14:paraId="0BC9A325" w14:textId="77777777" w:rsidR="00203F72" w:rsidRPr="00A53581" w:rsidRDefault="00203F72" w:rsidP="00D87D91">
            <w:r w:rsidRPr="00A53581">
              <w:t>.0056</w:t>
            </w:r>
          </w:p>
        </w:tc>
        <w:tc>
          <w:tcPr>
            <w:tcW w:w="1014" w:type="dxa"/>
            <w:shd w:val="clear" w:color="auto" w:fill="auto"/>
          </w:tcPr>
          <w:p w14:paraId="51847EFC" w14:textId="77777777" w:rsidR="00203F72" w:rsidRPr="00A53581" w:rsidRDefault="00203F72" w:rsidP="00D87D91">
            <w:r w:rsidRPr="00A53581">
              <w:t>1.7323</w:t>
            </w:r>
          </w:p>
          <w:p w14:paraId="63085A65" w14:textId="77777777" w:rsidR="00203F72" w:rsidRPr="00A53581" w:rsidRDefault="00203F72" w:rsidP="00D87D91">
            <w:r w:rsidRPr="00A53581">
              <w:t>(.1904)</w:t>
            </w:r>
          </w:p>
        </w:tc>
      </w:tr>
      <w:tr w:rsidR="00203F72" w:rsidRPr="00A53581" w14:paraId="6608CD0C" w14:textId="77777777" w:rsidTr="00203F72">
        <w:tc>
          <w:tcPr>
            <w:tcW w:w="1308" w:type="dxa"/>
            <w:shd w:val="clear" w:color="auto" w:fill="auto"/>
          </w:tcPr>
          <w:p w14:paraId="2DA609BA" w14:textId="77777777" w:rsidR="00203F72" w:rsidRPr="00A53581" w:rsidRDefault="00203F72" w:rsidP="00D87D91">
            <w:r w:rsidRPr="00A53581">
              <w:t>延遲一月效果</w:t>
            </w:r>
          </w:p>
        </w:tc>
        <w:tc>
          <w:tcPr>
            <w:tcW w:w="1200" w:type="dxa"/>
            <w:shd w:val="clear" w:color="auto" w:fill="auto"/>
          </w:tcPr>
          <w:p w14:paraId="55CFEC33" w14:textId="77777777" w:rsidR="00203F72" w:rsidRPr="00A53581" w:rsidRDefault="00203F72" w:rsidP="00D87D91">
            <w:r w:rsidRPr="00A53581">
              <w:t>141.023</w:t>
            </w:r>
          </w:p>
        </w:tc>
        <w:tc>
          <w:tcPr>
            <w:tcW w:w="1082" w:type="dxa"/>
            <w:shd w:val="clear" w:color="auto" w:fill="auto"/>
          </w:tcPr>
          <w:p w14:paraId="24A5533F" w14:textId="77777777" w:rsidR="00203F72" w:rsidRPr="00A53581" w:rsidRDefault="00203F72" w:rsidP="00D87D91">
            <w:r w:rsidRPr="00A53581">
              <w:t>-9.744</w:t>
            </w:r>
          </w:p>
        </w:tc>
        <w:tc>
          <w:tcPr>
            <w:tcW w:w="1208" w:type="dxa"/>
            <w:shd w:val="clear" w:color="auto" w:fill="auto"/>
          </w:tcPr>
          <w:p w14:paraId="75774EE2" w14:textId="77777777" w:rsidR="00203F72" w:rsidRPr="00A53581" w:rsidRDefault="00203F72" w:rsidP="00D87D91">
            <w:r w:rsidRPr="00A53581">
              <w:t>-.878</w:t>
            </w:r>
          </w:p>
        </w:tc>
        <w:tc>
          <w:tcPr>
            <w:tcW w:w="1177" w:type="dxa"/>
            <w:shd w:val="clear" w:color="auto" w:fill="auto"/>
          </w:tcPr>
          <w:p w14:paraId="7D1A1A60" w14:textId="77777777" w:rsidR="00203F72" w:rsidRPr="00A53581" w:rsidRDefault="00203F72" w:rsidP="00D87D91">
            <w:r w:rsidRPr="00A53581">
              <w:t>.3813</w:t>
            </w:r>
          </w:p>
        </w:tc>
        <w:tc>
          <w:tcPr>
            <w:tcW w:w="1279" w:type="dxa"/>
            <w:shd w:val="clear" w:color="auto" w:fill="auto"/>
          </w:tcPr>
          <w:p w14:paraId="6D72D2D4" w14:textId="77777777" w:rsidR="00203F72" w:rsidRPr="00A53581" w:rsidRDefault="00203F72" w:rsidP="00D87D91">
            <w:r w:rsidRPr="00A53581">
              <w:t>.00595</w:t>
            </w:r>
          </w:p>
          <w:p w14:paraId="690EF5E4" w14:textId="77777777" w:rsidR="00203F72" w:rsidRPr="00A53581" w:rsidRDefault="00203F72" w:rsidP="00D87D91">
            <w:r w:rsidRPr="00A53581">
              <w:t>.00176</w:t>
            </w:r>
          </w:p>
        </w:tc>
        <w:tc>
          <w:tcPr>
            <w:tcW w:w="1014" w:type="dxa"/>
            <w:shd w:val="clear" w:color="auto" w:fill="auto"/>
          </w:tcPr>
          <w:p w14:paraId="7DFC14CD" w14:textId="77777777" w:rsidR="00203F72" w:rsidRPr="00A53581" w:rsidRDefault="00203F72" w:rsidP="00D87D91">
            <w:r w:rsidRPr="00A53581">
              <w:t>.7716</w:t>
            </w:r>
          </w:p>
          <w:p w14:paraId="4AB6E8AB" w14:textId="77777777" w:rsidR="00203F72" w:rsidRPr="00A53581" w:rsidRDefault="00203F72" w:rsidP="00D87D91">
            <w:r w:rsidRPr="00A53581">
              <w:t>(.3813)</w:t>
            </w:r>
          </w:p>
        </w:tc>
      </w:tr>
      <w:tr w:rsidR="00203F72" w:rsidRPr="00A53581" w14:paraId="7F267C90" w14:textId="77777777" w:rsidTr="00203F72">
        <w:tc>
          <w:tcPr>
            <w:tcW w:w="1308" w:type="dxa"/>
            <w:shd w:val="clear" w:color="auto" w:fill="auto"/>
          </w:tcPr>
          <w:p w14:paraId="7AAF38E5" w14:textId="77777777" w:rsidR="00203F72" w:rsidRPr="00A53581" w:rsidRDefault="00203F72" w:rsidP="00D87D91">
            <w:r w:rsidRPr="00A53581">
              <w:t>延遲二月效果</w:t>
            </w:r>
          </w:p>
        </w:tc>
        <w:tc>
          <w:tcPr>
            <w:tcW w:w="1200" w:type="dxa"/>
            <w:shd w:val="clear" w:color="auto" w:fill="auto"/>
          </w:tcPr>
          <w:p w14:paraId="2F26ACD7" w14:textId="77777777" w:rsidR="00203F72" w:rsidRPr="00A53581" w:rsidRDefault="00203F72" w:rsidP="00D87D91">
            <w:r w:rsidRPr="00A53581">
              <w:t>140.897</w:t>
            </w:r>
          </w:p>
        </w:tc>
        <w:tc>
          <w:tcPr>
            <w:tcW w:w="1082" w:type="dxa"/>
            <w:shd w:val="clear" w:color="auto" w:fill="auto"/>
          </w:tcPr>
          <w:p w14:paraId="79C1937C" w14:textId="77777777" w:rsidR="00203F72" w:rsidRPr="00A53581" w:rsidRDefault="00203F72" w:rsidP="00D87D91">
            <w:r w:rsidRPr="00A53581">
              <w:t>-7.823</w:t>
            </w:r>
          </w:p>
        </w:tc>
        <w:tc>
          <w:tcPr>
            <w:tcW w:w="1208" w:type="dxa"/>
            <w:shd w:val="clear" w:color="auto" w:fill="auto"/>
          </w:tcPr>
          <w:p w14:paraId="12440505" w14:textId="77777777" w:rsidR="00203F72" w:rsidRPr="00A53581" w:rsidRDefault="00203F72" w:rsidP="00D87D91">
            <w:r w:rsidRPr="00A53581">
              <w:t>-.702</w:t>
            </w:r>
          </w:p>
        </w:tc>
        <w:tc>
          <w:tcPr>
            <w:tcW w:w="1177" w:type="dxa"/>
            <w:shd w:val="clear" w:color="auto" w:fill="auto"/>
          </w:tcPr>
          <w:p w14:paraId="568145CA" w14:textId="77777777" w:rsidR="00203F72" w:rsidRPr="00A53581" w:rsidRDefault="00203F72" w:rsidP="00D87D91">
            <w:r w:rsidRPr="00A53581">
              <w:t>.4841</w:t>
            </w:r>
          </w:p>
        </w:tc>
        <w:tc>
          <w:tcPr>
            <w:tcW w:w="1279" w:type="dxa"/>
            <w:shd w:val="clear" w:color="auto" w:fill="auto"/>
          </w:tcPr>
          <w:p w14:paraId="385F4055" w14:textId="77777777" w:rsidR="00203F72" w:rsidRPr="00A53581" w:rsidRDefault="00203F72" w:rsidP="00D87D91">
            <w:r w:rsidRPr="00A53581">
              <w:t>.00383</w:t>
            </w:r>
          </w:p>
          <w:p w14:paraId="3933D093" w14:textId="77777777" w:rsidR="00203F72" w:rsidRPr="00A53581" w:rsidRDefault="00203F72" w:rsidP="00D87D91">
            <w:r w:rsidRPr="00A53581">
              <w:t>.00395</w:t>
            </w:r>
          </w:p>
        </w:tc>
        <w:tc>
          <w:tcPr>
            <w:tcW w:w="1014" w:type="dxa"/>
            <w:shd w:val="clear" w:color="auto" w:fill="auto"/>
          </w:tcPr>
          <w:p w14:paraId="13D56D20" w14:textId="77777777" w:rsidR="00203F72" w:rsidRPr="00A53581" w:rsidRDefault="00203F72" w:rsidP="00D87D91">
            <w:r w:rsidRPr="00A53581">
              <w:t>.4925</w:t>
            </w:r>
          </w:p>
          <w:p w14:paraId="7DC8104E" w14:textId="77777777" w:rsidR="00203F72" w:rsidRPr="00A53581" w:rsidRDefault="00203F72" w:rsidP="00D87D91">
            <w:r w:rsidRPr="00A53581">
              <w:t>(.4841)</w:t>
            </w:r>
          </w:p>
        </w:tc>
      </w:tr>
      <w:tr w:rsidR="00203F72" w:rsidRPr="00A53581" w14:paraId="51FCEC2B" w14:textId="77777777" w:rsidTr="00203F72">
        <w:tc>
          <w:tcPr>
            <w:tcW w:w="1308" w:type="dxa"/>
            <w:shd w:val="clear" w:color="auto" w:fill="auto"/>
          </w:tcPr>
          <w:p w14:paraId="0285A6D0" w14:textId="77777777" w:rsidR="00203F72" w:rsidRPr="00A53581" w:rsidRDefault="00203F72" w:rsidP="00D87D91">
            <w:r w:rsidRPr="00A53581">
              <w:t>延遲三月效果</w:t>
            </w:r>
          </w:p>
        </w:tc>
        <w:tc>
          <w:tcPr>
            <w:tcW w:w="1200" w:type="dxa"/>
            <w:shd w:val="clear" w:color="auto" w:fill="auto"/>
          </w:tcPr>
          <w:p w14:paraId="5C5D2ED6" w14:textId="77777777" w:rsidR="00203F72" w:rsidRPr="00A53581" w:rsidRDefault="00203F72" w:rsidP="00D87D91">
            <w:r w:rsidRPr="00A53581">
              <w:t>140.557</w:t>
            </w:r>
          </w:p>
        </w:tc>
        <w:tc>
          <w:tcPr>
            <w:tcW w:w="1082" w:type="dxa"/>
            <w:shd w:val="clear" w:color="auto" w:fill="auto"/>
          </w:tcPr>
          <w:p w14:paraId="7DDAA733" w14:textId="77777777" w:rsidR="00203F72" w:rsidRPr="00A53581" w:rsidRDefault="00203F72" w:rsidP="00D87D91">
            <w:r w:rsidRPr="00A53581">
              <w:t>-5.229</w:t>
            </w:r>
          </w:p>
        </w:tc>
        <w:tc>
          <w:tcPr>
            <w:tcW w:w="1208" w:type="dxa"/>
            <w:shd w:val="clear" w:color="auto" w:fill="auto"/>
          </w:tcPr>
          <w:p w14:paraId="484D501B" w14:textId="77777777" w:rsidR="00203F72" w:rsidRPr="00A53581" w:rsidRDefault="00203F72" w:rsidP="00D87D91">
            <w:r w:rsidRPr="00A53581">
              <w:t>-.467</w:t>
            </w:r>
          </w:p>
        </w:tc>
        <w:tc>
          <w:tcPr>
            <w:tcW w:w="1177" w:type="dxa"/>
            <w:shd w:val="clear" w:color="auto" w:fill="auto"/>
          </w:tcPr>
          <w:p w14:paraId="5906E9F5" w14:textId="77777777" w:rsidR="00203F72" w:rsidRPr="00A53581" w:rsidRDefault="00203F72" w:rsidP="00D87D91">
            <w:r w:rsidRPr="00A53581">
              <w:t>.6414</w:t>
            </w:r>
          </w:p>
        </w:tc>
        <w:tc>
          <w:tcPr>
            <w:tcW w:w="1279" w:type="dxa"/>
            <w:shd w:val="clear" w:color="auto" w:fill="auto"/>
          </w:tcPr>
          <w:p w14:paraId="794A4726" w14:textId="77777777" w:rsidR="00203F72" w:rsidRPr="00A53581" w:rsidRDefault="00203F72" w:rsidP="00D87D91">
            <w:r w:rsidRPr="00A53581">
              <w:t>.00171</w:t>
            </w:r>
          </w:p>
          <w:p w14:paraId="31987344" w14:textId="77777777" w:rsidR="00203F72" w:rsidRPr="00A53581" w:rsidRDefault="00203F72" w:rsidP="00D87D91">
            <w:r w:rsidRPr="00A53581">
              <w:t>.00615</w:t>
            </w:r>
          </w:p>
        </w:tc>
        <w:tc>
          <w:tcPr>
            <w:tcW w:w="1014" w:type="dxa"/>
            <w:shd w:val="clear" w:color="auto" w:fill="auto"/>
          </w:tcPr>
          <w:p w14:paraId="408AD849" w14:textId="77777777" w:rsidR="00203F72" w:rsidRPr="00A53581" w:rsidRDefault="00203F72" w:rsidP="00D87D91">
            <w:r w:rsidRPr="00A53581">
              <w:t>.2180</w:t>
            </w:r>
          </w:p>
          <w:p w14:paraId="29984788" w14:textId="77777777" w:rsidR="00203F72" w:rsidRPr="00A53581" w:rsidRDefault="00203F72" w:rsidP="00D87D91">
            <w:r w:rsidRPr="00A53581">
              <w:t>(.6414)</w:t>
            </w:r>
          </w:p>
        </w:tc>
      </w:tr>
      <w:tr w:rsidR="00203F72" w:rsidRPr="00A53581" w14:paraId="6518169D" w14:textId="77777777" w:rsidTr="00203F72">
        <w:tc>
          <w:tcPr>
            <w:tcW w:w="1308" w:type="dxa"/>
            <w:shd w:val="clear" w:color="auto" w:fill="auto"/>
          </w:tcPr>
          <w:p w14:paraId="6EFD1D90" w14:textId="77777777" w:rsidR="00203F72" w:rsidRPr="00A53581" w:rsidRDefault="00203F72" w:rsidP="00D87D91">
            <w:r w:rsidRPr="00A53581">
              <w:t>延遲四月效果</w:t>
            </w:r>
          </w:p>
        </w:tc>
        <w:tc>
          <w:tcPr>
            <w:tcW w:w="1200" w:type="dxa"/>
            <w:shd w:val="clear" w:color="auto" w:fill="auto"/>
          </w:tcPr>
          <w:p w14:paraId="7F640562" w14:textId="77777777" w:rsidR="00203F72" w:rsidRPr="00A53581" w:rsidRDefault="00203F72" w:rsidP="00D87D91">
            <w:r w:rsidRPr="00A53581">
              <w:t>140.621</w:t>
            </w:r>
          </w:p>
        </w:tc>
        <w:tc>
          <w:tcPr>
            <w:tcW w:w="1082" w:type="dxa"/>
            <w:shd w:val="clear" w:color="auto" w:fill="auto"/>
          </w:tcPr>
          <w:p w14:paraId="3B2F8C58" w14:textId="77777777" w:rsidR="00203F72" w:rsidRPr="00A53581" w:rsidRDefault="00203F72" w:rsidP="00D87D91">
            <w:r w:rsidRPr="00A53581">
              <w:t>-8.679</w:t>
            </w:r>
          </w:p>
        </w:tc>
        <w:tc>
          <w:tcPr>
            <w:tcW w:w="1208" w:type="dxa"/>
            <w:shd w:val="clear" w:color="auto" w:fill="auto"/>
          </w:tcPr>
          <w:p w14:paraId="2A27DCAB" w14:textId="77777777" w:rsidR="00203F72" w:rsidRPr="00A53581" w:rsidRDefault="00203F72" w:rsidP="00D87D91">
            <w:r w:rsidRPr="00A53581">
              <w:t>-.773</w:t>
            </w:r>
          </w:p>
        </w:tc>
        <w:tc>
          <w:tcPr>
            <w:tcW w:w="1177" w:type="dxa"/>
            <w:shd w:val="clear" w:color="auto" w:fill="auto"/>
          </w:tcPr>
          <w:p w14:paraId="564957A6" w14:textId="77777777" w:rsidR="00203F72" w:rsidRPr="00A53581" w:rsidRDefault="00203F72" w:rsidP="00D87D91">
            <w:r w:rsidRPr="00A53581">
              <w:t>.4408</w:t>
            </w:r>
          </w:p>
        </w:tc>
        <w:tc>
          <w:tcPr>
            <w:tcW w:w="1279" w:type="dxa"/>
            <w:shd w:val="clear" w:color="auto" w:fill="auto"/>
          </w:tcPr>
          <w:p w14:paraId="56B458BD" w14:textId="77777777" w:rsidR="00203F72" w:rsidRPr="00A53581" w:rsidRDefault="00203F72" w:rsidP="00D87D91">
            <w:r w:rsidRPr="00A53581">
              <w:t>.00472</w:t>
            </w:r>
          </w:p>
          <w:p w14:paraId="5FBD37E7" w14:textId="77777777" w:rsidR="00203F72" w:rsidRPr="00A53581" w:rsidRDefault="00203F72" w:rsidP="00D87D91">
            <w:r w:rsidRPr="00A53581">
              <w:t>.00318</w:t>
            </w:r>
          </w:p>
        </w:tc>
        <w:tc>
          <w:tcPr>
            <w:tcW w:w="1014" w:type="dxa"/>
            <w:shd w:val="clear" w:color="auto" w:fill="auto"/>
          </w:tcPr>
          <w:p w14:paraId="791692AC" w14:textId="77777777" w:rsidR="00203F72" w:rsidRPr="00A53581" w:rsidRDefault="00203F72" w:rsidP="00D87D91">
            <w:r w:rsidRPr="00A53581">
              <w:t>.5979</w:t>
            </w:r>
          </w:p>
          <w:p w14:paraId="7205D70E" w14:textId="77777777" w:rsidR="00203F72" w:rsidRPr="00A53581" w:rsidRDefault="00203F72" w:rsidP="00D87D91">
            <w:r w:rsidRPr="00A53581">
              <w:t>(.4408)</w:t>
            </w:r>
          </w:p>
        </w:tc>
      </w:tr>
    </w:tbl>
    <w:p w14:paraId="68287FD7" w14:textId="77777777" w:rsidR="00953151" w:rsidRPr="009C68E0" w:rsidRDefault="00353CFF" w:rsidP="00D87D91">
      <w:r w:rsidRPr="009C68E0">
        <w:t>【註】</w:t>
      </w:r>
      <w:r w:rsidR="00203F72" w:rsidRPr="009C68E0">
        <w:t>本表格之資料來源，係為</w:t>
      </w:r>
      <w:r w:rsidR="00D92F56" w:rsidRPr="009C68E0">
        <w:t>〜</w:t>
      </w:r>
      <w:r w:rsidR="00203F72" w:rsidRPr="009C68E0">
        <w:t>許春金、吳景芳、李湧清、曾正一、許金標、蔡田木</w:t>
      </w:r>
      <w:r w:rsidR="00203F72" w:rsidRPr="009C68E0">
        <w:t>(1994)</w:t>
      </w:r>
      <w:r w:rsidR="00203F72" w:rsidRPr="009C68E0">
        <w:t>，死刑存廢之探討，台北：行政院研究發展考核委員會編印，頁</w:t>
      </w:r>
      <w:r w:rsidR="00203F72" w:rsidRPr="009C68E0">
        <w:t>138</w:t>
      </w:r>
      <w:r w:rsidR="00203F72" w:rsidRPr="009C68E0">
        <w:t>，並經由作者重新改寫與闡釋其統計實證數據之意義。原始表格中之</w:t>
      </w:r>
      <w:r w:rsidR="00203F72" w:rsidRPr="009C68E0">
        <w:t>adjusted R2</w:t>
      </w:r>
      <w:r w:rsidR="00203F72" w:rsidRPr="009C68E0">
        <w:t>，被誤植為負值，已經本書作者更正之。</w:t>
      </w:r>
    </w:p>
    <w:p w14:paraId="74BD5024" w14:textId="77777777" w:rsidR="00953151" w:rsidRPr="009C68E0" w:rsidRDefault="00353CFF" w:rsidP="00D87D91">
      <w:r w:rsidRPr="009C68E0">
        <w:t xml:space="preserve">　　</w:t>
      </w:r>
      <w:r w:rsidR="00203F72" w:rsidRPr="009C68E0">
        <w:t>根據下表「因搶奪罪被執行死刑總人數對搶奪案發生件數短期效應之影響表」之實證調查統計的客觀性數據之呈現，國家針對於「搶奪罪犯（此處並非搶劫罪犯）加以執行死刑」，對於「搶奪犯罪」之發生的短期性效應而論（因「搶奪罪犯」被國家執行死刑總人數的當月、後第</w:t>
      </w:r>
      <w:r w:rsidR="00203F72" w:rsidRPr="009C68E0">
        <w:t>1</w:t>
      </w:r>
      <w:r w:rsidR="00203F72" w:rsidRPr="009C68E0">
        <w:t>個月、後第</w:t>
      </w:r>
      <w:r w:rsidR="00203F72" w:rsidRPr="009C68E0">
        <w:t>2</w:t>
      </w:r>
      <w:r w:rsidR="00203F72" w:rsidRPr="009C68E0">
        <w:t>個月、後第</w:t>
      </w:r>
      <w:r w:rsidR="00203F72" w:rsidRPr="009C68E0">
        <w:t>3</w:t>
      </w:r>
      <w:r w:rsidR="00203F72" w:rsidRPr="009C68E0">
        <w:t>個月與後第</w:t>
      </w:r>
      <w:r w:rsidR="00203F72" w:rsidRPr="009C68E0">
        <w:t>4</w:t>
      </w:r>
      <w:r w:rsidR="00203F72" w:rsidRPr="009C68E0">
        <w:t>個月），本書茲分析如下所述。</w:t>
      </w:r>
    </w:p>
    <w:p w14:paraId="1DB86AA5" w14:textId="77777777" w:rsidR="00953151" w:rsidRPr="009C68E0" w:rsidRDefault="00353CFF" w:rsidP="00D87D91">
      <w:r w:rsidRPr="009C68E0">
        <w:t xml:space="preserve">　　</w:t>
      </w:r>
      <w:r w:rsidR="00203F72" w:rsidRPr="009C68E0">
        <w:t>首先而言，在當月「因搶奪罪被執行死刑總人數」的自變項（表原因的變項），它對於當月搶奪犯罪之發生的短期性效果部分，</w:t>
      </w:r>
      <w:r w:rsidR="00203F72" w:rsidRPr="009C68E0">
        <w:t>t</w:t>
      </w:r>
      <w:r w:rsidR="00203F72" w:rsidRPr="009C68E0">
        <w:t>值＝</w:t>
      </w:r>
      <w:r w:rsidR="00203F72" w:rsidRPr="009C68E0">
        <w:t>0.7737</w:t>
      </w:r>
      <w:r w:rsidR="00203F72" w:rsidRPr="009C68E0">
        <w:t>，</w:t>
      </w:r>
      <w:r w:rsidR="00203F72" w:rsidRPr="009C68E0">
        <w:t>t</w:t>
      </w:r>
      <w:r w:rsidR="00203F72" w:rsidRPr="009C68E0">
        <w:t>值並未達到統計上的顯著水準；它意味著國家針對於搶奪罪犯執行死刑，在執行死刑的當月的短期效應部分，死刑對於搶奪犯罪的發生，它並沒有抑制力道，本書稱之為「死刑無法嚇阻搶奪犯罪理論」。其次，就當月「因搶奪罪被執行死刑總人數」的自變項</w:t>
      </w:r>
      <w:r w:rsidR="00203F72" w:rsidRPr="009C68E0">
        <w:t>(</w:t>
      </w:r>
      <w:r w:rsidR="00203F72" w:rsidRPr="009C68E0">
        <w:t>原因變項</w:t>
      </w:r>
      <w:r w:rsidR="00203F72" w:rsidRPr="009C68E0">
        <w:t>)</w:t>
      </w:r>
      <w:r w:rsidR="00203F72" w:rsidRPr="009C68E0">
        <w:t>，它對於死刑後第</w:t>
      </w:r>
      <w:r w:rsidR="00203F72" w:rsidRPr="009C68E0">
        <w:t>1</w:t>
      </w:r>
      <w:r w:rsidR="00203F72" w:rsidRPr="009C68E0">
        <w:t>個月搶奪犯罪之發生的短期效應而論，</w:t>
      </w:r>
      <w:r w:rsidR="00203F72" w:rsidRPr="009C68E0">
        <w:t>t</w:t>
      </w:r>
      <w:r w:rsidR="00203F72" w:rsidRPr="009C68E0">
        <w:t>值＝</w:t>
      </w:r>
      <w:r w:rsidR="00203F72" w:rsidRPr="009C68E0">
        <w:t>0.8897</w:t>
      </w:r>
      <w:r w:rsidR="00203F72" w:rsidRPr="009C68E0">
        <w:t>，</w:t>
      </w:r>
      <w:r w:rsidR="00203F72" w:rsidRPr="009C68E0">
        <w:t>t</w:t>
      </w:r>
      <w:r w:rsidR="00203F72" w:rsidRPr="009C68E0">
        <w:t>值並未達到統計上的顯著水準，它表示國家針對於「搶奪罪犯執行死刑，在執行死刑後第</w:t>
      </w:r>
      <w:r w:rsidR="00203F72" w:rsidRPr="009C68E0">
        <w:t>1</w:t>
      </w:r>
      <w:r w:rsidR="00203F72" w:rsidRPr="009C68E0">
        <w:t>個月的短期性效果</w:t>
      </w:r>
      <w:r w:rsidR="00203F72" w:rsidRPr="009C68E0">
        <w:t>(</w:t>
      </w:r>
      <w:r w:rsidR="00203F72" w:rsidRPr="009C68E0">
        <w:t>延遲</w:t>
      </w:r>
      <w:r w:rsidR="00203F72" w:rsidRPr="009C68E0">
        <w:t>1</w:t>
      </w:r>
      <w:r w:rsidR="00203F72" w:rsidRPr="009C68E0">
        <w:t>個月的效果</w:t>
      </w:r>
      <w:r w:rsidR="00203F72" w:rsidRPr="009C68E0">
        <w:t>)</w:t>
      </w:r>
      <w:r w:rsidR="00203F72" w:rsidRPr="009C68E0">
        <w:t>部分，死刑對於搶奪犯罪的發生，它並沒有嚇阻的成效，在此，「死刑無法嚇阻搶奪犯罪理論」再一次地獲得實證科學上的統計支持，顯示死刑是一種無效的刑罰，是一種報復性的懲罰，它無法嚇阻搶奪犯罪的發生，又踐踏搶奪罪犯的「人性尊嚴」。</w:t>
      </w:r>
    </w:p>
    <w:p w14:paraId="46DFEF44" w14:textId="77777777" w:rsidR="00953151" w:rsidRPr="009C68E0" w:rsidRDefault="00353CFF" w:rsidP="00D87D91">
      <w:r w:rsidRPr="009C68E0">
        <w:t xml:space="preserve">　　</w:t>
      </w:r>
      <w:r w:rsidR="00203F72" w:rsidRPr="009C68E0">
        <w:t>再者，就當月「因搶奪罪被執行死刑總人數」的自變項</w:t>
      </w:r>
      <w:r w:rsidR="00203F72" w:rsidRPr="009C68E0">
        <w:t>(</w:t>
      </w:r>
      <w:r w:rsidR="00203F72" w:rsidRPr="009C68E0">
        <w:t>原因變項</w:t>
      </w:r>
      <w:r w:rsidR="00203F72" w:rsidRPr="009C68E0">
        <w:t>)</w:t>
      </w:r>
      <w:r w:rsidR="00203F72" w:rsidRPr="009C68E0">
        <w:t>它對於執行死刑後第</w:t>
      </w:r>
      <w:r w:rsidR="00203F72" w:rsidRPr="009C68E0">
        <w:t>2</w:t>
      </w:r>
      <w:r w:rsidR="00203F72" w:rsidRPr="009C68E0">
        <w:t>個月搶奪犯罪之發生的短期性效應</w:t>
      </w:r>
      <w:r w:rsidR="00203F72" w:rsidRPr="009C68E0">
        <w:t>(</w:t>
      </w:r>
      <w:r w:rsidR="00203F72" w:rsidRPr="009C68E0">
        <w:t>延遲</w:t>
      </w:r>
      <w:r w:rsidR="00203F72" w:rsidRPr="009C68E0">
        <w:t>2</w:t>
      </w:r>
      <w:r w:rsidR="00203F72" w:rsidRPr="009C68E0">
        <w:t>個月</w:t>
      </w:r>
      <w:r w:rsidR="00203F72" w:rsidRPr="009C68E0">
        <w:t>)</w:t>
      </w:r>
      <w:r w:rsidR="00203F72" w:rsidRPr="009C68E0">
        <w:t>而論，</w:t>
      </w:r>
      <w:r w:rsidR="00203F72" w:rsidRPr="009C68E0">
        <w:t>t</w:t>
      </w:r>
      <w:r w:rsidR="00203F72" w:rsidRPr="009C68E0">
        <w:t>值＝</w:t>
      </w:r>
      <w:r w:rsidR="00203F72" w:rsidRPr="009C68E0">
        <w:t>0.3967</w:t>
      </w:r>
      <w:r w:rsidR="00203F72" w:rsidRPr="009C68E0">
        <w:t>，</w:t>
      </w:r>
      <w:r w:rsidR="00203F72" w:rsidRPr="009C68E0">
        <w:t>t</w:t>
      </w:r>
      <w:r w:rsidR="00203F72" w:rsidRPr="009C68E0">
        <w:t>值並未達到統計上的顯著水準；表示國家針對於「搶奪罪犯」執行死刑，在執行死刑後第</w:t>
      </w:r>
      <w:r w:rsidR="00203F72" w:rsidRPr="009C68E0">
        <w:t>2</w:t>
      </w:r>
      <w:r w:rsidR="00203F72" w:rsidRPr="009C68E0">
        <w:t>個月的短期效果</w:t>
      </w:r>
      <w:r w:rsidR="00203F72" w:rsidRPr="009C68E0">
        <w:t>(</w:t>
      </w:r>
      <w:r w:rsidR="00203F72" w:rsidRPr="009C68E0">
        <w:t>延遲</w:t>
      </w:r>
      <w:r w:rsidR="00203F72" w:rsidRPr="009C68E0">
        <w:t>2</w:t>
      </w:r>
      <w:r w:rsidR="00203F72" w:rsidRPr="009C68E0">
        <w:t>個月的效果</w:t>
      </w:r>
      <w:r w:rsidR="00203F72" w:rsidRPr="009C68E0">
        <w:t>)</w:t>
      </w:r>
      <w:r w:rsidR="00203F72" w:rsidRPr="009C68E0">
        <w:t>方面，死刑對於搶奪犯罪的發生，它並沒有抑制的成效；在此，「死刑無法嚇阻搶奪犯罪理論」又再一次地獲得實證科學上的統計支持，顯示死刑是一種沒有正面效果的刑罰，死刑是無效的。</w:t>
      </w:r>
    </w:p>
    <w:p w14:paraId="17EAEDCE" w14:textId="77777777" w:rsidR="00953151" w:rsidRPr="009C68E0" w:rsidRDefault="00353CFF" w:rsidP="00D87D91">
      <w:r w:rsidRPr="009C68E0">
        <w:t xml:space="preserve">　　</w:t>
      </w:r>
      <w:r w:rsidR="00203F72" w:rsidRPr="009C68E0">
        <w:t>另外，就當月「因搶奪罪被執行死刑總人數」的自變項（原因變項），它對於執行死刑之後第</w:t>
      </w:r>
      <w:r w:rsidR="00203F72" w:rsidRPr="009C68E0">
        <w:t>3</w:t>
      </w:r>
      <w:r w:rsidR="00203F72" w:rsidRPr="009C68E0">
        <w:t>個月搶奪犯罪之生的短期性效應</w:t>
      </w:r>
      <w:r w:rsidR="00203F72" w:rsidRPr="009C68E0">
        <w:t>(</w:t>
      </w:r>
      <w:r w:rsidR="00203F72" w:rsidRPr="009C68E0">
        <w:t>延遲</w:t>
      </w:r>
      <w:r w:rsidR="00203F72" w:rsidRPr="009C68E0">
        <w:t>3</w:t>
      </w:r>
      <w:r w:rsidR="00203F72" w:rsidRPr="009C68E0">
        <w:t>個月</w:t>
      </w:r>
      <w:r w:rsidR="00203F72" w:rsidRPr="009C68E0">
        <w:t>)</w:t>
      </w:r>
      <w:r w:rsidR="00203F72" w:rsidRPr="009C68E0">
        <w:t>而論，</w:t>
      </w:r>
      <w:r w:rsidR="00203F72" w:rsidRPr="009C68E0">
        <w:t>t</w:t>
      </w:r>
      <w:r w:rsidR="00203F72" w:rsidRPr="009C68E0">
        <w:t>值＝</w:t>
      </w:r>
      <w:r w:rsidR="00203F72" w:rsidRPr="009C68E0">
        <w:t xml:space="preserve"> 0.7485</w:t>
      </w:r>
      <w:r w:rsidR="00203F72" w:rsidRPr="009C68E0">
        <w:t>，</w:t>
      </w:r>
      <w:r w:rsidR="00203F72" w:rsidRPr="009C68E0">
        <w:t>t</w:t>
      </w:r>
      <w:r w:rsidR="00203F72" w:rsidRPr="009C68E0">
        <w:t>值並沒有達到統計上的顯著水準；表示國家針對於「搶奪罪犯」執行死刑，在執行死刑後第</w:t>
      </w:r>
      <w:r w:rsidR="00203F72" w:rsidRPr="009C68E0">
        <w:t>3</w:t>
      </w:r>
      <w:r w:rsidR="00203F72" w:rsidRPr="009C68E0">
        <w:t>個月的短期效果</w:t>
      </w:r>
      <w:r w:rsidR="00203F72" w:rsidRPr="009C68E0">
        <w:t>(</w:t>
      </w:r>
      <w:r w:rsidR="00203F72" w:rsidRPr="009C68E0">
        <w:t>延遲</w:t>
      </w:r>
      <w:r w:rsidR="00203F72" w:rsidRPr="009C68E0">
        <w:t>3</w:t>
      </w:r>
      <w:r w:rsidR="00203F72" w:rsidRPr="009C68E0">
        <w:t>個月的效果</w:t>
      </w:r>
      <w:r w:rsidR="00203F72" w:rsidRPr="009C68E0">
        <w:t>)</w:t>
      </w:r>
      <w:r w:rsidR="00203F72" w:rsidRPr="009C68E0">
        <w:t>方面，死刑對於搶奪犯罪之生，它並未產生預期般的嚇阻成效；在此，「死刑無法嚇阻搶奪犯罪理論」又再一次地獲得實證科學上的統計支持，表示死刑是一種沒有正向效果的刑罰，死刑是沒有效用的。</w:t>
      </w:r>
    </w:p>
    <w:p w14:paraId="2AB1B31B" w14:textId="77777777" w:rsidR="00953151" w:rsidRPr="009C68E0" w:rsidRDefault="00353CFF" w:rsidP="00D87D91">
      <w:r w:rsidRPr="009C68E0">
        <w:t xml:space="preserve">　　</w:t>
      </w:r>
      <w:r w:rsidR="00203F72" w:rsidRPr="009C68E0">
        <w:t>此外，就當月「因搶奪罪被執行死刑總人數」的自變項</w:t>
      </w:r>
      <w:r w:rsidR="00203F72" w:rsidRPr="009C68E0">
        <w:t>(</w:t>
      </w:r>
      <w:r w:rsidR="00203F72" w:rsidRPr="009C68E0">
        <w:t>原因變項</w:t>
      </w:r>
      <w:r w:rsidR="00203F72" w:rsidRPr="009C68E0">
        <w:t>)</w:t>
      </w:r>
      <w:r w:rsidR="00203F72" w:rsidRPr="009C68E0">
        <w:t>，它對於執行死刑之後第</w:t>
      </w:r>
      <w:r w:rsidR="00203F72" w:rsidRPr="009C68E0">
        <w:t>4</w:t>
      </w:r>
      <w:r w:rsidR="00203F72" w:rsidRPr="009C68E0">
        <w:t>個月搶奪犯罪之生的短期性效應</w:t>
      </w:r>
      <w:r w:rsidR="00203F72" w:rsidRPr="009C68E0">
        <w:t>(</w:t>
      </w:r>
      <w:r w:rsidR="00203F72" w:rsidRPr="009C68E0">
        <w:t>延遲</w:t>
      </w:r>
      <w:r w:rsidR="00203F72" w:rsidRPr="009C68E0">
        <w:t>4</w:t>
      </w:r>
      <w:r w:rsidR="00203F72" w:rsidRPr="009C68E0">
        <w:t>個月</w:t>
      </w:r>
      <w:r w:rsidR="00203F72" w:rsidRPr="009C68E0">
        <w:t>)</w:t>
      </w:r>
      <w:r w:rsidR="00203F72" w:rsidRPr="009C68E0">
        <w:t>而論，</w:t>
      </w:r>
      <w:r w:rsidR="00203F72" w:rsidRPr="009C68E0">
        <w:t>t</w:t>
      </w:r>
      <w:r w:rsidR="00203F72" w:rsidRPr="009C68E0">
        <w:t>值＝</w:t>
      </w:r>
      <w:r w:rsidR="00203F72" w:rsidRPr="009C68E0">
        <w:t>0.8611</w:t>
      </w:r>
      <w:r w:rsidR="00203F72" w:rsidRPr="009C68E0">
        <w:t>，</w:t>
      </w:r>
      <w:r w:rsidR="00203F72" w:rsidRPr="009C68E0">
        <w:t>t</w:t>
      </w:r>
      <w:r w:rsidR="00203F72" w:rsidRPr="009C68E0">
        <w:t>值並沒有達到統計上的顯著水準；表示國家針對於「搶奪罪犯」執行死刑，在執行死刑之後第</w:t>
      </w:r>
      <w:r w:rsidR="00203F72" w:rsidRPr="009C68E0">
        <w:t>4</w:t>
      </w:r>
      <w:r w:rsidR="00203F72" w:rsidRPr="009C68E0">
        <w:t>個月的短期效果</w:t>
      </w:r>
      <w:r w:rsidR="00203F72" w:rsidRPr="009C68E0">
        <w:t>(</w:t>
      </w:r>
      <w:r w:rsidR="00203F72" w:rsidRPr="009C68E0">
        <w:t>延遲</w:t>
      </w:r>
      <w:r w:rsidR="00203F72" w:rsidRPr="009C68E0">
        <w:t>4</w:t>
      </w:r>
      <w:r w:rsidR="00203F72" w:rsidRPr="009C68E0">
        <w:t>個月的效果</w:t>
      </w:r>
      <w:r w:rsidR="00203F72" w:rsidRPr="009C68E0">
        <w:t>)</w:t>
      </w:r>
      <w:r w:rsidR="00203F72" w:rsidRPr="009C68E0">
        <w:t>部分，死刑對於搶奪犯罪的發生，它並沒有產生預期般的嚇阻成果；在此，「死刑無法嚇阻搶奪犯罪理論」又再一次地獲得實證科學上的統計支持，顯示死刑是一種沒有抑制力道的刑罰。</w:t>
      </w:r>
    </w:p>
    <w:p w14:paraId="7E30E048" w14:textId="77777777" w:rsidR="00203F72" w:rsidRPr="009C68E0" w:rsidRDefault="00353CFF" w:rsidP="00D87D91">
      <w:r w:rsidRPr="009C68E0">
        <w:t xml:space="preserve">　　</w:t>
      </w:r>
      <w:r w:rsidR="00203F72" w:rsidRPr="009C68E0">
        <w:t>綜合以上的統計數據與分析，可歸結得到以下之結論：</w:t>
      </w:r>
      <w:r w:rsidR="00203F72" w:rsidRPr="009C68E0">
        <w:t>1.</w:t>
      </w:r>
      <w:r w:rsidR="00203F72" w:rsidRPr="009C68E0">
        <w:t>國家針對於「搶奪犯罪人」執行最為嚴厲的生命刑，在短期成效上，均沒有嚇阻力道；</w:t>
      </w:r>
      <w:r w:rsidR="00203F72" w:rsidRPr="009C68E0">
        <w:t>2.</w:t>
      </w:r>
      <w:r w:rsidR="00203F72" w:rsidRPr="009C68E0">
        <w:t>死刑已淪為報復式的刑罰，它已成為以牙還牙的工具；</w:t>
      </w:r>
      <w:r w:rsidR="00203F72" w:rsidRPr="009C68E0">
        <w:t>3.</w:t>
      </w:r>
      <w:r w:rsidR="00203F72" w:rsidRPr="009C68E0">
        <w:t>「死刑無法嚇阻搶奪犯罪理論」充分地獲得實證科學上的統計支持；死刑是無用的，它完全顛覆社會大眾對於死刑成效的傳統上的認知。</w:t>
      </w:r>
    </w:p>
    <w:p w14:paraId="34192351" w14:textId="77777777" w:rsidR="00203F72" w:rsidRPr="00A53581" w:rsidRDefault="00203F72" w:rsidP="00D87D91">
      <w:r w:rsidRPr="00A53581">
        <w:t xml:space="preserve"> </w:t>
      </w:r>
    </w:p>
    <w:p w14:paraId="436CA953" w14:textId="65186521"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108</w:t>
      </w:r>
      <w:r w:rsidR="00076467">
        <w:rPr>
          <w:noProof/>
        </w:rPr>
        <w:fldChar w:fldCharType="end"/>
      </w:r>
      <w:r w:rsidR="00203F72" w:rsidRPr="00A53581">
        <w:t xml:space="preserve"> </w:t>
      </w:r>
      <w:r w:rsidR="00203F72" w:rsidRPr="00A53581">
        <w:t>因搶奪罪被執行死刑總人數</w:t>
      </w:r>
      <w:r w:rsidR="00203F72" w:rsidRPr="00A53581">
        <w:t>(</w:t>
      </w:r>
      <w:r w:rsidR="00203F72" w:rsidRPr="00A53581">
        <w:t>自變項</w:t>
      </w:r>
      <w:r w:rsidR="00203F72" w:rsidRPr="00A53581">
        <w:t>)</w:t>
      </w:r>
      <w:r w:rsidR="00203F72" w:rsidRPr="00A53581">
        <w:t>對搶奪案發生件數</w:t>
      </w:r>
      <w:r w:rsidR="00203F72" w:rsidRPr="00A53581">
        <w:t>(</w:t>
      </w:r>
      <w:r w:rsidR="00203F72" w:rsidRPr="00A53581">
        <w:t>依變項</w:t>
      </w:r>
      <w:r w:rsidR="00203F72" w:rsidRPr="00A53581">
        <w:t>)</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012"/>
        <w:gridCol w:w="1266"/>
        <w:gridCol w:w="1176"/>
        <w:gridCol w:w="986"/>
        <w:gridCol w:w="1200"/>
        <w:gridCol w:w="1240"/>
      </w:tblGrid>
      <w:tr w:rsidR="00203F72" w:rsidRPr="00A53581" w14:paraId="19551C6E" w14:textId="77777777" w:rsidTr="00703176">
        <w:trPr>
          <w:tblHeader/>
        </w:trPr>
        <w:tc>
          <w:tcPr>
            <w:tcW w:w="1308" w:type="dxa"/>
            <w:shd w:val="clear" w:color="auto" w:fill="FAF0FA"/>
          </w:tcPr>
          <w:p w14:paraId="3AA8B942" w14:textId="77777777" w:rsidR="00203F72" w:rsidRPr="00A53581" w:rsidRDefault="00203F72" w:rsidP="00D87D91">
            <w:r w:rsidRPr="00A53581">
              <w:t>因搶奪罪被執行死刑總人數對搶奪案發生件數之影響</w:t>
            </w:r>
          </w:p>
        </w:tc>
        <w:tc>
          <w:tcPr>
            <w:tcW w:w="1012" w:type="dxa"/>
            <w:shd w:val="clear" w:color="auto" w:fill="FAF0FA"/>
          </w:tcPr>
          <w:p w14:paraId="75D7E63A" w14:textId="77777777" w:rsidR="00203F72" w:rsidRPr="00A53581" w:rsidRDefault="00203F72" w:rsidP="00D87D91">
            <w:r w:rsidRPr="00A53581">
              <w:t>a</w:t>
            </w:r>
          </w:p>
          <w:p w14:paraId="76A82352" w14:textId="77777777" w:rsidR="00203F72" w:rsidRPr="00A53581" w:rsidRDefault="00203F72" w:rsidP="00D87D91">
            <w:r w:rsidRPr="00A53581">
              <w:t>常數</w:t>
            </w:r>
          </w:p>
        </w:tc>
        <w:tc>
          <w:tcPr>
            <w:tcW w:w="1266" w:type="dxa"/>
            <w:shd w:val="clear" w:color="auto" w:fill="FAF0FA"/>
          </w:tcPr>
          <w:p w14:paraId="2B60027E" w14:textId="77777777" w:rsidR="00203F72" w:rsidRPr="00A53581" w:rsidRDefault="00203F72" w:rsidP="00D87D91">
            <w:r w:rsidRPr="00A53581">
              <w:t>b</w:t>
            </w:r>
            <w:r w:rsidRPr="00A53581">
              <w:t>斜率</w:t>
            </w:r>
            <w:r w:rsidRPr="00A53581">
              <w:t>(</w:t>
            </w:r>
            <w:r w:rsidRPr="00A53581">
              <w:t>未標準化迴歸係數</w:t>
            </w:r>
            <w:r w:rsidRPr="00A53581">
              <w:t>)</w:t>
            </w:r>
          </w:p>
        </w:tc>
        <w:tc>
          <w:tcPr>
            <w:tcW w:w="1176" w:type="dxa"/>
            <w:shd w:val="clear" w:color="auto" w:fill="FAF0FA"/>
          </w:tcPr>
          <w:p w14:paraId="1D4C5F70" w14:textId="77777777" w:rsidR="00203F72" w:rsidRPr="00A53581" w:rsidRDefault="00203F72" w:rsidP="00D87D91">
            <w:r w:rsidRPr="00A53581">
              <w:t>t</w:t>
            </w:r>
          </w:p>
          <w:p w14:paraId="15F5FFFE" w14:textId="77777777" w:rsidR="00203F72" w:rsidRPr="00A53581" w:rsidRDefault="00203F72" w:rsidP="00D87D91">
            <w:r w:rsidRPr="00A53581">
              <w:t>值</w:t>
            </w:r>
          </w:p>
        </w:tc>
        <w:tc>
          <w:tcPr>
            <w:tcW w:w="986" w:type="dxa"/>
            <w:shd w:val="clear" w:color="auto" w:fill="FAF0FA"/>
          </w:tcPr>
          <w:p w14:paraId="196A5E82" w14:textId="77777777" w:rsidR="00203F72" w:rsidRPr="00A53581" w:rsidRDefault="00203F72" w:rsidP="00D87D91">
            <w:r w:rsidRPr="00A53581">
              <w:t>t</w:t>
            </w:r>
            <w:r w:rsidRPr="00A53581">
              <w:t>值</w:t>
            </w:r>
          </w:p>
          <w:p w14:paraId="20B873A6" w14:textId="77777777" w:rsidR="00203F72" w:rsidRPr="00A53581" w:rsidRDefault="00203F72" w:rsidP="00D87D91">
            <w:r w:rsidRPr="00A53581">
              <w:t>顯著性</w:t>
            </w:r>
          </w:p>
        </w:tc>
        <w:tc>
          <w:tcPr>
            <w:tcW w:w="1200" w:type="dxa"/>
            <w:shd w:val="clear" w:color="auto" w:fill="FAF0FA"/>
          </w:tcPr>
          <w:p w14:paraId="5F3979A6" w14:textId="77777777" w:rsidR="00203F72" w:rsidRPr="00A53581" w:rsidRDefault="00203F72" w:rsidP="00D87D91">
            <w:r w:rsidRPr="00A53581">
              <w:t>模式</w:t>
            </w:r>
          </w:p>
          <w:p w14:paraId="3AFCC70C" w14:textId="77777777" w:rsidR="00203F72" w:rsidRPr="00A53581" w:rsidRDefault="00203F72" w:rsidP="00D87D91">
            <w:pPr>
              <w:rPr>
                <w:vertAlign w:val="superscript"/>
              </w:rPr>
            </w:pPr>
            <w:r w:rsidRPr="00A53581">
              <w:t>R</w:t>
            </w:r>
            <w:r w:rsidRPr="00A53581">
              <w:rPr>
                <w:vertAlign w:val="superscript"/>
              </w:rPr>
              <w:t>2</w:t>
            </w:r>
          </w:p>
          <w:p w14:paraId="0E6CE6DD" w14:textId="77777777" w:rsidR="00203F72" w:rsidRPr="00A53581" w:rsidRDefault="00203F72" w:rsidP="00D87D91">
            <w:pPr>
              <w:rPr>
                <w:vertAlign w:val="superscript"/>
              </w:rPr>
            </w:pPr>
            <w:r w:rsidRPr="00A53581">
              <w:t>adjusted R</w:t>
            </w:r>
            <w:r w:rsidRPr="00A53581">
              <w:rPr>
                <w:vertAlign w:val="superscript"/>
              </w:rPr>
              <w:t>2</w:t>
            </w:r>
          </w:p>
          <w:p w14:paraId="02E1550D" w14:textId="77777777" w:rsidR="00203F72" w:rsidRPr="00A53581" w:rsidRDefault="00203F72" w:rsidP="00D87D91"/>
        </w:tc>
        <w:tc>
          <w:tcPr>
            <w:tcW w:w="1240" w:type="dxa"/>
            <w:shd w:val="clear" w:color="auto" w:fill="FAF0FA"/>
          </w:tcPr>
          <w:p w14:paraId="19888002" w14:textId="77777777" w:rsidR="00203F72" w:rsidRPr="00A53581" w:rsidRDefault="00203F72" w:rsidP="00D87D91">
            <w:r w:rsidRPr="00A53581">
              <w:t>模式</w:t>
            </w:r>
          </w:p>
          <w:p w14:paraId="24A38D9E" w14:textId="77777777" w:rsidR="00203F72" w:rsidRPr="00A53581" w:rsidRDefault="00203F72" w:rsidP="00D87D91">
            <w:r w:rsidRPr="00A53581">
              <w:t>F</w:t>
            </w:r>
          </w:p>
          <w:p w14:paraId="317CBC6B" w14:textId="77777777" w:rsidR="00203F72" w:rsidRPr="00A53581" w:rsidRDefault="00203F72" w:rsidP="00D87D91">
            <w:r w:rsidRPr="00A53581">
              <w:t>值</w:t>
            </w:r>
          </w:p>
        </w:tc>
      </w:tr>
      <w:tr w:rsidR="00203F72" w:rsidRPr="00A53581" w14:paraId="60190CE8" w14:textId="77777777" w:rsidTr="00703176">
        <w:tc>
          <w:tcPr>
            <w:tcW w:w="1308" w:type="dxa"/>
            <w:shd w:val="clear" w:color="auto" w:fill="auto"/>
          </w:tcPr>
          <w:p w14:paraId="71306D58" w14:textId="77777777" w:rsidR="00203F72" w:rsidRPr="00A53581" w:rsidRDefault="00203F72" w:rsidP="00D87D91">
            <w:r w:rsidRPr="00A53581">
              <w:t>當月效果</w:t>
            </w:r>
          </w:p>
        </w:tc>
        <w:tc>
          <w:tcPr>
            <w:tcW w:w="1012" w:type="dxa"/>
            <w:shd w:val="clear" w:color="auto" w:fill="auto"/>
          </w:tcPr>
          <w:p w14:paraId="69DFAA73" w14:textId="77777777" w:rsidR="00203F72" w:rsidRPr="00A53581" w:rsidRDefault="00203F72" w:rsidP="00D87D91">
            <w:r w:rsidRPr="00A53581">
              <w:t>72.053</w:t>
            </w:r>
          </w:p>
        </w:tc>
        <w:tc>
          <w:tcPr>
            <w:tcW w:w="1266" w:type="dxa"/>
            <w:shd w:val="clear" w:color="auto" w:fill="auto"/>
          </w:tcPr>
          <w:p w14:paraId="449AE3C1" w14:textId="77777777" w:rsidR="00203F72" w:rsidRPr="00A53581" w:rsidRDefault="00203F72" w:rsidP="00D87D91">
            <w:r w:rsidRPr="00A53581">
              <w:t>6.947</w:t>
            </w:r>
          </w:p>
        </w:tc>
        <w:tc>
          <w:tcPr>
            <w:tcW w:w="1176" w:type="dxa"/>
            <w:shd w:val="clear" w:color="auto" w:fill="auto"/>
          </w:tcPr>
          <w:p w14:paraId="05204520" w14:textId="77777777" w:rsidR="00203F72" w:rsidRPr="00A53581" w:rsidRDefault="00203F72" w:rsidP="00D87D91">
            <w:r w:rsidRPr="00A53581">
              <w:t>.228</w:t>
            </w:r>
          </w:p>
        </w:tc>
        <w:tc>
          <w:tcPr>
            <w:tcW w:w="986" w:type="dxa"/>
            <w:shd w:val="clear" w:color="auto" w:fill="auto"/>
          </w:tcPr>
          <w:p w14:paraId="42088037" w14:textId="77777777" w:rsidR="00203F72" w:rsidRPr="00A53581" w:rsidRDefault="00203F72" w:rsidP="00D87D91">
            <w:r w:rsidRPr="00A53581">
              <w:t>.7737</w:t>
            </w:r>
          </w:p>
        </w:tc>
        <w:tc>
          <w:tcPr>
            <w:tcW w:w="1200" w:type="dxa"/>
            <w:shd w:val="clear" w:color="auto" w:fill="auto"/>
          </w:tcPr>
          <w:p w14:paraId="5B2BA288" w14:textId="77777777" w:rsidR="00203F72" w:rsidRPr="00A53581" w:rsidRDefault="00203F72" w:rsidP="00D87D91">
            <w:r w:rsidRPr="00A53581">
              <w:t>.00064</w:t>
            </w:r>
          </w:p>
          <w:p w14:paraId="34073278" w14:textId="77777777" w:rsidR="00203F72" w:rsidRPr="00A53581" w:rsidRDefault="00203F72" w:rsidP="00D87D91">
            <w:r w:rsidRPr="00A53581">
              <w:t>.00705</w:t>
            </w:r>
          </w:p>
        </w:tc>
        <w:tc>
          <w:tcPr>
            <w:tcW w:w="1240" w:type="dxa"/>
            <w:shd w:val="clear" w:color="auto" w:fill="auto"/>
          </w:tcPr>
          <w:p w14:paraId="1327F120" w14:textId="77777777" w:rsidR="00203F72" w:rsidRPr="00A53581" w:rsidRDefault="00203F72" w:rsidP="00D87D91">
            <w:r w:rsidRPr="00A53581">
              <w:t>.0830</w:t>
            </w:r>
          </w:p>
          <w:p w14:paraId="7E5A0FB2" w14:textId="77777777" w:rsidR="00203F72" w:rsidRPr="00A53581" w:rsidRDefault="00203F72" w:rsidP="00D87D91">
            <w:r w:rsidRPr="00A53581">
              <w:t>(.7737)</w:t>
            </w:r>
          </w:p>
        </w:tc>
      </w:tr>
      <w:tr w:rsidR="00203F72" w:rsidRPr="00A53581" w14:paraId="430E7971" w14:textId="77777777" w:rsidTr="00703176">
        <w:tc>
          <w:tcPr>
            <w:tcW w:w="1308" w:type="dxa"/>
            <w:shd w:val="clear" w:color="auto" w:fill="auto"/>
          </w:tcPr>
          <w:p w14:paraId="3C111A31" w14:textId="77777777" w:rsidR="00203F72" w:rsidRPr="00A53581" w:rsidRDefault="00203F72" w:rsidP="00D87D91">
            <w:r w:rsidRPr="00A53581">
              <w:t>延遲一月效果</w:t>
            </w:r>
          </w:p>
        </w:tc>
        <w:tc>
          <w:tcPr>
            <w:tcW w:w="1012" w:type="dxa"/>
            <w:shd w:val="clear" w:color="auto" w:fill="auto"/>
          </w:tcPr>
          <w:p w14:paraId="77269194" w14:textId="77777777" w:rsidR="00203F72" w:rsidRPr="00A53581" w:rsidRDefault="00203F72" w:rsidP="00D87D91">
            <w:r w:rsidRPr="00A53581">
              <w:t>72.346</w:t>
            </w:r>
          </w:p>
        </w:tc>
        <w:tc>
          <w:tcPr>
            <w:tcW w:w="1266" w:type="dxa"/>
            <w:shd w:val="clear" w:color="auto" w:fill="auto"/>
          </w:tcPr>
          <w:p w14:paraId="1DABDB6C" w14:textId="77777777" w:rsidR="00203F72" w:rsidRPr="00A53581" w:rsidRDefault="00203F72" w:rsidP="00D87D91">
            <w:r w:rsidRPr="00A53581">
              <w:t>-3.346</w:t>
            </w:r>
          </w:p>
        </w:tc>
        <w:tc>
          <w:tcPr>
            <w:tcW w:w="1176" w:type="dxa"/>
            <w:shd w:val="clear" w:color="auto" w:fill="auto"/>
          </w:tcPr>
          <w:p w14:paraId="650D6D10" w14:textId="77777777" w:rsidR="00203F72" w:rsidRPr="00A53581" w:rsidRDefault="00203F72" w:rsidP="00D87D91">
            <w:r w:rsidRPr="00A53581">
              <w:t>-.139</w:t>
            </w:r>
          </w:p>
        </w:tc>
        <w:tc>
          <w:tcPr>
            <w:tcW w:w="986" w:type="dxa"/>
            <w:shd w:val="clear" w:color="auto" w:fill="auto"/>
          </w:tcPr>
          <w:p w14:paraId="4F1DECCE" w14:textId="77777777" w:rsidR="00203F72" w:rsidRPr="00A53581" w:rsidRDefault="00203F72" w:rsidP="00D87D91">
            <w:r w:rsidRPr="00A53581">
              <w:t>.8897</w:t>
            </w:r>
          </w:p>
        </w:tc>
        <w:tc>
          <w:tcPr>
            <w:tcW w:w="1200" w:type="dxa"/>
            <w:shd w:val="clear" w:color="auto" w:fill="auto"/>
          </w:tcPr>
          <w:p w14:paraId="4A128D8D" w14:textId="77777777" w:rsidR="00203F72" w:rsidRPr="00A53581" w:rsidRDefault="00203F72" w:rsidP="00D87D91">
            <w:r w:rsidRPr="00A53581">
              <w:t>.00015</w:t>
            </w:r>
          </w:p>
          <w:p w14:paraId="44CD3795" w14:textId="77777777" w:rsidR="00203F72" w:rsidRPr="00A53581" w:rsidRDefault="00203F72" w:rsidP="00D87D91">
            <w:r w:rsidRPr="00A53581">
              <w:t>.00760</w:t>
            </w:r>
          </w:p>
        </w:tc>
        <w:tc>
          <w:tcPr>
            <w:tcW w:w="1240" w:type="dxa"/>
            <w:shd w:val="clear" w:color="auto" w:fill="auto"/>
          </w:tcPr>
          <w:p w14:paraId="0FDA3569" w14:textId="77777777" w:rsidR="00203F72" w:rsidRPr="00A53581" w:rsidRDefault="00203F72" w:rsidP="00D87D91">
            <w:r w:rsidRPr="00A53581">
              <w:t>.0193</w:t>
            </w:r>
          </w:p>
          <w:p w14:paraId="413FAE4C" w14:textId="77777777" w:rsidR="00203F72" w:rsidRPr="00A53581" w:rsidRDefault="00203F72" w:rsidP="00D87D91">
            <w:r w:rsidRPr="00A53581">
              <w:t>(.8897)</w:t>
            </w:r>
          </w:p>
        </w:tc>
      </w:tr>
      <w:tr w:rsidR="00203F72" w:rsidRPr="00A53581" w14:paraId="0962A486" w14:textId="77777777" w:rsidTr="00703176">
        <w:tc>
          <w:tcPr>
            <w:tcW w:w="1308" w:type="dxa"/>
            <w:shd w:val="clear" w:color="auto" w:fill="auto"/>
          </w:tcPr>
          <w:p w14:paraId="1D55CA1B" w14:textId="77777777" w:rsidR="00203F72" w:rsidRPr="00A53581" w:rsidRDefault="00203F72" w:rsidP="00D87D91">
            <w:r w:rsidRPr="00A53581">
              <w:t>延遲二月效果</w:t>
            </w:r>
          </w:p>
        </w:tc>
        <w:tc>
          <w:tcPr>
            <w:tcW w:w="1012" w:type="dxa"/>
            <w:shd w:val="clear" w:color="auto" w:fill="auto"/>
          </w:tcPr>
          <w:p w14:paraId="7F37306B" w14:textId="77777777" w:rsidR="00203F72" w:rsidRPr="00A53581" w:rsidRDefault="00203F72" w:rsidP="00D87D91">
            <w:r w:rsidRPr="00A53581">
              <w:t>72.496</w:t>
            </w:r>
          </w:p>
        </w:tc>
        <w:tc>
          <w:tcPr>
            <w:tcW w:w="1266" w:type="dxa"/>
            <w:shd w:val="clear" w:color="auto" w:fill="auto"/>
          </w:tcPr>
          <w:p w14:paraId="03496512" w14:textId="77777777" w:rsidR="00203F72" w:rsidRPr="00A53581" w:rsidRDefault="00203F72" w:rsidP="00D87D91">
            <w:r w:rsidRPr="00A53581">
              <w:t>-20.496</w:t>
            </w:r>
          </w:p>
        </w:tc>
        <w:tc>
          <w:tcPr>
            <w:tcW w:w="1176" w:type="dxa"/>
            <w:shd w:val="clear" w:color="auto" w:fill="auto"/>
          </w:tcPr>
          <w:p w14:paraId="31B7221B" w14:textId="77777777" w:rsidR="00203F72" w:rsidRPr="00A53581" w:rsidRDefault="00203F72" w:rsidP="00D87D91">
            <w:r w:rsidRPr="00A53581">
              <w:t>-.850</w:t>
            </w:r>
          </w:p>
        </w:tc>
        <w:tc>
          <w:tcPr>
            <w:tcW w:w="986" w:type="dxa"/>
            <w:shd w:val="clear" w:color="auto" w:fill="auto"/>
          </w:tcPr>
          <w:p w14:paraId="59A432FC" w14:textId="77777777" w:rsidR="00203F72" w:rsidRPr="00A53581" w:rsidRDefault="00203F72" w:rsidP="00D87D91">
            <w:r w:rsidRPr="00A53581">
              <w:t>.3967</w:t>
            </w:r>
          </w:p>
        </w:tc>
        <w:tc>
          <w:tcPr>
            <w:tcW w:w="1200" w:type="dxa"/>
            <w:shd w:val="clear" w:color="auto" w:fill="auto"/>
          </w:tcPr>
          <w:p w14:paraId="0B44E1D7" w14:textId="77777777" w:rsidR="00203F72" w:rsidRPr="00A53581" w:rsidRDefault="00203F72" w:rsidP="00D87D91">
            <w:r w:rsidRPr="00A53581">
              <w:t>.00562</w:t>
            </w:r>
          </w:p>
          <w:p w14:paraId="6C98A4FB" w14:textId="77777777" w:rsidR="00203F72" w:rsidRPr="00A53581" w:rsidRDefault="00203F72" w:rsidP="00D87D91">
            <w:r w:rsidRPr="00A53581">
              <w:t>.00215</w:t>
            </w:r>
          </w:p>
        </w:tc>
        <w:tc>
          <w:tcPr>
            <w:tcW w:w="1240" w:type="dxa"/>
            <w:shd w:val="clear" w:color="auto" w:fill="auto"/>
          </w:tcPr>
          <w:p w14:paraId="36FE3402" w14:textId="77777777" w:rsidR="00203F72" w:rsidRPr="00A53581" w:rsidRDefault="00203F72" w:rsidP="00D87D91">
            <w:r w:rsidRPr="00A53581">
              <w:t>.7230</w:t>
            </w:r>
          </w:p>
          <w:p w14:paraId="511E1042" w14:textId="77777777" w:rsidR="00203F72" w:rsidRPr="00A53581" w:rsidRDefault="00203F72" w:rsidP="00D87D91">
            <w:r w:rsidRPr="00A53581">
              <w:t>(.3967)</w:t>
            </w:r>
          </w:p>
        </w:tc>
      </w:tr>
      <w:tr w:rsidR="00203F72" w:rsidRPr="00A53581" w14:paraId="438B317F" w14:textId="77777777" w:rsidTr="00703176">
        <w:tc>
          <w:tcPr>
            <w:tcW w:w="1308" w:type="dxa"/>
            <w:shd w:val="clear" w:color="auto" w:fill="auto"/>
          </w:tcPr>
          <w:p w14:paraId="284E556A" w14:textId="77777777" w:rsidR="00203F72" w:rsidRPr="00A53581" w:rsidRDefault="00203F72" w:rsidP="00D87D91">
            <w:r w:rsidRPr="00A53581">
              <w:t>延遲三月效果</w:t>
            </w:r>
          </w:p>
        </w:tc>
        <w:tc>
          <w:tcPr>
            <w:tcW w:w="1012" w:type="dxa"/>
            <w:shd w:val="clear" w:color="auto" w:fill="auto"/>
          </w:tcPr>
          <w:p w14:paraId="602F87D7" w14:textId="77777777" w:rsidR="00203F72" w:rsidRPr="00A53581" w:rsidRDefault="00203F72" w:rsidP="00D87D91">
            <w:r w:rsidRPr="00A53581">
              <w:t>72.211</w:t>
            </w:r>
          </w:p>
        </w:tc>
        <w:tc>
          <w:tcPr>
            <w:tcW w:w="1266" w:type="dxa"/>
            <w:shd w:val="clear" w:color="auto" w:fill="auto"/>
          </w:tcPr>
          <w:p w14:paraId="1A7B361F" w14:textId="77777777" w:rsidR="00203F72" w:rsidRPr="00A53581" w:rsidRDefault="00203F72" w:rsidP="00D87D91">
            <w:r w:rsidRPr="00A53581">
              <w:t>7.789</w:t>
            </w:r>
          </w:p>
        </w:tc>
        <w:tc>
          <w:tcPr>
            <w:tcW w:w="1176" w:type="dxa"/>
            <w:shd w:val="clear" w:color="auto" w:fill="auto"/>
          </w:tcPr>
          <w:p w14:paraId="03D81623" w14:textId="77777777" w:rsidR="00203F72" w:rsidRPr="00A53581" w:rsidRDefault="00203F72" w:rsidP="00D87D91">
            <w:r w:rsidRPr="00A53581">
              <w:t>.321</w:t>
            </w:r>
          </w:p>
        </w:tc>
        <w:tc>
          <w:tcPr>
            <w:tcW w:w="986" w:type="dxa"/>
            <w:shd w:val="clear" w:color="auto" w:fill="auto"/>
          </w:tcPr>
          <w:p w14:paraId="13D5EC26" w14:textId="77777777" w:rsidR="00203F72" w:rsidRPr="00A53581" w:rsidRDefault="00203F72" w:rsidP="00D87D91">
            <w:r w:rsidRPr="00A53581">
              <w:t>.7485</w:t>
            </w:r>
          </w:p>
        </w:tc>
        <w:tc>
          <w:tcPr>
            <w:tcW w:w="1200" w:type="dxa"/>
            <w:shd w:val="clear" w:color="auto" w:fill="auto"/>
          </w:tcPr>
          <w:p w14:paraId="10D12076" w14:textId="77777777" w:rsidR="00203F72" w:rsidRPr="00A53581" w:rsidRDefault="00203F72" w:rsidP="00D87D91">
            <w:r w:rsidRPr="00A53581">
              <w:t>.00081</w:t>
            </w:r>
          </w:p>
          <w:p w14:paraId="41D6FA40" w14:textId="77777777" w:rsidR="00203F72" w:rsidRPr="00A53581" w:rsidRDefault="00203F72" w:rsidP="00D87D91">
            <w:r w:rsidRPr="00A53581">
              <w:t>.00706</w:t>
            </w:r>
          </w:p>
        </w:tc>
        <w:tc>
          <w:tcPr>
            <w:tcW w:w="1240" w:type="dxa"/>
            <w:shd w:val="clear" w:color="auto" w:fill="auto"/>
          </w:tcPr>
          <w:p w14:paraId="6F4B499B" w14:textId="77777777" w:rsidR="00203F72" w:rsidRPr="00A53581" w:rsidRDefault="00203F72" w:rsidP="00D87D91">
            <w:r w:rsidRPr="00A53581">
              <w:t>.1032</w:t>
            </w:r>
          </w:p>
          <w:p w14:paraId="3653AFC7" w14:textId="77777777" w:rsidR="00203F72" w:rsidRPr="00A53581" w:rsidRDefault="00203F72" w:rsidP="00D87D91">
            <w:r w:rsidRPr="00A53581">
              <w:t>(.7485)</w:t>
            </w:r>
          </w:p>
        </w:tc>
      </w:tr>
      <w:tr w:rsidR="00203F72" w:rsidRPr="00A53581" w14:paraId="295C45AB" w14:textId="77777777" w:rsidTr="00703176">
        <w:tc>
          <w:tcPr>
            <w:tcW w:w="1308" w:type="dxa"/>
            <w:shd w:val="clear" w:color="auto" w:fill="auto"/>
          </w:tcPr>
          <w:p w14:paraId="4DF6A48F" w14:textId="77777777" w:rsidR="00203F72" w:rsidRPr="00A53581" w:rsidRDefault="00203F72" w:rsidP="00D87D91">
            <w:r w:rsidRPr="00A53581">
              <w:t>延遲四月效果</w:t>
            </w:r>
          </w:p>
        </w:tc>
        <w:tc>
          <w:tcPr>
            <w:tcW w:w="1012" w:type="dxa"/>
            <w:shd w:val="clear" w:color="auto" w:fill="auto"/>
          </w:tcPr>
          <w:p w14:paraId="0A13F079" w14:textId="77777777" w:rsidR="00203F72" w:rsidRPr="00A53581" w:rsidRDefault="00203F72" w:rsidP="00D87D91">
            <w:r w:rsidRPr="00A53581">
              <w:t>72.268</w:t>
            </w:r>
          </w:p>
        </w:tc>
        <w:tc>
          <w:tcPr>
            <w:tcW w:w="1266" w:type="dxa"/>
            <w:shd w:val="clear" w:color="auto" w:fill="auto"/>
          </w:tcPr>
          <w:p w14:paraId="39FD025D" w14:textId="77777777" w:rsidR="00203F72" w:rsidRPr="00A53581" w:rsidRDefault="00203F72" w:rsidP="00D87D91">
            <w:r w:rsidRPr="00A53581">
              <w:t>-4.268</w:t>
            </w:r>
          </w:p>
        </w:tc>
        <w:tc>
          <w:tcPr>
            <w:tcW w:w="1176" w:type="dxa"/>
            <w:shd w:val="clear" w:color="auto" w:fill="auto"/>
          </w:tcPr>
          <w:p w14:paraId="3A506A4D" w14:textId="77777777" w:rsidR="00203F72" w:rsidRPr="00A53581" w:rsidRDefault="00203F72" w:rsidP="00D87D91">
            <w:r w:rsidRPr="00A53581">
              <w:t>-.175</w:t>
            </w:r>
          </w:p>
        </w:tc>
        <w:tc>
          <w:tcPr>
            <w:tcW w:w="986" w:type="dxa"/>
            <w:shd w:val="clear" w:color="auto" w:fill="auto"/>
          </w:tcPr>
          <w:p w14:paraId="3A0ACE82" w14:textId="77777777" w:rsidR="00203F72" w:rsidRPr="00A53581" w:rsidRDefault="00203F72" w:rsidP="00D87D91">
            <w:r w:rsidRPr="00A53581">
              <w:t>.8611</w:t>
            </w:r>
          </w:p>
        </w:tc>
        <w:tc>
          <w:tcPr>
            <w:tcW w:w="1200" w:type="dxa"/>
            <w:shd w:val="clear" w:color="auto" w:fill="auto"/>
          </w:tcPr>
          <w:p w14:paraId="4BA13674" w14:textId="77777777" w:rsidR="00203F72" w:rsidRPr="00A53581" w:rsidRDefault="00203F72" w:rsidP="00D87D91">
            <w:r w:rsidRPr="00A53581">
              <w:t>.00024</w:t>
            </w:r>
          </w:p>
          <w:p w14:paraId="02B2E932" w14:textId="77777777" w:rsidR="00203F72" w:rsidRPr="00A53581" w:rsidRDefault="00203F72" w:rsidP="00D87D91">
            <w:r w:rsidRPr="00A53581">
              <w:t>.00769</w:t>
            </w:r>
          </w:p>
        </w:tc>
        <w:tc>
          <w:tcPr>
            <w:tcW w:w="1240" w:type="dxa"/>
            <w:shd w:val="clear" w:color="auto" w:fill="auto"/>
          </w:tcPr>
          <w:p w14:paraId="24A8C99B" w14:textId="77777777" w:rsidR="00203F72" w:rsidRPr="00A53581" w:rsidRDefault="00203F72" w:rsidP="00D87D91">
            <w:r w:rsidRPr="00A53581">
              <w:t>.0307</w:t>
            </w:r>
          </w:p>
          <w:p w14:paraId="7A4AF9C0" w14:textId="77777777" w:rsidR="00203F72" w:rsidRPr="00A53581" w:rsidRDefault="00203F72" w:rsidP="00D87D91">
            <w:r w:rsidRPr="00A53581">
              <w:t>(.8611)</w:t>
            </w:r>
          </w:p>
        </w:tc>
      </w:tr>
    </w:tbl>
    <w:p w14:paraId="53E981F8" w14:textId="77777777" w:rsidR="00953151" w:rsidRPr="009C68E0" w:rsidRDefault="00353CFF" w:rsidP="00D87D91">
      <w:r w:rsidRPr="009C68E0">
        <w:t>【註】</w:t>
      </w:r>
      <w:r w:rsidR="00203F72" w:rsidRPr="009C68E0">
        <w:t>本表格之資料來源，係為</w:t>
      </w:r>
      <w:r w:rsidR="00D92F56" w:rsidRPr="009C68E0">
        <w:t>〜</w:t>
      </w:r>
      <w:r w:rsidR="00203F72" w:rsidRPr="009C68E0">
        <w:t>許春金、吳景芳、李湧清、曾正一、許金標、蔡田木</w:t>
      </w:r>
      <w:r w:rsidR="00203F72" w:rsidRPr="009C68E0">
        <w:t>(1994)</w:t>
      </w:r>
      <w:r w:rsidR="00203F72" w:rsidRPr="009C68E0">
        <w:t>，死刑存廢之探討，台北：行政院研究發展考核委員會編印，頁</w:t>
      </w:r>
      <w:r w:rsidR="00203F72" w:rsidRPr="009C68E0">
        <w:t>139</w:t>
      </w:r>
      <w:r w:rsidR="00203F72" w:rsidRPr="009C68E0">
        <w:t>，並經由作者重新改寫與闡釋其統計實證數據之意義。原始表格中之</w:t>
      </w:r>
      <w:r w:rsidR="00203F72" w:rsidRPr="009C68E0">
        <w:t>adjusted R2</w:t>
      </w:r>
      <w:r w:rsidR="00203F72" w:rsidRPr="009C68E0">
        <w:t>，被誤植為負值，已經本書作者更正之。</w:t>
      </w:r>
    </w:p>
    <w:p w14:paraId="402BE08F" w14:textId="77777777" w:rsidR="00953151" w:rsidRPr="009C68E0" w:rsidRDefault="00353CFF" w:rsidP="00D87D91">
      <w:r w:rsidRPr="009C68E0">
        <w:t xml:space="preserve">　　</w:t>
      </w:r>
      <w:r w:rsidR="00203F72" w:rsidRPr="009C68E0">
        <w:t>根據下表「因擄人勒贖罪被執行死刑總人數對擄人勒贖案發生件數短期效應之影響表」之實證調查統計的客觀性數據之呈現，國家針對於「擄人勒贖罪犯」加以執行死刑，在「擄人勒贖犯罪」之發生的短期性效應方面</w:t>
      </w:r>
      <w:r w:rsidR="00203F72" w:rsidRPr="009C68E0">
        <w:t>(</w:t>
      </w:r>
      <w:r w:rsidR="00203F72" w:rsidRPr="009C68E0">
        <w:t>乃指台灣對於「擄人勒贖罪犯」執行死刑總人數的當月、後第</w:t>
      </w:r>
      <w:r w:rsidR="00203F72" w:rsidRPr="009C68E0">
        <w:t>1</w:t>
      </w:r>
      <w:r w:rsidR="00203F72" w:rsidRPr="009C68E0">
        <w:t>個月、後第</w:t>
      </w:r>
      <w:r w:rsidR="00203F72" w:rsidRPr="009C68E0">
        <w:t>2</w:t>
      </w:r>
      <w:r w:rsidR="00203F72" w:rsidRPr="009C68E0">
        <w:t>個月、後第</w:t>
      </w:r>
      <w:r w:rsidR="00203F72" w:rsidRPr="009C68E0">
        <w:t>3</w:t>
      </w:r>
      <w:r w:rsidR="00203F72" w:rsidRPr="009C68E0">
        <w:t>個月與後第</w:t>
      </w:r>
      <w:r w:rsidR="00203F72" w:rsidRPr="009C68E0">
        <w:t>4</w:t>
      </w:r>
      <w:r w:rsidR="00203F72" w:rsidRPr="009C68E0">
        <w:t>個月的短期性成效</w:t>
      </w:r>
      <w:r w:rsidR="00203F72" w:rsidRPr="009C68E0">
        <w:t>)</w:t>
      </w:r>
      <w:r w:rsidR="00203F72" w:rsidRPr="009C68E0">
        <w:t>，本書茲分析如下所述。</w:t>
      </w:r>
    </w:p>
    <w:p w14:paraId="6E52A324" w14:textId="77777777" w:rsidR="00953151" w:rsidRPr="009C68E0" w:rsidRDefault="00353CFF" w:rsidP="00D87D91">
      <w:r w:rsidRPr="009C68E0">
        <w:t xml:space="preserve">　　</w:t>
      </w:r>
      <w:r w:rsidR="00203F72" w:rsidRPr="009C68E0">
        <w:t>首先，在當月「因擄人勒贖罪被執行死刑總人數」的自變項</w:t>
      </w:r>
      <w:r w:rsidR="00203F72" w:rsidRPr="009C68E0">
        <w:t>(</w:t>
      </w:r>
      <w:r w:rsidR="00203F72" w:rsidRPr="009C68E0">
        <w:t>表示原因的變項</w:t>
      </w:r>
      <w:r w:rsidR="00203F72" w:rsidRPr="009C68E0">
        <w:t>)</w:t>
      </w:r>
      <w:r w:rsidR="00203F72" w:rsidRPr="009C68E0">
        <w:t>，它對於當月擄人勒贖犯罪之發生的短期性成效部分，</w:t>
      </w:r>
      <w:r w:rsidR="00203F72" w:rsidRPr="009C68E0">
        <w:t>t</w:t>
      </w:r>
      <w:r w:rsidR="00203F72" w:rsidRPr="009C68E0">
        <w:t>值＝</w:t>
      </w:r>
      <w:r w:rsidR="00203F72" w:rsidRPr="009C68E0">
        <w:t>0.0181</w:t>
      </w:r>
      <w:r w:rsidR="00203F72" w:rsidRPr="009C68E0">
        <w:t>，</w:t>
      </w:r>
      <w:r w:rsidR="00203F72" w:rsidRPr="009C68E0">
        <w:t>b</w:t>
      </w:r>
      <w:r w:rsidR="00203F72" w:rsidRPr="009C68E0">
        <w:t>值＝</w:t>
      </w:r>
      <w:r w:rsidR="00203F72" w:rsidRPr="009C68E0">
        <w:t>1.270</w:t>
      </w:r>
      <w:r w:rsidR="00203F72" w:rsidRPr="009C68E0">
        <w:t>，</w:t>
      </w:r>
      <w:r w:rsidR="00203F72" w:rsidRPr="009C68E0">
        <w:t>t</w:t>
      </w:r>
      <w:r w:rsidR="00203F72" w:rsidRPr="009C68E0">
        <w:t>值業已達到統計上的顯著水準；它意味著，台灣針對於「擄人勒贖罪犯」執行死刑，在執行死刑的當月的短期效應部分，死刑對於擄人勒贖犯罪的發生，它不僅沒有嚇阻成效，尚且有促發效果；修正後的</w:t>
      </w:r>
      <w:r w:rsidR="00203F72" w:rsidRPr="009C68E0">
        <w:t>R2</w:t>
      </w:r>
      <w:r w:rsidR="00203F72" w:rsidRPr="009C68E0">
        <w:t>＝</w:t>
      </w:r>
      <w:r w:rsidR="00203F72" w:rsidRPr="009C68E0">
        <w:t>0.03486</w:t>
      </w:r>
      <w:r w:rsidR="00203F72" w:rsidRPr="009C68E0">
        <w:t>，亦即，在當月擄人勒贖犯罪發生的百分比例變異量之中，有</w:t>
      </w:r>
      <w:r w:rsidR="00203F72" w:rsidRPr="009C68E0">
        <w:t>3.486</w:t>
      </w:r>
      <w:r w:rsidR="00203F72" w:rsidRPr="009C68E0">
        <w:t>％迴歸分析解釋量之比重，係因台灣當月對於「擄人勒贖罪犯」執行死刑所導致的結果，比重並不高，但是解釋量之比重，係因台灣當月對於「擄人勒贖罪犯」執行死刑所導致的結果，比重並不高，但是，它已達到統計上的顯著水準，具有統計上的意義。</w:t>
      </w:r>
    </w:p>
    <w:p w14:paraId="73498A12" w14:textId="77777777" w:rsidR="00953151" w:rsidRPr="009C68E0" w:rsidRDefault="00203F72" w:rsidP="00D87D91">
      <w:r w:rsidRPr="009C68E0">
        <w:t>再者，就當月「因擄人勒贖罪被執行死刑總人數」的自變項（原因變項），它對於執行死刑之後第</w:t>
      </w:r>
      <w:r w:rsidRPr="009C68E0">
        <w:t>1</w:t>
      </w:r>
      <w:r w:rsidRPr="009C68E0">
        <w:t>個月擄人勒贖犯罪之發生的短期性效應（延遲</w:t>
      </w:r>
      <w:r w:rsidRPr="009C68E0">
        <w:t>1</w:t>
      </w:r>
      <w:r w:rsidRPr="009C68E0">
        <w:t>個月）而論，</w:t>
      </w:r>
      <w:r w:rsidRPr="009C68E0">
        <w:t>b</w:t>
      </w:r>
      <w:r w:rsidRPr="009C68E0">
        <w:t>值＝</w:t>
      </w:r>
      <w:r w:rsidRPr="009C68E0">
        <w:t>1.411</w:t>
      </w:r>
      <w:r w:rsidRPr="009C68E0">
        <w:t>，</w:t>
      </w:r>
      <w:r w:rsidRPr="009C68E0">
        <w:t>t</w:t>
      </w:r>
      <w:r w:rsidRPr="009C68E0">
        <w:t>值＝</w:t>
      </w:r>
      <w:r w:rsidRPr="009C68E0">
        <w:t>0.0087</w:t>
      </w:r>
      <w:r w:rsidRPr="009C68E0">
        <w:t>，</w:t>
      </w:r>
      <w:r w:rsidRPr="009C68E0">
        <w:t>t</w:t>
      </w:r>
      <w:r w:rsidRPr="009C68E0">
        <w:t>值業已達到統計上的顯著水準；它意味著台灣針對於「擄人勒贖罪犯」執行死刑，剝奪生命權，在執行死刑之後第</w:t>
      </w:r>
      <w:r w:rsidRPr="009C68E0">
        <w:t>1</w:t>
      </w:r>
      <w:r w:rsidRPr="009C68E0">
        <w:t>個月的短期效應方面，死刑對於擄人犯罪的發生，具有積極的促進效果，被執行死刑人數愈多，擄人勒贖犯罪就愈多；修正後的</w:t>
      </w:r>
      <w:r w:rsidRPr="009C68E0">
        <w:t>R2</w:t>
      </w:r>
      <w:r w:rsidRPr="009C68E0">
        <w:t>＝</w:t>
      </w:r>
      <w:r w:rsidRPr="009C68E0">
        <w:t>0.4486</w:t>
      </w:r>
      <w:r w:rsidRPr="009C68E0">
        <w:t>，亦即，在當月擄人勒贖犯罪發生的百分比例變異量之中，有</w:t>
      </w:r>
      <w:r w:rsidRPr="009C68E0">
        <w:t>4.486%</w:t>
      </w:r>
      <w:r w:rsidRPr="009C68E0">
        <w:t>的迴歸分析解釋量之比重，係因台灣前</w:t>
      </w:r>
      <w:r w:rsidRPr="009C68E0">
        <w:t>1</w:t>
      </w:r>
      <w:r w:rsidRPr="009C68E0">
        <w:t>個月針對於「擄人勒贖罪犯」執行死刑所導致的結果，比重雖不高，但仍已達到統計上的顯著水準，具有統計上的意義。此種之現象，本書將其稱為「死刑積極促擄人勒贖犯罪理論」，此種之理論，得到實證科學上的統計支持。</w:t>
      </w:r>
    </w:p>
    <w:p w14:paraId="6742C741" w14:textId="77777777" w:rsidR="00953151" w:rsidRPr="009C68E0" w:rsidRDefault="00353CFF" w:rsidP="00D87D91">
      <w:r w:rsidRPr="009C68E0">
        <w:t xml:space="preserve">　　</w:t>
      </w:r>
      <w:r w:rsidR="00203F72" w:rsidRPr="009C68E0">
        <w:t>又，就當月「因擄人勒贖罪被執行死刑總人數」的自變項</w:t>
      </w:r>
      <w:r w:rsidR="00203F72" w:rsidRPr="009C68E0">
        <w:t>(</w:t>
      </w:r>
      <w:r w:rsidR="00203F72" w:rsidRPr="009C68E0">
        <w:t>原因變項</w:t>
      </w:r>
      <w:r w:rsidR="00203F72" w:rsidRPr="009C68E0">
        <w:t>)</w:t>
      </w:r>
      <w:r w:rsidR="00203F72" w:rsidRPr="009C68E0">
        <w:t>，它對於執行死刑之後第</w:t>
      </w:r>
      <w:r w:rsidR="00203F72" w:rsidRPr="009C68E0">
        <w:t>2</w:t>
      </w:r>
      <w:r w:rsidR="00203F72" w:rsidRPr="009C68E0">
        <w:t>個月擄人勒贖犯罪之發生的短期性效應</w:t>
      </w:r>
      <w:r w:rsidR="00203F72" w:rsidRPr="009C68E0">
        <w:t>(</w:t>
      </w:r>
      <w:r w:rsidR="00203F72" w:rsidRPr="009C68E0">
        <w:t>延遲</w:t>
      </w:r>
      <w:r w:rsidR="00203F72" w:rsidRPr="009C68E0">
        <w:t>2</w:t>
      </w:r>
      <w:r w:rsidR="00203F72" w:rsidRPr="009C68E0">
        <w:t>個月</w:t>
      </w:r>
      <w:r w:rsidR="00203F72" w:rsidRPr="009C68E0">
        <w:t>)</w:t>
      </w:r>
      <w:r w:rsidR="00203F72" w:rsidRPr="009C68E0">
        <w:t>而論，</w:t>
      </w:r>
      <w:r w:rsidR="00203F72" w:rsidRPr="009C68E0">
        <w:t>b</w:t>
      </w:r>
      <w:r w:rsidR="00203F72" w:rsidRPr="009C68E0">
        <w:t>值＝</w:t>
      </w:r>
      <w:r w:rsidR="00203F72" w:rsidRPr="009C68E0">
        <w:t>1.950</w:t>
      </w:r>
      <w:r w:rsidR="00203F72" w:rsidRPr="009C68E0">
        <w:t>，</w:t>
      </w:r>
      <w:r w:rsidR="00203F72" w:rsidRPr="009C68E0">
        <w:t>t</w:t>
      </w:r>
      <w:r w:rsidR="00203F72" w:rsidRPr="009C68E0">
        <w:t>值＝</w:t>
      </w:r>
      <w:r w:rsidR="00203F72" w:rsidRPr="009C68E0">
        <w:t>0.0002</w:t>
      </w:r>
      <w:r w:rsidR="00203F72" w:rsidRPr="009C68E0">
        <w:t>，</w:t>
      </w:r>
      <w:r w:rsidR="00203F72" w:rsidRPr="009C68E0">
        <w:t>t</w:t>
      </w:r>
      <w:r w:rsidR="00203F72" w:rsidRPr="009C68E0">
        <w:t>值業已達到統計上的極顯著水準；它表示台灣針對於「擄人勒贖罪犯」執行最為嚴厲的生命刑</w:t>
      </w:r>
      <w:r w:rsidR="00203F72" w:rsidRPr="009C68E0">
        <w:t>(</w:t>
      </w:r>
      <w:r w:rsidR="00203F72" w:rsidRPr="009C68E0">
        <w:t>死刑</w:t>
      </w:r>
      <w:r w:rsidR="00203F72" w:rsidRPr="009C68E0">
        <w:t>)</w:t>
      </w:r>
      <w:r w:rsidR="00203F72" w:rsidRPr="009C68E0">
        <w:t>，在執行死刑之後第</w:t>
      </w:r>
      <w:r w:rsidR="00203F72" w:rsidRPr="009C68E0">
        <w:t>2</w:t>
      </w:r>
      <w:r w:rsidR="00203F72" w:rsidRPr="009C68E0">
        <w:t>個月的短期效應部分，死刑對於擄人勒贖犯罪的發生，具有積極的促進效果，被執行死刑人數愈多，擄人勒贖犯罪就愈多；修正後的</w:t>
      </w:r>
      <w:r w:rsidR="00203F72" w:rsidRPr="009C68E0">
        <w:t>R2</w:t>
      </w:r>
      <w:r w:rsidR="00203F72" w:rsidRPr="009C68E0">
        <w:t>＝</w:t>
      </w:r>
      <w:r w:rsidR="00203F72" w:rsidRPr="009C68E0">
        <w:t>0.09379</w:t>
      </w:r>
      <w:r w:rsidR="00203F72" w:rsidRPr="009C68E0">
        <w:t>，亦即，在當月擄人勒贖犯罪發生的百比例解釋量之中，有</w:t>
      </w:r>
      <w:r w:rsidR="00203F72" w:rsidRPr="009C68E0">
        <w:t>9.379</w:t>
      </w:r>
      <w:r w:rsidR="00203F72" w:rsidRPr="009C68E0">
        <w:t>％的迴歸分析解釋量之比重，係因台灣法務部有</w:t>
      </w:r>
      <w:r w:rsidR="00203F72" w:rsidRPr="009C68E0">
        <w:t>2</w:t>
      </w:r>
      <w:r w:rsidR="00203F72" w:rsidRPr="009C68E0">
        <w:t>個月針對於「擄人勒贖罪犯」執行死刑所導致之結果，比重可謂偏高。在此，「死刑積極促發擄人勒贖犯罪理論」再一次得到實證科學上的統計支持。換言之，在台灣社會之中，國家針對於擄人勒贖的罪犯，執行死刑人數愈多，在</w:t>
      </w:r>
      <w:r w:rsidR="00203F72" w:rsidRPr="009C68E0">
        <w:t>2</w:t>
      </w:r>
      <w:r w:rsidR="00203F72" w:rsidRPr="009C68E0">
        <w:t>個月之後，台灣社會擄人勒贖犯罪之發生，就會愈多。假若吾人擬控制擄人勒贖犯罪之發生，比較好的作法，即要廢止死刑。</w:t>
      </w:r>
    </w:p>
    <w:p w14:paraId="07E2E60D" w14:textId="77777777" w:rsidR="00953151" w:rsidRPr="009C68E0" w:rsidRDefault="00353CFF" w:rsidP="00D87D91">
      <w:r w:rsidRPr="009C68E0">
        <w:t xml:space="preserve">　　</w:t>
      </w:r>
      <w:r w:rsidR="00203F72" w:rsidRPr="009C68E0">
        <w:t>此外，就當月「因擄人勒贖罪被執行死刑總人數」的自變項</w:t>
      </w:r>
      <w:r w:rsidR="00203F72" w:rsidRPr="009C68E0">
        <w:t>(</w:t>
      </w:r>
      <w:r w:rsidR="00203F72" w:rsidRPr="009C68E0">
        <w:t>原因變項</w:t>
      </w:r>
      <w:r w:rsidR="00203F72" w:rsidRPr="009C68E0">
        <w:t>)</w:t>
      </w:r>
      <w:r w:rsidR="00203F72" w:rsidRPr="009C68E0">
        <w:t>，它對於執行死刑之後第</w:t>
      </w:r>
      <w:r w:rsidR="00203F72" w:rsidRPr="009C68E0">
        <w:t>3</w:t>
      </w:r>
      <w:r w:rsidR="00203F72" w:rsidRPr="009C68E0">
        <w:t>個月擄人勒贖犯罪之生的短期性效應</w:t>
      </w:r>
      <w:r w:rsidR="00203F72" w:rsidRPr="009C68E0">
        <w:t>(</w:t>
      </w:r>
      <w:r w:rsidR="00203F72" w:rsidRPr="009C68E0">
        <w:t>延遲</w:t>
      </w:r>
      <w:r w:rsidR="00203F72" w:rsidRPr="009C68E0">
        <w:t>3</w:t>
      </w:r>
      <w:r w:rsidR="00203F72" w:rsidRPr="009C68E0">
        <w:t>個月</w:t>
      </w:r>
      <w:r w:rsidR="00203F72" w:rsidRPr="009C68E0">
        <w:t>)</w:t>
      </w:r>
      <w:r w:rsidR="00203F72" w:rsidRPr="009C68E0">
        <w:t>而論，</w:t>
      </w:r>
      <w:r w:rsidR="00203F72" w:rsidRPr="009C68E0">
        <w:t>b</w:t>
      </w:r>
      <w:r w:rsidR="00203F72" w:rsidRPr="009C68E0">
        <w:t>值＝</w:t>
      </w:r>
      <w:r w:rsidR="00203F72" w:rsidRPr="009C68E0">
        <w:t>0.315</w:t>
      </w:r>
      <w:r w:rsidR="00203F72" w:rsidRPr="009C68E0">
        <w:t>，</w:t>
      </w:r>
      <w:r w:rsidR="00203F72" w:rsidRPr="009C68E0">
        <w:t>t</w:t>
      </w:r>
      <w:r w:rsidR="00203F72" w:rsidRPr="009C68E0">
        <w:t>值＝</w:t>
      </w:r>
      <w:r w:rsidR="00203F72" w:rsidRPr="009C68E0">
        <w:t>0.5616</w:t>
      </w:r>
      <w:r w:rsidR="00203F72" w:rsidRPr="009C68E0">
        <w:t>，</w:t>
      </w:r>
      <w:r w:rsidR="00203F72" w:rsidRPr="009C68E0">
        <w:t>t</w:t>
      </w:r>
      <w:r w:rsidR="00203F72" w:rsidRPr="009C68E0">
        <w:t>值並未達到統計上的顯著水準；它表示台灣針對於「擄人勒贖罪犯」執行最為嚴厲的死刑，在執行死刑之後第</w:t>
      </w:r>
      <w:r w:rsidR="00203F72" w:rsidRPr="009C68E0">
        <w:t>3</w:t>
      </w:r>
      <w:r w:rsidR="00203F72" w:rsidRPr="009C68E0">
        <w:t>個月的短期效應部分，死刑對於擄人勒贖犯罪的發生，並未具有嚇阻的效果，本書將此一現象，稱之為「死刑無法有效地嚇阻擄人勒贖犯罪理論」。換言之，在台灣社會之中，國家針對於擄人勒贖罪犯，執行死刑人數愈多，在</w:t>
      </w:r>
      <w:r w:rsidR="00203F72" w:rsidRPr="009C68E0">
        <w:t>3</w:t>
      </w:r>
      <w:r w:rsidR="00203F72" w:rsidRPr="009C68E0">
        <w:t>個月之後，並無法有效地降低擄人勒贖犯罪的發生。</w:t>
      </w:r>
    </w:p>
    <w:p w14:paraId="26A0479B" w14:textId="77777777" w:rsidR="00953151" w:rsidRPr="009C68E0" w:rsidRDefault="00353CFF" w:rsidP="00D87D91">
      <w:r w:rsidRPr="009C68E0">
        <w:t xml:space="preserve">　　</w:t>
      </w:r>
      <w:r w:rsidR="00203F72" w:rsidRPr="009C68E0">
        <w:t>再者，就當月「因擄人勒贖罪被執行死刑總人數」的自變項</w:t>
      </w:r>
      <w:r w:rsidR="00203F72" w:rsidRPr="009C68E0">
        <w:t>(</w:t>
      </w:r>
      <w:r w:rsidR="00203F72" w:rsidRPr="009C68E0">
        <w:t>原因變項</w:t>
      </w:r>
      <w:r w:rsidR="00203F72" w:rsidRPr="009C68E0">
        <w:t>)</w:t>
      </w:r>
      <w:r w:rsidR="00203F72" w:rsidRPr="009C68E0">
        <w:t>，它對於執行死刑之後，第</w:t>
      </w:r>
      <w:r w:rsidR="00203F72" w:rsidRPr="009C68E0">
        <w:t>4</w:t>
      </w:r>
      <w:r w:rsidR="00203F72" w:rsidRPr="009C68E0">
        <w:t>個月擄人勒贖犯罪之發生的短期性效應</w:t>
      </w:r>
      <w:r w:rsidR="00203F72" w:rsidRPr="009C68E0">
        <w:t>(</w:t>
      </w:r>
      <w:r w:rsidR="00203F72" w:rsidRPr="009C68E0">
        <w:t>延遲</w:t>
      </w:r>
      <w:r w:rsidR="00203F72" w:rsidRPr="009C68E0">
        <w:t>4</w:t>
      </w:r>
      <w:r w:rsidR="00203F72" w:rsidRPr="009C68E0">
        <w:t>個月</w:t>
      </w:r>
      <w:r w:rsidR="00203F72" w:rsidRPr="009C68E0">
        <w:t>)</w:t>
      </w:r>
      <w:r w:rsidR="00203F72" w:rsidRPr="009C68E0">
        <w:t>而言，</w:t>
      </w:r>
      <w:r w:rsidR="00203F72" w:rsidRPr="009C68E0">
        <w:t>b</w:t>
      </w:r>
      <w:r w:rsidR="00203F72" w:rsidRPr="009C68E0">
        <w:t>值＝</w:t>
      </w:r>
      <w:r w:rsidR="00203F72" w:rsidRPr="009C68E0">
        <w:t>2.6397</w:t>
      </w:r>
      <w:r w:rsidR="00203F72" w:rsidRPr="009C68E0">
        <w:t>，</w:t>
      </w:r>
      <w:r w:rsidR="00203F72" w:rsidRPr="009C68E0">
        <w:t>t</w:t>
      </w:r>
      <w:r w:rsidR="00203F72" w:rsidRPr="009C68E0">
        <w:t>值＝</w:t>
      </w:r>
      <w:r w:rsidR="00203F72" w:rsidRPr="009C68E0">
        <w:t>0.0000</w:t>
      </w:r>
      <w:r w:rsidR="00203F72" w:rsidRPr="009C68E0">
        <w:t>，</w:t>
      </w:r>
      <w:r w:rsidR="00203F72" w:rsidRPr="009C68E0">
        <w:t>t</w:t>
      </w:r>
      <w:r w:rsidR="00203F72" w:rsidRPr="009C68E0">
        <w:t>值業已達到統計上的極顯著水準；它表示台灣針對於「擄人勒贖罪犯」執行最為嚴厲的生命刑</w:t>
      </w:r>
      <w:r w:rsidR="00203F72" w:rsidRPr="009C68E0">
        <w:t>(</w:t>
      </w:r>
      <w:r w:rsidR="00203F72" w:rsidRPr="009C68E0">
        <w:t>死刑</w:t>
      </w:r>
      <w:r w:rsidR="00203F72" w:rsidRPr="009C68E0">
        <w:t>)</w:t>
      </w:r>
      <w:r w:rsidR="00203F72" w:rsidRPr="009C68E0">
        <w:t>，在執行死刑之後第</w:t>
      </w:r>
      <w:r w:rsidR="00203F72" w:rsidRPr="009C68E0">
        <w:t>4</w:t>
      </w:r>
      <w:r w:rsidR="00203F72" w:rsidRPr="009C68E0">
        <w:t>個月的短期效應方面，死刑對於擄人勒贖犯罪之發生，具有積極的促進效果；易言之，被執行死刑人數愈多，</w:t>
      </w:r>
      <w:r w:rsidR="00203F72" w:rsidRPr="009C68E0">
        <w:t xml:space="preserve"> </w:t>
      </w:r>
      <w:r w:rsidR="00203F72" w:rsidRPr="009C68E0">
        <w:t>擄人勒贖犯罪就愈多；修正後之</w:t>
      </w:r>
      <w:r w:rsidR="00203F72" w:rsidRPr="009C68E0">
        <w:t>R2</w:t>
      </w:r>
      <w:r w:rsidR="00203F72" w:rsidRPr="009C68E0">
        <w:t>＝</w:t>
      </w:r>
      <w:r w:rsidR="00203F72" w:rsidRPr="009C68E0">
        <w:t>0.1817</w:t>
      </w:r>
      <w:r w:rsidR="00203F72" w:rsidRPr="009C68E0">
        <w:t>，亦即，在當月擄人勒贖犯罪發生的百分比例變異量之中，有</w:t>
      </w:r>
      <w:r w:rsidR="00203F72" w:rsidRPr="009C68E0">
        <w:t>18.17%</w:t>
      </w:r>
      <w:r w:rsidR="00203F72" w:rsidRPr="009C68E0">
        <w:t>的迴歸分析解釋量之比重，係因台灣法務部前</w:t>
      </w:r>
      <w:r w:rsidR="00203F72" w:rsidRPr="009C68E0">
        <w:t>4</w:t>
      </w:r>
      <w:r w:rsidR="00203F72" w:rsidRPr="009C68E0">
        <w:t>個月針對於「擄人勒贖罪犯」執行死刑所導致的結果，比重可謂相當地高。在此「死刑積極促發擄人勒贖犯罪理論」又再一次地得到實證科學上的統計支持。</w:t>
      </w:r>
    </w:p>
    <w:p w14:paraId="6DE7D8B4" w14:textId="77777777" w:rsidR="00953151" w:rsidRPr="009C68E0" w:rsidRDefault="00353CFF" w:rsidP="00D87D91">
      <w:r w:rsidRPr="009C68E0">
        <w:t xml:space="preserve">　　</w:t>
      </w:r>
      <w:r w:rsidR="00203F72" w:rsidRPr="009C68E0">
        <w:t>換言之，在台灣社會之中，國家針對於擄人勒贖的罪犯，執行死刑人數愈多，在執行死刑之後的第</w:t>
      </w:r>
      <w:r w:rsidR="00203F72" w:rsidRPr="009C68E0">
        <w:t>4</w:t>
      </w:r>
      <w:r w:rsidR="00203F72" w:rsidRPr="009C68E0">
        <w:t>個月，台灣社會擄人勒贖犯罪的發生，就會愈多</w:t>
      </w:r>
      <w:r w:rsidR="00203F72" w:rsidRPr="009C68E0">
        <w:t>(</w:t>
      </w:r>
      <w:r w:rsidR="00203F72" w:rsidRPr="009C68E0">
        <w:t>並非下降</w:t>
      </w:r>
      <w:r w:rsidR="00203F72" w:rsidRPr="009C68E0">
        <w:t>)</w:t>
      </w:r>
      <w:r w:rsidR="00203F72" w:rsidRPr="009C68E0">
        <w:t>。為了有效地防治擄人勒贖犯罪的發生，最好的作法，就是廢除不</w:t>
      </w:r>
      <w:r w:rsidR="00203F72" w:rsidRPr="009C68E0">
        <w:t>(</w:t>
      </w:r>
      <w:r w:rsidR="00203F72" w:rsidRPr="009C68E0">
        <w:t>仁</w:t>
      </w:r>
      <w:r w:rsidR="00203F72" w:rsidRPr="009C68E0">
        <w:t>)</w:t>
      </w:r>
      <w:r w:rsidR="00203F72" w:rsidRPr="009C68E0">
        <w:t>人道的死刑刑罰。</w:t>
      </w:r>
    </w:p>
    <w:p w14:paraId="72715199" w14:textId="77777777" w:rsidR="00203F72" w:rsidRPr="009C68E0" w:rsidRDefault="00353CFF" w:rsidP="00D87D91">
      <w:r w:rsidRPr="009C68E0">
        <w:t xml:space="preserve">　　</w:t>
      </w:r>
      <w:r w:rsidR="00203F72" w:rsidRPr="009C68E0">
        <w:t>綜上，就「因擄人勒贖罪被執行死刑總人數對擄人勒贖案發生件數短期效應之影響」而論，死刑具有如下的特點：</w:t>
      </w:r>
      <w:r w:rsidR="00203F72" w:rsidRPr="009C68E0">
        <w:t>1.</w:t>
      </w:r>
      <w:r w:rsidR="00203F72" w:rsidRPr="009C68E0">
        <w:t>「死刑無法有效地嚇阻擄人勒贖犯罪的發生」；</w:t>
      </w:r>
      <w:r w:rsidR="00203F72" w:rsidRPr="009C68E0">
        <w:t>2.</w:t>
      </w:r>
      <w:r w:rsidR="00203F72" w:rsidRPr="009C68E0">
        <w:t>「死刑積極促發擄人勒贖犯罪的發生」；</w:t>
      </w:r>
      <w:r w:rsidR="00203F72" w:rsidRPr="009C68E0">
        <w:t>3.</w:t>
      </w:r>
      <w:r w:rsidR="00203F72" w:rsidRPr="009C68E0">
        <w:t>死刑在嚇阻擄人勒贖犯罪的發生方面，毫無任何的成效，死刑無法有效地嚇阻擄人勒贖犯罪的發生，死刑是一種極為失敗的擄人勒贖犯罪之防治作為。</w:t>
      </w:r>
    </w:p>
    <w:p w14:paraId="00543D1E" w14:textId="77777777" w:rsidR="00203F72" w:rsidRPr="00A53581" w:rsidRDefault="00203F72" w:rsidP="00D87D91"/>
    <w:p w14:paraId="3AB955FB" w14:textId="05B0F89C"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109</w:t>
      </w:r>
      <w:r w:rsidR="00076467">
        <w:rPr>
          <w:noProof/>
        </w:rPr>
        <w:fldChar w:fldCharType="end"/>
      </w:r>
      <w:r w:rsidR="00203F72" w:rsidRPr="00A53581">
        <w:t xml:space="preserve"> </w:t>
      </w:r>
      <w:r w:rsidR="00203F72" w:rsidRPr="00A53581">
        <w:t>因擄人勒贖罪被執行死刑總人數</w:t>
      </w:r>
      <w:r w:rsidR="00203F72" w:rsidRPr="00A53581">
        <w:t>(</w:t>
      </w:r>
      <w:r w:rsidR="00203F72" w:rsidRPr="00A53581">
        <w:t>自變項</w:t>
      </w:r>
      <w:r w:rsidR="00203F72" w:rsidRPr="00A53581">
        <w:t>)</w:t>
      </w:r>
      <w:r w:rsidR="00203F72" w:rsidRPr="00A53581">
        <w:t>對擄人勒贖案發生件數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956"/>
        <w:gridCol w:w="964"/>
        <w:gridCol w:w="1456"/>
        <w:gridCol w:w="1064"/>
        <w:gridCol w:w="1080"/>
        <w:gridCol w:w="1440"/>
      </w:tblGrid>
      <w:tr w:rsidR="00203F72" w:rsidRPr="00A53581" w14:paraId="4EB2C42B" w14:textId="77777777" w:rsidTr="009C68E0">
        <w:trPr>
          <w:tblHeader/>
        </w:trPr>
        <w:tc>
          <w:tcPr>
            <w:tcW w:w="1308" w:type="dxa"/>
            <w:shd w:val="clear" w:color="auto" w:fill="FAF0FA"/>
          </w:tcPr>
          <w:p w14:paraId="73244CDB" w14:textId="77777777" w:rsidR="00203F72" w:rsidRPr="00A53581" w:rsidRDefault="00203F72" w:rsidP="00D87D91">
            <w:r w:rsidRPr="00A53581">
              <w:t>因擄人勒贖罪被執行死刑總人數對擄人勒贖案發生件數之影響</w:t>
            </w:r>
          </w:p>
        </w:tc>
        <w:tc>
          <w:tcPr>
            <w:tcW w:w="956" w:type="dxa"/>
            <w:shd w:val="clear" w:color="auto" w:fill="FAF0FA"/>
          </w:tcPr>
          <w:p w14:paraId="52A57182" w14:textId="77777777" w:rsidR="00203F72" w:rsidRPr="00A53581" w:rsidRDefault="00203F72" w:rsidP="00D87D91">
            <w:r w:rsidRPr="00A53581">
              <w:t>a</w:t>
            </w:r>
          </w:p>
          <w:p w14:paraId="30005D1F" w14:textId="77777777" w:rsidR="00203F72" w:rsidRPr="00A53581" w:rsidRDefault="00203F72" w:rsidP="00D87D91">
            <w:r w:rsidRPr="00A53581">
              <w:t>常數</w:t>
            </w:r>
          </w:p>
        </w:tc>
        <w:tc>
          <w:tcPr>
            <w:tcW w:w="964" w:type="dxa"/>
            <w:shd w:val="clear" w:color="auto" w:fill="FAF0FA"/>
          </w:tcPr>
          <w:p w14:paraId="19014063" w14:textId="77777777" w:rsidR="00203F72" w:rsidRPr="00A53581" w:rsidRDefault="00203F72" w:rsidP="00D87D91">
            <w:r w:rsidRPr="00A53581">
              <w:t>b</w:t>
            </w:r>
            <w:r w:rsidRPr="00A53581">
              <w:t>斜率</w:t>
            </w:r>
            <w:r w:rsidRPr="00A53581">
              <w:t>(</w:t>
            </w:r>
            <w:r w:rsidRPr="00A53581">
              <w:t>未標準化迴歸係數</w:t>
            </w:r>
            <w:r w:rsidRPr="00A53581">
              <w:t>)</w:t>
            </w:r>
          </w:p>
        </w:tc>
        <w:tc>
          <w:tcPr>
            <w:tcW w:w="1456" w:type="dxa"/>
            <w:shd w:val="clear" w:color="auto" w:fill="FAF0FA"/>
          </w:tcPr>
          <w:p w14:paraId="600FCC70" w14:textId="77777777" w:rsidR="00203F72" w:rsidRPr="00A53581" w:rsidRDefault="00203F72" w:rsidP="00D87D91">
            <w:r w:rsidRPr="00A53581">
              <w:t>t</w:t>
            </w:r>
          </w:p>
          <w:p w14:paraId="5922C08C" w14:textId="77777777" w:rsidR="00203F72" w:rsidRPr="00A53581" w:rsidRDefault="00203F72" w:rsidP="00D87D91">
            <w:r w:rsidRPr="00A53581">
              <w:t>值</w:t>
            </w:r>
          </w:p>
        </w:tc>
        <w:tc>
          <w:tcPr>
            <w:tcW w:w="1064" w:type="dxa"/>
            <w:shd w:val="clear" w:color="auto" w:fill="FAF0FA"/>
          </w:tcPr>
          <w:p w14:paraId="2541AF3A" w14:textId="77777777" w:rsidR="00203F72" w:rsidRPr="00A53581" w:rsidRDefault="00203F72" w:rsidP="00D87D91">
            <w:r w:rsidRPr="00A53581">
              <w:t>t</w:t>
            </w:r>
            <w:r w:rsidRPr="00A53581">
              <w:t>值</w:t>
            </w:r>
          </w:p>
          <w:p w14:paraId="63EBFAEA" w14:textId="77777777" w:rsidR="00203F72" w:rsidRPr="00A53581" w:rsidRDefault="00203F72" w:rsidP="00D87D91">
            <w:r w:rsidRPr="00A53581">
              <w:t>顯著性</w:t>
            </w:r>
          </w:p>
        </w:tc>
        <w:tc>
          <w:tcPr>
            <w:tcW w:w="1080" w:type="dxa"/>
            <w:shd w:val="clear" w:color="auto" w:fill="FAF0FA"/>
          </w:tcPr>
          <w:p w14:paraId="6F05E1B6" w14:textId="77777777" w:rsidR="00203F72" w:rsidRPr="00A53581" w:rsidRDefault="00203F72" w:rsidP="00D87D91">
            <w:r w:rsidRPr="00A53581">
              <w:t>模式</w:t>
            </w:r>
          </w:p>
          <w:p w14:paraId="4FB0E2E0" w14:textId="77777777" w:rsidR="00203F72" w:rsidRPr="00A53581" w:rsidRDefault="00203F72" w:rsidP="00D87D91">
            <w:pPr>
              <w:rPr>
                <w:vertAlign w:val="superscript"/>
              </w:rPr>
            </w:pPr>
            <w:r w:rsidRPr="00A53581">
              <w:t>R</w:t>
            </w:r>
            <w:r w:rsidRPr="00A53581">
              <w:rPr>
                <w:vertAlign w:val="superscript"/>
              </w:rPr>
              <w:t>2</w:t>
            </w:r>
          </w:p>
          <w:p w14:paraId="4FFC8A9C" w14:textId="77777777" w:rsidR="00203F72" w:rsidRPr="00A53581" w:rsidRDefault="00203F72" w:rsidP="00D87D91">
            <w:r w:rsidRPr="00A53581">
              <w:t>adjusted R</w:t>
            </w:r>
            <w:r w:rsidRPr="00A53581">
              <w:rPr>
                <w:vertAlign w:val="superscript"/>
              </w:rPr>
              <w:t>2</w:t>
            </w:r>
          </w:p>
        </w:tc>
        <w:tc>
          <w:tcPr>
            <w:tcW w:w="1440" w:type="dxa"/>
            <w:shd w:val="clear" w:color="auto" w:fill="FAF0FA"/>
          </w:tcPr>
          <w:p w14:paraId="265E5758" w14:textId="77777777" w:rsidR="00203F72" w:rsidRPr="00A53581" w:rsidRDefault="00203F72" w:rsidP="00D87D91">
            <w:r w:rsidRPr="00A53581">
              <w:t>模式</w:t>
            </w:r>
          </w:p>
          <w:p w14:paraId="0C498830" w14:textId="77777777" w:rsidR="00203F72" w:rsidRPr="00A53581" w:rsidRDefault="00203F72" w:rsidP="00D87D91">
            <w:r w:rsidRPr="00A53581">
              <w:t>F</w:t>
            </w:r>
          </w:p>
          <w:p w14:paraId="7BFA5C45" w14:textId="77777777" w:rsidR="00203F72" w:rsidRPr="00A53581" w:rsidRDefault="00203F72" w:rsidP="00D87D91">
            <w:r w:rsidRPr="00A53581">
              <w:t>值</w:t>
            </w:r>
          </w:p>
        </w:tc>
      </w:tr>
      <w:tr w:rsidR="00203F72" w:rsidRPr="00A53581" w14:paraId="118BD9C4" w14:textId="77777777" w:rsidTr="00203F72">
        <w:tc>
          <w:tcPr>
            <w:tcW w:w="1308" w:type="dxa"/>
            <w:shd w:val="clear" w:color="auto" w:fill="auto"/>
          </w:tcPr>
          <w:p w14:paraId="3B1C7E43" w14:textId="77777777" w:rsidR="00203F72" w:rsidRPr="00A53581" w:rsidRDefault="00203F72" w:rsidP="00D87D91">
            <w:r w:rsidRPr="00A53581">
              <w:t>當月效果</w:t>
            </w:r>
          </w:p>
        </w:tc>
        <w:tc>
          <w:tcPr>
            <w:tcW w:w="956" w:type="dxa"/>
            <w:shd w:val="clear" w:color="auto" w:fill="auto"/>
          </w:tcPr>
          <w:p w14:paraId="4F24A59C" w14:textId="77777777" w:rsidR="00203F72" w:rsidRPr="00A53581" w:rsidRDefault="00203F72" w:rsidP="00D87D91">
            <w:r w:rsidRPr="00A53581">
              <w:t>7.329</w:t>
            </w:r>
          </w:p>
        </w:tc>
        <w:tc>
          <w:tcPr>
            <w:tcW w:w="964" w:type="dxa"/>
            <w:shd w:val="clear" w:color="auto" w:fill="auto"/>
          </w:tcPr>
          <w:p w14:paraId="4BF22045" w14:textId="77777777" w:rsidR="00203F72" w:rsidRPr="00A53581" w:rsidRDefault="00203F72" w:rsidP="00D87D91">
            <w:r w:rsidRPr="00A53581">
              <w:t>1.270</w:t>
            </w:r>
          </w:p>
        </w:tc>
        <w:tc>
          <w:tcPr>
            <w:tcW w:w="1456" w:type="dxa"/>
            <w:shd w:val="clear" w:color="auto" w:fill="auto"/>
          </w:tcPr>
          <w:p w14:paraId="22CCE5AA" w14:textId="77777777" w:rsidR="00203F72" w:rsidRPr="00A53581" w:rsidRDefault="00203F72" w:rsidP="00D87D91">
            <w:r w:rsidRPr="00A53581">
              <w:t>2.394</w:t>
            </w:r>
          </w:p>
        </w:tc>
        <w:tc>
          <w:tcPr>
            <w:tcW w:w="1064" w:type="dxa"/>
            <w:shd w:val="clear" w:color="auto" w:fill="auto"/>
          </w:tcPr>
          <w:p w14:paraId="29936222" w14:textId="77777777" w:rsidR="00203F72" w:rsidRPr="00A53581" w:rsidRDefault="00203F72" w:rsidP="00D87D91">
            <w:r w:rsidRPr="00A53581">
              <w:t>.0181</w:t>
            </w:r>
            <w:r w:rsidRPr="00A53581">
              <w:rPr>
                <w:position w:val="10"/>
              </w:rPr>
              <w:t>﹡</w:t>
            </w:r>
          </w:p>
        </w:tc>
        <w:tc>
          <w:tcPr>
            <w:tcW w:w="1080" w:type="dxa"/>
            <w:shd w:val="clear" w:color="auto" w:fill="auto"/>
          </w:tcPr>
          <w:p w14:paraId="16286EBF" w14:textId="77777777" w:rsidR="00203F72" w:rsidRPr="00A53581" w:rsidRDefault="00203F72" w:rsidP="00D87D91">
            <w:r w:rsidRPr="00A53581">
              <w:t>.04223</w:t>
            </w:r>
          </w:p>
          <w:p w14:paraId="282D584D" w14:textId="77777777" w:rsidR="00203F72" w:rsidRPr="00A53581" w:rsidRDefault="00203F72" w:rsidP="00D87D91">
            <w:r w:rsidRPr="00A53581">
              <w:t>.03486</w:t>
            </w:r>
          </w:p>
        </w:tc>
        <w:tc>
          <w:tcPr>
            <w:tcW w:w="1440" w:type="dxa"/>
            <w:shd w:val="clear" w:color="auto" w:fill="auto"/>
          </w:tcPr>
          <w:p w14:paraId="6EA13D50" w14:textId="77777777" w:rsidR="00203F72" w:rsidRPr="00A53581" w:rsidRDefault="00203F72" w:rsidP="00D87D91">
            <w:r w:rsidRPr="00A53581">
              <w:t>5.7319</w:t>
            </w:r>
          </w:p>
          <w:p w14:paraId="3ABA20DF" w14:textId="77777777" w:rsidR="00203F72" w:rsidRPr="00A53581" w:rsidRDefault="00203F72" w:rsidP="00D87D91">
            <w:r w:rsidRPr="00A53581">
              <w:t>(.0181</w:t>
            </w:r>
            <w:r w:rsidRPr="00A53581">
              <w:rPr>
                <w:position w:val="10"/>
              </w:rPr>
              <w:t>﹡</w:t>
            </w:r>
            <w:r w:rsidRPr="00A53581">
              <w:t>)</w:t>
            </w:r>
          </w:p>
        </w:tc>
      </w:tr>
      <w:tr w:rsidR="00203F72" w:rsidRPr="00A53581" w14:paraId="6A7219A3" w14:textId="77777777" w:rsidTr="00203F72">
        <w:tc>
          <w:tcPr>
            <w:tcW w:w="1308" w:type="dxa"/>
            <w:shd w:val="clear" w:color="auto" w:fill="auto"/>
          </w:tcPr>
          <w:p w14:paraId="3D2DE402" w14:textId="77777777" w:rsidR="00203F72" w:rsidRPr="00A53581" w:rsidRDefault="00203F72" w:rsidP="00D87D91">
            <w:r w:rsidRPr="00A53581">
              <w:t>延遲一月效果</w:t>
            </w:r>
          </w:p>
        </w:tc>
        <w:tc>
          <w:tcPr>
            <w:tcW w:w="956" w:type="dxa"/>
            <w:shd w:val="clear" w:color="auto" w:fill="auto"/>
          </w:tcPr>
          <w:p w14:paraId="2490F639" w14:textId="77777777" w:rsidR="00203F72" w:rsidRPr="00A53581" w:rsidRDefault="00203F72" w:rsidP="00D87D91">
            <w:r w:rsidRPr="00A53581">
              <w:t>7.304</w:t>
            </w:r>
          </w:p>
        </w:tc>
        <w:tc>
          <w:tcPr>
            <w:tcW w:w="964" w:type="dxa"/>
            <w:shd w:val="clear" w:color="auto" w:fill="auto"/>
          </w:tcPr>
          <w:p w14:paraId="6842A5D9" w14:textId="77777777" w:rsidR="00203F72" w:rsidRPr="00A53581" w:rsidRDefault="00203F72" w:rsidP="00D87D91">
            <w:r w:rsidRPr="00A53581">
              <w:t>1.411</w:t>
            </w:r>
          </w:p>
        </w:tc>
        <w:tc>
          <w:tcPr>
            <w:tcW w:w="1456" w:type="dxa"/>
            <w:shd w:val="clear" w:color="auto" w:fill="auto"/>
          </w:tcPr>
          <w:p w14:paraId="5FE15810" w14:textId="77777777" w:rsidR="00203F72" w:rsidRPr="00A53581" w:rsidRDefault="00203F72" w:rsidP="00D87D91">
            <w:r w:rsidRPr="00A53581">
              <w:t>2.666</w:t>
            </w:r>
          </w:p>
        </w:tc>
        <w:tc>
          <w:tcPr>
            <w:tcW w:w="1064" w:type="dxa"/>
            <w:shd w:val="clear" w:color="auto" w:fill="auto"/>
          </w:tcPr>
          <w:p w14:paraId="62FC3CAB" w14:textId="77777777" w:rsidR="00203F72" w:rsidRPr="00A53581" w:rsidRDefault="00203F72" w:rsidP="00D87D91">
            <w:r w:rsidRPr="00A53581">
              <w:t>.0087</w:t>
            </w:r>
            <w:r w:rsidRPr="00A53581">
              <w:rPr>
                <w:position w:val="10"/>
              </w:rPr>
              <w:t>﹡</w:t>
            </w:r>
          </w:p>
        </w:tc>
        <w:tc>
          <w:tcPr>
            <w:tcW w:w="1080" w:type="dxa"/>
            <w:shd w:val="clear" w:color="auto" w:fill="auto"/>
          </w:tcPr>
          <w:p w14:paraId="01B06AAE" w14:textId="77777777" w:rsidR="00203F72" w:rsidRPr="00A53581" w:rsidRDefault="00203F72" w:rsidP="00D87D91">
            <w:r w:rsidRPr="00A53581">
              <w:t>.05221</w:t>
            </w:r>
          </w:p>
          <w:p w14:paraId="67F940AB" w14:textId="77777777" w:rsidR="00203F72" w:rsidRPr="00A53581" w:rsidRDefault="00203F72" w:rsidP="00D87D91">
            <w:r w:rsidRPr="00A53581">
              <w:t>.04486</w:t>
            </w:r>
          </w:p>
        </w:tc>
        <w:tc>
          <w:tcPr>
            <w:tcW w:w="1440" w:type="dxa"/>
            <w:shd w:val="clear" w:color="auto" w:fill="auto"/>
          </w:tcPr>
          <w:p w14:paraId="6032C773" w14:textId="77777777" w:rsidR="00203F72" w:rsidRPr="00A53581" w:rsidRDefault="00203F72" w:rsidP="00D87D91">
            <w:r w:rsidRPr="00A53581">
              <w:t>7.1056</w:t>
            </w:r>
          </w:p>
          <w:p w14:paraId="171A63C4" w14:textId="77777777" w:rsidR="00203F72" w:rsidRPr="00A53581" w:rsidRDefault="00203F72" w:rsidP="00D87D91">
            <w:r w:rsidRPr="00A53581">
              <w:t>(.0087</w:t>
            </w:r>
            <w:r w:rsidRPr="00A53581">
              <w:rPr>
                <w:position w:val="10"/>
              </w:rPr>
              <w:t>﹡</w:t>
            </w:r>
            <w:r w:rsidRPr="00A53581">
              <w:t>)</w:t>
            </w:r>
          </w:p>
        </w:tc>
      </w:tr>
      <w:tr w:rsidR="00203F72" w:rsidRPr="00A53581" w14:paraId="7EBA1B89" w14:textId="77777777" w:rsidTr="00203F72">
        <w:tc>
          <w:tcPr>
            <w:tcW w:w="1308" w:type="dxa"/>
            <w:shd w:val="clear" w:color="auto" w:fill="auto"/>
          </w:tcPr>
          <w:p w14:paraId="364E6E56" w14:textId="77777777" w:rsidR="00203F72" w:rsidRPr="00A53581" w:rsidRDefault="00203F72" w:rsidP="00D87D91">
            <w:r w:rsidRPr="00A53581">
              <w:t>延遲二月效果</w:t>
            </w:r>
          </w:p>
        </w:tc>
        <w:tc>
          <w:tcPr>
            <w:tcW w:w="956" w:type="dxa"/>
            <w:shd w:val="clear" w:color="auto" w:fill="auto"/>
          </w:tcPr>
          <w:p w14:paraId="79EBB733" w14:textId="77777777" w:rsidR="00203F72" w:rsidRPr="00A53581" w:rsidRDefault="00203F72" w:rsidP="00D87D91">
            <w:r w:rsidRPr="00A53581">
              <w:t>7.212</w:t>
            </w:r>
          </w:p>
        </w:tc>
        <w:tc>
          <w:tcPr>
            <w:tcW w:w="964" w:type="dxa"/>
            <w:shd w:val="clear" w:color="auto" w:fill="auto"/>
          </w:tcPr>
          <w:p w14:paraId="62E01730" w14:textId="77777777" w:rsidR="00203F72" w:rsidRPr="00A53581" w:rsidRDefault="00203F72" w:rsidP="00D87D91">
            <w:r w:rsidRPr="00A53581">
              <w:t>1.950</w:t>
            </w:r>
          </w:p>
        </w:tc>
        <w:tc>
          <w:tcPr>
            <w:tcW w:w="1456" w:type="dxa"/>
            <w:shd w:val="clear" w:color="auto" w:fill="auto"/>
          </w:tcPr>
          <w:p w14:paraId="49E6696C" w14:textId="77777777" w:rsidR="00203F72" w:rsidRPr="00A53581" w:rsidRDefault="00203F72" w:rsidP="00D87D91">
            <w:r w:rsidRPr="00A53581">
              <w:t>3.788</w:t>
            </w:r>
          </w:p>
        </w:tc>
        <w:tc>
          <w:tcPr>
            <w:tcW w:w="1064" w:type="dxa"/>
            <w:shd w:val="clear" w:color="auto" w:fill="auto"/>
          </w:tcPr>
          <w:p w14:paraId="27673E09" w14:textId="77777777" w:rsidR="00203F72" w:rsidRPr="00A53581" w:rsidRDefault="00203F72" w:rsidP="00D87D91">
            <w:r w:rsidRPr="00A53581">
              <w:t>.0002</w:t>
            </w:r>
            <w:r w:rsidRPr="00A53581">
              <w:rPr>
                <w:position w:val="10"/>
              </w:rPr>
              <w:t>﹡</w:t>
            </w:r>
          </w:p>
        </w:tc>
        <w:tc>
          <w:tcPr>
            <w:tcW w:w="1080" w:type="dxa"/>
            <w:shd w:val="clear" w:color="auto" w:fill="auto"/>
          </w:tcPr>
          <w:p w14:paraId="3EC3A507" w14:textId="77777777" w:rsidR="00203F72" w:rsidRPr="00A53581" w:rsidRDefault="00203F72" w:rsidP="00D87D91">
            <w:r w:rsidRPr="00A53581">
              <w:t>.10081</w:t>
            </w:r>
          </w:p>
          <w:p w14:paraId="729EDB80" w14:textId="77777777" w:rsidR="00203F72" w:rsidRPr="00A53581" w:rsidRDefault="00203F72" w:rsidP="00D87D91">
            <w:r w:rsidRPr="00A53581">
              <w:t>.09379</w:t>
            </w:r>
          </w:p>
        </w:tc>
        <w:tc>
          <w:tcPr>
            <w:tcW w:w="1440" w:type="dxa"/>
            <w:shd w:val="clear" w:color="auto" w:fill="auto"/>
          </w:tcPr>
          <w:p w14:paraId="5357B529" w14:textId="77777777" w:rsidR="00203F72" w:rsidRPr="00A53581" w:rsidRDefault="00203F72" w:rsidP="00D87D91">
            <w:r w:rsidRPr="00A53581">
              <w:t>14.351</w:t>
            </w:r>
          </w:p>
          <w:p w14:paraId="66CDC2E1" w14:textId="77777777" w:rsidR="00203F72" w:rsidRPr="00A53581" w:rsidRDefault="00203F72" w:rsidP="00D87D91">
            <w:r w:rsidRPr="00A53581">
              <w:t>(.0002</w:t>
            </w:r>
            <w:r w:rsidRPr="00A53581">
              <w:rPr>
                <w:position w:val="10"/>
              </w:rPr>
              <w:t>﹡</w:t>
            </w:r>
            <w:r w:rsidRPr="00A53581">
              <w:t>)</w:t>
            </w:r>
          </w:p>
        </w:tc>
      </w:tr>
      <w:tr w:rsidR="00203F72" w:rsidRPr="00A53581" w14:paraId="02081005" w14:textId="77777777" w:rsidTr="00203F72">
        <w:tc>
          <w:tcPr>
            <w:tcW w:w="1308" w:type="dxa"/>
            <w:shd w:val="clear" w:color="auto" w:fill="auto"/>
          </w:tcPr>
          <w:p w14:paraId="44BF42E4" w14:textId="77777777" w:rsidR="00203F72" w:rsidRPr="00A53581" w:rsidRDefault="00203F72" w:rsidP="00D87D91">
            <w:r w:rsidRPr="00A53581">
              <w:t>延遲三月效果</w:t>
            </w:r>
          </w:p>
        </w:tc>
        <w:tc>
          <w:tcPr>
            <w:tcW w:w="956" w:type="dxa"/>
            <w:shd w:val="clear" w:color="auto" w:fill="auto"/>
          </w:tcPr>
          <w:p w14:paraId="787602DC" w14:textId="77777777" w:rsidR="00203F72" w:rsidRPr="00A53581" w:rsidRDefault="00203F72" w:rsidP="00D87D91">
            <w:r w:rsidRPr="00A53581">
              <w:t>7.658</w:t>
            </w:r>
          </w:p>
        </w:tc>
        <w:tc>
          <w:tcPr>
            <w:tcW w:w="964" w:type="dxa"/>
            <w:shd w:val="clear" w:color="auto" w:fill="auto"/>
          </w:tcPr>
          <w:p w14:paraId="6258B08D" w14:textId="77777777" w:rsidR="00203F72" w:rsidRPr="00A53581" w:rsidRDefault="00203F72" w:rsidP="00D87D91">
            <w:r w:rsidRPr="00A53581">
              <w:t>.315</w:t>
            </w:r>
          </w:p>
        </w:tc>
        <w:tc>
          <w:tcPr>
            <w:tcW w:w="1456" w:type="dxa"/>
            <w:shd w:val="clear" w:color="auto" w:fill="auto"/>
          </w:tcPr>
          <w:p w14:paraId="7F79EA29" w14:textId="77777777" w:rsidR="00203F72" w:rsidRPr="00A53581" w:rsidRDefault="00203F72" w:rsidP="00D87D91">
            <w:r w:rsidRPr="00A53581">
              <w:t>.582</w:t>
            </w:r>
          </w:p>
        </w:tc>
        <w:tc>
          <w:tcPr>
            <w:tcW w:w="1064" w:type="dxa"/>
            <w:shd w:val="clear" w:color="auto" w:fill="auto"/>
          </w:tcPr>
          <w:p w14:paraId="0319180A" w14:textId="77777777" w:rsidR="00203F72" w:rsidRPr="00A53581" w:rsidRDefault="00203F72" w:rsidP="00D87D91">
            <w:r w:rsidRPr="00A53581">
              <w:t>.5616</w:t>
            </w:r>
          </w:p>
        </w:tc>
        <w:tc>
          <w:tcPr>
            <w:tcW w:w="1080" w:type="dxa"/>
            <w:shd w:val="clear" w:color="auto" w:fill="auto"/>
          </w:tcPr>
          <w:p w14:paraId="74BBF5E5" w14:textId="77777777" w:rsidR="00203F72" w:rsidRPr="00A53581" w:rsidRDefault="00203F72" w:rsidP="00D87D91">
            <w:r w:rsidRPr="00A53581">
              <w:t>.00266</w:t>
            </w:r>
          </w:p>
          <w:p w14:paraId="69D55039" w14:textId="77777777" w:rsidR="00203F72" w:rsidRPr="00A53581" w:rsidRDefault="00203F72" w:rsidP="00D87D91">
            <w:r w:rsidRPr="00A53581">
              <w:t>0.00519</w:t>
            </w:r>
          </w:p>
        </w:tc>
        <w:tc>
          <w:tcPr>
            <w:tcW w:w="1440" w:type="dxa"/>
            <w:shd w:val="clear" w:color="auto" w:fill="auto"/>
          </w:tcPr>
          <w:p w14:paraId="37737931" w14:textId="77777777" w:rsidR="00203F72" w:rsidRPr="00A53581" w:rsidRDefault="00203F72" w:rsidP="00D87D91">
            <w:r w:rsidRPr="00A53581">
              <w:t>.3388</w:t>
            </w:r>
          </w:p>
          <w:p w14:paraId="63FD2883" w14:textId="77777777" w:rsidR="00203F72" w:rsidRPr="00A53581" w:rsidRDefault="00203F72" w:rsidP="00D87D91">
            <w:r w:rsidRPr="00A53581">
              <w:t>(.5616)</w:t>
            </w:r>
          </w:p>
        </w:tc>
      </w:tr>
      <w:tr w:rsidR="00203F72" w:rsidRPr="00A53581" w14:paraId="4BAFCF07" w14:textId="77777777" w:rsidTr="00203F72">
        <w:tc>
          <w:tcPr>
            <w:tcW w:w="1308" w:type="dxa"/>
            <w:shd w:val="clear" w:color="auto" w:fill="auto"/>
          </w:tcPr>
          <w:p w14:paraId="0A5B4EE9" w14:textId="77777777" w:rsidR="00203F72" w:rsidRPr="00A53581" w:rsidRDefault="00203F72" w:rsidP="00D87D91">
            <w:r w:rsidRPr="00A53581">
              <w:t>延遲四月效果</w:t>
            </w:r>
          </w:p>
        </w:tc>
        <w:tc>
          <w:tcPr>
            <w:tcW w:w="956" w:type="dxa"/>
            <w:shd w:val="clear" w:color="auto" w:fill="auto"/>
          </w:tcPr>
          <w:p w14:paraId="6BEEF1DF" w14:textId="77777777" w:rsidR="00203F72" w:rsidRPr="00A53581" w:rsidRDefault="00203F72" w:rsidP="00D87D91">
            <w:r w:rsidRPr="00A53581">
              <w:t>7.043</w:t>
            </w:r>
          </w:p>
        </w:tc>
        <w:tc>
          <w:tcPr>
            <w:tcW w:w="964" w:type="dxa"/>
            <w:shd w:val="clear" w:color="auto" w:fill="auto"/>
          </w:tcPr>
          <w:p w14:paraId="48C1F5CF" w14:textId="77777777" w:rsidR="00203F72" w:rsidRPr="00A53581" w:rsidRDefault="00203F72" w:rsidP="00D87D91">
            <w:r w:rsidRPr="00A53581">
              <w:t>2.6397</w:t>
            </w:r>
          </w:p>
        </w:tc>
        <w:tc>
          <w:tcPr>
            <w:tcW w:w="1456" w:type="dxa"/>
            <w:shd w:val="clear" w:color="auto" w:fill="auto"/>
          </w:tcPr>
          <w:p w14:paraId="53FFCFDA" w14:textId="77777777" w:rsidR="00203F72" w:rsidRPr="00A53581" w:rsidRDefault="00203F72" w:rsidP="00D87D91">
            <w:r w:rsidRPr="00A53581">
              <w:t>5.403</w:t>
            </w:r>
          </w:p>
        </w:tc>
        <w:tc>
          <w:tcPr>
            <w:tcW w:w="1064" w:type="dxa"/>
            <w:shd w:val="clear" w:color="auto" w:fill="auto"/>
          </w:tcPr>
          <w:p w14:paraId="17D5CD3E" w14:textId="77777777" w:rsidR="00203F72" w:rsidRPr="00A53581" w:rsidRDefault="00203F72" w:rsidP="00D87D91">
            <w:r w:rsidRPr="00A53581">
              <w:t>.0000</w:t>
            </w:r>
            <w:r w:rsidRPr="00A53581">
              <w:rPr>
                <w:position w:val="10"/>
              </w:rPr>
              <w:t>﹡</w:t>
            </w:r>
          </w:p>
        </w:tc>
        <w:tc>
          <w:tcPr>
            <w:tcW w:w="1080" w:type="dxa"/>
            <w:shd w:val="clear" w:color="auto" w:fill="auto"/>
          </w:tcPr>
          <w:p w14:paraId="002F7E59" w14:textId="77777777" w:rsidR="00203F72" w:rsidRPr="00A53581" w:rsidRDefault="00203F72" w:rsidP="00D87D91">
            <w:r w:rsidRPr="00A53581">
              <w:t>.1881</w:t>
            </w:r>
          </w:p>
          <w:p w14:paraId="390EC000" w14:textId="77777777" w:rsidR="00203F72" w:rsidRPr="00A53581" w:rsidRDefault="00203F72" w:rsidP="00D87D91">
            <w:r w:rsidRPr="00A53581">
              <w:t>.1817</w:t>
            </w:r>
          </w:p>
        </w:tc>
        <w:tc>
          <w:tcPr>
            <w:tcW w:w="1440" w:type="dxa"/>
            <w:shd w:val="clear" w:color="auto" w:fill="auto"/>
          </w:tcPr>
          <w:p w14:paraId="05E8852A" w14:textId="77777777" w:rsidR="00203F72" w:rsidRPr="00A53581" w:rsidRDefault="00203F72" w:rsidP="00D87D91">
            <w:r w:rsidRPr="00A53581">
              <w:t>29.1958</w:t>
            </w:r>
          </w:p>
          <w:p w14:paraId="444950DC" w14:textId="77777777" w:rsidR="00203F72" w:rsidRPr="00A53581" w:rsidRDefault="00203F72" w:rsidP="00D87D91">
            <w:r w:rsidRPr="00A53581">
              <w:t>(.0000</w:t>
            </w:r>
            <w:r w:rsidRPr="00A53581">
              <w:rPr>
                <w:position w:val="10"/>
              </w:rPr>
              <w:t>﹡</w:t>
            </w:r>
            <w:r w:rsidRPr="00A53581">
              <w:t>)</w:t>
            </w:r>
          </w:p>
        </w:tc>
      </w:tr>
    </w:tbl>
    <w:p w14:paraId="32A627D8" w14:textId="77777777" w:rsidR="00953151" w:rsidRDefault="00353CFF" w:rsidP="00D87D91">
      <w:r>
        <w:t>【註】</w:t>
      </w:r>
      <w:r w:rsidR="00203F72" w:rsidRPr="00A53581">
        <w:t>本表格之資料來源，係為</w:t>
      </w:r>
      <w:r w:rsidR="00D92F56">
        <w:t>〜</w:t>
      </w:r>
      <w:r w:rsidR="00203F72" w:rsidRPr="00A53581">
        <w:t>許春金、吳景芳、李湧清、曾正一、許金標、蔡田木</w:t>
      </w:r>
      <w:r w:rsidR="00203F72" w:rsidRPr="00A53581">
        <w:t>(1994)</w:t>
      </w:r>
      <w:r w:rsidR="00203F72" w:rsidRPr="00A53581">
        <w:t>，死刑存廢之探討，台北：行政院研究發展考核委員會編印，頁</w:t>
      </w:r>
      <w:r w:rsidR="00203F72" w:rsidRPr="00A53581">
        <w:t>140</w:t>
      </w:r>
      <w:r w:rsidR="00203F72" w:rsidRPr="00A53581">
        <w:t>，並經由作者重新改寫與闡釋其統計實證數據之意義。原始表格中之</w:t>
      </w:r>
      <w:r w:rsidR="00203F72" w:rsidRPr="00A53581">
        <w:t>adjusted R</w:t>
      </w:r>
      <w:r w:rsidR="00203F72" w:rsidRPr="00A53581">
        <w:rPr>
          <w:vertAlign w:val="superscript"/>
        </w:rPr>
        <w:t>2</w:t>
      </w:r>
      <w:r w:rsidR="00203F72" w:rsidRPr="00A53581">
        <w:t>，被誤植為負值，已經本書作者更正之。</w:t>
      </w:r>
    </w:p>
    <w:p w14:paraId="2B535D51" w14:textId="77777777" w:rsidR="007D52D6" w:rsidRDefault="007D52D6" w:rsidP="004E1189">
      <w:pPr>
        <w:jc w:val="right"/>
        <w:rPr>
          <w:rFonts w:ascii="新細明體" w:hAnsi="新細明體"/>
        </w:rPr>
      </w:pPr>
      <w:r w:rsidRPr="0026266A">
        <w:rPr>
          <w:rFonts w:hint="eastAsia"/>
        </w:rPr>
        <w:t>。。。。。。。。。。。。。。。。。。。。。。。。。</w:t>
      </w:r>
      <w:hyperlink w:anchor="a目次39" w:history="1">
        <w:r>
          <w:rPr>
            <w:rStyle w:val="a5"/>
            <w:sz w:val="18"/>
          </w:rPr>
          <w:t>回目次</w:t>
        </w:r>
      </w:hyperlink>
      <w:r w:rsidR="00E91F89">
        <w:rPr>
          <w:rFonts w:ascii="新細明體" w:hAnsi="新細明體"/>
          <w:color w:val="808000"/>
        </w:rPr>
        <w:t>〉〉</w:t>
      </w:r>
    </w:p>
    <w:p w14:paraId="382FA9B8" w14:textId="77777777" w:rsidR="007D52D6" w:rsidRDefault="007D52D6" w:rsidP="00D87D91"/>
    <w:p w14:paraId="178EC1A7" w14:textId="77777777" w:rsidR="00203F72" w:rsidRPr="00A53581" w:rsidRDefault="00203F72" w:rsidP="00767F37">
      <w:pPr>
        <w:pStyle w:val="2"/>
      </w:pPr>
      <w:bookmarkStart w:id="117" w:name="_伍、結論"/>
      <w:bookmarkEnd w:id="117"/>
      <w:r w:rsidRPr="00A53581">
        <w:t>伍、結論</w:t>
      </w:r>
    </w:p>
    <w:p w14:paraId="5AA7D3EC" w14:textId="77777777" w:rsidR="00953151" w:rsidRPr="009C68E0" w:rsidRDefault="00353CFF" w:rsidP="00D87D91">
      <w:r w:rsidRPr="009C68E0">
        <w:t xml:space="preserve">　　</w:t>
      </w:r>
      <w:r w:rsidR="00203F72" w:rsidRPr="009C68E0">
        <w:t>從羅馬規約之精神出發，各式的殺人罪犯之生命權受到保障。由於羅馬規約已廢除死刑，就台灣而言，站在我國憲法之層級與高度，宜有國際法之觀點，宜明定「禁止死刑」。另外，德國基本法第</w:t>
      </w:r>
      <w:r w:rsidR="00203F72" w:rsidRPr="009C68E0">
        <w:t>102</w:t>
      </w:r>
      <w:r w:rsidR="00203F72" w:rsidRPr="009C68E0">
        <w:t>條、瑞典憲法第</w:t>
      </w:r>
      <w:r w:rsidR="00203F72" w:rsidRPr="009C68E0">
        <w:t>2</w:t>
      </w:r>
      <w:r w:rsidR="00203F72" w:rsidRPr="009C68E0">
        <w:t>章第</w:t>
      </w:r>
      <w:r w:rsidR="00203F72" w:rsidRPr="009C68E0">
        <w:t>4</w:t>
      </w:r>
      <w:r w:rsidR="00203F72" w:rsidRPr="009C68E0">
        <w:t>條、法國憲法第</w:t>
      </w:r>
      <w:r w:rsidR="00203F72" w:rsidRPr="009C68E0">
        <w:t>66-1</w:t>
      </w:r>
      <w:r w:rsidR="00203F72" w:rsidRPr="009C68E0">
        <w:t>條、荷蘭憲法第</w:t>
      </w:r>
      <w:r w:rsidR="00203F72" w:rsidRPr="009C68E0">
        <w:t>114</w:t>
      </w:r>
      <w:r w:rsidR="00203F72" w:rsidRPr="009C68E0">
        <w:t>條、奧地利憲</w:t>
      </w:r>
      <w:r w:rsidR="00306E89" w:rsidRPr="00515D85">
        <w:t>法</w:t>
      </w:r>
      <w:r w:rsidR="00306E89" w:rsidRPr="00306E89">
        <w:t>第</w:t>
      </w:r>
      <w:r w:rsidR="00306E89" w:rsidRPr="00306E89">
        <w:t>85</w:t>
      </w:r>
      <w:r w:rsidR="00306E89" w:rsidRPr="00306E89">
        <w:t>條</w:t>
      </w:r>
      <w:r w:rsidR="00203F72" w:rsidRPr="009C68E0">
        <w:t>及瑞士憲法第</w:t>
      </w:r>
      <w:r w:rsidR="00203F72" w:rsidRPr="009C68E0">
        <w:t>10</w:t>
      </w:r>
      <w:r w:rsidR="00203F72" w:rsidRPr="009C68E0">
        <w:t>條第</w:t>
      </w:r>
      <w:r w:rsidR="00203F72" w:rsidRPr="009C68E0">
        <w:t>1</w:t>
      </w:r>
      <w:r w:rsidR="00203F72" w:rsidRPr="009C68E0">
        <w:t>款等之立憲例，均站在憲法之高度，明文廢棄死刑。再者，死刊會促發各類型之犯罪，令社會滋生更多的犯罪行為。「死刑」</w:t>
      </w:r>
      <w:r w:rsidR="00203F72" w:rsidRPr="009C68E0">
        <w:t>(capital punishment)</w:t>
      </w:r>
      <w:r w:rsidR="00203F72" w:rsidRPr="009C68E0">
        <w:t>是一項非常殘忍、凶殘、凶惡、暴力、血腥、充滿報復、怨恨、以牙還牙、以殺還殺、以眼還眼、以暴還暴、不先進、不文明、不高尚、不道德、非理性、不成熟、落後、不仁道、不聰明、不智慧與不人道之作法與思想。</w:t>
      </w:r>
    </w:p>
    <w:p w14:paraId="7379DDAC" w14:textId="77777777" w:rsidR="007D52D6" w:rsidRDefault="007D52D6" w:rsidP="00703176">
      <w:pPr>
        <w:jc w:val="right"/>
        <w:rPr>
          <w:rFonts w:ascii="新細明體" w:hAnsi="新細明體"/>
        </w:rPr>
      </w:pPr>
      <w:r w:rsidRPr="0026266A">
        <w:rPr>
          <w:rFonts w:hint="eastAsia"/>
          <w:color w:val="5F5F5F"/>
        </w:rPr>
        <w:t>。。。。。。。。。。。。。。。。。。。。。。。。。</w:t>
      </w:r>
      <w:hyperlink w:anchor="a目次310" w:history="1">
        <w:r>
          <w:rPr>
            <w:rStyle w:val="a5"/>
            <w:sz w:val="18"/>
          </w:rPr>
          <w:t>回目次</w:t>
        </w:r>
      </w:hyperlink>
      <w:r w:rsidR="00E91F89">
        <w:rPr>
          <w:rFonts w:ascii="新細明體" w:hAnsi="新細明體"/>
          <w:color w:val="808000"/>
        </w:rPr>
        <w:t>〉〉</w:t>
      </w:r>
    </w:p>
    <w:p w14:paraId="253A00A1" w14:textId="77777777" w:rsidR="00953151" w:rsidRPr="009C68E0" w:rsidRDefault="00953151" w:rsidP="00D87D91"/>
    <w:p w14:paraId="3D36DEC1" w14:textId="77777777" w:rsidR="009C68E0" w:rsidRPr="00A53581" w:rsidRDefault="00203F72" w:rsidP="00767F37">
      <w:pPr>
        <w:pStyle w:val="2"/>
        <w:rPr>
          <w:rFonts w:ascii="新細明體" w:hAnsi="新細明體"/>
        </w:rPr>
      </w:pPr>
      <w:bookmarkStart w:id="118" w:name="_第十章中華民國國家主權_V.S._中國大陸「反分裂國家法第8條」〜以「"/>
      <w:bookmarkEnd w:id="118"/>
      <w:r w:rsidRPr="00795777">
        <w:t>第十章中華民國國家主權</w:t>
      </w:r>
      <w:r w:rsidRPr="00795777">
        <w:t xml:space="preserve"> V.S. </w:t>
      </w:r>
      <w:r w:rsidRPr="00795777">
        <w:t>中國大陸「反分裂國家法</w:t>
      </w:r>
      <w:hyperlink r:id="rId2247" w:anchor="a8" w:history="1">
        <w:r w:rsidR="004E1189" w:rsidRPr="00410BD1">
          <w:rPr>
            <w:rStyle w:val="a5"/>
            <w:rFonts w:ascii="Times New Roman" w:hAnsi="Times New Roman"/>
          </w:rPr>
          <w:t>第</w:t>
        </w:r>
        <w:r w:rsidR="004E1189" w:rsidRPr="00410BD1">
          <w:rPr>
            <w:rStyle w:val="a5"/>
            <w:rFonts w:ascii="Times New Roman" w:hAnsi="Times New Roman"/>
          </w:rPr>
          <w:t>8</w:t>
        </w:r>
        <w:r w:rsidR="004E1189" w:rsidRPr="00410BD1">
          <w:rPr>
            <w:rStyle w:val="a5"/>
            <w:rFonts w:ascii="Times New Roman" w:hAnsi="Times New Roman"/>
          </w:rPr>
          <w:t>條</w:t>
        </w:r>
      </w:hyperlink>
      <w:r w:rsidRPr="00795777">
        <w:t>」</w:t>
      </w:r>
      <w:r w:rsidR="00D92F56">
        <w:t>〜</w:t>
      </w:r>
      <w:r w:rsidRPr="00795777">
        <w:t>以「禁止使用核武器」為中心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14:paraId="64B1DD4E" w14:textId="77777777" w:rsidTr="00203F72">
        <w:tc>
          <w:tcPr>
            <w:tcW w:w="8362" w:type="dxa"/>
            <w:shd w:val="clear" w:color="auto" w:fill="auto"/>
          </w:tcPr>
          <w:p w14:paraId="7D0C69C7" w14:textId="77777777" w:rsidR="00203F72" w:rsidRPr="00353CFF" w:rsidRDefault="00203F72" w:rsidP="00D87D91">
            <w:r w:rsidRPr="00353CFF">
              <w:t>目錄</w:t>
            </w:r>
          </w:p>
          <w:p w14:paraId="6042E510" w14:textId="77777777" w:rsidR="00203F72" w:rsidRPr="009C68E0" w:rsidRDefault="00353CFF" w:rsidP="00D87D91">
            <w:r w:rsidRPr="009C68E0">
              <w:t xml:space="preserve">　　</w:t>
            </w:r>
            <w:r w:rsidR="00203F72" w:rsidRPr="009C68E0">
              <w:t>壹、緣起</w:t>
            </w:r>
          </w:p>
          <w:p w14:paraId="015A74B4" w14:textId="77777777" w:rsidR="00203F72" w:rsidRPr="009C68E0" w:rsidRDefault="00353CFF" w:rsidP="00D87D91">
            <w:r w:rsidRPr="009C68E0">
              <w:t xml:space="preserve">　　</w:t>
            </w:r>
            <w:r w:rsidR="00203F72" w:rsidRPr="009C68E0">
              <w:t>貳、《反分裂國家法</w:t>
            </w:r>
            <w:r w:rsidR="004E1189" w:rsidRPr="009C68E0">
              <w:t>》</w:t>
            </w:r>
            <w:hyperlink r:id="rId2248" w:anchor="a8" w:history="1">
              <w:r w:rsidR="004E1189" w:rsidRPr="00410BD1">
                <w:rPr>
                  <w:rStyle w:val="a5"/>
                  <w:rFonts w:ascii="Times New Roman" w:hAnsi="Times New Roman"/>
                </w:rPr>
                <w:t>第</w:t>
              </w:r>
              <w:r w:rsidR="004E1189" w:rsidRPr="00410BD1">
                <w:rPr>
                  <w:rStyle w:val="a5"/>
                  <w:rFonts w:ascii="Times New Roman" w:hAnsi="Times New Roman"/>
                </w:rPr>
                <w:t>8</w:t>
              </w:r>
              <w:r w:rsidR="004E1189" w:rsidRPr="00410BD1">
                <w:rPr>
                  <w:rStyle w:val="a5"/>
                  <w:rFonts w:ascii="Times New Roman" w:hAnsi="Times New Roman"/>
                </w:rPr>
                <w:t>條</w:t>
              </w:r>
            </w:hyperlink>
            <w:r w:rsidR="00203F72" w:rsidRPr="009C68E0">
              <w:t>「非和平方式及其他必要措施」的意涵</w:t>
            </w:r>
          </w:p>
          <w:p w14:paraId="063BC15C" w14:textId="77777777" w:rsidR="00203F72" w:rsidRPr="009C68E0" w:rsidRDefault="00353CFF" w:rsidP="00D87D91">
            <w:r w:rsidRPr="009C68E0">
              <w:t xml:space="preserve">　　</w:t>
            </w:r>
            <w:r w:rsidR="00203F72" w:rsidRPr="009C68E0">
              <w:t>參、假若中國對台灣使用核武器將嚴重違反國際法的相關規定</w:t>
            </w:r>
          </w:p>
          <w:p w14:paraId="3D75A118" w14:textId="77777777" w:rsidR="00203F72" w:rsidRPr="00A53581" w:rsidRDefault="00353CFF" w:rsidP="00D87D91">
            <w:r w:rsidRPr="009C68E0">
              <w:t xml:space="preserve">　　</w:t>
            </w:r>
            <w:r w:rsidR="00203F72" w:rsidRPr="009C68E0">
              <w:t>一、違反《</w:t>
            </w:r>
            <w:r w:rsidR="00203F72" w:rsidRPr="009C68E0">
              <w:t>1949</w:t>
            </w:r>
            <w:r w:rsidR="00203F72" w:rsidRPr="009C68E0">
              <w:t>年</w:t>
            </w:r>
            <w:r w:rsidR="00203F72" w:rsidRPr="009C68E0">
              <w:t>8</w:t>
            </w:r>
            <w:r w:rsidR="00203F72" w:rsidRPr="009C68E0">
              <w:t>月</w:t>
            </w:r>
            <w:r w:rsidR="00203F72" w:rsidRPr="009C68E0">
              <w:t>12</w:t>
            </w:r>
            <w:r w:rsidR="00203F72" w:rsidRPr="009C68E0">
              <w:t>日日內瓦公約關於保護非國際性武裝衝突受難者的</w:t>
            </w:r>
            <w:r w:rsidR="009C68E0">
              <w:rPr>
                <w:rFonts w:hint="eastAsia"/>
              </w:rPr>
              <w:t xml:space="preserve"> </w:t>
            </w:r>
          </w:p>
        </w:tc>
      </w:tr>
    </w:tbl>
    <w:p w14:paraId="1683F425" w14:textId="77777777" w:rsidR="00203F72" w:rsidRPr="00A53581" w:rsidRDefault="00203F72" w:rsidP="00D87D91"/>
    <w:p w14:paraId="5F39FE1D" w14:textId="77777777" w:rsidR="00953151" w:rsidRPr="009C68E0" w:rsidRDefault="00402015" w:rsidP="00D87D91">
      <w:r w:rsidRPr="009C68E0">
        <w:rPr>
          <w:rFonts w:hint="eastAsia"/>
        </w:rPr>
        <w:t>【</w:t>
      </w:r>
      <w:r w:rsidR="00203F72" w:rsidRPr="009C68E0">
        <w:t>關鍵詞</w:t>
      </w:r>
      <w:r w:rsidRPr="009C68E0">
        <w:rPr>
          <w:rFonts w:hint="eastAsia"/>
        </w:rPr>
        <w:t>】</w:t>
      </w:r>
      <w:r w:rsidR="00203F72" w:rsidRPr="009C68E0">
        <w:t>核武器、不首先使用核武器、停止核子試驗、國際刑事法院羅馬規約、羅馬規約、</w:t>
      </w:r>
      <w:hyperlink r:id="rId2249" w:history="1">
        <w:r w:rsidR="00961D95" w:rsidRPr="00BD43D3">
          <w:rPr>
            <w:rStyle w:val="a5"/>
          </w:rPr>
          <w:t>反分裂國家法</w:t>
        </w:r>
      </w:hyperlink>
      <w:r w:rsidR="00203F72" w:rsidRPr="009C68E0">
        <w:t>、非國際性武裝衝突、非和平方式、日內瓦公約、滅絕種族罪、危害人類罪、戰爭罪、《禁止為軍事或任何其他敵對目的使用改變環境的技術的公約》、《不擴散核武器條約》、《全面禁止核子試驗條約》、國際人道法</w:t>
      </w:r>
    </w:p>
    <w:p w14:paraId="4ED69419" w14:textId="77777777" w:rsidR="007D52D6" w:rsidRDefault="007D52D6" w:rsidP="00703176">
      <w:pPr>
        <w:jc w:val="right"/>
        <w:rPr>
          <w:rFonts w:ascii="新細明體" w:hAnsi="新細明體"/>
        </w:rPr>
      </w:pPr>
      <w:r w:rsidRPr="0026266A">
        <w:rPr>
          <w:rFonts w:hint="eastAsia"/>
          <w:color w:val="5F5F5F"/>
        </w:rPr>
        <w:t>。。。。。。。。。。。。。。。。。。。。。。。。。</w:t>
      </w:r>
      <w:hyperlink w:anchor="a目次310" w:history="1">
        <w:r>
          <w:rPr>
            <w:rStyle w:val="a5"/>
            <w:sz w:val="18"/>
          </w:rPr>
          <w:t>回目次</w:t>
        </w:r>
      </w:hyperlink>
      <w:r w:rsidR="00E91F89">
        <w:rPr>
          <w:rFonts w:ascii="新細明體" w:hAnsi="新細明體"/>
          <w:color w:val="808000"/>
        </w:rPr>
        <w:t>〉〉</w:t>
      </w:r>
    </w:p>
    <w:p w14:paraId="18FC5CB3" w14:textId="77777777" w:rsidR="00203F72" w:rsidRPr="00A53581" w:rsidRDefault="00203F72" w:rsidP="00D87D91"/>
    <w:p w14:paraId="247CFBCC" w14:textId="77777777" w:rsidR="00203F72" w:rsidRPr="00A53581" w:rsidRDefault="00203F72" w:rsidP="00767F37">
      <w:pPr>
        <w:pStyle w:val="2"/>
      </w:pPr>
      <w:bookmarkStart w:id="119" w:name="_壹、緣起_1"/>
      <w:bookmarkEnd w:id="119"/>
      <w:r w:rsidRPr="00A53581">
        <w:t>壹、緣起</w:t>
      </w:r>
    </w:p>
    <w:p w14:paraId="69D4807F" w14:textId="77777777" w:rsidR="00402015" w:rsidRPr="009C68E0" w:rsidRDefault="00353CFF" w:rsidP="00D87D91">
      <w:r w:rsidRPr="009C68E0">
        <w:t xml:space="preserve">　　</w:t>
      </w:r>
      <w:r w:rsidR="00203F72" w:rsidRPr="009C68E0">
        <w:t>隨著台灣主體意識的抬頭，以及社會呈現多元、自由、民主、開放及重</w:t>
      </w:r>
      <w:r w:rsidR="003E240E">
        <w:t>視</w:t>
      </w:r>
      <w:r w:rsidR="00203F72" w:rsidRPr="009C68E0">
        <w:t>人權的發展，愈來愈多的台灣政治人物及民眾，思想上是相當多元化。加上台灣政治人物愈來愈多人主張要修憲及推動更改國名運動，於未來，可以預見的，台灣更改國名運動，或許，可能將會有付諸全民公投之一日，台灣全民公投之結果，不排除台灣將會進行改名運動，有可能會將現有之國號</w:t>
      </w:r>
      <w:r w:rsidR="00D92F56" w:rsidRPr="009C68E0">
        <w:t>〜</w:t>
      </w:r>
      <w:r w:rsidR="00203F72" w:rsidRPr="009C68E0">
        <w:t>中華民國，改為台灣民主共和國</w:t>
      </w:r>
      <w:r w:rsidR="00203F72" w:rsidRPr="009C68E0">
        <w:t>(</w:t>
      </w:r>
      <w:r w:rsidR="00203F72" w:rsidRPr="009C68E0">
        <w:t>或台灣民主進步共和國，或是其他之國名</w:t>
      </w:r>
      <w:r w:rsidR="00203F72" w:rsidRPr="009C68E0">
        <w:t>)</w:t>
      </w:r>
      <w:r w:rsidR="00203F72" w:rsidRPr="009C68E0">
        <w:t>，並以此國號，正式向國際社會改名，宣佈台灣已完成獨立建國運動，並期望申請加入聯合國。由中國觀點</w:t>
      </w:r>
      <w:r w:rsidR="003E240E">
        <w:t>視</w:t>
      </w:r>
      <w:r w:rsidR="00203F72" w:rsidRPr="009C68E0">
        <w:t>之，此為</w:t>
      </w:r>
      <w:r w:rsidR="00203F72" w:rsidRPr="009C68E0">
        <w:t>“</w:t>
      </w:r>
      <w:r w:rsidR="00203F72" w:rsidRPr="009C68E0">
        <w:t>台獨</w:t>
      </w:r>
      <w:r w:rsidR="00203F72" w:rsidRPr="009C68E0">
        <w:t>”</w:t>
      </w:r>
      <w:r w:rsidR="00203F72" w:rsidRPr="009C68E0">
        <w:t>建國運動。</w:t>
      </w:r>
    </w:p>
    <w:p w14:paraId="18527B9B" w14:textId="77777777" w:rsidR="00402015" w:rsidRPr="009C68E0" w:rsidRDefault="00353CFF" w:rsidP="00D87D91">
      <w:r w:rsidRPr="009C68E0">
        <w:t xml:space="preserve">　　</w:t>
      </w:r>
      <w:r w:rsidR="00203F72" w:rsidRPr="009C68E0">
        <w:t>另外一種之情形，係台灣人民仍維持中華民國之國號，但拒絕與中國大陸進行統一的工作。亦即，大多數人仍贊同維持現況。中國認為，因兩岸統一的工作，已是不可能之事，亦屬於另類或者廣義之台獨，此時，依照《反分裂國家法》</w:t>
      </w:r>
      <w:r w:rsidR="00203F72" w:rsidRPr="009C68E0">
        <w:footnoteReference w:id="909"/>
      </w:r>
      <w:hyperlink r:id="rId2250" w:anchor="a1" w:history="1">
        <w:r w:rsidR="00203F72" w:rsidRPr="00703176">
          <w:rPr>
            <w:rStyle w:val="a5"/>
            <w:rFonts w:ascii="Times New Roman" w:eastAsia="新細明體" w:hAnsi="Times New Roman"/>
          </w:rPr>
          <w:t>第一條</w:t>
        </w:r>
      </w:hyperlink>
      <w:r w:rsidR="00203F72" w:rsidRPr="009C68E0">
        <w:t>之規定，為了反對和遏制</w:t>
      </w:r>
      <w:r w:rsidR="00203F72" w:rsidRPr="009C68E0">
        <w:t>“</w:t>
      </w:r>
      <w:r w:rsidR="00203F72" w:rsidRPr="009C68E0">
        <w:t>台獨</w:t>
      </w:r>
      <w:r w:rsidR="00203F72" w:rsidRPr="009C68E0">
        <w:t>”</w:t>
      </w:r>
      <w:r w:rsidR="00203F72" w:rsidRPr="009C68E0">
        <w:t>分裂勢力分裂國家，極有可能會導致兩岸戰爭。</w:t>
      </w:r>
    </w:p>
    <w:p w14:paraId="2F5C9944" w14:textId="77777777" w:rsidR="00402015" w:rsidRPr="009C68E0" w:rsidRDefault="00353CFF" w:rsidP="00D87D91">
      <w:r w:rsidRPr="009C68E0">
        <w:t xml:space="preserve">　　</w:t>
      </w:r>
      <w:r w:rsidR="00203F72" w:rsidRPr="009C68E0">
        <w:t>本書之第一個假設，係在上述之</w:t>
      </w:r>
      <w:r w:rsidR="00203F72" w:rsidRPr="009C68E0">
        <w:t>“</w:t>
      </w:r>
      <w:r w:rsidR="00203F72" w:rsidRPr="009C68E0">
        <w:t>台獨</w:t>
      </w:r>
      <w:r w:rsidR="00203F72" w:rsidRPr="009C68E0">
        <w:t>”</w:t>
      </w:r>
      <w:r w:rsidR="00203F72" w:rsidRPr="009C68E0">
        <w:t>建國運動，或者，兩岸統一已成為不可能，此時，在此上開前提之下，中國對台灣進行所謂的統一及解放戰爭，以軍事力量對付台灣。本書之第二個假設，由於台灣受到台灣海峽之地形保護，在地形上佔有優勢，結果兩軍之戰事持續數週或數月，尚無法分出勝負，此時，中國政治人物、解放軍將領、一般民眾等，面臨極大的挑戰及國際社會之壓力，故大力倡導使用核武器攻擊台灣，期能快速解決此一問題，此時，必需有一種反制力量，反制上述核武器攻擊台灣之主張。</w:t>
      </w:r>
    </w:p>
    <w:p w14:paraId="0E7082C6" w14:textId="77777777" w:rsidR="00953151" w:rsidRPr="009C68E0" w:rsidRDefault="00353CFF" w:rsidP="00D87D91">
      <w:r w:rsidRPr="009C68E0">
        <w:t xml:space="preserve">　　</w:t>
      </w:r>
      <w:r w:rsidR="00203F72" w:rsidRPr="009C68E0">
        <w:t>此種反制力量，其理論之基礎，在於從國際人道法及其他相關法理之觀點，檢</w:t>
      </w:r>
      <w:r w:rsidR="003E240E">
        <w:t>視</w:t>
      </w:r>
      <w:r w:rsidR="00203F72" w:rsidRPr="009C68E0">
        <w:t>中國《反分裂國家法》</w:t>
      </w:r>
      <w:hyperlink r:id="rId2251" w:anchor="a9" w:history="1">
        <w:r w:rsidR="00BD43D3" w:rsidRPr="00B56AE1">
          <w:rPr>
            <w:rStyle w:val="a5"/>
            <w:rFonts w:ascii="Times New Roman" w:hAnsi="Times New Roman"/>
          </w:rPr>
          <w:t>第九條</w:t>
        </w:r>
      </w:hyperlink>
      <w:r w:rsidR="00203F72" w:rsidRPr="009C68E0">
        <w:t>「非和平方式及其他必要措施」的真正法律意涵</w:t>
      </w:r>
      <w:r w:rsidR="00D92F56" w:rsidRPr="009C68E0">
        <w:t>〜</w:t>
      </w:r>
      <w:r w:rsidR="00203F72" w:rsidRPr="009C68E0">
        <w:t>以「禁止使用核武器」為中心，中國應「禁止使用核武器」攻擊台灣，以避免觸犯國際人道法的相關法律條文之規定。</w:t>
      </w:r>
    </w:p>
    <w:p w14:paraId="0D559AD5" w14:textId="77777777" w:rsidR="00953151" w:rsidRPr="009C68E0" w:rsidRDefault="00353CFF" w:rsidP="00D87D91">
      <w:r w:rsidRPr="009C68E0">
        <w:t xml:space="preserve">　　</w:t>
      </w:r>
      <w:r w:rsidR="00203F72" w:rsidRPr="009C68E0">
        <w:t>本書之主要動機，係鑑於上述問題之嚴重性，故有必要加以深入探討，最終目的，是要避免兩岸戰爭的發生。有關</w:t>
      </w:r>
      <w:r w:rsidR="00203F72" w:rsidRPr="009C68E0">
        <w:t>”</w:t>
      </w:r>
      <w:r w:rsidR="00203F72" w:rsidRPr="009C68E0">
        <w:t>台獨</w:t>
      </w:r>
      <w:r w:rsidR="00203F72" w:rsidRPr="009C68E0">
        <w:t>”</w:t>
      </w:r>
      <w:r w:rsidR="00203F72" w:rsidRPr="009C68E0">
        <w:t>建國運動之屬性及適當性與否？則非本書之重點，且此為政治議題，非筆者關注之焦點。</w:t>
      </w:r>
    </w:p>
    <w:p w14:paraId="282199FF" w14:textId="77777777" w:rsidR="00953151" w:rsidRPr="009C68E0" w:rsidRDefault="00353CFF" w:rsidP="00D87D91">
      <w:r w:rsidRPr="009C68E0">
        <w:t xml:space="preserve">　　</w:t>
      </w:r>
      <w:r w:rsidR="00203F72" w:rsidRPr="009C68E0">
        <w:t>本書關注之焦點，是國際法上之國際人道法議題，始終是以國際人道法為核心，在此國際人道法之規範下，探討如何保護台灣及在台灣之外國非武裝平民之生命及財產，至於</w:t>
      </w:r>
      <w:r w:rsidR="00203F72" w:rsidRPr="009C68E0">
        <w:t>“</w:t>
      </w:r>
      <w:r w:rsidR="00203F72" w:rsidRPr="009C68E0">
        <w:t>台獨</w:t>
      </w:r>
      <w:r w:rsidR="00203F72" w:rsidRPr="009C68E0">
        <w:t>”</w:t>
      </w:r>
      <w:r w:rsidR="00203F72" w:rsidRPr="009C68E0">
        <w:t>建國運動之國際法屬性及適當性與否？因為，極具有爭議性，且中國及台灣正反意見均有，是一個難分難解之問題，本書之中，如有提及，均是引用他人之見解，非本書之看法，亦非本書之關注焦點所在，本書之關注焦點在於中國應「禁止使用核武器」攻擊台灣。</w:t>
      </w:r>
    </w:p>
    <w:p w14:paraId="2C1DA374" w14:textId="77777777" w:rsidR="00953151" w:rsidRPr="009C68E0" w:rsidRDefault="00353CFF" w:rsidP="00D87D91">
      <w:r w:rsidRPr="009C68E0">
        <w:t xml:space="preserve">　　</w:t>
      </w:r>
      <w:r w:rsidR="00203F72" w:rsidRPr="009C68E0">
        <w:t>根據</w:t>
      </w:r>
      <w:r w:rsidR="007D50BB">
        <w:t>2</w:t>
      </w:r>
      <w:r w:rsidR="007F3288">
        <w:t>00</w:t>
      </w:r>
      <w:r w:rsidR="008F066C">
        <w:t>5</w:t>
      </w:r>
      <w:r w:rsidR="00203F72" w:rsidRPr="009C68E0">
        <w:t>年</w:t>
      </w:r>
      <w:r w:rsidR="007D50BB">
        <w:t>3</w:t>
      </w:r>
      <w:r w:rsidR="00203F72" w:rsidRPr="009C68E0">
        <w:t>月</w:t>
      </w:r>
      <w:r w:rsidR="008F066C">
        <w:t>14</w:t>
      </w:r>
      <w:r w:rsidR="00203F72" w:rsidRPr="009C68E0">
        <w:t>日由中華人民共和國第十屆全國人民代表大會第三次會議通過之《反分裂國家法》</w:t>
      </w:r>
      <w:r w:rsidR="00203F72" w:rsidRPr="009C68E0">
        <w:footnoteReference w:id="910"/>
      </w:r>
      <w:hyperlink r:id="rId2252" w:anchor="a1" w:history="1">
        <w:r w:rsidR="00203F72" w:rsidRPr="00961D95">
          <w:rPr>
            <w:rStyle w:val="a5"/>
            <w:rFonts w:ascii="Times New Roman" w:eastAsia="新細明體" w:hAnsi="Times New Roman"/>
          </w:rPr>
          <w:t>第一條</w:t>
        </w:r>
      </w:hyperlink>
      <w:r w:rsidR="00203F72" w:rsidRPr="009C68E0">
        <w:t>之規定：「</w:t>
      </w:r>
      <w:r w:rsidR="00203F72" w:rsidRPr="009C68E0">
        <w:t xml:space="preserve"> </w:t>
      </w:r>
      <w:r w:rsidR="00203F72" w:rsidRPr="009C68E0">
        <w:t>為了反對和遏制</w:t>
      </w:r>
      <w:r w:rsidR="00203F72" w:rsidRPr="009C68E0">
        <w:t>“</w:t>
      </w:r>
      <w:r w:rsidR="00203F72" w:rsidRPr="009C68E0">
        <w:t>台獨</w:t>
      </w:r>
      <w:r w:rsidR="00203F72" w:rsidRPr="009C68E0">
        <w:t>”</w:t>
      </w:r>
      <w:r w:rsidR="00203F72" w:rsidRPr="009C68E0">
        <w:t>分裂勢力分裂國家，促進祖國和平統一，維護臺灣海峽地區和平穩定，維護國家主權和領土完整，維護中華民族的根本利益，根據憲法，制定本法</w:t>
      </w:r>
      <w:r w:rsidR="00203F72" w:rsidRPr="009C68E0">
        <w:footnoteReference w:id="911"/>
      </w:r>
      <w:r w:rsidR="00203F72" w:rsidRPr="009C68E0">
        <w:t>。」</w:t>
      </w:r>
    </w:p>
    <w:p w14:paraId="08146E7D" w14:textId="77777777" w:rsidR="00953151" w:rsidRPr="009C68E0" w:rsidRDefault="00353CFF" w:rsidP="00D87D91">
      <w:r w:rsidRPr="009C68E0">
        <w:t xml:space="preserve">　　</w:t>
      </w:r>
      <w:r w:rsidR="00203F72" w:rsidRPr="009C68E0">
        <w:t>根據中國部分論者之主張，有論者強調，應該將中國中央政府對於台灣地區所採行的武力攻擊行為，在法律上，作出適當之定位，以逃避國際法的規範。此種的論點，</w:t>
      </w:r>
      <w:r w:rsidR="00203F72" w:rsidRPr="00A53581">
        <w:t>主</w:t>
      </w:r>
      <w:r w:rsidR="00203F72" w:rsidRPr="009C68E0">
        <w:t>要的內涵，係為</w:t>
      </w:r>
      <w:r w:rsidR="00203F72" w:rsidRPr="009C68E0">
        <w:footnoteReference w:id="912"/>
      </w:r>
      <w:r w:rsidR="00203F72" w:rsidRPr="009C68E0">
        <w:t>：</w:t>
      </w:r>
      <w:r w:rsidR="00203F72" w:rsidRPr="009C68E0">
        <w:t>1.</w:t>
      </w:r>
      <w:r w:rsidR="00203F72" w:rsidRPr="009C68E0">
        <w:t>將中國軍事攻擊台灣的武力作為，定位在北京政府打擊中國國內的犯罪行為，亦即，將軍事攻擊定位為打擊犯罪行為；</w:t>
      </w:r>
      <w:r w:rsidR="00203F72" w:rsidRPr="009C68E0">
        <w:t>2.</w:t>
      </w:r>
      <w:r w:rsidR="00203F72" w:rsidRPr="009C68E0">
        <w:t>北京政府對於台獨所採行的軍事攻擊，係屬於中國內部的法律事務，不涉及侵略他國的法律問題；</w:t>
      </w:r>
      <w:r w:rsidR="00203F72" w:rsidRPr="009C68E0">
        <w:t>3.</w:t>
      </w:r>
      <w:r w:rsidR="00203F72" w:rsidRPr="009C68E0">
        <w:t>須在法律的層次上，澈底地排除外國勢力</w:t>
      </w:r>
      <w:r w:rsidR="00203F72" w:rsidRPr="009C68E0">
        <w:t>(</w:t>
      </w:r>
      <w:r w:rsidR="00203F72" w:rsidRPr="009C68E0">
        <w:t>如美軍與日軍</w:t>
      </w:r>
      <w:r w:rsidR="00203F72" w:rsidRPr="009C68E0">
        <w:t>)</w:t>
      </w:r>
      <w:r w:rsidR="00203F72" w:rsidRPr="009C68E0">
        <w:t>的干涉；</w:t>
      </w:r>
      <w:r w:rsidR="00203F72" w:rsidRPr="009C68E0">
        <w:t>4.</w:t>
      </w:r>
      <w:r w:rsidR="00203F72" w:rsidRPr="009C68E0">
        <w:t>將北京政府攻擊台灣的軍事武力作為，定位為類似於俄羅斯聯邦對車臣非法武裝力量的作為；</w:t>
      </w:r>
      <w:r w:rsidR="00203F72" w:rsidRPr="009C68E0">
        <w:t>5.</w:t>
      </w:r>
      <w:r w:rsidR="00203F72" w:rsidRPr="009C68E0">
        <w:t>假若將中國軍事攻擊台灣的武力行動，定位在中國國內的打擊犯罪的行為，在軍事攻擊的具體戰略，戰術與手段上，完全可以與國際人道法</w:t>
      </w:r>
      <w:r w:rsidR="00203F72" w:rsidRPr="009C68E0">
        <w:t>(</w:t>
      </w:r>
      <w:r w:rsidR="00203F72" w:rsidRPr="009C68E0">
        <w:t>戰爭法</w:t>
      </w:r>
      <w:r w:rsidR="00203F72" w:rsidRPr="009C68E0">
        <w:t>)</w:t>
      </w:r>
      <w:r w:rsidR="00203F72" w:rsidRPr="009C68E0">
        <w:t>脫身，不受到國際人道法，與相關之國際戰爭法的限制與束縛。</w:t>
      </w:r>
    </w:p>
    <w:p w14:paraId="12DF609E" w14:textId="77777777" w:rsidR="00953151" w:rsidRPr="009C68E0" w:rsidRDefault="00353CFF" w:rsidP="00D87D91">
      <w:r w:rsidRPr="009C68E0">
        <w:t xml:space="preserve">　　</w:t>
      </w:r>
      <w:r w:rsidR="00203F72" w:rsidRPr="009C68E0">
        <w:t>另外，尚有較為偏激型的主張，在必要的時機下，中國人民解放軍應可以對台灣使用武彈，此等的論點如下所述</w:t>
      </w:r>
      <w:r w:rsidR="00203F72" w:rsidRPr="009C68E0">
        <w:footnoteReference w:id="913"/>
      </w:r>
      <w:r w:rsidR="00203F72" w:rsidRPr="009C68E0">
        <w:t>：</w:t>
      </w:r>
      <w:r w:rsidR="00203F72" w:rsidRPr="009C68E0">
        <w:t>1.</w:t>
      </w:r>
      <w:r w:rsidR="00203F72" w:rsidRPr="009C68E0">
        <w:t>在中國人民解放軍進入攻台的階段，應儘速地搶灘登陸，為了減少與降低中國人民解放軍的傷亡人數，有必要針對於誓死不屈的台軍，施以特別的軍事作為，諸如：在台軍頑強抵抗不屈的機場、港口、碼頭、洞庫與裝甲集群守地區，由中國人民解放軍發射或投射中子彈、核脈衝炸彈等，屬於迷你小量的戰術核武器，以摧毀台軍的實力；</w:t>
      </w:r>
      <w:r w:rsidR="00203F72" w:rsidRPr="009C68E0">
        <w:t>2.</w:t>
      </w:r>
      <w:r w:rsidR="00203F72" w:rsidRPr="009C68E0">
        <w:t>雖然中國曾多次聲明不首先使用核彈，但，台灣是中國的領土，故中國人民解放軍在台灣使用核彈，與在中國新彊測試核彈，兩者在本質上，並沒有不同；</w:t>
      </w:r>
      <w:r w:rsidR="00203F72" w:rsidRPr="009C68E0">
        <w:t>3.</w:t>
      </w:r>
      <w:r w:rsidR="00203F72" w:rsidRPr="009C68E0">
        <w:t>台灣是中國祖國的一部分，對於台軍使用武彈，並不是對「其他國家」或地區使用核彈，並沒有違反中國的核彈立場－不作第一擊（不首先使用核彈）；</w:t>
      </w:r>
      <w:r w:rsidR="00203F72" w:rsidRPr="009C68E0">
        <w:t>4.</w:t>
      </w:r>
      <w:r w:rsidR="00203F72" w:rsidRPr="009C68E0">
        <w:t>假若中國人民解放軍在攻台時，不排除使用核彈攻擊台軍，此可以有效地與最大程度地威攝「台軍」與「台獨」之實力。</w:t>
      </w:r>
    </w:p>
    <w:p w14:paraId="1E8A5183" w14:textId="77777777" w:rsidR="00953151" w:rsidRPr="009C68E0" w:rsidRDefault="00353CFF" w:rsidP="00D87D91">
      <w:r w:rsidRPr="009C68E0">
        <w:t xml:space="preserve">　　</w:t>
      </w:r>
      <w:r w:rsidR="00203F72" w:rsidRPr="009C68E0">
        <w:t>上述之論點，認為台灣是中國之台灣省，故核武器之攻擊，等同於在新疆試驗核武器，並無二質。故主張針對</w:t>
      </w:r>
      <w:r w:rsidR="00203F72" w:rsidRPr="009C68E0">
        <w:t>“</w:t>
      </w:r>
      <w:r w:rsidR="00203F72" w:rsidRPr="009C68E0">
        <w:t>台獨</w:t>
      </w:r>
      <w:r w:rsidR="00203F72" w:rsidRPr="009C68E0">
        <w:t>”</w:t>
      </w:r>
      <w:r w:rsidR="00203F72" w:rsidRPr="009C68E0">
        <w:t>頑固勢力的機場、港口、碼頭、洞庫、裝甲集群等使用中子彈、核脈衝炸彈等小當量戰術核武器以堅決摧毀之。但是，小當量戰術核武器亦是核彈，亦違反</w:t>
      </w:r>
      <w:r w:rsidR="00203F72" w:rsidRPr="009C68E0">
        <w:t>1949</w:t>
      </w:r>
      <w:r w:rsidR="00203F72" w:rsidRPr="009C68E0">
        <w:t>年</w:t>
      </w:r>
      <w:r w:rsidR="00203F72" w:rsidRPr="009C68E0">
        <w:t>8</w:t>
      </w:r>
      <w:r w:rsidR="00203F72" w:rsidRPr="009C68E0">
        <w:t>月</w:t>
      </w:r>
      <w:r w:rsidR="00203F72" w:rsidRPr="009C68E0">
        <w:t>12</w:t>
      </w:r>
      <w:r w:rsidR="00203F72" w:rsidRPr="009C68E0">
        <w:t>日日內瓦四公約關於保護非國際性武裝衝突受難者的附加議定書（第二議定書）等國際人道法及國際武裝衝突法的相關法律條文之規定。再者，上述論點，將中國攻擊台灣之軍事侵略暴行，與中國試驗核武器之行為，兩者混為一談，殊不可取。中國軍事侵略之暴行，並不等同於中國核試驗。此外，台灣亦非是中國之台灣省。</w:t>
      </w:r>
    </w:p>
    <w:p w14:paraId="3B65C656" w14:textId="77777777" w:rsidR="00953151" w:rsidRPr="009C68E0" w:rsidRDefault="00353CFF" w:rsidP="00D87D91">
      <w:r w:rsidRPr="009C68E0">
        <w:t xml:space="preserve">　　</w:t>
      </w:r>
      <w:r w:rsidR="00203F72" w:rsidRPr="009C68E0">
        <w:t>此外，更為偏激與激進派的主張如下</w:t>
      </w:r>
      <w:r w:rsidR="00203F72" w:rsidRPr="009C68E0">
        <w:footnoteReference w:id="914"/>
      </w:r>
      <w:r w:rsidR="00203F72" w:rsidRPr="009C68E0">
        <w:t>：</w:t>
      </w:r>
      <w:r w:rsidR="00203F72" w:rsidRPr="009C68E0">
        <w:t>1.</w:t>
      </w:r>
      <w:r w:rsidR="00203F72" w:rsidRPr="009C68E0">
        <w:t>中國人民解放軍在攻台時，在戰略上，寧可令台灣土地不長草，也要使用核彈解放台灣；</w:t>
      </w:r>
      <w:r w:rsidR="00203F72" w:rsidRPr="009C68E0">
        <w:t>2.</w:t>
      </w:r>
      <w:r w:rsidR="00203F72" w:rsidRPr="009C68E0">
        <w:t>北京對於台灣，人民解放軍使用武力攻台，是唯一的選擇，別無他路；</w:t>
      </w:r>
      <w:r w:rsidR="00203F72" w:rsidRPr="009C68E0">
        <w:t>3.</w:t>
      </w:r>
      <w:r w:rsidR="00203F72" w:rsidRPr="009C68E0">
        <w:t>在中國人民解放軍攻台的時程上，假若遲遲未對台軍進行攻擊與殲滅，台獨思想的影響力愈大，台軍武器愈精實，屆時，中國人民解放軍的犧牲會更大；在此情形下，不如提早攻台，可以全面使用核彈對付台軍。雖然，有可能令台灣無法長草，但，別無選擇，使用核彈攻台是必要之作為。</w:t>
      </w:r>
    </w:p>
    <w:p w14:paraId="4A76B07A" w14:textId="77777777" w:rsidR="00953151" w:rsidRPr="009C68E0" w:rsidRDefault="00353CFF" w:rsidP="00D87D91">
      <w:r w:rsidRPr="009C68E0">
        <w:t xml:space="preserve">　　</w:t>
      </w:r>
      <w:r w:rsidR="00203F72" w:rsidRPr="009C68E0">
        <w:t>論者認為，中國對於台灣使用核彈，主要的理由，可以歸結如下</w:t>
      </w:r>
      <w:r w:rsidR="00203F72" w:rsidRPr="009C68E0">
        <w:footnoteReference w:id="915"/>
      </w:r>
      <w:r w:rsidR="00203F72" w:rsidRPr="009C68E0">
        <w:t>：</w:t>
      </w:r>
      <w:r w:rsidR="00203F72" w:rsidRPr="009C68E0">
        <w:t>1.</w:t>
      </w:r>
      <w:r w:rsidR="00203F72" w:rsidRPr="009C68E0">
        <w:t>雖然，中國對於核武器的承諾，係為不對任何的「國家」，率先使用武彈，但，因台灣是中國大陸的一部分，台灣並非外國，故，可以對台軍率先使用核彈，澈底殲滅台軍，此種的核彈攻擊，並沒有違反中國對於核彈使用的信守；</w:t>
      </w:r>
      <w:r w:rsidR="00203F72" w:rsidRPr="009C68E0">
        <w:t>2.</w:t>
      </w:r>
      <w:r w:rsidR="00203F72" w:rsidRPr="009C68E0">
        <w:t>假若中國人民解放軍對於台軍使用核彈加以殲滅，美軍應不至於使用核彈攻擊中國人民解放軍，因美國是一個現實的國家，基於本身利益的考量，故不用使用核武攻擊中國人民解放軍；</w:t>
      </w:r>
      <w:r w:rsidR="00203F72" w:rsidRPr="009C68E0">
        <w:t>3.</w:t>
      </w:r>
      <w:r w:rsidR="00203F72" w:rsidRPr="009C68E0">
        <w:t>「核保護傘」不僅能夠阻止核戰爭，亦能抑制台軍的反撲；</w:t>
      </w:r>
      <w:r w:rsidR="00203F72" w:rsidRPr="009C68E0">
        <w:t>4.</w:t>
      </w:r>
      <w:r w:rsidR="00203F72" w:rsidRPr="009C68E0">
        <w:t>中國人民解放軍攻台的最重要核武，應是中短程的「核導彈」。</w:t>
      </w:r>
    </w:p>
    <w:p w14:paraId="465D0CFD" w14:textId="77777777" w:rsidR="00953151" w:rsidRPr="009C68E0" w:rsidRDefault="00353CFF" w:rsidP="00D87D91">
      <w:r w:rsidRPr="009C68E0">
        <w:t xml:space="preserve">　　</w:t>
      </w:r>
      <w:r w:rsidR="00203F72" w:rsidRPr="009C68E0">
        <w:t>在中國人民解放軍使用核武殲滅台軍的作戰流程方面，中國大陸的網友主張如下</w:t>
      </w:r>
      <w:r w:rsidR="00203F72" w:rsidRPr="009C68E0">
        <w:footnoteReference w:id="916"/>
      </w:r>
      <w:r w:rsidR="00203F72" w:rsidRPr="009C68E0">
        <w:t>：</w:t>
      </w:r>
      <w:r w:rsidR="00203F72" w:rsidRPr="009C68E0">
        <w:t>1.</w:t>
      </w:r>
      <w:r w:rsidR="00203F72" w:rsidRPr="009C68E0">
        <w:t>中國人民解放軍的攻台戰略，應避開「常規戰爭」，宜使用「非常規」的戰法；</w:t>
      </w:r>
      <w:r w:rsidR="00203F72" w:rsidRPr="009C68E0">
        <w:t>2.</w:t>
      </w:r>
      <w:r w:rsidR="00203F72" w:rsidRPr="009C68E0">
        <w:t>中國人民解放軍須在美軍與日軍協防台灣之前，攻下台灣；</w:t>
      </w:r>
      <w:r w:rsidR="00203F72" w:rsidRPr="009C68E0">
        <w:t>3.</w:t>
      </w:r>
      <w:r w:rsidR="00203F72" w:rsidRPr="009C68E0">
        <w:t>假若兩岸一開戰，人民解放軍應該使用核彈作為致命的第一擊，最優先的核武器的選擇，應為戰術性核武與中子彈；</w:t>
      </w:r>
      <w:r w:rsidR="00203F72" w:rsidRPr="009C68E0">
        <w:t>4.</w:t>
      </w:r>
      <w:r w:rsidR="00203F72" w:rsidRPr="009C68E0">
        <w:t>人民解放軍應以閃電的速度，利用核武器，澈底地摧毀台軍的主要陣地與重大關鍵性設施，諸如：機場、港口、車站、發電廠、軍車、通訊與工業基地；</w:t>
      </w:r>
      <w:r w:rsidR="00203F72" w:rsidRPr="009C68E0">
        <w:t>5.</w:t>
      </w:r>
      <w:r w:rsidR="00203F72" w:rsidRPr="009C68E0">
        <w:t>人民解放軍在使用核彈攻擊上述重要基地與設施之後，再出動人民解放軍的空軍，對殘留在地面的台軍，進行「斷氣」軍事行動；</w:t>
      </w:r>
      <w:r w:rsidR="00203F72" w:rsidRPr="009C68E0">
        <w:t>6.</w:t>
      </w:r>
      <w:r w:rsidR="00203F72" w:rsidRPr="009C68E0">
        <w:t>解放軍在使用核武與空軍攻台之後，最後，由人民解放軍的常規軍隊登台，進行致命的一擊；務使在最短的時程內，攻佔台灣；</w:t>
      </w:r>
      <w:r w:rsidR="00203F72" w:rsidRPr="009C68E0">
        <w:t>7.</w:t>
      </w:r>
      <w:r w:rsidR="00203F72" w:rsidRPr="009C68E0">
        <w:t>在完成攻台之後，由中國人民解放軍迎接武裝民兵</w:t>
      </w:r>
      <w:r w:rsidR="00203F72" w:rsidRPr="009C68E0">
        <w:t>(</w:t>
      </w:r>
      <w:r w:rsidR="00203F72" w:rsidRPr="009C68E0">
        <w:t>如武警</w:t>
      </w:r>
      <w:r w:rsidR="00203F72" w:rsidRPr="009C68E0">
        <w:t>)</w:t>
      </w:r>
      <w:r w:rsidR="00203F72" w:rsidRPr="009C68E0">
        <w:t>與預備役軍隊登台，進行剿匪；</w:t>
      </w:r>
      <w:r w:rsidR="00203F72" w:rsidRPr="009C68E0">
        <w:t>8.</w:t>
      </w:r>
      <w:r w:rsidR="00203F72" w:rsidRPr="009C68E0">
        <w:t>一旦兩岸發生台海戰事，中國人民解放軍攻台的戰略，不宜按牌理出牌，宜出奇致勝；所謂的「出奇」，乃指運用核武打擊台軍的防守軍力，即使台軍屍橫遍野，在所不惜；由於中國人民解放軍在不預警之下，利用核武攻台，可以達到令台軍措手不及的效果；</w:t>
      </w:r>
      <w:r w:rsidR="00203F72" w:rsidRPr="009C68E0">
        <w:t>9.</w:t>
      </w:r>
      <w:r w:rsidR="00203F72" w:rsidRPr="009C68E0">
        <w:t>由於中國人民解放軍預先有對台軍使用核武的戰略與戰術，可以澈底消除台的抵抗意志，用核武的心理戰，戰勝台軍頑強守備的意志；再者，可瓦解台軍期望美國與日本出兵相助的幻想；並且，可澈底地嚇阻美軍援台的計畫與決心；</w:t>
      </w:r>
      <w:r w:rsidR="00203F72" w:rsidRPr="009C68E0">
        <w:t>10.</w:t>
      </w:r>
      <w:r w:rsidR="00203F72" w:rsidRPr="009C68E0">
        <w:t>假若中國人民解放軍使用核武攻台，必可獲致全勝，因台灣並沒有核彈，人民解放軍可順利地登陸台灣，達到中華民族統一與興盛的目標。</w:t>
      </w:r>
    </w:p>
    <w:p w14:paraId="7AC8297D" w14:textId="77777777" w:rsidR="00953151" w:rsidRDefault="00353CFF" w:rsidP="00D87D91">
      <w:r w:rsidRPr="009C68E0">
        <w:t xml:space="preserve">　　</w:t>
      </w:r>
      <w:r w:rsidR="00203F72" w:rsidRPr="009C68E0">
        <w:t>綜上所述，在中國，有部分之學者及專家們，主張可以使用中短程核導彈，或中子彈、核脈衝炸彈等小當量等等戰術核武器，全面性地或部分地對付台灣，究竟這些之論點，是否符合中國的核武器使用規範，及國際人道法、人權法與戰爭法的相關法律條文之規定，有必要值得進一步之深入探討，此一議題，涉及《反分裂國家法》</w:t>
      </w:r>
      <w:hyperlink r:id="rId2253" w:anchor="a8" w:history="1">
        <w:r w:rsidR="00203F72" w:rsidRPr="00410BD1">
          <w:rPr>
            <w:rStyle w:val="a5"/>
            <w:rFonts w:ascii="Times New Roman" w:hAnsi="Times New Roman"/>
          </w:rPr>
          <w:t>第</w:t>
        </w:r>
        <w:r w:rsidR="00203F72" w:rsidRPr="00410BD1">
          <w:rPr>
            <w:rStyle w:val="a5"/>
            <w:rFonts w:ascii="Times New Roman" w:hAnsi="Times New Roman"/>
          </w:rPr>
          <w:t>8</w:t>
        </w:r>
        <w:r w:rsidR="00203F72" w:rsidRPr="00410BD1">
          <w:rPr>
            <w:rStyle w:val="a5"/>
            <w:rFonts w:ascii="Times New Roman" w:hAnsi="Times New Roman"/>
          </w:rPr>
          <w:t>條</w:t>
        </w:r>
      </w:hyperlink>
      <w:r w:rsidR="00203F72" w:rsidRPr="009C68E0">
        <w:t>及</w:t>
      </w:r>
      <w:hyperlink r:id="rId2254" w:anchor="a9" w:history="1">
        <w:r w:rsidR="00203F72" w:rsidRPr="00410BD1">
          <w:rPr>
            <w:rStyle w:val="a5"/>
            <w:rFonts w:ascii="Times New Roman" w:hAnsi="Times New Roman"/>
          </w:rPr>
          <w:t>第</w:t>
        </w:r>
        <w:r w:rsidR="00203F72" w:rsidRPr="00410BD1">
          <w:rPr>
            <w:rStyle w:val="a5"/>
            <w:rFonts w:ascii="Times New Roman" w:hAnsi="Times New Roman"/>
          </w:rPr>
          <w:t>9</w:t>
        </w:r>
        <w:r w:rsidR="00203F72" w:rsidRPr="00410BD1">
          <w:rPr>
            <w:rStyle w:val="a5"/>
            <w:rFonts w:ascii="Times New Roman" w:hAnsi="Times New Roman"/>
          </w:rPr>
          <w:t>條</w:t>
        </w:r>
      </w:hyperlink>
      <w:r w:rsidR="00203F72" w:rsidRPr="009C68E0">
        <w:t>「非和平方式及其他必要措施」的意涵，詳如下述。</w:t>
      </w:r>
    </w:p>
    <w:p w14:paraId="6BEC899B" w14:textId="77777777" w:rsidR="007D52D6" w:rsidRDefault="007D52D6" w:rsidP="00EA60ED">
      <w:pPr>
        <w:jc w:val="right"/>
        <w:rPr>
          <w:rFonts w:ascii="新細明體" w:hAnsi="新細明體"/>
        </w:rPr>
      </w:pPr>
      <w:r w:rsidRPr="0026266A">
        <w:rPr>
          <w:rFonts w:hint="eastAsia"/>
          <w:color w:val="5F5F5F"/>
        </w:rPr>
        <w:t>。。。。。。。。。。。。。。。。。。。。。。。。。</w:t>
      </w:r>
      <w:hyperlink w:anchor="a目次310" w:history="1">
        <w:r>
          <w:rPr>
            <w:rStyle w:val="a5"/>
            <w:sz w:val="18"/>
          </w:rPr>
          <w:t>回目次</w:t>
        </w:r>
      </w:hyperlink>
      <w:r w:rsidR="00E91F89">
        <w:rPr>
          <w:rFonts w:ascii="新細明體" w:hAnsi="新細明體"/>
          <w:color w:val="808000"/>
        </w:rPr>
        <w:t>〉〉</w:t>
      </w:r>
    </w:p>
    <w:p w14:paraId="6C680068" w14:textId="77777777" w:rsidR="007D52D6" w:rsidRPr="009C68E0" w:rsidRDefault="007D52D6" w:rsidP="00D87D91"/>
    <w:p w14:paraId="6CE494C8" w14:textId="77777777" w:rsidR="00953151" w:rsidRDefault="00203F72" w:rsidP="00767F37">
      <w:pPr>
        <w:pStyle w:val="2"/>
      </w:pPr>
      <w:bookmarkStart w:id="120" w:name="_貳、《反分裂國家法》第8條「非和平方式及其他必要措施」的意涵"/>
      <w:bookmarkEnd w:id="120"/>
      <w:r w:rsidRPr="00A53581">
        <w:t>貳、《反分裂國家法》第</w:t>
      </w:r>
      <w:r w:rsidRPr="00A53581">
        <w:t>8</w:t>
      </w:r>
      <w:r w:rsidRPr="00A53581">
        <w:t>條「非和平方式及其他必要措施」的意涵</w:t>
      </w:r>
    </w:p>
    <w:p w14:paraId="182CB85E" w14:textId="77777777" w:rsidR="00953151" w:rsidRPr="007D52D6" w:rsidRDefault="00353CFF" w:rsidP="00D87D91">
      <w:r w:rsidRPr="007D52D6">
        <w:t xml:space="preserve">　　</w:t>
      </w:r>
      <w:r w:rsidR="00203F72" w:rsidRPr="007D52D6">
        <w:t>一、</w:t>
      </w:r>
      <w:r w:rsidR="008B3555" w:rsidRPr="007D52D6">
        <w:t>《</w:t>
      </w:r>
      <w:hyperlink r:id="rId2255" w:history="1">
        <w:r w:rsidR="008B3555" w:rsidRPr="008B3555">
          <w:rPr>
            <w:rStyle w:val="a5"/>
            <w:rFonts w:ascii="Times New Roman" w:hAnsi="Times New Roman"/>
          </w:rPr>
          <w:t>反分裂國家法</w:t>
        </w:r>
      </w:hyperlink>
      <w:r w:rsidR="00203F72" w:rsidRPr="007D52D6">
        <w:t>》制定背景</w:t>
      </w:r>
    </w:p>
    <w:p w14:paraId="06A99D6F" w14:textId="77777777" w:rsidR="00203F72" w:rsidRPr="007D52D6" w:rsidRDefault="00353CFF" w:rsidP="00D87D91">
      <w:r w:rsidRPr="007D52D6">
        <w:t xml:space="preserve">　　</w:t>
      </w:r>
      <w:r w:rsidR="00203F72" w:rsidRPr="007D52D6">
        <w:t>根據中國學者、專家之觀點，就法律與現實面而言，台獨建國的性質，具有以下若干的特點</w:t>
      </w:r>
      <w:r w:rsidR="00203F72" w:rsidRPr="007D52D6">
        <w:footnoteReference w:id="917"/>
      </w:r>
      <w:r w:rsidR="00203F72" w:rsidRPr="007D52D6">
        <w:t>：</w:t>
      </w:r>
      <w:r w:rsidR="00203F72" w:rsidRPr="007D52D6">
        <w:t>1.</w:t>
      </w:r>
      <w:r w:rsidR="00203F72" w:rsidRPr="007D52D6">
        <w:t>根據聯合國（</w:t>
      </w:r>
      <w:r w:rsidR="00203F72" w:rsidRPr="007D52D6">
        <w:t>U.N</w:t>
      </w:r>
      <w:r w:rsidR="00203F72" w:rsidRPr="007D52D6">
        <w:t>）的「國際法原則宣言」的規範，凡是以局部性或全部性的手段或活動，破壞某一個國家主權的統一與領土完整，或者，主張「政治獨立」之目的之分離運動行為或措施，均是有悖於「</w:t>
      </w:r>
      <w:hyperlink r:id="rId2256" w:history="1">
        <w:r w:rsidR="006937CE" w:rsidRPr="006937CE">
          <w:rPr>
            <w:rStyle w:val="a5"/>
            <w:rFonts w:ascii="Times New Roman" w:eastAsia="新細明體" w:hAnsi="Times New Roman"/>
          </w:rPr>
          <w:t>聯合國憲章</w:t>
        </w:r>
      </w:hyperlink>
      <w:r w:rsidR="00203F72" w:rsidRPr="007D52D6">
        <w:t>」的法律精神；</w:t>
      </w:r>
      <w:r w:rsidR="00203F72" w:rsidRPr="007D52D6">
        <w:t>2.</w:t>
      </w:r>
      <w:r w:rsidR="00203F72" w:rsidRPr="007D52D6">
        <w:t>針對於分裂國家的統一與領土的行為，各國的憲法與法律，均不容許此種分裂的活動或行為；</w:t>
      </w:r>
      <w:r w:rsidR="00203F72" w:rsidRPr="007D52D6">
        <w:t>3.</w:t>
      </w:r>
      <w:r w:rsidR="00203F72" w:rsidRPr="007D52D6">
        <w:t>在中國，有關於禁止分裂中國領土的規定，中國的憲法與法律，亦有明文的規範；</w:t>
      </w:r>
      <w:r w:rsidR="00203F72" w:rsidRPr="007D52D6">
        <w:t>4.</w:t>
      </w:r>
      <w:r w:rsidR="00203F72" w:rsidRPr="007D52D6">
        <w:t>就國際法或各國的國內法而論，分裂國家主權的分離行為，在國際的政治上，一直是被否定的，不被國際社會所認同的；</w:t>
      </w:r>
      <w:r w:rsidR="00203F72" w:rsidRPr="007D52D6">
        <w:t>5.</w:t>
      </w:r>
      <w:r w:rsidR="00203F72" w:rsidRPr="007D52D6">
        <w:t>從國際社會的實踐中，某一個主權國家，為了達到維護國家主權的完整性，與領土的不被分化，而使用「非和平」的手段的例子，是履見不鮮的，是經常發生的；</w:t>
      </w:r>
      <w:r w:rsidR="00203F72" w:rsidRPr="007D52D6">
        <w:t>6.</w:t>
      </w:r>
      <w:r w:rsidR="00203F72" w:rsidRPr="007D52D6">
        <w:t>基於以上的背景與脈絡，中國制定「反分裂國家法」。</w:t>
      </w:r>
    </w:p>
    <w:p w14:paraId="3409500A" w14:textId="77777777" w:rsidR="00203F72" w:rsidRPr="007D52D6" w:rsidRDefault="00353CFF" w:rsidP="00D87D91">
      <w:r w:rsidRPr="007D52D6">
        <w:t xml:space="preserve">　　</w:t>
      </w:r>
      <w:r w:rsidR="00203F72" w:rsidRPr="007D52D6">
        <w:t>二、</w:t>
      </w:r>
      <w:r w:rsidR="008B3555" w:rsidRPr="007D52D6">
        <w:t>《</w:t>
      </w:r>
      <w:hyperlink r:id="rId2257" w:history="1">
        <w:r w:rsidR="008B3555" w:rsidRPr="008B3555">
          <w:rPr>
            <w:rStyle w:val="a5"/>
            <w:rFonts w:ascii="Times New Roman" w:hAnsi="Times New Roman"/>
          </w:rPr>
          <w:t>反分裂國家法</w:t>
        </w:r>
      </w:hyperlink>
      <w:r w:rsidR="00203F72" w:rsidRPr="007D52D6">
        <w:t>》之重要法律內涵</w:t>
      </w:r>
    </w:p>
    <w:p w14:paraId="6450699F" w14:textId="77777777" w:rsidR="00953151" w:rsidRPr="007D52D6" w:rsidRDefault="00353CFF" w:rsidP="00D87D91">
      <w:r w:rsidRPr="007D52D6">
        <w:t xml:space="preserve">　　</w:t>
      </w:r>
      <w:r w:rsidR="00203F72" w:rsidRPr="007D52D6">
        <w:t>《</w:t>
      </w:r>
      <w:hyperlink r:id="rId2258" w:history="1">
        <w:r w:rsidR="00203F72" w:rsidRPr="008B3555">
          <w:rPr>
            <w:rStyle w:val="a5"/>
            <w:rFonts w:ascii="Times New Roman" w:hAnsi="Times New Roman"/>
          </w:rPr>
          <w:t>反分裂國家法</w:t>
        </w:r>
      </w:hyperlink>
      <w:r w:rsidR="00203F72" w:rsidRPr="007D52D6">
        <w:t>》之重要法律內涵，如下所述：</w:t>
      </w:r>
    </w:p>
    <w:p w14:paraId="7BF0D85E" w14:textId="77777777" w:rsidR="00203F72" w:rsidRPr="007D52D6" w:rsidRDefault="00353CFF" w:rsidP="00D87D91">
      <w:r w:rsidRPr="007D52D6">
        <w:t xml:space="preserve">　　</w:t>
      </w:r>
      <w:r w:rsidR="00203F72" w:rsidRPr="007D52D6">
        <w:t>1</w:t>
      </w:r>
      <w:r w:rsidR="00203F72" w:rsidRPr="007D52D6">
        <w:t>、</w:t>
      </w:r>
      <w:r w:rsidR="008B3555" w:rsidRPr="007D52D6">
        <w:t>《</w:t>
      </w:r>
      <w:r w:rsidR="008B3555" w:rsidRPr="00B56AE1">
        <w:t>反分裂國家法</w:t>
      </w:r>
      <w:r w:rsidR="00B56AE1" w:rsidRPr="007D52D6">
        <w:t>》</w:t>
      </w:r>
      <w:hyperlink r:id="rId2259" w:anchor="a2" w:history="1">
        <w:r w:rsidR="00B56AE1" w:rsidRPr="00B56AE1">
          <w:rPr>
            <w:rStyle w:val="a5"/>
            <w:rFonts w:ascii="Times New Roman" w:hAnsi="Times New Roman"/>
          </w:rPr>
          <w:t>第二條</w:t>
        </w:r>
      </w:hyperlink>
      <w:r w:rsidR="00203F72" w:rsidRPr="007D52D6">
        <w:t>規定世界上只有一個中國</w:t>
      </w:r>
    </w:p>
    <w:p w14:paraId="61A985A8" w14:textId="77777777" w:rsidR="00203F72" w:rsidRPr="007D52D6" w:rsidRDefault="00353CFF" w:rsidP="00D87D91">
      <w:r w:rsidRPr="007D52D6">
        <w:t xml:space="preserve">　　</w:t>
      </w:r>
      <w:r w:rsidR="00203F72" w:rsidRPr="007D52D6">
        <w:t>根據《反分裂國家法</w:t>
      </w:r>
      <w:r w:rsidR="00B56AE1" w:rsidRPr="007D52D6">
        <w:t>》</w:t>
      </w:r>
      <w:hyperlink r:id="rId2260" w:anchor="a2" w:history="1">
        <w:r w:rsidR="00B56AE1" w:rsidRPr="00B56AE1">
          <w:rPr>
            <w:rStyle w:val="a5"/>
            <w:rFonts w:ascii="Times New Roman" w:hAnsi="Times New Roman"/>
          </w:rPr>
          <w:t>第二條</w:t>
        </w:r>
      </w:hyperlink>
      <w:r w:rsidR="00203F72" w:rsidRPr="007D52D6">
        <w:t>之規定：「世界上只有一個中國，大陸和臺灣同屬一個中國，中國的主權和領土完整不容分割。維護國家主權和領土完整是包括臺灣同胞在內的全中國人民的共同義務</w:t>
      </w:r>
      <w:r w:rsidR="00545D58" w:rsidRPr="007D52D6">
        <w:t>。</w:t>
      </w:r>
    </w:p>
    <w:p w14:paraId="3F797372" w14:textId="77777777" w:rsidR="00203F72" w:rsidRPr="007D52D6" w:rsidRDefault="00353CFF" w:rsidP="00D87D91">
      <w:r w:rsidRPr="007D52D6">
        <w:t xml:space="preserve">　　</w:t>
      </w:r>
      <w:r w:rsidR="00203F72" w:rsidRPr="007D52D6">
        <w:t>臺灣是中國的一部分。國家絕不允許</w:t>
      </w:r>
      <w:r w:rsidR="00203F72" w:rsidRPr="007D52D6">
        <w:t>“</w:t>
      </w:r>
      <w:r w:rsidR="00203F72" w:rsidRPr="007D52D6">
        <w:t>台獨</w:t>
      </w:r>
      <w:r w:rsidR="00203F72" w:rsidRPr="007D52D6">
        <w:t>”</w:t>
      </w:r>
      <w:r w:rsidR="00203F72" w:rsidRPr="007D52D6">
        <w:t>分裂勢力以任何名義、任何方式把臺灣從中國分裂出去。」</w:t>
      </w:r>
      <w:r w:rsidR="00203F72" w:rsidRPr="007D52D6">
        <w:t xml:space="preserve"> </w:t>
      </w:r>
    </w:p>
    <w:p w14:paraId="314EA818" w14:textId="77777777" w:rsidR="00953151" w:rsidRPr="007D52D6" w:rsidRDefault="00353CFF" w:rsidP="00D87D91">
      <w:r w:rsidRPr="007D52D6">
        <w:t xml:space="preserve">　　</w:t>
      </w:r>
      <w:r w:rsidR="00203F72" w:rsidRPr="007D52D6">
        <w:t>根據《反分裂國家法》</w:t>
      </w:r>
      <w:hyperlink r:id="rId2261" w:anchor="a2" w:history="1">
        <w:r w:rsidR="00203F72" w:rsidRPr="00B56AE1">
          <w:rPr>
            <w:rStyle w:val="a5"/>
            <w:rFonts w:ascii="Times New Roman" w:hAnsi="Times New Roman"/>
          </w:rPr>
          <w:t>第二條</w:t>
        </w:r>
      </w:hyperlink>
      <w:r w:rsidR="00203F72" w:rsidRPr="007D52D6">
        <w:t>之明文規定，大陸和臺灣同屬一個中國，不允許</w:t>
      </w:r>
      <w:r w:rsidR="00203F72" w:rsidRPr="007D52D6">
        <w:t>“</w:t>
      </w:r>
      <w:r w:rsidR="00203F72" w:rsidRPr="007D52D6">
        <w:t>台獨</w:t>
      </w:r>
      <w:r w:rsidR="00203F72" w:rsidRPr="007D52D6">
        <w:t>”</w:t>
      </w:r>
      <w:r w:rsidR="00203F72" w:rsidRPr="007D52D6">
        <w:t>分裂勢力以任何名義、任何方式把臺灣從中國分裂出去。在</w:t>
      </w:r>
      <w:r w:rsidR="008B3555" w:rsidRPr="007D52D6">
        <w:t>《</w:t>
      </w:r>
      <w:hyperlink r:id="rId2262" w:history="1">
        <w:r w:rsidR="008B3555" w:rsidRPr="008B3555">
          <w:rPr>
            <w:rStyle w:val="a5"/>
            <w:rFonts w:ascii="Times New Roman" w:hAnsi="Times New Roman"/>
          </w:rPr>
          <w:t>反分裂國家法</w:t>
        </w:r>
      </w:hyperlink>
      <w:r w:rsidR="00203F72" w:rsidRPr="007D52D6">
        <w:t>》公布之後，上述之主張，已成為正式之法律文件。</w:t>
      </w:r>
    </w:p>
    <w:p w14:paraId="319365BB" w14:textId="77777777" w:rsidR="00203F72" w:rsidRPr="007D52D6" w:rsidRDefault="00353CFF" w:rsidP="00D87D91">
      <w:r w:rsidRPr="007D52D6">
        <w:t xml:space="preserve">　　</w:t>
      </w:r>
      <w:r w:rsidR="00203F72" w:rsidRPr="007D52D6">
        <w:t>2</w:t>
      </w:r>
      <w:r w:rsidR="00203F72" w:rsidRPr="007D52D6">
        <w:t>、《反分裂國家法</w:t>
      </w:r>
      <w:r w:rsidR="00177B32" w:rsidRPr="007D52D6">
        <w:t>》</w:t>
      </w:r>
      <w:hyperlink r:id="rId2263" w:anchor="a3" w:history="1">
        <w:r w:rsidR="00177B32" w:rsidRPr="00177B32">
          <w:rPr>
            <w:rStyle w:val="a5"/>
            <w:rFonts w:ascii="Times New Roman" w:hAnsi="Times New Roman"/>
          </w:rPr>
          <w:t>第三條</w:t>
        </w:r>
      </w:hyperlink>
      <w:r w:rsidR="00203F72" w:rsidRPr="007D52D6">
        <w:t>規定臺灣問題是中國內戰的遺留問題</w:t>
      </w:r>
    </w:p>
    <w:p w14:paraId="7EB27592" w14:textId="77777777" w:rsidR="00203F72" w:rsidRPr="007D52D6" w:rsidRDefault="00353CFF" w:rsidP="00D87D91">
      <w:r w:rsidRPr="007D52D6">
        <w:t xml:space="preserve">　　</w:t>
      </w:r>
      <w:r w:rsidR="00203F72" w:rsidRPr="007D52D6">
        <w:t>根據《反分裂國家法</w:t>
      </w:r>
      <w:r w:rsidR="00177B32" w:rsidRPr="007D52D6">
        <w:t>》</w:t>
      </w:r>
      <w:hyperlink r:id="rId2264" w:anchor="a3" w:history="1">
        <w:r w:rsidR="00177B32" w:rsidRPr="00177B32">
          <w:rPr>
            <w:rStyle w:val="a5"/>
            <w:rFonts w:ascii="Times New Roman" w:hAnsi="Times New Roman"/>
          </w:rPr>
          <w:t>第三條</w:t>
        </w:r>
      </w:hyperlink>
      <w:r w:rsidR="00203F72" w:rsidRPr="007D52D6">
        <w:t>之規定：「解決臺灣問題，實現祖國統一，是中國的內部事務，不受任何外國勢力的干涉</w:t>
      </w:r>
      <w:r w:rsidR="00545D58" w:rsidRPr="007D52D6">
        <w:t>。</w:t>
      </w:r>
      <w:r w:rsidR="00203F72" w:rsidRPr="007D52D6">
        <w:t>」</w:t>
      </w:r>
    </w:p>
    <w:p w14:paraId="1F555C8D" w14:textId="77777777" w:rsidR="00953151" w:rsidRPr="007D52D6" w:rsidRDefault="00353CFF" w:rsidP="00D87D91">
      <w:r w:rsidRPr="007D52D6">
        <w:t xml:space="preserve">　　</w:t>
      </w:r>
      <w:r w:rsidR="00203F72" w:rsidRPr="007D52D6">
        <w:t>根據《反分裂國家法》</w:t>
      </w:r>
      <w:hyperlink r:id="rId2265" w:anchor="a3" w:history="1">
        <w:r w:rsidR="00203F72" w:rsidRPr="00177B32">
          <w:rPr>
            <w:rStyle w:val="a5"/>
            <w:rFonts w:ascii="Times New Roman" w:hAnsi="Times New Roman"/>
          </w:rPr>
          <w:t>第三條</w:t>
        </w:r>
      </w:hyperlink>
      <w:r w:rsidR="00203F72" w:rsidRPr="007D52D6">
        <w:t>之明文規定，解決臺灣問題，是中國的內部事務，亦即，根據《反分裂國家法</w:t>
      </w:r>
      <w:r w:rsidR="00177B32" w:rsidRPr="007D52D6">
        <w:t>》</w:t>
      </w:r>
      <w:hyperlink r:id="rId2266" w:anchor="a3" w:history="1">
        <w:r w:rsidR="00177B32" w:rsidRPr="00177B32">
          <w:rPr>
            <w:rStyle w:val="a5"/>
            <w:rFonts w:ascii="Times New Roman" w:hAnsi="Times New Roman"/>
          </w:rPr>
          <w:t>第三條</w:t>
        </w:r>
      </w:hyperlink>
      <w:r w:rsidR="00203F72" w:rsidRPr="007D52D6">
        <w:t>之規範，解決臺灣問題，屬於中國之內政問題。《反分裂國家法</w:t>
      </w:r>
      <w:r w:rsidR="00177B32" w:rsidRPr="007D52D6">
        <w:t>》</w:t>
      </w:r>
      <w:hyperlink r:id="rId2267" w:anchor="a3" w:history="1">
        <w:r w:rsidR="00177B32" w:rsidRPr="00177B32">
          <w:rPr>
            <w:rStyle w:val="a5"/>
            <w:rFonts w:ascii="Times New Roman" w:hAnsi="Times New Roman"/>
          </w:rPr>
          <w:t>第三條</w:t>
        </w:r>
      </w:hyperlink>
      <w:r w:rsidR="00203F72" w:rsidRPr="007D52D6">
        <w:t>之目的，主要是排除美國及其他國家之干預。</w:t>
      </w:r>
    </w:p>
    <w:p w14:paraId="28CC401A" w14:textId="77777777" w:rsidR="00953151" w:rsidRPr="007D52D6" w:rsidRDefault="00353CFF" w:rsidP="00D87D91">
      <w:r w:rsidRPr="007D52D6">
        <w:t xml:space="preserve">　　</w:t>
      </w:r>
      <w:r w:rsidR="00203F72" w:rsidRPr="007D52D6">
        <w:t>3</w:t>
      </w:r>
      <w:r w:rsidR="00203F72" w:rsidRPr="007D52D6">
        <w:t>、《反分裂國家法》</w:t>
      </w:r>
      <w:hyperlink r:id="rId2268" w:anchor="a4" w:history="1">
        <w:r w:rsidR="001B1539" w:rsidRPr="008B3555">
          <w:rPr>
            <w:rStyle w:val="a5"/>
            <w:kern w:val="0"/>
          </w:rPr>
          <w:t>第四條</w:t>
        </w:r>
      </w:hyperlink>
      <w:r w:rsidR="00203F72" w:rsidRPr="007D52D6">
        <w:t>規定完成統一祖國的大業是全中國人民的神聖職責</w:t>
      </w:r>
    </w:p>
    <w:p w14:paraId="3EC3E5BC" w14:textId="77777777" w:rsidR="00203F72" w:rsidRPr="007D52D6" w:rsidRDefault="00353CFF" w:rsidP="00D87D91">
      <w:r w:rsidRPr="007D52D6">
        <w:t xml:space="preserve">　　</w:t>
      </w:r>
      <w:r w:rsidR="00203F72" w:rsidRPr="007D52D6">
        <w:t>根據《反分裂國家法</w:t>
      </w:r>
      <w:r w:rsidR="008B3555" w:rsidRPr="007D52D6">
        <w:t>》</w:t>
      </w:r>
      <w:hyperlink r:id="rId2269" w:anchor="a4" w:history="1">
        <w:r w:rsidR="008B3555" w:rsidRPr="008B3555">
          <w:rPr>
            <w:rStyle w:val="a5"/>
            <w:kern w:val="0"/>
          </w:rPr>
          <w:t>第四條</w:t>
        </w:r>
      </w:hyperlink>
      <w:r w:rsidR="00203F72" w:rsidRPr="007D52D6">
        <w:t>之規定：「</w:t>
      </w:r>
      <w:r w:rsidR="00203F72" w:rsidRPr="007D52D6">
        <w:t xml:space="preserve"> </w:t>
      </w:r>
      <w:r w:rsidR="00203F72" w:rsidRPr="007D52D6">
        <w:t>完成統一祖國的大業是包括臺灣同胞在內的全中國人民的神聖職責。」中國將完成統一之目標，正式規範於《反分裂國家法</w:t>
      </w:r>
      <w:r w:rsidR="008B3555" w:rsidRPr="007D52D6">
        <w:t>》</w:t>
      </w:r>
      <w:hyperlink r:id="rId2270" w:anchor="a4" w:history="1">
        <w:r w:rsidR="008B3555" w:rsidRPr="008B3555">
          <w:rPr>
            <w:rStyle w:val="a5"/>
            <w:kern w:val="0"/>
          </w:rPr>
          <w:t>第四條</w:t>
        </w:r>
      </w:hyperlink>
      <w:r w:rsidR="00203F72" w:rsidRPr="007D52D6">
        <w:t>之中</w:t>
      </w:r>
      <w:r w:rsidR="00545D58" w:rsidRPr="007D52D6">
        <w:t>。</w:t>
      </w:r>
    </w:p>
    <w:p w14:paraId="7C51314A" w14:textId="77777777" w:rsidR="00953151" w:rsidRPr="007D52D6" w:rsidRDefault="00353CFF" w:rsidP="00D87D91">
      <w:r w:rsidRPr="007D52D6">
        <w:t xml:space="preserve">　　</w:t>
      </w:r>
      <w:r w:rsidR="00203F72" w:rsidRPr="007D52D6">
        <w:t>4</w:t>
      </w:r>
      <w:r w:rsidR="00203F72" w:rsidRPr="007D52D6">
        <w:t>、《反分裂國家法》</w:t>
      </w:r>
      <w:hyperlink r:id="rId2271" w:anchor="a5" w:history="1">
        <w:r w:rsidR="00203F72" w:rsidRPr="00B56AE1">
          <w:rPr>
            <w:rStyle w:val="a5"/>
            <w:rFonts w:ascii="Times New Roman" w:hAnsi="Times New Roman"/>
          </w:rPr>
          <w:t>第五條</w:t>
        </w:r>
      </w:hyperlink>
      <w:r w:rsidR="00203F72" w:rsidRPr="007D52D6">
        <w:t>規定以和平方式實現祖國統一、堅持一個中國原則</w:t>
      </w:r>
    </w:p>
    <w:p w14:paraId="51DCD579" w14:textId="77777777" w:rsidR="00203F72" w:rsidRPr="007D52D6" w:rsidRDefault="00353CFF" w:rsidP="00D87D91">
      <w:r w:rsidRPr="007D52D6">
        <w:t xml:space="preserve">　　</w:t>
      </w:r>
      <w:r w:rsidR="00203F72" w:rsidRPr="007D52D6">
        <w:t>根據《反分裂國家法</w:t>
      </w:r>
      <w:r w:rsidR="00B56AE1" w:rsidRPr="007D52D6">
        <w:t>》</w:t>
      </w:r>
      <w:hyperlink r:id="rId2272" w:anchor="a5" w:history="1">
        <w:r w:rsidR="00B56AE1" w:rsidRPr="00B56AE1">
          <w:rPr>
            <w:rStyle w:val="a5"/>
            <w:rFonts w:ascii="Times New Roman" w:hAnsi="Times New Roman"/>
          </w:rPr>
          <w:t>第五條</w:t>
        </w:r>
      </w:hyperlink>
      <w:r w:rsidR="00203F72" w:rsidRPr="007D52D6">
        <w:t>之規定：「堅持一個中國原則，是實現祖國和平統一的基礎</w:t>
      </w:r>
      <w:r w:rsidR="00545D58" w:rsidRPr="007D52D6">
        <w:t>。</w:t>
      </w:r>
    </w:p>
    <w:p w14:paraId="1FF66AE3" w14:textId="77777777" w:rsidR="00953151" w:rsidRPr="007D52D6" w:rsidRDefault="00203F72" w:rsidP="00D87D91">
      <w:r w:rsidRPr="007D52D6">
        <w:t>以和平方式實現祖國統一，最符合臺灣海峽兩岸同胞的根本利益。國家以最大的誠意，盡最大的努力，實現和平統一。」</w:t>
      </w:r>
    </w:p>
    <w:p w14:paraId="4B6F3778" w14:textId="77777777" w:rsidR="00953151" w:rsidRPr="007D52D6" w:rsidRDefault="00353CFF" w:rsidP="00D87D91">
      <w:r w:rsidRPr="007D52D6">
        <w:t xml:space="preserve">　　</w:t>
      </w:r>
      <w:r w:rsidR="00203F72" w:rsidRPr="007D52D6">
        <w:t>根據《反分裂國家法</w:t>
      </w:r>
      <w:r w:rsidR="00B56AE1" w:rsidRPr="007D52D6">
        <w:t>》</w:t>
      </w:r>
      <w:hyperlink r:id="rId2273" w:anchor="a5" w:history="1">
        <w:r w:rsidR="00B56AE1" w:rsidRPr="00B56AE1">
          <w:rPr>
            <w:rStyle w:val="a5"/>
            <w:rFonts w:ascii="Times New Roman" w:hAnsi="Times New Roman"/>
          </w:rPr>
          <w:t>第五條</w:t>
        </w:r>
      </w:hyperlink>
      <w:r w:rsidR="00203F72" w:rsidRPr="007D52D6">
        <w:t>之明文規定，以和平方式實現祖國統一，最符合臺灣海峽兩岸同胞的根本利益。中國願意以最大的誠意，盡最大的努力，實現和平統一。本書認為，《反分裂國家法</w:t>
      </w:r>
      <w:r w:rsidR="00B56AE1" w:rsidRPr="007D52D6">
        <w:t>》</w:t>
      </w:r>
      <w:hyperlink r:id="rId2274" w:anchor="a5" w:history="1">
        <w:r w:rsidR="00B56AE1" w:rsidRPr="00B56AE1">
          <w:rPr>
            <w:rStyle w:val="a5"/>
            <w:rFonts w:ascii="Times New Roman" w:hAnsi="Times New Roman"/>
          </w:rPr>
          <w:t>第五條</w:t>
        </w:r>
      </w:hyperlink>
      <w:r w:rsidR="00203F72" w:rsidRPr="007D52D6">
        <w:t>之和平方式，是兩岸解決政治問題的最好方式。</w:t>
      </w:r>
    </w:p>
    <w:p w14:paraId="04AFC87F" w14:textId="77777777" w:rsidR="00953151" w:rsidRPr="007D52D6" w:rsidRDefault="00353CFF" w:rsidP="00D87D91">
      <w:r w:rsidRPr="007D52D6">
        <w:t xml:space="preserve">　　</w:t>
      </w:r>
      <w:r w:rsidR="00203F72" w:rsidRPr="007D52D6">
        <w:t>5</w:t>
      </w:r>
      <w:r w:rsidR="00203F72" w:rsidRPr="007D52D6">
        <w:t>、《反分裂國家法》</w:t>
      </w:r>
      <w:hyperlink r:id="rId2275" w:anchor="a8" w:history="1">
        <w:r w:rsidR="00203F72" w:rsidRPr="00B56AE1">
          <w:rPr>
            <w:rStyle w:val="a5"/>
            <w:rFonts w:ascii="Times New Roman" w:hAnsi="Times New Roman"/>
          </w:rPr>
          <w:t>第八條</w:t>
        </w:r>
      </w:hyperlink>
      <w:r w:rsidR="00203F72" w:rsidRPr="007D52D6">
        <w:t>及</w:t>
      </w:r>
      <w:hyperlink r:id="rId2276" w:anchor="a9" w:history="1">
        <w:r w:rsidR="00203F72" w:rsidRPr="00B56AE1">
          <w:rPr>
            <w:rStyle w:val="a5"/>
            <w:rFonts w:ascii="Times New Roman" w:hAnsi="Times New Roman"/>
          </w:rPr>
          <w:t>第九條</w:t>
        </w:r>
      </w:hyperlink>
      <w:r w:rsidR="00203F72" w:rsidRPr="007D52D6">
        <w:t>規定非和平方式及其他必要措施</w:t>
      </w:r>
    </w:p>
    <w:p w14:paraId="66AB51B4" w14:textId="77777777" w:rsidR="00203F72" w:rsidRPr="007D52D6" w:rsidRDefault="00353CFF" w:rsidP="00D87D91">
      <w:r w:rsidRPr="007D52D6">
        <w:t xml:space="preserve">　　</w:t>
      </w:r>
      <w:r w:rsidR="00203F72" w:rsidRPr="007D52D6">
        <w:t>根據《反分裂國家法</w:t>
      </w:r>
      <w:r w:rsidR="00B56AE1" w:rsidRPr="007D52D6">
        <w:t>》</w:t>
      </w:r>
      <w:hyperlink r:id="rId2277" w:anchor="a8" w:history="1">
        <w:r w:rsidR="00B56AE1" w:rsidRPr="00B56AE1">
          <w:rPr>
            <w:rStyle w:val="a5"/>
            <w:rFonts w:ascii="Times New Roman" w:hAnsi="Times New Roman"/>
          </w:rPr>
          <w:t>第八條</w:t>
        </w:r>
      </w:hyperlink>
      <w:r w:rsidR="00203F72" w:rsidRPr="007D52D6">
        <w:t>之規定：「</w:t>
      </w:r>
      <w:r w:rsidR="00203F72" w:rsidRPr="007D52D6">
        <w:t>“</w:t>
      </w:r>
      <w:r w:rsidR="00203F72" w:rsidRPr="007D52D6">
        <w:t>台獨</w:t>
      </w:r>
      <w:r w:rsidR="00203F72" w:rsidRPr="007D52D6">
        <w:t>”</w:t>
      </w:r>
      <w:r w:rsidR="00203F72" w:rsidRPr="007D52D6">
        <w:t>分裂勢力以任何名義、任何方式造成臺灣從中國分裂出去的事實，或者發生將會導致臺灣從中國分裂出去的重大事變，或者和平統一的可能性完全喪失，國家得採取非和平方式及其他必要措施，捍衛國家主權和領土完整</w:t>
      </w:r>
      <w:r w:rsidR="00545D58" w:rsidRPr="007D52D6">
        <w:t>。</w:t>
      </w:r>
    </w:p>
    <w:p w14:paraId="556A4E9D" w14:textId="77777777" w:rsidR="00203F72" w:rsidRPr="007D52D6" w:rsidRDefault="00353CFF" w:rsidP="00D87D91">
      <w:r w:rsidRPr="007D52D6">
        <w:t xml:space="preserve">　　</w:t>
      </w:r>
      <w:r w:rsidR="00203F72" w:rsidRPr="007D52D6">
        <w:t>依照前款規定採取非和平方式及其他必要措施，由國務院、中央軍事委員會決定和組織實施，並及時向全國人民代表大會常務委員會報告</w:t>
      </w:r>
      <w:r w:rsidR="00545D58" w:rsidRPr="007D52D6">
        <w:t>。</w:t>
      </w:r>
      <w:r w:rsidR="00203F72" w:rsidRPr="007D52D6">
        <w:t>」</w:t>
      </w:r>
    </w:p>
    <w:p w14:paraId="6A56D046" w14:textId="77777777" w:rsidR="00203F72" w:rsidRPr="007D52D6" w:rsidRDefault="00203F72" w:rsidP="00D87D91"/>
    <w:p w14:paraId="1F80F535" w14:textId="77777777" w:rsidR="00953151" w:rsidRPr="007D52D6" w:rsidRDefault="00353CFF" w:rsidP="00D87D91">
      <w:r w:rsidRPr="007D52D6">
        <w:t xml:space="preserve">　　</w:t>
      </w:r>
      <w:r w:rsidR="00203F72" w:rsidRPr="007D52D6">
        <w:t>另外，根據《反分裂國家法》</w:t>
      </w:r>
      <w:hyperlink r:id="rId2278" w:anchor="a9" w:history="1">
        <w:r w:rsidR="00BD43D3" w:rsidRPr="00B56AE1">
          <w:rPr>
            <w:rStyle w:val="a5"/>
            <w:rFonts w:ascii="Times New Roman" w:hAnsi="Times New Roman"/>
          </w:rPr>
          <w:t>第九條</w:t>
        </w:r>
      </w:hyperlink>
      <w:r w:rsidR="00203F72" w:rsidRPr="007D52D6">
        <w:t>之規定：「</w:t>
      </w:r>
      <w:r w:rsidR="00203F72" w:rsidRPr="007D52D6">
        <w:t xml:space="preserve"> </w:t>
      </w:r>
      <w:r w:rsidR="00203F72" w:rsidRPr="007D52D6">
        <w:t>依照本法規定採取非和平方式及其他必要措施並組織實施時，國家盡最大可能保護臺灣平民和在臺灣的外國人的生命財產安全和其他正當權益，減少損失；同時，國家依法保護臺灣同胞在中國其他地區的權利和利益</w:t>
      </w:r>
      <w:r w:rsidR="00545D58" w:rsidRPr="007D52D6">
        <w:t>。</w:t>
      </w:r>
      <w:r w:rsidR="00203F72" w:rsidRPr="007D52D6">
        <w:t>」</w:t>
      </w:r>
    </w:p>
    <w:p w14:paraId="314BBBAF" w14:textId="77777777" w:rsidR="00953151" w:rsidRPr="007D52D6" w:rsidRDefault="00353CFF" w:rsidP="00D87D91">
      <w:r w:rsidRPr="007D52D6">
        <w:t xml:space="preserve">　　</w:t>
      </w:r>
      <w:r w:rsidR="00203F72" w:rsidRPr="007D52D6">
        <w:t>根據《反分裂國家法</w:t>
      </w:r>
      <w:r w:rsidR="00B56AE1" w:rsidRPr="007D52D6">
        <w:t>》</w:t>
      </w:r>
      <w:hyperlink r:id="rId2279" w:anchor="a8" w:history="1">
        <w:r w:rsidR="00B56AE1" w:rsidRPr="00B56AE1">
          <w:rPr>
            <w:rStyle w:val="a5"/>
            <w:rFonts w:ascii="Times New Roman" w:hAnsi="Times New Roman"/>
          </w:rPr>
          <w:t>第八條</w:t>
        </w:r>
      </w:hyperlink>
      <w:r w:rsidR="00203F72" w:rsidRPr="007D52D6">
        <w:t>之規定，採取非和平方式及其他必要措施的決定權，由國務院及中央軍事委員會決定和組織實施，並及時向全國人民代表大會常務委員會報告。是以，在緊急狀況之下，國務院及中央軍事委員會可以決定非和平方式及其他必要措施，以非和平方式攻擊台灣。</w:t>
      </w:r>
    </w:p>
    <w:p w14:paraId="416C02B7" w14:textId="77777777" w:rsidR="00953151" w:rsidRPr="007D52D6" w:rsidRDefault="00353CFF" w:rsidP="00D87D91">
      <w:r w:rsidRPr="007D52D6">
        <w:t xml:space="preserve">　　</w:t>
      </w:r>
      <w:r w:rsidR="00203F72" w:rsidRPr="007D52D6">
        <w:t>《反分裂國家法</w:t>
      </w:r>
      <w:r w:rsidR="00B56AE1" w:rsidRPr="007D52D6">
        <w:t>》</w:t>
      </w:r>
      <w:hyperlink r:id="rId2280" w:anchor="a8" w:history="1">
        <w:r w:rsidR="00B56AE1" w:rsidRPr="00B56AE1">
          <w:rPr>
            <w:rStyle w:val="a5"/>
            <w:rFonts w:ascii="Times New Roman" w:hAnsi="Times New Roman"/>
          </w:rPr>
          <w:t>第八條</w:t>
        </w:r>
      </w:hyperlink>
      <w:r w:rsidR="00B56AE1" w:rsidRPr="007D52D6">
        <w:t xml:space="preserve"> </w:t>
      </w:r>
      <w:r w:rsidR="00203F72" w:rsidRPr="007D52D6">
        <w:t>“</w:t>
      </w:r>
      <w:r w:rsidR="00203F72" w:rsidRPr="007D52D6">
        <w:t>非和平手段</w:t>
      </w:r>
      <w:r w:rsidR="00203F72" w:rsidRPr="007D52D6">
        <w:t>”</w:t>
      </w:r>
      <w:r w:rsidR="00203F72" w:rsidRPr="007D52D6">
        <w:t>所指為何？「非和平手段」的範疇與定義為何？事實上，它是一個「不概定的法律概念」。學者與專家的解讀如下</w:t>
      </w:r>
      <w:r w:rsidR="00203F72" w:rsidRPr="007D52D6">
        <w:footnoteReference w:id="918"/>
      </w:r>
      <w:r w:rsidR="00203F72" w:rsidRPr="007D52D6">
        <w:t>：</w:t>
      </w:r>
      <w:r w:rsidR="00203F72" w:rsidRPr="007D52D6">
        <w:t>1.</w:t>
      </w:r>
      <w:r w:rsidR="00203F72" w:rsidRPr="007D52D6">
        <w:t>根據美國之軍力報告，美國將「非和平手段」的各種可能性與選項，作了相當清楚之闡述、說明與界定；美國將「非和平手段」界定為：</w:t>
      </w:r>
      <w:r w:rsidR="00203F72" w:rsidRPr="007D52D6">
        <w:t>(1)</w:t>
      </w:r>
      <w:r w:rsidR="00203F72" w:rsidRPr="007D52D6">
        <w:t>使用武力；</w:t>
      </w:r>
      <w:r w:rsidR="00203F72" w:rsidRPr="007D52D6">
        <w:t>(2)</w:t>
      </w:r>
      <w:r w:rsidR="00203F72" w:rsidRPr="007D52D6">
        <w:t>精確（準）打擊台軍；</w:t>
      </w:r>
      <w:r w:rsidR="00203F72" w:rsidRPr="007D52D6">
        <w:t>(3)</w:t>
      </w:r>
      <w:r w:rsidR="00203F72" w:rsidRPr="007D52D6">
        <w:t>使用核武器攻台；</w:t>
      </w:r>
      <w:r w:rsidR="00203F72" w:rsidRPr="007D52D6">
        <w:t>(4)</w:t>
      </w:r>
      <w:r w:rsidR="00203F72" w:rsidRPr="007D52D6">
        <w:t>排除第</w:t>
      </w:r>
      <w:r w:rsidR="00203F72" w:rsidRPr="007D52D6">
        <w:t>3</w:t>
      </w:r>
      <w:r w:rsidR="00203F72" w:rsidRPr="007D52D6">
        <w:t>方的干預；</w:t>
      </w:r>
      <w:r w:rsidR="00203F72" w:rsidRPr="007D52D6">
        <w:t>(5)</w:t>
      </w:r>
      <w:r w:rsidR="00203F72" w:rsidRPr="007D52D6">
        <w:t>中國海上阻擊戰略等等；</w:t>
      </w:r>
      <w:r w:rsidR="00203F72" w:rsidRPr="007D52D6">
        <w:t>2.</w:t>
      </w:r>
      <w:r w:rsidR="00203F72" w:rsidRPr="007D52D6">
        <w:t>有論者主張，中國在解決兩岸的問題上，就手段的選擇而言，應該不至於採取「非和平的手段」解決台灣問題。</w:t>
      </w:r>
    </w:p>
    <w:p w14:paraId="67B0EDA9" w14:textId="77777777" w:rsidR="00953151" w:rsidRPr="007D52D6" w:rsidRDefault="00353CFF" w:rsidP="00D87D91">
      <w:r w:rsidRPr="007D52D6">
        <w:t xml:space="preserve">　　</w:t>
      </w:r>
      <w:r w:rsidR="00203F72" w:rsidRPr="007D52D6">
        <w:t>6</w:t>
      </w:r>
      <w:r w:rsidR="00203F72" w:rsidRPr="007D52D6">
        <w:t>、</w:t>
      </w:r>
      <w:r w:rsidR="008B3555" w:rsidRPr="007D52D6">
        <w:t>《</w:t>
      </w:r>
      <w:hyperlink r:id="rId2281" w:history="1">
        <w:r w:rsidR="008B3555" w:rsidRPr="008B3555">
          <w:rPr>
            <w:rStyle w:val="a5"/>
            <w:rFonts w:ascii="Times New Roman" w:hAnsi="Times New Roman"/>
          </w:rPr>
          <w:t>反分裂國家法</w:t>
        </w:r>
      </w:hyperlink>
      <w:r w:rsidR="00203F72" w:rsidRPr="007D52D6">
        <w:t>》起草小組認為有關條文必須包含中國解放軍不能對台使用核武器的含意</w:t>
      </w:r>
    </w:p>
    <w:p w14:paraId="099A5BAB" w14:textId="77777777" w:rsidR="000810D6" w:rsidRPr="007D52D6" w:rsidRDefault="00353CFF" w:rsidP="00D87D91">
      <w:r w:rsidRPr="007D52D6">
        <w:t xml:space="preserve">　　</w:t>
      </w:r>
      <w:r w:rsidR="00203F72" w:rsidRPr="007D52D6">
        <w:t>中國</w:t>
      </w:r>
      <w:r w:rsidR="008B3555" w:rsidRPr="007D52D6">
        <w:t>《</w:t>
      </w:r>
      <w:hyperlink r:id="rId2282" w:history="1">
        <w:r w:rsidR="008B3555" w:rsidRPr="008B3555">
          <w:rPr>
            <w:rStyle w:val="a5"/>
            <w:rFonts w:ascii="Times New Roman" w:hAnsi="Times New Roman"/>
          </w:rPr>
          <w:t>反分裂國家法</w:t>
        </w:r>
      </w:hyperlink>
      <w:r w:rsidR="00203F72" w:rsidRPr="007D52D6">
        <w:t>》有關條文究竟是否有包含解放軍不能對台使用核武器的含意？與禁止之規定否？根據中國北京參與制訂</w:t>
      </w:r>
      <w:r w:rsidR="008B3555" w:rsidRPr="007D52D6">
        <w:t>《</w:t>
      </w:r>
      <w:hyperlink r:id="rId2283" w:history="1">
        <w:r w:rsidR="008B3555" w:rsidRPr="008B3555">
          <w:rPr>
            <w:rStyle w:val="a5"/>
            <w:rFonts w:ascii="Times New Roman" w:hAnsi="Times New Roman"/>
          </w:rPr>
          <w:t>反分裂國家法</w:t>
        </w:r>
      </w:hyperlink>
      <w:r w:rsidR="00203F72" w:rsidRPr="007D52D6">
        <w:t>》之相關人士稱，該法規定要盡最大可能保護臺灣平民生命財產安全，實際上是禁止解放軍向臺灣動用核武器。於</w:t>
      </w:r>
      <w:r w:rsidR="008B3555" w:rsidRPr="007D52D6">
        <w:t>《</w:t>
      </w:r>
      <w:hyperlink r:id="rId2284" w:history="1">
        <w:r w:rsidR="008B3555" w:rsidRPr="008B3555">
          <w:rPr>
            <w:rStyle w:val="a5"/>
            <w:rFonts w:ascii="Times New Roman" w:hAnsi="Times New Roman"/>
          </w:rPr>
          <w:t>反分裂國家法</w:t>
        </w:r>
      </w:hyperlink>
      <w:r w:rsidR="00203F72" w:rsidRPr="007D52D6">
        <w:t>》之制定過程之中，北京高層及中國人民解放軍已就此達成共識</w:t>
      </w:r>
      <w:r w:rsidR="00203F72" w:rsidRPr="007D52D6">
        <w:footnoteReference w:id="919"/>
      </w:r>
      <w:r w:rsidR="00545D58" w:rsidRPr="007D52D6">
        <w:t>。</w:t>
      </w:r>
      <w:r w:rsidR="00203F72" w:rsidRPr="007D52D6">
        <w:t>是以，根據</w:t>
      </w:r>
      <w:r w:rsidR="008B3555" w:rsidRPr="007D52D6">
        <w:t>《</w:t>
      </w:r>
      <w:hyperlink r:id="rId2285" w:history="1">
        <w:r w:rsidR="008B3555" w:rsidRPr="008B3555">
          <w:rPr>
            <w:rStyle w:val="a5"/>
            <w:rFonts w:ascii="Times New Roman" w:hAnsi="Times New Roman"/>
          </w:rPr>
          <w:t>反分裂國家法</w:t>
        </w:r>
      </w:hyperlink>
      <w:r w:rsidR="00203F72" w:rsidRPr="007D52D6">
        <w:t>》起草小組之構想，認為有關條文必須包含解放軍不能對台使用核武器的含意。筆者認為，非常可惜的一點，當初被未將禁止使用核武器之規定，明文規範於條文之中</w:t>
      </w:r>
      <w:r w:rsidR="00545D58" w:rsidRPr="007D52D6">
        <w:t>。</w:t>
      </w:r>
    </w:p>
    <w:p w14:paraId="01BB587C" w14:textId="77777777" w:rsidR="00953151" w:rsidRPr="007D52D6" w:rsidRDefault="00353CFF" w:rsidP="00D87D91">
      <w:r w:rsidRPr="007D52D6">
        <w:t xml:space="preserve">　　</w:t>
      </w:r>
      <w:r w:rsidR="008B3555" w:rsidRPr="007D52D6">
        <w:t>《</w:t>
      </w:r>
      <w:hyperlink r:id="rId2286" w:history="1">
        <w:r w:rsidR="008B3555" w:rsidRPr="008B3555">
          <w:rPr>
            <w:rStyle w:val="a5"/>
            <w:rFonts w:ascii="Times New Roman" w:hAnsi="Times New Roman"/>
          </w:rPr>
          <w:t>反分裂國家法</w:t>
        </w:r>
      </w:hyperlink>
      <w:r w:rsidR="00203F72" w:rsidRPr="007D52D6">
        <w:t>》之起草小組在制定與研究有關「採取非和平方式」的</w:t>
      </w:r>
      <w:hyperlink r:id="rId2287" w:anchor="a8" w:history="1">
        <w:r w:rsidR="00EA60ED" w:rsidRPr="00B56AE1">
          <w:rPr>
            <w:rStyle w:val="a5"/>
            <w:rFonts w:ascii="Times New Roman" w:hAnsi="Times New Roman"/>
          </w:rPr>
          <w:t>第八條</w:t>
        </w:r>
      </w:hyperlink>
      <w:r w:rsidR="00203F72" w:rsidRPr="007D52D6">
        <w:t>與</w:t>
      </w:r>
      <w:hyperlink r:id="rId2288" w:anchor="a9" w:history="1">
        <w:r w:rsidR="00BD43D3" w:rsidRPr="00B56AE1">
          <w:rPr>
            <w:rStyle w:val="a5"/>
            <w:rFonts w:ascii="Times New Roman" w:hAnsi="Times New Roman"/>
          </w:rPr>
          <w:t>第九條</w:t>
        </w:r>
      </w:hyperlink>
      <w:r w:rsidR="00203F72" w:rsidRPr="007D52D6">
        <w:t>時，數易其稿，數次修改條文之內容，最後，在</w:t>
      </w:r>
      <w:hyperlink r:id="rId2289" w:anchor="a9" w:history="1">
        <w:r w:rsidR="00BD43D3" w:rsidRPr="00B56AE1">
          <w:rPr>
            <w:rStyle w:val="a5"/>
            <w:rFonts w:ascii="Times New Roman" w:hAnsi="Times New Roman"/>
          </w:rPr>
          <w:t>第九條</w:t>
        </w:r>
      </w:hyperlink>
      <w:r w:rsidR="00203F72" w:rsidRPr="007D52D6">
        <w:t>內規定：「國家盡最大可能保護臺灣平民和在臺灣的外國人的生命財產安全和其他正當權益，減少損失。」有解放軍將領表示，「說白了就是不讓我們向臺灣扔核彈」</w:t>
      </w:r>
      <w:r w:rsidR="00203F72" w:rsidRPr="007D52D6">
        <w:footnoteReference w:id="920"/>
      </w:r>
      <w:r w:rsidR="00545D58" w:rsidRPr="007D52D6">
        <w:t>。</w:t>
      </w:r>
    </w:p>
    <w:p w14:paraId="0B3E4AB7" w14:textId="77777777" w:rsidR="00953151" w:rsidRPr="007D52D6" w:rsidRDefault="00353CFF" w:rsidP="00D87D91">
      <w:r w:rsidRPr="007D52D6">
        <w:t xml:space="preserve">　　</w:t>
      </w:r>
      <w:r w:rsidR="00203F72" w:rsidRPr="007D52D6">
        <w:t>中國大陸反分裂法起草小組在研究與草擬有關</w:t>
      </w:r>
      <w:r w:rsidR="00203F72" w:rsidRPr="007D52D6">
        <w:t>“</w:t>
      </w:r>
      <w:r w:rsidR="00203F72" w:rsidRPr="007D52D6">
        <w:t>採取非和平方式</w:t>
      </w:r>
      <w:r w:rsidR="00203F72" w:rsidRPr="007D52D6">
        <w:t>”</w:t>
      </w:r>
      <w:r w:rsidR="00203F72" w:rsidRPr="007D52D6">
        <w:t>的第八條與</w:t>
      </w:r>
      <w:hyperlink r:id="rId2290" w:anchor="a9" w:history="1">
        <w:r w:rsidR="00BD43D3" w:rsidRPr="00B56AE1">
          <w:rPr>
            <w:rStyle w:val="a5"/>
            <w:rFonts w:ascii="Times New Roman" w:hAnsi="Times New Roman"/>
          </w:rPr>
          <w:t>第九條</w:t>
        </w:r>
      </w:hyperlink>
      <w:r w:rsidR="00203F72" w:rsidRPr="007D52D6">
        <w:t>條文時，針對於所草擬之條文，經過反復討論、修改與研究，幾易其稿，形成現在的條文。在討論中，參與起草反分裂法，及徵求意見的人士，曾就</w:t>
      </w:r>
      <w:r w:rsidR="00203F72" w:rsidRPr="007D52D6">
        <w:t>“</w:t>
      </w:r>
      <w:r w:rsidR="00203F72" w:rsidRPr="007D52D6">
        <w:t>盡最大可能保護臺灣平民生命財產安全</w:t>
      </w:r>
      <w:r w:rsidR="00203F72" w:rsidRPr="007D52D6">
        <w:t>”</w:t>
      </w:r>
      <w:r w:rsidR="00203F72" w:rsidRPr="007D52D6">
        <w:t>進行專題研究，得到之結論與成果，係認為</w:t>
      </w:r>
      <w:r w:rsidR="008B3555" w:rsidRPr="007D52D6">
        <w:t>《</w:t>
      </w:r>
      <w:hyperlink r:id="rId2291" w:history="1">
        <w:r w:rsidR="008B3555" w:rsidRPr="008B3555">
          <w:rPr>
            <w:rStyle w:val="a5"/>
            <w:rFonts w:ascii="Times New Roman" w:hAnsi="Times New Roman"/>
          </w:rPr>
          <w:t>反分裂國家法</w:t>
        </w:r>
      </w:hyperlink>
      <w:r w:rsidR="00203F72" w:rsidRPr="007D52D6">
        <w:t>》有關條文必須包含解放軍不能對台使用核武器的含意。</w:t>
      </w:r>
      <w:r w:rsidR="008B3555" w:rsidRPr="007D52D6">
        <w:t>《</w:t>
      </w:r>
      <w:hyperlink r:id="rId2292" w:history="1">
        <w:r w:rsidR="008B3555" w:rsidRPr="008B3555">
          <w:rPr>
            <w:rStyle w:val="a5"/>
            <w:rFonts w:ascii="Times New Roman" w:hAnsi="Times New Roman"/>
          </w:rPr>
          <w:t>反分裂國家法</w:t>
        </w:r>
      </w:hyperlink>
      <w:r w:rsidR="00203F72" w:rsidRPr="007D52D6">
        <w:t>》條文中的</w:t>
      </w:r>
      <w:r w:rsidR="00203F72" w:rsidRPr="007D52D6">
        <w:t>“</w:t>
      </w:r>
      <w:r w:rsidR="00203F72" w:rsidRPr="007D52D6">
        <w:t>最大可能，其意義即蘊藏著大陸軍方對臺灣不得使用核武器的考量與善意</w:t>
      </w:r>
      <w:r w:rsidR="00203F72" w:rsidRPr="007D52D6">
        <w:footnoteReference w:id="921"/>
      </w:r>
      <w:r w:rsidR="00203F72" w:rsidRPr="007D52D6">
        <w:t>。</w:t>
      </w:r>
    </w:p>
    <w:p w14:paraId="6FC514C3" w14:textId="77777777" w:rsidR="00953151" w:rsidRPr="007D52D6" w:rsidRDefault="00353CFF" w:rsidP="00D87D91">
      <w:r w:rsidRPr="007D52D6">
        <w:t xml:space="preserve">　　</w:t>
      </w:r>
      <w:r w:rsidR="00203F72" w:rsidRPr="007D52D6">
        <w:t>有論者認為，</w:t>
      </w:r>
      <w:r w:rsidR="008B3555" w:rsidRPr="007D52D6">
        <w:t>《</w:t>
      </w:r>
      <w:hyperlink r:id="rId2293" w:history="1">
        <w:r w:rsidR="008B3555" w:rsidRPr="008B3555">
          <w:rPr>
            <w:rStyle w:val="a5"/>
            <w:rFonts w:ascii="Times New Roman" w:hAnsi="Times New Roman"/>
          </w:rPr>
          <w:t>反分裂國家法</w:t>
        </w:r>
      </w:hyperlink>
      <w:r w:rsidR="00203F72" w:rsidRPr="007D52D6">
        <w:t>》非和平方式完全是針對台獨勢力，而非廣大台灣同胞。在「非和平方式」的制定意義與背景部分，具有以下的特色</w:t>
      </w:r>
      <w:r w:rsidR="00203F72" w:rsidRPr="007D52D6">
        <w:footnoteReference w:id="922"/>
      </w:r>
      <w:r w:rsidR="00203F72" w:rsidRPr="007D52D6">
        <w:t>：</w:t>
      </w:r>
      <w:r w:rsidR="00203F72" w:rsidRPr="007D52D6">
        <w:t>1.</w:t>
      </w:r>
      <w:r w:rsidR="00203F72" w:rsidRPr="007D52D6">
        <w:t>「反分裂國家法」中的「非和平方式」，它是針對於台獨勢力而制定，並不是針對廣大的台灣民眾；</w:t>
      </w:r>
      <w:r w:rsidR="00203F72" w:rsidRPr="007D52D6">
        <w:t>2.</w:t>
      </w:r>
      <w:r w:rsidR="00203F72" w:rsidRPr="007D52D6">
        <w:t>第</w:t>
      </w:r>
      <w:r w:rsidR="00203F72" w:rsidRPr="007D52D6">
        <w:t>9</w:t>
      </w:r>
      <w:r w:rsidR="00203F72" w:rsidRPr="007D52D6">
        <w:t>條的條文內容，充分展現此一立法精神；</w:t>
      </w:r>
      <w:r w:rsidR="00203F72" w:rsidRPr="007D52D6">
        <w:t>3.</w:t>
      </w:r>
      <w:r w:rsidR="00203F72" w:rsidRPr="007D52D6">
        <w:t>在全球公認的國際法原則之中，假若台海發生戰事，中國有必要保護台灣平民的生命與財產上的安全，這是無庸置疑的；</w:t>
      </w:r>
      <w:r w:rsidR="00203F72" w:rsidRPr="007D52D6">
        <w:t>4.</w:t>
      </w:r>
      <w:r w:rsidR="00203F72" w:rsidRPr="007D52D6">
        <w:t>中國對於核武的承諾，係為不首先使用核武，不作出第一擊</w:t>
      </w:r>
      <w:r w:rsidR="00203F72" w:rsidRPr="007D52D6">
        <w:t>(</w:t>
      </w:r>
      <w:r w:rsidR="00203F72" w:rsidRPr="007D52D6">
        <w:t>使用核彈</w:t>
      </w:r>
      <w:r w:rsidR="00203F72" w:rsidRPr="007D52D6">
        <w:t>)</w:t>
      </w:r>
      <w:r w:rsidR="00203F72" w:rsidRPr="007D52D6">
        <w:t>；</w:t>
      </w:r>
      <w:r w:rsidR="00203F72" w:rsidRPr="007D52D6">
        <w:t>5.</w:t>
      </w:r>
      <w:r w:rsidR="00203F72" w:rsidRPr="007D52D6">
        <w:t>根據中國對於運用核武的信守與承諾，可以推論，即使在萬不得已的情況下，諸如：人民解放軍攻台的進展，受到台軍頑強的抵抗，無法順利地登陸台灣，在此種之情勢之下，中國亦不會對台使用核武；</w:t>
      </w:r>
      <w:r w:rsidR="00203F72" w:rsidRPr="007D52D6">
        <w:t>6.</w:t>
      </w:r>
      <w:r w:rsidR="00203F72" w:rsidRPr="007D52D6">
        <w:t>中國一直非常重</w:t>
      </w:r>
      <w:r w:rsidR="003E240E">
        <w:t>視</w:t>
      </w:r>
      <w:r w:rsidR="00203F72" w:rsidRPr="007D52D6">
        <w:t>維護台灣民眾之權益，故制訂相關之法規，諸如：「中華人民共和國台灣同胞投資保護法」等等，根據中國政府對於台灣民眾慣有的保護政策，中國應不會使用核彈攻台。</w:t>
      </w:r>
    </w:p>
    <w:p w14:paraId="76BA7C35" w14:textId="77777777" w:rsidR="00953151" w:rsidRPr="007D52D6" w:rsidRDefault="00353CFF" w:rsidP="00D87D91">
      <w:r w:rsidRPr="007D52D6">
        <w:t xml:space="preserve">　　</w:t>
      </w:r>
      <w:r w:rsidR="00203F72" w:rsidRPr="007D52D6">
        <w:t>《反分裂國家法</w:t>
      </w:r>
      <w:r w:rsidR="00B56AE1" w:rsidRPr="007D52D6">
        <w:t>》</w:t>
      </w:r>
      <w:hyperlink r:id="rId2294" w:anchor="a8" w:history="1">
        <w:r w:rsidR="00B56AE1" w:rsidRPr="00B56AE1">
          <w:rPr>
            <w:rStyle w:val="a5"/>
            <w:rFonts w:ascii="Times New Roman" w:hAnsi="Times New Roman"/>
          </w:rPr>
          <w:t>第八條</w:t>
        </w:r>
      </w:hyperlink>
      <w:r w:rsidR="00B56AE1" w:rsidRPr="007D52D6">
        <w:t xml:space="preserve"> </w:t>
      </w:r>
      <w:r w:rsidR="00203F72" w:rsidRPr="007D52D6">
        <w:t>“</w:t>
      </w:r>
      <w:r w:rsidR="00203F72" w:rsidRPr="007D52D6">
        <w:t>非和平手段</w:t>
      </w:r>
      <w:r w:rsidR="00203F72" w:rsidRPr="007D52D6">
        <w:t>”</w:t>
      </w:r>
      <w:r w:rsidR="00203F72" w:rsidRPr="007D52D6">
        <w:t>所指為何？根據上述</w:t>
      </w:r>
      <w:r w:rsidR="008B3555" w:rsidRPr="007D52D6">
        <w:t>《</w:t>
      </w:r>
      <w:hyperlink r:id="rId2295" w:history="1">
        <w:r w:rsidR="008B3555" w:rsidRPr="008B3555">
          <w:rPr>
            <w:rStyle w:val="a5"/>
            <w:rFonts w:ascii="Times New Roman" w:hAnsi="Times New Roman"/>
          </w:rPr>
          <w:t>反分裂國家法</w:t>
        </w:r>
      </w:hyperlink>
      <w:r w:rsidR="00203F72" w:rsidRPr="007D52D6">
        <w:t>》起草小組及中國學者專家之闡釋，即使在萬不得已的情況下，也將不對台使用核武器。</w:t>
      </w:r>
    </w:p>
    <w:p w14:paraId="6B3BE63A" w14:textId="77777777" w:rsidR="00203F72" w:rsidRPr="007D52D6" w:rsidRDefault="00353CFF" w:rsidP="00D87D91">
      <w:r w:rsidRPr="007D52D6">
        <w:t xml:space="preserve">　　</w:t>
      </w:r>
      <w:r w:rsidR="00203F72" w:rsidRPr="007D52D6">
        <w:t>7</w:t>
      </w:r>
      <w:r w:rsidR="00203F72" w:rsidRPr="007D52D6">
        <w:t>、</w:t>
      </w:r>
      <w:r w:rsidR="008B3555" w:rsidRPr="007D52D6">
        <w:t>《</w:t>
      </w:r>
      <w:hyperlink r:id="rId2296" w:history="1">
        <w:r w:rsidR="008B3555" w:rsidRPr="008B3555">
          <w:rPr>
            <w:rStyle w:val="a5"/>
            <w:rFonts w:ascii="Times New Roman" w:hAnsi="Times New Roman"/>
          </w:rPr>
          <w:t>反分裂國家法</w:t>
        </w:r>
      </w:hyperlink>
      <w:r w:rsidR="00203F72" w:rsidRPr="007D52D6">
        <w:t>》與國際法的關連性</w:t>
      </w:r>
    </w:p>
    <w:p w14:paraId="73FC2B57" w14:textId="77777777" w:rsidR="00953151" w:rsidRPr="007D52D6" w:rsidRDefault="00353CFF" w:rsidP="00D87D91">
      <w:r w:rsidRPr="007D52D6">
        <w:t xml:space="preserve">　　</w:t>
      </w:r>
      <w:r w:rsidR="00203F72" w:rsidRPr="007D52D6">
        <w:t>《在「反分裂國家法」與國際法的雙方相互之連動性方面，該法有關於「非和平手段」的立法目的，如下所述</w:t>
      </w:r>
      <w:r w:rsidR="00203F72" w:rsidRPr="007D52D6">
        <w:footnoteReference w:id="923"/>
      </w:r>
      <w:r w:rsidR="00203F72" w:rsidRPr="007D52D6">
        <w:t>：</w:t>
      </w:r>
      <w:r w:rsidR="00203F72" w:rsidRPr="007D52D6">
        <w:t>1.</w:t>
      </w:r>
      <w:r w:rsidR="00203F72" w:rsidRPr="007D52D6">
        <w:t>強調中國遵守武裝衝突的國際法的要求之立場；</w:t>
      </w:r>
      <w:r w:rsidR="00203F72" w:rsidRPr="007D52D6">
        <w:t>2.</w:t>
      </w:r>
      <w:r w:rsidR="00203F72" w:rsidRPr="007D52D6">
        <w:t>將「台獨勢力」與「非台獨勢力」兩者作出明確的切割；「非和平手段」的運用，係鎖定在「台獨勢力」；</w:t>
      </w:r>
      <w:r w:rsidR="00203F72" w:rsidRPr="007D52D6">
        <w:t>3.</w:t>
      </w:r>
      <w:r w:rsidR="00203F72" w:rsidRPr="007D52D6">
        <w:t>令台灣民眾清晰地認清「非和平手段</w:t>
      </w:r>
      <w:r w:rsidR="00203F72" w:rsidRPr="007D52D6">
        <w:t>(</w:t>
      </w:r>
      <w:r w:rsidR="00203F72" w:rsidRPr="007D52D6">
        <w:t>方式</w:t>
      </w:r>
      <w:r w:rsidR="00203F72" w:rsidRPr="007D52D6">
        <w:t>)</w:t>
      </w:r>
      <w:r w:rsidR="00203F72" w:rsidRPr="007D52D6">
        <w:t>」的界限所在，它的目標，係聚焦在台獨勢力；藉由「非和平方式」，威嚇與壓制台獨勢力的政治活動與操作空間；</w:t>
      </w:r>
      <w:r w:rsidR="00203F72" w:rsidRPr="007D52D6">
        <w:t>4.</w:t>
      </w:r>
      <w:r w:rsidR="00203F72" w:rsidRPr="007D52D6">
        <w:t>將「非和平方式」聚焦於台獨勢力，尚有一個突出點，亦即，顯示中國政府願意且應該承擔國際與國內的法律義務；</w:t>
      </w:r>
      <w:r w:rsidR="00203F72" w:rsidRPr="007D52D6">
        <w:t>5.</w:t>
      </w:r>
      <w:r w:rsidR="00203F72" w:rsidRPr="007D52D6">
        <w:t>假若中國人民解放軍使用「非和平方式」攻台，「反分裂國家法」尚且要求必須將「非和平方式」所造成的各種破壞與負向的影響，達到最低的程度，有利於爭取台灣社會民眾與國際社會的理解與認同，在最大的限度與範圍之內，達到利用「非和平方式」，孤立與阻絕台獨勢力之政治上目的。</w:t>
      </w:r>
    </w:p>
    <w:p w14:paraId="2C179494" w14:textId="77777777" w:rsidR="00953151" w:rsidRDefault="00353CFF" w:rsidP="00D87D91">
      <w:r w:rsidRPr="007D52D6">
        <w:t xml:space="preserve">　　</w:t>
      </w:r>
      <w:r w:rsidR="00203F72" w:rsidRPr="007D52D6">
        <w:t>本書認為，</w:t>
      </w:r>
      <w:r w:rsidR="008B3555" w:rsidRPr="007D52D6">
        <w:t>《</w:t>
      </w:r>
      <w:hyperlink r:id="rId2297" w:history="1">
        <w:r w:rsidR="008B3555" w:rsidRPr="008B3555">
          <w:rPr>
            <w:rStyle w:val="a5"/>
            <w:rFonts w:ascii="Times New Roman" w:hAnsi="Times New Roman"/>
          </w:rPr>
          <w:t>反分裂國家法</w:t>
        </w:r>
      </w:hyperlink>
      <w:r w:rsidR="00203F72" w:rsidRPr="007D52D6">
        <w:t>》未明文排除核武器之使用，是否符合武裝衝突的國際法原則？仍有進一步討論之空間。</w:t>
      </w:r>
    </w:p>
    <w:p w14:paraId="1FABC1DE" w14:textId="77777777" w:rsidR="007D52D6" w:rsidRDefault="007D52D6" w:rsidP="00EA60ED">
      <w:pPr>
        <w:jc w:val="right"/>
        <w:rPr>
          <w:rFonts w:ascii="新細明體" w:hAnsi="新細明體"/>
        </w:rPr>
      </w:pPr>
      <w:r w:rsidRPr="0026266A">
        <w:rPr>
          <w:rFonts w:hint="eastAsia"/>
          <w:color w:val="5F5F5F"/>
        </w:rPr>
        <w:t>。。。。。。。。。。。。。。。。。。。。。。。。。</w:t>
      </w:r>
      <w:hyperlink w:anchor="a目次310" w:history="1">
        <w:r>
          <w:rPr>
            <w:rStyle w:val="a5"/>
            <w:sz w:val="18"/>
          </w:rPr>
          <w:t>回目次</w:t>
        </w:r>
      </w:hyperlink>
      <w:r w:rsidR="00E91F89">
        <w:rPr>
          <w:rFonts w:ascii="新細明體" w:hAnsi="新細明體"/>
          <w:color w:val="808000"/>
        </w:rPr>
        <w:t>〉〉</w:t>
      </w:r>
    </w:p>
    <w:p w14:paraId="1B391BCC" w14:textId="77777777" w:rsidR="007D52D6" w:rsidRPr="007D52D6" w:rsidRDefault="007D52D6" w:rsidP="00D87D91"/>
    <w:p w14:paraId="78EC12C9" w14:textId="77777777" w:rsidR="00953151" w:rsidRDefault="00203F72" w:rsidP="00767F37">
      <w:pPr>
        <w:pStyle w:val="2"/>
      </w:pPr>
      <w:bookmarkStart w:id="121" w:name="_參、假若中國對台灣使用核武器將嚴重違反國際法的相關規定"/>
      <w:bookmarkEnd w:id="121"/>
      <w:r w:rsidRPr="00A53581">
        <w:t>參、假若中國對台灣使用核武器將嚴重違反國際法的相關規定</w:t>
      </w:r>
    </w:p>
    <w:p w14:paraId="13999345" w14:textId="77777777" w:rsidR="00953151" w:rsidRPr="00DF3454" w:rsidRDefault="00353CFF" w:rsidP="00D87D91">
      <w:r w:rsidRPr="00DF3454">
        <w:t xml:space="preserve">　　</w:t>
      </w:r>
      <w:r w:rsidR="00203F72" w:rsidRPr="00DF3454">
        <w:t>在</w:t>
      </w:r>
      <w:r w:rsidR="00203F72" w:rsidRPr="00DF3454">
        <w:t>2005</w:t>
      </w:r>
      <w:r w:rsidR="00203F72" w:rsidRPr="00DF3454">
        <w:t>年，中國公布關於中華人民共和國履行《不擴散核武器條約》情況的國家報告，該報告指出：「中國支援無核武器國家建立無核區的努力，認為建立無核武器區有利於防止核武器擴散，增進地區及世界的和平與安全，支援並尊重有關國家和地區通過自願協商建立無核區或無大規模殺傷性武器區</w:t>
      </w:r>
      <w:r w:rsidR="00203F72" w:rsidRPr="00DF3454">
        <w:footnoteReference w:id="924"/>
      </w:r>
      <w:r w:rsidR="00203F72" w:rsidRPr="00DF3454">
        <w:t>。」</w:t>
      </w:r>
    </w:p>
    <w:p w14:paraId="05B3876D" w14:textId="77777777" w:rsidR="00203F72" w:rsidRPr="00DF3454" w:rsidRDefault="00203F72" w:rsidP="00D87D91">
      <w:r w:rsidRPr="00DF3454">
        <w:t xml:space="preserve">　　中國在國際社會上，積極簽署及加入禁止核武器條約之相關國際公約，中國已簽署或加入之國際禁止核武器條約如下</w:t>
      </w:r>
      <w:r w:rsidRPr="00DF3454">
        <w:footnoteReference w:id="925"/>
      </w:r>
      <w:r w:rsidRPr="00DF3454">
        <w:t>：</w:t>
      </w:r>
    </w:p>
    <w:p w14:paraId="535F0D67" w14:textId="77777777" w:rsidR="00203F72" w:rsidRPr="00DF3454" w:rsidRDefault="00353CFF" w:rsidP="00D87D91">
      <w:r w:rsidRPr="00DF3454">
        <w:t xml:space="preserve">　　</w:t>
      </w:r>
      <w:r w:rsidR="00203F72" w:rsidRPr="00DF3454">
        <w:t>1</w:t>
      </w:r>
      <w:r w:rsidR="00203F72" w:rsidRPr="00DF3454">
        <w:t>、</w:t>
      </w:r>
      <w:r w:rsidR="00203F72" w:rsidRPr="00DF3454">
        <w:t>1973</w:t>
      </w:r>
      <w:r w:rsidR="00203F72" w:rsidRPr="00DF3454">
        <w:t>年，中國簽署《拉丁美洲和加勒比禁止核武器條約》第</w:t>
      </w:r>
      <w:r w:rsidR="00203F72" w:rsidRPr="00DF3454">
        <w:t>2</w:t>
      </w:r>
      <w:r w:rsidR="00203F72" w:rsidRPr="00DF3454">
        <w:t>號議定書；</w:t>
      </w:r>
    </w:p>
    <w:p w14:paraId="00921A17" w14:textId="77777777" w:rsidR="00203F72" w:rsidRPr="00DF3454" w:rsidRDefault="00353CFF" w:rsidP="00D87D91">
      <w:r w:rsidRPr="00DF3454">
        <w:t xml:space="preserve">　　</w:t>
      </w:r>
      <w:r w:rsidR="00203F72" w:rsidRPr="00DF3454">
        <w:t>2</w:t>
      </w:r>
      <w:r w:rsidR="00203F72" w:rsidRPr="00DF3454">
        <w:t>、</w:t>
      </w:r>
      <w:r w:rsidR="00203F72" w:rsidRPr="00DF3454">
        <w:t>1983</w:t>
      </w:r>
      <w:r w:rsidR="00203F72" w:rsidRPr="00DF3454">
        <w:t>年，中國加入《南極條約》和《關於各國探測及使用外層空間包括月球與其他天體活動所應遵守原則的條約》；</w:t>
      </w:r>
    </w:p>
    <w:p w14:paraId="7FFF8685" w14:textId="77777777" w:rsidR="00203F72" w:rsidRPr="00DF3454" w:rsidRDefault="00353CFF" w:rsidP="00D87D91">
      <w:r w:rsidRPr="00DF3454">
        <w:t xml:space="preserve">　　</w:t>
      </w:r>
      <w:r w:rsidR="00203F72" w:rsidRPr="00DF3454">
        <w:t>3</w:t>
      </w:r>
      <w:r w:rsidR="00203F72" w:rsidRPr="00DF3454">
        <w:t>、</w:t>
      </w:r>
      <w:r w:rsidR="00203F72" w:rsidRPr="00DF3454">
        <w:t>1987</w:t>
      </w:r>
      <w:r w:rsidR="00203F72" w:rsidRPr="00DF3454">
        <w:t>年，中國簽署《南太平洋無核區條約》第</w:t>
      </w:r>
      <w:r w:rsidR="00203F72" w:rsidRPr="00DF3454">
        <w:t>2</w:t>
      </w:r>
      <w:r w:rsidR="00203F72" w:rsidRPr="00DF3454">
        <w:t>、</w:t>
      </w:r>
      <w:r w:rsidR="00203F72" w:rsidRPr="00DF3454">
        <w:t>3</w:t>
      </w:r>
      <w:r w:rsidR="00203F72" w:rsidRPr="00DF3454">
        <w:t>號議定書；</w:t>
      </w:r>
    </w:p>
    <w:p w14:paraId="08D895EE" w14:textId="77777777" w:rsidR="00203F72" w:rsidRPr="00DF3454" w:rsidRDefault="00353CFF" w:rsidP="00D87D91">
      <w:r w:rsidRPr="00DF3454">
        <w:t xml:space="preserve">　　</w:t>
      </w:r>
      <w:r w:rsidR="00203F72" w:rsidRPr="00DF3454">
        <w:t>4</w:t>
      </w:r>
      <w:r w:rsidR="00203F72" w:rsidRPr="00DF3454">
        <w:t>、</w:t>
      </w:r>
      <w:r w:rsidR="00203F72" w:rsidRPr="00DF3454">
        <w:t>1991</w:t>
      </w:r>
      <w:r w:rsidR="00203F72" w:rsidRPr="00DF3454">
        <w:t>年，中國加入《禁止在海床洋底及其底土安置核武器和其他大規模殺傷性武器條約》；</w:t>
      </w:r>
    </w:p>
    <w:p w14:paraId="77FC82FB" w14:textId="77777777" w:rsidR="00953151" w:rsidRPr="00DF3454" w:rsidRDefault="00353CFF" w:rsidP="00D87D91">
      <w:r w:rsidRPr="00DF3454">
        <w:t xml:space="preserve">　　</w:t>
      </w:r>
      <w:r w:rsidR="00203F72" w:rsidRPr="00DF3454">
        <w:t>5</w:t>
      </w:r>
      <w:r w:rsidR="00203F72" w:rsidRPr="00DF3454">
        <w:t>、</w:t>
      </w:r>
      <w:r w:rsidR="00203F72" w:rsidRPr="00DF3454">
        <w:t>1996</w:t>
      </w:r>
      <w:r w:rsidR="00203F72" w:rsidRPr="00DF3454">
        <w:t>年，中國簽署《非洲無核武器區條約》第</w:t>
      </w:r>
      <w:r w:rsidR="00203F72" w:rsidRPr="00DF3454">
        <w:t>1</w:t>
      </w:r>
      <w:r w:rsidR="00203F72" w:rsidRPr="00DF3454">
        <w:t>、</w:t>
      </w:r>
      <w:r w:rsidR="00203F72" w:rsidRPr="00DF3454">
        <w:t>2</w:t>
      </w:r>
      <w:r w:rsidR="00203F72" w:rsidRPr="00DF3454">
        <w:t>號議定書</w:t>
      </w:r>
      <w:r w:rsidR="00203F72" w:rsidRPr="00DF3454">
        <w:footnoteReference w:id="926"/>
      </w:r>
      <w:r w:rsidR="00203F72" w:rsidRPr="00DF3454">
        <w:t>。</w:t>
      </w:r>
    </w:p>
    <w:p w14:paraId="2D39C7E1" w14:textId="77777777" w:rsidR="00953151" w:rsidRPr="00DF3454" w:rsidRDefault="00203F72" w:rsidP="00D87D91">
      <w:r w:rsidRPr="00DF3454">
        <w:t xml:space="preserve">　　此外，中國支援東盟國家建立無核武器區的努力，已與東盟就《東南亞無核武器區條約》所涉相關問題達成原則一致。中國願在議定書開放後儘早簽署</w:t>
      </w:r>
      <w:r w:rsidRPr="00DF3454">
        <w:footnoteReference w:id="927"/>
      </w:r>
      <w:r w:rsidRPr="00DF3454">
        <w:t>。</w:t>
      </w:r>
    </w:p>
    <w:p w14:paraId="1CB5BD69" w14:textId="77777777" w:rsidR="00953151" w:rsidRPr="00DF3454" w:rsidRDefault="00353CFF" w:rsidP="00D87D91">
      <w:r w:rsidRPr="00DF3454">
        <w:t xml:space="preserve">　　</w:t>
      </w:r>
      <w:r w:rsidR="00203F72" w:rsidRPr="00DF3454">
        <w:t>假若中國堅持</w:t>
      </w:r>
      <w:r w:rsidR="008B3555" w:rsidRPr="007D52D6">
        <w:t>《</w:t>
      </w:r>
      <w:hyperlink r:id="rId2298" w:history="1">
        <w:r w:rsidR="008B3555" w:rsidRPr="008B3555">
          <w:rPr>
            <w:rStyle w:val="a5"/>
            <w:rFonts w:ascii="Times New Roman" w:hAnsi="Times New Roman"/>
          </w:rPr>
          <w:t>反分裂國家法</w:t>
        </w:r>
      </w:hyperlink>
      <w:r w:rsidR="00203F72" w:rsidRPr="00DF3454">
        <w:t>》未明文排除核武器之使用，對台灣使用核武器，則將違反國際人道法的相關規定，如下所述。</w:t>
      </w:r>
    </w:p>
    <w:p w14:paraId="0330213E" w14:textId="77777777" w:rsidR="00953151" w:rsidRPr="00DF3454" w:rsidRDefault="00353CFF" w:rsidP="00D87D91">
      <w:r w:rsidRPr="00DF3454">
        <w:t xml:space="preserve">　　</w:t>
      </w:r>
      <w:r w:rsidR="00203F72" w:rsidRPr="00DF3454">
        <w:t>一、違反《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w:t>
      </w:r>
    </w:p>
    <w:p w14:paraId="6877EE8F" w14:textId="77777777" w:rsidR="00953151" w:rsidRPr="00DF3454" w:rsidRDefault="00353CFF" w:rsidP="00D87D91">
      <w:r w:rsidRPr="00DF3454">
        <w:t xml:space="preserve">　　</w:t>
      </w:r>
      <w:r w:rsidR="00203F72" w:rsidRPr="00DF3454">
        <w:t>就有關之國際人道法部分，假若上述之論點，將兩岸戰爭定位於國內犯罪純粹的內部法律事務，亦即，定位於</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日日內瓦四公約關於保護非國際性武裝衝突受難者的附加議定書（第二議定書）第一條第二項之非武裝衝突的「內部動亂和緊張局勢」，如暴動、孤立而不時發生的暴力行為和其他類似性質的行為。根據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日日內瓦四公約關於保護非國際性武裝衝突受難者的附加議定書（第二議定書）第一條第二項之規定：「</w:t>
      </w:r>
      <w:r w:rsidR="00D92F56" w:rsidRPr="00DF3454">
        <w:t>〜</w:t>
      </w:r>
      <w:r w:rsidR="00203F72" w:rsidRPr="00DF3454">
        <w:t>二、本議定書不應適用於非武裝衝突的內部動亂和緊張局勢，如暴動、孤立而不時發生的暴力行為和其他類似性質的行為。」此時，因是國內犯罪的純粹的內部法律事務，故無法適用</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日日內瓦四公約關於保護非國際性武裝衝突受難者的附加議定書（第二議定書）之規定。</w:t>
      </w:r>
    </w:p>
    <w:p w14:paraId="5C07D624" w14:textId="77777777" w:rsidR="00953151" w:rsidRPr="00DF3454" w:rsidRDefault="00A50D6A" w:rsidP="00D87D91">
      <w:r w:rsidRPr="00DF3454">
        <w:t xml:space="preserve">　　</w:t>
      </w:r>
      <w:r w:rsidR="00203F72" w:rsidRPr="00DF3454">
        <w:t>但，假若海峽兩岸非常不幸地發生戰爭，此戰爭之性質，基本上，應屬於武裝衝突，故其可適用之國際人道法，有可能是</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日日內瓦四公約關於保護國際性武裝衝突受難者的附加議定書（第一議定書）。或者，亦有可能適用</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日日內瓦四公約關於保護非國際性武裝衝突受難者的附加議定書（第二議定書）第一條第一項之規定，上述之第二議定書第一條第一項規定：「一、本議定書發展和補充</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日日內瓦四公約共同第三條而不改變其現有的適用條件，應適用於為</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國際性武裝衝突受難者的附加議定書（第一議定書）所未包括、而在締約一方領土內發生的該方武裝部隊和在負責統率下對該方一部分領土行使控制權，從而使其能進行持久而協調的軍事行動並執行本議定書的持不同政見的武裝部隊或其他有組織的武裝集團之間的一切武裝衝突。」</w:t>
      </w:r>
    </w:p>
    <w:p w14:paraId="33AF0D07" w14:textId="77777777" w:rsidR="00953151" w:rsidRPr="00DF3454" w:rsidRDefault="00A50D6A" w:rsidP="00D87D91">
      <w:r w:rsidRPr="00DF3454">
        <w:t xml:space="preserve">　　</w:t>
      </w:r>
      <w:r w:rsidR="00203F72" w:rsidRPr="00DF3454">
        <w:t>如果是屬於國際性武裝衝突，則有關之國際人道法部分，適用</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國際性武裝衝突受難者的附加議定書（第一議定書）之相關規定。但，兩岸戰爭之性質，究竟應屬於國際性武裝衝突，或是非國際性武裝衝突，此涉及台灣之國際法定位。若兩岸定位為同屬於一個國家，則兩岸之軍事衝突，為非國際性武裝衝突，則適用</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日日內瓦四公約關於保護非國際性武裝衝突受難者的附加議定書（第二議定書）第一條第一項之規定。</w:t>
      </w:r>
    </w:p>
    <w:p w14:paraId="5D93993D" w14:textId="77777777" w:rsidR="00953151" w:rsidRPr="00DF3454" w:rsidRDefault="00A50D6A" w:rsidP="00D87D91">
      <w:r w:rsidRPr="00DF3454">
        <w:t xml:space="preserve">　　</w:t>
      </w:r>
      <w:r w:rsidR="00203F72" w:rsidRPr="00DF3454">
        <w:t>若從我國所制定之台灣地區與大陸地區人民關係條例第一條立法之本意而論，中華人民共和國所控制之中國大陸，仍屬於中華民國之領土，故兩岸戰爭之性質，從兩岸人民關係條例之觀點出發，應屬於非國際性武裝衝突。</w:t>
      </w:r>
    </w:p>
    <w:p w14:paraId="026A8EE2" w14:textId="77777777" w:rsidR="00953151" w:rsidRPr="00DF3454" w:rsidRDefault="00A50D6A" w:rsidP="00D87D91">
      <w:r w:rsidRPr="00DF3454">
        <w:t xml:space="preserve">　　</w:t>
      </w:r>
      <w:r w:rsidR="00203F72" w:rsidRPr="00DF3454">
        <w:t>但若從國際法之觀點，於舊金山和約中，日本並未將台灣歸還中國，日本僅是放棄對台行使主權，故台灣應是一個主權獨立的國家。不過，本書假若從國際現實面出發，美國及西方多數國家仍僅承認一個中國，在此脈絡之下，作者將兩岸戰爭之性質，基於一個中國之考量，定位為非國際性武裝衝突。此種主張，雖考量到國際現實面，但仍未充分顧及舊金山和約中有關台灣之國際法定位，是其不足之處。以上，係作者從美國及西方多數國家僅承認一個中國之觀點出發。相對而論，從我國憲法出發，兩岸仍屬一個中國，均是中華民國之領域，故，上述兩岸戰爭之性質，仍是可以基於一個中國</w:t>
      </w:r>
      <w:r w:rsidR="00D92F56" w:rsidRPr="00DF3454">
        <w:t>〜</w:t>
      </w:r>
      <w:r w:rsidR="00203F72" w:rsidRPr="00DF3454">
        <w:t>中華民國之領域之考量，定位為非國際性武裝衝突。</w:t>
      </w:r>
    </w:p>
    <w:p w14:paraId="4CF81FC9" w14:textId="77777777" w:rsidR="00953151" w:rsidRPr="00DF3454" w:rsidRDefault="00A50D6A" w:rsidP="00D87D91">
      <w:r w:rsidRPr="00DF3454">
        <w:t xml:space="preserve">　　</w:t>
      </w:r>
      <w:r w:rsidR="00203F72" w:rsidRPr="00DF3454">
        <w:t>假若中國對台灣獨立之問題，中國堅持</w:t>
      </w:r>
      <w:r w:rsidR="008B3555" w:rsidRPr="007D52D6">
        <w:t>《</w:t>
      </w:r>
      <w:hyperlink r:id="rId2299" w:history="1">
        <w:r w:rsidR="008B3555" w:rsidRPr="008B3555">
          <w:rPr>
            <w:rStyle w:val="a5"/>
            <w:rFonts w:ascii="Times New Roman" w:hAnsi="Times New Roman"/>
          </w:rPr>
          <w:t>反分裂國家法</w:t>
        </w:r>
      </w:hyperlink>
      <w:r w:rsidR="00203F72" w:rsidRPr="00DF3454">
        <w:t>》未明文排除核武器之使用，使用核武器對台灣進行核彈攻擊，因中國已簽署、批准及加入《</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日日內瓦公約關於保護非國際性武裝衝突受難者的附加議定書》（第二議定書），故中國對台灣核彈攻擊之軍事侵略暴行，業已「非常嚴重地」違反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w:t>
      </w:r>
      <w:r w:rsidR="00203F72" w:rsidRPr="00DF3454">
        <w:footnoteReference w:id="928"/>
      </w:r>
      <w:r w:rsidR="00203F72" w:rsidRPr="00DF3454">
        <w:t>之相關國際人道法條文的規定，詳如下文所述。</w:t>
      </w:r>
    </w:p>
    <w:p w14:paraId="65E837E3" w14:textId="77777777" w:rsidR="00953151" w:rsidRPr="00DF3454" w:rsidRDefault="00A50D6A" w:rsidP="00D87D91">
      <w:r w:rsidRPr="00DF3454">
        <w:t xml:space="preserve">　　</w:t>
      </w:r>
      <w:r w:rsidR="00203F72" w:rsidRPr="00DF3454">
        <w:t>(</w:t>
      </w:r>
      <w:r w:rsidR="00203F72" w:rsidRPr="00DF3454">
        <w:t>一</w:t>
      </w:r>
      <w:r w:rsidR="00203F72" w:rsidRPr="00DF3454">
        <w:t>)</w:t>
      </w:r>
      <w:r w:rsidR="00203F72" w:rsidRPr="00DF3454">
        <w:t>、《</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日日內瓦公約關於保護非國際性武裝衝突受難者的附加議定書》（第二議定書）序文明文規定對「人類」應加以尊重及提供基本保護之國際人道法原則</w:t>
      </w:r>
      <w:r w:rsidR="00203F72" w:rsidRPr="00DF3454">
        <w:t xml:space="preserve"> </w:t>
      </w:r>
    </w:p>
    <w:p w14:paraId="18B4F674" w14:textId="77777777" w:rsidR="00953151" w:rsidRPr="00DF3454" w:rsidRDefault="00A50D6A" w:rsidP="00D87D91">
      <w:r w:rsidRPr="00DF3454">
        <w:t xml:space="preserve">　　</w:t>
      </w:r>
      <w:r w:rsidR="00203F72" w:rsidRPr="00DF3454">
        <w:t>未來，假若因台獨建國之故，中國以核彈對付台灣，是否已違反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日日內瓦四公約關於保護非國際性武裝衝突受難者的附加議定書（第二議定書）序文中關於對「人類」應加以尊重及提供基本保護之國際人道法原則之規定？</w:t>
      </w:r>
    </w:p>
    <w:p w14:paraId="715F84B3" w14:textId="77777777" w:rsidR="00953151" w:rsidRPr="00DF3454" w:rsidRDefault="00A50D6A" w:rsidP="00D87D91">
      <w:r w:rsidRPr="00DF3454">
        <w:t xml:space="preserve">　　</w:t>
      </w:r>
      <w:r w:rsidR="00203F72" w:rsidRPr="00DF3454">
        <w:t>《</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日日內瓦公約關於保護非國際性武裝衝突受難者的附加議定書》（第二議定書）序文指出：「</w:t>
      </w:r>
      <w:r w:rsidR="00D92F56" w:rsidRPr="00DF3454">
        <w:t>〜</w:t>
      </w:r>
      <w:r w:rsidR="00203F72" w:rsidRPr="00DF3454">
        <w:t>締約各方</w:t>
      </w:r>
      <w:r w:rsidR="00203F72" w:rsidRPr="00DF3454">
        <w:t>(The High Contracting Parties</w:t>
      </w:r>
      <w:r w:rsidR="00203F72" w:rsidRPr="00DF3454">
        <w:footnoteReference w:id="929"/>
      </w:r>
      <w:r w:rsidR="00203F72" w:rsidRPr="00DF3454">
        <w:t>)</w:t>
      </w:r>
      <w:r w:rsidR="00203F72" w:rsidRPr="00DF3454">
        <w:t>，回顧到莊嚴載入</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日日內瓦四公約共同第三條的人道主義原則，構成在非國際性武裝衝突的情形下，對人的尊重的基礎</w:t>
      </w:r>
      <w:r w:rsidR="00203F72" w:rsidRPr="00DF3454">
        <w:footnoteReference w:id="930"/>
      </w:r>
      <w:r w:rsidR="00203F72" w:rsidRPr="00DF3454">
        <w:t>，還回顧到關於人權的國際檔提供對人的基本保護</w:t>
      </w:r>
      <w:r w:rsidR="00203F72" w:rsidRPr="00DF3454">
        <w:footnoteReference w:id="931"/>
      </w:r>
      <w:r w:rsidR="00203F72" w:rsidRPr="00DF3454">
        <w:t>，強調有必要保證這類武裝衝突的受難者得到更好的保護</w:t>
      </w:r>
      <w:r w:rsidR="00203F72" w:rsidRPr="00DF3454">
        <w:footnoteReference w:id="932"/>
      </w:r>
      <w:r w:rsidR="00203F72" w:rsidRPr="00DF3454">
        <w:t>，回顧到在現行法律所未包括的情形下</w:t>
      </w:r>
      <w:r w:rsidR="00203F72" w:rsidRPr="00DF3454">
        <w:t>(Recalling that, in cases not covered by the law in force)</w:t>
      </w:r>
      <w:r w:rsidR="00203F72" w:rsidRPr="00DF3454">
        <w:t>，人仍受人道原則和公眾良心要求的保護</w:t>
      </w:r>
      <w:r w:rsidR="00203F72" w:rsidRPr="00DF3454">
        <w:footnoteReference w:id="933"/>
      </w:r>
      <w:r w:rsidR="00203F72" w:rsidRPr="00DF3454">
        <w:t>。」</w:t>
      </w:r>
    </w:p>
    <w:p w14:paraId="7872A895" w14:textId="77777777" w:rsidR="00953151" w:rsidRPr="00DF3454" w:rsidRDefault="00A50D6A" w:rsidP="00D87D91">
      <w:r w:rsidRPr="00DF3454">
        <w:t xml:space="preserve">　　</w:t>
      </w:r>
      <w:r w:rsidR="00203F72" w:rsidRPr="00DF3454">
        <w:t>假若因台獨建國之故，中國以核彈對付台灣，本書認為構成在非國際性武裝衝突的情形下，對人的不尊重，同時，已違反關於人權的國際檔案，提供對人的基本保護的精神及規定。是以，已違反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日日內瓦四公約關於保護非國際性武裝衝突受難者的附加議定書（第二議定書）序文中關於對「人類」應加以尊重及提供基本保護之國際人道法原則之規定及精神。</w:t>
      </w:r>
    </w:p>
    <w:p w14:paraId="61BA4926" w14:textId="77777777" w:rsidR="00953151" w:rsidRPr="00DF3454" w:rsidRDefault="00A50D6A" w:rsidP="00D87D91">
      <w:r w:rsidRPr="00DF3454">
        <w:t xml:space="preserve">　　</w:t>
      </w:r>
      <w:r w:rsidR="00203F72" w:rsidRPr="00DF3454">
        <w:t>(</w:t>
      </w:r>
      <w:r w:rsidR="00203F72" w:rsidRPr="00DF3454">
        <w:t>二</w:t>
      </w:r>
      <w:r w:rsidR="00203F72" w:rsidRPr="00DF3454">
        <w:t>)</w:t>
      </w:r>
      <w:r w:rsidR="00203F72" w:rsidRPr="00DF3454">
        <w:t>、《</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日日內瓦公約關於保護非國際性武裝衝突受難者的附加議定書》（第二議定書）第四條第一項明文規定禁止「下令殺無赦」</w:t>
      </w:r>
      <w:r w:rsidR="00203F72" w:rsidRPr="00DF3454">
        <w:t xml:space="preserve">(It is prohibited to order that there shall be no survivors) </w:t>
      </w:r>
    </w:p>
    <w:p w14:paraId="42951BBC" w14:textId="77777777" w:rsidR="00953151" w:rsidRPr="00DF3454" w:rsidRDefault="00A50D6A" w:rsidP="00D87D91">
      <w:r w:rsidRPr="00DF3454">
        <w:t xml:space="preserve">　　</w:t>
      </w:r>
      <w:r w:rsidR="00203F72" w:rsidRPr="00DF3454">
        <w:t>未來，假若中國以核彈對付台灣，是否已違反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日日內瓦四公約關於保護非國際性武裝衝突受難者的附加議定書（第二議定書）第四條第一項禁止「下令殺無赦」</w:t>
      </w:r>
      <w:r w:rsidR="00203F72" w:rsidRPr="00DF3454">
        <w:t>(It is prohibited to order that there shall be no survivors)</w:t>
      </w:r>
      <w:r w:rsidR="00203F72" w:rsidRPr="00DF3454">
        <w:t>之規定？</w:t>
      </w:r>
    </w:p>
    <w:p w14:paraId="6D55C878" w14:textId="77777777" w:rsidR="00953151" w:rsidRPr="00DF3454" w:rsidRDefault="00A50D6A" w:rsidP="00D87D91">
      <w:r w:rsidRPr="00DF3454">
        <w:t xml:space="preserve">　　</w:t>
      </w:r>
      <w:r w:rsidR="00203F72" w:rsidRPr="00DF3454">
        <w:t>第二議定書第四條是人權之基本保證</w:t>
      </w:r>
      <w:r w:rsidR="00203F72" w:rsidRPr="00DF3454">
        <w:t>(Fundamental guarantees)</w:t>
      </w:r>
      <w:r w:rsidR="00203F72" w:rsidRPr="00DF3454">
        <w:t>，第二議定書第四條第一項規定，一切未直接參加或已停止參加敵對行動的人</w:t>
      </w:r>
      <w:r w:rsidR="00203F72" w:rsidRPr="00DF3454">
        <w:footnoteReference w:id="934"/>
      </w:r>
      <w:r w:rsidR="00203F72" w:rsidRPr="00DF3454">
        <w:t>，不論其自由是否受限制</w:t>
      </w:r>
      <w:r w:rsidR="00203F72" w:rsidRPr="00DF3454">
        <w:t>(whether or not their liberty has been restricted)</w:t>
      </w:r>
      <w:r w:rsidR="00203F72" w:rsidRPr="00DF3454">
        <w:t>，均有權享受對其人身、榮譽以及信念和宗教儀式的尊重</w:t>
      </w:r>
      <w:r w:rsidR="00203F72" w:rsidRPr="00DF3454">
        <w:footnoteReference w:id="935"/>
      </w:r>
      <w:r w:rsidR="00203F72" w:rsidRPr="00DF3454">
        <w:t>。這類人應在任何情況下受人道待遇</w:t>
      </w:r>
      <w:r w:rsidR="00203F72" w:rsidRPr="00DF3454">
        <w:t>(They shall in all circumstances be treated humanely)</w:t>
      </w:r>
      <w:r w:rsidR="00203F72" w:rsidRPr="00DF3454">
        <w:t>，而不加任何不利區別</w:t>
      </w:r>
      <w:r w:rsidR="00203F72" w:rsidRPr="00DF3454">
        <w:t>(without any adverse distinction)</w:t>
      </w:r>
      <w:r w:rsidR="00203F72" w:rsidRPr="00DF3454">
        <w:t>，下令殺無赦，是禁止的</w:t>
      </w:r>
      <w:r w:rsidR="00203F72" w:rsidRPr="00DF3454">
        <w:t>(It is prohibited to order that there shall be no survivors)</w:t>
      </w:r>
      <w:r w:rsidR="00203F72" w:rsidRPr="00DF3454">
        <w:t>。</w:t>
      </w:r>
    </w:p>
    <w:p w14:paraId="0EF8A73F" w14:textId="77777777" w:rsidR="00953151" w:rsidRPr="00DF3454" w:rsidRDefault="00A50D6A" w:rsidP="00D87D91">
      <w:r w:rsidRPr="00DF3454">
        <w:t xml:space="preserve">　　</w:t>
      </w:r>
      <w:r w:rsidR="00203F72" w:rsidRPr="00DF3454">
        <w:t>未來，假若因台獨建國之故，中國以核彈對付台灣，可以想像的，必會導致台灣一切未直接參加武裝衝突之台灣及外國非武裝平民的大量死亡，這是一種不加任何不利區別</w:t>
      </w:r>
      <w:r w:rsidR="00203F72" w:rsidRPr="00DF3454">
        <w:t>(without any adverse distinction)</w:t>
      </w:r>
      <w:r w:rsidR="00203F72" w:rsidRPr="00DF3454">
        <w:t>，下令殺無赦之軍事攻擊及屠殺行為，已違反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日日內瓦四公約關於保護非國際性武裝衝突受難者的附加議定書（第二議定書）第四條第一項禁止「下令殺無赦」</w:t>
      </w:r>
      <w:r w:rsidR="00203F72" w:rsidRPr="00DF3454">
        <w:t>(It is prohibited to order that there shall be no survivors)</w:t>
      </w:r>
      <w:r w:rsidR="00203F72" w:rsidRPr="00DF3454">
        <w:t>之規定。</w:t>
      </w:r>
    </w:p>
    <w:p w14:paraId="7434D4E7" w14:textId="77777777" w:rsidR="00953151" w:rsidRPr="00DF3454" w:rsidRDefault="00A50D6A" w:rsidP="00D87D91">
      <w:r w:rsidRPr="00DF3454">
        <w:t xml:space="preserve">　　</w:t>
      </w:r>
      <w:r w:rsidR="00203F72" w:rsidRPr="00DF3454">
        <w:t>(</w:t>
      </w:r>
      <w:r w:rsidR="00203F72" w:rsidRPr="00DF3454">
        <w:t>三</w:t>
      </w:r>
      <w:r w:rsidR="00203F72" w:rsidRPr="00DF3454">
        <w:t>)</w:t>
      </w:r>
      <w:r w:rsidR="00203F72" w:rsidRPr="00DF3454">
        <w:t>、第二議定書第四條第二項第一款明文規定禁止對「未直接參加或已停止參加敵對行動的人」加以謀殺</w:t>
      </w:r>
    </w:p>
    <w:p w14:paraId="29D8AAE3" w14:textId="77777777" w:rsidR="00953151" w:rsidRPr="00DF3454" w:rsidRDefault="00A50D6A" w:rsidP="00D87D91">
      <w:r w:rsidRPr="00DF3454">
        <w:t xml:space="preserve">　　</w:t>
      </w:r>
      <w:r w:rsidR="00203F72" w:rsidRPr="00DF3454">
        <w:t>未來，假若因台獨建國之故，中國以核彈對付台灣，是否已違反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日日內瓦四公約關於保護非國際性武裝衝突受難者的附加議定書（第二議定書）第四條第二項第一款禁止對「未直接參加或已停止參加敵對行動的人」加以謀殺之規定？</w:t>
      </w:r>
    </w:p>
    <w:p w14:paraId="7820A1CD" w14:textId="77777777" w:rsidR="00953151" w:rsidRPr="00DF3454" w:rsidRDefault="00A50D6A" w:rsidP="00D87D91">
      <w:r w:rsidRPr="00DF3454">
        <w:t xml:space="preserve">　　</w:t>
      </w:r>
      <w:r w:rsidR="00203F72" w:rsidRPr="00DF3454">
        <w:t>第二議定書第四條第二項第一款明文規定：「在不妨害上述規定的普遍性的條件下</w:t>
      </w:r>
      <w:r w:rsidR="00203F72" w:rsidRPr="00DF3454">
        <w:t>(Without prejudice to the generality of the foregoing)</w:t>
      </w:r>
      <w:r w:rsidR="00203F72" w:rsidRPr="00DF3454">
        <w:t>，對第一款所指的人的下列行為是禁止的，並在任何時候和在任何地方均應禁止</w:t>
      </w:r>
      <w:r w:rsidR="00203F72" w:rsidRPr="00DF3454">
        <w:footnoteReference w:id="936"/>
      </w:r>
      <w:r w:rsidR="00203F72" w:rsidRPr="00DF3454">
        <w:t>：（一）對人的生命、健康和身體上或精神上幸福的暴行</w:t>
      </w:r>
      <w:r w:rsidR="00203F72" w:rsidRPr="00DF3454">
        <w:t>(Violence to the life, health and physical or mental well-being of persons)</w:t>
      </w:r>
      <w:r w:rsidR="00203F72" w:rsidRPr="00DF3454">
        <w:t>，特別是謀殺以及虐待，如酷刑、殘傷肢體或任何形式的體罰</w:t>
      </w:r>
      <w:r w:rsidR="00203F72" w:rsidRPr="00DF3454">
        <w:footnoteReference w:id="937"/>
      </w:r>
      <w:r w:rsidR="00203F72" w:rsidRPr="00DF3454">
        <w:t>、、、」</w:t>
      </w:r>
    </w:p>
    <w:p w14:paraId="16EC1F6D" w14:textId="77777777" w:rsidR="00953151" w:rsidRPr="00DF3454" w:rsidRDefault="00A50D6A" w:rsidP="00D87D91">
      <w:r w:rsidRPr="00DF3454">
        <w:t xml:space="preserve">　　</w:t>
      </w:r>
      <w:r w:rsidR="00203F72" w:rsidRPr="00DF3454">
        <w:t>未來，假若因台獨建國之故，中國以核彈對付台灣，可以想像的，必會造成台灣一切未直接參加武裝衝突之台灣及外國平民的死亡、肢體之殘傷，這是一種明知且有意使其發生之行為，故是一種故意的謀殺，所觸犯之罪名，是對未直接參加武裝衝突之台灣及外國平民加以謀殺，此種謀殺行為，業已符合</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日日內瓦四公約關於保護非國際性武裝衝突受難者的附加議定書（第二議定書）第四條第二項第一款之構成要件，故已違反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日日內瓦四公約關於保護非國際性武裝衝突受難者的附加議定書（第二議定書）第四條第二項第一款禁止對「未直接參加或已停止參加敵對行動的人」加以謀殺之規定。</w:t>
      </w:r>
    </w:p>
    <w:p w14:paraId="7B7E4613" w14:textId="77777777" w:rsidR="00953151" w:rsidRPr="00DF3454" w:rsidRDefault="00A50D6A" w:rsidP="00D87D91">
      <w:r w:rsidRPr="00DF3454">
        <w:t xml:space="preserve">　　</w:t>
      </w:r>
      <w:r w:rsidR="00203F72" w:rsidRPr="00DF3454">
        <w:t>(</w:t>
      </w:r>
      <w:r w:rsidR="00203F72" w:rsidRPr="00DF3454">
        <w:t>四</w:t>
      </w:r>
      <w:r w:rsidR="00203F72" w:rsidRPr="00DF3454">
        <w:t>)</w:t>
      </w:r>
      <w:r w:rsidR="00203F72" w:rsidRPr="00DF3454">
        <w:t>、第二議定書第四條第三項明文規定對兒童應給予其所需的照顧和援助之國際人道法原則</w:t>
      </w:r>
    </w:p>
    <w:p w14:paraId="365350EC" w14:textId="77777777" w:rsidR="00953151" w:rsidRPr="00DF3454" w:rsidRDefault="00A50D6A" w:rsidP="00D87D91">
      <w:r w:rsidRPr="00DF3454">
        <w:t xml:space="preserve">　　</w:t>
      </w:r>
      <w:r w:rsidR="00203F72" w:rsidRPr="00DF3454">
        <w:t>未來，假若因台獨建國之故，中國以核彈對付台灣，是否已違反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日日內瓦四公約關於保護非國際性武裝衝突受難者的附加議定書（第二議定書）第四條第三項對兒童應給予其所需的照顧和援助之國際人道法原則之規定？</w:t>
      </w:r>
    </w:p>
    <w:p w14:paraId="355437B1" w14:textId="77777777" w:rsidR="00203F72" w:rsidRPr="00DF3454" w:rsidRDefault="00A50D6A" w:rsidP="00D87D91">
      <w:r w:rsidRPr="00DF3454">
        <w:t xml:space="preserve">　　</w:t>
      </w:r>
      <w:r w:rsidR="00203F72" w:rsidRPr="00DF3454">
        <w:t>依據第二議定書第四條第三項之規定：「</w:t>
      </w:r>
      <w:r w:rsidR="00D92F56" w:rsidRPr="00DF3454">
        <w:t>〜</w:t>
      </w:r>
      <w:r w:rsidR="00203F72" w:rsidRPr="00DF3454">
        <w:t>對兒童，應給予其所需的照顧和援助，特別是</w:t>
      </w:r>
      <w:r w:rsidR="00203F72" w:rsidRPr="00DF3454">
        <w:footnoteReference w:id="938"/>
      </w:r>
      <w:r w:rsidR="00203F72" w:rsidRPr="00DF3454">
        <w:t>：</w:t>
      </w:r>
    </w:p>
    <w:p w14:paraId="7AE93F7D" w14:textId="77777777"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兒童應按照其父母的願望，或父母不在時，按照負責照顧的人的願望得到教育，包括宗教和道德教育</w:t>
      </w:r>
      <w:r w:rsidR="00203F72" w:rsidRPr="00DF3454">
        <w:footnoteReference w:id="939"/>
      </w:r>
      <w:r w:rsidR="00203F72" w:rsidRPr="00DF3454">
        <w:t>；</w:t>
      </w:r>
    </w:p>
    <w:p w14:paraId="61359578" w14:textId="77777777" w:rsidR="00203F72" w:rsidRPr="00DF3454" w:rsidRDefault="001C3A2B" w:rsidP="00D87D91">
      <w:r w:rsidRPr="00DF3454">
        <w:rPr>
          <w:rFonts w:hint="eastAsia"/>
        </w:rPr>
        <w:t xml:space="preserve">　　</w:t>
      </w:r>
      <w:r w:rsidRPr="00DF3454">
        <w:rPr>
          <w:rFonts w:hint="eastAsia"/>
        </w:rPr>
        <w:t>2</w:t>
      </w:r>
      <w:r w:rsidRPr="00DF3454">
        <w:rPr>
          <w:rFonts w:hint="eastAsia"/>
        </w:rPr>
        <w:t>、</w:t>
      </w:r>
      <w:r w:rsidR="00203F72" w:rsidRPr="00DF3454">
        <w:t>應採取一切適當步驟，以便利暫時離散的家庭重聚</w:t>
      </w:r>
      <w:r w:rsidR="00203F72" w:rsidRPr="00DF3454">
        <w:footnoteReference w:id="940"/>
      </w:r>
      <w:r w:rsidR="00203F72" w:rsidRPr="00DF3454">
        <w:t>；</w:t>
      </w:r>
    </w:p>
    <w:p w14:paraId="5FB40E8F" w14:textId="77777777" w:rsidR="00203F72" w:rsidRPr="00DF3454" w:rsidRDefault="001C3A2B" w:rsidP="00D87D91">
      <w:r w:rsidRPr="00DF3454">
        <w:rPr>
          <w:rFonts w:hint="eastAsia"/>
        </w:rPr>
        <w:t xml:space="preserve">　　</w:t>
      </w:r>
      <w:r w:rsidRPr="00DF3454">
        <w:rPr>
          <w:rFonts w:hint="eastAsia"/>
        </w:rPr>
        <w:t>3</w:t>
      </w:r>
      <w:r w:rsidRPr="00DF3454">
        <w:rPr>
          <w:rFonts w:hint="eastAsia"/>
        </w:rPr>
        <w:t>、</w:t>
      </w:r>
      <w:r w:rsidR="00203F72" w:rsidRPr="00DF3454">
        <w:t>對未滿十五歲的兒童不應徵募其參加武裝部隊或集團，也不應准許其參加敵對行動</w:t>
      </w:r>
      <w:r w:rsidR="00203F72" w:rsidRPr="00DF3454">
        <w:footnoteReference w:id="941"/>
      </w:r>
      <w:r w:rsidR="00203F72" w:rsidRPr="00DF3454">
        <w:t>；</w:t>
      </w:r>
    </w:p>
    <w:p w14:paraId="199F685B" w14:textId="77777777" w:rsidR="00203F72" w:rsidRPr="00DF3454" w:rsidRDefault="001C3A2B" w:rsidP="00D87D91">
      <w:r w:rsidRPr="00DF3454">
        <w:rPr>
          <w:rFonts w:hint="eastAsia"/>
        </w:rPr>
        <w:t xml:space="preserve">　　</w:t>
      </w:r>
      <w:r w:rsidRPr="00DF3454">
        <w:rPr>
          <w:rFonts w:hint="eastAsia"/>
        </w:rPr>
        <w:t>4</w:t>
      </w:r>
      <w:r w:rsidRPr="00DF3454">
        <w:rPr>
          <w:rFonts w:hint="eastAsia"/>
        </w:rPr>
        <w:t>、</w:t>
      </w:r>
      <w:r w:rsidR="00203F72" w:rsidRPr="00DF3454">
        <w:t>如果儘管有第三項的規定，而未滿十五歲的兒童直接參加敵對行動，並被俘獲，這類兒童仍應適用本條所規定的特別保護</w:t>
      </w:r>
      <w:r w:rsidR="00203F72" w:rsidRPr="00DF3454">
        <w:footnoteReference w:id="942"/>
      </w:r>
      <w:r w:rsidR="00203F72" w:rsidRPr="00DF3454">
        <w:t>；</w:t>
      </w:r>
    </w:p>
    <w:p w14:paraId="13732DD3" w14:textId="77777777" w:rsidR="00953151" w:rsidRPr="00DF3454" w:rsidRDefault="001C3A2B" w:rsidP="00D87D91">
      <w:r w:rsidRPr="00DF3454">
        <w:rPr>
          <w:rFonts w:hint="eastAsia"/>
        </w:rPr>
        <w:t xml:space="preserve">　　</w:t>
      </w:r>
      <w:r w:rsidRPr="00DF3454">
        <w:rPr>
          <w:rFonts w:hint="eastAsia"/>
        </w:rPr>
        <w:t>5</w:t>
      </w:r>
      <w:r w:rsidRPr="00DF3454">
        <w:rPr>
          <w:rFonts w:hint="eastAsia"/>
        </w:rPr>
        <w:t>、</w:t>
      </w:r>
      <w:r w:rsidR="00203F72" w:rsidRPr="00DF3454">
        <w:t>如果有必要，並在可能時，在兒童的父母或依據法律或習慣主要負責照顧的人的同意下，應採取措施，將兒童從進行敵對行動的地區暫時移往國內較安全的地區，並保證由負責其安全和幸福的人伴同</w:t>
      </w:r>
      <w:r w:rsidR="00203F72" w:rsidRPr="00DF3454">
        <w:footnoteReference w:id="943"/>
      </w:r>
      <w:r w:rsidR="00203F72" w:rsidRPr="00DF3454">
        <w:t>。</w:t>
      </w:r>
    </w:p>
    <w:p w14:paraId="44B1A50F" w14:textId="77777777" w:rsidR="00953151" w:rsidRPr="00DF3454" w:rsidRDefault="001C3A2B" w:rsidP="00D87D91">
      <w:r w:rsidRPr="00DF3454">
        <w:t xml:space="preserve">　　</w:t>
      </w:r>
      <w:r w:rsidR="00203F72" w:rsidRPr="00DF3454">
        <w:t>未來，假若因台獨建國之故，中國以核彈對付台灣，勢必造成台灣一切未直接參加武裝衝突之台灣及外國兒童的死亡，這是一種明知且有意使其發生之行為，業已違反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三項對兒童應給予其所需的照顧和援助之國際人道法原則之規定，此種以核彈對付台灣及外國兒童之行為，對於兒童而言，是相當殘酷之行為。</w:t>
      </w:r>
    </w:p>
    <w:p w14:paraId="6E160D22" w14:textId="77777777" w:rsidR="00953151" w:rsidRPr="00DF3454" w:rsidRDefault="001C3A2B" w:rsidP="00D87D91">
      <w:r w:rsidRPr="00DF3454">
        <w:t xml:space="preserve">　　</w:t>
      </w:r>
      <w:r w:rsidR="00203F72" w:rsidRPr="00DF3454">
        <w:t>因為，對於一位兒童而言，台灣是否獨立？其無判斷能力。兒童可能對何謂台灣獨立運動？感到非常抽象，其無法正確理解何為獨立？故，找不到任何之理由，對於台灣及外國兒童進行核武器之屠殺。對許許多多之台灣及外國父母及家庭而論，將陷入絕子絕孫之人生悲劇之中。</w:t>
      </w:r>
    </w:p>
    <w:p w14:paraId="5F02C5A4" w14:textId="77777777" w:rsidR="00953151" w:rsidRPr="00DF3454" w:rsidRDefault="001C3A2B" w:rsidP="00D87D91">
      <w:r w:rsidRPr="00DF3454">
        <w:t xml:space="preserve">　　</w:t>
      </w:r>
      <w:r w:rsidR="00203F72" w:rsidRPr="00DF3454">
        <w:t>(</w:t>
      </w:r>
      <w:r w:rsidR="00203F72" w:rsidRPr="00DF3454">
        <w:t>五</w:t>
      </w:r>
      <w:r w:rsidR="00203F72" w:rsidRPr="00DF3454">
        <w:t>)</w:t>
      </w:r>
      <w:r w:rsidR="00203F72" w:rsidRPr="00DF3454">
        <w:t>、第二議定書第九條明文規定對醫務和宗教人員應加以保護之國際人道法原則</w:t>
      </w:r>
    </w:p>
    <w:p w14:paraId="0864FAD3" w14:textId="77777777" w:rsidR="00953151" w:rsidRPr="00DF3454" w:rsidRDefault="001C3A2B" w:rsidP="00D87D91">
      <w:r w:rsidRPr="00DF3454">
        <w:t xml:space="preserve">　　</w:t>
      </w:r>
      <w:r w:rsidR="00203F72" w:rsidRPr="00DF3454">
        <w:t>未來，假若因台獨建國之故，中國以核彈對付台灣，是否已違反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日日內瓦四公約關於保護非國際性武裝衝突受難者的附加議定書（第二議定書）第九條對醫務和宗教人員應加以保護</w:t>
      </w:r>
      <w:r w:rsidR="00203F72" w:rsidRPr="00DF3454">
        <w:t>(Protection of medical and religious personnel)</w:t>
      </w:r>
      <w:r w:rsidR="00203F72" w:rsidRPr="00DF3454">
        <w:t>之國際人道法原則之規定？</w:t>
      </w:r>
    </w:p>
    <w:p w14:paraId="24F726C1" w14:textId="77777777" w:rsidR="00953151" w:rsidRPr="00DF3454" w:rsidRDefault="001C3A2B" w:rsidP="00D87D91">
      <w:r w:rsidRPr="00DF3454">
        <w:t xml:space="preserve">　　</w:t>
      </w:r>
      <w:r w:rsidR="00203F72" w:rsidRPr="00DF3454">
        <w:t>依據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w:t>
      </w:r>
      <w:r w:rsidR="00203F72" w:rsidRPr="00DF3454">
        <w:t>(</w:t>
      </w:r>
      <w:r w:rsidR="00203F72" w:rsidRPr="00DF3454">
        <w:t>第二議定書</w:t>
      </w:r>
      <w:r w:rsidR="00203F72" w:rsidRPr="00DF3454">
        <w:t>)</w:t>
      </w:r>
      <w:r w:rsidR="00203F72" w:rsidRPr="00DF3454">
        <w:t>第九條對醫務和宗教人員的保護之規定：「</w:t>
      </w:r>
    </w:p>
    <w:p w14:paraId="38967322" w14:textId="77777777"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醫務和宗教人員應受尊重和保護，並在其履行職責中應得到一切可能幫助。對這類人，不應迫其執行與其人道主義使命不符的任務</w:t>
      </w:r>
      <w:r w:rsidR="00203F72" w:rsidRPr="00DF3454">
        <w:footnoteReference w:id="944"/>
      </w:r>
      <w:r w:rsidR="00203F72" w:rsidRPr="00DF3454">
        <w:t>。</w:t>
      </w:r>
    </w:p>
    <w:p w14:paraId="7ECBC1F4" w14:textId="77777777" w:rsidR="00953151" w:rsidRPr="00DF3454" w:rsidRDefault="001C3A2B" w:rsidP="00D87D91">
      <w:r w:rsidRPr="00DF3454">
        <w:rPr>
          <w:rFonts w:hint="eastAsia"/>
        </w:rPr>
        <w:t xml:space="preserve">　　</w:t>
      </w:r>
      <w:r w:rsidRPr="00DF3454">
        <w:rPr>
          <w:rFonts w:hint="eastAsia"/>
        </w:rPr>
        <w:t>2</w:t>
      </w:r>
      <w:r w:rsidRPr="00DF3454">
        <w:rPr>
          <w:rFonts w:hint="eastAsia"/>
        </w:rPr>
        <w:t>、</w:t>
      </w:r>
      <w:r w:rsidR="00203F72" w:rsidRPr="00DF3454">
        <w:t>除有醫療理由外，不應要求醫務人員在履行其職責中給予任何人以優先地位</w:t>
      </w:r>
      <w:r w:rsidR="00203F72" w:rsidRPr="00DF3454">
        <w:footnoteReference w:id="945"/>
      </w:r>
      <w:r w:rsidR="00545D58" w:rsidRPr="00DF3454">
        <w:t>。</w:t>
      </w:r>
      <w:r w:rsidR="00203F72" w:rsidRPr="00DF3454">
        <w:t>」</w:t>
      </w:r>
      <w:r w:rsidR="00203F72" w:rsidRPr="00DF3454">
        <w:t xml:space="preserve"> </w:t>
      </w:r>
    </w:p>
    <w:p w14:paraId="69DCAF57" w14:textId="77777777" w:rsidR="00953151" w:rsidRPr="00DF3454" w:rsidRDefault="001C3A2B" w:rsidP="00D87D91">
      <w:r w:rsidRPr="00DF3454">
        <w:t xml:space="preserve">　　</w:t>
      </w:r>
      <w:r w:rsidR="00203F72" w:rsidRPr="00DF3454">
        <w:t>未來，假若因台獨建國之故，中國以核彈對付台灣，勢必造成台灣一切未直接參加武裝衝突之台灣及外國醫務和宗教人員的死亡，這是一種明知且有意使其發生之行為，業已違反日內瓦四公約關於保護非國際性武裝衝突受難者的附加議定書（第二議定書）第九條對對醫務和宗教人員應加以保護之國際人道法原則</w:t>
      </w:r>
      <w:r w:rsidR="00203F72" w:rsidRPr="00DF3454">
        <w:t>(Protection of medical and religious personnel)</w:t>
      </w:r>
      <w:r w:rsidR="00203F72" w:rsidRPr="00DF3454">
        <w:t>之規定，此種以核彈對台灣及外國醫務和宗教人員進行軍事攻擊之行為，對於醫務和宗教人員而言，是相當殘酷且不人道之行為。因為對絕大多數之宗教人員，均是要修道或修行，而對其進行核武器之屠殺，似乎是過於殘忍。</w:t>
      </w:r>
    </w:p>
    <w:p w14:paraId="523F86A1" w14:textId="77777777" w:rsidR="00953151" w:rsidRPr="00DF3454" w:rsidRDefault="001C3A2B" w:rsidP="00D87D91">
      <w:r w:rsidRPr="00DF3454">
        <w:t xml:space="preserve">　　</w:t>
      </w:r>
      <w:r w:rsidR="00203F72" w:rsidRPr="00DF3454">
        <w:t>(</w:t>
      </w:r>
      <w:r w:rsidR="00203F72" w:rsidRPr="00DF3454">
        <w:t>六</w:t>
      </w:r>
      <w:r w:rsidR="00203F72" w:rsidRPr="00DF3454">
        <w:t>)</w:t>
      </w:r>
      <w:r w:rsidR="00203F72" w:rsidRPr="00DF3454">
        <w:t>、日內瓦四公約關於保護非國際性武裝衝突受難者的附加議定書第二議定書第十一條明文規定對醫療隊和醫務運輸工具應加以保護之國際人道法原則</w:t>
      </w:r>
    </w:p>
    <w:p w14:paraId="6A1CA926" w14:textId="77777777" w:rsidR="00953151" w:rsidRPr="00DF3454" w:rsidRDefault="001C3A2B" w:rsidP="00D87D91">
      <w:r w:rsidRPr="00DF3454">
        <w:t xml:space="preserve">　　</w:t>
      </w:r>
      <w:r w:rsidR="00203F72" w:rsidRPr="00DF3454">
        <w:t>未來，假若因台獨建國之故，中國以核彈對付台灣，是否已違反日內瓦四公約關於保護非國際性武裝衝突受難者的附加議定書（第二議定書）第十一條對醫療隊和醫務運輸工具應加以保護</w:t>
      </w:r>
      <w:r w:rsidR="00203F72" w:rsidRPr="00DF3454">
        <w:t>(Protection of medical units and transports)</w:t>
      </w:r>
      <w:r w:rsidR="00203F72" w:rsidRPr="00DF3454">
        <w:t>之國際人道法原則之規定？</w:t>
      </w:r>
    </w:p>
    <w:p w14:paraId="68920EC3" w14:textId="77777777" w:rsidR="00953151" w:rsidRPr="00DF3454" w:rsidRDefault="001C3A2B" w:rsidP="00D87D91">
      <w:r w:rsidRPr="00DF3454">
        <w:t xml:space="preserve">　　</w:t>
      </w:r>
      <w:r w:rsidR="00203F72" w:rsidRPr="00DF3454">
        <w:t>依據日內瓦四公約關於保護非國際性武裝衝突受難者的附加議定書第十一條之規定：「</w:t>
      </w:r>
    </w:p>
    <w:p w14:paraId="464D47A0" w14:textId="77777777" w:rsidR="00203F72" w:rsidRPr="00DF3454" w:rsidRDefault="001C3A2B" w:rsidP="00D87D91">
      <w:r w:rsidRPr="00DF3454">
        <w:t xml:space="preserve">　　</w:t>
      </w:r>
      <w:r w:rsidR="00203F72" w:rsidRPr="00DF3454">
        <w:t>對醫療隊和醫務運輸工具的保護</w:t>
      </w:r>
    </w:p>
    <w:p w14:paraId="1DC19779" w14:textId="77777777"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醫療隊和醫務運輸工具無論何時均應受尊重和保護，並不應成為攻擊的對象</w:t>
      </w:r>
      <w:r w:rsidR="00203F72" w:rsidRPr="00DF3454">
        <w:footnoteReference w:id="946"/>
      </w:r>
      <w:r w:rsidR="00203F72" w:rsidRPr="00DF3454">
        <w:t>。</w:t>
      </w:r>
    </w:p>
    <w:p w14:paraId="26DCC856" w14:textId="77777777" w:rsidR="00203F72" w:rsidRPr="00DF3454" w:rsidRDefault="001C3A2B" w:rsidP="00D87D91">
      <w:r w:rsidRPr="00DF3454">
        <w:rPr>
          <w:rFonts w:hint="eastAsia"/>
        </w:rPr>
        <w:t xml:space="preserve">　　</w:t>
      </w:r>
      <w:r w:rsidRPr="00DF3454">
        <w:rPr>
          <w:rFonts w:hint="eastAsia"/>
        </w:rPr>
        <w:t>2</w:t>
      </w:r>
      <w:r w:rsidRPr="00DF3454">
        <w:rPr>
          <w:rFonts w:hint="eastAsia"/>
        </w:rPr>
        <w:t>、</w:t>
      </w:r>
      <w:r w:rsidR="00203F72" w:rsidRPr="00DF3454">
        <w:t>醫療隊和醫務運輸工具，除其用於從事人道主義職能以外的敵對行為外，其有權享受的保護不應停止。但僅在發出警告，並在任何適宜時定有合理時限，而警告仍無效果後，保護才得停止</w:t>
      </w:r>
      <w:r w:rsidR="00203F72" w:rsidRPr="00DF3454">
        <w:footnoteReference w:id="947"/>
      </w:r>
      <w:r w:rsidR="00203F72" w:rsidRPr="00DF3454">
        <w:t>。」</w:t>
      </w:r>
    </w:p>
    <w:p w14:paraId="7EFE5ABD" w14:textId="77777777" w:rsidR="00953151" w:rsidRPr="00DF3454" w:rsidRDefault="001C3A2B" w:rsidP="00D87D91">
      <w:r w:rsidRPr="00DF3454">
        <w:t xml:space="preserve">　　</w:t>
      </w:r>
      <w:r w:rsidR="00203F72" w:rsidRPr="00DF3454">
        <w:t>未來，假若因台獨建國之故，中國以核彈對付台灣，勢必造成台灣一切未直接參加武裝衝突之醫療院所之毀壞，這是一種明知且有意使其發生之行為，業已違反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九條對醫療隊和醫務運輸工具應加以保護之國際人道法原則之規定，此種以核彈對台灣醫療院所進行軍事攻擊之行為，是相當殘酷且不人道之行為。</w:t>
      </w:r>
    </w:p>
    <w:p w14:paraId="7EEBFA25" w14:textId="77777777" w:rsidR="00953151" w:rsidRPr="00DF3454" w:rsidRDefault="001C3A2B" w:rsidP="00D87D91">
      <w:r w:rsidRPr="00DF3454">
        <w:t xml:space="preserve">　　</w:t>
      </w:r>
      <w:r w:rsidR="00203F72" w:rsidRPr="00DF3454">
        <w:t>玆以北部林口地區之林口長庚醫院為例，在平時，看診而需住院之病患，已是一床難求，現急診室病患之床位，已排到走道及拿藥處之外部走道上，亦即，原本之走道上，佈置許許多多之臨時性病床，如發生核子戰爭，連醫院及醫護人員都被炸毀，屆時，病床之需求方面，恐更難有一床可求。</w:t>
      </w:r>
    </w:p>
    <w:p w14:paraId="3DE85673" w14:textId="77777777" w:rsidR="00953151" w:rsidRPr="00DF3454" w:rsidRDefault="001C3A2B" w:rsidP="00D87D91">
      <w:r w:rsidRPr="00DF3454">
        <w:t xml:space="preserve">　　</w:t>
      </w:r>
      <w:r w:rsidR="00203F72" w:rsidRPr="00DF3454">
        <w:t>(</w:t>
      </w:r>
      <w:r w:rsidR="00203F72" w:rsidRPr="00DF3454">
        <w:t>七</w:t>
      </w:r>
      <w:r w:rsidR="00203F72" w:rsidRPr="00DF3454">
        <w:t>)</w:t>
      </w:r>
      <w:r w:rsidR="00203F72" w:rsidRPr="00DF3454">
        <w:t>、第二議定書第十三條明文規定平民居民和平民個人應享受免於軍事行動所產生的危險的一般保護之國際人道法原則</w:t>
      </w:r>
    </w:p>
    <w:p w14:paraId="1549611B" w14:textId="77777777" w:rsidR="00203F72" w:rsidRPr="00DF3454" w:rsidRDefault="001C3A2B" w:rsidP="00D87D91">
      <w:r w:rsidRPr="00DF3454">
        <w:t xml:space="preserve">　　</w:t>
      </w:r>
      <w:r w:rsidR="00203F72" w:rsidRPr="00DF3454">
        <w:t>根據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日日內瓦四公約關於保護非國際性武裝衝突受難者的附加議定書（第二議定書）第十三條之規定</w:t>
      </w:r>
      <w:r w:rsidR="00203F72" w:rsidRPr="00DF3454">
        <w:footnoteReference w:id="948"/>
      </w:r>
      <w:r w:rsidR="00203F72" w:rsidRPr="00DF3454">
        <w:t>：「</w:t>
      </w:r>
    </w:p>
    <w:p w14:paraId="3B1F0ECB" w14:textId="77777777" w:rsidR="00203F72" w:rsidRPr="00DF3454" w:rsidRDefault="001C3A2B" w:rsidP="00D87D91">
      <w:r w:rsidRPr="00DF3454">
        <w:t xml:space="preserve">　　</w:t>
      </w:r>
      <w:r w:rsidR="00203F72" w:rsidRPr="00DF3454">
        <w:t>(1)</w:t>
      </w:r>
      <w:r w:rsidR="00203F72" w:rsidRPr="00DF3454">
        <w:t>、平民居民和平民個人應享受免於軍事行動所產生的危險的一般保護</w:t>
      </w:r>
      <w:r w:rsidR="00203F72" w:rsidRPr="00DF3454">
        <w:footnoteReference w:id="949"/>
      </w:r>
      <w:r w:rsidR="00203F72" w:rsidRPr="00DF3454">
        <w:t>。為了實現這種保護，在任何情況下均應遵守下列各項規則</w:t>
      </w:r>
      <w:r w:rsidR="00203F72" w:rsidRPr="00DF3454">
        <w:footnoteReference w:id="950"/>
      </w:r>
      <w:r w:rsidR="00203F72" w:rsidRPr="00DF3454">
        <w:t>。</w:t>
      </w:r>
    </w:p>
    <w:p w14:paraId="31874E40" w14:textId="77777777" w:rsidR="00203F72" w:rsidRPr="00DF3454" w:rsidRDefault="001C3A2B" w:rsidP="00D87D91">
      <w:r w:rsidRPr="00DF3454">
        <w:t xml:space="preserve">　　</w:t>
      </w:r>
      <w:r w:rsidR="00203F72" w:rsidRPr="00DF3454">
        <w:t>(2)</w:t>
      </w:r>
      <w:r w:rsidR="00203F72" w:rsidRPr="00DF3454">
        <w:t>、平民居民本身以及平民個人，不應成為攻擊的對象</w:t>
      </w:r>
      <w:r w:rsidR="00203F72" w:rsidRPr="00DF3454">
        <w:footnoteReference w:id="951"/>
      </w:r>
      <w:r w:rsidR="00203F72" w:rsidRPr="00DF3454">
        <w:t>。禁止以在平民居民中散佈恐怖為主要目的的暴力行為或暴力威脅</w:t>
      </w:r>
      <w:r w:rsidR="00203F72" w:rsidRPr="00DF3454">
        <w:t>(</w:t>
      </w:r>
      <w:r w:rsidR="00203F72" w:rsidRPr="00DF3454">
        <w:footnoteReference w:id="952"/>
      </w:r>
      <w:r w:rsidR="00203F72" w:rsidRPr="00DF3454">
        <w:t>。</w:t>
      </w:r>
    </w:p>
    <w:p w14:paraId="2ED1B22F" w14:textId="77777777" w:rsidR="00953151" w:rsidRPr="00DF3454" w:rsidRDefault="001C3A2B" w:rsidP="00D87D91">
      <w:r w:rsidRPr="00DF3454">
        <w:t xml:space="preserve">　　</w:t>
      </w:r>
      <w:r w:rsidR="00203F72" w:rsidRPr="00DF3454">
        <w:t>(3)</w:t>
      </w:r>
      <w:r w:rsidR="00203F72" w:rsidRPr="00DF3454">
        <w:t>、平民個人除直接參加敵對行為並在參加期間外，應享受本部所給予的保護</w:t>
      </w:r>
      <w:r w:rsidR="00203F72" w:rsidRPr="00DF3454">
        <w:footnoteReference w:id="953"/>
      </w:r>
      <w:r w:rsidR="00203F72" w:rsidRPr="00DF3454">
        <w:t>。</w:t>
      </w:r>
    </w:p>
    <w:p w14:paraId="3DAD931C" w14:textId="77777777" w:rsidR="00953151" w:rsidRPr="00DF3454" w:rsidRDefault="001C3A2B" w:rsidP="00D87D91">
      <w:r w:rsidRPr="00DF3454">
        <w:t xml:space="preserve">　　</w:t>
      </w:r>
      <w:r w:rsidR="00203F72" w:rsidRPr="00DF3454">
        <w:t>從上述條文規範之中，可以發現，未來，假若因台獨建國之故，中國以核彈對付台灣，業已非常嚴重地違反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關於平民居民和平民個人應享受免於軍事行動所產生的危險的一般保護之國際人道法原則之規定，因為，此一核彈攻擊之中，就平民居民本身以及平民個人部分，已成為攻擊的對象。</w:t>
      </w:r>
    </w:p>
    <w:p w14:paraId="46F17170" w14:textId="77777777" w:rsidR="00953151" w:rsidRPr="00DF3454" w:rsidRDefault="001C3A2B" w:rsidP="00D87D91">
      <w:r w:rsidRPr="00DF3454">
        <w:t xml:space="preserve">　　</w:t>
      </w:r>
      <w:r w:rsidR="00203F72" w:rsidRPr="00DF3454">
        <w:t>(</w:t>
      </w:r>
      <w:r w:rsidR="00203F72" w:rsidRPr="00DF3454">
        <w:t>八</w:t>
      </w:r>
      <w:r w:rsidR="00203F72" w:rsidRPr="00DF3454">
        <w:t>)</w:t>
      </w:r>
      <w:r w:rsidR="00203F72" w:rsidRPr="00DF3454">
        <w:t>、第二議定書第十三條第二款明文規定禁止以在平民居民中散佈恐怖為主要目的的暴力行為或暴力威脅</w:t>
      </w:r>
    </w:p>
    <w:p w14:paraId="3799AE7A" w14:textId="77777777" w:rsidR="00953151" w:rsidRPr="00DF3454" w:rsidRDefault="001C3A2B" w:rsidP="00D87D91">
      <w:r w:rsidRPr="00DF3454">
        <w:t xml:space="preserve">　　</w:t>
      </w:r>
      <w:r w:rsidR="00203F72" w:rsidRPr="00DF3454">
        <w:t>另外一個問題，假若因台獨建國之故，中國對台灣提出以核彈進行軍事攻擊之軍事戰略，作為一種軍事威脅手段或工具，是否已違反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日日內瓦四公約關於保護非國際性武裝衝突受難者的附加議定書（第二議定書）第十三條第二款之規定？根據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日日內瓦四公約關於保護非國際性武裝衝突受難者的附加議定書（第二議定書）第十三條第二款之規定：「禁止以在平民居民中散佈恐怖為主要目的的暴力行為或暴力威脅</w:t>
      </w:r>
      <w:r w:rsidR="00203F72" w:rsidRPr="00DF3454">
        <w:footnoteReference w:id="954"/>
      </w:r>
      <w:r w:rsidR="00203F72" w:rsidRPr="00DF3454">
        <w:t>。</w:t>
      </w:r>
    </w:p>
    <w:p w14:paraId="1DC76187" w14:textId="77777777" w:rsidR="00953151" w:rsidRPr="00DF3454" w:rsidRDefault="001C3A2B" w:rsidP="00D87D91">
      <w:r w:rsidRPr="00DF3454">
        <w:t xml:space="preserve">　　</w:t>
      </w:r>
      <w:r w:rsidR="00203F72" w:rsidRPr="00DF3454">
        <w:t>值得注意的，上述之規定中，即使是事前</w:t>
      </w:r>
      <w:r w:rsidR="00203F72" w:rsidRPr="00DF3454">
        <w:t>(</w:t>
      </w:r>
      <w:r w:rsidR="00203F72" w:rsidRPr="00DF3454">
        <w:t>戰前</w:t>
      </w:r>
      <w:r w:rsidR="00203F72" w:rsidRPr="00DF3454">
        <w:t>)</w:t>
      </w:r>
      <w:r w:rsidR="00203F72" w:rsidRPr="00DF3454">
        <w:t>之暴力威脅，亦是</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日日內瓦四公約關於保護非國際性武裝衝突受難者的附加議定書（第二議定書）第十三條第二款明文禁止之規範標的。</w:t>
      </w:r>
    </w:p>
    <w:p w14:paraId="04F53E68" w14:textId="77777777" w:rsidR="00953151" w:rsidRPr="00DF3454" w:rsidRDefault="001C3A2B" w:rsidP="00D87D91">
      <w:r w:rsidRPr="00DF3454">
        <w:t xml:space="preserve">　　</w:t>
      </w:r>
      <w:r w:rsidR="00203F72" w:rsidRPr="00DF3454">
        <w:t>本書認為，假若未來中國對台灣提出以核彈進行軍事攻擊之軍事戰略，作為一種以軍事實力威脅台灣平民之手段或工具，亦即，以心理之強制威脅，恐嚇台灣平民及外國之平民，事實上，是已違反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日日內瓦四公約關於保護非國際性武裝衝突受難者的附加議定書（第二議定書）第十三條第二款禁止以在平民居民中散佈恐怖為主要目的的暴力行為或暴力威脅之規定，因為，在任何情況下</w:t>
      </w:r>
      <w:r w:rsidR="00203F72" w:rsidRPr="00DF3454">
        <w:t>(in all circumstances)</w:t>
      </w:r>
      <w:r w:rsidR="00203F72" w:rsidRPr="00DF3454">
        <w:t>，根據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日日內瓦四公約關於保護非國際性武裝衝突受難者的附加議定書（第二議定書）第十三條第二款之規定，禁止以在平民居民中散佈恐怖為主要目的的暴力行為或暴力威脅</w:t>
      </w:r>
      <w:r w:rsidR="00203F72" w:rsidRPr="00DF3454">
        <w:t>(spread terror among the civilian population are prohibited)</w:t>
      </w:r>
      <w:r w:rsidR="00203F72" w:rsidRPr="00DF3454">
        <w:t>。</w:t>
      </w:r>
    </w:p>
    <w:p w14:paraId="4F67BE66" w14:textId="77777777" w:rsidR="00953151" w:rsidRPr="00DF3454" w:rsidRDefault="001C3A2B" w:rsidP="00D87D91">
      <w:r w:rsidRPr="00DF3454">
        <w:t xml:space="preserve">　　</w:t>
      </w:r>
      <w:r w:rsidR="00203F72" w:rsidRPr="00DF3454">
        <w:t>而假若於未來，在戰爭之前，中國對台灣提出以核彈進行軍事攻擊之威嚇戰略，則是一種事前之核武器的暴力威脅，業已符合</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日日內瓦四公約關於保護非國際性武裝衝突受難者的附加議定書（第二議定書）第十三條第二款之構成要件，再加上無阻卻違法之事由，中國在作出此種決定下，亦具有責任之能力，故已違反上開之規定，是</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日日內瓦四公約關於保護非國際性武裝衝突受難者的附加議定書（第二議定書）第十三條第二款明文禁止之規範標的。</w:t>
      </w:r>
    </w:p>
    <w:p w14:paraId="5A0025BF" w14:textId="77777777" w:rsidR="00953151" w:rsidRPr="00DF3454" w:rsidRDefault="001C3A2B" w:rsidP="00D87D91">
      <w:r w:rsidRPr="00DF3454">
        <w:t xml:space="preserve">　　</w:t>
      </w:r>
      <w:r w:rsidR="00203F72" w:rsidRPr="00DF3454">
        <w:t>上述之在任何情況下</w:t>
      </w:r>
      <w:r w:rsidR="00203F72" w:rsidRPr="00DF3454">
        <w:t>(in all circumstances)</w:t>
      </w:r>
      <w:r w:rsidR="00203F72" w:rsidRPr="00DF3454">
        <w:t>，何謂在任何情況下</w:t>
      </w:r>
      <w:r w:rsidR="00203F72" w:rsidRPr="00DF3454">
        <w:t>(in all circumstances)</w:t>
      </w:r>
      <w:r w:rsidR="00203F72" w:rsidRPr="00DF3454">
        <w:t>？此包括任何之敵對之軍事手段，均應遵守第</w:t>
      </w:r>
      <w:r w:rsidR="00203F72" w:rsidRPr="00DF3454">
        <w:t>2</w:t>
      </w:r>
      <w:r w:rsidR="00203F72" w:rsidRPr="00DF3454">
        <w:t>議定書之規定，故以核彈進行軍事攻擊之軍事戰略，作為一種軍事威脅手段或工具，以心理之強制威脅，恐嚇台灣及外國平民，此種之暴力威脅，是一種違反國際法之違法行為，並非文明人類之作法，應被聯合國及國際社會加以禁止之。</w:t>
      </w:r>
    </w:p>
    <w:p w14:paraId="52B4F04B" w14:textId="77777777" w:rsidR="00953151" w:rsidRPr="00DF3454" w:rsidRDefault="001C3A2B" w:rsidP="00D87D91">
      <w:r w:rsidRPr="00DF3454">
        <w:t xml:space="preserve">　　</w:t>
      </w:r>
      <w:r w:rsidR="00203F72" w:rsidRPr="00DF3454">
        <w:t>是以，中國《反分裂國家法》</w:t>
      </w:r>
      <w:hyperlink r:id="rId2300" w:anchor="a9" w:history="1">
        <w:r w:rsidR="00BD43D3" w:rsidRPr="00B56AE1">
          <w:rPr>
            <w:rStyle w:val="a5"/>
            <w:rFonts w:ascii="Times New Roman" w:hAnsi="Times New Roman"/>
          </w:rPr>
          <w:t>第九條</w:t>
        </w:r>
      </w:hyperlink>
      <w:r w:rsidR="00203F72" w:rsidRPr="00DF3454">
        <w:t>「非和平方式及其他必要措施」的意涵，上開條文之合情、合理、合法之解釋，似應包含解放軍不能對台使用核武器的含意。該條文中，似應蘊藏著大陸軍方對臺灣不得使用核武器的考量</w:t>
      </w:r>
      <w:r w:rsidR="00203F72" w:rsidRPr="00DF3454">
        <w:footnoteReference w:id="955"/>
      </w:r>
      <w:r w:rsidR="00203F72" w:rsidRPr="00DF3454">
        <w:t>，此種禁止核武之意涵，理應包括不以核彈進行軍事攻擊之軍事戰略，而作為一種戰爭前之軍事威脅手段或工具。</w:t>
      </w:r>
    </w:p>
    <w:p w14:paraId="02735A45" w14:textId="77777777" w:rsidR="00953151" w:rsidRPr="00DF3454" w:rsidRDefault="001C3A2B" w:rsidP="00D87D91">
      <w:r w:rsidRPr="00DF3454">
        <w:t xml:space="preserve">　　</w:t>
      </w:r>
      <w:r w:rsidR="00203F72" w:rsidRPr="00DF3454">
        <w:t>(</w:t>
      </w:r>
      <w:r w:rsidR="00203F72" w:rsidRPr="00DF3454">
        <w:t>九</w:t>
      </w:r>
      <w:r w:rsidR="00203F72" w:rsidRPr="00DF3454">
        <w:t>)</w:t>
      </w:r>
      <w:r w:rsidR="00203F72" w:rsidRPr="00DF3454">
        <w:t>、第二議定書第第十四條明文規定對平民居民生存所不可缺少的物體應加以保護</w:t>
      </w:r>
      <w:r w:rsidR="00203F72" w:rsidRPr="00DF3454">
        <w:t>(Protection of objects indispensable to the survival of the civilian population)</w:t>
      </w:r>
    </w:p>
    <w:p w14:paraId="1E5AC78F" w14:textId="77777777" w:rsidR="00953151" w:rsidRPr="00DF3454" w:rsidRDefault="001C3A2B" w:rsidP="00D87D91">
      <w:r w:rsidRPr="00DF3454">
        <w:t xml:space="preserve">　　</w:t>
      </w:r>
      <w:r w:rsidR="00203F72" w:rsidRPr="00DF3454">
        <w:t>假若因台獨建國之故，中國對台灣進行以核彈進行軍事攻擊之軍事戰略，是否已違反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日日內瓦四公約關於保護非國際性武裝衝突受難者的附加議定書（第二議定書）第十四條對平民居民生存所不可缺少的物體應加以保護</w:t>
      </w:r>
      <w:r w:rsidR="00203F72" w:rsidRPr="00DF3454">
        <w:footnoteReference w:id="956"/>
      </w:r>
      <w:r w:rsidR="00203F72" w:rsidRPr="00DF3454">
        <w:t>之規定？</w:t>
      </w:r>
    </w:p>
    <w:p w14:paraId="1BA67F29" w14:textId="77777777" w:rsidR="00203F72" w:rsidRPr="00DF3454" w:rsidRDefault="001C3A2B" w:rsidP="00D87D91">
      <w:r w:rsidRPr="00DF3454">
        <w:t xml:space="preserve">　　</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日日內瓦四公約關於保護非國際性武裝衝突受難者的附加議定書第二議定書第十四條明文規定：「作為作戰方法使平民居民陷於饑餓，是禁止的</w:t>
      </w:r>
      <w:r w:rsidR="00203F72" w:rsidRPr="00DF3454">
        <w:footnoteReference w:id="957"/>
      </w:r>
      <w:r w:rsidR="00203F72" w:rsidRPr="00DF3454">
        <w:t>。因此，為了該目的，對平民居民所不可缺少的物體</w:t>
      </w:r>
      <w:r w:rsidR="00203F72" w:rsidRPr="00DF3454">
        <w:t>(objects indispensable to the survival of the civilian population)</w:t>
      </w:r>
      <w:r w:rsidR="00203F72" w:rsidRPr="00DF3454">
        <w:t>，如糧食</w:t>
      </w:r>
      <w:r w:rsidR="00203F72" w:rsidRPr="00DF3454">
        <w:t>(foodstuffs)</w:t>
      </w:r>
      <w:r w:rsidR="00203F72" w:rsidRPr="00DF3454">
        <w:t>、生產糧食的農業區</w:t>
      </w:r>
      <w:r w:rsidR="00203F72" w:rsidRPr="00DF3454">
        <w:t>(agricultural areas for the production of foodstuffs)</w:t>
      </w:r>
      <w:r w:rsidR="00203F72" w:rsidRPr="00DF3454">
        <w:t>、農作物</w:t>
      </w:r>
      <w:r w:rsidR="00203F72" w:rsidRPr="00DF3454">
        <w:t>(crops)</w:t>
      </w:r>
      <w:r w:rsidR="00203F72" w:rsidRPr="00DF3454">
        <w:t>、牲畜</w:t>
      </w:r>
      <w:r w:rsidR="00203F72" w:rsidRPr="00DF3454">
        <w:t>(livestock)</w:t>
      </w:r>
      <w:r w:rsidR="00203F72" w:rsidRPr="00DF3454">
        <w:t>、飲水裝置和供應</w:t>
      </w:r>
      <w:r w:rsidR="00203F72" w:rsidRPr="00DF3454">
        <w:t>(drinking water installations and supplies)</w:t>
      </w:r>
      <w:r w:rsidR="00203F72" w:rsidRPr="00DF3454">
        <w:t>及灌溉工程</w:t>
      </w:r>
      <w:r w:rsidR="00203F72" w:rsidRPr="00DF3454">
        <w:t>(irrigation works)</w:t>
      </w:r>
      <w:r w:rsidR="00203F72" w:rsidRPr="00DF3454">
        <w:t>，進行攻擊、破壞、移動或使其失去效用，都是禁止的</w:t>
      </w:r>
      <w:r w:rsidR="00203F72" w:rsidRPr="00DF3454">
        <w:footnoteReference w:id="958"/>
      </w:r>
      <w:r w:rsidR="00203F72" w:rsidRPr="00DF3454">
        <w:t>。」</w:t>
      </w:r>
    </w:p>
    <w:p w14:paraId="5D6919F1" w14:textId="77777777" w:rsidR="00953151" w:rsidRPr="00DF3454" w:rsidRDefault="001C3A2B" w:rsidP="00D87D91">
      <w:r w:rsidRPr="00DF3454">
        <w:t xml:space="preserve">　　</w:t>
      </w:r>
      <w:r w:rsidR="00203F72" w:rsidRPr="00DF3454">
        <w:t>假若因台獨建國之故，中國對台灣以核彈進行軍事攻擊，可以想像的，是會對於台灣及外國平民之飲水裝置和供應</w:t>
      </w:r>
      <w:r w:rsidR="00203F72" w:rsidRPr="00DF3454">
        <w:t>(drinking water installations and supplies)</w:t>
      </w:r>
      <w:r w:rsidR="00203F72" w:rsidRPr="00DF3454">
        <w:t>及灌溉工程</w:t>
      </w:r>
      <w:r w:rsidR="00203F72" w:rsidRPr="00DF3454">
        <w:t>(irrigation works)</w:t>
      </w:r>
      <w:r w:rsidR="00203F72" w:rsidRPr="00DF3454">
        <w:t>，進行毀滅性破壞或使其失去效用，這是一種明知且有意使其發生之行為，所觸犯之罪名，是對於台灣及外國平民之飲水裝置和供應及灌溉工程進行破壞或使其失去效用罪，業已符合</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日日內瓦四公約關於保護非國際性武裝衝突受難者的附加議定書（第二議定書）第十四條之構成要件，故已非常明顯地違反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日日內瓦四公約關於保護非國際性武裝衝突受難者的附加議定書（第二議定書）第十四條之規定。</w:t>
      </w:r>
    </w:p>
    <w:p w14:paraId="2415086C" w14:textId="77777777" w:rsidR="00953151" w:rsidRPr="00DF3454" w:rsidRDefault="001C3A2B" w:rsidP="00D87D91">
      <w:r w:rsidRPr="00DF3454">
        <w:t xml:space="preserve">　　</w:t>
      </w:r>
      <w:r w:rsidR="00203F72" w:rsidRPr="00DF3454">
        <w:t>(</w:t>
      </w:r>
      <w:r w:rsidR="00203F72" w:rsidRPr="00DF3454">
        <w:t>十</w:t>
      </w:r>
      <w:r w:rsidR="00203F72" w:rsidRPr="00DF3454">
        <w:t>)</w:t>
      </w:r>
      <w:r w:rsidR="00203F72" w:rsidRPr="00DF3454">
        <w:t>、第二議定書第十六條明文規定禁止對文物和禮拜場所加以破壞</w:t>
      </w:r>
      <w:r w:rsidR="00203F72" w:rsidRPr="00DF3454">
        <w:t xml:space="preserve"> </w:t>
      </w:r>
    </w:p>
    <w:p w14:paraId="55F0D0DA" w14:textId="77777777" w:rsidR="00953151" w:rsidRPr="00DF3454" w:rsidRDefault="00145751" w:rsidP="00D87D91">
      <w:r w:rsidRPr="00DF3454">
        <w:t xml:space="preserve">　　</w:t>
      </w:r>
      <w:r w:rsidR="00203F72" w:rsidRPr="00DF3454">
        <w:t>假若因台獨建國之故，中國對台灣以核彈進行軍事攻擊，是否已違反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日日內瓦四公約關於保護非國際性武裝衝突受難者的附加議定書（第二議定書）第十六條禁止對文物和禮拜場所加以破壞</w:t>
      </w:r>
      <w:r w:rsidR="00203F72" w:rsidRPr="00DF3454">
        <w:t>(Protection of cultural objects and of places of worship)</w:t>
      </w:r>
      <w:r w:rsidR="00203F72" w:rsidRPr="00DF3454">
        <w:t>之規定？</w:t>
      </w:r>
    </w:p>
    <w:p w14:paraId="12892F30" w14:textId="77777777" w:rsidR="00953151" w:rsidRPr="00DF3454" w:rsidRDefault="001C3A2B" w:rsidP="00D87D91">
      <w:r w:rsidRPr="00DF3454">
        <w:t xml:space="preserve">　　</w:t>
      </w:r>
      <w:r w:rsidR="00203F72" w:rsidRPr="00DF3454">
        <w:t>該條規定，在不妨礙</w:t>
      </w:r>
      <w:r w:rsidR="008F066C">
        <w:t>1</w:t>
      </w:r>
      <w:r w:rsidR="007F3288">
        <w:t>9</w:t>
      </w:r>
      <w:r w:rsidR="008F066C">
        <w:t>54</w:t>
      </w:r>
      <w:r w:rsidR="00203F72" w:rsidRPr="00DF3454">
        <w:t>年</w:t>
      </w:r>
      <w:r w:rsidR="008F066C">
        <w:t>5</w:t>
      </w:r>
      <w:r w:rsidR="00203F72" w:rsidRPr="00DF3454">
        <w:t>月</w:t>
      </w:r>
      <w:r w:rsidR="008F066C">
        <w:t>14</w:t>
      </w:r>
      <w:r w:rsidR="00203F72" w:rsidRPr="00DF3454">
        <w:t>日關於發生武裝衝突時保護文化財產的海牙公約的規定的條件下</w:t>
      </w:r>
      <w:r w:rsidR="00203F72" w:rsidRPr="00DF3454">
        <w:footnoteReference w:id="959"/>
      </w:r>
      <w:r w:rsidR="00203F72" w:rsidRPr="00DF3454">
        <w:t>，對構成各國人民文化或精神遺產的曆史紀念物、藝術品或禮拜場所從事任何敵對行為，以及利用這些物體以支持軍事努力，都是禁止的</w:t>
      </w:r>
      <w:r w:rsidR="00203F72" w:rsidRPr="00DF3454">
        <w:footnoteReference w:id="960"/>
      </w:r>
      <w:r w:rsidR="00203F72" w:rsidRPr="00DF3454">
        <w:t>。</w:t>
      </w:r>
    </w:p>
    <w:p w14:paraId="33E3FECF" w14:textId="77777777" w:rsidR="00203F72" w:rsidRPr="00DF3454" w:rsidRDefault="001C3A2B" w:rsidP="00D87D91">
      <w:r w:rsidRPr="00DF3454">
        <w:t xml:space="preserve">　　</w:t>
      </w:r>
      <w:r w:rsidR="00203F72" w:rsidRPr="00DF3454">
        <w:t>假若因台獨建國之故，中國對台灣以核彈進行軍事攻擊，可以想像的，必會對於台灣地區之文化或精神遺產的曆史紀念物、藝術品或禮拜場所造成毀滅性之破壞，故此種行為，已違反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日日內瓦四公約關於保護非國際性武裝衝突受難者的附加議定書（第二議定書）第十六條禁止對文物和禮拜場所加以破壞之規定。</w:t>
      </w:r>
    </w:p>
    <w:p w14:paraId="4CB311C8" w14:textId="77777777" w:rsidR="00953151" w:rsidRPr="00DF3454" w:rsidRDefault="001C3A2B" w:rsidP="00D87D91">
      <w:r w:rsidRPr="00DF3454">
        <w:t xml:space="preserve">　　</w:t>
      </w:r>
      <w:r w:rsidR="00203F72" w:rsidRPr="00DF3454">
        <w:t>二、違反「國際刑事法院羅馬規約」</w:t>
      </w:r>
    </w:p>
    <w:p w14:paraId="0CBE038B" w14:textId="77777777" w:rsidR="00953151" w:rsidRPr="00DF3454" w:rsidRDefault="001C3A2B" w:rsidP="00D87D91">
      <w:r w:rsidRPr="00DF3454">
        <w:t xml:space="preserve">　　</w:t>
      </w:r>
      <w:r w:rsidR="00203F72" w:rsidRPr="00DF3454">
        <w:t>假若因台獨建國之故，中國對台灣提出以核彈進行軍事攻擊之軍事戰略，而上開核彈之軍事攻擊，果真造成台灣及外國平民之大量死亡，極有可能會觸犯「國際刑事法院羅馬規約」相關之罪名，諸如戰爭罪等，詳如下述。</w:t>
      </w:r>
    </w:p>
    <w:p w14:paraId="709AB5D3" w14:textId="77777777" w:rsidR="00203F72" w:rsidRPr="00DF3454" w:rsidRDefault="001C3A2B" w:rsidP="00D87D91">
      <w:r w:rsidRPr="00DF3454">
        <w:t xml:space="preserve">　　</w:t>
      </w:r>
      <w:r w:rsidR="00203F72" w:rsidRPr="00DF3454">
        <w:t>(</w:t>
      </w:r>
      <w:r w:rsidR="00203F72" w:rsidRPr="00DF3454">
        <w:t>一</w:t>
      </w:r>
      <w:r w:rsidR="00203F72" w:rsidRPr="00DF3454">
        <w:t>)</w:t>
      </w:r>
      <w:r w:rsidR="00203F72" w:rsidRPr="00DF3454">
        <w:t>有可能會觸犯「國際刑事法院羅馬規約」第六條之滅絕種族罪</w:t>
      </w:r>
      <w:r w:rsidR="00203F72" w:rsidRPr="00DF3454">
        <w:t>(The crime of genocide)</w:t>
      </w:r>
    </w:p>
    <w:p w14:paraId="7A3E40AE" w14:textId="77777777" w:rsidR="00953151" w:rsidRPr="00DF3454" w:rsidRDefault="001C3A2B" w:rsidP="00D87D91">
      <w:r w:rsidRPr="00DF3454">
        <w:t xml:space="preserve">　　</w:t>
      </w:r>
      <w:r w:rsidR="00203F72" w:rsidRPr="00DF3454">
        <w:t>假若因台獨建國之故，中國對台灣以核彈進行軍事攻擊，如果果真造成台灣及外國非武裝平民大量死亡，則有可能會觸犯「國際刑事法院羅馬規約」第六條滅絕種族罪中的第一款、第二款及第三款。根據「國際刑事法院羅馬規約」第六條之規定，</w:t>
      </w:r>
      <w:r w:rsidR="00203F72" w:rsidRPr="00DF3454">
        <w:t xml:space="preserve"> “</w:t>
      </w:r>
      <w:r w:rsidR="00203F72" w:rsidRPr="00DF3454">
        <w:t>滅絕種族罪</w:t>
      </w:r>
      <w:r w:rsidR="00203F72" w:rsidRPr="00DF3454">
        <w:t>”</w:t>
      </w:r>
      <w:r w:rsidR="00203F72" w:rsidRPr="00DF3454">
        <w:t>是指蓄意全部或局部消滅某一民族、族裔、種族或宗教團體</w:t>
      </w:r>
      <w:r w:rsidR="00203F72" w:rsidRPr="00DF3454">
        <w:t>"</w:t>
      </w:r>
      <w:r w:rsidR="00203F72" w:rsidRPr="00DF3454">
        <w:t>，而實施的下列任何一種行為</w:t>
      </w:r>
      <w:r w:rsidR="00203F72" w:rsidRPr="00DF3454">
        <w:footnoteReference w:id="961"/>
      </w:r>
      <w:r w:rsidR="00203F72" w:rsidRPr="00DF3454">
        <w:t>：</w:t>
      </w:r>
    </w:p>
    <w:p w14:paraId="41445C1B" w14:textId="77777777" w:rsidR="00953151" w:rsidRPr="00DF3454" w:rsidRDefault="001C3A2B" w:rsidP="00D87D91">
      <w:r w:rsidRPr="00DF3454">
        <w:t xml:space="preserve">　　</w:t>
      </w:r>
      <w:r w:rsidR="00203F72" w:rsidRPr="00DF3454">
        <w:t xml:space="preserve">1. </w:t>
      </w:r>
      <w:r w:rsidR="00203F72" w:rsidRPr="00DF3454">
        <w:t>殺害該團體的成員</w:t>
      </w:r>
      <w:r w:rsidR="00203F72" w:rsidRPr="00DF3454">
        <w:t>(Killing members of the group);</w:t>
      </w:r>
    </w:p>
    <w:p w14:paraId="768E4C40" w14:textId="77777777" w:rsidR="00953151" w:rsidRPr="00DF3454" w:rsidRDefault="001C3A2B" w:rsidP="00D87D91">
      <w:r w:rsidRPr="00DF3454">
        <w:t xml:space="preserve">　　</w:t>
      </w:r>
      <w:r w:rsidR="00203F72" w:rsidRPr="00DF3454">
        <w:t xml:space="preserve">2. </w:t>
      </w:r>
      <w:r w:rsidR="00203F72" w:rsidRPr="00DF3454">
        <w:t>致使該團體的成員在身體上或精神上遭受嚴重傷害</w:t>
      </w:r>
      <w:r w:rsidR="00203F72" w:rsidRPr="00DF3454">
        <w:t>(Causing serious bodily or mental harm to members of the group);</w:t>
      </w:r>
    </w:p>
    <w:p w14:paraId="4C10284A" w14:textId="77777777" w:rsidR="00953151" w:rsidRPr="00DF3454" w:rsidRDefault="001C3A2B" w:rsidP="00D87D91">
      <w:r w:rsidRPr="00DF3454">
        <w:t xml:space="preserve">　　</w:t>
      </w:r>
      <w:r w:rsidR="00203F72" w:rsidRPr="00DF3454">
        <w:t xml:space="preserve">3. </w:t>
      </w:r>
      <w:r w:rsidR="00203F72" w:rsidRPr="00DF3454">
        <w:t>故意使該團體處於某種生活狀況下</w:t>
      </w:r>
      <w:r w:rsidR="00203F72" w:rsidRPr="00DF3454">
        <w:t>,</w:t>
      </w:r>
      <w:r w:rsidR="00203F72" w:rsidRPr="00DF3454">
        <w:t>毀滅其全部或局部的生命</w:t>
      </w:r>
      <w:r w:rsidR="00203F72" w:rsidRPr="00DF3454">
        <w:footnoteReference w:id="962"/>
      </w:r>
      <w:r w:rsidR="00203F72" w:rsidRPr="00DF3454">
        <w:t>;</w:t>
      </w:r>
    </w:p>
    <w:p w14:paraId="22E66E3C" w14:textId="77777777" w:rsidR="00953151" w:rsidRPr="00DF3454" w:rsidRDefault="001C3A2B" w:rsidP="00D87D91">
      <w:r w:rsidRPr="00DF3454">
        <w:t xml:space="preserve">　　</w:t>
      </w:r>
      <w:r w:rsidR="00203F72" w:rsidRPr="00DF3454">
        <w:t xml:space="preserve">4. </w:t>
      </w:r>
      <w:r w:rsidR="00203F72" w:rsidRPr="00DF3454">
        <w:t>強制施行辦法</w:t>
      </w:r>
      <w:r w:rsidR="00203F72" w:rsidRPr="00DF3454">
        <w:t>,</w:t>
      </w:r>
      <w:r w:rsidR="00203F72" w:rsidRPr="00DF3454">
        <w:t>意圖防止該團體內的生育</w:t>
      </w:r>
      <w:r w:rsidR="00203F72" w:rsidRPr="00DF3454">
        <w:t>(Imposing measures intended to prevent births within the group);</w:t>
      </w:r>
    </w:p>
    <w:p w14:paraId="7D1FB4FB" w14:textId="77777777" w:rsidR="00953151" w:rsidRPr="00DF3454" w:rsidRDefault="001C3A2B" w:rsidP="00D87D91">
      <w:r w:rsidRPr="00DF3454">
        <w:t xml:space="preserve">　　</w:t>
      </w:r>
      <w:r w:rsidR="00203F72" w:rsidRPr="00DF3454">
        <w:t xml:space="preserve">5. </w:t>
      </w:r>
      <w:r w:rsidR="00203F72" w:rsidRPr="00DF3454">
        <w:t>強迫轉移該團體的兒童至另一團體</w:t>
      </w:r>
      <w:r w:rsidR="00203F72" w:rsidRPr="00DF3454">
        <w:t>(Forcibly transferring children of the group to another group)</w:t>
      </w:r>
      <w:r w:rsidR="00203F72" w:rsidRPr="00DF3454">
        <w:t>。</w:t>
      </w:r>
    </w:p>
    <w:p w14:paraId="446F026F" w14:textId="77777777" w:rsidR="00953151" w:rsidRPr="00DF3454" w:rsidRDefault="00145751" w:rsidP="00D87D91">
      <w:r w:rsidRPr="00DF3454">
        <w:t xml:space="preserve">　　</w:t>
      </w:r>
      <w:r w:rsidR="00203F72" w:rsidRPr="00DF3454">
        <w:t>因為台灣遭受核彈軍事攻擊之後，將會造成台灣及外國非武裝平民大量死亡及受傷</w:t>
      </w:r>
      <w:r w:rsidR="00D92F56" w:rsidRPr="00DF3454">
        <w:t>〜</w:t>
      </w:r>
      <w:r w:rsidR="00203F72" w:rsidRPr="00DF3454">
        <w:t>包括輕、重傷，亦即，致使在身體上或精神上遭受嚴重傷害，是以，除了有可能會觸犯「國際刑事法院羅馬規約」第六條第一款</w:t>
      </w:r>
      <w:r w:rsidR="00203F72" w:rsidRPr="00DF3454">
        <w:t>(</w:t>
      </w:r>
      <w:r w:rsidR="00203F72" w:rsidRPr="00DF3454">
        <w:t>殺害該團體的成員</w:t>
      </w:r>
      <w:r w:rsidR="00203F72" w:rsidRPr="00DF3454">
        <w:t>)</w:t>
      </w:r>
      <w:r w:rsidR="00203F72" w:rsidRPr="00DF3454">
        <w:t>之外，尚有可能會觸犯第二款之規定</w:t>
      </w:r>
      <w:r w:rsidR="00203F72" w:rsidRPr="00DF3454">
        <w:t>(</w:t>
      </w:r>
      <w:r w:rsidR="00203F72" w:rsidRPr="00DF3454">
        <w:t>致使該團體的成員在身體上或精神上遭受嚴重傷害</w:t>
      </w:r>
      <w:r w:rsidR="00203F72" w:rsidRPr="00DF3454">
        <w:t>)</w:t>
      </w:r>
      <w:r w:rsidR="00203F72" w:rsidRPr="00DF3454">
        <w:t>，以及第三款之規定</w:t>
      </w:r>
      <w:r w:rsidR="00203F72" w:rsidRPr="00DF3454">
        <w:t>(</w:t>
      </w:r>
      <w:r w:rsidR="00203F72" w:rsidRPr="00DF3454">
        <w:t>故意使該台灣及外國平民處於核爆之生活狀況下</w:t>
      </w:r>
      <w:r w:rsidR="00203F72" w:rsidRPr="00DF3454">
        <w:t>,</w:t>
      </w:r>
      <w:r w:rsidR="00203F72" w:rsidRPr="00DF3454">
        <w:t>毀滅其全部或局部的生命</w:t>
      </w:r>
      <w:r w:rsidR="00203F72" w:rsidRPr="00DF3454">
        <w:t>)</w:t>
      </w:r>
      <w:r w:rsidR="00203F72" w:rsidRPr="00DF3454">
        <w:t>。</w:t>
      </w:r>
    </w:p>
    <w:p w14:paraId="71BD42E6" w14:textId="77777777" w:rsidR="00203F72" w:rsidRPr="00DF3454" w:rsidRDefault="001C3A2B" w:rsidP="00D87D91">
      <w:r w:rsidRPr="00DF3454">
        <w:t xml:space="preserve">　　</w:t>
      </w:r>
      <w:r w:rsidR="00203F72" w:rsidRPr="00DF3454">
        <w:t>(</w:t>
      </w:r>
      <w:r w:rsidR="00203F72" w:rsidRPr="00DF3454">
        <w:t>二</w:t>
      </w:r>
      <w:r w:rsidR="00203F72" w:rsidRPr="00DF3454">
        <w:t>)</w:t>
      </w:r>
      <w:r w:rsidR="00203F72" w:rsidRPr="00DF3454">
        <w:t>有可能會觸犯「國際刑事法院羅馬規約」第七條之危害人類罪</w:t>
      </w:r>
      <w:r w:rsidR="00203F72" w:rsidRPr="00DF3454">
        <w:t>(Crimes against humanity)</w:t>
      </w:r>
    </w:p>
    <w:p w14:paraId="04BC64F3" w14:textId="77777777" w:rsidR="00953151" w:rsidRPr="00DF3454" w:rsidRDefault="001C3A2B" w:rsidP="00D87D91">
      <w:r w:rsidRPr="00DF3454">
        <w:t xml:space="preserve">　　</w:t>
      </w:r>
      <w:r w:rsidR="00203F72" w:rsidRPr="00DF3454">
        <w:t>中國假若對台灣進行核彈軍事攻擊，如果造成台灣及外國非武裝平民大量死亡，則有可能會觸犯「國際刑事法院羅馬規約」第七條危害人類罪中的第一款、第二款及第十一款的法律規定。</w:t>
      </w:r>
      <w:r w:rsidR="00203F72" w:rsidRPr="00DF3454">
        <w:t>“</w:t>
      </w:r>
      <w:r w:rsidR="00203F72" w:rsidRPr="00DF3454">
        <w:t>危害人類罪</w:t>
      </w:r>
      <w:r w:rsidR="00203F72" w:rsidRPr="00DF3454">
        <w:t>”</w:t>
      </w:r>
      <w:r w:rsidR="00203F72" w:rsidRPr="00DF3454">
        <w:t>是指在廣泛或有系統地針對任何平民人口進行的攻擊中</w:t>
      </w:r>
      <w:r w:rsidR="00203F72" w:rsidRPr="00DF3454">
        <w:t>,</w:t>
      </w:r>
      <w:r w:rsidR="00203F72" w:rsidRPr="00DF3454">
        <w:t>在明知這一攻擊的情況下</w:t>
      </w:r>
      <w:r w:rsidR="00203F72" w:rsidRPr="00DF3454">
        <w:t>,</w:t>
      </w:r>
      <w:r w:rsidR="00203F72" w:rsidRPr="00DF3454">
        <w:t>作為攻擊的一部分而實施的下列任何一種行為</w:t>
      </w:r>
      <w:r w:rsidR="00203F72" w:rsidRPr="00DF3454">
        <w:footnoteReference w:id="963"/>
      </w:r>
      <w:r w:rsidR="00203F72" w:rsidRPr="00DF3454">
        <w:footnoteReference w:id="964"/>
      </w:r>
      <w:r w:rsidR="00203F72" w:rsidRPr="00DF3454">
        <w:t>：</w:t>
      </w:r>
    </w:p>
    <w:p w14:paraId="4A796743" w14:textId="77777777" w:rsidR="00203F72" w:rsidRPr="00DF3454" w:rsidRDefault="001C3A2B" w:rsidP="00D87D91">
      <w:r w:rsidRPr="00DF3454">
        <w:t xml:space="preserve">　　</w:t>
      </w:r>
      <w:r w:rsidR="00203F72" w:rsidRPr="00DF3454">
        <w:t xml:space="preserve">1. </w:t>
      </w:r>
      <w:r w:rsidR="00203F72" w:rsidRPr="00DF3454">
        <w:t>謀殺</w:t>
      </w:r>
      <w:r w:rsidR="00203F72" w:rsidRPr="00DF3454">
        <w:t>(Murder);</w:t>
      </w:r>
    </w:p>
    <w:p w14:paraId="2E7B5CE4" w14:textId="77777777" w:rsidR="00203F72" w:rsidRPr="00DF3454" w:rsidRDefault="001C3A2B" w:rsidP="00D87D91">
      <w:r w:rsidRPr="00DF3454">
        <w:t xml:space="preserve">　　</w:t>
      </w:r>
      <w:r w:rsidR="00203F72" w:rsidRPr="00DF3454">
        <w:t xml:space="preserve">2. </w:t>
      </w:r>
      <w:r w:rsidR="00203F72" w:rsidRPr="00DF3454">
        <w:t>滅絕</w:t>
      </w:r>
      <w:r w:rsidR="00203F72" w:rsidRPr="00DF3454">
        <w:t>(Extermination);</w:t>
      </w:r>
    </w:p>
    <w:p w14:paraId="4DA771B7" w14:textId="77777777" w:rsidR="00203F72" w:rsidRPr="00DF3454" w:rsidRDefault="001C3A2B" w:rsidP="00D87D91">
      <w:r w:rsidRPr="00DF3454">
        <w:t xml:space="preserve">　　</w:t>
      </w:r>
      <w:r w:rsidR="00203F72" w:rsidRPr="00DF3454">
        <w:t xml:space="preserve">3. </w:t>
      </w:r>
      <w:r w:rsidR="00203F72" w:rsidRPr="00DF3454">
        <w:t>奴役</w:t>
      </w:r>
      <w:r w:rsidR="00203F72" w:rsidRPr="00DF3454">
        <w:t>(Enslavement);</w:t>
      </w:r>
    </w:p>
    <w:p w14:paraId="2BC25FFC" w14:textId="77777777" w:rsidR="00203F72" w:rsidRPr="00DF3454" w:rsidRDefault="001C3A2B" w:rsidP="00D87D91">
      <w:r w:rsidRPr="00DF3454">
        <w:t xml:space="preserve">　　</w:t>
      </w:r>
      <w:r w:rsidR="00203F72" w:rsidRPr="00DF3454">
        <w:t xml:space="preserve">4. </w:t>
      </w:r>
      <w:r w:rsidR="00203F72" w:rsidRPr="00DF3454">
        <w:t>驅逐出境或強行遷移人口</w:t>
      </w:r>
      <w:r w:rsidR="00203F72" w:rsidRPr="00DF3454">
        <w:t>(Deportation or forcible transfer of population);</w:t>
      </w:r>
    </w:p>
    <w:p w14:paraId="5AE90C9A" w14:textId="77777777" w:rsidR="00203F72" w:rsidRPr="00DF3454" w:rsidRDefault="001C3A2B" w:rsidP="00D87D91">
      <w:r w:rsidRPr="00DF3454">
        <w:t xml:space="preserve">　　</w:t>
      </w:r>
      <w:r w:rsidR="00203F72" w:rsidRPr="00DF3454">
        <w:t xml:space="preserve">5. </w:t>
      </w:r>
      <w:r w:rsidR="00203F72" w:rsidRPr="00DF3454">
        <w:t>違反國際法基本規則</w:t>
      </w:r>
      <w:r w:rsidR="00203F72" w:rsidRPr="00DF3454">
        <w:t>,</w:t>
      </w:r>
      <w:r w:rsidR="00203F72" w:rsidRPr="00DF3454">
        <w:t>監禁或以其他方式嚴重剝奪人身自由</w:t>
      </w:r>
      <w:r w:rsidR="00203F72" w:rsidRPr="00DF3454">
        <w:footnoteReference w:id="965"/>
      </w:r>
      <w:r w:rsidR="00203F72" w:rsidRPr="00DF3454">
        <w:t>;</w:t>
      </w:r>
    </w:p>
    <w:p w14:paraId="399569C8" w14:textId="77777777" w:rsidR="00203F72" w:rsidRPr="00DF3454" w:rsidRDefault="001C3A2B" w:rsidP="00D87D91">
      <w:r w:rsidRPr="00DF3454">
        <w:t xml:space="preserve">　　</w:t>
      </w:r>
      <w:r w:rsidR="00203F72" w:rsidRPr="00DF3454">
        <w:t xml:space="preserve">6. </w:t>
      </w:r>
      <w:r w:rsidR="00203F72" w:rsidRPr="00DF3454">
        <w:t>酷刑</w:t>
      </w:r>
      <w:r w:rsidR="00203F72" w:rsidRPr="00DF3454">
        <w:t>(Torture);</w:t>
      </w:r>
    </w:p>
    <w:p w14:paraId="3407DE78" w14:textId="77777777" w:rsidR="00203F72" w:rsidRPr="00DF3454" w:rsidRDefault="001C3A2B" w:rsidP="00D87D91">
      <w:r w:rsidRPr="00DF3454">
        <w:t xml:space="preserve">　　</w:t>
      </w:r>
      <w:r w:rsidR="00203F72" w:rsidRPr="00DF3454">
        <w:t xml:space="preserve">7. </w:t>
      </w:r>
      <w:r w:rsidR="00203F72" w:rsidRPr="00DF3454">
        <w:t>強姦、性奴役、強迫賣淫、強迫懷孕、強迫絕育或嚴重程度相當的任何其他形式的性暴力</w:t>
      </w:r>
      <w:r w:rsidR="00203F72" w:rsidRPr="00DF3454">
        <w:footnoteReference w:id="966"/>
      </w:r>
      <w:r w:rsidR="00203F72" w:rsidRPr="00DF3454">
        <w:t>;</w:t>
      </w:r>
    </w:p>
    <w:p w14:paraId="2CEE8001" w14:textId="77777777" w:rsidR="00203F72" w:rsidRPr="00DF3454" w:rsidRDefault="001C3A2B" w:rsidP="00D87D91">
      <w:r w:rsidRPr="00DF3454">
        <w:t xml:space="preserve">　　</w:t>
      </w:r>
      <w:r w:rsidR="00203F72" w:rsidRPr="00DF3454">
        <w:t xml:space="preserve">8. </w:t>
      </w:r>
      <w:r w:rsidR="00203F72" w:rsidRPr="00DF3454">
        <w:t>基於政治、種族、民族、族裔、文化、宗教、第三款所界定的性別</w:t>
      </w:r>
      <w:r w:rsidR="00203F72" w:rsidRPr="00DF3454">
        <w:t>,</w:t>
      </w:r>
      <w:r w:rsidR="00203F72" w:rsidRPr="00DF3454">
        <w:t>或根據公認為國際法不容的其他理由</w:t>
      </w:r>
      <w:r w:rsidR="00203F72" w:rsidRPr="00DF3454">
        <w:t>,</w:t>
      </w:r>
      <w:r w:rsidR="00203F72" w:rsidRPr="00DF3454">
        <w:t>對任何可以識別的團體或集體進行迫害</w:t>
      </w:r>
      <w:r w:rsidR="00203F72" w:rsidRPr="00DF3454">
        <w:footnoteReference w:id="967"/>
      </w:r>
      <w:r w:rsidR="00203F72" w:rsidRPr="00DF3454">
        <w:t>,</w:t>
      </w:r>
      <w:r w:rsidR="00203F72" w:rsidRPr="00DF3454">
        <w:t>而且與任何一種本款提及的行為或任何一種本法院管轄權內的犯罪結合發生</w:t>
      </w:r>
      <w:r w:rsidR="00203F72" w:rsidRPr="00DF3454">
        <w:footnoteReference w:id="968"/>
      </w:r>
      <w:r w:rsidR="00203F72" w:rsidRPr="00DF3454">
        <w:t>;</w:t>
      </w:r>
    </w:p>
    <w:p w14:paraId="54B17B1B" w14:textId="77777777" w:rsidR="00203F72" w:rsidRPr="00DF3454" w:rsidRDefault="001C3A2B" w:rsidP="00D87D91">
      <w:r w:rsidRPr="00DF3454">
        <w:t xml:space="preserve">　　</w:t>
      </w:r>
      <w:r w:rsidR="00203F72" w:rsidRPr="00DF3454">
        <w:t xml:space="preserve">9. </w:t>
      </w:r>
      <w:r w:rsidR="00203F72" w:rsidRPr="00DF3454">
        <w:t>強迫人員失蹤</w:t>
      </w:r>
      <w:r w:rsidR="00203F72" w:rsidRPr="00DF3454">
        <w:t>(Enforced disappearance of persons);</w:t>
      </w:r>
    </w:p>
    <w:p w14:paraId="37CCA55C" w14:textId="77777777" w:rsidR="00203F72" w:rsidRPr="00DF3454" w:rsidRDefault="001C3A2B" w:rsidP="00D87D91">
      <w:r w:rsidRPr="00DF3454">
        <w:t xml:space="preserve">　　</w:t>
      </w:r>
      <w:r w:rsidR="00203F72" w:rsidRPr="00DF3454">
        <w:t xml:space="preserve">10. </w:t>
      </w:r>
      <w:r w:rsidR="00203F72" w:rsidRPr="00DF3454">
        <w:t>種族隔離罪</w:t>
      </w:r>
      <w:r w:rsidR="00203F72" w:rsidRPr="00DF3454">
        <w:t>(The crime of apartheid);</w:t>
      </w:r>
    </w:p>
    <w:p w14:paraId="40F07923" w14:textId="77777777" w:rsidR="00953151" w:rsidRPr="00DF3454" w:rsidRDefault="001C3A2B" w:rsidP="00D87D91">
      <w:r w:rsidRPr="00DF3454">
        <w:t xml:space="preserve">　　</w:t>
      </w:r>
      <w:r w:rsidR="00203F72" w:rsidRPr="00DF3454">
        <w:t xml:space="preserve">11. </w:t>
      </w:r>
      <w:r w:rsidR="00203F72" w:rsidRPr="00DF3454">
        <w:t>故意造成重大痛苦</w:t>
      </w:r>
      <w:r w:rsidR="00203F72" w:rsidRPr="00DF3454">
        <w:t>,</w:t>
      </w:r>
      <w:r w:rsidR="00203F72" w:rsidRPr="00DF3454">
        <w:t>或對人體或身心健康造成嚴重傷害的其他性質相同的不人道行為</w:t>
      </w:r>
      <w:r w:rsidR="00203F72" w:rsidRPr="00DF3454">
        <w:footnoteReference w:id="969"/>
      </w:r>
      <w:r w:rsidR="00203F72" w:rsidRPr="00DF3454">
        <w:t>。</w:t>
      </w:r>
    </w:p>
    <w:p w14:paraId="64640ED3" w14:textId="77777777" w:rsidR="00953151" w:rsidRPr="00DF3454" w:rsidRDefault="001C3A2B" w:rsidP="00D87D91">
      <w:r w:rsidRPr="00DF3454">
        <w:t xml:space="preserve">　　</w:t>
      </w:r>
      <w:r w:rsidR="00203F72" w:rsidRPr="00DF3454">
        <w:t>為何有可能會觸犯「國際刑事法院羅馬規約」第七條危害人類罪？因為係透由核武器之使用，而造成非武裝平民之死亡，基本上，這是一種透由核爆炸，故意謀殺台灣及外國非武裝平民、滅絕台灣及外國非武裝平民，故意造成台灣及外國非武裝平民重大痛苦</w:t>
      </w:r>
      <w:r w:rsidR="00203F72" w:rsidRPr="00DF3454">
        <w:t>,</w:t>
      </w:r>
      <w:r w:rsidR="00203F72" w:rsidRPr="00DF3454">
        <w:t>或對台灣及外國非武裝平民之人體或身心健康造成嚴重傷害的殘不人道行為</w:t>
      </w:r>
      <w:r w:rsidR="00203F72" w:rsidRPr="00DF3454">
        <w:t>(inhumane acts)</w:t>
      </w:r>
      <w:r w:rsidR="00203F72" w:rsidRPr="00DF3454">
        <w:t>，故有可能會觸犯「國際刑事法院羅馬規約」第七條危害人類罪中的第一款</w:t>
      </w:r>
      <w:r w:rsidR="00203F72" w:rsidRPr="00DF3454">
        <w:t>(</w:t>
      </w:r>
      <w:r w:rsidR="00203F72" w:rsidRPr="00DF3454">
        <w:t>謀殺</w:t>
      </w:r>
      <w:r w:rsidR="00203F72" w:rsidRPr="00DF3454">
        <w:t>)</w:t>
      </w:r>
      <w:r w:rsidR="00203F72" w:rsidRPr="00DF3454">
        <w:t>、第二款</w:t>
      </w:r>
      <w:r w:rsidR="00203F72" w:rsidRPr="00DF3454">
        <w:t>(</w:t>
      </w:r>
      <w:r w:rsidR="00203F72" w:rsidRPr="00DF3454">
        <w:t>滅絕</w:t>
      </w:r>
      <w:r w:rsidR="00203F72" w:rsidRPr="00DF3454">
        <w:t>)</w:t>
      </w:r>
      <w:r w:rsidR="00203F72" w:rsidRPr="00DF3454">
        <w:t>及第十一款</w:t>
      </w:r>
      <w:r w:rsidR="00203F72" w:rsidRPr="00DF3454">
        <w:t>(</w:t>
      </w:r>
      <w:r w:rsidR="00203F72" w:rsidRPr="00DF3454">
        <w:t>故意造成重大痛苦</w:t>
      </w:r>
      <w:r w:rsidR="00203F72" w:rsidRPr="00DF3454">
        <w:t>,</w:t>
      </w:r>
      <w:r w:rsidR="00203F72" w:rsidRPr="00DF3454">
        <w:t>或對人體或身心健康造成嚴重傷害的其他性質相同的不人道行為</w:t>
      </w:r>
      <w:r w:rsidR="00203F72" w:rsidRPr="00DF3454">
        <w:t>)</w:t>
      </w:r>
      <w:r w:rsidR="00203F72" w:rsidRPr="00DF3454">
        <w:t>的法律規定。</w:t>
      </w:r>
    </w:p>
    <w:p w14:paraId="6D99B00F" w14:textId="77777777" w:rsidR="00953151" w:rsidRPr="00DF3454" w:rsidRDefault="001C3A2B" w:rsidP="00D87D91">
      <w:r w:rsidRPr="00DF3454">
        <w:t xml:space="preserve">　　</w:t>
      </w:r>
      <w:r w:rsidR="00203F72" w:rsidRPr="00DF3454">
        <w:t>(</w:t>
      </w:r>
      <w:r w:rsidR="00203F72" w:rsidRPr="00DF3454">
        <w:t>三</w:t>
      </w:r>
      <w:r w:rsidR="00203F72" w:rsidRPr="00DF3454">
        <w:t>)</w:t>
      </w:r>
      <w:r w:rsidR="00203F72" w:rsidRPr="00DF3454">
        <w:t>有可能會觸犯「國際刑事法院羅馬規約」第八條之戰爭罪</w:t>
      </w:r>
      <w:r w:rsidR="00203F72" w:rsidRPr="00DF3454">
        <w:t xml:space="preserve">(War crimes) </w:t>
      </w:r>
    </w:p>
    <w:p w14:paraId="3C040F82" w14:textId="77777777" w:rsidR="00953151" w:rsidRPr="00DF3454" w:rsidRDefault="001C3A2B" w:rsidP="00D87D91">
      <w:r w:rsidRPr="00DF3454">
        <w:t xml:space="preserve">　　</w:t>
      </w:r>
      <w:r w:rsidR="00203F72" w:rsidRPr="00DF3454">
        <w:t>中國假若對台灣進行核彈軍事攻擊，如果果真造成台灣及外國非武裝平民大量死亡，則有可能會觸犯「國際刑事法院羅馬規約」第八條戰爭罪中的第二項第五款第一目、第四目、第九目、第十目、第十二目的法律規定。上述之「國際刑事法院羅馬規約」第八條第二項第五款之規範，是指嚴重違反國際法既定範圍內</w:t>
      </w:r>
      <w:r w:rsidR="00203F72" w:rsidRPr="00DF3454">
        <w:t>(within the established framework of international law)</w:t>
      </w:r>
      <w:r w:rsidR="00203F72" w:rsidRPr="00DF3454">
        <w:t>，適用於非國際性武裝衝突的法規和慣例的其他行為</w:t>
      </w:r>
      <w:r w:rsidR="00203F72" w:rsidRPr="00DF3454">
        <w:footnoteReference w:id="970"/>
      </w:r>
      <w:r w:rsidR="00203F72" w:rsidRPr="00DF3454">
        <w:t>,</w:t>
      </w:r>
      <w:r w:rsidR="00203F72" w:rsidRPr="00DF3454">
        <w:t>即下列任何一種行為</w:t>
      </w:r>
      <w:r w:rsidR="00203F72" w:rsidRPr="00DF3454">
        <w:footnoteReference w:id="971"/>
      </w:r>
      <w:r w:rsidR="00203F72" w:rsidRPr="00DF3454">
        <w:t>：</w:t>
      </w:r>
    </w:p>
    <w:p w14:paraId="02D3C2F9" w14:textId="77777777" w:rsidR="00203F72" w:rsidRPr="00DF3454" w:rsidRDefault="001C3A2B" w:rsidP="00D87D91">
      <w:r w:rsidRPr="00DF3454">
        <w:t xml:space="preserve">　　</w:t>
      </w:r>
      <w:r w:rsidR="00203F72" w:rsidRPr="00DF3454">
        <w:t xml:space="preserve">(1) </w:t>
      </w:r>
      <w:r w:rsidR="00203F72" w:rsidRPr="00DF3454">
        <w:t>故意指令攻擊平民人口本身或未直接參加敵對行動的個別平民</w:t>
      </w:r>
      <w:r w:rsidR="00203F72" w:rsidRPr="00DF3454">
        <w:footnoteReference w:id="972"/>
      </w:r>
      <w:r w:rsidR="00203F72" w:rsidRPr="00DF3454">
        <w:t>;</w:t>
      </w:r>
    </w:p>
    <w:p w14:paraId="10EB8EA5" w14:textId="77777777" w:rsidR="00203F72" w:rsidRPr="00DF3454" w:rsidRDefault="001C3A2B" w:rsidP="00D87D91">
      <w:r w:rsidRPr="00DF3454">
        <w:t xml:space="preserve">　　</w:t>
      </w:r>
      <w:r w:rsidR="00203F72" w:rsidRPr="00DF3454">
        <w:t xml:space="preserve">(2) </w:t>
      </w:r>
      <w:r w:rsidR="00203F72" w:rsidRPr="00DF3454">
        <w:t>故意指令攻擊按照國際法使用《日內瓦公約》所訂特殊標誌的建築物、裝備、醫療單位和運輸工具及人員</w:t>
      </w:r>
      <w:r w:rsidR="00203F72" w:rsidRPr="00DF3454">
        <w:footnoteReference w:id="973"/>
      </w:r>
      <w:r w:rsidR="00203F72" w:rsidRPr="00DF3454">
        <w:t>;</w:t>
      </w:r>
    </w:p>
    <w:p w14:paraId="37CC0EA9" w14:textId="77777777" w:rsidR="00203F72" w:rsidRPr="00DF3454" w:rsidRDefault="001C3A2B" w:rsidP="00D87D91">
      <w:r w:rsidRPr="00DF3454">
        <w:t xml:space="preserve">　　</w:t>
      </w:r>
      <w:r w:rsidR="00203F72" w:rsidRPr="00DF3454">
        <w:t xml:space="preserve">(3) </w:t>
      </w:r>
      <w:r w:rsidR="00203F72" w:rsidRPr="00DF3454">
        <w:t>故意指令攻擊依照《</w:t>
      </w:r>
      <w:hyperlink r:id="rId2301" w:history="1">
        <w:r w:rsidR="006937CE" w:rsidRPr="006937CE">
          <w:rPr>
            <w:rStyle w:val="a5"/>
            <w:rFonts w:ascii="Times New Roman" w:eastAsia="新細明體" w:hAnsi="Times New Roman"/>
          </w:rPr>
          <w:t>聯合國憲章</w:t>
        </w:r>
      </w:hyperlink>
      <w:r w:rsidR="00203F72" w:rsidRPr="00DF3454">
        <w:t>》執行的人道主義援助或維持和平行動的所涉人員、設施、物資、單位或車輛</w:t>
      </w:r>
      <w:r w:rsidR="00203F72" w:rsidRPr="00DF3454">
        <w:t>,</w:t>
      </w:r>
      <w:r w:rsidR="00203F72" w:rsidRPr="00DF3454">
        <w:t>如果這些人員和物體有權得到武裝衝突法規給予平民和民用物體的保護</w:t>
      </w:r>
      <w:r w:rsidR="00203F72" w:rsidRPr="00DF3454">
        <w:footnoteReference w:id="974"/>
      </w:r>
      <w:r w:rsidR="00203F72" w:rsidRPr="00DF3454">
        <w:t>;</w:t>
      </w:r>
    </w:p>
    <w:p w14:paraId="2A5B3526" w14:textId="77777777" w:rsidR="00203F72" w:rsidRPr="00DF3454" w:rsidRDefault="001C3A2B" w:rsidP="00D87D91">
      <w:r w:rsidRPr="00DF3454">
        <w:t xml:space="preserve">　　</w:t>
      </w:r>
      <w:r w:rsidR="00203F72" w:rsidRPr="00DF3454">
        <w:t xml:space="preserve">(4) </w:t>
      </w:r>
      <w:r w:rsidR="00203F72" w:rsidRPr="00DF3454">
        <w:t>故意指令攻擊專用於宗教、教育、藝術、科學或慈善事業的建築物、歷史紀念物、醫院和傷病人員收容所</w:t>
      </w:r>
      <w:r w:rsidR="00203F72" w:rsidRPr="00DF3454">
        <w:t>,</w:t>
      </w:r>
      <w:r w:rsidR="00203F72" w:rsidRPr="00DF3454">
        <w:t>除非這些地方是軍事目標</w:t>
      </w:r>
      <w:r w:rsidR="00203F72" w:rsidRPr="00DF3454">
        <w:footnoteReference w:id="975"/>
      </w:r>
      <w:r w:rsidR="00203F72" w:rsidRPr="00DF3454">
        <w:t>;</w:t>
      </w:r>
    </w:p>
    <w:p w14:paraId="0812BEC9" w14:textId="77777777" w:rsidR="00203F72" w:rsidRPr="00DF3454" w:rsidRDefault="001C3A2B" w:rsidP="00D87D91">
      <w:r w:rsidRPr="00DF3454">
        <w:t xml:space="preserve">　　</w:t>
      </w:r>
      <w:r w:rsidR="00203F72" w:rsidRPr="00DF3454">
        <w:t xml:space="preserve">(5) </w:t>
      </w:r>
      <w:r w:rsidR="00203F72" w:rsidRPr="00DF3454">
        <w:t>搶劫即使是突擊攻下的城鎮或地方</w:t>
      </w:r>
      <w:r w:rsidR="00203F72" w:rsidRPr="00DF3454">
        <w:t>(Pillaging a town or place, even when taken by assault);</w:t>
      </w:r>
    </w:p>
    <w:p w14:paraId="522DDF8A" w14:textId="77777777" w:rsidR="00203F72" w:rsidRPr="00DF3454" w:rsidRDefault="001C3A2B" w:rsidP="00D87D91">
      <w:r w:rsidRPr="00DF3454">
        <w:t xml:space="preserve">　　</w:t>
      </w:r>
      <w:r w:rsidR="00203F72" w:rsidRPr="00DF3454">
        <w:t xml:space="preserve">(6) </w:t>
      </w:r>
      <w:r w:rsidR="00203F72" w:rsidRPr="00DF3454">
        <w:t>強姦、性奴役、強迫賣淫、第七條第二款第</w:t>
      </w:r>
      <w:r w:rsidR="00203F72" w:rsidRPr="00DF3454">
        <w:t>6</w:t>
      </w:r>
      <w:r w:rsidR="00203F72" w:rsidRPr="00DF3454">
        <w:t>項所界定的強迫懷孕、強迫絕育以及構成嚴重違反四項《日內瓦公約》共同第三條的任何其他形式的性暴力</w:t>
      </w:r>
      <w:r w:rsidR="00203F72" w:rsidRPr="00DF3454">
        <w:footnoteReference w:id="976"/>
      </w:r>
      <w:r w:rsidR="00203F72" w:rsidRPr="00DF3454">
        <w:t>;</w:t>
      </w:r>
    </w:p>
    <w:p w14:paraId="44E585A7" w14:textId="77777777" w:rsidR="00203F72" w:rsidRPr="00DF3454" w:rsidRDefault="001C3A2B" w:rsidP="00D87D91">
      <w:r w:rsidRPr="00DF3454">
        <w:t xml:space="preserve">　　</w:t>
      </w:r>
      <w:r w:rsidR="00203F72" w:rsidRPr="00DF3454">
        <w:t xml:space="preserve">(7) </w:t>
      </w:r>
      <w:r w:rsidR="00203F72" w:rsidRPr="00DF3454">
        <w:t>徵募不滿十五歲的兒童加入武裝部隊或集團</w:t>
      </w:r>
      <w:r w:rsidR="00203F72" w:rsidRPr="00DF3454">
        <w:t>,</w:t>
      </w:r>
      <w:r w:rsidR="00203F72" w:rsidRPr="00DF3454">
        <w:t>或利用他們積極參加敵對行動</w:t>
      </w:r>
      <w:r w:rsidR="00203F72" w:rsidRPr="00DF3454">
        <w:footnoteReference w:id="977"/>
      </w:r>
      <w:r w:rsidR="00203F72" w:rsidRPr="00DF3454">
        <w:t>;</w:t>
      </w:r>
    </w:p>
    <w:p w14:paraId="34452D50" w14:textId="77777777" w:rsidR="00203F72" w:rsidRPr="00DF3454" w:rsidRDefault="001C3A2B" w:rsidP="00D87D91">
      <w:r w:rsidRPr="00DF3454">
        <w:t xml:space="preserve">　　</w:t>
      </w:r>
      <w:r w:rsidR="00203F72" w:rsidRPr="00DF3454">
        <w:t xml:space="preserve">(8) </w:t>
      </w:r>
      <w:r w:rsidR="00203F72" w:rsidRPr="00DF3454">
        <w:t>基於與衝突有關的理由下令平民人口遷移</w:t>
      </w:r>
      <w:r w:rsidR="00203F72" w:rsidRPr="00DF3454">
        <w:t>,</w:t>
      </w:r>
      <w:r w:rsidR="00203F72" w:rsidRPr="00DF3454">
        <w:t>但因所涉平民的安全或因迫切的軍事理由而有需要的除外</w:t>
      </w:r>
      <w:r w:rsidR="00203F72" w:rsidRPr="00DF3454">
        <w:footnoteReference w:id="978"/>
      </w:r>
      <w:r w:rsidR="00203F72" w:rsidRPr="00DF3454">
        <w:t>;</w:t>
      </w:r>
    </w:p>
    <w:p w14:paraId="5CE82124" w14:textId="77777777" w:rsidR="00203F72" w:rsidRPr="00DF3454" w:rsidRDefault="001C3A2B" w:rsidP="00D87D91">
      <w:r w:rsidRPr="00DF3454">
        <w:t xml:space="preserve">　　</w:t>
      </w:r>
      <w:r w:rsidR="00203F72" w:rsidRPr="00DF3454">
        <w:t xml:space="preserve">(9) </w:t>
      </w:r>
      <w:r w:rsidR="00203F72" w:rsidRPr="00DF3454">
        <w:t>以背信棄義的方式殺、傷屬敵對方戰鬥員</w:t>
      </w:r>
      <w:r w:rsidR="00203F72" w:rsidRPr="00DF3454">
        <w:t>(Killing or wounding treacherously</w:t>
      </w:r>
      <w:r w:rsidR="00203F72" w:rsidRPr="00DF3454">
        <w:footnoteReference w:id="979"/>
      </w:r>
      <w:r w:rsidR="00203F72" w:rsidRPr="00DF3454">
        <w:t xml:space="preserve"> a combatant adversary);</w:t>
      </w:r>
    </w:p>
    <w:p w14:paraId="504C3C11" w14:textId="77777777" w:rsidR="00203F72" w:rsidRPr="00DF3454" w:rsidRDefault="001C3A2B" w:rsidP="00D87D91">
      <w:r w:rsidRPr="00DF3454">
        <w:t xml:space="preserve">　　</w:t>
      </w:r>
      <w:r w:rsidR="00203F72" w:rsidRPr="00DF3454">
        <w:t xml:space="preserve">(10) </w:t>
      </w:r>
      <w:r w:rsidR="00203F72" w:rsidRPr="00DF3454">
        <w:t>宣告決不納降</w:t>
      </w:r>
      <w:r w:rsidR="00203F72" w:rsidRPr="00DF3454">
        <w:t>(Declaring that no quarter will be given);</w:t>
      </w:r>
    </w:p>
    <w:p w14:paraId="17A937C9" w14:textId="77777777" w:rsidR="00203F72" w:rsidRPr="00DF3454" w:rsidRDefault="001C3A2B" w:rsidP="00D87D91">
      <w:r w:rsidRPr="00DF3454">
        <w:t xml:space="preserve">　　</w:t>
      </w:r>
      <w:r w:rsidR="00203F72" w:rsidRPr="00DF3454">
        <w:t xml:space="preserve">(11) </w:t>
      </w:r>
      <w:r w:rsidR="00203F72" w:rsidRPr="00DF3454">
        <w:t>致使在衝突另一方權力下的人員肢體遭受殘傷</w:t>
      </w:r>
      <w:r w:rsidR="00203F72" w:rsidRPr="00DF3454">
        <w:t>,</w:t>
      </w:r>
      <w:r w:rsidR="00203F72" w:rsidRPr="00DF3454">
        <w:t>或對其進行任何種類的醫學或科學實驗</w:t>
      </w:r>
      <w:r w:rsidR="00203F72" w:rsidRPr="00DF3454">
        <w:t>,</w:t>
      </w:r>
      <w:r w:rsidR="00203F72" w:rsidRPr="00DF3454">
        <w:t>而這些實驗既不具有醫學、牙醫學或住院治療有關人員的理由</w:t>
      </w:r>
      <w:r w:rsidR="00203F72" w:rsidRPr="00DF3454">
        <w:t>,</w:t>
      </w:r>
      <w:r w:rsidR="00203F72" w:rsidRPr="00DF3454">
        <w:t>也不是為了該人員的利益而進行的</w:t>
      </w:r>
      <w:r w:rsidR="00203F72" w:rsidRPr="00DF3454">
        <w:t>,</w:t>
      </w:r>
      <w:r w:rsidR="00203F72" w:rsidRPr="00DF3454">
        <w:t>並且導致這些人員死亡或嚴重危及其健康</w:t>
      </w:r>
      <w:r w:rsidR="00203F72" w:rsidRPr="00DF3454">
        <w:footnoteReference w:id="980"/>
      </w:r>
      <w:r w:rsidR="00203F72" w:rsidRPr="00DF3454">
        <w:t>;</w:t>
      </w:r>
    </w:p>
    <w:p w14:paraId="51CDEB2B" w14:textId="77777777" w:rsidR="00953151" w:rsidRPr="00DF3454" w:rsidRDefault="001C3A2B" w:rsidP="00D87D91">
      <w:r w:rsidRPr="00DF3454">
        <w:t xml:space="preserve">　　</w:t>
      </w:r>
      <w:r w:rsidR="00203F72" w:rsidRPr="00DF3454">
        <w:t xml:space="preserve">(12) </w:t>
      </w:r>
      <w:r w:rsidR="00203F72" w:rsidRPr="00DF3454">
        <w:t>摧毀或沒收敵對方的財產</w:t>
      </w:r>
      <w:r w:rsidR="00203F72" w:rsidRPr="00DF3454">
        <w:t>(Destroying or seizing the property of an adversary),</w:t>
      </w:r>
      <w:r w:rsidR="00203F72" w:rsidRPr="00DF3454">
        <w:t>除非是基於衝突的必要</w:t>
      </w:r>
      <w:r w:rsidR="00203F72" w:rsidRPr="00DF3454">
        <w:footnoteReference w:id="981"/>
      </w:r>
      <w:r w:rsidR="00203F72" w:rsidRPr="00DF3454">
        <w:t>;</w:t>
      </w:r>
    </w:p>
    <w:p w14:paraId="63C39F98" w14:textId="77777777" w:rsidR="00953151" w:rsidRPr="00DF3454" w:rsidRDefault="001C3A2B" w:rsidP="00D87D91">
      <w:r w:rsidRPr="00DF3454">
        <w:t xml:space="preserve">　　</w:t>
      </w:r>
      <w:r w:rsidR="00203F72" w:rsidRPr="00DF3454">
        <w:t>中國假若對台灣進行核彈軍事攻擊，如果造成台灣及外國非武裝平民大量死亡，為何有可能會觸犯「國際刑事法院羅馬規約」第八條戰爭罪？因為係透由核彈軍事攻擊手段，而造成非武裝平民之死亡，這是一種故意以軍事之指令，攻擊台灣及外國非武裝化之平民人口本身或未直接參加敵對行動的非武裝化個別平民的戰爭犯行。</w:t>
      </w:r>
    </w:p>
    <w:p w14:paraId="62CE754A" w14:textId="77777777" w:rsidR="00203F72" w:rsidRPr="00DF3454" w:rsidRDefault="001C3A2B" w:rsidP="00D87D91">
      <w:r w:rsidRPr="00DF3454">
        <w:t xml:space="preserve">　　</w:t>
      </w:r>
      <w:r w:rsidR="00203F72" w:rsidRPr="00DF3454">
        <w:t>其中，為何會觸犯「國際刑事法院羅馬規約」第八條戰爭罪中的第二項第五款第十目</w:t>
      </w:r>
      <w:r w:rsidR="00D92F56" w:rsidRPr="00DF3454">
        <w:t>〜</w:t>
      </w:r>
      <w:r w:rsidR="00203F72" w:rsidRPr="00DF3454">
        <w:t>宣告決不納降</w:t>
      </w:r>
      <w:r w:rsidR="00203F72" w:rsidRPr="00DF3454">
        <w:t>(Declaring that no quarter will be given)</w:t>
      </w:r>
      <w:r w:rsidR="00203F72" w:rsidRPr="00DF3454">
        <w:t>之罪行？因為，用核彈攻擊台灣及外國平民，即使是願意真誠地投降於中國解放軍之非武裝平民及台灣軍人，在核爆之下，亦無機會，故中國若是透由軍事核彈攻擊手段，而造成非武裝平民之死亡，這是一種片面地宣告決不納降之行為</w:t>
      </w:r>
      <w:r w:rsidR="00203F72" w:rsidRPr="00DF3454">
        <w:t>(Declaring that no quarter will be given)</w:t>
      </w:r>
      <w:r w:rsidR="00203F72" w:rsidRPr="00DF3454">
        <w:t>，本書認為，似是符合「國際刑事法院羅馬規約」第八條戰爭罪中的第二項第五款第十目</w:t>
      </w:r>
      <w:r w:rsidR="00D92F56" w:rsidRPr="00DF3454">
        <w:t>〜</w:t>
      </w:r>
      <w:r w:rsidR="00203F72" w:rsidRPr="00DF3454">
        <w:t>宣告決不納降之構成要件。</w:t>
      </w:r>
    </w:p>
    <w:p w14:paraId="25768761" w14:textId="77777777" w:rsidR="00953151" w:rsidRPr="00DF3454" w:rsidRDefault="001C3A2B" w:rsidP="00D87D91">
      <w:r w:rsidRPr="00DF3454">
        <w:t xml:space="preserve">　　</w:t>
      </w:r>
      <w:r w:rsidR="00203F72" w:rsidRPr="00DF3454">
        <w:t>在上述數種違反「國際刑事法院羅馬規約」第六條、第七條、第八條情形之假設中，中國以核彈攻擊台灣之行為，最有可能的一種假設，是觸犯「國際刑事法院羅馬規約」第八條之戰爭罪。</w:t>
      </w:r>
    </w:p>
    <w:p w14:paraId="4F345281" w14:textId="77777777" w:rsidR="00203F72" w:rsidRPr="00DF3454" w:rsidRDefault="001C3A2B" w:rsidP="00D87D91">
      <w:r w:rsidRPr="00DF3454">
        <w:t xml:space="preserve">　　</w:t>
      </w:r>
      <w:r w:rsidR="00203F72" w:rsidRPr="00DF3454">
        <w:t>三、違反《禁止為軍事或任何其他敵對目的使用改變環境的技術的公約》</w:t>
      </w:r>
    </w:p>
    <w:p w14:paraId="254DF688" w14:textId="77777777" w:rsidR="00203F72" w:rsidRPr="00DF3454" w:rsidRDefault="001C3A2B" w:rsidP="00D87D91">
      <w:r w:rsidRPr="00DF3454">
        <w:t xml:space="preserve">　　</w:t>
      </w:r>
      <w:r w:rsidR="00203F72" w:rsidRPr="00DF3454">
        <w:t>中國假若對台灣進行核彈軍事攻擊，除了有可能會造成台灣及外國非武裝平民大量死亡之外，尚會造成台灣自然生態之破壞，此自然生態之破壞，包括自然植物及一切的有生命之動物。可以預見的，有生命之動物死亡之數，必定會超過台灣及外國之平民。故中國假若對台灣進行核彈軍事攻擊，係違反《禁止為軍事或任何其他敵對目的使用改變環境的技術的公約》之相關規定。</w:t>
      </w:r>
    </w:p>
    <w:p w14:paraId="3AF786D0" w14:textId="77777777" w:rsidR="00953151" w:rsidRPr="00DF3454" w:rsidRDefault="001C3A2B" w:rsidP="00D87D91">
      <w:r w:rsidRPr="00DF3454">
        <w:t xml:space="preserve">　　</w:t>
      </w:r>
      <w:r w:rsidR="00203F72" w:rsidRPr="00DF3454">
        <w:t>根據中國第十屆全國人民代表大會常務委員會第十五次會議之決定，中國不僅簽署《禁止為軍事或任何其他敵對目的使用改變環境的技術的公約》，尚且是批准、加入於</w:t>
      </w:r>
      <w:r w:rsidR="00203F72" w:rsidRPr="00DF3454">
        <w:t>1976</w:t>
      </w:r>
      <w:r w:rsidR="00203F72" w:rsidRPr="00DF3454">
        <w:t>年</w:t>
      </w:r>
      <w:r w:rsidR="00203F72" w:rsidRPr="00DF3454">
        <w:t>12</w:t>
      </w:r>
      <w:r w:rsidR="00203F72" w:rsidRPr="00DF3454">
        <w:t>月</w:t>
      </w:r>
      <w:r w:rsidR="00203F72" w:rsidRPr="00DF3454">
        <w:t>10</w:t>
      </w:r>
      <w:r w:rsidR="00203F72" w:rsidRPr="00DF3454">
        <w:t>日經第三十一屆聯合國大會通過的上述之《禁止為軍事或任何其他敵對目的使用改變環境的技術的公約》</w:t>
      </w:r>
      <w:r w:rsidR="00203F72" w:rsidRPr="00DF3454">
        <w:footnoteReference w:id="982"/>
      </w:r>
      <w:r w:rsidR="00203F72" w:rsidRPr="00DF3454">
        <w:t>。是以，中國亦為《禁止為軍事或任何其他敵對目的使用改變環境的技術的公約》正式之締約國。假若中國對台灣進行核彈軍事攻擊，係違反上開《禁止為軍事或任何其他敵對目的使用改變環境的技術的公約》之相關規定及本公約序言中之核心精神。</w:t>
      </w:r>
    </w:p>
    <w:p w14:paraId="44FBB75F" w14:textId="77777777" w:rsidR="00953151" w:rsidRPr="00DF3454" w:rsidRDefault="001C3A2B" w:rsidP="00D87D91">
      <w:r w:rsidRPr="00DF3454">
        <w:t xml:space="preserve">　　</w:t>
      </w:r>
      <w:r w:rsidR="00203F72" w:rsidRPr="00DF3454">
        <w:t>在《禁止為軍事或任何其他敵對目的使用改變環境的技術的公約》之序言中，承認科學技術的發展可以為改變環境開闢新的可能性，回顧一九七二年六月十六日在斯德哥爾摩通過的聯合國人類環境會議宣言，認識到為和平目的使用改變環境的技術能夠改善人類與自然的相互關係，並有助於保護和改善環境，以造福於現在這一代和子孫後代，但是承認為了軍事或任何其他敵對目的使用這種技術會產生對人類福利極端有害的後果，願意有效地禁止為軍事或任何其他敵對目的使用改變環境的技術，以便消除使用這種技術對人類造成的危險，並申明願意為達到此目的而努力，也願意根據</w:t>
      </w:r>
      <w:hyperlink r:id="rId2302" w:history="1">
        <w:r w:rsidR="006937CE" w:rsidRPr="006937CE">
          <w:rPr>
            <w:rStyle w:val="a5"/>
            <w:rFonts w:ascii="Times New Roman" w:eastAsia="新細明體" w:hAnsi="Times New Roman"/>
          </w:rPr>
          <w:t>聯合國憲章</w:t>
        </w:r>
      </w:hyperlink>
      <w:r w:rsidR="00203F72" w:rsidRPr="00DF3454">
        <w:t>的宗旨與原則對加強各國之間的信任和進一步改善國際局勢作出貢獻</w:t>
      </w:r>
      <w:r w:rsidR="00203F72" w:rsidRPr="00DF3454">
        <w:footnoteReference w:id="983"/>
      </w:r>
      <w:r w:rsidR="00203F72" w:rsidRPr="00DF3454">
        <w:t>。</w:t>
      </w:r>
    </w:p>
    <w:p w14:paraId="07B6A13D" w14:textId="77777777" w:rsidR="00953151" w:rsidRPr="00DF3454" w:rsidRDefault="001C3A2B" w:rsidP="00D87D91">
      <w:r w:rsidRPr="00DF3454">
        <w:t xml:space="preserve">　　</w:t>
      </w:r>
      <w:r w:rsidR="00203F72" w:rsidRPr="00DF3454">
        <w:t>依據上述《禁止為軍事或任何其他敵對目的使用改變環境的技術的公約》之規定，該公約承認為了軍事或任何其他敵對目的使用改變環境的這種技術，會產生對人類福利極端有害的後果，願意有效地禁止為軍事或任何其他敵對目的使用改變環境的技術。是以，因中國對台灣進行核彈軍事攻擊，會造成台灣自然環境的重大破壞，此外，亦會造成台灣自然環境中之動物死傷，諸如：自然資源之破壞及物種資源，諸如：狗、貓、鳥、、、等等之死傷，是被《禁止為軍事或任何其他敵對目的使用改變環境的技術的公約》加以禁止之行為。上述之自然資源及動物，是相當地無辜，其無法理解何謂台灣獨立？故，假若中國使用核彈武器攻擊與殲滅台灣之小鳥、狗、貓、牛、馬、雞、鴨、、、</w:t>
      </w:r>
      <w:r w:rsidR="00203F72" w:rsidRPr="00DF3454">
        <w:footnoteReference w:id="984"/>
      </w:r>
      <w:r w:rsidR="00203F72" w:rsidRPr="00DF3454">
        <w:t>等等，造成台灣自然環境中之各式各樣自然資源之枯竭，及動物大量之死傷，手段亦過於殘暴不仁，踐踏動物之尊嚴</w:t>
      </w:r>
      <w:r w:rsidR="00203F72" w:rsidRPr="00DF3454">
        <w:t>(animal dignity)</w:t>
      </w:r>
      <w:r w:rsidR="00203F72" w:rsidRPr="00DF3454">
        <w:t>與生命，在手段</w:t>
      </w:r>
      <w:r w:rsidR="00203F72" w:rsidRPr="00DF3454">
        <w:t>(</w:t>
      </w:r>
      <w:r w:rsidR="00203F72" w:rsidRPr="00DF3454">
        <w:t>核彈武器攻擊</w:t>
      </w:r>
      <w:r w:rsidR="00203F72" w:rsidRPr="00DF3454">
        <w:t>)</w:t>
      </w:r>
      <w:r w:rsidR="00203F72" w:rsidRPr="00DF3454">
        <w:t>與目的</w:t>
      </w:r>
      <w:r w:rsidR="00203F72" w:rsidRPr="00DF3454">
        <w:t>(</w:t>
      </w:r>
      <w:r w:rsidR="00203F72" w:rsidRPr="00DF3454">
        <w:t>兩岸統一</w:t>
      </w:r>
      <w:r w:rsidR="00203F72" w:rsidRPr="00DF3454">
        <w:t>)</w:t>
      </w:r>
      <w:r w:rsidR="00203F72" w:rsidRPr="00DF3454">
        <w:t>的聯結部分，不符合比例原則。</w:t>
      </w:r>
    </w:p>
    <w:p w14:paraId="04545FF4" w14:textId="77777777" w:rsidR="00953151" w:rsidRPr="00DF3454" w:rsidRDefault="001C3A2B" w:rsidP="00D87D91">
      <w:r w:rsidRPr="00DF3454">
        <w:t xml:space="preserve">　　</w:t>
      </w:r>
      <w:r w:rsidR="00203F72" w:rsidRPr="00DF3454">
        <w:t>四、違反《不擴散核武器條約》</w:t>
      </w:r>
    </w:p>
    <w:p w14:paraId="33F1CF5C" w14:textId="77777777" w:rsidR="00953151" w:rsidRPr="00DF3454" w:rsidRDefault="001C3A2B" w:rsidP="00D87D91">
      <w:r w:rsidRPr="00DF3454">
        <w:t xml:space="preserve">　　</w:t>
      </w:r>
      <w:r w:rsidR="00203F72" w:rsidRPr="00DF3454">
        <w:t>假若提及核武器的使用與限制的問題，非常重要的國際會議與國際公約，當屬於「全球裁軍談判會議」與「不擴散核武器條約」。首先，就「全球裁軍談判會議」而論，它具有以下的性質</w:t>
      </w:r>
      <w:r w:rsidR="00203F72" w:rsidRPr="00DF3454">
        <w:footnoteReference w:id="985"/>
      </w:r>
      <w:r w:rsidR="00203F72" w:rsidRPr="00DF3454">
        <w:t>：</w:t>
      </w:r>
      <w:r w:rsidR="00203F72" w:rsidRPr="00DF3454">
        <w:t>1.</w:t>
      </w:r>
      <w:r w:rsidR="00203F72" w:rsidRPr="00DF3454">
        <w:t>「全球裁軍談判會議」的成立時點，係在</w:t>
      </w:r>
      <w:r w:rsidR="00203F72" w:rsidRPr="00DF3454">
        <w:t>1979</w:t>
      </w:r>
      <w:r w:rsidR="00203F72" w:rsidRPr="00DF3454">
        <w:t>年；</w:t>
      </w:r>
      <w:r w:rsidR="00203F72" w:rsidRPr="00DF3454">
        <w:t>2.</w:t>
      </w:r>
      <w:r w:rsidR="00203F72" w:rsidRPr="00DF3454">
        <w:t>「全球裁軍談判會議」在全球多邊性的裁軍談判組織之中，它具有獨一無二的唯一性；</w:t>
      </w:r>
      <w:r w:rsidR="00203F72" w:rsidRPr="00DF3454">
        <w:t>3.</w:t>
      </w:r>
      <w:r w:rsidR="00203F72" w:rsidRPr="00DF3454">
        <w:t>「全球裁軍談判會議」之功能，它是全球多邊裁軍機制的關鍵性組織，具有核心角色之性質與地位；</w:t>
      </w:r>
      <w:r w:rsidR="00203F72" w:rsidRPr="00DF3454">
        <w:t>4.</w:t>
      </w:r>
      <w:r w:rsidR="00203F72" w:rsidRPr="00DF3454">
        <w:t>「全球裁軍談判會議」的主要作用，係集中於：國際的軍控、裁軍與防止擴散之問題；</w:t>
      </w:r>
      <w:r w:rsidR="00203F72" w:rsidRPr="00DF3454">
        <w:t>5.</w:t>
      </w:r>
      <w:r w:rsidR="00203F72" w:rsidRPr="00DF3454">
        <w:t>在</w:t>
      </w:r>
      <w:r w:rsidR="00203F72" w:rsidRPr="00DF3454">
        <w:t>2006</w:t>
      </w:r>
      <w:r w:rsidR="00203F72" w:rsidRPr="00DF3454">
        <w:t>年，就全球的裁軍議題而言，是非常重要的</w:t>
      </w:r>
      <w:r w:rsidR="00203F72" w:rsidRPr="00DF3454">
        <w:t>1</w:t>
      </w:r>
      <w:r w:rsidR="00203F72" w:rsidRPr="00DF3454">
        <w:t>年；「裁軍談判會議」從</w:t>
      </w:r>
      <w:r w:rsidR="00203F72" w:rsidRPr="00DF3454">
        <w:t>1996</w:t>
      </w:r>
      <w:r w:rsidR="00203F72" w:rsidRPr="00DF3454">
        <w:t>年以來，即陷入裁軍談判的僵局；但在</w:t>
      </w:r>
      <w:r w:rsidR="00203F72" w:rsidRPr="00DF3454">
        <w:t>2006</w:t>
      </w:r>
      <w:r w:rsidR="00203F72" w:rsidRPr="00DF3454">
        <w:t>年，「裁軍談判會議」第</w:t>
      </w:r>
      <w:r w:rsidR="00203F72" w:rsidRPr="00DF3454">
        <w:t>1</w:t>
      </w:r>
      <w:r w:rsidR="00203F72" w:rsidRPr="00DF3454">
        <w:t>次針對實際的工作時間表，展開討論與協商。</w:t>
      </w:r>
    </w:p>
    <w:p w14:paraId="5EACCD58" w14:textId="77777777" w:rsidR="00953151" w:rsidRPr="00DF3454" w:rsidRDefault="001C3A2B" w:rsidP="00D87D91">
      <w:r w:rsidRPr="00DF3454">
        <w:t xml:space="preserve">　　</w:t>
      </w:r>
      <w:r w:rsidR="00203F72" w:rsidRPr="00DF3454">
        <w:t>再者，就「不擴散核武器條約」而論，它是國際上最重要的裁軍協定，此一條約的特點如下所述</w:t>
      </w:r>
      <w:r w:rsidR="00203F72" w:rsidRPr="00DF3454">
        <w:footnoteReference w:id="986"/>
      </w:r>
      <w:r w:rsidR="00203F72" w:rsidRPr="00DF3454">
        <w:t>：</w:t>
      </w:r>
      <w:r w:rsidR="00203F72" w:rsidRPr="00DF3454">
        <w:t>1.</w:t>
      </w:r>
      <w:r w:rsidR="00203F72" w:rsidRPr="00DF3454">
        <w:t>它係於</w:t>
      </w:r>
      <w:r w:rsidR="00203F72" w:rsidRPr="00DF3454">
        <w:t>1968</w:t>
      </w:r>
      <w:r w:rsidR="00203F72" w:rsidRPr="00DF3454">
        <w:t>年被簽署，於</w:t>
      </w:r>
      <w:r w:rsidR="00203F72" w:rsidRPr="00DF3454">
        <w:t>1970</w:t>
      </w:r>
      <w:r w:rsidR="00203F72" w:rsidRPr="00DF3454">
        <w:t>年正式生效；</w:t>
      </w:r>
      <w:r w:rsidR="00203F72" w:rsidRPr="00DF3454">
        <w:t>2.</w:t>
      </w:r>
      <w:r w:rsidR="00203F72" w:rsidRPr="00DF3454">
        <w:t>全球約有</w:t>
      </w:r>
      <w:r w:rsidR="00203F72" w:rsidRPr="00DF3454">
        <w:t>190</w:t>
      </w:r>
      <w:r w:rsidR="00203F72" w:rsidRPr="00DF3454">
        <w:t>個締約國，可謂多數的主權國家，大多均簽署「不擴散核武器條約」；</w:t>
      </w:r>
      <w:r w:rsidR="00203F72" w:rsidRPr="00DF3454">
        <w:t>3.</w:t>
      </w:r>
      <w:r w:rsidR="00203F72" w:rsidRPr="00DF3454">
        <w:t>已經是非核武器的國家，願意承諾，不獲取與研發核武；但假基於和平的目的，則該公約允許非核武國家利用核能；</w:t>
      </w:r>
      <w:r w:rsidR="00203F72" w:rsidRPr="00DF3454">
        <w:t>4.</w:t>
      </w:r>
      <w:r w:rsidR="00203F72" w:rsidRPr="00DF3454">
        <w:t>若業已是擁有核武器的主權國家，願遵守該公約之要求，停止進行核武的競賽，並願進行裁軍之談判與協商；</w:t>
      </w:r>
      <w:r w:rsidR="00203F72" w:rsidRPr="00DF3454">
        <w:t>5.</w:t>
      </w:r>
      <w:r w:rsidR="00203F72" w:rsidRPr="00DF3454">
        <w:t>擁有核武的國家，願恪遵該公約之規範，不得向非核武的國家輸送核武器。</w:t>
      </w:r>
    </w:p>
    <w:p w14:paraId="264E8967" w14:textId="77777777" w:rsidR="00953151" w:rsidRPr="00DF3454" w:rsidRDefault="001C3A2B" w:rsidP="00D87D91">
      <w:r w:rsidRPr="00DF3454">
        <w:t xml:space="preserve">　　</w:t>
      </w:r>
      <w:r w:rsidR="00203F72" w:rsidRPr="00DF3454">
        <w:t>全球為了落實不擴散核武器之相關公約，國際原子能機構扮演相當吃重的角色，全球相關的作法與機制，如下所述</w:t>
      </w:r>
      <w:r w:rsidR="00203F72" w:rsidRPr="00DF3454">
        <w:footnoteReference w:id="987"/>
      </w:r>
      <w:r w:rsidR="00203F72" w:rsidRPr="00DF3454">
        <w:t>：</w:t>
      </w:r>
      <w:r w:rsidR="00203F72" w:rsidRPr="00DF3454">
        <w:t>1.</w:t>
      </w:r>
      <w:r w:rsidR="00203F72" w:rsidRPr="00DF3454">
        <w:t>截至</w:t>
      </w:r>
      <w:r w:rsidR="00203F72" w:rsidRPr="00DF3454">
        <w:t>2006</w:t>
      </w:r>
      <w:r w:rsidR="00203F72" w:rsidRPr="00DF3454">
        <w:t>年為止，為了防止核武器的擴散，全球所生效的保護協議，計約有</w:t>
      </w:r>
      <w:r w:rsidR="00203F72" w:rsidRPr="00DF3454">
        <w:t>229</w:t>
      </w:r>
      <w:r w:rsidR="00203F72" w:rsidRPr="00DF3454">
        <w:t>個；在實施此等協議的國家的數量方面，則約有</w:t>
      </w:r>
      <w:r w:rsidR="00203F72" w:rsidRPr="00DF3454">
        <w:t>145</w:t>
      </w:r>
      <w:r w:rsidR="00203F72" w:rsidRPr="00DF3454">
        <w:t>個，包括台灣；</w:t>
      </w:r>
      <w:r w:rsidR="00203F72" w:rsidRPr="00DF3454">
        <w:t>2.</w:t>
      </w:r>
      <w:r w:rsidR="00203F72" w:rsidRPr="00DF3454">
        <w:t>約有</w:t>
      </w:r>
      <w:r w:rsidR="00203F72" w:rsidRPr="00DF3454">
        <w:t>250</w:t>
      </w:r>
      <w:r w:rsidR="00203F72" w:rsidRPr="00DF3454">
        <w:t>位的國際原子能機構的專家，會在全球進行例行性的實地檢查；</w:t>
      </w:r>
      <w:r w:rsidR="00203F72" w:rsidRPr="00DF3454">
        <w:t>3.</w:t>
      </w:r>
      <w:r w:rsidR="00203F72" w:rsidRPr="00DF3454">
        <w:t>每年約有</w:t>
      </w:r>
      <w:r w:rsidR="00203F72" w:rsidRPr="00DF3454">
        <w:t>2400</w:t>
      </w:r>
      <w:r w:rsidR="00203F72" w:rsidRPr="00DF3454">
        <w:t>次保護措施的檢查作為；</w:t>
      </w:r>
      <w:r w:rsidR="00203F72" w:rsidRPr="00DF3454">
        <w:t>4.</w:t>
      </w:r>
      <w:r w:rsidR="00203F72" w:rsidRPr="00DF3454">
        <w:t>在全球，約有</w:t>
      </w:r>
      <w:r w:rsidR="00203F72" w:rsidRPr="00DF3454">
        <w:t>900</w:t>
      </w:r>
      <w:r w:rsidR="00203F72" w:rsidRPr="00DF3454">
        <w:t>個核設施機構，分散在大約</w:t>
      </w:r>
      <w:r w:rsidR="00203F72" w:rsidRPr="00DF3454">
        <w:t>70</w:t>
      </w:r>
      <w:r w:rsidR="00203F72" w:rsidRPr="00DF3454">
        <w:t>個國家，國際原子能機構檢查之重點，在防範上述核設施機中的核子原料，並未從「合法的和平用途」，轉化為非法的軍事之用；</w:t>
      </w:r>
      <w:r w:rsidR="00203F72" w:rsidRPr="00DF3454">
        <w:t>5.</w:t>
      </w:r>
      <w:r w:rsidR="00203F72" w:rsidRPr="00DF3454">
        <w:t>在防止核武器擴散的問題上，國際原子能機對全球的國際核武安全，作出相當的努力與貢獻，俾利全球朝向無核武器的方向邁進。</w:t>
      </w:r>
    </w:p>
    <w:p w14:paraId="2DFA057E" w14:textId="77777777" w:rsidR="00953151" w:rsidRPr="00DF3454" w:rsidRDefault="001C3A2B" w:rsidP="00D87D91">
      <w:r w:rsidRPr="00DF3454">
        <w:t xml:space="preserve">　　</w:t>
      </w:r>
      <w:r w:rsidR="00203F72" w:rsidRPr="00DF3454">
        <w:t>就「不擴散核武器條約」的實際執行面而論，在</w:t>
      </w:r>
      <w:r w:rsidR="00203F72" w:rsidRPr="00DF3454">
        <w:t>2003</w:t>
      </w:r>
      <w:r w:rsidR="00203F72" w:rsidRPr="00DF3454">
        <w:t>年，願意接受與遵守「國際原子能機構」所制定的核保障協議的國家，約共有</w:t>
      </w:r>
      <w:r w:rsidR="00203F72" w:rsidRPr="00DF3454">
        <w:t>140</w:t>
      </w:r>
      <w:r w:rsidR="00203F72" w:rsidRPr="00DF3454">
        <w:t>個國家，包括台灣在內；截至</w:t>
      </w:r>
      <w:r w:rsidR="00203F72" w:rsidRPr="00DF3454">
        <w:t>2003</w:t>
      </w:r>
      <w:r w:rsidR="00203F72" w:rsidRPr="00DF3454">
        <w:t>年為止，涉及不擴散核武的保障協議，約有</w:t>
      </w:r>
      <w:r w:rsidR="00203F72" w:rsidRPr="00DF3454">
        <w:t>225</w:t>
      </w:r>
      <w:r w:rsidR="00203F72" w:rsidRPr="00DF3454">
        <w:t>項；全球國際社會在處理不擴散核武的國際條約方面，計有以下之公約：</w:t>
      </w:r>
      <w:r w:rsidR="00203F72" w:rsidRPr="00DF3454">
        <w:t>1.</w:t>
      </w:r>
      <w:r w:rsidR="00203F72" w:rsidRPr="00DF3454">
        <w:t>「不擴散核武器條約」；</w:t>
      </w:r>
      <w:r w:rsidR="00203F72" w:rsidRPr="00DF3454">
        <w:t>2.</w:t>
      </w:r>
      <w:r w:rsidR="00203F72" w:rsidRPr="00DF3454">
        <w:t>「特拉特洛爾科條約」；</w:t>
      </w:r>
      <w:r w:rsidR="00203F72" w:rsidRPr="00DF3454">
        <w:t>3.</w:t>
      </w:r>
      <w:r w:rsidR="00203F72" w:rsidRPr="00DF3454">
        <w:t>「拉羅湯加條約」；</w:t>
      </w:r>
      <w:r w:rsidR="00203F72" w:rsidRPr="00DF3454">
        <w:t>4.</w:t>
      </w:r>
      <w:r w:rsidR="00203F72" w:rsidRPr="00DF3454">
        <w:t>「曼谷條約」；</w:t>
      </w:r>
      <w:r w:rsidR="00203F72" w:rsidRPr="00DF3454">
        <w:t>5.</w:t>
      </w:r>
      <w:r w:rsidR="00203F72" w:rsidRPr="00DF3454">
        <w:t>「佩林達巴條約」。上述的國際公約，均要求不具備核武的國家，須運用與遵守「國際原子能機構」的核保障措施。其中，「不擴散核武器條約」之內容，計規範</w:t>
      </w:r>
      <w:r w:rsidR="00203F72" w:rsidRPr="00DF3454">
        <w:t>136</w:t>
      </w:r>
      <w:r w:rsidR="00203F72" w:rsidRPr="00DF3454">
        <w:t>條</w:t>
      </w:r>
      <w:r w:rsidR="00203F72" w:rsidRPr="00DF3454">
        <w:t>(</w:t>
      </w:r>
      <w:r w:rsidR="00203F72" w:rsidRPr="00DF3454">
        <w:t>項</w:t>
      </w:r>
      <w:r w:rsidR="00203F72" w:rsidRPr="00DF3454">
        <w:t>)</w:t>
      </w:r>
      <w:r w:rsidR="00203F72" w:rsidRPr="00DF3454">
        <w:t>全面性的保障協議。在不擴散核武之議題上，「不擴散核武器條約」具有非常重要之角色與功能</w:t>
      </w:r>
      <w:r w:rsidR="00203F72" w:rsidRPr="00DF3454">
        <w:footnoteReference w:id="988"/>
      </w:r>
      <w:r w:rsidR="00203F72" w:rsidRPr="00DF3454">
        <w:t>。</w:t>
      </w:r>
    </w:p>
    <w:p w14:paraId="6BB17AC7" w14:textId="77777777" w:rsidR="00953151" w:rsidRPr="00DF3454" w:rsidRDefault="001C3A2B" w:rsidP="00D87D91">
      <w:r w:rsidRPr="00DF3454">
        <w:t xml:space="preserve">　　</w:t>
      </w:r>
      <w:r w:rsidR="00203F72" w:rsidRPr="00DF3454">
        <w:t>中國業已簽署、批准及加入《不擴散核武器條約》，故中國假若對台灣進行核彈軍事攻擊，係違反《不擴散核武器條約》之相關規定，諸如：締約國應竭力防止核擴散之條文要求與規範。</w:t>
      </w:r>
    </w:p>
    <w:p w14:paraId="12C0137D" w14:textId="77777777" w:rsidR="00953151" w:rsidRPr="00DF3454" w:rsidRDefault="001C3A2B" w:rsidP="00D87D91">
      <w:r w:rsidRPr="00DF3454">
        <w:t xml:space="preserve">　　</w:t>
      </w:r>
      <w:r w:rsidR="00203F72" w:rsidRPr="00DF3454">
        <w:t>五、違反《全面禁止核子試驗條約》之</w:t>
      </w:r>
      <w:r w:rsidR="00203F72" w:rsidRPr="00DF3454">
        <w:t>(Comprehensive Nuclear-Test-Ban Treaty)</w:t>
      </w:r>
      <w:r w:rsidR="00203F72" w:rsidRPr="00DF3454">
        <w:t>之「立法精神」與「意旨」</w:t>
      </w:r>
    </w:p>
    <w:p w14:paraId="6DB86B2A" w14:textId="77777777" w:rsidR="00203F72" w:rsidRPr="00DF3454" w:rsidRDefault="001C3A2B" w:rsidP="00D87D91">
      <w:r w:rsidRPr="00DF3454">
        <w:t xml:space="preserve">　　</w:t>
      </w:r>
      <w:r w:rsidR="00203F72" w:rsidRPr="00DF3454">
        <w:t>《全面禁止核子試驗條約》</w:t>
      </w:r>
      <w:r w:rsidR="00203F72" w:rsidRPr="00DF3454">
        <w:t>(Comprehensive Nuclear-Test-Ban Treaty)</w:t>
      </w:r>
      <w:r w:rsidR="00203F72" w:rsidRPr="00DF3454">
        <w:t>包括序言、</w:t>
      </w:r>
      <w:r w:rsidR="008F066C">
        <w:t>1</w:t>
      </w:r>
      <w:r w:rsidR="00FB75BE">
        <w:t>7</w:t>
      </w:r>
      <w:r w:rsidR="00203F72" w:rsidRPr="00DF3454">
        <w:t>條正文、兩個附件及議定書。條約規定，締約國將作出有步驟、漸進的努力，在全球範圍內裁減核武器，以求實現消除核武器，在嚴格和有效的國際監督下全面徹底核裁軍的最終目標。所有締約國承諾不進行任何核武器試驗爆炸或任何其他核爆炸，並承諾不導致、鼓勵或以任何方式參與任何核武器試驗爆炸</w:t>
      </w:r>
      <w:r w:rsidR="00203F72" w:rsidRPr="00DF3454">
        <w:footnoteReference w:id="989"/>
      </w:r>
      <w:r w:rsidR="00545D58" w:rsidRPr="00DF3454">
        <w:t>。</w:t>
      </w:r>
    </w:p>
    <w:p w14:paraId="56F41268" w14:textId="77777777" w:rsidR="00953151" w:rsidRPr="00DF3454" w:rsidRDefault="001C3A2B" w:rsidP="00D87D91">
      <w:r w:rsidRPr="00DF3454">
        <w:t xml:space="preserve">　　</w:t>
      </w:r>
      <w:r w:rsidR="00203F72" w:rsidRPr="00DF3454">
        <w:t>聯合國大會通過《全面禁止核子試驗條約》後，於</w:t>
      </w:r>
      <w:r w:rsidR="008F066C">
        <w:t>1</w:t>
      </w:r>
      <w:r w:rsidR="007F3288">
        <w:t>99</w:t>
      </w:r>
      <w:r w:rsidR="002E34D0">
        <w:t>6</w:t>
      </w:r>
      <w:r w:rsidR="00203F72" w:rsidRPr="00DF3454">
        <w:t>年</w:t>
      </w:r>
      <w:r w:rsidR="007F3288">
        <w:t>9</w:t>
      </w:r>
      <w:r w:rsidR="00203F72" w:rsidRPr="00DF3454">
        <w:t>月</w:t>
      </w:r>
      <w:r w:rsidR="007D50BB">
        <w:t>2</w:t>
      </w:r>
      <w:r w:rsidR="008F066C">
        <w:t>4</w:t>
      </w:r>
      <w:r w:rsidR="00203F72" w:rsidRPr="00DF3454">
        <w:t>日開放供所有國家簽署，中國、法國、俄羅斯、英國和美國首先在條約上簽字</w:t>
      </w:r>
      <w:r w:rsidR="00203F72" w:rsidRPr="00DF3454">
        <w:footnoteReference w:id="990"/>
      </w:r>
      <w:r w:rsidR="00545D58" w:rsidRPr="00DF3454">
        <w:t>。</w:t>
      </w:r>
      <w:r w:rsidR="00203F72" w:rsidRPr="00DF3454">
        <w:t>1996</w:t>
      </w:r>
      <w:r w:rsidR="00203F72" w:rsidRPr="00DF3454">
        <w:t>年，聯合國大會以壓倒多數通過了《全面禁止核子試驗條約》</w:t>
      </w:r>
      <w:r w:rsidR="00203F72" w:rsidRPr="00DF3454">
        <w:t>(Comprehensive Nuclear-Test-Ban Treaty)</w:t>
      </w:r>
      <w:r w:rsidR="00203F72" w:rsidRPr="00DF3454">
        <w:t>，禁止在任何地區進行核子試驗爆炸。為了令《全面禁止核子試驗條約》儘早生效實施，聯合國秘書長曾以條約受託人的身分，分別於</w:t>
      </w:r>
      <w:r w:rsidR="00203F72" w:rsidRPr="00DF3454">
        <w:t>1999</w:t>
      </w:r>
      <w:r w:rsidR="00203F72" w:rsidRPr="00DF3454">
        <w:t>年、</w:t>
      </w:r>
      <w:r w:rsidR="00203F72" w:rsidRPr="00DF3454">
        <w:t>2001</w:t>
      </w:r>
      <w:r w:rsidR="00203F72" w:rsidRPr="00DF3454">
        <w:t>年與</w:t>
      </w:r>
      <w:r w:rsidR="00203F72" w:rsidRPr="00DF3454">
        <w:t>2003</w:t>
      </w:r>
      <w:r w:rsidR="00203F72" w:rsidRPr="00DF3454">
        <w:t>年，召集三次促進全面禁止核子試驗條約生效之會議</w:t>
      </w:r>
      <w:r w:rsidR="00203F72" w:rsidRPr="00DF3454">
        <w:footnoteReference w:id="991"/>
      </w:r>
      <w:r w:rsidR="00203F72" w:rsidRPr="00DF3454">
        <w:t>。很可惜的，迄至</w:t>
      </w:r>
      <w:r w:rsidR="00203F72" w:rsidRPr="00DF3454">
        <w:t>2015</w:t>
      </w:r>
      <w:r w:rsidR="00203F72" w:rsidRPr="00DF3454">
        <w:t>年上半年為止，《全面禁止核子試驗條約》</w:t>
      </w:r>
      <w:r w:rsidR="00203F72" w:rsidRPr="00DF3454">
        <w:t>(Comprehensive Nuclear-Test-Ban Treaty)</w:t>
      </w:r>
      <w:r w:rsidR="00203F72" w:rsidRPr="00DF3454">
        <w:t>尚未生效。中國政府已經簽署上開之全面禁止核子試驗條約，並且已經提交給中國人民代表大會批准，但，迄至</w:t>
      </w:r>
      <w:r w:rsidR="00203F72" w:rsidRPr="00DF3454">
        <w:t>2015</w:t>
      </w:r>
      <w:r w:rsidR="00203F72" w:rsidRPr="00DF3454">
        <w:t>年上半年為止，中國人民代表大會尚未批准《全面禁止核子試驗條約》。中國人大將在何時批准《全面禁止核子試驗條約》，則未知。沒有批准《全面禁止核子試驗條約》的國家，除了中國之外，還有美國等國</w:t>
      </w:r>
      <w:r w:rsidR="00203F72" w:rsidRPr="00DF3454">
        <w:footnoteReference w:id="992"/>
      </w:r>
      <w:r w:rsidR="00203F72" w:rsidRPr="00DF3454">
        <w:t>。</w:t>
      </w:r>
    </w:p>
    <w:p w14:paraId="6C730C33" w14:textId="77777777" w:rsidR="00953151" w:rsidRPr="00DF3454" w:rsidRDefault="001C3A2B" w:rsidP="00D87D91">
      <w:r w:rsidRPr="00DF3454">
        <w:t xml:space="preserve">　　</w:t>
      </w:r>
      <w:r w:rsidR="00203F72" w:rsidRPr="00DF3454">
        <w:t>假若，中國對台灣進行核彈軍事攻擊，雖然，明顯地，係違反《全面禁止核子試驗條約》</w:t>
      </w:r>
      <w:r w:rsidR="00203F72" w:rsidRPr="00DF3454">
        <w:t>(Comprehensive Nuclear-Test-Ban Treaty)</w:t>
      </w:r>
      <w:r w:rsidR="00203F72" w:rsidRPr="00DF3454">
        <w:t>之「立法精神」與「意旨」。諸如，違反《全面禁止核子試驗條約》</w:t>
      </w:r>
      <w:r w:rsidR="00203F72" w:rsidRPr="00DF3454">
        <w:t>(Comprehensive Nuclear-Test-Ban Treaty)</w:t>
      </w:r>
      <w:r w:rsidR="00203F72" w:rsidRPr="00DF3454">
        <w:t>之第一條及第三條「立法精神」與「意旨」，其規定詳如下述。</w:t>
      </w:r>
    </w:p>
    <w:p w14:paraId="14A7FA5D" w14:textId="77777777" w:rsidR="00953151" w:rsidRPr="00DF3454" w:rsidRDefault="001C3A2B" w:rsidP="00D87D91">
      <w:r w:rsidRPr="00DF3454">
        <w:t xml:space="preserve">　　</w:t>
      </w:r>
      <w:r w:rsidR="00203F72" w:rsidRPr="00DF3454">
        <w:t>(</w:t>
      </w:r>
      <w:r w:rsidR="00203F72" w:rsidRPr="00DF3454">
        <w:t>一</w:t>
      </w:r>
      <w:r w:rsidR="00203F72" w:rsidRPr="00DF3454">
        <w:t xml:space="preserve">) </w:t>
      </w:r>
      <w:r w:rsidR="00203F72" w:rsidRPr="00DF3454">
        <w:t>《全面禁止核子試驗條約》</w:t>
      </w:r>
      <w:r w:rsidR="00203F72" w:rsidRPr="00DF3454">
        <w:t>(Comprehensive Nuclear-Test-Ban Treaty)</w:t>
      </w:r>
      <w:r w:rsidR="00203F72" w:rsidRPr="00DF3454">
        <w:t>第一條禁止任何核武器試驗爆炸或任何其他核爆炸</w:t>
      </w:r>
    </w:p>
    <w:p w14:paraId="0B3C82C0" w14:textId="77777777" w:rsidR="00953151" w:rsidRPr="00DF3454" w:rsidRDefault="001C3A2B" w:rsidP="00D87D91">
      <w:r w:rsidRPr="00DF3454">
        <w:t xml:space="preserve">　　</w:t>
      </w:r>
      <w:r w:rsidR="00203F72" w:rsidRPr="00DF3454">
        <w:t>假若因台獨建國之故，中國對台灣以核彈進行軍事攻擊，如果果真造成台灣及外國非武裝平民大量死亡，是否有可能會觸犯《全面禁止核子試驗條約》第一條禁止任何核武器試驗爆炸或任何其他核爆炸之「立法精神」與「意旨」？根據《全面禁止核子試驗條約》第一條之規範：「</w:t>
      </w:r>
    </w:p>
    <w:p w14:paraId="2B70C5BC" w14:textId="77777777" w:rsidR="00203F72" w:rsidRPr="00DF3454" w:rsidRDefault="001C3A2B" w:rsidP="00D87D91">
      <w:r w:rsidRPr="00DF3454">
        <w:t xml:space="preserve">　　</w:t>
      </w:r>
      <w:r w:rsidR="00203F72" w:rsidRPr="00DF3454">
        <w:t>《全面禁止核子試驗條約》</w:t>
      </w:r>
      <w:r w:rsidR="00203F72" w:rsidRPr="00DF3454">
        <w:t>(Comprehensive Nuclear-Test-Ban Treaty)</w:t>
      </w:r>
      <w:r w:rsidR="00203F72" w:rsidRPr="00DF3454">
        <w:t>第一條</w:t>
      </w:r>
      <w:r w:rsidR="00203F72" w:rsidRPr="00DF3454">
        <w:footnoteReference w:id="993"/>
      </w:r>
      <w:r w:rsidR="00203F72" w:rsidRPr="00DF3454">
        <w:t xml:space="preserve"> </w:t>
      </w:r>
      <w:r w:rsidR="00203F72" w:rsidRPr="00DF3454">
        <w:t>之條文如下：</w:t>
      </w:r>
    </w:p>
    <w:p w14:paraId="205E89CD" w14:textId="77777777"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每一個締約國承諾不進行任何核武器試驗爆炸或任何其他核爆炸，並承諾在其管轄或控制下的任何地方，禁止和防止任何此種核爆炸</w:t>
      </w:r>
      <w:r w:rsidR="00203F72" w:rsidRPr="00DF3454">
        <w:footnoteReference w:id="994"/>
      </w:r>
      <w:r w:rsidR="00203F72" w:rsidRPr="00DF3454">
        <w:t>。</w:t>
      </w:r>
    </w:p>
    <w:p w14:paraId="65D94268" w14:textId="77777777" w:rsidR="00953151" w:rsidRPr="00DF3454" w:rsidRDefault="001C3A2B" w:rsidP="00D87D91">
      <w:r w:rsidRPr="00DF3454">
        <w:rPr>
          <w:rFonts w:hint="eastAsia"/>
        </w:rPr>
        <w:t xml:space="preserve">　　</w:t>
      </w:r>
      <w:r w:rsidRPr="00DF3454">
        <w:rPr>
          <w:rFonts w:hint="eastAsia"/>
        </w:rPr>
        <w:t>2</w:t>
      </w:r>
      <w:r w:rsidRPr="00DF3454">
        <w:rPr>
          <w:rFonts w:hint="eastAsia"/>
        </w:rPr>
        <w:t>、</w:t>
      </w:r>
      <w:r w:rsidR="00203F72" w:rsidRPr="00DF3454">
        <w:t>每一個締約國還承諾不導致、鼓勵或以任何方式參與進行任何核武器試驗爆炸或任何其他核爆炸</w:t>
      </w:r>
      <w:r w:rsidR="00203F72" w:rsidRPr="00DF3454">
        <w:footnoteReference w:id="995"/>
      </w:r>
      <w:r w:rsidR="00203F72" w:rsidRPr="00DF3454">
        <w:t>。」</w:t>
      </w:r>
    </w:p>
    <w:p w14:paraId="5AD56DD1" w14:textId="77777777" w:rsidR="00953151" w:rsidRPr="00DF3454" w:rsidRDefault="001C3A2B" w:rsidP="00D87D91">
      <w:r w:rsidRPr="00DF3454">
        <w:t xml:space="preserve">　　</w:t>
      </w:r>
      <w:r w:rsidR="00203F72" w:rsidRPr="00DF3454">
        <w:t>《全面禁止核子試驗條約》第一條明文明定，每一個締約國承諾不進行任何核武器試驗爆炸或任何其他核爆炸，並承諾在其管轄或控制下的任何地方，禁止和防止任何此種核爆炸。上述《全面禁止核子試驗條約》第一條第一項之中，其原文為：</w:t>
      </w:r>
      <w:r w:rsidR="00203F72" w:rsidRPr="00DF3454">
        <w:t>to prohibit and prevent any such nuclear explosion at any place under its jurisdiction or control</w:t>
      </w:r>
      <w:r w:rsidR="00203F72" w:rsidRPr="00DF3454">
        <w:t>。</w:t>
      </w:r>
      <w:r w:rsidR="00203F72" w:rsidRPr="00DF3454">
        <w:t>prohibit</w:t>
      </w:r>
      <w:r w:rsidR="00203F72" w:rsidRPr="00DF3454">
        <w:t>意謂「禁止」進行任何核武器試驗爆炸或任何其他核爆炸，而「</w:t>
      </w:r>
      <w:r w:rsidR="00203F72" w:rsidRPr="00DF3454">
        <w:t>prevent</w:t>
      </w:r>
      <w:r w:rsidR="00203F72" w:rsidRPr="00DF3454">
        <w:t>」意謂防止進行任何核武器試驗爆炸或任何其他核爆炸，亦即，禁止和防止任何此種核爆炸。</w:t>
      </w:r>
    </w:p>
    <w:p w14:paraId="48E2C331" w14:textId="77777777" w:rsidR="00953151" w:rsidRPr="00DF3454" w:rsidRDefault="001C3A2B" w:rsidP="00D87D91">
      <w:r w:rsidRPr="00DF3454">
        <w:t xml:space="preserve">　　</w:t>
      </w:r>
      <w:r w:rsidR="00203F72" w:rsidRPr="00DF3454">
        <w:t>中國既已簽署《全面禁止核子試驗條約》，雖然，中國人民代表大會尚未批准《全面禁止核子試驗條約》，但既已簽署，理應承諾不進行任何核武器試驗爆炸或任何其他核爆炸，此種承諾，包括對於台灣不進行任何其他核爆炸。同時，本書亦強烈地呼籲，中國人民代表大會儘速批准《全面禁止核子試驗條約》，俾利遵守該條約之相關規範。</w:t>
      </w:r>
    </w:p>
    <w:p w14:paraId="3E670797" w14:textId="77777777" w:rsidR="00953151" w:rsidRPr="00DF3454" w:rsidRDefault="001C3A2B" w:rsidP="00D87D91">
      <w:r w:rsidRPr="00DF3454">
        <w:t xml:space="preserve">　　</w:t>
      </w:r>
      <w:r w:rsidR="00203F72" w:rsidRPr="00DF3454">
        <w:t>(</w:t>
      </w:r>
      <w:r w:rsidR="00203F72" w:rsidRPr="00DF3454">
        <w:t>二</w:t>
      </w:r>
      <w:r w:rsidR="00203F72" w:rsidRPr="00DF3454">
        <w:t xml:space="preserve">) </w:t>
      </w:r>
      <w:r w:rsidR="00203F72" w:rsidRPr="00DF3454">
        <w:t>《全面禁止核子試驗條約》</w:t>
      </w:r>
      <w:r w:rsidR="00203F72" w:rsidRPr="00DF3454">
        <w:t>(Comprehensive Nuclear-Test-Ban Treaty)</w:t>
      </w:r>
      <w:r w:rsidR="00203F72" w:rsidRPr="00DF3454">
        <w:t>第三條禁止自然人和法人進行任何核武器試驗爆炸或任何其他核爆炸</w:t>
      </w:r>
    </w:p>
    <w:p w14:paraId="119B0F10" w14:textId="77777777" w:rsidR="00953151" w:rsidRPr="00DF3454" w:rsidRDefault="001C3A2B" w:rsidP="00D87D91">
      <w:r w:rsidRPr="00DF3454">
        <w:t xml:space="preserve">　　</w:t>
      </w:r>
      <w:r w:rsidR="00203F72" w:rsidRPr="00DF3454">
        <w:t>假若因台獨建國之故，中國對台灣以核彈進行軍事攻擊，如果果真造成台灣及外國非武裝平民大量死亡，是否有可能會觸犯《全面禁止核子試驗條約》第三條禁止自然人和法人進行任何核武器試驗爆炸或任何其他核爆炸之規定？根據《全面禁止核子試驗條約》第三條之規範：「</w:t>
      </w:r>
    </w:p>
    <w:p w14:paraId="049D9F2D" w14:textId="77777777" w:rsidR="00203F72" w:rsidRPr="00DF3454" w:rsidRDefault="001C3A2B" w:rsidP="00D87D91">
      <w:r w:rsidRPr="00DF3454">
        <w:t xml:space="preserve">　　</w:t>
      </w:r>
      <w:r w:rsidR="00203F72" w:rsidRPr="00DF3454">
        <w:t>《全面禁止核子試驗條約》</w:t>
      </w:r>
      <w:r w:rsidR="00203F72" w:rsidRPr="00DF3454">
        <w:t>(Comprehensive Nuclear-Test-Ban Treaty)</w:t>
      </w:r>
      <w:r w:rsidR="00203F72" w:rsidRPr="00DF3454">
        <w:t>第三條</w:t>
      </w:r>
      <w:r w:rsidR="00203F72" w:rsidRPr="00DF3454">
        <w:footnoteReference w:id="996"/>
      </w:r>
    </w:p>
    <w:p w14:paraId="2DF023F7" w14:textId="77777777"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每一個締約國應按照其憲法程序，採取一切必要措施，履行其在本條約下承擔之義務，特別是，它應採取一切必要措施</w:t>
      </w:r>
      <w:r w:rsidR="00203F72" w:rsidRPr="00DF3454">
        <w:footnoteReference w:id="997"/>
      </w:r>
      <w:r w:rsidR="00203F72" w:rsidRPr="00DF3454">
        <w:t>：</w:t>
      </w:r>
    </w:p>
    <w:p w14:paraId="70A0916B" w14:textId="77777777" w:rsidR="00953151" w:rsidRPr="00DF3454" w:rsidRDefault="001C3A2B" w:rsidP="00D87D91">
      <w:r w:rsidRPr="00DF3454">
        <w:t xml:space="preserve">　　</w:t>
      </w:r>
      <w:r w:rsidR="00203F72" w:rsidRPr="00DF3454">
        <w:t>(a)</w:t>
      </w:r>
      <w:r w:rsidR="00203F72" w:rsidRPr="00DF3454">
        <w:t>禁止自然人和法人在其領土上任何地方或國際法承認其管轄之任何其他地方，從事本條約禁止一締約國進行的任何活動</w:t>
      </w:r>
      <w:r w:rsidR="00203F72" w:rsidRPr="00DF3454">
        <w:footnoteReference w:id="998"/>
      </w:r>
      <w:r w:rsidR="00203F72" w:rsidRPr="00DF3454">
        <w:t>。</w:t>
      </w:r>
    </w:p>
    <w:p w14:paraId="5AF7BC24" w14:textId="77777777" w:rsidR="00953151" w:rsidRPr="00DF3454" w:rsidRDefault="001C3A2B" w:rsidP="00D87D91">
      <w:r w:rsidRPr="00DF3454">
        <w:t xml:space="preserve">　　</w:t>
      </w:r>
      <w:r w:rsidR="00203F72" w:rsidRPr="00DF3454">
        <w:t xml:space="preserve">(b) </w:t>
      </w:r>
      <w:r w:rsidR="00203F72" w:rsidRPr="00DF3454">
        <w:t>禁止自然人和法人在其控制下的任何地方，從事任何此種活動，並且</w:t>
      </w:r>
      <w:r w:rsidR="00203F72" w:rsidRPr="00DF3454">
        <w:t>(To prohibit natural and legal persons from undertaking any such activity anywhere under its control; and)</w:t>
      </w:r>
    </w:p>
    <w:p w14:paraId="6CF99E19" w14:textId="77777777" w:rsidR="00953151" w:rsidRPr="00DF3454" w:rsidRDefault="001C3A2B" w:rsidP="00D87D91">
      <w:r w:rsidRPr="00DF3454">
        <w:t xml:space="preserve">　　</w:t>
      </w:r>
      <w:r w:rsidR="00203F72" w:rsidRPr="00DF3454">
        <w:t>(c)</w:t>
      </w:r>
      <w:r w:rsidR="00203F72" w:rsidRPr="00DF3454">
        <w:t>依照國際法禁止擁有其國籍的自然人，在任何地方從事任何此種活動</w:t>
      </w:r>
      <w:r w:rsidR="00203F72" w:rsidRPr="00DF3454">
        <w:footnoteReference w:id="999"/>
      </w:r>
      <w:r w:rsidR="00203F72" w:rsidRPr="00DF3454">
        <w:t>。</w:t>
      </w:r>
    </w:p>
    <w:p w14:paraId="3F3309F0" w14:textId="77777777" w:rsidR="00953151" w:rsidRPr="00DF3454" w:rsidRDefault="001C3A2B" w:rsidP="00D87D91">
      <w:r w:rsidRPr="00DF3454">
        <w:t xml:space="preserve">　　</w:t>
      </w:r>
      <w:r w:rsidR="00203F72" w:rsidRPr="00DF3454">
        <w:t>2</w:t>
      </w:r>
      <w:r w:rsidR="00203F72" w:rsidRPr="00DF3454">
        <w:t>、每一個締約國應與其他締約國合作，並提供適當的法律協助，以便履行第一項下的義務</w:t>
      </w:r>
      <w:r w:rsidR="00203F72" w:rsidRPr="00DF3454">
        <w:footnoteReference w:id="1000"/>
      </w:r>
      <w:r w:rsidR="00203F72" w:rsidRPr="00DF3454">
        <w:t>。</w:t>
      </w:r>
    </w:p>
    <w:p w14:paraId="2411028C" w14:textId="77777777" w:rsidR="00953151" w:rsidRPr="00DF3454" w:rsidRDefault="001C3A2B" w:rsidP="00D87D91">
      <w:r w:rsidRPr="00DF3454">
        <w:t xml:space="preserve">　　</w:t>
      </w:r>
      <w:r w:rsidR="00203F72" w:rsidRPr="00DF3454">
        <w:t>3</w:t>
      </w:r>
      <w:r w:rsidR="00203F72" w:rsidRPr="00DF3454">
        <w:t>、每一個締約國應將其根據本條採取的措施告知本組織</w:t>
      </w:r>
      <w:r w:rsidR="00203F72" w:rsidRPr="00DF3454">
        <w:t>(Each State Party shall inform the Organization of the measures taken pursuant to this Article)</w:t>
      </w:r>
      <w:r w:rsidR="00203F72" w:rsidRPr="00DF3454">
        <w:t>。</w:t>
      </w:r>
    </w:p>
    <w:p w14:paraId="3B9B7DD7" w14:textId="77777777" w:rsidR="00953151" w:rsidRPr="00DF3454" w:rsidRDefault="001C3A2B" w:rsidP="00D87D91">
      <w:r w:rsidRPr="00DF3454">
        <w:t xml:space="preserve">　　</w:t>
      </w:r>
      <w:r w:rsidR="00203F72" w:rsidRPr="00DF3454">
        <w:t>4</w:t>
      </w:r>
      <w:r w:rsidR="00203F72" w:rsidRPr="00DF3454">
        <w:t>、為履行其在本條約下承擔之義務，每一個締約國應指定或設立一個國家主管部門，並應在本條約對其生效時告知本組織。國家主管部門應作為本國與本組織及與其他締約國進行聯絡的中心</w:t>
      </w:r>
      <w:r w:rsidR="00203F72" w:rsidRPr="00DF3454">
        <w:footnoteReference w:id="1001"/>
      </w:r>
      <w:r w:rsidR="00203F72" w:rsidRPr="00DF3454">
        <w:t>。」</w:t>
      </w:r>
    </w:p>
    <w:p w14:paraId="573777CC" w14:textId="77777777" w:rsidR="00953151" w:rsidRPr="00DF3454" w:rsidRDefault="001C3A2B" w:rsidP="00D87D91">
      <w:r w:rsidRPr="00DF3454">
        <w:t xml:space="preserve">　　</w:t>
      </w:r>
      <w:r w:rsidR="00203F72" w:rsidRPr="00DF3454">
        <w:t>依據上述《全面禁止核子試驗條約》</w:t>
      </w:r>
      <w:r w:rsidR="00203F72" w:rsidRPr="00DF3454">
        <w:t>(Comprehensive Nuclear-Test-Ban Treaty)</w:t>
      </w:r>
      <w:r w:rsidR="00203F72" w:rsidRPr="00DF3454">
        <w:t>第三條之規定，締約國應該禁止自然人和法人，從事本條約禁止一締約國進行的任何活動。假若因台獨建國之故，中國對台灣以核彈進行軍事攻擊，則已違反上述《全面禁止核子試驗條約》第三條之「立法精神」與「意旨」。</w:t>
      </w:r>
    </w:p>
    <w:p w14:paraId="05FBAD05" w14:textId="77777777" w:rsidR="00953151" w:rsidRPr="00DF3454" w:rsidRDefault="001C3A2B" w:rsidP="00D87D91">
      <w:r w:rsidRPr="00DF3454">
        <w:t xml:space="preserve">　　</w:t>
      </w:r>
      <w:r w:rsidR="00203F72" w:rsidRPr="00DF3454">
        <w:t>六、違反</w:t>
      </w:r>
      <w:r w:rsidR="00203F72" w:rsidRPr="00DF3454">
        <w:t>1964</w:t>
      </w:r>
      <w:r w:rsidR="00203F72" w:rsidRPr="00DF3454">
        <w:t>年「中華人民共和國政府關於在任何時候和任何情況下都不首先使用核武器的聲明」</w:t>
      </w:r>
    </w:p>
    <w:p w14:paraId="23295F7A" w14:textId="77777777" w:rsidR="00953151" w:rsidRPr="00DF3454" w:rsidRDefault="001C3A2B" w:rsidP="00D87D91">
      <w:r w:rsidRPr="00DF3454">
        <w:t xml:space="preserve">　　</w:t>
      </w:r>
      <w:r w:rsidR="00203F72" w:rsidRPr="00DF3454">
        <w:t>在中國使用核武器的政策部分，中國政府的作法如下：</w:t>
      </w:r>
      <w:r w:rsidR="00203F72" w:rsidRPr="00DF3454">
        <w:t>1.</w:t>
      </w:r>
      <w:r w:rsidR="00203F72" w:rsidRPr="00DF3454">
        <w:t>在任何的時間與狀況下之下，都不以核武器作為第一擊，亦即，中國不會首先使用核武；假若中國須使用核武器，僅在交戰的國家已使用核武攻擊中國之後，中國始會以核武器還擊，它是被動的回擊，而非第一擊；</w:t>
      </w:r>
      <w:r w:rsidR="00203F72" w:rsidRPr="00DF3454">
        <w:t>2.</w:t>
      </w:r>
      <w:r w:rsidR="00203F72" w:rsidRPr="00DF3454">
        <w:t>對於未擁有核武器的國家或地區，中國政府作出「無條件」地承諾，對於上述地區，不使用或威脅使用核武器；</w:t>
      </w:r>
      <w:r w:rsidR="00203F72" w:rsidRPr="00DF3454">
        <w:t>3.</w:t>
      </w:r>
      <w:r w:rsidR="00203F72" w:rsidRPr="00DF3454">
        <w:t>中國不在境外部署核武器。在上述的政策之中，最重要之部分，係為「不首先使用核武器」作為第一擊，這一個政策，係中國運用核武之最核心原則</w:t>
      </w:r>
      <w:r w:rsidR="00203F72" w:rsidRPr="00DF3454">
        <w:footnoteReference w:id="1002"/>
      </w:r>
      <w:r w:rsidR="00203F72" w:rsidRPr="00DF3454">
        <w:t>。假若中國對台軍使用核武進行攻擊，很明顯地，即完全背離上述「不首先使用核武器」作為第一擊之政策與原則。</w:t>
      </w:r>
    </w:p>
    <w:p w14:paraId="054089D0" w14:textId="77777777" w:rsidR="00953151" w:rsidRPr="00DF3454" w:rsidRDefault="001C3A2B" w:rsidP="00D87D91">
      <w:r w:rsidRPr="00DF3454">
        <w:t xml:space="preserve">　　</w:t>
      </w:r>
      <w:r w:rsidR="00203F72" w:rsidRPr="00DF3454">
        <w:t>在</w:t>
      </w:r>
      <w:r w:rsidR="00203F72" w:rsidRPr="00DF3454">
        <w:t>2005</w:t>
      </w:r>
      <w:r w:rsidR="00203F72" w:rsidRPr="00DF3454">
        <w:t>年，於關於中華人民共和國履行《不擴散核武器條約》情況的國家報告之中，該報告指出：「堅持不首先使用核武器政策，反對以首先使用核武器為基礎的核威懾政策。中國是核武器國家中唯一奉行不首先使用核武器政策的國家。中國在</w:t>
      </w:r>
      <w:r w:rsidR="00203F72" w:rsidRPr="00DF3454">
        <w:t>1964</w:t>
      </w:r>
      <w:r w:rsidR="00203F72" w:rsidRPr="00DF3454">
        <w:t>年</w:t>
      </w:r>
      <w:r w:rsidR="00203F72" w:rsidRPr="00DF3454">
        <w:t>10</w:t>
      </w:r>
      <w:r w:rsidR="00203F72" w:rsidRPr="00DF3454">
        <w:t>月</w:t>
      </w:r>
      <w:r w:rsidR="00203F72" w:rsidRPr="00DF3454">
        <w:t>16</w:t>
      </w:r>
      <w:r w:rsidR="00203F72" w:rsidRPr="00DF3454">
        <w:t>日第一次核子試驗後就向全世界莊嚴宣佈，在任何時候和任何情況下都不首先使用核武器。無論是在冷戰時期面臨核威脅和核訛詐的時候、還是在冷戰後國際安全環境發生巨大變化的情況下，中國幾十年來始終沒有背離這一承諾</w:t>
      </w:r>
      <w:r w:rsidR="00203F72" w:rsidRPr="00DF3454">
        <w:footnoteReference w:id="1003"/>
      </w:r>
      <w:r w:rsidR="00203F72" w:rsidRPr="00DF3454">
        <w:t>。」</w:t>
      </w:r>
    </w:p>
    <w:p w14:paraId="17F3B6C6" w14:textId="77777777" w:rsidR="00953151" w:rsidRPr="00DF3454" w:rsidRDefault="00145751" w:rsidP="00D87D91">
      <w:r w:rsidRPr="00DF3454">
        <w:t xml:space="preserve">　　</w:t>
      </w:r>
      <w:r w:rsidR="00203F72" w:rsidRPr="00DF3454">
        <w:t>上述之</w:t>
      </w:r>
      <w:r w:rsidR="00203F72" w:rsidRPr="00DF3454">
        <w:t>1964</w:t>
      </w:r>
      <w:r w:rsidR="00203F72" w:rsidRPr="00DF3454">
        <w:t>年「中華人民共和國政府關於在任何時候和任何情況下都不首先使用核武器的聲明」，係為中國的單方聲明，究竟是否可能對國際社會之其他國家產生法律權利或義務？取決於聲明國之意圖及目的。以</w:t>
      </w:r>
      <w:r w:rsidR="00203F72" w:rsidRPr="00DF3454">
        <w:t>1974</w:t>
      </w:r>
      <w:r w:rsidR="00203F72" w:rsidRPr="00DF3454">
        <w:t>年</w:t>
      </w:r>
      <w:r w:rsidR="00203F72" w:rsidRPr="00DF3454">
        <w:t>12</w:t>
      </w:r>
      <w:r w:rsidR="00203F72" w:rsidRPr="00DF3454">
        <w:t>月</w:t>
      </w:r>
      <w:r w:rsidR="00203F72" w:rsidRPr="00DF3454">
        <w:t>20</w:t>
      </w:r>
      <w:r w:rsidR="00203F72" w:rsidRPr="00DF3454">
        <w:t>日國際法院對核子試爆案</w:t>
      </w:r>
      <w:r w:rsidR="00203F72" w:rsidRPr="00DF3454">
        <w:t>( nuclear tests case)</w:t>
      </w:r>
      <w:r w:rsidR="00203F72" w:rsidRPr="00DF3454">
        <w:t>之判決中，國際法院認為：「</w:t>
      </w:r>
      <w:r w:rsidR="00D92F56" w:rsidRPr="00DF3454">
        <w:t>〜</w:t>
      </w:r>
      <w:r w:rsidR="00203F72" w:rsidRPr="00DF3454">
        <w:t>以單方行為對法律或事實情勢作成之宣言，可以產生有法律義務之效果，這是可以被正確地加以確認的。</w:t>
      </w:r>
      <w:r w:rsidR="00D92F56" w:rsidRPr="00DF3454">
        <w:t>〜</w:t>
      </w:r>
      <w:r w:rsidR="00203F72" w:rsidRPr="00DF3454">
        <w:t>這種承諾如果是公開地給予，該國家並意圖受其拘束，即使不是在國際談判之場合下作成，仍是有拘束力的。」</w:t>
      </w:r>
      <w:r w:rsidR="00203F72" w:rsidRPr="00DF3454">
        <w:footnoteReference w:id="1004"/>
      </w:r>
      <w:r w:rsidR="00203F72" w:rsidRPr="00DF3454">
        <w:t xml:space="preserve"> </w:t>
      </w:r>
    </w:p>
    <w:p w14:paraId="7BB784F8" w14:textId="77777777" w:rsidR="00953151" w:rsidRPr="00DF3454" w:rsidRDefault="001C3A2B" w:rsidP="00D87D91">
      <w:r w:rsidRPr="00DF3454">
        <w:t xml:space="preserve">　　</w:t>
      </w:r>
      <w:r w:rsidR="00203F72" w:rsidRPr="00DF3454">
        <w:t>根據上述</w:t>
      </w:r>
      <w:r w:rsidR="00203F72" w:rsidRPr="00DF3454">
        <w:t>1974</w:t>
      </w:r>
      <w:r w:rsidR="00203F72" w:rsidRPr="00DF3454">
        <w:t>年</w:t>
      </w:r>
      <w:r w:rsidR="00203F72" w:rsidRPr="00DF3454">
        <w:t>12</w:t>
      </w:r>
      <w:r w:rsidR="00203F72" w:rsidRPr="00DF3454">
        <w:t>月</w:t>
      </w:r>
      <w:r w:rsidR="00203F72" w:rsidRPr="00DF3454">
        <w:t>20</w:t>
      </w:r>
      <w:r w:rsidR="00203F72" w:rsidRPr="00DF3454">
        <w:t>日國際法院對核子試爆案</w:t>
      </w:r>
      <w:r w:rsidR="00203F72" w:rsidRPr="00DF3454">
        <w:t>( nuclear tests case)</w:t>
      </w:r>
      <w:r w:rsidR="00203F72" w:rsidRPr="00DF3454">
        <w:t>判決之精神及法律用語，可以理解及推論</w:t>
      </w:r>
      <w:r w:rsidR="00203F72" w:rsidRPr="00DF3454">
        <w:t>1964</w:t>
      </w:r>
      <w:r w:rsidR="00203F72" w:rsidRPr="00DF3454">
        <w:t>年「中華人民共和國政府關於在任何時候和任何情況下都不首先使用核武器的聲明」，事實上，是中華人民共和國政府公開地告知國際社會，中華人民共和國政府意圖受其拘束，即使不是在國際談判之場合下作成，</w:t>
      </w:r>
      <w:r w:rsidR="00203F72" w:rsidRPr="00DF3454">
        <w:t>1964</w:t>
      </w:r>
      <w:r w:rsidR="00203F72" w:rsidRPr="00DF3454">
        <w:t>年「中華人民共和國政府關於在任何時候和任何情況下都不首先使用核武器的聲明」仍是有法律上之拘束力，用以拘束中華人民共和國政府，在任何時候和任何情況下都不首先使用核武器，當然包括在任何時候和任何情況下都不首先使用核武器攻擊台灣及外國平民。</w:t>
      </w:r>
    </w:p>
    <w:p w14:paraId="4A752364" w14:textId="77777777" w:rsidR="00953151" w:rsidRPr="00DF3454" w:rsidRDefault="001C3A2B" w:rsidP="00D87D91">
      <w:r w:rsidRPr="00DF3454">
        <w:t xml:space="preserve">　　</w:t>
      </w:r>
      <w:r w:rsidR="00203F72" w:rsidRPr="00DF3454">
        <w:t>有關於</w:t>
      </w:r>
      <w:r w:rsidR="00203F72" w:rsidRPr="00DF3454">
        <w:t>1964</w:t>
      </w:r>
      <w:r w:rsidR="00203F72" w:rsidRPr="00DF3454">
        <w:t>年「中華人民共和國政府關於在任何時候和任何情況下都不首先使用核武器的聲明」，是否究有法律效力？本書認為，因為</w:t>
      </w:r>
      <w:r w:rsidR="00203F72" w:rsidRPr="00DF3454">
        <w:t>1964</w:t>
      </w:r>
      <w:r w:rsidR="00203F72" w:rsidRPr="00DF3454">
        <w:t>年「中華人民共和國政府關於在任何時候和任何情況下都不首先使用核武器的聲明」係為中國政府的自由意思表示，故對中國及其他國家及地區</w:t>
      </w:r>
      <w:r w:rsidR="00203F72" w:rsidRPr="00DF3454">
        <w:t>(</w:t>
      </w:r>
      <w:r w:rsidR="00203F72" w:rsidRPr="00DF3454">
        <w:t>含台灣</w:t>
      </w:r>
      <w:r w:rsidR="00203F72" w:rsidRPr="00DF3454">
        <w:t>)</w:t>
      </w:r>
      <w:r w:rsidR="00203F72" w:rsidRPr="00DF3454">
        <w:t>會產生拘束力。有關於上開之</w:t>
      </w:r>
      <w:r w:rsidR="00203F72" w:rsidRPr="00DF3454">
        <w:t>1964</w:t>
      </w:r>
      <w:r w:rsidR="00203F72" w:rsidRPr="00DF3454">
        <w:t>年「中華人民共和國政府關於在任何時候和任何情況下都不首先使用核武器的聲明」，當它對外公布及作出聲明之際，即具有法律效力。故於任何時候和任何情況下，中華人民共和國政府均應不首先使用核武器，亦即，不以核武器作為第一擊，本書認為，不以核武器作為第一擊，理應該包括台灣在內。因為，其大前提是在任何時候和任何情況下，故理論上，應該可以包括在應付台灣獨立建國之範圍內。</w:t>
      </w:r>
    </w:p>
    <w:p w14:paraId="0ADB9291" w14:textId="77777777" w:rsidR="00953151" w:rsidRPr="00DF3454" w:rsidRDefault="001C3A2B" w:rsidP="00D87D91">
      <w:r w:rsidRPr="00DF3454">
        <w:t xml:space="preserve">　　</w:t>
      </w:r>
      <w:r w:rsidR="00203F72" w:rsidRPr="00DF3454">
        <w:t>七、違反</w:t>
      </w:r>
      <w:r w:rsidR="00203F72" w:rsidRPr="00DF3454">
        <w:t>1996</w:t>
      </w:r>
      <w:r w:rsidR="00203F72" w:rsidRPr="00DF3454">
        <w:t>年</w:t>
      </w:r>
      <w:r w:rsidR="00203F72" w:rsidRPr="00DF3454">
        <w:t>7</w:t>
      </w:r>
      <w:r w:rsidR="00203F72" w:rsidRPr="00DF3454">
        <w:t>月</w:t>
      </w:r>
      <w:r w:rsidR="00203F72" w:rsidRPr="00DF3454">
        <w:t>29</w:t>
      </w:r>
      <w:r w:rsidR="00203F72" w:rsidRPr="00DF3454">
        <w:t>日「中華人民共和國政府關於停止核子試驗的聲明」</w:t>
      </w:r>
    </w:p>
    <w:p w14:paraId="249272FC" w14:textId="77777777" w:rsidR="00953151" w:rsidRPr="00DF3454" w:rsidRDefault="00203F72" w:rsidP="00D87D91">
      <w:r w:rsidRPr="00DF3454">
        <w:t xml:space="preserve">　　</w:t>
      </w:r>
      <w:r w:rsidRPr="00DF3454">
        <w:t>1996</w:t>
      </w:r>
      <w:r w:rsidRPr="00DF3454">
        <w:t>年</w:t>
      </w:r>
      <w:r w:rsidRPr="00DF3454">
        <w:t>7</w:t>
      </w:r>
      <w:r w:rsidRPr="00DF3454">
        <w:t>月</w:t>
      </w:r>
      <w:r w:rsidRPr="00DF3454">
        <w:t>29</w:t>
      </w:r>
      <w:r w:rsidRPr="00DF3454">
        <w:t>日，中國在成功地進行了一次核子試驗後，中國鄭重宣佈：從</w:t>
      </w:r>
      <w:r w:rsidRPr="00DF3454">
        <w:t>1996</w:t>
      </w:r>
      <w:r w:rsidRPr="00DF3454">
        <w:t>年</w:t>
      </w:r>
      <w:r w:rsidRPr="00DF3454">
        <w:t>7</w:t>
      </w:r>
      <w:r w:rsidRPr="00DF3454">
        <w:t>月</w:t>
      </w:r>
      <w:r w:rsidRPr="00DF3454">
        <w:t>30</w:t>
      </w:r>
      <w:r w:rsidRPr="00DF3454">
        <w:t>日起中國開始暫停核子試驗。中國作出這一重要決定，既是為了回應諸多無核國家的要求，也是為了推動核裁軍而採取的一項實際行動</w:t>
      </w:r>
      <w:r w:rsidRPr="00DF3454">
        <w:footnoteReference w:id="1005"/>
      </w:r>
      <w:r w:rsidRPr="00DF3454">
        <w:t>。</w:t>
      </w:r>
    </w:p>
    <w:p w14:paraId="2151EAC4" w14:textId="77777777" w:rsidR="00953151" w:rsidRPr="00DF3454" w:rsidRDefault="001C3A2B" w:rsidP="00D87D91">
      <w:r w:rsidRPr="00DF3454">
        <w:t xml:space="preserve">　　</w:t>
      </w:r>
      <w:r w:rsidR="00203F72" w:rsidRPr="00DF3454">
        <w:t>根據上述</w:t>
      </w:r>
      <w:r w:rsidR="00203F72" w:rsidRPr="00DF3454">
        <w:t>1974</w:t>
      </w:r>
      <w:r w:rsidR="00203F72" w:rsidRPr="00DF3454">
        <w:t>年</w:t>
      </w:r>
      <w:r w:rsidR="00203F72" w:rsidRPr="00DF3454">
        <w:t>12</w:t>
      </w:r>
      <w:r w:rsidR="00203F72" w:rsidRPr="00DF3454">
        <w:t>月</w:t>
      </w:r>
      <w:r w:rsidR="00203F72" w:rsidRPr="00DF3454">
        <w:t>20</w:t>
      </w:r>
      <w:r w:rsidR="00203F72" w:rsidRPr="00DF3454">
        <w:t>日國際法院對核子試爆案</w:t>
      </w:r>
      <w:r w:rsidR="00203F72" w:rsidRPr="00DF3454">
        <w:t>( nuclear tests case)</w:t>
      </w:r>
      <w:r w:rsidR="00203F72" w:rsidRPr="00DF3454">
        <w:t>判決之精神及法律用語，可以理解及推論</w:t>
      </w:r>
      <w:r w:rsidR="00203F72" w:rsidRPr="00DF3454">
        <w:t>1996</w:t>
      </w:r>
      <w:r w:rsidR="00203F72" w:rsidRPr="00DF3454">
        <w:t>年</w:t>
      </w:r>
      <w:r w:rsidR="00203F72" w:rsidRPr="00DF3454">
        <w:t>7</w:t>
      </w:r>
      <w:r w:rsidR="00203F72" w:rsidRPr="00DF3454">
        <w:t>月</w:t>
      </w:r>
      <w:r w:rsidR="00203F72" w:rsidRPr="00DF3454">
        <w:t>29</w:t>
      </w:r>
      <w:r w:rsidR="00203F72" w:rsidRPr="00DF3454">
        <w:t>日「中華人民共和國政府關於停止核子試驗的聲明」，事實上，是中華人民共和國政府公開地告知國際社會，中華人民共和國政府意圖受其拘束，即使不是在國際談判之場合下作成，</w:t>
      </w:r>
      <w:r w:rsidR="00203F72" w:rsidRPr="00DF3454">
        <w:t>1996</w:t>
      </w:r>
      <w:r w:rsidR="00203F72" w:rsidRPr="00DF3454">
        <w:t>年</w:t>
      </w:r>
      <w:r w:rsidR="00203F72" w:rsidRPr="00DF3454">
        <w:t>7</w:t>
      </w:r>
      <w:r w:rsidR="00203F72" w:rsidRPr="00DF3454">
        <w:t>月</w:t>
      </w:r>
      <w:r w:rsidR="00203F72" w:rsidRPr="00DF3454">
        <w:t>29</w:t>
      </w:r>
      <w:r w:rsidR="00203F72" w:rsidRPr="00DF3454">
        <w:t>日「中華人民共和國政府關於停止核子試驗的聲明」仍是有法律上之拘束力，用以拘束中華人民共和國政府，在任何時候和任何情況下都停止核子試驗，當然包括在任何時候和任何情況下，對於台灣都停止核子試驗。</w:t>
      </w:r>
    </w:p>
    <w:p w14:paraId="5EA8240A" w14:textId="77777777" w:rsidR="00953151" w:rsidRPr="00DF3454" w:rsidRDefault="001C3A2B" w:rsidP="00D87D91">
      <w:r w:rsidRPr="00DF3454">
        <w:t xml:space="preserve">　　</w:t>
      </w:r>
      <w:r w:rsidR="00203F72" w:rsidRPr="00DF3454">
        <w:t>有中國大陸之論者主張，廣義來說，對於台灣核子武器之攻擊，是另外一種之核子試驗，然而，依據</w:t>
      </w:r>
      <w:r w:rsidR="00203F72" w:rsidRPr="00DF3454">
        <w:t>1996</w:t>
      </w:r>
      <w:r w:rsidR="00203F72" w:rsidRPr="00DF3454">
        <w:t>年</w:t>
      </w:r>
      <w:r w:rsidR="00203F72" w:rsidRPr="00DF3454">
        <w:t>7</w:t>
      </w:r>
      <w:r w:rsidR="00203F72" w:rsidRPr="00DF3454">
        <w:t>月</w:t>
      </w:r>
      <w:r w:rsidR="00203F72" w:rsidRPr="00DF3454">
        <w:t>29</w:t>
      </w:r>
      <w:r w:rsidR="00203F72" w:rsidRPr="00DF3454">
        <w:t>日「中華人民共和國政府關於停止核子試驗的聲明」，這種核子武器之攻擊</w:t>
      </w:r>
      <w:r w:rsidR="00203F72" w:rsidRPr="00DF3454">
        <w:t>(</w:t>
      </w:r>
      <w:r w:rsidR="00203F72" w:rsidRPr="00DF3454">
        <w:t>核子試驗</w:t>
      </w:r>
      <w:r w:rsidR="00203F72" w:rsidRPr="00DF3454">
        <w:t>)</w:t>
      </w:r>
      <w:r w:rsidR="00203F72" w:rsidRPr="00DF3454">
        <w:t>，在任何時候和任何情況下，對於台灣都應停止之。</w:t>
      </w:r>
    </w:p>
    <w:p w14:paraId="737B6E5E" w14:textId="77777777" w:rsidR="007D52D6" w:rsidRDefault="007D52D6" w:rsidP="00E34FD1">
      <w:pPr>
        <w:jc w:val="right"/>
        <w:rPr>
          <w:rFonts w:ascii="新細明體" w:hAnsi="新細明體"/>
        </w:rPr>
      </w:pPr>
      <w:r w:rsidRPr="0026266A">
        <w:rPr>
          <w:rFonts w:hint="eastAsia"/>
          <w:color w:val="5F5F5F"/>
        </w:rPr>
        <w:t>。。。。。。。。。。。。。。。。。。。。。。。。。</w:t>
      </w:r>
      <w:hyperlink w:anchor="a目次310" w:history="1">
        <w:r>
          <w:rPr>
            <w:rStyle w:val="a5"/>
            <w:sz w:val="18"/>
          </w:rPr>
          <w:t>回目次</w:t>
        </w:r>
      </w:hyperlink>
      <w:r w:rsidR="00E91F89">
        <w:rPr>
          <w:rFonts w:ascii="新細明體" w:hAnsi="新細明體"/>
          <w:color w:val="808000"/>
        </w:rPr>
        <w:t>〉〉</w:t>
      </w:r>
    </w:p>
    <w:p w14:paraId="61460B13" w14:textId="77777777" w:rsidR="007D52D6" w:rsidRDefault="007D52D6" w:rsidP="00D87D91"/>
    <w:p w14:paraId="5723CCB7" w14:textId="77777777" w:rsidR="00953151" w:rsidRDefault="00203F72" w:rsidP="00767F37">
      <w:pPr>
        <w:pStyle w:val="2"/>
      </w:pPr>
      <w:bookmarkStart w:id="122" w:name="_肆、假若中國對台灣使用核武器終將導致兩岸人民情感與政治上的對立與衝突"/>
      <w:bookmarkEnd w:id="122"/>
      <w:r w:rsidRPr="00A53581">
        <w:t>肆、假若中國對台灣使用核武器終將導致兩岸人民情感與政治上的對立與衝突</w:t>
      </w:r>
    </w:p>
    <w:p w14:paraId="13716924" w14:textId="77777777" w:rsidR="00953151" w:rsidRPr="00E34FD1" w:rsidRDefault="001C3A2B" w:rsidP="00E34FD1">
      <w:r w:rsidRPr="00E34FD1">
        <w:t xml:space="preserve">　　</w:t>
      </w:r>
      <w:r w:rsidR="00203F72" w:rsidRPr="00E34FD1">
        <w:t>假若中國大陸使用核彈攻擊台灣，有可能將兩岸政治問題，演變成亞太政治議題，擴大戰事，誘發日本、美國與周邊國家的參戰，促發美國與中國爆發核子大戰；再者，中國大陸面對周邊國家與美軍之參戰，中國大陸終將戰敗。再者，即便中國大陸戰勝，以二次大戰中之日本為例，日本是二次大戰之中，唯一的原子彈受害國，日本受到美軍原子彈攻擊迄今，日本政府右翼勢力</w:t>
      </w:r>
      <w:r w:rsidR="00203F72" w:rsidRPr="00E34FD1">
        <w:footnoteReference w:id="1006"/>
      </w:r>
      <w:r w:rsidR="00203F72" w:rsidRPr="00E34FD1">
        <w:t>與分子，極力地否認侵略戰爭，美化侵略歷史</w:t>
      </w:r>
      <w:r w:rsidR="00203F72" w:rsidRPr="00E34FD1">
        <w:footnoteReference w:id="1007"/>
      </w:r>
      <w:r w:rsidR="00203F72" w:rsidRPr="00E34FD1">
        <w:t>，仍拒絕承認侵略東南亞及中國之事實，拒絕承認發動戰爭，拒絕承認南京大屠殺，拒絕對</w:t>
      </w:r>
      <w:r w:rsidR="00203F72" w:rsidRPr="00E34FD1">
        <w:t>2</w:t>
      </w:r>
      <w:r w:rsidR="00203F72" w:rsidRPr="00E34FD1">
        <w:t>次大戰之罪行負責。日本政府右翼勢力與分子，在面對第</w:t>
      </w:r>
      <w:r w:rsidR="00203F72" w:rsidRPr="00E34FD1">
        <w:t>2</w:t>
      </w:r>
      <w:r w:rsidR="00203F72" w:rsidRPr="00E34FD1">
        <w:t>次大戰的歷史責任時，普遍認為日本是受害者，而非侵略者，故迄今仍未承認其戰爭罪行，否認二次大戰之罪責。</w:t>
      </w:r>
    </w:p>
    <w:p w14:paraId="00DB49B2" w14:textId="77777777" w:rsidR="00953151" w:rsidRPr="00E34FD1" w:rsidRDefault="001C3A2B" w:rsidP="00E34FD1">
      <w:r w:rsidRPr="00E34FD1">
        <w:t xml:space="preserve">　　</w:t>
      </w:r>
      <w:r w:rsidR="00203F72" w:rsidRPr="00E34FD1">
        <w:t>將此種之脈絡應用於兩岸之間，假若中國大陸使用核彈攻擊台灣，台灣人民將普遍地對中國政府的政權，感到厭惡與反感，隨時會推翻中國之統治政權，達到獨立建國之目的。是以，從各種角度而言，極力防守台灣，終極之目的，仍能達到維護中華民國民主憲政之目標。</w:t>
      </w:r>
    </w:p>
    <w:p w14:paraId="77A6ED4E" w14:textId="77777777" w:rsidR="00953151" w:rsidRDefault="001C3A2B" w:rsidP="00E34FD1">
      <w:r w:rsidRPr="00E34FD1">
        <w:t xml:space="preserve">　　</w:t>
      </w:r>
      <w:r w:rsidR="00203F72" w:rsidRPr="00E34FD1">
        <w:t>茲再舉一例闡明之，以台灣本島之</w:t>
      </w:r>
      <w:r w:rsidR="00203F72" w:rsidRPr="00E34FD1">
        <w:t>228</w:t>
      </w:r>
      <w:r w:rsidR="00203F72" w:rsidRPr="00E34FD1">
        <w:t>事件為例，當初國軍為了鎮壓各地之反抗力量，曾濫殺民眾，此種之行為，造成台灣民眾痛恨國民黨，在政治上，即出現國民黨與</w:t>
      </w:r>
      <w:r w:rsidR="00203F72" w:rsidRPr="00A53581">
        <w:t>民進黨長期惡鬥之現象與態勢。假若中國以核彈攻擊之方式，解決兩岸之軍事與政治上之對立問題，恐會造成台灣民眾之後代子孫，痛恨中國政府與中國共產黨。此種怨恨中國政府之力道，恐數十倍於</w:t>
      </w:r>
      <w:r w:rsidR="00203F72" w:rsidRPr="00A53581">
        <w:t>228</w:t>
      </w:r>
      <w:r w:rsidR="00203F72" w:rsidRPr="00A53581">
        <w:t>事件。</w:t>
      </w:r>
    </w:p>
    <w:p w14:paraId="59EAB9A7" w14:textId="77777777" w:rsidR="00953151" w:rsidRDefault="001C3A2B" w:rsidP="00D87D91">
      <w:r>
        <w:t xml:space="preserve">　　</w:t>
      </w:r>
      <w:r w:rsidR="00203F72" w:rsidRPr="00A53581">
        <w:t>本書認為，最終，中國大陸政權仍須退出台灣地區；即使中國政權未退出台灣地區，在政治統治上，亦會不斷地出現相當嚴重之對立、挑釁、不滿與衝突。主要之原因，因中國大陸使用核武器攻擊台灣，殺傷過多無辜之台灣民眾。在此情況下，台灣民眾會極力反抗中國大陸之政權，擬恢復與重建中華民國之民主憲政體制。故在兩岸之政治與軍事對抗之中，事實上，台灣應無須畏懼於中國大陸之核彈攻擊。在兩岸之政治與軍事議題上，核武器對於中國大陸而言，僅是「扣分」，而非「加分」。</w:t>
      </w:r>
    </w:p>
    <w:p w14:paraId="1CE12BD7" w14:textId="77777777" w:rsidR="007D52D6" w:rsidRDefault="007D52D6" w:rsidP="00E34FD1">
      <w:pPr>
        <w:jc w:val="right"/>
        <w:rPr>
          <w:rFonts w:ascii="新細明體" w:hAnsi="新細明體"/>
        </w:rPr>
      </w:pPr>
      <w:r w:rsidRPr="0026266A">
        <w:rPr>
          <w:rFonts w:hint="eastAsia"/>
          <w:color w:val="5F5F5F"/>
        </w:rPr>
        <w:t>。。。。。。。。。。。。。。。。。。。。。。。。。</w:t>
      </w:r>
      <w:hyperlink w:anchor="a目次310" w:history="1">
        <w:r>
          <w:rPr>
            <w:rStyle w:val="a5"/>
            <w:sz w:val="18"/>
          </w:rPr>
          <w:t>回目次</w:t>
        </w:r>
      </w:hyperlink>
      <w:r w:rsidR="00E91F89">
        <w:rPr>
          <w:rFonts w:ascii="新細明體" w:hAnsi="新細明體"/>
          <w:color w:val="808000"/>
        </w:rPr>
        <w:t>〉〉</w:t>
      </w:r>
    </w:p>
    <w:p w14:paraId="055B875D" w14:textId="77777777" w:rsidR="0026266A" w:rsidRPr="00402015" w:rsidRDefault="0026266A" w:rsidP="00D87D91"/>
    <w:p w14:paraId="2364AD5D" w14:textId="77777777" w:rsidR="00203F72" w:rsidRPr="00A53581" w:rsidRDefault="00203F72" w:rsidP="00767F37">
      <w:pPr>
        <w:pStyle w:val="2"/>
      </w:pPr>
      <w:bookmarkStart w:id="123" w:name="_伍、結論與建議"/>
      <w:bookmarkEnd w:id="123"/>
      <w:r w:rsidRPr="00A53581">
        <w:t>伍、結論與建議</w:t>
      </w:r>
    </w:p>
    <w:p w14:paraId="685B9390" w14:textId="77777777" w:rsidR="00402015" w:rsidRDefault="001C3A2B" w:rsidP="00402015">
      <w:pPr>
        <w:pStyle w:val="Default"/>
        <w:spacing w:line="0" w:lineRule="atLeast"/>
        <w:jc w:val="both"/>
        <w:rPr>
          <w:rFonts w:ascii="新細明體" w:hAnsi="新細明體"/>
          <w:color w:val="auto"/>
          <w:sz w:val="22"/>
          <w:szCs w:val="22"/>
        </w:rPr>
      </w:pPr>
      <w:r>
        <w:rPr>
          <w:rFonts w:ascii="新細明體" w:hAnsi="新細明體"/>
          <w:color w:val="auto"/>
          <w:sz w:val="22"/>
          <w:szCs w:val="22"/>
        </w:rPr>
        <w:t xml:space="preserve">　　</w:t>
      </w:r>
      <w:r w:rsidR="00203F72" w:rsidRPr="00A53581">
        <w:rPr>
          <w:rFonts w:ascii="新細明體" w:hAnsi="新細明體"/>
          <w:color w:val="auto"/>
          <w:sz w:val="22"/>
          <w:szCs w:val="22"/>
        </w:rPr>
        <w:t>整體而論，如聚焦於</w:t>
      </w:r>
      <w:r w:rsidR="008B3555" w:rsidRPr="007D52D6">
        <w:t>《</w:t>
      </w:r>
      <w:hyperlink r:id="rId2303"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》中之</w:t>
      </w:r>
      <w:hyperlink r:id="rId2304"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203F72" w:rsidRPr="00A53581">
        <w:rPr>
          <w:rFonts w:ascii="新細明體" w:hAnsi="新細明體"/>
          <w:color w:val="auto"/>
          <w:sz w:val="22"/>
          <w:szCs w:val="22"/>
        </w:rPr>
        <w:t>與</w:t>
      </w:r>
      <w:hyperlink r:id="rId2305"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color w:val="auto"/>
          <w:sz w:val="22"/>
          <w:szCs w:val="22"/>
        </w:rPr>
        <w:t>之本質，則</w:t>
      </w:r>
      <w:r w:rsidR="008B3555" w:rsidRPr="007D52D6">
        <w:t>《</w:t>
      </w:r>
      <w:hyperlink r:id="rId2306"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》(針對</w:t>
      </w:r>
      <w:hyperlink r:id="rId2307"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961D95" w:rsidRPr="00A53581">
        <w:rPr>
          <w:rFonts w:ascii="新細明體" w:hAnsi="新細明體"/>
          <w:color w:val="auto"/>
          <w:sz w:val="22"/>
          <w:szCs w:val="22"/>
        </w:rPr>
        <w:t>與</w:t>
      </w:r>
      <w:hyperlink r:id="rId2308"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color w:val="auto"/>
          <w:sz w:val="22"/>
          <w:szCs w:val="22"/>
        </w:rPr>
        <w:t>而言)係一部侵略法、併吞法、惡行法、戰爭法、暴行法、惡法、反國際和平法、反區域和平法、反兩岸和平法、兩岸和平破壞法、反國際秩序法與反文明法，亦可稱為：「侵略併吞台灣法」與「侵略台灣準備法」，本書認為，</w:t>
      </w:r>
      <w:r w:rsidR="008B3555" w:rsidRPr="007D52D6">
        <w:t>《</w:t>
      </w:r>
      <w:hyperlink r:id="rId2309"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》中之</w:t>
      </w:r>
      <w:hyperlink r:id="rId2310"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961D95" w:rsidRPr="00A53581">
        <w:rPr>
          <w:rFonts w:ascii="新細明體" w:hAnsi="新細明體"/>
          <w:color w:val="auto"/>
          <w:sz w:val="22"/>
          <w:szCs w:val="22"/>
        </w:rPr>
        <w:t>與</w:t>
      </w:r>
      <w:hyperlink r:id="rId2311"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color w:val="auto"/>
          <w:sz w:val="22"/>
          <w:szCs w:val="22"/>
        </w:rPr>
        <w:t>之本質，符合國際法的「侵略罪」及「破壞和平罪」之定義，中國大陸宜儘速廢棄之</w:t>
      </w:r>
      <w:r w:rsidR="00203F72" w:rsidRPr="00A53581">
        <w:rPr>
          <w:rStyle w:val="af3"/>
          <w:rFonts w:ascii="新細明體" w:hAnsi="新細明體"/>
          <w:color w:val="auto"/>
          <w:szCs w:val="22"/>
        </w:rPr>
        <w:footnoteReference w:id="1008"/>
      </w:r>
      <w:r w:rsidR="00203F72" w:rsidRPr="00A53581">
        <w:rPr>
          <w:rFonts w:ascii="新細明體" w:hAnsi="新細明體"/>
          <w:color w:val="auto"/>
          <w:sz w:val="22"/>
          <w:szCs w:val="22"/>
        </w:rPr>
        <w:t>。中華民國擁有自己之一部憲法，且是一個主權獨立之國家，完全地不受「</w:t>
      </w:r>
      <w:hyperlink r:id="rId2312" w:history="1">
        <w:r w:rsidR="004E1189" w:rsidRPr="008B3555">
          <w:rPr>
            <w:rStyle w:val="a5"/>
            <w:rFonts w:ascii="Times New Roman" w:hAnsi="Times New Roman"/>
          </w:rPr>
          <w:t>反分裂國家法</w:t>
        </w:r>
      </w:hyperlink>
      <w:r w:rsidR="00203F72" w:rsidRPr="00A53581">
        <w:rPr>
          <w:rFonts w:ascii="新細明體" w:hAnsi="新細明體"/>
          <w:color w:val="auto"/>
          <w:sz w:val="22"/>
          <w:szCs w:val="22"/>
        </w:rPr>
        <w:t>」的約束。不過，就法論法，</w:t>
      </w:r>
      <w:r w:rsidR="008B3555" w:rsidRPr="007D52D6">
        <w:t>《</w:t>
      </w:r>
      <w:r w:rsidR="008B3555" w:rsidRPr="004E1189">
        <w:rPr>
          <w:rFonts w:eastAsiaTheme="minorEastAsia"/>
          <w:sz w:val="22"/>
        </w:rPr>
        <w:t>反分裂國家法</w:t>
      </w:r>
      <w:r w:rsidR="00B56AE1" w:rsidRPr="007D52D6">
        <w:t>》</w:t>
      </w:r>
      <w:hyperlink r:id="rId2313" w:anchor="a8" w:history="1">
        <w:r w:rsidR="00B56AE1" w:rsidRPr="00B56AE1">
          <w:rPr>
            <w:rStyle w:val="a5"/>
            <w:rFonts w:ascii="Times New Roman" w:hAnsi="Times New Roman"/>
          </w:rPr>
          <w:t>第八條</w:t>
        </w:r>
      </w:hyperlink>
      <w:r w:rsidR="00203F72" w:rsidRPr="00A53581">
        <w:rPr>
          <w:rFonts w:ascii="新細明體" w:hAnsi="新細明體"/>
          <w:color w:val="auto"/>
          <w:sz w:val="22"/>
          <w:szCs w:val="22"/>
        </w:rPr>
        <w:t>及</w:t>
      </w:r>
      <w:hyperlink r:id="rId2314" w:anchor="a9" w:history="1">
        <w:r w:rsidR="00B56AE1" w:rsidRPr="00B56AE1">
          <w:rPr>
            <w:rStyle w:val="a5"/>
            <w:rFonts w:ascii="Times New Roman" w:hAnsi="Times New Roman"/>
          </w:rPr>
          <w:t>第九條</w:t>
        </w:r>
      </w:hyperlink>
      <w:r w:rsidR="00203F72" w:rsidRPr="00A53581">
        <w:rPr>
          <w:rFonts w:ascii="新細明體" w:hAnsi="新細明體"/>
          <w:color w:val="auto"/>
          <w:sz w:val="22"/>
          <w:szCs w:val="22"/>
        </w:rPr>
        <w:t>之“非和平手段”，所指為何？根據上述</w:t>
      </w:r>
      <w:r w:rsidR="008B3555" w:rsidRPr="007D52D6">
        <w:t>《</w:t>
      </w:r>
      <w:hyperlink r:id="rId2315"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》起草小組及中國學者專家之闡釋，即使在萬不得已的情況下，也將不對台使用核武器。本書期望，上述</w:t>
      </w:r>
      <w:r w:rsidR="008B3555" w:rsidRPr="007D52D6">
        <w:t>《</w:t>
      </w:r>
      <w:hyperlink r:id="rId2316"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》起草小組及中國學者專家之闡釋，能夠獲得具體之保障。</w:t>
      </w:r>
    </w:p>
    <w:p w14:paraId="1C38DFCB" w14:textId="77777777"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根據《反分裂國家法</w:t>
      </w:r>
      <w:r w:rsidR="00B56AE1" w:rsidRPr="007D52D6">
        <w:t>》</w:t>
      </w:r>
      <w:hyperlink r:id="rId2317" w:anchor="a5" w:history="1">
        <w:r w:rsidR="00B56AE1" w:rsidRPr="00B56AE1">
          <w:rPr>
            <w:rStyle w:val="a5"/>
            <w:rFonts w:ascii="Times New Roman" w:hAnsi="Times New Roman"/>
          </w:rPr>
          <w:t>第五條</w:t>
        </w:r>
      </w:hyperlink>
      <w:r w:rsidR="00203F72" w:rsidRPr="00A53581">
        <w:rPr>
          <w:rFonts w:ascii="新細明體" w:hAnsi="新細明體"/>
          <w:sz w:val="22"/>
          <w:szCs w:val="22"/>
        </w:rPr>
        <w:t>之明文規定，以和平方式實現祖國統一，最符合臺灣海峽兩岸同胞的根本利益。中國願意以最大的誠意，盡最大的努力，實現和平統一。本書認為，《反分裂國家法</w:t>
      </w:r>
      <w:r w:rsidR="00B56AE1" w:rsidRPr="007D52D6">
        <w:t>》</w:t>
      </w:r>
      <w:hyperlink r:id="rId2318" w:anchor="a5" w:history="1">
        <w:r w:rsidR="00B56AE1" w:rsidRPr="00B56AE1">
          <w:rPr>
            <w:rStyle w:val="a5"/>
            <w:rFonts w:ascii="Times New Roman" w:hAnsi="Times New Roman"/>
          </w:rPr>
          <w:t>第五條</w:t>
        </w:r>
      </w:hyperlink>
      <w:r w:rsidR="00203F72" w:rsidRPr="00A53581">
        <w:rPr>
          <w:rFonts w:ascii="新細明體" w:hAnsi="新細明體"/>
          <w:sz w:val="22"/>
          <w:szCs w:val="22"/>
        </w:rPr>
        <w:t>之和平方式的精神，是兩岸解決政治問題的最好方式，亦是最符合臺灣海峽兩岸同胞的根本利益。但兩岸之政治問題，是否有必要以</w:t>
      </w:r>
      <w:r w:rsidR="008B3555" w:rsidRPr="007D52D6">
        <w:t>《</w:t>
      </w:r>
      <w:hyperlink r:id="rId2319" w:history="1">
        <w:r w:rsidR="008B3555" w:rsidRPr="008B3555">
          <w:rPr>
            <w:rStyle w:val="a5"/>
            <w:rFonts w:ascii="Times New Roman" w:hAnsi="Times New Roman"/>
          </w:rPr>
          <w:t>反分裂國家法</w:t>
        </w:r>
      </w:hyperlink>
      <w:r w:rsidR="00203F72" w:rsidRPr="00A53581">
        <w:rPr>
          <w:rFonts w:ascii="新細明體" w:hAnsi="新細明體"/>
          <w:sz w:val="22"/>
          <w:szCs w:val="22"/>
        </w:rPr>
        <w:t>》中</w:t>
      </w:r>
      <w:r w:rsidR="00961D95" w:rsidRPr="00A53581">
        <w:rPr>
          <w:rFonts w:ascii="新細明體" w:hAnsi="新細明體"/>
          <w:color w:val="auto"/>
          <w:sz w:val="22"/>
          <w:szCs w:val="22"/>
        </w:rPr>
        <w:t>之</w:t>
      </w:r>
      <w:hyperlink r:id="rId2320"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961D95" w:rsidRPr="00A53581">
        <w:rPr>
          <w:rFonts w:ascii="新細明體" w:hAnsi="新細明體"/>
          <w:color w:val="auto"/>
          <w:sz w:val="22"/>
          <w:szCs w:val="22"/>
        </w:rPr>
        <w:t>與</w:t>
      </w:r>
      <w:hyperlink r:id="rId2321"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sz w:val="22"/>
          <w:szCs w:val="22"/>
        </w:rPr>
        <w:t>為著力之點，本書持相當保守之看法。</w:t>
      </w:r>
    </w:p>
    <w:p w14:paraId="4CEE387A" w14:textId="77777777" w:rsidR="00402015" w:rsidRPr="00E34FD1" w:rsidRDefault="001C3A2B" w:rsidP="00E34FD1">
      <w:r w:rsidRPr="00E34FD1">
        <w:t xml:space="preserve">　　</w:t>
      </w:r>
      <w:r w:rsidR="00203F72" w:rsidRPr="00E34FD1">
        <w:t>國內人權與憲法學者刁仁國教授指出，人間一切規章制度，無非都是為「人」而存在的，也因「人」而成立的，維護人的尊嚴、自由與幸福，才是一切典章規範的終極理想與目的</w:t>
      </w:r>
      <w:r w:rsidR="00203F72" w:rsidRPr="00E34FD1">
        <w:footnoteReference w:id="1009"/>
      </w:r>
      <w:r w:rsidR="00203F72" w:rsidRPr="00E34FD1">
        <w:t>。本書則進一步主張，人間一切規章制度，亦須兼而考量為「動物」而存在的，也因「動物」而成立的，須積極維護動物的尊嚴、自由與幸福。另外，依據《禁止為軍事或任何其他敵對目的使用改變環境的技術的公約》之規定及精神，禁止為軍事或任何其他敵對目的使用而改變環境生態，亦是值得關注的。</w:t>
      </w:r>
    </w:p>
    <w:p w14:paraId="69F96FF8" w14:textId="77777777" w:rsidR="00402015" w:rsidRDefault="001C3A2B" w:rsidP="00E34FD1">
      <w:r w:rsidRPr="00E34FD1">
        <w:t xml:space="preserve">　　</w:t>
      </w:r>
      <w:r w:rsidR="00203F72" w:rsidRPr="00E34FD1">
        <w:t>亦即，除了上述維護人的尊嚴、自由與幸福之外，對於動物之生命權，及其居住之</w:t>
      </w:r>
      <w:r w:rsidR="00203F72" w:rsidRPr="00A53581">
        <w:t>自然環境之權利，亦應加以尊重，亦應維護動物的生命尊嚴、自由與幸福，故本書主張應「禁止以核彈打小鳥」及「禁止以核彈打螞蟻」。</w:t>
      </w:r>
    </w:p>
    <w:p w14:paraId="21495A28" w14:textId="77777777"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誠如《反分裂國家法</w:t>
      </w:r>
      <w:r w:rsidR="00B56AE1" w:rsidRPr="007D52D6">
        <w:t>》</w:t>
      </w:r>
      <w:hyperlink r:id="rId2322" w:anchor="a5" w:history="1">
        <w:r w:rsidR="00B56AE1" w:rsidRPr="00B56AE1">
          <w:rPr>
            <w:rStyle w:val="a5"/>
            <w:rFonts w:ascii="Times New Roman" w:hAnsi="Times New Roman"/>
          </w:rPr>
          <w:t>第五條</w:t>
        </w:r>
      </w:hyperlink>
      <w:r w:rsidR="00203F72" w:rsidRPr="00A53581">
        <w:rPr>
          <w:rFonts w:ascii="新細明體" w:hAnsi="新細明體"/>
          <w:sz w:val="22"/>
          <w:szCs w:val="22"/>
        </w:rPr>
        <w:t>之條文所言，係最符合臺灣海峽兩岸同胞的根本利益，本書亦認為，《反分裂國家法</w:t>
      </w:r>
      <w:r w:rsidR="00B56AE1" w:rsidRPr="007D52D6">
        <w:t>》</w:t>
      </w:r>
      <w:hyperlink r:id="rId2323" w:anchor="a5" w:history="1">
        <w:r w:rsidR="00B56AE1" w:rsidRPr="00B56AE1">
          <w:rPr>
            <w:rStyle w:val="a5"/>
            <w:rFonts w:ascii="Times New Roman" w:hAnsi="Times New Roman"/>
          </w:rPr>
          <w:t>第五條</w:t>
        </w:r>
      </w:hyperlink>
      <w:r w:rsidR="00203F72" w:rsidRPr="00A53581">
        <w:rPr>
          <w:rFonts w:ascii="新細明體" w:hAnsi="新細明體"/>
          <w:sz w:val="22"/>
          <w:szCs w:val="22"/>
        </w:rPr>
        <w:t>之和平方式，是兩岸解決政治問題的最好、最佳、最文明及最高尚之方法。《反分裂國家法</w:t>
      </w:r>
      <w:r w:rsidR="00B56AE1" w:rsidRPr="007D52D6">
        <w:t>》</w:t>
      </w:r>
      <w:hyperlink r:id="rId2324" w:anchor="a8" w:history="1">
        <w:r w:rsidR="00B56AE1" w:rsidRPr="00B56AE1">
          <w:rPr>
            <w:rStyle w:val="a5"/>
            <w:rFonts w:ascii="Times New Roman" w:hAnsi="Times New Roman"/>
          </w:rPr>
          <w:t>第八條</w:t>
        </w:r>
      </w:hyperlink>
      <w:r w:rsidR="00203F72" w:rsidRPr="00A53581">
        <w:rPr>
          <w:rFonts w:ascii="新細明體" w:hAnsi="新細明體"/>
          <w:sz w:val="22"/>
          <w:szCs w:val="22"/>
        </w:rPr>
        <w:t>及</w:t>
      </w:r>
      <w:hyperlink r:id="rId2325" w:anchor="a9" w:history="1">
        <w:r w:rsidR="00B56AE1" w:rsidRPr="00B56AE1">
          <w:rPr>
            <w:rStyle w:val="a5"/>
            <w:rFonts w:ascii="Times New Roman" w:hAnsi="Times New Roman"/>
          </w:rPr>
          <w:t>第九條</w:t>
        </w:r>
      </w:hyperlink>
      <w:r w:rsidR="00B56AE1" w:rsidRPr="00A53581">
        <w:rPr>
          <w:rFonts w:ascii="新細明體" w:hAnsi="新細明體"/>
          <w:color w:val="auto"/>
          <w:sz w:val="22"/>
          <w:szCs w:val="22"/>
        </w:rPr>
        <w:t>之</w:t>
      </w:r>
      <w:r w:rsidR="00203F72" w:rsidRPr="00A53581">
        <w:rPr>
          <w:rFonts w:ascii="新細明體" w:hAnsi="新細明體"/>
          <w:sz w:val="22"/>
          <w:szCs w:val="22"/>
        </w:rPr>
        <w:t>之“非和平手段”，似與中華5000多年文化中之仁愛及和平思想有所衝突，不符合中華民族愛好和平之文化傳統。</w:t>
      </w:r>
    </w:p>
    <w:p w14:paraId="16147AF0" w14:textId="77777777"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台灣是一個多元文化、民主、自由、法治及相當開放之移民社會，由台灣人民、原住民、外籍新娘、外籍勞工、大陸新娘、外國之永久居留者及其他短期、長期居停留之外國人共同組成之，假若中國因為台獨問題，對於台灣進行核子武器之軍事攻擊，勢必造成上述非武裝之台灣人民、原住民、外籍新娘、外籍勞工、大陸新娘、外國之永久居留者及其他短期、長期居停留之外國人及自然環境中動物之死傷，後果相當嚴重。上述死傷之中，包括來由中國大陸之大陸新娘。</w:t>
      </w:r>
    </w:p>
    <w:p w14:paraId="2ABD0AD4" w14:textId="77777777"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本書經檢</w:t>
      </w:r>
      <w:r w:rsidR="003E240E">
        <w:rPr>
          <w:rFonts w:ascii="新細明體" w:hAnsi="新細明體"/>
          <w:sz w:val="22"/>
          <w:szCs w:val="22"/>
        </w:rPr>
        <w:t>視</w:t>
      </w:r>
      <w:r w:rsidR="00203F72" w:rsidRPr="00A53581">
        <w:rPr>
          <w:rFonts w:ascii="新細明體" w:hAnsi="新細明體"/>
          <w:sz w:val="22"/>
          <w:szCs w:val="22"/>
        </w:rPr>
        <w:t>中國歷年來之核武器使用戰略，可以簡略地加以歸納，亦即，中國不以核武器作為第一擊，中國之核武器係作為自衛之用，中國不對無核武器國家和地區使用或威脅使用核武器，台灣是非核地區，是以，在本書假設之“台獨”建國運動之前提下，中國對台灣進行所謂的“非和平手段”，應非常明確地排除核武器之使用，始能符合中國不以核武器作為第一擊之原則及精神。</w:t>
      </w:r>
    </w:p>
    <w:p w14:paraId="31551EFD" w14:textId="77777777"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本書認為，上述中華人民共和國歷年來之核武器使用戰略的最高指導原則，甚至可以說是具有非常崇高之最高指導原則，是中國向國際社會承諾，不以核武器作為第一擊，以及中國不對無核武器國家和地區使用或威脅使用核武器，本書稱之為「禁止第一擊原則」以及「禁止對無核武器國家和地區使用或威脅使用核武器原則」，這些原則，應該是適用於台灣地區。台灣未擁有核武器，故中國對於台灣適用核武器之「禁止第一擊原則」以及「禁止對無核武器國家和地區使用或威脅使用核武器原則」。</w:t>
      </w:r>
    </w:p>
    <w:p w14:paraId="29929DB0" w14:textId="77777777"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使用暴力及殺人的手段解決問題，是相當不文明及殘暴的手法，用核武器攻擊台灣，更是不文明及殘暴至極點。較文明、較高尚及具有高格調的國家與社會，容許多元之文化及政治主張，故似應用對等和平談判、仲裁之方式，兩岸彼此相互尊重，在互愛、互助及共信之基礎上，對等和平共同解決海峽兩岸之政府統合問題為佳。</w:t>
      </w:r>
    </w:p>
    <w:p w14:paraId="78B8313D" w14:textId="77777777"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目前，中國每年之國民所得(GNP)與台灣及先進國家相較，仍有一段差距，本書提出良性之建言，中國較迫切的問題，是要以和平堀起之方式，加速腳步，重</w:t>
      </w:r>
      <w:r w:rsidR="003E240E">
        <w:rPr>
          <w:rFonts w:ascii="新細明體" w:hAnsi="新細明體"/>
          <w:sz w:val="22"/>
          <w:szCs w:val="22"/>
        </w:rPr>
        <w:t>視</w:t>
      </w:r>
      <w:r w:rsidR="00203F72" w:rsidRPr="00A53581">
        <w:rPr>
          <w:rFonts w:ascii="新細明體" w:hAnsi="新細明體"/>
          <w:sz w:val="22"/>
          <w:szCs w:val="22"/>
        </w:rPr>
        <w:t>教育、醫療及自然環境之保護，加大腳步、快速發展經濟，期能使中國每年之國民所得，早日衝破4萬美元或更高，讓中國民眾成為世界上更加富有的國家，並能同時兼顧經濟、教育、醫療及自然環境之保護的發展。</w:t>
      </w:r>
    </w:p>
    <w:p w14:paraId="4D45FC3A" w14:textId="77777777"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另就</w:t>
      </w:r>
      <w:hyperlink r:id="rId2326" w:history="1">
        <w:r w:rsidR="00961D95" w:rsidRPr="00BD43D3">
          <w:rPr>
            <w:rStyle w:val="a5"/>
          </w:rPr>
          <w:t>反分裂國家法</w:t>
        </w:r>
      </w:hyperlink>
      <w:r w:rsidR="00203F72" w:rsidRPr="00A53581">
        <w:rPr>
          <w:rFonts w:ascii="新細明體" w:hAnsi="新細明體"/>
          <w:sz w:val="22"/>
          <w:szCs w:val="22"/>
        </w:rPr>
        <w:t>之正當性而言，中國似應適度地加以自我反省，及考量加以廢棄</w:t>
      </w:r>
      <w:hyperlink r:id="rId2327" w:history="1">
        <w:r w:rsidR="00961D95" w:rsidRPr="00BD43D3">
          <w:rPr>
            <w:rStyle w:val="a5"/>
          </w:rPr>
          <w:t>反分裂國家法</w:t>
        </w:r>
      </w:hyperlink>
      <w:r w:rsidR="00203F72" w:rsidRPr="00A53581">
        <w:rPr>
          <w:rFonts w:ascii="新細明體" w:hAnsi="新細明體"/>
          <w:sz w:val="22"/>
          <w:szCs w:val="22"/>
        </w:rPr>
        <w:t>，基於中華民族是愛好和平之優良文化，兩岸改以簽訂永久非戰協議取代之為佳。假若，中國”非常地執意”兩岸應該”統一”，作者建議中國大陸政府或可考量儘速廢棄</w:t>
      </w:r>
      <w:hyperlink r:id="rId2328" w:history="1">
        <w:r w:rsidR="00961D95" w:rsidRPr="00BD43D3">
          <w:rPr>
            <w:rStyle w:val="a5"/>
          </w:rPr>
          <w:t>反分裂國家法</w:t>
        </w:r>
      </w:hyperlink>
      <w:r w:rsidR="00203F72" w:rsidRPr="00A53581">
        <w:rPr>
          <w:rFonts w:ascii="新細明體" w:hAnsi="新細明體"/>
          <w:sz w:val="22"/>
          <w:szCs w:val="22"/>
        </w:rPr>
        <w:t>，另制定「兩岸和平協商統一法」取代之，恐較符合國際法與兩岸人民情感之要求。</w:t>
      </w:r>
    </w:p>
    <w:p w14:paraId="10EA1BB5" w14:textId="77777777" w:rsidR="00203F72"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若純以中立之學術觀點出發，針對於</w:t>
      </w:r>
      <w:hyperlink r:id="rId2329" w:history="1">
        <w:r w:rsidR="00961D95" w:rsidRPr="00BD43D3">
          <w:rPr>
            <w:rStyle w:val="a5"/>
          </w:rPr>
          <w:t>反分裂國家法</w:t>
        </w:r>
      </w:hyperlink>
      <w:r w:rsidR="00203F72" w:rsidRPr="00A53581">
        <w:rPr>
          <w:rFonts w:ascii="新細明體" w:hAnsi="新細明體"/>
          <w:sz w:val="22"/>
          <w:szCs w:val="22"/>
        </w:rPr>
        <w:t>中</w:t>
      </w:r>
      <w:r w:rsidR="00961D95" w:rsidRPr="00A53581">
        <w:rPr>
          <w:rFonts w:ascii="新細明體" w:hAnsi="新細明體"/>
          <w:color w:val="auto"/>
          <w:sz w:val="22"/>
          <w:szCs w:val="22"/>
        </w:rPr>
        <w:t>之</w:t>
      </w:r>
      <w:hyperlink r:id="rId2330"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961D95" w:rsidRPr="00A53581">
        <w:rPr>
          <w:rFonts w:ascii="新細明體" w:hAnsi="新細明體"/>
          <w:color w:val="auto"/>
          <w:sz w:val="22"/>
          <w:szCs w:val="22"/>
        </w:rPr>
        <w:t>與</w:t>
      </w:r>
      <w:hyperlink r:id="rId2331"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sz w:val="22"/>
          <w:szCs w:val="22"/>
        </w:rPr>
        <w:t>之規定而論，著實地不符合國際法之要求，係一部惡法典。相對而言，「兩岸和平協商統一法」則非常符合國際法之要求，且係一部美法、良法與善法，且符合台灣人民之期待。</w:t>
      </w:r>
    </w:p>
    <w:p w14:paraId="0035B20B" w14:textId="77777777" w:rsidR="00402015" w:rsidRDefault="00402015" w:rsidP="00E34FD1">
      <w:pPr>
        <w:jc w:val="right"/>
      </w:pPr>
      <w:r w:rsidRPr="0026266A">
        <w:rPr>
          <w:rFonts w:hint="eastAsia"/>
        </w:rPr>
        <w:t>。。。。。。。。。。。。。。。。。。。。。。。。。</w:t>
      </w:r>
      <w:hyperlink w:anchor="a目次4" w:history="1">
        <w:r w:rsidR="00EE1E58">
          <w:rPr>
            <w:rStyle w:val="a5"/>
            <w:sz w:val="18"/>
          </w:rPr>
          <w:t>回目次</w:t>
        </w:r>
      </w:hyperlink>
      <w:r w:rsidR="00E91F89">
        <w:rPr>
          <w:rFonts w:ascii="新細明體" w:hAnsi="新細明體"/>
          <w:color w:val="808000"/>
        </w:rPr>
        <w:t>〉〉</w:t>
      </w:r>
    </w:p>
    <w:p w14:paraId="26FC07D2" w14:textId="77777777" w:rsidR="00402015" w:rsidRPr="00402015" w:rsidRDefault="00402015" w:rsidP="00402015">
      <w:pPr>
        <w:pStyle w:val="Default"/>
        <w:spacing w:line="0" w:lineRule="atLeast"/>
        <w:jc w:val="both"/>
        <w:rPr>
          <w:rFonts w:ascii="新細明體" w:hAnsi="新細明體"/>
          <w:sz w:val="22"/>
          <w:szCs w:val="22"/>
        </w:rPr>
      </w:pPr>
    </w:p>
    <w:p w14:paraId="2DC4C322" w14:textId="77777777" w:rsidR="00953151" w:rsidRDefault="00203F72" w:rsidP="00D87D91">
      <w:pPr>
        <w:pStyle w:val="1"/>
      </w:pPr>
      <w:r w:rsidRPr="007105BF">
        <w:t>第四篇</w:t>
      </w:r>
      <w:r w:rsidRPr="007105BF">
        <w:t xml:space="preserve"> </w:t>
      </w:r>
      <w:r w:rsidRPr="007105BF">
        <w:t>中華民國憲法未來可行之發展方向</w:t>
      </w:r>
    </w:p>
    <w:p w14:paraId="707EA7EB" w14:textId="77777777" w:rsidR="00953151" w:rsidRDefault="001C3A2B" w:rsidP="00D87D91">
      <w:r>
        <w:t xml:space="preserve">　　</w:t>
      </w:r>
      <w:r w:rsidR="00203F72" w:rsidRPr="00A53581">
        <w:t>有關於中華民國憲法未來可行之發展方向，如下文所述。</w:t>
      </w:r>
    </w:p>
    <w:p w14:paraId="45FCE7E5" w14:textId="77777777" w:rsidR="00953151" w:rsidRDefault="00203F72" w:rsidP="00767F37">
      <w:pPr>
        <w:pStyle w:val="2"/>
      </w:pPr>
      <w:bookmarkStart w:id="124" w:name="_壹、重新制定適合於台灣地區之暫行（臨時）憲法"/>
      <w:bookmarkEnd w:id="124"/>
      <w:r w:rsidRPr="00A53581">
        <w:t>壹、重新制定適合於台灣地區之暫行（臨時）憲法</w:t>
      </w:r>
    </w:p>
    <w:p w14:paraId="12590A0C" w14:textId="77777777" w:rsidR="00953151" w:rsidRDefault="001C3A2B" w:rsidP="00D87D91">
      <w:r>
        <w:t xml:space="preserve">　　</w:t>
      </w:r>
      <w:r w:rsidR="00203F72" w:rsidRPr="00A53581">
        <w:t>在重新制定適合於台灣地區之暫行（臨時）憲法方面，首先，要解決之問題，它係屬於一種制憲行為？或者，是修憲</w:t>
      </w:r>
      <w:r w:rsidR="00203F72" w:rsidRPr="00A53581">
        <w:t>(</w:t>
      </w:r>
      <w:r w:rsidR="00203F72" w:rsidRPr="00A53581">
        <w:t>改正憲法</w:t>
      </w:r>
      <w:r w:rsidR="00203F72" w:rsidRPr="00A53581">
        <w:t>)</w:t>
      </w:r>
      <w:r w:rsidR="00203F72" w:rsidRPr="00A53581">
        <w:t>行為？本書所主張之重新制定適合於台灣地區之暫行（臨時）憲法，並非制憲，而係屬於修憲</w:t>
      </w:r>
      <w:r w:rsidR="00203F72" w:rsidRPr="00A53581">
        <w:t>(</w:t>
      </w:r>
      <w:r w:rsidR="00203F72" w:rsidRPr="00A53581">
        <w:t>改正憲法</w:t>
      </w:r>
      <w:r w:rsidR="00203F72" w:rsidRPr="00A53581">
        <w:t>)</w:t>
      </w:r>
      <w:r w:rsidR="00203F72" w:rsidRPr="00A53581">
        <w:t>之行為。亦即，此種行為之本質，並非屬於憲法之創始制定權，而是修憲</w:t>
      </w:r>
      <w:r w:rsidR="00203F72" w:rsidRPr="00A53581">
        <w:t>(</w:t>
      </w:r>
      <w:r w:rsidR="00203F72" w:rsidRPr="00A53581">
        <w:t>改正憲法</w:t>
      </w:r>
      <w:r w:rsidR="00203F72" w:rsidRPr="00A53581">
        <w:t>)</w:t>
      </w:r>
      <w:r w:rsidR="00203F72" w:rsidRPr="00A53581">
        <w:t>之行為，此種行為之本質，係為改正權。</w:t>
      </w:r>
    </w:p>
    <w:p w14:paraId="7CE31744" w14:textId="77777777" w:rsidR="00E108EB" w:rsidRDefault="00E108EB" w:rsidP="00D87D91"/>
    <w:p w14:paraId="2F0092A6" w14:textId="6B097185" w:rsidR="00203F72" w:rsidRPr="00E108EB" w:rsidRDefault="00B03E84" w:rsidP="00E108EB">
      <w:r w:rsidRPr="00E108EB">
        <w:t>【</w:t>
      </w:r>
      <w:r w:rsidRPr="00E108EB">
        <w:t>table</w:t>
      </w:r>
      <w:r w:rsidR="005E23E3" w:rsidRPr="00E108EB">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110</w:t>
      </w:r>
      <w:r w:rsidR="00076467">
        <w:rPr>
          <w:noProof/>
        </w:rPr>
        <w:fldChar w:fldCharType="end"/>
      </w:r>
      <w:r w:rsidR="00203F72" w:rsidRPr="00E108EB">
        <w:rPr>
          <w:rFonts w:hint="eastAsia"/>
        </w:rPr>
        <w:t>臺灣解嚴後歷次憲改之主要內容</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1105"/>
        <w:gridCol w:w="1843"/>
        <w:gridCol w:w="3969"/>
      </w:tblGrid>
      <w:tr w:rsidR="00203F72" w:rsidRPr="00E108EB" w14:paraId="41E037E2" w14:textId="77777777" w:rsidTr="00E108EB">
        <w:trPr>
          <w:tblHeader/>
        </w:trPr>
        <w:tc>
          <w:tcPr>
            <w:tcW w:w="1305" w:type="dxa"/>
            <w:tcBorders>
              <w:top w:val="single" w:sz="4" w:space="0" w:color="auto"/>
              <w:left w:val="single" w:sz="4" w:space="0" w:color="auto"/>
              <w:bottom w:val="single" w:sz="4" w:space="0" w:color="auto"/>
              <w:right w:val="single" w:sz="4" w:space="0" w:color="auto"/>
            </w:tcBorders>
            <w:shd w:val="clear" w:color="auto" w:fill="EFFDFF"/>
            <w:hideMark/>
          </w:tcPr>
          <w:p w14:paraId="4406C964" w14:textId="77777777" w:rsidR="00203F72" w:rsidRPr="00E108EB" w:rsidRDefault="00203F72" w:rsidP="00E108EB">
            <w:r w:rsidRPr="00E108EB">
              <w:rPr>
                <w:rFonts w:hint="eastAsia"/>
              </w:rPr>
              <w:t>修憲次序</w:t>
            </w:r>
          </w:p>
        </w:tc>
        <w:tc>
          <w:tcPr>
            <w:tcW w:w="1105" w:type="dxa"/>
            <w:tcBorders>
              <w:top w:val="single" w:sz="4" w:space="0" w:color="auto"/>
              <w:left w:val="single" w:sz="4" w:space="0" w:color="auto"/>
              <w:bottom w:val="single" w:sz="4" w:space="0" w:color="auto"/>
              <w:right w:val="single" w:sz="4" w:space="0" w:color="auto"/>
            </w:tcBorders>
            <w:shd w:val="clear" w:color="auto" w:fill="EFFDFF"/>
            <w:hideMark/>
          </w:tcPr>
          <w:p w14:paraId="5368C80F" w14:textId="77777777" w:rsidR="00203F72" w:rsidRPr="00E108EB" w:rsidRDefault="00203F72" w:rsidP="00E108EB">
            <w:r w:rsidRPr="00E108EB">
              <w:rPr>
                <w:rFonts w:hint="eastAsia"/>
              </w:rPr>
              <w:t>修憲年代</w:t>
            </w:r>
          </w:p>
        </w:tc>
        <w:tc>
          <w:tcPr>
            <w:tcW w:w="1843" w:type="dxa"/>
            <w:tcBorders>
              <w:top w:val="single" w:sz="4" w:space="0" w:color="auto"/>
              <w:left w:val="single" w:sz="4" w:space="0" w:color="auto"/>
              <w:bottom w:val="single" w:sz="4" w:space="0" w:color="auto"/>
              <w:right w:val="single" w:sz="4" w:space="0" w:color="auto"/>
            </w:tcBorders>
            <w:shd w:val="clear" w:color="auto" w:fill="EFFDFF"/>
            <w:hideMark/>
          </w:tcPr>
          <w:p w14:paraId="75CFD345" w14:textId="77777777" w:rsidR="00203F72" w:rsidRPr="00E108EB" w:rsidRDefault="00203F72" w:rsidP="00E108EB">
            <w:r w:rsidRPr="00E108EB">
              <w:rPr>
                <w:rFonts w:hint="eastAsia"/>
              </w:rPr>
              <w:t>修憲通過條文</w:t>
            </w:r>
          </w:p>
        </w:tc>
        <w:tc>
          <w:tcPr>
            <w:tcW w:w="3969" w:type="dxa"/>
            <w:tcBorders>
              <w:top w:val="single" w:sz="4" w:space="0" w:color="auto"/>
              <w:left w:val="single" w:sz="4" w:space="0" w:color="auto"/>
              <w:bottom w:val="single" w:sz="4" w:space="0" w:color="auto"/>
              <w:right w:val="single" w:sz="4" w:space="0" w:color="auto"/>
            </w:tcBorders>
            <w:shd w:val="clear" w:color="auto" w:fill="EFFDFF"/>
            <w:hideMark/>
          </w:tcPr>
          <w:p w14:paraId="40E8E684" w14:textId="77777777" w:rsidR="00203F72" w:rsidRPr="00E108EB" w:rsidRDefault="00203F72" w:rsidP="00E108EB">
            <w:r w:rsidRPr="00E108EB">
              <w:rPr>
                <w:rFonts w:hint="eastAsia"/>
              </w:rPr>
              <w:t>修憲重要內容</w:t>
            </w:r>
          </w:p>
        </w:tc>
      </w:tr>
      <w:tr w:rsidR="00203F72" w:rsidRPr="00E108EB" w14:paraId="0330B1C2" w14:textId="77777777"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14:paraId="51CCC273" w14:textId="77777777" w:rsidR="00203F72" w:rsidRPr="00E108EB" w:rsidRDefault="00203F72" w:rsidP="00E108EB">
            <w:r w:rsidRPr="00E108EB">
              <w:rPr>
                <w:rFonts w:hint="eastAsia"/>
              </w:rPr>
              <w:t>第一次修憲</w:t>
            </w:r>
            <w:r w:rsidRPr="00E108EB">
              <w:footnoteReference w:id="1010"/>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14:paraId="374C9E74" w14:textId="77777777" w:rsidR="00203F72" w:rsidRPr="00E108EB" w:rsidRDefault="00203F72" w:rsidP="00E108EB">
            <w:r w:rsidRPr="00E108EB">
              <w:t>1991</w:t>
            </w:r>
            <w:r w:rsidRPr="00E108EB">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11679878" w14:textId="77777777" w:rsidR="00203F72" w:rsidRPr="00E108EB" w:rsidRDefault="00203F72" w:rsidP="00E108EB">
            <w:r w:rsidRPr="00E108EB">
              <w:rPr>
                <w:rFonts w:hint="eastAsia"/>
              </w:rPr>
              <w:t>第一屆國大通過憲法修正條文十條；並廢止動員戡亂臨時條款。</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14:paraId="4E50DC47" w14:textId="77777777" w:rsidR="00203F72" w:rsidRPr="00E108EB" w:rsidRDefault="00E108EB" w:rsidP="00E108EB">
            <w:r>
              <w:rPr>
                <w:rFonts w:hint="eastAsia"/>
              </w:rPr>
              <w:t xml:space="preserve">　　</w:t>
            </w:r>
            <w:r w:rsidR="00203F72" w:rsidRPr="00E108EB">
              <w:rPr>
                <w:rFonts w:hint="eastAsia"/>
              </w:rPr>
              <w:t>第一屆資深民代限期全部退職完畢。</w:t>
            </w:r>
          </w:p>
          <w:p w14:paraId="0F1F81D6" w14:textId="77777777" w:rsidR="00203F72" w:rsidRPr="00E108EB" w:rsidRDefault="00E108EB" w:rsidP="00E108EB">
            <w:r>
              <w:rPr>
                <w:rFonts w:hint="eastAsia"/>
              </w:rPr>
              <w:t xml:space="preserve">　　</w:t>
            </w:r>
            <w:r w:rsidR="00203F72" w:rsidRPr="00E108EB">
              <w:rPr>
                <w:rFonts w:hint="eastAsia"/>
              </w:rPr>
              <w:t>賦予第二屆國大代表取得未來民選之法源。</w:t>
            </w:r>
          </w:p>
          <w:p w14:paraId="46C4B3C0" w14:textId="77777777" w:rsidR="00203F72" w:rsidRPr="00E108EB" w:rsidRDefault="00E108EB" w:rsidP="00E108EB">
            <w:r>
              <w:rPr>
                <w:rFonts w:hint="eastAsia"/>
              </w:rPr>
              <w:t xml:space="preserve">　　</w:t>
            </w:r>
            <w:r w:rsidR="00203F72" w:rsidRPr="00E108EB">
              <w:rPr>
                <w:rFonts w:hint="eastAsia"/>
              </w:rPr>
              <w:t>總統決定國家安全大政方針。</w:t>
            </w:r>
          </w:p>
        </w:tc>
      </w:tr>
      <w:tr w:rsidR="00203F72" w:rsidRPr="00E108EB" w14:paraId="447C13EE" w14:textId="77777777"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14:paraId="7E200D41" w14:textId="77777777" w:rsidR="00203F72" w:rsidRPr="00E108EB" w:rsidRDefault="00203F72" w:rsidP="00E108EB">
            <w:r w:rsidRPr="00E108EB">
              <w:rPr>
                <w:rFonts w:hint="eastAsia"/>
              </w:rPr>
              <w:t>第二次修憲</w:t>
            </w:r>
            <w:r w:rsidRPr="00E108EB">
              <w:footnoteReference w:id="1011"/>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14:paraId="2EA97625" w14:textId="77777777" w:rsidR="00203F72" w:rsidRPr="00E108EB" w:rsidRDefault="00203F72" w:rsidP="00E108EB">
            <w:r w:rsidRPr="00E108EB">
              <w:t>1992</w:t>
            </w:r>
            <w:r w:rsidRPr="00E108EB">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362639D7" w14:textId="77777777" w:rsidR="00203F72" w:rsidRPr="00E108EB" w:rsidRDefault="00203F72" w:rsidP="00E108EB">
            <w:r w:rsidRPr="00E108EB">
              <w:rPr>
                <w:rFonts w:hint="eastAsia"/>
              </w:rPr>
              <w:t>第二屆國大通過憲法增修條文十一條至第十八條。</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14:paraId="7385C31F" w14:textId="77777777" w:rsidR="00203F72" w:rsidRPr="00E108EB" w:rsidRDefault="00E108EB" w:rsidP="00E108EB">
            <w:r>
              <w:rPr>
                <w:rFonts w:hint="eastAsia"/>
              </w:rPr>
              <w:t xml:space="preserve">　　</w:t>
            </w:r>
            <w:r w:rsidR="00203F72" w:rsidRPr="00E108EB">
              <w:rPr>
                <w:rFonts w:hint="eastAsia"/>
              </w:rPr>
              <w:t>賦予國大對司法、考試、監院三院之重要人事有同意權；且國大每年至少集會</w:t>
            </w:r>
            <w:r w:rsidRPr="00E108EB">
              <w:rPr>
                <w:rFonts w:hint="eastAsia"/>
              </w:rPr>
              <w:t>一</w:t>
            </w:r>
            <w:r w:rsidR="00203F72" w:rsidRPr="00E108EB">
              <w:rPr>
                <w:rFonts w:hint="eastAsia"/>
              </w:rPr>
              <w:t>次。</w:t>
            </w:r>
          </w:p>
          <w:p w14:paraId="6D9B6A2E" w14:textId="77777777" w:rsidR="00203F72" w:rsidRPr="00E108EB" w:rsidRDefault="00E108EB" w:rsidP="00E108EB">
            <w:r>
              <w:rPr>
                <w:rFonts w:hint="eastAsia"/>
              </w:rPr>
              <w:t xml:space="preserve">　　</w:t>
            </w:r>
            <w:r w:rsidR="00203F72" w:rsidRPr="00E108EB">
              <w:rPr>
                <w:rFonts w:hint="eastAsia"/>
              </w:rPr>
              <w:t>確定總統、副總統由自由地區人民之接選舉。</w:t>
            </w:r>
          </w:p>
          <w:p w14:paraId="7E455287" w14:textId="77777777" w:rsidR="00203F72" w:rsidRPr="00E108EB" w:rsidRDefault="00E108EB" w:rsidP="00E108EB">
            <w:r>
              <w:rPr>
                <w:rFonts w:hint="eastAsia"/>
              </w:rPr>
              <w:t xml:space="preserve">　　</w:t>
            </w:r>
            <w:r w:rsidR="00203F72" w:rsidRPr="00E108EB">
              <w:rPr>
                <w:rFonts w:hint="eastAsia"/>
              </w:rPr>
              <w:t>國民大會集會期間得聽取總統國情報告，並檢討國事、提供建言。</w:t>
            </w:r>
          </w:p>
        </w:tc>
      </w:tr>
      <w:tr w:rsidR="00203F72" w:rsidRPr="00E108EB" w14:paraId="675031A8" w14:textId="77777777"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14:paraId="67157A49" w14:textId="77777777" w:rsidR="00203F72" w:rsidRPr="00E108EB" w:rsidRDefault="00203F72" w:rsidP="00E108EB">
            <w:r w:rsidRPr="00E108EB">
              <w:rPr>
                <w:rFonts w:hint="eastAsia"/>
              </w:rPr>
              <w:t>第三次修憲</w:t>
            </w:r>
            <w:r w:rsidRPr="00E108EB">
              <w:footnoteReference w:id="1012"/>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14:paraId="3E0120C8" w14:textId="77777777" w:rsidR="00203F72" w:rsidRPr="00E108EB" w:rsidRDefault="00203F72" w:rsidP="00E108EB">
            <w:r w:rsidRPr="00E108EB">
              <w:t>1994</w:t>
            </w:r>
            <w:r w:rsidRPr="00E108EB">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4C535F77" w14:textId="77777777" w:rsidR="00203F72" w:rsidRPr="00E108EB" w:rsidRDefault="00203F72" w:rsidP="00E108EB">
            <w:r w:rsidRPr="00E108EB">
              <w:rPr>
                <w:rFonts w:hint="eastAsia"/>
              </w:rPr>
              <w:t>第二屆國大將過去兩次通過之十八條增修條文，一併重新整理修正為十條。</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14:paraId="358224A9" w14:textId="77777777" w:rsidR="00203F72" w:rsidRPr="00E108EB" w:rsidRDefault="00E108EB" w:rsidP="00E108EB">
            <w:r>
              <w:rPr>
                <w:rFonts w:hint="eastAsia"/>
              </w:rPr>
              <w:t xml:space="preserve">　　</w:t>
            </w:r>
            <w:r w:rsidR="00203F72" w:rsidRPr="00E108EB">
              <w:rPr>
                <w:rFonts w:hint="eastAsia"/>
              </w:rPr>
              <w:t>國大自第三屆起設議長、副議長；國大常設化。</w:t>
            </w:r>
          </w:p>
          <w:p w14:paraId="5CC5255C" w14:textId="77777777" w:rsidR="00203F72" w:rsidRPr="00E108EB" w:rsidRDefault="00E108EB" w:rsidP="00E108EB">
            <w:r>
              <w:rPr>
                <w:rFonts w:hint="eastAsia"/>
              </w:rPr>
              <w:t xml:space="preserve">　　</w:t>
            </w:r>
            <w:r w:rsidR="00203F72" w:rsidRPr="00E108EB">
              <w:rPr>
                <w:rFonts w:hint="eastAsia"/>
              </w:rPr>
              <w:t>確定總統公民直選產生。</w:t>
            </w:r>
          </w:p>
          <w:p w14:paraId="12371C95" w14:textId="77777777" w:rsidR="00203F72" w:rsidRPr="00E108EB" w:rsidRDefault="00E108EB" w:rsidP="00E108EB">
            <w:r>
              <w:rPr>
                <w:rFonts w:hint="eastAsia"/>
              </w:rPr>
              <w:t xml:space="preserve">　　</w:t>
            </w:r>
            <w:r w:rsidR="00203F72" w:rsidRPr="00E108EB">
              <w:rPr>
                <w:rFonts w:hint="eastAsia"/>
              </w:rPr>
              <w:t>國大行使職權之程序，由國民大會自行定之，不適用憲法第三十四條規定。</w:t>
            </w:r>
          </w:p>
        </w:tc>
      </w:tr>
      <w:tr w:rsidR="00203F72" w:rsidRPr="00E108EB" w14:paraId="600D68D7" w14:textId="77777777"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14:paraId="0A8DD659" w14:textId="77777777" w:rsidR="00203F72" w:rsidRPr="00E34FD1" w:rsidRDefault="00203F72" w:rsidP="00E34FD1">
            <w:r w:rsidRPr="00E34FD1">
              <w:rPr>
                <w:rFonts w:hint="eastAsia"/>
              </w:rPr>
              <w:t>第四次修憲</w:t>
            </w:r>
            <w:r w:rsidRPr="00E34FD1">
              <w:footnoteReference w:id="1013"/>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14:paraId="7E64BF6A" w14:textId="77777777" w:rsidR="00203F72" w:rsidRPr="00E34FD1" w:rsidRDefault="00203F72" w:rsidP="00E34FD1">
            <w:r w:rsidRPr="00E34FD1">
              <w:t>1997</w:t>
            </w:r>
            <w:r w:rsidRPr="00E34FD1">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7A10305A" w14:textId="77777777" w:rsidR="00203F72" w:rsidRPr="00E34FD1" w:rsidRDefault="00203F72" w:rsidP="00E34FD1">
            <w:r w:rsidRPr="00E34FD1">
              <w:rPr>
                <w:rFonts w:hint="eastAsia"/>
              </w:rPr>
              <w:t>第三屆國大通過憲法增修條文十一條。</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14:paraId="5A1BEDCC" w14:textId="77777777" w:rsidR="00203F72" w:rsidRPr="00E34FD1" w:rsidRDefault="00E108EB" w:rsidP="00E108EB">
            <w:r w:rsidRPr="00E34FD1">
              <w:rPr>
                <w:rFonts w:hint="eastAsia"/>
              </w:rPr>
              <w:t xml:space="preserve">　　</w:t>
            </w:r>
            <w:r w:rsidR="00203F72" w:rsidRPr="00E34FD1">
              <w:rPr>
                <w:rFonts w:hint="eastAsia"/>
              </w:rPr>
              <w:t>國大對立法院提出之總統、副總統彈劾案有議決權。</w:t>
            </w:r>
          </w:p>
          <w:p w14:paraId="7C7E83BF" w14:textId="77777777" w:rsidR="00203F72" w:rsidRPr="00E34FD1" w:rsidRDefault="00E34FD1" w:rsidP="00E108EB">
            <w:r w:rsidRPr="00E34FD1">
              <w:rPr>
                <w:rFonts w:hint="eastAsia"/>
              </w:rPr>
              <w:t xml:space="preserve">　　</w:t>
            </w:r>
            <w:r w:rsidR="00203F72" w:rsidRPr="00E34FD1">
              <w:rPr>
                <w:rFonts w:hint="eastAsia"/>
              </w:rPr>
              <w:t>引進不信任案及解散國會權之機制設計。</w:t>
            </w:r>
          </w:p>
          <w:p w14:paraId="1C913205" w14:textId="77777777" w:rsidR="00203F72" w:rsidRPr="00E34FD1" w:rsidRDefault="00E34FD1" w:rsidP="00E108EB">
            <w:r w:rsidRPr="00E34FD1">
              <w:rPr>
                <w:rFonts w:hint="eastAsia"/>
              </w:rPr>
              <w:t xml:space="preserve">　　</w:t>
            </w:r>
            <w:r w:rsidR="00203F72" w:rsidRPr="00E34FD1">
              <w:rPr>
                <w:rFonts w:hint="eastAsia"/>
              </w:rPr>
              <w:t>精省及省議會；政府體制及層級調整。</w:t>
            </w:r>
          </w:p>
          <w:p w14:paraId="0938B892" w14:textId="77777777" w:rsidR="00203F72" w:rsidRPr="00E34FD1" w:rsidRDefault="00E34FD1" w:rsidP="00E108EB">
            <w:r w:rsidRPr="00E34FD1">
              <w:rPr>
                <w:rFonts w:hint="eastAsia"/>
              </w:rPr>
              <w:t xml:space="preserve">　　</w:t>
            </w:r>
            <w:r w:rsidR="00203F72" w:rsidRPr="00E34FD1">
              <w:rPr>
                <w:rFonts w:hint="eastAsia"/>
              </w:rPr>
              <w:t>行政院長由總統任命，不需立法院同意。</w:t>
            </w:r>
          </w:p>
        </w:tc>
      </w:tr>
      <w:tr w:rsidR="00203F72" w:rsidRPr="00A53581" w14:paraId="6786B700" w14:textId="77777777" w:rsidTr="00E34FD1">
        <w:tc>
          <w:tcPr>
            <w:tcW w:w="1305" w:type="dxa"/>
            <w:tcBorders>
              <w:top w:val="single" w:sz="4" w:space="0" w:color="auto"/>
              <w:left w:val="single" w:sz="4" w:space="0" w:color="auto"/>
              <w:bottom w:val="single" w:sz="4" w:space="0" w:color="auto"/>
              <w:right w:val="single" w:sz="4" w:space="0" w:color="auto"/>
            </w:tcBorders>
            <w:shd w:val="clear" w:color="auto" w:fill="auto"/>
            <w:hideMark/>
          </w:tcPr>
          <w:p w14:paraId="7D7BFBF5" w14:textId="77777777" w:rsidR="00203F72" w:rsidRPr="00E34FD1" w:rsidRDefault="00203F72" w:rsidP="00E34FD1">
            <w:r w:rsidRPr="00E34FD1">
              <w:rPr>
                <w:rFonts w:hint="eastAsia"/>
              </w:rPr>
              <w:t>第五次修憲</w:t>
            </w:r>
            <w:r w:rsidRPr="00E34FD1">
              <w:footnoteReference w:id="1014"/>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14:paraId="187DEFE0" w14:textId="77777777" w:rsidR="00203F72" w:rsidRPr="00E34FD1" w:rsidRDefault="00203F72" w:rsidP="00E34FD1">
            <w:r w:rsidRPr="00E34FD1">
              <w:t>1999</w:t>
            </w:r>
            <w:r w:rsidRPr="00E34FD1">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3268203E" w14:textId="77777777" w:rsidR="00203F72" w:rsidRPr="00E34FD1" w:rsidRDefault="00203F72" w:rsidP="00E34FD1">
            <w:r w:rsidRPr="00E34FD1">
              <w:rPr>
                <w:rFonts w:hint="eastAsia"/>
              </w:rPr>
              <w:t>第三屆國大通過憲法增修條文十一條。</w:t>
            </w:r>
            <w:r w:rsidRPr="00E34FD1">
              <w:t>(</w:t>
            </w:r>
            <w:r w:rsidRPr="00E34FD1">
              <w:rPr>
                <w:rFonts w:hint="eastAsia"/>
              </w:rPr>
              <w:t>此次修憲，後經大法官解釋無效</w:t>
            </w:r>
            <w:r w:rsidRPr="00E34FD1">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FA9C962" w14:textId="77777777" w:rsidR="00E34FD1"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1.</w:t>
            </w:r>
            <w:r w:rsidRPr="00E34FD1">
              <w:rPr>
                <w:rFonts w:hint="eastAsia"/>
                <w:sz w:val="22"/>
              </w:rPr>
              <w:t>通過國大代表任期再延長兩年一個月。</w:t>
            </w:r>
          </w:p>
          <w:p w14:paraId="0F9F8CCC" w14:textId="77777777" w:rsidR="00E34FD1"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2.</w:t>
            </w:r>
            <w:r w:rsidRPr="00E34FD1">
              <w:rPr>
                <w:rFonts w:hint="eastAsia"/>
                <w:sz w:val="22"/>
              </w:rPr>
              <w:t>國大代表定為三百名以政黨比例方式選出。</w:t>
            </w:r>
          </w:p>
          <w:p w14:paraId="76E91991" w14:textId="77777777" w:rsidR="00203F72"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3.</w:t>
            </w:r>
            <w:r w:rsidRPr="00E34FD1">
              <w:rPr>
                <w:rFonts w:hint="eastAsia"/>
                <w:sz w:val="22"/>
              </w:rPr>
              <w:t>立委任期調整為</w:t>
            </w:r>
            <w:r w:rsidRPr="00E34FD1">
              <w:rPr>
                <w:rFonts w:hint="eastAsia"/>
                <w:sz w:val="22"/>
              </w:rPr>
              <w:t>4</w:t>
            </w:r>
            <w:r w:rsidRPr="00E34FD1">
              <w:rPr>
                <w:rFonts w:hint="eastAsia"/>
                <w:sz w:val="22"/>
              </w:rPr>
              <w:t>年與總統一致。</w:t>
            </w:r>
          </w:p>
        </w:tc>
      </w:tr>
      <w:tr w:rsidR="00203F72" w:rsidRPr="00A53581" w14:paraId="0E66278D" w14:textId="77777777" w:rsidTr="00E34FD1">
        <w:tc>
          <w:tcPr>
            <w:tcW w:w="1305" w:type="dxa"/>
            <w:tcBorders>
              <w:top w:val="single" w:sz="4" w:space="0" w:color="auto"/>
              <w:left w:val="single" w:sz="4" w:space="0" w:color="auto"/>
              <w:bottom w:val="single" w:sz="4" w:space="0" w:color="auto"/>
              <w:right w:val="single" w:sz="4" w:space="0" w:color="auto"/>
            </w:tcBorders>
            <w:shd w:val="clear" w:color="auto" w:fill="auto"/>
            <w:hideMark/>
          </w:tcPr>
          <w:p w14:paraId="3627676C" w14:textId="77777777" w:rsidR="00203F72" w:rsidRPr="00E34FD1" w:rsidRDefault="00203F72" w:rsidP="00E34FD1">
            <w:r w:rsidRPr="00E34FD1">
              <w:rPr>
                <w:rFonts w:hint="eastAsia"/>
              </w:rPr>
              <w:t>第六次修憲</w:t>
            </w:r>
            <w:r w:rsidRPr="00E34FD1">
              <w:footnoteReference w:id="1015"/>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14:paraId="20B76DB5" w14:textId="77777777" w:rsidR="00203F72" w:rsidRPr="00E34FD1" w:rsidRDefault="00203F72" w:rsidP="00E34FD1">
            <w:r w:rsidRPr="00E34FD1">
              <w:t>2000</w:t>
            </w:r>
            <w:r w:rsidRPr="00E34FD1">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37F87991" w14:textId="77777777" w:rsidR="00203F72" w:rsidRPr="00E34FD1" w:rsidRDefault="00203F72" w:rsidP="00E34FD1">
            <w:r w:rsidRPr="00E34FD1">
              <w:rPr>
                <w:rFonts w:hint="eastAsia"/>
              </w:rPr>
              <w:t>第三屆國大通過憲法增修條文十一條。</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25C8E16" w14:textId="77777777" w:rsidR="00E34FD1"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1.</w:t>
            </w:r>
            <w:r w:rsidRPr="00E34FD1">
              <w:rPr>
                <w:rFonts w:hint="eastAsia"/>
                <w:sz w:val="22"/>
              </w:rPr>
              <w:t>國大職權虛級化；重要職務移由立法院行使。</w:t>
            </w:r>
          </w:p>
          <w:p w14:paraId="43C3B6BC" w14:textId="77777777" w:rsidR="00E34FD1"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2.</w:t>
            </w:r>
            <w:r w:rsidRPr="00E34FD1">
              <w:rPr>
                <w:rFonts w:hint="eastAsia"/>
                <w:sz w:val="22"/>
              </w:rPr>
              <w:t>國大未來成為「任務型國大」性質。</w:t>
            </w:r>
          </w:p>
          <w:p w14:paraId="464634D8" w14:textId="77777777" w:rsidR="00203F72"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3.</w:t>
            </w:r>
            <w:r w:rsidRPr="00E34FD1">
              <w:rPr>
                <w:rFonts w:hint="eastAsia"/>
                <w:sz w:val="22"/>
              </w:rPr>
              <w:t>排除大法官終身職優遇。</w:t>
            </w:r>
          </w:p>
        </w:tc>
      </w:tr>
      <w:tr w:rsidR="00203F72" w:rsidRPr="00A53581" w14:paraId="65F0D0B8" w14:textId="77777777"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14:paraId="000800FA" w14:textId="77777777" w:rsidR="00203F72" w:rsidRPr="00E34FD1" w:rsidRDefault="00203F72" w:rsidP="00E34FD1">
            <w:r w:rsidRPr="00E34FD1">
              <w:rPr>
                <w:rFonts w:hint="eastAsia"/>
              </w:rPr>
              <w:t>第七次修憲</w:t>
            </w:r>
            <w:r w:rsidRPr="00E34FD1">
              <w:footnoteReference w:id="1016"/>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14:paraId="4E1A2580" w14:textId="77777777" w:rsidR="00203F72" w:rsidRPr="00E34FD1" w:rsidRDefault="00203F72" w:rsidP="00E34FD1">
            <w:r w:rsidRPr="00E34FD1">
              <w:t>2005</w:t>
            </w:r>
            <w:r w:rsidRPr="00E34FD1">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5C1D7F8F" w14:textId="77777777" w:rsidR="00203F72" w:rsidRPr="00E34FD1" w:rsidRDefault="00203F72" w:rsidP="00E34FD1">
            <w:r w:rsidRPr="00E34FD1">
              <w:rPr>
                <w:rFonts w:hint="eastAsia"/>
              </w:rPr>
              <w:t>任務型國大通過憲法增修條文十二條。</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14:paraId="72B3732D" w14:textId="77777777" w:rsidR="00203F72" w:rsidRPr="00E34FD1" w:rsidRDefault="00E34FD1" w:rsidP="00E34FD1">
            <w:pPr>
              <w:pStyle w:val="aff9"/>
              <w:ind w:leftChars="0" w:left="-108"/>
              <w:rPr>
                <w:sz w:val="22"/>
              </w:rPr>
            </w:pPr>
            <w:r w:rsidRPr="00E34FD1">
              <w:rPr>
                <w:rFonts w:hint="eastAsia"/>
                <w:sz w:val="22"/>
              </w:rPr>
              <w:t xml:space="preserve">　　</w:t>
            </w:r>
            <w:r w:rsidRPr="00E34FD1">
              <w:rPr>
                <w:rFonts w:hint="eastAsia"/>
                <w:sz w:val="22"/>
              </w:rPr>
              <w:t>1.</w:t>
            </w:r>
            <w:r w:rsidR="00203F72" w:rsidRPr="00E34FD1">
              <w:rPr>
                <w:rFonts w:hint="eastAsia"/>
                <w:sz w:val="22"/>
              </w:rPr>
              <w:t>將國民大會制度正式廢除。</w:t>
            </w:r>
          </w:p>
          <w:p w14:paraId="69568A91" w14:textId="77777777" w:rsidR="00203F72" w:rsidRPr="00E34FD1" w:rsidRDefault="00203F72" w:rsidP="00D87D91">
            <w:pPr>
              <w:pStyle w:val="aff9"/>
              <w:numPr>
                <w:ilvl w:val="0"/>
                <w:numId w:val="41"/>
              </w:numPr>
              <w:ind w:leftChars="0"/>
              <w:rPr>
                <w:sz w:val="22"/>
              </w:rPr>
            </w:pPr>
            <w:r w:rsidRPr="00E34FD1">
              <w:rPr>
                <w:rFonts w:hint="eastAsia"/>
                <w:sz w:val="22"/>
              </w:rPr>
              <w:t>將立委席次減至</w:t>
            </w:r>
            <w:r w:rsidRPr="00E34FD1">
              <w:rPr>
                <w:sz w:val="22"/>
              </w:rPr>
              <w:t>113</w:t>
            </w:r>
            <w:r w:rsidRPr="00E34FD1">
              <w:rPr>
                <w:rFonts w:hint="eastAsia"/>
                <w:sz w:val="22"/>
              </w:rPr>
              <w:t>名及立委任期調整為</w:t>
            </w:r>
            <w:r w:rsidRPr="00E34FD1">
              <w:rPr>
                <w:sz w:val="22"/>
              </w:rPr>
              <w:t>4</w:t>
            </w:r>
            <w:r w:rsidRPr="00E34FD1">
              <w:rPr>
                <w:rFonts w:hint="eastAsia"/>
                <w:sz w:val="22"/>
              </w:rPr>
              <w:t>年。</w:t>
            </w:r>
          </w:p>
          <w:p w14:paraId="380EDB61" w14:textId="77777777" w:rsidR="00203F72" w:rsidRPr="00E34FD1" w:rsidRDefault="00203F72" w:rsidP="00D87D91">
            <w:pPr>
              <w:pStyle w:val="aff9"/>
              <w:numPr>
                <w:ilvl w:val="0"/>
                <w:numId w:val="41"/>
              </w:numPr>
              <w:ind w:leftChars="0"/>
              <w:rPr>
                <w:sz w:val="22"/>
              </w:rPr>
            </w:pPr>
            <w:r w:rsidRPr="00E34FD1">
              <w:rPr>
                <w:rFonts w:hint="eastAsia"/>
                <w:sz w:val="22"/>
              </w:rPr>
              <w:t>將立委選制改為「單一選區與兩票制」。</w:t>
            </w:r>
          </w:p>
          <w:p w14:paraId="2D02F800" w14:textId="77777777" w:rsidR="00203F72" w:rsidRPr="00E34FD1" w:rsidRDefault="00203F72" w:rsidP="00D87D91">
            <w:pPr>
              <w:pStyle w:val="aff9"/>
              <w:numPr>
                <w:ilvl w:val="0"/>
                <w:numId w:val="41"/>
              </w:numPr>
              <w:ind w:leftChars="0"/>
              <w:rPr>
                <w:sz w:val="22"/>
              </w:rPr>
            </w:pPr>
            <w:r w:rsidRPr="00E34FD1">
              <w:rPr>
                <w:rFonts w:hint="eastAsia"/>
                <w:sz w:val="22"/>
              </w:rPr>
              <w:t>引進公民投票複決機制。</w:t>
            </w:r>
          </w:p>
        </w:tc>
      </w:tr>
    </w:tbl>
    <w:p w14:paraId="62840FF0" w14:textId="77777777" w:rsidR="00953151" w:rsidRPr="006B7176" w:rsidRDefault="002107CE" w:rsidP="00D87D91">
      <w:r w:rsidRPr="006B7176">
        <w:rPr>
          <w:rFonts w:hint="eastAsia"/>
        </w:rPr>
        <w:t>【本表格資料來源】</w:t>
      </w:r>
      <w:r w:rsidR="00203F72" w:rsidRPr="006B7176">
        <w:rPr>
          <w:rFonts w:hint="eastAsia"/>
        </w:rPr>
        <w:t>張淑中，姚中原</w:t>
      </w:r>
      <w:r w:rsidR="00203F72" w:rsidRPr="006B7176">
        <w:t>(2012)</w:t>
      </w:r>
      <w:r w:rsidR="00203F72" w:rsidRPr="006B7176">
        <w:t>，</w:t>
      </w:r>
      <w:r w:rsidR="00203F72" w:rsidRPr="006B7176">
        <w:rPr>
          <w:rFonts w:hint="eastAsia"/>
        </w:rPr>
        <w:t>台灣憲政改革─修憲理論、政治過程與制度影響，初版，台北：五南圖書公司，第</w:t>
      </w:r>
      <w:r w:rsidR="00203F72" w:rsidRPr="006B7176">
        <w:t>168</w:t>
      </w:r>
      <w:r w:rsidR="00203F72" w:rsidRPr="006B7176">
        <w:rPr>
          <w:rFonts w:hint="eastAsia"/>
        </w:rPr>
        <w:t>-</w:t>
      </w:r>
      <w:r w:rsidR="00203F72" w:rsidRPr="006B7176">
        <w:t>169</w:t>
      </w:r>
      <w:r w:rsidR="00203F72" w:rsidRPr="006B7176">
        <w:rPr>
          <w:rFonts w:hint="eastAsia"/>
        </w:rPr>
        <w:t>頁。本表格經過作者增修之。</w:t>
      </w:r>
    </w:p>
    <w:p w14:paraId="7F645601" w14:textId="77777777" w:rsidR="00953151" w:rsidRPr="006B7176" w:rsidRDefault="001C3A2B" w:rsidP="00D87D91">
      <w:r w:rsidRPr="006B7176">
        <w:t xml:space="preserve">　　</w:t>
      </w:r>
      <w:r w:rsidR="00203F72" w:rsidRPr="006B7176">
        <w:t>根據日本憲法學者東京大學名譽教授小林直樹氏之觀點</w:t>
      </w:r>
      <w:r w:rsidR="00203F72" w:rsidRPr="006B7176">
        <w:footnoteReference w:id="1017"/>
      </w:r>
      <w:r w:rsidR="00203F72" w:rsidRPr="006B7176">
        <w:t>，憲法之創始制定權與改正權之意涵，兩者具有極大程度之差異性。就憲法之創始制定權而論，創始制定權它是屬於一種創設權，亦即，創始制定權是屬於制定憲法之一種作用；為何制定權等同於創設權？因在制定憲法之時，在當時之時空背景下，國內現存之法令機制，較為不足與缺少；基此，為了創設國內之法秩序，有必要制定憲法。在創設憲法之前，並不存有憲法之法秩序；由於制定憲法之前，缺乏憲法之法秩序</w:t>
      </w:r>
      <w:r w:rsidR="00203F72" w:rsidRPr="006B7176">
        <w:t>(</w:t>
      </w:r>
      <w:r w:rsidR="00203F72" w:rsidRPr="006B7176">
        <w:t>未存在任何之憲法法典</w:t>
      </w:r>
      <w:r w:rsidR="00203F72" w:rsidRPr="006B7176">
        <w:t>)</w:t>
      </w:r>
      <w:r w:rsidR="00203F72" w:rsidRPr="006B7176">
        <w:t>，故未存在須植基於憲法之法秩序，作為制憲前提之問題。</w:t>
      </w:r>
    </w:p>
    <w:p w14:paraId="4744732D" w14:textId="77777777" w:rsidR="00953151" w:rsidRPr="006B7176" w:rsidRDefault="001C3A2B" w:rsidP="00D87D91">
      <w:r w:rsidRPr="006B7176">
        <w:t xml:space="preserve">　　</w:t>
      </w:r>
      <w:r w:rsidR="00203F72" w:rsidRPr="006B7176">
        <w:t>故憲法之創始制定權之屬性，它是在國家政治統一之狀態情境下，基於特殊之實存政體之事實，而進行創設憲法之工作。故，小林直樹教授將創始制憲權之身分，定位為國家在一種自然之狀態下，所為之制憲行為；創始制憲作用之意義，在於它並不制約實定之憲法。簡言之，創始制憲權並非制約實定之憲法之權力。為何制憲作用並不制約實定之憲法，主因在於制憲之前，並不存在實定之憲法，故，創始制憲權並非欲制約任何實定之憲法。當憲法被創設出來之後，上述所謂之創始制憲權，會在實定之憲法法典之中，處於永遠性之休眠狀態，或是，處於一種被永久性地加以凍結。亦即，當憲法已完成立法之後，事實上，就不存在於自然之狀態下，發動制憲權之情事。</w:t>
      </w:r>
    </w:p>
    <w:p w14:paraId="28036748" w14:textId="77777777" w:rsidR="00953151" w:rsidRPr="006B7176" w:rsidRDefault="001C3A2B" w:rsidP="00D87D91">
      <w:r w:rsidRPr="006B7176">
        <w:t xml:space="preserve">　　</w:t>
      </w:r>
      <w:r w:rsidR="00203F72" w:rsidRPr="006B7176">
        <w:t>相對於憲法之創始制定權，所謂憲法之改正權之意涵，乃指改正權須存有一個大前提，即須存在根據制憲權之行使，業已被創造出一部實定之憲法之上，根據該部實定憲法所制定修憲之程序，進行憲法之增補、刪修改等。就憲法之制定權與憲法之改正權兩者關係而論，由於創始制憲權，已永遠性之休眠</w:t>
      </w:r>
      <w:r w:rsidR="00203F72" w:rsidRPr="006B7176">
        <w:t>(</w:t>
      </w:r>
      <w:r w:rsidR="00203F72" w:rsidRPr="006B7176">
        <w:t>被永久性地加以凍結</w:t>
      </w:r>
      <w:r w:rsidR="00203F72" w:rsidRPr="006B7176">
        <w:t>)</w:t>
      </w:r>
      <w:r w:rsidR="00203F72" w:rsidRPr="006B7176">
        <w:t>，故改正權屬於一種制度化之制憲權，亦即，透由國會等特定之民意代表機關之機制，將制憲權制度化與常態化，此即為改正權</w:t>
      </w:r>
      <w:r w:rsidR="00203F72" w:rsidRPr="006B7176">
        <w:footnoteReference w:id="1018"/>
      </w:r>
      <w:r w:rsidR="00203F72" w:rsidRPr="006B7176">
        <w:t>。就重新制定適合於台灣地區之暫行（臨時）憲法乙事而論，它是屬於一種改正權，而非創始制憲權，主因在於現存之憲政下，業已存在一部中華民國憲法。於重新制定適合於台灣地區之暫行（臨時）憲法之同時，並非欲將憲法本文加以整部廢棄，僅是暫時性地加以凍結。</w:t>
      </w:r>
    </w:p>
    <w:p w14:paraId="259DF825" w14:textId="77777777" w:rsidR="00203F72" w:rsidRPr="006B7176" w:rsidRDefault="001C3A2B" w:rsidP="00D87D91">
      <w:r w:rsidRPr="006B7176">
        <w:t xml:space="preserve">　　</w:t>
      </w:r>
      <w:r w:rsidR="00203F72" w:rsidRPr="006B7176">
        <w:t>由於兩岸分治之既存事實，中華民國政府雖然主張對於整個中國大陸擁有「主權」，但，卻未擁有「治權」；基此，我國遂於民國</w:t>
      </w:r>
      <w:r w:rsidR="00203F72" w:rsidRPr="006B7176">
        <w:t>80</w:t>
      </w:r>
      <w:r w:rsidR="00203F72" w:rsidRPr="006B7176">
        <w:t>年制定並公布「中華民國憲法增修條文」。然而，在共計有</w:t>
      </w:r>
      <w:r w:rsidR="00203F72" w:rsidRPr="006B7176">
        <w:t>12</w:t>
      </w:r>
      <w:r w:rsidR="00203F72" w:rsidRPr="006B7176">
        <w:t>個條文之增修憲法中；立憲之技術，係使用凍結（停止適用）憲法之本文，再增訂若干內容之方式，架構「中華民國憲法增修條文」之內容。此種立憲之方式，存在以下若干之缺失：</w:t>
      </w:r>
    </w:p>
    <w:p w14:paraId="384565C1" w14:textId="77777777" w:rsidR="001C3A2B" w:rsidRPr="006B7176" w:rsidRDefault="001C3A2B" w:rsidP="00D87D91">
      <w:r w:rsidRPr="006B7176">
        <w:rPr>
          <w:rFonts w:hint="eastAsia"/>
        </w:rPr>
        <w:t xml:space="preserve">　　</w:t>
      </w:r>
      <w:r w:rsidRPr="006B7176">
        <w:rPr>
          <w:rFonts w:hint="eastAsia"/>
        </w:rPr>
        <w:t>1.</w:t>
      </w:r>
      <w:r w:rsidRPr="006B7176">
        <w:rPr>
          <w:rFonts w:hint="eastAsia"/>
        </w:rPr>
        <w:t>對於憲法修習者，或擬瞭解憲法條文內容之任何國內外民眾而言，除非其長期深入鑽研我國憲法，否則，易感到混亂；</w:t>
      </w:r>
    </w:p>
    <w:p w14:paraId="595D6D6F" w14:textId="77777777" w:rsidR="001C3A2B" w:rsidRPr="006B7176" w:rsidRDefault="001C3A2B" w:rsidP="00D87D91">
      <w:r w:rsidRPr="006B7176">
        <w:rPr>
          <w:rFonts w:hint="eastAsia"/>
        </w:rPr>
        <w:t xml:space="preserve">　　</w:t>
      </w:r>
      <w:r w:rsidRPr="006B7176">
        <w:rPr>
          <w:rFonts w:hint="eastAsia"/>
        </w:rPr>
        <w:t>2.</w:t>
      </w:r>
      <w:r w:rsidRPr="006B7176">
        <w:rPr>
          <w:rFonts w:hint="eastAsia"/>
        </w:rPr>
        <w:t>在憲法本</w:t>
      </w:r>
      <w:r w:rsidR="001B1539" w:rsidRPr="006B7176">
        <w:t>文</w:t>
      </w:r>
      <w:hyperlink r:id="rId2332" w:anchor="b1" w:history="1">
        <w:r w:rsidR="001B1539" w:rsidRPr="006B7176">
          <w:rPr>
            <w:rStyle w:val="a5"/>
          </w:rPr>
          <w:t>第1條</w:t>
        </w:r>
      </w:hyperlink>
      <w:r w:rsidRPr="006B7176">
        <w:rPr>
          <w:rFonts w:hint="eastAsia"/>
        </w:rPr>
        <w:t>至第</w:t>
      </w:r>
      <w:r w:rsidRPr="006B7176">
        <w:rPr>
          <w:rFonts w:hint="eastAsia"/>
        </w:rPr>
        <w:t>175</w:t>
      </w:r>
      <w:r w:rsidRPr="006B7176">
        <w:rPr>
          <w:rFonts w:hint="eastAsia"/>
        </w:rPr>
        <w:t>條之中，諸多之條文，業已被停止適用；但憲法本文並未明白地標示那些條文已被凍結使用，須查閱憲法增修條文之內容，始得知憲法本文那些條款已被凍結使用？此種以新增訂之憲法增修條文，凍結憲法本文條文之立憲技術，雖屬不得已作法，但不利國民對於憲法之理解與使用；</w:t>
      </w:r>
    </w:p>
    <w:p w14:paraId="703C30BC" w14:textId="77777777" w:rsidR="001C3A2B" w:rsidRPr="006B7176" w:rsidRDefault="001C3A2B" w:rsidP="00D87D91">
      <w:r w:rsidRPr="006B7176">
        <w:rPr>
          <w:rFonts w:hint="eastAsia"/>
        </w:rPr>
        <w:t xml:space="preserve">　　</w:t>
      </w:r>
      <w:r w:rsidRPr="006B7176">
        <w:rPr>
          <w:rFonts w:hint="eastAsia"/>
        </w:rPr>
        <w:t>3.</w:t>
      </w:r>
      <w:r w:rsidRPr="006B7176">
        <w:rPr>
          <w:rFonts w:hint="eastAsia"/>
        </w:rPr>
        <w:t>假若將憲法本文定位為「前半部」，而將憲法增修條文定位為「後半部」，前後半部之憲法內容，就同一之事項，有不同之規範方式與內涵，易令人感到錯亂，並模糊憲法規範之內涵；</w:t>
      </w:r>
    </w:p>
    <w:p w14:paraId="50268E56" w14:textId="77777777" w:rsidR="001C3A2B" w:rsidRPr="006B7176" w:rsidRDefault="001C3A2B" w:rsidP="00D87D91">
      <w:r w:rsidRPr="006B7176">
        <w:rPr>
          <w:rFonts w:hint="eastAsia"/>
        </w:rPr>
        <w:t xml:space="preserve">　　</w:t>
      </w:r>
      <w:r w:rsidRPr="006B7176">
        <w:rPr>
          <w:rFonts w:hint="eastAsia"/>
        </w:rPr>
        <w:t>4.</w:t>
      </w:r>
      <w:r w:rsidRPr="006B7176">
        <w:rPr>
          <w:rFonts w:hint="eastAsia"/>
        </w:rPr>
        <w:t>憲法本文之</w:t>
      </w:r>
      <w:r w:rsidRPr="006B7176">
        <w:rPr>
          <w:rFonts w:hint="eastAsia"/>
        </w:rPr>
        <w:t>175</w:t>
      </w:r>
      <w:r w:rsidRPr="006B7176">
        <w:rPr>
          <w:rFonts w:hint="eastAsia"/>
        </w:rPr>
        <w:t>個條文之中，有諸多條文，已被停止適用；既然已被停止適用，是否考量重新制定適合台灣地區之「暫行」或「臨時」憲法？存有討論之空間，亦值得研究其可行性；</w:t>
      </w:r>
    </w:p>
    <w:p w14:paraId="722F64C3" w14:textId="77777777" w:rsidR="001C3A2B" w:rsidRPr="006B7176" w:rsidRDefault="001C3A2B" w:rsidP="00D87D91">
      <w:r w:rsidRPr="006B7176">
        <w:rPr>
          <w:rFonts w:hint="eastAsia"/>
        </w:rPr>
        <w:t xml:space="preserve">　　</w:t>
      </w:r>
      <w:r w:rsidRPr="006B7176">
        <w:rPr>
          <w:rFonts w:hint="eastAsia"/>
        </w:rPr>
        <w:t>5.</w:t>
      </w:r>
      <w:r w:rsidRPr="006B7176">
        <w:rPr>
          <w:rFonts w:hint="eastAsia"/>
        </w:rPr>
        <w:t>憲法本文中之條文內涵，業已與現存之台灣</w:t>
      </w:r>
      <w:r w:rsidRPr="006B7176">
        <w:rPr>
          <w:rFonts w:hint="eastAsia"/>
        </w:rPr>
        <w:t>21</w:t>
      </w:r>
      <w:r w:rsidRPr="006B7176">
        <w:rPr>
          <w:rFonts w:hint="eastAsia"/>
        </w:rPr>
        <w:t>世紀社會環境及政治體制，有諸多不相符合實況之處；諸如，以下之憲法本文條文：</w:t>
      </w:r>
      <w:hyperlink r:id="rId2333" w:anchor="a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4</w:t>
        </w:r>
        <w:r w:rsidRPr="00E34FD1">
          <w:rPr>
            <w:rStyle w:val="a5"/>
            <w:rFonts w:ascii="Times New Roman" w:eastAsia="新細明體" w:hAnsi="Times New Roman" w:hint="eastAsia"/>
          </w:rPr>
          <w:t>條</w:t>
        </w:r>
      </w:hyperlink>
      <w:r w:rsidRPr="006B7176">
        <w:rPr>
          <w:rFonts w:hint="eastAsia"/>
        </w:rPr>
        <w:t>（如何變更中華民國領土）；</w:t>
      </w:r>
      <w:hyperlink r:id="rId2334" w:anchor="a25"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25</w:t>
        </w:r>
        <w:r w:rsidRPr="00E34FD1">
          <w:rPr>
            <w:rStyle w:val="a5"/>
            <w:rFonts w:ascii="Times New Roman" w:eastAsia="新細明體" w:hAnsi="Times New Roman" w:hint="eastAsia"/>
          </w:rPr>
          <w:t>條</w:t>
        </w:r>
      </w:hyperlink>
      <w:r w:rsidRPr="006B7176">
        <w:rPr>
          <w:rFonts w:hint="eastAsia"/>
        </w:rPr>
        <w:t>（國民大會之地位）；</w:t>
      </w:r>
      <w:hyperlink r:id="rId2335" w:anchor="a26"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26</w:t>
        </w:r>
        <w:r w:rsidRPr="00E34FD1">
          <w:rPr>
            <w:rStyle w:val="a5"/>
            <w:rFonts w:ascii="Times New Roman" w:eastAsia="新細明體" w:hAnsi="Times New Roman" w:hint="eastAsia"/>
          </w:rPr>
          <w:t>條</w:t>
        </w:r>
      </w:hyperlink>
      <w:r w:rsidRPr="006B7176">
        <w:rPr>
          <w:rFonts w:hint="eastAsia"/>
        </w:rPr>
        <w:t>（國民大會代表之名額產生之比例分配）；</w:t>
      </w:r>
      <w:hyperlink r:id="rId2336" w:anchor="a27"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27</w:t>
        </w:r>
        <w:r w:rsidRPr="00E34FD1">
          <w:rPr>
            <w:rStyle w:val="a5"/>
            <w:rFonts w:ascii="Times New Roman" w:eastAsia="新細明體" w:hAnsi="Times New Roman" w:hint="eastAsia"/>
          </w:rPr>
          <w:t>條</w:t>
        </w:r>
      </w:hyperlink>
      <w:r w:rsidRPr="006B7176">
        <w:rPr>
          <w:rFonts w:hint="eastAsia"/>
        </w:rPr>
        <w:t>（國民大會之職權）；</w:t>
      </w:r>
      <w:hyperlink r:id="rId2337" w:anchor="a28"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28</w:t>
        </w:r>
        <w:r w:rsidRPr="00E34FD1">
          <w:rPr>
            <w:rStyle w:val="a5"/>
            <w:rFonts w:ascii="Times New Roman" w:eastAsia="新細明體" w:hAnsi="Times New Roman" w:hint="eastAsia"/>
          </w:rPr>
          <w:t>條</w:t>
        </w:r>
      </w:hyperlink>
      <w:r w:rsidRPr="006B7176">
        <w:rPr>
          <w:rFonts w:hint="eastAsia"/>
        </w:rPr>
        <w:t>（國民大會代表之任期、資格之限制）；</w:t>
      </w:r>
      <w:hyperlink r:id="rId2338" w:anchor="a29"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29</w:t>
        </w:r>
        <w:r w:rsidRPr="00E34FD1">
          <w:rPr>
            <w:rStyle w:val="a5"/>
            <w:rFonts w:ascii="Times New Roman" w:eastAsia="新細明體" w:hAnsi="Times New Roman" w:hint="eastAsia"/>
          </w:rPr>
          <w:t>條</w:t>
        </w:r>
      </w:hyperlink>
      <w:r w:rsidRPr="006B7176">
        <w:rPr>
          <w:rFonts w:hint="eastAsia"/>
        </w:rPr>
        <w:t>（國民大會常會之召集）；</w:t>
      </w:r>
      <w:hyperlink r:id="rId2339" w:anchor="a30"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30</w:t>
        </w:r>
        <w:r w:rsidRPr="00E34FD1">
          <w:rPr>
            <w:rStyle w:val="a5"/>
            <w:rFonts w:ascii="Times New Roman" w:eastAsia="新細明體" w:hAnsi="Times New Roman" w:hint="eastAsia"/>
          </w:rPr>
          <w:t>條</w:t>
        </w:r>
      </w:hyperlink>
      <w:r w:rsidRPr="006B7176">
        <w:rPr>
          <w:rFonts w:hint="eastAsia"/>
        </w:rPr>
        <w:t>（國民大會臨時會之召集）；</w:t>
      </w:r>
      <w:hyperlink r:id="rId2340" w:anchor="a31"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31</w:t>
        </w:r>
        <w:r w:rsidRPr="00E34FD1">
          <w:rPr>
            <w:rStyle w:val="a5"/>
            <w:rFonts w:ascii="Times New Roman" w:eastAsia="新細明體" w:hAnsi="Times New Roman" w:hint="eastAsia"/>
          </w:rPr>
          <w:t>條</w:t>
        </w:r>
      </w:hyperlink>
      <w:r w:rsidRPr="006B7176">
        <w:rPr>
          <w:rFonts w:hint="eastAsia"/>
        </w:rPr>
        <w:t>（國民大會之開會地點）；</w:t>
      </w:r>
      <w:hyperlink r:id="rId2341" w:anchor="a32" w:history="1">
        <w:r w:rsidRPr="006B7176">
          <w:rPr>
            <w:rStyle w:val="a5"/>
            <w:rFonts w:hint="eastAsia"/>
          </w:rPr>
          <w:t>第32條</w:t>
        </w:r>
      </w:hyperlink>
      <w:r w:rsidRPr="006B7176">
        <w:rPr>
          <w:rFonts w:hint="eastAsia"/>
        </w:rPr>
        <w:t>（國民大會代表之言論免責特權）；</w:t>
      </w:r>
      <w:hyperlink r:id="rId2342" w:anchor="a33"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33</w:t>
        </w:r>
        <w:r w:rsidRPr="00E34FD1">
          <w:rPr>
            <w:rStyle w:val="a5"/>
            <w:rFonts w:ascii="Times New Roman" w:eastAsia="新細明體" w:hAnsi="Times New Roman" w:hint="eastAsia"/>
          </w:rPr>
          <w:t>條</w:t>
        </w:r>
      </w:hyperlink>
      <w:r w:rsidRPr="006B7176">
        <w:rPr>
          <w:rFonts w:hint="eastAsia"/>
        </w:rPr>
        <w:t>（國民大會代表之不受逮捕之特權）；</w:t>
      </w:r>
      <w:hyperlink r:id="rId2343" w:anchor="a3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34</w:t>
        </w:r>
        <w:r w:rsidRPr="00E34FD1">
          <w:rPr>
            <w:rStyle w:val="a5"/>
            <w:rFonts w:ascii="Times New Roman" w:eastAsia="新細明體" w:hAnsi="Times New Roman" w:hint="eastAsia"/>
          </w:rPr>
          <w:t>條</w:t>
        </w:r>
      </w:hyperlink>
      <w:r w:rsidRPr="006B7176">
        <w:rPr>
          <w:rFonts w:hint="eastAsia"/>
        </w:rPr>
        <w:t>（國民大會組織、選舉、罷免及職權行使程序之法律規範）；</w:t>
      </w:r>
      <w:hyperlink r:id="rId2344" w:anchor="a37" w:history="1">
        <w:r w:rsidR="00A5735A" w:rsidRPr="006B7176">
          <w:rPr>
            <w:rStyle w:val="a5"/>
            <w:rFonts w:hint="eastAsia"/>
          </w:rPr>
          <w:t>第37條</w:t>
        </w:r>
      </w:hyperlink>
      <w:r w:rsidRPr="006B7176">
        <w:rPr>
          <w:rFonts w:hint="eastAsia"/>
        </w:rPr>
        <w:t>（總統公布法令須經行政院長副署）；</w:t>
      </w:r>
      <w:hyperlink r:id="rId2345" w:anchor="a43" w:history="1">
        <w:r w:rsidRPr="007815B7">
          <w:rPr>
            <w:rStyle w:val="a5"/>
            <w:rFonts w:ascii="Times New Roman" w:eastAsia="新細明體" w:hAnsi="Times New Roman" w:hint="eastAsia"/>
          </w:rPr>
          <w:t>第</w:t>
        </w:r>
        <w:r w:rsidRPr="007815B7">
          <w:rPr>
            <w:rStyle w:val="a5"/>
            <w:rFonts w:ascii="Times New Roman" w:eastAsia="新細明體" w:hAnsi="Times New Roman" w:hint="eastAsia"/>
          </w:rPr>
          <w:t>43</w:t>
        </w:r>
        <w:r w:rsidRPr="007815B7">
          <w:rPr>
            <w:rStyle w:val="a5"/>
            <w:rFonts w:ascii="Times New Roman" w:eastAsia="新細明體" w:hAnsi="Times New Roman" w:hint="eastAsia"/>
          </w:rPr>
          <w:t>條</w:t>
        </w:r>
      </w:hyperlink>
      <w:r w:rsidRPr="006B7176">
        <w:rPr>
          <w:rFonts w:hint="eastAsia"/>
        </w:rPr>
        <w:t>（總統於立法院休會期間發布緊急命令權）；</w:t>
      </w:r>
      <w:hyperlink r:id="rId2346" w:anchor="a47"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47</w:t>
        </w:r>
        <w:r w:rsidRPr="00E34FD1">
          <w:rPr>
            <w:rStyle w:val="a5"/>
            <w:rFonts w:ascii="Times New Roman" w:eastAsia="新細明體" w:hAnsi="Times New Roman" w:hint="eastAsia"/>
          </w:rPr>
          <w:t>條</w:t>
        </w:r>
      </w:hyperlink>
      <w:r w:rsidRPr="006B7176">
        <w:rPr>
          <w:rFonts w:hint="eastAsia"/>
        </w:rPr>
        <w:t>（總統、副總統任期）；</w:t>
      </w:r>
      <w:hyperlink r:id="rId2347" w:anchor="a49" w:history="1">
        <w:r w:rsidRPr="006B7176">
          <w:rPr>
            <w:rStyle w:val="a5"/>
            <w:rFonts w:hint="eastAsia"/>
          </w:rPr>
          <w:t>第49條</w:t>
        </w:r>
      </w:hyperlink>
      <w:r w:rsidRPr="006B7176">
        <w:rPr>
          <w:rFonts w:hint="eastAsia"/>
        </w:rPr>
        <w:t>（總統或副總統之缺位、繼任及代行總統職權）；</w:t>
      </w:r>
      <w:hyperlink r:id="rId2348" w:anchor="a55" w:history="1">
        <w:r w:rsidRPr="007459D9">
          <w:rPr>
            <w:rStyle w:val="a5"/>
            <w:rFonts w:ascii="Times New Roman" w:eastAsia="新細明體" w:hAnsi="Times New Roman" w:hint="eastAsia"/>
          </w:rPr>
          <w:t>第</w:t>
        </w:r>
        <w:r w:rsidRPr="007459D9">
          <w:rPr>
            <w:rStyle w:val="a5"/>
            <w:rFonts w:ascii="Times New Roman" w:eastAsia="新細明體" w:hAnsi="Times New Roman" w:hint="eastAsia"/>
          </w:rPr>
          <w:t>55</w:t>
        </w:r>
        <w:r w:rsidRPr="007459D9">
          <w:rPr>
            <w:rStyle w:val="a5"/>
            <w:rFonts w:ascii="Times New Roman" w:eastAsia="新細明體" w:hAnsi="Times New Roman" w:hint="eastAsia"/>
          </w:rPr>
          <w:t>條</w:t>
        </w:r>
      </w:hyperlink>
      <w:r w:rsidRPr="006B7176">
        <w:rPr>
          <w:rFonts w:hint="eastAsia"/>
        </w:rPr>
        <w:t>（行政院長之任命與代理）；</w:t>
      </w:r>
      <w:hyperlink r:id="rId2349" w:anchor="a57" w:history="1">
        <w:r w:rsidRPr="007776F0">
          <w:rPr>
            <w:rStyle w:val="a5"/>
            <w:rFonts w:ascii="Times New Roman" w:eastAsia="新細明體" w:hAnsi="Times New Roman" w:hint="eastAsia"/>
          </w:rPr>
          <w:t>第</w:t>
        </w:r>
        <w:r w:rsidRPr="007776F0">
          <w:rPr>
            <w:rStyle w:val="a5"/>
            <w:rFonts w:ascii="Times New Roman" w:eastAsia="新細明體" w:hAnsi="Times New Roman" w:hint="eastAsia"/>
          </w:rPr>
          <w:t>57</w:t>
        </w:r>
        <w:r w:rsidRPr="007776F0">
          <w:rPr>
            <w:rStyle w:val="a5"/>
            <w:rFonts w:ascii="Times New Roman" w:eastAsia="新細明體" w:hAnsi="Times New Roman" w:hint="eastAsia"/>
          </w:rPr>
          <w:t>條</w:t>
        </w:r>
      </w:hyperlink>
      <w:r w:rsidRPr="006B7176">
        <w:rPr>
          <w:rFonts w:hint="eastAsia"/>
        </w:rPr>
        <w:t>（行政院對立法院負責）；</w:t>
      </w:r>
      <w:hyperlink r:id="rId2350" w:anchor="a6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64</w:t>
        </w:r>
        <w:r w:rsidRPr="00E34FD1">
          <w:rPr>
            <w:rStyle w:val="a5"/>
            <w:rFonts w:ascii="Times New Roman" w:eastAsia="新細明體" w:hAnsi="Times New Roman" w:hint="eastAsia"/>
          </w:rPr>
          <w:t>條</w:t>
        </w:r>
      </w:hyperlink>
      <w:r w:rsidRPr="006B7176">
        <w:rPr>
          <w:rFonts w:hint="eastAsia"/>
        </w:rPr>
        <w:t>（立法委員選舉）；</w:t>
      </w:r>
      <w:hyperlink r:id="rId2351" w:anchor="a65" w:history="1">
        <w:r w:rsidRPr="00B213D8">
          <w:rPr>
            <w:rStyle w:val="a5"/>
            <w:rFonts w:ascii="Times New Roman" w:eastAsia="新細明體" w:hAnsi="Times New Roman" w:hint="eastAsia"/>
          </w:rPr>
          <w:t>第</w:t>
        </w:r>
        <w:r w:rsidRPr="00B213D8">
          <w:rPr>
            <w:rStyle w:val="a5"/>
            <w:rFonts w:ascii="Times New Roman" w:eastAsia="新細明體" w:hAnsi="Times New Roman" w:hint="eastAsia"/>
          </w:rPr>
          <w:t>65</w:t>
        </w:r>
        <w:r w:rsidRPr="00B213D8">
          <w:rPr>
            <w:rStyle w:val="a5"/>
            <w:rFonts w:ascii="Times New Roman" w:eastAsia="新細明體" w:hAnsi="Times New Roman" w:hint="eastAsia"/>
          </w:rPr>
          <w:t>條</w:t>
        </w:r>
      </w:hyperlink>
      <w:r w:rsidRPr="006B7176">
        <w:rPr>
          <w:rFonts w:hint="eastAsia"/>
        </w:rPr>
        <w:t>（立法委員之任期）；</w:t>
      </w:r>
      <w:hyperlink r:id="rId2352" w:anchor="a79"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79</w:t>
        </w:r>
        <w:r w:rsidRPr="00E34FD1">
          <w:rPr>
            <w:rStyle w:val="a5"/>
            <w:rFonts w:ascii="Times New Roman" w:eastAsia="新細明體" w:hAnsi="Times New Roman" w:hint="eastAsia"/>
          </w:rPr>
          <w:t>條</w:t>
        </w:r>
      </w:hyperlink>
      <w:r w:rsidRPr="006B7176">
        <w:rPr>
          <w:rFonts w:hint="eastAsia"/>
        </w:rPr>
        <w:t>（司法院正副院長及大法官之提名與任命）；</w:t>
      </w:r>
      <w:hyperlink r:id="rId2353" w:anchor="a81"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81</w:t>
        </w:r>
        <w:r w:rsidRPr="00E34FD1">
          <w:rPr>
            <w:rStyle w:val="a5"/>
            <w:rFonts w:ascii="Times New Roman" w:eastAsia="新細明體" w:hAnsi="Times New Roman" w:hint="eastAsia"/>
          </w:rPr>
          <w:t>條</w:t>
        </w:r>
      </w:hyperlink>
      <w:r w:rsidRPr="006B7176">
        <w:rPr>
          <w:rFonts w:hint="eastAsia"/>
        </w:rPr>
        <w:t>（法官之保障）；</w:t>
      </w:r>
      <w:hyperlink r:id="rId2354" w:anchor="a83"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83</w:t>
        </w:r>
        <w:r w:rsidRPr="00E34FD1">
          <w:rPr>
            <w:rStyle w:val="a5"/>
            <w:rFonts w:ascii="Times New Roman" w:eastAsia="新細明體" w:hAnsi="Times New Roman" w:hint="eastAsia"/>
          </w:rPr>
          <w:t>條</w:t>
        </w:r>
      </w:hyperlink>
      <w:r w:rsidRPr="006B7176">
        <w:rPr>
          <w:rFonts w:hint="eastAsia"/>
        </w:rPr>
        <w:t>（考試院之地位及職權）；</w:t>
      </w:r>
      <w:hyperlink r:id="rId2355" w:anchor="a8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84</w:t>
        </w:r>
        <w:r w:rsidRPr="00E34FD1">
          <w:rPr>
            <w:rStyle w:val="a5"/>
            <w:rFonts w:ascii="Times New Roman" w:eastAsia="新細明體" w:hAnsi="Times New Roman" w:hint="eastAsia"/>
          </w:rPr>
          <w:t>條</w:t>
        </w:r>
      </w:hyperlink>
      <w:r w:rsidRPr="006B7176">
        <w:rPr>
          <w:rFonts w:hint="eastAsia"/>
        </w:rPr>
        <w:t>（考試院正、副院長及考試委員之提名與任命）；</w:t>
      </w:r>
      <w:r w:rsidR="00306E89" w:rsidRPr="006B7176">
        <w:t xml:space="preserve"> </w:t>
      </w:r>
      <w:hyperlink r:id="rId2356" w:anchor="a85" w:history="1">
        <w:r w:rsidR="00306E89" w:rsidRPr="006B7176">
          <w:rPr>
            <w:rStyle w:val="a5"/>
          </w:rPr>
          <w:t>第85條</w:t>
        </w:r>
      </w:hyperlink>
      <w:r w:rsidRPr="006B7176">
        <w:rPr>
          <w:rFonts w:hint="eastAsia"/>
        </w:rPr>
        <w:t>（公務員之考選）；</w:t>
      </w:r>
      <w:hyperlink r:id="rId2357" w:anchor="a90"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90</w:t>
        </w:r>
        <w:r w:rsidRPr="00E34FD1">
          <w:rPr>
            <w:rStyle w:val="a5"/>
            <w:rFonts w:ascii="Times New Roman" w:eastAsia="新細明體" w:hAnsi="Times New Roman" w:hint="eastAsia"/>
          </w:rPr>
          <w:t>條</w:t>
        </w:r>
      </w:hyperlink>
      <w:r w:rsidRPr="006B7176">
        <w:rPr>
          <w:rFonts w:hint="eastAsia"/>
        </w:rPr>
        <w:t>（監察院之地位及職權）；</w:t>
      </w:r>
      <w:hyperlink r:id="rId2358" w:anchor="a91"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91</w:t>
        </w:r>
        <w:r w:rsidRPr="00E34FD1">
          <w:rPr>
            <w:rStyle w:val="a5"/>
            <w:rFonts w:ascii="Times New Roman" w:eastAsia="新細明體" w:hAnsi="Times New Roman" w:hint="eastAsia"/>
          </w:rPr>
          <w:t>條</w:t>
        </w:r>
      </w:hyperlink>
      <w:r w:rsidRPr="006B7176">
        <w:rPr>
          <w:rFonts w:hint="eastAsia"/>
        </w:rPr>
        <w:t>（監察委員之選舉）；</w:t>
      </w:r>
      <w:hyperlink r:id="rId2359" w:anchor="a92"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92</w:t>
        </w:r>
        <w:r w:rsidRPr="00E34FD1">
          <w:rPr>
            <w:rStyle w:val="a5"/>
            <w:rFonts w:ascii="Times New Roman" w:eastAsia="新細明體" w:hAnsi="Times New Roman" w:hint="eastAsia"/>
          </w:rPr>
          <w:t>條</w:t>
        </w:r>
      </w:hyperlink>
      <w:r w:rsidRPr="006B7176">
        <w:rPr>
          <w:rFonts w:hint="eastAsia"/>
        </w:rPr>
        <w:t>（監察院正、副院長之選舉）；</w:t>
      </w:r>
      <w:hyperlink r:id="rId2360" w:anchor="a93"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93</w:t>
        </w:r>
        <w:r w:rsidRPr="00E34FD1">
          <w:rPr>
            <w:rStyle w:val="a5"/>
            <w:rFonts w:ascii="Times New Roman" w:eastAsia="新細明體" w:hAnsi="Times New Roman" w:hint="eastAsia"/>
          </w:rPr>
          <w:t>條</w:t>
        </w:r>
      </w:hyperlink>
      <w:r w:rsidRPr="006B7176">
        <w:rPr>
          <w:rFonts w:hint="eastAsia"/>
        </w:rPr>
        <w:t>（監察委員之任期）；</w:t>
      </w:r>
      <w:hyperlink r:id="rId2361" w:anchor="a9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94</w:t>
        </w:r>
        <w:r w:rsidRPr="00E34FD1">
          <w:rPr>
            <w:rStyle w:val="a5"/>
            <w:rFonts w:ascii="Times New Roman" w:eastAsia="新細明體" w:hAnsi="Times New Roman" w:hint="eastAsia"/>
          </w:rPr>
          <w:t>條</w:t>
        </w:r>
      </w:hyperlink>
      <w:r w:rsidRPr="006B7176">
        <w:rPr>
          <w:rFonts w:hint="eastAsia"/>
        </w:rPr>
        <w:t>（監察院同意權之行使）；</w:t>
      </w:r>
      <w:hyperlink r:id="rId2362" w:anchor="a98" w:history="1">
        <w:r w:rsidRPr="004A00A5">
          <w:rPr>
            <w:rStyle w:val="a5"/>
            <w:rFonts w:ascii="Times New Roman" w:eastAsia="新細明體" w:hAnsi="Times New Roman" w:hint="eastAsia"/>
          </w:rPr>
          <w:t>第</w:t>
        </w:r>
        <w:r w:rsidRPr="004A00A5">
          <w:rPr>
            <w:rStyle w:val="a5"/>
            <w:rFonts w:ascii="Times New Roman" w:eastAsia="新細明體" w:hAnsi="Times New Roman" w:hint="eastAsia"/>
          </w:rPr>
          <w:t>98</w:t>
        </w:r>
        <w:r w:rsidRPr="004A00A5">
          <w:rPr>
            <w:rStyle w:val="a5"/>
            <w:rFonts w:ascii="Times New Roman" w:eastAsia="新細明體" w:hAnsi="Times New Roman" w:hint="eastAsia"/>
          </w:rPr>
          <w:t>條</w:t>
        </w:r>
      </w:hyperlink>
      <w:r w:rsidRPr="006B7176">
        <w:rPr>
          <w:rFonts w:hint="eastAsia"/>
        </w:rPr>
        <w:t>（監察院彈劾案之提出、審查及決定門檻標準）；</w:t>
      </w:r>
      <w:hyperlink r:id="rId2363" w:anchor="a100" w:history="1">
        <w:r w:rsidRPr="009A2820">
          <w:rPr>
            <w:rStyle w:val="a5"/>
            <w:rFonts w:ascii="Times New Roman" w:eastAsia="新細明體" w:hAnsi="Times New Roman" w:hint="eastAsia"/>
          </w:rPr>
          <w:t>第</w:t>
        </w:r>
        <w:r w:rsidRPr="009A2820">
          <w:rPr>
            <w:rStyle w:val="a5"/>
            <w:rFonts w:ascii="Times New Roman" w:eastAsia="新細明體" w:hAnsi="Times New Roman" w:hint="eastAsia"/>
          </w:rPr>
          <w:t>100</w:t>
        </w:r>
        <w:r w:rsidRPr="009A2820">
          <w:rPr>
            <w:rStyle w:val="a5"/>
            <w:rFonts w:ascii="Times New Roman" w:eastAsia="新細明體" w:hAnsi="Times New Roman" w:hint="eastAsia"/>
          </w:rPr>
          <w:t>條</w:t>
        </w:r>
      </w:hyperlink>
      <w:r w:rsidRPr="006B7176">
        <w:rPr>
          <w:rFonts w:hint="eastAsia"/>
        </w:rPr>
        <w:t>（監察院對於總統及副總統之彈劾）；</w:t>
      </w:r>
      <w:hyperlink r:id="rId2364" w:anchor="a101"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101</w:t>
        </w:r>
        <w:r w:rsidRPr="00E34FD1">
          <w:rPr>
            <w:rStyle w:val="a5"/>
            <w:rFonts w:ascii="Times New Roman" w:eastAsia="新細明體" w:hAnsi="Times New Roman" w:hint="eastAsia"/>
          </w:rPr>
          <w:t>條</w:t>
        </w:r>
      </w:hyperlink>
      <w:r w:rsidRPr="006B7176">
        <w:rPr>
          <w:rFonts w:hint="eastAsia"/>
        </w:rPr>
        <w:t>（監察委員之言論免責權）；</w:t>
      </w:r>
      <w:hyperlink r:id="rId2365" w:anchor="a102" w:history="1">
        <w:r w:rsidRPr="00B213D8">
          <w:rPr>
            <w:rStyle w:val="a5"/>
            <w:rFonts w:ascii="Times New Roman" w:eastAsia="新細明體" w:hAnsi="Times New Roman" w:hint="eastAsia"/>
          </w:rPr>
          <w:t>第</w:t>
        </w:r>
        <w:r w:rsidRPr="00B213D8">
          <w:rPr>
            <w:rStyle w:val="a5"/>
            <w:rFonts w:ascii="Times New Roman" w:eastAsia="新細明體" w:hAnsi="Times New Roman" w:hint="eastAsia"/>
          </w:rPr>
          <w:t>102</w:t>
        </w:r>
        <w:r w:rsidRPr="00B213D8">
          <w:rPr>
            <w:rStyle w:val="a5"/>
            <w:rFonts w:ascii="Times New Roman" w:eastAsia="新細明體" w:hAnsi="Times New Roman" w:hint="eastAsia"/>
          </w:rPr>
          <w:t>條</w:t>
        </w:r>
      </w:hyperlink>
      <w:r w:rsidRPr="006B7176">
        <w:rPr>
          <w:rFonts w:hint="eastAsia"/>
        </w:rPr>
        <w:t>（監察委員之不受逮捕特權）；第</w:t>
      </w:r>
      <w:r w:rsidRPr="006B7176">
        <w:rPr>
          <w:rFonts w:hint="eastAsia"/>
        </w:rPr>
        <w:t>108</w:t>
      </w:r>
      <w:r w:rsidRPr="006B7176">
        <w:rPr>
          <w:rFonts w:hint="eastAsia"/>
        </w:rPr>
        <w:t>條（中央立法事項）；</w:t>
      </w:r>
      <w:hyperlink r:id="rId2366" w:anchor="a109"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109</w:t>
        </w:r>
        <w:r w:rsidRPr="00E34FD1">
          <w:rPr>
            <w:rStyle w:val="a5"/>
            <w:rFonts w:ascii="Times New Roman" w:eastAsia="新細明體" w:hAnsi="Times New Roman" w:hint="eastAsia"/>
          </w:rPr>
          <w:t>條</w:t>
        </w:r>
      </w:hyperlink>
      <w:r w:rsidRPr="006B7176">
        <w:rPr>
          <w:rFonts w:hint="eastAsia"/>
        </w:rPr>
        <w:t>（省立法事項）；</w:t>
      </w:r>
      <w:hyperlink r:id="rId2367" w:anchor="a112"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112</w:t>
        </w:r>
        <w:r w:rsidRPr="00E34FD1">
          <w:rPr>
            <w:rStyle w:val="a5"/>
            <w:rFonts w:ascii="Times New Roman" w:eastAsia="新細明體" w:hAnsi="Times New Roman" w:hint="eastAsia"/>
          </w:rPr>
          <w:t>條</w:t>
        </w:r>
      </w:hyperlink>
      <w:r w:rsidRPr="006B7176">
        <w:rPr>
          <w:rFonts w:hint="eastAsia"/>
        </w:rPr>
        <w:t>（省民代表大會之組織與權限）；</w:t>
      </w:r>
      <w:hyperlink r:id="rId2368" w:anchor="a113" w:history="1">
        <w:r w:rsidR="00366B0C" w:rsidRPr="00366B0C">
          <w:rPr>
            <w:rStyle w:val="a5"/>
          </w:rPr>
          <w:t>第113條</w:t>
        </w:r>
      </w:hyperlink>
      <w:r w:rsidRPr="006B7176">
        <w:rPr>
          <w:rFonts w:hint="eastAsia"/>
        </w:rPr>
        <w:t>（省自治法與立法權）；</w:t>
      </w:r>
      <w:hyperlink r:id="rId2369" w:anchor="a11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114</w:t>
        </w:r>
        <w:r w:rsidRPr="00E34FD1">
          <w:rPr>
            <w:rStyle w:val="a5"/>
            <w:rFonts w:ascii="Times New Roman" w:eastAsia="新細明體" w:hAnsi="Times New Roman" w:hint="eastAsia"/>
          </w:rPr>
          <w:t>條</w:t>
        </w:r>
      </w:hyperlink>
      <w:r w:rsidRPr="006B7176">
        <w:rPr>
          <w:rFonts w:hint="eastAsia"/>
        </w:rPr>
        <w:t>（省自治法之司法、審查）；</w:t>
      </w:r>
      <w:hyperlink r:id="rId2370" w:anchor="a115"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115</w:t>
        </w:r>
        <w:r w:rsidRPr="00E34FD1">
          <w:rPr>
            <w:rStyle w:val="a5"/>
            <w:rFonts w:ascii="Times New Roman" w:eastAsia="新細明體" w:hAnsi="Times New Roman" w:hint="eastAsia"/>
          </w:rPr>
          <w:t>條</w:t>
        </w:r>
      </w:hyperlink>
      <w:r w:rsidRPr="006B7176">
        <w:rPr>
          <w:rFonts w:hint="eastAsia"/>
        </w:rPr>
        <w:t>（省自治法施行中發生重大障礙之解決）；</w:t>
      </w:r>
      <w:hyperlink r:id="rId2371" w:anchor="a122"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122</w:t>
        </w:r>
        <w:r w:rsidRPr="00E34FD1">
          <w:rPr>
            <w:rStyle w:val="a5"/>
            <w:rFonts w:ascii="Times New Roman" w:eastAsia="新細明體" w:hAnsi="Times New Roman" w:hint="eastAsia"/>
          </w:rPr>
          <w:t>條</w:t>
        </w:r>
      </w:hyperlink>
      <w:r w:rsidRPr="006B7176">
        <w:rPr>
          <w:rFonts w:hint="eastAsia"/>
        </w:rPr>
        <w:t>（縣民代表大會與縣自治法之制定）；</w:t>
      </w:r>
      <w:hyperlink r:id="rId2372" w:anchor="a135"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135</w:t>
        </w:r>
        <w:r w:rsidRPr="00E34FD1">
          <w:rPr>
            <w:rStyle w:val="a5"/>
            <w:rFonts w:ascii="Times New Roman" w:eastAsia="新細明體" w:hAnsi="Times New Roman" w:hint="eastAsia"/>
          </w:rPr>
          <w:t>條</w:t>
        </w:r>
      </w:hyperlink>
      <w:r w:rsidRPr="006B7176">
        <w:rPr>
          <w:rFonts w:hint="eastAsia"/>
        </w:rPr>
        <w:t>（中國大陸內地生活習慣特殊之國民代表之各額與選舉）；</w:t>
      </w:r>
      <w:hyperlink r:id="rId2373" w:anchor="a16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164</w:t>
        </w:r>
        <w:r w:rsidRPr="00E34FD1">
          <w:rPr>
            <w:rStyle w:val="a5"/>
            <w:rFonts w:ascii="Times New Roman" w:eastAsia="新細明體" w:hAnsi="Times New Roman" w:hint="eastAsia"/>
          </w:rPr>
          <w:t>條</w:t>
        </w:r>
      </w:hyperlink>
      <w:r w:rsidRPr="006B7176">
        <w:rPr>
          <w:rFonts w:hint="eastAsia"/>
        </w:rPr>
        <w:t>（教育、科學、文化經費之比例與專款基金之保障）；</w:t>
      </w:r>
      <w:hyperlink r:id="rId2374" w:anchor="a17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174</w:t>
        </w:r>
        <w:r w:rsidRPr="00E34FD1">
          <w:rPr>
            <w:rStyle w:val="a5"/>
            <w:rFonts w:ascii="Times New Roman" w:eastAsia="新細明體" w:hAnsi="Times New Roman" w:hint="eastAsia"/>
          </w:rPr>
          <w:t>條</w:t>
        </w:r>
      </w:hyperlink>
      <w:r w:rsidRPr="006B7176">
        <w:rPr>
          <w:rFonts w:hint="eastAsia"/>
        </w:rPr>
        <w:t>（修憲程序）；以上，共計約有</w:t>
      </w:r>
      <w:r w:rsidRPr="006B7176">
        <w:rPr>
          <w:rFonts w:hint="eastAsia"/>
        </w:rPr>
        <w:t>43</w:t>
      </w:r>
      <w:r w:rsidRPr="006B7176">
        <w:rPr>
          <w:rFonts w:hint="eastAsia"/>
        </w:rPr>
        <w:t>個條文與台灣之政治與社會之實際情況不相符合；不相符合之條文數量（計</w:t>
      </w:r>
      <w:r w:rsidRPr="006B7176">
        <w:rPr>
          <w:rFonts w:hint="eastAsia"/>
        </w:rPr>
        <w:t>43</w:t>
      </w:r>
      <w:r w:rsidRPr="006B7176">
        <w:rPr>
          <w:rFonts w:hint="eastAsia"/>
        </w:rPr>
        <w:t>條），約佔總體</w:t>
      </w:r>
      <w:r w:rsidRPr="006B7176">
        <w:rPr>
          <w:rFonts w:hint="eastAsia"/>
        </w:rPr>
        <w:t>175</w:t>
      </w:r>
      <w:r w:rsidRPr="006B7176">
        <w:rPr>
          <w:rFonts w:hint="eastAsia"/>
        </w:rPr>
        <w:t>條之</w:t>
      </w:r>
      <w:r w:rsidRPr="006B7176">
        <w:rPr>
          <w:rFonts w:hint="eastAsia"/>
        </w:rPr>
        <w:t>24.6</w:t>
      </w:r>
      <w:r w:rsidRPr="006B7176">
        <w:rPr>
          <w:rFonts w:hint="eastAsia"/>
        </w:rPr>
        <w:t>％（</w:t>
      </w:r>
      <w:r w:rsidRPr="006B7176">
        <w:rPr>
          <w:rFonts w:hint="eastAsia"/>
        </w:rPr>
        <w:t>43/175</w:t>
      </w:r>
      <w:r w:rsidRPr="006B7176">
        <w:rPr>
          <w:rFonts w:hint="eastAsia"/>
        </w:rPr>
        <w:t>≒</w:t>
      </w:r>
      <w:r w:rsidRPr="006B7176">
        <w:rPr>
          <w:rFonts w:hint="eastAsia"/>
        </w:rPr>
        <w:t>24.6</w:t>
      </w:r>
      <w:r w:rsidRPr="006B7176">
        <w:rPr>
          <w:rFonts w:hint="eastAsia"/>
        </w:rPr>
        <w:t>％），近約</w:t>
      </w:r>
      <w:r w:rsidRPr="006B7176">
        <w:rPr>
          <w:rFonts w:hint="eastAsia"/>
        </w:rPr>
        <w:t>25%</w:t>
      </w:r>
      <w:r w:rsidRPr="006B7176">
        <w:rPr>
          <w:rFonts w:hint="eastAsia"/>
        </w:rPr>
        <w:t>。亦即，在憲法本文之中，有近約四分之一之條文，被停止適用，比例頗高；</w:t>
      </w:r>
    </w:p>
    <w:p w14:paraId="1F397FC8" w14:textId="77777777" w:rsidR="001C3A2B" w:rsidRPr="006B7176" w:rsidRDefault="001C3A2B" w:rsidP="00D87D91">
      <w:r w:rsidRPr="006B7176">
        <w:rPr>
          <w:rFonts w:hint="eastAsia"/>
        </w:rPr>
        <w:t xml:space="preserve">　　</w:t>
      </w:r>
      <w:r w:rsidRPr="006B7176">
        <w:rPr>
          <w:rFonts w:hint="eastAsia"/>
        </w:rPr>
        <w:t>6.</w:t>
      </w:r>
      <w:r w:rsidRPr="006B7176">
        <w:rPr>
          <w:rFonts w:hint="eastAsia"/>
        </w:rPr>
        <w:t>目前透由憲法增修條文之立憲方式，不利於憲法學門之研究與發展；</w:t>
      </w:r>
    </w:p>
    <w:p w14:paraId="7BE7E7B5" w14:textId="77777777" w:rsidR="001C3A2B" w:rsidRPr="006B7176" w:rsidRDefault="001C3A2B" w:rsidP="00D87D91">
      <w:r w:rsidRPr="006B7176">
        <w:rPr>
          <w:rFonts w:hint="eastAsia"/>
        </w:rPr>
        <w:t xml:space="preserve">　　</w:t>
      </w:r>
      <w:r w:rsidRPr="006B7176">
        <w:rPr>
          <w:rFonts w:hint="eastAsia"/>
        </w:rPr>
        <w:t>7.</w:t>
      </w:r>
      <w:r w:rsidRPr="006B7176">
        <w:rPr>
          <w:rFonts w:hint="eastAsia"/>
        </w:rPr>
        <w:t>憲法增修條文之內涵，過於集中政治政體之立憲，較不重</w:t>
      </w:r>
      <w:r w:rsidR="003E240E">
        <w:rPr>
          <w:rFonts w:hint="eastAsia"/>
        </w:rPr>
        <w:t>視</w:t>
      </w:r>
      <w:r w:rsidRPr="006B7176">
        <w:rPr>
          <w:rFonts w:hint="eastAsia"/>
        </w:rPr>
        <w:t>「基本人權」之立憲，此為相當可惜之處；</w:t>
      </w:r>
    </w:p>
    <w:p w14:paraId="0AB0F29C" w14:textId="77777777" w:rsidR="001C3A2B" w:rsidRPr="006B7176" w:rsidRDefault="001C3A2B" w:rsidP="00D87D91">
      <w:r w:rsidRPr="006B7176">
        <w:rPr>
          <w:rFonts w:hint="eastAsia"/>
        </w:rPr>
        <w:t xml:space="preserve">　　</w:t>
      </w:r>
      <w:r w:rsidRPr="006B7176">
        <w:rPr>
          <w:rFonts w:hint="eastAsia"/>
        </w:rPr>
        <w:t>8.</w:t>
      </w:r>
      <w:r w:rsidRPr="006B7176">
        <w:rPr>
          <w:rFonts w:hint="eastAsia"/>
        </w:rPr>
        <w:t>憲法增修條文之內涵，將國家政治、行政、考試、監察、及司法之權力，過度集中於總統之身上；假若總統有嚴重地貪腐、治國能力、心理、人格或精神疾病方面之問題，將嚴重地動搖國本與國家政體；</w:t>
      </w:r>
    </w:p>
    <w:p w14:paraId="4157F4DB" w14:textId="77777777" w:rsidR="00953151" w:rsidRDefault="001C3A2B" w:rsidP="00D87D91">
      <w:r w:rsidRPr="006B7176">
        <w:rPr>
          <w:rFonts w:hint="eastAsia"/>
        </w:rPr>
        <w:t xml:space="preserve">　　</w:t>
      </w:r>
      <w:r w:rsidRPr="006B7176">
        <w:rPr>
          <w:rFonts w:hint="eastAsia"/>
        </w:rPr>
        <w:t>9.</w:t>
      </w:r>
      <w:r w:rsidRPr="006B7176">
        <w:rPr>
          <w:rFonts w:hint="eastAsia"/>
        </w:rPr>
        <w:t>使用「</w:t>
      </w:r>
      <w:hyperlink r:id="rId2375" w:history="1">
        <w:r w:rsidRPr="00E34FD1">
          <w:rPr>
            <w:rStyle w:val="a5"/>
            <w:rFonts w:ascii="Times New Roman" w:eastAsia="新細明體" w:hAnsi="Times New Roman" w:hint="eastAsia"/>
          </w:rPr>
          <w:t>中華民國憲法增修條文</w:t>
        </w:r>
      </w:hyperlink>
      <w:r w:rsidRPr="006B7176">
        <w:rPr>
          <w:rFonts w:hint="eastAsia"/>
        </w:rPr>
        <w:t>」之標題，易令各界產生錯覺，質疑其內涵是否亦為憲法之本質。</w:t>
      </w:r>
    </w:p>
    <w:p w14:paraId="66595983" w14:textId="77777777" w:rsidR="00E108EB" w:rsidRPr="006B7176" w:rsidRDefault="00E108EB" w:rsidP="00D87D91"/>
    <w:p w14:paraId="0CCBDC45" w14:textId="412183CD" w:rsidR="00203F72" w:rsidRPr="006B7176" w:rsidRDefault="00B03E84" w:rsidP="00D87D91">
      <w:r w:rsidRPr="006B7176">
        <w:t>【</w:t>
      </w:r>
      <w:r w:rsidRPr="006B7176">
        <w:t>table</w:t>
      </w:r>
      <w:r w:rsidR="005E23E3" w:rsidRPr="006B7176">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111</w:t>
      </w:r>
      <w:r w:rsidR="00076467">
        <w:rPr>
          <w:noProof/>
        </w:rPr>
        <w:fldChar w:fldCharType="end"/>
      </w:r>
      <w:r w:rsidR="00203F72" w:rsidRPr="006B7176">
        <w:rPr>
          <w:rFonts w:hint="eastAsia"/>
        </w:rPr>
        <w:t>台灣增修條文影響憲法本文章節和條文之數目與比例情形表</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2155"/>
        <w:gridCol w:w="1701"/>
        <w:gridCol w:w="1389"/>
        <w:gridCol w:w="1275"/>
      </w:tblGrid>
      <w:tr w:rsidR="00203F72" w:rsidRPr="00A53581" w14:paraId="2AFDFE0F" w14:textId="77777777" w:rsidTr="006B7176">
        <w:trPr>
          <w:tblHeader/>
        </w:trPr>
        <w:tc>
          <w:tcPr>
            <w:tcW w:w="3431" w:type="dxa"/>
            <w:gridSpan w:val="2"/>
            <w:tcBorders>
              <w:top w:val="single" w:sz="4" w:space="0" w:color="auto"/>
              <w:left w:val="single" w:sz="4" w:space="0" w:color="auto"/>
              <w:bottom w:val="single" w:sz="4" w:space="0" w:color="auto"/>
              <w:right w:val="single" w:sz="4" w:space="0" w:color="auto"/>
            </w:tcBorders>
            <w:shd w:val="clear" w:color="auto" w:fill="FAF0FA"/>
            <w:vAlign w:val="center"/>
            <w:hideMark/>
          </w:tcPr>
          <w:p w14:paraId="03CE0934" w14:textId="77777777" w:rsidR="00203F72" w:rsidRPr="00A53581" w:rsidRDefault="00203F72" w:rsidP="00D87D91">
            <w:r w:rsidRPr="00A53581">
              <w:rPr>
                <w:rFonts w:hint="eastAsia"/>
              </w:rPr>
              <w:t>憲法章名</w:t>
            </w:r>
          </w:p>
        </w:tc>
        <w:tc>
          <w:tcPr>
            <w:tcW w:w="1701"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1243C3F8" w14:textId="77777777" w:rsidR="00203F72" w:rsidRPr="00A53581" w:rsidRDefault="00203F72" w:rsidP="00D87D91">
            <w:r w:rsidRPr="00A53581">
              <w:rPr>
                <w:rFonts w:hint="eastAsia"/>
              </w:rPr>
              <w:t>憲法條文數目</w:t>
            </w:r>
          </w:p>
        </w:tc>
        <w:tc>
          <w:tcPr>
            <w:tcW w:w="1389"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4CC1BDC9" w14:textId="77777777" w:rsidR="00203F72" w:rsidRPr="00A53581" w:rsidRDefault="00203F72" w:rsidP="00D87D91">
            <w:r w:rsidRPr="00A53581">
              <w:rPr>
                <w:rFonts w:hint="eastAsia"/>
              </w:rPr>
              <w:t>被修正條文數</w:t>
            </w:r>
          </w:p>
        </w:tc>
        <w:tc>
          <w:tcPr>
            <w:tcW w:w="1275" w:type="dxa"/>
            <w:tcBorders>
              <w:top w:val="single" w:sz="4" w:space="0" w:color="auto"/>
              <w:left w:val="single" w:sz="4" w:space="0" w:color="auto"/>
              <w:bottom w:val="single" w:sz="4" w:space="0" w:color="auto"/>
              <w:right w:val="single" w:sz="4" w:space="0" w:color="auto"/>
            </w:tcBorders>
            <w:shd w:val="clear" w:color="auto" w:fill="FAF0FA"/>
            <w:vAlign w:val="center"/>
            <w:hideMark/>
          </w:tcPr>
          <w:p w14:paraId="3F9AA6CE" w14:textId="77777777" w:rsidR="00203F72" w:rsidRPr="00A53581" w:rsidRDefault="00203F72" w:rsidP="00D87D91">
            <w:r w:rsidRPr="00A53581">
              <w:rPr>
                <w:rFonts w:hint="eastAsia"/>
              </w:rPr>
              <w:t>修正比例</w:t>
            </w:r>
          </w:p>
        </w:tc>
      </w:tr>
      <w:tr w:rsidR="00203F72" w:rsidRPr="00A53581" w14:paraId="427BF7AD"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85B64" w14:textId="77777777" w:rsidR="00203F72" w:rsidRPr="00A53581" w:rsidRDefault="00203F72" w:rsidP="00D87D91">
            <w:r w:rsidRPr="00A53581">
              <w:rPr>
                <w:rFonts w:hint="eastAsia"/>
              </w:rPr>
              <w:t>第一章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6F247" w14:textId="77777777" w:rsidR="00203F72" w:rsidRPr="00A53581" w:rsidRDefault="00203F72" w:rsidP="00D87D91">
            <w:r w:rsidRPr="00A53581">
              <w:rPr>
                <w:rFonts w:hint="eastAsia"/>
              </w:rPr>
              <w:t>總綱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97DD0" w14:textId="77777777" w:rsidR="00203F72" w:rsidRPr="00A53581" w:rsidRDefault="00203F72" w:rsidP="00E108EB">
            <w:pPr>
              <w:jc w:val="center"/>
            </w:pPr>
            <w:r w:rsidRPr="00A53581">
              <w:t>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C5D51" w14:textId="77777777" w:rsidR="00203F72" w:rsidRPr="00A53581" w:rsidRDefault="00203F72" w:rsidP="00E108EB">
            <w:pPr>
              <w:jc w:val="center"/>
            </w:pPr>
            <w:r w:rsidRPr="00A53581">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4D494" w14:textId="77777777" w:rsidR="00203F72" w:rsidRPr="00A53581" w:rsidRDefault="00203F72" w:rsidP="00E108EB">
            <w:pPr>
              <w:jc w:val="center"/>
            </w:pPr>
            <w:r w:rsidRPr="00A53581">
              <w:t>16.7%</w:t>
            </w:r>
          </w:p>
        </w:tc>
      </w:tr>
      <w:tr w:rsidR="00203F72" w:rsidRPr="00A53581" w14:paraId="1B58512C"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96D62" w14:textId="77777777" w:rsidR="00203F72" w:rsidRPr="00A53581" w:rsidRDefault="00203F72" w:rsidP="00D87D91">
            <w:r w:rsidRPr="00A53581">
              <w:rPr>
                <w:rFonts w:hint="eastAsia"/>
              </w:rPr>
              <w:t>第二章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611A8" w14:textId="77777777" w:rsidR="00203F72" w:rsidRPr="00A53581" w:rsidRDefault="00203F72" w:rsidP="00D87D91">
            <w:r w:rsidRPr="00A53581">
              <w:rPr>
                <w:rFonts w:hint="eastAsia"/>
              </w:rPr>
              <w:t>人民權利義務</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037B0" w14:textId="77777777" w:rsidR="00203F72" w:rsidRPr="00A53581" w:rsidRDefault="00203F72" w:rsidP="00E108EB">
            <w:pPr>
              <w:jc w:val="center"/>
            </w:pPr>
            <w:r w:rsidRPr="00A53581">
              <w:t>18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55D17" w14:textId="77777777" w:rsidR="00203F72" w:rsidRPr="00A53581" w:rsidRDefault="00203F72" w:rsidP="00E108EB">
            <w:pPr>
              <w:jc w:val="center"/>
            </w:pPr>
            <w:r w:rsidRPr="00A53581">
              <w:t>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10277" w14:textId="77777777" w:rsidR="00203F72" w:rsidRPr="00A53581" w:rsidRDefault="00203F72" w:rsidP="00E108EB">
            <w:pPr>
              <w:jc w:val="center"/>
            </w:pPr>
            <w:r w:rsidRPr="00A53581">
              <w:t>0</w:t>
            </w:r>
          </w:p>
        </w:tc>
      </w:tr>
      <w:tr w:rsidR="00203F72" w:rsidRPr="00A53581" w14:paraId="3C5279BB"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EB278" w14:textId="77777777" w:rsidR="00203F72" w:rsidRPr="00A53581" w:rsidRDefault="00203F72" w:rsidP="00D87D91">
            <w:r w:rsidRPr="00A53581">
              <w:rPr>
                <w:rFonts w:hint="eastAsia"/>
              </w:rPr>
              <w:t>第三章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162E2" w14:textId="77777777" w:rsidR="00203F72" w:rsidRPr="00A53581" w:rsidRDefault="00203F72" w:rsidP="00D87D91">
            <w:r w:rsidRPr="00A53581">
              <w:rPr>
                <w:rFonts w:hint="eastAsia"/>
              </w:rPr>
              <w:t>國名大會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B6845" w14:textId="77777777" w:rsidR="00203F72" w:rsidRPr="00A53581" w:rsidRDefault="00203F72" w:rsidP="00E108EB">
            <w:pPr>
              <w:jc w:val="center"/>
            </w:pPr>
            <w:r w:rsidRPr="00A53581">
              <w:t>10</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BF5B0" w14:textId="77777777" w:rsidR="00203F72" w:rsidRPr="00A53581" w:rsidRDefault="00203F72" w:rsidP="00E108EB">
            <w:pPr>
              <w:jc w:val="center"/>
            </w:pPr>
            <w:r w:rsidRPr="00A53581">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D1383" w14:textId="77777777" w:rsidR="00203F72" w:rsidRPr="00A53581" w:rsidRDefault="00203F72" w:rsidP="00E108EB">
            <w:pPr>
              <w:jc w:val="center"/>
            </w:pPr>
            <w:r w:rsidRPr="00A53581">
              <w:t>50%</w:t>
            </w:r>
          </w:p>
        </w:tc>
      </w:tr>
      <w:tr w:rsidR="00203F72" w:rsidRPr="00A53581" w14:paraId="51337506"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4DF6A" w14:textId="77777777" w:rsidR="00203F72" w:rsidRPr="00A53581" w:rsidRDefault="00203F72" w:rsidP="00D87D91">
            <w:r w:rsidRPr="00A53581">
              <w:rPr>
                <w:rFonts w:hint="eastAsia"/>
              </w:rPr>
              <w:t>第四章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BAF3E" w14:textId="77777777" w:rsidR="00203F72" w:rsidRPr="00A53581" w:rsidRDefault="00203F72" w:rsidP="00D87D91">
            <w:r w:rsidRPr="00A53581">
              <w:rPr>
                <w:rFonts w:hint="eastAsia"/>
              </w:rPr>
              <w:t>總統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E86CF" w14:textId="77777777" w:rsidR="00203F72" w:rsidRPr="00A53581" w:rsidRDefault="00203F72" w:rsidP="00E108EB">
            <w:pPr>
              <w:jc w:val="center"/>
            </w:pPr>
            <w:r w:rsidRPr="00A53581">
              <w:t>18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569042" w14:textId="77777777" w:rsidR="00203F72" w:rsidRPr="00A53581" w:rsidRDefault="00203F72" w:rsidP="00E108EB">
            <w:pPr>
              <w:jc w:val="center"/>
            </w:pPr>
            <w:r w:rsidRPr="00A53581">
              <w:t>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E924BD" w14:textId="77777777" w:rsidR="00203F72" w:rsidRPr="00A53581" w:rsidRDefault="00203F72" w:rsidP="00E108EB">
            <w:pPr>
              <w:jc w:val="center"/>
            </w:pPr>
            <w:r w:rsidRPr="00A53581">
              <w:t>22.2%</w:t>
            </w:r>
          </w:p>
        </w:tc>
      </w:tr>
      <w:tr w:rsidR="00203F72" w:rsidRPr="00A53581" w14:paraId="488E8105"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1D4584" w14:textId="77777777" w:rsidR="00203F72" w:rsidRPr="00A53581" w:rsidRDefault="00203F72" w:rsidP="00D87D91">
            <w:r w:rsidRPr="00A53581">
              <w:rPr>
                <w:rFonts w:hint="eastAsia"/>
              </w:rPr>
              <w:t>第五章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0A6BC" w14:textId="77777777" w:rsidR="00203F72" w:rsidRPr="00A53581" w:rsidRDefault="00203F72" w:rsidP="00D87D91">
            <w:r w:rsidRPr="00A53581">
              <w:rPr>
                <w:rFonts w:hint="eastAsia"/>
              </w:rPr>
              <w:t>行政</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91C3E" w14:textId="77777777" w:rsidR="00203F72" w:rsidRPr="00A53581" w:rsidRDefault="00203F72" w:rsidP="00E108EB">
            <w:pPr>
              <w:jc w:val="center"/>
            </w:pPr>
            <w:r w:rsidRPr="00A53581">
              <w:t>9</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D34DE" w14:textId="77777777" w:rsidR="00203F72" w:rsidRPr="00A53581" w:rsidRDefault="00203F72" w:rsidP="00E108EB">
            <w:pPr>
              <w:jc w:val="center"/>
            </w:pPr>
            <w:r w:rsidRPr="00A53581">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1E0EB" w14:textId="77777777" w:rsidR="00203F72" w:rsidRPr="00A53581" w:rsidRDefault="00203F72" w:rsidP="00E108EB">
            <w:pPr>
              <w:jc w:val="center"/>
            </w:pPr>
            <w:r w:rsidRPr="00A53581">
              <w:t>22.2%</w:t>
            </w:r>
          </w:p>
        </w:tc>
      </w:tr>
      <w:tr w:rsidR="00203F72" w:rsidRPr="00A53581" w14:paraId="0DFE5F56"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88678" w14:textId="77777777" w:rsidR="00203F72" w:rsidRPr="00A53581" w:rsidRDefault="00203F72" w:rsidP="00D87D91">
            <w:r w:rsidRPr="00A53581">
              <w:rPr>
                <w:rFonts w:hint="eastAsia"/>
              </w:rPr>
              <w:t>第六章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B616A" w14:textId="77777777" w:rsidR="00203F72" w:rsidRPr="00A53581" w:rsidRDefault="00203F72" w:rsidP="00D87D91">
            <w:r w:rsidRPr="00A53581">
              <w:rPr>
                <w:rFonts w:hint="eastAsia"/>
              </w:rPr>
              <w:t>立法</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505B7" w14:textId="77777777" w:rsidR="00203F72" w:rsidRPr="00A53581" w:rsidRDefault="00203F72" w:rsidP="00E108EB">
            <w:pPr>
              <w:jc w:val="center"/>
            </w:pPr>
            <w:r w:rsidRPr="00A53581">
              <w:t>15</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8E7AA" w14:textId="77777777" w:rsidR="00203F72" w:rsidRPr="00A53581" w:rsidRDefault="00203F72" w:rsidP="00E108EB">
            <w:pPr>
              <w:jc w:val="center"/>
            </w:pPr>
            <w:r w:rsidRPr="00A53581">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C48B6" w14:textId="77777777" w:rsidR="00203F72" w:rsidRPr="00A53581" w:rsidRDefault="00203F72" w:rsidP="00E108EB">
            <w:pPr>
              <w:jc w:val="center"/>
            </w:pPr>
            <w:r w:rsidRPr="00A53581">
              <w:t>13.3%</w:t>
            </w:r>
          </w:p>
        </w:tc>
      </w:tr>
      <w:tr w:rsidR="00203F72" w:rsidRPr="00A53581" w14:paraId="00F7B392"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C2B66" w14:textId="77777777" w:rsidR="00203F72" w:rsidRPr="00A53581" w:rsidRDefault="00203F72" w:rsidP="00D87D91">
            <w:r w:rsidRPr="00A53581">
              <w:rPr>
                <w:rFonts w:hint="eastAsia"/>
              </w:rPr>
              <w:t>第七章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9DAFE" w14:textId="77777777" w:rsidR="00203F72" w:rsidRPr="00A53581" w:rsidRDefault="00203F72" w:rsidP="00D87D91">
            <w:r w:rsidRPr="00A53581">
              <w:rPr>
                <w:rFonts w:hint="eastAsia"/>
              </w:rPr>
              <w:t>司法</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334B1" w14:textId="77777777" w:rsidR="00203F72" w:rsidRPr="00A53581" w:rsidRDefault="00203F72" w:rsidP="00E108EB">
            <w:pPr>
              <w:jc w:val="center"/>
            </w:pPr>
            <w:r w:rsidRPr="00A53581">
              <w:t>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92BDC" w14:textId="77777777" w:rsidR="00203F72" w:rsidRPr="00A53581" w:rsidRDefault="00203F72" w:rsidP="00E108EB">
            <w:pPr>
              <w:jc w:val="center"/>
            </w:pPr>
            <w:r w:rsidRPr="00A53581">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494A7" w14:textId="77777777" w:rsidR="00203F72" w:rsidRPr="00A53581" w:rsidRDefault="00203F72" w:rsidP="00E108EB">
            <w:pPr>
              <w:jc w:val="center"/>
            </w:pPr>
            <w:r w:rsidRPr="00A53581">
              <w:t>33.3%</w:t>
            </w:r>
          </w:p>
        </w:tc>
      </w:tr>
      <w:tr w:rsidR="00203F72" w:rsidRPr="00A53581" w14:paraId="251C8703"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0A6E8" w14:textId="77777777" w:rsidR="00203F72" w:rsidRPr="00A53581" w:rsidRDefault="00203F72" w:rsidP="00D87D91">
            <w:r w:rsidRPr="00A53581">
              <w:rPr>
                <w:rFonts w:hint="eastAsia"/>
              </w:rPr>
              <w:t>第八章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FD4F8" w14:textId="77777777" w:rsidR="00203F72" w:rsidRPr="00A53581" w:rsidRDefault="00203F72" w:rsidP="00D87D91">
            <w:r w:rsidRPr="00A53581">
              <w:rPr>
                <w:rFonts w:hint="eastAsia"/>
              </w:rPr>
              <w:t>考試</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A065D" w14:textId="77777777" w:rsidR="00203F72" w:rsidRPr="00A53581" w:rsidRDefault="00203F72" w:rsidP="00E108EB">
            <w:pPr>
              <w:jc w:val="center"/>
            </w:pPr>
            <w:r w:rsidRPr="00A53581">
              <w:t>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2D036" w14:textId="77777777" w:rsidR="00203F72" w:rsidRPr="00A53581" w:rsidRDefault="00203F72" w:rsidP="00E108EB">
            <w:pPr>
              <w:jc w:val="center"/>
            </w:pPr>
            <w:r w:rsidRPr="00A53581">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A8AD3" w14:textId="77777777" w:rsidR="00203F72" w:rsidRPr="00A53581" w:rsidRDefault="00203F72" w:rsidP="00E108EB">
            <w:pPr>
              <w:jc w:val="center"/>
            </w:pPr>
            <w:r w:rsidRPr="00A53581">
              <w:t>42.8%</w:t>
            </w:r>
          </w:p>
        </w:tc>
      </w:tr>
      <w:tr w:rsidR="00203F72" w:rsidRPr="00A53581" w14:paraId="33875664"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44712" w14:textId="77777777" w:rsidR="00203F72" w:rsidRPr="00A53581" w:rsidRDefault="00203F72" w:rsidP="00D87D91">
            <w:r w:rsidRPr="00A53581">
              <w:rPr>
                <w:rFonts w:hint="eastAsia"/>
              </w:rPr>
              <w:t>第九章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7543B" w14:textId="77777777" w:rsidR="00203F72" w:rsidRPr="00A53581" w:rsidRDefault="00203F72" w:rsidP="00D87D91">
            <w:r w:rsidRPr="00A53581">
              <w:rPr>
                <w:rFonts w:hint="eastAsia"/>
              </w:rPr>
              <w:t>監察</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73B57" w14:textId="77777777" w:rsidR="00203F72" w:rsidRPr="00A53581" w:rsidRDefault="00203F72" w:rsidP="00E108EB">
            <w:pPr>
              <w:jc w:val="center"/>
            </w:pPr>
            <w:r w:rsidRPr="00A53581">
              <w:t>17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C65A1" w14:textId="77777777" w:rsidR="00203F72" w:rsidRPr="00A53581" w:rsidRDefault="00203F72" w:rsidP="00E108EB">
            <w:pPr>
              <w:jc w:val="center"/>
            </w:pPr>
            <w:r w:rsidRPr="00A53581">
              <w:t>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38FFB" w14:textId="77777777" w:rsidR="00203F72" w:rsidRPr="00A53581" w:rsidRDefault="00203F72" w:rsidP="00E108EB">
            <w:pPr>
              <w:jc w:val="center"/>
            </w:pPr>
            <w:r w:rsidRPr="00A53581">
              <w:t>52.9%</w:t>
            </w:r>
          </w:p>
        </w:tc>
      </w:tr>
      <w:tr w:rsidR="00203F72" w:rsidRPr="00A53581" w14:paraId="20157A3D"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A1BBC" w14:textId="77777777" w:rsidR="00203F72" w:rsidRPr="00A53581" w:rsidRDefault="00203F72" w:rsidP="00D87D91">
            <w:r w:rsidRPr="00A53581">
              <w:rPr>
                <w:rFonts w:hint="eastAsia"/>
              </w:rPr>
              <w:t>第十章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6DA3C" w14:textId="77777777" w:rsidR="00203F72" w:rsidRPr="00A53581" w:rsidRDefault="00203F72" w:rsidP="00D87D91">
            <w:r w:rsidRPr="00A53581">
              <w:rPr>
                <w:rFonts w:hint="eastAsia"/>
              </w:rPr>
              <w:t>中央與地方之權限</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EE897" w14:textId="77777777" w:rsidR="00203F72" w:rsidRPr="00A53581" w:rsidRDefault="00203F72" w:rsidP="00E108EB">
            <w:pPr>
              <w:jc w:val="center"/>
            </w:pPr>
            <w:r w:rsidRPr="00A53581">
              <w:t>5</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DDCEC" w14:textId="77777777" w:rsidR="00203F72" w:rsidRPr="00A53581" w:rsidRDefault="00203F72" w:rsidP="00E108EB">
            <w:pPr>
              <w:jc w:val="center"/>
            </w:pPr>
            <w:r w:rsidRPr="00A53581">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10B27" w14:textId="77777777" w:rsidR="00203F72" w:rsidRPr="00A53581" w:rsidRDefault="00203F72" w:rsidP="00E108EB">
            <w:pPr>
              <w:jc w:val="center"/>
            </w:pPr>
            <w:r w:rsidRPr="00A53581">
              <w:t>40%</w:t>
            </w:r>
          </w:p>
        </w:tc>
      </w:tr>
      <w:tr w:rsidR="00203F72" w:rsidRPr="00A53581" w14:paraId="42A38BC6"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F29EF" w14:textId="77777777" w:rsidR="00203F72" w:rsidRPr="00A53581" w:rsidRDefault="00203F72" w:rsidP="00D87D91">
            <w:r w:rsidRPr="00A53581">
              <w:rPr>
                <w:rFonts w:hint="eastAsia"/>
              </w:rPr>
              <w:t>第十一章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8AEDF" w14:textId="77777777" w:rsidR="00203F72" w:rsidRPr="00A53581" w:rsidRDefault="00203F72" w:rsidP="00D87D91">
            <w:r w:rsidRPr="00A53581">
              <w:rPr>
                <w:rFonts w:hint="eastAsia"/>
              </w:rPr>
              <w:t>地方制度</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97899" w14:textId="77777777" w:rsidR="00203F72" w:rsidRPr="00A53581" w:rsidRDefault="00203F72" w:rsidP="00E108EB">
            <w:pPr>
              <w:jc w:val="center"/>
            </w:pPr>
            <w:r w:rsidRPr="00A53581">
              <w:t>17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492C0" w14:textId="77777777" w:rsidR="00203F72" w:rsidRPr="00A53581" w:rsidRDefault="00203F72" w:rsidP="00E108EB">
            <w:pPr>
              <w:jc w:val="center"/>
            </w:pPr>
            <w:r w:rsidRPr="00A53581">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E8B52" w14:textId="77777777" w:rsidR="00203F72" w:rsidRPr="00A53581" w:rsidRDefault="00203F72" w:rsidP="00E108EB">
            <w:pPr>
              <w:jc w:val="center"/>
            </w:pPr>
            <w:r w:rsidRPr="00A53581">
              <w:t>29.4%</w:t>
            </w:r>
          </w:p>
        </w:tc>
      </w:tr>
      <w:tr w:rsidR="00203F72" w:rsidRPr="00A53581" w14:paraId="47DCCADC"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6139B" w14:textId="77777777" w:rsidR="00203F72" w:rsidRPr="00A53581" w:rsidRDefault="00203F72" w:rsidP="00D87D91">
            <w:r w:rsidRPr="00A53581">
              <w:rPr>
                <w:rFonts w:hint="eastAsia"/>
              </w:rPr>
              <w:t>第十二章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AF1A3" w14:textId="77777777" w:rsidR="00203F72" w:rsidRPr="00A53581" w:rsidRDefault="00203F72" w:rsidP="00D87D91">
            <w:r w:rsidRPr="00A53581">
              <w:rPr>
                <w:rFonts w:hint="eastAsia"/>
              </w:rPr>
              <w:t>選舉、罷免創新、複決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4A2E7" w14:textId="77777777" w:rsidR="00203F72" w:rsidRPr="00A53581" w:rsidRDefault="00203F72" w:rsidP="00E108EB">
            <w:pPr>
              <w:jc w:val="center"/>
            </w:pPr>
            <w:r w:rsidRPr="00A53581">
              <w:t>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5A4399" w14:textId="77777777" w:rsidR="00203F72" w:rsidRPr="00A53581" w:rsidRDefault="00203F72" w:rsidP="00E108EB">
            <w:pPr>
              <w:jc w:val="center"/>
            </w:pPr>
            <w:r w:rsidRPr="00A53581">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00997" w14:textId="77777777" w:rsidR="00203F72" w:rsidRPr="00A53581" w:rsidRDefault="00203F72" w:rsidP="00E108EB">
            <w:pPr>
              <w:jc w:val="center"/>
            </w:pPr>
            <w:r w:rsidRPr="00A53581">
              <w:t>12.5%</w:t>
            </w:r>
          </w:p>
        </w:tc>
      </w:tr>
      <w:tr w:rsidR="00203F72" w:rsidRPr="00A53581" w14:paraId="254E97DE"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F2E10" w14:textId="77777777" w:rsidR="00203F72" w:rsidRPr="00A53581" w:rsidRDefault="00203F72" w:rsidP="00D87D91">
            <w:r w:rsidRPr="00A53581">
              <w:rPr>
                <w:rFonts w:hint="eastAsia"/>
              </w:rPr>
              <w:t>第十三章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71B57" w14:textId="77777777" w:rsidR="00203F72" w:rsidRPr="00A53581" w:rsidRDefault="00203F72" w:rsidP="00D87D91">
            <w:r w:rsidRPr="00A53581">
              <w:rPr>
                <w:rFonts w:hint="eastAsia"/>
              </w:rPr>
              <w:t>基本國策</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0B870" w14:textId="77777777" w:rsidR="00203F72" w:rsidRPr="00A53581" w:rsidRDefault="00203F72" w:rsidP="00E108EB">
            <w:pPr>
              <w:jc w:val="center"/>
            </w:pPr>
            <w:r w:rsidRPr="00A53581">
              <w:t>33</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086BD" w14:textId="77777777" w:rsidR="00203F72" w:rsidRPr="00A53581" w:rsidRDefault="00203F72" w:rsidP="00E108EB">
            <w:pPr>
              <w:jc w:val="center"/>
            </w:pPr>
            <w:r w:rsidRPr="00A53581">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DE9C8" w14:textId="77777777" w:rsidR="00203F72" w:rsidRPr="00A53581" w:rsidRDefault="00203F72" w:rsidP="00E108EB">
            <w:pPr>
              <w:jc w:val="center"/>
            </w:pPr>
            <w:r w:rsidRPr="00A53581">
              <w:t>3%</w:t>
            </w:r>
          </w:p>
        </w:tc>
      </w:tr>
      <w:tr w:rsidR="00203F72" w:rsidRPr="00A53581" w14:paraId="55F9695B" w14:textId="77777777"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4DD04" w14:textId="77777777" w:rsidR="00203F72" w:rsidRPr="00A53581" w:rsidRDefault="00203F72" w:rsidP="00D87D91">
            <w:r w:rsidRPr="00A53581">
              <w:rPr>
                <w:rFonts w:hint="eastAsia"/>
              </w:rPr>
              <w:t>第十四章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FB33A" w14:textId="77777777" w:rsidR="00203F72" w:rsidRPr="00A53581" w:rsidRDefault="00203F72" w:rsidP="00D87D91">
            <w:r w:rsidRPr="00A53581">
              <w:rPr>
                <w:rFonts w:hint="eastAsia"/>
              </w:rPr>
              <w:t>憲法之施行及修改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B8A91" w14:textId="77777777" w:rsidR="00203F72" w:rsidRPr="00A53581" w:rsidRDefault="00203F72" w:rsidP="00E108EB">
            <w:pPr>
              <w:jc w:val="center"/>
            </w:pPr>
            <w:r w:rsidRPr="00A53581">
              <w:t>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FB5FD" w14:textId="77777777" w:rsidR="00203F72" w:rsidRPr="00A53581" w:rsidRDefault="00203F72" w:rsidP="00E108EB">
            <w:pPr>
              <w:jc w:val="center"/>
            </w:pPr>
            <w:r w:rsidRPr="00A53581">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59888" w14:textId="77777777" w:rsidR="00203F72" w:rsidRPr="00A53581" w:rsidRDefault="00203F72" w:rsidP="00E108EB">
            <w:pPr>
              <w:jc w:val="center"/>
            </w:pPr>
            <w:r w:rsidRPr="00A53581">
              <w:t>16.7%</w:t>
            </w:r>
          </w:p>
        </w:tc>
      </w:tr>
    </w:tbl>
    <w:p w14:paraId="5C4B9AA1" w14:textId="77777777" w:rsidR="00203F72" w:rsidRPr="006B7176" w:rsidRDefault="002107CE" w:rsidP="00D87D91">
      <w:r w:rsidRPr="006B7176">
        <w:rPr>
          <w:rFonts w:hint="eastAsia"/>
        </w:rPr>
        <w:t>【本表格資料來源】</w:t>
      </w:r>
      <w:r w:rsidR="00203F72" w:rsidRPr="006B7176">
        <w:rPr>
          <w:rFonts w:hint="eastAsia"/>
        </w:rPr>
        <w:t>葉俊榮</w:t>
      </w:r>
      <w:r w:rsidR="00203F72" w:rsidRPr="006B7176">
        <w:t xml:space="preserve"> (</w:t>
      </w:r>
      <w:r w:rsidR="00203F72" w:rsidRPr="006B7176">
        <w:rPr>
          <w:rFonts w:hint="eastAsia"/>
        </w:rPr>
        <w:t>1997</w:t>
      </w:r>
      <w:r w:rsidR="00203F72" w:rsidRPr="006B7176">
        <w:t xml:space="preserve">) </w:t>
      </w:r>
      <w:r w:rsidR="00203F72" w:rsidRPr="006B7176">
        <w:t>，</w:t>
      </w:r>
      <w:r w:rsidR="00203F72" w:rsidRPr="006B7176">
        <w:rPr>
          <w:rFonts w:hint="eastAsia"/>
        </w:rPr>
        <w:t>九七憲改與台灣憲法變遷模式</w:t>
      </w:r>
      <w:r w:rsidR="00203F72" w:rsidRPr="006B7176">
        <w:t>，</w:t>
      </w:r>
      <w:r w:rsidR="00203F72" w:rsidRPr="006B7176">
        <w:rPr>
          <w:rFonts w:hint="eastAsia"/>
        </w:rPr>
        <w:t>台灣大學法律系主辦之「九七憲改之檢討」學術研討會，頁</w:t>
      </w:r>
      <w:r w:rsidR="00203F72" w:rsidRPr="006B7176">
        <w:t xml:space="preserve">43 </w:t>
      </w:r>
      <w:r w:rsidR="00203F72" w:rsidRPr="006B7176">
        <w:rPr>
          <w:rFonts w:hint="eastAsia"/>
        </w:rPr>
        <w:t>至</w:t>
      </w:r>
      <w:r w:rsidR="00203F72" w:rsidRPr="006B7176">
        <w:t>44</w:t>
      </w:r>
      <w:r w:rsidR="00203F72" w:rsidRPr="006B7176">
        <w:rPr>
          <w:rFonts w:hint="eastAsia"/>
        </w:rPr>
        <w:t>。</w:t>
      </w:r>
    </w:p>
    <w:p w14:paraId="5B77F2C5" w14:textId="77777777" w:rsidR="00953151" w:rsidRPr="006B7176" w:rsidRDefault="001C3A2B" w:rsidP="00D87D91">
      <w:r w:rsidRPr="006B7176">
        <w:rPr>
          <w:rFonts w:hint="eastAsia"/>
        </w:rPr>
        <w:t xml:space="preserve">　　</w:t>
      </w:r>
      <w:r w:rsidR="00203F72" w:rsidRPr="006B7176">
        <w:rPr>
          <w:rFonts w:hint="eastAsia"/>
        </w:rPr>
        <w:t>張淑中，姚中原</w:t>
      </w:r>
      <w:r w:rsidR="00203F72" w:rsidRPr="006B7176">
        <w:t>(2012)</w:t>
      </w:r>
      <w:r w:rsidR="00203F72" w:rsidRPr="006B7176">
        <w:t>，</w:t>
      </w:r>
      <w:r w:rsidR="00203F72" w:rsidRPr="006B7176">
        <w:rPr>
          <w:rFonts w:hint="eastAsia"/>
        </w:rPr>
        <w:t>台灣憲政改革─修憲理論、政治過程與制度影響，初版，台北：五南圖書公司，第</w:t>
      </w:r>
      <w:r w:rsidR="00203F72" w:rsidRPr="006B7176">
        <w:t>88</w:t>
      </w:r>
      <w:r w:rsidR="00203F72" w:rsidRPr="006B7176">
        <w:rPr>
          <w:rFonts w:hint="eastAsia"/>
        </w:rPr>
        <w:t>頁。</w:t>
      </w:r>
    </w:p>
    <w:p w14:paraId="23A95911" w14:textId="77777777" w:rsidR="00953151" w:rsidRPr="006B7176" w:rsidRDefault="001C3A2B" w:rsidP="00D87D91">
      <w:r w:rsidRPr="006B7176">
        <w:t xml:space="preserve">　　</w:t>
      </w:r>
      <w:r w:rsidR="00203F72" w:rsidRPr="006B7176">
        <w:t>基於以上之諸多理由，本書認為，就現階段而言，我國宜考量重新制定一部適合於台灣地區暫行之憲法；此種暫行憲法之相關問題、特色與配套措施，如下所述</w:t>
      </w:r>
      <w:r w:rsidR="00203F72" w:rsidRPr="006B7176">
        <w:t>:1.</w:t>
      </w:r>
      <w:r w:rsidR="00203F72" w:rsidRPr="006B7176">
        <w:t>首先，所謂暫行憲法之本質，並非另立國號，而係沿用中華民國之國號；故，制定暫行憲法之用意，並非欲獨立建國；事實上，「中華民國」已是一個完全獨立、自主之主權國家，故無須再另行建國；制定暫行憲法之目的，係針對於台、澎、金門自由地區之特色與實境，為台灣打造一部適合於上述自由地區之臨時憲法；</w:t>
      </w:r>
      <w:r w:rsidR="00203F72" w:rsidRPr="006B7176">
        <w:t>2.</w:t>
      </w:r>
      <w:r w:rsidR="00203F72" w:rsidRPr="006B7176">
        <w:t>假若制定暫行憲法是可行之方案，則中華民國存有</w:t>
      </w:r>
      <w:r w:rsidR="00203F72" w:rsidRPr="006B7176">
        <w:t>3</w:t>
      </w:r>
      <w:r w:rsidR="00203F72" w:rsidRPr="006B7176">
        <w:t>部不同之憲法：</w:t>
      </w:r>
      <w:r w:rsidR="00203F72" w:rsidRPr="006B7176">
        <w:t>(1)</w:t>
      </w:r>
      <w:hyperlink r:id="rId2376" w:history="1">
        <w:r w:rsidR="00203F72" w:rsidRPr="00E34FD1">
          <w:rPr>
            <w:rStyle w:val="a5"/>
            <w:rFonts w:ascii="Times New Roman" w:eastAsia="新細明體" w:hAnsi="Times New Roman"/>
          </w:rPr>
          <w:t>憲法</w:t>
        </w:r>
      </w:hyperlink>
      <w:r w:rsidR="00203F72" w:rsidRPr="006B7176">
        <w:t>本文（共</w:t>
      </w:r>
      <w:r w:rsidR="00203F72" w:rsidRPr="006B7176">
        <w:t>175</w:t>
      </w:r>
      <w:r w:rsidR="00203F72" w:rsidRPr="006B7176">
        <w:t>條）；</w:t>
      </w:r>
      <w:r w:rsidR="00203F72" w:rsidRPr="006B7176">
        <w:t>(2)</w:t>
      </w:r>
      <w:hyperlink r:id="rId2377" w:history="1">
        <w:r w:rsidR="00203F72" w:rsidRPr="00E34FD1">
          <w:rPr>
            <w:rStyle w:val="a5"/>
            <w:rFonts w:ascii="Times New Roman" w:eastAsia="新細明體" w:hAnsi="Times New Roman"/>
          </w:rPr>
          <w:t>憲法增修條文</w:t>
        </w:r>
      </w:hyperlink>
      <w:r w:rsidR="00203F72" w:rsidRPr="006B7176">
        <w:t>（共</w:t>
      </w:r>
      <w:r w:rsidR="00203F72" w:rsidRPr="006B7176">
        <w:t>12</w:t>
      </w:r>
      <w:r w:rsidR="00203F72" w:rsidRPr="006B7176">
        <w:t>條）；</w:t>
      </w:r>
      <w:r w:rsidR="00203F72" w:rsidRPr="006B7176">
        <w:t>(3)</w:t>
      </w:r>
      <w:r w:rsidR="00203F72" w:rsidRPr="006B7176">
        <w:t>中華民國台灣地區「暫行（臨時）憲法」（宜制定約數佰餘條條文內容為佳）；本書認為，在處置「憲法本文」與「憲法增修條文」之方向方面，不宜廢除（止）；基於此種考量，故對於「憲法本文」與「憲法增修條文」，可採取「暫時性停止適用」（暫時性凍結）之策略；採用此種之策略，不排除以下之可能性：假若未來中華民國之主權，可達於中國大陸；屆時，可恢復「憲法本文」之效力，並將「暫行憲法」廢止之；</w:t>
      </w:r>
      <w:r w:rsidR="00203F72" w:rsidRPr="006B7176">
        <w:t>3.</w:t>
      </w:r>
      <w:r w:rsidR="00203F72" w:rsidRPr="006B7176">
        <w:t>暫行憲法之屬性，具有臨時性及非永久性；</w:t>
      </w:r>
      <w:r w:rsidR="00203F72" w:rsidRPr="006B7176">
        <w:t>4.</w:t>
      </w:r>
      <w:r w:rsidR="00203F72" w:rsidRPr="006B7176">
        <w:t>暫行憲法之立憲方式，不宜採用「憲法增修條文」之立憲模式，否則，會喪失暫行憲法之目的；暫行憲法之內涵，宜將「憲法本文」與「憲法增修條文」之內容，加以整合，增加對基本人權保障之條文，故在條文數量方面，宜具有約數百餘條條文內容之規模為佳；</w:t>
      </w:r>
      <w:r w:rsidR="00203F72" w:rsidRPr="006B7176">
        <w:t>5.</w:t>
      </w:r>
      <w:r w:rsidR="00203F72" w:rsidRPr="006B7176">
        <w:t>在暫行憲法制定之後，如欲針對某種事項新增條文，宜採新增第</w:t>
      </w:r>
      <w:r w:rsidR="00532A08">
        <w:t>○○</w:t>
      </w:r>
      <w:r w:rsidR="00203F72" w:rsidRPr="006B7176">
        <w:t>條之一、之二、之三</w:t>
      </w:r>
      <w:r w:rsidR="00203F72" w:rsidRPr="006B7176">
        <w:t>……</w:t>
      </w:r>
      <w:r w:rsidR="00203F72" w:rsidRPr="006B7176">
        <w:t>之立憲方式為佳，以利民眾理解憲法條文之內涵；</w:t>
      </w:r>
      <w:r w:rsidR="00203F72" w:rsidRPr="006B7176">
        <w:t>6.</w:t>
      </w:r>
      <w:r w:rsidR="00203F72" w:rsidRPr="006B7176">
        <w:t>在暫行憲法中之領土方面，宜保留「中華民國領土」依其固有之疆域之立憲技術，或者，相類似之立憲用語；主要之目的，在彰顯中華民國對於中國大陸主權之主張，仍保留於憲法層級之中；同時，避免國際社會將上述整部憲法，誤解為中華民國已對中國大陸放棄主權之宣示；</w:t>
      </w:r>
      <w:r w:rsidR="00203F72" w:rsidRPr="006B7176">
        <w:t xml:space="preserve">7. </w:t>
      </w:r>
      <w:r w:rsidR="00203F72" w:rsidRPr="006B7176">
        <w:t>在暫行憲法中之前言方面，宜保留「為因應國家統一前之需要」之用語，在憲法層級之上，宣示我國仍主張一個中國，各自表述之立場，同時，並彰顯暫行憲法之臨時性及過渡性；暫行憲法具有階段性之任務，當未來國家統一之後，暫行憲法即可加以廢止之；</w:t>
      </w:r>
      <w:r w:rsidR="00203F72" w:rsidRPr="006B7176">
        <w:t>8.</w:t>
      </w:r>
      <w:r w:rsidR="00203F72" w:rsidRPr="006B7176">
        <w:t>在制定暫行憲法之過程中，兩岸政府宜作充分之溝通，取得一定之共識為佳，避免中國大陸將上述暫行憲法，錯解與誤解為「台灣民主共和國」之專屬憲法。</w:t>
      </w:r>
    </w:p>
    <w:p w14:paraId="32CAB16D" w14:textId="77777777" w:rsidR="00953151" w:rsidRDefault="001C3A2B" w:rsidP="00D87D91">
      <w:r w:rsidRPr="006B7176">
        <w:t xml:space="preserve">　　</w:t>
      </w:r>
      <w:r w:rsidR="00203F72" w:rsidRPr="006B7176">
        <w:t>常律和尚於本書推薦序文中，其亦指出</w:t>
      </w:r>
      <w:r w:rsidR="00D92F56" w:rsidRPr="006B7176">
        <w:t>〜</w:t>
      </w:r>
      <w:r w:rsidR="00203F72" w:rsidRPr="006B7176">
        <w:t>「、、、對於民國三十年舊時代所定之憲法條文，經過時代更迭，民風巨變，人心道德式微，世界政治局勢的波動，民心所向與昔大大異同，實違民心民情，本人強烈主張整本憲法當重新制訂，以符民心民情，方是治國安邦之本也。」再者，常律和尚亦認為，此部憲法已是瑕疵重重，重新制訂新憲法，是當今國家重大國事，不容遲緩，本書相當地贊同之。</w:t>
      </w:r>
      <w:r w:rsidR="00203F72" w:rsidRPr="006B7176">
        <w:rPr>
          <w:rFonts w:hint="eastAsia"/>
        </w:rPr>
        <w:t>謝政道教授於其中華民國修憲史</w:t>
      </w:r>
      <w:r w:rsidR="00203F72" w:rsidRPr="006B7176">
        <w:rPr>
          <w:rFonts w:hint="eastAsia"/>
        </w:rPr>
        <w:t>(</w:t>
      </w:r>
      <w:r w:rsidR="00203F72" w:rsidRPr="006B7176">
        <w:rPr>
          <w:rFonts w:hint="eastAsia"/>
        </w:rPr>
        <w:t>第二版</w:t>
      </w:r>
      <w:r w:rsidR="00203F72" w:rsidRPr="006B7176">
        <w:rPr>
          <w:rFonts w:hint="eastAsia"/>
        </w:rPr>
        <w:t>)</w:t>
      </w:r>
      <w:r w:rsidR="00203F72" w:rsidRPr="006B7176">
        <w:rPr>
          <w:rFonts w:hint="eastAsia"/>
        </w:rPr>
        <w:t>乙書之中指出，未來中華民國憲法的演變之可能模式，詳如下表。本書之觀點，</w:t>
      </w:r>
      <w:r w:rsidR="00203F72" w:rsidRPr="006B7176">
        <w:t>順應兩岸現狀，制定適合現實情況的中華民國第二共和憲法，有其必要性。</w:t>
      </w:r>
    </w:p>
    <w:p w14:paraId="25056AAE" w14:textId="77777777" w:rsidR="006B7176" w:rsidRPr="006B7176" w:rsidRDefault="006B7176" w:rsidP="00D87D91"/>
    <w:p w14:paraId="5BDA6502" w14:textId="453572A0" w:rsidR="00203F72" w:rsidRPr="006B7176" w:rsidRDefault="00B03E84" w:rsidP="00D87D91">
      <w:r w:rsidRPr="006B7176">
        <w:t>【</w:t>
      </w:r>
      <w:r w:rsidRPr="006B7176">
        <w:t>table</w:t>
      </w:r>
      <w:r w:rsidR="005E23E3" w:rsidRPr="006B7176">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112</w:t>
      </w:r>
      <w:r w:rsidR="00076467">
        <w:rPr>
          <w:noProof/>
        </w:rPr>
        <w:fldChar w:fldCharType="end"/>
      </w:r>
      <w:r w:rsidR="00203F72" w:rsidRPr="006B7176">
        <w:rPr>
          <w:rFonts w:hint="eastAsia"/>
        </w:rPr>
        <w:t>未來中華民國憲法的演變之可能模式</w:t>
      </w:r>
    </w:p>
    <w:tbl>
      <w:tblPr>
        <w:tblW w:w="0" w:type="auto"/>
        <w:tblInd w:w="324"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134"/>
        <w:gridCol w:w="1984"/>
        <w:gridCol w:w="4631"/>
      </w:tblGrid>
      <w:tr w:rsidR="00203F72" w:rsidRPr="00A53581" w14:paraId="284677DE" w14:textId="77777777" w:rsidTr="00F82426">
        <w:trPr>
          <w:tblHeader/>
        </w:trPr>
        <w:tc>
          <w:tcPr>
            <w:tcW w:w="1134"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6461E8B9" w14:textId="77777777" w:rsidR="00203F72" w:rsidRPr="00A53581" w:rsidRDefault="00203F72" w:rsidP="00D87D91">
            <w:pPr>
              <w:rPr>
                <w:rFonts w:cs="新細明體"/>
              </w:rPr>
            </w:pPr>
            <w:r w:rsidRPr="00A53581">
              <w:t>憲法演化可能</w:t>
            </w:r>
          </w:p>
        </w:tc>
        <w:tc>
          <w:tcPr>
            <w:tcW w:w="1984"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1B29E9BC" w14:textId="77777777" w:rsidR="00203F72" w:rsidRPr="00A53581" w:rsidRDefault="00203F72" w:rsidP="00D87D91">
            <w:pPr>
              <w:rPr>
                <w:rFonts w:cs="新細明體"/>
              </w:rPr>
            </w:pPr>
            <w:r w:rsidRPr="00A53581">
              <w:t>兩岸關係風險</w:t>
            </w:r>
          </w:p>
        </w:tc>
        <w:tc>
          <w:tcPr>
            <w:tcW w:w="4631" w:type="dxa"/>
            <w:tcBorders>
              <w:top w:val="outset" w:sz="6" w:space="0" w:color="auto"/>
              <w:left w:val="outset" w:sz="6" w:space="0" w:color="auto"/>
              <w:bottom w:val="outset" w:sz="6" w:space="0" w:color="auto"/>
              <w:right w:val="outset" w:sz="6" w:space="0" w:color="auto"/>
            </w:tcBorders>
            <w:shd w:val="clear" w:color="auto" w:fill="FAF0FA"/>
            <w:vAlign w:val="center"/>
            <w:hideMark/>
          </w:tcPr>
          <w:p w14:paraId="31F893AF" w14:textId="77777777" w:rsidR="00203F72" w:rsidRPr="00A53581" w:rsidRDefault="00203F72" w:rsidP="00D87D91">
            <w:pPr>
              <w:rPr>
                <w:rFonts w:cs="新細明體"/>
              </w:rPr>
            </w:pPr>
            <w:r w:rsidRPr="00A53581">
              <w:t>注釋</w:t>
            </w:r>
          </w:p>
        </w:tc>
      </w:tr>
      <w:tr w:rsidR="00203F72" w:rsidRPr="00A53581" w14:paraId="6E024AB0" w14:textId="77777777" w:rsidTr="00F82426">
        <w:tc>
          <w:tcPr>
            <w:tcW w:w="1134" w:type="dxa"/>
            <w:tcBorders>
              <w:top w:val="outset" w:sz="6" w:space="0" w:color="auto"/>
              <w:left w:val="outset" w:sz="6" w:space="0" w:color="auto"/>
              <w:bottom w:val="outset" w:sz="6" w:space="0" w:color="auto"/>
              <w:right w:val="outset" w:sz="6" w:space="0" w:color="auto"/>
            </w:tcBorders>
            <w:vAlign w:val="center"/>
            <w:hideMark/>
          </w:tcPr>
          <w:p w14:paraId="32714A94" w14:textId="77777777" w:rsidR="00203F72" w:rsidRPr="00A53581" w:rsidRDefault="00203F72" w:rsidP="00D87D91">
            <w:pPr>
              <w:rPr>
                <w:rFonts w:cs="新細明體"/>
              </w:rPr>
            </w:pPr>
            <w:r w:rsidRPr="00A53581">
              <w:t>繼續修憲</w:t>
            </w:r>
          </w:p>
        </w:tc>
        <w:tc>
          <w:tcPr>
            <w:tcW w:w="1984" w:type="dxa"/>
            <w:tcBorders>
              <w:top w:val="outset" w:sz="6" w:space="0" w:color="auto"/>
              <w:left w:val="outset" w:sz="6" w:space="0" w:color="auto"/>
              <w:bottom w:val="outset" w:sz="6" w:space="0" w:color="auto"/>
              <w:right w:val="outset" w:sz="6" w:space="0" w:color="auto"/>
            </w:tcBorders>
            <w:vAlign w:val="center"/>
            <w:hideMark/>
          </w:tcPr>
          <w:p w14:paraId="3F46DBD1" w14:textId="77777777" w:rsidR="00203F72" w:rsidRPr="00A53581" w:rsidRDefault="00203F72" w:rsidP="00D87D91">
            <w:pPr>
              <w:rPr>
                <w:rFonts w:cs="新細明體"/>
              </w:rPr>
            </w:pPr>
            <w:r w:rsidRPr="00A53581">
              <w:t>低</w:t>
            </w:r>
          </w:p>
        </w:tc>
        <w:tc>
          <w:tcPr>
            <w:tcW w:w="4631" w:type="dxa"/>
            <w:tcBorders>
              <w:top w:val="outset" w:sz="6" w:space="0" w:color="auto"/>
              <w:left w:val="outset" w:sz="6" w:space="0" w:color="auto"/>
              <w:bottom w:val="outset" w:sz="6" w:space="0" w:color="auto"/>
              <w:right w:val="outset" w:sz="6" w:space="0" w:color="auto"/>
            </w:tcBorders>
            <w:vAlign w:val="center"/>
            <w:hideMark/>
          </w:tcPr>
          <w:p w14:paraId="1C6BC8C7" w14:textId="77777777" w:rsidR="00203F72" w:rsidRPr="00A53581" w:rsidRDefault="00203F72" w:rsidP="00D87D91">
            <w:pPr>
              <w:rPr>
                <w:rFonts w:cs="新細明體"/>
              </w:rPr>
            </w:pPr>
            <w:r w:rsidRPr="00A53581">
              <w:t>在保留原憲法框架下繼續修憲</w:t>
            </w:r>
          </w:p>
        </w:tc>
      </w:tr>
      <w:tr w:rsidR="00203F72" w:rsidRPr="00A53581" w14:paraId="622AABF6" w14:textId="77777777" w:rsidTr="00F82426">
        <w:tc>
          <w:tcPr>
            <w:tcW w:w="1134" w:type="dxa"/>
            <w:tcBorders>
              <w:top w:val="outset" w:sz="6" w:space="0" w:color="auto"/>
              <w:left w:val="outset" w:sz="6" w:space="0" w:color="auto"/>
              <w:bottom w:val="outset" w:sz="6" w:space="0" w:color="auto"/>
              <w:right w:val="outset" w:sz="6" w:space="0" w:color="auto"/>
            </w:tcBorders>
            <w:vAlign w:val="center"/>
            <w:hideMark/>
          </w:tcPr>
          <w:p w14:paraId="68F83E51" w14:textId="77777777" w:rsidR="00203F72" w:rsidRPr="00A53581" w:rsidRDefault="00203F72" w:rsidP="00D87D91">
            <w:pPr>
              <w:rPr>
                <w:rFonts w:cs="新細明體"/>
              </w:rPr>
            </w:pPr>
            <w:r w:rsidRPr="00A53581">
              <w:t>第二共和憲法</w:t>
            </w:r>
          </w:p>
        </w:tc>
        <w:tc>
          <w:tcPr>
            <w:tcW w:w="1984" w:type="dxa"/>
            <w:tcBorders>
              <w:top w:val="outset" w:sz="6" w:space="0" w:color="auto"/>
              <w:left w:val="outset" w:sz="6" w:space="0" w:color="auto"/>
              <w:bottom w:val="outset" w:sz="6" w:space="0" w:color="auto"/>
              <w:right w:val="outset" w:sz="6" w:space="0" w:color="auto"/>
            </w:tcBorders>
            <w:vAlign w:val="center"/>
            <w:hideMark/>
          </w:tcPr>
          <w:p w14:paraId="167B9759" w14:textId="77777777" w:rsidR="00203F72" w:rsidRPr="00A53581" w:rsidRDefault="00203F72" w:rsidP="00D87D91">
            <w:pPr>
              <w:rPr>
                <w:rFonts w:cs="新細明體"/>
              </w:rPr>
            </w:pPr>
            <w:r w:rsidRPr="00A53581">
              <w:t>略高</w:t>
            </w:r>
          </w:p>
        </w:tc>
        <w:tc>
          <w:tcPr>
            <w:tcW w:w="4631" w:type="dxa"/>
            <w:tcBorders>
              <w:top w:val="outset" w:sz="6" w:space="0" w:color="auto"/>
              <w:left w:val="outset" w:sz="6" w:space="0" w:color="auto"/>
              <w:bottom w:val="outset" w:sz="6" w:space="0" w:color="auto"/>
              <w:right w:val="outset" w:sz="6" w:space="0" w:color="auto"/>
            </w:tcBorders>
            <w:vAlign w:val="center"/>
            <w:hideMark/>
          </w:tcPr>
          <w:p w14:paraId="1E69F6B8" w14:textId="77777777" w:rsidR="00203F72" w:rsidRPr="00A53581" w:rsidRDefault="00203F72" w:rsidP="00D87D91">
            <w:pPr>
              <w:rPr>
                <w:rFonts w:cs="新細明體"/>
              </w:rPr>
            </w:pPr>
            <w:r w:rsidRPr="00A53581">
              <w:t>順應兩岸現狀，制定適合現實情況的中華民國第二共和憲法</w:t>
            </w:r>
          </w:p>
        </w:tc>
      </w:tr>
      <w:tr w:rsidR="00203F72" w:rsidRPr="00A53581" w14:paraId="74974347" w14:textId="77777777" w:rsidTr="00F82426">
        <w:tc>
          <w:tcPr>
            <w:tcW w:w="1134" w:type="dxa"/>
            <w:tcBorders>
              <w:top w:val="outset" w:sz="6" w:space="0" w:color="auto"/>
              <w:left w:val="outset" w:sz="6" w:space="0" w:color="auto"/>
              <w:bottom w:val="outset" w:sz="6" w:space="0" w:color="auto"/>
              <w:right w:val="outset" w:sz="6" w:space="0" w:color="auto"/>
            </w:tcBorders>
            <w:vAlign w:val="center"/>
            <w:hideMark/>
          </w:tcPr>
          <w:p w14:paraId="1A13E246" w14:textId="77777777" w:rsidR="00203F72" w:rsidRPr="00A53581" w:rsidRDefault="00203F72" w:rsidP="00D87D91">
            <w:pPr>
              <w:rPr>
                <w:rFonts w:cs="新細明體"/>
              </w:rPr>
            </w:pPr>
            <w:r w:rsidRPr="00A53581">
              <w:t>臺灣憲法</w:t>
            </w:r>
          </w:p>
        </w:tc>
        <w:tc>
          <w:tcPr>
            <w:tcW w:w="1984" w:type="dxa"/>
            <w:tcBorders>
              <w:top w:val="outset" w:sz="6" w:space="0" w:color="auto"/>
              <w:left w:val="outset" w:sz="6" w:space="0" w:color="auto"/>
              <w:bottom w:val="outset" w:sz="6" w:space="0" w:color="auto"/>
              <w:right w:val="outset" w:sz="6" w:space="0" w:color="auto"/>
            </w:tcBorders>
            <w:vAlign w:val="center"/>
            <w:hideMark/>
          </w:tcPr>
          <w:p w14:paraId="07DC4C1C" w14:textId="77777777" w:rsidR="00203F72" w:rsidRPr="00A53581" w:rsidRDefault="00203F72" w:rsidP="00D87D91">
            <w:pPr>
              <w:rPr>
                <w:rFonts w:cs="新細明體"/>
              </w:rPr>
            </w:pPr>
            <w:r w:rsidRPr="00A53581">
              <w:t>高</w:t>
            </w:r>
          </w:p>
        </w:tc>
        <w:tc>
          <w:tcPr>
            <w:tcW w:w="4631" w:type="dxa"/>
            <w:tcBorders>
              <w:top w:val="outset" w:sz="6" w:space="0" w:color="auto"/>
              <w:left w:val="outset" w:sz="6" w:space="0" w:color="auto"/>
              <w:bottom w:val="outset" w:sz="6" w:space="0" w:color="auto"/>
              <w:right w:val="outset" w:sz="6" w:space="0" w:color="auto"/>
            </w:tcBorders>
            <w:vAlign w:val="center"/>
            <w:hideMark/>
          </w:tcPr>
          <w:p w14:paraId="296075E3" w14:textId="77777777" w:rsidR="00203F72" w:rsidRPr="00A53581" w:rsidRDefault="00203F72" w:rsidP="00D87D91">
            <w:pPr>
              <w:rPr>
                <w:rFonts w:cs="新細明體"/>
              </w:rPr>
            </w:pPr>
            <w:r w:rsidRPr="00A53581">
              <w:t>徹底改變兩岸現狀，制定臺灣國憲法，從而成為正常化國家</w:t>
            </w:r>
          </w:p>
        </w:tc>
      </w:tr>
      <w:tr w:rsidR="00203F72" w:rsidRPr="00A53581" w14:paraId="6906DB5F" w14:textId="77777777" w:rsidTr="00F82426">
        <w:tc>
          <w:tcPr>
            <w:tcW w:w="1134" w:type="dxa"/>
            <w:tcBorders>
              <w:top w:val="outset" w:sz="6" w:space="0" w:color="auto"/>
              <w:left w:val="outset" w:sz="6" w:space="0" w:color="auto"/>
              <w:bottom w:val="outset" w:sz="6" w:space="0" w:color="auto"/>
              <w:right w:val="outset" w:sz="6" w:space="0" w:color="auto"/>
            </w:tcBorders>
            <w:vAlign w:val="center"/>
            <w:hideMark/>
          </w:tcPr>
          <w:p w14:paraId="69FCF560" w14:textId="77777777" w:rsidR="00203F72" w:rsidRPr="00A53581" w:rsidRDefault="00203F72" w:rsidP="00D87D91">
            <w:pPr>
              <w:rPr>
                <w:rFonts w:cs="新細明體"/>
              </w:rPr>
            </w:pPr>
            <w:r w:rsidRPr="00A53581">
              <w:t>恢復原文</w:t>
            </w:r>
          </w:p>
        </w:tc>
        <w:tc>
          <w:tcPr>
            <w:tcW w:w="1984" w:type="dxa"/>
            <w:tcBorders>
              <w:top w:val="outset" w:sz="6" w:space="0" w:color="auto"/>
              <w:left w:val="outset" w:sz="6" w:space="0" w:color="auto"/>
              <w:bottom w:val="outset" w:sz="6" w:space="0" w:color="auto"/>
              <w:right w:val="outset" w:sz="6" w:space="0" w:color="auto"/>
            </w:tcBorders>
            <w:vAlign w:val="center"/>
            <w:hideMark/>
          </w:tcPr>
          <w:p w14:paraId="285E4403" w14:textId="77777777" w:rsidR="00203F72" w:rsidRPr="00A53581" w:rsidRDefault="00203F72" w:rsidP="00D87D91">
            <w:pPr>
              <w:rPr>
                <w:rFonts w:cs="新細明體"/>
              </w:rPr>
            </w:pPr>
            <w:r w:rsidRPr="00A53581">
              <w:t>不明（目前可能性甚微）</w:t>
            </w:r>
          </w:p>
        </w:tc>
        <w:tc>
          <w:tcPr>
            <w:tcW w:w="4631" w:type="dxa"/>
            <w:tcBorders>
              <w:top w:val="outset" w:sz="6" w:space="0" w:color="auto"/>
              <w:left w:val="outset" w:sz="6" w:space="0" w:color="auto"/>
              <w:bottom w:val="outset" w:sz="6" w:space="0" w:color="auto"/>
              <w:right w:val="outset" w:sz="6" w:space="0" w:color="auto"/>
            </w:tcBorders>
            <w:vAlign w:val="center"/>
            <w:hideMark/>
          </w:tcPr>
          <w:p w14:paraId="4363DC4A" w14:textId="77777777" w:rsidR="00203F72" w:rsidRPr="00A53581" w:rsidRDefault="00203F72" w:rsidP="00D87D91">
            <w:pPr>
              <w:rPr>
                <w:rFonts w:cs="新細明體"/>
              </w:rPr>
            </w:pPr>
            <w:r w:rsidRPr="00A53581">
              <w:t>在中國大陸實現民主化後，結束增修條文，憲法本文被凍結的部分恢復效力，從而整部憲法重新適用於中國大陸</w:t>
            </w:r>
          </w:p>
        </w:tc>
      </w:tr>
    </w:tbl>
    <w:p w14:paraId="471AB935" w14:textId="77777777" w:rsidR="00203F72" w:rsidRPr="006B7176" w:rsidRDefault="00B03E84" w:rsidP="00D87D91">
      <w:r w:rsidRPr="006B7176">
        <w:rPr>
          <w:rFonts w:hint="eastAsia"/>
        </w:rPr>
        <w:t>【資料來源】</w:t>
      </w:r>
      <w:r w:rsidR="00203F72" w:rsidRPr="006B7176">
        <w:rPr>
          <w:rFonts w:hint="eastAsia"/>
        </w:rPr>
        <w:t>謝政道，中華民國修憲史</w:t>
      </w:r>
      <w:r w:rsidR="00203F72" w:rsidRPr="006B7176">
        <w:rPr>
          <w:rFonts w:hint="eastAsia"/>
        </w:rPr>
        <w:t>(</w:t>
      </w:r>
      <w:r w:rsidR="00203F72" w:rsidRPr="006B7176">
        <w:rPr>
          <w:rFonts w:hint="eastAsia"/>
        </w:rPr>
        <w:t>第二版</w:t>
      </w:r>
      <w:r w:rsidR="00203F72" w:rsidRPr="006B7176">
        <w:rPr>
          <w:rFonts w:hint="eastAsia"/>
        </w:rPr>
        <w:t>)</w:t>
      </w:r>
      <w:r w:rsidR="00203F72" w:rsidRPr="006B7176">
        <w:rPr>
          <w:rFonts w:hint="eastAsia"/>
        </w:rPr>
        <w:t>，揚智文化出版公司，</w:t>
      </w:r>
      <w:r w:rsidR="00203F72" w:rsidRPr="006B7176">
        <w:rPr>
          <w:rFonts w:hint="eastAsia"/>
        </w:rPr>
        <w:t>2007</w:t>
      </w:r>
      <w:r w:rsidR="00203F72" w:rsidRPr="006B7176">
        <w:rPr>
          <w:rFonts w:hint="eastAsia"/>
        </w:rPr>
        <w:t>。</w:t>
      </w:r>
    </w:p>
    <w:p w14:paraId="673FFD18" w14:textId="77777777" w:rsidR="00203F72" w:rsidRPr="006B7176" w:rsidRDefault="00203F72" w:rsidP="00D87D91">
      <w:r w:rsidRPr="006B7176">
        <w:rPr>
          <w:rFonts w:hint="eastAsia"/>
        </w:rPr>
        <w:t>維基百科</w:t>
      </w:r>
      <w:r w:rsidRPr="006B7176">
        <w:rPr>
          <w:rFonts w:hint="eastAsia"/>
        </w:rPr>
        <w:t>(2015)</w:t>
      </w:r>
      <w:r w:rsidRPr="006B7176">
        <w:rPr>
          <w:rFonts w:hint="eastAsia"/>
        </w:rPr>
        <w:t>，中華民國憲法，上網瀏覽時日：</w:t>
      </w:r>
      <w:r w:rsidRPr="006B7176">
        <w:rPr>
          <w:rFonts w:hint="eastAsia"/>
        </w:rPr>
        <w:t>2015/08/02</w:t>
      </w:r>
      <w:r w:rsidRPr="006B7176">
        <w:rPr>
          <w:rFonts w:hint="eastAsia"/>
        </w:rPr>
        <w:t>，</w:t>
      </w:r>
      <w:hyperlink r:id="rId2378" w:history="1">
        <w:r w:rsidRPr="006B7176">
          <w:rPr>
            <w:rStyle w:val="a5"/>
          </w:rPr>
          <w:t>https://zh.wikipedia.org/wiki/%E4%B8%AD%E8%8F%AF%E6%B0%91%E5%9C%8B%E6%86%B2%E6%B3%95</w:t>
        </w:r>
      </w:hyperlink>
      <w:r w:rsidRPr="006B7176">
        <w:t>。</w:t>
      </w:r>
    </w:p>
    <w:p w14:paraId="1CDD6F91" w14:textId="77777777" w:rsidR="00953151" w:rsidRPr="006B7176" w:rsidRDefault="007F7377" w:rsidP="00D87D91">
      <w:r w:rsidRPr="006B7176">
        <w:t>【備註】</w:t>
      </w:r>
      <w:r w:rsidR="00203F72" w:rsidRPr="006B7176">
        <w:t>中華民國第二共和憲法，乃指</w:t>
      </w:r>
      <w:r w:rsidR="00203F72" w:rsidRPr="006B7176">
        <w:rPr>
          <w:rFonts w:hint="eastAsia"/>
        </w:rPr>
        <w:t>1991</w:t>
      </w:r>
      <w:r w:rsidR="00203F72" w:rsidRPr="006B7176">
        <w:rPr>
          <w:rFonts w:hint="eastAsia"/>
        </w:rPr>
        <w:t>年公布中華民國憲法增修條文以後的中華民國</w:t>
      </w:r>
      <w:r w:rsidR="00203F72" w:rsidRPr="006B7176">
        <w:footnoteReference w:id="1019"/>
      </w:r>
      <w:r w:rsidR="00203F72" w:rsidRPr="006B7176">
        <w:rPr>
          <w:rFonts w:hint="eastAsia"/>
        </w:rPr>
        <w:t>。</w:t>
      </w:r>
    </w:p>
    <w:p w14:paraId="760DCC17" w14:textId="77777777" w:rsidR="00203F72" w:rsidRPr="006B7176" w:rsidRDefault="001C3A2B" w:rsidP="00D87D91">
      <w:r w:rsidRPr="006B7176">
        <w:t xml:space="preserve">　　</w:t>
      </w:r>
      <w:r w:rsidR="00203F72" w:rsidRPr="006B7176">
        <w:t>再者，吳東明教授亦於本書推薦序文中，指出台灣是一個海洋國家，並非大陸型之國家。台灣四面環海，故為海洋國家。然而，我國現行之憲法，其制定之背景，係以中國大陸為其施行地區，作為立憲之根本，非常明顯地，以中國大陸為我國憲法之施行地區之現行中華民國憲法，並不適用於海洋型之台灣地區。玆舉一例說明之，憲法</w:t>
      </w:r>
      <w:hyperlink r:id="rId2379" w:anchor="a120" w:history="1">
        <w:r w:rsidR="004651E8" w:rsidRPr="006B7176">
          <w:rPr>
            <w:rStyle w:val="a5"/>
          </w:rPr>
          <w:t>第120條</w:t>
        </w:r>
      </w:hyperlink>
      <w:r w:rsidR="00203F72" w:rsidRPr="006B7176">
        <w:rPr>
          <w:rFonts w:hint="eastAsia"/>
        </w:rPr>
        <w:t>規定，西藏自治制度，應予以保障。然而，中華民國政府之主權，根據本憲法之誡命，係及於西藏，但是，我國實際上之統治權，事實上，卻無法及於西藏，此種情形下，</w:t>
      </w:r>
      <w:r w:rsidR="00203F72" w:rsidRPr="006B7176">
        <w:t>憲</w:t>
      </w:r>
      <w:r w:rsidR="004651E8" w:rsidRPr="006B7176">
        <w:t>法</w:t>
      </w:r>
      <w:hyperlink r:id="rId2380" w:anchor="a120" w:history="1">
        <w:r w:rsidR="004651E8" w:rsidRPr="006B7176">
          <w:rPr>
            <w:rStyle w:val="a5"/>
          </w:rPr>
          <w:t>第120條</w:t>
        </w:r>
      </w:hyperlink>
      <w:r w:rsidR="00203F72" w:rsidRPr="006B7176">
        <w:rPr>
          <w:rFonts w:hint="eastAsia"/>
        </w:rPr>
        <w:t>規定，西藏自治制度，應予以保障之規定，如何落實？</w:t>
      </w:r>
    </w:p>
    <w:p w14:paraId="0A5B73F6" w14:textId="77777777" w:rsidR="00203F72" w:rsidRPr="006B7176" w:rsidRDefault="001C3A2B" w:rsidP="00D87D91">
      <w:r w:rsidRPr="006B7176">
        <w:rPr>
          <w:rFonts w:hint="eastAsia"/>
        </w:rPr>
        <w:t xml:space="preserve">　　</w:t>
      </w:r>
      <w:r w:rsidR="00203F72" w:rsidRPr="006B7176">
        <w:rPr>
          <w:rFonts w:hint="eastAsia"/>
        </w:rPr>
        <w:t>由下圖</w:t>
      </w:r>
      <w:r w:rsidR="00203F72" w:rsidRPr="006B7176">
        <w:rPr>
          <w:rFonts w:hint="eastAsia"/>
        </w:rPr>
        <w:t>2013</w:t>
      </w:r>
      <w:r w:rsidR="00203F72" w:rsidRPr="006B7176">
        <w:rPr>
          <w:rFonts w:hint="eastAsia"/>
        </w:rPr>
        <w:t>年臺日兩國共同簽定之《臺日漁業協議》示意圖形（日語：日台民間漁業取り決め）</w:t>
      </w:r>
      <w:r w:rsidR="00203F72" w:rsidRPr="006B7176">
        <w:footnoteReference w:id="1020"/>
      </w:r>
      <w:r w:rsidR="00203F72" w:rsidRPr="006B7176">
        <w:rPr>
          <w:rFonts w:hint="eastAsia"/>
        </w:rPr>
        <w:t>亦可得知，</w:t>
      </w:r>
      <w:r w:rsidR="00203F72" w:rsidRPr="006B7176">
        <w:t>台灣四面環海，並非四面環「陸」，故為海洋國家，非大陸型之國家。我國之問題，就主權而論，係與周邊國家針對於</w:t>
      </w:r>
      <w:r w:rsidR="00203F72" w:rsidRPr="006B7176">
        <w:rPr>
          <w:rFonts w:hint="eastAsia"/>
        </w:rPr>
        <w:t>海域主權及漁業相關資源談判之過程之中，</w:t>
      </w:r>
      <w:r w:rsidR="00203F72" w:rsidRPr="006B7176">
        <w:t>如何悍衛我國固有海域之主權與保護海洋之資源？根據</w:t>
      </w:r>
      <w:r w:rsidR="00203F72" w:rsidRPr="006B7176">
        <w:rPr>
          <w:rFonts w:hint="eastAsia"/>
        </w:rPr>
        <w:t>下圖</w:t>
      </w:r>
      <w:r w:rsidR="00203F72" w:rsidRPr="006B7176">
        <w:rPr>
          <w:rFonts w:hint="eastAsia"/>
        </w:rPr>
        <w:t>2013</w:t>
      </w:r>
      <w:r w:rsidR="00203F72" w:rsidRPr="006B7176">
        <w:rPr>
          <w:rFonts w:hint="eastAsia"/>
        </w:rPr>
        <w:t>年臺日兩國共同簽定之《臺日漁業協議》示意圖形，胡念祖教授對於本案，有以下之觀點：</w:t>
      </w:r>
      <w:r w:rsidR="00203F72" w:rsidRPr="006B7176">
        <w:rPr>
          <w:rFonts w:hint="eastAsia"/>
        </w:rPr>
        <w:t>1</w:t>
      </w:r>
      <w:r w:rsidR="00203F72" w:rsidRPr="006B7176">
        <w:rPr>
          <w:rFonts w:hint="eastAsia"/>
        </w:rPr>
        <w:t>、協議進展不大，日方善意有限；</w:t>
      </w:r>
      <w:r w:rsidR="00203F72" w:rsidRPr="006B7176">
        <w:rPr>
          <w:rFonts w:hint="eastAsia"/>
        </w:rPr>
        <w:t>2</w:t>
      </w:r>
      <w:r w:rsidR="00203F72" w:rsidRPr="006B7176">
        <w:rPr>
          <w:rFonts w:hint="eastAsia"/>
        </w:rPr>
        <w:t>、《臺日漁業協議》未簽定之前，兩國經濟海域互相重疊，都可自由進出，《臺日漁業協議》簽定之後，將兩國經濟海域互相重疊之模糊空間劃清楚，沒有取得對我方主權有利的象徵</w:t>
      </w:r>
      <w:r w:rsidR="00203F72" w:rsidRPr="006B7176">
        <w:footnoteReference w:id="1021"/>
      </w:r>
      <w:r w:rsidR="00203F72" w:rsidRPr="006B7176">
        <w:rPr>
          <w:rFonts w:hint="eastAsia"/>
        </w:rPr>
        <w:t>，本書作者認同胡念祖教授之見解</w:t>
      </w:r>
      <w:r w:rsidR="00545D58" w:rsidRPr="006B7176">
        <w:rPr>
          <w:rFonts w:hint="eastAsia"/>
        </w:rPr>
        <w:t>。</w:t>
      </w:r>
    </w:p>
    <w:p w14:paraId="717C6387" w14:textId="77777777" w:rsidR="00203F72" w:rsidRPr="006B7176" w:rsidRDefault="001C3A2B" w:rsidP="00D87D91">
      <w:r w:rsidRPr="006B7176">
        <w:rPr>
          <w:rFonts w:hint="eastAsia"/>
        </w:rPr>
        <w:t xml:space="preserve">　　</w:t>
      </w:r>
      <w:r w:rsidR="00203F72" w:rsidRPr="006B7176">
        <w:rPr>
          <w:rFonts w:hint="eastAsia"/>
        </w:rPr>
        <w:t>雖然，</w:t>
      </w:r>
      <w:r w:rsidR="00203F72" w:rsidRPr="006B7176">
        <w:t>雙方主張海域之主權，不受《漁業協議》影響，但是，我國漁船如越過</w:t>
      </w:r>
      <w:r w:rsidR="00203F72" w:rsidRPr="006B7176">
        <w:rPr>
          <w:rFonts w:hint="eastAsia"/>
        </w:rPr>
        <w:t>北緯</w:t>
      </w:r>
      <w:r w:rsidR="00203F72" w:rsidRPr="006B7176">
        <w:rPr>
          <w:rFonts w:hint="eastAsia"/>
        </w:rPr>
        <w:t>27</w:t>
      </w:r>
      <w:r w:rsidR="00203F72" w:rsidRPr="006B7176">
        <w:rPr>
          <w:rFonts w:hint="eastAsia"/>
        </w:rPr>
        <w:t>度，即會遭受日本海上執法機關之驅離或逮捕，日久，會形成一種國際慣例，即北緯</w:t>
      </w:r>
      <w:r w:rsidR="00203F72" w:rsidRPr="006B7176">
        <w:rPr>
          <w:rFonts w:hint="eastAsia"/>
        </w:rPr>
        <w:t>27</w:t>
      </w:r>
      <w:r w:rsidR="00203F72" w:rsidRPr="006B7176">
        <w:rPr>
          <w:rFonts w:hint="eastAsia"/>
        </w:rPr>
        <w:t>度以北之水域主權，係為日本所有。作者相當懷疑，我國是否以犧牲北緯</w:t>
      </w:r>
      <w:r w:rsidR="00203F72" w:rsidRPr="006B7176">
        <w:rPr>
          <w:rFonts w:hint="eastAsia"/>
        </w:rPr>
        <w:t>27</w:t>
      </w:r>
      <w:r w:rsidR="00203F72" w:rsidRPr="006B7176">
        <w:rPr>
          <w:rFonts w:hint="eastAsia"/>
        </w:rPr>
        <w:t>度以北之主權，換取日本之漁權？再者，漁權之正當性亦日受挑戰？為何逐漸地受到挑戰？</w:t>
      </w:r>
    </w:p>
    <w:p w14:paraId="4C0336F7" w14:textId="77777777" w:rsidR="00203F72" w:rsidRPr="006B7176" w:rsidRDefault="001C3A2B" w:rsidP="00D87D91">
      <w:r w:rsidRPr="006B7176">
        <w:rPr>
          <w:rFonts w:hint="eastAsia"/>
        </w:rPr>
        <w:t xml:space="preserve">　　</w:t>
      </w:r>
      <w:r w:rsidR="00203F72" w:rsidRPr="006B7176">
        <w:rPr>
          <w:rFonts w:hint="eastAsia"/>
        </w:rPr>
        <w:t>因為，漁權與世界新興潮流之立憲體例</w:t>
      </w:r>
      <w:r w:rsidR="00D92F56" w:rsidRPr="006B7176">
        <w:rPr>
          <w:rFonts w:hint="eastAsia"/>
        </w:rPr>
        <w:t>〜</w:t>
      </w:r>
      <w:r w:rsidR="00203F72" w:rsidRPr="006B7176">
        <w:rPr>
          <w:rFonts w:hint="eastAsia"/>
        </w:rPr>
        <w:t>憲法中加入動物權之保障，兩者是相互衝突，動物權之保障，其射程係包括：海洋中之各式漁業資源。假若吾人從漁權，與世界新興潮流之立憲體例</w:t>
      </w:r>
      <w:r w:rsidR="00D92F56" w:rsidRPr="006B7176">
        <w:rPr>
          <w:rFonts w:hint="eastAsia"/>
        </w:rPr>
        <w:t>〜</w:t>
      </w:r>
      <w:r w:rsidR="00203F72" w:rsidRPr="006B7176">
        <w:rPr>
          <w:rFonts w:hint="eastAsia"/>
        </w:rPr>
        <w:t>憲法中加入動物權之保障，兩者是相互衝突之上述觀點出發，</w:t>
      </w:r>
      <w:r w:rsidR="00203F72" w:rsidRPr="006B7176">
        <w:rPr>
          <w:rFonts w:hint="eastAsia"/>
        </w:rPr>
        <w:t>2013</w:t>
      </w:r>
      <w:r w:rsidR="00203F72" w:rsidRPr="006B7176">
        <w:rPr>
          <w:rFonts w:hint="eastAsia"/>
        </w:rPr>
        <w:t>年臺日兩國共同簽定之《臺日漁業協議》，我國可謂是澈底之輸家。一者，《臺日漁業協議》與動物權之保障，相互衝突。</w:t>
      </w:r>
    </w:p>
    <w:p w14:paraId="32608490" w14:textId="77777777" w:rsidR="00203F72" w:rsidRPr="006B7176" w:rsidRDefault="001C3A2B" w:rsidP="00D87D91">
      <w:r w:rsidRPr="006B7176">
        <w:rPr>
          <w:rFonts w:hint="eastAsia"/>
        </w:rPr>
        <w:t xml:space="preserve">　　</w:t>
      </w:r>
      <w:r w:rsidR="00203F72" w:rsidRPr="006B7176">
        <w:rPr>
          <w:rFonts w:hint="eastAsia"/>
        </w:rPr>
        <w:t>二者，我國日後如欲主張北緯</w:t>
      </w:r>
      <w:r w:rsidR="00203F72" w:rsidRPr="006B7176">
        <w:rPr>
          <w:rFonts w:hint="eastAsia"/>
        </w:rPr>
        <w:t>27</w:t>
      </w:r>
      <w:r w:rsidR="00203F72" w:rsidRPr="006B7176">
        <w:rPr>
          <w:rFonts w:hint="eastAsia"/>
        </w:rPr>
        <w:t>度以北之水域主權，係為台灣所有，恐更會有一定之難度，宛如現今釣魚台之翻版。事實上，</w:t>
      </w:r>
      <w:r w:rsidR="00203F72" w:rsidRPr="006B7176">
        <w:t>根據</w:t>
      </w:r>
      <w:r w:rsidR="00203F72" w:rsidRPr="006B7176">
        <w:rPr>
          <w:rFonts w:hint="eastAsia"/>
        </w:rPr>
        <w:t>下圖</w:t>
      </w:r>
      <w:r w:rsidR="00203F72" w:rsidRPr="006B7176">
        <w:rPr>
          <w:rFonts w:hint="eastAsia"/>
        </w:rPr>
        <w:t>2013</w:t>
      </w:r>
      <w:r w:rsidR="00203F72" w:rsidRPr="006B7176">
        <w:rPr>
          <w:rFonts w:hint="eastAsia"/>
        </w:rPr>
        <w:t>年臺日兩國共同簽定之《臺日漁業協議》示意圖形，長遠來看，我國會逐步地喪失主張北緯</w:t>
      </w:r>
      <w:r w:rsidR="00203F72" w:rsidRPr="006B7176">
        <w:rPr>
          <w:rFonts w:hint="eastAsia"/>
        </w:rPr>
        <w:t>27</w:t>
      </w:r>
      <w:r w:rsidR="00203F72" w:rsidRPr="006B7176">
        <w:rPr>
          <w:rFonts w:hint="eastAsia"/>
        </w:rPr>
        <w:t>度以北之水域主權之合理性與正當性，我國恐是一大輸家。</w:t>
      </w:r>
    </w:p>
    <w:p w14:paraId="3BCA5231" w14:textId="77777777" w:rsidR="00203F72" w:rsidRPr="006B7176" w:rsidRDefault="001C3A2B" w:rsidP="00D87D91">
      <w:r w:rsidRPr="006B7176">
        <w:rPr>
          <w:rFonts w:hint="eastAsia"/>
        </w:rPr>
        <w:t xml:space="preserve">　　</w:t>
      </w:r>
      <w:r w:rsidR="00203F72" w:rsidRPr="006B7176">
        <w:rPr>
          <w:rFonts w:hint="eastAsia"/>
        </w:rPr>
        <w:t>上述之《臺日漁業協議》，缺乏世界新興潮流之立憲體例</w:t>
      </w:r>
      <w:r w:rsidR="00D92F56" w:rsidRPr="006B7176">
        <w:rPr>
          <w:rFonts w:hint="eastAsia"/>
        </w:rPr>
        <w:t>〜</w:t>
      </w:r>
      <w:r w:rsidR="00203F72" w:rsidRPr="006B7176">
        <w:rPr>
          <w:rFonts w:hint="eastAsia"/>
        </w:rPr>
        <w:t>憲法中加入動物權之保障之文明精神。由於我國憲法中，未加入動物權之保障，故上述之《臺日漁業協議》，雖然，或許無違憲之可能性，但是，充斥著反文明與反動物權之氛圍。我國一味地重</w:t>
      </w:r>
      <w:r w:rsidR="003E240E">
        <w:rPr>
          <w:rFonts w:hint="eastAsia"/>
        </w:rPr>
        <w:t>視</w:t>
      </w:r>
      <w:r w:rsidR="00203F72" w:rsidRPr="006B7176">
        <w:rPr>
          <w:rFonts w:hint="eastAsia"/>
        </w:rPr>
        <w:t>漁權，而不重</w:t>
      </w:r>
      <w:r w:rsidR="003E240E">
        <w:rPr>
          <w:rFonts w:hint="eastAsia"/>
        </w:rPr>
        <w:t>視</w:t>
      </w:r>
      <w:r w:rsidR="00203F72" w:rsidRPr="006B7176">
        <w:rPr>
          <w:rFonts w:hint="eastAsia"/>
        </w:rPr>
        <w:t>動物權之保障，亦非良善之施政。本書認為，動物權之保障，短、中、長期而論，應優先於漁權。我國一味地重</w:t>
      </w:r>
      <w:r w:rsidR="003E240E">
        <w:rPr>
          <w:rFonts w:hint="eastAsia"/>
        </w:rPr>
        <w:t>視</w:t>
      </w:r>
      <w:r w:rsidR="00203F72" w:rsidRPr="006B7176">
        <w:rPr>
          <w:rFonts w:hint="eastAsia"/>
        </w:rPr>
        <w:t>漁權，一味地忽</w:t>
      </w:r>
      <w:r w:rsidR="003E240E">
        <w:rPr>
          <w:rFonts w:hint="eastAsia"/>
        </w:rPr>
        <w:t>視</w:t>
      </w:r>
      <w:r w:rsidR="00203F72" w:rsidRPr="006B7176">
        <w:rPr>
          <w:rFonts w:hint="eastAsia"/>
        </w:rPr>
        <w:t>動物權之保障，有背於世界新興潮流之立憲體例，恐有本末倒置之嫌。</w:t>
      </w:r>
    </w:p>
    <w:p w14:paraId="5BBFFF63" w14:textId="77777777" w:rsidR="00953151" w:rsidRDefault="001C3A2B" w:rsidP="00D87D91">
      <w:pPr>
        <w:rPr>
          <w:rFonts w:ascii="新細明體" w:hAnsi="新細明體"/>
          <w:kern w:val="0"/>
        </w:rPr>
      </w:pPr>
      <w:r w:rsidRPr="006B7176">
        <w:t xml:space="preserve">　　</w:t>
      </w:r>
      <w:r w:rsidR="00203F72" w:rsidRPr="006B7176">
        <w:t>由於我國現行之憲法，未能適時地彰顯我國是為海洋國家，非大陸型之國家，此會阻礙我國朝海洋國家發展之方向，由此，亦可彰顯出，於兩岸未統一之前，我國制定專門適用於台灣地區之暫行憲法之必要性，積極悍衛中華民國之</w:t>
      </w:r>
      <w:r w:rsidR="00203F72" w:rsidRPr="006B7176">
        <w:rPr>
          <w:rFonts w:hint="eastAsia"/>
        </w:rPr>
        <w:t>水域主權</w:t>
      </w:r>
      <w:r w:rsidR="00203F72" w:rsidRPr="006B7176">
        <w:t>。</w:t>
      </w:r>
      <w:r w:rsidR="00193290" w:rsidRPr="0065661E">
        <w:rPr>
          <w:rFonts w:hint="eastAsia"/>
          <w:color w:val="FFFFFF" w:themeColor="background1"/>
        </w:rPr>
        <w:t>◇◆</w:t>
      </w:r>
    </w:p>
    <w:p w14:paraId="6FB54DC8" w14:textId="77777777" w:rsidR="00203F72" w:rsidRPr="00A53581" w:rsidRDefault="00203F72" w:rsidP="00D87D91">
      <w:r>
        <w:rPr>
          <w:noProof/>
        </w:rPr>
        <w:drawing>
          <wp:inline distT="0" distB="0" distL="0" distR="0" wp14:anchorId="5BFE2EEB" wp14:editId="415AD047">
            <wp:extent cx="4787900" cy="3437255"/>
            <wp:effectExtent l="0" t="0" r="0" b="0"/>
            <wp:docPr id="32" name="圖片 32" descr="521px-Japan_taiwan_fishing_agre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21px-Japan_taiwan_fishing_agreement"/>
                    <pic:cNvPicPr>
                      <a:picLocks noChangeAspect="1" noChangeArrowheads="1"/>
                    </pic:cNvPicPr>
                  </pic:nvPicPr>
                  <pic:blipFill>
                    <a:blip r:embed="rId2381">
                      <a:extLst>
                        <a:ext uri="{28A0092B-C50C-407E-A947-70E740481C1C}">
                          <a14:useLocalDpi xmlns:a14="http://schemas.microsoft.com/office/drawing/2010/main" val="0"/>
                        </a:ext>
                      </a:extLst>
                    </a:blip>
                    <a:srcRect/>
                    <a:stretch>
                      <a:fillRect/>
                    </a:stretch>
                  </pic:blipFill>
                  <pic:spPr bwMode="auto">
                    <a:xfrm>
                      <a:off x="0" y="0"/>
                      <a:ext cx="4787900" cy="3437255"/>
                    </a:xfrm>
                    <a:prstGeom prst="rect">
                      <a:avLst/>
                    </a:prstGeom>
                    <a:noFill/>
                    <a:ln>
                      <a:noFill/>
                    </a:ln>
                  </pic:spPr>
                </pic:pic>
              </a:graphicData>
            </a:graphic>
          </wp:inline>
        </w:drawing>
      </w:r>
    </w:p>
    <w:p w14:paraId="1975E32D" w14:textId="1CA0D92B" w:rsidR="00203F72" w:rsidRPr="006B7176" w:rsidRDefault="00B03E84" w:rsidP="00D87D91">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28</w:t>
      </w:r>
      <w:r w:rsidR="00076467">
        <w:rPr>
          <w:noProof/>
        </w:rPr>
        <w:fldChar w:fldCharType="end"/>
      </w:r>
      <w:r w:rsidR="00203F72" w:rsidRPr="00A53581">
        <w:rPr>
          <w:rStyle w:val="mw-mmv-title"/>
          <w:rFonts w:ascii="新細明體" w:hAnsi="新細明體" w:hint="eastAsia"/>
        </w:rPr>
        <w:t>《臺日漁業協議》台灣漁船可捕魚的範圍（紫色粗線所框起區域內，但不</w:t>
      </w:r>
      <w:r w:rsidR="00203F72" w:rsidRPr="006B7176">
        <w:rPr>
          <w:rFonts w:hint="eastAsia"/>
        </w:rPr>
        <w:t>含釣魚台列嶼</w:t>
      </w:r>
      <w:r w:rsidR="00203F72" w:rsidRPr="006B7176">
        <w:rPr>
          <w:rFonts w:hint="eastAsia"/>
        </w:rPr>
        <w:t>12</w:t>
      </w:r>
      <w:r w:rsidR="00203F72" w:rsidRPr="006B7176">
        <w:rPr>
          <w:rFonts w:hint="eastAsia"/>
        </w:rPr>
        <w:t>浬海域）</w:t>
      </w:r>
      <w:r w:rsidR="00203F72" w:rsidRPr="006B7176">
        <w:footnoteReference w:id="1022"/>
      </w:r>
    </w:p>
    <w:p w14:paraId="5A98F004" w14:textId="77777777" w:rsidR="00953151" w:rsidRDefault="00B03E84" w:rsidP="00D87D91">
      <w:r w:rsidRPr="006B7176">
        <w:rPr>
          <w:rFonts w:hint="eastAsia"/>
        </w:rPr>
        <w:t>【資料來源】</w:t>
      </w:r>
      <w:r w:rsidR="00203F72" w:rsidRPr="006B7176">
        <w:rPr>
          <w:rFonts w:hint="eastAsia"/>
        </w:rPr>
        <w:t>維基百科</w:t>
      </w:r>
      <w:r w:rsidR="00203F72" w:rsidRPr="006B7176">
        <w:rPr>
          <w:rFonts w:hint="eastAsia"/>
        </w:rPr>
        <w:t>(2015)</w:t>
      </w:r>
      <w:r w:rsidR="00203F72" w:rsidRPr="006B7176">
        <w:rPr>
          <w:rFonts w:hint="eastAsia"/>
        </w:rPr>
        <w:t>，臺日漁業協議，上網瀏覽時間：</w:t>
      </w:r>
      <w:r w:rsidR="00203F72" w:rsidRPr="006B7176">
        <w:rPr>
          <w:rFonts w:hint="eastAsia"/>
        </w:rPr>
        <w:t>2015/07/31</w:t>
      </w:r>
      <w:r w:rsidR="00203F72" w:rsidRPr="006B7176">
        <w:rPr>
          <w:rFonts w:hint="eastAsia"/>
        </w:rPr>
        <w:t>，</w:t>
      </w:r>
      <w:hyperlink r:id="rId2382" w:history="1">
        <w:r w:rsidR="00203F72" w:rsidRPr="006B7176">
          <w:rPr>
            <w:rStyle w:val="a5"/>
          </w:rPr>
          <w:t>https://zh.wikipedia.org/wiki/%E8%87%BA%E6%97%A5%E6%BC%81%E6%A5%AD%E5%8D%94%E8%AD%B0</w:t>
        </w:r>
      </w:hyperlink>
      <w:r w:rsidR="00203F72" w:rsidRPr="00A53581">
        <w:t>。</w:t>
      </w:r>
      <w:r w:rsidR="00193290" w:rsidRPr="0065661E">
        <w:rPr>
          <w:rFonts w:hint="eastAsia"/>
          <w:color w:val="FFFFFF" w:themeColor="background1"/>
        </w:rPr>
        <w:t>◇◆</w:t>
      </w:r>
    </w:p>
    <w:p w14:paraId="383CABE9" w14:textId="77777777" w:rsidR="00203F72" w:rsidRPr="00A53581" w:rsidRDefault="00203F72" w:rsidP="00D87D91"/>
    <w:p w14:paraId="0A9BD70D" w14:textId="77777777" w:rsidR="00203F72" w:rsidRPr="00A53581" w:rsidRDefault="00203F72" w:rsidP="00D87D91">
      <w:r>
        <w:rPr>
          <w:noProof/>
        </w:rPr>
        <w:drawing>
          <wp:inline distT="0" distB="0" distL="0" distR="0" wp14:anchorId="53F504A4" wp14:editId="79BFE10A">
            <wp:extent cx="4932045" cy="2171700"/>
            <wp:effectExtent l="0" t="0" r="1905" b="0"/>
            <wp:docPr id="33" name="圖片 33"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0"/>
                    <pic:cNvPicPr>
                      <a:picLocks noChangeAspect="1" noChangeArrowheads="1"/>
                    </pic:cNvPicPr>
                  </pic:nvPicPr>
                  <pic:blipFill>
                    <a:blip r:embed="rId2383">
                      <a:extLst>
                        <a:ext uri="{28A0092B-C50C-407E-A947-70E740481C1C}">
                          <a14:useLocalDpi xmlns:a14="http://schemas.microsoft.com/office/drawing/2010/main" val="0"/>
                        </a:ext>
                      </a:extLst>
                    </a:blip>
                    <a:srcRect/>
                    <a:stretch>
                      <a:fillRect/>
                    </a:stretch>
                  </pic:blipFill>
                  <pic:spPr bwMode="auto">
                    <a:xfrm>
                      <a:off x="0" y="0"/>
                      <a:ext cx="4932045" cy="2171700"/>
                    </a:xfrm>
                    <a:prstGeom prst="rect">
                      <a:avLst/>
                    </a:prstGeom>
                    <a:noFill/>
                    <a:ln>
                      <a:noFill/>
                    </a:ln>
                  </pic:spPr>
                </pic:pic>
              </a:graphicData>
            </a:graphic>
          </wp:inline>
        </w:drawing>
      </w:r>
    </w:p>
    <w:p w14:paraId="1795B331" w14:textId="7418B80B" w:rsidR="00203F72" w:rsidRPr="006B7176" w:rsidRDefault="00B03E84" w:rsidP="00D87D91">
      <w:r w:rsidRPr="006B7176">
        <w:t>【</w:t>
      </w:r>
      <w:r w:rsidRPr="006B7176">
        <w:t>figure</w:t>
      </w:r>
      <w:r w:rsidR="005E23E3" w:rsidRPr="006B7176">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29</w:t>
      </w:r>
      <w:r w:rsidR="00076467">
        <w:rPr>
          <w:noProof/>
        </w:rPr>
        <w:fldChar w:fldCharType="end"/>
      </w:r>
      <w:r w:rsidR="00203F72" w:rsidRPr="006B7176">
        <w:rPr>
          <w:rFonts w:hint="eastAsia"/>
        </w:rPr>
        <w:t>《臺日漁業協議》示意圖</w:t>
      </w:r>
      <w:r w:rsidR="00203F72" w:rsidRPr="006B7176">
        <w:footnoteReference w:id="1023"/>
      </w:r>
    </w:p>
    <w:p w14:paraId="65080B62" w14:textId="77777777" w:rsidR="00953151" w:rsidRPr="006B7176" w:rsidRDefault="00B03E84" w:rsidP="00D87D91">
      <w:r w:rsidRPr="006B7176">
        <w:rPr>
          <w:rFonts w:hint="eastAsia"/>
        </w:rPr>
        <w:t>【資料來源】</w:t>
      </w:r>
      <w:hyperlink r:id="rId2384" w:history="1">
        <w:r w:rsidR="00203F72" w:rsidRPr="006B7176">
          <w:rPr>
            <w:rStyle w:val="a5"/>
            <w:rFonts w:hint="eastAsia"/>
          </w:rPr>
          <w:t>有縁ネット</w:t>
        </w:r>
      </w:hyperlink>
      <w:r w:rsidR="00203F72" w:rsidRPr="006B7176">
        <w:rPr>
          <w:rFonts w:hint="eastAsia"/>
        </w:rPr>
        <w:t>＝中国と日本＝あれやこれや</w:t>
      </w:r>
      <w:r w:rsidR="00203F72" w:rsidRPr="006B7176">
        <w:rPr>
          <w:rFonts w:hint="eastAsia"/>
        </w:rPr>
        <w:t>(2015)</w:t>
      </w:r>
      <w:r w:rsidR="00203F72" w:rsidRPr="006B7176">
        <w:rPr>
          <w:rFonts w:hint="eastAsia"/>
        </w:rPr>
        <w:t>，日本漁業権問題で台湾を取り込み，中国を牽制，上網瀏覽時間：</w:t>
      </w:r>
      <w:r w:rsidR="00203F72" w:rsidRPr="006B7176">
        <w:rPr>
          <w:rFonts w:hint="eastAsia"/>
        </w:rPr>
        <w:t>2015/07/31</w:t>
      </w:r>
      <w:r w:rsidR="00203F72" w:rsidRPr="006B7176">
        <w:rPr>
          <w:rFonts w:hint="eastAsia"/>
        </w:rPr>
        <w:t>，</w:t>
      </w:r>
      <w:hyperlink r:id="rId2385" w:history="1">
        <w:r w:rsidR="00203F72" w:rsidRPr="006B7176">
          <w:rPr>
            <w:rStyle w:val="a5"/>
          </w:rPr>
          <w:t>http://henmi42.cocolog-nifty.com/yijianyeye/2013/04/post-3ed0.html</w:t>
        </w:r>
      </w:hyperlink>
      <w:r w:rsidR="00203F72" w:rsidRPr="006B7176">
        <w:t>。</w:t>
      </w:r>
    </w:p>
    <w:p w14:paraId="00A98B5E" w14:textId="77777777" w:rsidR="00145751" w:rsidRDefault="00145751" w:rsidP="00E108EB">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035443AF" w14:textId="77777777" w:rsidR="00145751" w:rsidRDefault="00145751" w:rsidP="00D87D91"/>
    <w:p w14:paraId="52B53C55" w14:textId="77777777" w:rsidR="00953151" w:rsidRDefault="00203F72" w:rsidP="00767F37">
      <w:pPr>
        <w:pStyle w:val="2"/>
      </w:pPr>
      <w:bookmarkStart w:id="125" w:name="_貮、憲法序言宜闡明我國負有國際上之責任與義務"/>
      <w:bookmarkEnd w:id="125"/>
      <w:r w:rsidRPr="00A53581">
        <w:t>貮、憲法序言宜闡明我國負有國際上之責任與義務</w:t>
      </w:r>
      <w:r w:rsidRPr="00A53581">
        <w:t xml:space="preserve"> </w:t>
      </w:r>
    </w:p>
    <w:p w14:paraId="0DD87138" w14:textId="77777777" w:rsidR="00953151" w:rsidRPr="006B7176" w:rsidRDefault="001C3A2B" w:rsidP="00D87D91">
      <w:r w:rsidRPr="006B7176">
        <w:t xml:space="preserve">　　</w:t>
      </w:r>
      <w:r w:rsidR="00203F72" w:rsidRPr="006B7176">
        <w:t>德意志聯邦共和國基本法之序言指出：我德意志人民</w:t>
      </w:r>
      <w:r w:rsidR="00203F72" w:rsidRPr="006B7176">
        <w:t>(the German people)</w:t>
      </w:r>
      <w:r w:rsidR="00203F72" w:rsidRPr="006B7176">
        <w:t>，認識到對上帝與人類所負之責任</w:t>
      </w:r>
      <w:r w:rsidR="00203F72" w:rsidRPr="006B7176">
        <w:t>(Conscious of their responsibility before God and man)</w:t>
      </w:r>
      <w:r w:rsidR="00203F72" w:rsidRPr="006B7176">
        <w:t>，願以聯合歐洲中一平等分子之地位</w:t>
      </w:r>
      <w:r w:rsidR="00203F72" w:rsidRPr="006B7176">
        <w:t>(as an equal partner in a united Europe)</w:t>
      </w:r>
      <w:r w:rsidR="00203F72" w:rsidRPr="006B7176">
        <w:t>，貢獻世界和平</w:t>
      </w:r>
      <w:r w:rsidR="00203F72" w:rsidRPr="006B7176">
        <w:t>(Inspired by the determination to promote world peace)</w:t>
      </w:r>
      <w:r w:rsidR="00203F72" w:rsidRPr="006B7176">
        <w:t>，茲本於制憲權力之運用</w:t>
      </w:r>
      <w:r w:rsidR="00203F72" w:rsidRPr="006B7176">
        <w:t>(in the exercise of their constituent power)</w:t>
      </w:r>
      <w:r w:rsidR="00203F72" w:rsidRPr="006B7176">
        <w:t>，制定與採用此基本法</w:t>
      </w:r>
      <w:r w:rsidR="00203F72" w:rsidRPr="006B7176">
        <w:t xml:space="preserve">(have adopted this Basic Law) </w:t>
      </w:r>
      <w:r w:rsidR="00203F72" w:rsidRPr="006B7176">
        <w:footnoteReference w:id="1024"/>
      </w:r>
      <w:r w:rsidR="00203F72" w:rsidRPr="006B7176">
        <w:t>。</w:t>
      </w:r>
    </w:p>
    <w:p w14:paraId="437C1E87" w14:textId="77777777" w:rsidR="00203F72" w:rsidRPr="006B7176" w:rsidRDefault="001C3A2B" w:rsidP="00D87D91">
      <w:r w:rsidRPr="006B7176">
        <w:t xml:space="preserve">　　</w:t>
      </w:r>
      <w:r w:rsidR="00203F72" w:rsidRPr="006B7176">
        <w:t>我國憲法序言之中，在描述我國憲政之基石方面，除了孫中山先生之遺教外，實宜與時俱進，增列中華民國身居國際社會之一員，對於國際社會之進步、發展及和平之提升</w:t>
      </w:r>
      <w:r w:rsidR="00203F72" w:rsidRPr="006B7176">
        <w:t>(Inspired by the determination to promote world peace)</w:t>
      </w:r>
      <w:r w:rsidR="00203F72" w:rsidRPr="006B7176">
        <w:t>，負有國際上之責任與義務。亦即，仿照芬蘭憲法第</w:t>
      </w:r>
      <w:r w:rsidR="00203F72" w:rsidRPr="006B7176">
        <w:t>1</w:t>
      </w:r>
      <w:r w:rsidR="00203F72" w:rsidRPr="006B7176">
        <w:t>條</w:t>
      </w:r>
      <w:r w:rsidR="00203F72" w:rsidRPr="006B7176">
        <w:footnoteReference w:id="1025"/>
      </w:r>
      <w:r w:rsidR="00203F72" w:rsidRPr="006B7176">
        <w:t>及德國基本法序言</w:t>
      </w:r>
      <w:r w:rsidR="00203F72" w:rsidRPr="006B7176">
        <w:footnoteReference w:id="1026"/>
      </w:r>
      <w:r w:rsidR="00203F72" w:rsidRPr="006B7176">
        <w:t>之制憲例，明文闡釋我國對促進世界合作、保障基本人權與提升世界之和平</w:t>
      </w:r>
      <w:r w:rsidR="00203F72" w:rsidRPr="006B7176">
        <w:t>(to promote world peace)</w:t>
      </w:r>
      <w:r w:rsidR="00203F72" w:rsidRPr="006B7176">
        <w:t>，將極力地貢獻所能。台灣目前之實況，常以國際孤兒自居，對促進世界性之合作、保障基本人權與提升世界之和平</w:t>
      </w:r>
      <w:r w:rsidR="00203F72" w:rsidRPr="006B7176">
        <w:t>(to promote world peace)</w:t>
      </w:r>
      <w:r w:rsidR="00203F72" w:rsidRPr="006B7176">
        <w:t>，常常以事不關己之態度自處，久而久之，會與國際社會隔絕。</w:t>
      </w:r>
    </w:p>
    <w:p w14:paraId="0BABE8D4" w14:textId="77777777" w:rsidR="00953151" w:rsidRPr="006B7176" w:rsidRDefault="001C3A2B" w:rsidP="00D87D91">
      <w:r w:rsidRPr="006B7176">
        <w:t xml:space="preserve">　　</w:t>
      </w:r>
      <w:r w:rsidR="00203F72" w:rsidRPr="006B7176">
        <w:t>目前，我國憲法序言之中，獨尊孫中山先生之遺教，而排斥其他之立憲法源，恐非明智之舉，且似有與國際社會及國際法嚴重脫節之感；再者，易將中華民國之國家憲法，淪落為孫中山先生之「個人憲法」，充斥個人與人治之色彩，導致稀釋民主憲政之光環與實質內容；本書建議，我國憲法序言之中，立憲之法源，除保留孫中山先生之遺教外，宜擴增其他之立憲法源，諸如：我國對世界合作、保障基本人權、促進人類社會發展與世界之和平</w:t>
      </w:r>
      <w:r w:rsidR="00203F72" w:rsidRPr="006B7176">
        <w:t>(to promote world peace</w:t>
      </w:r>
      <w:r w:rsidR="00203F72" w:rsidRPr="006B7176">
        <w:footnoteReference w:id="1027"/>
      </w:r>
      <w:r w:rsidR="00203F72" w:rsidRPr="006B7176">
        <w:t>)</w:t>
      </w:r>
      <w:r w:rsidR="00203F72" w:rsidRPr="006B7176">
        <w:t>，負有國際上之責任與義務，並將極力貢獻所能等宗旨。</w:t>
      </w:r>
    </w:p>
    <w:p w14:paraId="5D0FC0F1" w14:textId="77777777" w:rsidR="00145751" w:rsidRDefault="00145751" w:rsidP="00F82426">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069B2AB" w14:textId="77777777" w:rsidR="00145751" w:rsidRDefault="00145751" w:rsidP="00D87D91"/>
    <w:p w14:paraId="31F83126" w14:textId="77777777" w:rsidR="00953151" w:rsidRDefault="00203F72" w:rsidP="00767F37">
      <w:pPr>
        <w:pStyle w:val="2"/>
      </w:pPr>
      <w:bookmarkStart w:id="126" w:name="_參、憲法宜明文規範「中華民國」係為一個擁有主權自主且獨立之國家"/>
      <w:bookmarkEnd w:id="126"/>
      <w:r w:rsidRPr="00A53581">
        <w:t>參、憲法宜明文規範「中華民國」係為一個擁有主權自主且獨立之國家</w:t>
      </w:r>
    </w:p>
    <w:p w14:paraId="19824F48" w14:textId="77777777" w:rsidR="00953151" w:rsidRPr="00BD43D3" w:rsidRDefault="001C3A2B" w:rsidP="00D87D91">
      <w:r w:rsidRPr="00BD43D3">
        <w:t xml:space="preserve">　　</w:t>
      </w:r>
      <w:r w:rsidR="00203F72" w:rsidRPr="00BD43D3">
        <w:t>由於我國憲法之本文中，並未明示中華民國係為一個主權獨立之國家，故有關於中華民國之國際地位，有部分人士遂主張：</w:t>
      </w:r>
      <w:r w:rsidR="00203F72" w:rsidRPr="00BD43D3">
        <w:t>1</w:t>
      </w:r>
      <w:r w:rsidR="00203F72" w:rsidRPr="00BD43D3">
        <w:t>、台灣地位未定論；</w:t>
      </w:r>
      <w:r w:rsidR="00203F72" w:rsidRPr="00BD43D3">
        <w:t>2</w:t>
      </w:r>
      <w:r w:rsidR="00203F72" w:rsidRPr="00BD43D3">
        <w:t>、台灣仍隸屬於日本國；</w:t>
      </w:r>
      <w:r w:rsidR="00203F72" w:rsidRPr="00BD43D3">
        <w:t>3</w:t>
      </w:r>
      <w:r w:rsidR="00203F72" w:rsidRPr="00BD43D3">
        <w:t>、台灣係為中華人民共和國之領土；</w:t>
      </w:r>
      <w:r w:rsidR="00203F72" w:rsidRPr="00BD43D3">
        <w:t>4</w:t>
      </w:r>
      <w:r w:rsidR="00203F72" w:rsidRPr="00BD43D3">
        <w:t>、台灣隸屬於美國。其中，最受到爭議的部分，係台灣究竟是否為「中華人民共和國」之領土？台灣主權與國際地位的問題，是否屬於中華人民共和國之內政問題？此一問題，值得深入探討。</w:t>
      </w:r>
    </w:p>
    <w:p w14:paraId="372833C8" w14:textId="77777777" w:rsidR="00953151" w:rsidRPr="00BD43D3" w:rsidRDefault="001C3A2B" w:rsidP="00D87D91">
      <w:r w:rsidRPr="00BD43D3">
        <w:t xml:space="preserve">　　</w:t>
      </w:r>
      <w:r w:rsidR="00203F72" w:rsidRPr="00BD43D3">
        <w:t>有關於中華民國之國際法上之國家地位，高哲翰教授於本書推薦序文中，其指出：「依憲法之內容，中華民國是一個主權獨立之國家，至於國際上承不承認中華民國？並不影響中華民國是一個主權獨立之國家的事實與狀況」。高哲翰教授於本書推薦序文中，非常清楚地表達了他的看法</w:t>
      </w:r>
      <w:r w:rsidR="00D92F56" w:rsidRPr="00BD43D3">
        <w:t>〜</w:t>
      </w:r>
      <w:r w:rsidR="00203F72" w:rsidRPr="00BD43D3">
        <w:t>「即中華民國是一個主權自主與獨立之國家，她並非中國大陸、日本或美國的領土。高哲翰教授於本書推薦序文中，其亦指出，兩岸關係不是國際關係，但也不是國內關係，而是特殊的關係，這點，多數人都能認同。」</w:t>
      </w:r>
      <w:r w:rsidR="00203F72" w:rsidRPr="00BD43D3">
        <w:rPr>
          <w:rFonts w:hint="eastAsia"/>
        </w:rPr>
        <w:t>此外，釋從慈法師於</w:t>
      </w:r>
      <w:r w:rsidR="00203F72" w:rsidRPr="00BD43D3">
        <w:t>本書推薦序文中，亦非常清楚地表達他的看法，其明文指出</w:t>
      </w:r>
      <w:r w:rsidR="00D92F56" w:rsidRPr="00BD43D3">
        <w:rPr>
          <w:rFonts w:hint="eastAsia"/>
        </w:rPr>
        <w:t>〜</w:t>
      </w:r>
      <w:r w:rsidR="00203F72" w:rsidRPr="00BD43D3">
        <w:rPr>
          <w:rFonts w:hint="eastAsia"/>
        </w:rPr>
        <w:t>中</w:t>
      </w:r>
      <w:r w:rsidR="00203F72" w:rsidRPr="00BD43D3">
        <w:t>華民國</w:t>
      </w:r>
      <w:r w:rsidR="00203F72" w:rsidRPr="00BD43D3">
        <w:rPr>
          <w:rFonts w:hint="eastAsia"/>
        </w:rPr>
        <w:t>是</w:t>
      </w:r>
      <w:r w:rsidR="00203F72" w:rsidRPr="00BD43D3">
        <w:t>有主權的國家。以上之觀點，本書完全贊同之。</w:t>
      </w:r>
    </w:p>
    <w:p w14:paraId="1C574318" w14:textId="77777777" w:rsidR="00203F72" w:rsidRPr="00BD43D3" w:rsidRDefault="001C3A2B" w:rsidP="00D87D91">
      <w:r w:rsidRPr="00BD43D3">
        <w:t xml:space="preserve">　　</w:t>
      </w:r>
      <w:r w:rsidR="00203F72" w:rsidRPr="00BD43D3">
        <w:t>中國大陸仍是台灣國家安全之最大威脅者，處心積慮想消滅中華民國。根據日本平成</w:t>
      </w:r>
      <w:r w:rsidR="00203F72" w:rsidRPr="00BD43D3">
        <w:t>25</w:t>
      </w:r>
      <w:r w:rsidR="00203F72" w:rsidRPr="00BD43D3">
        <w:t>年</w:t>
      </w:r>
      <w:r w:rsidR="00203F72" w:rsidRPr="00BD43D3">
        <w:t>(2013</w:t>
      </w:r>
      <w:r w:rsidR="00203F72" w:rsidRPr="00BD43D3">
        <w:t>年</w:t>
      </w:r>
      <w:r w:rsidR="00203F72" w:rsidRPr="00BD43D3">
        <w:t>)</w:t>
      </w:r>
      <w:r w:rsidR="00203F72" w:rsidRPr="00BD43D3">
        <w:t>防衛省防衛白皮書第</w:t>
      </w:r>
      <w:r w:rsidR="00203F72" w:rsidRPr="00BD43D3">
        <w:t>1</w:t>
      </w:r>
      <w:r w:rsidR="00203F72" w:rsidRPr="00BD43D3">
        <w:t>篇第</w:t>
      </w:r>
      <w:r w:rsidR="00203F72" w:rsidRPr="00BD43D3">
        <w:t>1</w:t>
      </w:r>
      <w:r w:rsidR="00203F72" w:rsidRPr="00BD43D3">
        <w:t>章第</w:t>
      </w:r>
      <w:r w:rsidR="00203F72" w:rsidRPr="00BD43D3">
        <w:t>3</w:t>
      </w:r>
      <w:r w:rsidR="00203F72" w:rsidRPr="00BD43D3">
        <w:t>節有關於中國部分</w:t>
      </w:r>
      <w:r w:rsidR="00203F72" w:rsidRPr="00BD43D3">
        <w:t>(</w:t>
      </w:r>
      <w:r w:rsidR="00203F72" w:rsidRPr="00BD43D3">
        <w:t>含台灣</w:t>
      </w:r>
      <w:r w:rsidR="00203F72" w:rsidRPr="00BD43D3">
        <w:t>)</w:t>
      </w:r>
      <w:r w:rsidR="00203F72" w:rsidRPr="00BD43D3">
        <w:t>之文獻內容指出，中國大陸對於台灣問題之認知，係認為這是牽涉中國大陸國家主權之「核心問題」，故對於此一課題，中國大陸特別加以重</w:t>
      </w:r>
      <w:r w:rsidR="003E240E">
        <w:t>視</w:t>
      </w:r>
      <w:r w:rsidR="00203F72" w:rsidRPr="00BD43D3">
        <w:t>之。中國大陸軍事能量之現代化之主要目標之一，即在於阻止台灣之獨立</w:t>
      </w:r>
      <w:r w:rsidR="00203F72" w:rsidRPr="00BD43D3">
        <w:footnoteReference w:id="1028"/>
      </w:r>
      <w:r w:rsidR="00203F72" w:rsidRPr="00BD43D3">
        <w:t>。</w:t>
      </w:r>
    </w:p>
    <w:p w14:paraId="5AB5B57A" w14:textId="77777777" w:rsidR="00953151" w:rsidRPr="00BD43D3" w:rsidRDefault="001C3A2B" w:rsidP="00D87D91">
      <w:r w:rsidRPr="00BD43D3">
        <w:t xml:space="preserve">　　</w:t>
      </w:r>
      <w:r w:rsidR="00203F72" w:rsidRPr="00BD43D3">
        <w:t>根據</w:t>
      </w:r>
      <w:r w:rsidR="00203F72" w:rsidRPr="00BD43D3">
        <w:t>2005</w:t>
      </w:r>
      <w:r w:rsidR="00203F72" w:rsidRPr="00BD43D3">
        <w:t>年</w:t>
      </w:r>
      <w:r w:rsidR="00203F72" w:rsidRPr="00BD43D3">
        <w:t>3</w:t>
      </w:r>
      <w:r w:rsidR="00203F72" w:rsidRPr="00BD43D3">
        <w:t>月</w:t>
      </w:r>
      <w:r w:rsidR="00203F72" w:rsidRPr="00BD43D3">
        <w:t>14</w:t>
      </w:r>
      <w:r w:rsidR="00203F72" w:rsidRPr="00BD43D3">
        <w:t>日由中華人民共和國第十屆全國人民代表大會第三次會議通過之《反分裂國家法》</w:t>
      </w:r>
      <w:hyperlink r:id="rId2386" w:anchor="a1" w:history="1">
        <w:r w:rsidR="00203F72" w:rsidRPr="00F82426">
          <w:rPr>
            <w:rStyle w:val="a5"/>
            <w:rFonts w:ascii="Times New Roman" w:eastAsia="新細明體" w:hAnsi="Times New Roman"/>
          </w:rPr>
          <w:t>第一條</w:t>
        </w:r>
      </w:hyperlink>
      <w:r w:rsidR="00203F72" w:rsidRPr="00BD43D3">
        <w:t>之規定：「</w:t>
      </w:r>
      <w:r w:rsidR="00203F72" w:rsidRPr="00BD43D3">
        <w:t xml:space="preserve"> </w:t>
      </w:r>
      <w:r w:rsidR="00203F72" w:rsidRPr="00BD43D3">
        <w:t>為了反對和遏制</w:t>
      </w:r>
      <w:r w:rsidR="00203F72" w:rsidRPr="00BD43D3">
        <w:t>“</w:t>
      </w:r>
      <w:r w:rsidR="00203F72" w:rsidRPr="00BD43D3">
        <w:t>台獨</w:t>
      </w:r>
      <w:r w:rsidR="00203F72" w:rsidRPr="00BD43D3">
        <w:t>”</w:t>
      </w:r>
      <w:r w:rsidR="00203F72" w:rsidRPr="00BD43D3">
        <w:t>分裂勢力分裂國家，促進祖國和平統一，維護臺灣海峽地區和平穩定，維護國家主權和領土完整，維護中華民族的根本利益，根據憲法，制定本法。」</w:t>
      </w:r>
    </w:p>
    <w:p w14:paraId="07FFE749" w14:textId="77777777" w:rsidR="00203F72" w:rsidRPr="00BD43D3" w:rsidRDefault="001C3A2B" w:rsidP="00D87D91">
      <w:r w:rsidRPr="00BD43D3">
        <w:t xml:space="preserve">　　</w:t>
      </w:r>
      <w:r w:rsidR="00203F72" w:rsidRPr="00BD43D3">
        <w:t>就中國學者專家之觀點而論，有關於台灣獨立建國運動之定性，是屬於分裂國家的行為，它一直是被否定的。在國際實踐中，主權國家以非和平方式維護國家主權和領土完整的事例屢見不鮮</w:t>
      </w:r>
      <w:r w:rsidR="00203F72" w:rsidRPr="00BD43D3">
        <w:footnoteReference w:id="1029"/>
      </w:r>
      <w:r w:rsidR="00203F72" w:rsidRPr="00BD43D3">
        <w:t>。是以，在上述背景之下，中國制定</w:t>
      </w:r>
      <w:r w:rsidR="008B3555" w:rsidRPr="00BD43D3">
        <w:t>《</w:t>
      </w:r>
      <w:hyperlink r:id="rId2387" w:history="1">
        <w:r w:rsidR="008B3555" w:rsidRPr="00BD43D3">
          <w:rPr>
            <w:rStyle w:val="a5"/>
          </w:rPr>
          <w:t>反分裂國家法</w:t>
        </w:r>
      </w:hyperlink>
      <w:r w:rsidR="00203F72" w:rsidRPr="00BD43D3">
        <w:t>》。另外，根據《反分裂國家法</w:t>
      </w:r>
      <w:r w:rsidR="00B56AE1" w:rsidRPr="00BD43D3">
        <w:t>》</w:t>
      </w:r>
      <w:hyperlink r:id="rId2388" w:anchor="a2" w:history="1">
        <w:r w:rsidR="00B56AE1" w:rsidRPr="00BD43D3">
          <w:rPr>
            <w:rStyle w:val="a5"/>
          </w:rPr>
          <w:t>第二條</w:t>
        </w:r>
      </w:hyperlink>
      <w:r w:rsidR="00203F72" w:rsidRPr="00BD43D3">
        <w:t>之規定：「世界上只有一個中國，大陸和臺灣同屬一個中國，中國的主權和領土完整不容分割。維護國家主權和領土完整是包括臺灣同胞在內的全中國人民的共同義務。」臺灣是中國的一部分。國家絕不允許</w:t>
      </w:r>
      <w:r w:rsidR="00203F72" w:rsidRPr="00BD43D3">
        <w:t>“</w:t>
      </w:r>
      <w:r w:rsidR="00203F72" w:rsidRPr="00BD43D3">
        <w:t>台獨</w:t>
      </w:r>
      <w:r w:rsidR="00203F72" w:rsidRPr="00BD43D3">
        <w:t>”</w:t>
      </w:r>
      <w:r w:rsidR="00203F72" w:rsidRPr="00BD43D3">
        <w:t>分裂勢力以任何名義、任何方式把臺灣從中國分裂出去</w:t>
      </w:r>
      <w:r w:rsidR="00545D58" w:rsidRPr="00BD43D3">
        <w:t>。</w:t>
      </w:r>
    </w:p>
    <w:p w14:paraId="7F588673" w14:textId="77777777" w:rsidR="00203F72" w:rsidRPr="00BD43D3" w:rsidRDefault="001C3A2B" w:rsidP="00D87D91">
      <w:r w:rsidRPr="00BD43D3">
        <w:t xml:space="preserve">　　</w:t>
      </w:r>
      <w:r w:rsidR="00203F72" w:rsidRPr="00BD43D3">
        <w:t>根據《反分裂國家法</w:t>
      </w:r>
      <w:r w:rsidR="00B56AE1" w:rsidRPr="00BD43D3">
        <w:t>》</w:t>
      </w:r>
      <w:hyperlink r:id="rId2389" w:anchor="a2" w:history="1">
        <w:r w:rsidR="00B56AE1" w:rsidRPr="00BD43D3">
          <w:rPr>
            <w:rStyle w:val="a5"/>
          </w:rPr>
          <w:t>第二條</w:t>
        </w:r>
      </w:hyperlink>
      <w:r w:rsidR="00203F72" w:rsidRPr="00BD43D3">
        <w:t>之明文規定，大陸和臺灣同屬一個中國，不允許</w:t>
      </w:r>
      <w:r w:rsidR="00203F72" w:rsidRPr="00BD43D3">
        <w:t>“</w:t>
      </w:r>
      <w:r w:rsidR="00203F72" w:rsidRPr="00BD43D3">
        <w:t>台獨</w:t>
      </w:r>
      <w:r w:rsidR="00203F72" w:rsidRPr="00BD43D3">
        <w:t>”</w:t>
      </w:r>
      <w:r w:rsidR="00203F72" w:rsidRPr="00BD43D3">
        <w:t>分裂勢力以任何名義、任何方式把臺灣從中國分裂出去</w:t>
      </w:r>
      <w:r w:rsidR="00203F72" w:rsidRPr="00BD43D3">
        <w:footnoteReference w:id="1030"/>
      </w:r>
      <w:r w:rsidR="00203F72" w:rsidRPr="00BD43D3">
        <w:t>。在</w:t>
      </w:r>
      <w:r w:rsidR="008B3555" w:rsidRPr="00BD43D3">
        <w:t>《</w:t>
      </w:r>
      <w:hyperlink r:id="rId2390" w:history="1">
        <w:r w:rsidR="008B3555" w:rsidRPr="00BD43D3">
          <w:rPr>
            <w:rStyle w:val="a5"/>
          </w:rPr>
          <w:t>反分裂國家法</w:t>
        </w:r>
      </w:hyperlink>
      <w:r w:rsidR="00203F72" w:rsidRPr="00BD43D3">
        <w:t>》公布之後，上述之主張，已成為正式之法律檔。再者，依據《反分裂國家法</w:t>
      </w:r>
      <w:r w:rsidR="00B56AE1" w:rsidRPr="00BD43D3">
        <w:t>》</w:t>
      </w:r>
      <w:hyperlink r:id="rId2391" w:anchor="a8" w:history="1">
        <w:r w:rsidR="00B56AE1" w:rsidRPr="00BD43D3">
          <w:rPr>
            <w:rStyle w:val="a5"/>
          </w:rPr>
          <w:t>第八條</w:t>
        </w:r>
      </w:hyperlink>
      <w:r w:rsidR="00203F72" w:rsidRPr="00BD43D3">
        <w:t>之規定：「</w:t>
      </w:r>
      <w:r w:rsidR="00203F72" w:rsidRPr="00BD43D3">
        <w:t>“</w:t>
      </w:r>
      <w:r w:rsidR="00203F72" w:rsidRPr="00BD43D3">
        <w:t>台獨</w:t>
      </w:r>
      <w:r w:rsidR="00203F72" w:rsidRPr="00BD43D3">
        <w:t>”</w:t>
      </w:r>
      <w:r w:rsidR="00203F72" w:rsidRPr="00BD43D3">
        <w:t>分裂勢力以任何名義、任何方式造成臺灣從中國分裂出去的事實，或者發生將會導致臺灣從中國分裂出去的重大事變，或者和平統一的可能性完全喪失，國家得採取非和平方式及其他必要措施，捍衛國家主權和領土完整。依照前款規定採取非和平方式及其他必要措施，由國務院、中央軍事委員會決定和組織實施，並及時向全國人民代表大會常務委員會報告</w:t>
      </w:r>
      <w:r w:rsidR="00545D58" w:rsidRPr="00BD43D3">
        <w:t>。</w:t>
      </w:r>
      <w:r w:rsidR="00203F72" w:rsidRPr="00BD43D3">
        <w:t>」</w:t>
      </w:r>
    </w:p>
    <w:p w14:paraId="022AED0E" w14:textId="77777777" w:rsidR="00953151" w:rsidRPr="00BD43D3" w:rsidRDefault="001C3A2B" w:rsidP="00D87D91">
      <w:r w:rsidRPr="00BD43D3">
        <w:t xml:space="preserve">　　</w:t>
      </w:r>
      <w:r w:rsidR="00203F72" w:rsidRPr="00BD43D3">
        <w:t>另外，根據《反分裂國家法》</w:t>
      </w:r>
      <w:hyperlink r:id="rId2392" w:anchor="a9" w:history="1">
        <w:hyperlink r:id="rId2393" w:anchor="a9" w:history="1">
          <w:r w:rsidR="00BD43D3" w:rsidRPr="00BD43D3">
            <w:rPr>
              <w:rStyle w:val="a5"/>
            </w:rPr>
            <w:t>第九條</w:t>
          </w:r>
        </w:hyperlink>
      </w:hyperlink>
      <w:r w:rsidR="00B56AE1" w:rsidRPr="00BD43D3">
        <w:t>之</w:t>
      </w:r>
      <w:r w:rsidR="00203F72" w:rsidRPr="00BD43D3">
        <w:t>之規定：「</w:t>
      </w:r>
      <w:r w:rsidR="00203F72" w:rsidRPr="00BD43D3">
        <w:t xml:space="preserve"> </w:t>
      </w:r>
      <w:r w:rsidR="00203F72" w:rsidRPr="00BD43D3">
        <w:t>依照本法規定採取非和平方式及其他必要措施並組織實施時，國家盡最大可能保護臺灣平民和在臺灣的外國人的生命財產安全和其他正當權益，減少損失；同時，國家依法保護臺灣同胞在中國其他地區的權利和利益</w:t>
      </w:r>
      <w:r w:rsidR="00545D58" w:rsidRPr="00BD43D3">
        <w:t>。</w:t>
      </w:r>
      <w:r w:rsidR="00203F72" w:rsidRPr="00BD43D3">
        <w:t>」</w:t>
      </w:r>
    </w:p>
    <w:p w14:paraId="43D4EE8E" w14:textId="77777777" w:rsidR="00953151" w:rsidRPr="00BD43D3" w:rsidRDefault="001C3A2B" w:rsidP="00D87D91">
      <w:r w:rsidRPr="00BD43D3">
        <w:t xml:space="preserve">　　</w:t>
      </w:r>
      <w:r w:rsidR="00203F72" w:rsidRPr="00BD43D3">
        <w:t>根據上述《反分裂國家法</w:t>
      </w:r>
      <w:r w:rsidR="00B56AE1" w:rsidRPr="00BD43D3">
        <w:t>》</w:t>
      </w:r>
      <w:hyperlink r:id="rId2394" w:anchor="a8" w:history="1">
        <w:r w:rsidR="00B56AE1" w:rsidRPr="00BD43D3">
          <w:rPr>
            <w:rStyle w:val="a5"/>
          </w:rPr>
          <w:t>第八條</w:t>
        </w:r>
      </w:hyperlink>
      <w:r w:rsidR="00203F72" w:rsidRPr="00BD43D3">
        <w:t>之規定，採取非和平方式及其他必要措施的決定權，由國務院及中央軍事委員會決定和組織實施，並及時向全國人民代表大會常務委員會報告。是以，在緊急狀況之下，國務院及中央軍事委員會可以決定非和平方式及其他必要措施，以非和平方式攻擊台灣。</w:t>
      </w:r>
    </w:p>
    <w:p w14:paraId="5AD08777" w14:textId="77777777" w:rsidR="00953151" w:rsidRPr="00BD43D3" w:rsidRDefault="001C3A2B" w:rsidP="00D87D91">
      <w:r w:rsidRPr="00BD43D3">
        <w:rPr>
          <w:rFonts w:hint="eastAsia"/>
        </w:rPr>
        <w:t xml:space="preserve">　　</w:t>
      </w:r>
      <w:r w:rsidR="00203F72" w:rsidRPr="00BD43D3">
        <w:rPr>
          <w:rFonts w:hint="eastAsia"/>
        </w:rPr>
        <w:t>根據</w:t>
      </w:r>
      <w:r w:rsidR="00203F72" w:rsidRPr="00BD43D3">
        <w:rPr>
          <w:rFonts w:hint="eastAsia"/>
        </w:rPr>
        <w:t>1895</w:t>
      </w:r>
      <w:r w:rsidR="00203F72" w:rsidRPr="00BD43D3">
        <w:rPr>
          <w:rFonts w:hint="eastAsia"/>
        </w:rPr>
        <w:t>年之中日馬關條約之第</w:t>
      </w:r>
      <w:r w:rsidR="00203F72" w:rsidRPr="00BD43D3">
        <w:rPr>
          <w:rFonts w:hint="eastAsia"/>
        </w:rPr>
        <w:t>2</w:t>
      </w:r>
      <w:r w:rsidR="00203F72" w:rsidRPr="00BD43D3">
        <w:rPr>
          <w:rFonts w:hint="eastAsia"/>
        </w:rPr>
        <w:t>條之規定，台灣業已劃歸為日本國之領土</w:t>
      </w:r>
      <w:r w:rsidR="00203F72" w:rsidRPr="00BD43D3">
        <w:footnoteReference w:id="1031"/>
      </w:r>
      <w:r w:rsidR="00203F72" w:rsidRPr="00BD43D3">
        <w:rPr>
          <w:rFonts w:hint="eastAsia"/>
        </w:rPr>
        <w:t>，</w:t>
      </w:r>
      <w:r w:rsidR="00203F72" w:rsidRPr="00A53581">
        <w:rPr>
          <w:rFonts w:hint="eastAsia"/>
        </w:rPr>
        <w:t>依據當時之國際法原則，即時當時之中國，受到日本之武力威脅，中國被脅迫簽定此一</w:t>
      </w:r>
      <w:r w:rsidR="00203F72" w:rsidRPr="00BD43D3">
        <w:rPr>
          <w:rFonts w:hint="eastAsia"/>
        </w:rPr>
        <w:t>中日馬關條約，但其仍屬有效之條約。是以，自從</w:t>
      </w:r>
      <w:r w:rsidR="00203F72" w:rsidRPr="00BD43D3">
        <w:rPr>
          <w:rFonts w:hint="eastAsia"/>
        </w:rPr>
        <w:t>1895</w:t>
      </w:r>
      <w:r w:rsidR="00203F72" w:rsidRPr="00BD43D3">
        <w:rPr>
          <w:rFonts w:hint="eastAsia"/>
        </w:rPr>
        <w:t>年開始，台灣業已正式地屬於日本國之領土，而非中國之領土。</w:t>
      </w:r>
    </w:p>
    <w:p w14:paraId="0CE9D4D3" w14:textId="77777777" w:rsidR="00953151" w:rsidRPr="00BD43D3" w:rsidRDefault="001C3A2B" w:rsidP="00D87D91">
      <w:r w:rsidRPr="00BD43D3">
        <w:t xml:space="preserve">　　</w:t>
      </w:r>
      <w:r w:rsidR="00203F72" w:rsidRPr="00BD43D3">
        <w:t>由前開《反分裂國家法</w:t>
      </w:r>
      <w:r w:rsidR="00B56AE1" w:rsidRPr="00BD43D3">
        <w:t>》</w:t>
      </w:r>
      <w:hyperlink r:id="rId2395" w:anchor="a8" w:history="1">
        <w:r w:rsidR="00B56AE1" w:rsidRPr="00BD43D3">
          <w:rPr>
            <w:rStyle w:val="a5"/>
          </w:rPr>
          <w:t>第八條</w:t>
        </w:r>
      </w:hyperlink>
      <w:r w:rsidR="00203F72" w:rsidRPr="00BD43D3">
        <w:t>及</w:t>
      </w:r>
      <w:hyperlink r:id="rId2396" w:anchor="a9" w:history="1">
        <w:r w:rsidR="00B56AE1" w:rsidRPr="00BD43D3">
          <w:rPr>
            <w:rStyle w:val="a5"/>
          </w:rPr>
          <w:t>第九條</w:t>
        </w:r>
      </w:hyperlink>
      <w:r w:rsidR="00B56AE1" w:rsidRPr="00BD43D3">
        <w:t>之</w:t>
      </w:r>
      <w:r w:rsidR="00203F72" w:rsidRPr="00BD43D3">
        <w:t>之規定，中國對台灣仍不放棄武力攻台。不僅未放棄武力攻台，尚且積極備戰，準備奪台。本書認為，上述之</w:t>
      </w:r>
      <w:r w:rsidR="008B3555" w:rsidRPr="00BD43D3">
        <w:t>《</w:t>
      </w:r>
      <w:hyperlink r:id="rId2397" w:history="1">
        <w:r w:rsidR="008B3555" w:rsidRPr="00BD43D3">
          <w:rPr>
            <w:rStyle w:val="a5"/>
          </w:rPr>
          <w:t>反分裂國家法</w:t>
        </w:r>
      </w:hyperlink>
      <w:r w:rsidR="00203F72" w:rsidRPr="00BD43D3">
        <w:t>》，已嚴重地涉及侵略之行為。在第二次世界大戰之後，當時的同盟國各國，與日本簽訂一項非常重要之和平條約，名為《對日和平條約》，通稱舊金山和約或舊金山和平條約。根據對日和平條約第</w:t>
      </w:r>
      <w:r w:rsidR="00203F72" w:rsidRPr="00BD43D3">
        <w:t>2</w:t>
      </w:r>
      <w:r w:rsidR="00203F72" w:rsidRPr="00BD43D3">
        <w:t>條</w:t>
      </w:r>
      <w:r w:rsidR="00203F72" w:rsidRPr="00BD43D3">
        <w:footnoteReference w:id="1032"/>
      </w:r>
      <w:r w:rsidR="00203F72" w:rsidRPr="00BD43D3">
        <w:t>之規定，日本放棄對台灣、澎湖等島嶼的一切權利、權利名義與要求。但是，《對日和平條約》第</w:t>
      </w:r>
      <w:r w:rsidR="00203F72" w:rsidRPr="00BD43D3">
        <w:t>2</w:t>
      </w:r>
      <w:r w:rsidR="00203F72" w:rsidRPr="00BD43D3">
        <w:t>條並未明文規定，日本對台灣、澎湖等島嶼的一切權利、權利名義，「全部歸還給中華人民共和國」。依據上述《對日和平條約》第</w:t>
      </w:r>
      <w:r w:rsidR="00203F72" w:rsidRPr="00BD43D3">
        <w:t>2</w:t>
      </w:r>
      <w:r w:rsidR="00203F72" w:rsidRPr="00BD43D3">
        <w:t>條之條文，台灣、澎湖等島嶼的一切權利、權利名義，絕非屬於中華人民共和國所擁有。</w:t>
      </w:r>
    </w:p>
    <w:p w14:paraId="0196480C" w14:textId="77777777" w:rsidR="00953151" w:rsidRPr="00BD43D3" w:rsidRDefault="00203F72" w:rsidP="00D87D91">
      <w:r w:rsidRPr="00BD43D3">
        <w:t>主要之法理，係《對日和平條約》第</w:t>
      </w:r>
      <w:r w:rsidRPr="00BD43D3">
        <w:t>2</w:t>
      </w:r>
      <w:r w:rsidRPr="00BD43D3">
        <w:t>條之中，並未明文規範，日本對台灣、澎湖等島嶼的一切權利、權利名義，「全部歸還給中華人民共和國」。是以，中華人民共和國對於台灣而言，無任何之主權。反面言之，假若《對日和平條約》第</w:t>
      </w:r>
      <w:r w:rsidRPr="00BD43D3">
        <w:t>2</w:t>
      </w:r>
      <w:r w:rsidRPr="00BD43D3">
        <w:t>條之中，業已明文規範，日本對台灣、澎湖等島嶼的一切權利、權利名義，「全部歸還給中華人民共和國」。此時，台灣應為中華人民共和國之領士，但事實上，則不然。</w:t>
      </w:r>
    </w:p>
    <w:p w14:paraId="7D5699F8" w14:textId="77777777" w:rsidR="00953151" w:rsidRPr="00BD43D3" w:rsidRDefault="001C3A2B" w:rsidP="00D87D91">
      <w:r w:rsidRPr="00BD43D3">
        <w:t xml:space="preserve">　　</w:t>
      </w:r>
      <w:r w:rsidR="00203F72" w:rsidRPr="00BD43D3">
        <w:t>目前，因中華民國政府以實際及不間斷之方式，持續統治台灣，故有關於台灣之主權，法理上，係歸於中華民國。是以，上述</w:t>
      </w:r>
      <w:r w:rsidR="008B3555" w:rsidRPr="00BD43D3">
        <w:t>《</w:t>
      </w:r>
      <w:hyperlink r:id="rId2398" w:history="1">
        <w:r w:rsidR="008B3555" w:rsidRPr="00BD43D3">
          <w:rPr>
            <w:rStyle w:val="a5"/>
          </w:rPr>
          <w:t>反分裂國家法</w:t>
        </w:r>
      </w:hyperlink>
      <w:r w:rsidR="00203F72" w:rsidRPr="00BD43D3">
        <w:t>》之法理，已嚴重地破壞《對日和平條約》第</w:t>
      </w:r>
      <w:r w:rsidR="00203F72" w:rsidRPr="00BD43D3">
        <w:t>2</w:t>
      </w:r>
      <w:r w:rsidR="00203F72" w:rsidRPr="00BD43D3">
        <w:t>條之精神，恐已站不住腳。再者，</w:t>
      </w:r>
      <w:r w:rsidR="008B3555" w:rsidRPr="00BD43D3">
        <w:t>《</w:t>
      </w:r>
      <w:hyperlink r:id="rId2399" w:history="1">
        <w:r w:rsidR="008B3555" w:rsidRPr="00BD43D3">
          <w:rPr>
            <w:rStyle w:val="a5"/>
          </w:rPr>
          <w:t>反分裂國家法</w:t>
        </w:r>
      </w:hyperlink>
      <w:r w:rsidR="00203F72" w:rsidRPr="00BD43D3">
        <w:t>》僅是中國大陸內部之法律，其法律效力遠不及於《對日和平條約》第</w:t>
      </w:r>
      <w:r w:rsidR="00203F72" w:rsidRPr="00BD43D3">
        <w:t>2</w:t>
      </w:r>
      <w:r w:rsidR="00203F72" w:rsidRPr="00BD43D3">
        <w:t>條，亦不對中華民國產生任何之法律拘束力量。</w:t>
      </w:r>
    </w:p>
    <w:p w14:paraId="7E5DC656" w14:textId="77777777" w:rsidR="00953151" w:rsidRPr="00BD43D3" w:rsidRDefault="001C3A2B" w:rsidP="00D87D91">
      <w:r w:rsidRPr="00BD43D3">
        <w:t xml:space="preserve">　　</w:t>
      </w:r>
      <w:r w:rsidR="00203F72" w:rsidRPr="00BD43D3">
        <w:t>有鑑於此，本書認為，我國之憲法，宜仿效芬蘭憲法第</w:t>
      </w:r>
      <w:r w:rsidR="00203F72" w:rsidRPr="00BD43D3">
        <w:t>1</w:t>
      </w:r>
      <w:r w:rsidR="00203F72" w:rsidRPr="00BD43D3">
        <w:t>條</w:t>
      </w:r>
      <w:r w:rsidR="00203F72" w:rsidRPr="00BD43D3">
        <w:footnoteReference w:id="1033"/>
      </w:r>
      <w:r w:rsidR="00203F72" w:rsidRPr="00BD43D3">
        <w:t>第</w:t>
      </w:r>
      <w:r w:rsidR="00203F72" w:rsidRPr="00BD43D3">
        <w:t>1</w:t>
      </w:r>
      <w:r w:rsidR="00203F72" w:rsidRPr="00BD43D3">
        <w:t>項之作法；依據芬蘭憲法第</w:t>
      </w:r>
      <w:r w:rsidR="00203F72" w:rsidRPr="00BD43D3">
        <w:t>1</w:t>
      </w:r>
      <w:r w:rsidR="00203F72" w:rsidRPr="00BD43D3">
        <w:t>條第</w:t>
      </w:r>
      <w:r w:rsidR="00203F72" w:rsidRPr="00BD43D3">
        <w:t>1</w:t>
      </w:r>
      <w:r w:rsidR="00203F72" w:rsidRPr="00BD43D3">
        <w:t>項之規定，「芬蘭係為一個具有獨立主權之共和國</w:t>
      </w:r>
      <w:r w:rsidR="00203F72" w:rsidRPr="00BD43D3">
        <w:t>(Finland is a sovereign republic)</w:t>
      </w:r>
      <w:r w:rsidR="00203F72" w:rsidRPr="00BD43D3">
        <w:t>。」芬蘭憲法在第</w:t>
      </w:r>
      <w:r w:rsidR="00203F72" w:rsidRPr="00BD43D3">
        <w:t>1</w:t>
      </w:r>
      <w:r w:rsidR="00203F72" w:rsidRPr="00BD43D3">
        <w:t>條第</w:t>
      </w:r>
      <w:r w:rsidR="00203F72" w:rsidRPr="00BD43D3">
        <w:t>1</w:t>
      </w:r>
      <w:r w:rsidR="00203F72" w:rsidRPr="00BD43D3">
        <w:t>項之內容中，即開宗明義規範，芬蘭之主權，係屬於獨立主權。芬蘭憲法在第</w:t>
      </w:r>
      <w:r w:rsidR="00203F72" w:rsidRPr="00BD43D3">
        <w:t>1</w:t>
      </w:r>
      <w:r w:rsidR="00203F72" w:rsidRPr="00BD43D3">
        <w:t>條第</w:t>
      </w:r>
      <w:r w:rsidR="00203F72" w:rsidRPr="00BD43D3">
        <w:t>1</w:t>
      </w:r>
      <w:r w:rsidR="00203F72" w:rsidRPr="00BD43D3">
        <w:t>項所使用之立憲文字，係為</w:t>
      </w:r>
      <w:r w:rsidR="00203F72" w:rsidRPr="00BD43D3">
        <w:t>sovereign republic</w:t>
      </w:r>
      <w:r w:rsidR="00203F72" w:rsidRPr="00BD43D3">
        <w:t>；</w:t>
      </w:r>
      <w:r w:rsidR="00203F72" w:rsidRPr="00BD43D3">
        <w:t>sovereign</w:t>
      </w:r>
      <w:r w:rsidR="00203F72" w:rsidRPr="00BD43D3">
        <w:t>之意義，具有以下之內涵：至尊無上、至高無上的、具有主權的、國王的、完全的、至高者、元首、最高統治者、主權國家及獨立國等等。</w:t>
      </w:r>
    </w:p>
    <w:p w14:paraId="6E8ED7BC" w14:textId="77777777" w:rsidR="00953151" w:rsidRPr="006D375C" w:rsidRDefault="001C3A2B" w:rsidP="006D375C">
      <w:r w:rsidRPr="006D375C">
        <w:t xml:space="preserve">　　</w:t>
      </w:r>
      <w:r w:rsidR="00203F72" w:rsidRPr="006D375C">
        <w:t>綜上，芬蘭憲法在第</w:t>
      </w:r>
      <w:r w:rsidR="00203F72" w:rsidRPr="006D375C">
        <w:t>1</w:t>
      </w:r>
      <w:r w:rsidR="00203F72" w:rsidRPr="006D375C">
        <w:t>條第</w:t>
      </w:r>
      <w:r w:rsidR="00203F72" w:rsidRPr="006D375C">
        <w:t>1</w:t>
      </w:r>
      <w:r w:rsidR="00203F72" w:rsidRPr="006D375C">
        <w:t>項之所以使用</w:t>
      </w:r>
      <w:r w:rsidR="00203F72" w:rsidRPr="006D375C">
        <w:t>sovereign</w:t>
      </w:r>
      <w:r w:rsidR="00203F72" w:rsidRPr="006D375C">
        <w:t>之立憲文字，在於突顯芬蘭係為一個具有完全、完整、獨立、自主、至尊無上及至高無上主權之民主國家，她是一個獨立自主之主權國家。上述芬蘭憲法第</w:t>
      </w:r>
      <w:r w:rsidR="00203F72" w:rsidRPr="006D375C">
        <w:t>1</w:t>
      </w:r>
      <w:r w:rsidR="00203F72" w:rsidRPr="006D375C">
        <w:t>條第</w:t>
      </w:r>
      <w:r w:rsidR="00203F72" w:rsidRPr="006D375C">
        <w:t>1</w:t>
      </w:r>
      <w:r w:rsidR="00203F72" w:rsidRPr="006D375C">
        <w:t>項之立憲模式，相當值得台灣仿效之。</w:t>
      </w:r>
    </w:p>
    <w:p w14:paraId="78F7494B" w14:textId="77777777" w:rsidR="00953151" w:rsidRPr="006D375C" w:rsidRDefault="001C3A2B" w:rsidP="006D375C">
      <w:r w:rsidRPr="006D375C">
        <w:t xml:space="preserve">　　</w:t>
      </w:r>
      <w:r w:rsidR="00203F72" w:rsidRPr="006D375C">
        <w:t>主要之目的，在於闡釋以下之若干論點，均非屬正確之政治主張：</w:t>
      </w:r>
      <w:r w:rsidR="00203F72" w:rsidRPr="006D375C">
        <w:t>1</w:t>
      </w:r>
      <w:r w:rsidR="00203F72" w:rsidRPr="006D375C">
        <w:t>、台灣地位未定論；</w:t>
      </w:r>
      <w:r w:rsidR="00203F72" w:rsidRPr="006D375C">
        <w:t>2</w:t>
      </w:r>
      <w:r w:rsidR="00203F72" w:rsidRPr="006D375C">
        <w:t>、台灣仍隸屬於日本國；</w:t>
      </w:r>
      <w:r w:rsidR="00203F72" w:rsidRPr="006D375C">
        <w:t>3</w:t>
      </w:r>
      <w:r w:rsidR="00203F72" w:rsidRPr="006D375C">
        <w:t>、台灣係為中華人民共和國之領土；</w:t>
      </w:r>
      <w:r w:rsidR="00203F72" w:rsidRPr="006D375C">
        <w:t>4</w:t>
      </w:r>
      <w:r w:rsidR="00203F72" w:rsidRPr="006D375C">
        <w:t>、台灣隸屬於美國</w:t>
      </w:r>
      <w:r w:rsidR="00203F72" w:rsidRPr="006D375C">
        <w:rPr>
          <w:rFonts w:hint="eastAsia"/>
        </w:rPr>
        <w:t>(</w:t>
      </w:r>
      <w:r w:rsidR="00203F72" w:rsidRPr="006D375C">
        <w:rPr>
          <w:rFonts w:hint="eastAsia"/>
        </w:rPr>
        <w:t>如台灣民政府主張，美國有權力在台灣行使佔領權力，台灣隸屬於美國軍政府</w:t>
      </w:r>
      <w:r w:rsidR="00203F72" w:rsidRPr="006D375C">
        <w:footnoteReference w:id="1034"/>
      </w:r>
      <w:r w:rsidR="00203F72" w:rsidRPr="006D375C">
        <w:rPr>
          <w:rFonts w:hint="eastAsia"/>
        </w:rPr>
        <w:t>)</w:t>
      </w:r>
      <w:r w:rsidR="00203F72" w:rsidRPr="006D375C">
        <w:t>。正確之觀點，乃在於：中華民國係為一個具有完全、完整、獨立、自主、至尊無上、絕對排他性及至高無上主權之民主國家，不受任何國家</w:t>
      </w:r>
      <w:r w:rsidR="00203F72" w:rsidRPr="006D375C">
        <w:rPr>
          <w:rFonts w:hint="eastAsia"/>
        </w:rPr>
        <w:t>(</w:t>
      </w:r>
      <w:r w:rsidR="00203F72" w:rsidRPr="006D375C">
        <w:rPr>
          <w:rFonts w:hint="eastAsia"/>
        </w:rPr>
        <w:t>包含</w:t>
      </w:r>
      <w:r w:rsidR="00203F72" w:rsidRPr="006D375C">
        <w:t>中華人民共和國</w:t>
      </w:r>
      <w:r w:rsidR="00203F72" w:rsidRPr="006D375C">
        <w:rPr>
          <w:rFonts w:hint="eastAsia"/>
        </w:rPr>
        <w:t>)</w:t>
      </w:r>
      <w:r w:rsidR="00203F72" w:rsidRPr="006D375C">
        <w:t>之控制、指揮、干預與支配。</w:t>
      </w:r>
    </w:p>
    <w:p w14:paraId="41C3C825" w14:textId="77777777" w:rsidR="00145751" w:rsidRDefault="00145751" w:rsidP="006D375C">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0EE1FDB3" w14:textId="77777777" w:rsidR="00145751" w:rsidRPr="006D375C" w:rsidRDefault="00145751" w:rsidP="006D375C"/>
    <w:p w14:paraId="0ECE6FBB" w14:textId="77777777" w:rsidR="00953151" w:rsidRDefault="00203F72" w:rsidP="00767F37">
      <w:pPr>
        <w:pStyle w:val="2"/>
      </w:pPr>
      <w:bookmarkStart w:id="127" w:name="_肆、憲法宜增列對於「人性尊嚴」之尊重與保障之規定"/>
      <w:bookmarkEnd w:id="127"/>
      <w:r w:rsidRPr="00A53581">
        <w:t>肆、憲法宜增列對於「人性尊嚴」之尊重與保障之規定</w:t>
      </w:r>
      <w:r w:rsidRPr="00A53581">
        <w:t xml:space="preserve"> </w:t>
      </w:r>
    </w:p>
    <w:p w14:paraId="20A11926" w14:textId="77777777" w:rsidR="00953151" w:rsidRPr="006B7176" w:rsidRDefault="001C3A2B" w:rsidP="00D87D91">
      <w:r w:rsidRPr="006B7176">
        <w:t xml:space="preserve">　　</w:t>
      </w:r>
      <w:r w:rsidR="00203F72" w:rsidRPr="006B7176">
        <w:t>就我國憲法之架構而論，共計有</w:t>
      </w:r>
      <w:r w:rsidR="00203F72" w:rsidRPr="006B7176">
        <w:t>14</w:t>
      </w:r>
      <w:r w:rsidR="00203F72" w:rsidRPr="006B7176">
        <w:t>章；在第</w:t>
      </w:r>
      <w:r w:rsidR="00203F72" w:rsidRPr="006B7176">
        <w:t>2</w:t>
      </w:r>
      <w:r w:rsidR="00203F72" w:rsidRPr="006B7176">
        <w:t>章方面，係規範人民之權利與義務，在本章之中，共計規範人民有下列之權利：平等權（</w:t>
      </w:r>
      <w:hyperlink r:id="rId2400" w:anchor="a7"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7</w:t>
        </w:r>
        <w:r w:rsidR="00203F72" w:rsidRPr="008B0502">
          <w:rPr>
            <w:rStyle w:val="a5"/>
            <w:rFonts w:ascii="Times New Roman" w:eastAsia="新細明體" w:hAnsi="Times New Roman"/>
          </w:rPr>
          <w:t>條</w:t>
        </w:r>
      </w:hyperlink>
      <w:r w:rsidR="00203F72" w:rsidRPr="006B7176">
        <w:t>）；人身自由權（</w:t>
      </w:r>
      <w:hyperlink r:id="rId2401" w:anchor="a8" w:history="1">
        <w:r w:rsidR="001F6A1B" w:rsidRPr="006B7176">
          <w:rPr>
            <w:rStyle w:val="a5"/>
          </w:rPr>
          <w:t>第8條</w:t>
        </w:r>
      </w:hyperlink>
      <w:r w:rsidR="00203F72" w:rsidRPr="006B7176">
        <w:t>）；人民不受軍事審判權（</w:t>
      </w:r>
      <w:hyperlink r:id="rId2402" w:anchor="a9"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9</w:t>
        </w:r>
        <w:r w:rsidR="00203F72" w:rsidRPr="008B0502">
          <w:rPr>
            <w:rStyle w:val="a5"/>
            <w:rFonts w:ascii="Times New Roman" w:eastAsia="新細明體" w:hAnsi="Times New Roman"/>
          </w:rPr>
          <w:t>條</w:t>
        </w:r>
      </w:hyperlink>
      <w:r w:rsidR="00203F72" w:rsidRPr="006B7176">
        <w:t>）；居住及遷徙自由權（</w:t>
      </w:r>
      <w:hyperlink r:id="rId2403" w:anchor="a10"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10</w:t>
        </w:r>
        <w:r w:rsidR="00203F72" w:rsidRPr="008B0502">
          <w:rPr>
            <w:rStyle w:val="a5"/>
            <w:rFonts w:ascii="Times New Roman" w:eastAsia="新細明體" w:hAnsi="Times New Roman"/>
          </w:rPr>
          <w:t>條</w:t>
        </w:r>
      </w:hyperlink>
      <w:r w:rsidR="00203F72" w:rsidRPr="006B7176">
        <w:t>）；表現自由權（</w:t>
      </w:r>
      <w:hyperlink r:id="rId2404" w:anchor="a11"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11</w:t>
        </w:r>
        <w:r w:rsidR="00203F72" w:rsidRPr="008B0502">
          <w:rPr>
            <w:rStyle w:val="a5"/>
            <w:rFonts w:ascii="Times New Roman" w:eastAsia="新細明體" w:hAnsi="Times New Roman"/>
          </w:rPr>
          <w:t>條</w:t>
        </w:r>
      </w:hyperlink>
      <w:r w:rsidR="00203F72" w:rsidRPr="006B7176">
        <w:t>）；秘密通訊自由權（</w:t>
      </w:r>
      <w:hyperlink r:id="rId2405" w:anchor="a12"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12</w:t>
        </w:r>
        <w:r w:rsidR="00203F72" w:rsidRPr="008B0502">
          <w:rPr>
            <w:rStyle w:val="a5"/>
            <w:rFonts w:ascii="Times New Roman" w:eastAsia="新細明體" w:hAnsi="Times New Roman"/>
          </w:rPr>
          <w:t>條</w:t>
        </w:r>
      </w:hyperlink>
      <w:r w:rsidR="00203F72" w:rsidRPr="006B7176">
        <w:t>）；信教自由權（</w:t>
      </w:r>
      <w:hyperlink r:id="rId2406" w:anchor="a13"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13</w:t>
        </w:r>
        <w:r w:rsidR="00203F72" w:rsidRPr="008B0502">
          <w:rPr>
            <w:rStyle w:val="a5"/>
            <w:rFonts w:ascii="Times New Roman" w:eastAsia="新細明體" w:hAnsi="Times New Roman"/>
          </w:rPr>
          <w:t>條</w:t>
        </w:r>
      </w:hyperlink>
      <w:r w:rsidR="00203F72" w:rsidRPr="006B7176">
        <w:t>）；集會結社自由權（</w:t>
      </w:r>
      <w:hyperlink r:id="rId2407" w:anchor="a14" w:history="1">
        <w:r w:rsidR="00410BD1" w:rsidRPr="006B7176">
          <w:rPr>
            <w:rStyle w:val="a5"/>
          </w:rPr>
          <w:t>第14條</w:t>
        </w:r>
      </w:hyperlink>
      <w:r w:rsidR="00203F72" w:rsidRPr="006B7176">
        <w:t>）；生存權、工作權及財產權（</w:t>
      </w:r>
      <w:hyperlink r:id="rId2408" w:anchor="a15"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15</w:t>
        </w:r>
        <w:r w:rsidR="00203F72" w:rsidRPr="008B0502">
          <w:rPr>
            <w:rStyle w:val="a5"/>
            <w:rFonts w:ascii="Times New Roman" w:eastAsia="新細明體" w:hAnsi="Times New Roman"/>
          </w:rPr>
          <w:t>條</w:t>
        </w:r>
      </w:hyperlink>
      <w:r w:rsidR="00203F72" w:rsidRPr="006B7176">
        <w:t>）；請願權、訴願權及訴訟權（</w:t>
      </w:r>
      <w:hyperlink r:id="rId2409" w:anchor="a16"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16</w:t>
        </w:r>
        <w:r w:rsidR="00203F72" w:rsidRPr="008B0502">
          <w:rPr>
            <w:rStyle w:val="a5"/>
            <w:rFonts w:ascii="Times New Roman" w:eastAsia="新細明體" w:hAnsi="Times New Roman"/>
          </w:rPr>
          <w:t>條</w:t>
        </w:r>
      </w:hyperlink>
      <w:r w:rsidR="00203F72" w:rsidRPr="006B7176">
        <w:t>）；參政權（</w:t>
      </w:r>
      <w:hyperlink r:id="rId2410" w:anchor="a17"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17</w:t>
        </w:r>
        <w:r w:rsidR="00203F72" w:rsidRPr="008B0502">
          <w:rPr>
            <w:rStyle w:val="a5"/>
            <w:rFonts w:ascii="Times New Roman" w:eastAsia="新細明體" w:hAnsi="Times New Roman"/>
          </w:rPr>
          <w:t>條</w:t>
        </w:r>
      </w:hyperlink>
      <w:r w:rsidR="00203F72" w:rsidRPr="006B7176">
        <w:t>）；應考試服公職權（</w:t>
      </w:r>
      <w:hyperlink r:id="rId2411" w:anchor="a18"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18</w:t>
        </w:r>
        <w:r w:rsidR="00203F72" w:rsidRPr="008B0502">
          <w:rPr>
            <w:rStyle w:val="a5"/>
            <w:rFonts w:ascii="Times New Roman" w:eastAsia="新細明體" w:hAnsi="Times New Roman"/>
          </w:rPr>
          <w:t>條</w:t>
        </w:r>
      </w:hyperlink>
      <w:r w:rsidR="00203F72" w:rsidRPr="006B7176">
        <w:t>）；受教育權（</w:t>
      </w:r>
      <w:hyperlink r:id="rId2412" w:anchor="a21" w:history="1">
        <w:r w:rsidR="00E2576E" w:rsidRPr="006B7176">
          <w:rPr>
            <w:rStyle w:val="a5"/>
          </w:rPr>
          <w:t>第21條</w:t>
        </w:r>
      </w:hyperlink>
      <w:r w:rsidR="00203F72" w:rsidRPr="006B7176">
        <w:t>）；其他基本人權之保障（</w:t>
      </w:r>
      <w:hyperlink r:id="rId2413" w:anchor="a22"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22</w:t>
        </w:r>
        <w:r w:rsidR="00203F72" w:rsidRPr="008B0502">
          <w:rPr>
            <w:rStyle w:val="a5"/>
            <w:rFonts w:ascii="Times New Roman" w:eastAsia="新細明體" w:hAnsi="Times New Roman"/>
          </w:rPr>
          <w:t>條</w:t>
        </w:r>
      </w:hyperlink>
      <w:r w:rsidR="00203F72" w:rsidRPr="006B7176">
        <w:t>）。在上述憲法</w:t>
      </w:r>
      <w:hyperlink r:id="rId2414" w:anchor="a7"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2</w:t>
        </w:r>
        <w:r w:rsidR="00203F72" w:rsidRPr="008B0502">
          <w:rPr>
            <w:rStyle w:val="a5"/>
            <w:rFonts w:ascii="Times New Roman" w:eastAsia="新細明體" w:hAnsi="Times New Roman"/>
          </w:rPr>
          <w:t>章</w:t>
        </w:r>
      </w:hyperlink>
      <w:r w:rsidR="00203F72" w:rsidRPr="006B7176">
        <w:t>諸多權利之保障方面，並未明文涉及「人性尊嚴」權利之議題。從其他基本人權之保障（</w:t>
      </w:r>
      <w:hyperlink r:id="rId2415" w:anchor="a22"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22</w:t>
        </w:r>
        <w:r w:rsidR="00203F72" w:rsidRPr="008B0502">
          <w:rPr>
            <w:rStyle w:val="a5"/>
            <w:rFonts w:ascii="Times New Roman" w:eastAsia="新細明體" w:hAnsi="Times New Roman"/>
          </w:rPr>
          <w:t>條</w:t>
        </w:r>
      </w:hyperlink>
      <w:r w:rsidR="00203F72" w:rsidRPr="006B7176">
        <w:t>）之中，是否真正可導出「人性尊嚴」之規定？恐具有爭議性與模糊性。</w:t>
      </w:r>
    </w:p>
    <w:p w14:paraId="5F4E93D4" w14:textId="77777777" w:rsidR="00953151" w:rsidRPr="006B7176" w:rsidRDefault="001C3A2B" w:rsidP="00D87D91">
      <w:r w:rsidRPr="006B7176">
        <w:t xml:space="preserve">　　</w:t>
      </w:r>
      <w:r w:rsidR="00203F72" w:rsidRPr="006B7176">
        <w:t>就德國而言，依據德國基本法</w:t>
      </w:r>
      <w:r w:rsidR="00203F72" w:rsidRPr="006B7176">
        <w:t>(Basic Law for the Federal Republic of Germany)</w:t>
      </w:r>
      <w:r w:rsidR="00203F72" w:rsidRPr="006B7176">
        <w:t>第</w:t>
      </w:r>
      <w:r w:rsidR="00203F72" w:rsidRPr="006B7176">
        <w:t>1</w:t>
      </w:r>
      <w:r w:rsidR="00203F72" w:rsidRPr="006B7176">
        <w:t>條第</w:t>
      </w:r>
      <w:r w:rsidR="00203F72" w:rsidRPr="006B7176">
        <w:t>1</w:t>
      </w:r>
      <w:r w:rsidR="00203F72" w:rsidRPr="006B7176">
        <w:t>項之規範</w:t>
      </w:r>
      <w:r w:rsidR="00203F72" w:rsidRPr="006B7176">
        <w:footnoteReference w:id="1035"/>
      </w:r>
      <w:r w:rsidR="00203F72" w:rsidRPr="006B7176">
        <w:t>，人性尊嚴不可侵犯</w:t>
      </w:r>
      <w:r w:rsidR="00203F72" w:rsidRPr="006B7176">
        <w:t>(Human dignity shall be inviolable)</w:t>
      </w:r>
      <w:r w:rsidR="00203F72" w:rsidRPr="006B7176">
        <w:t>，尊重及保護人性尊嚴之工作，係為所有國家機關之義務。在上述之規定內容中，可發現德國基本法對於人性尊嚴之規範，具有以下重要之特色：</w:t>
      </w:r>
      <w:r w:rsidR="00203F72" w:rsidRPr="006B7176">
        <w:t>1.</w:t>
      </w:r>
      <w:r w:rsidR="00203F72" w:rsidRPr="006B7176">
        <w:t>德國國會相當重</w:t>
      </w:r>
      <w:r w:rsidR="003E240E">
        <w:t>視</w:t>
      </w:r>
      <w:r w:rsidR="00203F72" w:rsidRPr="006B7176">
        <w:t>對於人性尊嚴之捍衛，故將「尊重及保護人性尊嚴」之工作，</w:t>
      </w:r>
      <w:r w:rsidR="003E240E">
        <w:t>視</w:t>
      </w:r>
      <w:r w:rsidR="00203F72" w:rsidRPr="006B7176">
        <w:t>為無比之重要性；為了澈底保護人性尊嚴，遂將「尊重及保護人性尊嚴」之戒命規範，明定於基本法（憲法）之中；</w:t>
      </w:r>
      <w:r w:rsidR="00203F72" w:rsidRPr="006B7176">
        <w:t>2.</w:t>
      </w:r>
      <w:r w:rsidR="00203F72" w:rsidRPr="006B7176">
        <w:t>為了強調「尊重及保護、人性尊嚴」之無上重要性，遂將其放置於基本法中之第</w:t>
      </w:r>
      <w:r w:rsidR="00203F72" w:rsidRPr="006B7176">
        <w:t>1</w:t>
      </w:r>
      <w:r w:rsidR="00203F72" w:rsidRPr="006B7176">
        <w:t>章基本權利中之第</w:t>
      </w:r>
      <w:r w:rsidR="00203F72" w:rsidRPr="006B7176">
        <w:t>1</w:t>
      </w:r>
      <w:r w:rsidR="00203F72" w:rsidRPr="006B7176">
        <w:t>條第</w:t>
      </w:r>
      <w:r w:rsidR="00203F72" w:rsidRPr="006B7176">
        <w:t>1</w:t>
      </w:r>
      <w:r w:rsidR="00203F72" w:rsidRPr="006B7176">
        <w:t>項；故，「尊重及保護人性尊嚴」之重要性與地位，在基本法對於各項權利保障之順位上，被立憲者頗為刻意地推到最前端；基此，立憲者遂將「尊重與保護人性尊嚴」之誡命要求，放置於基本法第</w:t>
      </w:r>
      <w:r w:rsidR="00203F72" w:rsidRPr="006B7176">
        <w:t>1</w:t>
      </w:r>
      <w:r w:rsidR="00203F72" w:rsidRPr="006B7176">
        <w:t>條第</w:t>
      </w:r>
      <w:r w:rsidR="00203F72" w:rsidRPr="006B7176">
        <w:t>1</w:t>
      </w:r>
      <w:r w:rsidR="00203F72" w:rsidRPr="006B7176">
        <w:t>項之中；</w:t>
      </w:r>
      <w:r w:rsidR="00203F72" w:rsidRPr="006B7176">
        <w:t>3.</w:t>
      </w:r>
      <w:r w:rsidR="00203F72" w:rsidRPr="006B7176">
        <w:t>基本法課予德國所有之國家機關，必須「尊重與保護人性尊嚴」，此項之工作與任務，是德國所有國家機關在憲法上之義務；</w:t>
      </w:r>
      <w:r w:rsidR="00203F72" w:rsidRPr="006B7176">
        <w:t>4.</w:t>
      </w:r>
      <w:r w:rsidR="00203F72" w:rsidRPr="006B7176">
        <w:t>人性尊嚴不可被加以侵犯之</w:t>
      </w:r>
      <w:r w:rsidR="00203F72" w:rsidRPr="006B7176">
        <w:t>(Human dignity shall be inviolable)</w:t>
      </w:r>
      <w:r w:rsidR="00203F72" w:rsidRPr="006B7176">
        <w:t>。</w:t>
      </w:r>
    </w:p>
    <w:p w14:paraId="648A21BA" w14:textId="77777777" w:rsidR="00953151" w:rsidRPr="006B7176" w:rsidRDefault="001C3A2B" w:rsidP="00D87D91">
      <w:r w:rsidRPr="006B7176">
        <w:t xml:space="preserve">　　</w:t>
      </w:r>
      <w:r w:rsidR="00203F72" w:rsidRPr="006B7176">
        <w:t>另外，就芬蘭憲法對於人性尊嚴而論，芬蘭國會亦相當重</w:t>
      </w:r>
      <w:r w:rsidR="003E240E">
        <w:t>視</w:t>
      </w:r>
      <w:r w:rsidR="00203F72" w:rsidRPr="006B7176">
        <w:t>對於人性尊嚴之捍衛，依據芬蘭憲法第</w:t>
      </w:r>
      <w:r w:rsidR="00203F72" w:rsidRPr="006B7176">
        <w:t>1</w:t>
      </w:r>
      <w:r w:rsidR="00203F72" w:rsidRPr="006B7176">
        <w:t>條</w:t>
      </w:r>
      <w:r w:rsidR="00203F72" w:rsidRPr="006B7176">
        <w:footnoteReference w:id="1036"/>
      </w:r>
      <w:r w:rsidR="00203F72" w:rsidRPr="006B7176">
        <w:t>第</w:t>
      </w:r>
      <w:r w:rsidR="00203F72" w:rsidRPr="006B7176">
        <w:t>2</w:t>
      </w:r>
      <w:r w:rsidR="00203F72" w:rsidRPr="006B7176">
        <w:t>項之立憲規定，「芬蘭憲法之宗旨，乃在於須確保人性尊嚴具有不可侵犯性</w:t>
      </w:r>
      <w:r w:rsidR="00203F72" w:rsidRPr="006B7176">
        <w:t>(The constitution shall guarantee the inviolability of human dignity)</w:t>
      </w:r>
      <w:r w:rsidR="00203F72" w:rsidRPr="006B7176">
        <w:t>，提升個人之自由與權利</w:t>
      </w:r>
      <w:r w:rsidR="00203F72" w:rsidRPr="006B7176">
        <w:t>(the freedom and rights of the individual)</w:t>
      </w:r>
      <w:r w:rsidR="00203F72" w:rsidRPr="006B7176">
        <w:t>，及促進芬蘭社會之正義</w:t>
      </w:r>
      <w:r w:rsidR="00203F72" w:rsidRPr="006B7176">
        <w:t>(promote justice in society)</w:t>
      </w:r>
      <w:r w:rsidR="00203F72" w:rsidRPr="006B7176">
        <w:t>。」根據上述之立憲要求，芬蘭政府及公務體系，必須積極地確保及保障人性尊嚴</w:t>
      </w:r>
      <w:r w:rsidR="00203F72" w:rsidRPr="006B7176">
        <w:t>(human dignity)</w:t>
      </w:r>
      <w:r w:rsidR="00203F72" w:rsidRPr="006B7176">
        <w:t>；主要之立憲理由，在於每一個個體之人性尊嚴，具有不可侵犯性</w:t>
      </w:r>
      <w:r w:rsidR="00203F72" w:rsidRPr="006B7176">
        <w:t>(the inviolability of human dignity)</w:t>
      </w:r>
      <w:r w:rsidR="00203F72" w:rsidRPr="006B7176">
        <w:t>。</w:t>
      </w:r>
    </w:p>
    <w:p w14:paraId="223CC420" w14:textId="77777777" w:rsidR="00953151" w:rsidRPr="006B7176" w:rsidRDefault="001C3A2B" w:rsidP="00D87D91">
      <w:r w:rsidRPr="006B7176">
        <w:t xml:space="preserve">　　</w:t>
      </w:r>
      <w:r w:rsidR="00203F72" w:rsidRPr="006B7176">
        <w:t>由於人性尊嚴</w:t>
      </w:r>
      <w:r w:rsidR="00203F72" w:rsidRPr="006B7176">
        <w:t>(human dignity)</w:t>
      </w:r>
      <w:r w:rsidR="00203F72" w:rsidRPr="006B7176">
        <w:t>具有如此高度之神聖性、不可侵犯性、不可被剝削性、不可被踐踏性、不可被污辱性，故芬蘭遂於憲法之中，站在憲法之最高度水準，於憲</w:t>
      </w:r>
      <w:r w:rsidR="00687BCD" w:rsidRPr="006B7176">
        <w:t>法</w:t>
      </w:r>
      <w:hyperlink r:id="rId2416" w:anchor="a1" w:history="1">
        <w:r w:rsidR="00687BCD" w:rsidRPr="006B7176">
          <w:rPr>
            <w:rStyle w:val="a5"/>
          </w:rPr>
          <w:t>第1條</w:t>
        </w:r>
      </w:hyperlink>
      <w:r w:rsidR="00203F72" w:rsidRPr="006B7176">
        <w:t>第</w:t>
      </w:r>
      <w:r w:rsidR="00203F72" w:rsidRPr="006B7176">
        <w:t>2</w:t>
      </w:r>
      <w:r w:rsidR="00203F72" w:rsidRPr="006B7176">
        <w:t>項之中，積極地保障每一個個體之人性尊嚴，使其具有神聖不可侵犯性。特別值得一提之處，就殺人犯而論，上述憲</w:t>
      </w:r>
      <w:r w:rsidR="00687BCD" w:rsidRPr="006B7176">
        <w:t>法</w:t>
      </w:r>
      <w:hyperlink r:id="rId2417" w:anchor="a1" w:history="1">
        <w:r w:rsidR="00687BCD" w:rsidRPr="006B7176">
          <w:rPr>
            <w:rStyle w:val="a5"/>
          </w:rPr>
          <w:t>第1條</w:t>
        </w:r>
      </w:hyperlink>
      <w:r w:rsidR="00203F72" w:rsidRPr="006B7176">
        <w:t>第</w:t>
      </w:r>
      <w:r w:rsidR="00203F72" w:rsidRPr="006B7176">
        <w:t>2</w:t>
      </w:r>
      <w:r w:rsidR="00203F72" w:rsidRPr="006B7176">
        <w:t>項所保障之人性尊嚴，亦適用之，故殺人犯之人性尊嚴</w:t>
      </w:r>
      <w:r w:rsidR="00203F72" w:rsidRPr="006B7176">
        <w:t>(human dignity)</w:t>
      </w:r>
      <w:r w:rsidR="00203F72" w:rsidRPr="006B7176">
        <w:t>，等同於非殺人犯之人性尊嚴，殺人犯之人性尊嚴亦是具有上述高度之神聖性、不可侵犯性、不可被剝削性、不可被踐踏性、不可被污辱性，基於此種憲政法理，故芬蘭廢止死刑。</w:t>
      </w:r>
    </w:p>
    <w:p w14:paraId="103CB427" w14:textId="77777777" w:rsidR="00953151" w:rsidRPr="006B7176" w:rsidRDefault="001C3A2B" w:rsidP="00D87D91">
      <w:r w:rsidRPr="006B7176">
        <w:t xml:space="preserve">　　</w:t>
      </w:r>
      <w:r w:rsidR="00203F72" w:rsidRPr="006B7176">
        <w:t>相較於芬蘭上述進步、文明、高尚及先進之立憲，台灣之憲法，並未明文賦予死刑犯具有人性尊嚴。換言之，台灣地區殺人犯之人性尊嚴，並不等同於非殺人犯之人性尊嚴，殺人犯有可能被判處死刑。基於此種之法理，故本書認為從我國憲法第</w:t>
      </w:r>
      <w:r w:rsidR="00203F72" w:rsidRPr="006B7176">
        <w:t>22</w:t>
      </w:r>
      <w:r w:rsidR="00203F72" w:rsidRPr="006B7176">
        <w:t>條其他基本人權之保障之中，是否真正可導出「人性尊嚴」之規定？恐具有爭議性與模糊性。我國死刑犯之人性尊嚴較為低劣與惡質，故死刑犯之人性尊嚴未具有上述高度之神聖性、不可侵犯性、不可被剝削性、不可被踐踏性、不可被污辱性；反面言之，台灣地區之殺人犯</w:t>
      </w:r>
      <w:r w:rsidR="00203F72" w:rsidRPr="006B7176">
        <w:t>(</w:t>
      </w:r>
      <w:r w:rsidR="00203F72" w:rsidRPr="006B7176">
        <w:t>死刑犯</w:t>
      </w:r>
      <w:r w:rsidR="00203F72" w:rsidRPr="006B7176">
        <w:t>)</w:t>
      </w:r>
      <w:r w:rsidR="00203F72" w:rsidRPr="006B7176">
        <w:t>之人性尊嚴，具有可被侵犯性</w:t>
      </w:r>
      <w:r w:rsidR="00203F72" w:rsidRPr="006B7176">
        <w:t>(the violability of human dignity)</w:t>
      </w:r>
      <w:r w:rsidR="00203F72" w:rsidRPr="006B7176">
        <w:t>、可被攻擊性、可被剝削性、可被踐踏性、可被污辱性，台灣憲法此種對於殺人犯</w:t>
      </w:r>
      <w:r w:rsidR="00203F72" w:rsidRPr="006B7176">
        <w:t>(</w:t>
      </w:r>
      <w:r w:rsidR="00203F72" w:rsidRPr="006B7176">
        <w:t>死刑犯</w:t>
      </w:r>
      <w:r w:rsidR="00203F72" w:rsidRPr="006B7176">
        <w:t>)</w:t>
      </w:r>
      <w:r w:rsidR="00203F72" w:rsidRPr="006B7176">
        <w:t>人性尊嚴之攻擊、剝削、踐踏、污辱、不屑、輕</w:t>
      </w:r>
      <w:r w:rsidR="003E240E">
        <w:t>視</w:t>
      </w:r>
      <w:r w:rsidR="00203F72" w:rsidRPr="006B7176">
        <w:t>與侵犯，並非文明之立憲模式。</w:t>
      </w:r>
    </w:p>
    <w:p w14:paraId="03D7FC50" w14:textId="77777777" w:rsidR="00953151" w:rsidRPr="006B7176" w:rsidRDefault="001C3A2B" w:rsidP="00D87D91">
      <w:r w:rsidRPr="006B7176">
        <w:t xml:space="preserve">　　</w:t>
      </w:r>
      <w:r w:rsidR="00203F72" w:rsidRPr="006B7176">
        <w:t>台灣之憲法，在本質之中，對於殺人犯</w:t>
      </w:r>
      <w:r w:rsidR="00203F72" w:rsidRPr="006B7176">
        <w:t>(</w:t>
      </w:r>
      <w:r w:rsidR="00203F72" w:rsidRPr="006B7176">
        <w:t>死刑犯</w:t>
      </w:r>
      <w:r w:rsidR="00203F72" w:rsidRPr="006B7176">
        <w:t>)</w:t>
      </w:r>
      <w:r w:rsidR="00203F72" w:rsidRPr="006B7176">
        <w:t>之人性尊嚴，具有仇</w:t>
      </w:r>
      <w:r w:rsidR="003E240E">
        <w:t>視</w:t>
      </w:r>
      <w:r w:rsidR="00203F72" w:rsidRPr="006B7176">
        <w:t>性、敵意性及報復性，有背於殺人犯</w:t>
      </w:r>
      <w:r w:rsidR="00203F72" w:rsidRPr="006B7176">
        <w:t>(</w:t>
      </w:r>
      <w:r w:rsidR="00203F72" w:rsidRPr="006B7176">
        <w:t>死刑犯</w:t>
      </w:r>
      <w:r w:rsidR="00203F72" w:rsidRPr="006B7176">
        <w:t>)</w:t>
      </w:r>
      <w:r w:rsidR="00203F72" w:rsidRPr="006B7176">
        <w:t>之人性尊嚴</w:t>
      </w:r>
      <w:r w:rsidR="00203F72" w:rsidRPr="006B7176">
        <w:t>(human dignity)</w:t>
      </w:r>
      <w:r w:rsidR="00203F72" w:rsidRPr="006B7176">
        <w:t>，將殺人犯</w:t>
      </w:r>
      <w:r w:rsidR="00203F72" w:rsidRPr="006B7176">
        <w:t>(</w:t>
      </w:r>
      <w:r w:rsidR="00203F72" w:rsidRPr="006B7176">
        <w:t>死刑犯</w:t>
      </w:r>
      <w:r w:rsidR="00203F72" w:rsidRPr="006B7176">
        <w:t>)</w:t>
      </w:r>
      <w:r w:rsidR="00203F72" w:rsidRPr="006B7176">
        <w:t>之人性尊嚴，</w:t>
      </w:r>
      <w:r w:rsidR="003E240E">
        <w:t>視</w:t>
      </w:r>
      <w:r w:rsidR="00203F72" w:rsidRPr="006B7176">
        <w:t>為無物與糞土。相較於芬蘭上述進步、文明及先進之立憲，台灣之憲法，著實係屬於較不進步、較不文明、較不高尚、較落後及充斥仇</w:t>
      </w:r>
      <w:r w:rsidR="003E240E">
        <w:t>視</w:t>
      </w:r>
      <w:r w:rsidR="00203F72" w:rsidRPr="006B7176">
        <w:t>性、敵意性及報復性之立憲體制。</w:t>
      </w:r>
    </w:p>
    <w:p w14:paraId="0FF728C3" w14:textId="77777777" w:rsidR="00953151" w:rsidRPr="006B7176" w:rsidRDefault="001C3A2B" w:rsidP="00D87D91">
      <w:r w:rsidRPr="006B7176">
        <w:t xml:space="preserve">　　</w:t>
      </w:r>
      <w:r w:rsidR="00203F72" w:rsidRPr="006B7176">
        <w:t>從上述之論述，可得知德國基本法第</w:t>
      </w:r>
      <w:r w:rsidR="00203F72" w:rsidRPr="006B7176">
        <w:t>1</w:t>
      </w:r>
      <w:r w:rsidR="00203F72" w:rsidRPr="006B7176">
        <w:t>條第</w:t>
      </w:r>
      <w:r w:rsidR="00203F72" w:rsidRPr="006B7176">
        <w:t>1</w:t>
      </w:r>
      <w:r w:rsidR="00203F72" w:rsidRPr="006B7176">
        <w:t>項與芬蘭憲法第</w:t>
      </w:r>
      <w:r w:rsidR="00203F72" w:rsidRPr="006B7176">
        <w:t>1</w:t>
      </w:r>
      <w:r w:rsidR="00203F72" w:rsidRPr="006B7176">
        <w:t>條第</w:t>
      </w:r>
      <w:r w:rsidR="00203F72" w:rsidRPr="006B7176">
        <w:t>2</w:t>
      </w:r>
      <w:r w:rsidR="00203F72" w:rsidRPr="006B7176">
        <w:t>項之立憲模式，均相當重</w:t>
      </w:r>
      <w:r w:rsidR="003E240E">
        <w:t>視</w:t>
      </w:r>
      <w:r w:rsidR="00203F72" w:rsidRPr="006B7176">
        <w:t>對於人性尊嚴之尊重與保護；反觀我國之憲法，缺乏上述之立憲體制，此為相當可惜之處；由於缺乏上述之立憲體制，故台灣地區之殺人犯</w:t>
      </w:r>
      <w:r w:rsidR="00203F72" w:rsidRPr="006B7176">
        <w:t>(</w:t>
      </w:r>
      <w:r w:rsidR="00203F72" w:rsidRPr="006B7176">
        <w:t>死刑犯</w:t>
      </w:r>
      <w:r w:rsidR="00203F72" w:rsidRPr="006B7176">
        <w:t>)</w:t>
      </w:r>
      <w:r w:rsidR="00203F72" w:rsidRPr="006B7176">
        <w:t>之人性尊嚴，正遭受不斷地被侵犯、被攻擊、被剝削、被踐踏及被污辱之狀況。</w:t>
      </w:r>
    </w:p>
    <w:p w14:paraId="17E36DF3" w14:textId="77777777" w:rsidR="00953151" w:rsidRPr="006B7176" w:rsidRDefault="001C3A2B" w:rsidP="00D87D91">
      <w:r w:rsidRPr="006B7176">
        <w:t xml:space="preserve">　　</w:t>
      </w:r>
      <w:r w:rsidR="00203F72" w:rsidRPr="006B7176">
        <w:t>另外，就</w:t>
      </w:r>
      <w:hyperlink r:id="rId2418" w:history="1">
        <w:r w:rsidR="00F35C5F" w:rsidRPr="006B7176">
          <w:rPr>
            <w:rStyle w:val="a5"/>
          </w:rPr>
          <w:t>世界人權宣言</w:t>
        </w:r>
      </w:hyperlink>
      <w:r w:rsidR="00203F72" w:rsidRPr="006B7176">
        <w:t>（</w:t>
      </w:r>
      <w:r w:rsidR="00203F72" w:rsidRPr="006B7176">
        <w:t>Universal Declaration of Human Rights</w:t>
      </w:r>
      <w:r w:rsidR="00203F72" w:rsidRPr="006B7176">
        <w:t>）之前言而論，亦提及「對於人人固有尊嚴及平等不移權利之承認，確係世界自由、正義與和平之基礎」。換言之，整個世界及自由、正義與和平之基石，其大前提乃在於吾人必須先確認以下之權利：</w:t>
      </w:r>
      <w:r w:rsidR="00203F72" w:rsidRPr="006B7176">
        <w:t>1.</w:t>
      </w:r>
      <w:r w:rsidR="00203F72" w:rsidRPr="006B7176">
        <w:t>人人均有固有之人性尊嚴；</w:t>
      </w:r>
      <w:r w:rsidR="00203F72" w:rsidRPr="006B7176">
        <w:t>2.</w:t>
      </w:r>
      <w:r w:rsidR="00203F72" w:rsidRPr="006B7176">
        <w:t>人人均有平等不移之權利。</w:t>
      </w:r>
      <w:hyperlink r:id="rId2419" w:history="1">
        <w:r w:rsidR="00F35C5F" w:rsidRPr="006B7176">
          <w:rPr>
            <w:rStyle w:val="a5"/>
          </w:rPr>
          <w:t>世界人權宣言</w:t>
        </w:r>
      </w:hyperlink>
      <w:r w:rsidR="00203F72" w:rsidRPr="006B7176">
        <w:t>除了在序言之中，明確地肯認固有人性尊嚴之存在外，在第</w:t>
      </w:r>
      <w:r w:rsidR="00203F72" w:rsidRPr="006B7176">
        <w:t>1</w:t>
      </w:r>
      <w:r w:rsidR="00203F72" w:rsidRPr="006B7176">
        <w:t>條之中，亦規定「人皆生而自由，在尊嚴及權利上均各平等。」是以，不僅每個人均具有人性尊嚴；而且，每個人之人性尊嚴，其地位均是平等的；在</w:t>
      </w:r>
      <w:hyperlink r:id="rId2420" w:history="1">
        <w:r w:rsidR="00F35C5F" w:rsidRPr="006B7176">
          <w:rPr>
            <w:rStyle w:val="a5"/>
          </w:rPr>
          <w:t>世界人權宣言</w:t>
        </w:r>
      </w:hyperlink>
      <w:r w:rsidR="00203F72" w:rsidRPr="006B7176">
        <w:t>之中，有多處提及人性尊嚴，諸如：前言、</w:t>
      </w:r>
      <w:hyperlink r:id="rId2421" w:anchor="a1" w:history="1">
        <w:r w:rsidR="00203F72" w:rsidRPr="006D375C">
          <w:rPr>
            <w:rStyle w:val="a5"/>
            <w:rFonts w:ascii="Times New Roman" w:eastAsia="新細明體" w:hAnsi="Times New Roman"/>
          </w:rPr>
          <w:t>第</w:t>
        </w:r>
        <w:r w:rsidR="00203F72" w:rsidRPr="006D375C">
          <w:rPr>
            <w:rStyle w:val="a5"/>
            <w:rFonts w:ascii="Times New Roman" w:eastAsia="新細明體" w:hAnsi="Times New Roman"/>
          </w:rPr>
          <w:t>1</w:t>
        </w:r>
        <w:r w:rsidR="00203F72" w:rsidRPr="006D375C">
          <w:rPr>
            <w:rStyle w:val="a5"/>
            <w:rFonts w:ascii="Times New Roman" w:eastAsia="新細明體" w:hAnsi="Times New Roman"/>
          </w:rPr>
          <w:t>條</w:t>
        </w:r>
      </w:hyperlink>
      <w:r w:rsidR="00203F72" w:rsidRPr="006B7176">
        <w:t>、</w:t>
      </w:r>
      <w:hyperlink r:id="rId2422" w:anchor="a22" w:history="1">
        <w:r w:rsidR="00203F72" w:rsidRPr="006D375C">
          <w:rPr>
            <w:rStyle w:val="a5"/>
            <w:rFonts w:ascii="Times New Roman" w:eastAsia="新細明體" w:hAnsi="Times New Roman"/>
          </w:rPr>
          <w:t>第</w:t>
        </w:r>
        <w:r w:rsidR="00203F72" w:rsidRPr="006D375C">
          <w:rPr>
            <w:rStyle w:val="a5"/>
            <w:rFonts w:ascii="Times New Roman" w:eastAsia="新細明體" w:hAnsi="Times New Roman"/>
          </w:rPr>
          <w:t>22</w:t>
        </w:r>
        <w:r w:rsidR="00203F72" w:rsidRPr="006D375C">
          <w:rPr>
            <w:rStyle w:val="a5"/>
            <w:rFonts w:ascii="Times New Roman" w:eastAsia="新細明體" w:hAnsi="Times New Roman"/>
          </w:rPr>
          <w:t>條</w:t>
        </w:r>
      </w:hyperlink>
      <w:r w:rsidR="00203F72" w:rsidRPr="006B7176">
        <w:t>及</w:t>
      </w:r>
      <w:hyperlink r:id="rId2423" w:anchor="a23" w:history="1">
        <w:r w:rsidR="00203F72" w:rsidRPr="006D375C">
          <w:rPr>
            <w:rStyle w:val="a5"/>
            <w:rFonts w:ascii="Times New Roman" w:eastAsia="新細明體" w:hAnsi="Times New Roman"/>
          </w:rPr>
          <w:t>第</w:t>
        </w:r>
        <w:r w:rsidR="00203F72" w:rsidRPr="006D375C">
          <w:rPr>
            <w:rStyle w:val="a5"/>
            <w:rFonts w:ascii="Times New Roman" w:eastAsia="新細明體" w:hAnsi="Times New Roman"/>
          </w:rPr>
          <w:t>23</w:t>
        </w:r>
        <w:r w:rsidR="00203F72" w:rsidRPr="006D375C">
          <w:rPr>
            <w:rStyle w:val="a5"/>
            <w:rFonts w:ascii="Times New Roman" w:eastAsia="新細明體" w:hAnsi="Times New Roman"/>
          </w:rPr>
          <w:t>條</w:t>
        </w:r>
      </w:hyperlink>
      <w:r w:rsidR="00203F72" w:rsidRPr="006B7176">
        <w:t>等。</w:t>
      </w:r>
    </w:p>
    <w:p w14:paraId="0AFDC418" w14:textId="77777777" w:rsidR="00953151" w:rsidRPr="006B7176" w:rsidRDefault="001C3A2B" w:rsidP="00D87D91">
      <w:r w:rsidRPr="006B7176">
        <w:t xml:space="preserve">　　</w:t>
      </w:r>
      <w:r w:rsidR="00203F72" w:rsidRPr="006B7176">
        <w:t>再者，於「</w:t>
      </w:r>
      <w:hyperlink r:id="rId2424" w:history="1">
        <w:r w:rsidR="00203F72" w:rsidRPr="006D375C">
          <w:rPr>
            <w:rStyle w:val="a5"/>
            <w:rFonts w:ascii="Times New Roman" w:eastAsia="新細明體" w:hAnsi="Times New Roman"/>
          </w:rPr>
          <w:t>公民與政治權利國際公約</w:t>
        </w:r>
      </w:hyperlink>
      <w:r w:rsidR="00203F72" w:rsidRPr="006B7176">
        <w:t>」（</w:t>
      </w:r>
      <w:r w:rsidR="00203F72" w:rsidRPr="006B7176">
        <w:t>International Covenant on Civil and Political Rights</w:t>
      </w:r>
      <w:r w:rsidR="00203F72" w:rsidRPr="006B7176">
        <w:t>，簡稱為</w:t>
      </w:r>
      <w:hyperlink r:id="rId2425" w:history="1">
        <w:r w:rsidR="005532CF" w:rsidRPr="005532CF">
          <w:rPr>
            <w:rStyle w:val="a5"/>
            <w:rFonts w:ascii="Times New Roman" w:eastAsia="新細明體" w:hAnsi="Times New Roman"/>
          </w:rPr>
          <w:t>ICCPR</w:t>
        </w:r>
      </w:hyperlink>
      <w:r w:rsidR="00203F72" w:rsidRPr="006B7176">
        <w:t>）之序言中，再次提及：「對人類家庭所有成員之固有尊嚴及平等與不移權利之承認，乃是世界自由、正義與和平之基礎；確認這些權利，是源於人身之同有尊嚴。」根據</w:t>
      </w:r>
      <w:hyperlink r:id="rId2426" w:history="1">
        <w:r w:rsidR="005532CF" w:rsidRPr="005532CF">
          <w:rPr>
            <w:rStyle w:val="a5"/>
            <w:rFonts w:ascii="Times New Roman" w:eastAsia="新細明體" w:hAnsi="Times New Roman"/>
          </w:rPr>
          <w:t>ICCPR</w:t>
        </w:r>
      </w:hyperlink>
      <w:r w:rsidR="00203F72" w:rsidRPr="006B7176">
        <w:t>對於人性尊嚴之闡釋，可得知「人性尊嚴」具有下列之特色：</w:t>
      </w:r>
      <w:r w:rsidR="00203F72" w:rsidRPr="006B7176">
        <w:t>1.</w:t>
      </w:r>
      <w:r w:rsidR="00203F72" w:rsidRPr="006B7176">
        <w:t>假若欲建構世界之自由、正義與和平，在基礎工作中，首先，必須明確地承諾，人類家庭所有之成員，人人均具有固有之人性尊嚴及平等不移之權利；</w:t>
      </w:r>
      <w:r w:rsidR="00203F72" w:rsidRPr="006B7176">
        <w:t xml:space="preserve">2. </w:t>
      </w:r>
      <w:hyperlink r:id="rId2427" w:history="1">
        <w:r w:rsidR="005532CF" w:rsidRPr="005532CF">
          <w:rPr>
            <w:rStyle w:val="a5"/>
            <w:rFonts w:ascii="Times New Roman" w:eastAsia="新細明體" w:hAnsi="Times New Roman"/>
          </w:rPr>
          <w:t>ICCPR</w:t>
        </w:r>
      </w:hyperlink>
      <w:r w:rsidR="00203F72" w:rsidRPr="006B7176">
        <w:t>所保障之各式權利型態，均源自於人性尊嚴（人性固有尊嚴）；</w:t>
      </w:r>
      <w:r w:rsidR="00203F72" w:rsidRPr="006B7176">
        <w:t>3.</w:t>
      </w:r>
      <w:r w:rsidR="00203F72" w:rsidRPr="006B7176">
        <w:t>人性尊嚴不待國家之賦予它是與生俱來的，是固有的。有鑑於</w:t>
      </w:r>
      <w:hyperlink r:id="rId2428" w:history="1">
        <w:r w:rsidR="00F35C5F" w:rsidRPr="006B7176">
          <w:rPr>
            <w:rStyle w:val="a5"/>
          </w:rPr>
          <w:t>世界人權宣言</w:t>
        </w:r>
      </w:hyperlink>
      <w:r w:rsidR="00203F72" w:rsidRPr="006B7176">
        <w:t>及</w:t>
      </w:r>
      <w:hyperlink r:id="rId2429" w:history="1">
        <w:r w:rsidR="005532CF" w:rsidRPr="005532CF">
          <w:rPr>
            <w:rStyle w:val="a5"/>
            <w:rFonts w:ascii="Times New Roman" w:eastAsia="新細明體" w:hAnsi="Times New Roman"/>
          </w:rPr>
          <w:t>ICCPR</w:t>
        </w:r>
      </w:hyperlink>
      <w:r w:rsidR="00203F72" w:rsidRPr="006B7176">
        <w:t>均十分肯認人人均具有人性（固有）尊嚴，是以，我國之憲法，宜與時俱進，大步追上國際人權法之新發展趨勢；於憲法之位階中，明文規定須對於人性尊嚴加以「尊重」與「保障」；亦即，除了「尊重」之外，尚須「保護（障）」。</w:t>
      </w:r>
    </w:p>
    <w:p w14:paraId="445884C4" w14:textId="77777777" w:rsidR="00953151" w:rsidRPr="006B7176" w:rsidRDefault="001C3A2B" w:rsidP="00D87D91">
      <w:r w:rsidRPr="006B7176">
        <w:t xml:space="preserve">　　</w:t>
      </w:r>
      <w:r w:rsidR="00203F72" w:rsidRPr="006B7176">
        <w:t>另外，於殘疾人權利公約之中，亦論及對殘疾人固有尊嚴的尊重與保障，該公約於序文中指出：「回顧《</w:t>
      </w:r>
      <w:hyperlink r:id="rId2430" w:history="1">
        <w:r w:rsidR="006937CE" w:rsidRPr="006937CE">
          <w:rPr>
            <w:rStyle w:val="a5"/>
            <w:rFonts w:ascii="Times New Roman" w:eastAsia="新細明體" w:hAnsi="Times New Roman"/>
          </w:rPr>
          <w:t>聯合國憲章</w:t>
        </w:r>
      </w:hyperlink>
      <w:r w:rsidR="00203F72" w:rsidRPr="006B7176">
        <w:t>》宣告的各項原則，確認人類大家庭所有成員的固有尊嚴和價值以及平等和不可剝奪的權利，是世界自由、正義與和平的基礎，、、、。」；此外，殘疾人權利公約第</w:t>
      </w:r>
      <w:r w:rsidR="00203F72" w:rsidRPr="006B7176">
        <w:t>1</w:t>
      </w:r>
      <w:r w:rsidR="00203F72" w:rsidRPr="006B7176">
        <w:t>條規定：「本公約的宗旨是促進、保護和確保所有殘疾人充分和平等地享有一切人權和基本自由，並促進對殘疾人固有尊嚴的尊重。」是以，吾人對殘疾人固有尊嚴的尊重與保障，是世界自由、正義與和平的基礎。</w:t>
      </w:r>
    </w:p>
    <w:p w14:paraId="12EA27F3" w14:textId="77777777" w:rsidR="00203F72" w:rsidRPr="006B7176" w:rsidRDefault="001C3A2B" w:rsidP="00D87D91">
      <w:r w:rsidRPr="006B7176">
        <w:t xml:space="preserve">　　</w:t>
      </w:r>
      <w:r w:rsidR="00203F72" w:rsidRPr="006B7176">
        <w:t>羅昌發大法官於司法院釋字</w:t>
      </w:r>
      <w:r w:rsidR="007D50BB" w:rsidRPr="006B7176">
        <w:t>第</w:t>
      </w:r>
      <w:hyperlink r:id="rId2431" w:anchor="r694" w:history="1">
        <w:r w:rsidR="007D50BB" w:rsidRPr="006B7176">
          <w:rPr>
            <w:rStyle w:val="a5"/>
          </w:rPr>
          <w:t>六九四</w:t>
        </w:r>
      </w:hyperlink>
      <w:r w:rsidR="007D50BB" w:rsidRPr="006B7176">
        <w:t>號</w:t>
      </w:r>
      <w:r w:rsidR="00203F72" w:rsidRPr="006B7176">
        <w:t>解釋部分協同、部分不同意見書乙文之中，亦曾對「人性尊嚴」多加著墨，其指出：</w:t>
      </w:r>
    </w:p>
    <w:p w14:paraId="3C0B5976" w14:textId="77777777" w:rsidR="00953151" w:rsidRPr="006B7176" w:rsidRDefault="001C3A2B" w:rsidP="00D87D91">
      <w:r w:rsidRPr="006B7176">
        <w:t xml:space="preserve">　　</w:t>
      </w:r>
      <w:r w:rsidR="00203F72" w:rsidRPr="006B7176">
        <w:t>「尊嚴，係作為人民基本權利的內涵。尊嚴一詞（在本院大法官解釋及不同國際人權公約，分別稱「人性尊嚴」、「人格尊嚴」、「個人尊嚴」、「固有尊嚴」等）雖尚無法律或條約之明確定義，然其一般係指人性的維護、人格主體的維持、對於人之主體性的肯認與基本尊重。尊嚴的保護，已成為普世價值及重要的人權內涵。</w:t>
      </w:r>
      <w:hyperlink r:id="rId2432" w:history="1">
        <w:r w:rsidR="006937CE" w:rsidRPr="006937CE">
          <w:rPr>
            <w:rStyle w:val="a5"/>
            <w:rFonts w:ascii="Times New Roman" w:eastAsia="新細明體" w:hAnsi="Times New Roman"/>
          </w:rPr>
          <w:t>聯合國憲章</w:t>
        </w:r>
      </w:hyperlink>
      <w:r w:rsidR="00203F72" w:rsidRPr="006B7176">
        <w:t>（</w:t>
      </w:r>
      <w:r w:rsidR="00203F72" w:rsidRPr="006B7176">
        <w:t>Charter of the United Nations</w:t>
      </w:r>
      <w:r w:rsidR="00203F72" w:rsidRPr="006B7176">
        <w:t>）、</w:t>
      </w:r>
      <w:hyperlink r:id="rId2433" w:history="1">
        <w:r w:rsidR="00F35C5F" w:rsidRPr="006B7176">
          <w:rPr>
            <w:rStyle w:val="a5"/>
          </w:rPr>
          <w:t>世界人權宣言</w:t>
        </w:r>
      </w:hyperlink>
      <w:r w:rsidR="00203F72" w:rsidRPr="006B7176">
        <w:t>（</w:t>
      </w:r>
      <w:r w:rsidR="00203F72" w:rsidRPr="006B7176">
        <w:t>Universal Declaration of Human Rights</w:t>
      </w:r>
      <w:r w:rsidR="00203F72" w:rsidRPr="006B7176">
        <w:t>）、</w:t>
      </w:r>
      <w:hyperlink r:id="rId2434" w:history="1">
        <w:r w:rsidR="00203F72" w:rsidRPr="006B7176">
          <w:rPr>
            <w:rStyle w:val="a5"/>
          </w:rPr>
          <w:t>經濟、社會與文化權利國際公約</w:t>
        </w:r>
      </w:hyperlink>
      <w:r w:rsidR="00203F72" w:rsidRPr="006B7176">
        <w:t>（</w:t>
      </w:r>
      <w:r w:rsidR="00203F72" w:rsidRPr="006B7176">
        <w:t xml:space="preserve"> International Covenant on Economic, Social and Cultural Rights (ICESCR)</w:t>
      </w:r>
      <w:r w:rsidR="00203F72" w:rsidRPr="006B7176">
        <w:t>）、公民與政治權利國際公約（</w:t>
      </w:r>
      <w:r w:rsidR="00203F72" w:rsidRPr="006B7176">
        <w:t>International Covenant on Civil and Political Rights (</w:t>
      </w:r>
      <w:hyperlink r:id="rId2435" w:history="1">
        <w:r w:rsidR="005532CF" w:rsidRPr="005532CF">
          <w:rPr>
            <w:rStyle w:val="a5"/>
            <w:rFonts w:ascii="Times New Roman" w:eastAsia="新細明體" w:hAnsi="Times New Roman"/>
          </w:rPr>
          <w:t>ICCPR</w:t>
        </w:r>
      </w:hyperlink>
      <w:r w:rsidR="00203F72" w:rsidRPr="006B7176">
        <w:t>)</w:t>
      </w:r>
      <w:r w:rsidR="00203F72" w:rsidRPr="006B7176">
        <w:t>）以及諸多人權公約，均提及對人性尊嚴（</w:t>
      </w:r>
      <w:r w:rsidR="00203F72" w:rsidRPr="006B7176">
        <w:t>human dignity</w:t>
      </w:r>
      <w:r w:rsidR="00203F72" w:rsidRPr="006B7176">
        <w:t>）的尊重，或提及所有的人權均源自人類固有（與生俱來）的尊嚴（</w:t>
      </w:r>
      <w:r w:rsidR="00203F72" w:rsidRPr="006B7176">
        <w:t>inherent dignity of the human person</w:t>
      </w:r>
      <w:r w:rsidR="00203F72" w:rsidRPr="006B7176">
        <w:t>）。」</w:t>
      </w:r>
    </w:p>
    <w:p w14:paraId="1A73E8F3" w14:textId="77777777" w:rsidR="00953151" w:rsidRPr="006B7176" w:rsidRDefault="001C3A2B" w:rsidP="00D87D91">
      <w:r w:rsidRPr="006B7176">
        <w:t xml:space="preserve">　　</w:t>
      </w:r>
      <w:r w:rsidR="00203F72" w:rsidRPr="006B7176">
        <w:t>綜整羅昌發大法官於司法院釋字</w:t>
      </w:r>
      <w:r w:rsidR="007D50BB" w:rsidRPr="006B7176">
        <w:t>第</w:t>
      </w:r>
      <w:hyperlink r:id="rId2436" w:anchor="r694" w:history="1">
        <w:r w:rsidR="007D50BB" w:rsidRPr="006B7176">
          <w:rPr>
            <w:rStyle w:val="a5"/>
          </w:rPr>
          <w:t>六九四</w:t>
        </w:r>
      </w:hyperlink>
      <w:r w:rsidR="007D50BB" w:rsidRPr="006B7176">
        <w:t>號</w:t>
      </w:r>
      <w:r w:rsidR="00203F72" w:rsidRPr="006B7176">
        <w:t>解釋部分協同、部分不同意見書乙文之看法，對於人之尊嚴的保護，已成為普世價值及重要的人權內涵。所有的人權，均源自人類固有（與生俱來）的尊嚴。亦即，所有的人權，均源自「人性尊嚴」、「人格尊嚴」、「固有尊嚴」或「個人尊嚴」。本書贊同羅昌發大法官之見解，由此可見，「人性尊嚴」、「人格尊嚴」、「固有尊嚴」或「個人尊嚴」入憲化之必要性與重要性。</w:t>
      </w:r>
    </w:p>
    <w:p w14:paraId="6BBC6706" w14:textId="77777777" w:rsidR="00953151" w:rsidRPr="006B7176" w:rsidRDefault="001C3A2B" w:rsidP="00D87D91">
      <w:r w:rsidRPr="006B7176">
        <w:t xml:space="preserve">　　</w:t>
      </w:r>
      <w:r w:rsidR="00203F72" w:rsidRPr="006B7176">
        <w:t>另外，翁翠芳教授於本書推薦序文之中，亦提及</w:t>
      </w:r>
      <w:r w:rsidR="00203F72" w:rsidRPr="006B7176">
        <w:t>2015</w:t>
      </w:r>
      <w:r w:rsidR="00203F72" w:rsidRPr="006B7176">
        <w:t>年</w:t>
      </w:r>
      <w:r w:rsidR="00203F72" w:rsidRPr="006B7176">
        <w:t>6</w:t>
      </w:r>
      <w:r w:rsidR="00203F72" w:rsidRPr="006B7176">
        <w:t>月之修憲運動，於</w:t>
      </w:r>
      <w:r w:rsidR="00203F72" w:rsidRPr="006B7176">
        <w:t>35</w:t>
      </w:r>
      <w:r w:rsidR="00203F72" w:rsidRPr="006B7176">
        <w:t>個修憲提議案之中，可歸結出</w:t>
      </w:r>
      <w:r w:rsidR="00203F72" w:rsidRPr="006B7176">
        <w:t>9</w:t>
      </w:r>
      <w:r w:rsidR="00203F72" w:rsidRPr="006B7176">
        <w:t>大修憲議題</w:t>
      </w:r>
      <w:r w:rsidR="00203F72" w:rsidRPr="006B7176">
        <w:t>(</w:t>
      </w:r>
      <w:r w:rsidR="00203F72" w:rsidRPr="006B7176">
        <w:t>區塊</w:t>
      </w:r>
      <w:r w:rsidR="00203F72" w:rsidRPr="006B7176">
        <w:t>)</w:t>
      </w:r>
      <w:r w:rsidR="00203F72" w:rsidRPr="006B7176">
        <w:t>：「（一）於憲法增修條文之中，增訂基本國策；（二）人民權利、義務與人性尊嚴入憲（三）刪減監察院監察委員之人數，並明定監委之任期，另外，正式廢除台灣省政府與台灣省諮議會；（四）調降我國修憲要求之門檻規定；（五）刪減司法院大法官與考試院考試委員之人數，並明定考試委員之任期；（六）將不在籍投票機制入憲化；（七）恢復立法院對於行政院院長之任命同意權；（八）調降選舉人與被選舉人之年齡；（九）各個政黨所獲分配不分區之立委門檻之百分比例，從</w:t>
      </w:r>
      <w:r w:rsidR="00203F72" w:rsidRPr="006B7176">
        <w:t>5%</w:t>
      </w:r>
      <w:r w:rsidR="00203F72" w:rsidRPr="006B7176">
        <w:t>下降至</w:t>
      </w:r>
      <w:r w:rsidR="00203F72" w:rsidRPr="006B7176">
        <w:t>3%</w:t>
      </w:r>
      <w:r w:rsidR="00203F72" w:rsidRPr="006B7176">
        <w:t>。」</w:t>
      </w:r>
    </w:p>
    <w:p w14:paraId="35C94C96" w14:textId="77777777" w:rsidR="00953151" w:rsidRPr="006B7176" w:rsidRDefault="001C3A2B" w:rsidP="00D87D91">
      <w:r w:rsidRPr="006B7176">
        <w:t xml:space="preserve">　　</w:t>
      </w:r>
      <w:r w:rsidR="00203F72" w:rsidRPr="006B7176">
        <w:t>雖然，本次修憲未成功，但已論及將人性尊嚴</w:t>
      </w:r>
      <w:r w:rsidR="00203F72" w:rsidRPr="006B7176">
        <w:t>(human dignity)</w:t>
      </w:r>
      <w:r w:rsidR="00203F72" w:rsidRPr="006B7176">
        <w:t>入憲化之議題</w:t>
      </w:r>
      <w:r w:rsidR="00203F72" w:rsidRPr="006B7176">
        <w:footnoteReference w:id="1037"/>
      </w:r>
      <w:r w:rsidR="00203F72" w:rsidRPr="006B7176">
        <w:t>，本書非常期待並樂見於我國憲法能將人性尊嚴加以入憲化，由於所有的人權，均源自「人性尊嚴」、「人格尊嚴」、「固有尊嚴」或「個人尊嚴」，我國憲法竟尚未能將人性尊嚴</w:t>
      </w:r>
      <w:r w:rsidR="00203F72" w:rsidRPr="006B7176">
        <w:t>(human dignity)</w:t>
      </w:r>
      <w:r w:rsidR="00203F72" w:rsidRPr="006B7176">
        <w:t>加以入憲化，這是一件非常悲慘</w:t>
      </w:r>
      <w:r w:rsidR="00203F72" w:rsidRPr="006B7176">
        <w:t>(</w:t>
      </w:r>
      <w:r w:rsidR="00203F72" w:rsidRPr="006B7176">
        <w:t>淒慘</w:t>
      </w:r>
      <w:r w:rsidR="00203F72" w:rsidRPr="006B7176">
        <w:t>)</w:t>
      </w:r>
      <w:r w:rsidR="00203F72" w:rsidRPr="006B7176">
        <w:t>之事。</w:t>
      </w:r>
    </w:p>
    <w:p w14:paraId="068BF6A1" w14:textId="77777777" w:rsidR="00145751" w:rsidRDefault="00145751" w:rsidP="006D375C">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28133B0" w14:textId="77777777" w:rsidR="00145751" w:rsidRDefault="00145751" w:rsidP="00D87D91"/>
    <w:p w14:paraId="71A8BF6D" w14:textId="77777777" w:rsidR="00953151" w:rsidRDefault="00203F72" w:rsidP="00767F37">
      <w:pPr>
        <w:pStyle w:val="2"/>
      </w:pPr>
      <w:bookmarkStart w:id="128" w:name="_伍、將國際人權法典之人權內涵與精神適切地融入（注入）我國憲法之中"/>
      <w:bookmarkEnd w:id="128"/>
      <w:r w:rsidRPr="00A53581">
        <w:t>伍、將國際人權法典之人權內涵與精神適切地融入（注入）我國憲法之中</w:t>
      </w:r>
      <w:r w:rsidRPr="00A53581">
        <w:t xml:space="preserve"> </w:t>
      </w:r>
    </w:p>
    <w:p w14:paraId="71C4A64A" w14:textId="77777777" w:rsidR="00953151" w:rsidRDefault="001C3A2B" w:rsidP="00D87D91">
      <w:pPr>
        <w:rPr>
          <w:rFonts w:ascii="新細明體" w:hAnsi="新細明體"/>
          <w:kern w:val="0"/>
        </w:rPr>
      </w:pPr>
      <w:r w:rsidRPr="00F90BE3">
        <w:t xml:space="preserve">　　</w:t>
      </w:r>
      <w:r w:rsidR="00203F72" w:rsidRPr="00F90BE3">
        <w:t>在國際人權法典，重要之法典，計有：「</w:t>
      </w:r>
      <w:hyperlink r:id="rId2437" w:history="1">
        <w:r w:rsidR="00F35C5F" w:rsidRPr="00F35C5F">
          <w:rPr>
            <w:rStyle w:val="a5"/>
          </w:rPr>
          <w:t>世界人權宣言</w:t>
        </w:r>
      </w:hyperlink>
      <w:r w:rsidR="00203F72" w:rsidRPr="00F90BE3">
        <w:t>」、</w:t>
      </w:r>
      <w:hyperlink r:id="rId2438" w:history="1">
        <w:r w:rsidR="005532CF" w:rsidRPr="005532CF">
          <w:rPr>
            <w:rStyle w:val="a5"/>
            <w:rFonts w:ascii="Times New Roman" w:eastAsia="新細明體" w:hAnsi="Times New Roman"/>
          </w:rPr>
          <w:t>ICCPR</w:t>
        </w:r>
      </w:hyperlink>
      <w:r w:rsidR="00203F72" w:rsidRPr="00F90BE3">
        <w:t>及「</w:t>
      </w:r>
      <w:hyperlink r:id="rId2439" w:history="1">
        <w:r w:rsidR="00203F72" w:rsidRPr="001B1539">
          <w:rPr>
            <w:rStyle w:val="a5"/>
            <w:rFonts w:ascii="Times New Roman" w:hAnsi="Times New Roman"/>
          </w:rPr>
          <w:t>經濟、社會、文化權利國際公約</w:t>
        </w:r>
      </w:hyperlink>
      <w:r w:rsidR="00203F72" w:rsidRPr="00F90BE3">
        <w:t>」（</w:t>
      </w:r>
      <w:r w:rsidR="00203F72" w:rsidRPr="00F90BE3">
        <w:t>International Covenant on Economic</w:t>
      </w:r>
      <w:r w:rsidR="00203F72" w:rsidRPr="00F90BE3">
        <w:t>，</w:t>
      </w:r>
      <w:r w:rsidR="00203F72" w:rsidRPr="00F90BE3">
        <w:t xml:space="preserve"> Social and Cultural Rights</w:t>
      </w:r>
      <w:r w:rsidR="00203F72" w:rsidRPr="00F90BE3">
        <w:t>，簡稱為</w:t>
      </w:r>
      <w:r w:rsidR="00203F72" w:rsidRPr="00F90BE3">
        <w:t>ICESCR</w:t>
      </w:r>
      <w:r w:rsidR="00203F72" w:rsidRPr="00F90BE3">
        <w:t>）；首先，就</w:t>
      </w:r>
      <w:hyperlink r:id="rId2440" w:history="1">
        <w:r w:rsidR="00F35C5F" w:rsidRPr="00F35C5F">
          <w:rPr>
            <w:rStyle w:val="a5"/>
          </w:rPr>
          <w:t>世界人權宣言</w:t>
        </w:r>
      </w:hyperlink>
      <w:r w:rsidR="00203F72" w:rsidRPr="00F90BE3">
        <w:t>而論，該宣言所規範之重要權利，如下所述：生而自由權、尊嚴平等權、權利平等權（</w:t>
      </w:r>
      <w:hyperlink r:id="rId2441" w:anchor="a1" w:history="1">
        <w:r w:rsidR="00203F72" w:rsidRPr="00B1524D">
          <w:rPr>
            <w:rStyle w:val="a5"/>
            <w:rFonts w:ascii="Times New Roman" w:eastAsia="新細明體" w:hAnsi="Times New Roman"/>
          </w:rPr>
          <w:t>第</w:t>
        </w:r>
        <w:r w:rsidR="00203F72" w:rsidRPr="00B1524D">
          <w:rPr>
            <w:rStyle w:val="a5"/>
            <w:rFonts w:ascii="Times New Roman" w:eastAsia="新細明體" w:hAnsi="Times New Roman"/>
          </w:rPr>
          <w:t>1</w:t>
        </w:r>
        <w:r w:rsidR="00203F72" w:rsidRPr="00B1524D">
          <w:rPr>
            <w:rStyle w:val="a5"/>
            <w:rFonts w:ascii="Times New Roman" w:eastAsia="新細明體" w:hAnsi="Times New Roman"/>
          </w:rPr>
          <w:t>條</w:t>
        </w:r>
      </w:hyperlink>
      <w:r w:rsidR="00203F72" w:rsidRPr="00F90BE3">
        <w:t>）；不歧</w:t>
      </w:r>
      <w:r w:rsidR="003E240E">
        <w:t>視</w:t>
      </w:r>
      <w:r w:rsidR="00203F72" w:rsidRPr="00F90BE3">
        <w:t>原則（</w:t>
      </w:r>
      <w:hyperlink r:id="rId2442" w:anchor="a2" w:history="1">
        <w:r w:rsidR="00203F72" w:rsidRPr="00B1524D">
          <w:rPr>
            <w:rStyle w:val="a5"/>
            <w:rFonts w:ascii="Times New Roman" w:eastAsia="新細明體" w:hAnsi="Times New Roman"/>
          </w:rPr>
          <w:t>第</w:t>
        </w:r>
        <w:r w:rsidR="00203F72" w:rsidRPr="00B1524D">
          <w:rPr>
            <w:rStyle w:val="a5"/>
            <w:rFonts w:ascii="Times New Roman" w:eastAsia="新細明體" w:hAnsi="Times New Roman"/>
          </w:rPr>
          <w:t>2</w:t>
        </w:r>
        <w:r w:rsidR="00203F72" w:rsidRPr="00B1524D">
          <w:rPr>
            <w:rStyle w:val="a5"/>
            <w:rFonts w:ascii="Times New Roman" w:eastAsia="新細明體" w:hAnsi="Times New Roman"/>
          </w:rPr>
          <w:t>條</w:t>
        </w:r>
      </w:hyperlink>
      <w:r w:rsidR="00203F72" w:rsidRPr="00F90BE3">
        <w:t>）；生命權、</w:t>
      </w:r>
      <w:r w:rsidR="00203F72" w:rsidRPr="00A53581">
        <w:rPr>
          <w:rFonts w:ascii="新細明體" w:hAnsi="新細明體"/>
          <w:kern w:val="0"/>
        </w:rPr>
        <w:t>自由權、人身安全權（</w:t>
      </w:r>
      <w:hyperlink r:id="rId2443" w:anchor="a3" w:history="1">
        <w:r w:rsidR="00203F72" w:rsidRPr="00B1524D">
          <w:rPr>
            <w:rStyle w:val="a5"/>
            <w:rFonts w:eastAsia="新細明體"/>
            <w:kern w:val="0"/>
          </w:rPr>
          <w:t>第3條</w:t>
        </w:r>
      </w:hyperlink>
      <w:r w:rsidR="00203F72" w:rsidRPr="00A53581">
        <w:rPr>
          <w:rFonts w:ascii="新細明體" w:hAnsi="新細明體"/>
          <w:kern w:val="0"/>
        </w:rPr>
        <w:t>）；禁止奴役（</w:t>
      </w:r>
      <w:hyperlink r:id="rId2444" w:anchor="a4" w:history="1">
        <w:r w:rsidR="00203F72" w:rsidRPr="00B1524D">
          <w:rPr>
            <w:rStyle w:val="a5"/>
            <w:rFonts w:eastAsia="新細明體"/>
            <w:kern w:val="0"/>
          </w:rPr>
          <w:t>第4條</w:t>
        </w:r>
      </w:hyperlink>
      <w:r w:rsidR="00203F72" w:rsidRPr="00A53581">
        <w:rPr>
          <w:rFonts w:ascii="新細明體" w:hAnsi="新細明體"/>
          <w:kern w:val="0"/>
        </w:rPr>
        <w:t>）；禁止酷刑（</w:t>
      </w:r>
      <w:hyperlink r:id="rId2445" w:anchor="a5" w:history="1">
        <w:r w:rsidR="00203F72" w:rsidRPr="00B1524D">
          <w:rPr>
            <w:rStyle w:val="a5"/>
            <w:rFonts w:eastAsia="新細明體"/>
            <w:kern w:val="0"/>
          </w:rPr>
          <w:t>第5條</w:t>
        </w:r>
      </w:hyperlink>
      <w:r w:rsidR="00203F72" w:rsidRPr="00A53581">
        <w:rPr>
          <w:rFonts w:ascii="新細明體" w:hAnsi="新細明體"/>
          <w:kern w:val="0"/>
        </w:rPr>
        <w:t>）；法律上之主體權利（</w:t>
      </w:r>
      <w:hyperlink r:id="rId2446" w:anchor="a6" w:history="1">
        <w:r w:rsidR="00203F72" w:rsidRPr="00B1524D">
          <w:rPr>
            <w:rStyle w:val="a5"/>
            <w:rFonts w:eastAsia="新細明體"/>
            <w:kern w:val="0"/>
          </w:rPr>
          <w:t>第6條</w:t>
        </w:r>
      </w:hyperlink>
      <w:r w:rsidR="00203F72" w:rsidRPr="00A53581">
        <w:rPr>
          <w:rFonts w:ascii="新細明體" w:hAnsi="新細明體"/>
          <w:kern w:val="0"/>
        </w:rPr>
        <w:t>）；法律上平等權（</w:t>
      </w:r>
      <w:hyperlink r:id="rId2447" w:anchor="a7" w:history="1">
        <w:r w:rsidR="00203F72" w:rsidRPr="00B1524D">
          <w:rPr>
            <w:rStyle w:val="a5"/>
            <w:rFonts w:eastAsia="新細明體"/>
            <w:kern w:val="0"/>
          </w:rPr>
          <w:t>第7條</w:t>
        </w:r>
      </w:hyperlink>
      <w:r w:rsidR="00203F72" w:rsidRPr="00A53581">
        <w:rPr>
          <w:rFonts w:ascii="新細明體" w:hAnsi="新細明體"/>
          <w:kern w:val="0"/>
        </w:rPr>
        <w:t>）；接近法院權（</w:t>
      </w:r>
      <w:hyperlink r:id="rId2448" w:anchor="a8" w:history="1">
        <w:r w:rsidR="00203F72" w:rsidRPr="00B1524D">
          <w:rPr>
            <w:rStyle w:val="a5"/>
            <w:rFonts w:eastAsia="新細明體"/>
            <w:kern w:val="0"/>
          </w:rPr>
          <w:t>第8條</w:t>
        </w:r>
      </w:hyperlink>
      <w:r w:rsidR="00203F72" w:rsidRPr="00A53581">
        <w:rPr>
          <w:rFonts w:ascii="新細明體" w:hAnsi="新細明體"/>
          <w:kern w:val="0"/>
        </w:rPr>
        <w:t>）；不受無理逮捕等人身自由權（</w:t>
      </w:r>
      <w:hyperlink r:id="rId2449" w:anchor="a9" w:history="1">
        <w:r w:rsidR="00203F72" w:rsidRPr="00B1524D">
          <w:rPr>
            <w:rStyle w:val="a5"/>
            <w:rFonts w:eastAsia="新細明體"/>
            <w:kern w:val="0"/>
          </w:rPr>
          <w:t>第9條</w:t>
        </w:r>
      </w:hyperlink>
      <w:r w:rsidR="00203F72" w:rsidRPr="00A53581">
        <w:rPr>
          <w:rFonts w:ascii="新細明體" w:hAnsi="新細明體"/>
          <w:kern w:val="0"/>
        </w:rPr>
        <w:t>）；法院聽審權（</w:t>
      </w:r>
      <w:hyperlink r:id="rId2450" w:anchor="a10" w:history="1">
        <w:r w:rsidR="00203F72" w:rsidRPr="00B1524D">
          <w:rPr>
            <w:rStyle w:val="a5"/>
            <w:rFonts w:eastAsia="新細明體"/>
            <w:kern w:val="0"/>
          </w:rPr>
          <w:t>第10條</w:t>
        </w:r>
      </w:hyperlink>
      <w:r w:rsidR="00203F72" w:rsidRPr="00A53581">
        <w:rPr>
          <w:rFonts w:ascii="新細明體" w:hAnsi="新細明體"/>
          <w:kern w:val="0"/>
        </w:rPr>
        <w:t>）；刑事控告之無罪推定（</w:t>
      </w:r>
      <w:hyperlink r:id="rId2451" w:anchor="a11" w:history="1">
        <w:r w:rsidR="00203F72" w:rsidRPr="00B1524D">
          <w:rPr>
            <w:rStyle w:val="a5"/>
            <w:rFonts w:eastAsia="新細明體"/>
            <w:kern w:val="0"/>
          </w:rPr>
          <w:t>第11條</w:t>
        </w:r>
      </w:hyperlink>
      <w:r w:rsidR="00203F72" w:rsidRPr="00A53581">
        <w:rPr>
          <w:rFonts w:ascii="新細明體" w:hAnsi="新細明體"/>
          <w:kern w:val="0"/>
        </w:rPr>
        <w:t>）；私生活、家庭、住所或通訊不得無理侵犯（</w:t>
      </w:r>
      <w:hyperlink r:id="rId2452" w:anchor="a12" w:history="1">
        <w:r w:rsidR="00203F72" w:rsidRPr="00B1524D">
          <w:rPr>
            <w:rStyle w:val="a5"/>
            <w:rFonts w:eastAsia="新細明體"/>
            <w:kern w:val="0"/>
          </w:rPr>
          <w:t>第12條</w:t>
        </w:r>
      </w:hyperlink>
      <w:r w:rsidR="00203F72" w:rsidRPr="00A53581">
        <w:rPr>
          <w:rFonts w:ascii="新細明體" w:hAnsi="新細明體"/>
          <w:kern w:val="0"/>
        </w:rPr>
        <w:t>）；遷徙自由權（</w:t>
      </w:r>
      <w:hyperlink r:id="rId2453" w:anchor="a13" w:history="1">
        <w:r w:rsidR="00203F72" w:rsidRPr="00DF409B">
          <w:rPr>
            <w:rStyle w:val="a5"/>
            <w:rFonts w:eastAsia="新細明體"/>
            <w:kern w:val="0"/>
          </w:rPr>
          <w:t>第13條</w:t>
        </w:r>
      </w:hyperlink>
      <w:r w:rsidR="00203F72" w:rsidRPr="00A53581">
        <w:rPr>
          <w:rFonts w:ascii="新細明體" w:hAnsi="新細明體"/>
          <w:kern w:val="0"/>
        </w:rPr>
        <w:t>）；尋求庇護權（</w:t>
      </w:r>
      <w:hyperlink r:id="rId2454" w:anchor="a14" w:history="1">
        <w:r w:rsidR="00203F72" w:rsidRPr="00B1524D">
          <w:rPr>
            <w:rStyle w:val="a5"/>
            <w:rFonts w:eastAsia="新細明體"/>
            <w:kern w:val="0"/>
          </w:rPr>
          <w:t>第14條</w:t>
        </w:r>
      </w:hyperlink>
      <w:r w:rsidR="00203F72" w:rsidRPr="00A53581">
        <w:rPr>
          <w:rFonts w:ascii="新細明體" w:hAnsi="新細明體"/>
          <w:kern w:val="0"/>
        </w:rPr>
        <w:t>）；國籍權（</w:t>
      </w:r>
      <w:hyperlink r:id="rId2455" w:anchor="a15" w:history="1">
        <w:r w:rsidR="00203F72" w:rsidRPr="00B1524D">
          <w:rPr>
            <w:rStyle w:val="a5"/>
            <w:rFonts w:eastAsia="新細明體"/>
            <w:kern w:val="0"/>
          </w:rPr>
          <w:t>第15條</w:t>
        </w:r>
      </w:hyperlink>
      <w:r w:rsidR="00203F72" w:rsidRPr="00A53581">
        <w:rPr>
          <w:rFonts w:ascii="新細明體" w:hAnsi="新細明體"/>
          <w:kern w:val="0"/>
        </w:rPr>
        <w:t>）；婚姻權、家庭權（</w:t>
      </w:r>
      <w:hyperlink r:id="rId2456" w:anchor="a16" w:history="1">
        <w:r w:rsidR="00203F72" w:rsidRPr="00DF409B">
          <w:rPr>
            <w:rStyle w:val="a5"/>
            <w:rFonts w:eastAsia="新細明體"/>
            <w:kern w:val="0"/>
          </w:rPr>
          <w:t>第16條</w:t>
        </w:r>
      </w:hyperlink>
      <w:r w:rsidR="00203F72" w:rsidRPr="00A53581">
        <w:rPr>
          <w:rFonts w:ascii="新細明體" w:hAnsi="新細明體"/>
          <w:kern w:val="0"/>
        </w:rPr>
        <w:t>）；財產權（</w:t>
      </w:r>
      <w:hyperlink r:id="rId2457" w:anchor="a17" w:history="1">
        <w:r w:rsidR="00203F72" w:rsidRPr="00DF409B">
          <w:rPr>
            <w:rStyle w:val="a5"/>
            <w:rFonts w:eastAsia="新細明體"/>
            <w:kern w:val="0"/>
          </w:rPr>
          <w:t>第17條</w:t>
        </w:r>
      </w:hyperlink>
      <w:r w:rsidR="00203F72" w:rsidRPr="00A53581">
        <w:rPr>
          <w:rFonts w:ascii="新細明體" w:hAnsi="新細明體"/>
          <w:kern w:val="0"/>
        </w:rPr>
        <w:t>）；思想自由權、良心自由權、宗教自由權（</w:t>
      </w:r>
      <w:hyperlink r:id="rId2458" w:anchor="a18" w:history="1">
        <w:r w:rsidR="00203F72" w:rsidRPr="00DF409B">
          <w:rPr>
            <w:rStyle w:val="a5"/>
            <w:rFonts w:eastAsia="新細明體"/>
            <w:kern w:val="0"/>
          </w:rPr>
          <w:t>第18條</w:t>
        </w:r>
      </w:hyperlink>
      <w:r w:rsidR="00203F72" w:rsidRPr="00A53581">
        <w:rPr>
          <w:rFonts w:ascii="新細明體" w:hAnsi="新細明體"/>
          <w:kern w:val="0"/>
        </w:rPr>
        <w:t>）；言論自由權（</w:t>
      </w:r>
      <w:hyperlink r:id="rId2459" w:anchor="a19" w:history="1">
        <w:r w:rsidR="00203F72" w:rsidRPr="00DF409B">
          <w:rPr>
            <w:rStyle w:val="a5"/>
            <w:rFonts w:eastAsia="新細明體"/>
            <w:kern w:val="0"/>
          </w:rPr>
          <w:t>第19條</w:t>
        </w:r>
      </w:hyperlink>
      <w:r w:rsidR="00203F72" w:rsidRPr="00A53581">
        <w:rPr>
          <w:rFonts w:ascii="新細明體" w:hAnsi="新細明體"/>
          <w:kern w:val="0"/>
        </w:rPr>
        <w:t>）；和平集會權、和平結社權（</w:t>
      </w:r>
      <w:hyperlink r:id="rId2460" w:anchor="a20" w:history="1">
        <w:r w:rsidR="00203F72" w:rsidRPr="00275731">
          <w:rPr>
            <w:rStyle w:val="a5"/>
            <w:rFonts w:eastAsia="新細明體"/>
            <w:kern w:val="0"/>
          </w:rPr>
          <w:t>第20條</w:t>
        </w:r>
      </w:hyperlink>
      <w:r w:rsidR="00203F72" w:rsidRPr="00A53581">
        <w:rPr>
          <w:rFonts w:ascii="新細明體" w:hAnsi="新細明體"/>
          <w:kern w:val="0"/>
        </w:rPr>
        <w:t>）；參政權（</w:t>
      </w:r>
      <w:hyperlink r:id="rId2461" w:anchor="a21" w:history="1">
        <w:r w:rsidR="00203F72" w:rsidRPr="00275731">
          <w:rPr>
            <w:rStyle w:val="a5"/>
            <w:rFonts w:eastAsia="新細明體"/>
            <w:kern w:val="0"/>
          </w:rPr>
          <w:t>第21條</w:t>
        </w:r>
      </w:hyperlink>
      <w:r w:rsidR="00203F72" w:rsidRPr="00A53581">
        <w:rPr>
          <w:rFonts w:ascii="新細明體" w:hAnsi="新細明體"/>
          <w:kern w:val="0"/>
        </w:rPr>
        <w:t>）；受社會保障權、經濟權、社會權、文化權（</w:t>
      </w:r>
      <w:hyperlink r:id="rId2462" w:anchor="a22" w:history="1">
        <w:r w:rsidR="00203F72" w:rsidRPr="00275731">
          <w:rPr>
            <w:rStyle w:val="a5"/>
            <w:rFonts w:eastAsia="新細明體"/>
            <w:kern w:val="0"/>
          </w:rPr>
          <w:t>第22條</w:t>
        </w:r>
      </w:hyperlink>
      <w:r w:rsidR="00203F72" w:rsidRPr="00A53581">
        <w:rPr>
          <w:rFonts w:ascii="新細明體" w:hAnsi="新細明體"/>
          <w:kern w:val="0"/>
        </w:rPr>
        <w:t>）；工作權、同工同酬權、報酬權（</w:t>
      </w:r>
      <w:hyperlink r:id="rId2463" w:anchor="a23" w:history="1">
        <w:r w:rsidR="00203F72" w:rsidRPr="00275731">
          <w:rPr>
            <w:rStyle w:val="a5"/>
            <w:rFonts w:eastAsia="新細明體"/>
            <w:kern w:val="0"/>
          </w:rPr>
          <w:t>第23條</w:t>
        </w:r>
      </w:hyperlink>
      <w:r w:rsidR="00203F72" w:rsidRPr="00A53581">
        <w:rPr>
          <w:rFonts w:ascii="新細明體" w:hAnsi="新細明體"/>
          <w:kern w:val="0"/>
        </w:rPr>
        <w:t>）；休息權、休假權（</w:t>
      </w:r>
      <w:hyperlink r:id="rId2464" w:anchor="a24" w:history="1">
        <w:r w:rsidR="00203F72" w:rsidRPr="00275731">
          <w:rPr>
            <w:rStyle w:val="a5"/>
            <w:rFonts w:eastAsia="新細明體"/>
            <w:kern w:val="0"/>
          </w:rPr>
          <w:t>第24條</w:t>
        </w:r>
      </w:hyperlink>
      <w:r w:rsidR="00203F72" w:rsidRPr="00A53581">
        <w:rPr>
          <w:rFonts w:ascii="新細明體" w:hAnsi="新細明體"/>
          <w:kern w:val="0"/>
        </w:rPr>
        <w:t>）；生活權（</w:t>
      </w:r>
      <w:hyperlink r:id="rId2465" w:anchor="a25" w:history="1">
        <w:r w:rsidR="00203F72" w:rsidRPr="00275731">
          <w:rPr>
            <w:rStyle w:val="a5"/>
            <w:rFonts w:eastAsia="新細明體"/>
            <w:kern w:val="0"/>
          </w:rPr>
          <w:t>第25條</w:t>
        </w:r>
      </w:hyperlink>
      <w:r w:rsidR="00203F72" w:rsidRPr="00A53581">
        <w:rPr>
          <w:rFonts w:ascii="新細明體" w:hAnsi="新細明體"/>
          <w:kern w:val="0"/>
        </w:rPr>
        <w:t>）；受教育權；初級及基本教育免費權（</w:t>
      </w:r>
      <w:hyperlink r:id="rId2466" w:anchor="a26" w:history="1">
        <w:r w:rsidR="00203F72" w:rsidRPr="00275731">
          <w:rPr>
            <w:rStyle w:val="a5"/>
            <w:rFonts w:eastAsia="新細明體"/>
            <w:kern w:val="0"/>
          </w:rPr>
          <w:t>第26條</w:t>
        </w:r>
      </w:hyperlink>
      <w:r w:rsidR="00203F72" w:rsidRPr="00A53581">
        <w:rPr>
          <w:rFonts w:ascii="新細明體" w:hAnsi="新細明體"/>
          <w:kern w:val="0"/>
        </w:rPr>
        <w:t>）；參與文化生活權；欣賞藝術權；享有科學衍生之利益權；享有由科學、文化及美術作品衍生利益受保障權（</w:t>
      </w:r>
      <w:hyperlink r:id="rId2467" w:anchor="a27" w:history="1">
        <w:r w:rsidR="00203F72" w:rsidRPr="00275731">
          <w:rPr>
            <w:rStyle w:val="a5"/>
            <w:rFonts w:eastAsia="新細明體"/>
            <w:kern w:val="0"/>
          </w:rPr>
          <w:t>第27條</w:t>
        </w:r>
      </w:hyperlink>
      <w:r w:rsidR="00203F72" w:rsidRPr="00A53581">
        <w:rPr>
          <w:rFonts w:ascii="新細明體" w:hAnsi="新細明體"/>
          <w:kern w:val="0"/>
        </w:rPr>
        <w:t>）；社會與國際秩序權（</w:t>
      </w:r>
      <w:hyperlink r:id="rId2468" w:anchor="a28" w:history="1">
        <w:r w:rsidR="00203F72" w:rsidRPr="00275731">
          <w:rPr>
            <w:rStyle w:val="a5"/>
            <w:rFonts w:eastAsia="新細明體"/>
            <w:kern w:val="0"/>
          </w:rPr>
          <w:t>第28條</w:t>
        </w:r>
      </w:hyperlink>
      <w:r w:rsidR="00203F72" w:rsidRPr="00A53581">
        <w:rPr>
          <w:rFonts w:ascii="新細明體" w:hAnsi="新細明體"/>
          <w:kern w:val="0"/>
        </w:rPr>
        <w:t>）。以上所列舉之權利，乃為「</w:t>
      </w:r>
      <w:hyperlink r:id="rId2469" w:history="1">
        <w:r w:rsidR="00F35C5F" w:rsidRPr="00F35C5F">
          <w:rPr>
            <w:rStyle w:val="a5"/>
          </w:rPr>
          <w:t>世界人權宣言</w:t>
        </w:r>
      </w:hyperlink>
      <w:r w:rsidR="00203F72" w:rsidRPr="00A53581">
        <w:rPr>
          <w:rFonts w:ascii="新細明體" w:hAnsi="新細明體"/>
          <w:kern w:val="0"/>
        </w:rPr>
        <w:t>」所列舉之重要權利。</w:t>
      </w:r>
    </w:p>
    <w:p w14:paraId="202C6217" w14:textId="77777777" w:rsidR="00B1524D" w:rsidRDefault="00B1524D" w:rsidP="00D87D91"/>
    <w:p w14:paraId="61BBD3E9" w14:textId="4AFC04DF" w:rsidR="00203F72" w:rsidRPr="00F90BE3" w:rsidRDefault="00B03E84" w:rsidP="00D87D91">
      <w:r w:rsidRPr="00F90BE3">
        <w:t>【</w:t>
      </w:r>
      <w:r w:rsidRPr="00F90BE3">
        <w:t>table</w:t>
      </w:r>
      <w:r w:rsidR="005E23E3" w:rsidRPr="00F90BE3">
        <w:t>】</w:t>
      </w:r>
      <w:r w:rsidR="00076467">
        <w:rPr>
          <w:noProof/>
        </w:rPr>
        <w:fldChar w:fldCharType="begin"/>
      </w:r>
      <w:r w:rsidR="00076467">
        <w:rPr>
          <w:noProof/>
        </w:rPr>
        <w:instrText xml:space="preserve"> SEQ table \* ARA</w:instrText>
      </w:r>
      <w:r w:rsidR="00076467">
        <w:rPr>
          <w:noProof/>
        </w:rPr>
        <w:instrText xml:space="preserve">BIC </w:instrText>
      </w:r>
      <w:r w:rsidR="00076467">
        <w:rPr>
          <w:noProof/>
        </w:rPr>
        <w:fldChar w:fldCharType="separate"/>
      </w:r>
      <w:r w:rsidR="00D935B9">
        <w:rPr>
          <w:noProof/>
        </w:rPr>
        <w:t>113</w:t>
      </w:r>
      <w:r w:rsidR="00076467">
        <w:rPr>
          <w:noProof/>
        </w:rPr>
        <w:fldChar w:fldCharType="end"/>
      </w:r>
      <w:r w:rsidR="00203F72" w:rsidRPr="00F90BE3">
        <w:t>全球保障人權之演進歷史</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125"/>
        <w:gridCol w:w="5963"/>
      </w:tblGrid>
      <w:tr w:rsidR="00203F72" w:rsidRPr="00A53581" w14:paraId="424EF55B" w14:textId="77777777" w:rsidTr="00F90BE3">
        <w:trPr>
          <w:tblHeader/>
        </w:trPr>
        <w:tc>
          <w:tcPr>
            <w:tcW w:w="614" w:type="pct"/>
            <w:shd w:val="clear" w:color="auto" w:fill="FAF0FA"/>
          </w:tcPr>
          <w:p w14:paraId="7DBD7D63" w14:textId="77777777" w:rsidR="00203F72" w:rsidRPr="00A53581" w:rsidRDefault="00203F72" w:rsidP="00D87D91">
            <w:r w:rsidRPr="00A53581">
              <w:t>年代</w:t>
            </w:r>
          </w:p>
        </w:tc>
        <w:tc>
          <w:tcPr>
            <w:tcW w:w="696" w:type="pct"/>
            <w:shd w:val="clear" w:color="auto" w:fill="FAF0FA"/>
          </w:tcPr>
          <w:p w14:paraId="698046CF" w14:textId="77777777" w:rsidR="00203F72" w:rsidRPr="00A53581" w:rsidRDefault="00203F72" w:rsidP="00D87D91">
            <w:r w:rsidRPr="00A53581">
              <w:t>國家</w:t>
            </w:r>
          </w:p>
        </w:tc>
        <w:tc>
          <w:tcPr>
            <w:tcW w:w="3690" w:type="pct"/>
            <w:shd w:val="clear" w:color="auto" w:fill="FAF0FA"/>
          </w:tcPr>
          <w:p w14:paraId="7929592C" w14:textId="77777777" w:rsidR="00203F72" w:rsidRPr="00A53581" w:rsidRDefault="00203F72" w:rsidP="00D87D91">
            <w:r w:rsidRPr="00A53581">
              <w:t>人權保障之歷史</w:t>
            </w:r>
          </w:p>
        </w:tc>
      </w:tr>
      <w:tr w:rsidR="00203F72" w:rsidRPr="00A53581" w14:paraId="14ADF61C" w14:textId="77777777" w:rsidTr="00203F72">
        <w:tc>
          <w:tcPr>
            <w:tcW w:w="614" w:type="pct"/>
            <w:shd w:val="clear" w:color="auto" w:fill="auto"/>
          </w:tcPr>
          <w:p w14:paraId="6A276E03" w14:textId="77777777" w:rsidR="00203F72" w:rsidRPr="00A53581" w:rsidRDefault="00203F72" w:rsidP="00D87D91">
            <w:r w:rsidRPr="00A53581">
              <w:t>1215</w:t>
            </w:r>
          </w:p>
        </w:tc>
        <w:tc>
          <w:tcPr>
            <w:tcW w:w="696" w:type="pct"/>
            <w:shd w:val="clear" w:color="auto" w:fill="auto"/>
          </w:tcPr>
          <w:p w14:paraId="05B44DA6" w14:textId="77777777" w:rsidR="00203F72" w:rsidRPr="00A53581" w:rsidRDefault="00203F72" w:rsidP="00D87D91">
            <w:r w:rsidRPr="00A53581">
              <w:t>英國</w:t>
            </w:r>
          </w:p>
        </w:tc>
        <w:tc>
          <w:tcPr>
            <w:tcW w:w="3690" w:type="pct"/>
            <w:shd w:val="clear" w:color="auto" w:fill="auto"/>
          </w:tcPr>
          <w:p w14:paraId="711383A3" w14:textId="77777777" w:rsidR="00203F72" w:rsidRPr="00A53581" w:rsidRDefault="00203F72" w:rsidP="00D87D91">
            <w:r w:rsidRPr="00A53581">
              <w:t>大憲章－國王也須依照法律課稅並維護人權</w:t>
            </w:r>
          </w:p>
        </w:tc>
      </w:tr>
      <w:tr w:rsidR="00203F72" w:rsidRPr="00A53581" w14:paraId="5F120751" w14:textId="77777777" w:rsidTr="00203F72">
        <w:tc>
          <w:tcPr>
            <w:tcW w:w="614" w:type="pct"/>
            <w:shd w:val="clear" w:color="auto" w:fill="auto"/>
          </w:tcPr>
          <w:p w14:paraId="70C7473E" w14:textId="77777777" w:rsidR="00203F72" w:rsidRPr="00A53581" w:rsidRDefault="00203F72" w:rsidP="00D87D91">
            <w:r w:rsidRPr="00A53581">
              <w:t>1628</w:t>
            </w:r>
          </w:p>
        </w:tc>
        <w:tc>
          <w:tcPr>
            <w:tcW w:w="696" w:type="pct"/>
            <w:shd w:val="clear" w:color="auto" w:fill="auto"/>
          </w:tcPr>
          <w:p w14:paraId="280502C5" w14:textId="77777777" w:rsidR="00203F72" w:rsidRPr="00A53581" w:rsidRDefault="00203F72" w:rsidP="00D87D91">
            <w:r w:rsidRPr="00A53581">
              <w:t>英國</w:t>
            </w:r>
          </w:p>
        </w:tc>
        <w:tc>
          <w:tcPr>
            <w:tcW w:w="3690" w:type="pct"/>
            <w:shd w:val="clear" w:color="auto" w:fill="auto"/>
          </w:tcPr>
          <w:p w14:paraId="6348131C" w14:textId="77777777" w:rsidR="00203F72" w:rsidRPr="00A53581" w:rsidRDefault="00203F72" w:rsidP="00D87D91">
            <w:r w:rsidRPr="00A53581">
              <w:t>權力請願書－議會之課稅同意權及人身自由之保障</w:t>
            </w:r>
          </w:p>
        </w:tc>
      </w:tr>
      <w:tr w:rsidR="00203F72" w:rsidRPr="00A53581" w14:paraId="24E5E626" w14:textId="77777777" w:rsidTr="00203F72">
        <w:tc>
          <w:tcPr>
            <w:tcW w:w="614" w:type="pct"/>
            <w:shd w:val="clear" w:color="auto" w:fill="auto"/>
          </w:tcPr>
          <w:p w14:paraId="51AF88B7" w14:textId="77777777" w:rsidR="00203F72" w:rsidRPr="00A53581" w:rsidRDefault="00203F72" w:rsidP="00D87D91">
            <w:r w:rsidRPr="00A53581">
              <w:t>1642</w:t>
            </w:r>
          </w:p>
        </w:tc>
        <w:tc>
          <w:tcPr>
            <w:tcW w:w="696" w:type="pct"/>
            <w:shd w:val="clear" w:color="auto" w:fill="auto"/>
          </w:tcPr>
          <w:p w14:paraId="561CA999" w14:textId="77777777" w:rsidR="00203F72" w:rsidRPr="00A53581" w:rsidRDefault="00203F72" w:rsidP="00D87D91">
            <w:r w:rsidRPr="00A53581">
              <w:t>英國</w:t>
            </w:r>
          </w:p>
        </w:tc>
        <w:tc>
          <w:tcPr>
            <w:tcW w:w="3690" w:type="pct"/>
            <w:shd w:val="clear" w:color="auto" w:fill="auto"/>
          </w:tcPr>
          <w:p w14:paraId="24A3399C" w14:textId="77777777" w:rsidR="00203F72" w:rsidRPr="00A53581" w:rsidRDefault="00203F72" w:rsidP="00D87D91">
            <w:r w:rsidRPr="00A53581">
              <w:t>英國清教革命－改行共和政治</w:t>
            </w:r>
          </w:p>
        </w:tc>
      </w:tr>
      <w:tr w:rsidR="00203F72" w:rsidRPr="00A53581" w14:paraId="00C1649A" w14:textId="77777777" w:rsidTr="00203F72">
        <w:tc>
          <w:tcPr>
            <w:tcW w:w="614" w:type="pct"/>
            <w:shd w:val="clear" w:color="auto" w:fill="auto"/>
          </w:tcPr>
          <w:p w14:paraId="22BAF66E" w14:textId="77777777" w:rsidR="00203F72" w:rsidRPr="00A53581" w:rsidRDefault="00203F72" w:rsidP="00D87D91">
            <w:r w:rsidRPr="00A53581">
              <w:t>1688</w:t>
            </w:r>
          </w:p>
        </w:tc>
        <w:tc>
          <w:tcPr>
            <w:tcW w:w="696" w:type="pct"/>
            <w:shd w:val="clear" w:color="auto" w:fill="auto"/>
          </w:tcPr>
          <w:p w14:paraId="798C9D65" w14:textId="77777777" w:rsidR="00203F72" w:rsidRPr="00A53581" w:rsidRDefault="00203F72" w:rsidP="00D87D91">
            <w:r w:rsidRPr="00A53581">
              <w:t>英國</w:t>
            </w:r>
          </w:p>
        </w:tc>
        <w:tc>
          <w:tcPr>
            <w:tcW w:w="3690" w:type="pct"/>
            <w:shd w:val="clear" w:color="auto" w:fill="auto"/>
          </w:tcPr>
          <w:p w14:paraId="227F17D1" w14:textId="77777777" w:rsidR="00203F72" w:rsidRPr="00A53581" w:rsidRDefault="00203F72" w:rsidP="00D87D91">
            <w:r w:rsidRPr="00A53581">
              <w:t>光榮革命－議會驅逐國王，迎接新國王</w:t>
            </w:r>
          </w:p>
        </w:tc>
      </w:tr>
      <w:tr w:rsidR="00203F72" w:rsidRPr="00A53581" w14:paraId="6945CC8F" w14:textId="77777777" w:rsidTr="00203F72">
        <w:tc>
          <w:tcPr>
            <w:tcW w:w="614" w:type="pct"/>
            <w:shd w:val="clear" w:color="auto" w:fill="auto"/>
          </w:tcPr>
          <w:p w14:paraId="163D19DA" w14:textId="77777777" w:rsidR="00203F72" w:rsidRPr="00A53581" w:rsidRDefault="00203F72" w:rsidP="00D87D91">
            <w:r w:rsidRPr="00A53581">
              <w:t>1689</w:t>
            </w:r>
          </w:p>
        </w:tc>
        <w:tc>
          <w:tcPr>
            <w:tcW w:w="696" w:type="pct"/>
            <w:shd w:val="clear" w:color="auto" w:fill="auto"/>
          </w:tcPr>
          <w:p w14:paraId="411572A0" w14:textId="77777777" w:rsidR="00203F72" w:rsidRPr="00A53581" w:rsidRDefault="00203F72" w:rsidP="00D87D91">
            <w:r w:rsidRPr="00A53581">
              <w:t>英國</w:t>
            </w:r>
          </w:p>
        </w:tc>
        <w:tc>
          <w:tcPr>
            <w:tcW w:w="3690" w:type="pct"/>
            <w:shd w:val="clear" w:color="auto" w:fill="auto"/>
          </w:tcPr>
          <w:p w14:paraId="6EDB2C77" w14:textId="77777777" w:rsidR="00203F72" w:rsidRPr="00A53581" w:rsidRDefault="00203F72" w:rsidP="00D87D91">
            <w:r w:rsidRPr="00A53581">
              <w:t>民權法典－英國國王統而不治</w:t>
            </w:r>
          </w:p>
        </w:tc>
      </w:tr>
      <w:tr w:rsidR="00203F72" w:rsidRPr="00A53581" w14:paraId="4EB9E4D0" w14:textId="77777777" w:rsidTr="00203F72">
        <w:tc>
          <w:tcPr>
            <w:tcW w:w="614" w:type="pct"/>
            <w:shd w:val="clear" w:color="auto" w:fill="auto"/>
          </w:tcPr>
          <w:p w14:paraId="35C5898E" w14:textId="77777777" w:rsidR="00203F72" w:rsidRPr="00A53581" w:rsidRDefault="00203F72" w:rsidP="00D87D91">
            <w:r w:rsidRPr="00A53581">
              <w:t>1690</w:t>
            </w:r>
          </w:p>
        </w:tc>
        <w:tc>
          <w:tcPr>
            <w:tcW w:w="696" w:type="pct"/>
            <w:shd w:val="clear" w:color="auto" w:fill="auto"/>
          </w:tcPr>
          <w:p w14:paraId="763ACCDF" w14:textId="77777777" w:rsidR="00203F72" w:rsidRPr="00A53581" w:rsidRDefault="00203F72" w:rsidP="00D87D91">
            <w:r w:rsidRPr="00A53581">
              <w:t>英國</w:t>
            </w:r>
          </w:p>
        </w:tc>
        <w:tc>
          <w:tcPr>
            <w:tcW w:w="3690" w:type="pct"/>
            <w:shd w:val="clear" w:color="auto" w:fill="auto"/>
          </w:tcPr>
          <w:p w14:paraId="48D2815F" w14:textId="77777777" w:rsidR="00203F72" w:rsidRPr="00A53581" w:rsidRDefault="00203F72" w:rsidP="00D87D91">
            <w:r w:rsidRPr="00A53581">
              <w:t>洛克發表「政府二論」－主張社會契約說，人民有財產與革命權</w:t>
            </w:r>
          </w:p>
        </w:tc>
      </w:tr>
      <w:tr w:rsidR="00203F72" w:rsidRPr="00A53581" w14:paraId="3969FB97" w14:textId="77777777" w:rsidTr="00203F72">
        <w:tc>
          <w:tcPr>
            <w:tcW w:w="614" w:type="pct"/>
            <w:shd w:val="clear" w:color="auto" w:fill="auto"/>
          </w:tcPr>
          <w:p w14:paraId="4C8BEE75" w14:textId="77777777" w:rsidR="00203F72" w:rsidRPr="00A53581" w:rsidRDefault="00203F72" w:rsidP="00D87D91">
            <w:r w:rsidRPr="00A53581">
              <w:t>1762</w:t>
            </w:r>
          </w:p>
        </w:tc>
        <w:tc>
          <w:tcPr>
            <w:tcW w:w="696" w:type="pct"/>
            <w:shd w:val="clear" w:color="auto" w:fill="auto"/>
          </w:tcPr>
          <w:p w14:paraId="2F47D1C0" w14:textId="77777777" w:rsidR="00203F72" w:rsidRPr="00A53581" w:rsidRDefault="00203F72" w:rsidP="00D87D91">
            <w:r w:rsidRPr="00A53581">
              <w:t>英國</w:t>
            </w:r>
          </w:p>
        </w:tc>
        <w:tc>
          <w:tcPr>
            <w:tcW w:w="3690" w:type="pct"/>
            <w:shd w:val="clear" w:color="auto" w:fill="auto"/>
          </w:tcPr>
          <w:p w14:paraId="71468505" w14:textId="77777777" w:rsidR="00203F72" w:rsidRPr="00A53581" w:rsidRDefault="00203F72" w:rsidP="00D87D91">
            <w:r w:rsidRPr="00A53581">
              <w:t>盧松發表「社會契約論」－對法國人權宣言有重大影響</w:t>
            </w:r>
          </w:p>
        </w:tc>
      </w:tr>
      <w:tr w:rsidR="00203F72" w:rsidRPr="00A53581" w14:paraId="6380EB73" w14:textId="77777777" w:rsidTr="00203F72">
        <w:tc>
          <w:tcPr>
            <w:tcW w:w="614" w:type="pct"/>
            <w:shd w:val="clear" w:color="auto" w:fill="auto"/>
          </w:tcPr>
          <w:p w14:paraId="31E5A38D" w14:textId="77777777" w:rsidR="00203F72" w:rsidRPr="00A53581" w:rsidRDefault="00203F72" w:rsidP="00D87D91">
            <w:r w:rsidRPr="00A53581">
              <w:t>1776</w:t>
            </w:r>
          </w:p>
        </w:tc>
        <w:tc>
          <w:tcPr>
            <w:tcW w:w="696" w:type="pct"/>
            <w:shd w:val="clear" w:color="auto" w:fill="auto"/>
          </w:tcPr>
          <w:p w14:paraId="51C02DF1" w14:textId="77777777" w:rsidR="00203F72" w:rsidRPr="00A53581" w:rsidRDefault="00203F72" w:rsidP="00D87D91">
            <w:r w:rsidRPr="00A53581">
              <w:t>美國</w:t>
            </w:r>
          </w:p>
        </w:tc>
        <w:tc>
          <w:tcPr>
            <w:tcW w:w="3690" w:type="pct"/>
            <w:shd w:val="clear" w:color="auto" w:fill="auto"/>
          </w:tcPr>
          <w:p w14:paraId="54AF4899" w14:textId="77777777" w:rsidR="00203F72" w:rsidRPr="00A53581" w:rsidRDefault="00203F72" w:rsidP="00D87D91">
            <w:r w:rsidRPr="00A53581">
              <w:t>美國發表獨立宣言－由傑佛遜起草而著名，主張基本人權、人民主權與革命權</w:t>
            </w:r>
          </w:p>
        </w:tc>
      </w:tr>
      <w:tr w:rsidR="00203F72" w:rsidRPr="00A53581" w14:paraId="211FA351" w14:textId="77777777" w:rsidTr="00203F72">
        <w:tc>
          <w:tcPr>
            <w:tcW w:w="614" w:type="pct"/>
            <w:shd w:val="clear" w:color="auto" w:fill="auto"/>
          </w:tcPr>
          <w:p w14:paraId="63D57AC2" w14:textId="77777777" w:rsidR="00203F72" w:rsidRPr="00A53581" w:rsidRDefault="00203F72" w:rsidP="00D87D91">
            <w:r w:rsidRPr="00A53581">
              <w:t>1789</w:t>
            </w:r>
          </w:p>
        </w:tc>
        <w:tc>
          <w:tcPr>
            <w:tcW w:w="696" w:type="pct"/>
            <w:shd w:val="clear" w:color="auto" w:fill="auto"/>
          </w:tcPr>
          <w:p w14:paraId="0FD35878" w14:textId="77777777" w:rsidR="00203F72" w:rsidRPr="00A53581" w:rsidRDefault="00203F72" w:rsidP="00D87D91">
            <w:r w:rsidRPr="00A53581">
              <w:t>法國</w:t>
            </w:r>
          </w:p>
        </w:tc>
        <w:tc>
          <w:tcPr>
            <w:tcW w:w="3690" w:type="pct"/>
            <w:shd w:val="clear" w:color="auto" w:fill="auto"/>
          </w:tcPr>
          <w:p w14:paraId="39F5ADF7" w14:textId="77777777" w:rsidR="00203F72" w:rsidRPr="00A53581" w:rsidRDefault="00203F72" w:rsidP="00D87D91">
            <w:r w:rsidRPr="00A53581">
              <w:t>發布人權宣言</w:t>
            </w:r>
          </w:p>
        </w:tc>
      </w:tr>
      <w:tr w:rsidR="00203F72" w:rsidRPr="00A53581" w14:paraId="1174E410" w14:textId="77777777" w:rsidTr="00203F72">
        <w:tc>
          <w:tcPr>
            <w:tcW w:w="614" w:type="pct"/>
            <w:shd w:val="clear" w:color="auto" w:fill="auto"/>
          </w:tcPr>
          <w:p w14:paraId="55C911F2" w14:textId="77777777" w:rsidR="00203F72" w:rsidRPr="00A53581" w:rsidRDefault="00203F72" w:rsidP="00D87D91">
            <w:r w:rsidRPr="00A53581">
              <w:t>1917</w:t>
            </w:r>
          </w:p>
        </w:tc>
        <w:tc>
          <w:tcPr>
            <w:tcW w:w="696" w:type="pct"/>
            <w:shd w:val="clear" w:color="auto" w:fill="auto"/>
          </w:tcPr>
          <w:p w14:paraId="1DC2619C" w14:textId="77777777" w:rsidR="00203F72" w:rsidRPr="00A53581" w:rsidRDefault="00203F72" w:rsidP="00D87D91">
            <w:r w:rsidRPr="00A53581">
              <w:t>蘇俄</w:t>
            </w:r>
          </w:p>
        </w:tc>
        <w:tc>
          <w:tcPr>
            <w:tcW w:w="3690" w:type="pct"/>
            <w:shd w:val="clear" w:color="auto" w:fill="auto"/>
          </w:tcPr>
          <w:p w14:paraId="45275857" w14:textId="77777777" w:rsidR="00203F72" w:rsidRPr="00A53581" w:rsidRDefault="00203F72" w:rsidP="00D87D91">
            <w:r w:rsidRPr="00A53581">
              <w:t>蘇俄之革命－第一個社會主義革命</w:t>
            </w:r>
          </w:p>
        </w:tc>
      </w:tr>
      <w:tr w:rsidR="00203F72" w:rsidRPr="00A53581" w14:paraId="36871434" w14:textId="77777777" w:rsidTr="00203F72">
        <w:tc>
          <w:tcPr>
            <w:tcW w:w="614" w:type="pct"/>
            <w:shd w:val="clear" w:color="auto" w:fill="auto"/>
          </w:tcPr>
          <w:p w14:paraId="4C5E0737" w14:textId="77777777" w:rsidR="00203F72" w:rsidRPr="00A53581" w:rsidRDefault="00203F72" w:rsidP="00D87D91">
            <w:r w:rsidRPr="00A53581">
              <w:t>1919</w:t>
            </w:r>
          </w:p>
        </w:tc>
        <w:tc>
          <w:tcPr>
            <w:tcW w:w="696" w:type="pct"/>
            <w:shd w:val="clear" w:color="auto" w:fill="auto"/>
          </w:tcPr>
          <w:p w14:paraId="4E4794CF" w14:textId="77777777" w:rsidR="00203F72" w:rsidRPr="00A53581" w:rsidRDefault="00203F72" w:rsidP="00D87D91">
            <w:r w:rsidRPr="00A53581">
              <w:t>德國</w:t>
            </w:r>
          </w:p>
        </w:tc>
        <w:tc>
          <w:tcPr>
            <w:tcW w:w="3690" w:type="pct"/>
            <w:shd w:val="clear" w:color="auto" w:fill="auto"/>
          </w:tcPr>
          <w:p w14:paraId="2B249C25" w14:textId="77777777" w:rsidR="00203F72" w:rsidRPr="00A53581" w:rsidRDefault="00203F72" w:rsidP="00D87D91">
            <w:r w:rsidRPr="00A53581">
              <w:t>威瑪憲法公布－首先規定社會權，經濟自由之限制與人民之生存權</w:t>
            </w:r>
          </w:p>
        </w:tc>
      </w:tr>
      <w:tr w:rsidR="00203F72" w:rsidRPr="00A53581" w14:paraId="0C0E31F3" w14:textId="77777777" w:rsidTr="00203F72">
        <w:tc>
          <w:tcPr>
            <w:tcW w:w="614" w:type="pct"/>
            <w:shd w:val="clear" w:color="auto" w:fill="auto"/>
          </w:tcPr>
          <w:p w14:paraId="771EE3C8" w14:textId="77777777" w:rsidR="00203F72" w:rsidRPr="00A53581" w:rsidRDefault="00203F72" w:rsidP="00D87D91">
            <w:r w:rsidRPr="00A53581">
              <w:t>1945</w:t>
            </w:r>
          </w:p>
        </w:tc>
        <w:tc>
          <w:tcPr>
            <w:tcW w:w="696" w:type="pct"/>
            <w:shd w:val="clear" w:color="auto" w:fill="auto"/>
          </w:tcPr>
          <w:p w14:paraId="77156823" w14:textId="77777777" w:rsidR="00203F72" w:rsidRPr="00A53581" w:rsidRDefault="00203F72" w:rsidP="00D87D91">
            <w:r w:rsidRPr="00A53581">
              <w:t>聯合國</w:t>
            </w:r>
          </w:p>
        </w:tc>
        <w:tc>
          <w:tcPr>
            <w:tcW w:w="3690" w:type="pct"/>
            <w:shd w:val="clear" w:color="auto" w:fill="auto"/>
          </w:tcPr>
          <w:p w14:paraId="0B4909EB" w14:textId="77777777" w:rsidR="00203F72" w:rsidRPr="00A53581" w:rsidRDefault="00203F72" w:rsidP="00D87D91">
            <w:r w:rsidRPr="00A53581">
              <w:t>聯合國公布憲章－確認人權尊重之重要性</w:t>
            </w:r>
          </w:p>
        </w:tc>
      </w:tr>
      <w:tr w:rsidR="00203F72" w:rsidRPr="00A53581" w14:paraId="26613C31" w14:textId="77777777" w:rsidTr="00203F72">
        <w:tc>
          <w:tcPr>
            <w:tcW w:w="614" w:type="pct"/>
            <w:shd w:val="clear" w:color="auto" w:fill="auto"/>
          </w:tcPr>
          <w:p w14:paraId="179EE5E3" w14:textId="77777777" w:rsidR="00203F72" w:rsidRPr="00A53581" w:rsidRDefault="00203F72" w:rsidP="00D87D91">
            <w:r w:rsidRPr="00A53581">
              <w:t>1948</w:t>
            </w:r>
          </w:p>
        </w:tc>
        <w:tc>
          <w:tcPr>
            <w:tcW w:w="696" w:type="pct"/>
            <w:shd w:val="clear" w:color="auto" w:fill="auto"/>
          </w:tcPr>
          <w:p w14:paraId="45E5E831" w14:textId="77777777" w:rsidR="00203F72" w:rsidRPr="00A53581" w:rsidRDefault="00203F72" w:rsidP="00D87D91">
            <w:r w:rsidRPr="00A53581">
              <w:t>聯合國</w:t>
            </w:r>
          </w:p>
        </w:tc>
        <w:tc>
          <w:tcPr>
            <w:tcW w:w="3690" w:type="pct"/>
            <w:shd w:val="clear" w:color="auto" w:fill="auto"/>
          </w:tcPr>
          <w:p w14:paraId="20097885" w14:textId="77777777" w:rsidR="00203F72" w:rsidRPr="00A53581" w:rsidRDefault="00203F72" w:rsidP="00D87D91">
            <w:pPr>
              <w:rPr>
                <w:rFonts w:ascii="新細明體" w:hAnsi="新細明體"/>
              </w:rPr>
            </w:pPr>
            <w:r w:rsidRPr="00A53581">
              <w:rPr>
                <w:rFonts w:ascii="新細明體" w:hAnsi="新細明體"/>
              </w:rPr>
              <w:t>公布</w:t>
            </w:r>
            <w:hyperlink r:id="rId2470" w:history="1">
              <w:r w:rsidR="00F35C5F" w:rsidRPr="00F35C5F">
                <w:rPr>
                  <w:rStyle w:val="a5"/>
                </w:rPr>
                <w:t>世界人權宣言</w:t>
              </w:r>
            </w:hyperlink>
            <w:r w:rsidRPr="00A53581">
              <w:rPr>
                <w:rFonts w:ascii="新細明體" w:hAnsi="新細明體"/>
              </w:rPr>
              <w:t>－各種權利與自由之保障乃是各國共通之目標</w:t>
            </w:r>
          </w:p>
        </w:tc>
      </w:tr>
      <w:tr w:rsidR="00203F72" w:rsidRPr="00A53581" w14:paraId="0EF2F61C" w14:textId="77777777" w:rsidTr="00203F72">
        <w:tc>
          <w:tcPr>
            <w:tcW w:w="614" w:type="pct"/>
            <w:shd w:val="clear" w:color="auto" w:fill="auto"/>
          </w:tcPr>
          <w:p w14:paraId="7B4EEE47" w14:textId="77777777" w:rsidR="00203F72" w:rsidRPr="00A53581" w:rsidRDefault="00203F72" w:rsidP="00D87D91">
            <w:r w:rsidRPr="00A53581">
              <w:t>1966</w:t>
            </w:r>
          </w:p>
        </w:tc>
        <w:tc>
          <w:tcPr>
            <w:tcW w:w="696" w:type="pct"/>
            <w:shd w:val="clear" w:color="auto" w:fill="auto"/>
          </w:tcPr>
          <w:p w14:paraId="1E1808C4" w14:textId="77777777" w:rsidR="00203F72" w:rsidRPr="00A53581" w:rsidRDefault="00203F72" w:rsidP="00D87D91">
            <w:r w:rsidRPr="00A53581">
              <w:t>聯合國</w:t>
            </w:r>
          </w:p>
        </w:tc>
        <w:tc>
          <w:tcPr>
            <w:tcW w:w="3690" w:type="pct"/>
            <w:shd w:val="clear" w:color="auto" w:fill="auto"/>
          </w:tcPr>
          <w:p w14:paraId="1B14FB22" w14:textId="77777777" w:rsidR="00203F72" w:rsidRPr="00A53581" w:rsidRDefault="00203F72" w:rsidP="00D87D91">
            <w:r w:rsidRPr="00A53581">
              <w:t>締結國際人權條約－至</w:t>
            </w:r>
            <w:r w:rsidRPr="00A53581">
              <w:t>1998</w:t>
            </w:r>
            <w:r w:rsidRPr="00A53581">
              <w:t>年同意社會權有</w:t>
            </w:r>
            <w:r w:rsidRPr="00A53581">
              <w:t>137</w:t>
            </w:r>
            <w:r w:rsidRPr="00A53581">
              <w:t>國，同意自由權有</w:t>
            </w:r>
            <w:r w:rsidRPr="00A53581">
              <w:t>140</w:t>
            </w:r>
            <w:r w:rsidRPr="00A53581">
              <w:t>國，該條約並承認民族自決權</w:t>
            </w:r>
          </w:p>
        </w:tc>
      </w:tr>
    </w:tbl>
    <w:p w14:paraId="19D850D6" w14:textId="77777777" w:rsidR="00953151" w:rsidRPr="00F90BE3" w:rsidRDefault="00B76D62" w:rsidP="00D87D91">
      <w:r w:rsidRPr="00F90BE3">
        <w:t>【本表資料來源】</w:t>
      </w:r>
      <w:r w:rsidR="00203F72" w:rsidRPr="00F90BE3">
        <w:t>謝瑞智、謝世維</w:t>
      </w:r>
      <w:r w:rsidR="00203F72" w:rsidRPr="00F90BE3">
        <w:t>(2010)</w:t>
      </w:r>
      <w:r w:rsidR="00203F72" w:rsidRPr="00F90BE3">
        <w:t>，憲法概要，增訂</w:t>
      </w:r>
      <w:r w:rsidR="00203F72" w:rsidRPr="00F90BE3">
        <w:t>14</w:t>
      </w:r>
      <w:r w:rsidR="00203F72" w:rsidRPr="00F90BE3">
        <w:t>版，台北市：文笙書局，第</w:t>
      </w:r>
      <w:r w:rsidR="00203F72" w:rsidRPr="00F90BE3">
        <w:t>55</w:t>
      </w:r>
      <w:r w:rsidR="00203F72" w:rsidRPr="00F90BE3">
        <w:t>頁。</w:t>
      </w:r>
    </w:p>
    <w:p w14:paraId="1AA1F238" w14:textId="77777777" w:rsidR="00953151" w:rsidRDefault="001C3A2B" w:rsidP="00D87D91">
      <w:r w:rsidRPr="00F90BE3">
        <w:t xml:space="preserve">　　</w:t>
      </w:r>
      <w:r w:rsidR="00203F72" w:rsidRPr="00F90BE3">
        <w:t>其次，就</w:t>
      </w:r>
      <w:hyperlink r:id="rId2471" w:history="1">
        <w:r w:rsidR="005532CF" w:rsidRPr="005532CF">
          <w:rPr>
            <w:rStyle w:val="a5"/>
            <w:rFonts w:ascii="Times New Roman" w:eastAsia="新細明體" w:hAnsi="Times New Roman"/>
          </w:rPr>
          <w:t>ICCPR</w:t>
        </w:r>
      </w:hyperlink>
      <w:r w:rsidR="00203F72" w:rsidRPr="00F90BE3">
        <w:t>而論，該公約所規範之重要人權，如下所述：</w:t>
      </w:r>
      <w:r w:rsidR="00203F72" w:rsidRPr="00F90BE3">
        <w:t>1.</w:t>
      </w:r>
      <w:r w:rsidR="00203F72" w:rsidRPr="00F90BE3">
        <w:t>人民之自決權（</w:t>
      </w:r>
      <w:hyperlink r:id="rId2472" w:anchor="a1" w:history="1">
        <w:r w:rsidR="00203F72" w:rsidRPr="00275731">
          <w:rPr>
            <w:rStyle w:val="a5"/>
            <w:rFonts w:ascii="Times New Roman" w:eastAsia="新細明體" w:hAnsi="Times New Roman"/>
          </w:rPr>
          <w:t>第</w:t>
        </w:r>
        <w:r w:rsidR="00203F72" w:rsidRPr="00275731">
          <w:rPr>
            <w:rStyle w:val="a5"/>
            <w:rFonts w:ascii="Times New Roman" w:eastAsia="新細明體" w:hAnsi="Times New Roman"/>
          </w:rPr>
          <w:t>1</w:t>
        </w:r>
        <w:r w:rsidR="00203F72" w:rsidRPr="00275731">
          <w:rPr>
            <w:rStyle w:val="a5"/>
            <w:rFonts w:ascii="Times New Roman" w:eastAsia="新細明體" w:hAnsi="Times New Roman"/>
          </w:rPr>
          <w:t>條</w:t>
        </w:r>
      </w:hyperlink>
      <w:r w:rsidR="00203F72" w:rsidRPr="00F90BE3">
        <w:t>）；禁止區別歧</w:t>
      </w:r>
      <w:r w:rsidR="003E240E">
        <w:t>視</w:t>
      </w:r>
      <w:r w:rsidR="00203F72" w:rsidRPr="00F90BE3">
        <w:t>原則（</w:t>
      </w:r>
      <w:hyperlink r:id="rId2473" w:anchor="a2"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w:t>
        </w:r>
        <w:r w:rsidR="00203F72" w:rsidRPr="00BF20E5">
          <w:rPr>
            <w:rStyle w:val="a5"/>
            <w:rFonts w:ascii="Times New Roman" w:eastAsia="新細明體" w:hAnsi="Times New Roman"/>
          </w:rPr>
          <w:t>條</w:t>
        </w:r>
      </w:hyperlink>
      <w:r w:rsidR="00203F72" w:rsidRPr="00F90BE3">
        <w:t>）；性別平等權（</w:t>
      </w:r>
      <w:hyperlink r:id="rId2474" w:anchor="a3"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3</w:t>
        </w:r>
        <w:r w:rsidR="00203F72" w:rsidRPr="00BF20E5">
          <w:rPr>
            <w:rStyle w:val="a5"/>
            <w:rFonts w:ascii="Times New Roman" w:eastAsia="新細明體" w:hAnsi="Times New Roman"/>
          </w:rPr>
          <w:t>條</w:t>
        </w:r>
      </w:hyperlink>
      <w:r w:rsidR="00203F72" w:rsidRPr="00F90BE3">
        <w:t>）；生命權（</w:t>
      </w:r>
      <w:hyperlink r:id="rId2475" w:anchor="a6"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6</w:t>
        </w:r>
        <w:r w:rsidR="00203F72" w:rsidRPr="00BF20E5">
          <w:rPr>
            <w:rStyle w:val="a5"/>
            <w:rFonts w:ascii="Times New Roman" w:eastAsia="新細明體" w:hAnsi="Times New Roman"/>
          </w:rPr>
          <w:t>條</w:t>
        </w:r>
      </w:hyperlink>
      <w:r w:rsidR="00203F72" w:rsidRPr="00F90BE3">
        <w:t>）；禁止酷刑（不受酷刑權）（</w:t>
      </w:r>
      <w:hyperlink r:id="rId2476" w:anchor="a7"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7</w:t>
        </w:r>
        <w:r w:rsidR="00203F72" w:rsidRPr="00BF20E5">
          <w:rPr>
            <w:rStyle w:val="a5"/>
            <w:rFonts w:ascii="Times New Roman" w:eastAsia="新細明體" w:hAnsi="Times New Roman"/>
          </w:rPr>
          <w:t>條</w:t>
        </w:r>
      </w:hyperlink>
      <w:r w:rsidR="00203F72" w:rsidRPr="00F90BE3">
        <w:t>）；禁止奴隸制度（</w:t>
      </w:r>
      <w:hyperlink r:id="rId2477" w:anchor="a8"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8</w:t>
        </w:r>
        <w:r w:rsidR="00203F72" w:rsidRPr="00BF20E5">
          <w:rPr>
            <w:rStyle w:val="a5"/>
            <w:rFonts w:ascii="Times New Roman" w:eastAsia="新細明體" w:hAnsi="Times New Roman"/>
          </w:rPr>
          <w:t>條</w:t>
        </w:r>
      </w:hyperlink>
      <w:r w:rsidR="00203F72" w:rsidRPr="00F90BE3">
        <w:t>）；人身自由與安全權（</w:t>
      </w:r>
      <w:hyperlink r:id="rId2478" w:anchor="a9"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9</w:t>
        </w:r>
        <w:r w:rsidR="00203F72" w:rsidRPr="00BF20E5">
          <w:rPr>
            <w:rStyle w:val="a5"/>
            <w:rFonts w:ascii="Times New Roman" w:eastAsia="新細明體" w:hAnsi="Times New Roman"/>
          </w:rPr>
          <w:t>條</w:t>
        </w:r>
      </w:hyperlink>
      <w:r w:rsidR="00203F72" w:rsidRPr="00F90BE3">
        <w:t>）；被拘禁者受到人性與尊嚴待遇之權利（</w:t>
      </w:r>
      <w:hyperlink r:id="rId2479" w:anchor="a10"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10</w:t>
        </w:r>
        <w:r w:rsidR="00203F72" w:rsidRPr="00BF20E5">
          <w:rPr>
            <w:rStyle w:val="a5"/>
            <w:rFonts w:ascii="Times New Roman" w:eastAsia="新細明體" w:hAnsi="Times New Roman"/>
          </w:rPr>
          <w:t>條</w:t>
        </w:r>
      </w:hyperlink>
      <w:r w:rsidR="00203F72" w:rsidRPr="00F90BE3">
        <w:t>）；禁止因債務原因而被監禁（</w:t>
      </w:r>
      <w:hyperlink r:id="rId2480" w:anchor="a11"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11</w:t>
        </w:r>
        <w:r w:rsidR="00203F72" w:rsidRPr="00BF20E5">
          <w:rPr>
            <w:rStyle w:val="a5"/>
            <w:rFonts w:ascii="Times New Roman" w:eastAsia="新細明體" w:hAnsi="Times New Roman"/>
          </w:rPr>
          <w:t>條</w:t>
        </w:r>
      </w:hyperlink>
      <w:r w:rsidR="00203F72" w:rsidRPr="00F90BE3">
        <w:t>）；遷徙自由權利（</w:t>
      </w:r>
      <w:hyperlink r:id="rId2481" w:anchor="a12"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12</w:t>
        </w:r>
        <w:r w:rsidR="00203F72" w:rsidRPr="00BF20E5">
          <w:rPr>
            <w:rStyle w:val="a5"/>
            <w:rFonts w:ascii="Times New Roman" w:eastAsia="新細明體" w:hAnsi="Times New Roman"/>
          </w:rPr>
          <w:t>條</w:t>
        </w:r>
      </w:hyperlink>
      <w:r w:rsidR="00203F72" w:rsidRPr="00F90BE3">
        <w:t>）；保護外國人避免受任意驅逐出國（</w:t>
      </w:r>
      <w:hyperlink r:id="rId2482" w:anchor="a13"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13</w:t>
        </w:r>
        <w:r w:rsidR="00203F72" w:rsidRPr="00BF20E5">
          <w:rPr>
            <w:rStyle w:val="a5"/>
            <w:rFonts w:ascii="Times New Roman" w:eastAsia="新細明體" w:hAnsi="Times New Roman"/>
          </w:rPr>
          <w:t>條</w:t>
        </w:r>
      </w:hyperlink>
      <w:r w:rsidR="00203F72" w:rsidRPr="00F90BE3">
        <w:t>）；民事及刑事審判程序中之保障（</w:t>
      </w:r>
      <w:hyperlink r:id="rId2483" w:anchor="14"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14</w:t>
        </w:r>
        <w:r w:rsidR="00203F72" w:rsidRPr="00BF20E5">
          <w:rPr>
            <w:rStyle w:val="a5"/>
            <w:rFonts w:ascii="Times New Roman" w:eastAsia="新細明體" w:hAnsi="Times New Roman"/>
          </w:rPr>
          <w:t>條</w:t>
        </w:r>
      </w:hyperlink>
      <w:r w:rsidR="00203F72" w:rsidRPr="00F90BE3">
        <w:t>）；</w:t>
      </w:r>
      <w:hyperlink r:id="rId2484" w:history="1">
        <w:r w:rsidR="006B7176" w:rsidRPr="006B7176">
          <w:rPr>
            <w:rStyle w:val="a5"/>
            <w:rFonts w:eastAsia="新細明體"/>
            <w:kern w:val="0"/>
          </w:rPr>
          <w:t>刑法</w:t>
        </w:r>
      </w:hyperlink>
      <w:r w:rsidR="00203F72" w:rsidRPr="00F90BE3">
        <w:t>禁止溯及既往（</w:t>
      </w:r>
      <w:hyperlink r:id="rId2485" w:anchor="15"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15</w:t>
        </w:r>
        <w:r w:rsidR="00203F72" w:rsidRPr="00BF20E5">
          <w:rPr>
            <w:rStyle w:val="a5"/>
            <w:rFonts w:ascii="Times New Roman" w:eastAsia="新細明體" w:hAnsi="Times New Roman"/>
          </w:rPr>
          <w:t>條</w:t>
        </w:r>
      </w:hyperlink>
      <w:r w:rsidR="00203F72" w:rsidRPr="00F90BE3">
        <w:t>）；承認法律上之人格權（</w:t>
      </w:r>
      <w:hyperlink r:id="rId2486" w:anchor="a16"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16</w:t>
        </w:r>
        <w:r w:rsidR="00203F72" w:rsidRPr="00BF20E5">
          <w:rPr>
            <w:rStyle w:val="a5"/>
            <w:rFonts w:ascii="Times New Roman" w:eastAsia="新細明體" w:hAnsi="Times New Roman"/>
          </w:rPr>
          <w:t>條</w:t>
        </w:r>
      </w:hyperlink>
      <w:r w:rsidR="00203F72" w:rsidRPr="00F90BE3">
        <w:t>）；隱私權（</w:t>
      </w:r>
      <w:hyperlink r:id="rId2487" w:anchor="a17"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17</w:t>
        </w:r>
        <w:r w:rsidR="00203F72" w:rsidRPr="00BF20E5">
          <w:rPr>
            <w:rStyle w:val="a5"/>
            <w:rFonts w:ascii="Times New Roman" w:eastAsia="新細明體" w:hAnsi="Times New Roman"/>
          </w:rPr>
          <w:t>條</w:t>
        </w:r>
      </w:hyperlink>
      <w:r w:rsidR="00203F72" w:rsidRPr="00F90BE3">
        <w:t>）；思想、良心、宗教及信仰自由權（</w:t>
      </w:r>
      <w:hyperlink r:id="rId2488" w:anchor="a18"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18</w:t>
        </w:r>
        <w:r w:rsidR="00203F72" w:rsidRPr="00BF20E5">
          <w:rPr>
            <w:rStyle w:val="a5"/>
            <w:rFonts w:ascii="Times New Roman" w:eastAsia="新細明體" w:hAnsi="Times New Roman"/>
          </w:rPr>
          <w:t>條</w:t>
        </w:r>
      </w:hyperlink>
      <w:r w:rsidR="00203F72" w:rsidRPr="00F90BE3">
        <w:t>）；意見及表達自由權（</w:t>
      </w:r>
      <w:hyperlink r:id="rId2489" w:anchor="a19"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19</w:t>
        </w:r>
        <w:r w:rsidR="00203F72" w:rsidRPr="00BF20E5">
          <w:rPr>
            <w:rStyle w:val="a5"/>
            <w:rFonts w:ascii="Times New Roman" w:eastAsia="新細明體" w:hAnsi="Times New Roman"/>
          </w:rPr>
          <w:t>條</w:t>
        </w:r>
      </w:hyperlink>
      <w:r w:rsidR="00203F72" w:rsidRPr="00F90BE3">
        <w:t>）；禁止宣傳戰爭及禁止鼓吹仇恨（</w:t>
      </w:r>
      <w:hyperlink r:id="rId2490" w:anchor="a20"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20</w:t>
        </w:r>
        <w:r w:rsidR="00203F72" w:rsidRPr="00BF20E5">
          <w:rPr>
            <w:rStyle w:val="a5"/>
            <w:rFonts w:ascii="Times New Roman" w:eastAsia="新細明體" w:hAnsi="Times New Roman"/>
          </w:rPr>
          <w:t>條</w:t>
        </w:r>
      </w:hyperlink>
      <w:r w:rsidR="00203F72" w:rsidRPr="00F90BE3">
        <w:t>）；集會自由權（</w:t>
      </w:r>
      <w:hyperlink r:id="rId2491" w:anchor="21"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21</w:t>
        </w:r>
        <w:r w:rsidR="00203F72" w:rsidRPr="00BF20E5">
          <w:rPr>
            <w:rStyle w:val="a5"/>
            <w:rFonts w:ascii="Times New Roman" w:eastAsia="新細明體" w:hAnsi="Times New Roman"/>
          </w:rPr>
          <w:t>條</w:t>
        </w:r>
      </w:hyperlink>
      <w:r w:rsidR="00203F72" w:rsidRPr="00F90BE3">
        <w:t>）；結社及工會權（</w:t>
      </w:r>
      <w:hyperlink r:id="rId2492" w:anchor="a22"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22</w:t>
        </w:r>
        <w:r w:rsidR="00203F72" w:rsidRPr="00BF20E5">
          <w:rPr>
            <w:rStyle w:val="a5"/>
            <w:rFonts w:ascii="Times New Roman" w:eastAsia="新細明體" w:hAnsi="Times New Roman"/>
          </w:rPr>
          <w:t>條</w:t>
        </w:r>
      </w:hyperlink>
      <w:r w:rsidR="00203F72" w:rsidRPr="00F90BE3">
        <w:t>）；婚姻及家庭權（</w:t>
      </w:r>
      <w:hyperlink r:id="rId2493" w:anchor="a23"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23</w:t>
        </w:r>
        <w:r w:rsidR="00203F72" w:rsidRPr="00BF20E5">
          <w:rPr>
            <w:rStyle w:val="a5"/>
            <w:rFonts w:ascii="Times New Roman" w:eastAsia="新細明體" w:hAnsi="Times New Roman"/>
          </w:rPr>
          <w:t>條</w:t>
        </w:r>
      </w:hyperlink>
      <w:r w:rsidR="00203F72" w:rsidRPr="00F90BE3">
        <w:t>）；兒童權利（</w:t>
      </w:r>
      <w:hyperlink r:id="rId2494" w:anchor="a24"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24</w:t>
        </w:r>
        <w:r w:rsidR="00203F72" w:rsidRPr="00BF20E5">
          <w:rPr>
            <w:rStyle w:val="a5"/>
            <w:rFonts w:ascii="Times New Roman" w:eastAsia="新細明體" w:hAnsi="Times New Roman"/>
          </w:rPr>
          <w:t>條</w:t>
        </w:r>
      </w:hyperlink>
      <w:r w:rsidR="00203F72" w:rsidRPr="00F90BE3">
        <w:t>）；政治權、參政權（</w:t>
      </w:r>
      <w:hyperlink r:id="rId2495" w:anchor="a25"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25</w:t>
        </w:r>
        <w:r w:rsidR="00203F72" w:rsidRPr="00BF20E5">
          <w:rPr>
            <w:rStyle w:val="a5"/>
            <w:rFonts w:ascii="Times New Roman" w:eastAsia="新細明體" w:hAnsi="Times New Roman"/>
          </w:rPr>
          <w:t>條</w:t>
        </w:r>
      </w:hyperlink>
      <w:r w:rsidR="00203F72" w:rsidRPr="00F90BE3">
        <w:t>）；平等權利（</w:t>
      </w:r>
      <w:hyperlink r:id="rId2496" w:anchor="a26"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26</w:t>
        </w:r>
        <w:r w:rsidR="00203F72" w:rsidRPr="00BF20E5">
          <w:rPr>
            <w:rStyle w:val="a5"/>
            <w:rFonts w:ascii="Times New Roman" w:eastAsia="新細明體" w:hAnsi="Times New Roman"/>
          </w:rPr>
          <w:t>條</w:t>
        </w:r>
      </w:hyperlink>
      <w:r w:rsidR="00203F72" w:rsidRPr="00F90BE3">
        <w:t>）；保護少數族群之人（</w:t>
      </w:r>
      <w:hyperlink r:id="rId2497" w:anchor="a27"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27</w:t>
        </w:r>
        <w:r w:rsidR="00203F72" w:rsidRPr="00BF20E5">
          <w:rPr>
            <w:rStyle w:val="a5"/>
            <w:rFonts w:ascii="Times New Roman" w:eastAsia="新細明體" w:hAnsi="Times New Roman"/>
          </w:rPr>
          <w:t>條</w:t>
        </w:r>
      </w:hyperlink>
      <w:r w:rsidR="00203F72" w:rsidRPr="00F90BE3">
        <w:t>）；使用天然財富與資源之權利（</w:t>
      </w:r>
      <w:hyperlink r:id="rId2498" w:anchor="a47"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47</w:t>
        </w:r>
        <w:r w:rsidR="00203F72" w:rsidRPr="00BF20E5">
          <w:rPr>
            <w:rStyle w:val="a5"/>
            <w:rFonts w:ascii="Times New Roman" w:eastAsia="新細明體" w:hAnsi="Times New Roman"/>
          </w:rPr>
          <w:t>條</w:t>
        </w:r>
      </w:hyperlink>
      <w:r w:rsidR="00203F72" w:rsidRPr="00F90BE3">
        <w:t>）；以上之諸多人數，係</w:t>
      </w:r>
      <w:hyperlink r:id="rId2499" w:history="1">
        <w:r w:rsidR="005532CF" w:rsidRPr="005532CF">
          <w:rPr>
            <w:rStyle w:val="a5"/>
            <w:rFonts w:ascii="Times New Roman" w:eastAsia="新細明體" w:hAnsi="Times New Roman"/>
          </w:rPr>
          <w:t>ICCPR</w:t>
        </w:r>
      </w:hyperlink>
      <w:r w:rsidR="00203F72" w:rsidRPr="00F90BE3">
        <w:t>於其法典內涵中，所列舉之重要人權。</w:t>
      </w:r>
    </w:p>
    <w:p w14:paraId="51D604F7" w14:textId="77777777" w:rsidR="00F90BE3" w:rsidRPr="00F90BE3" w:rsidRDefault="00F90BE3" w:rsidP="00D87D91"/>
    <w:p w14:paraId="1A896188" w14:textId="06337DCC" w:rsidR="00203F72" w:rsidRPr="00F90BE3" w:rsidRDefault="00B03E84" w:rsidP="00D87D91">
      <w:r w:rsidRPr="00F90BE3">
        <w:t>【</w:t>
      </w:r>
      <w:r w:rsidRPr="00F90BE3">
        <w:t>table</w:t>
      </w:r>
      <w:r w:rsidR="005E23E3" w:rsidRPr="00F90B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114</w:t>
      </w:r>
      <w:r w:rsidR="00076467">
        <w:rPr>
          <w:noProof/>
        </w:rPr>
        <w:fldChar w:fldCharType="end"/>
      </w:r>
      <w:r w:rsidR="00203F72" w:rsidRPr="00F90BE3">
        <w:t>我國憲法有關基本權之規範內涵</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7"/>
        <w:gridCol w:w="1556"/>
        <w:gridCol w:w="3148"/>
        <w:gridCol w:w="1497"/>
      </w:tblGrid>
      <w:tr w:rsidR="00203F72" w:rsidRPr="00A53581" w14:paraId="06B55C3F" w14:textId="77777777" w:rsidTr="00F90BE3">
        <w:tc>
          <w:tcPr>
            <w:tcW w:w="359" w:type="pct"/>
            <w:shd w:val="clear" w:color="auto" w:fill="FAF0FA"/>
          </w:tcPr>
          <w:p w14:paraId="236F642B" w14:textId="77777777" w:rsidR="00203F72" w:rsidRPr="00A53581" w:rsidRDefault="00203F72" w:rsidP="00D87D91"/>
        </w:tc>
        <w:tc>
          <w:tcPr>
            <w:tcW w:w="719" w:type="pct"/>
            <w:shd w:val="clear" w:color="auto" w:fill="FAF0FA"/>
          </w:tcPr>
          <w:p w14:paraId="03627D39" w14:textId="77777777" w:rsidR="00203F72" w:rsidRPr="00A53581" w:rsidRDefault="00203F72" w:rsidP="00D87D91">
            <w:r w:rsidRPr="00A53581">
              <w:t>基本權之種類</w:t>
            </w:r>
          </w:p>
        </w:tc>
        <w:tc>
          <w:tcPr>
            <w:tcW w:w="2975" w:type="pct"/>
            <w:gridSpan w:val="2"/>
            <w:shd w:val="clear" w:color="auto" w:fill="FAF0FA"/>
          </w:tcPr>
          <w:p w14:paraId="746A9EA3" w14:textId="77777777" w:rsidR="00203F72" w:rsidRPr="00A53581" w:rsidRDefault="00203F72" w:rsidP="00D87D91">
            <w:r w:rsidRPr="00A53581">
              <w:t>基本權之規範內涵</w:t>
            </w:r>
          </w:p>
        </w:tc>
        <w:tc>
          <w:tcPr>
            <w:tcW w:w="947" w:type="pct"/>
            <w:shd w:val="clear" w:color="auto" w:fill="FAF0FA"/>
          </w:tcPr>
          <w:p w14:paraId="3954D67D" w14:textId="77777777" w:rsidR="00203F72" w:rsidRPr="00A53581" w:rsidRDefault="00203F72" w:rsidP="00D87D91">
            <w:r w:rsidRPr="00A53581">
              <w:t>司法院大法官釋字號別</w:t>
            </w:r>
          </w:p>
        </w:tc>
      </w:tr>
      <w:tr w:rsidR="00203F72" w:rsidRPr="00A53581" w14:paraId="7012CDEA" w14:textId="77777777" w:rsidTr="00203F72">
        <w:tc>
          <w:tcPr>
            <w:tcW w:w="359" w:type="pct"/>
            <w:vMerge w:val="restart"/>
            <w:shd w:val="clear" w:color="auto" w:fill="auto"/>
          </w:tcPr>
          <w:p w14:paraId="76A08066" w14:textId="77777777" w:rsidR="00203F72" w:rsidRPr="00A53581" w:rsidRDefault="00203F72" w:rsidP="00D87D91">
            <w:r w:rsidRPr="00A53581">
              <w:rPr>
                <w:rFonts w:hint="eastAsia"/>
              </w:rPr>
              <w:t>權</w:t>
            </w:r>
            <w:r w:rsidRPr="00A53581">
              <w:t>利</w:t>
            </w:r>
          </w:p>
        </w:tc>
        <w:tc>
          <w:tcPr>
            <w:tcW w:w="719" w:type="pct"/>
            <w:shd w:val="clear" w:color="auto" w:fill="auto"/>
          </w:tcPr>
          <w:p w14:paraId="066ACD02" w14:textId="77777777" w:rsidR="00203F72" w:rsidRPr="00A53581" w:rsidRDefault="00203F72" w:rsidP="00D87D91">
            <w:r w:rsidRPr="00A53581">
              <w:t>人性尊嚴</w:t>
            </w:r>
          </w:p>
        </w:tc>
        <w:tc>
          <w:tcPr>
            <w:tcW w:w="2975" w:type="pct"/>
            <w:gridSpan w:val="2"/>
            <w:shd w:val="clear" w:color="auto" w:fill="auto"/>
          </w:tcPr>
          <w:p w14:paraId="4A477442" w14:textId="77777777" w:rsidR="00203F72" w:rsidRPr="00A53581" w:rsidRDefault="00203F72" w:rsidP="00D87D91">
            <w:r w:rsidRPr="00A53581">
              <w:t>人格</w:t>
            </w:r>
            <w:r w:rsidRPr="00A53581">
              <w:rPr>
                <w:rFonts w:hint="eastAsia"/>
              </w:rPr>
              <w:t>尊嚴之維護與人身安全之確保，乃</w:t>
            </w:r>
            <w:hyperlink r:id="rId2500" w:history="1">
              <w:r w:rsidR="00F35C5F" w:rsidRPr="00F35C5F">
                <w:rPr>
                  <w:rStyle w:val="a5"/>
                </w:rPr>
                <w:t>世界人權宣言</w:t>
              </w:r>
            </w:hyperlink>
            <w:r w:rsidRPr="00A53581">
              <w:rPr>
                <w:rFonts w:hint="eastAsia"/>
              </w:rPr>
              <w:t>所揭示，並為</w:t>
            </w:r>
            <w:hyperlink r:id="rId2501" w:anchor="r372" w:history="1">
              <w:r w:rsidRPr="00AD060F">
                <w:rPr>
                  <w:rStyle w:val="a5"/>
                  <w:rFonts w:ascii="Times New Roman" w:eastAsia="新細明體" w:hAnsi="Times New Roman" w:hint="eastAsia"/>
                </w:rPr>
                <w:t>我國</w:t>
              </w:r>
            </w:hyperlink>
            <w:r w:rsidRPr="00A53581">
              <w:rPr>
                <w:rFonts w:hint="eastAsia"/>
              </w:rPr>
              <w:t>憲法保障人民自由權利之基本理念</w:t>
            </w:r>
            <w:r w:rsidRPr="00A53581">
              <w:rPr>
                <w:rFonts w:hint="eastAsia"/>
                <w:kern w:val="0"/>
              </w:rPr>
              <w:t>。</w:t>
            </w:r>
          </w:p>
        </w:tc>
        <w:tc>
          <w:tcPr>
            <w:tcW w:w="947" w:type="pct"/>
            <w:shd w:val="clear" w:color="auto" w:fill="auto"/>
          </w:tcPr>
          <w:p w14:paraId="3243DA19" w14:textId="77777777" w:rsidR="00203F72" w:rsidRPr="00A53581" w:rsidRDefault="00203F72" w:rsidP="00D87D91">
            <w:r w:rsidRPr="00A53581">
              <w:t>釋字</w:t>
            </w:r>
            <w:hyperlink r:id="rId2502" w:anchor="r372" w:history="1">
              <w:r w:rsidRPr="00754152">
                <w:rPr>
                  <w:rStyle w:val="a5"/>
                  <w:rFonts w:ascii="Times New Roman" w:eastAsia="新細明體" w:hAnsi="Times New Roman"/>
                </w:rPr>
                <w:t>372</w:t>
              </w:r>
            </w:hyperlink>
          </w:p>
        </w:tc>
      </w:tr>
      <w:tr w:rsidR="00203F72" w:rsidRPr="00A53581" w14:paraId="1AC7F5E5" w14:textId="77777777" w:rsidTr="00203F72">
        <w:tc>
          <w:tcPr>
            <w:tcW w:w="359" w:type="pct"/>
            <w:vMerge/>
            <w:shd w:val="clear" w:color="auto" w:fill="auto"/>
          </w:tcPr>
          <w:p w14:paraId="1C728C3C" w14:textId="77777777" w:rsidR="00203F72" w:rsidRPr="00A53581" w:rsidRDefault="00203F72" w:rsidP="00D87D91"/>
        </w:tc>
        <w:tc>
          <w:tcPr>
            <w:tcW w:w="719" w:type="pct"/>
            <w:shd w:val="clear" w:color="auto" w:fill="auto"/>
          </w:tcPr>
          <w:p w14:paraId="717AA7F2" w14:textId="77777777" w:rsidR="00203F72" w:rsidRPr="00A53581" w:rsidRDefault="00203F72" w:rsidP="00D87D91">
            <w:r w:rsidRPr="00A53581">
              <w:t>平等權</w:t>
            </w:r>
          </w:p>
        </w:tc>
        <w:tc>
          <w:tcPr>
            <w:tcW w:w="2975" w:type="pct"/>
            <w:gridSpan w:val="2"/>
            <w:shd w:val="clear" w:color="auto" w:fill="auto"/>
          </w:tcPr>
          <w:p w14:paraId="0989DA11" w14:textId="77777777" w:rsidR="00203F72" w:rsidRPr="00A53581" w:rsidRDefault="00203F72" w:rsidP="00D87D91">
            <w:r w:rsidRPr="00A53581">
              <w:rPr>
                <w:rFonts w:hint="eastAsia"/>
              </w:rPr>
              <w:t>中華民國人民，無分男女、宗教、種族、階級、黨派，在法律上一律平等</w:t>
            </w:r>
            <w:r w:rsidRPr="00A53581">
              <w:rPr>
                <w:rFonts w:hint="eastAsia"/>
                <w:kern w:val="0"/>
              </w:rPr>
              <w:t>。</w:t>
            </w:r>
            <w:r w:rsidRPr="00A53581">
              <w:rPr>
                <w:rFonts w:hint="eastAsia"/>
                <w:kern w:val="0"/>
              </w:rPr>
              <w:t>[</w:t>
            </w:r>
            <w:hyperlink r:id="rId2503" w:anchor="a7" w:history="1">
              <w:r w:rsidRPr="00971142">
                <w:rPr>
                  <w:rStyle w:val="a5"/>
                  <w:rFonts w:ascii="Times New Roman" w:eastAsia="新細明體" w:hAnsi="Times New Roman" w:hint="eastAsia"/>
                  <w:kern w:val="0"/>
                </w:rPr>
                <w:t>憲§七</w:t>
              </w:r>
            </w:hyperlink>
            <w:r w:rsidRPr="00A53581">
              <w:rPr>
                <w:rFonts w:hint="eastAsia"/>
                <w:kern w:val="0"/>
              </w:rPr>
              <w:t>]</w:t>
            </w:r>
          </w:p>
        </w:tc>
        <w:tc>
          <w:tcPr>
            <w:tcW w:w="947" w:type="pct"/>
            <w:shd w:val="clear" w:color="auto" w:fill="auto"/>
          </w:tcPr>
          <w:p w14:paraId="087F6810" w14:textId="77777777" w:rsidR="00203F72" w:rsidRPr="00A53581" w:rsidRDefault="00203F72" w:rsidP="00D87D91">
            <w:r w:rsidRPr="00A53581">
              <w:t>釋字</w:t>
            </w:r>
            <w:hyperlink r:id="rId2504" w:anchor="r485" w:history="1">
              <w:r w:rsidRPr="00754152">
                <w:rPr>
                  <w:rStyle w:val="a5"/>
                  <w:rFonts w:ascii="Times New Roman" w:eastAsia="新細明體" w:hAnsi="Times New Roman"/>
                </w:rPr>
                <w:t>485</w:t>
              </w:r>
            </w:hyperlink>
          </w:p>
        </w:tc>
      </w:tr>
      <w:tr w:rsidR="00203F72" w:rsidRPr="00A53581" w14:paraId="5CAC2F74" w14:textId="77777777" w:rsidTr="00203F72">
        <w:tc>
          <w:tcPr>
            <w:tcW w:w="359" w:type="pct"/>
            <w:vMerge/>
            <w:shd w:val="clear" w:color="auto" w:fill="auto"/>
          </w:tcPr>
          <w:p w14:paraId="043121FE" w14:textId="77777777" w:rsidR="00203F72" w:rsidRPr="00A53581" w:rsidRDefault="00203F72" w:rsidP="00D87D91"/>
        </w:tc>
        <w:tc>
          <w:tcPr>
            <w:tcW w:w="719" w:type="pct"/>
            <w:vMerge w:val="restart"/>
            <w:shd w:val="clear" w:color="auto" w:fill="auto"/>
          </w:tcPr>
          <w:p w14:paraId="6BF1D1E8" w14:textId="77777777" w:rsidR="00203F72" w:rsidRPr="00A53581" w:rsidRDefault="00203F72" w:rsidP="00D87D91">
            <w:r w:rsidRPr="00A53581">
              <w:t>自由權</w:t>
            </w:r>
          </w:p>
        </w:tc>
        <w:tc>
          <w:tcPr>
            <w:tcW w:w="984" w:type="pct"/>
            <w:shd w:val="clear" w:color="auto" w:fill="auto"/>
          </w:tcPr>
          <w:p w14:paraId="370E99CF" w14:textId="77777777" w:rsidR="00203F72" w:rsidRPr="00A53581" w:rsidRDefault="00203F72" w:rsidP="00D87D91">
            <w:r w:rsidRPr="00A53581">
              <w:t>人身自由</w:t>
            </w:r>
            <w:r w:rsidRPr="00A53581">
              <w:t>[</w:t>
            </w:r>
            <w:hyperlink r:id="rId2505" w:anchor="a8" w:history="1">
              <w:r w:rsidRPr="00AD060F">
                <w:rPr>
                  <w:rStyle w:val="a5"/>
                  <w:rFonts w:ascii="Times New Roman" w:eastAsia="新細明體" w:hAnsi="Times New Roman"/>
                </w:rPr>
                <w:t>憲</w:t>
              </w:r>
              <w:r w:rsidRPr="00AD060F">
                <w:rPr>
                  <w:rStyle w:val="a5"/>
                  <w:rFonts w:ascii="Times New Roman" w:eastAsia="新細明體" w:hAnsi="Times New Roman" w:hint="eastAsia"/>
                  <w:kern w:val="0"/>
                </w:rPr>
                <w:t>§</w:t>
              </w:r>
              <w:r w:rsidRPr="00AD060F">
                <w:rPr>
                  <w:rStyle w:val="a5"/>
                  <w:rFonts w:ascii="Times New Roman" w:eastAsia="新細明體" w:hAnsi="Times New Roman"/>
                </w:rPr>
                <w:t>八</w:t>
              </w:r>
            </w:hyperlink>
            <w:r w:rsidRPr="00A53581">
              <w:t>、</w:t>
            </w:r>
            <w:hyperlink r:id="rId2506" w:anchor="a9" w:history="1">
              <w:r w:rsidRPr="00AD060F">
                <w:rPr>
                  <w:rStyle w:val="a5"/>
                  <w:rFonts w:ascii="Times New Roman" w:eastAsia="新細明體" w:hAnsi="Times New Roman" w:hint="eastAsia"/>
                  <w:kern w:val="0"/>
                </w:rPr>
                <w:t>§</w:t>
              </w:r>
              <w:r w:rsidRPr="00AD060F">
                <w:rPr>
                  <w:rStyle w:val="a5"/>
                  <w:rFonts w:ascii="Times New Roman" w:eastAsia="新細明體" w:hAnsi="Times New Roman"/>
                </w:rPr>
                <w:t>九</w:t>
              </w:r>
            </w:hyperlink>
            <w:r w:rsidRPr="00A53581">
              <w:t>]</w:t>
            </w:r>
          </w:p>
        </w:tc>
        <w:tc>
          <w:tcPr>
            <w:tcW w:w="1991" w:type="pct"/>
            <w:shd w:val="clear" w:color="auto" w:fill="auto"/>
          </w:tcPr>
          <w:p w14:paraId="462F5CA9" w14:textId="77777777" w:rsidR="00203F72" w:rsidRPr="00A53581" w:rsidRDefault="00335523" w:rsidP="00D87D91">
            <w:r>
              <w:t xml:space="preserve">　　</w:t>
            </w:r>
            <w:r w:rsidR="00203F72" w:rsidRPr="00A53581">
              <w:t>1</w:t>
            </w:r>
            <w:r w:rsidR="00971142">
              <w:rPr>
                <w:rFonts w:hint="eastAsia"/>
              </w:rPr>
              <w:t>.</w:t>
            </w:r>
            <w:r w:rsidR="00203F72" w:rsidRPr="00A53581">
              <w:rPr>
                <w:rFonts w:hint="eastAsia"/>
              </w:rPr>
              <w:t>人民身體之自由應予保障。除現行犯之逮捕由法律另定外，非經司法或警察機關依法定程序，不得逮捕拘禁。非由法院依法定程序，不得審問處罰。非依法定程序之逮捕、拘禁、審問、處罰，得拒絕之。</w:t>
            </w:r>
          </w:p>
          <w:p w14:paraId="22029DA8" w14:textId="77777777" w:rsidR="00203F72" w:rsidRPr="00A53581" w:rsidRDefault="00335523" w:rsidP="00D87D91">
            <w:pPr>
              <w:rPr>
                <w:kern w:val="0"/>
              </w:rPr>
            </w:pPr>
            <w:r>
              <w:rPr>
                <w:rFonts w:hint="eastAsia"/>
              </w:rPr>
              <w:t xml:space="preserve">　　</w:t>
            </w:r>
            <w:r w:rsidR="00203F72" w:rsidRPr="00A53581">
              <w:rPr>
                <w:rFonts w:hint="eastAsia"/>
              </w:rPr>
              <w:t>2.</w:t>
            </w:r>
            <w:r w:rsidR="00203F72" w:rsidRPr="00A53581">
              <w:rPr>
                <w:rFonts w:hint="eastAsia"/>
              </w:rPr>
              <w:t>人民因犯罪嫌疑被逮捕拘禁時，其逮捕拘禁機關應將逮捕拘禁原因，以書面告知本人及其本人指定之親友，並至遲於二十四小時內移送該管法院審問</w:t>
            </w:r>
            <w:r w:rsidR="00203F72" w:rsidRPr="00A53581">
              <w:rPr>
                <w:rFonts w:hint="eastAsia"/>
                <w:kern w:val="0"/>
              </w:rPr>
              <w:t>。本人或他人亦得聲請該管法院，於二十四小時內向逮捕之機關提審。</w:t>
            </w:r>
          </w:p>
          <w:p w14:paraId="5966FCD6" w14:textId="77777777" w:rsidR="00203F72" w:rsidRPr="00A53581" w:rsidRDefault="00203F72" w:rsidP="00D87D91">
            <w:r w:rsidRPr="00A53581">
              <w:rPr>
                <w:rFonts w:hint="eastAsia"/>
              </w:rPr>
              <w:t>法院對於前項聲請，不得拒絕，並不得先令逮捕拘禁之機關查覆。逮捕拘禁之機關，對於法院之提審，不得拒絕或遲延。</w:t>
            </w:r>
          </w:p>
          <w:p w14:paraId="5EFE9088" w14:textId="77777777" w:rsidR="00203F72" w:rsidRPr="00A53581" w:rsidRDefault="00335523" w:rsidP="00D87D91">
            <w:r>
              <w:rPr>
                <w:rFonts w:hint="eastAsia"/>
              </w:rPr>
              <w:t xml:space="preserve">　　</w:t>
            </w:r>
            <w:r w:rsidR="00203F72" w:rsidRPr="00A53581">
              <w:rPr>
                <w:rFonts w:hint="eastAsia"/>
              </w:rPr>
              <w:t>3.</w:t>
            </w:r>
            <w:r w:rsidR="00203F72" w:rsidRPr="00A53581">
              <w:t>人民遭受</w:t>
            </w:r>
            <w:r w:rsidR="00203F72" w:rsidRPr="00A53581">
              <w:rPr>
                <w:rFonts w:hint="eastAsia"/>
              </w:rPr>
              <w:t>任何</w:t>
            </w:r>
            <w:r w:rsidR="00203F72" w:rsidRPr="00A53581">
              <w:t>機關非法</w:t>
            </w:r>
            <w:r w:rsidR="00203F72" w:rsidRPr="00A53581">
              <w:rPr>
                <w:rFonts w:hint="eastAsia"/>
              </w:rPr>
              <w:t>逮捕拘禁時，其本人或他人得向</w:t>
            </w:r>
            <w:r w:rsidR="00203F72" w:rsidRPr="00A53581">
              <w:t>法院</w:t>
            </w:r>
            <w:r w:rsidR="00203F72" w:rsidRPr="00A53581">
              <w:rPr>
                <w:rFonts w:hint="eastAsia"/>
              </w:rPr>
              <w:t>聲請追究，法院不得拒絕，並應</w:t>
            </w:r>
            <w:r w:rsidR="00203F72" w:rsidRPr="00A53581">
              <w:t>於二十四小時內</w:t>
            </w:r>
            <w:r w:rsidR="00203F72" w:rsidRPr="00A53581">
              <w:rPr>
                <w:rFonts w:hint="eastAsia"/>
              </w:rPr>
              <w:t>向逮捕拘禁之機關追究，依法處</w:t>
            </w:r>
            <w:r w:rsidR="00203F72" w:rsidRPr="00A53581">
              <w:t>理</w:t>
            </w:r>
            <w:r w:rsidR="00203F72" w:rsidRPr="00A53581">
              <w:rPr>
                <w:rFonts w:hint="eastAsia"/>
              </w:rPr>
              <w:t>。</w:t>
            </w:r>
          </w:p>
        </w:tc>
        <w:tc>
          <w:tcPr>
            <w:tcW w:w="947" w:type="pct"/>
            <w:shd w:val="clear" w:color="auto" w:fill="auto"/>
          </w:tcPr>
          <w:p w14:paraId="66FB95BC" w14:textId="77777777" w:rsidR="00203F72" w:rsidRPr="00A53581" w:rsidRDefault="00203F72" w:rsidP="00D87D91">
            <w:r w:rsidRPr="00A53581">
              <w:t>釋字</w:t>
            </w:r>
            <w:hyperlink r:id="rId2507" w:anchor="r392" w:history="1">
              <w:r w:rsidRPr="00AD060F">
                <w:rPr>
                  <w:rStyle w:val="a5"/>
                  <w:rFonts w:ascii="Times New Roman" w:eastAsia="新細明體" w:hAnsi="Times New Roman"/>
                </w:rPr>
                <w:t>392</w:t>
              </w:r>
            </w:hyperlink>
            <w:r w:rsidRPr="00A53581">
              <w:t>、</w:t>
            </w:r>
            <w:hyperlink r:id="rId2508" w:anchor="r443" w:history="1">
              <w:r w:rsidRPr="00AD060F">
                <w:rPr>
                  <w:rStyle w:val="a5"/>
                  <w:rFonts w:ascii="Times New Roman" w:eastAsia="新細明體" w:hAnsi="Times New Roman"/>
                </w:rPr>
                <w:t>443</w:t>
              </w:r>
            </w:hyperlink>
            <w:r w:rsidRPr="00A53581">
              <w:t>、</w:t>
            </w:r>
            <w:hyperlink r:id="rId2509" w:anchor="r452" w:history="1">
              <w:r w:rsidRPr="00AD060F">
                <w:rPr>
                  <w:rStyle w:val="a5"/>
                  <w:rFonts w:ascii="Times New Roman" w:eastAsia="新細明體" w:hAnsi="Times New Roman"/>
                </w:rPr>
                <w:t>452</w:t>
              </w:r>
            </w:hyperlink>
            <w:r w:rsidRPr="00A53581">
              <w:t>、</w:t>
            </w:r>
            <w:hyperlink r:id="rId2510" w:anchor="r667" w:history="1">
              <w:r w:rsidRPr="00754152">
                <w:rPr>
                  <w:rStyle w:val="a5"/>
                  <w:rFonts w:ascii="Times New Roman" w:eastAsia="新細明體" w:hAnsi="Times New Roman"/>
                </w:rPr>
                <w:t>677</w:t>
              </w:r>
            </w:hyperlink>
          </w:p>
        </w:tc>
      </w:tr>
      <w:tr w:rsidR="00203F72" w:rsidRPr="00A53581" w14:paraId="769AE72B" w14:textId="77777777" w:rsidTr="00203F72">
        <w:tc>
          <w:tcPr>
            <w:tcW w:w="359" w:type="pct"/>
            <w:vMerge/>
            <w:shd w:val="clear" w:color="auto" w:fill="auto"/>
          </w:tcPr>
          <w:p w14:paraId="54A54D08" w14:textId="77777777" w:rsidR="00203F72" w:rsidRPr="00A53581" w:rsidRDefault="00203F72" w:rsidP="00D87D91"/>
        </w:tc>
        <w:tc>
          <w:tcPr>
            <w:tcW w:w="719" w:type="pct"/>
            <w:vMerge/>
            <w:shd w:val="clear" w:color="auto" w:fill="auto"/>
          </w:tcPr>
          <w:p w14:paraId="64890837" w14:textId="77777777" w:rsidR="00203F72" w:rsidRPr="00A53581" w:rsidRDefault="00203F72" w:rsidP="00D87D91"/>
        </w:tc>
        <w:tc>
          <w:tcPr>
            <w:tcW w:w="2975" w:type="pct"/>
            <w:gridSpan w:val="2"/>
            <w:shd w:val="clear" w:color="auto" w:fill="auto"/>
          </w:tcPr>
          <w:p w14:paraId="780D1DCA" w14:textId="77777777" w:rsidR="00203F72" w:rsidRPr="00A53581" w:rsidRDefault="00203F72" w:rsidP="00D87D91">
            <w:r w:rsidRPr="00A53581">
              <w:t>居住遷</w:t>
            </w:r>
            <w:r w:rsidRPr="00A53581">
              <w:rPr>
                <w:rFonts w:hint="eastAsia"/>
              </w:rPr>
              <w:t>徙</w:t>
            </w:r>
            <w:r w:rsidRPr="00A53581">
              <w:t>自由</w:t>
            </w:r>
          </w:p>
        </w:tc>
        <w:tc>
          <w:tcPr>
            <w:tcW w:w="947" w:type="pct"/>
            <w:shd w:val="clear" w:color="auto" w:fill="auto"/>
          </w:tcPr>
          <w:p w14:paraId="2A3CB93B" w14:textId="77777777" w:rsidR="00203F72" w:rsidRPr="00A53581" w:rsidRDefault="00203F72" w:rsidP="00D87D91"/>
        </w:tc>
      </w:tr>
      <w:tr w:rsidR="00203F72" w:rsidRPr="00A53581" w14:paraId="58A515AC" w14:textId="77777777" w:rsidTr="00203F72">
        <w:tc>
          <w:tcPr>
            <w:tcW w:w="359" w:type="pct"/>
            <w:vMerge/>
            <w:shd w:val="clear" w:color="auto" w:fill="auto"/>
          </w:tcPr>
          <w:p w14:paraId="2FA35B8D" w14:textId="77777777" w:rsidR="00203F72" w:rsidRPr="00A53581" w:rsidRDefault="00203F72" w:rsidP="00D87D91"/>
        </w:tc>
        <w:tc>
          <w:tcPr>
            <w:tcW w:w="719" w:type="pct"/>
            <w:vMerge/>
            <w:shd w:val="clear" w:color="auto" w:fill="auto"/>
          </w:tcPr>
          <w:p w14:paraId="28FBFEAD" w14:textId="77777777" w:rsidR="00203F72" w:rsidRPr="00A53581" w:rsidRDefault="00203F72" w:rsidP="00D87D91"/>
        </w:tc>
        <w:tc>
          <w:tcPr>
            <w:tcW w:w="984" w:type="pct"/>
            <w:shd w:val="clear" w:color="auto" w:fill="auto"/>
          </w:tcPr>
          <w:p w14:paraId="6665ED24" w14:textId="77777777" w:rsidR="00203F72" w:rsidRPr="00A53581" w:rsidRDefault="00203F72" w:rsidP="00D87D91">
            <w:r w:rsidRPr="00A53581">
              <w:t>表現自由</w:t>
            </w:r>
          </w:p>
        </w:tc>
        <w:tc>
          <w:tcPr>
            <w:tcW w:w="1991" w:type="pct"/>
            <w:shd w:val="clear" w:color="auto" w:fill="auto"/>
          </w:tcPr>
          <w:p w14:paraId="6F47640E" w14:textId="77777777" w:rsidR="00203F72" w:rsidRPr="00A53581" w:rsidRDefault="00203F72" w:rsidP="00D87D91">
            <w:r w:rsidRPr="00A53581">
              <w:t>言論、講學、著作及出版</w:t>
            </w:r>
          </w:p>
        </w:tc>
        <w:tc>
          <w:tcPr>
            <w:tcW w:w="947" w:type="pct"/>
            <w:shd w:val="clear" w:color="auto" w:fill="auto"/>
          </w:tcPr>
          <w:p w14:paraId="20D64F18" w14:textId="77777777" w:rsidR="00203F72" w:rsidRPr="00A53581" w:rsidRDefault="00203F72" w:rsidP="00D87D91">
            <w:r w:rsidRPr="00A53581">
              <w:t>釋字</w:t>
            </w:r>
            <w:hyperlink r:id="rId2511" w:anchor="r364" w:history="1">
              <w:r w:rsidRPr="00754152">
                <w:rPr>
                  <w:rStyle w:val="a5"/>
                  <w:rFonts w:ascii="Times New Roman" w:eastAsia="新細明體" w:hAnsi="Times New Roman" w:hint="eastAsia"/>
                </w:rPr>
                <w:t>364</w:t>
              </w:r>
            </w:hyperlink>
            <w:r w:rsidRPr="00A53581">
              <w:rPr>
                <w:rFonts w:hint="eastAsia"/>
              </w:rPr>
              <w:t>、</w:t>
            </w:r>
            <w:hyperlink r:id="rId2512" w:anchor="r407" w:history="1">
              <w:r w:rsidRPr="00754152">
                <w:rPr>
                  <w:rStyle w:val="a5"/>
                  <w:rFonts w:ascii="Times New Roman" w:eastAsia="新細明體" w:hAnsi="Times New Roman" w:hint="eastAsia"/>
                </w:rPr>
                <w:t>407</w:t>
              </w:r>
            </w:hyperlink>
            <w:r w:rsidRPr="00A53581">
              <w:rPr>
                <w:rFonts w:hint="eastAsia"/>
              </w:rPr>
              <w:t>、</w:t>
            </w:r>
            <w:hyperlink r:id="rId2513" w:anchor="r445" w:history="1">
              <w:r w:rsidRPr="00AD060F">
                <w:rPr>
                  <w:rStyle w:val="a5"/>
                  <w:rFonts w:ascii="Times New Roman" w:eastAsia="新細明體" w:hAnsi="Times New Roman" w:hint="eastAsia"/>
                </w:rPr>
                <w:t>445</w:t>
              </w:r>
            </w:hyperlink>
            <w:r w:rsidRPr="00A53581">
              <w:rPr>
                <w:rFonts w:hint="eastAsia"/>
              </w:rPr>
              <w:t>、</w:t>
            </w:r>
            <w:hyperlink r:id="rId2514" w:anchor="r479" w:history="1">
              <w:r w:rsidRPr="00AD060F">
                <w:rPr>
                  <w:rStyle w:val="a5"/>
                  <w:rFonts w:ascii="Times New Roman" w:eastAsia="新細明體" w:hAnsi="Times New Roman" w:hint="eastAsia"/>
                </w:rPr>
                <w:t>479</w:t>
              </w:r>
            </w:hyperlink>
            <w:r w:rsidRPr="00A53581">
              <w:rPr>
                <w:rFonts w:hint="eastAsia"/>
              </w:rPr>
              <w:t>、</w:t>
            </w:r>
            <w:hyperlink r:id="rId2515" w:anchor="r509" w:history="1">
              <w:r w:rsidRPr="00AD060F">
                <w:rPr>
                  <w:rStyle w:val="a5"/>
                  <w:rFonts w:ascii="Times New Roman" w:eastAsia="新細明體" w:hAnsi="Times New Roman" w:hint="eastAsia"/>
                </w:rPr>
                <w:t>509</w:t>
              </w:r>
            </w:hyperlink>
            <w:r w:rsidRPr="00A53581">
              <w:rPr>
                <w:rFonts w:hint="eastAsia"/>
              </w:rPr>
              <w:t>、</w:t>
            </w:r>
            <w:hyperlink r:id="rId2516" w:anchor="r563" w:history="1">
              <w:r w:rsidRPr="00AD060F">
                <w:rPr>
                  <w:rStyle w:val="a5"/>
                  <w:rFonts w:ascii="Times New Roman" w:eastAsia="新細明體" w:hAnsi="Times New Roman" w:hint="eastAsia"/>
                </w:rPr>
                <w:t>563</w:t>
              </w:r>
            </w:hyperlink>
            <w:r w:rsidRPr="00A53581">
              <w:rPr>
                <w:rFonts w:hint="eastAsia"/>
              </w:rPr>
              <w:t>、</w:t>
            </w:r>
            <w:hyperlink r:id="rId2517" w:anchor="r577" w:history="1">
              <w:r w:rsidRPr="00AD060F">
                <w:rPr>
                  <w:rStyle w:val="a5"/>
                  <w:rFonts w:ascii="Times New Roman" w:eastAsia="新細明體" w:hAnsi="Times New Roman" w:hint="eastAsia"/>
                </w:rPr>
                <w:t>577</w:t>
              </w:r>
            </w:hyperlink>
            <w:r w:rsidRPr="00A53581">
              <w:rPr>
                <w:rFonts w:hint="eastAsia"/>
              </w:rPr>
              <w:t>、</w:t>
            </w:r>
            <w:hyperlink r:id="rId2518" w:anchor="r632" w:history="1">
              <w:r w:rsidRPr="00AD060F">
                <w:rPr>
                  <w:rStyle w:val="a5"/>
                  <w:rFonts w:ascii="Times New Roman" w:eastAsia="新細明體" w:hAnsi="Times New Roman" w:hint="eastAsia"/>
                </w:rPr>
                <w:t>632</w:t>
              </w:r>
            </w:hyperlink>
          </w:p>
        </w:tc>
      </w:tr>
      <w:tr w:rsidR="00203F72" w:rsidRPr="00A53581" w14:paraId="1757563B" w14:textId="77777777" w:rsidTr="00203F72">
        <w:tc>
          <w:tcPr>
            <w:tcW w:w="359" w:type="pct"/>
            <w:vMerge/>
            <w:shd w:val="clear" w:color="auto" w:fill="auto"/>
          </w:tcPr>
          <w:p w14:paraId="503D4C0A" w14:textId="77777777" w:rsidR="00203F72" w:rsidRPr="00A53581" w:rsidRDefault="00203F72" w:rsidP="00D87D91"/>
        </w:tc>
        <w:tc>
          <w:tcPr>
            <w:tcW w:w="719" w:type="pct"/>
            <w:vMerge/>
            <w:shd w:val="clear" w:color="auto" w:fill="auto"/>
          </w:tcPr>
          <w:p w14:paraId="5A9AEC54" w14:textId="77777777" w:rsidR="00203F72" w:rsidRPr="00A53581" w:rsidRDefault="00203F72" w:rsidP="00D87D91"/>
        </w:tc>
        <w:tc>
          <w:tcPr>
            <w:tcW w:w="2975" w:type="pct"/>
            <w:gridSpan w:val="2"/>
            <w:shd w:val="clear" w:color="auto" w:fill="auto"/>
          </w:tcPr>
          <w:p w14:paraId="04694469" w14:textId="77777777" w:rsidR="00203F72" w:rsidRPr="00A53581" w:rsidRDefault="00203F72" w:rsidP="00D87D91">
            <w:r w:rsidRPr="00A53581">
              <w:t>秘密通訊自由</w:t>
            </w:r>
          </w:p>
        </w:tc>
        <w:tc>
          <w:tcPr>
            <w:tcW w:w="947" w:type="pct"/>
            <w:shd w:val="clear" w:color="auto" w:fill="auto"/>
          </w:tcPr>
          <w:p w14:paraId="55722737" w14:textId="77777777" w:rsidR="00203F72" w:rsidRPr="00A53581" w:rsidRDefault="00203F72" w:rsidP="00D87D91"/>
        </w:tc>
      </w:tr>
      <w:tr w:rsidR="00203F72" w:rsidRPr="00A53581" w14:paraId="0A68BA31" w14:textId="77777777" w:rsidTr="00203F72">
        <w:tc>
          <w:tcPr>
            <w:tcW w:w="359" w:type="pct"/>
            <w:vMerge/>
            <w:shd w:val="clear" w:color="auto" w:fill="auto"/>
          </w:tcPr>
          <w:p w14:paraId="0C93C278" w14:textId="77777777" w:rsidR="00203F72" w:rsidRPr="00A53581" w:rsidRDefault="00203F72" w:rsidP="00D87D91"/>
        </w:tc>
        <w:tc>
          <w:tcPr>
            <w:tcW w:w="719" w:type="pct"/>
            <w:vMerge/>
            <w:shd w:val="clear" w:color="auto" w:fill="auto"/>
          </w:tcPr>
          <w:p w14:paraId="1B982F71" w14:textId="77777777" w:rsidR="00203F72" w:rsidRPr="00A53581" w:rsidRDefault="00203F72" w:rsidP="00D87D91"/>
        </w:tc>
        <w:tc>
          <w:tcPr>
            <w:tcW w:w="2975" w:type="pct"/>
            <w:gridSpan w:val="2"/>
            <w:shd w:val="clear" w:color="auto" w:fill="auto"/>
          </w:tcPr>
          <w:p w14:paraId="3860BE38" w14:textId="77777777" w:rsidR="00203F72" w:rsidRPr="00A53581" w:rsidRDefault="00203F72" w:rsidP="00D87D91">
            <w:r w:rsidRPr="00A53581">
              <w:t>信仰宗教自由</w:t>
            </w:r>
          </w:p>
        </w:tc>
        <w:tc>
          <w:tcPr>
            <w:tcW w:w="947" w:type="pct"/>
            <w:shd w:val="clear" w:color="auto" w:fill="auto"/>
          </w:tcPr>
          <w:p w14:paraId="726E3EB6" w14:textId="77777777" w:rsidR="00203F72" w:rsidRPr="00A53581" w:rsidRDefault="00203F72" w:rsidP="00D87D91">
            <w:r w:rsidRPr="00A53581">
              <w:t>釋字</w:t>
            </w:r>
            <w:hyperlink r:id="rId2519" w:anchor="r490" w:history="1">
              <w:r w:rsidRPr="00754152">
                <w:rPr>
                  <w:rStyle w:val="a5"/>
                  <w:rFonts w:ascii="Times New Roman" w:eastAsia="新細明體" w:hAnsi="Times New Roman" w:hint="eastAsia"/>
                </w:rPr>
                <w:t>490</w:t>
              </w:r>
            </w:hyperlink>
            <w:r w:rsidRPr="00A53581">
              <w:rPr>
                <w:rFonts w:hint="eastAsia"/>
              </w:rPr>
              <w:t>、</w:t>
            </w:r>
            <w:hyperlink r:id="rId2520" w:anchor="r573" w:history="1">
              <w:r w:rsidRPr="00AD060F">
                <w:rPr>
                  <w:rStyle w:val="a5"/>
                  <w:rFonts w:ascii="Times New Roman" w:eastAsia="新細明體" w:hAnsi="Times New Roman" w:hint="eastAsia"/>
                </w:rPr>
                <w:t>573</w:t>
              </w:r>
            </w:hyperlink>
          </w:p>
        </w:tc>
      </w:tr>
      <w:tr w:rsidR="00203F72" w:rsidRPr="00A53581" w14:paraId="3E1EED14" w14:textId="77777777" w:rsidTr="00203F72">
        <w:tc>
          <w:tcPr>
            <w:tcW w:w="359" w:type="pct"/>
            <w:vMerge/>
            <w:shd w:val="clear" w:color="auto" w:fill="auto"/>
          </w:tcPr>
          <w:p w14:paraId="6EBB96D5" w14:textId="77777777" w:rsidR="00203F72" w:rsidRPr="00A53581" w:rsidRDefault="00203F72" w:rsidP="00D87D91"/>
        </w:tc>
        <w:tc>
          <w:tcPr>
            <w:tcW w:w="719" w:type="pct"/>
            <w:vMerge/>
            <w:shd w:val="clear" w:color="auto" w:fill="auto"/>
          </w:tcPr>
          <w:p w14:paraId="2D964997" w14:textId="77777777" w:rsidR="00203F72" w:rsidRPr="00A53581" w:rsidRDefault="00203F72" w:rsidP="00D87D91"/>
        </w:tc>
        <w:tc>
          <w:tcPr>
            <w:tcW w:w="2975" w:type="pct"/>
            <w:gridSpan w:val="2"/>
            <w:shd w:val="clear" w:color="auto" w:fill="auto"/>
          </w:tcPr>
          <w:p w14:paraId="7991E205" w14:textId="77777777" w:rsidR="00203F72" w:rsidRPr="00A53581" w:rsidRDefault="00203F72" w:rsidP="00D87D91">
            <w:r w:rsidRPr="00A53581">
              <w:t>集會結社自由</w:t>
            </w:r>
            <w:r w:rsidRPr="00A53581">
              <w:t>(</w:t>
            </w:r>
            <w:r w:rsidRPr="00A53581">
              <w:t>表現自由之一種</w:t>
            </w:r>
            <w:r w:rsidRPr="00A53581">
              <w:t>)</w:t>
            </w:r>
          </w:p>
        </w:tc>
        <w:tc>
          <w:tcPr>
            <w:tcW w:w="947" w:type="pct"/>
            <w:shd w:val="clear" w:color="auto" w:fill="auto"/>
          </w:tcPr>
          <w:p w14:paraId="6C98D48C" w14:textId="77777777" w:rsidR="00203F72" w:rsidRPr="00A53581" w:rsidRDefault="00203F72" w:rsidP="00D87D91"/>
        </w:tc>
      </w:tr>
      <w:tr w:rsidR="00203F72" w:rsidRPr="00A53581" w14:paraId="14590EA6" w14:textId="77777777" w:rsidTr="00203F72">
        <w:tc>
          <w:tcPr>
            <w:tcW w:w="359" w:type="pct"/>
            <w:vMerge/>
            <w:shd w:val="clear" w:color="auto" w:fill="auto"/>
          </w:tcPr>
          <w:p w14:paraId="4379F999" w14:textId="77777777" w:rsidR="00203F72" w:rsidRPr="00A53581" w:rsidRDefault="00203F72" w:rsidP="00D87D91"/>
        </w:tc>
        <w:tc>
          <w:tcPr>
            <w:tcW w:w="719" w:type="pct"/>
            <w:vMerge w:val="restart"/>
            <w:shd w:val="clear" w:color="auto" w:fill="auto"/>
          </w:tcPr>
          <w:p w14:paraId="39693A8C" w14:textId="77777777" w:rsidR="00203F72" w:rsidRPr="00A53581" w:rsidRDefault="00203F72" w:rsidP="00D87D91">
            <w:r w:rsidRPr="00A53581">
              <w:t>受益權</w:t>
            </w:r>
          </w:p>
        </w:tc>
        <w:tc>
          <w:tcPr>
            <w:tcW w:w="984" w:type="pct"/>
            <w:shd w:val="clear" w:color="auto" w:fill="auto"/>
          </w:tcPr>
          <w:p w14:paraId="14F7F024" w14:textId="77777777" w:rsidR="00203F72" w:rsidRPr="00A53581" w:rsidRDefault="00203F72" w:rsidP="00D87D91">
            <w:r w:rsidRPr="00A53581">
              <w:t>經濟上</w:t>
            </w:r>
          </w:p>
        </w:tc>
        <w:tc>
          <w:tcPr>
            <w:tcW w:w="1991" w:type="pct"/>
            <w:shd w:val="clear" w:color="auto" w:fill="auto"/>
          </w:tcPr>
          <w:p w14:paraId="06C46268" w14:textId="77777777" w:rsidR="00203F72" w:rsidRPr="00A53581" w:rsidRDefault="00203F72" w:rsidP="00D87D91">
            <w:r w:rsidRPr="00A53581">
              <w:t>保</w:t>
            </w:r>
            <w:r w:rsidRPr="00A53581">
              <w:rPr>
                <w:rFonts w:hint="eastAsia"/>
              </w:rPr>
              <w:t>障生存權、工作權及財產權</w:t>
            </w:r>
          </w:p>
        </w:tc>
        <w:tc>
          <w:tcPr>
            <w:tcW w:w="947" w:type="pct"/>
            <w:shd w:val="clear" w:color="auto" w:fill="auto"/>
          </w:tcPr>
          <w:p w14:paraId="36FFF4A4" w14:textId="77777777" w:rsidR="00203F72" w:rsidRPr="00A53581" w:rsidRDefault="00203F72" w:rsidP="00754152">
            <w:r w:rsidRPr="00A53581">
              <w:t>釋字</w:t>
            </w:r>
            <w:hyperlink r:id="rId2521" w:anchor="r404" w:history="1">
              <w:r w:rsidR="00754152">
                <w:rPr>
                  <w:rStyle w:val="a5"/>
                  <w:rFonts w:ascii="Times New Roman" w:eastAsia="新細明體" w:hAnsi="Times New Roman" w:hint="eastAsia"/>
                </w:rPr>
                <w:t>404</w:t>
              </w:r>
            </w:hyperlink>
            <w:r w:rsidRPr="00A53581">
              <w:rPr>
                <w:rFonts w:hint="eastAsia"/>
              </w:rPr>
              <w:t>、</w:t>
            </w:r>
            <w:hyperlink r:id="rId2522" w:anchor="r510" w:history="1">
              <w:r w:rsidRPr="00AD060F">
                <w:rPr>
                  <w:rStyle w:val="a5"/>
                  <w:rFonts w:ascii="Times New Roman" w:eastAsia="新細明體" w:hAnsi="Times New Roman" w:hint="eastAsia"/>
                </w:rPr>
                <w:t>510</w:t>
              </w:r>
            </w:hyperlink>
            <w:r w:rsidRPr="00A53581">
              <w:rPr>
                <w:rFonts w:hint="eastAsia"/>
              </w:rPr>
              <w:t>、</w:t>
            </w:r>
            <w:hyperlink r:id="rId2523" w:anchor="r514" w:history="1">
              <w:r w:rsidRPr="00AD060F">
                <w:rPr>
                  <w:rStyle w:val="a5"/>
                  <w:rFonts w:ascii="Times New Roman" w:eastAsia="新細明體" w:hAnsi="Times New Roman" w:hint="eastAsia"/>
                </w:rPr>
                <w:t>514</w:t>
              </w:r>
            </w:hyperlink>
            <w:r w:rsidRPr="00A53581">
              <w:rPr>
                <w:rFonts w:hint="eastAsia"/>
              </w:rPr>
              <w:t>、</w:t>
            </w:r>
            <w:hyperlink r:id="rId2524" w:anchor="r400" w:history="1">
              <w:r w:rsidRPr="00754152">
                <w:rPr>
                  <w:rStyle w:val="a5"/>
                  <w:rFonts w:ascii="Times New Roman" w:eastAsia="新細明體" w:hAnsi="Times New Roman" w:hint="eastAsia"/>
                </w:rPr>
                <w:t>400</w:t>
              </w:r>
            </w:hyperlink>
            <w:r w:rsidRPr="00A53581">
              <w:rPr>
                <w:rFonts w:hint="eastAsia"/>
              </w:rPr>
              <w:t>、</w:t>
            </w:r>
            <w:hyperlink r:id="rId2525" w:anchor="r606" w:history="1">
              <w:r w:rsidRPr="00AD060F">
                <w:rPr>
                  <w:rStyle w:val="a5"/>
                  <w:rFonts w:ascii="Times New Roman" w:eastAsia="新細明體" w:hAnsi="Times New Roman" w:hint="eastAsia"/>
                </w:rPr>
                <w:t>606</w:t>
              </w:r>
            </w:hyperlink>
          </w:p>
        </w:tc>
      </w:tr>
      <w:tr w:rsidR="00203F72" w:rsidRPr="00A53581" w14:paraId="0D43E5FC" w14:textId="77777777" w:rsidTr="00203F72">
        <w:tc>
          <w:tcPr>
            <w:tcW w:w="359" w:type="pct"/>
            <w:vMerge/>
            <w:shd w:val="clear" w:color="auto" w:fill="auto"/>
          </w:tcPr>
          <w:p w14:paraId="3793AC54" w14:textId="77777777" w:rsidR="00203F72" w:rsidRPr="00A53581" w:rsidRDefault="00203F72" w:rsidP="00D87D91"/>
        </w:tc>
        <w:tc>
          <w:tcPr>
            <w:tcW w:w="719" w:type="pct"/>
            <w:vMerge/>
            <w:shd w:val="clear" w:color="auto" w:fill="auto"/>
          </w:tcPr>
          <w:p w14:paraId="3746EAEF" w14:textId="77777777" w:rsidR="00203F72" w:rsidRPr="00A53581" w:rsidRDefault="00203F72" w:rsidP="00D87D91"/>
        </w:tc>
        <w:tc>
          <w:tcPr>
            <w:tcW w:w="984" w:type="pct"/>
            <w:shd w:val="clear" w:color="auto" w:fill="auto"/>
          </w:tcPr>
          <w:p w14:paraId="36AF9330" w14:textId="77777777" w:rsidR="00203F72" w:rsidRPr="00A53581" w:rsidRDefault="00203F72" w:rsidP="00D87D91">
            <w:r w:rsidRPr="00A53581">
              <w:t>行政上</w:t>
            </w:r>
          </w:p>
        </w:tc>
        <w:tc>
          <w:tcPr>
            <w:tcW w:w="1991" w:type="pct"/>
            <w:shd w:val="clear" w:color="auto" w:fill="auto"/>
          </w:tcPr>
          <w:p w14:paraId="08AE7367" w14:textId="77777777" w:rsidR="00203F72" w:rsidRPr="00A53581" w:rsidRDefault="00203F72" w:rsidP="00D87D91">
            <w:r w:rsidRPr="00A53581">
              <w:t>請願及訴願權</w:t>
            </w:r>
          </w:p>
        </w:tc>
        <w:tc>
          <w:tcPr>
            <w:tcW w:w="947" w:type="pct"/>
            <w:shd w:val="clear" w:color="auto" w:fill="auto"/>
          </w:tcPr>
          <w:p w14:paraId="278DFD87" w14:textId="77777777" w:rsidR="00203F72" w:rsidRPr="00A53581" w:rsidRDefault="00203F72" w:rsidP="00D87D91"/>
        </w:tc>
      </w:tr>
      <w:tr w:rsidR="00203F72" w:rsidRPr="00A53581" w14:paraId="3D652B43" w14:textId="77777777" w:rsidTr="00203F72">
        <w:tc>
          <w:tcPr>
            <w:tcW w:w="359" w:type="pct"/>
            <w:vMerge/>
            <w:shd w:val="clear" w:color="auto" w:fill="auto"/>
          </w:tcPr>
          <w:p w14:paraId="00DAA208" w14:textId="77777777" w:rsidR="00203F72" w:rsidRPr="00A53581" w:rsidRDefault="00203F72" w:rsidP="00D87D91"/>
        </w:tc>
        <w:tc>
          <w:tcPr>
            <w:tcW w:w="719" w:type="pct"/>
            <w:vMerge/>
            <w:shd w:val="clear" w:color="auto" w:fill="auto"/>
          </w:tcPr>
          <w:p w14:paraId="5E86CA32" w14:textId="77777777" w:rsidR="00203F72" w:rsidRPr="00A53581" w:rsidRDefault="00203F72" w:rsidP="00D87D91"/>
        </w:tc>
        <w:tc>
          <w:tcPr>
            <w:tcW w:w="984" w:type="pct"/>
            <w:shd w:val="clear" w:color="auto" w:fill="auto"/>
          </w:tcPr>
          <w:p w14:paraId="7407D054" w14:textId="77777777" w:rsidR="00203F72" w:rsidRPr="00A53581" w:rsidRDefault="00203F72" w:rsidP="00D87D91">
            <w:r w:rsidRPr="00A53581">
              <w:t>司法上</w:t>
            </w:r>
          </w:p>
        </w:tc>
        <w:tc>
          <w:tcPr>
            <w:tcW w:w="1991" w:type="pct"/>
            <w:shd w:val="clear" w:color="auto" w:fill="auto"/>
          </w:tcPr>
          <w:p w14:paraId="6AD02EF5" w14:textId="77777777" w:rsidR="00203F72" w:rsidRPr="00A53581" w:rsidRDefault="00203F72" w:rsidP="00D87D91">
            <w:r w:rsidRPr="00A53581">
              <w:t>訴訟權</w:t>
            </w:r>
          </w:p>
        </w:tc>
        <w:tc>
          <w:tcPr>
            <w:tcW w:w="947" w:type="pct"/>
            <w:shd w:val="clear" w:color="auto" w:fill="auto"/>
          </w:tcPr>
          <w:p w14:paraId="4FA6645D" w14:textId="77777777" w:rsidR="00203F72" w:rsidRPr="00A53581" w:rsidRDefault="00203F72" w:rsidP="00D87D91">
            <w:r w:rsidRPr="00A53581">
              <w:t>釋字</w:t>
            </w:r>
            <w:hyperlink r:id="rId2526" w:anchor="r430" w:history="1">
              <w:r w:rsidRPr="00754152">
                <w:rPr>
                  <w:rStyle w:val="a5"/>
                  <w:rFonts w:ascii="Times New Roman" w:eastAsia="新細明體" w:hAnsi="Times New Roman" w:hint="eastAsia"/>
                </w:rPr>
                <w:t>430</w:t>
              </w:r>
            </w:hyperlink>
            <w:r w:rsidRPr="00A53581">
              <w:rPr>
                <w:rFonts w:hint="eastAsia"/>
              </w:rPr>
              <w:t>、</w:t>
            </w:r>
            <w:hyperlink r:id="rId2527" w:anchor="r466" w:history="1">
              <w:r w:rsidRPr="00AD060F">
                <w:rPr>
                  <w:rStyle w:val="a5"/>
                  <w:rFonts w:ascii="Times New Roman" w:eastAsia="新細明體" w:hAnsi="Times New Roman" w:hint="eastAsia"/>
                </w:rPr>
                <w:t>466</w:t>
              </w:r>
            </w:hyperlink>
          </w:p>
        </w:tc>
      </w:tr>
      <w:tr w:rsidR="00203F72" w:rsidRPr="00A53581" w14:paraId="3AF1D92F" w14:textId="77777777" w:rsidTr="00203F72">
        <w:tc>
          <w:tcPr>
            <w:tcW w:w="359" w:type="pct"/>
            <w:vMerge/>
            <w:shd w:val="clear" w:color="auto" w:fill="auto"/>
          </w:tcPr>
          <w:p w14:paraId="6D397D42" w14:textId="77777777" w:rsidR="00203F72" w:rsidRPr="00A53581" w:rsidRDefault="00203F72" w:rsidP="00D87D91"/>
        </w:tc>
        <w:tc>
          <w:tcPr>
            <w:tcW w:w="719" w:type="pct"/>
            <w:vMerge/>
            <w:shd w:val="clear" w:color="auto" w:fill="auto"/>
          </w:tcPr>
          <w:p w14:paraId="51873799" w14:textId="77777777" w:rsidR="00203F72" w:rsidRPr="00A53581" w:rsidRDefault="00203F72" w:rsidP="00D87D91"/>
        </w:tc>
        <w:tc>
          <w:tcPr>
            <w:tcW w:w="984" w:type="pct"/>
            <w:shd w:val="clear" w:color="auto" w:fill="auto"/>
          </w:tcPr>
          <w:p w14:paraId="4B6CD4B4" w14:textId="77777777" w:rsidR="00203F72" w:rsidRPr="00A53581" w:rsidRDefault="00203F72" w:rsidP="00D87D91">
            <w:r w:rsidRPr="00A53581">
              <w:t>教育上</w:t>
            </w:r>
          </w:p>
        </w:tc>
        <w:tc>
          <w:tcPr>
            <w:tcW w:w="1991" w:type="pct"/>
            <w:shd w:val="clear" w:color="auto" w:fill="auto"/>
          </w:tcPr>
          <w:p w14:paraId="2928DB5A" w14:textId="77777777" w:rsidR="00203F72" w:rsidRPr="00A53581" w:rsidRDefault="00203F72" w:rsidP="00D87D91">
            <w:r w:rsidRPr="00A53581">
              <w:t>受國民教育權</w:t>
            </w:r>
          </w:p>
        </w:tc>
        <w:tc>
          <w:tcPr>
            <w:tcW w:w="947" w:type="pct"/>
            <w:shd w:val="clear" w:color="auto" w:fill="auto"/>
          </w:tcPr>
          <w:p w14:paraId="1F73DCFF" w14:textId="77777777" w:rsidR="00203F72" w:rsidRPr="00A53581" w:rsidRDefault="00203F72" w:rsidP="00D87D91"/>
        </w:tc>
      </w:tr>
      <w:tr w:rsidR="00203F72" w:rsidRPr="00A53581" w14:paraId="622004CC" w14:textId="77777777" w:rsidTr="00203F72">
        <w:tc>
          <w:tcPr>
            <w:tcW w:w="359" w:type="pct"/>
            <w:vMerge/>
            <w:shd w:val="clear" w:color="auto" w:fill="auto"/>
          </w:tcPr>
          <w:p w14:paraId="6B25C2E7" w14:textId="77777777" w:rsidR="00203F72" w:rsidRPr="00A53581" w:rsidRDefault="00203F72" w:rsidP="00D87D91"/>
        </w:tc>
        <w:tc>
          <w:tcPr>
            <w:tcW w:w="719" w:type="pct"/>
            <w:vMerge w:val="restart"/>
            <w:shd w:val="clear" w:color="auto" w:fill="auto"/>
          </w:tcPr>
          <w:p w14:paraId="22B3082A" w14:textId="77777777" w:rsidR="00203F72" w:rsidRPr="00A53581" w:rsidRDefault="00203F72" w:rsidP="00D87D91">
            <w:r w:rsidRPr="00A53581">
              <w:t>參政權</w:t>
            </w:r>
          </w:p>
        </w:tc>
        <w:tc>
          <w:tcPr>
            <w:tcW w:w="2975" w:type="pct"/>
            <w:gridSpan w:val="2"/>
            <w:shd w:val="clear" w:color="auto" w:fill="auto"/>
          </w:tcPr>
          <w:p w14:paraId="494CEAA1" w14:textId="77777777" w:rsidR="00203F72" w:rsidRPr="00A53581" w:rsidRDefault="00203F72" w:rsidP="00D87D91">
            <w:r w:rsidRPr="00A53581">
              <w:t>選舉</w:t>
            </w:r>
            <w:r w:rsidRPr="00A53581">
              <w:rPr>
                <w:rFonts w:hint="eastAsia"/>
              </w:rPr>
              <w:t>、罷免、創制及複決之權</w:t>
            </w:r>
          </w:p>
        </w:tc>
        <w:tc>
          <w:tcPr>
            <w:tcW w:w="947" w:type="pct"/>
            <w:vMerge w:val="restart"/>
            <w:shd w:val="clear" w:color="auto" w:fill="auto"/>
          </w:tcPr>
          <w:p w14:paraId="26D2053F" w14:textId="77777777" w:rsidR="00203F72" w:rsidRPr="00A53581" w:rsidRDefault="00203F72" w:rsidP="00D87D91">
            <w:r w:rsidRPr="00A53581">
              <w:rPr>
                <w:rFonts w:hint="eastAsia"/>
              </w:rPr>
              <w:t>釋字</w:t>
            </w:r>
            <w:hyperlink r:id="rId2528" w:anchor="r331" w:history="1">
              <w:r w:rsidRPr="00754152">
                <w:rPr>
                  <w:rStyle w:val="a5"/>
                  <w:rFonts w:ascii="Times New Roman" w:eastAsia="新細明體" w:hAnsi="Times New Roman" w:hint="eastAsia"/>
                </w:rPr>
                <w:t>331</w:t>
              </w:r>
            </w:hyperlink>
            <w:r w:rsidRPr="00A53581">
              <w:rPr>
                <w:rFonts w:hint="eastAsia"/>
              </w:rPr>
              <w:t>、</w:t>
            </w:r>
            <w:hyperlink r:id="rId2529" w:anchor="r468" w:history="1">
              <w:r w:rsidRPr="00AD060F">
                <w:rPr>
                  <w:rStyle w:val="a5"/>
                  <w:rFonts w:ascii="Times New Roman" w:eastAsia="新細明體" w:hAnsi="Times New Roman" w:hint="eastAsia"/>
                </w:rPr>
                <w:t>468</w:t>
              </w:r>
            </w:hyperlink>
          </w:p>
        </w:tc>
      </w:tr>
      <w:tr w:rsidR="00203F72" w:rsidRPr="00A53581" w14:paraId="535B7B17" w14:textId="77777777" w:rsidTr="00203F72">
        <w:tc>
          <w:tcPr>
            <w:tcW w:w="359" w:type="pct"/>
            <w:vMerge/>
            <w:shd w:val="clear" w:color="auto" w:fill="auto"/>
          </w:tcPr>
          <w:p w14:paraId="0164E7D2" w14:textId="77777777" w:rsidR="00203F72" w:rsidRPr="00A53581" w:rsidRDefault="00203F72" w:rsidP="00D87D91"/>
        </w:tc>
        <w:tc>
          <w:tcPr>
            <w:tcW w:w="719" w:type="pct"/>
            <w:vMerge/>
            <w:shd w:val="clear" w:color="auto" w:fill="auto"/>
          </w:tcPr>
          <w:p w14:paraId="171E115F" w14:textId="77777777" w:rsidR="00203F72" w:rsidRPr="00A53581" w:rsidRDefault="00203F72" w:rsidP="00D87D91"/>
        </w:tc>
        <w:tc>
          <w:tcPr>
            <w:tcW w:w="2975" w:type="pct"/>
            <w:gridSpan w:val="2"/>
            <w:shd w:val="clear" w:color="auto" w:fill="auto"/>
          </w:tcPr>
          <w:p w14:paraId="778D382F" w14:textId="77777777" w:rsidR="00203F72" w:rsidRPr="00A53581" w:rsidRDefault="00203F72" w:rsidP="00D87D91">
            <w:r w:rsidRPr="00A53581">
              <w:t>應考試服公職之權</w:t>
            </w:r>
          </w:p>
        </w:tc>
        <w:tc>
          <w:tcPr>
            <w:tcW w:w="947" w:type="pct"/>
            <w:vMerge/>
            <w:shd w:val="clear" w:color="auto" w:fill="auto"/>
          </w:tcPr>
          <w:p w14:paraId="7FB16422" w14:textId="77777777" w:rsidR="00203F72" w:rsidRPr="00A53581" w:rsidRDefault="00203F72" w:rsidP="00D87D91"/>
        </w:tc>
      </w:tr>
      <w:tr w:rsidR="00203F72" w:rsidRPr="00A53581" w14:paraId="675B47D5" w14:textId="77777777" w:rsidTr="00203F72">
        <w:tc>
          <w:tcPr>
            <w:tcW w:w="359" w:type="pct"/>
            <w:shd w:val="clear" w:color="auto" w:fill="auto"/>
          </w:tcPr>
          <w:p w14:paraId="778DFC3E" w14:textId="77777777" w:rsidR="00203F72" w:rsidRPr="00A53581" w:rsidRDefault="00203F72" w:rsidP="00D87D91"/>
        </w:tc>
        <w:tc>
          <w:tcPr>
            <w:tcW w:w="719" w:type="pct"/>
            <w:shd w:val="clear" w:color="auto" w:fill="auto"/>
          </w:tcPr>
          <w:p w14:paraId="1D12BD07" w14:textId="77777777" w:rsidR="00203F72" w:rsidRPr="00A53581" w:rsidRDefault="00203F72" w:rsidP="00D87D91">
            <w:r w:rsidRPr="00A53581">
              <w:t>非列舉權利</w:t>
            </w:r>
          </w:p>
        </w:tc>
        <w:tc>
          <w:tcPr>
            <w:tcW w:w="2975" w:type="pct"/>
            <w:gridSpan w:val="2"/>
            <w:shd w:val="clear" w:color="auto" w:fill="auto"/>
          </w:tcPr>
          <w:p w14:paraId="72EA7B99" w14:textId="77777777" w:rsidR="00203F72" w:rsidRPr="00A53581" w:rsidRDefault="00203F72" w:rsidP="00D87D91">
            <w:r w:rsidRPr="00A53581">
              <w:rPr>
                <w:rFonts w:hint="eastAsia"/>
              </w:rPr>
              <w:t>隱私權、婚姻自由、契約自由、姓名權、人格權、社會權、收養子女之自由權</w:t>
            </w:r>
          </w:p>
        </w:tc>
        <w:tc>
          <w:tcPr>
            <w:tcW w:w="947" w:type="pct"/>
            <w:shd w:val="clear" w:color="auto" w:fill="auto"/>
          </w:tcPr>
          <w:p w14:paraId="2894966B" w14:textId="77777777" w:rsidR="00203F72" w:rsidRPr="00A53581" w:rsidRDefault="00203F72" w:rsidP="00754152">
            <w:r w:rsidRPr="00A53581">
              <w:t>釋字</w:t>
            </w:r>
            <w:hyperlink r:id="rId2530" w:anchor="r362" w:history="1">
              <w:r w:rsidRPr="00754152">
                <w:rPr>
                  <w:rStyle w:val="a5"/>
                  <w:rFonts w:ascii="Times New Roman" w:eastAsia="新細明體" w:hAnsi="Times New Roman" w:hint="eastAsia"/>
                </w:rPr>
                <w:t>362</w:t>
              </w:r>
            </w:hyperlink>
            <w:r w:rsidRPr="00A53581">
              <w:rPr>
                <w:rFonts w:hint="eastAsia"/>
              </w:rPr>
              <w:t>、</w:t>
            </w:r>
            <w:hyperlink r:id="rId2531" w:anchor="r399" w:history="1">
              <w:r w:rsidRPr="00AD060F">
                <w:rPr>
                  <w:rStyle w:val="a5"/>
                  <w:rFonts w:ascii="Times New Roman" w:eastAsia="新細明體" w:hAnsi="Times New Roman" w:hint="eastAsia"/>
                </w:rPr>
                <w:t>399</w:t>
              </w:r>
            </w:hyperlink>
            <w:r w:rsidRPr="00A53581">
              <w:rPr>
                <w:rFonts w:hint="eastAsia"/>
              </w:rPr>
              <w:t>、</w:t>
            </w:r>
            <w:hyperlink r:id="rId2532" w:anchor="r580" w:history="1">
              <w:r w:rsidR="00754152">
                <w:rPr>
                  <w:rStyle w:val="a5"/>
                  <w:rFonts w:ascii="Times New Roman" w:eastAsia="新細明體" w:hAnsi="Times New Roman" w:hint="eastAsia"/>
                </w:rPr>
                <w:t>580</w:t>
              </w:r>
            </w:hyperlink>
            <w:r w:rsidRPr="00A53581">
              <w:rPr>
                <w:rFonts w:hint="eastAsia"/>
              </w:rPr>
              <w:t>、</w:t>
            </w:r>
            <w:hyperlink r:id="rId2533" w:anchor="r587" w:history="1">
              <w:r w:rsidRPr="00AD060F">
                <w:rPr>
                  <w:rStyle w:val="a5"/>
                  <w:rFonts w:ascii="Times New Roman" w:eastAsia="新細明體" w:hAnsi="Times New Roman" w:hint="eastAsia"/>
                </w:rPr>
                <w:t>587</w:t>
              </w:r>
            </w:hyperlink>
            <w:r w:rsidRPr="00A53581">
              <w:rPr>
                <w:rFonts w:hint="eastAsia"/>
              </w:rPr>
              <w:t>、</w:t>
            </w:r>
            <w:hyperlink r:id="rId2534" w:anchor="r603" w:history="1">
              <w:r w:rsidRPr="00AD060F">
                <w:rPr>
                  <w:rStyle w:val="a5"/>
                  <w:rFonts w:ascii="Times New Roman" w:eastAsia="新細明體" w:hAnsi="Times New Roman" w:hint="eastAsia"/>
                </w:rPr>
                <w:t>603</w:t>
              </w:r>
            </w:hyperlink>
          </w:p>
        </w:tc>
      </w:tr>
    </w:tbl>
    <w:p w14:paraId="33DFA2BA" w14:textId="77777777" w:rsidR="00953151" w:rsidRPr="00F90BE3" w:rsidRDefault="002107CE" w:rsidP="00D87D91">
      <w:r w:rsidRPr="00F90BE3">
        <w:t>【本表格資料來源】</w:t>
      </w:r>
      <w:r w:rsidR="00203F72" w:rsidRPr="00F90BE3">
        <w:t>廖其偉</w:t>
      </w:r>
      <w:r w:rsidR="00203F72" w:rsidRPr="00F90BE3">
        <w:t>(2011)</w:t>
      </w:r>
      <w:r w:rsidR="00203F72" w:rsidRPr="00F90BE3">
        <w:t>，中華民國憲法，初版，台北市：鼎文</w:t>
      </w:r>
      <w:r w:rsidR="00203F72" w:rsidRPr="00F90BE3">
        <w:rPr>
          <w:rFonts w:hint="eastAsia"/>
        </w:rPr>
        <w:t>書局</w:t>
      </w:r>
      <w:r w:rsidR="00203F72" w:rsidRPr="00F90BE3">
        <w:t>，第</w:t>
      </w:r>
      <w:r w:rsidR="00203F72" w:rsidRPr="00F90BE3">
        <w:rPr>
          <w:rFonts w:hint="eastAsia"/>
        </w:rPr>
        <w:t>64-</w:t>
      </w:r>
      <w:r w:rsidR="00203F72" w:rsidRPr="00F90BE3">
        <w:t>65</w:t>
      </w:r>
      <w:r w:rsidR="00203F72" w:rsidRPr="00F90BE3">
        <w:t>頁。本表經作者稍作增修。</w:t>
      </w:r>
    </w:p>
    <w:p w14:paraId="25728613" w14:textId="77777777" w:rsidR="00953151" w:rsidRPr="00F90BE3" w:rsidRDefault="001C3A2B" w:rsidP="00D87D91">
      <w:r w:rsidRPr="00F90BE3">
        <w:t xml:space="preserve">　　</w:t>
      </w:r>
      <w:r w:rsidR="00203F72" w:rsidRPr="00F90BE3">
        <w:t>再者，就</w:t>
      </w:r>
      <w:hyperlink r:id="rId2535" w:history="1">
        <w:r w:rsidR="00203F72" w:rsidRPr="001B1539">
          <w:rPr>
            <w:rStyle w:val="a5"/>
            <w:rFonts w:ascii="Times New Roman" w:hAnsi="Times New Roman"/>
          </w:rPr>
          <w:t>ICESCR</w:t>
        </w:r>
      </w:hyperlink>
      <w:r w:rsidR="00203F72" w:rsidRPr="00F90BE3">
        <w:t>而論，</w:t>
      </w:r>
      <w:hyperlink r:id="rId2536" w:history="1">
        <w:r w:rsidR="001B1539" w:rsidRPr="001B1539">
          <w:rPr>
            <w:rStyle w:val="a5"/>
            <w:rFonts w:ascii="Times New Roman" w:hAnsi="Times New Roman"/>
          </w:rPr>
          <w:t>ICESCR</w:t>
        </w:r>
      </w:hyperlink>
      <w:r w:rsidR="00203F72" w:rsidRPr="00F90BE3">
        <w:t>所規範之重要人權，如下所述：人民自決權利（</w:t>
      </w:r>
      <w:hyperlink r:id="rId2537" w:anchor="a1"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w:t>
        </w:r>
        <w:r w:rsidR="00203F72" w:rsidRPr="005532CF">
          <w:rPr>
            <w:rStyle w:val="a5"/>
            <w:rFonts w:ascii="Times New Roman" w:eastAsia="新細明體" w:hAnsi="Times New Roman"/>
          </w:rPr>
          <w:t>條</w:t>
        </w:r>
      </w:hyperlink>
      <w:r w:rsidR="00203F72" w:rsidRPr="00F90BE3">
        <w:t>）；反歧</w:t>
      </w:r>
      <w:r w:rsidR="003E240E">
        <w:t>視</w:t>
      </w:r>
      <w:r w:rsidR="00203F72" w:rsidRPr="00F90BE3">
        <w:t>原則；外國人之經濟權（</w:t>
      </w:r>
      <w:hyperlink r:id="rId2538" w:anchor="a2"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2</w:t>
        </w:r>
        <w:r w:rsidR="00203F72" w:rsidRPr="005532CF">
          <w:rPr>
            <w:rStyle w:val="a5"/>
            <w:rFonts w:ascii="Times New Roman" w:eastAsia="新細明體" w:hAnsi="Times New Roman"/>
          </w:rPr>
          <w:t>條</w:t>
        </w:r>
      </w:hyperlink>
      <w:r w:rsidR="00203F72" w:rsidRPr="00F90BE3">
        <w:t>）；男、女平等權（</w:t>
      </w:r>
      <w:hyperlink r:id="rId2539" w:anchor="a3"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3</w:t>
        </w:r>
        <w:r w:rsidR="00203F72" w:rsidRPr="005532CF">
          <w:rPr>
            <w:rStyle w:val="a5"/>
            <w:rFonts w:ascii="Times New Roman" w:eastAsia="新細明體" w:hAnsi="Times New Roman"/>
          </w:rPr>
          <w:t>條</w:t>
        </w:r>
        <w:r w:rsidR="005532CF" w:rsidRPr="00F90BE3">
          <w:t>）</w:t>
        </w:r>
      </w:hyperlink>
      <w:r w:rsidR="00203F72" w:rsidRPr="00F90BE3">
        <w:t>；工作權（</w:t>
      </w:r>
      <w:hyperlink r:id="rId2540" w:anchor="a6"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6</w:t>
        </w:r>
        <w:r w:rsidR="00203F72" w:rsidRPr="005532CF">
          <w:rPr>
            <w:rStyle w:val="a5"/>
            <w:rFonts w:ascii="Times New Roman" w:eastAsia="新細明體" w:hAnsi="Times New Roman"/>
          </w:rPr>
          <w:t>條</w:t>
        </w:r>
      </w:hyperlink>
      <w:r w:rsidR="00203F72" w:rsidRPr="00F90BE3">
        <w:t>）；工作條件（含同工同酬、安全、衛生、升遷、休息等）（</w:t>
      </w:r>
      <w:hyperlink r:id="rId2541" w:anchor="a7"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7</w:t>
        </w:r>
        <w:r w:rsidR="00203F72" w:rsidRPr="005532CF">
          <w:rPr>
            <w:rStyle w:val="a5"/>
            <w:rFonts w:ascii="Times New Roman" w:eastAsia="新細明體" w:hAnsi="Times New Roman"/>
          </w:rPr>
          <w:t>條</w:t>
        </w:r>
      </w:hyperlink>
      <w:r w:rsidR="00203F72" w:rsidRPr="00F90BE3">
        <w:t>）；工會權；罷工權；勞動權利（</w:t>
      </w:r>
      <w:hyperlink r:id="rId2542" w:anchor="a8"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8</w:t>
        </w:r>
        <w:r w:rsidR="00203F72" w:rsidRPr="005532CF">
          <w:rPr>
            <w:rStyle w:val="a5"/>
            <w:rFonts w:ascii="Times New Roman" w:eastAsia="新細明體" w:hAnsi="Times New Roman"/>
          </w:rPr>
          <w:t>條</w:t>
        </w:r>
      </w:hyperlink>
      <w:r w:rsidR="00203F72" w:rsidRPr="00F90BE3">
        <w:t>）；受社會保障權（</w:t>
      </w:r>
      <w:hyperlink r:id="rId2543" w:anchor="a9"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9</w:t>
        </w:r>
        <w:r w:rsidR="00203F72" w:rsidRPr="005532CF">
          <w:rPr>
            <w:rStyle w:val="a5"/>
            <w:rFonts w:ascii="Times New Roman" w:eastAsia="新細明體" w:hAnsi="Times New Roman"/>
          </w:rPr>
          <w:t>條</w:t>
        </w:r>
      </w:hyperlink>
      <w:r w:rsidR="00203F72" w:rsidRPr="00F90BE3">
        <w:t>）；家庭權；自由締婚權；保護母親；保護兒童（</w:t>
      </w:r>
      <w:hyperlink r:id="rId2544" w:anchor="a10"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10</w:t>
        </w:r>
        <w:r w:rsidR="00203F72" w:rsidRPr="005532CF">
          <w:rPr>
            <w:rStyle w:val="a5"/>
            <w:rFonts w:ascii="Times New Roman" w:eastAsia="新細明體" w:hAnsi="Times New Roman"/>
          </w:rPr>
          <w:t>條</w:t>
        </w:r>
      </w:hyperlink>
      <w:r w:rsidR="00203F72" w:rsidRPr="00F90BE3">
        <w:t>）；享受適當生活水準之生活權（</w:t>
      </w:r>
      <w:hyperlink r:id="rId2545" w:anchor="a11"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11</w:t>
        </w:r>
        <w:r w:rsidR="00203F72" w:rsidRPr="005532CF">
          <w:rPr>
            <w:rStyle w:val="a5"/>
            <w:rFonts w:ascii="Times New Roman" w:eastAsia="新細明體" w:hAnsi="Times New Roman"/>
          </w:rPr>
          <w:t>條</w:t>
        </w:r>
      </w:hyperlink>
      <w:r w:rsidR="00203F72" w:rsidRPr="00F90BE3">
        <w:t>）；享有最高標準身心健康之權利（</w:t>
      </w:r>
      <w:hyperlink r:id="rId2546" w:anchor="a12"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12</w:t>
        </w:r>
        <w:r w:rsidR="00203F72" w:rsidRPr="005532CF">
          <w:rPr>
            <w:rStyle w:val="a5"/>
            <w:rFonts w:ascii="Times New Roman" w:eastAsia="新細明體" w:hAnsi="Times New Roman"/>
          </w:rPr>
          <w:t>條</w:t>
        </w:r>
      </w:hyperlink>
      <w:r w:rsidR="00203F72" w:rsidRPr="00F90BE3">
        <w:t>）；受教育權利（</w:t>
      </w:r>
      <w:hyperlink r:id="rId2547" w:anchor="a13"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13</w:t>
        </w:r>
        <w:r w:rsidR="00203F72" w:rsidRPr="005532CF">
          <w:rPr>
            <w:rStyle w:val="a5"/>
            <w:rFonts w:ascii="Times New Roman" w:eastAsia="新細明體" w:hAnsi="Times New Roman"/>
          </w:rPr>
          <w:t>條</w:t>
        </w:r>
      </w:hyperlink>
      <w:r w:rsidR="00203F72" w:rsidRPr="00F90BE3">
        <w:t>）；參與文化生活權；享受由科學所產生之利益之權利；享有由科學、文學或藝術作品所產生之利益受保護之權利（</w:t>
      </w:r>
      <w:hyperlink r:id="rId2548" w:anchor="a15"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15</w:t>
        </w:r>
        <w:r w:rsidR="00203F72" w:rsidRPr="005532CF">
          <w:rPr>
            <w:rStyle w:val="a5"/>
            <w:rFonts w:ascii="Times New Roman" w:eastAsia="新細明體" w:hAnsi="Times New Roman"/>
          </w:rPr>
          <w:t>條</w:t>
        </w:r>
      </w:hyperlink>
      <w:r w:rsidR="00203F72" w:rsidRPr="00F90BE3">
        <w:t>）；享受天然財富與資源之固有權利（</w:t>
      </w:r>
      <w:hyperlink r:id="rId2549" w:anchor="a25"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25</w:t>
        </w:r>
        <w:r w:rsidR="00203F72" w:rsidRPr="005532CF">
          <w:rPr>
            <w:rStyle w:val="a5"/>
            <w:rFonts w:ascii="Times New Roman" w:eastAsia="新細明體" w:hAnsi="Times New Roman"/>
          </w:rPr>
          <w:t>條</w:t>
        </w:r>
      </w:hyperlink>
      <w:r w:rsidR="00203F72" w:rsidRPr="00F90BE3">
        <w:t>）。</w:t>
      </w:r>
    </w:p>
    <w:p w14:paraId="358E4BD6" w14:textId="77777777" w:rsidR="00953151" w:rsidRPr="00F90BE3" w:rsidRDefault="001C3A2B" w:rsidP="00D87D91">
      <w:r w:rsidRPr="00F90BE3">
        <w:t xml:space="preserve">　　</w:t>
      </w:r>
      <w:r w:rsidR="00203F72" w:rsidRPr="00F90BE3">
        <w:t>上述</w:t>
      </w:r>
      <w:hyperlink r:id="rId2550" w:history="1">
        <w:r w:rsidR="00F35C5F" w:rsidRPr="00F35C5F">
          <w:rPr>
            <w:rStyle w:val="a5"/>
          </w:rPr>
          <w:t>世界人權宣言</w:t>
        </w:r>
      </w:hyperlink>
      <w:r w:rsidR="00203F72" w:rsidRPr="00F90BE3">
        <w:t>、</w:t>
      </w:r>
      <w:hyperlink r:id="rId2551" w:history="1">
        <w:r w:rsidR="005532CF" w:rsidRPr="005532CF">
          <w:rPr>
            <w:rStyle w:val="a5"/>
            <w:rFonts w:ascii="Times New Roman" w:eastAsia="新細明體" w:hAnsi="Times New Roman"/>
          </w:rPr>
          <w:t>ICCPR</w:t>
        </w:r>
      </w:hyperlink>
      <w:r w:rsidR="00203F72" w:rsidRPr="00F90BE3">
        <w:t>與</w:t>
      </w:r>
      <w:hyperlink r:id="rId2552" w:history="1">
        <w:r w:rsidR="001B1539" w:rsidRPr="001B1539">
          <w:rPr>
            <w:rStyle w:val="a5"/>
            <w:rFonts w:ascii="Times New Roman" w:hAnsi="Times New Roman"/>
          </w:rPr>
          <w:t>ICESCR</w:t>
        </w:r>
      </w:hyperlink>
      <w:r w:rsidR="00203F72" w:rsidRPr="00F90BE3">
        <w:t>所列舉與保障之諸多權利，係屬於重大（要）之人權；這些極重要之人權，有必要明文規範於我國憲法之中。假若某項權利未受到憲法之明文列舉保障，在實際運用時，易被解為我國憲法並不承認此項權利，茲生眾多爭議；故比較良善之立憲機制，宜將</w:t>
      </w:r>
      <w:hyperlink r:id="rId2553" w:history="1">
        <w:r w:rsidR="00F35C5F" w:rsidRPr="00F35C5F">
          <w:rPr>
            <w:rStyle w:val="a5"/>
          </w:rPr>
          <w:t>世界人權宣言</w:t>
        </w:r>
      </w:hyperlink>
      <w:r w:rsidR="00203F72" w:rsidRPr="00F90BE3">
        <w:t>、</w:t>
      </w:r>
      <w:hyperlink r:id="rId2554" w:history="1">
        <w:r w:rsidR="005532CF" w:rsidRPr="005532CF">
          <w:rPr>
            <w:rStyle w:val="a5"/>
            <w:rFonts w:ascii="Times New Roman" w:eastAsia="新細明體" w:hAnsi="Times New Roman"/>
          </w:rPr>
          <w:t>ICCPR</w:t>
        </w:r>
      </w:hyperlink>
      <w:r w:rsidR="00203F72" w:rsidRPr="00F90BE3">
        <w:t>與</w:t>
      </w:r>
      <w:hyperlink r:id="rId2555" w:history="1">
        <w:r w:rsidR="001B1539" w:rsidRPr="001B1539">
          <w:rPr>
            <w:rStyle w:val="a5"/>
            <w:rFonts w:ascii="Times New Roman" w:hAnsi="Times New Roman"/>
          </w:rPr>
          <w:t>ICESCR</w:t>
        </w:r>
      </w:hyperlink>
      <w:r w:rsidR="00203F72" w:rsidRPr="00F90BE3">
        <w:t>明文列舉之重要人權，明示於我國憲法之中，以示保障。</w:t>
      </w:r>
    </w:p>
    <w:p w14:paraId="2F002EC7" w14:textId="77777777" w:rsidR="00145751" w:rsidRDefault="00145751" w:rsidP="00971142">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350F608F" w14:textId="77777777" w:rsidR="00145751" w:rsidRDefault="00145751" w:rsidP="00D87D91"/>
    <w:p w14:paraId="29F826BE" w14:textId="77777777" w:rsidR="00953151" w:rsidRDefault="00203F72" w:rsidP="00767F37">
      <w:pPr>
        <w:pStyle w:val="2"/>
      </w:pPr>
      <w:bookmarkStart w:id="129" w:name="_陸、我國憲法宜比照民主先進國家之立憲例，明文規範「廢止死刑」"/>
      <w:bookmarkEnd w:id="129"/>
      <w:r w:rsidRPr="00A53581">
        <w:t>陸、我國憲法宜比照民主先進國家之立憲例，明文規範「廢止死刑」</w:t>
      </w:r>
    </w:p>
    <w:p w14:paraId="2FF303DE" w14:textId="77777777" w:rsidR="00953151" w:rsidRPr="00F90BE3" w:rsidRDefault="00145751" w:rsidP="00D87D91">
      <w:r w:rsidRPr="00F90BE3">
        <w:rPr>
          <w:rFonts w:hint="eastAsia"/>
        </w:rPr>
        <w:t xml:space="preserve">　　</w:t>
      </w:r>
      <w:r w:rsidR="00203F72" w:rsidRPr="00F90BE3">
        <w:rPr>
          <w:rFonts w:hint="eastAsia"/>
        </w:rPr>
        <w:t>根據歐洲聯盟基本權利憲章</w:t>
      </w:r>
      <w:r w:rsidR="00203F72" w:rsidRPr="00F90BE3">
        <w:rPr>
          <w:rFonts w:hint="eastAsia"/>
        </w:rPr>
        <w:t>(</w:t>
      </w:r>
      <w:r w:rsidR="00203F72" w:rsidRPr="00F90BE3">
        <w:t>CHARTER OF FUNDAMENTAL RIGHTS OF THE EUROPEAN UNION</w:t>
      </w:r>
      <w:r w:rsidR="00203F72" w:rsidRPr="00F90BE3">
        <w:rPr>
          <w:rFonts w:hint="eastAsia"/>
        </w:rPr>
        <w:t xml:space="preserve">) </w:t>
      </w:r>
      <w:r w:rsidR="00203F72" w:rsidRPr="00F90BE3">
        <w:rPr>
          <w:rFonts w:hint="eastAsia"/>
        </w:rPr>
        <w:t>第二條</w:t>
      </w:r>
      <w:r w:rsidR="00203F72" w:rsidRPr="00F90BE3">
        <w:rPr>
          <w:rFonts w:hint="eastAsia"/>
        </w:rPr>
        <w:t>(Article 2</w:t>
      </w:r>
      <w:r w:rsidR="00203F72" w:rsidRPr="00F90BE3">
        <w:rPr>
          <w:rFonts w:hint="eastAsia"/>
        </w:rPr>
        <w:t>，</w:t>
      </w:r>
      <w:r w:rsidR="00203F72" w:rsidRPr="00F90BE3">
        <w:t>Right to life</w:t>
      </w:r>
      <w:r w:rsidR="00203F72" w:rsidRPr="00F90BE3">
        <w:t>，</w:t>
      </w:r>
      <w:r w:rsidR="00203F72" w:rsidRPr="00F90BE3">
        <w:rPr>
          <w:rFonts w:hint="eastAsia"/>
        </w:rPr>
        <w:t>生命權</w:t>
      </w:r>
      <w:r w:rsidR="00203F72" w:rsidRPr="00F90BE3">
        <w:rPr>
          <w:rFonts w:hint="eastAsia"/>
        </w:rPr>
        <w:t>)</w:t>
      </w:r>
      <w:r w:rsidR="00203F72" w:rsidRPr="00F90BE3">
        <w:rPr>
          <w:rFonts w:hint="eastAsia"/>
        </w:rPr>
        <w:t>第</w:t>
      </w:r>
      <w:r w:rsidR="00203F72" w:rsidRPr="00F90BE3">
        <w:rPr>
          <w:rFonts w:hint="eastAsia"/>
        </w:rPr>
        <w:t>1</w:t>
      </w:r>
      <w:r w:rsidR="00203F72" w:rsidRPr="00F90BE3">
        <w:rPr>
          <w:rFonts w:hint="eastAsia"/>
        </w:rPr>
        <w:t>項之規定，「人人均享有生命權」</w:t>
      </w:r>
      <w:r w:rsidR="00203F72" w:rsidRPr="00F90BE3">
        <w:rPr>
          <w:rFonts w:hint="eastAsia"/>
        </w:rPr>
        <w:t>(</w:t>
      </w:r>
      <w:r w:rsidR="00203F72" w:rsidRPr="00F90BE3">
        <w:t>Everyone has the right to life</w:t>
      </w:r>
      <w:r w:rsidR="00203F72" w:rsidRPr="00F90BE3">
        <w:rPr>
          <w:rFonts w:hint="eastAsia"/>
        </w:rPr>
        <w:t>)</w:t>
      </w:r>
      <w:r w:rsidR="00203F72" w:rsidRPr="00F90BE3">
        <w:rPr>
          <w:rFonts w:hint="eastAsia"/>
        </w:rPr>
        <w:t>，為了落實此一規範，同條第</w:t>
      </w:r>
      <w:r w:rsidR="00203F72" w:rsidRPr="00F90BE3">
        <w:rPr>
          <w:rFonts w:hint="eastAsia"/>
        </w:rPr>
        <w:t>2</w:t>
      </w:r>
      <w:r w:rsidR="00203F72" w:rsidRPr="00F90BE3">
        <w:rPr>
          <w:rFonts w:hint="eastAsia"/>
        </w:rPr>
        <w:t>項則規定，「不論何人</w:t>
      </w:r>
      <w:r w:rsidR="00203F72" w:rsidRPr="00F90BE3">
        <w:rPr>
          <w:rFonts w:hint="eastAsia"/>
        </w:rPr>
        <w:t>(</w:t>
      </w:r>
      <w:r w:rsidR="00203F72" w:rsidRPr="00F90BE3">
        <w:t>No one</w:t>
      </w:r>
      <w:r w:rsidR="00203F72" w:rsidRPr="00F90BE3">
        <w:rPr>
          <w:rFonts w:hint="eastAsia"/>
        </w:rPr>
        <w:t>)</w:t>
      </w:r>
      <w:r w:rsidR="00203F72" w:rsidRPr="00F90BE3">
        <w:rPr>
          <w:rFonts w:hint="eastAsia"/>
        </w:rPr>
        <w:t>均不受死刑判決或受死刑執行</w:t>
      </w:r>
      <w:r w:rsidR="00203F72" w:rsidRPr="00F90BE3">
        <w:rPr>
          <w:rFonts w:hint="eastAsia"/>
        </w:rPr>
        <w:t>(</w:t>
      </w:r>
      <w:r w:rsidR="00203F72" w:rsidRPr="00F90BE3">
        <w:t>shall be condemned to the death penalty, or executed</w:t>
      </w:r>
      <w:r w:rsidR="00203F72" w:rsidRPr="00F90BE3">
        <w:rPr>
          <w:rFonts w:hint="eastAsia"/>
        </w:rPr>
        <w:t>)</w:t>
      </w:r>
      <w:r w:rsidR="00203F72" w:rsidRPr="00F90BE3">
        <w:rPr>
          <w:rFonts w:hint="eastAsia"/>
        </w:rPr>
        <w:t>」</w:t>
      </w:r>
      <w:r w:rsidR="00203F72" w:rsidRPr="00F90BE3">
        <w:footnoteReference w:id="1038"/>
      </w:r>
      <w:r w:rsidR="00545D58" w:rsidRPr="00F90BE3">
        <w:t>。</w:t>
      </w:r>
    </w:p>
    <w:p w14:paraId="18E82202" w14:textId="77777777" w:rsidR="00953151" w:rsidRPr="00F90BE3" w:rsidRDefault="001C3A2B" w:rsidP="00D87D91">
      <w:r w:rsidRPr="00F90BE3">
        <w:rPr>
          <w:rFonts w:hint="eastAsia"/>
        </w:rPr>
        <w:t xml:space="preserve">　　</w:t>
      </w:r>
      <w:r w:rsidR="00203F72" w:rsidRPr="00F90BE3">
        <w:rPr>
          <w:rFonts w:hint="eastAsia"/>
        </w:rPr>
        <w:t>為何</w:t>
      </w:r>
      <w:r w:rsidR="00203F72" w:rsidRPr="00F90BE3">
        <w:t>我國憲法應宜比照民主先進國家之立憲例，明文規範「廢止死刑」？在此，本書擬利用我國實證調查統計之數據結果，加以論</w:t>
      </w:r>
      <w:r w:rsidR="00203F72" w:rsidRPr="00F90BE3">
        <w:rPr>
          <w:rFonts w:hint="eastAsia"/>
        </w:rPr>
        <w:t>述</w:t>
      </w:r>
      <w:r w:rsidR="00203F72" w:rsidRPr="00F90BE3">
        <w:t>之。在死刑之長期嚇阻效應之「同時模式」方面，針對「絶對數模式」部分而言，在「總體」上，同一年度之</w:t>
      </w:r>
      <w:r w:rsidR="00203F72" w:rsidRPr="00F90BE3">
        <w:t>8</w:t>
      </w:r>
      <w:r w:rsidR="00203F72" w:rsidRPr="00F90BE3">
        <w:t>個自變項中的「被執行死刑人數」的多寡，並「未」影響同一年度的總犯罪。亦即，執行死刑之機制，並不會對同一年度的總犯罪率造成影響力。在「個體效應」方面，當同一年度，因殺人犯罪而被法務部執行死刑人數愈多時，同一年度內，殺人犯罪率則會愈高。亦即，在同一年度內因殺人而被執行死刑人數愈多，愈會衝高同一年度內的殺人犯罪率。</w:t>
      </w:r>
    </w:p>
    <w:p w14:paraId="1C6D6FB6" w14:textId="77777777" w:rsidR="00953151" w:rsidRPr="00F90BE3" w:rsidRDefault="001C3A2B" w:rsidP="00D87D91">
      <w:r w:rsidRPr="00F90BE3">
        <w:t xml:space="preserve">　　</w:t>
      </w:r>
      <w:r w:rsidR="00203F72" w:rsidRPr="00F90BE3">
        <w:t>在強姦犯罪率方面，因強姦被執行死刑之人數，對於同一年度內之強姦犯罪率，並無作用力。在暴力性財產方面，因暴力性財產犯罪被執行死刑之人數，對於同一年度內之暴力性財產犯罪率，並無作用力；亦即，無抑制效果。就擄人勒贖犯罪而論，因「擄人勒贖被執行死刑人數」之自變項，對於同一年度內之擄人勒贖犯罪率，並無統計上之作用力。是以，在「同時模式」中之「絶對數模式」部分，所得到之重大結論，係因殺人犯罪而被執行死刑之機制，不僅無法抑制殺人犯罪率，更甚者，會促長殺人犯罪率。</w:t>
      </w:r>
    </w:p>
    <w:p w14:paraId="2D634973" w14:textId="77777777" w:rsidR="00953151" w:rsidRPr="00F90BE3" w:rsidRDefault="001C3A2B" w:rsidP="00D87D91">
      <w:r w:rsidRPr="00F90BE3">
        <w:t xml:space="preserve">　　</w:t>
      </w:r>
      <w:r w:rsidR="00203F72" w:rsidRPr="00F90BE3">
        <w:t>換言之，死刑無法嚇阻殺人犯罪；死刑之機制，會促發犯人犯罪之發生。死刑之機制，對於抑制殺人犯罪而言，完全沒有任何實質的嚇阻作用力，反而是有負向的作用力。在「同時模式」中之「相對數模式」方面，所得到之重大結論，則亦為死刑之機制，會助長殺人犯罪率。死刑之機制，完全無法抑制殺人犯罪率。再者，死刑之機制，對於「總犯罪率」、「強姦犯罪率」、「暴力性財產犯罪率」與「擄人勒贖犯罪率」而論，均沒有統計上之作用力，亦即，沒有嚇阻與抑制效果。亦即，死刑對於上述之犯罪，無法發揮抑制力量。綜合「絶對數模式」與「相對數模式」之結果，本書發現，死刑會誘導、促進與提升殺人犯罪率。死刑對於殺人犯罪而論，未有任何實質性之嚇阻力道。</w:t>
      </w:r>
    </w:p>
    <w:p w14:paraId="55057A52" w14:textId="77777777" w:rsidR="00615247" w:rsidRDefault="00615247" w:rsidP="00D87D91"/>
    <w:p w14:paraId="4E3288CF" w14:textId="61235655" w:rsidR="00203F72" w:rsidRPr="00F90BE3" w:rsidRDefault="00B03E84" w:rsidP="00D87D91">
      <w:r w:rsidRPr="00F90BE3">
        <w:t>【</w:t>
      </w:r>
      <w:r w:rsidRPr="00F90BE3">
        <w:t>table</w:t>
      </w:r>
      <w:r w:rsidR="005E23E3" w:rsidRPr="00F90B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115</w:t>
      </w:r>
      <w:r w:rsidR="00076467">
        <w:rPr>
          <w:noProof/>
        </w:rPr>
        <w:fldChar w:fldCharType="end"/>
      </w:r>
      <w:r w:rsidR="00203F72" w:rsidRPr="00F90BE3">
        <w:t xml:space="preserve"> </w:t>
      </w:r>
      <w:r w:rsidR="00203F72" w:rsidRPr="00F90BE3">
        <w:t>我國執行死刑</w:t>
      </w:r>
      <w:r w:rsidR="00203F72" w:rsidRPr="00F90BE3">
        <w:t>(</w:t>
      </w:r>
      <w:r w:rsidR="00203F72" w:rsidRPr="00F90BE3">
        <w:t>自變項</w:t>
      </w:r>
      <w:r w:rsidR="00203F72" w:rsidRPr="00F90BE3">
        <w:t>)</w:t>
      </w:r>
      <w:r w:rsidR="00203F72" w:rsidRPr="00F90BE3">
        <w:t>對暴力犯罪</w:t>
      </w:r>
      <w:r w:rsidR="00203F72" w:rsidRPr="00F90BE3">
        <w:t>(</w:t>
      </w:r>
      <w:r w:rsidR="00203F72" w:rsidRPr="00F90BE3">
        <w:t>依變項</w:t>
      </w:r>
      <w:r w:rsidR="00203F72" w:rsidRPr="00F90BE3">
        <w:t>)</w:t>
      </w:r>
      <w:r w:rsidR="00203F72" w:rsidRPr="00F90BE3">
        <w:t>長期嚇阻效應綜合摘要表</w:t>
      </w:r>
      <w:r w:rsidR="00203F72" w:rsidRPr="00F90BE3">
        <w:t>(</w:t>
      </w:r>
      <w:r w:rsidR="00203F72" w:rsidRPr="00F90BE3">
        <w:t>同時模式</w:t>
      </w:r>
      <w:r w:rsidR="00203F72" w:rsidRPr="00F90BE3">
        <w:t xml:space="preserve">)(1961~1990)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531"/>
        <w:gridCol w:w="709"/>
        <w:gridCol w:w="709"/>
        <w:gridCol w:w="2551"/>
        <w:gridCol w:w="2835"/>
      </w:tblGrid>
      <w:tr w:rsidR="00203F72" w:rsidRPr="00A53581" w14:paraId="02517C9B" w14:textId="77777777" w:rsidTr="00615247">
        <w:trPr>
          <w:tblHeader/>
        </w:trPr>
        <w:tc>
          <w:tcPr>
            <w:tcW w:w="1985" w:type="dxa"/>
            <w:gridSpan w:val="3"/>
            <w:shd w:val="clear" w:color="auto" w:fill="FAF0FA"/>
          </w:tcPr>
          <w:p w14:paraId="03B7520F" w14:textId="77777777" w:rsidR="00203F72" w:rsidRPr="00A53581" w:rsidRDefault="00203F72" w:rsidP="00D87D91">
            <w:r w:rsidRPr="00A53581">
              <w:t>模式說明</w:t>
            </w:r>
          </w:p>
        </w:tc>
        <w:tc>
          <w:tcPr>
            <w:tcW w:w="3260" w:type="dxa"/>
            <w:gridSpan w:val="2"/>
            <w:shd w:val="clear" w:color="auto" w:fill="FAF0FA"/>
          </w:tcPr>
          <w:p w14:paraId="2AD3A94C" w14:textId="77777777" w:rsidR="00203F72" w:rsidRPr="00A53581" w:rsidRDefault="00203F72" w:rsidP="00D87D91">
            <w:r w:rsidRPr="00A53581">
              <w:t>模式目的</w:t>
            </w:r>
          </w:p>
        </w:tc>
        <w:tc>
          <w:tcPr>
            <w:tcW w:w="2835" w:type="dxa"/>
            <w:shd w:val="clear" w:color="auto" w:fill="FAF0FA"/>
          </w:tcPr>
          <w:p w14:paraId="151283A8" w14:textId="77777777" w:rsidR="00203F72" w:rsidRPr="00A53581" w:rsidRDefault="00203F72" w:rsidP="00D87D91">
            <w:r w:rsidRPr="00A53581">
              <w:t>研究發現</w:t>
            </w:r>
          </w:p>
        </w:tc>
      </w:tr>
      <w:tr w:rsidR="00203F72" w:rsidRPr="00A53581" w14:paraId="2F0B48DB" w14:textId="77777777" w:rsidTr="00203F72">
        <w:tc>
          <w:tcPr>
            <w:tcW w:w="745" w:type="dxa"/>
            <w:vMerge w:val="restart"/>
            <w:shd w:val="clear" w:color="auto" w:fill="auto"/>
          </w:tcPr>
          <w:p w14:paraId="0B25FF1C" w14:textId="77777777" w:rsidR="00203F72" w:rsidRPr="00A53581" w:rsidRDefault="00203F72" w:rsidP="00D87D91">
            <w:r w:rsidRPr="00A53581">
              <w:t>死刑之長期嚇阻效應</w:t>
            </w:r>
          </w:p>
        </w:tc>
        <w:tc>
          <w:tcPr>
            <w:tcW w:w="531" w:type="dxa"/>
            <w:vMerge w:val="restart"/>
            <w:shd w:val="clear" w:color="auto" w:fill="auto"/>
          </w:tcPr>
          <w:p w14:paraId="4BB87C83" w14:textId="77777777" w:rsidR="00203F72" w:rsidRPr="00A53581" w:rsidRDefault="00203F72" w:rsidP="00D87D91">
            <w:r w:rsidRPr="00A53581">
              <w:t>同時模式</w:t>
            </w:r>
          </w:p>
        </w:tc>
        <w:tc>
          <w:tcPr>
            <w:tcW w:w="709" w:type="dxa"/>
            <w:vMerge w:val="restart"/>
            <w:shd w:val="clear" w:color="auto" w:fill="auto"/>
          </w:tcPr>
          <w:p w14:paraId="7F8D85EB" w14:textId="77777777" w:rsidR="00203F72" w:rsidRPr="00A53581" w:rsidRDefault="00203F72" w:rsidP="00D87D91">
            <w:r w:rsidRPr="00A53581">
              <w:t>絕對數模式</w:t>
            </w:r>
          </w:p>
        </w:tc>
        <w:tc>
          <w:tcPr>
            <w:tcW w:w="709" w:type="dxa"/>
            <w:shd w:val="clear" w:color="auto" w:fill="auto"/>
          </w:tcPr>
          <w:p w14:paraId="73577F34" w14:textId="77777777" w:rsidR="00203F72" w:rsidRPr="00A53581" w:rsidRDefault="00203F72" w:rsidP="00D87D91">
            <w:r w:rsidRPr="00A53581">
              <w:t>總體</w:t>
            </w:r>
          </w:p>
        </w:tc>
        <w:tc>
          <w:tcPr>
            <w:tcW w:w="2551" w:type="dxa"/>
            <w:shd w:val="clear" w:color="auto" w:fill="auto"/>
          </w:tcPr>
          <w:p w14:paraId="7EB7F163" w14:textId="77777777" w:rsidR="00203F72" w:rsidRPr="00A53581" w:rsidRDefault="00203F72" w:rsidP="00D87D91">
            <w:r w:rsidRPr="00A53581">
              <w:t>同年八個自變項對同年總犯罪率</w:t>
            </w:r>
            <w:r w:rsidRPr="00A53581">
              <w:t>(</w:t>
            </w:r>
            <w:r w:rsidRPr="00A53581">
              <w:t>依變項</w:t>
            </w:r>
            <w:r w:rsidRPr="00A53581">
              <w:t>)</w:t>
            </w:r>
            <w:r w:rsidRPr="00A53581">
              <w:t>之影響</w:t>
            </w:r>
          </w:p>
        </w:tc>
        <w:tc>
          <w:tcPr>
            <w:tcW w:w="2835" w:type="dxa"/>
            <w:shd w:val="clear" w:color="auto" w:fill="auto"/>
          </w:tcPr>
          <w:p w14:paraId="71B45AC6" w14:textId="77777777" w:rsidR="00203F72" w:rsidRPr="00A53581" w:rsidRDefault="00203F72" w:rsidP="00D87D91">
            <w:r w:rsidRPr="00A53581">
              <w:t>被執行死刑人數</w:t>
            </w:r>
            <w:r w:rsidRPr="00A53581">
              <w:t>(</w:t>
            </w:r>
            <w:r w:rsidRPr="00A53581">
              <w:t>自變項</w:t>
            </w:r>
            <w:r w:rsidRPr="00A53581">
              <w:t>)</w:t>
            </w:r>
            <w:r w:rsidRPr="00A53581">
              <w:t>，未影響同年總犯罪率</w:t>
            </w:r>
            <w:r w:rsidRPr="00A53581">
              <w:t>(</w:t>
            </w:r>
            <w:r w:rsidRPr="00A53581">
              <w:t>依變項</w:t>
            </w:r>
            <w:r w:rsidRPr="00A53581">
              <w:t>)</w:t>
            </w:r>
          </w:p>
        </w:tc>
      </w:tr>
      <w:tr w:rsidR="00203F72" w:rsidRPr="00A53581" w14:paraId="709C4E2F" w14:textId="77777777" w:rsidTr="00203F72">
        <w:tc>
          <w:tcPr>
            <w:tcW w:w="745" w:type="dxa"/>
            <w:vMerge/>
            <w:shd w:val="clear" w:color="auto" w:fill="auto"/>
          </w:tcPr>
          <w:p w14:paraId="5EF6B4D3" w14:textId="77777777" w:rsidR="00203F72" w:rsidRPr="00A53581" w:rsidRDefault="00203F72" w:rsidP="00D87D91"/>
        </w:tc>
        <w:tc>
          <w:tcPr>
            <w:tcW w:w="531" w:type="dxa"/>
            <w:vMerge/>
            <w:shd w:val="clear" w:color="auto" w:fill="auto"/>
          </w:tcPr>
          <w:p w14:paraId="3983F67E" w14:textId="77777777" w:rsidR="00203F72" w:rsidRPr="00A53581" w:rsidRDefault="00203F72" w:rsidP="00D87D91"/>
        </w:tc>
        <w:tc>
          <w:tcPr>
            <w:tcW w:w="709" w:type="dxa"/>
            <w:vMerge/>
            <w:shd w:val="clear" w:color="auto" w:fill="auto"/>
          </w:tcPr>
          <w:p w14:paraId="16941292" w14:textId="77777777" w:rsidR="00203F72" w:rsidRPr="00A53581" w:rsidRDefault="00203F72" w:rsidP="00D87D91"/>
        </w:tc>
        <w:tc>
          <w:tcPr>
            <w:tcW w:w="709" w:type="dxa"/>
            <w:vMerge w:val="restart"/>
            <w:shd w:val="clear" w:color="auto" w:fill="auto"/>
          </w:tcPr>
          <w:p w14:paraId="499939DD" w14:textId="77777777" w:rsidR="00203F72" w:rsidRPr="00A53581" w:rsidRDefault="00203F72" w:rsidP="00D87D91">
            <w:r w:rsidRPr="00A53581">
              <w:t>個體</w:t>
            </w:r>
          </w:p>
        </w:tc>
        <w:tc>
          <w:tcPr>
            <w:tcW w:w="2551" w:type="dxa"/>
            <w:shd w:val="clear" w:color="auto" w:fill="auto"/>
          </w:tcPr>
          <w:p w14:paraId="164DB06D" w14:textId="77777777" w:rsidR="00203F72" w:rsidRPr="00A53581" w:rsidRDefault="00203F72" w:rsidP="00D87D91">
            <w:r w:rsidRPr="00A53581">
              <w:t>同年八個自變項對同年殺人犯罪率</w:t>
            </w:r>
            <w:r w:rsidRPr="00A53581">
              <w:t>(</w:t>
            </w:r>
            <w:r w:rsidRPr="00A53581">
              <w:t>依變項</w:t>
            </w:r>
            <w:r w:rsidRPr="00A53581">
              <w:t>)</w:t>
            </w:r>
            <w:r w:rsidRPr="00A53581">
              <w:t>之影響</w:t>
            </w:r>
          </w:p>
        </w:tc>
        <w:tc>
          <w:tcPr>
            <w:tcW w:w="2835" w:type="dxa"/>
            <w:shd w:val="clear" w:color="auto" w:fill="auto"/>
          </w:tcPr>
          <w:p w14:paraId="3D75F09B" w14:textId="77777777" w:rsidR="00203F72" w:rsidRPr="00A53581" w:rsidRDefault="00203F72" w:rsidP="00D87D91">
            <w:r w:rsidRPr="00A53581">
              <w:t>因殺人被執行死刑人數</w:t>
            </w:r>
            <w:r w:rsidRPr="00A53581">
              <w:t>(</w:t>
            </w:r>
            <w:r w:rsidRPr="00A53581">
              <w:t>自變項</w:t>
            </w:r>
            <w:r w:rsidRPr="00A53581">
              <w:t>)</w:t>
            </w:r>
            <w:r w:rsidRPr="00A53581">
              <w:t>愈多時，同年殺人犯罪率</w:t>
            </w:r>
            <w:r w:rsidRPr="00A53581">
              <w:t>(</w:t>
            </w:r>
            <w:r w:rsidRPr="00A53581">
              <w:t>依變項</w:t>
            </w:r>
            <w:r w:rsidRPr="00A53581">
              <w:t>)</w:t>
            </w:r>
            <w:r w:rsidRPr="00A53581">
              <w:t>愈高</w:t>
            </w:r>
          </w:p>
        </w:tc>
      </w:tr>
      <w:tr w:rsidR="00203F72" w:rsidRPr="00A53581" w14:paraId="4996A2A0" w14:textId="77777777" w:rsidTr="00203F72">
        <w:tc>
          <w:tcPr>
            <w:tcW w:w="745" w:type="dxa"/>
            <w:vMerge/>
            <w:shd w:val="clear" w:color="auto" w:fill="auto"/>
          </w:tcPr>
          <w:p w14:paraId="37706626" w14:textId="77777777" w:rsidR="00203F72" w:rsidRPr="00A53581" w:rsidRDefault="00203F72" w:rsidP="00D87D91"/>
        </w:tc>
        <w:tc>
          <w:tcPr>
            <w:tcW w:w="531" w:type="dxa"/>
            <w:vMerge/>
            <w:shd w:val="clear" w:color="auto" w:fill="auto"/>
          </w:tcPr>
          <w:p w14:paraId="6E0B8A0E" w14:textId="77777777" w:rsidR="00203F72" w:rsidRPr="00A53581" w:rsidRDefault="00203F72" w:rsidP="00D87D91"/>
        </w:tc>
        <w:tc>
          <w:tcPr>
            <w:tcW w:w="709" w:type="dxa"/>
            <w:vMerge/>
            <w:shd w:val="clear" w:color="auto" w:fill="auto"/>
          </w:tcPr>
          <w:p w14:paraId="4BBC3B83" w14:textId="77777777" w:rsidR="00203F72" w:rsidRPr="00A53581" w:rsidRDefault="00203F72" w:rsidP="00D87D91"/>
        </w:tc>
        <w:tc>
          <w:tcPr>
            <w:tcW w:w="709" w:type="dxa"/>
            <w:vMerge/>
            <w:shd w:val="clear" w:color="auto" w:fill="auto"/>
          </w:tcPr>
          <w:p w14:paraId="0F43F752" w14:textId="77777777" w:rsidR="00203F72" w:rsidRPr="00A53581" w:rsidRDefault="00203F72" w:rsidP="00D87D91"/>
        </w:tc>
        <w:tc>
          <w:tcPr>
            <w:tcW w:w="2551" w:type="dxa"/>
            <w:shd w:val="clear" w:color="auto" w:fill="auto"/>
          </w:tcPr>
          <w:p w14:paraId="3D73B964" w14:textId="77777777" w:rsidR="00203F72" w:rsidRPr="00A53581" w:rsidRDefault="00203F72" w:rsidP="00D87D91">
            <w:r w:rsidRPr="00A53581">
              <w:t>同年八個自變項對同年強姦犯罪率</w:t>
            </w:r>
            <w:r w:rsidRPr="00A53581">
              <w:t>(</w:t>
            </w:r>
            <w:r w:rsidRPr="00A53581">
              <w:t>依變項</w:t>
            </w:r>
            <w:r w:rsidRPr="00A53581">
              <w:t>)</w:t>
            </w:r>
            <w:r w:rsidRPr="00A53581">
              <w:t>之影響</w:t>
            </w:r>
          </w:p>
        </w:tc>
        <w:tc>
          <w:tcPr>
            <w:tcW w:w="2835" w:type="dxa"/>
            <w:shd w:val="clear" w:color="auto" w:fill="auto"/>
          </w:tcPr>
          <w:p w14:paraId="1B9BF870" w14:textId="77777777" w:rsidR="00203F72" w:rsidRPr="00A53581" w:rsidRDefault="00203F72" w:rsidP="00D87D91">
            <w:r w:rsidRPr="00A53581">
              <w:t>因強姦被執行死刑人數</w:t>
            </w:r>
            <w:r w:rsidRPr="00A53581">
              <w:t>(</w:t>
            </w:r>
            <w:r w:rsidRPr="00A53581">
              <w:t>自變項</w:t>
            </w:r>
            <w:r w:rsidRPr="00A53581">
              <w:t>)</w:t>
            </w:r>
            <w:r w:rsidRPr="00A53581">
              <w:t>，未影響同年強姦犯罪率</w:t>
            </w:r>
            <w:r w:rsidRPr="00A53581">
              <w:t>(</w:t>
            </w:r>
            <w:r w:rsidRPr="00A53581">
              <w:t>依變項</w:t>
            </w:r>
            <w:r w:rsidRPr="00A53581">
              <w:t>)</w:t>
            </w:r>
          </w:p>
        </w:tc>
      </w:tr>
      <w:tr w:rsidR="00203F72" w:rsidRPr="00A53581" w14:paraId="40D4A903" w14:textId="77777777" w:rsidTr="00203F72">
        <w:tc>
          <w:tcPr>
            <w:tcW w:w="745" w:type="dxa"/>
            <w:vMerge/>
            <w:shd w:val="clear" w:color="auto" w:fill="auto"/>
          </w:tcPr>
          <w:p w14:paraId="32E9A7F9" w14:textId="77777777" w:rsidR="00203F72" w:rsidRPr="00A53581" w:rsidRDefault="00203F72" w:rsidP="00D87D91"/>
        </w:tc>
        <w:tc>
          <w:tcPr>
            <w:tcW w:w="531" w:type="dxa"/>
            <w:vMerge/>
            <w:shd w:val="clear" w:color="auto" w:fill="auto"/>
          </w:tcPr>
          <w:p w14:paraId="48DDB8C0" w14:textId="77777777" w:rsidR="00203F72" w:rsidRPr="00A53581" w:rsidRDefault="00203F72" w:rsidP="00D87D91"/>
        </w:tc>
        <w:tc>
          <w:tcPr>
            <w:tcW w:w="709" w:type="dxa"/>
            <w:vMerge/>
            <w:shd w:val="clear" w:color="auto" w:fill="auto"/>
          </w:tcPr>
          <w:p w14:paraId="7D05678D" w14:textId="77777777" w:rsidR="00203F72" w:rsidRPr="00A53581" w:rsidRDefault="00203F72" w:rsidP="00D87D91"/>
        </w:tc>
        <w:tc>
          <w:tcPr>
            <w:tcW w:w="709" w:type="dxa"/>
            <w:vMerge/>
            <w:shd w:val="clear" w:color="auto" w:fill="auto"/>
          </w:tcPr>
          <w:p w14:paraId="53628934" w14:textId="77777777" w:rsidR="00203F72" w:rsidRPr="00A53581" w:rsidRDefault="00203F72" w:rsidP="00D87D91"/>
        </w:tc>
        <w:tc>
          <w:tcPr>
            <w:tcW w:w="2551" w:type="dxa"/>
            <w:shd w:val="clear" w:color="auto" w:fill="auto"/>
          </w:tcPr>
          <w:p w14:paraId="063668D6" w14:textId="77777777" w:rsidR="00203F72" w:rsidRPr="00A53581" w:rsidRDefault="00203F72" w:rsidP="00D87D91">
            <w:r w:rsidRPr="00A53581">
              <w:t>同年八個自變項對同年暴力性財產犯罪率之影響</w:t>
            </w:r>
          </w:p>
        </w:tc>
        <w:tc>
          <w:tcPr>
            <w:tcW w:w="2835" w:type="dxa"/>
            <w:shd w:val="clear" w:color="auto" w:fill="auto"/>
          </w:tcPr>
          <w:p w14:paraId="70607E28" w14:textId="77777777" w:rsidR="00203F72" w:rsidRPr="00A53581" w:rsidRDefault="00203F72" w:rsidP="00D87D91">
            <w:r w:rsidRPr="00A53581">
              <w:t>因暴力性財產犯罪被執行死刑人數</w:t>
            </w:r>
            <w:r w:rsidRPr="00A53581">
              <w:t>(</w:t>
            </w:r>
            <w:r w:rsidRPr="00A53581">
              <w:t>自變項</w:t>
            </w:r>
            <w:r w:rsidRPr="00A53581">
              <w:t>)</w:t>
            </w:r>
            <w:r w:rsidRPr="00A53581">
              <w:t>，未影響同年暴力性財產犯罪率</w:t>
            </w:r>
            <w:r w:rsidRPr="00A53581">
              <w:t>(</w:t>
            </w:r>
            <w:r w:rsidRPr="00A53581">
              <w:t>依變項</w:t>
            </w:r>
            <w:r w:rsidRPr="00A53581">
              <w:t>)</w:t>
            </w:r>
          </w:p>
        </w:tc>
      </w:tr>
      <w:tr w:rsidR="00203F72" w:rsidRPr="00A53581" w14:paraId="2913FB5E" w14:textId="77777777" w:rsidTr="00203F72">
        <w:tc>
          <w:tcPr>
            <w:tcW w:w="745" w:type="dxa"/>
            <w:vMerge/>
            <w:shd w:val="clear" w:color="auto" w:fill="auto"/>
          </w:tcPr>
          <w:p w14:paraId="3964A1E5" w14:textId="77777777" w:rsidR="00203F72" w:rsidRPr="00A53581" w:rsidRDefault="00203F72" w:rsidP="00D87D91"/>
        </w:tc>
        <w:tc>
          <w:tcPr>
            <w:tcW w:w="531" w:type="dxa"/>
            <w:vMerge/>
            <w:shd w:val="clear" w:color="auto" w:fill="auto"/>
          </w:tcPr>
          <w:p w14:paraId="64A3A4CE" w14:textId="77777777" w:rsidR="00203F72" w:rsidRPr="00A53581" w:rsidRDefault="00203F72" w:rsidP="00D87D91"/>
        </w:tc>
        <w:tc>
          <w:tcPr>
            <w:tcW w:w="709" w:type="dxa"/>
            <w:vMerge/>
            <w:shd w:val="clear" w:color="auto" w:fill="auto"/>
          </w:tcPr>
          <w:p w14:paraId="74F67223" w14:textId="77777777" w:rsidR="00203F72" w:rsidRPr="00A53581" w:rsidRDefault="00203F72" w:rsidP="00D87D91"/>
        </w:tc>
        <w:tc>
          <w:tcPr>
            <w:tcW w:w="709" w:type="dxa"/>
            <w:vMerge/>
            <w:shd w:val="clear" w:color="auto" w:fill="auto"/>
          </w:tcPr>
          <w:p w14:paraId="2D8599DC" w14:textId="77777777" w:rsidR="00203F72" w:rsidRPr="00A53581" w:rsidRDefault="00203F72" w:rsidP="00D87D91"/>
        </w:tc>
        <w:tc>
          <w:tcPr>
            <w:tcW w:w="2551" w:type="dxa"/>
            <w:shd w:val="clear" w:color="auto" w:fill="auto"/>
          </w:tcPr>
          <w:p w14:paraId="796C4B2F" w14:textId="77777777" w:rsidR="00203F72" w:rsidRPr="00A53581" w:rsidRDefault="00203F72" w:rsidP="00D87D91">
            <w:r w:rsidRPr="00A53581">
              <w:t>同年八個自變項對同年擄人勒贖犯罪率</w:t>
            </w:r>
            <w:r w:rsidRPr="00A53581">
              <w:t>(</w:t>
            </w:r>
            <w:r w:rsidRPr="00A53581">
              <w:t>依變項</w:t>
            </w:r>
            <w:r w:rsidRPr="00A53581">
              <w:t>)</w:t>
            </w:r>
            <w:r w:rsidRPr="00A53581">
              <w:t>之影響</w:t>
            </w:r>
          </w:p>
        </w:tc>
        <w:tc>
          <w:tcPr>
            <w:tcW w:w="2835" w:type="dxa"/>
            <w:shd w:val="clear" w:color="auto" w:fill="auto"/>
          </w:tcPr>
          <w:p w14:paraId="4A8D481A" w14:textId="77777777" w:rsidR="00203F72" w:rsidRPr="00A53581" w:rsidRDefault="00203F72" w:rsidP="00D87D91">
            <w:r w:rsidRPr="00A53581">
              <w:t>因擄人勒贖被執行死刑人數</w:t>
            </w:r>
            <w:r w:rsidRPr="00A53581">
              <w:t>(</w:t>
            </w:r>
            <w:r w:rsidRPr="00A53581">
              <w:t>自變項</w:t>
            </w:r>
            <w:r w:rsidRPr="00A53581">
              <w:t>)</w:t>
            </w:r>
            <w:r w:rsidRPr="00A53581">
              <w:t>，未影響同年擄人勒贖犯罪率</w:t>
            </w:r>
            <w:r w:rsidRPr="00A53581">
              <w:t>(</w:t>
            </w:r>
            <w:r w:rsidRPr="00A53581">
              <w:t>依變項</w:t>
            </w:r>
            <w:r w:rsidRPr="00A53581">
              <w:t>)</w:t>
            </w:r>
          </w:p>
        </w:tc>
      </w:tr>
      <w:tr w:rsidR="00203F72" w:rsidRPr="00A53581" w14:paraId="4D7B97B1" w14:textId="77777777" w:rsidTr="00203F72">
        <w:tc>
          <w:tcPr>
            <w:tcW w:w="745" w:type="dxa"/>
            <w:vMerge/>
            <w:shd w:val="clear" w:color="auto" w:fill="auto"/>
          </w:tcPr>
          <w:p w14:paraId="7E9F0A87" w14:textId="77777777" w:rsidR="00203F72" w:rsidRPr="00A53581" w:rsidRDefault="00203F72" w:rsidP="00D87D91"/>
        </w:tc>
        <w:tc>
          <w:tcPr>
            <w:tcW w:w="531" w:type="dxa"/>
            <w:vMerge/>
            <w:shd w:val="clear" w:color="auto" w:fill="auto"/>
          </w:tcPr>
          <w:p w14:paraId="3663E4E4" w14:textId="77777777" w:rsidR="00203F72" w:rsidRPr="00A53581" w:rsidRDefault="00203F72" w:rsidP="00D87D91"/>
        </w:tc>
        <w:tc>
          <w:tcPr>
            <w:tcW w:w="709" w:type="dxa"/>
            <w:vMerge w:val="restart"/>
            <w:shd w:val="clear" w:color="auto" w:fill="auto"/>
          </w:tcPr>
          <w:p w14:paraId="3150BE72" w14:textId="77777777" w:rsidR="00203F72" w:rsidRPr="00A53581" w:rsidRDefault="00203F72" w:rsidP="00D87D91">
            <w:r w:rsidRPr="00A53581">
              <w:t>相對數模式</w:t>
            </w:r>
          </w:p>
        </w:tc>
        <w:tc>
          <w:tcPr>
            <w:tcW w:w="709" w:type="dxa"/>
            <w:shd w:val="clear" w:color="auto" w:fill="auto"/>
          </w:tcPr>
          <w:p w14:paraId="01A6D710" w14:textId="77777777" w:rsidR="00203F72" w:rsidRPr="00A53581" w:rsidRDefault="00203F72" w:rsidP="00D87D91">
            <w:r w:rsidRPr="00A53581">
              <w:t>總體</w:t>
            </w:r>
          </w:p>
        </w:tc>
        <w:tc>
          <w:tcPr>
            <w:tcW w:w="2551" w:type="dxa"/>
            <w:shd w:val="clear" w:color="auto" w:fill="auto"/>
          </w:tcPr>
          <w:p w14:paraId="78952466" w14:textId="77777777" w:rsidR="00203F72" w:rsidRPr="00A53581" w:rsidRDefault="00203F72" w:rsidP="00D87D91">
            <w:r w:rsidRPr="00A53581">
              <w:t>同年八個自變項之變化，對同年總犯罪率變化</w:t>
            </w:r>
            <w:r w:rsidRPr="00A53581">
              <w:t>(</w:t>
            </w:r>
            <w:r w:rsidRPr="00A53581">
              <w:t>依變項</w:t>
            </w:r>
            <w:r w:rsidRPr="00A53581">
              <w:t>)</w:t>
            </w:r>
            <w:r w:rsidRPr="00A53581">
              <w:t>之影響</w:t>
            </w:r>
          </w:p>
        </w:tc>
        <w:tc>
          <w:tcPr>
            <w:tcW w:w="2835" w:type="dxa"/>
            <w:shd w:val="clear" w:color="auto" w:fill="auto"/>
          </w:tcPr>
          <w:p w14:paraId="0CA267FA" w14:textId="77777777" w:rsidR="00203F72" w:rsidRPr="00A53581" w:rsidRDefault="00203F72" w:rsidP="00D87D91">
            <w:r w:rsidRPr="00A53581">
              <w:t>被執行死刑人數之變化</w:t>
            </w:r>
            <w:r w:rsidRPr="00A53581">
              <w:t>(</w:t>
            </w:r>
            <w:r w:rsidRPr="00A53581">
              <w:t>自變項</w:t>
            </w:r>
            <w:r w:rsidRPr="00A53581">
              <w:t>)</w:t>
            </w:r>
            <w:r w:rsidRPr="00A53581">
              <w:t>未影響同年總犯罪率之變化</w:t>
            </w:r>
            <w:r w:rsidRPr="00A53581">
              <w:t>(</w:t>
            </w:r>
            <w:r w:rsidRPr="00A53581">
              <w:t>依變項</w:t>
            </w:r>
            <w:r w:rsidRPr="00A53581">
              <w:t>)</w:t>
            </w:r>
          </w:p>
        </w:tc>
      </w:tr>
      <w:tr w:rsidR="00203F72" w:rsidRPr="00A53581" w14:paraId="7A61E811" w14:textId="77777777" w:rsidTr="00203F72">
        <w:tc>
          <w:tcPr>
            <w:tcW w:w="745" w:type="dxa"/>
            <w:vMerge/>
            <w:shd w:val="clear" w:color="auto" w:fill="auto"/>
          </w:tcPr>
          <w:p w14:paraId="19775225" w14:textId="77777777" w:rsidR="00203F72" w:rsidRPr="00A53581" w:rsidRDefault="00203F72" w:rsidP="00D87D91"/>
        </w:tc>
        <w:tc>
          <w:tcPr>
            <w:tcW w:w="531" w:type="dxa"/>
            <w:vMerge/>
            <w:shd w:val="clear" w:color="auto" w:fill="auto"/>
          </w:tcPr>
          <w:p w14:paraId="11971E0D" w14:textId="77777777" w:rsidR="00203F72" w:rsidRPr="00A53581" w:rsidRDefault="00203F72" w:rsidP="00D87D91"/>
        </w:tc>
        <w:tc>
          <w:tcPr>
            <w:tcW w:w="709" w:type="dxa"/>
            <w:vMerge/>
            <w:shd w:val="clear" w:color="auto" w:fill="auto"/>
          </w:tcPr>
          <w:p w14:paraId="6D688C92" w14:textId="77777777" w:rsidR="00203F72" w:rsidRPr="00A53581" w:rsidRDefault="00203F72" w:rsidP="00D87D91"/>
        </w:tc>
        <w:tc>
          <w:tcPr>
            <w:tcW w:w="709" w:type="dxa"/>
            <w:vMerge w:val="restart"/>
            <w:shd w:val="clear" w:color="auto" w:fill="auto"/>
          </w:tcPr>
          <w:p w14:paraId="5EE5B18D" w14:textId="77777777" w:rsidR="00203F72" w:rsidRPr="00A53581" w:rsidRDefault="00203F72" w:rsidP="00D87D91">
            <w:r w:rsidRPr="00A53581">
              <w:t>個體</w:t>
            </w:r>
          </w:p>
        </w:tc>
        <w:tc>
          <w:tcPr>
            <w:tcW w:w="2551" w:type="dxa"/>
            <w:shd w:val="clear" w:color="auto" w:fill="auto"/>
          </w:tcPr>
          <w:p w14:paraId="2CD95972" w14:textId="77777777" w:rsidR="00203F72" w:rsidRPr="00A53581" w:rsidRDefault="00203F72" w:rsidP="00D87D91">
            <w:r w:rsidRPr="00A53581">
              <w:t>同年八個自變項之變化，對同年殺人犯罪率變化</w:t>
            </w:r>
            <w:r w:rsidRPr="00A53581">
              <w:t>(</w:t>
            </w:r>
            <w:r w:rsidRPr="00A53581">
              <w:t>依變項</w:t>
            </w:r>
            <w:r w:rsidRPr="00A53581">
              <w:t>)</w:t>
            </w:r>
            <w:r w:rsidRPr="00A53581">
              <w:t>之影響</w:t>
            </w:r>
          </w:p>
        </w:tc>
        <w:tc>
          <w:tcPr>
            <w:tcW w:w="2835" w:type="dxa"/>
            <w:shd w:val="clear" w:color="auto" w:fill="auto"/>
          </w:tcPr>
          <w:p w14:paraId="2949417C" w14:textId="77777777" w:rsidR="00203F72" w:rsidRPr="00A53581" w:rsidRDefault="00203F72" w:rsidP="00D87D91">
            <w:r w:rsidRPr="00A53581">
              <w:t>因殺人被執行死刑人數之變化</w:t>
            </w:r>
            <w:r w:rsidRPr="00A53581">
              <w:t>(</w:t>
            </w:r>
            <w:r w:rsidRPr="00A53581">
              <w:t>自變項</w:t>
            </w:r>
            <w:r w:rsidRPr="00A53581">
              <w:t>)</w:t>
            </w:r>
            <w:r w:rsidRPr="00A53581">
              <w:t>愈大時，同年殺人犯罪率之變化</w:t>
            </w:r>
            <w:r w:rsidRPr="00A53581">
              <w:t>(</w:t>
            </w:r>
            <w:r w:rsidRPr="00A53581">
              <w:t>依變項</w:t>
            </w:r>
            <w:r w:rsidRPr="00A53581">
              <w:t>)</w:t>
            </w:r>
            <w:r w:rsidRPr="00A53581">
              <w:t>也愈大；因殺人被執行死刑人數之變化</w:t>
            </w:r>
            <w:r w:rsidRPr="00A53581">
              <w:t>(</w:t>
            </w:r>
            <w:r w:rsidRPr="00A53581">
              <w:t>自變項</w:t>
            </w:r>
            <w:r w:rsidRPr="00A53581">
              <w:t>)</w:t>
            </w:r>
            <w:r w:rsidRPr="00A53581">
              <w:t>愈多時，同年殺人犯罪率之變化</w:t>
            </w:r>
            <w:r w:rsidRPr="00A53581">
              <w:t>(</w:t>
            </w:r>
            <w:r w:rsidRPr="00A53581">
              <w:t>依變項</w:t>
            </w:r>
            <w:r w:rsidRPr="00A53581">
              <w:t>)</w:t>
            </w:r>
            <w:r w:rsidRPr="00A53581">
              <w:t>也愈高</w:t>
            </w:r>
          </w:p>
        </w:tc>
      </w:tr>
      <w:tr w:rsidR="00203F72" w:rsidRPr="00A53581" w14:paraId="4AE152C8" w14:textId="77777777" w:rsidTr="00203F72">
        <w:tc>
          <w:tcPr>
            <w:tcW w:w="745" w:type="dxa"/>
            <w:vMerge/>
            <w:shd w:val="clear" w:color="auto" w:fill="auto"/>
          </w:tcPr>
          <w:p w14:paraId="1910D2F5" w14:textId="77777777" w:rsidR="00203F72" w:rsidRPr="00A53581" w:rsidRDefault="00203F72" w:rsidP="00D87D91"/>
        </w:tc>
        <w:tc>
          <w:tcPr>
            <w:tcW w:w="531" w:type="dxa"/>
            <w:vMerge/>
            <w:shd w:val="clear" w:color="auto" w:fill="auto"/>
          </w:tcPr>
          <w:p w14:paraId="3579C15E" w14:textId="77777777" w:rsidR="00203F72" w:rsidRPr="00A53581" w:rsidRDefault="00203F72" w:rsidP="00D87D91"/>
        </w:tc>
        <w:tc>
          <w:tcPr>
            <w:tcW w:w="709" w:type="dxa"/>
            <w:vMerge/>
            <w:shd w:val="clear" w:color="auto" w:fill="auto"/>
          </w:tcPr>
          <w:p w14:paraId="1AFC0E1D" w14:textId="77777777" w:rsidR="00203F72" w:rsidRPr="00A53581" w:rsidRDefault="00203F72" w:rsidP="00D87D91"/>
        </w:tc>
        <w:tc>
          <w:tcPr>
            <w:tcW w:w="709" w:type="dxa"/>
            <w:vMerge/>
            <w:shd w:val="clear" w:color="auto" w:fill="auto"/>
          </w:tcPr>
          <w:p w14:paraId="52B635A4" w14:textId="77777777" w:rsidR="00203F72" w:rsidRPr="00A53581" w:rsidRDefault="00203F72" w:rsidP="00D87D91"/>
        </w:tc>
        <w:tc>
          <w:tcPr>
            <w:tcW w:w="2551" w:type="dxa"/>
            <w:shd w:val="clear" w:color="auto" w:fill="auto"/>
          </w:tcPr>
          <w:p w14:paraId="3334BCE1" w14:textId="77777777" w:rsidR="00203F72" w:rsidRPr="00A53581" w:rsidRDefault="00203F72" w:rsidP="00D87D91">
            <w:r w:rsidRPr="00A53581">
              <w:t>同年八個自變項之變化，對同年強姦犯罪率變化之影響</w:t>
            </w:r>
          </w:p>
        </w:tc>
        <w:tc>
          <w:tcPr>
            <w:tcW w:w="2835" w:type="dxa"/>
            <w:shd w:val="clear" w:color="auto" w:fill="auto"/>
          </w:tcPr>
          <w:p w14:paraId="093ED796" w14:textId="77777777" w:rsidR="00203F72" w:rsidRPr="00A53581" w:rsidRDefault="00203F72" w:rsidP="00D87D91">
            <w:r w:rsidRPr="00A53581">
              <w:t>因強姦被執行死刑人數之變化</w:t>
            </w:r>
            <w:r w:rsidRPr="00A53581">
              <w:t>(</w:t>
            </w:r>
            <w:r w:rsidRPr="00A53581">
              <w:t>自變項</w:t>
            </w:r>
            <w:r w:rsidRPr="00A53581">
              <w:t>)</w:t>
            </w:r>
            <w:r w:rsidRPr="00A53581">
              <w:t>，未影響同年強姦犯罪率之變化</w:t>
            </w:r>
            <w:r w:rsidRPr="00A53581">
              <w:t>(</w:t>
            </w:r>
            <w:r w:rsidRPr="00A53581">
              <w:t>依變項</w:t>
            </w:r>
            <w:r w:rsidRPr="00A53581">
              <w:t>)</w:t>
            </w:r>
          </w:p>
        </w:tc>
      </w:tr>
      <w:tr w:rsidR="00203F72" w:rsidRPr="00A53581" w14:paraId="20F52EAE" w14:textId="77777777" w:rsidTr="00203F72">
        <w:tc>
          <w:tcPr>
            <w:tcW w:w="745" w:type="dxa"/>
            <w:vMerge/>
            <w:shd w:val="clear" w:color="auto" w:fill="auto"/>
          </w:tcPr>
          <w:p w14:paraId="4131B2D3" w14:textId="77777777" w:rsidR="00203F72" w:rsidRPr="00A53581" w:rsidRDefault="00203F72" w:rsidP="00D87D91"/>
        </w:tc>
        <w:tc>
          <w:tcPr>
            <w:tcW w:w="531" w:type="dxa"/>
            <w:vMerge/>
            <w:shd w:val="clear" w:color="auto" w:fill="auto"/>
          </w:tcPr>
          <w:p w14:paraId="2AA61F45" w14:textId="77777777" w:rsidR="00203F72" w:rsidRPr="00A53581" w:rsidRDefault="00203F72" w:rsidP="00D87D91"/>
        </w:tc>
        <w:tc>
          <w:tcPr>
            <w:tcW w:w="709" w:type="dxa"/>
            <w:vMerge/>
            <w:shd w:val="clear" w:color="auto" w:fill="auto"/>
          </w:tcPr>
          <w:p w14:paraId="420A7302" w14:textId="77777777" w:rsidR="00203F72" w:rsidRPr="00A53581" w:rsidRDefault="00203F72" w:rsidP="00D87D91"/>
        </w:tc>
        <w:tc>
          <w:tcPr>
            <w:tcW w:w="709" w:type="dxa"/>
            <w:vMerge/>
            <w:shd w:val="clear" w:color="auto" w:fill="auto"/>
          </w:tcPr>
          <w:p w14:paraId="25EADE82" w14:textId="77777777" w:rsidR="00203F72" w:rsidRPr="00A53581" w:rsidRDefault="00203F72" w:rsidP="00D87D91"/>
        </w:tc>
        <w:tc>
          <w:tcPr>
            <w:tcW w:w="2551" w:type="dxa"/>
            <w:shd w:val="clear" w:color="auto" w:fill="auto"/>
          </w:tcPr>
          <w:p w14:paraId="3E66DF58" w14:textId="77777777" w:rsidR="00203F72" w:rsidRPr="00A53581" w:rsidRDefault="00203F72" w:rsidP="00D87D91">
            <w:r w:rsidRPr="00A53581">
              <w:t>同年八個自變項之變化，對同年暴力性財產犯罪率變化</w:t>
            </w:r>
            <w:r w:rsidRPr="00A53581">
              <w:t>(</w:t>
            </w:r>
            <w:r w:rsidRPr="00A53581">
              <w:t>依變項</w:t>
            </w:r>
            <w:r w:rsidRPr="00A53581">
              <w:t>)</w:t>
            </w:r>
            <w:r w:rsidRPr="00A53581">
              <w:t>之影響</w:t>
            </w:r>
          </w:p>
        </w:tc>
        <w:tc>
          <w:tcPr>
            <w:tcW w:w="2835" w:type="dxa"/>
            <w:shd w:val="clear" w:color="auto" w:fill="auto"/>
          </w:tcPr>
          <w:p w14:paraId="0B92FCB4" w14:textId="77777777" w:rsidR="00203F72" w:rsidRPr="00A53581" w:rsidRDefault="00203F72" w:rsidP="00D87D91">
            <w:r w:rsidRPr="00A53581">
              <w:t>因暴力性財產犯罪被執行死刑人數之變化</w:t>
            </w:r>
            <w:r w:rsidRPr="00A53581">
              <w:t>(</w:t>
            </w:r>
            <w:r w:rsidRPr="00A53581">
              <w:t>自變項</w:t>
            </w:r>
            <w:r w:rsidRPr="00A53581">
              <w:t>)</w:t>
            </w:r>
            <w:r w:rsidRPr="00A53581">
              <w:t>，未影響同年暴力性財產犯罪率之變化</w:t>
            </w:r>
            <w:r w:rsidRPr="00A53581">
              <w:t>(</w:t>
            </w:r>
            <w:r w:rsidRPr="00A53581">
              <w:t>依變項</w:t>
            </w:r>
            <w:r w:rsidRPr="00A53581">
              <w:t>)</w:t>
            </w:r>
          </w:p>
        </w:tc>
      </w:tr>
      <w:tr w:rsidR="00203F72" w:rsidRPr="00A53581" w14:paraId="6133A3B8" w14:textId="77777777" w:rsidTr="00203F72">
        <w:tc>
          <w:tcPr>
            <w:tcW w:w="745" w:type="dxa"/>
            <w:vMerge/>
            <w:shd w:val="clear" w:color="auto" w:fill="auto"/>
          </w:tcPr>
          <w:p w14:paraId="790C7FE8" w14:textId="77777777" w:rsidR="00203F72" w:rsidRPr="00A53581" w:rsidRDefault="00203F72" w:rsidP="00D87D91"/>
        </w:tc>
        <w:tc>
          <w:tcPr>
            <w:tcW w:w="531" w:type="dxa"/>
            <w:vMerge/>
            <w:shd w:val="clear" w:color="auto" w:fill="auto"/>
          </w:tcPr>
          <w:p w14:paraId="6F93D80C" w14:textId="77777777" w:rsidR="00203F72" w:rsidRPr="00A53581" w:rsidRDefault="00203F72" w:rsidP="00D87D91"/>
        </w:tc>
        <w:tc>
          <w:tcPr>
            <w:tcW w:w="709" w:type="dxa"/>
            <w:vMerge/>
            <w:shd w:val="clear" w:color="auto" w:fill="auto"/>
          </w:tcPr>
          <w:p w14:paraId="15D42C70" w14:textId="77777777" w:rsidR="00203F72" w:rsidRPr="00A53581" w:rsidRDefault="00203F72" w:rsidP="00D87D91"/>
        </w:tc>
        <w:tc>
          <w:tcPr>
            <w:tcW w:w="709" w:type="dxa"/>
            <w:vMerge/>
            <w:shd w:val="clear" w:color="auto" w:fill="auto"/>
          </w:tcPr>
          <w:p w14:paraId="07B983B5" w14:textId="77777777" w:rsidR="00203F72" w:rsidRPr="00A53581" w:rsidRDefault="00203F72" w:rsidP="00D87D91"/>
        </w:tc>
        <w:tc>
          <w:tcPr>
            <w:tcW w:w="2551" w:type="dxa"/>
            <w:shd w:val="clear" w:color="auto" w:fill="auto"/>
          </w:tcPr>
          <w:p w14:paraId="72FE6103" w14:textId="77777777" w:rsidR="00203F72" w:rsidRPr="00A53581" w:rsidRDefault="00203F72" w:rsidP="00D87D91">
            <w:r w:rsidRPr="00A53581">
              <w:t>同年八個自變項之變化，對同年擄人勒贖犯罪率變化</w:t>
            </w:r>
            <w:r w:rsidRPr="00A53581">
              <w:t>(</w:t>
            </w:r>
            <w:r w:rsidRPr="00A53581">
              <w:t>依變項</w:t>
            </w:r>
            <w:r w:rsidRPr="00A53581">
              <w:t>)</w:t>
            </w:r>
            <w:r w:rsidRPr="00A53581">
              <w:t>之影響</w:t>
            </w:r>
          </w:p>
        </w:tc>
        <w:tc>
          <w:tcPr>
            <w:tcW w:w="2835" w:type="dxa"/>
            <w:shd w:val="clear" w:color="auto" w:fill="auto"/>
          </w:tcPr>
          <w:p w14:paraId="23DC9B04" w14:textId="77777777" w:rsidR="00203F72" w:rsidRPr="00A53581" w:rsidRDefault="00203F72" w:rsidP="00D87D91">
            <w:r w:rsidRPr="00A53581">
              <w:t>因擄人勒贖被執行死刑人數之變化</w:t>
            </w:r>
            <w:r w:rsidRPr="00A53581">
              <w:t>(</w:t>
            </w:r>
            <w:r w:rsidRPr="00A53581">
              <w:t>自變項</w:t>
            </w:r>
            <w:r w:rsidRPr="00A53581">
              <w:t>)</w:t>
            </w:r>
            <w:r w:rsidRPr="00A53581">
              <w:t>，未影響同年擄人勒贖犯罪率之變化</w:t>
            </w:r>
            <w:r w:rsidRPr="00A53581">
              <w:t>(</w:t>
            </w:r>
            <w:r w:rsidRPr="00A53581">
              <w:t>依變項</w:t>
            </w:r>
            <w:r w:rsidRPr="00A53581">
              <w:t>)</w:t>
            </w:r>
          </w:p>
        </w:tc>
      </w:tr>
    </w:tbl>
    <w:p w14:paraId="151CBDB0" w14:textId="77777777" w:rsidR="00203F72" w:rsidRPr="00A53581" w:rsidRDefault="00353CFF" w:rsidP="00D87D91">
      <w:r>
        <w:t>【註】</w:t>
      </w:r>
      <w:r w:rsidR="00203F72" w:rsidRPr="00A53581">
        <w:t>本表格之資料來源，係為</w:t>
      </w:r>
      <w:r w:rsidR="00D92F56">
        <w:t>〜</w:t>
      </w:r>
      <w:r w:rsidR="00203F72" w:rsidRPr="00A53581">
        <w:t>許春金、吳景芳、李湧清、曾正一、許金標、蔡田木</w:t>
      </w:r>
      <w:r w:rsidR="00203F72" w:rsidRPr="00A53581">
        <w:t>(1994)</w:t>
      </w:r>
      <w:r w:rsidR="00203F72" w:rsidRPr="00A53581">
        <w:t>，死刑存廢之探討，台北：行政院研究發展考核委員會編印，頁</w:t>
      </w:r>
      <w:r w:rsidR="00203F72" w:rsidRPr="00A53581">
        <w:t>107</w:t>
      </w:r>
      <w:r w:rsidR="00203F72" w:rsidRPr="00A53581">
        <w:t>，並經由作者重新改寫與闡釋其統計實證數據之意義。</w:t>
      </w:r>
    </w:p>
    <w:p w14:paraId="0AA5B560" w14:textId="77777777" w:rsidR="00203F72" w:rsidRPr="00A53581" w:rsidRDefault="00203F72" w:rsidP="00D87D91"/>
    <w:p w14:paraId="122BCC57" w14:textId="77777777" w:rsidR="00953151" w:rsidRPr="00F90BE3" w:rsidRDefault="001C3A2B" w:rsidP="00D87D91">
      <w:r w:rsidRPr="00F90BE3">
        <w:t xml:space="preserve">　　</w:t>
      </w:r>
      <w:r w:rsidR="00203F72" w:rsidRPr="00F90BE3">
        <w:t>於下述之「我國執行死刑對暴力犯罪長期嚇阻效應綜合摘要表（墮後模式）」之中，在死刑之長期嚇阻效應之「墮後模式」方面，針對「絶對數模式」部分而言，前一年被執行死刑之人數，對於後一年之「總犯罪率」、「殺人犯罪率」、「強姦犯罪率」、「暴力性財產犯罪率」與「擄人勒贖犯罪率」，均未有統計上之作用力。</w:t>
      </w:r>
    </w:p>
    <w:p w14:paraId="354ADC61" w14:textId="77777777" w:rsidR="00953151" w:rsidRPr="00F90BE3" w:rsidRDefault="001C3A2B" w:rsidP="00D87D91">
      <w:r w:rsidRPr="00F90BE3">
        <w:t xml:space="preserve">　　</w:t>
      </w:r>
      <w:r w:rsidR="00203F72" w:rsidRPr="00F90BE3">
        <w:t>換言之，死刑對於殺人犯罪率而言，並未產生統計上之負向抑制作用力，即此種之作用力，並未達到統計上之顯著水準；死刑對於「強姦犯罪率」而言，並未產生統計上之負向抑制作用力，即此種之作用力，並未達到統計上之顯著水準。死刑對於「暴力性財產犯罪率」而言，並未產生統計上之負向抑制作用力，即此種之作用力，並未達到統計上之顯著水準。死刑對於「擄人勒贖犯罪率」而言，並未產生統計上之負向抑制作用力，即此種之作用力，並未達到統計上之顯著水準。死刑對於總整之犯罪率而論，並未發揮嚇阻與抑制之作用力。上述之重大結論之一，係死刑之機制，無法嚇阻殺人犯罪之發生。死刑對於嚇阻殺人犯罪之發生而論，係屬一種無用之機制</w:t>
      </w:r>
      <w:r w:rsidR="00545D58" w:rsidRPr="00F90BE3">
        <w:t>。</w:t>
      </w:r>
    </w:p>
    <w:p w14:paraId="13F5469D" w14:textId="77777777" w:rsidR="00203F72" w:rsidRPr="00F90BE3" w:rsidRDefault="001C3A2B" w:rsidP="00D87D91">
      <w:r w:rsidRPr="00F90BE3">
        <w:t xml:space="preserve">　　</w:t>
      </w:r>
      <w:r w:rsidR="00203F72" w:rsidRPr="00F90BE3">
        <w:t>在「相對數模式」方面，前一年被執行死刑人數之變化，對於後一年「總犯罪率之變化」、「殺人犯罪率之變化」、「強姦犯罪率之變化」、「暴力性財產犯罪率」與「擄人勒贖犯罪率之變化」，均未有統計上之作用力。亦即，死刑對於殺人犯罪而論，並無法產生嚇阻作用力。」</w:t>
      </w:r>
    </w:p>
    <w:p w14:paraId="43A2B28D" w14:textId="77777777" w:rsidR="00953151" w:rsidRPr="00F90BE3" w:rsidRDefault="001C3A2B" w:rsidP="00D87D91">
      <w:r w:rsidRPr="00F90BE3">
        <w:t xml:space="preserve">　　</w:t>
      </w:r>
      <w:r w:rsidR="00203F72" w:rsidRPr="00F90BE3">
        <w:t>綜上，就死刑之「長期性」嚇阻與抑制效應而言，可發現死刑會促長「同一年度內」之殺人犯罪；在墮後模式方面，死刑對於「後一年度」之殺人犯罪而言，則「無法」發揮嚇阻作用力。死刑對於抑制同一年度及下一年度之殺人犯罪而言，可謂毫無作用力。</w:t>
      </w:r>
    </w:p>
    <w:p w14:paraId="53A8A9EE" w14:textId="77777777" w:rsidR="00615247" w:rsidRDefault="00615247" w:rsidP="00D87D91"/>
    <w:p w14:paraId="088C0015" w14:textId="0557124C" w:rsidR="00203F72" w:rsidRPr="00F90BE3" w:rsidRDefault="00B03E84" w:rsidP="00D87D91">
      <w:r w:rsidRPr="00F90BE3">
        <w:t>【</w:t>
      </w:r>
      <w:r w:rsidRPr="00F90BE3">
        <w:t>table</w:t>
      </w:r>
      <w:r w:rsidR="005E23E3" w:rsidRPr="00F90B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116</w:t>
      </w:r>
      <w:r w:rsidR="00076467">
        <w:rPr>
          <w:noProof/>
        </w:rPr>
        <w:fldChar w:fldCharType="end"/>
      </w:r>
      <w:r w:rsidR="00203F72" w:rsidRPr="00F90BE3">
        <w:t>我國執行死刑</w:t>
      </w:r>
      <w:r w:rsidR="00203F72" w:rsidRPr="00F90BE3">
        <w:t>(</w:t>
      </w:r>
      <w:r w:rsidR="00203F72" w:rsidRPr="00F90BE3">
        <w:t>自變項</w:t>
      </w:r>
      <w:r w:rsidR="00203F72" w:rsidRPr="00F90BE3">
        <w:t>)</w:t>
      </w:r>
      <w:r w:rsidR="00203F72" w:rsidRPr="00F90BE3">
        <w:t>對暴力犯罪</w:t>
      </w:r>
      <w:r w:rsidR="00203F72" w:rsidRPr="00F90BE3">
        <w:t>(</w:t>
      </w:r>
      <w:r w:rsidR="00203F72" w:rsidRPr="00F90BE3">
        <w:t>依變項</w:t>
      </w:r>
      <w:r w:rsidR="00203F72" w:rsidRPr="00F90BE3">
        <w:t>)</w:t>
      </w:r>
      <w:r w:rsidR="00203F72" w:rsidRPr="00F90BE3">
        <w:t>「長期嚇阻效應」綜合摘要表</w:t>
      </w:r>
      <w:r w:rsidR="00203F72" w:rsidRPr="00F90BE3">
        <w:t>(</w:t>
      </w:r>
      <w:r w:rsidR="00203F72" w:rsidRPr="00F90BE3">
        <w:t>墮後模式</w:t>
      </w:r>
      <w:r w:rsidR="00203F72" w:rsidRPr="00F90BE3">
        <w:t>) (1961~1990)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709"/>
        <w:gridCol w:w="567"/>
        <w:gridCol w:w="2693"/>
        <w:gridCol w:w="3544"/>
      </w:tblGrid>
      <w:tr w:rsidR="00203F72" w:rsidRPr="00A53581" w14:paraId="4C8E619B" w14:textId="77777777" w:rsidTr="00971142">
        <w:trPr>
          <w:tblHeader/>
        </w:trPr>
        <w:tc>
          <w:tcPr>
            <w:tcW w:w="1418" w:type="dxa"/>
            <w:gridSpan w:val="2"/>
            <w:shd w:val="clear" w:color="auto" w:fill="FAF0FA"/>
          </w:tcPr>
          <w:p w14:paraId="7DEBD953" w14:textId="77777777" w:rsidR="00203F72" w:rsidRPr="00A53581" w:rsidRDefault="00203F72" w:rsidP="00D87D91">
            <w:r w:rsidRPr="00A53581">
              <w:t>模式說明</w:t>
            </w:r>
          </w:p>
        </w:tc>
        <w:tc>
          <w:tcPr>
            <w:tcW w:w="3260" w:type="dxa"/>
            <w:gridSpan w:val="2"/>
            <w:shd w:val="clear" w:color="auto" w:fill="FAF0FA"/>
          </w:tcPr>
          <w:p w14:paraId="5BFD5217" w14:textId="77777777" w:rsidR="00203F72" w:rsidRPr="00A53581" w:rsidRDefault="00203F72" w:rsidP="00D87D91">
            <w:r w:rsidRPr="00A53581">
              <w:t>模式目的</w:t>
            </w:r>
            <w:r w:rsidRPr="00A53581">
              <w:t xml:space="preserve"> </w:t>
            </w:r>
          </w:p>
        </w:tc>
        <w:tc>
          <w:tcPr>
            <w:tcW w:w="3544" w:type="dxa"/>
            <w:shd w:val="clear" w:color="auto" w:fill="FAF0FA"/>
          </w:tcPr>
          <w:p w14:paraId="20432FD2" w14:textId="77777777" w:rsidR="00203F72" w:rsidRPr="00A53581" w:rsidRDefault="00203F72" w:rsidP="00D87D91">
            <w:r w:rsidRPr="00A53581">
              <w:t>研究發現</w:t>
            </w:r>
          </w:p>
        </w:tc>
      </w:tr>
      <w:tr w:rsidR="00203F72" w:rsidRPr="00A53581" w14:paraId="0381DB1B" w14:textId="77777777" w:rsidTr="00971142">
        <w:tc>
          <w:tcPr>
            <w:tcW w:w="709" w:type="dxa"/>
            <w:vMerge w:val="restart"/>
            <w:shd w:val="clear" w:color="auto" w:fill="auto"/>
          </w:tcPr>
          <w:p w14:paraId="0D435ABE" w14:textId="77777777" w:rsidR="00203F72" w:rsidRPr="00A53581" w:rsidRDefault="00203F72" w:rsidP="00D87D91">
            <w:r w:rsidRPr="00A53581">
              <w:t>墮後模式</w:t>
            </w:r>
          </w:p>
        </w:tc>
        <w:tc>
          <w:tcPr>
            <w:tcW w:w="709" w:type="dxa"/>
            <w:vMerge w:val="restart"/>
            <w:shd w:val="clear" w:color="auto" w:fill="auto"/>
          </w:tcPr>
          <w:p w14:paraId="6BFCDFEC" w14:textId="77777777" w:rsidR="00203F72" w:rsidRPr="00A53581" w:rsidRDefault="00203F72" w:rsidP="00D87D91">
            <w:r w:rsidRPr="00A53581">
              <w:t>絕對數模式</w:t>
            </w:r>
          </w:p>
        </w:tc>
        <w:tc>
          <w:tcPr>
            <w:tcW w:w="567" w:type="dxa"/>
            <w:shd w:val="clear" w:color="auto" w:fill="auto"/>
          </w:tcPr>
          <w:p w14:paraId="5F2743B7" w14:textId="77777777" w:rsidR="00203F72" w:rsidRPr="00A53581" w:rsidRDefault="00203F72" w:rsidP="00D87D91">
            <w:r w:rsidRPr="00A53581">
              <w:t>總體</w:t>
            </w:r>
          </w:p>
        </w:tc>
        <w:tc>
          <w:tcPr>
            <w:tcW w:w="2693" w:type="dxa"/>
            <w:shd w:val="clear" w:color="auto" w:fill="auto"/>
          </w:tcPr>
          <w:p w14:paraId="005D9B60" w14:textId="77777777" w:rsidR="00203F72" w:rsidRPr="00A53581" w:rsidRDefault="00203F72" w:rsidP="00D87D91">
            <w:r w:rsidRPr="00A53581">
              <w:t>前一年八個自變項對後一年總犯罪率</w:t>
            </w:r>
            <w:r w:rsidRPr="00A53581">
              <w:t>(</w:t>
            </w:r>
            <w:r w:rsidRPr="00A53581">
              <w:t>依變項</w:t>
            </w:r>
            <w:r w:rsidRPr="00A53581">
              <w:t>)</w:t>
            </w:r>
            <w:r w:rsidRPr="00A53581">
              <w:t>之影響</w:t>
            </w:r>
          </w:p>
        </w:tc>
        <w:tc>
          <w:tcPr>
            <w:tcW w:w="3544" w:type="dxa"/>
            <w:shd w:val="clear" w:color="auto" w:fill="auto"/>
          </w:tcPr>
          <w:p w14:paraId="221E67D3" w14:textId="77777777" w:rsidR="00203F72" w:rsidRPr="00A53581" w:rsidRDefault="00203F72" w:rsidP="00D87D91">
            <w:r w:rsidRPr="00A53581">
              <w:t>前一年被執行死刑人數</w:t>
            </w:r>
            <w:r w:rsidRPr="00A53581">
              <w:t>(</w:t>
            </w:r>
            <w:r w:rsidRPr="00A53581">
              <w:t>自變項</w:t>
            </w:r>
            <w:r w:rsidRPr="00A53581">
              <w:t>)</w:t>
            </w:r>
            <w:r w:rsidRPr="00A53581">
              <w:t>，未影響後一年總犯罪率</w:t>
            </w:r>
            <w:r w:rsidRPr="00A53581">
              <w:t>(</w:t>
            </w:r>
            <w:r w:rsidRPr="00A53581">
              <w:t>依變項</w:t>
            </w:r>
            <w:r w:rsidRPr="00A53581">
              <w:t>)</w:t>
            </w:r>
          </w:p>
        </w:tc>
      </w:tr>
      <w:tr w:rsidR="00203F72" w:rsidRPr="00A53581" w14:paraId="186CBC4A" w14:textId="77777777" w:rsidTr="00971142">
        <w:tc>
          <w:tcPr>
            <w:tcW w:w="709" w:type="dxa"/>
            <w:vMerge/>
            <w:shd w:val="clear" w:color="auto" w:fill="auto"/>
          </w:tcPr>
          <w:p w14:paraId="27BF4751" w14:textId="77777777" w:rsidR="00203F72" w:rsidRPr="00A53581" w:rsidRDefault="00203F72" w:rsidP="00D87D91"/>
        </w:tc>
        <w:tc>
          <w:tcPr>
            <w:tcW w:w="709" w:type="dxa"/>
            <w:vMerge/>
            <w:shd w:val="clear" w:color="auto" w:fill="auto"/>
          </w:tcPr>
          <w:p w14:paraId="701FC437" w14:textId="77777777" w:rsidR="00203F72" w:rsidRPr="00A53581" w:rsidRDefault="00203F72" w:rsidP="00D87D91"/>
        </w:tc>
        <w:tc>
          <w:tcPr>
            <w:tcW w:w="567" w:type="dxa"/>
            <w:vMerge w:val="restart"/>
            <w:shd w:val="clear" w:color="auto" w:fill="auto"/>
          </w:tcPr>
          <w:p w14:paraId="0DB7715D" w14:textId="77777777" w:rsidR="00203F72" w:rsidRPr="00A53581" w:rsidRDefault="00203F72" w:rsidP="00D87D91">
            <w:r w:rsidRPr="00A53581">
              <w:t>個體</w:t>
            </w:r>
          </w:p>
        </w:tc>
        <w:tc>
          <w:tcPr>
            <w:tcW w:w="2693" w:type="dxa"/>
            <w:shd w:val="clear" w:color="auto" w:fill="auto"/>
          </w:tcPr>
          <w:p w14:paraId="5184A82B" w14:textId="77777777" w:rsidR="00203F72" w:rsidRPr="00A53581" w:rsidRDefault="00203F72" w:rsidP="00D87D91">
            <w:r w:rsidRPr="00A53581">
              <w:t>前一年八個自變項對後一年殺人犯罪率</w:t>
            </w:r>
            <w:r w:rsidRPr="00A53581">
              <w:t>(</w:t>
            </w:r>
            <w:r w:rsidRPr="00A53581">
              <w:t>依變項</w:t>
            </w:r>
            <w:r w:rsidRPr="00A53581">
              <w:t>)</w:t>
            </w:r>
            <w:r w:rsidRPr="00A53581">
              <w:t>之影響</w:t>
            </w:r>
          </w:p>
        </w:tc>
        <w:tc>
          <w:tcPr>
            <w:tcW w:w="3544" w:type="dxa"/>
            <w:shd w:val="clear" w:color="auto" w:fill="auto"/>
          </w:tcPr>
          <w:p w14:paraId="693459FA" w14:textId="77777777" w:rsidR="00203F72" w:rsidRPr="00A53581" w:rsidRDefault="00203F72" w:rsidP="00D87D91">
            <w:r w:rsidRPr="00A53581">
              <w:t>前一年因殺人被執行死刑人數</w:t>
            </w:r>
            <w:r w:rsidRPr="00A53581">
              <w:t>(</w:t>
            </w:r>
            <w:r w:rsidRPr="00A53581">
              <w:t>自變項</w:t>
            </w:r>
            <w:r w:rsidRPr="00A53581">
              <w:t>)</w:t>
            </w:r>
            <w:r w:rsidRPr="00A53581">
              <w:t>，未影響後一年殺人犯罪率</w:t>
            </w:r>
            <w:r w:rsidRPr="00A53581">
              <w:t>(</w:t>
            </w:r>
            <w:r w:rsidRPr="00A53581">
              <w:t>依變項</w:t>
            </w:r>
            <w:r w:rsidRPr="00A53581">
              <w:t>)</w:t>
            </w:r>
          </w:p>
        </w:tc>
      </w:tr>
      <w:tr w:rsidR="00203F72" w:rsidRPr="00A53581" w14:paraId="44503465" w14:textId="77777777" w:rsidTr="00971142">
        <w:tc>
          <w:tcPr>
            <w:tcW w:w="709" w:type="dxa"/>
            <w:vMerge/>
            <w:shd w:val="clear" w:color="auto" w:fill="auto"/>
          </w:tcPr>
          <w:p w14:paraId="1E802F03" w14:textId="77777777" w:rsidR="00203F72" w:rsidRPr="00A53581" w:rsidRDefault="00203F72" w:rsidP="00D87D91"/>
        </w:tc>
        <w:tc>
          <w:tcPr>
            <w:tcW w:w="709" w:type="dxa"/>
            <w:vMerge/>
            <w:shd w:val="clear" w:color="auto" w:fill="auto"/>
          </w:tcPr>
          <w:p w14:paraId="36984E8C" w14:textId="77777777" w:rsidR="00203F72" w:rsidRPr="00A53581" w:rsidRDefault="00203F72" w:rsidP="00D87D91"/>
        </w:tc>
        <w:tc>
          <w:tcPr>
            <w:tcW w:w="567" w:type="dxa"/>
            <w:vMerge/>
            <w:shd w:val="clear" w:color="auto" w:fill="auto"/>
          </w:tcPr>
          <w:p w14:paraId="0C0A1D24" w14:textId="77777777" w:rsidR="00203F72" w:rsidRPr="00A53581" w:rsidRDefault="00203F72" w:rsidP="00D87D91"/>
        </w:tc>
        <w:tc>
          <w:tcPr>
            <w:tcW w:w="2693" w:type="dxa"/>
            <w:shd w:val="clear" w:color="auto" w:fill="auto"/>
          </w:tcPr>
          <w:p w14:paraId="7B0C9E1B" w14:textId="77777777" w:rsidR="00203F72" w:rsidRPr="00A53581" w:rsidRDefault="00203F72" w:rsidP="00D87D91">
            <w:r w:rsidRPr="00A53581">
              <w:t>前一年八個自變項對後一年強姦犯罪率</w:t>
            </w:r>
            <w:r w:rsidRPr="00A53581">
              <w:t>(</w:t>
            </w:r>
            <w:r w:rsidRPr="00A53581">
              <w:t>依變項</w:t>
            </w:r>
            <w:r w:rsidRPr="00A53581">
              <w:t>)</w:t>
            </w:r>
            <w:r w:rsidRPr="00A53581">
              <w:t>之影響</w:t>
            </w:r>
          </w:p>
        </w:tc>
        <w:tc>
          <w:tcPr>
            <w:tcW w:w="3544" w:type="dxa"/>
            <w:shd w:val="clear" w:color="auto" w:fill="auto"/>
          </w:tcPr>
          <w:p w14:paraId="2E1A5C35" w14:textId="77777777" w:rsidR="00203F72" w:rsidRPr="00A53581" w:rsidRDefault="00203F72" w:rsidP="00D87D91">
            <w:r w:rsidRPr="00A53581">
              <w:t>前一年因強姦被執行死刑人數</w:t>
            </w:r>
            <w:r w:rsidRPr="00A53581">
              <w:t>(</w:t>
            </w:r>
            <w:r w:rsidRPr="00A53581">
              <w:t>自變項</w:t>
            </w:r>
            <w:r w:rsidRPr="00A53581">
              <w:t>)</w:t>
            </w:r>
            <w:r w:rsidRPr="00A53581">
              <w:t>，未影響後一年強姦犯罪率</w:t>
            </w:r>
            <w:r w:rsidRPr="00A53581">
              <w:t>(</w:t>
            </w:r>
            <w:r w:rsidRPr="00A53581">
              <w:t>依變項</w:t>
            </w:r>
            <w:r w:rsidRPr="00A53581">
              <w:t>)</w:t>
            </w:r>
          </w:p>
        </w:tc>
      </w:tr>
      <w:tr w:rsidR="00203F72" w:rsidRPr="00A53581" w14:paraId="74F8E42D" w14:textId="77777777" w:rsidTr="00971142">
        <w:tc>
          <w:tcPr>
            <w:tcW w:w="709" w:type="dxa"/>
            <w:vMerge/>
            <w:shd w:val="clear" w:color="auto" w:fill="auto"/>
          </w:tcPr>
          <w:p w14:paraId="53F6EA0C" w14:textId="77777777" w:rsidR="00203F72" w:rsidRPr="00A53581" w:rsidRDefault="00203F72" w:rsidP="00D87D91"/>
        </w:tc>
        <w:tc>
          <w:tcPr>
            <w:tcW w:w="709" w:type="dxa"/>
            <w:vMerge/>
            <w:shd w:val="clear" w:color="auto" w:fill="auto"/>
          </w:tcPr>
          <w:p w14:paraId="427DA2A7" w14:textId="77777777" w:rsidR="00203F72" w:rsidRPr="00A53581" w:rsidRDefault="00203F72" w:rsidP="00D87D91"/>
        </w:tc>
        <w:tc>
          <w:tcPr>
            <w:tcW w:w="567" w:type="dxa"/>
            <w:vMerge/>
            <w:shd w:val="clear" w:color="auto" w:fill="auto"/>
          </w:tcPr>
          <w:p w14:paraId="68D5C7C4" w14:textId="77777777" w:rsidR="00203F72" w:rsidRPr="00A53581" w:rsidRDefault="00203F72" w:rsidP="00D87D91"/>
        </w:tc>
        <w:tc>
          <w:tcPr>
            <w:tcW w:w="2693" w:type="dxa"/>
            <w:shd w:val="clear" w:color="auto" w:fill="auto"/>
          </w:tcPr>
          <w:p w14:paraId="6C5DA801" w14:textId="77777777" w:rsidR="00203F72" w:rsidRPr="00A53581" w:rsidRDefault="00203F72" w:rsidP="00D87D91">
            <w:r w:rsidRPr="00A53581">
              <w:t>前一年八個自變項對後一年暴力性財產犯罪率</w:t>
            </w:r>
            <w:r w:rsidRPr="00A53581">
              <w:t>(</w:t>
            </w:r>
            <w:r w:rsidRPr="00A53581">
              <w:t>依變項</w:t>
            </w:r>
            <w:r w:rsidRPr="00A53581">
              <w:t>)</w:t>
            </w:r>
            <w:r w:rsidRPr="00A53581">
              <w:t>之影響</w:t>
            </w:r>
          </w:p>
        </w:tc>
        <w:tc>
          <w:tcPr>
            <w:tcW w:w="3544" w:type="dxa"/>
            <w:shd w:val="clear" w:color="auto" w:fill="auto"/>
          </w:tcPr>
          <w:p w14:paraId="60032D97" w14:textId="77777777" w:rsidR="00203F72" w:rsidRPr="00A53581" w:rsidRDefault="00203F72" w:rsidP="00D87D91">
            <w:r w:rsidRPr="00A53581">
              <w:t>前一年因暴力性財產犯罪被執行死刑人數</w:t>
            </w:r>
            <w:r w:rsidRPr="00A53581">
              <w:t>(</w:t>
            </w:r>
            <w:r w:rsidRPr="00A53581">
              <w:t>自變項</w:t>
            </w:r>
            <w:r w:rsidRPr="00A53581">
              <w:t>)</w:t>
            </w:r>
            <w:r w:rsidRPr="00A53581">
              <w:t>，未影響後一年暴力性財產犯罪率</w:t>
            </w:r>
            <w:r w:rsidRPr="00A53581">
              <w:t>(</w:t>
            </w:r>
            <w:r w:rsidRPr="00A53581">
              <w:t>依變項</w:t>
            </w:r>
            <w:r w:rsidRPr="00A53581">
              <w:t>)</w:t>
            </w:r>
          </w:p>
        </w:tc>
      </w:tr>
      <w:tr w:rsidR="00203F72" w:rsidRPr="00A53581" w14:paraId="6AB12558" w14:textId="77777777" w:rsidTr="00971142">
        <w:tc>
          <w:tcPr>
            <w:tcW w:w="709" w:type="dxa"/>
            <w:vMerge/>
            <w:shd w:val="clear" w:color="auto" w:fill="auto"/>
          </w:tcPr>
          <w:p w14:paraId="0B5688E3" w14:textId="77777777" w:rsidR="00203F72" w:rsidRPr="00A53581" w:rsidRDefault="00203F72" w:rsidP="00D87D91"/>
        </w:tc>
        <w:tc>
          <w:tcPr>
            <w:tcW w:w="709" w:type="dxa"/>
            <w:vMerge/>
            <w:shd w:val="clear" w:color="auto" w:fill="auto"/>
          </w:tcPr>
          <w:p w14:paraId="11CE2DBB" w14:textId="77777777" w:rsidR="00203F72" w:rsidRPr="00A53581" w:rsidRDefault="00203F72" w:rsidP="00D87D91"/>
        </w:tc>
        <w:tc>
          <w:tcPr>
            <w:tcW w:w="567" w:type="dxa"/>
            <w:vMerge/>
            <w:shd w:val="clear" w:color="auto" w:fill="auto"/>
          </w:tcPr>
          <w:p w14:paraId="2DBD1A6E" w14:textId="77777777" w:rsidR="00203F72" w:rsidRPr="00A53581" w:rsidRDefault="00203F72" w:rsidP="00D87D91"/>
        </w:tc>
        <w:tc>
          <w:tcPr>
            <w:tcW w:w="2693" w:type="dxa"/>
            <w:shd w:val="clear" w:color="auto" w:fill="auto"/>
          </w:tcPr>
          <w:p w14:paraId="4AABA9FA" w14:textId="77777777" w:rsidR="00203F72" w:rsidRPr="00A53581" w:rsidRDefault="00203F72" w:rsidP="00D87D91">
            <w:r w:rsidRPr="00A53581">
              <w:t>前一年八個自變項對後一年擄人勒贖犯罪率</w:t>
            </w:r>
            <w:r w:rsidRPr="00A53581">
              <w:t>(</w:t>
            </w:r>
            <w:r w:rsidRPr="00A53581">
              <w:t>依變項</w:t>
            </w:r>
            <w:r w:rsidRPr="00A53581">
              <w:t>)</w:t>
            </w:r>
            <w:r w:rsidRPr="00A53581">
              <w:t>之影響</w:t>
            </w:r>
          </w:p>
        </w:tc>
        <w:tc>
          <w:tcPr>
            <w:tcW w:w="3544" w:type="dxa"/>
            <w:shd w:val="clear" w:color="auto" w:fill="auto"/>
          </w:tcPr>
          <w:p w14:paraId="36A4C89E" w14:textId="77777777" w:rsidR="00203F72" w:rsidRPr="00A53581" w:rsidRDefault="00203F72" w:rsidP="00D87D91">
            <w:r w:rsidRPr="00A53581">
              <w:t>前一年因擄人勒贖被執行死刑人數</w:t>
            </w:r>
            <w:r w:rsidRPr="00A53581">
              <w:t>(</w:t>
            </w:r>
            <w:r w:rsidRPr="00A53581">
              <w:t>自變項</w:t>
            </w:r>
            <w:r w:rsidRPr="00A53581">
              <w:t>)</w:t>
            </w:r>
            <w:r w:rsidRPr="00A53581">
              <w:t>，未影響後一年擄人勒贖犯罪率</w:t>
            </w:r>
            <w:r w:rsidRPr="00A53581">
              <w:t>(</w:t>
            </w:r>
            <w:r w:rsidRPr="00A53581">
              <w:t>依變項</w:t>
            </w:r>
            <w:r w:rsidRPr="00A53581">
              <w:t>)</w:t>
            </w:r>
          </w:p>
        </w:tc>
      </w:tr>
      <w:tr w:rsidR="00203F72" w:rsidRPr="00A53581" w14:paraId="3D8300AF" w14:textId="77777777" w:rsidTr="00971142">
        <w:tc>
          <w:tcPr>
            <w:tcW w:w="709" w:type="dxa"/>
            <w:vMerge/>
            <w:shd w:val="clear" w:color="auto" w:fill="auto"/>
          </w:tcPr>
          <w:p w14:paraId="28F299E8" w14:textId="77777777" w:rsidR="00203F72" w:rsidRPr="00A53581" w:rsidRDefault="00203F72" w:rsidP="00D87D91"/>
        </w:tc>
        <w:tc>
          <w:tcPr>
            <w:tcW w:w="709" w:type="dxa"/>
            <w:vMerge w:val="restart"/>
            <w:shd w:val="clear" w:color="auto" w:fill="auto"/>
          </w:tcPr>
          <w:p w14:paraId="7E071333" w14:textId="77777777" w:rsidR="00203F72" w:rsidRPr="00A53581" w:rsidRDefault="00203F72" w:rsidP="00D87D91">
            <w:r w:rsidRPr="00A53581">
              <w:t>相對數模式</w:t>
            </w:r>
          </w:p>
        </w:tc>
        <w:tc>
          <w:tcPr>
            <w:tcW w:w="567" w:type="dxa"/>
            <w:shd w:val="clear" w:color="auto" w:fill="auto"/>
          </w:tcPr>
          <w:p w14:paraId="70787506" w14:textId="77777777" w:rsidR="00203F72" w:rsidRPr="00A53581" w:rsidRDefault="00203F72" w:rsidP="00D87D91">
            <w:r w:rsidRPr="00A53581">
              <w:t>總體</w:t>
            </w:r>
          </w:p>
        </w:tc>
        <w:tc>
          <w:tcPr>
            <w:tcW w:w="2693" w:type="dxa"/>
            <w:shd w:val="clear" w:color="auto" w:fill="auto"/>
          </w:tcPr>
          <w:p w14:paraId="582E5DCA" w14:textId="77777777" w:rsidR="00203F72" w:rsidRPr="00A53581" w:rsidRDefault="00203F72" w:rsidP="00D87D91">
            <w:r w:rsidRPr="00A53581">
              <w:t>前一年八個自變項之變化，對後一年總犯罪率變化</w:t>
            </w:r>
            <w:r w:rsidRPr="00A53581">
              <w:t>(</w:t>
            </w:r>
            <w:r w:rsidRPr="00A53581">
              <w:t>依變項</w:t>
            </w:r>
            <w:r w:rsidRPr="00A53581">
              <w:t>)</w:t>
            </w:r>
            <w:r w:rsidRPr="00A53581">
              <w:t>之影響</w:t>
            </w:r>
          </w:p>
        </w:tc>
        <w:tc>
          <w:tcPr>
            <w:tcW w:w="3544" w:type="dxa"/>
            <w:shd w:val="clear" w:color="auto" w:fill="auto"/>
          </w:tcPr>
          <w:p w14:paraId="05D0FCE8" w14:textId="77777777" w:rsidR="00203F72" w:rsidRPr="00A53581" w:rsidRDefault="00203F72" w:rsidP="00D87D91">
            <w:r w:rsidRPr="00A53581">
              <w:t>前一年被執行死刑人數之變化</w:t>
            </w:r>
            <w:r w:rsidRPr="00A53581">
              <w:t>(</w:t>
            </w:r>
            <w:r w:rsidRPr="00A53581">
              <w:t>自變項</w:t>
            </w:r>
            <w:r w:rsidRPr="00A53581">
              <w:t>)</w:t>
            </w:r>
            <w:r w:rsidRPr="00A53581">
              <w:t>，未影響後一年總犯罪率之變化</w:t>
            </w:r>
          </w:p>
        </w:tc>
      </w:tr>
      <w:tr w:rsidR="00203F72" w:rsidRPr="00A53581" w14:paraId="76233FDB" w14:textId="77777777" w:rsidTr="00971142">
        <w:tc>
          <w:tcPr>
            <w:tcW w:w="709" w:type="dxa"/>
            <w:vMerge/>
            <w:shd w:val="clear" w:color="auto" w:fill="auto"/>
          </w:tcPr>
          <w:p w14:paraId="65BE2073" w14:textId="77777777" w:rsidR="00203F72" w:rsidRPr="00A53581" w:rsidRDefault="00203F72" w:rsidP="00D87D91"/>
        </w:tc>
        <w:tc>
          <w:tcPr>
            <w:tcW w:w="709" w:type="dxa"/>
            <w:vMerge/>
            <w:shd w:val="clear" w:color="auto" w:fill="auto"/>
          </w:tcPr>
          <w:p w14:paraId="49EFC4AD" w14:textId="77777777" w:rsidR="00203F72" w:rsidRPr="00A53581" w:rsidRDefault="00203F72" w:rsidP="00D87D91"/>
        </w:tc>
        <w:tc>
          <w:tcPr>
            <w:tcW w:w="567" w:type="dxa"/>
            <w:vMerge w:val="restart"/>
            <w:shd w:val="clear" w:color="auto" w:fill="auto"/>
          </w:tcPr>
          <w:p w14:paraId="0E590614" w14:textId="77777777" w:rsidR="00203F72" w:rsidRPr="00A53581" w:rsidRDefault="00203F72" w:rsidP="00D87D91">
            <w:r w:rsidRPr="00A53581">
              <w:t>個體</w:t>
            </w:r>
          </w:p>
        </w:tc>
        <w:tc>
          <w:tcPr>
            <w:tcW w:w="2693" w:type="dxa"/>
            <w:shd w:val="clear" w:color="auto" w:fill="auto"/>
          </w:tcPr>
          <w:p w14:paraId="084AEFF5" w14:textId="77777777" w:rsidR="00203F72" w:rsidRPr="00A53581" w:rsidRDefault="00203F72" w:rsidP="00D87D91">
            <w:r w:rsidRPr="00A53581">
              <w:t>前一年八個自變項之變化，對後一年殺人犯罪率變化</w:t>
            </w:r>
            <w:r w:rsidRPr="00A53581">
              <w:t>(</w:t>
            </w:r>
            <w:r w:rsidRPr="00A53581">
              <w:t>依變項</w:t>
            </w:r>
            <w:r w:rsidRPr="00A53581">
              <w:t>)</w:t>
            </w:r>
            <w:r w:rsidRPr="00A53581">
              <w:t>之影響</w:t>
            </w:r>
          </w:p>
        </w:tc>
        <w:tc>
          <w:tcPr>
            <w:tcW w:w="3544" w:type="dxa"/>
            <w:shd w:val="clear" w:color="auto" w:fill="auto"/>
          </w:tcPr>
          <w:p w14:paraId="3DE43071" w14:textId="77777777" w:rsidR="00203F72" w:rsidRPr="00A53581" w:rsidRDefault="00203F72" w:rsidP="00D87D91">
            <w:r w:rsidRPr="00A53581">
              <w:t>前一年因殺人被執行死刑人數之變化</w:t>
            </w:r>
            <w:r w:rsidRPr="00A53581">
              <w:t>(</w:t>
            </w:r>
            <w:r w:rsidRPr="00A53581">
              <w:t>自變項</w:t>
            </w:r>
            <w:r w:rsidRPr="00A53581">
              <w:t>)</w:t>
            </w:r>
            <w:r w:rsidRPr="00A53581">
              <w:t>，未影響後一年殺人犯罪率之變化</w:t>
            </w:r>
            <w:r w:rsidRPr="00A53581">
              <w:t>(</w:t>
            </w:r>
            <w:r w:rsidRPr="00A53581">
              <w:t>依變項</w:t>
            </w:r>
            <w:r w:rsidRPr="00A53581">
              <w:t>)</w:t>
            </w:r>
          </w:p>
        </w:tc>
      </w:tr>
      <w:tr w:rsidR="00203F72" w:rsidRPr="00A53581" w14:paraId="4F1E5C1D" w14:textId="77777777" w:rsidTr="00971142">
        <w:tc>
          <w:tcPr>
            <w:tcW w:w="709" w:type="dxa"/>
            <w:vMerge/>
            <w:shd w:val="clear" w:color="auto" w:fill="auto"/>
          </w:tcPr>
          <w:p w14:paraId="4155A879" w14:textId="77777777" w:rsidR="00203F72" w:rsidRPr="00A53581" w:rsidRDefault="00203F72" w:rsidP="00D87D91"/>
        </w:tc>
        <w:tc>
          <w:tcPr>
            <w:tcW w:w="709" w:type="dxa"/>
            <w:vMerge/>
            <w:shd w:val="clear" w:color="auto" w:fill="auto"/>
          </w:tcPr>
          <w:p w14:paraId="0E2D03CD" w14:textId="77777777" w:rsidR="00203F72" w:rsidRPr="00A53581" w:rsidRDefault="00203F72" w:rsidP="00D87D91"/>
        </w:tc>
        <w:tc>
          <w:tcPr>
            <w:tcW w:w="567" w:type="dxa"/>
            <w:vMerge/>
            <w:shd w:val="clear" w:color="auto" w:fill="auto"/>
          </w:tcPr>
          <w:p w14:paraId="6FF77AC7" w14:textId="77777777" w:rsidR="00203F72" w:rsidRPr="00A53581" w:rsidRDefault="00203F72" w:rsidP="00D87D91"/>
        </w:tc>
        <w:tc>
          <w:tcPr>
            <w:tcW w:w="2693" w:type="dxa"/>
            <w:shd w:val="clear" w:color="auto" w:fill="auto"/>
          </w:tcPr>
          <w:p w14:paraId="042E240D" w14:textId="77777777" w:rsidR="00203F72" w:rsidRPr="00A53581" w:rsidRDefault="00203F72" w:rsidP="00D87D91">
            <w:r w:rsidRPr="00A53581">
              <w:t>前一年八個自變項之變化，對後一年強姦犯罪率變化</w:t>
            </w:r>
            <w:r w:rsidRPr="00A53581">
              <w:t>(</w:t>
            </w:r>
            <w:r w:rsidRPr="00A53581">
              <w:t>依變項</w:t>
            </w:r>
            <w:r w:rsidRPr="00A53581">
              <w:t>)</w:t>
            </w:r>
            <w:r w:rsidRPr="00A53581">
              <w:t>之影響</w:t>
            </w:r>
          </w:p>
        </w:tc>
        <w:tc>
          <w:tcPr>
            <w:tcW w:w="3544" w:type="dxa"/>
            <w:shd w:val="clear" w:color="auto" w:fill="auto"/>
          </w:tcPr>
          <w:p w14:paraId="7929AEA8" w14:textId="77777777" w:rsidR="00203F72" w:rsidRPr="00A53581" w:rsidRDefault="00203F72" w:rsidP="00D87D91">
            <w:r w:rsidRPr="00A53581">
              <w:t>前一年因強姦被執行死刑人數之變化</w:t>
            </w:r>
            <w:r w:rsidRPr="00A53581">
              <w:t>(</w:t>
            </w:r>
            <w:r w:rsidRPr="00A53581">
              <w:t>自變項</w:t>
            </w:r>
            <w:r w:rsidRPr="00A53581">
              <w:t>)</w:t>
            </w:r>
            <w:r w:rsidRPr="00A53581">
              <w:t>，未影響後一年強姦犯罪率之變化</w:t>
            </w:r>
            <w:r w:rsidRPr="00A53581">
              <w:t>(</w:t>
            </w:r>
            <w:r w:rsidRPr="00A53581">
              <w:t>依變項</w:t>
            </w:r>
            <w:r w:rsidRPr="00A53581">
              <w:t>)</w:t>
            </w:r>
          </w:p>
        </w:tc>
      </w:tr>
      <w:tr w:rsidR="00203F72" w:rsidRPr="00A53581" w14:paraId="47E435EF" w14:textId="77777777" w:rsidTr="00971142">
        <w:tc>
          <w:tcPr>
            <w:tcW w:w="709" w:type="dxa"/>
            <w:vMerge/>
            <w:shd w:val="clear" w:color="auto" w:fill="auto"/>
          </w:tcPr>
          <w:p w14:paraId="5AC0B2C1" w14:textId="77777777" w:rsidR="00203F72" w:rsidRPr="00A53581" w:rsidRDefault="00203F72" w:rsidP="00D87D91"/>
        </w:tc>
        <w:tc>
          <w:tcPr>
            <w:tcW w:w="709" w:type="dxa"/>
            <w:vMerge/>
            <w:shd w:val="clear" w:color="auto" w:fill="auto"/>
          </w:tcPr>
          <w:p w14:paraId="2D96775F" w14:textId="77777777" w:rsidR="00203F72" w:rsidRPr="00A53581" w:rsidRDefault="00203F72" w:rsidP="00D87D91"/>
        </w:tc>
        <w:tc>
          <w:tcPr>
            <w:tcW w:w="567" w:type="dxa"/>
            <w:vMerge/>
            <w:shd w:val="clear" w:color="auto" w:fill="auto"/>
          </w:tcPr>
          <w:p w14:paraId="006E4883" w14:textId="77777777" w:rsidR="00203F72" w:rsidRPr="00A53581" w:rsidRDefault="00203F72" w:rsidP="00D87D91"/>
        </w:tc>
        <w:tc>
          <w:tcPr>
            <w:tcW w:w="2693" w:type="dxa"/>
            <w:shd w:val="clear" w:color="auto" w:fill="auto"/>
          </w:tcPr>
          <w:p w14:paraId="21E08AA1" w14:textId="77777777" w:rsidR="00203F72" w:rsidRPr="00A53581" w:rsidRDefault="00203F72" w:rsidP="00D87D91">
            <w:r w:rsidRPr="00A53581">
              <w:t>前一年八個自變項之變化，對後一年暴力性財產犯罪率變化之影響</w:t>
            </w:r>
          </w:p>
        </w:tc>
        <w:tc>
          <w:tcPr>
            <w:tcW w:w="3544" w:type="dxa"/>
            <w:shd w:val="clear" w:color="auto" w:fill="auto"/>
          </w:tcPr>
          <w:p w14:paraId="3E330F71" w14:textId="77777777" w:rsidR="00203F72" w:rsidRPr="00A53581" w:rsidRDefault="00203F72" w:rsidP="00D87D91">
            <w:r w:rsidRPr="00A53581">
              <w:t>前一年因暴力性財產犯罪被執行死刑人數之變化</w:t>
            </w:r>
            <w:r w:rsidRPr="00A53581">
              <w:t>(</w:t>
            </w:r>
            <w:r w:rsidRPr="00A53581">
              <w:t>自變項</w:t>
            </w:r>
            <w:r w:rsidRPr="00A53581">
              <w:t>)</w:t>
            </w:r>
            <w:r w:rsidRPr="00A53581">
              <w:t>，未影響後一年暴力性財產犯罪率之變化</w:t>
            </w:r>
            <w:r w:rsidRPr="00A53581">
              <w:t>(</w:t>
            </w:r>
            <w:r w:rsidRPr="00A53581">
              <w:t>依變項</w:t>
            </w:r>
            <w:r w:rsidRPr="00A53581">
              <w:t>)</w:t>
            </w:r>
          </w:p>
        </w:tc>
      </w:tr>
      <w:tr w:rsidR="00203F72" w:rsidRPr="00A53581" w14:paraId="121553C8" w14:textId="77777777" w:rsidTr="00971142">
        <w:tc>
          <w:tcPr>
            <w:tcW w:w="709" w:type="dxa"/>
            <w:vMerge/>
            <w:shd w:val="clear" w:color="auto" w:fill="auto"/>
          </w:tcPr>
          <w:p w14:paraId="18F5E5BF" w14:textId="77777777" w:rsidR="00203F72" w:rsidRPr="00A53581" w:rsidRDefault="00203F72" w:rsidP="00D87D91"/>
        </w:tc>
        <w:tc>
          <w:tcPr>
            <w:tcW w:w="709" w:type="dxa"/>
            <w:vMerge/>
            <w:shd w:val="clear" w:color="auto" w:fill="auto"/>
          </w:tcPr>
          <w:p w14:paraId="2C7B94A6" w14:textId="77777777" w:rsidR="00203F72" w:rsidRPr="00A53581" w:rsidRDefault="00203F72" w:rsidP="00D87D91"/>
        </w:tc>
        <w:tc>
          <w:tcPr>
            <w:tcW w:w="567" w:type="dxa"/>
            <w:vMerge/>
            <w:shd w:val="clear" w:color="auto" w:fill="auto"/>
          </w:tcPr>
          <w:p w14:paraId="1C0269FE" w14:textId="77777777" w:rsidR="00203F72" w:rsidRPr="00A53581" w:rsidRDefault="00203F72" w:rsidP="00D87D91"/>
        </w:tc>
        <w:tc>
          <w:tcPr>
            <w:tcW w:w="2693" w:type="dxa"/>
            <w:shd w:val="clear" w:color="auto" w:fill="auto"/>
          </w:tcPr>
          <w:p w14:paraId="23A8E5E7" w14:textId="77777777" w:rsidR="00203F72" w:rsidRPr="00A53581" w:rsidRDefault="00203F72" w:rsidP="00D87D91">
            <w:r w:rsidRPr="00A53581">
              <w:t>前一年八個自變項之變化，對後一年擄人勒贖犯罪率變化</w:t>
            </w:r>
            <w:r w:rsidRPr="00A53581">
              <w:t>(</w:t>
            </w:r>
            <w:r w:rsidRPr="00A53581">
              <w:t>依變項</w:t>
            </w:r>
            <w:r w:rsidRPr="00A53581">
              <w:t>)</w:t>
            </w:r>
            <w:r w:rsidRPr="00A53581">
              <w:t>之影響</w:t>
            </w:r>
          </w:p>
        </w:tc>
        <w:tc>
          <w:tcPr>
            <w:tcW w:w="3544" w:type="dxa"/>
            <w:shd w:val="clear" w:color="auto" w:fill="auto"/>
          </w:tcPr>
          <w:p w14:paraId="2188A457" w14:textId="77777777" w:rsidR="00203F72" w:rsidRPr="00A53581" w:rsidRDefault="00203F72" w:rsidP="00D87D91">
            <w:r w:rsidRPr="00A53581">
              <w:t>前一年因擄人勒贖被執行死刑人數之變化</w:t>
            </w:r>
            <w:r w:rsidRPr="00A53581">
              <w:t>(</w:t>
            </w:r>
            <w:r w:rsidRPr="00A53581">
              <w:t>自變項</w:t>
            </w:r>
            <w:r w:rsidRPr="00A53581">
              <w:t>)</w:t>
            </w:r>
            <w:r w:rsidRPr="00A53581">
              <w:t>，未影響後一年擄人勒贖犯罪率之變化</w:t>
            </w:r>
            <w:r w:rsidRPr="00A53581">
              <w:t>(</w:t>
            </w:r>
            <w:r w:rsidRPr="00A53581">
              <w:t>依變項</w:t>
            </w:r>
            <w:r w:rsidRPr="00A53581">
              <w:t>)</w:t>
            </w:r>
          </w:p>
        </w:tc>
      </w:tr>
    </w:tbl>
    <w:p w14:paraId="573BDFA5" w14:textId="77777777" w:rsidR="00953151" w:rsidRPr="00F90BE3" w:rsidRDefault="00353CFF" w:rsidP="00D87D91">
      <w:r w:rsidRPr="00F90BE3">
        <w:t>【註】</w:t>
      </w:r>
      <w:r w:rsidR="00203F72" w:rsidRPr="00F90BE3">
        <w:t>本表格之資料來源，係為</w:t>
      </w:r>
      <w:r w:rsidR="00D92F56" w:rsidRPr="00F90BE3">
        <w:t>〜</w:t>
      </w:r>
      <w:r w:rsidR="00203F72" w:rsidRPr="00F90BE3">
        <w:t>許春金、吳景芳、李湧清、曾正一、許金標、蔡田木</w:t>
      </w:r>
      <w:r w:rsidR="00203F72" w:rsidRPr="00F90BE3">
        <w:t>(1994)</w:t>
      </w:r>
      <w:r w:rsidR="00203F72" w:rsidRPr="00F90BE3">
        <w:t>，死刑存廢之探討，台北：行政院研究發展考核委員會編印，頁</w:t>
      </w:r>
      <w:r w:rsidR="00203F72" w:rsidRPr="00F90BE3">
        <w:t>107</w:t>
      </w:r>
      <w:r w:rsidR="00203F72" w:rsidRPr="00F90BE3">
        <w:t>，並經由作者重新改寫與闡釋其統計實證數據之意義。</w:t>
      </w:r>
    </w:p>
    <w:p w14:paraId="2EFF9B6D" w14:textId="77777777" w:rsidR="00203F72" w:rsidRPr="00F90BE3" w:rsidRDefault="001C3A2B" w:rsidP="00D87D91">
      <w:r w:rsidRPr="00F90BE3">
        <w:t xml:space="preserve">　　</w:t>
      </w:r>
      <w:r w:rsidR="00203F72" w:rsidRPr="00F90BE3">
        <w:t>於下述「我國執行死刑對暴力犯罪短期嚇阻效應綜合摘要表」之中，就「總體短期效應」而論，被執行死刑的總體死刑犯人數之數量，會促長當個月、後</w:t>
      </w:r>
      <w:r w:rsidR="00203F72" w:rsidRPr="00F90BE3">
        <w:t>1</w:t>
      </w:r>
      <w:r w:rsidR="00203F72" w:rsidRPr="00F90BE3">
        <w:t>個月、後</w:t>
      </w:r>
      <w:r w:rsidR="00203F72" w:rsidRPr="00F90BE3">
        <w:t>2</w:t>
      </w:r>
      <w:r w:rsidR="00203F72" w:rsidRPr="00F90BE3">
        <w:t>個月、後</w:t>
      </w:r>
      <w:r w:rsidR="00203F72" w:rsidRPr="00F90BE3">
        <w:t>3</w:t>
      </w:r>
      <w:r w:rsidR="00203F72" w:rsidRPr="00F90BE3">
        <w:t>個月與後</w:t>
      </w:r>
      <w:r w:rsidR="00203F72" w:rsidRPr="00F90BE3">
        <w:t>4</w:t>
      </w:r>
      <w:r w:rsidR="00203F72" w:rsidRPr="00F90BE3">
        <w:t>個月的殺人犯罪。亦即，死刑對於後</w:t>
      </w:r>
      <w:r w:rsidR="00203F72" w:rsidRPr="00F90BE3">
        <w:t>4</w:t>
      </w:r>
      <w:r w:rsidR="00203F72" w:rsidRPr="00F90BE3">
        <w:t>個月之殺人犯罪案件，有正向的作用力；死刑在短期效應方面，不僅無法嚇阻殺人犯罪，甚至，會促進殺人犯罪。</w:t>
      </w:r>
    </w:p>
    <w:p w14:paraId="1EFA8050" w14:textId="77777777" w:rsidR="00203F72" w:rsidRPr="00F90BE3" w:rsidRDefault="001C3A2B" w:rsidP="00D87D91">
      <w:r w:rsidRPr="00F90BE3">
        <w:t xml:space="preserve">　　</w:t>
      </w:r>
      <w:r w:rsidR="00203F72" w:rsidRPr="00F90BE3">
        <w:t>被執行死刑的總體死刑犯人數之數量，會促長當個月、後</w:t>
      </w:r>
      <w:r w:rsidR="00203F72" w:rsidRPr="00F90BE3">
        <w:t>1</w:t>
      </w:r>
      <w:r w:rsidR="00203F72" w:rsidRPr="00F90BE3">
        <w:t>個月、後</w:t>
      </w:r>
      <w:r w:rsidR="00203F72" w:rsidRPr="00F90BE3">
        <w:t>2</w:t>
      </w:r>
      <w:r w:rsidR="00203F72" w:rsidRPr="00F90BE3">
        <w:t>個月、後</w:t>
      </w:r>
      <w:r w:rsidR="00203F72" w:rsidRPr="00F90BE3">
        <w:t>3</w:t>
      </w:r>
      <w:r w:rsidR="00203F72" w:rsidRPr="00F90BE3">
        <w:t>個月與後</w:t>
      </w:r>
      <w:r w:rsidR="00203F72" w:rsidRPr="00F90BE3">
        <w:t>4</w:t>
      </w:r>
      <w:r w:rsidR="00203F72" w:rsidRPr="00F90BE3">
        <w:t>個月的搶劫犯罪。亦即，死刑對於後</w:t>
      </w:r>
      <w:r w:rsidR="00203F72" w:rsidRPr="00F90BE3">
        <w:t>4</w:t>
      </w:r>
      <w:r w:rsidR="00203F72" w:rsidRPr="00F90BE3">
        <w:t>個月之搶劫犯罪案件，有正向的作用力；死刑在短期效應方面，不僅無法嚇阻搶劫犯罪，甚至，會促進搶劫犯罪。</w:t>
      </w:r>
    </w:p>
    <w:p w14:paraId="0B193D21" w14:textId="77777777" w:rsidR="00203F72" w:rsidRPr="00F90BE3" w:rsidRDefault="00203F72" w:rsidP="00D87D91">
      <w:r w:rsidRPr="00F90BE3">
        <w:t>被執行死刑的總體死刑犯人數之數量，會促長當個月、後</w:t>
      </w:r>
      <w:r w:rsidRPr="00F90BE3">
        <w:t>1</w:t>
      </w:r>
      <w:r w:rsidRPr="00F90BE3">
        <w:t>個月、後</w:t>
      </w:r>
      <w:r w:rsidRPr="00F90BE3">
        <w:t>2</w:t>
      </w:r>
      <w:r w:rsidRPr="00F90BE3">
        <w:t>個月、後</w:t>
      </w:r>
      <w:r w:rsidRPr="00F90BE3">
        <w:t>3</w:t>
      </w:r>
      <w:r w:rsidRPr="00F90BE3">
        <w:t>個月與後</w:t>
      </w:r>
      <w:r w:rsidRPr="00F90BE3">
        <w:t>4</w:t>
      </w:r>
      <w:r w:rsidRPr="00F90BE3">
        <w:t>個月的擄人勒贖犯罪。亦即，死刑對於後</w:t>
      </w:r>
      <w:r w:rsidRPr="00F90BE3">
        <w:t>4</w:t>
      </w:r>
      <w:r w:rsidRPr="00F90BE3">
        <w:t>個月之擄人勒贖犯罪案件，有正向的作用力；死刑在短期效應方面，不僅無法嚇阻擄人勒贖犯罪，甚至，會促進擄人勒贖犯罪。</w:t>
      </w:r>
    </w:p>
    <w:p w14:paraId="624ADA13" w14:textId="77777777" w:rsidR="00953151" w:rsidRPr="00F90BE3" w:rsidRDefault="001C3A2B" w:rsidP="00D87D91">
      <w:r w:rsidRPr="00F90BE3">
        <w:t xml:space="preserve">　　</w:t>
      </w:r>
      <w:r w:rsidR="00203F72" w:rsidRPr="00F90BE3">
        <w:t>在「個體短期效應」方面，就殺人犯罪發生件數而論，死刑對於執行當月後之第</w:t>
      </w:r>
      <w:r w:rsidR="00203F72" w:rsidRPr="00F90BE3">
        <w:t>2</w:t>
      </w:r>
      <w:r w:rsidR="00203F72" w:rsidRPr="00F90BE3">
        <w:t>個月，會有促發作用。綜上，在死刑之短期效應方面，所得到之重大發現，係死刑會助長殺人犯罪之發生。死刑制度之存在，令易促發殺人犯罪之發生。最保守之結果，係死刑對於殺人犯罪之發生而言，毫無統計上之抑制力與嚇阻力。死刑之存在，無法壓制殺人犯罪案件之發生。死刑對於殺人犯罪而論，在短期之時程上</w:t>
      </w:r>
      <w:r w:rsidR="00203F72" w:rsidRPr="00F90BE3">
        <w:t>(</w:t>
      </w:r>
      <w:r w:rsidR="00203F72" w:rsidRPr="00F90BE3">
        <w:t>當月、後一個月至後</w:t>
      </w:r>
      <w:r w:rsidR="00203F72" w:rsidRPr="00F90BE3">
        <w:t>4</w:t>
      </w:r>
      <w:r w:rsidR="00203F72" w:rsidRPr="00F90BE3">
        <w:t>個月為止</w:t>
      </w:r>
      <w:r w:rsidR="00203F72" w:rsidRPr="00F90BE3">
        <w:t>)</w:t>
      </w:r>
      <w:r w:rsidR="00203F72" w:rsidRPr="00F90BE3">
        <w:t>，不存在壓制之力道。</w:t>
      </w:r>
    </w:p>
    <w:p w14:paraId="6C9D08DB" w14:textId="77777777" w:rsidR="00615247" w:rsidRDefault="00615247" w:rsidP="00D87D91"/>
    <w:p w14:paraId="5F69A05C" w14:textId="215985B7" w:rsidR="00203F72" w:rsidRPr="00F90BE3" w:rsidRDefault="00B03E84" w:rsidP="00D87D91">
      <w:r w:rsidRPr="00F90BE3">
        <w:t>【</w:t>
      </w:r>
      <w:r w:rsidRPr="00F90BE3">
        <w:t>table</w:t>
      </w:r>
      <w:r w:rsidR="005E23E3" w:rsidRPr="00F90B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117</w:t>
      </w:r>
      <w:r w:rsidR="00076467">
        <w:rPr>
          <w:noProof/>
        </w:rPr>
        <w:fldChar w:fldCharType="end"/>
      </w:r>
      <w:r w:rsidR="00203F72" w:rsidRPr="00F90BE3">
        <w:t>我國執行死刑</w:t>
      </w:r>
      <w:r w:rsidR="00203F72" w:rsidRPr="00F90BE3">
        <w:t>(</w:t>
      </w:r>
      <w:r w:rsidR="00203F72" w:rsidRPr="00F90BE3">
        <w:t>自變項</w:t>
      </w:r>
      <w:r w:rsidR="00203F72" w:rsidRPr="00F90BE3">
        <w:t>)</w:t>
      </w:r>
      <w:r w:rsidR="00203F72" w:rsidRPr="00F90BE3">
        <w:t>對各式暴力犯罪</w:t>
      </w:r>
      <w:r w:rsidR="00203F72" w:rsidRPr="00F90BE3">
        <w:t>(</w:t>
      </w:r>
      <w:r w:rsidR="00203F72" w:rsidRPr="00F90BE3">
        <w:t>依變項</w:t>
      </w:r>
      <w:r w:rsidR="00203F72" w:rsidRPr="00F90BE3">
        <w:t>)</w:t>
      </w:r>
      <w:r w:rsidR="00203F72" w:rsidRPr="00F90BE3">
        <w:t>「短期嚇阻效應」綜合摘要表</w:t>
      </w:r>
      <w:r w:rsidR="00203F72" w:rsidRPr="00F90BE3">
        <w:t>(1980~1991)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596"/>
        <w:gridCol w:w="1076"/>
        <w:gridCol w:w="959"/>
        <w:gridCol w:w="1134"/>
        <w:gridCol w:w="850"/>
        <w:gridCol w:w="567"/>
        <w:gridCol w:w="2490"/>
      </w:tblGrid>
      <w:tr w:rsidR="00203F72" w:rsidRPr="00F90BE3" w14:paraId="23D85869" w14:textId="77777777" w:rsidTr="00615247">
        <w:trPr>
          <w:tblHeader/>
        </w:trPr>
        <w:tc>
          <w:tcPr>
            <w:tcW w:w="1192" w:type="dxa"/>
            <w:gridSpan w:val="2"/>
            <w:shd w:val="clear" w:color="auto" w:fill="FAF0FA"/>
          </w:tcPr>
          <w:p w14:paraId="7239CB5A" w14:textId="77777777" w:rsidR="00203F72" w:rsidRPr="00F90BE3" w:rsidRDefault="00203F72" w:rsidP="00D87D91">
            <w:r w:rsidRPr="00F90BE3">
              <w:t>模式目的</w:t>
            </w:r>
          </w:p>
        </w:tc>
        <w:tc>
          <w:tcPr>
            <w:tcW w:w="1076" w:type="dxa"/>
            <w:shd w:val="clear" w:color="auto" w:fill="FAF0FA"/>
          </w:tcPr>
          <w:p w14:paraId="2E3B250C" w14:textId="77777777" w:rsidR="00203F72" w:rsidRPr="00F90BE3" w:rsidRDefault="00203F72" w:rsidP="00D87D91">
            <w:r w:rsidRPr="00F90BE3">
              <w:t>自變項</w:t>
            </w:r>
            <w:r w:rsidRPr="00F90BE3">
              <w:t>(</w:t>
            </w:r>
            <w:r w:rsidRPr="00F90BE3">
              <w:t>因變項</w:t>
            </w:r>
            <w:r w:rsidRPr="00F90BE3">
              <w:t>)</w:t>
            </w:r>
          </w:p>
        </w:tc>
        <w:tc>
          <w:tcPr>
            <w:tcW w:w="959" w:type="dxa"/>
            <w:shd w:val="clear" w:color="auto" w:fill="FAF0FA"/>
          </w:tcPr>
          <w:p w14:paraId="2E08FFD2" w14:textId="77777777" w:rsidR="00203F72" w:rsidRPr="00F90BE3" w:rsidRDefault="00203F72" w:rsidP="00D87D91">
            <w:r w:rsidRPr="00F90BE3">
              <w:t>依變項</w:t>
            </w:r>
            <w:r w:rsidRPr="00F90BE3">
              <w:t>(</w:t>
            </w:r>
            <w:r w:rsidRPr="00F90BE3">
              <w:t>結果變項</w:t>
            </w:r>
            <w:r w:rsidRPr="00F90BE3">
              <w:t>)</w:t>
            </w:r>
          </w:p>
        </w:tc>
        <w:tc>
          <w:tcPr>
            <w:tcW w:w="1134" w:type="dxa"/>
            <w:shd w:val="clear" w:color="auto" w:fill="FAF0FA"/>
          </w:tcPr>
          <w:p w14:paraId="2A4AF98D" w14:textId="77777777" w:rsidR="00203F72" w:rsidRPr="00F90BE3" w:rsidRDefault="00203F72" w:rsidP="00D87D91">
            <w:r w:rsidRPr="00F90BE3">
              <w:t>時間</w:t>
            </w:r>
          </w:p>
        </w:tc>
        <w:tc>
          <w:tcPr>
            <w:tcW w:w="850" w:type="dxa"/>
            <w:shd w:val="clear" w:color="auto" w:fill="FAF0FA"/>
          </w:tcPr>
          <w:p w14:paraId="19545D08" w14:textId="77777777" w:rsidR="00203F72" w:rsidRPr="00F90BE3" w:rsidRDefault="00203F72" w:rsidP="00D87D91">
            <w:r w:rsidRPr="00F90BE3">
              <w:t>效果顯著性</w:t>
            </w:r>
          </w:p>
        </w:tc>
        <w:tc>
          <w:tcPr>
            <w:tcW w:w="567" w:type="dxa"/>
            <w:shd w:val="clear" w:color="auto" w:fill="FAF0FA"/>
          </w:tcPr>
          <w:p w14:paraId="5481C855" w14:textId="77777777" w:rsidR="00203F72" w:rsidRPr="00F90BE3" w:rsidRDefault="00203F72" w:rsidP="00D87D91">
            <w:r w:rsidRPr="00F90BE3">
              <w:t>關係</w:t>
            </w:r>
          </w:p>
        </w:tc>
        <w:tc>
          <w:tcPr>
            <w:tcW w:w="2490" w:type="dxa"/>
            <w:shd w:val="clear" w:color="auto" w:fill="FAF0FA"/>
          </w:tcPr>
          <w:p w14:paraId="11EF4936" w14:textId="77777777" w:rsidR="00203F72" w:rsidRPr="00F90BE3" w:rsidRDefault="00203F72" w:rsidP="00D87D91">
            <w:r w:rsidRPr="00F90BE3">
              <w:t>說明</w:t>
            </w:r>
          </w:p>
        </w:tc>
      </w:tr>
      <w:tr w:rsidR="00203F72" w:rsidRPr="00F90BE3" w14:paraId="05A15952" w14:textId="77777777" w:rsidTr="00203F72">
        <w:trPr>
          <w:trHeight w:val="72"/>
        </w:trPr>
        <w:tc>
          <w:tcPr>
            <w:tcW w:w="596" w:type="dxa"/>
            <w:vMerge w:val="restart"/>
            <w:shd w:val="clear" w:color="auto" w:fill="auto"/>
          </w:tcPr>
          <w:p w14:paraId="3DC48C09" w14:textId="77777777" w:rsidR="00203F72" w:rsidRPr="00F90BE3" w:rsidRDefault="00203F72" w:rsidP="00D87D91">
            <w:r w:rsidRPr="00F90BE3">
              <w:t>死刑之短期效應</w:t>
            </w:r>
          </w:p>
        </w:tc>
        <w:tc>
          <w:tcPr>
            <w:tcW w:w="596" w:type="dxa"/>
            <w:vMerge w:val="restart"/>
            <w:shd w:val="clear" w:color="auto" w:fill="auto"/>
          </w:tcPr>
          <w:p w14:paraId="383D1195" w14:textId="77777777" w:rsidR="00203F72" w:rsidRPr="00F90BE3" w:rsidRDefault="00203F72" w:rsidP="00D87D91">
            <w:r w:rsidRPr="00F90BE3">
              <w:t>總體短期效應</w:t>
            </w:r>
          </w:p>
        </w:tc>
        <w:tc>
          <w:tcPr>
            <w:tcW w:w="1076" w:type="dxa"/>
            <w:vMerge w:val="restart"/>
            <w:shd w:val="clear" w:color="auto" w:fill="auto"/>
          </w:tcPr>
          <w:p w14:paraId="19D85294" w14:textId="77777777" w:rsidR="00203F72" w:rsidRPr="00F90BE3" w:rsidRDefault="00203F72" w:rsidP="00D87D91">
            <w:r w:rsidRPr="00F90BE3">
              <w:t>被執行死刑總人數對於</w:t>
            </w:r>
            <w:r w:rsidRPr="00F90BE3">
              <w:t xml:space="preserve"> </w:t>
            </w:r>
          </w:p>
        </w:tc>
        <w:tc>
          <w:tcPr>
            <w:tcW w:w="959" w:type="dxa"/>
            <w:vMerge w:val="restart"/>
            <w:shd w:val="clear" w:color="auto" w:fill="auto"/>
          </w:tcPr>
          <w:p w14:paraId="1AE4BC41" w14:textId="77777777" w:rsidR="00203F72" w:rsidRPr="00F90BE3" w:rsidRDefault="00203F72" w:rsidP="00D87D91">
            <w:r w:rsidRPr="00F90BE3">
              <w:t>殺人罪發生件數</w:t>
            </w:r>
          </w:p>
        </w:tc>
        <w:tc>
          <w:tcPr>
            <w:tcW w:w="1134" w:type="dxa"/>
            <w:shd w:val="clear" w:color="auto" w:fill="auto"/>
          </w:tcPr>
          <w:p w14:paraId="5416BDD6" w14:textId="77777777" w:rsidR="00203F72" w:rsidRPr="00F90BE3" w:rsidRDefault="00203F72" w:rsidP="00D87D91">
            <w:r w:rsidRPr="00F90BE3">
              <w:t>當月</w:t>
            </w:r>
          </w:p>
        </w:tc>
        <w:tc>
          <w:tcPr>
            <w:tcW w:w="850" w:type="dxa"/>
            <w:shd w:val="clear" w:color="auto" w:fill="auto"/>
          </w:tcPr>
          <w:p w14:paraId="077DABBD" w14:textId="77777777" w:rsidR="00203F72" w:rsidRPr="00F90BE3" w:rsidRDefault="00203F72" w:rsidP="00D87D91">
            <w:r w:rsidRPr="00F90BE3">
              <w:t>v</w:t>
            </w:r>
          </w:p>
        </w:tc>
        <w:tc>
          <w:tcPr>
            <w:tcW w:w="567" w:type="dxa"/>
            <w:shd w:val="clear" w:color="auto" w:fill="auto"/>
          </w:tcPr>
          <w:p w14:paraId="7B3221D6" w14:textId="77777777" w:rsidR="00203F72" w:rsidRPr="00F90BE3" w:rsidRDefault="00203F72" w:rsidP="00D87D91">
            <w:r w:rsidRPr="00F90BE3">
              <w:t>+</w:t>
            </w:r>
          </w:p>
        </w:tc>
        <w:tc>
          <w:tcPr>
            <w:tcW w:w="2490" w:type="dxa"/>
            <w:vMerge w:val="restart"/>
            <w:shd w:val="clear" w:color="auto" w:fill="auto"/>
          </w:tcPr>
          <w:p w14:paraId="4D490714" w14:textId="77777777" w:rsidR="00203F72" w:rsidRPr="00F90BE3" w:rsidRDefault="00203F72" w:rsidP="00D87D91">
            <w:r w:rsidRPr="00F90BE3">
              <w:t>當被執行死刑人數</w:t>
            </w:r>
            <w:r w:rsidRPr="00F90BE3">
              <w:t>(</w:t>
            </w:r>
            <w:r w:rsidRPr="00F90BE3">
              <w:t>自變項</w:t>
            </w:r>
            <w:r w:rsidRPr="00F90BE3">
              <w:t>)</w:t>
            </w:r>
            <w:r w:rsidRPr="00F90BE3">
              <w:t>愈多時，爾後四個月內殺人罪</w:t>
            </w:r>
            <w:r w:rsidRPr="00F90BE3">
              <w:t>(</w:t>
            </w:r>
            <w:r w:rsidRPr="00F90BE3">
              <w:t>依變項</w:t>
            </w:r>
            <w:r w:rsidRPr="00F90BE3">
              <w:t>)</w:t>
            </w:r>
            <w:r w:rsidRPr="00F90BE3">
              <w:t>亦有增加之現象</w:t>
            </w:r>
          </w:p>
        </w:tc>
      </w:tr>
      <w:tr w:rsidR="00203F72" w:rsidRPr="00F90BE3" w14:paraId="00C310C6" w14:textId="77777777" w:rsidTr="00203F72">
        <w:trPr>
          <w:trHeight w:val="72"/>
        </w:trPr>
        <w:tc>
          <w:tcPr>
            <w:tcW w:w="596" w:type="dxa"/>
            <w:vMerge/>
            <w:shd w:val="clear" w:color="auto" w:fill="auto"/>
          </w:tcPr>
          <w:p w14:paraId="19EC441B" w14:textId="77777777" w:rsidR="00203F72" w:rsidRPr="00F90BE3" w:rsidRDefault="00203F72" w:rsidP="00D87D91"/>
        </w:tc>
        <w:tc>
          <w:tcPr>
            <w:tcW w:w="596" w:type="dxa"/>
            <w:vMerge/>
            <w:shd w:val="clear" w:color="auto" w:fill="auto"/>
          </w:tcPr>
          <w:p w14:paraId="17FD84D2" w14:textId="77777777" w:rsidR="00203F72" w:rsidRPr="00F90BE3" w:rsidRDefault="00203F72" w:rsidP="00D87D91"/>
        </w:tc>
        <w:tc>
          <w:tcPr>
            <w:tcW w:w="1076" w:type="dxa"/>
            <w:vMerge/>
            <w:shd w:val="clear" w:color="auto" w:fill="auto"/>
          </w:tcPr>
          <w:p w14:paraId="73DD2AED" w14:textId="77777777" w:rsidR="00203F72" w:rsidRPr="00F90BE3" w:rsidRDefault="00203F72" w:rsidP="00D87D91"/>
        </w:tc>
        <w:tc>
          <w:tcPr>
            <w:tcW w:w="959" w:type="dxa"/>
            <w:vMerge/>
            <w:shd w:val="clear" w:color="auto" w:fill="auto"/>
          </w:tcPr>
          <w:p w14:paraId="06C4C09C" w14:textId="77777777" w:rsidR="00203F72" w:rsidRPr="00F90BE3" w:rsidRDefault="00203F72" w:rsidP="00D87D91"/>
        </w:tc>
        <w:tc>
          <w:tcPr>
            <w:tcW w:w="1134" w:type="dxa"/>
            <w:shd w:val="clear" w:color="auto" w:fill="auto"/>
          </w:tcPr>
          <w:p w14:paraId="451DD38C" w14:textId="77777777" w:rsidR="00203F72" w:rsidRPr="00F90BE3" w:rsidRDefault="00203F72" w:rsidP="00D87D91">
            <w:r w:rsidRPr="00F90BE3">
              <w:t>延一月</w:t>
            </w:r>
          </w:p>
        </w:tc>
        <w:tc>
          <w:tcPr>
            <w:tcW w:w="850" w:type="dxa"/>
            <w:shd w:val="clear" w:color="auto" w:fill="auto"/>
          </w:tcPr>
          <w:p w14:paraId="24498883" w14:textId="77777777" w:rsidR="00203F72" w:rsidRPr="00F90BE3" w:rsidRDefault="00203F72" w:rsidP="00D87D91">
            <w:r w:rsidRPr="00F90BE3">
              <w:t>v</w:t>
            </w:r>
          </w:p>
        </w:tc>
        <w:tc>
          <w:tcPr>
            <w:tcW w:w="567" w:type="dxa"/>
            <w:shd w:val="clear" w:color="auto" w:fill="auto"/>
          </w:tcPr>
          <w:p w14:paraId="3406DD96" w14:textId="77777777" w:rsidR="00203F72" w:rsidRPr="00F90BE3" w:rsidRDefault="00203F72" w:rsidP="00D87D91">
            <w:r w:rsidRPr="00F90BE3">
              <w:t>+</w:t>
            </w:r>
          </w:p>
        </w:tc>
        <w:tc>
          <w:tcPr>
            <w:tcW w:w="2490" w:type="dxa"/>
            <w:vMerge/>
            <w:shd w:val="clear" w:color="auto" w:fill="auto"/>
          </w:tcPr>
          <w:p w14:paraId="066F8EB9" w14:textId="77777777" w:rsidR="00203F72" w:rsidRPr="00F90BE3" w:rsidRDefault="00203F72" w:rsidP="00D87D91"/>
        </w:tc>
      </w:tr>
      <w:tr w:rsidR="00203F72" w:rsidRPr="00F90BE3" w14:paraId="53848D22" w14:textId="77777777" w:rsidTr="00203F72">
        <w:trPr>
          <w:trHeight w:val="72"/>
        </w:trPr>
        <w:tc>
          <w:tcPr>
            <w:tcW w:w="596" w:type="dxa"/>
            <w:vMerge/>
            <w:shd w:val="clear" w:color="auto" w:fill="auto"/>
          </w:tcPr>
          <w:p w14:paraId="56672CEF" w14:textId="77777777" w:rsidR="00203F72" w:rsidRPr="00F90BE3" w:rsidRDefault="00203F72" w:rsidP="00D87D91"/>
        </w:tc>
        <w:tc>
          <w:tcPr>
            <w:tcW w:w="596" w:type="dxa"/>
            <w:vMerge/>
            <w:shd w:val="clear" w:color="auto" w:fill="auto"/>
          </w:tcPr>
          <w:p w14:paraId="4F339EB9" w14:textId="77777777" w:rsidR="00203F72" w:rsidRPr="00F90BE3" w:rsidRDefault="00203F72" w:rsidP="00D87D91"/>
        </w:tc>
        <w:tc>
          <w:tcPr>
            <w:tcW w:w="1076" w:type="dxa"/>
            <w:vMerge/>
            <w:shd w:val="clear" w:color="auto" w:fill="auto"/>
          </w:tcPr>
          <w:p w14:paraId="0A5CF29B" w14:textId="77777777" w:rsidR="00203F72" w:rsidRPr="00F90BE3" w:rsidRDefault="00203F72" w:rsidP="00D87D91"/>
        </w:tc>
        <w:tc>
          <w:tcPr>
            <w:tcW w:w="959" w:type="dxa"/>
            <w:vMerge/>
            <w:shd w:val="clear" w:color="auto" w:fill="auto"/>
          </w:tcPr>
          <w:p w14:paraId="2AD3DE28" w14:textId="77777777" w:rsidR="00203F72" w:rsidRPr="00F90BE3" w:rsidRDefault="00203F72" w:rsidP="00D87D91"/>
        </w:tc>
        <w:tc>
          <w:tcPr>
            <w:tcW w:w="1134" w:type="dxa"/>
            <w:shd w:val="clear" w:color="auto" w:fill="auto"/>
          </w:tcPr>
          <w:p w14:paraId="1CFE60B3" w14:textId="77777777" w:rsidR="00203F72" w:rsidRPr="00F90BE3" w:rsidRDefault="00203F72" w:rsidP="00D87D91">
            <w:r w:rsidRPr="00F90BE3">
              <w:t>延二月</w:t>
            </w:r>
          </w:p>
        </w:tc>
        <w:tc>
          <w:tcPr>
            <w:tcW w:w="850" w:type="dxa"/>
            <w:shd w:val="clear" w:color="auto" w:fill="auto"/>
          </w:tcPr>
          <w:p w14:paraId="65D08765" w14:textId="77777777" w:rsidR="00203F72" w:rsidRPr="00F90BE3" w:rsidRDefault="00203F72" w:rsidP="00D87D91">
            <w:r w:rsidRPr="00F90BE3">
              <w:t>v</w:t>
            </w:r>
          </w:p>
        </w:tc>
        <w:tc>
          <w:tcPr>
            <w:tcW w:w="567" w:type="dxa"/>
            <w:shd w:val="clear" w:color="auto" w:fill="auto"/>
          </w:tcPr>
          <w:p w14:paraId="0BE71BC4" w14:textId="77777777" w:rsidR="00203F72" w:rsidRPr="00F90BE3" w:rsidRDefault="00203F72" w:rsidP="00D87D91">
            <w:r w:rsidRPr="00F90BE3">
              <w:t>+</w:t>
            </w:r>
          </w:p>
        </w:tc>
        <w:tc>
          <w:tcPr>
            <w:tcW w:w="2490" w:type="dxa"/>
            <w:vMerge/>
            <w:shd w:val="clear" w:color="auto" w:fill="auto"/>
          </w:tcPr>
          <w:p w14:paraId="3C20DB29" w14:textId="77777777" w:rsidR="00203F72" w:rsidRPr="00F90BE3" w:rsidRDefault="00203F72" w:rsidP="00D87D91"/>
        </w:tc>
      </w:tr>
      <w:tr w:rsidR="00203F72" w:rsidRPr="00F90BE3" w14:paraId="4B34C5AB" w14:textId="77777777" w:rsidTr="00203F72">
        <w:trPr>
          <w:trHeight w:val="72"/>
        </w:trPr>
        <w:tc>
          <w:tcPr>
            <w:tcW w:w="596" w:type="dxa"/>
            <w:vMerge/>
            <w:shd w:val="clear" w:color="auto" w:fill="auto"/>
          </w:tcPr>
          <w:p w14:paraId="1F273801" w14:textId="77777777" w:rsidR="00203F72" w:rsidRPr="00F90BE3" w:rsidRDefault="00203F72" w:rsidP="00D87D91"/>
        </w:tc>
        <w:tc>
          <w:tcPr>
            <w:tcW w:w="596" w:type="dxa"/>
            <w:vMerge/>
            <w:shd w:val="clear" w:color="auto" w:fill="auto"/>
          </w:tcPr>
          <w:p w14:paraId="3E9C525C" w14:textId="77777777" w:rsidR="00203F72" w:rsidRPr="00F90BE3" w:rsidRDefault="00203F72" w:rsidP="00D87D91"/>
        </w:tc>
        <w:tc>
          <w:tcPr>
            <w:tcW w:w="1076" w:type="dxa"/>
            <w:vMerge/>
            <w:shd w:val="clear" w:color="auto" w:fill="auto"/>
          </w:tcPr>
          <w:p w14:paraId="0E105EA7" w14:textId="77777777" w:rsidR="00203F72" w:rsidRPr="00F90BE3" w:rsidRDefault="00203F72" w:rsidP="00D87D91"/>
        </w:tc>
        <w:tc>
          <w:tcPr>
            <w:tcW w:w="959" w:type="dxa"/>
            <w:vMerge/>
            <w:shd w:val="clear" w:color="auto" w:fill="auto"/>
          </w:tcPr>
          <w:p w14:paraId="250BEE3B" w14:textId="77777777" w:rsidR="00203F72" w:rsidRPr="00F90BE3" w:rsidRDefault="00203F72" w:rsidP="00D87D91"/>
        </w:tc>
        <w:tc>
          <w:tcPr>
            <w:tcW w:w="1134" w:type="dxa"/>
            <w:shd w:val="clear" w:color="auto" w:fill="auto"/>
          </w:tcPr>
          <w:p w14:paraId="55BF24CD" w14:textId="77777777" w:rsidR="00203F72" w:rsidRPr="00F90BE3" w:rsidRDefault="00203F72" w:rsidP="00D87D91">
            <w:r w:rsidRPr="00F90BE3">
              <w:t>延三月</w:t>
            </w:r>
          </w:p>
        </w:tc>
        <w:tc>
          <w:tcPr>
            <w:tcW w:w="850" w:type="dxa"/>
            <w:shd w:val="clear" w:color="auto" w:fill="auto"/>
          </w:tcPr>
          <w:p w14:paraId="20F39E5F" w14:textId="77777777" w:rsidR="00203F72" w:rsidRPr="00F90BE3" w:rsidRDefault="00203F72" w:rsidP="00D87D91">
            <w:r w:rsidRPr="00F90BE3">
              <w:t>v</w:t>
            </w:r>
          </w:p>
        </w:tc>
        <w:tc>
          <w:tcPr>
            <w:tcW w:w="567" w:type="dxa"/>
            <w:shd w:val="clear" w:color="auto" w:fill="auto"/>
          </w:tcPr>
          <w:p w14:paraId="3D0F6A72" w14:textId="77777777" w:rsidR="00203F72" w:rsidRPr="00F90BE3" w:rsidRDefault="00203F72" w:rsidP="00D87D91">
            <w:r w:rsidRPr="00F90BE3">
              <w:t>+</w:t>
            </w:r>
          </w:p>
        </w:tc>
        <w:tc>
          <w:tcPr>
            <w:tcW w:w="2490" w:type="dxa"/>
            <w:vMerge/>
            <w:shd w:val="clear" w:color="auto" w:fill="auto"/>
          </w:tcPr>
          <w:p w14:paraId="13735947" w14:textId="77777777" w:rsidR="00203F72" w:rsidRPr="00F90BE3" w:rsidRDefault="00203F72" w:rsidP="00D87D91"/>
        </w:tc>
      </w:tr>
      <w:tr w:rsidR="00203F72" w:rsidRPr="00F90BE3" w14:paraId="20E62F89" w14:textId="77777777" w:rsidTr="00203F72">
        <w:trPr>
          <w:trHeight w:val="72"/>
        </w:trPr>
        <w:tc>
          <w:tcPr>
            <w:tcW w:w="596" w:type="dxa"/>
            <w:vMerge/>
            <w:shd w:val="clear" w:color="auto" w:fill="auto"/>
          </w:tcPr>
          <w:p w14:paraId="429018E6" w14:textId="77777777" w:rsidR="00203F72" w:rsidRPr="00F90BE3" w:rsidRDefault="00203F72" w:rsidP="00D87D91"/>
        </w:tc>
        <w:tc>
          <w:tcPr>
            <w:tcW w:w="596" w:type="dxa"/>
            <w:vMerge/>
            <w:shd w:val="clear" w:color="auto" w:fill="auto"/>
          </w:tcPr>
          <w:p w14:paraId="2D17F8FC" w14:textId="77777777" w:rsidR="00203F72" w:rsidRPr="00F90BE3" w:rsidRDefault="00203F72" w:rsidP="00D87D91"/>
        </w:tc>
        <w:tc>
          <w:tcPr>
            <w:tcW w:w="1076" w:type="dxa"/>
            <w:vMerge/>
            <w:shd w:val="clear" w:color="auto" w:fill="auto"/>
          </w:tcPr>
          <w:p w14:paraId="0BB7B5B0" w14:textId="77777777" w:rsidR="00203F72" w:rsidRPr="00F90BE3" w:rsidRDefault="00203F72" w:rsidP="00D87D91"/>
        </w:tc>
        <w:tc>
          <w:tcPr>
            <w:tcW w:w="959" w:type="dxa"/>
            <w:vMerge/>
            <w:shd w:val="clear" w:color="auto" w:fill="auto"/>
          </w:tcPr>
          <w:p w14:paraId="21C1E81F" w14:textId="77777777" w:rsidR="00203F72" w:rsidRPr="00F90BE3" w:rsidRDefault="00203F72" w:rsidP="00D87D91"/>
        </w:tc>
        <w:tc>
          <w:tcPr>
            <w:tcW w:w="1134" w:type="dxa"/>
            <w:shd w:val="clear" w:color="auto" w:fill="auto"/>
          </w:tcPr>
          <w:p w14:paraId="26F2B62B" w14:textId="77777777" w:rsidR="00203F72" w:rsidRPr="00F90BE3" w:rsidRDefault="00203F72" w:rsidP="00D87D91">
            <w:r w:rsidRPr="00F90BE3">
              <w:t>延四月</w:t>
            </w:r>
          </w:p>
        </w:tc>
        <w:tc>
          <w:tcPr>
            <w:tcW w:w="850" w:type="dxa"/>
            <w:shd w:val="clear" w:color="auto" w:fill="auto"/>
          </w:tcPr>
          <w:p w14:paraId="48435F58" w14:textId="77777777" w:rsidR="00203F72" w:rsidRPr="00F90BE3" w:rsidRDefault="00203F72" w:rsidP="00D87D91">
            <w:r w:rsidRPr="00F90BE3">
              <w:t>v</w:t>
            </w:r>
          </w:p>
        </w:tc>
        <w:tc>
          <w:tcPr>
            <w:tcW w:w="567" w:type="dxa"/>
            <w:shd w:val="clear" w:color="auto" w:fill="auto"/>
          </w:tcPr>
          <w:p w14:paraId="5BAD96FF" w14:textId="77777777" w:rsidR="00203F72" w:rsidRPr="00F90BE3" w:rsidRDefault="00203F72" w:rsidP="00D87D91">
            <w:r w:rsidRPr="00F90BE3">
              <w:t>+</w:t>
            </w:r>
          </w:p>
        </w:tc>
        <w:tc>
          <w:tcPr>
            <w:tcW w:w="2490" w:type="dxa"/>
            <w:vMerge/>
            <w:shd w:val="clear" w:color="auto" w:fill="auto"/>
          </w:tcPr>
          <w:p w14:paraId="2D86A149" w14:textId="77777777" w:rsidR="00203F72" w:rsidRPr="00F90BE3" w:rsidRDefault="00203F72" w:rsidP="00D87D91"/>
        </w:tc>
      </w:tr>
      <w:tr w:rsidR="00203F72" w:rsidRPr="00F90BE3" w14:paraId="7FDF8D28" w14:textId="77777777" w:rsidTr="00203F72">
        <w:trPr>
          <w:trHeight w:val="72"/>
        </w:trPr>
        <w:tc>
          <w:tcPr>
            <w:tcW w:w="596" w:type="dxa"/>
            <w:vMerge/>
            <w:shd w:val="clear" w:color="auto" w:fill="auto"/>
          </w:tcPr>
          <w:p w14:paraId="39BA4F38" w14:textId="77777777" w:rsidR="00203F72" w:rsidRPr="00F90BE3" w:rsidRDefault="00203F72" w:rsidP="00D87D91"/>
        </w:tc>
        <w:tc>
          <w:tcPr>
            <w:tcW w:w="596" w:type="dxa"/>
            <w:vMerge/>
            <w:shd w:val="clear" w:color="auto" w:fill="auto"/>
          </w:tcPr>
          <w:p w14:paraId="3B7DF6E1" w14:textId="77777777" w:rsidR="00203F72" w:rsidRPr="00F90BE3" w:rsidRDefault="00203F72" w:rsidP="00D87D91"/>
        </w:tc>
        <w:tc>
          <w:tcPr>
            <w:tcW w:w="1076" w:type="dxa"/>
            <w:vMerge w:val="restart"/>
            <w:shd w:val="clear" w:color="auto" w:fill="auto"/>
          </w:tcPr>
          <w:p w14:paraId="6A74DFEA" w14:textId="77777777" w:rsidR="00203F72" w:rsidRPr="00F90BE3" w:rsidRDefault="00203F72" w:rsidP="00D87D91">
            <w:r w:rsidRPr="00F90BE3">
              <w:t>被執行死刑總人數對於</w:t>
            </w:r>
          </w:p>
        </w:tc>
        <w:tc>
          <w:tcPr>
            <w:tcW w:w="959" w:type="dxa"/>
            <w:vMerge w:val="restart"/>
            <w:shd w:val="clear" w:color="auto" w:fill="auto"/>
          </w:tcPr>
          <w:p w14:paraId="20BF0D78" w14:textId="77777777" w:rsidR="00203F72" w:rsidRPr="00F90BE3" w:rsidRDefault="00203F72" w:rsidP="00D87D91">
            <w:r w:rsidRPr="00F90BE3">
              <w:t>搶劫案發生件數之影響</w:t>
            </w:r>
          </w:p>
        </w:tc>
        <w:tc>
          <w:tcPr>
            <w:tcW w:w="1134" w:type="dxa"/>
            <w:shd w:val="clear" w:color="auto" w:fill="auto"/>
          </w:tcPr>
          <w:p w14:paraId="5C7478ED" w14:textId="77777777" w:rsidR="00203F72" w:rsidRPr="00F90BE3" w:rsidRDefault="00203F72" w:rsidP="00D87D91">
            <w:r w:rsidRPr="00F90BE3">
              <w:t>當月</w:t>
            </w:r>
          </w:p>
        </w:tc>
        <w:tc>
          <w:tcPr>
            <w:tcW w:w="850" w:type="dxa"/>
            <w:shd w:val="clear" w:color="auto" w:fill="auto"/>
          </w:tcPr>
          <w:p w14:paraId="7B500F1C" w14:textId="77777777" w:rsidR="00203F72" w:rsidRPr="00F90BE3" w:rsidRDefault="00203F72" w:rsidP="00D87D91">
            <w:r w:rsidRPr="00F90BE3">
              <w:t>v</w:t>
            </w:r>
          </w:p>
        </w:tc>
        <w:tc>
          <w:tcPr>
            <w:tcW w:w="567" w:type="dxa"/>
            <w:shd w:val="clear" w:color="auto" w:fill="auto"/>
          </w:tcPr>
          <w:p w14:paraId="49609E68" w14:textId="77777777" w:rsidR="00203F72" w:rsidRPr="00F90BE3" w:rsidRDefault="00203F72" w:rsidP="00D87D91">
            <w:r w:rsidRPr="00F90BE3">
              <w:t>+</w:t>
            </w:r>
          </w:p>
        </w:tc>
        <w:tc>
          <w:tcPr>
            <w:tcW w:w="2490" w:type="dxa"/>
            <w:vMerge w:val="restart"/>
            <w:shd w:val="clear" w:color="auto" w:fill="auto"/>
          </w:tcPr>
          <w:p w14:paraId="1AA9D1BA" w14:textId="77777777" w:rsidR="00203F72" w:rsidRPr="00F90BE3" w:rsidRDefault="00203F72" w:rsidP="00D87D91">
            <w:r w:rsidRPr="00F90BE3">
              <w:t>當被執行死刑人數</w:t>
            </w:r>
            <w:r w:rsidRPr="00F90BE3">
              <w:t>(</w:t>
            </w:r>
            <w:r w:rsidRPr="00F90BE3">
              <w:t>自變項</w:t>
            </w:r>
            <w:r w:rsidRPr="00F90BE3">
              <w:t>)</w:t>
            </w:r>
            <w:r w:rsidRPr="00F90BE3">
              <w:t>愈多時，爾後四個月內搶劫案</w:t>
            </w:r>
            <w:r w:rsidRPr="00F90BE3">
              <w:t>(</w:t>
            </w:r>
            <w:r w:rsidRPr="00F90BE3">
              <w:t>依變項</w:t>
            </w:r>
            <w:r w:rsidRPr="00F90BE3">
              <w:t>)</w:t>
            </w:r>
            <w:r w:rsidRPr="00F90BE3">
              <w:t>亦有增加之現象</w:t>
            </w:r>
          </w:p>
        </w:tc>
      </w:tr>
      <w:tr w:rsidR="00203F72" w:rsidRPr="00F90BE3" w14:paraId="4461E403" w14:textId="77777777" w:rsidTr="00203F72">
        <w:trPr>
          <w:trHeight w:val="72"/>
        </w:trPr>
        <w:tc>
          <w:tcPr>
            <w:tcW w:w="596" w:type="dxa"/>
            <w:vMerge/>
            <w:shd w:val="clear" w:color="auto" w:fill="auto"/>
          </w:tcPr>
          <w:p w14:paraId="3E372766" w14:textId="77777777" w:rsidR="00203F72" w:rsidRPr="00F90BE3" w:rsidRDefault="00203F72" w:rsidP="00D87D91"/>
        </w:tc>
        <w:tc>
          <w:tcPr>
            <w:tcW w:w="596" w:type="dxa"/>
            <w:vMerge/>
            <w:shd w:val="clear" w:color="auto" w:fill="auto"/>
          </w:tcPr>
          <w:p w14:paraId="64EF553C" w14:textId="77777777" w:rsidR="00203F72" w:rsidRPr="00F90BE3" w:rsidRDefault="00203F72" w:rsidP="00D87D91"/>
        </w:tc>
        <w:tc>
          <w:tcPr>
            <w:tcW w:w="1076" w:type="dxa"/>
            <w:vMerge/>
            <w:shd w:val="clear" w:color="auto" w:fill="auto"/>
          </w:tcPr>
          <w:p w14:paraId="4CA5CF30" w14:textId="77777777" w:rsidR="00203F72" w:rsidRPr="00F90BE3" w:rsidRDefault="00203F72" w:rsidP="00D87D91"/>
        </w:tc>
        <w:tc>
          <w:tcPr>
            <w:tcW w:w="959" w:type="dxa"/>
            <w:vMerge/>
            <w:shd w:val="clear" w:color="auto" w:fill="auto"/>
          </w:tcPr>
          <w:p w14:paraId="100A4FF6" w14:textId="77777777" w:rsidR="00203F72" w:rsidRPr="00F90BE3" w:rsidRDefault="00203F72" w:rsidP="00D87D91"/>
        </w:tc>
        <w:tc>
          <w:tcPr>
            <w:tcW w:w="1134" w:type="dxa"/>
            <w:shd w:val="clear" w:color="auto" w:fill="auto"/>
          </w:tcPr>
          <w:p w14:paraId="76AA5CF1" w14:textId="77777777" w:rsidR="00203F72" w:rsidRPr="00F90BE3" w:rsidRDefault="00203F72" w:rsidP="00D87D91">
            <w:r w:rsidRPr="00F90BE3">
              <w:t>延一月</w:t>
            </w:r>
          </w:p>
        </w:tc>
        <w:tc>
          <w:tcPr>
            <w:tcW w:w="850" w:type="dxa"/>
            <w:shd w:val="clear" w:color="auto" w:fill="auto"/>
          </w:tcPr>
          <w:p w14:paraId="00BC7BD2" w14:textId="77777777" w:rsidR="00203F72" w:rsidRPr="00F90BE3" w:rsidRDefault="00203F72" w:rsidP="00D87D91">
            <w:r w:rsidRPr="00F90BE3">
              <w:t>v</w:t>
            </w:r>
          </w:p>
        </w:tc>
        <w:tc>
          <w:tcPr>
            <w:tcW w:w="567" w:type="dxa"/>
            <w:shd w:val="clear" w:color="auto" w:fill="auto"/>
          </w:tcPr>
          <w:p w14:paraId="59E6DAEA" w14:textId="77777777" w:rsidR="00203F72" w:rsidRPr="00F90BE3" w:rsidRDefault="00203F72" w:rsidP="00D87D91">
            <w:r w:rsidRPr="00F90BE3">
              <w:t>+</w:t>
            </w:r>
          </w:p>
        </w:tc>
        <w:tc>
          <w:tcPr>
            <w:tcW w:w="2490" w:type="dxa"/>
            <w:vMerge/>
            <w:shd w:val="clear" w:color="auto" w:fill="auto"/>
          </w:tcPr>
          <w:p w14:paraId="0869229F" w14:textId="77777777" w:rsidR="00203F72" w:rsidRPr="00F90BE3" w:rsidRDefault="00203F72" w:rsidP="00D87D91"/>
        </w:tc>
      </w:tr>
      <w:tr w:rsidR="00203F72" w:rsidRPr="00F90BE3" w14:paraId="3B9F4228" w14:textId="77777777" w:rsidTr="00203F72">
        <w:trPr>
          <w:trHeight w:val="72"/>
        </w:trPr>
        <w:tc>
          <w:tcPr>
            <w:tcW w:w="596" w:type="dxa"/>
            <w:vMerge/>
            <w:shd w:val="clear" w:color="auto" w:fill="auto"/>
          </w:tcPr>
          <w:p w14:paraId="7A750E0B" w14:textId="77777777" w:rsidR="00203F72" w:rsidRPr="00F90BE3" w:rsidRDefault="00203F72" w:rsidP="00D87D91"/>
        </w:tc>
        <w:tc>
          <w:tcPr>
            <w:tcW w:w="596" w:type="dxa"/>
            <w:vMerge/>
            <w:shd w:val="clear" w:color="auto" w:fill="auto"/>
          </w:tcPr>
          <w:p w14:paraId="77A8BCB8" w14:textId="77777777" w:rsidR="00203F72" w:rsidRPr="00F90BE3" w:rsidRDefault="00203F72" w:rsidP="00D87D91"/>
        </w:tc>
        <w:tc>
          <w:tcPr>
            <w:tcW w:w="1076" w:type="dxa"/>
            <w:vMerge/>
            <w:shd w:val="clear" w:color="auto" w:fill="auto"/>
          </w:tcPr>
          <w:p w14:paraId="1F5CE172" w14:textId="77777777" w:rsidR="00203F72" w:rsidRPr="00F90BE3" w:rsidRDefault="00203F72" w:rsidP="00D87D91"/>
        </w:tc>
        <w:tc>
          <w:tcPr>
            <w:tcW w:w="959" w:type="dxa"/>
            <w:vMerge/>
            <w:shd w:val="clear" w:color="auto" w:fill="auto"/>
          </w:tcPr>
          <w:p w14:paraId="49419CF8" w14:textId="77777777" w:rsidR="00203F72" w:rsidRPr="00F90BE3" w:rsidRDefault="00203F72" w:rsidP="00D87D91"/>
        </w:tc>
        <w:tc>
          <w:tcPr>
            <w:tcW w:w="1134" w:type="dxa"/>
            <w:shd w:val="clear" w:color="auto" w:fill="auto"/>
          </w:tcPr>
          <w:p w14:paraId="752FA5AA" w14:textId="77777777" w:rsidR="00203F72" w:rsidRPr="00F90BE3" w:rsidRDefault="00203F72" w:rsidP="00D87D91">
            <w:r w:rsidRPr="00F90BE3">
              <w:t>延二月</w:t>
            </w:r>
          </w:p>
        </w:tc>
        <w:tc>
          <w:tcPr>
            <w:tcW w:w="850" w:type="dxa"/>
            <w:shd w:val="clear" w:color="auto" w:fill="auto"/>
          </w:tcPr>
          <w:p w14:paraId="3FF36737" w14:textId="77777777" w:rsidR="00203F72" w:rsidRPr="00F90BE3" w:rsidRDefault="00203F72" w:rsidP="00D87D91">
            <w:r w:rsidRPr="00F90BE3">
              <w:t>v</w:t>
            </w:r>
          </w:p>
        </w:tc>
        <w:tc>
          <w:tcPr>
            <w:tcW w:w="567" w:type="dxa"/>
            <w:shd w:val="clear" w:color="auto" w:fill="auto"/>
          </w:tcPr>
          <w:p w14:paraId="77CB7794" w14:textId="77777777" w:rsidR="00203F72" w:rsidRPr="00F90BE3" w:rsidRDefault="00203F72" w:rsidP="00D87D91">
            <w:r w:rsidRPr="00F90BE3">
              <w:t>+</w:t>
            </w:r>
          </w:p>
        </w:tc>
        <w:tc>
          <w:tcPr>
            <w:tcW w:w="2490" w:type="dxa"/>
            <w:vMerge/>
            <w:shd w:val="clear" w:color="auto" w:fill="auto"/>
          </w:tcPr>
          <w:p w14:paraId="53B7575C" w14:textId="77777777" w:rsidR="00203F72" w:rsidRPr="00F90BE3" w:rsidRDefault="00203F72" w:rsidP="00D87D91"/>
        </w:tc>
      </w:tr>
      <w:tr w:rsidR="00203F72" w:rsidRPr="00F90BE3" w14:paraId="6A9E0C2F" w14:textId="77777777" w:rsidTr="00203F72">
        <w:trPr>
          <w:trHeight w:val="72"/>
        </w:trPr>
        <w:tc>
          <w:tcPr>
            <w:tcW w:w="596" w:type="dxa"/>
            <w:vMerge/>
            <w:shd w:val="clear" w:color="auto" w:fill="auto"/>
          </w:tcPr>
          <w:p w14:paraId="67B9DB49" w14:textId="77777777" w:rsidR="00203F72" w:rsidRPr="00F90BE3" w:rsidRDefault="00203F72" w:rsidP="00D87D91"/>
        </w:tc>
        <w:tc>
          <w:tcPr>
            <w:tcW w:w="596" w:type="dxa"/>
            <w:vMerge/>
            <w:shd w:val="clear" w:color="auto" w:fill="auto"/>
          </w:tcPr>
          <w:p w14:paraId="601E68CB" w14:textId="77777777" w:rsidR="00203F72" w:rsidRPr="00F90BE3" w:rsidRDefault="00203F72" w:rsidP="00D87D91"/>
        </w:tc>
        <w:tc>
          <w:tcPr>
            <w:tcW w:w="1076" w:type="dxa"/>
            <w:vMerge/>
            <w:shd w:val="clear" w:color="auto" w:fill="auto"/>
          </w:tcPr>
          <w:p w14:paraId="09A71575" w14:textId="77777777" w:rsidR="00203F72" w:rsidRPr="00F90BE3" w:rsidRDefault="00203F72" w:rsidP="00D87D91"/>
        </w:tc>
        <w:tc>
          <w:tcPr>
            <w:tcW w:w="959" w:type="dxa"/>
            <w:vMerge/>
            <w:shd w:val="clear" w:color="auto" w:fill="auto"/>
          </w:tcPr>
          <w:p w14:paraId="69EED795" w14:textId="77777777" w:rsidR="00203F72" w:rsidRPr="00F90BE3" w:rsidRDefault="00203F72" w:rsidP="00D87D91"/>
        </w:tc>
        <w:tc>
          <w:tcPr>
            <w:tcW w:w="1134" w:type="dxa"/>
            <w:shd w:val="clear" w:color="auto" w:fill="auto"/>
          </w:tcPr>
          <w:p w14:paraId="0AD1642C" w14:textId="77777777" w:rsidR="00203F72" w:rsidRPr="00F90BE3" w:rsidRDefault="00203F72" w:rsidP="00D87D91">
            <w:r w:rsidRPr="00F90BE3">
              <w:t>延三月</w:t>
            </w:r>
          </w:p>
        </w:tc>
        <w:tc>
          <w:tcPr>
            <w:tcW w:w="850" w:type="dxa"/>
            <w:shd w:val="clear" w:color="auto" w:fill="auto"/>
          </w:tcPr>
          <w:p w14:paraId="1DFC94D3" w14:textId="77777777" w:rsidR="00203F72" w:rsidRPr="00F90BE3" w:rsidRDefault="00203F72" w:rsidP="00D87D91">
            <w:r w:rsidRPr="00F90BE3">
              <w:t>v</w:t>
            </w:r>
          </w:p>
        </w:tc>
        <w:tc>
          <w:tcPr>
            <w:tcW w:w="567" w:type="dxa"/>
            <w:shd w:val="clear" w:color="auto" w:fill="auto"/>
          </w:tcPr>
          <w:p w14:paraId="7DE615E6" w14:textId="77777777" w:rsidR="00203F72" w:rsidRPr="00F90BE3" w:rsidRDefault="00203F72" w:rsidP="00D87D91">
            <w:r w:rsidRPr="00F90BE3">
              <w:t>+</w:t>
            </w:r>
          </w:p>
        </w:tc>
        <w:tc>
          <w:tcPr>
            <w:tcW w:w="2490" w:type="dxa"/>
            <w:vMerge/>
            <w:shd w:val="clear" w:color="auto" w:fill="auto"/>
          </w:tcPr>
          <w:p w14:paraId="7EE3220B" w14:textId="77777777" w:rsidR="00203F72" w:rsidRPr="00F90BE3" w:rsidRDefault="00203F72" w:rsidP="00D87D91"/>
        </w:tc>
      </w:tr>
      <w:tr w:rsidR="00203F72" w:rsidRPr="00F90BE3" w14:paraId="6F1D3B38" w14:textId="77777777" w:rsidTr="00203F72">
        <w:trPr>
          <w:trHeight w:val="72"/>
        </w:trPr>
        <w:tc>
          <w:tcPr>
            <w:tcW w:w="596" w:type="dxa"/>
            <w:vMerge/>
            <w:shd w:val="clear" w:color="auto" w:fill="auto"/>
          </w:tcPr>
          <w:p w14:paraId="4C466195" w14:textId="77777777" w:rsidR="00203F72" w:rsidRPr="00F90BE3" w:rsidRDefault="00203F72" w:rsidP="00D87D91"/>
        </w:tc>
        <w:tc>
          <w:tcPr>
            <w:tcW w:w="596" w:type="dxa"/>
            <w:vMerge/>
            <w:shd w:val="clear" w:color="auto" w:fill="auto"/>
          </w:tcPr>
          <w:p w14:paraId="431A6A4B" w14:textId="77777777" w:rsidR="00203F72" w:rsidRPr="00F90BE3" w:rsidRDefault="00203F72" w:rsidP="00D87D91"/>
        </w:tc>
        <w:tc>
          <w:tcPr>
            <w:tcW w:w="1076" w:type="dxa"/>
            <w:vMerge/>
            <w:shd w:val="clear" w:color="auto" w:fill="auto"/>
          </w:tcPr>
          <w:p w14:paraId="676C9EED" w14:textId="77777777" w:rsidR="00203F72" w:rsidRPr="00F90BE3" w:rsidRDefault="00203F72" w:rsidP="00D87D91"/>
        </w:tc>
        <w:tc>
          <w:tcPr>
            <w:tcW w:w="959" w:type="dxa"/>
            <w:vMerge/>
            <w:shd w:val="clear" w:color="auto" w:fill="auto"/>
          </w:tcPr>
          <w:p w14:paraId="4D19E893" w14:textId="77777777" w:rsidR="00203F72" w:rsidRPr="00F90BE3" w:rsidRDefault="00203F72" w:rsidP="00D87D91"/>
        </w:tc>
        <w:tc>
          <w:tcPr>
            <w:tcW w:w="1134" w:type="dxa"/>
            <w:shd w:val="clear" w:color="auto" w:fill="auto"/>
          </w:tcPr>
          <w:p w14:paraId="75FC409E" w14:textId="77777777" w:rsidR="00203F72" w:rsidRPr="00F90BE3" w:rsidRDefault="00203F72" w:rsidP="00D87D91">
            <w:r w:rsidRPr="00F90BE3">
              <w:t>延四月</w:t>
            </w:r>
          </w:p>
        </w:tc>
        <w:tc>
          <w:tcPr>
            <w:tcW w:w="850" w:type="dxa"/>
            <w:shd w:val="clear" w:color="auto" w:fill="auto"/>
          </w:tcPr>
          <w:p w14:paraId="6947D8D8" w14:textId="77777777" w:rsidR="00203F72" w:rsidRPr="00F90BE3" w:rsidRDefault="00203F72" w:rsidP="00D87D91">
            <w:r w:rsidRPr="00F90BE3">
              <w:t>v</w:t>
            </w:r>
          </w:p>
        </w:tc>
        <w:tc>
          <w:tcPr>
            <w:tcW w:w="567" w:type="dxa"/>
            <w:shd w:val="clear" w:color="auto" w:fill="auto"/>
          </w:tcPr>
          <w:p w14:paraId="0456C298" w14:textId="77777777" w:rsidR="00203F72" w:rsidRPr="00F90BE3" w:rsidRDefault="00203F72" w:rsidP="00D87D91">
            <w:r w:rsidRPr="00F90BE3">
              <w:t>+</w:t>
            </w:r>
          </w:p>
        </w:tc>
        <w:tc>
          <w:tcPr>
            <w:tcW w:w="2490" w:type="dxa"/>
            <w:vMerge/>
            <w:shd w:val="clear" w:color="auto" w:fill="auto"/>
          </w:tcPr>
          <w:p w14:paraId="0F73F8D2" w14:textId="77777777" w:rsidR="00203F72" w:rsidRPr="00F90BE3" w:rsidRDefault="00203F72" w:rsidP="00D87D91"/>
        </w:tc>
      </w:tr>
      <w:tr w:rsidR="00203F72" w:rsidRPr="00F90BE3" w14:paraId="4F9D1A5D" w14:textId="77777777" w:rsidTr="00203F72">
        <w:trPr>
          <w:trHeight w:val="72"/>
        </w:trPr>
        <w:tc>
          <w:tcPr>
            <w:tcW w:w="596" w:type="dxa"/>
            <w:vMerge/>
            <w:shd w:val="clear" w:color="auto" w:fill="auto"/>
          </w:tcPr>
          <w:p w14:paraId="4F75D69E" w14:textId="77777777" w:rsidR="00203F72" w:rsidRPr="00F90BE3" w:rsidRDefault="00203F72" w:rsidP="00D87D91"/>
        </w:tc>
        <w:tc>
          <w:tcPr>
            <w:tcW w:w="596" w:type="dxa"/>
            <w:vMerge/>
            <w:shd w:val="clear" w:color="auto" w:fill="auto"/>
          </w:tcPr>
          <w:p w14:paraId="76B74E3A" w14:textId="77777777" w:rsidR="00203F72" w:rsidRPr="00F90BE3" w:rsidRDefault="00203F72" w:rsidP="00D87D91"/>
        </w:tc>
        <w:tc>
          <w:tcPr>
            <w:tcW w:w="1076" w:type="dxa"/>
            <w:vMerge w:val="restart"/>
            <w:shd w:val="clear" w:color="auto" w:fill="auto"/>
          </w:tcPr>
          <w:p w14:paraId="7140F74F" w14:textId="77777777" w:rsidR="00203F72" w:rsidRPr="00F90BE3" w:rsidRDefault="00203F72" w:rsidP="00D87D91">
            <w:r w:rsidRPr="00F90BE3">
              <w:t>被執行死刑總人數對於</w:t>
            </w:r>
          </w:p>
        </w:tc>
        <w:tc>
          <w:tcPr>
            <w:tcW w:w="959" w:type="dxa"/>
            <w:vMerge w:val="restart"/>
            <w:shd w:val="clear" w:color="auto" w:fill="auto"/>
          </w:tcPr>
          <w:p w14:paraId="645C95CC" w14:textId="77777777" w:rsidR="00203F72" w:rsidRPr="00F90BE3" w:rsidRDefault="00203F72" w:rsidP="00D87D91">
            <w:r w:rsidRPr="00F90BE3">
              <w:t>搶奪案發生件數之影響</w:t>
            </w:r>
          </w:p>
        </w:tc>
        <w:tc>
          <w:tcPr>
            <w:tcW w:w="1134" w:type="dxa"/>
            <w:shd w:val="clear" w:color="auto" w:fill="auto"/>
          </w:tcPr>
          <w:p w14:paraId="4EEB95F0" w14:textId="77777777" w:rsidR="00203F72" w:rsidRPr="00F90BE3" w:rsidRDefault="00203F72" w:rsidP="00D87D91">
            <w:r w:rsidRPr="00F90BE3">
              <w:t>當月</w:t>
            </w:r>
          </w:p>
        </w:tc>
        <w:tc>
          <w:tcPr>
            <w:tcW w:w="850" w:type="dxa"/>
            <w:shd w:val="clear" w:color="auto" w:fill="auto"/>
          </w:tcPr>
          <w:p w14:paraId="3EE4086E" w14:textId="77777777" w:rsidR="00203F72" w:rsidRPr="00F90BE3" w:rsidRDefault="00203F72" w:rsidP="00D87D91">
            <w:r w:rsidRPr="00F90BE3">
              <w:t>X</w:t>
            </w:r>
          </w:p>
        </w:tc>
        <w:tc>
          <w:tcPr>
            <w:tcW w:w="567" w:type="dxa"/>
            <w:shd w:val="clear" w:color="auto" w:fill="auto"/>
          </w:tcPr>
          <w:p w14:paraId="4D24418C" w14:textId="77777777" w:rsidR="00203F72" w:rsidRPr="00F90BE3" w:rsidRDefault="00203F72" w:rsidP="00D87D91"/>
        </w:tc>
        <w:tc>
          <w:tcPr>
            <w:tcW w:w="2490" w:type="dxa"/>
            <w:vMerge w:val="restart"/>
            <w:shd w:val="clear" w:color="auto" w:fill="auto"/>
          </w:tcPr>
          <w:p w14:paraId="02F36CAF" w14:textId="77777777" w:rsidR="00203F72" w:rsidRPr="00F90BE3" w:rsidRDefault="00203F72" w:rsidP="00D87D91">
            <w:r w:rsidRPr="00F90BE3">
              <w:t>被執行死刑人數</w:t>
            </w:r>
            <w:r w:rsidRPr="00F90BE3">
              <w:t>(</w:t>
            </w:r>
            <w:r w:rsidRPr="00F90BE3">
              <w:t>自變項</w:t>
            </w:r>
            <w:r w:rsidRPr="00F90BE3">
              <w:t>)</w:t>
            </w:r>
            <w:r w:rsidRPr="00F90BE3">
              <w:t>多寡，對搶奪案之發生件數</w:t>
            </w:r>
            <w:r w:rsidRPr="00F90BE3">
              <w:t>(</w:t>
            </w:r>
            <w:r w:rsidRPr="00F90BE3">
              <w:t>依變項</w:t>
            </w:r>
            <w:r w:rsidRPr="00F90BE3">
              <w:t>)</w:t>
            </w:r>
            <w:r w:rsidRPr="00F90BE3">
              <w:t>毫無影響</w:t>
            </w:r>
          </w:p>
        </w:tc>
      </w:tr>
      <w:tr w:rsidR="00203F72" w:rsidRPr="00F90BE3" w14:paraId="600DEA3C" w14:textId="77777777" w:rsidTr="00203F72">
        <w:trPr>
          <w:trHeight w:val="72"/>
        </w:trPr>
        <w:tc>
          <w:tcPr>
            <w:tcW w:w="596" w:type="dxa"/>
            <w:vMerge/>
            <w:shd w:val="clear" w:color="auto" w:fill="auto"/>
          </w:tcPr>
          <w:p w14:paraId="590942BE" w14:textId="77777777" w:rsidR="00203F72" w:rsidRPr="00F90BE3" w:rsidRDefault="00203F72" w:rsidP="00D87D91"/>
        </w:tc>
        <w:tc>
          <w:tcPr>
            <w:tcW w:w="596" w:type="dxa"/>
            <w:vMerge/>
            <w:shd w:val="clear" w:color="auto" w:fill="auto"/>
          </w:tcPr>
          <w:p w14:paraId="53526583" w14:textId="77777777" w:rsidR="00203F72" w:rsidRPr="00F90BE3" w:rsidRDefault="00203F72" w:rsidP="00D87D91"/>
        </w:tc>
        <w:tc>
          <w:tcPr>
            <w:tcW w:w="1076" w:type="dxa"/>
            <w:vMerge/>
            <w:shd w:val="clear" w:color="auto" w:fill="auto"/>
          </w:tcPr>
          <w:p w14:paraId="1B0D4169" w14:textId="77777777" w:rsidR="00203F72" w:rsidRPr="00F90BE3" w:rsidRDefault="00203F72" w:rsidP="00D87D91"/>
        </w:tc>
        <w:tc>
          <w:tcPr>
            <w:tcW w:w="959" w:type="dxa"/>
            <w:vMerge/>
            <w:shd w:val="clear" w:color="auto" w:fill="auto"/>
          </w:tcPr>
          <w:p w14:paraId="6693256B" w14:textId="77777777" w:rsidR="00203F72" w:rsidRPr="00F90BE3" w:rsidRDefault="00203F72" w:rsidP="00D87D91"/>
        </w:tc>
        <w:tc>
          <w:tcPr>
            <w:tcW w:w="1134" w:type="dxa"/>
            <w:shd w:val="clear" w:color="auto" w:fill="auto"/>
          </w:tcPr>
          <w:p w14:paraId="360F76A1" w14:textId="77777777" w:rsidR="00203F72" w:rsidRPr="00F90BE3" w:rsidRDefault="00203F72" w:rsidP="00D87D91">
            <w:r w:rsidRPr="00F90BE3">
              <w:t>延一月</w:t>
            </w:r>
          </w:p>
        </w:tc>
        <w:tc>
          <w:tcPr>
            <w:tcW w:w="850" w:type="dxa"/>
            <w:shd w:val="clear" w:color="auto" w:fill="auto"/>
          </w:tcPr>
          <w:p w14:paraId="0A46C287" w14:textId="77777777" w:rsidR="00203F72" w:rsidRPr="00F90BE3" w:rsidRDefault="00203F72" w:rsidP="00D87D91">
            <w:r w:rsidRPr="00F90BE3">
              <w:t>X</w:t>
            </w:r>
          </w:p>
        </w:tc>
        <w:tc>
          <w:tcPr>
            <w:tcW w:w="567" w:type="dxa"/>
            <w:shd w:val="clear" w:color="auto" w:fill="auto"/>
          </w:tcPr>
          <w:p w14:paraId="57A165D2" w14:textId="77777777" w:rsidR="00203F72" w:rsidRPr="00F90BE3" w:rsidRDefault="00203F72" w:rsidP="00D87D91"/>
        </w:tc>
        <w:tc>
          <w:tcPr>
            <w:tcW w:w="2490" w:type="dxa"/>
            <w:vMerge/>
            <w:shd w:val="clear" w:color="auto" w:fill="auto"/>
          </w:tcPr>
          <w:p w14:paraId="65CC0CA4" w14:textId="77777777" w:rsidR="00203F72" w:rsidRPr="00F90BE3" w:rsidRDefault="00203F72" w:rsidP="00D87D91"/>
        </w:tc>
      </w:tr>
      <w:tr w:rsidR="00203F72" w:rsidRPr="00F90BE3" w14:paraId="3A2693F7" w14:textId="77777777" w:rsidTr="00203F72">
        <w:trPr>
          <w:trHeight w:val="72"/>
        </w:trPr>
        <w:tc>
          <w:tcPr>
            <w:tcW w:w="596" w:type="dxa"/>
            <w:vMerge/>
            <w:shd w:val="clear" w:color="auto" w:fill="auto"/>
          </w:tcPr>
          <w:p w14:paraId="10DFE6E7" w14:textId="77777777" w:rsidR="00203F72" w:rsidRPr="00F90BE3" w:rsidRDefault="00203F72" w:rsidP="00D87D91"/>
        </w:tc>
        <w:tc>
          <w:tcPr>
            <w:tcW w:w="596" w:type="dxa"/>
            <w:vMerge/>
            <w:shd w:val="clear" w:color="auto" w:fill="auto"/>
          </w:tcPr>
          <w:p w14:paraId="78A9DCFE" w14:textId="77777777" w:rsidR="00203F72" w:rsidRPr="00F90BE3" w:rsidRDefault="00203F72" w:rsidP="00D87D91"/>
        </w:tc>
        <w:tc>
          <w:tcPr>
            <w:tcW w:w="1076" w:type="dxa"/>
            <w:vMerge/>
            <w:shd w:val="clear" w:color="auto" w:fill="auto"/>
          </w:tcPr>
          <w:p w14:paraId="278FFB81" w14:textId="77777777" w:rsidR="00203F72" w:rsidRPr="00F90BE3" w:rsidRDefault="00203F72" w:rsidP="00D87D91"/>
        </w:tc>
        <w:tc>
          <w:tcPr>
            <w:tcW w:w="959" w:type="dxa"/>
            <w:vMerge/>
            <w:shd w:val="clear" w:color="auto" w:fill="auto"/>
          </w:tcPr>
          <w:p w14:paraId="59B047D2" w14:textId="77777777" w:rsidR="00203F72" w:rsidRPr="00F90BE3" w:rsidRDefault="00203F72" w:rsidP="00D87D91"/>
        </w:tc>
        <w:tc>
          <w:tcPr>
            <w:tcW w:w="1134" w:type="dxa"/>
            <w:shd w:val="clear" w:color="auto" w:fill="auto"/>
          </w:tcPr>
          <w:p w14:paraId="5AC039D3" w14:textId="77777777" w:rsidR="00203F72" w:rsidRPr="00F90BE3" w:rsidRDefault="00203F72" w:rsidP="00D87D91">
            <w:r w:rsidRPr="00F90BE3">
              <w:t>延二月</w:t>
            </w:r>
          </w:p>
        </w:tc>
        <w:tc>
          <w:tcPr>
            <w:tcW w:w="850" w:type="dxa"/>
            <w:shd w:val="clear" w:color="auto" w:fill="auto"/>
          </w:tcPr>
          <w:p w14:paraId="1B773B22" w14:textId="77777777" w:rsidR="00203F72" w:rsidRPr="00F90BE3" w:rsidRDefault="00203F72" w:rsidP="00D87D91">
            <w:r w:rsidRPr="00F90BE3">
              <w:t>X</w:t>
            </w:r>
          </w:p>
        </w:tc>
        <w:tc>
          <w:tcPr>
            <w:tcW w:w="567" w:type="dxa"/>
            <w:shd w:val="clear" w:color="auto" w:fill="auto"/>
          </w:tcPr>
          <w:p w14:paraId="482434E8" w14:textId="77777777" w:rsidR="00203F72" w:rsidRPr="00F90BE3" w:rsidRDefault="00203F72" w:rsidP="00D87D91"/>
        </w:tc>
        <w:tc>
          <w:tcPr>
            <w:tcW w:w="2490" w:type="dxa"/>
            <w:vMerge/>
            <w:shd w:val="clear" w:color="auto" w:fill="auto"/>
          </w:tcPr>
          <w:p w14:paraId="300E92E8" w14:textId="77777777" w:rsidR="00203F72" w:rsidRPr="00F90BE3" w:rsidRDefault="00203F72" w:rsidP="00D87D91"/>
        </w:tc>
      </w:tr>
      <w:tr w:rsidR="00203F72" w:rsidRPr="00F90BE3" w14:paraId="1072D7CD" w14:textId="77777777" w:rsidTr="00203F72">
        <w:trPr>
          <w:trHeight w:val="72"/>
        </w:trPr>
        <w:tc>
          <w:tcPr>
            <w:tcW w:w="596" w:type="dxa"/>
            <w:vMerge/>
            <w:shd w:val="clear" w:color="auto" w:fill="auto"/>
          </w:tcPr>
          <w:p w14:paraId="750741B8" w14:textId="77777777" w:rsidR="00203F72" w:rsidRPr="00F90BE3" w:rsidRDefault="00203F72" w:rsidP="00D87D91"/>
        </w:tc>
        <w:tc>
          <w:tcPr>
            <w:tcW w:w="596" w:type="dxa"/>
            <w:vMerge/>
            <w:shd w:val="clear" w:color="auto" w:fill="auto"/>
          </w:tcPr>
          <w:p w14:paraId="32712BA0" w14:textId="77777777" w:rsidR="00203F72" w:rsidRPr="00F90BE3" w:rsidRDefault="00203F72" w:rsidP="00D87D91"/>
        </w:tc>
        <w:tc>
          <w:tcPr>
            <w:tcW w:w="1076" w:type="dxa"/>
            <w:vMerge/>
            <w:shd w:val="clear" w:color="auto" w:fill="auto"/>
          </w:tcPr>
          <w:p w14:paraId="3AA375A9" w14:textId="77777777" w:rsidR="00203F72" w:rsidRPr="00F90BE3" w:rsidRDefault="00203F72" w:rsidP="00D87D91"/>
        </w:tc>
        <w:tc>
          <w:tcPr>
            <w:tcW w:w="959" w:type="dxa"/>
            <w:vMerge/>
            <w:shd w:val="clear" w:color="auto" w:fill="auto"/>
          </w:tcPr>
          <w:p w14:paraId="2BE5BAC0" w14:textId="77777777" w:rsidR="00203F72" w:rsidRPr="00F90BE3" w:rsidRDefault="00203F72" w:rsidP="00D87D91"/>
        </w:tc>
        <w:tc>
          <w:tcPr>
            <w:tcW w:w="1134" w:type="dxa"/>
            <w:shd w:val="clear" w:color="auto" w:fill="auto"/>
          </w:tcPr>
          <w:p w14:paraId="273A0FE0" w14:textId="77777777" w:rsidR="00203F72" w:rsidRPr="00F90BE3" w:rsidRDefault="00203F72" w:rsidP="00D87D91">
            <w:r w:rsidRPr="00F90BE3">
              <w:t>延三月</w:t>
            </w:r>
          </w:p>
        </w:tc>
        <w:tc>
          <w:tcPr>
            <w:tcW w:w="850" w:type="dxa"/>
            <w:shd w:val="clear" w:color="auto" w:fill="auto"/>
          </w:tcPr>
          <w:p w14:paraId="797FB9B9" w14:textId="77777777" w:rsidR="00203F72" w:rsidRPr="00F90BE3" w:rsidRDefault="00203F72" w:rsidP="00D87D91">
            <w:r w:rsidRPr="00F90BE3">
              <w:t>X</w:t>
            </w:r>
          </w:p>
        </w:tc>
        <w:tc>
          <w:tcPr>
            <w:tcW w:w="567" w:type="dxa"/>
            <w:shd w:val="clear" w:color="auto" w:fill="auto"/>
          </w:tcPr>
          <w:p w14:paraId="3404D4A3" w14:textId="77777777" w:rsidR="00203F72" w:rsidRPr="00F90BE3" w:rsidRDefault="00203F72" w:rsidP="00D87D91"/>
        </w:tc>
        <w:tc>
          <w:tcPr>
            <w:tcW w:w="2490" w:type="dxa"/>
            <w:vMerge/>
            <w:shd w:val="clear" w:color="auto" w:fill="auto"/>
          </w:tcPr>
          <w:p w14:paraId="385E3061" w14:textId="77777777" w:rsidR="00203F72" w:rsidRPr="00F90BE3" w:rsidRDefault="00203F72" w:rsidP="00D87D91"/>
        </w:tc>
      </w:tr>
      <w:tr w:rsidR="00203F72" w:rsidRPr="00F90BE3" w14:paraId="0B797744" w14:textId="77777777" w:rsidTr="00203F72">
        <w:trPr>
          <w:trHeight w:val="72"/>
        </w:trPr>
        <w:tc>
          <w:tcPr>
            <w:tcW w:w="596" w:type="dxa"/>
            <w:vMerge/>
            <w:shd w:val="clear" w:color="auto" w:fill="auto"/>
          </w:tcPr>
          <w:p w14:paraId="20CD8FCB" w14:textId="77777777" w:rsidR="00203F72" w:rsidRPr="00F90BE3" w:rsidRDefault="00203F72" w:rsidP="00D87D91"/>
        </w:tc>
        <w:tc>
          <w:tcPr>
            <w:tcW w:w="596" w:type="dxa"/>
            <w:vMerge/>
            <w:shd w:val="clear" w:color="auto" w:fill="auto"/>
          </w:tcPr>
          <w:p w14:paraId="09121AB1" w14:textId="77777777" w:rsidR="00203F72" w:rsidRPr="00F90BE3" w:rsidRDefault="00203F72" w:rsidP="00D87D91"/>
        </w:tc>
        <w:tc>
          <w:tcPr>
            <w:tcW w:w="1076" w:type="dxa"/>
            <w:vMerge/>
            <w:shd w:val="clear" w:color="auto" w:fill="auto"/>
          </w:tcPr>
          <w:p w14:paraId="1696B7C5" w14:textId="77777777" w:rsidR="00203F72" w:rsidRPr="00F90BE3" w:rsidRDefault="00203F72" w:rsidP="00D87D91"/>
        </w:tc>
        <w:tc>
          <w:tcPr>
            <w:tcW w:w="959" w:type="dxa"/>
            <w:vMerge/>
            <w:shd w:val="clear" w:color="auto" w:fill="auto"/>
          </w:tcPr>
          <w:p w14:paraId="2F14AE46" w14:textId="77777777" w:rsidR="00203F72" w:rsidRPr="00F90BE3" w:rsidRDefault="00203F72" w:rsidP="00D87D91"/>
        </w:tc>
        <w:tc>
          <w:tcPr>
            <w:tcW w:w="1134" w:type="dxa"/>
            <w:shd w:val="clear" w:color="auto" w:fill="auto"/>
          </w:tcPr>
          <w:p w14:paraId="476E85A0" w14:textId="77777777" w:rsidR="00203F72" w:rsidRPr="00F90BE3" w:rsidRDefault="00203F72" w:rsidP="00D87D91">
            <w:r w:rsidRPr="00F90BE3">
              <w:t>延四月</w:t>
            </w:r>
          </w:p>
        </w:tc>
        <w:tc>
          <w:tcPr>
            <w:tcW w:w="850" w:type="dxa"/>
            <w:shd w:val="clear" w:color="auto" w:fill="auto"/>
          </w:tcPr>
          <w:p w14:paraId="76092EED" w14:textId="77777777" w:rsidR="00203F72" w:rsidRPr="00F90BE3" w:rsidRDefault="00203F72" w:rsidP="00D87D91">
            <w:r w:rsidRPr="00F90BE3">
              <w:t>X</w:t>
            </w:r>
          </w:p>
        </w:tc>
        <w:tc>
          <w:tcPr>
            <w:tcW w:w="567" w:type="dxa"/>
            <w:shd w:val="clear" w:color="auto" w:fill="auto"/>
          </w:tcPr>
          <w:p w14:paraId="595A3833" w14:textId="77777777" w:rsidR="00203F72" w:rsidRPr="00F90BE3" w:rsidRDefault="00203F72" w:rsidP="00D87D91"/>
        </w:tc>
        <w:tc>
          <w:tcPr>
            <w:tcW w:w="2490" w:type="dxa"/>
            <w:vMerge/>
            <w:shd w:val="clear" w:color="auto" w:fill="auto"/>
          </w:tcPr>
          <w:p w14:paraId="752AF156" w14:textId="77777777" w:rsidR="00203F72" w:rsidRPr="00F90BE3" w:rsidRDefault="00203F72" w:rsidP="00D87D91"/>
        </w:tc>
      </w:tr>
      <w:tr w:rsidR="00203F72" w:rsidRPr="00F90BE3" w14:paraId="5F6F6732" w14:textId="77777777" w:rsidTr="00203F72">
        <w:trPr>
          <w:trHeight w:val="72"/>
        </w:trPr>
        <w:tc>
          <w:tcPr>
            <w:tcW w:w="596" w:type="dxa"/>
            <w:vMerge/>
            <w:shd w:val="clear" w:color="auto" w:fill="auto"/>
          </w:tcPr>
          <w:p w14:paraId="4DE12B77" w14:textId="77777777" w:rsidR="00203F72" w:rsidRPr="00F90BE3" w:rsidRDefault="00203F72" w:rsidP="00D87D91"/>
        </w:tc>
        <w:tc>
          <w:tcPr>
            <w:tcW w:w="596" w:type="dxa"/>
            <w:vMerge/>
            <w:shd w:val="clear" w:color="auto" w:fill="auto"/>
          </w:tcPr>
          <w:p w14:paraId="524D642C" w14:textId="77777777" w:rsidR="00203F72" w:rsidRPr="00F90BE3" w:rsidRDefault="00203F72" w:rsidP="00D87D91"/>
        </w:tc>
        <w:tc>
          <w:tcPr>
            <w:tcW w:w="1076" w:type="dxa"/>
            <w:vMerge w:val="restart"/>
            <w:shd w:val="clear" w:color="auto" w:fill="auto"/>
          </w:tcPr>
          <w:p w14:paraId="7E08D40E" w14:textId="77777777" w:rsidR="00203F72" w:rsidRPr="00F90BE3" w:rsidRDefault="00203F72" w:rsidP="00D87D91">
            <w:r w:rsidRPr="00F90BE3">
              <w:t>被執行死刑總人數對於</w:t>
            </w:r>
          </w:p>
        </w:tc>
        <w:tc>
          <w:tcPr>
            <w:tcW w:w="959" w:type="dxa"/>
            <w:vMerge w:val="restart"/>
            <w:shd w:val="clear" w:color="auto" w:fill="auto"/>
          </w:tcPr>
          <w:p w14:paraId="33BC28C1" w14:textId="77777777" w:rsidR="00203F72" w:rsidRPr="00F90BE3" w:rsidRDefault="00203F72" w:rsidP="00D87D91">
            <w:r w:rsidRPr="00F90BE3">
              <w:t>擄人勒贖案發生件數之影響</w:t>
            </w:r>
          </w:p>
        </w:tc>
        <w:tc>
          <w:tcPr>
            <w:tcW w:w="1134" w:type="dxa"/>
            <w:shd w:val="clear" w:color="auto" w:fill="auto"/>
          </w:tcPr>
          <w:p w14:paraId="54743DC4" w14:textId="77777777" w:rsidR="00203F72" w:rsidRPr="00F90BE3" w:rsidRDefault="00203F72" w:rsidP="00D87D91">
            <w:r w:rsidRPr="00F90BE3">
              <w:t>當月</w:t>
            </w:r>
          </w:p>
        </w:tc>
        <w:tc>
          <w:tcPr>
            <w:tcW w:w="850" w:type="dxa"/>
            <w:shd w:val="clear" w:color="auto" w:fill="auto"/>
          </w:tcPr>
          <w:p w14:paraId="0A727740" w14:textId="77777777" w:rsidR="00203F72" w:rsidRPr="00F90BE3" w:rsidRDefault="00203F72" w:rsidP="00D87D91">
            <w:r w:rsidRPr="00F90BE3">
              <w:t>v</w:t>
            </w:r>
          </w:p>
        </w:tc>
        <w:tc>
          <w:tcPr>
            <w:tcW w:w="567" w:type="dxa"/>
            <w:shd w:val="clear" w:color="auto" w:fill="auto"/>
          </w:tcPr>
          <w:p w14:paraId="64558D11" w14:textId="77777777" w:rsidR="00203F72" w:rsidRPr="00F90BE3" w:rsidRDefault="00203F72" w:rsidP="00D87D91">
            <w:r w:rsidRPr="00F90BE3">
              <w:t>+</w:t>
            </w:r>
          </w:p>
        </w:tc>
        <w:tc>
          <w:tcPr>
            <w:tcW w:w="2490" w:type="dxa"/>
            <w:vMerge w:val="restart"/>
            <w:shd w:val="clear" w:color="auto" w:fill="auto"/>
          </w:tcPr>
          <w:p w14:paraId="4111B592" w14:textId="77777777" w:rsidR="00203F72" w:rsidRPr="00F90BE3" w:rsidRDefault="00203F72" w:rsidP="00D87D91">
            <w:r w:rsidRPr="00F90BE3">
              <w:t>當被執行死刑人數</w:t>
            </w:r>
            <w:r w:rsidRPr="00F90BE3">
              <w:t>(</w:t>
            </w:r>
            <w:r w:rsidRPr="00F90BE3">
              <w:t>自變項</w:t>
            </w:r>
            <w:r w:rsidRPr="00F90BE3">
              <w:t>)</w:t>
            </w:r>
            <w:r w:rsidRPr="00F90BE3">
              <w:t>愈多時，爾後四個月內擄人勒贖</w:t>
            </w:r>
            <w:r w:rsidRPr="00F90BE3">
              <w:t>(</w:t>
            </w:r>
            <w:r w:rsidRPr="00F90BE3">
              <w:t>依變項</w:t>
            </w:r>
            <w:r w:rsidRPr="00F90BE3">
              <w:t>)</w:t>
            </w:r>
            <w:r w:rsidRPr="00F90BE3">
              <w:t>亦有增加之現象</w:t>
            </w:r>
          </w:p>
        </w:tc>
      </w:tr>
      <w:tr w:rsidR="00203F72" w:rsidRPr="00F90BE3" w14:paraId="1AAEADC9" w14:textId="77777777" w:rsidTr="00203F72">
        <w:trPr>
          <w:trHeight w:val="72"/>
        </w:trPr>
        <w:tc>
          <w:tcPr>
            <w:tcW w:w="596" w:type="dxa"/>
            <w:vMerge/>
            <w:shd w:val="clear" w:color="auto" w:fill="auto"/>
          </w:tcPr>
          <w:p w14:paraId="4FD6DC1A" w14:textId="77777777" w:rsidR="00203F72" w:rsidRPr="00F90BE3" w:rsidRDefault="00203F72" w:rsidP="00D87D91"/>
        </w:tc>
        <w:tc>
          <w:tcPr>
            <w:tcW w:w="596" w:type="dxa"/>
            <w:vMerge/>
            <w:shd w:val="clear" w:color="auto" w:fill="auto"/>
          </w:tcPr>
          <w:p w14:paraId="00C6C3B7" w14:textId="77777777" w:rsidR="00203F72" w:rsidRPr="00F90BE3" w:rsidRDefault="00203F72" w:rsidP="00D87D91"/>
        </w:tc>
        <w:tc>
          <w:tcPr>
            <w:tcW w:w="1076" w:type="dxa"/>
            <w:vMerge/>
            <w:shd w:val="clear" w:color="auto" w:fill="auto"/>
          </w:tcPr>
          <w:p w14:paraId="644EF707" w14:textId="77777777" w:rsidR="00203F72" w:rsidRPr="00F90BE3" w:rsidRDefault="00203F72" w:rsidP="00D87D91"/>
        </w:tc>
        <w:tc>
          <w:tcPr>
            <w:tcW w:w="959" w:type="dxa"/>
            <w:vMerge/>
            <w:shd w:val="clear" w:color="auto" w:fill="auto"/>
          </w:tcPr>
          <w:p w14:paraId="4467C68C" w14:textId="77777777" w:rsidR="00203F72" w:rsidRPr="00F90BE3" w:rsidRDefault="00203F72" w:rsidP="00D87D91"/>
        </w:tc>
        <w:tc>
          <w:tcPr>
            <w:tcW w:w="1134" w:type="dxa"/>
            <w:shd w:val="clear" w:color="auto" w:fill="auto"/>
          </w:tcPr>
          <w:p w14:paraId="5C38C997" w14:textId="77777777" w:rsidR="00203F72" w:rsidRPr="00F90BE3" w:rsidRDefault="00203F72" w:rsidP="00D87D91">
            <w:r w:rsidRPr="00F90BE3">
              <w:t>延一月</w:t>
            </w:r>
          </w:p>
        </w:tc>
        <w:tc>
          <w:tcPr>
            <w:tcW w:w="850" w:type="dxa"/>
            <w:shd w:val="clear" w:color="auto" w:fill="auto"/>
          </w:tcPr>
          <w:p w14:paraId="099A92CE" w14:textId="77777777" w:rsidR="00203F72" w:rsidRPr="00F90BE3" w:rsidRDefault="00203F72" w:rsidP="00D87D91">
            <w:r w:rsidRPr="00F90BE3">
              <w:t>v</w:t>
            </w:r>
          </w:p>
        </w:tc>
        <w:tc>
          <w:tcPr>
            <w:tcW w:w="567" w:type="dxa"/>
            <w:shd w:val="clear" w:color="auto" w:fill="auto"/>
          </w:tcPr>
          <w:p w14:paraId="09FEA05D" w14:textId="77777777" w:rsidR="00203F72" w:rsidRPr="00F90BE3" w:rsidRDefault="00203F72" w:rsidP="00D87D91">
            <w:r w:rsidRPr="00F90BE3">
              <w:t>+</w:t>
            </w:r>
          </w:p>
        </w:tc>
        <w:tc>
          <w:tcPr>
            <w:tcW w:w="2490" w:type="dxa"/>
            <w:vMerge/>
            <w:shd w:val="clear" w:color="auto" w:fill="auto"/>
          </w:tcPr>
          <w:p w14:paraId="085AB3C1" w14:textId="77777777" w:rsidR="00203F72" w:rsidRPr="00F90BE3" w:rsidRDefault="00203F72" w:rsidP="00D87D91"/>
        </w:tc>
      </w:tr>
      <w:tr w:rsidR="00203F72" w:rsidRPr="00F90BE3" w14:paraId="1D6629B2" w14:textId="77777777" w:rsidTr="00203F72">
        <w:trPr>
          <w:trHeight w:val="72"/>
        </w:trPr>
        <w:tc>
          <w:tcPr>
            <w:tcW w:w="596" w:type="dxa"/>
            <w:vMerge/>
            <w:shd w:val="clear" w:color="auto" w:fill="auto"/>
          </w:tcPr>
          <w:p w14:paraId="3A4DB41D" w14:textId="77777777" w:rsidR="00203F72" w:rsidRPr="00F90BE3" w:rsidRDefault="00203F72" w:rsidP="00D87D91"/>
        </w:tc>
        <w:tc>
          <w:tcPr>
            <w:tcW w:w="596" w:type="dxa"/>
            <w:vMerge/>
            <w:shd w:val="clear" w:color="auto" w:fill="auto"/>
          </w:tcPr>
          <w:p w14:paraId="520389EF" w14:textId="77777777" w:rsidR="00203F72" w:rsidRPr="00F90BE3" w:rsidRDefault="00203F72" w:rsidP="00D87D91"/>
        </w:tc>
        <w:tc>
          <w:tcPr>
            <w:tcW w:w="1076" w:type="dxa"/>
            <w:vMerge/>
            <w:shd w:val="clear" w:color="auto" w:fill="auto"/>
          </w:tcPr>
          <w:p w14:paraId="6CCF8803" w14:textId="77777777" w:rsidR="00203F72" w:rsidRPr="00F90BE3" w:rsidRDefault="00203F72" w:rsidP="00D87D91"/>
        </w:tc>
        <w:tc>
          <w:tcPr>
            <w:tcW w:w="959" w:type="dxa"/>
            <w:vMerge/>
            <w:shd w:val="clear" w:color="auto" w:fill="auto"/>
          </w:tcPr>
          <w:p w14:paraId="70A1D465" w14:textId="77777777" w:rsidR="00203F72" w:rsidRPr="00F90BE3" w:rsidRDefault="00203F72" w:rsidP="00D87D91"/>
        </w:tc>
        <w:tc>
          <w:tcPr>
            <w:tcW w:w="1134" w:type="dxa"/>
            <w:shd w:val="clear" w:color="auto" w:fill="auto"/>
          </w:tcPr>
          <w:p w14:paraId="0B5E29E5" w14:textId="77777777" w:rsidR="00203F72" w:rsidRPr="00F90BE3" w:rsidRDefault="00203F72" w:rsidP="00D87D91">
            <w:r w:rsidRPr="00F90BE3">
              <w:t>延二月</w:t>
            </w:r>
          </w:p>
        </w:tc>
        <w:tc>
          <w:tcPr>
            <w:tcW w:w="850" w:type="dxa"/>
            <w:shd w:val="clear" w:color="auto" w:fill="auto"/>
          </w:tcPr>
          <w:p w14:paraId="3679EBC4" w14:textId="77777777" w:rsidR="00203F72" w:rsidRPr="00F90BE3" w:rsidRDefault="00203F72" w:rsidP="00D87D91">
            <w:r w:rsidRPr="00F90BE3">
              <w:t>v</w:t>
            </w:r>
          </w:p>
        </w:tc>
        <w:tc>
          <w:tcPr>
            <w:tcW w:w="567" w:type="dxa"/>
            <w:shd w:val="clear" w:color="auto" w:fill="auto"/>
          </w:tcPr>
          <w:p w14:paraId="7E56932B" w14:textId="77777777" w:rsidR="00203F72" w:rsidRPr="00F90BE3" w:rsidRDefault="00203F72" w:rsidP="00D87D91">
            <w:r w:rsidRPr="00F90BE3">
              <w:t>+</w:t>
            </w:r>
          </w:p>
        </w:tc>
        <w:tc>
          <w:tcPr>
            <w:tcW w:w="2490" w:type="dxa"/>
            <w:vMerge/>
            <w:shd w:val="clear" w:color="auto" w:fill="auto"/>
          </w:tcPr>
          <w:p w14:paraId="5A58D813" w14:textId="77777777" w:rsidR="00203F72" w:rsidRPr="00F90BE3" w:rsidRDefault="00203F72" w:rsidP="00D87D91"/>
        </w:tc>
      </w:tr>
      <w:tr w:rsidR="00203F72" w:rsidRPr="00F90BE3" w14:paraId="6A1E74D2" w14:textId="77777777" w:rsidTr="00203F72">
        <w:trPr>
          <w:trHeight w:val="72"/>
        </w:trPr>
        <w:tc>
          <w:tcPr>
            <w:tcW w:w="596" w:type="dxa"/>
            <w:vMerge/>
            <w:shd w:val="clear" w:color="auto" w:fill="auto"/>
          </w:tcPr>
          <w:p w14:paraId="735A4E81" w14:textId="77777777" w:rsidR="00203F72" w:rsidRPr="00F90BE3" w:rsidRDefault="00203F72" w:rsidP="00D87D91"/>
        </w:tc>
        <w:tc>
          <w:tcPr>
            <w:tcW w:w="596" w:type="dxa"/>
            <w:vMerge/>
            <w:shd w:val="clear" w:color="auto" w:fill="auto"/>
          </w:tcPr>
          <w:p w14:paraId="6A829795" w14:textId="77777777" w:rsidR="00203F72" w:rsidRPr="00F90BE3" w:rsidRDefault="00203F72" w:rsidP="00D87D91"/>
        </w:tc>
        <w:tc>
          <w:tcPr>
            <w:tcW w:w="1076" w:type="dxa"/>
            <w:vMerge/>
            <w:shd w:val="clear" w:color="auto" w:fill="auto"/>
          </w:tcPr>
          <w:p w14:paraId="2EFE1E8C" w14:textId="77777777" w:rsidR="00203F72" w:rsidRPr="00F90BE3" w:rsidRDefault="00203F72" w:rsidP="00D87D91"/>
        </w:tc>
        <w:tc>
          <w:tcPr>
            <w:tcW w:w="959" w:type="dxa"/>
            <w:vMerge/>
            <w:shd w:val="clear" w:color="auto" w:fill="auto"/>
          </w:tcPr>
          <w:p w14:paraId="65E6BE85" w14:textId="77777777" w:rsidR="00203F72" w:rsidRPr="00F90BE3" w:rsidRDefault="00203F72" w:rsidP="00D87D91"/>
        </w:tc>
        <w:tc>
          <w:tcPr>
            <w:tcW w:w="1134" w:type="dxa"/>
            <w:shd w:val="clear" w:color="auto" w:fill="auto"/>
          </w:tcPr>
          <w:p w14:paraId="6027D01A" w14:textId="77777777" w:rsidR="00203F72" w:rsidRPr="00F90BE3" w:rsidRDefault="00203F72" w:rsidP="00D87D91">
            <w:r w:rsidRPr="00F90BE3">
              <w:t>延三月</w:t>
            </w:r>
          </w:p>
        </w:tc>
        <w:tc>
          <w:tcPr>
            <w:tcW w:w="850" w:type="dxa"/>
            <w:shd w:val="clear" w:color="auto" w:fill="auto"/>
          </w:tcPr>
          <w:p w14:paraId="726762D6" w14:textId="77777777" w:rsidR="00203F72" w:rsidRPr="00F90BE3" w:rsidRDefault="00203F72" w:rsidP="00D87D91">
            <w:r w:rsidRPr="00F90BE3">
              <w:t>v</w:t>
            </w:r>
          </w:p>
        </w:tc>
        <w:tc>
          <w:tcPr>
            <w:tcW w:w="567" w:type="dxa"/>
            <w:shd w:val="clear" w:color="auto" w:fill="auto"/>
          </w:tcPr>
          <w:p w14:paraId="0347B371" w14:textId="77777777" w:rsidR="00203F72" w:rsidRPr="00F90BE3" w:rsidRDefault="00203F72" w:rsidP="00D87D91">
            <w:r w:rsidRPr="00F90BE3">
              <w:t>+</w:t>
            </w:r>
          </w:p>
        </w:tc>
        <w:tc>
          <w:tcPr>
            <w:tcW w:w="2490" w:type="dxa"/>
            <w:vMerge/>
            <w:shd w:val="clear" w:color="auto" w:fill="auto"/>
          </w:tcPr>
          <w:p w14:paraId="70BBA7BA" w14:textId="77777777" w:rsidR="00203F72" w:rsidRPr="00F90BE3" w:rsidRDefault="00203F72" w:rsidP="00D87D91"/>
        </w:tc>
      </w:tr>
      <w:tr w:rsidR="00203F72" w:rsidRPr="00F90BE3" w14:paraId="07A5F9AA" w14:textId="77777777" w:rsidTr="00203F72">
        <w:trPr>
          <w:trHeight w:val="72"/>
        </w:trPr>
        <w:tc>
          <w:tcPr>
            <w:tcW w:w="596" w:type="dxa"/>
            <w:vMerge/>
            <w:shd w:val="clear" w:color="auto" w:fill="auto"/>
          </w:tcPr>
          <w:p w14:paraId="2D747C93" w14:textId="77777777" w:rsidR="00203F72" w:rsidRPr="00F90BE3" w:rsidRDefault="00203F72" w:rsidP="00D87D91"/>
        </w:tc>
        <w:tc>
          <w:tcPr>
            <w:tcW w:w="596" w:type="dxa"/>
            <w:vMerge/>
            <w:shd w:val="clear" w:color="auto" w:fill="auto"/>
          </w:tcPr>
          <w:p w14:paraId="68DBD689" w14:textId="77777777" w:rsidR="00203F72" w:rsidRPr="00F90BE3" w:rsidRDefault="00203F72" w:rsidP="00D87D91"/>
        </w:tc>
        <w:tc>
          <w:tcPr>
            <w:tcW w:w="1076" w:type="dxa"/>
            <w:vMerge/>
            <w:shd w:val="clear" w:color="auto" w:fill="auto"/>
          </w:tcPr>
          <w:p w14:paraId="54C23C61" w14:textId="77777777" w:rsidR="00203F72" w:rsidRPr="00F90BE3" w:rsidRDefault="00203F72" w:rsidP="00D87D91"/>
        </w:tc>
        <w:tc>
          <w:tcPr>
            <w:tcW w:w="959" w:type="dxa"/>
            <w:vMerge/>
            <w:shd w:val="clear" w:color="auto" w:fill="auto"/>
          </w:tcPr>
          <w:p w14:paraId="3A9343AF" w14:textId="77777777" w:rsidR="00203F72" w:rsidRPr="00F90BE3" w:rsidRDefault="00203F72" w:rsidP="00D87D91"/>
        </w:tc>
        <w:tc>
          <w:tcPr>
            <w:tcW w:w="1134" w:type="dxa"/>
            <w:shd w:val="clear" w:color="auto" w:fill="auto"/>
          </w:tcPr>
          <w:p w14:paraId="3E986060" w14:textId="77777777" w:rsidR="00203F72" w:rsidRPr="00F90BE3" w:rsidRDefault="00203F72" w:rsidP="00D87D91">
            <w:r w:rsidRPr="00F90BE3">
              <w:t>延四月</w:t>
            </w:r>
          </w:p>
        </w:tc>
        <w:tc>
          <w:tcPr>
            <w:tcW w:w="850" w:type="dxa"/>
            <w:shd w:val="clear" w:color="auto" w:fill="auto"/>
          </w:tcPr>
          <w:p w14:paraId="76B60782" w14:textId="77777777" w:rsidR="00203F72" w:rsidRPr="00F90BE3" w:rsidRDefault="00203F72" w:rsidP="00D87D91">
            <w:r w:rsidRPr="00F90BE3">
              <w:t>v</w:t>
            </w:r>
          </w:p>
        </w:tc>
        <w:tc>
          <w:tcPr>
            <w:tcW w:w="567" w:type="dxa"/>
            <w:shd w:val="clear" w:color="auto" w:fill="auto"/>
          </w:tcPr>
          <w:p w14:paraId="404AEEC0" w14:textId="77777777" w:rsidR="00203F72" w:rsidRPr="00F90BE3" w:rsidRDefault="00203F72" w:rsidP="00D87D91">
            <w:r w:rsidRPr="00F90BE3">
              <w:t>+</w:t>
            </w:r>
          </w:p>
        </w:tc>
        <w:tc>
          <w:tcPr>
            <w:tcW w:w="2490" w:type="dxa"/>
            <w:vMerge/>
            <w:shd w:val="clear" w:color="auto" w:fill="auto"/>
          </w:tcPr>
          <w:p w14:paraId="15B62494" w14:textId="77777777" w:rsidR="00203F72" w:rsidRPr="00F90BE3" w:rsidRDefault="00203F72" w:rsidP="00D87D91"/>
        </w:tc>
      </w:tr>
      <w:tr w:rsidR="00203F72" w:rsidRPr="00F90BE3" w14:paraId="2929F235" w14:textId="77777777" w:rsidTr="00203F72">
        <w:trPr>
          <w:trHeight w:val="72"/>
        </w:trPr>
        <w:tc>
          <w:tcPr>
            <w:tcW w:w="596" w:type="dxa"/>
            <w:vMerge/>
            <w:shd w:val="clear" w:color="auto" w:fill="auto"/>
          </w:tcPr>
          <w:p w14:paraId="0567B592" w14:textId="77777777" w:rsidR="00203F72" w:rsidRPr="00F90BE3" w:rsidRDefault="00203F72" w:rsidP="00D87D91"/>
        </w:tc>
        <w:tc>
          <w:tcPr>
            <w:tcW w:w="596" w:type="dxa"/>
            <w:vMerge w:val="restart"/>
            <w:shd w:val="clear" w:color="auto" w:fill="auto"/>
          </w:tcPr>
          <w:p w14:paraId="76AD481A" w14:textId="77777777" w:rsidR="00203F72" w:rsidRPr="00F90BE3" w:rsidRDefault="00203F72" w:rsidP="00D87D91">
            <w:r w:rsidRPr="00F90BE3">
              <w:t>個體短期效應</w:t>
            </w:r>
          </w:p>
        </w:tc>
        <w:tc>
          <w:tcPr>
            <w:tcW w:w="1076" w:type="dxa"/>
            <w:vMerge w:val="restart"/>
            <w:shd w:val="clear" w:color="auto" w:fill="auto"/>
          </w:tcPr>
          <w:p w14:paraId="70B3F1C6" w14:textId="77777777" w:rsidR="00203F72" w:rsidRPr="00F90BE3" w:rsidRDefault="00203F72" w:rsidP="00D87D91">
            <w:r w:rsidRPr="00F90BE3">
              <w:t>因殺人罪被執行死刑總人數對對於</w:t>
            </w:r>
          </w:p>
        </w:tc>
        <w:tc>
          <w:tcPr>
            <w:tcW w:w="959" w:type="dxa"/>
            <w:vMerge w:val="restart"/>
            <w:shd w:val="clear" w:color="auto" w:fill="auto"/>
          </w:tcPr>
          <w:p w14:paraId="424F1B29" w14:textId="77777777" w:rsidR="00203F72" w:rsidRPr="00F90BE3" w:rsidRDefault="00203F72" w:rsidP="00D87D91">
            <w:r w:rsidRPr="00F90BE3">
              <w:t>殺人罪發生件數</w:t>
            </w:r>
          </w:p>
        </w:tc>
        <w:tc>
          <w:tcPr>
            <w:tcW w:w="1134" w:type="dxa"/>
            <w:shd w:val="clear" w:color="auto" w:fill="auto"/>
          </w:tcPr>
          <w:p w14:paraId="6FD1D2D3" w14:textId="77777777" w:rsidR="00203F72" w:rsidRPr="00F90BE3" w:rsidRDefault="00203F72" w:rsidP="00D87D91">
            <w:r w:rsidRPr="00F90BE3">
              <w:t>當月</w:t>
            </w:r>
          </w:p>
        </w:tc>
        <w:tc>
          <w:tcPr>
            <w:tcW w:w="850" w:type="dxa"/>
            <w:shd w:val="clear" w:color="auto" w:fill="auto"/>
          </w:tcPr>
          <w:p w14:paraId="5F91EE2C" w14:textId="77777777" w:rsidR="00203F72" w:rsidRPr="00F90BE3" w:rsidRDefault="00203F72" w:rsidP="00D87D91">
            <w:r w:rsidRPr="00F90BE3">
              <w:t>X</w:t>
            </w:r>
          </w:p>
        </w:tc>
        <w:tc>
          <w:tcPr>
            <w:tcW w:w="567" w:type="dxa"/>
            <w:shd w:val="clear" w:color="auto" w:fill="auto"/>
          </w:tcPr>
          <w:p w14:paraId="7C6B0232" w14:textId="77777777" w:rsidR="00203F72" w:rsidRPr="00F90BE3" w:rsidRDefault="00203F72" w:rsidP="00D87D91"/>
        </w:tc>
        <w:tc>
          <w:tcPr>
            <w:tcW w:w="2490" w:type="dxa"/>
            <w:vMerge w:val="restart"/>
            <w:shd w:val="clear" w:color="auto" w:fill="auto"/>
          </w:tcPr>
          <w:p w14:paraId="30402DCE" w14:textId="77777777" w:rsidR="00203F72" w:rsidRPr="00F90BE3" w:rsidRDefault="00203F72" w:rsidP="00D87D91">
            <w:r w:rsidRPr="00F90BE3">
              <w:t>因殺人罪被執行死刑人數</w:t>
            </w:r>
            <w:r w:rsidRPr="00F90BE3">
              <w:t>(</w:t>
            </w:r>
            <w:r w:rsidRPr="00F90BE3">
              <w:t>自變項</w:t>
            </w:r>
            <w:r w:rsidRPr="00F90BE3">
              <w:t>)</w:t>
            </w:r>
            <w:r w:rsidRPr="00F90BE3">
              <w:t>之增加時，第三個月的殺人案件</w:t>
            </w:r>
            <w:r w:rsidRPr="00F90BE3">
              <w:t>(</w:t>
            </w:r>
            <w:r w:rsidRPr="00F90BE3">
              <w:t>依變項</w:t>
            </w:r>
            <w:r w:rsidRPr="00F90BE3">
              <w:t>)</w:t>
            </w:r>
            <w:r w:rsidRPr="00F90BE3">
              <w:t>也會增加</w:t>
            </w:r>
          </w:p>
        </w:tc>
      </w:tr>
      <w:tr w:rsidR="00203F72" w:rsidRPr="00F90BE3" w14:paraId="76BB3679" w14:textId="77777777" w:rsidTr="00203F72">
        <w:trPr>
          <w:trHeight w:val="72"/>
        </w:trPr>
        <w:tc>
          <w:tcPr>
            <w:tcW w:w="596" w:type="dxa"/>
            <w:vMerge/>
            <w:shd w:val="clear" w:color="auto" w:fill="auto"/>
          </w:tcPr>
          <w:p w14:paraId="493DA1D6" w14:textId="77777777" w:rsidR="00203F72" w:rsidRPr="00F90BE3" w:rsidRDefault="00203F72" w:rsidP="00D87D91"/>
        </w:tc>
        <w:tc>
          <w:tcPr>
            <w:tcW w:w="596" w:type="dxa"/>
            <w:vMerge/>
            <w:shd w:val="clear" w:color="auto" w:fill="auto"/>
          </w:tcPr>
          <w:p w14:paraId="5C766CA0" w14:textId="77777777" w:rsidR="00203F72" w:rsidRPr="00F90BE3" w:rsidRDefault="00203F72" w:rsidP="00D87D91"/>
        </w:tc>
        <w:tc>
          <w:tcPr>
            <w:tcW w:w="1076" w:type="dxa"/>
            <w:vMerge/>
            <w:shd w:val="clear" w:color="auto" w:fill="auto"/>
          </w:tcPr>
          <w:p w14:paraId="463226D1" w14:textId="77777777" w:rsidR="00203F72" w:rsidRPr="00F90BE3" w:rsidRDefault="00203F72" w:rsidP="00D87D91"/>
        </w:tc>
        <w:tc>
          <w:tcPr>
            <w:tcW w:w="959" w:type="dxa"/>
            <w:vMerge/>
            <w:shd w:val="clear" w:color="auto" w:fill="auto"/>
          </w:tcPr>
          <w:p w14:paraId="0D0800F6" w14:textId="77777777" w:rsidR="00203F72" w:rsidRPr="00F90BE3" w:rsidRDefault="00203F72" w:rsidP="00D87D91"/>
        </w:tc>
        <w:tc>
          <w:tcPr>
            <w:tcW w:w="1134" w:type="dxa"/>
            <w:shd w:val="clear" w:color="auto" w:fill="auto"/>
          </w:tcPr>
          <w:p w14:paraId="07199977" w14:textId="77777777" w:rsidR="00203F72" w:rsidRPr="00F90BE3" w:rsidRDefault="00203F72" w:rsidP="00D87D91">
            <w:r w:rsidRPr="00F90BE3">
              <w:t>延一月</w:t>
            </w:r>
          </w:p>
        </w:tc>
        <w:tc>
          <w:tcPr>
            <w:tcW w:w="850" w:type="dxa"/>
            <w:shd w:val="clear" w:color="auto" w:fill="auto"/>
          </w:tcPr>
          <w:p w14:paraId="7C211144" w14:textId="77777777" w:rsidR="00203F72" w:rsidRPr="00F90BE3" w:rsidRDefault="00203F72" w:rsidP="00D87D91">
            <w:r w:rsidRPr="00F90BE3">
              <w:t>X</w:t>
            </w:r>
          </w:p>
        </w:tc>
        <w:tc>
          <w:tcPr>
            <w:tcW w:w="567" w:type="dxa"/>
            <w:shd w:val="clear" w:color="auto" w:fill="auto"/>
          </w:tcPr>
          <w:p w14:paraId="1BA04FE5" w14:textId="77777777" w:rsidR="00203F72" w:rsidRPr="00F90BE3" w:rsidRDefault="00203F72" w:rsidP="00D87D91"/>
        </w:tc>
        <w:tc>
          <w:tcPr>
            <w:tcW w:w="2490" w:type="dxa"/>
            <w:vMerge/>
            <w:shd w:val="clear" w:color="auto" w:fill="auto"/>
          </w:tcPr>
          <w:p w14:paraId="7025D722" w14:textId="77777777" w:rsidR="00203F72" w:rsidRPr="00F90BE3" w:rsidRDefault="00203F72" w:rsidP="00D87D91"/>
        </w:tc>
      </w:tr>
      <w:tr w:rsidR="00203F72" w:rsidRPr="00F90BE3" w14:paraId="46A34797" w14:textId="77777777" w:rsidTr="00203F72">
        <w:trPr>
          <w:trHeight w:val="72"/>
        </w:trPr>
        <w:tc>
          <w:tcPr>
            <w:tcW w:w="596" w:type="dxa"/>
            <w:vMerge/>
            <w:shd w:val="clear" w:color="auto" w:fill="auto"/>
          </w:tcPr>
          <w:p w14:paraId="0725BB5E" w14:textId="77777777" w:rsidR="00203F72" w:rsidRPr="00F90BE3" w:rsidRDefault="00203F72" w:rsidP="00D87D91"/>
        </w:tc>
        <w:tc>
          <w:tcPr>
            <w:tcW w:w="596" w:type="dxa"/>
            <w:vMerge/>
            <w:shd w:val="clear" w:color="auto" w:fill="auto"/>
          </w:tcPr>
          <w:p w14:paraId="4D91BEEB" w14:textId="77777777" w:rsidR="00203F72" w:rsidRPr="00F90BE3" w:rsidRDefault="00203F72" w:rsidP="00D87D91"/>
        </w:tc>
        <w:tc>
          <w:tcPr>
            <w:tcW w:w="1076" w:type="dxa"/>
            <w:vMerge/>
            <w:shd w:val="clear" w:color="auto" w:fill="auto"/>
          </w:tcPr>
          <w:p w14:paraId="6B5618EE" w14:textId="77777777" w:rsidR="00203F72" w:rsidRPr="00F90BE3" w:rsidRDefault="00203F72" w:rsidP="00D87D91"/>
        </w:tc>
        <w:tc>
          <w:tcPr>
            <w:tcW w:w="959" w:type="dxa"/>
            <w:vMerge/>
            <w:shd w:val="clear" w:color="auto" w:fill="auto"/>
          </w:tcPr>
          <w:p w14:paraId="61076150" w14:textId="77777777" w:rsidR="00203F72" w:rsidRPr="00F90BE3" w:rsidRDefault="00203F72" w:rsidP="00D87D91"/>
        </w:tc>
        <w:tc>
          <w:tcPr>
            <w:tcW w:w="1134" w:type="dxa"/>
            <w:shd w:val="clear" w:color="auto" w:fill="auto"/>
          </w:tcPr>
          <w:p w14:paraId="732D27D4" w14:textId="77777777" w:rsidR="00203F72" w:rsidRPr="00F90BE3" w:rsidRDefault="00203F72" w:rsidP="00D87D91">
            <w:r w:rsidRPr="00F90BE3">
              <w:t>延二月</w:t>
            </w:r>
          </w:p>
        </w:tc>
        <w:tc>
          <w:tcPr>
            <w:tcW w:w="850" w:type="dxa"/>
            <w:shd w:val="clear" w:color="auto" w:fill="auto"/>
          </w:tcPr>
          <w:p w14:paraId="265DF431" w14:textId="77777777" w:rsidR="00203F72" w:rsidRPr="00F90BE3" w:rsidRDefault="00203F72" w:rsidP="00D87D91">
            <w:r w:rsidRPr="00F90BE3">
              <w:t>v</w:t>
            </w:r>
          </w:p>
        </w:tc>
        <w:tc>
          <w:tcPr>
            <w:tcW w:w="567" w:type="dxa"/>
            <w:shd w:val="clear" w:color="auto" w:fill="auto"/>
          </w:tcPr>
          <w:p w14:paraId="7D6DBF28" w14:textId="77777777" w:rsidR="00203F72" w:rsidRPr="00F90BE3" w:rsidRDefault="00203F72" w:rsidP="00D87D91">
            <w:r w:rsidRPr="00F90BE3">
              <w:t>+</w:t>
            </w:r>
          </w:p>
        </w:tc>
        <w:tc>
          <w:tcPr>
            <w:tcW w:w="2490" w:type="dxa"/>
            <w:vMerge/>
            <w:shd w:val="clear" w:color="auto" w:fill="auto"/>
          </w:tcPr>
          <w:p w14:paraId="764B6D0B" w14:textId="77777777" w:rsidR="00203F72" w:rsidRPr="00F90BE3" w:rsidRDefault="00203F72" w:rsidP="00D87D91"/>
        </w:tc>
      </w:tr>
      <w:tr w:rsidR="00203F72" w:rsidRPr="00F90BE3" w14:paraId="1F6FD04F" w14:textId="77777777" w:rsidTr="00203F72">
        <w:trPr>
          <w:trHeight w:val="72"/>
        </w:trPr>
        <w:tc>
          <w:tcPr>
            <w:tcW w:w="596" w:type="dxa"/>
            <w:vMerge/>
            <w:shd w:val="clear" w:color="auto" w:fill="auto"/>
          </w:tcPr>
          <w:p w14:paraId="00FE4ACB" w14:textId="77777777" w:rsidR="00203F72" w:rsidRPr="00F90BE3" w:rsidRDefault="00203F72" w:rsidP="00D87D91"/>
        </w:tc>
        <w:tc>
          <w:tcPr>
            <w:tcW w:w="596" w:type="dxa"/>
            <w:vMerge/>
            <w:shd w:val="clear" w:color="auto" w:fill="auto"/>
          </w:tcPr>
          <w:p w14:paraId="3688068B" w14:textId="77777777" w:rsidR="00203F72" w:rsidRPr="00F90BE3" w:rsidRDefault="00203F72" w:rsidP="00D87D91"/>
        </w:tc>
        <w:tc>
          <w:tcPr>
            <w:tcW w:w="1076" w:type="dxa"/>
            <w:vMerge/>
            <w:shd w:val="clear" w:color="auto" w:fill="auto"/>
          </w:tcPr>
          <w:p w14:paraId="1B6FD033" w14:textId="77777777" w:rsidR="00203F72" w:rsidRPr="00F90BE3" w:rsidRDefault="00203F72" w:rsidP="00D87D91"/>
        </w:tc>
        <w:tc>
          <w:tcPr>
            <w:tcW w:w="959" w:type="dxa"/>
            <w:vMerge/>
            <w:shd w:val="clear" w:color="auto" w:fill="auto"/>
          </w:tcPr>
          <w:p w14:paraId="2B930155" w14:textId="77777777" w:rsidR="00203F72" w:rsidRPr="00F90BE3" w:rsidRDefault="00203F72" w:rsidP="00D87D91"/>
        </w:tc>
        <w:tc>
          <w:tcPr>
            <w:tcW w:w="1134" w:type="dxa"/>
            <w:shd w:val="clear" w:color="auto" w:fill="auto"/>
          </w:tcPr>
          <w:p w14:paraId="41A6D453" w14:textId="77777777" w:rsidR="00203F72" w:rsidRPr="00F90BE3" w:rsidRDefault="00203F72" w:rsidP="00D87D91">
            <w:r w:rsidRPr="00F90BE3">
              <w:t>延三月</w:t>
            </w:r>
          </w:p>
        </w:tc>
        <w:tc>
          <w:tcPr>
            <w:tcW w:w="850" w:type="dxa"/>
            <w:shd w:val="clear" w:color="auto" w:fill="auto"/>
          </w:tcPr>
          <w:p w14:paraId="382C41B4" w14:textId="77777777" w:rsidR="00203F72" w:rsidRPr="00F90BE3" w:rsidRDefault="00203F72" w:rsidP="00D87D91">
            <w:r w:rsidRPr="00F90BE3">
              <w:t>X</w:t>
            </w:r>
          </w:p>
        </w:tc>
        <w:tc>
          <w:tcPr>
            <w:tcW w:w="567" w:type="dxa"/>
            <w:shd w:val="clear" w:color="auto" w:fill="auto"/>
          </w:tcPr>
          <w:p w14:paraId="14E17028" w14:textId="77777777" w:rsidR="00203F72" w:rsidRPr="00F90BE3" w:rsidRDefault="00203F72" w:rsidP="00D87D91"/>
        </w:tc>
        <w:tc>
          <w:tcPr>
            <w:tcW w:w="2490" w:type="dxa"/>
            <w:vMerge/>
            <w:shd w:val="clear" w:color="auto" w:fill="auto"/>
          </w:tcPr>
          <w:p w14:paraId="2798793D" w14:textId="77777777" w:rsidR="00203F72" w:rsidRPr="00F90BE3" w:rsidRDefault="00203F72" w:rsidP="00D87D91"/>
        </w:tc>
      </w:tr>
      <w:tr w:rsidR="00203F72" w:rsidRPr="00F90BE3" w14:paraId="56892B8F" w14:textId="77777777" w:rsidTr="00203F72">
        <w:trPr>
          <w:trHeight w:val="72"/>
        </w:trPr>
        <w:tc>
          <w:tcPr>
            <w:tcW w:w="596" w:type="dxa"/>
            <w:vMerge/>
            <w:shd w:val="clear" w:color="auto" w:fill="auto"/>
          </w:tcPr>
          <w:p w14:paraId="1F97348D" w14:textId="77777777" w:rsidR="00203F72" w:rsidRPr="00F90BE3" w:rsidRDefault="00203F72" w:rsidP="00D87D91"/>
        </w:tc>
        <w:tc>
          <w:tcPr>
            <w:tcW w:w="596" w:type="dxa"/>
            <w:vMerge/>
            <w:shd w:val="clear" w:color="auto" w:fill="auto"/>
          </w:tcPr>
          <w:p w14:paraId="06C7D480" w14:textId="77777777" w:rsidR="00203F72" w:rsidRPr="00F90BE3" w:rsidRDefault="00203F72" w:rsidP="00D87D91"/>
        </w:tc>
        <w:tc>
          <w:tcPr>
            <w:tcW w:w="1076" w:type="dxa"/>
            <w:vMerge/>
            <w:shd w:val="clear" w:color="auto" w:fill="auto"/>
          </w:tcPr>
          <w:p w14:paraId="3B2FECB8" w14:textId="77777777" w:rsidR="00203F72" w:rsidRPr="00F90BE3" w:rsidRDefault="00203F72" w:rsidP="00D87D91"/>
        </w:tc>
        <w:tc>
          <w:tcPr>
            <w:tcW w:w="959" w:type="dxa"/>
            <w:vMerge/>
            <w:shd w:val="clear" w:color="auto" w:fill="auto"/>
          </w:tcPr>
          <w:p w14:paraId="38992DDB" w14:textId="77777777" w:rsidR="00203F72" w:rsidRPr="00F90BE3" w:rsidRDefault="00203F72" w:rsidP="00D87D91"/>
        </w:tc>
        <w:tc>
          <w:tcPr>
            <w:tcW w:w="1134" w:type="dxa"/>
            <w:shd w:val="clear" w:color="auto" w:fill="auto"/>
          </w:tcPr>
          <w:p w14:paraId="6780EA52" w14:textId="77777777" w:rsidR="00203F72" w:rsidRPr="00F90BE3" w:rsidRDefault="00203F72" w:rsidP="00D87D91">
            <w:r w:rsidRPr="00F90BE3">
              <w:t>延四月</w:t>
            </w:r>
          </w:p>
        </w:tc>
        <w:tc>
          <w:tcPr>
            <w:tcW w:w="850" w:type="dxa"/>
            <w:shd w:val="clear" w:color="auto" w:fill="auto"/>
          </w:tcPr>
          <w:p w14:paraId="57AA3BBB" w14:textId="77777777" w:rsidR="00203F72" w:rsidRPr="00F90BE3" w:rsidRDefault="00203F72" w:rsidP="00D87D91">
            <w:r w:rsidRPr="00F90BE3">
              <w:t>X</w:t>
            </w:r>
          </w:p>
        </w:tc>
        <w:tc>
          <w:tcPr>
            <w:tcW w:w="567" w:type="dxa"/>
            <w:shd w:val="clear" w:color="auto" w:fill="auto"/>
          </w:tcPr>
          <w:p w14:paraId="38C25D02" w14:textId="77777777" w:rsidR="00203F72" w:rsidRPr="00F90BE3" w:rsidRDefault="00203F72" w:rsidP="00D87D91"/>
        </w:tc>
        <w:tc>
          <w:tcPr>
            <w:tcW w:w="2490" w:type="dxa"/>
            <w:vMerge/>
            <w:shd w:val="clear" w:color="auto" w:fill="auto"/>
          </w:tcPr>
          <w:p w14:paraId="1376FB08" w14:textId="77777777" w:rsidR="00203F72" w:rsidRPr="00F90BE3" w:rsidRDefault="00203F72" w:rsidP="00D87D91"/>
        </w:tc>
      </w:tr>
      <w:tr w:rsidR="00203F72" w:rsidRPr="00F90BE3" w14:paraId="109A6254" w14:textId="77777777" w:rsidTr="00203F72">
        <w:trPr>
          <w:trHeight w:val="72"/>
        </w:trPr>
        <w:tc>
          <w:tcPr>
            <w:tcW w:w="596" w:type="dxa"/>
            <w:vMerge/>
            <w:shd w:val="clear" w:color="auto" w:fill="auto"/>
          </w:tcPr>
          <w:p w14:paraId="6758FBFE" w14:textId="77777777" w:rsidR="00203F72" w:rsidRPr="00F90BE3" w:rsidRDefault="00203F72" w:rsidP="00D87D91"/>
        </w:tc>
        <w:tc>
          <w:tcPr>
            <w:tcW w:w="596" w:type="dxa"/>
            <w:vMerge/>
            <w:shd w:val="clear" w:color="auto" w:fill="auto"/>
          </w:tcPr>
          <w:p w14:paraId="5BC82074" w14:textId="77777777" w:rsidR="00203F72" w:rsidRPr="00F90BE3" w:rsidRDefault="00203F72" w:rsidP="00D87D91"/>
        </w:tc>
        <w:tc>
          <w:tcPr>
            <w:tcW w:w="1076" w:type="dxa"/>
            <w:vMerge w:val="restart"/>
            <w:shd w:val="clear" w:color="auto" w:fill="auto"/>
          </w:tcPr>
          <w:p w14:paraId="2791F289" w14:textId="77777777" w:rsidR="00203F72" w:rsidRPr="00F90BE3" w:rsidRDefault="00203F72" w:rsidP="00D87D91">
            <w:r w:rsidRPr="00F90BE3">
              <w:t>因搶劫罪被執行死刑總人數對於</w:t>
            </w:r>
          </w:p>
        </w:tc>
        <w:tc>
          <w:tcPr>
            <w:tcW w:w="959" w:type="dxa"/>
            <w:vMerge w:val="restart"/>
            <w:shd w:val="clear" w:color="auto" w:fill="auto"/>
          </w:tcPr>
          <w:p w14:paraId="251236EE" w14:textId="77777777" w:rsidR="00203F72" w:rsidRPr="00F90BE3" w:rsidRDefault="00203F72" w:rsidP="00D87D91">
            <w:r w:rsidRPr="00F90BE3">
              <w:t>搶劫案發生件數之影響</w:t>
            </w:r>
          </w:p>
        </w:tc>
        <w:tc>
          <w:tcPr>
            <w:tcW w:w="1134" w:type="dxa"/>
            <w:shd w:val="clear" w:color="auto" w:fill="auto"/>
          </w:tcPr>
          <w:p w14:paraId="46D2150A" w14:textId="77777777" w:rsidR="00203F72" w:rsidRPr="00F90BE3" w:rsidRDefault="00203F72" w:rsidP="00D87D91">
            <w:r w:rsidRPr="00F90BE3">
              <w:t>當月</w:t>
            </w:r>
          </w:p>
        </w:tc>
        <w:tc>
          <w:tcPr>
            <w:tcW w:w="850" w:type="dxa"/>
            <w:shd w:val="clear" w:color="auto" w:fill="auto"/>
          </w:tcPr>
          <w:p w14:paraId="047DEC8A" w14:textId="77777777" w:rsidR="00203F72" w:rsidRPr="00F90BE3" w:rsidRDefault="00203F72" w:rsidP="00D87D91">
            <w:r w:rsidRPr="00F90BE3">
              <w:t>X</w:t>
            </w:r>
          </w:p>
        </w:tc>
        <w:tc>
          <w:tcPr>
            <w:tcW w:w="567" w:type="dxa"/>
            <w:shd w:val="clear" w:color="auto" w:fill="auto"/>
          </w:tcPr>
          <w:p w14:paraId="6DE81DAE" w14:textId="77777777" w:rsidR="00203F72" w:rsidRPr="00F90BE3" w:rsidRDefault="00203F72" w:rsidP="00D87D91"/>
        </w:tc>
        <w:tc>
          <w:tcPr>
            <w:tcW w:w="2490" w:type="dxa"/>
            <w:vMerge w:val="restart"/>
            <w:shd w:val="clear" w:color="auto" w:fill="auto"/>
          </w:tcPr>
          <w:p w14:paraId="7CC79B36" w14:textId="77777777" w:rsidR="00203F72" w:rsidRPr="00F90BE3" w:rsidRDefault="00203F72" w:rsidP="00D87D91">
            <w:r w:rsidRPr="00F90BE3">
              <w:t>因搶劫罪被執行死刑人數</w:t>
            </w:r>
            <w:r w:rsidRPr="00F90BE3">
              <w:t>(</w:t>
            </w:r>
            <w:r w:rsidRPr="00F90BE3">
              <w:t>自變項</w:t>
            </w:r>
            <w:r w:rsidRPr="00F90BE3">
              <w:t>)</w:t>
            </w:r>
            <w:r w:rsidRPr="00F90BE3">
              <w:t>多寡，對搶劫案發生件數</w:t>
            </w:r>
            <w:r w:rsidRPr="00F90BE3">
              <w:t>(</w:t>
            </w:r>
            <w:r w:rsidRPr="00F90BE3">
              <w:t>依變項</w:t>
            </w:r>
            <w:r w:rsidRPr="00F90BE3">
              <w:t>)</w:t>
            </w:r>
            <w:r w:rsidRPr="00F90BE3">
              <w:t>毫無影響</w:t>
            </w:r>
          </w:p>
        </w:tc>
      </w:tr>
      <w:tr w:rsidR="00203F72" w:rsidRPr="00F90BE3" w14:paraId="71F1125B" w14:textId="77777777" w:rsidTr="00203F72">
        <w:trPr>
          <w:trHeight w:val="72"/>
        </w:trPr>
        <w:tc>
          <w:tcPr>
            <w:tcW w:w="596" w:type="dxa"/>
            <w:vMerge/>
            <w:shd w:val="clear" w:color="auto" w:fill="auto"/>
          </w:tcPr>
          <w:p w14:paraId="0DBADFCC" w14:textId="77777777" w:rsidR="00203F72" w:rsidRPr="00F90BE3" w:rsidRDefault="00203F72" w:rsidP="00D87D91"/>
        </w:tc>
        <w:tc>
          <w:tcPr>
            <w:tcW w:w="596" w:type="dxa"/>
            <w:vMerge/>
            <w:shd w:val="clear" w:color="auto" w:fill="auto"/>
          </w:tcPr>
          <w:p w14:paraId="55286030" w14:textId="77777777" w:rsidR="00203F72" w:rsidRPr="00F90BE3" w:rsidRDefault="00203F72" w:rsidP="00D87D91"/>
        </w:tc>
        <w:tc>
          <w:tcPr>
            <w:tcW w:w="1076" w:type="dxa"/>
            <w:vMerge/>
            <w:shd w:val="clear" w:color="auto" w:fill="auto"/>
          </w:tcPr>
          <w:p w14:paraId="08FEEB6E" w14:textId="77777777" w:rsidR="00203F72" w:rsidRPr="00F90BE3" w:rsidRDefault="00203F72" w:rsidP="00D87D91"/>
        </w:tc>
        <w:tc>
          <w:tcPr>
            <w:tcW w:w="959" w:type="dxa"/>
            <w:vMerge/>
            <w:shd w:val="clear" w:color="auto" w:fill="auto"/>
          </w:tcPr>
          <w:p w14:paraId="369A9435" w14:textId="77777777" w:rsidR="00203F72" w:rsidRPr="00F90BE3" w:rsidRDefault="00203F72" w:rsidP="00D87D91"/>
        </w:tc>
        <w:tc>
          <w:tcPr>
            <w:tcW w:w="1134" w:type="dxa"/>
            <w:shd w:val="clear" w:color="auto" w:fill="auto"/>
          </w:tcPr>
          <w:p w14:paraId="63348666" w14:textId="77777777" w:rsidR="00203F72" w:rsidRPr="00F90BE3" w:rsidRDefault="00203F72" w:rsidP="00D87D91">
            <w:r w:rsidRPr="00F90BE3">
              <w:t>延一月</w:t>
            </w:r>
          </w:p>
        </w:tc>
        <w:tc>
          <w:tcPr>
            <w:tcW w:w="850" w:type="dxa"/>
            <w:shd w:val="clear" w:color="auto" w:fill="auto"/>
          </w:tcPr>
          <w:p w14:paraId="7114EC64" w14:textId="77777777" w:rsidR="00203F72" w:rsidRPr="00F90BE3" w:rsidRDefault="00203F72" w:rsidP="00D87D91">
            <w:r w:rsidRPr="00F90BE3">
              <w:t>X</w:t>
            </w:r>
          </w:p>
        </w:tc>
        <w:tc>
          <w:tcPr>
            <w:tcW w:w="567" w:type="dxa"/>
            <w:shd w:val="clear" w:color="auto" w:fill="auto"/>
          </w:tcPr>
          <w:p w14:paraId="4ABDA366" w14:textId="77777777" w:rsidR="00203F72" w:rsidRPr="00F90BE3" w:rsidRDefault="00203F72" w:rsidP="00D87D91"/>
        </w:tc>
        <w:tc>
          <w:tcPr>
            <w:tcW w:w="2490" w:type="dxa"/>
            <w:vMerge/>
            <w:shd w:val="clear" w:color="auto" w:fill="auto"/>
          </w:tcPr>
          <w:p w14:paraId="68326F9F" w14:textId="77777777" w:rsidR="00203F72" w:rsidRPr="00F90BE3" w:rsidRDefault="00203F72" w:rsidP="00D87D91"/>
        </w:tc>
      </w:tr>
      <w:tr w:rsidR="00203F72" w:rsidRPr="00F90BE3" w14:paraId="2AD10978" w14:textId="77777777" w:rsidTr="00203F72">
        <w:trPr>
          <w:trHeight w:val="72"/>
        </w:trPr>
        <w:tc>
          <w:tcPr>
            <w:tcW w:w="596" w:type="dxa"/>
            <w:vMerge/>
            <w:shd w:val="clear" w:color="auto" w:fill="auto"/>
          </w:tcPr>
          <w:p w14:paraId="485A26F7" w14:textId="77777777" w:rsidR="00203F72" w:rsidRPr="00F90BE3" w:rsidRDefault="00203F72" w:rsidP="00D87D91"/>
        </w:tc>
        <w:tc>
          <w:tcPr>
            <w:tcW w:w="596" w:type="dxa"/>
            <w:vMerge/>
            <w:shd w:val="clear" w:color="auto" w:fill="auto"/>
          </w:tcPr>
          <w:p w14:paraId="4595BFF3" w14:textId="77777777" w:rsidR="00203F72" w:rsidRPr="00F90BE3" w:rsidRDefault="00203F72" w:rsidP="00D87D91"/>
        </w:tc>
        <w:tc>
          <w:tcPr>
            <w:tcW w:w="1076" w:type="dxa"/>
            <w:vMerge/>
            <w:shd w:val="clear" w:color="auto" w:fill="auto"/>
          </w:tcPr>
          <w:p w14:paraId="1CF1AE89" w14:textId="77777777" w:rsidR="00203F72" w:rsidRPr="00F90BE3" w:rsidRDefault="00203F72" w:rsidP="00D87D91"/>
        </w:tc>
        <w:tc>
          <w:tcPr>
            <w:tcW w:w="959" w:type="dxa"/>
            <w:vMerge/>
            <w:shd w:val="clear" w:color="auto" w:fill="auto"/>
          </w:tcPr>
          <w:p w14:paraId="7EC18EC3" w14:textId="77777777" w:rsidR="00203F72" w:rsidRPr="00F90BE3" w:rsidRDefault="00203F72" w:rsidP="00D87D91"/>
        </w:tc>
        <w:tc>
          <w:tcPr>
            <w:tcW w:w="1134" w:type="dxa"/>
            <w:shd w:val="clear" w:color="auto" w:fill="auto"/>
          </w:tcPr>
          <w:p w14:paraId="628EDC9A" w14:textId="77777777" w:rsidR="00203F72" w:rsidRPr="00F90BE3" w:rsidRDefault="00203F72" w:rsidP="00D87D91">
            <w:r w:rsidRPr="00F90BE3">
              <w:t>延二月</w:t>
            </w:r>
          </w:p>
        </w:tc>
        <w:tc>
          <w:tcPr>
            <w:tcW w:w="850" w:type="dxa"/>
            <w:shd w:val="clear" w:color="auto" w:fill="auto"/>
          </w:tcPr>
          <w:p w14:paraId="1DB1F343" w14:textId="77777777" w:rsidR="00203F72" w:rsidRPr="00F90BE3" w:rsidRDefault="00203F72" w:rsidP="00D87D91">
            <w:r w:rsidRPr="00F90BE3">
              <w:t>X</w:t>
            </w:r>
          </w:p>
        </w:tc>
        <w:tc>
          <w:tcPr>
            <w:tcW w:w="567" w:type="dxa"/>
            <w:shd w:val="clear" w:color="auto" w:fill="auto"/>
          </w:tcPr>
          <w:p w14:paraId="4ECE19B8" w14:textId="77777777" w:rsidR="00203F72" w:rsidRPr="00F90BE3" w:rsidRDefault="00203F72" w:rsidP="00D87D91"/>
        </w:tc>
        <w:tc>
          <w:tcPr>
            <w:tcW w:w="2490" w:type="dxa"/>
            <w:vMerge/>
            <w:shd w:val="clear" w:color="auto" w:fill="auto"/>
          </w:tcPr>
          <w:p w14:paraId="53BD9384" w14:textId="77777777" w:rsidR="00203F72" w:rsidRPr="00F90BE3" w:rsidRDefault="00203F72" w:rsidP="00D87D91"/>
        </w:tc>
      </w:tr>
      <w:tr w:rsidR="00203F72" w:rsidRPr="00F90BE3" w14:paraId="2567A85B" w14:textId="77777777" w:rsidTr="00203F72">
        <w:trPr>
          <w:trHeight w:val="72"/>
        </w:trPr>
        <w:tc>
          <w:tcPr>
            <w:tcW w:w="596" w:type="dxa"/>
            <w:vMerge/>
            <w:shd w:val="clear" w:color="auto" w:fill="auto"/>
          </w:tcPr>
          <w:p w14:paraId="30650441" w14:textId="77777777" w:rsidR="00203F72" w:rsidRPr="00F90BE3" w:rsidRDefault="00203F72" w:rsidP="00D87D91"/>
        </w:tc>
        <w:tc>
          <w:tcPr>
            <w:tcW w:w="596" w:type="dxa"/>
            <w:vMerge/>
            <w:shd w:val="clear" w:color="auto" w:fill="auto"/>
          </w:tcPr>
          <w:p w14:paraId="2E610C47" w14:textId="77777777" w:rsidR="00203F72" w:rsidRPr="00F90BE3" w:rsidRDefault="00203F72" w:rsidP="00D87D91"/>
        </w:tc>
        <w:tc>
          <w:tcPr>
            <w:tcW w:w="1076" w:type="dxa"/>
            <w:vMerge/>
            <w:shd w:val="clear" w:color="auto" w:fill="auto"/>
          </w:tcPr>
          <w:p w14:paraId="5C20D163" w14:textId="77777777" w:rsidR="00203F72" w:rsidRPr="00F90BE3" w:rsidRDefault="00203F72" w:rsidP="00D87D91"/>
        </w:tc>
        <w:tc>
          <w:tcPr>
            <w:tcW w:w="959" w:type="dxa"/>
            <w:vMerge/>
            <w:shd w:val="clear" w:color="auto" w:fill="auto"/>
          </w:tcPr>
          <w:p w14:paraId="720DBBBF" w14:textId="77777777" w:rsidR="00203F72" w:rsidRPr="00F90BE3" w:rsidRDefault="00203F72" w:rsidP="00D87D91"/>
        </w:tc>
        <w:tc>
          <w:tcPr>
            <w:tcW w:w="1134" w:type="dxa"/>
            <w:shd w:val="clear" w:color="auto" w:fill="auto"/>
          </w:tcPr>
          <w:p w14:paraId="13E88719" w14:textId="77777777" w:rsidR="00203F72" w:rsidRPr="00F90BE3" w:rsidRDefault="00203F72" w:rsidP="00D87D91">
            <w:r w:rsidRPr="00F90BE3">
              <w:t>延三月</w:t>
            </w:r>
          </w:p>
        </w:tc>
        <w:tc>
          <w:tcPr>
            <w:tcW w:w="850" w:type="dxa"/>
            <w:shd w:val="clear" w:color="auto" w:fill="auto"/>
          </w:tcPr>
          <w:p w14:paraId="5A939589" w14:textId="77777777" w:rsidR="00203F72" w:rsidRPr="00F90BE3" w:rsidRDefault="00203F72" w:rsidP="00D87D91">
            <w:r w:rsidRPr="00F90BE3">
              <w:t>X</w:t>
            </w:r>
          </w:p>
        </w:tc>
        <w:tc>
          <w:tcPr>
            <w:tcW w:w="567" w:type="dxa"/>
            <w:shd w:val="clear" w:color="auto" w:fill="auto"/>
          </w:tcPr>
          <w:p w14:paraId="6ADC7F3C" w14:textId="77777777" w:rsidR="00203F72" w:rsidRPr="00F90BE3" w:rsidRDefault="00203F72" w:rsidP="00D87D91"/>
        </w:tc>
        <w:tc>
          <w:tcPr>
            <w:tcW w:w="2490" w:type="dxa"/>
            <w:vMerge/>
            <w:shd w:val="clear" w:color="auto" w:fill="auto"/>
          </w:tcPr>
          <w:p w14:paraId="280A122A" w14:textId="77777777" w:rsidR="00203F72" w:rsidRPr="00F90BE3" w:rsidRDefault="00203F72" w:rsidP="00D87D91"/>
        </w:tc>
      </w:tr>
      <w:tr w:rsidR="00203F72" w:rsidRPr="00F90BE3" w14:paraId="5042C918" w14:textId="77777777" w:rsidTr="00203F72">
        <w:trPr>
          <w:trHeight w:val="72"/>
        </w:trPr>
        <w:tc>
          <w:tcPr>
            <w:tcW w:w="596" w:type="dxa"/>
            <w:vMerge/>
            <w:shd w:val="clear" w:color="auto" w:fill="auto"/>
          </w:tcPr>
          <w:p w14:paraId="14B26F65" w14:textId="77777777" w:rsidR="00203F72" w:rsidRPr="00F90BE3" w:rsidRDefault="00203F72" w:rsidP="00D87D91"/>
        </w:tc>
        <w:tc>
          <w:tcPr>
            <w:tcW w:w="596" w:type="dxa"/>
            <w:vMerge/>
            <w:shd w:val="clear" w:color="auto" w:fill="auto"/>
          </w:tcPr>
          <w:p w14:paraId="1C684258" w14:textId="77777777" w:rsidR="00203F72" w:rsidRPr="00F90BE3" w:rsidRDefault="00203F72" w:rsidP="00D87D91"/>
        </w:tc>
        <w:tc>
          <w:tcPr>
            <w:tcW w:w="1076" w:type="dxa"/>
            <w:vMerge/>
            <w:shd w:val="clear" w:color="auto" w:fill="auto"/>
          </w:tcPr>
          <w:p w14:paraId="66C5FCD6" w14:textId="77777777" w:rsidR="00203F72" w:rsidRPr="00F90BE3" w:rsidRDefault="00203F72" w:rsidP="00D87D91"/>
        </w:tc>
        <w:tc>
          <w:tcPr>
            <w:tcW w:w="959" w:type="dxa"/>
            <w:vMerge/>
            <w:shd w:val="clear" w:color="auto" w:fill="auto"/>
          </w:tcPr>
          <w:p w14:paraId="548199E6" w14:textId="77777777" w:rsidR="00203F72" w:rsidRPr="00F90BE3" w:rsidRDefault="00203F72" w:rsidP="00D87D91"/>
        </w:tc>
        <w:tc>
          <w:tcPr>
            <w:tcW w:w="1134" w:type="dxa"/>
            <w:shd w:val="clear" w:color="auto" w:fill="auto"/>
          </w:tcPr>
          <w:p w14:paraId="0AF9E593" w14:textId="77777777" w:rsidR="00203F72" w:rsidRPr="00F90BE3" w:rsidRDefault="00203F72" w:rsidP="00D87D91">
            <w:r w:rsidRPr="00F90BE3">
              <w:t>延四月</w:t>
            </w:r>
          </w:p>
        </w:tc>
        <w:tc>
          <w:tcPr>
            <w:tcW w:w="850" w:type="dxa"/>
            <w:shd w:val="clear" w:color="auto" w:fill="auto"/>
          </w:tcPr>
          <w:p w14:paraId="2FE8E3CA" w14:textId="77777777" w:rsidR="00203F72" w:rsidRPr="00F90BE3" w:rsidRDefault="00203F72" w:rsidP="00D87D91">
            <w:r w:rsidRPr="00F90BE3">
              <w:t>X</w:t>
            </w:r>
          </w:p>
        </w:tc>
        <w:tc>
          <w:tcPr>
            <w:tcW w:w="567" w:type="dxa"/>
            <w:shd w:val="clear" w:color="auto" w:fill="auto"/>
          </w:tcPr>
          <w:p w14:paraId="14777661" w14:textId="77777777" w:rsidR="00203F72" w:rsidRPr="00F90BE3" w:rsidRDefault="00203F72" w:rsidP="00D87D91"/>
        </w:tc>
        <w:tc>
          <w:tcPr>
            <w:tcW w:w="2490" w:type="dxa"/>
            <w:vMerge/>
            <w:shd w:val="clear" w:color="auto" w:fill="auto"/>
          </w:tcPr>
          <w:p w14:paraId="46053158" w14:textId="77777777" w:rsidR="00203F72" w:rsidRPr="00F90BE3" w:rsidRDefault="00203F72" w:rsidP="00D87D91"/>
        </w:tc>
      </w:tr>
      <w:tr w:rsidR="00203F72" w:rsidRPr="00F90BE3" w14:paraId="5C9E4507" w14:textId="77777777" w:rsidTr="00203F72">
        <w:trPr>
          <w:trHeight w:val="72"/>
        </w:trPr>
        <w:tc>
          <w:tcPr>
            <w:tcW w:w="596" w:type="dxa"/>
            <w:vMerge/>
            <w:shd w:val="clear" w:color="auto" w:fill="auto"/>
          </w:tcPr>
          <w:p w14:paraId="2D298C8A" w14:textId="77777777" w:rsidR="00203F72" w:rsidRPr="00F90BE3" w:rsidRDefault="00203F72" w:rsidP="00D87D91"/>
        </w:tc>
        <w:tc>
          <w:tcPr>
            <w:tcW w:w="596" w:type="dxa"/>
            <w:vMerge/>
            <w:shd w:val="clear" w:color="auto" w:fill="auto"/>
          </w:tcPr>
          <w:p w14:paraId="2E015669" w14:textId="77777777" w:rsidR="00203F72" w:rsidRPr="00F90BE3" w:rsidRDefault="00203F72" w:rsidP="00D87D91"/>
        </w:tc>
        <w:tc>
          <w:tcPr>
            <w:tcW w:w="1076" w:type="dxa"/>
            <w:vMerge w:val="restart"/>
            <w:shd w:val="clear" w:color="auto" w:fill="auto"/>
          </w:tcPr>
          <w:p w14:paraId="045CD08A" w14:textId="77777777" w:rsidR="00203F72" w:rsidRPr="00F90BE3" w:rsidRDefault="00203F72" w:rsidP="00D87D91">
            <w:r w:rsidRPr="00F90BE3">
              <w:t>因搶奪罪被執行死刑總人數對於</w:t>
            </w:r>
          </w:p>
        </w:tc>
        <w:tc>
          <w:tcPr>
            <w:tcW w:w="959" w:type="dxa"/>
            <w:vMerge w:val="restart"/>
            <w:shd w:val="clear" w:color="auto" w:fill="auto"/>
          </w:tcPr>
          <w:p w14:paraId="77B9022A" w14:textId="77777777" w:rsidR="00203F72" w:rsidRPr="00F90BE3" w:rsidRDefault="00203F72" w:rsidP="00D87D91">
            <w:r w:rsidRPr="00F90BE3">
              <w:t>搶奪案發生件數之影響</w:t>
            </w:r>
          </w:p>
        </w:tc>
        <w:tc>
          <w:tcPr>
            <w:tcW w:w="1134" w:type="dxa"/>
            <w:shd w:val="clear" w:color="auto" w:fill="auto"/>
          </w:tcPr>
          <w:p w14:paraId="0F9502C4" w14:textId="77777777" w:rsidR="00203F72" w:rsidRPr="00F90BE3" w:rsidRDefault="00203F72" w:rsidP="00D87D91">
            <w:r w:rsidRPr="00F90BE3">
              <w:t>當月</w:t>
            </w:r>
          </w:p>
        </w:tc>
        <w:tc>
          <w:tcPr>
            <w:tcW w:w="850" w:type="dxa"/>
            <w:shd w:val="clear" w:color="auto" w:fill="auto"/>
          </w:tcPr>
          <w:p w14:paraId="6297D645" w14:textId="77777777" w:rsidR="00203F72" w:rsidRPr="00F90BE3" w:rsidRDefault="00203F72" w:rsidP="00D87D91">
            <w:r w:rsidRPr="00F90BE3">
              <w:t>X</w:t>
            </w:r>
          </w:p>
        </w:tc>
        <w:tc>
          <w:tcPr>
            <w:tcW w:w="567" w:type="dxa"/>
            <w:shd w:val="clear" w:color="auto" w:fill="auto"/>
          </w:tcPr>
          <w:p w14:paraId="7603F053" w14:textId="77777777" w:rsidR="00203F72" w:rsidRPr="00F90BE3" w:rsidRDefault="00203F72" w:rsidP="00D87D91"/>
        </w:tc>
        <w:tc>
          <w:tcPr>
            <w:tcW w:w="2490" w:type="dxa"/>
            <w:vMerge w:val="restart"/>
            <w:shd w:val="clear" w:color="auto" w:fill="auto"/>
          </w:tcPr>
          <w:p w14:paraId="1027A980" w14:textId="77777777" w:rsidR="00203F72" w:rsidRPr="00F90BE3" w:rsidRDefault="00203F72" w:rsidP="00D87D91">
            <w:r w:rsidRPr="00F90BE3">
              <w:t>因搶奪罪被執行死刑人數</w:t>
            </w:r>
            <w:r w:rsidRPr="00F90BE3">
              <w:t>(</w:t>
            </w:r>
            <w:r w:rsidRPr="00F90BE3">
              <w:t>自變項</w:t>
            </w:r>
            <w:r w:rsidRPr="00F90BE3">
              <w:t>)</w:t>
            </w:r>
            <w:r w:rsidRPr="00F90BE3">
              <w:t>多寡，對搶奪案之發生件數</w:t>
            </w:r>
            <w:r w:rsidRPr="00F90BE3">
              <w:t>(</w:t>
            </w:r>
            <w:r w:rsidRPr="00F90BE3">
              <w:t>依變項</w:t>
            </w:r>
            <w:r w:rsidRPr="00F90BE3">
              <w:t>)</w:t>
            </w:r>
            <w:r w:rsidRPr="00F90BE3">
              <w:t>毫無影響</w:t>
            </w:r>
          </w:p>
        </w:tc>
      </w:tr>
      <w:tr w:rsidR="00203F72" w:rsidRPr="00F90BE3" w14:paraId="2F76A863" w14:textId="77777777" w:rsidTr="00203F72">
        <w:trPr>
          <w:trHeight w:val="72"/>
        </w:trPr>
        <w:tc>
          <w:tcPr>
            <w:tcW w:w="596" w:type="dxa"/>
            <w:vMerge/>
            <w:shd w:val="clear" w:color="auto" w:fill="auto"/>
          </w:tcPr>
          <w:p w14:paraId="3ECAF9DB" w14:textId="77777777" w:rsidR="00203F72" w:rsidRPr="00F90BE3" w:rsidRDefault="00203F72" w:rsidP="00D87D91"/>
        </w:tc>
        <w:tc>
          <w:tcPr>
            <w:tcW w:w="596" w:type="dxa"/>
            <w:vMerge/>
            <w:shd w:val="clear" w:color="auto" w:fill="auto"/>
          </w:tcPr>
          <w:p w14:paraId="0BE01802" w14:textId="77777777" w:rsidR="00203F72" w:rsidRPr="00F90BE3" w:rsidRDefault="00203F72" w:rsidP="00D87D91"/>
        </w:tc>
        <w:tc>
          <w:tcPr>
            <w:tcW w:w="1076" w:type="dxa"/>
            <w:vMerge/>
            <w:shd w:val="clear" w:color="auto" w:fill="auto"/>
          </w:tcPr>
          <w:p w14:paraId="2F05C936" w14:textId="77777777" w:rsidR="00203F72" w:rsidRPr="00F90BE3" w:rsidRDefault="00203F72" w:rsidP="00D87D91"/>
        </w:tc>
        <w:tc>
          <w:tcPr>
            <w:tcW w:w="959" w:type="dxa"/>
            <w:vMerge/>
            <w:shd w:val="clear" w:color="auto" w:fill="auto"/>
          </w:tcPr>
          <w:p w14:paraId="0C04F736" w14:textId="77777777" w:rsidR="00203F72" w:rsidRPr="00F90BE3" w:rsidRDefault="00203F72" w:rsidP="00D87D91"/>
        </w:tc>
        <w:tc>
          <w:tcPr>
            <w:tcW w:w="1134" w:type="dxa"/>
            <w:shd w:val="clear" w:color="auto" w:fill="auto"/>
          </w:tcPr>
          <w:p w14:paraId="358C76E2" w14:textId="77777777" w:rsidR="00203F72" w:rsidRPr="00F90BE3" w:rsidRDefault="00203F72" w:rsidP="00D87D91">
            <w:r w:rsidRPr="00F90BE3">
              <w:t>延一月</w:t>
            </w:r>
          </w:p>
        </w:tc>
        <w:tc>
          <w:tcPr>
            <w:tcW w:w="850" w:type="dxa"/>
            <w:shd w:val="clear" w:color="auto" w:fill="auto"/>
          </w:tcPr>
          <w:p w14:paraId="68B992A4" w14:textId="77777777" w:rsidR="00203F72" w:rsidRPr="00F90BE3" w:rsidRDefault="00203F72" w:rsidP="00D87D91">
            <w:r w:rsidRPr="00F90BE3">
              <w:t>X</w:t>
            </w:r>
          </w:p>
        </w:tc>
        <w:tc>
          <w:tcPr>
            <w:tcW w:w="567" w:type="dxa"/>
            <w:shd w:val="clear" w:color="auto" w:fill="auto"/>
          </w:tcPr>
          <w:p w14:paraId="323B95EA" w14:textId="77777777" w:rsidR="00203F72" w:rsidRPr="00F90BE3" w:rsidRDefault="00203F72" w:rsidP="00D87D91"/>
        </w:tc>
        <w:tc>
          <w:tcPr>
            <w:tcW w:w="2490" w:type="dxa"/>
            <w:vMerge/>
            <w:shd w:val="clear" w:color="auto" w:fill="auto"/>
          </w:tcPr>
          <w:p w14:paraId="32F300E9" w14:textId="77777777" w:rsidR="00203F72" w:rsidRPr="00F90BE3" w:rsidRDefault="00203F72" w:rsidP="00D87D91"/>
        </w:tc>
      </w:tr>
      <w:tr w:rsidR="00203F72" w:rsidRPr="00F90BE3" w14:paraId="468F6DF0" w14:textId="77777777" w:rsidTr="00203F72">
        <w:trPr>
          <w:trHeight w:val="72"/>
        </w:trPr>
        <w:tc>
          <w:tcPr>
            <w:tcW w:w="596" w:type="dxa"/>
            <w:vMerge/>
            <w:shd w:val="clear" w:color="auto" w:fill="auto"/>
          </w:tcPr>
          <w:p w14:paraId="7626AB37" w14:textId="77777777" w:rsidR="00203F72" w:rsidRPr="00F90BE3" w:rsidRDefault="00203F72" w:rsidP="00D87D91"/>
        </w:tc>
        <w:tc>
          <w:tcPr>
            <w:tcW w:w="596" w:type="dxa"/>
            <w:vMerge/>
            <w:shd w:val="clear" w:color="auto" w:fill="auto"/>
          </w:tcPr>
          <w:p w14:paraId="4483413C" w14:textId="77777777" w:rsidR="00203F72" w:rsidRPr="00F90BE3" w:rsidRDefault="00203F72" w:rsidP="00D87D91"/>
        </w:tc>
        <w:tc>
          <w:tcPr>
            <w:tcW w:w="1076" w:type="dxa"/>
            <w:vMerge/>
            <w:shd w:val="clear" w:color="auto" w:fill="auto"/>
          </w:tcPr>
          <w:p w14:paraId="7A6A7622" w14:textId="77777777" w:rsidR="00203F72" w:rsidRPr="00F90BE3" w:rsidRDefault="00203F72" w:rsidP="00D87D91"/>
        </w:tc>
        <w:tc>
          <w:tcPr>
            <w:tcW w:w="959" w:type="dxa"/>
            <w:vMerge/>
            <w:shd w:val="clear" w:color="auto" w:fill="auto"/>
          </w:tcPr>
          <w:p w14:paraId="6142E04C" w14:textId="77777777" w:rsidR="00203F72" w:rsidRPr="00F90BE3" w:rsidRDefault="00203F72" w:rsidP="00D87D91"/>
        </w:tc>
        <w:tc>
          <w:tcPr>
            <w:tcW w:w="1134" w:type="dxa"/>
            <w:shd w:val="clear" w:color="auto" w:fill="auto"/>
          </w:tcPr>
          <w:p w14:paraId="5DA3BDD1" w14:textId="77777777" w:rsidR="00203F72" w:rsidRPr="00F90BE3" w:rsidRDefault="00203F72" w:rsidP="00D87D91">
            <w:r w:rsidRPr="00F90BE3">
              <w:t>延二月</w:t>
            </w:r>
          </w:p>
        </w:tc>
        <w:tc>
          <w:tcPr>
            <w:tcW w:w="850" w:type="dxa"/>
            <w:shd w:val="clear" w:color="auto" w:fill="auto"/>
          </w:tcPr>
          <w:p w14:paraId="6DB5DE94" w14:textId="77777777" w:rsidR="00203F72" w:rsidRPr="00F90BE3" w:rsidRDefault="00203F72" w:rsidP="00D87D91">
            <w:r w:rsidRPr="00F90BE3">
              <w:t>X</w:t>
            </w:r>
          </w:p>
        </w:tc>
        <w:tc>
          <w:tcPr>
            <w:tcW w:w="567" w:type="dxa"/>
            <w:shd w:val="clear" w:color="auto" w:fill="auto"/>
          </w:tcPr>
          <w:p w14:paraId="7528C3EE" w14:textId="77777777" w:rsidR="00203F72" w:rsidRPr="00F90BE3" w:rsidRDefault="00203F72" w:rsidP="00D87D91"/>
        </w:tc>
        <w:tc>
          <w:tcPr>
            <w:tcW w:w="2490" w:type="dxa"/>
            <w:vMerge/>
            <w:shd w:val="clear" w:color="auto" w:fill="auto"/>
          </w:tcPr>
          <w:p w14:paraId="37F17E84" w14:textId="77777777" w:rsidR="00203F72" w:rsidRPr="00F90BE3" w:rsidRDefault="00203F72" w:rsidP="00D87D91"/>
        </w:tc>
      </w:tr>
      <w:tr w:rsidR="00203F72" w:rsidRPr="00F90BE3" w14:paraId="452509C8" w14:textId="77777777" w:rsidTr="00203F72">
        <w:trPr>
          <w:trHeight w:val="72"/>
        </w:trPr>
        <w:tc>
          <w:tcPr>
            <w:tcW w:w="596" w:type="dxa"/>
            <w:vMerge/>
            <w:shd w:val="clear" w:color="auto" w:fill="auto"/>
          </w:tcPr>
          <w:p w14:paraId="07795DD1" w14:textId="77777777" w:rsidR="00203F72" w:rsidRPr="00F90BE3" w:rsidRDefault="00203F72" w:rsidP="00D87D91"/>
        </w:tc>
        <w:tc>
          <w:tcPr>
            <w:tcW w:w="596" w:type="dxa"/>
            <w:vMerge/>
            <w:shd w:val="clear" w:color="auto" w:fill="auto"/>
          </w:tcPr>
          <w:p w14:paraId="5610D54B" w14:textId="77777777" w:rsidR="00203F72" w:rsidRPr="00F90BE3" w:rsidRDefault="00203F72" w:rsidP="00D87D91"/>
        </w:tc>
        <w:tc>
          <w:tcPr>
            <w:tcW w:w="1076" w:type="dxa"/>
            <w:vMerge/>
            <w:shd w:val="clear" w:color="auto" w:fill="auto"/>
          </w:tcPr>
          <w:p w14:paraId="5ED38B31" w14:textId="77777777" w:rsidR="00203F72" w:rsidRPr="00F90BE3" w:rsidRDefault="00203F72" w:rsidP="00D87D91"/>
        </w:tc>
        <w:tc>
          <w:tcPr>
            <w:tcW w:w="959" w:type="dxa"/>
            <w:vMerge/>
            <w:shd w:val="clear" w:color="auto" w:fill="auto"/>
          </w:tcPr>
          <w:p w14:paraId="748FB4AF" w14:textId="77777777" w:rsidR="00203F72" w:rsidRPr="00F90BE3" w:rsidRDefault="00203F72" w:rsidP="00D87D91"/>
        </w:tc>
        <w:tc>
          <w:tcPr>
            <w:tcW w:w="1134" w:type="dxa"/>
            <w:shd w:val="clear" w:color="auto" w:fill="auto"/>
          </w:tcPr>
          <w:p w14:paraId="48138E44" w14:textId="77777777" w:rsidR="00203F72" w:rsidRPr="00F90BE3" w:rsidRDefault="00203F72" w:rsidP="00D87D91">
            <w:r w:rsidRPr="00F90BE3">
              <w:t>延三月</w:t>
            </w:r>
          </w:p>
        </w:tc>
        <w:tc>
          <w:tcPr>
            <w:tcW w:w="850" w:type="dxa"/>
            <w:shd w:val="clear" w:color="auto" w:fill="auto"/>
          </w:tcPr>
          <w:p w14:paraId="3145A7BD" w14:textId="77777777" w:rsidR="00203F72" w:rsidRPr="00F90BE3" w:rsidRDefault="00203F72" w:rsidP="00D87D91">
            <w:r w:rsidRPr="00F90BE3">
              <w:t>X</w:t>
            </w:r>
          </w:p>
        </w:tc>
        <w:tc>
          <w:tcPr>
            <w:tcW w:w="567" w:type="dxa"/>
            <w:shd w:val="clear" w:color="auto" w:fill="auto"/>
          </w:tcPr>
          <w:p w14:paraId="5840B9C0" w14:textId="77777777" w:rsidR="00203F72" w:rsidRPr="00F90BE3" w:rsidRDefault="00203F72" w:rsidP="00D87D91"/>
        </w:tc>
        <w:tc>
          <w:tcPr>
            <w:tcW w:w="2490" w:type="dxa"/>
            <w:vMerge/>
            <w:shd w:val="clear" w:color="auto" w:fill="auto"/>
          </w:tcPr>
          <w:p w14:paraId="4622EE84" w14:textId="77777777" w:rsidR="00203F72" w:rsidRPr="00F90BE3" w:rsidRDefault="00203F72" w:rsidP="00D87D91"/>
        </w:tc>
      </w:tr>
      <w:tr w:rsidR="00203F72" w:rsidRPr="00F90BE3" w14:paraId="3352F1AD" w14:textId="77777777" w:rsidTr="00203F72">
        <w:trPr>
          <w:trHeight w:val="72"/>
        </w:trPr>
        <w:tc>
          <w:tcPr>
            <w:tcW w:w="596" w:type="dxa"/>
            <w:vMerge/>
            <w:shd w:val="clear" w:color="auto" w:fill="auto"/>
          </w:tcPr>
          <w:p w14:paraId="38F5109A" w14:textId="77777777" w:rsidR="00203F72" w:rsidRPr="00F90BE3" w:rsidRDefault="00203F72" w:rsidP="00D87D91"/>
        </w:tc>
        <w:tc>
          <w:tcPr>
            <w:tcW w:w="596" w:type="dxa"/>
            <w:vMerge/>
            <w:shd w:val="clear" w:color="auto" w:fill="auto"/>
          </w:tcPr>
          <w:p w14:paraId="2C8AC0B5" w14:textId="77777777" w:rsidR="00203F72" w:rsidRPr="00F90BE3" w:rsidRDefault="00203F72" w:rsidP="00D87D91"/>
        </w:tc>
        <w:tc>
          <w:tcPr>
            <w:tcW w:w="1076" w:type="dxa"/>
            <w:vMerge/>
            <w:shd w:val="clear" w:color="auto" w:fill="auto"/>
          </w:tcPr>
          <w:p w14:paraId="620FB4A5" w14:textId="77777777" w:rsidR="00203F72" w:rsidRPr="00F90BE3" w:rsidRDefault="00203F72" w:rsidP="00D87D91"/>
        </w:tc>
        <w:tc>
          <w:tcPr>
            <w:tcW w:w="959" w:type="dxa"/>
            <w:vMerge/>
            <w:shd w:val="clear" w:color="auto" w:fill="auto"/>
          </w:tcPr>
          <w:p w14:paraId="0F92166E" w14:textId="77777777" w:rsidR="00203F72" w:rsidRPr="00F90BE3" w:rsidRDefault="00203F72" w:rsidP="00D87D91"/>
        </w:tc>
        <w:tc>
          <w:tcPr>
            <w:tcW w:w="1134" w:type="dxa"/>
            <w:shd w:val="clear" w:color="auto" w:fill="auto"/>
          </w:tcPr>
          <w:p w14:paraId="7273306E" w14:textId="77777777" w:rsidR="00203F72" w:rsidRPr="00F90BE3" w:rsidRDefault="00203F72" w:rsidP="00D87D91">
            <w:r w:rsidRPr="00F90BE3">
              <w:t>延四月</w:t>
            </w:r>
          </w:p>
        </w:tc>
        <w:tc>
          <w:tcPr>
            <w:tcW w:w="850" w:type="dxa"/>
            <w:shd w:val="clear" w:color="auto" w:fill="auto"/>
          </w:tcPr>
          <w:p w14:paraId="4815EE30" w14:textId="77777777" w:rsidR="00203F72" w:rsidRPr="00F90BE3" w:rsidRDefault="00203F72" w:rsidP="00D87D91">
            <w:r w:rsidRPr="00F90BE3">
              <w:t>X</w:t>
            </w:r>
          </w:p>
        </w:tc>
        <w:tc>
          <w:tcPr>
            <w:tcW w:w="567" w:type="dxa"/>
            <w:shd w:val="clear" w:color="auto" w:fill="auto"/>
          </w:tcPr>
          <w:p w14:paraId="0C5F7597" w14:textId="77777777" w:rsidR="00203F72" w:rsidRPr="00F90BE3" w:rsidRDefault="00203F72" w:rsidP="00D87D91"/>
        </w:tc>
        <w:tc>
          <w:tcPr>
            <w:tcW w:w="2490" w:type="dxa"/>
            <w:vMerge/>
            <w:shd w:val="clear" w:color="auto" w:fill="auto"/>
          </w:tcPr>
          <w:p w14:paraId="452EE6A4" w14:textId="77777777" w:rsidR="00203F72" w:rsidRPr="00F90BE3" w:rsidRDefault="00203F72" w:rsidP="00D87D91"/>
        </w:tc>
      </w:tr>
      <w:tr w:rsidR="00203F72" w:rsidRPr="00F90BE3" w14:paraId="7E2B89DB" w14:textId="77777777" w:rsidTr="00203F72">
        <w:trPr>
          <w:trHeight w:val="72"/>
        </w:trPr>
        <w:tc>
          <w:tcPr>
            <w:tcW w:w="596" w:type="dxa"/>
            <w:vMerge/>
            <w:shd w:val="clear" w:color="auto" w:fill="auto"/>
          </w:tcPr>
          <w:p w14:paraId="100E5A5C" w14:textId="77777777" w:rsidR="00203F72" w:rsidRPr="00F90BE3" w:rsidRDefault="00203F72" w:rsidP="00D87D91"/>
        </w:tc>
        <w:tc>
          <w:tcPr>
            <w:tcW w:w="596" w:type="dxa"/>
            <w:vMerge/>
            <w:shd w:val="clear" w:color="auto" w:fill="auto"/>
          </w:tcPr>
          <w:p w14:paraId="11AD2D1A" w14:textId="77777777" w:rsidR="00203F72" w:rsidRPr="00F90BE3" w:rsidRDefault="00203F72" w:rsidP="00D87D91"/>
        </w:tc>
        <w:tc>
          <w:tcPr>
            <w:tcW w:w="1076" w:type="dxa"/>
            <w:vMerge w:val="restart"/>
            <w:shd w:val="clear" w:color="auto" w:fill="auto"/>
          </w:tcPr>
          <w:p w14:paraId="3BA80255" w14:textId="77777777" w:rsidR="00203F72" w:rsidRPr="00F90BE3" w:rsidRDefault="00203F72" w:rsidP="00D87D91">
            <w:r w:rsidRPr="00F90BE3">
              <w:t>因擄人勒贖被執行死刑總人數對於</w:t>
            </w:r>
          </w:p>
        </w:tc>
        <w:tc>
          <w:tcPr>
            <w:tcW w:w="959" w:type="dxa"/>
            <w:vMerge w:val="restart"/>
            <w:shd w:val="clear" w:color="auto" w:fill="auto"/>
          </w:tcPr>
          <w:p w14:paraId="376E4016" w14:textId="77777777" w:rsidR="00203F72" w:rsidRPr="00F90BE3" w:rsidRDefault="00203F72" w:rsidP="00D87D91">
            <w:r w:rsidRPr="00F90BE3">
              <w:t>擄人勒贖案發生件數之影響</w:t>
            </w:r>
          </w:p>
        </w:tc>
        <w:tc>
          <w:tcPr>
            <w:tcW w:w="1134" w:type="dxa"/>
            <w:shd w:val="clear" w:color="auto" w:fill="auto"/>
          </w:tcPr>
          <w:p w14:paraId="1B9D513A" w14:textId="77777777" w:rsidR="00203F72" w:rsidRPr="00F90BE3" w:rsidRDefault="00203F72" w:rsidP="00D87D91">
            <w:r w:rsidRPr="00F90BE3">
              <w:t>當月</w:t>
            </w:r>
          </w:p>
        </w:tc>
        <w:tc>
          <w:tcPr>
            <w:tcW w:w="850" w:type="dxa"/>
            <w:shd w:val="clear" w:color="auto" w:fill="auto"/>
          </w:tcPr>
          <w:p w14:paraId="7D41F19D" w14:textId="77777777" w:rsidR="00203F72" w:rsidRPr="00F90BE3" w:rsidRDefault="00203F72" w:rsidP="00D87D91">
            <w:r w:rsidRPr="00F90BE3">
              <w:t>v</w:t>
            </w:r>
          </w:p>
        </w:tc>
        <w:tc>
          <w:tcPr>
            <w:tcW w:w="567" w:type="dxa"/>
            <w:shd w:val="clear" w:color="auto" w:fill="auto"/>
          </w:tcPr>
          <w:p w14:paraId="65DF022E" w14:textId="77777777" w:rsidR="00203F72" w:rsidRPr="00F90BE3" w:rsidRDefault="00203F72" w:rsidP="00D87D91">
            <w:r w:rsidRPr="00F90BE3">
              <w:t>+</w:t>
            </w:r>
          </w:p>
        </w:tc>
        <w:tc>
          <w:tcPr>
            <w:tcW w:w="2490" w:type="dxa"/>
            <w:vMerge w:val="restart"/>
            <w:shd w:val="clear" w:color="auto" w:fill="auto"/>
          </w:tcPr>
          <w:p w14:paraId="37637926" w14:textId="77777777" w:rsidR="00203F72" w:rsidRPr="00F90BE3" w:rsidRDefault="00203F72" w:rsidP="00D87D91">
            <w:r w:rsidRPr="00F90BE3">
              <w:t>除延遲第三月之效果不顯著外，因擄人勒贖案被執行死刑人數</w:t>
            </w:r>
            <w:r w:rsidRPr="00F90BE3">
              <w:t>(</w:t>
            </w:r>
            <w:r w:rsidRPr="00F90BE3">
              <w:t>自變項</w:t>
            </w:r>
            <w:r w:rsidRPr="00F90BE3">
              <w:t>)</w:t>
            </w:r>
            <w:r w:rsidRPr="00F90BE3">
              <w:t>之增加，爾後四個月內，擄人勒贖案</w:t>
            </w:r>
            <w:r w:rsidRPr="00F90BE3">
              <w:t>(</w:t>
            </w:r>
            <w:r w:rsidRPr="00F90BE3">
              <w:t>依變項</w:t>
            </w:r>
            <w:r w:rsidRPr="00F90BE3">
              <w:t>)</w:t>
            </w:r>
            <w:r w:rsidRPr="00F90BE3">
              <w:t>也會增加</w:t>
            </w:r>
          </w:p>
        </w:tc>
      </w:tr>
      <w:tr w:rsidR="00203F72" w:rsidRPr="00F90BE3" w14:paraId="634008A4" w14:textId="77777777" w:rsidTr="00203F72">
        <w:trPr>
          <w:trHeight w:val="72"/>
        </w:trPr>
        <w:tc>
          <w:tcPr>
            <w:tcW w:w="596" w:type="dxa"/>
            <w:vMerge/>
            <w:shd w:val="clear" w:color="auto" w:fill="auto"/>
          </w:tcPr>
          <w:p w14:paraId="67549BB4" w14:textId="77777777" w:rsidR="00203F72" w:rsidRPr="00F90BE3" w:rsidRDefault="00203F72" w:rsidP="00D87D91"/>
        </w:tc>
        <w:tc>
          <w:tcPr>
            <w:tcW w:w="596" w:type="dxa"/>
            <w:vMerge/>
            <w:shd w:val="clear" w:color="auto" w:fill="auto"/>
          </w:tcPr>
          <w:p w14:paraId="33E6400D" w14:textId="77777777" w:rsidR="00203F72" w:rsidRPr="00F90BE3" w:rsidRDefault="00203F72" w:rsidP="00D87D91"/>
        </w:tc>
        <w:tc>
          <w:tcPr>
            <w:tcW w:w="1076" w:type="dxa"/>
            <w:vMerge/>
            <w:shd w:val="clear" w:color="auto" w:fill="auto"/>
          </w:tcPr>
          <w:p w14:paraId="23340FA3" w14:textId="77777777" w:rsidR="00203F72" w:rsidRPr="00F90BE3" w:rsidRDefault="00203F72" w:rsidP="00D87D91"/>
        </w:tc>
        <w:tc>
          <w:tcPr>
            <w:tcW w:w="959" w:type="dxa"/>
            <w:vMerge/>
            <w:shd w:val="clear" w:color="auto" w:fill="auto"/>
          </w:tcPr>
          <w:p w14:paraId="1F489CAF" w14:textId="77777777" w:rsidR="00203F72" w:rsidRPr="00F90BE3" w:rsidRDefault="00203F72" w:rsidP="00D87D91"/>
        </w:tc>
        <w:tc>
          <w:tcPr>
            <w:tcW w:w="1134" w:type="dxa"/>
            <w:shd w:val="clear" w:color="auto" w:fill="auto"/>
          </w:tcPr>
          <w:p w14:paraId="3FAFAF74" w14:textId="77777777" w:rsidR="00203F72" w:rsidRPr="00F90BE3" w:rsidRDefault="00203F72" w:rsidP="00D87D91">
            <w:r w:rsidRPr="00F90BE3">
              <w:t>延一月</w:t>
            </w:r>
          </w:p>
        </w:tc>
        <w:tc>
          <w:tcPr>
            <w:tcW w:w="850" w:type="dxa"/>
            <w:shd w:val="clear" w:color="auto" w:fill="auto"/>
          </w:tcPr>
          <w:p w14:paraId="51EAD2BA" w14:textId="77777777" w:rsidR="00203F72" w:rsidRPr="00F90BE3" w:rsidRDefault="00203F72" w:rsidP="00D87D91">
            <w:r w:rsidRPr="00F90BE3">
              <w:t>v</w:t>
            </w:r>
          </w:p>
        </w:tc>
        <w:tc>
          <w:tcPr>
            <w:tcW w:w="567" w:type="dxa"/>
            <w:shd w:val="clear" w:color="auto" w:fill="auto"/>
          </w:tcPr>
          <w:p w14:paraId="38A2FE64" w14:textId="77777777" w:rsidR="00203F72" w:rsidRPr="00F90BE3" w:rsidRDefault="00203F72" w:rsidP="00D87D91">
            <w:r w:rsidRPr="00F90BE3">
              <w:t>+</w:t>
            </w:r>
          </w:p>
        </w:tc>
        <w:tc>
          <w:tcPr>
            <w:tcW w:w="2490" w:type="dxa"/>
            <w:vMerge/>
            <w:shd w:val="clear" w:color="auto" w:fill="auto"/>
          </w:tcPr>
          <w:p w14:paraId="60060D7B" w14:textId="77777777" w:rsidR="00203F72" w:rsidRPr="00F90BE3" w:rsidRDefault="00203F72" w:rsidP="00D87D91"/>
        </w:tc>
      </w:tr>
      <w:tr w:rsidR="00203F72" w:rsidRPr="00F90BE3" w14:paraId="7F198444" w14:textId="77777777" w:rsidTr="00203F72">
        <w:trPr>
          <w:trHeight w:val="72"/>
        </w:trPr>
        <w:tc>
          <w:tcPr>
            <w:tcW w:w="596" w:type="dxa"/>
            <w:vMerge/>
            <w:shd w:val="clear" w:color="auto" w:fill="auto"/>
          </w:tcPr>
          <w:p w14:paraId="2A985711" w14:textId="77777777" w:rsidR="00203F72" w:rsidRPr="00F90BE3" w:rsidRDefault="00203F72" w:rsidP="00D87D91"/>
        </w:tc>
        <w:tc>
          <w:tcPr>
            <w:tcW w:w="596" w:type="dxa"/>
            <w:vMerge/>
            <w:shd w:val="clear" w:color="auto" w:fill="auto"/>
          </w:tcPr>
          <w:p w14:paraId="3150F8B3" w14:textId="77777777" w:rsidR="00203F72" w:rsidRPr="00F90BE3" w:rsidRDefault="00203F72" w:rsidP="00D87D91"/>
        </w:tc>
        <w:tc>
          <w:tcPr>
            <w:tcW w:w="1076" w:type="dxa"/>
            <w:vMerge/>
            <w:shd w:val="clear" w:color="auto" w:fill="auto"/>
          </w:tcPr>
          <w:p w14:paraId="0A61B67C" w14:textId="77777777" w:rsidR="00203F72" w:rsidRPr="00F90BE3" w:rsidRDefault="00203F72" w:rsidP="00D87D91"/>
        </w:tc>
        <w:tc>
          <w:tcPr>
            <w:tcW w:w="959" w:type="dxa"/>
            <w:vMerge/>
            <w:shd w:val="clear" w:color="auto" w:fill="auto"/>
          </w:tcPr>
          <w:p w14:paraId="61A26326" w14:textId="77777777" w:rsidR="00203F72" w:rsidRPr="00F90BE3" w:rsidRDefault="00203F72" w:rsidP="00D87D91"/>
        </w:tc>
        <w:tc>
          <w:tcPr>
            <w:tcW w:w="1134" w:type="dxa"/>
            <w:shd w:val="clear" w:color="auto" w:fill="auto"/>
          </w:tcPr>
          <w:p w14:paraId="2DC29A2C" w14:textId="77777777" w:rsidR="00203F72" w:rsidRPr="00F90BE3" w:rsidRDefault="00203F72" w:rsidP="00D87D91">
            <w:r w:rsidRPr="00F90BE3">
              <w:t>延二月</w:t>
            </w:r>
          </w:p>
        </w:tc>
        <w:tc>
          <w:tcPr>
            <w:tcW w:w="850" w:type="dxa"/>
            <w:shd w:val="clear" w:color="auto" w:fill="auto"/>
          </w:tcPr>
          <w:p w14:paraId="1DA15D02" w14:textId="77777777" w:rsidR="00203F72" w:rsidRPr="00F90BE3" w:rsidRDefault="00203F72" w:rsidP="00D87D91">
            <w:r w:rsidRPr="00F90BE3">
              <w:t>v</w:t>
            </w:r>
          </w:p>
        </w:tc>
        <w:tc>
          <w:tcPr>
            <w:tcW w:w="567" w:type="dxa"/>
            <w:shd w:val="clear" w:color="auto" w:fill="auto"/>
          </w:tcPr>
          <w:p w14:paraId="5279D318" w14:textId="77777777" w:rsidR="00203F72" w:rsidRPr="00F90BE3" w:rsidRDefault="00203F72" w:rsidP="00D87D91">
            <w:r w:rsidRPr="00F90BE3">
              <w:t>+</w:t>
            </w:r>
          </w:p>
        </w:tc>
        <w:tc>
          <w:tcPr>
            <w:tcW w:w="2490" w:type="dxa"/>
            <w:vMerge/>
            <w:shd w:val="clear" w:color="auto" w:fill="auto"/>
          </w:tcPr>
          <w:p w14:paraId="26A4107E" w14:textId="77777777" w:rsidR="00203F72" w:rsidRPr="00F90BE3" w:rsidRDefault="00203F72" w:rsidP="00D87D91"/>
        </w:tc>
      </w:tr>
      <w:tr w:rsidR="00203F72" w:rsidRPr="00F90BE3" w14:paraId="5C39D7F0" w14:textId="77777777" w:rsidTr="00203F72">
        <w:trPr>
          <w:trHeight w:val="72"/>
        </w:trPr>
        <w:tc>
          <w:tcPr>
            <w:tcW w:w="596" w:type="dxa"/>
            <w:vMerge/>
            <w:shd w:val="clear" w:color="auto" w:fill="auto"/>
          </w:tcPr>
          <w:p w14:paraId="10F42462" w14:textId="77777777" w:rsidR="00203F72" w:rsidRPr="00F90BE3" w:rsidRDefault="00203F72" w:rsidP="00D87D91"/>
        </w:tc>
        <w:tc>
          <w:tcPr>
            <w:tcW w:w="596" w:type="dxa"/>
            <w:vMerge/>
            <w:shd w:val="clear" w:color="auto" w:fill="auto"/>
          </w:tcPr>
          <w:p w14:paraId="01248ADD" w14:textId="77777777" w:rsidR="00203F72" w:rsidRPr="00F90BE3" w:rsidRDefault="00203F72" w:rsidP="00D87D91"/>
        </w:tc>
        <w:tc>
          <w:tcPr>
            <w:tcW w:w="1076" w:type="dxa"/>
            <w:vMerge/>
            <w:shd w:val="clear" w:color="auto" w:fill="auto"/>
          </w:tcPr>
          <w:p w14:paraId="71EFE9CB" w14:textId="77777777" w:rsidR="00203F72" w:rsidRPr="00F90BE3" w:rsidRDefault="00203F72" w:rsidP="00D87D91"/>
        </w:tc>
        <w:tc>
          <w:tcPr>
            <w:tcW w:w="959" w:type="dxa"/>
            <w:vMerge/>
            <w:shd w:val="clear" w:color="auto" w:fill="auto"/>
          </w:tcPr>
          <w:p w14:paraId="1BE902B7" w14:textId="77777777" w:rsidR="00203F72" w:rsidRPr="00F90BE3" w:rsidRDefault="00203F72" w:rsidP="00D87D91"/>
        </w:tc>
        <w:tc>
          <w:tcPr>
            <w:tcW w:w="1134" w:type="dxa"/>
            <w:shd w:val="clear" w:color="auto" w:fill="auto"/>
          </w:tcPr>
          <w:p w14:paraId="5519F022" w14:textId="77777777" w:rsidR="00203F72" w:rsidRPr="00F90BE3" w:rsidRDefault="00203F72" w:rsidP="00D87D91">
            <w:r w:rsidRPr="00F90BE3">
              <w:t>延三月</w:t>
            </w:r>
          </w:p>
        </w:tc>
        <w:tc>
          <w:tcPr>
            <w:tcW w:w="850" w:type="dxa"/>
            <w:shd w:val="clear" w:color="auto" w:fill="auto"/>
          </w:tcPr>
          <w:p w14:paraId="5F1E3765" w14:textId="77777777" w:rsidR="00203F72" w:rsidRPr="00F90BE3" w:rsidRDefault="00203F72" w:rsidP="00D87D91">
            <w:r w:rsidRPr="00F90BE3">
              <w:t>X</w:t>
            </w:r>
          </w:p>
        </w:tc>
        <w:tc>
          <w:tcPr>
            <w:tcW w:w="567" w:type="dxa"/>
            <w:shd w:val="clear" w:color="auto" w:fill="auto"/>
          </w:tcPr>
          <w:p w14:paraId="253FFEE0" w14:textId="77777777" w:rsidR="00203F72" w:rsidRPr="00F90BE3" w:rsidRDefault="00203F72" w:rsidP="00D87D91"/>
        </w:tc>
        <w:tc>
          <w:tcPr>
            <w:tcW w:w="2490" w:type="dxa"/>
            <w:vMerge/>
            <w:shd w:val="clear" w:color="auto" w:fill="auto"/>
          </w:tcPr>
          <w:p w14:paraId="2321A168" w14:textId="77777777" w:rsidR="00203F72" w:rsidRPr="00F90BE3" w:rsidRDefault="00203F72" w:rsidP="00D87D91"/>
        </w:tc>
      </w:tr>
      <w:tr w:rsidR="00203F72" w:rsidRPr="00F90BE3" w14:paraId="69483CFD" w14:textId="77777777" w:rsidTr="00203F72">
        <w:trPr>
          <w:trHeight w:val="72"/>
        </w:trPr>
        <w:tc>
          <w:tcPr>
            <w:tcW w:w="596" w:type="dxa"/>
            <w:vMerge/>
            <w:shd w:val="clear" w:color="auto" w:fill="auto"/>
          </w:tcPr>
          <w:p w14:paraId="321E0521" w14:textId="77777777" w:rsidR="00203F72" w:rsidRPr="00F90BE3" w:rsidRDefault="00203F72" w:rsidP="00D87D91"/>
        </w:tc>
        <w:tc>
          <w:tcPr>
            <w:tcW w:w="596" w:type="dxa"/>
            <w:vMerge/>
            <w:shd w:val="clear" w:color="auto" w:fill="auto"/>
          </w:tcPr>
          <w:p w14:paraId="44B78EE4" w14:textId="77777777" w:rsidR="00203F72" w:rsidRPr="00F90BE3" w:rsidRDefault="00203F72" w:rsidP="00D87D91"/>
        </w:tc>
        <w:tc>
          <w:tcPr>
            <w:tcW w:w="1076" w:type="dxa"/>
            <w:vMerge/>
            <w:shd w:val="clear" w:color="auto" w:fill="auto"/>
          </w:tcPr>
          <w:p w14:paraId="50F19ABE" w14:textId="77777777" w:rsidR="00203F72" w:rsidRPr="00F90BE3" w:rsidRDefault="00203F72" w:rsidP="00D87D91"/>
        </w:tc>
        <w:tc>
          <w:tcPr>
            <w:tcW w:w="959" w:type="dxa"/>
            <w:vMerge/>
            <w:shd w:val="clear" w:color="auto" w:fill="auto"/>
          </w:tcPr>
          <w:p w14:paraId="5FCA43A9" w14:textId="77777777" w:rsidR="00203F72" w:rsidRPr="00F90BE3" w:rsidRDefault="00203F72" w:rsidP="00D87D91"/>
        </w:tc>
        <w:tc>
          <w:tcPr>
            <w:tcW w:w="1134" w:type="dxa"/>
            <w:shd w:val="clear" w:color="auto" w:fill="auto"/>
          </w:tcPr>
          <w:p w14:paraId="6D92A606" w14:textId="77777777" w:rsidR="00203F72" w:rsidRPr="00F90BE3" w:rsidRDefault="00203F72" w:rsidP="00D87D91">
            <w:r w:rsidRPr="00F90BE3">
              <w:t>延四月</w:t>
            </w:r>
          </w:p>
        </w:tc>
        <w:tc>
          <w:tcPr>
            <w:tcW w:w="850" w:type="dxa"/>
            <w:shd w:val="clear" w:color="auto" w:fill="auto"/>
          </w:tcPr>
          <w:p w14:paraId="2DF82925" w14:textId="77777777" w:rsidR="00203F72" w:rsidRPr="00F90BE3" w:rsidRDefault="00203F72" w:rsidP="00D87D91">
            <w:r w:rsidRPr="00F90BE3">
              <w:t>v</w:t>
            </w:r>
          </w:p>
        </w:tc>
        <w:tc>
          <w:tcPr>
            <w:tcW w:w="567" w:type="dxa"/>
            <w:shd w:val="clear" w:color="auto" w:fill="auto"/>
          </w:tcPr>
          <w:p w14:paraId="244F38C0" w14:textId="77777777" w:rsidR="00203F72" w:rsidRPr="00F90BE3" w:rsidRDefault="00203F72" w:rsidP="00D87D91">
            <w:r w:rsidRPr="00F90BE3">
              <w:t>+</w:t>
            </w:r>
          </w:p>
        </w:tc>
        <w:tc>
          <w:tcPr>
            <w:tcW w:w="2490" w:type="dxa"/>
            <w:vMerge/>
            <w:shd w:val="clear" w:color="auto" w:fill="auto"/>
          </w:tcPr>
          <w:p w14:paraId="0E40DC18" w14:textId="77777777" w:rsidR="00203F72" w:rsidRPr="00F90BE3" w:rsidRDefault="00203F72" w:rsidP="00D87D91"/>
        </w:tc>
      </w:tr>
    </w:tbl>
    <w:p w14:paraId="13589F90" w14:textId="77777777" w:rsidR="00953151" w:rsidRPr="00F90BE3" w:rsidRDefault="00353CFF" w:rsidP="00D87D91">
      <w:r w:rsidRPr="00F90BE3">
        <w:t>【註】</w:t>
      </w:r>
      <w:r w:rsidR="00203F72" w:rsidRPr="00F90BE3">
        <w:t>本表格之資料來源，係為</w:t>
      </w:r>
      <w:r w:rsidR="00D92F56" w:rsidRPr="00F90BE3">
        <w:t>〜</w:t>
      </w:r>
      <w:r w:rsidR="00203F72" w:rsidRPr="00F90BE3">
        <w:t>許春金、吳景芳、李湧清、曾正一、許金標、蔡田木</w:t>
      </w:r>
      <w:r w:rsidR="00203F72" w:rsidRPr="00F90BE3">
        <w:t>(1994)</w:t>
      </w:r>
      <w:r w:rsidR="00203F72" w:rsidRPr="00F90BE3">
        <w:t>，死刑存廢之探討，台北：行政院研究發展考核委員會編印，頁</w:t>
      </w:r>
      <w:r w:rsidR="00203F72" w:rsidRPr="00F90BE3">
        <w:t>108</w:t>
      </w:r>
      <w:r w:rsidR="00203F72" w:rsidRPr="00F90BE3">
        <w:t>，並經由作者重新改寫與闡釋其統計實證數據之意義</w:t>
      </w:r>
      <w:r w:rsidR="00545D58" w:rsidRPr="00F90BE3">
        <w:t>。</w:t>
      </w:r>
    </w:p>
    <w:p w14:paraId="49EE0F22" w14:textId="77777777" w:rsidR="00953151" w:rsidRPr="00F90BE3" w:rsidRDefault="001C3A2B" w:rsidP="00D87D91">
      <w:r w:rsidRPr="00F90BE3">
        <w:t xml:space="preserve">　　</w:t>
      </w:r>
      <w:r w:rsidR="00203F72" w:rsidRPr="00F90BE3">
        <w:t>根據佛教藥師琉璃光如來本願功德經之經文，有一段之經文如下：「、、、復次阿難。若剎帝利灌頂王等。災難起時。所謂人眾疾疫難。他國侵逼難。自界叛逆難。星宿變怪難。日月薄蝕難。非時風雨難。過時不雨難。彼剎帝利灌頂王等。爾時應於一切有情。起慈悲心。赦諸繫閉。依前所說供養之法。供養彼世尊藥師琉璃光如來。由此善根。及彼如來本願力故。令其國界。即得安隱。風雨順時。穀稼成熟。一切有情。無病歡樂。於其國中。無有暴惡。藥叉等神。惱有情者。一切惡相。皆即隱沒。</w:t>
      </w:r>
      <w:r w:rsidR="00203F72" w:rsidRPr="00F90BE3">
        <w:footnoteReference w:id="1039"/>
      </w:r>
      <w:r w:rsidR="00203F72" w:rsidRPr="00F90BE3">
        <w:t>」</w:t>
      </w:r>
    </w:p>
    <w:p w14:paraId="4CC7718E" w14:textId="77777777" w:rsidR="00953151" w:rsidRPr="00F90BE3" w:rsidRDefault="001C3A2B" w:rsidP="00D87D91">
      <w:r w:rsidRPr="00F90BE3">
        <w:t xml:space="preserve">　　</w:t>
      </w:r>
      <w:r w:rsidR="00203F72" w:rsidRPr="00F90BE3">
        <w:t>宣化上人於</w:t>
      </w:r>
      <w:r w:rsidR="00203F72" w:rsidRPr="00F90BE3">
        <w:t>1983</w:t>
      </w:r>
      <w:r w:rsidR="00203F72" w:rsidRPr="00F90BE3">
        <w:t>年之時，於美國加州洛杉磯金輪聖寺，針對藥師琉璃光如來本願功德經，作出一個淺釋。宣化上人表示如國家遭遇緊急性之危難，領導人應發大慈悲心，「赦諸繫閉」。所謂之「赦」，表示赦免了罪犯，即要採取大赦或特赦之刑事政策。所謂之「諸」，宣化上人認為就是指「所有」之刑事罪犯</w:t>
      </w:r>
      <w:r w:rsidR="00203F72" w:rsidRPr="00F90BE3">
        <w:t>(all the criminals in the jails)</w:t>
      </w:r>
      <w:r w:rsidR="00203F72" w:rsidRPr="00F90BE3">
        <w:t>；依據宣化上人之觀點，這些被繫閉之所有刑事罪犯</w:t>
      </w:r>
      <w:r w:rsidR="00203F72" w:rsidRPr="00F90BE3">
        <w:t>(all the criminals in the jails)</w:t>
      </w:r>
      <w:r w:rsidR="00203F72" w:rsidRPr="00F90BE3">
        <w:t>，包括：應該被執行死刑之罪犯</w:t>
      </w:r>
      <w:r w:rsidR="00203F72" w:rsidRPr="00F90BE3">
        <w:t>(those who get the capital punishment decision)</w:t>
      </w:r>
      <w:r w:rsidR="00203F72" w:rsidRPr="00F90BE3">
        <w:t>，或者不應該被執行死刑之罪犯，共計有包括前述這些有罪的囚犯。</w:t>
      </w:r>
    </w:p>
    <w:p w14:paraId="1A5C2523" w14:textId="77777777" w:rsidR="00953151" w:rsidRDefault="001C3A2B" w:rsidP="00D87D91">
      <w:r w:rsidRPr="00F90BE3">
        <w:t xml:space="preserve">　　</w:t>
      </w:r>
      <w:r w:rsidR="00203F72" w:rsidRPr="00F90BE3">
        <w:t>此處，值得本書再進一步說明之處，乃宣化上人之闡釋，非常詳盡，依據其論點，所謂「赦諸繫閉」之射程，係包括：應該被執行死刑之罪犯</w:t>
      </w:r>
      <w:r w:rsidR="00203F72" w:rsidRPr="00F90BE3">
        <w:t>(those who get the capitalment decision)</w:t>
      </w:r>
      <w:r w:rsidR="00203F72" w:rsidRPr="00F90BE3">
        <w:t>。亦即，對於殺人犯</w:t>
      </w:r>
      <w:r w:rsidR="00203F72" w:rsidRPr="00F90BE3">
        <w:t>(</w:t>
      </w:r>
      <w:r w:rsidR="00203F72" w:rsidRPr="00F90BE3">
        <w:t>死刑犯</w:t>
      </w:r>
      <w:r w:rsidR="00203F72" w:rsidRPr="00F90BE3">
        <w:t>)</w:t>
      </w:r>
      <w:r w:rsidR="00203F72" w:rsidRPr="00F90BE3">
        <w:t>，亦應加以大赦或特赦。有關</w:t>
      </w:r>
      <w:r w:rsidR="00203F72" w:rsidRPr="00F90BE3">
        <w:rPr>
          <w:rFonts w:hint="eastAsia"/>
        </w:rPr>
        <w:t>大赦、特赦、減刑與復權之差異性比較，詳如下表。</w:t>
      </w:r>
      <w:r w:rsidR="00203F72" w:rsidRPr="00F90BE3">
        <w:t>而「依前所說供養之法」：乃指依照這經典前邊所說之供養的方法，「供養彼世尊藥師琉璃光如來」，須要供養藥師琉璃光如來。</w:t>
      </w:r>
    </w:p>
    <w:p w14:paraId="5C096D4E" w14:textId="77777777" w:rsidR="00971142" w:rsidRPr="00F90BE3" w:rsidRDefault="00971142" w:rsidP="00D87D91"/>
    <w:p w14:paraId="70B32F03" w14:textId="6F828F1C" w:rsidR="00203F72" w:rsidRPr="00F90BE3" w:rsidRDefault="00B03E84" w:rsidP="00D87D91">
      <w:r w:rsidRPr="00F90BE3">
        <w:t>【</w:t>
      </w:r>
      <w:r w:rsidRPr="00F90BE3">
        <w:t>table</w:t>
      </w:r>
      <w:r w:rsidR="005E23E3" w:rsidRPr="00F90BE3">
        <w:t>】</w:t>
      </w:r>
      <w:r w:rsidR="00076467">
        <w:rPr>
          <w:noProof/>
        </w:rPr>
        <w:fldChar w:fldCharType="begin"/>
      </w:r>
      <w:r w:rsidR="00076467">
        <w:rPr>
          <w:noProof/>
        </w:rPr>
        <w:instrText xml:space="preserve"> SEQ</w:instrText>
      </w:r>
      <w:r w:rsidR="00076467">
        <w:rPr>
          <w:noProof/>
        </w:rPr>
        <w:instrText xml:space="preserve"> table \* ARABIC </w:instrText>
      </w:r>
      <w:r w:rsidR="00076467">
        <w:rPr>
          <w:noProof/>
        </w:rPr>
        <w:fldChar w:fldCharType="separate"/>
      </w:r>
      <w:r w:rsidR="00D935B9">
        <w:rPr>
          <w:noProof/>
        </w:rPr>
        <w:t>118</w:t>
      </w:r>
      <w:r w:rsidR="00076467">
        <w:rPr>
          <w:noProof/>
        </w:rPr>
        <w:fldChar w:fldCharType="end"/>
      </w:r>
      <w:r w:rsidR="00203F72" w:rsidRPr="00F90BE3">
        <w:rPr>
          <w:rFonts w:hint="eastAsia"/>
        </w:rPr>
        <w:t>大赦、特赦、減刑與復權之差異性比較表</w:t>
      </w:r>
    </w:p>
    <w:tbl>
      <w:tblPr>
        <w:tblW w:w="79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560"/>
        <w:gridCol w:w="2722"/>
        <w:gridCol w:w="2806"/>
      </w:tblGrid>
      <w:tr w:rsidR="00203F72" w:rsidRPr="00F90BE3" w14:paraId="45BBDCE2" w14:textId="77777777" w:rsidTr="00615247">
        <w:trPr>
          <w:tblHeader/>
        </w:trPr>
        <w:tc>
          <w:tcPr>
            <w:tcW w:w="850" w:type="dxa"/>
            <w:tcBorders>
              <w:top w:val="single" w:sz="4" w:space="0" w:color="auto"/>
              <w:left w:val="single" w:sz="4" w:space="0" w:color="auto"/>
              <w:bottom w:val="single" w:sz="4" w:space="0" w:color="auto"/>
              <w:right w:val="single" w:sz="4" w:space="0" w:color="auto"/>
            </w:tcBorders>
            <w:shd w:val="clear" w:color="auto" w:fill="FAF0FA"/>
          </w:tcPr>
          <w:p w14:paraId="251F7297" w14:textId="77777777" w:rsidR="00203F72" w:rsidRPr="00F90BE3" w:rsidRDefault="00203F72" w:rsidP="00D87D91"/>
        </w:tc>
        <w:tc>
          <w:tcPr>
            <w:tcW w:w="1560" w:type="dxa"/>
            <w:tcBorders>
              <w:top w:val="single" w:sz="4" w:space="0" w:color="auto"/>
              <w:left w:val="single" w:sz="4" w:space="0" w:color="auto"/>
              <w:bottom w:val="single" w:sz="4" w:space="0" w:color="auto"/>
              <w:right w:val="single" w:sz="4" w:space="0" w:color="auto"/>
            </w:tcBorders>
            <w:shd w:val="clear" w:color="auto" w:fill="FAF0FA"/>
            <w:hideMark/>
          </w:tcPr>
          <w:p w14:paraId="427BBEEE" w14:textId="77777777" w:rsidR="00203F72" w:rsidRPr="00F90BE3" w:rsidRDefault="00203F72" w:rsidP="00D87D91">
            <w:r w:rsidRPr="00F90BE3">
              <w:rPr>
                <w:rFonts w:hint="eastAsia"/>
              </w:rPr>
              <w:t>對象</w:t>
            </w:r>
          </w:p>
        </w:tc>
        <w:tc>
          <w:tcPr>
            <w:tcW w:w="2722" w:type="dxa"/>
            <w:tcBorders>
              <w:top w:val="single" w:sz="4" w:space="0" w:color="auto"/>
              <w:left w:val="single" w:sz="4" w:space="0" w:color="auto"/>
              <w:bottom w:val="single" w:sz="4" w:space="0" w:color="auto"/>
              <w:right w:val="single" w:sz="4" w:space="0" w:color="auto"/>
            </w:tcBorders>
            <w:shd w:val="clear" w:color="auto" w:fill="FAF0FA"/>
            <w:hideMark/>
          </w:tcPr>
          <w:p w14:paraId="20589385" w14:textId="77777777" w:rsidR="00203F72" w:rsidRPr="00F90BE3" w:rsidRDefault="00203F72" w:rsidP="00D87D91">
            <w:r w:rsidRPr="00F90BE3">
              <w:rPr>
                <w:rFonts w:hint="eastAsia"/>
              </w:rPr>
              <w:t>法律效果</w:t>
            </w:r>
          </w:p>
        </w:tc>
        <w:tc>
          <w:tcPr>
            <w:tcW w:w="2806" w:type="dxa"/>
            <w:tcBorders>
              <w:top w:val="single" w:sz="4" w:space="0" w:color="auto"/>
              <w:left w:val="single" w:sz="4" w:space="0" w:color="auto"/>
              <w:bottom w:val="single" w:sz="4" w:space="0" w:color="auto"/>
              <w:right w:val="single" w:sz="4" w:space="0" w:color="auto"/>
            </w:tcBorders>
            <w:shd w:val="clear" w:color="auto" w:fill="FAF0FA"/>
            <w:hideMark/>
          </w:tcPr>
          <w:p w14:paraId="01200DBE" w14:textId="77777777" w:rsidR="00203F72" w:rsidRPr="00F90BE3" w:rsidRDefault="00203F72" w:rsidP="00D87D91">
            <w:r w:rsidRPr="00F90BE3">
              <w:rPr>
                <w:rFonts w:hint="eastAsia"/>
              </w:rPr>
              <w:t>程序</w:t>
            </w:r>
          </w:p>
        </w:tc>
      </w:tr>
      <w:tr w:rsidR="00203F72" w:rsidRPr="00F90BE3" w14:paraId="588B0D07" w14:textId="77777777" w:rsidTr="00203F72">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5315A00B" w14:textId="77777777" w:rsidR="00203F72" w:rsidRPr="00F90BE3" w:rsidRDefault="00203F72" w:rsidP="00D87D91">
            <w:r w:rsidRPr="00F90BE3">
              <w:rPr>
                <w:rFonts w:hint="eastAsia"/>
              </w:rPr>
              <w:t>大赦</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FA9B868" w14:textId="77777777" w:rsidR="00203F72" w:rsidRPr="00F90BE3" w:rsidRDefault="00203F72" w:rsidP="00D87D91">
            <w:r w:rsidRPr="00F90BE3">
              <w:rPr>
                <w:rFonts w:hint="eastAsia"/>
              </w:rPr>
              <w:t>某時期某種類之全體人犯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14:paraId="2D147BFF" w14:textId="77777777" w:rsidR="00203F72" w:rsidRPr="00F90BE3" w:rsidRDefault="00203F72" w:rsidP="00D87D91">
            <w:r w:rsidRPr="00F90BE3">
              <w:rPr>
                <w:rFonts w:hint="eastAsia"/>
              </w:rPr>
              <w:t>使犯罪行為在法律上完全消滅</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14:paraId="05E5B630" w14:textId="77777777" w:rsidR="00203F72" w:rsidRPr="00F90BE3" w:rsidRDefault="00203F72" w:rsidP="00D87D91">
            <w:r w:rsidRPr="00F90BE3">
              <w:rPr>
                <w:rFonts w:hint="eastAsia"/>
              </w:rPr>
              <w:t>先經過行政院會議議決後送立法院通過</w:t>
            </w:r>
          </w:p>
        </w:tc>
      </w:tr>
      <w:tr w:rsidR="00203F72" w:rsidRPr="00F90BE3" w14:paraId="7F2AC801" w14:textId="77777777" w:rsidTr="00203F72">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697FAB38" w14:textId="77777777" w:rsidR="00203F72" w:rsidRPr="00F90BE3" w:rsidRDefault="00203F72" w:rsidP="00D87D91">
            <w:r w:rsidRPr="00F90BE3">
              <w:rPr>
                <w:rFonts w:hint="eastAsia"/>
              </w:rPr>
              <w:t>特赦</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61D86FD7" w14:textId="77777777" w:rsidR="00203F72" w:rsidRPr="00F90BE3" w:rsidRDefault="00203F72" w:rsidP="00D87D91">
            <w:r w:rsidRPr="00F90BE3">
              <w:rPr>
                <w:rFonts w:hint="eastAsia"/>
              </w:rPr>
              <w:t>特定人犯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14:paraId="4747658B" w14:textId="77777777" w:rsidR="00203F72" w:rsidRPr="00F90BE3" w:rsidRDefault="00203F72" w:rsidP="00D87D91">
            <w:r w:rsidRPr="00F90BE3">
              <w:rPr>
                <w:rFonts w:hint="eastAsia"/>
              </w:rPr>
              <w:t>僅免除刑罰，其犯罪行為仍在，再犯時以累犯論</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14:paraId="190F688E" w14:textId="77777777" w:rsidR="00203F72" w:rsidRPr="00F90BE3" w:rsidRDefault="00203F72" w:rsidP="00D87D91">
            <w:r w:rsidRPr="00F90BE3">
              <w:rPr>
                <w:rFonts w:hint="eastAsia"/>
              </w:rPr>
              <w:t>總統得令行政院轉令主管部會為特赦之審議</w:t>
            </w:r>
          </w:p>
        </w:tc>
      </w:tr>
      <w:tr w:rsidR="00203F72" w:rsidRPr="00F90BE3" w14:paraId="4E6F8AA4" w14:textId="77777777" w:rsidTr="00203F72">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2747C5F3" w14:textId="77777777" w:rsidR="00203F72" w:rsidRPr="00F90BE3" w:rsidRDefault="00203F72" w:rsidP="00D87D91">
            <w:r w:rsidRPr="00F90BE3">
              <w:rPr>
                <w:rFonts w:hint="eastAsia"/>
              </w:rPr>
              <w:t>減刑</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0781D139" w14:textId="77777777" w:rsidR="00203F72" w:rsidRPr="00F90BE3" w:rsidRDefault="00203F72" w:rsidP="00D87D91">
            <w:r w:rsidRPr="00F90BE3">
              <w:rPr>
                <w:rFonts w:hint="eastAsia"/>
              </w:rPr>
              <w:t>一般人犯及特定人犯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14:paraId="1A44384C" w14:textId="77777777" w:rsidR="00203F72" w:rsidRPr="00F90BE3" w:rsidRDefault="00203F72" w:rsidP="00D87D91">
            <w:r w:rsidRPr="00F90BE3">
              <w:rPr>
                <w:rFonts w:hint="eastAsia"/>
              </w:rPr>
              <w:t>對判刑確定者僅減輕其刑</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14:paraId="4630851D" w14:textId="77777777" w:rsidR="00203F72" w:rsidRPr="00F90BE3" w:rsidRDefault="00203F72" w:rsidP="00D87D91">
            <w:r w:rsidRPr="00F90BE3">
              <w:rPr>
                <w:rFonts w:hint="eastAsia"/>
              </w:rPr>
              <w:t>總統得令行政院轉令主管部會為減刑之審議，但全國性之減刑得以大赦程序辦理</w:t>
            </w:r>
          </w:p>
        </w:tc>
      </w:tr>
      <w:tr w:rsidR="00203F72" w:rsidRPr="00F90BE3" w14:paraId="79154EAC" w14:textId="77777777" w:rsidTr="00203F72">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28269F01" w14:textId="77777777" w:rsidR="00203F72" w:rsidRPr="00F90BE3" w:rsidRDefault="00203F72" w:rsidP="00D87D91">
            <w:r w:rsidRPr="00F90BE3">
              <w:rPr>
                <w:rFonts w:hint="eastAsia"/>
              </w:rPr>
              <w:t>復權</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6CAEB2A4" w14:textId="77777777" w:rsidR="00203F72" w:rsidRPr="00F90BE3" w:rsidRDefault="00203F72" w:rsidP="00D87D91">
            <w:r w:rsidRPr="00F90BE3">
              <w:rPr>
                <w:rFonts w:hint="eastAsia"/>
              </w:rPr>
              <w:t>被褫奪公權之一般人犯及特定人犯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14:paraId="05083026" w14:textId="77777777" w:rsidR="00203F72" w:rsidRPr="00F90BE3" w:rsidRDefault="00203F72" w:rsidP="00D87D91">
            <w:r w:rsidRPr="00F90BE3">
              <w:rPr>
                <w:rFonts w:hint="eastAsia"/>
              </w:rPr>
              <w:t>恢復被褫奪之公權</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14:paraId="262BCAF1" w14:textId="77777777" w:rsidR="00203F72" w:rsidRPr="00F90BE3" w:rsidRDefault="00203F72" w:rsidP="00D87D91">
            <w:r w:rsidRPr="00F90BE3">
              <w:rPr>
                <w:rFonts w:hint="eastAsia"/>
              </w:rPr>
              <w:t>總統得令行政院轉令主管部會為復權之審議</w:t>
            </w:r>
          </w:p>
        </w:tc>
      </w:tr>
    </w:tbl>
    <w:p w14:paraId="4178157E" w14:textId="77777777" w:rsidR="00203F72" w:rsidRPr="00F90BE3" w:rsidRDefault="002107CE" w:rsidP="00D87D91">
      <w:r w:rsidRPr="00F90BE3">
        <w:rPr>
          <w:rFonts w:hint="eastAsia"/>
        </w:rPr>
        <w:t>【本表格資料來源】</w:t>
      </w:r>
      <w:r w:rsidR="00203F72" w:rsidRPr="00F90BE3">
        <w:rPr>
          <w:rFonts w:hint="eastAsia"/>
        </w:rPr>
        <w:t>許志雄、陳銘祥、蔡茂寅、周志宏、蔡宗珍</w:t>
      </w:r>
      <w:r w:rsidR="00203F72" w:rsidRPr="00F90BE3">
        <w:t>(2008)</w:t>
      </w:r>
      <w:r w:rsidR="00203F72" w:rsidRPr="00F90BE3">
        <w:t>，</w:t>
      </w:r>
      <w:r w:rsidR="00203F72" w:rsidRPr="00F90BE3">
        <w:rPr>
          <w:rFonts w:hint="eastAsia"/>
        </w:rPr>
        <w:t>現代憲法論，</w:t>
      </w:r>
      <w:r w:rsidR="00203F72" w:rsidRPr="00F90BE3">
        <w:rPr>
          <w:rFonts w:hint="eastAsia"/>
        </w:rPr>
        <w:t>4</w:t>
      </w:r>
      <w:r w:rsidR="00203F72" w:rsidRPr="00F90BE3">
        <w:rPr>
          <w:rFonts w:hint="eastAsia"/>
        </w:rPr>
        <w:t>版</w:t>
      </w:r>
      <w:r w:rsidR="00203F72" w:rsidRPr="00F90BE3">
        <w:rPr>
          <w:rFonts w:hint="eastAsia"/>
        </w:rPr>
        <w:t>1</w:t>
      </w:r>
      <w:r w:rsidR="00203F72" w:rsidRPr="00F90BE3">
        <w:rPr>
          <w:rFonts w:hint="eastAsia"/>
        </w:rPr>
        <w:t>刷，台北：元照，第</w:t>
      </w:r>
      <w:r w:rsidR="00203F72" w:rsidRPr="00F90BE3">
        <w:t>321</w:t>
      </w:r>
      <w:r w:rsidR="00203F72" w:rsidRPr="00F90BE3">
        <w:rPr>
          <w:rFonts w:hint="eastAsia"/>
        </w:rPr>
        <w:t>頁。</w:t>
      </w:r>
    </w:p>
    <w:p w14:paraId="36DD6A1A" w14:textId="77777777" w:rsidR="00953151" w:rsidRPr="00F90BE3" w:rsidRDefault="001C3A2B" w:rsidP="00D87D91">
      <w:r w:rsidRPr="00F90BE3">
        <w:rPr>
          <w:rFonts w:hint="eastAsia"/>
        </w:rPr>
        <w:t xml:space="preserve">　　</w:t>
      </w:r>
      <w:r w:rsidR="00203F72" w:rsidRPr="00F90BE3">
        <w:rPr>
          <w:rFonts w:hint="eastAsia"/>
        </w:rPr>
        <w:t>植憲</w:t>
      </w:r>
      <w:r w:rsidR="00203F72" w:rsidRPr="00F90BE3">
        <w:t>(2011)</w:t>
      </w:r>
      <w:r w:rsidR="00203F72" w:rsidRPr="00F90BE3">
        <w:rPr>
          <w:rFonts w:hint="eastAsia"/>
        </w:rPr>
        <w:t>，憲法解題概念操作</w:t>
      </w:r>
      <w:r w:rsidR="00203F72" w:rsidRPr="00F90BE3">
        <w:t>(</w:t>
      </w:r>
      <w:r w:rsidR="00203F72" w:rsidRPr="00F90BE3">
        <w:rPr>
          <w:rFonts w:hint="eastAsia"/>
        </w:rPr>
        <w:t>下</w:t>
      </w:r>
      <w:r w:rsidR="00203F72" w:rsidRPr="00F90BE3">
        <w:t>)</w:t>
      </w:r>
      <w:r w:rsidR="00203F72" w:rsidRPr="00F90BE3">
        <w:rPr>
          <w:rFonts w:hint="eastAsia"/>
        </w:rPr>
        <w:t>，</w:t>
      </w:r>
      <w:r w:rsidR="00203F72" w:rsidRPr="00F90BE3">
        <w:t>6</w:t>
      </w:r>
      <w:r w:rsidR="00203F72" w:rsidRPr="00F90BE3">
        <w:rPr>
          <w:rFonts w:hint="eastAsia"/>
        </w:rPr>
        <w:t>版，台北；高點文化公司，第</w:t>
      </w:r>
      <w:r w:rsidR="00203F72" w:rsidRPr="00F90BE3">
        <w:rPr>
          <w:rFonts w:hint="eastAsia"/>
        </w:rPr>
        <w:t>6-38</w:t>
      </w:r>
      <w:r w:rsidR="00203F72" w:rsidRPr="00F90BE3">
        <w:rPr>
          <w:rFonts w:hint="eastAsia"/>
        </w:rPr>
        <w:t>頁。</w:t>
      </w:r>
    </w:p>
    <w:p w14:paraId="673C2D6D" w14:textId="77777777" w:rsidR="00953151" w:rsidRPr="00F90BE3" w:rsidRDefault="001C3A2B" w:rsidP="00D87D91">
      <w:r w:rsidRPr="00F90BE3">
        <w:t xml:space="preserve">　　</w:t>
      </w:r>
      <w:r w:rsidR="00203F72" w:rsidRPr="00F90BE3">
        <w:t>依照上述之方法，可解決國家遭遇緊急性之危難問題。其中，即要大赦或特赦應該被執行死刑之罪犯。是以，即使在亂世之下，根據佛教藥師琉璃光如來本願功德經之教義，並不積極主張用死刑；相反的，反其道而行，而是要採取大赦或特赦之刑事政策，再搭配藥師琉璃光如來本願功德經之修行要求。</w:t>
      </w:r>
    </w:p>
    <w:p w14:paraId="0AA7A177" w14:textId="77777777" w:rsidR="00953151" w:rsidRPr="00F90BE3" w:rsidRDefault="001C3A2B" w:rsidP="00D87D91">
      <w:r w:rsidRPr="00F90BE3">
        <w:t xml:space="preserve">　　</w:t>
      </w:r>
      <w:r w:rsidR="00203F72" w:rsidRPr="00F90BE3">
        <w:t>上述佛教</w:t>
      </w:r>
      <w:hyperlink r:id="rId2556" w:history="1">
        <w:r w:rsidR="00203F72" w:rsidRPr="00971142">
          <w:rPr>
            <w:rStyle w:val="a5"/>
            <w:rFonts w:ascii="Times New Roman" w:eastAsia="新細明體" w:hAnsi="Times New Roman"/>
          </w:rPr>
          <w:t>藥師琉璃光如來本願功德經</w:t>
        </w:r>
      </w:hyperlink>
      <w:r w:rsidR="00203F72" w:rsidRPr="00F90BE3">
        <w:t>之經文</w:t>
      </w:r>
      <w:r w:rsidR="00D92F56" w:rsidRPr="00F90BE3">
        <w:t>〜</w:t>
      </w:r>
      <w:r w:rsidR="00203F72" w:rsidRPr="00F90BE3">
        <w:t>爾時應於一切有情，起慈悲心，赦諸繫閉，如此之方法，即對殺人犯，採取相當寬容與包容之刑事政策，亦值得吾人深思其義。為何佛教藥師琉璃光如來本願功德經之經文，其採取如此寬容之刑事政策？背後之道理何在？並非顯而易見，值得吾人反覆深思其理。由此脈絡，觀看歐陸與北歐那些於憲法之中，明文廢死之國家</w:t>
      </w:r>
      <w:r w:rsidR="00D92F56" w:rsidRPr="00F90BE3">
        <w:t>〜</w:t>
      </w:r>
      <w:r w:rsidR="00203F72" w:rsidRPr="00F90BE3">
        <w:t>德國、瑞典、法國、荷蘭、奧地利、瑞士等國，可見其國民素質之高，國民心中有大愛，願意寬容與包容殺人犯。由於大部分之國民，願意寬容與包容殺人犯，始有可能於憲法之中廢死，頗符合佛教藥師琉璃光如來本願功德經之部分核心精神。</w:t>
      </w:r>
    </w:p>
    <w:p w14:paraId="5BEA172A" w14:textId="77777777" w:rsidR="00953151" w:rsidRPr="00F90BE3" w:rsidRDefault="001C3A2B" w:rsidP="00D87D91">
      <w:r w:rsidRPr="00F90BE3">
        <w:t xml:space="preserve">　　</w:t>
      </w:r>
      <w:r w:rsidR="00203F72" w:rsidRPr="00F90BE3">
        <w:t>亦即，即使在亂世，歐陸與北歐那些於憲法之中，明文廢死之國家</w:t>
      </w:r>
      <w:r w:rsidR="00D92F56" w:rsidRPr="00F90BE3">
        <w:t>〜</w:t>
      </w:r>
      <w:r w:rsidR="00203F72" w:rsidRPr="00F90BE3">
        <w:t>德國、瑞典、法國、荷蘭、奧地利、瑞士等國，亦有其他方法，可解決國家之問題，死刑並非解決國家遭遇緊急性之危難問題之良策。進而言之，在承平之時，則更應廢止死刑為宜。綜合言之，既然，在國家遭遇緊急性之危難之時</w:t>
      </w:r>
      <w:r w:rsidR="00D92F56" w:rsidRPr="00F90BE3">
        <w:t>〜</w:t>
      </w:r>
      <w:r w:rsidR="00203F72" w:rsidRPr="00F90BE3">
        <w:t>甚至是有團體欲推翻中華民國，另創新的國家，均宜廢止死刑，則可推論言之，不論何時，國家均應廢止死刑為佳。</w:t>
      </w:r>
    </w:p>
    <w:p w14:paraId="3E87844B" w14:textId="77777777" w:rsidR="00953151" w:rsidRPr="00F90BE3" w:rsidRDefault="001C3A2B" w:rsidP="00D87D91">
      <w:r w:rsidRPr="00F90BE3">
        <w:rPr>
          <w:rFonts w:hint="eastAsia"/>
        </w:rPr>
        <w:t xml:space="preserve">　　</w:t>
      </w:r>
      <w:r w:rsidR="00203F72" w:rsidRPr="00F90BE3">
        <w:rPr>
          <w:rFonts w:hint="eastAsia"/>
        </w:rPr>
        <w:t>常律和尚於本書之推薦序文之中，亦提及：「、、、</w:t>
      </w:r>
      <w:r w:rsidR="00203F72" w:rsidRPr="00F90BE3">
        <w:t>尤其，台灣所面臨的最大問題，其實不是中共的武力威脅，而是國人的道德觀念的式微，政黨的惡鬥，社會治安的敗壞。外面的盜匪不可怕，最可怕的是我們內心的敵人，就是貪、瞋、癡、邪見及我慢，若無法將其消除，則會使整個社會國家，未來走入極悲慘的命運。所以，台灣目前最要擔心的是，民眾的社會道德力量與守法精神，方是當務之急的改革重事。」上述文中之瞋恨心，亦即為報復心，我國憲法將「死刑」</w:t>
      </w:r>
      <w:r w:rsidR="00203F72" w:rsidRPr="00F90BE3">
        <w:t>(capital punishment)</w:t>
      </w:r>
      <w:r w:rsidR="00203F72" w:rsidRPr="00F90BE3">
        <w:t>定位為報復刑，事實上，充斥著報復心之色彩，亦非明智之舉。</w:t>
      </w:r>
    </w:p>
    <w:p w14:paraId="6FEB0982" w14:textId="77777777" w:rsidR="00953151" w:rsidRPr="00F90BE3" w:rsidRDefault="001C3A2B" w:rsidP="00D87D91">
      <w:r w:rsidRPr="00F90BE3">
        <w:t xml:space="preserve">　　</w:t>
      </w:r>
      <w:r w:rsidR="00203F72" w:rsidRPr="00F90BE3">
        <w:t>我國憲法宜比照民主先進國家</w:t>
      </w:r>
      <w:r w:rsidR="00D92F56" w:rsidRPr="00F90BE3">
        <w:t>〜</w:t>
      </w:r>
      <w:r w:rsidR="00203F72" w:rsidRPr="00F90BE3">
        <w:t>德國、瑞典、法國、荷蘭、奧地利、瑞士等國之立憲例，明文規範「廢止死刑」為佳。唯有「廢止死刑」，始能有效地保障人民之生命權；假若憲法未明定廢除死刑，則不僅無法充分地保障人民之生命權；政府尚且以國家之名義，帶頭示範如何可以合理化殺人；此會產生不良之負面學習效果，人民某甲或可主張，既然國家有權可殺人，為何我某甲不可殺人？再者，死刑會促發各類型之犯罪，令社會滋生更多的犯罪行為。「死刑」</w:t>
      </w:r>
      <w:r w:rsidR="00203F72" w:rsidRPr="00F90BE3">
        <w:t>(capital punishment)</w:t>
      </w:r>
      <w:r w:rsidR="00203F72" w:rsidRPr="00F90BE3">
        <w:t>是一項不先進、不文明、不高尚、不道德、非理性、不成熟、落後、凶殘、暴力、血腥、不仁道、不平等、反人性尊嚴、反生命、不聰明、不智慧、不寬容、不包容與不人道之作法與思想。是以，唯有廢死，始為王道，並符合人道與仁道。</w:t>
      </w:r>
    </w:p>
    <w:p w14:paraId="26D8BF62" w14:textId="77777777" w:rsidR="00145751" w:rsidRDefault="00145751" w:rsidP="00F4196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6432CF84" w14:textId="77777777" w:rsidR="00145751" w:rsidRDefault="00145751" w:rsidP="00D87D91"/>
    <w:p w14:paraId="0C4FEEA5" w14:textId="77777777" w:rsidR="00953151" w:rsidRDefault="00203F72" w:rsidP="00767F37">
      <w:pPr>
        <w:pStyle w:val="2"/>
      </w:pPr>
      <w:bookmarkStart w:id="130" w:name="_柒、保障人類胚胎之生命權及生存權"/>
      <w:bookmarkEnd w:id="130"/>
      <w:r w:rsidRPr="00A53581">
        <w:t>柒、保障人類胚胎之生命權及生存權</w:t>
      </w:r>
    </w:p>
    <w:p w14:paraId="7182F4CC" w14:textId="77777777" w:rsidR="00953151" w:rsidRPr="00F90BE3" w:rsidRDefault="001C3A2B" w:rsidP="00D87D91">
      <w:r w:rsidRPr="00F90BE3">
        <w:t xml:space="preserve">　　</w:t>
      </w:r>
      <w:r w:rsidR="00203F72" w:rsidRPr="00F90BE3">
        <w:t>就德國而言，於一九九一年，德國公布施行「胚胎保護法」（</w:t>
      </w:r>
      <w:r w:rsidR="00203F72" w:rsidRPr="00F90BE3">
        <w:t>Embryonenschutzgesetz</w:t>
      </w:r>
      <w:r w:rsidR="00203F72" w:rsidRPr="00F90BE3">
        <w:t>）</w:t>
      </w:r>
      <w:r w:rsidR="00203F72" w:rsidRPr="00F90BE3">
        <w:footnoteReference w:id="1040"/>
      </w:r>
      <w:r w:rsidR="00203F72" w:rsidRPr="00F90BE3">
        <w:t>，該法即將胚胎</w:t>
      </w:r>
      <w:r w:rsidR="003E240E">
        <w:t>視</w:t>
      </w:r>
      <w:r w:rsidR="00203F72" w:rsidRPr="00F90BE3">
        <w:t>為德國基本法第二條第一句所規範之人的生命</w:t>
      </w:r>
      <w:r w:rsidR="00203F72" w:rsidRPr="00F90BE3">
        <w:footnoteReference w:id="1041"/>
      </w:r>
      <w:r w:rsidR="00203F72" w:rsidRPr="00F90BE3">
        <w:t>（</w:t>
      </w:r>
      <w:r w:rsidR="00203F72" w:rsidRPr="00F90BE3">
        <w:t>Menschliches Leben</w:t>
      </w:r>
      <w:r w:rsidR="00203F72" w:rsidRPr="00F90BE3">
        <w:t>）</w:t>
      </w:r>
      <w:r w:rsidR="00203F72" w:rsidRPr="00F90BE3">
        <w:footnoteReference w:id="1042"/>
      </w:r>
      <w:r w:rsidR="00203F72" w:rsidRPr="00F90BE3">
        <w:t>。再者，考量人類胚胎</w:t>
      </w:r>
      <w:r w:rsidR="00203F72" w:rsidRPr="00F90BE3">
        <w:footnoteReference w:id="1043"/>
      </w:r>
      <w:r w:rsidR="00203F72" w:rsidRPr="00F90BE3">
        <w:t>具有無限可能的生命力及生命的動能，因為人類胚胎</w:t>
      </w:r>
      <w:r w:rsidR="00203F72" w:rsidRPr="00F90BE3">
        <w:t>(</w:t>
      </w:r>
      <w:r w:rsidR="00203F72" w:rsidRPr="00F90BE3">
        <w:t>包括</w:t>
      </w:r>
      <w:r w:rsidR="00203F72" w:rsidRPr="00F90BE3">
        <w:t>SCNT</w:t>
      </w:r>
      <w:r w:rsidR="00203F72" w:rsidRPr="00F90BE3">
        <w:t>，以及母系分裂梭轉移</w:t>
      </w:r>
      <w:r w:rsidR="00203F72" w:rsidRPr="00F90BE3">
        <w:t>MST)</w:t>
      </w:r>
      <w:r w:rsidR="00203F72" w:rsidRPr="00F90BE3">
        <w:t>在適當之條件下，會不斷地成長，在使用人類胚胎幹細胞之過程中，對於人類胚胎之破壞及傷害，已嚴重地違反：自律原則、不傷害原則、公正原則、仁愛原則，尤其是不傷害原則，故有必要嚴格地加以禁止及杜絕。</w:t>
      </w:r>
      <w:r w:rsidR="00193290" w:rsidRPr="00F90BE3">
        <w:rPr>
          <w:rFonts w:hint="eastAsia"/>
          <w:color w:val="FFFFFF" w:themeColor="background1"/>
        </w:rPr>
        <w:t>◇◆</w:t>
      </w:r>
    </w:p>
    <w:p w14:paraId="47F6338A" w14:textId="77777777" w:rsidR="00203F72" w:rsidRPr="00A53581" w:rsidRDefault="00203F72" w:rsidP="00D87D91"/>
    <w:p w14:paraId="4B2411AB" w14:textId="77777777" w:rsidR="00203F72" w:rsidRPr="00A53581" w:rsidRDefault="00203F72" w:rsidP="00D87D91">
      <w:r>
        <w:rPr>
          <w:noProof/>
        </w:rPr>
        <w:drawing>
          <wp:inline distT="0" distB="0" distL="0" distR="0" wp14:anchorId="51293830" wp14:editId="355D7782">
            <wp:extent cx="5080000" cy="4762500"/>
            <wp:effectExtent l="0" t="0" r="6350" b="0"/>
            <wp:docPr id="34" name="圖片 34"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6"/>
                    <pic:cNvPicPr>
                      <a:picLocks noChangeAspect="1" noChangeArrowheads="1"/>
                    </pic:cNvPicPr>
                  </pic:nvPicPr>
                  <pic:blipFill>
                    <a:blip r:embed="rId2557">
                      <a:extLst>
                        <a:ext uri="{28A0092B-C50C-407E-A947-70E740481C1C}">
                          <a14:useLocalDpi xmlns:a14="http://schemas.microsoft.com/office/drawing/2010/main" val="0"/>
                        </a:ext>
                      </a:extLst>
                    </a:blip>
                    <a:srcRect/>
                    <a:stretch>
                      <a:fillRect/>
                    </a:stretch>
                  </pic:blipFill>
                  <pic:spPr bwMode="auto">
                    <a:xfrm>
                      <a:off x="0" y="0"/>
                      <a:ext cx="5080000" cy="4762500"/>
                    </a:xfrm>
                    <a:prstGeom prst="rect">
                      <a:avLst/>
                    </a:prstGeom>
                    <a:noFill/>
                    <a:ln>
                      <a:noFill/>
                    </a:ln>
                  </pic:spPr>
                </pic:pic>
              </a:graphicData>
            </a:graphic>
          </wp:inline>
        </w:drawing>
      </w:r>
    </w:p>
    <w:p w14:paraId="41C6B379" w14:textId="29929ABD" w:rsidR="00203F72" w:rsidRPr="00F90BE3" w:rsidRDefault="00B03E84" w:rsidP="00D87D91">
      <w:r w:rsidRPr="00F90BE3">
        <w:t>【</w:t>
      </w:r>
      <w:r w:rsidRPr="00F90BE3">
        <w:t>figure</w:t>
      </w:r>
      <w:r w:rsidR="005E23E3" w:rsidRPr="00F90B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30</w:t>
      </w:r>
      <w:r w:rsidR="00076467">
        <w:rPr>
          <w:noProof/>
        </w:rPr>
        <w:fldChar w:fldCharType="end"/>
      </w:r>
      <w:r w:rsidR="00203F72" w:rsidRPr="00F90BE3">
        <w:rPr>
          <w:rFonts w:hint="eastAsia"/>
        </w:rPr>
        <w:t xml:space="preserve"> </w:t>
      </w:r>
      <w:r w:rsidR="00203F72" w:rsidRPr="00F90BE3">
        <w:t>SCNT (somatic cell nuclear transfer)</w:t>
      </w:r>
      <w:r w:rsidR="00203F72" w:rsidRPr="00F90BE3">
        <w:t>技術</w:t>
      </w:r>
      <w:r w:rsidR="00203F72" w:rsidRPr="00F90BE3">
        <w:footnoteReference w:id="1044"/>
      </w:r>
    </w:p>
    <w:p w14:paraId="7EE00770" w14:textId="77777777" w:rsidR="00203F72" w:rsidRPr="00F90BE3" w:rsidRDefault="00B03E84" w:rsidP="00D87D91">
      <w:r w:rsidRPr="00F90BE3">
        <w:rPr>
          <w:rFonts w:hint="eastAsia"/>
        </w:rPr>
        <w:t>【資料來源】</w:t>
      </w:r>
      <w:r w:rsidR="00203F72" w:rsidRPr="00F90BE3">
        <w:t>Nebraska Catholic Conference</w:t>
      </w:r>
      <w:r w:rsidR="00203F72" w:rsidRPr="00F90BE3">
        <w:t>，</w:t>
      </w:r>
      <w:r w:rsidR="00203F72" w:rsidRPr="00F90BE3">
        <w:t>IS THERE A SCIENTIFIC DIFFERENCE BETWEEN THERAPEUTIC CLONING AND REPRODUCTIVE CLONING?R</w:t>
      </w:r>
      <w:r w:rsidR="00203F72" w:rsidRPr="00F90BE3">
        <w:rPr>
          <w:rFonts w:hint="eastAsia"/>
        </w:rPr>
        <w:t>etrieved: 2015/06/26</w:t>
      </w:r>
      <w:r w:rsidR="00203F72" w:rsidRPr="00F90BE3">
        <w:rPr>
          <w:rFonts w:hint="eastAsia"/>
        </w:rPr>
        <w:t>，</w:t>
      </w:r>
      <w:hyperlink r:id="rId2558" w:history="1">
        <w:r w:rsidR="00203F72" w:rsidRPr="00F90BE3">
          <w:rPr>
            <w:rStyle w:val="a5"/>
          </w:rPr>
          <w:t>http://www.nebcathcon.org/Website%20pages/cloning.htm</w:t>
        </w:r>
      </w:hyperlink>
      <w:r w:rsidR="00203F72" w:rsidRPr="00F90BE3">
        <w:t>。</w:t>
      </w:r>
    </w:p>
    <w:p w14:paraId="738A55C3" w14:textId="77777777" w:rsidR="00203F72" w:rsidRPr="00F90BE3" w:rsidRDefault="001C3A2B" w:rsidP="00D87D91">
      <w:r w:rsidRPr="00F90BE3">
        <w:t xml:space="preserve">　　</w:t>
      </w:r>
      <w:r w:rsidR="00203F72" w:rsidRPr="00F90BE3">
        <w:t>本書主張有關人類胚胎幹細胞之實驗與生技應用，因涉及對人類胚胎生命之剝奪，有殺害人類胚胎生命之嫌，在台灣生技產業中，實是吾人及吾國應該極力去避免違反道德之情事。是以，本書主張，憲法對於人類生命權及生存權之保護，宜及於人類胚胎。亦即，對於人類胚胎生命權之保障，宜加以入憲化。</w:t>
      </w:r>
    </w:p>
    <w:p w14:paraId="1D090045" w14:textId="77777777" w:rsidR="00203F72" w:rsidRPr="00A53581" w:rsidRDefault="00203F72" w:rsidP="00D87D91"/>
    <w:p w14:paraId="7D5C163A" w14:textId="77777777" w:rsidR="00953151" w:rsidRDefault="00203F72" w:rsidP="00D87D91">
      <w:r>
        <w:rPr>
          <w:noProof/>
        </w:rPr>
        <w:drawing>
          <wp:anchor distT="0" distB="0" distL="0" distR="0" simplePos="0" relativeHeight="251659264" behindDoc="0" locked="0" layoutInCell="1" allowOverlap="0" wp14:anchorId="5DBE898C" wp14:editId="71AF9919">
            <wp:simplePos x="0" y="0"/>
            <wp:positionH relativeFrom="column">
              <wp:posOffset>-41275</wp:posOffset>
            </wp:positionH>
            <wp:positionV relativeFrom="line">
              <wp:posOffset>47625</wp:posOffset>
            </wp:positionV>
            <wp:extent cx="4975225" cy="3727450"/>
            <wp:effectExtent l="0" t="0" r="0" b="6350"/>
            <wp:wrapSquare wrapText="bothSides"/>
            <wp:docPr id="59" name="圖片 2" descr="gj1007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j1007k4"/>
                    <pic:cNvPicPr>
                      <a:picLocks noChangeAspect="1" noChangeArrowheads="1"/>
                    </pic:cNvPicPr>
                  </pic:nvPicPr>
                  <pic:blipFill>
                    <a:blip r:embed="rId2559">
                      <a:extLst>
                        <a:ext uri="{28A0092B-C50C-407E-A947-70E740481C1C}">
                          <a14:useLocalDpi xmlns:a14="http://schemas.microsoft.com/office/drawing/2010/main" val="0"/>
                        </a:ext>
                      </a:extLst>
                    </a:blip>
                    <a:srcRect/>
                    <a:stretch>
                      <a:fillRect/>
                    </a:stretch>
                  </pic:blipFill>
                  <pic:spPr bwMode="auto">
                    <a:xfrm>
                      <a:off x="0" y="0"/>
                      <a:ext cx="4975225" cy="372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CDB3FE" w14:textId="77777777" w:rsidR="00953151" w:rsidRDefault="00953151" w:rsidP="00D87D91"/>
    <w:p w14:paraId="7E7EFA1A" w14:textId="77777777" w:rsidR="00953151" w:rsidRDefault="00953151" w:rsidP="00D87D91"/>
    <w:p w14:paraId="684DA7B0" w14:textId="77777777" w:rsidR="00953151" w:rsidRDefault="00953151" w:rsidP="00D87D91"/>
    <w:p w14:paraId="0626E8AD" w14:textId="77777777" w:rsidR="00953151" w:rsidRDefault="00953151" w:rsidP="00D87D91"/>
    <w:p w14:paraId="1DB8F13E" w14:textId="77777777" w:rsidR="00953151" w:rsidRDefault="00953151" w:rsidP="00D87D91"/>
    <w:p w14:paraId="5B0B9A6F" w14:textId="77777777" w:rsidR="00953151" w:rsidRDefault="00953151" w:rsidP="00D87D91"/>
    <w:p w14:paraId="67307607" w14:textId="77777777" w:rsidR="00953151" w:rsidRDefault="00953151" w:rsidP="00D87D91"/>
    <w:p w14:paraId="492CE55A" w14:textId="77777777" w:rsidR="00953151" w:rsidRDefault="00953151" w:rsidP="00D87D91"/>
    <w:p w14:paraId="5A677C5E" w14:textId="77777777" w:rsidR="00F90BE3" w:rsidRDefault="00F90BE3" w:rsidP="00D87D91">
      <w:pPr>
        <w:pStyle w:val="aff4"/>
      </w:pPr>
    </w:p>
    <w:p w14:paraId="4F1B17B6" w14:textId="77777777" w:rsidR="00F90BE3" w:rsidRDefault="00F90BE3" w:rsidP="00D87D91">
      <w:pPr>
        <w:pStyle w:val="aff4"/>
      </w:pPr>
    </w:p>
    <w:p w14:paraId="5D697ABB" w14:textId="77777777" w:rsidR="00F90BE3" w:rsidRDefault="00F90BE3" w:rsidP="00D87D91">
      <w:pPr>
        <w:pStyle w:val="aff4"/>
      </w:pPr>
    </w:p>
    <w:p w14:paraId="32963B11" w14:textId="77777777" w:rsidR="00F90BE3" w:rsidRDefault="00F90BE3" w:rsidP="00D87D91">
      <w:pPr>
        <w:pStyle w:val="aff4"/>
      </w:pPr>
    </w:p>
    <w:p w14:paraId="4864BA91" w14:textId="77777777" w:rsidR="00F90BE3" w:rsidRDefault="00F90BE3" w:rsidP="00D87D91">
      <w:pPr>
        <w:pStyle w:val="aff4"/>
      </w:pPr>
    </w:p>
    <w:p w14:paraId="5B5619C7" w14:textId="77777777" w:rsidR="00F90BE3" w:rsidRDefault="00F90BE3" w:rsidP="00D87D91">
      <w:pPr>
        <w:pStyle w:val="aff4"/>
      </w:pPr>
    </w:p>
    <w:p w14:paraId="1127BD9D" w14:textId="77777777" w:rsidR="00F90BE3" w:rsidRDefault="00F90BE3" w:rsidP="00D87D91">
      <w:pPr>
        <w:pStyle w:val="aff4"/>
      </w:pPr>
    </w:p>
    <w:p w14:paraId="3CA1ED1A" w14:textId="77777777" w:rsidR="00F90BE3" w:rsidRDefault="00F90BE3" w:rsidP="00D87D91">
      <w:pPr>
        <w:pStyle w:val="aff4"/>
      </w:pPr>
    </w:p>
    <w:p w14:paraId="2B11D9B6" w14:textId="77777777" w:rsidR="00F90BE3" w:rsidRDefault="00F90BE3" w:rsidP="00D87D91">
      <w:pPr>
        <w:pStyle w:val="aff4"/>
      </w:pPr>
    </w:p>
    <w:p w14:paraId="66D9D7BB" w14:textId="77777777" w:rsidR="00F90BE3" w:rsidRDefault="00F90BE3" w:rsidP="00D87D91">
      <w:pPr>
        <w:pStyle w:val="aff4"/>
      </w:pPr>
    </w:p>
    <w:p w14:paraId="4E361F1D" w14:textId="77777777" w:rsidR="00DE356D" w:rsidRDefault="00DE356D" w:rsidP="00D87D91"/>
    <w:p w14:paraId="0D5470E2" w14:textId="77777777" w:rsidR="00DE356D" w:rsidRDefault="00DE356D" w:rsidP="00D87D91"/>
    <w:p w14:paraId="7B7B3D4E" w14:textId="77777777" w:rsidR="00DE356D" w:rsidRDefault="00DE356D" w:rsidP="00D87D91"/>
    <w:p w14:paraId="41EBC3CF" w14:textId="1167A845" w:rsidR="00953151" w:rsidRPr="00F90BE3" w:rsidRDefault="002459AD" w:rsidP="00D87D91">
      <w:r>
        <w:br/>
      </w:r>
      <w:r>
        <w:rPr>
          <w:rFonts w:hint="eastAsia"/>
        </w:rPr>
        <w:br/>
      </w:r>
      <w:r w:rsidR="002503A3" w:rsidRPr="00F90BE3">
        <w:rPr>
          <w:rFonts w:hint="eastAsia"/>
        </w:rPr>
        <w:t>【</w:t>
      </w:r>
      <w:r w:rsidR="002503A3" w:rsidRPr="00F90BE3">
        <w:t>figure</w:t>
      </w:r>
      <w:r w:rsidR="005E23E3" w:rsidRPr="00F90BE3">
        <w:rPr>
          <w:rFonts w:hint="eastAsia"/>
        </w:rPr>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31</w:t>
      </w:r>
      <w:r w:rsidR="00076467">
        <w:rPr>
          <w:noProof/>
        </w:rPr>
        <w:fldChar w:fldCharType="end"/>
      </w:r>
      <w:r w:rsidR="002503A3" w:rsidRPr="00F90BE3">
        <w:t>培植人類胚胎流程圖</w:t>
      </w:r>
    </w:p>
    <w:p w14:paraId="0CC3BA63" w14:textId="77777777" w:rsidR="00953151" w:rsidRPr="00F90BE3" w:rsidRDefault="00B03E84" w:rsidP="00D87D91">
      <w:r w:rsidRPr="00F90BE3">
        <w:rPr>
          <w:rFonts w:hint="eastAsia"/>
        </w:rPr>
        <w:t>【資料來源】</w:t>
      </w:r>
      <w:r w:rsidR="00203F72" w:rsidRPr="00F90BE3">
        <w:rPr>
          <w:rFonts w:hint="eastAsia"/>
        </w:rPr>
        <w:t>文匯報</w:t>
      </w:r>
      <w:r w:rsidR="00203F72" w:rsidRPr="00F90BE3">
        <w:rPr>
          <w:rFonts w:hint="eastAsia"/>
        </w:rPr>
        <w:t>(2011)</w:t>
      </w:r>
      <w:r w:rsidR="00203F72" w:rsidRPr="00F90BE3">
        <w:rPr>
          <w:rFonts w:hint="eastAsia"/>
        </w:rPr>
        <w:t>，胚幹細胞培植成功，再掀複製人隱憂，</w:t>
      </w:r>
      <w:hyperlink r:id="rId2560" w:history="1">
        <w:r w:rsidR="00203F72" w:rsidRPr="00F90BE3">
          <w:rPr>
            <w:rStyle w:val="a5"/>
          </w:rPr>
          <w:t>http://paper.wenweipo.com/2011/10/07/GJ1110070037.htm</w:t>
        </w:r>
      </w:hyperlink>
      <w:r w:rsidR="00203F72" w:rsidRPr="00F90BE3">
        <w:t>。</w:t>
      </w:r>
      <w:r w:rsidR="00203F72" w:rsidRPr="00F90BE3">
        <w:footnoteReference w:id="1045"/>
      </w:r>
    </w:p>
    <w:p w14:paraId="4BD227CE" w14:textId="77777777" w:rsidR="00953151" w:rsidRPr="00F90BE3" w:rsidRDefault="001C3A2B" w:rsidP="00D87D91">
      <w:r w:rsidRPr="00F90BE3">
        <w:t xml:space="preserve">　　</w:t>
      </w:r>
      <w:r w:rsidR="00203F72" w:rsidRPr="00F90BE3">
        <w:t>常律和尚於本書推薦序文中，其亦就人類的生存權利，闡釋其義，其指出</w:t>
      </w:r>
      <w:r w:rsidR="00D92F56" w:rsidRPr="00F90BE3">
        <w:t>〜</w:t>
      </w:r>
      <w:r w:rsidR="00203F72" w:rsidRPr="00F90BE3">
        <w:t>「美國第三任的總統</w:t>
      </w:r>
      <w:r w:rsidR="00203F72" w:rsidRPr="00F90BE3">
        <w:t>Thomas Jefferson</w:t>
      </w:r>
      <w:r w:rsidR="00203F72" w:rsidRPr="00F90BE3">
        <w:t>傑弗遜，他是一位建築師，發明家也是科學家，他曾經參與草擬美國建國獨立宣言的草案，它的內容是這樣寫著：</w:t>
      </w:r>
    </w:p>
    <w:p w14:paraId="584DDA62" w14:textId="77777777" w:rsidR="00953151" w:rsidRPr="00F90BE3" w:rsidRDefault="001C3A2B" w:rsidP="00D87D91">
      <w:r w:rsidRPr="00F90BE3">
        <w:t xml:space="preserve">　　</w:t>
      </w:r>
      <w:r w:rsidR="00203F72" w:rsidRPr="00F90BE3">
        <w:t>「</w:t>
      </w:r>
      <w:r w:rsidR="00203F72" w:rsidRPr="00F90BE3">
        <w:t>We hold these truths to be sacred and undeniable; that all men are created equal and independent, that from that equal creation they derive rights inherent and inalienable, among which are the preservation of life, and liberty, and the pursuit of happiness.</w:t>
      </w:r>
      <w:r w:rsidR="00203F72" w:rsidRPr="00F90BE3">
        <w:t>（</w:t>
      </w:r>
      <w:r w:rsidR="00203F72" w:rsidRPr="00F90BE3">
        <w:t>Original draft for the Declaration of Independence</w:t>
      </w:r>
      <w:r w:rsidR="00203F72" w:rsidRPr="00F90BE3">
        <w:t>）」</w:t>
      </w:r>
    </w:p>
    <w:p w14:paraId="3DBFC58E" w14:textId="77777777" w:rsidR="00953151" w:rsidRPr="00F90BE3" w:rsidRDefault="001C3A2B" w:rsidP="00D87D91">
      <w:r w:rsidRPr="00F90BE3">
        <w:t xml:space="preserve">　　</w:t>
      </w:r>
      <w:r w:rsidR="00203F72" w:rsidRPr="00F90BE3">
        <w:t>常律和尚於本書推薦序文中，將其翻譯如下：「我們認為，這些真理是神聖不可否定的，人皆生而平等而且獨立的，在平等的立足點上，人們取得生而具有著不可剝奪的權利，包括維持生存與自由之權，以及追求幸福之權。」；常律和尚於本書推薦序文中，再將其論述如下：「美國獨立宣言強調，人是生而平等，而且，是獨立的，人有追求有自由平等幸福的生存權利，是不可剝奪的，即是佛教所言，眾生平等的教義。」</w:t>
      </w:r>
    </w:p>
    <w:p w14:paraId="010ABE45" w14:textId="77777777" w:rsidR="00953151" w:rsidRPr="00F90BE3" w:rsidRDefault="002503A3" w:rsidP="00D87D91">
      <w:r w:rsidRPr="00F90BE3">
        <w:t xml:space="preserve">　　</w:t>
      </w:r>
      <w:r w:rsidR="00203F72" w:rsidRPr="00F90BE3">
        <w:t>基此，同理，本書主張，亦宜肯定人類胚胎</w:t>
      </w:r>
      <w:r w:rsidR="00203F72" w:rsidRPr="00F90BE3">
        <w:t>(</w:t>
      </w:r>
      <w:r w:rsidR="00203F72" w:rsidRPr="00F90BE3">
        <w:t>包括</w:t>
      </w:r>
      <w:r w:rsidR="00203F72" w:rsidRPr="00F90BE3">
        <w:t>SCNT</w:t>
      </w:r>
      <w:r w:rsidR="00203F72" w:rsidRPr="00F90BE3">
        <w:t>，以及母系分裂梭轉移</w:t>
      </w:r>
      <w:r w:rsidR="00203F72" w:rsidRPr="00F90BE3">
        <w:t>MST)</w:t>
      </w:r>
      <w:r w:rsidR="00203F72" w:rsidRPr="00F90BE3">
        <w:t>，擁有平等權、人類胚胎本身是獨立自主的個體，人類胚胎擁有固有之生命權與生存權利；生命權與生存權利是不可被他人剝奪的</w:t>
      </w:r>
      <w:r w:rsidR="00203F72" w:rsidRPr="00F90BE3">
        <w:t>(that all men are created equal and independent, that from that equal creation they derive rights inherent and inalienable, among which are the preservation of life)</w:t>
      </w:r>
      <w:r w:rsidR="00203F72" w:rsidRPr="00F90BE3">
        <w:t>。</w:t>
      </w:r>
    </w:p>
    <w:p w14:paraId="1431FCD7" w14:textId="77777777" w:rsidR="00953151" w:rsidRDefault="002503A3" w:rsidP="00D87D91">
      <w:r w:rsidRPr="00F90BE3">
        <w:t xml:space="preserve">　　</w:t>
      </w:r>
      <w:r w:rsidR="00203F72" w:rsidRPr="00F90BE3">
        <w:t>再者，有關人工生殖法</w:t>
      </w:r>
      <w:hyperlink r:id="rId2561" w:anchor="a16" w:history="1">
        <w:r w:rsidR="00203F72" w:rsidRPr="00F41963">
          <w:rPr>
            <w:rStyle w:val="a5"/>
            <w:rFonts w:ascii="Times New Roman" w:eastAsia="新細明體" w:hAnsi="Times New Roman"/>
          </w:rPr>
          <w:t>第</w:t>
        </w:r>
        <w:r w:rsidR="00203F72" w:rsidRPr="00F41963">
          <w:rPr>
            <w:rStyle w:val="a5"/>
            <w:rFonts w:ascii="Times New Roman" w:eastAsia="新細明體" w:hAnsi="Times New Roman"/>
          </w:rPr>
          <w:t>16</w:t>
        </w:r>
        <w:r w:rsidR="00203F72" w:rsidRPr="00F41963">
          <w:rPr>
            <w:rStyle w:val="a5"/>
            <w:rFonts w:ascii="Times New Roman" w:eastAsia="新細明體" w:hAnsi="Times New Roman"/>
          </w:rPr>
          <w:t>條</w:t>
        </w:r>
      </w:hyperlink>
      <w:r w:rsidR="00203F72" w:rsidRPr="00F90BE3">
        <w:t>第</w:t>
      </w:r>
      <w:r w:rsidR="00203F72" w:rsidRPr="00F90BE3">
        <w:t>6</w:t>
      </w:r>
      <w:r w:rsidR="00203F72" w:rsidRPr="00F90BE3">
        <w:t>款</w:t>
      </w:r>
      <w:r w:rsidR="00203F72" w:rsidRPr="00F90BE3">
        <w:t>(</w:t>
      </w:r>
      <w:r w:rsidR="00203F72" w:rsidRPr="00F90BE3">
        <w:t>每次植入五個以上胚胎</w:t>
      </w:r>
      <w:r w:rsidR="00203F72" w:rsidRPr="00F90BE3">
        <w:t>)</w:t>
      </w:r>
      <w:r w:rsidR="00203F72" w:rsidRPr="00F90BE3">
        <w:t>與</w:t>
      </w:r>
      <w:hyperlink r:id="rId2562" w:anchor="a21" w:history="1">
        <w:r w:rsidR="00203F72" w:rsidRPr="00971142">
          <w:rPr>
            <w:rStyle w:val="a5"/>
            <w:rFonts w:ascii="Times New Roman" w:eastAsia="新細明體" w:hAnsi="Times New Roman"/>
          </w:rPr>
          <w:t>第</w:t>
        </w:r>
        <w:r w:rsidR="00203F72" w:rsidRPr="00971142">
          <w:rPr>
            <w:rStyle w:val="a5"/>
            <w:rFonts w:ascii="Times New Roman" w:eastAsia="新細明體" w:hAnsi="Times New Roman"/>
          </w:rPr>
          <w:t>21</w:t>
        </w:r>
        <w:r w:rsidR="00203F72" w:rsidRPr="00971142">
          <w:rPr>
            <w:rStyle w:val="a5"/>
            <w:rFonts w:ascii="Times New Roman" w:eastAsia="新細明體" w:hAnsi="Times New Roman"/>
          </w:rPr>
          <w:t>條</w:t>
        </w:r>
      </w:hyperlink>
      <w:r w:rsidR="00203F72" w:rsidRPr="00F90BE3">
        <w:t>(</w:t>
      </w:r>
      <w:r w:rsidR="00203F72" w:rsidRPr="00F90BE3">
        <w:t>關於銷毀之胚胎，提供研究使用</w:t>
      </w:r>
      <w:r w:rsidR="00203F72" w:rsidRPr="00F90BE3">
        <w:t>)</w:t>
      </w:r>
      <w:r w:rsidR="00203F72" w:rsidRPr="00F90BE3">
        <w:t>之規範，均已非常明顯地剝奪人類胚胎生命權，這是相當殘忍之乙件事，宜加以修法廢除之。其中，有關人工生殖</w:t>
      </w:r>
      <w:r w:rsidR="00F41963" w:rsidRPr="00F90BE3">
        <w:t>法</w:t>
      </w:r>
      <w:hyperlink r:id="rId2563" w:anchor="a16" w:history="1">
        <w:r w:rsidR="00F41963" w:rsidRPr="00F41963">
          <w:rPr>
            <w:rStyle w:val="a5"/>
            <w:rFonts w:ascii="Times New Roman" w:eastAsia="新細明體" w:hAnsi="Times New Roman"/>
          </w:rPr>
          <w:t>第</w:t>
        </w:r>
        <w:r w:rsidR="00F41963" w:rsidRPr="00F41963">
          <w:rPr>
            <w:rStyle w:val="a5"/>
            <w:rFonts w:ascii="Times New Roman" w:eastAsia="新細明體" w:hAnsi="Times New Roman"/>
          </w:rPr>
          <w:t>16</w:t>
        </w:r>
        <w:r w:rsidR="00F41963" w:rsidRPr="00F41963">
          <w:rPr>
            <w:rStyle w:val="a5"/>
            <w:rFonts w:ascii="Times New Roman" w:eastAsia="新細明體" w:hAnsi="Times New Roman"/>
          </w:rPr>
          <w:t>條</w:t>
        </w:r>
      </w:hyperlink>
      <w:r w:rsidR="00203F72" w:rsidRPr="00F90BE3">
        <w:t>第</w:t>
      </w:r>
      <w:r w:rsidR="00203F72" w:rsidRPr="00F90BE3">
        <w:t>6</w:t>
      </w:r>
      <w:r w:rsidR="00203F72" w:rsidRPr="00F90BE3">
        <w:t>款</w:t>
      </w:r>
      <w:r w:rsidR="00203F72" w:rsidRPr="00F90BE3">
        <w:t>(</w:t>
      </w:r>
      <w:r w:rsidR="00203F72" w:rsidRPr="00F90BE3">
        <w:t>每次植入</w:t>
      </w:r>
      <w:r w:rsidR="00203F72" w:rsidRPr="00F90BE3">
        <w:t>5</w:t>
      </w:r>
      <w:r w:rsidR="00203F72" w:rsidRPr="00A53581">
        <w:rPr>
          <w:kern w:val="0"/>
        </w:rPr>
        <w:t>個以上胚胎</w:t>
      </w:r>
      <w:r w:rsidR="00203F72" w:rsidRPr="00A53581">
        <w:rPr>
          <w:kern w:val="0"/>
        </w:rPr>
        <w:t>)</w:t>
      </w:r>
      <w:r w:rsidR="00203F72" w:rsidRPr="00A53581">
        <w:rPr>
          <w:kern w:val="0"/>
        </w:rPr>
        <w:t>之規定，宜修法限制之，每次植入之個數，最佳之狀態，係為每次植入一個胚胎，避免造成多餘之胚胎，遭受</w:t>
      </w:r>
      <w:r w:rsidR="00203F72" w:rsidRPr="00A53581">
        <w:t>銷</w:t>
      </w:r>
      <w:r w:rsidR="00203F72" w:rsidRPr="00A53581">
        <w:rPr>
          <w:spacing w:val="2"/>
        </w:rPr>
        <w:t>毀</w:t>
      </w:r>
      <w:r w:rsidR="00203F72" w:rsidRPr="00A53581">
        <w:t>之情境。</w:t>
      </w:r>
    </w:p>
    <w:p w14:paraId="5CBD782E" w14:textId="77777777" w:rsidR="00953151" w:rsidRPr="00F90BE3" w:rsidRDefault="002503A3" w:rsidP="00D87D91">
      <w:r w:rsidRPr="00F90BE3">
        <w:t xml:space="preserve">　　</w:t>
      </w:r>
      <w:r w:rsidR="00203F72" w:rsidRPr="00F90BE3">
        <w:t>在人類生殖醫學技術方面，宜儘可能地達到</w:t>
      </w:r>
      <w:r w:rsidR="00203F72" w:rsidRPr="00F90BE3">
        <w:t>100%</w:t>
      </w:r>
      <w:r w:rsidR="00203F72" w:rsidRPr="00F90BE3">
        <w:t>之成功率。如可預期</w:t>
      </w:r>
      <w:r w:rsidR="00203F72" w:rsidRPr="00F90BE3">
        <w:t>(</w:t>
      </w:r>
      <w:r w:rsidR="00203F72" w:rsidRPr="00F90BE3">
        <w:t>先</w:t>
      </w:r>
      <w:r w:rsidR="00203F72" w:rsidRPr="00F90BE3">
        <w:t>)</w:t>
      </w:r>
      <w:r w:rsidR="00203F72" w:rsidRPr="00F90BE3">
        <w:t>發現或知曉植入之胚胎，其未來能持續地、成功地發育之機率，存有疑慮者，人工生殖法應明文禁止將人類生殖胚胎植入子宮之內。違反者，將其犯罪化，並課予刑罰，以保障人類胚胎之生命權。</w:t>
      </w:r>
    </w:p>
    <w:p w14:paraId="6BB86B44" w14:textId="77777777" w:rsidR="00953151" w:rsidRPr="00F90BE3" w:rsidRDefault="002503A3" w:rsidP="00D87D91">
      <w:r w:rsidRPr="00F90BE3">
        <w:t xml:space="preserve">　　</w:t>
      </w:r>
      <w:r w:rsidR="00203F72" w:rsidRPr="00F90BE3">
        <w:t>有關於對人類胚胎之生命權之保障議題，亦涉及道德修養與中華民國生存之層次，兩個變項之間，具有高度之相關性。</w:t>
      </w:r>
      <w:r w:rsidR="00203F72" w:rsidRPr="00F90BE3">
        <w:rPr>
          <w:rFonts w:hint="eastAsia"/>
        </w:rPr>
        <w:t>釋從慈法師於</w:t>
      </w:r>
      <w:r w:rsidR="00203F72" w:rsidRPr="00F90BE3">
        <w:t>本書推薦序文中，非常清楚地表達他的看法，其明文指出：「國</w:t>
      </w:r>
      <w:r w:rsidR="00203F72" w:rsidRPr="00F90BE3">
        <w:rPr>
          <w:rFonts w:hint="eastAsia"/>
        </w:rPr>
        <w:t>家</w:t>
      </w:r>
      <w:r w:rsidR="00203F72" w:rsidRPr="00F90BE3">
        <w:t>的未來，</w:t>
      </w:r>
      <w:r w:rsidR="00203F72" w:rsidRPr="00F90BE3">
        <w:rPr>
          <w:rFonts w:hint="eastAsia"/>
        </w:rPr>
        <w:t>依於</w:t>
      </w:r>
      <w:r w:rsidR="00203F72" w:rsidRPr="00F90BE3">
        <w:t>人民的共業，唯有人民努力於道德修養，方有望改變</w:t>
      </w:r>
      <w:r w:rsidR="00203F72" w:rsidRPr="00F90BE3">
        <w:rPr>
          <w:rFonts w:hint="eastAsia"/>
        </w:rPr>
        <w:t>國</w:t>
      </w:r>
      <w:r w:rsidR="00203F72" w:rsidRPr="00F90BE3">
        <w:t>運</w:t>
      </w:r>
      <w:r w:rsidR="00203F72" w:rsidRPr="00F90BE3">
        <w:rPr>
          <w:rFonts w:hint="eastAsia"/>
        </w:rPr>
        <w:t>的</w:t>
      </w:r>
      <w:r w:rsidR="00203F72" w:rsidRPr="00F90BE3">
        <w:t>希望</w:t>
      </w:r>
      <w:r w:rsidR="00203F72" w:rsidRPr="00F90BE3">
        <w:rPr>
          <w:rFonts w:hint="eastAsia"/>
        </w:rPr>
        <w:t>。」是以，對</w:t>
      </w:r>
      <w:r w:rsidR="00203F72" w:rsidRPr="00F90BE3">
        <w:t>人類胚胎生命權之保障，可使社會大眾免於殺業</w:t>
      </w:r>
      <w:r w:rsidR="00203F72" w:rsidRPr="00F90BE3">
        <w:rPr>
          <w:rFonts w:hint="eastAsia"/>
        </w:rPr>
        <w:t>(</w:t>
      </w:r>
      <w:r w:rsidR="00203F72" w:rsidRPr="00F90BE3">
        <w:rPr>
          <w:rFonts w:hint="eastAsia"/>
        </w:rPr>
        <w:t>生</w:t>
      </w:r>
      <w:r w:rsidR="00203F72" w:rsidRPr="00F90BE3">
        <w:rPr>
          <w:rFonts w:hint="eastAsia"/>
        </w:rPr>
        <w:t>)</w:t>
      </w:r>
      <w:r w:rsidR="00203F72" w:rsidRPr="00F90BE3">
        <w:t>，對於中華民國之生存，亦有極為重大之影響，從此角度而論，由於保障中華民國之生存，係中華民國憲法之最為神聖之天職所在，故</w:t>
      </w:r>
      <w:r w:rsidR="00203F72" w:rsidRPr="00F90BE3">
        <w:rPr>
          <w:rFonts w:hint="eastAsia"/>
        </w:rPr>
        <w:t>對</w:t>
      </w:r>
      <w:r w:rsidR="00203F72" w:rsidRPr="00F90BE3">
        <w:t>人類胚胎生命權之保障，亦為中華民國憲法上之極為重大之議題。作者期待，未來，我國之憲法，在保障人類胚胎生命權之區塊，能更加地周延化。</w:t>
      </w:r>
    </w:p>
    <w:p w14:paraId="1CF7FD1A" w14:textId="77777777" w:rsidR="00145751" w:rsidRDefault="00145751" w:rsidP="00DE356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70B58969" w14:textId="77777777" w:rsidR="00145751" w:rsidRDefault="00145751" w:rsidP="00D87D91"/>
    <w:p w14:paraId="7F657F78" w14:textId="77777777" w:rsidR="00203F72" w:rsidRPr="00A53581" w:rsidRDefault="00203F72" w:rsidP="00767F37">
      <w:pPr>
        <w:pStyle w:val="2"/>
      </w:pPr>
      <w:bookmarkStart w:id="131" w:name="_捌、我國憲法是否賦予同性戀者之婚姻權與家庭權，尚待進一步地評估與討論"/>
      <w:bookmarkEnd w:id="131"/>
      <w:r w:rsidRPr="00A53581">
        <w:t>捌、我國憲法是否賦予同性戀者之婚姻權與家庭權，尚待進一步地評估與討論</w:t>
      </w:r>
    </w:p>
    <w:p w14:paraId="73D82862" w14:textId="77777777" w:rsidR="00953151" w:rsidRPr="00F90BE3" w:rsidRDefault="002503A3" w:rsidP="00D87D91">
      <w:r w:rsidRPr="00F90BE3">
        <w:t xml:space="preserve">　　</w:t>
      </w:r>
      <w:r w:rsidR="00203F72" w:rsidRPr="00F90BE3">
        <w:t>於公民與政治權利國際公約於</w:t>
      </w:r>
      <w:hyperlink r:id="rId2564" w:anchor="a23" w:history="1">
        <w:r w:rsidR="00203F72" w:rsidRPr="00DE356D">
          <w:rPr>
            <w:rStyle w:val="a5"/>
            <w:rFonts w:ascii="Times New Roman" w:eastAsia="新細明體" w:hAnsi="Times New Roman"/>
          </w:rPr>
          <w:t>第</w:t>
        </w:r>
        <w:r w:rsidR="00203F72" w:rsidRPr="00DE356D">
          <w:rPr>
            <w:rStyle w:val="a5"/>
            <w:rFonts w:ascii="Times New Roman" w:eastAsia="新細明體" w:hAnsi="Times New Roman"/>
          </w:rPr>
          <w:t>23</w:t>
        </w:r>
        <w:r w:rsidR="00203F72" w:rsidRPr="00DE356D">
          <w:rPr>
            <w:rStyle w:val="a5"/>
            <w:rFonts w:ascii="Times New Roman" w:eastAsia="新細明體" w:hAnsi="Times New Roman"/>
          </w:rPr>
          <w:t>條</w:t>
        </w:r>
      </w:hyperlink>
      <w:r w:rsidR="00203F72" w:rsidRPr="00F90BE3">
        <w:t>之中</w:t>
      </w:r>
      <w:r w:rsidR="00203F72" w:rsidRPr="00F90BE3">
        <w:footnoteReference w:id="1046"/>
      </w:r>
      <w:r w:rsidR="00203F72" w:rsidRPr="00F90BE3">
        <w:t>，對於婚姻權及家庭權加以明文化之保障，但此種國際人權法上之保障，似僅限於男女雙性所組成之婚姻及家庭，並不及於同性戀者之婚姻權與家庭權。另外，截至</w:t>
      </w:r>
      <w:r w:rsidR="00203F72" w:rsidRPr="00F90BE3">
        <w:t>2013</w:t>
      </w:r>
      <w:r w:rsidR="00203F72" w:rsidRPr="00F90BE3">
        <w:t>年</w:t>
      </w:r>
      <w:r w:rsidR="00203F72" w:rsidRPr="00F90BE3">
        <w:t>7</w:t>
      </w:r>
      <w:r w:rsidR="00203F72" w:rsidRPr="00F90BE3">
        <w:t>月為止，全球共計有</w:t>
      </w:r>
      <w:r w:rsidR="00203F72" w:rsidRPr="00F90BE3">
        <w:t>16</w:t>
      </w:r>
      <w:r w:rsidR="00203F72" w:rsidRPr="00F90BE3">
        <w:t>個國家，已賦予同性戀者之婚姻權與家庭權</w:t>
      </w:r>
      <w:r w:rsidR="00203F72" w:rsidRPr="00F90BE3">
        <w:footnoteReference w:id="1047"/>
      </w:r>
      <w:r w:rsidR="00203F72" w:rsidRPr="00F90BE3">
        <w:t>，但不包括日本。以日本憲法為例，根據日本憲法第</w:t>
      </w:r>
      <w:r w:rsidR="00203F72" w:rsidRPr="00F90BE3">
        <w:t>24</w:t>
      </w:r>
      <w:r w:rsidR="00203F72" w:rsidRPr="00F90BE3">
        <w:t>條第</w:t>
      </w:r>
      <w:r w:rsidR="00203F72" w:rsidRPr="00F90BE3">
        <w:t>1</w:t>
      </w:r>
      <w:r w:rsidR="00203F72" w:rsidRPr="00F90BE3">
        <w:t>項之規定，婚姻必須植基於兩性之同意</w:t>
      </w:r>
      <w:r w:rsidR="00203F72" w:rsidRPr="00F90BE3">
        <w:t>(Marriage shall be based only on the mutual consent of both sexes)</w:t>
      </w:r>
      <w:r w:rsidR="00203F72" w:rsidRPr="00F90BE3">
        <w:footnoteReference w:id="1048"/>
      </w:r>
      <w:r w:rsidR="00203F72" w:rsidRPr="00F90BE3">
        <w:t>，所謂之兩性，係指男女兩性。反觀台灣之憲法，我國憲法是否賦予同性戀者之婚姻權與家庭權，尚待進一步地評估與討論。有關於同性戀者是否具有法律上之婚姻權與家庭權，除了考量國民法律情感之外，亦宜兼顧人權、宗教、文化、倫理、道德、醫療衛生、人口政策與國際最新之發展趨勢等。亦即，宜進行多方之考量，避免淪為單元之法律思考模式，始能包容各種不同之想法與見解。</w:t>
      </w:r>
    </w:p>
    <w:p w14:paraId="4692394D" w14:textId="77777777" w:rsidR="00953151" w:rsidRPr="00F90BE3" w:rsidRDefault="002503A3" w:rsidP="00D87D91">
      <w:r w:rsidRPr="00F90BE3">
        <w:t xml:space="preserve">　　</w:t>
      </w:r>
      <w:r w:rsidR="00203F72" w:rsidRPr="00F90BE3">
        <w:t>由於傳統之倫理、道德與宗教之觀點，尤其是部分宗教之立場，尚無法承認同性戀者具有婚姻權與家庭權；另外，假若，我國憲法正式地賦予同性戀者之婚姻權與家庭權，其可否收養子女</w:t>
      </w:r>
      <w:r w:rsidR="00203F72" w:rsidRPr="00F90BE3">
        <w:footnoteReference w:id="1049"/>
      </w:r>
      <w:r w:rsidR="00203F72" w:rsidRPr="00F90BE3">
        <w:t>？亦值得討論。此外，被同性戀者所收養之人，在求學及就業過程中，是否會受到歧</w:t>
      </w:r>
      <w:r w:rsidR="003E240E">
        <w:t>視</w:t>
      </w:r>
      <w:r w:rsidR="00203F72" w:rsidRPr="00F90BE3">
        <w:t>？被同性戀者所收養之人之心理人格狀態，是否等同於異性戀之下一代？被同性戀者所收養之人之心理人格狀態，真實狀態為何？是否具有反社會人格與心理？此一部分，均缺乏科學化之醫學及心理學之實證研究報告與討論。是以，我國或可再從人權、宗教、文化、倫理、道德、醫療衛生、人口政策、法律與國際最新之發展趨勢等多元不同之觀點，再詳加討論與評估其可行性。</w:t>
      </w:r>
    </w:p>
    <w:p w14:paraId="72AD28FE" w14:textId="77777777" w:rsidR="00953151" w:rsidRPr="00F90BE3" w:rsidRDefault="002503A3" w:rsidP="00D87D91">
      <w:r w:rsidRPr="00F90BE3">
        <w:t xml:space="preserve">　　</w:t>
      </w:r>
      <w:r w:rsidR="00203F72" w:rsidRPr="00F90BE3">
        <w:t>就同性戀者是否具有婚姻權與家庭權議題而論，雖然，美國聯邦最高法院</w:t>
      </w:r>
      <w:r w:rsidR="00203F72" w:rsidRPr="00F90BE3">
        <w:t>9</w:t>
      </w:r>
      <w:r w:rsidR="00203F72" w:rsidRPr="00F90BE3">
        <w:t>名大法官於</w:t>
      </w:r>
      <w:r w:rsidR="00203F72" w:rsidRPr="00F90BE3">
        <w:t>2015</w:t>
      </w:r>
      <w:r w:rsidR="00203F72" w:rsidRPr="00F90BE3">
        <w:t>年</w:t>
      </w:r>
      <w:r w:rsidR="00203F72" w:rsidRPr="00F90BE3">
        <w:t>6</w:t>
      </w:r>
      <w:r w:rsidR="00203F72" w:rsidRPr="00F90BE3">
        <w:t>月，宣告同性伴侶婚姻在全美</w:t>
      </w:r>
      <w:r w:rsidR="00203F72" w:rsidRPr="00F90BE3">
        <w:t>50</w:t>
      </w:r>
      <w:r w:rsidR="00203F72" w:rsidRPr="00F90BE3">
        <w:t>州均合法化。但，本書認為，由於問題之本身，極具有複雜性、爭議性及人權性，故有必要進行科學化、多元化學門之評估，再作進一步之取捨為佳，並不急於一時，從憲法之觀點與高度，作出明文之決定與規範。</w:t>
      </w:r>
    </w:p>
    <w:p w14:paraId="780A994C" w14:textId="77777777" w:rsidR="00953151" w:rsidRPr="00F90BE3" w:rsidRDefault="002503A3" w:rsidP="00D87D91">
      <w:r w:rsidRPr="00F90BE3">
        <w:t xml:space="preserve">　　</w:t>
      </w:r>
      <w:r w:rsidR="00203F72" w:rsidRPr="00F90BE3">
        <w:t>陳明傳教授於本書推薦序文中，其亦指出，「有關同性戀者之婚姻權與家庭權方面，此議題除了須考量當事人之主張外，憲法學恐亦須與傳統倫理、宗教與道德之規範，進行良性與深層之對話。是否有必要對其提供憲法上婚姻權與家庭權之保障，愚亦肯定兩位作者之論點，恐需要有更廣泛的進一步之研議與探討的必要。」本書肯定陳明傳教授對於有關同性戀者之婚姻權與家庭權方面之態度。</w:t>
      </w:r>
    </w:p>
    <w:p w14:paraId="49A7F0B8" w14:textId="77777777" w:rsidR="00953151" w:rsidRPr="00F90BE3" w:rsidRDefault="002503A3" w:rsidP="00D87D91">
      <w:r w:rsidRPr="00F90BE3">
        <w:t xml:space="preserve">　　</w:t>
      </w:r>
      <w:r w:rsidR="00203F72" w:rsidRPr="00F90BE3">
        <w:t>章光明教授於本書推薦序文中，其亦指出，「、、、我以為人權的樣態與範圍是人類的主觀建構，有別於普世的客觀實存。當我們說，憲法概念須與其所屬社會與時俱進，意思是，憲法中的若干基本人權乃隨社會進步方可能存在落實。另一方面，人權範圍並不絕對，它涉及基本人權與公共利益之間的界線，其分配界線是否符合比例原則</w:t>
      </w:r>
      <w:r w:rsidR="00203F72" w:rsidRPr="00F90BE3">
        <w:t>(</w:t>
      </w:r>
      <w:r w:rsidR="00203F72" w:rsidRPr="00F90BE3">
        <w:t>我國憲</w:t>
      </w:r>
      <w:r w:rsidR="003D02B1" w:rsidRPr="00F90BE3">
        <w:t>法</w:t>
      </w:r>
      <w:hyperlink r:id="rId2565" w:anchor="a23" w:history="1">
        <w:r w:rsidR="003D02B1" w:rsidRPr="00F90BE3">
          <w:rPr>
            <w:rStyle w:val="a5"/>
          </w:rPr>
          <w:t>第23條</w:t>
        </w:r>
      </w:hyperlink>
      <w:r w:rsidR="00203F72" w:rsidRPr="00F90BE3">
        <w:t>)</w:t>
      </w:r>
      <w:r w:rsidR="00203F72" w:rsidRPr="00F90BE3">
        <w:t>，亦隨不同時空內，政、經、社、文的情況而流動。從而，、、、同性戀者的婚姻權、、、，都要回到該當社會的政、經、社、文脈絡</w:t>
      </w:r>
      <w:r w:rsidR="00203F72" w:rsidRPr="00F90BE3">
        <w:t>(context)</w:t>
      </w:r>
      <w:r w:rsidR="00203F72" w:rsidRPr="00F90BE3">
        <w:t>中找尋。也就是說，就算有他山之石，這顆石頭也須相容於在地的草根，社會方能和諧而有機地運作。」</w:t>
      </w:r>
    </w:p>
    <w:p w14:paraId="4ACAA347" w14:textId="77777777" w:rsidR="00953151" w:rsidRPr="00F90BE3" w:rsidRDefault="002503A3" w:rsidP="00D87D91">
      <w:r w:rsidRPr="00F90BE3">
        <w:t xml:space="preserve">　　</w:t>
      </w:r>
      <w:r w:rsidR="00203F72" w:rsidRPr="00F90BE3">
        <w:t>本書肯定章光明教授上述對於有關同性戀者之婚姻權與家庭權方面之態度，亦即，宜回到台灣社會的政、經、社、文脈絡</w:t>
      </w:r>
      <w:r w:rsidR="00203F72" w:rsidRPr="00F90BE3">
        <w:t>(context)</w:t>
      </w:r>
      <w:r w:rsidR="00203F72" w:rsidRPr="00F90BE3">
        <w:t>中找尋。由於我國傳統之倫理、道德與宗教脈絡</w:t>
      </w:r>
      <w:r w:rsidR="00203F72" w:rsidRPr="00F90BE3">
        <w:t>(context)</w:t>
      </w:r>
      <w:r w:rsidR="00203F72" w:rsidRPr="00F90BE3">
        <w:t>之觀點，尤其是部分宗教脈絡</w:t>
      </w:r>
      <w:r w:rsidR="00203F72" w:rsidRPr="00F90BE3">
        <w:t>(context)</w:t>
      </w:r>
      <w:r w:rsidR="00203F72" w:rsidRPr="00F90BE3">
        <w:t>之立場，尚無法承認同性戀者具有婚姻權與家庭權，故本書認為，我國憲法是否賦予同性戀者之婚姻權與家庭權，由於此權利無法充分地融入倫理、道德與宗教之脈絡</w:t>
      </w:r>
      <w:r w:rsidR="00203F72" w:rsidRPr="00F90BE3">
        <w:t>(context)</w:t>
      </w:r>
      <w:r w:rsidR="00203F72" w:rsidRPr="00F90BE3">
        <w:t>之中，故似乎尚待進一步地評估與討論。</w:t>
      </w:r>
    </w:p>
    <w:p w14:paraId="5AE6ABDD" w14:textId="77777777" w:rsidR="00145751" w:rsidRDefault="00145751" w:rsidP="00DE356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5E5C2BA7" w14:textId="77777777" w:rsidR="00145751" w:rsidRDefault="00145751" w:rsidP="00D87D91"/>
    <w:p w14:paraId="110394DD" w14:textId="77777777" w:rsidR="00953151" w:rsidRDefault="00203F72" w:rsidP="00767F37">
      <w:pPr>
        <w:pStyle w:val="2"/>
      </w:pPr>
      <w:bookmarkStart w:id="132" w:name="_玖、安樂死不應被合憲化與合法化"/>
      <w:bookmarkEnd w:id="132"/>
      <w:r w:rsidRPr="00A53581">
        <w:t>玖、安樂死不應被合憲化與合法化</w:t>
      </w:r>
    </w:p>
    <w:p w14:paraId="5172AB0A" w14:textId="77777777" w:rsidR="00953151" w:rsidRPr="00DE356D" w:rsidRDefault="002503A3" w:rsidP="00DE356D">
      <w:r>
        <w:t xml:space="preserve">　　</w:t>
      </w:r>
      <w:r w:rsidR="00203F72" w:rsidRPr="00A53581">
        <w:t>安樂死，乃指為減除病患的痛苦，以特定的方式（消極或積極），刻意提早終止病患之生命；自然死，乃指</w:t>
      </w:r>
      <w:r w:rsidR="00203F72" w:rsidRPr="00A53581">
        <w:rPr>
          <w:lang w:bidi="bn-IN"/>
        </w:rPr>
        <w:t>為按病人之自由意願（自主性），不使用維生醫療方式，包括心肺復甦術、人工呼吸器、強心升壓劑、各種插管等醫學先進之技術，延長不可治癒之</w:t>
      </w:r>
      <w:r w:rsidR="00203F72" w:rsidRPr="00DE356D">
        <w:t>病人之瀕死階段，使末期臨終病人，因其疾病之自然過程而死亡之謂（絕不加工）</w:t>
      </w:r>
      <w:r w:rsidR="00203F72" w:rsidRPr="00DE356D">
        <w:footnoteReference w:id="1050"/>
      </w:r>
      <w:r w:rsidR="00203F72" w:rsidRPr="00DE356D">
        <w:t>。為了令病人能自然死，我國制定「安寧緩和醫療條例」，給予安寧緩和醫療，因自然死係讓病人本身生命作主宰，順其自然，所有宗教皆贊成自然死</w:t>
      </w:r>
      <w:r w:rsidR="00203F72" w:rsidRPr="00DE356D">
        <w:footnoteReference w:id="1051"/>
      </w:r>
      <w:r w:rsidR="00203F72" w:rsidRPr="00DE356D">
        <w:t>。</w:t>
      </w:r>
    </w:p>
    <w:p w14:paraId="371886C9" w14:textId="77777777" w:rsidR="00203F72" w:rsidRPr="00DE356D" w:rsidRDefault="002503A3" w:rsidP="00DE356D">
      <w:r w:rsidRPr="00DE356D">
        <w:t xml:space="preserve">　　</w:t>
      </w:r>
      <w:r w:rsidR="00203F72" w:rsidRPr="00DE356D">
        <w:t>若從宗教面論及安樂死，以佛教之觀點，即使是面對植物人，因其尚有生命跡象，即表示靈魂</w:t>
      </w:r>
      <w:r w:rsidR="00203F72" w:rsidRPr="00DE356D">
        <w:t>(</w:t>
      </w:r>
      <w:r w:rsidR="00203F72" w:rsidRPr="00DE356D">
        <w:t>第八意識</w:t>
      </w:r>
      <w:r w:rsidR="00203F72" w:rsidRPr="00DE356D">
        <w:t>)</w:t>
      </w:r>
      <w:r w:rsidR="00203F72" w:rsidRPr="00DE356D">
        <w:t>仍存在體內維持著生命之延續，故不允許以任何方式去傷害一個人之生命，此包括植物人之生命</w:t>
      </w:r>
      <w:r w:rsidR="00203F72" w:rsidRPr="00DE356D">
        <w:footnoteReference w:id="1052"/>
      </w:r>
      <w:r w:rsidR="00203F72" w:rsidRPr="00DE356D">
        <w:t>。以上，是佛教主流之看法。不過，仍有少數之出家法師贊同安樂死。贊同安樂死之出家法師之觀點如下：當其身患重病之時，有權利決定何時結束自我之生命。因身體是屬於其個人所擁有，故其應有權利自我決定，何時結束其生命。不過，以上之論點，係屬於少數說</w:t>
      </w:r>
      <w:r w:rsidR="00545D58" w:rsidRPr="00DE356D">
        <w:t>。</w:t>
      </w:r>
    </w:p>
    <w:p w14:paraId="42F792EE" w14:textId="77777777" w:rsidR="00953151" w:rsidRPr="00DE356D" w:rsidRDefault="002503A3" w:rsidP="00DE356D">
      <w:r w:rsidRPr="00DE356D">
        <w:t xml:space="preserve">　　</w:t>
      </w:r>
      <w:r w:rsidR="00203F72" w:rsidRPr="00DE356D">
        <w:t>截至</w:t>
      </w:r>
      <w:r w:rsidR="00203F72" w:rsidRPr="00DE356D">
        <w:t>2011</w:t>
      </w:r>
      <w:r w:rsidR="00203F72" w:rsidRPr="00DE356D">
        <w:t>年為止，全球主動式安樂死合法化之國家，僅限於荷蘭、比利時、盧森堡、瑞士等國</w:t>
      </w:r>
      <w:r w:rsidR="00203F72" w:rsidRPr="00DE356D">
        <w:footnoteReference w:id="1053"/>
      </w:r>
      <w:r w:rsidR="00203F72" w:rsidRPr="00DE356D">
        <w:t>。荷蘭主動式安樂死合法化之後，出現重大之缺失。德國格丁根大學曾對荷蘭</w:t>
      </w:r>
      <w:r w:rsidR="00203F72" w:rsidRPr="00DE356D">
        <w:t>7000</w:t>
      </w:r>
      <w:r w:rsidR="00203F72" w:rsidRPr="00DE356D">
        <w:t>起</w:t>
      </w:r>
      <w:r w:rsidR="00203F72" w:rsidRPr="00DE356D">
        <w:t>“</w:t>
      </w:r>
      <w:r w:rsidR="00203F72" w:rsidRPr="00DE356D">
        <w:t>安樂死</w:t>
      </w:r>
      <w:r w:rsidR="00203F72" w:rsidRPr="00DE356D">
        <w:t>”</w:t>
      </w:r>
      <w:r w:rsidR="00203F72" w:rsidRPr="00DE356D">
        <w:t>案例進行分析，發現</w:t>
      </w:r>
      <w:r w:rsidR="00203F72" w:rsidRPr="00DE356D">
        <w:t>“</w:t>
      </w:r>
      <w:r w:rsidR="00203F72" w:rsidRPr="00DE356D">
        <w:t>非情願安樂死</w:t>
      </w:r>
      <w:r w:rsidR="00203F72" w:rsidRPr="00DE356D">
        <w:t>”</w:t>
      </w:r>
      <w:r w:rsidR="00203F72" w:rsidRPr="00DE356D">
        <w:t>之比例，高達</w:t>
      </w:r>
      <w:r w:rsidR="00203F72" w:rsidRPr="00DE356D">
        <w:t>41%</w:t>
      </w:r>
      <w:r w:rsidR="00203F72" w:rsidRPr="00DE356D">
        <w:t>；在此</w:t>
      </w:r>
      <w:r w:rsidR="00203F72" w:rsidRPr="00DE356D">
        <w:t>41%</w:t>
      </w:r>
      <w:r w:rsidR="00203F72" w:rsidRPr="00DE356D">
        <w:t>之</w:t>
      </w:r>
      <w:r w:rsidR="00203F72" w:rsidRPr="00DE356D">
        <w:t>“</w:t>
      </w:r>
      <w:r w:rsidR="00203F72" w:rsidRPr="00DE356D">
        <w:t>非情願安樂死</w:t>
      </w:r>
      <w:r w:rsidR="00203F72" w:rsidRPr="00DE356D">
        <w:t>”</w:t>
      </w:r>
      <w:r w:rsidR="00203F72" w:rsidRPr="00DE356D">
        <w:t>病人中，</w:t>
      </w:r>
      <w:r w:rsidR="00203F72" w:rsidRPr="00DE356D">
        <w:t>11%</w:t>
      </w:r>
      <w:r w:rsidR="00203F72" w:rsidRPr="00DE356D">
        <w:t>在死前仍神志清醒，荷蘭很多老人恐懼被安樂死，紛紛逃亡德國</w:t>
      </w:r>
      <w:r w:rsidR="00203F72" w:rsidRPr="00DE356D">
        <w:footnoteReference w:id="1054"/>
      </w:r>
      <w:r w:rsidR="00203F72" w:rsidRPr="00DE356D">
        <w:t>。人類之生命權，係至高無上；再者，安樂死會產生諸多之弊端，故本書認為，在台灣，安樂死不應被合憲化與合法化</w:t>
      </w:r>
      <w:r w:rsidR="00545D58" w:rsidRPr="00DE356D">
        <w:t>。</w:t>
      </w:r>
    </w:p>
    <w:p w14:paraId="2ECC79FF" w14:textId="77777777" w:rsidR="00145751" w:rsidRDefault="00145751" w:rsidP="00DE356D">
      <w:pPr>
        <w:jc w:val="right"/>
        <w:rPr>
          <w:rFonts w:ascii="新細明體" w:hAnsi="新細明體"/>
          <w:color w:val="808000"/>
        </w:rPr>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7570F4B0" w14:textId="77777777" w:rsidR="00145751" w:rsidRDefault="00145751" w:rsidP="00D87D91"/>
    <w:p w14:paraId="096807F7" w14:textId="77777777" w:rsidR="00953151" w:rsidRDefault="00203F72" w:rsidP="00767F37">
      <w:pPr>
        <w:pStyle w:val="2"/>
      </w:pPr>
      <w:bookmarkStart w:id="133" w:name="_拾、賦予國民憲法上之「抵抗權」(Right_of_resistance"/>
      <w:bookmarkEnd w:id="133"/>
      <w:r w:rsidRPr="00A53581">
        <w:t>拾、賦予國民憲法上之「抵抗權」</w:t>
      </w:r>
      <w:r w:rsidRPr="00A53581">
        <w:t xml:space="preserve">(Right of resistance) </w:t>
      </w:r>
    </w:p>
    <w:p w14:paraId="7706444D" w14:textId="77777777" w:rsidR="00953151" w:rsidRDefault="002503A3" w:rsidP="00D87D91">
      <w:r w:rsidRPr="00E108EB">
        <w:t xml:space="preserve">　　</w:t>
      </w:r>
      <w:r w:rsidR="00203F72" w:rsidRPr="00E108EB">
        <w:t>比照德國基本法第二十條第四項</w:t>
      </w:r>
      <w:r w:rsidR="00203F72" w:rsidRPr="00E108EB">
        <w:footnoteReference w:id="1055"/>
      </w:r>
      <w:r w:rsidR="00203F72" w:rsidRPr="00E108EB">
        <w:t>與愛沙尼亞憲法第</w:t>
      </w:r>
      <w:r w:rsidR="00203F72" w:rsidRPr="00E108EB">
        <w:t>54</w:t>
      </w:r>
      <w:r w:rsidR="00203F72" w:rsidRPr="00E108EB">
        <w:t>條</w:t>
      </w:r>
      <w:r w:rsidR="00203F72" w:rsidRPr="00E108EB">
        <w:t>(The Constitution of the Republic of Estonia §54)</w:t>
      </w:r>
      <w:r w:rsidR="00203F72" w:rsidRPr="00E108EB">
        <w:footnoteReference w:id="1056"/>
      </w:r>
      <w:r w:rsidR="00203F72" w:rsidRPr="00E108EB">
        <w:t>之立法例，憲法本身明文賦予我國之公民，具有「國民抵抗</w:t>
      </w:r>
      <w:r w:rsidR="00203F72" w:rsidRPr="00A53581">
        <w:t>權」。根據愛沙尼亞憲法第</w:t>
      </w:r>
      <w:r w:rsidR="00203F72" w:rsidRPr="00A53581">
        <w:t>54</w:t>
      </w:r>
      <w:r w:rsidR="00203F72" w:rsidRPr="00A53581">
        <w:t>條</w:t>
      </w:r>
      <w:r w:rsidR="00203F72" w:rsidRPr="00A53581">
        <w:t>(</w:t>
      </w:r>
      <w:r w:rsidR="00203F72" w:rsidRPr="00A53581">
        <w:rPr>
          <w:b/>
          <w:lang w:val="en-GB" w:bidi="bn-IN"/>
        </w:rPr>
        <w:t>The Constitution of the Republic of Estonia §</w:t>
      </w:r>
      <w:r w:rsidR="00203F72" w:rsidRPr="00A53581">
        <w:rPr>
          <w:kern w:val="0"/>
        </w:rPr>
        <w:t>54</w:t>
      </w:r>
      <w:r w:rsidR="00203F72" w:rsidRPr="00A53581">
        <w:rPr>
          <w:b/>
          <w:lang w:val="en-GB" w:bidi="bn-IN"/>
        </w:rPr>
        <w:t>)</w:t>
      </w:r>
      <w:r w:rsidR="00203F72" w:rsidRPr="00A53581">
        <w:t>之規定，明文賦予每一位愛沙尼亞公民擁有抵抗權，這是每一位愛沙尼亞公民之人權與義務。依據愛沙尼亞憲法第</w:t>
      </w:r>
      <w:r w:rsidR="00203F72" w:rsidRPr="00A53581">
        <w:t>54</w:t>
      </w:r>
      <w:r w:rsidR="00203F72" w:rsidRPr="00A53581">
        <w:t>條第</w:t>
      </w:r>
      <w:r w:rsidR="00203F72" w:rsidRPr="00A53581">
        <w:t>1</w:t>
      </w:r>
      <w:r w:rsidR="00203F72" w:rsidRPr="00A53581">
        <w:t>項之規定，每一位愛沙尼亞公民</w:t>
      </w:r>
      <w:r w:rsidR="00203F72" w:rsidRPr="00A53581">
        <w:t>(</w:t>
      </w:r>
      <w:r w:rsidR="00203F72" w:rsidRPr="00A53581">
        <w:rPr>
          <w:lang w:val="en-GB" w:bidi="bn-IN"/>
        </w:rPr>
        <w:t>An Estonian citizen)</w:t>
      </w:r>
      <w:r w:rsidR="00203F72" w:rsidRPr="00A53581">
        <w:t>對於維護憲法之秩序，與防衛愛沙尼亞之主權獨立</w:t>
      </w:r>
      <w:r w:rsidR="00203F72" w:rsidRPr="00A53581">
        <w:t>(</w:t>
      </w:r>
      <w:r w:rsidR="00203F72" w:rsidRPr="00A53581">
        <w:rPr>
          <w:lang w:val="en-GB" w:bidi="bn-IN"/>
        </w:rPr>
        <w:t>to the constitutional order and to defend the independence of Estonia)</w:t>
      </w:r>
      <w:r w:rsidR="00203F72" w:rsidRPr="00A53581">
        <w:t>，具有憲法上之責任與義務，必須忠誠</w:t>
      </w:r>
      <w:r w:rsidR="00203F72" w:rsidRPr="00A53581">
        <w:t>(</w:t>
      </w:r>
      <w:r w:rsidR="00203F72" w:rsidRPr="00A53581">
        <w:t>貞</w:t>
      </w:r>
      <w:r w:rsidR="00203F72" w:rsidRPr="00A53581">
        <w:t>)</w:t>
      </w:r>
      <w:r w:rsidR="00203F72" w:rsidRPr="00A53581">
        <w:t>地加以履行之</w:t>
      </w:r>
      <w:r w:rsidR="00203F72" w:rsidRPr="00A53581">
        <w:t>(</w:t>
      </w:r>
      <w:r w:rsidR="00203F72" w:rsidRPr="00A53581">
        <w:rPr>
          <w:lang w:val="en-GB" w:bidi="bn-IN"/>
        </w:rPr>
        <w:t>has a duty to be loyal)</w:t>
      </w:r>
      <w:r w:rsidR="00203F72" w:rsidRPr="00A53581">
        <w:t>。</w:t>
      </w:r>
    </w:p>
    <w:p w14:paraId="4677394E" w14:textId="77777777" w:rsidR="00953151" w:rsidRDefault="002503A3" w:rsidP="00D87D91">
      <w:r>
        <w:t xml:space="preserve">　　</w:t>
      </w:r>
      <w:r w:rsidR="00203F72" w:rsidRPr="00A53581">
        <w:t>另外，根豦愛沙尼亞憲法第</w:t>
      </w:r>
      <w:r w:rsidR="00203F72" w:rsidRPr="00A53581">
        <w:t>54</w:t>
      </w:r>
      <w:r w:rsidR="00203F72" w:rsidRPr="00A53581">
        <w:t>條第</w:t>
      </w:r>
      <w:r w:rsidR="00203F72" w:rsidRPr="00A53581">
        <w:t>2</w:t>
      </w:r>
      <w:r w:rsidR="00203F72" w:rsidRPr="00A53581">
        <w:t>項之規定，假若當愛沙尼亞憲法之民主秩序，遭受強力之破壞</w:t>
      </w:r>
      <w:r w:rsidR="00203F72" w:rsidRPr="00A53581">
        <w:t>(</w:t>
      </w:r>
      <w:r w:rsidR="00203F72" w:rsidRPr="00A53581">
        <w:rPr>
          <w:lang w:val="en-GB" w:bidi="bn-IN"/>
        </w:rPr>
        <w:t>a forcible change of the constitutional order)</w:t>
      </w:r>
      <w:r w:rsidR="00203F72" w:rsidRPr="00A53581">
        <w:t>，在無其他方法可資運用，藉以維護愛沙尼亞憲法之民主秩序情況下</w:t>
      </w:r>
      <w:r w:rsidR="00203F72" w:rsidRPr="00A53581">
        <w:t>(</w:t>
      </w:r>
      <w:r w:rsidR="00203F72" w:rsidRPr="00A53581">
        <w:rPr>
          <w:lang w:val="en-GB" w:bidi="bn-IN"/>
        </w:rPr>
        <w:t>If no other means are available)</w:t>
      </w:r>
      <w:r w:rsidR="00203F72" w:rsidRPr="00A53581">
        <w:t>，每一位愛沙尼亞公民擁有憲法上之抵抗權</w:t>
      </w:r>
      <w:r w:rsidR="00203F72" w:rsidRPr="00A53581">
        <w:t>(</w:t>
      </w:r>
      <w:r w:rsidR="00203F72" w:rsidRPr="00A53581">
        <w:rPr>
          <w:lang w:val="en-GB" w:bidi="bn-IN"/>
        </w:rPr>
        <w:t>every Estonian citizen has the right to initiate resistance against)</w:t>
      </w:r>
      <w:r w:rsidR="00203F72" w:rsidRPr="00A53581">
        <w:t>。</w:t>
      </w:r>
    </w:p>
    <w:p w14:paraId="66DE3E93" w14:textId="77777777" w:rsidR="00953151" w:rsidRDefault="002503A3" w:rsidP="00D87D91">
      <w:pPr>
        <w:rPr>
          <w:lang w:val="en-GB" w:bidi="bn-IN"/>
        </w:rPr>
      </w:pPr>
      <w:r>
        <w:t xml:space="preserve">　　</w:t>
      </w:r>
      <w:r w:rsidR="00203F72" w:rsidRPr="00A53581">
        <w:t>值得加以關注的，係愛沙尼亞公民所擁有憲法上之抵抗權，在其行使之限制方面，必須：</w:t>
      </w:r>
      <w:r w:rsidR="00203F72" w:rsidRPr="00A53581">
        <w:t>1</w:t>
      </w:r>
      <w:r w:rsidR="00203F72" w:rsidRPr="00A53581">
        <w:t>、當愛沙尼亞憲法之民主秩序，遭受強力之破壞；</w:t>
      </w:r>
      <w:r w:rsidR="00203F72" w:rsidRPr="00A53581">
        <w:t>2</w:t>
      </w:r>
      <w:r w:rsidR="00203F72" w:rsidRPr="00A53581">
        <w:t>、在無其他方法可運用，藉以維護愛沙尼亞憲法之民主秩序情況下，始可使用。假若有其他方法可運用，可維護愛沙尼亞憲法之民主秩序，則禁止使用之。</w:t>
      </w:r>
    </w:p>
    <w:p w14:paraId="7713740D" w14:textId="77777777" w:rsidR="00953151" w:rsidRDefault="002503A3" w:rsidP="00D87D91">
      <w:r>
        <w:t xml:space="preserve">　　</w:t>
      </w:r>
      <w:r w:rsidR="00203F72" w:rsidRPr="00A53581">
        <w:t>「國民抵抗權」</w:t>
      </w:r>
      <w:r w:rsidR="00203F72" w:rsidRPr="00A53581">
        <w:t>(Right of resistance)</w:t>
      </w:r>
      <w:r w:rsidR="00203F72" w:rsidRPr="00A53581">
        <w:t>之意義，乃指假若某人欲破壞中華民國民主、自由、平等及博愛之憲政體制</w:t>
      </w:r>
      <w:r w:rsidR="00203F72" w:rsidRPr="00A53581">
        <w:t>(any person seeking to abolish this constitutional order)</w:t>
      </w:r>
      <w:r w:rsidR="00203F72" w:rsidRPr="00A53581">
        <w:t>，當別無選擇措施時</w:t>
      </w:r>
      <w:r w:rsidR="00203F72" w:rsidRPr="00A53581">
        <w:t>(if no other remedy is available)</w:t>
      </w:r>
      <w:r w:rsidR="00203F72" w:rsidRPr="00A53581">
        <w:t>，亦即，在無其他方法可運用</w:t>
      </w:r>
      <w:r w:rsidR="00203F72" w:rsidRPr="00A53581">
        <w:t>(</w:t>
      </w:r>
      <w:r w:rsidR="00203F72" w:rsidRPr="00A53581">
        <w:rPr>
          <w:lang w:val="en-GB" w:bidi="bn-IN"/>
        </w:rPr>
        <w:t>If no other means are available)</w:t>
      </w:r>
      <w:r w:rsidR="00203F72" w:rsidRPr="00A53581">
        <w:t>，藉以維護中華民國國憲法之民主秩序情況下，任何人均可反抗之。綜上，我國公民宜享有「國民抵抗權」</w:t>
      </w:r>
      <w:r w:rsidR="00203F72" w:rsidRPr="00A53581">
        <w:t>(Right of resistance)</w:t>
      </w:r>
      <w:r w:rsidR="00203F72" w:rsidRPr="00A53581">
        <w:t>為佳。</w:t>
      </w:r>
    </w:p>
    <w:p w14:paraId="40581115" w14:textId="77777777" w:rsidR="00953151" w:rsidRDefault="002503A3" w:rsidP="00D87D91">
      <w:r>
        <w:t xml:space="preserve">　　</w:t>
      </w:r>
      <w:r w:rsidR="00203F72" w:rsidRPr="00A53581">
        <w:t>目前而言，憲法並未明文賦予我國之公民，具有「國民抵抗權」</w:t>
      </w:r>
      <w:r w:rsidR="00545D58">
        <w:t>。</w:t>
      </w:r>
      <w:r w:rsidR="00203F72" w:rsidRPr="00A53581">
        <w:t>按憲法法理而論，維護中華民國憲法之民主秩序，以及中華民國之主權獨立，係我國公民之責任與義務，既然如此，我國公民更應享有「國民抵抗權」</w:t>
      </w:r>
      <w:r w:rsidR="00203F72" w:rsidRPr="00A53581">
        <w:t>(Right of resistance)</w:t>
      </w:r>
      <w:r w:rsidR="00203F72" w:rsidRPr="00A53581">
        <w:t>為妥。假若，我們期待我國公民能有效地捍衛中華民國憲法之民主秩序，以及中華民國之主權獨立，則實宜給予其工具</w:t>
      </w:r>
      <w:r w:rsidR="00203F72" w:rsidRPr="00A53581">
        <w:t>(tool)</w:t>
      </w:r>
      <w:r w:rsidR="00203F72" w:rsidRPr="00A53581">
        <w:t>與武器</w:t>
      </w:r>
      <w:r w:rsidR="00203F72" w:rsidRPr="00A53581">
        <w:t>(weapon)</w:t>
      </w:r>
      <w:r w:rsidR="00203F72" w:rsidRPr="00A53581">
        <w:t>，令其有工具與武器</w:t>
      </w:r>
      <w:r w:rsidR="00203F72" w:rsidRPr="00A53581">
        <w:t>(weapon)</w:t>
      </w:r>
      <w:r w:rsidR="00203F72" w:rsidRPr="00A53581">
        <w:t>執行此項憲法任務。此項工具與武器</w:t>
      </w:r>
      <w:r w:rsidR="00203F72" w:rsidRPr="00A53581">
        <w:t>(weapon)</w:t>
      </w:r>
      <w:r w:rsidR="00203F72" w:rsidRPr="00A53581">
        <w:t>為何？即為「國民抵抗權」</w:t>
      </w:r>
      <w:r w:rsidR="00203F72" w:rsidRPr="00A53581">
        <w:t>(Right of resistance)</w:t>
      </w:r>
      <w:r w:rsidR="00203F72" w:rsidRPr="00A53581">
        <w:t>。</w:t>
      </w:r>
    </w:p>
    <w:p w14:paraId="0D941DEF" w14:textId="77777777" w:rsidR="00953151" w:rsidRDefault="002503A3" w:rsidP="00D87D91">
      <w:r>
        <w:t xml:space="preserve">　　</w:t>
      </w:r>
      <w:r w:rsidR="00203F72" w:rsidRPr="00A53581">
        <w:t>假若，憲法上未賦予「國民抵抗權」</w:t>
      </w:r>
      <w:r w:rsidR="00203F72" w:rsidRPr="00A53581">
        <w:t>(Right of resistance)</w:t>
      </w:r>
      <w:r w:rsidR="00203F72" w:rsidRPr="00A53581">
        <w:t>，則很難期待我國公民能有效地捍衛中華民國憲法之民主秩序，以及中華民國之主權獨立之目的。為了令每位中華民國之公民，成為憲法之守護神，更應賦予其「國民抵抗權」</w:t>
      </w:r>
      <w:r w:rsidR="00203F72" w:rsidRPr="00A53581">
        <w:t>(Right of resistance)</w:t>
      </w:r>
      <w:r w:rsidR="00203F72" w:rsidRPr="00A53581">
        <w:t>；「國民抵抗權」</w:t>
      </w:r>
      <w:r w:rsidR="00203F72" w:rsidRPr="00A53581">
        <w:t>(Right of resistance)</w:t>
      </w:r>
      <w:r w:rsidR="00203F72" w:rsidRPr="00A53581">
        <w:t>，可謂是捍衛中華民國民主憲法守護神</w:t>
      </w:r>
      <w:r w:rsidR="00203F72" w:rsidRPr="00A53581">
        <w:t>(</w:t>
      </w:r>
      <w:r w:rsidR="00203F72" w:rsidRPr="00A53581">
        <w:t>守門神</w:t>
      </w:r>
      <w:r w:rsidR="00203F72" w:rsidRPr="00A53581">
        <w:t>)</w:t>
      </w:r>
      <w:r w:rsidR="00203F72" w:rsidRPr="00A53581">
        <w:t>之工具</w:t>
      </w:r>
      <w:r w:rsidR="00203F72" w:rsidRPr="00A53581">
        <w:t>(tool)</w:t>
      </w:r>
      <w:r w:rsidR="00203F72" w:rsidRPr="00A53581">
        <w:t>與武器</w:t>
      </w:r>
      <w:r w:rsidR="00203F72" w:rsidRPr="00A53581">
        <w:t>(weapon)</w:t>
      </w:r>
      <w:r w:rsidR="00203F72" w:rsidRPr="00A53581">
        <w:t>。</w:t>
      </w:r>
    </w:p>
    <w:p w14:paraId="064D225C" w14:textId="77777777" w:rsidR="00145751" w:rsidRDefault="00145751" w:rsidP="00E108EB">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582BD04E" w14:textId="77777777" w:rsidR="00145751" w:rsidRDefault="00145751" w:rsidP="00D87D91"/>
    <w:p w14:paraId="23E3129C" w14:textId="77777777" w:rsidR="00953151" w:rsidRDefault="00203F72" w:rsidP="00767F37">
      <w:pPr>
        <w:pStyle w:val="2"/>
        <w:rPr>
          <w:kern w:val="0"/>
        </w:rPr>
      </w:pPr>
      <w:bookmarkStart w:id="134" w:name="_拾壹、我國憲法宜明文地保障「發展權」(Development_Righ"/>
      <w:bookmarkEnd w:id="134"/>
      <w:r w:rsidRPr="00A53581">
        <w:t>拾壹、我國憲法宜明文地保障「發展權」</w:t>
      </w:r>
      <w:r w:rsidRPr="00A53581">
        <w:t>(Development Rights)</w:t>
      </w:r>
    </w:p>
    <w:p w14:paraId="594DAF15" w14:textId="77777777" w:rsidR="00203F72" w:rsidRPr="00DE356D" w:rsidRDefault="002503A3" w:rsidP="00DE356D">
      <w:r w:rsidRPr="00DE356D">
        <w:t xml:space="preserve">　　</w:t>
      </w:r>
      <w:r w:rsidR="00203F72" w:rsidRPr="00DE356D">
        <w:t>我國在探討「憲法學」中之人權議題時，較少接觸「發展權」（</w:t>
      </w:r>
      <w:r w:rsidR="00203F72" w:rsidRPr="00DE356D">
        <w:t>Development Rights</w:t>
      </w:r>
      <w:r w:rsidR="00203F72" w:rsidRPr="00DE356D">
        <w:t>）；基本上，「發展權」是一種人權</w:t>
      </w:r>
      <w:r w:rsidR="00203F72" w:rsidRPr="00DE356D">
        <w:t>(Human Rights</w:t>
      </w:r>
      <w:r w:rsidR="00203F72" w:rsidRPr="00DE356D">
        <w:t>）</w:t>
      </w:r>
      <w:r w:rsidR="00203F72" w:rsidRPr="00DE356D">
        <w:footnoteReference w:id="1057"/>
      </w:r>
      <w:r w:rsidR="00203F72" w:rsidRPr="00DE356D">
        <w:t>，而且是非常重要之人權，它的地位，甚至是可以與「生存權」並列。在所有的人權清單之中，近年來，「發展權」受到非常大的重</w:t>
      </w:r>
      <w:r w:rsidR="003E240E">
        <w:t>視</w:t>
      </w:r>
      <w:r w:rsidR="00203F72" w:rsidRPr="00DE356D">
        <w:t>。在國際公約之中，涉及「發展權」之部分，相當重要之國際文件，係為：</w:t>
      </w:r>
      <w:r w:rsidR="00203F72" w:rsidRPr="00DE356D">
        <w:t>1.1979</w:t>
      </w:r>
      <w:r w:rsidR="00203F72" w:rsidRPr="00DE356D">
        <w:t>年，聯合國第</w:t>
      </w:r>
      <w:r w:rsidR="00203F72" w:rsidRPr="00DE356D">
        <w:t>34</w:t>
      </w:r>
      <w:r w:rsidR="00203F72" w:rsidRPr="00DE356D">
        <w:t>屆大會之第</w:t>
      </w:r>
      <w:r w:rsidR="00203F72" w:rsidRPr="00DE356D">
        <w:t>34/46</w:t>
      </w:r>
      <w:r w:rsidR="00203F72" w:rsidRPr="00DE356D">
        <w:t>號決議，本決通過一個重大結論：發展權是一個人權，亦是個人之天賦人權</w:t>
      </w:r>
      <w:r w:rsidR="00203F72" w:rsidRPr="00DE356D">
        <w:t>(</w:t>
      </w:r>
      <w:r w:rsidR="00203F72" w:rsidRPr="00DE356D">
        <w:t>權利</w:t>
      </w:r>
      <w:r w:rsidR="00203F72" w:rsidRPr="00DE356D">
        <w:t>)</w:t>
      </w:r>
      <w:r w:rsidR="00203F72" w:rsidRPr="00DE356D">
        <w:t>；</w:t>
      </w:r>
      <w:r w:rsidR="00203F72" w:rsidRPr="00DE356D">
        <w:t>2.1986</w:t>
      </w:r>
      <w:r w:rsidR="00203F72" w:rsidRPr="00DE356D">
        <w:t>年之「發展權利宣言」；</w:t>
      </w:r>
      <w:r w:rsidR="00203F72" w:rsidRPr="00DE356D">
        <w:t>3.1993</w:t>
      </w:r>
      <w:r w:rsidR="00203F72" w:rsidRPr="00DE356D">
        <w:t>年世界人權大會通過一項行動綱領，此名為：「維也納宣言與行動綱領」，再次宣示「發展權」是一項不可被剝奪之人權（智庫</w:t>
      </w:r>
      <w:r w:rsidR="00203F72" w:rsidRPr="00DE356D">
        <w:t>(2014)</w:t>
      </w:r>
      <w:r w:rsidR="00203F72" w:rsidRPr="00DE356D">
        <w:t>）</w:t>
      </w:r>
      <w:r w:rsidR="00203F72" w:rsidRPr="00DE356D">
        <w:footnoteReference w:id="1058"/>
      </w:r>
      <w:r w:rsidR="00203F72" w:rsidRPr="00DE356D">
        <w:t>。</w:t>
      </w:r>
    </w:p>
    <w:p w14:paraId="14428C40" w14:textId="77777777" w:rsidR="00953151" w:rsidRDefault="00203F72" w:rsidP="00DE356D">
      <w:r w:rsidRPr="00DE356D">
        <w:t>根據</w:t>
      </w:r>
      <w:r w:rsidRPr="00DE356D">
        <w:t>1986</w:t>
      </w:r>
      <w:r w:rsidRPr="00DE356D">
        <w:t>年聯合國大會通過之「發展權利宣言」之規範，「發展權」具有以下之特色：</w:t>
      </w:r>
      <w:r w:rsidRPr="00DE356D">
        <w:t>1.</w:t>
      </w:r>
      <w:r w:rsidRPr="00DE356D">
        <w:t>所謂之「發展」，係指在：經濟、社會、文化和政治上之進展；</w:t>
      </w:r>
      <w:r w:rsidRPr="00DE356D">
        <w:t>2.</w:t>
      </w:r>
      <w:r w:rsidRPr="00DE356D">
        <w:t>它是一項不可被剝奪之人權；</w:t>
      </w:r>
      <w:r w:rsidRPr="00DE356D">
        <w:t>3.</w:t>
      </w:r>
      <w:r w:rsidRPr="00DE356D">
        <w:t>人是發展權之主權；</w:t>
      </w:r>
      <w:r w:rsidRPr="00DE356D">
        <w:t>4.</w:t>
      </w:r>
      <w:r w:rsidRPr="00DE356D">
        <w:t>主權國家對於創造有利於實現「發展權」之各項條件，負有主要之責任；</w:t>
      </w:r>
      <w:r w:rsidRPr="00DE356D">
        <w:t>5.</w:t>
      </w:r>
      <w:r w:rsidRPr="00DE356D">
        <w:t>民族自決權包括在「發展權」之內；</w:t>
      </w:r>
      <w:r w:rsidRPr="00DE356D">
        <w:t>6.</w:t>
      </w:r>
      <w:r w:rsidRPr="00DE356D">
        <w:t>「發展權」強調所有人權與基本自由是不可分割的；</w:t>
      </w:r>
      <w:r w:rsidRPr="00DE356D">
        <w:t>7.</w:t>
      </w:r>
      <w:r w:rsidRPr="00DE356D">
        <w:t>在「發展權」之理念下，鼓勵徹底地裁軍，而</w:t>
      </w:r>
      <w:r w:rsidRPr="00A53581">
        <w:t>將資源改用於「發展」；</w:t>
      </w:r>
      <w:r w:rsidRPr="00A53581">
        <w:t>8.</w:t>
      </w:r>
      <w:r w:rsidRPr="00A53581">
        <w:t>國家應實現發展權；</w:t>
      </w:r>
      <w:r w:rsidRPr="00A53581">
        <w:t>9.</w:t>
      </w:r>
      <w:r w:rsidRPr="00A53581">
        <w:t>「發展權」之面向相當廣泛，各各面向均是不可分割的；</w:t>
      </w:r>
      <w:r w:rsidRPr="00A53581">
        <w:t xml:space="preserve">10. </w:t>
      </w:r>
      <w:r w:rsidRPr="00A53581">
        <w:t>發展機會均等是國家和組成國家的個人一項特有權利；</w:t>
      </w:r>
      <w:r w:rsidRPr="00A53581">
        <w:t>11.</w:t>
      </w:r>
      <w:r w:rsidRPr="00A53581">
        <w:t>由於「發展權」是一項頗為重要之人權，本書認為在我國憲法之中，宜明文保障人民享有「發展權」。</w:t>
      </w:r>
    </w:p>
    <w:p w14:paraId="580B4200" w14:textId="77777777" w:rsidR="00145751" w:rsidRDefault="00145751" w:rsidP="00DE356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2EFD02B" w14:textId="77777777" w:rsidR="00145751" w:rsidRPr="00145751" w:rsidRDefault="00145751" w:rsidP="00D87D91"/>
    <w:p w14:paraId="0511D71E" w14:textId="77777777" w:rsidR="00953151" w:rsidRDefault="00203F72" w:rsidP="00767F37">
      <w:pPr>
        <w:pStyle w:val="2"/>
      </w:pPr>
      <w:bookmarkStart w:id="135" w:name="_拾貳、我國憲法宜明文地保障「資訊自由權」_(freedom_of"/>
      <w:bookmarkEnd w:id="135"/>
      <w:r w:rsidRPr="00A53581">
        <w:t>拾貳、我國憲法宜明文地保障「資訊自由權」</w:t>
      </w:r>
      <w:r w:rsidRPr="00A53581">
        <w:t xml:space="preserve"> (freedom of information)</w:t>
      </w:r>
    </w:p>
    <w:p w14:paraId="1876570B" w14:textId="77777777" w:rsidR="00203F72" w:rsidRPr="00A53581" w:rsidRDefault="002503A3" w:rsidP="00D87D91">
      <w:r>
        <w:t xml:space="preserve">　　</w:t>
      </w:r>
      <w:r w:rsidR="00203F72" w:rsidRPr="00A53581">
        <w:t>我國之憲法本文，在資訊權之保障方面，含外國人亦應可平等地享有「資訊權」之規範方面，係屬於缺位之狀態，並未明文化。依據司法院釋字第</w:t>
      </w:r>
      <w:r w:rsidR="00203F72" w:rsidRPr="00A53581">
        <w:t>603</w:t>
      </w:r>
      <w:r w:rsidR="00203F72" w:rsidRPr="00A53581">
        <w:t>號解釋，憲法肯認「資訊隱私權」；再者，司法院釋字第</w:t>
      </w:r>
      <w:r w:rsidR="00203F72" w:rsidRPr="00A53581">
        <w:t>586</w:t>
      </w:r>
      <w:r w:rsidR="00203F72" w:rsidRPr="00A53581">
        <w:t>號解釋，亦承認「資訊自主權」受到憲法之保障。然而，本書認為，最佳之立憲方法，仍是於憲法之中，明定「資訊權」之保障為佳。在外國之憲法立法例部分，芬蘭憲法第</w:t>
      </w:r>
      <w:r w:rsidR="00203F72" w:rsidRPr="00A53581">
        <w:t>12</w:t>
      </w:r>
      <w:r w:rsidR="00203F72" w:rsidRPr="00A53581">
        <w:t>條將「表現」</w:t>
      </w:r>
      <w:r w:rsidR="00203F72" w:rsidRPr="00A53581">
        <w:t>(</w:t>
      </w:r>
      <w:r w:rsidR="00203F72" w:rsidRPr="00A53581">
        <w:t>達</w:t>
      </w:r>
      <w:r w:rsidR="00203F72" w:rsidRPr="00A53581">
        <w:t>)</w:t>
      </w:r>
      <w:r w:rsidR="00203F72" w:rsidRPr="00A53581">
        <w:t>、傳播與取得資訊的權利，明文規範於「表現權」之範圍內。亦即，表現權包括「資訊權」。</w:t>
      </w:r>
    </w:p>
    <w:p w14:paraId="0EF5FCDE" w14:textId="77777777" w:rsidR="00953151" w:rsidRDefault="002503A3" w:rsidP="00D87D91">
      <w:r>
        <w:t xml:space="preserve">　　</w:t>
      </w:r>
      <w:r w:rsidR="00203F72" w:rsidRPr="00A53581">
        <w:t>在瑞典部分，依據瑞典憲法第</w:t>
      </w:r>
      <w:r w:rsidR="00203F72" w:rsidRPr="00A53581">
        <w:t>2</w:t>
      </w:r>
      <w:r w:rsidR="00203F72" w:rsidRPr="00A53581">
        <w:t>章「基本人權與自由」（</w:t>
      </w:r>
      <w:r w:rsidR="00203F72" w:rsidRPr="00A53581">
        <w:t>Fundamental Rights and Freedoms</w:t>
      </w:r>
      <w:r w:rsidR="00203F72" w:rsidRPr="00A53581">
        <w:t>）中之第</w:t>
      </w:r>
      <w:r w:rsidR="00203F72" w:rsidRPr="00A53581">
        <w:t>1</w:t>
      </w:r>
      <w:r w:rsidR="00203F72" w:rsidRPr="00A53581">
        <w:t>條之規定，「資訊權」</w:t>
      </w:r>
      <w:r w:rsidR="00203F72" w:rsidRPr="00A53581">
        <w:t>(freedom of information)</w:t>
      </w:r>
      <w:r w:rsidR="00203F72" w:rsidRPr="00A53581">
        <w:t>包括：「取得權」</w:t>
      </w:r>
      <w:r w:rsidR="00203F72" w:rsidRPr="00A53581">
        <w:t>(the freedom to obtain)</w:t>
      </w:r>
      <w:r w:rsidR="00203F72" w:rsidRPr="00A53581">
        <w:t>與「接受</w:t>
      </w:r>
      <w:r w:rsidR="00203F72" w:rsidRPr="00A53581">
        <w:t>(</w:t>
      </w:r>
      <w:r w:rsidR="00203F72" w:rsidRPr="00A53581">
        <w:t>收</w:t>
      </w:r>
      <w:r w:rsidR="00203F72" w:rsidRPr="00A53581">
        <w:t>)</w:t>
      </w:r>
      <w:r w:rsidR="00203F72" w:rsidRPr="00A53581">
        <w:t>權」</w:t>
      </w:r>
      <w:r w:rsidR="00203F72" w:rsidRPr="00A53581">
        <w:t>(the freedom to receive information)</w:t>
      </w:r>
      <w:r w:rsidR="00203F72" w:rsidRPr="00A53581">
        <w:t>。另外，於瑞典憲法第</w:t>
      </w:r>
      <w:r w:rsidR="00203F72" w:rsidRPr="00A53581">
        <w:t>2</w:t>
      </w:r>
      <w:r w:rsidR="00203F72" w:rsidRPr="00A53581">
        <w:t>章「基本人權與自由」之第</w:t>
      </w:r>
      <w:r w:rsidR="00203F72" w:rsidRPr="00A53581">
        <w:t>3</w:t>
      </w:r>
      <w:r w:rsidR="00203F72" w:rsidRPr="00A53581">
        <w:t>條之中，則規範對於人民之各項資訊之登錄，不可侵犯人民之「人格完整性」</w:t>
      </w:r>
      <w:r w:rsidR="00203F72" w:rsidRPr="00A53581">
        <w:t>( their personal integrity)</w:t>
      </w:r>
      <w:r w:rsidR="00203F72" w:rsidRPr="00A53581">
        <w:t>。在瑞典憲法第</w:t>
      </w:r>
      <w:r w:rsidR="00203F72" w:rsidRPr="00A53581">
        <w:t>2</w:t>
      </w:r>
      <w:r w:rsidR="00203F72" w:rsidRPr="00A53581">
        <w:t>章「基本人權與自由」之第</w:t>
      </w:r>
      <w:r w:rsidR="00203F72" w:rsidRPr="00A53581">
        <w:t>13</w:t>
      </w:r>
      <w:r w:rsidR="00203F72" w:rsidRPr="00A53581">
        <w:t>條之中，則明定對於「資訊權」之限制之各項情況，諸如：基於維護國家安全與公共秩序之需。此外，瑞典憲法第</w:t>
      </w:r>
      <w:r w:rsidR="00203F72" w:rsidRPr="00A53581">
        <w:t>2</w:t>
      </w:r>
      <w:r w:rsidR="00203F72" w:rsidRPr="00A53581">
        <w:t>章「基本人權與自由」第</w:t>
      </w:r>
      <w:r w:rsidR="00203F72" w:rsidRPr="00A53581">
        <w:t>20</w:t>
      </w:r>
      <w:r w:rsidR="00203F72" w:rsidRPr="00A53581">
        <w:t>條第</w:t>
      </w:r>
      <w:r w:rsidR="00203F72" w:rsidRPr="00A53581">
        <w:t>2</w:t>
      </w:r>
      <w:r w:rsidR="00203F72" w:rsidRPr="00A53581">
        <w:t>項，亦規範外國人，亦享有資訊權。</w:t>
      </w:r>
    </w:p>
    <w:p w14:paraId="0DF28926" w14:textId="77777777" w:rsidR="00145751" w:rsidRDefault="00145751" w:rsidP="00DE356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2C8428A2" w14:textId="77777777" w:rsidR="00145751" w:rsidRDefault="00145751" w:rsidP="00D87D91"/>
    <w:p w14:paraId="6517A0AC" w14:textId="77777777" w:rsidR="00953151" w:rsidRDefault="00203F72" w:rsidP="00767F37">
      <w:pPr>
        <w:pStyle w:val="2"/>
        <w:rPr>
          <w:kern w:val="0"/>
        </w:rPr>
      </w:pPr>
      <w:bookmarkStart w:id="136" w:name="_拾參、我國憲法在「平等權」之保障部分宜更加完整化"/>
      <w:bookmarkEnd w:id="136"/>
      <w:r w:rsidRPr="00A53581">
        <w:t>拾參、我國憲法在「平等權」之保障部分宜更加完整化</w:t>
      </w:r>
    </w:p>
    <w:p w14:paraId="567BCDCF" w14:textId="77777777" w:rsidR="00953151" w:rsidRDefault="002503A3" w:rsidP="00D87D91">
      <w:r>
        <w:t xml:space="preserve">　　</w:t>
      </w:r>
      <w:r w:rsidR="00203F72" w:rsidRPr="00A53581">
        <w:t>經比對我國憲</w:t>
      </w:r>
      <w:r w:rsidR="00444E21" w:rsidRPr="00BD43D3">
        <w:t>法</w:t>
      </w:r>
      <w:hyperlink r:id="rId2566"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A53581">
        <w:t>與</w:t>
      </w:r>
      <w:hyperlink r:id="rId2567" w:history="1">
        <w:r w:rsidR="005532CF" w:rsidRPr="005532CF">
          <w:rPr>
            <w:rStyle w:val="a5"/>
            <w:rFonts w:ascii="Times New Roman" w:eastAsia="新細明體" w:hAnsi="Times New Roman"/>
          </w:rPr>
          <w:t>ICCPR</w:t>
        </w:r>
      </w:hyperlink>
      <w:r w:rsidR="00203F72" w:rsidRPr="00A53581">
        <w:t>公約</w:t>
      </w:r>
      <w:hyperlink r:id="rId2568" w:anchor="a2" w:history="1">
        <w:r w:rsidR="00203F72" w:rsidRPr="005532CF">
          <w:rPr>
            <w:rStyle w:val="a5"/>
            <w:rFonts w:eastAsia="新細明體"/>
            <w:kern w:val="0"/>
          </w:rPr>
          <w:t>第2條</w:t>
        </w:r>
      </w:hyperlink>
      <w:r w:rsidR="00203F72" w:rsidRPr="00A53581">
        <w:t>平等權之規範，似乎，</w:t>
      </w:r>
      <w:r w:rsidR="00203F72" w:rsidRPr="00A53581">
        <w:t xml:space="preserve"> ICCPR</w:t>
      </w:r>
      <w:hyperlink r:id="rId2569" w:anchor="a2" w:history="1">
        <w:r w:rsidR="005532CF" w:rsidRPr="005532CF">
          <w:rPr>
            <w:rStyle w:val="a5"/>
            <w:rFonts w:eastAsia="新細明體"/>
            <w:kern w:val="0"/>
          </w:rPr>
          <w:t>第2條</w:t>
        </w:r>
      </w:hyperlink>
      <w:r w:rsidR="00203F72" w:rsidRPr="00A53581">
        <w:t>平等權之規範，更加周延化與完整化，於</w:t>
      </w:r>
      <w:r w:rsidR="00203F72" w:rsidRPr="00A53581">
        <w:t>ICCPR</w:t>
      </w:r>
      <w:hyperlink r:id="rId2570" w:anchor="a2" w:history="1">
        <w:r w:rsidR="005532CF" w:rsidRPr="005532CF">
          <w:rPr>
            <w:rStyle w:val="a5"/>
            <w:rFonts w:eastAsia="新細明體"/>
            <w:kern w:val="0"/>
          </w:rPr>
          <w:t>第2條</w:t>
        </w:r>
      </w:hyperlink>
      <w:r w:rsidR="00203F72" w:rsidRPr="00A53581">
        <w:t>之中，保障平等權之基準，較為完善</w:t>
      </w:r>
      <w:r w:rsidR="00203F72" w:rsidRPr="00A53581">
        <w:t>(</w:t>
      </w:r>
      <w:r w:rsidR="00203F72" w:rsidRPr="00A53581">
        <w:t>整</w:t>
      </w:r>
      <w:r w:rsidR="00203F72" w:rsidRPr="00A53581">
        <w:t>)</w:t>
      </w:r>
      <w:r w:rsidR="00203F72" w:rsidRPr="00A53581">
        <w:t>，依據</w:t>
      </w:r>
      <w:r w:rsidR="00203F72" w:rsidRPr="00A53581">
        <w:t>ICCPR</w:t>
      </w:r>
      <w:r w:rsidR="00203F72" w:rsidRPr="00A53581">
        <w:t>公</w:t>
      </w:r>
      <w:r w:rsidR="005532CF" w:rsidRPr="00A53581">
        <w:t>約</w:t>
      </w:r>
      <w:hyperlink r:id="rId2571" w:anchor="a2" w:history="1">
        <w:r w:rsidR="005532CF" w:rsidRPr="005532CF">
          <w:rPr>
            <w:rStyle w:val="a5"/>
            <w:rFonts w:eastAsia="新細明體"/>
            <w:kern w:val="0"/>
          </w:rPr>
          <w:t>第2條</w:t>
        </w:r>
      </w:hyperlink>
      <w:r w:rsidR="00203F72" w:rsidRPr="00A53581">
        <w:t>第</w:t>
      </w:r>
      <w:r w:rsidR="00203F72" w:rsidRPr="00A53581">
        <w:t>1</w:t>
      </w:r>
      <w:r w:rsidR="00203F72" w:rsidRPr="00A53581">
        <w:t>項之規定，「本盟約締約國承允尊重並確保所有境內受其管轄之人，無分種類、膚色、性別、語言、宗教、政見或其他主張民族本源或社會階級、財產、出生或其他主張民族本源或社會階級、財產、出生或其他身分等等，一律享受本盟約所確認之權利。」於此</w:t>
      </w:r>
      <w:r w:rsidR="00203F72" w:rsidRPr="00A53581">
        <w:t>ICC</w:t>
      </w:r>
      <w:r w:rsidR="005532CF" w:rsidRPr="005532CF">
        <w:t xml:space="preserve"> </w:t>
      </w:r>
      <w:r w:rsidR="005532CF" w:rsidRPr="00A53581">
        <w:t>PR</w:t>
      </w:r>
      <w:hyperlink r:id="rId2572" w:anchor="a2" w:history="1">
        <w:r w:rsidR="005532CF" w:rsidRPr="005532CF">
          <w:rPr>
            <w:rStyle w:val="a5"/>
            <w:rFonts w:eastAsia="新細明體"/>
            <w:kern w:val="0"/>
          </w:rPr>
          <w:t>第2條</w:t>
        </w:r>
      </w:hyperlink>
      <w:r w:rsidR="00203F72" w:rsidRPr="00A53581">
        <w:t>之中，保障平等權之基準，共計有：種類、膚色、性別、語言、宗教、政見或其他主張民族本源或社會階級、財產、出生或其他主張民族本源或社會階級、財產、出生或其他身分等等。我國憲</w:t>
      </w:r>
      <w:r w:rsidR="00444E21" w:rsidRPr="00BD43D3">
        <w:t>法</w:t>
      </w:r>
      <w:hyperlink r:id="rId2573"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A53581">
        <w:t>如與</w:t>
      </w:r>
      <w:r w:rsidR="00203F72" w:rsidRPr="00A53581">
        <w:t>ICCPR</w:t>
      </w:r>
      <w:r w:rsidR="00203F72" w:rsidRPr="00A53581">
        <w:t>公</w:t>
      </w:r>
      <w:r w:rsidR="005532CF" w:rsidRPr="00A53581">
        <w:t>約</w:t>
      </w:r>
      <w:hyperlink r:id="rId2574" w:anchor="a2" w:history="1">
        <w:r w:rsidR="005532CF" w:rsidRPr="005532CF">
          <w:rPr>
            <w:rStyle w:val="a5"/>
            <w:rFonts w:eastAsia="新細明體"/>
            <w:kern w:val="0"/>
          </w:rPr>
          <w:t>第2條</w:t>
        </w:r>
      </w:hyperlink>
      <w:r w:rsidR="00203F72" w:rsidRPr="00A53581">
        <w:t>之規範相互比較，我國憲</w:t>
      </w:r>
      <w:r w:rsidR="00444E21" w:rsidRPr="00BD43D3">
        <w:t>法</w:t>
      </w:r>
      <w:hyperlink r:id="rId2575"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A53581">
        <w:t>似有欠缺與不足之處。</w:t>
      </w:r>
      <w:r w:rsidR="00203F72" w:rsidRPr="00A53581">
        <w:t>ICCPR</w:t>
      </w:r>
      <w:r w:rsidR="00203F72" w:rsidRPr="00A53581">
        <w:t>公</w:t>
      </w:r>
      <w:r w:rsidR="005532CF" w:rsidRPr="00A53581">
        <w:t>約</w:t>
      </w:r>
      <w:hyperlink r:id="rId2576" w:anchor="a2" w:history="1">
        <w:r w:rsidR="005532CF" w:rsidRPr="005532CF">
          <w:rPr>
            <w:rStyle w:val="a5"/>
            <w:rFonts w:eastAsia="新細明體"/>
            <w:kern w:val="0"/>
          </w:rPr>
          <w:t>第2條</w:t>
        </w:r>
      </w:hyperlink>
      <w:r w:rsidR="00203F72" w:rsidRPr="00A53581">
        <w:t>第</w:t>
      </w:r>
      <w:r w:rsidR="00203F72" w:rsidRPr="00A53581">
        <w:t>1</w:t>
      </w:r>
      <w:r w:rsidR="00203F72" w:rsidRPr="00A53581">
        <w:t>項之用語，諸如：「、、、無分種類、膚色、性別、語言、宗教、政見或其他主張民族本源或社會階級、財產、出生或其他主張民族本源或社會階級、財產、出生或其他身分等等」，可作為我國憲</w:t>
      </w:r>
      <w:r w:rsidR="00444E21" w:rsidRPr="00BD43D3">
        <w:t>法</w:t>
      </w:r>
      <w:hyperlink r:id="rId2577"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A53581">
        <w:t>修憲之參考。</w:t>
      </w:r>
    </w:p>
    <w:p w14:paraId="66936A8B" w14:textId="77777777" w:rsidR="00145751" w:rsidRDefault="00145751" w:rsidP="00DE356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06B495D" w14:textId="77777777" w:rsidR="00145751" w:rsidRDefault="00145751" w:rsidP="00D87D91"/>
    <w:p w14:paraId="6EEA39B7" w14:textId="77777777" w:rsidR="00953151" w:rsidRDefault="00203F72" w:rsidP="00767F37">
      <w:pPr>
        <w:pStyle w:val="2"/>
        <w:rPr>
          <w:kern w:val="0"/>
        </w:rPr>
      </w:pPr>
      <w:bookmarkStart w:id="137" w:name="_拾肆、我國憲法宜明文規範人民之權益，受到法律之明確性保障而享有「被審理"/>
      <w:bookmarkEnd w:id="137"/>
      <w:r w:rsidRPr="00A53581">
        <w:t>拾肆、我國憲法宜明文規範人民之權益，受到法律之明確性保障而享有「被審理權」、「聽證權」、「被裁決權」、「接收裁決書權」與「上訴權」</w:t>
      </w:r>
      <w:r w:rsidRPr="00A53581">
        <w:rPr>
          <w:kern w:val="0"/>
        </w:rPr>
        <w:t xml:space="preserve"> </w:t>
      </w:r>
    </w:p>
    <w:p w14:paraId="2AB525E1" w14:textId="77777777" w:rsidR="00953151" w:rsidRDefault="002503A3" w:rsidP="00D87D91">
      <w:r>
        <w:t xml:space="preserve">　　</w:t>
      </w:r>
      <w:r w:rsidR="00203F72" w:rsidRPr="00A53581">
        <w:t>依據芬蘭憲法第</w:t>
      </w:r>
      <w:r w:rsidR="00203F72" w:rsidRPr="00A53581">
        <w:t>21</w:t>
      </w:r>
      <w:r w:rsidR="00203F72" w:rsidRPr="00A53581">
        <w:t>條之規定，每一位人民，均有權令其案件以不受遲延之方式，受到法院或相關主管機關之審理與裁決。每一位人民，均享有聽證權、對於合理裁決決定之接收權（</w:t>
      </w:r>
      <w:r w:rsidR="00203F72" w:rsidRPr="00A53581">
        <w:t>the right to receive</w:t>
      </w:r>
      <w:r w:rsidR="00203F72" w:rsidRPr="00A53581">
        <w:t>）與上訴權（</w:t>
      </w:r>
      <w:r w:rsidR="00203F72" w:rsidRPr="00A53581">
        <w:t>theright of appeal</w:t>
      </w:r>
      <w:r w:rsidR="00203F72" w:rsidRPr="00A53581">
        <w:t>）。我國憲法之立法例，似可仿效上述有關芬蘭憲法第</w:t>
      </w:r>
      <w:r w:rsidR="00203F72" w:rsidRPr="00A53581">
        <w:t>21</w:t>
      </w:r>
      <w:r w:rsidR="00203F72" w:rsidRPr="00A53581">
        <w:t>條之立憲例，明文規範人民之相關權利，受到法律明文之保障，而享有「被審理權」、「聽證權」、「被裁決權」、「接收裁決權」與「上訴權」。</w:t>
      </w:r>
    </w:p>
    <w:p w14:paraId="027B0115" w14:textId="77777777" w:rsidR="00145751" w:rsidRDefault="00145751" w:rsidP="00DE356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3E53C06" w14:textId="77777777" w:rsidR="00145751" w:rsidRDefault="00145751" w:rsidP="00D87D91"/>
    <w:p w14:paraId="4C3C9144" w14:textId="77777777" w:rsidR="00953151" w:rsidRDefault="00203F72" w:rsidP="00767F37">
      <w:pPr>
        <w:pStyle w:val="2"/>
      </w:pPr>
      <w:bookmarkStart w:id="138" w:name="_拾伍、人民集會與遊行，無須事前申請許可"/>
      <w:bookmarkEnd w:id="138"/>
      <w:r w:rsidRPr="00A53581">
        <w:t>拾伍、人民集會與遊行，無須事前申請許可</w:t>
      </w:r>
    </w:p>
    <w:p w14:paraId="4A9DBB70" w14:textId="77777777" w:rsidR="00203F72" w:rsidRPr="00A53581" w:rsidRDefault="002503A3" w:rsidP="00D87D91">
      <w:r>
        <w:t xml:space="preserve">　　</w:t>
      </w:r>
      <w:r w:rsidR="00203F72" w:rsidRPr="00A53581">
        <w:t>在我國，依集會遊行</w:t>
      </w:r>
      <w:r w:rsidR="00DE356D" w:rsidRPr="00A53581">
        <w:t>法</w:t>
      </w:r>
      <w:hyperlink r:id="rId2578" w:anchor="a8" w:history="1">
        <w:r w:rsidR="00DE356D" w:rsidRPr="002D52D9">
          <w:rPr>
            <w:rStyle w:val="a5"/>
            <w:rFonts w:ascii="Times New Roman" w:eastAsia="新細明體" w:hAnsi="Times New Roman"/>
          </w:rPr>
          <w:t>第八條</w:t>
        </w:r>
      </w:hyperlink>
      <w:r w:rsidR="00203F72" w:rsidRPr="00A53581">
        <w:t>第一項規定，室外之集會、遊行，原則上，應向主管機關</w:t>
      </w:r>
      <w:r w:rsidR="00203F72" w:rsidRPr="00A53581">
        <w:t>(</w:t>
      </w:r>
      <w:r w:rsidR="00203F72" w:rsidRPr="00A53581">
        <w:t>警察機關</w:t>
      </w:r>
      <w:r w:rsidR="00203F72" w:rsidRPr="00A53581">
        <w:t>)</w:t>
      </w:r>
      <w:r w:rsidR="00203F72" w:rsidRPr="00A53581">
        <w:t>申請許可。作者認為，集會遊行</w:t>
      </w:r>
      <w:r w:rsidR="00DE356D" w:rsidRPr="00A53581">
        <w:t>法</w:t>
      </w:r>
      <w:hyperlink r:id="rId2579" w:anchor="a8" w:history="1">
        <w:r w:rsidR="00DE356D" w:rsidRPr="002D52D9">
          <w:rPr>
            <w:rStyle w:val="a5"/>
            <w:rFonts w:ascii="Times New Roman" w:eastAsia="新細明體" w:hAnsi="Times New Roman"/>
          </w:rPr>
          <w:t>第八條</w:t>
        </w:r>
      </w:hyperlink>
      <w:r w:rsidR="00203F72" w:rsidRPr="00A53581">
        <w:t>第一項之規定，對人民集會與遊行之權利，恐有損傷之虞。在司法院釋</w:t>
      </w:r>
      <w:r w:rsidR="00DE356D" w:rsidRPr="00A53581">
        <w:t>字</w:t>
      </w:r>
      <w:hyperlink r:id="rId2580" w:anchor="r718" w:history="1">
        <w:r w:rsidR="00DE356D" w:rsidRPr="00290BC6">
          <w:rPr>
            <w:rStyle w:val="a5"/>
            <w:rFonts w:ascii="Times New Roman" w:eastAsia="新細明體" w:hAnsi="Times New Roman"/>
          </w:rPr>
          <w:t>第</w:t>
        </w:r>
        <w:r w:rsidR="00DE356D" w:rsidRPr="00290BC6">
          <w:rPr>
            <w:rStyle w:val="a5"/>
            <w:rFonts w:ascii="Times New Roman" w:eastAsia="新細明體" w:hAnsi="Times New Roman"/>
          </w:rPr>
          <w:t>718</w:t>
        </w:r>
        <w:r w:rsidR="00DE356D" w:rsidRPr="00290BC6">
          <w:rPr>
            <w:rStyle w:val="a5"/>
            <w:rFonts w:ascii="Times New Roman" w:eastAsia="新細明體" w:hAnsi="Times New Roman"/>
          </w:rPr>
          <w:t>號</w:t>
        </w:r>
      </w:hyperlink>
      <w:r w:rsidR="00203F72" w:rsidRPr="00A53581">
        <w:t>文【緊急性及偶發性集會遊行許可案】之中，本案主要係要處理集會遊行法申請許可之規定，未排除緊急性及偶發性集會遊行之部分，究竟是否違憲？依據司法院釋</w:t>
      </w:r>
      <w:r w:rsidR="00DE356D" w:rsidRPr="00A53581">
        <w:t>字</w:t>
      </w:r>
      <w:hyperlink r:id="rId2581" w:anchor="r718" w:history="1">
        <w:r w:rsidR="00DE356D" w:rsidRPr="00290BC6">
          <w:rPr>
            <w:rStyle w:val="a5"/>
            <w:rFonts w:ascii="Times New Roman" w:eastAsia="新細明體" w:hAnsi="Times New Roman"/>
          </w:rPr>
          <w:t>第</w:t>
        </w:r>
        <w:r w:rsidR="00DE356D" w:rsidRPr="00290BC6">
          <w:rPr>
            <w:rStyle w:val="a5"/>
            <w:rFonts w:ascii="Times New Roman" w:eastAsia="新細明體" w:hAnsi="Times New Roman"/>
          </w:rPr>
          <w:t>718</w:t>
        </w:r>
        <w:r w:rsidR="00DE356D" w:rsidRPr="00290BC6">
          <w:rPr>
            <w:rStyle w:val="a5"/>
            <w:rFonts w:ascii="Times New Roman" w:eastAsia="新細明體" w:hAnsi="Times New Roman"/>
          </w:rPr>
          <w:t>號</w:t>
        </w:r>
      </w:hyperlink>
      <w:r w:rsidR="00203F72" w:rsidRPr="00A53581">
        <w:t>之理由書之意見：</w:t>
      </w:r>
    </w:p>
    <w:p w14:paraId="202C9A72" w14:textId="77777777" w:rsidR="00203F72" w:rsidRPr="00A53581" w:rsidRDefault="00DE356D" w:rsidP="00D87D91">
      <w:r>
        <w:rPr>
          <w:rFonts w:hint="eastAsia"/>
        </w:rPr>
        <w:t xml:space="preserve">　　</w:t>
      </w:r>
      <w:r w:rsidR="00203F72" w:rsidRPr="00A53581">
        <w:t>「憲法第</w:t>
      </w:r>
      <w:hyperlink r:id="rId2582" w:anchor="a14" w:history="1">
        <w:r w:rsidR="00203F72" w:rsidRPr="00DE356D">
          <w:rPr>
            <w:rStyle w:val="a5"/>
            <w:rFonts w:ascii="Times New Roman" w:eastAsia="新細明體" w:hAnsi="Times New Roman"/>
          </w:rPr>
          <w:t>十四</w:t>
        </w:r>
      </w:hyperlink>
      <w:r w:rsidR="00203F72" w:rsidRPr="00A53581">
        <w:t>條規定人民有集會之自由，旨在保障人民以集體行動之方式和平表達意見，與社會各界進行溝通對話，以形成或改變公共意見，並影響、監督政策或法律之制定，係本於主權在民理念，為實施民主政治以促進思辯、尊重差異，實現憲法兼容並蓄精神之重要基本人權。為保障該項自由，國家除應提供適當集會場所，採取有效保護集會之安全措施外，並應在法律規定與制度設計上使參與集會、遊行者在毫無恐懼的情況下行使集會自由（本院釋字</w:t>
      </w:r>
      <w:r w:rsidRPr="00A53581">
        <w:t>第</w:t>
      </w:r>
      <w:hyperlink r:id="rId2583" w:anchor="r445" w:history="1">
        <w:r w:rsidRPr="002D52D9">
          <w:rPr>
            <w:rStyle w:val="a5"/>
            <w:rFonts w:ascii="Times New Roman" w:eastAsia="新細明體" w:hAnsi="Times New Roman"/>
          </w:rPr>
          <w:t>四四五</w:t>
        </w:r>
      </w:hyperlink>
      <w:r w:rsidR="00203F72" w:rsidRPr="00A53581">
        <w:t>號解釋參照）。以法律限制人民之集會自由，須遵守憲</w:t>
      </w:r>
      <w:r w:rsidR="00B525CE" w:rsidRPr="00A53581">
        <w:t>法第</w:t>
      </w:r>
      <w:hyperlink r:id="rId2584" w:anchor="a23" w:history="1">
        <w:r w:rsidR="00B525CE" w:rsidRPr="00B525CE">
          <w:rPr>
            <w:rStyle w:val="a5"/>
          </w:rPr>
          <w:t>二十三</w:t>
        </w:r>
      </w:hyperlink>
      <w:r w:rsidR="00B525CE" w:rsidRPr="00A53581">
        <w:t>條</w:t>
      </w:r>
      <w:r w:rsidR="00203F72" w:rsidRPr="00A53581">
        <w:t>之比例原則，方符合憲法保障集會自由之本旨</w:t>
      </w:r>
      <w:r w:rsidR="00545D58">
        <w:t>。</w:t>
      </w:r>
    </w:p>
    <w:p w14:paraId="6A2DCA53" w14:textId="77777777" w:rsidR="00953151" w:rsidRDefault="002503A3" w:rsidP="00D87D91">
      <w:r>
        <w:t xml:space="preserve">　　</w:t>
      </w:r>
      <w:r w:rsidR="00203F72" w:rsidRPr="00A53581">
        <w:t>室外集會、遊行需要利用場所、道路等諸多社會資源，本質上即易對社會原有運作秩序產生影響，且不排除會引起相異立場者之反制舉措而激發衝突，主管機關為兼顧集會自由保障與社會秩序維持（集會遊行</w:t>
      </w:r>
      <w:r w:rsidR="004651E8" w:rsidRPr="00290BC6">
        <w:t>法</w:t>
      </w:r>
      <w:hyperlink r:id="rId2585" w:anchor="a1" w:history="1">
        <w:r w:rsidR="004651E8" w:rsidRPr="00290BC6">
          <w:rPr>
            <w:rStyle w:val="a5"/>
          </w:rPr>
          <w:t>第一條</w:t>
        </w:r>
      </w:hyperlink>
      <w:r w:rsidR="00203F72" w:rsidRPr="00A53581">
        <w:t>參照），應預為綢繆，故須由集會、遊行舉行者本於信賴、合作與溝通之立場適時提供主管機關必要資訊，俾供瞭解事件性質，盱衡社會整體狀況，就集會、遊行利用公共場所或路面之時間、地點與進行方式為妥善之規劃，並就執法相關人力物力妥為配置，以協助集會、遊行得順利舉行，並使社會秩序受到影響降到最低程度。在此範圍內，立法者有形成自由，得採行事前許可或報備程序，使主管機關能取得執法必要資訊，並妥為因應。此所以集會遊行</w:t>
      </w:r>
      <w:r w:rsidR="00DE356D" w:rsidRPr="00A53581">
        <w:t>法</w:t>
      </w:r>
      <w:hyperlink r:id="rId2586" w:anchor="a8" w:history="1">
        <w:r w:rsidR="00DE356D" w:rsidRPr="002D52D9">
          <w:rPr>
            <w:rStyle w:val="a5"/>
            <w:rFonts w:ascii="Times New Roman" w:eastAsia="新細明體" w:hAnsi="Times New Roman"/>
          </w:rPr>
          <w:t>第八條</w:t>
        </w:r>
      </w:hyperlink>
      <w:r w:rsidR="00203F72" w:rsidRPr="00A53581">
        <w:t>第一項規定，室外之集會、遊行，原則上應向主管機關申請許可，為本院釋字第</w:t>
      </w:r>
      <w:hyperlink r:id="rId2587" w:anchor="r445" w:history="1">
        <w:r w:rsidR="00203F72" w:rsidRPr="002D52D9">
          <w:rPr>
            <w:rStyle w:val="a5"/>
            <w:rFonts w:ascii="Times New Roman" w:eastAsia="新細明體" w:hAnsi="Times New Roman"/>
          </w:rPr>
          <w:t>四四五</w:t>
        </w:r>
      </w:hyperlink>
      <w:r w:rsidR="00203F72" w:rsidRPr="00A53581">
        <w:t>號解釋所肯認。惟就事起倉卒非即刻舉行無法達到目的之緊急性集會、遊行，實難期待俟取得許可後舉行；另就群眾因特殊原因未經召集自發聚集，事實上無所謂發起人或負責人之偶發性集會、遊行，自無法事先申請</w:t>
      </w:r>
      <w:r w:rsidR="00203F72" w:rsidRPr="00290BC6">
        <w:t>許可或報備。雖同法</w:t>
      </w:r>
      <w:hyperlink r:id="rId2588" w:anchor="a9" w:history="1">
        <w:r w:rsidR="00B56AE1" w:rsidRPr="00290BC6">
          <w:rPr>
            <w:rStyle w:val="a5"/>
            <w:rFonts w:ascii="Times New Roman" w:hAnsi="Times New Roman"/>
          </w:rPr>
          <w:t>第九條</w:t>
        </w:r>
      </w:hyperlink>
      <w:r w:rsidR="00B56AE1" w:rsidRPr="00290BC6">
        <w:t>之</w:t>
      </w:r>
      <w:r w:rsidR="00203F72" w:rsidRPr="00290BC6">
        <w:t>第一項但書規定：「但因不可預見之重大緊急事故，且非即刻舉行，無法達到目的者，不受六日前申請之限制。」同法第</w:t>
      </w:r>
      <w:hyperlink r:id="rId2589" w:anchor="a12" w:history="1">
        <w:r w:rsidR="00203F72" w:rsidRPr="002D52D9">
          <w:rPr>
            <w:rStyle w:val="a5"/>
            <w:rFonts w:ascii="Times New Roman" w:eastAsia="新細明體" w:hAnsi="Times New Roman"/>
          </w:rPr>
          <w:t>十二</w:t>
        </w:r>
      </w:hyperlink>
      <w:r w:rsidR="00203F72" w:rsidRPr="00290BC6">
        <w:t>條第二項又規定：「依</w:t>
      </w:r>
      <w:hyperlink r:id="rId2590" w:anchor="a9" w:history="1">
        <w:r w:rsidR="00203F72" w:rsidRPr="002D52D9">
          <w:rPr>
            <w:rStyle w:val="a5"/>
            <w:rFonts w:ascii="Times New Roman" w:eastAsia="新細明體" w:hAnsi="Times New Roman"/>
          </w:rPr>
          <w:t>第九條</w:t>
        </w:r>
      </w:hyperlink>
      <w:r w:rsidR="00203F72" w:rsidRPr="00290BC6">
        <w:t>第一項但書之規定提出申請者，主管機關應於收受申請書之時起二十四小時內，以書面通知負責人。」針對緊急性集會、遊行，固已放寬申請許可期間，但仍須事先申請並等待主管機關至長二十四小時之決定許可與否期間；另就偶發性集會、遊行，亦仍須事先申請許可，均係以法律課予人民事實上難以遵守之義務，致人民不克申請而舉行集會、遊行時，立即附隨得由主管機關強制制止、命令解散之法律效果（集會遊行法</w:t>
      </w:r>
      <w:r w:rsidR="001B1539" w:rsidRPr="00290BC6">
        <w:t>第</w:t>
      </w:r>
      <w:hyperlink r:id="rId2591" w:anchor="a25" w:history="1">
        <w:r w:rsidR="001B1539" w:rsidRPr="00290BC6">
          <w:rPr>
            <w:rStyle w:val="a5"/>
          </w:rPr>
          <w:t>二十五</w:t>
        </w:r>
      </w:hyperlink>
      <w:r w:rsidR="001B1539" w:rsidRPr="00290BC6">
        <w:t>條</w:t>
      </w:r>
      <w:r w:rsidR="00203F72" w:rsidRPr="00290BC6">
        <w:t>第一</w:t>
      </w:r>
      <w:r w:rsidR="00203F72" w:rsidRPr="00A53581">
        <w:t>款規定參照），與本院釋字</w:t>
      </w:r>
      <w:r w:rsidR="002D52D9" w:rsidRPr="00A53581">
        <w:t>第</w:t>
      </w:r>
      <w:hyperlink r:id="rId2592" w:anchor="r445" w:history="1">
        <w:r w:rsidR="002D52D9" w:rsidRPr="002D52D9">
          <w:rPr>
            <w:rStyle w:val="a5"/>
            <w:rFonts w:ascii="Times New Roman" w:eastAsia="新細明體" w:hAnsi="Times New Roman"/>
          </w:rPr>
          <w:t>四四五</w:t>
        </w:r>
      </w:hyperlink>
      <w:r w:rsidR="002D52D9" w:rsidRPr="00A53581">
        <w:t>號</w:t>
      </w:r>
      <w:r w:rsidR="00203F72" w:rsidRPr="00A53581">
        <w:t>解釋：「憲法</w:t>
      </w:r>
      <w:r w:rsidR="00DE356D" w:rsidRPr="00A53581">
        <w:t>第</w:t>
      </w:r>
      <w:hyperlink r:id="rId2593" w:anchor="a14" w:history="1">
        <w:r w:rsidR="00DE356D" w:rsidRPr="00DE356D">
          <w:rPr>
            <w:rStyle w:val="a5"/>
            <w:rFonts w:ascii="Times New Roman" w:eastAsia="新細明體" w:hAnsi="Times New Roman"/>
          </w:rPr>
          <w:t>十四</w:t>
        </w:r>
      </w:hyperlink>
      <w:r w:rsidR="00DE356D" w:rsidRPr="00A53581">
        <w:t>條</w:t>
      </w:r>
      <w:r w:rsidR="00203F72" w:rsidRPr="00A53581">
        <w:t>規定保障人民之集會自由，並未排除偶發性集會、遊行」，「許可制於偶發性集會、遊行殊無適用之餘地」之意旨有違。至為維持社會秩序之目的，立法機關並非不能</w:t>
      </w:r>
      <w:r w:rsidR="003E240E">
        <w:t>視</w:t>
      </w:r>
      <w:r w:rsidR="00203F72" w:rsidRPr="00A53581">
        <w:t>事件性質，以法律明確規範緊急性及偶發性集會、遊行，改採許可制以外相同能達成目的之其他侵害較小手段，故集會遊行法</w:t>
      </w:r>
      <w:hyperlink r:id="rId2594" w:anchor="a8" w:history="1">
        <w:r w:rsidR="00203F72" w:rsidRPr="002D52D9">
          <w:rPr>
            <w:rStyle w:val="a5"/>
            <w:rFonts w:ascii="Times New Roman" w:eastAsia="新細明體" w:hAnsi="Times New Roman"/>
          </w:rPr>
          <w:t>第八條</w:t>
        </w:r>
      </w:hyperlink>
      <w:r w:rsidR="00203F72" w:rsidRPr="00A53581">
        <w:t>第一項未排除緊急性及偶發性集會、遊行部分；同</w:t>
      </w:r>
      <w:r w:rsidR="00290BC6" w:rsidRPr="00290BC6">
        <w:t>法</w:t>
      </w:r>
      <w:hyperlink r:id="rId2595" w:anchor="a9" w:history="1">
        <w:r w:rsidR="00290BC6" w:rsidRPr="00290BC6">
          <w:rPr>
            <w:rStyle w:val="a5"/>
            <w:rFonts w:ascii="Times New Roman" w:hAnsi="Times New Roman"/>
          </w:rPr>
          <w:t>第九條</w:t>
        </w:r>
      </w:hyperlink>
      <w:r w:rsidR="00203F72" w:rsidRPr="00A53581">
        <w:t>第一項但書與第</w:t>
      </w:r>
      <w:hyperlink r:id="rId2596" w:anchor="a12" w:history="1">
        <w:r w:rsidR="00203F72" w:rsidRPr="00290BC6">
          <w:rPr>
            <w:rStyle w:val="a5"/>
            <w:rFonts w:ascii="Times New Roman" w:eastAsia="新細明體" w:hAnsi="Times New Roman"/>
          </w:rPr>
          <w:t>十二</w:t>
        </w:r>
      </w:hyperlink>
      <w:r w:rsidR="00203F72" w:rsidRPr="00A53581">
        <w:t>條第二項關於緊急性集會、遊行之申請許可規定，已屬對人民集會自由之不必要限制，與憲</w:t>
      </w:r>
      <w:r w:rsidR="00B525CE" w:rsidRPr="00A53581">
        <w:t>法第</w:t>
      </w:r>
      <w:hyperlink r:id="rId2597" w:anchor="a23" w:history="1">
        <w:r w:rsidR="00B525CE" w:rsidRPr="00B525CE">
          <w:rPr>
            <w:rStyle w:val="a5"/>
          </w:rPr>
          <w:t>二十三</w:t>
        </w:r>
      </w:hyperlink>
      <w:r w:rsidR="00B525CE" w:rsidRPr="00A53581">
        <w:t>條</w:t>
      </w:r>
      <w:r w:rsidR="00203F72" w:rsidRPr="00A53581">
        <w:t>規定之比例原則有所牴觸，不符憲法</w:t>
      </w:r>
      <w:r w:rsidR="00DE356D" w:rsidRPr="00A53581">
        <w:t>第</w:t>
      </w:r>
      <w:hyperlink r:id="rId2598" w:anchor="a14" w:history="1">
        <w:r w:rsidR="00DE356D" w:rsidRPr="00DE356D">
          <w:rPr>
            <w:rStyle w:val="a5"/>
            <w:rFonts w:ascii="Times New Roman" w:eastAsia="新細明體" w:hAnsi="Times New Roman"/>
          </w:rPr>
          <w:t>十四</w:t>
        </w:r>
      </w:hyperlink>
      <w:r w:rsidR="00DE356D" w:rsidRPr="00A53581">
        <w:t>條</w:t>
      </w:r>
      <w:r w:rsidR="00203F72" w:rsidRPr="00A53581">
        <w:t>保障集會自由之意旨，均應自中華民國一</w:t>
      </w:r>
      <w:r w:rsidR="007F3288">
        <w:t>0</w:t>
      </w:r>
      <w:r w:rsidR="00203F72" w:rsidRPr="00A53581">
        <w:t>四年一月一日起失其效力。就此而言，本院釋字第四四五號解釋應予補充。」</w:t>
      </w:r>
      <w:r w:rsidR="00203F72" w:rsidRPr="00A53581">
        <w:t xml:space="preserve"> </w:t>
      </w:r>
    </w:p>
    <w:p w14:paraId="79B7B3DB" w14:textId="77777777" w:rsidR="00953151" w:rsidRDefault="002503A3" w:rsidP="00D87D91">
      <w:r>
        <w:t xml:space="preserve">　　</w:t>
      </w:r>
      <w:r w:rsidR="00203F72" w:rsidRPr="00A53581">
        <w:t>本書認為，司法院釋字</w:t>
      </w:r>
      <w:hyperlink r:id="rId2599" w:anchor="r718" w:history="1">
        <w:r w:rsidR="005D5A46" w:rsidRPr="00290BC6">
          <w:rPr>
            <w:rStyle w:val="a5"/>
            <w:rFonts w:ascii="Times New Roman" w:eastAsia="新細明體" w:hAnsi="Times New Roman"/>
          </w:rPr>
          <w:t>第</w:t>
        </w:r>
        <w:r w:rsidR="00203F72" w:rsidRPr="00290BC6">
          <w:rPr>
            <w:rStyle w:val="a5"/>
            <w:rFonts w:ascii="Times New Roman" w:eastAsia="新細明體" w:hAnsi="Times New Roman"/>
          </w:rPr>
          <w:t>718</w:t>
        </w:r>
        <w:r w:rsidR="00F5469C" w:rsidRPr="00290BC6">
          <w:rPr>
            <w:rStyle w:val="a5"/>
            <w:rFonts w:ascii="Times New Roman" w:eastAsia="新細明體" w:hAnsi="Times New Roman"/>
          </w:rPr>
          <w:t>號</w:t>
        </w:r>
      </w:hyperlink>
      <w:r w:rsidR="00203F72" w:rsidRPr="00A53581">
        <w:t>【緊急性及偶發性集會遊行許可案】之理由書之法理，過於陳舊與保守。司法院釋</w:t>
      </w:r>
      <w:r w:rsidR="00290BC6" w:rsidRPr="00A53581">
        <w:t>字</w:t>
      </w:r>
      <w:hyperlink r:id="rId2600" w:anchor="r718" w:history="1">
        <w:r w:rsidR="00290BC6" w:rsidRPr="00290BC6">
          <w:rPr>
            <w:rStyle w:val="a5"/>
            <w:rFonts w:ascii="Times New Roman" w:eastAsia="新細明體" w:hAnsi="Times New Roman"/>
          </w:rPr>
          <w:t>第</w:t>
        </w:r>
        <w:r w:rsidR="00290BC6" w:rsidRPr="00290BC6">
          <w:rPr>
            <w:rStyle w:val="a5"/>
            <w:rFonts w:ascii="Times New Roman" w:eastAsia="新細明體" w:hAnsi="Times New Roman"/>
          </w:rPr>
          <w:t>718</w:t>
        </w:r>
        <w:r w:rsidR="00290BC6" w:rsidRPr="00290BC6">
          <w:rPr>
            <w:rStyle w:val="a5"/>
            <w:rFonts w:ascii="Times New Roman" w:eastAsia="新細明體" w:hAnsi="Times New Roman"/>
          </w:rPr>
          <w:t>號</w:t>
        </w:r>
      </w:hyperlink>
      <w:r w:rsidR="00203F72" w:rsidRPr="00A53581">
        <w:t>指出，「集會遊行參與者，本質上即易對社會原有運作秩序產生影響，且不排除會引起相異立場者之反制舉措而激發衝突」。司法院釋</w:t>
      </w:r>
      <w:r w:rsidR="00290BC6" w:rsidRPr="00A53581">
        <w:t>字</w:t>
      </w:r>
      <w:hyperlink r:id="rId2601" w:anchor="r718" w:history="1">
        <w:r w:rsidR="00290BC6" w:rsidRPr="00290BC6">
          <w:rPr>
            <w:rStyle w:val="a5"/>
            <w:rFonts w:ascii="Times New Roman" w:eastAsia="新細明體" w:hAnsi="Times New Roman"/>
          </w:rPr>
          <w:t>第</w:t>
        </w:r>
        <w:r w:rsidR="00290BC6" w:rsidRPr="00290BC6">
          <w:rPr>
            <w:rStyle w:val="a5"/>
            <w:rFonts w:ascii="Times New Roman" w:eastAsia="新細明體" w:hAnsi="Times New Roman"/>
          </w:rPr>
          <w:t>718</w:t>
        </w:r>
        <w:r w:rsidR="00290BC6" w:rsidRPr="00290BC6">
          <w:rPr>
            <w:rStyle w:val="a5"/>
            <w:rFonts w:ascii="Times New Roman" w:eastAsia="新細明體" w:hAnsi="Times New Roman"/>
          </w:rPr>
          <w:t>號</w:t>
        </w:r>
      </w:hyperlink>
      <w:r w:rsidR="00203F72" w:rsidRPr="00A53581">
        <w:t>之大前提之假設，係將所有之集會遊行參與者，</w:t>
      </w:r>
      <w:r w:rsidR="003E240E">
        <w:t>視</w:t>
      </w:r>
      <w:r w:rsidR="00203F72" w:rsidRPr="00A53581">
        <w:t>為潛在性之暴民與惡民。而所謂之暴民與惡民，應依客觀事實上之認定，而非釋憲者自行、事先與主觀之想像。此種大前提之假設，已侵犯人民集會與遊行權利</w:t>
      </w:r>
      <w:r w:rsidR="00203F72" w:rsidRPr="00A53581">
        <w:t>(Everyone has the right to arrange meetings and demonstrations)</w:t>
      </w:r>
      <w:r w:rsidR="00203F72" w:rsidRPr="00A53581">
        <w:t>，在論理上，釋憲者自行、事先與主觀之想像，恐有不適切之處。</w:t>
      </w:r>
    </w:p>
    <w:p w14:paraId="177BD35E" w14:textId="77777777" w:rsidR="00953151" w:rsidRDefault="002503A3" w:rsidP="00D87D91">
      <w:r w:rsidRPr="00290BC6">
        <w:t xml:space="preserve">　　</w:t>
      </w:r>
      <w:r w:rsidR="00203F72" w:rsidRPr="00290BC6">
        <w:t>依據丹麥憲法第</w:t>
      </w:r>
      <w:r w:rsidR="00203F72" w:rsidRPr="00290BC6">
        <w:t>79</w:t>
      </w:r>
      <w:r w:rsidR="00203F72" w:rsidRPr="00290BC6">
        <w:t>條</w:t>
      </w:r>
      <w:r w:rsidR="00203F72" w:rsidRPr="00290BC6">
        <w:t>(DenmarkConstitutionSection 79Freedom of Assembly)</w:t>
      </w:r>
      <w:r w:rsidR="00203F72" w:rsidRPr="00290BC6">
        <w:footnoteReference w:id="1059"/>
      </w:r>
      <w:r w:rsidR="00203F72" w:rsidRPr="00290BC6">
        <w:t>、愛沙尼亞憲法第</w:t>
      </w:r>
      <w:r w:rsidR="00203F72" w:rsidRPr="00290BC6">
        <w:t>47</w:t>
      </w:r>
      <w:r w:rsidR="00203F72" w:rsidRPr="00290BC6">
        <w:t>條</w:t>
      </w:r>
      <w:r w:rsidR="00203F72" w:rsidRPr="00290BC6">
        <w:t>(The Constitution of the Republic of Estonia § 47)</w:t>
      </w:r>
      <w:r w:rsidR="00203F72" w:rsidRPr="00290BC6">
        <w:footnoteReference w:id="1060"/>
      </w:r>
      <w:r w:rsidR="00203F72" w:rsidRPr="00290BC6">
        <w:t>、芬蘭憲法第</w:t>
      </w:r>
      <w:r w:rsidR="00203F72" w:rsidRPr="00290BC6">
        <w:t>13</w:t>
      </w:r>
      <w:r w:rsidR="00203F72" w:rsidRPr="00290BC6">
        <w:t>條</w:t>
      </w:r>
      <w:r w:rsidR="00203F72" w:rsidRPr="00290BC6">
        <w:t xml:space="preserve">(Section 13 </w:t>
      </w:r>
      <w:r w:rsidR="00203F72" w:rsidRPr="00290BC6">
        <w:t>，</w:t>
      </w:r>
      <w:r w:rsidR="00203F72" w:rsidRPr="00290BC6">
        <w:t>Freedom of assembly and freedom of association )</w:t>
      </w:r>
      <w:r w:rsidR="00203F72" w:rsidRPr="00290BC6">
        <w:footnoteReference w:id="1061"/>
      </w:r>
      <w:r w:rsidR="00203F72" w:rsidRPr="00290BC6">
        <w:t>及德國基本法第</w:t>
      </w:r>
      <w:r w:rsidR="00203F72" w:rsidRPr="00290BC6">
        <w:t>8</w:t>
      </w:r>
      <w:r w:rsidR="00203F72" w:rsidRPr="00290BC6">
        <w:t>條</w:t>
      </w:r>
      <w:r w:rsidR="00203F72" w:rsidRPr="00244408">
        <w:t>(Article 8</w:t>
      </w:r>
      <w:r w:rsidR="00203F72" w:rsidRPr="00244408">
        <w:t>，</w:t>
      </w:r>
      <w:r w:rsidR="00203F72" w:rsidRPr="00244408">
        <w:t>Freedom of assembly)</w:t>
      </w:r>
      <w:r w:rsidR="00203F72" w:rsidRPr="00244408">
        <w:t>之立憲法例</w:t>
      </w:r>
      <w:r w:rsidR="00203F72" w:rsidRPr="00244408">
        <w:footnoteReference w:id="1062"/>
      </w:r>
      <w:r w:rsidR="00203F72" w:rsidRPr="00244408">
        <w:t>，人民集會，無須事前申請許可</w:t>
      </w:r>
      <w:r w:rsidR="00203F72" w:rsidRPr="00244408">
        <w:t>(without a permit)</w:t>
      </w:r>
      <w:r w:rsidR="00203F72" w:rsidRPr="00244408">
        <w:t>。以丹麥憲法第</w:t>
      </w:r>
      <w:r w:rsidR="00203F72" w:rsidRPr="00244408">
        <w:t>79</w:t>
      </w:r>
      <w:r w:rsidR="00203F72" w:rsidRPr="00244408">
        <w:t>條為例，人民和平之集會</w:t>
      </w:r>
      <w:r w:rsidR="00203F72" w:rsidRPr="00244408">
        <w:t>(to assemble unarmed)</w:t>
      </w:r>
      <w:r w:rsidR="00203F72" w:rsidRPr="00244408">
        <w:t>，無須事前申請許可</w:t>
      </w:r>
      <w:r w:rsidR="00203F72" w:rsidRPr="00244408">
        <w:t>(The citizens shall without previous permission)</w:t>
      </w:r>
      <w:r w:rsidR="00203F72" w:rsidRPr="00244408">
        <w:t>，而芬蘭憲法第</w:t>
      </w:r>
      <w:r w:rsidR="00203F72" w:rsidRPr="00244408">
        <w:t>13</w:t>
      </w:r>
      <w:r w:rsidR="00203F72" w:rsidRPr="00244408">
        <w:t>條之無須事前許可，包括戶外集會與遊行。根據芬蘭憲法第</w:t>
      </w:r>
      <w:r w:rsidR="00203F72" w:rsidRPr="00244408">
        <w:t>13</w:t>
      </w:r>
      <w:r w:rsidR="00203F72" w:rsidRPr="00244408">
        <w:t>條之規定，每一位人民，均擁有遊行權利</w:t>
      </w:r>
      <w:r w:rsidR="00203F72" w:rsidRPr="00244408">
        <w:t>(Everyone has the right to arrange meetings and demonstrations)</w:t>
      </w:r>
      <w:r w:rsidR="00203F72" w:rsidRPr="00244408">
        <w:t>，無須事前申請許可</w:t>
      </w:r>
      <w:r w:rsidR="00203F72" w:rsidRPr="00244408">
        <w:t>(without a permit)</w:t>
      </w:r>
      <w:r w:rsidR="00203F72" w:rsidRPr="00244408">
        <w:t>。本書建議我國之憲法，比照先進國家，宜充分地保障人民集會與遊行權利</w:t>
      </w:r>
      <w:r w:rsidR="00203F72" w:rsidRPr="00244408">
        <w:t>(Everyone has the right to arrange meetings and demonstrations)</w:t>
      </w:r>
      <w:r w:rsidR="00203F72" w:rsidRPr="00244408">
        <w:t>，無須事前申請許可。</w:t>
      </w:r>
    </w:p>
    <w:p w14:paraId="04688BE7" w14:textId="77777777" w:rsidR="00145751" w:rsidRDefault="00145751" w:rsidP="00244408">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39CBCCB9" w14:textId="77777777" w:rsidR="00145751" w:rsidRDefault="00145751" w:rsidP="00D87D91"/>
    <w:p w14:paraId="5A79AAB3" w14:textId="77777777" w:rsidR="00953151" w:rsidRDefault="00203F72" w:rsidP="00767F37">
      <w:pPr>
        <w:pStyle w:val="2"/>
      </w:pPr>
      <w:bookmarkStart w:id="139" w:name="_拾陸、憲法宜明文保障「正當法律程序」"/>
      <w:bookmarkEnd w:id="139"/>
      <w:r w:rsidRPr="00A53581">
        <w:t>拾陸、憲法宜明文保障「正當法律程序」</w:t>
      </w:r>
    </w:p>
    <w:p w14:paraId="08967889" w14:textId="77777777" w:rsidR="00953151" w:rsidRDefault="002503A3" w:rsidP="00D87D91">
      <w:r>
        <w:t xml:space="preserve">　　</w:t>
      </w:r>
      <w:r w:rsidR="00203F72" w:rsidRPr="00A53581">
        <w:t>憲法宜明文保障正當法律程序原則，亦即，將「正當法律程序」原則</w:t>
      </w:r>
      <w:r w:rsidR="00203F72" w:rsidRPr="00A53581">
        <w:t>(due process of law)</w:t>
      </w:r>
      <w:r w:rsidR="00203F72" w:rsidRPr="00A53581">
        <w:t>入憲化。「正當法律程序」原則</w:t>
      </w:r>
      <w:r w:rsidR="00203F72" w:rsidRPr="00A53581">
        <w:t>(due process of law)</w:t>
      </w:r>
      <w:r w:rsidR="00203F72" w:rsidRPr="00A53581">
        <w:t>之意涵及範圍，如下所述：</w:t>
      </w:r>
    </w:p>
    <w:p w14:paraId="0F9ADBA4" w14:textId="77777777" w:rsidR="00203F72" w:rsidRPr="00A53581" w:rsidRDefault="002503A3" w:rsidP="00D87D91">
      <w:r>
        <w:t xml:space="preserve">　　</w:t>
      </w:r>
      <w:r w:rsidR="00203F72" w:rsidRPr="00A53581">
        <w:t>一、「正當法律程序」</w:t>
      </w:r>
      <w:r w:rsidR="00203F72" w:rsidRPr="00A53581">
        <w:t>(due process of law)</w:t>
      </w:r>
      <w:r w:rsidR="00203F72" w:rsidRPr="00A53581">
        <w:t>之意涵：</w:t>
      </w:r>
    </w:p>
    <w:p w14:paraId="42E8DB13" w14:textId="77777777" w:rsidR="00953151" w:rsidRDefault="002503A3" w:rsidP="00D87D91">
      <w:r>
        <w:t xml:space="preserve">　　</w:t>
      </w:r>
      <w:r w:rsidR="00203F72" w:rsidRPr="00A53581">
        <w:t>「正當法律程序」</w:t>
      </w:r>
      <w:r w:rsidR="00203F72" w:rsidRPr="00A53581">
        <w:t>(due process of law)</w:t>
      </w:r>
      <w:r w:rsidR="00203F72" w:rsidRPr="00A53581">
        <w:t>是一個非常重要之原則，它具有根本性之地位</w:t>
      </w:r>
      <w:r w:rsidR="00203F72" w:rsidRPr="00A53581">
        <w:t>(fundamental)</w:t>
      </w:r>
      <w:r w:rsidR="00203F72" w:rsidRPr="00A53581">
        <w:t>；亦即，「正當法律程序」係具有基本性</w:t>
      </w:r>
      <w:r w:rsidR="00203F72" w:rsidRPr="00A53581">
        <w:t>(</w:t>
      </w:r>
      <w:r w:rsidR="00203F72" w:rsidRPr="00A53581">
        <w:t>主要性</w:t>
      </w:r>
      <w:r w:rsidR="00203F72" w:rsidRPr="00A53581">
        <w:t>)</w:t>
      </w:r>
      <w:r w:rsidR="00203F72" w:rsidRPr="00A53581">
        <w:t>及憲法層次之保障功能</w:t>
      </w:r>
      <w:r w:rsidR="00203F72" w:rsidRPr="00A53581">
        <w:t>(A fundamental, constitutional guarantee)</w:t>
      </w:r>
      <w:r w:rsidR="00203F72" w:rsidRPr="00A53581">
        <w:t>；在西方先進民主國家之中，所謂之「正當法律程序」，除了保障法律程序上之正義之外，「正當法律程序」之射程，尚且包括實質上之法律正義，此名為「實質上正當法律程序」</w:t>
      </w:r>
      <w:r w:rsidR="00203F72" w:rsidRPr="00A53581">
        <w:t>(Substantive Due Process)</w:t>
      </w:r>
      <w:r w:rsidR="00203F72" w:rsidRPr="00A53581">
        <w:t>。</w:t>
      </w:r>
    </w:p>
    <w:p w14:paraId="7A294017" w14:textId="77777777" w:rsidR="00953151" w:rsidRPr="00244408" w:rsidRDefault="002503A3" w:rsidP="00244408">
      <w:r w:rsidRPr="00244408">
        <w:t xml:space="preserve">　　</w:t>
      </w:r>
      <w:r w:rsidR="00203F72" w:rsidRPr="00244408">
        <w:t>有關於憲法層次上正當法律程序之實際運用</w:t>
      </w:r>
      <w:r w:rsidR="00203F72" w:rsidRPr="00244408">
        <w:t>(The application of constitutional due process)</w:t>
      </w:r>
      <w:r w:rsidR="00203F72" w:rsidRPr="00244408">
        <w:t>，事實上及傳統上，正當法律程序被切割為兩個部分</w:t>
      </w:r>
      <w:r w:rsidR="00203F72" w:rsidRPr="00244408">
        <w:t>(is traditionally divided into the two categories)</w:t>
      </w:r>
      <w:r w:rsidR="00203F72" w:rsidRPr="00244408">
        <w:t>，第一個部分，係為「實質上正當法律程序」</w:t>
      </w:r>
      <w:r w:rsidR="00203F72" w:rsidRPr="00244408">
        <w:t>(Substantive Due Process)</w:t>
      </w:r>
      <w:r w:rsidR="00203F72" w:rsidRPr="00244408">
        <w:t>，此一部分，特別著重於法律本身之實質上正當性</w:t>
      </w:r>
      <w:r w:rsidR="00203F72" w:rsidRPr="00244408">
        <w:t>(</w:t>
      </w:r>
      <w:r w:rsidR="00203F72" w:rsidRPr="00244408">
        <w:t>法律實質正義</w:t>
      </w:r>
      <w:r w:rsidR="00203F72" w:rsidRPr="00244408">
        <w:t>)</w:t>
      </w:r>
      <w:r w:rsidR="00203F72" w:rsidRPr="00244408">
        <w:t>；第二個部分，係為「程序上正當法律程序」</w:t>
      </w:r>
      <w:r w:rsidR="00203F72" w:rsidRPr="00244408">
        <w:t>(procedural due process)</w:t>
      </w:r>
      <w:r w:rsidR="00203F72" w:rsidRPr="00244408">
        <w:t>，此一部分，特別著重於「法律程序上」之正當性</w:t>
      </w:r>
      <w:r w:rsidR="00203F72" w:rsidRPr="00244408">
        <w:t>(</w:t>
      </w:r>
      <w:r w:rsidR="00203F72" w:rsidRPr="00244408">
        <w:t>程序正義</w:t>
      </w:r>
      <w:r w:rsidR="00203F72" w:rsidRPr="00244408">
        <w:t>)</w:t>
      </w:r>
      <w:r w:rsidR="00203F72" w:rsidRPr="00244408">
        <w:t>。正當法律程序常被錯解為僅僅限於「程序上正當法律程序」，如此之解釋，並非完整，無法有效地、澈底地彰顯正當法律程序之本質與功能；完整且圓滿之闡釋，係為正當法律程序不僅限於「程序上正當法律程序」，尚且包括：「實質上正當法律程序」。當正當法律套裝程序含「實質上正當法律程序」時，更可突顯具有憲法層次之正當法律程序原則之重要性</w:t>
      </w:r>
      <w:r w:rsidR="00203F72" w:rsidRPr="00244408">
        <w:footnoteReference w:id="1063"/>
      </w:r>
      <w:r w:rsidR="00203F72" w:rsidRPr="00244408">
        <w:t>。</w:t>
      </w:r>
    </w:p>
    <w:p w14:paraId="1B8CAA8B" w14:textId="77777777" w:rsidR="00953151" w:rsidRPr="00244408" w:rsidRDefault="002503A3" w:rsidP="00244408">
      <w:r>
        <w:t xml:space="preserve">　　</w:t>
      </w:r>
      <w:r w:rsidR="00203F72" w:rsidRPr="00A53581">
        <w:t>為何會將憲法層次上正當法律程序作上述「實質上正當法律程序」及「程序上正當法律程序」之切割？其主要之法理為何？主要之法理，係為「實質上正當法律程序」</w:t>
      </w:r>
      <w:r w:rsidR="00203F72" w:rsidRPr="00A53581">
        <w:t>(Substantive Due Process)</w:t>
      </w:r>
      <w:r w:rsidR="00203F72" w:rsidRPr="00A53581">
        <w:t>及「程序上正當法律程序」，此兩者之範疇，係起源於兩種不同樣態法律之差異性</w:t>
      </w:r>
      <w:r w:rsidR="00203F72" w:rsidRPr="00A53581">
        <w:t>(These categories are derived from a distinction that is made between two types of law)</w:t>
      </w:r>
      <w:r w:rsidR="00203F72" w:rsidRPr="00A53581">
        <w:t>。此兩種不同樣態之法律形式，分別為：實質上及程序上之法律形式。實質上之法律形式，它創造、定義及規制人民之各種權利</w:t>
      </w:r>
      <w:r w:rsidR="00203F72" w:rsidRPr="00A53581">
        <w:t>(Substantive Law creates, defines, and regulates rights)</w:t>
      </w:r>
      <w:r w:rsidR="00203F72" w:rsidRPr="00A53581">
        <w:t>；而程序上之法律形式，它則確保落實履行上述人民之各種權利</w:t>
      </w:r>
      <w:r w:rsidR="00203F72" w:rsidRPr="00244408">
        <w:t>(whereas procedural law enforces those rights)</w:t>
      </w:r>
      <w:r w:rsidR="00203F72" w:rsidRPr="00244408">
        <w:t>，或者，當政府之施政行為，違反上述人民之各種權利時，尋求可補正、賠償之修補措施</w:t>
      </w:r>
      <w:r w:rsidR="00203F72" w:rsidRPr="00244408">
        <w:t xml:space="preserve">(or seeks redress for their violation) </w:t>
      </w:r>
      <w:r w:rsidR="00203F72" w:rsidRPr="00244408">
        <w:footnoteReference w:id="1064"/>
      </w:r>
      <w:r w:rsidR="00203F72" w:rsidRPr="00244408">
        <w:t>。</w:t>
      </w:r>
    </w:p>
    <w:p w14:paraId="7E775775" w14:textId="77777777" w:rsidR="00953151" w:rsidRPr="00244408" w:rsidRDefault="002503A3" w:rsidP="00244408">
      <w:r w:rsidRPr="00244408">
        <w:t xml:space="preserve">　　</w:t>
      </w:r>
      <w:r w:rsidR="00203F72" w:rsidRPr="00244408">
        <w:t>二、實質上正當法律程序」</w:t>
      </w:r>
      <w:r w:rsidR="00203F72" w:rsidRPr="00244408">
        <w:t>(Substantive Due Process)</w:t>
      </w:r>
      <w:r w:rsidR="00203F72" w:rsidRPr="00244408">
        <w:t>：</w:t>
      </w:r>
    </w:p>
    <w:p w14:paraId="43630FDA" w14:textId="77777777" w:rsidR="00953151" w:rsidRPr="00244408" w:rsidRDefault="002503A3" w:rsidP="00244408">
      <w:r w:rsidRPr="00244408">
        <w:t xml:space="preserve">　　</w:t>
      </w:r>
      <w:r w:rsidR="00203F72" w:rsidRPr="00244408">
        <w:t>所謂之「實質上正當法律程序」</w:t>
      </w:r>
      <w:r w:rsidR="00203F72" w:rsidRPr="00244408">
        <w:t>(Substantive Due Process)</w:t>
      </w:r>
      <w:r w:rsidR="00203F72" w:rsidRPr="00244408">
        <w:t>，它亦具有憲法上之保障位階功能</w:t>
      </w:r>
      <w:r w:rsidR="00203F72" w:rsidRPr="00244408">
        <w:t>(a constitutional guarantee)</w:t>
      </w:r>
      <w:r w:rsidR="00203F72" w:rsidRPr="00244408">
        <w:t>，亦即，站在憲法上之超高度，保障某項之法律，須未具有不正當性、不適切性</w:t>
      </w:r>
      <w:r w:rsidR="00203F72" w:rsidRPr="00244408">
        <w:t>(a law shall not be unreasonable)</w:t>
      </w:r>
      <w:r w:rsidR="00203F72" w:rsidRPr="00244408">
        <w:t>、武斷性、恣意性</w:t>
      </w:r>
      <w:r w:rsidR="00203F72" w:rsidRPr="00244408">
        <w:t>(Arbitrary)</w:t>
      </w:r>
      <w:r w:rsidR="00203F72" w:rsidRPr="00244408">
        <w:t>及善變性</w:t>
      </w:r>
      <w:r w:rsidR="00203F72" w:rsidRPr="00244408">
        <w:t>(capricious)</w:t>
      </w:r>
      <w:r w:rsidR="00203F72" w:rsidRPr="00244408">
        <w:t>。「正當法律程序」在憲法之保障規定</w:t>
      </w:r>
      <w:r w:rsidR="00203F72" w:rsidRPr="00244408">
        <w:t>(The constitutional guarantee of due process of law)</w:t>
      </w:r>
      <w:r w:rsidR="00203F72" w:rsidRPr="00244408">
        <w:t>，見諸於美國憲法第</w:t>
      </w:r>
      <w:r w:rsidR="00203F72" w:rsidRPr="00244408">
        <w:t>5</w:t>
      </w:r>
      <w:r w:rsidR="00203F72" w:rsidRPr="00244408">
        <w:t>條及第</w:t>
      </w:r>
      <w:r w:rsidR="00203F72" w:rsidRPr="00244408">
        <w:t>14</w:t>
      </w:r>
      <w:r w:rsidR="00203F72" w:rsidRPr="00244408">
        <w:t>條修正案</w:t>
      </w:r>
      <w:r w:rsidR="00203F72" w:rsidRPr="00244408">
        <w:t>(found in the Fifth and Fourteenth Amendments to the U.S. Constitution)</w:t>
      </w:r>
      <w:r w:rsidR="00203F72" w:rsidRPr="00244408">
        <w:t>，禁止美國所有層級之政府</w:t>
      </w:r>
      <w:r w:rsidR="00203F72" w:rsidRPr="00244408">
        <w:t>(prohibits all levels of government)</w:t>
      </w:r>
      <w:r w:rsidR="00203F72" w:rsidRPr="00244408">
        <w:t>，以武斷、恣意或不公平之方式</w:t>
      </w:r>
      <w:r w:rsidR="00203F72" w:rsidRPr="00244408">
        <w:t>(from arbitrarily or unfairly)</w:t>
      </w:r>
      <w:r w:rsidR="00203F72" w:rsidRPr="00244408">
        <w:t>，剝奪人民於憲法上所明文保障之基本權利</w:t>
      </w:r>
      <w:r w:rsidR="00203F72" w:rsidRPr="00244408">
        <w:t>(depriving individuals of their basic constitutional rights)</w:t>
      </w:r>
      <w:r w:rsidR="00203F72" w:rsidRPr="00244408">
        <w:t>，諸如：剝奪個人之生命權、自由權及財產權</w:t>
      </w:r>
      <w:r w:rsidR="00203F72" w:rsidRPr="00244408">
        <w:t>(life, liberty, and property)</w:t>
      </w:r>
      <w:r w:rsidR="00203F72" w:rsidRPr="00244408">
        <w:footnoteReference w:id="1065"/>
      </w:r>
      <w:r w:rsidR="00545D58" w:rsidRPr="00244408">
        <w:t>。</w:t>
      </w:r>
    </w:p>
    <w:p w14:paraId="4A63EAD9" w14:textId="77777777" w:rsidR="00953151" w:rsidRPr="00244408" w:rsidRDefault="002503A3" w:rsidP="00244408">
      <w:r w:rsidRPr="00244408">
        <w:t xml:space="preserve">　　</w:t>
      </w:r>
      <w:r w:rsidR="00203F72" w:rsidRPr="00244408">
        <w:t>美國憲法第</w:t>
      </w:r>
      <w:r w:rsidR="00203F72" w:rsidRPr="00244408">
        <w:t>5</w:t>
      </w:r>
      <w:r w:rsidR="00203F72" w:rsidRPr="00244408">
        <w:t>條修正案正當法律程序之條款</w:t>
      </w:r>
      <w:r w:rsidR="00203F72" w:rsidRPr="00244408">
        <w:t>(The due process clause of the Fifth Amendment)</w:t>
      </w:r>
      <w:r w:rsidR="00203F72" w:rsidRPr="00244408">
        <w:t>，於</w:t>
      </w:r>
      <w:r w:rsidR="00203F72" w:rsidRPr="00244408">
        <w:t>1791</w:t>
      </w:r>
      <w:r w:rsidR="00203F72" w:rsidRPr="00244408">
        <w:t>年被國會批准</w:t>
      </w:r>
      <w:r w:rsidR="00203F72" w:rsidRPr="00244408">
        <w:t>(ratified in 1791)</w:t>
      </w:r>
      <w:r w:rsidR="00203F72" w:rsidRPr="00244408">
        <w:t>，第</w:t>
      </w:r>
      <w:r w:rsidR="00203F72" w:rsidRPr="00244408">
        <w:t>5</w:t>
      </w:r>
      <w:r w:rsidR="00203F72" w:rsidRPr="00244408">
        <w:t>條修正案之內涵，乃指政府假若未透由正當法律程序</w:t>
      </w:r>
      <w:r w:rsidR="00203F72" w:rsidRPr="00244408">
        <w:t>(without due process of law)</w:t>
      </w:r>
      <w:r w:rsidR="00203F72" w:rsidRPr="00244408">
        <w:t>，禁止政府剝奪任何人之生命權、自由權及財產權</w:t>
      </w:r>
      <w:r w:rsidR="00203F72" w:rsidRPr="00244408">
        <w:t>(no person shall "be deprived of life, liberty, or property")</w:t>
      </w:r>
      <w:r w:rsidR="00203F72" w:rsidRPr="00244408">
        <w:t>。美國憲法第</w:t>
      </w:r>
      <w:r w:rsidR="00203F72" w:rsidRPr="00244408">
        <w:t>5</w:t>
      </w:r>
      <w:r w:rsidR="00203F72" w:rsidRPr="00244408">
        <w:t>條修正案正當法律程序之規定，限制</w:t>
      </w:r>
      <w:r w:rsidR="00203F72" w:rsidRPr="00244408">
        <w:t>(</w:t>
      </w:r>
      <w:r w:rsidR="00203F72" w:rsidRPr="00244408">
        <w:t>約束</w:t>
      </w:r>
      <w:r w:rsidR="00203F72" w:rsidRPr="00244408">
        <w:t>)</w:t>
      </w:r>
      <w:r w:rsidR="00203F72" w:rsidRPr="00244408">
        <w:t>美國聯邦政府之權力</w:t>
      </w:r>
      <w:r w:rsidR="00203F72" w:rsidRPr="00244408">
        <w:t>(This amendment restricts the powers of the federal government)</w:t>
      </w:r>
      <w:r w:rsidR="00203F72" w:rsidRPr="00244408">
        <w:t>，且美國聯邦政府僅得依照此項之憲法誡命，加以行事</w:t>
      </w:r>
      <w:r w:rsidR="00203F72" w:rsidRPr="00244408">
        <w:t>(applies only to actions by it)</w:t>
      </w:r>
      <w:r w:rsidR="00203F72" w:rsidRPr="00244408">
        <w:footnoteReference w:id="1066"/>
      </w:r>
      <w:r w:rsidR="00203F72" w:rsidRPr="00244408">
        <w:t>。</w:t>
      </w:r>
    </w:p>
    <w:p w14:paraId="763559B3" w14:textId="77777777" w:rsidR="00953151" w:rsidRPr="00244408" w:rsidRDefault="002503A3" w:rsidP="00244408">
      <w:r w:rsidRPr="00244408">
        <w:t xml:space="preserve">　　</w:t>
      </w:r>
      <w:r w:rsidR="00203F72" w:rsidRPr="00244408">
        <w:t>就「正當法律程序」中之「實質上正當法律程序」</w:t>
      </w:r>
      <w:r w:rsidR="00203F72" w:rsidRPr="00244408">
        <w:t>(Substantive Due Process)</w:t>
      </w:r>
      <w:r w:rsidR="00203F72" w:rsidRPr="00244408">
        <w:t>而論，本項之原則，在其演進之歷史上，在原始之起源方面，它即具有憲法上之根本性法理之崇高地位</w:t>
      </w:r>
      <w:r w:rsidR="00203F72" w:rsidRPr="00244408">
        <w:t>("Substantive Due Process" is the fundamental constitutional legal theory)</w:t>
      </w:r>
      <w:r w:rsidR="00203F72" w:rsidRPr="00244408">
        <w:t>；最初，人民主張擁有隱私權之法理，即植基於「實質上正當法律程序」</w:t>
      </w:r>
      <w:r w:rsidR="00203F72" w:rsidRPr="00244408">
        <w:t>(privacy right is based)</w:t>
      </w:r>
      <w:r w:rsidR="00203F72" w:rsidRPr="00244408">
        <w:t>之角度。站在「實質上正當法律程序」定律之觀點，它主張「正當法律條款」之實際內容，它不僅包括程序上之適當性、正當性</w:t>
      </w:r>
      <w:r w:rsidR="00203F72" w:rsidRPr="00244408">
        <w:t>(The doctrine of Substantive Due Process holds that the Due Process Clause not only requires "due process,")</w:t>
      </w:r>
      <w:r w:rsidR="00203F72" w:rsidRPr="00244408">
        <w:t>，亦即，不限定於程序上基本權利</w:t>
      </w:r>
      <w:r w:rsidR="00203F72" w:rsidRPr="00244408">
        <w:t>(basic procedural rights)</w:t>
      </w:r>
      <w:r w:rsidR="00203F72" w:rsidRPr="00244408">
        <w:t>之保衛；進一步言，「正當法律條款」尚且包括「實質上正當法律程序」</w:t>
      </w:r>
      <w:r w:rsidR="00203F72" w:rsidRPr="00244408">
        <w:footnoteReference w:id="1067"/>
      </w:r>
      <w:r w:rsidR="00203F72" w:rsidRPr="00244408">
        <w:t>。</w:t>
      </w:r>
    </w:p>
    <w:p w14:paraId="77BF242E" w14:textId="77777777" w:rsidR="00953151" w:rsidRPr="00244408" w:rsidRDefault="002503A3" w:rsidP="00244408">
      <w:r w:rsidRPr="00244408">
        <w:t xml:space="preserve">　　</w:t>
      </w:r>
      <w:r w:rsidR="00203F72" w:rsidRPr="00244408">
        <w:t>「正當法律程序」中之「實質上正當法律程序」之原則，亦保障實質上之基本權利</w:t>
      </w:r>
      <w:r w:rsidR="00203F72" w:rsidRPr="00244408">
        <w:t>(it also protects basic substantive rights)</w:t>
      </w:r>
      <w:r w:rsidR="00203F72" w:rsidRPr="00244408">
        <w:t>。何謂實質上之基本權利，它乃指人民普遍所應享有之一般化權利</w:t>
      </w:r>
      <w:r w:rsidR="00203F72" w:rsidRPr="00244408">
        <w:t>("Substantive" rights are those general rights that reserve to the individual)</w:t>
      </w:r>
      <w:r w:rsidR="00203F72" w:rsidRPr="00244408">
        <w:t>；實質上之基本權利，它令個人有權力享有某項權利</w:t>
      </w:r>
      <w:r w:rsidR="00203F72" w:rsidRPr="00244408">
        <w:t>(the power to possess)</w:t>
      </w:r>
      <w:r w:rsidR="00203F72" w:rsidRPr="00244408">
        <w:t>，或個人有權利從事某種之行為</w:t>
      </w:r>
      <w:r w:rsidR="00203F72" w:rsidRPr="00244408">
        <w:t>(or to do certain things)</w:t>
      </w:r>
      <w:r w:rsidR="00203F72" w:rsidRPr="00244408">
        <w:t>，儘管政府嘗試限制或剝奪上述人民普遍享有之一般化權利</w:t>
      </w:r>
      <w:r w:rsidR="00203F72" w:rsidRPr="00244408">
        <w:t>(despite the government’s desire to the contrary)</w:t>
      </w:r>
      <w:r w:rsidR="00203F72" w:rsidRPr="00244408">
        <w:t>。上述之一般化權利，包括：個人之言論及宗教自由</w:t>
      </w:r>
      <w:r w:rsidR="00203F72" w:rsidRPr="00244408">
        <w:t xml:space="preserve">(These are rights like freedom of speech and religion) </w:t>
      </w:r>
      <w:r w:rsidR="00203F72" w:rsidRPr="00244408">
        <w:footnoteReference w:id="1068"/>
      </w:r>
      <w:r w:rsidR="00203F72" w:rsidRPr="00244408">
        <w:t>。</w:t>
      </w:r>
    </w:p>
    <w:p w14:paraId="7ADBF829" w14:textId="77777777" w:rsidR="00203F72" w:rsidRPr="00244408" w:rsidRDefault="002503A3" w:rsidP="00244408">
      <w:r w:rsidRPr="00244408">
        <w:t xml:space="preserve">　　</w:t>
      </w:r>
      <w:r w:rsidR="00203F72" w:rsidRPr="00244408">
        <w:t>就「實質上正當法律程序」</w:t>
      </w:r>
      <w:r w:rsidR="00203F72" w:rsidRPr="00244408">
        <w:t>(Substantive Due Process)</w:t>
      </w:r>
      <w:r w:rsidR="00203F72" w:rsidRPr="00244408">
        <w:t>而論，在美國方面，它牽涉之權利，包括：人民之言論自由及隱私權</w:t>
      </w:r>
      <w:r w:rsidR="00203F72" w:rsidRPr="00244408">
        <w:t>(substantive due process is concerned with such issues as Freedom of Speech and privacy)</w:t>
      </w:r>
      <w:r w:rsidR="00203F72" w:rsidRPr="00244408">
        <w:t>。在「實質上正當法律程序」之實際運用上，並不限制於言論自由及隱私權。</w:t>
      </w:r>
    </w:p>
    <w:p w14:paraId="63CC3C0C" w14:textId="77777777" w:rsidR="002503A3" w:rsidRPr="00244408" w:rsidRDefault="002503A3" w:rsidP="00244408">
      <w:r w:rsidRPr="00244408">
        <w:rPr>
          <w:rFonts w:hint="eastAsia"/>
        </w:rPr>
        <w:t xml:space="preserve">　　綜上，「實質上正當法律程序」</w:t>
      </w:r>
      <w:r w:rsidRPr="00244408">
        <w:rPr>
          <w:rFonts w:hint="eastAsia"/>
        </w:rPr>
        <w:t>(Substantive Due Process)</w:t>
      </w:r>
      <w:r w:rsidRPr="00244408">
        <w:rPr>
          <w:rFonts w:hint="eastAsia"/>
        </w:rPr>
        <w:t>之意涵，具有以下之特色：</w:t>
      </w:r>
    </w:p>
    <w:p w14:paraId="2D287BA4" w14:textId="77777777" w:rsidR="002503A3" w:rsidRPr="00244408" w:rsidRDefault="002503A3" w:rsidP="00244408">
      <w:r w:rsidRPr="00244408">
        <w:rPr>
          <w:rFonts w:hint="eastAsia"/>
        </w:rPr>
        <w:t xml:space="preserve">　　</w:t>
      </w:r>
      <w:r w:rsidRPr="00244408">
        <w:rPr>
          <w:rFonts w:hint="eastAsia"/>
        </w:rPr>
        <w:t>1.</w:t>
      </w:r>
      <w:r w:rsidRPr="00244408">
        <w:rPr>
          <w:rFonts w:hint="eastAsia"/>
        </w:rPr>
        <w:t>「實質上正當法律程序」它具有憲法上之保障位階功能</w:t>
      </w:r>
      <w:r w:rsidRPr="00244408">
        <w:rPr>
          <w:rFonts w:hint="eastAsia"/>
        </w:rPr>
        <w:t>(a constitutional guarantee)</w:t>
      </w:r>
      <w:r w:rsidRPr="00244408">
        <w:rPr>
          <w:rFonts w:hint="eastAsia"/>
        </w:rPr>
        <w:t>；本項之原則，它即具有憲法上之根本性法理之崇高地位；</w:t>
      </w:r>
    </w:p>
    <w:p w14:paraId="051C0FE8" w14:textId="77777777" w:rsidR="002503A3" w:rsidRPr="00244408" w:rsidRDefault="002503A3" w:rsidP="00244408">
      <w:r w:rsidRPr="00244408">
        <w:rPr>
          <w:rFonts w:hint="eastAsia"/>
        </w:rPr>
        <w:t xml:space="preserve">　　</w:t>
      </w:r>
      <w:r w:rsidRPr="00244408">
        <w:rPr>
          <w:rFonts w:hint="eastAsia"/>
        </w:rPr>
        <w:t>2.</w:t>
      </w:r>
      <w:r w:rsidRPr="00244408">
        <w:rPr>
          <w:rFonts w:hint="eastAsia"/>
        </w:rPr>
        <w:t>「實質上正當法律程序」站在憲法上之超高度，保障某項之法律，須未具有不正當性、不適切性</w:t>
      </w:r>
      <w:r w:rsidRPr="00244408">
        <w:rPr>
          <w:rFonts w:hint="eastAsia"/>
        </w:rPr>
        <w:t>(a law shall not be unreasonable)</w:t>
      </w:r>
      <w:r w:rsidRPr="00244408">
        <w:rPr>
          <w:rFonts w:hint="eastAsia"/>
        </w:rPr>
        <w:t>、武斷性、恣意性</w:t>
      </w:r>
      <w:r w:rsidRPr="00244408">
        <w:rPr>
          <w:rFonts w:hint="eastAsia"/>
        </w:rPr>
        <w:t>(Arbitrary)</w:t>
      </w:r>
      <w:r w:rsidRPr="00244408">
        <w:rPr>
          <w:rFonts w:hint="eastAsia"/>
        </w:rPr>
        <w:t>及善變性</w:t>
      </w:r>
      <w:r w:rsidRPr="00244408">
        <w:rPr>
          <w:rFonts w:hint="eastAsia"/>
        </w:rPr>
        <w:t>(capricious)</w:t>
      </w:r>
      <w:r w:rsidRPr="00244408">
        <w:rPr>
          <w:rFonts w:hint="eastAsia"/>
        </w:rPr>
        <w:t>；</w:t>
      </w:r>
    </w:p>
    <w:p w14:paraId="209AFC25" w14:textId="77777777" w:rsidR="002503A3" w:rsidRPr="00244408" w:rsidRDefault="002503A3" w:rsidP="00244408">
      <w:r w:rsidRPr="00244408">
        <w:rPr>
          <w:rFonts w:hint="eastAsia"/>
        </w:rPr>
        <w:t xml:space="preserve">　　</w:t>
      </w:r>
      <w:r w:rsidRPr="00244408">
        <w:rPr>
          <w:rFonts w:hint="eastAsia"/>
        </w:rPr>
        <w:t>3.</w:t>
      </w:r>
      <w:r w:rsidRPr="00244408">
        <w:rPr>
          <w:rFonts w:hint="eastAsia"/>
        </w:rPr>
        <w:t>美國憲法第</w:t>
      </w:r>
      <w:r w:rsidRPr="00244408">
        <w:rPr>
          <w:rFonts w:hint="eastAsia"/>
        </w:rPr>
        <w:t>5</w:t>
      </w:r>
      <w:r w:rsidRPr="00244408">
        <w:rPr>
          <w:rFonts w:hint="eastAsia"/>
        </w:rPr>
        <w:t>條及第</w:t>
      </w:r>
      <w:r w:rsidRPr="00244408">
        <w:rPr>
          <w:rFonts w:hint="eastAsia"/>
        </w:rPr>
        <w:t>14</w:t>
      </w:r>
      <w:r w:rsidRPr="00244408">
        <w:rPr>
          <w:rFonts w:hint="eastAsia"/>
        </w:rPr>
        <w:t>條修正案將「正當法律程序」入憲化；</w:t>
      </w:r>
    </w:p>
    <w:p w14:paraId="74C7C824" w14:textId="77777777" w:rsidR="002503A3" w:rsidRPr="00244408" w:rsidRDefault="002503A3" w:rsidP="00244408">
      <w:r w:rsidRPr="00244408">
        <w:rPr>
          <w:rFonts w:hint="eastAsia"/>
        </w:rPr>
        <w:t xml:space="preserve">　　</w:t>
      </w:r>
      <w:r w:rsidRPr="00244408">
        <w:rPr>
          <w:rFonts w:hint="eastAsia"/>
        </w:rPr>
        <w:t>4.</w:t>
      </w:r>
      <w:r w:rsidRPr="00244408">
        <w:rPr>
          <w:rFonts w:hint="eastAsia"/>
        </w:rPr>
        <w:t>「實質上正當法律程序」之內容，被「正當法律條款」所涵蓋，亦即，「正當法律條款」為上位概念，「實質上正當法律程序」為其下位概念；</w:t>
      </w:r>
    </w:p>
    <w:p w14:paraId="2F560FD4" w14:textId="77777777" w:rsidR="002503A3" w:rsidRPr="00244408" w:rsidRDefault="002503A3" w:rsidP="00244408">
      <w:r w:rsidRPr="00244408">
        <w:rPr>
          <w:rFonts w:hint="eastAsia"/>
        </w:rPr>
        <w:t xml:space="preserve">　　</w:t>
      </w:r>
      <w:r w:rsidRPr="00244408">
        <w:rPr>
          <w:rFonts w:hint="eastAsia"/>
        </w:rPr>
        <w:t>5.</w:t>
      </w:r>
      <w:r w:rsidRPr="00244408">
        <w:rPr>
          <w:rFonts w:hint="eastAsia"/>
        </w:rPr>
        <w:t>「實質上正當法律程序」之原則保障人民實質上之基本權利</w:t>
      </w:r>
      <w:r w:rsidRPr="00244408">
        <w:rPr>
          <w:rFonts w:hint="eastAsia"/>
        </w:rPr>
        <w:t>(it also protects basic substantive rights)</w:t>
      </w:r>
      <w:r w:rsidRPr="00244408">
        <w:rPr>
          <w:rFonts w:hint="eastAsia"/>
        </w:rPr>
        <w:t>；所謂實質上之基本權利，它乃指人民普遍所應享有之一般化權利；</w:t>
      </w:r>
    </w:p>
    <w:p w14:paraId="13AA1082" w14:textId="77777777" w:rsidR="00203F72" w:rsidRPr="00244408" w:rsidRDefault="002503A3" w:rsidP="00244408">
      <w:r w:rsidRPr="00244408">
        <w:rPr>
          <w:rFonts w:hint="eastAsia"/>
        </w:rPr>
        <w:t xml:space="preserve">　　</w:t>
      </w:r>
      <w:r w:rsidRPr="00244408">
        <w:rPr>
          <w:rFonts w:hint="eastAsia"/>
        </w:rPr>
        <w:t>6.</w:t>
      </w:r>
      <w:r w:rsidRPr="00244408">
        <w:rPr>
          <w:rFonts w:hint="eastAsia"/>
        </w:rPr>
        <w:t>於憲法上，人民普遍所應享有之一般化權利，均全部受到「實質上正當法律程序」之保障；在「實質上正當法律程序」之實際運用上，並不限制於僅保障言論自由、生命權、財產權及隱私權。</w:t>
      </w:r>
    </w:p>
    <w:p w14:paraId="7E48128E" w14:textId="77777777" w:rsidR="00953151" w:rsidRPr="00244408" w:rsidRDefault="002503A3" w:rsidP="00244408">
      <w:r w:rsidRPr="00244408">
        <w:t xml:space="preserve">　　</w:t>
      </w:r>
      <w:r w:rsidR="00203F72" w:rsidRPr="00244408">
        <w:t>三、「程序上正當法律程序」</w:t>
      </w:r>
      <w:r w:rsidR="00203F72" w:rsidRPr="00244408">
        <w:t>(procedural due process)</w:t>
      </w:r>
    </w:p>
    <w:p w14:paraId="2DFCCECB" w14:textId="77777777" w:rsidR="00953151" w:rsidRPr="00244408" w:rsidRDefault="002503A3" w:rsidP="00244408">
      <w:r w:rsidRPr="00244408">
        <w:t xml:space="preserve">　　</w:t>
      </w:r>
      <w:r w:rsidR="00203F72" w:rsidRPr="00244408">
        <w:t>假若，從保障法律「程序上之正義」角度出發，「正當法律程序」確保以下之相關事項：</w:t>
      </w:r>
      <w:r w:rsidR="00203F72" w:rsidRPr="00244408">
        <w:t>1</w:t>
      </w:r>
      <w:r w:rsidR="00203F72" w:rsidRPr="00244408">
        <w:t>、所有之法律程序，必須是公正、公平</w:t>
      </w:r>
      <w:r w:rsidR="00203F72" w:rsidRPr="00244408">
        <w:t>(all legal proceedings will be fair)</w:t>
      </w:r>
      <w:r w:rsidR="00203F72" w:rsidRPr="00244408">
        <w:t>；</w:t>
      </w:r>
      <w:r w:rsidR="00203F72" w:rsidRPr="00244408">
        <w:t>2</w:t>
      </w:r>
      <w:r w:rsidR="00203F72" w:rsidRPr="00244408">
        <w:t>、在國家決定剝奪個人之生命權、自由權及財產權之前</w:t>
      </w:r>
      <w:r w:rsidR="00203F72" w:rsidRPr="00244408">
        <w:t>(before the government acts to take away one's life, liberty, or property)</w:t>
      </w:r>
      <w:r w:rsidR="00203F72" w:rsidRPr="00244408">
        <w:t>，須給予當事人法律程序上之通知</w:t>
      </w:r>
      <w:r w:rsidR="00203F72" w:rsidRPr="00244408">
        <w:t>(</w:t>
      </w:r>
      <w:r w:rsidR="00203F72" w:rsidRPr="00244408">
        <w:t>告</w:t>
      </w:r>
      <w:r w:rsidR="00203F72" w:rsidRPr="00244408">
        <w:t>) (one will be given notice of the proceedings)</w:t>
      </w:r>
      <w:r w:rsidR="00203F72" w:rsidRPr="00244408">
        <w:t>，且提供當事人親自聽審</w:t>
      </w:r>
      <w:r w:rsidR="00203F72" w:rsidRPr="00244408">
        <w:t>(</w:t>
      </w:r>
      <w:r w:rsidR="00203F72" w:rsidRPr="00244408">
        <w:t>親自出席</w:t>
      </w:r>
      <w:r w:rsidR="00203F72" w:rsidRPr="00244408">
        <w:t>)</w:t>
      </w:r>
      <w:r w:rsidR="00203F72" w:rsidRPr="00244408">
        <w:t>之機會</w:t>
      </w:r>
      <w:r w:rsidR="00203F72" w:rsidRPr="00244408">
        <w:t>(an opportunity to be heard)</w:t>
      </w:r>
      <w:r w:rsidR="00203F72" w:rsidRPr="00244408">
        <w:footnoteReference w:id="1069"/>
      </w:r>
      <w:r w:rsidR="00203F72" w:rsidRPr="00244408">
        <w:t>。</w:t>
      </w:r>
    </w:p>
    <w:p w14:paraId="5696094D" w14:textId="77777777" w:rsidR="00953151" w:rsidRPr="00244408" w:rsidRDefault="002503A3" w:rsidP="00244408">
      <w:r w:rsidRPr="00244408">
        <w:t xml:space="preserve">　　</w:t>
      </w:r>
      <w:r w:rsidR="00203F72" w:rsidRPr="00244408">
        <w:t>從「程序上正當法律程序」</w:t>
      </w:r>
      <w:r w:rsidR="00203F72" w:rsidRPr="00244408">
        <w:t>(whereas procedural due process)</w:t>
      </w:r>
      <w:r w:rsidR="00203F72" w:rsidRPr="00244408">
        <w:t>觀點出發，它所涉及之層面，則為在法律訴訟案中，法律應設計及提供如何保障當事人適切之被告知權利機制</w:t>
      </w:r>
      <w:r w:rsidR="00203F72" w:rsidRPr="00244408">
        <w:t>(is concerned with provisions such as the right to adequate notice of a lawsuit)</w:t>
      </w:r>
      <w:r w:rsidR="00203F72" w:rsidRPr="00244408">
        <w:t>；在行政聽證之程序中，法律應提供當事人有親自出席聽審之權利</w:t>
      </w:r>
      <w:r w:rsidR="00203F72" w:rsidRPr="00244408">
        <w:t>(the right to be present during testimony)</w:t>
      </w:r>
      <w:r w:rsidR="00203F72" w:rsidRPr="00244408">
        <w:t>，及當事人有聘請辯護人</w:t>
      </w:r>
      <w:r w:rsidR="00203F72" w:rsidRPr="00244408">
        <w:t>(</w:t>
      </w:r>
      <w:r w:rsidR="00203F72" w:rsidRPr="00244408">
        <w:t>律師</w:t>
      </w:r>
      <w:r w:rsidR="00203F72" w:rsidRPr="00244408">
        <w:t>)</w:t>
      </w:r>
      <w:r w:rsidR="00203F72" w:rsidRPr="00244408">
        <w:t>之權利</w:t>
      </w:r>
      <w:r w:rsidR="00203F72" w:rsidRPr="00244408">
        <w:t>(the right to an attorney)</w:t>
      </w:r>
      <w:r w:rsidR="00203F72" w:rsidRPr="00244408">
        <w:footnoteReference w:id="1070"/>
      </w:r>
      <w:r w:rsidR="00203F72" w:rsidRPr="00244408">
        <w:t>。</w:t>
      </w:r>
    </w:p>
    <w:p w14:paraId="54EFBAB8" w14:textId="77777777" w:rsidR="00953151" w:rsidRPr="00244408" w:rsidRDefault="002503A3" w:rsidP="00244408">
      <w:r w:rsidRPr="00244408">
        <w:t xml:space="preserve">　　</w:t>
      </w:r>
      <w:r w:rsidR="00203F72" w:rsidRPr="00244408">
        <w:t>「正當法律程序」原則在程序權利之面向上，它是屬於一種頗為特殊化之權利</w:t>
      </w:r>
      <w:r w:rsidR="00203F72" w:rsidRPr="00244408">
        <w:t>("Procedural" rights are special rights)</w:t>
      </w:r>
      <w:r w:rsidR="00203F72" w:rsidRPr="00244408">
        <w:t>，當政府取得法律之授權下</w:t>
      </w:r>
      <w:r w:rsidR="00203F72" w:rsidRPr="00244408">
        <w:t>(when the law otherwise gives them the power to do so)</w:t>
      </w:r>
      <w:r w:rsidR="00203F72" w:rsidRPr="00244408">
        <w:t>，可依照法律授權之相關規定，剝奪人民之自由權、財產權或生命權</w:t>
      </w:r>
      <w:r w:rsidR="00203F72" w:rsidRPr="00244408">
        <w:t xml:space="preserve">(dictate how the government can lawfully go about taking away a person’s freedom or property or life) </w:t>
      </w:r>
      <w:r w:rsidR="00203F72" w:rsidRPr="00244408">
        <w:footnoteReference w:id="1071"/>
      </w:r>
      <w:r w:rsidR="00203F72" w:rsidRPr="00244408">
        <w:t>。</w:t>
      </w:r>
    </w:p>
    <w:p w14:paraId="0BDB0654" w14:textId="77777777" w:rsidR="00953151" w:rsidRPr="00244408" w:rsidRDefault="005E23E3" w:rsidP="00244408">
      <w:r w:rsidRPr="00244408">
        <w:t xml:space="preserve">　　</w:t>
      </w:r>
      <w:r w:rsidR="00203F72" w:rsidRPr="00244408">
        <w:t>四、我國憲法與正當法律程序原則</w:t>
      </w:r>
      <w:r w:rsidR="00203F72" w:rsidRPr="00244408">
        <w:t>(due process of law)</w:t>
      </w:r>
    </w:p>
    <w:p w14:paraId="6C8E840D" w14:textId="77777777" w:rsidR="00953151" w:rsidRDefault="005E23E3" w:rsidP="00244408">
      <w:r w:rsidRPr="00244408">
        <w:t xml:space="preserve">　　</w:t>
      </w:r>
      <w:r w:rsidR="00203F72" w:rsidRPr="00244408">
        <w:t>就我國而言，在正當法律程序原則可拘束之範圍方面，首先，就行政、立法與司法權而言，理論上，行政權應「依法行政」、司法權應「依法審判」，及立法權應「依法立法」</w:t>
      </w:r>
      <w:r w:rsidR="00203F72" w:rsidRPr="00244408">
        <w:footnoteReference w:id="1072"/>
      </w:r>
      <w:r w:rsidR="00203F72" w:rsidRPr="00244408">
        <w:t>，故正當法律程序原則可拘束行政、立法與司法權。此外，就考試行政及監察權之行使而論，考試院應「依法行使考試行政權」，監察權應「依法監察」，故正當法律程序原則應亦可拘束考試行政及監察權。綜上，我國宜站在憲法之高度，明訂政府行政權、</w:t>
      </w:r>
      <w:r w:rsidR="00203F72" w:rsidRPr="00A53581">
        <w:t>立法權、司法權、考試行政權及監察權之行使，應遵守正當法律程序原則</w:t>
      </w:r>
      <w:r w:rsidR="00203F72" w:rsidRPr="00A53581">
        <w:t>(due process of law)(</w:t>
      </w:r>
      <w:r w:rsidR="00203F72" w:rsidRPr="00A53581">
        <w:t>包括：實質性及程序性</w:t>
      </w:r>
      <w:r w:rsidR="00203F72" w:rsidRPr="00A53581">
        <w:t>)</w:t>
      </w:r>
      <w:r w:rsidR="00203F72" w:rsidRPr="00A53581">
        <w:t>，以有效地保障人民之權利。</w:t>
      </w:r>
    </w:p>
    <w:p w14:paraId="326CE820" w14:textId="77777777" w:rsidR="00145751" w:rsidRDefault="00145751" w:rsidP="00244408">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1711E1C7" w14:textId="77777777" w:rsidR="00145751" w:rsidRDefault="00145751" w:rsidP="00D87D91"/>
    <w:p w14:paraId="240F5414" w14:textId="77777777" w:rsidR="00953151" w:rsidRDefault="00203F72" w:rsidP="00767F37">
      <w:pPr>
        <w:pStyle w:val="2"/>
      </w:pPr>
      <w:bookmarkStart w:id="140" w:name="_拾柒、賦予並保障外來人口出入國、居留、遷徙自由、選擇住所自由及不遭受違"/>
      <w:bookmarkEnd w:id="140"/>
      <w:r w:rsidRPr="00A53581">
        <w:t>拾柒、賦予並保障外來人口出入國、居留、遷徙自由、選擇住所自由及不遭受違法驅逐出國之權利</w:t>
      </w:r>
    </w:p>
    <w:p w14:paraId="7B19535C" w14:textId="77777777" w:rsidR="00953151" w:rsidRPr="00244408" w:rsidRDefault="005E23E3" w:rsidP="00244408">
      <w:r w:rsidRPr="00244408">
        <w:t xml:space="preserve">　　</w:t>
      </w:r>
      <w:r w:rsidR="00203F72" w:rsidRPr="00244408">
        <w:t>比照芬蘭憲法第</w:t>
      </w:r>
      <w:r w:rsidR="00203F72" w:rsidRPr="00244408">
        <w:t>9</w:t>
      </w:r>
      <w:r w:rsidR="00203F72" w:rsidRPr="00244408">
        <w:t>條之立法例</w:t>
      </w:r>
      <w:r w:rsidR="00203F72" w:rsidRPr="00244408">
        <w:footnoteReference w:id="1073"/>
      </w:r>
      <w:r w:rsidR="00203F72" w:rsidRPr="00244408">
        <w:t>，憲法宜賦予外來人口擁有入國權</w:t>
      </w:r>
      <w:r w:rsidR="00203F72" w:rsidRPr="00244408">
        <w:t>(The right of foreigners to enter Finland)</w:t>
      </w:r>
      <w:r w:rsidR="00203F72" w:rsidRPr="00244408">
        <w:t>、居留權</w:t>
      </w:r>
      <w:r w:rsidR="00203F72" w:rsidRPr="00244408">
        <w:t>(to remain in the country)</w:t>
      </w:r>
      <w:r w:rsidR="00203F72" w:rsidRPr="00244408">
        <w:t>、遷徙自由權</w:t>
      </w:r>
      <w:r w:rsidR="00203F72" w:rsidRPr="00244408">
        <w:t>(foreigners legally resident in Finland have the right to freely move within the country)</w:t>
      </w:r>
      <w:r w:rsidR="00203F72" w:rsidRPr="00244408">
        <w:t>、選擇住所自由</w:t>
      </w:r>
      <w:r w:rsidR="00203F72" w:rsidRPr="00244408">
        <w:t>( choose their place of residence)</w:t>
      </w:r>
      <w:r w:rsidR="00203F72" w:rsidRPr="00244408">
        <w:t>，及不遭受驅逐出國至會受到生命威脅、酷刑、違反人性尊嚴</w:t>
      </w:r>
      <w:r w:rsidR="00203F72" w:rsidRPr="00244408">
        <w:t>(violating human dignity)</w:t>
      </w:r>
      <w:r w:rsidR="00203F72" w:rsidRPr="00244408">
        <w:t>之國家。</w:t>
      </w:r>
    </w:p>
    <w:p w14:paraId="159FF74C" w14:textId="77777777" w:rsidR="00145751" w:rsidRDefault="00145751" w:rsidP="00244408">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34DED04A" w14:textId="77777777" w:rsidR="00145751" w:rsidRDefault="00145751" w:rsidP="00D87D91"/>
    <w:p w14:paraId="62E96AC4" w14:textId="77777777" w:rsidR="00953151" w:rsidRDefault="00203F72" w:rsidP="00767F37">
      <w:pPr>
        <w:pStyle w:val="2"/>
      </w:pPr>
      <w:bookmarkStart w:id="141" w:name="_拾捌、站在憲法之高度與位階，積極保障人類胎兒之生命權及生存權"/>
      <w:bookmarkEnd w:id="141"/>
      <w:r w:rsidRPr="00A53581">
        <w:t>拾捌、站在憲法之高度與位階，積極保障人類胎兒之生命權及生存權</w:t>
      </w:r>
      <w:r w:rsidRPr="00A53581">
        <w:t xml:space="preserve"> </w:t>
      </w:r>
    </w:p>
    <w:p w14:paraId="2FB1D0C6" w14:textId="77777777" w:rsidR="00203F72" w:rsidRPr="00A53581" w:rsidRDefault="005E23E3" w:rsidP="00D87D91">
      <w:r>
        <w:t xml:space="preserve">　　</w:t>
      </w:r>
      <w:r w:rsidR="00203F72" w:rsidRPr="00A53581">
        <w:t>依據宗教之觀點，人類胎兒係具有無上尊嚴之生命權及生存權。玆以佛教為例，以下之相關經典，均涉及胎兒之生命權及生存權之議題：</w:t>
      </w:r>
    </w:p>
    <w:p w14:paraId="53A3012A" w14:textId="77777777" w:rsidR="00203F72" w:rsidRPr="00A53581" w:rsidRDefault="005E23E3" w:rsidP="00D87D91">
      <w:r>
        <w:t xml:space="preserve">　　</w:t>
      </w:r>
      <w:r w:rsidR="00203F72" w:rsidRPr="00A53581">
        <w:t>一、《彌沙塞部和醯五分律》：「若比丘，若人、若似人，若自殺、若與刀藥殺、若教人殺、若教自殺、譽死、讚死：咄！人！用惡活為？死勝生！作是心，隨心殺，如是種種因緣，彼因是死。是比丘得波羅夷不共住。入母胎已後至四十九日名為似人，過此已後盡名為人。」</w:t>
      </w:r>
      <w:r w:rsidR="00203F72" w:rsidRPr="00A53581">
        <w:t xml:space="preserve"> </w:t>
      </w:r>
    </w:p>
    <w:p w14:paraId="2F707BCE" w14:textId="77777777" w:rsidR="00203F72" w:rsidRPr="00A53581" w:rsidRDefault="005E23E3" w:rsidP="00D87D91">
      <w:r>
        <w:t xml:space="preserve">　　</w:t>
      </w:r>
      <w:r w:rsidR="00203F72" w:rsidRPr="00A53581">
        <w:t>二、《解深密經》＜心意識相品＞：「於六趣生死彼彼有情，墮彼彼有情眾中，或在卵生、或在胎生、或在濕生、或在化生，身分生起。於中最初，一切種子心識成熟，展轉和合，增長廣大。」</w:t>
      </w:r>
    </w:p>
    <w:p w14:paraId="094A559F" w14:textId="77777777" w:rsidR="00203F72" w:rsidRPr="00A53581" w:rsidRDefault="005E23E3" w:rsidP="00D87D91">
      <w:r>
        <w:t xml:space="preserve">　　</w:t>
      </w:r>
      <w:r w:rsidR="00203F72" w:rsidRPr="00A53581">
        <w:t>三、《大寶積經》＜佛說入胎藏會＞：「應知受生名羯羅藍，父精母血非是餘物。由父母精血和合因緣，為識所緣，依止而住。譬如依酪瓶鑽人功，動轉不已，得有酥出。異此不生，當知父母不淨精血、羯羅藍身亦復如是」。</w:t>
      </w:r>
    </w:p>
    <w:p w14:paraId="03C368B1" w14:textId="77777777" w:rsidR="00953151" w:rsidRDefault="005E23E3" w:rsidP="00D87D91">
      <w:r>
        <w:rPr>
          <w:lang w:bidi="bn-IN"/>
        </w:rPr>
        <w:t xml:space="preserve">　　</w:t>
      </w:r>
      <w:r w:rsidR="00203F72" w:rsidRPr="00A53581">
        <w:rPr>
          <w:lang w:bidi="bn-IN"/>
        </w:rPr>
        <w:t>四、</w:t>
      </w:r>
      <w:r w:rsidR="00203F72" w:rsidRPr="00A53581">
        <w:t>《</w:t>
      </w:r>
      <w:r w:rsidR="00203F72" w:rsidRPr="00A53581">
        <w:rPr>
          <w:lang w:bidi="bn-IN"/>
        </w:rPr>
        <w:t>四分律》有關「人之狀態」，乃指：「人者從初識至後識，而斷其命。初識即是創入胎識，後識即是命終時識。」</w:t>
      </w:r>
      <w:r w:rsidR="00193290" w:rsidRPr="0065661E">
        <w:rPr>
          <w:rFonts w:hint="eastAsia"/>
          <w:color w:val="FFFFFF" w:themeColor="background1"/>
        </w:rPr>
        <w:t>◇◆</w:t>
      </w:r>
    </w:p>
    <w:p w14:paraId="7A93FD0E" w14:textId="77777777" w:rsidR="00203F72" w:rsidRPr="00A53581" w:rsidRDefault="00203F72" w:rsidP="00D87D91">
      <w:r>
        <w:rPr>
          <w:noProof/>
        </w:rPr>
        <w:drawing>
          <wp:inline distT="0" distB="0" distL="0" distR="0" wp14:anchorId="78913ABB" wp14:editId="76871270">
            <wp:extent cx="5041900" cy="6146800"/>
            <wp:effectExtent l="0" t="0" r="6350" b="6350"/>
            <wp:docPr id="35" name="irc_mi" descr="1364019542-808833223">
              <a:hlinkClick xmlns:a="http://schemas.openxmlformats.org/drawingml/2006/main" r:id="rId2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1364019542-808833223"/>
                    <pic:cNvPicPr>
                      <a:picLocks noChangeAspect="1" noChangeArrowheads="1"/>
                    </pic:cNvPicPr>
                  </pic:nvPicPr>
                  <pic:blipFill>
                    <a:blip r:embed="rId2603">
                      <a:extLst>
                        <a:ext uri="{28A0092B-C50C-407E-A947-70E740481C1C}">
                          <a14:useLocalDpi xmlns:a14="http://schemas.microsoft.com/office/drawing/2010/main" val="0"/>
                        </a:ext>
                      </a:extLst>
                    </a:blip>
                    <a:srcRect/>
                    <a:stretch>
                      <a:fillRect/>
                    </a:stretch>
                  </pic:blipFill>
                  <pic:spPr bwMode="auto">
                    <a:xfrm>
                      <a:off x="0" y="0"/>
                      <a:ext cx="5041900" cy="6146800"/>
                    </a:xfrm>
                    <a:prstGeom prst="rect">
                      <a:avLst/>
                    </a:prstGeom>
                    <a:noFill/>
                    <a:ln>
                      <a:noFill/>
                    </a:ln>
                  </pic:spPr>
                </pic:pic>
              </a:graphicData>
            </a:graphic>
          </wp:inline>
        </w:drawing>
      </w:r>
    </w:p>
    <w:p w14:paraId="1A5FE91D" w14:textId="47E12D12" w:rsidR="00203F72" w:rsidRPr="00244408" w:rsidRDefault="00B03E84" w:rsidP="00244408">
      <w:r w:rsidRPr="00244408">
        <w:t>【</w:t>
      </w:r>
      <w:r w:rsidRPr="00244408">
        <w:t>figure</w:t>
      </w:r>
      <w:r w:rsidR="005E23E3" w:rsidRPr="00244408">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32</w:t>
      </w:r>
      <w:r w:rsidR="00076467">
        <w:rPr>
          <w:noProof/>
        </w:rPr>
        <w:fldChar w:fldCharType="end"/>
      </w:r>
      <w:r w:rsidR="00203F72" w:rsidRPr="00244408">
        <w:t xml:space="preserve"> </w:t>
      </w:r>
      <w:r w:rsidR="00203F72" w:rsidRPr="00244408">
        <w:t>對</w:t>
      </w:r>
      <w:r w:rsidR="00203F72" w:rsidRPr="00244408">
        <w:t>12</w:t>
      </w:r>
      <w:r w:rsidR="00203F72" w:rsidRPr="00244408">
        <w:t>週以前的胎兒使用「抽吸割除術」</w:t>
      </w:r>
      <w:r w:rsidR="00203F72" w:rsidRPr="00244408">
        <w:t>(suction curettage)</w:t>
      </w:r>
      <w:r w:rsidR="00203F72" w:rsidRPr="00244408">
        <w:t>的步驟流程圖示</w:t>
      </w:r>
      <w:r w:rsidR="00203F72" w:rsidRPr="00244408">
        <w:footnoteReference w:id="1074"/>
      </w:r>
    </w:p>
    <w:p w14:paraId="6C7ECE15" w14:textId="77777777" w:rsidR="00203F72" w:rsidRPr="005E23E3" w:rsidRDefault="00B03E84" w:rsidP="00244408">
      <w:r w:rsidRPr="00244408">
        <w:t>【資料來源】</w:t>
      </w:r>
      <w:r w:rsidR="00203F72" w:rsidRPr="00244408">
        <w:rPr>
          <w:rFonts w:hint="eastAsia"/>
        </w:rPr>
        <w:t>學佛網</w:t>
      </w:r>
      <w:r w:rsidR="00203F72" w:rsidRPr="00244408">
        <w:t>(2013)</w:t>
      </w:r>
      <w:r w:rsidR="00203F72" w:rsidRPr="00244408">
        <w:rPr>
          <w:rFonts w:hint="eastAsia"/>
        </w:rPr>
        <w:t>，墮胎真非小事，上網瀏覽時間：</w:t>
      </w:r>
      <w:r w:rsidR="00203F72" w:rsidRPr="00244408">
        <w:t>2015/01/06</w:t>
      </w:r>
      <w:r w:rsidR="00203F72" w:rsidRPr="00244408">
        <w:rPr>
          <w:rFonts w:hint="eastAsia"/>
        </w:rPr>
        <w:t>，</w:t>
      </w:r>
      <w:hyperlink r:id="rId2604" w:history="1">
        <w:r w:rsidR="00203F72" w:rsidRPr="005E23E3">
          <w:rPr>
            <w:rStyle w:val="a5"/>
          </w:rPr>
          <w:t>http://big5.xuefo.net/nr/article14/142380.html</w:t>
        </w:r>
      </w:hyperlink>
      <w:r w:rsidR="00203F72" w:rsidRPr="005E23E3">
        <w:rPr>
          <w:rFonts w:hint="eastAsia"/>
        </w:rPr>
        <w:t>。</w:t>
      </w:r>
      <w:r w:rsidR="00193290" w:rsidRPr="0065661E">
        <w:rPr>
          <w:rFonts w:hint="eastAsia"/>
          <w:color w:val="FFFFFF" w:themeColor="background1"/>
        </w:rPr>
        <w:t>◇◆</w:t>
      </w:r>
    </w:p>
    <w:p w14:paraId="57B4DF95" w14:textId="77777777" w:rsidR="00203F72" w:rsidRPr="00A53581" w:rsidRDefault="00203F72" w:rsidP="00D87D91">
      <w:r>
        <w:rPr>
          <w:noProof/>
        </w:rPr>
        <w:drawing>
          <wp:inline distT="0" distB="0" distL="0" distR="0" wp14:anchorId="36DB524B" wp14:editId="16F0C79D">
            <wp:extent cx="5135245" cy="6722745"/>
            <wp:effectExtent l="0" t="0" r="8255" b="1905"/>
            <wp:docPr id="36" name="irc_mi" descr="YcVte">
              <a:hlinkClick xmlns:a="http://schemas.openxmlformats.org/drawingml/2006/main" r:id="rId2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YcVte"/>
                    <pic:cNvPicPr>
                      <a:picLocks noChangeAspect="1" noChangeArrowheads="1"/>
                    </pic:cNvPicPr>
                  </pic:nvPicPr>
                  <pic:blipFill>
                    <a:blip r:embed="rId2606">
                      <a:extLst>
                        <a:ext uri="{28A0092B-C50C-407E-A947-70E740481C1C}">
                          <a14:useLocalDpi xmlns:a14="http://schemas.microsoft.com/office/drawing/2010/main" val="0"/>
                        </a:ext>
                      </a:extLst>
                    </a:blip>
                    <a:srcRect/>
                    <a:stretch>
                      <a:fillRect/>
                    </a:stretch>
                  </pic:blipFill>
                  <pic:spPr bwMode="auto">
                    <a:xfrm>
                      <a:off x="0" y="0"/>
                      <a:ext cx="5135245" cy="6722745"/>
                    </a:xfrm>
                    <a:prstGeom prst="rect">
                      <a:avLst/>
                    </a:prstGeom>
                    <a:noFill/>
                    <a:ln>
                      <a:noFill/>
                    </a:ln>
                  </pic:spPr>
                </pic:pic>
              </a:graphicData>
            </a:graphic>
          </wp:inline>
        </w:drawing>
      </w:r>
    </w:p>
    <w:p w14:paraId="50F23CF5" w14:textId="568AC90A" w:rsidR="00203F72" w:rsidRPr="00244408" w:rsidRDefault="00B03E84" w:rsidP="00244408">
      <w:r w:rsidRPr="00244408">
        <w:t>【</w:t>
      </w:r>
      <w:r w:rsidRPr="00244408">
        <w:t>figure</w:t>
      </w:r>
      <w:r w:rsidR="005E23E3" w:rsidRPr="00244408">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33</w:t>
      </w:r>
      <w:r w:rsidR="00076467">
        <w:rPr>
          <w:noProof/>
        </w:rPr>
        <w:fldChar w:fldCharType="end"/>
      </w:r>
      <w:r w:rsidR="00203F72" w:rsidRPr="00244408">
        <w:t xml:space="preserve"> </w:t>
      </w:r>
      <w:r w:rsidR="00203F72" w:rsidRPr="00244408">
        <w:t>對</w:t>
      </w:r>
      <w:r w:rsidR="00203F72" w:rsidRPr="00244408">
        <w:t>23</w:t>
      </w:r>
      <w:r w:rsidR="00203F72" w:rsidRPr="00244408">
        <w:t>週胎兒進行「擴張和割除」</w:t>
      </w:r>
      <w:r w:rsidR="00203F72" w:rsidRPr="00244408">
        <w:t>(dilation and curretage)</w:t>
      </w:r>
      <w:r w:rsidR="00203F72" w:rsidRPr="00244408">
        <w:t>手術的步驟流程圖示</w:t>
      </w:r>
      <w:r w:rsidR="00203F72" w:rsidRPr="00244408">
        <w:footnoteReference w:id="1075"/>
      </w:r>
    </w:p>
    <w:p w14:paraId="78195712" w14:textId="77777777" w:rsidR="00953151" w:rsidRDefault="00B03E84" w:rsidP="00D87D91">
      <w:r>
        <w:t>【資料來源】</w:t>
      </w:r>
      <w:r w:rsidR="00203F72" w:rsidRPr="00A53581">
        <w:rPr>
          <w:rFonts w:hint="eastAsia"/>
        </w:rPr>
        <w:t>學佛網</w:t>
      </w:r>
      <w:r w:rsidR="00203F72" w:rsidRPr="00A53581">
        <w:t>(2013)</w:t>
      </w:r>
      <w:r w:rsidR="00203F72" w:rsidRPr="00A53581">
        <w:rPr>
          <w:rFonts w:hint="eastAsia"/>
        </w:rPr>
        <w:t>，墮胎真非小事，上網瀏覽時間：</w:t>
      </w:r>
      <w:r w:rsidR="00203F72" w:rsidRPr="00A53581">
        <w:t>2015/01/06</w:t>
      </w:r>
      <w:r w:rsidR="00203F72" w:rsidRPr="00A53581">
        <w:rPr>
          <w:rFonts w:hint="eastAsia"/>
        </w:rPr>
        <w:t>，</w:t>
      </w:r>
      <w:hyperlink r:id="rId2607" w:history="1">
        <w:r w:rsidR="00203F72" w:rsidRPr="00A53581">
          <w:rPr>
            <w:rStyle w:val="a5"/>
          </w:rPr>
          <w:t>http://big5.xuefo.net/nr/article14/142380.html</w:t>
        </w:r>
      </w:hyperlink>
      <w:r w:rsidR="00203F72" w:rsidRPr="00A53581">
        <w:rPr>
          <w:rFonts w:hint="eastAsia"/>
        </w:rPr>
        <w:t>。</w:t>
      </w:r>
    </w:p>
    <w:p w14:paraId="7F2E4618" w14:textId="77777777" w:rsidR="00203F72" w:rsidRPr="00A53581" w:rsidRDefault="005E23E3" w:rsidP="00D87D91">
      <w:r>
        <w:t xml:space="preserve">　　</w:t>
      </w:r>
      <w:r w:rsidR="00203F72" w:rsidRPr="00A53581">
        <w:t>根據上述《彌沙塞部和醯五分律》之見解，在母親子宮內之胚胎，前</w:t>
      </w:r>
      <w:r w:rsidR="00203F72" w:rsidRPr="00A53581">
        <w:t>49</w:t>
      </w:r>
      <w:r w:rsidR="00203F72" w:rsidRPr="00A53581">
        <w:t>天被稱為「似人」，即「準人類」之意；雖為「準人類」，但仍具有「準人性尊嚴」。</w:t>
      </w:r>
      <w:r w:rsidR="00203F72" w:rsidRPr="00A53581">
        <w:t>49</w:t>
      </w:r>
      <w:r w:rsidR="00203F72" w:rsidRPr="00A53581">
        <w:t>天之後，盡名為人，即具有完整之人性尊嚴。依</w:t>
      </w:r>
      <w:r w:rsidR="00203F72" w:rsidRPr="00A53581">
        <w:rPr>
          <w:spacing w:val="20"/>
        </w:rPr>
        <w:t>《解深密經》＜心意識相品＞之看法，一切種子心識</w:t>
      </w:r>
      <w:r w:rsidR="00203F72" w:rsidRPr="00A53581">
        <w:rPr>
          <w:spacing w:val="20"/>
        </w:rPr>
        <w:t>(</w:t>
      </w:r>
      <w:r w:rsidR="00203F72" w:rsidRPr="00A53581">
        <w:rPr>
          <w:spacing w:val="20"/>
        </w:rPr>
        <w:t>俗稱為靈魂</w:t>
      </w:r>
      <w:r w:rsidR="00203F72" w:rsidRPr="00A53581">
        <w:rPr>
          <w:spacing w:val="20"/>
        </w:rPr>
        <w:t>)</w:t>
      </w:r>
      <w:r w:rsidR="00203F72" w:rsidRPr="00A53581">
        <w:rPr>
          <w:spacing w:val="20"/>
        </w:rPr>
        <w:t>進入</w:t>
      </w:r>
      <w:r w:rsidR="00203F72" w:rsidRPr="00A53581">
        <w:t>胚胎之後，即具有生命。</w:t>
      </w:r>
    </w:p>
    <w:p w14:paraId="2D4410F7" w14:textId="77777777" w:rsidR="00953151" w:rsidRDefault="00203F72" w:rsidP="00D87D91">
      <w:pPr>
        <w:rPr>
          <w:spacing w:val="20"/>
        </w:rPr>
      </w:pPr>
      <w:r w:rsidRPr="00A53581">
        <w:t>根據《大寶積經》＜佛說入胎藏會＞之見解，人類之胚胎，會被第</w:t>
      </w:r>
      <w:r w:rsidRPr="00A53581">
        <w:t>8</w:t>
      </w:r>
      <w:r w:rsidRPr="00A53581">
        <w:t>識所緣，亦即，會被</w:t>
      </w:r>
      <w:r w:rsidRPr="00A53581">
        <w:rPr>
          <w:spacing w:val="20"/>
        </w:rPr>
        <w:t>一切種子心識</w:t>
      </w:r>
      <w:r w:rsidRPr="00A53581">
        <w:rPr>
          <w:spacing w:val="20"/>
        </w:rPr>
        <w:t>(</w:t>
      </w:r>
      <w:r w:rsidRPr="00A53581">
        <w:rPr>
          <w:spacing w:val="20"/>
        </w:rPr>
        <w:t>俗稱為靈魂</w:t>
      </w:r>
      <w:r w:rsidRPr="00A53581">
        <w:rPr>
          <w:spacing w:val="20"/>
        </w:rPr>
        <w:t>)</w:t>
      </w:r>
      <w:r w:rsidRPr="00A53581">
        <w:rPr>
          <w:spacing w:val="20"/>
        </w:rPr>
        <w:t>入住。另外，依</w:t>
      </w:r>
      <w:r w:rsidRPr="00A53581">
        <w:t>《</w:t>
      </w:r>
      <w:r w:rsidRPr="00A53581">
        <w:rPr>
          <w:kern w:val="0"/>
          <w:lang w:bidi="bn-IN"/>
        </w:rPr>
        <w:t>四分律》之見解，有關「人之狀態」，乃指從「初識」即開始人一生之生命，所謂之初識，即指「創入胎識」，換言之，乃指</w:t>
      </w:r>
      <w:r w:rsidRPr="00A53581">
        <w:rPr>
          <w:spacing w:val="20"/>
        </w:rPr>
        <w:t>一切種子心識</w:t>
      </w:r>
      <w:r w:rsidRPr="00A53581">
        <w:rPr>
          <w:spacing w:val="20"/>
        </w:rPr>
        <w:t>(</w:t>
      </w:r>
      <w:r w:rsidRPr="00A53581">
        <w:rPr>
          <w:spacing w:val="20"/>
        </w:rPr>
        <w:t>俗稱為靈魂</w:t>
      </w:r>
      <w:r w:rsidRPr="00A53581">
        <w:rPr>
          <w:spacing w:val="20"/>
        </w:rPr>
        <w:t>)</w:t>
      </w:r>
      <w:r w:rsidRPr="00A53581">
        <w:rPr>
          <w:spacing w:val="20"/>
        </w:rPr>
        <w:t>進入胚胎之時，即可稱為「人」。根據上述</w:t>
      </w:r>
      <w:r w:rsidRPr="00A53581">
        <w:t>佛教之相關經典，均指出胎兒實具有生命權及生存權。且所謂之人，乃指</w:t>
      </w:r>
      <w:r w:rsidRPr="00A53581">
        <w:rPr>
          <w:spacing w:val="20"/>
        </w:rPr>
        <w:t>一切種子心識</w:t>
      </w:r>
      <w:r w:rsidRPr="00A53581">
        <w:rPr>
          <w:spacing w:val="20"/>
        </w:rPr>
        <w:t>(</w:t>
      </w:r>
      <w:r w:rsidRPr="00A53581">
        <w:rPr>
          <w:spacing w:val="20"/>
        </w:rPr>
        <w:t>俗稱為靈魂</w:t>
      </w:r>
      <w:r w:rsidRPr="00A53581">
        <w:rPr>
          <w:spacing w:val="20"/>
        </w:rPr>
        <w:t>)</w:t>
      </w:r>
      <w:r w:rsidRPr="00A53581">
        <w:rPr>
          <w:spacing w:val="20"/>
        </w:rPr>
        <w:t>進入胚胎之時，作為人之本質，即業已成立。</w:t>
      </w:r>
      <w:r w:rsidR="00193290" w:rsidRPr="0065661E">
        <w:rPr>
          <w:rFonts w:hint="eastAsia"/>
          <w:color w:val="FFFFFF" w:themeColor="background1"/>
        </w:rPr>
        <w:t>◇◆</w:t>
      </w:r>
    </w:p>
    <w:p w14:paraId="274B8C27" w14:textId="77777777" w:rsidR="00203F72" w:rsidRPr="00A53581" w:rsidRDefault="00203F72" w:rsidP="00D87D91">
      <w:r>
        <w:rPr>
          <w:noProof/>
        </w:rPr>
        <w:drawing>
          <wp:inline distT="0" distB="0" distL="0" distR="0" wp14:anchorId="2E2686A3" wp14:editId="1707E253">
            <wp:extent cx="4749800" cy="5202555"/>
            <wp:effectExtent l="0" t="0" r="0" b="0"/>
            <wp:docPr id="37" name="圖片 37"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点此在新窗口浏览图片"/>
                    <pic:cNvPicPr>
                      <a:picLocks noChangeAspect="1" noChangeArrowheads="1"/>
                    </pic:cNvPicPr>
                  </pic:nvPicPr>
                  <pic:blipFill>
                    <a:blip r:embed="rId2608">
                      <a:extLst>
                        <a:ext uri="{28A0092B-C50C-407E-A947-70E740481C1C}">
                          <a14:useLocalDpi xmlns:a14="http://schemas.microsoft.com/office/drawing/2010/main" val="0"/>
                        </a:ext>
                      </a:extLst>
                    </a:blip>
                    <a:srcRect/>
                    <a:stretch>
                      <a:fillRect/>
                    </a:stretch>
                  </pic:blipFill>
                  <pic:spPr bwMode="auto">
                    <a:xfrm>
                      <a:off x="0" y="0"/>
                      <a:ext cx="4749800" cy="5202555"/>
                    </a:xfrm>
                    <a:prstGeom prst="rect">
                      <a:avLst/>
                    </a:prstGeom>
                    <a:noFill/>
                    <a:ln>
                      <a:noFill/>
                    </a:ln>
                  </pic:spPr>
                </pic:pic>
              </a:graphicData>
            </a:graphic>
          </wp:inline>
        </w:drawing>
      </w:r>
    </w:p>
    <w:p w14:paraId="184C8565" w14:textId="07BEFCEF" w:rsidR="00203F72" w:rsidRPr="00433BF1" w:rsidRDefault="00B03E84" w:rsidP="00433BF1">
      <w:r w:rsidRPr="00433BF1">
        <w:t>【</w:t>
      </w:r>
      <w:r w:rsidRPr="00433BF1">
        <w:t>figure</w:t>
      </w:r>
      <w:r w:rsidR="005E23E3" w:rsidRPr="00433BF1">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34</w:t>
      </w:r>
      <w:r w:rsidR="00076467">
        <w:rPr>
          <w:noProof/>
        </w:rPr>
        <w:fldChar w:fldCharType="end"/>
      </w:r>
      <w:r w:rsidR="00203F72" w:rsidRPr="00433BF1">
        <w:t xml:space="preserve"> </w:t>
      </w:r>
      <w:r w:rsidR="00203F72" w:rsidRPr="00433BF1">
        <w:t>被墮胎之後的胎兒遺體圖形</w:t>
      </w:r>
      <w:r w:rsidR="00203F72" w:rsidRPr="00433BF1">
        <w:t>(1)</w:t>
      </w:r>
      <w:r w:rsidR="00203F72" w:rsidRPr="00433BF1">
        <w:footnoteReference w:id="1076"/>
      </w:r>
    </w:p>
    <w:p w14:paraId="4AA62345" w14:textId="77777777" w:rsidR="00953151" w:rsidRPr="00433BF1" w:rsidRDefault="00B03E84" w:rsidP="00433BF1">
      <w:r w:rsidRPr="00433BF1">
        <w:t>【資料來源】</w:t>
      </w:r>
      <w:r w:rsidR="00203F72" w:rsidRPr="00433BF1">
        <w:rPr>
          <w:rFonts w:hint="eastAsia"/>
        </w:rPr>
        <w:t>佛緣網站</w:t>
      </w:r>
      <w:r w:rsidR="00203F72" w:rsidRPr="00433BF1">
        <w:t>(2013)</w:t>
      </w:r>
      <w:r w:rsidR="00203F72" w:rsidRPr="00433BF1">
        <w:rPr>
          <w:rFonts w:hint="eastAsia"/>
        </w:rPr>
        <w:t>，墮胎的罪惡，上網瀏覽時間：</w:t>
      </w:r>
      <w:r w:rsidR="00203F72" w:rsidRPr="00433BF1">
        <w:t>2015/01/06</w:t>
      </w:r>
      <w:r w:rsidR="00203F72" w:rsidRPr="00433BF1">
        <w:rPr>
          <w:rFonts w:hint="eastAsia"/>
        </w:rPr>
        <w:t>，</w:t>
      </w:r>
      <w:hyperlink r:id="rId2609" w:history="1">
        <w:r w:rsidR="00203F72" w:rsidRPr="00433BF1">
          <w:rPr>
            <w:rStyle w:val="a5"/>
          </w:rPr>
          <w:t>http://www.foyuan.net/article-861764-1.html</w:t>
        </w:r>
      </w:hyperlink>
      <w:r w:rsidR="00203F72" w:rsidRPr="00433BF1">
        <w:rPr>
          <w:rFonts w:hint="eastAsia"/>
        </w:rPr>
        <w:t>。</w:t>
      </w:r>
      <w:r w:rsidR="00193290" w:rsidRPr="00433BF1">
        <w:rPr>
          <w:rFonts w:hint="eastAsia"/>
          <w:color w:val="FFFFFF" w:themeColor="background1"/>
        </w:rPr>
        <w:t>◇◆</w:t>
      </w:r>
    </w:p>
    <w:p w14:paraId="62A3F504" w14:textId="77777777" w:rsidR="00203F72" w:rsidRPr="00A53581" w:rsidRDefault="00203F72" w:rsidP="00D87D91">
      <w:r>
        <w:rPr>
          <w:noProof/>
        </w:rPr>
        <w:drawing>
          <wp:inline distT="0" distB="0" distL="0" distR="0" wp14:anchorId="24824C17" wp14:editId="35ADE234">
            <wp:extent cx="4897755" cy="4648200"/>
            <wp:effectExtent l="0" t="0" r="0" b="0"/>
            <wp:docPr id="38" name="圖片 38"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点此在新窗口浏览图片"/>
                    <pic:cNvPicPr>
                      <a:picLocks noChangeAspect="1" noChangeArrowheads="1"/>
                    </pic:cNvPicPr>
                  </pic:nvPicPr>
                  <pic:blipFill>
                    <a:blip r:embed="rId2610">
                      <a:extLst>
                        <a:ext uri="{28A0092B-C50C-407E-A947-70E740481C1C}">
                          <a14:useLocalDpi xmlns:a14="http://schemas.microsoft.com/office/drawing/2010/main" val="0"/>
                        </a:ext>
                      </a:extLst>
                    </a:blip>
                    <a:srcRect/>
                    <a:stretch>
                      <a:fillRect/>
                    </a:stretch>
                  </pic:blipFill>
                  <pic:spPr bwMode="auto">
                    <a:xfrm>
                      <a:off x="0" y="0"/>
                      <a:ext cx="4897755" cy="4648200"/>
                    </a:xfrm>
                    <a:prstGeom prst="rect">
                      <a:avLst/>
                    </a:prstGeom>
                    <a:noFill/>
                    <a:ln>
                      <a:noFill/>
                    </a:ln>
                  </pic:spPr>
                </pic:pic>
              </a:graphicData>
            </a:graphic>
          </wp:inline>
        </w:drawing>
      </w:r>
    </w:p>
    <w:p w14:paraId="46FB8A52" w14:textId="2A4125C0" w:rsidR="00203F72" w:rsidRPr="00433BF1" w:rsidRDefault="00B03E84" w:rsidP="00433BF1">
      <w:r w:rsidRPr="00433BF1">
        <w:t>【</w:t>
      </w:r>
      <w:r w:rsidRPr="00433BF1">
        <w:t>figure</w:t>
      </w:r>
      <w:r w:rsidR="005E23E3" w:rsidRPr="00433BF1">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35</w:t>
      </w:r>
      <w:r w:rsidR="00076467">
        <w:rPr>
          <w:noProof/>
        </w:rPr>
        <w:fldChar w:fldCharType="end"/>
      </w:r>
      <w:r w:rsidR="00203F72" w:rsidRPr="00433BF1">
        <w:t xml:space="preserve"> </w:t>
      </w:r>
      <w:r w:rsidR="00203F72" w:rsidRPr="00433BF1">
        <w:t>被墮胎之後的胎兒遺體圖形</w:t>
      </w:r>
      <w:r w:rsidR="00203F72" w:rsidRPr="00433BF1">
        <w:t>(2)</w:t>
      </w:r>
      <w:r w:rsidR="00203F72" w:rsidRPr="00433BF1">
        <w:footnoteReference w:id="1077"/>
      </w:r>
    </w:p>
    <w:p w14:paraId="3AF64CE6" w14:textId="77777777" w:rsidR="00953151" w:rsidRPr="00433BF1" w:rsidRDefault="00B03E84" w:rsidP="00433BF1">
      <w:r w:rsidRPr="00433BF1">
        <w:t>【資料來源】</w:t>
      </w:r>
      <w:r w:rsidR="00203F72" w:rsidRPr="00433BF1">
        <w:rPr>
          <w:rFonts w:hint="eastAsia"/>
        </w:rPr>
        <w:t>佛緣網站</w:t>
      </w:r>
      <w:r w:rsidR="00203F72" w:rsidRPr="00433BF1">
        <w:t>(2013)</w:t>
      </w:r>
      <w:r w:rsidR="00203F72" w:rsidRPr="00433BF1">
        <w:rPr>
          <w:rFonts w:hint="eastAsia"/>
        </w:rPr>
        <w:t>，墮胎的罪惡，上網瀏覽時間：</w:t>
      </w:r>
      <w:r w:rsidR="00203F72" w:rsidRPr="00433BF1">
        <w:t>2015/01/06</w:t>
      </w:r>
      <w:r w:rsidR="00203F72" w:rsidRPr="00433BF1">
        <w:rPr>
          <w:rFonts w:hint="eastAsia"/>
        </w:rPr>
        <w:t>，</w:t>
      </w:r>
      <w:hyperlink r:id="rId2611" w:history="1">
        <w:r w:rsidR="00203F72" w:rsidRPr="00433BF1">
          <w:rPr>
            <w:rStyle w:val="a5"/>
          </w:rPr>
          <w:t>http://www.foyuan.net/article-861764-1.html</w:t>
        </w:r>
      </w:hyperlink>
      <w:r w:rsidR="00203F72" w:rsidRPr="00433BF1">
        <w:rPr>
          <w:rFonts w:hint="eastAsia"/>
        </w:rPr>
        <w:t>。</w:t>
      </w:r>
    </w:p>
    <w:p w14:paraId="15F0D69E" w14:textId="77777777" w:rsidR="00953151" w:rsidRDefault="005E23E3" w:rsidP="00433BF1">
      <w:r w:rsidRPr="00433BF1">
        <w:t xml:space="preserve">　　</w:t>
      </w:r>
      <w:r w:rsidR="00203F72" w:rsidRPr="00433BF1">
        <w:t>另外，就基督教而論，基督教在西元</w:t>
      </w:r>
      <w:r w:rsidR="00203F72" w:rsidRPr="00433BF1">
        <w:t>629</w:t>
      </w:r>
      <w:r w:rsidR="00203F72" w:rsidRPr="00433BF1">
        <w:t>年之君士坦堡會議決議中，主張墮胎等同殺人。就現況而言，羅馬天主教教會亦堅決地反對墮胎行為。基督教雖有多個派別，但大多數派別均引用《聖經》之內容，諸如：『我未將你造在腹中，我已曉得你。你未出母胎，我已分別你為聖，我已派你作列國的先知』；詩篇第</w:t>
      </w:r>
      <w:r w:rsidR="00203F72" w:rsidRPr="00433BF1">
        <w:t>139</w:t>
      </w:r>
      <w:r w:rsidR="00203F72" w:rsidRPr="00433BF1">
        <w:t>篇第</w:t>
      </w:r>
      <w:r w:rsidR="00203F72" w:rsidRPr="00433BF1">
        <w:t>13-16</w:t>
      </w:r>
      <w:r w:rsidR="00203F72" w:rsidRPr="00433BF1">
        <w:t>節；耶</w:t>
      </w:r>
      <w:r w:rsidR="00203F72" w:rsidRPr="00433BF1">
        <w:t>1:5)</w:t>
      </w:r>
      <w:r w:rsidR="00203F72" w:rsidRPr="00433BF1">
        <w:footnoteReference w:id="1078"/>
      </w:r>
      <w:r w:rsidR="00203F72" w:rsidRPr="00433BF1">
        <w:t>，而反對基督教教徒接受墮胎手術</w:t>
      </w:r>
      <w:r w:rsidR="00203F72" w:rsidRPr="00433BF1">
        <w:footnoteReference w:id="1079"/>
      </w:r>
      <w:r w:rsidR="00203F72" w:rsidRPr="00433BF1">
        <w:t>。</w:t>
      </w:r>
      <w:r w:rsidR="00193290" w:rsidRPr="00433BF1">
        <w:rPr>
          <w:rFonts w:hint="eastAsia"/>
          <w:color w:val="FFFFFF" w:themeColor="background1"/>
        </w:rPr>
        <w:t>◇◆</w:t>
      </w:r>
    </w:p>
    <w:p w14:paraId="536634AD" w14:textId="77777777" w:rsidR="00203F72" w:rsidRPr="00A53581" w:rsidRDefault="00203F72" w:rsidP="00D87D91">
      <w:r>
        <w:rPr>
          <w:noProof/>
        </w:rPr>
        <w:drawing>
          <wp:inline distT="0" distB="0" distL="0" distR="0" wp14:anchorId="6ACBA22E" wp14:editId="2119AEE1">
            <wp:extent cx="5075555" cy="2933700"/>
            <wp:effectExtent l="0" t="0" r="0" b="0"/>
            <wp:docPr id="39" name="圖片 39"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点此在新窗口浏览图片"/>
                    <pic:cNvPicPr>
                      <a:picLocks noChangeAspect="1" noChangeArrowheads="1"/>
                    </pic:cNvPicPr>
                  </pic:nvPicPr>
                  <pic:blipFill>
                    <a:blip r:embed="rId2612">
                      <a:extLst>
                        <a:ext uri="{28A0092B-C50C-407E-A947-70E740481C1C}">
                          <a14:useLocalDpi xmlns:a14="http://schemas.microsoft.com/office/drawing/2010/main" val="0"/>
                        </a:ext>
                      </a:extLst>
                    </a:blip>
                    <a:srcRect/>
                    <a:stretch>
                      <a:fillRect/>
                    </a:stretch>
                  </pic:blipFill>
                  <pic:spPr bwMode="auto">
                    <a:xfrm>
                      <a:off x="0" y="0"/>
                      <a:ext cx="5075555" cy="2933700"/>
                    </a:xfrm>
                    <a:prstGeom prst="rect">
                      <a:avLst/>
                    </a:prstGeom>
                    <a:noFill/>
                    <a:ln>
                      <a:noFill/>
                    </a:ln>
                  </pic:spPr>
                </pic:pic>
              </a:graphicData>
            </a:graphic>
          </wp:inline>
        </w:drawing>
      </w:r>
    </w:p>
    <w:p w14:paraId="12FFC36B" w14:textId="5DD70757" w:rsidR="00203F72" w:rsidRPr="00433BF1" w:rsidRDefault="00B03E84" w:rsidP="00433BF1">
      <w:r w:rsidRPr="00433BF1">
        <w:t>【</w:t>
      </w:r>
      <w:r w:rsidRPr="00433BF1">
        <w:t>figure</w:t>
      </w:r>
      <w:r w:rsidR="005E23E3" w:rsidRPr="00433BF1">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36</w:t>
      </w:r>
      <w:r w:rsidR="00076467">
        <w:rPr>
          <w:noProof/>
        </w:rPr>
        <w:fldChar w:fldCharType="end"/>
      </w:r>
      <w:r w:rsidR="00203F72" w:rsidRPr="00433BF1">
        <w:t xml:space="preserve"> </w:t>
      </w:r>
      <w:r w:rsidR="00203F72" w:rsidRPr="00433BF1">
        <w:t>被墮胎之後的胎兒遺體圖形</w:t>
      </w:r>
      <w:r w:rsidR="00203F72" w:rsidRPr="00433BF1">
        <w:t>(3)</w:t>
      </w:r>
      <w:r w:rsidR="00203F72" w:rsidRPr="00433BF1">
        <w:footnoteReference w:id="1080"/>
      </w:r>
    </w:p>
    <w:p w14:paraId="78F888EE" w14:textId="77777777" w:rsidR="00203F72" w:rsidRPr="00433BF1" w:rsidRDefault="00B03E84" w:rsidP="00433BF1">
      <w:r w:rsidRPr="00433BF1">
        <w:t>【資料來源】</w:t>
      </w:r>
      <w:r w:rsidR="00203F72" w:rsidRPr="00433BF1">
        <w:rPr>
          <w:rFonts w:hint="eastAsia"/>
        </w:rPr>
        <w:t>佛緣網站</w:t>
      </w:r>
      <w:r w:rsidR="00203F72" w:rsidRPr="00433BF1">
        <w:t>(2013)</w:t>
      </w:r>
      <w:r w:rsidR="00203F72" w:rsidRPr="00433BF1">
        <w:rPr>
          <w:rFonts w:hint="eastAsia"/>
        </w:rPr>
        <w:t>，墮胎的罪惡，上網瀏覽時間：</w:t>
      </w:r>
      <w:r w:rsidR="00203F72" w:rsidRPr="00433BF1">
        <w:t>2015/01/06</w:t>
      </w:r>
      <w:r w:rsidR="00203F72" w:rsidRPr="00433BF1">
        <w:rPr>
          <w:rFonts w:hint="eastAsia"/>
        </w:rPr>
        <w:t>，</w:t>
      </w:r>
      <w:hyperlink r:id="rId2613" w:history="1">
        <w:r w:rsidR="00203F72" w:rsidRPr="00433BF1">
          <w:rPr>
            <w:rStyle w:val="a5"/>
          </w:rPr>
          <w:t>http://www.foyuan.net/article-861764-1.html</w:t>
        </w:r>
      </w:hyperlink>
      <w:r w:rsidR="00203F72" w:rsidRPr="00433BF1">
        <w:rPr>
          <w:rFonts w:hint="eastAsia"/>
        </w:rPr>
        <w:t>。</w:t>
      </w:r>
      <w:r w:rsidR="00193290" w:rsidRPr="00433BF1">
        <w:rPr>
          <w:rFonts w:hint="eastAsia"/>
          <w:color w:val="FFFFFF" w:themeColor="background1"/>
        </w:rPr>
        <w:t>◇◆</w:t>
      </w:r>
    </w:p>
    <w:p w14:paraId="71AA00FA" w14:textId="77777777" w:rsidR="00203F72" w:rsidRPr="00A53581" w:rsidRDefault="00203F72" w:rsidP="00D87D91">
      <w:r>
        <w:rPr>
          <w:noProof/>
        </w:rPr>
        <w:drawing>
          <wp:inline distT="0" distB="0" distL="0" distR="0" wp14:anchorId="7156C46D" wp14:editId="28BA8FDF">
            <wp:extent cx="5029200" cy="3750945"/>
            <wp:effectExtent l="0" t="0" r="0" b="1905"/>
            <wp:docPr id="40" name="圖片 40"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点此在新窗口浏览图片"/>
                    <pic:cNvPicPr>
                      <a:picLocks noChangeAspect="1" noChangeArrowheads="1"/>
                    </pic:cNvPicPr>
                  </pic:nvPicPr>
                  <pic:blipFill>
                    <a:blip r:embed="rId2614">
                      <a:extLst>
                        <a:ext uri="{28A0092B-C50C-407E-A947-70E740481C1C}">
                          <a14:useLocalDpi xmlns:a14="http://schemas.microsoft.com/office/drawing/2010/main" val="0"/>
                        </a:ext>
                      </a:extLst>
                    </a:blip>
                    <a:srcRect/>
                    <a:stretch>
                      <a:fillRect/>
                    </a:stretch>
                  </pic:blipFill>
                  <pic:spPr bwMode="auto">
                    <a:xfrm>
                      <a:off x="0" y="0"/>
                      <a:ext cx="5029200" cy="3750945"/>
                    </a:xfrm>
                    <a:prstGeom prst="rect">
                      <a:avLst/>
                    </a:prstGeom>
                    <a:noFill/>
                    <a:ln>
                      <a:noFill/>
                    </a:ln>
                  </pic:spPr>
                </pic:pic>
              </a:graphicData>
            </a:graphic>
          </wp:inline>
        </w:drawing>
      </w:r>
    </w:p>
    <w:p w14:paraId="21F47407" w14:textId="50B279B5" w:rsidR="00203F72" w:rsidRPr="00433BF1" w:rsidRDefault="00B03E84" w:rsidP="00433BF1">
      <w:r w:rsidRPr="00433BF1">
        <w:t>【</w:t>
      </w:r>
      <w:r w:rsidRPr="00433BF1">
        <w:t>figure</w:t>
      </w:r>
      <w:r w:rsidR="005E23E3" w:rsidRPr="00433BF1">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37</w:t>
      </w:r>
      <w:r w:rsidR="00076467">
        <w:rPr>
          <w:noProof/>
        </w:rPr>
        <w:fldChar w:fldCharType="end"/>
      </w:r>
      <w:r w:rsidR="00203F72" w:rsidRPr="00433BF1">
        <w:t xml:space="preserve"> </w:t>
      </w:r>
      <w:r w:rsidR="00203F72" w:rsidRPr="00433BF1">
        <w:t>被墮胎之後的胎兒遺體圖形</w:t>
      </w:r>
      <w:r w:rsidR="00203F72" w:rsidRPr="00433BF1">
        <w:t>(4)</w:t>
      </w:r>
      <w:r w:rsidR="00203F72" w:rsidRPr="00433BF1">
        <w:footnoteReference w:id="1081"/>
      </w:r>
    </w:p>
    <w:p w14:paraId="3A13F81A" w14:textId="77777777" w:rsidR="00953151" w:rsidRDefault="00B03E84" w:rsidP="00433BF1">
      <w:r w:rsidRPr="00433BF1">
        <w:t>【資料來源】</w:t>
      </w:r>
      <w:r w:rsidR="00203F72" w:rsidRPr="00433BF1">
        <w:rPr>
          <w:rFonts w:hint="eastAsia"/>
        </w:rPr>
        <w:t>佛緣網站</w:t>
      </w:r>
      <w:r w:rsidR="00203F72" w:rsidRPr="00433BF1">
        <w:t>(2013)</w:t>
      </w:r>
      <w:r w:rsidR="00203F72" w:rsidRPr="00433BF1">
        <w:rPr>
          <w:rFonts w:hint="eastAsia"/>
        </w:rPr>
        <w:t>，墮胎的罪惡，上網瀏覽時間：</w:t>
      </w:r>
      <w:r w:rsidR="00203F72" w:rsidRPr="00433BF1">
        <w:t>2015/01/06</w:t>
      </w:r>
      <w:r w:rsidR="00203F72" w:rsidRPr="00433BF1">
        <w:rPr>
          <w:rFonts w:hint="eastAsia"/>
        </w:rPr>
        <w:t>，</w:t>
      </w:r>
      <w:hyperlink r:id="rId2615" w:history="1">
        <w:r w:rsidR="00203F72" w:rsidRPr="00A53581">
          <w:rPr>
            <w:rStyle w:val="a5"/>
          </w:rPr>
          <w:t>http://www.foyuan.net/article-861764-1.html</w:t>
        </w:r>
      </w:hyperlink>
      <w:r w:rsidR="00203F72" w:rsidRPr="00A53581">
        <w:rPr>
          <w:rFonts w:hint="eastAsia"/>
        </w:rPr>
        <w:t>。</w:t>
      </w:r>
    </w:p>
    <w:p w14:paraId="2B21C2D5" w14:textId="77777777" w:rsidR="00953151" w:rsidRDefault="005E23E3" w:rsidP="00D87D91">
      <w:r>
        <w:rPr>
          <w:spacing w:val="20"/>
        </w:rPr>
        <w:t xml:space="preserve">　　</w:t>
      </w:r>
      <w:r w:rsidR="00203F72" w:rsidRPr="00A53581">
        <w:rPr>
          <w:spacing w:val="20"/>
        </w:rPr>
        <w:t>基此，有必要</w:t>
      </w:r>
      <w:r w:rsidR="00203F72" w:rsidRPr="00A53581">
        <w:t>站在憲法之高度與位階，積極保障人類胎兒之生命權及生存權。為了保障人類胎兒之生命權及生存權，宜站在憲法之層級，積極賦予人類胚胎及胎兒具有「人」之本質，亦即，對於人類胚胎及胎兒之憲法定位，宜將其定位為人，積極從憲法之觀點與法理，賦予人類胚胎及胎兒具有生命權及生存權。由於未出生之胎兒具有人之本質與權利，故除非母親之生命權受到威脅，宜禁止剝奪人類胚胎及胎兒與生俱來之生命權及生存權。</w:t>
      </w:r>
      <w:r w:rsidR="00193290" w:rsidRPr="0065661E">
        <w:rPr>
          <w:rFonts w:hint="eastAsia"/>
          <w:color w:val="FFFFFF" w:themeColor="background1"/>
        </w:rPr>
        <w:t>◇◆</w:t>
      </w:r>
    </w:p>
    <w:p w14:paraId="493C207F" w14:textId="77777777" w:rsidR="00203F72" w:rsidRPr="00A53581" w:rsidRDefault="00203F72" w:rsidP="00D87D91">
      <w:r>
        <w:rPr>
          <w:noProof/>
        </w:rPr>
        <w:drawing>
          <wp:inline distT="0" distB="0" distL="0" distR="0" wp14:anchorId="182E24AC" wp14:editId="3D4198FA">
            <wp:extent cx="5240655" cy="6146800"/>
            <wp:effectExtent l="0" t="0" r="0" b="6350"/>
            <wp:docPr id="41" name="圖片 41"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不忍直视：血淋漓的堕胎场景"/>
                    <pic:cNvPicPr>
                      <a:picLocks noChangeAspect="1" noChangeArrowheads="1"/>
                    </pic:cNvPicPr>
                  </pic:nvPicPr>
                  <pic:blipFill>
                    <a:blip r:embed="rId2616">
                      <a:extLst>
                        <a:ext uri="{28A0092B-C50C-407E-A947-70E740481C1C}">
                          <a14:useLocalDpi xmlns:a14="http://schemas.microsoft.com/office/drawing/2010/main" val="0"/>
                        </a:ext>
                      </a:extLst>
                    </a:blip>
                    <a:srcRect/>
                    <a:stretch>
                      <a:fillRect/>
                    </a:stretch>
                  </pic:blipFill>
                  <pic:spPr bwMode="auto">
                    <a:xfrm>
                      <a:off x="0" y="0"/>
                      <a:ext cx="5240655" cy="6146800"/>
                    </a:xfrm>
                    <a:prstGeom prst="rect">
                      <a:avLst/>
                    </a:prstGeom>
                    <a:noFill/>
                    <a:ln>
                      <a:noFill/>
                    </a:ln>
                  </pic:spPr>
                </pic:pic>
              </a:graphicData>
            </a:graphic>
          </wp:inline>
        </w:drawing>
      </w:r>
    </w:p>
    <w:p w14:paraId="22B78E0B" w14:textId="2CDF1A1F" w:rsidR="00203F72" w:rsidRPr="00433BF1" w:rsidRDefault="00B03E84" w:rsidP="00433BF1">
      <w:r w:rsidRPr="00433BF1">
        <w:t>【</w:t>
      </w:r>
      <w:r w:rsidRPr="00433BF1">
        <w:t>figure</w:t>
      </w:r>
      <w:r w:rsidR="005E23E3" w:rsidRPr="00433BF1">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38</w:t>
      </w:r>
      <w:r w:rsidR="00076467">
        <w:rPr>
          <w:noProof/>
        </w:rPr>
        <w:fldChar w:fldCharType="end"/>
      </w:r>
      <w:r w:rsidR="00203F72" w:rsidRPr="00433BF1">
        <w:t>被墮胎之後的胎兒遺體圖形</w:t>
      </w:r>
      <w:r w:rsidR="00203F72" w:rsidRPr="00433BF1">
        <w:t xml:space="preserve">(5) </w:t>
      </w:r>
      <w:r w:rsidR="00203F72" w:rsidRPr="00433BF1">
        <w:footnoteReference w:id="1082"/>
      </w:r>
    </w:p>
    <w:p w14:paraId="76D0F0AB" w14:textId="77777777" w:rsidR="00203F72" w:rsidRPr="00433BF1" w:rsidRDefault="00B03E84" w:rsidP="00433BF1">
      <w:r w:rsidRPr="00433BF1">
        <w:t>【資料來源】</w:t>
      </w:r>
      <w:r w:rsidR="00203F72" w:rsidRPr="00433BF1">
        <w:t>Giga Circle(2014)</w:t>
      </w:r>
      <w:r w:rsidR="00203F72" w:rsidRPr="00433BF1">
        <w:rPr>
          <w:rFonts w:hint="eastAsia"/>
        </w:rPr>
        <w:t>，墮胎，情侶要是想，請三思。上網瀏覽時間：</w:t>
      </w:r>
      <w:r w:rsidR="00203F72" w:rsidRPr="00433BF1">
        <w:t>2015/01/06</w:t>
      </w:r>
      <w:r w:rsidR="00203F72" w:rsidRPr="00433BF1">
        <w:rPr>
          <w:rFonts w:hint="eastAsia"/>
        </w:rPr>
        <w:t>，</w:t>
      </w:r>
      <w:hyperlink r:id="rId2617" w:history="1">
        <w:r w:rsidR="00203F72" w:rsidRPr="00433BF1">
          <w:rPr>
            <w:rStyle w:val="a5"/>
          </w:rPr>
          <w:t>http://tw.gigacircle.com/2419362-1</w:t>
        </w:r>
      </w:hyperlink>
      <w:r w:rsidR="00203F72" w:rsidRPr="00433BF1">
        <w:rPr>
          <w:rFonts w:hint="eastAsia"/>
        </w:rPr>
        <w:t>。</w:t>
      </w:r>
      <w:r w:rsidR="00193290" w:rsidRPr="00433BF1">
        <w:rPr>
          <w:rFonts w:hint="eastAsia"/>
        </w:rPr>
        <w:t>◇◆</w:t>
      </w:r>
    </w:p>
    <w:p w14:paraId="48ADC48F" w14:textId="77777777" w:rsidR="00203F72" w:rsidRPr="00A53581" w:rsidRDefault="00203F72" w:rsidP="00D87D91">
      <w:r>
        <w:rPr>
          <w:noProof/>
        </w:rPr>
        <w:drawing>
          <wp:inline distT="0" distB="0" distL="0" distR="0" wp14:anchorId="18967508" wp14:editId="5F146EF3">
            <wp:extent cx="5240655" cy="6019800"/>
            <wp:effectExtent l="0" t="0" r="0" b="0"/>
            <wp:docPr id="42" name="圖片 42" descr="不忍直视：血淋漓的堕胎场景(多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不忍直视：血淋漓的堕胎场景(多图)"/>
                    <pic:cNvPicPr>
                      <a:picLocks noChangeAspect="1" noChangeArrowheads="1"/>
                    </pic:cNvPicPr>
                  </pic:nvPicPr>
                  <pic:blipFill>
                    <a:blip r:embed="rId2618">
                      <a:extLst>
                        <a:ext uri="{28A0092B-C50C-407E-A947-70E740481C1C}">
                          <a14:useLocalDpi xmlns:a14="http://schemas.microsoft.com/office/drawing/2010/main" val="0"/>
                        </a:ext>
                      </a:extLst>
                    </a:blip>
                    <a:srcRect/>
                    <a:stretch>
                      <a:fillRect/>
                    </a:stretch>
                  </pic:blipFill>
                  <pic:spPr bwMode="auto">
                    <a:xfrm>
                      <a:off x="0" y="0"/>
                      <a:ext cx="5240655" cy="6019800"/>
                    </a:xfrm>
                    <a:prstGeom prst="rect">
                      <a:avLst/>
                    </a:prstGeom>
                    <a:noFill/>
                    <a:ln>
                      <a:noFill/>
                    </a:ln>
                  </pic:spPr>
                </pic:pic>
              </a:graphicData>
            </a:graphic>
          </wp:inline>
        </w:drawing>
      </w:r>
    </w:p>
    <w:p w14:paraId="4D5A8647" w14:textId="07945881" w:rsidR="00203F72" w:rsidRPr="007C58FB" w:rsidRDefault="00B03E84" w:rsidP="007C58FB">
      <w:r w:rsidRPr="007C58FB">
        <w:t>【</w:t>
      </w:r>
      <w:r w:rsidRPr="007C58FB">
        <w:t>figure</w:t>
      </w:r>
      <w:r w:rsidR="005E23E3" w:rsidRPr="007C58FB">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39</w:t>
      </w:r>
      <w:r w:rsidR="00076467">
        <w:rPr>
          <w:noProof/>
        </w:rPr>
        <w:fldChar w:fldCharType="end"/>
      </w:r>
      <w:r w:rsidR="00203F72" w:rsidRPr="007C58FB">
        <w:t>被墮胎之後的胎兒遺體圖形</w:t>
      </w:r>
      <w:r w:rsidR="00203F72" w:rsidRPr="007C58FB">
        <w:t>(6)</w:t>
      </w:r>
      <w:r w:rsidR="00203F72" w:rsidRPr="007C58FB">
        <w:footnoteReference w:id="1083"/>
      </w:r>
    </w:p>
    <w:p w14:paraId="24DE33F3" w14:textId="77777777" w:rsidR="00953151" w:rsidRDefault="00B03E84" w:rsidP="00D87D91">
      <w:r>
        <w:t>【資料來源】</w:t>
      </w:r>
      <w:r w:rsidR="00203F72" w:rsidRPr="00A53581">
        <w:rPr>
          <w:rFonts w:hint="eastAsia"/>
        </w:rPr>
        <w:t>莫小寶</w:t>
      </w:r>
      <w:r w:rsidR="00203F72" w:rsidRPr="00A53581">
        <w:t>(2013)</w:t>
      </w:r>
      <w:r w:rsidR="00203F72" w:rsidRPr="00A53581">
        <w:rPr>
          <w:rFonts w:hint="eastAsia"/>
        </w:rPr>
        <w:t>，</w:t>
      </w:r>
      <w:r w:rsidR="00203F72" w:rsidRPr="00A53581">
        <w:rPr>
          <w:rFonts w:hint="eastAsia"/>
          <w:bCs/>
        </w:rPr>
        <w:t>不忍直</w:t>
      </w:r>
      <w:r w:rsidR="003E240E">
        <w:rPr>
          <w:rFonts w:hint="eastAsia"/>
          <w:bCs/>
        </w:rPr>
        <w:t>視</w:t>
      </w:r>
      <w:r w:rsidR="00203F72" w:rsidRPr="00A53581">
        <w:rPr>
          <w:rFonts w:hint="eastAsia"/>
          <w:bCs/>
        </w:rPr>
        <w:t>：血淋漓的墮胎場景，</w:t>
      </w:r>
      <w:r w:rsidR="00203F72" w:rsidRPr="00A53581">
        <w:rPr>
          <w:rFonts w:hint="eastAsia"/>
        </w:rPr>
        <w:t>上網瀏覽時間：</w:t>
      </w:r>
      <w:r w:rsidR="00203F72" w:rsidRPr="00A53581">
        <w:t>2015/01/06</w:t>
      </w:r>
      <w:r w:rsidR="00203F72" w:rsidRPr="00A53581">
        <w:rPr>
          <w:rFonts w:hint="eastAsia"/>
        </w:rPr>
        <w:t>，</w:t>
      </w:r>
      <w:hyperlink r:id="rId2619" w:history="1">
        <w:r w:rsidR="00203F72" w:rsidRPr="00A53581">
          <w:rPr>
            <w:rStyle w:val="a5"/>
          </w:rPr>
          <w:t>http://www.tiannv.com/a/MAMA_ME/Pregnancy/2013/144-12120-2.html</w:t>
        </w:r>
      </w:hyperlink>
      <w:r w:rsidR="00203F72" w:rsidRPr="00A53581">
        <w:rPr>
          <w:rFonts w:hint="eastAsia"/>
          <w:b/>
        </w:rPr>
        <w:t>。</w:t>
      </w:r>
    </w:p>
    <w:p w14:paraId="7B7BC92A" w14:textId="77777777" w:rsidR="00203F72" w:rsidRPr="00A53581" w:rsidRDefault="005E23E3" w:rsidP="00D87D91">
      <w:r>
        <w:t xml:space="preserve">　　</w:t>
      </w:r>
      <w:r w:rsidR="00203F72" w:rsidRPr="00A53581">
        <w:t>就目前優生保健</w:t>
      </w:r>
      <w:r w:rsidR="007C58FB" w:rsidRPr="00A53581">
        <w:t>法</w:t>
      </w:r>
      <w:hyperlink r:id="rId2620" w:anchor="a9" w:history="1">
        <w:r w:rsidR="007C58FB" w:rsidRPr="00B56AE1">
          <w:rPr>
            <w:rStyle w:val="a5"/>
          </w:rPr>
          <w:t>第9條</w:t>
        </w:r>
      </w:hyperlink>
      <w:r w:rsidR="00203F72" w:rsidRPr="00A53581">
        <w:t>（人工流產之條件、同意及標準之訂定）第</w:t>
      </w:r>
      <w:r w:rsidR="00203F72" w:rsidRPr="00A53581">
        <w:t>1</w:t>
      </w:r>
      <w:r w:rsidR="00203F72" w:rsidRPr="00A53581">
        <w:t>項之規定，懷孕婦女經診斷或證明有下列情事之一，得依其自願，施行人工流產：</w:t>
      </w:r>
      <w:r w:rsidR="00203F72" w:rsidRPr="00A53581">
        <w:t xml:space="preserve"> </w:t>
      </w:r>
    </w:p>
    <w:p w14:paraId="56E152EF" w14:textId="77777777" w:rsidR="00203F72" w:rsidRPr="00A53581" w:rsidRDefault="005E23E3" w:rsidP="00D87D91">
      <w:r>
        <w:t xml:space="preserve">　　</w:t>
      </w:r>
      <w:r w:rsidR="00203F72" w:rsidRPr="00A53581">
        <w:t>一、本人或其配偶患有礙優生之遺傳性、傳染性疾病或精神疾病者。</w:t>
      </w:r>
    </w:p>
    <w:p w14:paraId="1D376C46" w14:textId="77777777" w:rsidR="00203F72" w:rsidRPr="00A53581" w:rsidRDefault="005E23E3" w:rsidP="00D87D91">
      <w:r>
        <w:t xml:space="preserve">　　</w:t>
      </w:r>
      <w:r w:rsidR="00203F72" w:rsidRPr="00A53581">
        <w:t>二、本人或其配偶之四親等以內之血親患有礙優生之遺傳性疾病者。</w:t>
      </w:r>
    </w:p>
    <w:p w14:paraId="72417DE9" w14:textId="77777777" w:rsidR="00203F72" w:rsidRPr="00A53581" w:rsidRDefault="005E23E3" w:rsidP="00D87D91">
      <w:r>
        <w:t xml:space="preserve">　　</w:t>
      </w:r>
      <w:r w:rsidR="00203F72" w:rsidRPr="00A53581">
        <w:t>三、有醫學上理由，足以認定懷孕或分娩有招致生命危險或危害身體或精神健康者</w:t>
      </w:r>
      <w:r w:rsidR="00545D58">
        <w:t>。</w:t>
      </w:r>
    </w:p>
    <w:p w14:paraId="55885498" w14:textId="77777777" w:rsidR="00203F72" w:rsidRPr="00A53581" w:rsidRDefault="005E23E3" w:rsidP="00D87D91">
      <w:r>
        <w:t xml:space="preserve">　　</w:t>
      </w:r>
      <w:r w:rsidR="00203F72" w:rsidRPr="00A53581">
        <w:t>四、有醫學上理由，足以認定胎兒有畸型發育之虞者</w:t>
      </w:r>
      <w:r w:rsidR="00545D58">
        <w:t>。</w:t>
      </w:r>
    </w:p>
    <w:p w14:paraId="6A223C49" w14:textId="77777777" w:rsidR="00203F72" w:rsidRPr="00A53581" w:rsidRDefault="005E23E3" w:rsidP="00D87D91">
      <w:r>
        <w:t xml:space="preserve">　　</w:t>
      </w:r>
      <w:r w:rsidR="00203F72" w:rsidRPr="00A53581">
        <w:t>五、因被強制性交、誘姦或與依法不得結婚者相姦而受孕者</w:t>
      </w:r>
      <w:r w:rsidR="00545D58">
        <w:t>。</w:t>
      </w:r>
    </w:p>
    <w:p w14:paraId="3E6F9A08" w14:textId="77777777" w:rsidR="00203F72" w:rsidRPr="00A53581" w:rsidRDefault="005E23E3" w:rsidP="00D87D91">
      <w:r>
        <w:t xml:space="preserve">　　</w:t>
      </w:r>
      <w:r w:rsidR="00203F72" w:rsidRPr="00A53581">
        <w:t>六、因懷孕或生產，將影響其心理健康或家庭生活者</w:t>
      </w:r>
      <w:r w:rsidR="00545D58">
        <w:t>。</w:t>
      </w:r>
    </w:p>
    <w:p w14:paraId="5A74F2C1" w14:textId="77777777" w:rsidR="00203F72" w:rsidRPr="00A53581" w:rsidRDefault="00193290" w:rsidP="00D87D91">
      <w:pPr>
        <w:rPr>
          <w:rFonts w:ascii="新細明體" w:hAnsi="新細明體"/>
        </w:rPr>
      </w:pPr>
      <w:r w:rsidRPr="0065661E">
        <w:rPr>
          <w:rFonts w:hint="eastAsia"/>
        </w:rPr>
        <w:t>◇◆</w:t>
      </w:r>
    </w:p>
    <w:p w14:paraId="5391CBC0" w14:textId="77777777" w:rsidR="00203F72" w:rsidRPr="00A53581" w:rsidRDefault="00203F72" w:rsidP="00D87D91">
      <w:r>
        <w:rPr>
          <w:noProof/>
        </w:rPr>
        <w:drawing>
          <wp:inline distT="0" distB="0" distL="0" distR="0" wp14:anchorId="2DF13F37" wp14:editId="1B12D9C7">
            <wp:extent cx="4999355" cy="6718300"/>
            <wp:effectExtent l="0" t="0" r="0" b="6350"/>
            <wp:docPr id="43" name="圖片 43"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不忍直视：血淋漓的堕胎场景"/>
                    <pic:cNvPicPr>
                      <a:picLocks noChangeAspect="1" noChangeArrowheads="1"/>
                    </pic:cNvPicPr>
                  </pic:nvPicPr>
                  <pic:blipFill>
                    <a:blip r:embed="rId2621">
                      <a:extLst>
                        <a:ext uri="{28A0092B-C50C-407E-A947-70E740481C1C}">
                          <a14:useLocalDpi xmlns:a14="http://schemas.microsoft.com/office/drawing/2010/main" val="0"/>
                        </a:ext>
                      </a:extLst>
                    </a:blip>
                    <a:srcRect/>
                    <a:stretch>
                      <a:fillRect/>
                    </a:stretch>
                  </pic:blipFill>
                  <pic:spPr bwMode="auto">
                    <a:xfrm>
                      <a:off x="0" y="0"/>
                      <a:ext cx="4999355" cy="6718300"/>
                    </a:xfrm>
                    <a:prstGeom prst="rect">
                      <a:avLst/>
                    </a:prstGeom>
                    <a:noFill/>
                    <a:ln>
                      <a:noFill/>
                    </a:ln>
                  </pic:spPr>
                </pic:pic>
              </a:graphicData>
            </a:graphic>
          </wp:inline>
        </w:drawing>
      </w:r>
    </w:p>
    <w:p w14:paraId="1B426556" w14:textId="0E15CB25" w:rsidR="00203F72" w:rsidRPr="007C58FB" w:rsidRDefault="00B03E84" w:rsidP="007C58FB">
      <w:r w:rsidRPr="007C58FB">
        <w:t>【</w:t>
      </w:r>
      <w:r w:rsidRPr="007C58FB">
        <w:t>figure</w:t>
      </w:r>
      <w:r w:rsidR="005E23E3" w:rsidRPr="007C58FB">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40</w:t>
      </w:r>
      <w:r w:rsidR="00076467">
        <w:rPr>
          <w:noProof/>
        </w:rPr>
        <w:fldChar w:fldCharType="end"/>
      </w:r>
      <w:r w:rsidR="00203F72" w:rsidRPr="007C58FB">
        <w:t xml:space="preserve"> </w:t>
      </w:r>
      <w:r w:rsidR="00203F72" w:rsidRPr="007C58FB">
        <w:t>被墮胎之後的胎兒遺體圖形</w:t>
      </w:r>
      <w:r w:rsidR="00203F72" w:rsidRPr="007C58FB">
        <w:t>(7)</w:t>
      </w:r>
      <w:r w:rsidR="00203F72" w:rsidRPr="007C58FB">
        <w:footnoteReference w:id="1084"/>
      </w:r>
    </w:p>
    <w:p w14:paraId="5D364CE3" w14:textId="77777777" w:rsidR="00203F72" w:rsidRPr="007C58FB" w:rsidRDefault="00B03E84" w:rsidP="007C58FB">
      <w:r w:rsidRPr="007C58FB">
        <w:t>【資料來源】</w:t>
      </w:r>
      <w:r w:rsidR="00203F72" w:rsidRPr="007C58FB">
        <w:rPr>
          <w:rFonts w:hint="eastAsia"/>
        </w:rPr>
        <w:t>莫小寶</w:t>
      </w:r>
      <w:r w:rsidR="00203F72" w:rsidRPr="007C58FB">
        <w:t>(2013)</w:t>
      </w:r>
      <w:r w:rsidR="00203F72" w:rsidRPr="007C58FB">
        <w:rPr>
          <w:rFonts w:hint="eastAsia"/>
        </w:rPr>
        <w:t>，不忍直</w:t>
      </w:r>
      <w:r w:rsidR="003E240E">
        <w:rPr>
          <w:rFonts w:hint="eastAsia"/>
        </w:rPr>
        <w:t>視</w:t>
      </w:r>
      <w:r w:rsidR="00203F72" w:rsidRPr="007C58FB">
        <w:rPr>
          <w:rFonts w:hint="eastAsia"/>
        </w:rPr>
        <w:t>：血淋漓的墮胎場景，上網瀏覽時間：</w:t>
      </w:r>
      <w:r w:rsidR="00203F72" w:rsidRPr="007C58FB">
        <w:t>2015/01/06</w:t>
      </w:r>
      <w:r w:rsidR="00203F72" w:rsidRPr="007C58FB">
        <w:rPr>
          <w:rFonts w:hint="eastAsia"/>
        </w:rPr>
        <w:t>，</w:t>
      </w:r>
      <w:hyperlink r:id="rId2622" w:history="1">
        <w:r w:rsidR="00203F72" w:rsidRPr="007C58FB">
          <w:rPr>
            <w:rStyle w:val="a5"/>
          </w:rPr>
          <w:t>http://www.tiannv.com/a/MAMA_ME/Pregnancy/2013/144-12120-2.html</w:t>
        </w:r>
      </w:hyperlink>
      <w:r w:rsidR="00203F72" w:rsidRPr="007C58FB">
        <w:rPr>
          <w:rFonts w:hint="eastAsia"/>
        </w:rPr>
        <w:t>。</w:t>
      </w:r>
      <w:r w:rsidR="00193290" w:rsidRPr="007C58FB">
        <w:rPr>
          <w:rFonts w:hint="eastAsia"/>
          <w:color w:val="FFFFFF" w:themeColor="background1"/>
        </w:rPr>
        <w:t>◇◆</w:t>
      </w:r>
    </w:p>
    <w:p w14:paraId="07308699" w14:textId="77777777" w:rsidR="00953151" w:rsidRDefault="00953151" w:rsidP="00D87D91"/>
    <w:p w14:paraId="6BA83ECC" w14:textId="77777777" w:rsidR="00203F72" w:rsidRPr="00A53581" w:rsidRDefault="00203F72" w:rsidP="00D87D91">
      <w:r>
        <w:rPr>
          <w:noProof/>
        </w:rPr>
        <w:drawing>
          <wp:inline distT="0" distB="0" distL="0" distR="0" wp14:anchorId="3D3974FE" wp14:editId="604A1BF9">
            <wp:extent cx="5240655" cy="4932045"/>
            <wp:effectExtent l="0" t="0" r="0" b="1905"/>
            <wp:docPr id="44" name="圖片 44"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不忍直视：血淋漓的堕胎场景"/>
                    <pic:cNvPicPr>
                      <a:picLocks noChangeAspect="1" noChangeArrowheads="1"/>
                    </pic:cNvPicPr>
                  </pic:nvPicPr>
                  <pic:blipFill>
                    <a:blip r:embed="rId2623">
                      <a:extLst>
                        <a:ext uri="{28A0092B-C50C-407E-A947-70E740481C1C}">
                          <a14:useLocalDpi xmlns:a14="http://schemas.microsoft.com/office/drawing/2010/main" val="0"/>
                        </a:ext>
                      </a:extLst>
                    </a:blip>
                    <a:srcRect/>
                    <a:stretch>
                      <a:fillRect/>
                    </a:stretch>
                  </pic:blipFill>
                  <pic:spPr bwMode="auto">
                    <a:xfrm>
                      <a:off x="0" y="0"/>
                      <a:ext cx="5240655" cy="4932045"/>
                    </a:xfrm>
                    <a:prstGeom prst="rect">
                      <a:avLst/>
                    </a:prstGeom>
                    <a:noFill/>
                    <a:ln>
                      <a:noFill/>
                    </a:ln>
                  </pic:spPr>
                </pic:pic>
              </a:graphicData>
            </a:graphic>
          </wp:inline>
        </w:drawing>
      </w:r>
    </w:p>
    <w:p w14:paraId="307E0030" w14:textId="444BCA55" w:rsidR="00203F72" w:rsidRPr="007C58FB" w:rsidRDefault="00B03E84" w:rsidP="007C58FB">
      <w:r w:rsidRPr="007C58FB">
        <w:t>【</w:t>
      </w:r>
      <w:r w:rsidRPr="007C58FB">
        <w:t>figure</w:t>
      </w:r>
      <w:r w:rsidR="005E23E3" w:rsidRPr="007C58FB">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41</w:t>
      </w:r>
      <w:r w:rsidR="00076467">
        <w:rPr>
          <w:noProof/>
        </w:rPr>
        <w:fldChar w:fldCharType="end"/>
      </w:r>
      <w:r w:rsidR="00203F72" w:rsidRPr="007C58FB">
        <w:t xml:space="preserve"> </w:t>
      </w:r>
      <w:r w:rsidR="00203F72" w:rsidRPr="007C58FB">
        <w:t>被墮胎之後的胎兒遺體圖形</w:t>
      </w:r>
      <w:r w:rsidR="00203F72" w:rsidRPr="007C58FB">
        <w:t>(8)</w:t>
      </w:r>
      <w:r w:rsidR="00203F72" w:rsidRPr="007C58FB">
        <w:footnoteReference w:id="1085"/>
      </w:r>
    </w:p>
    <w:p w14:paraId="6CD9F073" w14:textId="77777777" w:rsidR="00953151" w:rsidRDefault="00B03E84" w:rsidP="007C58FB">
      <w:r w:rsidRPr="007C58FB">
        <w:t>【資料來源】</w:t>
      </w:r>
      <w:r w:rsidR="00203F72" w:rsidRPr="007C58FB">
        <w:rPr>
          <w:rFonts w:hint="eastAsia"/>
        </w:rPr>
        <w:t>莫小寶</w:t>
      </w:r>
      <w:r w:rsidR="00203F72" w:rsidRPr="007C58FB">
        <w:t>(2013)</w:t>
      </w:r>
      <w:r w:rsidR="00203F72" w:rsidRPr="007C58FB">
        <w:rPr>
          <w:rFonts w:hint="eastAsia"/>
        </w:rPr>
        <w:t>，不忍直</w:t>
      </w:r>
      <w:r w:rsidR="003E240E">
        <w:rPr>
          <w:rFonts w:hint="eastAsia"/>
        </w:rPr>
        <w:t>視</w:t>
      </w:r>
      <w:r w:rsidR="00203F72" w:rsidRPr="007C58FB">
        <w:rPr>
          <w:rFonts w:hint="eastAsia"/>
        </w:rPr>
        <w:t>：血淋漓的墮胎場景，上網瀏覽時間：</w:t>
      </w:r>
      <w:r w:rsidR="00203F72" w:rsidRPr="007C58FB">
        <w:t>2015/01/06</w:t>
      </w:r>
      <w:r w:rsidR="00203F72" w:rsidRPr="007C58FB">
        <w:rPr>
          <w:rFonts w:hint="eastAsia"/>
        </w:rPr>
        <w:t>，</w:t>
      </w:r>
      <w:hyperlink r:id="rId2624" w:history="1">
        <w:r w:rsidR="00203F72" w:rsidRPr="00A53581">
          <w:rPr>
            <w:rStyle w:val="a5"/>
          </w:rPr>
          <w:t>http://www.tiannv.com/a/MAMA_ME/Pregnancy/2013/144-12120-2.html</w:t>
        </w:r>
      </w:hyperlink>
      <w:r w:rsidR="00203F72" w:rsidRPr="00A53581">
        <w:rPr>
          <w:rFonts w:hint="eastAsia"/>
          <w:b/>
        </w:rPr>
        <w:t>。</w:t>
      </w:r>
    </w:p>
    <w:p w14:paraId="7FEA62C3" w14:textId="77777777" w:rsidR="00953151" w:rsidRDefault="005E23E3" w:rsidP="00D87D91">
      <w:r>
        <w:t xml:space="preserve">　　</w:t>
      </w:r>
      <w:r w:rsidR="00203F72" w:rsidRPr="00A53581">
        <w:t>由於人類胚胎及胎兒具有生命權及生存權，故上述優生保健</w:t>
      </w:r>
      <w:r w:rsidR="007C58FB" w:rsidRPr="00A53581">
        <w:t>法</w:t>
      </w:r>
      <w:hyperlink r:id="rId2625" w:anchor="a9" w:history="1">
        <w:r w:rsidR="007C58FB" w:rsidRPr="00B56AE1">
          <w:rPr>
            <w:rStyle w:val="a5"/>
          </w:rPr>
          <w:t>第9條</w:t>
        </w:r>
      </w:hyperlink>
      <w:r w:rsidR="00203F72" w:rsidRPr="00A53581">
        <w:t>第</w:t>
      </w:r>
      <w:r w:rsidR="00203F72" w:rsidRPr="00A53581">
        <w:t>1</w:t>
      </w:r>
      <w:r w:rsidR="00203F72" w:rsidRPr="00A53581">
        <w:t>項中之第</w:t>
      </w:r>
      <w:r w:rsidR="00203F72" w:rsidRPr="00A53581">
        <w:t>1</w:t>
      </w:r>
      <w:r w:rsidR="00203F72" w:rsidRPr="00A53581">
        <w:t>款、第</w:t>
      </w:r>
      <w:r w:rsidR="00203F72" w:rsidRPr="00A53581">
        <w:t>2</w:t>
      </w:r>
      <w:r w:rsidR="00203F72" w:rsidRPr="00A53581">
        <w:t>款、第</w:t>
      </w:r>
      <w:r w:rsidR="00203F72" w:rsidRPr="00A53581">
        <w:t>3</w:t>
      </w:r>
      <w:r w:rsidR="00203F72" w:rsidRPr="00A53581">
        <w:t>款後半段、第</w:t>
      </w:r>
      <w:r w:rsidR="00203F72" w:rsidRPr="00A53581">
        <w:t>4</w:t>
      </w:r>
      <w:r w:rsidR="00203F72" w:rsidRPr="00A53581">
        <w:t>款、第</w:t>
      </w:r>
      <w:r w:rsidR="00203F72" w:rsidRPr="00A53581">
        <w:t>5</w:t>
      </w:r>
      <w:r w:rsidR="00203F72" w:rsidRPr="00A53581">
        <w:t>款及第</w:t>
      </w:r>
      <w:r w:rsidR="00203F72" w:rsidRPr="00A53581">
        <w:t>6</w:t>
      </w:r>
      <w:r w:rsidR="00203F72" w:rsidRPr="00A53581">
        <w:t>款等規定之內容，非常明顯地，均不足作為剝奪人類胚胎及未出生胎兒生命權及生存權之理由。而優生保健</w:t>
      </w:r>
      <w:r w:rsidR="007C58FB" w:rsidRPr="00A53581">
        <w:t>法</w:t>
      </w:r>
      <w:hyperlink r:id="rId2626" w:anchor="a9" w:history="1">
        <w:r w:rsidR="007C58FB" w:rsidRPr="00B56AE1">
          <w:rPr>
            <w:rStyle w:val="a5"/>
          </w:rPr>
          <w:t>第9條</w:t>
        </w:r>
      </w:hyperlink>
      <w:r w:rsidR="00203F72" w:rsidRPr="00A53581">
        <w:t>第</w:t>
      </w:r>
      <w:r w:rsidR="00203F72" w:rsidRPr="00A53581">
        <w:t>1</w:t>
      </w:r>
      <w:r w:rsidR="00203F72" w:rsidRPr="00A53581">
        <w:t>項中之第</w:t>
      </w:r>
      <w:r w:rsidR="00203F72" w:rsidRPr="00A53581">
        <w:t>3</w:t>
      </w:r>
      <w:r w:rsidR="00203F72" w:rsidRPr="00A53581">
        <w:t>款，有醫學上理由，足以認定懷孕或分娩有危害身體或精神健康情形，其與人類胚胎及胎兒具有無上生命權及生存權之人權相較，亦無法作為剝奪人類胚胎及胎兒具有生命權及生存權之事由。</w:t>
      </w:r>
    </w:p>
    <w:p w14:paraId="5DDBBDC3" w14:textId="77777777" w:rsidR="00953151" w:rsidRDefault="005E23E3" w:rsidP="00D87D91">
      <w:r>
        <w:t xml:space="preserve">　　</w:t>
      </w:r>
      <w:r w:rsidR="00203F72" w:rsidRPr="00A53581">
        <w:t>優生保健</w:t>
      </w:r>
      <w:r w:rsidR="007C58FB" w:rsidRPr="00A53581">
        <w:t>法</w:t>
      </w:r>
      <w:hyperlink r:id="rId2627" w:anchor="a9" w:history="1">
        <w:r w:rsidR="007C58FB" w:rsidRPr="00B56AE1">
          <w:rPr>
            <w:rStyle w:val="a5"/>
          </w:rPr>
          <w:t>第9條</w:t>
        </w:r>
      </w:hyperlink>
      <w:r w:rsidR="00203F72" w:rsidRPr="00A53581">
        <w:t>第</w:t>
      </w:r>
      <w:r w:rsidR="00203F72" w:rsidRPr="00A53581">
        <w:t>1</w:t>
      </w:r>
      <w:r w:rsidR="00203F72" w:rsidRPr="00A53581">
        <w:t>項中之第</w:t>
      </w:r>
      <w:r w:rsidR="00203F72" w:rsidRPr="00A53581">
        <w:t>3</w:t>
      </w:r>
      <w:r w:rsidR="00203F72" w:rsidRPr="00A53581">
        <w:t>款，有醫學上理由，足以認定懷孕或分娩有招致生命危險，考量母親之生命權與人類胚胎及胎兒之生命權及生存權之人權相較，母親之生命權似應重於人類胚胎及胎兒之生命權及生存權，在此情形之下，或可賦予懷孕婦女經診斷或證明果真具有此種情事者，得依其自願，施行人工流產。其他之情形，考量人類胚胎及胎兒具有無上生命權及生存權之人權，均是無法作為剝奪人類胚胎及胎兒具有生命權及生存權之事由。</w:t>
      </w:r>
      <w:r w:rsidR="00193290" w:rsidRPr="0065661E">
        <w:rPr>
          <w:rFonts w:hint="eastAsia"/>
          <w:color w:val="FFFFFF" w:themeColor="background1"/>
        </w:rPr>
        <w:t>◇◆</w:t>
      </w:r>
    </w:p>
    <w:p w14:paraId="520BC378" w14:textId="77777777" w:rsidR="00203F72" w:rsidRPr="007C58FB" w:rsidRDefault="00203F72" w:rsidP="007C58FB">
      <w:r w:rsidRPr="007C58FB">
        <w:rPr>
          <w:noProof/>
        </w:rPr>
        <w:drawing>
          <wp:inline distT="0" distB="0" distL="0" distR="0" wp14:anchorId="16200849" wp14:editId="65EA906A">
            <wp:extent cx="5097145" cy="5545455"/>
            <wp:effectExtent l="0" t="0" r="8255" b="0"/>
            <wp:docPr id="45" name="圖片 45"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不忍直视：血淋漓的堕胎场景"/>
                    <pic:cNvPicPr>
                      <a:picLocks noChangeAspect="1" noChangeArrowheads="1"/>
                    </pic:cNvPicPr>
                  </pic:nvPicPr>
                  <pic:blipFill>
                    <a:blip r:embed="rId2628">
                      <a:extLst>
                        <a:ext uri="{28A0092B-C50C-407E-A947-70E740481C1C}">
                          <a14:useLocalDpi xmlns:a14="http://schemas.microsoft.com/office/drawing/2010/main" val="0"/>
                        </a:ext>
                      </a:extLst>
                    </a:blip>
                    <a:srcRect/>
                    <a:stretch>
                      <a:fillRect/>
                    </a:stretch>
                  </pic:blipFill>
                  <pic:spPr bwMode="auto">
                    <a:xfrm>
                      <a:off x="0" y="0"/>
                      <a:ext cx="5097145" cy="5545455"/>
                    </a:xfrm>
                    <a:prstGeom prst="rect">
                      <a:avLst/>
                    </a:prstGeom>
                    <a:noFill/>
                    <a:ln>
                      <a:noFill/>
                    </a:ln>
                  </pic:spPr>
                </pic:pic>
              </a:graphicData>
            </a:graphic>
          </wp:inline>
        </w:drawing>
      </w:r>
    </w:p>
    <w:p w14:paraId="2856C66F" w14:textId="269DEDE8" w:rsidR="00203F72" w:rsidRPr="007C58FB" w:rsidRDefault="00B03E84" w:rsidP="007C58FB">
      <w:r w:rsidRPr="007C58FB">
        <w:t>【</w:t>
      </w:r>
      <w:r w:rsidRPr="007C58FB">
        <w:t>figure</w:t>
      </w:r>
      <w:r w:rsidR="005E23E3" w:rsidRPr="007C58FB">
        <w:t>】</w:t>
      </w:r>
      <w:r w:rsidR="00076467">
        <w:rPr>
          <w:noProof/>
        </w:rPr>
        <w:fldChar w:fldCharType="begin"/>
      </w:r>
      <w:r w:rsidR="00076467">
        <w:rPr>
          <w:noProof/>
        </w:rPr>
        <w:instrText xml:space="preserve"> SEQ</w:instrText>
      </w:r>
      <w:r w:rsidR="00076467">
        <w:rPr>
          <w:noProof/>
        </w:rPr>
        <w:instrText xml:space="preserve"> Figure \* ARABIC </w:instrText>
      </w:r>
      <w:r w:rsidR="00076467">
        <w:rPr>
          <w:noProof/>
        </w:rPr>
        <w:fldChar w:fldCharType="separate"/>
      </w:r>
      <w:r w:rsidR="00D935B9">
        <w:rPr>
          <w:noProof/>
        </w:rPr>
        <w:t>42</w:t>
      </w:r>
      <w:r w:rsidR="00076467">
        <w:rPr>
          <w:noProof/>
        </w:rPr>
        <w:fldChar w:fldCharType="end"/>
      </w:r>
      <w:r w:rsidR="00203F72" w:rsidRPr="007C58FB">
        <w:t xml:space="preserve"> </w:t>
      </w:r>
      <w:r w:rsidR="00203F72" w:rsidRPr="007C58FB">
        <w:t>被墮胎之後的胎兒遺體圖形</w:t>
      </w:r>
      <w:r w:rsidR="00203F72" w:rsidRPr="007C58FB">
        <w:t>(9)</w:t>
      </w:r>
      <w:r w:rsidR="00203F72" w:rsidRPr="007C58FB">
        <w:footnoteReference w:id="1086"/>
      </w:r>
    </w:p>
    <w:p w14:paraId="2407631F" w14:textId="77777777" w:rsidR="00953151" w:rsidRPr="007C58FB" w:rsidRDefault="00B03E84" w:rsidP="007C58FB">
      <w:r w:rsidRPr="007C58FB">
        <w:t>【資料來源】</w:t>
      </w:r>
      <w:r w:rsidR="00203F72" w:rsidRPr="007C58FB">
        <w:rPr>
          <w:rFonts w:hint="eastAsia"/>
        </w:rPr>
        <w:t>莫小寶</w:t>
      </w:r>
      <w:r w:rsidR="00203F72" w:rsidRPr="007C58FB">
        <w:t>(2013)</w:t>
      </w:r>
      <w:r w:rsidR="00203F72" w:rsidRPr="007C58FB">
        <w:rPr>
          <w:rFonts w:hint="eastAsia"/>
        </w:rPr>
        <w:t>，不忍直</w:t>
      </w:r>
      <w:r w:rsidR="003E240E">
        <w:rPr>
          <w:rFonts w:hint="eastAsia"/>
        </w:rPr>
        <w:t>視</w:t>
      </w:r>
      <w:r w:rsidR="00203F72" w:rsidRPr="007C58FB">
        <w:rPr>
          <w:rFonts w:hint="eastAsia"/>
        </w:rPr>
        <w:t>：血淋漓的墮胎場景，上網瀏覽時間：</w:t>
      </w:r>
      <w:r w:rsidR="00203F72" w:rsidRPr="007C58FB">
        <w:t>2015/01/06</w:t>
      </w:r>
      <w:r w:rsidR="00203F72" w:rsidRPr="007C58FB">
        <w:rPr>
          <w:rFonts w:hint="eastAsia"/>
        </w:rPr>
        <w:t>，</w:t>
      </w:r>
      <w:hyperlink r:id="rId2629" w:history="1">
        <w:r w:rsidR="00203F72" w:rsidRPr="007C58FB">
          <w:rPr>
            <w:rStyle w:val="a5"/>
          </w:rPr>
          <w:t>http://www.tiannv.com/a/MAMA_ME/Pregnancy/2013/144-12120-2.html</w:t>
        </w:r>
      </w:hyperlink>
      <w:r w:rsidR="00203F72" w:rsidRPr="007C58FB">
        <w:rPr>
          <w:rFonts w:hint="eastAsia"/>
        </w:rPr>
        <w:t>。</w:t>
      </w:r>
      <w:r w:rsidR="00193290" w:rsidRPr="007C58FB">
        <w:rPr>
          <w:rFonts w:hint="eastAsia"/>
        </w:rPr>
        <w:t>◇◆</w:t>
      </w:r>
    </w:p>
    <w:p w14:paraId="4A726B16" w14:textId="77777777" w:rsidR="00203F72" w:rsidRPr="00A53581" w:rsidRDefault="00203F72" w:rsidP="00D87D91"/>
    <w:p w14:paraId="22830821" w14:textId="77777777" w:rsidR="00203F72" w:rsidRPr="00A53581" w:rsidRDefault="00203F72" w:rsidP="00D87D91">
      <w:r>
        <w:rPr>
          <w:noProof/>
        </w:rPr>
        <w:drawing>
          <wp:inline distT="0" distB="0" distL="0" distR="0" wp14:anchorId="72B31FAD" wp14:editId="5CD322A3">
            <wp:extent cx="5037455" cy="4669155"/>
            <wp:effectExtent l="0" t="0" r="0" b="0"/>
            <wp:docPr id="46" name="irc_mi" descr="04">
              <a:hlinkClick xmlns:a="http://schemas.openxmlformats.org/drawingml/2006/main" r:id="rId2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04"/>
                    <pic:cNvPicPr>
                      <a:picLocks noChangeAspect="1" noChangeArrowheads="1"/>
                    </pic:cNvPicPr>
                  </pic:nvPicPr>
                  <pic:blipFill>
                    <a:blip r:embed="rId2631">
                      <a:extLst>
                        <a:ext uri="{28A0092B-C50C-407E-A947-70E740481C1C}">
                          <a14:useLocalDpi xmlns:a14="http://schemas.microsoft.com/office/drawing/2010/main" val="0"/>
                        </a:ext>
                      </a:extLst>
                    </a:blip>
                    <a:srcRect/>
                    <a:stretch>
                      <a:fillRect/>
                    </a:stretch>
                  </pic:blipFill>
                  <pic:spPr bwMode="auto">
                    <a:xfrm>
                      <a:off x="0" y="0"/>
                      <a:ext cx="5037455" cy="4669155"/>
                    </a:xfrm>
                    <a:prstGeom prst="rect">
                      <a:avLst/>
                    </a:prstGeom>
                    <a:noFill/>
                    <a:ln>
                      <a:noFill/>
                    </a:ln>
                  </pic:spPr>
                </pic:pic>
              </a:graphicData>
            </a:graphic>
          </wp:inline>
        </w:drawing>
      </w:r>
    </w:p>
    <w:p w14:paraId="17DBAB5D" w14:textId="438203E3" w:rsidR="00203F72" w:rsidRPr="007C58FB" w:rsidRDefault="00B03E84" w:rsidP="007C58FB">
      <w:r w:rsidRPr="007C58FB">
        <w:t>【</w:t>
      </w:r>
      <w:r w:rsidRPr="007C58FB">
        <w:t>figure</w:t>
      </w:r>
      <w:r w:rsidR="005E23E3" w:rsidRPr="007C58FB">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43</w:t>
      </w:r>
      <w:r w:rsidR="00076467">
        <w:rPr>
          <w:noProof/>
        </w:rPr>
        <w:fldChar w:fldCharType="end"/>
      </w:r>
      <w:r w:rsidR="00203F72" w:rsidRPr="007C58FB">
        <w:t xml:space="preserve"> </w:t>
      </w:r>
      <w:r w:rsidR="00203F72" w:rsidRPr="007C58FB">
        <w:t>被墮胎之後的胎兒遺體圖形</w:t>
      </w:r>
      <w:r w:rsidR="00203F72" w:rsidRPr="007C58FB">
        <w:t>(10)</w:t>
      </w:r>
      <w:r w:rsidR="00203F72" w:rsidRPr="007C58FB">
        <w:footnoteReference w:id="1087"/>
      </w:r>
    </w:p>
    <w:p w14:paraId="6149CC4D" w14:textId="77777777" w:rsidR="00953151" w:rsidRPr="007C58FB" w:rsidRDefault="00B03E84" w:rsidP="007C58FB">
      <w:r w:rsidRPr="007C58FB">
        <w:t>【資料來源】</w:t>
      </w:r>
      <w:r w:rsidR="00203F72" w:rsidRPr="007C58FB">
        <w:t>Anchalee Chaiworaporn(2002)</w:t>
      </w:r>
      <w:r w:rsidR="00203F72" w:rsidRPr="007C58FB">
        <w:rPr>
          <w:rFonts w:hint="eastAsia"/>
        </w:rPr>
        <w:t>，上網瀏覽時間：</w:t>
      </w:r>
      <w:r w:rsidR="00203F72" w:rsidRPr="007C58FB">
        <w:t>2015/01/06</w:t>
      </w:r>
      <w:r w:rsidR="00203F72" w:rsidRPr="007C58FB">
        <w:rPr>
          <w:rFonts w:hint="eastAsia"/>
        </w:rPr>
        <w:t>，</w:t>
      </w:r>
      <w:hyperlink r:id="rId2632" w:history="1">
        <w:r w:rsidR="00203F72" w:rsidRPr="007C58FB">
          <w:rPr>
            <w:rStyle w:val="a5"/>
          </w:rPr>
          <w:t>http://www.thaicinema.org/kits295dek2002.php</w:t>
        </w:r>
      </w:hyperlink>
      <w:r w:rsidR="00203F72" w:rsidRPr="007C58FB">
        <w:rPr>
          <w:rFonts w:hint="eastAsia"/>
        </w:rPr>
        <w:t>。</w:t>
      </w:r>
    </w:p>
    <w:p w14:paraId="672F84AE" w14:textId="77777777" w:rsidR="00953151" w:rsidRDefault="005E23E3" w:rsidP="00D87D91">
      <w:r>
        <w:t xml:space="preserve">　　</w:t>
      </w:r>
      <w:r w:rsidR="00203F72" w:rsidRPr="00A53581">
        <w:t>綜上所述，本書認為，唯有在有醫學上強而有力之理由下，足以認定懷孕或分娩有招致生命危險之情形時，考量母親之生命權與生存權，優先於人類胚胎及胎兒之生命權及生存權，在此時，始可剝奪人類胚胎及胎兒所具有之生命權及生存權，此是兩者生命權法益相互衝突之下，非常不得已之選擇。假若上述兩者生命權法益並未相互衝突，則實宜站在憲法之高度與位階，積極保障人類胎兒之生命權及生存權。</w:t>
      </w:r>
      <w:r w:rsidR="00193290" w:rsidRPr="0065661E">
        <w:rPr>
          <w:rFonts w:hint="eastAsia"/>
          <w:color w:val="FFFFFF" w:themeColor="background1"/>
        </w:rPr>
        <w:t>◇◆</w:t>
      </w:r>
    </w:p>
    <w:p w14:paraId="2501F7D5" w14:textId="77777777" w:rsidR="00203F72" w:rsidRPr="00A53581" w:rsidRDefault="00203F72" w:rsidP="00D87D91">
      <w:r>
        <w:rPr>
          <w:noProof/>
        </w:rPr>
        <w:drawing>
          <wp:inline distT="0" distB="0" distL="0" distR="0" wp14:anchorId="2AE4AB8C" wp14:editId="2195D5A8">
            <wp:extent cx="5240655" cy="4817745"/>
            <wp:effectExtent l="0" t="0" r="0" b="1905"/>
            <wp:docPr id="47" name="irc_mi" descr="1386569048700833712">
              <a:hlinkClick xmlns:a="http://schemas.openxmlformats.org/drawingml/2006/main" r:id="rId2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1386569048700833712"/>
                    <pic:cNvPicPr>
                      <a:picLocks noChangeAspect="1" noChangeArrowheads="1"/>
                    </pic:cNvPicPr>
                  </pic:nvPicPr>
                  <pic:blipFill>
                    <a:blip r:embed="rId2634">
                      <a:extLst>
                        <a:ext uri="{28A0092B-C50C-407E-A947-70E740481C1C}">
                          <a14:useLocalDpi xmlns:a14="http://schemas.microsoft.com/office/drawing/2010/main" val="0"/>
                        </a:ext>
                      </a:extLst>
                    </a:blip>
                    <a:srcRect/>
                    <a:stretch>
                      <a:fillRect/>
                    </a:stretch>
                  </pic:blipFill>
                  <pic:spPr bwMode="auto">
                    <a:xfrm>
                      <a:off x="0" y="0"/>
                      <a:ext cx="5240655" cy="4817745"/>
                    </a:xfrm>
                    <a:prstGeom prst="rect">
                      <a:avLst/>
                    </a:prstGeom>
                    <a:noFill/>
                    <a:ln>
                      <a:noFill/>
                    </a:ln>
                  </pic:spPr>
                </pic:pic>
              </a:graphicData>
            </a:graphic>
          </wp:inline>
        </w:drawing>
      </w:r>
    </w:p>
    <w:p w14:paraId="578D5A14" w14:textId="631F4138" w:rsidR="00203F72" w:rsidRPr="007C58FB" w:rsidRDefault="00B03E84" w:rsidP="007C58FB">
      <w:r w:rsidRPr="007C58FB">
        <w:t>【</w:t>
      </w:r>
      <w:r w:rsidRPr="007C58FB">
        <w:t>figure</w:t>
      </w:r>
      <w:r w:rsidR="005E23E3" w:rsidRPr="007C58FB">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44</w:t>
      </w:r>
      <w:r w:rsidR="00076467">
        <w:rPr>
          <w:noProof/>
        </w:rPr>
        <w:fldChar w:fldCharType="end"/>
      </w:r>
      <w:r w:rsidR="00203F72" w:rsidRPr="007C58FB">
        <w:t xml:space="preserve"> </w:t>
      </w:r>
      <w:r w:rsidR="00203F72" w:rsidRPr="007C58FB">
        <w:t>被墮胎之後的胎兒遺體圖形</w:t>
      </w:r>
      <w:r w:rsidR="00203F72" w:rsidRPr="007C58FB">
        <w:t>(11)</w:t>
      </w:r>
      <w:r w:rsidR="00203F72" w:rsidRPr="007C58FB">
        <w:footnoteReference w:id="1088"/>
      </w:r>
    </w:p>
    <w:p w14:paraId="64C597D7" w14:textId="77777777" w:rsidR="00953151" w:rsidRDefault="00B03E84" w:rsidP="00D87D91">
      <w:r>
        <w:t>【資料來源】</w:t>
      </w:r>
      <w:r w:rsidR="00203F72" w:rsidRPr="00A53581">
        <w:rPr>
          <w:rFonts w:cs="Arial"/>
        </w:rPr>
        <w:t>TOM.COM(2013)</w:t>
      </w:r>
      <w:r w:rsidR="00203F72" w:rsidRPr="00A53581">
        <w:rPr>
          <w:rFonts w:cs="Arial" w:hint="eastAsia"/>
        </w:rPr>
        <w:t>，</w:t>
      </w:r>
      <w:r w:rsidR="00203F72" w:rsidRPr="00A53581">
        <w:rPr>
          <w:rFonts w:hint="eastAsia"/>
          <w:bCs/>
          <w:kern w:val="36"/>
        </w:rPr>
        <w:t>血淋淋的墮胎照片，謹慎觀看！</w:t>
      </w:r>
      <w:r w:rsidR="00203F72" w:rsidRPr="00A53581">
        <w:rPr>
          <w:bCs/>
          <w:kern w:val="36"/>
        </w:rPr>
        <w:t>(</w:t>
      </w:r>
      <w:r w:rsidR="00203F72" w:rsidRPr="00A53581">
        <w:rPr>
          <w:rFonts w:hint="eastAsia"/>
          <w:bCs/>
          <w:kern w:val="36"/>
        </w:rPr>
        <w:t>圖</w:t>
      </w:r>
      <w:r w:rsidR="00203F72" w:rsidRPr="00A53581">
        <w:rPr>
          <w:bCs/>
          <w:kern w:val="36"/>
        </w:rPr>
        <w:t>)</w:t>
      </w:r>
      <w:r w:rsidR="00203F72" w:rsidRPr="00A53581">
        <w:rPr>
          <w:rFonts w:hint="eastAsia"/>
          <w:bCs/>
          <w:kern w:val="36"/>
        </w:rPr>
        <w:t>，</w:t>
      </w:r>
      <w:r w:rsidR="00203F72" w:rsidRPr="00A53581">
        <w:rPr>
          <w:rFonts w:hint="eastAsia"/>
        </w:rPr>
        <w:t>上網瀏覽時間：</w:t>
      </w:r>
      <w:r w:rsidR="00203F72" w:rsidRPr="00A53581">
        <w:t>2015/01/06</w:t>
      </w:r>
      <w:r w:rsidR="00203F72" w:rsidRPr="00A53581">
        <w:rPr>
          <w:rFonts w:hint="eastAsia"/>
        </w:rPr>
        <w:t>，</w:t>
      </w:r>
      <w:hyperlink r:id="rId2635" w:anchor="picchange" w:history="1">
        <w:r w:rsidR="00203F72" w:rsidRPr="00A53581">
          <w:rPr>
            <w:rStyle w:val="a5"/>
          </w:rPr>
          <w:t>http://slides.discovery.tom.com/vw/345806-1.html#picchange</w:t>
        </w:r>
      </w:hyperlink>
      <w:r w:rsidR="00203F72" w:rsidRPr="00A53581">
        <w:rPr>
          <w:rFonts w:hint="eastAsia"/>
        </w:rPr>
        <w:t>。</w:t>
      </w:r>
    </w:p>
    <w:p w14:paraId="0B5F0680" w14:textId="77777777" w:rsidR="00953151" w:rsidRDefault="005E23E3" w:rsidP="00D87D91">
      <w:r>
        <w:t xml:space="preserve">　　</w:t>
      </w:r>
      <w:r w:rsidR="00203F72" w:rsidRPr="00A53581">
        <w:t>雖然人類未出生胎兒之身軀，是如此之弱小與無助，但人類即是從如此之弱小與無助之身軀，逐漸發育長大。人類未出生胎兒未來之人生，具有無限延展之機會、光明與可能性，故憲法宜積極保障人類胎兒之生命權及生存權，令其未來之人生，有被實踐與開展之可能性。我國增修條文之現況，尚未積極保障人類胎兒之生命權及生存權，實屬一大立憲缺陷與漏洞。憲法是人民生命的守護神，而非人民生命的殺手與天敵，由此，亦可看出我國憲法對於人類未出生胎兒之人性尊嚴與生命的不重</w:t>
      </w:r>
      <w:r w:rsidR="003E240E">
        <w:t>視</w:t>
      </w:r>
      <w:r w:rsidR="00203F72" w:rsidRPr="00A53581">
        <w:t>、漠</w:t>
      </w:r>
      <w:r w:rsidR="003E240E">
        <w:t>視</w:t>
      </w:r>
      <w:r w:rsidR="00203F72" w:rsidRPr="00A53581">
        <w:t>與</w:t>
      </w:r>
      <w:r w:rsidR="003E240E">
        <w:t>視</w:t>
      </w:r>
      <w:r w:rsidR="00203F72" w:rsidRPr="00A53581">
        <w:t>之如無物。我國憲法本文與增修條文，對胚胎與胎兒之人命，如此的踐踏，亦是相當可悲的一件事。</w:t>
      </w:r>
    </w:p>
    <w:p w14:paraId="5789057C" w14:textId="77777777" w:rsidR="00953151" w:rsidRDefault="005E23E3" w:rsidP="00D87D91">
      <w:r>
        <w:t xml:space="preserve">　　</w:t>
      </w:r>
      <w:r w:rsidR="00203F72" w:rsidRPr="00A53581">
        <w:t>由此亦可看出，我國憲法本文與增修條文，在保障胚胎與胎兒之人性尊嚴與生命領域之上，是如此的軟弱無力、無用與無奈，我國憲法本文與增修條文之效力，遠比優生保健法還不如，優生保健法宛如憲法本文與增修條文之上位法，憲法本文與增修條文宛如優生保健法之下位法。優生保健法宛如君主與國王，憲法本文與增修條文卻淪為相當無用及無能之家臣與奴隸。</w:t>
      </w:r>
      <w:r w:rsidR="00193290" w:rsidRPr="0065661E">
        <w:rPr>
          <w:rFonts w:hint="eastAsia"/>
          <w:color w:val="FFFFFF" w:themeColor="background1"/>
        </w:rPr>
        <w:t>◇◆</w:t>
      </w:r>
    </w:p>
    <w:p w14:paraId="3EA44D99" w14:textId="77777777" w:rsidR="00203F72" w:rsidRPr="00A53581" w:rsidRDefault="00203F72" w:rsidP="00D87D91">
      <w:r>
        <w:rPr>
          <w:noProof/>
        </w:rPr>
        <w:drawing>
          <wp:inline distT="0" distB="0" distL="0" distR="0" wp14:anchorId="0C323F90" wp14:editId="7EBD2D42">
            <wp:extent cx="5008245" cy="2138045"/>
            <wp:effectExtent l="0" t="0" r="1905" b="0"/>
            <wp:docPr id="48" name="irc_mi" descr="20130115182721006">
              <a:hlinkClick xmlns:a="http://schemas.openxmlformats.org/drawingml/2006/main" r:id="rId2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20130115182721006"/>
                    <pic:cNvPicPr>
                      <a:picLocks noChangeAspect="1" noChangeArrowheads="1"/>
                    </pic:cNvPicPr>
                  </pic:nvPicPr>
                  <pic:blipFill>
                    <a:blip r:embed="rId2637">
                      <a:extLst>
                        <a:ext uri="{28A0092B-C50C-407E-A947-70E740481C1C}">
                          <a14:useLocalDpi xmlns:a14="http://schemas.microsoft.com/office/drawing/2010/main" val="0"/>
                        </a:ext>
                      </a:extLst>
                    </a:blip>
                    <a:srcRect/>
                    <a:stretch>
                      <a:fillRect/>
                    </a:stretch>
                  </pic:blipFill>
                  <pic:spPr bwMode="auto">
                    <a:xfrm>
                      <a:off x="0" y="0"/>
                      <a:ext cx="5008245" cy="2138045"/>
                    </a:xfrm>
                    <a:prstGeom prst="rect">
                      <a:avLst/>
                    </a:prstGeom>
                    <a:noFill/>
                    <a:ln>
                      <a:noFill/>
                    </a:ln>
                  </pic:spPr>
                </pic:pic>
              </a:graphicData>
            </a:graphic>
          </wp:inline>
        </w:drawing>
      </w:r>
    </w:p>
    <w:p w14:paraId="4041C178" w14:textId="5EE8B850" w:rsidR="00203F72" w:rsidRPr="00A53581" w:rsidRDefault="00B03E84" w:rsidP="00D87D91">
      <w:pPr>
        <w:pStyle w:val="aff4"/>
      </w:pPr>
      <w:r>
        <w:t>【</w:t>
      </w:r>
      <w:r>
        <w:t>figure</w:t>
      </w:r>
      <w:r>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45</w:t>
      </w:r>
      <w:r w:rsidR="00076467">
        <w:rPr>
          <w:noProof/>
        </w:rPr>
        <w:fldChar w:fldCharType="end"/>
      </w:r>
      <w:r w:rsidR="00203F72" w:rsidRPr="00A53581">
        <w:t>被墮胎之後的胎兒遺體圖形</w:t>
      </w:r>
      <w:r w:rsidR="00203F72" w:rsidRPr="00A53581">
        <w:t>(12)</w:t>
      </w:r>
      <w:r w:rsidR="00203F72" w:rsidRPr="00A53581">
        <w:rPr>
          <w:rStyle w:val="af3"/>
          <w:rFonts w:ascii="新細明體" w:hAnsi="新細明體"/>
          <w:szCs w:val="22"/>
        </w:rPr>
        <w:footnoteReference w:id="1089"/>
      </w:r>
    </w:p>
    <w:p w14:paraId="35A7FF19" w14:textId="77777777" w:rsidR="00953151" w:rsidRDefault="00B03E84" w:rsidP="00D87D91">
      <w:r>
        <w:t>【資料來源】</w:t>
      </w:r>
      <w:r w:rsidR="00203F72" w:rsidRPr="00A53581">
        <w:rPr>
          <w:rFonts w:hint="eastAsia"/>
        </w:rPr>
        <w:t>學佛網</w:t>
      </w:r>
      <w:r w:rsidR="00203F72" w:rsidRPr="00A53581">
        <w:t>(2013)</w:t>
      </w:r>
      <w:r w:rsidR="00203F72" w:rsidRPr="00A53581">
        <w:rPr>
          <w:rFonts w:hint="eastAsia"/>
        </w:rPr>
        <w:t>，三思而後行，墮胎是惡行，一朝不慎行，萬劫贖罪行</w:t>
      </w:r>
      <w:r w:rsidR="00D92F56">
        <w:t>〜</w:t>
      </w:r>
      <w:r w:rsidR="00203F72" w:rsidRPr="00A53581">
        <w:rPr>
          <w:rFonts w:hint="eastAsia"/>
        </w:rPr>
        <w:t>墮胎真非小事，上網瀏覽時間：</w:t>
      </w:r>
      <w:r w:rsidR="00203F72" w:rsidRPr="00A53581">
        <w:t>2015/01/17</w:t>
      </w:r>
      <w:r w:rsidR="00203F72" w:rsidRPr="00A53581">
        <w:rPr>
          <w:rFonts w:hint="eastAsia"/>
        </w:rPr>
        <w:t>，</w:t>
      </w:r>
      <w:hyperlink r:id="rId2638" w:history="1">
        <w:r w:rsidR="00203F72" w:rsidRPr="00A53581">
          <w:rPr>
            <w:rStyle w:val="a5"/>
          </w:rPr>
          <w:t>http://www.xuefo.net/nr/article14/142380.html</w:t>
        </w:r>
      </w:hyperlink>
      <w:r w:rsidR="00203F72" w:rsidRPr="00A53581">
        <w:rPr>
          <w:rFonts w:hint="eastAsia"/>
        </w:rPr>
        <w:t>。</w:t>
      </w:r>
    </w:p>
    <w:p w14:paraId="08F22825" w14:textId="77777777" w:rsidR="00203F72" w:rsidRPr="00A53581" w:rsidRDefault="005E23E3" w:rsidP="00D87D91">
      <w:r>
        <w:t xml:space="preserve">　　</w:t>
      </w:r>
      <w:r w:rsidR="00203F72" w:rsidRPr="00A53581">
        <w:t>總的來說，本書認為，優生保健</w:t>
      </w:r>
      <w:r w:rsidR="007C58FB" w:rsidRPr="00A53581">
        <w:t>法</w:t>
      </w:r>
      <w:hyperlink r:id="rId2639" w:anchor="a9" w:history="1">
        <w:r w:rsidR="007C58FB" w:rsidRPr="00B56AE1">
          <w:rPr>
            <w:rStyle w:val="a5"/>
          </w:rPr>
          <w:t>第9條</w:t>
        </w:r>
      </w:hyperlink>
      <w:r w:rsidR="00203F72" w:rsidRPr="00A53581">
        <w:t>（人工流產之條件、同意及標準之訂定）之本質，與其未來可行的修法方向，似可以整理如下表所述。</w:t>
      </w:r>
    </w:p>
    <w:p w14:paraId="4CFAC08C" w14:textId="77777777" w:rsidR="00203F72" w:rsidRPr="00A53581" w:rsidRDefault="00203F72" w:rsidP="00D87D91"/>
    <w:p w14:paraId="4AB9A209" w14:textId="29CCBB46"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119</w:t>
      </w:r>
      <w:r w:rsidR="00076467">
        <w:rPr>
          <w:noProof/>
        </w:rPr>
        <w:fldChar w:fldCharType="end"/>
      </w:r>
      <w:r w:rsidR="00203F72" w:rsidRPr="00A53581">
        <w:t xml:space="preserve"> </w:t>
      </w:r>
      <w:r w:rsidR="00203F72" w:rsidRPr="00A53581">
        <w:t>優生保健法</w:t>
      </w:r>
      <w:hyperlink r:id="rId2640" w:anchor="a9" w:history="1">
        <w:r w:rsidR="00B56AE1" w:rsidRPr="00B56AE1">
          <w:rPr>
            <w:rStyle w:val="a5"/>
            <w:szCs w:val="22"/>
          </w:rPr>
          <w:t>第9條</w:t>
        </w:r>
      </w:hyperlink>
      <w:r w:rsidR="00203F72" w:rsidRPr="00A53581">
        <w:t>（人工流產之條件、同意及標準之訂定）之本質，與其未來可行的修法方向</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543"/>
        <w:gridCol w:w="1843"/>
        <w:gridCol w:w="1701"/>
      </w:tblGrid>
      <w:tr w:rsidR="00203F72" w:rsidRPr="00A53581" w14:paraId="30229811" w14:textId="77777777" w:rsidTr="00203F72">
        <w:trPr>
          <w:tblHeader/>
        </w:trPr>
        <w:tc>
          <w:tcPr>
            <w:tcW w:w="1101" w:type="dxa"/>
            <w:shd w:val="clear" w:color="auto" w:fill="auto"/>
          </w:tcPr>
          <w:p w14:paraId="4E8A11AE" w14:textId="77777777" w:rsidR="00203F72" w:rsidRPr="00A53581" w:rsidRDefault="00203F72" w:rsidP="00D87D91">
            <w:r w:rsidRPr="00A53581">
              <w:t>條號順序</w:t>
            </w:r>
          </w:p>
        </w:tc>
        <w:tc>
          <w:tcPr>
            <w:tcW w:w="3543" w:type="dxa"/>
            <w:shd w:val="clear" w:color="auto" w:fill="auto"/>
          </w:tcPr>
          <w:p w14:paraId="21D514F5" w14:textId="77777777" w:rsidR="00203F72" w:rsidRPr="00A53581" w:rsidRDefault="00203F72" w:rsidP="00D87D91">
            <w:r w:rsidRPr="00A53581">
              <w:t>內容</w:t>
            </w:r>
          </w:p>
        </w:tc>
        <w:tc>
          <w:tcPr>
            <w:tcW w:w="1843" w:type="dxa"/>
            <w:shd w:val="clear" w:color="auto" w:fill="auto"/>
          </w:tcPr>
          <w:p w14:paraId="0691BF31" w14:textId="77777777" w:rsidR="00203F72" w:rsidRPr="00A53581" w:rsidRDefault="00203F72" w:rsidP="00D87D91">
            <w:r w:rsidRPr="00A53581">
              <w:t>本質</w:t>
            </w:r>
          </w:p>
        </w:tc>
        <w:tc>
          <w:tcPr>
            <w:tcW w:w="1701" w:type="dxa"/>
            <w:shd w:val="clear" w:color="auto" w:fill="auto"/>
          </w:tcPr>
          <w:p w14:paraId="20607985" w14:textId="77777777" w:rsidR="00203F72" w:rsidRPr="00A53581" w:rsidRDefault="00203F72" w:rsidP="00D87D91">
            <w:r w:rsidRPr="00A53581">
              <w:t>未來可行的修法方向</w:t>
            </w:r>
          </w:p>
        </w:tc>
      </w:tr>
      <w:tr w:rsidR="00203F72" w:rsidRPr="00A53581" w14:paraId="2AFB7E5C" w14:textId="77777777" w:rsidTr="00203F72">
        <w:tc>
          <w:tcPr>
            <w:tcW w:w="1101" w:type="dxa"/>
            <w:shd w:val="clear" w:color="auto" w:fill="auto"/>
          </w:tcPr>
          <w:p w14:paraId="3A309938" w14:textId="77777777" w:rsidR="00203F72" w:rsidRPr="00A53581" w:rsidRDefault="00076467" w:rsidP="00D87D91">
            <w:hyperlink r:id="rId2641" w:anchor="a9" w:history="1">
              <w:r w:rsidR="00B56AE1" w:rsidRPr="00B56AE1">
                <w:rPr>
                  <w:rStyle w:val="a5"/>
                </w:rPr>
                <w:t>第9條</w:t>
              </w:r>
            </w:hyperlink>
            <w:r w:rsidR="00203F72" w:rsidRPr="00A53581">
              <w:t>第</w:t>
            </w:r>
            <w:r w:rsidR="00203F72" w:rsidRPr="00A53581">
              <w:t>1</w:t>
            </w:r>
            <w:r w:rsidR="00203F72" w:rsidRPr="00A53581">
              <w:t>項第</w:t>
            </w:r>
            <w:r w:rsidR="00203F72" w:rsidRPr="00A53581">
              <w:t>1</w:t>
            </w:r>
            <w:r w:rsidR="00203F72" w:rsidRPr="00A53581">
              <w:t>款</w:t>
            </w:r>
          </w:p>
        </w:tc>
        <w:tc>
          <w:tcPr>
            <w:tcW w:w="3543" w:type="dxa"/>
            <w:shd w:val="clear" w:color="auto" w:fill="auto"/>
          </w:tcPr>
          <w:p w14:paraId="7572D966" w14:textId="77777777" w:rsidR="00953151" w:rsidRDefault="007C58FB" w:rsidP="00D87D91">
            <w:r>
              <w:rPr>
                <w:rFonts w:hint="eastAsia"/>
              </w:rPr>
              <w:t xml:space="preserve">　　</w:t>
            </w:r>
            <w:r w:rsidR="00203F72" w:rsidRPr="00A53581">
              <w:t>本人或其配偶患有礙優生之遺傳性、傳染性疾病或精神疾病者。</w:t>
            </w:r>
          </w:p>
          <w:p w14:paraId="520B1903" w14:textId="77777777" w:rsidR="00203F72" w:rsidRPr="00A53581" w:rsidRDefault="00203F72" w:rsidP="00D87D91">
            <w:r w:rsidRPr="00A53581">
              <w:t>優生保健法施行細則</w:t>
            </w:r>
            <w:hyperlink r:id="rId2642" w:anchor="a10" w:history="1">
              <w:r w:rsidR="005D5A46" w:rsidRPr="007C58FB">
                <w:rPr>
                  <w:rStyle w:val="a5"/>
                  <w:rFonts w:ascii="Times New Roman" w:eastAsia="新細明體" w:hAnsi="Times New Roman"/>
                </w:rPr>
                <w:t>第</w:t>
              </w:r>
              <w:r w:rsidRPr="007C58FB">
                <w:rPr>
                  <w:rStyle w:val="a5"/>
                  <w:rFonts w:ascii="Times New Roman" w:eastAsia="新細明體" w:hAnsi="Times New Roman"/>
                </w:rPr>
                <w:t>10</w:t>
              </w:r>
              <w:r w:rsidR="005D5A46" w:rsidRPr="007C58FB">
                <w:rPr>
                  <w:rStyle w:val="a5"/>
                  <w:rFonts w:ascii="Times New Roman" w:eastAsia="新細明體" w:hAnsi="Times New Roman"/>
                </w:rPr>
                <w:t>條</w:t>
              </w:r>
            </w:hyperlink>
          </w:p>
          <w:p w14:paraId="0ECB64C8" w14:textId="77777777" w:rsidR="00203F72" w:rsidRPr="00A53581" w:rsidRDefault="00B56AE1" w:rsidP="00D87D91">
            <w:r>
              <w:t xml:space="preserve">　　</w:t>
            </w:r>
            <w:r w:rsidR="00203F72" w:rsidRPr="00A53581">
              <w:t>本法所稱有礙優生之遺傳性、傳染性疾病或精神疾病者，其範圍如左：</w:t>
            </w:r>
          </w:p>
          <w:p w14:paraId="2BE5F438" w14:textId="77777777" w:rsidR="00203F72" w:rsidRPr="00A53581" w:rsidRDefault="00B56AE1" w:rsidP="00D87D91">
            <w:r>
              <w:t xml:space="preserve">　　</w:t>
            </w:r>
            <w:r w:rsidR="00203F72" w:rsidRPr="00A53581">
              <w:t>一、足以影響胎兒正常發育者，如患苯酮尿症或德國麻疹之孕婦等。</w:t>
            </w:r>
          </w:p>
          <w:p w14:paraId="2FD6DE96" w14:textId="77777777" w:rsidR="00203F72" w:rsidRPr="00A53581" w:rsidRDefault="00B56AE1" w:rsidP="00D87D91">
            <w:r>
              <w:t xml:space="preserve">　　</w:t>
            </w:r>
            <w:r w:rsidR="00203F72" w:rsidRPr="00A53581">
              <w:t>二、無能力照顧嬰兒者，如患重度智能不足或精神分裂症之男女等。</w:t>
            </w:r>
          </w:p>
          <w:p w14:paraId="6125FCF4" w14:textId="77777777" w:rsidR="00203F72" w:rsidRPr="00A53581" w:rsidRDefault="00B56AE1" w:rsidP="00D87D91">
            <w:r>
              <w:t xml:space="preserve">　　</w:t>
            </w:r>
            <w:r w:rsidR="00203F72" w:rsidRPr="00A53581">
              <w:t>三、可將異常染色體或基因傳至後代者，如患唐氏症之婦女或亨汀頓氏舞蹈症之男女等。</w:t>
            </w:r>
          </w:p>
        </w:tc>
        <w:tc>
          <w:tcPr>
            <w:tcW w:w="1843" w:type="dxa"/>
            <w:shd w:val="clear" w:color="auto" w:fill="auto"/>
          </w:tcPr>
          <w:p w14:paraId="0965FC07" w14:textId="77777777" w:rsidR="00203F72" w:rsidRPr="00A53581" w:rsidRDefault="00203F72" w:rsidP="00D87D91">
            <w:r w:rsidRPr="00A53581">
              <w:t>條文的內容，缺乏正當性，不足以作為剝奪胎兒無上、至尊與至貴的生命權的實質性理由。如患有德國麻疹之孕婦，其所生之子女，即使有德國麻疹，仍可接受治療。無能力照顧嬰兒者，其所生之子女，可委由公立育幼院進行養育。</w:t>
            </w:r>
          </w:p>
        </w:tc>
        <w:tc>
          <w:tcPr>
            <w:tcW w:w="1701" w:type="dxa"/>
            <w:shd w:val="clear" w:color="auto" w:fill="auto"/>
          </w:tcPr>
          <w:p w14:paraId="288254C9" w14:textId="77777777" w:rsidR="00203F72" w:rsidRPr="00A53581" w:rsidRDefault="00203F72" w:rsidP="00D87D91">
            <w:r w:rsidRPr="00A53581">
              <w:t>全部刪除</w:t>
            </w:r>
          </w:p>
        </w:tc>
      </w:tr>
      <w:tr w:rsidR="00203F72" w:rsidRPr="00A53581" w14:paraId="396556CE" w14:textId="77777777" w:rsidTr="00203F72">
        <w:tc>
          <w:tcPr>
            <w:tcW w:w="1101" w:type="dxa"/>
            <w:shd w:val="clear" w:color="auto" w:fill="auto"/>
          </w:tcPr>
          <w:p w14:paraId="0D2B5303" w14:textId="77777777" w:rsidR="00203F72" w:rsidRPr="00A53581" w:rsidRDefault="00076467" w:rsidP="00D87D91">
            <w:hyperlink r:id="rId2643" w:anchor="a9" w:history="1">
              <w:r w:rsidR="00B56AE1" w:rsidRPr="00B56AE1">
                <w:rPr>
                  <w:rStyle w:val="a5"/>
                </w:rPr>
                <w:t>第9條</w:t>
              </w:r>
            </w:hyperlink>
            <w:r w:rsidR="00203F72" w:rsidRPr="00A53581">
              <w:t>第</w:t>
            </w:r>
            <w:r w:rsidR="00203F72" w:rsidRPr="00A53581">
              <w:t>1</w:t>
            </w:r>
            <w:r w:rsidR="00203F72" w:rsidRPr="00A53581">
              <w:t>項第</w:t>
            </w:r>
            <w:r w:rsidR="00203F72" w:rsidRPr="00A53581">
              <w:t>2</w:t>
            </w:r>
            <w:r w:rsidR="00203F72" w:rsidRPr="00A53581">
              <w:t>款</w:t>
            </w:r>
          </w:p>
        </w:tc>
        <w:tc>
          <w:tcPr>
            <w:tcW w:w="3543" w:type="dxa"/>
            <w:shd w:val="clear" w:color="auto" w:fill="auto"/>
          </w:tcPr>
          <w:p w14:paraId="521C476C" w14:textId="77777777" w:rsidR="00203F72" w:rsidRPr="00A53581" w:rsidRDefault="007C58FB" w:rsidP="00D87D91">
            <w:r>
              <w:rPr>
                <w:rFonts w:hint="eastAsia"/>
              </w:rPr>
              <w:t xml:space="preserve">　　</w:t>
            </w:r>
            <w:r w:rsidR="00203F72" w:rsidRPr="00A53581">
              <w:t>本人或其配偶之四親等以內之血親患有礙優生之遺傳性疾病者。</w:t>
            </w:r>
          </w:p>
        </w:tc>
        <w:tc>
          <w:tcPr>
            <w:tcW w:w="1843" w:type="dxa"/>
            <w:shd w:val="clear" w:color="auto" w:fill="auto"/>
          </w:tcPr>
          <w:p w14:paraId="21ECCFF4" w14:textId="77777777" w:rsidR="00203F72" w:rsidRPr="00A53581" w:rsidRDefault="00203F72" w:rsidP="00D87D91">
            <w:r w:rsidRPr="00A53581">
              <w:t>條文的內容，缺乏正當性，不足以作為剝奪胎兒無上、至尊與至貴的生命權的實質性理由。</w:t>
            </w:r>
          </w:p>
        </w:tc>
        <w:tc>
          <w:tcPr>
            <w:tcW w:w="1701" w:type="dxa"/>
            <w:shd w:val="clear" w:color="auto" w:fill="auto"/>
          </w:tcPr>
          <w:p w14:paraId="14F295B1" w14:textId="77777777" w:rsidR="00203F72" w:rsidRPr="00A53581" w:rsidRDefault="00203F72" w:rsidP="00D87D91">
            <w:r w:rsidRPr="00A53581">
              <w:t>全部刪除</w:t>
            </w:r>
          </w:p>
        </w:tc>
      </w:tr>
      <w:tr w:rsidR="00203F72" w:rsidRPr="00A53581" w14:paraId="2638D02A" w14:textId="77777777" w:rsidTr="00203F72">
        <w:tc>
          <w:tcPr>
            <w:tcW w:w="1101" w:type="dxa"/>
            <w:shd w:val="clear" w:color="auto" w:fill="auto"/>
          </w:tcPr>
          <w:p w14:paraId="7FBFFCD1" w14:textId="77777777" w:rsidR="00203F72" w:rsidRPr="00A53581" w:rsidRDefault="00B56AE1" w:rsidP="00D87D91">
            <w:r>
              <w:rPr>
                <w:rFonts w:hint="eastAsia"/>
              </w:rPr>
              <w:t>.</w:t>
            </w:r>
            <w:hyperlink r:id="rId2644" w:anchor="a9" w:history="1">
              <w:r w:rsidRPr="00B56AE1">
                <w:rPr>
                  <w:rStyle w:val="a5"/>
                </w:rPr>
                <w:t>第9條</w:t>
              </w:r>
            </w:hyperlink>
            <w:r w:rsidR="00203F72" w:rsidRPr="00A53581">
              <w:t>第</w:t>
            </w:r>
            <w:r w:rsidR="00203F72" w:rsidRPr="00A53581">
              <w:t>1</w:t>
            </w:r>
            <w:r w:rsidR="00203F72" w:rsidRPr="00A53581">
              <w:t>項第</w:t>
            </w:r>
            <w:r w:rsidR="00203F72" w:rsidRPr="00A53581">
              <w:t>3</w:t>
            </w:r>
            <w:r w:rsidR="00203F72" w:rsidRPr="00A53581">
              <w:t>款</w:t>
            </w:r>
          </w:p>
        </w:tc>
        <w:tc>
          <w:tcPr>
            <w:tcW w:w="3543" w:type="dxa"/>
            <w:shd w:val="clear" w:color="auto" w:fill="auto"/>
          </w:tcPr>
          <w:p w14:paraId="0352D1EB" w14:textId="77777777" w:rsidR="00953151" w:rsidRDefault="00203F72" w:rsidP="00D87D91">
            <w:r w:rsidRPr="00A53581">
              <w:t>有醫學上理由，足以認定懷孕或分娩有招致生命危險或危害身體或精神健康者。</w:t>
            </w:r>
          </w:p>
          <w:p w14:paraId="1B4BDEBE" w14:textId="77777777" w:rsidR="00203F72" w:rsidRPr="00A53581" w:rsidRDefault="00203F72" w:rsidP="00D87D91">
            <w:r w:rsidRPr="00A53581">
              <w:t>優生保健法施行細則</w:t>
            </w:r>
            <w:hyperlink r:id="rId2645" w:anchor="a11" w:history="1">
              <w:r w:rsidR="005D5A46" w:rsidRPr="007C58FB">
                <w:rPr>
                  <w:rStyle w:val="a5"/>
                  <w:rFonts w:ascii="Times New Roman" w:eastAsia="新細明體" w:hAnsi="Times New Roman"/>
                </w:rPr>
                <w:t>第</w:t>
              </w:r>
              <w:r w:rsidRPr="007C58FB">
                <w:rPr>
                  <w:rStyle w:val="a5"/>
                  <w:rFonts w:ascii="Times New Roman" w:eastAsia="新細明體" w:hAnsi="Times New Roman"/>
                </w:rPr>
                <w:t>11</w:t>
              </w:r>
              <w:r w:rsidR="005D5A46" w:rsidRPr="007C58FB">
                <w:rPr>
                  <w:rStyle w:val="a5"/>
                  <w:rFonts w:ascii="Times New Roman" w:eastAsia="新細明體" w:hAnsi="Times New Roman"/>
                </w:rPr>
                <w:t>條</w:t>
              </w:r>
            </w:hyperlink>
          </w:p>
          <w:p w14:paraId="48ACE59C" w14:textId="77777777" w:rsidR="00203F72" w:rsidRPr="00A53581" w:rsidRDefault="007C58FB" w:rsidP="00D87D91">
            <w:r>
              <w:rPr>
                <w:rFonts w:hint="eastAsia"/>
              </w:rPr>
              <w:t xml:space="preserve">　　</w:t>
            </w:r>
            <w:r w:rsidR="00203F72" w:rsidRPr="00A53581">
              <w:t>本法所稱懷孕或分娩有招致生命危險或危害身體或精神健康之醫學上理由，其範圍如附件二</w:t>
            </w:r>
            <w:r w:rsidR="00545D58">
              <w:t>。</w:t>
            </w:r>
          </w:p>
          <w:p w14:paraId="2BF16033" w14:textId="77777777" w:rsidR="00203F72" w:rsidRPr="00A53581" w:rsidRDefault="00203F72" w:rsidP="00D87D91">
            <w:r w:rsidRPr="00A53581">
              <w:t>附件二</w:t>
            </w:r>
            <w:r w:rsidR="00D92F56">
              <w:t>〜</w:t>
            </w:r>
            <w:r w:rsidRPr="00A53581">
              <w:t>-</w:t>
            </w:r>
          </w:p>
          <w:p w14:paraId="660445CA" w14:textId="77777777" w:rsidR="00203F72" w:rsidRPr="00A53581" w:rsidRDefault="007C58FB" w:rsidP="00D87D91">
            <w:r>
              <w:rPr>
                <w:rFonts w:hint="eastAsia"/>
              </w:rPr>
              <w:t xml:space="preserve">　　</w:t>
            </w:r>
            <w:r w:rsidR="00203F72" w:rsidRPr="00A53581">
              <w:t>有醫學上理由，認定懷孕或分娩有招致生命危險或危害身體或精神健康範圍</w:t>
            </w:r>
          </w:p>
          <w:p w14:paraId="4CF6383D" w14:textId="77777777" w:rsidR="00203F72" w:rsidRPr="00A53581" w:rsidRDefault="007C58FB" w:rsidP="00D87D91">
            <w:r>
              <w:rPr>
                <w:rFonts w:hint="eastAsia"/>
              </w:rPr>
              <w:t xml:space="preserve">　　</w:t>
            </w:r>
            <w:r w:rsidR="00203F72" w:rsidRPr="00A53581">
              <w:t>一、產科方面：如子宮破裂、子宮穿孔、子宮出血、子宮肌瘤切除或前胎剖腹產、妊娠高血壓症、高齡</w:t>
            </w:r>
            <w:r w:rsidR="00203F72" w:rsidRPr="00A53581">
              <w:t xml:space="preserve"> (</w:t>
            </w:r>
            <w:r w:rsidR="00203F72" w:rsidRPr="00A53581">
              <w:t>三十五歲以上</w:t>
            </w:r>
            <w:r w:rsidR="00203F72" w:rsidRPr="00A53581">
              <w:t xml:space="preserve">) </w:t>
            </w:r>
            <w:r w:rsidR="00203F72" w:rsidRPr="00A53581">
              <w:t>、多產等。</w:t>
            </w:r>
          </w:p>
          <w:p w14:paraId="1CD85E8B" w14:textId="77777777" w:rsidR="00203F72" w:rsidRPr="00A53581" w:rsidRDefault="007C58FB" w:rsidP="00D87D91">
            <w:r>
              <w:rPr>
                <w:rFonts w:hint="eastAsia"/>
              </w:rPr>
              <w:t xml:space="preserve">　　</w:t>
            </w:r>
            <w:r w:rsidR="00203F72" w:rsidRPr="00A53581">
              <w:t>二、外科、婦科方面：如膀胱與陰道管縫合、腎臟移植、尿道轉向等。</w:t>
            </w:r>
          </w:p>
          <w:p w14:paraId="33AFC0EE" w14:textId="77777777" w:rsidR="00203F72" w:rsidRPr="00A53581" w:rsidRDefault="007C58FB" w:rsidP="00D87D91">
            <w:r>
              <w:rPr>
                <w:rFonts w:hint="eastAsia"/>
              </w:rPr>
              <w:t xml:space="preserve">　　</w:t>
            </w:r>
            <w:r w:rsidR="00203F72" w:rsidRPr="00A53581">
              <w:t>三、骨科方面：如嚴重脊柱後側凸</w:t>
            </w:r>
            <w:r w:rsidR="00203F72" w:rsidRPr="00A53581">
              <w:t xml:space="preserve"> (</w:t>
            </w:r>
            <w:r w:rsidR="00203F72" w:rsidRPr="00A53581">
              <w:t>彎</w:t>
            </w:r>
            <w:r w:rsidR="00203F72" w:rsidRPr="00A53581">
              <w:t xml:space="preserve">) </w:t>
            </w:r>
            <w:r w:rsidR="00203F72" w:rsidRPr="00A53581">
              <w:t>、軟骨病等。</w:t>
            </w:r>
          </w:p>
          <w:p w14:paraId="78893A68" w14:textId="77777777" w:rsidR="00203F72" w:rsidRPr="00A53581" w:rsidRDefault="007C58FB" w:rsidP="00D87D91">
            <w:r>
              <w:rPr>
                <w:rFonts w:hint="eastAsia"/>
              </w:rPr>
              <w:t xml:space="preserve">　　</w:t>
            </w:r>
            <w:r w:rsidR="00203F72" w:rsidRPr="00A53581">
              <w:t>四、血液科方面：如血栓性異常、血紅素病變、丙球蛋白病變、凝血異常</w:t>
            </w:r>
            <w:r w:rsidR="00203F72" w:rsidRPr="00A53581">
              <w:t xml:space="preserve"> </w:t>
            </w:r>
            <w:r w:rsidR="00203F72" w:rsidRPr="00A53581">
              <w:t>等。</w:t>
            </w:r>
          </w:p>
          <w:p w14:paraId="4392A0B7" w14:textId="77777777" w:rsidR="00203F72" w:rsidRPr="00A53581" w:rsidRDefault="007C58FB" w:rsidP="00D87D91">
            <w:r>
              <w:rPr>
                <w:rFonts w:hint="eastAsia"/>
              </w:rPr>
              <w:t xml:space="preserve">　　</w:t>
            </w:r>
            <w:r w:rsidR="00203F72" w:rsidRPr="00A53581">
              <w:t>五、心臟血管科方面：如心臟衰竭或心肌炎、風濕性心臟病、曾有中風病史、高血壓或腦性高血壓、動脈瘤等。</w:t>
            </w:r>
          </w:p>
          <w:p w14:paraId="6B2C6CE9" w14:textId="77777777" w:rsidR="00203F72" w:rsidRPr="00A53581" w:rsidRDefault="007C58FB" w:rsidP="00D87D91">
            <w:r>
              <w:rPr>
                <w:rFonts w:hint="eastAsia"/>
              </w:rPr>
              <w:t xml:space="preserve">　　</w:t>
            </w:r>
            <w:r w:rsidR="00203F72" w:rsidRPr="00A53581">
              <w:t>六、胸腔科方面：如肺結核</w:t>
            </w:r>
            <w:r w:rsidR="00203F72" w:rsidRPr="00A53581">
              <w:t xml:space="preserve"> (</w:t>
            </w:r>
            <w:r w:rsidR="00203F72" w:rsidRPr="00A53581">
              <w:t>使用抗結核藥物</w:t>
            </w:r>
            <w:r w:rsidR="00203F72" w:rsidRPr="00A53581">
              <w:t xml:space="preserve">) </w:t>
            </w:r>
            <w:r w:rsidR="00203F72" w:rsidRPr="00A53581">
              <w:t>、嚴重氣喘、支氣管擴張</w:t>
            </w:r>
            <w:r w:rsidR="00203F72" w:rsidRPr="00A53581">
              <w:t xml:space="preserve"> </w:t>
            </w:r>
            <w:r w:rsidR="00203F72" w:rsidRPr="00A53581">
              <w:t>、肺氣腫、復發自發性氣胸、纖維性囊腫等。</w:t>
            </w:r>
          </w:p>
          <w:p w14:paraId="225B1E15" w14:textId="77777777" w:rsidR="00203F72" w:rsidRPr="00A53581" w:rsidRDefault="007C58FB" w:rsidP="00D87D91">
            <w:r>
              <w:rPr>
                <w:rFonts w:hint="eastAsia"/>
              </w:rPr>
              <w:t xml:space="preserve">　　</w:t>
            </w:r>
            <w:r w:rsidR="00203F72" w:rsidRPr="00A53581">
              <w:t>七、泌尿科方面：如急性及慢性腎絲球炎、腎性高血壓、多發性腎囊腫、腎盂炎、任何引發腎功能不全之腎臟病變、單腎等。</w:t>
            </w:r>
          </w:p>
          <w:p w14:paraId="1C9DD3CA" w14:textId="77777777" w:rsidR="00203F72" w:rsidRPr="00A53581" w:rsidRDefault="007C58FB" w:rsidP="00D87D91">
            <w:r>
              <w:rPr>
                <w:rFonts w:hint="eastAsia"/>
              </w:rPr>
              <w:t xml:space="preserve">　　</w:t>
            </w:r>
            <w:r w:rsidR="00203F72" w:rsidRPr="00A53581">
              <w:t>八、內分泌科方面：如嚴重糖尿病、嗜鉻細胞瘤、腎上腺、甲狀腺或副甲狀腺之功能過高或不全等。</w:t>
            </w:r>
          </w:p>
          <w:p w14:paraId="6DD29CC9" w14:textId="77777777" w:rsidR="00203F72" w:rsidRPr="00A53581" w:rsidRDefault="007C58FB" w:rsidP="00D87D91">
            <w:r>
              <w:rPr>
                <w:rFonts w:hint="eastAsia"/>
              </w:rPr>
              <w:t xml:space="preserve">　　</w:t>
            </w:r>
            <w:r w:rsidR="00203F72" w:rsidRPr="00A53581">
              <w:t>九、腸胃科方面：如懷孕引發之黃疸、肝功能異常、腸系膜血栓、潰瘍性結腸炎、膈</w:t>
            </w:r>
            <w:r w:rsidR="00203F72" w:rsidRPr="00A53581">
              <w:t xml:space="preserve"> (</w:t>
            </w:r>
            <w:r w:rsidR="00203F72" w:rsidRPr="00A53581">
              <w:t>肌</w:t>
            </w:r>
            <w:r w:rsidR="00203F72" w:rsidRPr="00A53581">
              <w:t xml:space="preserve">) </w:t>
            </w:r>
            <w:r w:rsidR="00203F72" w:rsidRPr="00A53581">
              <w:t>疝氣等。</w:t>
            </w:r>
          </w:p>
          <w:p w14:paraId="43D5B1E5" w14:textId="77777777" w:rsidR="00203F72" w:rsidRPr="00A53581" w:rsidRDefault="007C58FB" w:rsidP="00D87D91">
            <w:r>
              <w:rPr>
                <w:rFonts w:hint="eastAsia"/>
              </w:rPr>
              <w:t xml:space="preserve">　　</w:t>
            </w:r>
            <w:r w:rsidR="00203F72" w:rsidRPr="00A53581">
              <w:t>一</w:t>
            </w:r>
            <w:r w:rsidR="00203F72" w:rsidRPr="00A53581">
              <w:t>○</w:t>
            </w:r>
            <w:r w:rsidR="00203F72" w:rsidRPr="00A53581">
              <w:t>、免疫科方面：如免疫缺乏疾病、</w:t>
            </w:r>
            <w:r w:rsidR="00203F72" w:rsidRPr="00A53581">
              <w:t>Rh</w:t>
            </w:r>
            <w:r w:rsidR="00203F72" w:rsidRPr="00A53581">
              <w:t>同族免疫、類風濕關節炎、紅斑性狼瘡、結節性多發性動脈炎等。</w:t>
            </w:r>
          </w:p>
          <w:p w14:paraId="7816872A" w14:textId="77777777" w:rsidR="00203F72" w:rsidRPr="00A53581" w:rsidRDefault="007C58FB" w:rsidP="00D87D91">
            <w:r>
              <w:rPr>
                <w:rFonts w:hint="eastAsia"/>
              </w:rPr>
              <w:t xml:space="preserve">　　</w:t>
            </w:r>
            <w:r w:rsidR="00203F72" w:rsidRPr="00A53581">
              <w:t>一一、神經科方面：如嚴重中樞神經病變、多發性硬化症、肌肉萎縮症、大發作型癲癇。</w:t>
            </w:r>
          </w:p>
          <w:p w14:paraId="134C4275" w14:textId="77777777" w:rsidR="00203F72" w:rsidRPr="00A53581" w:rsidRDefault="007C58FB" w:rsidP="00D87D91">
            <w:r>
              <w:rPr>
                <w:rFonts w:hint="eastAsia"/>
              </w:rPr>
              <w:t xml:space="preserve">　　</w:t>
            </w:r>
            <w:r w:rsidR="00203F72" w:rsidRPr="00A53581">
              <w:t>一二、先天性疾病方面：如唐氏症、基因病變。</w:t>
            </w:r>
          </w:p>
          <w:p w14:paraId="6F9E4111" w14:textId="77777777" w:rsidR="00203F72" w:rsidRPr="00A53581" w:rsidRDefault="007C58FB" w:rsidP="00D87D91">
            <w:r>
              <w:rPr>
                <w:rFonts w:hint="eastAsia"/>
              </w:rPr>
              <w:t xml:space="preserve">　　</w:t>
            </w:r>
            <w:r w:rsidR="00203F72" w:rsidRPr="00A53581">
              <w:t>一三、腫瘤學方面：如白血病、何傑金氏症、乳癌及其他癌症等。</w:t>
            </w:r>
          </w:p>
          <w:p w14:paraId="25331CB8" w14:textId="77777777" w:rsidR="00203F72" w:rsidRPr="00A53581" w:rsidRDefault="007C58FB" w:rsidP="00D87D91">
            <w:r>
              <w:rPr>
                <w:rFonts w:hint="eastAsia"/>
              </w:rPr>
              <w:t xml:space="preserve">　　</w:t>
            </w:r>
            <w:r w:rsidR="00203F72" w:rsidRPr="00A53581">
              <w:t>一四、慢性病方面：如全身性黴菌感染、第三期梅毒、布氏桿菌病等。</w:t>
            </w:r>
          </w:p>
          <w:p w14:paraId="34E175EB" w14:textId="77777777" w:rsidR="00203F72" w:rsidRPr="00A53581" w:rsidRDefault="007C58FB" w:rsidP="00D87D91">
            <w:r>
              <w:rPr>
                <w:rFonts w:hint="eastAsia"/>
              </w:rPr>
              <w:t xml:space="preserve">　　</w:t>
            </w:r>
            <w:r w:rsidR="00203F72" w:rsidRPr="00A53581">
              <w:t>一五、精神科方面</w:t>
            </w:r>
          </w:p>
          <w:p w14:paraId="48757F41" w14:textId="77777777" w:rsidR="00203F72" w:rsidRPr="00A53581" w:rsidRDefault="007C58FB" w:rsidP="00D87D91">
            <w:r>
              <w:rPr>
                <w:rFonts w:hint="eastAsia"/>
              </w:rPr>
              <w:t xml:space="preserve">　　</w:t>
            </w:r>
            <w:r w:rsidR="00203F72" w:rsidRPr="00A53581">
              <w:t>(</w:t>
            </w:r>
            <w:r w:rsidR="00203F72" w:rsidRPr="00A53581">
              <w:t>一</w:t>
            </w:r>
            <w:r w:rsidR="00203F72" w:rsidRPr="00A53581">
              <w:t xml:space="preserve">) </w:t>
            </w:r>
            <w:r w:rsidR="00203F72" w:rsidRPr="00A53581">
              <w:t>經醫生鑑定達心神喪失或精神耗弱之功能性、器質性精神疾病或智慧不足者。</w:t>
            </w:r>
          </w:p>
          <w:p w14:paraId="5E9FB402" w14:textId="77777777" w:rsidR="00203F72" w:rsidRPr="00A53581" w:rsidRDefault="007C58FB" w:rsidP="00D87D91">
            <w:r>
              <w:rPr>
                <w:rFonts w:hint="eastAsia"/>
              </w:rPr>
              <w:t xml:space="preserve">　　</w:t>
            </w:r>
            <w:r w:rsidR="00203F72" w:rsidRPr="00A53581">
              <w:t>(</w:t>
            </w:r>
            <w:r w:rsidR="00203F72" w:rsidRPr="00A53581">
              <w:t>二</w:t>
            </w:r>
            <w:r w:rsidR="00203F72" w:rsidRPr="00A53581">
              <w:t xml:space="preserve">) </w:t>
            </w:r>
            <w:r w:rsidR="00203F72" w:rsidRPr="00A53581">
              <w:t>引起重度智慧不足之遺傳性疾病。</w:t>
            </w:r>
          </w:p>
          <w:p w14:paraId="2FC990F0" w14:textId="77777777" w:rsidR="00203F72" w:rsidRPr="00A53581" w:rsidRDefault="007C58FB" w:rsidP="00D87D91">
            <w:r>
              <w:rPr>
                <w:rFonts w:hint="eastAsia"/>
              </w:rPr>
              <w:t xml:space="preserve">　　</w:t>
            </w:r>
            <w:r w:rsidR="00203F72" w:rsidRPr="00A53581">
              <w:t>一六、耳鼻喉科方面：如耳骨硬化症等。</w:t>
            </w:r>
          </w:p>
        </w:tc>
        <w:tc>
          <w:tcPr>
            <w:tcW w:w="1843" w:type="dxa"/>
            <w:shd w:val="clear" w:color="auto" w:fill="auto"/>
          </w:tcPr>
          <w:p w14:paraId="62CA035A" w14:textId="77777777" w:rsidR="00203F72" w:rsidRPr="00A53581" w:rsidRDefault="00203F72" w:rsidP="00D87D91">
            <w:r w:rsidRPr="00A53581">
              <w:t>條文的內容，缺乏正當性，不足</w:t>
            </w:r>
            <w:r w:rsidR="007C58FB">
              <w:rPr>
                <w:rFonts w:hint="eastAsia"/>
              </w:rPr>
              <w:t xml:space="preserve">　　</w:t>
            </w:r>
            <w:r w:rsidRPr="00A53581">
              <w:t>以作為剝奪胎兒無上、至尊與至貴的生命權的實質性理由。其中，有招致生命危險之認定，過於寬鬆。婦女之身體或精神健康權，其與胎兒無上、至尊與至貴的生命權相互比較，婦女之身體或精神健康權應該退位，胎兒無上、至尊與至貴的生命權，具有優先的地位。</w:t>
            </w:r>
          </w:p>
        </w:tc>
        <w:tc>
          <w:tcPr>
            <w:tcW w:w="1701" w:type="dxa"/>
            <w:shd w:val="clear" w:color="auto" w:fill="auto"/>
          </w:tcPr>
          <w:p w14:paraId="7AEF8E6D" w14:textId="77777777" w:rsidR="00953151" w:rsidRDefault="00203F72" w:rsidP="00D87D91">
            <w:r w:rsidRPr="00A53581">
              <w:t>應改為</w:t>
            </w:r>
            <w:r w:rsidR="00D92F56">
              <w:t>〜</w:t>
            </w:r>
            <w:r w:rsidRPr="00A53581">
              <w:t>有醫學上理由，足以</w:t>
            </w:r>
            <w:r w:rsidR="007C58FB">
              <w:rPr>
                <w:rFonts w:hint="eastAsia"/>
              </w:rPr>
              <w:t xml:space="preserve">　　</w:t>
            </w:r>
            <w:r w:rsidRPr="00A53581">
              <w:t>認定懷孕或分娩有招致生命「重度」危險者。</w:t>
            </w:r>
          </w:p>
          <w:p w14:paraId="5337D9AB" w14:textId="77777777" w:rsidR="00203F72" w:rsidRPr="00A53581" w:rsidRDefault="007C58FB" w:rsidP="00D87D91">
            <w:r>
              <w:rPr>
                <w:rFonts w:hint="eastAsia"/>
              </w:rPr>
              <w:t xml:space="preserve">　　</w:t>
            </w:r>
            <w:r w:rsidR="00203F72" w:rsidRPr="00A53581">
              <w:t>刪除危害身體或精神健康者之規定。</w:t>
            </w:r>
          </w:p>
          <w:p w14:paraId="20A64885" w14:textId="77777777" w:rsidR="00203F72" w:rsidRPr="00A53581" w:rsidRDefault="00203F72" w:rsidP="00D87D91"/>
        </w:tc>
      </w:tr>
      <w:tr w:rsidR="00203F72" w:rsidRPr="00A53581" w14:paraId="0FA1882F" w14:textId="77777777" w:rsidTr="00203F72">
        <w:tc>
          <w:tcPr>
            <w:tcW w:w="1101" w:type="dxa"/>
            <w:shd w:val="clear" w:color="auto" w:fill="auto"/>
          </w:tcPr>
          <w:p w14:paraId="6C96976C" w14:textId="77777777" w:rsidR="00203F72" w:rsidRPr="00A53581" w:rsidRDefault="00076467" w:rsidP="00D87D91">
            <w:hyperlink r:id="rId2646" w:anchor="a9" w:history="1">
              <w:r w:rsidR="00203F72" w:rsidRPr="00B56AE1">
                <w:rPr>
                  <w:rStyle w:val="a5"/>
                </w:rPr>
                <w:t>第9條</w:t>
              </w:r>
            </w:hyperlink>
            <w:r w:rsidR="00203F72" w:rsidRPr="00A53581">
              <w:t>第</w:t>
            </w:r>
            <w:r w:rsidR="00203F72" w:rsidRPr="00A53581">
              <w:t>1</w:t>
            </w:r>
            <w:r w:rsidR="00203F72" w:rsidRPr="00A53581">
              <w:t>項第</w:t>
            </w:r>
            <w:r w:rsidR="00203F72" w:rsidRPr="00A53581">
              <w:t>4</w:t>
            </w:r>
            <w:r w:rsidR="00203F72" w:rsidRPr="00A53581">
              <w:t>款</w:t>
            </w:r>
          </w:p>
        </w:tc>
        <w:tc>
          <w:tcPr>
            <w:tcW w:w="3543" w:type="dxa"/>
            <w:shd w:val="clear" w:color="auto" w:fill="auto"/>
          </w:tcPr>
          <w:p w14:paraId="683C04F7" w14:textId="77777777" w:rsidR="00953151" w:rsidRDefault="007C58FB" w:rsidP="00D87D91">
            <w:r>
              <w:rPr>
                <w:rFonts w:hint="eastAsia"/>
              </w:rPr>
              <w:t xml:space="preserve">　　</w:t>
            </w:r>
            <w:r w:rsidR="00203F72" w:rsidRPr="00A53581">
              <w:t>有醫學上理由，足以認定胎兒有畸型發育之虞者。</w:t>
            </w:r>
          </w:p>
          <w:p w14:paraId="619765F3" w14:textId="77777777" w:rsidR="00203F72" w:rsidRPr="00A53581" w:rsidRDefault="007C58FB" w:rsidP="00D87D91">
            <w:r>
              <w:rPr>
                <w:rFonts w:hint="eastAsia"/>
              </w:rPr>
              <w:t xml:space="preserve">　　</w:t>
            </w:r>
            <w:r w:rsidR="00203F72" w:rsidRPr="00A53581">
              <w:t>優生保健法施行細則</w:t>
            </w:r>
            <w:hyperlink r:id="rId2647" w:anchor="a12" w:history="1">
              <w:r w:rsidR="005D5A46" w:rsidRPr="007C58FB">
                <w:rPr>
                  <w:rStyle w:val="a5"/>
                  <w:rFonts w:ascii="Times New Roman" w:eastAsia="新細明體" w:hAnsi="Times New Roman"/>
                </w:rPr>
                <w:t>第</w:t>
              </w:r>
              <w:r w:rsidR="00203F72" w:rsidRPr="007C58FB">
                <w:rPr>
                  <w:rStyle w:val="a5"/>
                  <w:rFonts w:ascii="Times New Roman" w:eastAsia="新細明體" w:hAnsi="Times New Roman"/>
                </w:rPr>
                <w:t>12</w:t>
              </w:r>
              <w:r w:rsidR="005D5A46" w:rsidRPr="007C58FB">
                <w:rPr>
                  <w:rStyle w:val="a5"/>
                  <w:rFonts w:ascii="Times New Roman" w:eastAsia="新細明體" w:hAnsi="Times New Roman"/>
                </w:rPr>
                <w:t>條</w:t>
              </w:r>
            </w:hyperlink>
          </w:p>
          <w:p w14:paraId="082EFC8A" w14:textId="77777777" w:rsidR="00B56AE1" w:rsidRPr="00B56AE1" w:rsidRDefault="00B56AE1" w:rsidP="00D87D91">
            <w:r>
              <w:t xml:space="preserve">　　</w:t>
            </w:r>
            <w:r w:rsidR="00203F72" w:rsidRPr="00A53581">
              <w:t>本法</w:t>
            </w:r>
            <w:hyperlink r:id="rId2648" w:anchor="a9" w:history="1">
              <w:r w:rsidR="001408FD" w:rsidRPr="001408FD">
                <w:rPr>
                  <w:rStyle w:val="a5"/>
                </w:rPr>
                <w:t>第九條</w:t>
              </w:r>
            </w:hyperlink>
            <w:r w:rsidR="00203F72" w:rsidRPr="00A53581">
              <w:t>第一項第四款所稱</w:t>
            </w:r>
            <w:r w:rsidRPr="00B56AE1">
              <w:rPr>
                <w:rFonts w:hint="eastAsia"/>
              </w:rPr>
              <w:t>足以認定胎兒有畸型發育之虞之醫學上理由，其範圍如附件三。</w:t>
            </w:r>
          </w:p>
          <w:p w14:paraId="0D9AE4C5" w14:textId="77777777" w:rsidR="00B56AE1" w:rsidRPr="00B56AE1" w:rsidRDefault="00B56AE1" w:rsidP="00D87D91">
            <w:r w:rsidRPr="00B56AE1">
              <w:rPr>
                <w:rFonts w:hint="eastAsia"/>
              </w:rPr>
              <w:t xml:space="preserve">　　附件三有關醫學上理由，認定胎兒有畸形發育之虞之範圍</w:t>
            </w:r>
          </w:p>
          <w:p w14:paraId="0A471A9C" w14:textId="77777777" w:rsidR="00B56AE1" w:rsidRPr="00B56AE1" w:rsidRDefault="00B56AE1" w:rsidP="00D87D91">
            <w:r w:rsidRPr="00B56AE1">
              <w:rPr>
                <w:rFonts w:hint="eastAsia"/>
              </w:rPr>
              <w:t xml:space="preserve">　　一、關於母體者</w:t>
            </w:r>
            <w:r w:rsidRPr="00B56AE1">
              <w:rPr>
                <w:rFonts w:hint="eastAsia"/>
              </w:rPr>
              <w:t>(</w:t>
            </w:r>
            <w:r w:rsidRPr="00B56AE1">
              <w:rPr>
                <w:rFonts w:hint="eastAsia"/>
              </w:rPr>
              <w:t>一</w:t>
            </w:r>
            <w:r w:rsidRPr="00B56AE1">
              <w:rPr>
                <w:rFonts w:hint="eastAsia"/>
              </w:rPr>
              <w:t>)</w:t>
            </w:r>
            <w:r w:rsidRPr="00B56AE1">
              <w:rPr>
                <w:rFonts w:hint="eastAsia"/>
              </w:rPr>
              <w:t>化學因素：如孕婦服用沙利竇邁度或誤食多氯聯苯等。</w:t>
            </w:r>
          </w:p>
          <w:p w14:paraId="64D47942" w14:textId="77777777" w:rsidR="00B56AE1" w:rsidRPr="00B56AE1" w:rsidRDefault="00B56AE1" w:rsidP="00D87D91">
            <w:r w:rsidRPr="00B56AE1">
              <w:rPr>
                <w:rFonts w:hint="eastAsia"/>
              </w:rPr>
              <w:t xml:space="preserve">　　</w:t>
            </w:r>
            <w:r w:rsidRPr="00B56AE1">
              <w:rPr>
                <w:rFonts w:hint="eastAsia"/>
              </w:rPr>
              <w:t>(</w:t>
            </w:r>
            <w:r w:rsidRPr="00B56AE1">
              <w:rPr>
                <w:rFonts w:hint="eastAsia"/>
              </w:rPr>
              <w:t>二</w:t>
            </w:r>
            <w:r w:rsidRPr="00B56AE1">
              <w:rPr>
                <w:rFonts w:hint="eastAsia"/>
              </w:rPr>
              <w:t>)</w:t>
            </w:r>
            <w:r w:rsidRPr="00B56AE1">
              <w:rPr>
                <w:rFonts w:hint="eastAsia"/>
              </w:rPr>
              <w:t>物理因素：如因診療需要接受過量之放射線照射等。</w:t>
            </w:r>
          </w:p>
          <w:p w14:paraId="463CC7B8" w14:textId="77777777" w:rsidR="00B56AE1" w:rsidRPr="00B56AE1" w:rsidRDefault="00B56AE1" w:rsidP="00D87D91">
            <w:r w:rsidRPr="00B56AE1">
              <w:rPr>
                <w:rFonts w:hint="eastAsia"/>
              </w:rPr>
              <w:t xml:space="preserve">　　</w:t>
            </w:r>
            <w:r w:rsidRPr="00B56AE1">
              <w:rPr>
                <w:rFonts w:hint="eastAsia"/>
              </w:rPr>
              <w:t>(</w:t>
            </w:r>
            <w:r w:rsidRPr="00B56AE1">
              <w:rPr>
                <w:rFonts w:hint="eastAsia"/>
              </w:rPr>
              <w:t>三</w:t>
            </w:r>
            <w:r w:rsidRPr="00B56AE1">
              <w:rPr>
                <w:rFonts w:hint="eastAsia"/>
              </w:rPr>
              <w:t>)</w:t>
            </w:r>
            <w:r w:rsidRPr="00B56AE1">
              <w:rPr>
                <w:rFonts w:hint="eastAsia"/>
              </w:rPr>
              <w:t>生物因素：如德國麻疹病毒、小兒麻痺病毒之感染等。</w:t>
            </w:r>
          </w:p>
          <w:p w14:paraId="24C6C985" w14:textId="77777777" w:rsidR="00B56AE1" w:rsidRPr="00B56AE1" w:rsidRDefault="00B56AE1" w:rsidP="00D87D91">
            <w:r w:rsidRPr="00B56AE1">
              <w:rPr>
                <w:rFonts w:hint="eastAsia"/>
              </w:rPr>
              <w:t xml:space="preserve">　　二、關於胎兒者</w:t>
            </w:r>
            <w:r w:rsidRPr="00B56AE1">
              <w:rPr>
                <w:rFonts w:hint="eastAsia"/>
              </w:rPr>
              <w:t xml:space="preserve"> </w:t>
            </w:r>
            <w:r w:rsidRPr="00B56AE1">
              <w:rPr>
                <w:rFonts w:hint="eastAsia"/>
              </w:rPr>
              <w:t>由下列產前診斷方法，可確知胎兒為畸形者。</w:t>
            </w:r>
          </w:p>
          <w:p w14:paraId="792DA777" w14:textId="77777777" w:rsidR="007C58FB" w:rsidRDefault="00B56AE1" w:rsidP="00D87D91">
            <w:r w:rsidRPr="00B56AE1">
              <w:rPr>
                <w:rFonts w:hint="eastAsia"/>
              </w:rPr>
              <w:t xml:space="preserve">　　</w:t>
            </w:r>
            <w:r w:rsidRPr="00B56AE1">
              <w:rPr>
                <w:rFonts w:hint="eastAsia"/>
              </w:rPr>
              <w:t>(</w:t>
            </w:r>
            <w:r w:rsidRPr="00B56AE1">
              <w:rPr>
                <w:rFonts w:hint="eastAsia"/>
              </w:rPr>
              <w:t>一</w:t>
            </w:r>
            <w:r w:rsidRPr="00B56AE1">
              <w:rPr>
                <w:rFonts w:hint="eastAsia"/>
              </w:rPr>
              <w:t>)</w:t>
            </w:r>
            <w:r w:rsidRPr="00B56AE1">
              <w:rPr>
                <w:rFonts w:hint="eastAsia"/>
              </w:rPr>
              <w:t>羊膜腔穿刺術</w:t>
            </w:r>
            <w:r w:rsidRPr="00B56AE1">
              <w:rPr>
                <w:rFonts w:hint="eastAsia"/>
              </w:rPr>
              <w:t xml:space="preserve"> </w:t>
            </w:r>
          </w:p>
          <w:p w14:paraId="677E6A40" w14:textId="77777777" w:rsidR="00B56AE1" w:rsidRPr="00B56AE1" w:rsidRDefault="007C58FB" w:rsidP="00D87D91">
            <w:r>
              <w:rPr>
                <w:rFonts w:hint="eastAsia"/>
              </w:rPr>
              <w:t xml:space="preserve">　　</w:t>
            </w:r>
            <w:r w:rsidR="00B56AE1" w:rsidRPr="00B56AE1">
              <w:rPr>
                <w:rFonts w:hint="eastAsia"/>
              </w:rPr>
              <w:t xml:space="preserve">1 </w:t>
            </w:r>
            <w:r w:rsidR="00B56AE1" w:rsidRPr="00B56AE1">
              <w:rPr>
                <w:rFonts w:hint="eastAsia"/>
              </w:rPr>
              <w:t>羊水生化檢查，發現開放性神經管缺損、先天代謝異常疾病等。</w:t>
            </w:r>
          </w:p>
          <w:p w14:paraId="77BF1A59" w14:textId="77777777" w:rsidR="00B56AE1" w:rsidRPr="00B56AE1" w:rsidRDefault="00B56AE1" w:rsidP="00D87D91">
            <w:r w:rsidRPr="00B56AE1">
              <w:rPr>
                <w:rFonts w:hint="eastAsia"/>
              </w:rPr>
              <w:t xml:space="preserve">　　</w:t>
            </w:r>
            <w:r w:rsidRPr="00B56AE1">
              <w:rPr>
                <w:rFonts w:hint="eastAsia"/>
              </w:rPr>
              <w:t xml:space="preserve">2 </w:t>
            </w:r>
            <w:r w:rsidRPr="00B56AE1">
              <w:rPr>
                <w:rFonts w:hint="eastAsia"/>
              </w:rPr>
              <w:t>羊水細胞培養後，經鑑定，發現有染色體或基因異常者，如唐氏症、黏多醣貯積症等。</w:t>
            </w:r>
          </w:p>
          <w:p w14:paraId="7962C742" w14:textId="77777777" w:rsidR="00B56AE1" w:rsidRPr="00B56AE1" w:rsidRDefault="00B56AE1" w:rsidP="00D87D91">
            <w:r w:rsidRPr="00B56AE1">
              <w:rPr>
                <w:rFonts w:hint="eastAsia"/>
              </w:rPr>
              <w:t xml:space="preserve">　　</w:t>
            </w:r>
            <w:r w:rsidRPr="00B56AE1">
              <w:t>(</w:t>
            </w:r>
            <w:r w:rsidRPr="00B56AE1">
              <w:rPr>
                <w:rFonts w:hint="eastAsia"/>
              </w:rPr>
              <w:t>二</w:t>
            </w:r>
            <w:r w:rsidRPr="00B56AE1">
              <w:t>)</w:t>
            </w:r>
            <w:r w:rsidRPr="00B56AE1">
              <w:rPr>
                <w:rFonts w:hint="eastAsia"/>
              </w:rPr>
              <w:t>超音波診斷術〜</w:t>
            </w:r>
            <w:r w:rsidRPr="00B56AE1">
              <w:t xml:space="preserve"> </w:t>
            </w:r>
            <w:r w:rsidRPr="00B56AE1">
              <w:rPr>
                <w:rFonts w:hint="eastAsia"/>
              </w:rPr>
              <w:t>如水腦症、無腦症、脊柱裂、尾骨腫瘤、裂腹畸形等。</w:t>
            </w:r>
          </w:p>
          <w:p w14:paraId="5D8323CA" w14:textId="77777777" w:rsidR="00B56AE1" w:rsidRPr="00B56AE1" w:rsidRDefault="00B56AE1" w:rsidP="00D87D91">
            <w:r w:rsidRPr="00B56AE1">
              <w:rPr>
                <w:rFonts w:hint="eastAsia"/>
              </w:rPr>
              <w:t xml:space="preserve">　　</w:t>
            </w:r>
            <w:r w:rsidRPr="00B56AE1">
              <w:t>(</w:t>
            </w:r>
            <w:r w:rsidRPr="00B56AE1">
              <w:rPr>
                <w:rFonts w:hint="eastAsia"/>
              </w:rPr>
              <w:t>三</w:t>
            </w:r>
            <w:r w:rsidRPr="00B56AE1">
              <w:t>)</w:t>
            </w:r>
            <w:r w:rsidRPr="00B56AE1">
              <w:rPr>
                <w:rFonts w:hint="eastAsia"/>
              </w:rPr>
              <w:t>胎兒內</w:t>
            </w:r>
            <w:r w:rsidR="003E240E">
              <w:rPr>
                <w:rFonts w:hint="eastAsia"/>
              </w:rPr>
              <w:t>視</w:t>
            </w:r>
            <w:r w:rsidRPr="00B56AE1">
              <w:rPr>
                <w:rFonts w:hint="eastAsia"/>
              </w:rPr>
              <w:t>鏡術〜發現胎兒外貌畸形，難以矯治者。</w:t>
            </w:r>
          </w:p>
          <w:p w14:paraId="0B00DD1E" w14:textId="77777777" w:rsidR="00B56AE1" w:rsidRPr="00B56AE1" w:rsidRDefault="00B56AE1" w:rsidP="00D87D91">
            <w:r w:rsidRPr="00B56AE1">
              <w:rPr>
                <w:rFonts w:hint="eastAsia"/>
              </w:rPr>
              <w:t xml:space="preserve">　　</w:t>
            </w:r>
            <w:r w:rsidRPr="00B56AE1">
              <w:t>(</w:t>
            </w:r>
            <w:r w:rsidRPr="00B56AE1">
              <w:rPr>
                <w:rFonts w:hint="eastAsia"/>
              </w:rPr>
              <w:t>四</w:t>
            </w:r>
            <w:r w:rsidRPr="00B56AE1">
              <w:t>)</w:t>
            </w:r>
            <w:r w:rsidRPr="00B56AE1">
              <w:rPr>
                <w:rFonts w:hint="eastAsia"/>
              </w:rPr>
              <w:t>子宮內胎兒血液取樣檢查術〜如血紅素病變、血友病、子宮內胎兒感染等。</w:t>
            </w:r>
          </w:p>
          <w:p w14:paraId="3B2F8E7B" w14:textId="77777777" w:rsidR="00203F72" w:rsidRPr="00A53581" w:rsidRDefault="00B56AE1" w:rsidP="00D87D91">
            <w:r w:rsidRPr="00B56AE1">
              <w:rPr>
                <w:rFonts w:hint="eastAsia"/>
              </w:rPr>
              <w:t xml:space="preserve">　　</w:t>
            </w:r>
            <w:r w:rsidRPr="00B56AE1">
              <w:t>(</w:t>
            </w:r>
            <w:r w:rsidRPr="00B56AE1">
              <w:rPr>
                <w:rFonts w:hint="eastAsia"/>
              </w:rPr>
              <w:t>五</w:t>
            </w:r>
            <w:r w:rsidRPr="00B56AE1">
              <w:t>)</w:t>
            </w:r>
            <w:r w:rsidRPr="00B56AE1">
              <w:rPr>
                <w:rFonts w:hint="eastAsia"/>
              </w:rPr>
              <w:t>絨毛取樣取術〜</w:t>
            </w:r>
            <w:r w:rsidRPr="00B56AE1">
              <w:t xml:space="preserve"> </w:t>
            </w:r>
            <w:r w:rsidRPr="00B56AE1">
              <w:rPr>
                <w:rFonts w:hint="eastAsia"/>
              </w:rPr>
              <w:t>取樣細胞經鑑定有染色體或基因異常者，如唐氏症、重型海洋性貧血、黏多醣貯積症等。</w:t>
            </w:r>
          </w:p>
        </w:tc>
        <w:tc>
          <w:tcPr>
            <w:tcW w:w="1843" w:type="dxa"/>
            <w:shd w:val="clear" w:color="auto" w:fill="auto"/>
          </w:tcPr>
          <w:p w14:paraId="2A79E292" w14:textId="77777777" w:rsidR="00203F72" w:rsidRPr="00A53581" w:rsidRDefault="007C58FB" w:rsidP="00D87D91">
            <w:r>
              <w:rPr>
                <w:rFonts w:hint="eastAsia"/>
              </w:rPr>
              <w:t xml:space="preserve">　　</w:t>
            </w:r>
            <w:r w:rsidR="00203F72" w:rsidRPr="00A53581">
              <w:t>條文的內容，缺乏正當性，條件過於寬鬆，不足以作為剝奪胎兒無上、至尊與至貴的生命權的實質性理由。胎兒出生之後，未必是畸型。如果真有畸型發育者，亦應由全民買單。</w:t>
            </w:r>
          </w:p>
        </w:tc>
        <w:tc>
          <w:tcPr>
            <w:tcW w:w="1701" w:type="dxa"/>
            <w:shd w:val="clear" w:color="auto" w:fill="auto"/>
          </w:tcPr>
          <w:p w14:paraId="20F5C55F" w14:textId="77777777" w:rsidR="00203F72" w:rsidRPr="00A53581" w:rsidRDefault="00203F72" w:rsidP="00D87D91">
            <w:r w:rsidRPr="00A53581">
              <w:t>全部刪除</w:t>
            </w:r>
          </w:p>
        </w:tc>
      </w:tr>
      <w:tr w:rsidR="00203F72" w:rsidRPr="00A53581" w14:paraId="7FE9423E" w14:textId="77777777" w:rsidTr="00203F72">
        <w:tc>
          <w:tcPr>
            <w:tcW w:w="1101" w:type="dxa"/>
            <w:shd w:val="clear" w:color="auto" w:fill="auto"/>
          </w:tcPr>
          <w:p w14:paraId="42F22F2B" w14:textId="77777777" w:rsidR="00203F72" w:rsidRPr="00A53581" w:rsidRDefault="00076467" w:rsidP="00D87D91">
            <w:hyperlink r:id="rId2649" w:anchor="a9" w:history="1">
              <w:r w:rsidR="00B56AE1" w:rsidRPr="00B56AE1">
                <w:rPr>
                  <w:rStyle w:val="a5"/>
                </w:rPr>
                <w:t>第9條</w:t>
              </w:r>
            </w:hyperlink>
            <w:r w:rsidR="00203F72" w:rsidRPr="00A53581">
              <w:t>第</w:t>
            </w:r>
            <w:r w:rsidR="00203F72" w:rsidRPr="00A53581">
              <w:t>1</w:t>
            </w:r>
            <w:r w:rsidR="00203F72" w:rsidRPr="00A53581">
              <w:t>項第</w:t>
            </w:r>
            <w:r w:rsidR="00203F72" w:rsidRPr="00A53581">
              <w:t>5</w:t>
            </w:r>
            <w:r w:rsidR="00203F72" w:rsidRPr="00A53581">
              <w:t>款</w:t>
            </w:r>
          </w:p>
        </w:tc>
        <w:tc>
          <w:tcPr>
            <w:tcW w:w="3543" w:type="dxa"/>
            <w:shd w:val="clear" w:color="auto" w:fill="auto"/>
          </w:tcPr>
          <w:p w14:paraId="60085205" w14:textId="77777777" w:rsidR="00203F72" w:rsidRPr="00A53581" w:rsidRDefault="007C58FB" w:rsidP="00D87D91">
            <w:r>
              <w:rPr>
                <w:rFonts w:hint="eastAsia"/>
              </w:rPr>
              <w:t xml:space="preserve">　　</w:t>
            </w:r>
            <w:r w:rsidR="00203F72" w:rsidRPr="00A53581">
              <w:t>因被強制性交、誘姦或與依法不得結婚者相姦而受孕者。</w:t>
            </w:r>
          </w:p>
        </w:tc>
        <w:tc>
          <w:tcPr>
            <w:tcW w:w="1843" w:type="dxa"/>
            <w:shd w:val="clear" w:color="auto" w:fill="auto"/>
          </w:tcPr>
          <w:p w14:paraId="3A3F7C02" w14:textId="77777777" w:rsidR="00203F72" w:rsidRPr="00A53581" w:rsidRDefault="007C58FB" w:rsidP="00D87D91">
            <w:r>
              <w:rPr>
                <w:rFonts w:hint="eastAsia"/>
              </w:rPr>
              <w:t xml:space="preserve">　　</w:t>
            </w:r>
            <w:r w:rsidR="00203F72" w:rsidRPr="00A53581">
              <w:t>條文的內容，缺乏正當性，條件過於寬鬆，不足以作為剝奪胎兒無上、至尊與至貴的生命權的實質性理由。婦女的性的貞操權與自主權，若與胎兒無上、至尊與至貴的生命權相互比較，婦女的性的貞操權與自主權應該退位。</w:t>
            </w:r>
          </w:p>
        </w:tc>
        <w:tc>
          <w:tcPr>
            <w:tcW w:w="1701" w:type="dxa"/>
            <w:shd w:val="clear" w:color="auto" w:fill="auto"/>
          </w:tcPr>
          <w:p w14:paraId="30852BAC" w14:textId="77777777" w:rsidR="00203F72" w:rsidRPr="00A53581" w:rsidRDefault="00203F72" w:rsidP="00D87D91">
            <w:r w:rsidRPr="00A53581">
              <w:t>全部刪除</w:t>
            </w:r>
          </w:p>
        </w:tc>
      </w:tr>
      <w:tr w:rsidR="00203F72" w:rsidRPr="00A53581" w14:paraId="3B170A66" w14:textId="77777777" w:rsidTr="00203F72">
        <w:tc>
          <w:tcPr>
            <w:tcW w:w="1101" w:type="dxa"/>
            <w:shd w:val="clear" w:color="auto" w:fill="auto"/>
          </w:tcPr>
          <w:p w14:paraId="329F3FC8" w14:textId="77777777" w:rsidR="00203F72" w:rsidRPr="00A53581" w:rsidRDefault="00076467" w:rsidP="00D87D91">
            <w:hyperlink r:id="rId2650" w:anchor="a9" w:history="1">
              <w:r w:rsidR="00B56AE1" w:rsidRPr="00B56AE1">
                <w:rPr>
                  <w:rStyle w:val="a5"/>
                </w:rPr>
                <w:t>第9條</w:t>
              </w:r>
            </w:hyperlink>
            <w:r w:rsidR="00203F72" w:rsidRPr="00A53581">
              <w:t>第</w:t>
            </w:r>
            <w:r w:rsidR="00203F72" w:rsidRPr="00A53581">
              <w:t>1</w:t>
            </w:r>
            <w:r w:rsidR="00203F72" w:rsidRPr="00A53581">
              <w:t>項第</w:t>
            </w:r>
            <w:r w:rsidR="00203F72" w:rsidRPr="00A53581">
              <w:t>6</w:t>
            </w:r>
            <w:r w:rsidR="00203F72" w:rsidRPr="00A53581">
              <w:t>款</w:t>
            </w:r>
          </w:p>
        </w:tc>
        <w:tc>
          <w:tcPr>
            <w:tcW w:w="3543" w:type="dxa"/>
            <w:shd w:val="clear" w:color="auto" w:fill="auto"/>
          </w:tcPr>
          <w:p w14:paraId="225EADDB" w14:textId="77777777" w:rsidR="00203F72" w:rsidRPr="00A53581" w:rsidRDefault="007C58FB" w:rsidP="00D87D91">
            <w:r>
              <w:rPr>
                <w:rFonts w:hint="eastAsia"/>
              </w:rPr>
              <w:t xml:space="preserve">　　</w:t>
            </w:r>
            <w:r w:rsidR="00203F72" w:rsidRPr="00A53581">
              <w:t>因懷孕或生產，將影響其心理健康或家庭生活者。</w:t>
            </w:r>
          </w:p>
        </w:tc>
        <w:tc>
          <w:tcPr>
            <w:tcW w:w="1843" w:type="dxa"/>
            <w:shd w:val="clear" w:color="auto" w:fill="auto"/>
          </w:tcPr>
          <w:p w14:paraId="25406800" w14:textId="77777777" w:rsidR="00203F72" w:rsidRPr="00A53581" w:rsidRDefault="007C58FB" w:rsidP="00D87D91">
            <w:r>
              <w:rPr>
                <w:rFonts w:hint="eastAsia"/>
              </w:rPr>
              <w:t xml:space="preserve">　　</w:t>
            </w:r>
            <w:r w:rsidR="00203F72" w:rsidRPr="00A53581">
              <w:t>條文的內容，缺乏正當性，條件過於寬鬆，不足以作為剝奪胎兒無上、至尊與至貴的生命權的實質性理由。當事人之心理健康或家庭生活之理由，相當脆弱與虛弱，不足以支撐，作為剝奪胎兒無上、至尊與至貴的生命權的實質性理由。</w:t>
            </w:r>
          </w:p>
        </w:tc>
        <w:tc>
          <w:tcPr>
            <w:tcW w:w="1701" w:type="dxa"/>
            <w:shd w:val="clear" w:color="auto" w:fill="auto"/>
          </w:tcPr>
          <w:p w14:paraId="32E29FBE" w14:textId="77777777" w:rsidR="00203F72" w:rsidRPr="00A53581" w:rsidRDefault="00203F72" w:rsidP="00D87D91">
            <w:r w:rsidRPr="00A53581">
              <w:t>全部刪除</w:t>
            </w:r>
          </w:p>
        </w:tc>
      </w:tr>
    </w:tbl>
    <w:p w14:paraId="7DF6C4BE" w14:textId="77777777" w:rsidR="00953151" w:rsidRPr="00BD43D3" w:rsidRDefault="00B03E84" w:rsidP="00D87D91">
      <w:r w:rsidRPr="00BD43D3">
        <w:t>【資料來源】</w:t>
      </w:r>
      <w:r w:rsidR="00203F72" w:rsidRPr="00BD43D3">
        <w:t>作者自製。</w:t>
      </w:r>
    </w:p>
    <w:p w14:paraId="7EE6971E" w14:textId="77777777" w:rsidR="00953151" w:rsidRDefault="005E23E3" w:rsidP="00D87D91">
      <w:r w:rsidRPr="00BD43D3">
        <w:t xml:space="preserve">　　</w:t>
      </w:r>
      <w:r w:rsidR="00203F72" w:rsidRPr="00BD43D3">
        <w:t>另外，高哲翰教授於本書推薦序文中，其指出：「有一個觀點，亦頗值得台灣社會民眾深思，即胎兒究竟是否具有人性尊嚴之問題？台灣每年的墮胎數，就我個人之了解，約達</w:t>
      </w:r>
      <w:r w:rsidR="00203F72" w:rsidRPr="00BD43D3">
        <w:t>30</w:t>
      </w:r>
      <w:r w:rsidR="00203F72" w:rsidRPr="00BD43D3">
        <w:t>萬，甚至高達</w:t>
      </w:r>
      <w:r w:rsidR="00203F72" w:rsidRPr="00BD43D3">
        <w:t>50</w:t>
      </w:r>
      <w:r w:rsidR="00203F72" w:rsidRPr="00BD43D3">
        <w:t>萬。假若一年</w:t>
      </w:r>
      <w:r w:rsidR="00203F72" w:rsidRPr="00BD43D3">
        <w:t>50</w:t>
      </w:r>
      <w:r w:rsidR="00203F72" w:rsidRPr="00BD43D3">
        <w:t>萬名胎兒被</w:t>
      </w:r>
      <w:r w:rsidR="003E240E">
        <w:t>墮</w:t>
      </w:r>
      <w:r w:rsidR="00203F72" w:rsidRPr="00BD43D3">
        <w:t>胎，</w:t>
      </w:r>
      <w:r w:rsidR="00203F72" w:rsidRPr="00BD43D3">
        <w:t>10</w:t>
      </w:r>
      <w:r w:rsidR="00203F72" w:rsidRPr="00BD43D3">
        <w:t>年即為</w:t>
      </w:r>
      <w:r w:rsidR="00203F72" w:rsidRPr="00BD43D3">
        <w:t>500</w:t>
      </w:r>
      <w:r w:rsidR="00203F72" w:rsidRPr="00BD43D3">
        <w:t>萬名胎兒被</w:t>
      </w:r>
      <w:r w:rsidR="003E240E">
        <w:t>墮</w:t>
      </w:r>
      <w:r w:rsidR="00203F72" w:rsidRPr="00BD43D3">
        <w:t>胎，</w:t>
      </w:r>
      <w:r w:rsidR="00203F72" w:rsidRPr="00BD43D3">
        <w:t>20</w:t>
      </w:r>
      <w:r w:rsidR="00203F72" w:rsidRPr="00BD43D3">
        <w:t>年即為</w:t>
      </w:r>
      <w:r w:rsidR="00203F72" w:rsidRPr="00BD43D3">
        <w:t>1000</w:t>
      </w:r>
      <w:r w:rsidR="00203F72" w:rsidRPr="00BD43D3">
        <w:t>萬名胎兒被</w:t>
      </w:r>
      <w:r w:rsidR="003E240E">
        <w:t>墮</w:t>
      </w:r>
      <w:r w:rsidR="00203F72" w:rsidRPr="00BD43D3">
        <w:t>胎，這一個問題，憲法有必要面對它。台灣生育率偏低，其中之主因，乃是墮胎數過多，個人認為，現行《</w:t>
      </w:r>
      <w:hyperlink r:id="rId2651" w:history="1">
        <w:r w:rsidR="00203F72" w:rsidRPr="007C58FB">
          <w:rPr>
            <w:rStyle w:val="a5"/>
            <w:rFonts w:ascii="Times New Roman" w:eastAsia="新細明體" w:hAnsi="Times New Roman"/>
          </w:rPr>
          <w:t>優生保健法</w:t>
        </w:r>
      </w:hyperlink>
      <w:r w:rsidR="00203F72" w:rsidRPr="00BD43D3">
        <w:t>》讓墮胎太過容易，恐須檢討《優生保健法》</w:t>
      </w:r>
      <w:hyperlink r:id="rId2652" w:anchor="a9" w:history="1">
        <w:r w:rsidR="00BD43D3" w:rsidRPr="001408FD">
          <w:rPr>
            <w:rStyle w:val="a5"/>
          </w:rPr>
          <w:t>第九條</w:t>
        </w:r>
      </w:hyperlink>
      <w:r w:rsidR="00203F72" w:rsidRPr="00BD43D3">
        <w:t>第一項諸款立法之妥適性。」本書贊同之。</w:t>
      </w:r>
      <w:r w:rsidR="00193290" w:rsidRPr="008574A4">
        <w:rPr>
          <w:rFonts w:hint="eastAsia"/>
          <w:color w:val="FFFFFF" w:themeColor="background1"/>
        </w:rPr>
        <w:t>◇◆</w:t>
      </w:r>
    </w:p>
    <w:p w14:paraId="6F4061E4" w14:textId="77777777" w:rsidR="00203F72" w:rsidRPr="00A53581" w:rsidRDefault="00203F72" w:rsidP="00D87D91">
      <w:r>
        <w:rPr>
          <w:noProof/>
        </w:rPr>
        <w:drawing>
          <wp:inline distT="0" distB="0" distL="0" distR="0" wp14:anchorId="3A7E34CA" wp14:editId="16BBEDF2">
            <wp:extent cx="4902200" cy="3035300"/>
            <wp:effectExtent l="0" t="0" r="0" b="0"/>
            <wp:docPr id="49" name="圖片 49" descr="イメージ 2">
              <a:hlinkClick xmlns:a="http://schemas.openxmlformats.org/drawingml/2006/main" r:id="rId2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イメージ 2"/>
                    <pic:cNvPicPr>
                      <a:picLocks noChangeAspect="1" noChangeArrowheads="1"/>
                    </pic:cNvPicPr>
                  </pic:nvPicPr>
                  <pic:blipFill>
                    <a:blip r:embed="rId2654">
                      <a:extLst>
                        <a:ext uri="{28A0092B-C50C-407E-A947-70E740481C1C}">
                          <a14:useLocalDpi xmlns:a14="http://schemas.microsoft.com/office/drawing/2010/main" val="0"/>
                        </a:ext>
                      </a:extLst>
                    </a:blip>
                    <a:srcRect/>
                    <a:stretch>
                      <a:fillRect/>
                    </a:stretch>
                  </pic:blipFill>
                  <pic:spPr bwMode="auto">
                    <a:xfrm>
                      <a:off x="0" y="0"/>
                      <a:ext cx="4902200" cy="3035300"/>
                    </a:xfrm>
                    <a:prstGeom prst="rect">
                      <a:avLst/>
                    </a:prstGeom>
                    <a:noFill/>
                    <a:ln>
                      <a:noFill/>
                    </a:ln>
                  </pic:spPr>
                </pic:pic>
              </a:graphicData>
            </a:graphic>
          </wp:inline>
        </w:drawing>
      </w:r>
    </w:p>
    <w:p w14:paraId="13F85BBF" w14:textId="77777777" w:rsidR="008574A4" w:rsidRDefault="008574A4" w:rsidP="008574A4"/>
    <w:p w14:paraId="39E461DD" w14:textId="188B5A6F" w:rsidR="00203F72" w:rsidRPr="008574A4" w:rsidRDefault="00B03E84" w:rsidP="008574A4">
      <w:r w:rsidRPr="008574A4">
        <w:t>【</w:t>
      </w:r>
      <w:r w:rsidRPr="008574A4">
        <w:t>figure</w:t>
      </w:r>
      <w:r w:rsidR="005E23E3" w:rsidRPr="008574A4">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46</w:t>
      </w:r>
      <w:r w:rsidR="00076467">
        <w:rPr>
          <w:noProof/>
        </w:rPr>
        <w:fldChar w:fldCharType="end"/>
      </w:r>
      <w:r w:rsidR="003E240E">
        <w:rPr>
          <w:rFonts w:hint="eastAsia"/>
        </w:rPr>
        <w:t>墮</w:t>
      </w:r>
      <w:r w:rsidR="00203F72" w:rsidRPr="008574A4">
        <w:rPr>
          <w:rFonts w:hint="eastAsia"/>
        </w:rPr>
        <w:t>胎過程中將胎兒身體剪碎與移出圖示</w:t>
      </w:r>
      <w:r w:rsidR="00203F72" w:rsidRPr="008574A4">
        <w:rPr>
          <w:rFonts w:hint="eastAsia"/>
        </w:rPr>
        <w:t>(1)</w:t>
      </w:r>
      <w:r w:rsidR="00203F72" w:rsidRPr="008574A4">
        <w:footnoteReference w:id="1090"/>
      </w:r>
      <w:r w:rsidR="00193290" w:rsidRPr="008574A4">
        <w:rPr>
          <w:rFonts w:hint="eastAsia"/>
        </w:rPr>
        <w:t xml:space="preserve"> </w:t>
      </w:r>
      <w:r w:rsidR="00193290" w:rsidRPr="008574A4">
        <w:rPr>
          <w:rFonts w:hint="eastAsia"/>
        </w:rPr>
        <w:t>◇◆</w:t>
      </w:r>
    </w:p>
    <w:p w14:paraId="098B2CF6" w14:textId="77777777" w:rsidR="00203F72" w:rsidRPr="00A53581" w:rsidRDefault="00B03E84" w:rsidP="008574A4">
      <w:pPr>
        <w:jc w:val="left"/>
      </w:pPr>
      <w:r>
        <w:t>【資料來源】</w:t>
      </w:r>
      <w:r w:rsidR="00203F72" w:rsidRPr="00A53581">
        <w:rPr>
          <w:rFonts w:hint="eastAsia"/>
          <w:lang w:eastAsia="ja-JP"/>
        </w:rPr>
        <w:t>Yahoo Japan Corporation</w:t>
      </w:r>
      <w:r w:rsidR="00203F72" w:rsidRPr="00A53581">
        <w:t xml:space="preserve"> (201</w:t>
      </w:r>
      <w:r w:rsidR="00203F72" w:rsidRPr="00A53581">
        <w:rPr>
          <w:rFonts w:hint="eastAsia"/>
        </w:rPr>
        <w:t>5</w:t>
      </w:r>
      <w:r w:rsidR="00203F72" w:rsidRPr="00A53581">
        <w:t>)</w:t>
      </w:r>
      <w:r w:rsidR="00203F72" w:rsidRPr="00A53581">
        <w:rPr>
          <w:rFonts w:hint="eastAsia"/>
        </w:rPr>
        <w:t>，赤ちゃんは中絶されるときに恐怖で逃げる，上網瀏覽時間：</w:t>
      </w:r>
      <w:r w:rsidR="00203F72" w:rsidRPr="00A53581">
        <w:t>2015/</w:t>
      </w:r>
      <w:r w:rsidR="00203F72" w:rsidRPr="00A53581">
        <w:rPr>
          <w:rFonts w:hint="eastAsia"/>
        </w:rPr>
        <w:t>08</w:t>
      </w:r>
      <w:r w:rsidR="00203F72" w:rsidRPr="00A53581">
        <w:t>/</w:t>
      </w:r>
      <w:r w:rsidR="00203F72" w:rsidRPr="00A53581">
        <w:rPr>
          <w:rFonts w:hint="eastAsia"/>
        </w:rPr>
        <w:t>01</w:t>
      </w:r>
      <w:r w:rsidR="00203F72" w:rsidRPr="00A53581">
        <w:rPr>
          <w:rFonts w:hint="eastAsia"/>
        </w:rPr>
        <w:t>，</w:t>
      </w:r>
      <w:r w:rsidR="00203F72" w:rsidRPr="00A53581">
        <w:t>http://blogs.yahoo.co.jp/inoti333mamoru777/GALLERY/show_image.html?id=63109682&amp;no=2</w:t>
      </w:r>
      <w:r w:rsidR="00203F72" w:rsidRPr="00A53581">
        <w:rPr>
          <w:rFonts w:hint="eastAsia"/>
        </w:rPr>
        <w:t>。</w:t>
      </w:r>
    </w:p>
    <w:p w14:paraId="3B488C65" w14:textId="77777777" w:rsidR="00203F72" w:rsidRPr="00A53581" w:rsidRDefault="00203F72" w:rsidP="00D87D91">
      <w:r>
        <w:rPr>
          <w:noProof/>
        </w:rPr>
        <w:drawing>
          <wp:inline distT="0" distB="0" distL="0" distR="0" wp14:anchorId="42A4181C" wp14:editId="2C3DB0AE">
            <wp:extent cx="4703445" cy="3424555"/>
            <wp:effectExtent l="0" t="0" r="1905" b="4445"/>
            <wp:docPr id="50" name="圖片 50" descr="img_2?1427306765">
              <a:hlinkClick xmlns:a="http://schemas.openxmlformats.org/drawingml/2006/main" r:id="rId2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2?1427306765"/>
                    <pic:cNvPicPr>
                      <a:picLocks noChangeAspect="1" noChangeArrowheads="1"/>
                    </pic:cNvPicPr>
                  </pic:nvPicPr>
                  <pic:blipFill>
                    <a:blip r:embed="rId2656">
                      <a:extLst>
                        <a:ext uri="{28A0092B-C50C-407E-A947-70E740481C1C}">
                          <a14:useLocalDpi xmlns:a14="http://schemas.microsoft.com/office/drawing/2010/main" val="0"/>
                        </a:ext>
                      </a:extLst>
                    </a:blip>
                    <a:srcRect/>
                    <a:stretch>
                      <a:fillRect/>
                    </a:stretch>
                  </pic:blipFill>
                  <pic:spPr bwMode="auto">
                    <a:xfrm>
                      <a:off x="0" y="0"/>
                      <a:ext cx="4703445" cy="3424555"/>
                    </a:xfrm>
                    <a:prstGeom prst="rect">
                      <a:avLst/>
                    </a:prstGeom>
                    <a:noFill/>
                    <a:ln>
                      <a:noFill/>
                    </a:ln>
                  </pic:spPr>
                </pic:pic>
              </a:graphicData>
            </a:graphic>
          </wp:inline>
        </w:drawing>
      </w:r>
    </w:p>
    <w:p w14:paraId="693ECCEA" w14:textId="303FDD4C" w:rsidR="00203F72" w:rsidRPr="00A5358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47</w:t>
      </w:r>
      <w:r w:rsidR="00076467">
        <w:rPr>
          <w:noProof/>
        </w:rPr>
        <w:fldChar w:fldCharType="end"/>
      </w:r>
      <w:r w:rsidR="003E240E">
        <w:rPr>
          <w:rFonts w:hint="eastAsia"/>
        </w:rPr>
        <w:t>墮</w:t>
      </w:r>
      <w:r w:rsidR="00203F72" w:rsidRPr="00A53581">
        <w:rPr>
          <w:rFonts w:hint="eastAsia"/>
        </w:rPr>
        <w:t>胎過程中將胎兒身體剪碎與移出圖示</w:t>
      </w:r>
      <w:r w:rsidR="00203F72" w:rsidRPr="00A53581">
        <w:rPr>
          <w:rFonts w:hint="eastAsia"/>
        </w:rPr>
        <w:t>(2)</w:t>
      </w:r>
      <w:r w:rsidR="00203F72" w:rsidRPr="00A53581">
        <w:rPr>
          <w:rStyle w:val="af3"/>
          <w:rFonts w:ascii="新細明體" w:hAnsi="新細明體"/>
          <w:szCs w:val="22"/>
        </w:rPr>
        <w:footnoteReference w:id="1091"/>
      </w:r>
      <w:r w:rsidR="00193290" w:rsidRPr="00193290">
        <w:rPr>
          <w:rFonts w:hint="eastAsia"/>
          <w:color w:val="FFFFFF" w:themeColor="background1"/>
        </w:rPr>
        <w:t xml:space="preserve"> </w:t>
      </w:r>
      <w:r w:rsidR="00193290" w:rsidRPr="0065661E">
        <w:rPr>
          <w:rFonts w:hint="eastAsia"/>
          <w:color w:val="FFFFFF" w:themeColor="background1"/>
        </w:rPr>
        <w:t>◇◆</w:t>
      </w:r>
    </w:p>
    <w:p w14:paraId="29481F20" w14:textId="77777777" w:rsidR="008574A4" w:rsidRDefault="00B03E84" w:rsidP="008574A4">
      <w:pPr>
        <w:jc w:val="left"/>
      </w:pPr>
      <w:r>
        <w:t>【資料來源】</w:t>
      </w:r>
      <w:r w:rsidR="00203F72" w:rsidRPr="00A53581">
        <w:rPr>
          <w:rFonts w:hint="eastAsia"/>
          <w:lang w:eastAsia="ja-JP"/>
        </w:rPr>
        <w:t>Yahoo Japan Corporation</w:t>
      </w:r>
      <w:r w:rsidR="00203F72" w:rsidRPr="00A53581">
        <w:t xml:space="preserve"> (201</w:t>
      </w:r>
      <w:r w:rsidR="00203F72" w:rsidRPr="00A53581">
        <w:rPr>
          <w:rFonts w:hint="eastAsia"/>
        </w:rPr>
        <w:t>5</w:t>
      </w:r>
      <w:r w:rsidR="00203F72" w:rsidRPr="00A53581">
        <w:t>)</w:t>
      </w:r>
      <w:r w:rsidR="00203F72" w:rsidRPr="00A53581">
        <w:rPr>
          <w:rFonts w:hint="eastAsia"/>
        </w:rPr>
        <w:t>，赤ちゃんは中絶されるときに恐怖で逃げる，上網瀏覽時間：</w:t>
      </w:r>
      <w:r w:rsidR="00203F72" w:rsidRPr="00A53581">
        <w:t>2015/</w:t>
      </w:r>
      <w:r w:rsidR="00203F72" w:rsidRPr="00A53581">
        <w:rPr>
          <w:rFonts w:hint="eastAsia"/>
        </w:rPr>
        <w:t>08</w:t>
      </w:r>
      <w:r w:rsidR="00203F72" w:rsidRPr="00A53581">
        <w:t>/</w:t>
      </w:r>
      <w:r w:rsidR="00203F72" w:rsidRPr="00A53581">
        <w:rPr>
          <w:rFonts w:hint="eastAsia"/>
        </w:rPr>
        <w:t>01</w:t>
      </w:r>
      <w:r w:rsidR="00203F72" w:rsidRPr="00A53581">
        <w:rPr>
          <w:rFonts w:hint="eastAsia"/>
        </w:rPr>
        <w:t>，</w:t>
      </w:r>
      <w:hyperlink r:id="rId2657" w:history="1">
        <w:r w:rsidR="008574A4" w:rsidRPr="00A45644">
          <w:rPr>
            <w:rStyle w:val="a5"/>
            <w:rFonts w:ascii="Times New Roman" w:eastAsia="新細明體" w:hAnsi="Times New Roman"/>
          </w:rPr>
          <w:t>http://blogs.yahoo.co.jp/inoti333mamoru777/GALLERY/show_image.html?id=63109682&amp;no=2</w:t>
        </w:r>
      </w:hyperlink>
    </w:p>
    <w:p w14:paraId="4EDEDA9A" w14:textId="77777777" w:rsidR="00203F72" w:rsidRPr="00A53581" w:rsidRDefault="00203F72" w:rsidP="00D87D91">
      <w:r>
        <w:rPr>
          <w:noProof/>
        </w:rPr>
        <w:drawing>
          <wp:inline distT="0" distB="0" distL="0" distR="0" wp14:anchorId="55AFDA20" wp14:editId="564FF270">
            <wp:extent cx="4999355" cy="3789045"/>
            <wp:effectExtent l="0" t="0" r="0" b="1905"/>
            <wp:docPr id="51" name="圖片 51" descr="img_3?1427306765">
              <a:hlinkClick xmlns:a="http://schemas.openxmlformats.org/drawingml/2006/main" r:id="rId2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3?1427306765"/>
                    <pic:cNvPicPr>
                      <a:picLocks noChangeAspect="1" noChangeArrowheads="1"/>
                    </pic:cNvPicPr>
                  </pic:nvPicPr>
                  <pic:blipFill>
                    <a:blip r:embed="rId2659">
                      <a:extLst>
                        <a:ext uri="{28A0092B-C50C-407E-A947-70E740481C1C}">
                          <a14:useLocalDpi xmlns:a14="http://schemas.microsoft.com/office/drawing/2010/main" val="0"/>
                        </a:ext>
                      </a:extLst>
                    </a:blip>
                    <a:srcRect/>
                    <a:stretch>
                      <a:fillRect/>
                    </a:stretch>
                  </pic:blipFill>
                  <pic:spPr bwMode="auto">
                    <a:xfrm>
                      <a:off x="0" y="0"/>
                      <a:ext cx="4999355" cy="3789045"/>
                    </a:xfrm>
                    <a:prstGeom prst="rect">
                      <a:avLst/>
                    </a:prstGeom>
                    <a:noFill/>
                    <a:ln>
                      <a:noFill/>
                    </a:ln>
                  </pic:spPr>
                </pic:pic>
              </a:graphicData>
            </a:graphic>
          </wp:inline>
        </w:drawing>
      </w:r>
    </w:p>
    <w:p w14:paraId="567526D4" w14:textId="7734F312" w:rsidR="00203F72" w:rsidRPr="00A5358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48</w:t>
      </w:r>
      <w:r w:rsidR="00076467">
        <w:rPr>
          <w:noProof/>
        </w:rPr>
        <w:fldChar w:fldCharType="end"/>
      </w:r>
      <w:r w:rsidR="003E240E">
        <w:rPr>
          <w:rFonts w:hint="eastAsia"/>
        </w:rPr>
        <w:t>墮</w:t>
      </w:r>
      <w:r w:rsidR="00203F72" w:rsidRPr="00A53581">
        <w:rPr>
          <w:rFonts w:hint="eastAsia"/>
        </w:rPr>
        <w:t>胎過程中將胎兒身體剪碎與移出圖示</w:t>
      </w:r>
      <w:r w:rsidR="00203F72" w:rsidRPr="00A53581">
        <w:rPr>
          <w:rFonts w:hint="eastAsia"/>
        </w:rPr>
        <w:t>(3)</w:t>
      </w:r>
      <w:r w:rsidR="00203F72" w:rsidRPr="00A53581">
        <w:rPr>
          <w:rStyle w:val="af3"/>
          <w:rFonts w:ascii="新細明體" w:hAnsi="新細明體"/>
          <w:szCs w:val="22"/>
        </w:rPr>
        <w:footnoteReference w:id="1092"/>
      </w:r>
    </w:p>
    <w:p w14:paraId="675F6788" w14:textId="77777777" w:rsidR="00953151" w:rsidRDefault="00B03E84" w:rsidP="008574A4">
      <w:pPr>
        <w:jc w:val="left"/>
      </w:pPr>
      <w:r>
        <w:t>【資料來源】</w:t>
      </w:r>
      <w:r w:rsidR="00203F72" w:rsidRPr="00A53581">
        <w:rPr>
          <w:rFonts w:hint="eastAsia"/>
          <w:lang w:eastAsia="ja-JP"/>
        </w:rPr>
        <w:t>Yahoo Japan Corporation</w:t>
      </w:r>
      <w:r w:rsidR="00203F72" w:rsidRPr="00A53581">
        <w:t xml:space="preserve"> (201</w:t>
      </w:r>
      <w:r w:rsidR="00203F72" w:rsidRPr="00A53581">
        <w:rPr>
          <w:rFonts w:hint="eastAsia"/>
        </w:rPr>
        <w:t>5</w:t>
      </w:r>
      <w:r w:rsidR="00203F72" w:rsidRPr="00A53581">
        <w:t>)</w:t>
      </w:r>
      <w:r w:rsidR="00203F72" w:rsidRPr="00A53581">
        <w:rPr>
          <w:rFonts w:hint="eastAsia"/>
        </w:rPr>
        <w:t>，赤ちゃんは中絶されるときに恐怖で逃げる，上網瀏覽時間：</w:t>
      </w:r>
      <w:r w:rsidR="00203F72" w:rsidRPr="00A53581">
        <w:t>2015/</w:t>
      </w:r>
      <w:r w:rsidR="00203F72" w:rsidRPr="00A53581">
        <w:rPr>
          <w:rFonts w:hint="eastAsia"/>
        </w:rPr>
        <w:t>08</w:t>
      </w:r>
      <w:r w:rsidR="00203F72" w:rsidRPr="00A53581">
        <w:t>/</w:t>
      </w:r>
      <w:r w:rsidR="00203F72" w:rsidRPr="00A53581">
        <w:rPr>
          <w:rFonts w:hint="eastAsia"/>
        </w:rPr>
        <w:t>01</w:t>
      </w:r>
      <w:r w:rsidR="00203F72" w:rsidRPr="00A53581">
        <w:rPr>
          <w:rFonts w:hint="eastAsia"/>
        </w:rPr>
        <w:t>，</w:t>
      </w:r>
      <w:hyperlink r:id="rId2660" w:history="1">
        <w:r w:rsidR="00203F72" w:rsidRPr="00BD43D3">
          <w:rPr>
            <w:rStyle w:val="a5"/>
          </w:rPr>
          <w:t>http://blogs.yahoo.co.jp/inoti333mamoru777/GALLERY/show_image.html?id=63109682&amp;no=2</w:t>
        </w:r>
      </w:hyperlink>
      <w:r w:rsidR="00203F72" w:rsidRPr="00A53581">
        <w:rPr>
          <w:rFonts w:hint="eastAsia"/>
        </w:rPr>
        <w:t>。</w:t>
      </w:r>
    </w:p>
    <w:p w14:paraId="5213C869" w14:textId="77777777" w:rsidR="00203F72" w:rsidRPr="00A53581" w:rsidRDefault="00203F72" w:rsidP="00D87D91"/>
    <w:p w14:paraId="5BFC5596" w14:textId="77777777" w:rsidR="00203F72" w:rsidRPr="00A53581" w:rsidRDefault="00203F72" w:rsidP="00D87D91">
      <w:r>
        <w:rPr>
          <w:noProof/>
        </w:rPr>
        <w:drawing>
          <wp:inline distT="0" distB="0" distL="0" distR="0" wp14:anchorId="54149358" wp14:editId="34657CF2">
            <wp:extent cx="4999355" cy="2950845"/>
            <wp:effectExtent l="0" t="0" r="0" b="1905"/>
            <wp:docPr id="52" name="圖片 52" descr="img_4?1427306765">
              <a:hlinkClick xmlns:a="http://schemas.openxmlformats.org/drawingml/2006/main" r:id="rId2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4?1427306765"/>
                    <pic:cNvPicPr>
                      <a:picLocks noChangeAspect="1" noChangeArrowheads="1"/>
                    </pic:cNvPicPr>
                  </pic:nvPicPr>
                  <pic:blipFill>
                    <a:blip r:embed="rId2662">
                      <a:extLst>
                        <a:ext uri="{28A0092B-C50C-407E-A947-70E740481C1C}">
                          <a14:useLocalDpi xmlns:a14="http://schemas.microsoft.com/office/drawing/2010/main" val="0"/>
                        </a:ext>
                      </a:extLst>
                    </a:blip>
                    <a:srcRect/>
                    <a:stretch>
                      <a:fillRect/>
                    </a:stretch>
                  </pic:blipFill>
                  <pic:spPr bwMode="auto">
                    <a:xfrm>
                      <a:off x="0" y="0"/>
                      <a:ext cx="4999355" cy="2950845"/>
                    </a:xfrm>
                    <a:prstGeom prst="rect">
                      <a:avLst/>
                    </a:prstGeom>
                    <a:noFill/>
                    <a:ln>
                      <a:noFill/>
                    </a:ln>
                  </pic:spPr>
                </pic:pic>
              </a:graphicData>
            </a:graphic>
          </wp:inline>
        </w:drawing>
      </w:r>
    </w:p>
    <w:p w14:paraId="7A6C357A" w14:textId="2547EF73" w:rsidR="00203F72" w:rsidRPr="008574A4" w:rsidRDefault="00B03E84" w:rsidP="008574A4">
      <w:pPr>
        <w:jc w:val="left"/>
      </w:pPr>
      <w:r w:rsidRPr="008574A4">
        <w:t>【</w:t>
      </w:r>
      <w:r w:rsidRPr="008574A4">
        <w:t>figure</w:t>
      </w:r>
      <w:r w:rsidR="005E23E3" w:rsidRPr="008574A4">
        <w:t>】</w:t>
      </w:r>
      <w:r w:rsidR="00076467">
        <w:rPr>
          <w:noProof/>
        </w:rPr>
        <w:fldChar w:fldCharType="begin"/>
      </w:r>
      <w:r w:rsidR="00076467">
        <w:rPr>
          <w:noProof/>
        </w:rPr>
        <w:instrText xml:space="preserve"> SEQ figure \* ARAB</w:instrText>
      </w:r>
      <w:r w:rsidR="00076467">
        <w:rPr>
          <w:noProof/>
        </w:rPr>
        <w:instrText xml:space="preserve">IC </w:instrText>
      </w:r>
      <w:r w:rsidR="00076467">
        <w:rPr>
          <w:noProof/>
        </w:rPr>
        <w:fldChar w:fldCharType="separate"/>
      </w:r>
      <w:r w:rsidR="00D935B9">
        <w:rPr>
          <w:noProof/>
        </w:rPr>
        <w:t>49</w:t>
      </w:r>
      <w:r w:rsidR="00076467">
        <w:rPr>
          <w:noProof/>
        </w:rPr>
        <w:fldChar w:fldCharType="end"/>
      </w:r>
      <w:r w:rsidR="003E240E">
        <w:rPr>
          <w:rFonts w:hint="eastAsia"/>
        </w:rPr>
        <w:t>墮</w:t>
      </w:r>
      <w:r w:rsidR="00203F72" w:rsidRPr="008574A4">
        <w:rPr>
          <w:rFonts w:hint="eastAsia"/>
        </w:rPr>
        <w:t>胎過程中將胎兒身體剪碎與移出圖示</w:t>
      </w:r>
      <w:r w:rsidR="00203F72" w:rsidRPr="008574A4">
        <w:rPr>
          <w:rFonts w:hint="eastAsia"/>
        </w:rPr>
        <w:t>(4)</w:t>
      </w:r>
      <w:r w:rsidR="00203F72" w:rsidRPr="008574A4">
        <w:footnoteReference w:id="1093"/>
      </w:r>
    </w:p>
    <w:p w14:paraId="244C8F4B" w14:textId="77777777" w:rsidR="00953151" w:rsidRPr="008574A4" w:rsidRDefault="00B03E84" w:rsidP="008574A4">
      <w:pPr>
        <w:jc w:val="left"/>
      </w:pPr>
      <w:r w:rsidRPr="008574A4">
        <w:t>【資料來源】</w:t>
      </w:r>
      <w:r w:rsidR="00203F72" w:rsidRPr="008574A4">
        <w:rPr>
          <w:rFonts w:hint="eastAsia"/>
        </w:rPr>
        <w:t>Yahoo Japan Corporation</w:t>
      </w:r>
      <w:r w:rsidR="00203F72" w:rsidRPr="008574A4">
        <w:t xml:space="preserve"> (201</w:t>
      </w:r>
      <w:r w:rsidR="00203F72" w:rsidRPr="008574A4">
        <w:rPr>
          <w:rFonts w:hint="eastAsia"/>
        </w:rPr>
        <w:t>5</w:t>
      </w:r>
      <w:r w:rsidR="00203F72" w:rsidRPr="008574A4">
        <w:t>)</w:t>
      </w:r>
      <w:r w:rsidR="00203F72" w:rsidRPr="008574A4">
        <w:rPr>
          <w:rFonts w:hint="eastAsia"/>
        </w:rPr>
        <w:t>，赤ちゃんは中絶されるときに恐怖で逃げる，上網瀏覽時間：</w:t>
      </w:r>
      <w:r w:rsidR="00203F72" w:rsidRPr="008574A4">
        <w:t>2015/</w:t>
      </w:r>
      <w:r w:rsidR="00203F72" w:rsidRPr="008574A4">
        <w:rPr>
          <w:rFonts w:hint="eastAsia"/>
        </w:rPr>
        <w:t>08</w:t>
      </w:r>
      <w:r w:rsidR="00203F72" w:rsidRPr="008574A4">
        <w:t>/</w:t>
      </w:r>
      <w:r w:rsidR="00203F72" w:rsidRPr="008574A4">
        <w:rPr>
          <w:rFonts w:hint="eastAsia"/>
        </w:rPr>
        <w:t>01</w:t>
      </w:r>
      <w:r w:rsidR="00203F72" w:rsidRPr="008574A4">
        <w:rPr>
          <w:rFonts w:hint="eastAsia"/>
        </w:rPr>
        <w:t>，</w:t>
      </w:r>
      <w:hyperlink r:id="rId2663" w:history="1">
        <w:r w:rsidR="00203F72" w:rsidRPr="008574A4">
          <w:rPr>
            <w:rStyle w:val="a5"/>
          </w:rPr>
          <w:t>http://blogs.yahoo.co.jp/inoti333mamoru777/GALLERY/show_image.html?id=63109682&amp;no=2</w:t>
        </w:r>
      </w:hyperlink>
      <w:r w:rsidR="00203F72" w:rsidRPr="008574A4">
        <w:rPr>
          <w:rFonts w:hint="eastAsia"/>
        </w:rPr>
        <w:t>。</w:t>
      </w:r>
    </w:p>
    <w:p w14:paraId="28220165" w14:textId="77777777" w:rsidR="00953151" w:rsidRPr="00BD43D3" w:rsidRDefault="005E23E3" w:rsidP="00D87D91">
      <w:r w:rsidRPr="00BD43D3">
        <w:t xml:space="preserve">　　</w:t>
      </w:r>
      <w:r w:rsidR="00203F72" w:rsidRPr="00BD43D3">
        <w:t>高哲翰教授於本書推薦序文中，其亦指出，「在台灣，約有</w:t>
      </w:r>
      <w:r w:rsidR="00203F72" w:rsidRPr="00BD43D3">
        <w:t>95</w:t>
      </w:r>
      <w:r w:rsidR="00203F72" w:rsidRPr="00BD43D3">
        <w:t>％以上的墮胎女性，大多引用優生保健法第三章</w:t>
      </w:r>
      <w:hyperlink r:id="rId2664" w:anchor="a9" w:history="1">
        <w:r w:rsidR="00BD43D3" w:rsidRPr="00BD43D3">
          <w:rPr>
            <w:rStyle w:val="a5"/>
          </w:rPr>
          <w:t>第九條</w:t>
        </w:r>
      </w:hyperlink>
      <w:r w:rsidR="00203F72" w:rsidRPr="00BD43D3">
        <w:t>第一項第六款「因懷孕或生產，將影響其心理健康或家庭生活者」，個人認為，現行《優生保健法》第三章</w:t>
      </w:r>
      <w:hyperlink r:id="rId2665" w:anchor="a9" w:history="1">
        <w:r w:rsidR="00BD43D3" w:rsidRPr="00BD43D3">
          <w:rPr>
            <w:rStyle w:val="a5"/>
          </w:rPr>
          <w:t>第九條</w:t>
        </w:r>
      </w:hyperlink>
      <w:r w:rsidR="00203F72" w:rsidRPr="00BD43D3">
        <w:t>第一項第六款之規定，讓女性墮胎太過容易。何謂影響其心理健康或家庭生活？定義為何？是否讓女性墮胎太過寬鬆？恐有修法之必要性。」本書肯定之。</w:t>
      </w:r>
    </w:p>
    <w:p w14:paraId="3B9C4EAB" w14:textId="77777777" w:rsidR="00953151" w:rsidRPr="00BD43D3" w:rsidRDefault="005E23E3" w:rsidP="00D87D91">
      <w:r w:rsidRPr="00BD43D3">
        <w:t xml:space="preserve">　　</w:t>
      </w:r>
      <w:r w:rsidR="00203F72" w:rsidRPr="00BD43D3">
        <w:t>本書認為，《優生保健法》第三章</w:t>
      </w:r>
      <w:hyperlink r:id="rId2666" w:anchor="a9" w:history="1">
        <w:r w:rsidR="00BD43D3" w:rsidRPr="00BD43D3">
          <w:rPr>
            <w:rStyle w:val="a5"/>
          </w:rPr>
          <w:t>第九條</w:t>
        </w:r>
      </w:hyperlink>
      <w:r w:rsidR="00203F72" w:rsidRPr="00BD43D3">
        <w:t>第一項第六款之規定，條文的內容，缺乏正當性，條件過於寬鬆，不足以作為剝奪胎兒無上、至尊與至貴的生命權的實質性理由。當事人之心理健康或家庭生活之立法理由，相當脆弱與虛弱，不足以支撐，作為剝奪胎兒無上、至尊與至貴的生命權的實質性之理由，本書認為，宜刪除《優生保健法》第三章</w:t>
      </w:r>
      <w:hyperlink r:id="rId2667" w:anchor="a9" w:history="1">
        <w:r w:rsidR="00BD43D3" w:rsidRPr="00BD43D3">
          <w:rPr>
            <w:rStyle w:val="a5"/>
          </w:rPr>
          <w:t>第九條</w:t>
        </w:r>
      </w:hyperlink>
      <w:r w:rsidR="00203F72" w:rsidRPr="00BD43D3">
        <w:t>第一項第六款之規定。</w:t>
      </w:r>
    </w:p>
    <w:p w14:paraId="7682BAD4" w14:textId="77777777" w:rsidR="00145751" w:rsidRDefault="00145751" w:rsidP="008574A4">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10464683" w14:textId="77777777" w:rsidR="00145751" w:rsidRDefault="00145751" w:rsidP="00D87D91"/>
    <w:p w14:paraId="730BCDDA" w14:textId="77777777" w:rsidR="00953151" w:rsidRDefault="00203F72" w:rsidP="00767F37">
      <w:pPr>
        <w:pStyle w:val="2"/>
      </w:pPr>
      <w:bookmarkStart w:id="142" w:name="_拾玖、「外來人口」與本國人享有同等之人身自由保障"/>
      <w:bookmarkEnd w:id="142"/>
      <w:r w:rsidRPr="00A53581">
        <w:t>拾玖、「外來人口」與本國人享有同等之人身自由保障</w:t>
      </w:r>
      <w:r w:rsidRPr="00A53581">
        <w:t xml:space="preserve"> </w:t>
      </w:r>
    </w:p>
    <w:p w14:paraId="26E5223A" w14:textId="77777777" w:rsidR="00953151" w:rsidRPr="00BD43D3" w:rsidRDefault="005E23E3" w:rsidP="00D87D91">
      <w:r w:rsidRPr="00BD43D3">
        <w:rPr>
          <w:rFonts w:hint="eastAsia"/>
        </w:rPr>
        <w:t xml:space="preserve">　　</w:t>
      </w:r>
      <w:r w:rsidR="00203F72" w:rsidRPr="00BD43D3">
        <w:rPr>
          <w:rFonts w:hint="eastAsia"/>
        </w:rPr>
        <w:t>收容管理是否會侵犯人權？理論上，收容已嚴重地侵犯人身自由，應會侵犯人權。但假若符合憲法</w:t>
      </w:r>
      <w:hyperlink r:id="rId2668" w:anchor="a8" w:history="1">
        <w:r w:rsidR="001F6A1B" w:rsidRPr="001F6A1B">
          <w:rPr>
            <w:rStyle w:val="a5"/>
          </w:rPr>
          <w:t>第8條</w:t>
        </w:r>
      </w:hyperlink>
      <w:r w:rsidR="00203F72" w:rsidRPr="00BD43D3">
        <w:rPr>
          <w:rFonts w:hint="eastAsia"/>
        </w:rPr>
        <w:t>與</w:t>
      </w:r>
      <w:hyperlink r:id="rId2669" w:anchor="a23" w:history="1">
        <w:r w:rsidR="002673A4" w:rsidRPr="00F90BE3">
          <w:rPr>
            <w:rStyle w:val="a5"/>
          </w:rPr>
          <w:t>第23條</w:t>
        </w:r>
      </w:hyperlink>
      <w:r w:rsidR="00203F72" w:rsidRPr="00BD43D3">
        <w:rPr>
          <w:rFonts w:hint="eastAsia"/>
        </w:rPr>
        <w:t>之要求，應不致於侵犯人權。</w:t>
      </w:r>
      <w:r w:rsidR="00203F72" w:rsidRPr="00BD43D3">
        <w:t>台灣</w:t>
      </w:r>
      <w:r w:rsidR="00203F72" w:rsidRPr="00BD43D3">
        <w:rPr>
          <w:rFonts w:hint="eastAsia"/>
        </w:rPr>
        <w:t>民國</w:t>
      </w:r>
      <w:r w:rsidR="00203F72" w:rsidRPr="00BD43D3">
        <w:rPr>
          <w:rFonts w:hint="eastAsia"/>
        </w:rPr>
        <w:t>104</w:t>
      </w:r>
      <w:r w:rsidR="00203F72" w:rsidRPr="00BD43D3">
        <w:rPr>
          <w:rFonts w:hint="eastAsia"/>
        </w:rPr>
        <w:t>年</w:t>
      </w:r>
      <w:r w:rsidR="00203F72" w:rsidRPr="00BD43D3">
        <w:rPr>
          <w:rFonts w:hint="eastAsia"/>
        </w:rPr>
        <w:t>2</w:t>
      </w:r>
      <w:r w:rsidR="00203F72" w:rsidRPr="00BD43D3">
        <w:rPr>
          <w:rFonts w:hint="eastAsia"/>
        </w:rPr>
        <w:t>月</w:t>
      </w:r>
      <w:r w:rsidR="00203F72" w:rsidRPr="00BD43D3">
        <w:rPr>
          <w:rFonts w:hint="eastAsia"/>
        </w:rPr>
        <w:t>4</w:t>
      </w:r>
      <w:r w:rsidR="00203F72" w:rsidRPr="00BD43D3">
        <w:rPr>
          <w:rFonts w:hint="eastAsia"/>
        </w:rPr>
        <w:t>日公布之新移民法，其中之第</w:t>
      </w:r>
      <w:r w:rsidR="00203F72" w:rsidRPr="00BD43D3">
        <w:rPr>
          <w:rFonts w:hint="eastAsia"/>
        </w:rPr>
        <w:t>38</w:t>
      </w:r>
      <w:r w:rsidR="00203F72" w:rsidRPr="00BD43D3">
        <w:rPr>
          <w:rFonts w:hint="eastAsia"/>
        </w:rPr>
        <w:t>條第</w:t>
      </w:r>
      <w:r w:rsidR="00203F72" w:rsidRPr="00BD43D3">
        <w:rPr>
          <w:rFonts w:hint="eastAsia"/>
        </w:rPr>
        <w:t>1</w:t>
      </w:r>
      <w:r w:rsidR="00203F72" w:rsidRPr="00BD43D3">
        <w:rPr>
          <w:rFonts w:hint="eastAsia"/>
        </w:rPr>
        <w:t>項之規定，給予移民官對於外國人擁有</w:t>
      </w:r>
      <w:r w:rsidR="00203F72" w:rsidRPr="00BD43D3">
        <w:rPr>
          <w:rFonts w:hint="eastAsia"/>
        </w:rPr>
        <w:t>15</w:t>
      </w:r>
      <w:r w:rsidR="00203F72" w:rsidRPr="00BD43D3">
        <w:rPr>
          <w:rFonts w:hint="eastAsia"/>
        </w:rPr>
        <w:t>日之暫予收容之權力，完全與我國憲法</w:t>
      </w:r>
      <w:hyperlink r:id="rId2670" w:anchor="a8" w:history="1">
        <w:r w:rsidR="001F6A1B" w:rsidRPr="001F6A1B">
          <w:rPr>
            <w:rStyle w:val="a5"/>
          </w:rPr>
          <w:t>第8條</w:t>
        </w:r>
      </w:hyperlink>
      <w:r w:rsidR="00203F72" w:rsidRPr="00BD43D3">
        <w:rPr>
          <w:rFonts w:hint="eastAsia"/>
        </w:rPr>
        <w:t>背道而馳，業已「非常嚴重地」侵犯外國人之人性尊嚴與人身自由權，宜儘速修法，改由法官裁決對於外國人是否須進行「暫予收容」。</w:t>
      </w:r>
    </w:p>
    <w:p w14:paraId="3F5ED2A1" w14:textId="77777777" w:rsidR="00BD43D3" w:rsidRDefault="00BD43D3" w:rsidP="00D87D91"/>
    <w:p w14:paraId="33C32FDF" w14:textId="19050BAF" w:rsidR="00203F72" w:rsidRPr="00BD43D3" w:rsidRDefault="00B03E84" w:rsidP="00D87D91">
      <w:r w:rsidRPr="00BD43D3">
        <w:t>【</w:t>
      </w:r>
      <w:r w:rsidRPr="00BD43D3">
        <w:t>table</w:t>
      </w:r>
      <w:r w:rsidR="005E23E3" w:rsidRPr="00BD43D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120</w:t>
      </w:r>
      <w:r w:rsidR="00076467">
        <w:rPr>
          <w:noProof/>
        </w:rPr>
        <w:fldChar w:fldCharType="end"/>
      </w:r>
      <w:r w:rsidR="00203F72" w:rsidRPr="00BD43D3">
        <w:t>憲法</w:t>
      </w:r>
      <w:hyperlink r:id="rId2671" w:anchor="a8" w:history="1">
        <w:r w:rsidR="001F6A1B" w:rsidRPr="001F6A1B">
          <w:rPr>
            <w:rStyle w:val="a5"/>
          </w:rPr>
          <w:t>第8條</w:t>
        </w:r>
      </w:hyperlink>
      <w:r w:rsidR="00203F72" w:rsidRPr="00BD43D3">
        <w:t>第</w:t>
      </w:r>
      <w:r w:rsidR="00203F72" w:rsidRPr="00BD43D3">
        <w:t>1</w:t>
      </w:r>
      <w:r w:rsidR="00203F72" w:rsidRPr="00BD43D3">
        <w:t>項「法院審問處罰」與「法官保留」之內涵分析表</w:t>
      </w:r>
    </w:p>
    <w:tbl>
      <w:tblPr>
        <w:tblW w:w="483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3"/>
        <w:gridCol w:w="6948"/>
      </w:tblGrid>
      <w:tr w:rsidR="00203F72" w:rsidRPr="00A53581" w14:paraId="2339A9E3" w14:textId="77777777" w:rsidTr="008574A4">
        <w:trPr>
          <w:tblHeader/>
        </w:trPr>
        <w:tc>
          <w:tcPr>
            <w:tcW w:w="774" w:type="pct"/>
            <w:shd w:val="clear" w:color="auto" w:fill="FAF0FA"/>
          </w:tcPr>
          <w:p w14:paraId="62105F7E" w14:textId="77777777" w:rsidR="00203F72" w:rsidRPr="00A53581" w:rsidRDefault="00203F72" w:rsidP="00D87D91">
            <w:r w:rsidRPr="00A53581">
              <w:t>司法院釋字號別</w:t>
            </w:r>
          </w:p>
        </w:tc>
        <w:tc>
          <w:tcPr>
            <w:tcW w:w="4226" w:type="pct"/>
            <w:shd w:val="clear" w:color="auto" w:fill="FAF0FA"/>
          </w:tcPr>
          <w:p w14:paraId="292C4AAD" w14:textId="77777777" w:rsidR="00203F72" w:rsidRPr="00A53581" w:rsidRDefault="00203F72" w:rsidP="00D87D91">
            <w:r w:rsidRPr="00A53581">
              <w:t>內涵</w:t>
            </w:r>
          </w:p>
        </w:tc>
      </w:tr>
      <w:tr w:rsidR="00203F72" w:rsidRPr="00A53581" w14:paraId="0FEC0A5C" w14:textId="77777777" w:rsidTr="008574A4">
        <w:tc>
          <w:tcPr>
            <w:tcW w:w="774" w:type="pct"/>
            <w:shd w:val="clear" w:color="auto" w:fill="auto"/>
          </w:tcPr>
          <w:p w14:paraId="7637378A" w14:textId="77777777" w:rsidR="00203F72" w:rsidRPr="00A53581" w:rsidRDefault="00076467" w:rsidP="00D87D91">
            <w:hyperlink r:id="rId2672" w:anchor="r251" w:history="1">
              <w:r w:rsidR="00203F72" w:rsidRPr="00697741">
                <w:rPr>
                  <w:rStyle w:val="a5"/>
                  <w:rFonts w:ascii="Times New Roman" w:eastAsia="新細明體" w:hAnsi="Times New Roman"/>
                </w:rPr>
                <w:t>251</w:t>
              </w:r>
            </w:hyperlink>
          </w:p>
        </w:tc>
        <w:tc>
          <w:tcPr>
            <w:tcW w:w="4226" w:type="pct"/>
            <w:shd w:val="clear" w:color="auto" w:fill="auto"/>
          </w:tcPr>
          <w:p w14:paraId="3F5A8D50" w14:textId="77777777" w:rsidR="00203F72" w:rsidRPr="00A53581" w:rsidRDefault="00203F72" w:rsidP="00D87D91">
            <w:r w:rsidRPr="00A53581">
              <w:t>依違警罰法</w:t>
            </w:r>
            <w:hyperlink r:id="rId2673" w:anchor="a28" w:history="1">
              <w:r w:rsidRPr="00697741">
                <w:rPr>
                  <w:rStyle w:val="a5"/>
                  <w:rFonts w:ascii="Times New Roman" w:eastAsia="新細明體" w:hAnsi="Times New Roman"/>
                </w:rPr>
                <w:t>第</w:t>
              </w:r>
              <w:r w:rsidRPr="00697741">
                <w:rPr>
                  <w:rStyle w:val="a5"/>
                  <w:rFonts w:ascii="Times New Roman" w:eastAsia="新細明體" w:hAnsi="Times New Roman"/>
                </w:rPr>
                <w:t>28</w:t>
              </w:r>
              <w:r w:rsidRPr="00697741">
                <w:rPr>
                  <w:rStyle w:val="a5"/>
                  <w:rFonts w:ascii="Times New Roman" w:eastAsia="新細明體" w:hAnsi="Times New Roman"/>
                </w:rPr>
                <w:t>條</w:t>
              </w:r>
            </w:hyperlink>
            <w:r w:rsidRPr="00A53581">
              <w:t>規定所為「送交相當處所，施以矯正或命其學習生活技能」之處分，同屬限制人民之身體自由，其裁決由警察官署為之，亦與憲法</w:t>
            </w:r>
            <w:hyperlink r:id="rId2674" w:anchor="a8" w:history="1">
              <w:r w:rsidR="001F6A1B" w:rsidRPr="001F6A1B">
                <w:rPr>
                  <w:rStyle w:val="a5"/>
                </w:rPr>
                <w:t>第8條</w:t>
              </w:r>
            </w:hyperlink>
            <w:r w:rsidRPr="00A53581">
              <w:t>第</w:t>
            </w:r>
            <w:r w:rsidRPr="00A53581">
              <w:t>1</w:t>
            </w:r>
            <w:r w:rsidRPr="00A53581">
              <w:t>項之本旨不符，應與拘留、罰役之裁決程序，一併改由法院依法定程序為之。前述解釋之拘留、罰役及本件解釋之處分裁決程序規定，至遲應於中華民國</w:t>
            </w:r>
            <w:r w:rsidRPr="00A53581">
              <w:t>80</w:t>
            </w:r>
            <w:r w:rsidRPr="00A53581">
              <w:t>年</w:t>
            </w:r>
            <w:r w:rsidRPr="00A53581">
              <w:t>7</w:t>
            </w:r>
            <w:r w:rsidRPr="00A53581">
              <w:t>月</w:t>
            </w:r>
            <w:r w:rsidRPr="00A53581">
              <w:t>1</w:t>
            </w:r>
            <w:r w:rsidRPr="00A53581">
              <w:t>日起失其效力，並應於此期限前修訂相關法律。</w:t>
            </w:r>
          </w:p>
        </w:tc>
      </w:tr>
      <w:tr w:rsidR="00203F72" w:rsidRPr="00A53581" w14:paraId="0D8BD42F" w14:textId="77777777" w:rsidTr="008574A4">
        <w:tc>
          <w:tcPr>
            <w:tcW w:w="774" w:type="pct"/>
            <w:shd w:val="clear" w:color="auto" w:fill="auto"/>
          </w:tcPr>
          <w:p w14:paraId="6D562C28" w14:textId="77777777" w:rsidR="00203F72" w:rsidRPr="00A53581" w:rsidRDefault="00076467" w:rsidP="00D87D91">
            <w:hyperlink r:id="rId2675" w:anchor="r588" w:history="1">
              <w:r w:rsidR="00203F72" w:rsidRPr="00697741">
                <w:rPr>
                  <w:rStyle w:val="a5"/>
                  <w:rFonts w:ascii="Times New Roman" w:eastAsia="新細明體" w:hAnsi="Times New Roman"/>
                </w:rPr>
                <w:t>588</w:t>
              </w:r>
            </w:hyperlink>
          </w:p>
        </w:tc>
        <w:tc>
          <w:tcPr>
            <w:tcW w:w="4226" w:type="pct"/>
            <w:shd w:val="clear" w:color="auto" w:fill="auto"/>
          </w:tcPr>
          <w:p w14:paraId="1DE8F857" w14:textId="77777777" w:rsidR="00203F72" w:rsidRPr="00A53581" w:rsidRDefault="00203F72" w:rsidP="00D87D91">
            <w:r w:rsidRPr="00A53581">
              <w:t>管收係於一定期間內拘束人民身體自由於一定之處所，亦屬憲法</w:t>
            </w:r>
            <w:hyperlink r:id="rId2676" w:anchor="a8" w:history="1">
              <w:r w:rsidR="001F6A1B" w:rsidRPr="001F6A1B">
                <w:rPr>
                  <w:rStyle w:val="a5"/>
                </w:rPr>
                <w:t>第8條</w:t>
              </w:r>
            </w:hyperlink>
            <w:r w:rsidRPr="00A53581">
              <w:t>第</w:t>
            </w:r>
            <w:r w:rsidRPr="00A53581">
              <w:t>1</w:t>
            </w:r>
            <w:r w:rsidRPr="00A53581">
              <w:t>項所規定之「拘禁」，其於決定管收之前，自應踐行必要之程序、即由中立、公正第三者之法院審問，並使法定義務人到場為程序之參與，除藉之以明管收之是否合乎法定要件暨有無管收之必要外，並使法定義務人得有防禦之機會，提出有利之相關抗辯以供法院調查，期以實現憲法對人身自由之保障。</w:t>
            </w:r>
            <w:r w:rsidRPr="00A53581">
              <w:rPr>
                <w:rFonts w:hint="eastAsia"/>
              </w:rPr>
              <w:t>……</w:t>
            </w:r>
            <w:r w:rsidRPr="00A53581">
              <w:t>行政執行法第</w:t>
            </w:r>
            <w:r w:rsidRPr="00A53581">
              <w:t>17</w:t>
            </w:r>
            <w:r w:rsidRPr="00A53581">
              <w:t>條第</w:t>
            </w:r>
            <w:r w:rsidRPr="00A53581">
              <w:t>2</w:t>
            </w:r>
            <w:r w:rsidRPr="00A53581">
              <w:t>項：「義務人逾前項限期仍不履行，亦不提供擔保者，行政執行處得聲請該管法院裁定拘提管收之」、第</w:t>
            </w:r>
            <w:r w:rsidRPr="00A53581">
              <w:t>19</w:t>
            </w:r>
            <w:r w:rsidRPr="00A53581">
              <w:t>條第</w:t>
            </w:r>
            <w:r w:rsidRPr="00A53581">
              <w:t>1</w:t>
            </w:r>
            <w:r w:rsidRPr="00A53581">
              <w:t>項：「法院為拘提管收之定後，應將拘票及管收票交由行政執行處派執行員執行拘提並將被管收人逕送管收所」之規定，其於行政執行處合併為拘提且管收之聲請，法院亦為拘提管收之裁定時，該被裁定拘提管收之義務人既尚未拘提到場，自不可能踐行審問程序，乃法院竟得為管收之裁定，尤有違於前述正當法律程序之要求。另依行政執行法第</w:t>
            </w:r>
            <w:r w:rsidRPr="00A53581">
              <w:t>17</w:t>
            </w:r>
            <w:r w:rsidRPr="00A53581">
              <w:t>條第</w:t>
            </w:r>
            <w:r w:rsidRPr="00A53581">
              <w:t>2</w:t>
            </w:r>
            <w:r w:rsidRPr="00A53581">
              <w:t>項及同條第</w:t>
            </w:r>
            <w:r w:rsidRPr="00A53581">
              <w:t>1</w:t>
            </w:r>
            <w:r w:rsidRPr="00A53581">
              <w:t>項第</w:t>
            </w:r>
            <w:r w:rsidRPr="00A53581">
              <w:t>6</w:t>
            </w:r>
            <w:r w:rsidRPr="00A53581">
              <w:t>款：「經合法通知，無正當理由而不到場」之規定聲請管收者，該義務人既猶未到場，法院自亦不可能踐行審問程序，乃竟得為管收之裁定，亦有悖於前述正當法律程序之憲法意旨。</w:t>
            </w:r>
          </w:p>
        </w:tc>
      </w:tr>
      <w:tr w:rsidR="00203F72" w:rsidRPr="00A53581" w14:paraId="4D1C0A94" w14:textId="77777777" w:rsidTr="008574A4">
        <w:tc>
          <w:tcPr>
            <w:tcW w:w="774" w:type="pct"/>
            <w:shd w:val="clear" w:color="auto" w:fill="auto"/>
          </w:tcPr>
          <w:p w14:paraId="4857D9DA" w14:textId="77777777" w:rsidR="00203F72" w:rsidRPr="00A53581" w:rsidRDefault="00076467" w:rsidP="00D87D91">
            <w:hyperlink r:id="rId2677" w:anchor="r631" w:history="1">
              <w:r w:rsidR="00203F72" w:rsidRPr="00697741">
                <w:rPr>
                  <w:rStyle w:val="a5"/>
                  <w:rFonts w:ascii="Times New Roman" w:eastAsia="新細明體" w:hAnsi="Times New Roman"/>
                </w:rPr>
                <w:t>631</w:t>
              </w:r>
            </w:hyperlink>
          </w:p>
        </w:tc>
        <w:tc>
          <w:tcPr>
            <w:tcW w:w="4226" w:type="pct"/>
            <w:shd w:val="clear" w:color="auto" w:fill="auto"/>
          </w:tcPr>
          <w:p w14:paraId="6D4D64AC" w14:textId="77777777" w:rsidR="00203F72" w:rsidRPr="00A53581" w:rsidRDefault="00203F72" w:rsidP="00D87D91">
            <w:r w:rsidRPr="00A53581">
              <w:t>中華民國</w:t>
            </w:r>
            <w:r w:rsidRPr="00A53581">
              <w:t>88</w:t>
            </w:r>
            <w:r w:rsidRPr="00A53581">
              <w:t>年</w:t>
            </w:r>
            <w:r w:rsidRPr="00A53581">
              <w:t>7</w:t>
            </w:r>
            <w:r w:rsidRPr="00A53581">
              <w:t>月</w:t>
            </w:r>
            <w:r w:rsidRPr="00A53581">
              <w:t>14</w:t>
            </w:r>
            <w:r w:rsidRPr="00A53581">
              <w:t>日制定公布之通訊保障及監察法</w:t>
            </w:r>
            <w:hyperlink r:id="rId2678" w:anchor="a5" w:history="1">
              <w:r w:rsidRPr="00697741">
                <w:rPr>
                  <w:rStyle w:val="a5"/>
                  <w:rFonts w:ascii="Times New Roman" w:eastAsia="新細明體" w:hAnsi="Times New Roman"/>
                </w:rPr>
                <w:t>第</w:t>
              </w:r>
              <w:r w:rsidRPr="00697741">
                <w:rPr>
                  <w:rStyle w:val="a5"/>
                  <w:rFonts w:ascii="Times New Roman" w:eastAsia="新細明體" w:hAnsi="Times New Roman"/>
                </w:rPr>
                <w:t>5</w:t>
              </w:r>
              <w:r w:rsidRPr="00697741">
                <w:rPr>
                  <w:rStyle w:val="a5"/>
                  <w:rFonts w:ascii="Times New Roman" w:eastAsia="新細明體" w:hAnsi="Times New Roman"/>
                </w:rPr>
                <w:t>條</w:t>
              </w:r>
            </w:hyperlink>
            <w:r w:rsidRPr="00A53581">
              <w:t>第</w:t>
            </w:r>
            <w:r w:rsidRPr="00A53581">
              <w:t>2</w:t>
            </w:r>
            <w:r w:rsidRPr="00A53581">
              <w:t>項規定：「前項通訊監察書，偵查中由檢察官依司法警察機關聲請或依職權核發」，未要求通訊監察書原則上應由客觀、獨立行使職權之法官核發，而使職司犯罪偵查之檢察官與司法警察機關，同時負責通訊監察書之聲請與核發，難謂為合理、正當之序規範，而與憲法第</w:t>
            </w:r>
            <w:r w:rsidRPr="00A53581">
              <w:t>12</w:t>
            </w:r>
            <w:r w:rsidRPr="00A53581">
              <w:t>條保障人民秘密通訊自由之意旨不符，應自本解釋公布之日起，至遲於</w:t>
            </w:r>
            <w:r w:rsidRPr="00A53581">
              <w:t>96</w:t>
            </w:r>
            <w:r w:rsidRPr="00A53581">
              <w:t>年</w:t>
            </w:r>
            <w:r w:rsidRPr="00A53581">
              <w:t>7</w:t>
            </w:r>
            <w:r w:rsidRPr="00A53581">
              <w:t>月</w:t>
            </w:r>
            <w:r w:rsidRPr="00A53581">
              <w:t>11</w:t>
            </w:r>
            <w:r w:rsidRPr="00A53581">
              <w:t>日修正公布之通訊保障及監察</w:t>
            </w:r>
            <w:r w:rsidR="00697741" w:rsidRPr="00A53581">
              <w:t>法</w:t>
            </w:r>
            <w:hyperlink r:id="rId2679" w:anchor="a5" w:history="1">
              <w:r w:rsidR="00697741" w:rsidRPr="00697741">
                <w:rPr>
                  <w:rStyle w:val="a5"/>
                  <w:rFonts w:ascii="Times New Roman" w:eastAsia="新細明體" w:hAnsi="Times New Roman"/>
                </w:rPr>
                <w:t>第</w:t>
              </w:r>
              <w:r w:rsidR="00697741" w:rsidRPr="00697741">
                <w:rPr>
                  <w:rStyle w:val="a5"/>
                  <w:rFonts w:ascii="Times New Roman" w:eastAsia="新細明體" w:hAnsi="Times New Roman"/>
                </w:rPr>
                <w:t>5</w:t>
              </w:r>
              <w:r w:rsidR="00697741" w:rsidRPr="00697741">
                <w:rPr>
                  <w:rStyle w:val="a5"/>
                  <w:rFonts w:ascii="Times New Roman" w:eastAsia="新細明體" w:hAnsi="Times New Roman"/>
                </w:rPr>
                <w:t>條</w:t>
              </w:r>
            </w:hyperlink>
            <w:r w:rsidRPr="00A53581">
              <w:t>施行之日失其效力。</w:t>
            </w:r>
          </w:p>
        </w:tc>
      </w:tr>
      <w:tr w:rsidR="00203F72" w:rsidRPr="00A53581" w14:paraId="468BE571" w14:textId="77777777" w:rsidTr="008574A4">
        <w:tc>
          <w:tcPr>
            <w:tcW w:w="774" w:type="pct"/>
            <w:shd w:val="clear" w:color="auto" w:fill="auto"/>
          </w:tcPr>
          <w:p w14:paraId="47CE9F6A" w14:textId="77777777" w:rsidR="00203F72" w:rsidRPr="00A53581" w:rsidRDefault="00076467" w:rsidP="00D87D91">
            <w:hyperlink r:id="rId2680" w:anchor="r677" w:history="1">
              <w:r w:rsidR="00203F72" w:rsidRPr="00697741">
                <w:rPr>
                  <w:rStyle w:val="a5"/>
                  <w:rFonts w:ascii="Times New Roman" w:eastAsia="新細明體" w:hAnsi="Times New Roman"/>
                </w:rPr>
                <w:t>677</w:t>
              </w:r>
            </w:hyperlink>
          </w:p>
        </w:tc>
        <w:tc>
          <w:tcPr>
            <w:tcW w:w="4226" w:type="pct"/>
            <w:shd w:val="clear" w:color="auto" w:fill="auto"/>
          </w:tcPr>
          <w:p w14:paraId="5CC68291" w14:textId="77777777" w:rsidR="00203F72" w:rsidRPr="00A53581" w:rsidRDefault="00203F72" w:rsidP="002673A4">
            <w:r w:rsidRPr="00A53581">
              <w:t>監獄行刑法</w:t>
            </w:r>
            <w:hyperlink r:id="rId2681" w:anchor="a83" w:history="1">
              <w:r w:rsidRPr="008574A4">
                <w:rPr>
                  <w:rStyle w:val="a5"/>
                  <w:rFonts w:ascii="Times New Roman" w:eastAsia="新細明體" w:hAnsi="Times New Roman"/>
                </w:rPr>
                <w:t>第</w:t>
              </w:r>
              <w:r w:rsidRPr="008574A4">
                <w:rPr>
                  <w:rStyle w:val="a5"/>
                  <w:rFonts w:ascii="Times New Roman" w:eastAsia="新細明體" w:hAnsi="Times New Roman"/>
                </w:rPr>
                <w:t>83</w:t>
              </w:r>
              <w:r w:rsidRPr="008574A4">
                <w:rPr>
                  <w:rStyle w:val="a5"/>
                  <w:rFonts w:ascii="Times New Roman" w:eastAsia="新細明體" w:hAnsi="Times New Roman"/>
                </w:rPr>
                <w:t>條</w:t>
              </w:r>
            </w:hyperlink>
            <w:r w:rsidRPr="00A53581">
              <w:t>第</w:t>
            </w:r>
            <w:r w:rsidRPr="00A53581">
              <w:t>1</w:t>
            </w:r>
            <w:r w:rsidRPr="00A53581">
              <w:t>項關於執行期滿者，應於其刑期終了之次日午前釋放之規定部分，使受刑人於刑期執行期滿後，未經法定程序仍受扣禁，侵害其人身自由，有違正當法律程序，且所採取限制受刑人身體自由之手段亦非必要，牴觸憲法</w:t>
            </w:r>
            <w:hyperlink r:id="rId2682" w:anchor="a8" w:history="1">
              <w:r w:rsidR="001F6A1B" w:rsidRPr="001F6A1B">
                <w:rPr>
                  <w:rStyle w:val="a5"/>
                </w:rPr>
                <w:t>第8條</w:t>
              </w:r>
            </w:hyperlink>
            <w:r w:rsidRPr="00A53581">
              <w:t>及</w:t>
            </w:r>
            <w:hyperlink r:id="rId2683" w:anchor="a23" w:history="1">
              <w:r w:rsidR="002673A4" w:rsidRPr="00F90BE3">
                <w:rPr>
                  <w:rStyle w:val="a5"/>
                </w:rPr>
                <w:t>第23條</w:t>
              </w:r>
            </w:hyperlink>
            <w:r w:rsidRPr="00A53581">
              <w:t>之規定，與本解釋意旨不符部分，應自中華民國</w:t>
            </w:r>
            <w:r w:rsidRPr="00A53581">
              <w:t>99</w:t>
            </w:r>
            <w:r w:rsidRPr="00A53581">
              <w:t>年</w:t>
            </w:r>
            <w:r w:rsidRPr="00A53581">
              <w:t>6</w:t>
            </w:r>
            <w:r w:rsidRPr="00A53581">
              <w:t>月</w:t>
            </w:r>
            <w:r w:rsidRPr="00A53581">
              <w:t>1</w:t>
            </w:r>
            <w:r w:rsidRPr="00A53581">
              <w:t>日起失其效力</w:t>
            </w:r>
            <w:r w:rsidRPr="00A53581">
              <w:rPr>
                <w:kern w:val="0"/>
              </w:rPr>
              <w:t>。有關機關應儘速依本解釋意旨，就受刑人釋放事宜予以妥善規範。相關規定修正前，受刑人應於其刑期終了當日之午前釋放。</w:t>
            </w:r>
          </w:p>
        </w:tc>
      </w:tr>
    </w:tbl>
    <w:p w14:paraId="7FEE080C" w14:textId="77777777" w:rsidR="00953151" w:rsidRPr="00BD43D3" w:rsidRDefault="00B76D62" w:rsidP="00D87D91">
      <w:r w:rsidRPr="00BD43D3">
        <w:t>【本表資料來源】</w:t>
      </w:r>
      <w:r w:rsidR="00203F72" w:rsidRPr="00BD43D3">
        <w:t>宣政大</w:t>
      </w:r>
      <w:r w:rsidR="00203F72" w:rsidRPr="00BD43D3">
        <w:t>(2011)</w:t>
      </w:r>
      <w:r w:rsidR="00203F72" w:rsidRPr="00BD43D3">
        <w:t>，憲法精要，第</w:t>
      </w:r>
      <w:r w:rsidR="00203F72" w:rsidRPr="00BD43D3">
        <w:t>2</w:t>
      </w:r>
      <w:r w:rsidR="00203F72" w:rsidRPr="00BD43D3">
        <w:t>版，台北市：來勝文化公司，第</w:t>
      </w:r>
      <w:r w:rsidR="00203F72" w:rsidRPr="00BD43D3">
        <w:t>1-31</w:t>
      </w:r>
      <w:r w:rsidR="00203F72" w:rsidRPr="00BD43D3">
        <w:t>頁，第</w:t>
      </w:r>
      <w:r w:rsidR="00203F72" w:rsidRPr="00BD43D3">
        <w:t>1-32</w:t>
      </w:r>
      <w:r w:rsidR="00203F72" w:rsidRPr="00BD43D3">
        <w:t>頁</w:t>
      </w:r>
    </w:p>
    <w:p w14:paraId="69B7B90E" w14:textId="77777777" w:rsidR="00953151" w:rsidRPr="00BD43D3" w:rsidRDefault="005E23E3" w:rsidP="00D87D91">
      <w:r w:rsidRPr="00BD43D3">
        <w:rPr>
          <w:rFonts w:hint="eastAsia"/>
        </w:rPr>
        <w:t xml:space="preserve">　　</w:t>
      </w:r>
      <w:r w:rsidR="00203F72" w:rsidRPr="00BD43D3">
        <w:rPr>
          <w:rFonts w:hint="eastAsia"/>
        </w:rPr>
        <w:t>假若，由移民官決定對於外國人是否加以暫予收容，本書認為，此種之暫予收容管理機制與法制，相當嚴重地侵犯外國人人權，這是一個非常不文明、嚴重地侵犯外國人之人性尊嚴與不先進之立法例，此種之立法例，</w:t>
      </w:r>
      <w:r w:rsidR="003E240E">
        <w:rPr>
          <w:rFonts w:hint="eastAsia"/>
        </w:rPr>
        <w:t>視</w:t>
      </w:r>
      <w:r w:rsidR="00203F72" w:rsidRPr="00BD43D3">
        <w:rPr>
          <w:rFonts w:hint="eastAsia"/>
        </w:rPr>
        <w:t>外國人之人性尊嚴與人身自由為無物，嚴重地踐踏我國憲法</w:t>
      </w:r>
      <w:hyperlink r:id="rId2684" w:anchor="a8" w:history="1">
        <w:r w:rsidR="001F6A1B" w:rsidRPr="001F6A1B">
          <w:rPr>
            <w:rStyle w:val="a5"/>
          </w:rPr>
          <w:t>第8條</w:t>
        </w:r>
      </w:hyperlink>
      <w:r w:rsidR="00203F72" w:rsidRPr="00BD43D3">
        <w:rPr>
          <w:rFonts w:hint="eastAsia"/>
        </w:rPr>
        <w:t>之立憲原意，個人表示反對，與非常遺憾之意。</w:t>
      </w:r>
    </w:p>
    <w:p w14:paraId="4843424D" w14:textId="77777777" w:rsidR="00953151" w:rsidRPr="00BD43D3" w:rsidRDefault="005E23E3" w:rsidP="00D87D91">
      <w:r w:rsidRPr="00BD43D3">
        <w:rPr>
          <w:rFonts w:hint="eastAsia"/>
        </w:rPr>
        <w:t xml:space="preserve">　　</w:t>
      </w:r>
      <w:r w:rsidR="00203F72" w:rsidRPr="00BD43D3">
        <w:rPr>
          <w:rFonts w:hint="eastAsia"/>
        </w:rPr>
        <w:t>於民國</w:t>
      </w:r>
      <w:r w:rsidR="00203F72" w:rsidRPr="00BD43D3">
        <w:rPr>
          <w:rFonts w:hint="eastAsia"/>
        </w:rPr>
        <w:t>104</w:t>
      </w:r>
      <w:r w:rsidR="00203F72" w:rsidRPr="00BD43D3">
        <w:rPr>
          <w:rFonts w:hint="eastAsia"/>
        </w:rPr>
        <w:t>年</w:t>
      </w:r>
      <w:r w:rsidR="00203F72" w:rsidRPr="00BD43D3">
        <w:rPr>
          <w:rFonts w:hint="eastAsia"/>
        </w:rPr>
        <w:t>(2015</w:t>
      </w:r>
      <w:r w:rsidR="00203F72" w:rsidRPr="00BD43D3">
        <w:rPr>
          <w:rFonts w:hint="eastAsia"/>
        </w:rPr>
        <w:t>年</w:t>
      </w:r>
      <w:r w:rsidR="00203F72" w:rsidRPr="00BD43D3">
        <w:rPr>
          <w:rFonts w:hint="eastAsia"/>
        </w:rPr>
        <w:t>)1</w:t>
      </w:r>
      <w:r w:rsidR="00203F72" w:rsidRPr="00BD43D3">
        <w:rPr>
          <w:rFonts w:hint="eastAsia"/>
        </w:rPr>
        <w:t>月，入出國及移民</w:t>
      </w:r>
      <w:r w:rsidR="002673A4" w:rsidRPr="00E2576E">
        <w:t>法</w:t>
      </w:r>
      <w:hyperlink r:id="rId2685"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有關暫予收容之規範，有進行修正，同時，並在同法</w:t>
      </w:r>
      <w:r w:rsidR="00D92F56" w:rsidRPr="00BD43D3">
        <w:rPr>
          <w:rFonts w:hint="eastAsia"/>
        </w:rPr>
        <w:t>〜</w:t>
      </w:r>
      <w:r w:rsidR="00203F72" w:rsidRPr="00BD43D3">
        <w:rPr>
          <w:rFonts w:hint="eastAsia"/>
        </w:rPr>
        <w:t>入出國及移民法之中，新增</w:t>
      </w:r>
      <w:hyperlink r:id="rId2686" w:anchor="b38b1" w:history="1">
        <w:r w:rsidR="00203F72" w:rsidRPr="00E2576E">
          <w:rPr>
            <w:rStyle w:val="a5"/>
            <w:rFonts w:ascii="Times New Roman" w:hAnsi="Times New Roman" w:hint="eastAsia"/>
          </w:rPr>
          <w:t>第</w:t>
        </w:r>
        <w:r w:rsidR="00203F72" w:rsidRPr="00E2576E">
          <w:rPr>
            <w:rStyle w:val="a5"/>
            <w:rFonts w:ascii="Times New Roman" w:hAnsi="Times New Roman" w:hint="eastAsia"/>
          </w:rPr>
          <w:t>38-1</w:t>
        </w:r>
        <w:r w:rsidR="00203F72" w:rsidRPr="00E2576E">
          <w:rPr>
            <w:rStyle w:val="a5"/>
            <w:rFonts w:ascii="Times New Roman" w:hAnsi="Times New Roman" w:hint="eastAsia"/>
          </w:rPr>
          <w:t>條</w:t>
        </w:r>
      </w:hyperlink>
      <w:r w:rsidR="00203F72" w:rsidRPr="00BD43D3">
        <w:rPr>
          <w:rFonts w:hint="eastAsia"/>
        </w:rPr>
        <w:t>、</w:t>
      </w:r>
      <w:hyperlink r:id="rId2687" w:anchor="b38b2" w:history="1">
        <w:r w:rsidR="00203F72" w:rsidRPr="00E2576E">
          <w:rPr>
            <w:rStyle w:val="a5"/>
            <w:rFonts w:ascii="Times New Roman" w:hAnsi="Times New Roman" w:hint="eastAsia"/>
          </w:rPr>
          <w:t>第</w:t>
        </w:r>
        <w:r w:rsidR="00203F72" w:rsidRPr="00E2576E">
          <w:rPr>
            <w:rStyle w:val="a5"/>
            <w:rFonts w:ascii="Times New Roman" w:hAnsi="Times New Roman" w:hint="eastAsia"/>
          </w:rPr>
          <w:t>38-2</w:t>
        </w:r>
        <w:r w:rsidR="00203F72" w:rsidRPr="00E2576E">
          <w:rPr>
            <w:rStyle w:val="a5"/>
            <w:rFonts w:ascii="Times New Roman" w:hAnsi="Times New Roman" w:hint="eastAsia"/>
          </w:rPr>
          <w:t>條</w:t>
        </w:r>
      </w:hyperlink>
      <w:r w:rsidR="00203F72" w:rsidRPr="00BD43D3">
        <w:rPr>
          <w:rFonts w:hint="eastAsia"/>
        </w:rPr>
        <w:t>、</w:t>
      </w:r>
      <w:hyperlink r:id="rId2688" w:anchor="b38b3" w:history="1">
        <w:r w:rsidR="00203F72" w:rsidRPr="00E2576E">
          <w:rPr>
            <w:rStyle w:val="a5"/>
            <w:rFonts w:ascii="Times New Roman" w:hAnsi="Times New Roman" w:hint="eastAsia"/>
          </w:rPr>
          <w:t>第</w:t>
        </w:r>
        <w:r w:rsidR="00203F72" w:rsidRPr="00E2576E">
          <w:rPr>
            <w:rStyle w:val="a5"/>
            <w:rFonts w:ascii="Times New Roman" w:hAnsi="Times New Roman" w:hint="eastAsia"/>
          </w:rPr>
          <w:t>38-3</w:t>
        </w:r>
        <w:r w:rsidR="00203F72" w:rsidRPr="00E2576E">
          <w:rPr>
            <w:rStyle w:val="a5"/>
            <w:rFonts w:ascii="Times New Roman" w:hAnsi="Times New Roman" w:hint="eastAsia"/>
          </w:rPr>
          <w:t>條</w:t>
        </w:r>
      </w:hyperlink>
      <w:r w:rsidR="00203F72" w:rsidRPr="00BD43D3">
        <w:rPr>
          <w:rFonts w:hint="eastAsia"/>
        </w:rPr>
        <w:t>、</w:t>
      </w:r>
      <w:hyperlink r:id="rId2689" w:anchor="b38b4" w:history="1">
        <w:r w:rsidR="00203F72" w:rsidRPr="00E2576E">
          <w:rPr>
            <w:rStyle w:val="a5"/>
            <w:rFonts w:ascii="Times New Roman" w:hAnsi="Times New Roman" w:hint="eastAsia"/>
          </w:rPr>
          <w:t>第</w:t>
        </w:r>
        <w:r w:rsidR="00203F72" w:rsidRPr="00E2576E">
          <w:rPr>
            <w:rStyle w:val="a5"/>
            <w:rFonts w:ascii="Times New Roman" w:hAnsi="Times New Roman" w:hint="eastAsia"/>
          </w:rPr>
          <w:t>38-4</w:t>
        </w:r>
        <w:r w:rsidR="00203F72" w:rsidRPr="00E2576E">
          <w:rPr>
            <w:rStyle w:val="a5"/>
            <w:rFonts w:ascii="Times New Roman" w:hAnsi="Times New Roman" w:hint="eastAsia"/>
          </w:rPr>
          <w:t>條</w:t>
        </w:r>
      </w:hyperlink>
      <w:r w:rsidR="00203F72" w:rsidRPr="00BD43D3">
        <w:rPr>
          <w:rFonts w:hint="eastAsia"/>
        </w:rPr>
        <w:t>、</w:t>
      </w:r>
      <w:hyperlink r:id="rId2690" w:anchor="b38b5" w:history="1">
        <w:r w:rsidR="00203F72" w:rsidRPr="00E2576E">
          <w:rPr>
            <w:rStyle w:val="a5"/>
            <w:rFonts w:ascii="Times New Roman" w:hAnsi="Times New Roman" w:hint="eastAsia"/>
          </w:rPr>
          <w:t>第</w:t>
        </w:r>
        <w:r w:rsidR="00203F72" w:rsidRPr="00E2576E">
          <w:rPr>
            <w:rStyle w:val="a5"/>
            <w:rFonts w:ascii="Times New Roman" w:hAnsi="Times New Roman" w:hint="eastAsia"/>
          </w:rPr>
          <w:t>38-5</w:t>
        </w:r>
        <w:r w:rsidR="00203F72" w:rsidRPr="00E2576E">
          <w:rPr>
            <w:rStyle w:val="a5"/>
            <w:rFonts w:ascii="Times New Roman" w:hAnsi="Times New Roman" w:hint="eastAsia"/>
          </w:rPr>
          <w:t>條</w:t>
        </w:r>
      </w:hyperlink>
      <w:r w:rsidR="00203F72" w:rsidRPr="00BD43D3">
        <w:rPr>
          <w:rFonts w:hint="eastAsia"/>
        </w:rPr>
        <w:t>、</w:t>
      </w:r>
      <w:hyperlink r:id="rId2691" w:anchor="b38b6" w:history="1">
        <w:r w:rsidR="00203F72" w:rsidRPr="00E2576E">
          <w:rPr>
            <w:rStyle w:val="a5"/>
            <w:rFonts w:ascii="Times New Roman" w:hAnsi="Times New Roman" w:hint="eastAsia"/>
          </w:rPr>
          <w:t>第</w:t>
        </w:r>
        <w:r w:rsidR="00203F72" w:rsidRPr="00E2576E">
          <w:rPr>
            <w:rStyle w:val="a5"/>
            <w:rFonts w:ascii="Times New Roman" w:hAnsi="Times New Roman" w:hint="eastAsia"/>
          </w:rPr>
          <w:t>38-6</w:t>
        </w:r>
        <w:r w:rsidR="00203F72" w:rsidRPr="00E2576E">
          <w:rPr>
            <w:rStyle w:val="a5"/>
            <w:rFonts w:ascii="Times New Roman" w:hAnsi="Times New Roman" w:hint="eastAsia"/>
          </w:rPr>
          <w:t>條</w:t>
        </w:r>
      </w:hyperlink>
      <w:r w:rsidR="00203F72" w:rsidRPr="00BD43D3">
        <w:rPr>
          <w:rFonts w:hint="eastAsia"/>
        </w:rPr>
        <w:t>、</w:t>
      </w:r>
      <w:hyperlink r:id="rId2692" w:anchor="b38b7" w:history="1">
        <w:r w:rsidR="00203F72" w:rsidRPr="00E2576E">
          <w:rPr>
            <w:rStyle w:val="a5"/>
            <w:rFonts w:ascii="Times New Roman" w:hAnsi="Times New Roman" w:hint="eastAsia"/>
          </w:rPr>
          <w:t>第</w:t>
        </w:r>
        <w:r w:rsidR="00203F72" w:rsidRPr="00E2576E">
          <w:rPr>
            <w:rStyle w:val="a5"/>
            <w:rFonts w:ascii="Times New Roman" w:hAnsi="Times New Roman" w:hint="eastAsia"/>
          </w:rPr>
          <w:t>38-7</w:t>
        </w:r>
        <w:r w:rsidR="00203F72" w:rsidRPr="00E2576E">
          <w:rPr>
            <w:rStyle w:val="a5"/>
            <w:rFonts w:ascii="Times New Roman" w:hAnsi="Times New Roman" w:hint="eastAsia"/>
          </w:rPr>
          <w:t>條</w:t>
        </w:r>
      </w:hyperlink>
      <w:r w:rsidR="00203F72" w:rsidRPr="00BD43D3">
        <w:rPr>
          <w:rFonts w:hint="eastAsia"/>
        </w:rPr>
        <w:t>、</w:t>
      </w:r>
      <w:hyperlink r:id="rId2693" w:anchor="b38b8" w:history="1">
        <w:r w:rsidR="00203F72" w:rsidRPr="00E2576E">
          <w:rPr>
            <w:rStyle w:val="a5"/>
            <w:rFonts w:ascii="Times New Roman" w:hAnsi="Times New Roman" w:hint="eastAsia"/>
          </w:rPr>
          <w:t>第</w:t>
        </w:r>
        <w:r w:rsidR="00203F72" w:rsidRPr="00E2576E">
          <w:rPr>
            <w:rStyle w:val="a5"/>
            <w:rFonts w:ascii="Times New Roman" w:hAnsi="Times New Roman" w:hint="eastAsia"/>
          </w:rPr>
          <w:t>38-8</w:t>
        </w:r>
        <w:r w:rsidR="00203F72" w:rsidRPr="00E2576E">
          <w:rPr>
            <w:rStyle w:val="a5"/>
            <w:rFonts w:ascii="Times New Roman" w:hAnsi="Times New Roman" w:hint="eastAsia"/>
          </w:rPr>
          <w:t>條</w:t>
        </w:r>
      </w:hyperlink>
      <w:r w:rsidR="00203F72" w:rsidRPr="00BD43D3">
        <w:rPr>
          <w:rFonts w:hint="eastAsia"/>
        </w:rPr>
        <w:t>與</w:t>
      </w:r>
      <w:hyperlink r:id="rId2694" w:anchor="b38b9" w:history="1">
        <w:r w:rsidR="00203F72" w:rsidRPr="00E2576E">
          <w:rPr>
            <w:rStyle w:val="a5"/>
            <w:rFonts w:ascii="Times New Roman" w:hAnsi="Times New Roman" w:hint="eastAsia"/>
          </w:rPr>
          <w:t>第</w:t>
        </w:r>
        <w:r w:rsidR="00203F72" w:rsidRPr="00E2576E">
          <w:rPr>
            <w:rStyle w:val="a5"/>
            <w:rFonts w:ascii="Times New Roman" w:hAnsi="Times New Roman" w:hint="eastAsia"/>
          </w:rPr>
          <w:t>38-9</w:t>
        </w:r>
        <w:r w:rsidR="00203F72" w:rsidRPr="00E2576E">
          <w:rPr>
            <w:rStyle w:val="a5"/>
            <w:rFonts w:ascii="Times New Roman" w:hAnsi="Times New Roman" w:hint="eastAsia"/>
          </w:rPr>
          <w:t>條</w:t>
        </w:r>
      </w:hyperlink>
      <w:r w:rsidR="00203F72" w:rsidRPr="00BD43D3">
        <w:rPr>
          <w:rFonts w:hint="eastAsia"/>
        </w:rPr>
        <w:t>等條文。目前的暫予收容管理的執行問題，主要之問題點，在於未完全地落實嚴格與事前法官保留之原則；亦即，入出國及移民</w:t>
      </w:r>
      <w:r w:rsidR="002673A4" w:rsidRPr="00E2576E">
        <w:t>法</w:t>
      </w:r>
      <w:hyperlink r:id="rId2695"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1</w:t>
      </w:r>
      <w:r w:rsidR="00203F72" w:rsidRPr="00BD43D3">
        <w:rPr>
          <w:rFonts w:hint="eastAsia"/>
        </w:rPr>
        <w:t>項之暫予收容處分之決定與作成，並非由「法官」裁決，而係由「移民署移民官」裁決暫予收容。</w:t>
      </w:r>
    </w:p>
    <w:p w14:paraId="5753533F" w14:textId="77777777" w:rsidR="00953151" w:rsidRPr="00BD43D3" w:rsidRDefault="005E23E3" w:rsidP="00D87D91">
      <w:r w:rsidRPr="00BD43D3">
        <w:rPr>
          <w:rFonts w:hint="eastAsia"/>
        </w:rPr>
        <w:t xml:space="preserve">　　</w:t>
      </w:r>
      <w:r w:rsidR="00203F72" w:rsidRPr="00BD43D3">
        <w:rPr>
          <w:rFonts w:hint="eastAsia"/>
        </w:rPr>
        <w:t>個人認為，這是很不好、很落後、很落伍與不文明之立法方式，主要之問題點，因侵犯外來人口人身自由之決定，移民官應無權作此決定，主要之法理：移民官係移民行政官，而非「法官」（</w:t>
      </w:r>
      <w:r w:rsidR="00203F72" w:rsidRPr="00BD43D3">
        <w:rPr>
          <w:rFonts w:hint="eastAsia"/>
        </w:rPr>
        <w:t>judge</w:t>
      </w:r>
      <w:r w:rsidR="00203F72" w:rsidRPr="00BD43D3">
        <w:rPr>
          <w:rFonts w:hint="eastAsia"/>
        </w:rPr>
        <w:t>），立場不公正，易於出於行政上之方便，球員兼裁判官，濫行暫予收容外國人。入出國及移民</w:t>
      </w:r>
      <w:r w:rsidR="002673A4" w:rsidRPr="00E2576E">
        <w:t>法</w:t>
      </w:r>
      <w:hyperlink r:id="rId2696"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1</w:t>
      </w:r>
      <w:r w:rsidR="00203F72" w:rsidRPr="00BD43D3">
        <w:rPr>
          <w:rFonts w:hint="eastAsia"/>
        </w:rPr>
        <w:t>項之立法，賦予「移民官」等同於「法官」之權限，恐違反憲法</w:t>
      </w:r>
      <w:hyperlink r:id="rId2697" w:anchor="a8" w:history="1">
        <w:r w:rsidR="001F6A1B" w:rsidRPr="001F6A1B">
          <w:rPr>
            <w:rStyle w:val="a5"/>
          </w:rPr>
          <w:t>第8條</w:t>
        </w:r>
      </w:hyperlink>
      <w:r w:rsidR="00203F72" w:rsidRPr="00BD43D3">
        <w:rPr>
          <w:rFonts w:hint="eastAsia"/>
        </w:rPr>
        <w:t>之規定。</w:t>
      </w:r>
    </w:p>
    <w:p w14:paraId="32AD7878" w14:textId="77777777" w:rsidR="00953151" w:rsidRPr="00BD43D3" w:rsidRDefault="005E23E3" w:rsidP="00D87D91">
      <w:r w:rsidRPr="00BD43D3">
        <w:t xml:space="preserve">　　</w:t>
      </w:r>
      <w:r w:rsidR="00203F72" w:rsidRPr="00BD43D3">
        <w:t>在外國立法例方面，先進民主國家對於外來人口所進行之移民收容處分，比較偏向於須經由法院</w:t>
      </w:r>
      <w:r w:rsidR="00203F72" w:rsidRPr="00BD43D3">
        <w:rPr>
          <w:rFonts w:hint="eastAsia"/>
        </w:rPr>
        <w:t>(court)</w:t>
      </w:r>
      <w:r w:rsidR="00203F72" w:rsidRPr="00BD43D3">
        <w:t>決定，而非由移民官決定之。玆以</w:t>
      </w:r>
      <w:r w:rsidR="00203F72" w:rsidRPr="00BD43D3">
        <w:t>2004</w:t>
      </w:r>
      <w:r w:rsidR="00203F72" w:rsidRPr="00BD43D3">
        <w:t>年德國居留法</w:t>
      </w:r>
      <w:r w:rsidR="00203F72" w:rsidRPr="00BD43D3">
        <w:t>(Residence Act)</w:t>
      </w:r>
      <w:r w:rsidR="00203F72" w:rsidRPr="00BD43D3">
        <w:t>為例，根據德國居留法第</w:t>
      </w:r>
      <w:r w:rsidR="00203F72" w:rsidRPr="00BD43D3">
        <w:t>62</w:t>
      </w:r>
      <w:r w:rsidR="00203F72" w:rsidRPr="00BD43D3">
        <w:t>條</w:t>
      </w:r>
      <w:r w:rsidR="00203F72" w:rsidRPr="00BD43D3">
        <w:footnoteReference w:id="1094"/>
      </w:r>
      <w:r w:rsidR="00203F72" w:rsidRPr="00BD43D3">
        <w:t>之規範，為了順利執行驅逐出國之處分，對於外來人口之收容，可分為三大類：</w:t>
      </w:r>
      <w:r w:rsidR="00203F72" w:rsidRPr="00BD43D3">
        <w:t>1</w:t>
      </w:r>
      <w:r w:rsidR="00203F72" w:rsidRPr="00BD43D3">
        <w:t>、準備性收容</w:t>
      </w:r>
      <w:r w:rsidR="00203F72" w:rsidRPr="00BD43D3">
        <w:t>(the preparation of deportation)</w:t>
      </w:r>
      <w:r w:rsidR="00203F72" w:rsidRPr="00BD43D3">
        <w:t>；</w:t>
      </w:r>
      <w:r w:rsidR="00203F72" w:rsidRPr="00BD43D3">
        <w:t>2</w:t>
      </w:r>
      <w:r w:rsidR="00203F72" w:rsidRPr="00BD43D3">
        <w:t>、確保性收容</w:t>
      </w:r>
      <w:r w:rsidR="00203F72" w:rsidRPr="00BD43D3">
        <w:t>(for the purpose of safeguarding deportation)</w:t>
      </w:r>
      <w:r w:rsidR="00203F72" w:rsidRPr="00BD43D3">
        <w:t>；</w:t>
      </w:r>
      <w:r w:rsidR="00203F72" w:rsidRPr="00BD43D3">
        <w:t>3</w:t>
      </w:r>
      <w:r w:rsidR="00203F72" w:rsidRPr="00BD43D3">
        <w:t>、暫時性收容</w:t>
      </w:r>
      <w:r w:rsidR="00203F72" w:rsidRPr="00BD43D3">
        <w:t>(temporary custody )</w:t>
      </w:r>
      <w:r w:rsidR="00203F72" w:rsidRPr="00BD43D3">
        <w:t>，而以上</w:t>
      </w:r>
      <w:r w:rsidR="00203F72" w:rsidRPr="00BD43D3">
        <w:t>3</w:t>
      </w:r>
      <w:r w:rsidR="00203F72" w:rsidRPr="00BD43D3">
        <w:t>種之收容，均須經由法院裁定，而非依據行政機關之行政處分。是以，台灣對於外來人口所裁處之收容處分，似乎，宜經由法院裁定為妥，俾利保障外來人口之人身自由。</w:t>
      </w:r>
    </w:p>
    <w:p w14:paraId="43F3729A" w14:textId="77777777" w:rsidR="00953151" w:rsidRPr="00BD43D3" w:rsidRDefault="005E23E3" w:rsidP="00D87D91">
      <w:r w:rsidRPr="00BD43D3">
        <w:t xml:space="preserve">　　</w:t>
      </w:r>
      <w:r w:rsidR="00203F72" w:rsidRPr="00BD43D3">
        <w:t>另外，依據德國基本法第</w:t>
      </w:r>
      <w:r w:rsidR="00203F72" w:rsidRPr="00BD43D3">
        <w:t>104</w:t>
      </w:r>
      <w:r w:rsidR="00203F72" w:rsidRPr="00BD43D3">
        <w:t>條第</w:t>
      </w:r>
      <w:r w:rsidR="00203F72" w:rsidRPr="00BD43D3">
        <w:t>2</w:t>
      </w:r>
      <w:r w:rsidR="00203F72" w:rsidRPr="00BD43D3">
        <w:t>項之規定</w:t>
      </w:r>
      <w:r w:rsidR="00203F72" w:rsidRPr="00BD43D3">
        <w:footnoteReference w:id="1095"/>
      </w:r>
      <w:r w:rsidR="00203F72" w:rsidRPr="00BD43D3">
        <w:t>，「唯有法官，始得有權判決可否對於人民加以剝奪自由及其持續之時間</w:t>
      </w:r>
      <w:r w:rsidR="00203F72" w:rsidRPr="00BD43D3">
        <w:t>(Only a judge may rule upon the permissibility or continuation of any deprivation of liberty.)</w:t>
      </w:r>
      <w:r w:rsidR="00203F72" w:rsidRPr="00BD43D3">
        <w:t>。假若對於人身自由之剝奪，並非根據法官所裁決之司法命令</w:t>
      </w:r>
      <w:r w:rsidR="00203F72" w:rsidRPr="00BD43D3">
        <w:t>(If such a deprivation is not based on a judicial order)</w:t>
      </w:r>
      <w:r w:rsidR="00203F72" w:rsidRPr="00BD43D3">
        <w:t>，則須以迅速不遲延之方式，取得法官之司法命令</w:t>
      </w:r>
      <w:r w:rsidR="00203F72" w:rsidRPr="00BD43D3">
        <w:t>(a judicial decision shall be obtained without delay)</w:t>
      </w:r>
      <w:r w:rsidR="00203F72" w:rsidRPr="00BD43D3">
        <w:t>。」</w:t>
      </w:r>
    </w:p>
    <w:p w14:paraId="6D806412" w14:textId="77777777" w:rsidR="00953151" w:rsidRPr="00BD43D3" w:rsidRDefault="005E23E3" w:rsidP="00D87D91">
      <w:r w:rsidRPr="00BD43D3">
        <w:t xml:space="preserve">　　</w:t>
      </w:r>
      <w:r w:rsidR="00203F72" w:rsidRPr="00BD43D3">
        <w:t>上述德國基本法第</w:t>
      </w:r>
      <w:r w:rsidR="00203F72" w:rsidRPr="00BD43D3">
        <w:t>104</w:t>
      </w:r>
      <w:r w:rsidR="00203F72" w:rsidRPr="00BD43D3">
        <w:t>條第</w:t>
      </w:r>
      <w:r w:rsidR="00203F72" w:rsidRPr="00BD43D3">
        <w:t>2</w:t>
      </w:r>
      <w:r w:rsidR="00203F72" w:rsidRPr="00BD43D3">
        <w:t>項之規定，係站在憲法之層級，明定剝奪人身之自由，須適用嚴格之法官保留原則；且此等對於人身自由保障，亦有效地及於外來人口之收容處分，不限於刑事嫌疑犯。亦即，對於外來人口之收容處分，亦須適用德國基本法第</w:t>
      </w:r>
      <w:r w:rsidR="00203F72" w:rsidRPr="00BD43D3">
        <w:t>104</w:t>
      </w:r>
      <w:r w:rsidR="00203F72" w:rsidRPr="00BD43D3">
        <w:t>條第</w:t>
      </w:r>
      <w:r w:rsidR="00203F72" w:rsidRPr="00BD43D3">
        <w:t>2</w:t>
      </w:r>
      <w:r w:rsidR="00203F72" w:rsidRPr="00BD43D3">
        <w:t>項之規定。唯有法官，始得有權判決可否對於外來人口加以剝奪自由及其持續之時間；假若對於外來人口人身自由之剝奪，並非根據法官所裁決之司法命令</w:t>
      </w:r>
      <w:r w:rsidR="00203F72" w:rsidRPr="00BD43D3">
        <w:t>(If such a deprivation is not based on a judicial order)</w:t>
      </w:r>
      <w:r w:rsidR="00203F72" w:rsidRPr="00BD43D3">
        <w:t>，則須以迅速不遲延之方式，取得法官之司法命令</w:t>
      </w:r>
      <w:r w:rsidR="00203F72" w:rsidRPr="00BD43D3">
        <w:t>(a judicial decision shall be obtained without delay)</w:t>
      </w:r>
      <w:r w:rsidR="00203F72" w:rsidRPr="00BD43D3">
        <w:t>。由上可知，德國基本法第</w:t>
      </w:r>
      <w:r w:rsidR="00203F72" w:rsidRPr="00BD43D3">
        <w:t>104</w:t>
      </w:r>
      <w:r w:rsidR="00203F72" w:rsidRPr="00BD43D3">
        <w:t>條第</w:t>
      </w:r>
      <w:r w:rsidR="00203F72" w:rsidRPr="00BD43D3">
        <w:t>2</w:t>
      </w:r>
      <w:r w:rsidR="00203F72" w:rsidRPr="00BD43D3">
        <w:t>項之規定，亦適用於外來人口之收容，亦顯見德國基本法第</w:t>
      </w:r>
      <w:r w:rsidR="00203F72" w:rsidRPr="00BD43D3">
        <w:t>104</w:t>
      </w:r>
      <w:r w:rsidR="00203F72" w:rsidRPr="00BD43D3">
        <w:t>條第</w:t>
      </w:r>
      <w:r w:rsidR="00203F72" w:rsidRPr="00BD43D3">
        <w:t>2</w:t>
      </w:r>
      <w:r w:rsidR="00203F72" w:rsidRPr="00BD43D3">
        <w:t>項對於外來人口人身自由之保障，非常重</w:t>
      </w:r>
      <w:r w:rsidR="003E240E">
        <w:t>視</w:t>
      </w:r>
      <w:r w:rsidR="00203F72" w:rsidRPr="00BD43D3">
        <w:t>之。</w:t>
      </w:r>
    </w:p>
    <w:p w14:paraId="718BF67B" w14:textId="77777777" w:rsidR="00953151" w:rsidRPr="00BD43D3" w:rsidRDefault="005E23E3" w:rsidP="00D87D91">
      <w:r w:rsidRPr="00BD43D3">
        <w:t xml:space="preserve">　　</w:t>
      </w:r>
      <w:r w:rsidR="00203F72" w:rsidRPr="00BD43D3">
        <w:t>本書認為，上述德國基本法第</w:t>
      </w:r>
      <w:r w:rsidR="00203F72" w:rsidRPr="00BD43D3">
        <w:t>104</w:t>
      </w:r>
      <w:r w:rsidR="00203F72" w:rsidRPr="00BD43D3">
        <w:t>條第</w:t>
      </w:r>
      <w:r w:rsidR="00203F72" w:rsidRPr="00BD43D3">
        <w:t>2</w:t>
      </w:r>
      <w:r w:rsidR="00203F72" w:rsidRPr="00BD43D3">
        <w:t>項之立憲例及德國居留法第</w:t>
      </w:r>
      <w:r w:rsidR="00203F72" w:rsidRPr="00BD43D3">
        <w:t>62</w:t>
      </w:r>
      <w:r w:rsidR="00203F72" w:rsidRPr="00BD43D3">
        <w:t>條之立法例，值得我國參考與仿效之。根據司法院釋字</w:t>
      </w:r>
      <w:hyperlink r:id="rId2698" w:anchor="r708" w:history="1">
        <w:r w:rsidR="00943369" w:rsidRPr="00BD43D3">
          <w:rPr>
            <w:rStyle w:val="a5"/>
          </w:rPr>
          <w:t>第708號</w:t>
        </w:r>
      </w:hyperlink>
      <w:r w:rsidR="00203F72" w:rsidRPr="00BD43D3">
        <w:t>及</w:t>
      </w:r>
      <w:hyperlink r:id="rId2699" w:anchor="r710" w:history="1">
        <w:r w:rsidR="00943369" w:rsidRPr="00BD43D3">
          <w:rPr>
            <w:rStyle w:val="a5"/>
            <w:rFonts w:hint="eastAsia"/>
          </w:rPr>
          <w:t>第710號</w:t>
        </w:r>
      </w:hyperlink>
      <w:r w:rsidR="00203F72" w:rsidRPr="00BD43D3">
        <w:t>之解釋，對於外來人口所裁處之</w:t>
      </w:r>
      <w:r w:rsidR="00203F72" w:rsidRPr="00BD43D3">
        <w:rPr>
          <w:rFonts w:hint="eastAsia"/>
        </w:rPr>
        <w:t>暫予</w:t>
      </w:r>
      <w:r w:rsidR="00203F72" w:rsidRPr="00BD43D3">
        <w:t>收容處分，並非刑事上之人身自由之剝奪，此種之論證，並非妥適。主要之理由，不論是何種形式之人身自由之剝奪，其本質均是相同，須適用嚴格之法官保留原則。司法院釋字</w:t>
      </w:r>
      <w:hyperlink r:id="rId2700" w:anchor="r708" w:history="1">
        <w:r w:rsidR="00943369" w:rsidRPr="00BD43D3">
          <w:rPr>
            <w:rStyle w:val="a5"/>
          </w:rPr>
          <w:t>第708號</w:t>
        </w:r>
      </w:hyperlink>
      <w:r w:rsidR="00203F72" w:rsidRPr="00BD43D3">
        <w:t>及</w:t>
      </w:r>
      <w:hyperlink r:id="rId2701" w:anchor="r710" w:history="1">
        <w:r w:rsidR="00943369" w:rsidRPr="00BD43D3">
          <w:rPr>
            <w:rStyle w:val="a5"/>
            <w:rFonts w:hint="eastAsia"/>
          </w:rPr>
          <w:t>第710號</w:t>
        </w:r>
      </w:hyperlink>
      <w:r w:rsidR="00203F72" w:rsidRPr="00BD43D3">
        <w:t>之解釋，已造成外來人口與本國人未享有同等之人身自由保障，外來人口之人身自由保障，處於相當劣勢之態勢，已令外來人口成為二等之人民，恐有違反憲</w:t>
      </w:r>
      <w:r w:rsidR="00444E21" w:rsidRPr="00BD43D3">
        <w:t>法</w:t>
      </w:r>
      <w:hyperlink r:id="rId2702"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BD43D3">
        <w:t>平等條款之規定。</w:t>
      </w:r>
    </w:p>
    <w:p w14:paraId="217BB4E9" w14:textId="77777777" w:rsidR="00953151" w:rsidRPr="00BD43D3" w:rsidRDefault="00145751" w:rsidP="00D87D91">
      <w:r w:rsidRPr="00BD43D3">
        <w:t xml:space="preserve">　　</w:t>
      </w:r>
      <w:r w:rsidR="00203F72" w:rsidRPr="00BD43D3">
        <w:t>再者，司法院釋字</w:t>
      </w:r>
      <w:hyperlink r:id="rId2703" w:anchor="r710" w:history="1">
        <w:r w:rsidR="00203F72" w:rsidRPr="008574A4">
          <w:rPr>
            <w:rStyle w:val="a5"/>
            <w:rFonts w:ascii="Times New Roman" w:eastAsia="新細明體" w:hAnsi="Times New Roman"/>
          </w:rPr>
          <w:t>第七一</w:t>
        </w:r>
        <w:r w:rsidR="007F3288" w:rsidRPr="008574A4">
          <w:rPr>
            <w:rStyle w:val="a5"/>
            <w:rFonts w:ascii="Times New Roman" w:eastAsia="新細明體" w:hAnsi="Times New Roman"/>
          </w:rPr>
          <w:t>0</w:t>
        </w:r>
        <w:r w:rsidR="00203F72" w:rsidRPr="008574A4">
          <w:rPr>
            <w:rStyle w:val="a5"/>
            <w:rFonts w:ascii="Times New Roman" w:eastAsia="新細明體" w:hAnsi="Times New Roman"/>
          </w:rPr>
          <w:t>號</w:t>
        </w:r>
      </w:hyperlink>
      <w:r w:rsidR="00203F72" w:rsidRPr="00BD43D3">
        <w:t>解釋所要處理之爭議，係為兩岸條例就強制大陸地區人民出境，未予申辯機會；又就暫予收容，未明定事由及期限，均違憲否？強制出境辦法所定收容事由未經法律明確授權，亦違憲否？在上述司法院釋字第七一</w:t>
      </w:r>
      <w:r w:rsidR="007F3288">
        <w:t>0</w:t>
      </w:r>
      <w:r w:rsidR="00203F72" w:rsidRPr="00BD43D3">
        <w:t>號理由書之中，明文表示：暫時收容之處分無須經由法院為之。關於此種論點，本書認為已嚴重地侵害大陸地區人民之人身自由權利，並非良善之機制，同時，已明確地嚴重違反憲法</w:t>
      </w:r>
      <w:hyperlink r:id="rId2704" w:anchor="a7" w:history="1">
        <w:r w:rsidR="00203F72" w:rsidRPr="00444E21">
          <w:rPr>
            <w:rStyle w:val="a5"/>
            <w:rFonts w:ascii="Times New Roman" w:eastAsia="新細明體" w:hAnsi="Times New Roman"/>
          </w:rPr>
          <w:t>第</w:t>
        </w:r>
        <w:r w:rsidR="00203F72" w:rsidRPr="00444E21">
          <w:rPr>
            <w:rStyle w:val="a5"/>
            <w:rFonts w:ascii="Times New Roman" w:eastAsia="新細明體" w:hAnsi="Times New Roman"/>
          </w:rPr>
          <w:t>7</w:t>
        </w:r>
        <w:r w:rsidR="00203F72" w:rsidRPr="00444E21">
          <w:rPr>
            <w:rStyle w:val="a5"/>
            <w:rFonts w:ascii="Times New Roman" w:eastAsia="新細明體" w:hAnsi="Times New Roman"/>
          </w:rPr>
          <w:t>條</w:t>
        </w:r>
      </w:hyperlink>
      <w:r w:rsidR="00203F72" w:rsidRPr="00BD43D3">
        <w:t>及</w:t>
      </w:r>
      <w:hyperlink r:id="rId2705" w:anchor="a8" w:history="1">
        <w:r w:rsidR="001F6A1B" w:rsidRPr="001F6A1B">
          <w:rPr>
            <w:rStyle w:val="a5"/>
          </w:rPr>
          <w:t>第8條</w:t>
        </w:r>
      </w:hyperlink>
      <w:r w:rsidR="00203F72" w:rsidRPr="00BD43D3">
        <w:t>之規定。</w:t>
      </w:r>
    </w:p>
    <w:p w14:paraId="21D81B99" w14:textId="77777777" w:rsidR="00953151" w:rsidRPr="00BD43D3" w:rsidRDefault="005E23E3" w:rsidP="00D87D91">
      <w:r w:rsidRPr="00BD43D3">
        <w:t xml:space="preserve">　　</w:t>
      </w:r>
      <w:r w:rsidR="00203F72" w:rsidRPr="00BD43D3">
        <w:t>由釋憲者所自行創設之「合理作業期間」制度，本書認為，它是誤謬的，是違憲的，是落後與不先進的，已嚴重地侵犯與污辱大陸地區人民之人身自由權利與人性尊嚴，大陸地區人民已淪為次等與附屬之人民。相較於上述德國基本法第</w:t>
      </w:r>
      <w:r w:rsidR="00203F72" w:rsidRPr="00BD43D3">
        <w:t>104</w:t>
      </w:r>
      <w:r w:rsidR="00203F72" w:rsidRPr="00BD43D3">
        <w:t>條第</w:t>
      </w:r>
      <w:r w:rsidR="00203F72" w:rsidRPr="00BD43D3">
        <w:t>2</w:t>
      </w:r>
      <w:r w:rsidR="00203F72" w:rsidRPr="00BD43D3">
        <w:t>項之規定</w:t>
      </w:r>
      <w:r w:rsidR="00203F72" w:rsidRPr="00BD43D3">
        <w:t>(</w:t>
      </w:r>
      <w:r w:rsidR="00203F72" w:rsidRPr="00BD43D3">
        <w:t>須適用嚴格之法官保留原則</w:t>
      </w:r>
      <w:r w:rsidR="00203F72" w:rsidRPr="00BD43D3">
        <w:t>)</w:t>
      </w:r>
      <w:r w:rsidR="00203F72" w:rsidRPr="00BD43D3">
        <w:t>，釋字</w:t>
      </w:r>
      <w:hyperlink r:id="rId2706" w:anchor="r710" w:history="1">
        <w:r w:rsidR="00203F72" w:rsidRPr="008574A4">
          <w:rPr>
            <w:rStyle w:val="a5"/>
            <w:rFonts w:ascii="Times New Roman" w:eastAsia="新細明體" w:hAnsi="Times New Roman"/>
          </w:rPr>
          <w:t>第七一</w:t>
        </w:r>
        <w:r w:rsidR="007F3288" w:rsidRPr="008574A4">
          <w:rPr>
            <w:rStyle w:val="a5"/>
            <w:rFonts w:ascii="Times New Roman" w:eastAsia="新細明體" w:hAnsi="Times New Roman"/>
          </w:rPr>
          <w:t>0</w:t>
        </w:r>
        <w:r w:rsidR="00203F72" w:rsidRPr="008574A4">
          <w:rPr>
            <w:rStyle w:val="a5"/>
            <w:rFonts w:ascii="Times New Roman" w:eastAsia="新細明體" w:hAnsi="Times New Roman"/>
          </w:rPr>
          <w:t>號</w:t>
        </w:r>
      </w:hyperlink>
      <w:r w:rsidR="00203F72" w:rsidRPr="00BD43D3">
        <w:t>理由書之論述，相當地落後與不先進。</w:t>
      </w:r>
    </w:p>
    <w:p w14:paraId="7AA784F6" w14:textId="77777777" w:rsidR="00203F72" w:rsidRPr="00BD43D3" w:rsidRDefault="005E23E3" w:rsidP="00D87D91">
      <w:r w:rsidRPr="00BD43D3">
        <w:t xml:space="preserve">　　</w:t>
      </w:r>
      <w:r w:rsidR="00203F72" w:rsidRPr="00BD43D3">
        <w:t>有關於李震山大法官於釋字</w:t>
      </w:r>
      <w:hyperlink r:id="rId2707" w:anchor="r710" w:history="1">
        <w:r w:rsidR="00203F72" w:rsidRPr="008574A4">
          <w:rPr>
            <w:rStyle w:val="a5"/>
            <w:rFonts w:ascii="Times New Roman" w:eastAsia="新細明體" w:hAnsi="Times New Roman"/>
          </w:rPr>
          <w:t>第七一</w:t>
        </w:r>
        <w:r w:rsidR="007F3288" w:rsidRPr="008574A4">
          <w:rPr>
            <w:rStyle w:val="a5"/>
            <w:rFonts w:ascii="Times New Roman" w:eastAsia="新細明體" w:hAnsi="Times New Roman"/>
          </w:rPr>
          <w:t>0</w:t>
        </w:r>
        <w:r w:rsidR="00203F72" w:rsidRPr="008574A4">
          <w:rPr>
            <w:rStyle w:val="a5"/>
            <w:rFonts w:ascii="Times New Roman" w:eastAsia="新細明體" w:hAnsi="Times New Roman"/>
          </w:rPr>
          <w:t>號</w:t>
        </w:r>
      </w:hyperlink>
      <w:r w:rsidR="00203F72" w:rsidRPr="00BD43D3">
        <w:t>解釋部分不同意見書中之人身自由之保障之看法，本書完全贊同之。李震山大法官於釋字第七一</w:t>
      </w:r>
      <w:r w:rsidR="007F3288">
        <w:t>0</w:t>
      </w:r>
      <w:r w:rsidR="00203F72" w:rsidRPr="00BD43D3">
        <w:t>號解釋部分不同意見書中指出，釋字</w:t>
      </w:r>
      <w:hyperlink r:id="rId2708" w:anchor="r710" w:history="1">
        <w:r w:rsidR="00943369" w:rsidRPr="00BD43D3">
          <w:rPr>
            <w:rStyle w:val="a5"/>
            <w:rFonts w:hint="eastAsia"/>
          </w:rPr>
          <w:t>第710號</w:t>
        </w:r>
      </w:hyperlink>
      <w:r w:rsidR="00203F72" w:rsidRPr="00BD43D3">
        <w:t>具有以下之特色：</w:t>
      </w:r>
    </w:p>
    <w:p w14:paraId="07A4BD0B" w14:textId="77777777" w:rsidR="005E23E3" w:rsidRPr="00BD43D3" w:rsidRDefault="005E23E3" w:rsidP="00D87D91">
      <w:r w:rsidRPr="00BD43D3">
        <w:rPr>
          <w:rFonts w:hint="eastAsia"/>
        </w:rPr>
        <w:t xml:space="preserve">　　</w:t>
      </w:r>
      <w:r w:rsidRPr="00BD43D3">
        <w:rPr>
          <w:rFonts w:hint="eastAsia"/>
        </w:rPr>
        <w:t>1.</w:t>
      </w:r>
      <w:r w:rsidRPr="00BD43D3">
        <w:rPr>
          <w:rFonts w:hint="eastAsia"/>
        </w:rPr>
        <w:t>司法院釋字</w:t>
      </w:r>
      <w:hyperlink r:id="rId2709" w:anchor="r708" w:history="1">
        <w:r w:rsidR="00943369" w:rsidRPr="00BD43D3">
          <w:rPr>
            <w:rStyle w:val="a5"/>
          </w:rPr>
          <w:t>第708號</w:t>
        </w:r>
      </w:hyperlink>
      <w:r w:rsidRPr="00BD43D3">
        <w:rPr>
          <w:rFonts w:hint="eastAsia"/>
        </w:rPr>
        <w:t>及</w:t>
      </w:r>
      <w:hyperlink r:id="rId2710" w:anchor="r710" w:history="1">
        <w:r w:rsidR="00943369" w:rsidRPr="00BD43D3">
          <w:rPr>
            <w:rStyle w:val="a5"/>
            <w:rFonts w:hint="eastAsia"/>
          </w:rPr>
          <w:t>第710號</w:t>
        </w:r>
      </w:hyperlink>
      <w:r w:rsidRPr="00BD43D3">
        <w:rPr>
          <w:rFonts w:hint="eastAsia"/>
        </w:rPr>
        <w:t>之兩號解釋有關「合理作業期間」內容上之主要差別在於，釋字</w:t>
      </w:r>
      <w:hyperlink r:id="rId2711" w:anchor="r708" w:history="1">
        <w:r w:rsidR="00943369" w:rsidRPr="00BD43D3">
          <w:rPr>
            <w:rStyle w:val="a5"/>
          </w:rPr>
          <w:t>第708號</w:t>
        </w:r>
      </w:hyperlink>
      <w:r w:rsidRPr="00BD43D3">
        <w:rPr>
          <w:rFonts w:hint="eastAsia"/>
        </w:rPr>
        <w:t>由釋憲者親自定有十五天的暫時收容期間上限，釋字</w:t>
      </w:r>
      <w:hyperlink r:id="rId2712" w:anchor="r710" w:history="1">
        <w:r w:rsidR="00943369" w:rsidRPr="00BD43D3">
          <w:rPr>
            <w:rStyle w:val="a5"/>
            <w:rFonts w:hint="eastAsia"/>
          </w:rPr>
          <w:t>第710號</w:t>
        </w:r>
      </w:hyperlink>
      <w:r w:rsidRPr="00BD43D3">
        <w:rPr>
          <w:rFonts w:hint="eastAsia"/>
        </w:rPr>
        <w:t>則改採尊重立法形成權，由國會斟酌實際需要以法律決定暫時收容期間。</w:t>
      </w:r>
    </w:p>
    <w:p w14:paraId="55F50338" w14:textId="77777777" w:rsidR="005E23E3" w:rsidRPr="00BD43D3" w:rsidRDefault="005E23E3" w:rsidP="00D87D91">
      <w:r w:rsidRPr="00BD43D3">
        <w:rPr>
          <w:rFonts w:hint="eastAsia"/>
        </w:rPr>
        <w:t xml:space="preserve">　　</w:t>
      </w:r>
      <w:r w:rsidRPr="00BD43D3">
        <w:rPr>
          <w:rFonts w:hint="eastAsia"/>
        </w:rPr>
        <w:t>2.</w:t>
      </w:r>
      <w:r w:rsidRPr="00BD43D3">
        <w:rPr>
          <w:rFonts w:hint="eastAsia"/>
        </w:rPr>
        <w:t>違憲審查者顯有意棄守憲法在此領域，依權力分立相互制衡原則所賦予的把關工作。</w:t>
      </w:r>
    </w:p>
    <w:p w14:paraId="33896C56" w14:textId="77777777" w:rsidR="005E23E3" w:rsidRPr="00BD43D3" w:rsidRDefault="005E23E3" w:rsidP="00D87D91">
      <w:r w:rsidRPr="00BD43D3">
        <w:rPr>
          <w:rFonts w:hint="eastAsia"/>
        </w:rPr>
        <w:t xml:space="preserve">　　</w:t>
      </w:r>
      <w:r w:rsidRPr="00BD43D3">
        <w:rPr>
          <w:rFonts w:hint="eastAsia"/>
        </w:rPr>
        <w:t>3.</w:t>
      </w:r>
      <w:r w:rsidRPr="00BD43D3">
        <w:rPr>
          <w:rFonts w:hint="eastAsia"/>
        </w:rPr>
        <w:t>創設「合理作業期間」之制度，既不合憲法意旨，又未必有助於實務運作。</w:t>
      </w:r>
    </w:p>
    <w:p w14:paraId="3A0DF5C9" w14:textId="77777777" w:rsidR="00953151" w:rsidRPr="00BD43D3" w:rsidRDefault="005E23E3" w:rsidP="00D87D91">
      <w:r w:rsidRPr="00BD43D3">
        <w:rPr>
          <w:rFonts w:hint="eastAsia"/>
        </w:rPr>
        <w:t xml:space="preserve">　　</w:t>
      </w:r>
      <w:r w:rsidRPr="00BD43D3">
        <w:rPr>
          <w:rFonts w:hint="eastAsia"/>
        </w:rPr>
        <w:t>4.</w:t>
      </w:r>
      <w:r w:rsidRPr="00BD43D3">
        <w:rPr>
          <w:rFonts w:hint="eastAsia"/>
        </w:rPr>
        <w:t>由釋憲者創設「合理作業期間」制度，它是誤謬的，是違憲的。</w:t>
      </w:r>
    </w:p>
    <w:p w14:paraId="449AF1FE" w14:textId="77777777" w:rsidR="00953151" w:rsidRPr="00BD43D3" w:rsidRDefault="005E23E3" w:rsidP="00D87D91">
      <w:r w:rsidRPr="00BD43D3">
        <w:t xml:space="preserve">　　</w:t>
      </w:r>
      <w:r w:rsidR="00203F72" w:rsidRPr="00BD43D3">
        <w:t>另外，值得加以特別關注之議題，係對於外來人口所進行之收容處分，近年來，國際社會逐漸流行若干代替收容之措施，諸如：對於外來人口進行社區評估與安置模式等等，儘量避免對於外來人口進行移民收容，以社區評估與安置模式取代移民收容。根據國際收容聯盟</w:t>
      </w:r>
      <w:r w:rsidR="00203F72" w:rsidRPr="00BD43D3">
        <w:t>(International Detention Coalition, IDC)</w:t>
      </w:r>
      <w:r w:rsidR="00203F72" w:rsidRPr="00BD43D3">
        <w:t>之實證調查之結果，移民收容之手段，逐漸已成為其他可替代收容措施均不可行之時，始運用之最後手段，亦即，對於外來人口進行移民收容，係一種最後手段性及例外性</w:t>
      </w:r>
      <w:r w:rsidR="00203F72" w:rsidRPr="00BD43D3">
        <w:footnoteReference w:id="1096"/>
      </w:r>
      <w:r w:rsidR="00203F72" w:rsidRPr="00BD43D3">
        <w:t>。</w:t>
      </w:r>
    </w:p>
    <w:p w14:paraId="07426C2D" w14:textId="77777777" w:rsidR="00953151" w:rsidRPr="00BD43D3" w:rsidRDefault="005E23E3" w:rsidP="00D87D91">
      <w:r w:rsidRPr="00BD43D3">
        <w:rPr>
          <w:rFonts w:hint="eastAsia"/>
        </w:rPr>
        <w:t xml:space="preserve">　　</w:t>
      </w:r>
      <w:r w:rsidR="00203F72" w:rsidRPr="00BD43D3">
        <w:rPr>
          <w:rFonts w:hint="eastAsia"/>
        </w:rPr>
        <w:t>有關於替代收容的政策，在台灣之入出國及移民法之法律規範體系之中，係規範於入出國及移民</w:t>
      </w:r>
      <w:r w:rsidR="002673A4" w:rsidRPr="00E2576E">
        <w:t>法</w:t>
      </w:r>
      <w:hyperlink r:id="rId2713"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2</w:t>
      </w:r>
      <w:r w:rsidR="00203F72" w:rsidRPr="00BD43D3">
        <w:rPr>
          <w:rFonts w:hint="eastAsia"/>
        </w:rPr>
        <w:t>項。根據「台灣人權促進會」於</w:t>
      </w:r>
      <w:r w:rsidR="00203F72" w:rsidRPr="00BD43D3">
        <w:rPr>
          <w:rFonts w:hint="eastAsia"/>
        </w:rPr>
        <w:t>2011</w:t>
      </w:r>
      <w:r w:rsidR="00203F72" w:rsidRPr="00BD43D3">
        <w:rPr>
          <w:rFonts w:hint="eastAsia"/>
        </w:rPr>
        <w:t>年所出版之乙書：「替代收容－避免非必要的移工移民收容：各國經驗」中之第</w:t>
      </w:r>
      <w:r w:rsidR="00203F72" w:rsidRPr="00BD43D3">
        <w:rPr>
          <w:rFonts w:hint="eastAsia"/>
        </w:rPr>
        <w:t>20</w:t>
      </w:r>
      <w:r w:rsidR="00203F72" w:rsidRPr="00BD43D3">
        <w:rPr>
          <w:rFonts w:hint="eastAsia"/>
        </w:rPr>
        <w:t>頁所介紹之替代收容機制，包括</w:t>
      </w:r>
      <w:r w:rsidR="00203F72" w:rsidRPr="00BD43D3">
        <w:footnoteReference w:id="1097"/>
      </w:r>
      <w:r w:rsidR="00203F72" w:rsidRPr="00BD43D3">
        <w:rPr>
          <w:rFonts w:hint="eastAsia"/>
        </w:rPr>
        <w:t>：</w:t>
      </w:r>
      <w:r w:rsidR="00203F72" w:rsidRPr="00BD43D3">
        <w:rPr>
          <w:rFonts w:hint="eastAsia"/>
        </w:rPr>
        <w:t>1.</w:t>
      </w:r>
      <w:r w:rsidR="00203F72" w:rsidRPr="00BD43D3">
        <w:rPr>
          <w:rFonts w:hint="eastAsia"/>
        </w:rPr>
        <w:t>將外國人安置於私人安排之住所；</w:t>
      </w:r>
      <w:r w:rsidR="00203F72" w:rsidRPr="00BD43D3">
        <w:rPr>
          <w:rFonts w:hint="eastAsia"/>
        </w:rPr>
        <w:t>2.</w:t>
      </w:r>
      <w:r w:rsidR="00203F72" w:rsidRPr="00BD43D3">
        <w:rPr>
          <w:rFonts w:hint="eastAsia"/>
        </w:rPr>
        <w:t>與家人、朋友或親戚共同居住；</w:t>
      </w:r>
      <w:r w:rsidR="00203F72" w:rsidRPr="00BD43D3">
        <w:rPr>
          <w:rFonts w:hint="eastAsia"/>
        </w:rPr>
        <w:t>3.</w:t>
      </w:r>
      <w:r w:rsidR="00203F72" w:rsidRPr="00BD43D3">
        <w:rPr>
          <w:rFonts w:hint="eastAsia"/>
        </w:rPr>
        <w:t>與社區居民共住；</w:t>
      </w:r>
      <w:r w:rsidR="00203F72" w:rsidRPr="00BD43D3">
        <w:rPr>
          <w:rFonts w:hint="eastAsia"/>
        </w:rPr>
        <w:t>4.</w:t>
      </w:r>
      <w:r w:rsidR="00203F72" w:rsidRPr="00BD43D3">
        <w:rPr>
          <w:rFonts w:hint="eastAsia"/>
        </w:rPr>
        <w:t>將外國人安置於政府資助之住所；</w:t>
      </w:r>
      <w:r w:rsidR="00203F72" w:rsidRPr="00BD43D3">
        <w:rPr>
          <w:rFonts w:hint="eastAsia"/>
        </w:rPr>
        <w:t>5.</w:t>
      </w:r>
      <w:r w:rsidR="00203F72" w:rsidRPr="00BD43D3">
        <w:rPr>
          <w:rFonts w:hint="eastAsia"/>
        </w:rPr>
        <w:t>慈善團體資助之私人住所；</w:t>
      </w:r>
      <w:r w:rsidR="00203F72" w:rsidRPr="00BD43D3">
        <w:rPr>
          <w:rFonts w:hint="eastAsia"/>
        </w:rPr>
        <w:t>6.</w:t>
      </w:r>
      <w:r w:rsidR="00203F72" w:rsidRPr="00BD43D3">
        <w:rPr>
          <w:rFonts w:hint="eastAsia"/>
        </w:rPr>
        <w:t>尋求庇護者之開放接待所；</w:t>
      </w:r>
      <w:r w:rsidR="00203F72" w:rsidRPr="00BD43D3">
        <w:rPr>
          <w:rFonts w:hint="eastAsia"/>
        </w:rPr>
        <w:t>7.</w:t>
      </w:r>
      <w:r w:rsidR="00203F72" w:rsidRPr="00BD43D3">
        <w:rPr>
          <w:rFonts w:hint="eastAsia"/>
        </w:rPr>
        <w:t>將外國人安置於難民與尋求庇護者之開放中心；</w:t>
      </w:r>
      <w:r w:rsidR="00203F72" w:rsidRPr="00BD43D3">
        <w:rPr>
          <w:rFonts w:hint="eastAsia"/>
        </w:rPr>
        <w:t>7.</w:t>
      </w:r>
      <w:r w:rsidR="00203F72" w:rsidRPr="00BD43D3">
        <w:rPr>
          <w:rFonts w:hint="eastAsia"/>
        </w:rPr>
        <w:t>難民營與人道救援之庇護處所；</w:t>
      </w:r>
      <w:r w:rsidR="00203F72" w:rsidRPr="00BD43D3">
        <w:rPr>
          <w:rFonts w:hint="eastAsia"/>
        </w:rPr>
        <w:t>8.</w:t>
      </w:r>
      <w:r w:rsidR="00203F72" w:rsidRPr="00BD43D3">
        <w:rPr>
          <w:rFonts w:hint="eastAsia"/>
        </w:rPr>
        <w:t>無家人陪伴，或單獨旅行之未成年庇護所；</w:t>
      </w:r>
      <w:r w:rsidR="00203F72" w:rsidRPr="00BD43D3">
        <w:rPr>
          <w:rFonts w:hint="eastAsia"/>
        </w:rPr>
        <w:t>9.</w:t>
      </w:r>
      <w:r w:rsidR="00203F72" w:rsidRPr="00BD43D3">
        <w:rPr>
          <w:rFonts w:hint="eastAsia"/>
        </w:rPr>
        <w:t>寄養家庭或育幼院；</w:t>
      </w:r>
      <w:r w:rsidR="00203F72" w:rsidRPr="00BD43D3">
        <w:rPr>
          <w:rFonts w:hint="eastAsia"/>
        </w:rPr>
        <w:t>10.</w:t>
      </w:r>
      <w:r w:rsidR="00203F72" w:rsidRPr="00BD43D3">
        <w:rPr>
          <w:rFonts w:hint="eastAsia"/>
        </w:rPr>
        <w:t>針對於貧窮之非正規移民所設置之庇護所；</w:t>
      </w:r>
      <w:r w:rsidR="00203F72" w:rsidRPr="00BD43D3">
        <w:rPr>
          <w:rFonts w:hint="eastAsia"/>
        </w:rPr>
        <w:t>11.</w:t>
      </w:r>
      <w:r w:rsidR="00203F72" w:rsidRPr="00BD43D3">
        <w:rPr>
          <w:rFonts w:hint="eastAsia"/>
        </w:rPr>
        <w:t>遊民庇護所或中途之家；</w:t>
      </w:r>
      <w:r w:rsidR="00203F72" w:rsidRPr="00BD43D3">
        <w:rPr>
          <w:rFonts w:hint="eastAsia"/>
        </w:rPr>
        <w:t>12.</w:t>
      </w:r>
      <w:r w:rsidR="00203F72" w:rsidRPr="00BD43D3">
        <w:rPr>
          <w:rFonts w:hint="eastAsia"/>
        </w:rPr>
        <w:t>準備離開該國之移民中心。</w:t>
      </w:r>
    </w:p>
    <w:p w14:paraId="1A3CB817" w14:textId="77777777" w:rsidR="00953151" w:rsidRPr="00BD43D3" w:rsidRDefault="005E23E3" w:rsidP="00D87D91">
      <w:r w:rsidRPr="00BD43D3">
        <w:rPr>
          <w:rFonts w:hint="eastAsia"/>
        </w:rPr>
        <w:t xml:space="preserve">　　</w:t>
      </w:r>
      <w:r w:rsidR="00203F72" w:rsidRPr="00BD43D3">
        <w:rPr>
          <w:rFonts w:hint="eastAsia"/>
        </w:rPr>
        <w:t>國外之替代收容政策，對於我國而言，應頗具備參考性。根據「台灣人權促進會」所出版之「替代收容－避免非必要的移工移民收容：各國經驗」中第</w:t>
      </w:r>
      <w:r w:rsidR="00203F72" w:rsidRPr="00BD43D3">
        <w:rPr>
          <w:rFonts w:hint="eastAsia"/>
        </w:rPr>
        <w:t>19</w:t>
      </w:r>
      <w:r w:rsidR="00203F72" w:rsidRPr="00BD43D3">
        <w:rPr>
          <w:rFonts w:hint="eastAsia"/>
        </w:rPr>
        <w:t>頁之內容，替代收容之作法，係為「社區評估與安置模式」（</w:t>
      </w:r>
      <w:r w:rsidR="00203F72" w:rsidRPr="00BD43D3">
        <w:rPr>
          <w:rFonts w:hint="eastAsia"/>
        </w:rPr>
        <w:t>The Community Assessment and Placement Model</w:t>
      </w:r>
      <w:r w:rsidR="00203F72" w:rsidRPr="00BD43D3">
        <w:rPr>
          <w:rFonts w:hint="eastAsia"/>
        </w:rPr>
        <w:t>，簡稱為</w:t>
      </w:r>
      <w:r w:rsidR="00203F72" w:rsidRPr="00BD43D3">
        <w:rPr>
          <w:rFonts w:hint="eastAsia"/>
        </w:rPr>
        <w:t>CAP</w:t>
      </w:r>
      <w:r w:rsidR="00203F72" w:rsidRPr="00BD43D3">
        <w:rPr>
          <w:rFonts w:hint="eastAsia"/>
        </w:rPr>
        <w:t>），</w:t>
      </w:r>
      <w:r w:rsidR="00203F72" w:rsidRPr="00BD43D3">
        <w:rPr>
          <w:rFonts w:hint="eastAsia"/>
        </w:rPr>
        <w:t>CAP</w:t>
      </w:r>
      <w:r w:rsidR="00203F72" w:rsidRPr="00BD43D3">
        <w:rPr>
          <w:rFonts w:hint="eastAsia"/>
        </w:rPr>
        <w:t>之</w:t>
      </w:r>
      <w:r w:rsidR="00203F72" w:rsidRPr="00BD43D3">
        <w:rPr>
          <w:rFonts w:hint="eastAsia"/>
        </w:rPr>
        <w:t>5</w:t>
      </w:r>
      <w:r w:rsidR="00203F72" w:rsidRPr="00BD43D3">
        <w:rPr>
          <w:rFonts w:hint="eastAsia"/>
        </w:rPr>
        <w:t>個關鍵性程序，乃為：</w:t>
      </w:r>
      <w:r w:rsidR="00203F72" w:rsidRPr="00BD43D3">
        <w:rPr>
          <w:rFonts w:hint="eastAsia"/>
        </w:rPr>
        <w:t>1.</w:t>
      </w:r>
      <w:r w:rsidR="00203F72" w:rsidRPr="00BD43D3">
        <w:rPr>
          <w:rFonts w:hint="eastAsia"/>
        </w:rPr>
        <w:t>以不須收容為假設前提；</w:t>
      </w:r>
      <w:r w:rsidR="00203F72" w:rsidRPr="00BD43D3">
        <w:rPr>
          <w:rFonts w:hint="eastAsia"/>
        </w:rPr>
        <w:t>2.</w:t>
      </w:r>
      <w:r w:rsidR="00203F72" w:rsidRPr="00BD43D3">
        <w:rPr>
          <w:rFonts w:hint="eastAsia"/>
        </w:rPr>
        <w:t>篩選與評估個案；</w:t>
      </w:r>
      <w:r w:rsidR="00203F72" w:rsidRPr="00BD43D3">
        <w:rPr>
          <w:rFonts w:hint="eastAsia"/>
        </w:rPr>
        <w:t>3.</w:t>
      </w:r>
      <w:r w:rsidR="00203F72" w:rsidRPr="00BD43D3">
        <w:rPr>
          <w:rFonts w:hint="eastAsia"/>
        </w:rPr>
        <w:t>評估社區環境；</w:t>
      </w:r>
      <w:r w:rsidR="00203F72" w:rsidRPr="00BD43D3">
        <w:rPr>
          <w:rFonts w:hint="eastAsia"/>
        </w:rPr>
        <w:t>4.</w:t>
      </w:r>
      <w:r w:rsidR="00203F72" w:rsidRPr="00BD43D3">
        <w:rPr>
          <w:rFonts w:hint="eastAsia"/>
        </w:rPr>
        <w:t>必要時，在社區內採取因應作法；</w:t>
      </w:r>
      <w:r w:rsidR="00203F72" w:rsidRPr="00BD43D3">
        <w:rPr>
          <w:rFonts w:hint="eastAsia"/>
        </w:rPr>
        <w:t>5.</w:t>
      </w:r>
      <w:r w:rsidR="00203F72" w:rsidRPr="00BD43D3">
        <w:rPr>
          <w:rFonts w:hint="eastAsia"/>
        </w:rPr>
        <w:t>僅在特殊，且無其他方式時，始採用收容手段</w:t>
      </w:r>
      <w:r w:rsidR="00203F72" w:rsidRPr="00BD43D3">
        <w:footnoteReference w:id="1098"/>
      </w:r>
      <w:r w:rsidR="00203F72" w:rsidRPr="00BD43D3">
        <w:rPr>
          <w:rFonts w:hint="eastAsia"/>
        </w:rPr>
        <w:t>。在國外之替代收容機制之中，最核心之作法，係為假設「收容是不必須的前提」之精神，台灣有必要學習之。台灣之作法，係為假定「收容是必要的前提」，業已違反國際潮流。</w:t>
      </w:r>
    </w:p>
    <w:p w14:paraId="266F179C" w14:textId="77777777" w:rsidR="00953151" w:rsidRPr="00BD43D3" w:rsidRDefault="005E23E3" w:rsidP="00D87D91">
      <w:r w:rsidRPr="00BD43D3">
        <w:rPr>
          <w:rFonts w:hint="eastAsia"/>
        </w:rPr>
        <w:t xml:space="preserve">　　</w:t>
      </w:r>
      <w:r w:rsidR="00203F72" w:rsidRPr="00BD43D3">
        <w:rPr>
          <w:rFonts w:hint="eastAsia"/>
        </w:rPr>
        <w:t>本書對於「社區安置」（</w:t>
      </w:r>
      <w:r w:rsidR="00203F72" w:rsidRPr="00BD43D3">
        <w:rPr>
          <w:rFonts w:hint="eastAsia"/>
        </w:rPr>
        <w:t>The Community Assessment and Placement Model, CAP</w:t>
      </w:r>
      <w:r w:rsidR="00203F72" w:rsidRPr="00BD43D3">
        <w:rPr>
          <w:rFonts w:hint="eastAsia"/>
        </w:rPr>
        <w:t>）之機制，相當贊成；相對而論，「暫予收容」應是最後手段性。根據「國際收容聯盟」（</w:t>
      </w:r>
      <w:r w:rsidR="00203F72" w:rsidRPr="00BD43D3">
        <w:rPr>
          <w:rFonts w:hint="eastAsia"/>
        </w:rPr>
        <w:t>(International Detention Coalition, IDC</w:t>
      </w:r>
      <w:r w:rsidR="00203F72" w:rsidRPr="00BD43D3">
        <w:rPr>
          <w:rFonts w:hint="eastAsia"/>
        </w:rPr>
        <w:t>）之統計資料，在歐洲，</w:t>
      </w:r>
      <w:r w:rsidR="00203F72" w:rsidRPr="00BD43D3">
        <w:rPr>
          <w:rFonts w:hint="eastAsia"/>
        </w:rPr>
        <w:t>CAP</w:t>
      </w:r>
      <w:r w:rsidR="00203F72" w:rsidRPr="00BD43D3">
        <w:rPr>
          <w:rFonts w:hint="eastAsia"/>
        </w:rPr>
        <w:t>非常普及；收容政策並無法有效地遏制非法移民之現象</w:t>
      </w:r>
      <w:r w:rsidR="00203F72" w:rsidRPr="00BD43D3">
        <w:footnoteReference w:id="1099"/>
      </w:r>
      <w:r w:rsidR="00203F72" w:rsidRPr="00BD43D3">
        <w:rPr>
          <w:rFonts w:hint="eastAsia"/>
        </w:rPr>
        <w:t>。個人認為，既然，</w:t>
      </w:r>
      <w:r w:rsidR="00203F72" w:rsidRPr="00BD43D3">
        <w:rPr>
          <w:rFonts w:hint="eastAsia"/>
        </w:rPr>
        <w:t>IDC</w:t>
      </w:r>
      <w:r w:rsidR="00203F72" w:rsidRPr="00BD43D3">
        <w:rPr>
          <w:rFonts w:hint="eastAsia"/>
        </w:rPr>
        <w:t>主張收容是一項無效之機制，台灣移民署宜認真地思考多研發新式之</w:t>
      </w:r>
      <w:r w:rsidR="00203F72" w:rsidRPr="00BD43D3">
        <w:rPr>
          <w:rFonts w:hint="eastAsia"/>
        </w:rPr>
        <w:t>CAP</w:t>
      </w:r>
      <w:r w:rsidR="00203F72" w:rsidRPr="00BD43D3">
        <w:rPr>
          <w:rFonts w:hint="eastAsia"/>
        </w:rPr>
        <w:t>機制，以替代收容。</w:t>
      </w:r>
    </w:p>
    <w:p w14:paraId="0EE97991" w14:textId="77777777" w:rsidR="00953151" w:rsidRPr="00BD43D3" w:rsidRDefault="005E23E3" w:rsidP="00D87D91">
      <w:r w:rsidRPr="00BD43D3">
        <w:rPr>
          <w:rFonts w:hint="eastAsia"/>
        </w:rPr>
        <w:t xml:space="preserve">　　</w:t>
      </w:r>
      <w:r w:rsidR="00203F72" w:rsidRPr="00BD43D3">
        <w:rPr>
          <w:rFonts w:hint="eastAsia"/>
        </w:rPr>
        <w:t>依照目前移民</w:t>
      </w:r>
      <w:r w:rsidR="002673A4" w:rsidRPr="00E2576E">
        <w:t>法</w:t>
      </w:r>
      <w:hyperlink r:id="rId2714"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2</w:t>
      </w:r>
      <w:r w:rsidR="00203F72" w:rsidRPr="00BD43D3">
        <w:rPr>
          <w:rFonts w:hint="eastAsia"/>
        </w:rPr>
        <w:t>項之規定，民間團體可以充任、外國人之「具保人」，或為外國人繳納「保證金」，避免外國人遭受移民署之「暫予收容」，在此情形之下，民間團體宜善盡具保人之職責，避免外國人違反暫予收容替代處分。勵馨基金會曾表示，他們往往無法決定涉及刑事案件之移工，能否被勵馨基金會收容？此外，包含新事社服中心、關愛之家等民間團體，都有過受庇護人外國人逃逸之情形，國內之</w:t>
      </w:r>
      <w:r w:rsidR="00203F72" w:rsidRPr="00BD43D3">
        <w:rPr>
          <w:rFonts w:hint="eastAsia"/>
        </w:rPr>
        <w:t>NGO</w:t>
      </w:r>
      <w:r w:rsidR="00203F72" w:rsidRPr="00BD43D3">
        <w:rPr>
          <w:rFonts w:hint="eastAsia"/>
        </w:rPr>
        <w:t>團體，其非常憂心是否應負擔連帶之刑事法律責任？此部分，作者認為，應是不用負擔連帶之刑事法律責任，宜對民間團體廣加宣傳。不過，依照目前移民</w:t>
      </w:r>
      <w:r w:rsidR="002673A4" w:rsidRPr="00E2576E">
        <w:t>法</w:t>
      </w:r>
      <w:hyperlink r:id="rId2715"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2</w:t>
      </w:r>
      <w:r w:rsidR="00203F72" w:rsidRPr="00BD43D3">
        <w:rPr>
          <w:rFonts w:hint="eastAsia"/>
        </w:rPr>
        <w:t>項之規定，民間團體先前為外國人繳納之「保證金」，有可能會被移民署沒收。</w:t>
      </w:r>
    </w:p>
    <w:p w14:paraId="2DE96480" w14:textId="77777777" w:rsidR="00953151" w:rsidRPr="00BD43D3" w:rsidRDefault="005E23E3" w:rsidP="00D87D91">
      <w:r w:rsidRPr="00BD43D3">
        <w:rPr>
          <w:rFonts w:hint="eastAsia"/>
        </w:rPr>
        <w:t xml:space="preserve">　　</w:t>
      </w:r>
      <w:r w:rsidR="00203F72" w:rsidRPr="00BD43D3">
        <w:rPr>
          <w:rFonts w:hint="eastAsia"/>
        </w:rPr>
        <w:t>再者，我國執法機關與人員，在回應非法移民問題時，常常易侵犯非法移民者之人權；是以，民間團體可以充任外國人人權之守護神，強力地監督移民署之違法或不合理之作為。從此角度而言，民間團體在移民人權之領域上，具有極高度之重要性。</w:t>
      </w:r>
    </w:p>
    <w:p w14:paraId="6DC15E82"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2E53A387" w14:textId="77777777" w:rsidR="00145751" w:rsidRDefault="00145751" w:rsidP="00D87D91"/>
    <w:p w14:paraId="59B54716" w14:textId="77777777" w:rsidR="00203F72" w:rsidRPr="00A53581" w:rsidRDefault="00203F72" w:rsidP="00767F37">
      <w:pPr>
        <w:pStyle w:val="2"/>
      </w:pPr>
      <w:bookmarkStart w:id="143" w:name="_貳拾、我國憲法實宜賦予外來人口享有「政治上庇護權」(Right_of_"/>
      <w:bookmarkEnd w:id="143"/>
      <w:r w:rsidRPr="00A53581">
        <w:t>貳拾、我國憲法實宜賦予外來人口享有「政治上庇護權」</w:t>
      </w:r>
      <w:r w:rsidRPr="00A53581">
        <w:t>(Right of asylum)</w:t>
      </w:r>
    </w:p>
    <w:p w14:paraId="1A74F70E" w14:textId="77777777" w:rsidR="00953151" w:rsidRPr="00BD43D3" w:rsidRDefault="005E23E3" w:rsidP="00D87D91">
      <w:pPr>
        <w:pStyle w:val="aff4"/>
      </w:pPr>
      <w:r w:rsidRPr="00BD43D3">
        <w:t xml:space="preserve">　　</w:t>
      </w:r>
      <w:r w:rsidR="00203F72" w:rsidRPr="00BD43D3">
        <w:t>依據德國基本法第</w:t>
      </w:r>
      <w:r w:rsidR="00203F72" w:rsidRPr="00BD43D3">
        <w:t>16</w:t>
      </w:r>
      <w:r w:rsidR="00203F72" w:rsidRPr="00BD43D3">
        <w:t>條之</w:t>
      </w:r>
      <w:r w:rsidR="00203F72" w:rsidRPr="00BD43D3">
        <w:t>1</w:t>
      </w:r>
      <w:r w:rsidR="00203F72" w:rsidRPr="00BD43D3">
        <w:footnoteReference w:id="1100"/>
      </w:r>
      <w:r w:rsidR="00203F72" w:rsidRPr="00BD43D3">
        <w:t>第</w:t>
      </w:r>
      <w:r w:rsidR="00203F72" w:rsidRPr="00BD43D3">
        <w:t>1</w:t>
      </w:r>
      <w:r w:rsidR="00203F72" w:rsidRPr="00BD43D3">
        <w:t>項之規定，「受政治迫害者，享有庇護權</w:t>
      </w:r>
      <w:r w:rsidR="00203F72" w:rsidRPr="00BD43D3">
        <w:t>(Right of asylum)</w:t>
      </w:r>
      <w:r w:rsidR="00203F72" w:rsidRPr="00BD43D3">
        <w:t>。」反觀我國憲法，並未明定受政治迫害者，享有庇護權</w:t>
      </w:r>
      <w:r w:rsidR="00203F72" w:rsidRPr="00BD43D3">
        <w:t>(Right of asylum)</w:t>
      </w:r>
      <w:r w:rsidR="00203F72" w:rsidRPr="00BD43D3">
        <w:t>。此為我國憲法之漏洞，似宜透由修憲之方式，加以補強。如欲作為一個文明且重</w:t>
      </w:r>
      <w:r w:rsidR="003E240E">
        <w:t>視</w:t>
      </w:r>
      <w:r w:rsidR="00203F72" w:rsidRPr="00BD43D3">
        <w:t>人權之國家，我國憲法實宜賦予外來人口享有政治上之庇護權</w:t>
      </w:r>
      <w:r w:rsidR="00203F72" w:rsidRPr="00BD43D3">
        <w:t>(Right of asylum)</w:t>
      </w:r>
      <w:r w:rsidR="00203F72" w:rsidRPr="00BD43D3">
        <w:t>。</w:t>
      </w:r>
    </w:p>
    <w:p w14:paraId="14368252" w14:textId="77777777" w:rsidR="00953151" w:rsidRPr="00BD43D3" w:rsidRDefault="005E23E3" w:rsidP="00D87D91">
      <w:r w:rsidRPr="00BD43D3">
        <w:t xml:space="preserve">　　</w:t>
      </w:r>
      <w:r w:rsidR="00203F72" w:rsidRPr="00BD43D3">
        <w:t>就目前之實況而論，我國憲法尚未明文地賦予外來人口享有政治上之庇護權</w:t>
      </w:r>
      <w:r w:rsidR="00203F72" w:rsidRPr="00BD43D3">
        <w:t>(Right of asylum)</w:t>
      </w:r>
      <w:r w:rsidR="00203F72" w:rsidRPr="00BD43D3">
        <w:t>。由為我國憲法尚未明文地賦予外來人口享有政治上之庇護權</w:t>
      </w:r>
      <w:r w:rsidR="00203F72" w:rsidRPr="00BD43D3">
        <w:t>(Right of asylum)</w:t>
      </w:r>
      <w:r w:rsidR="00203F72" w:rsidRPr="00BD43D3">
        <w:t>，本書認為，此種之立憲例，非常不文明與不進步。</w:t>
      </w:r>
    </w:p>
    <w:p w14:paraId="0A323A0A" w14:textId="77777777" w:rsidR="00145751" w:rsidRDefault="00145751" w:rsidP="00D40983">
      <w:pPr>
        <w:jc w:val="right"/>
        <w:rPr>
          <w:rFonts w:ascii="新細明體" w:hAnsi="新細明體"/>
          <w:color w:val="808000"/>
        </w:rPr>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3E95897" w14:textId="77777777" w:rsidR="00D40983" w:rsidRDefault="00D40983" w:rsidP="00D40983">
      <w:pPr>
        <w:jc w:val="right"/>
        <w:rPr>
          <w:rFonts w:ascii="新細明體" w:hAnsi="新細明體"/>
        </w:rPr>
      </w:pPr>
    </w:p>
    <w:p w14:paraId="69F87337" w14:textId="77777777" w:rsidR="00953151" w:rsidRDefault="00203F72" w:rsidP="00767F37">
      <w:pPr>
        <w:pStyle w:val="2"/>
      </w:pPr>
      <w:bookmarkStart w:id="144" w:name="_貳拾壹、外國人所享有之權利與應盡之義務，宜於憲法之中，與本國公民作非常"/>
      <w:bookmarkEnd w:id="144"/>
      <w:r w:rsidRPr="00A53581">
        <w:t>貳拾壹、</w:t>
      </w:r>
      <w:r w:rsidRPr="00A53581">
        <w:rPr>
          <w:rFonts w:hint="eastAsia"/>
        </w:rPr>
        <w:t>外國人所享有之權利與應盡之義務，宜於憲法之中，與本國公民作非常明確之切割，並明文規範之</w:t>
      </w:r>
    </w:p>
    <w:p w14:paraId="7B69076D" w14:textId="77777777" w:rsidR="00953151" w:rsidRPr="00943369" w:rsidRDefault="005E23E3" w:rsidP="00D87D91">
      <w:r w:rsidRPr="00943369">
        <w:rPr>
          <w:rFonts w:hint="eastAsia"/>
        </w:rPr>
        <w:t xml:space="preserve">　　</w:t>
      </w:r>
      <w:r w:rsidR="00203F72" w:rsidRPr="00943369">
        <w:rPr>
          <w:rFonts w:hint="eastAsia"/>
        </w:rPr>
        <w:t>本書之作者，茲舉瑞典憲法為例，於瑞典憲法（</w:t>
      </w:r>
      <w:r w:rsidR="00203F72" w:rsidRPr="00943369">
        <w:rPr>
          <w:rFonts w:hint="eastAsia"/>
        </w:rPr>
        <w:t>Sweden Constitution</w:t>
      </w:r>
      <w:r w:rsidR="00203F72" w:rsidRPr="00943369">
        <w:rPr>
          <w:rFonts w:hint="eastAsia"/>
        </w:rPr>
        <w:t>）之中，瑞典公民所應享有之權利與其應盡之義務，係不同於外國人（</w:t>
      </w:r>
      <w:r w:rsidR="00203F72" w:rsidRPr="00943369">
        <w:rPr>
          <w:rFonts w:hint="eastAsia"/>
        </w:rPr>
        <w:t>foreigner</w:t>
      </w:r>
      <w:r w:rsidR="00203F72" w:rsidRPr="00943369">
        <w:rPr>
          <w:rFonts w:hint="eastAsia"/>
        </w:rPr>
        <w:t>）；故於瑞典憲法之中，外國人之人權之立憲規範，係規定於瑞典憲法第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條；在第</w:t>
      </w:r>
      <w:r w:rsidR="00203F72" w:rsidRPr="00943369">
        <w:rPr>
          <w:rFonts w:hint="eastAsia"/>
        </w:rPr>
        <w:t>2</w:t>
      </w:r>
      <w:r w:rsidR="00203F72" w:rsidRPr="00943369">
        <w:rPr>
          <w:rFonts w:hint="eastAsia"/>
        </w:rPr>
        <w:t>章第</w:t>
      </w:r>
      <w:r w:rsidR="00203F72" w:rsidRPr="00943369">
        <w:rPr>
          <w:rFonts w:hint="eastAsia"/>
        </w:rPr>
        <w:t>20</w:t>
      </w:r>
      <w:r w:rsidR="00203F72" w:rsidRPr="00943369">
        <w:rPr>
          <w:rFonts w:hint="eastAsia"/>
        </w:rPr>
        <w:t>條之中，係用於專門規範外國人之基本權利；以下，擬針對瑞典憲法第</w:t>
      </w:r>
      <w:r w:rsidR="00203F72" w:rsidRPr="00943369">
        <w:rPr>
          <w:rFonts w:hint="eastAsia"/>
        </w:rPr>
        <w:t>2</w:t>
      </w:r>
      <w:r w:rsidR="00203F72" w:rsidRPr="00943369">
        <w:rPr>
          <w:rFonts w:hint="eastAsia"/>
        </w:rPr>
        <w:t>章第</w:t>
      </w:r>
      <w:r w:rsidR="00203F72" w:rsidRPr="00943369">
        <w:rPr>
          <w:rFonts w:hint="eastAsia"/>
        </w:rPr>
        <w:t>20</w:t>
      </w:r>
      <w:r w:rsidR="00203F72" w:rsidRPr="00943369">
        <w:rPr>
          <w:rFonts w:hint="eastAsia"/>
        </w:rPr>
        <w:t>條之內涵，作進一步之介紹。第</w:t>
      </w:r>
      <w:r w:rsidR="00203F72" w:rsidRPr="00943369">
        <w:rPr>
          <w:rFonts w:hint="eastAsia"/>
        </w:rPr>
        <w:t>20</w:t>
      </w:r>
      <w:r w:rsidR="00203F72" w:rsidRPr="00943369">
        <w:rPr>
          <w:rFonts w:hint="eastAsia"/>
        </w:rPr>
        <w:t>條共分為</w:t>
      </w:r>
      <w:r w:rsidR="00203F72" w:rsidRPr="00943369">
        <w:rPr>
          <w:rFonts w:hint="eastAsia"/>
        </w:rPr>
        <w:t>3</w:t>
      </w:r>
      <w:r w:rsidR="00203F72" w:rsidRPr="00943369">
        <w:rPr>
          <w:rFonts w:hint="eastAsia"/>
        </w:rPr>
        <w:t>項，第</w:t>
      </w:r>
      <w:r w:rsidR="00203F72" w:rsidRPr="00943369">
        <w:rPr>
          <w:rFonts w:hint="eastAsia"/>
        </w:rPr>
        <w:t>1</w:t>
      </w:r>
      <w:r w:rsidR="00203F72" w:rsidRPr="00943369">
        <w:rPr>
          <w:rFonts w:hint="eastAsia"/>
        </w:rPr>
        <w:t>項共有</w:t>
      </w:r>
      <w:r w:rsidR="00203F72" w:rsidRPr="00943369">
        <w:rPr>
          <w:rFonts w:hint="eastAsia"/>
        </w:rPr>
        <w:t>9</w:t>
      </w:r>
      <w:r w:rsidR="00203F72" w:rsidRPr="00943369">
        <w:rPr>
          <w:rFonts w:hint="eastAsia"/>
        </w:rPr>
        <w:t>款；同條第</w:t>
      </w:r>
      <w:r w:rsidR="00203F72" w:rsidRPr="00943369">
        <w:rPr>
          <w:rFonts w:hint="eastAsia"/>
        </w:rPr>
        <w:t>2</w:t>
      </w:r>
      <w:r w:rsidR="00203F72" w:rsidRPr="00943369">
        <w:rPr>
          <w:rFonts w:hint="eastAsia"/>
        </w:rPr>
        <w:t>項，則共有</w:t>
      </w:r>
      <w:r w:rsidR="00203F72" w:rsidRPr="00943369">
        <w:rPr>
          <w:rFonts w:hint="eastAsia"/>
        </w:rPr>
        <w:t>8</w:t>
      </w:r>
      <w:r w:rsidR="00203F72" w:rsidRPr="00943369">
        <w:rPr>
          <w:rFonts w:hint="eastAsia"/>
        </w:rPr>
        <w:t>款，此</w:t>
      </w:r>
      <w:r w:rsidR="00203F72" w:rsidRPr="00943369">
        <w:rPr>
          <w:rFonts w:hint="eastAsia"/>
        </w:rPr>
        <w:t>2</w:t>
      </w:r>
      <w:r w:rsidR="00203F72" w:rsidRPr="00943369">
        <w:rPr>
          <w:rFonts w:hint="eastAsia"/>
        </w:rPr>
        <w:t>項明文規範外國人權利之種類，主要之內容，如下所述：</w:t>
      </w:r>
    </w:p>
    <w:p w14:paraId="074EE9DF"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項之內容，係規定於瑞典境內之外國人（</w:t>
      </w:r>
      <w:r w:rsidR="00203F72" w:rsidRPr="00943369">
        <w:rPr>
          <w:rFonts w:hint="eastAsia"/>
        </w:rPr>
        <w:t>A foreigner within the Realm</w:t>
      </w:r>
      <w:r w:rsidR="00203F72" w:rsidRPr="00943369">
        <w:rPr>
          <w:rFonts w:hint="eastAsia"/>
        </w:rPr>
        <w:t>），其與瑞典公民（</w:t>
      </w:r>
      <w:r w:rsidR="00203F72" w:rsidRPr="00943369">
        <w:rPr>
          <w:rFonts w:hint="eastAsia"/>
        </w:rPr>
        <w:t>a Swedish Citizen</w:t>
      </w:r>
      <w:r w:rsidR="00203F72" w:rsidRPr="00943369">
        <w:t>）</w:t>
      </w:r>
      <w:r w:rsidR="00203F72" w:rsidRPr="00943369">
        <w:rPr>
          <w:rFonts w:hint="eastAsia"/>
        </w:rPr>
        <w:t>同樣地所享有之平等權之範疇；亦即，於第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1</w:t>
      </w:r>
      <w:r w:rsidR="00203F72" w:rsidRPr="00943369">
        <w:rPr>
          <w:rFonts w:hint="eastAsia"/>
        </w:rPr>
        <w:t>款至第</w:t>
      </w:r>
      <w:r w:rsidR="00203F72" w:rsidRPr="00943369">
        <w:rPr>
          <w:rFonts w:hint="eastAsia"/>
        </w:rPr>
        <w:t>9</w:t>
      </w:r>
      <w:r w:rsidR="00203F72" w:rsidRPr="00943369">
        <w:rPr>
          <w:rFonts w:hint="eastAsia"/>
        </w:rPr>
        <w:t>款之領域，外國人與瑞典公民享有平等之權利（</w:t>
      </w:r>
      <w:r w:rsidR="00203F72" w:rsidRPr="00943369">
        <w:rPr>
          <w:rFonts w:hint="eastAsia"/>
        </w:rPr>
        <w:t>shall be equated with a Swedish Citizen</w:t>
      </w:r>
      <w:r w:rsidR="00203F72" w:rsidRPr="00943369">
        <w:rPr>
          <w:rFonts w:hint="eastAsia"/>
        </w:rPr>
        <w:t>）；這是憲法上之要求與誡命。</w:t>
      </w:r>
    </w:p>
    <w:p w14:paraId="796EBA7E"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1</w:t>
      </w:r>
      <w:r w:rsidR="00203F72" w:rsidRPr="00943369">
        <w:rPr>
          <w:rFonts w:hint="eastAsia"/>
        </w:rPr>
        <w:t>款之內容，乃規定瑞典政府有憲法上之義務，應努力防止外國人被強迫參與（加）任何之集會，而該集會係要表達某項之意見；亦要防止外國人被強迫參與任何之示威遊行或其他表達之活動（</w:t>
      </w:r>
      <w:r w:rsidR="00203F72" w:rsidRPr="00943369">
        <w:rPr>
          <w:rFonts w:hint="eastAsia"/>
        </w:rPr>
        <w:t>other expression of opinion</w:t>
      </w:r>
      <w:r w:rsidR="00203F72" w:rsidRPr="00943369">
        <w:rPr>
          <w:rFonts w:hint="eastAsia"/>
        </w:rPr>
        <w:t>）；亦要防止外國人被強迫參與任何之宗教集會或集會（</w:t>
      </w:r>
      <w:r w:rsidR="00203F72" w:rsidRPr="00943369">
        <w:rPr>
          <w:rFonts w:hint="eastAsia"/>
        </w:rPr>
        <w:t>any religions congregation or other association</w:t>
      </w:r>
      <w:r w:rsidR="00203F72" w:rsidRPr="00943369">
        <w:rPr>
          <w:rFonts w:hint="eastAsia"/>
        </w:rPr>
        <w:t>）。</w:t>
      </w:r>
    </w:p>
    <w:p w14:paraId="27F5739A"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2</w:t>
      </w:r>
      <w:r w:rsidR="00203F72" w:rsidRPr="00943369">
        <w:rPr>
          <w:rFonts w:hint="eastAsia"/>
        </w:rPr>
        <w:t>款之內容，乃在規定外國人在涉及電子資料處理（</w:t>
      </w:r>
      <w:r w:rsidR="00203F72" w:rsidRPr="00943369">
        <w:rPr>
          <w:rFonts w:hint="eastAsia"/>
        </w:rPr>
        <w:t>electronic data processing</w:t>
      </w:r>
      <w:r w:rsidR="00203F72" w:rsidRPr="00943369">
        <w:rPr>
          <w:rFonts w:hint="eastAsia"/>
        </w:rPr>
        <w:t>）之區塊，亦即，在資訊權之領域，外國人享有「人格完整性」（</w:t>
      </w:r>
      <w:r w:rsidR="00203F72" w:rsidRPr="00943369">
        <w:rPr>
          <w:rFonts w:hint="eastAsia"/>
        </w:rPr>
        <w:t>personal integrity</w:t>
      </w:r>
      <w:r w:rsidR="00203F72" w:rsidRPr="00943369">
        <w:rPr>
          <w:rFonts w:hint="eastAsia"/>
        </w:rPr>
        <w:t>）；亦即，在瑞典，外國人享有資訊權之人格完整性。透由憲法之命令，外國人享有資訊權。</w:t>
      </w:r>
    </w:p>
    <w:p w14:paraId="0E60B04B"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3</w:t>
      </w:r>
      <w:r w:rsidR="00203F72" w:rsidRPr="00943369">
        <w:rPr>
          <w:rFonts w:hint="eastAsia"/>
        </w:rPr>
        <w:t>款：本款規定，對於外國人，不得執行死刑（</w:t>
      </w:r>
      <w:r w:rsidR="00203F72" w:rsidRPr="00943369">
        <w:rPr>
          <w:rFonts w:hint="eastAsia"/>
        </w:rPr>
        <w:t>capital punishment</w:t>
      </w:r>
      <w:r w:rsidR="00203F72" w:rsidRPr="00943369">
        <w:rPr>
          <w:rFonts w:hint="eastAsia"/>
        </w:rPr>
        <w:t>），不得體罰（</w:t>
      </w:r>
      <w:r w:rsidR="00203F72" w:rsidRPr="00943369">
        <w:rPr>
          <w:rFonts w:hint="eastAsia"/>
        </w:rPr>
        <w:t>corporal punishment</w:t>
      </w:r>
      <w:r w:rsidR="00203F72" w:rsidRPr="00943369">
        <w:rPr>
          <w:rFonts w:hint="eastAsia"/>
        </w:rPr>
        <w:t>）、不得施加酷刑（</w:t>
      </w:r>
      <w:r w:rsidR="00203F72" w:rsidRPr="00943369">
        <w:rPr>
          <w:rFonts w:hint="eastAsia"/>
        </w:rPr>
        <w:t>torture</w:t>
      </w:r>
      <w:r w:rsidR="00203F72" w:rsidRPr="00943369">
        <w:rPr>
          <w:rFonts w:hint="eastAsia"/>
        </w:rPr>
        <w:t>），亦不得基於強制或預防醫學之需求，而對外國人進行醫療處遇（干預）（</w:t>
      </w:r>
      <w:r w:rsidR="00203F72" w:rsidRPr="00943369">
        <w:rPr>
          <w:rFonts w:hint="eastAsia"/>
        </w:rPr>
        <w:t xml:space="preserve">protection against medical intervention aimed at extorting or </w:t>
      </w:r>
      <w:r w:rsidR="00203F72" w:rsidRPr="00943369">
        <w:t>preventing</w:t>
      </w:r>
      <w:r w:rsidR="00203F72" w:rsidRPr="00943369">
        <w:rPr>
          <w:rFonts w:hint="eastAsia"/>
        </w:rPr>
        <w:t xml:space="preserve"> statements</w:t>
      </w:r>
      <w:r w:rsidR="00203F72" w:rsidRPr="00943369">
        <w:rPr>
          <w:rFonts w:hint="eastAsia"/>
        </w:rPr>
        <w:t>）。在瑞典，透由憲法上之誡命，外國人享有生命權、生存權、身體不受傷害權與醫療處遇自主決定權。</w:t>
      </w:r>
    </w:p>
    <w:p w14:paraId="2E57DC74"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4</w:t>
      </w:r>
      <w:r w:rsidR="00203F72" w:rsidRPr="00943369">
        <w:rPr>
          <w:rFonts w:hint="eastAsia"/>
        </w:rPr>
        <w:t>款：對於外國人，假若係基於其業已觸犯某種犯行（</w:t>
      </w:r>
      <w:r w:rsidR="00203F72" w:rsidRPr="00943369">
        <w:rPr>
          <w:rFonts w:hint="eastAsia"/>
        </w:rPr>
        <w:t>on account of a criminal offence</w:t>
      </w:r>
      <w:r w:rsidR="00203F72" w:rsidRPr="00943369">
        <w:rPr>
          <w:rFonts w:hint="eastAsia"/>
        </w:rPr>
        <w:t>），或者，基於外國人涉嫌觸犯某種犯行之虞（</w:t>
      </w:r>
      <w:r w:rsidR="00203F72" w:rsidRPr="00943369">
        <w:rPr>
          <w:rFonts w:hint="eastAsia"/>
        </w:rPr>
        <w:t>on grounds of suspicion of having committed such an offence</w:t>
      </w:r>
      <w:r w:rsidR="00203F72" w:rsidRPr="00943369">
        <w:rPr>
          <w:rFonts w:hint="eastAsia"/>
        </w:rPr>
        <w:t>）之理由與原因，而剝奪外國人之人身自由，此時，外國人享有接受法院審理之權利，亦即，外國人擁有受審權（</w:t>
      </w:r>
      <w:r w:rsidR="00203F72" w:rsidRPr="00943369">
        <w:rPr>
          <w:rFonts w:hint="eastAsia"/>
        </w:rPr>
        <w:t>tested before a court of law</w:t>
      </w:r>
      <w:r w:rsidR="00203F72" w:rsidRPr="00943369">
        <w:rPr>
          <w:rFonts w:hint="eastAsia"/>
        </w:rPr>
        <w:t>）。</w:t>
      </w:r>
    </w:p>
    <w:p w14:paraId="7BB1123F"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5</w:t>
      </w:r>
      <w:r w:rsidR="00203F72" w:rsidRPr="00943369">
        <w:rPr>
          <w:rFonts w:hint="eastAsia"/>
        </w:rPr>
        <w:t>款：對外國人之刑事處罰（</w:t>
      </w:r>
      <w:r w:rsidR="00203F72" w:rsidRPr="00943369">
        <w:rPr>
          <w:rFonts w:hint="eastAsia"/>
        </w:rPr>
        <w:t>penal sanctions</w:t>
      </w:r>
      <w:r w:rsidR="00203F72" w:rsidRPr="00943369">
        <w:rPr>
          <w:rFonts w:hint="eastAsia"/>
        </w:rPr>
        <w:t>）、犯行之法律效果（</w:t>
      </w:r>
      <w:r w:rsidR="00203F72" w:rsidRPr="00943369">
        <w:rPr>
          <w:rFonts w:hint="eastAsia"/>
        </w:rPr>
        <w:t xml:space="preserve">effects of </w:t>
      </w:r>
      <w:r w:rsidR="00203F72" w:rsidRPr="00943369">
        <w:t>criminal</w:t>
      </w:r>
      <w:r w:rsidR="00203F72" w:rsidRPr="00943369">
        <w:rPr>
          <w:rFonts w:hint="eastAsia"/>
        </w:rPr>
        <w:t xml:space="preserve"> acts</w:t>
      </w:r>
      <w:r w:rsidR="00203F72" w:rsidRPr="00943369">
        <w:rPr>
          <w:rFonts w:hint="eastAsia"/>
        </w:rPr>
        <w:t>）、稅收、與費用（</w:t>
      </w:r>
      <w:r w:rsidR="00203F72" w:rsidRPr="00943369">
        <w:rPr>
          <w:rFonts w:hint="eastAsia"/>
        </w:rPr>
        <w:t>fees</w:t>
      </w:r>
      <w:r w:rsidR="00203F72" w:rsidRPr="00943369">
        <w:rPr>
          <w:rFonts w:hint="eastAsia"/>
        </w:rPr>
        <w:t>），禁止使用溯及既往（</w:t>
      </w:r>
      <w:r w:rsidR="00203F72" w:rsidRPr="00943369">
        <w:rPr>
          <w:rFonts w:hint="eastAsia"/>
        </w:rPr>
        <w:t>retroactive</w:t>
      </w:r>
      <w:r w:rsidR="00203F72" w:rsidRPr="00943369">
        <w:rPr>
          <w:rFonts w:hint="eastAsia"/>
        </w:rPr>
        <w:t>）之方式執行之。以刑罰為例，禁止溯及既往。</w:t>
      </w:r>
    </w:p>
    <w:p w14:paraId="5315FF5C"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6</w:t>
      </w:r>
      <w:r w:rsidR="00203F72" w:rsidRPr="00943369">
        <w:rPr>
          <w:rFonts w:hint="eastAsia"/>
        </w:rPr>
        <w:t>款：對於外國人，禁止設置特種之法庭，審訊特殊之案件（</w:t>
      </w:r>
      <w:r w:rsidR="00203F72" w:rsidRPr="00943369">
        <w:rPr>
          <w:rFonts w:hint="eastAsia"/>
        </w:rPr>
        <w:t>protection against the establishment of a court to try a particular case</w:t>
      </w:r>
      <w:r w:rsidR="00203F72" w:rsidRPr="00943369">
        <w:rPr>
          <w:rFonts w:hint="eastAsia"/>
        </w:rPr>
        <w:t>）。</w:t>
      </w:r>
    </w:p>
    <w:p w14:paraId="0DF24BA9"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7</w:t>
      </w:r>
      <w:r w:rsidR="00203F72" w:rsidRPr="00943369">
        <w:rPr>
          <w:rFonts w:hint="eastAsia"/>
        </w:rPr>
        <w:t>款：本款規定，對於外國人而言，不得因其特殊之種族、膚色（</w:t>
      </w:r>
      <w:r w:rsidR="00203F72" w:rsidRPr="00943369">
        <w:rPr>
          <w:rFonts w:hint="eastAsia"/>
        </w:rPr>
        <w:t>skin color</w:t>
      </w:r>
      <w:r w:rsidR="00203F72" w:rsidRPr="00943369">
        <w:rPr>
          <w:rFonts w:hint="eastAsia"/>
        </w:rPr>
        <w:t>）、人種（</w:t>
      </w:r>
      <w:r w:rsidR="00203F72" w:rsidRPr="00943369">
        <w:rPr>
          <w:rFonts w:hint="eastAsia"/>
        </w:rPr>
        <w:t>ethnic origin</w:t>
      </w:r>
      <w:r w:rsidR="00203F72" w:rsidRPr="00943369">
        <w:rPr>
          <w:rFonts w:hint="eastAsia"/>
        </w:rPr>
        <w:t>）或性別，而加以歧</w:t>
      </w:r>
      <w:r w:rsidR="003E240E">
        <w:rPr>
          <w:rFonts w:hint="eastAsia"/>
        </w:rPr>
        <w:t>視</w:t>
      </w:r>
      <w:r w:rsidR="00203F72" w:rsidRPr="00943369">
        <w:rPr>
          <w:rFonts w:hint="eastAsia"/>
        </w:rPr>
        <w:t>。亦即，外國人亦享有平等權。</w:t>
      </w:r>
    </w:p>
    <w:p w14:paraId="234D40B4"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8</w:t>
      </w:r>
      <w:r w:rsidR="00203F72" w:rsidRPr="00943369">
        <w:rPr>
          <w:rFonts w:hint="eastAsia"/>
        </w:rPr>
        <w:t>款：外國人享有罷工權（</w:t>
      </w:r>
      <w:r w:rsidR="00203F72" w:rsidRPr="00943369">
        <w:rPr>
          <w:rFonts w:hint="eastAsia"/>
        </w:rPr>
        <w:t>take strike</w:t>
      </w:r>
      <w:r w:rsidR="00203F72" w:rsidRPr="00943369">
        <w:rPr>
          <w:rFonts w:hint="eastAsia"/>
        </w:rPr>
        <w:t>）；外國籍之雇主，亦享有停工權利（</w:t>
      </w:r>
      <w:r w:rsidR="00203F72" w:rsidRPr="00943369">
        <w:rPr>
          <w:rFonts w:hint="eastAsia"/>
        </w:rPr>
        <w:t>lock-out action</w:t>
      </w:r>
      <w:r w:rsidR="00203F72" w:rsidRPr="00943369">
        <w:rPr>
          <w:rFonts w:hint="eastAsia"/>
        </w:rPr>
        <w:t>）。亦即，外國人仍享有罷工與停工權。</w:t>
      </w:r>
    </w:p>
    <w:p w14:paraId="65B7F69B"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9</w:t>
      </w:r>
      <w:r w:rsidR="00203F72" w:rsidRPr="00943369">
        <w:rPr>
          <w:rFonts w:hint="eastAsia"/>
        </w:rPr>
        <w:t>款：外國人之財產如被徵收（用）或其他類似於徵收（用）之處置（</w:t>
      </w:r>
      <w:r w:rsidR="00203F72" w:rsidRPr="00943369">
        <w:rPr>
          <w:rFonts w:hint="eastAsia"/>
        </w:rPr>
        <w:t>in cases of expropriation or other such disposition</w:t>
      </w:r>
      <w:r w:rsidR="00203F72" w:rsidRPr="00943369">
        <w:rPr>
          <w:rFonts w:hint="eastAsia"/>
        </w:rPr>
        <w:t>），其享有補償權（</w:t>
      </w:r>
      <w:r w:rsidR="00203F72" w:rsidRPr="00943369">
        <w:rPr>
          <w:rFonts w:hint="eastAsia"/>
        </w:rPr>
        <w:t>the right to compensation</w:t>
      </w:r>
      <w:r w:rsidR="00203F72" w:rsidRPr="00943369">
        <w:rPr>
          <w:rFonts w:hint="eastAsia"/>
        </w:rPr>
        <w:t>）。</w:t>
      </w:r>
    </w:p>
    <w:p w14:paraId="5D7C8182"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項：本項規定，除非法律另有特殊之規定（</w:t>
      </w:r>
      <w:r w:rsidR="00203F72" w:rsidRPr="00943369">
        <w:rPr>
          <w:rFonts w:hint="eastAsia"/>
        </w:rPr>
        <w:t>Unless otherwise provided by special rules of law</w:t>
      </w:r>
      <w:r w:rsidR="00203F72" w:rsidRPr="00943369">
        <w:rPr>
          <w:rFonts w:hint="eastAsia"/>
        </w:rPr>
        <w:t>），外國人在第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1</w:t>
      </w:r>
      <w:r w:rsidR="00203F72" w:rsidRPr="00943369">
        <w:rPr>
          <w:rFonts w:hint="eastAsia"/>
        </w:rPr>
        <w:t>款至第</w:t>
      </w:r>
      <w:r w:rsidR="00203F72" w:rsidRPr="00943369">
        <w:rPr>
          <w:rFonts w:hint="eastAsia"/>
        </w:rPr>
        <w:t>8</w:t>
      </w:r>
      <w:r w:rsidR="00203F72" w:rsidRPr="00943369">
        <w:rPr>
          <w:rFonts w:hint="eastAsia"/>
        </w:rPr>
        <w:t>款之領域之中，與瑞典公民享有一致性之平等權利（</w:t>
      </w:r>
      <w:r w:rsidR="00203F72" w:rsidRPr="00943369">
        <w:rPr>
          <w:rFonts w:hint="eastAsia"/>
        </w:rPr>
        <w:t>a foreigner within the Realm shall be equated with a Swedish citizen</w:t>
      </w:r>
      <w:r w:rsidR="00203F72" w:rsidRPr="00943369">
        <w:rPr>
          <w:rFonts w:hint="eastAsia"/>
        </w:rPr>
        <w:t>）。</w:t>
      </w:r>
    </w:p>
    <w:p w14:paraId="0C8132F8"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1</w:t>
      </w:r>
      <w:r w:rsidR="00203F72" w:rsidRPr="00943369">
        <w:rPr>
          <w:rFonts w:hint="eastAsia"/>
        </w:rPr>
        <w:t>款：外國人享有（言論）表達自由（</w:t>
      </w:r>
      <w:r w:rsidR="00203F72" w:rsidRPr="00943369">
        <w:rPr>
          <w:rFonts w:hint="eastAsia"/>
        </w:rPr>
        <w:t>freedom of expression</w:t>
      </w:r>
      <w:r w:rsidR="00203F72" w:rsidRPr="00943369">
        <w:rPr>
          <w:rFonts w:hint="eastAsia"/>
        </w:rPr>
        <w:t>）；資訊自由權（</w:t>
      </w:r>
      <w:r w:rsidR="00203F72" w:rsidRPr="00943369">
        <w:rPr>
          <w:rFonts w:hint="eastAsia"/>
        </w:rPr>
        <w:t>freedom of information</w:t>
      </w:r>
      <w:r w:rsidR="00203F72" w:rsidRPr="00943369">
        <w:rPr>
          <w:rFonts w:hint="eastAsia"/>
        </w:rPr>
        <w:t>）；集會自由權（</w:t>
      </w:r>
      <w:r w:rsidR="00203F72" w:rsidRPr="00943369">
        <w:rPr>
          <w:rFonts w:hint="eastAsia"/>
        </w:rPr>
        <w:t>freedom of assembly</w:t>
      </w:r>
      <w:r w:rsidR="00203F72" w:rsidRPr="00943369">
        <w:rPr>
          <w:rFonts w:hint="eastAsia"/>
        </w:rPr>
        <w:t>）；參與遊行自由權（</w:t>
      </w:r>
      <w:r w:rsidR="00203F72" w:rsidRPr="00943369">
        <w:rPr>
          <w:rFonts w:hint="eastAsia"/>
        </w:rPr>
        <w:t>freedom to demonstrate</w:t>
      </w:r>
      <w:r w:rsidR="00203F72" w:rsidRPr="00943369">
        <w:rPr>
          <w:rFonts w:hint="eastAsia"/>
        </w:rPr>
        <w:t>）；結社自由權（</w:t>
      </w:r>
      <w:r w:rsidR="00203F72" w:rsidRPr="00943369">
        <w:rPr>
          <w:rFonts w:hint="eastAsia"/>
        </w:rPr>
        <w:t>freedom of association</w:t>
      </w:r>
      <w:r w:rsidR="00203F72" w:rsidRPr="00943369">
        <w:rPr>
          <w:rFonts w:hint="eastAsia"/>
        </w:rPr>
        <w:t>）；與宗教信仰自由權（</w:t>
      </w:r>
      <w:r w:rsidR="00203F72" w:rsidRPr="00943369">
        <w:rPr>
          <w:rFonts w:hint="eastAsia"/>
        </w:rPr>
        <w:t>freedom of nor ship</w:t>
      </w:r>
      <w:r w:rsidR="00203F72" w:rsidRPr="00943369">
        <w:rPr>
          <w:rFonts w:hint="eastAsia"/>
        </w:rPr>
        <w:t>）。</w:t>
      </w:r>
    </w:p>
    <w:p w14:paraId="538D064B"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2</w:t>
      </w:r>
      <w:r w:rsidR="00203F72" w:rsidRPr="00943369">
        <w:rPr>
          <w:rFonts w:hint="eastAsia"/>
        </w:rPr>
        <w:t>款：禁止所有強迫外國人發表（表達）特定之意見（看法）（</w:t>
      </w:r>
      <w:r w:rsidR="00203F72" w:rsidRPr="00943369">
        <w:rPr>
          <w:rFonts w:hint="eastAsia"/>
        </w:rPr>
        <w:t>protection against all coercion to divulge an opinion</w:t>
      </w:r>
      <w:r w:rsidR="00203F72" w:rsidRPr="00943369">
        <w:rPr>
          <w:rFonts w:hint="eastAsia"/>
        </w:rPr>
        <w:t>）。</w:t>
      </w:r>
    </w:p>
    <w:p w14:paraId="64375FE8"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3</w:t>
      </w:r>
      <w:r w:rsidR="00203F72" w:rsidRPr="00943369">
        <w:rPr>
          <w:rFonts w:hint="eastAsia"/>
        </w:rPr>
        <w:t>款：對於外國人之身體權，禁止加以侵犯（</w:t>
      </w:r>
      <w:r w:rsidR="00203F72" w:rsidRPr="00943369">
        <w:rPr>
          <w:rFonts w:hint="eastAsia"/>
        </w:rPr>
        <w:t>physical violation</w:t>
      </w:r>
      <w:r w:rsidR="00203F72" w:rsidRPr="00943369">
        <w:rPr>
          <w:rFonts w:hint="eastAsia"/>
        </w:rPr>
        <w:t>）；外國人享有免於物理搜索權（</w:t>
      </w:r>
      <w:r w:rsidR="00203F72" w:rsidRPr="00943369">
        <w:rPr>
          <w:rFonts w:hint="eastAsia"/>
        </w:rPr>
        <w:t>against physical search</w:t>
      </w:r>
      <w:r w:rsidR="00203F72" w:rsidRPr="00943369">
        <w:rPr>
          <w:rFonts w:hint="eastAsia"/>
        </w:rPr>
        <w:t>）；外國人亦享有免於住宅搜索權（</w:t>
      </w:r>
      <w:r w:rsidR="00203F72" w:rsidRPr="00943369">
        <w:rPr>
          <w:rFonts w:hint="eastAsia"/>
        </w:rPr>
        <w:t xml:space="preserve">against </w:t>
      </w:r>
      <w:r w:rsidR="00203F72" w:rsidRPr="00943369">
        <w:t>hones</w:t>
      </w:r>
      <w:r w:rsidR="00203F72" w:rsidRPr="00943369">
        <w:rPr>
          <w:rFonts w:hint="eastAsia"/>
        </w:rPr>
        <w:t xml:space="preserve"> searches</w:t>
      </w:r>
      <w:r w:rsidR="00203F72" w:rsidRPr="00943369">
        <w:rPr>
          <w:rFonts w:hint="eastAsia"/>
        </w:rPr>
        <w:t>）；外國人享有免於其他相類似於入侵行為之權利（</w:t>
      </w:r>
      <w:r w:rsidR="00203F72" w:rsidRPr="00943369">
        <w:rPr>
          <w:rFonts w:hint="eastAsia"/>
        </w:rPr>
        <w:t>against other similar intrusions</w:t>
      </w:r>
      <w:r w:rsidR="00203F72" w:rsidRPr="00943369">
        <w:rPr>
          <w:rFonts w:hint="eastAsia"/>
        </w:rPr>
        <w:t>）；外國人亦享有秘密通訊之權利（</w:t>
      </w:r>
      <w:r w:rsidR="00203F72" w:rsidRPr="00943369">
        <w:rPr>
          <w:rFonts w:hint="eastAsia"/>
        </w:rPr>
        <w:t>against violations of confidential communications</w:t>
      </w:r>
      <w:r w:rsidR="00203F72" w:rsidRPr="00943369">
        <w:rPr>
          <w:rFonts w:hint="eastAsia"/>
        </w:rPr>
        <w:t>）。</w:t>
      </w:r>
    </w:p>
    <w:p w14:paraId="3B67405E"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4</w:t>
      </w:r>
      <w:r w:rsidR="00203F72" w:rsidRPr="00943369">
        <w:rPr>
          <w:rFonts w:hint="eastAsia"/>
        </w:rPr>
        <w:t>款：外國人享有人身自由權（</w:t>
      </w:r>
      <w:r w:rsidR="00203F72" w:rsidRPr="00943369">
        <w:rPr>
          <w:rFonts w:hint="eastAsia"/>
        </w:rPr>
        <w:t xml:space="preserve">protection </w:t>
      </w:r>
      <w:r w:rsidR="00203F72" w:rsidRPr="00943369">
        <w:t>against</w:t>
      </w:r>
      <w:r w:rsidR="00203F72" w:rsidRPr="00943369">
        <w:rPr>
          <w:rFonts w:hint="eastAsia"/>
        </w:rPr>
        <w:t xml:space="preserve"> deprivation of liberty</w:t>
      </w:r>
      <w:r w:rsidR="00203F72" w:rsidRPr="00943369">
        <w:rPr>
          <w:rFonts w:hint="eastAsia"/>
        </w:rPr>
        <w:t>）。在台灣，根據司法院釋字</w:t>
      </w:r>
      <w:hyperlink r:id="rId2716" w:anchor="r708" w:history="1">
        <w:r w:rsidR="00943369" w:rsidRPr="00943369">
          <w:rPr>
            <w:rStyle w:val="a5"/>
          </w:rPr>
          <w:t>第708號</w:t>
        </w:r>
      </w:hyperlink>
      <w:r w:rsidR="00203F72" w:rsidRPr="00943369">
        <w:rPr>
          <w:rFonts w:hint="eastAsia"/>
        </w:rPr>
        <w:t>解釋文與釋字</w:t>
      </w:r>
      <w:hyperlink r:id="rId2717" w:anchor="r710" w:history="1">
        <w:r w:rsidR="00203F72" w:rsidRPr="00943369">
          <w:rPr>
            <w:rStyle w:val="a5"/>
            <w:rFonts w:hint="eastAsia"/>
          </w:rPr>
          <w:t>第710號</w:t>
        </w:r>
      </w:hyperlink>
      <w:r w:rsidR="00203F72" w:rsidRPr="00943369">
        <w:rPr>
          <w:rFonts w:hint="eastAsia"/>
        </w:rPr>
        <w:t>解釋文之意旨，外來人口之人身自由，不等同於我國公民之人身自由；但是，在瑞典，憲法誡命要求，外國人之人身自由，等同於瑞典公民之人身自由。可知，我國在保護外來人口之人身自由之部分，仍待多加精進與努力。</w:t>
      </w:r>
    </w:p>
    <w:p w14:paraId="031D1E02"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5</w:t>
      </w:r>
      <w:r w:rsidR="00203F72" w:rsidRPr="00943369">
        <w:rPr>
          <w:rFonts w:hint="eastAsia"/>
        </w:rPr>
        <w:t>款：對於外國人，假若係基於其業已違反非刑事類犯行（</w:t>
      </w:r>
      <w:r w:rsidR="00203F72" w:rsidRPr="00943369">
        <w:rPr>
          <w:rFonts w:hint="eastAsia"/>
        </w:rPr>
        <w:t>other than a criminal offence</w:t>
      </w:r>
      <w:r w:rsidR="00203F72" w:rsidRPr="00943369">
        <w:rPr>
          <w:rFonts w:hint="eastAsia"/>
        </w:rPr>
        <w:t>）之違法行為，或者，基於外國人涉嫌違反非刑事類犯行之違法行為之虞（</w:t>
      </w:r>
      <w:r w:rsidR="00203F72" w:rsidRPr="00943369">
        <w:rPr>
          <w:rFonts w:hint="eastAsia"/>
        </w:rPr>
        <w:t>suspicion of having committed such an offence</w:t>
      </w:r>
      <w:r w:rsidR="00203F72" w:rsidRPr="00943369">
        <w:rPr>
          <w:rFonts w:hint="eastAsia"/>
        </w:rPr>
        <w:t>），而剝奪外國人人身自由之時，外國人享有接受法院審理之權利（</w:t>
      </w:r>
      <w:r w:rsidR="00203F72" w:rsidRPr="00943369">
        <w:rPr>
          <w:rFonts w:hint="eastAsia"/>
        </w:rPr>
        <w:t>the right to have tested before a court</w:t>
      </w:r>
      <w:r w:rsidR="00203F72" w:rsidRPr="00943369">
        <w:rPr>
          <w:rFonts w:hint="eastAsia"/>
        </w:rPr>
        <w:t>）。換言之，假若對於外國人進行非刑事類之收容或留置，仍須適用「法官保留原則」。</w:t>
      </w:r>
    </w:p>
    <w:p w14:paraId="0F14EDA0"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6</w:t>
      </w:r>
      <w:r w:rsidR="00203F72" w:rsidRPr="00943369">
        <w:rPr>
          <w:rFonts w:hint="eastAsia"/>
        </w:rPr>
        <w:t>款：法院於審理外國人案件之程序時，適用「公開」原則（</w:t>
      </w:r>
      <w:r w:rsidR="00203F72" w:rsidRPr="00943369">
        <w:rPr>
          <w:rFonts w:hint="eastAsia"/>
        </w:rPr>
        <w:t>public court proceedings</w:t>
      </w:r>
      <w:r w:rsidR="00203F72" w:rsidRPr="00943369">
        <w:rPr>
          <w:rFonts w:hint="eastAsia"/>
        </w:rPr>
        <w:t>）。</w:t>
      </w:r>
    </w:p>
    <w:p w14:paraId="30ECBDC3"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7</w:t>
      </w:r>
      <w:r w:rsidR="00203F72" w:rsidRPr="00943369">
        <w:rPr>
          <w:rFonts w:hint="eastAsia"/>
        </w:rPr>
        <w:t>款：外國人享有其意見不受侵犯之自由權利（</w:t>
      </w:r>
      <w:r w:rsidR="00203F72" w:rsidRPr="00943369">
        <w:rPr>
          <w:rFonts w:hint="eastAsia"/>
        </w:rPr>
        <w:t>protection against violations on grounds of opinion</w:t>
      </w:r>
      <w:r w:rsidR="00203F72" w:rsidRPr="00943369">
        <w:rPr>
          <w:rFonts w:hint="eastAsia"/>
        </w:rPr>
        <w:t>）。</w:t>
      </w:r>
    </w:p>
    <w:p w14:paraId="0538B9E2" w14:textId="77777777"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8</w:t>
      </w:r>
      <w:r w:rsidR="00203F72" w:rsidRPr="00943369">
        <w:rPr>
          <w:rFonts w:hint="eastAsia"/>
        </w:rPr>
        <w:t>款：作家（</w:t>
      </w:r>
      <w:r w:rsidR="00203F72" w:rsidRPr="00943369">
        <w:rPr>
          <w:rFonts w:hint="eastAsia"/>
        </w:rPr>
        <w:t>authors</w:t>
      </w:r>
      <w:r w:rsidR="00203F72" w:rsidRPr="00943369">
        <w:rPr>
          <w:rFonts w:hint="eastAsia"/>
        </w:rPr>
        <w:t>）、藝術家與攝影師（</w:t>
      </w:r>
      <w:r w:rsidR="00203F72" w:rsidRPr="00943369">
        <w:rPr>
          <w:rFonts w:hint="eastAsia"/>
        </w:rPr>
        <w:t>photographers</w:t>
      </w:r>
      <w:r w:rsidR="00203F72" w:rsidRPr="00943369">
        <w:rPr>
          <w:rFonts w:hint="eastAsia"/>
        </w:rPr>
        <w:t>），針對於其作品，享有著作權（</w:t>
      </w:r>
      <w:r w:rsidR="00203F72" w:rsidRPr="00943369">
        <w:rPr>
          <w:rFonts w:hint="eastAsia"/>
        </w:rPr>
        <w:t>the rights to their works</w:t>
      </w:r>
      <w:r w:rsidR="00203F72" w:rsidRPr="00943369">
        <w:rPr>
          <w:rFonts w:hint="eastAsia"/>
        </w:rPr>
        <w:t>）。</w:t>
      </w:r>
    </w:p>
    <w:p w14:paraId="6C3FD6FC" w14:textId="77777777" w:rsidR="00953151" w:rsidRPr="00943369" w:rsidRDefault="005E23E3" w:rsidP="00D87D91">
      <w:r w:rsidRPr="00943369">
        <w:rPr>
          <w:rFonts w:hint="eastAsia"/>
        </w:rPr>
        <w:t xml:space="preserve">　　</w:t>
      </w:r>
      <w:r w:rsidR="00203F72" w:rsidRPr="00943369">
        <w:rPr>
          <w:rFonts w:hint="eastAsia"/>
        </w:rPr>
        <w:t>在西方較先進與文明之民主國家之中</w:t>
      </w:r>
      <w:r w:rsidR="00203F72" w:rsidRPr="00943369">
        <w:rPr>
          <w:rFonts w:hint="eastAsia"/>
        </w:rPr>
        <w:t xml:space="preserve"> </w:t>
      </w:r>
      <w:r w:rsidR="00203F72" w:rsidRPr="00943369">
        <w:rPr>
          <w:rFonts w:hint="eastAsia"/>
        </w:rPr>
        <w:t>，愈來愈重</w:t>
      </w:r>
      <w:r w:rsidR="003E240E">
        <w:rPr>
          <w:rFonts w:hint="eastAsia"/>
        </w:rPr>
        <w:t>視</w:t>
      </w:r>
      <w:r w:rsidR="00203F72" w:rsidRPr="00943369">
        <w:rPr>
          <w:rFonts w:hint="eastAsia"/>
        </w:rPr>
        <w:t>人民之「遊行」。本書茲以瑞典憲法為例，在瑞典憲法第</w:t>
      </w:r>
      <w:r w:rsidR="00203F72" w:rsidRPr="00943369">
        <w:rPr>
          <w:rFonts w:hint="eastAsia"/>
        </w:rPr>
        <w:t>2</w:t>
      </w:r>
      <w:r w:rsidR="00203F72" w:rsidRPr="00943369">
        <w:rPr>
          <w:rFonts w:hint="eastAsia"/>
        </w:rPr>
        <w:t>章「人民基本權利暨自由」第</w:t>
      </w:r>
      <w:r w:rsidR="00203F72" w:rsidRPr="00943369">
        <w:rPr>
          <w:rFonts w:hint="eastAsia"/>
        </w:rPr>
        <w:t>1</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4</w:t>
      </w:r>
      <w:r w:rsidR="00203F72" w:rsidRPr="00943369">
        <w:rPr>
          <w:rFonts w:hint="eastAsia"/>
        </w:rPr>
        <w:t>款之中，明文賦予瑞典人民有「遊行示威」之權利，本款規定，瑞典人民擁有「遊行示威之自由權利」（</w:t>
      </w:r>
      <w:r w:rsidR="00203F72" w:rsidRPr="00943369">
        <w:rPr>
          <w:rFonts w:hint="eastAsia"/>
        </w:rPr>
        <w:t>freedom to demonstrate</w:t>
      </w:r>
      <w:r w:rsidR="00203F72" w:rsidRPr="00943369">
        <w:rPr>
          <w:rFonts w:hint="eastAsia"/>
        </w:rPr>
        <w:t>），其乃指人民有權利「組織」或「實際參與」在公眾場所之任何遊行示威之活動（</w:t>
      </w:r>
      <w:r w:rsidR="00203F72" w:rsidRPr="00943369">
        <w:rPr>
          <w:rFonts w:hint="eastAsia"/>
        </w:rPr>
        <w:t>the freedom to organize or take part in any demonstration in a public place</w:t>
      </w:r>
      <w:r w:rsidR="00203F72" w:rsidRPr="00943369">
        <w:rPr>
          <w:rFonts w:hint="eastAsia"/>
        </w:rPr>
        <w:t>）。</w:t>
      </w:r>
    </w:p>
    <w:p w14:paraId="6827711D" w14:textId="77777777" w:rsidR="00953151" w:rsidRPr="00943369" w:rsidRDefault="005E23E3" w:rsidP="00D87D91">
      <w:r w:rsidRPr="00943369">
        <w:rPr>
          <w:rFonts w:hint="eastAsia"/>
        </w:rPr>
        <w:t xml:space="preserve">　　</w:t>
      </w:r>
      <w:r w:rsidR="00203F72" w:rsidRPr="00943369">
        <w:rPr>
          <w:rFonts w:hint="eastAsia"/>
        </w:rPr>
        <w:t>在台灣，我國人民是否擁有「遊行示威權利」（</w:t>
      </w:r>
      <w:r w:rsidR="00203F72" w:rsidRPr="00943369">
        <w:rPr>
          <w:rFonts w:hint="eastAsia"/>
        </w:rPr>
        <w:t>freedom to demonstrate</w:t>
      </w:r>
      <w:r w:rsidR="00203F72" w:rsidRPr="00943369">
        <w:rPr>
          <w:rFonts w:hint="eastAsia"/>
        </w:rPr>
        <w:t>）？在憲法條文之中，未作非常明確之規定，殊屬相當可惜之處，我國未來修憲時，宜仿照瑞典憲法第</w:t>
      </w:r>
      <w:r w:rsidR="00203F72" w:rsidRPr="00943369">
        <w:rPr>
          <w:rFonts w:hint="eastAsia"/>
        </w:rPr>
        <w:t>2</w:t>
      </w:r>
      <w:r w:rsidR="00203F72" w:rsidRPr="00943369">
        <w:rPr>
          <w:rFonts w:hint="eastAsia"/>
        </w:rPr>
        <w:t>章「人民基本權利暨自由」第</w:t>
      </w:r>
      <w:r w:rsidR="00203F72" w:rsidRPr="00943369">
        <w:rPr>
          <w:rFonts w:hint="eastAsia"/>
        </w:rPr>
        <w:t>1</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4</w:t>
      </w:r>
      <w:r w:rsidR="00203F72" w:rsidRPr="00943369">
        <w:rPr>
          <w:rFonts w:hint="eastAsia"/>
        </w:rPr>
        <w:t>款之立憲模式，明文賦予我國之人民，包括外國人，均平等地享有「遊行示威權」。此項之權利，乃屬於基本權利（</w:t>
      </w:r>
      <w:r w:rsidR="00203F72" w:rsidRPr="00943369">
        <w:rPr>
          <w:rFonts w:hint="eastAsia"/>
        </w:rPr>
        <w:t>fundamental right</w:t>
      </w:r>
      <w:r w:rsidR="00203F72" w:rsidRPr="00943369">
        <w:rPr>
          <w:rFonts w:hint="eastAsia"/>
        </w:rPr>
        <w:t>），我國憲法宜明文保障之為佳。</w:t>
      </w:r>
    </w:p>
    <w:p w14:paraId="4C2B5135"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34D738C5" w14:textId="77777777" w:rsidR="00145751" w:rsidRDefault="00145751" w:rsidP="00D87D91"/>
    <w:p w14:paraId="3FA9A13A" w14:textId="77777777" w:rsidR="00953151" w:rsidRDefault="00203F72" w:rsidP="00767F37">
      <w:pPr>
        <w:pStyle w:val="2"/>
      </w:pPr>
      <w:bookmarkStart w:id="145" w:name="_貳拾貳、對婦女人權之具體保障內容、射程與範圍，宜入憲化"/>
      <w:bookmarkEnd w:id="145"/>
      <w:r w:rsidRPr="00A53581">
        <w:t>貳拾貳、對婦女人權之具體保障內容、射程與範圍，宜入憲化</w:t>
      </w:r>
    </w:p>
    <w:p w14:paraId="699B08BB" w14:textId="77777777" w:rsidR="00953151" w:rsidRDefault="005E23E3" w:rsidP="00D87D91">
      <w:r>
        <w:t xml:space="preserve">　　</w:t>
      </w:r>
      <w:r w:rsidR="00203F72" w:rsidRPr="00A53581">
        <w:t>依據芬蘭憲法第</w:t>
      </w:r>
      <w:r w:rsidR="00203F72" w:rsidRPr="00A53581">
        <w:t>1</w:t>
      </w:r>
      <w:r w:rsidR="00203F72" w:rsidRPr="00A53581">
        <w:t>章基本規範</w:t>
      </w:r>
      <w:r w:rsidR="00203F72" w:rsidRPr="00A53581">
        <w:t>(</w:t>
      </w:r>
      <w:r w:rsidR="00203F72" w:rsidRPr="00A53581">
        <w:rPr>
          <w:lang w:bidi="bn-IN"/>
        </w:rPr>
        <w:t>Chapter 1 - Fundamental provisions)</w:t>
      </w:r>
      <w:r w:rsidR="00203F72" w:rsidRPr="00A53581">
        <w:t>第</w:t>
      </w:r>
      <w:r w:rsidR="00203F72" w:rsidRPr="00A53581">
        <w:t>6</w:t>
      </w:r>
      <w:r w:rsidR="00203F72" w:rsidRPr="00A53581">
        <w:t>條第</w:t>
      </w:r>
      <w:r w:rsidR="00203F72" w:rsidRPr="00A53581">
        <w:t>1</w:t>
      </w:r>
      <w:r w:rsidR="00203F72" w:rsidRPr="00A53581">
        <w:t>項之規定，「人人在法律面前，均一律平等</w:t>
      </w:r>
      <w:r w:rsidR="00203F72" w:rsidRPr="00A53581">
        <w:t>(</w:t>
      </w:r>
      <w:r w:rsidR="00203F72" w:rsidRPr="00A53581">
        <w:rPr>
          <w:lang w:bidi="bn-IN"/>
        </w:rPr>
        <w:t>Everyone is equal before the law)</w:t>
      </w:r>
      <w:r w:rsidR="00203F72" w:rsidRPr="00A53581">
        <w:t>。」再者，芬蘭憲法第</w:t>
      </w:r>
      <w:r w:rsidR="00203F72" w:rsidRPr="00A53581">
        <w:t>6</w:t>
      </w:r>
      <w:r w:rsidR="00203F72" w:rsidRPr="00A53581">
        <w:t>條第</w:t>
      </w:r>
      <w:r w:rsidR="00203F72" w:rsidRPr="00A53581">
        <w:t>4</w:t>
      </w:r>
      <w:r w:rsidR="00203F72" w:rsidRPr="00A53581">
        <w:t>項並規定，「芬蘭在個人社會活動與工作生涯發展之中</w:t>
      </w:r>
      <w:r w:rsidR="00203F72" w:rsidRPr="00A53581">
        <w:t>(</w:t>
      </w:r>
      <w:r w:rsidR="00203F72" w:rsidRPr="00A53581">
        <w:rPr>
          <w:lang w:bidi="bn-IN"/>
        </w:rPr>
        <w:t>in societal activity and working life)</w:t>
      </w:r>
      <w:r w:rsidR="00203F72" w:rsidRPr="00A53581">
        <w:t>，須促進性別上之平等</w:t>
      </w:r>
      <w:r w:rsidR="00203F72" w:rsidRPr="00A53581">
        <w:t>(</w:t>
      </w:r>
      <w:r w:rsidR="00203F72" w:rsidRPr="00A53581">
        <w:rPr>
          <w:lang w:bidi="bn-IN"/>
        </w:rPr>
        <w:t>Equality of the sexes is promoted)</w:t>
      </w:r>
      <w:r w:rsidR="00203F72" w:rsidRPr="00A53581">
        <w:t>，特別是在薪資俸給之決定，與就業方面之平等</w:t>
      </w:r>
      <w:r w:rsidR="00203F72" w:rsidRPr="00A53581">
        <w:t>(</w:t>
      </w:r>
      <w:r w:rsidR="00203F72" w:rsidRPr="00A53581">
        <w:rPr>
          <w:lang w:bidi="bn-IN"/>
        </w:rPr>
        <w:t>especially in the determination of pay and the other terms of employment)</w:t>
      </w:r>
      <w:r w:rsidR="00203F72" w:rsidRPr="00A53581">
        <w:t>，其詳細之規範，授權由法律制定之</w:t>
      </w:r>
      <w:r w:rsidR="00203F72" w:rsidRPr="00A53581">
        <w:t>(</w:t>
      </w:r>
      <w:r w:rsidR="00203F72" w:rsidRPr="00A53581">
        <w:rPr>
          <w:lang w:bidi="bn-IN"/>
        </w:rPr>
        <w:t>as provided in more detail by an Act)</w:t>
      </w:r>
      <w:r w:rsidR="00203F72" w:rsidRPr="00A53581">
        <w:t>。」</w:t>
      </w:r>
    </w:p>
    <w:p w14:paraId="7BAAE5E4" w14:textId="77777777" w:rsidR="00953151" w:rsidRDefault="005E23E3" w:rsidP="00D87D91">
      <w:r>
        <w:t xml:space="preserve">　　</w:t>
      </w:r>
      <w:r w:rsidR="00203F72" w:rsidRPr="00A53581">
        <w:t>就保障婦女人權之國際人權公約而論，</w:t>
      </w:r>
      <w:hyperlink r:id="rId2718" w:history="1">
        <w:r w:rsidR="00DC1C0D" w:rsidRPr="00DC1C0D">
          <w:rPr>
            <w:rStyle w:val="a5"/>
          </w:rPr>
          <w:t>消除對婦女一切形式歧視公約</w:t>
        </w:r>
      </w:hyperlink>
      <w:r w:rsidR="00DC1C0D" w:rsidRPr="00A53581">
        <w:t xml:space="preserve"> </w:t>
      </w:r>
      <w:r w:rsidR="00203F72" w:rsidRPr="00A53581">
        <w:t>(</w:t>
      </w:r>
      <w:r w:rsidR="00203F72" w:rsidRPr="00A53581">
        <w:rPr>
          <w:kern w:val="0"/>
          <w:lang w:bidi="bn-IN"/>
        </w:rPr>
        <w:t>Convention on the Elimination of All Forms of Discrimination against Women,</w:t>
      </w:r>
      <w:r w:rsidR="00203F72" w:rsidRPr="00A53581">
        <w:rPr>
          <w:kern w:val="0"/>
          <w:lang w:bidi="bn-IN"/>
        </w:rPr>
        <w:t>簡稱</w:t>
      </w:r>
      <w:r w:rsidR="00203F72" w:rsidRPr="00A53581">
        <w:rPr>
          <w:kern w:val="0"/>
          <w:lang w:bidi="bn-IN"/>
        </w:rPr>
        <w:t>CEDAW</w:t>
      </w:r>
      <w:r w:rsidR="00203F72" w:rsidRPr="00A53581">
        <w:t>)</w:t>
      </w:r>
      <w:r w:rsidR="00203F72" w:rsidRPr="00A53581">
        <w:t>是一份非常重要之文件，依據</w:t>
      </w:r>
      <w:hyperlink r:id="rId2719" w:history="1">
        <w:r w:rsidR="00DC1C0D" w:rsidRPr="00DC1C0D">
          <w:rPr>
            <w:rStyle w:val="a5"/>
          </w:rPr>
          <w:t>消除對婦女一切形式歧視公約</w:t>
        </w:r>
      </w:hyperlink>
      <w:r w:rsidR="00203F72" w:rsidRPr="00A53581">
        <w:t>之前言規範，「、、、對婦女的歧</w:t>
      </w:r>
      <w:r w:rsidR="003E240E">
        <w:t>視</w:t>
      </w:r>
      <w:r w:rsidR="00203F72" w:rsidRPr="00A53581">
        <w:t>違反權利平等和尊重人的尊嚴的原則，阻礙婦女與男子平等參加本國的政治、社會、經濟和文化生活，妨礙社會和家庭的繁榮發展，並使婦女更難充分發揮為國家和人類服務潛力；關心到在貧窮情況下，婦女在獲得糧食、保健、教育、訓練、就業和其他需要等方面，往往機會最少；深信基於平等和正義的新的國際經濟秩序的建立，將大有助於促進男女平等；強調徹底消除種族隔離、一切形式的種族主義、種族歧</w:t>
      </w:r>
      <w:r w:rsidR="003E240E">
        <w:t>視</w:t>
      </w:r>
      <w:r w:rsidR="00203F72" w:rsidRPr="00A53581">
        <w:t>、新老殖民主義、外國侵略、外國占領和外國統治、對別國內政的幹預，對於男女充分享受其權利是必不可少的、、、、確信一國的充分和完全的發展，世界人民的福利以及和平的事業，需要婦女與男子平等充分參加所有各方面的工作；念及婦女對家庭的福利和社會的發展所作出的巨大貢獻至今沒有充分受到公認，又念及母性的社會意義以及父母在家庭中和在養育子女方面所負的任務的社會意義，並理解到婦女不應因生育而受到歧</w:t>
      </w:r>
      <w:r w:rsidR="003E240E">
        <w:t>視</w:t>
      </w:r>
      <w:r w:rsidR="00203F72" w:rsidRPr="00A53581">
        <w:t>，因為養育子女是男女和整個社會的共同責任；認議到為了實現男女充分的平等需要同時改變男子和婦女在社會上和家庭中的傳統任務；決心執行《消除對婦女歧</w:t>
      </w:r>
      <w:r w:rsidR="003E240E">
        <w:t>視</w:t>
      </w:r>
      <w:r w:rsidR="00203F72" w:rsidRPr="00A53581">
        <w:t>宣言》內載的各項原則，並為此目的，採取一切必要措施，消除一切形式的這種歧</w:t>
      </w:r>
      <w:r w:rsidR="003E240E">
        <w:t>視</w:t>
      </w:r>
      <w:r w:rsidR="00203F72" w:rsidRPr="00A53581">
        <w:t>及其現象。」</w:t>
      </w:r>
    </w:p>
    <w:p w14:paraId="6642549C" w14:textId="77777777" w:rsidR="00953151" w:rsidRDefault="005E23E3" w:rsidP="00D87D91">
      <w:pPr>
        <w:rPr>
          <w:rFonts w:ascii="新細明體" w:hAnsi="新細明體"/>
        </w:rPr>
      </w:pPr>
      <w:r>
        <w:rPr>
          <w:rFonts w:ascii="新細明體" w:hAnsi="新細明體"/>
        </w:rPr>
        <w:t xml:space="preserve">　　</w:t>
      </w:r>
      <w:r w:rsidR="00203F72" w:rsidRPr="00A53581">
        <w:rPr>
          <w:rFonts w:ascii="新細明體" w:hAnsi="新細明體"/>
        </w:rPr>
        <w:t>為了落實對於保障婦女人權之保障，有關於</w:t>
      </w:r>
      <w:hyperlink r:id="rId2720" w:history="1">
        <w:r w:rsidR="00DC1C0D" w:rsidRPr="00DC1C0D">
          <w:rPr>
            <w:rStyle w:val="a5"/>
          </w:rPr>
          <w:t>消除對婦女一切形式歧視公約</w:t>
        </w:r>
      </w:hyperlink>
      <w:r w:rsidR="00DC1C0D" w:rsidRPr="00A53581">
        <w:rPr>
          <w:rFonts w:ascii="新細明體" w:hAnsi="新細明體"/>
        </w:rPr>
        <w:t xml:space="preserve"> </w:t>
      </w:r>
      <w:r w:rsidR="00203F72" w:rsidRPr="00A53581">
        <w:rPr>
          <w:rFonts w:ascii="新細明體" w:hAnsi="新細明體"/>
        </w:rPr>
        <w:t>(CEDAW)中之相關法律規範之內容與精神，諸如：</w:t>
      </w:r>
      <w:hyperlink r:id="rId2721" w:anchor="a2" w:history="1">
        <w:r w:rsidR="00203F72" w:rsidRPr="00DC1C0D">
          <w:rPr>
            <w:rStyle w:val="a5"/>
          </w:rPr>
          <w:t>第2條</w:t>
        </w:r>
      </w:hyperlink>
      <w:r w:rsidR="00203F72" w:rsidRPr="00A53581">
        <w:rPr>
          <w:rFonts w:ascii="新細明體" w:hAnsi="新細明體"/>
        </w:rPr>
        <w:t>：推行消除對婦女歧</w:t>
      </w:r>
      <w:r w:rsidR="003E240E">
        <w:rPr>
          <w:rFonts w:ascii="新細明體" w:hAnsi="新細明體"/>
        </w:rPr>
        <w:t>視</w:t>
      </w:r>
      <w:r w:rsidR="00203F72" w:rsidRPr="00A53581">
        <w:rPr>
          <w:rFonts w:ascii="新細明體" w:hAnsi="新細明體"/>
        </w:rPr>
        <w:t>的政策；</w:t>
      </w:r>
      <w:hyperlink r:id="rId2722" w:anchor="a3" w:history="1">
        <w:r w:rsidR="00203F72" w:rsidRPr="00DC1C0D">
          <w:rPr>
            <w:rStyle w:val="a5"/>
          </w:rPr>
          <w:t>第3條</w:t>
        </w:r>
      </w:hyperlink>
      <w:r w:rsidR="00203F72" w:rsidRPr="00A53581">
        <w:rPr>
          <w:rFonts w:ascii="新細明體" w:hAnsi="新細明體"/>
        </w:rPr>
        <w:t>：在政治、社會、經濟、文化領域，採取一切適當措施，保證婦女得到充分發展和進步；</w:t>
      </w:r>
      <w:hyperlink r:id="rId2723" w:anchor="a4" w:history="1">
        <w:r w:rsidR="00203F72" w:rsidRPr="00DC1C0D">
          <w:rPr>
            <w:rStyle w:val="a5"/>
          </w:rPr>
          <w:t>第4條</w:t>
        </w:r>
      </w:hyperlink>
      <w:r w:rsidR="00203F72" w:rsidRPr="00A53581">
        <w:rPr>
          <w:rFonts w:ascii="新細明體" w:hAnsi="新細明體"/>
        </w:rPr>
        <w:t>：為保護母性而採取的特別措施，包括本公約所列各項措施，不得</w:t>
      </w:r>
      <w:r w:rsidR="003E240E">
        <w:rPr>
          <w:rFonts w:ascii="新細明體" w:hAnsi="新細明體"/>
        </w:rPr>
        <w:t>視</w:t>
      </w:r>
      <w:r w:rsidR="00203F72" w:rsidRPr="00A53581">
        <w:rPr>
          <w:rFonts w:ascii="新細明體" w:hAnsi="新細明體"/>
        </w:rPr>
        <w:t>為歧</w:t>
      </w:r>
      <w:r w:rsidR="003E240E">
        <w:rPr>
          <w:rFonts w:ascii="新細明體" w:hAnsi="新細明體"/>
        </w:rPr>
        <w:t>視</w:t>
      </w:r>
      <w:r w:rsidR="00203F72" w:rsidRPr="00A53581">
        <w:rPr>
          <w:rFonts w:ascii="新細明體" w:hAnsi="新細明體"/>
        </w:rPr>
        <w:t>；</w:t>
      </w:r>
      <w:hyperlink r:id="rId2724" w:anchor="a5" w:history="1">
        <w:r w:rsidR="00203F72" w:rsidRPr="00DC1C0D">
          <w:rPr>
            <w:rStyle w:val="a5"/>
          </w:rPr>
          <w:t>第5條</w:t>
        </w:r>
      </w:hyperlink>
      <w:r w:rsidR="00203F72" w:rsidRPr="00A53581">
        <w:rPr>
          <w:rFonts w:ascii="新細明體" w:hAnsi="新細明體"/>
        </w:rPr>
        <w:t>：消除基於性別而分尊卑觀念；正確瞭解母性的社會功能；</w:t>
      </w:r>
      <w:hyperlink r:id="rId2725" w:anchor="a6" w:history="1">
        <w:r w:rsidR="00203F72" w:rsidRPr="00DC1C0D">
          <w:rPr>
            <w:rStyle w:val="a5"/>
          </w:rPr>
          <w:t>第6條</w:t>
        </w:r>
      </w:hyperlink>
      <w:r w:rsidR="00203F72" w:rsidRPr="00A53581">
        <w:rPr>
          <w:rFonts w:ascii="新細明體" w:hAnsi="新細明體"/>
        </w:rPr>
        <w:t>：禁止一切形式販賣婦女及意圖營利使婦女賣淫的行為；</w:t>
      </w:r>
      <w:hyperlink r:id="rId2726" w:anchor="a7" w:history="1">
        <w:r w:rsidR="00203F72" w:rsidRPr="00DC1C0D">
          <w:rPr>
            <w:rStyle w:val="a5"/>
          </w:rPr>
          <w:t>第7條</w:t>
        </w:r>
      </w:hyperlink>
      <w:r w:rsidR="00203F72" w:rsidRPr="00A53581">
        <w:rPr>
          <w:rFonts w:ascii="新細明體" w:hAnsi="新細明體"/>
        </w:rPr>
        <w:t>：消除在本國政治和公共生活中對婦女的歧</w:t>
      </w:r>
      <w:r w:rsidR="003E240E">
        <w:rPr>
          <w:rFonts w:ascii="新細明體" w:hAnsi="新細明體"/>
        </w:rPr>
        <w:t>視</w:t>
      </w:r>
      <w:r w:rsidR="00203F72" w:rsidRPr="00A53581">
        <w:rPr>
          <w:rFonts w:ascii="新細明體" w:hAnsi="新細明體"/>
        </w:rPr>
        <w:t>；</w:t>
      </w:r>
      <w:hyperlink r:id="rId2727" w:anchor="a8" w:history="1">
        <w:r w:rsidR="00203F72" w:rsidRPr="00DC1C0D">
          <w:rPr>
            <w:rStyle w:val="a5"/>
          </w:rPr>
          <w:t>第8條</w:t>
        </w:r>
      </w:hyperlink>
      <w:r w:rsidR="00203F72" w:rsidRPr="00A53581">
        <w:rPr>
          <w:rFonts w:ascii="新細明體" w:hAnsi="新細明體"/>
        </w:rPr>
        <w:t>：保證婦女在與男子平等不受任何歧</w:t>
      </w:r>
      <w:r w:rsidR="003E240E">
        <w:rPr>
          <w:rFonts w:ascii="新細明體" w:hAnsi="新細明體"/>
        </w:rPr>
        <w:t>視</w:t>
      </w:r>
      <w:r w:rsidR="00203F72" w:rsidRPr="00A53581">
        <w:rPr>
          <w:rFonts w:ascii="新細明體" w:hAnsi="新細明體"/>
        </w:rPr>
        <w:t>的條件下，有機會在國際上代表本國政府和參加各國際組織的工作；</w:t>
      </w:r>
      <w:hyperlink r:id="rId2728" w:anchor="a9" w:history="1">
        <w:r w:rsidR="00203F72" w:rsidRPr="00DC1C0D">
          <w:rPr>
            <w:rStyle w:val="a5"/>
          </w:rPr>
          <w:t>第9條</w:t>
        </w:r>
      </w:hyperlink>
      <w:r w:rsidR="00203F72" w:rsidRPr="00A53581">
        <w:rPr>
          <w:rFonts w:ascii="新細明體" w:hAnsi="新細明體"/>
        </w:rPr>
        <w:t>：婦女與男子有取得、改變或保留國籍的同等權利；在關於子女的國籍方面，應給予婦女與男子平等的權利；</w:t>
      </w:r>
      <w:hyperlink r:id="rId2729" w:anchor="a10" w:history="1">
        <w:r w:rsidR="00203F72" w:rsidRPr="00DC1C0D">
          <w:rPr>
            <w:rStyle w:val="a5"/>
          </w:rPr>
          <w:t>第10條</w:t>
        </w:r>
      </w:hyperlink>
      <w:r w:rsidR="00203F72" w:rsidRPr="00A53581">
        <w:rPr>
          <w:rFonts w:ascii="新細明體" w:hAnsi="新細明體"/>
        </w:rPr>
        <w:t>：保證婦女在教育方面享有與男子平等的權利；</w:t>
      </w:r>
      <w:hyperlink r:id="rId2730" w:anchor="a11" w:history="1">
        <w:r w:rsidR="00203F72" w:rsidRPr="00DC1C0D">
          <w:rPr>
            <w:rStyle w:val="a5"/>
          </w:rPr>
          <w:t>第11條</w:t>
        </w:r>
      </w:hyperlink>
      <w:r w:rsidR="00203F72" w:rsidRPr="00A53581">
        <w:rPr>
          <w:rFonts w:ascii="新細明體" w:hAnsi="新細明體"/>
        </w:rPr>
        <w:t>：消除在就業方面對婦女的歧</w:t>
      </w:r>
      <w:r w:rsidR="003E240E">
        <w:rPr>
          <w:rFonts w:ascii="新細明體" w:hAnsi="新細明體"/>
        </w:rPr>
        <w:t>視</w:t>
      </w:r>
      <w:r w:rsidR="00203F72" w:rsidRPr="00A53581">
        <w:rPr>
          <w:rFonts w:ascii="新細明體" w:hAnsi="新細明體"/>
        </w:rPr>
        <w:t>，以保證她們在男女平等的基礎上享有相同權利；婦女不致因結婚或生育而受歧</w:t>
      </w:r>
      <w:r w:rsidR="003E240E">
        <w:rPr>
          <w:rFonts w:ascii="新細明體" w:hAnsi="新細明體"/>
        </w:rPr>
        <w:t>視</w:t>
      </w:r>
      <w:r w:rsidR="00203F72" w:rsidRPr="00A53581">
        <w:rPr>
          <w:rFonts w:ascii="新細明體" w:hAnsi="新細明體"/>
        </w:rPr>
        <w:t>；</w:t>
      </w:r>
      <w:hyperlink r:id="rId2731" w:anchor="a12" w:history="1">
        <w:r w:rsidR="00203F72" w:rsidRPr="00DC1C0D">
          <w:rPr>
            <w:rStyle w:val="a5"/>
          </w:rPr>
          <w:t>第12條</w:t>
        </w:r>
      </w:hyperlink>
      <w:r w:rsidR="00203F72" w:rsidRPr="00A53581">
        <w:rPr>
          <w:rFonts w:ascii="新細明體" w:hAnsi="新細明體"/>
        </w:rPr>
        <w:t>：消除在保健方面對婦女的歧</w:t>
      </w:r>
      <w:r w:rsidR="003E240E">
        <w:rPr>
          <w:rFonts w:ascii="新細明體" w:hAnsi="新細明體"/>
        </w:rPr>
        <w:t>視</w:t>
      </w:r>
      <w:r w:rsidR="00203F72" w:rsidRPr="00A53581">
        <w:rPr>
          <w:rFonts w:ascii="新細明體" w:hAnsi="新細明體"/>
        </w:rPr>
        <w:t>，保證她們在男女平等的基礎上取得各種包括有關計劃生育的保健服務；</w:t>
      </w:r>
      <w:hyperlink r:id="rId2732" w:anchor="a13" w:history="1">
        <w:r w:rsidR="00203F72" w:rsidRPr="00DC1C0D">
          <w:rPr>
            <w:rStyle w:val="a5"/>
          </w:rPr>
          <w:t>第13條</w:t>
        </w:r>
      </w:hyperlink>
      <w:r w:rsidR="00203F72" w:rsidRPr="00A53581">
        <w:rPr>
          <w:rFonts w:ascii="新細明體" w:hAnsi="新細明體"/>
        </w:rPr>
        <w:t>：消除在經濟和社會生活的其他方面對婦女的歧</w:t>
      </w:r>
      <w:r w:rsidR="003E240E">
        <w:rPr>
          <w:rFonts w:ascii="新細明體" w:hAnsi="新細明體"/>
        </w:rPr>
        <w:t>視</w:t>
      </w:r>
      <w:r w:rsidR="00203F72" w:rsidRPr="00A53581">
        <w:rPr>
          <w:rFonts w:ascii="新細明體" w:hAnsi="新細明體"/>
        </w:rPr>
        <w:t>；</w:t>
      </w:r>
      <w:hyperlink r:id="rId2733" w:anchor="a14" w:history="1">
        <w:r w:rsidR="00203F72" w:rsidRPr="00DC1C0D">
          <w:rPr>
            <w:rStyle w:val="a5"/>
          </w:rPr>
          <w:t>第14條</w:t>
        </w:r>
      </w:hyperlink>
      <w:r w:rsidR="00203F72" w:rsidRPr="00A53581">
        <w:rPr>
          <w:rFonts w:ascii="新細明體" w:hAnsi="新細明體"/>
        </w:rPr>
        <w:t>：保證對農村婦女適用本公約的各項規定；</w:t>
      </w:r>
      <w:hyperlink r:id="rId2734" w:anchor="a15" w:history="1">
        <w:r w:rsidR="00203F72" w:rsidRPr="00DC1C0D">
          <w:rPr>
            <w:rStyle w:val="a5"/>
          </w:rPr>
          <w:t>第15條</w:t>
        </w:r>
      </w:hyperlink>
      <w:r w:rsidR="00203F72" w:rsidRPr="00A53581">
        <w:rPr>
          <w:rFonts w:ascii="新細明體" w:hAnsi="新細明體"/>
        </w:rPr>
        <w:t>：應在公民事務上，給予婦女與男子同等的法律行為能力，以及行使這種行為能力的相同機會；限制婦女法律行為能力的所有合同和其他任何具有法律效力的私人檔，應一律</w:t>
      </w:r>
      <w:r w:rsidR="003E240E">
        <w:rPr>
          <w:rFonts w:ascii="新細明體" w:hAnsi="新細明體"/>
        </w:rPr>
        <w:t>視</w:t>
      </w:r>
      <w:r w:rsidR="00203F72" w:rsidRPr="00A53581">
        <w:rPr>
          <w:rFonts w:ascii="新細明體" w:hAnsi="新細明體"/>
        </w:rPr>
        <w:t>為無效；有關人身移動和自由擇居的法律方面，應給予男女相同的權利；</w:t>
      </w:r>
      <w:hyperlink r:id="rId2735" w:anchor="a16" w:history="1">
        <w:r w:rsidR="00203F72" w:rsidRPr="00DC1C0D">
          <w:rPr>
            <w:rStyle w:val="a5"/>
          </w:rPr>
          <w:t>第16條</w:t>
        </w:r>
      </w:hyperlink>
      <w:r w:rsidR="00203F72" w:rsidRPr="00A53581">
        <w:rPr>
          <w:rFonts w:ascii="新細明體" w:hAnsi="新細明體"/>
        </w:rPr>
        <w:t>：消除在有關婚姻和家庭關係的一切事務上對婦女的歧</w:t>
      </w:r>
      <w:r w:rsidR="003E240E">
        <w:rPr>
          <w:rFonts w:ascii="新細明體" w:hAnsi="新細明體"/>
        </w:rPr>
        <w:t>視</w:t>
      </w:r>
      <w:r w:rsidR="00203F72" w:rsidRPr="00A53581">
        <w:rPr>
          <w:rFonts w:ascii="新細明體" w:hAnsi="新細明體"/>
        </w:rPr>
        <w:t>；童年訂婚和結婚應不具法律效力等等，對台灣婦女人權之具體保障內容、射程與範圍，均宜入憲化為佳。</w:t>
      </w:r>
    </w:p>
    <w:p w14:paraId="19B4DD62" w14:textId="77777777" w:rsidR="00953151" w:rsidRPr="00DC1C0D" w:rsidRDefault="005E23E3" w:rsidP="00D87D91">
      <w:r w:rsidRPr="00DC1C0D">
        <w:t xml:space="preserve">　　</w:t>
      </w:r>
      <w:r w:rsidR="00203F72" w:rsidRPr="00DC1C0D">
        <w:t>我國憲</w:t>
      </w:r>
      <w:r w:rsidR="00444E21" w:rsidRPr="00BD43D3">
        <w:t>法</w:t>
      </w:r>
      <w:hyperlink r:id="rId2736"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DC1C0D">
        <w:t>雖有男女平等權之規範，但似乎過於簡約；再者，於憲法增修條</w:t>
      </w:r>
      <w:r w:rsidR="00E16174" w:rsidRPr="00A53581">
        <w:rPr>
          <w:rFonts w:ascii="新細明體" w:hAnsi="新細明體"/>
        </w:rPr>
        <w:t>文</w:t>
      </w:r>
      <w:hyperlink r:id="rId2737" w:anchor="b10" w:history="1">
        <w:r w:rsidR="00E16174" w:rsidRPr="00E16174">
          <w:rPr>
            <w:rStyle w:val="a5"/>
          </w:rPr>
          <w:t>第10條</w:t>
        </w:r>
      </w:hyperlink>
      <w:r w:rsidR="00203F72" w:rsidRPr="00DC1C0D">
        <w:t>之中，雖有規定：「國家應維護婦女之人格尊嚴，保障婦女之人身安全，消除性別歧</w:t>
      </w:r>
      <w:r w:rsidR="003E240E">
        <w:t>視</w:t>
      </w:r>
      <w:r w:rsidR="00203F72" w:rsidRPr="00DC1C0D">
        <w:t>，促進兩性地位之實質平等。」，然而，憲法增修條</w:t>
      </w:r>
      <w:r w:rsidR="00E16174" w:rsidRPr="00A53581">
        <w:rPr>
          <w:rFonts w:ascii="新細明體" w:hAnsi="新細明體"/>
        </w:rPr>
        <w:t>文</w:t>
      </w:r>
      <w:hyperlink r:id="rId2738" w:anchor="b10" w:history="1">
        <w:r w:rsidR="00E16174" w:rsidRPr="00E16174">
          <w:rPr>
            <w:rStyle w:val="a5"/>
          </w:rPr>
          <w:t>第10條</w:t>
        </w:r>
      </w:hyperlink>
      <w:r w:rsidR="00203F72" w:rsidRPr="00DC1C0D">
        <w:t>上述之內容，係規範於基本國策之中，且內容較屬狹隘，且不具體化，似有必要仿照芬蘭憲法第</w:t>
      </w:r>
      <w:r w:rsidR="00203F72" w:rsidRPr="00DC1C0D">
        <w:t>6</w:t>
      </w:r>
      <w:r w:rsidR="00203F72" w:rsidRPr="00DC1C0D">
        <w:t>條第</w:t>
      </w:r>
      <w:r w:rsidR="00203F72" w:rsidRPr="00DC1C0D">
        <w:t>4</w:t>
      </w:r>
      <w:r w:rsidR="00203F72" w:rsidRPr="00DC1C0D">
        <w:t>項及</w:t>
      </w:r>
      <w:hyperlink r:id="rId2739" w:history="1">
        <w:r w:rsidR="00DC1C0D" w:rsidRPr="00DC1C0D">
          <w:rPr>
            <w:rStyle w:val="a5"/>
          </w:rPr>
          <w:t>消除對婦女一切形式歧視公約</w:t>
        </w:r>
      </w:hyperlink>
      <w:r w:rsidR="00203F72" w:rsidRPr="00DC1C0D">
        <w:t>（</w:t>
      </w:r>
      <w:r w:rsidR="00203F72" w:rsidRPr="00DC1C0D">
        <w:t>Convention on the Elimination of All Forms of Discrimination against Women, CEDAW)</w:t>
      </w:r>
      <w:r w:rsidR="00203F72" w:rsidRPr="00DC1C0D">
        <w:t>之相關規範內容、射程與精神，將其具體化地規定於我國憲法人民權利與義務之專章之中為佳。</w:t>
      </w:r>
    </w:p>
    <w:p w14:paraId="4A9DC3FB"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217443AF" w14:textId="77777777" w:rsidR="00145751" w:rsidRDefault="00145751" w:rsidP="00D87D91"/>
    <w:p w14:paraId="04555FB4" w14:textId="77777777" w:rsidR="00203F72" w:rsidRPr="00A53581" w:rsidRDefault="00203F72" w:rsidP="00767F37">
      <w:pPr>
        <w:pStyle w:val="2"/>
      </w:pPr>
      <w:bookmarkStart w:id="146" w:name="_貳拾參、對兒童人權之具體保障內容、射程與範圍，均宜入憲化"/>
      <w:bookmarkEnd w:id="146"/>
      <w:r w:rsidRPr="00A53581">
        <w:t>貳拾參、對兒童人權之具體保障內容、射程與範圍，均宜入憲化</w:t>
      </w:r>
      <w:r w:rsidRPr="00A53581">
        <w:t xml:space="preserve"> </w:t>
      </w:r>
    </w:p>
    <w:p w14:paraId="5A4528AC" w14:textId="77777777" w:rsidR="00953151" w:rsidRDefault="005E23E3" w:rsidP="00D87D91">
      <w:r>
        <w:t xml:space="preserve">　　</w:t>
      </w:r>
      <w:r w:rsidR="00203F72" w:rsidRPr="00A53581">
        <w:t>依據芬蘭憲法第</w:t>
      </w:r>
      <w:r w:rsidR="00203F72" w:rsidRPr="00A53581">
        <w:t>1</w:t>
      </w:r>
      <w:r w:rsidR="00203F72" w:rsidRPr="00A53581">
        <w:t>章基本規範</w:t>
      </w:r>
      <w:r w:rsidR="00203F72" w:rsidRPr="00A53581">
        <w:t>(</w:t>
      </w:r>
      <w:r w:rsidR="00203F72" w:rsidRPr="00A53581">
        <w:rPr>
          <w:lang w:bidi="bn-IN"/>
        </w:rPr>
        <w:t>Chapter 1 - Fundamental provisions)</w:t>
      </w:r>
      <w:r w:rsidR="00203F72" w:rsidRPr="00A53581">
        <w:t>第</w:t>
      </w:r>
      <w:r w:rsidR="00203F72" w:rsidRPr="00A53581">
        <w:t>6</w:t>
      </w:r>
      <w:r w:rsidR="00203F72" w:rsidRPr="00A53581">
        <w:t>條</w:t>
      </w:r>
      <w:r w:rsidR="00203F72" w:rsidRPr="00A53581">
        <w:rPr>
          <w:rStyle w:val="af3"/>
          <w:rFonts w:ascii="新細明體" w:hAnsi="新細明體"/>
        </w:rPr>
        <w:footnoteReference w:id="1101"/>
      </w:r>
      <w:r w:rsidR="00203F72" w:rsidRPr="00A53581">
        <w:t>第</w:t>
      </w:r>
      <w:r w:rsidR="00203F72" w:rsidRPr="00A53581">
        <w:t>3</w:t>
      </w:r>
      <w:r w:rsidR="00203F72" w:rsidRPr="00A53581">
        <w:t>項之規定，「孩童應被以獨立行為個體</w:t>
      </w:r>
      <w:r w:rsidR="00203F72" w:rsidRPr="00A53581">
        <w:t>(</w:t>
      </w:r>
      <w:r w:rsidR="00203F72" w:rsidRPr="00A53581">
        <w:rPr>
          <w:lang w:bidi="bn-IN"/>
        </w:rPr>
        <w:t>as individuals)</w:t>
      </w:r>
      <w:r w:rsidR="00203F72" w:rsidRPr="00A53581">
        <w:t>及平等之方式，加以對待之</w:t>
      </w:r>
      <w:r w:rsidR="00203F72" w:rsidRPr="00A53581">
        <w:t>(</w:t>
      </w:r>
      <w:r w:rsidR="00203F72" w:rsidRPr="00A53581">
        <w:rPr>
          <w:lang w:bidi="bn-IN"/>
        </w:rPr>
        <w:t>Children shall be treated equally)</w:t>
      </w:r>
      <w:r w:rsidR="00203F72" w:rsidRPr="00A53581">
        <w:t>，舉凡涉及孩童本身之相關事務</w:t>
      </w:r>
      <w:r w:rsidR="00203F72" w:rsidRPr="00A53581">
        <w:t>(</w:t>
      </w:r>
      <w:r w:rsidR="00203F72" w:rsidRPr="00A53581">
        <w:rPr>
          <w:lang w:bidi="bn-IN"/>
        </w:rPr>
        <w:t>matters pertaining to themselves)</w:t>
      </w:r>
      <w:r w:rsidR="00203F72" w:rsidRPr="00A53581">
        <w:t>，孩童應隨其年齡之發展程度</w:t>
      </w:r>
      <w:r w:rsidR="00203F72" w:rsidRPr="00A53581">
        <w:t>(</w:t>
      </w:r>
      <w:r w:rsidR="00203F72" w:rsidRPr="00A53581">
        <w:rPr>
          <w:lang w:bidi="bn-IN"/>
        </w:rPr>
        <w:t>a degree corresponding to their level of development)</w:t>
      </w:r>
      <w:r w:rsidR="00203F72" w:rsidRPr="00A53581">
        <w:t>，被賦予具有影響力之相對應決定權</w:t>
      </w:r>
      <w:r w:rsidR="00203F72" w:rsidRPr="00A53581">
        <w:t>(</w:t>
      </w:r>
      <w:r w:rsidR="00203F72" w:rsidRPr="00A53581">
        <w:rPr>
          <w:lang w:bidi="bn-IN"/>
        </w:rPr>
        <w:t>they shall be allowed to influence)</w:t>
      </w:r>
      <w:r w:rsidR="00203F72" w:rsidRPr="00A53581">
        <w:t>。」依據芬蘭憲法第</w:t>
      </w:r>
      <w:r w:rsidR="00203F72" w:rsidRPr="00A53581">
        <w:t>6</w:t>
      </w:r>
      <w:r w:rsidR="00203F72" w:rsidRPr="00A53581">
        <w:t>條之規定，兒童亦享有平等權，此部分之立憲內容，則為我國所欠缺。</w:t>
      </w:r>
    </w:p>
    <w:p w14:paraId="2A3635BD" w14:textId="77777777" w:rsidR="00953151" w:rsidRDefault="005E23E3" w:rsidP="00D87D91">
      <w:pPr>
        <w:rPr>
          <w:rFonts w:ascii="新細明體" w:hAnsi="新細明體"/>
        </w:rPr>
      </w:pPr>
      <w:r>
        <w:rPr>
          <w:rFonts w:ascii="新細明體" w:hAnsi="新細明體"/>
        </w:rPr>
        <w:t xml:space="preserve">　　</w:t>
      </w:r>
      <w:r w:rsidR="00203F72" w:rsidRPr="00A53581">
        <w:rPr>
          <w:rFonts w:ascii="新細明體" w:hAnsi="新細明體"/>
        </w:rPr>
        <w:t>根據1989年</w:t>
      </w:r>
      <w:hyperlink r:id="rId2740" w:history="1">
        <w:r w:rsidR="00203F72" w:rsidRPr="00DF3454">
          <w:rPr>
            <w:rStyle w:val="a5"/>
          </w:rPr>
          <w:t>兒童權利公約</w:t>
        </w:r>
      </w:hyperlink>
      <w:r w:rsidR="00203F72" w:rsidRPr="00A53581">
        <w:rPr>
          <w:rFonts w:ascii="新細明體" w:hAnsi="新細明體"/>
        </w:rPr>
        <w:t>之內容，兒童受到該公約以下相關條文內涵之保護：</w:t>
      </w:r>
      <w:hyperlink r:id="rId2741" w:anchor="a2" w:history="1">
        <w:r w:rsidR="00203F72" w:rsidRPr="00DF3454">
          <w:rPr>
            <w:rStyle w:val="a5"/>
          </w:rPr>
          <w:t>第二條</w:t>
        </w:r>
      </w:hyperlink>
      <w:r w:rsidR="00203F72" w:rsidRPr="00A53581">
        <w:rPr>
          <w:rFonts w:ascii="新細明體" w:hAnsi="新細明體"/>
        </w:rPr>
        <w:t>（禁止差別待遇）、</w:t>
      </w:r>
      <w:hyperlink r:id="rId2742" w:anchor="a3" w:history="1">
        <w:r w:rsidR="00203F72" w:rsidRPr="00DF3454">
          <w:rPr>
            <w:rStyle w:val="a5"/>
          </w:rPr>
          <w:t>第三條</w:t>
        </w:r>
      </w:hyperlink>
      <w:r w:rsidR="00203F72" w:rsidRPr="00A53581">
        <w:rPr>
          <w:rFonts w:ascii="新細明體" w:hAnsi="新細明體"/>
        </w:rPr>
        <w:t>（兒童最佳利益化）、</w:t>
      </w:r>
      <w:hyperlink r:id="rId2743" w:anchor="a4" w:history="1">
        <w:r w:rsidR="00203F72" w:rsidRPr="00DF3454">
          <w:rPr>
            <w:rStyle w:val="a5"/>
          </w:rPr>
          <w:t>第四條</w:t>
        </w:r>
      </w:hyperlink>
      <w:r w:rsidR="00203F72" w:rsidRPr="00A53581">
        <w:rPr>
          <w:rFonts w:ascii="新細明體" w:hAnsi="新細明體"/>
        </w:rPr>
        <w:t>（權利的實施）、</w:t>
      </w:r>
      <w:hyperlink r:id="rId2744" w:anchor="a5" w:history="1">
        <w:r w:rsidR="00203F72" w:rsidRPr="00DF3454">
          <w:rPr>
            <w:rStyle w:val="a5"/>
          </w:rPr>
          <w:t>第五條</w:t>
        </w:r>
      </w:hyperlink>
      <w:r w:rsidR="00203F72" w:rsidRPr="00A53581">
        <w:rPr>
          <w:rFonts w:ascii="新細明體" w:hAnsi="新細明體"/>
        </w:rPr>
        <w:t>（父母及其他人員的指導）、</w:t>
      </w:r>
      <w:hyperlink r:id="rId2745" w:anchor="a6" w:history="1">
        <w:r w:rsidR="00203F72" w:rsidRPr="00DF3454">
          <w:rPr>
            <w:rStyle w:val="a5"/>
          </w:rPr>
          <w:t>第六條</w:t>
        </w:r>
      </w:hyperlink>
      <w:r w:rsidR="00203F72" w:rsidRPr="00A53581">
        <w:rPr>
          <w:rFonts w:ascii="新細明體" w:hAnsi="新細明體"/>
        </w:rPr>
        <w:t>（生存和發展權）、</w:t>
      </w:r>
      <w:hyperlink r:id="rId2746" w:anchor="a8" w:history="1">
        <w:r w:rsidR="00203F72" w:rsidRPr="00DF3454">
          <w:rPr>
            <w:rStyle w:val="a5"/>
          </w:rPr>
          <w:t>第八條</w:t>
        </w:r>
      </w:hyperlink>
      <w:r w:rsidR="00203F72" w:rsidRPr="00A53581">
        <w:rPr>
          <w:rFonts w:ascii="新細明體" w:hAnsi="新細明體"/>
        </w:rPr>
        <w:t>（身分權之保障）、</w:t>
      </w:r>
      <w:hyperlink r:id="rId2747" w:anchor="a9" w:history="1">
        <w:r w:rsidR="00203F72" w:rsidRPr="00DF3454">
          <w:rPr>
            <w:rStyle w:val="a5"/>
          </w:rPr>
          <w:t>第九條</w:t>
        </w:r>
      </w:hyperlink>
      <w:r w:rsidR="00203F72" w:rsidRPr="00A53581">
        <w:rPr>
          <w:rFonts w:ascii="新細明體" w:hAnsi="新細明體"/>
        </w:rPr>
        <w:t>（禁止與雙親分離）、</w:t>
      </w:r>
      <w:hyperlink r:id="rId2748" w:anchor="a10" w:history="1">
        <w:r w:rsidR="00203F72" w:rsidRPr="00DF3454">
          <w:rPr>
            <w:rStyle w:val="a5"/>
          </w:rPr>
          <w:t>第十條</w:t>
        </w:r>
      </w:hyperlink>
      <w:r w:rsidR="00203F72" w:rsidRPr="00A53581">
        <w:rPr>
          <w:rFonts w:ascii="新細明體" w:hAnsi="新細明體"/>
        </w:rPr>
        <w:t>（家族團聚權）、第</w:t>
      </w:r>
      <w:hyperlink r:id="rId2749" w:anchor="a11" w:history="1">
        <w:r w:rsidR="00203F72" w:rsidRPr="00DF3454">
          <w:rPr>
            <w:rStyle w:val="a5"/>
          </w:rPr>
          <w:t>十一</w:t>
        </w:r>
      </w:hyperlink>
      <w:r w:rsidR="00203F72" w:rsidRPr="00A53581">
        <w:rPr>
          <w:rFonts w:ascii="新細明體" w:hAnsi="新細明體"/>
        </w:rPr>
        <w:t>條（非法移送國外及非法不送還之禁止）、第</w:t>
      </w:r>
      <w:hyperlink r:id="rId2750" w:anchor="a12" w:history="1">
        <w:r w:rsidR="00203F72" w:rsidRPr="00DF3454">
          <w:rPr>
            <w:rStyle w:val="a5"/>
          </w:rPr>
          <w:t>十二</w:t>
        </w:r>
      </w:hyperlink>
      <w:r w:rsidR="00203F72" w:rsidRPr="00A53581">
        <w:rPr>
          <w:rFonts w:ascii="新細明體" w:hAnsi="新細明體"/>
        </w:rPr>
        <w:t>條（兒童發表意見權）、第</w:t>
      </w:r>
      <w:hyperlink r:id="rId2751" w:anchor="a13" w:history="1">
        <w:r w:rsidR="00203F72" w:rsidRPr="00DF3454">
          <w:rPr>
            <w:rStyle w:val="a5"/>
          </w:rPr>
          <w:t>十三</w:t>
        </w:r>
      </w:hyperlink>
      <w:r w:rsidR="00203F72" w:rsidRPr="00A53581">
        <w:rPr>
          <w:rFonts w:ascii="新細明體" w:hAnsi="新細明體"/>
        </w:rPr>
        <w:t>條（表現自由權）、第</w:t>
      </w:r>
      <w:hyperlink r:id="rId2752" w:anchor="a14" w:history="1">
        <w:r w:rsidR="00203F72" w:rsidRPr="00DF3454">
          <w:rPr>
            <w:rStyle w:val="a5"/>
          </w:rPr>
          <w:t>十四</w:t>
        </w:r>
      </w:hyperlink>
      <w:r w:rsidR="00203F72" w:rsidRPr="00A53581">
        <w:rPr>
          <w:rFonts w:ascii="新細明體" w:hAnsi="新細明體"/>
        </w:rPr>
        <w:t>條（思想、良知及信仰自由權）、第</w:t>
      </w:r>
      <w:hyperlink r:id="rId2753" w:anchor="a15" w:history="1">
        <w:r w:rsidR="00203F72" w:rsidRPr="00DF3454">
          <w:rPr>
            <w:rStyle w:val="a5"/>
          </w:rPr>
          <w:t>十五</w:t>
        </w:r>
      </w:hyperlink>
      <w:r w:rsidR="00203F72" w:rsidRPr="00A53581">
        <w:rPr>
          <w:rFonts w:ascii="新細明體" w:hAnsi="新細明體"/>
        </w:rPr>
        <w:t>條（集會、結社自由權）、第</w:t>
      </w:r>
      <w:hyperlink r:id="rId2754" w:anchor="a16" w:history="1">
        <w:r w:rsidR="00203F72" w:rsidRPr="00DF3454">
          <w:rPr>
            <w:rStyle w:val="a5"/>
          </w:rPr>
          <w:t>十六</w:t>
        </w:r>
      </w:hyperlink>
      <w:r w:rsidR="00203F72" w:rsidRPr="00A53581">
        <w:rPr>
          <w:rFonts w:ascii="新細明體" w:hAnsi="新細明體"/>
        </w:rPr>
        <w:t>條（保護隱私權）、第</w:t>
      </w:r>
      <w:hyperlink r:id="rId2755" w:anchor="a17" w:history="1">
        <w:r w:rsidR="00203F72" w:rsidRPr="00DF3454">
          <w:rPr>
            <w:rStyle w:val="a5"/>
          </w:rPr>
          <w:t>十七</w:t>
        </w:r>
      </w:hyperlink>
      <w:r w:rsidR="00203F72" w:rsidRPr="00A53581">
        <w:rPr>
          <w:rFonts w:ascii="新細明體" w:hAnsi="新細明體"/>
        </w:rPr>
        <w:t>條（適當資訊利用權）、第</w:t>
      </w:r>
      <w:hyperlink r:id="rId2756" w:anchor="a18" w:history="1">
        <w:r w:rsidR="00203F72" w:rsidRPr="00DF3454">
          <w:rPr>
            <w:rStyle w:val="a5"/>
          </w:rPr>
          <w:t>十八</w:t>
        </w:r>
      </w:hyperlink>
      <w:r w:rsidR="00203F72" w:rsidRPr="00A53581">
        <w:rPr>
          <w:rFonts w:ascii="新細明體" w:hAnsi="新細明體"/>
        </w:rPr>
        <w:t>條（父母之責任）、第</w:t>
      </w:r>
      <w:hyperlink r:id="rId2757" w:anchor="a19" w:history="1">
        <w:r w:rsidR="00203F72" w:rsidRPr="00DF3454">
          <w:rPr>
            <w:rStyle w:val="a5"/>
          </w:rPr>
          <w:t>十九</w:t>
        </w:r>
      </w:hyperlink>
      <w:r w:rsidR="00203F72" w:rsidRPr="00A53581">
        <w:rPr>
          <w:rFonts w:ascii="新細明體" w:hAnsi="新細明體"/>
        </w:rPr>
        <w:t>條（防止遭受虐待及遺棄的保護措施）、第</w:t>
      </w:r>
      <w:hyperlink r:id="rId2758" w:anchor="a20" w:history="1">
        <w:r w:rsidR="00203F72" w:rsidRPr="00DF3454">
          <w:rPr>
            <w:rStyle w:val="a5"/>
          </w:rPr>
          <w:t>二十</w:t>
        </w:r>
      </w:hyperlink>
      <w:r w:rsidR="00203F72" w:rsidRPr="00A53581">
        <w:rPr>
          <w:rFonts w:ascii="新細明體" w:hAnsi="新細明體"/>
        </w:rPr>
        <w:t>條（保護喪失家庭環境的兒童）、第</w:t>
      </w:r>
      <w:hyperlink r:id="rId2759" w:anchor="a21" w:history="1">
        <w:r w:rsidR="00203F72" w:rsidRPr="00DC1C0D">
          <w:rPr>
            <w:rStyle w:val="a5"/>
          </w:rPr>
          <w:t>二十一</w:t>
        </w:r>
      </w:hyperlink>
      <w:r w:rsidR="00203F72" w:rsidRPr="00A53581">
        <w:rPr>
          <w:rFonts w:ascii="新細明體" w:hAnsi="新細明體"/>
        </w:rPr>
        <w:t>條（收養制度）、第</w:t>
      </w:r>
      <w:hyperlink r:id="rId2760" w:anchor="a22" w:history="1">
        <w:r w:rsidR="00203F72" w:rsidRPr="00DC1C0D">
          <w:rPr>
            <w:rStyle w:val="a5"/>
          </w:rPr>
          <w:t>二十二</w:t>
        </w:r>
      </w:hyperlink>
      <w:r w:rsidR="00203F72" w:rsidRPr="00A53581">
        <w:rPr>
          <w:rFonts w:ascii="新細明體" w:hAnsi="新細明體"/>
        </w:rPr>
        <w:t>條（難民兒童）、第</w:t>
      </w:r>
      <w:hyperlink r:id="rId2761" w:anchor="a23" w:history="1">
        <w:r w:rsidR="00203F72" w:rsidRPr="00DC1C0D">
          <w:rPr>
            <w:rStyle w:val="a5"/>
          </w:rPr>
          <w:t>二十三</w:t>
        </w:r>
      </w:hyperlink>
      <w:r w:rsidR="00203F72" w:rsidRPr="00A53581">
        <w:rPr>
          <w:rFonts w:ascii="新細明體" w:hAnsi="新細明體"/>
        </w:rPr>
        <w:t>條（殘障兒童的福利）、第</w:t>
      </w:r>
      <w:hyperlink r:id="rId2762" w:anchor="24" w:history="1">
        <w:r w:rsidR="00203F72" w:rsidRPr="00DC1C0D">
          <w:rPr>
            <w:rStyle w:val="a5"/>
          </w:rPr>
          <w:t>二十四</w:t>
        </w:r>
      </w:hyperlink>
      <w:r w:rsidR="00203F72" w:rsidRPr="00A53581">
        <w:rPr>
          <w:rFonts w:ascii="新細明體" w:hAnsi="新細明體"/>
        </w:rPr>
        <w:t>條（醫療和保健服務權）、第</w:t>
      </w:r>
      <w:hyperlink r:id="rId2763" w:anchor="a25" w:history="1">
        <w:r w:rsidR="00203F72" w:rsidRPr="00DC1C0D">
          <w:rPr>
            <w:rStyle w:val="a5"/>
          </w:rPr>
          <w:t>二十五</w:t>
        </w:r>
      </w:hyperlink>
      <w:r w:rsidR="00203F72" w:rsidRPr="00A53581">
        <w:rPr>
          <w:rFonts w:ascii="新細明體" w:hAnsi="新細明體"/>
        </w:rPr>
        <w:t>條（收容兒童的定期審查）、第</w:t>
      </w:r>
      <w:hyperlink r:id="rId2764" w:anchor="a26" w:history="1">
        <w:r w:rsidR="00203F72" w:rsidRPr="00DC1C0D">
          <w:rPr>
            <w:rStyle w:val="a5"/>
          </w:rPr>
          <w:t>二十六</w:t>
        </w:r>
      </w:hyperlink>
      <w:r w:rsidR="00203F72" w:rsidRPr="00A53581">
        <w:rPr>
          <w:rFonts w:ascii="新細明體" w:hAnsi="新細明體"/>
        </w:rPr>
        <w:t>條（社會保障權）、第</w:t>
      </w:r>
      <w:hyperlink r:id="rId2765" w:anchor="a27" w:history="1">
        <w:r w:rsidR="00203F72" w:rsidRPr="00DC1C0D">
          <w:rPr>
            <w:rStyle w:val="a5"/>
          </w:rPr>
          <w:t>二十七</w:t>
        </w:r>
      </w:hyperlink>
      <w:r w:rsidR="00203F72" w:rsidRPr="00A53581">
        <w:rPr>
          <w:rFonts w:ascii="新細明體" w:hAnsi="新細明體"/>
        </w:rPr>
        <w:t>條（生活水準權）、第</w:t>
      </w:r>
      <w:hyperlink r:id="rId2766" w:anchor="a28" w:history="1">
        <w:r w:rsidR="00203F72" w:rsidRPr="00DC1C0D">
          <w:rPr>
            <w:rStyle w:val="a5"/>
          </w:rPr>
          <w:t>二十八</w:t>
        </w:r>
      </w:hyperlink>
      <w:r w:rsidR="00203F72" w:rsidRPr="00A53581">
        <w:rPr>
          <w:rFonts w:ascii="新細明體" w:hAnsi="新細明體"/>
        </w:rPr>
        <w:t>條（教育權）、第</w:t>
      </w:r>
      <w:hyperlink r:id="rId2767" w:anchor="a29" w:history="1">
        <w:r w:rsidR="00203F72" w:rsidRPr="00DC1C0D">
          <w:rPr>
            <w:rStyle w:val="a5"/>
          </w:rPr>
          <w:t>二十九</w:t>
        </w:r>
      </w:hyperlink>
      <w:r w:rsidR="00203F72" w:rsidRPr="00A53581">
        <w:rPr>
          <w:rFonts w:ascii="新細明體" w:hAnsi="新細明體"/>
        </w:rPr>
        <w:t>條（教育目的）、第</w:t>
      </w:r>
      <w:hyperlink r:id="rId2768" w:anchor="a30" w:history="1">
        <w:r w:rsidR="00203F72" w:rsidRPr="00DC1C0D">
          <w:rPr>
            <w:rStyle w:val="a5"/>
          </w:rPr>
          <w:t>三十</w:t>
        </w:r>
      </w:hyperlink>
      <w:r w:rsidR="00203F72" w:rsidRPr="00A53581">
        <w:rPr>
          <w:rFonts w:ascii="新細明體" w:hAnsi="新細明體"/>
        </w:rPr>
        <w:t>條（少數民族與原住民兒童）、第</w:t>
      </w:r>
      <w:hyperlink r:id="rId2769" w:anchor="a31" w:history="1">
        <w:r w:rsidR="00203F72" w:rsidRPr="00DC1C0D">
          <w:rPr>
            <w:rStyle w:val="a5"/>
          </w:rPr>
          <w:t>三十一</w:t>
        </w:r>
      </w:hyperlink>
      <w:r w:rsidR="00203F72" w:rsidRPr="00A53581">
        <w:rPr>
          <w:rFonts w:ascii="新細明體" w:hAnsi="新細明體"/>
        </w:rPr>
        <w:t>條（休閒、娛樂及文化活動權）、第</w:t>
      </w:r>
      <w:hyperlink r:id="rId2770" w:anchor="a32" w:history="1">
        <w:r w:rsidR="00203F72" w:rsidRPr="00DC1C0D">
          <w:rPr>
            <w:rStyle w:val="a5"/>
          </w:rPr>
          <w:t>三十二</w:t>
        </w:r>
      </w:hyperlink>
      <w:r w:rsidR="00203F72" w:rsidRPr="00A53581">
        <w:rPr>
          <w:rFonts w:ascii="新細明體" w:hAnsi="新細明體"/>
        </w:rPr>
        <w:t>條（保護兒童免受經濟剝削）、第</w:t>
      </w:r>
      <w:hyperlink r:id="rId2771" w:anchor="a33" w:history="1">
        <w:r w:rsidR="00203F72" w:rsidRPr="00DC1C0D">
          <w:rPr>
            <w:rStyle w:val="a5"/>
          </w:rPr>
          <w:t>三十三</w:t>
        </w:r>
      </w:hyperlink>
      <w:r w:rsidR="00203F72" w:rsidRPr="00A53581">
        <w:rPr>
          <w:rFonts w:ascii="新細明體" w:hAnsi="新細明體"/>
        </w:rPr>
        <w:t>條（保護兒童不受麻醉藥品和精神擾亂劑之危害）、第</w:t>
      </w:r>
      <w:hyperlink r:id="rId2772" w:anchor="a34" w:history="1">
        <w:r w:rsidR="00203F72" w:rsidRPr="00DC1C0D">
          <w:rPr>
            <w:rStyle w:val="a5"/>
          </w:rPr>
          <w:t>三十四</w:t>
        </w:r>
      </w:hyperlink>
      <w:r w:rsidR="00203F72" w:rsidRPr="00A53581">
        <w:rPr>
          <w:rFonts w:ascii="新細明體" w:hAnsi="新細明體"/>
        </w:rPr>
        <w:t>條（保護避免受到性剝削）、第</w:t>
      </w:r>
      <w:hyperlink r:id="rId2773" w:anchor="a35" w:history="1">
        <w:r w:rsidR="00203F72" w:rsidRPr="00DC1C0D">
          <w:rPr>
            <w:rStyle w:val="a5"/>
          </w:rPr>
          <w:t>三十五</w:t>
        </w:r>
      </w:hyperlink>
      <w:r w:rsidR="00203F72" w:rsidRPr="00A53581">
        <w:rPr>
          <w:rFonts w:ascii="新細明體" w:hAnsi="新細明體"/>
        </w:rPr>
        <w:t>條（防止誘拐、買賣、交易）、第</w:t>
      </w:r>
      <w:hyperlink r:id="rId2774" w:anchor="a36" w:history="1">
        <w:r w:rsidR="00203F72" w:rsidRPr="00DC1C0D">
          <w:rPr>
            <w:rStyle w:val="a5"/>
          </w:rPr>
          <w:t>三十六</w:t>
        </w:r>
      </w:hyperlink>
      <w:r w:rsidR="00203F72" w:rsidRPr="00A53581">
        <w:rPr>
          <w:rFonts w:ascii="新細明體" w:hAnsi="新細明體"/>
        </w:rPr>
        <w:t>條（避免其他各種形式之剝削）、第</w:t>
      </w:r>
      <w:hyperlink r:id="rId2775" w:anchor="a37" w:history="1">
        <w:r w:rsidR="00203F72" w:rsidRPr="00DC1C0D">
          <w:rPr>
            <w:rStyle w:val="a5"/>
          </w:rPr>
          <w:t>三十七</w:t>
        </w:r>
      </w:hyperlink>
      <w:r w:rsidR="00203F72" w:rsidRPr="00A53581">
        <w:rPr>
          <w:rFonts w:ascii="新細明體" w:hAnsi="新細明體"/>
        </w:rPr>
        <w:t>條（禁止刑求及剝奪自由）、第</w:t>
      </w:r>
      <w:hyperlink r:id="rId2776" w:anchor="a38" w:history="1">
        <w:r w:rsidR="00203F72" w:rsidRPr="00DC1C0D">
          <w:rPr>
            <w:rStyle w:val="a5"/>
          </w:rPr>
          <w:t>三十八</w:t>
        </w:r>
      </w:hyperlink>
      <w:r w:rsidR="00203F72" w:rsidRPr="00A53581">
        <w:rPr>
          <w:rFonts w:ascii="新細明體" w:hAnsi="新細明體"/>
        </w:rPr>
        <w:t>條（從武力紛爭中獲得保障）、第</w:t>
      </w:r>
      <w:hyperlink r:id="rId2777" w:anchor="a40" w:history="1">
        <w:r w:rsidR="00203F72" w:rsidRPr="00DC1C0D">
          <w:rPr>
            <w:rStyle w:val="a5"/>
          </w:rPr>
          <w:t>四十</w:t>
        </w:r>
      </w:hyperlink>
      <w:r w:rsidR="00203F72" w:rsidRPr="00A53581">
        <w:rPr>
          <w:rFonts w:ascii="新細明體" w:hAnsi="新細明體"/>
        </w:rPr>
        <w:t>條（少年司法權）及第</w:t>
      </w:r>
      <w:hyperlink r:id="rId2778" w:anchor="a41" w:history="1">
        <w:r w:rsidR="00203F72" w:rsidRPr="00DC1C0D">
          <w:rPr>
            <w:rStyle w:val="a5"/>
          </w:rPr>
          <w:t>四十一</w:t>
        </w:r>
      </w:hyperlink>
      <w:r w:rsidR="00203F72" w:rsidRPr="00A53581">
        <w:rPr>
          <w:rFonts w:ascii="新細明體" w:hAnsi="新細明體"/>
        </w:rPr>
        <w:t>條（既有利益之確保）等，上述對兒童人權之具體保障內容、射程與範圍，均宜入憲化為佳。</w:t>
      </w:r>
    </w:p>
    <w:p w14:paraId="7CB852AC" w14:textId="77777777" w:rsidR="00953151" w:rsidRDefault="005E23E3" w:rsidP="00D87D91">
      <w:r>
        <w:t xml:space="preserve">　　</w:t>
      </w:r>
      <w:r w:rsidR="00203F72" w:rsidRPr="00A53581">
        <w:t>就我國憲法內涵之現況而言，我國憲法</w:t>
      </w:r>
      <w:r w:rsidR="00203F72" w:rsidRPr="00A53581">
        <w:t>(</w:t>
      </w:r>
      <w:r w:rsidR="00203F72" w:rsidRPr="00A53581">
        <w:t>含增修條文</w:t>
      </w:r>
      <w:r w:rsidR="00203F72" w:rsidRPr="00A53581">
        <w:t>)</w:t>
      </w:r>
      <w:r w:rsidR="00203F72" w:rsidRPr="00A53581">
        <w:t>對於兒童權利之保障，非常欠缺與不足。玆舉一例說明：中華民國之兒童，究竟是否享有人性尊嚴之權利，不得而知？兒童所享有之「憲法上之權利」，究竟及於何種程度？我國憲法亦無精準之規範，中華民國兒童似已成為我國「憲法化外之民」，或可謂「憲法孤兒」，我國憲法實宜強化與加大對於兒童權利保障之力道與能量</w:t>
      </w:r>
      <w:r w:rsidR="00545D58">
        <w:t>。</w:t>
      </w:r>
    </w:p>
    <w:p w14:paraId="46488778"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6781F184" w14:textId="77777777" w:rsidR="00145751" w:rsidRDefault="00145751" w:rsidP="00D87D91"/>
    <w:p w14:paraId="7F1B3682" w14:textId="77777777" w:rsidR="00953151" w:rsidRDefault="00203F72" w:rsidP="00767F37">
      <w:pPr>
        <w:pStyle w:val="2"/>
      </w:pPr>
      <w:bookmarkStart w:id="147" w:name="_貳拾肆、憲法宜明文規範保障外國人工作權、工作條件及勞動基本權"/>
      <w:bookmarkEnd w:id="147"/>
      <w:r w:rsidRPr="00A53581">
        <w:t>貳拾肆、憲法宜明文規範保障外國人工作權、工作條件及勞動基本權</w:t>
      </w:r>
    </w:p>
    <w:p w14:paraId="52070619" w14:textId="77777777" w:rsidR="00203F72" w:rsidRPr="00A53581" w:rsidRDefault="005E23E3" w:rsidP="00D87D91">
      <w:r>
        <w:t xml:space="preserve">　　</w:t>
      </w:r>
      <w:r w:rsidR="00203F72" w:rsidRPr="00A53581">
        <w:t>有關於憲法宜明文規範保障外國人工作權、工作條件及勞動基本權部分，本書臚列以下之建議：</w:t>
      </w:r>
    </w:p>
    <w:p w14:paraId="7281C412" w14:textId="77777777" w:rsidR="00203F72" w:rsidRPr="00A53581" w:rsidRDefault="005E23E3" w:rsidP="00D87D91">
      <w:r>
        <w:t xml:space="preserve">　　</w:t>
      </w:r>
      <w:r w:rsidR="00203F72" w:rsidRPr="00A53581">
        <w:t>一、整體而論，我國憲法對於外國人工作權之保障，似宜與《</w:t>
      </w:r>
      <w:hyperlink r:id="rId2779" w:history="1">
        <w:r w:rsidR="00203F72" w:rsidRPr="00C94B4E">
          <w:rPr>
            <w:rStyle w:val="a5"/>
          </w:rPr>
          <w:t>世界人權宣言</w:t>
        </w:r>
      </w:hyperlink>
      <w:r w:rsidR="00203F72" w:rsidRPr="00A53581">
        <w:t>》、《經濟、社會、文化權利國際公約》、《</w:t>
      </w:r>
      <w:hyperlink r:id="rId2780" w:history="1">
        <w:r w:rsidR="00203F72" w:rsidRPr="00C94B4E">
          <w:rPr>
            <w:rStyle w:val="a5"/>
          </w:rPr>
          <w:t>公民與政治權利國際公約</w:t>
        </w:r>
      </w:hyperlink>
      <w:r w:rsidR="00203F72" w:rsidRPr="00A53581">
        <w:t>》、《</w:t>
      </w:r>
      <w:hyperlink r:id="rId2781" w:history="1">
        <w:r w:rsidR="00203F72" w:rsidRPr="00AE46A7">
          <w:rPr>
            <w:rStyle w:val="a5"/>
            <w:rFonts w:ascii="Times New Roman" w:eastAsia="新細明體" w:hAnsi="Times New Roman"/>
          </w:rPr>
          <w:t>消除一切形式種族歧視國際公約</w:t>
        </w:r>
      </w:hyperlink>
      <w:r w:rsidR="00203F72" w:rsidRPr="00A53581">
        <w:t>》及《</w:t>
      </w:r>
      <w:hyperlink r:id="rId2782" w:history="1">
        <w:r w:rsidR="00DC1C0D" w:rsidRPr="00DC1C0D">
          <w:rPr>
            <w:rStyle w:val="a5"/>
          </w:rPr>
          <w:t>消除對婦女一切形式歧視公約</w:t>
        </w:r>
      </w:hyperlink>
      <w:r w:rsidR="00203F72" w:rsidRPr="00A53581">
        <w:t>》等國際條約進行接軌。尤其有必要將</w:t>
      </w:r>
      <w:r w:rsidR="00044467" w:rsidRPr="002F3FE8">
        <w:t>「</w:t>
      </w:r>
      <w:hyperlink r:id="rId2783" w:history="1">
        <w:r w:rsidR="00044467" w:rsidRPr="007D25E4">
          <w:rPr>
            <w:rStyle w:val="a5"/>
            <w:rFonts w:ascii="Times New Roman" w:eastAsia="新細明體" w:hAnsi="Times New Roman"/>
          </w:rPr>
          <w:t>保護所有移徙工人及其家庭成員權利國際公約</w:t>
        </w:r>
      </w:hyperlink>
      <w:r w:rsidR="00203F72" w:rsidRPr="00A53581">
        <w:t>」相關之條文精神與實際內容，落實寫入於憲法之中。</w:t>
      </w:r>
    </w:p>
    <w:p w14:paraId="774BE251" w14:textId="77777777" w:rsidR="00203F72" w:rsidRPr="00A53581" w:rsidRDefault="005E23E3" w:rsidP="00D87D91">
      <w:r>
        <w:t xml:space="preserve">　　</w:t>
      </w:r>
      <w:r w:rsidR="00203F72" w:rsidRPr="00A53581">
        <w:t>二、我國對於外籍家事勞工與雇主間之勞資契約，宜進行必要之管控或規制；</w:t>
      </w:r>
    </w:p>
    <w:p w14:paraId="35364054" w14:textId="77777777" w:rsidR="00203F72" w:rsidRPr="00A53581" w:rsidRDefault="005E23E3" w:rsidP="00D87D91">
      <w:r>
        <w:t xml:space="preserve">　　</w:t>
      </w:r>
      <w:r w:rsidR="00203F72" w:rsidRPr="00A53581">
        <w:t>三、雇主延長外籍家事勞工之工作時間者，逾時工資宜為平日每小時標準之</w:t>
      </w:r>
      <w:r w:rsidR="00203F72" w:rsidRPr="00A53581">
        <w:t>1.5</w:t>
      </w:r>
      <w:r w:rsidR="00203F72" w:rsidRPr="00A53581">
        <w:t>倍以上，並運用法律明文規範為佳，以確實地保障外籍家事勞工之權益。</w:t>
      </w:r>
    </w:p>
    <w:p w14:paraId="7D4E9693" w14:textId="77777777" w:rsidR="00203F72" w:rsidRPr="00A53581" w:rsidRDefault="005E23E3" w:rsidP="00D87D91">
      <w:r>
        <w:t xml:space="preserve">　　</w:t>
      </w:r>
      <w:r w:rsidR="00203F72" w:rsidRPr="00A53581">
        <w:t>四、外籍家事勞工之薪資，如與本國勞工之薪資比較，外籍家事勞工之薪資宜受到同工同酬</w:t>
      </w:r>
      <w:r w:rsidR="00203F72" w:rsidRPr="00A53581">
        <w:t>(Equal pay for equal work)</w:t>
      </w:r>
      <w:r w:rsidR="00203F72" w:rsidRPr="00A53581">
        <w:t>之保障，以符合憲法之平等原則。玆以</w:t>
      </w:r>
      <w:hyperlink r:id="rId2784" w:history="1">
        <w:r w:rsidR="00203F72" w:rsidRPr="00D40983">
          <w:rPr>
            <w:rStyle w:val="a5"/>
            <w:rFonts w:ascii="Times New Roman" w:eastAsia="新細明體" w:hAnsi="Times New Roman"/>
            <w:lang w:bidi="bn-IN"/>
          </w:rPr>
          <w:t>經濟、社會和文化權利國際公約</w:t>
        </w:r>
      </w:hyperlink>
      <w:r w:rsidR="00203F72" w:rsidRPr="00A53581">
        <w:rPr>
          <w:lang w:bidi="bn-IN"/>
        </w:rPr>
        <w:t>(International Covenant on Economic, Social and Cultural Rights)</w:t>
      </w:r>
      <w:r w:rsidR="00203F72" w:rsidRPr="00A53581">
        <w:rPr>
          <w:lang w:bidi="bn-IN"/>
        </w:rPr>
        <w:t>為例，依本公約</w:t>
      </w:r>
      <w:hyperlink r:id="rId2785" w:anchor="a2" w:history="1">
        <w:r w:rsidR="00203F72" w:rsidRPr="00D40983">
          <w:rPr>
            <w:rStyle w:val="a5"/>
            <w:rFonts w:ascii="Times New Roman" w:eastAsia="新細明體" w:hAnsi="Times New Roman"/>
            <w:lang w:bidi="bn-IN"/>
          </w:rPr>
          <w:t>第二條</w:t>
        </w:r>
      </w:hyperlink>
      <w:r w:rsidR="00203F72" w:rsidRPr="00A53581">
        <w:rPr>
          <w:lang w:bidi="bn-IN"/>
        </w:rPr>
        <w:t>（締約國義務）第</w:t>
      </w:r>
      <w:r w:rsidR="00203F72" w:rsidRPr="00A53581">
        <w:rPr>
          <w:lang w:bidi="bn-IN"/>
        </w:rPr>
        <w:t>2</w:t>
      </w:r>
      <w:r w:rsidR="00203F72" w:rsidRPr="00A53581">
        <w:rPr>
          <w:lang w:bidi="bn-IN"/>
        </w:rPr>
        <w:t>項之規定，「本公約締約各國承擔保證，本公約所宣佈的權利應予普遍行使，而不得有例如種族、膚色、性別、語言、宗教、政治或其他見解、國籍或社會出身、財產、出生或其他身分等任何區分。」此項之條文，係為不區別歧</w:t>
      </w:r>
      <w:r w:rsidR="003E240E">
        <w:rPr>
          <w:lang w:bidi="bn-IN"/>
        </w:rPr>
        <w:t>視</w:t>
      </w:r>
      <w:r w:rsidR="00203F72" w:rsidRPr="00A53581">
        <w:rPr>
          <w:lang w:bidi="bn-IN"/>
        </w:rPr>
        <w:t>原則。依據此一不歧</w:t>
      </w:r>
      <w:r w:rsidR="003E240E">
        <w:rPr>
          <w:lang w:bidi="bn-IN"/>
        </w:rPr>
        <w:t>視</w:t>
      </w:r>
      <w:r w:rsidR="00203F72" w:rsidRPr="00A53581">
        <w:rPr>
          <w:lang w:bidi="bn-IN"/>
        </w:rPr>
        <w:t>原則，本公約所宣佈的權利應予普遍行使，此種之權利，包括：</w:t>
      </w:r>
      <w:hyperlink r:id="rId2786" w:anchor="a6" w:history="1">
        <w:r w:rsidR="00203F72" w:rsidRPr="00D40983">
          <w:rPr>
            <w:rStyle w:val="a5"/>
            <w:rFonts w:ascii="Times New Roman" w:eastAsia="新細明體" w:hAnsi="Times New Roman"/>
          </w:rPr>
          <w:t>第六條</w:t>
        </w:r>
      </w:hyperlink>
      <w:r w:rsidR="00203F72" w:rsidRPr="00A53581">
        <w:t>（工作權）、</w:t>
      </w:r>
      <w:hyperlink r:id="rId2787" w:anchor="a7" w:history="1">
        <w:r w:rsidR="00203F72" w:rsidRPr="00D40983">
          <w:rPr>
            <w:rStyle w:val="a5"/>
            <w:rFonts w:ascii="Times New Roman" w:eastAsia="新細明體" w:hAnsi="Times New Roman"/>
          </w:rPr>
          <w:t>第七條</w:t>
        </w:r>
      </w:hyperlink>
      <w:r w:rsidR="00203F72" w:rsidRPr="00A53581">
        <w:t>（工作條件）、</w:t>
      </w:r>
      <w:hyperlink r:id="rId2788" w:anchor="a8" w:history="1">
        <w:r w:rsidR="00203F72" w:rsidRPr="00D40983">
          <w:rPr>
            <w:rStyle w:val="a5"/>
            <w:rFonts w:ascii="Times New Roman" w:eastAsia="新細明體" w:hAnsi="Times New Roman"/>
          </w:rPr>
          <w:t>第八條</w:t>
        </w:r>
      </w:hyperlink>
      <w:r w:rsidR="00203F72" w:rsidRPr="00A53581">
        <w:t>（勞動基本權）等，</w:t>
      </w:r>
      <w:r w:rsidR="00203F72" w:rsidRPr="00A53581">
        <w:rPr>
          <w:lang w:bidi="bn-IN"/>
        </w:rPr>
        <w:t>而不得因外國人之國籍，有異於本國人之國籍，而有所區分。我國憲法實踐之實況，係放任本國人對於</w:t>
      </w:r>
      <w:r w:rsidR="00203F72" w:rsidRPr="00A53581">
        <w:t>外籍家事勞工，進行勞力之剝削與壓榨，形成人口販運中之勞力剝削，實與《</w:t>
      </w:r>
      <w:hyperlink r:id="rId2789" w:history="1">
        <w:r w:rsidR="00F35C5F" w:rsidRPr="00F35C5F">
          <w:rPr>
            <w:rStyle w:val="a5"/>
          </w:rPr>
          <w:t>世界人權宣言</w:t>
        </w:r>
      </w:hyperlink>
      <w:r w:rsidR="00203F72" w:rsidRPr="00A53581">
        <w:t>》、《</w:t>
      </w:r>
      <w:hyperlink r:id="rId2790" w:history="1">
        <w:r w:rsidR="00203F72" w:rsidRPr="00D40983">
          <w:rPr>
            <w:rStyle w:val="a5"/>
            <w:rFonts w:ascii="Times New Roman" w:eastAsia="新細明體" w:hAnsi="Times New Roman"/>
          </w:rPr>
          <w:t>經濟、社會、文化權利國際公約</w:t>
        </w:r>
      </w:hyperlink>
      <w:r w:rsidR="00203F72" w:rsidRPr="00A53581">
        <w:t>》等國際人權法相互違背，嚴重違反及侵犯外籍家事勞工之人性尊嚴。有鑑於此，本書主張，憲法宜明文規範保障外國人工作權、工作條件及勞動基本權。</w:t>
      </w:r>
    </w:p>
    <w:p w14:paraId="4AF39138" w14:textId="77777777" w:rsidR="00203F72" w:rsidRPr="00A53581" w:rsidRDefault="005E23E3" w:rsidP="00D87D91">
      <w:r>
        <w:t xml:space="preserve">　　</w:t>
      </w:r>
      <w:r w:rsidR="00203F72" w:rsidRPr="00A53581">
        <w:t>五、台灣</w:t>
      </w:r>
      <w:hyperlink r:id="rId2791" w:history="1">
        <w:r w:rsidR="005576A4" w:rsidRPr="002F3FE8">
          <w:rPr>
            <w:rStyle w:val="a5"/>
            <w:rFonts w:ascii="Times New Roman" w:eastAsia="新細明體" w:hAnsi="Times New Roman"/>
          </w:rPr>
          <w:t>勞動基準法</w:t>
        </w:r>
      </w:hyperlink>
      <w:r w:rsidR="00203F72" w:rsidRPr="00A53581">
        <w:t>之適用對象，宜包括「外籍家事勞工」；</w:t>
      </w:r>
    </w:p>
    <w:p w14:paraId="7D16E915" w14:textId="77777777" w:rsidR="00953151" w:rsidRDefault="005E23E3" w:rsidP="00D87D91">
      <w:pPr>
        <w:rPr>
          <w:kern w:val="0"/>
          <w:lang w:bidi="bn-IN"/>
        </w:rPr>
      </w:pPr>
      <w:r>
        <w:t xml:space="preserve">　　</w:t>
      </w:r>
      <w:r w:rsidR="00203F72" w:rsidRPr="00A53581">
        <w:t>六、台灣現階段對於「外籍家事勞工」</w:t>
      </w:r>
      <w:r w:rsidR="00203F72" w:rsidRPr="00A53581">
        <w:rPr>
          <w:kern w:val="0"/>
          <w:lang w:bidi="bn-IN"/>
        </w:rPr>
        <w:t>所進行之勞力剝削，形同</w:t>
      </w:r>
      <w:r w:rsidR="00203F72" w:rsidRPr="00A53581">
        <w:rPr>
          <w:kern w:val="0"/>
          <w:lang w:bidi="bn-IN"/>
        </w:rPr>
        <w:t>21</w:t>
      </w:r>
      <w:r w:rsidR="00203F72" w:rsidRPr="00A53581">
        <w:rPr>
          <w:kern w:val="0"/>
          <w:lang w:bidi="bn-IN"/>
        </w:rPr>
        <w:t>世紀版之奴隸制度，已令</w:t>
      </w:r>
      <w:r w:rsidR="00203F72" w:rsidRPr="00A53581">
        <w:t>「外籍家事勞工」處於「非人」之處境。我國實有必要站在文明憲法之層次，澈底消除上述</w:t>
      </w:r>
      <w:r w:rsidR="00203F72" w:rsidRPr="00A53581">
        <w:rPr>
          <w:kern w:val="0"/>
          <w:lang w:bidi="bn-IN"/>
        </w:rPr>
        <w:t>21</w:t>
      </w:r>
      <w:r w:rsidR="00203F72" w:rsidRPr="00A53581">
        <w:rPr>
          <w:kern w:val="0"/>
          <w:lang w:bidi="bn-IN"/>
        </w:rPr>
        <w:t>世紀版之台灣奴隸制度，令台灣</w:t>
      </w:r>
      <w:r w:rsidR="00203F72" w:rsidRPr="00A53581">
        <w:t>「外籍家事勞工」享有其應保有之人性尊嚴</w:t>
      </w:r>
      <w:r w:rsidR="00203F72" w:rsidRPr="00A53581">
        <w:rPr>
          <w:kern w:val="0"/>
          <w:lang w:bidi="bn-IN"/>
        </w:rPr>
        <w:t>。</w:t>
      </w:r>
    </w:p>
    <w:p w14:paraId="72F8BF5D"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BD252FD" w14:textId="77777777" w:rsidR="00145751" w:rsidRDefault="00145751" w:rsidP="00D87D91"/>
    <w:p w14:paraId="5EC685A8" w14:textId="77777777" w:rsidR="00953151" w:rsidRDefault="00203F72" w:rsidP="00767F37">
      <w:pPr>
        <w:pStyle w:val="2"/>
      </w:pPr>
      <w:bookmarkStart w:id="148" w:name="_貳拾伍、憲法宜明文規範與保障已取得永久居留資格外國人享有政治上之選舉權"/>
      <w:bookmarkEnd w:id="148"/>
      <w:r w:rsidRPr="00A53581">
        <w:t>貳拾伍、憲法宜明文規範與保障已取得永久居留資格外國人享有政治上之選舉權與任公職權利</w:t>
      </w:r>
    </w:p>
    <w:p w14:paraId="01025E65" w14:textId="77777777" w:rsidR="00953151" w:rsidRPr="00D40983" w:rsidRDefault="005E23E3" w:rsidP="00D40983">
      <w:r w:rsidRPr="00D40983">
        <w:t xml:space="preserve">　　</w:t>
      </w:r>
      <w:r w:rsidR="00203F72" w:rsidRPr="00D40983">
        <w:t>玆以芬蘭憲法第</w:t>
      </w:r>
      <w:r w:rsidR="00203F72" w:rsidRPr="00D40983">
        <w:t>14</w:t>
      </w:r>
      <w:r w:rsidR="00203F72" w:rsidRPr="00D40983">
        <w:t>條為例，本條主要係規定政治上之選舉權與任公職權利；依據芬蘭憲法第</w:t>
      </w:r>
      <w:r w:rsidR="00203F72" w:rsidRPr="00D40983">
        <w:t>14</w:t>
      </w:r>
      <w:r w:rsidR="00203F72" w:rsidRPr="00D40983">
        <w:t>條第</w:t>
      </w:r>
      <w:r w:rsidR="00203F72" w:rsidRPr="00D40983">
        <w:t>3</w:t>
      </w:r>
      <w:r w:rsidR="00203F72" w:rsidRPr="00D40983">
        <w:t>項之規定</w:t>
      </w:r>
      <w:r w:rsidR="00203F72" w:rsidRPr="00D40983">
        <w:footnoteReference w:id="1102"/>
      </w:r>
      <w:r w:rsidR="00203F72" w:rsidRPr="00D40983">
        <w:t>，已取得永久居留資格之外國人</w:t>
      </w:r>
      <w:r w:rsidR="00203F72" w:rsidRPr="00D40983">
        <w:t>(every foreigner permanently resident in Finland)</w:t>
      </w:r>
      <w:r w:rsidR="00203F72" w:rsidRPr="00D40983">
        <w:t>，於其年齡達到</w:t>
      </w:r>
      <w:r w:rsidR="00203F72" w:rsidRPr="00D40983">
        <w:t>18</w:t>
      </w:r>
      <w:r w:rsidR="00203F72" w:rsidRPr="00D40983">
        <w:t>歲之後</w:t>
      </w:r>
      <w:r w:rsidR="00203F72" w:rsidRPr="00D40983">
        <w:t>(having attained eighteen years of age)</w:t>
      </w:r>
      <w:r w:rsidR="00203F72" w:rsidRPr="00D40983">
        <w:t>，有權參與市政選舉及市政公投之投票行為</w:t>
      </w:r>
      <w:r w:rsidR="00203F72" w:rsidRPr="00D40983">
        <w:t>(has the right to vote in municipal elections and municipal referendums)</w:t>
      </w:r>
      <w:r w:rsidR="00203F72" w:rsidRPr="00D40983">
        <w:t>；上述之投票行為，由法律另定之</w:t>
      </w:r>
      <w:r w:rsidR="00203F72" w:rsidRPr="00D40983">
        <w:t>(as provided by an Act)</w:t>
      </w:r>
      <w:r w:rsidR="00203F72" w:rsidRPr="00D40983">
        <w:t>。有關於具有永久居留資格外國人在芬蘭市政機關任公職等之其他相關參政權利</w:t>
      </w:r>
      <w:r w:rsidR="00203F72" w:rsidRPr="00D40983">
        <w:t>(Provisions on the right to otherwise participate in municipal government)</w:t>
      </w:r>
      <w:r w:rsidR="00203F72" w:rsidRPr="00D40983">
        <w:t>，亦由法律明文規定之</w:t>
      </w:r>
      <w:r w:rsidR="00203F72" w:rsidRPr="00D40983">
        <w:t>(are laid down by an Act)</w:t>
      </w:r>
      <w:r w:rsidR="00203F72" w:rsidRPr="00D40983">
        <w:t>。</w:t>
      </w:r>
    </w:p>
    <w:p w14:paraId="52EBEC6E" w14:textId="77777777" w:rsidR="00953151" w:rsidRPr="00D40983" w:rsidRDefault="00D40983" w:rsidP="00D40983">
      <w:r>
        <w:rPr>
          <w:rFonts w:hint="eastAsia"/>
        </w:rPr>
        <w:t xml:space="preserve">　　</w:t>
      </w:r>
      <w:r w:rsidR="00203F72" w:rsidRPr="00D40983">
        <w:t>為了有效提升台灣實質上之國際競爭力、創造力與生產力，及營造有利於外國人生活之有善與舒適生活環境及機能，對於在台灣境內已取得永久居留資格之外國人，在憲法法理部分，可將其認定為準本國人，基此，我國憲法似亦宜比照芬蘭憲法第</w:t>
      </w:r>
      <w:r w:rsidR="00203F72" w:rsidRPr="00D40983">
        <w:t>14</w:t>
      </w:r>
      <w:r w:rsidR="00203F72" w:rsidRPr="00D40983">
        <w:t>條之立憲模式，明文賦予及規範保障外國人政治上之選舉權與任公職權利。</w:t>
      </w:r>
    </w:p>
    <w:p w14:paraId="3FDA2A74"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2F9B7810" w14:textId="77777777" w:rsidR="00145751" w:rsidRDefault="00145751" w:rsidP="00D87D91"/>
    <w:p w14:paraId="7A59C212" w14:textId="77777777" w:rsidR="00953151" w:rsidRDefault="00203F72" w:rsidP="00767F37">
      <w:pPr>
        <w:pStyle w:val="2"/>
      </w:pPr>
      <w:bookmarkStart w:id="149" w:name="_貮拾陸、憲法宜明文保障「後世代權」(right_of_future"/>
      <w:bookmarkEnd w:id="149"/>
      <w:r w:rsidRPr="00A53581">
        <w:t>貮拾陸、憲法宜明文保障「後世代權」</w:t>
      </w:r>
      <w:r w:rsidRPr="00A53581">
        <w:t>(right of future generations)</w:t>
      </w:r>
      <w:r w:rsidRPr="00A53581">
        <w:t>及「動物權」</w:t>
      </w:r>
    </w:p>
    <w:p w14:paraId="60771896" w14:textId="77777777" w:rsidR="00203F72" w:rsidRPr="00D40983" w:rsidRDefault="00D40983" w:rsidP="00D40983">
      <w:r>
        <w:rPr>
          <w:rFonts w:hint="eastAsia"/>
        </w:rPr>
        <w:t xml:space="preserve">　　</w:t>
      </w:r>
      <w:r w:rsidR="00203F72" w:rsidRPr="00D40983">
        <w:t>比照德國基本法的第二十條之一</w:t>
      </w:r>
      <w:r w:rsidR="00203F72" w:rsidRPr="00D40983">
        <w:footnoteReference w:id="1103"/>
      </w:r>
      <w:r w:rsidR="00203F72" w:rsidRPr="00D40983">
        <w:t>及芬蘭憲法第</w:t>
      </w:r>
      <w:r w:rsidR="00203F72" w:rsidRPr="00D40983">
        <w:t>20</w:t>
      </w:r>
      <w:r w:rsidR="00203F72" w:rsidRPr="00D40983">
        <w:t>條</w:t>
      </w:r>
      <w:r w:rsidR="00203F72" w:rsidRPr="00D40983">
        <w:footnoteReference w:id="1104"/>
      </w:r>
      <w:r w:rsidR="00203F72" w:rsidRPr="00D40983">
        <w:t>之立法例，我國憲法宜明文保障「後世代權」</w:t>
      </w:r>
      <w:r w:rsidR="00203F72" w:rsidRPr="00D40983">
        <w:t>(</w:t>
      </w:r>
      <w:r w:rsidR="00203F72" w:rsidRPr="00D40983">
        <w:t>含環境權</w:t>
      </w:r>
      <w:r w:rsidR="00203F72" w:rsidRPr="00D40983">
        <w:t>)</w:t>
      </w:r>
      <w:r w:rsidR="00203F72" w:rsidRPr="00D40983">
        <w:t>及「動物權」；此外，憲法宜逐步加大對於「動物權」之保障。當今，涉及動物權之國際條約之文件，計如下所述：</w:t>
      </w:r>
      <w:r w:rsidR="00203F72" w:rsidRPr="00D40983">
        <w:t>1940</w:t>
      </w:r>
      <w:r w:rsidR="00203F72" w:rsidRPr="00D40983">
        <w:t>年「西半球自然保護及野生生物保育公約」；</w:t>
      </w:r>
      <w:r w:rsidR="00203F72" w:rsidRPr="00D40983">
        <w:t>1946</w:t>
      </w:r>
      <w:r w:rsidR="00203F72" w:rsidRPr="00D40983">
        <w:t>年「國際管制捕鯨公約」；</w:t>
      </w:r>
      <w:r w:rsidR="00203F72" w:rsidRPr="00D40983">
        <w:t>1950</w:t>
      </w:r>
      <w:r w:rsidR="00203F72" w:rsidRPr="00D40983">
        <w:t>年「國際保護野鳥公約」；</w:t>
      </w:r>
      <w:r w:rsidR="00203F72" w:rsidRPr="00D40983">
        <w:t>1959</w:t>
      </w:r>
      <w:r w:rsidR="00203F72" w:rsidRPr="00D40983">
        <w:t>年「南極海洋資源保育公約」；</w:t>
      </w:r>
      <w:r w:rsidR="00203F72" w:rsidRPr="00D40983">
        <w:t>1968</w:t>
      </w:r>
      <w:r w:rsidR="00203F72" w:rsidRPr="00D40983">
        <w:t>年「非洲自然與天然資源保育公約」；</w:t>
      </w:r>
      <w:r w:rsidR="00203F72" w:rsidRPr="00D40983">
        <w:t xml:space="preserve"> 1971</w:t>
      </w:r>
      <w:r w:rsidR="00203F72" w:rsidRPr="00D40983">
        <w:t>年拉姆薩爾公約</w:t>
      </w:r>
      <w:r w:rsidR="00203F72" w:rsidRPr="00D40983">
        <w:t>(</w:t>
      </w:r>
      <w:r w:rsidR="00203F72" w:rsidRPr="00D40983">
        <w:t>特殊水鳥棲息地國際重要濕地公約</w:t>
      </w:r>
      <w:r w:rsidR="00203F72" w:rsidRPr="00D40983">
        <w:t>, RAMSAR)</w:t>
      </w:r>
      <w:r w:rsidR="00203F72" w:rsidRPr="00D40983">
        <w:t>；</w:t>
      </w:r>
      <w:r w:rsidR="00203F72" w:rsidRPr="00D40983">
        <w:t>1972</w:t>
      </w:r>
      <w:r w:rsidR="00203F72" w:rsidRPr="00D40983">
        <w:t>年「保護世界文化暨自然遺產公約」；「瀕臨絕種野生動植物國際貿易公約」﹔</w:t>
      </w:r>
      <w:r w:rsidR="00203F72" w:rsidRPr="00D40983">
        <w:t>1973</w:t>
      </w:r>
      <w:r w:rsidR="00203F72" w:rsidRPr="00D40983">
        <w:t>年「瀕臨絕種野生動植物國際貿易公約」（</w:t>
      </w:r>
      <w:r w:rsidR="00203F72" w:rsidRPr="00D40983">
        <w:t>Convention on International Trade in Endangered Species of Wild Fauna and Flora</w:t>
      </w:r>
      <w:r w:rsidR="00203F72" w:rsidRPr="00D40983">
        <w:t>）</w:t>
      </w:r>
      <w:r w:rsidR="00203F72" w:rsidRPr="00D40983">
        <w:t>(</w:t>
      </w:r>
      <w:r w:rsidR="00203F72" w:rsidRPr="00D40983">
        <w:t>簡稱為「華盛頓公約」</w:t>
      </w:r>
      <w:r w:rsidR="00203F72" w:rsidRPr="00D40983">
        <w:t>)</w:t>
      </w:r>
      <w:r w:rsidR="00203F72" w:rsidRPr="00D40983">
        <w:t>；歐洲議會</w:t>
      </w:r>
      <w:r w:rsidR="00203F72" w:rsidRPr="00D40983">
        <w:t>1987</w:t>
      </w:r>
      <w:r w:rsidR="00203F72" w:rsidRPr="00D40983">
        <w:t>年歐盟</w:t>
      </w:r>
      <w:r w:rsidR="00203F72" w:rsidRPr="00D40983">
        <w:t>125</w:t>
      </w:r>
      <w:r w:rsidR="00203F72" w:rsidRPr="00D40983">
        <w:t>號條約</w:t>
      </w:r>
      <w:r w:rsidR="00203F72" w:rsidRPr="00D40983">
        <w:t>(European Convention for the Protection of Pet Animals )(</w:t>
      </w:r>
      <w:r w:rsidR="00203F72" w:rsidRPr="00D40983">
        <w:t>「人有尊重一切生靈之義務」</w:t>
      </w:r>
      <w:r w:rsidR="00203F72" w:rsidRPr="00D40983">
        <w:t>)</w:t>
      </w:r>
      <w:r w:rsidR="00203F72" w:rsidRPr="00D40983">
        <w:t>；生物多樣性公約；遷移及野生動物保育公約</w:t>
      </w:r>
      <w:r w:rsidR="00203F72" w:rsidRPr="00D40983">
        <w:t>(Bonn Convention)</w:t>
      </w:r>
      <w:r w:rsidR="00203F72" w:rsidRPr="00D40983">
        <w:t>；</w:t>
      </w:r>
      <w:r w:rsidR="00203F72" w:rsidRPr="00D40983">
        <w:t>1992</w:t>
      </w:r>
      <w:r w:rsidR="00203F72" w:rsidRPr="00D40983">
        <w:t>年森林原則</w:t>
      </w:r>
      <w:r w:rsidR="00203F72" w:rsidRPr="00D40983">
        <w:t>(Forest Principles)</w:t>
      </w:r>
      <w:r w:rsidR="00203F72" w:rsidRPr="00D40983">
        <w:t>、</w:t>
      </w:r>
      <w:r w:rsidR="00203F72" w:rsidRPr="00D40983">
        <w:t>1992</w:t>
      </w:r>
      <w:r w:rsidR="00203F72" w:rsidRPr="00D40983">
        <w:t>年全球生物多樣性策略</w:t>
      </w:r>
      <w:r w:rsidR="00203F72" w:rsidRPr="00D40983">
        <w:t>(Global Biodiversity Strategy)</w:t>
      </w:r>
      <w:r w:rsidR="00203F72" w:rsidRPr="00D40983">
        <w:t>；</w:t>
      </w:r>
      <w:r w:rsidR="00203F72" w:rsidRPr="00D40983">
        <w:t>1995</w:t>
      </w:r>
      <w:r w:rsidR="00203F72" w:rsidRPr="00D40983">
        <w:t>年跨界魚類種群與高度洄游魚類種群之保育與管理協定</w:t>
      </w:r>
      <w:r w:rsidR="00203F72" w:rsidRPr="00D40983">
        <w:t>(Conservation and Management of Straddling Fish Stocks and Highly Migratory Fish Stocks, 1995 UNIA)</w:t>
      </w:r>
      <w:r w:rsidR="00203F72" w:rsidRPr="00D40983">
        <w:t>；</w:t>
      </w:r>
      <w:r w:rsidR="00203F72" w:rsidRPr="00D40983">
        <w:t>2000</w:t>
      </w:r>
      <w:r w:rsidR="00203F72" w:rsidRPr="00D40983">
        <w:t>年生物安全議定書</w:t>
      </w:r>
      <w:r w:rsidR="00203F72" w:rsidRPr="00D40983">
        <w:t>(The Cartagena Protocol on Biological Safety)</w:t>
      </w:r>
      <w:r w:rsidR="00203F72" w:rsidRPr="00D40983">
        <w:t>。上述之國際法文件，對於動物權之保障，仍非常地不足。上開之歐洲議會</w:t>
      </w:r>
      <w:r w:rsidR="00203F72" w:rsidRPr="00D40983">
        <w:t>1987</w:t>
      </w:r>
      <w:r w:rsidR="00203F72" w:rsidRPr="00D40983">
        <w:t>年歐盟</w:t>
      </w:r>
      <w:r w:rsidR="00203F72" w:rsidRPr="00D40983">
        <w:t>125</w:t>
      </w:r>
      <w:r w:rsidR="00203F72" w:rsidRPr="00D40983">
        <w:t>號條約</w:t>
      </w:r>
      <w:r w:rsidR="00203F72" w:rsidRPr="00D40983">
        <w:t>(European Convention for the Protection of Pet Animals )</w:t>
      </w:r>
      <w:r w:rsidR="00203F72" w:rsidRPr="00D40983">
        <w:t>，雖有論及人有尊重一切生靈之義務，本書認為，宜精進至人類有尊重、愛護與保障一切生靈之義務。</w:t>
      </w:r>
    </w:p>
    <w:p w14:paraId="53F709A2" w14:textId="77777777" w:rsidR="00953151" w:rsidRPr="00D40983" w:rsidRDefault="005E23E3" w:rsidP="00D40983">
      <w:r w:rsidRPr="00D40983">
        <w:t xml:space="preserve">　　</w:t>
      </w:r>
      <w:r w:rsidR="00203F72" w:rsidRPr="00D40983">
        <w:t>依照佛教之觀點，動物死後之輪迴情形，並非永遠均成為動物，動物死後之輪迴態樣，亦有可能成為人。而人死後，亦有可能成為動物。是以，尊重、愛護與保障一切生靈，即有可能愛護與保障人類之祖先及親人，動物死後之輪迴情形，詳如下圖。</w:t>
      </w:r>
      <w:r w:rsidR="00193290" w:rsidRPr="00D40983">
        <w:rPr>
          <w:rFonts w:hint="eastAsia"/>
          <w:color w:val="FFFFFF" w:themeColor="background1"/>
        </w:rPr>
        <w:t>◇◆</w:t>
      </w:r>
    </w:p>
    <w:p w14:paraId="47396F35" w14:textId="77777777" w:rsidR="00203F72" w:rsidRPr="00A53581" w:rsidRDefault="00203F72" w:rsidP="00D87D91"/>
    <w:p w14:paraId="016C188D" w14:textId="77777777" w:rsidR="00203F72" w:rsidRPr="00A53581" w:rsidRDefault="00203F72" w:rsidP="00D87D91">
      <w:r>
        <w:rPr>
          <w:noProof/>
        </w:rPr>
        <w:drawing>
          <wp:inline distT="0" distB="0" distL="0" distR="0" wp14:anchorId="347731EC" wp14:editId="5BC2F4B0">
            <wp:extent cx="4935855" cy="1887855"/>
            <wp:effectExtent l="0" t="0" r="0" b="0"/>
            <wp:docPr id="53" name="item-frame-img" descr="六道輪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frame-img" descr="六道輪迴.jpg"/>
                    <pic:cNvPicPr>
                      <a:picLocks noChangeAspect="1" noChangeArrowheads="1"/>
                    </pic:cNvPicPr>
                  </pic:nvPicPr>
                  <pic:blipFill>
                    <a:blip r:embed="rId2792">
                      <a:extLst>
                        <a:ext uri="{28A0092B-C50C-407E-A947-70E740481C1C}">
                          <a14:useLocalDpi xmlns:a14="http://schemas.microsoft.com/office/drawing/2010/main" val="0"/>
                        </a:ext>
                      </a:extLst>
                    </a:blip>
                    <a:srcRect/>
                    <a:stretch>
                      <a:fillRect/>
                    </a:stretch>
                  </pic:blipFill>
                  <pic:spPr bwMode="auto">
                    <a:xfrm>
                      <a:off x="0" y="0"/>
                      <a:ext cx="4935855" cy="1887855"/>
                    </a:xfrm>
                    <a:prstGeom prst="rect">
                      <a:avLst/>
                    </a:prstGeom>
                    <a:noFill/>
                    <a:ln>
                      <a:noFill/>
                    </a:ln>
                  </pic:spPr>
                </pic:pic>
              </a:graphicData>
            </a:graphic>
          </wp:inline>
        </w:drawing>
      </w:r>
    </w:p>
    <w:p w14:paraId="2AF699F6" w14:textId="612A539D" w:rsidR="00203F72" w:rsidRPr="00D40983" w:rsidRDefault="00B03E84" w:rsidP="00D40983">
      <w:r w:rsidRPr="00D40983">
        <w:t>【</w:t>
      </w:r>
      <w:r w:rsidRPr="00D40983">
        <w:t>figure</w:t>
      </w:r>
      <w:r w:rsidR="005E23E3" w:rsidRPr="00D4098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50</w:t>
      </w:r>
      <w:r w:rsidR="00076467">
        <w:rPr>
          <w:noProof/>
        </w:rPr>
        <w:fldChar w:fldCharType="end"/>
      </w:r>
      <w:r w:rsidR="00203F72" w:rsidRPr="00D40983">
        <w:rPr>
          <w:rFonts w:hint="eastAsia"/>
        </w:rPr>
        <w:t>佛教六道輪迴圖示</w:t>
      </w:r>
    </w:p>
    <w:p w14:paraId="517D49CF" w14:textId="77777777" w:rsidR="00D40983" w:rsidRDefault="00B03E84" w:rsidP="00D40983">
      <w:r w:rsidRPr="00D40983">
        <w:rPr>
          <w:rFonts w:hint="eastAsia"/>
        </w:rPr>
        <w:t>【資料來源】</w:t>
      </w:r>
      <w:r w:rsidR="00203F72" w:rsidRPr="00D40983">
        <w:t>竹林精舍共修會</w:t>
      </w:r>
      <w:r w:rsidR="00203F72" w:rsidRPr="00D40983">
        <w:rPr>
          <w:rFonts w:hint="eastAsia"/>
        </w:rPr>
        <w:t>(2015)</w:t>
      </w:r>
      <w:r w:rsidR="00203F72" w:rsidRPr="00D40983">
        <w:rPr>
          <w:rFonts w:hint="eastAsia"/>
        </w:rPr>
        <w:t>，六道輪迴，上網瀏覽時日：</w:t>
      </w:r>
      <w:r w:rsidR="00203F72" w:rsidRPr="00D40983">
        <w:rPr>
          <w:rFonts w:hint="eastAsia"/>
        </w:rPr>
        <w:t>2015/08/02</w:t>
      </w:r>
      <w:r w:rsidR="00203F72" w:rsidRPr="00D40983">
        <w:rPr>
          <w:rFonts w:hint="eastAsia"/>
        </w:rPr>
        <w:t>，</w:t>
      </w:r>
      <w:hyperlink r:id="rId2793" w:history="1">
        <w:r w:rsidR="00D40983" w:rsidRPr="00A45644">
          <w:rPr>
            <w:rStyle w:val="a5"/>
            <w:rFonts w:ascii="Times New Roman" w:eastAsia="新細明體" w:hAnsi="Times New Roman"/>
          </w:rPr>
          <w:t>http://wt7773601.pixnet.net/album/photo/498234393</w:t>
        </w:r>
      </w:hyperlink>
    </w:p>
    <w:p w14:paraId="4E856E91" w14:textId="77777777" w:rsidR="00953151" w:rsidRPr="00D40983" w:rsidRDefault="00193290" w:rsidP="00D40983">
      <w:r w:rsidRPr="00D40983">
        <w:rPr>
          <w:rFonts w:hint="eastAsia"/>
          <w:color w:val="FFFFFF" w:themeColor="background1"/>
        </w:rPr>
        <w:t>◇◆</w:t>
      </w:r>
    </w:p>
    <w:p w14:paraId="6FEF8318" w14:textId="77777777" w:rsidR="00953151" w:rsidRDefault="00953151" w:rsidP="00D87D91"/>
    <w:p w14:paraId="5285286D" w14:textId="77777777" w:rsidR="00203F72" w:rsidRPr="00A53581" w:rsidRDefault="00203F72" w:rsidP="00D87D91">
      <w:r>
        <w:rPr>
          <w:noProof/>
        </w:rPr>
        <w:drawing>
          <wp:inline distT="0" distB="0" distL="0" distR="0" wp14:anchorId="6131E87D" wp14:editId="52B0FA78">
            <wp:extent cx="4944745" cy="4681855"/>
            <wp:effectExtent l="0" t="0" r="8255" b="4445"/>
            <wp:docPr id="54" name="圖片 54" descr="316997118771626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169971187716267469"/>
                    <pic:cNvPicPr>
                      <a:picLocks noChangeAspect="1" noChangeArrowheads="1"/>
                    </pic:cNvPicPr>
                  </pic:nvPicPr>
                  <pic:blipFill>
                    <a:blip r:embed="rId2794">
                      <a:extLst>
                        <a:ext uri="{28A0092B-C50C-407E-A947-70E740481C1C}">
                          <a14:useLocalDpi xmlns:a14="http://schemas.microsoft.com/office/drawing/2010/main" val="0"/>
                        </a:ext>
                      </a:extLst>
                    </a:blip>
                    <a:srcRect/>
                    <a:stretch>
                      <a:fillRect/>
                    </a:stretch>
                  </pic:blipFill>
                  <pic:spPr bwMode="auto">
                    <a:xfrm>
                      <a:off x="0" y="0"/>
                      <a:ext cx="4944745" cy="4681855"/>
                    </a:xfrm>
                    <a:prstGeom prst="rect">
                      <a:avLst/>
                    </a:prstGeom>
                    <a:noFill/>
                    <a:ln>
                      <a:noFill/>
                    </a:ln>
                  </pic:spPr>
                </pic:pic>
              </a:graphicData>
            </a:graphic>
          </wp:inline>
        </w:drawing>
      </w:r>
    </w:p>
    <w:p w14:paraId="596CCF6A" w14:textId="31795FC5" w:rsidR="00203F72" w:rsidRPr="00A53581" w:rsidRDefault="00B03E84" w:rsidP="00D40983">
      <w:pPr>
        <w:pStyle w:val="3"/>
        <w:jc w:val="left"/>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51</w:t>
      </w:r>
      <w:r w:rsidR="00076467">
        <w:rPr>
          <w:noProof/>
        </w:rPr>
        <w:fldChar w:fldCharType="end"/>
      </w:r>
      <w:r w:rsidR="00203F72" w:rsidRPr="00A53581">
        <w:t>佛教十法界圖示</w:t>
      </w:r>
    </w:p>
    <w:p w14:paraId="3E5DEBFA" w14:textId="77777777" w:rsidR="00203F72" w:rsidRPr="00A53581" w:rsidRDefault="00B03E84" w:rsidP="00D40983">
      <w:pPr>
        <w:pStyle w:val="3"/>
        <w:jc w:val="left"/>
      </w:pPr>
      <w:r>
        <w:rPr>
          <w:rFonts w:hint="eastAsia"/>
        </w:rPr>
        <w:t>【資料來源】</w:t>
      </w:r>
      <w:r w:rsidR="00203F72" w:rsidRPr="00A53581">
        <w:rPr>
          <w:rStyle w:val="ztag2"/>
          <w:rFonts w:ascii="新細明體" w:hAnsi="新細明體" w:cs="Arial"/>
          <w:lang w:eastAsia="zh-Hans"/>
        </w:rPr>
        <w:t>Longmei的博客</w:t>
      </w:r>
      <w:r w:rsidR="00203F72" w:rsidRPr="00A53581">
        <w:rPr>
          <w:rFonts w:hint="eastAsia"/>
        </w:rPr>
        <w:t>(2015)</w:t>
      </w:r>
      <w:r w:rsidR="00203F72" w:rsidRPr="00A53581">
        <w:rPr>
          <w:rFonts w:hint="eastAsia"/>
        </w:rPr>
        <w:t>，</w:t>
      </w:r>
      <w:r w:rsidR="00203F72" w:rsidRPr="00A53581">
        <w:rPr>
          <w:rStyle w:val="tcnt3"/>
          <w:rFonts w:ascii="新細明體" w:hAnsi="新細明體" w:cs="Arial" w:hint="eastAsia"/>
        </w:rPr>
        <w:t>六道輪迴和十法界</w:t>
      </w:r>
      <w:r w:rsidR="00D92F56">
        <w:rPr>
          <w:rStyle w:val="tcnt3"/>
          <w:rFonts w:ascii="新細明體" w:hAnsi="新細明體" w:cs="Arial"/>
        </w:rPr>
        <w:t>〜</w:t>
      </w:r>
      <w:r w:rsidR="00203F72" w:rsidRPr="00A53581">
        <w:rPr>
          <w:rStyle w:val="tcnt3"/>
          <w:rFonts w:ascii="新細明體" w:hAnsi="新細明體" w:cs="Arial" w:hint="eastAsia"/>
        </w:rPr>
        <w:t>不可不知的輪迴真相</w:t>
      </w:r>
      <w:r w:rsidR="00203F72" w:rsidRPr="00A53581">
        <w:rPr>
          <w:rFonts w:hint="eastAsia"/>
        </w:rPr>
        <w:t>，上網瀏覽時日：</w:t>
      </w:r>
      <w:r w:rsidR="00203F72" w:rsidRPr="00A53581">
        <w:t>2015/08/06</w:t>
      </w:r>
      <w:r w:rsidR="00203F72" w:rsidRPr="00A53581">
        <w:rPr>
          <w:rFonts w:hint="eastAsia"/>
        </w:rPr>
        <w:t>，</w:t>
      </w:r>
      <w:hyperlink r:id="rId2795" w:history="1">
        <w:r w:rsidR="00203F72" w:rsidRPr="00A53581">
          <w:rPr>
            <w:rStyle w:val="a5"/>
          </w:rPr>
          <w:t>http://blog.163.com/longmei_liyang/blog/static/532736512009102922222551/</w:t>
        </w:r>
      </w:hyperlink>
    </w:p>
    <w:p w14:paraId="3432A0D3" w14:textId="77777777" w:rsidR="00953151" w:rsidRPr="00D40983" w:rsidRDefault="005E23E3" w:rsidP="00D40983">
      <w:r w:rsidRPr="00D40983">
        <w:t xml:space="preserve">　　</w:t>
      </w:r>
      <w:r w:rsidR="00203F72" w:rsidRPr="00D40983">
        <w:t>我國憲法對於動物權之保障，仍有諸多尚待精進之處。立法院之「立法院修憲委員會」，於民國</w:t>
      </w:r>
      <w:r w:rsidR="00203F72" w:rsidRPr="00D40983">
        <w:t>104</w:t>
      </w:r>
      <w:r w:rsidR="00203F72" w:rsidRPr="00D40983">
        <w:t>年</w:t>
      </w:r>
      <w:r w:rsidR="00203F72" w:rsidRPr="00D40983">
        <w:t>6</w:t>
      </w:r>
      <w:r w:rsidR="00203F72" w:rsidRPr="00D40983">
        <w:t>月時，修憲委員會業已召開</w:t>
      </w:r>
      <w:r w:rsidR="00203F72" w:rsidRPr="00D40983">
        <w:t>10</w:t>
      </w:r>
      <w:r w:rsidR="00203F72" w:rsidRPr="00D40983">
        <w:t>餘次之審查會，最後，共提出</w:t>
      </w:r>
      <w:r w:rsidR="00203F72" w:rsidRPr="00D40983">
        <w:t>35</w:t>
      </w:r>
      <w:r w:rsidR="00203F72" w:rsidRPr="00D40983">
        <w:t>個修憲提議案，共可歸結為</w:t>
      </w:r>
      <w:r w:rsidR="00203F72" w:rsidRPr="00D40983">
        <w:t>9</w:t>
      </w:r>
      <w:r w:rsidR="00203F72" w:rsidRPr="00D40983">
        <w:t>大修憲議題</w:t>
      </w:r>
      <w:r w:rsidR="00203F72" w:rsidRPr="00D40983">
        <w:t>(</w:t>
      </w:r>
      <w:r w:rsidR="00203F72" w:rsidRPr="00D40983">
        <w:t>區塊</w:t>
      </w:r>
      <w:r w:rsidR="00203F72" w:rsidRPr="00D40983">
        <w:t>)</w:t>
      </w:r>
      <w:r w:rsidR="00203F72" w:rsidRPr="00D40983">
        <w:t>：</w:t>
      </w:r>
      <w:r w:rsidR="00203F72" w:rsidRPr="00D40983">
        <w:t>1.</w:t>
      </w:r>
      <w:r w:rsidR="00203F72" w:rsidRPr="00D40983">
        <w:t>調降選舉人與被選舉人之年齡；</w:t>
      </w:r>
      <w:r w:rsidR="00203F72" w:rsidRPr="00D40983">
        <w:t>2.</w:t>
      </w:r>
      <w:r w:rsidR="00203F72" w:rsidRPr="00D40983">
        <w:t>各個政黨所獲分配不分區之立委門檻，從</w:t>
      </w:r>
      <w:r w:rsidR="00203F72" w:rsidRPr="00D40983">
        <w:t>5%</w:t>
      </w:r>
      <w:r w:rsidR="00203F72" w:rsidRPr="00D40983">
        <w:t>下降至</w:t>
      </w:r>
      <w:r w:rsidR="00203F72" w:rsidRPr="00D40983">
        <w:t>3%</w:t>
      </w:r>
      <w:r w:rsidR="00203F72" w:rsidRPr="00D40983">
        <w:t>；</w:t>
      </w:r>
      <w:r w:rsidR="00203F72" w:rsidRPr="00D40983">
        <w:t>3.</w:t>
      </w:r>
      <w:r w:rsidR="00203F72" w:rsidRPr="00D40983">
        <w:t>恢復國會對於閣揆之同意權；</w:t>
      </w:r>
      <w:r w:rsidR="00203F72" w:rsidRPr="00D40983">
        <w:t>4.</w:t>
      </w:r>
      <w:r w:rsidR="00203F72" w:rsidRPr="00D40983">
        <w:t>不在籍投票機制；</w:t>
      </w:r>
      <w:r w:rsidR="00203F72" w:rsidRPr="00D40983">
        <w:t>5.</w:t>
      </w:r>
      <w:r w:rsidR="00203F72" w:rsidRPr="00D40983">
        <w:t>刪減大法官與考試委員人數，並明定考試委員之任期；</w:t>
      </w:r>
      <w:r w:rsidR="00203F72" w:rsidRPr="00D40983">
        <w:t>6.</w:t>
      </w:r>
      <w:r w:rsidR="00203F72" w:rsidRPr="00D40983">
        <w:t>調降修憲門檻；</w:t>
      </w:r>
      <w:r w:rsidR="00203F72" w:rsidRPr="00D40983">
        <w:t>7.</w:t>
      </w:r>
      <w:r w:rsidR="00203F72" w:rsidRPr="00D40983">
        <w:t>刪減監察委員人數，並明定任期，另廢除省政府與省諮議會；</w:t>
      </w:r>
      <w:r w:rsidR="00203F72" w:rsidRPr="00D40983">
        <w:t>8.</w:t>
      </w:r>
      <w:r w:rsidR="00203F72" w:rsidRPr="00D40983">
        <w:t>增訂基本國策；</w:t>
      </w:r>
      <w:r w:rsidR="00203F72" w:rsidRPr="00D40983">
        <w:t>9.</w:t>
      </w:r>
      <w:r w:rsidR="00203F72" w:rsidRPr="00D40983">
        <w:t>人民權利、義務與人性尊嚴入憲。</w:t>
      </w:r>
    </w:p>
    <w:p w14:paraId="155091AD" w14:textId="77777777" w:rsidR="00953151" w:rsidRPr="00D40983" w:rsidRDefault="005E23E3" w:rsidP="00D40983">
      <w:r w:rsidRPr="00D40983">
        <w:t xml:space="preserve">　　</w:t>
      </w:r>
      <w:r w:rsidR="00203F72" w:rsidRPr="00D40983">
        <w:t>在上述</w:t>
      </w:r>
      <w:r w:rsidR="00203F72" w:rsidRPr="00D40983">
        <w:t>9</w:t>
      </w:r>
      <w:r w:rsidR="00203F72" w:rsidRPr="00D40983">
        <w:t>大議題之中，第</w:t>
      </w:r>
      <w:r w:rsidR="00203F72" w:rsidRPr="00D40983">
        <w:t>8</w:t>
      </w:r>
      <w:r w:rsidR="00203F72" w:rsidRPr="00D40983">
        <w:t>大議題係為基本國策的增訂。國內有蘇震清立委提議，力主「動物權」之保障，宜入憲化</w:t>
      </w:r>
      <w:r w:rsidR="00203F72" w:rsidRPr="00D40983">
        <w:footnoteReference w:id="1105"/>
      </w:r>
      <w:r w:rsidR="00203F72" w:rsidRPr="00D40983">
        <w:t>，此部分，本書表示贊同。根據瑞士憲法</w:t>
      </w:r>
      <w:r w:rsidR="00203F72" w:rsidRPr="00D40983">
        <w:t>(Switzerland Constitution)</w:t>
      </w:r>
      <w:r w:rsidR="00203F72" w:rsidRPr="00D40983">
        <w:t>第</w:t>
      </w:r>
      <w:r w:rsidR="00203F72" w:rsidRPr="00D40983">
        <w:t>80</w:t>
      </w:r>
      <w:r w:rsidR="00203F72" w:rsidRPr="00D40983">
        <w:t>條第</w:t>
      </w:r>
      <w:r w:rsidR="00203F72" w:rsidRPr="00D40983">
        <w:t>1</w:t>
      </w:r>
      <w:r w:rsidR="00203F72" w:rsidRPr="00D40983">
        <w:t>項之規定，聯邦政府應制定與採用法規，俾利保護動物</w:t>
      </w:r>
      <w:r w:rsidR="00203F72" w:rsidRPr="00D40983">
        <w:t>(Article 80Animal Protection</w:t>
      </w:r>
      <w:r w:rsidR="00D92F56" w:rsidRPr="00D40983">
        <w:t>〜</w:t>
      </w:r>
      <w:r w:rsidR="00203F72" w:rsidRPr="00D40983">
        <w:t>(1) The Federation adopts rules on animal protection.)</w:t>
      </w:r>
      <w:r w:rsidR="00203F72" w:rsidRPr="00D40983">
        <w:t>。很明顯地，於瑞士憲法</w:t>
      </w:r>
      <w:r w:rsidR="00203F72" w:rsidRPr="00D40983">
        <w:t>(Switzerland Constitution)</w:t>
      </w:r>
      <w:r w:rsidR="00203F72" w:rsidRPr="00D40983">
        <w:t>第</w:t>
      </w:r>
      <w:r w:rsidR="00203F72" w:rsidRPr="00D40983">
        <w:t>80</w:t>
      </w:r>
      <w:r w:rsidR="00203F72" w:rsidRPr="00D40983">
        <w:t>條第</w:t>
      </w:r>
      <w:r w:rsidR="00203F72" w:rsidRPr="00D40983">
        <w:t>1</w:t>
      </w:r>
      <w:r w:rsidR="00203F72" w:rsidRPr="00D40983">
        <w:t>項之中，已將保護動物之工作，列入憲法之中。</w:t>
      </w:r>
    </w:p>
    <w:p w14:paraId="4EF15737" w14:textId="77777777" w:rsidR="00953151" w:rsidRPr="00D40983" w:rsidRDefault="005E23E3" w:rsidP="00D40983">
      <w:r w:rsidRPr="00D40983">
        <w:t xml:space="preserve">　　</w:t>
      </w:r>
      <w:r w:rsidR="00203F72" w:rsidRPr="00D40983">
        <w:t>另有蘇震清立法委員草擬「動物權」修憲條文如下：中華民國憲法增修條文修正草案</w:t>
      </w:r>
      <w:r w:rsidR="00D92F56" w:rsidRPr="00D40983">
        <w:t>〜</w:t>
      </w:r>
      <w:r w:rsidR="00203F72" w:rsidRPr="00D40983">
        <w:t>「國家應重</w:t>
      </w:r>
      <w:r w:rsidR="003E240E">
        <w:t>視</w:t>
      </w:r>
      <w:r w:rsidR="00203F72" w:rsidRPr="00D40983">
        <w:t>動物生命及保護，完備動物保護之願景、法制、動物倫理、動物福利及權利之基礎建設。」，動物保護團體相當支持，本書亦表示贊同，並支持動物權入憲，上述「動物權」入憲之條文，亦甚值我國未來修憲參考之用</w:t>
      </w:r>
      <w:r w:rsidR="00203F72" w:rsidRPr="00D40983">
        <w:footnoteReference w:id="1106"/>
      </w:r>
      <w:r w:rsidR="00203F72" w:rsidRPr="00D40983">
        <w:t>。</w:t>
      </w:r>
    </w:p>
    <w:p w14:paraId="1BABA9C1"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239C239D" w14:textId="77777777" w:rsidR="00145751" w:rsidRDefault="00145751" w:rsidP="00D87D91">
      <w:pPr>
        <w:rPr>
          <w:lang w:val="en"/>
        </w:rPr>
      </w:pPr>
    </w:p>
    <w:p w14:paraId="380EF0FD" w14:textId="77777777" w:rsidR="00953151" w:rsidRDefault="00203F72" w:rsidP="00767F37">
      <w:pPr>
        <w:pStyle w:val="2"/>
      </w:pPr>
      <w:bookmarkStart w:id="150" w:name="_貮拾柒、憲法宜明定所有人民對於社會應承擔義務"/>
      <w:bookmarkEnd w:id="150"/>
      <w:r w:rsidRPr="00A53581">
        <w:t>貮拾柒、憲法宜明定所有人民對於社會應承擔義務</w:t>
      </w:r>
      <w:r w:rsidRPr="00A53581">
        <w:t xml:space="preserve"> </w:t>
      </w:r>
    </w:p>
    <w:p w14:paraId="303FE12B" w14:textId="77777777" w:rsidR="00953151" w:rsidRPr="00D40983" w:rsidRDefault="005E23E3" w:rsidP="00D40983">
      <w:r w:rsidRPr="00D40983">
        <w:t xml:space="preserve">　　</w:t>
      </w:r>
      <w:r w:rsidR="00203F72" w:rsidRPr="00D40983">
        <w:t>仿照世界人權宣言</w:t>
      </w:r>
      <w:hyperlink r:id="rId2796" w:anchor="a29" w:history="1">
        <w:r w:rsidR="00203F72" w:rsidRPr="00D40983">
          <w:rPr>
            <w:rStyle w:val="a5"/>
          </w:rPr>
          <w:t>第29條</w:t>
        </w:r>
      </w:hyperlink>
      <w:r w:rsidR="00203F72" w:rsidRPr="00D40983">
        <w:t>之立法例</w:t>
      </w:r>
      <w:r w:rsidR="00203F72" w:rsidRPr="00D40983">
        <w:footnoteReference w:id="1107"/>
      </w:r>
      <w:r w:rsidR="00203F72" w:rsidRPr="00D40983">
        <w:t>，於憲法之中，明文規範所有人民對於社會負有義務，因為唯有在社會之中，其個性始可能得到自由和充分之發展；亦即，人民可主張相關之人權權利，但所有人民對於社會，亦應承擔義務；如此，始能達到權利與義務之平衡。</w:t>
      </w:r>
    </w:p>
    <w:p w14:paraId="1DADFE7F" w14:textId="77777777" w:rsidR="00145751" w:rsidRDefault="00145751" w:rsidP="00670577">
      <w:pPr>
        <w:jc w:val="right"/>
      </w:pPr>
      <w:r w:rsidRPr="0026266A">
        <w:rPr>
          <w:rFonts w:hint="eastAsia"/>
        </w:rPr>
        <w:t>。。。。。。。。。。。。。。。。。。。。。。。。。</w:t>
      </w:r>
      <w:hyperlink w:anchor="a目次4" w:history="1">
        <w:r w:rsidR="00EE1E58">
          <w:rPr>
            <w:rStyle w:val="a5"/>
            <w:sz w:val="18"/>
          </w:rPr>
          <w:t>回目次</w:t>
        </w:r>
      </w:hyperlink>
      <w:r w:rsidR="00E91F89">
        <w:rPr>
          <w:rFonts w:ascii="新細明體" w:hAnsi="新細明體"/>
          <w:color w:val="808000"/>
        </w:rPr>
        <w:t>〉〉</w:t>
      </w:r>
    </w:p>
    <w:p w14:paraId="370919BE" w14:textId="77777777" w:rsidR="00145751" w:rsidRDefault="00145751" w:rsidP="00D87D91"/>
    <w:p w14:paraId="732D4C10" w14:textId="77777777" w:rsidR="00953151" w:rsidRDefault="00203F72" w:rsidP="00767F37">
      <w:pPr>
        <w:pStyle w:val="2"/>
      </w:pPr>
      <w:bookmarkStart w:id="151" w:name="_貮拾捌、建構一套將國際條約或國際法一般法律原則，轉化為國內法之機制"/>
      <w:bookmarkEnd w:id="151"/>
      <w:r w:rsidRPr="00A53581">
        <w:t>貮拾捌、建構一套將國際條約或國際法一般法律原則，轉化為國內法之機制</w:t>
      </w:r>
    </w:p>
    <w:p w14:paraId="2BCBEAF0" w14:textId="77777777" w:rsidR="00953151" w:rsidRPr="00D40983" w:rsidRDefault="005E23E3" w:rsidP="00D40983">
      <w:r w:rsidRPr="00D40983">
        <w:t xml:space="preserve">　　</w:t>
      </w:r>
      <w:r w:rsidR="00203F72" w:rsidRPr="00D40983">
        <w:t>我國憲法宜建構如何將國際條約或國際法之一般法律原則，轉化為國內法之機制，俾利我國遵守相關之國際條約或國際法之一般法律原則；就國際條約而論，考量我國之特殊處境，即使未經我國簽署之國際條約，我國立法院亦可透由制定某種國際條約之施行法之機制，直接加以適用；針對於國際法之一般法律原則而論，我國憲法宜比照德國基本法的第</w:t>
      </w:r>
      <w:r w:rsidR="00203F72" w:rsidRPr="00D40983">
        <w:t>25</w:t>
      </w:r>
      <w:r w:rsidR="00203F72" w:rsidRPr="00D40983">
        <w:t>條之立法例</w:t>
      </w:r>
      <w:r w:rsidR="00203F72" w:rsidRPr="00D40983">
        <w:footnoteReference w:id="1108"/>
      </w:r>
      <w:r w:rsidR="00203F72" w:rsidRPr="00D40983">
        <w:t>，明文規範國際法之一般法律規則</w:t>
      </w:r>
      <w:r w:rsidR="00203F72" w:rsidRPr="00D40983">
        <w:t>(The general rules of international law)</w:t>
      </w:r>
      <w:r w:rsidR="00203F72" w:rsidRPr="00D40983">
        <w:t>，構成我國法律之一部分</w:t>
      </w:r>
      <w:r w:rsidR="00203F72" w:rsidRPr="00D40983">
        <w:t>(shall be an integral part of federal law)</w:t>
      </w:r>
      <w:r w:rsidR="00203F72" w:rsidRPr="00D40983">
        <w:t>。此等規定之效力，超越於法律上</w:t>
      </w:r>
      <w:r w:rsidR="00203F72" w:rsidRPr="00D40983">
        <w:t>(take precedence over the laws)</w:t>
      </w:r>
      <w:r w:rsidR="00203F72" w:rsidRPr="00D40983">
        <w:t>，並對人民</w:t>
      </w:r>
      <w:r w:rsidR="00203F72" w:rsidRPr="00D40983">
        <w:t>(</w:t>
      </w:r>
      <w:r w:rsidR="00203F72" w:rsidRPr="00D40983">
        <w:t>居民</w:t>
      </w:r>
      <w:r w:rsidR="00203F72" w:rsidRPr="00D40983">
        <w:t>)</w:t>
      </w:r>
      <w:r w:rsidR="00203F72" w:rsidRPr="00D40983">
        <w:t>直接發生權利義務</w:t>
      </w:r>
      <w:r w:rsidR="00203F72" w:rsidRPr="00D40983">
        <w:t>(directly create rights and duties for the inhabitants)</w:t>
      </w:r>
      <w:r w:rsidR="00545D58" w:rsidRPr="00D40983">
        <w:t>。</w:t>
      </w:r>
    </w:p>
    <w:p w14:paraId="4900CD08"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3EC68F90" w14:textId="77777777" w:rsidR="00145751" w:rsidRDefault="00145751" w:rsidP="00D87D91"/>
    <w:p w14:paraId="627E511D" w14:textId="77777777" w:rsidR="00953151" w:rsidRDefault="00203F72" w:rsidP="00767F37">
      <w:pPr>
        <w:pStyle w:val="2"/>
      </w:pPr>
      <w:bookmarkStart w:id="152" w:name="_貮拾玖、宜削弱總統之權力"/>
      <w:bookmarkEnd w:id="152"/>
      <w:r w:rsidRPr="00A53581">
        <w:t>貮拾玖、宜削弱總統之權力</w:t>
      </w:r>
    </w:p>
    <w:p w14:paraId="22FAC285" w14:textId="77777777" w:rsidR="00953151" w:rsidRDefault="005E23E3" w:rsidP="00D87D91">
      <w:r>
        <w:t xml:space="preserve">　　</w:t>
      </w:r>
      <w:r w:rsidR="00203F72" w:rsidRPr="00A53581">
        <w:t>我國憲法之架構，過度地將相關之國家重要權力，集中於總統之身上，仍有「帝制憲政」之陰影；我國憲法</w:t>
      </w:r>
      <w:r w:rsidR="00203F72" w:rsidRPr="00A53581">
        <w:t>(</w:t>
      </w:r>
      <w:r w:rsidR="00203F72" w:rsidRPr="00A53581">
        <w:t>含增修條文</w:t>
      </w:r>
      <w:r w:rsidR="00203F72" w:rsidRPr="00A53581">
        <w:t>)</w:t>
      </w:r>
      <w:r w:rsidR="00203F72" w:rsidRPr="00A53581">
        <w:t>之架構與設計，似已將總統權力形塑成為民國以前之帝王，此容易造成總統之專制、專權、濫權與擴權，且缺乏有效之監控機制。為了</w:t>
      </w:r>
      <w:r w:rsidR="00203F72" w:rsidRPr="00D40983">
        <w:t>避免台灣產生類似於菲律賓之馬可仕總統、第</w:t>
      </w:r>
      <w:r w:rsidR="00203F72" w:rsidRPr="00D40983">
        <w:t>2</w:t>
      </w:r>
      <w:r w:rsidR="00203F72" w:rsidRPr="00D40983">
        <w:t>次大戰時期德國之希特勒、日本天皇、前利比亞總統格達費、、、等等獨裁之統治者</w:t>
      </w:r>
      <w:r w:rsidR="00203F72" w:rsidRPr="00D40983">
        <w:footnoteReference w:id="1109"/>
      </w:r>
      <w:r w:rsidR="00203F72" w:rsidRPr="00D40983">
        <w:t>，宜大幅度地削弱總統之權力。根據</w:t>
      </w:r>
      <w:r w:rsidR="00203F72" w:rsidRPr="00D40983">
        <w:rPr>
          <w:rFonts w:hint="eastAsia"/>
        </w:rPr>
        <w:t>一九四六年政協之憲法草案內容，當時我國之憲政，擬採取內閣制。</w:t>
      </w:r>
    </w:p>
    <w:p w14:paraId="09051AE6" w14:textId="77777777" w:rsidR="005E23E3" w:rsidRPr="00A53581" w:rsidRDefault="005E23E3" w:rsidP="00D87D91"/>
    <w:p w14:paraId="23E58DF9" w14:textId="6D295DDC"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121</w:t>
      </w:r>
      <w:r w:rsidR="00076467">
        <w:rPr>
          <w:noProof/>
        </w:rPr>
        <w:fldChar w:fldCharType="end"/>
      </w:r>
      <w:r w:rsidR="00203F72" w:rsidRPr="00A53581">
        <w:rPr>
          <w:rFonts w:hint="eastAsia"/>
        </w:rPr>
        <w:t>一九四六年政協憲草內容摘要</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9"/>
      </w:tblGrid>
      <w:tr w:rsidR="00203F72" w:rsidRPr="00A53581" w14:paraId="5275BFE1" w14:textId="77777777" w:rsidTr="00203F72">
        <w:tc>
          <w:tcPr>
            <w:tcW w:w="7799" w:type="dxa"/>
            <w:shd w:val="clear" w:color="auto" w:fill="auto"/>
          </w:tcPr>
          <w:p w14:paraId="38844793" w14:textId="77777777" w:rsidR="005E23E3" w:rsidRPr="005E23E3" w:rsidRDefault="005E23E3" w:rsidP="00D87D91">
            <w:r w:rsidRPr="005E23E3">
              <w:rPr>
                <w:rFonts w:hint="eastAsia"/>
              </w:rPr>
              <w:t xml:space="preserve">　　</w:t>
            </w:r>
            <w:r w:rsidRPr="005E23E3">
              <w:rPr>
                <w:rFonts w:hint="eastAsia"/>
              </w:rPr>
              <w:t>1.</w:t>
            </w:r>
            <w:r w:rsidRPr="005E23E3">
              <w:rPr>
                <w:rFonts w:hint="eastAsia"/>
              </w:rPr>
              <w:t>將五五憲草中人民自由權利「非依法律不得限制」更改為「如用法律，須出於保障自由之精神，不得以限制為目的」。即人權的積極保護主義。</w:t>
            </w:r>
          </w:p>
          <w:p w14:paraId="45BA9C22" w14:textId="77777777" w:rsidR="005E23E3" w:rsidRPr="005E23E3" w:rsidRDefault="005E23E3" w:rsidP="00D87D91">
            <w:r w:rsidRPr="005E23E3">
              <w:rPr>
                <w:rFonts w:hint="eastAsia"/>
              </w:rPr>
              <w:t xml:space="preserve">　　</w:t>
            </w:r>
            <w:r w:rsidRPr="005E23E3">
              <w:rPr>
                <w:rFonts w:hint="eastAsia"/>
              </w:rPr>
              <w:t>2.</w:t>
            </w:r>
            <w:r w:rsidRPr="005E23E3">
              <w:rPr>
                <w:rFonts w:hint="eastAsia"/>
              </w:rPr>
              <w:t>將五五憲草的有形國民大會更改為無形國民大會，即由地方各省議會和中央議會合組成選舉機關行使選舉罷免權。</w:t>
            </w:r>
          </w:p>
          <w:p w14:paraId="23049401" w14:textId="77777777" w:rsidR="005E23E3" w:rsidRPr="005E23E3" w:rsidRDefault="005E23E3" w:rsidP="00D87D91">
            <w:r w:rsidRPr="005E23E3">
              <w:rPr>
                <w:rFonts w:hint="eastAsia"/>
              </w:rPr>
              <w:t xml:space="preserve">　　</w:t>
            </w:r>
            <w:r w:rsidRPr="005E23E3">
              <w:rPr>
                <w:rFonts w:hint="eastAsia"/>
              </w:rPr>
              <w:t>3.</w:t>
            </w:r>
            <w:r w:rsidRPr="005E23E3">
              <w:rPr>
                <w:rFonts w:hint="eastAsia"/>
              </w:rPr>
              <w:t>將無形國民大會選舉權局限於選舉總統。</w:t>
            </w:r>
          </w:p>
          <w:p w14:paraId="01AEA111" w14:textId="77777777" w:rsidR="005E23E3" w:rsidRPr="005E23E3" w:rsidRDefault="005E23E3" w:rsidP="00D87D91">
            <w:r w:rsidRPr="005E23E3">
              <w:rPr>
                <w:rFonts w:hint="eastAsia"/>
              </w:rPr>
              <w:t xml:space="preserve">　　</w:t>
            </w:r>
            <w:r w:rsidRPr="005E23E3">
              <w:rPr>
                <w:rFonts w:hint="eastAsia"/>
              </w:rPr>
              <w:t>4.</w:t>
            </w:r>
            <w:r w:rsidRPr="005E23E3">
              <w:rPr>
                <w:rFonts w:hint="eastAsia"/>
              </w:rPr>
              <w:t>將無形國民大會的創製複決權另以法律定之。</w:t>
            </w:r>
          </w:p>
          <w:p w14:paraId="2365AD38" w14:textId="77777777" w:rsidR="005E23E3" w:rsidRPr="005E23E3" w:rsidRDefault="005E23E3" w:rsidP="00D87D91">
            <w:r w:rsidRPr="005E23E3">
              <w:rPr>
                <w:rFonts w:hint="eastAsia"/>
              </w:rPr>
              <w:t xml:space="preserve">　　</w:t>
            </w:r>
            <w:r w:rsidRPr="005E23E3">
              <w:rPr>
                <w:rFonts w:hint="eastAsia"/>
              </w:rPr>
              <w:t>5.</w:t>
            </w:r>
            <w:r w:rsidRPr="005E23E3">
              <w:rPr>
                <w:rFonts w:hint="eastAsia"/>
              </w:rPr>
              <w:t>將總統權力大幅壓縮。行政院不必對總統負責而直接對立法院負責。</w:t>
            </w:r>
          </w:p>
          <w:p w14:paraId="0EB2FEFD" w14:textId="77777777" w:rsidR="005E23E3" w:rsidRPr="005E23E3" w:rsidRDefault="005E23E3" w:rsidP="00D87D91">
            <w:r w:rsidRPr="005E23E3">
              <w:rPr>
                <w:rFonts w:hint="eastAsia"/>
              </w:rPr>
              <w:t xml:space="preserve">　　</w:t>
            </w:r>
            <w:r w:rsidRPr="005E23E3">
              <w:rPr>
                <w:rFonts w:hint="eastAsia"/>
              </w:rPr>
              <w:t>6.</w:t>
            </w:r>
            <w:r w:rsidRPr="005E23E3">
              <w:rPr>
                <w:rFonts w:hint="eastAsia"/>
              </w:rPr>
              <w:t>將總統制改為內閣制。</w:t>
            </w:r>
          </w:p>
          <w:p w14:paraId="03ECD886" w14:textId="77777777" w:rsidR="005E23E3" w:rsidRPr="005E23E3" w:rsidRDefault="005E23E3" w:rsidP="00D87D91">
            <w:r w:rsidRPr="005E23E3">
              <w:rPr>
                <w:rFonts w:hint="eastAsia"/>
              </w:rPr>
              <w:t xml:space="preserve">　　</w:t>
            </w:r>
            <w:r w:rsidRPr="005E23E3">
              <w:rPr>
                <w:rFonts w:hint="eastAsia"/>
              </w:rPr>
              <w:t>7.</w:t>
            </w:r>
            <w:r w:rsidRPr="005E23E3">
              <w:rPr>
                <w:rFonts w:hint="eastAsia"/>
              </w:rPr>
              <w:t>將立法委員由國民大會選舉改為人民直選。</w:t>
            </w:r>
          </w:p>
          <w:p w14:paraId="303B5164" w14:textId="77777777" w:rsidR="005E23E3" w:rsidRPr="005E23E3" w:rsidRDefault="005E23E3" w:rsidP="00D87D91">
            <w:r w:rsidRPr="005E23E3">
              <w:rPr>
                <w:rFonts w:hint="eastAsia"/>
              </w:rPr>
              <w:t xml:space="preserve">　　</w:t>
            </w:r>
            <w:r w:rsidRPr="005E23E3">
              <w:rPr>
                <w:rFonts w:hint="eastAsia"/>
              </w:rPr>
              <w:t>8.</w:t>
            </w:r>
            <w:r w:rsidRPr="005E23E3">
              <w:rPr>
                <w:rFonts w:hint="eastAsia"/>
              </w:rPr>
              <w:t>將司法院的司法行政權剝奪。</w:t>
            </w:r>
          </w:p>
          <w:p w14:paraId="6EAE3275" w14:textId="77777777" w:rsidR="005E23E3" w:rsidRPr="005E23E3" w:rsidRDefault="005E23E3" w:rsidP="00D87D91">
            <w:r w:rsidRPr="005E23E3">
              <w:rPr>
                <w:rFonts w:hint="eastAsia"/>
              </w:rPr>
              <w:t xml:space="preserve">　　</w:t>
            </w:r>
            <w:r w:rsidRPr="005E23E3">
              <w:rPr>
                <w:rFonts w:hint="eastAsia"/>
              </w:rPr>
              <w:t>9.</w:t>
            </w:r>
            <w:r w:rsidRPr="005E23E3">
              <w:rPr>
                <w:rFonts w:hint="eastAsia"/>
              </w:rPr>
              <w:t>監察院增加同意權。</w:t>
            </w:r>
          </w:p>
          <w:p w14:paraId="2BD29722" w14:textId="77777777" w:rsidR="005E23E3" w:rsidRPr="005E23E3" w:rsidRDefault="005E23E3" w:rsidP="00D87D91">
            <w:r w:rsidRPr="005E23E3">
              <w:rPr>
                <w:rFonts w:hint="eastAsia"/>
              </w:rPr>
              <w:t xml:space="preserve">　　</w:t>
            </w:r>
            <w:r w:rsidRPr="005E23E3">
              <w:rPr>
                <w:rFonts w:hint="eastAsia"/>
              </w:rPr>
              <w:t>10.</w:t>
            </w:r>
            <w:r w:rsidRPr="005E23E3">
              <w:rPr>
                <w:rFonts w:hint="eastAsia"/>
              </w:rPr>
              <w:t>將監察委員由國大選舉改為由省議會選舉。</w:t>
            </w:r>
          </w:p>
          <w:p w14:paraId="48FCCB18" w14:textId="77777777" w:rsidR="005E23E3" w:rsidRPr="005E23E3" w:rsidRDefault="005E23E3" w:rsidP="00D87D91">
            <w:r w:rsidRPr="005E23E3">
              <w:rPr>
                <w:rFonts w:hint="eastAsia"/>
              </w:rPr>
              <w:t xml:space="preserve">　　</w:t>
            </w:r>
            <w:r w:rsidRPr="005E23E3">
              <w:rPr>
                <w:rFonts w:hint="eastAsia"/>
              </w:rPr>
              <w:t>11.</w:t>
            </w:r>
            <w:r w:rsidRPr="005E23E3">
              <w:rPr>
                <w:rFonts w:hint="eastAsia"/>
              </w:rPr>
              <w:t>將省縣自治改為聯邦體制，省得制定省憲。</w:t>
            </w:r>
          </w:p>
          <w:p w14:paraId="25082619" w14:textId="77777777" w:rsidR="005E23E3" w:rsidRPr="005E23E3" w:rsidRDefault="005E23E3" w:rsidP="00D87D91">
            <w:r w:rsidRPr="005E23E3">
              <w:rPr>
                <w:rFonts w:hint="eastAsia"/>
              </w:rPr>
              <w:t xml:space="preserve">　　</w:t>
            </w:r>
            <w:r w:rsidRPr="005E23E3">
              <w:rPr>
                <w:rFonts w:hint="eastAsia"/>
              </w:rPr>
              <w:t>12.</w:t>
            </w:r>
            <w:r w:rsidRPr="005E23E3">
              <w:rPr>
                <w:rFonts w:hint="eastAsia"/>
              </w:rPr>
              <w:t>將基本國策部分增加國防外交國策。</w:t>
            </w:r>
          </w:p>
          <w:p w14:paraId="44AA4068" w14:textId="77777777" w:rsidR="00203F72" w:rsidRPr="00A53581" w:rsidRDefault="005E23E3" w:rsidP="00D87D91">
            <w:r w:rsidRPr="005E23E3">
              <w:rPr>
                <w:rFonts w:hint="eastAsia"/>
              </w:rPr>
              <w:t xml:space="preserve">　　</w:t>
            </w:r>
            <w:r w:rsidRPr="005E23E3">
              <w:rPr>
                <w:rFonts w:hint="eastAsia"/>
              </w:rPr>
              <w:t>13.</w:t>
            </w:r>
            <w:r w:rsidRPr="005E23E3">
              <w:rPr>
                <w:rFonts w:hint="eastAsia"/>
              </w:rPr>
              <w:t>將憲法修改權改為立法院監察院聯席會議修改，而總統選舉機關複決。</w:t>
            </w:r>
          </w:p>
        </w:tc>
      </w:tr>
    </w:tbl>
    <w:p w14:paraId="0A4EFC60" w14:textId="77777777" w:rsidR="00D40983"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，政治協商會議憲法草案，上網瀏覽時日：</w:t>
      </w:r>
      <w:r w:rsidR="00203F72" w:rsidRPr="00A53581">
        <w:rPr>
          <w:rFonts w:hint="eastAsia"/>
        </w:rPr>
        <w:t>2015/08/02</w:t>
      </w:r>
      <w:r w:rsidR="00203F72" w:rsidRPr="00A53581">
        <w:rPr>
          <w:rFonts w:hint="eastAsia"/>
        </w:rPr>
        <w:t>，</w:t>
      </w:r>
    </w:p>
    <w:p w14:paraId="133495FE" w14:textId="77777777" w:rsidR="00953151" w:rsidRDefault="00076467" w:rsidP="00D87D91">
      <w:hyperlink r:id="rId2797" w:history="1">
        <w:r w:rsidR="00D40983" w:rsidRPr="00A45644">
          <w:rPr>
            <w:rStyle w:val="a5"/>
            <w:rFonts w:ascii="Times New Roman" w:eastAsia="新細明體" w:hAnsi="Times New Roman"/>
          </w:rPr>
          <w:t>https://zh.wikipedia.org/wiki/%E6%94%BF%E6%B2%BB%E5%8D%8F%E5%95%86%E4%BC%9A%E8%AE%AE%E5%AE%AA%E6%B3%95%E8%8D%89%E6%A1%88</w:t>
        </w:r>
      </w:hyperlink>
    </w:p>
    <w:p w14:paraId="636ADDB4" w14:textId="77777777" w:rsidR="00203F72" w:rsidRPr="00D40983" w:rsidRDefault="005E23E3" w:rsidP="00D40983">
      <w:r w:rsidRPr="00D40983">
        <w:t xml:space="preserve">　　</w:t>
      </w:r>
      <w:r w:rsidR="00203F72" w:rsidRPr="00D40983">
        <w:t>以二次大戰中之裕仁天皇</w:t>
      </w:r>
      <w:r w:rsidR="00203F72" w:rsidRPr="00D40983">
        <w:t>(</w:t>
      </w:r>
      <w:r w:rsidR="00203F72" w:rsidRPr="00D40983">
        <w:t>後改為昭和天皇</w:t>
      </w:r>
      <w:r w:rsidR="00203F72" w:rsidRPr="00D40983">
        <w:t>)</w:t>
      </w:r>
      <w:r w:rsidR="00203F72" w:rsidRPr="00D40983">
        <w:t>為例，他曾公開表揚南京大屠殺的諸多領導幹部，諸如：谷壽夫、皇族成員朝香宮鳩彥王、中島今朝吾、牛島滿、草場辰巳、佐佐木到一等主事。裕仁天皇特賜「朝香宮鳩彥王」雕有日本皇室菊花紋徽銀質花瓶一對，以表示朝香宮鳩彥王在南京大屠殺的辛勞與功勞，且因南京大屠殺之功績，裕仁天皇恢復朝香宮恢復皇室身份。朝香宮鳩彥王的軍銜，亦因屠殺有功，而被晉陞為大將。朝香宮鳩彥王之所以被裕仁天皇晉陞為大將，係因朝香宮鳩彥王在南京大屠殺之中，立下相當之殺人規模與數量。由此可見，南京大屠殺背後之真正殺手，係為日本之裕仁天皇</w:t>
      </w:r>
      <w:r w:rsidR="00203F72" w:rsidRPr="00D40983">
        <w:footnoteReference w:id="1110"/>
      </w:r>
      <w:r w:rsidR="00203F72" w:rsidRPr="00D40983">
        <w:t>。</w:t>
      </w:r>
    </w:p>
    <w:p w14:paraId="15C83795" w14:textId="77777777" w:rsidR="00203F72" w:rsidRPr="00D40983" w:rsidRDefault="005E23E3" w:rsidP="00D40983">
      <w:r w:rsidRPr="00D40983">
        <w:t xml:space="preserve">　　</w:t>
      </w:r>
      <w:r w:rsidR="00203F72" w:rsidRPr="00D40983">
        <w:t>裕仁天皇因日本憲法賦予其權力過大，故犯下此重大的錯誤。日本憲法賦予裕仁天皇其如此巨大的權力，被犧牲的，即為南京大屠殺中，相當可憐之中國人的人命。曾參與南京大屠殺之日軍，事後自述其暴行，在當時，殺人時之感覺，如殺豬一般，沒什麼特殊的感覺</w:t>
      </w:r>
      <w:r w:rsidR="00203F72" w:rsidRPr="00D40983">
        <w:footnoteReference w:id="1111"/>
      </w:r>
      <w:r w:rsidR="00203F72" w:rsidRPr="00D40983">
        <w:t>。</w:t>
      </w:r>
    </w:p>
    <w:p w14:paraId="3D0905E7" w14:textId="77777777" w:rsidR="00203F72" w:rsidRPr="00A53581" w:rsidRDefault="00203F72" w:rsidP="00D40983">
      <w:r w:rsidRPr="00D40983">
        <w:t>綜上可見，南京大屠殺背後之真正殺手，係為設計錯誤之日本帝國憲法</w:t>
      </w:r>
      <w:r w:rsidRPr="00D40983">
        <w:footnoteReference w:id="1112"/>
      </w:r>
      <w:r w:rsidRPr="00D40983">
        <w:t>。依據日本帝</w:t>
      </w:r>
      <w:r w:rsidRPr="00A53581">
        <w:t>國憲法第三條之規範，「天皇神聖不可侵犯」。已將天皇加以造神化，立即，透由憲法，將天皇形塑成為神聖不可侵犯的神明、上帝與基督。再者，依據日本帝國憲法第五條之規範，「天皇依帝國議會之協贊，行使立法權。」亦即，日本天皇擁有實際之立法權，日本之國會，僅是天皇之輔助機關。日本天皇擁有如此巨大之權力，此種之立憲體制下，日軍會進行南京大屠殺，這是可以被理解的。整個的錯誤之最大源頭，即為明治</w:t>
      </w:r>
      <w:r w:rsidRPr="00A53581">
        <w:t>22</w:t>
      </w:r>
      <w:r w:rsidRPr="00A53581">
        <w:t>年（</w:t>
      </w:r>
      <w:r w:rsidRPr="00A53581">
        <w:t>1889</w:t>
      </w:r>
      <w:r w:rsidRPr="00A53581">
        <w:t>年）頒佈的《大日本帝國憲法》中，涉及天皇之權力之立憲條文，亦即，已將天皇加以造神化，天皇之權力，無法受到拘束。</w:t>
      </w:r>
    </w:p>
    <w:p w14:paraId="1E34404B" w14:textId="77777777" w:rsidR="00203F72" w:rsidRPr="00A53581" w:rsidRDefault="005E23E3" w:rsidP="00D87D91">
      <w:r>
        <w:t xml:space="preserve">　　</w:t>
      </w:r>
      <w:r w:rsidR="00203F72" w:rsidRPr="00A53581">
        <w:t>日本之裕仁天皇、谷壽夫、朝香宮鳩彥王、中島今朝吾、牛島滿、草場辰巳、佐佐木到一等等，均僅是設計錯誤之日本憲法下的殺人工具與傀儡而已。歷史的證明，上述之立憲條文，幾乎可令日本亡國。基於以上之論證，本書極力主張，宜大幅度地削弱與刪減我國總統之權力。</w:t>
      </w:r>
    </w:p>
    <w:p w14:paraId="55933AC3" w14:textId="77777777" w:rsidR="00203F72" w:rsidRPr="00A53581" w:rsidRDefault="005E23E3" w:rsidP="00D87D91">
      <w:r>
        <w:t xml:space="preserve">　　</w:t>
      </w:r>
      <w:r w:rsidR="00203F72" w:rsidRPr="00A53581">
        <w:t>圖片中的人頭</w:t>
      </w:r>
      <w:r w:rsidR="00203F72" w:rsidRPr="00A53581">
        <w:t>(</w:t>
      </w:r>
      <w:r w:rsidR="00203F72" w:rsidRPr="00A53581">
        <w:t>這些人該死嗎？須要死的如此悲慘嗎？</w:t>
      </w:r>
      <w:r w:rsidR="00203F72" w:rsidRPr="00A53581">
        <w:t>)</w:t>
      </w:r>
      <w:r w:rsidR="00203F72" w:rsidRPr="00A53581">
        <w:t>，被日軍的軍兵砍下，為何為發生如此的悲據？圖中的日軍，僅是日本憲法下的殺人工具，設計不當的憲法</w:t>
      </w:r>
      <w:r w:rsidR="00D92F56">
        <w:t>〜</w:t>
      </w:r>
      <w:r w:rsidR="00203F72" w:rsidRPr="00A53581">
        <w:t>將國家重大的權力，集中於總統</w:t>
      </w:r>
      <w:r w:rsidR="00203F72" w:rsidRPr="00A53581">
        <w:t>(</w:t>
      </w:r>
      <w:r w:rsidR="00203F72" w:rsidRPr="00A53581">
        <w:t>日本天皇</w:t>
      </w:r>
      <w:r w:rsidR="00203F72" w:rsidRPr="00A53581">
        <w:t>)</w:t>
      </w:r>
      <w:r w:rsidR="00203F72" w:rsidRPr="00A53581">
        <w:t>一人之身上，如此的憲法，是促使總統</w:t>
      </w:r>
      <w:r w:rsidR="00203F72" w:rsidRPr="00A53581">
        <w:t>(</w:t>
      </w:r>
      <w:r w:rsidR="00203F72" w:rsidRPr="00A53581">
        <w:t>日本天皇</w:t>
      </w:r>
      <w:r w:rsidR="00203F72" w:rsidRPr="00A53581">
        <w:t>)</w:t>
      </w:r>
      <w:r w:rsidR="00203F72" w:rsidRPr="00A53581">
        <w:t>進行殺人無數之憲法。設計不良的憲法，是殺人的極大的元兇。</w:t>
      </w:r>
    </w:p>
    <w:p w14:paraId="0C42298D" w14:textId="77777777" w:rsidR="00203F72" w:rsidRPr="00A53581" w:rsidRDefault="005E23E3" w:rsidP="00D87D91">
      <w:r>
        <w:t xml:space="preserve">　　</w:t>
      </w:r>
      <w:r w:rsidR="00203F72" w:rsidRPr="00A53581">
        <w:t>台灣目前之憲法，有著二次大戰前日本憲法之陰影。將國家重大的權力</w:t>
      </w:r>
      <w:r w:rsidR="00D92F56">
        <w:t>〜</w:t>
      </w:r>
      <w:r w:rsidR="00203F72" w:rsidRPr="00A53581">
        <w:t>行政權、司法權</w:t>
      </w:r>
      <w:r w:rsidR="00203F72" w:rsidRPr="00A53581">
        <w:t>(</w:t>
      </w:r>
      <w:r w:rsidR="00203F72" w:rsidRPr="00A53581">
        <w:t>大法官由總統提名</w:t>
      </w:r>
      <w:r w:rsidR="00203F72" w:rsidRPr="00A53581">
        <w:t>)</w:t>
      </w:r>
      <w:r w:rsidR="00203F72" w:rsidRPr="00A53581">
        <w:t>、考試權</w:t>
      </w:r>
      <w:r w:rsidR="00203F72" w:rsidRPr="00A53581">
        <w:t>(</w:t>
      </w:r>
      <w:r w:rsidR="00203F72" w:rsidRPr="00A53581">
        <w:t>考試委員由總統提名</w:t>
      </w:r>
      <w:r w:rsidR="00203F72" w:rsidRPr="00A53581">
        <w:t>)</w:t>
      </w:r>
      <w:r w:rsidR="00203F72" w:rsidRPr="00A53581">
        <w:t>、監察權</w:t>
      </w:r>
      <w:r w:rsidR="00203F72" w:rsidRPr="00A53581">
        <w:t>(</w:t>
      </w:r>
      <w:r w:rsidR="00203F72" w:rsidRPr="00A53581">
        <w:t>監察委員由總統提名</w:t>
      </w:r>
      <w:r w:rsidR="00203F72" w:rsidRPr="00A53581">
        <w:t>)</w:t>
      </w:r>
      <w:r w:rsidR="00203F72" w:rsidRPr="00A53581">
        <w:t>，四權集中於總統一人之身。五權憲法之架構，在目前之情形之下，似已被壓縮成為「兩權憲法」。一權係立法權，另一權則為總統權，總統權包括</w:t>
      </w:r>
      <w:r w:rsidR="00D92F56">
        <w:t>〜</w:t>
      </w:r>
      <w:r w:rsidR="00203F72" w:rsidRPr="00A53581">
        <w:t>行政權、司法權</w:t>
      </w:r>
      <w:r w:rsidR="00203F72" w:rsidRPr="00A53581">
        <w:t>(</w:t>
      </w:r>
      <w:r w:rsidR="00203F72" w:rsidRPr="00A53581">
        <w:t>大法官由總統提名</w:t>
      </w:r>
      <w:r w:rsidR="00203F72" w:rsidRPr="00A53581">
        <w:t>)</w:t>
      </w:r>
      <w:r w:rsidR="00203F72" w:rsidRPr="00A53581">
        <w:t>、考試權</w:t>
      </w:r>
      <w:r w:rsidR="00203F72" w:rsidRPr="00A53581">
        <w:t>(</w:t>
      </w:r>
      <w:r w:rsidR="00203F72" w:rsidRPr="00A53581">
        <w:t>考試委員由總統提名</w:t>
      </w:r>
      <w:r w:rsidR="00203F72" w:rsidRPr="00A53581">
        <w:t>)</w:t>
      </w:r>
      <w:r w:rsidR="00203F72" w:rsidRPr="00A53581">
        <w:t>、監察權</w:t>
      </w:r>
      <w:r w:rsidR="00203F72" w:rsidRPr="00A53581">
        <w:t>(</w:t>
      </w:r>
      <w:r w:rsidR="00203F72" w:rsidRPr="00A53581">
        <w:t>監察委員由總統提名</w:t>
      </w:r>
      <w:r w:rsidR="00203F72" w:rsidRPr="00A53581">
        <w:t>)</w:t>
      </w:r>
      <w:r w:rsidR="00203F72" w:rsidRPr="00A53581">
        <w:t>。台灣「兩權憲法」之價值？是否會優於西方之三權分立？答案恐是否定的。</w:t>
      </w:r>
    </w:p>
    <w:p w14:paraId="6140D07A" w14:textId="77777777" w:rsidR="00953151" w:rsidRDefault="005E23E3" w:rsidP="00D87D91">
      <w:r>
        <w:t xml:space="preserve">　　</w:t>
      </w:r>
      <w:r w:rsidR="00203F72" w:rsidRPr="00A53581">
        <w:t>從歷史的教訓中，可得知設計不當的憲法，是會演進成為殺人的巨大機器，是一隻殺人的龐大怪獸，本書稱之為「憲法殺人機器理論」，或者，可稱為「憲法屠人機器理論」。或者，可稱為「憲法濫殺理論」。或者，可稱為「憲法濫屠理論」。或者，可稱為「憲法屠城理論」。二次大戰前日本憲法之極權主義模式，似乎逐步地已在台灣本土，再次復活與重生。我國憲法之架構，似不宜過度地將相關之國家重要權力，集中於總統之身上。假若將近乎所有的雞蛋，放在一個籃子內，假若籃子掉了，所有的雞蛋，不是全部均碎了嗎？假若，總統的觀念、思想、人格、心理與行動，極度地偏差與怪異，恐有將國家帶向亡國之路，理想之立憲模式，宜避免總統之專制、專權、濫權與擴權，且應有強而有力之監控機制。</w:t>
      </w:r>
      <w:r w:rsidR="00193290" w:rsidRPr="0065661E">
        <w:rPr>
          <w:rFonts w:hint="eastAsia"/>
          <w:color w:val="FFFFFF" w:themeColor="background1"/>
        </w:rPr>
        <w:t>◇◆</w:t>
      </w:r>
    </w:p>
    <w:p w14:paraId="0E8AB263" w14:textId="77777777" w:rsidR="00203F72" w:rsidRPr="00A53581" w:rsidRDefault="00203F72" w:rsidP="00D87D91"/>
    <w:p w14:paraId="79EA402D" w14:textId="77777777" w:rsidR="00203F72" w:rsidRPr="00A53581" w:rsidRDefault="00203F72" w:rsidP="00D87D91">
      <w:r>
        <w:rPr>
          <w:noProof/>
        </w:rPr>
        <w:drawing>
          <wp:inline distT="0" distB="0" distL="0" distR="0" wp14:anchorId="6A85BF7C" wp14:editId="280FD57C">
            <wp:extent cx="5046345" cy="7272655"/>
            <wp:effectExtent l="0" t="0" r="1905" b="4445"/>
            <wp:docPr id="55" name="irc_mi" descr="428745">
              <a:hlinkClick xmlns:a="http://schemas.openxmlformats.org/drawingml/2006/main" r:id="rId2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428745"/>
                    <pic:cNvPicPr>
                      <a:picLocks noChangeAspect="1" noChangeArrowheads="1"/>
                    </pic:cNvPicPr>
                  </pic:nvPicPr>
                  <pic:blipFill>
                    <a:blip r:embed="rId2799">
                      <a:extLst>
                        <a:ext uri="{28A0092B-C50C-407E-A947-70E740481C1C}">
                          <a14:useLocalDpi xmlns:a14="http://schemas.microsoft.com/office/drawing/2010/main" val="0"/>
                        </a:ext>
                      </a:extLst>
                    </a:blip>
                    <a:srcRect/>
                    <a:stretch>
                      <a:fillRect/>
                    </a:stretch>
                  </pic:blipFill>
                  <pic:spPr bwMode="auto">
                    <a:xfrm>
                      <a:off x="0" y="0"/>
                      <a:ext cx="5046345" cy="7272655"/>
                    </a:xfrm>
                    <a:prstGeom prst="rect">
                      <a:avLst/>
                    </a:prstGeom>
                    <a:noFill/>
                    <a:ln>
                      <a:noFill/>
                    </a:ln>
                  </pic:spPr>
                </pic:pic>
              </a:graphicData>
            </a:graphic>
          </wp:inline>
        </w:drawing>
      </w:r>
    </w:p>
    <w:p w14:paraId="2AACF1BD" w14:textId="682BAE5C" w:rsidR="00203F72" w:rsidRPr="00D40983" w:rsidRDefault="00B03E84" w:rsidP="00D40983">
      <w:r w:rsidRPr="00D40983">
        <w:t>【</w:t>
      </w:r>
      <w:r w:rsidRPr="00D40983">
        <w:t>figure</w:t>
      </w:r>
      <w:r w:rsidR="005E23E3" w:rsidRPr="00D4098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52</w:t>
      </w:r>
      <w:r w:rsidR="00076467">
        <w:rPr>
          <w:noProof/>
        </w:rPr>
        <w:fldChar w:fldCharType="end"/>
      </w:r>
      <w:r w:rsidR="00203F72" w:rsidRPr="00D40983">
        <w:t xml:space="preserve"> </w:t>
      </w:r>
      <w:r w:rsidR="00203F72" w:rsidRPr="00D40983">
        <w:t>南京大屠殺暴行圖示</w:t>
      </w:r>
      <w:r w:rsidR="00203F72" w:rsidRPr="00D40983">
        <w:t xml:space="preserve">(1) </w:t>
      </w:r>
      <w:r w:rsidR="00203F72" w:rsidRPr="00D40983">
        <w:footnoteReference w:id="1113"/>
      </w:r>
    </w:p>
    <w:p w14:paraId="47C2AF02" w14:textId="77777777" w:rsidR="00203F72" w:rsidRPr="00D40983" w:rsidRDefault="00B03E84" w:rsidP="00D40983">
      <w:r w:rsidRPr="00D40983">
        <w:rPr>
          <w:rFonts w:hint="eastAsia"/>
        </w:rPr>
        <w:t>【資料來源】</w:t>
      </w:r>
      <w:r w:rsidR="00203F72" w:rsidRPr="00D40983">
        <w:rPr>
          <w:rFonts w:hint="eastAsia"/>
        </w:rPr>
        <w:t>多維</w:t>
      </w:r>
      <w:r w:rsidR="00203F72" w:rsidRPr="00D40983">
        <w:t>(2014)</w:t>
      </w:r>
      <w:r w:rsidR="00203F72" w:rsidRPr="00D40983">
        <w:rPr>
          <w:rFonts w:hint="eastAsia"/>
        </w:rPr>
        <w:t>，日軍自述南京大屠殺暴行：殺人時感覺如殺豬，上網瀏覽時間：</w:t>
      </w:r>
      <w:r w:rsidR="00203F72" w:rsidRPr="00D40983">
        <w:t>2015/02/09</w:t>
      </w:r>
      <w:r w:rsidR="00203F72" w:rsidRPr="00D40983">
        <w:rPr>
          <w:rFonts w:hint="eastAsia"/>
        </w:rPr>
        <w:t>，</w:t>
      </w:r>
      <w:hyperlink r:id="rId2800" w:history="1">
        <w:r w:rsidR="00203F72" w:rsidRPr="00D40983">
          <w:rPr>
            <w:rStyle w:val="a5"/>
          </w:rPr>
          <w:t>http://www.naol.cc/news/world/2014/12/13-1.htm</w:t>
        </w:r>
      </w:hyperlink>
      <w:r w:rsidR="00203F72" w:rsidRPr="00D40983">
        <w:rPr>
          <w:rFonts w:hint="eastAsia"/>
        </w:rPr>
        <w:t>。</w:t>
      </w:r>
      <w:r w:rsidR="00193290" w:rsidRPr="00D40983">
        <w:rPr>
          <w:rFonts w:hint="eastAsia"/>
        </w:rPr>
        <w:t>◇◆</w:t>
      </w:r>
    </w:p>
    <w:p w14:paraId="12C0C748" w14:textId="77777777" w:rsidR="00953151" w:rsidRDefault="00953151" w:rsidP="00D87D91"/>
    <w:p w14:paraId="08A9C9AF" w14:textId="77777777" w:rsidR="00203F72" w:rsidRPr="00A53581" w:rsidRDefault="00203F72" w:rsidP="00D87D91"/>
    <w:p w14:paraId="74AAFEB6" w14:textId="77777777" w:rsidR="00203F72" w:rsidRPr="00A53581" w:rsidRDefault="00203F72" w:rsidP="00D87D91">
      <w:r>
        <w:rPr>
          <w:noProof/>
        </w:rPr>
        <w:drawing>
          <wp:inline distT="0" distB="0" distL="0" distR="0" wp14:anchorId="027DBCEF" wp14:editId="2CC5C9DC">
            <wp:extent cx="4881245" cy="4377055"/>
            <wp:effectExtent l="0" t="0" r="0" b="4445"/>
            <wp:docPr id="56" name="圖片 56" descr="ittt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tttmages"/>
                    <pic:cNvPicPr>
                      <a:picLocks noChangeAspect="1" noChangeArrowheads="1"/>
                    </pic:cNvPicPr>
                  </pic:nvPicPr>
                  <pic:blipFill>
                    <a:blip r:embed="rId2801">
                      <a:extLst>
                        <a:ext uri="{28A0092B-C50C-407E-A947-70E740481C1C}">
                          <a14:useLocalDpi xmlns:a14="http://schemas.microsoft.com/office/drawing/2010/main" val="0"/>
                        </a:ext>
                      </a:extLst>
                    </a:blip>
                    <a:srcRect/>
                    <a:stretch>
                      <a:fillRect/>
                    </a:stretch>
                  </pic:blipFill>
                  <pic:spPr bwMode="auto">
                    <a:xfrm>
                      <a:off x="0" y="0"/>
                      <a:ext cx="4881245" cy="4377055"/>
                    </a:xfrm>
                    <a:prstGeom prst="rect">
                      <a:avLst/>
                    </a:prstGeom>
                    <a:noFill/>
                    <a:ln>
                      <a:noFill/>
                    </a:ln>
                  </pic:spPr>
                </pic:pic>
              </a:graphicData>
            </a:graphic>
          </wp:inline>
        </w:drawing>
      </w:r>
    </w:p>
    <w:p w14:paraId="5EFA7889" w14:textId="6195D30D" w:rsidR="00203F72" w:rsidRPr="00A5358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53</w:t>
      </w:r>
      <w:r w:rsidR="00076467">
        <w:rPr>
          <w:noProof/>
        </w:rPr>
        <w:fldChar w:fldCharType="end"/>
      </w:r>
      <w:r w:rsidR="00203F72" w:rsidRPr="00A53581">
        <w:t>南京大屠殺暴行圖示</w:t>
      </w:r>
      <w:r w:rsidR="00203F72" w:rsidRPr="00A53581">
        <w:t>(2)</w:t>
      </w:r>
      <w:r w:rsidR="00203F72" w:rsidRPr="00A53581">
        <w:rPr>
          <w:rStyle w:val="af3"/>
          <w:rFonts w:ascii="新細明體" w:hAnsi="新細明體"/>
          <w:szCs w:val="22"/>
        </w:rPr>
        <w:footnoteReference w:id="1114"/>
      </w:r>
    </w:p>
    <w:p w14:paraId="49EF19AD" w14:textId="77777777" w:rsidR="00203F72" w:rsidRPr="00A53581" w:rsidRDefault="00B03E84" w:rsidP="00D87D91">
      <w:r>
        <w:rPr>
          <w:rFonts w:hint="eastAsia"/>
        </w:rPr>
        <w:t>【資料來源】</w:t>
      </w:r>
      <w:r w:rsidR="00203F72" w:rsidRPr="00A53581">
        <w:rPr>
          <w:rFonts w:hint="eastAsia"/>
        </w:rPr>
        <w:t>多維</w:t>
      </w:r>
      <w:r w:rsidR="00203F72" w:rsidRPr="00A53581">
        <w:t>(2014)</w:t>
      </w:r>
      <w:r w:rsidR="00203F72" w:rsidRPr="00A53581">
        <w:rPr>
          <w:rFonts w:hint="eastAsia"/>
        </w:rPr>
        <w:t>，日軍自述南京大屠殺暴行：殺人時感覺如殺豬，上網瀏覽時間：</w:t>
      </w:r>
      <w:r w:rsidR="00203F72" w:rsidRPr="00A53581">
        <w:t>2015/02/09</w:t>
      </w:r>
      <w:r w:rsidR="00203F72" w:rsidRPr="00A53581">
        <w:rPr>
          <w:rFonts w:hint="eastAsia"/>
        </w:rPr>
        <w:t>，</w:t>
      </w:r>
      <w:hyperlink r:id="rId2802" w:history="1">
        <w:r w:rsidR="00203F72" w:rsidRPr="00A53581">
          <w:rPr>
            <w:rStyle w:val="a5"/>
          </w:rPr>
          <w:t>http://www.naol.cc/news/world/2014/12/13-1.htm</w:t>
        </w:r>
      </w:hyperlink>
      <w:r w:rsidR="00203F72" w:rsidRPr="00A53581">
        <w:rPr>
          <w:rFonts w:hint="eastAsia"/>
        </w:rPr>
        <w:t>。</w:t>
      </w:r>
    </w:p>
    <w:p w14:paraId="74B8EFFD" w14:textId="77777777" w:rsidR="00953151" w:rsidRDefault="00953151" w:rsidP="00D87D91">
      <w:pPr>
        <w:pStyle w:val="black34"/>
      </w:pPr>
    </w:p>
    <w:p w14:paraId="75DBBD8F" w14:textId="77777777" w:rsidR="00203F72" w:rsidRPr="00A53581" w:rsidRDefault="00203F72" w:rsidP="00D87D91">
      <w:r>
        <w:rPr>
          <w:noProof/>
        </w:rPr>
        <w:drawing>
          <wp:inline distT="0" distB="0" distL="0" distR="0" wp14:anchorId="3ADDB6C5" wp14:editId="66B976BC">
            <wp:extent cx="4813300" cy="3979545"/>
            <wp:effectExtent l="0" t="0" r="6350" b="1905"/>
            <wp:docPr id="57" name="圖片 57" descr="201111072050z_speci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111072050z_special1"/>
                    <pic:cNvPicPr>
                      <a:picLocks noChangeAspect="1" noChangeArrowheads="1"/>
                    </pic:cNvPicPr>
                  </pic:nvPicPr>
                  <pic:blipFill>
                    <a:blip r:embed="rId2803">
                      <a:extLst>
                        <a:ext uri="{28A0092B-C50C-407E-A947-70E740481C1C}">
                          <a14:useLocalDpi xmlns:a14="http://schemas.microsoft.com/office/drawing/2010/main" val="0"/>
                        </a:ext>
                      </a:extLst>
                    </a:blip>
                    <a:srcRect/>
                    <a:stretch>
                      <a:fillRect/>
                    </a:stretch>
                  </pic:blipFill>
                  <pic:spPr bwMode="auto">
                    <a:xfrm>
                      <a:off x="0" y="0"/>
                      <a:ext cx="4813300" cy="3979545"/>
                    </a:xfrm>
                    <a:prstGeom prst="rect">
                      <a:avLst/>
                    </a:prstGeom>
                    <a:noFill/>
                    <a:ln>
                      <a:noFill/>
                    </a:ln>
                  </pic:spPr>
                </pic:pic>
              </a:graphicData>
            </a:graphic>
          </wp:inline>
        </w:drawing>
      </w:r>
    </w:p>
    <w:p w14:paraId="0A041282" w14:textId="0C911420" w:rsidR="00203F72" w:rsidRPr="00A53581" w:rsidRDefault="00B03E84" w:rsidP="00D87D91">
      <w:pPr>
        <w:pStyle w:val="aff4"/>
      </w:pPr>
      <w:r>
        <w:t>【</w:t>
      </w:r>
      <w:r>
        <w:t>figure</w:t>
      </w:r>
      <w:r w:rsidR="005E23E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54</w:t>
      </w:r>
      <w:r w:rsidR="00076467">
        <w:rPr>
          <w:noProof/>
        </w:rPr>
        <w:fldChar w:fldCharType="end"/>
      </w:r>
      <w:r w:rsidR="00203F72" w:rsidRPr="00A53581">
        <w:t xml:space="preserve"> </w:t>
      </w:r>
      <w:r w:rsidR="00203F72" w:rsidRPr="00A53581">
        <w:t>南京大屠殺暴行圖示</w:t>
      </w:r>
      <w:r w:rsidR="00203F72" w:rsidRPr="00A53581">
        <w:t>(3)</w:t>
      </w:r>
      <w:r w:rsidR="00203F72" w:rsidRPr="00A53581">
        <w:rPr>
          <w:rStyle w:val="af3"/>
          <w:rFonts w:ascii="新細明體" w:hAnsi="新細明體"/>
          <w:szCs w:val="22"/>
        </w:rPr>
        <w:footnoteReference w:id="1115"/>
      </w:r>
    </w:p>
    <w:p w14:paraId="5946CCEF" w14:textId="77777777" w:rsidR="00953151" w:rsidRDefault="00B03E84" w:rsidP="00D87D91">
      <w:r>
        <w:rPr>
          <w:rFonts w:hint="eastAsia"/>
        </w:rPr>
        <w:t>【資料來源】</w:t>
      </w:r>
      <w:r w:rsidR="00203F72" w:rsidRPr="00A53581">
        <w:rPr>
          <w:rFonts w:hint="eastAsia"/>
        </w:rPr>
        <w:t>多維</w:t>
      </w:r>
      <w:r w:rsidR="00203F72" w:rsidRPr="00A53581">
        <w:t>(2014)</w:t>
      </w:r>
      <w:r w:rsidR="00203F72" w:rsidRPr="00A53581">
        <w:rPr>
          <w:rFonts w:hint="eastAsia"/>
        </w:rPr>
        <w:t>，日軍自述南京大屠殺暴行：殺人時感覺如殺豬，上網瀏覽時間：</w:t>
      </w:r>
      <w:r w:rsidR="00203F72" w:rsidRPr="00A53581">
        <w:t>2015/02/09</w:t>
      </w:r>
      <w:r w:rsidR="00203F72" w:rsidRPr="00A53581">
        <w:rPr>
          <w:rFonts w:hint="eastAsia"/>
        </w:rPr>
        <w:t>，</w:t>
      </w:r>
      <w:hyperlink r:id="rId2804" w:history="1">
        <w:r w:rsidR="00203F72" w:rsidRPr="00A53581">
          <w:rPr>
            <w:rStyle w:val="a5"/>
          </w:rPr>
          <w:t>http://www.naol.cc/news/world/2014/12/13-1.htm</w:t>
        </w:r>
      </w:hyperlink>
      <w:r w:rsidR="00203F72" w:rsidRPr="00A53581">
        <w:rPr>
          <w:rFonts w:hint="eastAsia"/>
        </w:rPr>
        <w:t>。</w:t>
      </w:r>
    </w:p>
    <w:p w14:paraId="0C30C026" w14:textId="77777777" w:rsidR="00203F72" w:rsidRPr="00A53581" w:rsidRDefault="005E23E3" w:rsidP="00D87D91">
      <w:r w:rsidRPr="00D40983">
        <w:t xml:space="preserve">　　</w:t>
      </w:r>
      <w:r w:rsidR="00203F72" w:rsidRPr="00D40983">
        <w:t>未來，宜朝向削弱總統權力</w:t>
      </w:r>
      <w:r w:rsidR="00203F72" w:rsidRPr="00D40983">
        <w:t>(power)</w:t>
      </w:r>
      <w:r w:rsidR="00203F72" w:rsidRPr="00D40983">
        <w:t>之方向發展；目前，能夠有效彈劾總統之機關，係為立法院，即使立法院彈劾總統之提議案通過，尚須經過司法院大法官之審理</w:t>
      </w:r>
      <w:r w:rsidR="00203F72" w:rsidRPr="00D40983">
        <w:footnoteReference w:id="1116"/>
      </w:r>
      <w:r w:rsidR="00203F72" w:rsidRPr="00D40983">
        <w:t>；然而，司法院大法官之全部人選，係由總統一人提名。筆者提出一個實例，說明如此的設計的不合理之處。此宛如要求總統，請其右手拿起菜刀</w:t>
      </w:r>
      <w:r w:rsidR="00203F72" w:rsidRPr="00D40983">
        <w:t>(</w:t>
      </w:r>
      <w:r w:rsidR="00203F72" w:rsidRPr="00D40983">
        <w:t>司法院大法官之審理機制</w:t>
      </w:r>
      <w:r w:rsidR="00203F72" w:rsidRPr="00D40983">
        <w:t>)</w:t>
      </w:r>
      <w:r w:rsidR="00203F72" w:rsidRPr="00D40983">
        <w:t>，砍斷自己違法、專制、專權、濫權與擴權的左手。或者，要求總統，請其右手拿起菜刀</w:t>
      </w:r>
      <w:r w:rsidR="00203F72" w:rsidRPr="00D40983">
        <w:t>(</w:t>
      </w:r>
      <w:r w:rsidR="00203F72" w:rsidRPr="00D40983">
        <w:t>司</w:t>
      </w:r>
      <w:r w:rsidR="00203F72" w:rsidRPr="00A53581">
        <w:t>法院大法官之審理機制</w:t>
      </w:r>
      <w:r w:rsidR="00203F72" w:rsidRPr="00A53581">
        <w:t>)</w:t>
      </w:r>
      <w:r w:rsidR="00203F72" w:rsidRPr="00A53581">
        <w:t>，砍斷自己違法、專制、專權、濫權與擴權的雙腳。請問：總統有可能右手拿起菜刀</w:t>
      </w:r>
      <w:r w:rsidR="00203F72" w:rsidRPr="00A53581">
        <w:t>(</w:t>
      </w:r>
      <w:r w:rsidR="00203F72" w:rsidRPr="00A53581">
        <w:t>司法院大法官之審理機制</w:t>
      </w:r>
      <w:r w:rsidR="00203F72" w:rsidRPr="00A53581">
        <w:t>)</w:t>
      </w:r>
      <w:r w:rsidR="00203F72" w:rsidRPr="00A53581">
        <w:t>，砍斷自己的違法、專制、專權、濫權與擴權的左手與雙腳嗎？如此的立憲例，幾乎是鼓勵總統違法、專制、專權、濫權與擴權，陷總統於不義。主要之理由，司法院大法官係由總統提名，大法官恐有總統的分身與化身之虞。</w:t>
      </w:r>
    </w:p>
    <w:p w14:paraId="454824AE" w14:textId="77777777" w:rsidR="00953151" w:rsidRDefault="005E23E3" w:rsidP="00D87D91">
      <w:r>
        <w:t xml:space="preserve">　　</w:t>
      </w:r>
      <w:r w:rsidR="00203F72" w:rsidRPr="00A53581">
        <w:t>假若，大法官自我期許並非總統的分身與化身，司法院大法官於審理總統是否須被彈劾之重大案件時，除了考量法理之外，有無兼顧「清還人情債務」之思考，亦值得進一步深思，人情債務是非常難清還的。大法官是否會考量</w:t>
      </w:r>
      <w:r w:rsidR="00D92F56">
        <w:t>〜</w:t>
      </w:r>
      <w:r w:rsidR="00203F72" w:rsidRPr="00A53581">
        <w:t>我今日有如此崇高的社經地位，係總統給我提名的。假若，總統不給我提名，我今日便無法享有如此崇高的社經地位。如此之機制，似已令總統之權力，達到無法受到有效監控之地步；為了避免總統專制、專權、濫權與擴權，德國及日本之內閣憲法體制，值得我國學習與參考，本書尊崇德國及日本之內閣憲法體制。</w:t>
      </w:r>
    </w:p>
    <w:p w14:paraId="7BB40DDC" w14:textId="77777777" w:rsidR="00D40983" w:rsidRDefault="00D40983" w:rsidP="00D87D91"/>
    <w:p w14:paraId="4584AB48" w14:textId="7664BFAE"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w:instrText>
      </w:r>
      <w:r w:rsidR="00076467">
        <w:rPr>
          <w:noProof/>
        </w:rPr>
        <w:instrText xml:space="preserve">le \* ARABIC </w:instrText>
      </w:r>
      <w:r w:rsidR="00076467">
        <w:rPr>
          <w:noProof/>
        </w:rPr>
        <w:fldChar w:fldCharType="separate"/>
      </w:r>
      <w:r w:rsidR="00D935B9">
        <w:rPr>
          <w:noProof/>
        </w:rPr>
        <w:t>122</w:t>
      </w:r>
      <w:r w:rsidR="00076467">
        <w:rPr>
          <w:noProof/>
        </w:rPr>
        <w:fldChar w:fldCharType="end"/>
      </w:r>
      <w:r w:rsidR="00203F72" w:rsidRPr="00A53581">
        <w:rPr>
          <w:bCs/>
        </w:rPr>
        <w:t>國父孫中山先生之五權憲法與</w:t>
      </w:r>
      <w:r w:rsidR="00203F72" w:rsidRPr="00A53581">
        <w:rPr>
          <w:rFonts w:hint="eastAsia"/>
          <w:bCs/>
        </w:rPr>
        <w:t>1946</w:t>
      </w:r>
      <w:r w:rsidR="00203F72" w:rsidRPr="00A53581">
        <w:rPr>
          <w:rFonts w:hint="eastAsia"/>
          <w:bCs/>
        </w:rPr>
        <w:t>年之</w:t>
      </w:r>
      <w:r w:rsidR="00203F72" w:rsidRPr="00A53581">
        <w:rPr>
          <w:bCs/>
        </w:rPr>
        <w:t>政協憲草與之差異性</w:t>
      </w:r>
    </w:p>
    <w:tbl>
      <w:tblPr>
        <w:tblW w:w="7796"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304"/>
        <w:gridCol w:w="1475"/>
        <w:gridCol w:w="5017"/>
      </w:tblGrid>
      <w:tr w:rsidR="00203F72" w:rsidRPr="00A53581" w14:paraId="0F36DB67" w14:textId="77777777" w:rsidTr="00203F72">
        <w:trPr>
          <w:tblCellSpacing w:w="15" w:type="dxa"/>
        </w:trPr>
        <w:tc>
          <w:tcPr>
            <w:tcW w:w="7736" w:type="dxa"/>
            <w:gridSpan w:val="3"/>
            <w:tcBorders>
              <w:top w:val="single" w:sz="4" w:space="0" w:color="auto"/>
              <w:left w:val="single" w:sz="4" w:space="0" w:color="auto"/>
              <w:bottom w:val="single" w:sz="4" w:space="0" w:color="auto"/>
              <w:right w:val="single" w:sz="4" w:space="0" w:color="auto"/>
            </w:tcBorders>
            <w:shd w:val="clear" w:color="auto" w:fill="FFCCAA"/>
            <w:vAlign w:val="center"/>
            <w:hideMark/>
          </w:tcPr>
          <w:p w14:paraId="0DABB476" w14:textId="77777777" w:rsidR="00203F72" w:rsidRPr="00A53581" w:rsidRDefault="00203F72" w:rsidP="00D87D91">
            <w:pPr>
              <w:rPr>
                <w:rFonts w:cs="新細明體"/>
              </w:rPr>
            </w:pPr>
            <w:r w:rsidRPr="00A53581">
              <w:t>孫中山國父之五權憲法與</w:t>
            </w:r>
            <w:r w:rsidRPr="00A53581">
              <w:rPr>
                <w:rFonts w:hint="eastAsia"/>
              </w:rPr>
              <w:t>1946</w:t>
            </w:r>
            <w:r w:rsidRPr="00A53581">
              <w:rPr>
                <w:rFonts w:hint="eastAsia"/>
              </w:rPr>
              <w:t>年之</w:t>
            </w:r>
            <w:r w:rsidRPr="00A53581">
              <w:t>政協憲草與之差異性</w:t>
            </w:r>
          </w:p>
        </w:tc>
      </w:tr>
      <w:tr w:rsidR="00203F72" w:rsidRPr="00A53581" w14:paraId="13660B4F" w14:textId="77777777"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68BAB4D" w14:textId="77777777" w:rsidR="00203F72" w:rsidRPr="00A53581" w:rsidRDefault="00203F72" w:rsidP="00D87D91">
            <w:pPr>
              <w:rPr>
                <w:rFonts w:cs="新細明體"/>
              </w:rPr>
            </w:pPr>
            <w:r w:rsidRPr="00A53581">
              <w:t>議題</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77377B3E" w14:textId="77777777" w:rsidR="00203F72" w:rsidRPr="00A53581" w:rsidRDefault="00203F72" w:rsidP="00D87D91">
            <w:pPr>
              <w:rPr>
                <w:rFonts w:cs="新細明體"/>
              </w:rPr>
            </w:pPr>
            <w:r w:rsidRPr="00A53581">
              <w:t>五權憲法</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67FE44C" w14:textId="77777777" w:rsidR="00203F72" w:rsidRPr="00A53581" w:rsidRDefault="00203F72" w:rsidP="00D87D91">
            <w:pPr>
              <w:rPr>
                <w:rFonts w:cs="新細明體"/>
              </w:rPr>
            </w:pPr>
            <w:r w:rsidRPr="00A53581">
              <w:rPr>
                <w:rFonts w:hint="eastAsia"/>
              </w:rPr>
              <w:t>1946</w:t>
            </w:r>
            <w:r w:rsidRPr="00A53581">
              <w:rPr>
                <w:rFonts w:hint="eastAsia"/>
              </w:rPr>
              <w:t>年之</w:t>
            </w:r>
            <w:r w:rsidRPr="00A53581">
              <w:t>政協憲草</w:t>
            </w:r>
          </w:p>
        </w:tc>
      </w:tr>
      <w:tr w:rsidR="00203F72" w:rsidRPr="00A53581" w14:paraId="1808D654" w14:textId="77777777"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CCC850E" w14:textId="77777777" w:rsidR="00203F72" w:rsidRPr="00A53581" w:rsidRDefault="00203F72" w:rsidP="00D87D91">
            <w:pPr>
              <w:rPr>
                <w:rFonts w:cs="新細明體"/>
              </w:rPr>
            </w:pPr>
            <w:r w:rsidRPr="00A53581">
              <w:t>國民大會</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D193C22" w14:textId="77777777" w:rsidR="00203F72" w:rsidRPr="00A53581" w:rsidRDefault="00203F72" w:rsidP="00D87D91">
            <w:pPr>
              <w:rPr>
                <w:rFonts w:cs="新細明體"/>
              </w:rPr>
            </w:pPr>
            <w:r w:rsidRPr="00A53581">
              <w:t>每縣選舉一人</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C24BA39" w14:textId="77777777" w:rsidR="00203F72" w:rsidRPr="00A53581" w:rsidRDefault="00203F72" w:rsidP="00D87D91">
            <w:pPr>
              <w:rPr>
                <w:rFonts w:cs="新細明體"/>
              </w:rPr>
            </w:pPr>
            <w:r w:rsidRPr="00A53581">
              <w:t>由各地方議會和中央議會集會作為國大</w:t>
            </w:r>
          </w:p>
        </w:tc>
      </w:tr>
      <w:tr w:rsidR="00203F72" w:rsidRPr="00A53581" w14:paraId="702E2A53" w14:textId="77777777"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6132225" w14:textId="77777777" w:rsidR="00203F72" w:rsidRPr="00A53581" w:rsidRDefault="00203F72" w:rsidP="00D87D91">
            <w:pPr>
              <w:rPr>
                <w:rFonts w:cs="新細明體"/>
              </w:rPr>
            </w:pPr>
            <w:r w:rsidRPr="00A53581">
              <w:t>立法院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47119FCF" w14:textId="77777777" w:rsidR="00203F72" w:rsidRPr="00A53581" w:rsidRDefault="00203F72" w:rsidP="00D87D91">
            <w:pPr>
              <w:rPr>
                <w:rFonts w:cs="新細明體"/>
              </w:rPr>
            </w:pPr>
            <w:r w:rsidRPr="00A53581">
              <w:t>政府立法機關</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0A2CB526" w14:textId="77777777" w:rsidR="00203F72" w:rsidRPr="00A53581" w:rsidRDefault="00203F72" w:rsidP="00D87D91">
            <w:pPr>
              <w:rPr>
                <w:rFonts w:cs="新細明體"/>
              </w:rPr>
            </w:pPr>
            <w:r w:rsidRPr="00A53581">
              <w:t>立法機關兼政權機關</w:t>
            </w:r>
          </w:p>
        </w:tc>
      </w:tr>
      <w:tr w:rsidR="00203F72" w:rsidRPr="00A53581" w14:paraId="5A55F567" w14:textId="77777777"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61AA2D8" w14:textId="77777777" w:rsidR="00203F72" w:rsidRPr="00A53581" w:rsidRDefault="00203F72" w:rsidP="00D87D91">
            <w:pPr>
              <w:rPr>
                <w:rFonts w:cs="新細明體"/>
              </w:rPr>
            </w:pPr>
            <w:r w:rsidRPr="00A53581">
              <w:t>監察院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36E61980" w14:textId="77777777" w:rsidR="00203F72" w:rsidRPr="00A53581" w:rsidRDefault="00203F72" w:rsidP="00D87D91">
            <w:pPr>
              <w:rPr>
                <w:rFonts w:cs="新細明體"/>
              </w:rPr>
            </w:pPr>
            <w:r w:rsidRPr="00A53581">
              <w:t>政府監察機關</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346D25F5" w14:textId="77777777" w:rsidR="00203F72" w:rsidRPr="00A53581" w:rsidRDefault="00203F72" w:rsidP="00D87D91">
            <w:pPr>
              <w:rPr>
                <w:rFonts w:cs="新細明體"/>
              </w:rPr>
            </w:pPr>
            <w:r w:rsidRPr="00A53581">
              <w:t>監察機關兼議會</w:t>
            </w:r>
          </w:p>
        </w:tc>
      </w:tr>
      <w:tr w:rsidR="00203F72" w:rsidRPr="00A53581" w14:paraId="15FE10CB" w14:textId="77777777"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EB4629C" w14:textId="77777777" w:rsidR="00203F72" w:rsidRPr="00A53581" w:rsidRDefault="00203F72" w:rsidP="00D87D91">
            <w:pPr>
              <w:rPr>
                <w:rFonts w:cs="新細明體"/>
              </w:rPr>
            </w:pPr>
            <w:r w:rsidRPr="00A53581">
              <w:t>政府體制</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5937CD9E" w14:textId="77777777" w:rsidR="00203F72" w:rsidRPr="00A53581" w:rsidRDefault="00203F72" w:rsidP="00D87D91">
            <w:pPr>
              <w:rPr>
                <w:rFonts w:cs="新細明體"/>
              </w:rPr>
            </w:pPr>
            <w:r w:rsidRPr="00A53581">
              <w:t>總統制</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CD80329" w14:textId="77777777" w:rsidR="00203F72" w:rsidRPr="00A53581" w:rsidRDefault="00203F72" w:rsidP="00D87D91">
            <w:pPr>
              <w:rPr>
                <w:rFonts w:cs="新細明體"/>
              </w:rPr>
            </w:pPr>
            <w:r w:rsidRPr="00A53581">
              <w:t>內閣制</w:t>
            </w:r>
          </w:p>
        </w:tc>
      </w:tr>
      <w:tr w:rsidR="00203F72" w:rsidRPr="00A53581" w14:paraId="4F8B2AD4" w14:textId="77777777"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4ED6E781" w14:textId="77777777" w:rsidR="00203F72" w:rsidRPr="00A53581" w:rsidRDefault="00203F72" w:rsidP="00D87D91">
            <w:pPr>
              <w:rPr>
                <w:rFonts w:cs="新細明體"/>
              </w:rPr>
            </w:pPr>
            <w:r w:rsidRPr="00A53581">
              <w:t>國家體制</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14:paraId="257C1CB4" w14:textId="77777777" w:rsidR="00203F72" w:rsidRPr="00A53581" w:rsidRDefault="00203F72" w:rsidP="00D87D91">
            <w:pPr>
              <w:rPr>
                <w:rFonts w:cs="新細明體"/>
              </w:rPr>
            </w:pPr>
            <w:r w:rsidRPr="00A53581">
              <w:t>地方自治</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14:paraId="2565DAE4" w14:textId="77777777" w:rsidR="00203F72" w:rsidRPr="00A53581" w:rsidRDefault="00203F72" w:rsidP="00D87D91">
            <w:pPr>
              <w:rPr>
                <w:rFonts w:cs="新細明體"/>
              </w:rPr>
            </w:pPr>
            <w:r w:rsidRPr="00A53581">
              <w:t>聯邦制</w:t>
            </w:r>
          </w:p>
        </w:tc>
      </w:tr>
    </w:tbl>
    <w:p w14:paraId="28F6E43A" w14:textId="77777777" w:rsidR="00953151" w:rsidRDefault="00B03E84" w:rsidP="00D87D91">
      <w:pPr>
        <w:rPr>
          <w:rFonts w:ascii="新細明體" w:hAnsi="新細明體"/>
        </w:rPr>
      </w:pPr>
      <w:r>
        <w:rPr>
          <w:rFonts w:ascii="新細明體" w:hAnsi="新細明體" w:hint="eastAsia"/>
        </w:rPr>
        <w:t>【資料來源】</w:t>
      </w:r>
      <w:r w:rsidR="00203F72" w:rsidRPr="00A53581">
        <w:rPr>
          <w:rFonts w:ascii="新細明體" w:hAnsi="新細明體" w:hint="eastAsia"/>
        </w:rPr>
        <w:t>維基百科(2015)，政治協商會議憲法草案，上網瀏覽時日：2015/08/02，</w:t>
      </w:r>
      <w:hyperlink r:id="rId2805" w:history="1">
        <w:r w:rsidR="00203F72" w:rsidRPr="00275BF1">
          <w:rPr>
            <w:rStyle w:val="a5"/>
          </w:rPr>
          <w:t>https://zh.wikipedia.org/wiki/%E6%94%BF%E6%B2%BB%E5%8D%8F%E5%95%86%E4%BC%9A%E8%AE%AE%E5%AE%AA%E6%B3%95%E8%8D%89%E6%A1%88</w:t>
        </w:r>
      </w:hyperlink>
      <w:r w:rsidR="00203F72" w:rsidRPr="00A53581">
        <w:rPr>
          <w:rFonts w:ascii="新細明體" w:hAnsi="新細明體"/>
        </w:rPr>
        <w:t>。</w:t>
      </w:r>
    </w:p>
    <w:p w14:paraId="229E5D6A" w14:textId="77777777" w:rsidR="00D40983" w:rsidRDefault="00D40983" w:rsidP="00D87D91">
      <w:pPr>
        <w:pStyle w:val="aff4"/>
      </w:pPr>
    </w:p>
    <w:p w14:paraId="307264E7" w14:textId="32EF5C29"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123</w:t>
      </w:r>
      <w:r w:rsidR="00076467">
        <w:rPr>
          <w:noProof/>
        </w:rPr>
        <w:fldChar w:fldCharType="end"/>
      </w:r>
      <w:r w:rsidR="00203F72" w:rsidRPr="00A53581">
        <w:rPr>
          <w:rFonts w:hint="eastAsia"/>
        </w:rPr>
        <w:t>內閣制下的民意政治要求與主要權力分立制衡機制</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8"/>
        <w:gridCol w:w="4148"/>
      </w:tblGrid>
      <w:tr w:rsidR="00203F72" w:rsidRPr="00A53581" w14:paraId="40DEB68A" w14:textId="77777777" w:rsidTr="00D40983">
        <w:trPr>
          <w:tblHeader/>
        </w:trPr>
        <w:tc>
          <w:tcPr>
            <w:tcW w:w="3898" w:type="dxa"/>
            <w:shd w:val="clear" w:color="auto" w:fill="FAF0FA"/>
            <w:vAlign w:val="center"/>
          </w:tcPr>
          <w:p w14:paraId="2F95D101" w14:textId="77777777" w:rsidR="00203F72" w:rsidRPr="00A53581" w:rsidRDefault="00203F72" w:rsidP="00D87D91">
            <w:r w:rsidRPr="00A53581">
              <w:rPr>
                <w:rFonts w:hint="eastAsia"/>
              </w:rPr>
              <w:t>「民意政治」的要求</w:t>
            </w:r>
          </w:p>
        </w:tc>
        <w:tc>
          <w:tcPr>
            <w:tcW w:w="4148" w:type="dxa"/>
            <w:shd w:val="clear" w:color="auto" w:fill="FAF0FA"/>
            <w:vAlign w:val="center"/>
          </w:tcPr>
          <w:p w14:paraId="217FDA19" w14:textId="77777777" w:rsidR="00203F72" w:rsidRPr="00A53581" w:rsidRDefault="00203F72" w:rsidP="00D87D91">
            <w:r w:rsidRPr="00A53581">
              <w:rPr>
                <w:rFonts w:hint="eastAsia"/>
              </w:rPr>
              <w:t>「權力分立制衡」之主要機制</w:t>
            </w:r>
          </w:p>
        </w:tc>
      </w:tr>
      <w:tr w:rsidR="00203F72" w:rsidRPr="00A53581" w14:paraId="787E5B0E" w14:textId="77777777" w:rsidTr="00203F72">
        <w:tc>
          <w:tcPr>
            <w:tcW w:w="3898" w:type="dxa"/>
            <w:shd w:val="clear" w:color="auto" w:fill="auto"/>
          </w:tcPr>
          <w:p w14:paraId="3B0DB495" w14:textId="77777777" w:rsidR="00203F72" w:rsidRPr="00A53581" w:rsidRDefault="00203F72" w:rsidP="00D87D91">
            <w:r w:rsidRPr="00A53581">
              <w:rPr>
                <w:rFonts w:hint="eastAsia"/>
              </w:rPr>
              <w:t>國家元首→虛位，並無實權，並無負責問題。</w:t>
            </w:r>
          </w:p>
        </w:tc>
        <w:tc>
          <w:tcPr>
            <w:tcW w:w="4148" w:type="dxa"/>
            <w:shd w:val="clear" w:color="auto" w:fill="auto"/>
          </w:tcPr>
          <w:p w14:paraId="17D599EA" w14:textId="77777777" w:rsidR="00203F72" w:rsidRPr="00A53581" w:rsidRDefault="00203F72" w:rsidP="00D87D91">
            <w:r w:rsidRPr="00A53581">
              <w:rPr>
                <w:rFonts w:hint="eastAsia"/>
              </w:rPr>
              <w:t>國家元首→虛位，無需制衡。</w:t>
            </w:r>
          </w:p>
        </w:tc>
      </w:tr>
      <w:tr w:rsidR="00203F72" w:rsidRPr="00A53581" w14:paraId="3D074F27" w14:textId="77777777" w:rsidTr="00203F72">
        <w:tc>
          <w:tcPr>
            <w:tcW w:w="3898" w:type="dxa"/>
            <w:shd w:val="clear" w:color="auto" w:fill="auto"/>
          </w:tcPr>
          <w:p w14:paraId="22781901" w14:textId="77777777" w:rsidR="00203F72" w:rsidRPr="00A53581" w:rsidRDefault="00203F72" w:rsidP="00D87D91">
            <w:r w:rsidRPr="00A53581">
              <w:rPr>
                <w:rFonts w:hint="eastAsia"/>
              </w:rPr>
              <w:t>國會→向人民負責</w:t>
            </w:r>
            <w:r w:rsidRPr="00A53581">
              <w:rPr>
                <w:rFonts w:hint="eastAsia"/>
              </w:rPr>
              <w:t>(</w:t>
            </w:r>
            <w:r w:rsidRPr="00A53581">
              <w:rPr>
                <w:rFonts w:hint="eastAsia"/>
              </w:rPr>
              <w:t>民意政治</w:t>
            </w:r>
            <w:r w:rsidRPr="00A53581">
              <w:rPr>
                <w:rFonts w:hint="eastAsia"/>
              </w:rPr>
              <w:t>)</w:t>
            </w:r>
          </w:p>
        </w:tc>
        <w:tc>
          <w:tcPr>
            <w:tcW w:w="4148" w:type="dxa"/>
            <w:shd w:val="clear" w:color="auto" w:fill="auto"/>
          </w:tcPr>
          <w:p w14:paraId="74640B02" w14:textId="77777777" w:rsidR="00203F72" w:rsidRPr="00A53581" w:rsidRDefault="00203F72" w:rsidP="00D87D91">
            <w:r w:rsidRPr="00A53581">
              <w:rPr>
                <w:rFonts w:hint="eastAsia"/>
              </w:rPr>
              <w:t>國會→不信任案。</w:t>
            </w:r>
          </w:p>
        </w:tc>
      </w:tr>
      <w:tr w:rsidR="00203F72" w:rsidRPr="00A53581" w14:paraId="622BF3BF" w14:textId="77777777" w:rsidTr="00203F72">
        <w:tc>
          <w:tcPr>
            <w:tcW w:w="3898" w:type="dxa"/>
            <w:shd w:val="clear" w:color="auto" w:fill="auto"/>
          </w:tcPr>
          <w:p w14:paraId="5C7455B8" w14:textId="77777777" w:rsidR="00203F72" w:rsidRPr="00A53581" w:rsidRDefault="00203F72" w:rsidP="00D87D91">
            <w:r w:rsidRPr="00A53581">
              <w:rPr>
                <w:rFonts w:hint="eastAsia"/>
              </w:rPr>
              <w:t>內閣→向國會負責</w:t>
            </w:r>
            <w:r w:rsidRPr="00A53581">
              <w:rPr>
                <w:rFonts w:hint="eastAsia"/>
              </w:rPr>
              <w:t>(</w:t>
            </w:r>
            <w:r w:rsidRPr="00A53581">
              <w:rPr>
                <w:rFonts w:hint="eastAsia"/>
              </w:rPr>
              <w:t>間接民意政治</w:t>
            </w:r>
            <w:r w:rsidRPr="00A53581">
              <w:rPr>
                <w:rFonts w:hint="eastAsia"/>
              </w:rPr>
              <w:t>)</w:t>
            </w:r>
          </w:p>
        </w:tc>
        <w:tc>
          <w:tcPr>
            <w:tcW w:w="4148" w:type="dxa"/>
            <w:shd w:val="clear" w:color="auto" w:fill="auto"/>
          </w:tcPr>
          <w:p w14:paraId="760969C7" w14:textId="77777777" w:rsidR="00203F72" w:rsidRPr="00A53581" w:rsidRDefault="00203F72" w:rsidP="00D87D91">
            <w:r w:rsidRPr="00A53581">
              <w:rPr>
                <w:rFonts w:hint="eastAsia"/>
              </w:rPr>
              <w:t>內閣→解散國會。</w:t>
            </w:r>
          </w:p>
        </w:tc>
      </w:tr>
    </w:tbl>
    <w:p w14:paraId="4B32DB59" w14:textId="77777777" w:rsidR="00203F72" w:rsidRPr="00D40983" w:rsidRDefault="002107CE" w:rsidP="00D40983">
      <w:r w:rsidRPr="00D40983">
        <w:rPr>
          <w:rFonts w:hint="eastAsia"/>
        </w:rPr>
        <w:t>【本表格資料來源】</w:t>
      </w:r>
      <w:r w:rsidR="00203F72" w:rsidRPr="00D40983">
        <w:rPr>
          <w:rFonts w:hint="eastAsia"/>
        </w:rPr>
        <w:t>李惠宗</w:t>
      </w:r>
      <w:r w:rsidR="00203F72" w:rsidRPr="00D40983">
        <w:rPr>
          <w:rFonts w:hint="eastAsia"/>
        </w:rPr>
        <w:t>(2008)</w:t>
      </w:r>
      <w:r w:rsidR="00203F72" w:rsidRPr="00D40983">
        <w:rPr>
          <w:rFonts w:hint="eastAsia"/>
        </w:rPr>
        <w:t>，《憲法要義》，四版，台北：元照，第</w:t>
      </w:r>
      <w:r w:rsidR="00203F72" w:rsidRPr="00D40983">
        <w:rPr>
          <w:rFonts w:hint="eastAsia"/>
        </w:rPr>
        <w:t>427</w:t>
      </w:r>
      <w:r w:rsidR="00203F72" w:rsidRPr="00D40983">
        <w:rPr>
          <w:rFonts w:hint="eastAsia"/>
        </w:rPr>
        <w:t>頁。</w:t>
      </w:r>
    </w:p>
    <w:p w14:paraId="7915D3EC" w14:textId="77777777" w:rsidR="00953151" w:rsidRPr="00D40983" w:rsidRDefault="005E23E3" w:rsidP="00D40983">
      <w:r w:rsidRPr="00D40983">
        <w:rPr>
          <w:rFonts w:hint="eastAsia"/>
        </w:rPr>
        <w:t xml:space="preserve">　　</w:t>
      </w:r>
      <w:r w:rsidR="00203F72" w:rsidRPr="00D40983">
        <w:rPr>
          <w:rFonts w:hint="eastAsia"/>
        </w:rPr>
        <w:t>植憲</w:t>
      </w:r>
      <w:r w:rsidR="00203F72" w:rsidRPr="00D40983">
        <w:rPr>
          <w:rFonts w:hint="eastAsia"/>
        </w:rPr>
        <w:t>(2012)</w:t>
      </w:r>
      <w:r w:rsidR="00203F72" w:rsidRPr="00D40983">
        <w:rPr>
          <w:rFonts w:hint="eastAsia"/>
        </w:rPr>
        <w:t>，憲法解題概念操作</w:t>
      </w:r>
      <w:r w:rsidR="00203F72" w:rsidRPr="00D40983">
        <w:rPr>
          <w:rFonts w:hint="eastAsia"/>
        </w:rPr>
        <w:t>(</w:t>
      </w:r>
      <w:r w:rsidR="00203F72" w:rsidRPr="00D40983">
        <w:rPr>
          <w:rFonts w:hint="eastAsia"/>
        </w:rPr>
        <w:t>下</w:t>
      </w:r>
      <w:r w:rsidR="00203F72" w:rsidRPr="00D40983">
        <w:rPr>
          <w:rFonts w:hint="eastAsia"/>
        </w:rPr>
        <w:t>)</w:t>
      </w:r>
      <w:r w:rsidR="00203F72" w:rsidRPr="00D40983">
        <w:rPr>
          <w:rFonts w:hint="eastAsia"/>
        </w:rPr>
        <w:t>，</w:t>
      </w:r>
      <w:r w:rsidR="00203F72" w:rsidRPr="00D40983">
        <w:rPr>
          <w:rFonts w:hint="eastAsia"/>
        </w:rPr>
        <w:t>7</w:t>
      </w:r>
      <w:r w:rsidR="00203F72" w:rsidRPr="00D40983">
        <w:rPr>
          <w:rFonts w:hint="eastAsia"/>
        </w:rPr>
        <w:t>版</w:t>
      </w:r>
      <w:r w:rsidR="00203F72" w:rsidRPr="00D40983">
        <w:rPr>
          <w:rFonts w:hint="eastAsia"/>
        </w:rPr>
        <w:t xml:space="preserve">1 </w:t>
      </w:r>
      <w:r w:rsidR="00203F72" w:rsidRPr="00D40983">
        <w:rPr>
          <w:rFonts w:hint="eastAsia"/>
        </w:rPr>
        <w:t>刷，台北：植憲公司，第</w:t>
      </w:r>
      <w:r w:rsidR="00203F72" w:rsidRPr="00D40983">
        <w:rPr>
          <w:rFonts w:hint="eastAsia"/>
        </w:rPr>
        <w:t>5-70</w:t>
      </w:r>
      <w:r w:rsidR="00203F72" w:rsidRPr="00D40983">
        <w:rPr>
          <w:rFonts w:hint="eastAsia"/>
        </w:rPr>
        <w:t>頁。</w:t>
      </w:r>
    </w:p>
    <w:p w14:paraId="557008D5" w14:textId="77777777" w:rsidR="00953151" w:rsidRDefault="005E23E3" w:rsidP="00D40983">
      <w:r w:rsidRPr="00D40983">
        <w:rPr>
          <w:rFonts w:hint="eastAsia"/>
        </w:rPr>
        <w:t xml:space="preserve">　　</w:t>
      </w:r>
      <w:r w:rsidR="00203F72" w:rsidRPr="00D40983">
        <w:rPr>
          <w:rFonts w:hint="eastAsia"/>
        </w:rPr>
        <w:t>以日本為例，由下述之日本內閣總辭職與眾議院解散之結構解說圖形，日本之國會中之眾議院</w:t>
      </w:r>
      <w:r w:rsidR="00203F72" w:rsidRPr="00D40983">
        <w:rPr>
          <w:rFonts w:hint="eastAsia"/>
        </w:rPr>
        <w:t>(</w:t>
      </w:r>
      <w:r w:rsidR="00203F72" w:rsidRPr="00D40983">
        <w:rPr>
          <w:rFonts w:hint="eastAsia"/>
        </w:rPr>
        <w:t>不含參議院</w:t>
      </w:r>
      <w:r w:rsidR="00203F72" w:rsidRPr="00D40983">
        <w:rPr>
          <w:rFonts w:hint="eastAsia"/>
        </w:rPr>
        <w:t>)</w:t>
      </w:r>
      <w:r w:rsidR="00203F72" w:rsidRPr="00D40983">
        <w:rPr>
          <w:rFonts w:hint="eastAsia"/>
        </w:rPr>
        <w:t>，對於內閣</w:t>
      </w:r>
      <w:r w:rsidR="00203F72" w:rsidRPr="00D40983">
        <w:rPr>
          <w:rFonts w:hint="eastAsia"/>
        </w:rPr>
        <w:t>(</w:t>
      </w:r>
      <w:r w:rsidR="00203F72" w:rsidRPr="00D40983">
        <w:rPr>
          <w:rFonts w:hint="eastAsia"/>
        </w:rPr>
        <w:t>行政權</w:t>
      </w:r>
      <w:r w:rsidR="00203F72" w:rsidRPr="00D40983">
        <w:rPr>
          <w:rFonts w:hint="eastAsia"/>
        </w:rPr>
        <w:t>)</w:t>
      </w:r>
      <w:r w:rsidR="00203F72" w:rsidRPr="00D40983">
        <w:rPr>
          <w:rFonts w:hint="eastAsia"/>
        </w:rPr>
        <w:t>，可提出不信任案。亦即，當日本之國會與內閣相互不信任</w:t>
      </w:r>
      <w:r w:rsidR="00D92F56" w:rsidRPr="00D40983">
        <w:rPr>
          <w:rFonts w:hint="eastAsia"/>
        </w:rPr>
        <w:t>〜</w:t>
      </w:r>
      <w:r w:rsidR="00203F72" w:rsidRPr="00D40983">
        <w:rPr>
          <w:rFonts w:hint="eastAsia"/>
        </w:rPr>
        <w:t>信賴關係已不復存在</w:t>
      </w:r>
      <w:r w:rsidR="00203F72" w:rsidRPr="00D40983">
        <w:rPr>
          <w:rFonts w:hint="eastAsia"/>
        </w:rPr>
        <w:t>(</w:t>
      </w:r>
      <w:r w:rsidR="00203F72" w:rsidRPr="00D40983">
        <w:rPr>
          <w:rFonts w:hint="eastAsia"/>
        </w:rPr>
        <w:t>とにかく両方が信頼できる関係にない</w:t>
      </w:r>
      <w:r w:rsidR="00203F72" w:rsidRPr="00D40983">
        <w:rPr>
          <w:rFonts w:hint="eastAsia"/>
        </w:rPr>
        <w:t>)</w:t>
      </w:r>
      <w:r w:rsidR="00203F72" w:rsidRPr="00D40983">
        <w:rPr>
          <w:rFonts w:hint="eastAsia"/>
        </w:rPr>
        <w:t>，及政治上已無法正常運作之時</w:t>
      </w:r>
      <w:r w:rsidR="00203F72" w:rsidRPr="00D40983">
        <w:rPr>
          <w:rFonts w:hint="eastAsia"/>
        </w:rPr>
        <w:t>(</w:t>
      </w:r>
      <w:r w:rsidR="00203F72" w:rsidRPr="00D40983">
        <w:rPr>
          <w:rFonts w:hint="eastAsia"/>
        </w:rPr>
        <w:t>と政治を行ってはいけないということです</w:t>
      </w:r>
      <w:r w:rsidR="00203F72" w:rsidRPr="00D40983">
        <w:rPr>
          <w:rFonts w:hint="eastAsia"/>
        </w:rPr>
        <w:t>)</w:t>
      </w:r>
      <w:r w:rsidR="00203F72" w:rsidRPr="00D40983">
        <w:rPr>
          <w:rFonts w:hint="eastAsia"/>
        </w:rPr>
        <w:t>，日本國會之眾議院，如何控制內閣之權力？當日本國會之眾議院不信任內閣時</w:t>
      </w:r>
      <w:r w:rsidR="00203F72" w:rsidRPr="00D40983">
        <w:rPr>
          <w:rFonts w:hint="eastAsia"/>
        </w:rPr>
        <w:t>(</w:t>
      </w:r>
      <w:r w:rsidR="00203F72" w:rsidRPr="00D40983">
        <w:rPr>
          <w:rFonts w:hint="eastAsia"/>
        </w:rPr>
        <w:t>国会</w:t>
      </w:r>
      <w:r w:rsidR="00203F72" w:rsidRPr="00D40983">
        <w:rPr>
          <w:rFonts w:hint="eastAsia"/>
        </w:rPr>
        <w:t>(</w:t>
      </w:r>
      <w:r w:rsidR="00203F72" w:rsidRPr="00D40983">
        <w:rPr>
          <w:rFonts w:hint="eastAsia"/>
        </w:rPr>
        <w:t>衆議院</w:t>
      </w:r>
      <w:r w:rsidR="00203F72" w:rsidRPr="00D40983">
        <w:rPr>
          <w:rFonts w:hint="eastAsia"/>
        </w:rPr>
        <w:t>)</w:t>
      </w:r>
      <w:r w:rsidR="00203F72" w:rsidRPr="00D40983">
        <w:rPr>
          <w:rFonts w:hint="eastAsia"/>
        </w:rPr>
        <w:t>が内閣に不信感を持ち</w:t>
      </w:r>
      <w:r w:rsidR="00203F72" w:rsidRPr="00D40983">
        <w:rPr>
          <w:rFonts w:hint="eastAsia"/>
        </w:rPr>
        <w:t>)</w:t>
      </w:r>
      <w:r w:rsidR="00203F72" w:rsidRPr="00D40983">
        <w:rPr>
          <w:rFonts w:hint="eastAsia"/>
        </w:rPr>
        <w:t>，可進行不信任案之表決</w:t>
      </w:r>
      <w:r w:rsidR="00203F72" w:rsidRPr="00D40983">
        <w:rPr>
          <w:rFonts w:hint="eastAsia"/>
        </w:rPr>
        <w:t>(</w:t>
      </w:r>
      <w:r w:rsidR="00203F72" w:rsidRPr="00D40983">
        <w:rPr>
          <w:rFonts w:hint="eastAsia"/>
        </w:rPr>
        <w:t>内閣不信任決議を行ったら</w:t>
      </w:r>
      <w:r w:rsidR="00203F72" w:rsidRPr="00D40983">
        <w:rPr>
          <w:rFonts w:hint="eastAsia"/>
        </w:rPr>
        <w:t>)</w:t>
      </w:r>
      <w:r w:rsidR="00203F72" w:rsidRPr="00D40983">
        <w:rPr>
          <w:rFonts w:hint="eastAsia"/>
        </w:rPr>
        <w:t>。如國會之眾議院表決通過不信任案，則內閣必須總辭職</w:t>
      </w:r>
      <w:r w:rsidR="00203F72" w:rsidRPr="00D40983">
        <w:rPr>
          <w:rFonts w:hint="eastAsia"/>
        </w:rPr>
        <w:t>(</w:t>
      </w:r>
      <w:r w:rsidR="00203F72" w:rsidRPr="00D40983">
        <w:rPr>
          <w:rFonts w:hint="eastAsia"/>
        </w:rPr>
        <w:t>内閣は総辞職しないといけないし</w:t>
      </w:r>
      <w:r w:rsidR="00203F72" w:rsidRPr="00D40983">
        <w:rPr>
          <w:rFonts w:hint="eastAsia"/>
        </w:rPr>
        <w:t>)</w:t>
      </w:r>
      <w:r w:rsidR="00203F72" w:rsidRPr="00D40983">
        <w:rPr>
          <w:rFonts w:hint="eastAsia"/>
        </w:rPr>
        <w:t>。內閣如對國會之眾議院不信任時</w:t>
      </w:r>
      <w:r w:rsidR="00203F72" w:rsidRPr="00D40983">
        <w:rPr>
          <w:rFonts w:hint="eastAsia"/>
        </w:rPr>
        <w:t>(</w:t>
      </w:r>
      <w:r w:rsidR="00203F72" w:rsidRPr="00D40983">
        <w:rPr>
          <w:rFonts w:hint="eastAsia"/>
        </w:rPr>
        <w:t>内閣が国会に不信感を持ったら</w:t>
      </w:r>
      <w:r w:rsidR="00203F72" w:rsidRPr="00D40983">
        <w:rPr>
          <w:rFonts w:hint="eastAsia"/>
        </w:rPr>
        <w:t>)</w:t>
      </w:r>
      <w:r w:rsidR="00203F72" w:rsidRPr="00D40983">
        <w:rPr>
          <w:rFonts w:hint="eastAsia"/>
        </w:rPr>
        <w:t>，亦可解散國會眾議院</w:t>
      </w:r>
      <w:r w:rsidR="00203F72" w:rsidRPr="00D40983">
        <w:rPr>
          <w:rFonts w:hint="eastAsia"/>
        </w:rPr>
        <w:t>(</w:t>
      </w:r>
      <w:r w:rsidR="00203F72" w:rsidRPr="00D40983">
        <w:rPr>
          <w:rFonts w:hint="eastAsia"/>
        </w:rPr>
        <w:t>衆議院を解散するなどして</w:t>
      </w:r>
      <w:r w:rsidR="00203F72" w:rsidRPr="00D40983">
        <w:rPr>
          <w:rFonts w:hint="eastAsia"/>
        </w:rPr>
        <w:t>)</w:t>
      </w:r>
      <w:r w:rsidR="00203F72" w:rsidRPr="00D40983">
        <w:footnoteReference w:id="1117"/>
      </w:r>
      <w:r w:rsidR="00203F72" w:rsidRPr="00D40983">
        <w:rPr>
          <w:rFonts w:hint="eastAsia"/>
        </w:rPr>
        <w:t>。</w:t>
      </w:r>
      <w:r w:rsidR="00193290" w:rsidRPr="0065661E">
        <w:rPr>
          <w:rFonts w:hint="eastAsia"/>
          <w:color w:val="FFFFFF" w:themeColor="background1"/>
        </w:rPr>
        <w:t>◇◆</w:t>
      </w:r>
    </w:p>
    <w:p w14:paraId="460FB636" w14:textId="77777777" w:rsidR="00203F72" w:rsidRPr="00A53581" w:rsidRDefault="00203F72" w:rsidP="00D87D91">
      <w:r>
        <w:rPr>
          <w:noProof/>
        </w:rPr>
        <w:drawing>
          <wp:inline distT="0" distB="0" distL="0" distR="0" wp14:anchorId="740CFBF6" wp14:editId="312AFB43">
            <wp:extent cx="4957445" cy="2489200"/>
            <wp:effectExtent l="0" t="0" r="0" b="6350"/>
            <wp:docPr id="58" name="圖片 58"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34"/>
                    <pic:cNvPicPr>
                      <a:picLocks noChangeAspect="1" noChangeArrowheads="1"/>
                    </pic:cNvPicPr>
                  </pic:nvPicPr>
                  <pic:blipFill>
                    <a:blip r:embed="rId2806">
                      <a:extLst>
                        <a:ext uri="{28A0092B-C50C-407E-A947-70E740481C1C}">
                          <a14:useLocalDpi xmlns:a14="http://schemas.microsoft.com/office/drawing/2010/main" val="0"/>
                        </a:ext>
                      </a:extLst>
                    </a:blip>
                    <a:srcRect/>
                    <a:stretch>
                      <a:fillRect/>
                    </a:stretch>
                  </pic:blipFill>
                  <pic:spPr bwMode="auto">
                    <a:xfrm>
                      <a:off x="0" y="0"/>
                      <a:ext cx="4957445" cy="2489200"/>
                    </a:xfrm>
                    <a:prstGeom prst="rect">
                      <a:avLst/>
                    </a:prstGeom>
                    <a:noFill/>
                    <a:ln>
                      <a:noFill/>
                    </a:ln>
                  </pic:spPr>
                </pic:pic>
              </a:graphicData>
            </a:graphic>
          </wp:inline>
        </w:drawing>
      </w:r>
    </w:p>
    <w:p w14:paraId="63CDFF7F" w14:textId="0690D419" w:rsidR="00203F72" w:rsidRPr="00D40983" w:rsidRDefault="00B03E84" w:rsidP="00D40983">
      <w:r w:rsidRPr="00D40983">
        <w:t>【</w:t>
      </w:r>
      <w:r w:rsidRPr="00D40983">
        <w:t>figure</w:t>
      </w:r>
      <w:r w:rsidR="005E23E3" w:rsidRPr="00D40983">
        <w:t>】</w:t>
      </w:r>
      <w:r w:rsidR="00076467">
        <w:rPr>
          <w:noProof/>
        </w:rPr>
        <w:fldChar w:fldCharType="begin"/>
      </w:r>
      <w:r w:rsidR="00076467">
        <w:rPr>
          <w:noProof/>
        </w:rPr>
        <w:instrText xml:space="preserve"> SEQ figure \* ARABIC </w:instrText>
      </w:r>
      <w:r w:rsidR="00076467">
        <w:rPr>
          <w:noProof/>
        </w:rPr>
        <w:fldChar w:fldCharType="separate"/>
      </w:r>
      <w:r w:rsidR="00D935B9">
        <w:rPr>
          <w:noProof/>
        </w:rPr>
        <w:t>55</w:t>
      </w:r>
      <w:r w:rsidR="00076467">
        <w:rPr>
          <w:noProof/>
        </w:rPr>
        <w:fldChar w:fldCharType="end"/>
      </w:r>
      <w:r w:rsidR="00203F72" w:rsidRPr="00D40983">
        <w:rPr>
          <w:rFonts w:hint="eastAsia"/>
        </w:rPr>
        <w:t>日本內閣總辭職與眾議院解散之結構解說圖形</w:t>
      </w:r>
      <w:r w:rsidR="00203F72" w:rsidRPr="00D40983">
        <w:footnoteReference w:id="1118"/>
      </w:r>
    </w:p>
    <w:p w14:paraId="70CF88B8" w14:textId="77777777" w:rsidR="00953151" w:rsidRPr="00D40983" w:rsidRDefault="00B03E84" w:rsidP="00D40983">
      <w:r w:rsidRPr="00D40983">
        <w:rPr>
          <w:rFonts w:hint="eastAsia"/>
        </w:rPr>
        <w:t>【資料來源】</w:t>
      </w:r>
      <w:r w:rsidR="00203F72" w:rsidRPr="00D40983">
        <w:rPr>
          <w:rFonts w:hint="eastAsia"/>
        </w:rPr>
        <w:t>Japan yahoo(2015)</w:t>
      </w:r>
      <w:r w:rsidR="00203F72" w:rsidRPr="00D40983">
        <w:rPr>
          <w:rFonts w:hint="eastAsia"/>
        </w:rPr>
        <w:t>，</w:t>
      </w:r>
      <w:r w:rsidR="00203F72" w:rsidRPr="00D40983">
        <w:t>6</w:t>
      </w:r>
      <w:r w:rsidR="00203F72" w:rsidRPr="00D40983">
        <w:rPr>
          <w:rFonts w:hint="eastAsia"/>
        </w:rPr>
        <w:t>時間目内閣，上網瀏覽時間：</w:t>
      </w:r>
      <w:r w:rsidR="00203F72" w:rsidRPr="00D40983">
        <w:rPr>
          <w:rFonts w:hint="eastAsia"/>
        </w:rPr>
        <w:t>2015/07/15</w:t>
      </w:r>
      <w:r w:rsidR="00203F72" w:rsidRPr="00D40983">
        <w:rPr>
          <w:rFonts w:hint="eastAsia"/>
        </w:rPr>
        <w:t>，</w:t>
      </w:r>
      <w:hyperlink r:id="rId2807" w:history="1">
        <w:r w:rsidR="00203F72" w:rsidRPr="00D40983">
          <w:rPr>
            <w:rStyle w:val="a5"/>
          </w:rPr>
          <w:t>http://www.sangiin.go.jp/japanese/kids/html/shikumi/index.html</w:t>
        </w:r>
      </w:hyperlink>
      <w:r w:rsidR="00203F72" w:rsidRPr="00D40983">
        <w:t>。</w:t>
      </w:r>
    </w:p>
    <w:p w14:paraId="64BCF606" w14:textId="77777777" w:rsidR="00953151" w:rsidRPr="00D40983" w:rsidRDefault="005E23E3" w:rsidP="00D40983">
      <w:r w:rsidRPr="00D40983">
        <w:rPr>
          <w:rFonts w:hint="eastAsia"/>
        </w:rPr>
        <w:t xml:space="preserve">　　</w:t>
      </w:r>
      <w:r w:rsidR="00203F72" w:rsidRPr="00D40983">
        <w:rPr>
          <w:rFonts w:hint="eastAsia"/>
        </w:rPr>
        <w:t>綜上，日本國會之眾議院，仍有一套可資運作之模式，可控制內閣</w:t>
      </w:r>
      <w:r w:rsidR="00203F72" w:rsidRPr="00D40983">
        <w:rPr>
          <w:rFonts w:hint="eastAsia"/>
        </w:rPr>
        <w:t>(</w:t>
      </w:r>
      <w:r w:rsidR="00203F72" w:rsidRPr="00D40983">
        <w:rPr>
          <w:rFonts w:hint="eastAsia"/>
        </w:rPr>
        <w:t>代表最行政權</w:t>
      </w:r>
      <w:r w:rsidR="00203F72" w:rsidRPr="00D40983">
        <w:rPr>
          <w:rFonts w:hint="eastAsia"/>
        </w:rPr>
        <w:t>)</w:t>
      </w:r>
      <w:r w:rsidR="00203F72" w:rsidRPr="00D40983">
        <w:rPr>
          <w:rFonts w:hint="eastAsia"/>
        </w:rPr>
        <w:t>之權力。反觀台灣，非常缺乏監控總統權力之憲政機制。如果缺乏監控總統權力之</w:t>
      </w:r>
      <w:r w:rsidR="00203F72" w:rsidRPr="00D40983">
        <w:t>強而有力之機制，則宜大幅度地削弱總統之權力為佳，背後之法理，即為絕對之權力，造成絕對的腐化。</w:t>
      </w:r>
    </w:p>
    <w:p w14:paraId="403735B2" w14:textId="77777777" w:rsidR="00203F72" w:rsidRPr="00A53581" w:rsidRDefault="00203F72" w:rsidP="00D87D91"/>
    <w:p w14:paraId="2113CEA0" w14:textId="544BEAB2"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124</w:t>
      </w:r>
      <w:r w:rsidR="00076467">
        <w:rPr>
          <w:noProof/>
        </w:rPr>
        <w:fldChar w:fldCharType="end"/>
      </w:r>
      <w:r w:rsidR="00203F72" w:rsidRPr="00A53581">
        <w:rPr>
          <w:rFonts w:hint="eastAsia"/>
        </w:rPr>
        <w:t>內閣制優缺點</w:t>
      </w:r>
    </w:p>
    <w:tbl>
      <w:tblPr>
        <w:tblW w:w="779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188"/>
        <w:gridCol w:w="4041"/>
      </w:tblGrid>
      <w:tr w:rsidR="00203F72" w:rsidRPr="00A53581" w14:paraId="550F0211" w14:textId="77777777" w:rsidTr="00D40983">
        <w:trPr>
          <w:tblHeader/>
        </w:trPr>
        <w:tc>
          <w:tcPr>
            <w:tcW w:w="567" w:type="dxa"/>
            <w:shd w:val="clear" w:color="auto" w:fill="FAF0FA"/>
            <w:vAlign w:val="center"/>
          </w:tcPr>
          <w:p w14:paraId="0FEA8541" w14:textId="77777777" w:rsidR="00203F72" w:rsidRPr="00A53581" w:rsidRDefault="00203F72" w:rsidP="00D87D91"/>
        </w:tc>
        <w:tc>
          <w:tcPr>
            <w:tcW w:w="3188" w:type="dxa"/>
            <w:shd w:val="clear" w:color="auto" w:fill="FAF0FA"/>
            <w:vAlign w:val="center"/>
          </w:tcPr>
          <w:p w14:paraId="3306B9C6" w14:textId="77777777" w:rsidR="00203F72" w:rsidRPr="00A53581" w:rsidRDefault="00203F72" w:rsidP="00D87D91">
            <w:r w:rsidRPr="00A53581">
              <w:rPr>
                <w:rFonts w:hint="eastAsia"/>
              </w:rPr>
              <w:t>優點</w:t>
            </w:r>
          </w:p>
        </w:tc>
        <w:tc>
          <w:tcPr>
            <w:tcW w:w="4041" w:type="dxa"/>
            <w:shd w:val="clear" w:color="auto" w:fill="FAF0FA"/>
            <w:vAlign w:val="center"/>
          </w:tcPr>
          <w:p w14:paraId="2411AC62" w14:textId="77777777" w:rsidR="00203F72" w:rsidRPr="00A53581" w:rsidRDefault="00203F72" w:rsidP="00D87D91">
            <w:r w:rsidRPr="00A53581">
              <w:rPr>
                <w:rFonts w:hint="eastAsia"/>
              </w:rPr>
              <w:t>缺點</w:t>
            </w:r>
          </w:p>
        </w:tc>
      </w:tr>
      <w:tr w:rsidR="00203F72" w:rsidRPr="00A53581" w14:paraId="6BCB5925" w14:textId="77777777" w:rsidTr="00D40983">
        <w:tc>
          <w:tcPr>
            <w:tcW w:w="567" w:type="dxa"/>
            <w:shd w:val="clear" w:color="auto" w:fill="auto"/>
            <w:vAlign w:val="center"/>
          </w:tcPr>
          <w:p w14:paraId="3BCF378B" w14:textId="77777777" w:rsidR="00203F72" w:rsidRPr="00A53581" w:rsidRDefault="00203F72" w:rsidP="00D87D91">
            <w:r w:rsidRPr="00A53581">
              <w:rPr>
                <w:rFonts w:hint="eastAsia"/>
              </w:rPr>
              <w:t>1</w:t>
            </w:r>
          </w:p>
        </w:tc>
        <w:tc>
          <w:tcPr>
            <w:tcW w:w="3188" w:type="dxa"/>
            <w:shd w:val="clear" w:color="auto" w:fill="auto"/>
          </w:tcPr>
          <w:p w14:paraId="1792A285" w14:textId="77777777" w:rsidR="00203F72" w:rsidRPr="00A53581" w:rsidRDefault="00D40983" w:rsidP="00D87D91">
            <w:r>
              <w:rPr>
                <w:rFonts w:hint="eastAsia"/>
              </w:rPr>
              <w:t xml:space="preserve">　　</w:t>
            </w:r>
            <w:r w:rsidR="00203F72" w:rsidRPr="00A53581">
              <w:rPr>
                <w:rFonts w:hint="eastAsia"/>
              </w:rPr>
              <w:t>國會多數組閣，避免少數政府：</w:t>
            </w:r>
          </w:p>
          <w:p w14:paraId="6F7185AE" w14:textId="77777777" w:rsidR="00203F72" w:rsidRPr="00A53581" w:rsidRDefault="00D40983" w:rsidP="00D87D91">
            <w:r>
              <w:rPr>
                <w:rFonts w:hint="eastAsia"/>
              </w:rPr>
              <w:t xml:space="preserve">　　</w:t>
            </w:r>
            <w:r w:rsidR="00203F72" w:rsidRPr="00A53581">
              <w:rPr>
                <w:rFonts w:hint="eastAsia"/>
              </w:rPr>
              <w:t>確保國會多數支持，避免權力幻覺。聯合內閣整合多元利益，保障少數。</w:t>
            </w:r>
          </w:p>
        </w:tc>
        <w:tc>
          <w:tcPr>
            <w:tcW w:w="4041" w:type="dxa"/>
            <w:shd w:val="clear" w:color="auto" w:fill="auto"/>
          </w:tcPr>
          <w:p w14:paraId="71225B58" w14:textId="77777777" w:rsidR="00203F72" w:rsidRPr="00A53581" w:rsidRDefault="00D40983" w:rsidP="00D87D91">
            <w:r>
              <w:rPr>
                <w:rFonts w:hint="eastAsia"/>
              </w:rPr>
              <w:t xml:space="preserve">　　</w:t>
            </w:r>
            <w:r w:rsidR="00203F72" w:rsidRPr="00A53581">
              <w:rPr>
                <w:rFonts w:hint="eastAsia"/>
              </w:rPr>
              <w:t>國會難有穩定多數，造成政府更迭：</w:t>
            </w:r>
          </w:p>
          <w:p w14:paraId="4E1737FA" w14:textId="77777777" w:rsidR="00203F72" w:rsidRPr="00A53581" w:rsidRDefault="00D40983" w:rsidP="00D87D91">
            <w:r>
              <w:rPr>
                <w:rFonts w:hint="eastAsia"/>
              </w:rPr>
              <w:t xml:space="preserve">　　</w:t>
            </w:r>
            <w:r w:rsidR="00203F72" w:rsidRPr="00A53581">
              <w:rPr>
                <w:rFonts w:hint="eastAsia"/>
              </w:rPr>
              <w:t>國會難有穩定多數，政府權力難以穩定。聯合內閣削弱政府內聚力，不易整合歧見。</w:t>
            </w:r>
            <w:r w:rsidR="00203F72" w:rsidRPr="00A53581">
              <w:rPr>
                <w:rFonts w:hint="eastAsia"/>
              </w:rPr>
              <w:t>(</w:t>
            </w:r>
            <w:r w:rsidR="00203F72" w:rsidRPr="00A53581">
              <w:rPr>
                <w:rFonts w:hint="eastAsia"/>
              </w:rPr>
              <w:t>遂有學者主張，兩黨制下的內閣制，方為最好的國家統治形態</w:t>
            </w:r>
            <w:r w:rsidR="00203F72" w:rsidRPr="00A53581">
              <w:rPr>
                <w:rFonts w:hint="eastAsia"/>
              </w:rPr>
              <w:t>)</w:t>
            </w:r>
          </w:p>
        </w:tc>
      </w:tr>
      <w:tr w:rsidR="00203F72" w:rsidRPr="00A53581" w14:paraId="7618D67D" w14:textId="77777777" w:rsidTr="00D40983">
        <w:tc>
          <w:tcPr>
            <w:tcW w:w="567" w:type="dxa"/>
            <w:shd w:val="clear" w:color="auto" w:fill="auto"/>
            <w:vAlign w:val="center"/>
          </w:tcPr>
          <w:p w14:paraId="7327CCC9" w14:textId="77777777" w:rsidR="00203F72" w:rsidRPr="00A53581" w:rsidRDefault="00203F72" w:rsidP="00D87D91">
            <w:r w:rsidRPr="00A53581">
              <w:rPr>
                <w:rFonts w:hint="eastAsia"/>
              </w:rPr>
              <w:t>2</w:t>
            </w:r>
          </w:p>
        </w:tc>
        <w:tc>
          <w:tcPr>
            <w:tcW w:w="3188" w:type="dxa"/>
            <w:shd w:val="clear" w:color="auto" w:fill="auto"/>
          </w:tcPr>
          <w:p w14:paraId="58E82E09" w14:textId="77777777" w:rsidR="00203F72" w:rsidRPr="00A53581" w:rsidRDefault="00D40983" w:rsidP="00D87D91">
            <w:r>
              <w:rPr>
                <w:rFonts w:hint="eastAsia"/>
              </w:rPr>
              <w:t xml:space="preserve">　　</w:t>
            </w:r>
            <w:r w:rsidR="00203F72" w:rsidRPr="00A53581">
              <w:rPr>
                <w:rFonts w:hint="eastAsia"/>
              </w:rPr>
              <w:t>彈性倒閣有利化解僵局</w:t>
            </w:r>
            <w:r w:rsidRPr="00A53581">
              <w:rPr>
                <w:rFonts w:hint="eastAsia"/>
              </w:rPr>
              <w:t>：</w:t>
            </w:r>
          </w:p>
          <w:p w14:paraId="5E3AE237" w14:textId="77777777" w:rsidR="00203F72" w:rsidRPr="00A53581" w:rsidRDefault="00D40983" w:rsidP="00D87D91">
            <w:r>
              <w:rPr>
                <w:rFonts w:hint="eastAsia"/>
              </w:rPr>
              <w:t xml:space="preserve">　　</w:t>
            </w:r>
            <w:r w:rsidR="00203F72" w:rsidRPr="00A53581">
              <w:rPr>
                <w:rFonts w:hint="eastAsia"/>
              </w:rPr>
              <w:t>倒閣與解散國會，有利化解僵局。為避免倒閣，邁向朝野協商妥協。</w:t>
            </w:r>
          </w:p>
        </w:tc>
        <w:tc>
          <w:tcPr>
            <w:tcW w:w="4041" w:type="dxa"/>
            <w:shd w:val="clear" w:color="auto" w:fill="auto"/>
          </w:tcPr>
          <w:p w14:paraId="140534BF" w14:textId="77777777" w:rsidR="00203F72" w:rsidRPr="00A53581" w:rsidRDefault="00D40983" w:rsidP="00D87D91">
            <w:r>
              <w:rPr>
                <w:rFonts w:hint="eastAsia"/>
              </w:rPr>
              <w:t xml:space="preserve">　　</w:t>
            </w:r>
            <w:r w:rsidR="00203F72" w:rsidRPr="00A53581">
              <w:rPr>
                <w:rFonts w:hint="eastAsia"/>
              </w:rPr>
              <w:t>彈性倒閣造成政局動盪</w:t>
            </w:r>
            <w:r w:rsidRPr="00A53581">
              <w:rPr>
                <w:rFonts w:hint="eastAsia"/>
              </w:rPr>
              <w:t>：</w:t>
            </w:r>
          </w:p>
          <w:p w14:paraId="26C531EB" w14:textId="77777777" w:rsidR="00203F72" w:rsidRPr="00A53581" w:rsidRDefault="00D40983" w:rsidP="00D87D91">
            <w:r>
              <w:rPr>
                <w:rFonts w:hint="eastAsia"/>
              </w:rPr>
              <w:t xml:space="preserve">　　</w:t>
            </w:r>
            <w:r w:rsidR="00203F72" w:rsidRPr="00A53581">
              <w:rPr>
                <w:rFonts w:hint="eastAsia"/>
              </w:rPr>
              <w:t>倒閣與解散國會頻仍，造成政局動盪。有利少數威脅，產生不成比例的權力。</w:t>
            </w:r>
          </w:p>
        </w:tc>
      </w:tr>
      <w:tr w:rsidR="00203F72" w:rsidRPr="00A53581" w14:paraId="642502D9" w14:textId="77777777" w:rsidTr="00D40983">
        <w:tc>
          <w:tcPr>
            <w:tcW w:w="567" w:type="dxa"/>
            <w:shd w:val="clear" w:color="auto" w:fill="auto"/>
            <w:vAlign w:val="center"/>
          </w:tcPr>
          <w:p w14:paraId="31E97C9C" w14:textId="77777777" w:rsidR="00203F72" w:rsidRPr="00A53581" w:rsidRDefault="00203F72" w:rsidP="00D87D91">
            <w:r w:rsidRPr="00A53581">
              <w:rPr>
                <w:rFonts w:hint="eastAsia"/>
              </w:rPr>
              <w:t>3</w:t>
            </w:r>
          </w:p>
        </w:tc>
        <w:tc>
          <w:tcPr>
            <w:tcW w:w="3188" w:type="dxa"/>
            <w:shd w:val="clear" w:color="auto" w:fill="auto"/>
          </w:tcPr>
          <w:p w14:paraId="655E489B" w14:textId="77777777" w:rsidR="00203F72" w:rsidRPr="00A53581" w:rsidRDefault="00D40983" w:rsidP="00D87D91">
            <w:r>
              <w:rPr>
                <w:rFonts w:hint="eastAsia"/>
              </w:rPr>
              <w:t xml:space="preserve">　　</w:t>
            </w:r>
            <w:r w:rsidR="00203F72" w:rsidRPr="00A53581">
              <w:rPr>
                <w:rFonts w:hint="eastAsia"/>
              </w:rPr>
              <w:t>集體負責強化政黨競爭</w:t>
            </w:r>
            <w:r w:rsidRPr="00A53581">
              <w:rPr>
                <w:rFonts w:hint="eastAsia"/>
              </w:rPr>
              <w:t>：</w:t>
            </w:r>
          </w:p>
          <w:p w14:paraId="6D145DA3" w14:textId="77777777" w:rsidR="00203F72" w:rsidRPr="00A53581" w:rsidRDefault="00D40983" w:rsidP="00D87D91">
            <w:r>
              <w:rPr>
                <w:rFonts w:hint="eastAsia"/>
              </w:rPr>
              <w:t xml:space="preserve">　　</w:t>
            </w:r>
            <w:r w:rsidR="00203F72" w:rsidRPr="00A53581">
              <w:rPr>
                <w:rFonts w:hint="eastAsia"/>
              </w:rPr>
              <w:t>內閣同進退，強化政黨競爭。</w:t>
            </w:r>
          </w:p>
        </w:tc>
        <w:tc>
          <w:tcPr>
            <w:tcW w:w="4041" w:type="dxa"/>
            <w:shd w:val="clear" w:color="auto" w:fill="auto"/>
          </w:tcPr>
          <w:p w14:paraId="415935AB" w14:textId="77777777" w:rsidR="00203F72" w:rsidRPr="00A53581" w:rsidRDefault="00D40983" w:rsidP="00D87D91">
            <w:r>
              <w:rPr>
                <w:rFonts w:hint="eastAsia"/>
              </w:rPr>
              <w:t xml:space="preserve">　　</w:t>
            </w:r>
            <w:r w:rsidR="00203F72" w:rsidRPr="00A53581">
              <w:rPr>
                <w:rFonts w:hint="eastAsia"/>
              </w:rPr>
              <w:t>集體負責造成政黨掛帥</w:t>
            </w:r>
            <w:r w:rsidRPr="00A53581">
              <w:rPr>
                <w:rFonts w:hint="eastAsia"/>
              </w:rPr>
              <w:t>：</w:t>
            </w:r>
          </w:p>
          <w:p w14:paraId="166CB9EA" w14:textId="77777777" w:rsidR="00203F72" w:rsidRPr="00A53581" w:rsidRDefault="00D40983" w:rsidP="00D87D91">
            <w:r>
              <w:rPr>
                <w:rFonts w:hint="eastAsia"/>
              </w:rPr>
              <w:t xml:space="preserve">　　</w:t>
            </w:r>
            <w:r w:rsidR="00203F72" w:rsidRPr="00A53581">
              <w:rPr>
                <w:rFonts w:hint="eastAsia"/>
              </w:rPr>
              <w:t>內閣共進退，政黨掛帥壓抑選擇空間。</w:t>
            </w:r>
          </w:p>
        </w:tc>
      </w:tr>
      <w:tr w:rsidR="00203F72" w:rsidRPr="00A53581" w14:paraId="0B4A9912" w14:textId="77777777" w:rsidTr="00D40983">
        <w:tc>
          <w:tcPr>
            <w:tcW w:w="567" w:type="dxa"/>
            <w:shd w:val="clear" w:color="auto" w:fill="auto"/>
            <w:vAlign w:val="center"/>
          </w:tcPr>
          <w:p w14:paraId="7AEB2B8D" w14:textId="77777777" w:rsidR="00203F72" w:rsidRPr="00A53581" w:rsidRDefault="00203F72" w:rsidP="00D87D91">
            <w:r w:rsidRPr="00A53581">
              <w:rPr>
                <w:rFonts w:hint="eastAsia"/>
              </w:rPr>
              <w:t>4</w:t>
            </w:r>
          </w:p>
        </w:tc>
        <w:tc>
          <w:tcPr>
            <w:tcW w:w="3188" w:type="dxa"/>
            <w:shd w:val="clear" w:color="auto" w:fill="auto"/>
          </w:tcPr>
          <w:p w14:paraId="2AF2AF91" w14:textId="77777777" w:rsidR="00203F72" w:rsidRPr="00A53581" w:rsidRDefault="00D40983" w:rsidP="00D87D91">
            <w:r>
              <w:rPr>
                <w:rFonts w:hint="eastAsia"/>
              </w:rPr>
              <w:t xml:space="preserve">　　</w:t>
            </w:r>
            <w:r w:rsidR="00203F72" w:rsidRPr="00A53581">
              <w:rPr>
                <w:rFonts w:hint="eastAsia"/>
              </w:rPr>
              <w:t>權力融合提升政府效能</w:t>
            </w:r>
            <w:r w:rsidRPr="00A53581">
              <w:rPr>
                <w:rFonts w:hint="eastAsia"/>
              </w:rPr>
              <w:t>：</w:t>
            </w:r>
          </w:p>
          <w:p w14:paraId="3B462485" w14:textId="77777777" w:rsidR="00203F72" w:rsidRPr="00A53581" w:rsidRDefault="00D40983" w:rsidP="00D87D91">
            <w:r>
              <w:rPr>
                <w:rFonts w:hint="eastAsia"/>
              </w:rPr>
              <w:t xml:space="preserve">　　</w:t>
            </w:r>
            <w:r w:rsidR="00203F72" w:rsidRPr="00A53581">
              <w:rPr>
                <w:rFonts w:hint="eastAsia"/>
              </w:rPr>
              <w:t>政府立法融合，可提升政府效能。</w:t>
            </w:r>
          </w:p>
        </w:tc>
        <w:tc>
          <w:tcPr>
            <w:tcW w:w="4041" w:type="dxa"/>
            <w:shd w:val="clear" w:color="auto" w:fill="auto"/>
          </w:tcPr>
          <w:p w14:paraId="0CF3C9CD" w14:textId="77777777" w:rsidR="00203F72" w:rsidRPr="00A53581" w:rsidRDefault="00D40983" w:rsidP="00D87D91">
            <w:r>
              <w:rPr>
                <w:rFonts w:hint="eastAsia"/>
              </w:rPr>
              <w:t xml:space="preserve">　　</w:t>
            </w:r>
            <w:r w:rsidR="00203F72" w:rsidRPr="00A53581">
              <w:rPr>
                <w:rFonts w:hint="eastAsia"/>
              </w:rPr>
              <w:t>權力融合造成政府濫權</w:t>
            </w:r>
            <w:r w:rsidRPr="00A53581">
              <w:rPr>
                <w:rFonts w:hint="eastAsia"/>
              </w:rPr>
              <w:t>：</w:t>
            </w:r>
          </w:p>
          <w:p w14:paraId="7F917BE2" w14:textId="77777777" w:rsidR="00203F72" w:rsidRPr="00A53581" w:rsidRDefault="00D40983" w:rsidP="00D87D91">
            <w:r>
              <w:rPr>
                <w:rFonts w:hint="eastAsia"/>
              </w:rPr>
              <w:t xml:space="preserve">　　</w:t>
            </w:r>
            <w:r w:rsidR="00203F72" w:rsidRPr="00A53581">
              <w:rPr>
                <w:rFonts w:hint="eastAsia"/>
              </w:rPr>
              <w:t>行政立法融合，無相互制衡不利個人權益之保障。</w:t>
            </w:r>
          </w:p>
        </w:tc>
      </w:tr>
    </w:tbl>
    <w:p w14:paraId="47DF06B4" w14:textId="77777777" w:rsidR="00203F72" w:rsidRPr="00A53581" w:rsidRDefault="002107CE" w:rsidP="00D87D91">
      <w:r>
        <w:rPr>
          <w:rFonts w:hint="eastAsia"/>
        </w:rPr>
        <w:t>【本表格資料來源】</w:t>
      </w:r>
      <w:r w:rsidR="00203F72" w:rsidRPr="00A53581">
        <w:rPr>
          <w:rFonts w:hint="eastAsia"/>
        </w:rPr>
        <w:t>郭正亮</w:t>
      </w:r>
      <w:r w:rsidR="00203F72" w:rsidRPr="00A53581">
        <w:rPr>
          <w:rFonts w:hint="eastAsia"/>
        </w:rPr>
        <w:t xml:space="preserve">(1997) </w:t>
      </w:r>
      <w:r w:rsidR="00203F72" w:rsidRPr="00A53581">
        <w:rPr>
          <w:rFonts w:hint="eastAsia"/>
        </w:rPr>
        <w:t>，〈混合制：尋求總統與國會的平衡〉，收錄於《國民大會憲政改革委員會常務委員會委託專題研究報告</w:t>
      </w:r>
      <w:r w:rsidR="00203F72" w:rsidRPr="00A53581">
        <w:rPr>
          <w:rFonts w:hint="eastAsia"/>
        </w:rPr>
        <w:t>(</w:t>
      </w:r>
      <w:r w:rsidR="00203F72" w:rsidRPr="00A53581">
        <w:rPr>
          <w:rFonts w:hint="eastAsia"/>
        </w:rPr>
        <w:t>第一輯</w:t>
      </w:r>
      <w:r w:rsidR="00203F72" w:rsidRPr="00A53581">
        <w:rPr>
          <w:rFonts w:hint="eastAsia"/>
        </w:rPr>
        <w:t>)</w:t>
      </w:r>
      <w:r w:rsidR="00203F72" w:rsidRPr="00A53581">
        <w:rPr>
          <w:rFonts w:hint="eastAsia"/>
        </w:rPr>
        <w:t>》，第</w:t>
      </w:r>
      <w:r w:rsidR="00203F72" w:rsidRPr="00A53581">
        <w:rPr>
          <w:rFonts w:hint="eastAsia"/>
        </w:rPr>
        <w:t>93</w:t>
      </w:r>
      <w:r w:rsidR="00203F72" w:rsidRPr="00A53581">
        <w:rPr>
          <w:rFonts w:hint="eastAsia"/>
        </w:rPr>
        <w:t>頁。</w:t>
      </w:r>
    </w:p>
    <w:p w14:paraId="521105F3" w14:textId="77777777" w:rsidR="00953151" w:rsidRDefault="005E23E3" w:rsidP="00D87D91">
      <w:r>
        <w:rPr>
          <w:rFonts w:hint="eastAsia"/>
        </w:rPr>
        <w:t xml:space="preserve">　　</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5-72</w:t>
      </w:r>
      <w:r w:rsidR="00203F72" w:rsidRPr="00A53581">
        <w:rPr>
          <w:rFonts w:hint="eastAsia"/>
        </w:rPr>
        <w:t>頁。</w:t>
      </w:r>
    </w:p>
    <w:p w14:paraId="721E1DF5"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08702250" w14:textId="77777777" w:rsidR="00145751" w:rsidRDefault="00145751" w:rsidP="00D87D91"/>
    <w:p w14:paraId="50E11687" w14:textId="77777777" w:rsidR="00953151" w:rsidRDefault="00203F72" w:rsidP="00767F37">
      <w:pPr>
        <w:pStyle w:val="2"/>
      </w:pPr>
      <w:bookmarkStart w:id="153" w:name="_參拾、總統締結條約議案、公布法律或發布各式命令，均須經副總統副署"/>
      <w:bookmarkEnd w:id="153"/>
      <w:r w:rsidRPr="00A53581">
        <w:t>參拾、總統締結條約議案、公布法律或發布各式命令，均須經副總統副署</w:t>
      </w:r>
    </w:p>
    <w:p w14:paraId="662A0D1C" w14:textId="77777777" w:rsidR="00953151" w:rsidRDefault="005E23E3" w:rsidP="00D87D91">
      <w:pPr>
        <w:rPr>
          <w:kern w:val="0"/>
        </w:rPr>
      </w:pPr>
      <w:r>
        <w:rPr>
          <w:kern w:val="0"/>
        </w:rPr>
        <w:t xml:space="preserve">　　</w:t>
      </w:r>
      <w:r w:rsidR="00203F72" w:rsidRPr="00A53581">
        <w:rPr>
          <w:kern w:val="0"/>
        </w:rPr>
        <w:t>為了有效地防杜我國總統之濫權、擴權及專權，且令政令能更具有周延性及圓滿性，總統</w:t>
      </w:r>
      <w:r w:rsidR="00203F72" w:rsidRPr="00A53581">
        <w:t>依法公布之各式法律，或所發布之各式命令，此包括：</w:t>
      </w:r>
      <w:r w:rsidR="00203F72" w:rsidRPr="00A53581">
        <w:t>1</w:t>
      </w:r>
      <w:r w:rsidR="00203F72" w:rsidRPr="00A53581">
        <w:t>、</w:t>
      </w:r>
      <w:r w:rsidR="00203F72" w:rsidRPr="00A53581">
        <w:rPr>
          <w:kern w:val="0"/>
        </w:rPr>
        <w:t>憲法</w:t>
      </w:r>
      <w:hyperlink r:id="rId2808" w:anchor="a37" w:history="1">
        <w:r w:rsidR="00A5735A" w:rsidRPr="00A5735A">
          <w:rPr>
            <w:rStyle w:val="a5"/>
            <w:rFonts w:hint="eastAsia"/>
            <w:kern w:val="0"/>
          </w:rPr>
          <w:t>第37條</w:t>
        </w:r>
      </w:hyperlink>
      <w:r w:rsidR="00203F72" w:rsidRPr="00A53581">
        <w:t>所規定</w:t>
      </w:r>
      <w:r w:rsidR="00203F72" w:rsidRPr="00A53581">
        <w:rPr>
          <w:kern w:val="0"/>
        </w:rPr>
        <w:t>之法律、命令；</w:t>
      </w:r>
      <w:r w:rsidR="00203F72" w:rsidRPr="00A53581">
        <w:rPr>
          <w:kern w:val="0"/>
        </w:rPr>
        <w:t>2</w:t>
      </w:r>
      <w:r w:rsidR="00203F72" w:rsidRPr="00A53581">
        <w:rPr>
          <w:kern w:val="0"/>
        </w:rPr>
        <w:t>、憲</w:t>
      </w:r>
      <w:r w:rsidR="002673A4" w:rsidRPr="00A53581">
        <w:rPr>
          <w:rFonts w:ascii="新細明體" w:hAnsi="新細明體" w:hint="eastAsia"/>
        </w:rPr>
        <w:t>法</w:t>
      </w:r>
      <w:hyperlink r:id="rId2809" w:anchor="a38" w:history="1">
        <w:r w:rsidR="002673A4" w:rsidRPr="007459D9">
          <w:rPr>
            <w:rStyle w:val="a5"/>
            <w:rFonts w:eastAsia="新細明體" w:hint="eastAsia"/>
          </w:rPr>
          <w:t>第</w:t>
        </w:r>
        <w:r w:rsidR="002673A4" w:rsidRPr="007459D9">
          <w:rPr>
            <w:rStyle w:val="a5"/>
            <w:rFonts w:eastAsia="新細明體"/>
          </w:rPr>
          <w:t>38</w:t>
        </w:r>
        <w:r w:rsidR="002673A4" w:rsidRPr="007459D9">
          <w:rPr>
            <w:rStyle w:val="a5"/>
            <w:rFonts w:eastAsia="新細明體" w:hint="eastAsia"/>
          </w:rPr>
          <w:t>條</w:t>
        </w:r>
      </w:hyperlink>
      <w:r w:rsidR="00203F72" w:rsidRPr="00A53581">
        <w:t>所規定總統為行使締結條約及宣戰、媾和之權所需，所須簽署之締結條約議案或發布宣戰、媾和案之命令；</w:t>
      </w:r>
      <w:r w:rsidR="00203F72" w:rsidRPr="00A53581">
        <w:t>3</w:t>
      </w:r>
      <w:r w:rsidR="00203F72" w:rsidRPr="00A53581">
        <w:t>、</w:t>
      </w:r>
      <w:r w:rsidR="00203F72" w:rsidRPr="00A53581">
        <w:rPr>
          <w:kern w:val="0"/>
        </w:rPr>
        <w:t>憲法</w:t>
      </w:r>
      <w:r w:rsidR="00203F72" w:rsidRPr="00A53581">
        <w:t>第</w:t>
      </w:r>
      <w:r w:rsidR="00203F72" w:rsidRPr="00A53581">
        <w:t>39</w:t>
      </w:r>
      <w:r w:rsidR="00203F72" w:rsidRPr="00A53581">
        <w:t>條所規定總統依法宣佈戒嚴之命令；</w:t>
      </w:r>
      <w:r w:rsidR="00203F72" w:rsidRPr="00A53581">
        <w:t>4</w:t>
      </w:r>
      <w:r w:rsidR="00203F72" w:rsidRPr="00A53581">
        <w:t>、</w:t>
      </w:r>
      <w:r w:rsidR="00203F72" w:rsidRPr="00A53581">
        <w:rPr>
          <w:kern w:val="0"/>
        </w:rPr>
        <w:t>憲法增修條</w:t>
      </w:r>
      <w:r w:rsidR="001B1539" w:rsidRPr="001B1539">
        <w:t>文</w:t>
      </w:r>
      <w:hyperlink r:id="rId2810"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A53581">
        <w:rPr>
          <w:kern w:val="0"/>
        </w:rPr>
        <w:t>第</w:t>
      </w:r>
      <w:r w:rsidR="00203F72" w:rsidRPr="00A53581">
        <w:rPr>
          <w:kern w:val="0"/>
        </w:rPr>
        <w:t>2</w:t>
      </w:r>
      <w:r w:rsidR="00203F72" w:rsidRPr="00A53581">
        <w:rPr>
          <w:kern w:val="0"/>
        </w:rPr>
        <w:t>項所規定之</w:t>
      </w:r>
      <w:r w:rsidR="00203F72" w:rsidRPr="00A53581">
        <w:t>總統發布行政院院長與依憲法經立法院同意任命人員之任免命令及解散立法院之命令；</w:t>
      </w:r>
      <w:r w:rsidR="00203F72" w:rsidRPr="00A53581">
        <w:t>5</w:t>
      </w:r>
      <w:r w:rsidR="00203F72" w:rsidRPr="00A53581">
        <w:t>、</w:t>
      </w:r>
      <w:r w:rsidR="00203F72" w:rsidRPr="00A53581">
        <w:rPr>
          <w:kern w:val="0"/>
        </w:rPr>
        <w:t>憲法增修條</w:t>
      </w:r>
      <w:r w:rsidR="001B1539" w:rsidRPr="001B1539">
        <w:t>文</w:t>
      </w:r>
      <w:hyperlink r:id="rId2811"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A53581">
        <w:rPr>
          <w:kern w:val="0"/>
        </w:rPr>
        <w:t>第</w:t>
      </w:r>
      <w:r w:rsidR="00203F72" w:rsidRPr="00A53581">
        <w:rPr>
          <w:kern w:val="0"/>
        </w:rPr>
        <w:t>3</w:t>
      </w:r>
      <w:r w:rsidR="00203F72" w:rsidRPr="00A53581">
        <w:rPr>
          <w:kern w:val="0"/>
        </w:rPr>
        <w:t>項所規定之</w:t>
      </w:r>
      <w:r w:rsidR="00203F72" w:rsidRPr="00A53581">
        <w:t>總統為避免國家或人民遭遇緊急危難或應付財政經濟上重大變故，得經行政院會議之決議發布之緊急命令等等，</w:t>
      </w:r>
      <w:r w:rsidR="00203F72" w:rsidRPr="00A53581">
        <w:rPr>
          <w:kern w:val="0"/>
        </w:rPr>
        <w:t>本書認為，仍應經過「副署」為佳。</w:t>
      </w:r>
    </w:p>
    <w:p w14:paraId="7645E3BA" w14:textId="77777777" w:rsidR="00953151" w:rsidRDefault="005E23E3" w:rsidP="00D87D91">
      <w:r>
        <w:t xml:space="preserve">　　</w:t>
      </w:r>
      <w:r w:rsidR="00203F72" w:rsidRPr="00A53581">
        <w:t>接上所述，考量我國是五權分立之體制，五院之間，互不隸屬，如發布司法院、考試院、監察院等院長之人選，尚須由行政院院長副署，易生爭議，故我國可採行經由「副總統」副署之機制；藉由副總統之「副署」，可多一層監控總統權力之機制，防杜總統違法亂紀，或發布不適切之法律或命令。換言之，採用「多層次監控」</w:t>
      </w:r>
      <w:r w:rsidR="00203F72" w:rsidRPr="00A53581">
        <w:t>(layered surveillance ; layered control; layered supervision)</w:t>
      </w:r>
      <w:r w:rsidR="00203F72" w:rsidRPr="00A53581">
        <w:t>之立憲精神；藉由多層次之制度，防杜總統濫權、擴權及專權。須經副總統副署之憲政法理，含有牽制與監控</w:t>
      </w:r>
      <w:r w:rsidR="00203F72" w:rsidRPr="00A53581">
        <w:t>(</w:t>
      </w:r>
      <w:r w:rsidR="00203F72" w:rsidRPr="00A53581">
        <w:t>督</w:t>
      </w:r>
      <w:r w:rsidR="00203F72" w:rsidRPr="00A53581">
        <w:t>)</w:t>
      </w:r>
      <w:r w:rsidR="00203F72" w:rsidRPr="00A53581">
        <w:t>總統權力之精神。</w:t>
      </w:r>
    </w:p>
    <w:p w14:paraId="723E60BC"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5E120A66" w14:textId="77777777" w:rsidR="00145751" w:rsidRDefault="00145751" w:rsidP="00D87D91"/>
    <w:p w14:paraId="7525DFDD" w14:textId="77777777" w:rsidR="00953151" w:rsidRDefault="00203F72" w:rsidP="00767F37">
      <w:pPr>
        <w:pStyle w:val="2"/>
      </w:pPr>
      <w:bookmarkStart w:id="154" w:name="_參拾壹、行政院院長之任命同意權，應回歸立法院"/>
      <w:bookmarkEnd w:id="154"/>
      <w:r w:rsidRPr="00A53581">
        <w:t>參拾壹、行政院院長之任命同意權，應回歸立法院</w:t>
      </w:r>
    </w:p>
    <w:p w14:paraId="490A284E" w14:textId="77777777" w:rsidR="00953151" w:rsidRDefault="005E23E3" w:rsidP="00D87D91">
      <w:r w:rsidRPr="007459D9">
        <w:t xml:space="preserve">　　</w:t>
      </w:r>
      <w:r w:rsidR="00203F72" w:rsidRPr="007459D9">
        <w:t>我國目前之運作實況，依據中華民國憲法增修條</w:t>
      </w:r>
      <w:r w:rsidR="00E16174" w:rsidRPr="007459D9">
        <w:t>文</w:t>
      </w:r>
      <w:hyperlink r:id="rId2812" w:anchor="b3" w:history="1">
        <w:r w:rsidR="00E16174" w:rsidRPr="007459D9">
          <w:rPr>
            <w:rStyle w:val="a5"/>
          </w:rPr>
          <w:t>第3條</w:t>
        </w:r>
      </w:hyperlink>
      <w:r w:rsidR="00203F72" w:rsidRPr="007459D9">
        <w:t>第</w:t>
      </w:r>
      <w:r w:rsidR="00203F72" w:rsidRPr="007459D9">
        <w:t>1</w:t>
      </w:r>
      <w:r w:rsidR="00203F72" w:rsidRPr="007459D9">
        <w:t>項之規定，「行政院院長由總統任命之。</w:t>
      </w:r>
      <w:r w:rsidR="00203F72" w:rsidRPr="007459D9">
        <w:t>……</w:t>
      </w:r>
      <w:r w:rsidR="00203F72" w:rsidRPr="007459D9">
        <w:t>憲法</w:t>
      </w:r>
      <w:hyperlink r:id="rId2813" w:anchor="a55" w:history="1">
        <w:r w:rsidR="007459D9" w:rsidRPr="007459D9">
          <w:rPr>
            <w:rStyle w:val="a5"/>
            <w:rFonts w:hint="eastAsia"/>
          </w:rPr>
          <w:t>第55條</w:t>
        </w:r>
      </w:hyperlink>
      <w:r w:rsidR="00203F72" w:rsidRPr="007459D9">
        <w:t>之規定，停止適用。」，涉及行政院院長之任命問題，仍以增修條</w:t>
      </w:r>
      <w:r w:rsidR="00E16174" w:rsidRPr="007459D9">
        <w:t>文</w:t>
      </w:r>
      <w:hyperlink r:id="rId2814" w:anchor="b3" w:history="1">
        <w:r w:rsidR="00E16174" w:rsidRPr="007459D9">
          <w:rPr>
            <w:rStyle w:val="a5"/>
          </w:rPr>
          <w:t>第3條</w:t>
        </w:r>
      </w:hyperlink>
      <w:r w:rsidR="00203F72" w:rsidRPr="007459D9">
        <w:t>第</w:t>
      </w:r>
      <w:r w:rsidR="00203F72" w:rsidRPr="007459D9">
        <w:t>1</w:t>
      </w:r>
      <w:r w:rsidR="00203F72" w:rsidRPr="007459D9">
        <w:t>項為主要依歸，亦即，由總統直接任命之，不須經由立法院同意之。目前之憲政體制，假若針對於行政院院長之任命問題而言，我國此時之行政院院長之任命同意權體制，依據謝瑞智與謝世維教授之觀點，似乎，是偏向於法國之混合制，法國之政制，亦是由總統直接任命內閣總理，不須國會同意之</w:t>
      </w:r>
      <w:r w:rsidR="00203F72" w:rsidRPr="007459D9">
        <w:footnoteReference w:id="1119"/>
      </w:r>
      <w:r w:rsidR="00203F72" w:rsidRPr="007459D9">
        <w:t>。</w:t>
      </w:r>
    </w:p>
    <w:p w14:paraId="25B91E77" w14:textId="77777777" w:rsidR="007459D9" w:rsidRPr="007459D9" w:rsidRDefault="007459D9" w:rsidP="00D87D91"/>
    <w:p w14:paraId="49D284CF" w14:textId="08F7918D" w:rsidR="00203F72" w:rsidRPr="00E16174" w:rsidRDefault="00B03E84" w:rsidP="00D87D91">
      <w:r w:rsidRPr="00E16174">
        <w:t>【</w:t>
      </w:r>
      <w:r w:rsidRPr="00E16174">
        <w:t>table</w:t>
      </w:r>
      <w:r w:rsidR="005E23E3" w:rsidRPr="00E16174">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125</w:t>
      </w:r>
      <w:r w:rsidR="00076467">
        <w:rPr>
          <w:noProof/>
        </w:rPr>
        <w:fldChar w:fldCharType="end"/>
      </w:r>
      <w:r w:rsidR="00203F72" w:rsidRPr="00E16174">
        <w:t>我國行政院院長之任命與免職</w:t>
      </w:r>
    </w:p>
    <w:tbl>
      <w:tblPr>
        <w:tblW w:w="4571"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2824"/>
        <w:gridCol w:w="3530"/>
      </w:tblGrid>
      <w:tr w:rsidR="00203F72" w:rsidRPr="00A53581" w14:paraId="5C23B152" w14:textId="77777777" w:rsidTr="00E16174">
        <w:trPr>
          <w:tblHeader/>
        </w:trPr>
        <w:tc>
          <w:tcPr>
            <w:tcW w:w="909" w:type="pct"/>
            <w:shd w:val="clear" w:color="auto" w:fill="FAF0FA"/>
          </w:tcPr>
          <w:p w14:paraId="2C3DE147" w14:textId="77777777" w:rsidR="00203F72" w:rsidRPr="00A53581" w:rsidRDefault="00203F72" w:rsidP="00D87D91">
            <w:r w:rsidRPr="00A53581">
              <w:t>行政院長</w:t>
            </w:r>
          </w:p>
        </w:tc>
        <w:tc>
          <w:tcPr>
            <w:tcW w:w="1818" w:type="pct"/>
            <w:shd w:val="clear" w:color="auto" w:fill="FAF0FA"/>
          </w:tcPr>
          <w:p w14:paraId="5CF81FBB" w14:textId="77777777" w:rsidR="00203F72" w:rsidRPr="00A53581" w:rsidRDefault="00203F72" w:rsidP="00D87D91">
            <w:r w:rsidRPr="00A53581">
              <w:t>程序</w:t>
            </w:r>
          </w:p>
        </w:tc>
        <w:tc>
          <w:tcPr>
            <w:tcW w:w="2273" w:type="pct"/>
            <w:shd w:val="clear" w:color="auto" w:fill="FAF0FA"/>
          </w:tcPr>
          <w:p w14:paraId="35E638F4" w14:textId="77777777" w:rsidR="00203F72" w:rsidRPr="00A53581" w:rsidRDefault="00203F72" w:rsidP="00D87D91">
            <w:r w:rsidRPr="00A53581">
              <w:t>摘要</w:t>
            </w:r>
          </w:p>
        </w:tc>
      </w:tr>
      <w:tr w:rsidR="00203F72" w:rsidRPr="00A53581" w14:paraId="63C4EAB0" w14:textId="77777777" w:rsidTr="00203F72">
        <w:tc>
          <w:tcPr>
            <w:tcW w:w="909" w:type="pct"/>
            <w:shd w:val="clear" w:color="auto" w:fill="auto"/>
          </w:tcPr>
          <w:p w14:paraId="605677F8" w14:textId="77777777" w:rsidR="00203F72" w:rsidRPr="00A53581" w:rsidRDefault="00203F72" w:rsidP="00D87D91">
            <w:r w:rsidRPr="00A53581">
              <w:t>任命</w:t>
            </w:r>
          </w:p>
        </w:tc>
        <w:tc>
          <w:tcPr>
            <w:tcW w:w="1818" w:type="pct"/>
            <w:shd w:val="clear" w:color="auto" w:fill="auto"/>
          </w:tcPr>
          <w:p w14:paraId="7045557C" w14:textId="77777777" w:rsidR="00203F72" w:rsidRPr="00A53581" w:rsidRDefault="00203F72" w:rsidP="00D87D91">
            <w:r w:rsidRPr="00A53581">
              <w:t>行政院長缺位時，總統直接任命行政院長</w:t>
            </w:r>
          </w:p>
        </w:tc>
        <w:tc>
          <w:tcPr>
            <w:tcW w:w="2273" w:type="pct"/>
            <w:shd w:val="clear" w:color="auto" w:fill="auto"/>
          </w:tcPr>
          <w:p w14:paraId="2EED6192" w14:textId="77777777" w:rsidR="00203F72" w:rsidRPr="00A53581" w:rsidRDefault="00203F72" w:rsidP="00D87D91">
            <w:r w:rsidRPr="00A53581">
              <w:t>憲</w:t>
            </w:r>
            <w:r w:rsidR="00026C6F" w:rsidRPr="00A53581">
              <w:t>法</w:t>
            </w:r>
            <w:hyperlink r:id="rId2815" w:anchor="a3" w:history="1">
              <w:r w:rsidR="00026C6F" w:rsidRPr="00026C6F">
                <w:rPr>
                  <w:rStyle w:val="a5"/>
                </w:rPr>
                <w:t>第3條</w:t>
              </w:r>
            </w:hyperlink>
            <w:r w:rsidRPr="00A53581">
              <w:t>第</w:t>
            </w:r>
            <w:r w:rsidRPr="00A53581">
              <w:t>1</w:t>
            </w:r>
            <w:r w:rsidRPr="00A53581">
              <w:t>項：「行政院院長由總統任命之。」</w:t>
            </w:r>
          </w:p>
        </w:tc>
      </w:tr>
      <w:tr w:rsidR="00203F72" w:rsidRPr="00A53581" w14:paraId="49EA2372" w14:textId="77777777" w:rsidTr="00203F72">
        <w:tc>
          <w:tcPr>
            <w:tcW w:w="909" w:type="pct"/>
            <w:vMerge w:val="restart"/>
            <w:shd w:val="clear" w:color="auto" w:fill="auto"/>
          </w:tcPr>
          <w:p w14:paraId="146C5B2D" w14:textId="77777777" w:rsidR="00203F72" w:rsidRPr="00A53581" w:rsidRDefault="00203F72" w:rsidP="00D87D91">
            <w:r w:rsidRPr="00A53581">
              <w:t>辭職</w:t>
            </w:r>
          </w:p>
        </w:tc>
        <w:tc>
          <w:tcPr>
            <w:tcW w:w="1818" w:type="pct"/>
            <w:shd w:val="clear" w:color="auto" w:fill="auto"/>
          </w:tcPr>
          <w:p w14:paraId="1BF27CC8" w14:textId="77777777" w:rsidR="00203F72" w:rsidRPr="00A53581" w:rsidRDefault="00203F72" w:rsidP="00D87D91">
            <w:r w:rsidRPr="00A53581">
              <w:t>禮貌性辭職</w:t>
            </w:r>
          </w:p>
        </w:tc>
        <w:tc>
          <w:tcPr>
            <w:tcW w:w="2273" w:type="pct"/>
            <w:shd w:val="clear" w:color="auto" w:fill="auto"/>
          </w:tcPr>
          <w:p w14:paraId="40A9B74F" w14:textId="77777777" w:rsidR="00203F72" w:rsidRPr="00A53581" w:rsidRDefault="00203F72" w:rsidP="00D87D91">
            <w:r w:rsidRPr="00A53581">
              <w:t>釋字</w:t>
            </w:r>
            <w:hyperlink r:id="rId2816" w:anchor="r419" w:history="1">
              <w:r w:rsidRPr="007459D9">
                <w:rPr>
                  <w:rStyle w:val="a5"/>
                  <w:rFonts w:eastAsia="新細明體"/>
                </w:rPr>
                <w:t>第419號</w:t>
              </w:r>
            </w:hyperlink>
            <w:r w:rsidRPr="00A53581">
              <w:t>解釋，總統改選時，行政院長不需辭職，若自願辭職，乃禮貌性辭職。</w:t>
            </w:r>
          </w:p>
        </w:tc>
      </w:tr>
      <w:tr w:rsidR="00203F72" w:rsidRPr="00A53581" w14:paraId="0A6B8484" w14:textId="77777777" w:rsidTr="00203F72">
        <w:tc>
          <w:tcPr>
            <w:tcW w:w="909" w:type="pct"/>
            <w:vMerge/>
            <w:shd w:val="clear" w:color="auto" w:fill="auto"/>
          </w:tcPr>
          <w:p w14:paraId="365EACC6" w14:textId="77777777" w:rsidR="00203F72" w:rsidRPr="00A53581" w:rsidRDefault="00203F72" w:rsidP="00D87D91"/>
        </w:tc>
        <w:tc>
          <w:tcPr>
            <w:tcW w:w="1818" w:type="pct"/>
            <w:shd w:val="clear" w:color="auto" w:fill="auto"/>
          </w:tcPr>
          <w:p w14:paraId="6916F208" w14:textId="77777777" w:rsidR="00203F72" w:rsidRPr="00A53581" w:rsidRDefault="00203F72" w:rsidP="00D87D91">
            <w:r w:rsidRPr="00A53581">
              <w:t>義務性辭職</w:t>
            </w:r>
          </w:p>
        </w:tc>
        <w:tc>
          <w:tcPr>
            <w:tcW w:w="2273" w:type="pct"/>
            <w:shd w:val="clear" w:color="auto" w:fill="auto"/>
          </w:tcPr>
          <w:p w14:paraId="30500F66" w14:textId="77777777" w:rsidR="00203F72" w:rsidRPr="00A53581" w:rsidRDefault="00203F72" w:rsidP="00D87D91">
            <w:r w:rsidRPr="00A53581">
              <w:t>釋字第</w:t>
            </w:r>
            <w:hyperlink r:id="rId2817" w:anchor="r387" w:history="1">
              <w:r w:rsidR="007459D9" w:rsidRPr="007459D9">
                <w:rPr>
                  <w:rStyle w:val="a5"/>
                  <w:rFonts w:eastAsia="新細明體"/>
                </w:rPr>
                <w:t>387</w:t>
              </w:r>
            </w:hyperlink>
            <w:r w:rsidRPr="00A53581">
              <w:t>號解釋，立法院改選時，行政院長必須總辭。</w:t>
            </w:r>
          </w:p>
        </w:tc>
      </w:tr>
    </w:tbl>
    <w:p w14:paraId="59C761DE" w14:textId="77777777" w:rsidR="00953151" w:rsidRPr="00E16174" w:rsidRDefault="002107CE" w:rsidP="00D87D91">
      <w:r w:rsidRPr="00E16174">
        <w:t>【本表格資料來源】</w:t>
      </w:r>
      <w:r w:rsidR="00203F72" w:rsidRPr="00E16174">
        <w:t>楊智傑</w:t>
      </w:r>
      <w:r w:rsidR="00203F72" w:rsidRPr="00E16174">
        <w:t>(2010)</w:t>
      </w:r>
      <w:r w:rsidR="00203F72" w:rsidRPr="00E16174">
        <w:t>，圖解憲法，二版</w:t>
      </w:r>
      <w:r w:rsidR="00203F72" w:rsidRPr="00E16174">
        <w:t>1</w:t>
      </w:r>
      <w:r w:rsidR="00203F72" w:rsidRPr="00E16174">
        <w:t>刷，台北市：書泉出版社，第</w:t>
      </w:r>
      <w:r w:rsidR="00203F72" w:rsidRPr="00E16174">
        <w:t>83</w:t>
      </w:r>
      <w:r w:rsidR="00203F72" w:rsidRPr="00E16174">
        <w:t>頁。</w:t>
      </w:r>
    </w:p>
    <w:p w14:paraId="5102580A" w14:textId="77777777" w:rsidR="00953151" w:rsidRPr="00E16174" w:rsidRDefault="005E23E3" w:rsidP="00D87D91">
      <w:r w:rsidRPr="00E16174">
        <w:t xml:space="preserve">　　</w:t>
      </w:r>
      <w:r w:rsidR="00203F72" w:rsidRPr="00E16174">
        <w:t>依據蔡宗珍教授之觀點，假若國會對於政府最高之行政首長人選，擁有決定權（任命同意權）則屬於內閣制；反之，假若國會對於最高層級之政府首長之人選，未具備任命之決定權，則屬於總統制</w:t>
      </w:r>
      <w:r w:rsidR="00203F72" w:rsidRPr="00E16174">
        <w:footnoteReference w:id="1120"/>
      </w:r>
      <w:r w:rsidR="00203F72" w:rsidRPr="00E16174">
        <w:t>。由於憲法增修條</w:t>
      </w:r>
      <w:r w:rsidR="00E16174" w:rsidRPr="00E16174">
        <w:t>文</w:t>
      </w:r>
      <w:hyperlink r:id="rId2818" w:anchor="b3" w:history="1">
        <w:r w:rsidR="00E16174" w:rsidRPr="00E16174">
          <w:rPr>
            <w:rStyle w:val="a5"/>
          </w:rPr>
          <w:t>第3條</w:t>
        </w:r>
      </w:hyperlink>
      <w:r w:rsidR="00203F72" w:rsidRPr="00E16174">
        <w:t>第</w:t>
      </w:r>
      <w:r w:rsidR="00203F72" w:rsidRPr="00E16174">
        <w:t>1</w:t>
      </w:r>
      <w:r w:rsidR="00203F72" w:rsidRPr="00E16174">
        <w:t>項業已不再賦予國會對於行政院院長之任命，擁有同意權。從此觀之，我國目前行政院院長之任命機制，較偏向於總統制。在總統制之憲政下，國會對於最高政府首長之人選，未具備同意權。此項之同意權，專屬於總統。</w:t>
      </w:r>
    </w:p>
    <w:p w14:paraId="61F86207" w14:textId="77777777" w:rsidR="00953151" w:rsidRPr="00E16174" w:rsidRDefault="005E23E3" w:rsidP="00D87D91">
      <w:r w:rsidRPr="00E16174">
        <w:t xml:space="preserve">　　</w:t>
      </w:r>
      <w:r w:rsidR="00203F72" w:rsidRPr="00E16174">
        <w:t>我國目前行政院院長之任命機制，在我國運作之下，產生總統有權無責之弊端。亦即，總統提名自己信任之親信，任官為行政院院長，事實上，此角色已淪為總統之幕僚長或秘書長，唯總統之命是從，就作者之了解，目前之作法，廣受各界之批評，咸認為總統有權無責。本書提出一種假設，假若總統擬破壞中華民國之民主憲法體制，另行建立新的國家</w:t>
      </w:r>
      <w:r w:rsidR="00D92F56" w:rsidRPr="00E16174">
        <w:t>〜</w:t>
      </w:r>
      <w:r w:rsidR="00203F72" w:rsidRPr="00E16174">
        <w:t>台灣民主</w:t>
      </w:r>
      <w:r w:rsidR="00203F72" w:rsidRPr="00E16174">
        <w:t>(</w:t>
      </w:r>
      <w:r w:rsidR="00203F72" w:rsidRPr="00E16174">
        <w:t>進步</w:t>
      </w:r>
      <w:r w:rsidR="00203F72" w:rsidRPr="00E16174">
        <w:t>)</w:t>
      </w:r>
      <w:r w:rsidR="00203F72" w:rsidRPr="00E16174">
        <w:t>共和國，或者，另行建立台灣民政府，或者，將台灣改變成為中華人民共和國台灣特別行政區，或者，將台灣改變成為日本之屬地，或者，將台灣改變成為美國之屬地。此時，行政院院長洽可助其達成此項目標。</w:t>
      </w:r>
    </w:p>
    <w:p w14:paraId="10D5A40D" w14:textId="77777777" w:rsidR="00953151" w:rsidRPr="00E16174" w:rsidRDefault="005E23E3" w:rsidP="00D87D91">
      <w:r w:rsidRPr="00E16174">
        <w:rPr>
          <w:rFonts w:hint="eastAsia"/>
        </w:rPr>
        <w:t xml:space="preserve">　　</w:t>
      </w:r>
      <w:r w:rsidR="00203F72" w:rsidRPr="00E16174">
        <w:rPr>
          <w:rFonts w:hint="eastAsia"/>
        </w:rPr>
        <w:t>章光明教授對於此一問題，亦主張</w:t>
      </w:r>
      <w:r w:rsidR="00203F72" w:rsidRPr="00E16174">
        <w:t>國會對於行政院院長之任命，應擁有任命之同意權。章教授於本書推薦序文之中，其指出：「、、、</w:t>
      </w:r>
      <w:r w:rsidR="00203F72" w:rsidRPr="00E16174">
        <w:rPr>
          <w:rFonts w:hint="eastAsia"/>
        </w:rPr>
        <w:t>在政府權力方面，本書作者提出削弱總統權力、維持五院設計等建議。我從政府效能的角度看這個問題，也就是政府體制，既要能有跑得快的速度，又能夠掌握正確的方向。前者靠的是行政部門的效率，後者則賴權力分立的制衡機制，如此國家才有競爭力。若說人權有賴政府保障，則政府也要有能力，人權方得確保。更何況，政府還要有追求公共利益的能力。政府效率有賴行政首長的單一指揮與權責相符的課責機制，我國憲法在總統制、內閣制與雙首長制之間，始終未能找到定位。憲法明白規定，行政院長是最高行政首長，行政院向立法院負責，實際上，行政院長的權力來自總統，總統掌有實權，實權總統卻不須受國會監督。權責不符的結果，過去許多國政問題與民怨累積，源自於此。」</w:t>
      </w:r>
    </w:p>
    <w:p w14:paraId="6F0343B6" w14:textId="77777777" w:rsidR="00953151" w:rsidRPr="00E16174" w:rsidRDefault="005E23E3" w:rsidP="00D87D91">
      <w:r w:rsidRPr="00E16174">
        <w:t xml:space="preserve">　　</w:t>
      </w:r>
      <w:r w:rsidR="00203F72" w:rsidRPr="00E16174">
        <w:t>為了避免總統濫權、貪瀆、擴權與違法，本書主張，行政院院長之任命同意權，我國宜採內閣制，此項之同意權，宜由國會行使為佳。因國會係由立法委員組成，國會具備民意基礎，經由國會之約制，決定行政院院長之人選，較具有妥適性。藉諸國會之監控，較能令行政院院長之角色，具有中立性與獨立性；在監控總統濫權或違法方面，較具有力道。</w:t>
      </w:r>
    </w:p>
    <w:p w14:paraId="6B4997C6"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01506E1C" w14:textId="77777777" w:rsidR="00145751" w:rsidRDefault="00145751" w:rsidP="00D87D91"/>
    <w:p w14:paraId="059CE04C" w14:textId="77777777" w:rsidR="00953151" w:rsidRDefault="00203F72" w:rsidP="00767F37">
      <w:pPr>
        <w:pStyle w:val="2"/>
      </w:pPr>
      <w:bookmarkStart w:id="155" w:name="_參拾貳、憲法宜增加立委名額"/>
      <w:bookmarkEnd w:id="155"/>
      <w:r w:rsidRPr="00A53581">
        <w:t>參拾貳、憲法宜增加立委名額</w:t>
      </w:r>
    </w:p>
    <w:p w14:paraId="6E5578F5" w14:textId="77777777" w:rsidR="00203F72" w:rsidRPr="00A53581" w:rsidRDefault="005E23E3" w:rsidP="00D87D91">
      <w:r>
        <w:t xml:space="preserve">　　</w:t>
      </w:r>
      <w:r w:rsidR="00203F72" w:rsidRPr="00A53581">
        <w:t>周陽山教授認為，中型民主國家，多以每十萬國民之中，產生一位國會議員作為員額的規劃基準。是以，台灣立委之席次，周陽山教授認為，宜為</w:t>
      </w:r>
      <w:r w:rsidR="00203F72" w:rsidRPr="00A53581">
        <w:t>164</w:t>
      </w:r>
      <w:r w:rsidR="00203F72" w:rsidRPr="00A53581">
        <w:t>席</w:t>
      </w:r>
      <w:r w:rsidR="00203F72" w:rsidRPr="00A53581">
        <w:rPr>
          <w:rStyle w:val="af3"/>
          <w:rFonts w:ascii="新細明體" w:hAnsi="新細明體"/>
          <w:kern w:val="0"/>
        </w:rPr>
        <w:footnoteReference w:id="1121"/>
      </w:r>
      <w:r w:rsidR="00203F72" w:rsidRPr="00A53581">
        <w:t>。以下，係相關國家立委之席次</w:t>
      </w:r>
      <w:r w:rsidR="00203F72" w:rsidRPr="00A53581">
        <w:rPr>
          <w:rStyle w:val="af3"/>
          <w:rFonts w:ascii="新細明體" w:hAnsi="新細明體"/>
          <w:kern w:val="0"/>
        </w:rPr>
        <w:footnoteReference w:id="1122"/>
      </w:r>
      <w:r w:rsidR="00203F72" w:rsidRPr="00A53581">
        <w:t>：</w:t>
      </w:r>
    </w:p>
    <w:p w14:paraId="600E40ED" w14:textId="77777777" w:rsidR="005E23E3" w:rsidRPr="005E23E3" w:rsidRDefault="005E23E3" w:rsidP="00D87D91">
      <w:r w:rsidRPr="005E23E3">
        <w:rPr>
          <w:rFonts w:hint="eastAsia"/>
        </w:rPr>
        <w:t xml:space="preserve">　　</w:t>
      </w:r>
      <w:r w:rsidRPr="005E23E3">
        <w:rPr>
          <w:rFonts w:hint="eastAsia"/>
        </w:rPr>
        <w:t>1.</w:t>
      </w:r>
      <w:r w:rsidRPr="005E23E3">
        <w:rPr>
          <w:rFonts w:hint="eastAsia"/>
        </w:rPr>
        <w:t>澳大利亞，人口二千零九萬，國會採兩院制，共二百二十六席。</w:t>
      </w:r>
    </w:p>
    <w:p w14:paraId="1DDDB0AC" w14:textId="77777777" w:rsidR="005E23E3" w:rsidRPr="005E23E3" w:rsidRDefault="005E23E3" w:rsidP="00D87D91">
      <w:r w:rsidRPr="005E23E3">
        <w:rPr>
          <w:rFonts w:hint="eastAsia"/>
        </w:rPr>
        <w:t xml:space="preserve">　　</w:t>
      </w:r>
      <w:r w:rsidRPr="005E23E3">
        <w:rPr>
          <w:rFonts w:hint="eastAsia"/>
        </w:rPr>
        <w:t>2.</w:t>
      </w:r>
      <w:r w:rsidRPr="005E23E3">
        <w:rPr>
          <w:rFonts w:hint="eastAsia"/>
        </w:rPr>
        <w:t>比利時，人口一千零三十六萬，國會採兩院制，共二百二十一席。</w:t>
      </w:r>
    </w:p>
    <w:p w14:paraId="5CCF7187" w14:textId="77777777" w:rsidR="005E23E3" w:rsidRPr="005E23E3" w:rsidRDefault="005E23E3" w:rsidP="00D87D91">
      <w:r w:rsidRPr="005E23E3">
        <w:rPr>
          <w:rFonts w:hint="eastAsia"/>
        </w:rPr>
        <w:t xml:space="preserve">　　</w:t>
      </w:r>
      <w:r w:rsidRPr="005E23E3">
        <w:rPr>
          <w:rFonts w:hint="eastAsia"/>
        </w:rPr>
        <w:t>3.</w:t>
      </w:r>
      <w:r w:rsidRPr="005E23E3">
        <w:rPr>
          <w:rFonts w:hint="eastAsia"/>
        </w:rPr>
        <w:t>荷蘭，人口一千六百四十萬，國會採兩院制，共二百二十五席。</w:t>
      </w:r>
    </w:p>
    <w:p w14:paraId="1D4326FB" w14:textId="77777777" w:rsidR="005E23E3" w:rsidRPr="005E23E3" w:rsidRDefault="005E23E3" w:rsidP="00D87D91">
      <w:r w:rsidRPr="005E23E3">
        <w:rPr>
          <w:rFonts w:hint="eastAsia"/>
        </w:rPr>
        <w:t xml:space="preserve">　　</w:t>
      </w:r>
      <w:r w:rsidRPr="005E23E3">
        <w:rPr>
          <w:rFonts w:hint="eastAsia"/>
        </w:rPr>
        <w:t>4.</w:t>
      </w:r>
      <w:r w:rsidRPr="005E23E3">
        <w:rPr>
          <w:rFonts w:hint="eastAsia"/>
        </w:rPr>
        <w:t>加拿大，人口三千二百八十萬，國會採兩院制，共四百一十三席。</w:t>
      </w:r>
    </w:p>
    <w:p w14:paraId="343B23FB" w14:textId="77777777" w:rsidR="005E23E3" w:rsidRPr="005E23E3" w:rsidRDefault="005E23E3" w:rsidP="00D87D91">
      <w:r w:rsidRPr="005E23E3">
        <w:rPr>
          <w:rFonts w:hint="eastAsia"/>
        </w:rPr>
        <w:t xml:space="preserve">　　</w:t>
      </w:r>
      <w:r w:rsidRPr="005E23E3">
        <w:rPr>
          <w:rFonts w:hint="eastAsia"/>
        </w:rPr>
        <w:t>5.</w:t>
      </w:r>
      <w:r w:rsidRPr="005E23E3">
        <w:rPr>
          <w:rFonts w:hint="eastAsia"/>
        </w:rPr>
        <w:t>智利，人口一千五百九十八萬，國會採兩院制，共一百六十八席。</w:t>
      </w:r>
    </w:p>
    <w:p w14:paraId="5BE021E2" w14:textId="77777777" w:rsidR="005E23E3" w:rsidRPr="005E23E3" w:rsidRDefault="005E23E3" w:rsidP="00D87D91">
      <w:r w:rsidRPr="005E23E3">
        <w:rPr>
          <w:rFonts w:hint="eastAsia"/>
        </w:rPr>
        <w:t xml:space="preserve">　　</w:t>
      </w:r>
      <w:r w:rsidRPr="005E23E3">
        <w:rPr>
          <w:rFonts w:hint="eastAsia"/>
        </w:rPr>
        <w:t>6.</w:t>
      </w:r>
      <w:r w:rsidRPr="005E23E3">
        <w:rPr>
          <w:rFonts w:hint="eastAsia"/>
        </w:rPr>
        <w:t>南韓，人口四千八百四十二萬，國會採一院制，共二百九十九席。</w:t>
      </w:r>
    </w:p>
    <w:p w14:paraId="4080C2CD" w14:textId="77777777" w:rsidR="005E23E3" w:rsidRPr="005E23E3" w:rsidRDefault="005E23E3" w:rsidP="00D87D91">
      <w:r w:rsidRPr="005E23E3">
        <w:rPr>
          <w:rFonts w:hint="eastAsia"/>
        </w:rPr>
        <w:t xml:space="preserve">　　</w:t>
      </w:r>
      <w:r w:rsidRPr="005E23E3">
        <w:rPr>
          <w:rFonts w:hint="eastAsia"/>
        </w:rPr>
        <w:t>7.</w:t>
      </w:r>
      <w:r w:rsidRPr="005E23E3">
        <w:rPr>
          <w:rFonts w:hint="eastAsia"/>
        </w:rPr>
        <w:t>波蘭，人口三千八百六十三萬，國會採兩院制，共五百六十席。</w:t>
      </w:r>
    </w:p>
    <w:p w14:paraId="26BE1B4D" w14:textId="77777777" w:rsidR="005E23E3" w:rsidRPr="005E23E3" w:rsidRDefault="005E23E3" w:rsidP="00D87D91">
      <w:r w:rsidRPr="005E23E3">
        <w:rPr>
          <w:rFonts w:hint="eastAsia"/>
        </w:rPr>
        <w:t xml:space="preserve">　　</w:t>
      </w:r>
      <w:r w:rsidRPr="005E23E3">
        <w:rPr>
          <w:rFonts w:hint="eastAsia"/>
        </w:rPr>
        <w:t>8.</w:t>
      </w:r>
      <w:r w:rsidRPr="005E23E3">
        <w:rPr>
          <w:rFonts w:hint="eastAsia"/>
        </w:rPr>
        <w:t>西班牙，人口四千零三十四萬，國會採兩院制，共六百零九席。</w:t>
      </w:r>
    </w:p>
    <w:p w14:paraId="662A10DE" w14:textId="77777777" w:rsidR="005E23E3" w:rsidRPr="005E23E3" w:rsidRDefault="005E23E3" w:rsidP="00D87D91">
      <w:r w:rsidRPr="005E23E3">
        <w:rPr>
          <w:rFonts w:hint="eastAsia"/>
        </w:rPr>
        <w:t xml:space="preserve">　　</w:t>
      </w:r>
      <w:r w:rsidRPr="005E23E3">
        <w:rPr>
          <w:rFonts w:hint="eastAsia"/>
        </w:rPr>
        <w:t>9.</w:t>
      </w:r>
      <w:r w:rsidRPr="005E23E3">
        <w:rPr>
          <w:rFonts w:hint="eastAsia"/>
        </w:rPr>
        <w:t>斯里蘭卡，人口二千零六萬，國會採一院制，共二百二十五席。</w:t>
      </w:r>
    </w:p>
    <w:p w14:paraId="76D601D1" w14:textId="77777777" w:rsidR="00953151" w:rsidRDefault="005E23E3" w:rsidP="00D87D91">
      <w:r w:rsidRPr="005E23E3">
        <w:rPr>
          <w:rFonts w:hint="eastAsia"/>
        </w:rPr>
        <w:t xml:space="preserve">　　</w:t>
      </w:r>
      <w:r w:rsidRPr="005E23E3">
        <w:rPr>
          <w:rFonts w:hint="eastAsia"/>
        </w:rPr>
        <w:t>10.</w:t>
      </w:r>
      <w:r w:rsidRPr="005E23E3">
        <w:rPr>
          <w:rFonts w:hint="eastAsia"/>
        </w:rPr>
        <w:t>西班牙，人口四千七百四十二萬，國會採一院制，共四百五十席。</w:t>
      </w:r>
    </w:p>
    <w:p w14:paraId="0B10A1B8" w14:textId="77777777" w:rsidR="00D40983" w:rsidRDefault="00D40983" w:rsidP="00D87D91">
      <w:pPr>
        <w:pStyle w:val="aff4"/>
      </w:pPr>
    </w:p>
    <w:p w14:paraId="1818CDD0" w14:textId="46F19757" w:rsidR="00203F72" w:rsidRPr="00AB0D53"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126</w:t>
      </w:r>
      <w:r w:rsidR="00076467">
        <w:rPr>
          <w:noProof/>
        </w:rPr>
        <w:fldChar w:fldCharType="end"/>
      </w:r>
      <w:r w:rsidR="00203F72" w:rsidRPr="00A53581">
        <w:t>世界主要國家國會每一議員席次之人口數</w:t>
      </w:r>
      <w:r w:rsidR="00203F72" w:rsidRPr="00A53581">
        <w:t>(</w:t>
      </w:r>
      <w:r w:rsidR="00203F72" w:rsidRPr="00A53581">
        <w:t>人口資料時間，</w:t>
      </w:r>
      <w:r w:rsidR="00203F72" w:rsidRPr="00A53581">
        <w:t>2000</w:t>
      </w:r>
      <w:r w:rsidR="00203F72" w:rsidRPr="00A53581">
        <w:t>年</w:t>
      </w:r>
      <w:r w:rsidR="00203F72" w:rsidRPr="00A53581">
        <w:t>)</w:t>
      </w:r>
      <w:r w:rsidR="00203F72" w:rsidRPr="00AB0D53">
        <w:t>單位：人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4394"/>
      </w:tblGrid>
      <w:tr w:rsidR="00203F72" w:rsidRPr="00A53581" w14:paraId="4992F897" w14:textId="77777777" w:rsidTr="00203F72">
        <w:tc>
          <w:tcPr>
            <w:tcW w:w="3402" w:type="dxa"/>
            <w:shd w:val="clear" w:color="auto" w:fill="auto"/>
          </w:tcPr>
          <w:p w14:paraId="0A9C605C" w14:textId="77777777" w:rsidR="00203F72" w:rsidRPr="00A53581" w:rsidRDefault="00203F72" w:rsidP="00D87D91">
            <w:r w:rsidRPr="00A53581">
              <w:t>丹麥</w:t>
            </w:r>
          </w:p>
        </w:tc>
        <w:tc>
          <w:tcPr>
            <w:tcW w:w="4394" w:type="dxa"/>
            <w:shd w:val="clear" w:color="auto" w:fill="auto"/>
          </w:tcPr>
          <w:p w14:paraId="2C295AF3" w14:textId="77777777" w:rsidR="00203F72" w:rsidRPr="00A53581" w:rsidRDefault="00203F72" w:rsidP="00D40983">
            <w:pPr>
              <w:jc w:val="center"/>
            </w:pPr>
            <w:r w:rsidRPr="00A53581">
              <w:t>30,457</w:t>
            </w:r>
          </w:p>
        </w:tc>
      </w:tr>
      <w:tr w:rsidR="00203F72" w:rsidRPr="00A53581" w14:paraId="45E3D0E1" w14:textId="77777777" w:rsidTr="00203F72">
        <w:tc>
          <w:tcPr>
            <w:tcW w:w="3402" w:type="dxa"/>
            <w:shd w:val="clear" w:color="auto" w:fill="auto"/>
          </w:tcPr>
          <w:p w14:paraId="26578A4E" w14:textId="77777777" w:rsidR="00203F72" w:rsidRPr="00A53581" w:rsidRDefault="00203F72" w:rsidP="00D87D91">
            <w:r w:rsidRPr="00A53581">
              <w:t>紐西蘭</w:t>
            </w:r>
          </w:p>
        </w:tc>
        <w:tc>
          <w:tcPr>
            <w:tcW w:w="4394" w:type="dxa"/>
            <w:shd w:val="clear" w:color="auto" w:fill="auto"/>
          </w:tcPr>
          <w:p w14:paraId="076196D3" w14:textId="77777777" w:rsidR="00203F72" w:rsidRPr="00A53581" w:rsidRDefault="00203F72" w:rsidP="00D40983">
            <w:pPr>
              <w:jc w:val="center"/>
            </w:pPr>
            <w:r w:rsidRPr="00A53581">
              <w:t>32,029</w:t>
            </w:r>
          </w:p>
        </w:tc>
      </w:tr>
      <w:tr w:rsidR="00203F72" w:rsidRPr="00A53581" w14:paraId="66683645" w14:textId="77777777" w:rsidTr="00203F72">
        <w:tc>
          <w:tcPr>
            <w:tcW w:w="3402" w:type="dxa"/>
            <w:shd w:val="clear" w:color="auto" w:fill="auto"/>
          </w:tcPr>
          <w:p w14:paraId="4FD1125E" w14:textId="77777777" w:rsidR="00203F72" w:rsidRPr="00A53581" w:rsidRDefault="00203F72" w:rsidP="00D87D91">
            <w:r w:rsidRPr="00A53581">
              <w:t>新加坡</w:t>
            </w:r>
          </w:p>
        </w:tc>
        <w:tc>
          <w:tcPr>
            <w:tcW w:w="4394" w:type="dxa"/>
            <w:shd w:val="clear" w:color="auto" w:fill="auto"/>
          </w:tcPr>
          <w:p w14:paraId="22BA76B1" w14:textId="77777777" w:rsidR="00203F72" w:rsidRPr="00A53581" w:rsidRDefault="00203F72" w:rsidP="00D40983">
            <w:pPr>
              <w:jc w:val="center"/>
            </w:pPr>
            <w:r w:rsidRPr="00A53581">
              <w:t>48,406</w:t>
            </w:r>
          </w:p>
        </w:tc>
      </w:tr>
      <w:tr w:rsidR="00203F72" w:rsidRPr="00A53581" w14:paraId="5421AD03" w14:textId="77777777" w:rsidTr="00203F72">
        <w:tc>
          <w:tcPr>
            <w:tcW w:w="3402" w:type="dxa"/>
            <w:shd w:val="clear" w:color="auto" w:fill="auto"/>
          </w:tcPr>
          <w:p w14:paraId="46F6EA54" w14:textId="77777777" w:rsidR="00203F72" w:rsidRPr="00A53581" w:rsidRDefault="00203F72" w:rsidP="00D87D91">
            <w:r w:rsidRPr="00A53581">
              <w:t>英國</w:t>
            </w:r>
          </w:p>
        </w:tc>
        <w:tc>
          <w:tcPr>
            <w:tcW w:w="4394" w:type="dxa"/>
            <w:shd w:val="clear" w:color="auto" w:fill="auto"/>
          </w:tcPr>
          <w:p w14:paraId="09887CA0" w14:textId="77777777" w:rsidR="00203F72" w:rsidRPr="00A53581" w:rsidRDefault="00203F72" w:rsidP="00D40983">
            <w:pPr>
              <w:jc w:val="center"/>
            </w:pPr>
            <w:r w:rsidRPr="00A53581">
              <w:t>90,305</w:t>
            </w:r>
          </w:p>
        </w:tc>
      </w:tr>
      <w:tr w:rsidR="00203F72" w:rsidRPr="00A53581" w14:paraId="5BAF898B" w14:textId="77777777" w:rsidTr="00203F72">
        <w:tc>
          <w:tcPr>
            <w:tcW w:w="3402" w:type="dxa"/>
            <w:shd w:val="clear" w:color="auto" w:fill="auto"/>
          </w:tcPr>
          <w:p w14:paraId="2AF73058" w14:textId="77777777" w:rsidR="00203F72" w:rsidRPr="00A53581" w:rsidRDefault="00203F72" w:rsidP="00D87D91">
            <w:r w:rsidRPr="00A53581">
              <w:t>臺灣</w:t>
            </w:r>
          </w:p>
        </w:tc>
        <w:tc>
          <w:tcPr>
            <w:tcW w:w="4394" w:type="dxa"/>
            <w:shd w:val="clear" w:color="auto" w:fill="auto"/>
          </w:tcPr>
          <w:p w14:paraId="68067B28" w14:textId="77777777" w:rsidR="00203F72" w:rsidRPr="00A53581" w:rsidRDefault="00203F72" w:rsidP="00D40983">
            <w:pPr>
              <w:jc w:val="center"/>
            </w:pPr>
            <w:r w:rsidRPr="00A53581">
              <w:t>98,547</w:t>
            </w:r>
          </w:p>
        </w:tc>
      </w:tr>
      <w:tr w:rsidR="00203F72" w:rsidRPr="00A53581" w14:paraId="294F2E7D" w14:textId="77777777" w:rsidTr="00203F72">
        <w:tc>
          <w:tcPr>
            <w:tcW w:w="3402" w:type="dxa"/>
            <w:shd w:val="clear" w:color="auto" w:fill="auto"/>
          </w:tcPr>
          <w:p w14:paraId="783C756E" w14:textId="77777777" w:rsidR="00203F72" w:rsidRPr="00A53581" w:rsidRDefault="00203F72" w:rsidP="00D87D91">
            <w:r w:rsidRPr="00A53581">
              <w:t>加拿大</w:t>
            </w:r>
          </w:p>
        </w:tc>
        <w:tc>
          <w:tcPr>
            <w:tcW w:w="4394" w:type="dxa"/>
            <w:shd w:val="clear" w:color="auto" w:fill="auto"/>
          </w:tcPr>
          <w:p w14:paraId="4271F84B" w14:textId="77777777" w:rsidR="00203F72" w:rsidRPr="00A53581" w:rsidRDefault="00203F72" w:rsidP="00D40983">
            <w:pPr>
              <w:jc w:val="center"/>
            </w:pPr>
            <w:r w:rsidRPr="00A53581">
              <w:t>102,160</w:t>
            </w:r>
          </w:p>
        </w:tc>
      </w:tr>
      <w:tr w:rsidR="00203F72" w:rsidRPr="00A53581" w14:paraId="3E41D568" w14:textId="77777777" w:rsidTr="00203F72">
        <w:tc>
          <w:tcPr>
            <w:tcW w:w="3402" w:type="dxa"/>
            <w:shd w:val="clear" w:color="auto" w:fill="auto"/>
          </w:tcPr>
          <w:p w14:paraId="5DB731B2" w14:textId="77777777" w:rsidR="00203F72" w:rsidRPr="00A53581" w:rsidRDefault="00203F72" w:rsidP="00D87D91">
            <w:r w:rsidRPr="00A53581">
              <w:t>荷蘭</w:t>
            </w:r>
          </w:p>
        </w:tc>
        <w:tc>
          <w:tcPr>
            <w:tcW w:w="4394" w:type="dxa"/>
            <w:shd w:val="clear" w:color="auto" w:fill="auto"/>
          </w:tcPr>
          <w:p w14:paraId="57FA7405" w14:textId="77777777" w:rsidR="00203F72" w:rsidRPr="00A53581" w:rsidRDefault="00203F72" w:rsidP="00D40983">
            <w:pPr>
              <w:jc w:val="center"/>
            </w:pPr>
            <w:r w:rsidRPr="00A53581">
              <w:t>105,760</w:t>
            </w:r>
          </w:p>
        </w:tc>
      </w:tr>
      <w:tr w:rsidR="00203F72" w:rsidRPr="00A53581" w14:paraId="3098804F" w14:textId="77777777" w:rsidTr="00203F72">
        <w:tc>
          <w:tcPr>
            <w:tcW w:w="3402" w:type="dxa"/>
            <w:shd w:val="clear" w:color="auto" w:fill="auto"/>
          </w:tcPr>
          <w:p w14:paraId="7EA4DEB4" w14:textId="77777777" w:rsidR="00203F72" w:rsidRPr="00A53581" w:rsidRDefault="00203F72" w:rsidP="00D87D91">
            <w:r w:rsidRPr="00A53581">
              <w:t>德國</w:t>
            </w:r>
          </w:p>
        </w:tc>
        <w:tc>
          <w:tcPr>
            <w:tcW w:w="4394" w:type="dxa"/>
            <w:shd w:val="clear" w:color="auto" w:fill="auto"/>
          </w:tcPr>
          <w:p w14:paraId="16009D20" w14:textId="77777777" w:rsidR="00203F72" w:rsidRPr="00A53581" w:rsidRDefault="00203F72" w:rsidP="00D40983">
            <w:pPr>
              <w:jc w:val="center"/>
            </w:pPr>
            <w:r w:rsidRPr="00A53581">
              <w:t>126,216</w:t>
            </w:r>
          </w:p>
        </w:tc>
      </w:tr>
      <w:tr w:rsidR="00203F72" w:rsidRPr="00A53581" w14:paraId="01E99F06" w14:textId="77777777" w:rsidTr="00203F72">
        <w:tc>
          <w:tcPr>
            <w:tcW w:w="3402" w:type="dxa"/>
            <w:shd w:val="clear" w:color="auto" w:fill="auto"/>
          </w:tcPr>
          <w:p w14:paraId="657F2C91" w14:textId="77777777" w:rsidR="00203F72" w:rsidRPr="00A53581" w:rsidRDefault="00203F72" w:rsidP="00D87D91">
            <w:r w:rsidRPr="00A53581">
              <w:t>日本</w:t>
            </w:r>
          </w:p>
        </w:tc>
        <w:tc>
          <w:tcPr>
            <w:tcW w:w="4394" w:type="dxa"/>
            <w:shd w:val="clear" w:color="auto" w:fill="auto"/>
          </w:tcPr>
          <w:p w14:paraId="5ADD96A8" w14:textId="77777777" w:rsidR="00203F72" w:rsidRPr="00A53581" w:rsidRDefault="00203F72" w:rsidP="00D40983">
            <w:pPr>
              <w:jc w:val="center"/>
            </w:pPr>
            <w:r w:rsidRPr="00A53581">
              <w:t>253,100</w:t>
            </w:r>
          </w:p>
        </w:tc>
      </w:tr>
      <w:tr w:rsidR="00203F72" w:rsidRPr="00A53581" w14:paraId="466179CD" w14:textId="77777777" w:rsidTr="00203F72">
        <w:tc>
          <w:tcPr>
            <w:tcW w:w="3402" w:type="dxa"/>
            <w:shd w:val="clear" w:color="auto" w:fill="auto"/>
          </w:tcPr>
          <w:p w14:paraId="7A86638C" w14:textId="77777777" w:rsidR="00203F72" w:rsidRPr="00A53581" w:rsidRDefault="00203F72" w:rsidP="00D87D91">
            <w:r w:rsidRPr="00A53581">
              <w:t>美國</w:t>
            </w:r>
          </w:p>
        </w:tc>
        <w:tc>
          <w:tcPr>
            <w:tcW w:w="4394" w:type="dxa"/>
            <w:shd w:val="clear" w:color="auto" w:fill="auto"/>
          </w:tcPr>
          <w:p w14:paraId="10A5DED0" w14:textId="77777777" w:rsidR="00203F72" w:rsidRPr="00A53581" w:rsidRDefault="00203F72" w:rsidP="00D40983">
            <w:pPr>
              <w:jc w:val="center"/>
            </w:pPr>
            <w:r w:rsidRPr="00A53581">
              <w:t>633,477</w:t>
            </w:r>
          </w:p>
        </w:tc>
      </w:tr>
    </w:tbl>
    <w:p w14:paraId="248A75B5" w14:textId="77777777" w:rsidR="00953151" w:rsidRDefault="002107CE" w:rsidP="00D87D91">
      <w:r>
        <w:t>【本表格資料來源】</w:t>
      </w:r>
      <w:r w:rsidR="00203F72" w:rsidRPr="00A53581">
        <w:t>李惠宗</w:t>
      </w:r>
      <w:r w:rsidR="00203F72" w:rsidRPr="00A53581">
        <w:t>(2011)</w:t>
      </w:r>
      <w:r w:rsidR="00203F72" w:rsidRPr="00A53581">
        <w:t>，中華民國憲法概要：憲法生活的新思維（</w:t>
      </w:r>
      <w:r w:rsidR="00203F72" w:rsidRPr="00A53581">
        <w:t>Introduction to the Constitution of the Republic of China</w:t>
      </w:r>
      <w:r w:rsidR="00203F72" w:rsidRPr="00A53581">
        <w:t>），第</w:t>
      </w:r>
      <w:r w:rsidR="00203F72" w:rsidRPr="00A53581">
        <w:t>9</w:t>
      </w:r>
      <w:r w:rsidR="00203F72" w:rsidRPr="00A53581">
        <w:t>版，台北市：元照，第</w:t>
      </w:r>
      <w:r w:rsidR="00203F72" w:rsidRPr="00A53581">
        <w:t>249</w:t>
      </w:r>
      <w:r w:rsidR="00203F72" w:rsidRPr="00A53581">
        <w:t>頁。</w:t>
      </w:r>
    </w:p>
    <w:p w14:paraId="6ED25820" w14:textId="77777777" w:rsidR="00953151" w:rsidRPr="00D40983" w:rsidRDefault="005E23E3" w:rsidP="00D40983">
      <w:r w:rsidRPr="00D40983">
        <w:t xml:space="preserve">　　</w:t>
      </w:r>
      <w:r w:rsidR="00203F72" w:rsidRPr="00D40983">
        <w:t>本書認為，周陽山教授以上之論述，相當值得可取。再者，根據陳志華教授之研究，台灣地區立委人數之數量，宜在</w:t>
      </w:r>
      <w:r w:rsidR="00203F72" w:rsidRPr="00D40983">
        <w:t>225</w:t>
      </w:r>
      <w:r w:rsidR="00203F72" w:rsidRPr="00D40983">
        <w:t>人至</w:t>
      </w:r>
      <w:r w:rsidR="00203F72" w:rsidRPr="00D40983">
        <w:t>285</w:t>
      </w:r>
      <w:r w:rsidR="00203F72" w:rsidRPr="00D40983">
        <w:t>人之間</w:t>
      </w:r>
      <w:r w:rsidR="00203F72" w:rsidRPr="00D40983">
        <w:footnoteReference w:id="1123"/>
      </w:r>
      <w:r w:rsidR="00203F72" w:rsidRPr="00D40983">
        <w:t>；目前之</w:t>
      </w:r>
      <w:r w:rsidR="00203F72" w:rsidRPr="00D40983">
        <w:t>113</w:t>
      </w:r>
      <w:r w:rsidR="00203F72" w:rsidRPr="00D40983">
        <w:t>人，代表性與正當性受到挑戰；根據學者們之觀點，我國宜增加立委名額。目前立委之名額，明顯不足與偏低，無法真正代表民意。</w:t>
      </w:r>
    </w:p>
    <w:p w14:paraId="168BA662"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067AC0AB" w14:textId="77777777" w:rsidR="00145751" w:rsidRDefault="00145751" w:rsidP="00D87D91"/>
    <w:p w14:paraId="2E3E030A" w14:textId="77777777" w:rsidR="00953151" w:rsidRDefault="00203F72" w:rsidP="00767F37">
      <w:pPr>
        <w:pStyle w:val="2"/>
        <w:rPr>
          <w:kern w:val="0"/>
        </w:rPr>
      </w:pPr>
      <w:bookmarkStart w:id="156" w:name="_參拾參、我國憲法宜明文規範國會對違法立法委員之處罰與除名機制"/>
      <w:bookmarkEnd w:id="156"/>
      <w:r w:rsidRPr="00A53581">
        <w:t>參拾參、我國憲法宜明文規範國會對違法立法委員之處罰與除名機制</w:t>
      </w:r>
    </w:p>
    <w:p w14:paraId="1C0762D6" w14:textId="77777777" w:rsidR="00953151" w:rsidRPr="00306E89" w:rsidRDefault="005E23E3" w:rsidP="00D87D91">
      <w:r w:rsidRPr="00306E89">
        <w:t xml:space="preserve">　　</w:t>
      </w:r>
      <w:r w:rsidR="00203F72" w:rsidRPr="00306E89">
        <w:t>我國憲法宜仿照美國憲法第</w:t>
      </w:r>
      <w:r w:rsidR="00203F72" w:rsidRPr="00306E89">
        <w:t>1</w:t>
      </w:r>
      <w:r w:rsidR="00203F72" w:rsidRPr="00306E89">
        <w:t>條第</w:t>
      </w:r>
      <w:r w:rsidR="00203F72" w:rsidRPr="00306E89">
        <w:t>5</w:t>
      </w:r>
      <w:r w:rsidR="00203F72" w:rsidRPr="00306E89">
        <w:t>項第</w:t>
      </w:r>
      <w:r w:rsidR="00203F72" w:rsidRPr="00306E89">
        <w:t>2</w:t>
      </w:r>
      <w:r w:rsidR="00203F72" w:rsidRPr="00306E89">
        <w:t>款</w:t>
      </w:r>
      <w:r w:rsidR="00203F72" w:rsidRPr="00306E89">
        <w:footnoteReference w:id="1124"/>
      </w:r>
      <w:r w:rsidR="00203F72" w:rsidRPr="00306E89">
        <w:t>與日本憲法第</w:t>
      </w:r>
      <w:r w:rsidR="00203F72" w:rsidRPr="00306E89">
        <w:t>58</w:t>
      </w:r>
      <w:r w:rsidR="00203F72" w:rsidRPr="00306E89">
        <w:t>條</w:t>
      </w:r>
      <w:r w:rsidR="00203F72" w:rsidRPr="00306E89">
        <w:footnoteReference w:id="1125"/>
      </w:r>
      <w:r w:rsidR="00203F72" w:rsidRPr="00306E89">
        <w:t>等之立法例，國會對於擾亂秩序與違法之立法委員，擁有處罰與除名之機制，以維護國會之正常運行。台灣國會常常放任違法之立法委員，可持續地執行問政之工作，事實上，恐有不適切之處。</w:t>
      </w:r>
    </w:p>
    <w:p w14:paraId="62677B2A" w14:textId="77777777" w:rsidR="00953151" w:rsidRPr="00306E89" w:rsidRDefault="005E23E3" w:rsidP="00D87D91">
      <w:r w:rsidRPr="00306E89">
        <w:t xml:space="preserve">　　</w:t>
      </w:r>
      <w:r w:rsidR="00203F72" w:rsidRPr="00306E89">
        <w:t>於美國憲法第</w:t>
      </w:r>
      <w:r w:rsidR="00203F72" w:rsidRPr="00306E89">
        <w:t>1</w:t>
      </w:r>
      <w:r w:rsidR="00203F72" w:rsidRPr="00306E89">
        <w:t>條第</w:t>
      </w:r>
      <w:r w:rsidR="00203F72" w:rsidRPr="00306E89">
        <w:t>5</w:t>
      </w:r>
      <w:r w:rsidR="00203F72" w:rsidRPr="00306E89">
        <w:t>項第</w:t>
      </w:r>
      <w:r w:rsidR="00203F72" w:rsidRPr="00306E89">
        <w:t>2</w:t>
      </w:r>
      <w:r w:rsidR="00203F72" w:rsidRPr="00306E89">
        <w:t>款之中，即有除名機制。根據美國憲法第</w:t>
      </w:r>
      <w:r w:rsidR="00203F72" w:rsidRPr="00306E89">
        <w:t>1</w:t>
      </w:r>
      <w:r w:rsidR="00203F72" w:rsidRPr="00306E89">
        <w:t>條第</w:t>
      </w:r>
      <w:r w:rsidR="00203F72" w:rsidRPr="00306E89">
        <w:t>5</w:t>
      </w:r>
      <w:r w:rsidR="00203F72" w:rsidRPr="00306E89">
        <w:t>項第</w:t>
      </w:r>
      <w:r w:rsidR="00203F72" w:rsidRPr="00306E89">
        <w:t>2</w:t>
      </w:r>
      <w:r w:rsidR="00203F72" w:rsidRPr="00306E89">
        <w:t>款之要求，如欲將某位違法之國會議員除名</w:t>
      </w:r>
      <w:r w:rsidR="00203F72" w:rsidRPr="00306E89">
        <w:t>(expel a member)</w:t>
      </w:r>
      <w:r w:rsidR="00203F72" w:rsidRPr="00306E89">
        <w:t>，須有三分之二國會議員之同意</w:t>
      </w:r>
      <w:r w:rsidR="00203F72" w:rsidRPr="00306E89">
        <w:t>(with the concurrence of two-thirds of the whole number)</w:t>
      </w:r>
      <w:r w:rsidR="00203F72" w:rsidRPr="00306E89">
        <w:t>。</w:t>
      </w:r>
    </w:p>
    <w:p w14:paraId="36ECE8C7" w14:textId="77777777" w:rsidR="00953151" w:rsidRPr="00306E89" w:rsidRDefault="005E23E3" w:rsidP="00D87D91">
      <w:r w:rsidRPr="00306E89">
        <w:t xml:space="preserve">　　</w:t>
      </w:r>
      <w:r w:rsidR="00203F72" w:rsidRPr="00306E89">
        <w:t>另外，於日本國憲法第</w:t>
      </w:r>
      <w:r w:rsidR="00203F72" w:rsidRPr="00306E89">
        <w:t>58</w:t>
      </w:r>
      <w:r w:rsidR="00203F72" w:rsidRPr="00306E89">
        <w:t>條之中，亦有除名機制。根據日本國憲法第</w:t>
      </w:r>
      <w:r w:rsidR="00203F72" w:rsidRPr="00306E89">
        <w:t>58</w:t>
      </w:r>
      <w:r w:rsidR="00203F72" w:rsidRPr="00306E89">
        <w:t>條之要求，如欲將某位違法之國會議員除名</w:t>
      </w:r>
      <w:r w:rsidR="00203F72" w:rsidRPr="00306E89">
        <w:t>(</w:t>
      </w:r>
      <w:r w:rsidR="00203F72" w:rsidRPr="00306E89">
        <w:t>但し、議員を除名するには；</w:t>
      </w:r>
      <w:r w:rsidR="00203F72" w:rsidRPr="00306E89">
        <w:t>in order to expel a member)</w:t>
      </w:r>
      <w:r w:rsidR="00203F72" w:rsidRPr="00306E89">
        <w:t>，須有三分之二國會議員之同意</w:t>
      </w:r>
      <w:r w:rsidR="00203F72" w:rsidRPr="00306E89">
        <w:t>(</w:t>
      </w:r>
      <w:r w:rsidR="00203F72" w:rsidRPr="00306E89">
        <w:t>出席議員の三分の二以上の多数による議決を必要とする；</w:t>
      </w:r>
      <w:r w:rsidR="00203F72" w:rsidRPr="00306E89">
        <w:t>a majority of two-thirds or more of those members present must pass a resolution thereon)</w:t>
      </w:r>
      <w:r w:rsidR="00203F72" w:rsidRPr="00306E89">
        <w:t>。本書認為，我國憲法宜明文規範國會對違法立法委員之處罰與除名機制。</w:t>
      </w:r>
    </w:p>
    <w:p w14:paraId="39AAF110"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6DEEB353" w14:textId="77777777" w:rsidR="00145751" w:rsidRDefault="00145751" w:rsidP="00D87D91"/>
    <w:p w14:paraId="7962600C" w14:textId="77777777" w:rsidR="00953151" w:rsidRDefault="00203F72" w:rsidP="00767F37">
      <w:pPr>
        <w:pStyle w:val="2"/>
      </w:pPr>
      <w:bookmarkStart w:id="157" w:name="_參拾肆、憲法宜降低彈劾(impeachment)總統之門檻標準"/>
      <w:bookmarkEnd w:id="157"/>
      <w:r w:rsidRPr="00A53581">
        <w:t>參拾肆、憲法宜降低彈劾</w:t>
      </w:r>
      <w:r w:rsidRPr="00A53581">
        <w:t>(impeachment)</w:t>
      </w:r>
      <w:r w:rsidRPr="00A53581">
        <w:t>總統之門檻標準</w:t>
      </w:r>
    </w:p>
    <w:p w14:paraId="4E0BB7F3" w14:textId="77777777" w:rsidR="00953151" w:rsidRPr="00306E89" w:rsidRDefault="005E23E3" w:rsidP="00D87D91">
      <w:r w:rsidRPr="00306E89">
        <w:t xml:space="preserve">　　</w:t>
      </w:r>
      <w:r w:rsidR="00203F72" w:rsidRPr="00306E89">
        <w:t>為了避免總統濫權與擴權，我國憲法實宜降低彈劾</w:t>
      </w:r>
      <w:r w:rsidR="00203F72" w:rsidRPr="00306E89">
        <w:t>(impeachment)</w:t>
      </w:r>
      <w:r w:rsidR="00203F72" w:rsidRPr="00306E89">
        <w:t>總統之門檻；針對於憲法增修條文</w:t>
      </w:r>
      <w:hyperlink r:id="rId2819" w:anchor="b4" w:history="1">
        <w:r w:rsidR="00203F72" w:rsidRPr="009A2820">
          <w:rPr>
            <w:rStyle w:val="a5"/>
            <w:rFonts w:ascii="Times New Roman" w:eastAsia="新細明體" w:hAnsi="Times New Roman"/>
          </w:rPr>
          <w:t>第</w:t>
        </w:r>
        <w:r w:rsidR="00203F72" w:rsidRPr="009A2820">
          <w:rPr>
            <w:rStyle w:val="a5"/>
            <w:rFonts w:ascii="Times New Roman" w:eastAsia="新細明體" w:hAnsi="Times New Roman"/>
          </w:rPr>
          <w:t>4</w:t>
        </w:r>
        <w:r w:rsidR="00203F72" w:rsidRPr="009A2820">
          <w:rPr>
            <w:rStyle w:val="a5"/>
            <w:rFonts w:ascii="Times New Roman" w:eastAsia="新細明體" w:hAnsi="Times New Roman"/>
          </w:rPr>
          <w:t>條</w:t>
        </w:r>
      </w:hyperlink>
      <w:r w:rsidR="00203F72" w:rsidRPr="00306E89">
        <w:t>第</w:t>
      </w:r>
      <w:r w:rsidR="00203F72" w:rsidRPr="00306E89">
        <w:t>7</w:t>
      </w:r>
      <w:r w:rsidR="00203F72" w:rsidRPr="00306E89">
        <w:t>項而論，立法院對於總統、副總統之彈劾案之提議與決議門檻部分，在提議門檻標準部分，係為二分之一，在決議門檻方面，則為三分之二；就提議門檻而言，恐有較高之嫌，無法有利</w:t>
      </w:r>
      <w:r w:rsidR="00203F72" w:rsidRPr="00306E89">
        <w:t>(</w:t>
      </w:r>
      <w:r w:rsidR="00203F72" w:rsidRPr="00306E89">
        <w:t>效</w:t>
      </w:r>
      <w:r w:rsidR="00203F72" w:rsidRPr="00306E89">
        <w:t>)</w:t>
      </w:r>
      <w:r w:rsidR="00203F72" w:rsidRPr="00306E89">
        <w:t>地監控總統之違法行為。</w:t>
      </w:r>
    </w:p>
    <w:p w14:paraId="329CCE67" w14:textId="77777777" w:rsidR="00953151" w:rsidRDefault="005E23E3" w:rsidP="00D87D91">
      <w:r w:rsidRPr="00306E89">
        <w:t xml:space="preserve">　　</w:t>
      </w:r>
      <w:r w:rsidR="00203F72" w:rsidRPr="00306E89">
        <w:t>玆以德國基本法為比較之對象，闡釋我國憲法實宜降低彈劾總統之門檻；依據德國基本法第</w:t>
      </w:r>
      <w:r w:rsidR="00203F72" w:rsidRPr="00306E89">
        <w:t>61</w:t>
      </w:r>
      <w:r w:rsidR="00203F72" w:rsidRPr="00306E89">
        <w:t>條</w:t>
      </w:r>
      <w:r w:rsidR="00203F72" w:rsidRPr="00306E89">
        <w:footnoteReference w:id="1126"/>
      </w:r>
      <w:r w:rsidR="00203F72" w:rsidRPr="00306E89">
        <w:t>第</w:t>
      </w:r>
      <w:r w:rsidR="00203F72" w:rsidRPr="00306E89">
        <w:t>1</w:t>
      </w:r>
      <w:r w:rsidR="00203F72" w:rsidRPr="00306E89">
        <w:t>項之規範，德國彈劾總統之提議門檻</w:t>
      </w:r>
      <w:r w:rsidR="00203F72" w:rsidRPr="00306E89">
        <w:t>(The motion of impeachment)</w:t>
      </w:r>
      <w:r w:rsidR="00203F72" w:rsidRPr="00306E89">
        <w:t>標準部分，係為至少四分之一以上</w:t>
      </w:r>
      <w:r w:rsidR="00203F72" w:rsidRPr="00306E89">
        <w:t>(one quarter)</w:t>
      </w:r>
      <w:r w:rsidR="00203F72" w:rsidRPr="00306E89">
        <w:t>，即至少聯邦眾議會國會議員四分之一以上</w:t>
      </w:r>
      <w:r w:rsidR="00203F72" w:rsidRPr="00306E89">
        <w:t>(must be supported by at least one quarter of the Members of the Bundestag</w:t>
      </w:r>
      <w:r w:rsidR="00203F72" w:rsidRPr="00306E89">
        <w:footnoteReference w:id="1127"/>
      </w:r>
      <w:r w:rsidR="00203F72" w:rsidRPr="00306E89">
        <w:t>)</w:t>
      </w:r>
      <w:r w:rsidR="00203F72" w:rsidRPr="00306E89">
        <w:t>，或聯邦參議會具有投票權之國會議員四分之一以上</w:t>
      </w:r>
      <w:r w:rsidR="00203F72" w:rsidRPr="00306E89">
        <w:t>(or one quarter of the votes of the Bundesrat</w:t>
      </w:r>
      <w:r w:rsidR="00203F72" w:rsidRPr="00306E89">
        <w:footnoteReference w:id="1128"/>
      </w:r>
      <w:r w:rsidR="00203F72" w:rsidRPr="00306E89">
        <w:t>)</w:t>
      </w:r>
      <w:r w:rsidR="00203F72" w:rsidRPr="00306E89">
        <w:t>，即可彈劾總統。我國立法院對於總統、副總統之彈劾案之提議門檻部分，係為二分之一，高出德國基本法第</w:t>
      </w:r>
      <w:r w:rsidR="00203F72" w:rsidRPr="00306E89">
        <w:t>61</w:t>
      </w:r>
      <w:r w:rsidR="00203F72" w:rsidRPr="00306E89">
        <w:t>條第</w:t>
      </w:r>
      <w:r w:rsidR="00203F72" w:rsidRPr="00306E89">
        <w:t>1</w:t>
      </w:r>
      <w:r w:rsidR="00203F72" w:rsidRPr="00306E89">
        <w:t>項</w:t>
      </w:r>
      <w:r w:rsidR="00203F72" w:rsidRPr="00306E89">
        <w:t>1</w:t>
      </w:r>
      <w:r w:rsidR="00203F72" w:rsidRPr="00306E89">
        <w:t>倍以上，本書認為，為了有效監控總統之違法行為，並進一步阻止總統之濫權與擴權，我國憲法實宜降低彈劾總統之門檻至四分之一為佳。</w:t>
      </w:r>
    </w:p>
    <w:p w14:paraId="44A71930" w14:textId="77777777" w:rsidR="00306E89" w:rsidRPr="00306E89" w:rsidRDefault="00306E89" w:rsidP="00D87D91"/>
    <w:p w14:paraId="597E231F" w14:textId="48B96927" w:rsidR="00203F72" w:rsidRPr="00306E89" w:rsidRDefault="00B03E84" w:rsidP="00D87D91">
      <w:r w:rsidRPr="00306E89">
        <w:t>【</w:t>
      </w:r>
      <w:r w:rsidRPr="00306E89">
        <w:t>table</w:t>
      </w:r>
      <w:r w:rsidR="005E23E3" w:rsidRPr="00306E89">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127</w:t>
      </w:r>
      <w:r w:rsidR="00076467">
        <w:rPr>
          <w:noProof/>
        </w:rPr>
        <w:fldChar w:fldCharType="end"/>
      </w:r>
      <w:r w:rsidR="00203F72" w:rsidRPr="00306E89">
        <w:rPr>
          <w:rFonts w:hint="eastAsia"/>
        </w:rPr>
        <w:t>總統、副總統之彈劾案提出權</w:t>
      </w: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196"/>
        <w:gridCol w:w="2539"/>
        <w:gridCol w:w="3636"/>
      </w:tblGrid>
      <w:tr w:rsidR="00203F72" w:rsidRPr="00A53581" w14:paraId="0D43E92F" w14:textId="77777777" w:rsidTr="00203F72">
        <w:trPr>
          <w:tblHeader/>
        </w:trPr>
        <w:tc>
          <w:tcPr>
            <w:tcW w:w="709" w:type="dxa"/>
            <w:shd w:val="clear" w:color="auto" w:fill="auto"/>
          </w:tcPr>
          <w:p w14:paraId="5716508D" w14:textId="77777777" w:rsidR="00203F72" w:rsidRPr="00A53581" w:rsidRDefault="00203F72" w:rsidP="00D87D91"/>
        </w:tc>
        <w:tc>
          <w:tcPr>
            <w:tcW w:w="1196" w:type="dxa"/>
            <w:shd w:val="clear" w:color="auto" w:fill="auto"/>
            <w:vAlign w:val="center"/>
          </w:tcPr>
          <w:p w14:paraId="0E1D0778" w14:textId="77777777" w:rsidR="00203F72" w:rsidRPr="00A53581" w:rsidRDefault="00203F72" w:rsidP="00D87D91">
            <w:pPr>
              <w:rPr>
                <w:rFonts w:ascii="新細明體" w:hAnsi="新細明體"/>
              </w:rPr>
            </w:pPr>
            <w:r w:rsidRPr="00A53581">
              <w:rPr>
                <w:rFonts w:ascii="新細明體" w:hAnsi="新細明體" w:hint="eastAsia"/>
              </w:rPr>
              <w:t>憲法</w:t>
            </w:r>
            <w:hyperlink r:id="rId2820" w:anchor="a100" w:history="1">
              <w:r w:rsidR="009A2820" w:rsidRPr="009A2820">
                <w:rPr>
                  <w:rStyle w:val="a5"/>
                  <w:rFonts w:ascii="Times New Roman" w:eastAsia="新細明體" w:hAnsi="Times New Roman" w:hint="eastAsia"/>
                </w:rPr>
                <w:t>第</w:t>
              </w:r>
              <w:r w:rsidR="009A2820" w:rsidRPr="009A2820">
                <w:rPr>
                  <w:rStyle w:val="a5"/>
                  <w:rFonts w:ascii="Times New Roman" w:eastAsia="新細明體" w:hAnsi="Times New Roman" w:hint="eastAsia"/>
                </w:rPr>
                <w:t>100</w:t>
              </w:r>
              <w:r w:rsidR="009A2820" w:rsidRPr="009A2820">
                <w:rPr>
                  <w:rStyle w:val="a5"/>
                  <w:rFonts w:ascii="Times New Roman" w:eastAsia="新細明體" w:hAnsi="Times New Roman" w:hint="eastAsia"/>
                </w:rPr>
                <w:t>條</w:t>
              </w:r>
            </w:hyperlink>
          </w:p>
        </w:tc>
        <w:tc>
          <w:tcPr>
            <w:tcW w:w="2539" w:type="dxa"/>
            <w:shd w:val="clear" w:color="auto" w:fill="auto"/>
          </w:tcPr>
          <w:p w14:paraId="0AB43CB2" w14:textId="77777777" w:rsidR="00203F72" w:rsidRPr="00A53581" w:rsidRDefault="00203F72" w:rsidP="00D40983">
            <w:pPr>
              <w:rPr>
                <w:rFonts w:ascii="新細明體" w:hAnsi="新細明體"/>
              </w:rPr>
            </w:pPr>
            <w:r w:rsidRPr="00A53581">
              <w:rPr>
                <w:rFonts w:ascii="新細明體" w:hAnsi="新細明體" w:hint="eastAsia"/>
              </w:rPr>
              <w:t>第六次增憲</w:t>
            </w:r>
            <w:hyperlink r:id="rId2821" w:anchor="b2" w:history="1">
              <w:r w:rsidR="005532CF" w:rsidRPr="001B1539">
                <w:rPr>
                  <w:rStyle w:val="a5"/>
                  <w:rFonts w:ascii="Times New Roman" w:hAnsi="Times New Roman"/>
                </w:rPr>
                <w:t>第</w:t>
              </w:r>
              <w:r w:rsidR="005532CF" w:rsidRPr="001B1539">
                <w:rPr>
                  <w:rStyle w:val="a5"/>
                  <w:rFonts w:ascii="Times New Roman" w:hAnsi="Times New Roman"/>
                </w:rPr>
                <w:t>2</w:t>
              </w:r>
              <w:r w:rsidR="005532CF" w:rsidRPr="001B1539">
                <w:rPr>
                  <w:rStyle w:val="a5"/>
                  <w:rFonts w:ascii="Times New Roman" w:hAnsi="Times New Roman"/>
                </w:rPr>
                <w:t>條</w:t>
              </w:r>
            </w:hyperlink>
            <w:r w:rsidRPr="00A53581">
              <w:rPr>
                <w:rFonts w:ascii="新細明體" w:hAnsi="新細明體" w:hint="eastAsia"/>
              </w:rPr>
              <w:t>第10項、</w:t>
            </w:r>
            <w:hyperlink r:id="rId2822" w:anchor="b4" w:history="1">
              <w:r w:rsidR="00D40983" w:rsidRPr="00D40983">
                <w:rPr>
                  <w:rStyle w:val="a5"/>
                  <w:rFonts w:ascii="Times New Roman" w:eastAsia="新細明體" w:hAnsi="Times New Roman" w:hint="eastAsia"/>
                </w:rPr>
                <w:t>第</w:t>
              </w:r>
              <w:r w:rsidR="00D40983" w:rsidRPr="00D40983">
                <w:rPr>
                  <w:rStyle w:val="a5"/>
                  <w:rFonts w:ascii="Times New Roman" w:eastAsia="新細明體" w:hAnsi="Times New Roman" w:hint="eastAsia"/>
                </w:rPr>
                <w:t>4</w:t>
              </w:r>
              <w:r w:rsidR="00D40983" w:rsidRPr="00D40983">
                <w:rPr>
                  <w:rStyle w:val="a5"/>
                  <w:rFonts w:ascii="Times New Roman" w:eastAsia="新細明體" w:hAnsi="Times New Roman" w:hint="eastAsia"/>
                </w:rPr>
                <w:t>條</w:t>
              </w:r>
            </w:hyperlink>
            <w:r w:rsidRPr="00A53581">
              <w:rPr>
                <w:rFonts w:ascii="新細明體" w:hAnsi="新細明體" w:hint="eastAsia"/>
              </w:rPr>
              <w:t>第7項、第2條第10項</w:t>
            </w:r>
          </w:p>
        </w:tc>
        <w:tc>
          <w:tcPr>
            <w:tcW w:w="3636" w:type="dxa"/>
            <w:shd w:val="clear" w:color="auto" w:fill="auto"/>
          </w:tcPr>
          <w:p w14:paraId="3F8931AF" w14:textId="77777777" w:rsidR="00203F72" w:rsidRPr="00A53581" w:rsidRDefault="00203F72" w:rsidP="00D87D91">
            <w:r w:rsidRPr="00A53581">
              <w:rPr>
                <w:rFonts w:hint="eastAsia"/>
              </w:rPr>
              <w:t>第七次</w:t>
            </w:r>
            <w:r w:rsidRPr="00A53581">
              <w:rPr>
                <w:rFonts w:hint="eastAsia"/>
              </w:rPr>
              <w:t>(94.06.10)</w:t>
            </w:r>
            <w:r w:rsidRPr="00A53581">
              <w:rPr>
                <w:rFonts w:hint="eastAsia"/>
              </w:rPr>
              <w:t>增憲</w:t>
            </w:r>
            <w:hyperlink r:id="rId2823" w:anchor="b4" w:history="1">
              <w:r w:rsidRPr="00D40983">
                <w:rPr>
                  <w:rStyle w:val="a5"/>
                  <w:rFonts w:ascii="Times New Roman" w:eastAsia="新細明體" w:hAnsi="Times New Roman" w:hint="eastAsia"/>
                </w:rPr>
                <w:t>第</w:t>
              </w:r>
              <w:r w:rsidRPr="00D40983">
                <w:rPr>
                  <w:rStyle w:val="a5"/>
                  <w:rFonts w:ascii="Times New Roman" w:eastAsia="新細明體" w:hAnsi="Times New Roman" w:hint="eastAsia"/>
                </w:rPr>
                <w:t>4</w:t>
              </w:r>
              <w:r w:rsidRPr="00D40983">
                <w:rPr>
                  <w:rStyle w:val="a5"/>
                  <w:rFonts w:ascii="Times New Roman" w:eastAsia="新細明體" w:hAnsi="Times New Roman" w:hint="eastAsia"/>
                </w:rPr>
                <w:t>條</w:t>
              </w:r>
            </w:hyperlink>
            <w:r w:rsidRPr="00A53581">
              <w:rPr>
                <w:rFonts w:hint="eastAsia"/>
              </w:rPr>
              <w:t>第</w:t>
            </w:r>
            <w:r w:rsidRPr="00A53581">
              <w:rPr>
                <w:rFonts w:hint="eastAsia"/>
              </w:rPr>
              <w:t>7</w:t>
            </w:r>
            <w:r w:rsidRPr="00A53581">
              <w:rPr>
                <w:rFonts w:hint="eastAsia"/>
              </w:rPr>
              <w:t>項、</w:t>
            </w:r>
            <w:hyperlink r:id="rId2824" w:anchor="b5" w:history="1">
              <w:r w:rsidRPr="00D40983">
                <w:rPr>
                  <w:rStyle w:val="a5"/>
                  <w:rFonts w:ascii="Times New Roman" w:eastAsia="新細明體" w:hAnsi="Times New Roman" w:hint="eastAsia"/>
                </w:rPr>
                <w:t>第</w:t>
              </w:r>
              <w:r w:rsidRPr="00D40983">
                <w:rPr>
                  <w:rStyle w:val="a5"/>
                  <w:rFonts w:ascii="Times New Roman" w:eastAsia="新細明體" w:hAnsi="Times New Roman" w:hint="eastAsia"/>
                </w:rPr>
                <w:t>5</w:t>
              </w:r>
              <w:r w:rsidRPr="00D40983">
                <w:rPr>
                  <w:rStyle w:val="a5"/>
                  <w:rFonts w:ascii="Times New Roman" w:eastAsia="新細明體" w:hAnsi="Times New Roman" w:hint="eastAsia"/>
                </w:rPr>
                <w:t>條</w:t>
              </w:r>
            </w:hyperlink>
            <w:r w:rsidRPr="00A53581">
              <w:rPr>
                <w:rFonts w:hint="eastAsia"/>
              </w:rPr>
              <w:t>第</w:t>
            </w:r>
            <w:r w:rsidRPr="00A53581">
              <w:rPr>
                <w:rFonts w:hint="eastAsia"/>
              </w:rPr>
              <w:t>4</w:t>
            </w:r>
            <w:r w:rsidRPr="00A53581">
              <w:rPr>
                <w:rFonts w:hint="eastAsia"/>
              </w:rPr>
              <w:t>項</w:t>
            </w:r>
          </w:p>
        </w:tc>
      </w:tr>
      <w:tr w:rsidR="00203F72" w:rsidRPr="00A53581" w14:paraId="0880EF68" w14:textId="77777777" w:rsidTr="00203F72">
        <w:tc>
          <w:tcPr>
            <w:tcW w:w="709" w:type="dxa"/>
            <w:shd w:val="clear" w:color="auto" w:fill="auto"/>
            <w:vAlign w:val="center"/>
          </w:tcPr>
          <w:p w14:paraId="0155650D" w14:textId="77777777" w:rsidR="00203F72" w:rsidRPr="00A53581" w:rsidRDefault="00203F72" w:rsidP="00D87D91">
            <w:r w:rsidRPr="00A53581">
              <w:rPr>
                <w:rFonts w:hint="eastAsia"/>
              </w:rPr>
              <w:t>程序</w:t>
            </w:r>
          </w:p>
        </w:tc>
        <w:tc>
          <w:tcPr>
            <w:tcW w:w="1196" w:type="dxa"/>
            <w:shd w:val="clear" w:color="auto" w:fill="auto"/>
          </w:tcPr>
          <w:p w14:paraId="4412674F" w14:textId="77777777" w:rsidR="00203F72" w:rsidRPr="00A53581" w:rsidRDefault="00203F72" w:rsidP="00D87D91">
            <w:r w:rsidRPr="00A53581">
              <w:rPr>
                <w:rFonts w:hint="eastAsia"/>
              </w:rPr>
              <w:t>監察院提出→國民大會議決</w:t>
            </w:r>
          </w:p>
        </w:tc>
        <w:tc>
          <w:tcPr>
            <w:tcW w:w="2539" w:type="dxa"/>
            <w:shd w:val="clear" w:color="auto" w:fill="auto"/>
          </w:tcPr>
          <w:p w14:paraId="11121566" w14:textId="77777777" w:rsidR="00203F72" w:rsidRPr="00A53581" w:rsidRDefault="00203F72" w:rsidP="00D87D91">
            <w:r w:rsidRPr="00A53581">
              <w:rPr>
                <w:rFonts w:hint="eastAsia"/>
              </w:rPr>
              <w:t>立法院提出→任務型國民大會議決</w:t>
            </w:r>
          </w:p>
        </w:tc>
        <w:tc>
          <w:tcPr>
            <w:tcW w:w="3636" w:type="dxa"/>
            <w:shd w:val="clear" w:color="auto" w:fill="auto"/>
          </w:tcPr>
          <w:p w14:paraId="7DCBA4DF" w14:textId="77777777" w:rsidR="00203F72" w:rsidRPr="00A53581" w:rsidRDefault="00203F72" w:rsidP="00D87D91">
            <w:r w:rsidRPr="00A53581">
              <w:rPr>
                <w:rFonts w:hint="eastAsia"/>
              </w:rPr>
              <w:t>立法院提出→大法官組成憲法法庭審理</w:t>
            </w:r>
          </w:p>
        </w:tc>
      </w:tr>
      <w:tr w:rsidR="00203F72" w:rsidRPr="00A53581" w14:paraId="3A4D79AA" w14:textId="77777777" w:rsidTr="00203F72">
        <w:tc>
          <w:tcPr>
            <w:tcW w:w="709" w:type="dxa"/>
            <w:shd w:val="clear" w:color="auto" w:fill="auto"/>
            <w:vAlign w:val="center"/>
          </w:tcPr>
          <w:p w14:paraId="556D2DF0" w14:textId="77777777" w:rsidR="00203F72" w:rsidRPr="00A53581" w:rsidRDefault="00203F72" w:rsidP="00D87D91">
            <w:r w:rsidRPr="00A53581">
              <w:rPr>
                <w:rFonts w:hint="eastAsia"/>
              </w:rPr>
              <w:t>實體標準與審查</w:t>
            </w:r>
          </w:p>
        </w:tc>
        <w:tc>
          <w:tcPr>
            <w:tcW w:w="1196" w:type="dxa"/>
            <w:shd w:val="clear" w:color="auto" w:fill="auto"/>
          </w:tcPr>
          <w:p w14:paraId="58884320" w14:textId="77777777" w:rsidR="00203F72" w:rsidRPr="00A53581" w:rsidRDefault="00203F72" w:rsidP="00D87D91">
            <w:r w:rsidRPr="00A53581">
              <w:rPr>
                <w:rFonts w:hint="eastAsia"/>
              </w:rPr>
              <w:t>對於提出彈劾案的實體標準，憲法本文並未為特別規定，應解為其與對「中央及地方公務人員」提出彈劾的要件並無二致→「認為有失職或違法情事」。</w:t>
            </w:r>
          </w:p>
        </w:tc>
        <w:tc>
          <w:tcPr>
            <w:tcW w:w="2539" w:type="dxa"/>
            <w:shd w:val="clear" w:color="auto" w:fill="auto"/>
          </w:tcPr>
          <w:p w14:paraId="7E8414E3" w14:textId="77777777" w:rsidR="00203F72" w:rsidRPr="00A53581" w:rsidRDefault="00203F72" w:rsidP="00D87D91">
            <w:r w:rsidRPr="00A53581">
              <w:rPr>
                <w:rFonts w:hint="eastAsia"/>
              </w:rPr>
              <w:t>增修憲法條文未就彈劾的實體要求為規定，應屬疏漏。蓋既修法將對總統、副總統的彈劾提出權限由監察院轉至立法院，則關於憲法本文</w:t>
            </w:r>
            <w:hyperlink r:id="rId2825" w:anchor="a87" w:history="1">
              <w:r w:rsidRPr="00B213D8">
                <w:rPr>
                  <w:rStyle w:val="a5"/>
                  <w:rFonts w:eastAsia="新細明體" w:hint="eastAsia"/>
                </w:rPr>
                <w:t>第</w:t>
              </w:r>
              <w:r w:rsidR="005532CF" w:rsidRPr="00B213D8">
                <w:rPr>
                  <w:rStyle w:val="a5"/>
                  <w:rFonts w:eastAsia="新細明體" w:hint="eastAsia"/>
                </w:rPr>
                <w:t>87</w:t>
              </w:r>
              <w:r w:rsidRPr="00B213D8">
                <w:rPr>
                  <w:rStyle w:val="a5"/>
                  <w:rFonts w:eastAsia="新細明體" w:hint="eastAsia"/>
                </w:rPr>
                <w:t>條</w:t>
              </w:r>
            </w:hyperlink>
            <w:r w:rsidRPr="00A53581">
              <w:rPr>
                <w:rFonts w:hint="eastAsia"/>
              </w:rPr>
              <w:t>第</w:t>
            </w:r>
            <w:r w:rsidR="007D50BB">
              <w:rPr>
                <w:rFonts w:hint="eastAsia"/>
              </w:rPr>
              <w:t>2</w:t>
            </w:r>
            <w:r w:rsidRPr="00A53581">
              <w:rPr>
                <w:rFonts w:hint="eastAsia"/>
              </w:rPr>
              <w:t>項的彈核實體規定，立法院及無援引之可能（因該條係屬監察院的職權規定）。</w:t>
            </w:r>
          </w:p>
        </w:tc>
        <w:tc>
          <w:tcPr>
            <w:tcW w:w="3636" w:type="dxa"/>
            <w:shd w:val="clear" w:color="auto" w:fill="auto"/>
          </w:tcPr>
          <w:p w14:paraId="2C2248BE" w14:textId="77777777" w:rsidR="00203F72" w:rsidRPr="00A53581" w:rsidRDefault="00203F72" w:rsidP="00D87D91">
            <w:r w:rsidRPr="00A53581">
              <w:rPr>
                <w:rFonts w:hint="eastAsia"/>
              </w:rPr>
              <w:t>第七次修憲仍未就彈劾實體標準缺漏的疏失為填補，且疑義將更為嚴重。該將彈劾的審理權限轉設計由大法官（司法權）為之，而在權力分立制度的思考下，司法權之監督功能的特質在於：其並非居於政治性權力機關的角色；其所行使的，毋寧是一種必須根據一定的程序來進行之法院監督。如是，在憲法並未提供相關實體依據之情況之下，不知未來司法院大法官將何以審理彈劾是否成立？這對司法權而言，將是一大挑戰。（相較於此，第六次修憲後，對於彈劾實體標準雖亦未提供，但畢竟最後議決的機關為政治性權力的「國民大會」，故在權力分立的思考下，相較於司法權而言，疑慮較小）</w:t>
            </w:r>
          </w:p>
        </w:tc>
      </w:tr>
    </w:tbl>
    <w:p w14:paraId="49414407" w14:textId="77777777" w:rsidR="00203F72" w:rsidRPr="00A53581" w:rsidRDefault="002107CE" w:rsidP="00D87D91">
      <w:r>
        <w:rPr>
          <w:rFonts w:hint="eastAsia"/>
        </w:rPr>
        <w:t>【本表格資料來源</w:t>
      </w:r>
      <w:r w:rsidR="005E23E3">
        <w:rPr>
          <w:rFonts w:hint="eastAsia"/>
        </w:rPr>
        <w:t>】</w:t>
      </w:r>
      <w:r w:rsidR="00203F72" w:rsidRPr="00A53581">
        <w:rPr>
          <w:rFonts w:hint="eastAsia"/>
        </w:rPr>
        <w:t>陳愛娥</w:t>
      </w:r>
      <w:r w:rsidR="00203F72" w:rsidRPr="00A53581">
        <w:rPr>
          <w:rFonts w:hint="eastAsia"/>
        </w:rPr>
        <w:t>(2004)</w:t>
      </w:r>
      <w:r w:rsidR="00203F72" w:rsidRPr="00A53581">
        <w:rPr>
          <w:rFonts w:hint="eastAsia"/>
        </w:rPr>
        <w:t>，〈除了立法委員席次減半</w:t>
      </w:r>
      <w:r w:rsidR="00D92F56">
        <w:rPr>
          <w:rFonts w:hint="eastAsia"/>
        </w:rPr>
        <w:t>〜</w:t>
      </w:r>
      <w:r w:rsidR="00203F72" w:rsidRPr="00A53581">
        <w:rPr>
          <w:rFonts w:hint="eastAsia"/>
        </w:rPr>
        <w:t>短評二</w:t>
      </w:r>
      <w:r w:rsidR="00203F72" w:rsidRPr="00A53581">
        <w:rPr>
          <w:rFonts w:hint="eastAsia"/>
        </w:rPr>
        <w:t>OO</w:t>
      </w:r>
      <w:r w:rsidR="00203F72" w:rsidRPr="00A53581">
        <w:rPr>
          <w:rFonts w:hint="eastAsia"/>
        </w:rPr>
        <w:t>四年八月二十三日立法院通過的修憲條文〉，《台灣本土法學》第</w:t>
      </w:r>
      <w:r w:rsidR="00203F72" w:rsidRPr="00A53581">
        <w:rPr>
          <w:rFonts w:hint="eastAsia"/>
        </w:rPr>
        <w:t>63</w:t>
      </w:r>
      <w:r w:rsidR="00203F72" w:rsidRPr="00A53581">
        <w:rPr>
          <w:rFonts w:hint="eastAsia"/>
        </w:rPr>
        <w:t>期，第</w:t>
      </w:r>
      <w:r w:rsidR="00203F72" w:rsidRPr="00A53581">
        <w:rPr>
          <w:rFonts w:hint="eastAsia"/>
        </w:rPr>
        <w:t>1~2</w:t>
      </w:r>
      <w:r w:rsidR="00203F72" w:rsidRPr="00A53581">
        <w:rPr>
          <w:rFonts w:hint="eastAsia"/>
        </w:rPr>
        <w:t>頁。</w:t>
      </w:r>
    </w:p>
    <w:p w14:paraId="67DB8F24" w14:textId="77777777" w:rsidR="00953151" w:rsidRDefault="005E23E3" w:rsidP="00D87D91">
      <w:r>
        <w:rPr>
          <w:rFonts w:hint="eastAsia"/>
        </w:rPr>
        <w:t xml:space="preserve">　　</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6-121</w:t>
      </w:r>
      <w:r w:rsidR="00203F72" w:rsidRPr="00A53581">
        <w:rPr>
          <w:rFonts w:hint="eastAsia"/>
        </w:rPr>
        <w:t>頁。</w:t>
      </w:r>
    </w:p>
    <w:p w14:paraId="6D0F46AB"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7E171237" w14:textId="77777777" w:rsidR="00145751" w:rsidRDefault="00145751" w:rsidP="00D87D91"/>
    <w:p w14:paraId="5622D12C" w14:textId="77777777" w:rsidR="00953151" w:rsidRDefault="00203F72" w:rsidP="00767F37">
      <w:pPr>
        <w:pStyle w:val="2"/>
      </w:pPr>
      <w:bookmarkStart w:id="158" w:name="_參拾伍、大法官、考試委員及監察委員之人選，避免由總統提名"/>
      <w:bookmarkEnd w:id="158"/>
      <w:r w:rsidRPr="00A53581">
        <w:t>參拾伍、大法官、考試委員及監察委員之人選，避免由總統提名</w:t>
      </w:r>
    </w:p>
    <w:p w14:paraId="10BF754E" w14:textId="77777777" w:rsidR="00953151" w:rsidRPr="00D40983" w:rsidRDefault="005E23E3" w:rsidP="00D87D91">
      <w:r>
        <w:t xml:space="preserve">　　</w:t>
      </w:r>
      <w:r w:rsidR="00203F72" w:rsidRPr="00A53581">
        <w:t>有關於大法官、考試委員及監察委員之人選，在提名方式方面，宜設計更加制度化、</w:t>
      </w:r>
      <w:r w:rsidR="00203F72" w:rsidRPr="00D40983">
        <w:t>透明化、公平化及公正化之方式，且避免由總統提名；目前，中研院院士之提名方式，頗為公開，較為台灣各界所接受，可供參考之；另外，就大法官之提名方式，宜比照德國基本法第</w:t>
      </w:r>
      <w:r w:rsidR="00203F72" w:rsidRPr="00D40983">
        <w:t>94</w:t>
      </w:r>
      <w:r w:rsidR="00203F72" w:rsidRPr="00D40983">
        <w:t>條第</w:t>
      </w:r>
      <w:r w:rsidR="00203F72" w:rsidRPr="00D40983">
        <w:t>1</w:t>
      </w:r>
      <w:r w:rsidR="00203F72" w:rsidRPr="00D40983">
        <w:t>項之立法例</w:t>
      </w:r>
      <w:r w:rsidR="00203F72" w:rsidRPr="00D40983">
        <w:footnoteReference w:id="1129"/>
      </w:r>
      <w:r w:rsidR="00203F72" w:rsidRPr="00D40983">
        <w:t>，由國會選舉產生為佳，以避免總統專權、濫權與集權。</w:t>
      </w:r>
    </w:p>
    <w:p w14:paraId="1C03EF87" w14:textId="77777777" w:rsidR="00D40983" w:rsidRDefault="00D40983" w:rsidP="00D87D91">
      <w:pPr>
        <w:pStyle w:val="aff4"/>
      </w:pPr>
    </w:p>
    <w:p w14:paraId="5E08DEBD" w14:textId="1CB2A189"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128</w:t>
      </w:r>
      <w:r w:rsidR="00076467">
        <w:rPr>
          <w:noProof/>
        </w:rPr>
        <w:fldChar w:fldCharType="end"/>
      </w:r>
      <w:r w:rsidR="00203F72" w:rsidRPr="00A53581">
        <w:t>總統之人事提名權與任命權一覽表</w:t>
      </w:r>
    </w:p>
    <w:tbl>
      <w:tblPr>
        <w:tblW w:w="4589"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5"/>
        <w:gridCol w:w="3942"/>
      </w:tblGrid>
      <w:tr w:rsidR="00203F72" w:rsidRPr="00A53581" w14:paraId="466A1A47" w14:textId="77777777" w:rsidTr="00203F72">
        <w:trPr>
          <w:tblHeader/>
        </w:trPr>
        <w:tc>
          <w:tcPr>
            <w:tcW w:w="2472" w:type="pct"/>
            <w:shd w:val="clear" w:color="auto" w:fill="auto"/>
          </w:tcPr>
          <w:p w14:paraId="1555EA8E" w14:textId="77777777" w:rsidR="00203F72" w:rsidRPr="00A53581" w:rsidRDefault="00203F72" w:rsidP="00D87D91">
            <w:r w:rsidRPr="00A53581">
              <w:t>總統之人事權</w:t>
            </w:r>
          </w:p>
        </w:tc>
        <w:tc>
          <w:tcPr>
            <w:tcW w:w="2528" w:type="pct"/>
            <w:shd w:val="clear" w:color="auto" w:fill="auto"/>
          </w:tcPr>
          <w:p w14:paraId="1C1400A9" w14:textId="77777777" w:rsidR="00203F72" w:rsidRPr="00A53581" w:rsidRDefault="00203F72" w:rsidP="00D87D91">
            <w:r w:rsidRPr="00A53581">
              <w:t>提名任命程序</w:t>
            </w:r>
          </w:p>
        </w:tc>
      </w:tr>
      <w:tr w:rsidR="00203F72" w:rsidRPr="00A53581" w14:paraId="7F9FBA78" w14:textId="77777777" w:rsidTr="00203F72">
        <w:tc>
          <w:tcPr>
            <w:tcW w:w="2472" w:type="pct"/>
            <w:shd w:val="clear" w:color="auto" w:fill="auto"/>
          </w:tcPr>
          <w:p w14:paraId="6F7EE930" w14:textId="77777777" w:rsidR="00203F72" w:rsidRPr="00A53581" w:rsidRDefault="00203F72" w:rsidP="00D87D91">
            <w:r w:rsidRPr="00A53581">
              <w:t>行政院院長</w:t>
            </w:r>
          </w:p>
        </w:tc>
        <w:tc>
          <w:tcPr>
            <w:tcW w:w="2528" w:type="pct"/>
            <w:shd w:val="clear" w:color="auto" w:fill="auto"/>
          </w:tcPr>
          <w:p w14:paraId="72C4B6A5" w14:textId="77777777" w:rsidR="00203F72" w:rsidRPr="00A53581" w:rsidRDefault="00203F72" w:rsidP="00D87D91">
            <w:r w:rsidRPr="00A53581">
              <w:t>總統直接任命</w:t>
            </w:r>
          </w:p>
        </w:tc>
      </w:tr>
      <w:tr w:rsidR="00203F72" w:rsidRPr="00A53581" w14:paraId="6BE595C9" w14:textId="77777777" w:rsidTr="00203F72">
        <w:tc>
          <w:tcPr>
            <w:tcW w:w="2472" w:type="pct"/>
            <w:shd w:val="clear" w:color="auto" w:fill="auto"/>
          </w:tcPr>
          <w:p w14:paraId="2DC18867" w14:textId="77777777" w:rsidR="00203F72" w:rsidRPr="00A53581" w:rsidRDefault="00203F72" w:rsidP="00D87D91">
            <w:r w:rsidRPr="00A53581">
              <w:t>大法官、司法院長、副院長</w:t>
            </w:r>
          </w:p>
        </w:tc>
        <w:tc>
          <w:tcPr>
            <w:tcW w:w="2528" w:type="pct"/>
            <w:shd w:val="clear" w:color="auto" w:fill="auto"/>
          </w:tcPr>
          <w:p w14:paraId="749AA62A" w14:textId="77777777" w:rsidR="00203F72" w:rsidRPr="00A53581" w:rsidRDefault="00203F72" w:rsidP="00D87D91">
            <w:r w:rsidRPr="00A53581">
              <w:t>總統提名，經立法院同意</w:t>
            </w:r>
          </w:p>
        </w:tc>
      </w:tr>
      <w:tr w:rsidR="00203F72" w:rsidRPr="00A53581" w14:paraId="10C3C4A0" w14:textId="77777777" w:rsidTr="00203F72">
        <w:tc>
          <w:tcPr>
            <w:tcW w:w="2472" w:type="pct"/>
            <w:shd w:val="clear" w:color="auto" w:fill="auto"/>
          </w:tcPr>
          <w:p w14:paraId="61B03C06" w14:textId="77777777" w:rsidR="00203F72" w:rsidRPr="00A53581" w:rsidRDefault="00203F72" w:rsidP="00D87D91">
            <w:r w:rsidRPr="00A53581">
              <w:t>考試委員、考試院長、副院長</w:t>
            </w:r>
          </w:p>
        </w:tc>
        <w:tc>
          <w:tcPr>
            <w:tcW w:w="2528" w:type="pct"/>
            <w:shd w:val="clear" w:color="auto" w:fill="auto"/>
          </w:tcPr>
          <w:p w14:paraId="40FBA3B2" w14:textId="77777777" w:rsidR="00203F72" w:rsidRPr="00A53581" w:rsidRDefault="00203F72" w:rsidP="00D87D91">
            <w:r w:rsidRPr="00A53581">
              <w:t>總統提名，經立法院同意</w:t>
            </w:r>
          </w:p>
        </w:tc>
      </w:tr>
      <w:tr w:rsidR="00203F72" w:rsidRPr="00A53581" w14:paraId="0CB17A63" w14:textId="77777777" w:rsidTr="00203F72">
        <w:tc>
          <w:tcPr>
            <w:tcW w:w="2472" w:type="pct"/>
            <w:shd w:val="clear" w:color="auto" w:fill="auto"/>
          </w:tcPr>
          <w:p w14:paraId="415AE340" w14:textId="77777777" w:rsidR="00203F72" w:rsidRPr="00A53581" w:rsidRDefault="00203F72" w:rsidP="00D87D91">
            <w:r w:rsidRPr="00A53581">
              <w:t>監察委員、監察院院長、副院長、審計長</w:t>
            </w:r>
          </w:p>
        </w:tc>
        <w:tc>
          <w:tcPr>
            <w:tcW w:w="2528" w:type="pct"/>
            <w:shd w:val="clear" w:color="auto" w:fill="auto"/>
          </w:tcPr>
          <w:p w14:paraId="56CCDFC5" w14:textId="77777777" w:rsidR="00203F72" w:rsidRPr="00A53581" w:rsidRDefault="00203F72" w:rsidP="00D87D91">
            <w:r w:rsidRPr="00A53581">
              <w:t>總統提名，經立法院同意</w:t>
            </w:r>
          </w:p>
        </w:tc>
      </w:tr>
    </w:tbl>
    <w:p w14:paraId="0FB0D812" w14:textId="77777777" w:rsidR="00953151" w:rsidRDefault="002107CE" w:rsidP="00D87D91">
      <w:r>
        <w:t>【本表格資料來源】</w:t>
      </w:r>
      <w:r w:rsidR="00203F72" w:rsidRPr="00A53581">
        <w:t>楊智傑</w:t>
      </w:r>
      <w:r w:rsidR="00203F72" w:rsidRPr="00A53581">
        <w:t>(2010)</w:t>
      </w:r>
      <w:r w:rsidR="00203F72" w:rsidRPr="00A53581">
        <w:t>，圖解憲法，二版</w:t>
      </w:r>
      <w:r w:rsidR="00203F72" w:rsidRPr="00A53581">
        <w:t>1</w:t>
      </w:r>
      <w:r w:rsidR="00203F72" w:rsidRPr="00A53581">
        <w:t>刷，台北市：書泉出版社，第</w:t>
      </w:r>
      <w:r w:rsidR="00203F72" w:rsidRPr="00A53581">
        <w:t>73</w:t>
      </w:r>
      <w:r w:rsidR="00203F72" w:rsidRPr="00A53581">
        <w:t>頁。</w:t>
      </w:r>
    </w:p>
    <w:p w14:paraId="0E5DF58C" w14:textId="77777777" w:rsidR="00953151" w:rsidRPr="00D40983" w:rsidRDefault="005E23E3" w:rsidP="00D40983">
      <w:r w:rsidRPr="00D40983">
        <w:t xml:space="preserve">　　</w:t>
      </w:r>
      <w:r w:rsidR="00203F72" w:rsidRPr="00D40983">
        <w:t>另外，有學者主張，我國由總統主導大法官之提名作業，在專業性方面，恐有疑慮</w:t>
      </w:r>
      <w:r w:rsidR="00203F72" w:rsidRPr="00D40983">
        <w:footnoteReference w:id="1130"/>
      </w:r>
      <w:r w:rsidR="00203F72" w:rsidRPr="00D40983">
        <w:t>。常有學者、專家</w:t>
      </w:r>
      <w:r w:rsidR="00203F72" w:rsidRPr="00D40983">
        <w:rPr>
          <w:rFonts w:hint="eastAsia"/>
        </w:rPr>
        <w:t>與新聞媒體</w:t>
      </w:r>
      <w:r w:rsidR="00203F72" w:rsidRPr="00D40983">
        <w:t>，大力批評被總統提名之大法官，係為酬庸大法官</w:t>
      </w:r>
      <w:r w:rsidR="00203F72" w:rsidRPr="00D40983">
        <w:footnoteReference w:id="1131"/>
      </w:r>
      <w:r w:rsidR="00203F72" w:rsidRPr="00D40983">
        <w:t>。就被總統提名之大法官本人而論，此種之批判，相當嚴厲。不過，亦可看出，我國由總統主導大法官之提名作業機制，顯有非常大之討論空間。</w:t>
      </w:r>
    </w:p>
    <w:p w14:paraId="45A1A884" w14:textId="77777777" w:rsidR="00953151" w:rsidRPr="00D40983" w:rsidRDefault="005E23E3" w:rsidP="00D40983">
      <w:r w:rsidRPr="00D40983">
        <w:t xml:space="preserve">　　</w:t>
      </w:r>
      <w:r w:rsidR="00203F72" w:rsidRPr="00D40983">
        <w:t>德國聯邦憲法法院於各國司法界之中，享有非常高的聲譽。為何會如此？根據德國基本法第</w:t>
      </w:r>
      <w:r w:rsidR="00203F72" w:rsidRPr="00D40983">
        <w:t>94</w:t>
      </w:r>
      <w:r w:rsidR="00203F72" w:rsidRPr="00D40983">
        <w:t>條第</w:t>
      </w:r>
      <w:r w:rsidR="00203F72" w:rsidRPr="00D40983">
        <w:t>1</w:t>
      </w:r>
      <w:r w:rsidR="00203F72" w:rsidRPr="00D40983">
        <w:t>項之要求，在德國聯邦憲法法院</w:t>
      </w:r>
      <w:r w:rsidR="00203F72" w:rsidRPr="00D40983">
        <w:t>(The Federal Constitutional Court)16</w:t>
      </w:r>
      <w:r w:rsidR="00203F72" w:rsidRPr="00D40983">
        <w:t>位大法官之名額中，其中之半數</w:t>
      </w:r>
      <w:r w:rsidR="00203F72" w:rsidRPr="00D40983">
        <w:t>(Half the members of the Federal Constitutional Court)</w:t>
      </w:r>
      <w:r w:rsidR="00203F72" w:rsidRPr="00D40983">
        <w:t>，係經由聯邦眾議院，以「選舉」方式產生</w:t>
      </w:r>
      <w:r w:rsidR="00203F72" w:rsidRPr="00D40983">
        <w:t>(shall be elected by the Bundestag)</w:t>
      </w:r>
      <w:r w:rsidR="00203F72" w:rsidRPr="00D40983">
        <w:t>；另外之並數，則由聯邦參議院「選舉」產生</w:t>
      </w:r>
      <w:r w:rsidR="00203F72" w:rsidRPr="00D40983">
        <w:t>(half by the Bundesrat)</w:t>
      </w:r>
      <w:r w:rsidR="00203F72" w:rsidRPr="00D40983">
        <w:t>；聯邦憲法法院大法官之來源，不得來自於聯邦眾議院之議員</w:t>
      </w:r>
      <w:r w:rsidR="00203F72" w:rsidRPr="00D40983">
        <w:t>(They may not be members of the Bundestag)</w:t>
      </w:r>
      <w:r w:rsidR="00203F72" w:rsidRPr="00D40983">
        <w:t>、聯邦參議院議員</w:t>
      </w:r>
      <w:r w:rsidR="00203F72" w:rsidRPr="00D40983">
        <w:t>(of the Bundesrat)</w:t>
      </w:r>
      <w:r w:rsidR="00203F72" w:rsidRPr="00D40983">
        <w:t>、聯邦政府</w:t>
      </w:r>
      <w:r w:rsidR="00203F72" w:rsidRPr="00D40983">
        <w:t>(of the Federal Government)</w:t>
      </w:r>
      <w:r w:rsidR="00203F72" w:rsidRPr="00D40983">
        <w:t>，或是各邦相類似之機關所屬之人員</w:t>
      </w:r>
      <w:r w:rsidR="00203F72" w:rsidRPr="00D40983">
        <w:t>(or of any of the corresponding bodies of a Land)</w:t>
      </w:r>
      <w:r w:rsidR="00203F72" w:rsidRPr="00D40983">
        <w:t>。在德國基本法第</w:t>
      </w:r>
      <w:r w:rsidR="00203F72" w:rsidRPr="00D40983">
        <w:t>94</w:t>
      </w:r>
      <w:r w:rsidR="00203F72" w:rsidRPr="00D40983">
        <w:t>條或相關條文之中，並無聯邦憲法法院</w:t>
      </w:r>
      <w:r w:rsidR="00203F72" w:rsidRPr="00D40983">
        <w:t>16</w:t>
      </w:r>
      <w:r w:rsidR="00203F72" w:rsidRPr="00D40983">
        <w:t>位大法官之人選名單，係由總統提名之規定。亦即，德國總統未主導聯邦憲法法院大法官之提名作業。</w:t>
      </w:r>
    </w:p>
    <w:p w14:paraId="65CAB3AE" w14:textId="77777777" w:rsidR="00953151" w:rsidRPr="00D40983" w:rsidRDefault="005E23E3" w:rsidP="00D40983">
      <w:r w:rsidRPr="00D40983">
        <w:rPr>
          <w:rFonts w:hint="eastAsia"/>
        </w:rPr>
        <w:t xml:space="preserve">　　</w:t>
      </w:r>
      <w:r w:rsidR="00203F72" w:rsidRPr="00D40983">
        <w:rPr>
          <w:rFonts w:hint="eastAsia"/>
        </w:rPr>
        <w:t>此外，依據德國聯邦憲法法院法之相關規定，德國聯邦憲法法院由兩庭共同組成。每庭各選任八名大法官，合計</w:t>
      </w:r>
      <w:r w:rsidR="00203F72" w:rsidRPr="00D40983">
        <w:rPr>
          <w:rFonts w:hint="eastAsia"/>
        </w:rPr>
        <w:t>16</w:t>
      </w:r>
      <w:r w:rsidR="00203F72" w:rsidRPr="00D40983">
        <w:rPr>
          <w:rFonts w:hint="eastAsia"/>
        </w:rPr>
        <w:t>名大法官</w:t>
      </w:r>
      <w:r w:rsidR="00203F72" w:rsidRPr="00D40983">
        <w:footnoteReference w:id="1132"/>
      </w:r>
      <w:r w:rsidR="00203F72" w:rsidRPr="00D40983">
        <w:rPr>
          <w:rFonts w:hint="eastAsia"/>
        </w:rPr>
        <w:t>。其大法官人選之選任機關，係由國會行之，依據德國聯邦憲法法院法第五條（選任機關）</w:t>
      </w:r>
      <w:r w:rsidR="00203F72" w:rsidRPr="00D40983">
        <w:footnoteReference w:id="1133"/>
      </w:r>
      <w:r w:rsidR="00203F72" w:rsidRPr="00D40983">
        <w:rPr>
          <w:rFonts w:hint="eastAsia"/>
        </w:rPr>
        <w:t>第</w:t>
      </w:r>
      <w:r w:rsidR="00203F72" w:rsidRPr="00D40983">
        <w:rPr>
          <w:rFonts w:hint="eastAsia"/>
        </w:rPr>
        <w:t>1</w:t>
      </w:r>
      <w:r w:rsidR="00203F72" w:rsidRPr="00D40983">
        <w:rPr>
          <w:rFonts w:hint="eastAsia"/>
        </w:rPr>
        <w:t>項之規定，「各庭法官由聯邦眾議院及聯邦參議院各選出半數。各庭中應由聯邦最高等級法院之職業法官中選任者，由聯邦眾議院選出一名，由聯邦參議院選出兩名，其餘法官由聯邦眾議院選任三名，由聯邦參議院選任二名。</w:t>
      </w:r>
      <w:r w:rsidR="00203F72" w:rsidRPr="00D40983">
        <w:footnoteReference w:id="1134"/>
      </w:r>
      <w:r w:rsidR="00203F72" w:rsidRPr="00D40983">
        <w:rPr>
          <w:rFonts w:hint="eastAsia"/>
        </w:rPr>
        <w:t>」</w:t>
      </w:r>
    </w:p>
    <w:p w14:paraId="2C5C1159" w14:textId="77777777" w:rsidR="00953151" w:rsidRPr="00D40983" w:rsidRDefault="005E23E3" w:rsidP="00D40983">
      <w:r w:rsidRPr="00D40983">
        <w:rPr>
          <w:rFonts w:hint="eastAsia"/>
        </w:rPr>
        <w:t xml:space="preserve">　　</w:t>
      </w:r>
      <w:r w:rsidR="00203F72" w:rsidRPr="00D40983">
        <w:rPr>
          <w:rFonts w:hint="eastAsia"/>
        </w:rPr>
        <w:t>根據上述德國聯邦憲法法院法第五條（選任機關）第</w:t>
      </w:r>
      <w:r w:rsidR="00203F72" w:rsidRPr="00D40983">
        <w:rPr>
          <w:rFonts w:hint="eastAsia"/>
        </w:rPr>
        <w:t>1</w:t>
      </w:r>
      <w:r w:rsidR="00203F72" w:rsidRPr="00D40983">
        <w:rPr>
          <w:rFonts w:hint="eastAsia"/>
        </w:rPr>
        <w:t>項之規定內容，可得知德國聯邦憲法法院大法官之人選，係由聯邦眾議院及聯邦參議院各選出半數，而非由總統提名。</w:t>
      </w:r>
    </w:p>
    <w:p w14:paraId="631255D4" w14:textId="77777777" w:rsidR="00953151" w:rsidRPr="00D40983" w:rsidRDefault="00D40983" w:rsidP="00D40983">
      <w:r w:rsidRPr="00D40983">
        <w:rPr>
          <w:rFonts w:hint="eastAsia"/>
        </w:rPr>
        <w:t xml:space="preserve">　　</w:t>
      </w:r>
      <w:r w:rsidR="00203F72" w:rsidRPr="00D40983">
        <w:rPr>
          <w:rFonts w:hint="eastAsia"/>
        </w:rPr>
        <w:t>德國聯邦眾議院在選任德國聯邦憲法法院大法官之人選之機制方面，係依比例選舉的規則，選出十二名眾議院議員，共同組成聯邦憲法法院大法官選任委員會，當選聯邦憲法法院大法官至少應獲得八張選舉人票。</w:t>
      </w:r>
      <w:r w:rsidR="00203F72" w:rsidRPr="00D40983">
        <w:footnoteReference w:id="1135"/>
      </w:r>
      <w:r w:rsidR="00203F72" w:rsidRPr="00D40983">
        <w:rPr>
          <w:rFonts w:hint="eastAsia"/>
        </w:rPr>
        <w:t>。另外，在德國聯邦參議院在選任德國聯邦憲法法院大法官之人選之機制方面，其規定由聯邦參議院選任之大法官，應獲得聯邦參議院三分之二之票數，始為當選</w:t>
      </w:r>
      <w:r w:rsidR="00203F72" w:rsidRPr="00D40983">
        <w:footnoteReference w:id="1136"/>
      </w:r>
      <w:r w:rsidR="00203F72" w:rsidRPr="00D40983">
        <w:rPr>
          <w:rFonts w:hint="eastAsia"/>
        </w:rPr>
        <w:t>。</w:t>
      </w:r>
    </w:p>
    <w:p w14:paraId="51737F54" w14:textId="77777777" w:rsidR="00953151" w:rsidRPr="00D40983" w:rsidRDefault="005E23E3" w:rsidP="00D40983">
      <w:r w:rsidRPr="00D40983">
        <w:rPr>
          <w:rFonts w:hint="eastAsia"/>
        </w:rPr>
        <w:t xml:space="preserve">　　</w:t>
      </w:r>
      <w:r w:rsidR="00203F72" w:rsidRPr="00D40983">
        <w:rPr>
          <w:rFonts w:hint="eastAsia"/>
        </w:rPr>
        <w:t>據上，本書認為，我國大法官之選任，宜比照德國模式，由國會選任之為妥適，以顯符合公平與程序正義之法理，且有廣大之民意基礎。再者，考試委員及監察委員之選任，亦宜比照此種之模式，宜由國會組成考試委員選任委員會，與監察委員選任委員會，由國會選任之，而非由總統提名，避免總統集權化、濫權化與帝制化。假若</w:t>
      </w:r>
      <w:r w:rsidR="00203F72" w:rsidRPr="00D40983">
        <w:t>大法官、考試委員及監察委員之人選，係由總統提名，則大法官、考試委員及監察委員，相當容易淪為總統之分身</w:t>
      </w:r>
      <w:r w:rsidR="00203F72" w:rsidRPr="00D40983">
        <w:rPr>
          <w:rFonts w:hint="eastAsia"/>
        </w:rPr>
        <w:t>與左右手，或是酬庸，唯總統之命是從。</w:t>
      </w:r>
    </w:p>
    <w:p w14:paraId="56E8A722"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3660B997" w14:textId="77777777" w:rsidR="00145751" w:rsidRDefault="00145751" w:rsidP="00D87D91"/>
    <w:p w14:paraId="37BCA175" w14:textId="77777777" w:rsidR="00953151" w:rsidRDefault="00203F72" w:rsidP="00767F37">
      <w:pPr>
        <w:pStyle w:val="2"/>
      </w:pPr>
      <w:bookmarkStart w:id="159" w:name="_參拾陸、我國憲政體制仍宜保留五院制為佳(維續考試院及監察院)"/>
      <w:bookmarkEnd w:id="159"/>
      <w:r w:rsidRPr="00A53581">
        <w:t>參拾陸、我國憲政體制仍宜保留五院制為佳</w:t>
      </w:r>
      <w:r w:rsidRPr="00A53581">
        <w:t>(</w:t>
      </w:r>
      <w:r w:rsidRPr="00A53581">
        <w:t>維續考試院及監察院</w:t>
      </w:r>
      <w:r w:rsidRPr="00A53581">
        <w:t xml:space="preserve">) </w:t>
      </w:r>
    </w:p>
    <w:p w14:paraId="5A8AE9E8" w14:textId="77777777" w:rsidR="00953151" w:rsidRDefault="005E23E3" w:rsidP="00D87D91">
      <w:pPr>
        <w:rPr>
          <w:color w:val="000000"/>
        </w:rPr>
      </w:pPr>
      <w:r>
        <w:t xml:space="preserve">　　</w:t>
      </w:r>
      <w:r w:rsidR="00203F72" w:rsidRPr="00A53581">
        <w:t>我國之憲政體制，是否仍宜保留五院制為佳？是否維續考試院及監察院之存在？存有正反兩面不同立場與論點，首先，就反對論者之立場而言，不宜保留五院制為佳，亦即，無須維續考試院及監察院之存在。此派之見解，諸如章光明教授即持此種之觀點，考試院及監察院不宜單獨存在。章光明教授於本書之推薦序文之中，其指出：「、、、</w:t>
      </w:r>
      <w:r w:rsidR="00203F72" w:rsidRPr="00A53581">
        <w:rPr>
          <w:rFonts w:hint="eastAsia"/>
          <w:color w:val="000000"/>
        </w:rPr>
        <w:t>民主之外，效率，是憲法隱含的價值，世界各國憲法之所以採三權，是因為三權之間的制衡，既能確保民主，防止恣意，卻也能使行政部門有一定程度的彈性，以追求效率。從三權到五權，制衡防弊機制等比增加，將五個部門緊緊纏住，綑綁的結果，失去了彈性，失去了行政效率，也失去了國家的發展力。解嚴後的臺灣，正是寫照。」上述之見解，係單</w:t>
      </w:r>
      <w:r w:rsidR="00203F72" w:rsidRPr="00A53581">
        <w:t>就反對論者之立場而言，渠等認為不宜保留五院制為佳，亦即，無須維續考試院及監察院之存在。</w:t>
      </w:r>
    </w:p>
    <w:p w14:paraId="1E3C5268" w14:textId="77777777" w:rsidR="00953151" w:rsidRPr="00D40983" w:rsidRDefault="005E23E3" w:rsidP="00D40983">
      <w:r>
        <w:rPr>
          <w:rFonts w:hint="eastAsia"/>
        </w:rPr>
        <w:t xml:space="preserve">　　</w:t>
      </w:r>
      <w:r w:rsidR="00203F72" w:rsidRPr="00A53581">
        <w:rPr>
          <w:rFonts w:hint="eastAsia"/>
        </w:rPr>
        <w:t>不過，本書認為，我國</w:t>
      </w:r>
      <w:r w:rsidR="00203F72" w:rsidRPr="00A53581">
        <w:t>五院之憲政體制，是一個相當有價值與創新之設計，五院之間，既可相互合作與協力，同時，亦可相互監控、對抗、監督、平衡與拉鋸，它是一種合作、分工、相互監控及對抗之憲政體制之綜合體。就考試院而言，維持考試院之憲政體制運作，可保持以下之優勢：</w:t>
      </w:r>
      <w:r w:rsidR="00203F72" w:rsidRPr="00A53581">
        <w:t>1</w:t>
      </w:r>
      <w:r w:rsidR="00203F72" w:rsidRPr="00A53581">
        <w:t>、令考試、公務人員之銓敘、保障、撫卹、退休、公務人員任免、考績、級俸、陞遷、褒獎之法制事項，有專門之院加以處理，保留其專業性；</w:t>
      </w:r>
      <w:r w:rsidR="00203F72" w:rsidRPr="00A53581">
        <w:t>2</w:t>
      </w:r>
      <w:r w:rsidR="00203F72" w:rsidRPr="00A53581">
        <w:t>、就考試行政權力而言，可維持相當高度之專門性、自主性、獨立性、公平性；</w:t>
      </w:r>
      <w:r w:rsidR="00203F72" w:rsidRPr="00A53581">
        <w:t>3</w:t>
      </w:r>
      <w:r w:rsidR="00203F72" w:rsidRPr="00A53581">
        <w:t>、根據五院之間，相互監控、對抗與拉鋸之憲政法理，可避免行政院、立法院、司法院干預國家考試；</w:t>
      </w:r>
      <w:r w:rsidR="00203F72" w:rsidRPr="00A53581">
        <w:t>4</w:t>
      </w:r>
      <w:r w:rsidR="00203F72" w:rsidRPr="00A53581">
        <w:t>、可令國家考試機制不受到任何政治與行政力量之支配；</w:t>
      </w:r>
      <w:r w:rsidR="00203F72" w:rsidRPr="00A53581">
        <w:t>5</w:t>
      </w:r>
      <w:r w:rsidR="00203F72" w:rsidRPr="00A53581">
        <w:t>、維持考試院之憲政體制運作，可透由考試院，牽制與控制行政院及司法院，避免行政權及司法權之</w:t>
      </w:r>
      <w:r w:rsidR="00203F72" w:rsidRPr="00D40983">
        <w:t>無限上揚。</w:t>
      </w:r>
    </w:p>
    <w:p w14:paraId="0B32338E" w14:textId="77777777" w:rsidR="00203F72" w:rsidRPr="00A53581" w:rsidRDefault="005E23E3" w:rsidP="00D40983">
      <w:r w:rsidRPr="00D40983">
        <w:t xml:space="preserve">　　</w:t>
      </w:r>
      <w:r w:rsidR="00203F72" w:rsidRPr="00D40983">
        <w:t>就監察院而言，玆先以芬蘭為相互比較之對象，芬蘭之國會監察人</w:t>
      </w:r>
      <w:r w:rsidR="00203F72" w:rsidRPr="00D40983">
        <w:t>(</w:t>
      </w:r>
      <w:r w:rsidR="00203F72" w:rsidRPr="00D40983">
        <w:t>官</w:t>
      </w:r>
      <w:r w:rsidR="00203F72" w:rsidRPr="00D40983">
        <w:t>) (the Ombudsman</w:t>
      </w:r>
      <w:r w:rsidR="00203F72" w:rsidRPr="00D40983">
        <w:rPr>
          <w:rFonts w:hint="eastAsia"/>
        </w:rPr>
        <w:t>)</w:t>
      </w:r>
      <w:r w:rsidR="00203F72" w:rsidRPr="00D40983">
        <w:t>之機制，係規範於芬蘭憲法第</w:t>
      </w:r>
      <w:r w:rsidR="00203F72" w:rsidRPr="00D40983">
        <w:t>109</w:t>
      </w:r>
      <w:r w:rsidR="00203F72" w:rsidRPr="00D40983">
        <w:t>條、第</w:t>
      </w:r>
      <w:r w:rsidR="00203F72" w:rsidRPr="00D40983">
        <w:t>110</w:t>
      </w:r>
      <w:r w:rsidR="00203F72" w:rsidRPr="00D40983">
        <w:t>條、第</w:t>
      </w:r>
      <w:r w:rsidR="00203F72" w:rsidRPr="00D40983">
        <w:t>111</w:t>
      </w:r>
      <w:r w:rsidR="00203F72" w:rsidRPr="00D40983">
        <w:t>條、第</w:t>
      </w:r>
      <w:r w:rsidR="00203F72" w:rsidRPr="00D40983">
        <w:t>112</w:t>
      </w:r>
      <w:r w:rsidR="00203F72" w:rsidRPr="00D40983">
        <w:t>條之中。芬蘭之國會監察人</w:t>
      </w:r>
      <w:r w:rsidR="00203F72" w:rsidRPr="00D40983">
        <w:t>(</w:t>
      </w:r>
      <w:r w:rsidR="00203F72" w:rsidRPr="00D40983">
        <w:t>官</w:t>
      </w:r>
      <w:r w:rsidR="00203F72" w:rsidRPr="00D40983">
        <w:t>) (the Ombudsman</w:t>
      </w:r>
      <w:r w:rsidR="00203F72" w:rsidRPr="00D40983">
        <w:rPr>
          <w:rFonts w:hint="eastAsia"/>
        </w:rPr>
        <w:t>)</w:t>
      </w:r>
      <w:r w:rsidR="00203F72" w:rsidRPr="00D40983">
        <w:t>具有以下之特色：</w:t>
      </w:r>
      <w:r w:rsidR="00203F72" w:rsidRPr="00D40983">
        <w:t>1</w:t>
      </w:r>
      <w:r w:rsidR="00203F72" w:rsidRPr="00D40983">
        <w:t>、隸屬於國會；</w:t>
      </w:r>
      <w:r w:rsidR="00203F72" w:rsidRPr="00D40983">
        <w:t>2</w:t>
      </w:r>
      <w:r w:rsidR="00203F72" w:rsidRPr="00D40983">
        <w:t>、芬蘭之國會監察人</w:t>
      </w:r>
      <w:r w:rsidR="00203F72" w:rsidRPr="00D40983">
        <w:t>(</w:t>
      </w:r>
      <w:r w:rsidR="00203F72" w:rsidRPr="00D40983">
        <w:t>官</w:t>
      </w:r>
      <w:r w:rsidR="00203F72" w:rsidRPr="00D40983">
        <w:t>)</w:t>
      </w:r>
      <w:r w:rsidR="00203F72" w:rsidRPr="00D40983">
        <w:t>監控</w:t>
      </w:r>
      <w:r w:rsidR="00203F72" w:rsidRPr="00D40983">
        <w:t>(</w:t>
      </w:r>
      <w:r w:rsidR="00203F72" w:rsidRPr="00D40983">
        <w:t>督</w:t>
      </w:r>
      <w:r w:rsidR="00203F72" w:rsidRPr="00D40983">
        <w:t>)</w:t>
      </w:r>
      <w:r w:rsidR="00203F72" w:rsidRPr="00D40983">
        <w:t>芬蘭政府對於保障人民基本權利之實際執行情形</w:t>
      </w:r>
      <w:r w:rsidR="00203F72" w:rsidRPr="00D40983">
        <w:t>(the Ombudsman monitors the implementation of basic rights and liberties and human rights )(</w:t>
      </w:r>
      <w:r w:rsidR="00203F72" w:rsidRPr="00D40983">
        <w:t>芬蘭憲法第</w:t>
      </w:r>
      <w:r w:rsidR="00203F72" w:rsidRPr="00D40983">
        <w:t>109</w:t>
      </w:r>
      <w:r w:rsidR="00203F72" w:rsidRPr="00D40983">
        <w:t>條</w:t>
      </w:r>
      <w:r w:rsidR="00203F72" w:rsidRPr="00D40983">
        <w:footnoteReference w:id="1137"/>
      </w:r>
      <w:r w:rsidR="00203F72" w:rsidRPr="00D40983">
        <w:t>)</w:t>
      </w:r>
      <w:r w:rsidR="00203F72" w:rsidRPr="00D40983">
        <w:t>；</w:t>
      </w:r>
      <w:r w:rsidR="00203F72" w:rsidRPr="00D40983">
        <w:t>3</w:t>
      </w:r>
      <w:r w:rsidR="00203F72" w:rsidRPr="00D40983">
        <w:t>、國會監察人</w:t>
      </w:r>
      <w:r w:rsidR="00203F72" w:rsidRPr="00D40983">
        <w:t>(</w:t>
      </w:r>
      <w:r w:rsidR="00203F72" w:rsidRPr="00D40983">
        <w:t>官</w:t>
      </w:r>
      <w:r w:rsidR="00203F72" w:rsidRPr="00D40983">
        <w:t>)</w:t>
      </w:r>
      <w:r w:rsidR="00203F72" w:rsidRPr="00D40983">
        <w:t>具有檢察官起訴之功能，對於違法之法官，可直接加以起訴之</w:t>
      </w:r>
      <w:r w:rsidR="00203F72" w:rsidRPr="00D40983">
        <w:t>(the Ombudsman may prosecute</w:t>
      </w:r>
      <w:r w:rsidR="00203F72" w:rsidRPr="00D40983">
        <w:t>、、、</w:t>
      </w:r>
      <w:r w:rsidR="00203F72" w:rsidRPr="00D40983">
        <w:t>)(</w:t>
      </w:r>
      <w:r w:rsidR="00203F72" w:rsidRPr="00D40983">
        <w:t>芬蘭憲法第</w:t>
      </w:r>
      <w:r w:rsidR="00203F72" w:rsidRPr="00D40983">
        <w:t>110</w:t>
      </w:r>
      <w:r w:rsidR="00203F72" w:rsidRPr="00D40983">
        <w:t>條</w:t>
      </w:r>
      <w:r w:rsidR="00203F72" w:rsidRPr="00D40983">
        <w:t>)</w:t>
      </w:r>
      <w:r w:rsidR="00203F72" w:rsidRPr="00D40983">
        <w:footnoteReference w:id="1138"/>
      </w:r>
      <w:r w:rsidR="00203F72" w:rsidRPr="00D40983">
        <w:t>；</w:t>
      </w:r>
      <w:r w:rsidR="00203F72" w:rsidRPr="00D40983">
        <w:t>4</w:t>
      </w:r>
      <w:r w:rsidR="00203F72" w:rsidRPr="00D40983">
        <w:t>、擁有調查權，因查案之需，國會監察人</w:t>
      </w:r>
      <w:r w:rsidR="00203F72" w:rsidRPr="00D40983">
        <w:t>(</w:t>
      </w:r>
      <w:r w:rsidR="00203F72" w:rsidRPr="00D40983">
        <w:t>官</w:t>
      </w:r>
      <w:r w:rsidR="00203F72" w:rsidRPr="00D40983">
        <w:t>)</w:t>
      </w:r>
      <w:r w:rsidR="00203F72" w:rsidRPr="00D40983">
        <w:t>有權接收來自於政府部門之各種資訊</w:t>
      </w:r>
      <w:r w:rsidR="00203F72" w:rsidRPr="00D40983">
        <w:t xml:space="preserve">( The right of </w:t>
      </w:r>
      <w:r w:rsidR="00203F72" w:rsidRPr="00A53581">
        <w:t>the Chancellor of Justice and Ombudsman to receive information ) (</w:t>
      </w:r>
      <w:r w:rsidR="00203F72" w:rsidRPr="00A53581">
        <w:t>芬蘭憲法第</w:t>
      </w:r>
      <w:r w:rsidR="00203F72" w:rsidRPr="00A53581">
        <w:t>111</w:t>
      </w:r>
      <w:r w:rsidR="00203F72" w:rsidRPr="00A53581">
        <w:t>條</w:t>
      </w:r>
      <w:r w:rsidR="00203F72" w:rsidRPr="00A53581">
        <w:rPr>
          <w:rStyle w:val="af3"/>
          <w:rFonts w:ascii="新細明體" w:hAnsi="新細明體"/>
        </w:rPr>
        <w:footnoteReference w:id="1139"/>
      </w:r>
      <w:r w:rsidR="00203F72" w:rsidRPr="00A53581">
        <w:t>)</w:t>
      </w:r>
      <w:r w:rsidR="00203F72" w:rsidRPr="00A53581">
        <w:t>。</w:t>
      </w:r>
    </w:p>
    <w:p w14:paraId="1FF084E9" w14:textId="77777777" w:rsidR="00203F72" w:rsidRPr="00D40983" w:rsidRDefault="005E23E3" w:rsidP="00D40983">
      <w:r w:rsidRPr="00D40983">
        <w:t xml:space="preserve">　　</w:t>
      </w:r>
      <w:r w:rsidR="00203F72" w:rsidRPr="00D40983">
        <w:t>此外，根據常律和尚的見解，他亦極力主張在我國憲法的憲政設計中，宜維持監察院的機制與運作，其意見如下</w:t>
      </w:r>
      <w:r w:rsidR="00203F72" w:rsidRPr="00D40983">
        <w:footnoteReference w:id="1140"/>
      </w:r>
      <w:r w:rsidR="00203F72" w:rsidRPr="00D40983">
        <w:t>：</w:t>
      </w:r>
    </w:p>
    <w:p w14:paraId="6927AC91" w14:textId="77777777" w:rsidR="00BF2553" w:rsidRPr="00D40983" w:rsidRDefault="00BF2553" w:rsidP="00D40983">
      <w:r w:rsidRPr="00D40983">
        <w:rPr>
          <w:rFonts w:hint="eastAsia"/>
        </w:rPr>
        <w:t xml:space="preserve">　　</w:t>
      </w:r>
      <w:r w:rsidRPr="00D40983">
        <w:rPr>
          <w:rFonts w:hint="eastAsia"/>
        </w:rPr>
        <w:t>1</w:t>
      </w:r>
      <w:r w:rsidRPr="00D40983">
        <w:rPr>
          <w:rFonts w:hint="eastAsia"/>
        </w:rPr>
        <w:t>、各縣市應設立監察院的分支辦公室，理由係台灣之司法，一向為人民所詬病之事，台灣民間均流行一句話：「台灣的司法，是有錢判生，無錢判死」。</w:t>
      </w:r>
    </w:p>
    <w:p w14:paraId="32143348" w14:textId="77777777" w:rsidR="00BF2553" w:rsidRPr="00D40983" w:rsidRDefault="00BF2553" w:rsidP="00D40983">
      <w:r w:rsidRPr="00D40983">
        <w:rPr>
          <w:rFonts w:hint="eastAsia"/>
        </w:rPr>
        <w:t xml:space="preserve">　　</w:t>
      </w:r>
      <w:r w:rsidRPr="00D40983">
        <w:rPr>
          <w:rFonts w:hint="eastAsia"/>
        </w:rPr>
        <w:t>2</w:t>
      </w:r>
      <w:r w:rsidRPr="00D40983">
        <w:rPr>
          <w:rFonts w:hint="eastAsia"/>
        </w:rPr>
        <w:t>、就目前台灣的司法而論，上述之司法弊端</w:t>
      </w:r>
      <w:r w:rsidR="00D92F56" w:rsidRPr="00D40983">
        <w:rPr>
          <w:rFonts w:hint="eastAsia"/>
        </w:rPr>
        <w:t>〜</w:t>
      </w:r>
      <w:r w:rsidRPr="00D40983">
        <w:rPr>
          <w:rFonts w:hint="eastAsia"/>
        </w:rPr>
        <w:t>有錢判生，無錢判死，仍舊是存在的。</w:t>
      </w:r>
    </w:p>
    <w:p w14:paraId="4C002D9E" w14:textId="77777777" w:rsidR="00BF2553" w:rsidRPr="00D40983" w:rsidRDefault="00BF2553" w:rsidP="00D40983">
      <w:r w:rsidRPr="00D40983">
        <w:rPr>
          <w:rFonts w:hint="eastAsia"/>
        </w:rPr>
        <w:t xml:space="preserve">　　</w:t>
      </w:r>
      <w:r w:rsidRPr="00D40983">
        <w:rPr>
          <w:rFonts w:hint="eastAsia"/>
        </w:rPr>
        <w:t>3</w:t>
      </w:r>
      <w:r w:rsidRPr="00D40983">
        <w:rPr>
          <w:rFonts w:hint="eastAsia"/>
        </w:rPr>
        <w:t>、常律和尚主張，政府如欲令國內人民對司法產生一種完全、絕對之信任，只有一個方法，即於各縣市設立監察院分支辦公室，全天</w:t>
      </w:r>
      <w:r w:rsidRPr="00D40983">
        <w:rPr>
          <w:rFonts w:hint="eastAsia"/>
        </w:rPr>
        <w:t>24</w:t>
      </w:r>
      <w:r w:rsidRPr="00D40983">
        <w:rPr>
          <w:rFonts w:hint="eastAsia"/>
        </w:rPr>
        <w:t>小時受理這種司法審判不公之案件。</w:t>
      </w:r>
    </w:p>
    <w:p w14:paraId="3DE2E5C8" w14:textId="77777777" w:rsidR="00953151" w:rsidRPr="00D40983" w:rsidRDefault="00BF2553" w:rsidP="00D40983">
      <w:r w:rsidRPr="00D40983">
        <w:rPr>
          <w:rFonts w:hint="eastAsia"/>
        </w:rPr>
        <w:t xml:space="preserve">　　</w:t>
      </w:r>
      <w:r w:rsidRPr="00D40983">
        <w:rPr>
          <w:rFonts w:hint="eastAsia"/>
        </w:rPr>
        <w:t>4</w:t>
      </w:r>
      <w:r w:rsidRPr="00D40983">
        <w:rPr>
          <w:rFonts w:hint="eastAsia"/>
        </w:rPr>
        <w:t>、各縣市設立監察院分支辦公室之利基，係直接監督各縣市法院法官及檢察官之操守，此是提振司法清廉最有效的措施。</w:t>
      </w:r>
    </w:p>
    <w:p w14:paraId="44960C43" w14:textId="77777777" w:rsidR="00953151" w:rsidRDefault="00BF2553" w:rsidP="00D40983">
      <w:r w:rsidRPr="00D40983">
        <w:t xml:space="preserve">　　</w:t>
      </w:r>
      <w:r w:rsidR="00203F72" w:rsidRPr="00D40983">
        <w:t>依據上述常律和尚的見解，他力主維持監察院的制度，可制衡司法權之濫權與獨大，本書非常認同上述常律和尚的意見。事實上，此種之議題，本書認為乃屬於監察權與司法權、考試權及行政權間權力的對抗、平衡與合作之問題。本書主張，假若中華民國憲法放棄監察權之機制，則無異是令司法權、考試權及行政權無限的上揚。為了控制、抑制、壓制與平衡司法權、考試權及行政權之獨大、違法與濫權，有效之對策，即為維持監察權之機制，利用監察權壓制、控制、抑制與平衡司法權、考試權及行政權，不令司</w:t>
      </w:r>
      <w:r w:rsidR="00203F72" w:rsidRPr="00A53581">
        <w:t>法濫權。其背後的憲政哲學，即司法權、考試權及行政權並非神權，司法官與其他司法人員並非神明、上帝及基督，凡是人，均有可能濫權、偏心、私心、失誤、不公及不義，故台灣民間始會流行此種的語句</w:t>
      </w:r>
      <w:r w:rsidR="00D92F56">
        <w:t>〜</w:t>
      </w:r>
      <w:r w:rsidR="00203F72" w:rsidRPr="00A53581">
        <w:t>「台灣的司法，是有錢判生，無錢判死」，非常諷刺的一句話。</w:t>
      </w:r>
    </w:p>
    <w:p w14:paraId="4B6141AD" w14:textId="77777777" w:rsidR="00953151" w:rsidRDefault="00BF2553" w:rsidP="00D87D91">
      <w:r>
        <w:t xml:space="preserve">　　</w:t>
      </w:r>
      <w:r w:rsidR="00203F72" w:rsidRPr="00A53581">
        <w:t>為了防止司法權、考試權及行政權濫權、獨大、權力的過度上揚與無限擴張，造成權力失控之現象，有必要維持監察權的存在與運作，令司法權、考試權及行政權與監察權處在一種相互拉扯、監督</w:t>
      </w:r>
      <w:r w:rsidR="00203F72" w:rsidRPr="00A53581">
        <w:t>(</w:t>
      </w:r>
      <w:r w:rsidR="003E240E">
        <w:t>視</w:t>
      </w:r>
      <w:r w:rsidR="00203F72" w:rsidRPr="00A53581">
        <w:t>)</w:t>
      </w:r>
      <w:r w:rsidR="00203F72" w:rsidRPr="00A53581">
        <w:t>、對抗、平衡與控制之狀態之中，監察權與司法權、考試權及行政權是一種相互對抗與相互合作之既緊張又合諧之雙重關係。</w:t>
      </w:r>
    </w:p>
    <w:p w14:paraId="6D2173CB" w14:textId="77777777" w:rsidR="00953151" w:rsidRDefault="00BF2553" w:rsidP="00D87D91">
      <w:r>
        <w:t xml:space="preserve">　　</w:t>
      </w:r>
      <w:r w:rsidR="00203F72" w:rsidRPr="00A53581">
        <w:t>就我國而論，維持監察院之憲政體制運作，可保持以下之優勢：</w:t>
      </w:r>
      <w:r w:rsidR="00203F72" w:rsidRPr="00A53581">
        <w:t>1</w:t>
      </w:r>
      <w:r w:rsidR="00203F72" w:rsidRPr="00A53581">
        <w:t>、監察院本身具有彈劾公務人員之功能，故可發揮監察院、行政院、司法院與考試院之間，相互監控、對抗、壓制、平衡、抗衡與牽制之力量；</w:t>
      </w:r>
      <w:r w:rsidR="00203F72" w:rsidRPr="00A53581">
        <w:t>2</w:t>
      </w:r>
      <w:r w:rsidR="00203F72" w:rsidRPr="00A53581">
        <w:t>、對於防制政府其他三權</w:t>
      </w:r>
      <w:r w:rsidR="00203F72" w:rsidRPr="00A53581">
        <w:t>(</w:t>
      </w:r>
      <w:r w:rsidR="00203F72" w:rsidRPr="00A53581">
        <w:t>司法權、行政權、考試權</w:t>
      </w:r>
      <w:r w:rsidR="00203F72" w:rsidRPr="00A53581">
        <w:t>)</w:t>
      </w:r>
      <w:r w:rsidR="00203F72" w:rsidRPr="00A53581">
        <w:t>之貪瀆犯罪與濫權，具有實質性之嚇阻效果；</w:t>
      </w:r>
      <w:r w:rsidR="00203F72" w:rsidRPr="00A53581">
        <w:t>3</w:t>
      </w:r>
      <w:r w:rsidR="00203F72" w:rsidRPr="00A53581">
        <w:t>、監督政府部門之施政</w:t>
      </w:r>
      <w:r w:rsidR="00545D58">
        <w:t>。</w:t>
      </w:r>
    </w:p>
    <w:p w14:paraId="37642CCE" w14:textId="77777777" w:rsidR="00145751" w:rsidRDefault="00145751" w:rsidP="00D40983">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1917B0A2" w14:textId="77777777" w:rsidR="00145751" w:rsidRDefault="00145751" w:rsidP="00D87D91"/>
    <w:p w14:paraId="3CDFE981" w14:textId="77777777" w:rsidR="00953151" w:rsidRDefault="00203F72" w:rsidP="00767F37">
      <w:pPr>
        <w:pStyle w:val="2"/>
        <w:rPr>
          <w:kern w:val="0"/>
        </w:rPr>
      </w:pPr>
      <w:bookmarkStart w:id="160" w:name="_參拾柒、憲法增修條文宜賦予監察委員具有言論免責權"/>
      <w:bookmarkEnd w:id="160"/>
      <w:r w:rsidRPr="00A53581">
        <w:t>參拾柒、憲法增修條文宜賦予監察委員具有言論免責權</w:t>
      </w:r>
    </w:p>
    <w:p w14:paraId="750DCB9B" w14:textId="77777777" w:rsidR="00953151" w:rsidRPr="002E4FCF" w:rsidRDefault="00BF2553" w:rsidP="00D87D91">
      <w:r>
        <w:t xml:space="preserve">　　</w:t>
      </w:r>
      <w:r w:rsidR="00203F72" w:rsidRPr="00A53581">
        <w:t>根據周陽山教授與王增華氏之研究，由於憲法增修條</w:t>
      </w:r>
      <w:r w:rsidR="006E37D4" w:rsidRPr="00D73718">
        <w:t>文</w:t>
      </w:r>
      <w:hyperlink r:id="rId2826"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第</w:t>
      </w:r>
      <w:r w:rsidR="00203F72" w:rsidRPr="00A53581">
        <w:t>6</w:t>
      </w:r>
      <w:r w:rsidR="00203F72" w:rsidRPr="00A53581">
        <w:t>項業已取消監察委員之言論免責權，造成以下之困境：</w:t>
      </w:r>
      <w:r w:rsidR="00203F72" w:rsidRPr="00A53581">
        <w:t>1.</w:t>
      </w:r>
      <w:r w:rsidR="00203F72" w:rsidRPr="00A53581">
        <w:t>減少監察委員行使職權之透明度（</w:t>
      </w:r>
      <w:r w:rsidR="00203F72" w:rsidRPr="00A53581">
        <w:t>transparency</w:t>
      </w:r>
      <w:r w:rsidR="00203F72" w:rsidRPr="00A53581">
        <w:t>）；</w:t>
      </w:r>
      <w:r w:rsidR="00203F72" w:rsidRPr="002E4FCF">
        <w:t>2.</w:t>
      </w:r>
      <w:r w:rsidR="00203F72" w:rsidRPr="002E4FCF">
        <w:t>監察院之各項會議，均無法對外公開；</w:t>
      </w:r>
      <w:r w:rsidR="00203F72" w:rsidRPr="002E4FCF">
        <w:t>3.</w:t>
      </w:r>
      <w:r w:rsidR="00203F72" w:rsidRPr="002E4FCF">
        <w:t>監察權之運作，無法透明化；</w:t>
      </w:r>
      <w:r w:rsidR="00203F72" w:rsidRPr="002E4FCF">
        <w:t>4.</w:t>
      </w:r>
      <w:r w:rsidR="00203F72" w:rsidRPr="002E4FCF">
        <w:t>民眾無法充分了解監察權運作之實況；</w:t>
      </w:r>
      <w:r w:rsidR="00203F72" w:rsidRPr="002E4FCF">
        <w:t>5.</w:t>
      </w:r>
      <w:r w:rsidR="00203F72" w:rsidRPr="002E4FCF">
        <w:t>監察院無法透由媒體之報導，與民眾直接之監控，發揮整飭官箴之任務，嚴重地限制監察權之行使</w:t>
      </w:r>
      <w:r w:rsidR="00203F72" w:rsidRPr="002E4FCF">
        <w:footnoteReference w:id="1141"/>
      </w:r>
      <w:r w:rsidR="00203F72" w:rsidRPr="002E4FCF">
        <w:t>。由於我國監察權之運作，面臨上述諸多之困境，最直接之原因，乃起因於監察委員未具備言論免責權，是以，本書建議，仍應回復監察委員之言論免責權，俾利令監察權之行使，能更加透明化，與效率化，達到整飭官箴之憲法上之任務。</w:t>
      </w:r>
    </w:p>
    <w:p w14:paraId="2D490008" w14:textId="77777777" w:rsidR="002E4FCF" w:rsidRDefault="002E4FCF" w:rsidP="00D87D91"/>
    <w:p w14:paraId="6492FD29" w14:textId="70F8FA44" w:rsidR="00203F72" w:rsidRPr="00A53581" w:rsidRDefault="00B03E84" w:rsidP="00D87D91">
      <w:pPr>
        <w:pStyle w:val="aff4"/>
      </w:pPr>
      <w:r>
        <w:t>【</w:t>
      </w:r>
      <w:r>
        <w:t>table</w:t>
      </w:r>
      <w:r w:rsidR="005E23E3">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129</w:t>
      </w:r>
      <w:r w:rsidR="00076467">
        <w:rPr>
          <w:noProof/>
        </w:rPr>
        <w:fldChar w:fldCharType="end"/>
      </w:r>
      <w:r w:rsidR="00203F72" w:rsidRPr="00A53581">
        <w:t>監察院與其他各機關之關係</w:t>
      </w:r>
    </w:p>
    <w:tbl>
      <w:tblPr>
        <w:tblW w:w="473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1836"/>
        <w:gridCol w:w="4799"/>
      </w:tblGrid>
      <w:tr w:rsidR="00203F72" w:rsidRPr="00A53581" w14:paraId="766D893A" w14:textId="77777777" w:rsidTr="00D40983">
        <w:tc>
          <w:tcPr>
            <w:tcW w:w="877" w:type="pct"/>
            <w:shd w:val="clear" w:color="auto" w:fill="auto"/>
          </w:tcPr>
          <w:p w14:paraId="7606E7F5" w14:textId="77777777" w:rsidR="00203F72" w:rsidRPr="00A53581" w:rsidRDefault="00203F72" w:rsidP="00D87D91">
            <w:r w:rsidRPr="00A53581">
              <w:t>一、與其他機關之個別關係</w:t>
            </w:r>
          </w:p>
        </w:tc>
        <w:tc>
          <w:tcPr>
            <w:tcW w:w="4123" w:type="pct"/>
            <w:gridSpan w:val="2"/>
            <w:shd w:val="clear" w:color="auto" w:fill="auto"/>
          </w:tcPr>
          <w:p w14:paraId="01FD8896" w14:textId="77777777" w:rsidR="00203F72" w:rsidRPr="00A53581" w:rsidRDefault="00203F72" w:rsidP="00D87D91">
            <w:r w:rsidRPr="00A53581">
              <w:rPr>
                <w:rFonts w:hint="eastAsia"/>
              </w:rPr>
              <w:t>監察院之基本任務任在監督政府及其公務人員之權能，因此對政府機關擁有彈劾、糾舉、糾正、審計、調查，故受人民書狀及巡迴監察及受理公職人員財產申報以防貪瀆</w:t>
            </w:r>
            <w:r w:rsidRPr="00A53581">
              <w:rPr>
                <w:rFonts w:hint="eastAsia"/>
                <w:kern w:val="0"/>
              </w:rPr>
              <w:t>。故與其他四院關係甚為密切。</w:t>
            </w:r>
          </w:p>
        </w:tc>
      </w:tr>
      <w:tr w:rsidR="00203F72" w:rsidRPr="00A53581" w14:paraId="4569FBF5" w14:textId="77777777" w:rsidTr="00D40983">
        <w:tc>
          <w:tcPr>
            <w:tcW w:w="877" w:type="pct"/>
            <w:vMerge w:val="restart"/>
            <w:shd w:val="clear" w:color="auto" w:fill="auto"/>
          </w:tcPr>
          <w:p w14:paraId="633672C0" w14:textId="77777777" w:rsidR="00203F72" w:rsidRPr="00A53581" w:rsidRDefault="00203F72" w:rsidP="00D87D91">
            <w:r w:rsidRPr="00A53581">
              <w:t>二、共同關係</w:t>
            </w:r>
          </w:p>
        </w:tc>
        <w:tc>
          <w:tcPr>
            <w:tcW w:w="1141" w:type="pct"/>
            <w:shd w:val="clear" w:color="auto" w:fill="auto"/>
          </w:tcPr>
          <w:p w14:paraId="3ADD2A42" w14:textId="77777777" w:rsidR="00203F72" w:rsidRPr="00A53581" w:rsidRDefault="00203F72" w:rsidP="00D87D91">
            <w:r w:rsidRPr="00A53581">
              <w:t>(</w:t>
            </w:r>
            <w:r w:rsidRPr="00A53581">
              <w:t>一</w:t>
            </w:r>
            <w:r w:rsidRPr="00A53581">
              <w:t>)</w:t>
            </w:r>
            <w:r w:rsidRPr="00A53581">
              <w:t>公務員之彈劾、糾舉與糾正</w:t>
            </w:r>
          </w:p>
        </w:tc>
        <w:tc>
          <w:tcPr>
            <w:tcW w:w="2982" w:type="pct"/>
            <w:shd w:val="clear" w:color="auto" w:fill="auto"/>
          </w:tcPr>
          <w:p w14:paraId="51AAFF24" w14:textId="77777777" w:rsidR="00203F72" w:rsidRPr="00A53581" w:rsidRDefault="002E4FCF" w:rsidP="00D87D91">
            <w:r>
              <w:rPr>
                <w:rFonts w:hint="eastAsia"/>
              </w:rPr>
              <w:t xml:space="preserve">　　</w:t>
            </w:r>
            <w:r w:rsidR="00203F72" w:rsidRPr="00A53581">
              <w:rPr>
                <w:rFonts w:hint="eastAsia"/>
              </w:rPr>
              <w:t>1.</w:t>
            </w:r>
            <w:r w:rsidR="00203F72" w:rsidRPr="00A53581">
              <w:rPr>
                <w:rFonts w:hint="eastAsia"/>
              </w:rPr>
              <w:t>監察院掌理彈劾、糾舉、糾正權，除對各級民意代表外，對於違法失職之全國公務員，均得提出彈劾或糾舉，並得調查其所發布之命令與有關文件，必要時並得提出糾正案促其注意改善</w:t>
            </w:r>
            <w:r w:rsidR="00203F72" w:rsidRPr="00A53581">
              <w:rPr>
                <w:rFonts w:hint="eastAsia"/>
                <w:kern w:val="0"/>
              </w:rPr>
              <w:t>。</w:t>
            </w:r>
          </w:p>
          <w:p w14:paraId="280AE7C3" w14:textId="77777777" w:rsidR="00203F72" w:rsidRPr="00A53581" w:rsidRDefault="002E4FCF" w:rsidP="00D87D91">
            <w:r>
              <w:rPr>
                <w:rFonts w:hint="eastAsia"/>
              </w:rPr>
              <w:t xml:space="preserve">　　</w:t>
            </w:r>
            <w:r w:rsidR="00203F72" w:rsidRPr="00A53581">
              <w:rPr>
                <w:rFonts w:hint="eastAsia"/>
              </w:rPr>
              <w:t>2.</w:t>
            </w:r>
            <w:r w:rsidR="00203F72" w:rsidRPr="00A53581">
              <w:rPr>
                <w:rFonts w:hint="eastAsia"/>
              </w:rPr>
              <w:t>惟彈劾後其判決權屬於司法院公務員懲戒委員會，故就彈劾權言，監察院與司法院有密切之關係</w:t>
            </w:r>
            <w:r w:rsidR="00203F72" w:rsidRPr="00A53581">
              <w:rPr>
                <w:rFonts w:hint="eastAsia"/>
                <w:kern w:val="0"/>
              </w:rPr>
              <w:t>。</w:t>
            </w:r>
          </w:p>
        </w:tc>
      </w:tr>
      <w:tr w:rsidR="00203F72" w:rsidRPr="00A53581" w14:paraId="0FDB943F" w14:textId="77777777" w:rsidTr="00D40983">
        <w:tc>
          <w:tcPr>
            <w:tcW w:w="877" w:type="pct"/>
            <w:vMerge/>
            <w:shd w:val="clear" w:color="auto" w:fill="auto"/>
          </w:tcPr>
          <w:p w14:paraId="0DF3B0DC" w14:textId="77777777" w:rsidR="00203F72" w:rsidRPr="00A53581" w:rsidRDefault="00203F72" w:rsidP="00D87D91"/>
        </w:tc>
        <w:tc>
          <w:tcPr>
            <w:tcW w:w="1141" w:type="pct"/>
            <w:shd w:val="clear" w:color="auto" w:fill="auto"/>
          </w:tcPr>
          <w:p w14:paraId="58D4AD01" w14:textId="77777777" w:rsidR="00203F72" w:rsidRPr="00A53581" w:rsidRDefault="00203F72" w:rsidP="00D87D91">
            <w:r w:rsidRPr="00A53581">
              <w:t>(</w:t>
            </w:r>
            <w:r w:rsidRPr="00A53581">
              <w:t>二</w:t>
            </w:r>
            <w:r w:rsidRPr="00A53581">
              <w:t>)</w:t>
            </w:r>
            <w:r w:rsidRPr="00A53581">
              <w:t>各機關財務之審計</w:t>
            </w:r>
          </w:p>
        </w:tc>
        <w:tc>
          <w:tcPr>
            <w:tcW w:w="2982" w:type="pct"/>
            <w:shd w:val="clear" w:color="auto" w:fill="auto"/>
          </w:tcPr>
          <w:p w14:paraId="71FDEB55" w14:textId="77777777" w:rsidR="00203F72" w:rsidRPr="00A53581" w:rsidRDefault="002E4FCF" w:rsidP="00D87D91">
            <w:r>
              <w:rPr>
                <w:rFonts w:hint="eastAsia"/>
              </w:rPr>
              <w:t xml:space="preserve">　　</w:t>
            </w:r>
            <w:r w:rsidR="00203F72" w:rsidRPr="00A53581">
              <w:rPr>
                <w:rFonts w:hint="eastAsia"/>
              </w:rPr>
              <w:t>1.</w:t>
            </w:r>
            <w:r w:rsidR="00203F72" w:rsidRPr="00A53581">
              <w:rPr>
                <w:rFonts w:hint="eastAsia"/>
              </w:rPr>
              <w:t>監察院掌審計權，各院及其所屬機關財務收支，均為監察院審計權行使之對象。</w:t>
            </w:r>
          </w:p>
          <w:p w14:paraId="353A1244" w14:textId="77777777" w:rsidR="00203F72" w:rsidRPr="00A53581" w:rsidRDefault="002E4FCF" w:rsidP="00D87D91">
            <w:r>
              <w:rPr>
                <w:rFonts w:hint="eastAsia"/>
              </w:rPr>
              <w:t xml:space="preserve">　　</w:t>
            </w:r>
            <w:r w:rsidR="00203F72" w:rsidRPr="00A53581">
              <w:rPr>
                <w:rFonts w:hint="eastAsia"/>
              </w:rPr>
              <w:t>2.</w:t>
            </w:r>
            <w:r w:rsidR="00203F72" w:rsidRPr="00A53581">
              <w:rPr>
                <w:rFonts w:hint="eastAsia"/>
              </w:rPr>
              <w:t>審計權包括：監督預算之執行，核定收支命令，審核收支、決算，稽察財政上不法或不忠於職務之行為，考核財務效能與責任，以及國家總決算之審核及報告。</w:t>
            </w:r>
          </w:p>
        </w:tc>
      </w:tr>
      <w:tr w:rsidR="00203F72" w:rsidRPr="00A53581" w14:paraId="2FBC0393" w14:textId="77777777" w:rsidTr="00D40983">
        <w:tc>
          <w:tcPr>
            <w:tcW w:w="877" w:type="pct"/>
            <w:vMerge/>
            <w:shd w:val="clear" w:color="auto" w:fill="auto"/>
          </w:tcPr>
          <w:p w14:paraId="75D2EAAF" w14:textId="77777777" w:rsidR="00203F72" w:rsidRPr="00A53581" w:rsidRDefault="00203F72" w:rsidP="00D87D91"/>
        </w:tc>
        <w:tc>
          <w:tcPr>
            <w:tcW w:w="1141" w:type="pct"/>
            <w:shd w:val="clear" w:color="auto" w:fill="auto"/>
          </w:tcPr>
          <w:p w14:paraId="37822573" w14:textId="77777777" w:rsidR="00203F72" w:rsidRPr="00A53581" w:rsidRDefault="00203F72" w:rsidP="00D87D91">
            <w:r w:rsidRPr="00A53581">
              <w:t>(</w:t>
            </w:r>
            <w:r w:rsidRPr="00A53581">
              <w:t>三</w:t>
            </w:r>
            <w:r w:rsidRPr="00A53581">
              <w:t>)</w:t>
            </w:r>
            <w:r w:rsidRPr="00A53581">
              <w:t>其他關係</w:t>
            </w:r>
          </w:p>
        </w:tc>
        <w:tc>
          <w:tcPr>
            <w:tcW w:w="2982" w:type="pct"/>
            <w:shd w:val="clear" w:color="auto" w:fill="auto"/>
          </w:tcPr>
          <w:p w14:paraId="16E37995" w14:textId="77777777" w:rsidR="00203F72" w:rsidRPr="00A53581" w:rsidRDefault="002E4FCF" w:rsidP="00D87D91">
            <w:r>
              <w:rPr>
                <w:rFonts w:hint="eastAsia"/>
              </w:rPr>
              <w:t xml:space="preserve">　　</w:t>
            </w:r>
            <w:r w:rsidR="00203F72" w:rsidRPr="00A53581">
              <w:rPr>
                <w:rFonts w:hint="eastAsia"/>
              </w:rPr>
              <w:t>如巡迴監察權、建議權、監試權、接受人民書狀及密告權、調查權、聽取報告及質詢權等均是</w:t>
            </w:r>
            <w:r w:rsidR="00203F72" w:rsidRPr="00A53581">
              <w:rPr>
                <w:rFonts w:hint="eastAsia"/>
                <w:kern w:val="0"/>
              </w:rPr>
              <w:t>。</w:t>
            </w:r>
          </w:p>
        </w:tc>
      </w:tr>
    </w:tbl>
    <w:p w14:paraId="5AE1EBF4" w14:textId="77777777" w:rsidR="00953151" w:rsidRDefault="00B76D62" w:rsidP="00D87D91">
      <w:r>
        <w:t>【本表資料來源】</w:t>
      </w:r>
      <w:r w:rsidR="00203F72" w:rsidRPr="00A53581">
        <w:t>謝瑞智、謝世維</w:t>
      </w:r>
      <w:r w:rsidR="00203F72" w:rsidRPr="00A53581">
        <w:t>(2010)</w:t>
      </w:r>
      <w:r w:rsidR="00203F72" w:rsidRPr="00A53581">
        <w:t>，憲法概要，增訂</w:t>
      </w:r>
      <w:r w:rsidR="00203F72" w:rsidRPr="00A53581">
        <w:t>14</w:t>
      </w:r>
      <w:r w:rsidR="00203F72" w:rsidRPr="00A53581">
        <w:t>版，台北市：文笙書局，第</w:t>
      </w:r>
      <w:r w:rsidR="00203F72" w:rsidRPr="00A53581">
        <w:t>244</w:t>
      </w:r>
      <w:r w:rsidR="00203F72" w:rsidRPr="00A53581">
        <w:t>頁。</w:t>
      </w:r>
    </w:p>
    <w:p w14:paraId="2825C968" w14:textId="77777777" w:rsidR="00145751" w:rsidRDefault="00145751" w:rsidP="002E4FCF">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CAC657C" w14:textId="77777777" w:rsidR="00145751" w:rsidRDefault="00145751" w:rsidP="00D87D91"/>
    <w:p w14:paraId="0CBE2390" w14:textId="77777777" w:rsidR="00953151" w:rsidRDefault="00203F72" w:rsidP="00767F37">
      <w:pPr>
        <w:pStyle w:val="2"/>
        <w:rPr>
          <w:kern w:val="0"/>
        </w:rPr>
      </w:pPr>
      <w:bookmarkStart w:id="161" w:name="_參拾捌、我國憲法可比照德國基本法第10章財政專章之憲法規範，明文規範中"/>
      <w:bookmarkEnd w:id="161"/>
      <w:r w:rsidRPr="00A53581">
        <w:t>參拾捌、我國憲法可比照德國基本法第</w:t>
      </w:r>
      <w:r w:rsidRPr="00A53581">
        <w:t>10</w:t>
      </w:r>
      <w:r w:rsidRPr="00A53581">
        <w:t>章財政專章之憲法規範，明文規範中央與地方政府關於財政收支之合理劃分機制</w:t>
      </w:r>
    </w:p>
    <w:p w14:paraId="7566F2CC" w14:textId="77777777" w:rsidR="00953151" w:rsidRPr="006E0E2F" w:rsidRDefault="00BF2553" w:rsidP="00D87D91">
      <w:r w:rsidRPr="006E0E2F">
        <w:t xml:space="preserve">　　</w:t>
      </w:r>
      <w:r w:rsidR="00203F72" w:rsidRPr="006E0E2F">
        <w:t>根據上述德國基本法第</w:t>
      </w:r>
      <w:r w:rsidR="00203F72" w:rsidRPr="006E0E2F">
        <w:t>10</w:t>
      </w:r>
      <w:r w:rsidR="00203F72" w:rsidRPr="006E0E2F">
        <w:t>章財政專章之憲法規範內容，可得知德國對於聯邦、各邦與鄉鎮政府間財政與經濟收入之徵收與劃分，頗為重</w:t>
      </w:r>
      <w:r w:rsidR="003E240E">
        <w:t>視</w:t>
      </w:r>
      <w:r w:rsidR="00203F72" w:rsidRPr="006E0E2F">
        <w:t>，並明文規範於基本法之中；德國上述之作法，頗值得我國加以參考之。我國對於中央政府與地方政府關於財政收支之劃分之法規範層級，宜提升至憲法為佳。透由憲法之明文規範，以保障各地方縣層級之財政，能得到平衡之發展。</w:t>
      </w:r>
    </w:p>
    <w:p w14:paraId="097D71C0" w14:textId="77777777" w:rsidR="00953151" w:rsidRPr="006E0E2F" w:rsidRDefault="00BF2553" w:rsidP="00D87D91">
      <w:r w:rsidRPr="006E0E2F">
        <w:t xml:space="preserve">　　</w:t>
      </w:r>
      <w:r w:rsidR="00203F72" w:rsidRPr="006E0E2F">
        <w:t>以我國</w:t>
      </w:r>
      <w:hyperlink r:id="rId2827" w:history="1">
        <w:r w:rsidR="006E0E2F" w:rsidRPr="006E0E2F">
          <w:rPr>
            <w:rStyle w:val="a5"/>
          </w:rPr>
          <w:t>財政收支劃分法</w:t>
        </w:r>
      </w:hyperlink>
      <w:r w:rsidR="00203F72" w:rsidRPr="006E0E2F">
        <w:t>為例，該法</w:t>
      </w:r>
      <w:hyperlink r:id="rId2828" w:anchor="a8" w:history="1">
        <w:r w:rsidR="001F6A1B" w:rsidRPr="007443FD">
          <w:rPr>
            <w:rStyle w:val="a5"/>
          </w:rPr>
          <w:t>第8條</w:t>
        </w:r>
      </w:hyperlink>
      <w:r w:rsidR="00203F72" w:rsidRPr="006E0E2F">
        <w:t>係為國稅，我國將國稅之種類，明定於具有法律層級效力之</w:t>
      </w:r>
      <w:hyperlink r:id="rId2829" w:history="1">
        <w:r w:rsidR="006E0E2F" w:rsidRPr="006E0E2F">
          <w:rPr>
            <w:rStyle w:val="a5"/>
          </w:rPr>
          <w:t>財政收支劃分法</w:t>
        </w:r>
      </w:hyperlink>
      <w:r w:rsidR="00203F72" w:rsidRPr="006E0E2F">
        <w:t>之中。反觀德國，就財政收支劃分之議題，以非常慎重之態度加以處理，就德國基本法而言，則將應劃歸為聯邦政府稅收之專賣收入與國稅，明定於德國基本法第</w:t>
      </w:r>
      <w:r w:rsidR="00203F72" w:rsidRPr="006E0E2F">
        <w:t>106</w:t>
      </w:r>
      <w:r w:rsidR="00203F72" w:rsidRPr="006E0E2F">
        <w:t>條之中。</w:t>
      </w:r>
    </w:p>
    <w:p w14:paraId="2C818D1F" w14:textId="77777777" w:rsidR="00203F72" w:rsidRPr="006E0E2F" w:rsidRDefault="00BF2553" w:rsidP="00D87D91">
      <w:r w:rsidRPr="006E0E2F">
        <w:t xml:space="preserve">　　</w:t>
      </w:r>
      <w:r w:rsidR="00203F72" w:rsidRPr="006E0E2F">
        <w:t>另外，有關於我國中央與地方政府稅課統籌分配部分，係規範於財政收支劃分法第</w:t>
      </w:r>
      <w:hyperlink r:id="rId2830" w:anchor="a16b1" w:history="1">
        <w:r w:rsidR="00203F72" w:rsidRPr="006E0E2F">
          <w:rPr>
            <w:rStyle w:val="a5"/>
            <w:rFonts w:ascii="Times New Roman" w:hAnsi="Times New Roman"/>
          </w:rPr>
          <w:t>16</w:t>
        </w:r>
        <w:r w:rsidR="00203F72" w:rsidRPr="006E0E2F">
          <w:rPr>
            <w:rStyle w:val="a5"/>
            <w:rFonts w:ascii="Times New Roman" w:hAnsi="Times New Roman"/>
          </w:rPr>
          <w:t>條之</w:t>
        </w:r>
        <w:r w:rsidR="00203F72" w:rsidRPr="006E0E2F">
          <w:rPr>
            <w:rStyle w:val="a5"/>
            <w:rFonts w:ascii="Times New Roman" w:hAnsi="Times New Roman"/>
          </w:rPr>
          <w:t>1</w:t>
        </w:r>
      </w:hyperlink>
      <w:r w:rsidR="00203F72" w:rsidRPr="006E0E2F">
        <w:t>（稅課分配辦法）之中。相較於德國，則將聯邦與各邦，及邦與邦之間之稅課統籌分配之實際比例與原則，分別規定於德國基本法第</w:t>
      </w:r>
      <w:r w:rsidR="00203F72" w:rsidRPr="006E0E2F">
        <w:t>106</w:t>
      </w:r>
      <w:r w:rsidR="00203F72" w:rsidRPr="006E0E2F">
        <w:t>條、第</w:t>
      </w:r>
      <w:r w:rsidR="00203F72" w:rsidRPr="006E0E2F">
        <w:t>107</w:t>
      </w:r>
      <w:r w:rsidR="00203F72" w:rsidRPr="006E0E2F">
        <w:t>條及第</w:t>
      </w:r>
      <w:r w:rsidR="00203F72" w:rsidRPr="006E0E2F">
        <w:t>109</w:t>
      </w:r>
      <w:r w:rsidR="00203F72" w:rsidRPr="006E0E2F">
        <w:t>條之中，且強調各邦財政之間，應取得合理之平衡</w:t>
      </w:r>
      <w:r w:rsidR="00203F72" w:rsidRPr="006E0E2F">
        <w:t>(</w:t>
      </w:r>
      <w:r w:rsidR="00203F72" w:rsidRPr="006E0E2F">
        <w:t>德國基本法第</w:t>
      </w:r>
      <w:r w:rsidR="00203F72" w:rsidRPr="006E0E2F">
        <w:t>107</w:t>
      </w:r>
      <w:r w:rsidR="00203F72" w:rsidRPr="006E0E2F">
        <w:t>條第</w:t>
      </w:r>
      <w:r w:rsidR="00203F72" w:rsidRPr="006E0E2F">
        <w:t>2</w:t>
      </w:r>
      <w:r w:rsidR="00203F72" w:rsidRPr="006E0E2F">
        <w:t>項</w:t>
      </w:r>
      <w:r w:rsidR="00203F72" w:rsidRPr="006E0E2F">
        <w:t>)</w:t>
      </w:r>
      <w:r w:rsidR="00203F72" w:rsidRPr="006E0E2F">
        <w:t>。反觀我國憲法中之</w:t>
      </w:r>
      <w:hyperlink r:id="rId2831" w:anchor="a107" w:history="1">
        <w:r w:rsidR="006E0E2F" w:rsidRPr="006E0E2F">
          <w:rPr>
            <w:rStyle w:val="a5"/>
          </w:rPr>
          <w:t>第107條</w:t>
        </w:r>
      </w:hyperlink>
      <w:r w:rsidR="00203F72" w:rsidRPr="006E0E2F">
        <w:t>、</w:t>
      </w:r>
      <w:hyperlink r:id="rId2832" w:anchor="a187" w:history="1">
        <w:r w:rsidR="00203F72" w:rsidRPr="0018341E">
          <w:rPr>
            <w:rStyle w:val="a5"/>
            <w:rFonts w:ascii="Times New Roman" w:eastAsia="新細明體" w:hAnsi="Times New Roman"/>
            <w:b/>
            <w:color w:val="FF0000"/>
          </w:rPr>
          <w:t>第</w:t>
        </w:r>
        <w:r w:rsidR="00203F72" w:rsidRPr="0018341E">
          <w:rPr>
            <w:rStyle w:val="a5"/>
            <w:rFonts w:ascii="Times New Roman" w:eastAsia="新細明體" w:hAnsi="Times New Roman"/>
            <w:b/>
            <w:color w:val="FF0000"/>
          </w:rPr>
          <w:t>187</w:t>
        </w:r>
        <w:r w:rsidR="00203F72" w:rsidRPr="0018341E">
          <w:rPr>
            <w:rStyle w:val="a5"/>
            <w:rFonts w:ascii="Times New Roman" w:eastAsia="新細明體" w:hAnsi="Times New Roman"/>
            <w:b/>
            <w:color w:val="FF0000"/>
          </w:rPr>
          <w:t>條</w:t>
        </w:r>
      </w:hyperlink>
      <w:r w:rsidR="00203F72" w:rsidRPr="0018341E">
        <w:rPr>
          <w:b/>
          <w:color w:val="FF0000"/>
        </w:rPr>
        <w:t>、</w:t>
      </w:r>
      <w:hyperlink r:id="rId2833" w:anchor="a197" w:history="1">
        <w:r w:rsidR="00203F72" w:rsidRPr="0018341E">
          <w:rPr>
            <w:rStyle w:val="a5"/>
            <w:rFonts w:ascii="Times New Roman" w:eastAsia="新細明體" w:hAnsi="Times New Roman"/>
            <w:b/>
            <w:color w:val="FF0000"/>
          </w:rPr>
          <w:t>第</w:t>
        </w:r>
        <w:r w:rsidR="00203F72" w:rsidRPr="0018341E">
          <w:rPr>
            <w:rStyle w:val="a5"/>
            <w:rFonts w:ascii="Times New Roman" w:eastAsia="新細明體" w:hAnsi="Times New Roman"/>
            <w:b/>
            <w:color w:val="FF0000"/>
          </w:rPr>
          <w:t>197</w:t>
        </w:r>
        <w:r w:rsidR="00203F72" w:rsidRPr="0018341E">
          <w:rPr>
            <w:rStyle w:val="a5"/>
            <w:rFonts w:ascii="Times New Roman" w:eastAsia="新細明體" w:hAnsi="Times New Roman"/>
            <w:b/>
            <w:color w:val="FF0000"/>
          </w:rPr>
          <w:t>條</w:t>
        </w:r>
      </w:hyperlink>
      <w:r w:rsidR="00203F72" w:rsidRPr="006E0E2F">
        <w:t>、</w:t>
      </w:r>
      <w:hyperlink r:id="rId2834" w:anchor="a110" w:history="1">
        <w:r w:rsidR="00203F72" w:rsidRPr="00D40983">
          <w:rPr>
            <w:rStyle w:val="a5"/>
            <w:rFonts w:ascii="Times New Roman" w:eastAsia="新細明體" w:hAnsi="Times New Roman"/>
          </w:rPr>
          <w:t>第</w:t>
        </w:r>
        <w:r w:rsidR="00203F72" w:rsidRPr="00D40983">
          <w:rPr>
            <w:rStyle w:val="a5"/>
            <w:rFonts w:ascii="Times New Roman" w:eastAsia="新細明體" w:hAnsi="Times New Roman"/>
          </w:rPr>
          <w:t>110</w:t>
        </w:r>
        <w:r w:rsidR="00203F72" w:rsidRPr="00D40983">
          <w:rPr>
            <w:rStyle w:val="a5"/>
            <w:rFonts w:ascii="Times New Roman" w:eastAsia="新細明體" w:hAnsi="Times New Roman"/>
          </w:rPr>
          <w:t>條</w:t>
        </w:r>
      </w:hyperlink>
      <w:r w:rsidR="00203F72" w:rsidRPr="006E0E2F">
        <w:t>、</w:t>
      </w:r>
      <w:hyperlink r:id="rId2835" w:anchor="a111" w:history="1">
        <w:r w:rsidR="00203F72" w:rsidRPr="00D40983">
          <w:rPr>
            <w:rStyle w:val="a5"/>
            <w:rFonts w:ascii="Times New Roman" w:eastAsia="新細明體" w:hAnsi="Times New Roman"/>
          </w:rPr>
          <w:t>第</w:t>
        </w:r>
        <w:r w:rsidR="00203F72" w:rsidRPr="00D40983">
          <w:rPr>
            <w:rStyle w:val="a5"/>
            <w:rFonts w:ascii="Times New Roman" w:eastAsia="新細明體" w:hAnsi="Times New Roman"/>
          </w:rPr>
          <w:t>111</w:t>
        </w:r>
        <w:r w:rsidR="00203F72" w:rsidRPr="00D40983">
          <w:rPr>
            <w:rStyle w:val="a5"/>
            <w:rFonts w:ascii="Times New Roman" w:eastAsia="新細明體" w:hAnsi="Times New Roman"/>
          </w:rPr>
          <w:t>條</w:t>
        </w:r>
      </w:hyperlink>
      <w:r w:rsidR="00203F72" w:rsidRPr="006E0E2F">
        <w:t>及</w:t>
      </w:r>
      <w:hyperlink r:id="rId2836" w:anchor="a147" w:history="1">
        <w:r w:rsidR="00203F72" w:rsidRPr="00D40983">
          <w:rPr>
            <w:rStyle w:val="a5"/>
            <w:rFonts w:ascii="Times New Roman" w:eastAsia="新細明體" w:hAnsi="Times New Roman"/>
          </w:rPr>
          <w:t>第</w:t>
        </w:r>
        <w:r w:rsidR="00203F72" w:rsidRPr="00D40983">
          <w:rPr>
            <w:rStyle w:val="a5"/>
            <w:rFonts w:ascii="Times New Roman" w:eastAsia="新細明體" w:hAnsi="Times New Roman"/>
          </w:rPr>
          <w:t>147</w:t>
        </w:r>
        <w:r w:rsidR="00203F72" w:rsidRPr="00D40983">
          <w:rPr>
            <w:rStyle w:val="a5"/>
            <w:rFonts w:ascii="Times New Roman" w:eastAsia="新細明體" w:hAnsi="Times New Roman"/>
          </w:rPr>
          <w:t>等</w:t>
        </w:r>
      </w:hyperlink>
      <w:r w:rsidR="00203F72" w:rsidRPr="006E0E2F">
        <w:t>條之規定，均欠缺各省、各縣市財政之間，應取得合理平衡之實際補助，與劃歸比例之憲法規定。本書認為，為了兼顧六都與非六都之財政與建設，有關於中央政府補助或劃歸給非六都之財政比例，宜有憲法之規範為佳。</w:t>
      </w:r>
      <w:r w:rsidR="00E91F89">
        <w:rPr>
          <w:rFonts w:hint="eastAsia"/>
          <w:color w:val="FFFFFF" w:themeColor="background1"/>
        </w:rPr>
        <w:t>〈</w:t>
      </w:r>
      <w:r w:rsidR="0018341E" w:rsidRPr="0018341E">
        <w:rPr>
          <w:rFonts w:hint="eastAsia"/>
          <w:color w:val="FFFFFF" w:themeColor="background1"/>
        </w:rPr>
        <w:t>@</w:t>
      </w:r>
      <w:r w:rsidR="00E91F89">
        <w:rPr>
          <w:rFonts w:hint="eastAsia"/>
          <w:color w:val="FFFFFF" w:themeColor="background1"/>
        </w:rPr>
        <w:t>〉</w:t>
      </w:r>
    </w:p>
    <w:p w14:paraId="010FA4D9" w14:textId="77777777" w:rsidR="00953151" w:rsidRPr="006E0E2F" w:rsidRDefault="00BF2553" w:rsidP="00D87D91">
      <w:r w:rsidRPr="006E0E2F">
        <w:t xml:space="preserve">　　</w:t>
      </w:r>
      <w:r w:rsidR="00203F72" w:rsidRPr="006E0E2F">
        <w:t>上述之事項，如明定於我國憲法之中，可確保我國中央與地方政府稅課統籌分配部分，能以更加公平之方式加以設計，防止非六都之財政與建設，被國家空洞化；財政收支劃分之大原則與精神，之所以須以憲法明定，可防止居住於非六都之縣民，淪落成為台灣之次等或三等公民。</w:t>
      </w:r>
    </w:p>
    <w:p w14:paraId="5033D05A" w14:textId="77777777" w:rsidR="00145751" w:rsidRDefault="00145751" w:rsidP="007443F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6ECCFD63" w14:textId="77777777" w:rsidR="00145751" w:rsidRDefault="00145751" w:rsidP="00D87D91"/>
    <w:p w14:paraId="4921AB76" w14:textId="77777777" w:rsidR="00953151" w:rsidRDefault="00203F72" w:rsidP="00767F37">
      <w:pPr>
        <w:pStyle w:val="2"/>
      </w:pPr>
      <w:bookmarkStart w:id="162" w:name="_參拾玖、我國憲法宜將國防力量明文定位為「防衛型」及「正義型」之兵役用途"/>
      <w:bookmarkEnd w:id="162"/>
      <w:r w:rsidRPr="00A53581">
        <w:t>參拾玖、我國憲法宜將國防力量明文定位為「防衛型」及「正義型」之兵役用途</w:t>
      </w:r>
      <w:r w:rsidRPr="00A53581">
        <w:t xml:space="preserve"> </w:t>
      </w:r>
    </w:p>
    <w:p w14:paraId="2BBBA84F" w14:textId="77777777" w:rsidR="00953151" w:rsidRPr="006E0E2F" w:rsidRDefault="00BF2553" w:rsidP="00D87D91">
      <w:r w:rsidRPr="006E0E2F">
        <w:t xml:space="preserve">　　</w:t>
      </w:r>
      <w:r w:rsidR="00203F72" w:rsidRPr="006E0E2F">
        <w:t>我國憲法宜仿照德國基本法第二十六條</w:t>
      </w:r>
      <w:r w:rsidR="00203F72" w:rsidRPr="006E0E2F">
        <w:footnoteReference w:id="1142"/>
      </w:r>
      <w:r w:rsidR="00203F72" w:rsidRPr="006E0E2F">
        <w:t>及日本憲法第九條之規定，明文放棄侵略戰爭。根據我國憲法</w:t>
      </w:r>
      <w:hyperlink r:id="rId2837"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6E0E2F">
        <w:t>第</w:t>
      </w:r>
      <w:r w:rsidR="00203F72" w:rsidRPr="006E0E2F">
        <w:t>1</w:t>
      </w:r>
      <w:r w:rsidR="00203F72" w:rsidRPr="006E0E2F">
        <w:t>項之規定，並無法確切地得知，我國憲法是否將國防力量限定於防衛型及正義型之戰？為了保衛國家安全，在中華民國的生存，面臨非常巨大之軍事威脅之際，我國憲法</w:t>
      </w:r>
      <w:hyperlink r:id="rId2838"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6E0E2F">
        <w:t>第</w:t>
      </w:r>
      <w:r w:rsidR="00203F72" w:rsidRPr="006E0E2F">
        <w:t>1</w:t>
      </w:r>
      <w:r w:rsidR="00203F72" w:rsidRPr="006E0E2F">
        <w:t>項之規定，是否有效地防制</w:t>
      </w:r>
      <w:r w:rsidR="00203F72" w:rsidRPr="006E0E2F">
        <w:t>(</w:t>
      </w:r>
      <w:r w:rsidR="00203F72" w:rsidRPr="006E0E2F">
        <w:t>禁止</w:t>
      </w:r>
      <w:r w:rsidR="00203F72" w:rsidRPr="006E0E2F">
        <w:t>)</w:t>
      </w:r>
      <w:r w:rsidR="00203F72" w:rsidRPr="006E0E2F">
        <w:t>國軍採行主動式、先發式及攻擊式之第一擊，亦即，我國憲法</w:t>
      </w:r>
      <w:hyperlink r:id="rId2839"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6E0E2F">
        <w:t>第</w:t>
      </w:r>
      <w:r w:rsidR="00203F72" w:rsidRPr="006E0E2F">
        <w:t>1</w:t>
      </w:r>
      <w:r w:rsidR="00203F72" w:rsidRPr="006E0E2F">
        <w:t>項是否禁止國軍先發制人？不無疑義。</w:t>
      </w:r>
    </w:p>
    <w:p w14:paraId="59349B64" w14:textId="77777777" w:rsidR="00203F72" w:rsidRPr="006E0E2F" w:rsidRDefault="00BF2553" w:rsidP="00D87D91">
      <w:r w:rsidRPr="006E0E2F">
        <w:t xml:space="preserve">　　</w:t>
      </w:r>
      <w:r w:rsidR="00203F72" w:rsidRPr="006E0E2F">
        <w:t>再者，為了保衛國家安全，我國可否發動侵略戰爭，亦存有爭議性；主要之法理，在於我國憲法</w:t>
      </w:r>
      <w:hyperlink r:id="rId2840"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6E0E2F">
        <w:t>第</w:t>
      </w:r>
      <w:r w:rsidR="00203F72" w:rsidRPr="006E0E2F">
        <w:t>1</w:t>
      </w:r>
      <w:r w:rsidR="00203F72" w:rsidRPr="006E0E2F">
        <w:t>項並未明文禁止侵略戰爭。為了防止我國發動侵略戰爭，我國憲法應將國防力量之運用，明文定位為「防衛型」及「正義型」，而非主動攻擊型之戰爭。何謂「正義型」之戰？以美國侵入伊拉克為例，假若我國派遣軍隊數千人協助美軍後勤補給之工作，此舉之行為，因考量美國侵入伊拉克之行為，係屬於侵略戰爭，違反聯合國憲章第一條</w:t>
      </w:r>
      <w:r w:rsidR="00203F72" w:rsidRPr="006E0E2F">
        <w:footnoteReference w:id="1143"/>
      </w:r>
      <w:r w:rsidR="00203F72" w:rsidRPr="006E0E2F">
        <w:t>、第三十三條</w:t>
      </w:r>
      <w:r w:rsidR="00203F72" w:rsidRPr="006E0E2F">
        <w:footnoteReference w:id="1144"/>
      </w:r>
      <w:r w:rsidR="00203F72" w:rsidRPr="006E0E2F">
        <w:t>及第五十一條</w:t>
      </w:r>
      <w:r w:rsidR="00203F72" w:rsidRPr="006E0E2F">
        <w:footnoteReference w:id="1145"/>
      </w:r>
      <w:r w:rsidR="00203F72" w:rsidRPr="006E0E2F">
        <w:t>之規定，聯合國憲章</w:t>
      </w:r>
      <w:hyperlink r:id="rId2841" w:anchor="a51" w:history="1">
        <w:r w:rsidR="00203F72" w:rsidRPr="006937CE">
          <w:rPr>
            <w:rStyle w:val="a5"/>
            <w:rFonts w:ascii="Times New Roman" w:eastAsia="新細明體" w:hAnsi="Times New Roman"/>
          </w:rPr>
          <w:t>第</w:t>
        </w:r>
        <w:r w:rsidR="00203F72" w:rsidRPr="006937CE">
          <w:rPr>
            <w:rStyle w:val="a5"/>
            <w:rFonts w:ascii="Times New Roman" w:eastAsia="新細明體" w:hAnsi="Times New Roman"/>
          </w:rPr>
          <w:t>51</w:t>
        </w:r>
        <w:r w:rsidR="00203F72" w:rsidRPr="006937CE">
          <w:rPr>
            <w:rStyle w:val="a5"/>
            <w:rFonts w:ascii="Times New Roman" w:eastAsia="新細明體" w:hAnsi="Times New Roman"/>
          </w:rPr>
          <w:t>條</w:t>
        </w:r>
      </w:hyperlink>
      <w:r w:rsidR="00203F72" w:rsidRPr="006E0E2F">
        <w:t>對自衛權做出明確之規定，即某一個國家受到實際發生之武力攻擊時，始能使用武力自衛。</w:t>
      </w:r>
    </w:p>
    <w:p w14:paraId="523A2A1D" w14:textId="77777777" w:rsidR="00953151" w:rsidRPr="006E0E2F" w:rsidRDefault="00BF2553" w:rsidP="00D87D91">
      <w:r w:rsidRPr="006E0E2F">
        <w:t xml:space="preserve">　　</w:t>
      </w:r>
      <w:r w:rsidR="00203F72" w:rsidRPr="006E0E2F">
        <w:t>換言之，聯合國任何會員國受武力政擊時，在安全理事會採取必要辦法，以維持國際和平及安全以前，受武力政擊之被侵略國，可以行使單獨或集體自衛之自然權利。在本案中，美國未受到武力政擊，故假若我國派遣軍隊協助美軍後勤補給，事實上，此種國防力量之運用，即屬於「非正義型」的兵役用途。</w:t>
      </w:r>
    </w:p>
    <w:p w14:paraId="1C6E6BC3" w14:textId="77777777" w:rsidR="00203F72" w:rsidRPr="006E0E2F" w:rsidRDefault="00BF2553" w:rsidP="00D87D91">
      <w:r w:rsidRPr="006E0E2F">
        <w:t xml:space="preserve">　　</w:t>
      </w:r>
      <w:r w:rsidR="00203F72" w:rsidRPr="006E0E2F">
        <w:t>此外，根據常律和尚的見解，中華民國的國防力量，宜朝以下的方向發展</w:t>
      </w:r>
      <w:r w:rsidR="00203F72" w:rsidRPr="006E0E2F">
        <w:footnoteReference w:id="1146"/>
      </w:r>
      <w:r w:rsidR="00203F72" w:rsidRPr="006E0E2F">
        <w:t>：</w:t>
      </w:r>
    </w:p>
    <w:p w14:paraId="5328C76B" w14:textId="77777777" w:rsidR="00BF2553" w:rsidRPr="006E0E2F" w:rsidRDefault="00BF2553" w:rsidP="00D87D91">
      <w:r w:rsidRPr="006E0E2F">
        <w:rPr>
          <w:rFonts w:hint="eastAsia"/>
        </w:rPr>
        <w:t xml:space="preserve">　　</w:t>
      </w:r>
      <w:r w:rsidRPr="006E0E2F">
        <w:rPr>
          <w:rFonts w:hint="eastAsia"/>
        </w:rPr>
        <w:t>1.</w:t>
      </w:r>
      <w:r w:rsidRPr="006E0E2F">
        <w:rPr>
          <w:rFonts w:hint="eastAsia"/>
        </w:rPr>
        <w:t>依據往例，外力攻擊台灣的戰爭，諸如：台灣於</w:t>
      </w:r>
      <w:r w:rsidRPr="006E0E2F">
        <w:rPr>
          <w:rFonts w:hint="eastAsia"/>
        </w:rPr>
        <w:t>1616</w:t>
      </w:r>
      <w:r w:rsidRPr="006E0E2F">
        <w:rPr>
          <w:rFonts w:hint="eastAsia"/>
        </w:rPr>
        <w:t>年遭西班牙入侵北台灣、</w:t>
      </w:r>
      <w:r w:rsidRPr="006E0E2F">
        <w:rPr>
          <w:rFonts w:hint="eastAsia"/>
        </w:rPr>
        <w:t>1624</w:t>
      </w:r>
      <w:r w:rsidRPr="006E0E2F">
        <w:rPr>
          <w:rFonts w:hint="eastAsia"/>
        </w:rPr>
        <w:t>年遭荷蘭入侵南台灣、</w:t>
      </w:r>
      <w:r w:rsidRPr="006E0E2F">
        <w:rPr>
          <w:rFonts w:hint="eastAsia"/>
        </w:rPr>
        <w:t>1662</w:t>
      </w:r>
      <w:r w:rsidRPr="006E0E2F">
        <w:rPr>
          <w:rFonts w:hint="eastAsia"/>
        </w:rPr>
        <w:t>年遭鄭成功攻台驅逐荷蘭、</w:t>
      </w:r>
      <w:r w:rsidRPr="006E0E2F">
        <w:rPr>
          <w:rFonts w:hint="eastAsia"/>
        </w:rPr>
        <w:t>1683</w:t>
      </w:r>
      <w:r w:rsidRPr="006E0E2F">
        <w:rPr>
          <w:rFonts w:hint="eastAsia"/>
        </w:rPr>
        <w:t>年遭清兵攻台收復台灣、</w:t>
      </w:r>
      <w:r w:rsidRPr="006E0E2F">
        <w:rPr>
          <w:rFonts w:hint="eastAsia"/>
        </w:rPr>
        <w:t>1895</w:t>
      </w:r>
      <w:r w:rsidRPr="006E0E2F">
        <w:rPr>
          <w:rFonts w:hint="eastAsia"/>
        </w:rPr>
        <w:t>年遭日本入侵台灣，前後台海共發生</w:t>
      </w:r>
      <w:r w:rsidRPr="006E0E2F">
        <w:rPr>
          <w:rFonts w:hint="eastAsia"/>
        </w:rPr>
        <w:t>5</w:t>
      </w:r>
      <w:r w:rsidRPr="006E0E2F">
        <w:rPr>
          <w:rFonts w:hint="eastAsia"/>
        </w:rPr>
        <w:t>次海陸大戰役，皆是數天的戰爭。由此可知，台灣屬於易攻難守的戰地，在國防武器之充實方面，我方應以購置防衛武器為重，攻擊武器為輔，我方甚至不購置攻擊武器。</w:t>
      </w:r>
    </w:p>
    <w:p w14:paraId="5E773AD2" w14:textId="77777777" w:rsidR="00BF2553" w:rsidRPr="006E0E2F" w:rsidRDefault="00BF2553" w:rsidP="00D87D91">
      <w:r w:rsidRPr="006E0E2F">
        <w:rPr>
          <w:rFonts w:hint="eastAsia"/>
        </w:rPr>
        <w:t xml:space="preserve">　　</w:t>
      </w:r>
      <w:r w:rsidRPr="006E0E2F">
        <w:rPr>
          <w:rFonts w:hint="eastAsia"/>
        </w:rPr>
        <w:t>2.</w:t>
      </w:r>
      <w:r w:rsidRPr="006E0E2F">
        <w:rPr>
          <w:rFonts w:hint="eastAsia"/>
        </w:rPr>
        <w:t>中華民國的國防力量，應以防衛為主。</w:t>
      </w:r>
    </w:p>
    <w:p w14:paraId="1F187A29" w14:textId="77777777" w:rsidR="00BF2553" w:rsidRPr="006E0E2F" w:rsidRDefault="00BF2553" w:rsidP="00D87D91">
      <w:r w:rsidRPr="006E0E2F">
        <w:rPr>
          <w:rFonts w:hint="eastAsia"/>
        </w:rPr>
        <w:t xml:space="preserve">　　</w:t>
      </w:r>
      <w:r w:rsidRPr="006E0E2F">
        <w:rPr>
          <w:rFonts w:hint="eastAsia"/>
        </w:rPr>
        <w:t>3.</w:t>
      </w:r>
      <w:r w:rsidRPr="006E0E2F">
        <w:rPr>
          <w:rFonts w:hint="eastAsia"/>
        </w:rPr>
        <w:t>中華民國的國防力量，我方應以應以購置或研製各式飛彈為主，台灣應大量購置防衛性精密飛彈，佈防全台，我方政府宜傾全力地研發製造各種精密飛彈，於台灣四周布滿萬個以上中短程飛彈，諸如：「地對空飛彈」、「</w:t>
      </w:r>
      <w:r w:rsidRPr="006E0E2F">
        <w:rPr>
          <w:rFonts w:hint="eastAsia"/>
        </w:rPr>
        <w:t xml:space="preserve"> </w:t>
      </w:r>
      <w:r w:rsidRPr="006E0E2F">
        <w:rPr>
          <w:rFonts w:hint="eastAsia"/>
        </w:rPr>
        <w:t>地對地飛彈」、「地對海飛彈」三種，以保衛台海安全。</w:t>
      </w:r>
    </w:p>
    <w:p w14:paraId="091331A4" w14:textId="77777777" w:rsidR="00BF2553" w:rsidRPr="006E0E2F" w:rsidRDefault="00BF2553" w:rsidP="00D87D91">
      <w:r w:rsidRPr="006E0E2F">
        <w:rPr>
          <w:rFonts w:hint="eastAsia"/>
        </w:rPr>
        <w:t xml:space="preserve">　　</w:t>
      </w:r>
      <w:r w:rsidRPr="006E0E2F">
        <w:t>4.</w:t>
      </w:r>
      <w:r w:rsidRPr="006E0E2F">
        <w:rPr>
          <w:rFonts w:hint="eastAsia"/>
        </w:rPr>
        <w:t>我方政府為何須要傾全力地研發、製造各種精密飛彈？理由何在？其背後的戰爭哲學，台海之戰爭，它是屬於一種極度不對稱、不對等的戰爭，屬於以小撃大的戰爭，台灣一顆飛彈，就可擊落中共一架造價昂貴的軍機；台灣一顆飛彈，即可擊沉一艘巨大的中共航空母艦及戰艦。</w:t>
      </w:r>
    </w:p>
    <w:p w14:paraId="406423A4" w14:textId="77777777" w:rsidR="00BF2553" w:rsidRPr="006E0E2F" w:rsidRDefault="00BF2553" w:rsidP="00D87D91">
      <w:r w:rsidRPr="006E0E2F">
        <w:rPr>
          <w:rFonts w:hint="eastAsia"/>
        </w:rPr>
        <w:t xml:space="preserve">　　</w:t>
      </w:r>
      <w:r w:rsidRPr="006E0E2F">
        <w:rPr>
          <w:rFonts w:hint="eastAsia"/>
        </w:rPr>
        <w:t>5.</w:t>
      </w:r>
      <w:r w:rsidRPr="006E0E2F">
        <w:rPr>
          <w:rFonts w:hint="eastAsia"/>
        </w:rPr>
        <w:t>台灣的國防力量，不應以攻打大陸對岸為考量，故我方可放棄攻擊型的國防力量。</w:t>
      </w:r>
    </w:p>
    <w:p w14:paraId="5CB813DB" w14:textId="77777777" w:rsidR="00203F72" w:rsidRPr="006E0E2F" w:rsidRDefault="00BF2553" w:rsidP="00D87D91">
      <w:r w:rsidRPr="006E0E2F">
        <w:rPr>
          <w:rFonts w:hint="eastAsia"/>
        </w:rPr>
        <w:t xml:space="preserve">　　</w:t>
      </w:r>
      <w:r w:rsidRPr="006E0E2F">
        <w:rPr>
          <w:rFonts w:hint="eastAsia"/>
        </w:rPr>
        <w:t>6.</w:t>
      </w:r>
      <w:r w:rsidRPr="006E0E2F">
        <w:rPr>
          <w:rFonts w:hint="eastAsia"/>
        </w:rPr>
        <w:t>假若兩岸不幸發生戰爭，我方各式飛彈之優點，係我方可以運用各種中長程飛彈，攻擊、破壞對岸中共大陸各個軍用飛機場，令軍機無法起飛；我方亦可攻擊對岸大陸各軍港，令軍艦無法出航，瓦解對方攻擊武器的力量，達到防衛中華民國的國防之目的。</w:t>
      </w:r>
    </w:p>
    <w:p w14:paraId="1CDEAB20" w14:textId="77777777" w:rsidR="00203F72" w:rsidRPr="006E0E2F" w:rsidRDefault="00BF2553" w:rsidP="00D87D91">
      <w:r w:rsidRPr="006E0E2F">
        <w:t xml:space="preserve">　　</w:t>
      </w:r>
      <w:r w:rsidR="00203F72" w:rsidRPr="006E0E2F">
        <w:t>本書相當認同上述常律和尚的見解，亦即，中華民國的國防力量，</w:t>
      </w:r>
      <w:r w:rsidR="00203F72" w:rsidRPr="006E0E2F">
        <w:t xml:space="preserve"> </w:t>
      </w:r>
      <w:r w:rsidR="00203F72" w:rsidRPr="006E0E2F">
        <w:t>應聚焦於防衛型的兵役用途，放棄攻擊型的戰略與戰術。我國憲法更應明文禁止發動侵略型之戰爭，包括為侵略國</w:t>
      </w:r>
      <w:r w:rsidR="00203F72" w:rsidRPr="006E0E2F">
        <w:t>(</w:t>
      </w:r>
      <w:r w:rsidR="00203F72" w:rsidRPr="006E0E2F">
        <w:t>諸如攻打伊拉克的美國政府</w:t>
      </w:r>
      <w:r w:rsidR="00203F72" w:rsidRPr="006E0E2F">
        <w:t>)</w:t>
      </w:r>
      <w:r w:rsidR="00203F72" w:rsidRPr="006E0E2F">
        <w:t>提供各式後勤與補足工作。本書雖主張我國憲法宜將國防力量明文定位為「防衛型」及「正義型」之武力戰爭，但為了防衛中華民國的國家安全與生存，我國亦宜不斷積極地充實國防力量。以上之兩種主張，是可相互並存，並不互斥。在充實國防力量部分，前述常律和尚的見解</w:t>
      </w:r>
      <w:r w:rsidR="00D92F56" w:rsidRPr="006E0E2F">
        <w:t>〜</w:t>
      </w:r>
      <w:r w:rsidR="00203F72" w:rsidRPr="006E0E2F">
        <w:t>充實我國飛彈的質與量，相當具有參考性。</w:t>
      </w:r>
    </w:p>
    <w:p w14:paraId="2557BA0D" w14:textId="77777777" w:rsidR="00203F72" w:rsidRPr="006E0E2F" w:rsidRDefault="00145751" w:rsidP="00D87D91">
      <w:r w:rsidRPr="006E0E2F">
        <w:t xml:space="preserve">　　</w:t>
      </w:r>
      <w:r w:rsidR="00203F72" w:rsidRPr="006E0E2F">
        <w:t>從國家安全與軍事安全之角度而論，中華民國最大的國家生存危機，係來自於中國大陸的軍事威脅與恐嚇，即中國不放棄利用軍事武力，解決兩岸之政治上之問題。假若兩岸因政治上之問題而開戰，這是一個非常不明智與不理性的選擇，理論上，政治談判亦可解決兩岸政治上之問題。利用軍事手段解決政治問題，不管是攻擊方或防守方，均會交戰，造成對方軍人與民眾之死亡，這是一個殺生的行為，是非常不理性的作為。</w:t>
      </w:r>
    </w:p>
    <w:p w14:paraId="31894CE1" w14:textId="77777777" w:rsidR="00203F72" w:rsidRPr="006E0E2F" w:rsidRDefault="00BF2553" w:rsidP="00D87D91">
      <w:r w:rsidRPr="006E0E2F">
        <w:t xml:space="preserve">　　</w:t>
      </w:r>
      <w:r w:rsidR="00203F72" w:rsidRPr="006E0E2F">
        <w:t>依照宗教中之佛教之觀點，在「慈悲三昧水懺」之經文中，亦提及戰爭中之殺人行為</w:t>
      </w:r>
      <w:r w:rsidR="00D92F56" w:rsidRPr="006E0E2F">
        <w:t>〜</w:t>
      </w:r>
      <w:r w:rsidR="00203F72" w:rsidRPr="006E0E2F">
        <w:t>不論是攻擊方或是防守方，其果報與下場，是非常悽慘與恐怖。於「慈悲三昧水懺」中卷提及：「又復無始以來至於今日，或復興師相伐疆場交爭，兩陣相向更相殺害</w:t>
      </w:r>
      <w:r w:rsidR="00D92F56" w:rsidRPr="006E0E2F">
        <w:t>〜</w:t>
      </w:r>
      <w:r w:rsidR="00203F72" w:rsidRPr="006E0E2F">
        <w:t>凡夫識闇不覺不知，今日發露皆悉懺悔。」根據以上之經文，假若兩岸開戰，恐無法避免「兩陣相向更相殺害」，亦即，中華民國國軍與中國大陸之人民解放軍於戰爭中互殺，此種殺害對方軍人之行為，是一種殺人與殺生的行為，是非常不好之行為。</w:t>
      </w:r>
    </w:p>
    <w:p w14:paraId="7B572A80" w14:textId="77777777" w:rsidR="00953151" w:rsidRPr="006E0E2F" w:rsidRDefault="00BF2553" w:rsidP="00D87D91">
      <w:r w:rsidRPr="006E0E2F">
        <w:t xml:space="preserve">　　</w:t>
      </w:r>
      <w:r w:rsidR="00203F72" w:rsidRPr="006E0E2F">
        <w:t>兩岸之人民，</w:t>
      </w:r>
      <w:r w:rsidR="00203F72" w:rsidRPr="006E0E2F">
        <w:t xml:space="preserve"> </w:t>
      </w:r>
      <w:r w:rsidR="00203F72" w:rsidRPr="006E0E2F">
        <w:t>為了解決政治之歧見，宜用「理性談判」取代非理性之戰爭為佳，似宜發展出一種雙贏之機制，而非殺人之作法。故本書非常強烈地建議，兩岸之人民，宜極力避免「兩陣相向更相殺害」之殺人行為。上述「慈悲三昧水懺」之經文，亦值得吾人思考中華民國國軍與中國大陸之人民解放軍於戰爭中互殺，究竟其下場為何？有何種價值？會產生何種之共業、別業與副作用？這些問題，均宜深入思考之。根據作者對於上述「慈悲三昧水懺」經文之了解，上述之問題，其答案乃為：兩岸戰爭並無任何正面之價值，且會產生極大，且超乎吾人所能想像之副作用。</w:t>
      </w:r>
    </w:p>
    <w:p w14:paraId="5A067DBD" w14:textId="77777777" w:rsidR="00145751" w:rsidRDefault="00145751" w:rsidP="007443F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612A4A2" w14:textId="77777777" w:rsidR="00145751" w:rsidRDefault="00145751" w:rsidP="00D87D91"/>
    <w:p w14:paraId="5442C70C" w14:textId="77777777" w:rsidR="00953151" w:rsidRDefault="00203F72" w:rsidP="00767F37">
      <w:pPr>
        <w:pStyle w:val="2"/>
      </w:pPr>
      <w:bookmarkStart w:id="163" w:name="_肆拾、婦女有從事民事、衛生、醫護，但非第一線戰鬥性及攻擊性勤務之兵役義"/>
      <w:bookmarkEnd w:id="163"/>
      <w:r w:rsidRPr="00A53581">
        <w:t>肆拾、婦女有從事民事、衛生、醫護，但非第一線戰鬥性及攻擊性勤務之兵役義務</w:t>
      </w:r>
    </w:p>
    <w:p w14:paraId="20DAFC4A" w14:textId="77777777" w:rsidR="00953151" w:rsidRPr="007443FD" w:rsidRDefault="00BF2553" w:rsidP="007443FD">
      <w:r w:rsidRPr="007443FD">
        <w:t xml:space="preserve">　　</w:t>
      </w:r>
      <w:r w:rsidR="00203F72" w:rsidRPr="007443FD">
        <w:t>首先，就芬蘭憲法而論，依照芬蘭憲法第</w:t>
      </w:r>
      <w:r w:rsidR="00203F72" w:rsidRPr="007443FD">
        <w:t>127</w:t>
      </w:r>
      <w:r w:rsidR="00203F72" w:rsidRPr="007443FD">
        <w:t>條之規定</w:t>
      </w:r>
      <w:r w:rsidR="00203F72" w:rsidRPr="007443FD">
        <w:footnoteReference w:id="1147"/>
      </w:r>
      <w:r w:rsidR="00203F72" w:rsidRPr="007443FD">
        <w:t>，每一位芬蘭之公民，具有憲法上之義務，應參與或協助國防事務。再次，就德國基本法而論，我國宜比照德國基本法第</w:t>
      </w:r>
      <w:r w:rsidR="00203F72" w:rsidRPr="007443FD">
        <w:t>12</w:t>
      </w:r>
      <w:r w:rsidR="00203F72" w:rsidRPr="007443FD">
        <w:t>條之</w:t>
      </w:r>
      <w:r w:rsidR="00203F72" w:rsidRPr="007443FD">
        <w:t>1</w:t>
      </w:r>
      <w:r w:rsidR="00203F72" w:rsidRPr="007443FD">
        <w:t>之立法例，即當中華民國遭受外來武力之攻擊，為了保衛國家之生存，當志願性人力不足，且於必要時，宜賦予政府有徵召婦女從事民事、衛生、醫護，但非戰鬥性及非攻擊性勤務之權力，以保障中華民國之存續。</w:t>
      </w:r>
    </w:p>
    <w:p w14:paraId="0C0D7010" w14:textId="77777777" w:rsidR="00203F72" w:rsidRPr="007443FD" w:rsidRDefault="00BF2553" w:rsidP="007443FD">
      <w:r w:rsidRPr="007443FD">
        <w:rPr>
          <w:rFonts w:hint="eastAsia"/>
        </w:rPr>
        <w:t xml:space="preserve">　　</w:t>
      </w:r>
      <w:r w:rsidR="00203F72" w:rsidRPr="007443FD">
        <w:rPr>
          <w:rFonts w:hint="eastAsia"/>
        </w:rPr>
        <w:t>復次，根據以色列政府之規定，年</w:t>
      </w:r>
      <w:r w:rsidR="00203F72" w:rsidRPr="007443FD">
        <w:t>滿十八歲的女性</w:t>
      </w:r>
      <w:r w:rsidR="00203F72" w:rsidRPr="007443FD">
        <w:rPr>
          <w:rFonts w:hint="eastAsia"/>
        </w:rPr>
        <w:t>(female)</w:t>
      </w:r>
      <w:r w:rsidR="00203F72" w:rsidRPr="007443FD">
        <w:t>，均必須服兵役。</w:t>
      </w:r>
      <w:r w:rsidR="00203F72" w:rsidRPr="007443FD">
        <w:rPr>
          <w:rFonts w:hint="eastAsia"/>
        </w:rPr>
        <w:t>年滿</w:t>
      </w:r>
      <w:r w:rsidR="00203F72" w:rsidRPr="007443FD">
        <w:rPr>
          <w:rFonts w:hint="eastAsia"/>
        </w:rPr>
        <w:t>18</w:t>
      </w:r>
      <w:r w:rsidR="00203F72" w:rsidRPr="007443FD">
        <w:rPr>
          <w:rFonts w:hint="eastAsia"/>
        </w:rPr>
        <w:t>歲之成年男女，可以根據自己之意願及志趣，選擇服務於以色列國防軍</w:t>
      </w:r>
      <w:r w:rsidR="00203F72" w:rsidRPr="007443FD">
        <w:rPr>
          <w:rFonts w:hint="eastAsia"/>
        </w:rPr>
        <w:t>(</w:t>
      </w:r>
      <w:r w:rsidR="00203F72" w:rsidRPr="007443FD">
        <w:t>Israel Defense Forces</w:t>
      </w:r>
      <w:r w:rsidR="00203F72" w:rsidRPr="007443FD">
        <w:rPr>
          <w:rFonts w:hint="eastAsia"/>
        </w:rPr>
        <w:t>，</w:t>
      </w:r>
      <w:r w:rsidR="00203F72" w:rsidRPr="007443FD">
        <w:t>IDF)</w:t>
      </w:r>
      <w:r w:rsidR="00203F72" w:rsidRPr="007443FD">
        <w:rPr>
          <w:rFonts w:hint="eastAsia"/>
        </w:rPr>
        <w:t>，或是服務於以色列國境警察</w:t>
      </w:r>
      <w:r w:rsidR="00203F72" w:rsidRPr="007443FD">
        <w:rPr>
          <w:rFonts w:hint="eastAsia"/>
        </w:rPr>
        <w:t>(</w:t>
      </w:r>
      <w:r w:rsidR="00203F72" w:rsidRPr="007443FD">
        <w:t>Israel Border Police</w:t>
      </w:r>
      <w:r w:rsidR="00203F72" w:rsidRPr="007443FD">
        <w:rPr>
          <w:rFonts w:hint="eastAsia"/>
        </w:rPr>
        <w:t>)</w:t>
      </w:r>
      <w:r w:rsidR="00203F72" w:rsidRPr="007443FD">
        <w:rPr>
          <w:rFonts w:hint="eastAsia"/>
        </w:rPr>
        <w:t>。以色列國境警察之組織成員，係由專業之執法警察所組成之</w:t>
      </w:r>
      <w:r w:rsidR="00203F72" w:rsidRPr="007443FD">
        <w:rPr>
          <w:rFonts w:hint="eastAsia"/>
        </w:rPr>
        <w:t>(</w:t>
      </w:r>
      <w:r w:rsidR="00203F72" w:rsidRPr="007443FD">
        <w:t>The Border Police is composed of professional officers</w:t>
      </w:r>
      <w:r w:rsidR="00203F72" w:rsidRPr="007443FD">
        <w:rPr>
          <w:rFonts w:hint="eastAsia"/>
        </w:rPr>
        <w:t>)</w:t>
      </w:r>
      <w:r w:rsidR="00203F72" w:rsidRPr="007443FD">
        <w:rPr>
          <w:rFonts w:hint="eastAsia"/>
        </w:rPr>
        <w:t>，主要由以色列國防軍</w:t>
      </w:r>
      <w:r w:rsidR="00203F72" w:rsidRPr="007443FD">
        <w:rPr>
          <w:rFonts w:hint="eastAsia"/>
        </w:rPr>
        <w:t>(</w:t>
      </w:r>
      <w:r w:rsidR="00203F72" w:rsidRPr="007443FD">
        <w:t>Israel Defense Forces</w:t>
      </w:r>
      <w:r w:rsidR="00203F72" w:rsidRPr="007443FD">
        <w:rPr>
          <w:rFonts w:hint="eastAsia"/>
        </w:rPr>
        <w:t>，</w:t>
      </w:r>
      <w:r w:rsidR="00203F72" w:rsidRPr="007443FD">
        <w:t>IDF)</w:t>
      </w:r>
      <w:r w:rsidR="00203F72" w:rsidRPr="007443FD">
        <w:rPr>
          <w:rFonts w:hint="eastAsia"/>
        </w:rPr>
        <w:t>轉向而來。擔任以色列國境警察</w:t>
      </w:r>
      <w:r w:rsidR="00203F72" w:rsidRPr="007443FD">
        <w:rPr>
          <w:rFonts w:hint="eastAsia"/>
        </w:rPr>
        <w:t>3</w:t>
      </w:r>
      <w:r w:rsidR="00203F72" w:rsidRPr="007443FD">
        <w:rPr>
          <w:rFonts w:hint="eastAsia"/>
        </w:rPr>
        <w:t>年之時程，等同於在以色列國防軍</w:t>
      </w:r>
      <w:r w:rsidR="00203F72" w:rsidRPr="007443FD">
        <w:rPr>
          <w:rFonts w:hint="eastAsia"/>
        </w:rPr>
        <w:t>(</w:t>
      </w:r>
      <w:r w:rsidR="00203F72" w:rsidRPr="007443FD">
        <w:t>Israel Defense Forces</w:t>
      </w:r>
      <w:r w:rsidR="00203F72" w:rsidRPr="007443FD">
        <w:rPr>
          <w:rFonts w:hint="eastAsia"/>
        </w:rPr>
        <w:t>，</w:t>
      </w:r>
      <w:r w:rsidR="00203F72" w:rsidRPr="007443FD">
        <w:t>IDF)</w:t>
      </w:r>
      <w:r w:rsidR="00203F72" w:rsidRPr="007443FD">
        <w:rPr>
          <w:rFonts w:hint="eastAsia"/>
        </w:rPr>
        <w:t>服役</w:t>
      </w:r>
      <w:r w:rsidR="00203F72" w:rsidRPr="007443FD">
        <w:rPr>
          <w:rFonts w:hint="eastAsia"/>
        </w:rPr>
        <w:t>3</w:t>
      </w:r>
      <w:r w:rsidR="00203F72" w:rsidRPr="007443FD">
        <w:rPr>
          <w:rFonts w:hint="eastAsia"/>
        </w:rPr>
        <w:t>年之時間</w:t>
      </w:r>
      <w:r w:rsidR="00203F72" w:rsidRPr="007443FD">
        <w:rPr>
          <w:rFonts w:hint="eastAsia"/>
        </w:rPr>
        <w:t>(</w:t>
      </w:r>
      <w:r w:rsidR="00203F72" w:rsidRPr="007443FD">
        <w:t>serving 3 years as a border policeman is equal to 3 years as an IDF soldier)</w:t>
      </w:r>
      <w:r w:rsidR="00203F72" w:rsidRPr="007443FD">
        <w:footnoteReference w:id="1148"/>
      </w:r>
      <w:r w:rsidR="00545D58" w:rsidRPr="007443FD">
        <w:rPr>
          <w:rFonts w:hint="eastAsia"/>
        </w:rPr>
        <w:t>。</w:t>
      </w:r>
    </w:p>
    <w:p w14:paraId="7A90CCBB" w14:textId="77777777" w:rsidR="00953151" w:rsidRPr="007443FD" w:rsidRDefault="00BF2553" w:rsidP="007443FD">
      <w:r w:rsidRPr="007443FD">
        <w:rPr>
          <w:rFonts w:hint="eastAsia"/>
        </w:rPr>
        <w:t xml:space="preserve">　　</w:t>
      </w:r>
      <w:r w:rsidR="00203F72" w:rsidRPr="007443FD">
        <w:rPr>
          <w:rFonts w:hint="eastAsia"/>
        </w:rPr>
        <w:t>以色列國境警察</w:t>
      </w:r>
      <w:r w:rsidR="00203F72" w:rsidRPr="007443FD">
        <w:rPr>
          <w:rFonts w:hint="eastAsia"/>
        </w:rPr>
        <w:t>(</w:t>
      </w:r>
      <w:r w:rsidR="00203F72" w:rsidRPr="007443FD">
        <w:t>Israel Border Police</w:t>
      </w:r>
      <w:r w:rsidR="00203F72" w:rsidRPr="007443FD">
        <w:rPr>
          <w:rFonts w:hint="eastAsia"/>
        </w:rPr>
        <w:t>)</w:t>
      </w:r>
      <w:r w:rsidR="00203F72" w:rsidRPr="007443FD">
        <w:rPr>
          <w:rFonts w:hint="eastAsia"/>
        </w:rPr>
        <w:t>的性質，在以色列的警察體制中，係屬於具有軍事色彩的單位</w:t>
      </w:r>
      <w:r w:rsidR="00203F72" w:rsidRPr="007443FD">
        <w:rPr>
          <w:rFonts w:hint="eastAsia"/>
        </w:rPr>
        <w:t>(</w:t>
      </w:r>
      <w:r w:rsidR="00203F72" w:rsidRPr="007443FD">
        <w:t>the military branch</w:t>
      </w:r>
      <w:r w:rsidR="00203F72" w:rsidRPr="007443FD">
        <w:rPr>
          <w:rFonts w:hint="eastAsia"/>
        </w:rPr>
        <w:t>)</w:t>
      </w:r>
      <w:r w:rsidR="00203F72" w:rsidRPr="007443FD">
        <w:rPr>
          <w:rFonts w:hint="eastAsia"/>
        </w:rPr>
        <w:t>，類似於邊防武警</w:t>
      </w:r>
      <w:r w:rsidR="00203F72" w:rsidRPr="007443FD">
        <w:t>(</w:t>
      </w:r>
      <w:r w:rsidR="00203F72" w:rsidRPr="007443FD">
        <w:rPr>
          <w:rFonts w:ascii="新細明體" w:eastAsiaTheme="minorEastAsia" w:hAnsi="新細明體"/>
        </w:rPr>
        <w:t>gendarmerie</w:t>
      </w:r>
      <w:r w:rsidR="00203F72" w:rsidRPr="007443FD">
        <w:t>)</w:t>
      </w:r>
      <w:r w:rsidR="00203F72" w:rsidRPr="007443FD">
        <w:rPr>
          <w:rFonts w:hint="eastAsia"/>
        </w:rPr>
        <w:t>之組織。在希伯來語中，有關於以色列國境警察的縮寫，則以</w:t>
      </w:r>
      <w:r w:rsidR="00203F72" w:rsidRPr="007443FD">
        <w:rPr>
          <w:rFonts w:hint="eastAsia"/>
        </w:rPr>
        <w:t>Magav</w:t>
      </w:r>
      <w:r w:rsidR="00203F72" w:rsidRPr="007443FD">
        <w:rPr>
          <w:rFonts w:hint="eastAsia"/>
        </w:rPr>
        <w:t>之字</w:t>
      </w:r>
      <w:r w:rsidR="00203F72" w:rsidRPr="007443FD">
        <w:rPr>
          <w:rFonts w:hint="eastAsia"/>
        </w:rPr>
        <w:t>(</w:t>
      </w:r>
      <w:r w:rsidR="00203F72" w:rsidRPr="007443FD">
        <w:t>Hebrew abbreviation Magav</w:t>
      </w:r>
      <w:r w:rsidR="00203F72" w:rsidRPr="007443FD">
        <w:rPr>
          <w:rFonts w:hint="eastAsia"/>
        </w:rPr>
        <w:t>)</w:t>
      </w:r>
      <w:r w:rsidR="00203F72" w:rsidRPr="007443FD">
        <w:rPr>
          <w:rFonts w:hint="eastAsia"/>
        </w:rPr>
        <w:t>，聞名於世。在希伯來文之中，</w:t>
      </w:r>
      <w:r w:rsidR="00203F72" w:rsidRPr="007443FD">
        <w:rPr>
          <w:rFonts w:hint="eastAsia"/>
        </w:rPr>
        <w:t>Magav</w:t>
      </w:r>
      <w:r w:rsidR="00203F72" w:rsidRPr="007443FD">
        <w:rPr>
          <w:rFonts w:hint="eastAsia"/>
        </w:rPr>
        <w:t>的意義，代表國境警備隊之意。在希伯來語之白話口語中，</w:t>
      </w:r>
      <w:r w:rsidR="00203F72" w:rsidRPr="007443FD">
        <w:rPr>
          <w:rFonts w:hint="eastAsia"/>
        </w:rPr>
        <w:t>Magav</w:t>
      </w:r>
      <w:r w:rsidR="00203F72" w:rsidRPr="007443FD">
        <w:rPr>
          <w:rFonts w:hint="eastAsia"/>
        </w:rPr>
        <w:t>之成員，一般則被稱為</w:t>
      </w:r>
      <w:r w:rsidR="00203F72" w:rsidRPr="007443FD">
        <w:rPr>
          <w:rFonts w:hint="eastAsia"/>
        </w:rPr>
        <w:t>Magavnikim</w:t>
      </w:r>
      <w:r w:rsidR="00203F72" w:rsidRPr="007443FD">
        <w:t xml:space="preserve"> </w:t>
      </w:r>
      <w:r w:rsidR="00203F72" w:rsidRPr="007443FD">
        <w:rPr>
          <w:rFonts w:hint="eastAsia"/>
        </w:rPr>
        <w:t>(</w:t>
      </w:r>
      <w:r w:rsidR="00203F72" w:rsidRPr="007443FD">
        <w:t>its members are colloquially known as Magavnikim</w:t>
      </w:r>
      <w:r w:rsidR="00203F72" w:rsidRPr="007443FD">
        <w:rPr>
          <w:rFonts w:hint="eastAsia"/>
        </w:rPr>
        <w:t>)</w:t>
      </w:r>
      <w:r w:rsidR="00203F72" w:rsidRPr="007443FD">
        <w:rPr>
          <w:rFonts w:hint="eastAsia"/>
        </w:rPr>
        <w:t>。在英語之世界中，以色列國境警察官方正式的名稱</w:t>
      </w:r>
      <w:r w:rsidR="00203F72" w:rsidRPr="007443FD">
        <w:rPr>
          <w:rFonts w:hint="eastAsia"/>
        </w:rPr>
        <w:t>(</w:t>
      </w:r>
      <w:r w:rsidR="00203F72" w:rsidRPr="007443FD">
        <w:t>the official name of the Israel Border Police in English</w:t>
      </w:r>
      <w:r w:rsidR="00203F72" w:rsidRPr="007443FD">
        <w:rPr>
          <w:rFonts w:hint="eastAsia"/>
        </w:rPr>
        <w:t>)</w:t>
      </w:r>
      <w:r w:rsidR="00203F72" w:rsidRPr="007443FD">
        <w:rPr>
          <w:rFonts w:hint="eastAsia"/>
        </w:rPr>
        <w:t>，係為以色列國境警備隊</w:t>
      </w:r>
      <w:r w:rsidR="00203F72" w:rsidRPr="007443FD">
        <w:rPr>
          <w:rFonts w:hint="eastAsia"/>
        </w:rPr>
        <w:t>(</w:t>
      </w:r>
      <w:r w:rsidR="00203F72" w:rsidRPr="007443FD">
        <w:t xml:space="preserve">Border Guard </w:t>
      </w:r>
      <w:r w:rsidR="00203F72" w:rsidRPr="007443FD">
        <w:rPr>
          <w:rFonts w:hint="eastAsia"/>
        </w:rPr>
        <w:t>)(</w:t>
      </w:r>
      <w:r w:rsidR="00203F72" w:rsidRPr="007443FD">
        <w:rPr>
          <w:rFonts w:hint="eastAsia"/>
        </w:rPr>
        <w:t>性質近似於邊防武警</w:t>
      </w:r>
      <w:r w:rsidR="00203F72" w:rsidRPr="007443FD">
        <w:rPr>
          <w:rFonts w:hint="eastAsia"/>
        </w:rPr>
        <w:t>)</w:t>
      </w:r>
      <w:r w:rsidR="00203F72" w:rsidRPr="007443FD">
        <w:rPr>
          <w:rFonts w:hint="eastAsia"/>
        </w:rPr>
        <w:t>。不過，一般而論，在英語之世界中，以色列國境警察</w:t>
      </w:r>
      <w:r w:rsidR="00203F72" w:rsidRPr="007443FD">
        <w:rPr>
          <w:rFonts w:hint="eastAsia"/>
        </w:rPr>
        <w:t>(</w:t>
      </w:r>
      <w:r w:rsidR="00203F72" w:rsidRPr="007443FD">
        <w:t>Israel Border Police</w:t>
      </w:r>
      <w:r w:rsidR="00203F72" w:rsidRPr="007443FD">
        <w:rPr>
          <w:rFonts w:hint="eastAsia"/>
        </w:rPr>
        <w:t>)</w:t>
      </w:r>
      <w:r w:rsidR="00203F72" w:rsidRPr="007443FD">
        <w:rPr>
          <w:rFonts w:hint="eastAsia"/>
        </w:rPr>
        <w:t>此種之名稱，亦廣被其他國家使用之</w:t>
      </w:r>
      <w:r w:rsidR="00203F72" w:rsidRPr="007443FD">
        <w:footnoteReference w:id="1149"/>
      </w:r>
      <w:r w:rsidR="00203F72" w:rsidRPr="007443FD">
        <w:rPr>
          <w:rFonts w:hint="eastAsia"/>
        </w:rPr>
        <w:t>。</w:t>
      </w:r>
    </w:p>
    <w:p w14:paraId="200B279C" w14:textId="77777777" w:rsidR="00953151" w:rsidRDefault="00BF2553" w:rsidP="007443FD">
      <w:pPr>
        <w:rPr>
          <w:rFonts w:ascii="新細明體" w:hAnsi="新細明體"/>
          <w:color w:val="000000"/>
        </w:rPr>
      </w:pPr>
      <w:r w:rsidRPr="007443FD">
        <w:rPr>
          <w:rFonts w:hint="eastAsia"/>
        </w:rPr>
        <w:t xml:space="preserve">　　</w:t>
      </w:r>
      <w:r w:rsidR="00203F72" w:rsidRPr="007443FD">
        <w:rPr>
          <w:rFonts w:hint="eastAsia"/>
        </w:rPr>
        <w:t>所有以色列國境警察之成員，必須接受戰鬥訓練</w:t>
      </w:r>
      <w:r w:rsidR="00203F72" w:rsidRPr="007443FD">
        <w:rPr>
          <w:rFonts w:hint="eastAsia"/>
        </w:rPr>
        <w:t>(</w:t>
      </w:r>
      <w:r w:rsidR="00203F72" w:rsidRPr="007443FD">
        <w:t>All border policemen receive combat training</w:t>
      </w:r>
      <w:r w:rsidR="00203F72" w:rsidRPr="007443FD">
        <w:rPr>
          <w:rFonts w:hint="eastAsia"/>
        </w:rPr>
        <w:t>)</w:t>
      </w:r>
      <w:r w:rsidR="00203F72" w:rsidRPr="007443FD">
        <w:rPr>
          <w:rFonts w:hint="eastAsia"/>
        </w:rPr>
        <w:t>，除此之外，尚須接受反恐、鎮暴及警察執法工作之訓練</w:t>
      </w:r>
      <w:r w:rsidR="00203F72" w:rsidRPr="007443FD">
        <w:t>(</w:t>
      </w:r>
      <w:r w:rsidR="00203F72" w:rsidRPr="007443FD">
        <w:rPr>
          <w:rFonts w:ascii="新細明體" w:eastAsiaTheme="minorEastAsia" w:hAnsi="新細明體"/>
        </w:rPr>
        <w:t>counter-terrorism</w:t>
      </w:r>
      <w:r w:rsidR="00203F72" w:rsidRPr="007443FD">
        <w:t xml:space="preserve">, </w:t>
      </w:r>
      <w:r w:rsidR="00203F72" w:rsidRPr="007443FD">
        <w:rPr>
          <w:rFonts w:ascii="新細明體" w:eastAsiaTheme="minorEastAsia" w:hAnsi="新細明體"/>
        </w:rPr>
        <w:t>riot control</w:t>
      </w:r>
      <w:r w:rsidR="00203F72" w:rsidRPr="007443FD">
        <w:t xml:space="preserve"> and policework</w:t>
      </w:r>
      <w:r w:rsidR="00203F72" w:rsidRPr="007443FD">
        <w:rPr>
          <w:rFonts w:hint="eastAsia"/>
        </w:rPr>
        <w:t>)</w:t>
      </w:r>
      <w:r w:rsidR="00203F72" w:rsidRPr="007443FD">
        <w:rPr>
          <w:rFonts w:hint="eastAsia"/>
        </w:rPr>
        <w:t>。優秀之以色列國境警察，其能專精於某些方面之技能，並接受特</w:t>
      </w:r>
      <w:r w:rsidR="00203F72" w:rsidRPr="00A53581">
        <w:rPr>
          <w:rFonts w:ascii="新細明體" w:hAnsi="新細明體" w:hint="eastAsia"/>
          <w:color w:val="000000"/>
        </w:rPr>
        <w:t>種之訓練，而能成為一名狙擊手(</w:t>
      </w:r>
      <w:hyperlink r:id="rId2842" w:tooltip="Sniper" w:history="1">
        <w:r w:rsidR="00203F72" w:rsidRPr="00A53581">
          <w:rPr>
            <w:rStyle w:val="a5"/>
            <w:color w:val="000000"/>
          </w:rPr>
          <w:t>snipers</w:t>
        </w:r>
      </w:hyperlink>
      <w:r w:rsidR="00203F72" w:rsidRPr="00A53581">
        <w:rPr>
          <w:rFonts w:ascii="新細明體" w:hAnsi="新細明體" w:hint="eastAsia"/>
          <w:color w:val="000000"/>
        </w:rPr>
        <w:t>)、特種車輛之駕駛員(</w:t>
      </w:r>
      <w:r w:rsidR="00203F72" w:rsidRPr="00A53581">
        <w:rPr>
          <w:rFonts w:ascii="新細明體" w:hAnsi="新細明體"/>
          <w:color w:val="000000"/>
        </w:rPr>
        <w:t>buggie-drivers</w:t>
      </w:r>
      <w:r w:rsidR="00203F72" w:rsidRPr="00A53581">
        <w:rPr>
          <w:rFonts w:ascii="新細明體" w:hAnsi="新細明體" w:hint="eastAsia"/>
          <w:color w:val="000000"/>
        </w:rPr>
        <w:t>)、警犬訓練師及炸彈攻擊小隊之成員(</w:t>
      </w:r>
      <w:hyperlink r:id="rId2843" w:tooltip="Bomb squad" w:history="1">
        <w:r w:rsidR="00203F72" w:rsidRPr="00A53581">
          <w:rPr>
            <w:rStyle w:val="a5"/>
            <w:color w:val="000000"/>
          </w:rPr>
          <w:t>bomb squad</w:t>
        </w:r>
      </w:hyperlink>
      <w:r w:rsidR="00203F72" w:rsidRPr="00A53581">
        <w:rPr>
          <w:rFonts w:ascii="新細明體" w:hAnsi="新細明體" w:hint="eastAsia"/>
          <w:color w:val="000000"/>
        </w:rPr>
        <w:t>)等</w:t>
      </w:r>
      <w:r w:rsidR="00203F72" w:rsidRPr="00A53581">
        <w:rPr>
          <w:rStyle w:val="af3"/>
          <w:rFonts w:ascii="新細明體" w:hAnsi="新細明體"/>
          <w:color w:val="000000"/>
        </w:rPr>
        <w:footnoteReference w:id="1150"/>
      </w:r>
      <w:r w:rsidR="00203F72" w:rsidRPr="00A53581">
        <w:rPr>
          <w:rFonts w:ascii="新細明體" w:hAnsi="新細明體" w:hint="eastAsia"/>
          <w:color w:val="000000"/>
        </w:rPr>
        <w:t>。</w:t>
      </w:r>
    </w:p>
    <w:p w14:paraId="66FB40F2" w14:textId="77777777" w:rsidR="00953151" w:rsidRPr="007443FD" w:rsidRDefault="00145751" w:rsidP="007443FD">
      <w:r w:rsidRPr="007443FD">
        <w:rPr>
          <w:rFonts w:hint="eastAsia"/>
        </w:rPr>
        <w:t xml:space="preserve">　　</w:t>
      </w:r>
      <w:r w:rsidR="00203F72" w:rsidRPr="007443FD">
        <w:rPr>
          <w:rFonts w:hint="eastAsia"/>
        </w:rPr>
        <w:t>由於所有以色列國境警察之成員，均曾接受過戰鬥訓練，是以，以色列國境警察之執勤地區，係被以色列政府佈署於治安較為不平靜之區域</w:t>
      </w:r>
      <w:r w:rsidR="00203F72" w:rsidRPr="007443FD">
        <w:rPr>
          <w:rFonts w:hint="eastAsia"/>
        </w:rPr>
        <w:t>(</w:t>
      </w:r>
      <w:r w:rsidR="00203F72" w:rsidRPr="007443FD">
        <w:t>border policemen are employed in unquiet areas</w:t>
      </w:r>
      <w:r w:rsidR="00203F72" w:rsidRPr="007443FD">
        <w:rPr>
          <w:rFonts w:hint="eastAsia"/>
        </w:rPr>
        <w:t>)</w:t>
      </w:r>
      <w:r w:rsidR="00203F72" w:rsidRPr="007443FD">
        <w:rPr>
          <w:rFonts w:hint="eastAsia"/>
        </w:rPr>
        <w:t>。在這些治安較為不平靜之區域執法，有較高的風險，較有可能發生暴動、暴力攻擊，甚至發生恐怖攻擊事件</w:t>
      </w:r>
      <w:r w:rsidR="00203F72" w:rsidRPr="007443FD">
        <w:rPr>
          <w:rFonts w:hint="eastAsia"/>
        </w:rPr>
        <w:t>(</w:t>
      </w:r>
      <w:r w:rsidR="00203F72" w:rsidRPr="007443FD">
        <w:t>there are greater risks for riots, violence and even terror</w:t>
      </w:r>
      <w:r w:rsidR="00203F72" w:rsidRPr="007443FD">
        <w:rPr>
          <w:rFonts w:hint="eastAsia"/>
        </w:rPr>
        <w:t>)</w:t>
      </w:r>
      <w:r w:rsidR="00203F72" w:rsidRPr="007443FD">
        <w:t xml:space="preserve"> </w:t>
      </w:r>
      <w:r w:rsidR="00203F72" w:rsidRPr="007443FD">
        <w:footnoteReference w:id="1151"/>
      </w:r>
      <w:r w:rsidR="00203F72" w:rsidRPr="007443FD">
        <w:rPr>
          <w:rFonts w:hint="eastAsia"/>
        </w:rPr>
        <w:t>。</w:t>
      </w:r>
    </w:p>
    <w:p w14:paraId="4FF7635F" w14:textId="77777777" w:rsidR="00953151" w:rsidRPr="007443FD" w:rsidRDefault="00BF2553" w:rsidP="007443FD">
      <w:r w:rsidRPr="007443FD">
        <w:rPr>
          <w:rFonts w:hint="eastAsia"/>
        </w:rPr>
        <w:t xml:space="preserve">　　</w:t>
      </w:r>
      <w:r w:rsidR="00203F72" w:rsidRPr="007443FD">
        <w:rPr>
          <w:rFonts w:hint="eastAsia"/>
        </w:rPr>
        <w:t>以色列國境警察主要的執勤地區，係為以色列國境附近之鄉村區域</w:t>
      </w:r>
      <w:r w:rsidR="00203F72" w:rsidRPr="007443FD">
        <w:rPr>
          <w:rFonts w:hint="eastAsia"/>
        </w:rPr>
        <w:t>(</w:t>
      </w:r>
      <w:r w:rsidR="00203F72" w:rsidRPr="007443FD">
        <w:rPr>
          <w:rFonts w:hint="eastAsia"/>
        </w:rPr>
        <w:t>接近於國境線</w:t>
      </w:r>
      <w:r w:rsidR="00203F72" w:rsidRPr="007443FD">
        <w:rPr>
          <w:rFonts w:hint="eastAsia"/>
        </w:rPr>
        <w:t>)(</w:t>
      </w:r>
      <w:r w:rsidR="00203F72" w:rsidRPr="007443FD">
        <w:t>near the borders</w:t>
      </w:r>
      <w:r w:rsidR="00203F72" w:rsidRPr="007443FD">
        <w:rPr>
          <w:rFonts w:hint="eastAsia"/>
        </w:rPr>
        <w:t>)</w:t>
      </w:r>
      <w:r w:rsidR="00203F72" w:rsidRPr="007443FD">
        <w:rPr>
          <w:rFonts w:hint="eastAsia"/>
        </w:rPr>
        <w:t>，為阿拉伯人居住之村鎮</w:t>
      </w:r>
      <w:r w:rsidR="00203F72" w:rsidRPr="007443FD">
        <w:rPr>
          <w:rFonts w:hint="eastAsia"/>
        </w:rPr>
        <w:t>(</w:t>
      </w:r>
      <w:r w:rsidR="00203F72" w:rsidRPr="007443FD">
        <w:t>at Arab villages and towns</w:t>
      </w:r>
      <w:r w:rsidR="00203F72" w:rsidRPr="007443FD">
        <w:rPr>
          <w:rFonts w:hint="eastAsia"/>
        </w:rPr>
        <w:t>)</w:t>
      </w:r>
      <w:r w:rsidR="00203F72" w:rsidRPr="007443FD">
        <w:rPr>
          <w:rFonts w:hint="eastAsia"/>
        </w:rPr>
        <w:t>。上述阿拉伯人居住之村鎮，除了國境警察維持治安之外，尚有一般行政警察執勤</w:t>
      </w:r>
      <w:r w:rsidR="00203F72" w:rsidRPr="007443FD">
        <w:t>(along with the regular police)</w:t>
      </w:r>
      <w:r w:rsidR="00203F72" w:rsidRPr="007443FD">
        <w:rPr>
          <w:rFonts w:hint="eastAsia"/>
        </w:rPr>
        <w:t>，兩者相互共同維護阿拉伯人居住村鎮之治安</w:t>
      </w:r>
      <w:r w:rsidR="00203F72" w:rsidRPr="007443FD">
        <w:footnoteReference w:id="1152"/>
      </w:r>
      <w:r w:rsidR="00203F72" w:rsidRPr="007443FD">
        <w:rPr>
          <w:rFonts w:hint="eastAsia"/>
        </w:rPr>
        <w:t>。</w:t>
      </w:r>
    </w:p>
    <w:p w14:paraId="60AC1D16" w14:textId="77777777" w:rsidR="00953151" w:rsidRPr="007443FD" w:rsidRDefault="00145751" w:rsidP="007443FD">
      <w:r w:rsidRPr="007443FD">
        <w:rPr>
          <w:rFonts w:hint="eastAsia"/>
        </w:rPr>
        <w:t xml:space="preserve">　　</w:t>
      </w:r>
      <w:r w:rsidR="00203F72" w:rsidRPr="007443FD">
        <w:rPr>
          <w:rFonts w:hint="eastAsia"/>
        </w:rPr>
        <w:t>此外，以色列國境警察亦負責以色列境內的鄉村屯墾區域之安全工作</w:t>
      </w:r>
      <w:r w:rsidR="00203F72" w:rsidRPr="007443FD">
        <w:rPr>
          <w:rFonts w:hint="eastAsia"/>
        </w:rPr>
        <w:t>(</w:t>
      </w:r>
      <w:r w:rsidR="00203F72" w:rsidRPr="007443FD">
        <w:t>The Border Police is also responsible for security of rural settlements</w:t>
      </w:r>
      <w:r w:rsidR="00203F72" w:rsidRPr="007443FD">
        <w:rPr>
          <w:rFonts w:hint="eastAsia"/>
        </w:rPr>
        <w:t>)</w:t>
      </w:r>
      <w:r w:rsidR="00203F72" w:rsidRPr="007443FD">
        <w:rPr>
          <w:rFonts w:hint="eastAsia"/>
        </w:rPr>
        <w:t>，除了以色列國境警察從事此項安全工作任務時，以色列鄉村警察</w:t>
      </w:r>
      <w:r w:rsidR="00203F72" w:rsidRPr="007443FD">
        <w:rPr>
          <w:rFonts w:hint="eastAsia"/>
        </w:rPr>
        <w:t>(</w:t>
      </w:r>
      <w:r w:rsidR="00203F72" w:rsidRPr="007443FD">
        <w:t>Rural Police</w:t>
      </w:r>
      <w:r w:rsidR="00203F72" w:rsidRPr="007443FD">
        <w:rPr>
          <w:rFonts w:hint="eastAsia"/>
        </w:rPr>
        <w:t>，</w:t>
      </w:r>
      <w:r w:rsidR="00203F72" w:rsidRPr="007443FD">
        <w:t>Hebrew: שיטור כפרי, shitur kafri)</w:t>
      </w:r>
      <w:r w:rsidR="00203F72" w:rsidRPr="007443FD">
        <w:rPr>
          <w:rFonts w:hint="eastAsia"/>
        </w:rPr>
        <w:t>亦負責鄉村屯墾區域內之安全工作，上述兩種之警察，均負有上述之任務。此外，以色列國境警察於執行上述安全工作時，亦會與鄉村屯墾區域內之以色列鄉村警察及社區安全協調官</w:t>
      </w:r>
      <w:r w:rsidR="00203F72" w:rsidRPr="007443FD">
        <w:rPr>
          <w:rFonts w:hint="eastAsia"/>
        </w:rPr>
        <w:t>(</w:t>
      </w:r>
      <w:r w:rsidR="00203F72" w:rsidRPr="007443FD">
        <w:t xml:space="preserve">community security coordinators </w:t>
      </w:r>
      <w:r w:rsidR="00203F72" w:rsidRPr="007443FD">
        <w:rPr>
          <w:rFonts w:hint="eastAsia"/>
        </w:rPr>
        <w:t>，</w:t>
      </w:r>
      <w:r w:rsidR="00203F72" w:rsidRPr="007443FD">
        <w:t>Hebrew: רב"ש, rabash)</w:t>
      </w:r>
      <w:r w:rsidR="00203F72" w:rsidRPr="007443FD">
        <w:rPr>
          <w:rFonts w:hint="eastAsia"/>
        </w:rPr>
        <w:t>進行連繫與溝通</w:t>
      </w:r>
      <w:r w:rsidR="00203F72" w:rsidRPr="007443FD">
        <w:footnoteReference w:id="1153"/>
      </w:r>
      <w:r w:rsidR="00203F72" w:rsidRPr="007443FD">
        <w:rPr>
          <w:rFonts w:hint="eastAsia"/>
        </w:rPr>
        <w:t>。</w:t>
      </w:r>
    </w:p>
    <w:p w14:paraId="45E4AC35" w14:textId="77777777" w:rsidR="00953151" w:rsidRPr="007443FD" w:rsidRDefault="00BF2553" w:rsidP="007443FD">
      <w:r w:rsidRPr="007443FD">
        <w:rPr>
          <w:rFonts w:hint="eastAsia"/>
        </w:rPr>
        <w:t xml:space="preserve">　　</w:t>
      </w:r>
      <w:r w:rsidR="00203F72" w:rsidRPr="007443FD">
        <w:rPr>
          <w:rFonts w:hint="eastAsia"/>
        </w:rPr>
        <w:t>在鄉村屯墾區域內之以色列鄉村警察，其是全職之專業執法警察</w:t>
      </w:r>
      <w:r w:rsidR="00203F72" w:rsidRPr="007443FD">
        <w:rPr>
          <w:rFonts w:hint="eastAsia"/>
        </w:rPr>
        <w:t>(</w:t>
      </w:r>
      <w:r w:rsidR="00203F72" w:rsidRPr="007443FD">
        <w:t>Rural policemen are full time professional officers</w:t>
      </w:r>
      <w:r w:rsidR="00203F72" w:rsidRPr="007443FD">
        <w:rPr>
          <w:rFonts w:hint="eastAsia"/>
        </w:rPr>
        <w:t>)</w:t>
      </w:r>
      <w:r w:rsidR="00203F72" w:rsidRPr="007443FD">
        <w:rPr>
          <w:rFonts w:hint="eastAsia"/>
        </w:rPr>
        <w:t>。而社區安全協調官則是屬於一種混合之組織體，由全職及志願之執法人員所共同組成之</w:t>
      </w:r>
      <w:r w:rsidR="00203F72" w:rsidRPr="007443FD">
        <w:rPr>
          <w:rFonts w:hint="eastAsia"/>
        </w:rPr>
        <w:t>(</w:t>
      </w:r>
      <w:r w:rsidR="00203F72" w:rsidRPr="007443FD">
        <w:t>security coordinators are a mixture of full time and volunteer officers</w:t>
      </w:r>
      <w:r w:rsidR="00203F72" w:rsidRPr="007443FD">
        <w:rPr>
          <w:rFonts w:hint="eastAsia"/>
        </w:rPr>
        <w:t>)</w:t>
      </w:r>
      <w:r w:rsidR="00203F72" w:rsidRPr="007443FD">
        <w:t xml:space="preserve"> </w:t>
      </w:r>
      <w:r w:rsidR="00203F72" w:rsidRPr="007443FD">
        <w:footnoteReference w:id="1154"/>
      </w:r>
      <w:r w:rsidR="00203F72" w:rsidRPr="007443FD">
        <w:rPr>
          <w:rFonts w:hint="eastAsia"/>
        </w:rPr>
        <w:t>。</w:t>
      </w:r>
    </w:p>
    <w:p w14:paraId="70AF5793" w14:textId="77777777" w:rsidR="00203F72" w:rsidRPr="007443FD" w:rsidRDefault="00BF2553" w:rsidP="007443FD">
      <w:r w:rsidRPr="007443FD">
        <w:rPr>
          <w:rFonts w:hint="eastAsia"/>
        </w:rPr>
        <w:t xml:space="preserve">　　</w:t>
      </w:r>
      <w:r w:rsidR="00203F72" w:rsidRPr="007443FD">
        <w:rPr>
          <w:rFonts w:hint="eastAsia"/>
        </w:rPr>
        <w:t>有關於以色列國境警察之組織編制，計有</w:t>
      </w:r>
      <w:r w:rsidR="00203F72" w:rsidRPr="007443FD">
        <w:rPr>
          <w:rFonts w:hint="eastAsia"/>
        </w:rPr>
        <w:t>4</w:t>
      </w:r>
      <w:r w:rsidR="00203F72" w:rsidRPr="007443FD">
        <w:rPr>
          <w:rFonts w:hint="eastAsia"/>
        </w:rPr>
        <w:t>個特種武力執法單位，分別為：</w:t>
      </w:r>
      <w:hyperlink r:id="rId2844" w:tooltip="Yamam" w:history="1">
        <w:r w:rsidR="00203F72" w:rsidRPr="007443FD">
          <w:rPr>
            <w:rStyle w:val="a5"/>
          </w:rPr>
          <w:t>Yamam</w:t>
        </w:r>
      </w:hyperlink>
      <w:r w:rsidR="00203F72" w:rsidRPr="007443FD">
        <w:rPr>
          <w:rFonts w:hint="eastAsia"/>
        </w:rPr>
        <w:t>、</w:t>
      </w:r>
      <w:r w:rsidR="00203F72" w:rsidRPr="007443FD">
        <w:t>Yamas</w:t>
      </w:r>
      <w:r w:rsidR="00203F72" w:rsidRPr="007443FD">
        <w:rPr>
          <w:rFonts w:hint="eastAsia"/>
        </w:rPr>
        <w:t>、</w:t>
      </w:r>
      <w:r w:rsidR="00203F72" w:rsidRPr="007443FD">
        <w:t>Yamag</w:t>
      </w:r>
      <w:r w:rsidR="00203F72" w:rsidRPr="007443FD">
        <w:rPr>
          <w:rFonts w:hint="eastAsia"/>
        </w:rPr>
        <w:t>及</w:t>
      </w:r>
      <w:r w:rsidR="00203F72" w:rsidRPr="007443FD">
        <w:t>Matilan</w:t>
      </w:r>
      <w:r w:rsidR="00203F72" w:rsidRPr="007443FD">
        <w:rPr>
          <w:rFonts w:hint="eastAsia"/>
        </w:rPr>
        <w:t>等</w:t>
      </w:r>
      <w:r w:rsidR="00203F72" w:rsidRPr="007443FD">
        <w:rPr>
          <w:rFonts w:hint="eastAsia"/>
        </w:rPr>
        <w:t>4</w:t>
      </w:r>
      <w:r w:rsidR="00203F72" w:rsidRPr="007443FD">
        <w:rPr>
          <w:rFonts w:hint="eastAsia"/>
        </w:rPr>
        <w:t>個特殊部門。</w:t>
      </w:r>
    </w:p>
    <w:p w14:paraId="11BF98F1" w14:textId="77777777" w:rsidR="00203F72" w:rsidRPr="007443FD" w:rsidRDefault="00BF2553" w:rsidP="007443FD">
      <w:r w:rsidRPr="007443FD">
        <w:rPr>
          <w:rFonts w:hint="eastAsia"/>
        </w:rPr>
        <w:t xml:space="preserve">　　</w:t>
      </w:r>
      <w:r w:rsidR="00203F72" w:rsidRPr="007443FD">
        <w:rPr>
          <w:rFonts w:hint="eastAsia"/>
        </w:rPr>
        <w:t>1</w:t>
      </w:r>
      <w:r w:rsidR="00203F72" w:rsidRPr="007443FD">
        <w:rPr>
          <w:rFonts w:hint="eastAsia"/>
        </w:rPr>
        <w:t>、</w:t>
      </w:r>
      <w:hyperlink r:id="rId2845" w:tooltip="Yamam" w:history="1">
        <w:r w:rsidR="00203F72" w:rsidRPr="007443FD">
          <w:rPr>
            <w:rStyle w:val="a5"/>
          </w:rPr>
          <w:t>Yamam</w:t>
        </w:r>
      </w:hyperlink>
      <w:r w:rsidR="00203F72" w:rsidRPr="007443FD">
        <w:rPr>
          <w:rFonts w:hint="eastAsia"/>
        </w:rPr>
        <w:t>負責反恐及人質解救</w:t>
      </w:r>
      <w:r w:rsidR="00203F72" w:rsidRPr="007443FD">
        <w:t>(Counter-Terror and Hostage Rescue unit)</w:t>
      </w:r>
      <w:r w:rsidR="00203F72" w:rsidRPr="007443FD">
        <w:rPr>
          <w:rFonts w:hint="eastAsia"/>
        </w:rPr>
        <w:t>。</w:t>
      </w:r>
    </w:p>
    <w:p w14:paraId="7E5B16CF" w14:textId="77777777" w:rsidR="00203F72" w:rsidRPr="007443FD" w:rsidRDefault="00BF2553" w:rsidP="007443FD">
      <w:r w:rsidRPr="007443FD">
        <w:rPr>
          <w:rFonts w:hint="eastAsia"/>
        </w:rPr>
        <w:t xml:space="preserve">　　</w:t>
      </w:r>
      <w:r w:rsidR="00203F72" w:rsidRPr="007443FD">
        <w:rPr>
          <w:rFonts w:hint="eastAsia"/>
        </w:rPr>
        <w:t>2</w:t>
      </w:r>
      <w:r w:rsidR="00203F72" w:rsidRPr="007443FD">
        <w:rPr>
          <w:rFonts w:hint="eastAsia"/>
        </w:rPr>
        <w:t>、</w:t>
      </w:r>
      <w:r w:rsidR="00203F72" w:rsidRPr="007443FD">
        <w:t>Yamas</w:t>
      </w:r>
      <w:r w:rsidR="00203F72" w:rsidRPr="007443FD">
        <w:rPr>
          <w:rFonts w:hint="eastAsia"/>
        </w:rPr>
        <w:t>是一支便衣之反恐單位</w:t>
      </w:r>
      <w:r w:rsidR="00203F72" w:rsidRPr="007443FD">
        <w:t>(Counter-Terror Undercover Unit)</w:t>
      </w:r>
      <w:r w:rsidR="00203F72" w:rsidRPr="007443FD">
        <w:rPr>
          <w:rFonts w:hint="eastAsia"/>
        </w:rPr>
        <w:t>。</w:t>
      </w:r>
    </w:p>
    <w:p w14:paraId="07870B6C" w14:textId="77777777" w:rsidR="00203F72" w:rsidRPr="007443FD" w:rsidRDefault="00BF2553" w:rsidP="007443FD">
      <w:r w:rsidRPr="007443FD">
        <w:rPr>
          <w:rFonts w:hint="eastAsia"/>
        </w:rPr>
        <w:t xml:space="preserve">　　</w:t>
      </w:r>
      <w:r w:rsidR="00203F72" w:rsidRPr="007443FD">
        <w:rPr>
          <w:rFonts w:hint="eastAsia"/>
        </w:rPr>
        <w:t>3</w:t>
      </w:r>
      <w:r w:rsidR="00203F72" w:rsidRPr="007443FD">
        <w:rPr>
          <w:rFonts w:hint="eastAsia"/>
        </w:rPr>
        <w:t>、</w:t>
      </w:r>
      <w:r w:rsidR="00203F72" w:rsidRPr="007443FD">
        <w:t>Yamag</w:t>
      </w:r>
      <w:r w:rsidR="00203F72" w:rsidRPr="007443FD">
        <w:rPr>
          <w:rFonts w:hint="eastAsia"/>
        </w:rPr>
        <w:t>是一支以戰術模式打擊犯罪，及以快速</w:t>
      </w:r>
      <w:r w:rsidR="00203F72" w:rsidRPr="007443FD">
        <w:rPr>
          <w:rFonts w:hint="eastAsia"/>
        </w:rPr>
        <w:t>(</w:t>
      </w:r>
      <w:r w:rsidR="00203F72" w:rsidRPr="007443FD">
        <w:rPr>
          <w:rFonts w:hint="eastAsia"/>
        </w:rPr>
        <w:t>機動</w:t>
      </w:r>
      <w:r w:rsidR="00203F72" w:rsidRPr="007443FD">
        <w:rPr>
          <w:rFonts w:hint="eastAsia"/>
        </w:rPr>
        <w:t>)</w:t>
      </w:r>
      <w:r w:rsidR="00203F72" w:rsidRPr="007443FD">
        <w:rPr>
          <w:rFonts w:hint="eastAsia"/>
        </w:rPr>
        <w:t>配署方式進行反恐之單位</w:t>
      </w:r>
      <w:r w:rsidR="00203F72" w:rsidRPr="007443FD">
        <w:t>(Tactical Counter-Crime and Counter-Terror Rapid Deployment Unit)</w:t>
      </w:r>
      <w:r w:rsidR="00203F72" w:rsidRPr="007443FD">
        <w:rPr>
          <w:rFonts w:hint="eastAsia"/>
        </w:rPr>
        <w:t>。</w:t>
      </w:r>
    </w:p>
    <w:p w14:paraId="62CDEA66" w14:textId="77777777" w:rsidR="00953151" w:rsidRPr="007443FD" w:rsidRDefault="00BF2553" w:rsidP="007443FD">
      <w:r w:rsidRPr="007443FD">
        <w:rPr>
          <w:rFonts w:hint="eastAsia"/>
        </w:rPr>
        <w:t xml:space="preserve">　　</w:t>
      </w:r>
      <w:r w:rsidR="00203F72" w:rsidRPr="007443FD">
        <w:rPr>
          <w:rFonts w:hint="eastAsia"/>
        </w:rPr>
        <w:t>4</w:t>
      </w:r>
      <w:r w:rsidR="00203F72" w:rsidRPr="007443FD">
        <w:rPr>
          <w:rFonts w:hint="eastAsia"/>
        </w:rPr>
        <w:t>、</w:t>
      </w:r>
      <w:r w:rsidR="00203F72" w:rsidRPr="007443FD">
        <w:t>Matilan</w:t>
      </w:r>
      <w:r w:rsidR="00203F72" w:rsidRPr="007443FD">
        <w:rPr>
          <w:rFonts w:hint="eastAsia"/>
        </w:rPr>
        <w:t>則是一個情報蒐集、滲透、攔截之部門</w:t>
      </w:r>
      <w:r w:rsidR="00203F72" w:rsidRPr="007443FD">
        <w:t xml:space="preserve">(Intelligence Gathering and Infiltrations Interception Unit) </w:t>
      </w:r>
      <w:r w:rsidR="00203F72" w:rsidRPr="007443FD">
        <w:footnoteReference w:id="1155"/>
      </w:r>
      <w:r w:rsidR="00203F72" w:rsidRPr="007443FD">
        <w:rPr>
          <w:rFonts w:hint="eastAsia"/>
        </w:rPr>
        <w:t>。</w:t>
      </w:r>
    </w:p>
    <w:p w14:paraId="10A645CA" w14:textId="77777777" w:rsidR="00953151" w:rsidRPr="007443FD" w:rsidRDefault="00BF2553" w:rsidP="007443FD">
      <w:r w:rsidRPr="007443FD">
        <w:rPr>
          <w:rFonts w:hint="eastAsia"/>
        </w:rPr>
        <w:t xml:space="preserve">　　</w:t>
      </w:r>
      <w:r w:rsidR="00203F72" w:rsidRPr="007443FD">
        <w:rPr>
          <w:rFonts w:hint="eastAsia"/>
        </w:rPr>
        <w:t>以色列國境警察在打擊及反制恐怖主義攻擊方面之專長，留有相當優秀之紀錄</w:t>
      </w:r>
      <w:r w:rsidR="00203F72" w:rsidRPr="007443FD">
        <w:rPr>
          <w:rFonts w:hint="eastAsia"/>
        </w:rPr>
        <w:t>(</w:t>
      </w:r>
      <w:r w:rsidR="00203F72" w:rsidRPr="007443FD">
        <w:t>The Border Police has an excellent record of thwarting terrorist attacks</w:t>
      </w:r>
      <w:r w:rsidR="00203F72" w:rsidRPr="007443FD">
        <w:rPr>
          <w:rFonts w:hint="eastAsia"/>
        </w:rPr>
        <w:t>)</w:t>
      </w:r>
      <w:r w:rsidR="00203F72" w:rsidRPr="007443FD">
        <w:rPr>
          <w:rFonts w:hint="eastAsia"/>
        </w:rPr>
        <w:t>，亦即，以色列國境警察專精於打擊恐怖主義犯罪，以色列國境警察是一支非常有名之反恐警察部隊。在反恐之執法作為中，亦是最有名之一的實際案例，為靠近</w:t>
      </w:r>
      <w:hyperlink r:id="rId2846" w:tooltip="Wadi Ara" w:history="1">
        <w:r w:rsidR="00203F72" w:rsidRPr="007443FD">
          <w:rPr>
            <w:rStyle w:val="a5"/>
          </w:rPr>
          <w:t>Wadi Ara</w:t>
        </w:r>
      </w:hyperlink>
      <w:r w:rsidR="00203F72" w:rsidRPr="007443FD">
        <w:rPr>
          <w:rFonts w:hint="eastAsia"/>
        </w:rPr>
        <w:t>地區之反制恐怖主義攻擊之執法作為。以色列國境警察緝獲恐怖份子一車超過</w:t>
      </w:r>
      <w:r w:rsidR="00203F72" w:rsidRPr="007443FD">
        <w:rPr>
          <w:rFonts w:hint="eastAsia"/>
        </w:rPr>
        <w:t>500</w:t>
      </w:r>
      <w:r w:rsidR="00203F72" w:rsidRPr="007443FD">
        <w:rPr>
          <w:rFonts w:hint="eastAsia"/>
        </w:rPr>
        <w:t>公斤之炸彈</w:t>
      </w:r>
      <w:r w:rsidR="00203F72" w:rsidRPr="007443FD">
        <w:rPr>
          <w:rFonts w:hint="eastAsia"/>
        </w:rPr>
        <w:t>(</w:t>
      </w:r>
      <w:r w:rsidR="00203F72" w:rsidRPr="007443FD">
        <w:t xml:space="preserve">the capture of a car bomb, containing more than 500 </w:t>
      </w:r>
      <w:hyperlink r:id="rId2847" w:tooltip="Kilogram" w:history="1">
        <w:r w:rsidR="00203F72" w:rsidRPr="007443FD">
          <w:rPr>
            <w:rStyle w:val="a5"/>
          </w:rPr>
          <w:t>kg</w:t>
        </w:r>
      </w:hyperlink>
      <w:r w:rsidR="00203F72" w:rsidRPr="007443FD">
        <w:t xml:space="preserve"> of explosives</w:t>
      </w:r>
      <w:r w:rsidR="00203F72" w:rsidRPr="007443FD">
        <w:rPr>
          <w:rFonts w:hint="eastAsia"/>
        </w:rPr>
        <w:t>)</w:t>
      </w:r>
      <w:r w:rsidR="00203F72" w:rsidRPr="007443FD">
        <w:rPr>
          <w:rFonts w:hint="eastAsia"/>
        </w:rPr>
        <w:t>，成功阻止恐怖份子之攻擊行動。以色列國境警察中之</w:t>
      </w:r>
      <w:hyperlink r:id="rId2848" w:tooltip="Yamam" w:history="1">
        <w:r w:rsidR="00203F72" w:rsidRPr="007443FD">
          <w:rPr>
            <w:rStyle w:val="a5"/>
          </w:rPr>
          <w:t>Yamam</w:t>
        </w:r>
      </w:hyperlink>
      <w:r w:rsidR="00203F72" w:rsidRPr="007443FD">
        <w:rPr>
          <w:rFonts w:hint="eastAsia"/>
        </w:rPr>
        <w:t>，在打擊恐佈分子、解救人質及捕捉哈馬斯首領方面之實際成效，亦是非常有名</w:t>
      </w:r>
      <w:r w:rsidR="00203F72" w:rsidRPr="007443FD">
        <w:footnoteReference w:id="1156"/>
      </w:r>
      <w:r w:rsidR="00203F72" w:rsidRPr="007443FD">
        <w:rPr>
          <w:rFonts w:hint="eastAsia"/>
        </w:rPr>
        <w:t>。</w:t>
      </w:r>
    </w:p>
    <w:p w14:paraId="55D01E17" w14:textId="77777777" w:rsidR="00953151" w:rsidRPr="007443FD" w:rsidRDefault="00BF2553" w:rsidP="007443FD">
      <w:r w:rsidRPr="007443FD">
        <w:t xml:space="preserve">　　</w:t>
      </w:r>
      <w:r w:rsidR="00203F72" w:rsidRPr="007443FD">
        <w:t>又根據第</w:t>
      </w:r>
      <w:r w:rsidR="00203F72" w:rsidRPr="007443FD">
        <w:t>2</w:t>
      </w:r>
      <w:r w:rsidR="00203F72" w:rsidRPr="007443FD">
        <w:t>次世界大戰末期之硫磺島戰役（</w:t>
      </w:r>
      <w:r w:rsidR="00203F72" w:rsidRPr="007443FD">
        <w:t>Battle of Iwo Jima</w:t>
      </w:r>
      <w:r w:rsidR="00203F72" w:rsidRPr="007443FD">
        <w:t>）之實戰經驗，美軍為了攻下硫磺島，共投入</w:t>
      </w:r>
      <w:r w:rsidR="00203F72" w:rsidRPr="007443FD">
        <w:t>7</w:t>
      </w:r>
      <w:r w:rsidR="00203F72" w:rsidRPr="007443FD">
        <w:t>萬名海、空軍兵力，而防衛方日軍之兵力，則為</w:t>
      </w:r>
      <w:r w:rsidR="00203F72" w:rsidRPr="007443FD">
        <w:t>20,933</w:t>
      </w:r>
      <w:r w:rsidR="00203F72" w:rsidRPr="007443FD">
        <w:t>人；亦即，係為美軍之</w:t>
      </w:r>
      <w:r w:rsidR="00203F72" w:rsidRPr="007443FD">
        <w:t>30%</w:t>
      </w:r>
      <w:r w:rsidR="00203F72" w:rsidRPr="007443FD">
        <w:t>。即使美軍擁有非常強大之火力，整個戰事從</w:t>
      </w:r>
      <w:r w:rsidR="00203F72" w:rsidRPr="007443FD">
        <w:t>1945</w:t>
      </w:r>
      <w:r w:rsidR="00203F72" w:rsidRPr="007443FD">
        <w:t>年</w:t>
      </w:r>
      <w:r w:rsidR="00203F72" w:rsidRPr="007443FD">
        <w:t>2</w:t>
      </w:r>
      <w:r w:rsidR="00203F72" w:rsidRPr="007443FD">
        <w:t>月</w:t>
      </w:r>
      <w:r w:rsidR="00203F72" w:rsidRPr="007443FD">
        <w:t>19</w:t>
      </w:r>
      <w:r w:rsidR="00203F72" w:rsidRPr="007443FD">
        <w:t>日戰鬥至同年</w:t>
      </w:r>
      <w:r w:rsidR="00203F72" w:rsidRPr="007443FD">
        <w:t>3</w:t>
      </w:r>
      <w:r w:rsidR="00203F72" w:rsidRPr="007443FD">
        <w:t>月</w:t>
      </w:r>
      <w:r w:rsidR="00203F72" w:rsidRPr="007443FD">
        <w:t>26</w:t>
      </w:r>
      <w:r w:rsidR="00203F72" w:rsidRPr="007443FD">
        <w:t>日</w:t>
      </w:r>
      <w:r w:rsidR="00203F72" w:rsidRPr="007443FD">
        <w:footnoteReference w:id="1157"/>
      </w:r>
      <w:r w:rsidR="00203F72" w:rsidRPr="007443FD">
        <w:rPr>
          <w:rFonts w:hint="eastAsia"/>
        </w:rPr>
        <w:t>，</w:t>
      </w:r>
      <w:r w:rsidR="00203F72" w:rsidRPr="007443FD">
        <w:t>硫磺島戰役（</w:t>
      </w:r>
      <w:r w:rsidR="00203F72" w:rsidRPr="007443FD">
        <w:t>Battle of Iwo Jima</w:t>
      </w:r>
      <w:r w:rsidR="00203F72" w:rsidRPr="007443FD">
        <w:t>）共計持續</w:t>
      </w:r>
      <w:r w:rsidR="00203F72" w:rsidRPr="007443FD">
        <w:rPr>
          <w:rFonts w:hint="eastAsia"/>
        </w:rPr>
        <w:t>35</w:t>
      </w:r>
      <w:r w:rsidR="00203F72" w:rsidRPr="007443FD">
        <w:rPr>
          <w:rFonts w:hint="eastAsia"/>
        </w:rPr>
        <w:t>日</w:t>
      </w:r>
      <w:r w:rsidR="00203F72" w:rsidRPr="007443FD">
        <w:t>。由硫磺島戰役（</w:t>
      </w:r>
      <w:r w:rsidR="00203F72" w:rsidRPr="007443FD">
        <w:t>Battle of Iwo Jima</w:t>
      </w:r>
      <w:r w:rsidR="00203F72" w:rsidRPr="007443FD">
        <w:t>）之經驗可得知，在海島戰役之中，攻擊方如欲戰勝防衛方，至少須投入防衛方</w:t>
      </w:r>
      <w:r w:rsidR="00203F72" w:rsidRPr="007443FD">
        <w:t>3</w:t>
      </w:r>
      <w:r w:rsidR="00203F72" w:rsidRPr="007443FD">
        <w:t>倍以上之兵力，始有戰勝之可能；假若防衛方有堅固之國防工事，戰事無法於數十日內即結束，甚至持續相當之時程。假若攻擊方未投入防衛方</w:t>
      </w:r>
      <w:r w:rsidR="00203F72" w:rsidRPr="007443FD">
        <w:t>3</w:t>
      </w:r>
      <w:r w:rsidR="00203F72" w:rsidRPr="007443FD">
        <w:t>倍以上之兵力，則戰勝之機率不大。</w:t>
      </w:r>
    </w:p>
    <w:p w14:paraId="2C1F2BAD" w14:textId="77777777" w:rsidR="00953151" w:rsidRDefault="00BF2553" w:rsidP="007443FD">
      <w:pPr>
        <w:rPr>
          <w:lang w:eastAsia="zh-Hans"/>
        </w:rPr>
      </w:pPr>
      <w:r w:rsidRPr="007443FD">
        <w:t xml:space="preserve">　　</w:t>
      </w:r>
      <w:r w:rsidR="00203F72" w:rsidRPr="007443FD">
        <w:t>是以，假若台灣遭受外來武力攻擊，我方每徵募</w:t>
      </w:r>
      <w:r w:rsidR="00203F72" w:rsidRPr="007443FD">
        <w:t>1</w:t>
      </w:r>
      <w:r w:rsidR="00203F72" w:rsidRPr="007443FD">
        <w:t>名婦女從事民事、衛生、醫護勤</w:t>
      </w:r>
      <w:r w:rsidR="00203F72" w:rsidRPr="00A53581">
        <w:rPr>
          <w:rStyle w:val="langwithname"/>
          <w:rFonts w:ascii="新細明體" w:hAnsi="新細明體"/>
          <w:lang w:val="en"/>
        </w:rPr>
        <w:t>務，即釋放</w:t>
      </w:r>
      <w:r w:rsidR="00203F72" w:rsidRPr="00A53581">
        <w:rPr>
          <w:rStyle w:val="langwithname"/>
          <w:rFonts w:ascii="新細明體" w:hAnsi="新細明體" w:hint="eastAsia"/>
          <w:lang w:val="en"/>
        </w:rPr>
        <w:t>1</w:t>
      </w:r>
      <w:r w:rsidR="00203F72" w:rsidRPr="00A53581">
        <w:rPr>
          <w:rStyle w:val="langwithname"/>
          <w:rFonts w:ascii="新細明體" w:hAnsi="新細明體"/>
          <w:lang w:val="en"/>
        </w:rPr>
        <w:t>名我方男性戰鬥兵力，攻擊方即須增加至少3名以上之戰鬥兵力，始有攻下臺灣之可能。假若，政府徵募</w:t>
      </w:r>
      <w:r w:rsidR="00203F72" w:rsidRPr="00A53581">
        <w:rPr>
          <w:rStyle w:val="langwithname"/>
          <w:rFonts w:ascii="新細明體" w:hAnsi="新細明體" w:hint="eastAsia"/>
          <w:lang w:val="en"/>
        </w:rPr>
        <w:t>50</w:t>
      </w:r>
      <w:r w:rsidR="00203F72" w:rsidRPr="00A53581">
        <w:rPr>
          <w:rStyle w:val="langwithname"/>
          <w:rFonts w:ascii="新細明體" w:hAnsi="新細明體"/>
          <w:lang w:val="en"/>
        </w:rPr>
        <w:t>萬名婦女從事</w:t>
      </w:r>
      <w:r w:rsidR="00203F72" w:rsidRPr="00A53581">
        <w:t>民事、衛生、醫護</w:t>
      </w:r>
      <w:r w:rsidR="00203F72" w:rsidRPr="00A53581">
        <w:rPr>
          <w:rStyle w:val="langwithname"/>
          <w:rFonts w:ascii="新細明體" w:hAnsi="新細明體"/>
          <w:lang w:val="en"/>
        </w:rPr>
        <w:t>勤務，即可釋放</w:t>
      </w:r>
      <w:r w:rsidR="00203F72" w:rsidRPr="00A53581">
        <w:rPr>
          <w:rStyle w:val="langwithname"/>
          <w:rFonts w:ascii="新細明體" w:hAnsi="新細明體" w:hint="eastAsia"/>
          <w:lang w:val="en"/>
        </w:rPr>
        <w:t>5</w:t>
      </w:r>
      <w:r w:rsidR="00203F72" w:rsidRPr="00A53581">
        <w:rPr>
          <w:rStyle w:val="langwithname"/>
          <w:rFonts w:ascii="新細明體" w:hAnsi="新細明體"/>
          <w:lang w:val="en"/>
        </w:rPr>
        <w:t>0萬名男性戰鬥兵力，</w:t>
      </w:r>
      <w:r w:rsidR="00203F72" w:rsidRPr="00A53581">
        <w:t>保衛中華民國之國家安全，此時，</w:t>
      </w:r>
      <w:r w:rsidR="00203F72" w:rsidRPr="00A53581">
        <w:rPr>
          <w:rStyle w:val="langwithname"/>
          <w:rFonts w:ascii="新細明體" w:hAnsi="新細明體"/>
          <w:lang w:val="en"/>
        </w:rPr>
        <w:t>攻擊方即須至少增加達至</w:t>
      </w:r>
      <w:r w:rsidR="00203F72" w:rsidRPr="00A53581">
        <w:rPr>
          <w:rStyle w:val="langwithname"/>
          <w:rFonts w:ascii="新細明體" w:hAnsi="新細明體" w:hint="eastAsia"/>
          <w:lang w:val="en"/>
        </w:rPr>
        <w:t>150</w:t>
      </w:r>
      <w:r w:rsidR="00203F72" w:rsidRPr="00A53581">
        <w:rPr>
          <w:rStyle w:val="langwithname"/>
          <w:rFonts w:ascii="新細明體" w:hAnsi="新細明體"/>
          <w:lang w:val="en"/>
        </w:rPr>
        <w:t>萬名以上之戰鬥兵力，始有擊敗台灣部隊之可能。攻擊方運用海上載具，承運</w:t>
      </w:r>
      <w:r w:rsidR="00203F72" w:rsidRPr="00A53581">
        <w:rPr>
          <w:rStyle w:val="langwithname"/>
          <w:rFonts w:ascii="新細明體" w:hAnsi="新細明體" w:hint="eastAsia"/>
          <w:lang w:val="en"/>
        </w:rPr>
        <w:t>150</w:t>
      </w:r>
      <w:r w:rsidR="00203F72" w:rsidRPr="00A53581">
        <w:rPr>
          <w:rStyle w:val="langwithname"/>
          <w:rFonts w:ascii="新細明體" w:hAnsi="新細明體"/>
          <w:lang w:val="en"/>
        </w:rPr>
        <w:t>萬名以上之戰鬥兵力，事實上，是非常危險之任務，可能尚未登陸，大部分兵力，即被我方飛彈消滅。由此可知，台灣婦女從事上述</w:t>
      </w:r>
      <w:r w:rsidR="00203F72" w:rsidRPr="00A53581">
        <w:t>民事、衛生、醫護</w:t>
      </w:r>
      <w:r w:rsidR="00203F72" w:rsidRPr="00A53581">
        <w:rPr>
          <w:rStyle w:val="langwithname"/>
          <w:rFonts w:ascii="新細明體" w:hAnsi="新細明體"/>
          <w:lang w:val="en"/>
        </w:rPr>
        <w:t>勤務，可有效地捍衛中華民國之存續。</w:t>
      </w:r>
    </w:p>
    <w:p w14:paraId="42DB6516" w14:textId="77777777" w:rsidR="00953151" w:rsidRDefault="00BF2553" w:rsidP="00D87D91">
      <w:r>
        <w:t xml:space="preserve">　　</w:t>
      </w:r>
      <w:r w:rsidR="00203F72" w:rsidRPr="00A53581">
        <w:t>由於中華民國是全球華人世界中，施行民主自由憲政體制之典範，中華民國之繼續生存，對於全球華人世界之民主自由憲政體制而論，具有最佳模範生、標竿、火車頭及領導之作用。再者，玆考量中華民國係由男性及女性國民共同組合而成，當中華民國遭受外來武力之攻擊，為了保衛中華民國之國家安全，及維護民主自由憲政體制之需，為了維繫國家之生存與命脈，當女性志願性人力不足，且於中華民國之國家生存，業已面臨重大危險與威脅之時，於必要時，台灣婦女實亦負有從事民事、衛生、醫護，但非第一線戰鬥性及攻擊性兵役勤務之憲法義務</w:t>
      </w:r>
      <w:r w:rsidR="00203F72" w:rsidRPr="00A53581">
        <w:rPr>
          <w:rFonts w:hint="eastAsia"/>
        </w:rPr>
        <w:t>(</w:t>
      </w:r>
      <w:r w:rsidR="00203F72" w:rsidRPr="00A53581">
        <w:rPr>
          <w:rFonts w:hint="eastAsia"/>
        </w:rPr>
        <w:t>作者認為，婦女不宜負責</w:t>
      </w:r>
      <w:r w:rsidR="00203F72" w:rsidRPr="00A53581">
        <w:t>第一線戰鬥性兵役勤務</w:t>
      </w:r>
      <w:r w:rsidR="00203F72" w:rsidRPr="00A53581">
        <w:rPr>
          <w:rFonts w:hint="eastAsia"/>
        </w:rPr>
        <w:t>)</w:t>
      </w:r>
      <w:r w:rsidR="00203F72" w:rsidRPr="00A53581">
        <w:t>，以符合男女平等之兵役法理。</w:t>
      </w:r>
    </w:p>
    <w:p w14:paraId="75C1E3A4" w14:textId="77777777" w:rsidR="00145751" w:rsidRDefault="00145751" w:rsidP="007443F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2A4704F0" w14:textId="77777777" w:rsidR="00145751" w:rsidRDefault="00145751" w:rsidP="00D87D91"/>
    <w:p w14:paraId="0195367F" w14:textId="77777777" w:rsidR="00953151" w:rsidRDefault="00203F72" w:rsidP="00767F37">
      <w:pPr>
        <w:pStyle w:val="2"/>
      </w:pPr>
      <w:bookmarkStart w:id="164" w:name="_肆拾壹、我國憲法宜承認蒙古國之國際法地位"/>
      <w:bookmarkEnd w:id="164"/>
      <w:r w:rsidRPr="00A53581">
        <w:t>肆拾壹、我國憲法宜承認蒙古國之國際法地位</w:t>
      </w:r>
    </w:p>
    <w:p w14:paraId="5458484E" w14:textId="77777777" w:rsidR="00953151" w:rsidRDefault="00BF2553" w:rsidP="00D87D91">
      <w:r>
        <w:t xml:space="preserve">　　</w:t>
      </w:r>
      <w:r w:rsidR="00203F72" w:rsidRPr="00A53581">
        <w:t>我國憲法宜承認蒙古國之國際法地位，尊重蒙古國人民有獨立建國及民族自治之權利；根據「公民與政治權利國際公約」</w:t>
      </w:r>
      <w:hyperlink r:id="rId2849" w:anchor="a1" w:history="1">
        <w:r w:rsidR="00203F72" w:rsidRPr="007443FD">
          <w:rPr>
            <w:rStyle w:val="a5"/>
            <w:rFonts w:ascii="Times New Roman" w:eastAsia="新細明體" w:hAnsi="Times New Roman"/>
          </w:rPr>
          <w:t>第</w:t>
        </w:r>
        <w:r w:rsidR="00203F72" w:rsidRPr="007443FD">
          <w:rPr>
            <w:rStyle w:val="a5"/>
            <w:rFonts w:ascii="Times New Roman" w:eastAsia="新細明體" w:hAnsi="Times New Roman"/>
          </w:rPr>
          <w:t>1</w:t>
        </w:r>
        <w:r w:rsidR="00203F72" w:rsidRPr="007443FD">
          <w:rPr>
            <w:rStyle w:val="a5"/>
            <w:rFonts w:ascii="Times New Roman" w:eastAsia="新細明體" w:hAnsi="Times New Roman"/>
          </w:rPr>
          <w:t>條</w:t>
        </w:r>
      </w:hyperlink>
      <w:r w:rsidR="00203F72" w:rsidRPr="00A53581">
        <w:t>之規定，所有民族均享有自決權，蒙古民族亦享有自決權，此種權利，不容我國憲法加以剝奪之；憲法</w:t>
      </w:r>
      <w:hyperlink r:id="rId2850" w:anchor="a119" w:history="1">
        <w:r w:rsidR="00203F72" w:rsidRPr="004651E8">
          <w:rPr>
            <w:rStyle w:val="a5"/>
          </w:rPr>
          <w:t>第119條</w:t>
        </w:r>
      </w:hyperlink>
      <w:r w:rsidR="00203F72" w:rsidRPr="00A53581">
        <w:t>之規定，實已侵犯蒙古國之國家主權，且非常明顯地違反「公民與政治權利國際公約</w:t>
      </w:r>
      <w:r w:rsidR="007443FD" w:rsidRPr="00A53581">
        <w:t>」</w:t>
      </w:r>
      <w:hyperlink r:id="rId2851" w:anchor="a1" w:history="1">
        <w:r w:rsidR="007443FD" w:rsidRPr="007443FD">
          <w:rPr>
            <w:rStyle w:val="a5"/>
            <w:rFonts w:ascii="Times New Roman" w:eastAsia="新細明體" w:hAnsi="Times New Roman"/>
          </w:rPr>
          <w:t>第</w:t>
        </w:r>
        <w:r w:rsidR="007443FD" w:rsidRPr="007443FD">
          <w:rPr>
            <w:rStyle w:val="a5"/>
            <w:rFonts w:ascii="Times New Roman" w:eastAsia="新細明體" w:hAnsi="Times New Roman"/>
          </w:rPr>
          <w:t>1</w:t>
        </w:r>
        <w:r w:rsidR="007443FD" w:rsidRPr="007443FD">
          <w:rPr>
            <w:rStyle w:val="a5"/>
            <w:rFonts w:ascii="Times New Roman" w:eastAsia="新細明體" w:hAnsi="Times New Roman"/>
          </w:rPr>
          <w:t>條</w:t>
        </w:r>
      </w:hyperlink>
      <w:r w:rsidR="00203F72" w:rsidRPr="00A53581">
        <w:t>之規定。綜上，我國憲法宜承認蒙古國之國際法地位，並嚴肅地及認真地尊重蒙古國人民有獨立建國及民族自治之權利。</w:t>
      </w:r>
    </w:p>
    <w:p w14:paraId="59DAAB95" w14:textId="77777777" w:rsidR="00145751" w:rsidRDefault="00145751" w:rsidP="007443F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34F550DD" w14:textId="77777777" w:rsidR="00145751" w:rsidRDefault="00145751" w:rsidP="00D87D91"/>
    <w:p w14:paraId="422C110A" w14:textId="77777777" w:rsidR="00953151" w:rsidRDefault="00203F72" w:rsidP="00767F37">
      <w:pPr>
        <w:pStyle w:val="2"/>
      </w:pPr>
      <w:bookmarkStart w:id="165" w:name="_肆拾貳、基本國策宜新增若干項目(諸如：兩岸應和平發展，互蒙其利，並建立"/>
      <w:bookmarkEnd w:id="165"/>
      <w:r w:rsidRPr="00A53581">
        <w:t>肆拾貳、基本國策宜新增若干項目</w:t>
      </w:r>
      <w:r w:rsidRPr="00A53581">
        <w:t>(</w:t>
      </w:r>
      <w:r w:rsidRPr="00A53581">
        <w:t>諸如：兩岸應和平發展，互蒙其利，並建立互信之政治與軍事機制</w:t>
      </w:r>
      <w:r w:rsidRPr="00A53581">
        <w:t>)</w:t>
      </w:r>
    </w:p>
    <w:p w14:paraId="2F9695E9" w14:textId="77777777" w:rsidR="00953151" w:rsidRDefault="00BF2553" w:rsidP="00D87D91">
      <w:r>
        <w:t xml:space="preserve">　　</w:t>
      </w:r>
      <w:r w:rsidR="00203F72" w:rsidRPr="00A53581">
        <w:t>在基本國策方面，宜新增若干之項目，諸如：</w:t>
      </w:r>
      <w:r w:rsidR="00203F72" w:rsidRPr="00A53581">
        <w:t>1.</w:t>
      </w:r>
      <w:r w:rsidR="00203F72" w:rsidRPr="00A53581">
        <w:t>應重</w:t>
      </w:r>
      <w:r w:rsidR="003E240E">
        <w:t>視</w:t>
      </w:r>
      <w:r w:rsidR="00203F72" w:rsidRPr="00A53581">
        <w:t>基本人權之保障；</w:t>
      </w:r>
      <w:r w:rsidR="00203F72" w:rsidRPr="00A53581">
        <w:t>2.</w:t>
      </w:r>
      <w:r w:rsidR="00203F72" w:rsidRPr="00A53581">
        <w:t>兩岸應和平發展，互蒙其利，並建立互信之政治與軍事機制；</w:t>
      </w:r>
      <w:r w:rsidR="00203F72" w:rsidRPr="00A53581">
        <w:t>3.</w:t>
      </w:r>
      <w:r w:rsidR="00203F72" w:rsidRPr="00A53581">
        <w:t>重</w:t>
      </w:r>
      <w:r w:rsidR="003E240E">
        <w:t>視</w:t>
      </w:r>
      <w:r w:rsidR="00203F72" w:rsidRPr="00A53581">
        <w:t>外國人人權之保障；</w:t>
      </w:r>
      <w:r w:rsidR="00203F72" w:rsidRPr="00A53581">
        <w:t xml:space="preserve">4. </w:t>
      </w:r>
      <w:r w:rsidR="00203F72" w:rsidRPr="00A53581">
        <w:t>制定良善之移民與人口政策，重</w:t>
      </w:r>
      <w:r w:rsidR="003E240E">
        <w:t>視</w:t>
      </w:r>
      <w:r w:rsidR="00203F72" w:rsidRPr="00A53581">
        <w:t>移民輔導與整合，保障新住民權益，以解決少子化及高齡化問題；</w:t>
      </w:r>
      <w:r w:rsidR="00203F72" w:rsidRPr="00A53581">
        <w:t>5.</w:t>
      </w:r>
      <w:r w:rsidR="00203F72" w:rsidRPr="00A53581">
        <w:t>重</w:t>
      </w:r>
      <w:r w:rsidR="003E240E">
        <w:t>視</w:t>
      </w:r>
      <w:r w:rsidR="00203F72" w:rsidRPr="00A53581">
        <w:t>「動物權」及「後世代權」之保障；</w:t>
      </w:r>
      <w:r w:rsidR="00203F72" w:rsidRPr="00A53581">
        <w:t>6.</w:t>
      </w:r>
      <w:r w:rsidR="00203F72" w:rsidRPr="00A53581">
        <w:t>保障護理人員與警察人員之身心健康，合理化護理人員與警察人員之勤務方式與執勤時間；</w:t>
      </w:r>
      <w:r w:rsidR="00203F72" w:rsidRPr="00A53581">
        <w:t xml:space="preserve">7. </w:t>
      </w:r>
      <w:r w:rsidR="00203F72" w:rsidRPr="00A53581">
        <w:t>重</w:t>
      </w:r>
      <w:r w:rsidR="003E240E">
        <w:t>視</w:t>
      </w:r>
      <w:r w:rsidR="00203F72" w:rsidRPr="00A53581">
        <w:t>各式海洋（域）資源之維護與開發利用，保障我國「藍色國土」之各式資源，極力防衛我國固有之海域，並加強對海洋之研究與利用，打造一個環保化、生態化</w:t>
      </w:r>
      <w:r w:rsidR="00203F72" w:rsidRPr="00A53581">
        <w:rPr>
          <w:rFonts w:hint="eastAsia"/>
        </w:rPr>
        <w:t>、</w:t>
      </w:r>
      <w:r w:rsidR="00203F72" w:rsidRPr="00A53581">
        <w:t>安全化</w:t>
      </w:r>
      <w:r w:rsidR="00203F72" w:rsidRPr="00A53581">
        <w:rPr>
          <w:rFonts w:hint="eastAsia"/>
        </w:rPr>
        <w:t>、永續經營化、</w:t>
      </w:r>
      <w:r w:rsidR="00203F72" w:rsidRPr="00A53581">
        <w:t>繁榮化與人性化的海洋國家；</w:t>
      </w:r>
      <w:r w:rsidR="00203F72" w:rsidRPr="00A53581">
        <w:t>8.</w:t>
      </w:r>
      <w:r w:rsidR="00203F72" w:rsidRPr="00A53581">
        <w:t>積極將各式國際條約內國法化，並重</w:t>
      </w:r>
      <w:r w:rsidR="003E240E">
        <w:t>視</w:t>
      </w:r>
      <w:r w:rsidR="00203F72" w:rsidRPr="00A53581">
        <w:t>我國對國際社會應盡國際義務之履行；</w:t>
      </w:r>
      <w:r w:rsidR="00203F72" w:rsidRPr="00A53581">
        <w:t>9.</w:t>
      </w:r>
      <w:r w:rsidR="00203F72" w:rsidRPr="00A53581">
        <w:t>積極提升國民實質經濟所得，營造優質之生活環境；</w:t>
      </w:r>
      <w:r w:rsidR="00203F72" w:rsidRPr="00A53581">
        <w:t>10.</w:t>
      </w:r>
      <w:r w:rsidR="00203F72" w:rsidRPr="00A53581">
        <w:t>透由各式措施，消除貪腐現象；</w:t>
      </w:r>
      <w:r w:rsidR="00203F72" w:rsidRPr="00A53581">
        <w:t>11.</w:t>
      </w:r>
      <w:r w:rsidR="00203F72" w:rsidRPr="00A53581">
        <w:t>重</w:t>
      </w:r>
      <w:r w:rsidR="003E240E">
        <w:t>視</w:t>
      </w:r>
      <w:r w:rsidR="00203F72" w:rsidRPr="00A53581">
        <w:t>犯罪預防、打擊犯罪、犯罪矯正、犯罪被告、被害人與受刑人等相關權益之保障，及其復歸社會之工作，以營造優質之安全化生活環境；</w:t>
      </w:r>
      <w:r w:rsidR="00203F72" w:rsidRPr="00A53581">
        <w:t>12.</w:t>
      </w:r>
      <w:r w:rsidR="00203F72" w:rsidRPr="00A53581">
        <w:t>重</w:t>
      </w:r>
      <w:r w:rsidR="003E240E">
        <w:t>視</w:t>
      </w:r>
      <w:r w:rsidR="00203F72" w:rsidRPr="00A53581">
        <w:t>醫護教育，致力於提升醫療技術與水準，保障醫療人員權益，以營造優質之國民生存環境；</w:t>
      </w:r>
      <w:r w:rsidR="00203F72" w:rsidRPr="00A53581">
        <w:t>13.</w:t>
      </w:r>
      <w:r w:rsidR="00203F72" w:rsidRPr="00A53581">
        <w:t>積極強化國防自衛力量，但國防應僅限定於防衛性，禁止宣傳及發動侵略戰爭，武力戰爭應限於防衛國家生存之最後手段性及正義性之戰。非防衛型及正義型之戰爭，武力禁止充作國防之最後手段與工具；</w:t>
      </w:r>
      <w:r w:rsidR="00203F72" w:rsidRPr="00A53581">
        <w:t>14.</w:t>
      </w:r>
      <w:r w:rsidR="00203F72" w:rsidRPr="00A53581">
        <w:t>重</w:t>
      </w:r>
      <w:r w:rsidR="003E240E">
        <w:t>視</w:t>
      </w:r>
      <w:r w:rsidR="00203F72" w:rsidRPr="00A53581">
        <w:t>老人福利、人力資源再運用、保健、醫療及短、中、長期照護問題，提供老人優質及尊嚴之老年生活；</w:t>
      </w:r>
      <w:r w:rsidR="00203F72" w:rsidRPr="00A53581">
        <w:t>15</w:t>
      </w:r>
      <w:r w:rsidR="00203F72" w:rsidRPr="00A53581">
        <w:t>、擬定國土保護之政策，落實國土保護之機制；</w:t>
      </w:r>
      <w:r w:rsidR="00203F72" w:rsidRPr="00A53581">
        <w:t>16</w:t>
      </w:r>
      <w:r w:rsidR="00203F72" w:rsidRPr="00A53581">
        <w:t>、重</w:t>
      </w:r>
      <w:r w:rsidR="003E240E">
        <w:t>視</w:t>
      </w:r>
      <w:r w:rsidR="00203F72" w:rsidRPr="00A53581">
        <w:t>與強化各式水、陸、空交通與大眾運輸系統之建制，建構美感化、藝術化、舒適化、優質化、便利化、安全化、廉價化及快捷化之各式水、陸、空交通與大眾運輸系統；</w:t>
      </w:r>
      <w:r w:rsidR="00203F72" w:rsidRPr="00A53581">
        <w:t>17</w:t>
      </w:r>
      <w:r w:rsidR="00203F72" w:rsidRPr="00A53581">
        <w:t>、</w:t>
      </w:r>
      <w:r w:rsidR="00203F72" w:rsidRPr="00A53581">
        <w:rPr>
          <w:bCs/>
        </w:rPr>
        <w:t>保障離島地區居民權益；</w:t>
      </w:r>
      <w:r w:rsidR="00203F72" w:rsidRPr="00A53581">
        <w:rPr>
          <w:bCs/>
        </w:rPr>
        <w:t>18</w:t>
      </w:r>
      <w:r w:rsidR="00203F72" w:rsidRPr="00A53581">
        <w:t>延長國民義務教育年齡至</w:t>
      </w:r>
      <w:r w:rsidR="00203F72" w:rsidRPr="00A53581">
        <w:t>18</w:t>
      </w:r>
      <w:r w:rsidR="00203F72" w:rsidRPr="00A53581">
        <w:t>歲。</w:t>
      </w:r>
    </w:p>
    <w:p w14:paraId="3F01C6FD" w14:textId="77777777" w:rsidR="00145751" w:rsidRDefault="00145751" w:rsidP="007443FD">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423BAC5B" w14:textId="77777777" w:rsidR="00145751" w:rsidRDefault="00145751" w:rsidP="00D87D91"/>
    <w:p w14:paraId="064FEDBD" w14:textId="77777777" w:rsidR="00953151" w:rsidRDefault="00203F72" w:rsidP="00767F37">
      <w:pPr>
        <w:pStyle w:val="2"/>
      </w:pPr>
      <w:bookmarkStart w:id="166" w:name="_肆拾參、區分為承平時期及國家遭遇緊急狀況時期之不同修憲機制"/>
      <w:bookmarkEnd w:id="166"/>
      <w:r w:rsidRPr="00A53581">
        <w:t>肆拾參、區分為承平時期及國家遭遇緊急狀況時期之不同修憲機制</w:t>
      </w:r>
    </w:p>
    <w:p w14:paraId="4360147F" w14:textId="77777777" w:rsidR="00953151" w:rsidRPr="00D774A2" w:rsidRDefault="00BF2553" w:rsidP="00D87D91">
      <w:r w:rsidRPr="00D774A2">
        <w:t xml:space="preserve">　　</w:t>
      </w:r>
      <w:r w:rsidR="00203F72" w:rsidRPr="00D774A2">
        <w:t>宜仿照芬蘭憲法第</w:t>
      </w:r>
      <w:r w:rsidR="00203F72" w:rsidRPr="00D774A2">
        <w:t>73</w:t>
      </w:r>
      <w:r w:rsidR="00203F72" w:rsidRPr="00D774A2">
        <w:t>條之機制</w:t>
      </w:r>
      <w:r w:rsidR="00203F72" w:rsidRPr="00D774A2">
        <w:footnoteReference w:id="1158"/>
      </w:r>
      <w:r w:rsidR="00203F72" w:rsidRPr="00D774A2">
        <w:t>，將憲法之修正，區分為承平時期及國家遭遇緊急狀況時期之不同修憲機制，而作不同之修憲規範。</w:t>
      </w:r>
    </w:p>
    <w:p w14:paraId="57FF25C0" w14:textId="77777777" w:rsidR="00953151" w:rsidRDefault="00BF2553" w:rsidP="00D87D91">
      <w:r w:rsidRPr="00D774A2">
        <w:t xml:space="preserve">　　</w:t>
      </w:r>
      <w:r w:rsidR="00203F72" w:rsidRPr="00D774A2">
        <w:t>根據芬蘭憲法第</w:t>
      </w:r>
      <w:r w:rsidR="00203F72" w:rsidRPr="00D774A2">
        <w:t>73</w:t>
      </w:r>
      <w:r w:rsidR="00203F72" w:rsidRPr="00D774A2">
        <w:t>條所規範之修憲程序，第</w:t>
      </w:r>
      <w:r w:rsidR="00203F72" w:rsidRPr="00D774A2">
        <w:t>1</w:t>
      </w:r>
      <w:r w:rsidR="00203F72" w:rsidRPr="00D774A2">
        <w:t>項係規定平時（非緊急）之修憲流程；在第</w:t>
      </w:r>
      <w:r w:rsidR="00203F72" w:rsidRPr="00D774A2">
        <w:t>73</w:t>
      </w:r>
      <w:r w:rsidR="00203F72" w:rsidRPr="00D774A2">
        <w:t>條第</w:t>
      </w:r>
      <w:r w:rsidR="00203F72" w:rsidRPr="00D774A2">
        <w:t>2</w:t>
      </w:r>
      <w:r w:rsidR="00203F72" w:rsidRPr="00D774A2">
        <w:t>項方面，則規範國家面臨突發性之緊急狀況時（</w:t>
      </w:r>
      <w:r w:rsidR="00203F72" w:rsidRPr="00D774A2">
        <w:t>urgent</w:t>
      </w:r>
      <w:r w:rsidR="00203F72" w:rsidRPr="00D774A2">
        <w:t>）之修憲程序；在緊急狀況下，憲法條文之修正與廢止，無須分別經歷當屆期與下屆期兩屆國會代表之多數決同意，而改由當屆期國會議員，在取得多數決六分之五比例之同意修憲提議</w:t>
      </w:r>
      <w:r w:rsidR="00203F72" w:rsidRPr="00D774A2">
        <w:t>(However, the proposal may be declared urgent by a decision that has been supported by at least five sixths of the votes cast)</w:t>
      </w:r>
      <w:r w:rsidR="00203F72" w:rsidRPr="00D774A2">
        <w:t>，且取得三分之二之國會議員表決同意修憲之下</w:t>
      </w:r>
      <w:r w:rsidR="00203F72" w:rsidRPr="00D774A2">
        <w:t>(and it can be adopted by a decision supported by at least two thirds of the votes cast)</w:t>
      </w:r>
      <w:r w:rsidR="00203F72" w:rsidRPr="00D774A2">
        <w:t>，即可進行快速修憲。亦即，此時，憲法之提議修正案，在</w:t>
      </w:r>
      <w:r w:rsidR="00203F72" w:rsidRPr="00D774A2">
        <w:t>2</w:t>
      </w:r>
      <w:r w:rsidR="00203F72" w:rsidRPr="00D774A2">
        <w:t>讀會之時</w:t>
      </w:r>
      <w:r w:rsidR="00203F72" w:rsidRPr="00D774A2">
        <w:t>(in the second reading)</w:t>
      </w:r>
      <w:r w:rsidR="00203F72" w:rsidRPr="00D774A2">
        <w:t>，無須中止</w:t>
      </w:r>
      <w:r w:rsidR="00203F72" w:rsidRPr="00D774A2">
        <w:t>(In this event, the proposal is not left in abeyance)</w:t>
      </w:r>
      <w:r w:rsidR="00203F72" w:rsidRPr="00D774A2">
        <w:t>，而待下屆期國會代表之多數決同意。</w:t>
      </w:r>
    </w:p>
    <w:p w14:paraId="725819E1" w14:textId="77777777" w:rsidR="00D774A2" w:rsidRPr="00D774A2" w:rsidRDefault="00D774A2" w:rsidP="00D87D91"/>
    <w:p w14:paraId="38E5B27E" w14:textId="11C22185" w:rsidR="00203F72" w:rsidRPr="00D774A2" w:rsidRDefault="00B03E84" w:rsidP="00D87D91">
      <w:r w:rsidRPr="00D774A2">
        <w:t>【</w:t>
      </w:r>
      <w:r w:rsidRPr="00D774A2">
        <w:t>table</w:t>
      </w:r>
      <w:r w:rsidR="005E23E3" w:rsidRPr="00D774A2">
        <w:t>】</w:t>
      </w:r>
      <w:r w:rsidR="00076467">
        <w:rPr>
          <w:noProof/>
        </w:rPr>
        <w:fldChar w:fldCharType="begin"/>
      </w:r>
      <w:r w:rsidR="00076467">
        <w:rPr>
          <w:noProof/>
        </w:rPr>
        <w:instrText xml:space="preserve"> SEQ table \* ARABIC </w:instrText>
      </w:r>
      <w:r w:rsidR="00076467">
        <w:rPr>
          <w:noProof/>
        </w:rPr>
        <w:fldChar w:fldCharType="separate"/>
      </w:r>
      <w:r w:rsidR="00D935B9">
        <w:rPr>
          <w:noProof/>
        </w:rPr>
        <w:t>130</w:t>
      </w:r>
      <w:r w:rsidR="00076467">
        <w:rPr>
          <w:noProof/>
        </w:rPr>
        <w:fldChar w:fldCharType="end"/>
      </w:r>
      <w:r w:rsidR="00203F72" w:rsidRPr="00D774A2">
        <w:rPr>
          <w:rFonts w:hint="eastAsia"/>
        </w:rPr>
        <w:t>第六次與第七次增憲涉及憲法修正提案權及修憲程序之差異比較表</w:t>
      </w:r>
    </w:p>
    <w:tbl>
      <w:tblPr>
        <w:tblW w:w="80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3941"/>
        <w:gridCol w:w="3260"/>
      </w:tblGrid>
      <w:tr w:rsidR="00203F72" w:rsidRPr="00A53581" w14:paraId="1AD53D9B" w14:textId="77777777" w:rsidTr="00D774A2">
        <w:trPr>
          <w:tblHeader/>
        </w:trPr>
        <w:tc>
          <w:tcPr>
            <w:tcW w:w="879" w:type="dxa"/>
            <w:shd w:val="clear" w:color="auto" w:fill="FAF0FA"/>
            <w:vAlign w:val="center"/>
          </w:tcPr>
          <w:p w14:paraId="5EFD5906" w14:textId="77777777" w:rsidR="00203F72" w:rsidRPr="00A53581" w:rsidRDefault="00203F72" w:rsidP="00D87D91"/>
        </w:tc>
        <w:tc>
          <w:tcPr>
            <w:tcW w:w="3941" w:type="dxa"/>
            <w:shd w:val="clear" w:color="auto" w:fill="FAF0FA"/>
            <w:vAlign w:val="center"/>
          </w:tcPr>
          <w:p w14:paraId="384D1F6F" w14:textId="77777777" w:rsidR="00203F72" w:rsidRPr="00A53581" w:rsidRDefault="00203F72" w:rsidP="007443FD">
            <w:r w:rsidRPr="00A53581">
              <w:rPr>
                <w:rFonts w:hint="eastAsia"/>
              </w:rPr>
              <w:t>第六次增憲</w:t>
            </w:r>
            <w:hyperlink r:id="rId2852" w:anchor="b1" w:history="1">
              <w:r w:rsidR="007443FD" w:rsidRPr="001B1539">
                <w:rPr>
                  <w:rStyle w:val="a5"/>
                </w:rPr>
                <w:t>第1條</w:t>
              </w:r>
            </w:hyperlink>
            <w:r w:rsidRPr="00A53581">
              <w:rPr>
                <w:rFonts w:hint="eastAsia"/>
              </w:rPr>
              <w:t>第</w:t>
            </w:r>
            <w:r w:rsidRPr="00A53581">
              <w:rPr>
                <w:rFonts w:hint="eastAsia"/>
              </w:rPr>
              <w:t>2</w:t>
            </w:r>
            <w:r w:rsidRPr="00A53581">
              <w:rPr>
                <w:rFonts w:hint="eastAsia"/>
              </w:rPr>
              <w:t>項第</w:t>
            </w:r>
            <w:r w:rsidRPr="00A53581">
              <w:rPr>
                <w:rFonts w:hint="eastAsia"/>
              </w:rPr>
              <w:t>1</w:t>
            </w:r>
            <w:r w:rsidRPr="00A53581">
              <w:rPr>
                <w:rFonts w:hint="eastAsia"/>
              </w:rPr>
              <w:t>款</w:t>
            </w:r>
          </w:p>
        </w:tc>
        <w:tc>
          <w:tcPr>
            <w:tcW w:w="3260" w:type="dxa"/>
            <w:shd w:val="clear" w:color="auto" w:fill="FAF0FA"/>
            <w:vAlign w:val="center"/>
          </w:tcPr>
          <w:p w14:paraId="01BBC084" w14:textId="77777777" w:rsidR="00203F72" w:rsidRPr="00A53581" w:rsidRDefault="00203F72" w:rsidP="007443FD">
            <w:r w:rsidRPr="00A53581">
              <w:rPr>
                <w:rFonts w:hint="eastAsia"/>
              </w:rPr>
              <w:t>第七次增憲</w:t>
            </w:r>
            <w:hyperlink r:id="rId2853" w:anchor="b1" w:history="1">
              <w:r w:rsidR="007443FD" w:rsidRPr="001B1539">
                <w:rPr>
                  <w:rStyle w:val="a5"/>
                </w:rPr>
                <w:t>第1條</w:t>
              </w:r>
            </w:hyperlink>
            <w:r w:rsidRPr="00A53581">
              <w:rPr>
                <w:rFonts w:hint="eastAsia"/>
              </w:rPr>
              <w:t>、</w:t>
            </w:r>
            <w:hyperlink r:id="rId2854" w:anchor="b12" w:history="1">
              <w:r w:rsidRPr="007443FD">
                <w:rPr>
                  <w:rStyle w:val="a5"/>
                  <w:rFonts w:ascii="Times New Roman" w:eastAsia="新細明體" w:hAnsi="Times New Roman" w:hint="eastAsia"/>
                </w:rPr>
                <w:t>第</w:t>
              </w:r>
              <w:r w:rsidRPr="007443FD">
                <w:rPr>
                  <w:rStyle w:val="a5"/>
                  <w:rFonts w:ascii="Times New Roman" w:eastAsia="新細明體" w:hAnsi="Times New Roman" w:hint="eastAsia"/>
                </w:rPr>
                <w:t>12</w:t>
              </w:r>
              <w:r w:rsidRPr="007443FD">
                <w:rPr>
                  <w:rStyle w:val="a5"/>
                  <w:rFonts w:ascii="Times New Roman" w:eastAsia="新細明體" w:hAnsi="Times New Roman" w:hint="eastAsia"/>
                </w:rPr>
                <w:t>條</w:t>
              </w:r>
            </w:hyperlink>
          </w:p>
        </w:tc>
      </w:tr>
      <w:tr w:rsidR="00203F72" w:rsidRPr="00A53581" w14:paraId="46BC831A" w14:textId="77777777" w:rsidTr="00D774A2">
        <w:tc>
          <w:tcPr>
            <w:tcW w:w="879" w:type="dxa"/>
            <w:shd w:val="clear" w:color="auto" w:fill="auto"/>
            <w:vAlign w:val="center"/>
          </w:tcPr>
          <w:p w14:paraId="01A918E4" w14:textId="77777777" w:rsidR="00203F72" w:rsidRPr="00A53581" w:rsidRDefault="00203F72" w:rsidP="00D87D91">
            <w:r w:rsidRPr="00A53581">
              <w:rPr>
                <w:rFonts w:hint="eastAsia"/>
              </w:rPr>
              <w:t>修憲提案權</w:t>
            </w:r>
          </w:p>
        </w:tc>
        <w:tc>
          <w:tcPr>
            <w:tcW w:w="3941" w:type="dxa"/>
            <w:shd w:val="clear" w:color="auto" w:fill="auto"/>
          </w:tcPr>
          <w:p w14:paraId="4F2C8213" w14:textId="77777777" w:rsidR="00203F72" w:rsidRPr="00A53581" w:rsidRDefault="00203F72" w:rsidP="00D87D91">
            <w:r w:rsidRPr="00A53581">
              <w:rPr>
                <w:rFonts w:hint="eastAsia"/>
              </w:rPr>
              <w:t>憲法增修條</w:t>
            </w:r>
            <w:r w:rsidR="001B1539" w:rsidRPr="00A53581">
              <w:t>文</w:t>
            </w:r>
            <w:hyperlink r:id="rId2855" w:anchor="b1" w:history="1">
              <w:r w:rsidR="001B1539" w:rsidRPr="001B1539">
                <w:rPr>
                  <w:rStyle w:val="a5"/>
                </w:rPr>
                <w:t>第1條</w:t>
              </w:r>
            </w:hyperlink>
            <w:r w:rsidRPr="00A53581">
              <w:rPr>
                <w:rFonts w:hint="eastAsia"/>
              </w:rPr>
              <w:t>第</w:t>
            </w:r>
            <w:r w:rsidRPr="00A53581">
              <w:rPr>
                <w:rFonts w:hint="eastAsia"/>
              </w:rPr>
              <w:t>2</w:t>
            </w:r>
            <w:r w:rsidRPr="00A53581">
              <w:rPr>
                <w:rFonts w:hint="eastAsia"/>
              </w:rPr>
              <w:t>項，刪除國民大會的修憲提案權，故現行憲法下，只剩立法院擁有修憲提案權。</w:t>
            </w:r>
          </w:p>
        </w:tc>
        <w:tc>
          <w:tcPr>
            <w:tcW w:w="3260" w:type="dxa"/>
            <w:shd w:val="clear" w:color="auto" w:fill="auto"/>
          </w:tcPr>
          <w:p w14:paraId="7986E2EC" w14:textId="77777777" w:rsidR="00203F72" w:rsidRPr="00A53581" w:rsidRDefault="00203F72" w:rsidP="00D87D91">
            <w:pPr>
              <w:rPr>
                <w:rFonts w:ascii="新細明體" w:hAnsi="新細明體"/>
              </w:rPr>
            </w:pPr>
            <w:r w:rsidRPr="00A53581">
              <w:rPr>
                <w:rFonts w:ascii="新細明體" w:hAnsi="新細明體" w:hint="eastAsia"/>
              </w:rPr>
              <w:t>憲法增修條</w:t>
            </w:r>
            <w:r w:rsidR="001B1539" w:rsidRPr="00A53581">
              <w:rPr>
                <w:rFonts w:ascii="新細明體" w:hAnsi="新細明體"/>
              </w:rPr>
              <w:t>文</w:t>
            </w:r>
            <w:hyperlink r:id="rId2856" w:anchor="b1" w:history="1">
              <w:r w:rsidR="001B1539" w:rsidRPr="001B1539">
                <w:rPr>
                  <w:rStyle w:val="a5"/>
                </w:rPr>
                <w:t>第1條</w:t>
              </w:r>
            </w:hyperlink>
            <w:r w:rsidRPr="00A53581">
              <w:rPr>
                <w:rFonts w:ascii="新細明體" w:hAnsi="新細明體" w:hint="eastAsia"/>
              </w:rPr>
              <w:t>廢除國民大會。</w:t>
            </w:r>
          </w:p>
        </w:tc>
      </w:tr>
      <w:tr w:rsidR="00203F72" w:rsidRPr="00A53581" w14:paraId="687195B2" w14:textId="77777777" w:rsidTr="00D774A2">
        <w:tc>
          <w:tcPr>
            <w:tcW w:w="879" w:type="dxa"/>
            <w:shd w:val="clear" w:color="auto" w:fill="auto"/>
            <w:vAlign w:val="center"/>
          </w:tcPr>
          <w:p w14:paraId="48FE5097" w14:textId="77777777" w:rsidR="00203F72" w:rsidRPr="00A53581" w:rsidRDefault="00203F72" w:rsidP="00D87D91">
            <w:r w:rsidRPr="00A53581">
              <w:rPr>
                <w:rFonts w:hint="eastAsia"/>
              </w:rPr>
              <w:t>修憲程序</w:t>
            </w:r>
          </w:p>
        </w:tc>
        <w:tc>
          <w:tcPr>
            <w:tcW w:w="3941" w:type="dxa"/>
            <w:shd w:val="clear" w:color="auto" w:fill="auto"/>
          </w:tcPr>
          <w:p w14:paraId="5F668A05" w14:textId="77777777" w:rsidR="00203F72" w:rsidRPr="00A53581" w:rsidRDefault="007443FD" w:rsidP="00D87D91">
            <w:r>
              <w:rPr>
                <w:rFonts w:hint="eastAsia"/>
              </w:rPr>
              <w:t xml:space="preserve">　　</w:t>
            </w:r>
            <w:r w:rsidR="00203F72" w:rsidRPr="00A53581">
              <w:rPr>
                <w:rFonts w:hint="eastAsia"/>
              </w:rPr>
              <w:t>「兩階段修憲」→立法院提案</w:t>
            </w:r>
            <w:r w:rsidR="00203F72" w:rsidRPr="00A53581">
              <w:rPr>
                <w:rFonts w:hint="eastAsia"/>
              </w:rPr>
              <w:t>+</w:t>
            </w:r>
            <w:r w:rsidR="00203F72" w:rsidRPr="00A53581">
              <w:rPr>
                <w:rFonts w:hint="eastAsia"/>
              </w:rPr>
              <w:t>國民大會複決</w:t>
            </w:r>
            <w:r w:rsidR="00203F72" w:rsidRPr="00A53581">
              <w:rPr>
                <w:rFonts w:hint="eastAsia"/>
              </w:rPr>
              <w:t>:</w:t>
            </w:r>
          </w:p>
          <w:p w14:paraId="7BC9C17F" w14:textId="77777777" w:rsidR="00203F72" w:rsidRPr="00A53581" w:rsidRDefault="007B5198" w:rsidP="007443FD">
            <w:r>
              <w:rPr>
                <w:rFonts w:hint="eastAsia"/>
              </w:rPr>
              <w:t xml:space="preserve">　　</w:t>
            </w:r>
            <w:r w:rsidR="00203F72" w:rsidRPr="00A53581">
              <w:rPr>
                <w:rFonts w:hint="eastAsia"/>
              </w:rPr>
              <w:t>由立法院立法委員四分之一之提議，四分之三之出席，及出席委員四分之三之決議，擬定憲法修正案，提請國民大會複決</w:t>
            </w:r>
            <w:r w:rsidR="00203F72" w:rsidRPr="00A53581">
              <w:rPr>
                <w:rFonts w:hint="eastAsia"/>
              </w:rPr>
              <w:t>(</w:t>
            </w:r>
            <w:r w:rsidR="00203F72" w:rsidRPr="00A53581">
              <w:rPr>
                <w:rFonts w:hint="eastAsia"/>
              </w:rPr>
              <w:t>憲法</w:t>
            </w:r>
            <w:hyperlink r:id="rId2857" w:anchor="a174" w:history="1">
              <w:r w:rsidR="007443FD" w:rsidRPr="00EC4A11">
                <w:rPr>
                  <w:rStyle w:val="a5"/>
                  <w:rFonts w:ascii="Times New Roman" w:eastAsia="新細明體" w:hAnsi="Times New Roman"/>
                </w:rPr>
                <w:t>第</w:t>
              </w:r>
              <w:r w:rsidR="007443FD" w:rsidRPr="00EC4A11">
                <w:rPr>
                  <w:rStyle w:val="a5"/>
                  <w:rFonts w:ascii="Times New Roman" w:eastAsia="新細明體" w:hAnsi="Times New Roman"/>
                </w:rPr>
                <w:t>174</w:t>
              </w:r>
              <w:r w:rsidR="007443FD" w:rsidRPr="00EC4A11">
                <w:rPr>
                  <w:rStyle w:val="a5"/>
                  <w:rFonts w:ascii="Times New Roman" w:eastAsia="新細明體" w:hAnsi="Times New Roman"/>
                </w:rPr>
                <w:t>條</w:t>
              </w:r>
            </w:hyperlink>
            <w:r w:rsidR="00203F72" w:rsidRPr="00A53581">
              <w:rPr>
                <w:rFonts w:hint="eastAsia"/>
              </w:rPr>
              <w:t>第</w:t>
            </w:r>
            <w:r w:rsidR="00203F72" w:rsidRPr="00A53581">
              <w:rPr>
                <w:rFonts w:hint="eastAsia"/>
              </w:rPr>
              <w:t>2</w:t>
            </w:r>
            <w:r w:rsidR="00203F72" w:rsidRPr="00A53581">
              <w:rPr>
                <w:rFonts w:hint="eastAsia"/>
              </w:rPr>
              <w:t>款並未凍結</w:t>
            </w:r>
            <w:r w:rsidR="00203F72" w:rsidRPr="00A53581">
              <w:rPr>
                <w:rFonts w:hint="eastAsia"/>
              </w:rPr>
              <w:t>)+</w:t>
            </w:r>
            <w:r w:rsidR="00203F72" w:rsidRPr="00A53581">
              <w:rPr>
                <w:rFonts w:hint="eastAsia"/>
              </w:rPr>
              <w:t>國民大會代表總額四分之三以上之同意。</w:t>
            </w:r>
            <w:r w:rsidR="00203F72" w:rsidRPr="00A53581">
              <w:rPr>
                <w:rFonts w:hint="eastAsia"/>
              </w:rPr>
              <w:t>(</w:t>
            </w:r>
            <w:r w:rsidR="00203F72" w:rsidRPr="00A53581">
              <w:rPr>
                <w:rFonts w:hint="eastAsia"/>
              </w:rPr>
              <w:t>國民大會職權行使法</w:t>
            </w:r>
            <w:hyperlink r:id="rId2858" w:anchor="a10" w:history="1">
              <w:r w:rsidR="00203F72" w:rsidRPr="007443FD">
                <w:rPr>
                  <w:rStyle w:val="a5"/>
                  <w:rFonts w:ascii="Times New Roman" w:eastAsia="新細明體" w:hAnsi="Times New Roman" w:hint="eastAsia"/>
                </w:rPr>
                <w:t>第</w:t>
              </w:r>
              <w:r w:rsidR="00203F72" w:rsidRPr="007443FD">
                <w:rPr>
                  <w:rStyle w:val="a5"/>
                  <w:rFonts w:ascii="Times New Roman" w:eastAsia="新細明體" w:hAnsi="Times New Roman" w:hint="eastAsia"/>
                </w:rPr>
                <w:t>10</w:t>
              </w:r>
              <w:r w:rsidR="00203F72" w:rsidRPr="007443FD">
                <w:rPr>
                  <w:rStyle w:val="a5"/>
                  <w:rFonts w:ascii="Times New Roman" w:eastAsia="新細明體" w:hAnsi="Times New Roman" w:hint="eastAsia"/>
                </w:rPr>
                <w:t>條</w:t>
              </w:r>
            </w:hyperlink>
            <w:r w:rsidR="00203F72" w:rsidRPr="00A53581">
              <w:rPr>
                <w:rFonts w:hint="eastAsia"/>
              </w:rPr>
              <w:t>第</w:t>
            </w:r>
            <w:r w:rsidR="00203F72" w:rsidRPr="00A53581">
              <w:rPr>
                <w:rFonts w:hint="eastAsia"/>
              </w:rPr>
              <w:t>1</w:t>
            </w:r>
            <w:r w:rsidR="00203F72" w:rsidRPr="00A53581">
              <w:rPr>
                <w:rFonts w:hint="eastAsia"/>
              </w:rPr>
              <w:t>項</w:t>
            </w:r>
            <w:r w:rsidR="00203F72" w:rsidRPr="00A53581">
              <w:rPr>
                <w:rFonts w:hint="eastAsia"/>
              </w:rPr>
              <w:t>)</w:t>
            </w:r>
          </w:p>
        </w:tc>
        <w:tc>
          <w:tcPr>
            <w:tcW w:w="3260" w:type="dxa"/>
            <w:shd w:val="clear" w:color="auto" w:fill="auto"/>
          </w:tcPr>
          <w:p w14:paraId="0611239F" w14:textId="77777777" w:rsidR="00203F72" w:rsidRPr="00A53581" w:rsidRDefault="007443FD" w:rsidP="00D87D91">
            <w:r>
              <w:rPr>
                <w:rFonts w:hint="eastAsia"/>
              </w:rPr>
              <w:t xml:space="preserve">　　</w:t>
            </w:r>
            <w:r w:rsidR="00203F72" w:rsidRPr="00A53581">
              <w:rPr>
                <w:rFonts w:hint="eastAsia"/>
              </w:rPr>
              <w:t>「兩階段修憲」→立法院提案</w:t>
            </w:r>
            <w:r w:rsidR="00203F72" w:rsidRPr="00A53581">
              <w:rPr>
                <w:rFonts w:hint="eastAsia"/>
              </w:rPr>
              <w:t>+</w:t>
            </w:r>
            <w:r w:rsidR="00203F72" w:rsidRPr="00A53581">
              <w:rPr>
                <w:rFonts w:hint="eastAsia"/>
              </w:rPr>
              <w:t>人民複決</w:t>
            </w:r>
            <w:r w:rsidR="00203F72" w:rsidRPr="00A53581">
              <w:rPr>
                <w:rFonts w:hint="eastAsia"/>
              </w:rPr>
              <w:t>:</w:t>
            </w:r>
          </w:p>
          <w:p w14:paraId="5A902F40" w14:textId="77777777" w:rsidR="00203F72" w:rsidRPr="00A53581" w:rsidRDefault="007B5198" w:rsidP="00D87D91">
            <w:r>
              <w:rPr>
                <w:rFonts w:hint="eastAsia"/>
              </w:rPr>
              <w:t xml:space="preserve">　　</w:t>
            </w:r>
            <w:r w:rsidR="00203F72" w:rsidRPr="00A53581">
              <w:rPr>
                <w:rFonts w:hint="eastAsia"/>
              </w:rPr>
              <w:t>由立法院立法委員四分之一之提議，四分之三之出席，及出席委員四分之三之決議，提出憲法修正案</w:t>
            </w:r>
            <w:r w:rsidR="00203F72" w:rsidRPr="00A53581">
              <w:rPr>
                <w:rFonts w:hint="eastAsia"/>
              </w:rPr>
              <w:t>+</w:t>
            </w:r>
            <w:r w:rsidR="00203F72" w:rsidRPr="00A53581">
              <w:rPr>
                <w:rFonts w:hint="eastAsia"/>
              </w:rPr>
              <w:t>公告半年後，經中華民國自由地區選舉人投票複決，有效同意票過選舉人總額之半數。</w:t>
            </w:r>
          </w:p>
        </w:tc>
      </w:tr>
    </w:tbl>
    <w:p w14:paraId="6888B9A2" w14:textId="77777777" w:rsidR="00953151" w:rsidRDefault="002107CE" w:rsidP="00D87D91">
      <w:r>
        <w:rPr>
          <w:rFonts w:hint="eastAsia"/>
        </w:rPr>
        <w:t>【本表格資料來源】</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6-137</w:t>
      </w:r>
      <w:r w:rsidR="00203F72" w:rsidRPr="00A53581">
        <w:rPr>
          <w:rFonts w:hint="eastAsia"/>
        </w:rPr>
        <w:t>頁。</w:t>
      </w:r>
    </w:p>
    <w:p w14:paraId="6046723D" w14:textId="77777777" w:rsidR="00145751" w:rsidRDefault="00145751" w:rsidP="00670577">
      <w:pPr>
        <w:jc w:val="right"/>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099967B4" w14:textId="77777777" w:rsidR="00145751" w:rsidRDefault="00145751" w:rsidP="00D87D91"/>
    <w:p w14:paraId="5D2C1A30" w14:textId="77777777" w:rsidR="00953151" w:rsidRDefault="00203F72" w:rsidP="00767F37">
      <w:pPr>
        <w:pStyle w:val="2"/>
        <w:rPr>
          <w:kern w:val="0"/>
        </w:rPr>
      </w:pPr>
      <w:bookmarkStart w:id="167" w:name="_肆拾肆、憲法條文分項內容之規範體例，宜加以數字化"/>
      <w:bookmarkEnd w:id="167"/>
      <w:r w:rsidRPr="00A53581">
        <w:t>肆拾肆、憲法條文分項內容之規範體例，宜加以數字化</w:t>
      </w:r>
    </w:p>
    <w:p w14:paraId="7FF58D4F" w14:textId="77777777" w:rsidR="00953151" w:rsidRPr="00EE1E58" w:rsidRDefault="00BF2553" w:rsidP="00D87D91">
      <w:r w:rsidRPr="00EE1E58">
        <w:t xml:space="preserve">　　</w:t>
      </w:r>
      <w:r w:rsidR="00203F72" w:rsidRPr="00EE1E58">
        <w:t>在我國憲法條文內容之立法體例之中，假若某一條文具備</w:t>
      </w:r>
      <w:r w:rsidR="00203F72" w:rsidRPr="00EE1E58">
        <w:t>5</w:t>
      </w:r>
      <w:r w:rsidR="00203F72" w:rsidRPr="00EE1E58">
        <w:t>項之內涵（即有</w:t>
      </w:r>
      <w:r w:rsidR="00203F72" w:rsidRPr="00EE1E58">
        <w:t>5</w:t>
      </w:r>
      <w:r w:rsidR="00203F72" w:rsidRPr="00EE1E58">
        <w:t>個次項之內容），每一項之標題，宜加以數碼化，如</w:t>
      </w:r>
      <w:r w:rsidR="00203F72" w:rsidRPr="00EE1E58">
        <w:t>1</w:t>
      </w:r>
      <w:r w:rsidR="00203F72" w:rsidRPr="00EE1E58">
        <w:t>，</w:t>
      </w:r>
      <w:r w:rsidR="00203F72" w:rsidRPr="00EE1E58">
        <w:t>2</w:t>
      </w:r>
      <w:r w:rsidR="00203F72" w:rsidRPr="00EE1E58">
        <w:t>，</w:t>
      </w:r>
      <w:r w:rsidR="00203F72" w:rsidRPr="00EE1E58">
        <w:t>3</w:t>
      </w:r>
      <w:r w:rsidR="00203F72" w:rsidRPr="00EE1E58">
        <w:t>，</w:t>
      </w:r>
      <w:r w:rsidR="00203F72" w:rsidRPr="00EE1E58">
        <w:t>…</w:t>
      </w:r>
      <w:r w:rsidR="00203F72" w:rsidRPr="00EE1E58">
        <w:t>。目前條文之立法例，在每項之前，均未數碼化，非常不利憲法之運用與研析。以憲法增修條</w:t>
      </w:r>
      <w:r w:rsidR="006E37D4" w:rsidRPr="00D73718">
        <w:t>文</w:t>
      </w:r>
      <w:hyperlink r:id="rId2859"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EE1E58">
        <w:t>為例，共計有</w:t>
      </w:r>
      <w:r w:rsidR="00203F72" w:rsidRPr="00EE1E58">
        <w:t>6</w:t>
      </w:r>
      <w:r w:rsidR="00203F72" w:rsidRPr="00EE1E58">
        <w:t>項，在每一項之前，均未數碼化標示第幾項？此種之立憲例，未符合科學化之立憲精神，實屬於落後之立憲方式，嚴重地與西方先進國家之憲法立憲技術脫節。</w:t>
      </w:r>
    </w:p>
    <w:p w14:paraId="0A3B02CB" w14:textId="77777777" w:rsidR="00203F72" w:rsidRPr="00EE1E58" w:rsidRDefault="00BF2553" w:rsidP="00D87D91">
      <w:r w:rsidRPr="00EE1E58">
        <w:t xml:space="preserve">　　</w:t>
      </w:r>
      <w:r w:rsidR="00203F72" w:rsidRPr="00EE1E58">
        <w:t>以德國基本法為例，其第一章基本權利第一條</w:t>
      </w:r>
      <w:r w:rsidR="00203F72" w:rsidRPr="00EE1E58">
        <w:footnoteReference w:id="1159"/>
      </w:r>
      <w:r w:rsidR="00203F72" w:rsidRPr="00EE1E58">
        <w:t>之內容，係規範人性尊嚴</w:t>
      </w:r>
      <w:r w:rsidR="00203F72" w:rsidRPr="00EE1E58">
        <w:t>(Human dignity</w:t>
      </w:r>
      <w:r w:rsidR="00203F72" w:rsidRPr="00EE1E58">
        <w:t>，</w:t>
      </w:r>
      <w:r w:rsidR="00203F72" w:rsidRPr="00EE1E58">
        <w:t xml:space="preserve"> Human rights</w:t>
      </w:r>
      <w:r w:rsidR="00203F72" w:rsidRPr="00EE1E58">
        <w:t>，</w:t>
      </w:r>
      <w:r w:rsidR="00203F72" w:rsidRPr="00EE1E58">
        <w:t>Legally binding force of basic rights)</w:t>
      </w:r>
      <w:r w:rsidR="00203F72" w:rsidRPr="00EE1E58">
        <w:t>，基本法第一條規範之立憲體例如下：</w:t>
      </w:r>
    </w:p>
    <w:p w14:paraId="14E6D93A" w14:textId="77777777" w:rsidR="00203F72" w:rsidRPr="00EE1E58" w:rsidRDefault="00BF2553" w:rsidP="00D87D91">
      <w:r w:rsidRPr="00EE1E58">
        <w:t xml:space="preserve">　　</w:t>
      </w:r>
      <w:r w:rsidR="00203F72" w:rsidRPr="00EE1E58">
        <w:t>一、人之尊嚴不可侵犯</w:t>
      </w:r>
      <w:r w:rsidR="00203F72" w:rsidRPr="00EE1E58">
        <w:t>(Human dignity shall be inviolable)</w:t>
      </w:r>
      <w:r w:rsidR="00203F72" w:rsidRPr="00EE1E58">
        <w:t>，尊重及保護此項尊嚴為所有國家機關之義務</w:t>
      </w:r>
      <w:r w:rsidR="00203F72" w:rsidRPr="00EE1E58">
        <w:t>(To respect and protect it shall be the duty of all state authority)</w:t>
      </w:r>
      <w:r w:rsidR="00203F72" w:rsidRPr="00EE1E58">
        <w:t>。</w:t>
      </w:r>
    </w:p>
    <w:p w14:paraId="77283160" w14:textId="77777777" w:rsidR="00203F72" w:rsidRPr="00EE1E58" w:rsidRDefault="00BF2553" w:rsidP="00D87D91">
      <w:r w:rsidRPr="00EE1E58">
        <w:t xml:space="preserve">　　</w:t>
      </w:r>
      <w:r w:rsidR="00203F72" w:rsidRPr="00EE1E58">
        <w:t>二、因此，德意志人民承認不可侵犯與不可讓與之人權</w:t>
      </w:r>
      <w:r w:rsidR="00203F72" w:rsidRPr="00EE1E58">
        <w:t>(The German people therefore acknowledge inviolable and inalienable human rights)</w:t>
      </w:r>
      <w:r w:rsidR="00203F72" w:rsidRPr="00EE1E58">
        <w:t>，為一切人類社會以及世界和平與正義之基礎</w:t>
      </w:r>
      <w:r w:rsidR="00203F72" w:rsidRPr="00EE1E58">
        <w:t>(as the basis of every community, of peace and of justice in the world)</w:t>
      </w:r>
      <w:r w:rsidR="00203F72" w:rsidRPr="00EE1E58">
        <w:t>。</w:t>
      </w:r>
    </w:p>
    <w:p w14:paraId="5BFB2FA0" w14:textId="77777777" w:rsidR="00953151" w:rsidRPr="00EE1E58" w:rsidRDefault="00BF2553" w:rsidP="00D87D91">
      <w:r w:rsidRPr="00EE1E58">
        <w:t xml:space="preserve">　　</w:t>
      </w:r>
      <w:r w:rsidR="00203F72" w:rsidRPr="00EE1E58">
        <w:t>三、下列基本權利拘束立法、行政及司法而為直接有效之權利</w:t>
      </w:r>
      <w:r w:rsidR="00203F72" w:rsidRPr="00EE1E58">
        <w:t>(The following basic rights shall bind the legislature, the executive and the judiciary as directly applicable law)</w:t>
      </w:r>
      <w:r w:rsidR="00203F72" w:rsidRPr="00EE1E58">
        <w:t>。</w:t>
      </w:r>
    </w:p>
    <w:p w14:paraId="4E5F01CA" w14:textId="77777777" w:rsidR="00953151" w:rsidRPr="00EE1E58" w:rsidRDefault="00BF2553" w:rsidP="00D87D91">
      <w:r w:rsidRPr="00EE1E58">
        <w:t xml:space="preserve">　　</w:t>
      </w:r>
      <w:r w:rsidR="00203F72" w:rsidRPr="00EE1E58">
        <w:t>英文版之德國基本法，其第一章基本權利第一條之內容規範體例，如下所述：</w:t>
      </w:r>
    </w:p>
    <w:p w14:paraId="2DD4751B" w14:textId="77777777" w:rsidR="00203F72" w:rsidRPr="00EE1E58" w:rsidRDefault="00BF2553" w:rsidP="00D87D91">
      <w:r w:rsidRPr="00EE1E58">
        <w:t xml:space="preserve">　　</w:t>
      </w:r>
      <w:r w:rsidR="00203F72" w:rsidRPr="00EE1E58">
        <w:t>Basic Law for the Federal Republic of Germany Article 1 [Human dignity – Human rights – Legally binding force of basic rights]</w:t>
      </w:r>
      <w:r w:rsidR="00D92F56" w:rsidRPr="00EE1E58">
        <w:t>〜</w:t>
      </w:r>
    </w:p>
    <w:p w14:paraId="4A9D54AA" w14:textId="77777777" w:rsidR="00203F72" w:rsidRPr="00EE1E58" w:rsidRDefault="00BF2553" w:rsidP="00D87D91">
      <w:r w:rsidRPr="00EE1E58">
        <w:t xml:space="preserve">　　</w:t>
      </w:r>
      <w:r w:rsidR="00203F72" w:rsidRPr="00EE1E58">
        <w:t>(1) Human dignity shall be inviolable. To respect and protect it shall be the duty of all state authority.</w:t>
      </w:r>
    </w:p>
    <w:p w14:paraId="10C5DF05" w14:textId="77777777" w:rsidR="00203F72" w:rsidRPr="00EE1E58" w:rsidRDefault="00BF2553" w:rsidP="00D87D91">
      <w:r w:rsidRPr="00EE1E58">
        <w:t xml:space="preserve">　　</w:t>
      </w:r>
      <w:r w:rsidR="00203F72" w:rsidRPr="00EE1E58">
        <w:t>(2) The German people therefore acknowledge inviolable and inalienable human rights as the basis of every community, of peace and of justice in the world.</w:t>
      </w:r>
    </w:p>
    <w:p w14:paraId="12096D74" w14:textId="77777777" w:rsidR="00953151" w:rsidRPr="00EE1E58" w:rsidRDefault="00BF2553" w:rsidP="00D87D91">
      <w:r w:rsidRPr="00EE1E58">
        <w:t xml:space="preserve">　　</w:t>
      </w:r>
      <w:r w:rsidR="00203F72" w:rsidRPr="00EE1E58">
        <w:t>(3) The following basic rights shall bind the legislature, the executive and the judiciary as directly applicable law.</w:t>
      </w:r>
    </w:p>
    <w:p w14:paraId="0EB8BC2F" w14:textId="77777777" w:rsidR="00953151" w:rsidRPr="00EE1E58" w:rsidRDefault="00BF2553" w:rsidP="00D87D91">
      <w:r w:rsidRPr="00EE1E58">
        <w:t xml:space="preserve">　　</w:t>
      </w:r>
      <w:r w:rsidR="00203F72" w:rsidRPr="00EE1E58">
        <w:t>以上述德國基本法第</w:t>
      </w:r>
      <w:r w:rsidR="00203F72" w:rsidRPr="00EE1E58">
        <w:t>1</w:t>
      </w:r>
      <w:r w:rsidR="00203F72" w:rsidRPr="00EE1E58">
        <w:t>條為例，在每一個分項之前，均有數字</w:t>
      </w:r>
      <w:r w:rsidR="00203F72" w:rsidRPr="00EE1E58">
        <w:t>(1)</w:t>
      </w:r>
      <w:r w:rsidR="00203F72" w:rsidRPr="00EE1E58">
        <w:t>、</w:t>
      </w:r>
      <w:r w:rsidR="00203F72" w:rsidRPr="00EE1E58">
        <w:t>(2)</w:t>
      </w:r>
      <w:r w:rsidR="00203F72" w:rsidRPr="00EE1E58">
        <w:t>、</w:t>
      </w:r>
      <w:r w:rsidR="00203F72" w:rsidRPr="00EE1E58">
        <w:t>(3)</w:t>
      </w:r>
      <w:r w:rsidR="00203F72" w:rsidRPr="00EE1E58">
        <w:t>，非常清楚。</w:t>
      </w:r>
      <w:r w:rsidR="00203F72" w:rsidRPr="00EE1E58">
        <w:t>(1)</w:t>
      </w:r>
      <w:r w:rsidR="00D92F56" w:rsidRPr="00EE1E58">
        <w:t>〜</w:t>
      </w:r>
      <w:r w:rsidR="00203F72" w:rsidRPr="00EE1E58">
        <w:t>代表基本法第</w:t>
      </w:r>
      <w:r w:rsidR="00203F72" w:rsidRPr="00EE1E58">
        <w:t>1</w:t>
      </w:r>
      <w:r w:rsidR="00203F72" w:rsidRPr="00EE1E58">
        <w:t>條第</w:t>
      </w:r>
      <w:r w:rsidR="00203F72" w:rsidRPr="00EE1E58">
        <w:t>1</w:t>
      </w:r>
      <w:r w:rsidR="00203F72" w:rsidRPr="00EE1E58">
        <w:t>項；</w:t>
      </w:r>
      <w:r w:rsidR="00203F72" w:rsidRPr="00EE1E58">
        <w:t>(2)</w:t>
      </w:r>
      <w:r w:rsidR="00D92F56" w:rsidRPr="00EE1E58">
        <w:t>〜</w:t>
      </w:r>
      <w:r w:rsidR="00203F72" w:rsidRPr="00EE1E58">
        <w:t>代表基本法第</w:t>
      </w:r>
      <w:r w:rsidR="00203F72" w:rsidRPr="00EE1E58">
        <w:t>1</w:t>
      </w:r>
      <w:r w:rsidR="00203F72" w:rsidRPr="00EE1E58">
        <w:t>條第</w:t>
      </w:r>
      <w:r w:rsidR="00203F72" w:rsidRPr="00EE1E58">
        <w:t>2</w:t>
      </w:r>
      <w:r w:rsidR="00203F72" w:rsidRPr="00EE1E58">
        <w:t>項；</w:t>
      </w:r>
      <w:r w:rsidR="00203F72" w:rsidRPr="00EE1E58">
        <w:t>(3)</w:t>
      </w:r>
      <w:r w:rsidR="00D92F56" w:rsidRPr="00EE1E58">
        <w:t>〜</w:t>
      </w:r>
      <w:r w:rsidR="00203F72" w:rsidRPr="00EE1E58">
        <w:t>代表基本法第</w:t>
      </w:r>
      <w:r w:rsidR="00203F72" w:rsidRPr="00EE1E58">
        <w:t>1</w:t>
      </w:r>
      <w:r w:rsidR="00203F72" w:rsidRPr="00EE1E58">
        <w:t>條第</w:t>
      </w:r>
      <w:r w:rsidR="00203F72" w:rsidRPr="00EE1E58">
        <w:t>3</w:t>
      </w:r>
      <w:r w:rsidR="00203F72" w:rsidRPr="00EE1E58">
        <w:t>項。本書認為，此種之立憲體例，非常明確、具體、細緻化、精緻化、與清晰。本書建議，在我國憲法條文之中，如有次項（分項）之條文內容，在每一項條文內容之前，均應加上數字編碼，以利民眾閱讀與運用。</w:t>
      </w:r>
    </w:p>
    <w:p w14:paraId="6017FDA9" w14:textId="77777777" w:rsidR="00145751" w:rsidRDefault="00145751" w:rsidP="007B5198">
      <w:pPr>
        <w:jc w:val="right"/>
        <w:rPr>
          <w:rFonts w:ascii="新細明體" w:hAnsi="新細明體"/>
          <w:color w:val="808000"/>
        </w:rPr>
      </w:pPr>
      <w:r w:rsidRPr="0026266A">
        <w:rPr>
          <w:rFonts w:hint="eastAsia"/>
        </w:rPr>
        <w:t>。。。。。。。。。。。。。。。。。。。。。。。。。</w:t>
      </w:r>
      <w:hyperlink w:anchor="a目次4" w:history="1">
        <w:r w:rsidR="007D52D6">
          <w:rPr>
            <w:rStyle w:val="a5"/>
            <w:sz w:val="18"/>
          </w:rPr>
          <w:t>回目次</w:t>
        </w:r>
      </w:hyperlink>
      <w:r w:rsidR="00E91F89">
        <w:rPr>
          <w:rFonts w:ascii="新細明體" w:hAnsi="新細明體"/>
          <w:color w:val="808000"/>
        </w:rPr>
        <w:t>〉〉</w:t>
      </w:r>
    </w:p>
    <w:p w14:paraId="136B2B24" w14:textId="77777777" w:rsidR="007B5198" w:rsidRDefault="007B5198" w:rsidP="007B5198">
      <w:pPr>
        <w:jc w:val="right"/>
        <w:rPr>
          <w:rFonts w:ascii="新細明體" w:hAnsi="新細明體"/>
          <w:kern w:val="0"/>
        </w:rPr>
      </w:pPr>
    </w:p>
    <w:p w14:paraId="1162C964" w14:textId="77777777" w:rsidR="00203F72" w:rsidRPr="00A53581" w:rsidRDefault="00203F72" w:rsidP="00767F37">
      <w:pPr>
        <w:pStyle w:val="2"/>
      </w:pPr>
      <w:bookmarkStart w:id="168" w:name="_肆拾伍、宜站在憲法之高度保障刑事訴訟程序中犯罪嫌疑人與被告之基本權利"/>
      <w:bookmarkEnd w:id="168"/>
      <w:r w:rsidRPr="00A53581">
        <w:rPr>
          <w:rFonts w:hint="eastAsia"/>
        </w:rPr>
        <w:t>肆拾伍、宜站在憲法之高度保障刑事訴訟程序中犯罪嫌疑人與被告之基本權利</w:t>
      </w:r>
      <w:r w:rsidRPr="00A53581">
        <w:rPr>
          <w:rFonts w:hint="eastAsia"/>
        </w:rPr>
        <w:t xml:space="preserve"> </w:t>
      </w:r>
    </w:p>
    <w:p w14:paraId="15D4B57B" w14:textId="77777777" w:rsidR="00203F72" w:rsidRPr="00EE1E58" w:rsidRDefault="00BF2553" w:rsidP="00D87D91">
      <w:r w:rsidRPr="00EE1E58">
        <w:rPr>
          <w:rFonts w:hint="eastAsia"/>
        </w:rPr>
        <w:t xml:space="preserve">　　</w:t>
      </w:r>
      <w:r w:rsidR="00203F72" w:rsidRPr="00EE1E58">
        <w:rPr>
          <w:rFonts w:hint="eastAsia"/>
        </w:rPr>
        <w:t>本書主張，我國宜站在憲法之高度保障刑事訴訟程序中犯罪嫌疑人與被告之基本權利，此項基本權利之保障，不宜僅限於憲法</w:t>
      </w:r>
      <w:hyperlink r:id="rId2860" w:anchor="a8" w:history="1">
        <w:r w:rsidR="001F6A1B" w:rsidRPr="001F6A1B">
          <w:rPr>
            <w:rStyle w:val="a5"/>
          </w:rPr>
          <w:t>第8條</w:t>
        </w:r>
      </w:hyperlink>
      <w:r w:rsidR="00203F72" w:rsidRPr="00EE1E58">
        <w:rPr>
          <w:rFonts w:hint="eastAsia"/>
        </w:rPr>
        <w:t>之人身自由，宜再擴大至其他之刑事訴訟程序，諸如：迅速受審權、知曉被起訴之理由權利、與證人對質權</w:t>
      </w:r>
      <w:r w:rsidR="00203F72" w:rsidRPr="00EE1E58">
        <w:rPr>
          <w:rFonts w:hint="eastAsia"/>
        </w:rPr>
        <w:t>(</w:t>
      </w:r>
      <w:r w:rsidR="00203F72" w:rsidRPr="00EE1E58">
        <w:rPr>
          <w:rFonts w:hint="eastAsia"/>
        </w:rPr>
        <w:t>詰問權</w:t>
      </w:r>
      <w:r w:rsidR="00203F72" w:rsidRPr="00EE1E58">
        <w:rPr>
          <w:rFonts w:hint="eastAsia"/>
        </w:rPr>
        <w:t>)</w:t>
      </w:r>
      <w:r w:rsidR="00203F72" w:rsidRPr="00EE1E58">
        <w:rPr>
          <w:rFonts w:hint="eastAsia"/>
        </w:rPr>
        <w:t>、聲請法院運用強制力，調查有利於己之證據、不自證己罪、請辯護人為己代為辯護之權利；強制處分令狀主義及其他權利等。此項議題，與正當法律程序具有極高度之相關性。</w:t>
      </w:r>
    </w:p>
    <w:p w14:paraId="1C42F359" w14:textId="77777777" w:rsidR="00953151" w:rsidRPr="00EE1E58" w:rsidRDefault="00BF2553" w:rsidP="00D87D91">
      <w:r w:rsidRPr="00EE1E58">
        <w:rPr>
          <w:rFonts w:hint="eastAsia"/>
        </w:rPr>
        <w:t xml:space="preserve">　　</w:t>
      </w:r>
      <w:r w:rsidR="00203F72" w:rsidRPr="00EE1E58">
        <w:rPr>
          <w:rFonts w:hint="eastAsia"/>
        </w:rPr>
        <w:t>如欲站在憲法之高度，明文保障刑事訴訟程序之中，犯罪嫌疑人與被告之基本權利，則須結合正當法律程序。正當法律程序概念的產生，可以被回溯至西元</w:t>
      </w:r>
      <w:r w:rsidR="00203F72" w:rsidRPr="00EE1E58">
        <w:rPr>
          <w:rFonts w:hint="eastAsia"/>
        </w:rPr>
        <w:t>1215</w:t>
      </w:r>
      <w:r w:rsidR="00203F72" w:rsidRPr="00EE1E58">
        <w:rPr>
          <w:rFonts w:hint="eastAsia"/>
        </w:rPr>
        <w:t>年的英國大憲章</w:t>
      </w:r>
      <w:r w:rsidR="00203F72" w:rsidRPr="00EE1E58">
        <w:footnoteReference w:id="1160"/>
      </w:r>
      <w:r w:rsidR="00203F72" w:rsidRPr="00EE1E58">
        <w:rPr>
          <w:rFonts w:hint="eastAsia"/>
        </w:rPr>
        <w:t>。根據</w:t>
      </w:r>
      <w:r w:rsidR="00203F72" w:rsidRPr="00EE1E58">
        <w:rPr>
          <w:rFonts w:hint="eastAsia"/>
        </w:rPr>
        <w:t>1215</w:t>
      </w:r>
      <w:r w:rsidR="00203F72" w:rsidRPr="00EE1E58">
        <w:rPr>
          <w:rFonts w:hint="eastAsia"/>
        </w:rPr>
        <w:t>年英國大憲章</w:t>
      </w:r>
      <w:r w:rsidR="00203F72" w:rsidRPr="00EE1E58">
        <w:rPr>
          <w:rFonts w:hint="eastAsia"/>
        </w:rPr>
        <w:t>(</w:t>
      </w:r>
      <w:r w:rsidR="00203F72" w:rsidRPr="00EE1E58">
        <w:t xml:space="preserve"> Magna Carta</w:t>
      </w:r>
      <w:r w:rsidR="00203F72" w:rsidRPr="00EE1E58">
        <w:rPr>
          <w:rFonts w:hint="eastAsia"/>
        </w:rPr>
        <w:t>)</w:t>
      </w:r>
      <w:r w:rsidR="00203F72" w:rsidRPr="00EE1E58">
        <w:rPr>
          <w:rFonts w:hint="eastAsia"/>
        </w:rPr>
        <w:t>第三十九章之要求：「任何自由人不得被逮捕</w:t>
      </w:r>
      <w:r w:rsidR="00203F72" w:rsidRPr="00EE1E58">
        <w:rPr>
          <w:rFonts w:hint="eastAsia"/>
        </w:rPr>
        <w:t>(</w:t>
      </w:r>
      <w:r w:rsidR="00203F72" w:rsidRPr="00EE1E58">
        <w:t>No free man shall be seized</w:t>
      </w:r>
      <w:r w:rsidR="00203F72" w:rsidRPr="00EE1E58">
        <w:rPr>
          <w:rFonts w:hint="eastAsia"/>
        </w:rPr>
        <w:t>)</w:t>
      </w:r>
      <w:r w:rsidR="00203F72" w:rsidRPr="00EE1E58">
        <w:rPr>
          <w:rFonts w:hint="eastAsia"/>
        </w:rPr>
        <w:t>、剝奪人身自由</w:t>
      </w:r>
      <w:r w:rsidR="00203F72" w:rsidRPr="00EE1E58">
        <w:rPr>
          <w:rFonts w:hint="eastAsia"/>
        </w:rPr>
        <w:t>(</w:t>
      </w:r>
      <w:r w:rsidR="00203F72" w:rsidRPr="00EE1E58">
        <w:t>or imprisoned</w:t>
      </w:r>
      <w:r w:rsidR="00203F72" w:rsidRPr="00EE1E58">
        <w:rPr>
          <w:rFonts w:hint="eastAsia"/>
        </w:rPr>
        <w:t>)</w:t>
      </w:r>
      <w:r w:rsidR="00203F72" w:rsidRPr="00EE1E58">
        <w:rPr>
          <w:rFonts w:hint="eastAsia"/>
        </w:rPr>
        <w:t>、剝奪產業</w:t>
      </w:r>
      <w:r w:rsidR="00203F72" w:rsidRPr="00EE1E58">
        <w:rPr>
          <w:rFonts w:hint="eastAsia"/>
        </w:rPr>
        <w:t>(</w:t>
      </w:r>
      <w:r w:rsidR="00203F72" w:rsidRPr="00EE1E58">
        <w:t>or stripped of his rights or possessions</w:t>
      </w:r>
      <w:r w:rsidR="00203F72" w:rsidRPr="00EE1E58">
        <w:rPr>
          <w:rFonts w:hint="eastAsia"/>
        </w:rPr>
        <w:t>)</w:t>
      </w:r>
      <w:r w:rsidR="00203F72" w:rsidRPr="00EE1E58">
        <w:rPr>
          <w:rFonts w:hint="eastAsia"/>
        </w:rPr>
        <w:t>，放逐</w:t>
      </w:r>
      <w:r w:rsidR="00203F72" w:rsidRPr="00EE1E58">
        <w:rPr>
          <w:rFonts w:hint="eastAsia"/>
        </w:rPr>
        <w:t>(</w:t>
      </w:r>
      <w:r w:rsidR="00203F72" w:rsidRPr="00EE1E58">
        <w:t>or outlawed or exiled</w:t>
      </w:r>
      <w:r w:rsidR="00203F72" w:rsidRPr="00EE1E58">
        <w:rPr>
          <w:rFonts w:hint="eastAsia"/>
        </w:rPr>
        <w:t>)</w:t>
      </w:r>
      <w:r w:rsidR="00203F72" w:rsidRPr="00EE1E58">
        <w:rPr>
          <w:rFonts w:hint="eastAsia"/>
        </w:rPr>
        <w:t>，或受任何損害</w:t>
      </w:r>
      <w:r w:rsidR="00203F72" w:rsidRPr="00EE1E58">
        <w:rPr>
          <w:rFonts w:hint="eastAsia"/>
        </w:rPr>
        <w:t>(</w:t>
      </w:r>
      <w:r w:rsidR="00203F72" w:rsidRPr="00EE1E58">
        <w:t>or deprived of his standing in any other way</w:t>
      </w:r>
      <w:r w:rsidR="00203F72" w:rsidRPr="00EE1E58">
        <w:rPr>
          <w:rFonts w:hint="eastAsia"/>
        </w:rPr>
        <w:t>)</w:t>
      </w:r>
      <w:r w:rsidR="00203F72" w:rsidRPr="00EE1E58">
        <w:rPr>
          <w:rFonts w:hint="eastAsia"/>
        </w:rPr>
        <w:t>。除非以平等之方式，受合法判決</w:t>
      </w:r>
      <w:r w:rsidR="00203F72" w:rsidRPr="00EE1E58">
        <w:rPr>
          <w:rFonts w:hint="eastAsia"/>
        </w:rPr>
        <w:t>(</w:t>
      </w:r>
      <w:r w:rsidR="00203F72" w:rsidRPr="00EE1E58">
        <w:t>except by the lawful judgement of his equals</w:t>
      </w:r>
      <w:r w:rsidR="00203F72" w:rsidRPr="00EE1E58">
        <w:rPr>
          <w:rFonts w:hint="eastAsia"/>
        </w:rPr>
        <w:t>)</w:t>
      </w:r>
      <w:r w:rsidR="00203F72" w:rsidRPr="00EE1E58">
        <w:rPr>
          <w:rFonts w:hint="eastAsia"/>
        </w:rPr>
        <w:t>，及本地法律所允許</w:t>
      </w:r>
      <w:r w:rsidR="00203F72" w:rsidRPr="00EE1E58">
        <w:rPr>
          <w:rFonts w:hint="eastAsia"/>
        </w:rPr>
        <w:t>(</w:t>
      </w:r>
      <w:r w:rsidR="00203F72" w:rsidRPr="00EE1E58">
        <w:t>or by the law of the land</w:t>
      </w:r>
      <w:r w:rsidR="00203F72" w:rsidRPr="00EE1E58">
        <w:rPr>
          <w:rFonts w:hint="eastAsia"/>
        </w:rPr>
        <w:t>)</w:t>
      </w:r>
      <w:r w:rsidR="00203F72" w:rsidRPr="00EE1E58">
        <w:rPr>
          <w:rFonts w:hint="eastAsia"/>
        </w:rPr>
        <w:t>，我們亦不會自己強制執行</w:t>
      </w:r>
      <w:r w:rsidR="00203F72" w:rsidRPr="00EE1E58">
        <w:rPr>
          <w:rFonts w:hint="eastAsia"/>
        </w:rPr>
        <w:t>(</w:t>
      </w:r>
      <w:r w:rsidR="00203F72" w:rsidRPr="00EE1E58">
        <w:t>nor will we proceed with force against him</w:t>
      </w:r>
      <w:r w:rsidR="00203F72" w:rsidRPr="00EE1E58">
        <w:rPr>
          <w:rFonts w:hint="eastAsia"/>
        </w:rPr>
        <w:t>)</w:t>
      </w:r>
      <w:r w:rsidR="00203F72" w:rsidRPr="00EE1E58">
        <w:rPr>
          <w:rFonts w:hint="eastAsia"/>
        </w:rPr>
        <w:t>，或派遣他人強制執行之</w:t>
      </w:r>
      <w:r w:rsidR="00203F72" w:rsidRPr="00EE1E58">
        <w:rPr>
          <w:rFonts w:hint="eastAsia"/>
        </w:rPr>
        <w:t>(</w:t>
      </w:r>
      <w:r w:rsidR="00203F72" w:rsidRPr="00EE1E58">
        <w:t>or send others to do so</w:t>
      </w:r>
      <w:r w:rsidR="00203F72" w:rsidRPr="00EE1E58">
        <w:rPr>
          <w:rFonts w:hint="eastAsia"/>
        </w:rPr>
        <w:t>)</w:t>
      </w:r>
      <w:r w:rsidR="00203F72" w:rsidRPr="00EE1E58">
        <w:rPr>
          <w:rFonts w:hint="eastAsia"/>
        </w:rPr>
        <w:t>。」</w:t>
      </w:r>
    </w:p>
    <w:p w14:paraId="4F7E51A2" w14:textId="77777777" w:rsidR="00953151" w:rsidRPr="00EE1E58" w:rsidRDefault="00BF2553" w:rsidP="00D87D91">
      <w:r w:rsidRPr="00EE1E58">
        <w:rPr>
          <w:rFonts w:hint="eastAsia"/>
        </w:rPr>
        <w:t xml:space="preserve">　　</w:t>
      </w:r>
      <w:r w:rsidR="00203F72" w:rsidRPr="00EE1E58">
        <w:rPr>
          <w:rFonts w:hint="eastAsia"/>
        </w:rPr>
        <w:t>上述英國大憲章</w:t>
      </w:r>
      <w:r w:rsidR="00203F72" w:rsidRPr="00EE1E58">
        <w:rPr>
          <w:rFonts w:hint="eastAsia"/>
        </w:rPr>
        <w:t>(</w:t>
      </w:r>
      <w:r w:rsidR="00203F72" w:rsidRPr="00EE1E58">
        <w:t xml:space="preserve"> Magna Carta</w:t>
      </w:r>
      <w:r w:rsidR="00203F72" w:rsidRPr="00EE1E58">
        <w:rPr>
          <w:rFonts w:hint="eastAsia"/>
        </w:rPr>
        <w:t>)</w:t>
      </w:r>
      <w:r w:rsidR="00203F72" w:rsidRPr="00EE1E58">
        <w:rPr>
          <w:rFonts w:hint="eastAsia"/>
        </w:rPr>
        <w:t>第三十九章</w:t>
      </w:r>
      <w:r w:rsidR="00203F72" w:rsidRPr="00EE1E58">
        <w:rPr>
          <w:rFonts w:hint="eastAsia"/>
        </w:rPr>
        <w:t>(</w:t>
      </w:r>
      <w:r w:rsidR="00203F72" w:rsidRPr="00EE1E58">
        <w:rPr>
          <w:rFonts w:hint="eastAsia"/>
        </w:rPr>
        <w:t>條</w:t>
      </w:r>
      <w:r w:rsidR="00203F72" w:rsidRPr="00EE1E58">
        <w:rPr>
          <w:rFonts w:hint="eastAsia"/>
        </w:rPr>
        <w:t>)</w:t>
      </w:r>
      <w:r w:rsidR="00203F72" w:rsidRPr="00EE1E58">
        <w:rPr>
          <w:rFonts w:hint="eastAsia"/>
        </w:rPr>
        <w:t>中，除非以平等之方式，受合法判決，及本地法律所允許之立法規範，即為正當法律程序概念</w:t>
      </w:r>
      <w:r w:rsidR="00203F72" w:rsidRPr="00EE1E58">
        <w:footnoteReference w:id="1161"/>
      </w:r>
      <w:r w:rsidR="00203F72" w:rsidRPr="00EE1E58">
        <w:rPr>
          <w:rFonts w:hint="eastAsia"/>
        </w:rPr>
        <w:t>。我國憲法之現況，僅針對剝奪人身自由之強制處分，有正當法律程序之要求，其他之部分，諸如：逮捕等，在憲法層次上，欠缺正當法律程序之要求。憲法對於正當法律程序所欲保障之面向，過於狹小，僅限於剝奪人身自由之強制處分。</w:t>
      </w:r>
    </w:p>
    <w:p w14:paraId="3C0E8573" w14:textId="77777777" w:rsidR="00953151" w:rsidRPr="00EE1E58" w:rsidRDefault="00BF2553" w:rsidP="00D87D91">
      <w:r w:rsidRPr="00EE1E58">
        <w:rPr>
          <w:rFonts w:hint="eastAsia"/>
        </w:rPr>
        <w:t xml:space="preserve">　　</w:t>
      </w:r>
      <w:r w:rsidR="00203F72" w:rsidRPr="00EE1E58">
        <w:rPr>
          <w:rFonts w:hint="eastAsia"/>
        </w:rPr>
        <w:t>玆以</w:t>
      </w:r>
      <w:r w:rsidR="00203F72" w:rsidRPr="00EE1E58">
        <w:t>美國憲法</w:t>
      </w:r>
      <w:r w:rsidR="00203F72" w:rsidRPr="00EE1E58">
        <w:rPr>
          <w:rFonts w:hint="eastAsia"/>
        </w:rPr>
        <w:t xml:space="preserve">(The Constitution of the United States of America) </w:t>
      </w:r>
      <w:r w:rsidR="00203F72" w:rsidRPr="00EE1E58">
        <w:rPr>
          <w:rFonts w:hint="eastAsia"/>
        </w:rPr>
        <w:t>正當法律程序概念為例，美國憲法第五修正案規定</w:t>
      </w:r>
      <w:r w:rsidR="00203F72" w:rsidRPr="00EE1E58">
        <w:footnoteReference w:id="1162"/>
      </w:r>
      <w:r w:rsidR="00203F72" w:rsidRPr="00EE1E58">
        <w:rPr>
          <w:rFonts w:hint="eastAsia"/>
        </w:rPr>
        <w:t>：「未經正當法律程序</w:t>
      </w:r>
      <w:r w:rsidR="00203F72" w:rsidRPr="00EE1E58">
        <w:rPr>
          <w:rFonts w:hint="eastAsia"/>
        </w:rPr>
        <w:t>(</w:t>
      </w:r>
      <w:r w:rsidR="00203F72" w:rsidRPr="00EE1E58">
        <w:t>without due process of law</w:t>
      </w:r>
      <w:r w:rsidR="00203F72" w:rsidRPr="00EE1E58">
        <w:rPr>
          <w:rFonts w:hint="eastAsia"/>
        </w:rPr>
        <w:t>)</w:t>
      </w:r>
      <w:r w:rsidR="00203F72" w:rsidRPr="00EE1E58">
        <w:rPr>
          <w:rFonts w:hint="eastAsia"/>
        </w:rPr>
        <w:t>，不得剝奪任何人的生命</w:t>
      </w:r>
      <w:r w:rsidR="00203F72" w:rsidRPr="00EE1E58">
        <w:rPr>
          <w:rFonts w:hint="eastAsia"/>
        </w:rPr>
        <w:t>(</w:t>
      </w:r>
      <w:r w:rsidR="00203F72" w:rsidRPr="00EE1E58">
        <w:t>No person shall be ... deprived of life</w:t>
      </w:r>
      <w:r w:rsidR="00203F72" w:rsidRPr="00EE1E58">
        <w:rPr>
          <w:rFonts w:hint="eastAsia"/>
        </w:rPr>
        <w:t>)</w:t>
      </w:r>
      <w:r w:rsidR="00203F72" w:rsidRPr="00EE1E58">
        <w:rPr>
          <w:rFonts w:hint="eastAsia"/>
        </w:rPr>
        <w:t>、自由</w:t>
      </w:r>
      <w:r w:rsidR="00203F72" w:rsidRPr="00EE1E58">
        <w:rPr>
          <w:rFonts w:hint="eastAsia"/>
        </w:rPr>
        <w:t>(</w:t>
      </w:r>
      <w:r w:rsidR="00203F72" w:rsidRPr="00EE1E58">
        <w:t>liberty</w:t>
      </w:r>
      <w:r w:rsidR="00203F72" w:rsidRPr="00EE1E58">
        <w:rPr>
          <w:rFonts w:hint="eastAsia"/>
        </w:rPr>
        <w:t>)</w:t>
      </w:r>
      <w:r w:rsidR="00203F72" w:rsidRPr="00EE1E58">
        <w:rPr>
          <w:rFonts w:hint="eastAsia"/>
        </w:rPr>
        <w:t>或財產</w:t>
      </w:r>
      <w:r w:rsidR="00203F72" w:rsidRPr="00EE1E58">
        <w:rPr>
          <w:rFonts w:hint="eastAsia"/>
        </w:rPr>
        <w:t>(</w:t>
      </w:r>
      <w:r w:rsidR="00203F72" w:rsidRPr="00EE1E58">
        <w:t>or property</w:t>
      </w:r>
      <w:r w:rsidR="00203F72" w:rsidRPr="00EE1E58">
        <w:rPr>
          <w:rFonts w:hint="eastAsia"/>
        </w:rPr>
        <w:t>)</w:t>
      </w:r>
      <w:r w:rsidR="00203F72" w:rsidRPr="00EE1E58">
        <w:rPr>
          <w:rFonts w:hint="eastAsia"/>
        </w:rPr>
        <w:t>。」美國憲法第五修正案中之「未經正當法律程序</w:t>
      </w:r>
      <w:r w:rsidR="00203F72" w:rsidRPr="00EE1E58">
        <w:rPr>
          <w:rFonts w:hint="eastAsia"/>
        </w:rPr>
        <w:t>(</w:t>
      </w:r>
      <w:r w:rsidR="00203F72" w:rsidRPr="00EE1E58">
        <w:t>without due process of law</w:t>
      </w:r>
      <w:r w:rsidR="00203F72" w:rsidRPr="00EE1E58">
        <w:rPr>
          <w:rFonts w:hint="eastAsia"/>
        </w:rPr>
        <w:t>)</w:t>
      </w:r>
      <w:r w:rsidR="00203F72" w:rsidRPr="00EE1E58">
        <w:rPr>
          <w:rFonts w:hint="eastAsia"/>
        </w:rPr>
        <w:t>」之立憲要求</w:t>
      </w:r>
      <w:r w:rsidR="00203F72" w:rsidRPr="00EE1E58">
        <w:footnoteReference w:id="1163"/>
      </w:r>
      <w:r w:rsidR="00203F72" w:rsidRPr="00EE1E58">
        <w:rPr>
          <w:rFonts w:hint="eastAsia"/>
        </w:rPr>
        <w:t>，很明顯地，即為正當法律程序概念。</w:t>
      </w:r>
    </w:p>
    <w:p w14:paraId="14225F34" w14:textId="77777777" w:rsidR="00203F72" w:rsidRPr="00EE1E58" w:rsidRDefault="00BF2553" w:rsidP="00D87D91">
      <w:r w:rsidRPr="00EE1E58">
        <w:t xml:space="preserve">　　</w:t>
      </w:r>
      <w:r w:rsidR="00203F72" w:rsidRPr="00EE1E58">
        <w:t>於美國憲法第六修正案</w:t>
      </w:r>
      <w:r w:rsidR="00203F72" w:rsidRPr="00EE1E58">
        <w:rPr>
          <w:rFonts w:hint="eastAsia"/>
        </w:rPr>
        <w:t>(</w:t>
      </w:r>
      <w:r w:rsidR="00203F72" w:rsidRPr="00EE1E58">
        <w:t>Amendment VI</w:t>
      </w:r>
      <w:r w:rsidR="00203F72" w:rsidRPr="00EE1E58">
        <w:t>，聯邦刑事訴訟程序中被告之權利，</w:t>
      </w:r>
      <w:r w:rsidR="00203F72" w:rsidRPr="00EE1E58">
        <w:t>1791.12.15</w:t>
      </w:r>
      <w:r w:rsidR="00203F72" w:rsidRPr="00EE1E58">
        <w:t>生效）部分，美國憲法第六修正案要求</w:t>
      </w:r>
      <w:r w:rsidR="00203F72" w:rsidRPr="00EE1E58">
        <w:footnoteReference w:id="1164"/>
      </w:r>
      <w:r w:rsidR="00203F72" w:rsidRPr="00EE1E58">
        <w:t>：「在一切刑事訴訟中</w:t>
      </w:r>
      <w:r w:rsidR="00203F72" w:rsidRPr="00EE1E58">
        <w:rPr>
          <w:rFonts w:hint="eastAsia"/>
        </w:rPr>
        <w:t>(</w:t>
      </w:r>
      <w:r w:rsidR="00203F72" w:rsidRPr="00EE1E58">
        <w:t>In all criminal prosecutions</w:t>
      </w:r>
      <w:r w:rsidR="00203F72" w:rsidRPr="00EE1E58">
        <w:rPr>
          <w:rFonts w:hint="eastAsia"/>
        </w:rPr>
        <w:t>)</w:t>
      </w:r>
      <w:r w:rsidR="00203F72" w:rsidRPr="00EE1E58">
        <w:t>，被告應享受下列之權利：發生罪案</w:t>
      </w:r>
      <w:r w:rsidR="00203F72" w:rsidRPr="00EE1E58">
        <w:rPr>
          <w:rFonts w:hint="eastAsia"/>
        </w:rPr>
        <w:t>(</w:t>
      </w:r>
      <w:r w:rsidR="00203F72" w:rsidRPr="00EE1E58">
        <w:t>wherein the crime shall have been committed</w:t>
      </w:r>
      <w:r w:rsidR="00203F72" w:rsidRPr="00EE1E58">
        <w:rPr>
          <w:rFonts w:hint="eastAsia"/>
        </w:rPr>
        <w:t>)</w:t>
      </w:r>
      <w:r w:rsidR="00203F72" w:rsidRPr="00EE1E58">
        <w:t>之州或區域之公正陪審團</w:t>
      </w:r>
      <w:r w:rsidR="00203F72" w:rsidRPr="00EE1E58">
        <w:rPr>
          <w:rFonts w:hint="eastAsia"/>
        </w:rPr>
        <w:t>(</w:t>
      </w:r>
      <w:r w:rsidR="00203F72" w:rsidRPr="00EE1E58">
        <w:t>by an impartial jury of the state, and district</w:t>
      </w:r>
      <w:r w:rsidR="00203F72" w:rsidRPr="00EE1E58">
        <w:rPr>
          <w:rFonts w:hint="eastAsia"/>
        </w:rPr>
        <w:t>)</w:t>
      </w:r>
      <w:r w:rsidR="00203F72" w:rsidRPr="00EE1E58">
        <w:rPr>
          <w:rFonts w:hint="eastAsia"/>
        </w:rPr>
        <w:t>，</w:t>
      </w:r>
      <w:r w:rsidR="00203F72" w:rsidRPr="00EE1E58">
        <w:t>予以迅速之公開審判</w:t>
      </w:r>
      <w:r w:rsidR="00203F72" w:rsidRPr="00EE1E58">
        <w:rPr>
          <w:rFonts w:hint="eastAsia"/>
        </w:rPr>
        <w:t>(</w:t>
      </w:r>
      <w:r w:rsidR="00203F72" w:rsidRPr="00EE1E58">
        <w:t>the accused shall enjoy the right to a speedy and public trial</w:t>
      </w:r>
      <w:r w:rsidR="00203F72" w:rsidRPr="00EE1E58">
        <w:rPr>
          <w:rFonts w:hint="eastAsia"/>
        </w:rPr>
        <w:t>)</w:t>
      </w:r>
      <w:r w:rsidR="00203F72" w:rsidRPr="00EE1E58">
        <w:t>，其區域當以法律先確定之</w:t>
      </w:r>
      <w:r w:rsidR="00203F72" w:rsidRPr="00EE1E58">
        <w:rPr>
          <w:rFonts w:hint="eastAsia"/>
        </w:rPr>
        <w:t>(</w:t>
      </w:r>
      <w:r w:rsidR="00203F72" w:rsidRPr="00EE1E58">
        <w:t>which district shall have been previously ascertained by law</w:t>
      </w:r>
      <w:r w:rsidR="00203F72" w:rsidRPr="00EE1E58">
        <w:rPr>
          <w:rFonts w:hint="eastAsia"/>
        </w:rPr>
        <w:t>)</w:t>
      </w:r>
      <w:r w:rsidR="00203F72" w:rsidRPr="00EE1E58">
        <w:t>；要求通知起訴案件之性質與理由</w:t>
      </w:r>
      <w:r w:rsidR="00203F72" w:rsidRPr="00EE1E58">
        <w:rPr>
          <w:rFonts w:hint="eastAsia"/>
        </w:rPr>
        <w:t>(</w:t>
      </w:r>
      <w:r w:rsidR="00203F72" w:rsidRPr="00EE1E58">
        <w:t>and to be informed of the nature and cause of the accusation</w:t>
      </w:r>
      <w:r w:rsidR="00203F72" w:rsidRPr="00EE1E58">
        <w:rPr>
          <w:rFonts w:hint="eastAsia"/>
        </w:rPr>
        <w:t>)</w:t>
      </w:r>
      <w:r w:rsidR="00203F72" w:rsidRPr="00EE1E58">
        <w:t>；准與對造證人對質</w:t>
      </w:r>
      <w:r w:rsidR="00203F72" w:rsidRPr="00EE1E58">
        <w:rPr>
          <w:rFonts w:hint="eastAsia"/>
        </w:rPr>
        <w:t>(</w:t>
      </w:r>
      <w:r w:rsidR="00203F72" w:rsidRPr="00EE1E58">
        <w:t>to be confronted with the witnesses against him</w:t>
      </w:r>
      <w:r w:rsidR="00203F72" w:rsidRPr="00EE1E58">
        <w:rPr>
          <w:rFonts w:hint="eastAsia"/>
        </w:rPr>
        <w:t>)</w:t>
      </w:r>
      <w:r w:rsidR="00203F72" w:rsidRPr="00EE1E58">
        <w:t>；要求以強制手段取得有利於本人之證人</w:t>
      </w:r>
      <w:r w:rsidR="00203F72" w:rsidRPr="00EE1E58">
        <w:rPr>
          <w:rFonts w:hint="eastAsia"/>
        </w:rPr>
        <w:t>(</w:t>
      </w:r>
      <w:r w:rsidR="00203F72" w:rsidRPr="00EE1E58">
        <w:t>to have compulsory process for obtaining witnesses in his favor</w:t>
      </w:r>
      <w:r w:rsidR="00203F72" w:rsidRPr="00EE1E58">
        <w:rPr>
          <w:rFonts w:hint="eastAsia"/>
        </w:rPr>
        <w:t>)</w:t>
      </w:r>
      <w:r w:rsidR="00203F72" w:rsidRPr="00EE1E58">
        <w:t>，並聘請律師為之辯護</w:t>
      </w:r>
      <w:r w:rsidR="00203F72" w:rsidRPr="00EE1E58">
        <w:rPr>
          <w:rFonts w:hint="eastAsia"/>
        </w:rPr>
        <w:t>(</w:t>
      </w:r>
      <w:r w:rsidR="00203F72" w:rsidRPr="00EE1E58">
        <w:t>and to have the assistance of counsel for his defense</w:t>
      </w:r>
      <w:r w:rsidR="00203F72" w:rsidRPr="00EE1E58">
        <w:rPr>
          <w:rFonts w:hint="eastAsia"/>
        </w:rPr>
        <w:t>)</w:t>
      </w:r>
      <w:r w:rsidR="00203F72" w:rsidRPr="00EE1E58">
        <w:t>。」</w:t>
      </w:r>
    </w:p>
    <w:p w14:paraId="05AAF9E1" w14:textId="77777777" w:rsidR="00953151" w:rsidRPr="00EE1E58" w:rsidRDefault="00BF2553" w:rsidP="00D87D91">
      <w:r w:rsidRPr="00EE1E58">
        <w:rPr>
          <w:rFonts w:hint="eastAsia"/>
        </w:rPr>
        <w:t xml:space="preserve">　　</w:t>
      </w:r>
      <w:r w:rsidR="00203F72" w:rsidRPr="00EE1E58">
        <w:rPr>
          <w:rFonts w:hint="eastAsia"/>
        </w:rPr>
        <w:t>依據上述</w:t>
      </w:r>
      <w:r w:rsidR="00203F72" w:rsidRPr="00EE1E58">
        <w:t>美國憲法</w:t>
      </w:r>
      <w:r w:rsidR="00203F72" w:rsidRPr="00EE1E58">
        <w:rPr>
          <w:rFonts w:hint="eastAsia"/>
        </w:rPr>
        <w:t>(The Constitution of the United States of America)</w:t>
      </w:r>
      <w:r w:rsidR="00203F72" w:rsidRPr="00EE1E58">
        <w:t>第六修正案</w:t>
      </w:r>
      <w:r w:rsidR="00203F72" w:rsidRPr="00EE1E58">
        <w:rPr>
          <w:rFonts w:hint="eastAsia"/>
        </w:rPr>
        <w:t>(</w:t>
      </w:r>
      <w:r w:rsidR="00203F72" w:rsidRPr="00EE1E58">
        <w:t>Amendment VI</w:t>
      </w:r>
      <w:r w:rsidR="00203F72" w:rsidRPr="00EE1E58">
        <w:t>，聯邦刑事訴訟程序中被告之權利，</w:t>
      </w:r>
      <w:r w:rsidR="00203F72" w:rsidRPr="00EE1E58">
        <w:t>1791.12.15</w:t>
      </w:r>
      <w:r w:rsidR="00203F72" w:rsidRPr="00EE1E58">
        <w:t>生效）為例，被告享有以下之權利：以迅速之方式，接受公開審判權；要求被告知</w:t>
      </w:r>
      <w:r w:rsidR="00203F72" w:rsidRPr="00EE1E58">
        <w:rPr>
          <w:rFonts w:hint="eastAsia"/>
        </w:rPr>
        <w:t>(</w:t>
      </w:r>
      <w:r w:rsidR="00203F72" w:rsidRPr="00EE1E58">
        <w:t>通知</w:t>
      </w:r>
      <w:r w:rsidR="00203F72" w:rsidRPr="00EE1E58">
        <w:rPr>
          <w:rFonts w:hint="eastAsia"/>
        </w:rPr>
        <w:t>)</w:t>
      </w:r>
      <w:r w:rsidR="00203F72" w:rsidRPr="00EE1E58">
        <w:rPr>
          <w:rFonts w:hint="eastAsia"/>
        </w:rPr>
        <w:t>其被</w:t>
      </w:r>
      <w:r w:rsidR="00203F72" w:rsidRPr="00EE1E58">
        <w:t>起訴之性質與理由之權利；與對造證人對質之權利；要求法院以強制手段取得有利於本人之證人之權利；聘請律師為之辯護權利。</w:t>
      </w:r>
      <w:r w:rsidR="00203F72" w:rsidRPr="00EE1E58">
        <w:rPr>
          <w:rFonts w:hint="eastAsia"/>
        </w:rPr>
        <w:t>上述</w:t>
      </w:r>
      <w:r w:rsidR="00203F72" w:rsidRPr="00EE1E58">
        <w:t>美國憲法</w:t>
      </w:r>
      <w:r w:rsidR="00203F72" w:rsidRPr="00EE1E58">
        <w:rPr>
          <w:rFonts w:hint="eastAsia"/>
        </w:rPr>
        <w:t>(The Constitution of the United States of America)</w:t>
      </w:r>
      <w:r w:rsidR="00203F72" w:rsidRPr="00EE1E58">
        <w:t>第六修正案</w:t>
      </w:r>
      <w:r w:rsidR="00203F72" w:rsidRPr="00EE1E58">
        <w:rPr>
          <w:rFonts w:hint="eastAsia"/>
        </w:rPr>
        <w:t>(</w:t>
      </w:r>
      <w:r w:rsidR="00203F72" w:rsidRPr="00EE1E58">
        <w:t>Amendment VI</w:t>
      </w:r>
      <w:r w:rsidR="00203F72" w:rsidRPr="00EE1E58">
        <w:rPr>
          <w:rFonts w:hint="eastAsia"/>
        </w:rPr>
        <w:t>)</w:t>
      </w:r>
      <w:r w:rsidR="00203F72" w:rsidRPr="00EE1E58">
        <w:t>，聯邦刑事訴訟程序中被告所享有之權利，我國憲法均未規範之。</w:t>
      </w:r>
    </w:p>
    <w:p w14:paraId="0B40D1C2" w14:textId="77777777" w:rsidR="00953151" w:rsidRPr="00EE1E58" w:rsidRDefault="00BF2553" w:rsidP="00D87D91">
      <w:r w:rsidRPr="00EE1E58">
        <w:rPr>
          <w:rFonts w:hint="eastAsia"/>
        </w:rPr>
        <w:t xml:space="preserve">　　</w:t>
      </w:r>
      <w:r w:rsidR="00203F72" w:rsidRPr="00EE1E58">
        <w:rPr>
          <w:rFonts w:hint="eastAsia"/>
        </w:rPr>
        <w:t>於美國憲法第十四修正案之中，亦有正當法律程序概念之規定。美國憲法第十四修正案要求</w:t>
      </w:r>
      <w:r w:rsidR="00203F72" w:rsidRPr="00EE1E58">
        <w:footnoteReference w:id="1165"/>
      </w:r>
      <w:r w:rsidR="00203F72" w:rsidRPr="00EE1E58">
        <w:rPr>
          <w:rFonts w:hint="eastAsia"/>
        </w:rPr>
        <w:t>：「亦不得未經正當法律手續</w:t>
      </w:r>
      <w:r w:rsidR="00203F72" w:rsidRPr="00EE1E58">
        <w:rPr>
          <w:rFonts w:hint="eastAsia"/>
        </w:rPr>
        <w:t>(</w:t>
      </w:r>
      <w:r w:rsidR="00203F72" w:rsidRPr="00EE1E58">
        <w:t>without due process of law</w:t>
      </w:r>
      <w:r w:rsidR="00203F72" w:rsidRPr="00EE1E58">
        <w:rPr>
          <w:rFonts w:hint="eastAsia"/>
        </w:rPr>
        <w:t>)</w:t>
      </w:r>
      <w:r w:rsidR="00203F72" w:rsidRPr="00EE1E58">
        <w:t>，</w:t>
      </w:r>
      <w:r w:rsidR="00203F72" w:rsidRPr="00EE1E58">
        <w:rPr>
          <w:rFonts w:hint="eastAsia"/>
        </w:rPr>
        <w:t>使任何人喪失其生命</w:t>
      </w:r>
      <w:r w:rsidR="00203F72" w:rsidRPr="00EE1E58">
        <w:rPr>
          <w:rFonts w:hint="eastAsia"/>
        </w:rPr>
        <w:t>(</w:t>
      </w:r>
      <w:r w:rsidR="00203F72" w:rsidRPr="00EE1E58">
        <w:t>nor shall any State deprive any person of life</w:t>
      </w:r>
      <w:r w:rsidR="00203F72" w:rsidRPr="00EE1E58">
        <w:rPr>
          <w:rFonts w:hint="eastAsia"/>
        </w:rPr>
        <w:t>)</w:t>
      </w:r>
      <w:r w:rsidR="00203F72" w:rsidRPr="00EE1E58">
        <w:rPr>
          <w:rFonts w:hint="eastAsia"/>
        </w:rPr>
        <w:t>、自由</w:t>
      </w:r>
      <w:r w:rsidR="00203F72" w:rsidRPr="00EE1E58">
        <w:rPr>
          <w:rFonts w:hint="eastAsia"/>
        </w:rPr>
        <w:t>(</w:t>
      </w:r>
      <w:r w:rsidR="00203F72" w:rsidRPr="00EE1E58">
        <w:t>liberty</w:t>
      </w:r>
      <w:r w:rsidR="00203F72" w:rsidRPr="00EE1E58">
        <w:rPr>
          <w:rFonts w:hint="eastAsia"/>
        </w:rPr>
        <w:t>)</w:t>
      </w:r>
      <w:r w:rsidR="00203F72" w:rsidRPr="00EE1E58">
        <w:rPr>
          <w:rFonts w:hint="eastAsia"/>
        </w:rPr>
        <w:t>或財產</w:t>
      </w:r>
      <w:r w:rsidR="00203F72" w:rsidRPr="00EE1E58">
        <w:rPr>
          <w:rFonts w:hint="eastAsia"/>
        </w:rPr>
        <w:t>(</w:t>
      </w:r>
      <w:r w:rsidR="00203F72" w:rsidRPr="00EE1E58">
        <w:t>or property</w:t>
      </w:r>
      <w:r w:rsidR="00203F72" w:rsidRPr="00EE1E58">
        <w:rPr>
          <w:rFonts w:hint="eastAsia"/>
        </w:rPr>
        <w:t>).</w:t>
      </w:r>
      <w:r w:rsidR="00203F72" w:rsidRPr="00EE1E58">
        <w:rPr>
          <w:rFonts w:hint="eastAsia"/>
        </w:rPr>
        <w:t>」美國憲法第十四修正案中之「亦不得未經正當法律手續、、、」之憲法誡命，即為正當法律程序概念之規定。</w:t>
      </w:r>
    </w:p>
    <w:p w14:paraId="50BBA89D" w14:textId="77777777" w:rsidR="00203F72" w:rsidRPr="00EE1E58" w:rsidRDefault="00BF2553" w:rsidP="00D87D91">
      <w:r w:rsidRPr="00EE1E58">
        <w:rPr>
          <w:rFonts w:hint="eastAsia"/>
        </w:rPr>
        <w:t xml:space="preserve">　　</w:t>
      </w:r>
      <w:r w:rsidR="00203F72" w:rsidRPr="00EE1E58">
        <w:rPr>
          <w:rFonts w:hint="eastAsia"/>
        </w:rPr>
        <w:t>就</w:t>
      </w:r>
      <w:r w:rsidR="00203F72" w:rsidRPr="00EE1E58">
        <w:t>中華人民共和國憲法而言，於此憲法之中，亦有正當法律程序</w:t>
      </w:r>
      <w:r w:rsidR="00203F72" w:rsidRPr="00EE1E58">
        <w:rPr>
          <w:rFonts w:hint="eastAsia"/>
        </w:rPr>
        <w:t>(due process of law)</w:t>
      </w:r>
      <w:r w:rsidR="00203F72" w:rsidRPr="00EE1E58">
        <w:t>之相關規範，以中華人民共和國憲</w:t>
      </w:r>
      <w:r w:rsidR="007B5198" w:rsidRPr="00EE1E58">
        <w:t>法</w:t>
      </w:r>
      <w:hyperlink r:id="rId2861" w:anchor="a37" w:history="1">
        <w:r w:rsidR="007B5198" w:rsidRPr="007B5198">
          <w:rPr>
            <w:rStyle w:val="a5"/>
            <w:rFonts w:ascii="Times New Roman" w:eastAsia="新細明體" w:hAnsi="Times New Roman"/>
          </w:rPr>
          <w:t>第</w:t>
        </w:r>
        <w:r w:rsidR="007B5198" w:rsidRPr="007B5198">
          <w:rPr>
            <w:rStyle w:val="a5"/>
            <w:rFonts w:ascii="Times New Roman" w:eastAsia="新細明體" w:hAnsi="Times New Roman"/>
          </w:rPr>
          <w:t>37</w:t>
        </w:r>
        <w:r w:rsidR="007B5198" w:rsidRPr="007B5198">
          <w:rPr>
            <w:rStyle w:val="a5"/>
            <w:rFonts w:ascii="Times New Roman" w:eastAsia="新細明體" w:hAnsi="Times New Roman"/>
          </w:rPr>
          <w:t>條</w:t>
        </w:r>
      </w:hyperlink>
      <w:r w:rsidR="00203F72" w:rsidRPr="00EE1E58">
        <w:t>第</w:t>
      </w:r>
      <w:r w:rsidR="00203F72" w:rsidRPr="00EE1E58">
        <w:rPr>
          <w:rFonts w:hint="eastAsia"/>
        </w:rPr>
        <w:t>2</w:t>
      </w:r>
      <w:r w:rsidR="00203F72" w:rsidRPr="00EE1E58">
        <w:rPr>
          <w:rFonts w:hint="eastAsia"/>
        </w:rPr>
        <w:t>項</w:t>
      </w:r>
      <w:r w:rsidR="00203F72" w:rsidRPr="00EE1E58">
        <w:t>為例，「任何公民，非經人民檢察院批准或者決定或者人民法院決定，並由公安機關執行，不受逮捕。」可知，公安機關如欲啟動逮捕之強制處分之手段，須經人民檢察院批准或者決定，或者須經人民法院決定之，原則上，公安機關</w:t>
      </w:r>
      <w:r w:rsidR="00203F72" w:rsidRPr="00EE1E58">
        <w:rPr>
          <w:rFonts w:hint="eastAsia"/>
        </w:rPr>
        <w:t>無法</w:t>
      </w:r>
      <w:r w:rsidR="00203F72" w:rsidRPr="00EE1E58">
        <w:t>自行決定及批淮。上述之規定，即屬於啟動逮捕之強制處分之正當法律程序之要求。很可惜的，中華民國之憲法，有關於上述啟動逮捕之強制處分之正當法律程序之憲法要求，我國尚未制定之。</w:t>
      </w:r>
    </w:p>
    <w:p w14:paraId="4A405E29" w14:textId="77777777" w:rsidR="00203F72" w:rsidRPr="00EE1E58" w:rsidRDefault="00BF2553" w:rsidP="00D87D91">
      <w:r w:rsidRPr="00EE1E58">
        <w:t xml:space="preserve">　　</w:t>
      </w:r>
      <w:r w:rsidR="00203F72" w:rsidRPr="00EE1E58">
        <w:t>另以中華人民共和國憲法</w:t>
      </w:r>
      <w:hyperlink r:id="rId2862" w:anchor="a37" w:history="1">
        <w:r w:rsidR="00203F72" w:rsidRPr="007B5198">
          <w:rPr>
            <w:rStyle w:val="a5"/>
            <w:rFonts w:ascii="Times New Roman" w:eastAsia="新細明體" w:hAnsi="Times New Roman"/>
          </w:rPr>
          <w:t>第</w:t>
        </w:r>
        <w:r w:rsidR="00203F72" w:rsidRPr="007B5198">
          <w:rPr>
            <w:rStyle w:val="a5"/>
            <w:rFonts w:ascii="Times New Roman" w:eastAsia="新細明體" w:hAnsi="Times New Roman"/>
          </w:rPr>
          <w:t>37</w:t>
        </w:r>
        <w:r w:rsidR="00203F72" w:rsidRPr="007B5198">
          <w:rPr>
            <w:rStyle w:val="a5"/>
            <w:rFonts w:ascii="Times New Roman" w:eastAsia="新細明體" w:hAnsi="Times New Roman"/>
          </w:rPr>
          <w:t>條</w:t>
        </w:r>
      </w:hyperlink>
      <w:r w:rsidR="00203F72" w:rsidRPr="00EE1E58">
        <w:t>第</w:t>
      </w:r>
      <w:r w:rsidR="00203F72" w:rsidRPr="00EE1E58">
        <w:rPr>
          <w:rFonts w:hint="eastAsia"/>
        </w:rPr>
        <w:t>3</w:t>
      </w:r>
      <w:r w:rsidR="00203F72" w:rsidRPr="00EE1E58">
        <w:rPr>
          <w:rFonts w:hint="eastAsia"/>
        </w:rPr>
        <w:t>項</w:t>
      </w:r>
      <w:r w:rsidR="00203F72" w:rsidRPr="00EE1E58">
        <w:t>為例，「禁止非法拘禁和以其他方法非法剝奪或者限制公民的人身自由，禁止非法搜查公民的身體。」此涉及剝奪或者限制公民的人身自由與搜查公民的身體之強制處分之正當法律程序之憲法要求，亦即，須依照法律之授權，始可為之。中華民國之憲法，有關於上述啟動搜查公民的身體之強制處分之正當法律程序之憲法上要求，我國迄今亦尚未制定之。</w:t>
      </w:r>
    </w:p>
    <w:p w14:paraId="22691D8B" w14:textId="77777777" w:rsidR="00203F72" w:rsidRPr="00EE1E58" w:rsidRDefault="00BF2553" w:rsidP="00D87D91">
      <w:r w:rsidRPr="00EE1E58">
        <w:rPr>
          <w:rFonts w:hint="eastAsia"/>
        </w:rPr>
        <w:t xml:space="preserve">　　</w:t>
      </w:r>
      <w:r w:rsidR="00203F72" w:rsidRPr="00EE1E58">
        <w:rPr>
          <w:rFonts w:hint="eastAsia"/>
        </w:rPr>
        <w:t>在</w:t>
      </w:r>
      <w:r w:rsidR="00203F72" w:rsidRPr="00EE1E58">
        <w:t>中華人民共和國憲法</w:t>
      </w:r>
      <w:hyperlink r:id="rId2863" w:anchor="a39" w:history="1">
        <w:r w:rsidR="00203F72" w:rsidRPr="00BC66E8">
          <w:rPr>
            <w:rStyle w:val="a5"/>
            <w:rFonts w:ascii="Times New Roman" w:eastAsia="新細明體" w:hAnsi="Times New Roman"/>
          </w:rPr>
          <w:t>第</w:t>
        </w:r>
        <w:r w:rsidR="00203F72" w:rsidRPr="00BC66E8">
          <w:rPr>
            <w:rStyle w:val="a5"/>
            <w:rFonts w:ascii="Times New Roman" w:eastAsia="新細明體" w:hAnsi="Times New Roman"/>
          </w:rPr>
          <w:t>39</w:t>
        </w:r>
        <w:r w:rsidR="00203F72" w:rsidRPr="00BC66E8">
          <w:rPr>
            <w:rStyle w:val="a5"/>
            <w:rFonts w:ascii="Times New Roman" w:eastAsia="新細明體" w:hAnsi="Times New Roman"/>
          </w:rPr>
          <w:t>條</w:t>
        </w:r>
      </w:hyperlink>
      <w:r w:rsidR="00203F72" w:rsidRPr="00EE1E58">
        <w:t>方面，本條規定：「中華人民共和國公民的住宅不受侵犯。禁止非法搜查或者非法侵入公民的住宅。」第</w:t>
      </w:r>
      <w:r w:rsidR="00203F72" w:rsidRPr="00EE1E58">
        <w:t>39</w:t>
      </w:r>
      <w:r w:rsidR="00203F72" w:rsidRPr="00EE1E58">
        <w:t>條之規定，係為執法機關如欲發動搜查或者進入公民的住宅之強制處分之正當法律程序之憲法要求，亦即，須依照法律之授權，始可為之。中華民國之憲法，有關於上述搜查或者進入公民的住宅之強制處分之正當法律程序之憲法要求，我國亦是尚未制定之。中華民國之憲法，對於住宅權之保障，係屬於缺位之狀態。</w:t>
      </w:r>
    </w:p>
    <w:p w14:paraId="359F1E63" w14:textId="77777777" w:rsidR="00203F72" w:rsidRPr="00EE1E58" w:rsidRDefault="00BF2553" w:rsidP="00D87D91">
      <w:r w:rsidRPr="00EE1E58">
        <w:rPr>
          <w:rFonts w:hint="eastAsia"/>
        </w:rPr>
        <w:t xml:space="preserve">　　</w:t>
      </w:r>
      <w:r w:rsidR="00203F72" w:rsidRPr="00EE1E58">
        <w:rPr>
          <w:rFonts w:hint="eastAsia"/>
        </w:rPr>
        <w:t>再者，以大韓民國憲法第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為例，其第</w:t>
      </w:r>
      <w:r w:rsidR="00203F72" w:rsidRPr="00EE1E58">
        <w:rPr>
          <w:rFonts w:hint="eastAsia"/>
        </w:rPr>
        <w:t>1</w:t>
      </w:r>
      <w:r w:rsidR="00203F72" w:rsidRPr="00EE1E58">
        <w:rPr>
          <w:rFonts w:hint="eastAsia"/>
        </w:rPr>
        <w:t>項要求：「所有公民均享有個人自由</w:t>
      </w:r>
      <w:r w:rsidR="00203F72" w:rsidRPr="00EE1E58">
        <w:rPr>
          <w:rFonts w:hint="eastAsia"/>
        </w:rPr>
        <w:t>(</w:t>
      </w:r>
      <w:r w:rsidR="00203F72" w:rsidRPr="00EE1E58">
        <w:t>All citizens shall enjoy personal liberty</w:t>
      </w:r>
      <w:r w:rsidR="00203F72" w:rsidRPr="00EE1E58">
        <w:rPr>
          <w:rFonts w:hint="eastAsia"/>
        </w:rPr>
        <w:t>)</w:t>
      </w:r>
      <w:r w:rsidR="00203F72" w:rsidRPr="00EE1E58">
        <w:rPr>
          <w:rFonts w:hint="eastAsia"/>
        </w:rPr>
        <w:t>。除非係根據法規範之授權</w:t>
      </w:r>
      <w:r w:rsidR="00203F72" w:rsidRPr="00EE1E58">
        <w:rPr>
          <w:rFonts w:hint="eastAsia"/>
        </w:rPr>
        <w:t>(</w:t>
      </w:r>
      <w:r w:rsidR="00203F72" w:rsidRPr="00EE1E58">
        <w:t>unless it is so authorized pursuant to statute</w:t>
      </w:r>
      <w:r w:rsidR="00203F72" w:rsidRPr="00EE1E58">
        <w:rPr>
          <w:rFonts w:hint="eastAsia"/>
        </w:rPr>
        <w:t>)</w:t>
      </w:r>
      <w:r w:rsidR="00203F72" w:rsidRPr="00EE1E58">
        <w:rPr>
          <w:rFonts w:hint="eastAsia"/>
        </w:rPr>
        <w:t>，任何人不得被執法機關加以逮捕</w:t>
      </w:r>
      <w:r w:rsidR="00203F72" w:rsidRPr="00EE1E58">
        <w:rPr>
          <w:rFonts w:hint="eastAsia"/>
        </w:rPr>
        <w:t>(</w:t>
      </w:r>
      <w:r w:rsidR="00203F72" w:rsidRPr="00EE1E58">
        <w:t>No person shall be arrested</w:t>
      </w:r>
      <w:r w:rsidR="00203F72" w:rsidRPr="00EE1E58">
        <w:rPr>
          <w:rFonts w:hint="eastAsia"/>
        </w:rPr>
        <w:t>)</w:t>
      </w:r>
      <w:r w:rsidR="00203F72" w:rsidRPr="00EE1E58">
        <w:rPr>
          <w:rFonts w:hint="eastAsia"/>
        </w:rPr>
        <w:t>、拘禁</w:t>
      </w:r>
      <w:r w:rsidR="00203F72" w:rsidRPr="00EE1E58">
        <w:rPr>
          <w:rFonts w:hint="eastAsia"/>
        </w:rPr>
        <w:t>(</w:t>
      </w:r>
      <w:r w:rsidR="00203F72" w:rsidRPr="00EE1E58">
        <w:t>detained</w:t>
      </w:r>
      <w:r w:rsidR="00203F72" w:rsidRPr="00EE1E58">
        <w:rPr>
          <w:rFonts w:hint="eastAsia"/>
        </w:rPr>
        <w:t>)</w:t>
      </w:r>
      <w:r w:rsidR="00203F72" w:rsidRPr="00EE1E58">
        <w:rPr>
          <w:rFonts w:hint="eastAsia"/>
        </w:rPr>
        <w:t>、搜查</w:t>
      </w:r>
      <w:r w:rsidR="00203F72" w:rsidRPr="00EE1E58">
        <w:rPr>
          <w:rFonts w:hint="eastAsia"/>
        </w:rPr>
        <w:t>(</w:t>
      </w:r>
      <w:r w:rsidR="00203F72" w:rsidRPr="00EE1E58">
        <w:t>searched</w:t>
      </w:r>
      <w:r w:rsidR="00203F72" w:rsidRPr="00EE1E58">
        <w:rPr>
          <w:rFonts w:hint="eastAsia"/>
        </w:rPr>
        <w:t>)</w:t>
      </w:r>
      <w:r w:rsidR="00203F72" w:rsidRPr="00EE1E58">
        <w:rPr>
          <w:rFonts w:hint="eastAsia"/>
        </w:rPr>
        <w:t>、扣押</w:t>
      </w:r>
      <w:r w:rsidR="00203F72" w:rsidRPr="00EE1E58">
        <w:rPr>
          <w:rFonts w:hint="eastAsia"/>
        </w:rPr>
        <w:t>(</w:t>
      </w:r>
      <w:r w:rsidR="00203F72" w:rsidRPr="00EE1E58">
        <w:t>seized</w:t>
      </w:r>
      <w:r w:rsidR="00203F72" w:rsidRPr="00EE1E58">
        <w:rPr>
          <w:rFonts w:hint="eastAsia"/>
        </w:rPr>
        <w:t>)</w:t>
      </w:r>
      <w:r w:rsidR="00203F72" w:rsidRPr="00EE1E58">
        <w:rPr>
          <w:rFonts w:hint="eastAsia"/>
        </w:rPr>
        <w:t>或訊問</w:t>
      </w:r>
      <w:r w:rsidR="00203F72" w:rsidRPr="00EE1E58">
        <w:rPr>
          <w:rFonts w:hint="eastAsia"/>
        </w:rPr>
        <w:t>(</w:t>
      </w:r>
      <w:r w:rsidR="00203F72" w:rsidRPr="00EE1E58">
        <w:t>or interrogated</w:t>
      </w:r>
      <w:r w:rsidR="00203F72" w:rsidRPr="00EE1E58">
        <w:rPr>
          <w:rFonts w:hint="eastAsia"/>
        </w:rPr>
        <w:t>)</w:t>
      </w:r>
      <w:r w:rsidR="00203F72" w:rsidRPr="00EE1E58">
        <w:rPr>
          <w:rFonts w:hint="eastAsia"/>
        </w:rPr>
        <w:t>。」</w:t>
      </w:r>
    </w:p>
    <w:p w14:paraId="345D7AFB" w14:textId="77777777" w:rsidR="00953151" w:rsidRPr="00EE1E58" w:rsidRDefault="00BF2553" w:rsidP="00D87D91">
      <w:r w:rsidRPr="00EE1E58">
        <w:rPr>
          <w:rFonts w:hint="eastAsia"/>
        </w:rPr>
        <w:t xml:space="preserve">　　</w:t>
      </w:r>
      <w:r w:rsidR="00203F72" w:rsidRPr="00EE1E58">
        <w:rPr>
          <w:rFonts w:hint="eastAsia"/>
        </w:rPr>
        <w:t>上述大韓民國憲法第</w:t>
      </w:r>
      <w:r w:rsidR="00203F72" w:rsidRPr="00EE1E58">
        <w:rPr>
          <w:rFonts w:hint="eastAsia"/>
        </w:rPr>
        <w:t>12</w:t>
      </w:r>
      <w:r w:rsidR="00203F72" w:rsidRPr="00EE1E58">
        <w:rPr>
          <w:rFonts w:hint="eastAsia"/>
        </w:rPr>
        <w:t>條第</w:t>
      </w:r>
      <w:r w:rsidR="00203F72" w:rsidRPr="00EE1E58">
        <w:rPr>
          <w:rFonts w:hint="eastAsia"/>
        </w:rPr>
        <w:t>1</w:t>
      </w:r>
      <w:r w:rsidR="00203F72" w:rsidRPr="00EE1E58">
        <w:rPr>
          <w:rFonts w:hint="eastAsia"/>
        </w:rPr>
        <w:t>項中之除非係根據法規範之授權</w:t>
      </w:r>
      <w:r w:rsidR="00203F72" w:rsidRPr="00EE1E58">
        <w:rPr>
          <w:rFonts w:hint="eastAsia"/>
        </w:rPr>
        <w:t>(</w:t>
      </w:r>
      <w:r w:rsidR="00203F72" w:rsidRPr="00EE1E58">
        <w:t>unless it is so authorized pursuant to statute</w:t>
      </w:r>
      <w:r w:rsidR="00203F72" w:rsidRPr="00EE1E58">
        <w:rPr>
          <w:rFonts w:hint="eastAsia"/>
        </w:rPr>
        <w:t>)</w:t>
      </w:r>
      <w:r w:rsidR="00203F72" w:rsidRPr="00EE1E58">
        <w:rPr>
          <w:rFonts w:hint="eastAsia"/>
        </w:rPr>
        <w:t>，即為正當法律程序之規範。由此可知，逮捕、拘禁、搜查</w:t>
      </w:r>
      <w:r w:rsidR="00203F72" w:rsidRPr="00EE1E58">
        <w:rPr>
          <w:rFonts w:hint="eastAsia"/>
        </w:rPr>
        <w:t>(</w:t>
      </w:r>
      <w:r w:rsidR="00203F72" w:rsidRPr="00EE1E58">
        <w:rPr>
          <w:rFonts w:hint="eastAsia"/>
        </w:rPr>
        <w:t>索</w:t>
      </w:r>
      <w:r w:rsidR="00203F72" w:rsidRPr="00EE1E58">
        <w:rPr>
          <w:rFonts w:hint="eastAsia"/>
        </w:rPr>
        <w:t>)</w:t>
      </w:r>
      <w:r w:rsidR="00203F72" w:rsidRPr="00EE1E58">
        <w:rPr>
          <w:rFonts w:hint="eastAsia"/>
        </w:rPr>
        <w:t>、扣押或訊問等強制處分權力之行使，用細緻化之方式，加以分類，並且，於憲法之中，業已將其正當法律程序化。</w:t>
      </w:r>
    </w:p>
    <w:p w14:paraId="0143BFD0" w14:textId="77777777" w:rsidR="00953151"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2</w:t>
      </w:r>
      <w:r w:rsidR="00203F72" w:rsidRPr="00EE1E58">
        <w:rPr>
          <w:rFonts w:hint="eastAsia"/>
        </w:rPr>
        <w:t>項之要求方面，此項規定：「於刑事訴訟程序中</w:t>
      </w:r>
      <w:r w:rsidR="00203F72" w:rsidRPr="00EE1E58">
        <w:rPr>
          <w:rFonts w:hint="eastAsia"/>
        </w:rPr>
        <w:t>(</w:t>
      </w:r>
      <w:r w:rsidR="00203F72" w:rsidRPr="00EE1E58">
        <w:t>in criminal cases</w:t>
      </w:r>
      <w:r w:rsidR="00203F72" w:rsidRPr="00EE1E58">
        <w:rPr>
          <w:rFonts w:hint="eastAsia"/>
        </w:rPr>
        <w:t>)</w:t>
      </w:r>
      <w:r w:rsidR="00203F72" w:rsidRPr="00EE1E58">
        <w:rPr>
          <w:rFonts w:hint="eastAsia"/>
        </w:rPr>
        <w:t>，任何公民不得被刑求</w:t>
      </w:r>
      <w:r w:rsidR="00203F72" w:rsidRPr="00EE1E58">
        <w:rPr>
          <w:rFonts w:hint="eastAsia"/>
        </w:rPr>
        <w:t>(</w:t>
      </w:r>
      <w:r w:rsidR="00203F72" w:rsidRPr="00EE1E58">
        <w:t>No citizen shall be tortured</w:t>
      </w:r>
      <w:r w:rsidR="00203F72" w:rsidRPr="00EE1E58">
        <w:rPr>
          <w:rFonts w:hint="eastAsia"/>
        </w:rPr>
        <w:t>)</w:t>
      </w:r>
      <w:r w:rsidR="00203F72" w:rsidRPr="00EE1E58">
        <w:rPr>
          <w:rFonts w:hint="eastAsia"/>
        </w:rPr>
        <w:t>，或者被強迫自證其罪</w:t>
      </w:r>
      <w:r w:rsidR="00203F72" w:rsidRPr="00EE1E58">
        <w:rPr>
          <w:rFonts w:hint="eastAsia"/>
        </w:rPr>
        <w:t>(</w:t>
      </w:r>
      <w:r w:rsidR="00203F72" w:rsidRPr="00EE1E58">
        <w:t>or be compelled to testify against himself</w:t>
      </w:r>
      <w:r w:rsidR="00203F72" w:rsidRPr="00EE1E58">
        <w:rPr>
          <w:rFonts w:hint="eastAsia"/>
        </w:rPr>
        <w:t>)</w:t>
      </w:r>
      <w:r w:rsidR="00203F72" w:rsidRPr="00EE1E58">
        <w:rPr>
          <w:rFonts w:hint="eastAsia"/>
        </w:rPr>
        <w:t>。」依據上述大韓民國憲法第</w:t>
      </w:r>
      <w:r w:rsidR="00203F72" w:rsidRPr="00EE1E58">
        <w:rPr>
          <w:rFonts w:hint="eastAsia"/>
        </w:rPr>
        <w:t>12</w:t>
      </w:r>
      <w:r w:rsidR="00203F72" w:rsidRPr="00EE1E58">
        <w:rPr>
          <w:rFonts w:hint="eastAsia"/>
        </w:rPr>
        <w:t>條第</w:t>
      </w:r>
      <w:r w:rsidR="00203F72" w:rsidRPr="00EE1E58">
        <w:rPr>
          <w:rFonts w:hint="eastAsia"/>
        </w:rPr>
        <w:t>2</w:t>
      </w:r>
      <w:r w:rsidR="00203F72" w:rsidRPr="00EE1E58">
        <w:rPr>
          <w:rFonts w:hint="eastAsia"/>
        </w:rPr>
        <w:t>項之規範，於刑事訴訟程序中，涉及禁止司法警察刑求，與自證其罪之法理，均已被韓國入憲化。</w:t>
      </w:r>
    </w:p>
    <w:p w14:paraId="1F222CC3" w14:textId="77777777" w:rsidR="00203F72"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3</w:t>
      </w:r>
      <w:r w:rsidR="00203F72" w:rsidRPr="00EE1E58">
        <w:rPr>
          <w:rFonts w:hint="eastAsia"/>
        </w:rPr>
        <w:t>項之要求方面，此項規定：「於逮捕</w:t>
      </w:r>
      <w:r w:rsidR="00203F72" w:rsidRPr="00EE1E58">
        <w:rPr>
          <w:rFonts w:hint="eastAsia"/>
        </w:rPr>
        <w:t>(</w:t>
      </w:r>
      <w:r w:rsidR="00203F72" w:rsidRPr="00EE1E58">
        <w:t>For arrest</w:t>
      </w:r>
      <w:r w:rsidR="00203F72" w:rsidRPr="00EE1E58">
        <w:rPr>
          <w:rFonts w:hint="eastAsia"/>
        </w:rPr>
        <w:t>)</w:t>
      </w:r>
      <w:r w:rsidR="00203F72" w:rsidRPr="00EE1E58">
        <w:rPr>
          <w:rFonts w:hint="eastAsia"/>
        </w:rPr>
        <w:t>、拘禁</w:t>
      </w:r>
      <w:r w:rsidR="00203F72" w:rsidRPr="00EE1E58">
        <w:rPr>
          <w:rFonts w:hint="eastAsia"/>
        </w:rPr>
        <w:t>(</w:t>
      </w:r>
      <w:r w:rsidR="00203F72" w:rsidRPr="00EE1E58">
        <w:t>detention</w:t>
      </w:r>
      <w:r w:rsidR="00203F72" w:rsidRPr="00EE1E58">
        <w:rPr>
          <w:rFonts w:hint="eastAsia"/>
        </w:rPr>
        <w:t>)</w:t>
      </w:r>
      <w:r w:rsidR="00203F72" w:rsidRPr="00EE1E58">
        <w:rPr>
          <w:rFonts w:hint="eastAsia"/>
        </w:rPr>
        <w:t>、扣押</w:t>
      </w:r>
      <w:r w:rsidR="00203F72" w:rsidRPr="00EE1E58">
        <w:rPr>
          <w:rFonts w:hint="eastAsia"/>
        </w:rPr>
        <w:t>(</w:t>
      </w:r>
      <w:r w:rsidR="00203F72" w:rsidRPr="00EE1E58">
        <w:t>seizure</w:t>
      </w:r>
      <w:r w:rsidR="00203F72" w:rsidRPr="00EE1E58">
        <w:rPr>
          <w:rFonts w:hint="eastAsia"/>
        </w:rPr>
        <w:t>)</w:t>
      </w:r>
      <w:r w:rsidR="00203F72" w:rsidRPr="00EE1E58">
        <w:rPr>
          <w:rFonts w:hint="eastAsia"/>
        </w:rPr>
        <w:t>或搜查</w:t>
      </w:r>
      <w:r w:rsidR="00203F72" w:rsidRPr="00EE1E58">
        <w:rPr>
          <w:rFonts w:hint="eastAsia"/>
        </w:rPr>
        <w:t>(</w:t>
      </w:r>
      <w:r w:rsidR="00203F72" w:rsidRPr="00EE1E58">
        <w:rPr>
          <w:rFonts w:hint="eastAsia"/>
        </w:rPr>
        <w:t>索</w:t>
      </w:r>
      <w:r w:rsidR="00203F72" w:rsidRPr="00EE1E58">
        <w:rPr>
          <w:rFonts w:hint="eastAsia"/>
        </w:rPr>
        <w:t>)</w:t>
      </w:r>
      <w:r w:rsidR="00203F72" w:rsidRPr="00EE1E58">
        <w:t xml:space="preserve"> </w:t>
      </w:r>
      <w:r w:rsidR="00203F72" w:rsidRPr="00EE1E58">
        <w:rPr>
          <w:rFonts w:hint="eastAsia"/>
        </w:rPr>
        <w:t>(</w:t>
      </w:r>
      <w:r w:rsidR="00203F72" w:rsidRPr="00EE1E58">
        <w:t>or search</w:t>
      </w:r>
      <w:r w:rsidR="00203F72" w:rsidRPr="00EE1E58">
        <w:rPr>
          <w:rFonts w:hint="eastAsia"/>
        </w:rPr>
        <w:t>)</w:t>
      </w:r>
      <w:r w:rsidR="00203F72" w:rsidRPr="00EE1E58">
        <w:rPr>
          <w:rFonts w:hint="eastAsia"/>
        </w:rPr>
        <w:t>等強制處分權力之行使，須依照正當法律之程序</w:t>
      </w:r>
      <w:r w:rsidR="00203F72" w:rsidRPr="00EE1E58">
        <w:rPr>
          <w:rFonts w:hint="eastAsia"/>
        </w:rPr>
        <w:t>(</w:t>
      </w:r>
      <w:r w:rsidR="00203F72" w:rsidRPr="00EE1E58">
        <w:t>in due process of law</w:t>
      </w:r>
      <w:r w:rsidR="00203F72" w:rsidRPr="00EE1E58">
        <w:rPr>
          <w:rFonts w:hint="eastAsia"/>
        </w:rPr>
        <w:t>)</w:t>
      </w:r>
      <w:r w:rsidR="00203F72" w:rsidRPr="00EE1E58">
        <w:rPr>
          <w:rFonts w:hint="eastAsia"/>
        </w:rPr>
        <w:t>，基於檢察官之聲請</w:t>
      </w:r>
      <w:r w:rsidR="00203F72" w:rsidRPr="00EE1E58">
        <w:rPr>
          <w:rFonts w:hint="eastAsia"/>
        </w:rPr>
        <w:t>(</w:t>
      </w:r>
      <w:r w:rsidR="00203F72" w:rsidRPr="00EE1E58">
        <w:t>upon request of a prosecutor shall be presented</w:t>
      </w:r>
      <w:r w:rsidR="00203F72" w:rsidRPr="00EE1E58">
        <w:rPr>
          <w:rFonts w:hint="eastAsia"/>
        </w:rPr>
        <w:t>)</w:t>
      </w:r>
      <w:r w:rsidR="00203F72" w:rsidRPr="00EE1E58">
        <w:rPr>
          <w:rFonts w:hint="eastAsia"/>
        </w:rPr>
        <w:t>，由法官發出令狀</w:t>
      </w:r>
      <w:r w:rsidR="00203F72" w:rsidRPr="00EE1E58">
        <w:rPr>
          <w:rFonts w:hint="eastAsia"/>
        </w:rPr>
        <w:t>(</w:t>
      </w:r>
      <w:r w:rsidR="00203F72" w:rsidRPr="00EE1E58">
        <w:t>a warrant issued by a judge</w:t>
      </w:r>
      <w:r w:rsidR="00203F72" w:rsidRPr="00EE1E58">
        <w:rPr>
          <w:rFonts w:hint="eastAsia"/>
        </w:rPr>
        <w:t>)</w:t>
      </w:r>
      <w:r w:rsidR="00203F72" w:rsidRPr="00EE1E58">
        <w:rPr>
          <w:rFonts w:hint="eastAsia"/>
        </w:rPr>
        <w:t>。但</w:t>
      </w:r>
      <w:r w:rsidR="00203F72" w:rsidRPr="00EE1E58">
        <w:rPr>
          <w:rFonts w:hint="eastAsia"/>
        </w:rPr>
        <w:t>(</w:t>
      </w:r>
      <w:r w:rsidR="00203F72" w:rsidRPr="00EE1E58">
        <w:t>Provided</w:t>
      </w:r>
      <w:r w:rsidR="00203F72" w:rsidRPr="00EE1E58">
        <w:rPr>
          <w:rFonts w:hint="eastAsia"/>
        </w:rPr>
        <w:t>)</w:t>
      </w:r>
      <w:r w:rsidR="00203F72" w:rsidRPr="00EE1E58">
        <w:rPr>
          <w:rFonts w:hint="eastAsia"/>
        </w:rPr>
        <w:t>，假若犯罪嫌疑人係為已被逮捕的現行犯</w:t>
      </w:r>
      <w:r w:rsidR="00203F72" w:rsidRPr="00EE1E58">
        <w:rPr>
          <w:rFonts w:hint="eastAsia"/>
        </w:rPr>
        <w:t>(</w:t>
      </w:r>
      <w:r w:rsidR="00203F72" w:rsidRPr="00EE1E58">
        <w:t>That in a case where a criminal suspect is an apprehended flagrante delicto</w:t>
      </w:r>
      <w:r w:rsidR="00203F72" w:rsidRPr="00EE1E58">
        <w:rPr>
          <w:rFonts w:hint="eastAsia"/>
        </w:rPr>
        <w:t>)</w:t>
      </w:r>
      <w:r w:rsidR="00203F72" w:rsidRPr="00EE1E58">
        <w:rPr>
          <w:rFonts w:hint="eastAsia"/>
        </w:rPr>
        <w:t>，或者，犯罪嫌疑人涉嫌觸犯有期徒刑三年或三年以上之有期徒刑之犯行</w:t>
      </w:r>
      <w:r w:rsidR="00203F72" w:rsidRPr="00EE1E58">
        <w:rPr>
          <w:rFonts w:hint="eastAsia"/>
        </w:rPr>
        <w:t>(</w:t>
      </w:r>
      <w:r w:rsidR="00203F72" w:rsidRPr="00EE1E58">
        <w:t>or where there is danger that a person suspected of committing a crime punishable by imprisonment of three years or more</w:t>
      </w:r>
      <w:r w:rsidR="00203F72" w:rsidRPr="00EE1E58">
        <w:rPr>
          <w:rFonts w:hint="eastAsia"/>
        </w:rPr>
        <w:t>)</w:t>
      </w:r>
      <w:r w:rsidR="00203F72" w:rsidRPr="00EE1E58">
        <w:rPr>
          <w:rFonts w:hint="eastAsia"/>
        </w:rPr>
        <w:t>，或可能脫逃</w:t>
      </w:r>
      <w:r w:rsidR="00203F72" w:rsidRPr="00EE1E58">
        <w:rPr>
          <w:rFonts w:hint="eastAsia"/>
        </w:rPr>
        <w:t>(</w:t>
      </w:r>
      <w:r w:rsidR="00203F72" w:rsidRPr="00EE1E58">
        <w:t>may escape</w:t>
      </w:r>
      <w:r w:rsidR="00203F72" w:rsidRPr="00EE1E58">
        <w:rPr>
          <w:rFonts w:hint="eastAsia"/>
        </w:rPr>
        <w:t>)</w:t>
      </w:r>
      <w:r w:rsidR="00203F72" w:rsidRPr="00EE1E58">
        <w:rPr>
          <w:rFonts w:hint="eastAsia"/>
        </w:rPr>
        <w:t>，或者，湮滅犯罪證據之人</w:t>
      </w:r>
      <w:r w:rsidR="00203F72" w:rsidRPr="00EE1E58">
        <w:rPr>
          <w:rFonts w:hint="eastAsia"/>
        </w:rPr>
        <w:t>(</w:t>
      </w:r>
      <w:r w:rsidR="00203F72" w:rsidRPr="00EE1E58">
        <w:t>or destroy evidence</w:t>
      </w:r>
      <w:r w:rsidR="00203F72" w:rsidRPr="00EE1E58">
        <w:rPr>
          <w:rFonts w:hint="eastAsia"/>
        </w:rPr>
        <w:t>)</w:t>
      </w:r>
      <w:r w:rsidR="00203F72" w:rsidRPr="00EE1E58">
        <w:rPr>
          <w:rFonts w:hint="eastAsia"/>
        </w:rPr>
        <w:t>，偵查機關可以於執行之後，再補行聲請令狀</w:t>
      </w:r>
      <w:r w:rsidR="00203F72" w:rsidRPr="00EE1E58">
        <w:rPr>
          <w:rFonts w:hint="eastAsia"/>
        </w:rPr>
        <w:t>(</w:t>
      </w:r>
      <w:r w:rsidR="00203F72" w:rsidRPr="00EE1E58">
        <w:t>investigation authorities may request an ex post facto warrant</w:t>
      </w:r>
      <w:r w:rsidR="00203F72" w:rsidRPr="00EE1E58">
        <w:rPr>
          <w:rFonts w:hint="eastAsia"/>
        </w:rPr>
        <w:t>)</w:t>
      </w:r>
      <w:r w:rsidR="00203F72" w:rsidRPr="00EE1E58">
        <w:rPr>
          <w:rFonts w:hint="eastAsia"/>
        </w:rPr>
        <w:t>。」</w:t>
      </w:r>
    </w:p>
    <w:p w14:paraId="7D1BF008" w14:textId="77777777" w:rsidR="00203F72" w:rsidRPr="00EE1E58" w:rsidRDefault="00BF2553" w:rsidP="00D87D91">
      <w:r w:rsidRPr="00EE1E58">
        <w:rPr>
          <w:rFonts w:hint="eastAsia"/>
        </w:rPr>
        <w:t xml:space="preserve">　　</w:t>
      </w:r>
      <w:r w:rsidR="00203F72" w:rsidRPr="00EE1E58">
        <w:rPr>
          <w:rFonts w:hint="eastAsia"/>
        </w:rPr>
        <w:t>在我國，附帶扣押</w:t>
      </w:r>
      <w:r w:rsidR="00203F72" w:rsidRPr="00EE1E58">
        <w:rPr>
          <w:rFonts w:hint="eastAsia"/>
        </w:rPr>
        <w:t>(</w:t>
      </w:r>
      <w:r w:rsidR="00203F72" w:rsidRPr="00EE1E58">
        <w:rPr>
          <w:rFonts w:hint="eastAsia"/>
        </w:rPr>
        <w:t>搜索票未記載應扣押之物</w:t>
      </w:r>
      <w:r w:rsidR="00203F72" w:rsidRPr="00EE1E58">
        <w:rPr>
          <w:rFonts w:hint="eastAsia"/>
        </w:rPr>
        <w:t>)</w:t>
      </w:r>
      <w:r w:rsidR="00203F72" w:rsidRPr="00EE1E58">
        <w:rPr>
          <w:rFonts w:hint="eastAsia"/>
        </w:rPr>
        <w:t>之作為，係未取得法官之令狀，恐有侵犯人權之虞。依據上述大韓民國憲法第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3</w:t>
      </w:r>
      <w:r w:rsidR="00203F72" w:rsidRPr="00EE1E58">
        <w:rPr>
          <w:rFonts w:hint="eastAsia"/>
        </w:rPr>
        <w:t>項之要求，偵查機關執行扣押時，須取得法官之令狀。大韓民國憲法第</w:t>
      </w:r>
      <w:r w:rsidR="00203F72" w:rsidRPr="00EE1E58">
        <w:rPr>
          <w:rFonts w:hint="eastAsia"/>
        </w:rPr>
        <w:t>12</w:t>
      </w:r>
      <w:r w:rsidR="00203F72" w:rsidRPr="00EE1E58">
        <w:rPr>
          <w:rFonts w:hint="eastAsia"/>
        </w:rPr>
        <w:t>條給予台灣之啟示，即為逮捕</w:t>
      </w:r>
      <w:r w:rsidR="00203F72" w:rsidRPr="00EE1E58">
        <w:rPr>
          <w:rFonts w:hint="eastAsia"/>
        </w:rPr>
        <w:t>(</w:t>
      </w:r>
      <w:r w:rsidR="00203F72" w:rsidRPr="00EE1E58">
        <w:t>For arrest</w:t>
      </w:r>
      <w:r w:rsidR="00203F72" w:rsidRPr="00EE1E58">
        <w:rPr>
          <w:rFonts w:hint="eastAsia"/>
        </w:rPr>
        <w:t>)</w:t>
      </w:r>
      <w:r w:rsidR="00203F72" w:rsidRPr="00EE1E58">
        <w:rPr>
          <w:rFonts w:hint="eastAsia"/>
        </w:rPr>
        <w:t>、拘禁</w:t>
      </w:r>
      <w:r w:rsidR="00203F72" w:rsidRPr="00EE1E58">
        <w:rPr>
          <w:rFonts w:hint="eastAsia"/>
        </w:rPr>
        <w:t>(</w:t>
      </w:r>
      <w:r w:rsidR="00203F72" w:rsidRPr="00EE1E58">
        <w:t>detention</w:t>
      </w:r>
      <w:r w:rsidR="00203F72" w:rsidRPr="00EE1E58">
        <w:rPr>
          <w:rFonts w:hint="eastAsia"/>
        </w:rPr>
        <w:t>)</w:t>
      </w:r>
      <w:r w:rsidR="00203F72" w:rsidRPr="00EE1E58">
        <w:rPr>
          <w:rFonts w:hint="eastAsia"/>
        </w:rPr>
        <w:t>、扣押</w:t>
      </w:r>
      <w:r w:rsidR="00203F72" w:rsidRPr="00EE1E58">
        <w:rPr>
          <w:rFonts w:hint="eastAsia"/>
        </w:rPr>
        <w:t>(</w:t>
      </w:r>
      <w:r w:rsidR="00203F72" w:rsidRPr="00EE1E58">
        <w:t>seizure</w:t>
      </w:r>
      <w:r w:rsidR="00203F72" w:rsidRPr="00EE1E58">
        <w:rPr>
          <w:rFonts w:hint="eastAsia"/>
        </w:rPr>
        <w:t>)</w:t>
      </w:r>
      <w:r w:rsidR="00203F72" w:rsidRPr="00EE1E58">
        <w:rPr>
          <w:rFonts w:hint="eastAsia"/>
        </w:rPr>
        <w:t>或搜查</w:t>
      </w:r>
      <w:r w:rsidR="00203F72" w:rsidRPr="00EE1E58">
        <w:rPr>
          <w:rFonts w:hint="eastAsia"/>
        </w:rPr>
        <w:t>(</w:t>
      </w:r>
      <w:r w:rsidR="00203F72" w:rsidRPr="00EE1E58">
        <w:rPr>
          <w:rFonts w:hint="eastAsia"/>
        </w:rPr>
        <w:t>索</w:t>
      </w:r>
      <w:r w:rsidR="00203F72" w:rsidRPr="00EE1E58">
        <w:rPr>
          <w:rFonts w:hint="eastAsia"/>
        </w:rPr>
        <w:t>)</w:t>
      </w:r>
      <w:r w:rsidR="00203F72" w:rsidRPr="00EE1E58">
        <w:t xml:space="preserve"> </w:t>
      </w:r>
      <w:r w:rsidR="00203F72" w:rsidRPr="00EE1E58">
        <w:rPr>
          <w:rFonts w:hint="eastAsia"/>
        </w:rPr>
        <w:t>(</w:t>
      </w:r>
      <w:r w:rsidR="00203F72" w:rsidRPr="00EE1E58">
        <w:t>or search</w:t>
      </w:r>
      <w:r w:rsidR="00203F72" w:rsidRPr="00EE1E58">
        <w:rPr>
          <w:rFonts w:hint="eastAsia"/>
        </w:rPr>
        <w:t>)</w:t>
      </w:r>
      <w:r w:rsidR="00203F72" w:rsidRPr="00EE1E58">
        <w:rPr>
          <w:rFonts w:hint="eastAsia"/>
        </w:rPr>
        <w:t>等強制處分權力之行使，宜加以入憲化。由此可知，大韓民國之憲法，著實比台灣與中國大陸更加進步與文明。</w:t>
      </w:r>
    </w:p>
    <w:p w14:paraId="33D45B48" w14:textId="77777777" w:rsidR="00203F72"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4</w:t>
      </w:r>
      <w:r w:rsidR="00203F72" w:rsidRPr="00EE1E58">
        <w:rPr>
          <w:rFonts w:hint="eastAsia"/>
        </w:rPr>
        <w:t>項之要求方面，此項規定：「任何被逮捕</w:t>
      </w:r>
      <w:r w:rsidR="00203F72" w:rsidRPr="00EE1E58">
        <w:rPr>
          <w:rFonts w:hint="eastAsia"/>
        </w:rPr>
        <w:t>(</w:t>
      </w:r>
      <w:r w:rsidR="00203F72" w:rsidRPr="00EE1E58">
        <w:t>Any person who is arrested</w:t>
      </w:r>
      <w:r w:rsidR="00203F72" w:rsidRPr="00EE1E58">
        <w:rPr>
          <w:rFonts w:hint="eastAsia"/>
        </w:rPr>
        <w:t>)</w:t>
      </w:r>
      <w:r w:rsidR="00203F72" w:rsidRPr="00EE1E58">
        <w:rPr>
          <w:rFonts w:hint="eastAsia"/>
        </w:rPr>
        <w:t>或拘禁</w:t>
      </w:r>
      <w:r w:rsidR="00203F72" w:rsidRPr="00EE1E58">
        <w:rPr>
          <w:rFonts w:hint="eastAsia"/>
        </w:rPr>
        <w:t>(</w:t>
      </w:r>
      <w:r w:rsidR="00203F72" w:rsidRPr="00EE1E58">
        <w:t>or detained</w:t>
      </w:r>
      <w:r w:rsidR="00203F72" w:rsidRPr="00EE1E58">
        <w:rPr>
          <w:rFonts w:hint="eastAsia"/>
        </w:rPr>
        <w:t>)</w:t>
      </w:r>
      <w:r w:rsidR="00203F72" w:rsidRPr="00EE1E58">
        <w:rPr>
          <w:rFonts w:hint="eastAsia"/>
        </w:rPr>
        <w:t>之人民，應有權請求律師迅速加以援助之權利</w:t>
      </w:r>
      <w:r w:rsidR="00203F72" w:rsidRPr="00EE1E58">
        <w:rPr>
          <w:rFonts w:hint="eastAsia"/>
        </w:rPr>
        <w:t>(</w:t>
      </w:r>
      <w:r w:rsidR="00203F72" w:rsidRPr="00EE1E58">
        <w:t>shall have the right to prompt assistance of counsel</w:t>
      </w:r>
      <w:r w:rsidR="00203F72" w:rsidRPr="00EE1E58">
        <w:rPr>
          <w:rFonts w:hint="eastAsia"/>
        </w:rPr>
        <w:t>)</w:t>
      </w:r>
      <w:r w:rsidR="00203F72" w:rsidRPr="00EE1E58">
        <w:rPr>
          <w:rFonts w:hint="eastAsia"/>
        </w:rPr>
        <w:t>。當一個刑事被告無法透過自己之努力，以確保獲得律師之援助時</w:t>
      </w:r>
      <w:r w:rsidR="00203F72" w:rsidRPr="00EE1E58">
        <w:rPr>
          <w:rFonts w:hint="eastAsia"/>
        </w:rPr>
        <w:t>(</w:t>
      </w:r>
      <w:r w:rsidR="00203F72" w:rsidRPr="00EE1E58">
        <w:t>When a criminal defendant is unable to secure counsel by his own efforts</w:t>
      </w:r>
      <w:r w:rsidR="00203F72" w:rsidRPr="00EE1E58">
        <w:rPr>
          <w:rFonts w:hint="eastAsia"/>
        </w:rPr>
        <w:t>)</w:t>
      </w:r>
      <w:r w:rsidR="00203F72" w:rsidRPr="00EE1E58">
        <w:rPr>
          <w:rFonts w:hint="eastAsia"/>
        </w:rPr>
        <w:t>，國家應透由法律之規定</w:t>
      </w:r>
      <w:r w:rsidR="00203F72" w:rsidRPr="00EE1E58">
        <w:t>as prescribed by Act</w:t>
      </w:r>
      <w:r w:rsidR="00203F72" w:rsidRPr="00EE1E58">
        <w:rPr>
          <w:rFonts w:hint="eastAsia"/>
        </w:rPr>
        <w:t>，為被告指派辯護律師</w:t>
      </w:r>
      <w:r w:rsidR="00203F72" w:rsidRPr="00EE1E58">
        <w:rPr>
          <w:rFonts w:hint="eastAsia"/>
        </w:rPr>
        <w:t>(</w:t>
      </w:r>
      <w:r w:rsidR="00203F72" w:rsidRPr="00EE1E58">
        <w:t>the State shall assign counsel for the defendant</w:t>
      </w:r>
      <w:r w:rsidR="00203F72" w:rsidRPr="00EE1E58">
        <w:rPr>
          <w:rFonts w:hint="eastAsia"/>
        </w:rPr>
        <w:t>)</w:t>
      </w:r>
      <w:r w:rsidR="00203F72" w:rsidRPr="00EE1E58">
        <w:rPr>
          <w:rFonts w:hint="eastAsia"/>
        </w:rPr>
        <w:t>」。根據上述之大韓民國憲法第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4</w:t>
      </w:r>
      <w:r w:rsidR="00203F72" w:rsidRPr="00EE1E58">
        <w:rPr>
          <w:rFonts w:hint="eastAsia"/>
        </w:rPr>
        <w:t>項之要求，有關被告及犯罪嫌疑人有權請求律師為其辯護之權利，韓國業已入憲化。</w:t>
      </w:r>
    </w:p>
    <w:p w14:paraId="74BE9878" w14:textId="77777777" w:rsidR="00953151"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5</w:t>
      </w:r>
      <w:r w:rsidR="00203F72" w:rsidRPr="00EE1E58">
        <w:rPr>
          <w:rFonts w:hint="eastAsia"/>
        </w:rPr>
        <w:t>項之要求方面，此項規定：「任何人遭受被逮捕或拘禁時，須立即被告知其被逮捕或拘禁之理由</w:t>
      </w:r>
      <w:r w:rsidR="00203F72" w:rsidRPr="00EE1E58">
        <w:rPr>
          <w:rFonts w:hint="eastAsia"/>
        </w:rPr>
        <w:t>(</w:t>
      </w:r>
      <w:r w:rsidR="00203F72" w:rsidRPr="00EE1E58">
        <w:t>No person shall be arrested or detained without being informed of the reason therefor</w:t>
      </w:r>
      <w:r w:rsidR="00203F72" w:rsidRPr="00EE1E58">
        <w:rPr>
          <w:rFonts w:hint="eastAsia"/>
        </w:rPr>
        <w:t>)</w:t>
      </w:r>
      <w:r w:rsidR="00203F72" w:rsidRPr="00EE1E58">
        <w:rPr>
          <w:rFonts w:hint="eastAsia"/>
        </w:rPr>
        <w:t>；為此，並被告其有權請求律師加以援助之</w:t>
      </w:r>
      <w:r w:rsidR="00203F72" w:rsidRPr="00EE1E58">
        <w:rPr>
          <w:rFonts w:hint="eastAsia"/>
        </w:rPr>
        <w:t>(</w:t>
      </w:r>
      <w:r w:rsidR="00203F72" w:rsidRPr="00EE1E58">
        <w:t>and of his right to assistance of counsel</w:t>
      </w:r>
      <w:r w:rsidR="00203F72" w:rsidRPr="00EE1E58">
        <w:rPr>
          <w:rFonts w:hint="eastAsia"/>
        </w:rPr>
        <w:t>)</w:t>
      </w:r>
      <w:r w:rsidR="00203F72" w:rsidRPr="00EE1E58">
        <w:rPr>
          <w:rFonts w:hint="eastAsia"/>
        </w:rPr>
        <w:t>。遭受被逮捕或拘禁者之家人</w:t>
      </w:r>
      <w:r w:rsidR="00203F72" w:rsidRPr="00EE1E58">
        <w:rPr>
          <w:rFonts w:hint="eastAsia"/>
        </w:rPr>
        <w:t>(</w:t>
      </w:r>
      <w:r w:rsidR="00203F72" w:rsidRPr="00EE1E58">
        <w:t>The family of a person arrested or detained</w:t>
      </w:r>
      <w:r w:rsidR="00203F72" w:rsidRPr="00EE1E58">
        <w:rPr>
          <w:rFonts w:hint="eastAsia"/>
        </w:rPr>
        <w:t>)</w:t>
      </w:r>
      <w:r w:rsidR="00203F72" w:rsidRPr="00EE1E58">
        <w:rPr>
          <w:rFonts w:hint="eastAsia"/>
        </w:rPr>
        <w:t>，或被法規指定之人</w:t>
      </w:r>
      <w:r w:rsidR="00203F72" w:rsidRPr="00EE1E58">
        <w:rPr>
          <w:rFonts w:hint="eastAsia"/>
        </w:rPr>
        <w:t>(</w:t>
      </w:r>
      <w:r w:rsidR="00203F72" w:rsidRPr="00EE1E58">
        <w:t>and others as designated by statute</w:t>
      </w:r>
      <w:r w:rsidR="00203F72" w:rsidRPr="00EE1E58">
        <w:rPr>
          <w:rFonts w:hint="eastAsia"/>
        </w:rPr>
        <w:t>)</w:t>
      </w:r>
      <w:r w:rsidR="00203F72" w:rsidRPr="00EE1E58">
        <w:rPr>
          <w:rFonts w:hint="eastAsia"/>
        </w:rPr>
        <w:t>，應以不遲延之速度，告知其家人被逮捕或拘禁之原因</w:t>
      </w:r>
      <w:r w:rsidR="00203F72" w:rsidRPr="00EE1E58">
        <w:rPr>
          <w:rFonts w:hint="eastAsia"/>
        </w:rPr>
        <w:t>(</w:t>
      </w:r>
      <w:r w:rsidR="00203F72" w:rsidRPr="00EE1E58">
        <w:t>shall be notified without delay of the reason for</w:t>
      </w:r>
      <w:r w:rsidR="00203F72" w:rsidRPr="00EE1E58">
        <w:rPr>
          <w:rFonts w:hint="eastAsia"/>
        </w:rPr>
        <w:t>)</w:t>
      </w:r>
      <w:r w:rsidR="00203F72" w:rsidRPr="00EE1E58">
        <w:rPr>
          <w:rFonts w:hint="eastAsia"/>
        </w:rPr>
        <w:t>、時間</w:t>
      </w:r>
      <w:r w:rsidR="00203F72" w:rsidRPr="00EE1E58">
        <w:rPr>
          <w:rFonts w:hint="eastAsia"/>
        </w:rPr>
        <w:t>(</w:t>
      </w:r>
      <w:r w:rsidR="00203F72" w:rsidRPr="00EE1E58">
        <w:t>and the time</w:t>
      </w:r>
      <w:r w:rsidR="00203F72" w:rsidRPr="00EE1E58">
        <w:rPr>
          <w:rFonts w:hint="eastAsia"/>
        </w:rPr>
        <w:t>)</w:t>
      </w:r>
      <w:r w:rsidR="00203F72" w:rsidRPr="00EE1E58">
        <w:rPr>
          <w:rFonts w:hint="eastAsia"/>
        </w:rPr>
        <w:t>與地點</w:t>
      </w:r>
      <w:r w:rsidR="00203F72" w:rsidRPr="00EE1E58">
        <w:rPr>
          <w:rFonts w:hint="eastAsia"/>
        </w:rPr>
        <w:t>(</w:t>
      </w:r>
      <w:r w:rsidR="00203F72" w:rsidRPr="00EE1E58">
        <w:t>and place of the arrest or detention</w:t>
      </w:r>
      <w:r w:rsidR="00203F72" w:rsidRPr="00EE1E58">
        <w:rPr>
          <w:rFonts w:hint="eastAsia"/>
        </w:rPr>
        <w:t>)</w:t>
      </w:r>
      <w:r w:rsidR="00203F72" w:rsidRPr="00EE1E58">
        <w:rPr>
          <w:rFonts w:hint="eastAsia"/>
        </w:rPr>
        <w:t>。」</w:t>
      </w:r>
    </w:p>
    <w:p w14:paraId="4EEC2017" w14:textId="77777777" w:rsidR="00953151" w:rsidRPr="00EE1E58" w:rsidRDefault="00BF2553" w:rsidP="00D87D91">
      <w:r w:rsidRPr="00EE1E58">
        <w:rPr>
          <w:rFonts w:hint="eastAsia"/>
        </w:rPr>
        <w:t xml:space="preserve">　　</w:t>
      </w:r>
      <w:r w:rsidR="00203F72" w:rsidRPr="00EE1E58">
        <w:rPr>
          <w:rFonts w:hint="eastAsia"/>
        </w:rPr>
        <w:t>依據上述大韓民國憲法第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5</w:t>
      </w:r>
      <w:r w:rsidR="00203F72" w:rsidRPr="00EE1E58">
        <w:rPr>
          <w:rFonts w:hint="eastAsia"/>
        </w:rPr>
        <w:t>項之要求，可知遭受被逮捕或拘禁之人，享有以下之權利：被告知其被逮捕或拘禁之理由為何？有權被告知其有請求律師加以援助之權利；遭受被逮捕或拘禁者之家人，有權被告知其家人被逮捕或拘禁之理由、時間與地點為何？上述之權利，韓國業已入憲化。韓國憲法對於被逮捕或拘禁之人之權利保障，非常精緻化與周延化。反觀我國憲法</w:t>
      </w:r>
      <w:hyperlink r:id="rId2864" w:anchor="a8" w:history="1">
        <w:r w:rsidR="001F6A1B" w:rsidRPr="001F6A1B">
          <w:rPr>
            <w:rStyle w:val="a5"/>
          </w:rPr>
          <w:t>第8條</w:t>
        </w:r>
      </w:hyperlink>
      <w:r w:rsidR="00203F72" w:rsidRPr="00EE1E58">
        <w:rPr>
          <w:rFonts w:hint="eastAsia"/>
        </w:rPr>
        <w:t>之立憲模式，缺乏通知被告其有權請求律師加以援助之權利，我國憲法</w:t>
      </w:r>
      <w:hyperlink r:id="rId2865" w:anchor="a8" w:history="1">
        <w:r w:rsidR="001F6A1B" w:rsidRPr="001F6A1B">
          <w:rPr>
            <w:rStyle w:val="a5"/>
          </w:rPr>
          <w:t>第8條</w:t>
        </w:r>
      </w:hyperlink>
      <w:r w:rsidR="00203F72" w:rsidRPr="00EE1E58">
        <w:rPr>
          <w:rFonts w:hint="eastAsia"/>
        </w:rPr>
        <w:t>之中，缺乏法律援助之權利之機制。</w:t>
      </w:r>
    </w:p>
    <w:p w14:paraId="5397ECCB" w14:textId="77777777" w:rsidR="00203F72"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6</w:t>
      </w:r>
      <w:r w:rsidR="00203F72" w:rsidRPr="00EE1E58">
        <w:rPr>
          <w:rFonts w:hint="eastAsia"/>
        </w:rPr>
        <w:t>項之要求方面，此項規定：「任何被逮捕</w:t>
      </w:r>
      <w:r w:rsidR="00203F72" w:rsidRPr="00EE1E58">
        <w:rPr>
          <w:rFonts w:hint="eastAsia"/>
        </w:rPr>
        <w:t>(</w:t>
      </w:r>
      <w:r w:rsidR="00203F72" w:rsidRPr="00EE1E58">
        <w:t>Any person who is arrested</w:t>
      </w:r>
      <w:r w:rsidR="00203F72" w:rsidRPr="00EE1E58">
        <w:rPr>
          <w:rFonts w:hint="eastAsia"/>
        </w:rPr>
        <w:t>)</w:t>
      </w:r>
      <w:r w:rsidR="00203F72" w:rsidRPr="00EE1E58">
        <w:rPr>
          <w:rFonts w:hint="eastAsia"/>
        </w:rPr>
        <w:t>或拘禁之人</w:t>
      </w:r>
      <w:r w:rsidR="00203F72" w:rsidRPr="00EE1E58">
        <w:rPr>
          <w:rFonts w:hint="eastAsia"/>
        </w:rPr>
        <w:t>(</w:t>
      </w:r>
      <w:r w:rsidR="00203F72" w:rsidRPr="00EE1E58">
        <w:t>or detained</w:t>
      </w:r>
      <w:r w:rsidR="00203F72" w:rsidRPr="00EE1E58">
        <w:rPr>
          <w:rFonts w:hint="eastAsia"/>
        </w:rPr>
        <w:t>)</w:t>
      </w:r>
      <w:r w:rsidR="00203F72" w:rsidRPr="00EE1E58">
        <w:rPr>
          <w:rFonts w:hint="eastAsia"/>
        </w:rPr>
        <w:t>，均有權請求法院審查逮捕或拘禁之合法性之權利</w:t>
      </w:r>
      <w:r w:rsidR="00203F72" w:rsidRPr="00EE1E58">
        <w:rPr>
          <w:rFonts w:hint="eastAsia"/>
        </w:rPr>
        <w:t>(</w:t>
      </w:r>
      <w:r w:rsidR="00203F72" w:rsidRPr="00EE1E58">
        <w:t>shall have the right to request the court to review the legality of the arrest or detention</w:t>
      </w:r>
      <w:r w:rsidR="00203F72" w:rsidRPr="00EE1E58">
        <w:rPr>
          <w:rFonts w:hint="eastAsia"/>
        </w:rPr>
        <w:t>)</w:t>
      </w:r>
      <w:r w:rsidR="00203F72" w:rsidRPr="00EE1E58">
        <w:rPr>
          <w:rFonts w:hint="eastAsia"/>
        </w:rPr>
        <w:t>。」此項權利係為請求提審權，大韓民國憲法第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6</w:t>
      </w:r>
      <w:r w:rsidR="00203F72" w:rsidRPr="00EE1E58">
        <w:rPr>
          <w:rFonts w:hint="eastAsia"/>
        </w:rPr>
        <w:t>項有一個非常重要之特色，即不限定於刑事被告，任何被逮捕或拘禁之人，均有權請求提審權。</w:t>
      </w:r>
    </w:p>
    <w:p w14:paraId="06640ACE" w14:textId="77777777" w:rsidR="00953151"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7</w:t>
      </w:r>
      <w:r w:rsidR="00203F72" w:rsidRPr="00EE1E58">
        <w:rPr>
          <w:rFonts w:hint="eastAsia"/>
        </w:rPr>
        <w:t>項之要求方面，此項規定：「被告之自白，假若係出於違反其自由意志</w:t>
      </w:r>
      <w:r w:rsidR="00203F72" w:rsidRPr="00EE1E58">
        <w:rPr>
          <w:rFonts w:hint="eastAsia"/>
        </w:rPr>
        <w:t>(</w:t>
      </w:r>
      <w:r w:rsidR="00203F72" w:rsidRPr="00EE1E58">
        <w:t>In a case where a confession is deemed to have been made against a defendant's will</w:t>
      </w:r>
      <w:r w:rsidR="00203F72" w:rsidRPr="00EE1E58">
        <w:rPr>
          <w:rFonts w:hint="eastAsia"/>
        </w:rPr>
        <w:t>)</w:t>
      </w:r>
      <w:r w:rsidR="00203F72" w:rsidRPr="00EE1E58">
        <w:rPr>
          <w:rFonts w:hint="eastAsia"/>
        </w:rPr>
        <w:t>，而以酷刑</w:t>
      </w:r>
      <w:r w:rsidR="00203F72" w:rsidRPr="00EE1E58">
        <w:rPr>
          <w:rFonts w:hint="eastAsia"/>
        </w:rPr>
        <w:t>(</w:t>
      </w:r>
      <w:r w:rsidR="00203F72" w:rsidRPr="00EE1E58">
        <w:t>due to torture</w:t>
      </w:r>
      <w:r w:rsidR="00203F72" w:rsidRPr="00EE1E58">
        <w:rPr>
          <w:rFonts w:hint="eastAsia"/>
        </w:rPr>
        <w:t>)</w:t>
      </w:r>
      <w:r w:rsidR="00203F72" w:rsidRPr="00EE1E58">
        <w:rPr>
          <w:rFonts w:hint="eastAsia"/>
        </w:rPr>
        <w:t>、暴力</w:t>
      </w:r>
      <w:r w:rsidR="00203F72" w:rsidRPr="00EE1E58">
        <w:rPr>
          <w:rFonts w:hint="eastAsia"/>
        </w:rPr>
        <w:t>(</w:t>
      </w:r>
      <w:r w:rsidR="00203F72" w:rsidRPr="00EE1E58">
        <w:t>violence</w:t>
      </w:r>
      <w:r w:rsidR="00203F72" w:rsidRPr="00EE1E58">
        <w:rPr>
          <w:rFonts w:hint="eastAsia"/>
        </w:rPr>
        <w:t>)</w:t>
      </w:r>
      <w:r w:rsidR="00203F72" w:rsidRPr="00EE1E58">
        <w:rPr>
          <w:rFonts w:hint="eastAsia"/>
        </w:rPr>
        <w:t>、恐嚇</w:t>
      </w:r>
      <w:r w:rsidR="00203F72" w:rsidRPr="00EE1E58">
        <w:rPr>
          <w:rFonts w:hint="eastAsia"/>
        </w:rPr>
        <w:t>(</w:t>
      </w:r>
      <w:r w:rsidR="00203F72" w:rsidRPr="00EE1E58">
        <w:t>intimidation</w:t>
      </w:r>
      <w:r w:rsidR="00203F72" w:rsidRPr="00EE1E58">
        <w:rPr>
          <w:rFonts w:hint="eastAsia"/>
        </w:rPr>
        <w:t>)</w:t>
      </w:r>
      <w:r w:rsidR="00203F72" w:rsidRPr="00EE1E58">
        <w:rPr>
          <w:rFonts w:hint="eastAsia"/>
        </w:rPr>
        <w:t>、不適切之拖延逮捕</w:t>
      </w:r>
      <w:r w:rsidR="00203F72" w:rsidRPr="00EE1E58">
        <w:rPr>
          <w:rFonts w:hint="eastAsia"/>
        </w:rPr>
        <w:t>(</w:t>
      </w:r>
      <w:r w:rsidR="00203F72" w:rsidRPr="00EE1E58">
        <w:t>unduly prolonged arrest</w:t>
      </w:r>
      <w:r w:rsidR="00203F72" w:rsidRPr="00EE1E58">
        <w:rPr>
          <w:rFonts w:hint="eastAsia"/>
        </w:rPr>
        <w:t>)</w:t>
      </w:r>
      <w:r w:rsidR="00203F72" w:rsidRPr="00EE1E58">
        <w:rPr>
          <w:rFonts w:hint="eastAsia"/>
        </w:rPr>
        <w:t>、欺騙</w:t>
      </w:r>
      <w:r w:rsidR="00203F72" w:rsidRPr="00EE1E58">
        <w:rPr>
          <w:rFonts w:hint="eastAsia"/>
        </w:rPr>
        <w:t>(</w:t>
      </w:r>
      <w:r w:rsidR="00203F72" w:rsidRPr="00EE1E58">
        <w:t>deceit</w:t>
      </w:r>
      <w:r w:rsidR="00203F72" w:rsidRPr="00EE1E58">
        <w:rPr>
          <w:rFonts w:hint="eastAsia"/>
        </w:rPr>
        <w:t>)</w:t>
      </w:r>
      <w:r w:rsidR="00203F72" w:rsidRPr="00EE1E58">
        <w:rPr>
          <w:rFonts w:hint="eastAsia"/>
        </w:rPr>
        <w:t>等不正方式取得，或者，被告的自白，是正式審判程序</w:t>
      </w:r>
      <w:r w:rsidR="00203F72" w:rsidRPr="00EE1E58">
        <w:rPr>
          <w:rFonts w:hint="eastAsia"/>
        </w:rPr>
        <w:t>(</w:t>
      </w:r>
      <w:r w:rsidR="00203F72" w:rsidRPr="00EE1E58">
        <w:t>in a formal trial</w:t>
      </w:r>
      <w:r w:rsidR="00203F72" w:rsidRPr="00EE1E58">
        <w:rPr>
          <w:rFonts w:hint="eastAsia"/>
        </w:rPr>
        <w:t>)</w:t>
      </w:r>
      <w:r w:rsidR="00203F72" w:rsidRPr="00EE1E58">
        <w:rPr>
          <w:rFonts w:hint="eastAsia"/>
        </w:rPr>
        <w:t>中之唯一證據</w:t>
      </w:r>
      <w:r w:rsidR="00203F72" w:rsidRPr="00EE1E58">
        <w:rPr>
          <w:rFonts w:hint="eastAsia"/>
        </w:rPr>
        <w:t>(</w:t>
      </w:r>
      <w:r w:rsidR="00203F72" w:rsidRPr="00EE1E58">
        <w:t>or in a case where a confession is the only evidence against a defendant</w:t>
      </w:r>
      <w:r w:rsidR="00203F72" w:rsidRPr="00EE1E58">
        <w:rPr>
          <w:rFonts w:hint="eastAsia"/>
        </w:rPr>
        <w:t>)</w:t>
      </w:r>
      <w:r w:rsidR="00203F72" w:rsidRPr="00EE1E58">
        <w:rPr>
          <w:rFonts w:hint="eastAsia"/>
        </w:rPr>
        <w:t>，此種之被告自白</w:t>
      </w:r>
      <w:r w:rsidR="00203F72" w:rsidRPr="00EE1E58">
        <w:rPr>
          <w:rFonts w:hint="eastAsia"/>
        </w:rPr>
        <w:t>(</w:t>
      </w:r>
      <w:r w:rsidR="00203F72" w:rsidRPr="00EE1E58">
        <w:t>such a confession</w:t>
      </w:r>
      <w:r w:rsidR="00203F72" w:rsidRPr="00EE1E58">
        <w:rPr>
          <w:rFonts w:hint="eastAsia"/>
        </w:rPr>
        <w:t>)</w:t>
      </w:r>
      <w:r w:rsidR="00203F72" w:rsidRPr="00EE1E58">
        <w:rPr>
          <w:rFonts w:hint="eastAsia"/>
        </w:rPr>
        <w:t>，不得被承認作為被告有罪的證據</w:t>
      </w:r>
      <w:r w:rsidR="00203F72" w:rsidRPr="00EE1E58">
        <w:rPr>
          <w:rFonts w:hint="eastAsia"/>
        </w:rPr>
        <w:t>(</w:t>
      </w:r>
      <w:r w:rsidR="00203F72" w:rsidRPr="00EE1E58">
        <w:t>shall not be admitted as evidence of guilt</w:t>
      </w:r>
      <w:r w:rsidR="00203F72" w:rsidRPr="00EE1E58">
        <w:rPr>
          <w:rFonts w:hint="eastAsia"/>
        </w:rPr>
        <w:t>)</w:t>
      </w:r>
      <w:r w:rsidR="00203F72" w:rsidRPr="00EE1E58">
        <w:rPr>
          <w:rFonts w:hint="eastAsia"/>
        </w:rPr>
        <w:t>，亦不得被告因此種之供述自白，而予以處罰</w:t>
      </w:r>
      <w:r w:rsidR="00203F72" w:rsidRPr="00EE1E58">
        <w:rPr>
          <w:rFonts w:hint="eastAsia"/>
        </w:rPr>
        <w:t>(</w:t>
      </w:r>
      <w:r w:rsidR="00203F72" w:rsidRPr="00EE1E58">
        <w:t>nor shall a defendant be punished by reason of such a confession</w:t>
      </w:r>
      <w:r w:rsidR="00203F72" w:rsidRPr="00EE1E58">
        <w:rPr>
          <w:rFonts w:hint="eastAsia"/>
        </w:rPr>
        <w:t>)</w:t>
      </w:r>
      <w:r w:rsidR="00203F72" w:rsidRPr="00EE1E58">
        <w:rPr>
          <w:rFonts w:hint="eastAsia"/>
        </w:rPr>
        <w:t>。」依據上述大韓民國憲法第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7</w:t>
      </w:r>
      <w:r w:rsidR="00203F72" w:rsidRPr="00EE1E58">
        <w:rPr>
          <w:rFonts w:hint="eastAsia"/>
        </w:rPr>
        <w:t>項之要求，韓國已將自白法則入憲化，此部分，亦甚值得台灣仿效之。</w:t>
      </w:r>
    </w:p>
    <w:p w14:paraId="46FF3942" w14:textId="77777777" w:rsidR="00953151"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13</w:t>
      </w:r>
      <w:r w:rsidR="00203F72" w:rsidRPr="00EE1E58">
        <w:rPr>
          <w:rFonts w:hint="eastAsia"/>
        </w:rPr>
        <w:t>條</w:t>
      </w:r>
      <w:r w:rsidR="00203F72" w:rsidRPr="00EE1E58">
        <w:rPr>
          <w:rFonts w:hint="eastAsia"/>
        </w:rPr>
        <w:t>(</w:t>
      </w:r>
      <w:r w:rsidR="00203F72" w:rsidRPr="00EE1E58">
        <w:t>Constitution of the Republic of KoreaArticle 1</w:t>
      </w:r>
      <w:r w:rsidR="00203F72" w:rsidRPr="00EE1E58">
        <w:rPr>
          <w:rFonts w:hint="eastAsia"/>
        </w:rPr>
        <w:t>3)</w:t>
      </w:r>
      <w:r w:rsidR="00203F72" w:rsidRPr="00EE1E58">
        <w:rPr>
          <w:rFonts w:hint="eastAsia"/>
        </w:rPr>
        <w:t>第</w:t>
      </w:r>
      <w:r w:rsidR="00203F72" w:rsidRPr="00EE1E58">
        <w:rPr>
          <w:rFonts w:hint="eastAsia"/>
        </w:rPr>
        <w:t>1</w:t>
      </w:r>
      <w:r w:rsidR="00203F72" w:rsidRPr="00EE1E58">
        <w:rPr>
          <w:rFonts w:hint="eastAsia"/>
        </w:rPr>
        <w:t>項之要求方面，此項規定：「</w:t>
      </w:r>
      <w:r w:rsidR="00203F72" w:rsidRPr="00EE1E58">
        <w:t>對於人民違法行為之追訴處罰，以行為人行為時之法律，有明文規定該行為係為犯行者為限</w:t>
      </w:r>
      <w:r w:rsidR="00203F72" w:rsidRPr="00EE1E58">
        <w:rPr>
          <w:rFonts w:hint="eastAsia"/>
        </w:rPr>
        <w:t>(</w:t>
      </w:r>
      <w:r w:rsidR="00203F72" w:rsidRPr="00EE1E58">
        <w:t>No citizen shall be prosecuted for an act which does not constitute a crime under the statute in force at the time when it was committed</w:t>
      </w:r>
      <w:r w:rsidR="00203F72" w:rsidRPr="00EE1E58">
        <w:rPr>
          <w:rFonts w:hint="eastAsia"/>
        </w:rPr>
        <w:t>)</w:t>
      </w:r>
      <w:r w:rsidR="00203F72" w:rsidRPr="00EE1E58">
        <w:rPr>
          <w:rFonts w:hint="eastAsia"/>
        </w:rPr>
        <w:t>。</w:t>
      </w:r>
      <w:r w:rsidR="00203F72" w:rsidRPr="00EE1E58">
        <w:t>」上述之法理，係為</w:t>
      </w:r>
      <w:hyperlink r:id="rId2866" w:history="1">
        <w:r w:rsidR="006B7176" w:rsidRPr="006B7176">
          <w:rPr>
            <w:rStyle w:val="a5"/>
            <w:rFonts w:eastAsia="新細明體"/>
            <w:kern w:val="0"/>
          </w:rPr>
          <w:t>刑法</w:t>
        </w:r>
      </w:hyperlink>
      <w:r w:rsidR="00203F72" w:rsidRPr="00EE1E58">
        <w:t>之罪刑法定主義，在</w:t>
      </w:r>
      <w:r w:rsidR="00203F72" w:rsidRPr="00EE1E58">
        <w:rPr>
          <w:rFonts w:hint="eastAsia"/>
        </w:rPr>
        <w:t>大韓民國憲法第</w:t>
      </w:r>
      <w:r w:rsidR="00203F72" w:rsidRPr="00EE1E58">
        <w:rPr>
          <w:rFonts w:hint="eastAsia"/>
        </w:rPr>
        <w:t>13</w:t>
      </w:r>
      <w:r w:rsidR="00203F72" w:rsidRPr="00EE1E58">
        <w:rPr>
          <w:rFonts w:hint="eastAsia"/>
        </w:rPr>
        <w:t>條</w:t>
      </w:r>
      <w:r w:rsidR="00203F72" w:rsidRPr="00EE1E58">
        <w:rPr>
          <w:rFonts w:hint="eastAsia"/>
        </w:rPr>
        <w:t>(</w:t>
      </w:r>
      <w:r w:rsidR="00203F72" w:rsidRPr="00EE1E58">
        <w:t>Constitution of the Republic of KoreaArticle 1</w:t>
      </w:r>
      <w:r w:rsidR="00203F72" w:rsidRPr="00EE1E58">
        <w:rPr>
          <w:rFonts w:hint="eastAsia"/>
        </w:rPr>
        <w:t>3)</w:t>
      </w:r>
      <w:r w:rsidR="00203F72" w:rsidRPr="00EE1E58">
        <w:rPr>
          <w:rFonts w:hint="eastAsia"/>
        </w:rPr>
        <w:t>第</w:t>
      </w:r>
      <w:r w:rsidR="00203F72" w:rsidRPr="00EE1E58">
        <w:rPr>
          <w:rFonts w:hint="eastAsia"/>
        </w:rPr>
        <w:t>1</w:t>
      </w:r>
      <w:r w:rsidR="00203F72" w:rsidRPr="00EE1E58">
        <w:rPr>
          <w:rFonts w:hint="eastAsia"/>
        </w:rPr>
        <w:t>項之中，業已將</w:t>
      </w:r>
      <w:r w:rsidR="006B7176" w:rsidRPr="006B7176">
        <w:rPr>
          <w:rFonts w:ascii="新細明體" w:hAnsi="新細明體"/>
          <w:kern w:val="0"/>
        </w:rPr>
        <w:t>刑法</w:t>
      </w:r>
      <w:r w:rsidR="00203F72" w:rsidRPr="00EE1E58">
        <w:t>之罪刑法定主義，加以入憲化，此部分，亦非常值得台灣仿效之。</w:t>
      </w:r>
    </w:p>
    <w:p w14:paraId="48446A33" w14:textId="77777777" w:rsidR="00EE1E58" w:rsidRDefault="00EE1E58" w:rsidP="00BC66E8">
      <w:pPr>
        <w:jc w:val="right"/>
      </w:pPr>
      <w:r w:rsidRPr="0026266A">
        <w:rPr>
          <w:rFonts w:hint="eastAsia"/>
        </w:rPr>
        <w:t>。。。。。。。。。。。。。。。。。。。。。。。。。</w:t>
      </w:r>
      <w:hyperlink w:anchor="a目次4" w:history="1">
        <w:r>
          <w:rPr>
            <w:rStyle w:val="a5"/>
            <w:sz w:val="18"/>
          </w:rPr>
          <w:t>回目次</w:t>
        </w:r>
      </w:hyperlink>
      <w:r w:rsidR="00E91F89">
        <w:rPr>
          <w:rFonts w:ascii="新細明體" w:hAnsi="新細明體"/>
          <w:color w:val="808000"/>
        </w:rPr>
        <w:t>〉〉</w:t>
      </w:r>
    </w:p>
    <w:p w14:paraId="03AAFC79" w14:textId="77777777" w:rsidR="00145751" w:rsidRDefault="00145751" w:rsidP="00D87D91">
      <w:pPr>
        <w:rPr>
          <w:lang w:val="en"/>
        </w:rPr>
      </w:pPr>
    </w:p>
    <w:p w14:paraId="51A46E8B" w14:textId="77777777" w:rsidR="00953151" w:rsidRDefault="00203F72" w:rsidP="00767F37">
      <w:pPr>
        <w:pStyle w:val="2"/>
        <w:rPr>
          <w:kern w:val="0"/>
        </w:rPr>
      </w:pPr>
      <w:bookmarkStart w:id="169" w:name="_肆拾陸、憲法有關「人身自由權」與「身體權」保障之條文用語宜再精進化與精"/>
      <w:bookmarkEnd w:id="169"/>
      <w:r w:rsidRPr="00A53581">
        <w:rPr>
          <w:rFonts w:hint="eastAsia"/>
        </w:rPr>
        <w:t>肆拾陸、憲法有關「人身自由權」與「身體權」保障之條文用語宜再精進化與精準化</w:t>
      </w:r>
    </w:p>
    <w:p w14:paraId="2C31BA5E" w14:textId="77777777" w:rsidR="00203F72" w:rsidRPr="00EE1E58" w:rsidRDefault="00BF2553" w:rsidP="00D87D91">
      <w:r w:rsidRPr="00EE1E58">
        <w:rPr>
          <w:rFonts w:hint="eastAsia"/>
        </w:rPr>
        <w:t xml:space="preserve">　　</w:t>
      </w:r>
      <w:r w:rsidR="00203F72" w:rsidRPr="00EE1E58">
        <w:rPr>
          <w:rFonts w:hint="eastAsia"/>
        </w:rPr>
        <w:t>我國現行憲法</w:t>
      </w:r>
      <w:hyperlink r:id="rId2867" w:anchor="a8" w:history="1">
        <w:r w:rsidR="001F6A1B" w:rsidRPr="001F6A1B">
          <w:rPr>
            <w:rStyle w:val="a5"/>
          </w:rPr>
          <w:t>第8條</w:t>
        </w:r>
      </w:hyperlink>
      <w:r w:rsidR="00203F72" w:rsidRPr="00EE1E58">
        <w:rPr>
          <w:rFonts w:hint="eastAsia"/>
        </w:rPr>
        <w:t>有關人身自由保障之憲法條文用語，非常容易令人誤以為憲法</w:t>
      </w:r>
      <w:hyperlink r:id="rId2868" w:anchor="a8" w:history="1">
        <w:r w:rsidR="001F6A1B" w:rsidRPr="001F6A1B">
          <w:rPr>
            <w:rStyle w:val="a5"/>
          </w:rPr>
          <w:t>第8條</w:t>
        </w:r>
      </w:hyperlink>
      <w:r w:rsidR="00203F72" w:rsidRPr="00EE1E58">
        <w:rPr>
          <w:rFonts w:hint="eastAsia"/>
        </w:rPr>
        <w:t>人身自由保障之對象，係僅保障刑事被告或犯罪嫌疑人。故本書建議宜仿照德國基本法第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1</w:t>
      </w:r>
      <w:r w:rsidR="00203F72" w:rsidRPr="00EE1E58">
        <w:rPr>
          <w:rFonts w:hint="eastAsia"/>
        </w:rPr>
        <w:t>項、第</w:t>
      </w:r>
      <w:r w:rsidR="00203F72" w:rsidRPr="00EE1E58">
        <w:rPr>
          <w:rFonts w:hint="eastAsia"/>
        </w:rPr>
        <w:t>2</w:t>
      </w:r>
      <w:r w:rsidR="00203F72" w:rsidRPr="00EE1E58">
        <w:rPr>
          <w:rFonts w:hint="eastAsia"/>
        </w:rPr>
        <w:t>項第</w:t>
      </w:r>
      <w:r w:rsidR="00203F72" w:rsidRPr="00EE1E58">
        <w:rPr>
          <w:rFonts w:hint="eastAsia"/>
        </w:rPr>
        <w:t>1</w:t>
      </w:r>
      <w:r w:rsidR="00203F72" w:rsidRPr="00EE1E58">
        <w:rPr>
          <w:rFonts w:hint="eastAsia"/>
        </w:rPr>
        <w:t>句與第</w:t>
      </w:r>
      <w:r w:rsidR="00203F72" w:rsidRPr="00EE1E58">
        <w:rPr>
          <w:rFonts w:hint="eastAsia"/>
        </w:rPr>
        <w:t>2</w:t>
      </w:r>
      <w:r w:rsidR="00203F72" w:rsidRPr="00EE1E58">
        <w:rPr>
          <w:rFonts w:hint="eastAsia"/>
        </w:rPr>
        <w:t>句之立憲模式</w:t>
      </w:r>
      <w:r w:rsidR="00203F72" w:rsidRPr="00EE1E58">
        <w:footnoteReference w:id="1166"/>
      </w:r>
      <w:r w:rsidR="00203F72" w:rsidRPr="00EE1E58">
        <w:rPr>
          <w:rFonts w:hint="eastAsia"/>
        </w:rPr>
        <w:t>，恐會比較良善化。</w:t>
      </w:r>
    </w:p>
    <w:p w14:paraId="0AC762E5" w14:textId="77777777" w:rsidR="00953151" w:rsidRPr="00EE1E58" w:rsidRDefault="00BF2553" w:rsidP="00D87D91">
      <w:r w:rsidRPr="00EE1E58">
        <w:rPr>
          <w:rFonts w:hint="eastAsia"/>
        </w:rPr>
        <w:t xml:space="preserve">　　</w:t>
      </w:r>
      <w:r w:rsidR="00203F72" w:rsidRPr="00EE1E58">
        <w:rPr>
          <w:rFonts w:hint="eastAsia"/>
        </w:rPr>
        <w:t>依據德國基本法第</w:t>
      </w:r>
      <w:r w:rsidR="00203F72" w:rsidRPr="00EE1E58">
        <w:rPr>
          <w:rFonts w:hint="eastAsia"/>
        </w:rPr>
        <w:t>104</w:t>
      </w:r>
      <w:r w:rsidR="00203F72" w:rsidRPr="00EE1E58">
        <w:rPr>
          <w:rFonts w:hint="eastAsia"/>
        </w:rPr>
        <w:t>條第</w:t>
      </w:r>
      <w:r w:rsidR="00203F72" w:rsidRPr="00EE1E58">
        <w:rPr>
          <w:rFonts w:hint="eastAsia"/>
        </w:rPr>
        <w:t>1</w:t>
      </w:r>
      <w:r w:rsidR="00203F72" w:rsidRPr="00EE1E58">
        <w:rPr>
          <w:rFonts w:hint="eastAsia"/>
        </w:rPr>
        <w:t>項之要求，個人自由，非根據正式法律並依其所定程序，不得限制之。被拘禁之人，不應使之受精神上或身體上之虐待</w:t>
      </w:r>
      <w:r w:rsidR="00203F72" w:rsidRPr="00EE1E58">
        <w:rPr>
          <w:rFonts w:hint="eastAsia"/>
        </w:rPr>
        <w:t>(</w:t>
      </w:r>
      <w:r w:rsidR="00203F72" w:rsidRPr="00EE1E58">
        <w:t>Persons in custody may not be subjected</w:t>
      </w:r>
      <w:r w:rsidR="00203F72" w:rsidRPr="00EE1E58">
        <w:rPr>
          <w:rFonts w:hint="eastAsia"/>
        </w:rPr>
        <w:t xml:space="preserve"> </w:t>
      </w:r>
      <w:r w:rsidR="00203F72" w:rsidRPr="00EE1E58">
        <w:t>to mental or physical mistreatment</w:t>
      </w:r>
      <w:r w:rsidR="00203F72" w:rsidRPr="00EE1E58">
        <w:rPr>
          <w:rFonts w:hint="eastAsia"/>
        </w:rPr>
        <w:t>)</w:t>
      </w:r>
      <w:r w:rsidR="00203F72" w:rsidRPr="00EE1E58">
        <w:t xml:space="preserve"> </w:t>
      </w:r>
      <w:r w:rsidR="00203F72" w:rsidRPr="00EE1E58">
        <w:footnoteReference w:id="1167"/>
      </w:r>
      <w:r w:rsidR="00203F72" w:rsidRPr="00EE1E58">
        <w:rPr>
          <w:rFonts w:hint="eastAsia"/>
        </w:rPr>
        <w:t>。本書認為，德國基本法第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1</w:t>
      </w:r>
      <w:r w:rsidR="00203F72" w:rsidRPr="00EE1E58">
        <w:rPr>
          <w:rFonts w:hint="eastAsia"/>
        </w:rPr>
        <w:t>項之第</w:t>
      </w:r>
      <w:r w:rsidR="00203F72" w:rsidRPr="00EE1E58">
        <w:rPr>
          <w:rFonts w:hint="eastAsia"/>
        </w:rPr>
        <w:t>2</w:t>
      </w:r>
      <w:r w:rsidR="00203F72" w:rsidRPr="00EE1E58">
        <w:rPr>
          <w:rFonts w:hint="eastAsia"/>
        </w:rPr>
        <w:t>句，甚值得台灣學習之。台灣之司法警察，偶會有刑求犯罪嫌疑人之情事發生，是以，有必要在我國憲法之中，明文規範被拘禁之人，不應使之受精神上或身體上之虐待。司法警察刑求之行為，係為精神上或身體上之虐待</w:t>
      </w:r>
      <w:r w:rsidR="00203F72" w:rsidRPr="00EE1E58">
        <w:rPr>
          <w:rFonts w:hint="eastAsia"/>
        </w:rPr>
        <w:t>(</w:t>
      </w:r>
      <w:r w:rsidR="00203F72" w:rsidRPr="00EE1E58">
        <w:t>mental or physical mistreatment</w:t>
      </w:r>
      <w:r w:rsidR="00203F72" w:rsidRPr="00EE1E58">
        <w:rPr>
          <w:rFonts w:hint="eastAsia"/>
        </w:rPr>
        <w:t>)</w:t>
      </w:r>
      <w:r w:rsidR="00203F72" w:rsidRPr="00EE1E58">
        <w:rPr>
          <w:rFonts w:hint="eastAsia"/>
        </w:rPr>
        <w:t>。</w:t>
      </w:r>
    </w:p>
    <w:p w14:paraId="1E29AE41" w14:textId="77777777" w:rsidR="00953151" w:rsidRPr="00EE1E58" w:rsidRDefault="00145751" w:rsidP="00D87D91">
      <w:r w:rsidRPr="00EE1E58">
        <w:rPr>
          <w:rFonts w:hint="eastAsia"/>
        </w:rPr>
        <w:t xml:space="preserve">　　</w:t>
      </w:r>
      <w:r w:rsidR="00203F72" w:rsidRPr="00EE1E58">
        <w:rPr>
          <w:rFonts w:hint="eastAsia"/>
        </w:rPr>
        <w:t>在</w:t>
      </w:r>
      <w:r w:rsidR="00203F72" w:rsidRPr="00EE1E58">
        <w:t>鄭性澤殺警案之中，監察院</w:t>
      </w:r>
      <w:r w:rsidR="00203F72" w:rsidRPr="00EE1E58">
        <w:rPr>
          <w:rFonts w:hint="eastAsia"/>
        </w:rPr>
        <w:t>調查報告明文指出，「、、、經第一審法院函查上訴人</w:t>
      </w:r>
      <w:r w:rsidR="00203F72" w:rsidRPr="00EE1E58">
        <w:rPr>
          <w:rFonts w:hint="eastAsia"/>
        </w:rPr>
        <w:t>(</w:t>
      </w:r>
      <w:r w:rsidR="00203F72" w:rsidRPr="00EE1E58">
        <w:rPr>
          <w:rFonts w:hint="eastAsia"/>
        </w:rPr>
        <w:t>此指</w:t>
      </w:r>
      <w:r w:rsidR="00203F72" w:rsidRPr="00EE1E58">
        <w:t>鄭性澤</w:t>
      </w:r>
      <w:r w:rsidR="00203F72" w:rsidRPr="00EE1E58">
        <w:rPr>
          <w:rFonts w:hint="eastAsia"/>
        </w:rPr>
        <w:t>)</w:t>
      </w:r>
      <w:r w:rsidR="00203F72" w:rsidRPr="00EE1E58">
        <w:rPr>
          <w:rFonts w:hint="eastAsia"/>
        </w:rPr>
        <w:t>進入臺灣臺中看守所時之身體健康檢查及內外傷記錄情形，上訴人</w:t>
      </w:r>
      <w:r w:rsidR="00203F72" w:rsidRPr="00EE1E58">
        <w:rPr>
          <w:rFonts w:hint="eastAsia"/>
        </w:rPr>
        <w:t>(</w:t>
      </w:r>
      <w:r w:rsidR="00203F72" w:rsidRPr="00EE1E58">
        <w:rPr>
          <w:rFonts w:hint="eastAsia"/>
        </w:rPr>
        <w:t>此指</w:t>
      </w:r>
      <w:r w:rsidR="00203F72" w:rsidRPr="00EE1E58">
        <w:t>鄭性澤</w:t>
      </w:r>
      <w:r w:rsidR="00203F72" w:rsidRPr="00EE1E58">
        <w:rPr>
          <w:rFonts w:hint="eastAsia"/>
        </w:rPr>
        <w:t>)</w:t>
      </w:r>
      <w:r w:rsidR="00203F72" w:rsidRPr="00EE1E58">
        <w:rPr>
          <w:rFonts w:hint="eastAsia"/>
        </w:rPr>
        <w:t>有左腳槍傷</w:t>
      </w:r>
      <w:r w:rsidR="00203F72" w:rsidRPr="00EE1E58">
        <w:t>(</w:t>
      </w:r>
      <w:r w:rsidR="00203F72" w:rsidRPr="00EE1E58">
        <w:rPr>
          <w:rFonts w:hint="eastAsia"/>
        </w:rPr>
        <w:t>貫穿</w:t>
      </w:r>
      <w:r w:rsidR="00203F72" w:rsidRPr="00EE1E58">
        <w:t>)</w:t>
      </w:r>
      <w:r w:rsidR="00203F72" w:rsidRPr="00EE1E58">
        <w:rPr>
          <w:rFonts w:hint="eastAsia"/>
        </w:rPr>
        <w:t>、左眼內瘀傷、左眼浮腫及左大腿外側瘀傷等傷害，並於新收收容人內外傷記錄表上自述：『陰莖及左手大拇指遭電擊』等情形、、、。」</w:t>
      </w:r>
      <w:r w:rsidR="00203F72" w:rsidRPr="00EE1E58">
        <w:footnoteReference w:id="1168"/>
      </w:r>
      <w:r w:rsidR="00203F72" w:rsidRPr="00EE1E58">
        <w:rPr>
          <w:rFonts w:hint="eastAsia"/>
        </w:rPr>
        <w:t>很明顯地，</w:t>
      </w:r>
      <w:r w:rsidR="00203F72" w:rsidRPr="00EE1E58">
        <w:t>鄭性澤本人之</w:t>
      </w:r>
      <w:r w:rsidR="00203F72" w:rsidRPr="00EE1E58">
        <w:rPr>
          <w:rFonts w:hint="eastAsia"/>
        </w:rPr>
        <w:t>精神上，及其身體上，受到非常大之虐待</w:t>
      </w:r>
      <w:r w:rsidR="00203F72" w:rsidRPr="00EE1E58">
        <w:rPr>
          <w:rFonts w:hint="eastAsia"/>
        </w:rPr>
        <w:t>(</w:t>
      </w:r>
      <w:r w:rsidR="00203F72" w:rsidRPr="00EE1E58">
        <w:t>mental or physical mistreatment</w:t>
      </w:r>
      <w:r w:rsidR="00203F72" w:rsidRPr="00EE1E58">
        <w:rPr>
          <w:rFonts w:hint="eastAsia"/>
        </w:rPr>
        <w:t>)</w:t>
      </w:r>
      <w:r w:rsidR="00D92F56" w:rsidRPr="00EE1E58">
        <w:rPr>
          <w:rFonts w:hint="eastAsia"/>
        </w:rPr>
        <w:t>〜</w:t>
      </w:r>
      <w:r w:rsidR="00203F72" w:rsidRPr="00EE1E58">
        <w:rPr>
          <w:rFonts w:hint="eastAsia"/>
        </w:rPr>
        <w:t>司法警察電撃</w:t>
      </w:r>
      <w:r w:rsidR="00203F72" w:rsidRPr="00EE1E58">
        <w:t>鄭性澤本人之</w:t>
      </w:r>
      <w:r w:rsidR="00203F72" w:rsidRPr="00EE1E58">
        <w:rPr>
          <w:rFonts w:hint="eastAsia"/>
        </w:rPr>
        <w:t>陰莖。此種之刑求方式，事實上，是非常危險的，如電撃過度，有可能令</w:t>
      </w:r>
      <w:r w:rsidR="00203F72" w:rsidRPr="00EE1E58">
        <w:t>鄭性澤永遠失去生殖能力，這是一件非常悲慘之事，已嚴重地及巨大地侵犯鄭性澤</w:t>
      </w:r>
      <w:r w:rsidR="00203F72" w:rsidRPr="00EE1E58">
        <w:rPr>
          <w:rFonts w:hint="eastAsia"/>
        </w:rPr>
        <w:t>之人性尊嚴</w:t>
      </w:r>
      <w:r w:rsidR="00203F72" w:rsidRPr="00EE1E58">
        <w:rPr>
          <w:rFonts w:hint="eastAsia"/>
        </w:rPr>
        <w:t>(human dignity)</w:t>
      </w:r>
      <w:r w:rsidR="00203F72" w:rsidRPr="00EE1E58">
        <w:rPr>
          <w:rFonts w:hint="eastAsia"/>
        </w:rPr>
        <w:t>。假若我國不將德國基本法第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1</w:t>
      </w:r>
      <w:r w:rsidR="00203F72" w:rsidRPr="00EE1E58">
        <w:rPr>
          <w:rFonts w:hint="eastAsia"/>
        </w:rPr>
        <w:t>項之第</w:t>
      </w:r>
      <w:r w:rsidR="00203F72" w:rsidRPr="00EE1E58">
        <w:rPr>
          <w:rFonts w:hint="eastAsia"/>
        </w:rPr>
        <w:t>2</w:t>
      </w:r>
      <w:r w:rsidR="00203F72" w:rsidRPr="00EE1E58">
        <w:rPr>
          <w:rFonts w:hint="eastAsia"/>
        </w:rPr>
        <w:t>句之規定，援引至我國憲法</w:t>
      </w:r>
      <w:hyperlink r:id="rId2869" w:anchor="a8" w:history="1">
        <w:r w:rsidR="001F6A1B" w:rsidRPr="001F6A1B">
          <w:rPr>
            <w:rStyle w:val="a5"/>
          </w:rPr>
          <w:t>第8條</w:t>
        </w:r>
      </w:hyperlink>
      <w:r w:rsidR="00203F72" w:rsidRPr="00EE1E58">
        <w:rPr>
          <w:rFonts w:hint="eastAsia"/>
        </w:rPr>
        <w:t>之中，此種用電擊刑求</w:t>
      </w:r>
      <w:r w:rsidR="00203F72" w:rsidRPr="00EE1E58">
        <w:t>犯嫌之</w:t>
      </w:r>
      <w:r w:rsidR="00203F72" w:rsidRPr="00EE1E58">
        <w:rPr>
          <w:rFonts w:hint="eastAsia"/>
        </w:rPr>
        <w:t>陰莖之事，即會一直持續地上演。</w:t>
      </w:r>
    </w:p>
    <w:p w14:paraId="400EBCE5" w14:textId="77777777" w:rsidR="00953151" w:rsidRPr="00EE1E58" w:rsidRDefault="00145751" w:rsidP="00D87D91">
      <w:r w:rsidRPr="00EE1E58">
        <w:rPr>
          <w:rFonts w:hint="eastAsia"/>
        </w:rPr>
        <w:t xml:space="preserve">　　</w:t>
      </w:r>
      <w:r w:rsidR="00203F72" w:rsidRPr="00EE1E58">
        <w:rPr>
          <w:rFonts w:hint="eastAsia"/>
        </w:rPr>
        <w:t>復次，根據德國基本法第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2</w:t>
      </w:r>
      <w:r w:rsidR="00203F72" w:rsidRPr="00EE1E58">
        <w:rPr>
          <w:rFonts w:hint="eastAsia"/>
        </w:rPr>
        <w:t>項第</w:t>
      </w:r>
      <w:r w:rsidR="00203F72" w:rsidRPr="00EE1E58">
        <w:rPr>
          <w:rFonts w:hint="eastAsia"/>
        </w:rPr>
        <w:t>1</w:t>
      </w:r>
      <w:r w:rsidR="00203F72" w:rsidRPr="00EE1E58">
        <w:rPr>
          <w:rFonts w:hint="eastAsia"/>
        </w:rPr>
        <w:t>句與第</w:t>
      </w:r>
      <w:r w:rsidR="00203F72" w:rsidRPr="00EE1E58">
        <w:rPr>
          <w:rFonts w:hint="eastAsia"/>
        </w:rPr>
        <w:t>2</w:t>
      </w:r>
      <w:r w:rsidR="00203F72" w:rsidRPr="00EE1E58">
        <w:rPr>
          <w:rFonts w:hint="eastAsia"/>
        </w:rPr>
        <w:t>句之要求，惟法官始得判決可否剝奪自由及剝奪之持續時間</w:t>
      </w:r>
      <w:r w:rsidR="00203F72" w:rsidRPr="00EE1E58">
        <w:rPr>
          <w:rFonts w:hint="eastAsia"/>
        </w:rPr>
        <w:t>(</w:t>
      </w:r>
      <w:r w:rsidR="00203F72" w:rsidRPr="00EE1E58">
        <w:t>Only a judge may rule upon the permissibility or continuation</w:t>
      </w:r>
      <w:r w:rsidR="00203F72" w:rsidRPr="00EE1E58">
        <w:rPr>
          <w:rFonts w:hint="eastAsia"/>
        </w:rPr>
        <w:t xml:space="preserve"> </w:t>
      </w:r>
      <w:r w:rsidR="00203F72" w:rsidRPr="00EE1E58">
        <w:t>of any deprivation of liberty</w:t>
      </w:r>
      <w:r w:rsidR="00203F72" w:rsidRPr="00EE1E58">
        <w:rPr>
          <w:rFonts w:hint="eastAsia"/>
        </w:rPr>
        <w:t>)</w:t>
      </w:r>
      <w:r w:rsidR="00203F72" w:rsidRPr="00EE1E58">
        <w:rPr>
          <w:rFonts w:hint="eastAsia"/>
        </w:rPr>
        <w:t>。此項剝奪如非根據法官之命令，須即時請求法官判決</w:t>
      </w:r>
      <w:r w:rsidR="00203F72" w:rsidRPr="00EE1E58">
        <w:rPr>
          <w:rFonts w:hint="eastAsia"/>
        </w:rPr>
        <w:t>(</w:t>
      </w:r>
      <w:r w:rsidR="00203F72" w:rsidRPr="00EE1E58">
        <w:t>If such a deprivation is</w:t>
      </w:r>
      <w:r w:rsidR="00203F72" w:rsidRPr="00EE1E58">
        <w:rPr>
          <w:rFonts w:hint="eastAsia"/>
        </w:rPr>
        <w:t xml:space="preserve"> </w:t>
      </w:r>
      <w:r w:rsidR="00203F72" w:rsidRPr="00EE1E58">
        <w:t>not based on a judicial order, a judicial decision shall beobtained without delay</w:t>
      </w:r>
      <w:r w:rsidR="00203F72" w:rsidRPr="00EE1E58">
        <w:rPr>
          <w:rFonts w:hint="eastAsia"/>
        </w:rPr>
        <w:t>)</w:t>
      </w:r>
      <w:r w:rsidR="00203F72" w:rsidRPr="00EE1E58">
        <w:t xml:space="preserve"> </w:t>
      </w:r>
      <w:r w:rsidR="00203F72" w:rsidRPr="00EE1E58">
        <w:footnoteReference w:id="1169"/>
      </w:r>
      <w:r w:rsidR="00203F72" w:rsidRPr="00EE1E58">
        <w:rPr>
          <w:rFonts w:hint="eastAsia"/>
        </w:rPr>
        <w:t>。在我國之中，即缺乏此種之機制</w:t>
      </w:r>
      <w:r w:rsidR="00D92F56" w:rsidRPr="00EE1E58">
        <w:rPr>
          <w:rFonts w:hint="eastAsia"/>
        </w:rPr>
        <w:t>〜</w:t>
      </w:r>
      <w:r w:rsidR="00203F72" w:rsidRPr="00EE1E58">
        <w:rPr>
          <w:rFonts w:hint="eastAsia"/>
        </w:rPr>
        <w:t>「此項剝奪如非根據法官之命令，須即時請求法官判決」。由於我國缺乏「此項剝奪如非根據法官之命令，須即時請求法官判決」之機制，產生嚴重之弊端，如移民官暫予收容外國人，其剝奪人身自由並非根據法官之命令，但無須即時請求法官判決。為何會發生此種之情形？主要之原因，在於我國憲法</w:t>
      </w:r>
      <w:hyperlink r:id="rId2870" w:anchor="a8" w:history="1">
        <w:r w:rsidR="001F6A1B" w:rsidRPr="001F6A1B">
          <w:rPr>
            <w:rStyle w:val="a5"/>
          </w:rPr>
          <w:t>第8條</w:t>
        </w:r>
      </w:hyperlink>
      <w:r w:rsidR="00203F72" w:rsidRPr="00EE1E58">
        <w:rPr>
          <w:rFonts w:hint="eastAsia"/>
        </w:rPr>
        <w:t>之中，缺乏此種「此項剝奪如非根據法官之命令，須即時請求法官判決」之立憲要求，故本書建議德國基本法第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2</w:t>
      </w:r>
      <w:r w:rsidR="00203F72" w:rsidRPr="00EE1E58">
        <w:rPr>
          <w:rFonts w:hint="eastAsia"/>
        </w:rPr>
        <w:t>項第</w:t>
      </w:r>
      <w:r w:rsidR="00203F72" w:rsidRPr="00EE1E58">
        <w:rPr>
          <w:rFonts w:hint="eastAsia"/>
        </w:rPr>
        <w:t>1</w:t>
      </w:r>
      <w:r w:rsidR="00203F72" w:rsidRPr="00EE1E58">
        <w:rPr>
          <w:rFonts w:hint="eastAsia"/>
        </w:rPr>
        <w:t>句與第</w:t>
      </w:r>
      <w:r w:rsidR="00203F72" w:rsidRPr="00EE1E58">
        <w:rPr>
          <w:rFonts w:hint="eastAsia"/>
        </w:rPr>
        <w:t>2</w:t>
      </w:r>
      <w:r w:rsidR="00203F72" w:rsidRPr="00EE1E58">
        <w:rPr>
          <w:rFonts w:hint="eastAsia"/>
        </w:rPr>
        <w:t>句之要求，我國值得仿效之。</w:t>
      </w:r>
    </w:p>
    <w:p w14:paraId="10716966" w14:textId="77777777" w:rsidR="00203F72" w:rsidRPr="00EE1E58" w:rsidRDefault="00953151" w:rsidP="00D87D91">
      <w:r w:rsidRPr="00EE1E58">
        <w:rPr>
          <w:rFonts w:hint="eastAsia"/>
        </w:rPr>
        <w:t xml:space="preserve">　　</w:t>
      </w:r>
      <w:r w:rsidR="00203F72" w:rsidRPr="00EE1E58">
        <w:rPr>
          <w:rFonts w:hint="eastAsia"/>
        </w:rPr>
        <w:t>另外，</w:t>
      </w:r>
      <w:r w:rsidR="00203F72" w:rsidRPr="00EE1E58">
        <w:t>鄭性澤殺警案給予社會大眾之綜合性啟示如下：</w:t>
      </w:r>
    </w:p>
    <w:p w14:paraId="69E5171D" w14:textId="77777777" w:rsidR="00BF2553" w:rsidRPr="00EE1E58" w:rsidRDefault="00BF2553" w:rsidP="00D87D91">
      <w:r w:rsidRPr="00EE1E58">
        <w:rPr>
          <w:rFonts w:hint="eastAsia"/>
        </w:rPr>
        <w:t xml:space="preserve">　　</w:t>
      </w:r>
      <w:r w:rsidRPr="00EE1E58">
        <w:rPr>
          <w:rFonts w:hint="eastAsia"/>
        </w:rPr>
        <w:t>1</w:t>
      </w:r>
      <w:r w:rsidRPr="00EE1E58">
        <w:rPr>
          <w:rFonts w:hint="eastAsia"/>
        </w:rPr>
        <w:t>、被拘禁之人，不應使之受精神上或身體上之虐待</w:t>
      </w:r>
      <w:r w:rsidRPr="00EE1E58">
        <w:rPr>
          <w:rFonts w:hint="eastAsia"/>
        </w:rPr>
        <w:t>(Persons in custody may not be subjected to mental or physical mistreatment)</w:t>
      </w:r>
      <w:r w:rsidRPr="00EE1E58">
        <w:rPr>
          <w:rFonts w:hint="eastAsia"/>
        </w:rPr>
        <w:t>。是以，「禁止刑求」之至高法規範之誡命，宜入憲化，使其成為憲法誡命。</w:t>
      </w:r>
    </w:p>
    <w:p w14:paraId="14B4A20F" w14:textId="77777777" w:rsidR="00BF2553" w:rsidRPr="00EE1E58" w:rsidRDefault="00BF2553" w:rsidP="00D87D91">
      <w:r w:rsidRPr="00EE1E58">
        <w:rPr>
          <w:rFonts w:hint="eastAsia"/>
        </w:rPr>
        <w:t xml:space="preserve">　　</w:t>
      </w:r>
      <w:r w:rsidRPr="00EE1E58">
        <w:rPr>
          <w:rFonts w:hint="eastAsia"/>
        </w:rPr>
        <w:t>2</w:t>
      </w:r>
      <w:r w:rsidRPr="00EE1E58">
        <w:rPr>
          <w:rFonts w:hint="eastAsia"/>
        </w:rPr>
        <w:t>、在鄭性澤殺警案中，更能證明死刑宜廢止之。</w:t>
      </w:r>
    </w:p>
    <w:p w14:paraId="70B9C9DA" w14:textId="77777777" w:rsidR="00BF2553" w:rsidRPr="00EE1E58" w:rsidRDefault="00BF2553" w:rsidP="00D87D91">
      <w:r w:rsidRPr="00EE1E58">
        <w:rPr>
          <w:rFonts w:hint="eastAsia"/>
        </w:rPr>
        <w:t xml:space="preserve">　　</w:t>
      </w:r>
      <w:r w:rsidRPr="00EE1E58">
        <w:rPr>
          <w:rFonts w:hint="eastAsia"/>
        </w:rPr>
        <w:t>3</w:t>
      </w:r>
      <w:r w:rsidRPr="00EE1E58">
        <w:rPr>
          <w:rFonts w:hint="eastAsia"/>
        </w:rPr>
        <w:t>、鄭性澤殺警案之相關證據，宜重新調查。根據本書所蒐集之資料，鄭性澤實未殺警，他並非殺人犯。</w:t>
      </w:r>
    </w:p>
    <w:p w14:paraId="22819713" w14:textId="77777777" w:rsidR="00BF2553" w:rsidRPr="00EE1E58" w:rsidRDefault="00BF2553" w:rsidP="00D87D91">
      <w:r w:rsidRPr="00EE1E58">
        <w:rPr>
          <w:rFonts w:hint="eastAsia"/>
        </w:rPr>
        <w:t xml:space="preserve">　　</w:t>
      </w:r>
      <w:r w:rsidRPr="00EE1E58">
        <w:rPr>
          <w:rFonts w:hint="eastAsia"/>
        </w:rPr>
        <w:t>4</w:t>
      </w:r>
      <w:r w:rsidRPr="00EE1E58">
        <w:rPr>
          <w:rFonts w:hint="eastAsia"/>
        </w:rPr>
        <w:t>、刑事司法系統針對殺人案件，仍存有誤判之機率，主要之原因，不論是司法警察、檢察官及法官，並非神明與上帝</w:t>
      </w:r>
      <w:r w:rsidRPr="00EE1E58">
        <w:rPr>
          <w:rFonts w:hint="eastAsia"/>
        </w:rPr>
        <w:t>(God)</w:t>
      </w:r>
      <w:r w:rsidRPr="00EE1E58">
        <w:rPr>
          <w:rFonts w:hint="eastAsia"/>
        </w:rPr>
        <w:t>，其係為人類，</w:t>
      </w:r>
      <w:r w:rsidRPr="00EE1E58">
        <w:rPr>
          <w:rFonts w:hint="eastAsia"/>
        </w:rPr>
        <w:t xml:space="preserve"> </w:t>
      </w:r>
      <w:r w:rsidRPr="00EE1E58">
        <w:rPr>
          <w:rFonts w:hint="eastAsia"/>
        </w:rPr>
        <w:t>凡是人</w:t>
      </w:r>
      <w:r w:rsidRPr="00EE1E58">
        <w:rPr>
          <w:rFonts w:hint="eastAsia"/>
        </w:rPr>
        <w:t>(human being)</w:t>
      </w:r>
      <w:r w:rsidRPr="00EE1E58">
        <w:rPr>
          <w:rFonts w:hint="eastAsia"/>
        </w:rPr>
        <w:t>，其智力、偵辦及審理殺人案件之能量，均有極限性，不可能達到完全正確、</w:t>
      </w:r>
      <w:r w:rsidRPr="00EE1E58">
        <w:rPr>
          <w:rFonts w:hint="eastAsia"/>
        </w:rPr>
        <w:t>100%</w:t>
      </w:r>
      <w:r w:rsidRPr="00EE1E58">
        <w:rPr>
          <w:rFonts w:hint="eastAsia"/>
        </w:rPr>
        <w:t>無誤之程度。是以，陪審</w:t>
      </w:r>
      <w:r w:rsidRPr="00EE1E58">
        <w:rPr>
          <w:rFonts w:hint="eastAsia"/>
        </w:rPr>
        <w:t>(</w:t>
      </w:r>
      <w:r w:rsidRPr="00EE1E58">
        <w:rPr>
          <w:rFonts w:hint="eastAsia"/>
        </w:rPr>
        <w:t>觀審</w:t>
      </w:r>
      <w:r w:rsidRPr="00EE1E58">
        <w:rPr>
          <w:rFonts w:hint="eastAsia"/>
        </w:rPr>
        <w:t>)</w:t>
      </w:r>
      <w:r w:rsidRPr="00EE1E58">
        <w:rPr>
          <w:rFonts w:hint="eastAsia"/>
        </w:rPr>
        <w:t>制度宜適度地導入我國。</w:t>
      </w:r>
    </w:p>
    <w:p w14:paraId="608D7683" w14:textId="77777777" w:rsidR="00BF2553" w:rsidRPr="00EE1E58" w:rsidRDefault="00BF2553" w:rsidP="00D87D91">
      <w:r w:rsidRPr="00EE1E58">
        <w:rPr>
          <w:rFonts w:hint="eastAsia"/>
        </w:rPr>
        <w:t xml:space="preserve">　　</w:t>
      </w:r>
      <w:r w:rsidRPr="00EE1E58">
        <w:t>5</w:t>
      </w:r>
      <w:r w:rsidRPr="00EE1E58">
        <w:rPr>
          <w:rFonts w:hint="eastAsia"/>
        </w:rPr>
        <w:t>、司法警察之人權觀念，亟待提升。在鄭性澤殺警案之中，司法警察無</w:t>
      </w:r>
      <w:r w:rsidR="003E240E">
        <w:rPr>
          <w:rFonts w:hint="eastAsia"/>
        </w:rPr>
        <w:t>視</w:t>
      </w:r>
      <w:r w:rsidRPr="00EE1E58">
        <w:rPr>
          <w:rFonts w:hint="eastAsia"/>
        </w:rPr>
        <w:t>鄭性澤之基本人權與人性尊嚴，司法警察對鄭性澤之基本人權與人性尊嚴實已加以踐踏，是以，更證明我國宜將人性尊嚴之保障入憲化。由於我國憲法未將人性尊嚴之保障入憲化，此可能導致以下之情形：司法警察會主張，對於鄭性澤之人性尊嚴，有必要加以維護嗎？或者，鄭性澤有所謂之人性尊嚴之存在否？由於司法警察電撃鄭性澤本人之陰莖，故本書認為，於本案之中，司法警察於詢問他之前，已事先主觀認定</w:t>
      </w:r>
      <w:r w:rsidR="00D92F56" w:rsidRPr="00EE1E58">
        <w:t>〜</w:t>
      </w:r>
      <w:r w:rsidRPr="00EE1E58">
        <w:rPr>
          <w:rFonts w:hint="eastAsia"/>
        </w:rPr>
        <w:t>對於鄭性澤之人性尊嚴，沒有必要加以維護；或者，鄭性澤無所謂之人性尊嚴之存在。此亦能顯示，我國應將人性尊嚴之保障入憲化之必要性及急迫性。</w:t>
      </w:r>
    </w:p>
    <w:p w14:paraId="2E086BCA" w14:textId="77777777" w:rsidR="00BF2553" w:rsidRPr="00EE1E58" w:rsidRDefault="00BF2553" w:rsidP="00D87D91">
      <w:r w:rsidRPr="00EE1E58">
        <w:rPr>
          <w:rFonts w:hint="eastAsia"/>
        </w:rPr>
        <w:t xml:space="preserve">　　</w:t>
      </w:r>
      <w:r w:rsidRPr="00EE1E58">
        <w:rPr>
          <w:rFonts w:hint="eastAsia"/>
        </w:rPr>
        <w:t>6</w:t>
      </w:r>
      <w:r w:rsidRPr="00EE1E58">
        <w:rPr>
          <w:rFonts w:hint="eastAsia"/>
        </w:rPr>
        <w:t>、監察權宜保留之，在鄭性澤殺警案之中，本書非常肯定監察院之調查作為，此亦證明常律和尚於本書推薦序中之主張，即我國憲法宜保留監察院之見解，實屬相當正確無誤之看法，本書認同之。</w:t>
      </w:r>
    </w:p>
    <w:p w14:paraId="141BE2F3" w14:textId="77777777" w:rsidR="00BF2553" w:rsidRPr="00EE1E58" w:rsidRDefault="00BF2553" w:rsidP="00D87D91">
      <w:r w:rsidRPr="00EE1E58">
        <w:rPr>
          <w:rFonts w:hint="eastAsia"/>
        </w:rPr>
        <w:t xml:space="preserve">　　</w:t>
      </w:r>
      <w:r w:rsidRPr="00EE1E58">
        <w:rPr>
          <w:rFonts w:hint="eastAsia"/>
        </w:rPr>
        <w:t>7</w:t>
      </w:r>
      <w:r w:rsidRPr="00EE1E58">
        <w:rPr>
          <w:rFonts w:hint="eastAsia"/>
        </w:rPr>
        <w:t>、由於司法警察之人權與法制觀念，亟待提升，故實不宜賦予司法警察所謂之雙偵查權，偵查權之主體，仍宜由檢察官主導，俾利檢察官能有效地控制司法警察之濫權。</w:t>
      </w:r>
    </w:p>
    <w:p w14:paraId="0CDE5175" w14:textId="77777777" w:rsidR="00953151" w:rsidRDefault="00BF2553" w:rsidP="00D87D91">
      <w:r w:rsidRPr="00EE1E58">
        <w:rPr>
          <w:rFonts w:hint="eastAsia"/>
        </w:rPr>
        <w:t xml:space="preserve">　　</w:t>
      </w:r>
      <w:r w:rsidRPr="00EE1E58">
        <w:rPr>
          <w:rFonts w:hint="eastAsia"/>
        </w:rPr>
        <w:t>8</w:t>
      </w:r>
      <w:r w:rsidRPr="00EE1E58">
        <w:rPr>
          <w:rFonts w:hint="eastAsia"/>
        </w:rPr>
        <w:t>、違法取得之證據，實不應具有任何之證據能力。假若，吾人肯定違法取得之證據，在特殊情形之下，具有證據能力，非常容易導致刑事司法系統將非殺人犯</w:t>
      </w:r>
      <w:r w:rsidR="00D92F56" w:rsidRPr="00EE1E58">
        <w:rPr>
          <w:rFonts w:hint="eastAsia"/>
        </w:rPr>
        <w:t>〜</w:t>
      </w:r>
      <w:r w:rsidRPr="00EE1E58">
        <w:rPr>
          <w:rFonts w:hint="eastAsia"/>
        </w:rPr>
        <w:t>如鄭性澤，誤判為殺人犯。故本書主張，違法取得之證據，實不應具有任何之「證據能力」。再者，此項之原則，宜加以入憲化為佳。此亦證明，本書所主張之宜將正當法律程序入憲化之重要性與必要性。</w:t>
      </w:r>
    </w:p>
    <w:p w14:paraId="47E7AC6D" w14:textId="77777777" w:rsidR="00EE1E58" w:rsidRPr="00EE1E58" w:rsidRDefault="00EE1E58" w:rsidP="00D87D91"/>
    <w:p w14:paraId="1DCEB0E9" w14:textId="77777777" w:rsidR="00203F72" w:rsidRPr="00A53581" w:rsidRDefault="005A482C" w:rsidP="00BC66E8">
      <w:pPr>
        <w:jc w:val="right"/>
        <w:rPr>
          <w:rFonts w:ascii="新細明體" w:hAnsi="新細明體"/>
        </w:rPr>
      </w:pPr>
      <w:r w:rsidRPr="0026266A">
        <w:rPr>
          <w:rFonts w:hint="eastAsia"/>
        </w:rPr>
        <w:t>。。。。。。。。。。。。。。。。。。。。。。。。</w:t>
      </w:r>
      <w:r w:rsidR="00EE1E58" w:rsidRPr="0026266A">
        <w:rPr>
          <w:rFonts w:hint="eastAsia"/>
        </w:rPr>
        <w:t>。</w:t>
      </w:r>
      <w:hyperlink w:anchor="top" w:history="1">
        <w:r w:rsidR="00EE1E58" w:rsidRPr="00E5474F">
          <w:rPr>
            <w:rStyle w:val="a5"/>
            <w:sz w:val="18"/>
          </w:rPr>
          <w:t>回首頁</w:t>
        </w:r>
      </w:hyperlink>
      <w:r w:rsidR="00E91F89">
        <w:rPr>
          <w:rFonts w:ascii="新細明體" w:hAnsi="新細明體"/>
          <w:color w:val="808000"/>
        </w:rPr>
        <w:t>〉〉</w:t>
      </w:r>
    </w:p>
    <w:p w14:paraId="1D658FEC" w14:textId="77777777" w:rsidR="00953151" w:rsidRDefault="00203F72" w:rsidP="00D87D91">
      <w:pPr>
        <w:pStyle w:val="1"/>
      </w:pPr>
      <w:bookmarkStart w:id="170" w:name="_參考書目"/>
      <w:bookmarkEnd w:id="170"/>
      <w:r w:rsidRPr="00DD6F88">
        <w:t>參考書目</w:t>
      </w:r>
    </w:p>
    <w:p w14:paraId="5C4F09D4" w14:textId="77777777" w:rsidR="00203F72" w:rsidRPr="00A53581" w:rsidRDefault="00203F72" w:rsidP="00767F37">
      <w:pPr>
        <w:pStyle w:val="2"/>
      </w:pPr>
      <w:bookmarkStart w:id="171" w:name="_中文參考文獻"/>
      <w:bookmarkEnd w:id="171"/>
      <w:r w:rsidRPr="00A53581">
        <w:t>中文參考文獻</w:t>
      </w:r>
      <w:r w:rsidRPr="00A53581">
        <w:t xml:space="preserve"> </w:t>
      </w:r>
    </w:p>
    <w:p w14:paraId="5F38F397" w14:textId="77777777" w:rsidR="004D7EB1" w:rsidRPr="004D7EB1" w:rsidRDefault="004D7EB1" w:rsidP="00D87D91">
      <w:r w:rsidRPr="004D7EB1">
        <w:rPr>
          <w:rFonts w:hint="eastAsia"/>
        </w:rPr>
        <w:t>◎</w:t>
      </w:r>
      <w:r w:rsidRPr="004D7EB1">
        <w:rPr>
          <w:rFonts w:hint="eastAsia"/>
        </w:rPr>
        <w:t>Jack Donnelly</w:t>
      </w:r>
      <w:r w:rsidRPr="004D7EB1">
        <w:rPr>
          <w:rFonts w:hint="eastAsia"/>
        </w:rPr>
        <w:t>原著，江素慧譯</w:t>
      </w:r>
      <w:r w:rsidRPr="004D7EB1">
        <w:rPr>
          <w:rFonts w:hint="eastAsia"/>
        </w:rPr>
        <w:t>(2007)</w:t>
      </w:r>
      <w:r w:rsidRPr="004D7EB1">
        <w:rPr>
          <w:rFonts w:hint="eastAsia"/>
        </w:rPr>
        <w:t>，普世人權：理論與實踐，臺北巿：巨流，頁</w:t>
      </w:r>
      <w:r w:rsidRPr="004D7EB1">
        <w:rPr>
          <w:rFonts w:hint="eastAsia"/>
        </w:rPr>
        <w:t>7-10</w:t>
      </w:r>
      <w:r w:rsidRPr="004D7EB1">
        <w:rPr>
          <w:rFonts w:hint="eastAsia"/>
        </w:rPr>
        <w:t>。</w:t>
      </w:r>
    </w:p>
    <w:p w14:paraId="26E5BF13" w14:textId="77777777" w:rsidR="004D7EB1" w:rsidRPr="004D7EB1" w:rsidRDefault="004D7EB1" w:rsidP="00D87D91">
      <w:r w:rsidRPr="004D7EB1">
        <w:rPr>
          <w:rFonts w:hint="eastAsia"/>
        </w:rPr>
        <w:t>◎刁仁國</w:t>
      </w:r>
      <w:r w:rsidRPr="004D7EB1">
        <w:rPr>
          <w:rFonts w:hint="eastAsia"/>
        </w:rPr>
        <w:t>(2001)</w:t>
      </w:r>
      <w:r w:rsidRPr="004D7EB1">
        <w:rPr>
          <w:rFonts w:hint="eastAsia"/>
        </w:rPr>
        <w:t>，外國人入出境管理法論，桃園：中央警察大學，民國</w:t>
      </w:r>
      <w:r w:rsidRPr="004D7EB1">
        <w:rPr>
          <w:rFonts w:hint="eastAsia"/>
        </w:rPr>
        <w:t>90</w:t>
      </w:r>
      <w:r w:rsidRPr="004D7EB1">
        <w:rPr>
          <w:rFonts w:hint="eastAsia"/>
        </w:rPr>
        <w:t>年</w:t>
      </w:r>
      <w:r w:rsidRPr="004D7EB1">
        <w:rPr>
          <w:rFonts w:hint="eastAsia"/>
        </w:rPr>
        <w:t>3</w:t>
      </w:r>
      <w:r w:rsidRPr="004D7EB1">
        <w:rPr>
          <w:rFonts w:hint="eastAsia"/>
        </w:rPr>
        <w:t>月，頁</w:t>
      </w:r>
      <w:r w:rsidRPr="004D7EB1">
        <w:rPr>
          <w:rFonts w:hint="eastAsia"/>
        </w:rPr>
        <w:t>1-23</w:t>
      </w:r>
      <w:r w:rsidRPr="004D7EB1">
        <w:rPr>
          <w:rFonts w:hint="eastAsia"/>
        </w:rPr>
        <w:t>。</w:t>
      </w:r>
    </w:p>
    <w:p w14:paraId="56DFFFDC" w14:textId="77777777" w:rsidR="004D7EB1" w:rsidRPr="004D7EB1" w:rsidRDefault="004D7EB1" w:rsidP="00D87D91">
      <w:r w:rsidRPr="004D7EB1">
        <w:rPr>
          <w:rFonts w:hint="eastAsia"/>
        </w:rPr>
        <w:t>◎刁仁國</w:t>
      </w:r>
      <w:r w:rsidRPr="004D7EB1">
        <w:rPr>
          <w:rFonts w:hint="eastAsia"/>
        </w:rPr>
        <w:t>(2010)</w:t>
      </w:r>
      <w:r w:rsidRPr="004D7EB1">
        <w:rPr>
          <w:rFonts w:hint="eastAsia"/>
        </w:rPr>
        <w:t>，淺論生物辨識技術在機場安全維護之運用與對隱私權之影響，發表於中央警察大學國境警察學系與移民研究中心共同舉辦之「國境管理與移民事務學術研討會」。</w:t>
      </w:r>
    </w:p>
    <w:p w14:paraId="6A679175" w14:textId="77777777" w:rsidR="004D7EB1" w:rsidRPr="004D7EB1" w:rsidRDefault="004D7EB1" w:rsidP="00D87D91">
      <w:r w:rsidRPr="004D7EB1">
        <w:rPr>
          <w:rFonts w:hint="eastAsia"/>
        </w:rPr>
        <w:t>◎刁仁國、許義寶、柯雨瑞</w:t>
      </w:r>
      <w:r w:rsidRPr="004D7EB1">
        <w:rPr>
          <w:rFonts w:hint="eastAsia"/>
        </w:rPr>
        <w:t>(1999)</w:t>
      </w:r>
      <w:r w:rsidRPr="004D7EB1">
        <w:rPr>
          <w:rFonts w:hint="eastAsia"/>
        </w:rPr>
        <w:t>，「國境警察因應『發展臺灣成為亞太營運中心』所面臨之問題現況與具體對策」，警學叢刊</w:t>
      </w:r>
      <w:r w:rsidRPr="004D7EB1">
        <w:rPr>
          <w:rFonts w:hint="eastAsia"/>
        </w:rPr>
        <w:t>30</w:t>
      </w:r>
      <w:r w:rsidRPr="004D7EB1">
        <w:rPr>
          <w:rFonts w:hint="eastAsia"/>
        </w:rPr>
        <w:t>卷</w:t>
      </w:r>
      <w:r w:rsidRPr="004D7EB1">
        <w:rPr>
          <w:rFonts w:hint="eastAsia"/>
        </w:rPr>
        <w:t>1</w:t>
      </w:r>
      <w:r w:rsidRPr="004D7EB1">
        <w:rPr>
          <w:rFonts w:hint="eastAsia"/>
        </w:rPr>
        <w:t>期。</w:t>
      </w:r>
    </w:p>
    <w:p w14:paraId="22441CFB" w14:textId="77777777" w:rsidR="004D7EB1" w:rsidRPr="004D7EB1" w:rsidRDefault="004D7EB1" w:rsidP="00D87D91">
      <w:r w:rsidRPr="004D7EB1">
        <w:rPr>
          <w:rFonts w:hint="eastAsia"/>
        </w:rPr>
        <w:t>◎中國勞工編輯部</w:t>
      </w:r>
      <w:r w:rsidRPr="004D7EB1">
        <w:rPr>
          <w:rFonts w:hint="eastAsia"/>
        </w:rPr>
        <w:t>(1992)</w:t>
      </w:r>
      <w:r w:rsidRPr="004D7EB1">
        <w:rPr>
          <w:rFonts w:hint="eastAsia"/>
        </w:rPr>
        <w:t>，首宗非法大陸勞工職業災害案例──雖為非法，只要有受僱用事實，仍可獲勞基法保障，中國勞工，第</w:t>
      </w:r>
      <w:r w:rsidRPr="004D7EB1">
        <w:rPr>
          <w:rFonts w:hint="eastAsia"/>
        </w:rPr>
        <w:t>907</w:t>
      </w:r>
      <w:r w:rsidRPr="004D7EB1">
        <w:rPr>
          <w:rFonts w:hint="eastAsia"/>
        </w:rPr>
        <w:t>期，頁</w:t>
      </w:r>
      <w:r w:rsidRPr="004D7EB1">
        <w:rPr>
          <w:rFonts w:hint="eastAsia"/>
        </w:rPr>
        <w:t>20</w:t>
      </w:r>
      <w:r w:rsidRPr="004D7EB1">
        <w:rPr>
          <w:rFonts w:hint="eastAsia"/>
        </w:rPr>
        <w:t>。</w:t>
      </w:r>
    </w:p>
    <w:p w14:paraId="2A189D1B" w14:textId="77777777" w:rsidR="004D7EB1" w:rsidRPr="004D7EB1" w:rsidRDefault="004D7EB1" w:rsidP="00D87D91">
      <w:r w:rsidRPr="004D7EB1">
        <w:rPr>
          <w:rFonts w:hint="eastAsia"/>
        </w:rPr>
        <w:t>◎手塚和彰原著</w:t>
      </w:r>
      <w:r w:rsidRPr="004D7EB1">
        <w:rPr>
          <w:rFonts w:hint="eastAsia"/>
        </w:rPr>
        <w:t>(1991)</w:t>
      </w:r>
      <w:r w:rsidRPr="004D7EB1">
        <w:rPr>
          <w:rFonts w:hint="eastAsia"/>
        </w:rPr>
        <w:t>，國際關係研究中心編譯，外籍勞工問題之探討，臺北：行政院勞工委員會，頁</w:t>
      </w:r>
      <w:r w:rsidRPr="004D7EB1">
        <w:rPr>
          <w:rFonts w:hint="eastAsia"/>
        </w:rPr>
        <w:t>290</w:t>
      </w:r>
      <w:r w:rsidRPr="004D7EB1">
        <w:rPr>
          <w:rFonts w:hint="eastAsia"/>
        </w:rPr>
        <w:t>至</w:t>
      </w:r>
      <w:r w:rsidRPr="004D7EB1">
        <w:rPr>
          <w:rFonts w:hint="eastAsia"/>
        </w:rPr>
        <w:t>308</w:t>
      </w:r>
      <w:r w:rsidRPr="004D7EB1">
        <w:rPr>
          <w:rFonts w:hint="eastAsia"/>
        </w:rPr>
        <w:t>。</w:t>
      </w:r>
    </w:p>
    <w:p w14:paraId="0D4FD912" w14:textId="77777777" w:rsidR="004D7EB1" w:rsidRPr="004D7EB1" w:rsidRDefault="004D7EB1" w:rsidP="00D87D91">
      <w:r w:rsidRPr="004D7EB1">
        <w:rPr>
          <w:rFonts w:hint="eastAsia"/>
        </w:rPr>
        <w:t>◎王仁弘</w:t>
      </w:r>
      <w:r w:rsidRPr="004D7EB1">
        <w:rPr>
          <w:rFonts w:hint="eastAsia"/>
        </w:rPr>
        <w:t>(2003)</w:t>
      </w:r>
      <w:r w:rsidRPr="004D7EB1">
        <w:rPr>
          <w:rFonts w:hint="eastAsia"/>
        </w:rPr>
        <w:t>，我國外國人收容政策執行之研究，國立臺北大學公共行政暨政策學系碩士論文。</w:t>
      </w:r>
    </w:p>
    <w:p w14:paraId="4B474D39" w14:textId="77777777" w:rsidR="004D7EB1" w:rsidRPr="004D7EB1" w:rsidRDefault="004D7EB1" w:rsidP="00D87D91">
      <w:r w:rsidRPr="004D7EB1">
        <w:rPr>
          <w:rFonts w:hint="eastAsia"/>
        </w:rPr>
        <w:t>◎王兆鵬</w:t>
      </w:r>
      <w:r w:rsidRPr="004D7EB1">
        <w:rPr>
          <w:rFonts w:hint="eastAsia"/>
        </w:rPr>
        <w:t xml:space="preserve">(2000). </w:t>
      </w:r>
      <w:r w:rsidRPr="004D7EB1">
        <w:rPr>
          <w:rFonts w:hint="eastAsia"/>
        </w:rPr>
        <w:t>搜索扣押與刑事被告的憲法權利，國立臺灣大學法學叢書（</w:t>
      </w:r>
      <w:r w:rsidRPr="004D7EB1">
        <w:rPr>
          <w:rFonts w:hint="eastAsia"/>
        </w:rPr>
        <w:t>124</w:t>
      </w:r>
      <w:r w:rsidRPr="004D7EB1">
        <w:rPr>
          <w:rFonts w:hint="eastAsia"/>
        </w:rPr>
        <w:t>），臺北：國立台灣大學。</w:t>
      </w:r>
    </w:p>
    <w:p w14:paraId="096A5AB4" w14:textId="77777777" w:rsidR="004D7EB1" w:rsidRPr="004D7EB1" w:rsidRDefault="004D7EB1" w:rsidP="00D87D91">
      <w:r w:rsidRPr="004D7EB1">
        <w:rPr>
          <w:rFonts w:hint="eastAsia"/>
        </w:rPr>
        <w:t>◎王孟平、張世強</w:t>
      </w:r>
      <w:r w:rsidRPr="004D7EB1">
        <w:rPr>
          <w:rFonts w:hint="eastAsia"/>
        </w:rPr>
        <w:t>(2010)</w:t>
      </w:r>
      <w:r w:rsidRPr="004D7EB1">
        <w:rPr>
          <w:rFonts w:hint="eastAsia"/>
        </w:rPr>
        <w:t>，涉外執法中的政治考量與人權爭議：美國亞利桑納州移民法爭議的借鏡與省思，收錄於中央警察大學外事警察研究所舉辦之「</w:t>
      </w:r>
      <w:r w:rsidRPr="004D7EB1">
        <w:rPr>
          <w:rFonts w:hint="eastAsia"/>
        </w:rPr>
        <w:t>2010</w:t>
      </w:r>
      <w:r w:rsidRPr="004D7EB1">
        <w:rPr>
          <w:rFonts w:hint="eastAsia"/>
        </w:rPr>
        <w:t>年涉外執法政策與實務學術研討會論文集」，頁</w:t>
      </w:r>
      <w:r w:rsidRPr="004D7EB1">
        <w:rPr>
          <w:rFonts w:hint="eastAsia"/>
        </w:rPr>
        <w:t>18-37</w:t>
      </w:r>
      <w:r w:rsidRPr="004D7EB1">
        <w:rPr>
          <w:rFonts w:hint="eastAsia"/>
        </w:rPr>
        <w:t>。</w:t>
      </w:r>
    </w:p>
    <w:p w14:paraId="50265A72" w14:textId="77777777" w:rsidR="004D7EB1" w:rsidRPr="004D7EB1" w:rsidRDefault="004D7EB1" w:rsidP="00D87D91">
      <w:r w:rsidRPr="004D7EB1">
        <w:rPr>
          <w:rFonts w:hint="eastAsia"/>
        </w:rPr>
        <w:t>◎王尚志</w:t>
      </w:r>
      <w:r w:rsidRPr="004D7EB1">
        <w:rPr>
          <w:rFonts w:hint="eastAsia"/>
        </w:rPr>
        <w:t>(2003)</w:t>
      </w:r>
      <w:r w:rsidRPr="004D7EB1">
        <w:rPr>
          <w:rFonts w:hint="eastAsia"/>
        </w:rPr>
        <w:t>，我國外籍勞工許可及管理法制與實踐之研究，國立臺灣海洋大學海洋法律研究所碩士論文，頁</w:t>
      </w:r>
      <w:r w:rsidRPr="004D7EB1">
        <w:rPr>
          <w:rFonts w:hint="eastAsia"/>
        </w:rPr>
        <w:t>152-154</w:t>
      </w:r>
      <w:r w:rsidRPr="004D7EB1">
        <w:rPr>
          <w:rFonts w:hint="eastAsia"/>
        </w:rPr>
        <w:t>。</w:t>
      </w:r>
    </w:p>
    <w:p w14:paraId="6A68A3F3" w14:textId="77777777" w:rsidR="004D7EB1" w:rsidRPr="004D7EB1" w:rsidRDefault="004D7EB1" w:rsidP="00D87D91">
      <w:r w:rsidRPr="004D7EB1">
        <w:rPr>
          <w:rFonts w:hint="eastAsia"/>
        </w:rPr>
        <w:t>◎王金香</w:t>
      </w:r>
      <w:r w:rsidRPr="004D7EB1">
        <w:rPr>
          <w:rFonts w:hint="eastAsia"/>
        </w:rPr>
        <w:t>(2005)</w:t>
      </w:r>
      <w:r w:rsidRPr="004D7EB1">
        <w:rPr>
          <w:rFonts w:hint="eastAsia"/>
        </w:rPr>
        <w:t>，中國禁毒史，上海：上海人民出版社，第</w:t>
      </w:r>
      <w:r w:rsidRPr="004D7EB1">
        <w:rPr>
          <w:rFonts w:hint="eastAsia"/>
        </w:rPr>
        <w:t>1</w:t>
      </w:r>
      <w:r w:rsidRPr="004D7EB1">
        <w:rPr>
          <w:rFonts w:hint="eastAsia"/>
        </w:rPr>
        <w:t>版，第</w:t>
      </w:r>
      <w:r w:rsidRPr="004D7EB1">
        <w:rPr>
          <w:rFonts w:hint="eastAsia"/>
        </w:rPr>
        <w:t>36-323</w:t>
      </w:r>
      <w:r w:rsidRPr="004D7EB1">
        <w:rPr>
          <w:rFonts w:hint="eastAsia"/>
        </w:rPr>
        <w:t>頁。</w:t>
      </w:r>
    </w:p>
    <w:p w14:paraId="4B6687A1" w14:textId="77777777" w:rsidR="004D7EB1" w:rsidRPr="004D7EB1" w:rsidRDefault="004D7EB1" w:rsidP="00D87D91">
      <w:r w:rsidRPr="004D7EB1">
        <w:rPr>
          <w:rFonts w:hint="eastAsia"/>
        </w:rPr>
        <w:t>◎王書錚</w:t>
      </w:r>
      <w:r w:rsidRPr="004D7EB1">
        <w:rPr>
          <w:rFonts w:hint="eastAsia"/>
        </w:rPr>
        <w:t>(2004)</w:t>
      </w:r>
      <w:r w:rsidRPr="004D7EB1">
        <w:rPr>
          <w:rFonts w:hint="eastAsia"/>
        </w:rPr>
        <w:t>，全球非法移民現況及發展之研究，收錄於非傳統性安全威脅研究報告第</w:t>
      </w:r>
      <w:r w:rsidRPr="004D7EB1">
        <w:rPr>
          <w:rFonts w:hint="eastAsia"/>
        </w:rPr>
        <w:t>3</w:t>
      </w:r>
      <w:r w:rsidRPr="004D7EB1">
        <w:rPr>
          <w:rFonts w:hint="eastAsia"/>
        </w:rPr>
        <w:t>輯，頁</w:t>
      </w:r>
      <w:r w:rsidRPr="004D7EB1">
        <w:rPr>
          <w:rFonts w:hint="eastAsia"/>
        </w:rPr>
        <w:t>217-240</w:t>
      </w:r>
      <w:r w:rsidRPr="004D7EB1">
        <w:rPr>
          <w:rFonts w:hint="eastAsia"/>
        </w:rPr>
        <w:t>。</w:t>
      </w:r>
    </w:p>
    <w:p w14:paraId="376E09F9" w14:textId="77777777" w:rsidR="004D7EB1" w:rsidRPr="004D7EB1" w:rsidRDefault="004D7EB1" w:rsidP="00D87D91">
      <w:r w:rsidRPr="004D7EB1">
        <w:rPr>
          <w:rFonts w:hint="eastAsia"/>
        </w:rPr>
        <w:t>◎王惠玲</w:t>
      </w:r>
      <w:r w:rsidRPr="004D7EB1">
        <w:rPr>
          <w:rFonts w:hint="eastAsia"/>
        </w:rPr>
        <w:t>(1991)</w:t>
      </w:r>
      <w:r w:rsidRPr="004D7EB1">
        <w:rPr>
          <w:rFonts w:hint="eastAsia"/>
        </w:rPr>
        <w:t>，德奧外籍勞工問題探討，中國文化大學勞工研究所與國際勞工研究資料中心共同舉辦之「經社變遷與勞工問題學術研討會」論文，頁</w:t>
      </w:r>
      <w:r w:rsidRPr="004D7EB1">
        <w:rPr>
          <w:rFonts w:hint="eastAsia"/>
        </w:rPr>
        <w:t>8</w:t>
      </w:r>
      <w:r w:rsidRPr="004D7EB1">
        <w:rPr>
          <w:rFonts w:hint="eastAsia"/>
        </w:rPr>
        <w:t>～</w:t>
      </w:r>
      <w:r w:rsidRPr="004D7EB1">
        <w:rPr>
          <w:rFonts w:hint="eastAsia"/>
        </w:rPr>
        <w:t>9</w:t>
      </w:r>
      <w:r w:rsidRPr="004D7EB1">
        <w:rPr>
          <w:rFonts w:hint="eastAsia"/>
        </w:rPr>
        <w:t>。</w:t>
      </w:r>
    </w:p>
    <w:p w14:paraId="1381712C" w14:textId="77777777" w:rsidR="004D7EB1" w:rsidRPr="004D7EB1" w:rsidRDefault="004D7EB1" w:rsidP="00D87D91">
      <w:r w:rsidRPr="004D7EB1">
        <w:rPr>
          <w:rFonts w:hint="eastAsia"/>
        </w:rPr>
        <w:t>◎王惠玲</w:t>
      </w:r>
      <w:r w:rsidRPr="004D7EB1">
        <w:rPr>
          <w:rFonts w:hint="eastAsia"/>
        </w:rPr>
        <w:t>(1993)</w:t>
      </w:r>
      <w:r w:rsidRPr="004D7EB1">
        <w:rPr>
          <w:rFonts w:hint="eastAsia"/>
        </w:rPr>
        <w:t>，德奧外籍勞工問題探討，國立政治大學勞動學報，第</w:t>
      </w:r>
      <w:r w:rsidRPr="004D7EB1">
        <w:rPr>
          <w:rFonts w:hint="eastAsia"/>
        </w:rPr>
        <w:t>1</w:t>
      </w:r>
      <w:r w:rsidRPr="004D7EB1">
        <w:rPr>
          <w:rFonts w:hint="eastAsia"/>
        </w:rPr>
        <w:t>～</w:t>
      </w:r>
      <w:r w:rsidRPr="004D7EB1">
        <w:rPr>
          <w:rFonts w:hint="eastAsia"/>
        </w:rPr>
        <w:t>17</w:t>
      </w:r>
      <w:r w:rsidRPr="004D7EB1">
        <w:rPr>
          <w:rFonts w:hint="eastAsia"/>
        </w:rPr>
        <w:t>頁。</w:t>
      </w:r>
    </w:p>
    <w:p w14:paraId="67DF650C" w14:textId="77777777" w:rsidR="004D7EB1" w:rsidRPr="004D7EB1" w:rsidRDefault="004D7EB1" w:rsidP="00D87D91">
      <w:r w:rsidRPr="004D7EB1">
        <w:rPr>
          <w:rFonts w:hint="eastAsia"/>
        </w:rPr>
        <w:t>◎王智盛</w:t>
      </w:r>
      <w:r w:rsidRPr="004D7EB1">
        <w:rPr>
          <w:rFonts w:hint="eastAsia"/>
        </w:rPr>
        <w:t>(2008)</w:t>
      </w:r>
      <w:r w:rsidRPr="004D7EB1">
        <w:rPr>
          <w:rFonts w:hint="eastAsia"/>
        </w:rPr>
        <w:t>，《兩岸人民關係條例的國家安全解析—以「台灣地區人民進入大陸地區」為例》，台灣大學國家發展研究所博士論文。</w:t>
      </w:r>
    </w:p>
    <w:p w14:paraId="003462D1" w14:textId="77777777" w:rsidR="004D7EB1" w:rsidRPr="004D7EB1" w:rsidRDefault="004D7EB1" w:rsidP="00D87D91">
      <w:r w:rsidRPr="004D7EB1">
        <w:rPr>
          <w:rFonts w:hint="eastAsia"/>
        </w:rPr>
        <w:t>◎王智盛</w:t>
      </w:r>
      <w:r w:rsidRPr="004D7EB1">
        <w:rPr>
          <w:rFonts w:hint="eastAsia"/>
        </w:rPr>
        <w:t>(2012)</w:t>
      </w:r>
      <w:r w:rsidRPr="004D7EB1">
        <w:rPr>
          <w:rFonts w:hint="eastAsia"/>
        </w:rPr>
        <w:t>，全球化下的人才競逐—臺灣專技移民法制的探討，收錄於中央警察大學移民研究中心主辦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14:paraId="74BF9D27" w14:textId="77777777" w:rsidR="004D7EB1" w:rsidRPr="004D7EB1" w:rsidRDefault="004D7EB1" w:rsidP="00D87D91">
      <w:r w:rsidRPr="004D7EB1">
        <w:rPr>
          <w:rFonts w:hint="eastAsia"/>
        </w:rPr>
        <w:t>◎王寬弘</w:t>
      </w:r>
      <w:r w:rsidRPr="004D7EB1">
        <w:rPr>
          <w:rFonts w:hint="eastAsia"/>
        </w:rPr>
        <w:t>(2010)</w:t>
      </w:r>
      <w:r w:rsidRPr="004D7EB1">
        <w:rPr>
          <w:rFonts w:hint="eastAsia"/>
        </w:rPr>
        <w:t>，我國警察機關防制人口販運執行作為之實證調查研究，發表於中央警察大學國境警察學系與移民研究中心共同舉辦之「國境管理與移民事務學術研討會」。</w:t>
      </w:r>
    </w:p>
    <w:p w14:paraId="75FCC7F8" w14:textId="77777777" w:rsidR="004D7EB1" w:rsidRPr="004D7EB1" w:rsidRDefault="004D7EB1" w:rsidP="00D87D91">
      <w:r w:rsidRPr="004D7EB1">
        <w:rPr>
          <w:rFonts w:hint="eastAsia"/>
        </w:rPr>
        <w:t>◎王寬弘、柯雨瑞</w:t>
      </w:r>
      <w:r w:rsidRPr="004D7EB1">
        <w:rPr>
          <w:rFonts w:hint="eastAsia"/>
        </w:rPr>
        <w:t>(1998)</w:t>
      </w:r>
      <w:r w:rsidRPr="004D7EB1">
        <w:rPr>
          <w:rFonts w:hint="eastAsia"/>
        </w:rPr>
        <w:t>，國境警察、外事警察與入出國及移民署危害防止任務分配之研究，發表於中央警察大學國境警察學術研討會。</w:t>
      </w:r>
    </w:p>
    <w:p w14:paraId="7D906568" w14:textId="77777777" w:rsidR="004D7EB1" w:rsidRPr="004D7EB1" w:rsidRDefault="004D7EB1" w:rsidP="00D87D91">
      <w:r w:rsidRPr="004D7EB1">
        <w:rPr>
          <w:rFonts w:hint="eastAsia"/>
        </w:rPr>
        <w:t>◎王寬弘、柯雨瑞</w:t>
      </w:r>
      <w:r w:rsidRPr="004D7EB1">
        <w:rPr>
          <w:rFonts w:hint="eastAsia"/>
        </w:rPr>
        <w:t>(1999)</w:t>
      </w:r>
      <w:r w:rsidRPr="004D7EB1">
        <w:rPr>
          <w:rFonts w:hint="eastAsia"/>
        </w:rPr>
        <w:t>，「美國</w:t>
      </w:r>
      <w:r w:rsidRPr="004D7EB1">
        <w:rPr>
          <w:rFonts w:hint="eastAsia"/>
        </w:rPr>
        <w:t>1996</w:t>
      </w:r>
      <w:r w:rsidRPr="004D7EB1">
        <w:rPr>
          <w:rFonts w:hint="eastAsia"/>
        </w:rPr>
        <w:t>年移民及國籍法」收容、遣返及司法審查制度之介紹，發表於中央警察大學國境警察學術研討會。</w:t>
      </w:r>
    </w:p>
    <w:p w14:paraId="278F51C6" w14:textId="77777777" w:rsidR="004D7EB1" w:rsidRPr="004D7EB1" w:rsidRDefault="004D7EB1" w:rsidP="00D87D91">
      <w:r w:rsidRPr="004D7EB1">
        <w:rPr>
          <w:rFonts w:hint="eastAsia"/>
        </w:rPr>
        <w:t>◎王寬弘、柯雨瑞</w:t>
      </w:r>
      <w:r w:rsidRPr="004D7EB1">
        <w:rPr>
          <w:rFonts w:hint="eastAsia"/>
        </w:rPr>
        <w:t>(1999)</w:t>
      </w:r>
      <w:r w:rsidRPr="004D7EB1">
        <w:rPr>
          <w:rFonts w:hint="eastAsia"/>
        </w:rPr>
        <w:t>，國境警察、外事警察及「入出國及移民署」危害防止任務分配之比較分析，警學叢刊</w:t>
      </w:r>
      <w:r w:rsidRPr="004D7EB1">
        <w:rPr>
          <w:rFonts w:hint="eastAsia"/>
        </w:rPr>
        <w:t>29</w:t>
      </w:r>
      <w:r w:rsidRPr="004D7EB1">
        <w:rPr>
          <w:rFonts w:hint="eastAsia"/>
        </w:rPr>
        <w:t>卷</w:t>
      </w:r>
      <w:r w:rsidRPr="004D7EB1">
        <w:rPr>
          <w:rFonts w:hint="eastAsia"/>
        </w:rPr>
        <w:t>4</w:t>
      </w:r>
      <w:r w:rsidRPr="004D7EB1">
        <w:rPr>
          <w:rFonts w:hint="eastAsia"/>
        </w:rPr>
        <w:t>期。</w:t>
      </w:r>
    </w:p>
    <w:p w14:paraId="4040F0AC" w14:textId="77777777" w:rsidR="004D7EB1" w:rsidRPr="004D7EB1" w:rsidRDefault="004D7EB1" w:rsidP="00D87D91">
      <w:r w:rsidRPr="004D7EB1">
        <w:rPr>
          <w:rFonts w:hint="eastAsia"/>
        </w:rPr>
        <w:t>◎王寬弘、柯雨瑞</w:t>
      </w:r>
      <w:r w:rsidRPr="004D7EB1">
        <w:rPr>
          <w:rFonts w:hint="eastAsia"/>
        </w:rPr>
        <w:t>(2000)</w:t>
      </w:r>
      <w:r w:rsidRPr="004D7EB1">
        <w:rPr>
          <w:rFonts w:hint="eastAsia"/>
        </w:rPr>
        <w:t>，「美國</w:t>
      </w:r>
      <w:r w:rsidRPr="004D7EB1">
        <w:rPr>
          <w:rFonts w:hint="eastAsia"/>
        </w:rPr>
        <w:t>1996</w:t>
      </w:r>
      <w:r w:rsidRPr="004D7EB1">
        <w:rPr>
          <w:rFonts w:hint="eastAsia"/>
        </w:rPr>
        <w:t>年移民及國籍法」收容、遣返及司法審查制度之介紹，警學叢刊</w:t>
      </w:r>
      <w:r w:rsidRPr="004D7EB1">
        <w:rPr>
          <w:rFonts w:hint="eastAsia"/>
        </w:rPr>
        <w:t>30</w:t>
      </w:r>
      <w:r w:rsidRPr="004D7EB1">
        <w:rPr>
          <w:rFonts w:hint="eastAsia"/>
        </w:rPr>
        <w:t>卷</w:t>
      </w:r>
      <w:r w:rsidRPr="004D7EB1">
        <w:rPr>
          <w:rFonts w:hint="eastAsia"/>
        </w:rPr>
        <w:t>5</w:t>
      </w:r>
      <w:r w:rsidRPr="004D7EB1">
        <w:rPr>
          <w:rFonts w:hint="eastAsia"/>
        </w:rPr>
        <w:t>期。</w:t>
      </w:r>
    </w:p>
    <w:p w14:paraId="165DC4DD" w14:textId="77777777" w:rsidR="004D7EB1" w:rsidRPr="004D7EB1" w:rsidRDefault="004D7EB1" w:rsidP="00D87D91">
      <w:r w:rsidRPr="004D7EB1">
        <w:rPr>
          <w:rFonts w:hint="eastAsia"/>
        </w:rPr>
        <w:t>◎王寬弘、柯雨瑞、簡建章、許義寶</w:t>
      </w:r>
      <w:r w:rsidRPr="004D7EB1">
        <w:rPr>
          <w:rFonts w:hint="eastAsia"/>
        </w:rPr>
        <w:t>(1999)</w:t>
      </w:r>
      <w:r w:rsidRPr="004D7EB1">
        <w:rPr>
          <w:rFonts w:hint="eastAsia"/>
        </w:rPr>
        <w:t>，大陸地區人民收容及遣返問題之研究，警學叢刊</w:t>
      </w:r>
      <w:r w:rsidRPr="004D7EB1">
        <w:rPr>
          <w:rFonts w:hint="eastAsia"/>
        </w:rPr>
        <w:t>30</w:t>
      </w:r>
      <w:r w:rsidRPr="004D7EB1">
        <w:rPr>
          <w:rFonts w:hint="eastAsia"/>
        </w:rPr>
        <w:t>卷</w:t>
      </w:r>
      <w:r w:rsidRPr="004D7EB1">
        <w:rPr>
          <w:rFonts w:hint="eastAsia"/>
        </w:rPr>
        <w:t>2</w:t>
      </w:r>
      <w:r w:rsidRPr="004D7EB1">
        <w:rPr>
          <w:rFonts w:hint="eastAsia"/>
        </w:rPr>
        <w:t>期。</w:t>
      </w:r>
    </w:p>
    <w:p w14:paraId="2656059D" w14:textId="77777777" w:rsidR="004D7EB1" w:rsidRPr="004D7EB1" w:rsidRDefault="004D7EB1" w:rsidP="00D87D91">
      <w:r w:rsidRPr="004D7EB1">
        <w:rPr>
          <w:rFonts w:hint="eastAsia"/>
        </w:rPr>
        <w:t>◎王寬弘、陳佩雯</w:t>
      </w:r>
      <w:r w:rsidRPr="004D7EB1">
        <w:rPr>
          <w:rFonts w:hint="eastAsia"/>
        </w:rPr>
        <w:t>(2012)</w:t>
      </w:r>
      <w:r w:rsidRPr="004D7EB1">
        <w:rPr>
          <w:rFonts w:hint="eastAsia"/>
        </w:rPr>
        <w:t>，我國查緝人口販運困境研究─以警察、移民機關為例，收錄於中央警察大學移民研究中心主辦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14:paraId="4D221BC5" w14:textId="77777777" w:rsidR="004D7EB1" w:rsidRPr="004D7EB1" w:rsidRDefault="004D7EB1" w:rsidP="00D87D91">
      <w:r w:rsidRPr="004D7EB1">
        <w:rPr>
          <w:rFonts w:hint="eastAsia"/>
        </w:rPr>
        <w:t>◎王寬弘、簡建章、柯雨瑞</w:t>
      </w:r>
      <w:r w:rsidRPr="004D7EB1">
        <w:rPr>
          <w:rFonts w:hint="eastAsia"/>
        </w:rPr>
        <w:t>(1998)</w:t>
      </w:r>
      <w:r w:rsidRPr="004D7EB1">
        <w:rPr>
          <w:rFonts w:hint="eastAsia"/>
        </w:rPr>
        <w:t>，我國商港安全檢查理論與實務，警學叢刊第</w:t>
      </w:r>
      <w:r w:rsidRPr="004D7EB1">
        <w:rPr>
          <w:rFonts w:hint="eastAsia"/>
        </w:rPr>
        <w:t>28</w:t>
      </w:r>
      <w:r w:rsidRPr="004D7EB1">
        <w:rPr>
          <w:rFonts w:hint="eastAsia"/>
        </w:rPr>
        <w:t>卷第</w:t>
      </w:r>
      <w:r w:rsidRPr="004D7EB1">
        <w:rPr>
          <w:rFonts w:hint="eastAsia"/>
        </w:rPr>
        <w:t>5</w:t>
      </w:r>
      <w:r w:rsidRPr="004D7EB1">
        <w:rPr>
          <w:rFonts w:hint="eastAsia"/>
        </w:rPr>
        <w:t>期。</w:t>
      </w:r>
    </w:p>
    <w:p w14:paraId="30903633" w14:textId="77777777" w:rsidR="004D7EB1" w:rsidRPr="004D7EB1" w:rsidRDefault="004D7EB1" w:rsidP="00D87D91">
      <w:r w:rsidRPr="004D7EB1">
        <w:rPr>
          <w:rFonts w:hint="eastAsia"/>
        </w:rPr>
        <w:t>◎王士帆譯</w:t>
      </w:r>
      <w:r w:rsidRPr="004D7EB1">
        <w:rPr>
          <w:rFonts w:hint="eastAsia"/>
        </w:rPr>
        <w:t>(2014)</w:t>
      </w:r>
      <w:r w:rsidRPr="004D7EB1">
        <w:rPr>
          <w:rFonts w:hint="eastAsia"/>
        </w:rPr>
        <w:t>，</w:t>
      </w:r>
      <w:r w:rsidRPr="004D7EB1">
        <w:rPr>
          <w:rFonts w:hint="eastAsia"/>
        </w:rPr>
        <w:t xml:space="preserve">Helmut Satzger </w:t>
      </w:r>
      <w:r w:rsidRPr="004D7EB1">
        <w:rPr>
          <w:rFonts w:hint="eastAsia"/>
        </w:rPr>
        <w:t>著，國際刑法與歐洲刑法，初版第</w:t>
      </w:r>
      <w:r w:rsidRPr="004D7EB1">
        <w:rPr>
          <w:rFonts w:hint="eastAsia"/>
        </w:rPr>
        <w:t>1</w:t>
      </w:r>
      <w:r w:rsidRPr="004D7EB1">
        <w:rPr>
          <w:rFonts w:hint="eastAsia"/>
        </w:rPr>
        <w:t>刷，台北：元照。</w:t>
      </w:r>
    </w:p>
    <w:p w14:paraId="277C1001" w14:textId="77777777" w:rsidR="004D7EB1" w:rsidRPr="004D7EB1" w:rsidRDefault="004D7EB1" w:rsidP="00D87D91">
      <w:r w:rsidRPr="004D7EB1">
        <w:rPr>
          <w:rFonts w:hint="eastAsia"/>
        </w:rPr>
        <w:t>◎丘宏達</w:t>
      </w:r>
      <w:r w:rsidRPr="004D7EB1">
        <w:rPr>
          <w:rFonts w:hint="eastAsia"/>
        </w:rPr>
        <w:t>(2002)</w:t>
      </w:r>
      <w:r w:rsidRPr="004D7EB1">
        <w:rPr>
          <w:rFonts w:hint="eastAsia"/>
        </w:rPr>
        <w:t>，現代國際法，台北：三民書局，</w:t>
      </w:r>
      <w:r w:rsidRPr="004D7EB1">
        <w:rPr>
          <w:rFonts w:hint="eastAsia"/>
        </w:rPr>
        <w:t>2002</w:t>
      </w:r>
      <w:r w:rsidRPr="004D7EB1">
        <w:rPr>
          <w:rFonts w:hint="eastAsia"/>
        </w:rPr>
        <w:t>年，頁</w:t>
      </w:r>
      <w:r w:rsidRPr="004D7EB1">
        <w:rPr>
          <w:rFonts w:hint="eastAsia"/>
        </w:rPr>
        <w:t>167-180</w:t>
      </w:r>
      <w:r w:rsidRPr="004D7EB1">
        <w:rPr>
          <w:rFonts w:hint="eastAsia"/>
        </w:rPr>
        <w:t>。</w:t>
      </w:r>
    </w:p>
    <w:p w14:paraId="5D7EC928" w14:textId="77777777" w:rsidR="004D7EB1" w:rsidRPr="004D7EB1" w:rsidRDefault="004D7EB1" w:rsidP="00D87D91">
      <w:r w:rsidRPr="004D7EB1">
        <w:rPr>
          <w:rFonts w:hint="eastAsia"/>
        </w:rPr>
        <w:t>◎丘宏達</w:t>
      </w:r>
      <w:r w:rsidRPr="004D7EB1">
        <w:rPr>
          <w:rFonts w:hint="eastAsia"/>
        </w:rPr>
        <w:t>(2006)</w:t>
      </w:r>
      <w:r w:rsidRPr="004D7EB1">
        <w:rPr>
          <w:rFonts w:hint="eastAsia"/>
        </w:rPr>
        <w:t>，現代國際法，修訂</w:t>
      </w:r>
      <w:r w:rsidRPr="004D7EB1">
        <w:rPr>
          <w:rFonts w:hint="eastAsia"/>
        </w:rPr>
        <w:t>2</w:t>
      </w:r>
      <w:r w:rsidRPr="004D7EB1">
        <w:rPr>
          <w:rFonts w:hint="eastAsia"/>
        </w:rPr>
        <w:t>版，臺北：三民書局，頁</w:t>
      </w:r>
      <w:r w:rsidRPr="004D7EB1">
        <w:rPr>
          <w:rFonts w:hint="eastAsia"/>
        </w:rPr>
        <w:t>454-455</w:t>
      </w:r>
      <w:r w:rsidRPr="004D7EB1">
        <w:rPr>
          <w:rFonts w:hint="eastAsia"/>
        </w:rPr>
        <w:t>。</w:t>
      </w:r>
    </w:p>
    <w:p w14:paraId="63F7F8B8" w14:textId="77777777" w:rsidR="004D7EB1" w:rsidRPr="004D7EB1" w:rsidRDefault="004D7EB1" w:rsidP="00D87D91">
      <w:r w:rsidRPr="004D7EB1">
        <w:rPr>
          <w:rFonts w:hint="eastAsia"/>
        </w:rPr>
        <w:t>◎司法行政院犯罪問題研究中心</w:t>
      </w:r>
      <w:r w:rsidRPr="004D7EB1">
        <w:rPr>
          <w:rFonts w:hint="eastAsia"/>
        </w:rPr>
        <w:t xml:space="preserve">(1966). </w:t>
      </w:r>
      <w:r w:rsidRPr="004D7EB1">
        <w:rPr>
          <w:rFonts w:hint="eastAsia"/>
        </w:rPr>
        <w:t>煙毒犯問題之研究，初版，臺北：司法行政部，第</w:t>
      </w:r>
      <w:r w:rsidRPr="004D7EB1">
        <w:rPr>
          <w:rFonts w:hint="eastAsia"/>
        </w:rPr>
        <w:t>15</w:t>
      </w:r>
      <w:r w:rsidRPr="004D7EB1">
        <w:rPr>
          <w:rFonts w:hint="eastAsia"/>
        </w:rPr>
        <w:t>頁。</w:t>
      </w:r>
    </w:p>
    <w:p w14:paraId="3B0D87FB" w14:textId="77777777" w:rsidR="004D7EB1" w:rsidRPr="004D7EB1" w:rsidRDefault="004D7EB1" w:rsidP="00D87D91">
      <w:r w:rsidRPr="004D7EB1">
        <w:rPr>
          <w:rFonts w:hint="eastAsia"/>
        </w:rPr>
        <w:t>◎立法院</w:t>
      </w:r>
      <w:r w:rsidRPr="004D7EB1">
        <w:rPr>
          <w:rFonts w:hint="eastAsia"/>
        </w:rPr>
        <w:t xml:space="preserve">(1955). </w:t>
      </w:r>
      <w:r w:rsidRPr="004D7EB1">
        <w:rPr>
          <w:rFonts w:hint="eastAsia"/>
        </w:rPr>
        <w:t>立法院公報，第</w:t>
      </w:r>
      <w:r w:rsidRPr="004D7EB1">
        <w:rPr>
          <w:rFonts w:hint="eastAsia"/>
        </w:rPr>
        <w:t>15</w:t>
      </w:r>
      <w:r w:rsidRPr="004D7EB1">
        <w:rPr>
          <w:rFonts w:hint="eastAsia"/>
        </w:rPr>
        <w:t>會期</w:t>
      </w:r>
      <w:r w:rsidRPr="004D7EB1">
        <w:rPr>
          <w:rFonts w:hint="eastAsia"/>
        </w:rPr>
        <w:t>1-5</w:t>
      </w:r>
      <w:r w:rsidRPr="004D7EB1">
        <w:rPr>
          <w:rFonts w:hint="eastAsia"/>
        </w:rPr>
        <w:t>期，第</w:t>
      </w:r>
      <w:r w:rsidRPr="004D7EB1">
        <w:rPr>
          <w:rFonts w:hint="eastAsia"/>
        </w:rPr>
        <w:t>76-234</w:t>
      </w:r>
      <w:r w:rsidRPr="004D7EB1">
        <w:rPr>
          <w:rFonts w:hint="eastAsia"/>
        </w:rPr>
        <w:t>頁。</w:t>
      </w:r>
    </w:p>
    <w:p w14:paraId="1126798F" w14:textId="77777777" w:rsidR="004D7EB1" w:rsidRPr="004D7EB1" w:rsidRDefault="004D7EB1" w:rsidP="00D87D91">
      <w:r w:rsidRPr="004D7EB1">
        <w:rPr>
          <w:rFonts w:hint="eastAsia"/>
        </w:rPr>
        <w:t>◎立法院</w:t>
      </w:r>
      <w:r w:rsidRPr="004D7EB1">
        <w:rPr>
          <w:rFonts w:hint="eastAsia"/>
        </w:rPr>
        <w:t xml:space="preserve">(1994). </w:t>
      </w:r>
      <w:r w:rsidRPr="004D7EB1">
        <w:rPr>
          <w:rFonts w:hint="eastAsia"/>
        </w:rPr>
        <w:t>立法院公報，第</w:t>
      </w:r>
      <w:r w:rsidRPr="004D7EB1">
        <w:rPr>
          <w:rFonts w:hint="eastAsia"/>
        </w:rPr>
        <w:t>83</w:t>
      </w:r>
      <w:r w:rsidRPr="004D7EB1">
        <w:rPr>
          <w:rFonts w:hint="eastAsia"/>
        </w:rPr>
        <w:t>卷第</w:t>
      </w:r>
      <w:r w:rsidRPr="004D7EB1">
        <w:rPr>
          <w:rFonts w:hint="eastAsia"/>
        </w:rPr>
        <w:t>83</w:t>
      </w:r>
      <w:r w:rsidRPr="004D7EB1">
        <w:rPr>
          <w:rFonts w:hint="eastAsia"/>
        </w:rPr>
        <w:t>期（下），第</w:t>
      </w:r>
      <w:r w:rsidRPr="004D7EB1">
        <w:rPr>
          <w:rFonts w:hint="eastAsia"/>
        </w:rPr>
        <w:t>337-364</w:t>
      </w:r>
      <w:r w:rsidRPr="004D7EB1">
        <w:rPr>
          <w:rFonts w:hint="eastAsia"/>
        </w:rPr>
        <w:t>。</w:t>
      </w:r>
    </w:p>
    <w:p w14:paraId="0C122078" w14:textId="77777777" w:rsidR="004D7EB1" w:rsidRPr="004D7EB1" w:rsidRDefault="004D7EB1" w:rsidP="00D87D91">
      <w:r w:rsidRPr="004D7EB1">
        <w:rPr>
          <w:rFonts w:hint="eastAsia"/>
        </w:rPr>
        <w:t>◎立法院</w:t>
      </w:r>
      <w:r w:rsidRPr="004D7EB1">
        <w:rPr>
          <w:rFonts w:hint="eastAsia"/>
        </w:rPr>
        <w:t xml:space="preserve">(2003). </w:t>
      </w:r>
      <w:r w:rsidRPr="004D7EB1">
        <w:rPr>
          <w:rFonts w:hint="eastAsia"/>
        </w:rPr>
        <w:t>立法院公報，第</w:t>
      </w:r>
      <w:r w:rsidRPr="004D7EB1">
        <w:rPr>
          <w:rFonts w:hint="eastAsia"/>
        </w:rPr>
        <w:t>92</w:t>
      </w:r>
      <w:r w:rsidRPr="004D7EB1">
        <w:rPr>
          <w:rFonts w:hint="eastAsia"/>
        </w:rPr>
        <w:t>卷第</w:t>
      </w:r>
      <w:r w:rsidRPr="004D7EB1">
        <w:rPr>
          <w:rFonts w:hint="eastAsia"/>
        </w:rPr>
        <w:t>30</w:t>
      </w:r>
      <w:r w:rsidRPr="004D7EB1">
        <w:rPr>
          <w:rFonts w:hint="eastAsia"/>
        </w:rPr>
        <w:t>期（上），第</w:t>
      </w:r>
      <w:r w:rsidRPr="004D7EB1">
        <w:rPr>
          <w:rFonts w:hint="eastAsia"/>
        </w:rPr>
        <w:t>155-181</w:t>
      </w:r>
      <w:r w:rsidRPr="004D7EB1">
        <w:rPr>
          <w:rFonts w:hint="eastAsia"/>
        </w:rPr>
        <w:t>頁。</w:t>
      </w:r>
    </w:p>
    <w:p w14:paraId="2E7453F1" w14:textId="77777777" w:rsidR="004D7EB1" w:rsidRPr="004D7EB1" w:rsidRDefault="004D7EB1" w:rsidP="00D87D91">
      <w:r w:rsidRPr="004D7EB1">
        <w:rPr>
          <w:rFonts w:hint="eastAsia"/>
        </w:rPr>
        <w:t>◎成之約</w:t>
      </w:r>
      <w:r w:rsidRPr="004D7EB1">
        <w:rPr>
          <w:rFonts w:hint="eastAsia"/>
        </w:rPr>
        <w:t>(1992)</w:t>
      </w:r>
      <w:r w:rsidRPr="004D7EB1">
        <w:rPr>
          <w:rFonts w:hint="eastAsia"/>
        </w:rPr>
        <w:t>，十四項重要工程得標業者聘僱海外補充勞工措施之追蹤調查評估，就業與訓練，第</w:t>
      </w:r>
      <w:r w:rsidRPr="004D7EB1">
        <w:rPr>
          <w:rFonts w:hint="eastAsia"/>
        </w:rPr>
        <w:t>10</w:t>
      </w:r>
      <w:r w:rsidRPr="004D7EB1">
        <w:rPr>
          <w:rFonts w:hint="eastAsia"/>
        </w:rPr>
        <w:t>卷第</w:t>
      </w:r>
      <w:r w:rsidRPr="004D7EB1">
        <w:rPr>
          <w:rFonts w:hint="eastAsia"/>
        </w:rPr>
        <w:t>5</w:t>
      </w:r>
      <w:r w:rsidRPr="004D7EB1">
        <w:rPr>
          <w:rFonts w:hint="eastAsia"/>
        </w:rPr>
        <w:t>期，第</w:t>
      </w:r>
      <w:r w:rsidRPr="004D7EB1">
        <w:rPr>
          <w:rFonts w:hint="eastAsia"/>
        </w:rPr>
        <w:t>6</w:t>
      </w:r>
      <w:r w:rsidRPr="004D7EB1">
        <w:rPr>
          <w:rFonts w:hint="eastAsia"/>
        </w:rPr>
        <w:t>～</w:t>
      </w:r>
      <w:r w:rsidRPr="004D7EB1">
        <w:rPr>
          <w:rFonts w:hint="eastAsia"/>
        </w:rPr>
        <w:t>9</w:t>
      </w:r>
      <w:r w:rsidRPr="004D7EB1">
        <w:rPr>
          <w:rFonts w:hint="eastAsia"/>
        </w:rPr>
        <w:t>頁。</w:t>
      </w:r>
    </w:p>
    <w:p w14:paraId="3FC50ECE" w14:textId="77777777" w:rsidR="004D7EB1" w:rsidRPr="004D7EB1" w:rsidRDefault="004D7EB1" w:rsidP="00D87D91">
      <w:r w:rsidRPr="004D7EB1">
        <w:rPr>
          <w:rFonts w:hint="eastAsia"/>
        </w:rPr>
        <w:t>◎成之約</w:t>
      </w:r>
      <w:r w:rsidRPr="004D7EB1">
        <w:rPr>
          <w:rFonts w:hint="eastAsia"/>
        </w:rPr>
        <w:t>(1993)</w:t>
      </w:r>
      <w:r w:rsidRPr="004D7EB1">
        <w:rPr>
          <w:rFonts w:hint="eastAsia"/>
        </w:rPr>
        <w:t>，美國移入勞動人口問題及相關政策之探討，勞動學報第</w:t>
      </w:r>
      <w:r w:rsidRPr="004D7EB1">
        <w:rPr>
          <w:rFonts w:hint="eastAsia"/>
        </w:rPr>
        <w:t>3</w:t>
      </w:r>
      <w:r w:rsidRPr="004D7EB1">
        <w:rPr>
          <w:rFonts w:hint="eastAsia"/>
        </w:rPr>
        <w:t>期，第</w:t>
      </w:r>
      <w:r w:rsidRPr="004D7EB1">
        <w:rPr>
          <w:rFonts w:hint="eastAsia"/>
        </w:rPr>
        <w:t>69</w:t>
      </w:r>
      <w:r w:rsidRPr="004D7EB1">
        <w:rPr>
          <w:rFonts w:hint="eastAsia"/>
        </w:rPr>
        <w:t>～</w:t>
      </w:r>
      <w:r w:rsidRPr="004D7EB1">
        <w:rPr>
          <w:rFonts w:hint="eastAsia"/>
        </w:rPr>
        <w:t>84</w:t>
      </w:r>
      <w:r w:rsidRPr="004D7EB1">
        <w:rPr>
          <w:rFonts w:hint="eastAsia"/>
        </w:rPr>
        <w:t>頁。</w:t>
      </w:r>
    </w:p>
    <w:p w14:paraId="05D5CEE7" w14:textId="77777777" w:rsidR="004D7EB1" w:rsidRPr="004D7EB1" w:rsidRDefault="004D7EB1" w:rsidP="00D87D91">
      <w:r w:rsidRPr="004D7EB1">
        <w:rPr>
          <w:rFonts w:hint="eastAsia"/>
        </w:rPr>
        <w:t>◎朱愛群</w:t>
      </w:r>
      <w:r w:rsidRPr="004D7EB1">
        <w:rPr>
          <w:rFonts w:hint="eastAsia"/>
        </w:rPr>
        <w:t>(1994)</w:t>
      </w:r>
      <w:r w:rsidRPr="004D7EB1">
        <w:rPr>
          <w:rFonts w:hint="eastAsia"/>
        </w:rPr>
        <w:t>，論德國外籍勞工管理及其法令之探討，中央警察大學外事警察學術研討會外籍勞工管理論文集，頁</w:t>
      </w:r>
      <w:r w:rsidRPr="004D7EB1">
        <w:rPr>
          <w:rFonts w:hint="eastAsia"/>
        </w:rPr>
        <w:t>152</w:t>
      </w:r>
      <w:r w:rsidRPr="004D7EB1">
        <w:rPr>
          <w:rFonts w:hint="eastAsia"/>
        </w:rPr>
        <w:t>。</w:t>
      </w:r>
    </w:p>
    <w:p w14:paraId="766F3421" w14:textId="77777777" w:rsidR="004D7EB1" w:rsidRPr="004D7EB1" w:rsidRDefault="004D7EB1" w:rsidP="00D87D91">
      <w:r w:rsidRPr="004D7EB1">
        <w:rPr>
          <w:rFonts w:hint="eastAsia"/>
        </w:rPr>
        <w:t>◎江世雄</w:t>
      </w:r>
      <w:r w:rsidRPr="004D7EB1">
        <w:rPr>
          <w:rFonts w:hint="eastAsia"/>
        </w:rPr>
        <w:t>(2013)</w:t>
      </w:r>
      <w:r w:rsidRPr="004D7EB1">
        <w:rPr>
          <w:rFonts w:hint="eastAsia"/>
        </w:rPr>
        <w:t>，〈論刑事司法互助之基本理論與其在海峽兩岸的實踐困境〉，《涉外執法與政策學報》第</w:t>
      </w:r>
      <w:r w:rsidRPr="004D7EB1">
        <w:rPr>
          <w:rFonts w:hint="eastAsia"/>
        </w:rPr>
        <w:t>3</w:t>
      </w:r>
      <w:r w:rsidRPr="004D7EB1">
        <w:rPr>
          <w:rFonts w:hint="eastAsia"/>
        </w:rPr>
        <w:t>期，頁</w:t>
      </w:r>
      <w:r w:rsidRPr="004D7EB1">
        <w:rPr>
          <w:rFonts w:hint="eastAsia"/>
        </w:rPr>
        <w:t>159-180</w:t>
      </w:r>
      <w:r w:rsidRPr="004D7EB1">
        <w:rPr>
          <w:rFonts w:hint="eastAsia"/>
        </w:rPr>
        <w:t>。</w:t>
      </w:r>
    </w:p>
    <w:p w14:paraId="232FC961" w14:textId="77777777" w:rsidR="004D7EB1" w:rsidRPr="004D7EB1" w:rsidRDefault="004D7EB1" w:rsidP="00D87D91">
      <w:r w:rsidRPr="004D7EB1">
        <w:rPr>
          <w:rFonts w:hint="eastAsia"/>
        </w:rPr>
        <w:t>◎牟永平</w:t>
      </w:r>
      <w:r w:rsidRPr="004D7EB1">
        <w:rPr>
          <w:rFonts w:hint="eastAsia"/>
        </w:rPr>
        <w:t>(1994)</w:t>
      </w:r>
      <w:r w:rsidRPr="004D7EB1">
        <w:rPr>
          <w:rFonts w:hint="eastAsia"/>
        </w:rPr>
        <w:t>，論法國之外籍勞工管理，外事警察學術研討會外籍勞工管理論文集，中央警察大學，頁</w:t>
      </w:r>
      <w:r w:rsidRPr="004D7EB1">
        <w:rPr>
          <w:rFonts w:hint="eastAsia"/>
        </w:rPr>
        <w:t>81</w:t>
      </w:r>
      <w:r w:rsidRPr="004D7EB1">
        <w:rPr>
          <w:rFonts w:hint="eastAsia"/>
        </w:rPr>
        <w:t>。</w:t>
      </w:r>
    </w:p>
    <w:p w14:paraId="7B4D5D96" w14:textId="77777777" w:rsidR="004D7EB1" w:rsidRPr="004D7EB1" w:rsidRDefault="004D7EB1" w:rsidP="00D87D91">
      <w:r w:rsidRPr="004D7EB1">
        <w:rPr>
          <w:rFonts w:hint="eastAsia"/>
        </w:rPr>
        <w:t>◎行政院勞工委員</w:t>
      </w:r>
      <w:r w:rsidRPr="004D7EB1">
        <w:rPr>
          <w:rFonts w:hint="eastAsia"/>
        </w:rPr>
        <w:t>(1995)</w:t>
      </w:r>
      <w:r w:rsidRPr="004D7EB1">
        <w:rPr>
          <w:rFonts w:hint="eastAsia"/>
        </w:rPr>
        <w:t>，中華民國八十三年臺灣地區外籍勞工（幫傭）管理及運用調查報告，頁</w:t>
      </w:r>
      <w:r w:rsidRPr="004D7EB1">
        <w:rPr>
          <w:rFonts w:hint="eastAsia"/>
        </w:rPr>
        <w:t>1</w:t>
      </w:r>
      <w:r w:rsidRPr="004D7EB1">
        <w:rPr>
          <w:rFonts w:hint="eastAsia"/>
        </w:rPr>
        <w:t>至</w:t>
      </w:r>
      <w:r w:rsidRPr="004D7EB1">
        <w:rPr>
          <w:rFonts w:hint="eastAsia"/>
        </w:rPr>
        <w:t>21</w:t>
      </w:r>
      <w:r w:rsidRPr="004D7EB1">
        <w:rPr>
          <w:rFonts w:hint="eastAsia"/>
        </w:rPr>
        <w:t>。</w:t>
      </w:r>
    </w:p>
    <w:p w14:paraId="620C2B0B" w14:textId="77777777" w:rsidR="004D7EB1" w:rsidRPr="004D7EB1" w:rsidRDefault="004D7EB1" w:rsidP="00D87D91">
      <w:r w:rsidRPr="004D7EB1">
        <w:rPr>
          <w:rFonts w:hint="eastAsia"/>
        </w:rPr>
        <w:t>◎行政院勞工委員會</w:t>
      </w:r>
      <w:r w:rsidRPr="004D7EB1">
        <w:rPr>
          <w:rFonts w:hint="eastAsia"/>
        </w:rPr>
        <w:t>(1995)</w:t>
      </w:r>
      <w:r w:rsidRPr="004D7EB1">
        <w:rPr>
          <w:rFonts w:hint="eastAsia"/>
        </w:rPr>
        <w:t>，中華民國八十四年臺灣地區外籍勞工管理及運用調查報告，頁</w:t>
      </w:r>
      <w:r w:rsidR="008F066C">
        <w:rPr>
          <w:rFonts w:hint="eastAsia"/>
        </w:rPr>
        <w:t>4</w:t>
      </w:r>
      <w:r w:rsidRPr="004D7EB1">
        <w:rPr>
          <w:rFonts w:hint="eastAsia"/>
        </w:rPr>
        <w:t>到</w:t>
      </w:r>
      <w:r w:rsidR="008F066C">
        <w:rPr>
          <w:rFonts w:hint="eastAsia"/>
        </w:rPr>
        <w:t>5</w:t>
      </w:r>
      <w:r w:rsidRPr="004D7EB1">
        <w:rPr>
          <w:rFonts w:hint="eastAsia"/>
        </w:rPr>
        <w:t>。</w:t>
      </w:r>
    </w:p>
    <w:p w14:paraId="07DC200A" w14:textId="77777777" w:rsidR="004D7EB1" w:rsidRPr="004D7EB1" w:rsidRDefault="004D7EB1" w:rsidP="00D87D91">
      <w:r w:rsidRPr="004D7EB1">
        <w:rPr>
          <w:rFonts w:hint="eastAsia"/>
        </w:rPr>
        <w:t>◎行政院勞工委員會職業訓練局編印</w:t>
      </w:r>
      <w:r w:rsidRPr="004D7EB1">
        <w:rPr>
          <w:rFonts w:hint="eastAsia"/>
        </w:rPr>
        <w:t>(1990)</w:t>
      </w:r>
      <w:r w:rsidRPr="004D7EB1">
        <w:rPr>
          <w:rFonts w:hint="eastAsia"/>
        </w:rPr>
        <w:t>，十四項重要建設工程人力需求因應措施方案彙編資料，頁</w:t>
      </w:r>
      <w:r w:rsidRPr="004D7EB1">
        <w:rPr>
          <w:rFonts w:hint="eastAsia"/>
        </w:rPr>
        <w:t>34</w:t>
      </w:r>
      <w:r w:rsidRPr="004D7EB1">
        <w:rPr>
          <w:rFonts w:hint="eastAsia"/>
        </w:rPr>
        <w:t>至</w:t>
      </w:r>
      <w:r w:rsidRPr="004D7EB1">
        <w:rPr>
          <w:rFonts w:hint="eastAsia"/>
        </w:rPr>
        <w:t>35</w:t>
      </w:r>
      <w:r w:rsidRPr="004D7EB1">
        <w:rPr>
          <w:rFonts w:hint="eastAsia"/>
        </w:rPr>
        <w:t>。</w:t>
      </w:r>
    </w:p>
    <w:p w14:paraId="22C5C759" w14:textId="77777777" w:rsidR="004D7EB1" w:rsidRPr="004D7EB1" w:rsidRDefault="004D7EB1" w:rsidP="00D87D91">
      <w:r w:rsidRPr="004D7EB1">
        <w:rPr>
          <w:rFonts w:hint="eastAsia"/>
        </w:rPr>
        <w:t>◎行政院勞工委員會職業訓練局編譯</w:t>
      </w:r>
      <w:r w:rsidRPr="004D7EB1">
        <w:rPr>
          <w:rFonts w:hint="eastAsia"/>
        </w:rPr>
        <w:t>(1989)</w:t>
      </w:r>
      <w:r w:rsidRPr="004D7EB1">
        <w:rPr>
          <w:rFonts w:hint="eastAsia"/>
        </w:rPr>
        <w:t>，日本外籍勞工問題的處理方向，頁</w:t>
      </w:r>
      <w:r w:rsidRPr="004D7EB1">
        <w:rPr>
          <w:rFonts w:hint="eastAsia"/>
        </w:rPr>
        <w:t>12</w:t>
      </w:r>
      <w:r w:rsidRPr="004D7EB1">
        <w:rPr>
          <w:rFonts w:hint="eastAsia"/>
        </w:rPr>
        <w:t>至</w:t>
      </w:r>
      <w:r w:rsidRPr="004D7EB1">
        <w:rPr>
          <w:rFonts w:hint="eastAsia"/>
        </w:rPr>
        <w:t>16</w:t>
      </w:r>
      <w:r w:rsidRPr="004D7EB1">
        <w:rPr>
          <w:rFonts w:hint="eastAsia"/>
        </w:rPr>
        <w:t>。</w:t>
      </w:r>
    </w:p>
    <w:p w14:paraId="187D5F27" w14:textId="77777777" w:rsidR="004D7EB1" w:rsidRPr="004D7EB1" w:rsidRDefault="004D7EB1" w:rsidP="00D87D91">
      <w:r w:rsidRPr="004D7EB1">
        <w:rPr>
          <w:rFonts w:hint="eastAsia"/>
        </w:rPr>
        <w:t>◎行政院勞工委員會職業訓練局編譯</w:t>
      </w:r>
      <w:r w:rsidRPr="004D7EB1">
        <w:rPr>
          <w:rFonts w:hint="eastAsia"/>
        </w:rPr>
        <w:t>(1992)</w:t>
      </w:r>
      <w:r w:rsidRPr="004D7EB1">
        <w:rPr>
          <w:rFonts w:hint="eastAsia"/>
        </w:rPr>
        <w:t>，外籍勞工問題之動向與觀點──日本關於外工於勞動層面所成影響之研討會報告書，頁</w:t>
      </w:r>
      <w:r w:rsidRPr="004D7EB1">
        <w:rPr>
          <w:rFonts w:hint="eastAsia"/>
        </w:rPr>
        <w:t>130</w:t>
      </w:r>
      <w:r w:rsidRPr="004D7EB1">
        <w:rPr>
          <w:rFonts w:hint="eastAsia"/>
        </w:rPr>
        <w:t>至</w:t>
      </w:r>
      <w:r w:rsidRPr="004D7EB1">
        <w:rPr>
          <w:rFonts w:hint="eastAsia"/>
        </w:rPr>
        <w:t>133</w:t>
      </w:r>
      <w:r w:rsidR="00545D58">
        <w:rPr>
          <w:rFonts w:hint="eastAsia"/>
        </w:rPr>
        <w:t>。</w:t>
      </w:r>
    </w:p>
    <w:p w14:paraId="1CB80907" w14:textId="77777777" w:rsidR="004D7EB1" w:rsidRPr="004D7EB1" w:rsidRDefault="004D7EB1" w:rsidP="00D87D91">
      <w:r w:rsidRPr="004D7EB1">
        <w:rPr>
          <w:rFonts w:hint="eastAsia"/>
        </w:rPr>
        <w:t>◎佈施直春編著</w:t>
      </w:r>
      <w:r w:rsidRPr="004D7EB1">
        <w:rPr>
          <w:rFonts w:hint="eastAsia"/>
        </w:rPr>
        <w:t>(1990)</w:t>
      </w:r>
      <w:r w:rsidRPr="004D7EB1">
        <w:rPr>
          <w:rFonts w:hint="eastAsia"/>
        </w:rPr>
        <w:t>，外國人勞動者雇用實務，東京：有斐閣，頁</w:t>
      </w:r>
      <w:r w:rsidRPr="004D7EB1">
        <w:rPr>
          <w:rFonts w:hint="eastAsia"/>
        </w:rPr>
        <w:t>17</w:t>
      </w:r>
      <w:r w:rsidRPr="004D7EB1">
        <w:rPr>
          <w:rFonts w:hint="eastAsia"/>
        </w:rPr>
        <w:t>至</w:t>
      </w:r>
      <w:r w:rsidRPr="004D7EB1">
        <w:rPr>
          <w:rFonts w:hint="eastAsia"/>
        </w:rPr>
        <w:t>31</w:t>
      </w:r>
      <w:r w:rsidRPr="004D7EB1">
        <w:rPr>
          <w:rFonts w:hint="eastAsia"/>
        </w:rPr>
        <w:t>及頁</w:t>
      </w:r>
      <w:r w:rsidRPr="004D7EB1">
        <w:rPr>
          <w:rFonts w:hint="eastAsia"/>
        </w:rPr>
        <w:t>86</w:t>
      </w:r>
      <w:r w:rsidRPr="004D7EB1">
        <w:rPr>
          <w:rFonts w:hint="eastAsia"/>
        </w:rPr>
        <w:t>至</w:t>
      </w:r>
      <w:r w:rsidRPr="004D7EB1">
        <w:rPr>
          <w:rFonts w:hint="eastAsia"/>
        </w:rPr>
        <w:t>101</w:t>
      </w:r>
      <w:r w:rsidRPr="004D7EB1">
        <w:rPr>
          <w:rFonts w:hint="eastAsia"/>
        </w:rPr>
        <w:t>。</w:t>
      </w:r>
    </w:p>
    <w:p w14:paraId="5B3F0B50" w14:textId="77777777" w:rsidR="004D7EB1" w:rsidRPr="004D7EB1" w:rsidRDefault="004D7EB1" w:rsidP="00D87D91">
      <w:r w:rsidRPr="004D7EB1">
        <w:rPr>
          <w:rFonts w:hint="eastAsia"/>
        </w:rPr>
        <w:t>◎何志鵬</w:t>
      </w:r>
      <w:r w:rsidRPr="004D7EB1">
        <w:rPr>
          <w:rFonts w:hint="eastAsia"/>
        </w:rPr>
        <w:t>(2008)</w:t>
      </w:r>
      <w:r w:rsidRPr="004D7EB1">
        <w:rPr>
          <w:rFonts w:hint="eastAsia"/>
        </w:rPr>
        <w:t>，人權全權化基本理論研究，初版，吉林：科學出版社，頁</w:t>
      </w:r>
      <w:r w:rsidRPr="004D7EB1">
        <w:rPr>
          <w:rFonts w:hint="eastAsia"/>
        </w:rPr>
        <w:t>62-257</w:t>
      </w:r>
      <w:r w:rsidRPr="004D7EB1">
        <w:rPr>
          <w:rFonts w:hint="eastAsia"/>
        </w:rPr>
        <w:t>。</w:t>
      </w:r>
    </w:p>
    <w:p w14:paraId="1CA1D7A1" w14:textId="77777777" w:rsidR="004D7EB1" w:rsidRPr="004D7EB1" w:rsidRDefault="004D7EB1" w:rsidP="00D87D91">
      <w:r w:rsidRPr="004D7EB1">
        <w:rPr>
          <w:rFonts w:hint="eastAsia"/>
        </w:rPr>
        <w:t>◎吳秀照</w:t>
      </w:r>
      <w:r w:rsidRPr="004D7EB1">
        <w:rPr>
          <w:rFonts w:hint="eastAsia"/>
        </w:rPr>
        <w:t>(2006)</w:t>
      </w:r>
      <w:r w:rsidRPr="004D7EB1">
        <w:rPr>
          <w:rFonts w:hint="eastAsia"/>
        </w:rPr>
        <w:t>，層層控制下不自由的勞動者：外籍家戶勞動者勞動條件、勞雇關係及管理政策析論，社會政策與社會工作學刊，第</w:t>
      </w:r>
      <w:r w:rsidRPr="004D7EB1">
        <w:rPr>
          <w:rFonts w:hint="eastAsia"/>
        </w:rPr>
        <w:t>10</w:t>
      </w:r>
      <w:r w:rsidRPr="004D7EB1">
        <w:rPr>
          <w:rFonts w:hint="eastAsia"/>
        </w:rPr>
        <w:t>卷第</w:t>
      </w:r>
      <w:r w:rsidRPr="004D7EB1">
        <w:rPr>
          <w:rFonts w:hint="eastAsia"/>
        </w:rPr>
        <w:t>2</w:t>
      </w:r>
      <w:r w:rsidRPr="004D7EB1">
        <w:rPr>
          <w:rFonts w:hint="eastAsia"/>
        </w:rPr>
        <w:t>期，頁</w:t>
      </w:r>
      <w:r w:rsidRPr="004D7EB1">
        <w:rPr>
          <w:rFonts w:hint="eastAsia"/>
        </w:rPr>
        <w:t>1-48</w:t>
      </w:r>
      <w:r w:rsidRPr="004D7EB1">
        <w:rPr>
          <w:rFonts w:hint="eastAsia"/>
        </w:rPr>
        <w:t>。</w:t>
      </w:r>
    </w:p>
    <w:p w14:paraId="07D9ED9E" w14:textId="77777777" w:rsidR="004D7EB1" w:rsidRPr="004D7EB1" w:rsidRDefault="004D7EB1" w:rsidP="00D87D91">
      <w:r w:rsidRPr="004D7EB1">
        <w:rPr>
          <w:rFonts w:hint="eastAsia"/>
        </w:rPr>
        <w:t>◎吳東明、柯雨瑞</w:t>
      </w:r>
      <w:r w:rsidRPr="004D7EB1">
        <w:rPr>
          <w:rFonts w:hint="eastAsia"/>
        </w:rPr>
        <w:t>(2004)</w:t>
      </w:r>
      <w:r w:rsidRPr="004D7EB1">
        <w:rPr>
          <w:rFonts w:hint="eastAsia"/>
        </w:rPr>
        <w:t>，美國海事運輸及港口保安法制對我國之啟示</w:t>
      </w:r>
      <w:r w:rsidR="00D92F56">
        <w:rPr>
          <w:rFonts w:hint="eastAsia"/>
        </w:rPr>
        <w:t>〜</w:t>
      </w:r>
      <w:r w:rsidRPr="004D7EB1">
        <w:rPr>
          <w:rFonts w:hint="eastAsia"/>
        </w:rPr>
        <w:t>以美國「</w:t>
      </w:r>
      <w:r w:rsidRPr="004D7EB1">
        <w:rPr>
          <w:rFonts w:hint="eastAsia"/>
        </w:rPr>
        <w:t>2002</w:t>
      </w:r>
      <w:r w:rsidRPr="004D7EB1">
        <w:rPr>
          <w:rFonts w:hint="eastAsia"/>
        </w:rPr>
        <w:t>年海事運輸保安法」為中心，發表於中央警察大學水上警察學系學術研討會。</w:t>
      </w:r>
    </w:p>
    <w:p w14:paraId="4E7D8DBB" w14:textId="77777777" w:rsidR="004D7EB1" w:rsidRPr="004D7EB1" w:rsidRDefault="004D7EB1" w:rsidP="00D87D91">
      <w:r w:rsidRPr="004D7EB1">
        <w:rPr>
          <w:rFonts w:hint="eastAsia"/>
        </w:rPr>
        <w:t>◎吳俊明</w:t>
      </w:r>
      <w:r w:rsidRPr="004D7EB1">
        <w:rPr>
          <w:rFonts w:hint="eastAsia"/>
        </w:rPr>
        <w:t>(1989)</w:t>
      </w:r>
      <w:r w:rsidRPr="004D7EB1">
        <w:rPr>
          <w:rFonts w:hint="eastAsia"/>
        </w:rPr>
        <w:t>，各國對外籍勞工之管理簡介，勞工行政，第</w:t>
      </w:r>
      <w:r w:rsidRPr="004D7EB1">
        <w:rPr>
          <w:rFonts w:hint="eastAsia"/>
        </w:rPr>
        <w:t>18</w:t>
      </w:r>
      <w:r w:rsidRPr="004D7EB1">
        <w:rPr>
          <w:rFonts w:hint="eastAsia"/>
        </w:rPr>
        <w:t>期，頁</w:t>
      </w:r>
      <w:r w:rsidRPr="004D7EB1">
        <w:rPr>
          <w:rFonts w:hint="eastAsia"/>
        </w:rPr>
        <w:t>28</w:t>
      </w:r>
      <w:r w:rsidRPr="004D7EB1">
        <w:rPr>
          <w:rFonts w:hint="eastAsia"/>
        </w:rPr>
        <w:t>至</w:t>
      </w:r>
      <w:r w:rsidRPr="004D7EB1">
        <w:rPr>
          <w:rFonts w:hint="eastAsia"/>
        </w:rPr>
        <w:t>30</w:t>
      </w:r>
      <w:r w:rsidRPr="004D7EB1">
        <w:rPr>
          <w:rFonts w:hint="eastAsia"/>
        </w:rPr>
        <w:t>。</w:t>
      </w:r>
    </w:p>
    <w:p w14:paraId="41B315C7" w14:textId="77777777" w:rsidR="004D7EB1" w:rsidRPr="004D7EB1" w:rsidRDefault="004D7EB1" w:rsidP="00D87D91">
      <w:r w:rsidRPr="004D7EB1">
        <w:rPr>
          <w:rFonts w:hint="eastAsia"/>
        </w:rPr>
        <w:t>◎吳俊明</w:t>
      </w:r>
      <w:r w:rsidRPr="004D7EB1">
        <w:rPr>
          <w:rFonts w:hint="eastAsia"/>
        </w:rPr>
        <w:t>(1992)</w:t>
      </w:r>
      <w:r w:rsidRPr="004D7EB1">
        <w:rPr>
          <w:rFonts w:hint="eastAsia"/>
        </w:rPr>
        <w:t>，就業服務法立法經過及主要內容，就業與訓練，第</w:t>
      </w:r>
      <w:r w:rsidRPr="004D7EB1">
        <w:rPr>
          <w:rFonts w:hint="eastAsia"/>
        </w:rPr>
        <w:t>10</w:t>
      </w:r>
      <w:r w:rsidRPr="004D7EB1">
        <w:rPr>
          <w:rFonts w:hint="eastAsia"/>
        </w:rPr>
        <w:t>卷第</w:t>
      </w:r>
      <w:r w:rsidRPr="004D7EB1">
        <w:rPr>
          <w:rFonts w:hint="eastAsia"/>
        </w:rPr>
        <w:t>4</w:t>
      </w:r>
      <w:r w:rsidRPr="004D7EB1">
        <w:rPr>
          <w:rFonts w:hint="eastAsia"/>
        </w:rPr>
        <w:t>期。</w:t>
      </w:r>
    </w:p>
    <w:p w14:paraId="0E573AC7" w14:textId="77777777" w:rsidR="004D7EB1" w:rsidRPr="004D7EB1" w:rsidRDefault="004D7EB1" w:rsidP="00D87D91">
      <w:r w:rsidRPr="004D7EB1">
        <w:rPr>
          <w:rFonts w:hint="eastAsia"/>
        </w:rPr>
        <w:t>◎吳進發</w:t>
      </w:r>
      <w:r w:rsidRPr="004D7EB1">
        <w:rPr>
          <w:rFonts w:hint="eastAsia"/>
        </w:rPr>
        <w:t xml:space="preserve">(2006). </w:t>
      </w:r>
      <w:r w:rsidRPr="004D7EB1">
        <w:rPr>
          <w:rFonts w:hint="eastAsia"/>
        </w:rPr>
        <w:t>刑法、刑訴法應試精要，臺北：作者自印，第</w:t>
      </w:r>
      <w:r w:rsidRPr="004D7EB1">
        <w:rPr>
          <w:rFonts w:hint="eastAsia"/>
        </w:rPr>
        <w:t>7-15</w:t>
      </w:r>
      <w:r w:rsidRPr="004D7EB1">
        <w:rPr>
          <w:rFonts w:hint="eastAsia"/>
        </w:rPr>
        <w:t>頁</w:t>
      </w:r>
      <w:r w:rsidR="00545D58">
        <w:rPr>
          <w:rFonts w:hint="eastAsia"/>
        </w:rPr>
        <w:t>。</w:t>
      </w:r>
    </w:p>
    <w:p w14:paraId="4376A2B5" w14:textId="77777777" w:rsidR="004D7EB1" w:rsidRPr="004D7EB1" w:rsidRDefault="004D7EB1" w:rsidP="00D87D91">
      <w:r w:rsidRPr="004D7EB1">
        <w:rPr>
          <w:rFonts w:hint="eastAsia"/>
        </w:rPr>
        <w:t>◎呂炳寬、項程華、楊智傑</w:t>
      </w:r>
      <w:r w:rsidRPr="004D7EB1">
        <w:rPr>
          <w:rFonts w:hint="eastAsia"/>
        </w:rPr>
        <w:t>(2007)</w:t>
      </w:r>
      <w:r w:rsidRPr="004D7EB1">
        <w:rPr>
          <w:rFonts w:hint="eastAsia"/>
        </w:rPr>
        <w:t>，中華民國憲法精義，</w:t>
      </w:r>
      <w:r w:rsidRPr="004D7EB1">
        <w:rPr>
          <w:rFonts w:hint="eastAsia"/>
        </w:rPr>
        <w:t>2</w:t>
      </w:r>
      <w:r w:rsidRPr="004D7EB1">
        <w:rPr>
          <w:rFonts w:hint="eastAsia"/>
        </w:rPr>
        <w:t>版，臺北市：五南公司，頁</w:t>
      </w:r>
      <w:r w:rsidRPr="004D7EB1">
        <w:rPr>
          <w:rFonts w:hint="eastAsia"/>
        </w:rPr>
        <w:t>1-398</w:t>
      </w:r>
      <w:r w:rsidRPr="004D7EB1">
        <w:rPr>
          <w:rFonts w:hint="eastAsia"/>
        </w:rPr>
        <w:t>。</w:t>
      </w:r>
    </w:p>
    <w:p w14:paraId="394CDF5B" w14:textId="77777777" w:rsidR="004D7EB1" w:rsidRPr="004D7EB1" w:rsidRDefault="004D7EB1" w:rsidP="00D87D91">
      <w:r w:rsidRPr="004D7EB1">
        <w:rPr>
          <w:rFonts w:hint="eastAsia"/>
        </w:rPr>
        <w:t>◎李文婷</w:t>
      </w:r>
      <w:r w:rsidRPr="004D7EB1">
        <w:rPr>
          <w:rFonts w:hint="eastAsia"/>
        </w:rPr>
        <w:t>(2002)</w:t>
      </w:r>
      <w:r w:rsidRPr="004D7EB1">
        <w:rPr>
          <w:rFonts w:hint="eastAsia"/>
        </w:rPr>
        <w:t>，成體幹細胞的研究現況與未來發展，化工資訊。</w:t>
      </w:r>
    </w:p>
    <w:p w14:paraId="55218B96" w14:textId="77777777" w:rsidR="004D7EB1" w:rsidRPr="004D7EB1" w:rsidRDefault="004D7EB1" w:rsidP="00D87D91">
      <w:r w:rsidRPr="004D7EB1">
        <w:rPr>
          <w:rFonts w:hint="eastAsia"/>
        </w:rPr>
        <w:t>◎李志恆</w:t>
      </w:r>
      <w:r w:rsidRPr="004D7EB1">
        <w:rPr>
          <w:rFonts w:hint="eastAsia"/>
        </w:rPr>
        <w:t xml:space="preserve">(2004). </w:t>
      </w:r>
      <w:r w:rsidRPr="004D7EB1">
        <w:rPr>
          <w:rFonts w:hint="eastAsia"/>
        </w:rPr>
        <w:t>從鴉片到搖頭丸</w:t>
      </w:r>
      <w:r w:rsidR="00D92F56">
        <w:rPr>
          <w:rFonts w:hint="eastAsia"/>
        </w:rPr>
        <w:t>〜</w:t>
      </w:r>
      <w:r w:rsidRPr="004D7EB1">
        <w:rPr>
          <w:rFonts w:hint="eastAsia"/>
        </w:rPr>
        <w:t>臺灣百年物質濫用史，歷史文物月刊</w:t>
      </w:r>
      <w:r w:rsidRPr="004D7EB1">
        <w:rPr>
          <w:rFonts w:hint="eastAsia"/>
        </w:rPr>
        <w:t>14</w:t>
      </w:r>
      <w:r w:rsidRPr="004D7EB1">
        <w:rPr>
          <w:rFonts w:hint="eastAsia"/>
        </w:rPr>
        <w:t>卷</w:t>
      </w:r>
      <w:r w:rsidRPr="004D7EB1">
        <w:rPr>
          <w:rFonts w:hint="eastAsia"/>
        </w:rPr>
        <w:t>7</w:t>
      </w:r>
      <w:r w:rsidRPr="004D7EB1">
        <w:rPr>
          <w:rFonts w:hint="eastAsia"/>
        </w:rPr>
        <w:t>期，第</w:t>
      </w:r>
      <w:r w:rsidRPr="004D7EB1">
        <w:rPr>
          <w:rFonts w:hint="eastAsia"/>
        </w:rPr>
        <w:t>74-77</w:t>
      </w:r>
      <w:r w:rsidRPr="004D7EB1">
        <w:rPr>
          <w:rFonts w:hint="eastAsia"/>
        </w:rPr>
        <w:t>頁。</w:t>
      </w:r>
    </w:p>
    <w:p w14:paraId="02F4D80E" w14:textId="77777777" w:rsidR="004D7EB1" w:rsidRPr="004D7EB1" w:rsidRDefault="004D7EB1" w:rsidP="00D87D91">
      <w:r w:rsidRPr="004D7EB1">
        <w:rPr>
          <w:rFonts w:hint="eastAsia"/>
        </w:rPr>
        <w:t>◎李明峻</w:t>
      </w:r>
      <w:r w:rsidRPr="004D7EB1">
        <w:rPr>
          <w:rFonts w:hint="eastAsia"/>
        </w:rPr>
        <w:t>(2007)</w:t>
      </w:r>
      <w:r w:rsidRPr="004D7EB1">
        <w:rPr>
          <w:rFonts w:hint="eastAsia"/>
        </w:rPr>
        <w:t>，移民人權導讀－外國人的人權，收錄於卓春英主編，人權思潮導論，初版，臺北巿：秀威資訊科技，頁</w:t>
      </w:r>
      <w:r w:rsidRPr="004D7EB1">
        <w:rPr>
          <w:rFonts w:hint="eastAsia"/>
        </w:rPr>
        <w:t>137-162</w:t>
      </w:r>
      <w:r w:rsidRPr="004D7EB1">
        <w:rPr>
          <w:rFonts w:hint="eastAsia"/>
        </w:rPr>
        <w:t>。</w:t>
      </w:r>
    </w:p>
    <w:p w14:paraId="06114D68" w14:textId="77777777" w:rsidR="004D7EB1" w:rsidRPr="004D7EB1" w:rsidRDefault="004D7EB1" w:rsidP="00D87D91">
      <w:r w:rsidRPr="004D7EB1">
        <w:rPr>
          <w:rFonts w:hint="eastAsia"/>
        </w:rPr>
        <w:t>◎李建良</w:t>
      </w:r>
      <w:r w:rsidRPr="004D7EB1">
        <w:rPr>
          <w:rFonts w:hint="eastAsia"/>
        </w:rPr>
        <w:t>(1999)</w:t>
      </w:r>
      <w:r w:rsidRPr="004D7EB1">
        <w:rPr>
          <w:rFonts w:hint="eastAsia"/>
        </w:rPr>
        <w:t>，憲法理論與實踐</w:t>
      </w:r>
      <w:r w:rsidRPr="004D7EB1">
        <w:rPr>
          <w:rFonts w:hint="eastAsia"/>
        </w:rPr>
        <w:t>(</w:t>
      </w:r>
      <w:r w:rsidRPr="004D7EB1">
        <w:rPr>
          <w:rFonts w:hint="eastAsia"/>
        </w:rPr>
        <w:t>二</w:t>
      </w:r>
      <w:r w:rsidRPr="004D7EB1">
        <w:rPr>
          <w:rFonts w:hint="eastAsia"/>
        </w:rPr>
        <w:t>)</w:t>
      </w:r>
      <w:r w:rsidRPr="004D7EB1">
        <w:rPr>
          <w:rFonts w:hint="eastAsia"/>
        </w:rPr>
        <w:t>，學林文化事業有限公司，頁</w:t>
      </w:r>
      <w:r w:rsidRPr="004D7EB1">
        <w:rPr>
          <w:rFonts w:hint="eastAsia"/>
        </w:rPr>
        <w:t>135-138</w:t>
      </w:r>
      <w:r w:rsidRPr="004D7EB1">
        <w:rPr>
          <w:rFonts w:hint="eastAsia"/>
        </w:rPr>
        <w:t>。</w:t>
      </w:r>
    </w:p>
    <w:p w14:paraId="60D34AB9" w14:textId="77777777" w:rsidR="004D7EB1" w:rsidRPr="004D7EB1" w:rsidRDefault="004D7EB1" w:rsidP="00D87D91">
      <w:r w:rsidRPr="004D7EB1">
        <w:rPr>
          <w:rFonts w:hint="eastAsia"/>
        </w:rPr>
        <w:t>◎李思賢、楊士隆、束連文、莊蘋、張麗玉、廖梨伶</w:t>
      </w:r>
      <w:r w:rsidRPr="004D7EB1">
        <w:rPr>
          <w:rFonts w:hint="eastAsia"/>
        </w:rPr>
        <w:t xml:space="preserve">(2011). </w:t>
      </w:r>
      <w:r w:rsidRPr="004D7EB1">
        <w:rPr>
          <w:rFonts w:hint="eastAsia"/>
        </w:rPr>
        <w:t>毒品減害措施之研究，行政院研究發展考核委員會委託研究，社團法人臺灣雀樂協會執行，第</w:t>
      </w:r>
      <w:r w:rsidRPr="004D7EB1">
        <w:rPr>
          <w:rFonts w:hint="eastAsia"/>
        </w:rPr>
        <w:t>50-90</w:t>
      </w:r>
      <w:r w:rsidRPr="004D7EB1">
        <w:rPr>
          <w:rFonts w:hint="eastAsia"/>
        </w:rPr>
        <w:t>頁。</w:t>
      </w:r>
    </w:p>
    <w:p w14:paraId="24E69808" w14:textId="77777777" w:rsidR="004D7EB1" w:rsidRPr="004D7EB1" w:rsidRDefault="004D7EB1" w:rsidP="00D87D91">
      <w:r w:rsidRPr="004D7EB1">
        <w:rPr>
          <w:rFonts w:hint="eastAsia"/>
        </w:rPr>
        <w:t>◎李展平</w:t>
      </w:r>
      <w:r w:rsidRPr="004D7EB1">
        <w:rPr>
          <w:rFonts w:hint="eastAsia"/>
        </w:rPr>
        <w:t xml:space="preserve">(1998). </w:t>
      </w:r>
      <w:r w:rsidRPr="004D7EB1">
        <w:rPr>
          <w:rFonts w:hint="eastAsia"/>
        </w:rPr>
        <w:t>日據阿片真是毒，聯合報第</w:t>
      </w:r>
      <w:r w:rsidRPr="004D7EB1">
        <w:rPr>
          <w:rFonts w:hint="eastAsia"/>
        </w:rPr>
        <w:t>17</w:t>
      </w:r>
      <w:r w:rsidRPr="004D7EB1">
        <w:rPr>
          <w:rFonts w:hint="eastAsia"/>
        </w:rPr>
        <w:t>版。</w:t>
      </w:r>
    </w:p>
    <w:p w14:paraId="3D6326A0" w14:textId="77777777" w:rsidR="004D7EB1" w:rsidRPr="004D7EB1" w:rsidRDefault="004D7EB1" w:rsidP="00D87D91">
      <w:r w:rsidRPr="004D7EB1">
        <w:rPr>
          <w:rFonts w:hint="eastAsia"/>
        </w:rPr>
        <w:t>◎李惠宗</w:t>
      </w:r>
      <w:r w:rsidRPr="004D7EB1">
        <w:rPr>
          <w:rFonts w:hint="eastAsia"/>
        </w:rPr>
        <w:t>(2006)</w:t>
      </w:r>
      <w:r w:rsidRPr="004D7EB1">
        <w:rPr>
          <w:rFonts w:hint="eastAsia"/>
        </w:rPr>
        <w:t>，中華民國憲法概要</w:t>
      </w:r>
      <w:r w:rsidR="00D92F56">
        <w:rPr>
          <w:rFonts w:hint="eastAsia"/>
        </w:rPr>
        <w:t>〜</w:t>
      </w:r>
      <w:r w:rsidRPr="004D7EB1">
        <w:rPr>
          <w:rFonts w:hint="eastAsia"/>
        </w:rPr>
        <w:t>憲法生活的新思維，</w:t>
      </w:r>
      <w:r w:rsidRPr="004D7EB1">
        <w:rPr>
          <w:rFonts w:hint="eastAsia"/>
        </w:rPr>
        <w:t>5</w:t>
      </w:r>
      <w:r w:rsidRPr="004D7EB1">
        <w:rPr>
          <w:rFonts w:hint="eastAsia"/>
        </w:rPr>
        <w:t>版，臺北市：元照公司，頁</w:t>
      </w:r>
      <w:r w:rsidRPr="004D7EB1">
        <w:rPr>
          <w:rFonts w:hint="eastAsia"/>
        </w:rPr>
        <w:t>1-385</w:t>
      </w:r>
      <w:r w:rsidRPr="004D7EB1">
        <w:rPr>
          <w:rFonts w:hint="eastAsia"/>
        </w:rPr>
        <w:t>。</w:t>
      </w:r>
    </w:p>
    <w:p w14:paraId="1FCD990D" w14:textId="77777777" w:rsidR="004D7EB1" w:rsidRPr="004D7EB1" w:rsidRDefault="004D7EB1" w:rsidP="00D87D91">
      <w:r w:rsidRPr="004D7EB1">
        <w:rPr>
          <w:rFonts w:hint="eastAsia"/>
        </w:rPr>
        <w:t>◎李惠宗（</w:t>
      </w:r>
      <w:r w:rsidRPr="004D7EB1">
        <w:rPr>
          <w:rFonts w:hint="eastAsia"/>
        </w:rPr>
        <w:t>2011</w:t>
      </w:r>
      <w:r w:rsidRPr="004D7EB1">
        <w:rPr>
          <w:rFonts w:hint="eastAsia"/>
        </w:rPr>
        <w:t>），中華民國憲法概要──憲法生活的新思維（</w:t>
      </w:r>
      <w:r w:rsidRPr="004D7EB1">
        <w:rPr>
          <w:rFonts w:hint="eastAsia"/>
        </w:rPr>
        <w:t>Introduction to the Constitution of the Republic of China</w:t>
      </w:r>
      <w:r w:rsidRPr="004D7EB1">
        <w:rPr>
          <w:rFonts w:hint="eastAsia"/>
        </w:rPr>
        <w:t>），</w:t>
      </w:r>
      <w:r w:rsidRPr="004D7EB1">
        <w:rPr>
          <w:rFonts w:hint="eastAsia"/>
        </w:rPr>
        <w:t>9</w:t>
      </w:r>
      <w:r w:rsidRPr="004D7EB1">
        <w:rPr>
          <w:rFonts w:hint="eastAsia"/>
        </w:rPr>
        <w:t>版第</w:t>
      </w:r>
      <w:r w:rsidRPr="004D7EB1">
        <w:rPr>
          <w:rFonts w:hint="eastAsia"/>
        </w:rPr>
        <w:t>1</w:t>
      </w:r>
      <w:r w:rsidRPr="004D7EB1">
        <w:rPr>
          <w:rFonts w:hint="eastAsia"/>
        </w:rPr>
        <w:t>刷，台北：元照。</w:t>
      </w:r>
    </w:p>
    <w:p w14:paraId="2D7541CB" w14:textId="77777777" w:rsidR="004D7EB1" w:rsidRPr="004D7EB1" w:rsidRDefault="004D7EB1" w:rsidP="00D87D91">
      <w:r w:rsidRPr="004D7EB1">
        <w:rPr>
          <w:rFonts w:hint="eastAsia"/>
        </w:rPr>
        <w:t>◎李震山</w:t>
      </w:r>
      <w:r w:rsidRPr="004D7EB1">
        <w:rPr>
          <w:rFonts w:hint="eastAsia"/>
        </w:rPr>
        <w:t>(2007)</w:t>
      </w:r>
      <w:r w:rsidRPr="004D7EB1">
        <w:rPr>
          <w:rFonts w:hint="eastAsia"/>
        </w:rPr>
        <w:t>，多元，寬容與人權保障以憲法未列舉權之保障為中心，臺北市：元照出版，頁</w:t>
      </w:r>
      <w:r w:rsidRPr="004D7EB1">
        <w:rPr>
          <w:rFonts w:hint="eastAsia"/>
        </w:rPr>
        <w:t>189</w:t>
      </w:r>
      <w:r w:rsidRPr="004D7EB1">
        <w:rPr>
          <w:rFonts w:hint="eastAsia"/>
        </w:rPr>
        <w:t>。</w:t>
      </w:r>
    </w:p>
    <w:p w14:paraId="0669D9D3" w14:textId="77777777" w:rsidR="004D7EB1" w:rsidRPr="004D7EB1" w:rsidRDefault="004D7EB1" w:rsidP="00D87D91">
      <w:r w:rsidRPr="004D7EB1">
        <w:rPr>
          <w:rFonts w:hint="eastAsia"/>
        </w:rPr>
        <w:t>◎李震山譯</w:t>
      </w:r>
      <w:r w:rsidRPr="004D7EB1">
        <w:rPr>
          <w:rFonts w:hint="eastAsia"/>
        </w:rPr>
        <w:t>(1993)</w:t>
      </w:r>
      <w:r w:rsidRPr="004D7EB1">
        <w:rPr>
          <w:rFonts w:hint="eastAsia"/>
        </w:rPr>
        <w:t>，德國外國人法</w:t>
      </w:r>
      <w:r w:rsidR="00D92F56">
        <w:rPr>
          <w:rFonts w:hint="eastAsia"/>
        </w:rPr>
        <w:t>〜</w:t>
      </w:r>
      <w:r w:rsidRPr="004D7EB1">
        <w:rPr>
          <w:rFonts w:hint="eastAsia"/>
        </w:rPr>
        <w:t>居留許可之核發與延長，新知譯粹，第</w:t>
      </w:r>
      <w:r w:rsidR="007F3288">
        <w:rPr>
          <w:rFonts w:hint="eastAsia"/>
        </w:rPr>
        <w:t>9</w:t>
      </w:r>
      <w:r w:rsidRPr="004D7EB1">
        <w:rPr>
          <w:rFonts w:hint="eastAsia"/>
        </w:rPr>
        <w:t>卷第</w:t>
      </w:r>
      <w:r w:rsidR="007D50BB">
        <w:rPr>
          <w:rFonts w:hint="eastAsia"/>
        </w:rPr>
        <w:t>2</w:t>
      </w:r>
      <w:r w:rsidRPr="004D7EB1">
        <w:rPr>
          <w:rFonts w:hint="eastAsia"/>
        </w:rPr>
        <w:t>期，第</w:t>
      </w:r>
      <w:r w:rsidRPr="004D7EB1">
        <w:rPr>
          <w:rFonts w:hint="eastAsia"/>
        </w:rPr>
        <w:t>9</w:t>
      </w:r>
      <w:r w:rsidRPr="004D7EB1">
        <w:rPr>
          <w:rFonts w:hint="eastAsia"/>
        </w:rPr>
        <w:t>頁。</w:t>
      </w:r>
    </w:p>
    <w:p w14:paraId="25D6154C" w14:textId="77777777" w:rsidR="004D7EB1" w:rsidRPr="004D7EB1" w:rsidRDefault="004D7EB1" w:rsidP="00D87D91">
      <w:r w:rsidRPr="004D7EB1">
        <w:rPr>
          <w:rFonts w:hint="eastAsia"/>
        </w:rPr>
        <w:t>◎汪進財、蔡中志、許連祥、柯雨瑞</w:t>
      </w:r>
      <w:r w:rsidRPr="004D7EB1">
        <w:rPr>
          <w:rFonts w:hint="eastAsia"/>
        </w:rPr>
        <w:t>(2005)</w:t>
      </w:r>
      <w:r w:rsidRPr="004D7EB1">
        <w:rPr>
          <w:rFonts w:hint="eastAsia"/>
        </w:rPr>
        <w:t>，從比較法之觀點探討我國航空保安法制之問題，警學叢刊。</w:t>
      </w:r>
    </w:p>
    <w:p w14:paraId="20FBCD71" w14:textId="77777777" w:rsidR="004D7EB1" w:rsidRPr="004D7EB1" w:rsidRDefault="004D7EB1" w:rsidP="00D87D91">
      <w:r w:rsidRPr="004D7EB1">
        <w:rPr>
          <w:rFonts w:hint="eastAsia"/>
        </w:rPr>
        <w:t>◎汪毓瑋</w:t>
      </w:r>
      <w:r w:rsidRPr="004D7EB1">
        <w:rPr>
          <w:rFonts w:hint="eastAsia"/>
        </w:rPr>
        <w:t>(2009)</w:t>
      </w:r>
      <w:r w:rsidRPr="004D7EB1">
        <w:rPr>
          <w:rFonts w:hint="eastAsia"/>
        </w:rPr>
        <w:t>，移民政策發展之國家安全、法治、人權內涵之平衡思考</w:t>
      </w:r>
      <w:r w:rsidR="00D92F56">
        <w:rPr>
          <w:rFonts w:hint="eastAsia"/>
        </w:rPr>
        <w:t>〜</w:t>
      </w:r>
      <w:r w:rsidRPr="004D7EB1">
        <w:rPr>
          <w:rFonts w:hint="eastAsia"/>
        </w:rPr>
        <w:t>兼論處理人口販運應有之改善作為，收錄於</w:t>
      </w:r>
      <w:r w:rsidRPr="004D7EB1">
        <w:rPr>
          <w:rFonts w:hint="eastAsia"/>
        </w:rPr>
        <w:t>2009</w:t>
      </w:r>
      <w:r w:rsidRPr="004D7EB1">
        <w:rPr>
          <w:rFonts w:hint="eastAsia"/>
        </w:rPr>
        <w:t>年防制人口販運國際研討會論文集，中央警察大學國境警察學系主辦，頁</w:t>
      </w:r>
      <w:r w:rsidRPr="004D7EB1">
        <w:rPr>
          <w:rFonts w:hint="eastAsia"/>
        </w:rPr>
        <w:t>138-139</w:t>
      </w:r>
      <w:r w:rsidRPr="004D7EB1">
        <w:rPr>
          <w:rFonts w:hint="eastAsia"/>
        </w:rPr>
        <w:t>。</w:t>
      </w:r>
    </w:p>
    <w:p w14:paraId="770530CE" w14:textId="77777777" w:rsidR="004D7EB1" w:rsidRPr="004D7EB1" w:rsidRDefault="004D7EB1" w:rsidP="00D87D91">
      <w:r w:rsidRPr="004D7EB1">
        <w:rPr>
          <w:rFonts w:hint="eastAsia"/>
        </w:rPr>
        <w:t>◎汪毓瑋</w:t>
      </w:r>
      <w:r w:rsidRPr="004D7EB1">
        <w:rPr>
          <w:rFonts w:hint="eastAsia"/>
        </w:rPr>
        <w:t>(2010)</w:t>
      </w:r>
      <w:r w:rsidRPr="004D7EB1">
        <w:rPr>
          <w:rFonts w:hint="eastAsia"/>
        </w:rPr>
        <w:t>，移民政策之犯罪與安全思考及未來發展方向初探，發表於中央警察大學國境警察學系與移民研究中心共同舉辦之「國境管理與移民事務學術研討會」。</w:t>
      </w:r>
    </w:p>
    <w:p w14:paraId="1D2E36FD" w14:textId="77777777" w:rsidR="004D7EB1" w:rsidRPr="004D7EB1" w:rsidRDefault="004D7EB1" w:rsidP="00D87D91">
      <w:r w:rsidRPr="004D7EB1">
        <w:rPr>
          <w:rFonts w:hint="eastAsia"/>
        </w:rPr>
        <w:t>◎汪毓瑋</w:t>
      </w:r>
      <w:r w:rsidRPr="004D7EB1">
        <w:rPr>
          <w:rFonts w:hint="eastAsia"/>
        </w:rPr>
        <w:t>(2012)</w:t>
      </w:r>
      <w:r w:rsidRPr="004D7EB1">
        <w:rPr>
          <w:rFonts w:hint="eastAsia"/>
        </w:rPr>
        <w:t>，安全脈絡下之移民政策發展，收錄於中央警察大學移民研究中心主辦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14:paraId="11004DF9" w14:textId="77777777" w:rsidR="004D7EB1" w:rsidRPr="004D7EB1" w:rsidRDefault="004D7EB1" w:rsidP="00D87D91">
      <w:r w:rsidRPr="004D7EB1">
        <w:rPr>
          <w:rFonts w:hint="eastAsia"/>
        </w:rPr>
        <w:t>◎沈雅靜</w:t>
      </w:r>
      <w:r w:rsidRPr="004D7EB1">
        <w:rPr>
          <w:rFonts w:hint="eastAsia"/>
        </w:rPr>
        <w:t xml:space="preserve">(2002). </w:t>
      </w:r>
      <w:r w:rsidRPr="004D7EB1">
        <w:rPr>
          <w:rFonts w:hint="eastAsia"/>
        </w:rPr>
        <w:t>論施用毒品行為之除罪化，國立中正大學犯罪防治研究所碩士論文，第</w:t>
      </w:r>
      <w:r w:rsidRPr="004D7EB1">
        <w:rPr>
          <w:rFonts w:hint="eastAsia"/>
        </w:rPr>
        <w:t>8-19</w:t>
      </w:r>
      <w:r w:rsidRPr="004D7EB1">
        <w:rPr>
          <w:rFonts w:hint="eastAsia"/>
        </w:rPr>
        <w:t>頁。</w:t>
      </w:r>
    </w:p>
    <w:p w14:paraId="53BBF690" w14:textId="77777777" w:rsidR="004D7EB1" w:rsidRPr="004D7EB1" w:rsidRDefault="004D7EB1" w:rsidP="00D87D91">
      <w:r w:rsidRPr="004D7EB1">
        <w:rPr>
          <w:rFonts w:hint="eastAsia"/>
        </w:rPr>
        <w:t>◎周陽山、王增華（</w:t>
      </w:r>
      <w:r w:rsidRPr="004D7EB1">
        <w:rPr>
          <w:rFonts w:hint="eastAsia"/>
        </w:rPr>
        <w:t>2015</w:t>
      </w:r>
      <w:r w:rsidRPr="004D7EB1">
        <w:rPr>
          <w:rFonts w:hint="eastAsia"/>
        </w:rPr>
        <w:t>），監察權、監察使與監察院──監察功能的跨國分析展望與探索月刊第</w:t>
      </w:r>
      <w:r w:rsidRPr="004D7EB1">
        <w:rPr>
          <w:rFonts w:hint="eastAsia"/>
        </w:rPr>
        <w:t>13</w:t>
      </w:r>
      <w:r w:rsidRPr="004D7EB1">
        <w:rPr>
          <w:rFonts w:hint="eastAsia"/>
        </w:rPr>
        <w:t>卷第</w:t>
      </w:r>
      <w:r w:rsidRPr="004D7EB1">
        <w:rPr>
          <w:rFonts w:hint="eastAsia"/>
        </w:rPr>
        <w:t>1</w:t>
      </w:r>
      <w:r w:rsidRPr="004D7EB1">
        <w:rPr>
          <w:rFonts w:hint="eastAsia"/>
        </w:rPr>
        <w:t>期，頁</w:t>
      </w:r>
      <w:r w:rsidRPr="004D7EB1">
        <w:rPr>
          <w:rFonts w:hint="eastAsia"/>
        </w:rPr>
        <w:t>33-60</w:t>
      </w:r>
      <w:r w:rsidRPr="004D7EB1">
        <w:rPr>
          <w:rFonts w:hint="eastAsia"/>
        </w:rPr>
        <w:t>。</w:t>
      </w:r>
    </w:p>
    <w:p w14:paraId="6CEED97D" w14:textId="77777777" w:rsidR="004D7EB1" w:rsidRPr="004D7EB1" w:rsidRDefault="004D7EB1" w:rsidP="00D87D91">
      <w:r w:rsidRPr="004D7EB1">
        <w:rPr>
          <w:rFonts w:hint="eastAsia"/>
        </w:rPr>
        <w:t>◎周繼祥</w:t>
      </w:r>
      <w:r w:rsidRPr="004D7EB1">
        <w:rPr>
          <w:rFonts w:hint="eastAsia"/>
        </w:rPr>
        <w:t>(2000)</w:t>
      </w:r>
      <w:r w:rsidRPr="004D7EB1">
        <w:rPr>
          <w:rFonts w:hint="eastAsia"/>
        </w:rPr>
        <w:t>，中華民國憲法概論，初版，臺北市：揚智文化公司，頁</w:t>
      </w:r>
      <w:r w:rsidRPr="004D7EB1">
        <w:rPr>
          <w:rFonts w:hint="eastAsia"/>
        </w:rPr>
        <w:t>1-365</w:t>
      </w:r>
      <w:r w:rsidRPr="004D7EB1">
        <w:rPr>
          <w:rFonts w:hint="eastAsia"/>
        </w:rPr>
        <w:t>。</w:t>
      </w:r>
    </w:p>
    <w:p w14:paraId="221A6ED2" w14:textId="77777777" w:rsidR="004D7EB1" w:rsidRPr="004D7EB1" w:rsidRDefault="004D7EB1" w:rsidP="00D87D91">
      <w:r w:rsidRPr="004D7EB1">
        <w:rPr>
          <w:rFonts w:hint="eastAsia"/>
        </w:rPr>
        <w:t>◎孟維德（</w:t>
      </w:r>
      <w:r w:rsidRPr="004D7EB1">
        <w:rPr>
          <w:rFonts w:hint="eastAsia"/>
        </w:rPr>
        <w:t>2010</w:t>
      </w:r>
      <w:r w:rsidRPr="004D7EB1">
        <w:rPr>
          <w:rFonts w:hint="eastAsia"/>
        </w:rPr>
        <w:t>），跨國組織犯罪及其防制之研究－以人口販運及移民走私活動為例，《警學叢刊》，第</w:t>
      </w:r>
      <w:r w:rsidRPr="004D7EB1">
        <w:rPr>
          <w:rFonts w:hint="eastAsia"/>
        </w:rPr>
        <w:t>40</w:t>
      </w:r>
      <w:r w:rsidRPr="004D7EB1">
        <w:rPr>
          <w:rFonts w:hint="eastAsia"/>
        </w:rPr>
        <w:t>卷第</w:t>
      </w:r>
      <w:r w:rsidRPr="004D7EB1">
        <w:rPr>
          <w:rFonts w:hint="eastAsia"/>
        </w:rPr>
        <w:t>6</w:t>
      </w:r>
      <w:r w:rsidRPr="004D7EB1">
        <w:rPr>
          <w:rFonts w:hint="eastAsia"/>
        </w:rPr>
        <w:t>期，頁</w:t>
      </w:r>
      <w:r w:rsidRPr="004D7EB1">
        <w:rPr>
          <w:rFonts w:hint="eastAsia"/>
        </w:rPr>
        <w:t>1~30</w:t>
      </w:r>
      <w:r w:rsidRPr="004D7EB1">
        <w:rPr>
          <w:rFonts w:hint="eastAsia"/>
        </w:rPr>
        <w:t>。</w:t>
      </w:r>
    </w:p>
    <w:p w14:paraId="6B1A4308" w14:textId="77777777" w:rsidR="004D7EB1" w:rsidRPr="004D7EB1" w:rsidRDefault="004D7EB1" w:rsidP="00D87D91">
      <w:r w:rsidRPr="004D7EB1">
        <w:rPr>
          <w:rFonts w:hint="eastAsia"/>
        </w:rPr>
        <w:t>◎孟維德（</w:t>
      </w:r>
      <w:r w:rsidRPr="004D7EB1">
        <w:rPr>
          <w:rFonts w:hint="eastAsia"/>
        </w:rPr>
        <w:t>2012</w:t>
      </w:r>
      <w:r w:rsidRPr="004D7EB1">
        <w:rPr>
          <w:rFonts w:hint="eastAsia"/>
        </w:rPr>
        <w:t>），《跨國犯罪》，臺北：五南圖書出版公司。</w:t>
      </w:r>
    </w:p>
    <w:p w14:paraId="698A7474" w14:textId="77777777" w:rsidR="004D7EB1" w:rsidRPr="004D7EB1" w:rsidRDefault="004D7EB1" w:rsidP="00D87D91">
      <w:r w:rsidRPr="004D7EB1">
        <w:rPr>
          <w:rFonts w:hint="eastAsia"/>
        </w:rPr>
        <w:t>◎孟維德（</w:t>
      </w:r>
      <w:r w:rsidRPr="004D7EB1">
        <w:rPr>
          <w:rFonts w:hint="eastAsia"/>
        </w:rPr>
        <w:t>2013</w:t>
      </w:r>
      <w:r w:rsidRPr="004D7EB1">
        <w:rPr>
          <w:rFonts w:hint="eastAsia"/>
        </w:rPr>
        <w:t>），全球性執法合作組織的運作與挑戰，《涉外執法與政策學報》，第</w:t>
      </w:r>
      <w:r w:rsidRPr="004D7EB1">
        <w:rPr>
          <w:rFonts w:hint="eastAsia"/>
        </w:rPr>
        <w:t>3</w:t>
      </w:r>
      <w:r w:rsidRPr="004D7EB1">
        <w:rPr>
          <w:rFonts w:hint="eastAsia"/>
        </w:rPr>
        <w:t>期，頁</w:t>
      </w:r>
      <w:r w:rsidRPr="004D7EB1">
        <w:rPr>
          <w:rFonts w:hint="eastAsia"/>
        </w:rPr>
        <w:t>1~39</w:t>
      </w:r>
      <w:r w:rsidRPr="004D7EB1">
        <w:rPr>
          <w:rFonts w:hint="eastAsia"/>
        </w:rPr>
        <w:t>。</w:t>
      </w:r>
    </w:p>
    <w:p w14:paraId="7FA26B5D" w14:textId="77777777" w:rsidR="004D7EB1" w:rsidRPr="004D7EB1" w:rsidRDefault="004D7EB1" w:rsidP="00D87D91">
      <w:r w:rsidRPr="004D7EB1">
        <w:rPr>
          <w:rFonts w:hint="eastAsia"/>
        </w:rPr>
        <w:t>◎林山田</w:t>
      </w:r>
      <w:r w:rsidRPr="004D7EB1">
        <w:rPr>
          <w:rFonts w:hint="eastAsia"/>
        </w:rPr>
        <w:t xml:space="preserve">(1999). </w:t>
      </w:r>
      <w:r w:rsidRPr="004D7EB1">
        <w:rPr>
          <w:rFonts w:hint="eastAsia"/>
        </w:rPr>
        <w:t>刑法各罪論</w:t>
      </w:r>
      <w:r w:rsidRPr="004D7EB1">
        <w:rPr>
          <w:rFonts w:hint="eastAsia"/>
        </w:rPr>
        <w:t>(</w:t>
      </w:r>
      <w:r w:rsidRPr="004D7EB1">
        <w:rPr>
          <w:rFonts w:hint="eastAsia"/>
        </w:rPr>
        <w:t>下冊</w:t>
      </w:r>
      <w:r w:rsidRPr="004D7EB1">
        <w:rPr>
          <w:rFonts w:hint="eastAsia"/>
        </w:rPr>
        <w:t>)</w:t>
      </w:r>
      <w:r w:rsidRPr="004D7EB1">
        <w:rPr>
          <w:rFonts w:hint="eastAsia"/>
        </w:rPr>
        <w:t>，臺北：台大法學院圖書部，第</w:t>
      </w:r>
      <w:r w:rsidRPr="004D7EB1">
        <w:rPr>
          <w:rFonts w:hint="eastAsia"/>
        </w:rPr>
        <w:t>519-539</w:t>
      </w:r>
      <w:r w:rsidRPr="004D7EB1">
        <w:rPr>
          <w:rFonts w:hint="eastAsia"/>
        </w:rPr>
        <w:t>頁。</w:t>
      </w:r>
    </w:p>
    <w:p w14:paraId="14FDDE33" w14:textId="77777777" w:rsidR="004D7EB1" w:rsidRPr="004D7EB1" w:rsidRDefault="004D7EB1" w:rsidP="00D87D91">
      <w:r w:rsidRPr="004D7EB1">
        <w:rPr>
          <w:rFonts w:hint="eastAsia"/>
        </w:rPr>
        <w:t>◎林佳和</w:t>
      </w:r>
      <w:r w:rsidRPr="004D7EB1">
        <w:rPr>
          <w:rFonts w:hint="eastAsia"/>
        </w:rPr>
        <w:t>(2003)</w:t>
      </w:r>
      <w:r w:rsidRPr="004D7EB1">
        <w:rPr>
          <w:rFonts w:hint="eastAsia"/>
        </w:rPr>
        <w:t>，外勞人權與行政管制</w:t>
      </w:r>
      <w:r w:rsidR="00D92F56">
        <w:rPr>
          <w:rFonts w:hint="eastAsia"/>
        </w:rPr>
        <w:t>〜</w:t>
      </w:r>
      <w:r w:rsidRPr="004D7EB1">
        <w:rPr>
          <w:rFonts w:hint="eastAsia"/>
        </w:rPr>
        <w:t>建立外勞保護體系之初步研究，行政院勞工委員會委託，中華民國勞資關係協進會，頁</w:t>
      </w:r>
      <w:r w:rsidRPr="004D7EB1">
        <w:rPr>
          <w:rFonts w:hint="eastAsia"/>
        </w:rPr>
        <w:t>47</w:t>
      </w:r>
      <w:r w:rsidRPr="004D7EB1">
        <w:rPr>
          <w:rFonts w:hint="eastAsia"/>
        </w:rPr>
        <w:t>。</w:t>
      </w:r>
    </w:p>
    <w:p w14:paraId="6A42177A" w14:textId="77777777" w:rsidR="004D7EB1" w:rsidRPr="004D7EB1" w:rsidRDefault="004D7EB1" w:rsidP="00D87D91">
      <w:r w:rsidRPr="004D7EB1">
        <w:rPr>
          <w:rFonts w:hint="eastAsia"/>
        </w:rPr>
        <w:t>◎林坤亮</w:t>
      </w:r>
      <w:r w:rsidRPr="004D7EB1">
        <w:rPr>
          <w:rFonts w:hint="eastAsia"/>
        </w:rPr>
        <w:t>(1993)</w:t>
      </w:r>
      <w:r w:rsidRPr="004D7EB1">
        <w:rPr>
          <w:rFonts w:hint="eastAsia"/>
        </w:rPr>
        <w:t>，我國外籍勞工管理制度之研究，中國文化大學勞工關係研究所碩士論文。</w:t>
      </w:r>
    </w:p>
    <w:p w14:paraId="048B9211" w14:textId="77777777" w:rsidR="004D7EB1" w:rsidRPr="004D7EB1" w:rsidRDefault="004D7EB1" w:rsidP="00D87D91">
      <w:r w:rsidRPr="004D7EB1">
        <w:rPr>
          <w:rFonts w:hint="eastAsia"/>
        </w:rPr>
        <w:t>◎林政論</w:t>
      </w:r>
      <w:r w:rsidRPr="004D7EB1">
        <w:rPr>
          <w:rFonts w:hint="eastAsia"/>
        </w:rPr>
        <w:t>(1991)</w:t>
      </w:r>
      <w:r w:rsidRPr="004D7EB1">
        <w:rPr>
          <w:rFonts w:hint="eastAsia"/>
        </w:rPr>
        <w:t>，日本外籍勞工問題的現況（上），勞工行政，第</w:t>
      </w:r>
      <w:r w:rsidRPr="004D7EB1">
        <w:rPr>
          <w:rFonts w:hint="eastAsia"/>
        </w:rPr>
        <w:t>32</w:t>
      </w:r>
      <w:r w:rsidRPr="004D7EB1">
        <w:rPr>
          <w:rFonts w:hint="eastAsia"/>
        </w:rPr>
        <w:t>期，民國</w:t>
      </w:r>
      <w:r w:rsidRPr="004D7EB1">
        <w:rPr>
          <w:rFonts w:hint="eastAsia"/>
        </w:rPr>
        <w:t>80</w:t>
      </w:r>
      <w:r w:rsidRPr="004D7EB1">
        <w:rPr>
          <w:rFonts w:hint="eastAsia"/>
        </w:rPr>
        <w:t>年，頁</w:t>
      </w:r>
      <w:r w:rsidRPr="004D7EB1">
        <w:rPr>
          <w:rFonts w:hint="eastAsia"/>
        </w:rPr>
        <w:t>52</w:t>
      </w:r>
      <w:r w:rsidRPr="004D7EB1">
        <w:rPr>
          <w:rFonts w:hint="eastAsia"/>
        </w:rPr>
        <w:t>至</w:t>
      </w:r>
      <w:r w:rsidRPr="004D7EB1">
        <w:rPr>
          <w:rFonts w:hint="eastAsia"/>
        </w:rPr>
        <w:t>54</w:t>
      </w:r>
      <w:r w:rsidRPr="004D7EB1">
        <w:rPr>
          <w:rFonts w:hint="eastAsia"/>
        </w:rPr>
        <w:t>。</w:t>
      </w:r>
    </w:p>
    <w:p w14:paraId="796F5B7B" w14:textId="77777777" w:rsidR="004D7EB1" w:rsidRPr="004D7EB1" w:rsidRDefault="004D7EB1" w:rsidP="00D87D91">
      <w:r w:rsidRPr="004D7EB1">
        <w:rPr>
          <w:rFonts w:hint="eastAsia"/>
        </w:rPr>
        <w:t>◎林政論</w:t>
      </w:r>
      <w:r w:rsidRPr="004D7EB1">
        <w:rPr>
          <w:rFonts w:hint="eastAsia"/>
        </w:rPr>
        <w:t>(1991)</w:t>
      </w:r>
      <w:r w:rsidRPr="004D7EB1">
        <w:rPr>
          <w:rFonts w:hint="eastAsia"/>
        </w:rPr>
        <w:t>，日本外籍勞工問題的現況（下），勞工行政，第</w:t>
      </w:r>
      <w:r w:rsidRPr="004D7EB1">
        <w:rPr>
          <w:rFonts w:hint="eastAsia"/>
        </w:rPr>
        <w:t>33</w:t>
      </w:r>
      <w:r w:rsidRPr="004D7EB1">
        <w:rPr>
          <w:rFonts w:hint="eastAsia"/>
        </w:rPr>
        <w:t>期，頁</w:t>
      </w:r>
      <w:r w:rsidRPr="004D7EB1">
        <w:rPr>
          <w:rFonts w:hint="eastAsia"/>
        </w:rPr>
        <w:t>44</w:t>
      </w:r>
      <w:r w:rsidRPr="004D7EB1">
        <w:rPr>
          <w:rFonts w:hint="eastAsia"/>
        </w:rPr>
        <w:t>至</w:t>
      </w:r>
      <w:r w:rsidRPr="004D7EB1">
        <w:rPr>
          <w:rFonts w:hint="eastAsia"/>
        </w:rPr>
        <w:t>46</w:t>
      </w:r>
      <w:r w:rsidRPr="004D7EB1">
        <w:rPr>
          <w:rFonts w:hint="eastAsia"/>
        </w:rPr>
        <w:t>。</w:t>
      </w:r>
    </w:p>
    <w:p w14:paraId="40157E90" w14:textId="77777777" w:rsidR="004D7EB1" w:rsidRPr="004D7EB1" w:rsidRDefault="004D7EB1" w:rsidP="00D87D91">
      <w:r w:rsidRPr="004D7EB1">
        <w:rPr>
          <w:rFonts w:hint="eastAsia"/>
        </w:rPr>
        <w:t>◎林盈君（</w:t>
      </w:r>
      <w:r w:rsidRPr="004D7EB1">
        <w:rPr>
          <w:rFonts w:hint="eastAsia"/>
        </w:rPr>
        <w:t>2009</w:t>
      </w:r>
      <w:r w:rsidRPr="004D7EB1">
        <w:rPr>
          <w:rFonts w:hint="eastAsia"/>
        </w:rPr>
        <w:t>），人口與社會排除</w:t>
      </w:r>
      <w:r w:rsidRPr="004D7EB1">
        <w:rPr>
          <w:rFonts w:hint="eastAsia"/>
        </w:rPr>
        <w:t>:</w:t>
      </w:r>
      <w:r w:rsidRPr="004D7EB1">
        <w:rPr>
          <w:rFonts w:hint="eastAsia"/>
        </w:rPr>
        <w:t>性別、人口販運與社會排除：以中國女子遭受人口販運至臺灣為例，發表於邁向融合的社會：新時代下的社會排除與社會政策回應國際研討會，</w:t>
      </w:r>
      <w:r w:rsidRPr="004D7EB1">
        <w:rPr>
          <w:rFonts w:hint="eastAsia"/>
        </w:rPr>
        <w:t>2009</w:t>
      </w:r>
      <w:r w:rsidRPr="004D7EB1">
        <w:rPr>
          <w:rFonts w:hint="eastAsia"/>
        </w:rPr>
        <w:t>年</w:t>
      </w:r>
      <w:r w:rsidRPr="004D7EB1">
        <w:rPr>
          <w:rFonts w:hint="eastAsia"/>
        </w:rPr>
        <w:t xml:space="preserve">12 </w:t>
      </w:r>
      <w:r w:rsidRPr="004D7EB1">
        <w:rPr>
          <w:rFonts w:hint="eastAsia"/>
        </w:rPr>
        <w:t>月</w:t>
      </w:r>
      <w:r w:rsidRPr="004D7EB1">
        <w:rPr>
          <w:rFonts w:hint="eastAsia"/>
        </w:rPr>
        <w:t xml:space="preserve">4 </w:t>
      </w:r>
      <w:r w:rsidRPr="004D7EB1">
        <w:rPr>
          <w:rFonts w:hint="eastAsia"/>
        </w:rPr>
        <w:t>日至</w:t>
      </w:r>
      <w:r w:rsidRPr="004D7EB1">
        <w:rPr>
          <w:rFonts w:hint="eastAsia"/>
        </w:rPr>
        <w:t xml:space="preserve">12 </w:t>
      </w:r>
      <w:r w:rsidRPr="004D7EB1">
        <w:rPr>
          <w:rFonts w:hint="eastAsia"/>
        </w:rPr>
        <w:t>月</w:t>
      </w:r>
      <w:r w:rsidRPr="004D7EB1">
        <w:rPr>
          <w:rFonts w:hint="eastAsia"/>
        </w:rPr>
        <w:t xml:space="preserve">5 </w:t>
      </w:r>
      <w:r w:rsidRPr="004D7EB1">
        <w:rPr>
          <w:rFonts w:hint="eastAsia"/>
        </w:rPr>
        <w:t>日於臺北：台灣社會政策學會年會主辦，臺灣大學。</w:t>
      </w:r>
    </w:p>
    <w:p w14:paraId="13A51DFA" w14:textId="77777777" w:rsidR="004D7EB1" w:rsidRPr="004D7EB1" w:rsidRDefault="004D7EB1" w:rsidP="00D87D91">
      <w:r w:rsidRPr="004D7EB1">
        <w:rPr>
          <w:rFonts w:hint="eastAsia"/>
        </w:rPr>
        <w:t>◎林盈君</w:t>
      </w:r>
      <w:r w:rsidRPr="004D7EB1">
        <w:rPr>
          <w:rFonts w:hint="eastAsia"/>
        </w:rPr>
        <w:t>(2012)</w:t>
      </w:r>
      <w:r w:rsidRPr="004D7EB1">
        <w:rPr>
          <w:rFonts w:hint="eastAsia"/>
        </w:rPr>
        <w:t>，人口販運受害者保護服務現況及困境</w:t>
      </w:r>
      <w:r w:rsidRPr="004D7EB1">
        <w:rPr>
          <w:rFonts w:hint="eastAsia"/>
        </w:rPr>
        <w:t>:</w:t>
      </w:r>
      <w:r w:rsidRPr="004D7EB1">
        <w:rPr>
          <w:rFonts w:hint="eastAsia"/>
        </w:rPr>
        <w:t>以三個庇護所收容所為例，收錄於中央警察大學移民研究中心主辦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14:paraId="407BB41F" w14:textId="77777777" w:rsidR="004D7EB1" w:rsidRPr="004D7EB1" w:rsidRDefault="004D7EB1" w:rsidP="00D87D91">
      <w:r w:rsidRPr="004D7EB1">
        <w:rPr>
          <w:rFonts w:hint="eastAsia"/>
        </w:rPr>
        <w:t>◎林紀東</w:t>
      </w:r>
      <w:r w:rsidRPr="004D7EB1">
        <w:rPr>
          <w:rFonts w:hint="eastAsia"/>
        </w:rPr>
        <w:t>(1992)</w:t>
      </w:r>
      <w:r w:rsidRPr="004D7EB1">
        <w:rPr>
          <w:rFonts w:hint="eastAsia"/>
        </w:rPr>
        <w:t>，中華民國憲法釋義，大中國圖書公司，頁</w:t>
      </w:r>
      <w:r w:rsidRPr="004D7EB1">
        <w:rPr>
          <w:rFonts w:hint="eastAsia"/>
        </w:rPr>
        <w:t>148-149</w:t>
      </w:r>
      <w:r w:rsidRPr="004D7EB1">
        <w:rPr>
          <w:rFonts w:hint="eastAsia"/>
        </w:rPr>
        <w:t>。</w:t>
      </w:r>
    </w:p>
    <w:p w14:paraId="64B9DADB" w14:textId="77777777" w:rsidR="004D7EB1" w:rsidRPr="004D7EB1" w:rsidRDefault="004D7EB1" w:rsidP="00D87D91">
      <w:r w:rsidRPr="004D7EB1">
        <w:rPr>
          <w:rFonts w:hint="eastAsia"/>
        </w:rPr>
        <w:t>◎林紀東</w:t>
      </w:r>
      <w:r w:rsidRPr="004D7EB1">
        <w:rPr>
          <w:rFonts w:hint="eastAsia"/>
        </w:rPr>
        <w:t>(1993)</w:t>
      </w:r>
      <w:r w:rsidRPr="004D7EB1">
        <w:rPr>
          <w:rFonts w:hint="eastAsia"/>
        </w:rPr>
        <w:t>，中華民國憲法釋論，臺北市：大中國圖書公司。</w:t>
      </w:r>
    </w:p>
    <w:p w14:paraId="490DFC58" w14:textId="77777777" w:rsidR="004D7EB1" w:rsidRPr="004D7EB1" w:rsidRDefault="004D7EB1" w:rsidP="00D87D91">
      <w:r w:rsidRPr="004D7EB1">
        <w:rPr>
          <w:rFonts w:hint="eastAsia"/>
        </w:rPr>
        <w:t>◎林素卿</w:t>
      </w:r>
      <w:r w:rsidRPr="004D7EB1">
        <w:rPr>
          <w:rFonts w:hint="eastAsia"/>
        </w:rPr>
        <w:t xml:space="preserve">(1985). </w:t>
      </w:r>
      <w:r w:rsidRPr="004D7EB1">
        <w:rPr>
          <w:rFonts w:hint="eastAsia"/>
        </w:rPr>
        <w:t>日本殖民體制下之臺灣鴉片政策研究，淡江大學日本文所碩士論文，第</w:t>
      </w:r>
      <w:r w:rsidRPr="004D7EB1">
        <w:rPr>
          <w:rFonts w:hint="eastAsia"/>
        </w:rPr>
        <w:t>10-41</w:t>
      </w:r>
      <w:r w:rsidRPr="004D7EB1">
        <w:rPr>
          <w:rFonts w:hint="eastAsia"/>
        </w:rPr>
        <w:t>頁。</w:t>
      </w:r>
    </w:p>
    <w:p w14:paraId="38968E51" w14:textId="77777777" w:rsidR="004D7EB1" w:rsidRPr="004D7EB1" w:rsidRDefault="004D7EB1" w:rsidP="00D87D91">
      <w:r w:rsidRPr="004D7EB1">
        <w:rPr>
          <w:rFonts w:hint="eastAsia"/>
        </w:rPr>
        <w:t>◎林健陽、柯雨瑞</w:t>
      </w:r>
      <w:r w:rsidRPr="004D7EB1">
        <w:rPr>
          <w:rFonts w:hint="eastAsia"/>
        </w:rPr>
        <w:t>(2000)</w:t>
      </w:r>
      <w:r w:rsidRPr="004D7EB1">
        <w:rPr>
          <w:rFonts w:hint="eastAsia"/>
        </w:rPr>
        <w:t>，毒品除罪化及其對「犯罪矯治」之影響，中央警察大學犯罪防治學報創刊號，頁</w:t>
      </w:r>
      <w:r w:rsidRPr="004D7EB1">
        <w:rPr>
          <w:rFonts w:hint="eastAsia"/>
        </w:rPr>
        <w:t>63</w:t>
      </w:r>
      <w:r w:rsidRPr="004D7EB1">
        <w:rPr>
          <w:rFonts w:hint="eastAsia"/>
        </w:rPr>
        <w:t>至</w:t>
      </w:r>
      <w:r w:rsidRPr="004D7EB1">
        <w:rPr>
          <w:rFonts w:hint="eastAsia"/>
        </w:rPr>
        <w:t>112</w:t>
      </w:r>
      <w:r w:rsidRPr="004D7EB1">
        <w:rPr>
          <w:rFonts w:hint="eastAsia"/>
        </w:rPr>
        <w:t>。</w:t>
      </w:r>
    </w:p>
    <w:p w14:paraId="02DE84CF" w14:textId="77777777" w:rsidR="004D7EB1" w:rsidRPr="004D7EB1" w:rsidRDefault="004D7EB1" w:rsidP="00D87D91">
      <w:r w:rsidRPr="004D7EB1">
        <w:rPr>
          <w:rFonts w:hint="eastAsia"/>
        </w:rPr>
        <w:t>◎林健陽、柯雨瑞</w:t>
      </w:r>
      <w:r w:rsidRPr="004D7EB1">
        <w:rPr>
          <w:rFonts w:hint="eastAsia"/>
        </w:rPr>
        <w:t>(2001)</w:t>
      </w:r>
      <w:r w:rsidRPr="004D7EB1">
        <w:rPr>
          <w:rFonts w:hint="eastAsia"/>
        </w:rPr>
        <w:t>，美國</w:t>
      </w:r>
      <w:r w:rsidRPr="004D7EB1">
        <w:rPr>
          <w:rFonts w:hint="eastAsia"/>
        </w:rPr>
        <w:t>1960</w:t>
      </w:r>
      <w:r w:rsidRPr="004D7EB1">
        <w:rPr>
          <w:rFonts w:hint="eastAsia"/>
        </w:rPr>
        <w:t>年代早期聯邦最高法院對「毒品成癮性」除罪化的態度</w:t>
      </w:r>
      <w:r w:rsidR="00D92F56">
        <w:rPr>
          <w:rFonts w:hint="eastAsia"/>
        </w:rPr>
        <w:t>〜</w:t>
      </w:r>
      <w:r w:rsidRPr="004D7EB1">
        <w:rPr>
          <w:rFonts w:hint="eastAsia"/>
        </w:rPr>
        <w:t>以</w:t>
      </w:r>
      <w:r w:rsidRPr="004D7EB1">
        <w:rPr>
          <w:rFonts w:hint="eastAsia"/>
        </w:rPr>
        <w:t>1962</w:t>
      </w:r>
      <w:r w:rsidRPr="004D7EB1">
        <w:rPr>
          <w:rFonts w:hint="eastAsia"/>
        </w:rPr>
        <w:t>年</w:t>
      </w:r>
      <w:r w:rsidRPr="004D7EB1">
        <w:rPr>
          <w:rFonts w:hint="eastAsia"/>
        </w:rPr>
        <w:t>Robinson v. California</w:t>
      </w:r>
      <w:r w:rsidRPr="004D7EB1">
        <w:rPr>
          <w:rFonts w:hint="eastAsia"/>
        </w:rPr>
        <w:t>案為例，中央警察大學學報第</w:t>
      </w:r>
      <w:r w:rsidRPr="004D7EB1">
        <w:rPr>
          <w:rFonts w:hint="eastAsia"/>
        </w:rPr>
        <w:t>38</w:t>
      </w:r>
      <w:r w:rsidRPr="004D7EB1">
        <w:rPr>
          <w:rFonts w:hint="eastAsia"/>
        </w:rPr>
        <w:t>期，頁</w:t>
      </w:r>
      <w:r w:rsidRPr="004D7EB1">
        <w:rPr>
          <w:rFonts w:hint="eastAsia"/>
        </w:rPr>
        <w:t>267-294</w:t>
      </w:r>
      <w:r w:rsidRPr="004D7EB1">
        <w:rPr>
          <w:rFonts w:hint="eastAsia"/>
        </w:rPr>
        <w:t>。</w:t>
      </w:r>
    </w:p>
    <w:p w14:paraId="2D99A256" w14:textId="77777777" w:rsidR="004D7EB1" w:rsidRPr="004D7EB1" w:rsidRDefault="004D7EB1" w:rsidP="00D87D91">
      <w:r w:rsidRPr="004D7EB1">
        <w:rPr>
          <w:rFonts w:hint="eastAsia"/>
        </w:rPr>
        <w:t>◎林健陽、柯雨瑞</w:t>
      </w:r>
      <w:r w:rsidRPr="004D7EB1">
        <w:rPr>
          <w:rFonts w:hint="eastAsia"/>
        </w:rPr>
        <w:t>(2003)</w:t>
      </w:r>
      <w:r w:rsidRPr="004D7EB1">
        <w:rPr>
          <w:rFonts w:hint="eastAsia"/>
        </w:rPr>
        <w:t>，毒品犯罪與防治，初版一刷，桃園：中央警察大學。</w:t>
      </w:r>
    </w:p>
    <w:p w14:paraId="79F58C5E" w14:textId="77777777" w:rsidR="004D7EB1" w:rsidRPr="004D7EB1" w:rsidRDefault="004D7EB1" w:rsidP="00D87D91">
      <w:r w:rsidRPr="004D7EB1">
        <w:rPr>
          <w:rFonts w:hint="eastAsia"/>
        </w:rPr>
        <w:t>◎林健陽、柯雨瑞</w:t>
      </w:r>
      <w:r w:rsidRPr="004D7EB1">
        <w:rPr>
          <w:rFonts w:hint="eastAsia"/>
        </w:rPr>
        <w:t>(2003)</w:t>
      </w:r>
      <w:r w:rsidRPr="004D7EB1">
        <w:rPr>
          <w:rFonts w:hint="eastAsia"/>
        </w:rPr>
        <w:t>，國內外毒品戒治模式分析，中央警察大學犯罪防治學報第</w:t>
      </w:r>
      <w:r w:rsidRPr="004D7EB1">
        <w:rPr>
          <w:rFonts w:hint="eastAsia"/>
        </w:rPr>
        <w:t>4</w:t>
      </w:r>
      <w:r w:rsidRPr="004D7EB1">
        <w:rPr>
          <w:rFonts w:hint="eastAsia"/>
        </w:rPr>
        <w:t>期。</w:t>
      </w:r>
    </w:p>
    <w:p w14:paraId="5C16DBCC" w14:textId="77777777" w:rsidR="004D7EB1" w:rsidRPr="004D7EB1" w:rsidRDefault="004D7EB1" w:rsidP="00D87D91">
      <w:r w:rsidRPr="004D7EB1">
        <w:rPr>
          <w:rFonts w:hint="eastAsia"/>
        </w:rPr>
        <w:t>◎林健陽、柯雨瑞</w:t>
      </w:r>
      <w:r w:rsidRPr="004D7EB1">
        <w:rPr>
          <w:rFonts w:hint="eastAsia"/>
        </w:rPr>
        <w:t>(2006)</w:t>
      </w:r>
      <w:r w:rsidRPr="004D7EB1">
        <w:rPr>
          <w:rFonts w:hint="eastAsia"/>
        </w:rPr>
        <w:t>，新興毒品管理制度之國際比較分析，發表於國立臺北大學犯罪學研究所「第三屆（</w:t>
      </w:r>
      <w:r w:rsidRPr="004D7EB1">
        <w:rPr>
          <w:rFonts w:hint="eastAsia"/>
        </w:rPr>
        <w:t>2006</w:t>
      </w:r>
      <w:r w:rsidRPr="004D7EB1">
        <w:rPr>
          <w:rFonts w:hint="eastAsia"/>
        </w:rPr>
        <w:t>年）犯罪問題與對策」學術研討會。</w:t>
      </w:r>
    </w:p>
    <w:p w14:paraId="73FAFF71" w14:textId="77777777" w:rsidR="004D7EB1" w:rsidRPr="004D7EB1" w:rsidRDefault="004D7EB1" w:rsidP="00D87D91">
      <w:r w:rsidRPr="004D7EB1">
        <w:rPr>
          <w:rFonts w:hint="eastAsia"/>
        </w:rPr>
        <w:t>◎林健陽、柯雨瑞</w:t>
      </w:r>
      <w:r w:rsidRPr="004D7EB1">
        <w:rPr>
          <w:rFonts w:hint="eastAsia"/>
        </w:rPr>
        <w:t>(2008)</w:t>
      </w:r>
      <w:r w:rsidRPr="004D7EB1">
        <w:rPr>
          <w:rFonts w:hint="eastAsia"/>
        </w:rPr>
        <w:t>，兩岸共同打擊毒品犯罪對策初探，發表於「</w:t>
      </w:r>
      <w:r w:rsidRPr="004D7EB1">
        <w:rPr>
          <w:rFonts w:hint="eastAsia"/>
        </w:rPr>
        <w:t>2008</w:t>
      </w:r>
      <w:r w:rsidRPr="004D7EB1">
        <w:rPr>
          <w:rFonts w:hint="eastAsia"/>
        </w:rPr>
        <w:t>警學與安全管理研討會」。</w:t>
      </w:r>
    </w:p>
    <w:p w14:paraId="7F268630" w14:textId="77777777" w:rsidR="004D7EB1" w:rsidRPr="004D7EB1" w:rsidRDefault="004D7EB1" w:rsidP="00D87D91">
      <w:r w:rsidRPr="004D7EB1">
        <w:rPr>
          <w:rFonts w:hint="eastAsia"/>
        </w:rPr>
        <w:t>◎林健陽、柯雨瑞</w:t>
      </w:r>
      <w:r w:rsidRPr="004D7EB1">
        <w:rPr>
          <w:rFonts w:hint="eastAsia"/>
        </w:rPr>
        <w:t>(2008)</w:t>
      </w:r>
      <w:r w:rsidRPr="004D7EB1">
        <w:rPr>
          <w:rFonts w:hint="eastAsia"/>
        </w:rPr>
        <w:t>，論兩岸共同打擊毒品犯罪之對策，中央警察大學犯罪防治學報第</w:t>
      </w:r>
      <w:r w:rsidRPr="004D7EB1">
        <w:rPr>
          <w:rFonts w:hint="eastAsia"/>
        </w:rPr>
        <w:t>9</w:t>
      </w:r>
      <w:r w:rsidRPr="004D7EB1">
        <w:rPr>
          <w:rFonts w:hint="eastAsia"/>
        </w:rPr>
        <w:t>期，頁</w:t>
      </w:r>
      <w:r w:rsidRPr="004D7EB1">
        <w:rPr>
          <w:rFonts w:hint="eastAsia"/>
        </w:rPr>
        <w:t>1-20</w:t>
      </w:r>
      <w:r w:rsidR="00545D58">
        <w:rPr>
          <w:rFonts w:hint="eastAsia"/>
        </w:rPr>
        <w:t>。</w:t>
      </w:r>
    </w:p>
    <w:p w14:paraId="03F6CE43" w14:textId="77777777" w:rsidR="004D7EB1" w:rsidRPr="004D7EB1" w:rsidRDefault="004D7EB1" w:rsidP="00D87D91">
      <w:r w:rsidRPr="004D7EB1">
        <w:rPr>
          <w:rFonts w:hint="eastAsia"/>
        </w:rPr>
        <w:t>◎林健陽、柯雨瑞</w:t>
      </w:r>
      <w:r w:rsidRPr="004D7EB1">
        <w:rPr>
          <w:rFonts w:hint="eastAsia"/>
        </w:rPr>
        <w:t>(2009)</w:t>
      </w:r>
      <w:r w:rsidRPr="004D7EB1">
        <w:rPr>
          <w:rFonts w:hint="eastAsia"/>
        </w:rPr>
        <w:t>，警察人員防制毒品濫用宣導的角色與成效之初探</w:t>
      </w:r>
      <w:r w:rsidR="00D92F56">
        <w:rPr>
          <w:rFonts w:hint="eastAsia"/>
        </w:rPr>
        <w:t>〜</w:t>
      </w:r>
      <w:r w:rsidRPr="004D7EB1">
        <w:rPr>
          <w:rFonts w:hint="eastAsia"/>
        </w:rPr>
        <w:t>以「防制毒品濫用宣導教育」</w:t>
      </w:r>
      <w:r w:rsidRPr="004D7EB1">
        <w:rPr>
          <w:rFonts w:hint="eastAsia"/>
        </w:rPr>
        <w:t>(D.A.R.E)</w:t>
      </w:r>
      <w:r w:rsidRPr="004D7EB1">
        <w:rPr>
          <w:rFonts w:hint="eastAsia"/>
        </w:rPr>
        <w:t>為中心，發表於玄奘大學主辦第六屆地方治理與城鄉發展學術研討會。</w:t>
      </w:r>
    </w:p>
    <w:p w14:paraId="2E538654" w14:textId="77777777" w:rsidR="004D7EB1" w:rsidRPr="004D7EB1" w:rsidRDefault="004D7EB1" w:rsidP="00D87D91">
      <w:r w:rsidRPr="004D7EB1">
        <w:rPr>
          <w:rFonts w:hint="eastAsia"/>
        </w:rPr>
        <w:t>◎林健陽、柯雨瑞</w:t>
      </w:r>
      <w:r w:rsidRPr="004D7EB1">
        <w:rPr>
          <w:rFonts w:hint="eastAsia"/>
        </w:rPr>
        <w:t>(2011)</w:t>
      </w:r>
      <w:r w:rsidRPr="004D7EB1">
        <w:rPr>
          <w:rFonts w:hint="eastAsia"/>
        </w:rPr>
        <w:t>，毒品政策與處遇，收錄於許春金等著，刑事政策與刑事司法，初版，臺北市：三民書局，頁</w:t>
      </w:r>
      <w:r w:rsidRPr="004D7EB1">
        <w:rPr>
          <w:rFonts w:hint="eastAsia"/>
        </w:rPr>
        <w:t>69-130</w:t>
      </w:r>
      <w:r w:rsidRPr="004D7EB1">
        <w:rPr>
          <w:rFonts w:hint="eastAsia"/>
        </w:rPr>
        <w:t>。</w:t>
      </w:r>
    </w:p>
    <w:p w14:paraId="555521E0" w14:textId="77777777" w:rsidR="004D7EB1" w:rsidRPr="004D7EB1" w:rsidRDefault="004D7EB1" w:rsidP="00D87D91">
      <w:r w:rsidRPr="004D7EB1">
        <w:rPr>
          <w:rFonts w:hint="eastAsia"/>
        </w:rPr>
        <w:t>◎林健陽、柯雨瑞</w:t>
      </w:r>
      <w:r w:rsidRPr="004D7EB1">
        <w:rPr>
          <w:rFonts w:hint="eastAsia"/>
        </w:rPr>
        <w:t>(2011)</w:t>
      </w:r>
      <w:r w:rsidRPr="004D7EB1">
        <w:rPr>
          <w:rFonts w:hint="eastAsia"/>
        </w:rPr>
        <w:t>，毒品政策與處遇之探討，中央警察大學犯罪防治學報第</w:t>
      </w:r>
      <w:r w:rsidRPr="004D7EB1">
        <w:rPr>
          <w:rFonts w:hint="eastAsia"/>
        </w:rPr>
        <w:t>13</w:t>
      </w:r>
      <w:r w:rsidRPr="004D7EB1">
        <w:rPr>
          <w:rFonts w:hint="eastAsia"/>
        </w:rPr>
        <w:t>期，頁</w:t>
      </w:r>
      <w:r w:rsidRPr="004D7EB1">
        <w:rPr>
          <w:rFonts w:hint="eastAsia"/>
        </w:rPr>
        <w:t>1-65</w:t>
      </w:r>
      <w:r w:rsidRPr="004D7EB1">
        <w:rPr>
          <w:rFonts w:hint="eastAsia"/>
        </w:rPr>
        <w:t>。</w:t>
      </w:r>
    </w:p>
    <w:p w14:paraId="3E0174A7" w14:textId="77777777" w:rsidR="004D7EB1" w:rsidRPr="004D7EB1" w:rsidRDefault="004D7EB1" w:rsidP="00D87D91">
      <w:r w:rsidRPr="004D7EB1">
        <w:rPr>
          <w:rFonts w:hint="eastAsia"/>
        </w:rPr>
        <w:t>◎林健陽、陳玉書</w:t>
      </w:r>
      <w:r w:rsidRPr="004D7EB1">
        <w:rPr>
          <w:rFonts w:hint="eastAsia"/>
        </w:rPr>
        <w:t xml:space="preserve">(2005). </w:t>
      </w:r>
      <w:r w:rsidRPr="004D7EB1">
        <w:rPr>
          <w:rFonts w:hint="eastAsia"/>
        </w:rPr>
        <w:t>分析聯合國及各先進國家新興毒品防制之作為，行政院衛生署管制藥品管理局補助，未出版。</w:t>
      </w:r>
    </w:p>
    <w:p w14:paraId="58E5022F" w14:textId="77777777" w:rsidR="004D7EB1" w:rsidRPr="004D7EB1" w:rsidRDefault="004D7EB1" w:rsidP="00D87D91">
      <w:r w:rsidRPr="004D7EB1">
        <w:rPr>
          <w:rFonts w:hint="eastAsia"/>
        </w:rPr>
        <w:t>◎林健陽、陳玉書</w:t>
      </w:r>
      <w:r w:rsidRPr="004D7EB1">
        <w:rPr>
          <w:rFonts w:hint="eastAsia"/>
        </w:rPr>
        <w:t xml:space="preserve">(2008). </w:t>
      </w:r>
      <w:r w:rsidRPr="004D7EB1">
        <w:rPr>
          <w:rFonts w:hint="eastAsia"/>
        </w:rPr>
        <w:t>毒品施用者替代療法之研究，財團法人林心正教育基金會委託，未出版。</w:t>
      </w:r>
    </w:p>
    <w:p w14:paraId="6491A4E8" w14:textId="77777777" w:rsidR="004D7EB1" w:rsidRPr="004D7EB1" w:rsidRDefault="004D7EB1" w:rsidP="00D87D91">
      <w:r w:rsidRPr="004D7EB1">
        <w:rPr>
          <w:rFonts w:hint="eastAsia"/>
        </w:rPr>
        <w:t>◎林健陽、陳玉書、柯雨瑞、張智雄、呂豐足</w:t>
      </w:r>
      <w:r w:rsidRPr="004D7EB1">
        <w:rPr>
          <w:rFonts w:hint="eastAsia"/>
        </w:rPr>
        <w:t>(2007)</w:t>
      </w:r>
      <w:r w:rsidRPr="004D7EB1">
        <w:rPr>
          <w:rFonts w:hint="eastAsia"/>
        </w:rPr>
        <w:t>，我國當前毒品戒治政策之省思與建議，收錄於法務部刑事政策與犯罪研究論文集</w:t>
      </w:r>
      <w:r w:rsidRPr="004D7EB1">
        <w:rPr>
          <w:rFonts w:hint="eastAsia"/>
        </w:rPr>
        <w:t>(</w:t>
      </w:r>
      <w:r w:rsidRPr="004D7EB1">
        <w:rPr>
          <w:rFonts w:hint="eastAsia"/>
        </w:rPr>
        <w:t>十</w:t>
      </w:r>
      <w:r w:rsidRPr="004D7EB1">
        <w:rPr>
          <w:rFonts w:hint="eastAsia"/>
        </w:rPr>
        <w:t>)</w:t>
      </w:r>
      <w:r w:rsidRPr="004D7EB1">
        <w:rPr>
          <w:rFonts w:hint="eastAsia"/>
        </w:rPr>
        <w:t>，頁</w:t>
      </w:r>
      <w:r w:rsidRPr="004D7EB1">
        <w:rPr>
          <w:rFonts w:hint="eastAsia"/>
        </w:rPr>
        <w:t>283</w:t>
      </w:r>
      <w:r w:rsidRPr="004D7EB1">
        <w:rPr>
          <w:rFonts w:hint="eastAsia"/>
        </w:rPr>
        <w:t>至</w:t>
      </w:r>
      <w:r w:rsidRPr="004D7EB1">
        <w:rPr>
          <w:rFonts w:hint="eastAsia"/>
        </w:rPr>
        <w:t>322</w:t>
      </w:r>
      <w:r w:rsidRPr="004D7EB1">
        <w:rPr>
          <w:rFonts w:hint="eastAsia"/>
        </w:rPr>
        <w:t>。</w:t>
      </w:r>
    </w:p>
    <w:p w14:paraId="42703E55" w14:textId="77777777" w:rsidR="004D7EB1" w:rsidRPr="004D7EB1" w:rsidRDefault="004D7EB1" w:rsidP="00D87D91">
      <w:r w:rsidRPr="004D7EB1">
        <w:rPr>
          <w:rFonts w:hint="eastAsia"/>
        </w:rPr>
        <w:t>◎林焜熿</w:t>
      </w:r>
      <w:r w:rsidRPr="004D7EB1">
        <w:rPr>
          <w:rFonts w:hint="eastAsia"/>
        </w:rPr>
        <w:t xml:space="preserve">(1960). </w:t>
      </w:r>
      <w:r w:rsidRPr="004D7EB1">
        <w:rPr>
          <w:rFonts w:hint="eastAsia"/>
        </w:rPr>
        <w:t>金門志，台灣文獻叢刊第</w:t>
      </w:r>
      <w:r w:rsidRPr="004D7EB1">
        <w:rPr>
          <w:rFonts w:hint="eastAsia"/>
        </w:rPr>
        <w:t>80</w:t>
      </w:r>
      <w:r w:rsidRPr="004D7EB1">
        <w:rPr>
          <w:rFonts w:hint="eastAsia"/>
        </w:rPr>
        <w:t>種第</w:t>
      </w:r>
      <w:r w:rsidRPr="004D7EB1">
        <w:rPr>
          <w:rFonts w:hint="eastAsia"/>
        </w:rPr>
        <w:t>16</w:t>
      </w:r>
      <w:r w:rsidRPr="004D7EB1">
        <w:rPr>
          <w:rFonts w:hint="eastAsia"/>
        </w:rPr>
        <w:t>卷，臺北：台灣銀行經濟研究室，第</w:t>
      </w:r>
      <w:r w:rsidRPr="004D7EB1">
        <w:rPr>
          <w:rFonts w:hint="eastAsia"/>
        </w:rPr>
        <w:t>405</w:t>
      </w:r>
      <w:r w:rsidRPr="004D7EB1">
        <w:rPr>
          <w:rFonts w:hint="eastAsia"/>
        </w:rPr>
        <w:t>頁。</w:t>
      </w:r>
    </w:p>
    <w:p w14:paraId="67142BDA" w14:textId="77777777" w:rsidR="004D7EB1" w:rsidRPr="004D7EB1" w:rsidRDefault="004D7EB1" w:rsidP="00D87D91">
      <w:r w:rsidRPr="004D7EB1">
        <w:rPr>
          <w:rFonts w:hint="eastAsia"/>
        </w:rPr>
        <w:t>◎林敬純</w:t>
      </w:r>
      <w:r w:rsidRPr="004D7EB1">
        <w:rPr>
          <w:rFonts w:hint="eastAsia"/>
        </w:rPr>
        <w:t>(2010)</w:t>
      </w:r>
      <w:r w:rsidRPr="004D7EB1">
        <w:rPr>
          <w:rFonts w:hint="eastAsia"/>
        </w:rPr>
        <w:t>，破繭而出</w:t>
      </w:r>
      <w:r w:rsidR="00D92F56">
        <w:rPr>
          <w:rFonts w:hint="eastAsia"/>
        </w:rPr>
        <w:t>〜</w:t>
      </w:r>
      <w:r w:rsidRPr="004D7EB1">
        <w:rPr>
          <w:rFonts w:hint="eastAsia"/>
        </w:rPr>
        <w:t>一個小學老師的重生，佛光大學生命學研究所，頁</w:t>
      </w:r>
      <w:r w:rsidRPr="004D7EB1">
        <w:rPr>
          <w:rFonts w:hint="eastAsia"/>
        </w:rPr>
        <w:t>1-90</w:t>
      </w:r>
      <w:r w:rsidRPr="004D7EB1">
        <w:rPr>
          <w:rFonts w:hint="eastAsia"/>
        </w:rPr>
        <w:t>。</w:t>
      </w:r>
    </w:p>
    <w:p w14:paraId="0BE33665" w14:textId="77777777" w:rsidR="004D7EB1" w:rsidRPr="004D7EB1" w:rsidRDefault="004D7EB1" w:rsidP="00D87D91">
      <w:r w:rsidRPr="004D7EB1">
        <w:rPr>
          <w:rFonts w:hint="eastAsia"/>
        </w:rPr>
        <w:t>◎法治斌、董保城</w:t>
      </w:r>
      <w:r w:rsidRPr="004D7EB1">
        <w:rPr>
          <w:rFonts w:hint="eastAsia"/>
        </w:rPr>
        <w:t>(2008)</w:t>
      </w:r>
      <w:r w:rsidRPr="004D7EB1">
        <w:rPr>
          <w:rFonts w:hint="eastAsia"/>
        </w:rPr>
        <w:t>，憲法新論，</w:t>
      </w:r>
      <w:r w:rsidRPr="004D7EB1">
        <w:rPr>
          <w:rFonts w:hint="eastAsia"/>
        </w:rPr>
        <w:t>3</w:t>
      </w:r>
      <w:r w:rsidRPr="004D7EB1">
        <w:rPr>
          <w:rFonts w:hint="eastAsia"/>
        </w:rPr>
        <w:t>版，臺北市：元照，頁</w:t>
      </w:r>
      <w:r w:rsidRPr="004D7EB1">
        <w:rPr>
          <w:rFonts w:hint="eastAsia"/>
        </w:rPr>
        <w:t>1-485</w:t>
      </w:r>
      <w:r w:rsidR="00545D58">
        <w:rPr>
          <w:rFonts w:hint="eastAsia"/>
        </w:rPr>
        <w:t>。</w:t>
      </w:r>
    </w:p>
    <w:p w14:paraId="26AA7F42" w14:textId="77777777" w:rsidR="004D7EB1" w:rsidRPr="004D7EB1" w:rsidRDefault="004D7EB1" w:rsidP="00D87D91">
      <w:r w:rsidRPr="004D7EB1">
        <w:rPr>
          <w:rFonts w:hint="eastAsia"/>
        </w:rPr>
        <w:t>◎法務部、衛生署、教育部、外交部</w:t>
      </w:r>
      <w:r w:rsidRPr="004D7EB1">
        <w:rPr>
          <w:rFonts w:hint="eastAsia"/>
        </w:rPr>
        <w:t>(2010).99</w:t>
      </w:r>
      <w:r w:rsidRPr="004D7EB1">
        <w:rPr>
          <w:rFonts w:hint="eastAsia"/>
        </w:rPr>
        <w:t>反毒報告書，臺北：法務部、衛生署、教育部、外交部。</w:t>
      </w:r>
    </w:p>
    <w:p w14:paraId="75E0D426" w14:textId="77777777" w:rsidR="004D7EB1" w:rsidRPr="004D7EB1" w:rsidRDefault="004D7EB1" w:rsidP="00D87D91">
      <w:r w:rsidRPr="004D7EB1">
        <w:rPr>
          <w:rFonts w:hint="eastAsia"/>
        </w:rPr>
        <w:t>◎邱創教主編，趙秉志、李春林、許文英副主編</w:t>
      </w:r>
      <w:r w:rsidRPr="004D7EB1">
        <w:rPr>
          <w:rFonts w:hint="eastAsia"/>
        </w:rPr>
        <w:t xml:space="preserve">(1998). </w:t>
      </w:r>
      <w:r w:rsidRPr="004D7EB1">
        <w:rPr>
          <w:rFonts w:hint="eastAsia"/>
        </w:rPr>
        <w:t>毒品犯罪懲治與防範全書，北京：中國法制出版社，第</w:t>
      </w:r>
      <w:r w:rsidRPr="004D7EB1">
        <w:rPr>
          <w:rFonts w:hint="eastAsia"/>
        </w:rPr>
        <w:t>370-527</w:t>
      </w:r>
      <w:r w:rsidRPr="004D7EB1">
        <w:rPr>
          <w:rFonts w:hint="eastAsia"/>
        </w:rPr>
        <w:t>頁。</w:t>
      </w:r>
    </w:p>
    <w:p w14:paraId="4D37B974" w14:textId="77777777" w:rsidR="004D7EB1" w:rsidRPr="004D7EB1" w:rsidRDefault="004D7EB1" w:rsidP="00D87D91">
      <w:r w:rsidRPr="004D7EB1">
        <w:rPr>
          <w:rFonts w:hint="eastAsia"/>
        </w:rPr>
        <w:t>◎邱駿彥</w:t>
      </w:r>
      <w:r w:rsidRPr="004D7EB1">
        <w:rPr>
          <w:rFonts w:hint="eastAsia"/>
        </w:rPr>
        <w:t>(1989)</w:t>
      </w:r>
      <w:r w:rsidRPr="004D7EB1">
        <w:rPr>
          <w:rFonts w:hint="eastAsia"/>
        </w:rPr>
        <w:t>，日本的外籍勞工問題及其對策</w:t>
      </w:r>
      <w:r w:rsidRPr="004D7EB1">
        <w:rPr>
          <w:rFonts w:hint="eastAsia"/>
        </w:rPr>
        <w:t>(</w:t>
      </w:r>
      <w:r w:rsidRPr="004D7EB1">
        <w:rPr>
          <w:rFonts w:hint="eastAsia"/>
        </w:rPr>
        <w:t>上</w:t>
      </w:r>
      <w:r w:rsidRPr="004D7EB1">
        <w:rPr>
          <w:rFonts w:hint="eastAsia"/>
        </w:rPr>
        <w:t>)(</w:t>
      </w:r>
      <w:r w:rsidRPr="004D7EB1">
        <w:rPr>
          <w:rFonts w:hint="eastAsia"/>
        </w:rPr>
        <w:t>下</w:t>
      </w:r>
      <w:r w:rsidRPr="004D7EB1">
        <w:rPr>
          <w:rFonts w:hint="eastAsia"/>
        </w:rPr>
        <w:t>)</w:t>
      </w:r>
      <w:r w:rsidRPr="004D7EB1">
        <w:rPr>
          <w:rFonts w:hint="eastAsia"/>
        </w:rPr>
        <w:t>，勞工行政第</w:t>
      </w:r>
      <w:r w:rsidRPr="004D7EB1">
        <w:rPr>
          <w:rFonts w:hint="eastAsia"/>
        </w:rPr>
        <w:t>16</w:t>
      </w:r>
      <w:r w:rsidRPr="004D7EB1">
        <w:rPr>
          <w:rFonts w:hint="eastAsia"/>
        </w:rPr>
        <w:t>期，第</w:t>
      </w:r>
      <w:r w:rsidRPr="004D7EB1">
        <w:rPr>
          <w:rFonts w:hint="eastAsia"/>
        </w:rPr>
        <w:t>57</w:t>
      </w:r>
      <w:r w:rsidRPr="004D7EB1">
        <w:rPr>
          <w:rFonts w:hint="eastAsia"/>
        </w:rPr>
        <w:t>～</w:t>
      </w:r>
      <w:r w:rsidRPr="004D7EB1">
        <w:rPr>
          <w:rFonts w:hint="eastAsia"/>
        </w:rPr>
        <w:t>61</w:t>
      </w:r>
      <w:r w:rsidRPr="004D7EB1">
        <w:rPr>
          <w:rFonts w:hint="eastAsia"/>
        </w:rPr>
        <w:t>頁。</w:t>
      </w:r>
    </w:p>
    <w:p w14:paraId="6DD27686" w14:textId="77777777" w:rsidR="004D7EB1" w:rsidRPr="004D7EB1" w:rsidRDefault="004D7EB1" w:rsidP="00D87D91">
      <w:r w:rsidRPr="004D7EB1">
        <w:rPr>
          <w:rFonts w:hint="eastAsia"/>
        </w:rPr>
        <w:t>◎邱駿彥</w:t>
      </w:r>
      <w:r w:rsidRPr="004D7EB1">
        <w:rPr>
          <w:rFonts w:hint="eastAsia"/>
        </w:rPr>
        <w:t>(2009)</w:t>
      </w:r>
      <w:r w:rsidRPr="004D7EB1">
        <w:rPr>
          <w:rFonts w:hint="eastAsia"/>
        </w:rPr>
        <w:t>，外國人聘僱及管理法制研究計畫，行政院勞工委員會職業訓練局委託研究報告，中華民國勞資關係協進會執行，頁</w:t>
      </w:r>
      <w:r w:rsidRPr="004D7EB1">
        <w:rPr>
          <w:rFonts w:hint="eastAsia"/>
        </w:rPr>
        <w:t>103-109</w:t>
      </w:r>
      <w:r w:rsidRPr="004D7EB1">
        <w:rPr>
          <w:rFonts w:hint="eastAsia"/>
        </w:rPr>
        <w:t>。</w:t>
      </w:r>
    </w:p>
    <w:p w14:paraId="3E19D549" w14:textId="77777777" w:rsidR="004D7EB1" w:rsidRPr="004D7EB1" w:rsidRDefault="004D7EB1" w:rsidP="00D87D91">
      <w:r w:rsidRPr="004D7EB1">
        <w:rPr>
          <w:rFonts w:hint="eastAsia"/>
        </w:rPr>
        <w:t>◎俞正山</w:t>
      </w:r>
      <w:r w:rsidRPr="004D7EB1">
        <w:rPr>
          <w:rFonts w:hint="eastAsia"/>
        </w:rPr>
        <w:t>(2001)</w:t>
      </w:r>
      <w:r w:rsidRPr="004D7EB1">
        <w:rPr>
          <w:rFonts w:hint="eastAsia"/>
        </w:rPr>
        <w:t>，《武裝衝突法》，北京：軍事科學出版社，</w:t>
      </w:r>
      <w:r w:rsidRPr="004D7EB1">
        <w:rPr>
          <w:rFonts w:hint="eastAsia"/>
        </w:rPr>
        <w:t>2001</w:t>
      </w:r>
      <w:r w:rsidRPr="004D7EB1">
        <w:rPr>
          <w:rFonts w:hint="eastAsia"/>
        </w:rPr>
        <w:t>年</w:t>
      </w:r>
      <w:r w:rsidRPr="004D7EB1">
        <w:rPr>
          <w:rFonts w:hint="eastAsia"/>
        </w:rPr>
        <w:t>10</w:t>
      </w:r>
      <w:r w:rsidRPr="004D7EB1">
        <w:rPr>
          <w:rFonts w:hint="eastAsia"/>
        </w:rPr>
        <w:t>月，頁</w:t>
      </w:r>
      <w:r w:rsidRPr="004D7EB1">
        <w:rPr>
          <w:rFonts w:hint="eastAsia"/>
        </w:rPr>
        <w:t>267</w:t>
      </w:r>
      <w:r w:rsidRPr="004D7EB1">
        <w:rPr>
          <w:rFonts w:hint="eastAsia"/>
        </w:rPr>
        <w:t>。</w:t>
      </w:r>
    </w:p>
    <w:p w14:paraId="00182CDD" w14:textId="77777777" w:rsidR="004D7EB1" w:rsidRPr="004D7EB1" w:rsidRDefault="004D7EB1" w:rsidP="00D87D91">
      <w:r w:rsidRPr="004D7EB1">
        <w:rPr>
          <w:rFonts w:hint="eastAsia"/>
        </w:rPr>
        <w:t>◎宣政大（</w:t>
      </w:r>
      <w:r w:rsidRPr="004D7EB1">
        <w:rPr>
          <w:rFonts w:hint="eastAsia"/>
        </w:rPr>
        <w:t>2011</w:t>
      </w:r>
      <w:r w:rsidRPr="004D7EB1">
        <w:rPr>
          <w:rFonts w:hint="eastAsia"/>
        </w:rPr>
        <w:t>），憲法精要，</w:t>
      </w:r>
      <w:r w:rsidRPr="004D7EB1">
        <w:rPr>
          <w:rFonts w:hint="eastAsia"/>
        </w:rPr>
        <w:t>2</w:t>
      </w:r>
      <w:r w:rsidRPr="004D7EB1">
        <w:rPr>
          <w:rFonts w:hint="eastAsia"/>
        </w:rPr>
        <w:t>版，台北市：來勝文化公司。</w:t>
      </w:r>
    </w:p>
    <w:p w14:paraId="3A7DB782" w14:textId="77777777" w:rsidR="004D7EB1" w:rsidRPr="004D7EB1" w:rsidRDefault="004D7EB1" w:rsidP="00D87D91">
      <w:r w:rsidRPr="004D7EB1">
        <w:rPr>
          <w:rFonts w:hint="eastAsia"/>
        </w:rPr>
        <w:t>◎施銀河</w:t>
      </w:r>
      <w:r w:rsidRPr="004D7EB1">
        <w:rPr>
          <w:rFonts w:hint="eastAsia"/>
        </w:rPr>
        <w:t>(1992)</w:t>
      </w:r>
      <w:r w:rsidRPr="004D7EB1">
        <w:rPr>
          <w:rFonts w:hint="eastAsia"/>
        </w:rPr>
        <w:t>，開放引進外籍勞工之政策規劃，勞工行政，第</w:t>
      </w:r>
      <w:r w:rsidRPr="004D7EB1">
        <w:rPr>
          <w:rFonts w:hint="eastAsia"/>
        </w:rPr>
        <w:t>53</w:t>
      </w:r>
      <w:r w:rsidRPr="004D7EB1">
        <w:rPr>
          <w:rFonts w:hint="eastAsia"/>
        </w:rPr>
        <w:t>期，頁</w:t>
      </w:r>
      <w:r w:rsidRPr="004D7EB1">
        <w:rPr>
          <w:rFonts w:hint="eastAsia"/>
        </w:rPr>
        <w:t>30</w:t>
      </w:r>
      <w:r w:rsidRPr="004D7EB1">
        <w:rPr>
          <w:rFonts w:hint="eastAsia"/>
        </w:rPr>
        <w:t>到</w:t>
      </w:r>
      <w:r w:rsidRPr="004D7EB1">
        <w:rPr>
          <w:rFonts w:hint="eastAsia"/>
        </w:rPr>
        <w:t>32</w:t>
      </w:r>
      <w:r w:rsidRPr="004D7EB1">
        <w:rPr>
          <w:rFonts w:hint="eastAsia"/>
        </w:rPr>
        <w:t>。</w:t>
      </w:r>
    </w:p>
    <w:p w14:paraId="03F5C9ED" w14:textId="77777777" w:rsidR="004D7EB1" w:rsidRPr="004D7EB1" w:rsidRDefault="004D7EB1" w:rsidP="00D87D91">
      <w:r w:rsidRPr="004D7EB1">
        <w:rPr>
          <w:rFonts w:hint="eastAsia"/>
        </w:rPr>
        <w:t>◎柯雨瑞</w:t>
      </w:r>
      <w:r w:rsidRPr="004D7EB1">
        <w:rPr>
          <w:rFonts w:hint="eastAsia"/>
        </w:rPr>
        <w:t>(1994)</w:t>
      </w:r>
      <w:r w:rsidRPr="004D7EB1">
        <w:rPr>
          <w:rFonts w:hint="eastAsia"/>
        </w:rPr>
        <w:t>，我國海運進口貨櫃安全檢查工作之研究，中央警察大學行政警察研究所碩士論文。</w:t>
      </w:r>
    </w:p>
    <w:p w14:paraId="07504618" w14:textId="77777777" w:rsidR="004D7EB1" w:rsidRPr="004D7EB1" w:rsidRDefault="004D7EB1" w:rsidP="00D87D91">
      <w:r w:rsidRPr="004D7EB1">
        <w:rPr>
          <w:rFonts w:hint="eastAsia"/>
        </w:rPr>
        <w:t>◎柯雨瑞</w:t>
      </w:r>
      <w:r w:rsidRPr="004D7EB1">
        <w:rPr>
          <w:rFonts w:hint="eastAsia"/>
        </w:rPr>
        <w:t>(1996)</w:t>
      </w:r>
      <w:r w:rsidRPr="004D7EB1">
        <w:rPr>
          <w:rFonts w:hint="eastAsia"/>
        </w:rPr>
        <w:t>，外籍勞工在臺工作問題之探討</w:t>
      </w:r>
      <w:r w:rsidRPr="004D7EB1">
        <w:rPr>
          <w:rFonts w:hint="eastAsia"/>
        </w:rPr>
        <w:t>--</w:t>
      </w:r>
      <w:r w:rsidRPr="004D7EB1">
        <w:rPr>
          <w:rFonts w:hint="eastAsia"/>
        </w:rPr>
        <w:t>兼論「就業服務法」與「外國人聘僱許可及管理辦法」若干條文之修訂，中國勞工第</w:t>
      </w:r>
      <w:r w:rsidRPr="004D7EB1">
        <w:rPr>
          <w:rFonts w:hint="eastAsia"/>
        </w:rPr>
        <w:t>949</w:t>
      </w:r>
      <w:r w:rsidRPr="004D7EB1">
        <w:rPr>
          <w:rFonts w:hint="eastAsia"/>
        </w:rPr>
        <w:t>期，頁</w:t>
      </w:r>
      <w:r w:rsidRPr="004D7EB1">
        <w:rPr>
          <w:rFonts w:hint="eastAsia"/>
        </w:rPr>
        <w:t>12-14</w:t>
      </w:r>
      <w:r w:rsidRPr="004D7EB1">
        <w:rPr>
          <w:rFonts w:hint="eastAsia"/>
        </w:rPr>
        <w:t>。</w:t>
      </w:r>
    </w:p>
    <w:p w14:paraId="2D9DB4A7" w14:textId="77777777" w:rsidR="004D7EB1" w:rsidRPr="004D7EB1" w:rsidRDefault="004D7EB1" w:rsidP="00D87D91">
      <w:r w:rsidRPr="004D7EB1">
        <w:rPr>
          <w:rFonts w:hint="eastAsia"/>
        </w:rPr>
        <w:t>◎柯雨瑞</w:t>
      </w:r>
      <w:r w:rsidRPr="004D7EB1">
        <w:rPr>
          <w:rFonts w:hint="eastAsia"/>
        </w:rPr>
        <w:t>(1996)</w:t>
      </w:r>
      <w:r w:rsidRPr="004D7EB1">
        <w:rPr>
          <w:rFonts w:hint="eastAsia"/>
        </w:rPr>
        <w:t>，外籍勞工聘僱與管理，臺北：三鋒出版社。</w:t>
      </w:r>
    </w:p>
    <w:p w14:paraId="16282B69" w14:textId="77777777" w:rsidR="004D7EB1" w:rsidRPr="004D7EB1" w:rsidRDefault="004D7EB1" w:rsidP="00D87D91">
      <w:r w:rsidRPr="004D7EB1">
        <w:rPr>
          <w:rFonts w:hint="eastAsia"/>
        </w:rPr>
        <w:t>◎柯雨瑞</w:t>
      </w:r>
      <w:r w:rsidRPr="004D7EB1">
        <w:rPr>
          <w:rFonts w:hint="eastAsia"/>
        </w:rPr>
        <w:t>(2002)</w:t>
      </w:r>
      <w:r w:rsidRPr="004D7EB1">
        <w:rPr>
          <w:rFonts w:hint="eastAsia"/>
        </w:rPr>
        <w:t>，美國</w:t>
      </w:r>
      <w:r w:rsidRPr="004D7EB1">
        <w:rPr>
          <w:rFonts w:hint="eastAsia"/>
        </w:rPr>
        <w:t>2001</w:t>
      </w:r>
      <w:r w:rsidRPr="004D7EB1">
        <w:rPr>
          <w:rFonts w:hint="eastAsia"/>
        </w:rPr>
        <w:t>年「航空暨運輸安全法」之研究，發表於中央警察大學國境警察學術研討會。</w:t>
      </w:r>
    </w:p>
    <w:p w14:paraId="1E160C3A" w14:textId="77777777" w:rsidR="004D7EB1" w:rsidRPr="004D7EB1" w:rsidRDefault="004D7EB1" w:rsidP="00D87D91">
      <w:r w:rsidRPr="004D7EB1">
        <w:rPr>
          <w:rFonts w:hint="eastAsia"/>
        </w:rPr>
        <w:t>◎柯雨瑞</w:t>
      </w:r>
      <w:r w:rsidRPr="004D7EB1">
        <w:rPr>
          <w:rFonts w:hint="eastAsia"/>
        </w:rPr>
        <w:t>(2002)</w:t>
      </w:r>
      <w:r w:rsidRPr="004D7EB1">
        <w:rPr>
          <w:rFonts w:hint="eastAsia"/>
        </w:rPr>
        <w:t>，從</w:t>
      </w:r>
      <w:r w:rsidRPr="004D7EB1">
        <w:rPr>
          <w:rFonts w:hint="eastAsia"/>
        </w:rPr>
        <w:t>2001</w:t>
      </w:r>
      <w:r w:rsidRPr="004D7EB1">
        <w:rPr>
          <w:rFonts w:hint="eastAsia"/>
        </w:rPr>
        <w:t>年「航空暨運輸安全法」探討美國機場安全檢查之法制，中央警察大學國境警察學報創刊號，頁</w:t>
      </w:r>
      <w:r w:rsidRPr="004D7EB1">
        <w:rPr>
          <w:rFonts w:hint="eastAsia"/>
        </w:rPr>
        <w:t>183</w:t>
      </w:r>
      <w:r w:rsidRPr="004D7EB1">
        <w:rPr>
          <w:rFonts w:hint="eastAsia"/>
        </w:rPr>
        <w:t>至</w:t>
      </w:r>
      <w:r w:rsidRPr="004D7EB1">
        <w:rPr>
          <w:rFonts w:hint="eastAsia"/>
        </w:rPr>
        <w:t>211</w:t>
      </w:r>
      <w:r w:rsidRPr="004D7EB1">
        <w:rPr>
          <w:rFonts w:hint="eastAsia"/>
        </w:rPr>
        <w:t>。</w:t>
      </w:r>
    </w:p>
    <w:p w14:paraId="4EDFBF92" w14:textId="77777777" w:rsidR="004D7EB1" w:rsidRPr="004D7EB1" w:rsidRDefault="004D7EB1" w:rsidP="00D87D91">
      <w:r w:rsidRPr="004D7EB1">
        <w:rPr>
          <w:rFonts w:hint="eastAsia"/>
        </w:rPr>
        <w:t>◎柯雨瑞</w:t>
      </w:r>
      <w:r w:rsidRPr="004D7EB1">
        <w:rPr>
          <w:rFonts w:hint="eastAsia"/>
        </w:rPr>
        <w:t>(2002)</w:t>
      </w:r>
      <w:r w:rsidRPr="004D7EB1">
        <w:rPr>
          <w:rFonts w:hint="eastAsia"/>
        </w:rPr>
        <w:t>，從多元取才觀點論中央警察大學國境警察學系代訓海岸巡防基層幹部可行性之評估</w:t>
      </w:r>
      <w:r w:rsidR="00D92F56">
        <w:rPr>
          <w:rFonts w:hint="eastAsia"/>
        </w:rPr>
        <w:t>〜</w:t>
      </w:r>
      <w:r w:rsidRPr="004D7EB1">
        <w:rPr>
          <w:rFonts w:hint="eastAsia"/>
        </w:rPr>
        <w:t>-</w:t>
      </w:r>
      <w:r w:rsidRPr="004D7EB1">
        <w:rPr>
          <w:rFonts w:hint="eastAsia"/>
        </w:rPr>
        <w:t>以大學四年制養成教育為中心，發表於中央警察大學國境警察學術研討會。</w:t>
      </w:r>
    </w:p>
    <w:p w14:paraId="78C52E36" w14:textId="77777777" w:rsidR="004D7EB1" w:rsidRPr="004D7EB1" w:rsidRDefault="004D7EB1" w:rsidP="00D87D91">
      <w:r w:rsidRPr="004D7EB1">
        <w:rPr>
          <w:rFonts w:hint="eastAsia"/>
        </w:rPr>
        <w:t>◎柯雨瑞</w:t>
      </w:r>
      <w:r w:rsidRPr="004D7EB1">
        <w:rPr>
          <w:rFonts w:hint="eastAsia"/>
        </w:rPr>
        <w:t>(2003)</w:t>
      </w:r>
      <w:r w:rsidRPr="004D7EB1">
        <w:rPr>
          <w:rFonts w:hint="eastAsia"/>
        </w:rPr>
        <w:t>，入出國管理法制之研究，中央警察大學法學論集第</w:t>
      </w:r>
      <w:r w:rsidRPr="004D7EB1">
        <w:rPr>
          <w:rFonts w:hint="eastAsia"/>
        </w:rPr>
        <w:t>8</w:t>
      </w:r>
      <w:r w:rsidRPr="004D7EB1">
        <w:rPr>
          <w:rFonts w:hint="eastAsia"/>
        </w:rPr>
        <w:t>期。</w:t>
      </w:r>
    </w:p>
    <w:p w14:paraId="3F8AB638" w14:textId="77777777" w:rsidR="004D7EB1" w:rsidRPr="004D7EB1" w:rsidRDefault="004D7EB1" w:rsidP="00D87D91">
      <w:r w:rsidRPr="004D7EB1">
        <w:rPr>
          <w:rFonts w:hint="eastAsia"/>
        </w:rPr>
        <w:t>◎柯雨瑞</w:t>
      </w:r>
      <w:r w:rsidRPr="004D7EB1">
        <w:rPr>
          <w:rFonts w:hint="eastAsia"/>
        </w:rPr>
        <w:t>(2003)</w:t>
      </w:r>
      <w:r w:rsidRPr="004D7EB1">
        <w:rPr>
          <w:rFonts w:hint="eastAsia"/>
        </w:rPr>
        <w:t>，入出境管理理論之研究，發表於「外事警察法制學術研討會」，中央警察大學外事警察學系主辦。</w:t>
      </w:r>
    </w:p>
    <w:p w14:paraId="477D4BB3" w14:textId="77777777" w:rsidR="004D7EB1" w:rsidRPr="004D7EB1" w:rsidRDefault="004D7EB1" w:rsidP="00D87D91">
      <w:r w:rsidRPr="004D7EB1">
        <w:rPr>
          <w:rFonts w:hint="eastAsia"/>
        </w:rPr>
        <w:t>◎柯雨瑞</w:t>
      </w:r>
      <w:r w:rsidRPr="004D7EB1">
        <w:rPr>
          <w:rFonts w:hint="eastAsia"/>
        </w:rPr>
        <w:t>(2003)</w:t>
      </w:r>
      <w:r w:rsidRPr="004D7EB1">
        <w:rPr>
          <w:rFonts w:hint="eastAsia"/>
        </w:rPr>
        <w:t>，軍人及警察國境安全執法界限之探討</w:t>
      </w:r>
      <w:r w:rsidR="00D92F56">
        <w:rPr>
          <w:rFonts w:hint="eastAsia"/>
        </w:rPr>
        <w:t>〜</w:t>
      </w:r>
      <w:r w:rsidRPr="004D7EB1">
        <w:rPr>
          <w:rFonts w:hint="eastAsia"/>
        </w:rPr>
        <w:t>兼論海岸巡防執法人員之角色與定位，發表於中央警察大學國境警察學系「國境安全與刑事政策」學術研討會。</w:t>
      </w:r>
    </w:p>
    <w:p w14:paraId="2CCDE533" w14:textId="77777777" w:rsidR="004D7EB1" w:rsidRPr="004D7EB1" w:rsidRDefault="004D7EB1" w:rsidP="00D87D91">
      <w:r w:rsidRPr="004D7EB1">
        <w:rPr>
          <w:rFonts w:hint="eastAsia"/>
        </w:rPr>
        <w:t>◎柯雨瑞</w:t>
      </w:r>
      <w:r w:rsidRPr="004D7EB1">
        <w:rPr>
          <w:rFonts w:hint="eastAsia"/>
        </w:rPr>
        <w:t>(2003)</w:t>
      </w:r>
      <w:r w:rsidRPr="004D7EB1">
        <w:rPr>
          <w:rFonts w:hint="eastAsia"/>
        </w:rPr>
        <w:t>，論我國海岸巡防執法幹部之養成教育，警學叢刊。</w:t>
      </w:r>
    </w:p>
    <w:p w14:paraId="71DEA0D4" w14:textId="77777777" w:rsidR="004D7EB1" w:rsidRPr="004D7EB1" w:rsidRDefault="004D7EB1" w:rsidP="00D87D91">
      <w:r w:rsidRPr="004D7EB1">
        <w:rPr>
          <w:rFonts w:hint="eastAsia"/>
        </w:rPr>
        <w:t>◎柯雨瑞</w:t>
      </w:r>
      <w:r w:rsidRPr="004D7EB1">
        <w:rPr>
          <w:rFonts w:hint="eastAsia"/>
        </w:rPr>
        <w:t>(2003)</w:t>
      </w:r>
      <w:r w:rsidRPr="004D7EB1">
        <w:rPr>
          <w:rFonts w:hint="eastAsia"/>
        </w:rPr>
        <w:t>，論軍、文職機關之國境執法界限</w:t>
      </w:r>
      <w:r w:rsidR="00D92F56">
        <w:rPr>
          <w:rFonts w:hint="eastAsia"/>
        </w:rPr>
        <w:t>〜</w:t>
      </w:r>
      <w:r w:rsidRPr="004D7EB1">
        <w:rPr>
          <w:rFonts w:hint="eastAsia"/>
        </w:rPr>
        <w:t>-</w:t>
      </w:r>
      <w:r w:rsidRPr="004D7EB1">
        <w:rPr>
          <w:rFonts w:hint="eastAsia"/>
        </w:rPr>
        <w:t>美國經驗之啟示，中央警察大學國境警察學報第</w:t>
      </w:r>
      <w:r w:rsidRPr="004D7EB1">
        <w:rPr>
          <w:rFonts w:hint="eastAsia"/>
        </w:rPr>
        <w:t>2</w:t>
      </w:r>
      <w:r w:rsidRPr="004D7EB1">
        <w:rPr>
          <w:rFonts w:hint="eastAsia"/>
        </w:rPr>
        <w:t>期。</w:t>
      </w:r>
    </w:p>
    <w:p w14:paraId="04CCD3EA" w14:textId="77777777" w:rsidR="004D7EB1" w:rsidRPr="004D7EB1" w:rsidRDefault="004D7EB1" w:rsidP="00D87D91">
      <w:r w:rsidRPr="004D7EB1">
        <w:rPr>
          <w:rFonts w:hint="eastAsia"/>
        </w:rPr>
        <w:t>◎柯雨瑞</w:t>
      </w:r>
      <w:r w:rsidRPr="004D7EB1">
        <w:rPr>
          <w:rFonts w:hint="eastAsia"/>
        </w:rPr>
        <w:t>(2004)</w:t>
      </w:r>
      <w:r w:rsidRPr="004D7EB1">
        <w:rPr>
          <w:rFonts w:hint="eastAsia"/>
        </w:rPr>
        <w:t>，「</w:t>
      </w:r>
      <w:r w:rsidRPr="004D7EB1">
        <w:rPr>
          <w:rFonts w:hint="eastAsia"/>
        </w:rPr>
        <w:t>2002</w:t>
      </w:r>
      <w:r w:rsidRPr="004D7EB1">
        <w:rPr>
          <w:rFonts w:hint="eastAsia"/>
        </w:rPr>
        <w:t>年加拿大移民及難民保護法」之探討</w:t>
      </w:r>
      <w:r w:rsidR="00D92F56">
        <w:rPr>
          <w:rFonts w:hint="eastAsia"/>
        </w:rPr>
        <w:t>〜</w:t>
      </w:r>
      <w:r w:rsidRPr="004D7EB1">
        <w:rPr>
          <w:rFonts w:hint="eastAsia"/>
        </w:rPr>
        <w:t>兼論對我國移民法制之啟示，發表於中央警察大學外事警察學系學術研討會。</w:t>
      </w:r>
    </w:p>
    <w:p w14:paraId="40EA64E4" w14:textId="77777777" w:rsidR="004D7EB1" w:rsidRPr="004D7EB1" w:rsidRDefault="004D7EB1" w:rsidP="00D87D91">
      <w:r w:rsidRPr="004D7EB1">
        <w:rPr>
          <w:rFonts w:hint="eastAsia"/>
        </w:rPr>
        <w:t>◎柯雨瑞</w:t>
      </w:r>
      <w:r w:rsidRPr="004D7EB1">
        <w:rPr>
          <w:rFonts w:hint="eastAsia"/>
        </w:rPr>
        <w:t>(2004)</w:t>
      </w:r>
      <w:r w:rsidRPr="004D7EB1">
        <w:rPr>
          <w:rFonts w:hint="eastAsia"/>
        </w:rPr>
        <w:t>，「</w:t>
      </w:r>
      <w:r w:rsidRPr="004D7EB1">
        <w:rPr>
          <w:rFonts w:hint="eastAsia"/>
        </w:rPr>
        <w:t>2002</w:t>
      </w:r>
      <w:r w:rsidRPr="004D7EB1">
        <w:rPr>
          <w:rFonts w:hint="eastAsia"/>
        </w:rPr>
        <w:t>年加拿大移民及難民保護法」對我國移民法制之啟發，中央警察大學國境警察學報第</w:t>
      </w:r>
      <w:r w:rsidRPr="004D7EB1">
        <w:rPr>
          <w:rFonts w:hint="eastAsia"/>
        </w:rPr>
        <w:t>3</w:t>
      </w:r>
      <w:r w:rsidRPr="004D7EB1">
        <w:rPr>
          <w:rFonts w:hint="eastAsia"/>
        </w:rPr>
        <w:t>期。</w:t>
      </w:r>
    </w:p>
    <w:p w14:paraId="7B2D5119" w14:textId="77777777" w:rsidR="004D7EB1" w:rsidRPr="004D7EB1" w:rsidRDefault="004D7EB1" w:rsidP="00D87D91">
      <w:r w:rsidRPr="004D7EB1">
        <w:rPr>
          <w:rFonts w:hint="eastAsia"/>
        </w:rPr>
        <w:t>◎柯雨瑞</w:t>
      </w:r>
      <w:r w:rsidRPr="004D7EB1">
        <w:rPr>
          <w:rFonts w:hint="eastAsia"/>
        </w:rPr>
        <w:t>(2004)</w:t>
      </w:r>
      <w:r w:rsidRPr="004D7EB1">
        <w:rPr>
          <w:rFonts w:hint="eastAsia"/>
        </w:rPr>
        <w:t>，美國海事運輸及港口保安法制之探討</w:t>
      </w:r>
      <w:r w:rsidRPr="004D7EB1">
        <w:rPr>
          <w:rFonts w:hint="eastAsia"/>
        </w:rPr>
        <w:t>--</w:t>
      </w:r>
      <w:r w:rsidRPr="004D7EB1">
        <w:rPr>
          <w:rFonts w:hint="eastAsia"/>
        </w:rPr>
        <w:t>以「</w:t>
      </w:r>
      <w:r w:rsidRPr="004D7EB1">
        <w:rPr>
          <w:rFonts w:hint="eastAsia"/>
        </w:rPr>
        <w:t>2002</w:t>
      </w:r>
      <w:r w:rsidRPr="004D7EB1">
        <w:rPr>
          <w:rFonts w:hint="eastAsia"/>
        </w:rPr>
        <w:t>年海事運輸保安法」為中心，發表於中央警察大學國境警察學系「海岸</w:t>
      </w:r>
      <w:r w:rsidRPr="004D7EB1">
        <w:rPr>
          <w:rFonts w:hint="eastAsia"/>
        </w:rPr>
        <w:t>(</w:t>
      </w:r>
      <w:r w:rsidRPr="004D7EB1">
        <w:rPr>
          <w:rFonts w:hint="eastAsia"/>
        </w:rPr>
        <w:t>域</w:t>
      </w:r>
      <w:r w:rsidRPr="004D7EB1">
        <w:rPr>
          <w:rFonts w:hint="eastAsia"/>
        </w:rPr>
        <w:t>)</w:t>
      </w:r>
      <w:r w:rsidRPr="004D7EB1">
        <w:rPr>
          <w:rFonts w:hint="eastAsia"/>
        </w:rPr>
        <w:t>安全執法與入出國管理之挑戰與對策」學術研討會。</w:t>
      </w:r>
    </w:p>
    <w:p w14:paraId="148D16DC" w14:textId="77777777" w:rsidR="004D7EB1" w:rsidRPr="004D7EB1" w:rsidRDefault="004D7EB1" w:rsidP="00D87D91">
      <w:r w:rsidRPr="004D7EB1">
        <w:rPr>
          <w:rFonts w:hint="eastAsia"/>
        </w:rPr>
        <w:t>◎柯雨瑞</w:t>
      </w:r>
      <w:r w:rsidRPr="004D7EB1">
        <w:rPr>
          <w:rFonts w:hint="eastAsia"/>
        </w:rPr>
        <w:t>(2006)</w:t>
      </w:r>
      <w:r w:rsidRPr="004D7EB1">
        <w:rPr>
          <w:rFonts w:hint="eastAsia"/>
        </w:rPr>
        <w:t>，人類胚胎幹細胞的生命倫理與法律爭議議題，海潮音第</w:t>
      </w:r>
      <w:r w:rsidRPr="004D7EB1">
        <w:rPr>
          <w:rFonts w:hint="eastAsia"/>
        </w:rPr>
        <w:t>87</w:t>
      </w:r>
      <w:r w:rsidRPr="004D7EB1">
        <w:rPr>
          <w:rFonts w:hint="eastAsia"/>
        </w:rPr>
        <w:t>卷第</w:t>
      </w:r>
      <w:r w:rsidRPr="004D7EB1">
        <w:rPr>
          <w:rFonts w:hint="eastAsia"/>
        </w:rPr>
        <w:t>9</w:t>
      </w:r>
      <w:r w:rsidRPr="004D7EB1">
        <w:rPr>
          <w:rFonts w:hint="eastAsia"/>
        </w:rPr>
        <w:t>期。</w:t>
      </w:r>
    </w:p>
    <w:p w14:paraId="03B2A342" w14:textId="77777777" w:rsidR="004D7EB1" w:rsidRPr="004D7EB1" w:rsidRDefault="004D7EB1" w:rsidP="00D87D91">
      <w:r w:rsidRPr="004D7EB1">
        <w:rPr>
          <w:rFonts w:hint="eastAsia"/>
        </w:rPr>
        <w:t>◎柯雨瑞</w:t>
      </w:r>
      <w:r w:rsidRPr="004D7EB1">
        <w:rPr>
          <w:rFonts w:hint="eastAsia"/>
        </w:rPr>
        <w:t>(2006)</w:t>
      </w:r>
      <w:r w:rsidRPr="004D7EB1">
        <w:rPr>
          <w:rFonts w:hint="eastAsia"/>
        </w:rPr>
        <w:t>，百年來台灣毒品刑事政策變遷之研究</w:t>
      </w:r>
      <w:r w:rsidRPr="004D7EB1">
        <w:rPr>
          <w:rFonts w:hint="eastAsia"/>
        </w:rPr>
        <w:t>(</w:t>
      </w:r>
      <w:r w:rsidRPr="004D7EB1">
        <w:rPr>
          <w:rFonts w:hint="eastAsia"/>
        </w:rPr>
        <w:t>博士論文</w:t>
      </w:r>
      <w:r w:rsidRPr="004D7EB1">
        <w:rPr>
          <w:rFonts w:hint="eastAsia"/>
        </w:rPr>
        <w:t>)</w:t>
      </w:r>
      <w:r w:rsidRPr="004D7EB1">
        <w:rPr>
          <w:rFonts w:hint="eastAsia"/>
        </w:rPr>
        <w:t>，中央警察大學犯罪防治研究所博士論文。</w:t>
      </w:r>
    </w:p>
    <w:p w14:paraId="772DCA54" w14:textId="77777777" w:rsidR="004D7EB1" w:rsidRPr="004D7EB1" w:rsidRDefault="004D7EB1" w:rsidP="00D87D91">
      <w:r w:rsidRPr="004D7EB1">
        <w:rPr>
          <w:rFonts w:hint="eastAsia"/>
        </w:rPr>
        <w:t>◎柯雨瑞</w:t>
      </w:r>
      <w:r w:rsidRPr="004D7EB1">
        <w:rPr>
          <w:rFonts w:hint="eastAsia"/>
        </w:rPr>
        <w:t>(2007)</w:t>
      </w:r>
      <w:r w:rsidRPr="004D7EB1">
        <w:rPr>
          <w:rFonts w:hint="eastAsia"/>
        </w:rPr>
        <w:t>，日本人口販運防治對策初探</w:t>
      </w:r>
      <w:r w:rsidR="00D92F56">
        <w:rPr>
          <w:rFonts w:hint="eastAsia"/>
        </w:rPr>
        <w:t>〜</w:t>
      </w:r>
      <w:r w:rsidRPr="004D7EB1">
        <w:rPr>
          <w:rFonts w:hint="eastAsia"/>
        </w:rPr>
        <w:t>兼論對我國之啟示，中央警察大學國境警察學報第</w:t>
      </w:r>
      <w:r w:rsidRPr="004D7EB1">
        <w:rPr>
          <w:rFonts w:hint="eastAsia"/>
        </w:rPr>
        <w:t>8</w:t>
      </w:r>
      <w:r w:rsidRPr="004D7EB1">
        <w:rPr>
          <w:rFonts w:hint="eastAsia"/>
        </w:rPr>
        <w:t>期。</w:t>
      </w:r>
    </w:p>
    <w:p w14:paraId="32B7F0ED" w14:textId="77777777" w:rsidR="004D7EB1" w:rsidRPr="004D7EB1" w:rsidRDefault="004D7EB1" w:rsidP="00D87D91">
      <w:r w:rsidRPr="004D7EB1">
        <w:rPr>
          <w:rFonts w:hint="eastAsia"/>
        </w:rPr>
        <w:t>◎柯雨瑞</w:t>
      </w:r>
      <w:r w:rsidRPr="004D7EB1">
        <w:rPr>
          <w:rFonts w:hint="eastAsia"/>
        </w:rPr>
        <w:t>(2007)</w:t>
      </w:r>
      <w:r w:rsidRPr="004D7EB1">
        <w:rPr>
          <w:rFonts w:hint="eastAsia"/>
        </w:rPr>
        <w:t>，美國打擊人口販運法制初探，發表於中央警察大學移民研究中心第一屆「國境安全與人口移動」學術研討會。</w:t>
      </w:r>
    </w:p>
    <w:p w14:paraId="55A28A0A" w14:textId="77777777" w:rsidR="004D7EB1" w:rsidRPr="004D7EB1" w:rsidRDefault="004D7EB1" w:rsidP="00D87D91">
      <w:r w:rsidRPr="004D7EB1">
        <w:rPr>
          <w:rFonts w:hint="eastAsia"/>
        </w:rPr>
        <w:t>◎柯雨瑞</w:t>
      </w:r>
      <w:r w:rsidRPr="004D7EB1">
        <w:rPr>
          <w:rFonts w:hint="eastAsia"/>
        </w:rPr>
        <w:t>(2008)</w:t>
      </w:r>
      <w:r w:rsidRPr="004D7EB1">
        <w:rPr>
          <w:rFonts w:hint="eastAsia"/>
        </w:rPr>
        <w:t>，人口販運被害者之保護與協助初探發表於中央警察大學移民研究中心第二屆「國境安全與人口移動」學術研討會。</w:t>
      </w:r>
    </w:p>
    <w:p w14:paraId="57968895" w14:textId="77777777" w:rsidR="004D7EB1" w:rsidRPr="004D7EB1" w:rsidRDefault="004D7EB1" w:rsidP="00D87D91">
      <w:r w:rsidRPr="004D7EB1">
        <w:rPr>
          <w:rFonts w:hint="eastAsia"/>
        </w:rPr>
        <w:t>◎柯雨瑞</w:t>
      </w:r>
      <w:r w:rsidRPr="004D7EB1">
        <w:rPr>
          <w:rFonts w:hint="eastAsia"/>
        </w:rPr>
        <w:t>(2008)</w:t>
      </w:r>
      <w:r w:rsidRPr="004D7EB1">
        <w:rPr>
          <w:rFonts w:hint="eastAsia"/>
        </w:rPr>
        <w:t>，世界衛生組織防制毒品注射者感染愛滋病之政策與綱領重點介紹</w:t>
      </w:r>
      <w:r w:rsidR="00D92F56">
        <w:rPr>
          <w:rFonts w:hint="eastAsia"/>
        </w:rPr>
        <w:t>〜</w:t>
      </w:r>
      <w:r w:rsidRPr="004D7EB1">
        <w:rPr>
          <w:rFonts w:hint="eastAsia"/>
        </w:rPr>
        <w:t>-</w:t>
      </w:r>
      <w:r w:rsidRPr="004D7EB1">
        <w:rPr>
          <w:rFonts w:hint="eastAsia"/>
        </w:rPr>
        <w:t>兼論對我國毒品處遇政策之新啟示，管制藥品簡訊第</w:t>
      </w:r>
      <w:r w:rsidRPr="004D7EB1">
        <w:rPr>
          <w:rFonts w:hint="eastAsia"/>
        </w:rPr>
        <w:t>36</w:t>
      </w:r>
      <w:r w:rsidRPr="004D7EB1">
        <w:rPr>
          <w:rFonts w:hint="eastAsia"/>
        </w:rPr>
        <w:t>期，頁</w:t>
      </w:r>
      <w:r w:rsidRPr="004D7EB1">
        <w:rPr>
          <w:rFonts w:hint="eastAsia"/>
        </w:rPr>
        <w:t>2-5</w:t>
      </w:r>
      <w:r w:rsidRPr="004D7EB1">
        <w:rPr>
          <w:rFonts w:hint="eastAsia"/>
        </w:rPr>
        <w:t>。</w:t>
      </w:r>
    </w:p>
    <w:p w14:paraId="4502ABFF" w14:textId="77777777" w:rsidR="004D7EB1" w:rsidRPr="004D7EB1" w:rsidRDefault="004D7EB1" w:rsidP="00D87D91">
      <w:r w:rsidRPr="004D7EB1">
        <w:rPr>
          <w:rFonts w:hint="eastAsia"/>
        </w:rPr>
        <w:t>◎柯雨瑞</w:t>
      </w:r>
      <w:r w:rsidRPr="004D7EB1">
        <w:rPr>
          <w:rFonts w:hint="eastAsia"/>
        </w:rPr>
        <w:t>(2008)</w:t>
      </w:r>
      <w:r w:rsidRPr="004D7EB1">
        <w:rPr>
          <w:rFonts w:hint="eastAsia"/>
        </w:rPr>
        <w:t>，試論美國防制人口販運之法制，中央警察大學國境警察學報第</w:t>
      </w:r>
      <w:r w:rsidRPr="004D7EB1">
        <w:rPr>
          <w:rFonts w:hint="eastAsia"/>
        </w:rPr>
        <w:t>9</w:t>
      </w:r>
      <w:r w:rsidRPr="004D7EB1">
        <w:rPr>
          <w:rFonts w:hint="eastAsia"/>
        </w:rPr>
        <w:t>期，頁</w:t>
      </w:r>
      <w:r w:rsidRPr="004D7EB1">
        <w:rPr>
          <w:rFonts w:hint="eastAsia"/>
        </w:rPr>
        <w:t>209-247</w:t>
      </w:r>
      <w:r w:rsidRPr="004D7EB1">
        <w:rPr>
          <w:rFonts w:hint="eastAsia"/>
        </w:rPr>
        <w:t>。</w:t>
      </w:r>
    </w:p>
    <w:p w14:paraId="128D36BF" w14:textId="77777777" w:rsidR="004D7EB1" w:rsidRPr="004D7EB1" w:rsidRDefault="004D7EB1" w:rsidP="00D87D91">
      <w:r w:rsidRPr="004D7EB1">
        <w:rPr>
          <w:rFonts w:hint="eastAsia"/>
        </w:rPr>
        <w:t>◎柯雨瑞</w:t>
      </w:r>
      <w:r w:rsidRPr="004D7EB1">
        <w:rPr>
          <w:rFonts w:hint="eastAsia"/>
        </w:rPr>
        <w:t>(2009)</w:t>
      </w:r>
      <w:r w:rsidRPr="004D7EB1">
        <w:rPr>
          <w:rFonts w:hint="eastAsia"/>
        </w:rPr>
        <w:t>，加拿大人口販運防治對策之研究，發表於中央警察大學國境警察學系</w:t>
      </w:r>
      <w:r w:rsidRPr="004D7EB1">
        <w:rPr>
          <w:rFonts w:hint="eastAsia"/>
        </w:rPr>
        <w:t>2009</w:t>
      </w:r>
      <w:r w:rsidRPr="004D7EB1">
        <w:rPr>
          <w:rFonts w:hint="eastAsia"/>
        </w:rPr>
        <w:t>年防制人口販運國際學術研討會。</w:t>
      </w:r>
    </w:p>
    <w:p w14:paraId="4E7A0072" w14:textId="77777777" w:rsidR="004D7EB1" w:rsidRPr="004D7EB1" w:rsidRDefault="004D7EB1" w:rsidP="00D87D91">
      <w:r w:rsidRPr="004D7EB1">
        <w:rPr>
          <w:rFonts w:hint="eastAsia"/>
        </w:rPr>
        <w:t>◎柯雨瑞</w:t>
      </w:r>
      <w:r w:rsidRPr="004D7EB1">
        <w:rPr>
          <w:rFonts w:hint="eastAsia"/>
        </w:rPr>
        <w:t>(2009)</w:t>
      </w:r>
      <w:r w:rsidRPr="004D7EB1">
        <w:rPr>
          <w:rFonts w:hint="eastAsia"/>
        </w:rPr>
        <w:t>，毒品犯罪防治之刑事政策，發表於中央警察大學法律學系、中原大學財經法律學系與台灣刑事法學會合辦「毒品犯罪及其防治」學術研討會。</w:t>
      </w:r>
    </w:p>
    <w:p w14:paraId="3970050F" w14:textId="77777777" w:rsidR="004D7EB1" w:rsidRPr="004D7EB1" w:rsidRDefault="004D7EB1" w:rsidP="00D87D91">
      <w:r w:rsidRPr="004D7EB1">
        <w:rPr>
          <w:rFonts w:hint="eastAsia"/>
        </w:rPr>
        <w:t>◎柯雨瑞</w:t>
      </w:r>
      <w:r w:rsidRPr="004D7EB1">
        <w:rPr>
          <w:rFonts w:hint="eastAsia"/>
        </w:rPr>
        <w:t>(2009)</w:t>
      </w:r>
      <w:r w:rsidRPr="004D7EB1">
        <w:rPr>
          <w:rFonts w:hint="eastAsia"/>
        </w:rPr>
        <w:t>，淺論人口販運被害者之保護與協助，中央警察大學國境警察學報第</w:t>
      </w:r>
      <w:r w:rsidRPr="004D7EB1">
        <w:rPr>
          <w:rFonts w:hint="eastAsia"/>
        </w:rPr>
        <w:t>11</w:t>
      </w:r>
      <w:r w:rsidRPr="004D7EB1">
        <w:rPr>
          <w:rFonts w:hint="eastAsia"/>
        </w:rPr>
        <w:t>期，頁</w:t>
      </w:r>
      <w:r w:rsidRPr="004D7EB1">
        <w:rPr>
          <w:rFonts w:hint="eastAsia"/>
        </w:rPr>
        <w:t>131-183</w:t>
      </w:r>
      <w:r w:rsidRPr="004D7EB1">
        <w:rPr>
          <w:rFonts w:hint="eastAsia"/>
        </w:rPr>
        <w:t>。</w:t>
      </w:r>
    </w:p>
    <w:p w14:paraId="197EDCA7" w14:textId="77777777" w:rsidR="004D7EB1" w:rsidRPr="004D7EB1" w:rsidRDefault="004D7EB1" w:rsidP="00D87D91">
      <w:r w:rsidRPr="004D7EB1">
        <w:rPr>
          <w:rFonts w:hint="eastAsia"/>
        </w:rPr>
        <w:t>◎柯雨瑞</w:t>
      </w:r>
      <w:r w:rsidRPr="004D7EB1">
        <w:rPr>
          <w:rFonts w:hint="eastAsia"/>
        </w:rPr>
        <w:t>(2009)</w:t>
      </w:r>
      <w:r w:rsidRPr="004D7EB1">
        <w:rPr>
          <w:rFonts w:hint="eastAsia"/>
        </w:rPr>
        <w:t>，論國境執法面臨之問題及未來可行之發展方向</w:t>
      </w:r>
      <w:r w:rsidR="00D92F56">
        <w:rPr>
          <w:rFonts w:hint="eastAsia"/>
        </w:rPr>
        <w:t>〜</w:t>
      </w:r>
      <w:r w:rsidRPr="004D7EB1">
        <w:rPr>
          <w:rFonts w:hint="eastAsia"/>
        </w:rPr>
        <w:t>以國際機場執法為中心，中央警察大學國境警察學報第</w:t>
      </w:r>
      <w:r w:rsidRPr="004D7EB1">
        <w:rPr>
          <w:rFonts w:hint="eastAsia"/>
        </w:rPr>
        <w:t>12</w:t>
      </w:r>
      <w:r w:rsidRPr="004D7EB1">
        <w:rPr>
          <w:rFonts w:hint="eastAsia"/>
        </w:rPr>
        <w:t>期，頁</w:t>
      </w:r>
      <w:r w:rsidRPr="004D7EB1">
        <w:rPr>
          <w:rFonts w:hint="eastAsia"/>
        </w:rPr>
        <w:t>217-272</w:t>
      </w:r>
      <w:r w:rsidRPr="004D7EB1">
        <w:rPr>
          <w:rFonts w:hint="eastAsia"/>
        </w:rPr>
        <w:t>。</w:t>
      </w:r>
    </w:p>
    <w:p w14:paraId="32E3C218" w14:textId="77777777" w:rsidR="004D7EB1" w:rsidRPr="004D7EB1" w:rsidRDefault="004D7EB1" w:rsidP="00D87D91">
      <w:r w:rsidRPr="004D7EB1">
        <w:rPr>
          <w:rFonts w:hint="eastAsia"/>
        </w:rPr>
        <w:t>◎柯雨瑞</w:t>
      </w:r>
      <w:r w:rsidRPr="004D7EB1">
        <w:rPr>
          <w:rFonts w:hint="eastAsia"/>
        </w:rPr>
        <w:t>(2010)</w:t>
      </w:r>
      <w:r w:rsidRPr="004D7EB1">
        <w:rPr>
          <w:rFonts w:hint="eastAsia"/>
        </w:rPr>
        <w:t>，</w:t>
      </w:r>
      <w:r w:rsidRPr="004D7EB1">
        <w:rPr>
          <w:rFonts w:hint="eastAsia"/>
        </w:rPr>
        <w:t>2010</w:t>
      </w:r>
      <w:r w:rsidRPr="004D7EB1">
        <w:rPr>
          <w:rFonts w:hint="eastAsia"/>
        </w:rPr>
        <w:t>年來國際反制人口販運與非法移民之作為，收錄於非傳統安全威脅研究報告第</w:t>
      </w:r>
      <w:r w:rsidRPr="004D7EB1">
        <w:rPr>
          <w:rFonts w:hint="eastAsia"/>
        </w:rPr>
        <w:t>10</w:t>
      </w:r>
      <w:r w:rsidRPr="004D7EB1">
        <w:rPr>
          <w:rFonts w:hint="eastAsia"/>
        </w:rPr>
        <w:t>輯，臺北市：國家安全局，頁</w:t>
      </w:r>
      <w:r w:rsidRPr="004D7EB1">
        <w:rPr>
          <w:rFonts w:hint="eastAsia"/>
        </w:rPr>
        <w:t>91-118</w:t>
      </w:r>
      <w:r w:rsidRPr="004D7EB1">
        <w:rPr>
          <w:rFonts w:hint="eastAsia"/>
        </w:rPr>
        <w:t>。</w:t>
      </w:r>
    </w:p>
    <w:p w14:paraId="6699DADF" w14:textId="77777777" w:rsidR="004D7EB1" w:rsidRPr="004D7EB1" w:rsidRDefault="004D7EB1" w:rsidP="00D87D91">
      <w:r w:rsidRPr="004D7EB1">
        <w:rPr>
          <w:rFonts w:hint="eastAsia"/>
        </w:rPr>
        <w:t>◎柯雨瑞</w:t>
      </w:r>
      <w:r w:rsidRPr="004D7EB1">
        <w:rPr>
          <w:rFonts w:hint="eastAsia"/>
        </w:rPr>
        <w:t>(2010)</w:t>
      </w:r>
      <w:r w:rsidRPr="004D7EB1">
        <w:rPr>
          <w:rFonts w:hint="eastAsia"/>
        </w:rPr>
        <w:t>，</w:t>
      </w:r>
      <w:r w:rsidRPr="004D7EB1">
        <w:rPr>
          <w:rFonts w:hint="eastAsia"/>
        </w:rPr>
        <w:t>2010</w:t>
      </w:r>
      <w:r w:rsidRPr="004D7EB1">
        <w:rPr>
          <w:rFonts w:hint="eastAsia"/>
        </w:rPr>
        <w:t>年來國際反制人口販運與非法移民之作為，收錄於非傳統安全威脅研究報告第</w:t>
      </w:r>
      <w:r w:rsidRPr="004D7EB1">
        <w:rPr>
          <w:rFonts w:hint="eastAsia"/>
        </w:rPr>
        <w:t>10</w:t>
      </w:r>
      <w:r w:rsidRPr="004D7EB1">
        <w:rPr>
          <w:rFonts w:hint="eastAsia"/>
        </w:rPr>
        <w:t>輯，臺北市：國家安全局，頁</w:t>
      </w:r>
      <w:r w:rsidRPr="004D7EB1">
        <w:rPr>
          <w:rFonts w:hint="eastAsia"/>
        </w:rPr>
        <w:t>91-118</w:t>
      </w:r>
      <w:r w:rsidRPr="004D7EB1">
        <w:rPr>
          <w:rFonts w:hint="eastAsia"/>
        </w:rPr>
        <w:t>。</w:t>
      </w:r>
    </w:p>
    <w:p w14:paraId="376E9A25" w14:textId="77777777" w:rsidR="004D7EB1" w:rsidRPr="004D7EB1" w:rsidRDefault="004D7EB1" w:rsidP="00D87D91">
      <w:r w:rsidRPr="004D7EB1">
        <w:rPr>
          <w:rFonts w:hint="eastAsia"/>
        </w:rPr>
        <w:t>◎柯雨瑞</w:t>
      </w:r>
      <w:r w:rsidRPr="004D7EB1">
        <w:rPr>
          <w:rFonts w:hint="eastAsia"/>
        </w:rPr>
        <w:t>(2010)</w:t>
      </w:r>
      <w:r w:rsidRPr="004D7EB1">
        <w:rPr>
          <w:rFonts w:hint="eastAsia"/>
        </w:rPr>
        <w:t>，人口販運被害者之保護與協助初探，發表於中央警察大學國境警察學系</w:t>
      </w:r>
      <w:r w:rsidRPr="004D7EB1">
        <w:rPr>
          <w:rFonts w:hint="eastAsia"/>
        </w:rPr>
        <w:t>2010</w:t>
      </w:r>
      <w:r w:rsidRPr="004D7EB1">
        <w:rPr>
          <w:rFonts w:hint="eastAsia"/>
        </w:rPr>
        <w:t>年第二屆「國境安全與人口移動學術研討會暨移民論壇」學術研討會。</w:t>
      </w:r>
    </w:p>
    <w:p w14:paraId="291C3DF5" w14:textId="77777777" w:rsidR="004D7EB1" w:rsidRPr="004D7EB1" w:rsidRDefault="004D7EB1" w:rsidP="00D87D91">
      <w:r w:rsidRPr="004D7EB1">
        <w:rPr>
          <w:rFonts w:hint="eastAsia"/>
        </w:rPr>
        <w:t>◎柯雨瑞</w:t>
      </w:r>
      <w:r w:rsidRPr="004D7EB1">
        <w:rPr>
          <w:rFonts w:hint="eastAsia"/>
        </w:rPr>
        <w:t>(2010)</w:t>
      </w:r>
      <w:r w:rsidRPr="004D7EB1">
        <w:rPr>
          <w:rFonts w:hint="eastAsia"/>
        </w:rPr>
        <w:t>，中國近期嚴打對策及其影響，展望與探索，第</w:t>
      </w:r>
      <w:r w:rsidRPr="004D7EB1">
        <w:rPr>
          <w:rFonts w:hint="eastAsia"/>
        </w:rPr>
        <w:t>8</w:t>
      </w:r>
      <w:r w:rsidRPr="004D7EB1">
        <w:rPr>
          <w:rFonts w:hint="eastAsia"/>
        </w:rPr>
        <w:t>卷第</w:t>
      </w:r>
      <w:r w:rsidRPr="004D7EB1">
        <w:rPr>
          <w:rFonts w:hint="eastAsia"/>
        </w:rPr>
        <w:t>9</w:t>
      </w:r>
      <w:r w:rsidRPr="004D7EB1">
        <w:rPr>
          <w:rFonts w:hint="eastAsia"/>
        </w:rPr>
        <w:t>期，頁</w:t>
      </w:r>
      <w:r w:rsidRPr="004D7EB1">
        <w:rPr>
          <w:rFonts w:hint="eastAsia"/>
        </w:rPr>
        <w:t>78-87</w:t>
      </w:r>
      <w:r w:rsidRPr="004D7EB1">
        <w:rPr>
          <w:rFonts w:hint="eastAsia"/>
        </w:rPr>
        <w:t>。</w:t>
      </w:r>
    </w:p>
    <w:p w14:paraId="3B81A28A" w14:textId="77777777" w:rsidR="004D7EB1" w:rsidRPr="004D7EB1" w:rsidRDefault="004D7EB1" w:rsidP="00D87D91">
      <w:r w:rsidRPr="004D7EB1">
        <w:rPr>
          <w:rFonts w:hint="eastAsia"/>
        </w:rPr>
        <w:t>◎柯雨瑞</w:t>
      </w:r>
      <w:r w:rsidRPr="004D7EB1">
        <w:rPr>
          <w:rFonts w:hint="eastAsia"/>
        </w:rPr>
        <w:t>(2010)</w:t>
      </w:r>
      <w:r w:rsidRPr="004D7EB1">
        <w:rPr>
          <w:rFonts w:hint="eastAsia"/>
        </w:rPr>
        <w:t>，新加坡移民法之初探，發表於中央警察大學國境警察學系</w:t>
      </w:r>
      <w:r w:rsidRPr="004D7EB1">
        <w:rPr>
          <w:rFonts w:hint="eastAsia"/>
        </w:rPr>
        <w:t>2010</w:t>
      </w:r>
      <w:r w:rsidRPr="004D7EB1">
        <w:rPr>
          <w:rFonts w:hint="eastAsia"/>
        </w:rPr>
        <w:t>年國境管理與移民事務學術研討會</w:t>
      </w:r>
      <w:r w:rsidR="00545D58">
        <w:rPr>
          <w:rFonts w:hint="eastAsia"/>
        </w:rPr>
        <w:t>。</w:t>
      </w:r>
    </w:p>
    <w:p w14:paraId="77456D5C" w14:textId="77777777" w:rsidR="004D7EB1" w:rsidRPr="004D7EB1" w:rsidRDefault="004D7EB1" w:rsidP="00D87D91">
      <w:r w:rsidRPr="004D7EB1">
        <w:rPr>
          <w:rFonts w:hint="eastAsia"/>
        </w:rPr>
        <w:t>◎柯雨瑞</w:t>
      </w:r>
      <w:r w:rsidRPr="004D7EB1">
        <w:rPr>
          <w:rFonts w:hint="eastAsia"/>
        </w:rPr>
        <w:t>(2010)</w:t>
      </w:r>
      <w:r w:rsidRPr="004D7EB1">
        <w:rPr>
          <w:rFonts w:hint="eastAsia"/>
        </w:rPr>
        <w:t>，新加坡移民法之初探，發表於中央警察大學國境警察學系與移民研究中心共同舉辦之「國境管理與移民事務學術研討會」。</w:t>
      </w:r>
    </w:p>
    <w:p w14:paraId="3D814B79" w14:textId="77777777" w:rsidR="004D7EB1" w:rsidRPr="004D7EB1" w:rsidRDefault="004D7EB1" w:rsidP="00D87D91">
      <w:r w:rsidRPr="004D7EB1">
        <w:rPr>
          <w:rFonts w:hint="eastAsia"/>
        </w:rPr>
        <w:t>◎柯雨瑞</w:t>
      </w:r>
      <w:r w:rsidRPr="004D7EB1">
        <w:rPr>
          <w:rFonts w:hint="eastAsia"/>
        </w:rPr>
        <w:t>(2010)</w:t>
      </w:r>
      <w:r w:rsidRPr="004D7EB1">
        <w:rPr>
          <w:rFonts w:hint="eastAsia"/>
        </w:rPr>
        <w:t>，新加坡移民法之探討</w:t>
      </w:r>
      <w:r w:rsidR="00D92F56">
        <w:rPr>
          <w:rFonts w:hint="eastAsia"/>
        </w:rPr>
        <w:t>〜</w:t>
      </w:r>
      <w:r w:rsidRPr="004D7EB1">
        <w:rPr>
          <w:rFonts w:hint="eastAsia"/>
        </w:rPr>
        <w:t>兼論對我國移民法之啟示，中央警察大學國境警察學報第</w:t>
      </w:r>
      <w:r w:rsidRPr="004D7EB1">
        <w:rPr>
          <w:rFonts w:hint="eastAsia"/>
        </w:rPr>
        <w:t>14</w:t>
      </w:r>
      <w:r w:rsidRPr="004D7EB1">
        <w:rPr>
          <w:rFonts w:hint="eastAsia"/>
        </w:rPr>
        <w:t>期，頁</w:t>
      </w:r>
      <w:r w:rsidRPr="004D7EB1">
        <w:rPr>
          <w:rFonts w:hint="eastAsia"/>
        </w:rPr>
        <w:t>151-202</w:t>
      </w:r>
      <w:r w:rsidRPr="004D7EB1">
        <w:rPr>
          <w:rFonts w:hint="eastAsia"/>
        </w:rPr>
        <w:t>。</w:t>
      </w:r>
    </w:p>
    <w:p w14:paraId="24392DE9" w14:textId="77777777" w:rsidR="004D7EB1" w:rsidRPr="004D7EB1" w:rsidRDefault="004D7EB1" w:rsidP="00D87D91">
      <w:r w:rsidRPr="004D7EB1">
        <w:rPr>
          <w:rFonts w:hint="eastAsia"/>
        </w:rPr>
        <w:t>◎柯雨瑞</w:t>
      </w:r>
      <w:r w:rsidRPr="004D7EB1">
        <w:rPr>
          <w:rFonts w:hint="eastAsia"/>
        </w:rPr>
        <w:t>(2010)</w:t>
      </w:r>
      <w:r w:rsidRPr="004D7EB1">
        <w:rPr>
          <w:rFonts w:hint="eastAsia"/>
        </w:rPr>
        <w:t>，論韓國防制人口販運之法制，警學叢刊第</w:t>
      </w:r>
      <w:r w:rsidRPr="004D7EB1">
        <w:rPr>
          <w:rFonts w:hint="eastAsia"/>
        </w:rPr>
        <w:t>41</w:t>
      </w:r>
      <w:r w:rsidRPr="004D7EB1">
        <w:rPr>
          <w:rFonts w:hint="eastAsia"/>
        </w:rPr>
        <w:t>卷第</w:t>
      </w:r>
      <w:r w:rsidRPr="004D7EB1">
        <w:rPr>
          <w:rFonts w:hint="eastAsia"/>
        </w:rPr>
        <w:t>3</w:t>
      </w:r>
      <w:r w:rsidRPr="004D7EB1">
        <w:rPr>
          <w:rFonts w:hint="eastAsia"/>
        </w:rPr>
        <w:t>期，頁</w:t>
      </w:r>
      <w:r w:rsidRPr="004D7EB1">
        <w:rPr>
          <w:rFonts w:hint="eastAsia"/>
        </w:rPr>
        <w:t xml:space="preserve">215-244. </w:t>
      </w:r>
    </w:p>
    <w:p w14:paraId="40A30C07" w14:textId="77777777" w:rsidR="004D7EB1" w:rsidRPr="004D7EB1" w:rsidRDefault="004D7EB1" w:rsidP="00D87D91">
      <w:r w:rsidRPr="004D7EB1">
        <w:rPr>
          <w:rFonts w:hint="eastAsia"/>
        </w:rPr>
        <w:t>◎柯雨瑞</w:t>
      </w:r>
      <w:r w:rsidRPr="004D7EB1">
        <w:rPr>
          <w:rFonts w:hint="eastAsia"/>
        </w:rPr>
        <w:t>(2010)</w:t>
      </w:r>
      <w:r w:rsidRPr="004D7EB1">
        <w:rPr>
          <w:rFonts w:hint="eastAsia"/>
        </w:rPr>
        <w:t>，韓國防制人口販運之探討</w:t>
      </w:r>
      <w:r w:rsidR="00D92F56">
        <w:rPr>
          <w:rFonts w:hint="eastAsia"/>
        </w:rPr>
        <w:t>〜</w:t>
      </w:r>
      <w:r w:rsidRPr="004D7EB1">
        <w:rPr>
          <w:rFonts w:hint="eastAsia"/>
        </w:rPr>
        <w:t>兼論對台灣之啟示，中央警察大學國境警察學報第</w:t>
      </w:r>
      <w:r w:rsidRPr="004D7EB1">
        <w:rPr>
          <w:rFonts w:hint="eastAsia"/>
        </w:rPr>
        <w:t>13</w:t>
      </w:r>
      <w:r w:rsidRPr="004D7EB1">
        <w:rPr>
          <w:rFonts w:hint="eastAsia"/>
        </w:rPr>
        <w:t>期，頁</w:t>
      </w:r>
      <w:r w:rsidRPr="004D7EB1">
        <w:rPr>
          <w:rFonts w:hint="eastAsia"/>
        </w:rPr>
        <w:t>147-193</w:t>
      </w:r>
      <w:r w:rsidRPr="004D7EB1">
        <w:rPr>
          <w:rFonts w:hint="eastAsia"/>
        </w:rPr>
        <w:t>。</w:t>
      </w:r>
    </w:p>
    <w:p w14:paraId="4A112DDA" w14:textId="77777777" w:rsidR="004D7EB1" w:rsidRPr="004D7EB1" w:rsidRDefault="004D7EB1" w:rsidP="00D87D91">
      <w:r w:rsidRPr="004D7EB1">
        <w:rPr>
          <w:rFonts w:hint="eastAsia"/>
        </w:rPr>
        <w:t>◎柯雨瑞</w:t>
      </w:r>
      <w:r w:rsidRPr="004D7EB1">
        <w:rPr>
          <w:rFonts w:hint="eastAsia"/>
        </w:rPr>
        <w:t>(2011)</w:t>
      </w:r>
      <w:r w:rsidRPr="004D7EB1">
        <w:rPr>
          <w:rFonts w:hint="eastAsia"/>
        </w:rPr>
        <w:t>，中國近期嚴打對策及其影響，收錄於展望與探索雜誌社，</w:t>
      </w:r>
      <w:r w:rsidRPr="004D7EB1">
        <w:rPr>
          <w:rFonts w:hint="eastAsia"/>
        </w:rPr>
        <w:t>2010</w:t>
      </w:r>
      <w:r w:rsidRPr="004D7EB1">
        <w:rPr>
          <w:rFonts w:hint="eastAsia"/>
        </w:rPr>
        <w:t>年展望與探索月刊時評文集，頁</w:t>
      </w:r>
      <w:r w:rsidRPr="004D7EB1">
        <w:rPr>
          <w:rFonts w:hint="eastAsia"/>
        </w:rPr>
        <w:t>322-331</w:t>
      </w:r>
      <w:r w:rsidRPr="004D7EB1">
        <w:rPr>
          <w:rFonts w:hint="eastAsia"/>
        </w:rPr>
        <w:t>。</w:t>
      </w:r>
    </w:p>
    <w:p w14:paraId="1018DEB6" w14:textId="77777777" w:rsidR="004D7EB1" w:rsidRPr="004D7EB1" w:rsidRDefault="004D7EB1" w:rsidP="00D87D91">
      <w:r w:rsidRPr="004D7EB1">
        <w:rPr>
          <w:rFonts w:hint="eastAsia"/>
        </w:rPr>
        <w:t>◎柯雨瑞</w:t>
      </w:r>
      <w:r w:rsidRPr="004D7EB1">
        <w:rPr>
          <w:rFonts w:hint="eastAsia"/>
        </w:rPr>
        <w:t>(2011)</w:t>
      </w:r>
      <w:r w:rsidRPr="004D7EB1">
        <w:rPr>
          <w:rFonts w:hint="eastAsia"/>
        </w:rPr>
        <w:t>，加拿大防制人口販運對策之探討</w:t>
      </w:r>
      <w:r w:rsidR="00D92F56">
        <w:rPr>
          <w:rFonts w:hint="eastAsia"/>
        </w:rPr>
        <w:t>〜</w:t>
      </w:r>
      <w:r w:rsidRPr="004D7EB1">
        <w:rPr>
          <w:rFonts w:hint="eastAsia"/>
        </w:rPr>
        <w:t>兼論對台灣之啟示，中央警察大學國土安全與國境管理學報第</w:t>
      </w:r>
      <w:r w:rsidRPr="004D7EB1">
        <w:rPr>
          <w:rFonts w:hint="eastAsia"/>
        </w:rPr>
        <w:t>15</w:t>
      </w:r>
      <w:r w:rsidRPr="004D7EB1">
        <w:rPr>
          <w:rFonts w:hint="eastAsia"/>
        </w:rPr>
        <w:t>期，頁</w:t>
      </w:r>
      <w:r w:rsidRPr="004D7EB1">
        <w:rPr>
          <w:rFonts w:hint="eastAsia"/>
        </w:rPr>
        <w:t>1-65</w:t>
      </w:r>
      <w:r w:rsidRPr="004D7EB1">
        <w:rPr>
          <w:rFonts w:hint="eastAsia"/>
        </w:rPr>
        <w:t>。</w:t>
      </w:r>
    </w:p>
    <w:p w14:paraId="2524AFC8" w14:textId="77777777" w:rsidR="004D7EB1" w:rsidRPr="004D7EB1" w:rsidRDefault="004D7EB1" w:rsidP="00D87D91">
      <w:r w:rsidRPr="004D7EB1">
        <w:rPr>
          <w:rFonts w:hint="eastAsia"/>
        </w:rPr>
        <w:t>◎柯雨瑞</w:t>
      </w:r>
      <w:r w:rsidRPr="004D7EB1">
        <w:rPr>
          <w:rFonts w:hint="eastAsia"/>
        </w:rPr>
        <w:t>(2011)</w:t>
      </w:r>
      <w:r w:rsidRPr="004D7EB1">
        <w:rPr>
          <w:rFonts w:hint="eastAsia"/>
        </w:rPr>
        <w:t>，百年來台灣毒品刑事政策演變之初探</w:t>
      </w:r>
      <w:r w:rsidR="00D92F56">
        <w:rPr>
          <w:rFonts w:hint="eastAsia"/>
        </w:rPr>
        <w:t>〜</w:t>
      </w:r>
      <w:r w:rsidRPr="004D7EB1">
        <w:rPr>
          <w:rFonts w:hint="eastAsia"/>
        </w:rPr>
        <w:t>以「毒品施用」為中心，發表於中央警察大學行政警察學系暨警察政策研究所、安全管理研究中心建國百年治安、警政變革與展望學術研討會。</w:t>
      </w:r>
    </w:p>
    <w:p w14:paraId="0B783FF6" w14:textId="77777777" w:rsidR="004D7EB1" w:rsidRPr="004D7EB1" w:rsidRDefault="004D7EB1" w:rsidP="00D87D91">
      <w:r w:rsidRPr="004D7EB1">
        <w:rPr>
          <w:rFonts w:hint="eastAsia"/>
        </w:rPr>
        <w:t>◎柯雨瑞</w:t>
      </w:r>
      <w:r w:rsidRPr="004D7EB1">
        <w:rPr>
          <w:rFonts w:hint="eastAsia"/>
        </w:rPr>
        <w:t>(2011)</w:t>
      </w:r>
      <w:r w:rsidRPr="004D7EB1">
        <w:rPr>
          <w:rFonts w:hint="eastAsia"/>
        </w:rPr>
        <w:t>，淺論加拿大安大略省外籍家庭幫傭薪資與工作時間之法制保障，發表於中央警察大學國境警察學系</w:t>
      </w:r>
      <w:r w:rsidRPr="004D7EB1">
        <w:rPr>
          <w:rFonts w:hint="eastAsia"/>
        </w:rPr>
        <w:t>2011</w:t>
      </w:r>
      <w:r w:rsidRPr="004D7EB1">
        <w:rPr>
          <w:rFonts w:hint="eastAsia"/>
        </w:rPr>
        <w:t>年「人口移動與執法」學術研討會</w:t>
      </w:r>
    </w:p>
    <w:p w14:paraId="1F3A6B9A" w14:textId="77777777" w:rsidR="004D7EB1" w:rsidRPr="004D7EB1" w:rsidRDefault="004D7EB1" w:rsidP="00D87D91">
      <w:r w:rsidRPr="004D7EB1">
        <w:rPr>
          <w:rFonts w:hint="eastAsia"/>
        </w:rPr>
        <w:t>◎柯雨瑞</w:t>
      </w:r>
      <w:r w:rsidRPr="004D7EB1">
        <w:rPr>
          <w:rFonts w:hint="eastAsia"/>
        </w:rPr>
        <w:t>(2011)</w:t>
      </w:r>
      <w:r w:rsidRPr="004D7EB1">
        <w:rPr>
          <w:rFonts w:hint="eastAsia"/>
        </w:rPr>
        <w:t>，新加坡國境人流管理機制與具體作為之研究，中央警察大學國土安全與國境管理學報第</w:t>
      </w:r>
      <w:r w:rsidRPr="004D7EB1">
        <w:rPr>
          <w:rFonts w:hint="eastAsia"/>
        </w:rPr>
        <w:t>16</w:t>
      </w:r>
      <w:r w:rsidRPr="004D7EB1">
        <w:rPr>
          <w:rFonts w:hint="eastAsia"/>
        </w:rPr>
        <w:t>期，頁</w:t>
      </w:r>
      <w:r w:rsidRPr="004D7EB1">
        <w:rPr>
          <w:rFonts w:hint="eastAsia"/>
        </w:rPr>
        <w:t>47-115</w:t>
      </w:r>
      <w:r w:rsidRPr="004D7EB1">
        <w:rPr>
          <w:rFonts w:hint="eastAsia"/>
        </w:rPr>
        <w:t>。</w:t>
      </w:r>
    </w:p>
    <w:p w14:paraId="1F3EC55E" w14:textId="77777777" w:rsidR="004D7EB1" w:rsidRPr="004D7EB1" w:rsidRDefault="004D7EB1" w:rsidP="00D87D91">
      <w:r w:rsidRPr="004D7EB1">
        <w:rPr>
          <w:rFonts w:hint="eastAsia"/>
        </w:rPr>
        <w:t>◎柯雨瑞</w:t>
      </w:r>
      <w:r w:rsidRPr="004D7EB1">
        <w:rPr>
          <w:rFonts w:hint="eastAsia"/>
        </w:rPr>
        <w:t>(2011)</w:t>
      </w:r>
      <w:r w:rsidRPr="004D7EB1">
        <w:rPr>
          <w:rFonts w:hint="eastAsia"/>
        </w:rPr>
        <w:t>，新加坡國境管理對策之初探</w:t>
      </w:r>
      <w:r w:rsidR="00D92F56">
        <w:rPr>
          <w:rFonts w:hint="eastAsia"/>
        </w:rPr>
        <w:t>〜</w:t>
      </w:r>
      <w:r w:rsidRPr="004D7EB1">
        <w:rPr>
          <w:rFonts w:hint="eastAsia"/>
        </w:rPr>
        <w:t>以人流管理為中心，發表於中央警察大學</w:t>
      </w:r>
      <w:r w:rsidRPr="004D7EB1">
        <w:rPr>
          <w:rFonts w:hint="eastAsia"/>
        </w:rPr>
        <w:t>2011</w:t>
      </w:r>
      <w:r w:rsidRPr="004D7EB1">
        <w:rPr>
          <w:rFonts w:hint="eastAsia"/>
        </w:rPr>
        <w:t>年『國土安全與國境管理」學術研討會。</w:t>
      </w:r>
    </w:p>
    <w:p w14:paraId="4626797F" w14:textId="77777777" w:rsidR="004D7EB1" w:rsidRPr="004D7EB1" w:rsidRDefault="004D7EB1" w:rsidP="00D87D91">
      <w:r w:rsidRPr="004D7EB1">
        <w:rPr>
          <w:rFonts w:hint="eastAsia"/>
        </w:rPr>
        <w:t>◎柯雨瑞</w:t>
      </w:r>
      <w:r w:rsidRPr="004D7EB1">
        <w:t>(2012)</w:t>
      </w:r>
      <w:r w:rsidRPr="004D7EB1">
        <w:rPr>
          <w:rFonts w:hint="eastAsia"/>
        </w:rPr>
        <w:t>，毒品犯罪，收錄於汪毓瑋、王</w:t>
      </w:r>
      <w:r w:rsidR="003A0E3C" w:rsidRPr="003A0E3C">
        <w:rPr>
          <w:rFonts w:hint="eastAsia"/>
        </w:rPr>
        <w:t>寬</w:t>
      </w:r>
      <w:r w:rsidRPr="004D7EB1">
        <w:rPr>
          <w:rFonts w:hint="eastAsia"/>
        </w:rPr>
        <w:t>弘、張維平、孫國祥、柯雨瑞、許義寶、蔡裕明著，跨國</w:t>
      </w:r>
      <w:r w:rsidRPr="004D7EB1">
        <w:t>(</w:t>
      </w:r>
      <w:r w:rsidRPr="004D7EB1">
        <w:rPr>
          <w:rFonts w:hint="eastAsia"/>
        </w:rPr>
        <w:t>境</w:t>
      </w:r>
      <w:r w:rsidRPr="004D7EB1">
        <w:t>)</w:t>
      </w:r>
      <w:r w:rsidRPr="004D7EB1">
        <w:rPr>
          <w:rFonts w:hint="eastAsia"/>
        </w:rPr>
        <w:t>組織犯罪理論與執法實踐之研究</w:t>
      </w:r>
      <w:r w:rsidRPr="004D7EB1">
        <w:t>(</w:t>
      </w:r>
      <w:r w:rsidRPr="004D7EB1">
        <w:rPr>
          <w:rFonts w:hint="eastAsia"/>
        </w:rPr>
        <w:t>分論</w:t>
      </w:r>
      <w:r w:rsidRPr="004D7EB1">
        <w:t>)</w:t>
      </w:r>
      <w:r w:rsidRPr="004D7EB1">
        <w:rPr>
          <w:rFonts w:hint="eastAsia"/>
        </w:rPr>
        <w:t>，初版</w:t>
      </w:r>
      <w:r w:rsidRPr="004D7EB1">
        <w:t>1</w:t>
      </w:r>
      <w:r w:rsidRPr="004D7EB1">
        <w:rPr>
          <w:rFonts w:hint="eastAsia"/>
        </w:rPr>
        <w:t>刷，臺北市：元照，頁</w:t>
      </w:r>
      <w:r w:rsidRPr="004D7EB1">
        <w:t>135-156</w:t>
      </w:r>
      <w:r w:rsidRPr="004D7EB1">
        <w:rPr>
          <w:rFonts w:hint="eastAsia"/>
        </w:rPr>
        <w:t>。</w:t>
      </w:r>
    </w:p>
    <w:p w14:paraId="4D0FC884" w14:textId="77777777" w:rsidR="004D7EB1" w:rsidRPr="004D7EB1" w:rsidRDefault="004D7EB1" w:rsidP="00D87D91">
      <w:r w:rsidRPr="004D7EB1">
        <w:rPr>
          <w:rFonts w:hint="eastAsia"/>
        </w:rPr>
        <w:t>◎柯雨瑞</w:t>
      </w:r>
      <w:r w:rsidRPr="004D7EB1">
        <w:rPr>
          <w:rFonts w:hint="eastAsia"/>
        </w:rPr>
        <w:t>(2012)</w:t>
      </w:r>
      <w:r w:rsidRPr="004D7EB1">
        <w:rPr>
          <w:rFonts w:hint="eastAsia"/>
        </w:rPr>
        <w:t>，國際毒品犯罪現況與聯合國防制對策之探討</w:t>
      </w:r>
      <w:r w:rsidR="00D92F56">
        <w:rPr>
          <w:rFonts w:hint="eastAsia"/>
        </w:rPr>
        <w:t>〜</w:t>
      </w:r>
      <w:r w:rsidRPr="004D7EB1">
        <w:rPr>
          <w:rFonts w:hint="eastAsia"/>
        </w:rPr>
        <w:t>兼論對台灣之啟示，中央警察大學警學叢刊第</w:t>
      </w:r>
      <w:r w:rsidRPr="004D7EB1">
        <w:rPr>
          <w:rFonts w:hint="eastAsia"/>
        </w:rPr>
        <w:t>42</w:t>
      </w:r>
      <w:r w:rsidRPr="004D7EB1">
        <w:rPr>
          <w:rFonts w:hint="eastAsia"/>
        </w:rPr>
        <w:t>卷第</w:t>
      </w:r>
      <w:r w:rsidRPr="004D7EB1">
        <w:rPr>
          <w:rFonts w:hint="eastAsia"/>
        </w:rPr>
        <w:t>5</w:t>
      </w:r>
      <w:r w:rsidRPr="004D7EB1">
        <w:rPr>
          <w:rFonts w:hint="eastAsia"/>
        </w:rPr>
        <w:t>期，頁</w:t>
      </w:r>
      <w:r w:rsidRPr="004D7EB1">
        <w:rPr>
          <w:rFonts w:hint="eastAsia"/>
        </w:rPr>
        <w:t>1-31</w:t>
      </w:r>
      <w:r w:rsidRPr="004D7EB1">
        <w:rPr>
          <w:rFonts w:hint="eastAsia"/>
        </w:rPr>
        <w:t>。</w:t>
      </w:r>
    </w:p>
    <w:p w14:paraId="718C3F73" w14:textId="77777777" w:rsidR="004D7EB1" w:rsidRPr="004D7EB1" w:rsidRDefault="004D7EB1" w:rsidP="00D87D91">
      <w:r w:rsidRPr="004D7EB1">
        <w:rPr>
          <w:rFonts w:hint="eastAsia"/>
        </w:rPr>
        <w:t>◎柯雨瑞</w:t>
      </w:r>
      <w:r w:rsidRPr="004D7EB1">
        <w:rPr>
          <w:rFonts w:hint="eastAsia"/>
        </w:rPr>
        <w:t>(2012)</w:t>
      </w:r>
      <w:r w:rsidRPr="004D7EB1">
        <w:rPr>
          <w:rFonts w:hint="eastAsia"/>
        </w:rPr>
        <w:t>，從國際法探討「驅逐出國」相關之法規範，發表於</w:t>
      </w:r>
      <w:r w:rsidRPr="004D7EB1">
        <w:rPr>
          <w:rFonts w:hint="eastAsia"/>
        </w:rPr>
        <w:t>2012</w:t>
      </w:r>
      <w:r w:rsidRPr="004D7EB1">
        <w:rPr>
          <w:rFonts w:hint="eastAsia"/>
        </w:rPr>
        <w:t>年中央警察大學國境警察學系『國土管理與執法』學術研討會</w:t>
      </w:r>
      <w:r w:rsidR="00545D58">
        <w:rPr>
          <w:rFonts w:hint="eastAsia"/>
        </w:rPr>
        <w:t>。</w:t>
      </w:r>
    </w:p>
    <w:p w14:paraId="2C6B1444" w14:textId="77777777" w:rsidR="004D7EB1" w:rsidRPr="004D7EB1" w:rsidRDefault="004D7EB1" w:rsidP="00D87D91">
      <w:r w:rsidRPr="004D7EB1">
        <w:rPr>
          <w:rFonts w:hint="eastAsia"/>
        </w:rPr>
        <w:t>◎柯雨瑞</w:t>
      </w:r>
      <w:r w:rsidRPr="004D7EB1">
        <w:rPr>
          <w:rFonts w:hint="eastAsia"/>
        </w:rPr>
        <w:t>(2012)</w:t>
      </w:r>
      <w:r w:rsidRPr="004D7EB1">
        <w:rPr>
          <w:rFonts w:hint="eastAsia"/>
        </w:rPr>
        <w:t>，臺灣入出國及移民法有關驅逐出國機制之現況、問題與未來可行之發展方向，桃園：中央警察大學出版社，頁</w:t>
      </w:r>
      <w:r w:rsidRPr="004D7EB1">
        <w:rPr>
          <w:rFonts w:hint="eastAsia"/>
        </w:rPr>
        <w:t>30-456</w:t>
      </w:r>
      <w:r w:rsidRPr="004D7EB1">
        <w:rPr>
          <w:rFonts w:hint="eastAsia"/>
        </w:rPr>
        <w:t>。</w:t>
      </w:r>
    </w:p>
    <w:p w14:paraId="22F5475A" w14:textId="77777777" w:rsidR="004D7EB1" w:rsidRPr="004D7EB1" w:rsidRDefault="004D7EB1" w:rsidP="00D87D91">
      <w:r w:rsidRPr="004D7EB1">
        <w:rPr>
          <w:rFonts w:hint="eastAsia"/>
        </w:rPr>
        <w:t>◎柯雨瑞</w:t>
      </w:r>
      <w:r w:rsidRPr="004D7EB1">
        <w:rPr>
          <w:rFonts w:hint="eastAsia"/>
        </w:rPr>
        <w:t>(2012)</w:t>
      </w:r>
      <w:r w:rsidRPr="004D7EB1">
        <w:rPr>
          <w:rFonts w:hint="eastAsia"/>
        </w:rPr>
        <w:t>，論加拿大安大略省外籍家事勞工薪資與工作時間之法制保障</w:t>
      </w:r>
      <w:r w:rsidR="00D92F56">
        <w:rPr>
          <w:rFonts w:hint="eastAsia"/>
        </w:rPr>
        <w:t>〜</w:t>
      </w:r>
      <w:r w:rsidRPr="004D7EB1">
        <w:rPr>
          <w:rFonts w:hint="eastAsia"/>
        </w:rPr>
        <w:t>對台灣之啟示，涉外執法與政策學報第</w:t>
      </w:r>
      <w:r w:rsidRPr="004D7EB1">
        <w:rPr>
          <w:rFonts w:hint="eastAsia"/>
        </w:rPr>
        <w:t>2</w:t>
      </w:r>
      <w:r w:rsidRPr="004D7EB1">
        <w:rPr>
          <w:rFonts w:hint="eastAsia"/>
        </w:rPr>
        <w:t>期，頁</w:t>
      </w:r>
      <w:r w:rsidRPr="004D7EB1">
        <w:rPr>
          <w:rFonts w:hint="eastAsia"/>
        </w:rPr>
        <w:t>55-111</w:t>
      </w:r>
      <w:r w:rsidRPr="004D7EB1">
        <w:rPr>
          <w:rFonts w:hint="eastAsia"/>
        </w:rPr>
        <w:t>。</w:t>
      </w:r>
    </w:p>
    <w:p w14:paraId="36BF0896" w14:textId="77777777" w:rsidR="004D7EB1" w:rsidRPr="004D7EB1" w:rsidRDefault="004D7EB1" w:rsidP="00D87D91">
      <w:r w:rsidRPr="004D7EB1">
        <w:rPr>
          <w:rFonts w:hint="eastAsia"/>
        </w:rPr>
        <w:t>◎柯雨瑞</w:t>
      </w:r>
      <w:r w:rsidRPr="004D7EB1">
        <w:rPr>
          <w:rFonts w:hint="eastAsia"/>
        </w:rPr>
        <w:t>(2013)</w:t>
      </w:r>
      <w:r w:rsidRPr="004D7EB1">
        <w:rPr>
          <w:rFonts w:hint="eastAsia"/>
        </w:rPr>
        <w:t>，兩岸共同打擊犯罪策略評析</w:t>
      </w:r>
      <w:r w:rsidR="00D92F56">
        <w:rPr>
          <w:rFonts w:hint="eastAsia"/>
        </w:rPr>
        <w:t>〜</w:t>
      </w:r>
      <w:r w:rsidRPr="004D7EB1">
        <w:rPr>
          <w:rFonts w:hint="eastAsia"/>
        </w:rPr>
        <w:t>以高鐵炸彈案為例，展望與探索第</w:t>
      </w:r>
      <w:r w:rsidRPr="004D7EB1">
        <w:rPr>
          <w:rFonts w:hint="eastAsia"/>
        </w:rPr>
        <w:t>11</w:t>
      </w:r>
      <w:r w:rsidRPr="004D7EB1">
        <w:rPr>
          <w:rFonts w:hint="eastAsia"/>
        </w:rPr>
        <w:t>卷第</w:t>
      </w:r>
      <w:r w:rsidRPr="004D7EB1">
        <w:rPr>
          <w:rFonts w:hint="eastAsia"/>
        </w:rPr>
        <w:t>5</w:t>
      </w:r>
      <w:r w:rsidRPr="004D7EB1">
        <w:rPr>
          <w:rFonts w:hint="eastAsia"/>
        </w:rPr>
        <w:t>期，頁</w:t>
      </w:r>
      <w:r w:rsidRPr="004D7EB1">
        <w:rPr>
          <w:rFonts w:hint="eastAsia"/>
        </w:rPr>
        <w:t>38-43</w:t>
      </w:r>
      <w:r w:rsidRPr="004D7EB1">
        <w:rPr>
          <w:rFonts w:hint="eastAsia"/>
        </w:rPr>
        <w:t>。</w:t>
      </w:r>
    </w:p>
    <w:p w14:paraId="59B92181" w14:textId="77777777" w:rsidR="004D7EB1" w:rsidRPr="004D7EB1" w:rsidRDefault="004D7EB1" w:rsidP="00D87D91">
      <w:r w:rsidRPr="004D7EB1">
        <w:rPr>
          <w:rFonts w:hint="eastAsia"/>
        </w:rPr>
        <w:t>◎柯雨瑞</w:t>
      </w:r>
      <w:r w:rsidRPr="004D7EB1">
        <w:rPr>
          <w:rFonts w:hint="eastAsia"/>
        </w:rPr>
        <w:t>(2015)</w:t>
      </w:r>
      <w:r w:rsidRPr="004D7EB1">
        <w:rPr>
          <w:rFonts w:hint="eastAsia"/>
        </w:rPr>
        <w:t>，臺灣的新奴隸制度</w:t>
      </w:r>
      <w:r w:rsidR="00D92F56">
        <w:rPr>
          <w:rFonts w:hint="eastAsia"/>
        </w:rPr>
        <w:t>〜</w:t>
      </w:r>
      <w:r w:rsidRPr="004D7EB1">
        <w:rPr>
          <w:rFonts w:hint="eastAsia"/>
        </w:rPr>
        <w:t>談人口販運的防制，教育部人權教育諮詢暨資源中心人權教育網電子報第</w:t>
      </w:r>
      <w:r w:rsidRPr="004D7EB1">
        <w:rPr>
          <w:rFonts w:hint="eastAsia"/>
        </w:rPr>
        <w:t>73</w:t>
      </w:r>
      <w:r w:rsidRPr="004D7EB1">
        <w:rPr>
          <w:rFonts w:hint="eastAsia"/>
        </w:rPr>
        <w:t>期</w:t>
      </w:r>
      <w:r w:rsidRPr="004D7EB1">
        <w:rPr>
          <w:rFonts w:hint="eastAsia"/>
        </w:rPr>
        <w:t>(2015.06)</w:t>
      </w:r>
      <w:r w:rsidRPr="004D7EB1">
        <w:rPr>
          <w:rFonts w:hint="eastAsia"/>
        </w:rPr>
        <w:t>，</w:t>
      </w:r>
      <w:r w:rsidRPr="004D7EB1">
        <w:rPr>
          <w:rFonts w:hint="eastAsia"/>
        </w:rPr>
        <w:t>http://hre.pro.edu.tw/1-1.php</w:t>
      </w:r>
      <w:r w:rsidRPr="004D7EB1">
        <w:rPr>
          <w:rFonts w:hint="eastAsia"/>
        </w:rPr>
        <w:t>。</w:t>
      </w:r>
    </w:p>
    <w:p w14:paraId="2E4748DA" w14:textId="77777777" w:rsidR="004D7EB1" w:rsidRPr="004D7EB1" w:rsidRDefault="004D7EB1" w:rsidP="00D87D91">
      <w:r w:rsidRPr="004D7EB1">
        <w:rPr>
          <w:rFonts w:hint="eastAsia"/>
        </w:rPr>
        <w:t>◎柯雨瑞</w:t>
      </w:r>
      <w:r w:rsidRPr="004D7EB1">
        <w:rPr>
          <w:rFonts w:hint="eastAsia"/>
        </w:rPr>
        <w:t>(2013)</w:t>
      </w:r>
      <w:r w:rsidRPr="004D7EB1">
        <w:rPr>
          <w:rFonts w:hint="eastAsia"/>
        </w:rPr>
        <w:t>，兩岸共同打擊犯罪策略評析</w:t>
      </w:r>
      <w:r w:rsidR="00D92F56">
        <w:rPr>
          <w:rFonts w:hint="eastAsia"/>
        </w:rPr>
        <w:t>〜</w:t>
      </w:r>
      <w:r w:rsidRPr="004D7EB1">
        <w:rPr>
          <w:rFonts w:hint="eastAsia"/>
        </w:rPr>
        <w:t>以高鐵炸彈案為例，展望與探索第</w:t>
      </w:r>
      <w:r w:rsidRPr="004D7EB1">
        <w:rPr>
          <w:rFonts w:hint="eastAsia"/>
        </w:rPr>
        <w:t>11</w:t>
      </w:r>
      <w:r w:rsidRPr="004D7EB1">
        <w:rPr>
          <w:rFonts w:hint="eastAsia"/>
        </w:rPr>
        <w:t>卷第</w:t>
      </w:r>
      <w:r w:rsidRPr="004D7EB1">
        <w:rPr>
          <w:rFonts w:hint="eastAsia"/>
        </w:rPr>
        <w:t>5</w:t>
      </w:r>
      <w:r w:rsidRPr="004D7EB1">
        <w:rPr>
          <w:rFonts w:hint="eastAsia"/>
        </w:rPr>
        <w:t>期，頁</w:t>
      </w:r>
      <w:r w:rsidRPr="004D7EB1">
        <w:rPr>
          <w:rFonts w:hint="eastAsia"/>
        </w:rPr>
        <w:t>38-43</w:t>
      </w:r>
      <w:r w:rsidRPr="004D7EB1">
        <w:rPr>
          <w:rFonts w:hint="eastAsia"/>
        </w:rPr>
        <w:t>。</w:t>
      </w:r>
    </w:p>
    <w:p w14:paraId="7FC297C0" w14:textId="77777777" w:rsidR="004D7EB1" w:rsidRPr="004D7EB1" w:rsidRDefault="004D7EB1" w:rsidP="00D87D91">
      <w:r w:rsidRPr="004D7EB1">
        <w:rPr>
          <w:rFonts w:hint="eastAsia"/>
        </w:rPr>
        <w:t>◎柯雨瑞</w:t>
      </w:r>
      <w:r w:rsidRPr="004D7EB1">
        <w:rPr>
          <w:rFonts w:hint="eastAsia"/>
        </w:rPr>
        <w:t>(2014)</w:t>
      </w:r>
      <w:r w:rsidRPr="004D7EB1">
        <w:rPr>
          <w:rFonts w:hint="eastAsia"/>
        </w:rPr>
        <w:t>，兩岸共同打擊犯罪策略評析</w:t>
      </w:r>
      <w:r w:rsidR="00D92F56">
        <w:rPr>
          <w:rFonts w:hint="eastAsia"/>
        </w:rPr>
        <w:t>〜</w:t>
      </w:r>
      <w:r w:rsidRPr="004D7EB1">
        <w:rPr>
          <w:rFonts w:hint="eastAsia"/>
        </w:rPr>
        <w:t>以高鐵炸彈案為例，收錄於</w:t>
      </w:r>
      <w:r w:rsidRPr="004D7EB1">
        <w:rPr>
          <w:rFonts w:hint="eastAsia"/>
        </w:rPr>
        <w:t>2013</w:t>
      </w:r>
      <w:r w:rsidRPr="004D7EB1">
        <w:rPr>
          <w:rFonts w:hint="eastAsia"/>
        </w:rPr>
        <w:t>年展望與探索月刊時評文集，台北：展望與探索雜誌社，頁</w:t>
      </w:r>
      <w:r w:rsidRPr="004D7EB1">
        <w:rPr>
          <w:rFonts w:hint="eastAsia"/>
        </w:rPr>
        <w:t>243-248</w:t>
      </w:r>
      <w:r w:rsidRPr="004D7EB1">
        <w:rPr>
          <w:rFonts w:hint="eastAsia"/>
        </w:rPr>
        <w:t>。</w:t>
      </w:r>
    </w:p>
    <w:p w14:paraId="6744A8AB" w14:textId="77777777" w:rsidR="004D7EB1" w:rsidRPr="004D7EB1" w:rsidRDefault="004D7EB1" w:rsidP="00D87D91">
      <w:r w:rsidRPr="004D7EB1">
        <w:rPr>
          <w:rFonts w:hint="eastAsia"/>
        </w:rPr>
        <w:t>◎柯雨瑞</w:t>
      </w:r>
      <w:r w:rsidRPr="004D7EB1">
        <w:rPr>
          <w:rFonts w:hint="eastAsia"/>
        </w:rPr>
        <w:t>(2014)</w:t>
      </w:r>
      <w:r w:rsidRPr="004D7EB1">
        <w:rPr>
          <w:rFonts w:hint="eastAsia"/>
        </w:rPr>
        <w:t>，不正常人口移動防制對策之研究，發表於</w:t>
      </w:r>
      <w:r w:rsidRPr="004D7EB1">
        <w:rPr>
          <w:rFonts w:hint="eastAsia"/>
        </w:rPr>
        <w:t>2014</w:t>
      </w:r>
      <w:r w:rsidRPr="004D7EB1">
        <w:rPr>
          <w:rFonts w:hint="eastAsia"/>
        </w:rPr>
        <w:t>年中央警察大學移民研究中心「人口流動與執法」學術研討會。</w:t>
      </w:r>
    </w:p>
    <w:p w14:paraId="50079524" w14:textId="77777777" w:rsidR="004D7EB1" w:rsidRPr="004D7EB1" w:rsidRDefault="004D7EB1" w:rsidP="00D87D91">
      <w:r w:rsidRPr="004D7EB1">
        <w:rPr>
          <w:rFonts w:hint="eastAsia"/>
        </w:rPr>
        <w:t>◎柯雨瑞</w:t>
      </w:r>
      <w:r w:rsidRPr="004D7EB1">
        <w:rPr>
          <w:rFonts w:hint="eastAsia"/>
        </w:rPr>
        <w:t>(2014)</w:t>
      </w:r>
      <w:r w:rsidRPr="004D7EB1">
        <w:rPr>
          <w:rFonts w:hint="eastAsia"/>
        </w:rPr>
        <w:t>，非法移民防制對策之研究，涉外執法與政策學報第</w:t>
      </w:r>
      <w:r w:rsidRPr="004D7EB1">
        <w:rPr>
          <w:rFonts w:hint="eastAsia"/>
        </w:rPr>
        <w:t>4</w:t>
      </w:r>
      <w:r w:rsidRPr="004D7EB1">
        <w:rPr>
          <w:rFonts w:hint="eastAsia"/>
        </w:rPr>
        <w:t>期，頁</w:t>
      </w:r>
      <w:r w:rsidRPr="004D7EB1">
        <w:rPr>
          <w:rFonts w:hint="eastAsia"/>
        </w:rPr>
        <w:t>109-154</w:t>
      </w:r>
      <w:r w:rsidRPr="004D7EB1">
        <w:rPr>
          <w:rFonts w:hint="eastAsia"/>
        </w:rPr>
        <w:t>。</w:t>
      </w:r>
    </w:p>
    <w:p w14:paraId="4DF16AEE" w14:textId="77777777" w:rsidR="004D7EB1" w:rsidRPr="004D7EB1" w:rsidRDefault="004D7EB1" w:rsidP="00D87D91">
      <w:r w:rsidRPr="004D7EB1">
        <w:rPr>
          <w:rFonts w:hint="eastAsia"/>
        </w:rPr>
        <w:t>◎柯雨瑞、侯夙芳</w:t>
      </w:r>
      <w:r w:rsidRPr="004D7EB1">
        <w:rPr>
          <w:rFonts w:hint="eastAsia"/>
        </w:rPr>
        <w:t>(2012)</w:t>
      </w:r>
      <w:r w:rsidRPr="004D7EB1">
        <w:rPr>
          <w:rFonts w:hint="eastAsia"/>
        </w:rPr>
        <w:t>，</w:t>
      </w:r>
      <w:r w:rsidRPr="004D7EB1">
        <w:rPr>
          <w:rFonts w:hint="eastAsia"/>
        </w:rPr>
        <w:t>2010</w:t>
      </w:r>
      <w:r w:rsidRPr="004D7EB1">
        <w:rPr>
          <w:rFonts w:hint="eastAsia"/>
        </w:rPr>
        <w:t>年聯合國國際法院</w:t>
      </w:r>
      <w:r w:rsidRPr="004D7EB1">
        <w:rPr>
          <w:rFonts w:hint="eastAsia"/>
        </w:rPr>
        <w:t>Diallo</w:t>
      </w:r>
      <w:r w:rsidRPr="004D7EB1">
        <w:rPr>
          <w:rFonts w:hint="eastAsia"/>
        </w:rPr>
        <w:t>驅逐出國案例之評析，發表於</w:t>
      </w:r>
      <w:r w:rsidRPr="004D7EB1">
        <w:rPr>
          <w:rFonts w:hint="eastAsia"/>
        </w:rPr>
        <w:t>2012</w:t>
      </w:r>
      <w:r w:rsidRPr="004D7EB1">
        <w:rPr>
          <w:rFonts w:hint="eastAsia"/>
        </w:rPr>
        <w:t>年中央警察大學</w:t>
      </w:r>
      <w:r w:rsidRPr="004D7EB1">
        <w:rPr>
          <w:rFonts w:hint="eastAsia"/>
        </w:rPr>
        <w:t>2012</w:t>
      </w:r>
      <w:r w:rsidRPr="004D7EB1">
        <w:rPr>
          <w:rFonts w:hint="eastAsia"/>
        </w:rPr>
        <w:t>年人口移動與執法學術研討會。</w:t>
      </w:r>
    </w:p>
    <w:p w14:paraId="41A01908" w14:textId="77777777" w:rsidR="004D7EB1" w:rsidRPr="004D7EB1" w:rsidRDefault="004D7EB1" w:rsidP="00D87D91">
      <w:r w:rsidRPr="004D7EB1">
        <w:rPr>
          <w:rFonts w:hint="eastAsia"/>
        </w:rPr>
        <w:t>◎柯雨瑞、侯夙芳</w:t>
      </w:r>
      <w:r w:rsidRPr="004D7EB1">
        <w:rPr>
          <w:rFonts w:hint="eastAsia"/>
        </w:rPr>
        <w:t>(2013)</w:t>
      </w:r>
      <w:r w:rsidRPr="004D7EB1">
        <w:rPr>
          <w:rFonts w:hint="eastAsia"/>
        </w:rPr>
        <w:t>，</w:t>
      </w:r>
      <w:r w:rsidRPr="004D7EB1">
        <w:rPr>
          <w:rFonts w:hint="eastAsia"/>
        </w:rPr>
        <w:t>2004</w:t>
      </w:r>
      <w:r w:rsidRPr="004D7EB1">
        <w:rPr>
          <w:rFonts w:hint="eastAsia"/>
        </w:rPr>
        <w:t>年聯合國人權事務委員會</w:t>
      </w:r>
      <w:r w:rsidRPr="004D7EB1">
        <w:rPr>
          <w:rFonts w:hint="eastAsia"/>
        </w:rPr>
        <w:t>Ahani</w:t>
      </w:r>
      <w:r w:rsidRPr="004D7EB1">
        <w:rPr>
          <w:rFonts w:hint="eastAsia"/>
        </w:rPr>
        <w:t>驅逐出國案例之研究，發表於</w:t>
      </w:r>
      <w:r w:rsidRPr="004D7EB1">
        <w:rPr>
          <w:rFonts w:hint="eastAsia"/>
        </w:rPr>
        <w:t>2013</w:t>
      </w:r>
      <w:r w:rsidRPr="004D7EB1">
        <w:rPr>
          <w:rFonts w:hint="eastAsia"/>
        </w:rPr>
        <w:t>年中央警察大學國境警察學系『國境管理與執法』學術研討會。</w:t>
      </w:r>
    </w:p>
    <w:p w14:paraId="35ED2950" w14:textId="77777777" w:rsidR="004D7EB1" w:rsidRPr="004D7EB1" w:rsidRDefault="004D7EB1" w:rsidP="00D87D91">
      <w:r w:rsidRPr="004D7EB1">
        <w:rPr>
          <w:rFonts w:hint="eastAsia"/>
        </w:rPr>
        <w:t>◎柯雨瑞、侯夙芳</w:t>
      </w:r>
      <w:r w:rsidRPr="004D7EB1">
        <w:rPr>
          <w:rFonts w:hint="eastAsia"/>
        </w:rPr>
        <w:t>(2013)</w:t>
      </w:r>
      <w:r w:rsidRPr="004D7EB1">
        <w:rPr>
          <w:rFonts w:hint="eastAsia"/>
        </w:rPr>
        <w:t>，憲法逐條釋義與人權保障，初版增訂，桃園：自行出版。</w:t>
      </w:r>
    </w:p>
    <w:p w14:paraId="6656C0FF" w14:textId="77777777" w:rsidR="004D7EB1" w:rsidRPr="004D7EB1" w:rsidRDefault="004D7EB1" w:rsidP="00D87D91">
      <w:r w:rsidRPr="004D7EB1">
        <w:rPr>
          <w:rFonts w:hint="eastAsia"/>
        </w:rPr>
        <w:t>◎柯雨瑞、侯夙芳，民國</w:t>
      </w:r>
      <w:r w:rsidRPr="004D7EB1">
        <w:t>102</w:t>
      </w:r>
      <w:r w:rsidRPr="004D7EB1">
        <w:rPr>
          <w:rFonts w:hint="eastAsia"/>
        </w:rPr>
        <w:t>年</w:t>
      </w:r>
      <w:r w:rsidRPr="004D7EB1">
        <w:t>5</w:t>
      </w:r>
      <w:r w:rsidRPr="004D7EB1">
        <w:rPr>
          <w:rFonts w:hint="eastAsia"/>
        </w:rPr>
        <w:t>月，</w:t>
      </w:r>
      <w:r w:rsidRPr="004D7EB1">
        <w:t>2004</w:t>
      </w:r>
      <w:r w:rsidRPr="004D7EB1">
        <w:rPr>
          <w:rFonts w:hint="eastAsia"/>
        </w:rPr>
        <w:t>年聯合國人權事務委員會</w:t>
      </w:r>
      <w:r w:rsidRPr="004D7EB1">
        <w:t>Ahani</w:t>
      </w:r>
      <w:r w:rsidRPr="004D7EB1">
        <w:rPr>
          <w:rFonts w:hint="eastAsia"/>
        </w:rPr>
        <w:t>驅逐出國案例之研究，發表於</w:t>
      </w:r>
      <w:r w:rsidRPr="004D7EB1">
        <w:t>2013</w:t>
      </w:r>
      <w:r w:rsidRPr="004D7EB1">
        <w:rPr>
          <w:rFonts w:hint="eastAsia"/>
        </w:rPr>
        <w:t>年中央警察大學國境警察學系『國境管理與執法』學術研討會。</w:t>
      </w:r>
    </w:p>
    <w:p w14:paraId="2936D5CC" w14:textId="77777777" w:rsidR="004D7EB1" w:rsidRPr="004D7EB1" w:rsidRDefault="004D7EB1" w:rsidP="00D87D91">
      <w:r w:rsidRPr="004D7EB1">
        <w:rPr>
          <w:rFonts w:hint="eastAsia"/>
        </w:rPr>
        <w:t>◎柯雨瑞、高佩珊</w:t>
      </w:r>
      <w:r w:rsidRPr="004D7EB1">
        <w:t>(2014)</w:t>
      </w:r>
      <w:r w:rsidRPr="004D7EB1">
        <w:rPr>
          <w:rFonts w:hint="eastAsia"/>
        </w:rPr>
        <w:t>，非法移民與人口販運，收錄於陳明傳、蔡庭榕、孟維德、王寬弘、柯雨瑞、許義寶、謝文忠、王智盛、林盈君、高佩珊等合著</w:t>
      </w:r>
      <w:r w:rsidRPr="004D7EB1">
        <w:t>(2014)</w:t>
      </w:r>
      <w:r w:rsidRPr="004D7EB1">
        <w:rPr>
          <w:rFonts w:hint="eastAsia"/>
        </w:rPr>
        <w:t>，移民的理論與實務，桃園：中央警察大學出版社，頁</w:t>
      </w:r>
      <w:r w:rsidRPr="004D7EB1">
        <w:t>189-313</w:t>
      </w:r>
      <w:r w:rsidRPr="004D7EB1">
        <w:rPr>
          <w:rFonts w:hint="eastAsia"/>
        </w:rPr>
        <w:t>。</w:t>
      </w:r>
    </w:p>
    <w:p w14:paraId="37B4C0D0" w14:textId="77777777" w:rsidR="004D7EB1" w:rsidRPr="004D7EB1" w:rsidRDefault="004D7EB1" w:rsidP="00D87D91">
      <w:r w:rsidRPr="004D7EB1">
        <w:rPr>
          <w:rFonts w:hint="eastAsia"/>
        </w:rPr>
        <w:t>◎柯雨瑞、曾琦</w:t>
      </w:r>
      <w:r w:rsidRPr="004D7EB1">
        <w:rPr>
          <w:rFonts w:hint="eastAsia"/>
        </w:rPr>
        <w:t>(2006)</w:t>
      </w:r>
      <w:r w:rsidRPr="004D7EB1">
        <w:rPr>
          <w:rFonts w:hint="eastAsia"/>
        </w:rPr>
        <w:t>，加拿大對於外國人入出國管理救濟機制之研究</w:t>
      </w:r>
      <w:r w:rsidR="00D92F56">
        <w:rPr>
          <w:rFonts w:hint="eastAsia"/>
        </w:rPr>
        <w:t>〜</w:t>
      </w:r>
      <w:r w:rsidRPr="004D7EB1">
        <w:rPr>
          <w:rFonts w:hint="eastAsia"/>
        </w:rPr>
        <w:t>兼論台灣可行借鏡之處，中央警察大學國境警察學報第</w:t>
      </w:r>
      <w:r w:rsidRPr="004D7EB1">
        <w:rPr>
          <w:rFonts w:hint="eastAsia"/>
        </w:rPr>
        <w:t>5</w:t>
      </w:r>
      <w:r w:rsidRPr="004D7EB1">
        <w:rPr>
          <w:rFonts w:hint="eastAsia"/>
        </w:rPr>
        <w:t>期。</w:t>
      </w:r>
    </w:p>
    <w:p w14:paraId="2C55ACE7" w14:textId="77777777" w:rsidR="004D7EB1" w:rsidRPr="004D7EB1" w:rsidRDefault="004D7EB1" w:rsidP="00D87D91">
      <w:r w:rsidRPr="004D7EB1">
        <w:rPr>
          <w:rFonts w:hint="eastAsia"/>
        </w:rPr>
        <w:t>◎柯雨瑞、蔡政杰</w:t>
      </w:r>
      <w:r w:rsidRPr="004D7EB1">
        <w:rPr>
          <w:rFonts w:hint="eastAsia"/>
        </w:rPr>
        <w:t>(2012)</w:t>
      </w:r>
      <w:r w:rsidRPr="004D7EB1">
        <w:rPr>
          <w:rFonts w:hint="eastAsia"/>
        </w:rPr>
        <w:t>，從平等權論台灣新住民配偶入籍及生活權益保障，中央警察大學國土安全與國境管理學報第</w:t>
      </w:r>
      <w:r w:rsidRPr="004D7EB1">
        <w:rPr>
          <w:rFonts w:hint="eastAsia"/>
        </w:rPr>
        <w:t>18</w:t>
      </w:r>
      <w:r w:rsidRPr="004D7EB1">
        <w:rPr>
          <w:rFonts w:hint="eastAsia"/>
        </w:rPr>
        <w:t>期，頁</w:t>
      </w:r>
      <w:r w:rsidRPr="004D7EB1">
        <w:rPr>
          <w:rFonts w:hint="eastAsia"/>
        </w:rPr>
        <w:t>91-173</w:t>
      </w:r>
      <w:r w:rsidRPr="004D7EB1">
        <w:rPr>
          <w:rFonts w:hint="eastAsia"/>
        </w:rPr>
        <w:t>。</w:t>
      </w:r>
    </w:p>
    <w:p w14:paraId="6DD6DC60" w14:textId="77777777" w:rsidR="004D7EB1" w:rsidRPr="004D7EB1" w:rsidRDefault="004D7EB1" w:rsidP="00D87D91">
      <w:r w:rsidRPr="004D7EB1">
        <w:rPr>
          <w:rFonts w:hint="eastAsia"/>
        </w:rPr>
        <w:t>◎柯雨瑞、蔡政杰</w:t>
      </w:r>
      <w:r w:rsidRPr="004D7EB1">
        <w:rPr>
          <w:rFonts w:hint="eastAsia"/>
        </w:rPr>
        <w:t>(2012)</w:t>
      </w:r>
      <w:r w:rsidRPr="004D7EB1">
        <w:rPr>
          <w:rFonts w:hint="eastAsia"/>
        </w:rPr>
        <w:t>，論我國對於大陸地區人民來臺觀光之國境人流管理機制之現況與檢討，中央警察大學國土安全與國境管理學報第</w:t>
      </w:r>
      <w:r w:rsidRPr="004D7EB1">
        <w:rPr>
          <w:rFonts w:hint="eastAsia"/>
        </w:rPr>
        <w:t>17</w:t>
      </w:r>
      <w:r w:rsidRPr="004D7EB1">
        <w:rPr>
          <w:rFonts w:hint="eastAsia"/>
        </w:rPr>
        <w:t>期，頁</w:t>
      </w:r>
      <w:r w:rsidRPr="004D7EB1">
        <w:rPr>
          <w:rFonts w:hint="eastAsia"/>
        </w:rPr>
        <w:t>55-111</w:t>
      </w:r>
      <w:r w:rsidRPr="004D7EB1">
        <w:rPr>
          <w:rFonts w:hint="eastAsia"/>
        </w:rPr>
        <w:t>。</w:t>
      </w:r>
    </w:p>
    <w:p w14:paraId="66D1537F" w14:textId="77777777" w:rsidR="004D7EB1" w:rsidRPr="004D7EB1" w:rsidRDefault="004D7EB1" w:rsidP="00D87D91">
      <w:r w:rsidRPr="004D7EB1">
        <w:rPr>
          <w:rFonts w:hint="eastAsia"/>
        </w:rPr>
        <w:t>◎柯雨瑞、蔡政杰</w:t>
      </w:r>
      <w:r w:rsidRPr="004D7EB1">
        <w:rPr>
          <w:rFonts w:hint="eastAsia"/>
        </w:rPr>
        <w:t>(2014)</w:t>
      </w:r>
      <w:r w:rsidRPr="004D7EB1">
        <w:rPr>
          <w:rFonts w:hint="eastAsia"/>
        </w:rPr>
        <w:t>，人口販運防治，收錄於中央警察大學國境警察學系</w:t>
      </w:r>
      <w:r w:rsidRPr="004D7EB1">
        <w:rPr>
          <w:rFonts w:hint="eastAsia"/>
        </w:rPr>
        <w:t>2014</w:t>
      </w:r>
      <w:r w:rsidRPr="004D7EB1">
        <w:rPr>
          <w:rFonts w:hint="eastAsia"/>
        </w:rPr>
        <w:t>年『國境管理與執法』學術研討會論文集，頁</w:t>
      </w:r>
      <w:r w:rsidRPr="004D7EB1">
        <w:rPr>
          <w:rFonts w:hint="eastAsia"/>
        </w:rPr>
        <w:t>95-114</w:t>
      </w:r>
      <w:r w:rsidRPr="004D7EB1">
        <w:rPr>
          <w:rFonts w:hint="eastAsia"/>
        </w:rPr>
        <w:t>。</w:t>
      </w:r>
    </w:p>
    <w:p w14:paraId="077D1C76" w14:textId="77777777" w:rsidR="004D7EB1" w:rsidRPr="004D7EB1" w:rsidRDefault="004D7EB1" w:rsidP="00D87D91">
      <w:r w:rsidRPr="004D7EB1">
        <w:rPr>
          <w:rFonts w:hint="eastAsia"/>
        </w:rPr>
        <w:t>◎柯雨瑞、蔡政杰</w:t>
      </w:r>
      <w:r w:rsidRPr="004D7EB1">
        <w:rPr>
          <w:rFonts w:hint="eastAsia"/>
        </w:rPr>
        <w:t>(2014)</w:t>
      </w:r>
      <w:r w:rsidRPr="004D7EB1">
        <w:rPr>
          <w:rFonts w:hint="eastAsia"/>
        </w:rPr>
        <w:t>，人口販運問題之現況與回應對策，中央警察大學國土安全與國境管理學報第</w:t>
      </w:r>
      <w:r w:rsidRPr="004D7EB1">
        <w:rPr>
          <w:rFonts w:hint="eastAsia"/>
        </w:rPr>
        <w:t>22</w:t>
      </w:r>
      <w:r w:rsidRPr="004D7EB1">
        <w:rPr>
          <w:rFonts w:hint="eastAsia"/>
        </w:rPr>
        <w:t>期，頁</w:t>
      </w:r>
      <w:r w:rsidRPr="004D7EB1">
        <w:rPr>
          <w:rFonts w:hint="eastAsia"/>
        </w:rPr>
        <w:t>79-142</w:t>
      </w:r>
      <w:r w:rsidRPr="004D7EB1">
        <w:rPr>
          <w:rFonts w:hint="eastAsia"/>
        </w:rPr>
        <w:t>。</w:t>
      </w:r>
    </w:p>
    <w:p w14:paraId="65B98EDE" w14:textId="77777777" w:rsidR="004D7EB1" w:rsidRPr="004D7EB1" w:rsidRDefault="004D7EB1" w:rsidP="00D87D91">
      <w:r w:rsidRPr="004D7EB1">
        <w:rPr>
          <w:rFonts w:hint="eastAsia"/>
        </w:rPr>
        <w:t>◎柯雨瑞、蔡政杰</w:t>
      </w:r>
      <w:r w:rsidRPr="004D7EB1">
        <w:rPr>
          <w:rFonts w:hint="eastAsia"/>
        </w:rPr>
        <w:t>(2014)</w:t>
      </w:r>
      <w:r w:rsidRPr="004D7EB1">
        <w:rPr>
          <w:rFonts w:hint="eastAsia"/>
        </w:rPr>
        <w:t>，人口販運問題之現況與回應對策，中央警察大學國土安全與國境管理學報第</w:t>
      </w:r>
      <w:r w:rsidRPr="004D7EB1">
        <w:rPr>
          <w:rFonts w:hint="eastAsia"/>
        </w:rPr>
        <w:t>22</w:t>
      </w:r>
      <w:r w:rsidRPr="004D7EB1">
        <w:rPr>
          <w:rFonts w:hint="eastAsia"/>
        </w:rPr>
        <w:t>期，頁</w:t>
      </w:r>
      <w:r w:rsidRPr="004D7EB1">
        <w:rPr>
          <w:rFonts w:hint="eastAsia"/>
        </w:rPr>
        <w:t>79-142</w:t>
      </w:r>
      <w:r w:rsidRPr="004D7EB1">
        <w:rPr>
          <w:rFonts w:hint="eastAsia"/>
        </w:rPr>
        <w:t>。</w:t>
      </w:r>
    </w:p>
    <w:p w14:paraId="1AAAB6BD" w14:textId="77777777" w:rsidR="004D7EB1" w:rsidRPr="004D7EB1" w:rsidRDefault="004D7EB1" w:rsidP="00D87D91">
      <w:r w:rsidRPr="004D7EB1">
        <w:rPr>
          <w:rFonts w:hint="eastAsia"/>
        </w:rPr>
        <w:t>◎柯雨瑞、蔡政杰</w:t>
      </w:r>
      <w:r w:rsidRPr="004D7EB1">
        <w:rPr>
          <w:rFonts w:hint="eastAsia"/>
        </w:rPr>
        <w:t>(2015)</w:t>
      </w:r>
      <w:r w:rsidRPr="004D7EB1">
        <w:rPr>
          <w:rFonts w:hint="eastAsia"/>
        </w:rPr>
        <w:t>，從「源頭安全管理」觀點探討大陸地區人民來台的「國境人流管理」機制，收錄於中央警察大學移民研究中心</w:t>
      </w:r>
      <w:r w:rsidRPr="004D7EB1">
        <w:rPr>
          <w:rFonts w:hint="eastAsia"/>
        </w:rPr>
        <w:t>2015</w:t>
      </w:r>
      <w:r w:rsidRPr="004D7EB1">
        <w:rPr>
          <w:rFonts w:hint="eastAsia"/>
        </w:rPr>
        <w:t>年「人口移動與執法」學術研討會論文集。</w:t>
      </w:r>
    </w:p>
    <w:p w14:paraId="22312D34" w14:textId="77777777" w:rsidR="004D7EB1" w:rsidRPr="004D7EB1" w:rsidRDefault="004D7EB1" w:rsidP="00D87D91">
      <w:r w:rsidRPr="004D7EB1">
        <w:rPr>
          <w:rFonts w:hint="eastAsia"/>
        </w:rPr>
        <w:t>◎柯雨瑞、蔡政杰</w:t>
      </w:r>
      <w:r w:rsidRPr="004D7EB1">
        <w:rPr>
          <w:rFonts w:hint="eastAsia"/>
        </w:rPr>
        <w:t>(2015)</w:t>
      </w:r>
      <w:r w:rsidRPr="004D7EB1">
        <w:rPr>
          <w:rFonts w:hint="eastAsia"/>
        </w:rPr>
        <w:t>，警察角色演進與「犯罪預防警政」之興起</w:t>
      </w:r>
      <w:r w:rsidR="00D92F56">
        <w:rPr>
          <w:rFonts w:hint="eastAsia"/>
        </w:rPr>
        <w:t>〜</w:t>
      </w:r>
      <w:r w:rsidRPr="004D7EB1">
        <w:rPr>
          <w:rFonts w:hint="eastAsia"/>
        </w:rPr>
        <w:t>兼論外來人口犯防之策略，中央警察大學國土安全與國境管理學報第</w:t>
      </w:r>
      <w:r w:rsidRPr="004D7EB1">
        <w:rPr>
          <w:rFonts w:hint="eastAsia"/>
        </w:rPr>
        <w:t>23</w:t>
      </w:r>
      <w:r w:rsidRPr="004D7EB1">
        <w:rPr>
          <w:rFonts w:hint="eastAsia"/>
        </w:rPr>
        <w:t>期。</w:t>
      </w:r>
    </w:p>
    <w:p w14:paraId="539FF4BD" w14:textId="77777777" w:rsidR="004D7EB1" w:rsidRPr="004D7EB1" w:rsidRDefault="004D7EB1" w:rsidP="00D87D91">
      <w:r w:rsidRPr="004D7EB1">
        <w:rPr>
          <w:rFonts w:hint="eastAsia"/>
        </w:rPr>
        <w:t>◎柯雨瑞、蔡政杰</w:t>
      </w:r>
      <w:r w:rsidRPr="004D7EB1">
        <w:rPr>
          <w:rFonts w:hint="eastAsia"/>
        </w:rPr>
        <w:t>(2014)</w:t>
      </w:r>
      <w:r w:rsidRPr="004D7EB1">
        <w:rPr>
          <w:rFonts w:hint="eastAsia"/>
        </w:rPr>
        <w:t>，論大陸地區人民來台之源頭安全管理，中央警察大學國土安全與國境管理學報第</w:t>
      </w:r>
      <w:r w:rsidRPr="004D7EB1">
        <w:rPr>
          <w:rFonts w:hint="eastAsia"/>
        </w:rPr>
        <w:t>21</w:t>
      </w:r>
      <w:r w:rsidRPr="004D7EB1">
        <w:rPr>
          <w:rFonts w:hint="eastAsia"/>
        </w:rPr>
        <w:t>期。</w:t>
      </w:r>
    </w:p>
    <w:p w14:paraId="3A7CD020" w14:textId="77777777" w:rsidR="004D7EB1" w:rsidRPr="004D7EB1" w:rsidRDefault="004D7EB1" w:rsidP="00D87D91">
      <w:r w:rsidRPr="004D7EB1">
        <w:rPr>
          <w:rFonts w:hint="eastAsia"/>
        </w:rPr>
        <w:t>◎柯雨瑞、駱平沂</w:t>
      </w:r>
      <w:r w:rsidRPr="004D7EB1">
        <w:rPr>
          <w:rFonts w:hint="eastAsia"/>
        </w:rPr>
        <w:t>(1997)</w:t>
      </w:r>
      <w:r w:rsidRPr="004D7EB1">
        <w:rPr>
          <w:rFonts w:hint="eastAsia"/>
        </w:rPr>
        <w:t>，我國海運進口貨櫃安全檢查勤務方式及其相關問題之研究，發表於中央警察大學國境警察學系「入出境暨安全檢查實務與理論」學術研討會，頁</w:t>
      </w:r>
      <w:r w:rsidRPr="004D7EB1">
        <w:rPr>
          <w:rFonts w:hint="eastAsia"/>
        </w:rPr>
        <w:t>196-222</w:t>
      </w:r>
      <w:r w:rsidRPr="004D7EB1">
        <w:rPr>
          <w:rFonts w:hint="eastAsia"/>
        </w:rPr>
        <w:t>。</w:t>
      </w:r>
    </w:p>
    <w:p w14:paraId="614930D1" w14:textId="77777777" w:rsidR="004D7EB1" w:rsidRPr="004D7EB1" w:rsidRDefault="004D7EB1" w:rsidP="00D87D91">
      <w:r w:rsidRPr="004D7EB1">
        <w:rPr>
          <w:rFonts w:hint="eastAsia"/>
        </w:rPr>
        <w:t>◎段崇智、李萬柱、愛德華‧卡特森</w:t>
      </w:r>
      <w:r w:rsidRPr="004D7EB1">
        <w:rPr>
          <w:rFonts w:hint="eastAsia"/>
        </w:rPr>
        <w:t>(2001)</w:t>
      </w:r>
      <w:r w:rsidRPr="004D7EB1">
        <w:rPr>
          <w:rFonts w:hint="eastAsia"/>
        </w:rPr>
        <w:t>，以間質幹細胞為基礎的骨骼組織工程學，台灣醫學第</w:t>
      </w:r>
      <w:r w:rsidRPr="004D7EB1">
        <w:rPr>
          <w:rFonts w:hint="eastAsia"/>
        </w:rPr>
        <w:t>5</w:t>
      </w:r>
      <w:r w:rsidRPr="004D7EB1">
        <w:rPr>
          <w:rFonts w:hint="eastAsia"/>
        </w:rPr>
        <w:t>卷第</w:t>
      </w:r>
      <w:r w:rsidRPr="004D7EB1">
        <w:rPr>
          <w:rFonts w:hint="eastAsia"/>
        </w:rPr>
        <w:t>6</w:t>
      </w:r>
      <w:r w:rsidRPr="004D7EB1">
        <w:rPr>
          <w:rFonts w:hint="eastAsia"/>
        </w:rPr>
        <w:t>期。</w:t>
      </w:r>
    </w:p>
    <w:p w14:paraId="4FE2AFEB" w14:textId="77777777" w:rsidR="004D7EB1" w:rsidRPr="004D7EB1" w:rsidRDefault="004D7EB1" w:rsidP="00D87D91">
      <w:r w:rsidRPr="004D7EB1">
        <w:rPr>
          <w:rFonts w:hint="eastAsia"/>
        </w:rPr>
        <w:t>◎洪孟君</w:t>
      </w:r>
      <w:r w:rsidRPr="004D7EB1">
        <w:rPr>
          <w:rFonts w:hint="eastAsia"/>
        </w:rPr>
        <w:t>(2010)</w:t>
      </w:r>
      <w:r w:rsidRPr="004D7EB1">
        <w:rPr>
          <w:rFonts w:hint="eastAsia"/>
        </w:rPr>
        <w:t>，我國防制人口販運執法現況之研究</w:t>
      </w:r>
      <w:r w:rsidR="00D92F56">
        <w:rPr>
          <w:rFonts w:hint="eastAsia"/>
        </w:rPr>
        <w:t>〜</w:t>
      </w:r>
      <w:r w:rsidRPr="004D7EB1">
        <w:rPr>
          <w:rFonts w:hint="eastAsia"/>
        </w:rPr>
        <w:t>以警察、移民與海巡機關為例，中央警察大學外事警察研究所碩士論文，頁</w:t>
      </w:r>
      <w:r w:rsidRPr="004D7EB1">
        <w:rPr>
          <w:rFonts w:hint="eastAsia"/>
        </w:rPr>
        <w:t>163-174</w:t>
      </w:r>
      <w:r w:rsidRPr="004D7EB1">
        <w:rPr>
          <w:rFonts w:hint="eastAsia"/>
        </w:rPr>
        <w:t>。</w:t>
      </w:r>
    </w:p>
    <w:p w14:paraId="4683BD16" w14:textId="77777777" w:rsidR="004D7EB1" w:rsidRPr="004D7EB1" w:rsidRDefault="004D7EB1" w:rsidP="00D87D91">
      <w:r w:rsidRPr="004D7EB1">
        <w:rPr>
          <w:rFonts w:hint="eastAsia"/>
        </w:rPr>
        <w:t>◎洪泉湖、盧瑞鍾、劉阿榮、李炳南、樊中原</w:t>
      </w:r>
      <w:r w:rsidRPr="004D7EB1">
        <w:rPr>
          <w:rFonts w:hint="eastAsia"/>
        </w:rPr>
        <w:t>(2000)</w:t>
      </w:r>
      <w:r w:rsidRPr="004D7EB1">
        <w:rPr>
          <w:rFonts w:hint="eastAsia"/>
        </w:rPr>
        <w:t>，憲法新論，初版，臺北市：幼獅，頁</w:t>
      </w:r>
      <w:r w:rsidRPr="004D7EB1">
        <w:rPr>
          <w:rFonts w:hint="eastAsia"/>
        </w:rPr>
        <w:t>1-370</w:t>
      </w:r>
      <w:r w:rsidRPr="004D7EB1">
        <w:rPr>
          <w:rFonts w:hint="eastAsia"/>
        </w:rPr>
        <w:t>。</w:t>
      </w:r>
    </w:p>
    <w:p w14:paraId="46F9D25A" w14:textId="77777777" w:rsidR="004D7EB1" w:rsidRPr="004D7EB1" w:rsidRDefault="004D7EB1" w:rsidP="00D87D91">
      <w:r w:rsidRPr="004D7EB1">
        <w:rPr>
          <w:rFonts w:hint="eastAsia"/>
        </w:rPr>
        <w:t>◎洪敏麟主編，程大學、許錫專編譯</w:t>
      </w:r>
      <w:r w:rsidRPr="004D7EB1">
        <w:rPr>
          <w:rFonts w:hint="eastAsia"/>
        </w:rPr>
        <w:t xml:space="preserve">(1978). </w:t>
      </w:r>
      <w:r w:rsidRPr="004D7EB1">
        <w:rPr>
          <w:rFonts w:hint="eastAsia"/>
        </w:rPr>
        <w:t>日據初期之鴉片政策</w:t>
      </w:r>
      <w:r w:rsidRPr="004D7EB1">
        <w:rPr>
          <w:rFonts w:hint="eastAsia"/>
        </w:rPr>
        <w:t>(</w:t>
      </w:r>
      <w:r w:rsidRPr="004D7EB1">
        <w:rPr>
          <w:rFonts w:hint="eastAsia"/>
        </w:rPr>
        <w:t>附錄保甲制度</w:t>
      </w:r>
      <w:r w:rsidRPr="004D7EB1">
        <w:rPr>
          <w:rFonts w:hint="eastAsia"/>
        </w:rPr>
        <w:t>)</w:t>
      </w:r>
      <w:r w:rsidRPr="004D7EB1">
        <w:rPr>
          <w:rFonts w:hint="eastAsia"/>
        </w:rPr>
        <w:t>第</w:t>
      </w:r>
      <w:r w:rsidRPr="004D7EB1">
        <w:rPr>
          <w:rFonts w:hint="eastAsia"/>
        </w:rPr>
        <w:t>2</w:t>
      </w:r>
      <w:r w:rsidRPr="004D7EB1">
        <w:rPr>
          <w:rFonts w:hint="eastAsia"/>
        </w:rPr>
        <w:t>冊，南投：台灣省文獻委員會，第</w:t>
      </w:r>
      <w:r w:rsidRPr="004D7EB1">
        <w:rPr>
          <w:rFonts w:hint="eastAsia"/>
        </w:rPr>
        <w:t>54-59</w:t>
      </w:r>
      <w:r w:rsidRPr="004D7EB1">
        <w:rPr>
          <w:rFonts w:hint="eastAsia"/>
        </w:rPr>
        <w:t>頁。</w:t>
      </w:r>
    </w:p>
    <w:p w14:paraId="7907ACF8" w14:textId="77777777" w:rsidR="004D7EB1" w:rsidRPr="004D7EB1" w:rsidRDefault="004D7EB1" w:rsidP="00D87D91">
      <w:r w:rsidRPr="004D7EB1">
        <w:rPr>
          <w:rFonts w:hint="eastAsia"/>
        </w:rPr>
        <w:t>◎洪嘉仁、王士榮、張若霖、廖瓊樅（</w:t>
      </w:r>
      <w:r w:rsidRPr="004D7EB1">
        <w:rPr>
          <w:rFonts w:hint="eastAsia"/>
        </w:rPr>
        <w:t>2011</w:t>
      </w:r>
      <w:r w:rsidRPr="004D7EB1">
        <w:rPr>
          <w:rFonts w:hint="eastAsia"/>
        </w:rPr>
        <w:t>），憲法與立國精神，新北市：高立圖書公司。</w:t>
      </w:r>
    </w:p>
    <w:p w14:paraId="3683A3F9" w14:textId="77777777" w:rsidR="004D7EB1" w:rsidRPr="004D7EB1" w:rsidRDefault="004D7EB1" w:rsidP="00D87D91">
      <w:r w:rsidRPr="004D7EB1">
        <w:rPr>
          <w:rFonts w:hint="eastAsia"/>
        </w:rPr>
        <w:t>◎美國國務院民主、人權和勞工事務局</w:t>
      </w:r>
      <w:r w:rsidRPr="004D7EB1">
        <w:rPr>
          <w:rFonts w:hint="eastAsia"/>
        </w:rPr>
        <w:t>(2012)</w:t>
      </w:r>
      <w:r w:rsidRPr="004D7EB1">
        <w:rPr>
          <w:rFonts w:hint="eastAsia"/>
        </w:rPr>
        <w:t>，《</w:t>
      </w:r>
      <w:r w:rsidRPr="004D7EB1">
        <w:rPr>
          <w:rFonts w:hint="eastAsia"/>
        </w:rPr>
        <w:t>2011</w:t>
      </w:r>
      <w:r w:rsidRPr="004D7EB1">
        <w:rPr>
          <w:rFonts w:hint="eastAsia"/>
        </w:rPr>
        <w:t>年度各國人權報告》</w:t>
      </w:r>
      <w:r w:rsidRPr="004D7EB1">
        <w:rPr>
          <w:rFonts w:hint="eastAsia"/>
        </w:rPr>
        <w:t>(</w:t>
      </w:r>
      <w:r w:rsidRPr="004D7EB1">
        <w:rPr>
          <w:rFonts w:hint="eastAsia"/>
        </w:rPr>
        <w:t>台灣部分</w:t>
      </w:r>
      <w:r w:rsidRPr="004D7EB1">
        <w:rPr>
          <w:rFonts w:hint="eastAsia"/>
        </w:rPr>
        <w:t>)</w:t>
      </w:r>
      <w:r w:rsidR="00545D58">
        <w:rPr>
          <w:rFonts w:hint="eastAsia"/>
        </w:rPr>
        <w:t>。</w:t>
      </w:r>
    </w:p>
    <w:p w14:paraId="7336674A" w14:textId="77777777" w:rsidR="004D7EB1" w:rsidRPr="004D7EB1" w:rsidRDefault="004D7EB1" w:rsidP="00D87D91">
      <w:r w:rsidRPr="004D7EB1">
        <w:rPr>
          <w:rFonts w:hint="eastAsia"/>
        </w:rPr>
        <w:t>◎胡佛、沈清松、周陽山、石之瑜</w:t>
      </w:r>
      <w:r w:rsidRPr="004D7EB1">
        <w:rPr>
          <w:rFonts w:hint="eastAsia"/>
        </w:rPr>
        <w:t>(1993)</w:t>
      </w:r>
      <w:r w:rsidRPr="004D7EB1">
        <w:rPr>
          <w:rFonts w:hint="eastAsia"/>
        </w:rPr>
        <w:t>，中華民國憲法與立國精神，初版，臺北市：三民，頁</w:t>
      </w:r>
      <w:r w:rsidRPr="004D7EB1">
        <w:rPr>
          <w:rFonts w:hint="eastAsia"/>
        </w:rPr>
        <w:t>1-642</w:t>
      </w:r>
      <w:r w:rsidRPr="004D7EB1">
        <w:rPr>
          <w:rFonts w:hint="eastAsia"/>
        </w:rPr>
        <w:t>。</w:t>
      </w:r>
    </w:p>
    <w:p w14:paraId="092567F0" w14:textId="77777777" w:rsidR="004D7EB1" w:rsidRPr="004D7EB1" w:rsidRDefault="004D7EB1" w:rsidP="00D87D91">
      <w:r w:rsidRPr="004D7EB1">
        <w:rPr>
          <w:rFonts w:hint="eastAsia"/>
        </w:rPr>
        <w:t>◎胡金野</w:t>
      </w:r>
      <w:r w:rsidRPr="004D7EB1">
        <w:rPr>
          <w:rFonts w:hint="eastAsia"/>
        </w:rPr>
        <w:t xml:space="preserve">(2006). </w:t>
      </w:r>
      <w:r w:rsidRPr="004D7EB1">
        <w:rPr>
          <w:rFonts w:hint="eastAsia"/>
        </w:rPr>
        <w:t>中國禁煙禁毒史綱，臺北中和：宋氏照遠出版社，第</w:t>
      </w:r>
      <w:r w:rsidRPr="004D7EB1">
        <w:rPr>
          <w:rFonts w:hint="eastAsia"/>
        </w:rPr>
        <w:t>10-305</w:t>
      </w:r>
      <w:r w:rsidRPr="004D7EB1">
        <w:rPr>
          <w:rFonts w:hint="eastAsia"/>
        </w:rPr>
        <w:t>頁。</w:t>
      </w:r>
    </w:p>
    <w:p w14:paraId="7B1124F2" w14:textId="77777777" w:rsidR="004D7EB1" w:rsidRPr="004D7EB1" w:rsidRDefault="004D7EB1" w:rsidP="00D87D91">
      <w:r w:rsidRPr="004D7EB1">
        <w:rPr>
          <w:rFonts w:hint="eastAsia"/>
        </w:rPr>
        <w:t>◎孫健忠</w:t>
      </w:r>
      <w:r w:rsidRPr="004D7EB1">
        <w:rPr>
          <w:rFonts w:hint="eastAsia"/>
        </w:rPr>
        <w:t>(2008)</w:t>
      </w:r>
      <w:r w:rsidRPr="004D7EB1">
        <w:rPr>
          <w:rFonts w:hint="eastAsia"/>
        </w:rPr>
        <w:t>，移工社會保障宣言及實施：國際經驗與我國現況的初探，社區發展，第</w:t>
      </w:r>
      <w:r w:rsidRPr="004D7EB1">
        <w:rPr>
          <w:rFonts w:hint="eastAsia"/>
        </w:rPr>
        <w:t>123</w:t>
      </w:r>
      <w:r w:rsidRPr="004D7EB1">
        <w:rPr>
          <w:rFonts w:hint="eastAsia"/>
        </w:rPr>
        <w:t>期，頁</w:t>
      </w:r>
      <w:r w:rsidRPr="004D7EB1">
        <w:rPr>
          <w:rFonts w:hint="eastAsia"/>
        </w:rPr>
        <w:t>160-170</w:t>
      </w:r>
      <w:r w:rsidRPr="004D7EB1">
        <w:rPr>
          <w:rFonts w:hint="eastAsia"/>
        </w:rPr>
        <w:t>。</w:t>
      </w:r>
    </w:p>
    <w:p w14:paraId="5BC3520C" w14:textId="77777777" w:rsidR="004D7EB1" w:rsidRPr="004D7EB1" w:rsidRDefault="004D7EB1" w:rsidP="00D87D91">
      <w:r w:rsidRPr="004D7EB1">
        <w:rPr>
          <w:rFonts w:hint="eastAsia"/>
        </w:rPr>
        <w:t>◎徐軍華</w:t>
      </w:r>
      <w:r w:rsidRPr="004D7EB1">
        <w:rPr>
          <w:rFonts w:hint="eastAsia"/>
        </w:rPr>
        <w:t>(2007)</w:t>
      </w:r>
      <w:r w:rsidRPr="004D7EB1">
        <w:rPr>
          <w:rFonts w:hint="eastAsia"/>
        </w:rPr>
        <w:t>，非法移民的法律控制問題研究，武漢：華中科技大學出版社，第</w:t>
      </w:r>
      <w:r w:rsidRPr="004D7EB1">
        <w:rPr>
          <w:rFonts w:hint="eastAsia"/>
        </w:rPr>
        <w:t>1-3</w:t>
      </w:r>
      <w:r w:rsidRPr="004D7EB1">
        <w:rPr>
          <w:rFonts w:hint="eastAsia"/>
        </w:rPr>
        <w:t>頁。</w:t>
      </w:r>
    </w:p>
    <w:p w14:paraId="6F2F7331" w14:textId="77777777" w:rsidR="004D7EB1" w:rsidRPr="004D7EB1" w:rsidRDefault="004D7EB1" w:rsidP="00D87D91">
      <w:r w:rsidRPr="004D7EB1">
        <w:rPr>
          <w:rFonts w:hint="eastAsia"/>
        </w:rPr>
        <w:t>◎徐振雄</w:t>
      </w:r>
      <w:r w:rsidRPr="004D7EB1">
        <w:rPr>
          <w:rFonts w:hint="eastAsia"/>
        </w:rPr>
        <w:t>(2008)</w:t>
      </w:r>
      <w:r w:rsidRPr="004D7EB1">
        <w:rPr>
          <w:rFonts w:hint="eastAsia"/>
        </w:rPr>
        <w:t>，憲法學導論，</w:t>
      </w:r>
      <w:r w:rsidRPr="004D7EB1">
        <w:rPr>
          <w:rFonts w:hint="eastAsia"/>
        </w:rPr>
        <w:t>4</w:t>
      </w:r>
      <w:r w:rsidRPr="004D7EB1">
        <w:rPr>
          <w:rFonts w:hint="eastAsia"/>
        </w:rPr>
        <w:t>版修訂，新北市：高立，頁</w:t>
      </w:r>
      <w:r w:rsidRPr="004D7EB1">
        <w:rPr>
          <w:rFonts w:hint="eastAsia"/>
        </w:rPr>
        <w:t>1-388</w:t>
      </w:r>
      <w:r w:rsidRPr="004D7EB1">
        <w:rPr>
          <w:rFonts w:hint="eastAsia"/>
        </w:rPr>
        <w:t>。</w:t>
      </w:r>
    </w:p>
    <w:p w14:paraId="0A632108" w14:textId="77777777" w:rsidR="004D7EB1" w:rsidRPr="004D7EB1" w:rsidRDefault="004D7EB1" w:rsidP="00D87D91">
      <w:r w:rsidRPr="004D7EB1">
        <w:rPr>
          <w:rFonts w:hint="eastAsia"/>
        </w:rPr>
        <w:t>◎徐學陶等編著</w:t>
      </w:r>
      <w:r w:rsidRPr="004D7EB1">
        <w:rPr>
          <w:rFonts w:hint="eastAsia"/>
        </w:rPr>
        <w:t>(1991)</w:t>
      </w:r>
      <w:r w:rsidRPr="004D7EB1">
        <w:rPr>
          <w:rFonts w:hint="eastAsia"/>
        </w:rPr>
        <w:t>，新加坡外籍勞工制度考察報告，臺北：職業訓練局，頁</w:t>
      </w:r>
      <w:r w:rsidRPr="004D7EB1">
        <w:rPr>
          <w:rFonts w:hint="eastAsia"/>
        </w:rPr>
        <w:t>3</w:t>
      </w:r>
      <w:r w:rsidRPr="004D7EB1">
        <w:rPr>
          <w:rFonts w:hint="eastAsia"/>
        </w:rPr>
        <w:t>至頁</w:t>
      </w:r>
      <w:r w:rsidRPr="004D7EB1">
        <w:rPr>
          <w:rFonts w:hint="eastAsia"/>
        </w:rPr>
        <w:t>55</w:t>
      </w:r>
      <w:r w:rsidRPr="004D7EB1">
        <w:rPr>
          <w:rFonts w:hint="eastAsia"/>
        </w:rPr>
        <w:t>。</w:t>
      </w:r>
    </w:p>
    <w:p w14:paraId="17F6D7B2" w14:textId="77777777" w:rsidR="004D7EB1" w:rsidRPr="004D7EB1" w:rsidRDefault="004D7EB1" w:rsidP="00D87D91">
      <w:r w:rsidRPr="004D7EB1">
        <w:rPr>
          <w:rFonts w:hint="eastAsia"/>
        </w:rPr>
        <w:t>◎柴松林</w:t>
      </w:r>
      <w:r w:rsidRPr="004D7EB1">
        <w:rPr>
          <w:rFonts w:hint="eastAsia"/>
        </w:rPr>
        <w:t>(2001)</w:t>
      </w:r>
      <w:r w:rsidRPr="004D7EB1">
        <w:rPr>
          <w:rFonts w:hint="eastAsia"/>
        </w:rPr>
        <w:t>，人權伸張與人權譜系的擴增，收錄於中國人權協會編，人權法典，初版，臺北巿：遠流，頁</w:t>
      </w:r>
      <w:r w:rsidRPr="004D7EB1">
        <w:rPr>
          <w:rFonts w:hint="eastAsia"/>
        </w:rPr>
        <w:t>III-V</w:t>
      </w:r>
      <w:r w:rsidRPr="004D7EB1">
        <w:rPr>
          <w:rFonts w:hint="eastAsia"/>
        </w:rPr>
        <w:t>。</w:t>
      </w:r>
    </w:p>
    <w:p w14:paraId="73BD8C72" w14:textId="77777777" w:rsidR="004D7EB1" w:rsidRPr="004D7EB1" w:rsidRDefault="004D7EB1" w:rsidP="00D87D91">
      <w:r w:rsidRPr="004D7EB1">
        <w:rPr>
          <w:rFonts w:hint="eastAsia"/>
        </w:rPr>
        <w:t>◎桑原昌宏</w:t>
      </w:r>
      <w:r w:rsidRPr="004D7EB1">
        <w:rPr>
          <w:rFonts w:hint="eastAsia"/>
        </w:rPr>
        <w:t>(1991)</w:t>
      </w:r>
      <w:r w:rsidRPr="004D7EB1">
        <w:rPr>
          <w:rFonts w:hint="eastAsia"/>
        </w:rPr>
        <w:t>，產業國際化下外籍勞工問題對勞動關係之影響，就業與訓練，第</w:t>
      </w:r>
      <w:r w:rsidR="007F3288">
        <w:rPr>
          <w:rFonts w:hint="eastAsia"/>
        </w:rPr>
        <w:t>9</w:t>
      </w:r>
      <w:r w:rsidRPr="004D7EB1">
        <w:rPr>
          <w:rFonts w:hint="eastAsia"/>
        </w:rPr>
        <w:t>卷第</w:t>
      </w:r>
      <w:r w:rsidR="008F066C">
        <w:rPr>
          <w:rFonts w:hint="eastAsia"/>
        </w:rPr>
        <w:t>1</w:t>
      </w:r>
      <w:r w:rsidRPr="004D7EB1">
        <w:rPr>
          <w:rFonts w:hint="eastAsia"/>
        </w:rPr>
        <w:t>期，頁</w:t>
      </w:r>
      <w:r w:rsidRPr="004D7EB1">
        <w:rPr>
          <w:rFonts w:hint="eastAsia"/>
        </w:rPr>
        <w:t>65</w:t>
      </w:r>
      <w:r w:rsidRPr="004D7EB1">
        <w:rPr>
          <w:rFonts w:hint="eastAsia"/>
        </w:rPr>
        <w:t>至</w:t>
      </w:r>
      <w:r w:rsidRPr="004D7EB1">
        <w:rPr>
          <w:rFonts w:hint="eastAsia"/>
        </w:rPr>
        <w:t>69</w:t>
      </w:r>
      <w:r w:rsidRPr="004D7EB1">
        <w:rPr>
          <w:rFonts w:hint="eastAsia"/>
        </w:rPr>
        <w:t>。</w:t>
      </w:r>
    </w:p>
    <w:p w14:paraId="49C1E7E0" w14:textId="77777777" w:rsidR="004D7EB1" w:rsidRPr="004D7EB1" w:rsidRDefault="004D7EB1" w:rsidP="00D87D91">
      <w:r w:rsidRPr="004D7EB1">
        <w:rPr>
          <w:rFonts w:hint="eastAsia"/>
        </w:rPr>
        <w:t>◎馬財專、王慧鈺</w:t>
      </w:r>
      <w:r w:rsidRPr="004D7EB1">
        <w:rPr>
          <w:rFonts w:hint="eastAsia"/>
        </w:rPr>
        <w:t>(2010)</w:t>
      </w:r>
      <w:r w:rsidRPr="004D7EB1">
        <w:rPr>
          <w:rFonts w:hint="eastAsia"/>
        </w:rPr>
        <w:t>，外籍家庭看護工違法使用狀況之探討，就業安全，第</w:t>
      </w:r>
      <w:r w:rsidRPr="004D7EB1">
        <w:rPr>
          <w:rFonts w:hint="eastAsia"/>
        </w:rPr>
        <w:t>9</w:t>
      </w:r>
      <w:r w:rsidRPr="004D7EB1">
        <w:rPr>
          <w:rFonts w:hint="eastAsia"/>
        </w:rPr>
        <w:t>卷第</w:t>
      </w:r>
      <w:r w:rsidRPr="004D7EB1">
        <w:rPr>
          <w:rFonts w:hint="eastAsia"/>
        </w:rPr>
        <w:t>1</w:t>
      </w:r>
      <w:r w:rsidRPr="004D7EB1">
        <w:rPr>
          <w:rFonts w:hint="eastAsia"/>
        </w:rPr>
        <w:t>期，頁</w:t>
      </w:r>
      <w:r w:rsidRPr="004D7EB1">
        <w:rPr>
          <w:rFonts w:hint="eastAsia"/>
        </w:rPr>
        <w:t>122-129</w:t>
      </w:r>
      <w:r w:rsidR="00545D58">
        <w:rPr>
          <w:rFonts w:hint="eastAsia"/>
        </w:rPr>
        <w:t>。</w:t>
      </w:r>
    </w:p>
    <w:p w14:paraId="2EE95CF5" w14:textId="77777777" w:rsidR="004D7EB1" w:rsidRPr="004D7EB1" w:rsidRDefault="004D7EB1" w:rsidP="00D87D91">
      <w:r w:rsidRPr="004D7EB1">
        <w:rPr>
          <w:rFonts w:hint="eastAsia"/>
        </w:rPr>
        <w:t>◎高瑞鍾、謝文忠、高瑞新</w:t>
      </w:r>
      <w:r w:rsidRPr="004D7EB1">
        <w:rPr>
          <w:rFonts w:hint="eastAsia"/>
        </w:rPr>
        <w:t>(2013)</w:t>
      </w:r>
      <w:r w:rsidRPr="004D7EB1">
        <w:rPr>
          <w:rFonts w:hint="eastAsia"/>
        </w:rPr>
        <w:t>，我國與南韓人口販運防制工作之比較研究，金大學報，第</w:t>
      </w:r>
      <w:r w:rsidRPr="004D7EB1">
        <w:rPr>
          <w:rFonts w:hint="eastAsia"/>
        </w:rPr>
        <w:t>3</w:t>
      </w:r>
      <w:r w:rsidRPr="004D7EB1">
        <w:rPr>
          <w:rFonts w:hint="eastAsia"/>
        </w:rPr>
        <w:t>期，頁</w:t>
      </w:r>
      <w:r w:rsidRPr="004D7EB1">
        <w:rPr>
          <w:rFonts w:hint="eastAsia"/>
        </w:rPr>
        <w:t>131-150</w:t>
      </w:r>
      <w:r w:rsidRPr="004D7EB1">
        <w:rPr>
          <w:rFonts w:hint="eastAsia"/>
        </w:rPr>
        <w:t>。</w:t>
      </w:r>
    </w:p>
    <w:p w14:paraId="49A00203" w14:textId="77777777" w:rsidR="004D7EB1" w:rsidRPr="004D7EB1" w:rsidRDefault="004D7EB1" w:rsidP="00D87D91">
      <w:r w:rsidRPr="004D7EB1">
        <w:rPr>
          <w:rFonts w:hint="eastAsia"/>
        </w:rPr>
        <w:t>◎國立編譯館</w:t>
      </w:r>
      <w:r w:rsidRPr="004D7EB1">
        <w:rPr>
          <w:rFonts w:hint="eastAsia"/>
        </w:rPr>
        <w:t>(2009)</w:t>
      </w:r>
      <w:r w:rsidRPr="004D7EB1">
        <w:rPr>
          <w:rFonts w:hint="eastAsia"/>
        </w:rPr>
        <w:t>，人權的概念與標準，臺北巿</w:t>
      </w:r>
      <w:r w:rsidRPr="004D7EB1">
        <w:rPr>
          <w:rFonts w:hint="eastAsia"/>
        </w:rPr>
        <w:t>:</w:t>
      </w:r>
      <w:r w:rsidRPr="004D7EB1">
        <w:rPr>
          <w:rFonts w:hint="eastAsia"/>
        </w:rPr>
        <w:t>國立編譯館，頁</w:t>
      </w:r>
      <w:r w:rsidRPr="004D7EB1">
        <w:rPr>
          <w:rFonts w:hint="eastAsia"/>
        </w:rPr>
        <w:t>58-243</w:t>
      </w:r>
      <w:r w:rsidRPr="004D7EB1">
        <w:rPr>
          <w:rFonts w:hint="eastAsia"/>
        </w:rPr>
        <w:t>。</w:t>
      </w:r>
    </w:p>
    <w:p w14:paraId="1A7A1338" w14:textId="77777777" w:rsidR="004D7EB1" w:rsidRPr="004D7EB1" w:rsidRDefault="004D7EB1" w:rsidP="00D87D91">
      <w:r w:rsidRPr="004D7EB1">
        <w:rPr>
          <w:rFonts w:hint="eastAsia"/>
        </w:rPr>
        <w:t>◎張淑中、姚中原（</w:t>
      </w:r>
      <w:r w:rsidRPr="004D7EB1">
        <w:rPr>
          <w:rFonts w:hint="eastAsia"/>
        </w:rPr>
        <w:t>2012</w:t>
      </w:r>
      <w:r w:rsidRPr="004D7EB1">
        <w:rPr>
          <w:rFonts w:hint="eastAsia"/>
        </w:rPr>
        <w:t>），台灣憲政改革－修憲理論、政治過程與制度影響，台北市：五南圖書公司。</w:t>
      </w:r>
    </w:p>
    <w:p w14:paraId="584014EC" w14:textId="77777777" w:rsidR="004D7EB1" w:rsidRPr="004D7EB1" w:rsidRDefault="004D7EB1" w:rsidP="00D87D91">
      <w:r w:rsidRPr="004D7EB1">
        <w:rPr>
          <w:rFonts w:hint="eastAsia"/>
        </w:rPr>
        <w:t>◎張智雄、柯雨瑞</w:t>
      </w:r>
      <w:r w:rsidRPr="004D7EB1">
        <w:rPr>
          <w:rFonts w:hint="eastAsia"/>
        </w:rPr>
        <w:t>(2003)</w:t>
      </w:r>
      <w:r w:rsidRPr="004D7EB1">
        <w:rPr>
          <w:rFonts w:hint="eastAsia"/>
        </w:rPr>
        <w:t>，毒品犯罪戒治成效影響因素之追蹤研究，犯罪矯治與觀護。</w:t>
      </w:r>
    </w:p>
    <w:p w14:paraId="2D6F89D0" w14:textId="77777777" w:rsidR="004D7EB1" w:rsidRPr="004D7EB1" w:rsidRDefault="004D7EB1" w:rsidP="00D87D91">
      <w:r w:rsidRPr="004D7EB1">
        <w:rPr>
          <w:rFonts w:hint="eastAsia"/>
        </w:rPr>
        <w:t>◎張智雄、柯雨瑞</w:t>
      </w:r>
      <w:r w:rsidRPr="004D7EB1">
        <w:rPr>
          <w:rFonts w:hint="eastAsia"/>
        </w:rPr>
        <w:t>(2003)</w:t>
      </w:r>
      <w:r w:rsidRPr="004D7EB1">
        <w:rPr>
          <w:rFonts w:hint="eastAsia"/>
        </w:rPr>
        <w:t>，毒品犯罪戒治成效影響因素之追蹤研究，發表於「犯罪矯治與觀護學術研討會」。</w:t>
      </w:r>
    </w:p>
    <w:p w14:paraId="2B06AF81" w14:textId="77777777" w:rsidR="004D7EB1" w:rsidRPr="004D7EB1" w:rsidRDefault="004D7EB1" w:rsidP="00D87D91">
      <w:r w:rsidRPr="004D7EB1">
        <w:rPr>
          <w:rFonts w:hint="eastAsia"/>
        </w:rPr>
        <w:t>◎張智雄、柯雨瑞</w:t>
      </w:r>
      <w:r w:rsidRPr="004D7EB1">
        <w:rPr>
          <w:rFonts w:hint="eastAsia"/>
        </w:rPr>
        <w:t>(2005)</w:t>
      </w:r>
      <w:r w:rsidRPr="004D7EB1">
        <w:rPr>
          <w:rFonts w:hint="eastAsia"/>
        </w:rPr>
        <w:t>，毒品強制戒治處遇成效與再犯影響之研究，發表於《更生保護實務與犯罪矯正學術研討會》。</w:t>
      </w:r>
    </w:p>
    <w:p w14:paraId="3A87B185" w14:textId="77777777" w:rsidR="004D7EB1" w:rsidRPr="004D7EB1" w:rsidRDefault="004D7EB1" w:rsidP="00D87D91">
      <w:r w:rsidRPr="004D7EB1">
        <w:rPr>
          <w:rFonts w:hint="eastAsia"/>
        </w:rPr>
        <w:t>◎張瑞源</w:t>
      </w:r>
      <w:r w:rsidRPr="004D7EB1">
        <w:rPr>
          <w:rFonts w:hint="eastAsia"/>
        </w:rPr>
        <w:t>(2006)</w:t>
      </w:r>
      <w:r w:rsidRPr="004D7EB1">
        <w:rPr>
          <w:rFonts w:hint="eastAsia"/>
        </w:rPr>
        <w:t>，台灣外勞管理機制之探討</w:t>
      </w:r>
      <w:r w:rsidR="00D92F56">
        <w:rPr>
          <w:rFonts w:hint="eastAsia"/>
        </w:rPr>
        <w:t>〜</w:t>
      </w:r>
      <w:r w:rsidRPr="004D7EB1">
        <w:rPr>
          <w:rFonts w:hint="eastAsia"/>
        </w:rPr>
        <w:t>以高雄捷運泰勞事件為例，東海大學政治學系碩士論文，頁</w:t>
      </w:r>
      <w:r w:rsidRPr="004D7EB1">
        <w:rPr>
          <w:rFonts w:hint="eastAsia"/>
        </w:rPr>
        <w:t>114-126</w:t>
      </w:r>
      <w:r w:rsidRPr="004D7EB1">
        <w:rPr>
          <w:rFonts w:hint="eastAsia"/>
        </w:rPr>
        <w:t>。</w:t>
      </w:r>
    </w:p>
    <w:p w14:paraId="02B20400" w14:textId="77777777" w:rsidR="004D7EB1" w:rsidRPr="004D7EB1" w:rsidRDefault="004D7EB1" w:rsidP="00D87D91">
      <w:r w:rsidRPr="004D7EB1">
        <w:rPr>
          <w:rFonts w:hint="eastAsia"/>
        </w:rPr>
        <w:t>◎張增樑</w:t>
      </w:r>
      <w:r w:rsidRPr="004D7EB1">
        <w:rPr>
          <w:rFonts w:hint="eastAsia"/>
        </w:rPr>
        <w:t>(2004)</w:t>
      </w:r>
      <w:r w:rsidRPr="004D7EB1">
        <w:rPr>
          <w:rFonts w:hint="eastAsia"/>
        </w:rPr>
        <w:t>，國際反制非法移民作為，收錄於非傳統性安全威脅研究報告第</w:t>
      </w:r>
      <w:r w:rsidRPr="004D7EB1">
        <w:rPr>
          <w:rFonts w:hint="eastAsia"/>
        </w:rPr>
        <w:t>3</w:t>
      </w:r>
      <w:r w:rsidRPr="004D7EB1">
        <w:rPr>
          <w:rFonts w:hint="eastAsia"/>
        </w:rPr>
        <w:t>輯，頁</w:t>
      </w:r>
      <w:r w:rsidRPr="004D7EB1">
        <w:rPr>
          <w:rFonts w:hint="eastAsia"/>
        </w:rPr>
        <w:t>77-110</w:t>
      </w:r>
      <w:r w:rsidR="00545D58">
        <w:rPr>
          <w:rFonts w:hint="eastAsia"/>
        </w:rPr>
        <w:t>。</w:t>
      </w:r>
    </w:p>
    <w:p w14:paraId="02502ED3" w14:textId="77777777" w:rsidR="004D7EB1" w:rsidRPr="004D7EB1" w:rsidRDefault="004D7EB1" w:rsidP="00D87D91">
      <w:r w:rsidRPr="004D7EB1">
        <w:rPr>
          <w:rFonts w:hint="eastAsia"/>
        </w:rPr>
        <w:t>◎張曉春</w:t>
      </w:r>
      <w:r w:rsidRPr="004D7EB1">
        <w:rPr>
          <w:rFonts w:hint="eastAsia"/>
        </w:rPr>
        <w:t>(1994)</w:t>
      </w:r>
      <w:r w:rsidRPr="004D7EB1">
        <w:rPr>
          <w:rFonts w:hint="eastAsia"/>
        </w:rPr>
        <w:t>，引進外勞，根留臺灣，勞資關係月刊，第</w:t>
      </w:r>
      <w:r w:rsidRPr="004D7EB1">
        <w:rPr>
          <w:rFonts w:hint="eastAsia"/>
        </w:rPr>
        <w:t>12</w:t>
      </w:r>
      <w:r w:rsidRPr="004D7EB1">
        <w:rPr>
          <w:rFonts w:hint="eastAsia"/>
        </w:rPr>
        <w:t>卷第</w:t>
      </w:r>
      <w:r w:rsidRPr="004D7EB1">
        <w:rPr>
          <w:rFonts w:hint="eastAsia"/>
        </w:rPr>
        <w:t>11</w:t>
      </w:r>
      <w:r w:rsidRPr="004D7EB1">
        <w:rPr>
          <w:rFonts w:hint="eastAsia"/>
        </w:rPr>
        <w:t>期，頁</w:t>
      </w:r>
      <w:r w:rsidRPr="004D7EB1">
        <w:rPr>
          <w:rFonts w:hint="eastAsia"/>
        </w:rPr>
        <w:t>13</w:t>
      </w:r>
      <w:r w:rsidRPr="004D7EB1">
        <w:rPr>
          <w:rFonts w:hint="eastAsia"/>
        </w:rPr>
        <w:t>至</w:t>
      </w:r>
      <w:r w:rsidRPr="004D7EB1">
        <w:rPr>
          <w:rFonts w:hint="eastAsia"/>
        </w:rPr>
        <w:t>20</w:t>
      </w:r>
      <w:r w:rsidRPr="004D7EB1">
        <w:rPr>
          <w:rFonts w:hint="eastAsia"/>
        </w:rPr>
        <w:t>。</w:t>
      </w:r>
    </w:p>
    <w:p w14:paraId="5920F852" w14:textId="77777777" w:rsidR="004D7EB1" w:rsidRPr="004D7EB1" w:rsidRDefault="004D7EB1" w:rsidP="00D87D91">
      <w:r w:rsidRPr="004D7EB1">
        <w:rPr>
          <w:rFonts w:hint="eastAsia"/>
        </w:rPr>
        <w:t>◎許世楷編</w:t>
      </w:r>
      <w:r w:rsidRPr="004D7EB1">
        <w:rPr>
          <w:rFonts w:hint="eastAsia"/>
        </w:rPr>
        <w:t>(1995)</w:t>
      </w:r>
      <w:r w:rsidRPr="004D7EB1">
        <w:rPr>
          <w:rFonts w:hint="eastAsia"/>
        </w:rPr>
        <w:t>，世界各國憲法選集，初版，臺北市：前衛出版社，頁</w:t>
      </w:r>
      <w:r w:rsidRPr="004D7EB1">
        <w:rPr>
          <w:rFonts w:hint="eastAsia"/>
        </w:rPr>
        <w:t>1-424</w:t>
      </w:r>
      <w:r w:rsidRPr="004D7EB1">
        <w:rPr>
          <w:rFonts w:hint="eastAsia"/>
        </w:rPr>
        <w:t>。</w:t>
      </w:r>
    </w:p>
    <w:p w14:paraId="60E33DF2" w14:textId="77777777" w:rsidR="004D7EB1" w:rsidRPr="004D7EB1" w:rsidRDefault="004D7EB1" w:rsidP="00D87D91">
      <w:r w:rsidRPr="004D7EB1">
        <w:rPr>
          <w:rFonts w:hint="eastAsia"/>
        </w:rPr>
        <w:t>◎許育典</w:t>
      </w:r>
      <w:r w:rsidRPr="004D7EB1">
        <w:rPr>
          <w:rFonts w:hint="eastAsia"/>
        </w:rPr>
        <w:t>(2006)</w:t>
      </w:r>
      <w:r w:rsidRPr="004D7EB1">
        <w:rPr>
          <w:rFonts w:hint="eastAsia"/>
        </w:rPr>
        <w:t>，憲法，初版，臺北市：元照，頁</w:t>
      </w:r>
      <w:r w:rsidRPr="004D7EB1">
        <w:rPr>
          <w:rFonts w:hint="eastAsia"/>
        </w:rPr>
        <w:t>1-392</w:t>
      </w:r>
      <w:r w:rsidRPr="004D7EB1">
        <w:rPr>
          <w:rFonts w:hint="eastAsia"/>
        </w:rPr>
        <w:t>。</w:t>
      </w:r>
    </w:p>
    <w:p w14:paraId="08CC4F26" w14:textId="77777777" w:rsidR="004D7EB1" w:rsidRPr="004D7EB1" w:rsidRDefault="004D7EB1" w:rsidP="00D87D91">
      <w:r w:rsidRPr="004D7EB1">
        <w:rPr>
          <w:rFonts w:hint="eastAsia"/>
        </w:rPr>
        <w:t>◎許春金、吳景芳、李湧清、曾正一、許金標、蔡田木</w:t>
      </w:r>
      <w:r w:rsidRPr="004D7EB1">
        <w:rPr>
          <w:rFonts w:hint="eastAsia"/>
        </w:rPr>
        <w:t>(1994)</w:t>
      </w:r>
      <w:r w:rsidRPr="004D7EB1">
        <w:rPr>
          <w:rFonts w:hint="eastAsia"/>
        </w:rPr>
        <w:t>，死刑存廢之探討，台北：行政院研究發展考核委員會編印，頁</w:t>
      </w:r>
      <w:r w:rsidRPr="004D7EB1">
        <w:rPr>
          <w:rFonts w:hint="eastAsia"/>
        </w:rPr>
        <w:t>105-106</w:t>
      </w:r>
      <w:r w:rsidRPr="004D7EB1">
        <w:rPr>
          <w:rFonts w:hint="eastAsia"/>
        </w:rPr>
        <w:t>。</w:t>
      </w:r>
    </w:p>
    <w:p w14:paraId="21051D4E" w14:textId="77777777" w:rsidR="004D7EB1" w:rsidRPr="004D7EB1" w:rsidRDefault="004D7EB1" w:rsidP="00D87D91">
      <w:r w:rsidRPr="004D7EB1">
        <w:rPr>
          <w:rFonts w:hint="eastAsia"/>
        </w:rPr>
        <w:t>◎許春金、陳玉書、游伊君、柯雨瑞、呂宜芬、胡軒懷</w:t>
      </w:r>
      <w:r w:rsidRPr="004D7EB1">
        <w:rPr>
          <w:rFonts w:hint="eastAsia"/>
        </w:rPr>
        <w:t>(2006)</w:t>
      </w:r>
      <w:r w:rsidRPr="004D7EB1">
        <w:rPr>
          <w:rFonts w:hint="eastAsia"/>
        </w:rPr>
        <w:t>，從修復式正義觀點探討緩起訴受處分人修復性影響因素之研究，犯罪與刑事司法研究第</w:t>
      </w:r>
      <w:r w:rsidRPr="004D7EB1">
        <w:rPr>
          <w:rFonts w:hint="eastAsia"/>
        </w:rPr>
        <w:t>7</w:t>
      </w:r>
      <w:r w:rsidRPr="004D7EB1">
        <w:rPr>
          <w:rFonts w:hint="eastAsia"/>
        </w:rPr>
        <w:t>期，頁</w:t>
      </w:r>
      <w:r w:rsidRPr="004D7EB1">
        <w:rPr>
          <w:rFonts w:hint="eastAsia"/>
        </w:rPr>
        <w:t>141</w:t>
      </w:r>
      <w:r w:rsidRPr="004D7EB1">
        <w:rPr>
          <w:rFonts w:hint="eastAsia"/>
        </w:rPr>
        <w:t>至</w:t>
      </w:r>
      <w:r w:rsidRPr="004D7EB1">
        <w:rPr>
          <w:rFonts w:hint="eastAsia"/>
        </w:rPr>
        <w:t>188</w:t>
      </w:r>
      <w:r w:rsidRPr="004D7EB1">
        <w:rPr>
          <w:rFonts w:hint="eastAsia"/>
        </w:rPr>
        <w:t>。</w:t>
      </w:r>
    </w:p>
    <w:p w14:paraId="5C41EB29" w14:textId="77777777" w:rsidR="004D7EB1" w:rsidRPr="004D7EB1" w:rsidRDefault="004D7EB1" w:rsidP="00D87D91">
      <w:r w:rsidRPr="004D7EB1">
        <w:rPr>
          <w:rFonts w:hint="eastAsia"/>
        </w:rPr>
        <w:t>◎許家雋</w:t>
      </w:r>
      <w:r w:rsidRPr="004D7EB1">
        <w:rPr>
          <w:rFonts w:hint="eastAsia"/>
        </w:rPr>
        <w:t>(2011)</w:t>
      </w:r>
      <w:r w:rsidRPr="004D7EB1">
        <w:rPr>
          <w:rFonts w:hint="eastAsia"/>
        </w:rPr>
        <w:t>，外籍漁工血汗值多少，法扶會訊第二十九期。</w:t>
      </w:r>
    </w:p>
    <w:p w14:paraId="67E77C14" w14:textId="77777777" w:rsidR="004D7EB1" w:rsidRPr="004D7EB1" w:rsidRDefault="004D7EB1" w:rsidP="00D87D91">
      <w:r w:rsidRPr="004D7EB1">
        <w:rPr>
          <w:rFonts w:hint="eastAsia"/>
        </w:rPr>
        <w:t>◎許義寶</w:t>
      </w:r>
      <w:r w:rsidRPr="004D7EB1">
        <w:rPr>
          <w:rFonts w:hint="eastAsia"/>
        </w:rPr>
        <w:t>(2007)</w:t>
      </w:r>
      <w:r w:rsidRPr="004D7EB1">
        <w:rPr>
          <w:rFonts w:hint="eastAsia"/>
        </w:rPr>
        <w:t>，外國人入出國與居留之研究—以我國法制為探討中心，國立中正大學法律研究所博士論文，頁</w:t>
      </w:r>
      <w:r w:rsidRPr="004D7EB1">
        <w:rPr>
          <w:rFonts w:hint="eastAsia"/>
        </w:rPr>
        <w:t>221</w:t>
      </w:r>
      <w:r w:rsidRPr="004D7EB1">
        <w:rPr>
          <w:rFonts w:hint="eastAsia"/>
        </w:rPr>
        <w:t>。</w:t>
      </w:r>
    </w:p>
    <w:p w14:paraId="368FF298" w14:textId="77777777" w:rsidR="004D7EB1" w:rsidRPr="004D7EB1" w:rsidRDefault="004D7EB1" w:rsidP="00D87D91">
      <w:r w:rsidRPr="004D7EB1">
        <w:rPr>
          <w:rFonts w:hint="eastAsia"/>
        </w:rPr>
        <w:t>◎許義寶</w:t>
      </w:r>
      <w:r w:rsidRPr="004D7EB1">
        <w:rPr>
          <w:rFonts w:hint="eastAsia"/>
        </w:rPr>
        <w:t>(2009)</w:t>
      </w:r>
      <w:r w:rsidRPr="004D7EB1">
        <w:rPr>
          <w:rFonts w:hint="eastAsia"/>
        </w:rPr>
        <w:t>，外國人相關基本權利之初探，警察法第</w:t>
      </w:r>
      <w:r w:rsidRPr="004D7EB1">
        <w:rPr>
          <w:rFonts w:hint="eastAsia"/>
        </w:rPr>
        <w:t>8</w:t>
      </w:r>
      <w:r w:rsidRPr="004D7EB1">
        <w:rPr>
          <w:rFonts w:hint="eastAsia"/>
        </w:rPr>
        <w:t>期，頁</w:t>
      </w:r>
      <w:r w:rsidRPr="004D7EB1">
        <w:rPr>
          <w:rFonts w:hint="eastAsia"/>
        </w:rPr>
        <w:t>81-127</w:t>
      </w:r>
      <w:r w:rsidRPr="004D7EB1">
        <w:rPr>
          <w:rFonts w:hint="eastAsia"/>
        </w:rPr>
        <w:t>。</w:t>
      </w:r>
    </w:p>
    <w:p w14:paraId="4B5A7734" w14:textId="77777777" w:rsidR="004D7EB1" w:rsidRPr="004D7EB1" w:rsidRDefault="004D7EB1" w:rsidP="00D87D91">
      <w:r w:rsidRPr="004D7EB1">
        <w:rPr>
          <w:rFonts w:hint="eastAsia"/>
        </w:rPr>
        <w:t>◎許義寶</w:t>
      </w:r>
      <w:r w:rsidRPr="004D7EB1">
        <w:rPr>
          <w:rFonts w:hint="eastAsia"/>
        </w:rPr>
        <w:t>(2010)</w:t>
      </w:r>
      <w:r w:rsidRPr="004D7EB1">
        <w:rPr>
          <w:rFonts w:hint="eastAsia"/>
        </w:rPr>
        <w:t>，我國移民政策與法制之初探，發表於中央警察大學國境警察學系與移民研究中心共同舉辦之「國境管理與移民事務學術研討會」。</w:t>
      </w:r>
    </w:p>
    <w:p w14:paraId="689BD264" w14:textId="77777777" w:rsidR="004D7EB1" w:rsidRPr="004D7EB1" w:rsidRDefault="004D7EB1" w:rsidP="00D87D91">
      <w:r w:rsidRPr="004D7EB1">
        <w:rPr>
          <w:rFonts w:hint="eastAsia"/>
        </w:rPr>
        <w:t>◎許義寶</w:t>
      </w:r>
      <w:r w:rsidRPr="004D7EB1">
        <w:rPr>
          <w:rFonts w:hint="eastAsia"/>
        </w:rPr>
        <w:t>(2012)</w:t>
      </w:r>
      <w:r w:rsidRPr="004D7EB1">
        <w:rPr>
          <w:rFonts w:hint="eastAsia"/>
        </w:rPr>
        <w:t>，入出國法制與人權保障，臺北市：五南圖書出版股份有限公司，頁</w:t>
      </w:r>
      <w:r w:rsidRPr="004D7EB1">
        <w:rPr>
          <w:rFonts w:hint="eastAsia"/>
        </w:rPr>
        <w:t>289</w:t>
      </w:r>
      <w:r w:rsidRPr="004D7EB1">
        <w:rPr>
          <w:rFonts w:hint="eastAsia"/>
        </w:rPr>
        <w:t>。</w:t>
      </w:r>
    </w:p>
    <w:p w14:paraId="3CE331A0" w14:textId="77777777" w:rsidR="004D7EB1" w:rsidRPr="004D7EB1" w:rsidRDefault="004D7EB1" w:rsidP="00D87D91">
      <w:r w:rsidRPr="004D7EB1">
        <w:rPr>
          <w:rFonts w:hint="eastAsia"/>
        </w:rPr>
        <w:t>◎許義寶</w:t>
      </w:r>
      <w:r w:rsidRPr="004D7EB1">
        <w:rPr>
          <w:rFonts w:hint="eastAsia"/>
        </w:rPr>
        <w:t>(2012)</w:t>
      </w:r>
      <w:r w:rsidRPr="004D7EB1">
        <w:rPr>
          <w:rFonts w:hint="eastAsia"/>
        </w:rPr>
        <w:t>，外國人之相關基本權利保障，收錄於氏著入出國法制與人權保障，初版</w:t>
      </w:r>
      <w:r w:rsidRPr="004D7EB1">
        <w:rPr>
          <w:rFonts w:hint="eastAsia"/>
        </w:rPr>
        <w:t>1</w:t>
      </w:r>
      <w:r w:rsidRPr="004D7EB1">
        <w:rPr>
          <w:rFonts w:hint="eastAsia"/>
        </w:rPr>
        <w:t>刷，臺北</w:t>
      </w:r>
      <w:r w:rsidRPr="004D7EB1">
        <w:rPr>
          <w:rFonts w:hint="eastAsia"/>
        </w:rPr>
        <w:t>:</w:t>
      </w:r>
      <w:r w:rsidRPr="004D7EB1">
        <w:rPr>
          <w:rFonts w:hint="eastAsia"/>
        </w:rPr>
        <w:t>五南，頁</w:t>
      </w:r>
      <w:r w:rsidRPr="004D7EB1">
        <w:rPr>
          <w:rFonts w:hint="eastAsia"/>
        </w:rPr>
        <w:t>117-150</w:t>
      </w:r>
      <w:r w:rsidRPr="004D7EB1">
        <w:rPr>
          <w:rFonts w:hint="eastAsia"/>
        </w:rPr>
        <w:t>。</w:t>
      </w:r>
    </w:p>
    <w:p w14:paraId="72F3A528" w14:textId="77777777" w:rsidR="004D7EB1" w:rsidRPr="004D7EB1" w:rsidRDefault="004D7EB1" w:rsidP="00D87D91">
      <w:r w:rsidRPr="004D7EB1">
        <w:rPr>
          <w:rFonts w:hint="eastAsia"/>
        </w:rPr>
        <w:t>◎許義寶</w:t>
      </w:r>
      <w:r w:rsidRPr="004D7EB1">
        <w:rPr>
          <w:rFonts w:hint="eastAsia"/>
        </w:rPr>
        <w:t>(2012)</w:t>
      </w:r>
      <w:r w:rsidRPr="004D7EB1">
        <w:rPr>
          <w:rFonts w:hint="eastAsia"/>
        </w:rPr>
        <w:t>，港澳居民在臺居留與定居相關問題之研究，收錄於中央警察大學移民研究中心主辦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14:paraId="0813EE2A" w14:textId="77777777" w:rsidR="004D7EB1" w:rsidRPr="004D7EB1" w:rsidRDefault="004D7EB1" w:rsidP="00D87D91">
      <w:r w:rsidRPr="004D7EB1">
        <w:rPr>
          <w:rFonts w:hint="eastAsia"/>
        </w:rPr>
        <w:t>◎許德琳</w:t>
      </w:r>
      <w:r w:rsidRPr="004D7EB1">
        <w:rPr>
          <w:rFonts w:hint="eastAsia"/>
        </w:rPr>
        <w:t>(2005)</w:t>
      </w:r>
      <w:r w:rsidRPr="004D7EB1">
        <w:rPr>
          <w:rFonts w:hint="eastAsia"/>
        </w:rPr>
        <w:t>，台灣外籍勞工問題之研究</w:t>
      </w:r>
      <w:r w:rsidR="00D92F56">
        <w:rPr>
          <w:rFonts w:hint="eastAsia"/>
        </w:rPr>
        <w:t>〜</w:t>
      </w:r>
      <w:r w:rsidRPr="004D7EB1">
        <w:rPr>
          <w:rFonts w:hint="eastAsia"/>
        </w:rPr>
        <w:t>以外籍勞工管理為中心，中央警察大學法律學研究所碩士論文，頁</w:t>
      </w:r>
      <w:r w:rsidRPr="004D7EB1">
        <w:rPr>
          <w:rFonts w:hint="eastAsia"/>
        </w:rPr>
        <w:t>95-102</w:t>
      </w:r>
      <w:r w:rsidRPr="004D7EB1">
        <w:rPr>
          <w:rFonts w:hint="eastAsia"/>
        </w:rPr>
        <w:t>。</w:t>
      </w:r>
    </w:p>
    <w:p w14:paraId="7FA473D5" w14:textId="77777777" w:rsidR="004D7EB1" w:rsidRPr="004D7EB1" w:rsidRDefault="004D7EB1" w:rsidP="00D87D91">
      <w:r w:rsidRPr="004D7EB1">
        <w:rPr>
          <w:rFonts w:hint="eastAsia"/>
        </w:rPr>
        <w:t>◎連橫</w:t>
      </w:r>
      <w:r w:rsidRPr="004D7EB1">
        <w:rPr>
          <w:rFonts w:hint="eastAsia"/>
        </w:rPr>
        <w:t xml:space="preserve">(1985). </w:t>
      </w:r>
      <w:r w:rsidRPr="004D7EB1">
        <w:rPr>
          <w:rFonts w:hint="eastAsia"/>
        </w:rPr>
        <w:t>台灣通史，臺北市：幼獅文化事業公司，第</w:t>
      </w:r>
      <w:r w:rsidRPr="004D7EB1">
        <w:rPr>
          <w:rFonts w:hint="eastAsia"/>
        </w:rPr>
        <w:t>6</w:t>
      </w:r>
      <w:r w:rsidRPr="004D7EB1">
        <w:rPr>
          <w:rFonts w:hint="eastAsia"/>
        </w:rPr>
        <w:t>版，第</w:t>
      </w:r>
      <w:r w:rsidRPr="004D7EB1">
        <w:rPr>
          <w:rFonts w:hint="eastAsia"/>
        </w:rPr>
        <w:t>399-401</w:t>
      </w:r>
      <w:r w:rsidRPr="004D7EB1">
        <w:rPr>
          <w:rFonts w:hint="eastAsia"/>
        </w:rPr>
        <w:t>頁。</w:t>
      </w:r>
    </w:p>
    <w:p w14:paraId="62FCA385" w14:textId="77777777" w:rsidR="004D7EB1" w:rsidRPr="004D7EB1" w:rsidRDefault="004D7EB1" w:rsidP="00D87D91">
      <w:r w:rsidRPr="004D7EB1">
        <w:rPr>
          <w:rFonts w:hint="eastAsia"/>
        </w:rPr>
        <w:t>◎郭振恭</w:t>
      </w:r>
      <w:r w:rsidRPr="004D7EB1">
        <w:rPr>
          <w:rFonts w:hint="eastAsia"/>
        </w:rPr>
        <w:t>(2002)</w:t>
      </w:r>
      <w:r w:rsidRPr="004D7EB1">
        <w:rPr>
          <w:rFonts w:hint="eastAsia"/>
        </w:rPr>
        <w:t>，民法，修訂</w:t>
      </w:r>
      <w:r w:rsidRPr="004D7EB1">
        <w:rPr>
          <w:rFonts w:hint="eastAsia"/>
        </w:rPr>
        <w:t>3</w:t>
      </w:r>
      <w:r w:rsidRPr="004D7EB1">
        <w:rPr>
          <w:rFonts w:hint="eastAsia"/>
        </w:rPr>
        <w:t>版，臺北：三民書局，頁</w:t>
      </w:r>
      <w:r w:rsidRPr="004D7EB1">
        <w:rPr>
          <w:rFonts w:hint="eastAsia"/>
        </w:rPr>
        <w:t>92-93</w:t>
      </w:r>
      <w:r w:rsidRPr="004D7EB1">
        <w:rPr>
          <w:rFonts w:hint="eastAsia"/>
        </w:rPr>
        <w:t>。</w:t>
      </w:r>
    </w:p>
    <w:p w14:paraId="111A09F3" w14:textId="77777777" w:rsidR="004D7EB1" w:rsidRPr="004D7EB1" w:rsidRDefault="004D7EB1" w:rsidP="00D87D91">
      <w:r w:rsidRPr="004D7EB1">
        <w:rPr>
          <w:rFonts w:hint="eastAsia"/>
        </w:rPr>
        <w:t>◎陳正良</w:t>
      </w:r>
      <w:r w:rsidRPr="004D7EB1">
        <w:rPr>
          <w:rFonts w:hint="eastAsia"/>
        </w:rPr>
        <w:t>(1990)</w:t>
      </w:r>
      <w:r w:rsidRPr="004D7EB1">
        <w:rPr>
          <w:rFonts w:hint="eastAsia"/>
        </w:rPr>
        <w:t>，我國外籍勞工政策之檢討，勞工研究季刊，第</w:t>
      </w:r>
      <w:r w:rsidRPr="004D7EB1">
        <w:rPr>
          <w:rFonts w:hint="eastAsia"/>
        </w:rPr>
        <w:t>100</w:t>
      </w:r>
      <w:r w:rsidRPr="004D7EB1">
        <w:rPr>
          <w:rFonts w:hint="eastAsia"/>
        </w:rPr>
        <w:t>期，第</w:t>
      </w:r>
      <w:r w:rsidRPr="004D7EB1">
        <w:rPr>
          <w:rFonts w:hint="eastAsia"/>
        </w:rPr>
        <w:t>75</w:t>
      </w:r>
      <w:r w:rsidRPr="004D7EB1">
        <w:rPr>
          <w:rFonts w:hint="eastAsia"/>
        </w:rPr>
        <w:t>頁。</w:t>
      </w:r>
    </w:p>
    <w:p w14:paraId="2EFC6095" w14:textId="77777777" w:rsidR="004D7EB1" w:rsidRPr="004D7EB1" w:rsidRDefault="004D7EB1" w:rsidP="00D87D91">
      <w:r w:rsidRPr="004D7EB1">
        <w:rPr>
          <w:rFonts w:hint="eastAsia"/>
        </w:rPr>
        <w:t>◎陳光偉</w:t>
      </w:r>
      <w:r w:rsidRPr="004D7EB1">
        <w:rPr>
          <w:rFonts w:hint="eastAsia"/>
        </w:rPr>
        <w:t>(2005)</w:t>
      </w:r>
      <w:r w:rsidRPr="004D7EB1">
        <w:rPr>
          <w:rFonts w:hint="eastAsia"/>
        </w:rPr>
        <w:t>，外籍勞工平等待遇原則之研究，中國文化大學勞動學研究所碩士論文，頁</w:t>
      </w:r>
      <w:r w:rsidRPr="004D7EB1">
        <w:rPr>
          <w:rFonts w:hint="eastAsia"/>
        </w:rPr>
        <w:t>147-152</w:t>
      </w:r>
      <w:r w:rsidR="00545D58">
        <w:rPr>
          <w:rFonts w:hint="eastAsia"/>
        </w:rPr>
        <w:t>。</w:t>
      </w:r>
    </w:p>
    <w:p w14:paraId="2311FB8A" w14:textId="77777777" w:rsidR="004D7EB1" w:rsidRPr="004D7EB1" w:rsidRDefault="004D7EB1" w:rsidP="00D87D91">
      <w:r w:rsidRPr="004D7EB1">
        <w:rPr>
          <w:rFonts w:hint="eastAsia"/>
        </w:rPr>
        <w:t>◎陳自強（</w:t>
      </w:r>
      <w:r w:rsidRPr="004D7EB1">
        <w:rPr>
          <w:rFonts w:hint="eastAsia"/>
        </w:rPr>
        <w:t>2002</w:t>
      </w:r>
      <w:r w:rsidRPr="004D7EB1">
        <w:rPr>
          <w:rFonts w:hint="eastAsia"/>
        </w:rPr>
        <w:t>），民法講義（</w:t>
      </w:r>
      <w:r w:rsidRPr="004D7EB1">
        <w:rPr>
          <w:rFonts w:hint="eastAsia"/>
        </w:rPr>
        <w:t>1</w:t>
      </w:r>
      <w:r w:rsidRPr="004D7EB1">
        <w:rPr>
          <w:rFonts w:hint="eastAsia"/>
        </w:rPr>
        <w:t>）</w:t>
      </w:r>
      <w:r w:rsidR="00D92F56">
        <w:rPr>
          <w:rFonts w:hint="eastAsia"/>
        </w:rPr>
        <w:t>〜</w:t>
      </w:r>
      <w:r w:rsidRPr="004D7EB1">
        <w:rPr>
          <w:rFonts w:hint="eastAsia"/>
        </w:rPr>
        <w:t>契約之成立與生效，臺北：學林文化，頁</w:t>
      </w:r>
      <w:r w:rsidRPr="004D7EB1">
        <w:rPr>
          <w:rFonts w:hint="eastAsia"/>
        </w:rPr>
        <w:t>175-180</w:t>
      </w:r>
      <w:r w:rsidRPr="004D7EB1">
        <w:rPr>
          <w:rFonts w:hint="eastAsia"/>
        </w:rPr>
        <w:t>。</w:t>
      </w:r>
    </w:p>
    <w:p w14:paraId="03EB9495" w14:textId="77777777" w:rsidR="004D7EB1" w:rsidRPr="004D7EB1" w:rsidRDefault="004D7EB1" w:rsidP="00D87D91">
      <w:r w:rsidRPr="004D7EB1">
        <w:rPr>
          <w:rFonts w:hint="eastAsia"/>
        </w:rPr>
        <w:t>◎陳自強</w:t>
      </w:r>
      <w:r w:rsidRPr="004D7EB1">
        <w:rPr>
          <w:rFonts w:hint="eastAsia"/>
        </w:rPr>
        <w:t>(2002)</w:t>
      </w:r>
      <w:r w:rsidRPr="004D7EB1">
        <w:rPr>
          <w:rFonts w:hint="eastAsia"/>
        </w:rPr>
        <w:t>，民法講義</w:t>
      </w:r>
      <w:r w:rsidRPr="004D7EB1">
        <w:rPr>
          <w:rFonts w:hint="eastAsia"/>
        </w:rPr>
        <w:t>(1)</w:t>
      </w:r>
      <w:r w:rsidR="00D92F56">
        <w:rPr>
          <w:rFonts w:hint="eastAsia"/>
        </w:rPr>
        <w:t>〜</w:t>
      </w:r>
      <w:r w:rsidRPr="004D7EB1">
        <w:rPr>
          <w:rFonts w:hint="eastAsia"/>
        </w:rPr>
        <w:t>契約之成立與生效，臺北：學林文化，頁</w:t>
      </w:r>
      <w:r w:rsidRPr="004D7EB1">
        <w:rPr>
          <w:rFonts w:hint="eastAsia"/>
        </w:rPr>
        <w:t>274-275</w:t>
      </w:r>
      <w:r w:rsidRPr="004D7EB1">
        <w:rPr>
          <w:rFonts w:hint="eastAsia"/>
        </w:rPr>
        <w:t>。</w:t>
      </w:r>
    </w:p>
    <w:p w14:paraId="7FAFDB7C" w14:textId="77777777" w:rsidR="004D7EB1" w:rsidRPr="004D7EB1" w:rsidRDefault="004D7EB1" w:rsidP="00D87D91">
      <w:r w:rsidRPr="004D7EB1">
        <w:rPr>
          <w:rFonts w:hint="eastAsia"/>
        </w:rPr>
        <w:t>◎陳志華</w:t>
      </w:r>
      <w:r w:rsidRPr="004D7EB1">
        <w:rPr>
          <w:rFonts w:hint="eastAsia"/>
        </w:rPr>
        <w:t>(2012)</w:t>
      </w:r>
      <w:r w:rsidRPr="004D7EB1">
        <w:rPr>
          <w:rFonts w:hint="eastAsia"/>
        </w:rPr>
        <w:t>，中華民國憲法概要，修訂</w:t>
      </w:r>
      <w:r w:rsidRPr="004D7EB1">
        <w:rPr>
          <w:rFonts w:hint="eastAsia"/>
        </w:rPr>
        <w:t>5</w:t>
      </w:r>
      <w:r w:rsidRPr="004D7EB1">
        <w:rPr>
          <w:rFonts w:hint="eastAsia"/>
        </w:rPr>
        <w:t>版，臺北市：三民公司，頁</w:t>
      </w:r>
      <w:r w:rsidRPr="004D7EB1">
        <w:rPr>
          <w:rFonts w:hint="eastAsia"/>
        </w:rPr>
        <w:t>1-383</w:t>
      </w:r>
      <w:r w:rsidRPr="004D7EB1">
        <w:rPr>
          <w:rFonts w:hint="eastAsia"/>
        </w:rPr>
        <w:t>。</w:t>
      </w:r>
    </w:p>
    <w:p w14:paraId="18842F91" w14:textId="77777777" w:rsidR="004D7EB1" w:rsidRPr="004D7EB1" w:rsidRDefault="004D7EB1" w:rsidP="00D87D91">
      <w:r w:rsidRPr="004D7EB1">
        <w:rPr>
          <w:rFonts w:hint="eastAsia"/>
        </w:rPr>
        <w:t>◎陳明傳</w:t>
      </w:r>
      <w:r w:rsidRPr="004D7EB1">
        <w:rPr>
          <w:rFonts w:hint="eastAsia"/>
        </w:rPr>
        <w:t>(2010)</w:t>
      </w:r>
      <w:r w:rsidRPr="004D7EB1">
        <w:rPr>
          <w:rFonts w:hint="eastAsia"/>
        </w:rPr>
        <w:t>，涉外執法與社區警政，收錄於中央警察大學外事警察研究所舉辦之「</w:t>
      </w:r>
      <w:r w:rsidRPr="004D7EB1">
        <w:rPr>
          <w:rFonts w:hint="eastAsia"/>
        </w:rPr>
        <w:t>2010</w:t>
      </w:r>
      <w:r w:rsidRPr="004D7EB1">
        <w:rPr>
          <w:rFonts w:hint="eastAsia"/>
        </w:rPr>
        <w:t>年涉外執法政策與實務學術研討會論文集」，頁</w:t>
      </w:r>
      <w:r w:rsidRPr="004D7EB1">
        <w:rPr>
          <w:rFonts w:hint="eastAsia"/>
        </w:rPr>
        <w:t>88-90</w:t>
      </w:r>
      <w:r w:rsidRPr="004D7EB1">
        <w:rPr>
          <w:rFonts w:hint="eastAsia"/>
        </w:rPr>
        <w:t>。</w:t>
      </w:r>
    </w:p>
    <w:p w14:paraId="2221898C" w14:textId="77777777" w:rsidR="004D7EB1" w:rsidRPr="004D7EB1" w:rsidRDefault="004D7EB1" w:rsidP="00D87D91">
      <w:r w:rsidRPr="004D7EB1">
        <w:rPr>
          <w:rFonts w:hint="eastAsia"/>
        </w:rPr>
        <w:t>◎陳明傳</w:t>
      </w:r>
      <w:r w:rsidRPr="004D7EB1">
        <w:rPr>
          <w:rFonts w:hint="eastAsia"/>
        </w:rPr>
        <w:t>(2012)</w:t>
      </w:r>
      <w:r w:rsidRPr="004D7EB1">
        <w:rPr>
          <w:rFonts w:hint="eastAsia"/>
        </w:rPr>
        <w:t>，國家安全、移民與國境執法，收錄於中央警察大學移民研究中心主辦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14:paraId="7BA6785A" w14:textId="77777777" w:rsidR="004D7EB1" w:rsidRPr="004D7EB1" w:rsidRDefault="004D7EB1" w:rsidP="00D87D91">
      <w:r w:rsidRPr="004D7EB1">
        <w:rPr>
          <w:rFonts w:hint="eastAsia"/>
        </w:rPr>
        <w:t>◎陳明傳、潘志成</w:t>
      </w:r>
      <w:r w:rsidRPr="004D7EB1">
        <w:rPr>
          <w:rFonts w:hint="eastAsia"/>
        </w:rPr>
        <w:t>(2010)</w:t>
      </w:r>
      <w:r w:rsidRPr="004D7EB1">
        <w:rPr>
          <w:rFonts w:hint="eastAsia"/>
        </w:rPr>
        <w:t>，移民與國境執法，發表於中央警察大學國境警察學系與移民研究中心共同舉辦之「國境管理與移民事務學術研討會」。</w:t>
      </w:r>
    </w:p>
    <w:p w14:paraId="3C641340" w14:textId="77777777" w:rsidR="004D7EB1" w:rsidRPr="004D7EB1" w:rsidRDefault="004D7EB1" w:rsidP="00D87D91">
      <w:r w:rsidRPr="004D7EB1">
        <w:rPr>
          <w:rFonts w:hint="eastAsia"/>
        </w:rPr>
        <w:t>◎陳建榮</w:t>
      </w:r>
      <w:r w:rsidRPr="004D7EB1">
        <w:rPr>
          <w:rFonts w:hint="eastAsia"/>
        </w:rPr>
        <w:t>(2004)</w:t>
      </w:r>
      <w:r w:rsidRPr="004D7EB1">
        <w:rPr>
          <w:rFonts w:hint="eastAsia"/>
        </w:rPr>
        <w:t>，中華民國憲法，華立圖書，頁</w:t>
      </w:r>
      <w:r w:rsidRPr="004D7EB1">
        <w:rPr>
          <w:rFonts w:hint="eastAsia"/>
        </w:rPr>
        <w:t>177-191</w:t>
      </w:r>
      <w:r w:rsidRPr="004D7EB1">
        <w:rPr>
          <w:rFonts w:hint="eastAsia"/>
        </w:rPr>
        <w:t>。</w:t>
      </w:r>
    </w:p>
    <w:p w14:paraId="66435025" w14:textId="77777777" w:rsidR="004D7EB1" w:rsidRPr="004D7EB1" w:rsidRDefault="004D7EB1" w:rsidP="00D87D91">
      <w:r w:rsidRPr="004D7EB1">
        <w:rPr>
          <w:rFonts w:hint="eastAsia"/>
        </w:rPr>
        <w:t>◎陳進盛</w:t>
      </w:r>
      <w:r w:rsidRPr="004D7EB1">
        <w:rPr>
          <w:rFonts w:hint="eastAsia"/>
        </w:rPr>
        <w:t xml:space="preserve">(1988). </w:t>
      </w:r>
      <w:r w:rsidRPr="004D7EB1">
        <w:rPr>
          <w:rFonts w:hint="eastAsia"/>
        </w:rPr>
        <w:t>日據時期台灣鴉片漸禁政策之研究</w:t>
      </w:r>
      <w:r w:rsidR="00D92F56">
        <w:rPr>
          <w:rFonts w:hint="eastAsia"/>
        </w:rPr>
        <w:t>〜</w:t>
      </w:r>
      <w:r w:rsidRPr="004D7EB1">
        <w:rPr>
          <w:rFonts w:hint="eastAsia"/>
        </w:rPr>
        <w:t>1895</w:t>
      </w:r>
      <w:r w:rsidRPr="004D7EB1">
        <w:rPr>
          <w:rFonts w:hint="eastAsia"/>
        </w:rPr>
        <w:t>年～</w:t>
      </w:r>
      <w:r w:rsidRPr="004D7EB1">
        <w:rPr>
          <w:rFonts w:hint="eastAsia"/>
        </w:rPr>
        <w:t>1930</w:t>
      </w:r>
      <w:r w:rsidRPr="004D7EB1">
        <w:rPr>
          <w:rFonts w:hint="eastAsia"/>
        </w:rPr>
        <w:t>年，國立臺灣大學政治學研究所碩士論文，第</w:t>
      </w:r>
      <w:r w:rsidRPr="004D7EB1">
        <w:rPr>
          <w:rFonts w:hint="eastAsia"/>
        </w:rPr>
        <w:t>16-92</w:t>
      </w:r>
      <w:r w:rsidRPr="004D7EB1">
        <w:rPr>
          <w:rFonts w:hint="eastAsia"/>
        </w:rPr>
        <w:t>頁。</w:t>
      </w:r>
    </w:p>
    <w:p w14:paraId="3F6689BC" w14:textId="77777777" w:rsidR="004D7EB1" w:rsidRPr="004D7EB1" w:rsidRDefault="004D7EB1" w:rsidP="00D87D91">
      <w:r w:rsidRPr="004D7EB1">
        <w:rPr>
          <w:rFonts w:hint="eastAsia"/>
        </w:rPr>
        <w:t>◎陳隆志</w:t>
      </w:r>
      <w:r w:rsidRPr="004D7EB1">
        <w:rPr>
          <w:rFonts w:hint="eastAsia"/>
        </w:rPr>
        <w:t>(2005)</w:t>
      </w:r>
      <w:r w:rsidRPr="004D7EB1">
        <w:rPr>
          <w:rFonts w:hint="eastAsia"/>
        </w:rPr>
        <w:t>，制止中國的「侵略併吞台灣法」</w:t>
      </w:r>
      <w:r w:rsidR="00D92F56">
        <w:rPr>
          <w:rFonts w:hint="eastAsia"/>
        </w:rPr>
        <w:t>〜</w:t>
      </w:r>
      <w:r w:rsidRPr="004D7EB1">
        <w:rPr>
          <w:rFonts w:hint="eastAsia"/>
        </w:rPr>
        <w:t>國際法評判中國的「反分裂國家法」</w:t>
      </w:r>
      <w:r w:rsidRPr="004D7EB1">
        <w:rPr>
          <w:rFonts w:hint="eastAsia"/>
        </w:rPr>
        <w:t xml:space="preserve"> </w:t>
      </w:r>
      <w:r w:rsidRPr="004D7EB1">
        <w:rPr>
          <w:rFonts w:hint="eastAsia"/>
        </w:rPr>
        <w:t>，新世紀智庫論壇第</w:t>
      </w:r>
      <w:r w:rsidRPr="004D7EB1">
        <w:rPr>
          <w:rFonts w:hint="eastAsia"/>
        </w:rPr>
        <w:t>29</w:t>
      </w:r>
      <w:r w:rsidRPr="004D7EB1">
        <w:rPr>
          <w:rFonts w:hint="eastAsia"/>
        </w:rPr>
        <w:t>期。</w:t>
      </w:r>
    </w:p>
    <w:p w14:paraId="5BBED985" w14:textId="77777777" w:rsidR="004D7EB1" w:rsidRPr="004D7EB1" w:rsidRDefault="004D7EB1" w:rsidP="00D87D91">
      <w:r w:rsidRPr="004D7EB1">
        <w:rPr>
          <w:rFonts w:hint="eastAsia"/>
        </w:rPr>
        <w:t>◎陳新民</w:t>
      </w:r>
      <w:r w:rsidRPr="004D7EB1">
        <w:rPr>
          <w:rFonts w:hint="eastAsia"/>
        </w:rPr>
        <w:t>(1999)</w:t>
      </w:r>
      <w:r w:rsidRPr="004D7EB1">
        <w:rPr>
          <w:rFonts w:hint="eastAsia"/>
        </w:rPr>
        <w:t>，中華民國憲法釋論，修訂</w:t>
      </w:r>
      <w:r w:rsidRPr="004D7EB1">
        <w:rPr>
          <w:rFonts w:hint="eastAsia"/>
        </w:rPr>
        <w:t>3</w:t>
      </w:r>
      <w:r w:rsidRPr="004D7EB1">
        <w:rPr>
          <w:rFonts w:hint="eastAsia"/>
        </w:rPr>
        <w:t>版，臺北市：三民，頁</w:t>
      </w:r>
      <w:r w:rsidRPr="004D7EB1">
        <w:rPr>
          <w:rFonts w:hint="eastAsia"/>
        </w:rPr>
        <w:t>1-875</w:t>
      </w:r>
      <w:r w:rsidRPr="004D7EB1">
        <w:rPr>
          <w:rFonts w:hint="eastAsia"/>
        </w:rPr>
        <w:t>。</w:t>
      </w:r>
    </w:p>
    <w:p w14:paraId="43ABB68E" w14:textId="77777777" w:rsidR="004D7EB1" w:rsidRPr="004D7EB1" w:rsidRDefault="004D7EB1" w:rsidP="00D87D91">
      <w:r w:rsidRPr="004D7EB1">
        <w:rPr>
          <w:rFonts w:hint="eastAsia"/>
        </w:rPr>
        <w:t>◎陳新民</w:t>
      </w:r>
      <w:r w:rsidRPr="004D7EB1">
        <w:rPr>
          <w:rFonts w:hint="eastAsia"/>
        </w:rPr>
        <w:t>(2005)</w:t>
      </w:r>
      <w:r w:rsidRPr="004D7EB1">
        <w:rPr>
          <w:rFonts w:hint="eastAsia"/>
        </w:rPr>
        <w:t>，憲法導論，</w:t>
      </w:r>
      <w:r w:rsidRPr="004D7EB1">
        <w:rPr>
          <w:rFonts w:hint="eastAsia"/>
        </w:rPr>
        <w:t>5</w:t>
      </w:r>
      <w:r w:rsidRPr="004D7EB1">
        <w:rPr>
          <w:rFonts w:hint="eastAsia"/>
        </w:rPr>
        <w:t>版，臺北市：新學林公司，頁</w:t>
      </w:r>
      <w:r w:rsidRPr="004D7EB1">
        <w:rPr>
          <w:rFonts w:hint="eastAsia"/>
        </w:rPr>
        <w:t>1-466</w:t>
      </w:r>
      <w:r w:rsidR="00545D58">
        <w:rPr>
          <w:rFonts w:hint="eastAsia"/>
        </w:rPr>
        <w:t>。</w:t>
      </w:r>
    </w:p>
    <w:p w14:paraId="2D874D5D" w14:textId="77777777" w:rsidR="004D7EB1" w:rsidRPr="004D7EB1" w:rsidRDefault="004D7EB1" w:rsidP="00D87D91">
      <w:r w:rsidRPr="004D7EB1">
        <w:rPr>
          <w:rFonts w:hint="eastAsia"/>
        </w:rPr>
        <w:t>◎彭台臨</w:t>
      </w:r>
      <w:r w:rsidRPr="004D7EB1">
        <w:rPr>
          <w:rFonts w:hint="eastAsia"/>
        </w:rPr>
        <w:t>(1995)</w:t>
      </w:r>
      <w:r w:rsidRPr="004D7EB1">
        <w:rPr>
          <w:rFonts w:hint="eastAsia"/>
        </w:rPr>
        <w:t>，瑞士的外籍勞動力引進與管理，就業與訓練，頁</w:t>
      </w:r>
      <w:r w:rsidRPr="004D7EB1">
        <w:rPr>
          <w:rFonts w:hint="eastAsia"/>
        </w:rPr>
        <w:t>24</w:t>
      </w:r>
      <w:r w:rsidRPr="004D7EB1">
        <w:rPr>
          <w:rFonts w:hint="eastAsia"/>
        </w:rPr>
        <w:t>至</w:t>
      </w:r>
      <w:r w:rsidRPr="004D7EB1">
        <w:rPr>
          <w:rFonts w:hint="eastAsia"/>
        </w:rPr>
        <w:t>25</w:t>
      </w:r>
      <w:r w:rsidRPr="004D7EB1">
        <w:rPr>
          <w:rFonts w:hint="eastAsia"/>
        </w:rPr>
        <w:t>。</w:t>
      </w:r>
    </w:p>
    <w:p w14:paraId="3AAFB237" w14:textId="77777777" w:rsidR="004D7EB1" w:rsidRPr="004D7EB1" w:rsidRDefault="004D7EB1" w:rsidP="00D87D91">
      <w:r w:rsidRPr="004D7EB1">
        <w:rPr>
          <w:rFonts w:hint="eastAsia"/>
        </w:rPr>
        <w:t>◎曾柔鶯</w:t>
      </w:r>
      <w:r w:rsidRPr="004D7EB1">
        <w:rPr>
          <w:rFonts w:hint="eastAsia"/>
        </w:rPr>
        <w:t>(1993)</w:t>
      </w:r>
      <w:r w:rsidRPr="004D7EB1">
        <w:rPr>
          <w:rFonts w:hint="eastAsia"/>
        </w:rPr>
        <w:t>，瑞士外籍勞工政策及對我企業適用性之調查，勞動學報，頁</w:t>
      </w:r>
      <w:r w:rsidRPr="004D7EB1">
        <w:rPr>
          <w:rFonts w:hint="eastAsia"/>
        </w:rPr>
        <w:t>46</w:t>
      </w:r>
      <w:r w:rsidRPr="004D7EB1">
        <w:rPr>
          <w:rFonts w:hint="eastAsia"/>
        </w:rPr>
        <w:t>至</w:t>
      </w:r>
      <w:r w:rsidRPr="004D7EB1">
        <w:rPr>
          <w:rFonts w:hint="eastAsia"/>
        </w:rPr>
        <w:t>47</w:t>
      </w:r>
      <w:r w:rsidRPr="004D7EB1">
        <w:rPr>
          <w:rFonts w:hint="eastAsia"/>
        </w:rPr>
        <w:t>。</w:t>
      </w:r>
    </w:p>
    <w:p w14:paraId="0154C220" w14:textId="77777777" w:rsidR="004D7EB1" w:rsidRPr="004D7EB1" w:rsidRDefault="004D7EB1" w:rsidP="00D87D91">
      <w:r w:rsidRPr="004D7EB1">
        <w:rPr>
          <w:rFonts w:hint="eastAsia"/>
        </w:rPr>
        <w:t>◎曾國森</w:t>
      </w:r>
      <w:r w:rsidRPr="004D7EB1">
        <w:rPr>
          <w:rFonts w:hint="eastAsia"/>
        </w:rPr>
        <w:t>(1995)</w:t>
      </w:r>
      <w:r w:rsidRPr="004D7EB1">
        <w:rPr>
          <w:rFonts w:hint="eastAsia"/>
        </w:rPr>
        <w:t>，非法外勞取締技巧及相關法律問題之研究，中央警察大學外事警察學系外事警察學術研討會論文，頁</w:t>
      </w:r>
      <w:r w:rsidRPr="004D7EB1">
        <w:rPr>
          <w:rFonts w:hint="eastAsia"/>
        </w:rPr>
        <w:t>1</w:t>
      </w:r>
      <w:r w:rsidRPr="004D7EB1">
        <w:rPr>
          <w:rFonts w:hint="eastAsia"/>
        </w:rPr>
        <w:t>至</w:t>
      </w:r>
      <w:r w:rsidRPr="004D7EB1">
        <w:rPr>
          <w:rFonts w:hint="eastAsia"/>
        </w:rPr>
        <w:t>13</w:t>
      </w:r>
      <w:r w:rsidRPr="004D7EB1">
        <w:rPr>
          <w:rFonts w:hint="eastAsia"/>
        </w:rPr>
        <w:t>。</w:t>
      </w:r>
    </w:p>
    <w:p w14:paraId="2BA7E672" w14:textId="77777777" w:rsidR="004D7EB1" w:rsidRPr="004D7EB1" w:rsidRDefault="004D7EB1" w:rsidP="00D87D91">
      <w:r w:rsidRPr="004D7EB1">
        <w:rPr>
          <w:rFonts w:hint="eastAsia"/>
        </w:rPr>
        <w:t>◎植憲（</w:t>
      </w:r>
      <w:r w:rsidRPr="004D7EB1">
        <w:rPr>
          <w:rFonts w:hint="eastAsia"/>
        </w:rPr>
        <w:t>2011</w:t>
      </w:r>
      <w:r w:rsidRPr="004D7EB1">
        <w:rPr>
          <w:rFonts w:hint="eastAsia"/>
        </w:rPr>
        <w:t>），憲法解題概念操作（下），</w:t>
      </w:r>
      <w:r w:rsidRPr="004D7EB1">
        <w:rPr>
          <w:rFonts w:hint="eastAsia"/>
        </w:rPr>
        <w:t>6</w:t>
      </w:r>
      <w:r w:rsidRPr="004D7EB1">
        <w:rPr>
          <w:rFonts w:hint="eastAsia"/>
        </w:rPr>
        <w:t>版，台北：高點文化公司。</w:t>
      </w:r>
    </w:p>
    <w:p w14:paraId="63406C52" w14:textId="77777777" w:rsidR="004D7EB1" w:rsidRPr="004D7EB1" w:rsidRDefault="004D7EB1" w:rsidP="00D87D91">
      <w:r w:rsidRPr="004D7EB1">
        <w:rPr>
          <w:rFonts w:hint="eastAsia"/>
        </w:rPr>
        <w:t>◎植憲（</w:t>
      </w:r>
      <w:r w:rsidRPr="004D7EB1">
        <w:rPr>
          <w:rFonts w:hint="eastAsia"/>
        </w:rPr>
        <w:t>2012</w:t>
      </w:r>
      <w:r w:rsidRPr="004D7EB1">
        <w:rPr>
          <w:rFonts w:hint="eastAsia"/>
        </w:rPr>
        <w:t>），憲法必背釋字精研，</w:t>
      </w:r>
      <w:r w:rsidRPr="004D7EB1">
        <w:rPr>
          <w:rFonts w:hint="eastAsia"/>
        </w:rPr>
        <w:t>7</w:t>
      </w:r>
      <w:r w:rsidRPr="004D7EB1">
        <w:rPr>
          <w:rFonts w:hint="eastAsia"/>
        </w:rPr>
        <w:t>版</w:t>
      </w:r>
      <w:r w:rsidRPr="004D7EB1">
        <w:rPr>
          <w:rFonts w:hint="eastAsia"/>
        </w:rPr>
        <w:t>2</w:t>
      </w:r>
      <w:r w:rsidRPr="004D7EB1">
        <w:rPr>
          <w:rFonts w:hint="eastAsia"/>
        </w:rPr>
        <w:t>刷，台北：植憲公司。</w:t>
      </w:r>
    </w:p>
    <w:p w14:paraId="39886104" w14:textId="77777777" w:rsidR="004D7EB1" w:rsidRPr="004D7EB1" w:rsidRDefault="004D7EB1" w:rsidP="00D87D91">
      <w:r w:rsidRPr="004D7EB1">
        <w:rPr>
          <w:rFonts w:hint="eastAsia"/>
        </w:rPr>
        <w:t>◎植憲（</w:t>
      </w:r>
      <w:r w:rsidRPr="004D7EB1">
        <w:rPr>
          <w:rFonts w:hint="eastAsia"/>
        </w:rPr>
        <w:t>2012</w:t>
      </w:r>
      <w:r w:rsidRPr="004D7EB1">
        <w:rPr>
          <w:rFonts w:hint="eastAsia"/>
        </w:rPr>
        <w:t>），憲法解題概念操作（下），</w:t>
      </w:r>
      <w:r w:rsidRPr="004D7EB1">
        <w:rPr>
          <w:rFonts w:hint="eastAsia"/>
        </w:rPr>
        <w:t>7</w:t>
      </w:r>
      <w:r w:rsidRPr="004D7EB1">
        <w:rPr>
          <w:rFonts w:hint="eastAsia"/>
        </w:rPr>
        <w:t>版</w:t>
      </w:r>
      <w:r w:rsidRPr="004D7EB1">
        <w:rPr>
          <w:rFonts w:hint="eastAsia"/>
        </w:rPr>
        <w:t>1</w:t>
      </w:r>
      <w:r w:rsidRPr="004D7EB1">
        <w:rPr>
          <w:rFonts w:hint="eastAsia"/>
        </w:rPr>
        <w:t>刷，台北：植憲公司。</w:t>
      </w:r>
    </w:p>
    <w:p w14:paraId="3FFEA2BB" w14:textId="77777777" w:rsidR="004D7EB1" w:rsidRPr="004D7EB1" w:rsidRDefault="004D7EB1" w:rsidP="00D87D91">
      <w:r w:rsidRPr="004D7EB1">
        <w:rPr>
          <w:rFonts w:hint="eastAsia"/>
        </w:rPr>
        <w:t>◎游正博、林泰元、陳淑華，面對幹細胞，你需要停看聽</w:t>
      </w:r>
      <w:r w:rsidRPr="004D7EB1">
        <w:rPr>
          <w:rFonts w:hint="eastAsia"/>
        </w:rPr>
        <w:t>(2005)</w:t>
      </w:r>
      <w:r w:rsidRPr="004D7EB1">
        <w:rPr>
          <w:rFonts w:hint="eastAsia"/>
        </w:rPr>
        <w:t>，</w:t>
      </w:r>
      <w:r w:rsidRPr="004D7EB1">
        <w:rPr>
          <w:rFonts w:hint="eastAsia"/>
        </w:rPr>
        <w:t>72</w:t>
      </w:r>
      <w:r w:rsidRPr="004D7EB1">
        <w:rPr>
          <w:rFonts w:hint="eastAsia"/>
        </w:rPr>
        <w:t>變的幹細胞──幹細胞與再生醫學專輯，科學月刊</w:t>
      </w:r>
      <w:r w:rsidRPr="004D7EB1">
        <w:rPr>
          <w:rFonts w:hint="eastAsia"/>
        </w:rPr>
        <w:t>425</w:t>
      </w:r>
      <w:r w:rsidRPr="004D7EB1">
        <w:rPr>
          <w:rFonts w:hint="eastAsia"/>
        </w:rPr>
        <w:t>期。</w:t>
      </w:r>
    </w:p>
    <w:p w14:paraId="26B5B654" w14:textId="77777777" w:rsidR="004D7EB1" w:rsidRPr="004D7EB1" w:rsidRDefault="004D7EB1" w:rsidP="00D87D91">
      <w:r w:rsidRPr="004D7EB1">
        <w:rPr>
          <w:rFonts w:hint="eastAsia"/>
        </w:rPr>
        <w:t>◎湖島克弘，黃蔡玉珠等譯</w:t>
      </w:r>
      <w:r w:rsidRPr="004D7EB1">
        <w:rPr>
          <w:rFonts w:hint="eastAsia"/>
        </w:rPr>
        <w:t xml:space="preserve">(2001). </w:t>
      </w:r>
      <w:r w:rsidRPr="004D7EB1">
        <w:rPr>
          <w:rFonts w:hint="eastAsia"/>
        </w:rPr>
        <w:t>杜聰明與阿片試食官，臺北：玉山社出版事業股份有限公司。</w:t>
      </w:r>
    </w:p>
    <w:p w14:paraId="2420788D" w14:textId="77777777" w:rsidR="004D7EB1" w:rsidRPr="004D7EB1" w:rsidRDefault="004D7EB1" w:rsidP="00D87D91">
      <w:r w:rsidRPr="004D7EB1">
        <w:rPr>
          <w:rFonts w:hint="eastAsia"/>
        </w:rPr>
        <w:t>◎湯崇志、王博南</w:t>
      </w:r>
      <w:r w:rsidRPr="004D7EB1">
        <w:rPr>
          <w:rFonts w:hint="eastAsia"/>
        </w:rPr>
        <w:t>(2000)</w:t>
      </w:r>
      <w:r w:rsidRPr="004D7EB1">
        <w:rPr>
          <w:rFonts w:hint="eastAsia"/>
        </w:rPr>
        <w:t>，異體周邊血液幹細胞移植，內科新知，</w:t>
      </w:r>
      <w:r w:rsidRPr="004D7EB1">
        <w:rPr>
          <w:rFonts w:hint="eastAsia"/>
        </w:rPr>
        <w:t>3</w:t>
      </w:r>
      <w:r w:rsidRPr="004D7EB1">
        <w:rPr>
          <w:rFonts w:hint="eastAsia"/>
        </w:rPr>
        <w:t>卷</w:t>
      </w:r>
      <w:r w:rsidRPr="004D7EB1">
        <w:rPr>
          <w:rFonts w:hint="eastAsia"/>
        </w:rPr>
        <w:t>2</w:t>
      </w:r>
      <w:r w:rsidRPr="004D7EB1">
        <w:rPr>
          <w:rFonts w:hint="eastAsia"/>
        </w:rPr>
        <w:t>期。</w:t>
      </w:r>
    </w:p>
    <w:p w14:paraId="0CBD905E" w14:textId="77777777" w:rsidR="004D7EB1" w:rsidRPr="004D7EB1" w:rsidRDefault="004D7EB1" w:rsidP="00D87D91">
      <w:r w:rsidRPr="004D7EB1">
        <w:rPr>
          <w:rFonts w:hint="eastAsia"/>
        </w:rPr>
        <w:t>◎焦興鎧</w:t>
      </w:r>
      <w:r w:rsidRPr="004D7EB1">
        <w:rPr>
          <w:rFonts w:hint="eastAsia"/>
        </w:rPr>
        <w:t>(2005)</w:t>
      </w:r>
      <w:r w:rsidRPr="004D7EB1">
        <w:rPr>
          <w:rFonts w:hint="eastAsia"/>
        </w:rPr>
        <w:t>，保障外籍家事工作者勞動權益國際基準之研究，經社法制論叢，第</w:t>
      </w:r>
      <w:r w:rsidRPr="004D7EB1">
        <w:rPr>
          <w:rFonts w:hint="eastAsia"/>
        </w:rPr>
        <w:t>35</w:t>
      </w:r>
      <w:r w:rsidRPr="004D7EB1">
        <w:rPr>
          <w:rFonts w:hint="eastAsia"/>
        </w:rPr>
        <w:t>期，頁</w:t>
      </w:r>
      <w:r w:rsidRPr="004D7EB1">
        <w:rPr>
          <w:rFonts w:hint="eastAsia"/>
        </w:rPr>
        <w:t>147-180</w:t>
      </w:r>
      <w:r w:rsidRPr="004D7EB1">
        <w:rPr>
          <w:rFonts w:hint="eastAsia"/>
        </w:rPr>
        <w:t>。</w:t>
      </w:r>
    </w:p>
    <w:p w14:paraId="5F582323" w14:textId="77777777" w:rsidR="004D7EB1" w:rsidRPr="004D7EB1" w:rsidRDefault="004D7EB1" w:rsidP="00D87D91">
      <w:r w:rsidRPr="004D7EB1">
        <w:rPr>
          <w:rFonts w:hint="eastAsia"/>
        </w:rPr>
        <w:t>◎賀祥宏（</w:t>
      </w:r>
      <w:r w:rsidRPr="004D7EB1">
        <w:rPr>
          <w:rFonts w:hint="eastAsia"/>
        </w:rPr>
        <w:t>2010</w:t>
      </w:r>
      <w:r w:rsidRPr="004D7EB1">
        <w:rPr>
          <w:rFonts w:hint="eastAsia"/>
        </w:rPr>
        <w:t>），中華民國憲法，台北：高點公司。</w:t>
      </w:r>
    </w:p>
    <w:p w14:paraId="5348F05F" w14:textId="77777777" w:rsidR="004D7EB1" w:rsidRPr="004D7EB1" w:rsidRDefault="004D7EB1" w:rsidP="00D87D91">
      <w:r w:rsidRPr="004D7EB1">
        <w:rPr>
          <w:rFonts w:hint="eastAsia"/>
        </w:rPr>
        <w:t>◎黃坤祥</w:t>
      </w:r>
      <w:r w:rsidRPr="004D7EB1">
        <w:rPr>
          <w:rFonts w:hint="eastAsia"/>
        </w:rPr>
        <w:t>(1994)</w:t>
      </w:r>
      <w:r w:rsidRPr="004D7EB1">
        <w:rPr>
          <w:rFonts w:hint="eastAsia"/>
        </w:rPr>
        <w:t>，我國外籍勞工政策的回顧與展望，勞工之友第</w:t>
      </w:r>
      <w:r w:rsidRPr="004D7EB1">
        <w:rPr>
          <w:rFonts w:hint="eastAsia"/>
        </w:rPr>
        <w:t>521</w:t>
      </w:r>
      <w:r w:rsidRPr="004D7EB1">
        <w:rPr>
          <w:rFonts w:hint="eastAsia"/>
        </w:rPr>
        <w:t>期，第</w:t>
      </w:r>
      <w:r w:rsidRPr="004D7EB1">
        <w:rPr>
          <w:rFonts w:hint="eastAsia"/>
        </w:rPr>
        <w:t>12</w:t>
      </w:r>
      <w:r w:rsidRPr="004D7EB1">
        <w:rPr>
          <w:rFonts w:hint="eastAsia"/>
        </w:rPr>
        <w:t>頁。</w:t>
      </w:r>
    </w:p>
    <w:p w14:paraId="303A539D" w14:textId="77777777" w:rsidR="004D7EB1" w:rsidRPr="004D7EB1" w:rsidRDefault="004D7EB1" w:rsidP="00D87D91">
      <w:r w:rsidRPr="004D7EB1">
        <w:rPr>
          <w:rFonts w:hint="eastAsia"/>
        </w:rPr>
        <w:t>◎黃炎東</w:t>
      </w:r>
      <w:r w:rsidRPr="004D7EB1">
        <w:rPr>
          <w:rFonts w:hint="eastAsia"/>
        </w:rPr>
        <w:t>(2006)</w:t>
      </w:r>
      <w:r w:rsidRPr="004D7EB1">
        <w:rPr>
          <w:rFonts w:hint="eastAsia"/>
        </w:rPr>
        <w:t>，中華民國憲法新論，五南圖書出版股份有限公司，頁</w:t>
      </w:r>
      <w:r w:rsidRPr="004D7EB1">
        <w:rPr>
          <w:rFonts w:hint="eastAsia"/>
        </w:rPr>
        <w:t>178</w:t>
      </w:r>
      <w:r w:rsidRPr="004D7EB1">
        <w:rPr>
          <w:rFonts w:hint="eastAsia"/>
        </w:rPr>
        <w:t>。</w:t>
      </w:r>
    </w:p>
    <w:p w14:paraId="48A6857A" w14:textId="77777777" w:rsidR="004D7EB1" w:rsidRPr="004D7EB1" w:rsidRDefault="004D7EB1" w:rsidP="00D87D91">
      <w:r w:rsidRPr="004D7EB1">
        <w:rPr>
          <w:rFonts w:hint="eastAsia"/>
        </w:rPr>
        <w:t>◎黃美美</w:t>
      </w:r>
      <w:r w:rsidRPr="004D7EB1">
        <w:rPr>
          <w:rFonts w:hint="eastAsia"/>
        </w:rPr>
        <w:t>(2006)</w:t>
      </w:r>
      <w:r w:rsidRPr="004D7EB1">
        <w:rPr>
          <w:rFonts w:hint="eastAsia"/>
        </w:rPr>
        <w:t>，台灣外籍監護工問題與改進之研究，逢甲大學經營管理碩士在職專班碩士論文，頁</w:t>
      </w:r>
      <w:r w:rsidRPr="004D7EB1">
        <w:rPr>
          <w:rFonts w:hint="eastAsia"/>
        </w:rPr>
        <w:t>64-65</w:t>
      </w:r>
      <w:r w:rsidRPr="004D7EB1">
        <w:rPr>
          <w:rFonts w:hint="eastAsia"/>
        </w:rPr>
        <w:t>。</w:t>
      </w:r>
    </w:p>
    <w:p w14:paraId="375B7230" w14:textId="77777777" w:rsidR="004D7EB1" w:rsidRPr="004D7EB1" w:rsidRDefault="004D7EB1" w:rsidP="00D87D91">
      <w:r w:rsidRPr="004D7EB1">
        <w:rPr>
          <w:rFonts w:hint="eastAsia"/>
        </w:rPr>
        <w:t>◎黃效民</w:t>
      </w:r>
      <w:r w:rsidRPr="004D7EB1">
        <w:rPr>
          <w:rFonts w:hint="eastAsia"/>
        </w:rPr>
        <w:t>(2005)</w:t>
      </w:r>
      <w:r w:rsidRPr="004D7EB1">
        <w:rPr>
          <w:rFonts w:hint="eastAsia"/>
        </w:rPr>
        <w:t>，科學怪人真的會出現嗎？</w:t>
      </w:r>
      <w:r w:rsidRPr="004D7EB1">
        <w:rPr>
          <w:rFonts w:hint="eastAsia"/>
        </w:rPr>
        <w:t>72</w:t>
      </w:r>
      <w:r w:rsidRPr="004D7EB1">
        <w:rPr>
          <w:rFonts w:hint="eastAsia"/>
        </w:rPr>
        <w:t>變的幹細胞──幹細胞與再生醫學專輯，科學月刊</w:t>
      </w:r>
      <w:r w:rsidRPr="004D7EB1">
        <w:rPr>
          <w:rFonts w:hint="eastAsia"/>
        </w:rPr>
        <w:t>425</w:t>
      </w:r>
      <w:r w:rsidRPr="004D7EB1">
        <w:rPr>
          <w:rFonts w:hint="eastAsia"/>
        </w:rPr>
        <w:t>期。</w:t>
      </w:r>
    </w:p>
    <w:p w14:paraId="4A385F3F" w14:textId="77777777" w:rsidR="004D7EB1" w:rsidRPr="004D7EB1" w:rsidRDefault="004D7EB1" w:rsidP="00D87D91">
      <w:r w:rsidRPr="004D7EB1">
        <w:rPr>
          <w:rFonts w:hint="eastAsia"/>
        </w:rPr>
        <w:t>◎黃紹祥</w:t>
      </w:r>
      <w:r w:rsidRPr="004D7EB1">
        <w:rPr>
          <w:rFonts w:hint="eastAsia"/>
        </w:rPr>
        <w:t>(1994)</w:t>
      </w:r>
      <w:r w:rsidRPr="004D7EB1">
        <w:rPr>
          <w:rFonts w:hint="eastAsia"/>
        </w:rPr>
        <w:t>，我國外籍勞工管理實務之探討，中央警察大學外事警察學術研討會論文，第</w:t>
      </w:r>
      <w:r w:rsidRPr="004D7EB1">
        <w:rPr>
          <w:rFonts w:hint="eastAsia"/>
        </w:rPr>
        <w:t>64</w:t>
      </w:r>
      <w:r w:rsidRPr="004D7EB1">
        <w:rPr>
          <w:rFonts w:hint="eastAsia"/>
        </w:rPr>
        <w:t>頁。</w:t>
      </w:r>
    </w:p>
    <w:p w14:paraId="6FAADC7C" w14:textId="77777777" w:rsidR="004D7EB1" w:rsidRPr="004D7EB1" w:rsidRDefault="004D7EB1" w:rsidP="00D87D91">
      <w:r w:rsidRPr="004D7EB1">
        <w:rPr>
          <w:rFonts w:hint="eastAsia"/>
        </w:rPr>
        <w:t>◎黃越欽等編著</w:t>
      </w:r>
      <w:r w:rsidRPr="004D7EB1">
        <w:rPr>
          <w:rFonts w:hint="eastAsia"/>
        </w:rPr>
        <w:t>(1992)</w:t>
      </w:r>
      <w:r w:rsidRPr="004D7EB1">
        <w:rPr>
          <w:rFonts w:hint="eastAsia"/>
        </w:rPr>
        <w:t>，十四項重要工程得標業者聘僱海外補充勞工措施之追蹤調查與評估──我國外籍勞工政策之長期研究第一期計劃，行政院勞工委員會職業訓練局委託研究。</w:t>
      </w:r>
    </w:p>
    <w:p w14:paraId="08D970C5" w14:textId="77777777" w:rsidR="004D7EB1" w:rsidRPr="004D7EB1" w:rsidRDefault="004D7EB1" w:rsidP="00D87D91">
      <w:r w:rsidRPr="004D7EB1">
        <w:rPr>
          <w:rFonts w:hint="eastAsia"/>
        </w:rPr>
        <w:t>◎黃翠紋、孟維德（</w:t>
      </w:r>
      <w:r w:rsidRPr="004D7EB1">
        <w:rPr>
          <w:rFonts w:hint="eastAsia"/>
        </w:rPr>
        <w:t>2012</w:t>
      </w:r>
      <w:r w:rsidRPr="004D7EB1">
        <w:rPr>
          <w:rFonts w:hint="eastAsia"/>
        </w:rPr>
        <w:t>），《警察與犯罪預防》，臺北：五南圖書出版公司。</w:t>
      </w:r>
    </w:p>
    <w:p w14:paraId="18C7E274" w14:textId="77777777" w:rsidR="004D7EB1" w:rsidRPr="004D7EB1" w:rsidRDefault="004D7EB1" w:rsidP="00D87D91">
      <w:r w:rsidRPr="004D7EB1">
        <w:rPr>
          <w:rFonts w:hint="eastAsia"/>
        </w:rPr>
        <w:t>◎楊日旭、鄧學良等編著</w:t>
      </w:r>
      <w:r w:rsidRPr="004D7EB1">
        <w:rPr>
          <w:rFonts w:hint="eastAsia"/>
        </w:rPr>
        <w:t>(1991)</w:t>
      </w:r>
      <w:r w:rsidRPr="004D7EB1">
        <w:rPr>
          <w:rFonts w:hint="eastAsia"/>
        </w:rPr>
        <w:t>，高雄市外籍勞工問題研究，高雄市政府研究發展考核委員會委託研究。</w:t>
      </w:r>
    </w:p>
    <w:p w14:paraId="4747280C" w14:textId="77777777" w:rsidR="004D7EB1" w:rsidRPr="004D7EB1" w:rsidRDefault="004D7EB1" w:rsidP="00D87D91">
      <w:r w:rsidRPr="004D7EB1">
        <w:rPr>
          <w:rFonts w:hint="eastAsia"/>
        </w:rPr>
        <w:t>◎楊秀玲</w:t>
      </w:r>
      <w:r w:rsidRPr="004D7EB1">
        <w:rPr>
          <w:rFonts w:hint="eastAsia"/>
        </w:rPr>
        <w:t>(1989)</w:t>
      </w:r>
      <w:r w:rsidRPr="004D7EB1">
        <w:rPr>
          <w:rFonts w:hint="eastAsia"/>
        </w:rPr>
        <w:t>，外籍勞工如何引進臺灣﹖歐美各國作法介紹，臺灣經濟研究月刊，第</w:t>
      </w:r>
      <w:r w:rsidRPr="004D7EB1">
        <w:rPr>
          <w:rFonts w:hint="eastAsia"/>
        </w:rPr>
        <w:t>12</w:t>
      </w:r>
      <w:r w:rsidRPr="004D7EB1">
        <w:rPr>
          <w:rFonts w:hint="eastAsia"/>
        </w:rPr>
        <w:t>卷第</w:t>
      </w:r>
      <w:r w:rsidRPr="004D7EB1">
        <w:rPr>
          <w:rFonts w:hint="eastAsia"/>
        </w:rPr>
        <w:t>6</w:t>
      </w:r>
      <w:r w:rsidRPr="004D7EB1">
        <w:rPr>
          <w:rFonts w:hint="eastAsia"/>
        </w:rPr>
        <w:t>期，頁</w:t>
      </w:r>
      <w:r w:rsidRPr="004D7EB1">
        <w:rPr>
          <w:rFonts w:hint="eastAsia"/>
        </w:rPr>
        <w:t>95</w:t>
      </w:r>
      <w:r w:rsidRPr="004D7EB1">
        <w:rPr>
          <w:rFonts w:hint="eastAsia"/>
        </w:rPr>
        <w:t>。</w:t>
      </w:r>
    </w:p>
    <w:p w14:paraId="0FD83F23" w14:textId="77777777" w:rsidR="004D7EB1" w:rsidRPr="004D7EB1" w:rsidRDefault="004D7EB1" w:rsidP="00D87D91">
      <w:r w:rsidRPr="004D7EB1">
        <w:rPr>
          <w:rFonts w:hint="eastAsia"/>
        </w:rPr>
        <w:t>◎楊秀玲</w:t>
      </w:r>
      <w:r w:rsidRPr="004D7EB1">
        <w:rPr>
          <w:rFonts w:hint="eastAsia"/>
        </w:rPr>
        <w:t>(1989)</w:t>
      </w:r>
      <w:r w:rsidRPr="004D7EB1">
        <w:rPr>
          <w:rFonts w:hint="eastAsia"/>
        </w:rPr>
        <w:t>，失衡的西德外籍勞工政策，國際經濟，第</w:t>
      </w:r>
      <w:r w:rsidRPr="004D7EB1">
        <w:rPr>
          <w:rFonts w:hint="eastAsia"/>
        </w:rPr>
        <w:t>12</w:t>
      </w:r>
      <w:r w:rsidRPr="004D7EB1">
        <w:rPr>
          <w:rFonts w:hint="eastAsia"/>
        </w:rPr>
        <w:t>卷第</w:t>
      </w:r>
      <w:r w:rsidRPr="004D7EB1">
        <w:rPr>
          <w:rFonts w:hint="eastAsia"/>
        </w:rPr>
        <w:t>10</w:t>
      </w:r>
      <w:r w:rsidRPr="004D7EB1">
        <w:rPr>
          <w:rFonts w:hint="eastAsia"/>
        </w:rPr>
        <w:t>期，頁</w:t>
      </w:r>
      <w:r w:rsidRPr="004D7EB1">
        <w:rPr>
          <w:rFonts w:hint="eastAsia"/>
        </w:rPr>
        <w:t>71</w:t>
      </w:r>
      <w:r w:rsidRPr="004D7EB1">
        <w:rPr>
          <w:rFonts w:hint="eastAsia"/>
        </w:rPr>
        <w:t>至</w:t>
      </w:r>
      <w:r w:rsidRPr="004D7EB1">
        <w:rPr>
          <w:rFonts w:hint="eastAsia"/>
        </w:rPr>
        <w:t>75</w:t>
      </w:r>
      <w:r w:rsidRPr="004D7EB1">
        <w:rPr>
          <w:rFonts w:hint="eastAsia"/>
        </w:rPr>
        <w:t>。</w:t>
      </w:r>
    </w:p>
    <w:p w14:paraId="75FACEF8" w14:textId="77777777" w:rsidR="004D7EB1" w:rsidRPr="004D7EB1" w:rsidRDefault="004D7EB1" w:rsidP="00D87D91">
      <w:r w:rsidRPr="004D7EB1">
        <w:rPr>
          <w:rFonts w:hint="eastAsia"/>
        </w:rPr>
        <w:t>◎楊智傑（</w:t>
      </w:r>
      <w:r w:rsidRPr="004D7EB1">
        <w:rPr>
          <w:rFonts w:hint="eastAsia"/>
        </w:rPr>
        <w:t>2010</w:t>
      </w:r>
      <w:r w:rsidRPr="004D7EB1">
        <w:rPr>
          <w:rFonts w:hint="eastAsia"/>
        </w:rPr>
        <w:t>），圖解憲法，</w:t>
      </w:r>
      <w:r w:rsidRPr="004D7EB1">
        <w:rPr>
          <w:rFonts w:hint="eastAsia"/>
        </w:rPr>
        <w:t>2</w:t>
      </w:r>
      <w:r w:rsidRPr="004D7EB1">
        <w:rPr>
          <w:rFonts w:hint="eastAsia"/>
        </w:rPr>
        <w:t>版</w:t>
      </w:r>
      <w:r w:rsidRPr="004D7EB1">
        <w:rPr>
          <w:rFonts w:hint="eastAsia"/>
        </w:rPr>
        <w:t>1</w:t>
      </w:r>
      <w:r w:rsidRPr="004D7EB1">
        <w:rPr>
          <w:rFonts w:hint="eastAsia"/>
        </w:rPr>
        <w:t>刷，台北市：書泉出版社。</w:t>
      </w:r>
    </w:p>
    <w:p w14:paraId="31E2F535" w14:textId="77777777" w:rsidR="004D7EB1" w:rsidRPr="004D7EB1" w:rsidRDefault="004D7EB1" w:rsidP="00D87D91">
      <w:r w:rsidRPr="004D7EB1">
        <w:rPr>
          <w:rFonts w:hint="eastAsia"/>
        </w:rPr>
        <w:t>◎楊舒涵</w:t>
      </w:r>
      <w:r w:rsidRPr="004D7EB1">
        <w:rPr>
          <w:rFonts w:hint="eastAsia"/>
        </w:rPr>
        <w:t>(2010)</w:t>
      </w:r>
      <w:r w:rsidRPr="004D7EB1">
        <w:rPr>
          <w:rFonts w:hint="eastAsia"/>
        </w:rPr>
        <w:t>，歐盟非法移民問題之研究，中央警察大學外事警察研究所碩士論文，頁</w:t>
      </w:r>
      <w:r w:rsidRPr="004D7EB1">
        <w:rPr>
          <w:rFonts w:hint="eastAsia"/>
        </w:rPr>
        <w:t>109-135</w:t>
      </w:r>
      <w:r w:rsidRPr="004D7EB1">
        <w:rPr>
          <w:rFonts w:hint="eastAsia"/>
        </w:rPr>
        <w:t>。</w:t>
      </w:r>
    </w:p>
    <w:p w14:paraId="6AE5C87E" w14:textId="77777777" w:rsidR="004D7EB1" w:rsidRPr="004D7EB1" w:rsidRDefault="004D7EB1" w:rsidP="00D87D91">
      <w:r w:rsidRPr="004D7EB1">
        <w:rPr>
          <w:rFonts w:hint="eastAsia"/>
        </w:rPr>
        <w:t>◎楊雅雯</w:t>
      </w:r>
      <w:r w:rsidRPr="004D7EB1">
        <w:rPr>
          <w:rFonts w:hint="eastAsia"/>
        </w:rPr>
        <w:t xml:space="preserve">(1997). </w:t>
      </w:r>
      <w:r w:rsidRPr="004D7EB1">
        <w:rPr>
          <w:rFonts w:hint="eastAsia"/>
        </w:rPr>
        <w:t>假戒毒之名，行斂財之實：日本殖民政府的鴉片政策，中央日報第</w:t>
      </w:r>
      <w:r w:rsidRPr="004D7EB1">
        <w:rPr>
          <w:rFonts w:hint="eastAsia"/>
        </w:rPr>
        <w:t>19</w:t>
      </w:r>
      <w:r w:rsidRPr="004D7EB1">
        <w:rPr>
          <w:rFonts w:hint="eastAsia"/>
        </w:rPr>
        <w:t>版。</w:t>
      </w:r>
    </w:p>
    <w:p w14:paraId="0C498C9A" w14:textId="77777777" w:rsidR="004D7EB1" w:rsidRPr="004D7EB1" w:rsidRDefault="004D7EB1" w:rsidP="00D87D91">
      <w:r w:rsidRPr="004D7EB1">
        <w:rPr>
          <w:rFonts w:hint="eastAsia"/>
        </w:rPr>
        <w:t>◎葉毓蘭</w:t>
      </w:r>
      <w:r w:rsidRPr="004D7EB1">
        <w:rPr>
          <w:rFonts w:hint="eastAsia"/>
        </w:rPr>
        <w:t>(2010)</w:t>
      </w:r>
      <w:r w:rsidRPr="004D7EB1">
        <w:rPr>
          <w:rFonts w:hint="eastAsia"/>
        </w:rPr>
        <w:t>，涉外執法政策的擬定與執行：以人口販運為例，收錄於中央警察大學外事警察研究所舉辦之「</w:t>
      </w:r>
      <w:r w:rsidRPr="004D7EB1">
        <w:rPr>
          <w:rFonts w:hint="eastAsia"/>
        </w:rPr>
        <w:t>2010</w:t>
      </w:r>
      <w:r w:rsidRPr="004D7EB1">
        <w:rPr>
          <w:rFonts w:hint="eastAsia"/>
        </w:rPr>
        <w:t>年涉外執法政策與實務學術研討會論文集」，頁</w:t>
      </w:r>
      <w:r w:rsidRPr="004D7EB1">
        <w:rPr>
          <w:rFonts w:hint="eastAsia"/>
        </w:rPr>
        <w:t>119-146</w:t>
      </w:r>
      <w:r w:rsidRPr="004D7EB1">
        <w:rPr>
          <w:rFonts w:hint="eastAsia"/>
        </w:rPr>
        <w:t>。</w:t>
      </w:r>
    </w:p>
    <w:p w14:paraId="7CA3A91D" w14:textId="77777777" w:rsidR="004D7EB1" w:rsidRPr="004D7EB1" w:rsidRDefault="004D7EB1" w:rsidP="00D87D91">
      <w:r w:rsidRPr="004D7EB1">
        <w:rPr>
          <w:rFonts w:hint="eastAsia"/>
        </w:rPr>
        <w:t>◎葉毓蘭（</w:t>
      </w:r>
      <w:r w:rsidRPr="004D7EB1">
        <w:rPr>
          <w:rFonts w:hint="eastAsia"/>
        </w:rPr>
        <w:t>2010</w:t>
      </w:r>
      <w:r w:rsidRPr="004D7EB1">
        <w:rPr>
          <w:rFonts w:hint="eastAsia"/>
        </w:rPr>
        <w:t>），涉外執法政策的擬定與執行：以人口販運為例，收錄於中央警察大學外事警察研究所舉辦之「</w:t>
      </w:r>
      <w:r w:rsidRPr="004D7EB1">
        <w:rPr>
          <w:rFonts w:hint="eastAsia"/>
        </w:rPr>
        <w:t>2010</w:t>
      </w:r>
      <w:r w:rsidRPr="004D7EB1">
        <w:rPr>
          <w:rFonts w:hint="eastAsia"/>
        </w:rPr>
        <w:t>年涉外執法政策與實務學術研討會論文集」，頁</w:t>
      </w:r>
      <w:r w:rsidRPr="004D7EB1">
        <w:rPr>
          <w:rFonts w:hint="eastAsia"/>
        </w:rPr>
        <w:t>119-146</w:t>
      </w:r>
      <w:r w:rsidRPr="004D7EB1">
        <w:rPr>
          <w:rFonts w:hint="eastAsia"/>
        </w:rPr>
        <w:t>。</w:t>
      </w:r>
    </w:p>
    <w:p w14:paraId="2D9BAE14" w14:textId="77777777" w:rsidR="004D7EB1" w:rsidRPr="004D7EB1" w:rsidRDefault="004D7EB1" w:rsidP="00D87D91">
      <w:r w:rsidRPr="004D7EB1">
        <w:rPr>
          <w:rFonts w:hint="eastAsia"/>
        </w:rPr>
        <w:t>◎葛廣薇</w:t>
      </w:r>
      <w:r w:rsidRPr="004D7EB1">
        <w:rPr>
          <w:rFonts w:hint="eastAsia"/>
        </w:rPr>
        <w:t>(2011)</w:t>
      </w:r>
      <w:r w:rsidRPr="004D7EB1">
        <w:rPr>
          <w:rFonts w:hint="eastAsia"/>
        </w:rPr>
        <w:t>，我國非法外來人口收容制度合憲性之研究—以外國人及大陸地區人民為中心</w:t>
      </w:r>
      <w:r w:rsidRPr="004D7EB1">
        <w:rPr>
          <w:rFonts w:hint="eastAsia"/>
        </w:rPr>
        <w:t xml:space="preserve"> </w:t>
      </w:r>
      <w:r w:rsidRPr="004D7EB1">
        <w:rPr>
          <w:rFonts w:hint="eastAsia"/>
        </w:rPr>
        <w:t>，政大碩士論文，頁</w:t>
      </w:r>
      <w:r w:rsidRPr="004D7EB1">
        <w:rPr>
          <w:rFonts w:hint="eastAsia"/>
        </w:rPr>
        <w:t>14-15</w:t>
      </w:r>
      <w:r w:rsidRPr="004D7EB1">
        <w:rPr>
          <w:rFonts w:hint="eastAsia"/>
        </w:rPr>
        <w:t>。</w:t>
      </w:r>
    </w:p>
    <w:p w14:paraId="48720883" w14:textId="77777777" w:rsidR="004D7EB1" w:rsidRPr="004D7EB1" w:rsidRDefault="004D7EB1" w:rsidP="00D87D91">
      <w:r w:rsidRPr="004D7EB1">
        <w:rPr>
          <w:rFonts w:hint="eastAsia"/>
        </w:rPr>
        <w:t>◎裘雅恬</w:t>
      </w:r>
      <w:r w:rsidRPr="004D7EB1">
        <w:rPr>
          <w:rFonts w:hint="eastAsia"/>
        </w:rPr>
        <w:t xml:space="preserve">(2009). </w:t>
      </w:r>
      <w:r w:rsidRPr="004D7EB1">
        <w:rPr>
          <w:rFonts w:hint="eastAsia"/>
        </w:rPr>
        <w:t>毒品施用者緩起訴替代療法成效評估之研究。中央警察大學犯罪防治研究所碩士論文，未出版，桃園。</w:t>
      </w:r>
    </w:p>
    <w:p w14:paraId="59BD5BDC" w14:textId="77777777" w:rsidR="004D7EB1" w:rsidRPr="004D7EB1" w:rsidRDefault="004D7EB1" w:rsidP="00D87D91">
      <w:r w:rsidRPr="004D7EB1">
        <w:rPr>
          <w:rFonts w:hint="eastAsia"/>
        </w:rPr>
        <w:t>◎廖元豪</w:t>
      </w:r>
      <w:r w:rsidRPr="004D7EB1">
        <w:rPr>
          <w:rFonts w:hint="eastAsia"/>
        </w:rPr>
        <w:t>(2012)</w:t>
      </w:r>
      <w:r w:rsidRPr="004D7EB1">
        <w:rPr>
          <w:rFonts w:hint="eastAsia"/>
        </w:rPr>
        <w:t>，移民收容程序之檢討，行政法學會「國境管制</w:t>
      </w:r>
      <w:r w:rsidRPr="004D7EB1">
        <w:rPr>
          <w:rFonts w:hint="eastAsia"/>
        </w:rPr>
        <w:t>/</w:t>
      </w:r>
      <w:r w:rsidRPr="004D7EB1">
        <w:rPr>
          <w:rFonts w:hint="eastAsia"/>
        </w:rPr>
        <w:t>行政法之舉發」研討會論文集，頁</w:t>
      </w:r>
      <w:r w:rsidRPr="004D7EB1">
        <w:rPr>
          <w:rFonts w:hint="eastAsia"/>
        </w:rPr>
        <w:t>7</w:t>
      </w:r>
      <w:r w:rsidRPr="004D7EB1">
        <w:rPr>
          <w:rFonts w:hint="eastAsia"/>
        </w:rPr>
        <w:t>。</w:t>
      </w:r>
    </w:p>
    <w:p w14:paraId="5079F1B2" w14:textId="77777777" w:rsidR="004D7EB1" w:rsidRPr="004D7EB1" w:rsidRDefault="004D7EB1" w:rsidP="00D87D91">
      <w:r w:rsidRPr="004D7EB1">
        <w:rPr>
          <w:rFonts w:hint="eastAsia"/>
        </w:rPr>
        <w:t>◎廖其偉（</w:t>
      </w:r>
      <w:r w:rsidRPr="004D7EB1">
        <w:rPr>
          <w:rFonts w:hint="eastAsia"/>
        </w:rPr>
        <w:t>2011</w:t>
      </w:r>
      <w:r w:rsidRPr="004D7EB1">
        <w:rPr>
          <w:rFonts w:hint="eastAsia"/>
        </w:rPr>
        <w:t>），中華民國憲法，台北：鼎文書局。</w:t>
      </w:r>
    </w:p>
    <w:p w14:paraId="713A0D48" w14:textId="77777777" w:rsidR="004D7EB1" w:rsidRPr="004D7EB1" w:rsidRDefault="004D7EB1" w:rsidP="00D87D91">
      <w:r w:rsidRPr="004D7EB1">
        <w:rPr>
          <w:rFonts w:hint="eastAsia"/>
        </w:rPr>
        <w:t>◎廖浩彬</w:t>
      </w:r>
      <w:r w:rsidRPr="004D7EB1">
        <w:rPr>
          <w:rFonts w:hint="eastAsia"/>
        </w:rPr>
        <w:t>(2010)</w:t>
      </w:r>
      <w:r w:rsidRPr="004D7EB1">
        <w:rPr>
          <w:rFonts w:hint="eastAsia"/>
        </w:rPr>
        <w:t>，外籍勞工休閒參與及休閒效益之研究</w:t>
      </w:r>
      <w:r w:rsidR="00D92F56">
        <w:rPr>
          <w:rFonts w:hint="eastAsia"/>
        </w:rPr>
        <w:t>〜</w:t>
      </w:r>
      <w:r w:rsidRPr="004D7EB1">
        <w:rPr>
          <w:rFonts w:hint="eastAsia"/>
        </w:rPr>
        <w:t>以印尼籍外勞為例，國立台灣師範大學運動與休閒管理研究所碩士論文，頁</w:t>
      </w:r>
      <w:r w:rsidRPr="004D7EB1">
        <w:rPr>
          <w:rFonts w:hint="eastAsia"/>
        </w:rPr>
        <w:t>124-125</w:t>
      </w:r>
      <w:r w:rsidRPr="004D7EB1">
        <w:rPr>
          <w:rFonts w:hint="eastAsia"/>
        </w:rPr>
        <w:t>。</w:t>
      </w:r>
    </w:p>
    <w:p w14:paraId="5B1C7845" w14:textId="77777777" w:rsidR="004D7EB1" w:rsidRPr="004D7EB1" w:rsidRDefault="004D7EB1" w:rsidP="00D87D91">
      <w:r w:rsidRPr="004D7EB1">
        <w:rPr>
          <w:rFonts w:hint="eastAsia"/>
        </w:rPr>
        <w:t>◎管中閔</w:t>
      </w:r>
      <w:r w:rsidRPr="004D7EB1">
        <w:rPr>
          <w:rFonts w:hint="eastAsia"/>
        </w:rPr>
        <w:t>(2004)</w:t>
      </w:r>
      <w:r w:rsidRPr="004D7EB1">
        <w:rPr>
          <w:rFonts w:hint="eastAsia"/>
        </w:rPr>
        <w:t>，統計學—觀念與方法，第</w:t>
      </w:r>
      <w:r w:rsidRPr="004D7EB1">
        <w:rPr>
          <w:rFonts w:hint="eastAsia"/>
        </w:rPr>
        <w:t>2</w:t>
      </w:r>
      <w:r w:rsidRPr="004D7EB1">
        <w:rPr>
          <w:rFonts w:hint="eastAsia"/>
        </w:rPr>
        <w:t>版，台北：華泰出版社，頁</w:t>
      </w:r>
      <w:r w:rsidRPr="004D7EB1">
        <w:rPr>
          <w:rFonts w:hint="eastAsia"/>
        </w:rPr>
        <w:t>25-169</w:t>
      </w:r>
      <w:r w:rsidRPr="004D7EB1">
        <w:rPr>
          <w:rFonts w:hint="eastAsia"/>
        </w:rPr>
        <w:t>。</w:t>
      </w:r>
    </w:p>
    <w:p w14:paraId="6E3EC54E" w14:textId="77777777" w:rsidR="004D7EB1" w:rsidRPr="004D7EB1" w:rsidRDefault="004D7EB1" w:rsidP="00D87D91">
      <w:r w:rsidRPr="004D7EB1">
        <w:rPr>
          <w:rFonts w:hint="eastAsia"/>
        </w:rPr>
        <w:t>◎管歐著、林騰鷂修訂</w:t>
      </w:r>
      <w:r w:rsidRPr="004D7EB1">
        <w:rPr>
          <w:rFonts w:hint="eastAsia"/>
        </w:rPr>
        <w:t>(2010)</w:t>
      </w:r>
      <w:r w:rsidRPr="004D7EB1">
        <w:rPr>
          <w:rFonts w:hint="eastAsia"/>
        </w:rPr>
        <w:t>，中華民國憲法論，修訂</w:t>
      </w:r>
      <w:r w:rsidRPr="004D7EB1">
        <w:rPr>
          <w:rFonts w:hint="eastAsia"/>
        </w:rPr>
        <w:t>12</w:t>
      </w:r>
      <w:r w:rsidRPr="004D7EB1">
        <w:rPr>
          <w:rFonts w:hint="eastAsia"/>
        </w:rPr>
        <w:t>版，臺北市：三民，頁</w:t>
      </w:r>
      <w:r w:rsidRPr="004D7EB1">
        <w:rPr>
          <w:rFonts w:hint="eastAsia"/>
        </w:rPr>
        <w:t>1-406</w:t>
      </w:r>
      <w:r w:rsidRPr="004D7EB1">
        <w:rPr>
          <w:rFonts w:hint="eastAsia"/>
        </w:rPr>
        <w:t>。</w:t>
      </w:r>
    </w:p>
    <w:p w14:paraId="79244428" w14:textId="77777777" w:rsidR="004D7EB1" w:rsidRPr="004D7EB1" w:rsidRDefault="004D7EB1" w:rsidP="00D87D91">
      <w:r w:rsidRPr="004D7EB1">
        <w:rPr>
          <w:rFonts w:hint="eastAsia"/>
        </w:rPr>
        <w:t>◎裴雪濤主編，路光予校訂</w:t>
      </w:r>
      <w:r w:rsidRPr="004D7EB1">
        <w:rPr>
          <w:rFonts w:hint="eastAsia"/>
        </w:rPr>
        <w:t>(2003)</w:t>
      </w:r>
      <w:r w:rsidRPr="004D7EB1">
        <w:rPr>
          <w:rFonts w:hint="eastAsia"/>
        </w:rPr>
        <w:t>，幹細胞技術，五南圖書出版公司。</w:t>
      </w:r>
    </w:p>
    <w:p w14:paraId="7F57B86D" w14:textId="77777777" w:rsidR="004D7EB1" w:rsidRPr="004D7EB1" w:rsidRDefault="004D7EB1" w:rsidP="00D87D91">
      <w:r w:rsidRPr="004D7EB1">
        <w:rPr>
          <w:rFonts w:hint="eastAsia"/>
        </w:rPr>
        <w:t>◎趙守博</w:t>
      </w:r>
      <w:r w:rsidRPr="004D7EB1">
        <w:rPr>
          <w:rFonts w:hint="eastAsia"/>
        </w:rPr>
        <w:t>(1992)</w:t>
      </w:r>
      <w:r w:rsidRPr="004D7EB1">
        <w:rPr>
          <w:rFonts w:hint="eastAsia"/>
        </w:rPr>
        <w:t>，談引進大陸勞工的前提與要件，中國勞工，第</w:t>
      </w:r>
      <w:r w:rsidRPr="004D7EB1">
        <w:rPr>
          <w:rFonts w:hint="eastAsia"/>
        </w:rPr>
        <w:t>905</w:t>
      </w:r>
      <w:r w:rsidRPr="004D7EB1">
        <w:rPr>
          <w:rFonts w:hint="eastAsia"/>
        </w:rPr>
        <w:t>期，第</w:t>
      </w:r>
      <w:r w:rsidRPr="004D7EB1">
        <w:rPr>
          <w:rFonts w:hint="eastAsia"/>
        </w:rPr>
        <w:t>4</w:t>
      </w:r>
      <w:r w:rsidRPr="004D7EB1">
        <w:rPr>
          <w:rFonts w:hint="eastAsia"/>
        </w:rPr>
        <w:t>～</w:t>
      </w:r>
      <w:r w:rsidRPr="004D7EB1">
        <w:rPr>
          <w:rFonts w:hint="eastAsia"/>
        </w:rPr>
        <w:t>5</w:t>
      </w:r>
      <w:r w:rsidRPr="004D7EB1">
        <w:rPr>
          <w:rFonts w:hint="eastAsia"/>
        </w:rPr>
        <w:t>頁。</w:t>
      </w:r>
    </w:p>
    <w:p w14:paraId="634B1E37" w14:textId="77777777" w:rsidR="004D7EB1" w:rsidRPr="004D7EB1" w:rsidRDefault="004D7EB1" w:rsidP="00D87D91">
      <w:r w:rsidRPr="004D7EB1">
        <w:rPr>
          <w:rFonts w:hint="eastAsia"/>
        </w:rPr>
        <w:t>◎趙守博</w:t>
      </w:r>
      <w:r w:rsidRPr="004D7EB1">
        <w:rPr>
          <w:rFonts w:hint="eastAsia"/>
        </w:rPr>
        <w:t>(1993)</w:t>
      </w:r>
      <w:r w:rsidRPr="004D7EB1">
        <w:rPr>
          <w:rFonts w:hint="eastAsia"/>
        </w:rPr>
        <w:t>，外籍勞工的引進及因應對策，勞工行政第</w:t>
      </w:r>
      <w:r w:rsidRPr="004D7EB1">
        <w:rPr>
          <w:rFonts w:hint="eastAsia"/>
        </w:rPr>
        <w:t>57</w:t>
      </w:r>
      <w:r w:rsidRPr="004D7EB1">
        <w:rPr>
          <w:rFonts w:hint="eastAsia"/>
        </w:rPr>
        <w:t>期，頁</w:t>
      </w:r>
      <w:r w:rsidRPr="004D7EB1">
        <w:rPr>
          <w:rFonts w:hint="eastAsia"/>
        </w:rPr>
        <w:t>3-4</w:t>
      </w:r>
      <w:r w:rsidRPr="004D7EB1">
        <w:rPr>
          <w:rFonts w:hint="eastAsia"/>
        </w:rPr>
        <w:t>。</w:t>
      </w:r>
    </w:p>
    <w:p w14:paraId="53D2FE1E" w14:textId="77777777" w:rsidR="004D7EB1" w:rsidRPr="004D7EB1" w:rsidRDefault="004D7EB1" w:rsidP="00D87D91">
      <w:r w:rsidRPr="004D7EB1">
        <w:rPr>
          <w:rFonts w:hint="eastAsia"/>
        </w:rPr>
        <w:t>◎劉兆榮、林麗香、林宗達、柳金財、梁文興、陳朝政、葉怡君、蔡志昇（</w:t>
      </w:r>
      <w:r w:rsidRPr="004D7EB1">
        <w:rPr>
          <w:rFonts w:hint="eastAsia"/>
        </w:rPr>
        <w:t>2011</w:t>
      </w:r>
      <w:r w:rsidRPr="004D7EB1">
        <w:rPr>
          <w:rFonts w:hint="eastAsia"/>
        </w:rPr>
        <w:t>），中華民國憲法綜論，新北市：晶典文化出版社。</w:t>
      </w:r>
    </w:p>
    <w:p w14:paraId="606BB271" w14:textId="77777777" w:rsidR="004D7EB1" w:rsidRPr="004D7EB1" w:rsidRDefault="004D7EB1" w:rsidP="00D87D91">
      <w:r w:rsidRPr="004D7EB1">
        <w:rPr>
          <w:rFonts w:hint="eastAsia"/>
        </w:rPr>
        <w:t>◎劉兆榮主編、林麗香副主編、林宗達、林麗香、柳金財、梁文興、陳朝政、葉怡君、劉兆榮、劉志昇著</w:t>
      </w:r>
      <w:r w:rsidRPr="004D7EB1">
        <w:rPr>
          <w:rFonts w:hint="eastAsia"/>
        </w:rPr>
        <w:t>(2011)</w:t>
      </w:r>
      <w:r w:rsidRPr="004D7EB1">
        <w:rPr>
          <w:rFonts w:hint="eastAsia"/>
        </w:rPr>
        <w:t>，中華民國憲法綜論，</w:t>
      </w:r>
      <w:r w:rsidRPr="004D7EB1">
        <w:rPr>
          <w:rFonts w:hint="eastAsia"/>
        </w:rPr>
        <w:t>5</w:t>
      </w:r>
      <w:r w:rsidRPr="004D7EB1">
        <w:rPr>
          <w:rFonts w:hint="eastAsia"/>
        </w:rPr>
        <w:t>版，臺北市：晶典文化，頁</w:t>
      </w:r>
      <w:r w:rsidRPr="004D7EB1">
        <w:rPr>
          <w:rFonts w:hint="eastAsia"/>
        </w:rPr>
        <w:t>1-386</w:t>
      </w:r>
      <w:r w:rsidRPr="004D7EB1">
        <w:rPr>
          <w:rFonts w:hint="eastAsia"/>
        </w:rPr>
        <w:t>。</w:t>
      </w:r>
    </w:p>
    <w:p w14:paraId="1EA98852" w14:textId="77777777" w:rsidR="004D7EB1" w:rsidRPr="004D7EB1" w:rsidRDefault="004D7EB1" w:rsidP="00D87D91">
      <w:r w:rsidRPr="004D7EB1">
        <w:rPr>
          <w:rFonts w:hint="eastAsia"/>
        </w:rPr>
        <w:t>◎劉家綾</w:t>
      </w:r>
      <w:r w:rsidRPr="004D7EB1">
        <w:rPr>
          <w:rFonts w:hint="eastAsia"/>
        </w:rPr>
        <w:t>(2005)</w:t>
      </w:r>
      <w:r w:rsidRPr="004D7EB1">
        <w:rPr>
          <w:rFonts w:hint="eastAsia"/>
        </w:rPr>
        <w:t>，我國外籍勞工管理法制合憲性的檢討，國立臺北大學法律所碩士論文，頁</w:t>
      </w:r>
      <w:r w:rsidRPr="004D7EB1">
        <w:rPr>
          <w:rFonts w:hint="eastAsia"/>
        </w:rPr>
        <w:t>105-115</w:t>
      </w:r>
      <w:r w:rsidRPr="004D7EB1">
        <w:rPr>
          <w:rFonts w:hint="eastAsia"/>
        </w:rPr>
        <w:t>。</w:t>
      </w:r>
    </w:p>
    <w:p w14:paraId="68DF8183" w14:textId="77777777" w:rsidR="004D7EB1" w:rsidRPr="004D7EB1" w:rsidRDefault="004D7EB1" w:rsidP="00D87D91">
      <w:r w:rsidRPr="004D7EB1">
        <w:rPr>
          <w:rFonts w:hint="eastAsia"/>
        </w:rPr>
        <w:t>◎劉家綾</w:t>
      </w:r>
      <w:r w:rsidRPr="004D7EB1">
        <w:rPr>
          <w:rFonts w:hint="eastAsia"/>
        </w:rPr>
        <w:t>(2007)</w:t>
      </w:r>
      <w:r w:rsidRPr="004D7EB1">
        <w:rPr>
          <w:rFonts w:hint="eastAsia"/>
        </w:rPr>
        <w:t>，外籍勞工在我國憲法上應享有的人權，就業安全，第</w:t>
      </w:r>
      <w:r w:rsidRPr="004D7EB1">
        <w:rPr>
          <w:rFonts w:hint="eastAsia"/>
        </w:rPr>
        <w:t>6</w:t>
      </w:r>
      <w:r w:rsidRPr="004D7EB1">
        <w:rPr>
          <w:rFonts w:hint="eastAsia"/>
        </w:rPr>
        <w:t>卷第</w:t>
      </w:r>
      <w:r w:rsidRPr="004D7EB1">
        <w:rPr>
          <w:rFonts w:hint="eastAsia"/>
        </w:rPr>
        <w:t>1</w:t>
      </w:r>
      <w:r w:rsidRPr="004D7EB1">
        <w:rPr>
          <w:rFonts w:hint="eastAsia"/>
        </w:rPr>
        <w:t>期，頁</w:t>
      </w:r>
      <w:r w:rsidRPr="004D7EB1">
        <w:rPr>
          <w:rFonts w:hint="eastAsia"/>
        </w:rPr>
        <w:t>105-115</w:t>
      </w:r>
      <w:r w:rsidRPr="004D7EB1">
        <w:rPr>
          <w:rFonts w:hint="eastAsia"/>
        </w:rPr>
        <w:t>。</w:t>
      </w:r>
    </w:p>
    <w:p w14:paraId="6178629E" w14:textId="77777777" w:rsidR="004D7EB1" w:rsidRPr="004D7EB1" w:rsidRDefault="004D7EB1" w:rsidP="00D87D91">
      <w:r w:rsidRPr="004D7EB1">
        <w:rPr>
          <w:rFonts w:hint="eastAsia"/>
        </w:rPr>
        <w:t>◎劉進福</w:t>
      </w:r>
      <w:r w:rsidRPr="004D7EB1">
        <w:rPr>
          <w:rFonts w:hint="eastAsia"/>
        </w:rPr>
        <w:t>(1991)</w:t>
      </w:r>
      <w:r w:rsidRPr="004D7EB1">
        <w:rPr>
          <w:rFonts w:hint="eastAsia"/>
        </w:rPr>
        <w:t>，中日兩國外國人居留管理之研究及其比較，中日關係研究會，頁</w:t>
      </w:r>
      <w:r w:rsidRPr="004D7EB1">
        <w:rPr>
          <w:rFonts w:hint="eastAsia"/>
        </w:rPr>
        <w:t>118-19</w:t>
      </w:r>
      <w:r w:rsidR="00545D58">
        <w:rPr>
          <w:rFonts w:hint="eastAsia"/>
        </w:rPr>
        <w:t>。</w:t>
      </w:r>
    </w:p>
    <w:p w14:paraId="626C340B" w14:textId="77777777" w:rsidR="004D7EB1" w:rsidRPr="004D7EB1" w:rsidRDefault="004D7EB1" w:rsidP="00D87D91">
      <w:r w:rsidRPr="004D7EB1">
        <w:rPr>
          <w:rFonts w:hint="eastAsia"/>
        </w:rPr>
        <w:t>◎劉進福</w:t>
      </w:r>
      <w:r w:rsidRPr="004D7EB1">
        <w:rPr>
          <w:rFonts w:hint="eastAsia"/>
        </w:rPr>
        <w:t>(1992)</w:t>
      </w:r>
      <w:r w:rsidRPr="004D7EB1">
        <w:rPr>
          <w:rFonts w:hint="eastAsia"/>
        </w:rPr>
        <w:t>，日本外人入出境管理之探討，中央警察大學國境警察學系學術研討討會論文，頁</w:t>
      </w:r>
      <w:r w:rsidRPr="004D7EB1">
        <w:rPr>
          <w:rFonts w:hint="eastAsia"/>
        </w:rPr>
        <w:t>12</w:t>
      </w:r>
      <w:r w:rsidRPr="004D7EB1">
        <w:rPr>
          <w:rFonts w:hint="eastAsia"/>
        </w:rPr>
        <w:t>。</w:t>
      </w:r>
    </w:p>
    <w:p w14:paraId="6C15725E" w14:textId="77777777" w:rsidR="004D7EB1" w:rsidRPr="004D7EB1" w:rsidRDefault="004D7EB1" w:rsidP="00D87D91">
      <w:r w:rsidRPr="004D7EB1">
        <w:rPr>
          <w:rFonts w:hint="eastAsia"/>
        </w:rPr>
        <w:t>◎劉進福</w:t>
      </w:r>
      <w:r w:rsidRPr="004D7EB1">
        <w:rPr>
          <w:rFonts w:hint="eastAsia"/>
        </w:rPr>
        <w:t>(1993)</w:t>
      </w:r>
      <w:r w:rsidRPr="004D7EB1">
        <w:rPr>
          <w:rFonts w:hint="eastAsia"/>
        </w:rPr>
        <w:t>，論我國外事警察之外國人管理──與日本比較研究，初版一刷，桃園：中央警察大學出版社，頁</w:t>
      </w:r>
      <w:r w:rsidRPr="004D7EB1">
        <w:rPr>
          <w:rFonts w:hint="eastAsia"/>
        </w:rPr>
        <w:t>115</w:t>
      </w:r>
      <w:r w:rsidRPr="004D7EB1">
        <w:rPr>
          <w:rFonts w:hint="eastAsia"/>
        </w:rPr>
        <w:t>至</w:t>
      </w:r>
      <w:r w:rsidRPr="004D7EB1">
        <w:rPr>
          <w:rFonts w:hint="eastAsia"/>
        </w:rPr>
        <w:t>197</w:t>
      </w:r>
      <w:r w:rsidRPr="004D7EB1">
        <w:rPr>
          <w:rFonts w:hint="eastAsia"/>
        </w:rPr>
        <w:t>。</w:t>
      </w:r>
    </w:p>
    <w:p w14:paraId="0DD18154" w14:textId="77777777" w:rsidR="004D7EB1" w:rsidRPr="004D7EB1" w:rsidRDefault="004D7EB1" w:rsidP="00D87D91">
      <w:r w:rsidRPr="004D7EB1">
        <w:rPr>
          <w:rFonts w:hint="eastAsia"/>
        </w:rPr>
        <w:t>◎劉進福</w:t>
      </w:r>
      <w:r w:rsidRPr="004D7EB1">
        <w:rPr>
          <w:rFonts w:hint="eastAsia"/>
        </w:rPr>
        <w:t>(1994)</w:t>
      </w:r>
      <w:r w:rsidRPr="004D7EB1">
        <w:rPr>
          <w:rFonts w:hint="eastAsia"/>
        </w:rPr>
        <w:t>，日本外籍勞工管理中之研修制度，中央警察大學外事警察外籍勞工管理學術研討會論文集，第</w:t>
      </w:r>
      <w:r w:rsidRPr="004D7EB1">
        <w:rPr>
          <w:rFonts w:hint="eastAsia"/>
        </w:rPr>
        <w:t>19</w:t>
      </w:r>
      <w:r w:rsidRPr="004D7EB1">
        <w:rPr>
          <w:rFonts w:hint="eastAsia"/>
        </w:rPr>
        <w:t>～</w:t>
      </w:r>
      <w:r w:rsidRPr="004D7EB1">
        <w:rPr>
          <w:rFonts w:hint="eastAsia"/>
        </w:rPr>
        <w:t>42</w:t>
      </w:r>
      <w:r w:rsidRPr="004D7EB1">
        <w:rPr>
          <w:rFonts w:hint="eastAsia"/>
        </w:rPr>
        <w:t>頁。</w:t>
      </w:r>
    </w:p>
    <w:p w14:paraId="395B2CB0" w14:textId="77777777" w:rsidR="004D7EB1" w:rsidRPr="004D7EB1" w:rsidRDefault="004D7EB1" w:rsidP="00D87D91">
      <w:r w:rsidRPr="004D7EB1">
        <w:rPr>
          <w:rFonts w:hint="eastAsia"/>
        </w:rPr>
        <w:t>◎蔡令恬</w:t>
      </w:r>
      <w:r w:rsidRPr="004D7EB1">
        <w:t>(2010)</w:t>
      </w:r>
      <w:r w:rsidRPr="004D7EB1">
        <w:rPr>
          <w:rFonts w:hint="eastAsia"/>
        </w:rPr>
        <w:t>，我國外籍家事勞動者勞動權益保障之研究，東吳大學法學院法律學系碩士論文，頁</w:t>
      </w:r>
      <w:r w:rsidRPr="004D7EB1">
        <w:t>40-122</w:t>
      </w:r>
      <w:r w:rsidRPr="004D7EB1">
        <w:rPr>
          <w:rFonts w:hint="eastAsia"/>
        </w:rPr>
        <w:t>。</w:t>
      </w:r>
    </w:p>
    <w:p w14:paraId="79CE261D" w14:textId="77777777" w:rsidR="004D7EB1" w:rsidRPr="004D7EB1" w:rsidRDefault="004D7EB1" w:rsidP="00D87D91">
      <w:r w:rsidRPr="004D7EB1">
        <w:rPr>
          <w:rFonts w:hint="eastAsia"/>
        </w:rPr>
        <w:t>◎蔡百銓</w:t>
      </w:r>
      <w:r w:rsidRPr="004D7EB1">
        <w:rPr>
          <w:rFonts w:hint="eastAsia"/>
        </w:rPr>
        <w:t>(2007)</w:t>
      </w:r>
      <w:r w:rsidRPr="004D7EB1">
        <w:rPr>
          <w:rFonts w:hint="eastAsia"/>
        </w:rPr>
        <w:t>，邁向人權國家，初版，臺北巿：前衛，頁</w:t>
      </w:r>
      <w:r w:rsidRPr="004D7EB1">
        <w:rPr>
          <w:rFonts w:hint="eastAsia"/>
        </w:rPr>
        <w:t>29-263</w:t>
      </w:r>
      <w:r w:rsidRPr="004D7EB1">
        <w:rPr>
          <w:rFonts w:hint="eastAsia"/>
        </w:rPr>
        <w:t>。</w:t>
      </w:r>
    </w:p>
    <w:p w14:paraId="74991FFE" w14:textId="77777777" w:rsidR="004D7EB1" w:rsidRPr="004D7EB1" w:rsidRDefault="004D7EB1" w:rsidP="00D87D91">
      <w:r w:rsidRPr="004D7EB1">
        <w:rPr>
          <w:rFonts w:hint="eastAsia"/>
        </w:rPr>
        <w:t>◎蔡尚宏</w:t>
      </w:r>
      <w:r w:rsidRPr="004D7EB1">
        <w:rPr>
          <w:rFonts w:hint="eastAsia"/>
        </w:rPr>
        <w:t>(2006)</w:t>
      </w:r>
      <w:r w:rsidRPr="004D7EB1">
        <w:rPr>
          <w:rFonts w:hint="eastAsia"/>
        </w:rPr>
        <w:t>，我國外籍勞工勞動人權之研究，國立中正大學法律所碩士論文，頁</w:t>
      </w:r>
      <w:r w:rsidRPr="004D7EB1">
        <w:rPr>
          <w:rFonts w:hint="eastAsia"/>
        </w:rPr>
        <w:t>14-147</w:t>
      </w:r>
      <w:r w:rsidRPr="004D7EB1">
        <w:rPr>
          <w:rFonts w:hint="eastAsia"/>
        </w:rPr>
        <w:t>。</w:t>
      </w:r>
    </w:p>
    <w:p w14:paraId="316D3E0C" w14:textId="77777777" w:rsidR="004D7EB1" w:rsidRPr="004D7EB1" w:rsidRDefault="004D7EB1" w:rsidP="00D87D91">
      <w:r w:rsidRPr="004D7EB1">
        <w:rPr>
          <w:rFonts w:hint="eastAsia"/>
        </w:rPr>
        <w:t>◎蔡政憲、劉玉</w:t>
      </w:r>
      <w:r w:rsidRPr="004D7EB1">
        <w:rPr>
          <w:rFonts w:hint="eastAsia"/>
        </w:rPr>
        <w:t>(2005)</w:t>
      </w:r>
      <w:r w:rsidRPr="004D7EB1">
        <w:rPr>
          <w:rFonts w:hint="eastAsia"/>
        </w:rPr>
        <w:t>，從亞當夏娃談幹細胞，</w:t>
      </w:r>
      <w:r w:rsidRPr="004D7EB1">
        <w:rPr>
          <w:rFonts w:hint="eastAsia"/>
        </w:rPr>
        <w:t>72</w:t>
      </w:r>
      <w:r w:rsidRPr="004D7EB1">
        <w:rPr>
          <w:rFonts w:hint="eastAsia"/>
        </w:rPr>
        <w:t>變的幹細胞──幹細胞與再生醫學專輯，科學月刊</w:t>
      </w:r>
      <w:r w:rsidRPr="004D7EB1">
        <w:rPr>
          <w:rFonts w:hint="eastAsia"/>
        </w:rPr>
        <w:t>425</w:t>
      </w:r>
      <w:r w:rsidRPr="004D7EB1">
        <w:rPr>
          <w:rFonts w:hint="eastAsia"/>
        </w:rPr>
        <w:t>期。</w:t>
      </w:r>
    </w:p>
    <w:p w14:paraId="46F2260E" w14:textId="77777777" w:rsidR="004D7EB1" w:rsidRPr="004D7EB1" w:rsidRDefault="004D7EB1" w:rsidP="00D87D91">
      <w:r w:rsidRPr="004D7EB1">
        <w:rPr>
          <w:rFonts w:hint="eastAsia"/>
        </w:rPr>
        <w:t>◎蔡震榮</w:t>
      </w:r>
      <w:r w:rsidRPr="004D7EB1">
        <w:rPr>
          <w:rFonts w:hint="eastAsia"/>
        </w:rPr>
        <w:t>(2008)</w:t>
      </w:r>
      <w:r w:rsidRPr="004D7EB1">
        <w:rPr>
          <w:rFonts w:hint="eastAsia"/>
        </w:rPr>
        <w:t>，自外籍配偶家庭基本權之保障論驅逐出國處分──評臺北高等行政法院</w:t>
      </w:r>
      <w:r w:rsidRPr="004D7EB1">
        <w:rPr>
          <w:rFonts w:hint="eastAsia"/>
        </w:rPr>
        <w:t>95</w:t>
      </w:r>
      <w:r w:rsidRPr="004D7EB1">
        <w:rPr>
          <w:rFonts w:hint="eastAsia"/>
        </w:rPr>
        <w:t>年度訴字第</w:t>
      </w:r>
      <w:r w:rsidRPr="004D7EB1">
        <w:rPr>
          <w:rFonts w:hint="eastAsia"/>
        </w:rPr>
        <w:t>02581</w:t>
      </w:r>
      <w:r w:rsidRPr="004D7EB1">
        <w:rPr>
          <w:rFonts w:hint="eastAsia"/>
        </w:rPr>
        <w:t>號判決，收錄於桃園：中央警察大學國境警察學系暨移民研究中心第</w:t>
      </w:r>
      <w:r w:rsidRPr="004D7EB1">
        <w:rPr>
          <w:rFonts w:hint="eastAsia"/>
        </w:rPr>
        <w:t>2</w:t>
      </w:r>
      <w:r w:rsidRPr="004D7EB1">
        <w:rPr>
          <w:rFonts w:hint="eastAsia"/>
        </w:rPr>
        <w:t>屆國境安全與人口移動學術研討會論文集，頁</w:t>
      </w:r>
      <w:r w:rsidRPr="004D7EB1">
        <w:rPr>
          <w:rFonts w:hint="eastAsia"/>
        </w:rPr>
        <w:t>79-92</w:t>
      </w:r>
      <w:r w:rsidRPr="004D7EB1">
        <w:rPr>
          <w:rFonts w:hint="eastAsia"/>
        </w:rPr>
        <w:t>。</w:t>
      </w:r>
    </w:p>
    <w:p w14:paraId="52AABCCE" w14:textId="77777777" w:rsidR="004D7EB1" w:rsidRPr="004D7EB1" w:rsidRDefault="004D7EB1" w:rsidP="00D87D91">
      <w:r w:rsidRPr="004D7EB1">
        <w:rPr>
          <w:rFonts w:hint="eastAsia"/>
        </w:rPr>
        <w:t>◎蔡震榮</w:t>
      </w:r>
      <w:r w:rsidRPr="004D7EB1">
        <w:rPr>
          <w:rFonts w:hint="eastAsia"/>
        </w:rPr>
        <w:t>(2009)</w:t>
      </w:r>
      <w:r w:rsidRPr="004D7EB1">
        <w:rPr>
          <w:rFonts w:hint="eastAsia"/>
        </w:rPr>
        <w:t>，自外籍配偶家庭基本權之保障論驅逐出國處分──評臺北高等行政法院</w:t>
      </w:r>
      <w:r w:rsidRPr="004D7EB1">
        <w:rPr>
          <w:rFonts w:hint="eastAsia"/>
        </w:rPr>
        <w:t>95</w:t>
      </w:r>
      <w:r w:rsidRPr="004D7EB1">
        <w:rPr>
          <w:rFonts w:hint="eastAsia"/>
        </w:rPr>
        <w:t>年度訴字第</w:t>
      </w:r>
      <w:r w:rsidRPr="004D7EB1">
        <w:rPr>
          <w:rFonts w:hint="eastAsia"/>
        </w:rPr>
        <w:t>2581</w:t>
      </w:r>
      <w:r w:rsidRPr="004D7EB1">
        <w:rPr>
          <w:rFonts w:hint="eastAsia"/>
        </w:rPr>
        <w:t>號判決，法令月刊第</w:t>
      </w:r>
      <w:r w:rsidRPr="004D7EB1">
        <w:rPr>
          <w:rFonts w:hint="eastAsia"/>
        </w:rPr>
        <w:t>60</w:t>
      </w:r>
      <w:r w:rsidRPr="004D7EB1">
        <w:rPr>
          <w:rFonts w:hint="eastAsia"/>
        </w:rPr>
        <w:t>卷第</w:t>
      </w:r>
      <w:r w:rsidRPr="004D7EB1">
        <w:rPr>
          <w:rFonts w:hint="eastAsia"/>
        </w:rPr>
        <w:t>8</w:t>
      </w:r>
      <w:r w:rsidRPr="004D7EB1">
        <w:rPr>
          <w:rFonts w:hint="eastAsia"/>
        </w:rPr>
        <w:t>期，頁</w:t>
      </w:r>
      <w:r w:rsidRPr="004D7EB1">
        <w:rPr>
          <w:rFonts w:hint="eastAsia"/>
        </w:rPr>
        <w:t>21-37</w:t>
      </w:r>
      <w:r w:rsidRPr="004D7EB1">
        <w:rPr>
          <w:rFonts w:hint="eastAsia"/>
        </w:rPr>
        <w:t>。</w:t>
      </w:r>
    </w:p>
    <w:p w14:paraId="7B19FCE1" w14:textId="77777777" w:rsidR="004D7EB1" w:rsidRPr="004D7EB1" w:rsidRDefault="004D7EB1" w:rsidP="00D87D91">
      <w:r w:rsidRPr="004D7EB1">
        <w:rPr>
          <w:rFonts w:hint="eastAsia"/>
        </w:rPr>
        <w:t>◎蔡震榮</w:t>
      </w:r>
      <w:r w:rsidRPr="004D7EB1">
        <w:rPr>
          <w:rFonts w:hint="eastAsia"/>
        </w:rPr>
        <w:t>(2012)</w:t>
      </w:r>
      <w:r w:rsidRPr="004D7EB1">
        <w:rPr>
          <w:rFonts w:hint="eastAsia"/>
        </w:rPr>
        <w:t>，國境管制與人權保障，月旦法學雜誌第</w:t>
      </w:r>
      <w:r w:rsidRPr="004D7EB1">
        <w:rPr>
          <w:rFonts w:hint="eastAsia"/>
        </w:rPr>
        <w:t>204</w:t>
      </w:r>
      <w:r w:rsidRPr="004D7EB1">
        <w:rPr>
          <w:rFonts w:hint="eastAsia"/>
        </w:rPr>
        <w:t>期，頁</w:t>
      </w:r>
      <w:r w:rsidRPr="004D7EB1">
        <w:rPr>
          <w:rFonts w:hint="eastAsia"/>
        </w:rPr>
        <w:t>5-33</w:t>
      </w:r>
      <w:r w:rsidRPr="004D7EB1">
        <w:rPr>
          <w:rFonts w:hint="eastAsia"/>
        </w:rPr>
        <w:t>。</w:t>
      </w:r>
    </w:p>
    <w:p w14:paraId="2F073FF9" w14:textId="77777777" w:rsidR="004D7EB1" w:rsidRPr="004D7EB1" w:rsidRDefault="004D7EB1" w:rsidP="00D87D91">
      <w:r w:rsidRPr="004D7EB1">
        <w:rPr>
          <w:rFonts w:hint="eastAsia"/>
        </w:rPr>
        <w:t>◎蔡震榮</w:t>
      </w:r>
      <w:r w:rsidRPr="004D7EB1">
        <w:rPr>
          <w:rFonts w:hint="eastAsia"/>
        </w:rPr>
        <w:t>(2012)</w:t>
      </w:r>
      <w:r w:rsidRPr="004D7EB1">
        <w:rPr>
          <w:rFonts w:hint="eastAsia"/>
        </w:rPr>
        <w:t>，國境管制與人權保障，收錄於臺北市：國立政治大學公企中心，社團法人台灣行政法學會，</w:t>
      </w:r>
      <w:r w:rsidRPr="004D7EB1">
        <w:rPr>
          <w:rFonts w:hint="eastAsia"/>
        </w:rPr>
        <w:t>2012</w:t>
      </w:r>
      <w:r w:rsidRPr="004D7EB1">
        <w:rPr>
          <w:rFonts w:hint="eastAsia"/>
        </w:rPr>
        <w:t>年「國境管制</w:t>
      </w:r>
      <w:r w:rsidRPr="004D7EB1">
        <w:rPr>
          <w:rFonts w:hint="eastAsia"/>
        </w:rPr>
        <w:t>/</w:t>
      </w:r>
      <w:r w:rsidRPr="004D7EB1">
        <w:rPr>
          <w:rFonts w:hint="eastAsia"/>
        </w:rPr>
        <w:t>行政法上之舉發」學術研討會論文集，頁</w:t>
      </w:r>
      <w:r w:rsidRPr="004D7EB1">
        <w:rPr>
          <w:rFonts w:hint="eastAsia"/>
        </w:rPr>
        <w:t>21-48</w:t>
      </w:r>
      <w:r w:rsidRPr="004D7EB1">
        <w:rPr>
          <w:rFonts w:hint="eastAsia"/>
        </w:rPr>
        <w:t>。</w:t>
      </w:r>
    </w:p>
    <w:p w14:paraId="442DED3A" w14:textId="77777777" w:rsidR="004D7EB1" w:rsidRPr="004D7EB1" w:rsidRDefault="004D7EB1" w:rsidP="00D87D91">
      <w:r w:rsidRPr="004D7EB1">
        <w:rPr>
          <w:rFonts w:hint="eastAsia"/>
        </w:rPr>
        <w:t>◎鄧磊</w:t>
      </w:r>
      <w:r w:rsidRPr="004D7EB1">
        <w:rPr>
          <w:rFonts w:hint="eastAsia"/>
        </w:rPr>
        <w:t>(1994)</w:t>
      </w:r>
      <w:r w:rsidRPr="004D7EB1">
        <w:rPr>
          <w:rFonts w:hint="eastAsia"/>
        </w:rPr>
        <w:t>，從外勞逾時加班問題談起，中國勞工，第</w:t>
      </w:r>
      <w:r w:rsidRPr="004D7EB1">
        <w:rPr>
          <w:rFonts w:hint="eastAsia"/>
        </w:rPr>
        <w:t>928</w:t>
      </w:r>
      <w:r w:rsidRPr="004D7EB1">
        <w:rPr>
          <w:rFonts w:hint="eastAsia"/>
        </w:rPr>
        <w:t>期，頁</w:t>
      </w:r>
      <w:r w:rsidRPr="004D7EB1">
        <w:rPr>
          <w:rFonts w:hint="eastAsia"/>
        </w:rPr>
        <w:t>44</w:t>
      </w:r>
      <w:r w:rsidRPr="004D7EB1">
        <w:rPr>
          <w:rFonts w:hint="eastAsia"/>
        </w:rPr>
        <w:t>至</w:t>
      </w:r>
      <w:r w:rsidRPr="004D7EB1">
        <w:rPr>
          <w:rFonts w:hint="eastAsia"/>
        </w:rPr>
        <w:t>45</w:t>
      </w:r>
      <w:r w:rsidRPr="004D7EB1">
        <w:rPr>
          <w:rFonts w:hint="eastAsia"/>
        </w:rPr>
        <w:t>。</w:t>
      </w:r>
    </w:p>
    <w:p w14:paraId="30F2A5A2" w14:textId="77777777" w:rsidR="004D7EB1" w:rsidRPr="004D7EB1" w:rsidRDefault="004D7EB1" w:rsidP="00D87D91">
      <w:r w:rsidRPr="004D7EB1">
        <w:rPr>
          <w:rFonts w:hint="eastAsia"/>
        </w:rPr>
        <w:t>◎鄭幼民</w:t>
      </w:r>
      <w:r w:rsidRPr="004D7EB1">
        <w:rPr>
          <w:rFonts w:hint="eastAsia"/>
        </w:rPr>
        <w:t xml:space="preserve">(2004). </w:t>
      </w:r>
      <w:r w:rsidRPr="004D7EB1">
        <w:rPr>
          <w:rFonts w:hint="eastAsia"/>
        </w:rPr>
        <w:t>我國毒品犯罪問題與防制機制</w:t>
      </w:r>
      <w:r w:rsidR="00D92F56">
        <w:rPr>
          <w:rFonts w:hint="eastAsia"/>
        </w:rPr>
        <w:t>〜</w:t>
      </w:r>
      <w:r w:rsidRPr="004D7EB1">
        <w:rPr>
          <w:rFonts w:hint="eastAsia"/>
        </w:rPr>
        <w:t>以緝毒工作為核心之分析，中國文化大學中山學術研究所博士論文，第</w:t>
      </w:r>
      <w:r w:rsidRPr="004D7EB1">
        <w:rPr>
          <w:rFonts w:hint="eastAsia"/>
        </w:rPr>
        <w:t>64-86</w:t>
      </w:r>
      <w:r w:rsidRPr="004D7EB1">
        <w:rPr>
          <w:rFonts w:hint="eastAsia"/>
        </w:rPr>
        <w:t>頁。</w:t>
      </w:r>
    </w:p>
    <w:p w14:paraId="67C91057" w14:textId="77777777" w:rsidR="004D7EB1" w:rsidRPr="004D7EB1" w:rsidRDefault="004D7EB1" w:rsidP="00D87D91">
      <w:r w:rsidRPr="004D7EB1">
        <w:rPr>
          <w:rFonts w:hint="eastAsia"/>
        </w:rPr>
        <w:t>◎鄭津津</w:t>
      </w:r>
      <w:r w:rsidRPr="004D7EB1">
        <w:rPr>
          <w:rFonts w:hint="eastAsia"/>
        </w:rPr>
        <w:t xml:space="preserve">(2008) </w:t>
      </w:r>
      <w:r w:rsidRPr="004D7EB1">
        <w:rPr>
          <w:rFonts w:hint="eastAsia"/>
        </w:rPr>
        <w:t>我國外籍勞工人權保障問題之研究，月旦法學，第</w:t>
      </w:r>
      <w:r w:rsidRPr="004D7EB1">
        <w:rPr>
          <w:rFonts w:hint="eastAsia"/>
        </w:rPr>
        <w:t>161</w:t>
      </w:r>
      <w:r w:rsidRPr="004D7EB1">
        <w:rPr>
          <w:rFonts w:hint="eastAsia"/>
        </w:rPr>
        <w:t>期，頁</w:t>
      </w:r>
      <w:r w:rsidRPr="004D7EB1">
        <w:rPr>
          <w:rFonts w:hint="eastAsia"/>
        </w:rPr>
        <w:t>67-82</w:t>
      </w:r>
      <w:r w:rsidR="00545D58">
        <w:rPr>
          <w:rFonts w:hint="eastAsia"/>
        </w:rPr>
        <w:t>。</w:t>
      </w:r>
    </w:p>
    <w:p w14:paraId="2784C74D" w14:textId="77777777" w:rsidR="004D7EB1" w:rsidRPr="004D7EB1" w:rsidRDefault="004D7EB1" w:rsidP="00D87D91">
      <w:r w:rsidRPr="004D7EB1">
        <w:rPr>
          <w:rFonts w:hint="eastAsia"/>
        </w:rPr>
        <w:t>◎鄭淑屏</w:t>
      </w:r>
      <w:r w:rsidRPr="004D7EB1">
        <w:rPr>
          <w:rFonts w:hint="eastAsia"/>
        </w:rPr>
        <w:t xml:space="preserve">(1986). </w:t>
      </w:r>
      <w:r w:rsidRPr="004D7EB1">
        <w:rPr>
          <w:rFonts w:hint="eastAsia"/>
        </w:rPr>
        <w:t>台灣在日據時期警察法令與犯罪控制，輔仁大學法律研究所碩士論文，第</w:t>
      </w:r>
      <w:r w:rsidRPr="004D7EB1">
        <w:rPr>
          <w:rFonts w:hint="eastAsia"/>
        </w:rPr>
        <w:t>196-220</w:t>
      </w:r>
      <w:r w:rsidRPr="004D7EB1">
        <w:rPr>
          <w:rFonts w:hint="eastAsia"/>
        </w:rPr>
        <w:t>頁。</w:t>
      </w:r>
    </w:p>
    <w:p w14:paraId="2BDEABD1" w14:textId="77777777" w:rsidR="004D7EB1" w:rsidRPr="004D7EB1" w:rsidRDefault="004D7EB1" w:rsidP="00D87D91">
      <w:r w:rsidRPr="004D7EB1">
        <w:rPr>
          <w:rFonts w:hint="eastAsia"/>
        </w:rPr>
        <w:t>◎餘國寧</w:t>
      </w:r>
      <w:r w:rsidRPr="004D7EB1">
        <w:rPr>
          <w:rFonts w:hint="eastAsia"/>
        </w:rPr>
        <w:t>(2007)</w:t>
      </w:r>
      <w:r w:rsidRPr="004D7EB1">
        <w:rPr>
          <w:rFonts w:hint="eastAsia"/>
        </w:rPr>
        <w:t>，從國際法觀點析論我國外籍勞工之法制，國立臺灣海洋大學海洋法律研究所碩士論文，頁</w:t>
      </w:r>
      <w:r w:rsidRPr="004D7EB1">
        <w:rPr>
          <w:rFonts w:hint="eastAsia"/>
        </w:rPr>
        <w:t>24-90</w:t>
      </w:r>
      <w:r w:rsidR="00545D58">
        <w:rPr>
          <w:rFonts w:hint="eastAsia"/>
        </w:rPr>
        <w:t>。</w:t>
      </w:r>
    </w:p>
    <w:p w14:paraId="18723869" w14:textId="77777777" w:rsidR="004D7EB1" w:rsidRPr="004D7EB1" w:rsidRDefault="004D7EB1" w:rsidP="00D87D91">
      <w:r w:rsidRPr="004D7EB1">
        <w:rPr>
          <w:rFonts w:hint="eastAsia"/>
        </w:rPr>
        <w:t>◎蕭文龍</w:t>
      </w:r>
      <w:r w:rsidRPr="004D7EB1">
        <w:rPr>
          <w:rFonts w:hint="eastAsia"/>
        </w:rPr>
        <w:t>(2009)</w:t>
      </w:r>
      <w:r w:rsidRPr="004D7EB1">
        <w:rPr>
          <w:rFonts w:hint="eastAsia"/>
        </w:rPr>
        <w:t>，多變量分析最佳入門實用書</w:t>
      </w:r>
      <w:r w:rsidRPr="004D7EB1">
        <w:rPr>
          <w:rFonts w:hint="eastAsia"/>
        </w:rPr>
        <w:t>(</w:t>
      </w:r>
      <w:r w:rsidRPr="004D7EB1">
        <w:rPr>
          <w:rFonts w:hint="eastAsia"/>
        </w:rPr>
        <w:t>第二版</w:t>
      </w:r>
      <w:r w:rsidRPr="004D7EB1">
        <w:rPr>
          <w:rFonts w:hint="eastAsia"/>
        </w:rPr>
        <w:t>)</w:t>
      </w:r>
      <w:r w:rsidRPr="004D7EB1">
        <w:rPr>
          <w:rFonts w:hint="eastAsia"/>
        </w:rPr>
        <w:t>：</w:t>
      </w:r>
      <w:r w:rsidRPr="004D7EB1">
        <w:rPr>
          <w:rFonts w:hint="eastAsia"/>
        </w:rPr>
        <w:t>SPSS+LISREL</w:t>
      </w:r>
      <w:r w:rsidRPr="004D7EB1">
        <w:rPr>
          <w:rFonts w:hint="eastAsia"/>
        </w:rPr>
        <w:t>，台北市：碁峰公司，頁</w:t>
      </w:r>
      <w:r w:rsidRPr="004D7EB1">
        <w:rPr>
          <w:rFonts w:hint="eastAsia"/>
        </w:rPr>
        <w:t>35-125</w:t>
      </w:r>
      <w:r w:rsidRPr="004D7EB1">
        <w:rPr>
          <w:rFonts w:hint="eastAsia"/>
        </w:rPr>
        <w:t>。</w:t>
      </w:r>
    </w:p>
    <w:p w14:paraId="70EAD28F" w14:textId="77777777" w:rsidR="004D7EB1" w:rsidRPr="004D7EB1" w:rsidRDefault="004D7EB1" w:rsidP="00D87D91">
      <w:r w:rsidRPr="004D7EB1">
        <w:rPr>
          <w:rFonts w:hint="eastAsia"/>
        </w:rPr>
        <w:t>◎蕭博銘</w:t>
      </w:r>
      <w:r w:rsidRPr="004D7EB1">
        <w:rPr>
          <w:rFonts w:hint="eastAsia"/>
        </w:rPr>
        <w:t>(2005)</w:t>
      </w:r>
      <w:r w:rsidRPr="004D7EB1">
        <w:rPr>
          <w:rFonts w:hint="eastAsia"/>
        </w:rPr>
        <w:t>，全球趨勢下對勞動人權影響的政治經濟分析</w:t>
      </w:r>
      <w:r w:rsidR="00D92F56">
        <w:rPr>
          <w:rFonts w:hint="eastAsia"/>
        </w:rPr>
        <w:t>〜</w:t>
      </w:r>
      <w:r w:rsidRPr="004D7EB1">
        <w:rPr>
          <w:rFonts w:hint="eastAsia"/>
        </w:rPr>
        <w:t>以我國外籍勞工勞動人權為例，國立中山大學政治學研究所碩士論文，頁</w:t>
      </w:r>
      <w:r w:rsidRPr="004D7EB1">
        <w:rPr>
          <w:rFonts w:hint="eastAsia"/>
        </w:rPr>
        <w:t>107-156</w:t>
      </w:r>
      <w:r w:rsidRPr="004D7EB1">
        <w:rPr>
          <w:rFonts w:hint="eastAsia"/>
        </w:rPr>
        <w:t>。</w:t>
      </w:r>
    </w:p>
    <w:p w14:paraId="7B9C9D8C" w14:textId="77777777" w:rsidR="004D7EB1" w:rsidRPr="004D7EB1" w:rsidRDefault="004D7EB1" w:rsidP="00D87D91">
      <w:r w:rsidRPr="004D7EB1">
        <w:rPr>
          <w:rFonts w:hint="eastAsia"/>
        </w:rPr>
        <w:t>◎賴械壹、彭鏡琴、吳慧娟</w:t>
      </w:r>
      <w:r w:rsidRPr="004D7EB1">
        <w:rPr>
          <w:rFonts w:hint="eastAsia"/>
        </w:rPr>
        <w:t>(2005)</w:t>
      </w:r>
      <w:r w:rsidRPr="004D7EB1">
        <w:rPr>
          <w:rFonts w:hint="eastAsia"/>
        </w:rPr>
        <w:t>，淺析外國人之基本權及其限制，中央警察大學國境警察學報第</w:t>
      </w:r>
      <w:r w:rsidRPr="004D7EB1">
        <w:rPr>
          <w:rFonts w:hint="eastAsia"/>
        </w:rPr>
        <w:t>4</w:t>
      </w:r>
      <w:r w:rsidRPr="004D7EB1">
        <w:rPr>
          <w:rFonts w:hint="eastAsia"/>
        </w:rPr>
        <w:t>期，頁</w:t>
      </w:r>
      <w:r w:rsidRPr="004D7EB1">
        <w:rPr>
          <w:rFonts w:hint="eastAsia"/>
        </w:rPr>
        <w:t>157-189</w:t>
      </w:r>
      <w:r w:rsidRPr="004D7EB1">
        <w:rPr>
          <w:rFonts w:hint="eastAsia"/>
        </w:rPr>
        <w:t>。</w:t>
      </w:r>
    </w:p>
    <w:p w14:paraId="42550FC0" w14:textId="77777777" w:rsidR="004D7EB1" w:rsidRPr="004D7EB1" w:rsidRDefault="004D7EB1" w:rsidP="00D87D91">
      <w:r w:rsidRPr="004D7EB1">
        <w:rPr>
          <w:rFonts w:hint="eastAsia"/>
        </w:rPr>
        <w:t>◎賴農惟（</w:t>
      </w:r>
      <w:r w:rsidRPr="004D7EB1">
        <w:rPr>
          <w:rFonts w:hint="eastAsia"/>
        </w:rPr>
        <w:t>2012</w:t>
      </w:r>
      <w:r w:rsidRPr="004D7EB1">
        <w:rPr>
          <w:rFonts w:hint="eastAsia"/>
        </w:rPr>
        <w:t>），憲法與立國精神，第</w:t>
      </w:r>
      <w:r w:rsidRPr="004D7EB1">
        <w:rPr>
          <w:rFonts w:hint="eastAsia"/>
        </w:rPr>
        <w:t>(2)</w:t>
      </w:r>
      <w:r w:rsidRPr="004D7EB1">
        <w:rPr>
          <w:rFonts w:hint="eastAsia"/>
        </w:rPr>
        <w:t>版第</w:t>
      </w:r>
      <w:r w:rsidRPr="004D7EB1">
        <w:rPr>
          <w:rFonts w:hint="eastAsia"/>
        </w:rPr>
        <w:t>1</w:t>
      </w:r>
      <w:r w:rsidRPr="004D7EB1">
        <w:rPr>
          <w:rFonts w:hint="eastAsia"/>
        </w:rPr>
        <w:t>刷，台北：千華書店。</w:t>
      </w:r>
    </w:p>
    <w:p w14:paraId="544A1762" w14:textId="77777777" w:rsidR="004D7EB1" w:rsidRPr="004D7EB1" w:rsidRDefault="004D7EB1" w:rsidP="00D87D91">
      <w:r w:rsidRPr="004D7EB1">
        <w:rPr>
          <w:rFonts w:hint="eastAsia"/>
        </w:rPr>
        <w:t>◎謝立功</w:t>
      </w:r>
      <w:r w:rsidRPr="004D7EB1">
        <w:rPr>
          <w:rFonts w:hint="eastAsia"/>
        </w:rPr>
        <w:t>(2007)</w:t>
      </w:r>
      <w:r w:rsidRPr="004D7EB1">
        <w:rPr>
          <w:rFonts w:hint="eastAsia"/>
        </w:rPr>
        <w:t>，我國人口販運防制對策，收錄於臺北市法務部：刑事政策與犯罪研究論文集</w:t>
      </w:r>
      <w:r w:rsidRPr="004D7EB1">
        <w:rPr>
          <w:rFonts w:hint="eastAsia"/>
        </w:rPr>
        <w:t>(</w:t>
      </w:r>
      <w:r w:rsidRPr="004D7EB1">
        <w:rPr>
          <w:rFonts w:hint="eastAsia"/>
        </w:rPr>
        <w:t>十</w:t>
      </w:r>
      <w:r w:rsidRPr="004D7EB1">
        <w:rPr>
          <w:rFonts w:hint="eastAsia"/>
        </w:rPr>
        <w:t>)</w:t>
      </w:r>
      <w:r w:rsidR="00545D58">
        <w:rPr>
          <w:rFonts w:hint="eastAsia"/>
        </w:rPr>
        <w:t>。</w:t>
      </w:r>
    </w:p>
    <w:p w14:paraId="396FF440" w14:textId="77777777" w:rsidR="004D7EB1" w:rsidRPr="004D7EB1" w:rsidRDefault="004D7EB1" w:rsidP="00D87D91">
      <w:r w:rsidRPr="004D7EB1">
        <w:rPr>
          <w:rFonts w:hint="eastAsia"/>
        </w:rPr>
        <w:t>◎謝立功、柯雨瑞</w:t>
      </w:r>
      <w:r w:rsidRPr="004D7EB1">
        <w:rPr>
          <w:rFonts w:hint="eastAsia"/>
        </w:rPr>
        <w:t>(2006)</w:t>
      </w:r>
      <w:r w:rsidRPr="004D7EB1">
        <w:rPr>
          <w:rFonts w:hint="eastAsia"/>
        </w:rPr>
        <w:t>，入出國及移民法修正方向之探討</w:t>
      </w:r>
      <w:r w:rsidR="00D92F56">
        <w:rPr>
          <w:rFonts w:hint="eastAsia"/>
        </w:rPr>
        <w:t>〜</w:t>
      </w:r>
      <w:r w:rsidRPr="004D7EB1">
        <w:rPr>
          <w:rFonts w:hint="eastAsia"/>
        </w:rPr>
        <w:t>以外國人收容、救濟為核心，發表於</w:t>
      </w:r>
      <w:r w:rsidRPr="004D7EB1">
        <w:rPr>
          <w:rFonts w:hint="eastAsia"/>
        </w:rPr>
        <w:t>2006</w:t>
      </w:r>
      <w:r w:rsidRPr="004D7EB1">
        <w:rPr>
          <w:rFonts w:hint="eastAsia"/>
        </w:rPr>
        <w:t>年中央警察大學國境警察學系「國境執法與移民政策」學術研討會。</w:t>
      </w:r>
    </w:p>
    <w:p w14:paraId="16FA1970" w14:textId="77777777" w:rsidR="004D7EB1" w:rsidRPr="004D7EB1" w:rsidRDefault="004D7EB1" w:rsidP="00D87D91">
      <w:r w:rsidRPr="004D7EB1">
        <w:rPr>
          <w:rFonts w:hint="eastAsia"/>
        </w:rPr>
        <w:t>◎謝立功、柯雨瑞</w:t>
      </w:r>
      <w:r w:rsidRPr="004D7EB1">
        <w:rPr>
          <w:rFonts w:hint="eastAsia"/>
        </w:rPr>
        <w:t>(2007)</w:t>
      </w:r>
      <w:r w:rsidRPr="004D7EB1">
        <w:rPr>
          <w:rFonts w:hint="eastAsia"/>
        </w:rPr>
        <w:t>，台日兩國人口販運防治對策之比較，發表於</w:t>
      </w:r>
      <w:r w:rsidRPr="004D7EB1">
        <w:rPr>
          <w:rFonts w:hint="eastAsia"/>
        </w:rPr>
        <w:t>2007</w:t>
      </w:r>
      <w:r w:rsidRPr="004D7EB1">
        <w:rPr>
          <w:rFonts w:hint="eastAsia"/>
        </w:rPr>
        <w:t>年中央警察大學國境警察學系「國土安全、移民與海巡執法」學術研討會。</w:t>
      </w:r>
    </w:p>
    <w:p w14:paraId="13AE9D88" w14:textId="77777777" w:rsidR="004D7EB1" w:rsidRPr="004D7EB1" w:rsidRDefault="004D7EB1" w:rsidP="00D87D91">
      <w:r w:rsidRPr="004D7EB1">
        <w:rPr>
          <w:rFonts w:hint="eastAsia"/>
        </w:rPr>
        <w:t>◎謝立功、柯雨瑞</w:t>
      </w:r>
      <w:r w:rsidRPr="004D7EB1">
        <w:rPr>
          <w:rFonts w:hint="eastAsia"/>
        </w:rPr>
        <w:t>(2007)</w:t>
      </w:r>
      <w:r w:rsidRPr="004D7EB1">
        <w:rPr>
          <w:rFonts w:hint="eastAsia"/>
        </w:rPr>
        <w:t>，試論外國人之收容及救濟法制，警學叢刊</w:t>
      </w:r>
      <w:r w:rsidRPr="004D7EB1">
        <w:rPr>
          <w:rFonts w:hint="eastAsia"/>
        </w:rPr>
        <w:t>37</w:t>
      </w:r>
      <w:r w:rsidRPr="004D7EB1">
        <w:rPr>
          <w:rFonts w:hint="eastAsia"/>
        </w:rPr>
        <w:t>卷</w:t>
      </w:r>
      <w:r w:rsidRPr="004D7EB1">
        <w:rPr>
          <w:rFonts w:hint="eastAsia"/>
        </w:rPr>
        <w:t>4</w:t>
      </w:r>
      <w:r w:rsidRPr="004D7EB1">
        <w:rPr>
          <w:rFonts w:hint="eastAsia"/>
        </w:rPr>
        <w:t>期，頁</w:t>
      </w:r>
      <w:r w:rsidRPr="004D7EB1">
        <w:rPr>
          <w:rFonts w:hint="eastAsia"/>
        </w:rPr>
        <w:t>134-155</w:t>
      </w:r>
      <w:r w:rsidRPr="004D7EB1">
        <w:rPr>
          <w:rFonts w:hint="eastAsia"/>
        </w:rPr>
        <w:t>。</w:t>
      </w:r>
    </w:p>
    <w:p w14:paraId="2CDE1498" w14:textId="77777777" w:rsidR="004D7EB1" w:rsidRPr="004D7EB1" w:rsidRDefault="004D7EB1" w:rsidP="00D87D91">
      <w:r w:rsidRPr="004D7EB1">
        <w:rPr>
          <w:rFonts w:hint="eastAsia"/>
        </w:rPr>
        <w:t>◎謝立功、黃翠紋</w:t>
      </w:r>
      <w:r w:rsidRPr="004D7EB1">
        <w:rPr>
          <w:rFonts w:hint="eastAsia"/>
        </w:rPr>
        <w:t>(2004)</w:t>
      </w:r>
      <w:r w:rsidRPr="004D7EB1">
        <w:rPr>
          <w:rFonts w:hint="eastAsia"/>
        </w:rPr>
        <w:t>，大陸與外籍配偶移民政策與法制之探討，行政院國家科學委員會補助專題研究計畫成果報告，中央警察大學國境警察系執行。</w:t>
      </w:r>
    </w:p>
    <w:p w14:paraId="5EC8C8CF" w14:textId="77777777" w:rsidR="004D7EB1" w:rsidRPr="004D7EB1" w:rsidRDefault="004D7EB1" w:rsidP="00D87D91">
      <w:r w:rsidRPr="004D7EB1">
        <w:rPr>
          <w:rFonts w:hint="eastAsia"/>
        </w:rPr>
        <w:t>◎謝青志</w:t>
      </w:r>
      <w:r w:rsidRPr="004D7EB1">
        <w:rPr>
          <w:rFonts w:hint="eastAsia"/>
        </w:rPr>
        <w:t>(1991)</w:t>
      </w:r>
      <w:r w:rsidRPr="004D7EB1">
        <w:rPr>
          <w:rFonts w:hint="eastAsia"/>
        </w:rPr>
        <w:t>，外籍勞工對勞動市場影響之研究，中國文化大學勞工研究所碩士論文，頁</w:t>
      </w:r>
      <w:r w:rsidRPr="004D7EB1">
        <w:rPr>
          <w:rFonts w:hint="eastAsia"/>
        </w:rPr>
        <w:t>61</w:t>
      </w:r>
      <w:r w:rsidRPr="004D7EB1">
        <w:rPr>
          <w:rFonts w:hint="eastAsia"/>
        </w:rPr>
        <w:t>至</w:t>
      </w:r>
      <w:r w:rsidRPr="004D7EB1">
        <w:rPr>
          <w:rFonts w:hint="eastAsia"/>
        </w:rPr>
        <w:t>84</w:t>
      </w:r>
      <w:r w:rsidRPr="004D7EB1">
        <w:rPr>
          <w:rFonts w:hint="eastAsia"/>
        </w:rPr>
        <w:t>。</w:t>
      </w:r>
    </w:p>
    <w:p w14:paraId="57CC92E0" w14:textId="77777777" w:rsidR="004D7EB1" w:rsidRPr="004D7EB1" w:rsidRDefault="004D7EB1" w:rsidP="00D87D91">
      <w:r w:rsidRPr="004D7EB1">
        <w:rPr>
          <w:rFonts w:hint="eastAsia"/>
        </w:rPr>
        <w:t>◎謝瑞智</w:t>
      </w:r>
      <w:r w:rsidRPr="004D7EB1">
        <w:rPr>
          <w:rFonts w:hint="eastAsia"/>
        </w:rPr>
        <w:t>(1996)</w:t>
      </w:r>
      <w:r w:rsidRPr="004D7EB1">
        <w:rPr>
          <w:rFonts w:hint="eastAsia"/>
        </w:rPr>
        <w:t>，中華民國憲法精義與立國精神，文笙書局，頁</w:t>
      </w:r>
      <w:r w:rsidRPr="004D7EB1">
        <w:rPr>
          <w:rFonts w:hint="eastAsia"/>
        </w:rPr>
        <w:t>115-116</w:t>
      </w:r>
      <w:r w:rsidR="00545D58">
        <w:rPr>
          <w:rFonts w:hint="eastAsia"/>
        </w:rPr>
        <w:t>。</w:t>
      </w:r>
    </w:p>
    <w:p w14:paraId="5E2B87DF" w14:textId="77777777" w:rsidR="004D7EB1" w:rsidRPr="004D7EB1" w:rsidRDefault="004D7EB1" w:rsidP="00D87D91">
      <w:r w:rsidRPr="004D7EB1">
        <w:rPr>
          <w:rFonts w:hint="eastAsia"/>
        </w:rPr>
        <w:t>◎謝瑞智</w:t>
      </w:r>
      <w:r w:rsidRPr="004D7EB1">
        <w:rPr>
          <w:rFonts w:hint="eastAsia"/>
        </w:rPr>
        <w:t>(1999)</w:t>
      </w:r>
      <w:r w:rsidRPr="004D7EB1">
        <w:rPr>
          <w:rFonts w:hint="eastAsia"/>
        </w:rPr>
        <w:t>，憲法新論，臺北市：文笙書局，頁</w:t>
      </w:r>
      <w:r w:rsidRPr="004D7EB1">
        <w:rPr>
          <w:rFonts w:hint="eastAsia"/>
        </w:rPr>
        <w:t>155</w:t>
      </w:r>
      <w:r w:rsidR="00545D58">
        <w:rPr>
          <w:rFonts w:hint="eastAsia"/>
        </w:rPr>
        <w:t>。</w:t>
      </w:r>
    </w:p>
    <w:p w14:paraId="47085073" w14:textId="77777777" w:rsidR="004D7EB1" w:rsidRPr="004D7EB1" w:rsidRDefault="004D7EB1" w:rsidP="00D87D91">
      <w:r w:rsidRPr="004D7EB1">
        <w:rPr>
          <w:rFonts w:hint="eastAsia"/>
        </w:rPr>
        <w:t>◎謝瑞智</w:t>
      </w:r>
      <w:r w:rsidRPr="004D7EB1">
        <w:rPr>
          <w:rFonts w:hint="eastAsia"/>
        </w:rPr>
        <w:t>(2005)</w:t>
      </w:r>
      <w:r w:rsidRPr="004D7EB1">
        <w:rPr>
          <w:rFonts w:hint="eastAsia"/>
        </w:rPr>
        <w:t>，憲法概要，文笙書局，頁</w:t>
      </w:r>
      <w:r w:rsidRPr="004D7EB1">
        <w:rPr>
          <w:rFonts w:hint="eastAsia"/>
        </w:rPr>
        <w:t>85-86</w:t>
      </w:r>
      <w:r w:rsidRPr="004D7EB1">
        <w:rPr>
          <w:rFonts w:hint="eastAsia"/>
        </w:rPr>
        <w:t>。</w:t>
      </w:r>
    </w:p>
    <w:p w14:paraId="25032ED6" w14:textId="77777777" w:rsidR="004D7EB1" w:rsidRPr="004D7EB1" w:rsidRDefault="004D7EB1" w:rsidP="00D87D91">
      <w:r w:rsidRPr="004D7EB1">
        <w:rPr>
          <w:rFonts w:hint="eastAsia"/>
        </w:rPr>
        <w:t>◎謝瑞智</w:t>
      </w:r>
      <w:r w:rsidRPr="004D7EB1">
        <w:rPr>
          <w:rFonts w:hint="eastAsia"/>
        </w:rPr>
        <w:t>(2009)</w:t>
      </w:r>
      <w:r w:rsidRPr="004D7EB1">
        <w:rPr>
          <w:rFonts w:hint="eastAsia"/>
        </w:rPr>
        <w:t>，憲法概要，增訂</w:t>
      </w:r>
      <w:r w:rsidRPr="004D7EB1">
        <w:rPr>
          <w:rFonts w:hint="eastAsia"/>
        </w:rPr>
        <w:t>13</w:t>
      </w:r>
      <w:r w:rsidRPr="004D7EB1">
        <w:rPr>
          <w:rFonts w:hint="eastAsia"/>
        </w:rPr>
        <w:t>版，臺北市：文笙，頁</w:t>
      </w:r>
      <w:r w:rsidRPr="004D7EB1">
        <w:rPr>
          <w:rFonts w:hint="eastAsia"/>
        </w:rPr>
        <w:t>1-309</w:t>
      </w:r>
      <w:r w:rsidRPr="004D7EB1">
        <w:rPr>
          <w:rFonts w:hint="eastAsia"/>
        </w:rPr>
        <w:t>。</w:t>
      </w:r>
    </w:p>
    <w:p w14:paraId="0628802B" w14:textId="77777777" w:rsidR="004D7EB1" w:rsidRPr="004D7EB1" w:rsidRDefault="004D7EB1" w:rsidP="00D87D91">
      <w:r w:rsidRPr="004D7EB1">
        <w:rPr>
          <w:rFonts w:hint="eastAsia"/>
        </w:rPr>
        <w:t>◎謝瑞智（</w:t>
      </w:r>
      <w:r w:rsidRPr="004D7EB1">
        <w:rPr>
          <w:rFonts w:hint="eastAsia"/>
        </w:rPr>
        <w:t>2010</w:t>
      </w:r>
      <w:r w:rsidRPr="004D7EB1">
        <w:rPr>
          <w:rFonts w:hint="eastAsia"/>
        </w:rPr>
        <w:t>），憲法概要，增訂</w:t>
      </w:r>
      <w:r w:rsidRPr="004D7EB1">
        <w:rPr>
          <w:rFonts w:hint="eastAsia"/>
        </w:rPr>
        <w:t>14</w:t>
      </w:r>
      <w:r w:rsidRPr="004D7EB1">
        <w:rPr>
          <w:rFonts w:hint="eastAsia"/>
        </w:rPr>
        <w:t>版，台北：文笙書局。</w:t>
      </w:r>
    </w:p>
    <w:p w14:paraId="5AC99C7B" w14:textId="77777777" w:rsidR="004D7EB1" w:rsidRPr="004D7EB1" w:rsidRDefault="004D7EB1" w:rsidP="00D87D91">
      <w:r w:rsidRPr="004D7EB1">
        <w:rPr>
          <w:rFonts w:hint="eastAsia"/>
        </w:rPr>
        <w:t>◎謝瑞智、謝世雄（</w:t>
      </w:r>
      <w:r w:rsidRPr="004D7EB1">
        <w:rPr>
          <w:rFonts w:hint="eastAsia"/>
        </w:rPr>
        <w:t>2007</w:t>
      </w:r>
      <w:r w:rsidRPr="004D7EB1">
        <w:rPr>
          <w:rFonts w:hint="eastAsia"/>
        </w:rPr>
        <w:t>），中華民國憲法精義與立國精神，台北市：文笙書局。</w:t>
      </w:r>
    </w:p>
    <w:p w14:paraId="0384F0A1" w14:textId="77777777" w:rsidR="004D7EB1" w:rsidRPr="004D7EB1" w:rsidRDefault="004D7EB1" w:rsidP="00D87D91">
      <w:r w:rsidRPr="004D7EB1">
        <w:rPr>
          <w:rFonts w:hint="eastAsia"/>
        </w:rPr>
        <w:t>◎謝瑞智</w:t>
      </w:r>
      <w:r w:rsidRPr="004D7EB1">
        <w:rPr>
          <w:rFonts w:hint="eastAsia"/>
        </w:rPr>
        <w:t>(2009</w:t>
      </w:r>
      <w:r w:rsidRPr="004D7EB1">
        <w:rPr>
          <w:rFonts w:hint="eastAsia"/>
        </w:rPr>
        <w:t>），中華民國憲法，初版，台北市：台灣商務書局。</w:t>
      </w:r>
    </w:p>
    <w:p w14:paraId="1E101114" w14:textId="77777777" w:rsidR="004D7EB1" w:rsidRPr="004D7EB1" w:rsidRDefault="004D7EB1" w:rsidP="00D87D91">
      <w:r w:rsidRPr="004D7EB1">
        <w:rPr>
          <w:rFonts w:hint="eastAsia"/>
        </w:rPr>
        <w:t>◎魏靜芬</w:t>
      </w:r>
      <w:r w:rsidRPr="004D7EB1">
        <w:rPr>
          <w:rFonts w:hint="eastAsia"/>
        </w:rPr>
        <w:t>(2011)</w:t>
      </w:r>
      <w:r w:rsidRPr="004D7EB1">
        <w:rPr>
          <w:rFonts w:hint="eastAsia"/>
        </w:rPr>
        <w:t>，國際法，初版</w:t>
      </w:r>
      <w:r w:rsidRPr="004D7EB1">
        <w:rPr>
          <w:rFonts w:hint="eastAsia"/>
        </w:rPr>
        <w:t>1</w:t>
      </w:r>
      <w:r w:rsidRPr="004D7EB1">
        <w:rPr>
          <w:rFonts w:hint="eastAsia"/>
        </w:rPr>
        <w:t>刷，臺北：五南，頁</w:t>
      </w:r>
      <w:r w:rsidRPr="004D7EB1">
        <w:rPr>
          <w:rFonts w:hint="eastAsia"/>
        </w:rPr>
        <w:t>1-266</w:t>
      </w:r>
      <w:r w:rsidRPr="004D7EB1">
        <w:rPr>
          <w:rFonts w:hint="eastAsia"/>
        </w:rPr>
        <w:t>。</w:t>
      </w:r>
    </w:p>
    <w:p w14:paraId="696BF5C5" w14:textId="77777777" w:rsidR="004D7EB1" w:rsidRPr="004D7EB1" w:rsidRDefault="004D7EB1" w:rsidP="00D87D91">
      <w:r w:rsidRPr="004D7EB1">
        <w:rPr>
          <w:rFonts w:hint="eastAsia"/>
        </w:rPr>
        <w:t>◎蘇秀義編著</w:t>
      </w:r>
      <w:r w:rsidRPr="004D7EB1">
        <w:rPr>
          <w:rFonts w:hint="eastAsia"/>
        </w:rPr>
        <w:t>(1989)</w:t>
      </w:r>
      <w:r w:rsidRPr="004D7EB1">
        <w:rPr>
          <w:rFonts w:hint="eastAsia"/>
        </w:rPr>
        <w:t>，新加坡外籍勞工管理暨就業服務考察報告，臺北：職業訓練局，行政院勞委會職業訓練局叢書，頁</w:t>
      </w:r>
      <w:r w:rsidRPr="004D7EB1">
        <w:rPr>
          <w:rFonts w:hint="eastAsia"/>
        </w:rPr>
        <w:t>10</w:t>
      </w:r>
      <w:r w:rsidRPr="004D7EB1">
        <w:rPr>
          <w:rFonts w:hint="eastAsia"/>
        </w:rPr>
        <w:t>至</w:t>
      </w:r>
      <w:r w:rsidRPr="004D7EB1">
        <w:rPr>
          <w:rFonts w:hint="eastAsia"/>
        </w:rPr>
        <w:t>51</w:t>
      </w:r>
      <w:r w:rsidRPr="004D7EB1">
        <w:rPr>
          <w:rFonts w:hint="eastAsia"/>
        </w:rPr>
        <w:t>。</w:t>
      </w:r>
    </w:p>
    <w:p w14:paraId="6DC067AC" w14:textId="77777777" w:rsidR="004D7EB1" w:rsidRPr="004D7EB1" w:rsidRDefault="004D7EB1" w:rsidP="00D87D91">
      <w:r w:rsidRPr="004D7EB1">
        <w:rPr>
          <w:rFonts w:hint="eastAsia"/>
        </w:rPr>
        <w:t>◎蘇景輝</w:t>
      </w:r>
      <w:r w:rsidRPr="004D7EB1">
        <w:rPr>
          <w:rFonts w:hint="eastAsia"/>
        </w:rPr>
        <w:t>(2010)</w:t>
      </w:r>
      <w:r w:rsidRPr="004D7EB1">
        <w:rPr>
          <w:rFonts w:hint="eastAsia"/>
        </w:rPr>
        <w:t>，弱勢者人權與社會工作，初版，臺北巿：巨流，頁</w:t>
      </w:r>
      <w:r w:rsidRPr="004D7EB1">
        <w:rPr>
          <w:rFonts w:hint="eastAsia"/>
        </w:rPr>
        <w:t>3-113</w:t>
      </w:r>
      <w:r w:rsidRPr="004D7EB1">
        <w:rPr>
          <w:rFonts w:hint="eastAsia"/>
        </w:rPr>
        <w:t>。</w:t>
      </w:r>
    </w:p>
    <w:p w14:paraId="09561AEA" w14:textId="77777777" w:rsidR="004D7EB1" w:rsidRPr="004D7EB1" w:rsidRDefault="004D7EB1" w:rsidP="00D87D91">
      <w:r w:rsidRPr="004D7EB1">
        <w:rPr>
          <w:rFonts w:hint="eastAsia"/>
        </w:rPr>
        <w:t>◎蘇嘉宏</w:t>
      </w:r>
      <w:r w:rsidRPr="004D7EB1">
        <w:rPr>
          <w:rFonts w:hint="eastAsia"/>
        </w:rPr>
        <w:t>(2007)</w:t>
      </w:r>
      <w:r w:rsidRPr="004D7EB1">
        <w:rPr>
          <w:rFonts w:hint="eastAsia"/>
        </w:rPr>
        <w:t>，增修中華民國憲法要義，</w:t>
      </w:r>
      <w:r w:rsidRPr="004D7EB1">
        <w:rPr>
          <w:rFonts w:hint="eastAsia"/>
        </w:rPr>
        <w:t>5</w:t>
      </w:r>
      <w:r w:rsidRPr="004D7EB1">
        <w:rPr>
          <w:rFonts w:hint="eastAsia"/>
        </w:rPr>
        <w:t>版，臺北市：台灣東華，頁</w:t>
      </w:r>
      <w:r w:rsidRPr="004D7EB1">
        <w:rPr>
          <w:rFonts w:hint="eastAsia"/>
        </w:rPr>
        <w:t>1-356</w:t>
      </w:r>
      <w:r w:rsidRPr="004D7EB1">
        <w:rPr>
          <w:rFonts w:hint="eastAsia"/>
        </w:rPr>
        <w:t>。</w:t>
      </w:r>
    </w:p>
    <w:p w14:paraId="47532600" w14:textId="77777777" w:rsidR="004D7EB1" w:rsidRPr="004D7EB1" w:rsidRDefault="004D7EB1" w:rsidP="00D87D91">
      <w:r w:rsidRPr="004D7EB1">
        <w:rPr>
          <w:rFonts w:hint="eastAsia"/>
        </w:rPr>
        <w:t>◎蘇麗嬌</w:t>
      </w:r>
      <w:r w:rsidRPr="004D7EB1">
        <w:rPr>
          <w:rFonts w:hint="eastAsia"/>
        </w:rPr>
        <w:t>(2000)</w:t>
      </w:r>
      <w:r w:rsidRPr="004D7EB1">
        <w:rPr>
          <w:rFonts w:hint="eastAsia"/>
        </w:rPr>
        <w:t>，在台外國人工作及其相關權利之研究，中央警察大學行政警察研究所碩士論文，頁</w:t>
      </w:r>
      <w:r w:rsidRPr="004D7EB1">
        <w:rPr>
          <w:rFonts w:hint="eastAsia"/>
        </w:rPr>
        <w:t>103-107</w:t>
      </w:r>
      <w:r w:rsidRPr="004D7EB1">
        <w:rPr>
          <w:rFonts w:hint="eastAsia"/>
        </w:rPr>
        <w:t>。</w:t>
      </w:r>
    </w:p>
    <w:p w14:paraId="5BE5A12B" w14:textId="77777777" w:rsidR="00203F72" w:rsidRDefault="004D7EB1" w:rsidP="00D87D91">
      <w:r w:rsidRPr="004D7EB1">
        <w:rPr>
          <w:rFonts w:hint="eastAsia"/>
        </w:rPr>
        <w:t>◎龔文廣</w:t>
      </w:r>
      <w:r w:rsidRPr="004D7EB1">
        <w:rPr>
          <w:rFonts w:hint="eastAsia"/>
        </w:rPr>
        <w:t>(1994)</w:t>
      </w:r>
      <w:r w:rsidRPr="004D7EB1">
        <w:rPr>
          <w:rFonts w:hint="eastAsia"/>
        </w:rPr>
        <w:t>，論我國外籍勞工之聘僱與管理，中央警察大學外事警察學術研討會論文，第</w:t>
      </w:r>
      <w:r w:rsidRPr="004D7EB1">
        <w:rPr>
          <w:rFonts w:hint="eastAsia"/>
        </w:rPr>
        <w:t>5</w:t>
      </w:r>
      <w:r w:rsidRPr="004D7EB1">
        <w:rPr>
          <w:rFonts w:hint="eastAsia"/>
        </w:rPr>
        <w:t>頁。</w:t>
      </w:r>
    </w:p>
    <w:p w14:paraId="1364E04A" w14:textId="77777777" w:rsidR="00A360B5" w:rsidRDefault="00A360B5" w:rsidP="00670577">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1FFD3F6A" w14:textId="77777777" w:rsidR="00A360B5" w:rsidRPr="00A53581" w:rsidRDefault="00A360B5" w:rsidP="00D87D91"/>
    <w:p w14:paraId="517698C1" w14:textId="77777777" w:rsidR="00953151" w:rsidRDefault="00203F72" w:rsidP="00767F37">
      <w:pPr>
        <w:pStyle w:val="2"/>
      </w:pPr>
      <w:bookmarkStart w:id="172" w:name="_英文參考文獻"/>
      <w:bookmarkEnd w:id="172"/>
      <w:r w:rsidRPr="00A53581">
        <w:t>英文參考文獻</w:t>
      </w:r>
    </w:p>
    <w:p w14:paraId="4DCEF662"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Barry,R.Chiswick.(1988). </w:t>
      </w:r>
      <w:r w:rsidRPr="00991D7A">
        <w:rPr>
          <w:rFonts w:hint="eastAsia"/>
          <w:lang w:eastAsia="ja-JP"/>
        </w:rPr>
        <w:t>“</w:t>
      </w:r>
      <w:r w:rsidRPr="00991D7A">
        <w:rPr>
          <w:rFonts w:hint="eastAsia"/>
          <w:lang w:eastAsia="ja-JP"/>
        </w:rPr>
        <w:t>IllegalImmigration and Immigration Control</w:t>
      </w:r>
      <w:r w:rsidRPr="00991D7A">
        <w:rPr>
          <w:rFonts w:hint="eastAsia"/>
          <w:lang w:eastAsia="ja-JP"/>
        </w:rPr>
        <w:t>”</w:t>
      </w:r>
      <w:r w:rsidRPr="00991D7A">
        <w:rPr>
          <w:rFonts w:hint="eastAsia"/>
          <w:lang w:eastAsia="ja-JP"/>
        </w:rPr>
        <w:t>, JournalofEconomicPerspectives,2(3) : 101-115</w:t>
      </w:r>
      <w:r w:rsidRPr="00991D7A">
        <w:rPr>
          <w:rFonts w:hint="eastAsia"/>
          <w:lang w:eastAsia="ja-JP"/>
        </w:rPr>
        <w:t>。</w:t>
      </w:r>
    </w:p>
    <w:p w14:paraId="17CEF861"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Barry,R.Chiswick. (1984). </w:t>
      </w:r>
      <w:r w:rsidRPr="00991D7A">
        <w:rPr>
          <w:rFonts w:hint="eastAsia"/>
          <w:lang w:eastAsia="ja-JP"/>
        </w:rPr>
        <w:t>“</w:t>
      </w:r>
      <w:r w:rsidRPr="00991D7A">
        <w:rPr>
          <w:rFonts w:hint="eastAsia"/>
          <w:lang w:eastAsia="ja-JP"/>
        </w:rPr>
        <w:t>IllegalAliensintheUnitedStates LaborMarket : AnAnalysis of Occupational Attainment andEarrings</w:t>
      </w:r>
      <w:r w:rsidRPr="00991D7A">
        <w:rPr>
          <w:rFonts w:hint="eastAsia"/>
          <w:lang w:eastAsia="ja-JP"/>
        </w:rPr>
        <w:t>”</w:t>
      </w:r>
      <w:r w:rsidRPr="00991D7A">
        <w:rPr>
          <w:rFonts w:hint="eastAsia"/>
          <w:lang w:eastAsia="ja-JP"/>
        </w:rPr>
        <w:t>, InternationalMigrationReview, 18(3):714-732</w:t>
      </w:r>
      <w:r w:rsidRPr="00991D7A">
        <w:rPr>
          <w:rFonts w:hint="eastAsia"/>
          <w:lang w:eastAsia="ja-JP"/>
        </w:rPr>
        <w:t>。</w:t>
      </w:r>
    </w:p>
    <w:p w14:paraId="7A1B4E7E"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Barry,R.Chiswick. (1987). </w:t>
      </w:r>
      <w:r w:rsidRPr="00991D7A">
        <w:rPr>
          <w:rFonts w:hint="eastAsia"/>
          <w:lang w:eastAsia="ja-JP"/>
        </w:rPr>
        <w:t>“</w:t>
      </w:r>
      <w:r w:rsidRPr="00991D7A">
        <w:rPr>
          <w:rFonts w:hint="eastAsia"/>
          <w:lang w:eastAsia="ja-JP"/>
        </w:rPr>
        <w:t>TheImmigrationReformandControlAct of 1986</w:t>
      </w:r>
      <w:r w:rsidRPr="00991D7A">
        <w:rPr>
          <w:rFonts w:hint="eastAsia"/>
          <w:lang w:eastAsia="ja-JP"/>
        </w:rPr>
        <w:t>”</w:t>
      </w:r>
      <w:r w:rsidRPr="00991D7A">
        <w:rPr>
          <w:rFonts w:hint="eastAsia"/>
          <w:lang w:eastAsia="ja-JP"/>
        </w:rPr>
        <w:t xml:space="preserve">, Seein : </w:t>
      </w:r>
      <w:r w:rsidRPr="00991D7A">
        <w:rPr>
          <w:rFonts w:hint="eastAsia"/>
          <w:lang w:eastAsia="ja-JP"/>
        </w:rPr>
        <w:t>“</w:t>
      </w:r>
      <w:r w:rsidRPr="00991D7A">
        <w:rPr>
          <w:rFonts w:hint="eastAsia"/>
          <w:lang w:eastAsia="ja-JP"/>
        </w:rPr>
        <w:t>IndustrialRelationsResearchAssociation Series</w:t>
      </w:r>
      <w:r w:rsidRPr="00991D7A">
        <w:rPr>
          <w:rFonts w:hint="eastAsia"/>
          <w:lang w:eastAsia="ja-JP"/>
        </w:rPr>
        <w:t>”</w:t>
      </w:r>
      <w:r w:rsidRPr="00991D7A">
        <w:rPr>
          <w:rFonts w:hint="eastAsia"/>
          <w:lang w:eastAsia="ja-JP"/>
        </w:rPr>
        <w:t xml:space="preserve">,byProceedingoftheForthAnnualWinterMeeting, Dec.28-29,SanFrancisco </w:t>
      </w:r>
      <w:r w:rsidRPr="00991D7A">
        <w:rPr>
          <w:rFonts w:hint="eastAsia"/>
          <w:lang w:eastAsia="ja-JP"/>
        </w:rPr>
        <w:t>。</w:t>
      </w:r>
    </w:p>
    <w:p w14:paraId="049F2CE4"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Bayer, R., &amp; G. M. Oppenheimer (eds.). (1993). Confronting Drug Policy</w:t>
      </w:r>
      <w:r w:rsidRPr="00991D7A">
        <w:rPr>
          <w:rFonts w:hint="eastAsia"/>
          <w:lang w:eastAsia="ja-JP"/>
        </w:rPr>
        <w:t>—</w:t>
      </w:r>
      <w:r w:rsidRPr="00991D7A">
        <w:rPr>
          <w:rFonts w:hint="eastAsia"/>
          <w:lang w:eastAsia="ja-JP"/>
        </w:rPr>
        <w:t>Illicit Drugs in a Free Society. New York : the University of Cambridge, p1-23.</w:t>
      </w:r>
    </w:p>
    <w:p w14:paraId="6989D6B5"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Braithwaite, J. (1998). Restorative Justice. In M. Tonry(Ed.), The Handbook of Crime and Punishment. Oxford: Oxford University Press.</w:t>
      </w:r>
    </w:p>
    <w:p w14:paraId="67FEBA37"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Braithwaite, J. (2002). Restorative Justice and Responsive Regulation. USA: Oxford University Press.</w:t>
      </w:r>
    </w:p>
    <w:p w14:paraId="323AAF5E"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Briggs,VernonM. Jr(1986). </w:t>
      </w:r>
      <w:r w:rsidRPr="00991D7A">
        <w:rPr>
          <w:rFonts w:hint="eastAsia"/>
          <w:lang w:eastAsia="ja-JP"/>
        </w:rPr>
        <w:t>“</w:t>
      </w:r>
      <w:r w:rsidRPr="00991D7A">
        <w:rPr>
          <w:rFonts w:hint="eastAsia"/>
          <w:lang w:eastAsia="ja-JP"/>
        </w:rPr>
        <w:t>TheAlbatrossofImmigrationReform : TemporyWorkerPolicyintheUnitedStates</w:t>
      </w:r>
      <w:r w:rsidRPr="00991D7A">
        <w:rPr>
          <w:rFonts w:hint="eastAsia"/>
          <w:lang w:eastAsia="ja-JP"/>
        </w:rPr>
        <w:t>”</w:t>
      </w:r>
      <w:r w:rsidRPr="00991D7A">
        <w:rPr>
          <w:rFonts w:hint="eastAsia"/>
          <w:lang w:eastAsia="ja-JP"/>
        </w:rPr>
        <w:t>,InternationalMigration Review,20(4) : 995-1019</w:t>
      </w:r>
      <w:r w:rsidRPr="00991D7A">
        <w:rPr>
          <w:rFonts w:hint="eastAsia"/>
          <w:lang w:eastAsia="ja-JP"/>
        </w:rPr>
        <w:t>。</w:t>
      </w:r>
    </w:p>
    <w:p w14:paraId="10666565"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Briggs,VernonM.Jr (1975). </w:t>
      </w:r>
      <w:r w:rsidRPr="00991D7A">
        <w:rPr>
          <w:rFonts w:hint="eastAsia"/>
          <w:lang w:eastAsia="ja-JP"/>
        </w:rPr>
        <w:t>“</w:t>
      </w:r>
      <w:r w:rsidRPr="00991D7A">
        <w:rPr>
          <w:rFonts w:hint="eastAsia"/>
          <w:lang w:eastAsia="ja-JP"/>
        </w:rPr>
        <w:t>MexicanWorkersintheUnitedStates LaborMarket : AContemporaryDilemma</w:t>
      </w:r>
      <w:r w:rsidRPr="00991D7A">
        <w:rPr>
          <w:rFonts w:hint="eastAsia"/>
          <w:lang w:eastAsia="ja-JP"/>
        </w:rPr>
        <w:t>”</w:t>
      </w:r>
      <w:r w:rsidRPr="00991D7A">
        <w:rPr>
          <w:rFonts w:hint="eastAsia"/>
          <w:lang w:eastAsia="ja-JP"/>
        </w:rPr>
        <w:t>, InternationalLaborReview,112(5) : 351-368</w:t>
      </w:r>
      <w:r w:rsidRPr="00991D7A">
        <w:rPr>
          <w:rFonts w:hint="eastAsia"/>
          <w:lang w:eastAsia="ja-JP"/>
        </w:rPr>
        <w:t>。</w:t>
      </w:r>
    </w:p>
    <w:p w14:paraId="434C88AA"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Casteles,S.(1986).</w:t>
      </w:r>
      <w:r w:rsidRPr="00991D7A">
        <w:rPr>
          <w:rFonts w:hint="eastAsia"/>
          <w:lang w:eastAsia="ja-JP"/>
        </w:rPr>
        <w:t>“</w:t>
      </w:r>
      <w:r w:rsidRPr="00991D7A">
        <w:rPr>
          <w:rFonts w:hint="eastAsia"/>
          <w:lang w:eastAsia="ja-JP"/>
        </w:rPr>
        <w:t>TheGuestWorkersinWesternEurope</w:t>
      </w:r>
      <w:r w:rsidRPr="00991D7A">
        <w:rPr>
          <w:rFonts w:hint="eastAsia"/>
          <w:lang w:eastAsia="ja-JP"/>
        </w:rPr>
        <w:t>”</w:t>
      </w:r>
      <w:r w:rsidRPr="00991D7A">
        <w:rPr>
          <w:rFonts w:hint="eastAsia"/>
          <w:lang w:eastAsia="ja-JP"/>
        </w:rPr>
        <w:t>,InternationalMigrationReview,20(4):768-769</w:t>
      </w:r>
      <w:r w:rsidRPr="00991D7A">
        <w:rPr>
          <w:rFonts w:hint="eastAsia"/>
          <w:lang w:eastAsia="ja-JP"/>
        </w:rPr>
        <w:t>。</w:t>
      </w:r>
    </w:p>
    <w:p w14:paraId="6A23CBB4"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Courtwright, D. T. (1998). Should We Legalize Drugs? History Answer</w:t>
      </w:r>
      <w:r w:rsidR="00D92F56">
        <w:rPr>
          <w:rFonts w:hint="eastAsia"/>
          <w:lang w:eastAsia="ja-JP"/>
        </w:rPr>
        <w:t>〜</w:t>
      </w:r>
      <w:r w:rsidRPr="00991D7A">
        <w:rPr>
          <w:rFonts w:hint="eastAsia"/>
          <w:lang w:eastAsia="ja-JP"/>
        </w:rPr>
        <w:t>No. in Shaler, J. A. (Ed.), Drugs : Should We Legalize, Decriminalize, or Deregulate ? New York: Prometheus Books, pp. 83-90.</w:t>
      </w:r>
    </w:p>
    <w:p w14:paraId="7A4AB272"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Edye,D.(1987).ImmigrantLaborandGovernmertPolicy</w:t>
      </w:r>
      <w:r w:rsidR="00D92F56">
        <w:rPr>
          <w:rFonts w:hint="eastAsia"/>
          <w:lang w:eastAsia="ja-JP"/>
        </w:rPr>
        <w:t>〜</w:t>
      </w:r>
      <w:r w:rsidRPr="00991D7A">
        <w:rPr>
          <w:rFonts w:hint="eastAsia"/>
          <w:lang w:eastAsia="ja-JP"/>
        </w:rPr>
        <w:t xml:space="preserve"> TheCasesoftheFederalRepublicofGermanyandFrance, Gower PublishingCompany</w:t>
      </w:r>
      <w:r w:rsidRPr="00991D7A">
        <w:rPr>
          <w:rFonts w:hint="eastAsia"/>
          <w:lang w:eastAsia="ja-JP"/>
        </w:rPr>
        <w:t>。</w:t>
      </w:r>
    </w:p>
    <w:p w14:paraId="1EACBB7F"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Eldredge, D. C. (1998). Ending the War on Drugs: a Solution for America. New York: Bridgehampton. pp 146-147.</w:t>
      </w:r>
    </w:p>
    <w:p w14:paraId="63A1C92E"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Fischer, B. &amp; Allard, C. (2007). Feasibility Study on 'Supervised Drug Consumption Options' in the City of Victoria. Report delivered to the Vancouver Island Health Authority and the City of Victoria. </w:t>
      </w:r>
    </w:p>
    <w:p w14:paraId="50AFE5F1"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Fogel,Walter.(1977), </w:t>
      </w:r>
      <w:r w:rsidRPr="00991D7A">
        <w:rPr>
          <w:rFonts w:hint="eastAsia"/>
          <w:lang w:eastAsia="ja-JP"/>
        </w:rPr>
        <w:t>“</w:t>
      </w:r>
      <w:r w:rsidRPr="00991D7A">
        <w:rPr>
          <w:rFonts w:hint="eastAsia"/>
          <w:lang w:eastAsia="ja-JP"/>
        </w:rPr>
        <w:t>IllegalAlienWorkersintheUnitedStates</w:t>
      </w:r>
      <w:r w:rsidRPr="00991D7A">
        <w:rPr>
          <w:rFonts w:hint="eastAsia"/>
          <w:lang w:eastAsia="ja-JP"/>
        </w:rPr>
        <w:t>”</w:t>
      </w:r>
      <w:r w:rsidRPr="00991D7A">
        <w:rPr>
          <w:rFonts w:hint="eastAsia"/>
          <w:lang w:eastAsia="ja-JP"/>
        </w:rPr>
        <w:t>,IndustrialRelations,16(3) : 259-263</w:t>
      </w:r>
      <w:r w:rsidRPr="00991D7A">
        <w:rPr>
          <w:rFonts w:hint="eastAsia"/>
          <w:lang w:eastAsia="ja-JP"/>
        </w:rPr>
        <w:t>。</w:t>
      </w:r>
    </w:p>
    <w:p w14:paraId="07152E8A"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Friedman, M., &amp; Szasz, T. S. (1992). On Liberty and Drugs. Washington : the Drug Policy Foundation Press. pp 45-47. </w:t>
      </w:r>
    </w:p>
    <w:p w14:paraId="52A70B65"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George,J.Borjas.(1988). </w:t>
      </w:r>
      <w:r w:rsidRPr="00991D7A">
        <w:rPr>
          <w:rFonts w:hint="eastAsia"/>
          <w:lang w:eastAsia="ja-JP"/>
        </w:rPr>
        <w:t>「</w:t>
      </w:r>
      <w:r w:rsidRPr="00991D7A">
        <w:rPr>
          <w:rFonts w:hint="eastAsia"/>
          <w:lang w:eastAsia="ja-JP"/>
        </w:rPr>
        <w:t>InternationalDifferencesintheLabor MarketPerformanceofImmigrants</w:t>
      </w:r>
      <w:r w:rsidRPr="00991D7A">
        <w:rPr>
          <w:rFonts w:hint="eastAsia"/>
          <w:lang w:eastAsia="ja-JP"/>
        </w:rPr>
        <w:t>」</w:t>
      </w:r>
      <w:r w:rsidRPr="00991D7A">
        <w:rPr>
          <w:rFonts w:hint="eastAsia"/>
          <w:lang w:eastAsia="ja-JP"/>
        </w:rPr>
        <w:t>, (California : Universityof California,SantaBarbaraPress)</w:t>
      </w:r>
      <w:r w:rsidR="00545D58">
        <w:rPr>
          <w:rFonts w:hint="eastAsia"/>
          <w:lang w:eastAsia="ja-JP"/>
        </w:rPr>
        <w:t>。</w:t>
      </w:r>
    </w:p>
    <w:p w14:paraId="6D6D026C"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Health Canada. (2008). Final Report of the Vancouver Insite Expert Advisory Committee. </w:t>
      </w:r>
    </w:p>
    <w:p w14:paraId="0A02D62F"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I.C.J.(1970). I.C.J. Reports 1970, p.35. Barcelona Traction, Light and Power Company Limited (Belgium v. Spain).</w:t>
      </w:r>
    </w:p>
    <w:p w14:paraId="29DF80BF"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I.C.J.(2010). I.C.J. Reports 2010. Ahmadou Sadio Diallo (Guinea v. Congo).</w:t>
      </w:r>
    </w:p>
    <w:p w14:paraId="7E5AF7A6"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Inciardi, J. A. (1992). The War on Drugs II: The Continuing Epic of Heroin, Cocaine, Crack, Crime, AIDS, and Public Policy. Mountain View, CA: Mayfield.</w:t>
      </w:r>
    </w:p>
    <w:p w14:paraId="02DB9A76"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Inciardi, J. A. (1999). The Drug Legalization Debate (Second Ed.). California : Sage Publication Inc.</w:t>
      </w:r>
    </w:p>
    <w:p w14:paraId="3DC15DC9"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Independent Working Group . (2006). The Report of the Independent Working Group on Drug Consumption Rooms. United Kingdom: Joseph Rowntree Foundation.</w:t>
      </w:r>
    </w:p>
    <w:p w14:paraId="3E37B559"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Kimber, J., Dolan, K., &amp; Wodak, A. (2005). Survey of drug consumption rooms: Service delivery and perceived public health and amenity impact. Drug and Alcohol Review, 24: 21-24.</w:t>
      </w:r>
    </w:p>
    <w:p w14:paraId="7A34F331"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Korea. Ministry of Gender Equality(2003). Korean Government's Role in Preventing Transnational Trafficking in Persons </w:t>
      </w:r>
      <w:r w:rsidR="00D92F56">
        <w:rPr>
          <w:rFonts w:hint="eastAsia"/>
          <w:lang w:eastAsia="ja-JP"/>
        </w:rPr>
        <w:t>〜</w:t>
      </w:r>
      <w:r w:rsidRPr="00991D7A">
        <w:rPr>
          <w:rFonts w:hint="eastAsia"/>
          <w:lang w:eastAsia="ja-JP"/>
        </w:rPr>
        <w:t xml:space="preserve"> Focusing on Trafficking in Women, pp12-24.</w:t>
      </w:r>
    </w:p>
    <w:p w14:paraId="5C62932A"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Luan, R., Liang, B., Yuang, P., Li, F., Huang, Y., Zeng, G., Wang, L., &amp; Wang, S. (2005). A Study on the Capture-Recapture Method for Estimaing the Population Size of Injecting Drug Users in Southwest China, Journal of Health Science, 51(4): 405-409.</w:t>
      </w:r>
    </w:p>
    <w:p w14:paraId="4CB48F8B"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Maurice Kamto (2011). Seventh report on the expulsion of aliens (A/CN. 4/625), Geneva</w:t>
      </w:r>
      <w:r w:rsidRPr="00991D7A">
        <w:rPr>
          <w:rFonts w:hint="eastAsia"/>
          <w:lang w:eastAsia="ja-JP"/>
        </w:rPr>
        <w:t>：</w:t>
      </w:r>
      <w:r w:rsidRPr="00991D7A">
        <w:rPr>
          <w:rFonts w:hint="eastAsia"/>
          <w:lang w:eastAsia="ja-JP"/>
        </w:rPr>
        <w:t>UN International Law Commission, pp1-16.</w:t>
      </w:r>
    </w:p>
    <w:p w14:paraId="45F3A6CE"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Miller, Mark. J. (1981). </w:t>
      </w:r>
      <w:r w:rsidRPr="00991D7A">
        <w:rPr>
          <w:rFonts w:hint="eastAsia"/>
          <w:lang w:eastAsia="ja-JP"/>
        </w:rPr>
        <w:t>「</w:t>
      </w:r>
      <w:r w:rsidRPr="00991D7A">
        <w:rPr>
          <w:rFonts w:hint="eastAsia"/>
          <w:lang w:eastAsia="ja-JP"/>
        </w:rPr>
        <w:t xml:space="preserve">ForeignWorkersinWesternEurope : An EmergingPoliticalForce </w:t>
      </w:r>
      <w:r w:rsidRPr="00991D7A">
        <w:rPr>
          <w:rFonts w:hint="eastAsia"/>
          <w:lang w:eastAsia="ja-JP"/>
        </w:rPr>
        <w:t>」</w:t>
      </w:r>
      <w:r w:rsidRPr="00991D7A">
        <w:rPr>
          <w:rFonts w:hint="eastAsia"/>
          <w:lang w:eastAsia="ja-JP"/>
        </w:rPr>
        <w:t>,(NY : Praeger)</w:t>
      </w:r>
      <w:r w:rsidRPr="00991D7A">
        <w:rPr>
          <w:rFonts w:hint="eastAsia"/>
          <w:lang w:eastAsia="ja-JP"/>
        </w:rPr>
        <w:t>。</w:t>
      </w:r>
    </w:p>
    <w:p w14:paraId="2F530879"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Packer, H. (1964). The Limits of Criminal Sanctions. USA :Stanford University Press.</w:t>
      </w:r>
    </w:p>
    <w:p w14:paraId="1F78E96B"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Pang, Eng&amp;Lim,Linda. (1988). </w:t>
      </w:r>
      <w:r w:rsidRPr="00991D7A">
        <w:rPr>
          <w:rFonts w:hint="eastAsia"/>
          <w:lang w:eastAsia="ja-JP"/>
        </w:rPr>
        <w:t>“</w:t>
      </w:r>
      <w:r w:rsidRPr="00991D7A">
        <w:rPr>
          <w:rFonts w:hint="eastAsia"/>
          <w:lang w:eastAsia="ja-JP"/>
        </w:rPr>
        <w:t>ForeignLaborandEconomic DevelopmentinSingapore</w:t>
      </w:r>
      <w:r w:rsidRPr="00991D7A">
        <w:rPr>
          <w:rFonts w:hint="eastAsia"/>
          <w:lang w:eastAsia="ja-JP"/>
        </w:rPr>
        <w:t>”</w:t>
      </w:r>
      <w:r w:rsidRPr="00991D7A">
        <w:rPr>
          <w:rFonts w:hint="eastAsia"/>
          <w:lang w:eastAsia="ja-JP"/>
        </w:rPr>
        <w:t>,InternationalMigrationReview,169(3) :548-576</w:t>
      </w:r>
      <w:r w:rsidRPr="00991D7A">
        <w:rPr>
          <w:rFonts w:hint="eastAsia"/>
          <w:lang w:eastAsia="ja-JP"/>
        </w:rPr>
        <w:t>。</w:t>
      </w:r>
    </w:p>
    <w:p w14:paraId="7C9F7114"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Pemmix,R.(1986). </w:t>
      </w:r>
      <w:r w:rsidRPr="00991D7A">
        <w:rPr>
          <w:rFonts w:hint="eastAsia"/>
          <w:lang w:eastAsia="ja-JP"/>
        </w:rPr>
        <w:t>“</w:t>
      </w:r>
      <w:r w:rsidRPr="00991D7A">
        <w:rPr>
          <w:rFonts w:hint="eastAsia"/>
          <w:lang w:eastAsia="ja-JP"/>
        </w:rPr>
        <w:t>InternationalMigrationinWesternEuropeSince 1973:Developments,MechanismsandControl</w:t>
      </w:r>
      <w:r w:rsidRPr="00991D7A">
        <w:rPr>
          <w:rFonts w:hint="eastAsia"/>
          <w:lang w:eastAsia="ja-JP"/>
        </w:rPr>
        <w:t>”</w:t>
      </w:r>
      <w:r w:rsidRPr="00991D7A">
        <w:rPr>
          <w:rFonts w:hint="eastAsia"/>
          <w:lang w:eastAsia="ja-JP"/>
        </w:rPr>
        <w:t>,InternationalMigration Review,20(4)</w:t>
      </w:r>
      <w:r w:rsidR="00545D58">
        <w:rPr>
          <w:rFonts w:hint="eastAsia"/>
          <w:lang w:eastAsia="ja-JP"/>
        </w:rPr>
        <w:t>。</w:t>
      </w:r>
    </w:p>
    <w:p w14:paraId="0BC209D9"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Reubens,E. P. (1983). </w:t>
      </w:r>
      <w:r w:rsidRPr="00991D7A">
        <w:rPr>
          <w:rFonts w:hint="eastAsia"/>
          <w:lang w:eastAsia="ja-JP"/>
        </w:rPr>
        <w:t>“</w:t>
      </w:r>
      <w:r w:rsidRPr="00991D7A">
        <w:rPr>
          <w:rFonts w:hint="eastAsia"/>
          <w:lang w:eastAsia="ja-JP"/>
        </w:rPr>
        <w:t>InternationalMigrationModelsandPolicies</w:t>
      </w:r>
      <w:r w:rsidRPr="00991D7A">
        <w:rPr>
          <w:rFonts w:hint="eastAsia"/>
          <w:lang w:eastAsia="ja-JP"/>
        </w:rPr>
        <w:t>”</w:t>
      </w:r>
      <w:r w:rsidRPr="00991D7A">
        <w:rPr>
          <w:rFonts w:hint="eastAsia"/>
          <w:lang w:eastAsia="ja-JP"/>
        </w:rPr>
        <w:t>, TheAmerieanEconomicReview,73 : 178</w:t>
      </w:r>
      <w:r w:rsidRPr="00991D7A">
        <w:rPr>
          <w:rFonts w:hint="eastAsia"/>
          <w:lang w:eastAsia="ja-JP"/>
        </w:rPr>
        <w:t>。</w:t>
      </w:r>
    </w:p>
    <w:p w14:paraId="2E008DCB"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Spencer,StevenA.(1992). </w:t>
      </w:r>
      <w:r w:rsidRPr="00991D7A">
        <w:rPr>
          <w:rFonts w:hint="eastAsia"/>
          <w:lang w:eastAsia="ja-JP"/>
        </w:rPr>
        <w:t>“</w:t>
      </w:r>
      <w:r w:rsidRPr="00991D7A">
        <w:rPr>
          <w:rFonts w:hint="eastAsia"/>
          <w:lang w:eastAsia="ja-JP"/>
        </w:rPr>
        <w:t>IllegalMigrationLaborarsinJapan</w:t>
      </w:r>
      <w:r w:rsidRPr="00991D7A">
        <w:rPr>
          <w:rFonts w:hint="eastAsia"/>
          <w:lang w:eastAsia="ja-JP"/>
        </w:rPr>
        <w:t>”</w:t>
      </w:r>
      <w:r w:rsidRPr="00991D7A">
        <w:rPr>
          <w:rFonts w:hint="eastAsia"/>
          <w:lang w:eastAsia="ja-JP"/>
        </w:rPr>
        <w:t>,InternationalMigrationReview,26(3) : 762-781</w:t>
      </w:r>
      <w:r w:rsidRPr="00991D7A">
        <w:rPr>
          <w:rFonts w:hint="eastAsia"/>
          <w:lang w:eastAsia="ja-JP"/>
        </w:rPr>
        <w:t>。</w:t>
      </w:r>
    </w:p>
    <w:p w14:paraId="664C74EB"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Szasz, T. S. (1998). Drugs as Property: The Right We Rejected. in Shaler, J. A. (Ed.), Drugs : Should We Legalize, Decriminalize, or Deregulate ? New York: Prometheus Books. pp. 181-190. </w:t>
      </w:r>
    </w:p>
    <w:p w14:paraId="1E2E42D9"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U.N., Human Rights Committee (1982). ICCPR General Comment No.8: Article 9 (Right to Liberty and Security of Person). </w:t>
      </w:r>
    </w:p>
    <w:p w14:paraId="6FC752C0"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United Nations(2003). Professional Training Series No. 9: Human Rights in The Administration of Justice</w:t>
      </w:r>
      <w:r w:rsidR="00D92F56">
        <w:rPr>
          <w:rFonts w:hint="eastAsia"/>
          <w:lang w:eastAsia="ja-JP"/>
        </w:rPr>
        <w:t>〜</w:t>
      </w:r>
      <w:r w:rsidRPr="00991D7A">
        <w:rPr>
          <w:rFonts w:hint="eastAsia"/>
          <w:lang w:eastAsia="ja-JP"/>
        </w:rPr>
        <w:t>A Manual on Human Rights for Judges, Prosecutors and Lawyers. New York, pp 651-656.</w:t>
      </w:r>
    </w:p>
    <w:p w14:paraId="4CBE7A5F"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Virginia, B. (1999). Opium and the People. New York: Free Association Books.</w:t>
      </w:r>
    </w:p>
    <w:p w14:paraId="42697AA2"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Weisheit, R.(ed). (1990). Drug , Crime and the Criminal Justice System. OH, Cincinnati : Anderson Publishing Co.</w:t>
      </w:r>
    </w:p>
    <w:p w14:paraId="639276CF"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WHO., UNODC., UNAIDS. (2004). Substitution maintenance therapy in the management of opioid dependency and HIV/AIDS prevention. Geneva: WHO.</w:t>
      </w:r>
    </w:p>
    <w:p w14:paraId="04E4DADD"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Collyer, M.(2006). </w:t>
      </w:r>
      <w:r w:rsidRPr="00991D7A">
        <w:rPr>
          <w:rFonts w:hint="eastAsia"/>
          <w:lang w:eastAsia="ja-JP"/>
        </w:rPr>
        <w:t>“</w:t>
      </w:r>
      <w:r w:rsidRPr="00991D7A">
        <w:rPr>
          <w:rFonts w:hint="eastAsia"/>
          <w:lang w:eastAsia="ja-JP"/>
        </w:rPr>
        <w:t>States of insecurity: Consequences of Saharan transit migration</w:t>
      </w:r>
      <w:r w:rsidRPr="00991D7A">
        <w:rPr>
          <w:rFonts w:hint="eastAsia"/>
          <w:lang w:eastAsia="ja-JP"/>
        </w:rPr>
        <w:t>”</w:t>
      </w:r>
      <w:r w:rsidRPr="00991D7A">
        <w:rPr>
          <w:rFonts w:hint="eastAsia"/>
          <w:lang w:eastAsia="ja-JP"/>
        </w:rPr>
        <w:t>, Working Paper No. 31, UK: Centre on Migration Policy and Society (COMPAS), University of Oxford.</w:t>
      </w:r>
    </w:p>
    <w:p w14:paraId="5AAD06D5"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International Organization for Migration(2004). World Migration Report 2004, UN: Geneva.</w:t>
      </w:r>
    </w:p>
    <w:p w14:paraId="3AEBFC36"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International Organization for Migration(2008). World Migration Report 2008, UN: Geneva.</w:t>
      </w:r>
    </w:p>
    <w:p w14:paraId="0A376D80"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International Organization for Migration(2010). World Migration Report 2010, UN: Geneva. </w:t>
      </w:r>
    </w:p>
    <w:p w14:paraId="0B707EBA"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International Organization for Migration(2011). World Migration Report 2011, UN: Geneva.</w:t>
      </w:r>
    </w:p>
    <w:p w14:paraId="75BA5406"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Jeffrey S. Passel &amp; D</w:t>
      </w:r>
      <w:r w:rsidRPr="00991D7A">
        <w:rPr>
          <w:rFonts w:hint="eastAsia"/>
          <w:lang w:eastAsia="ja-JP"/>
        </w:rPr>
        <w:t>’</w:t>
      </w:r>
      <w:r w:rsidRPr="00991D7A">
        <w:rPr>
          <w:rFonts w:hint="eastAsia"/>
          <w:lang w:eastAsia="ja-JP"/>
        </w:rPr>
        <w:t>Vera Cohn(2010). U.S. Unauthorized Immigration Flows Are Down Sharply Since Mid-Decade, NW: Pew Research Center, pp 1-3.</w:t>
      </w:r>
    </w:p>
    <w:p w14:paraId="08365BB3"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Levinson, A. (2005). </w:t>
      </w:r>
      <w:r w:rsidRPr="00991D7A">
        <w:rPr>
          <w:rFonts w:hint="eastAsia"/>
          <w:lang w:eastAsia="ja-JP"/>
        </w:rPr>
        <w:t>“</w:t>
      </w:r>
      <w:r w:rsidRPr="00991D7A">
        <w:rPr>
          <w:rFonts w:hint="eastAsia"/>
          <w:lang w:eastAsia="ja-JP"/>
        </w:rPr>
        <w:t>The Regularisation of Unauthorized Migrants: Literature Survey and Country Case Studies</w:t>
      </w:r>
      <w:r w:rsidRPr="00991D7A">
        <w:rPr>
          <w:rFonts w:hint="eastAsia"/>
          <w:lang w:eastAsia="ja-JP"/>
        </w:rPr>
        <w:t>”</w:t>
      </w:r>
      <w:r w:rsidRPr="00991D7A">
        <w:rPr>
          <w:rFonts w:hint="eastAsia"/>
          <w:lang w:eastAsia="ja-JP"/>
        </w:rPr>
        <w:t xml:space="preserve">, COMPAS, UK: University of Oxford. </w:t>
      </w:r>
    </w:p>
    <w:p w14:paraId="28689CB3"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Redpath, J.(2007). </w:t>
      </w:r>
      <w:r w:rsidRPr="00991D7A">
        <w:rPr>
          <w:rFonts w:hint="eastAsia"/>
          <w:lang w:eastAsia="ja-JP"/>
        </w:rPr>
        <w:t>“</w:t>
      </w:r>
      <w:r w:rsidRPr="00991D7A">
        <w:rPr>
          <w:rFonts w:hint="eastAsia"/>
          <w:lang w:eastAsia="ja-JP"/>
        </w:rPr>
        <w:t>Biometrics and International Migration</w:t>
      </w:r>
      <w:r w:rsidRPr="00991D7A">
        <w:rPr>
          <w:rFonts w:hint="eastAsia"/>
          <w:lang w:eastAsia="ja-JP"/>
        </w:rPr>
        <w:t>”</w:t>
      </w:r>
      <w:r w:rsidRPr="00991D7A">
        <w:rPr>
          <w:rFonts w:hint="eastAsia"/>
          <w:lang w:eastAsia="ja-JP"/>
        </w:rPr>
        <w:t xml:space="preserve"> in R. Cholewinski, R. Perruchoud and E. MacDonald (Eds.), International Migration Law: Developing Paradigms and Key Challenges, The Hague :Asser Press, pp427-445.</w:t>
      </w:r>
    </w:p>
    <w:p w14:paraId="50503B1F"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Singapore Immigration &amp; Checkpoints Authority(2009). ICA annual report 2009, p65-70.</w:t>
      </w:r>
    </w:p>
    <w:p w14:paraId="30F8E1AA"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The Platform for International Cooperation on Undocumented Migrants (PICUM)(2013). PICUM Submission to the UN Committee on the Protection of the Rights of All Migrant Workers and Members of their Families</w:t>
      </w:r>
      <w:r w:rsidR="00D92F56">
        <w:rPr>
          <w:rFonts w:hint="eastAsia"/>
          <w:lang w:eastAsia="ja-JP"/>
        </w:rPr>
        <w:t>〜</w:t>
      </w:r>
      <w:r w:rsidRPr="00991D7A">
        <w:rPr>
          <w:rFonts w:hint="eastAsia"/>
          <w:lang w:eastAsia="ja-JP"/>
        </w:rPr>
        <w:t>Day of General Discussion on the role of migrati</w:t>
      </w:r>
      <w:r w:rsidRPr="00991D7A">
        <w:rPr>
          <w:lang w:eastAsia="ja-JP"/>
        </w:rPr>
        <w:t>on statistics for treaty reporting and migration policies, UN: Geneva, p1.</w:t>
      </w:r>
    </w:p>
    <w:p w14:paraId="56F60296" w14:textId="77777777" w:rsidR="00991D7A" w:rsidRPr="00991D7A" w:rsidRDefault="00991D7A" w:rsidP="00BC66E8">
      <w:pPr>
        <w:jc w:val="left"/>
        <w:rPr>
          <w:lang w:eastAsia="ja-JP"/>
        </w:rPr>
      </w:pPr>
      <w:r w:rsidRPr="00991D7A">
        <w:rPr>
          <w:rFonts w:hint="eastAsia"/>
          <w:lang w:eastAsia="ja-JP"/>
        </w:rPr>
        <w:t>◎</w:t>
      </w:r>
      <w:r w:rsidRPr="00991D7A">
        <w:rPr>
          <w:rFonts w:hint="eastAsia"/>
          <w:lang w:eastAsia="ja-JP"/>
        </w:rPr>
        <w:t>United Nations Office on Drug and Crime(2010). Smuggling of Migrants :A Global Review and Annotated Bibliography of Recent Publications, pp6-12.</w:t>
      </w:r>
    </w:p>
    <w:p w14:paraId="36CE0770" w14:textId="77777777" w:rsidR="00203F72" w:rsidRDefault="00991D7A" w:rsidP="00BC66E8">
      <w:pPr>
        <w:jc w:val="left"/>
      </w:pPr>
      <w:r w:rsidRPr="00991D7A">
        <w:rPr>
          <w:rFonts w:hint="eastAsia"/>
          <w:lang w:eastAsia="ja-JP"/>
        </w:rPr>
        <w:t>◎</w:t>
      </w:r>
      <w:r w:rsidRPr="00991D7A">
        <w:rPr>
          <w:rFonts w:hint="eastAsia"/>
          <w:lang w:eastAsia="ja-JP"/>
        </w:rPr>
        <w:t>US, Department of State, Office to Monitor and Combat Trafficking in Persons(2008), Trafficking in Persons Report 2008, pp52-292.</w:t>
      </w:r>
    </w:p>
    <w:p w14:paraId="19003074" w14:textId="77777777" w:rsidR="00A360B5" w:rsidRDefault="00A360B5" w:rsidP="00BC66E8">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374F80AC" w14:textId="77777777" w:rsidR="00A360B5" w:rsidRPr="00A53581" w:rsidRDefault="00A360B5" w:rsidP="00D87D91"/>
    <w:p w14:paraId="0008189C" w14:textId="77777777" w:rsidR="00203F72" w:rsidRPr="00A53581" w:rsidRDefault="00203F72" w:rsidP="00767F37">
      <w:pPr>
        <w:pStyle w:val="2"/>
        <w:rPr>
          <w:lang w:eastAsia="ja-JP"/>
        </w:rPr>
      </w:pPr>
      <w:bookmarkStart w:id="173" w:name="_日文參考文獻"/>
      <w:bookmarkEnd w:id="173"/>
      <w:r w:rsidRPr="00A53581">
        <w:rPr>
          <w:lang w:eastAsia="ja-JP"/>
        </w:rPr>
        <w:t>日文參考文獻</w:t>
      </w:r>
    </w:p>
    <w:p w14:paraId="51A4CF25" w14:textId="77777777" w:rsidR="00991D7A" w:rsidRPr="00991D7A" w:rsidRDefault="00991D7A" w:rsidP="00D87D91">
      <w:pPr>
        <w:rPr>
          <w:lang w:eastAsia="ja-JP"/>
        </w:rPr>
      </w:pPr>
      <w:r w:rsidRPr="00991D7A">
        <w:rPr>
          <w:rFonts w:hint="eastAsia"/>
          <w:lang w:eastAsia="ja-JP"/>
        </w:rPr>
        <w:t>◎エリン・エラン</w:t>
      </w:r>
      <w:r w:rsidRPr="00991D7A">
        <w:rPr>
          <w:lang w:eastAsia="ja-JP"/>
        </w:rPr>
        <w:t xml:space="preserve"> </w:t>
      </w:r>
      <w:r w:rsidRPr="00991D7A">
        <w:rPr>
          <w:rFonts w:hint="eastAsia"/>
          <w:lang w:eastAsia="ja-JP"/>
        </w:rPr>
        <w:t>チャン</w:t>
      </w:r>
      <w:r w:rsidRPr="00991D7A">
        <w:rPr>
          <w:lang w:eastAsia="ja-JP"/>
        </w:rPr>
        <w:t>(2012)</w:t>
      </w:r>
      <w:r w:rsidRPr="00991D7A">
        <w:rPr>
          <w:rFonts w:hint="eastAsia"/>
          <w:lang w:eastAsia="ja-JP"/>
        </w:rPr>
        <w:t>，在日外国人と市民権</w:t>
      </w:r>
      <w:r w:rsidRPr="00991D7A">
        <w:rPr>
          <w:rFonts w:hint="cs"/>
          <w:lang w:eastAsia="ja-JP"/>
        </w:rPr>
        <w:t>―</w:t>
      </w:r>
      <w:r w:rsidRPr="00991D7A">
        <w:rPr>
          <w:rFonts w:hint="eastAsia"/>
          <w:lang w:eastAsia="ja-JP"/>
        </w:rPr>
        <w:t>移民編入の政治学</w:t>
      </w:r>
      <w:r w:rsidRPr="00991D7A">
        <w:rPr>
          <w:lang w:eastAsia="ja-JP"/>
        </w:rPr>
        <w:t>(</w:t>
      </w:r>
      <w:r w:rsidRPr="00991D7A">
        <w:rPr>
          <w:rFonts w:hint="eastAsia"/>
          <w:lang w:eastAsia="ja-JP"/>
        </w:rPr>
        <w:t>世界人権問題叢書</w:t>
      </w:r>
      <w:r w:rsidRPr="00991D7A">
        <w:rPr>
          <w:lang w:eastAsia="ja-JP"/>
        </w:rPr>
        <w:t>)</w:t>
      </w:r>
      <w:r w:rsidRPr="00991D7A">
        <w:rPr>
          <w:rFonts w:hint="eastAsia"/>
          <w:lang w:eastAsia="ja-JP"/>
        </w:rPr>
        <w:t>，明石書店，頁</w:t>
      </w:r>
      <w:r w:rsidRPr="00991D7A">
        <w:rPr>
          <w:lang w:eastAsia="ja-JP"/>
        </w:rPr>
        <w:t>9-252</w:t>
      </w:r>
      <w:r w:rsidR="00545D58">
        <w:rPr>
          <w:rFonts w:hint="eastAsia"/>
          <w:lang w:eastAsia="ja-JP"/>
        </w:rPr>
        <w:t>。</w:t>
      </w:r>
    </w:p>
    <w:p w14:paraId="3AAB9A4E" w14:textId="77777777" w:rsidR="00991D7A" w:rsidRPr="00991D7A" w:rsidRDefault="00991D7A" w:rsidP="00D87D91">
      <w:pPr>
        <w:rPr>
          <w:lang w:eastAsia="ja-JP"/>
        </w:rPr>
      </w:pPr>
      <w:r w:rsidRPr="00991D7A">
        <w:rPr>
          <w:rFonts w:hint="eastAsia"/>
          <w:lang w:eastAsia="ja-JP"/>
        </w:rPr>
        <w:t>◎ヴォルフガング</w:t>
      </w:r>
      <w:r w:rsidRPr="00991D7A">
        <w:rPr>
          <w:lang w:eastAsia="ja-JP"/>
        </w:rPr>
        <w:t xml:space="preserve"> </w:t>
      </w:r>
      <w:r w:rsidRPr="00991D7A">
        <w:rPr>
          <w:rFonts w:hint="eastAsia"/>
          <w:lang w:eastAsia="ja-JP"/>
        </w:rPr>
        <w:t>ベネデェック</w:t>
      </w:r>
      <w:r w:rsidRPr="00991D7A">
        <w:rPr>
          <w:lang w:eastAsia="ja-JP"/>
        </w:rPr>
        <w:t>(2010)</w:t>
      </w:r>
      <w:r w:rsidRPr="00991D7A">
        <w:rPr>
          <w:rFonts w:hint="eastAsia"/>
          <w:lang w:eastAsia="ja-JP"/>
        </w:rPr>
        <w:t>，ワークアウト国際人権法</w:t>
      </w:r>
      <w:r w:rsidR="00D92F56">
        <w:rPr>
          <w:lang w:eastAsia="ja-JP"/>
        </w:rPr>
        <w:t>〜</w:t>
      </w:r>
      <w:r w:rsidRPr="00991D7A">
        <w:rPr>
          <w:lang w:eastAsia="ja-JP"/>
        </w:rPr>
        <w:t>“</w:t>
      </w:r>
      <w:r w:rsidRPr="00991D7A">
        <w:rPr>
          <w:rFonts w:hint="eastAsia"/>
          <w:lang w:eastAsia="ja-JP"/>
        </w:rPr>
        <w:t>人権”を理解するために，東信堂，頁</w:t>
      </w:r>
      <w:r w:rsidRPr="00991D7A">
        <w:rPr>
          <w:lang w:eastAsia="ja-JP"/>
        </w:rPr>
        <w:t>10-270</w:t>
      </w:r>
      <w:r w:rsidR="00545D58">
        <w:rPr>
          <w:rFonts w:hint="eastAsia"/>
          <w:lang w:eastAsia="ja-JP"/>
        </w:rPr>
        <w:t>。</w:t>
      </w:r>
    </w:p>
    <w:p w14:paraId="644B7DF9" w14:textId="77777777" w:rsidR="00991D7A" w:rsidRPr="00991D7A" w:rsidRDefault="00991D7A" w:rsidP="00D87D91">
      <w:pPr>
        <w:rPr>
          <w:lang w:eastAsia="ja-JP"/>
        </w:rPr>
      </w:pPr>
      <w:r w:rsidRPr="00991D7A">
        <w:rPr>
          <w:rFonts w:hint="eastAsia"/>
          <w:lang w:eastAsia="ja-JP"/>
        </w:rPr>
        <w:t>◎伊藤真</w:t>
      </w:r>
      <w:r w:rsidRPr="00991D7A">
        <w:rPr>
          <w:rFonts w:hint="eastAsia"/>
          <w:lang w:eastAsia="ja-JP"/>
        </w:rPr>
        <w:t>(2013)</w:t>
      </w:r>
      <w:r w:rsidRPr="00991D7A">
        <w:rPr>
          <w:rFonts w:hint="eastAsia"/>
          <w:lang w:eastAsia="ja-JP"/>
        </w:rPr>
        <w:t>，憲法問題，</w:t>
      </w:r>
      <w:r w:rsidRPr="00991D7A">
        <w:rPr>
          <w:rFonts w:hint="eastAsia"/>
          <w:lang w:eastAsia="ja-JP"/>
        </w:rPr>
        <w:t>PHP</w:t>
      </w:r>
      <w:r w:rsidRPr="00991D7A">
        <w:rPr>
          <w:rFonts w:hint="eastAsia"/>
          <w:lang w:eastAsia="ja-JP"/>
        </w:rPr>
        <w:t>研究所，頁</w:t>
      </w:r>
      <w:r w:rsidRPr="00991D7A">
        <w:rPr>
          <w:rFonts w:hint="eastAsia"/>
          <w:lang w:eastAsia="ja-JP"/>
        </w:rPr>
        <w:t>1-221</w:t>
      </w:r>
      <w:r w:rsidRPr="00991D7A">
        <w:rPr>
          <w:rFonts w:hint="eastAsia"/>
          <w:lang w:eastAsia="ja-JP"/>
        </w:rPr>
        <w:t>。</w:t>
      </w:r>
    </w:p>
    <w:p w14:paraId="3F2C98EB" w14:textId="77777777" w:rsidR="00991D7A" w:rsidRPr="00991D7A" w:rsidRDefault="00991D7A" w:rsidP="00D87D91">
      <w:pPr>
        <w:rPr>
          <w:lang w:eastAsia="ja-JP"/>
        </w:rPr>
      </w:pPr>
      <w:r w:rsidRPr="00991D7A">
        <w:rPr>
          <w:rFonts w:hint="eastAsia"/>
          <w:lang w:eastAsia="ja-JP"/>
        </w:rPr>
        <w:t>◎井上薫</w:t>
      </w:r>
      <w:r w:rsidRPr="00991D7A">
        <w:rPr>
          <w:lang w:eastAsia="ja-JP"/>
        </w:rPr>
        <w:t>(2010)</w:t>
      </w:r>
      <w:r w:rsidRPr="00991D7A">
        <w:rPr>
          <w:rFonts w:hint="eastAsia"/>
          <w:lang w:eastAsia="ja-JP"/>
        </w:rPr>
        <w:t>，ここがおかしい、外国人参政権，文藝春秋社，頁</w:t>
      </w:r>
      <w:r w:rsidRPr="00991D7A">
        <w:rPr>
          <w:lang w:eastAsia="ja-JP"/>
        </w:rPr>
        <w:t>23-176</w:t>
      </w:r>
      <w:r w:rsidRPr="00991D7A">
        <w:rPr>
          <w:rFonts w:hint="eastAsia"/>
          <w:lang w:eastAsia="ja-JP"/>
        </w:rPr>
        <w:t>。</w:t>
      </w:r>
    </w:p>
    <w:p w14:paraId="2CF33295" w14:textId="77777777" w:rsidR="00991D7A" w:rsidRPr="00991D7A" w:rsidRDefault="00991D7A" w:rsidP="00D87D91">
      <w:pPr>
        <w:rPr>
          <w:lang w:eastAsia="ja-JP"/>
        </w:rPr>
      </w:pPr>
      <w:r w:rsidRPr="00991D7A">
        <w:rPr>
          <w:rFonts w:hint="eastAsia"/>
          <w:lang w:eastAsia="ja-JP"/>
        </w:rPr>
        <w:t>◎奥田安弘、長谷川桃</w:t>
      </w:r>
      <w:r w:rsidRPr="00991D7A">
        <w:rPr>
          <w:lang w:eastAsia="ja-JP"/>
        </w:rPr>
        <w:t>(2011)</w:t>
      </w:r>
      <w:r w:rsidRPr="00991D7A">
        <w:rPr>
          <w:rFonts w:hint="eastAsia"/>
          <w:lang w:eastAsia="ja-JP"/>
        </w:rPr>
        <w:t>，外国人の法律相談チェックマニュアル，第</w:t>
      </w:r>
      <w:r w:rsidRPr="00991D7A">
        <w:rPr>
          <w:lang w:eastAsia="ja-JP"/>
        </w:rPr>
        <w:t>4</w:t>
      </w:r>
      <w:r w:rsidRPr="00991D7A">
        <w:rPr>
          <w:rFonts w:hint="eastAsia"/>
          <w:lang w:eastAsia="ja-JP"/>
        </w:rPr>
        <w:t>版，明石書店，頁</w:t>
      </w:r>
      <w:r w:rsidRPr="00991D7A">
        <w:rPr>
          <w:lang w:eastAsia="ja-JP"/>
        </w:rPr>
        <w:t>12-230</w:t>
      </w:r>
      <w:r w:rsidR="00545D58">
        <w:rPr>
          <w:rFonts w:hint="eastAsia"/>
          <w:lang w:eastAsia="ja-JP"/>
        </w:rPr>
        <w:t>。</w:t>
      </w:r>
    </w:p>
    <w:p w14:paraId="08E85559" w14:textId="77777777" w:rsidR="00991D7A" w:rsidRPr="00991D7A" w:rsidRDefault="00991D7A" w:rsidP="00D87D91">
      <w:pPr>
        <w:rPr>
          <w:lang w:eastAsia="ja-JP"/>
        </w:rPr>
      </w:pPr>
      <w:r w:rsidRPr="00991D7A">
        <w:rPr>
          <w:rFonts w:hint="eastAsia"/>
          <w:lang w:eastAsia="ja-JP"/>
        </w:rPr>
        <w:t>◎外国人医療・生活ネットワーク</w:t>
      </w:r>
      <w:r w:rsidRPr="00991D7A">
        <w:rPr>
          <w:lang w:eastAsia="ja-JP"/>
        </w:rPr>
        <w:t>(2006)</w:t>
      </w:r>
      <w:r w:rsidRPr="00991D7A">
        <w:rPr>
          <w:rFonts w:hint="eastAsia"/>
          <w:lang w:eastAsia="ja-JP"/>
        </w:rPr>
        <w:t>，講座外国人の医療と福祉</w:t>
      </w:r>
      <w:r w:rsidR="00D92F56">
        <w:rPr>
          <w:lang w:eastAsia="ja-JP"/>
        </w:rPr>
        <w:t>〜</w:t>
      </w:r>
      <w:r w:rsidRPr="00991D7A">
        <w:rPr>
          <w:lang w:eastAsia="ja-JP"/>
        </w:rPr>
        <w:t>NGO</w:t>
      </w:r>
      <w:r w:rsidRPr="00991D7A">
        <w:rPr>
          <w:rFonts w:hint="eastAsia"/>
          <w:lang w:eastAsia="ja-JP"/>
        </w:rPr>
        <w:t>の実践事例に学ぶ</w:t>
      </w:r>
      <w:r w:rsidRPr="00991D7A">
        <w:rPr>
          <w:lang w:eastAsia="ja-JP"/>
        </w:rPr>
        <w:t>(</w:t>
      </w:r>
      <w:r w:rsidRPr="00991D7A">
        <w:rPr>
          <w:rFonts w:hint="eastAsia"/>
          <w:lang w:eastAsia="ja-JP"/>
        </w:rPr>
        <w:t>移住連ブックレット</w:t>
      </w:r>
      <w:r w:rsidRPr="00991D7A">
        <w:rPr>
          <w:lang w:eastAsia="ja-JP"/>
        </w:rPr>
        <w:t xml:space="preserve"> (3))</w:t>
      </w:r>
      <w:r w:rsidRPr="00991D7A">
        <w:rPr>
          <w:rFonts w:hint="eastAsia"/>
          <w:lang w:eastAsia="ja-JP"/>
        </w:rPr>
        <w:t>，移住労働者と連帯する全国ネットワーク，頁</w:t>
      </w:r>
      <w:r w:rsidRPr="00991D7A">
        <w:rPr>
          <w:lang w:eastAsia="ja-JP"/>
        </w:rPr>
        <w:t>45-165</w:t>
      </w:r>
      <w:r w:rsidR="00545D58">
        <w:rPr>
          <w:rFonts w:hint="eastAsia"/>
          <w:lang w:eastAsia="ja-JP"/>
        </w:rPr>
        <w:t>。</w:t>
      </w:r>
    </w:p>
    <w:p w14:paraId="541EFB4B" w14:textId="77777777" w:rsidR="00991D7A" w:rsidRPr="00991D7A" w:rsidRDefault="00991D7A" w:rsidP="00D87D91">
      <w:pPr>
        <w:rPr>
          <w:lang w:eastAsia="ja-JP"/>
        </w:rPr>
      </w:pPr>
      <w:r w:rsidRPr="00991D7A">
        <w:rPr>
          <w:rFonts w:hint="eastAsia"/>
          <w:lang w:eastAsia="ja-JP"/>
        </w:rPr>
        <w:t>◎外国人人権法連絡会</w:t>
      </w:r>
      <w:r w:rsidRPr="00991D7A">
        <w:rPr>
          <w:lang w:eastAsia="ja-JP"/>
        </w:rPr>
        <w:t>(2010)</w:t>
      </w:r>
      <w:r w:rsidRPr="00991D7A">
        <w:rPr>
          <w:rFonts w:hint="eastAsia"/>
          <w:lang w:eastAsia="ja-JP"/>
        </w:rPr>
        <w:t>，外国人・民族的マイノリティ人権白書</w:t>
      </w:r>
      <w:r w:rsidRPr="00991D7A">
        <w:rPr>
          <w:lang w:eastAsia="ja-JP"/>
        </w:rPr>
        <w:t>2010</w:t>
      </w:r>
      <w:r w:rsidRPr="00991D7A">
        <w:rPr>
          <w:rFonts w:hint="eastAsia"/>
          <w:lang w:eastAsia="ja-JP"/>
        </w:rPr>
        <w:t>，明石書店，頁</w:t>
      </w:r>
      <w:r w:rsidRPr="00991D7A">
        <w:rPr>
          <w:lang w:eastAsia="ja-JP"/>
        </w:rPr>
        <w:t>29-251</w:t>
      </w:r>
      <w:r w:rsidRPr="00991D7A">
        <w:rPr>
          <w:rFonts w:hint="eastAsia"/>
          <w:lang w:eastAsia="ja-JP"/>
        </w:rPr>
        <w:t>。</w:t>
      </w:r>
    </w:p>
    <w:p w14:paraId="439B3C6B" w14:textId="77777777" w:rsidR="00991D7A" w:rsidRPr="00991D7A" w:rsidRDefault="00991D7A" w:rsidP="00D87D91">
      <w:pPr>
        <w:rPr>
          <w:lang w:eastAsia="ja-JP"/>
        </w:rPr>
      </w:pPr>
      <w:r w:rsidRPr="00991D7A">
        <w:rPr>
          <w:rFonts w:hint="eastAsia"/>
          <w:lang w:eastAsia="ja-JP"/>
        </w:rPr>
        <w:t>◎関東弁護士会連合会</w:t>
      </w:r>
      <w:r w:rsidRPr="00991D7A">
        <w:rPr>
          <w:lang w:eastAsia="ja-JP"/>
        </w:rPr>
        <w:t>(2012)</w:t>
      </w:r>
      <w:r w:rsidRPr="00991D7A">
        <w:rPr>
          <w:rFonts w:hint="eastAsia"/>
          <w:lang w:eastAsia="ja-JP"/>
        </w:rPr>
        <w:t>，外国人の人権，明石書店，頁</w:t>
      </w:r>
      <w:r w:rsidRPr="00991D7A">
        <w:rPr>
          <w:lang w:eastAsia="ja-JP"/>
        </w:rPr>
        <w:t>39-351</w:t>
      </w:r>
      <w:r w:rsidRPr="00991D7A">
        <w:rPr>
          <w:rFonts w:hint="eastAsia"/>
          <w:lang w:eastAsia="ja-JP"/>
        </w:rPr>
        <w:t>。</w:t>
      </w:r>
    </w:p>
    <w:p w14:paraId="3569BC59" w14:textId="77777777" w:rsidR="00991D7A" w:rsidRPr="00991D7A" w:rsidRDefault="00991D7A" w:rsidP="00D87D91">
      <w:pPr>
        <w:rPr>
          <w:lang w:eastAsia="ja-JP"/>
        </w:rPr>
      </w:pPr>
      <w:r w:rsidRPr="00991D7A">
        <w:rPr>
          <w:rFonts w:hint="eastAsia"/>
          <w:lang w:eastAsia="ja-JP"/>
        </w:rPr>
        <w:t>◎宮川成雄、新垣修、石川えり、阿部浩己、安藤仁介</w:t>
      </w:r>
      <w:r w:rsidRPr="00991D7A">
        <w:rPr>
          <w:lang w:eastAsia="ja-JP"/>
        </w:rPr>
        <w:t>(2005)</w:t>
      </w:r>
      <w:r w:rsidRPr="00991D7A">
        <w:rPr>
          <w:rFonts w:hint="eastAsia"/>
          <w:lang w:eastAsia="ja-JP"/>
        </w:rPr>
        <w:t>，外国人法とローヤリング</w:t>
      </w:r>
      <w:r w:rsidRPr="00991D7A">
        <w:rPr>
          <w:rFonts w:hint="cs"/>
          <w:lang w:eastAsia="ja-JP"/>
        </w:rPr>
        <w:t>―</w:t>
      </w:r>
      <w:r w:rsidRPr="00991D7A">
        <w:rPr>
          <w:rFonts w:hint="eastAsia"/>
          <w:lang w:eastAsia="ja-JP"/>
        </w:rPr>
        <w:t>理論と実務の架橋をめざして，学陽書房，頁</w:t>
      </w:r>
      <w:r w:rsidRPr="00991D7A">
        <w:rPr>
          <w:lang w:eastAsia="ja-JP"/>
        </w:rPr>
        <w:t>12-382</w:t>
      </w:r>
      <w:r w:rsidR="00545D58">
        <w:rPr>
          <w:rFonts w:hint="eastAsia"/>
          <w:lang w:eastAsia="ja-JP"/>
        </w:rPr>
        <w:t>。</w:t>
      </w:r>
    </w:p>
    <w:p w14:paraId="346B7641" w14:textId="77777777" w:rsidR="00991D7A" w:rsidRPr="00991D7A" w:rsidRDefault="00991D7A" w:rsidP="00D87D91">
      <w:pPr>
        <w:rPr>
          <w:lang w:eastAsia="ja-JP"/>
        </w:rPr>
      </w:pPr>
      <w:r w:rsidRPr="00991D7A">
        <w:rPr>
          <w:rFonts w:hint="eastAsia"/>
          <w:lang w:eastAsia="ja-JP"/>
        </w:rPr>
        <w:t>◎黒木忠正</w:t>
      </w:r>
      <w:r w:rsidRPr="00991D7A">
        <w:rPr>
          <w:lang w:eastAsia="ja-JP"/>
        </w:rPr>
        <w:t>(2012)</w:t>
      </w:r>
      <w:r w:rsidRPr="00991D7A">
        <w:rPr>
          <w:rFonts w:hint="eastAsia"/>
          <w:lang w:eastAsia="ja-JP"/>
        </w:rPr>
        <w:t>，はじめての入管法</w:t>
      </w:r>
      <w:r w:rsidRPr="00991D7A">
        <w:rPr>
          <w:rFonts w:hint="cs"/>
          <w:lang w:eastAsia="ja-JP"/>
        </w:rPr>
        <w:t>―</w:t>
      </w:r>
      <w:r w:rsidRPr="00991D7A">
        <w:rPr>
          <w:rFonts w:hint="eastAsia"/>
          <w:lang w:eastAsia="ja-JP"/>
        </w:rPr>
        <w:t>新しい外国人住民制度，改訂版，日本加除出版，頁</w:t>
      </w:r>
      <w:r w:rsidRPr="00991D7A">
        <w:rPr>
          <w:lang w:eastAsia="ja-JP"/>
        </w:rPr>
        <w:t>33-249</w:t>
      </w:r>
      <w:r w:rsidR="00545D58">
        <w:rPr>
          <w:rFonts w:hint="eastAsia"/>
          <w:lang w:eastAsia="ja-JP"/>
        </w:rPr>
        <w:t>。</w:t>
      </w:r>
    </w:p>
    <w:p w14:paraId="19A45FE0" w14:textId="77777777" w:rsidR="00991D7A" w:rsidRPr="00991D7A" w:rsidRDefault="00991D7A" w:rsidP="00D87D91">
      <w:pPr>
        <w:rPr>
          <w:lang w:eastAsia="ja-JP"/>
        </w:rPr>
      </w:pPr>
      <w:r w:rsidRPr="00991D7A">
        <w:rPr>
          <w:rFonts w:hint="eastAsia"/>
          <w:lang w:eastAsia="ja-JP"/>
        </w:rPr>
        <w:t>◎佐野誠</w:t>
      </w:r>
      <w:r w:rsidRPr="00991D7A">
        <w:rPr>
          <w:lang w:eastAsia="ja-JP"/>
        </w:rPr>
        <w:t>(2010)</w:t>
      </w:r>
      <w:r w:rsidRPr="00991D7A">
        <w:rPr>
          <w:rFonts w:hint="eastAsia"/>
          <w:lang w:eastAsia="ja-JP"/>
        </w:rPr>
        <w:t>，外国人のための起業・会社設立支援マニュアル</w:t>
      </w:r>
      <w:r w:rsidRPr="00991D7A">
        <w:rPr>
          <w:rFonts w:hint="cs"/>
          <w:lang w:eastAsia="ja-JP"/>
        </w:rPr>
        <w:t>―</w:t>
      </w:r>
      <w:r w:rsidRPr="00991D7A">
        <w:rPr>
          <w:rFonts w:hint="eastAsia"/>
          <w:lang w:eastAsia="ja-JP"/>
        </w:rPr>
        <w:t>国際業務必携，日本加除出版社，頁</w:t>
      </w:r>
      <w:r w:rsidRPr="00991D7A">
        <w:rPr>
          <w:lang w:eastAsia="ja-JP"/>
        </w:rPr>
        <w:t>38-249</w:t>
      </w:r>
      <w:r w:rsidRPr="00991D7A">
        <w:rPr>
          <w:rFonts w:hint="eastAsia"/>
          <w:lang w:eastAsia="ja-JP"/>
        </w:rPr>
        <w:t>。</w:t>
      </w:r>
    </w:p>
    <w:p w14:paraId="51FEDA0F" w14:textId="77777777" w:rsidR="00991D7A" w:rsidRPr="00991D7A" w:rsidRDefault="00991D7A" w:rsidP="00D87D91">
      <w:pPr>
        <w:rPr>
          <w:lang w:eastAsia="ja-JP"/>
        </w:rPr>
      </w:pPr>
      <w:r w:rsidRPr="00991D7A">
        <w:rPr>
          <w:rFonts w:hint="eastAsia"/>
          <w:lang w:eastAsia="ja-JP"/>
        </w:rPr>
        <w:t>◎産経新聞社</w:t>
      </w:r>
      <w:r w:rsidRPr="00991D7A">
        <w:rPr>
          <w:lang w:eastAsia="ja-JP"/>
        </w:rPr>
        <w:t>(2013)</w:t>
      </w:r>
      <w:r w:rsidRPr="00991D7A">
        <w:rPr>
          <w:rFonts w:hint="eastAsia"/>
          <w:lang w:eastAsia="ja-JP"/>
        </w:rPr>
        <w:t>，國民の憲法，産経新聞社，頁</w:t>
      </w:r>
      <w:r w:rsidRPr="00991D7A">
        <w:rPr>
          <w:lang w:eastAsia="ja-JP"/>
        </w:rPr>
        <w:t>1-270</w:t>
      </w:r>
      <w:r w:rsidR="00545D58">
        <w:rPr>
          <w:rFonts w:hint="eastAsia"/>
          <w:lang w:eastAsia="ja-JP"/>
        </w:rPr>
        <w:t>。</w:t>
      </w:r>
    </w:p>
    <w:p w14:paraId="39004871" w14:textId="77777777" w:rsidR="00991D7A" w:rsidRPr="00991D7A" w:rsidRDefault="00991D7A" w:rsidP="00D87D91">
      <w:pPr>
        <w:rPr>
          <w:lang w:eastAsia="ja-JP"/>
        </w:rPr>
      </w:pPr>
      <w:r w:rsidRPr="00991D7A">
        <w:rPr>
          <w:rFonts w:hint="eastAsia"/>
          <w:lang w:eastAsia="ja-JP"/>
        </w:rPr>
        <w:t>◎手塚和彰</w:t>
      </w:r>
      <w:r w:rsidRPr="00991D7A">
        <w:rPr>
          <w:lang w:eastAsia="ja-JP"/>
        </w:rPr>
        <w:t>(2005)</w:t>
      </w:r>
      <w:r w:rsidRPr="00991D7A">
        <w:rPr>
          <w:rFonts w:hint="eastAsia"/>
          <w:lang w:eastAsia="ja-JP"/>
        </w:rPr>
        <w:t>，外国人と法，第</w:t>
      </w:r>
      <w:r w:rsidRPr="00991D7A">
        <w:rPr>
          <w:lang w:eastAsia="ja-JP"/>
        </w:rPr>
        <w:t>3</w:t>
      </w:r>
      <w:r w:rsidRPr="00991D7A">
        <w:rPr>
          <w:rFonts w:hint="eastAsia"/>
          <w:lang w:eastAsia="ja-JP"/>
        </w:rPr>
        <w:t>版，有斐閣，頁</w:t>
      </w:r>
      <w:r w:rsidRPr="00991D7A">
        <w:rPr>
          <w:lang w:eastAsia="ja-JP"/>
        </w:rPr>
        <w:t>31-375</w:t>
      </w:r>
      <w:r w:rsidR="00545D58">
        <w:rPr>
          <w:rFonts w:hint="eastAsia"/>
          <w:lang w:eastAsia="ja-JP"/>
        </w:rPr>
        <w:t>。</w:t>
      </w:r>
    </w:p>
    <w:p w14:paraId="5AE7EC78" w14:textId="77777777" w:rsidR="00991D7A" w:rsidRPr="00991D7A" w:rsidRDefault="00991D7A" w:rsidP="00D87D91">
      <w:pPr>
        <w:rPr>
          <w:lang w:eastAsia="ja-JP"/>
        </w:rPr>
      </w:pPr>
      <w:r w:rsidRPr="00991D7A">
        <w:rPr>
          <w:rFonts w:hint="eastAsia"/>
          <w:lang w:eastAsia="ja-JP"/>
        </w:rPr>
        <w:t>◎出入国管理関係法令研究会</w:t>
      </w:r>
      <w:r w:rsidRPr="00991D7A">
        <w:rPr>
          <w:lang w:eastAsia="ja-JP"/>
        </w:rPr>
        <w:t>(2012)</w:t>
      </w:r>
      <w:r w:rsidRPr="00991D7A">
        <w:rPr>
          <w:rFonts w:hint="eastAsia"/>
          <w:lang w:eastAsia="ja-JP"/>
        </w:rPr>
        <w:t>，ひと目でわかる外国人の入国・在留案内</w:t>
      </w:r>
      <w:r w:rsidRPr="00991D7A">
        <w:rPr>
          <w:rFonts w:hint="cs"/>
          <w:lang w:eastAsia="ja-JP"/>
        </w:rPr>
        <w:t>―</w:t>
      </w:r>
      <w:r w:rsidRPr="00991D7A">
        <w:rPr>
          <w:rFonts w:hint="eastAsia"/>
          <w:lang w:eastAsia="ja-JP"/>
        </w:rPr>
        <w:t>外国人の在留資格一覧，</w:t>
      </w:r>
      <w:r w:rsidRPr="00991D7A">
        <w:rPr>
          <w:lang w:eastAsia="ja-JP"/>
        </w:rPr>
        <w:t>14</w:t>
      </w:r>
      <w:r w:rsidRPr="00991D7A">
        <w:rPr>
          <w:rFonts w:hint="eastAsia"/>
          <w:lang w:eastAsia="ja-JP"/>
        </w:rPr>
        <w:t>修訂版，日本加除出版社，頁</w:t>
      </w:r>
      <w:r w:rsidRPr="00991D7A">
        <w:rPr>
          <w:lang w:eastAsia="ja-JP"/>
        </w:rPr>
        <w:t>16-298</w:t>
      </w:r>
      <w:r w:rsidR="00545D58">
        <w:rPr>
          <w:rFonts w:hint="eastAsia"/>
          <w:lang w:eastAsia="ja-JP"/>
        </w:rPr>
        <w:t>。</w:t>
      </w:r>
    </w:p>
    <w:p w14:paraId="0E679422" w14:textId="77777777" w:rsidR="00991D7A" w:rsidRPr="00991D7A" w:rsidRDefault="00991D7A" w:rsidP="00D87D91">
      <w:pPr>
        <w:rPr>
          <w:lang w:eastAsia="ja-JP"/>
        </w:rPr>
      </w:pPr>
      <w:r w:rsidRPr="00991D7A">
        <w:rPr>
          <w:rFonts w:hint="eastAsia"/>
          <w:lang w:eastAsia="ja-JP"/>
        </w:rPr>
        <w:t>◎出入国管理法令研究会</w:t>
      </w:r>
      <w:r w:rsidRPr="00991D7A">
        <w:rPr>
          <w:lang w:eastAsia="ja-JP"/>
        </w:rPr>
        <w:t>(2012)</w:t>
      </w:r>
      <w:r w:rsidRPr="00991D7A">
        <w:rPr>
          <w:rFonts w:hint="eastAsia"/>
          <w:lang w:eastAsia="ja-JP"/>
        </w:rPr>
        <w:t>，注解・判例・出入国管理実務六法</w:t>
      </w:r>
      <w:r w:rsidRPr="00991D7A">
        <w:rPr>
          <w:lang w:eastAsia="ja-JP"/>
        </w:rPr>
        <w:t>(</w:t>
      </w:r>
      <w:r w:rsidRPr="00991D7A">
        <w:rPr>
          <w:rFonts w:hint="eastAsia"/>
          <w:lang w:eastAsia="ja-JP"/>
        </w:rPr>
        <w:t>平成</w:t>
      </w:r>
      <w:r w:rsidRPr="00991D7A">
        <w:rPr>
          <w:lang w:eastAsia="ja-JP"/>
        </w:rPr>
        <w:t>25</w:t>
      </w:r>
      <w:r w:rsidRPr="00991D7A">
        <w:rPr>
          <w:rFonts w:hint="eastAsia"/>
          <w:lang w:eastAsia="ja-JP"/>
        </w:rPr>
        <w:t>年版</w:t>
      </w:r>
      <w:r w:rsidRPr="00991D7A">
        <w:rPr>
          <w:lang w:eastAsia="ja-JP"/>
        </w:rPr>
        <w:t>)</w:t>
      </w:r>
      <w:r w:rsidRPr="00991D7A">
        <w:rPr>
          <w:rFonts w:hint="eastAsia"/>
          <w:lang w:eastAsia="ja-JP"/>
        </w:rPr>
        <w:t>，日本加除出版社，頁</w:t>
      </w:r>
      <w:r w:rsidRPr="00991D7A">
        <w:rPr>
          <w:lang w:eastAsia="ja-JP"/>
        </w:rPr>
        <w:t>45-1380</w:t>
      </w:r>
      <w:r w:rsidR="00545D58">
        <w:rPr>
          <w:rFonts w:hint="eastAsia"/>
          <w:lang w:eastAsia="ja-JP"/>
        </w:rPr>
        <w:t>。</w:t>
      </w:r>
    </w:p>
    <w:p w14:paraId="36AA9C57" w14:textId="77777777" w:rsidR="00991D7A" w:rsidRPr="00991D7A" w:rsidRDefault="00991D7A" w:rsidP="00D87D91">
      <w:pPr>
        <w:rPr>
          <w:lang w:eastAsia="ja-JP"/>
        </w:rPr>
      </w:pPr>
      <w:r w:rsidRPr="00991D7A">
        <w:rPr>
          <w:rFonts w:hint="eastAsia"/>
          <w:lang w:eastAsia="ja-JP"/>
        </w:rPr>
        <w:t>◎小林直樹</w:t>
      </w:r>
      <w:r w:rsidRPr="00991D7A">
        <w:rPr>
          <w:lang w:eastAsia="ja-JP"/>
        </w:rPr>
        <w:t>(1986)</w:t>
      </w:r>
      <w:r w:rsidRPr="00991D7A">
        <w:rPr>
          <w:rFonts w:hint="eastAsia"/>
          <w:lang w:eastAsia="ja-JP"/>
        </w:rPr>
        <w:t>，憲法秩序の理論，初版，東京大學出版社，頁</w:t>
      </w:r>
      <w:r w:rsidRPr="00991D7A">
        <w:rPr>
          <w:lang w:eastAsia="ja-JP"/>
        </w:rPr>
        <w:t>1-418</w:t>
      </w:r>
      <w:r w:rsidRPr="00991D7A">
        <w:rPr>
          <w:rFonts w:hint="eastAsia"/>
          <w:lang w:eastAsia="ja-JP"/>
        </w:rPr>
        <w:t>。</w:t>
      </w:r>
    </w:p>
    <w:p w14:paraId="4A3C9417" w14:textId="77777777" w:rsidR="00991D7A" w:rsidRPr="00991D7A" w:rsidRDefault="00991D7A" w:rsidP="00D87D91">
      <w:pPr>
        <w:rPr>
          <w:lang w:eastAsia="ja-JP"/>
        </w:rPr>
      </w:pPr>
      <w:r w:rsidRPr="00991D7A">
        <w:rPr>
          <w:rFonts w:hint="eastAsia"/>
          <w:lang w:eastAsia="ja-JP"/>
        </w:rPr>
        <w:t>◎小學館</w:t>
      </w:r>
      <w:r w:rsidRPr="00991D7A">
        <w:rPr>
          <w:rFonts w:hint="eastAsia"/>
          <w:lang w:eastAsia="ja-JP"/>
        </w:rPr>
        <w:t>(2013)</w:t>
      </w:r>
      <w:r w:rsidRPr="00991D7A">
        <w:rPr>
          <w:rFonts w:hint="eastAsia"/>
          <w:lang w:eastAsia="ja-JP"/>
        </w:rPr>
        <w:t>，日本國憲法，第</w:t>
      </w:r>
      <w:r w:rsidRPr="00991D7A">
        <w:rPr>
          <w:rFonts w:hint="eastAsia"/>
          <w:lang w:eastAsia="ja-JP"/>
        </w:rPr>
        <w:t>2</w:t>
      </w:r>
      <w:r w:rsidRPr="00991D7A">
        <w:rPr>
          <w:rFonts w:hint="eastAsia"/>
          <w:lang w:eastAsia="ja-JP"/>
        </w:rPr>
        <w:t>版，日本：小學館，頁</w:t>
      </w:r>
      <w:r w:rsidRPr="00991D7A">
        <w:rPr>
          <w:rFonts w:hint="eastAsia"/>
          <w:lang w:eastAsia="ja-JP"/>
        </w:rPr>
        <w:t>1-125</w:t>
      </w:r>
      <w:r w:rsidR="00545D58">
        <w:rPr>
          <w:rFonts w:hint="eastAsia"/>
          <w:lang w:eastAsia="ja-JP"/>
        </w:rPr>
        <w:t>。</w:t>
      </w:r>
    </w:p>
    <w:p w14:paraId="110A1212" w14:textId="77777777" w:rsidR="00991D7A" w:rsidRPr="00991D7A" w:rsidRDefault="00991D7A" w:rsidP="00D87D91">
      <w:pPr>
        <w:rPr>
          <w:lang w:eastAsia="ja-JP"/>
        </w:rPr>
      </w:pPr>
      <w:r w:rsidRPr="00991D7A">
        <w:rPr>
          <w:rFonts w:hint="eastAsia"/>
          <w:lang w:eastAsia="ja-JP"/>
        </w:rPr>
        <w:t>◎森下忠</w:t>
      </w:r>
      <w:r w:rsidRPr="00991D7A">
        <w:rPr>
          <w:rFonts w:hint="eastAsia"/>
          <w:lang w:eastAsia="ja-JP"/>
        </w:rPr>
        <w:t xml:space="preserve">(1994). </w:t>
      </w:r>
      <w:r w:rsidRPr="00991D7A">
        <w:rPr>
          <w:rFonts w:hint="eastAsia"/>
          <w:lang w:eastAsia="ja-JP"/>
        </w:rPr>
        <w:t>刑事政策各論</w:t>
      </w:r>
      <w:r w:rsidRPr="00991D7A">
        <w:rPr>
          <w:rFonts w:hint="eastAsia"/>
          <w:lang w:eastAsia="ja-JP"/>
        </w:rPr>
        <w:t>(</w:t>
      </w:r>
      <w:r w:rsidRPr="00991D7A">
        <w:rPr>
          <w:rFonts w:hint="eastAsia"/>
          <w:lang w:eastAsia="ja-JP"/>
        </w:rPr>
        <w:t>改訂版</w:t>
      </w:r>
      <w:r w:rsidRPr="00991D7A">
        <w:rPr>
          <w:rFonts w:hint="eastAsia"/>
          <w:lang w:eastAsia="ja-JP"/>
        </w:rPr>
        <w:t>)</w:t>
      </w:r>
      <w:r w:rsidRPr="00991D7A">
        <w:rPr>
          <w:rFonts w:hint="eastAsia"/>
          <w:lang w:eastAsia="ja-JP"/>
        </w:rPr>
        <w:t>，日本：成文堂，第</w:t>
      </w:r>
      <w:r w:rsidRPr="00991D7A">
        <w:rPr>
          <w:rFonts w:hint="eastAsia"/>
          <w:lang w:eastAsia="ja-JP"/>
        </w:rPr>
        <w:t>230</w:t>
      </w:r>
      <w:r w:rsidRPr="00991D7A">
        <w:rPr>
          <w:rFonts w:hint="eastAsia"/>
          <w:lang w:eastAsia="ja-JP"/>
        </w:rPr>
        <w:t>頁。</w:t>
      </w:r>
    </w:p>
    <w:p w14:paraId="4A63FC9A" w14:textId="77777777" w:rsidR="00991D7A" w:rsidRPr="00991D7A" w:rsidRDefault="00991D7A" w:rsidP="00D87D91">
      <w:pPr>
        <w:rPr>
          <w:lang w:eastAsia="ja-JP"/>
        </w:rPr>
      </w:pPr>
      <w:r w:rsidRPr="00991D7A">
        <w:rPr>
          <w:rFonts w:hint="eastAsia"/>
          <w:lang w:eastAsia="ja-JP"/>
        </w:rPr>
        <w:t>◎西村幸祐</w:t>
      </w:r>
      <w:r w:rsidRPr="00991D7A">
        <w:rPr>
          <w:lang w:eastAsia="ja-JP"/>
        </w:rPr>
        <w:t>(2010)</w:t>
      </w:r>
      <w:r w:rsidRPr="00991D7A">
        <w:rPr>
          <w:rFonts w:hint="eastAsia"/>
          <w:lang w:eastAsia="ja-JP"/>
        </w:rPr>
        <w:t>，外国人参政権の真実</w:t>
      </w:r>
      <w:r w:rsidR="00D92F56">
        <w:rPr>
          <w:lang w:eastAsia="ja-JP"/>
        </w:rPr>
        <w:t>〜</w:t>
      </w:r>
      <w:r w:rsidRPr="00991D7A">
        <w:rPr>
          <w:rFonts w:hint="eastAsia"/>
          <w:lang w:eastAsia="ja-JP"/>
        </w:rPr>
        <w:t>日本解体と日韓併合百年の呪縛，オークラ出版，頁</w:t>
      </w:r>
      <w:r w:rsidRPr="00991D7A">
        <w:rPr>
          <w:lang w:eastAsia="ja-JP"/>
        </w:rPr>
        <w:t>16-202</w:t>
      </w:r>
      <w:r w:rsidRPr="00991D7A">
        <w:rPr>
          <w:rFonts w:hint="eastAsia"/>
          <w:lang w:eastAsia="ja-JP"/>
        </w:rPr>
        <w:t>。</w:t>
      </w:r>
    </w:p>
    <w:p w14:paraId="78DE8565" w14:textId="77777777" w:rsidR="00991D7A" w:rsidRPr="00991D7A" w:rsidRDefault="00991D7A" w:rsidP="00D87D91">
      <w:pPr>
        <w:rPr>
          <w:lang w:eastAsia="ja-JP"/>
        </w:rPr>
      </w:pPr>
      <w:r w:rsidRPr="00991D7A">
        <w:rPr>
          <w:rFonts w:hint="eastAsia"/>
          <w:lang w:eastAsia="ja-JP"/>
        </w:rPr>
        <w:t>◎青井未帆、赤阪幸一、小泉良幸、小島慎司、宍戸常壽、曽我部真裕、中林暁生、西村裕一、林知更</w:t>
      </w:r>
      <w:r w:rsidRPr="00991D7A">
        <w:rPr>
          <w:lang w:eastAsia="ja-JP"/>
        </w:rPr>
        <w:t>(2013)</w:t>
      </w:r>
      <w:r w:rsidRPr="00991D7A">
        <w:rPr>
          <w:rFonts w:hint="eastAsia"/>
          <w:lang w:eastAsia="ja-JP"/>
        </w:rPr>
        <w:t>，憲法學の世界，日本評論社，頁</w:t>
      </w:r>
      <w:r w:rsidRPr="00991D7A">
        <w:rPr>
          <w:lang w:eastAsia="ja-JP"/>
        </w:rPr>
        <w:t>1-260</w:t>
      </w:r>
      <w:r w:rsidRPr="00991D7A">
        <w:rPr>
          <w:rFonts w:hint="eastAsia"/>
          <w:lang w:eastAsia="ja-JP"/>
        </w:rPr>
        <w:t>。</w:t>
      </w:r>
    </w:p>
    <w:p w14:paraId="0BB071A6" w14:textId="77777777" w:rsidR="00991D7A" w:rsidRPr="00991D7A" w:rsidRDefault="00991D7A" w:rsidP="00D87D91">
      <w:pPr>
        <w:rPr>
          <w:lang w:eastAsia="ja-JP"/>
        </w:rPr>
      </w:pPr>
      <w:r w:rsidRPr="00991D7A">
        <w:rPr>
          <w:rFonts w:hint="eastAsia"/>
          <w:lang w:eastAsia="ja-JP"/>
        </w:rPr>
        <w:t>◎赤松祐之</w:t>
      </w:r>
      <w:r w:rsidRPr="00991D7A">
        <w:rPr>
          <w:rFonts w:hint="eastAsia"/>
          <w:lang w:eastAsia="ja-JP"/>
        </w:rPr>
        <w:t xml:space="preserve">(1933). </w:t>
      </w:r>
      <w:r w:rsidRPr="00991D7A">
        <w:rPr>
          <w:rFonts w:hint="eastAsia"/>
          <w:lang w:eastAsia="ja-JP"/>
        </w:rPr>
        <w:t>極東阿片問題</w:t>
      </w:r>
      <w:r w:rsidR="00D92F56">
        <w:rPr>
          <w:rFonts w:hint="eastAsia"/>
          <w:lang w:eastAsia="ja-JP"/>
        </w:rPr>
        <w:t>〜</w:t>
      </w:r>
      <w:r w:rsidRPr="00991D7A">
        <w:rPr>
          <w:rFonts w:hint="eastAsia"/>
          <w:lang w:eastAsia="ja-JP"/>
        </w:rPr>
        <w:t>國際聯盟極東阿片調查委員會報告書，東京：社團法人國際聯盟協會，第</w:t>
      </w:r>
      <w:r w:rsidRPr="00991D7A">
        <w:rPr>
          <w:rFonts w:hint="eastAsia"/>
          <w:lang w:eastAsia="ja-JP"/>
        </w:rPr>
        <w:t>139-150</w:t>
      </w:r>
      <w:r w:rsidRPr="00991D7A">
        <w:rPr>
          <w:rFonts w:hint="eastAsia"/>
          <w:lang w:eastAsia="ja-JP"/>
        </w:rPr>
        <w:t>頁。</w:t>
      </w:r>
    </w:p>
    <w:p w14:paraId="0B04ADD2" w14:textId="77777777" w:rsidR="00991D7A" w:rsidRPr="00991D7A" w:rsidRDefault="00991D7A" w:rsidP="00D87D91">
      <w:pPr>
        <w:rPr>
          <w:lang w:eastAsia="ja-JP"/>
        </w:rPr>
      </w:pPr>
      <w:r w:rsidRPr="00991D7A">
        <w:rPr>
          <w:rFonts w:hint="eastAsia"/>
          <w:lang w:eastAsia="ja-JP"/>
        </w:rPr>
        <w:t>◎浅川晃広</w:t>
      </w:r>
      <w:r w:rsidRPr="00991D7A">
        <w:rPr>
          <w:lang w:eastAsia="ja-JP"/>
        </w:rPr>
        <w:t>(2003)</w:t>
      </w:r>
      <w:r w:rsidRPr="00991D7A">
        <w:rPr>
          <w:rFonts w:hint="eastAsia"/>
          <w:lang w:eastAsia="ja-JP"/>
        </w:rPr>
        <w:t>，在日外国人と帰化制度，新幹社，頁</w:t>
      </w:r>
      <w:r w:rsidRPr="00991D7A">
        <w:rPr>
          <w:lang w:eastAsia="ja-JP"/>
        </w:rPr>
        <w:t>61-195</w:t>
      </w:r>
      <w:r w:rsidR="00545D58">
        <w:rPr>
          <w:rFonts w:hint="eastAsia"/>
          <w:lang w:eastAsia="ja-JP"/>
        </w:rPr>
        <w:t>。</w:t>
      </w:r>
    </w:p>
    <w:p w14:paraId="4D8D13D3" w14:textId="77777777" w:rsidR="00991D7A" w:rsidRPr="00991D7A" w:rsidRDefault="00991D7A" w:rsidP="00D87D91">
      <w:pPr>
        <w:rPr>
          <w:lang w:eastAsia="ja-JP"/>
        </w:rPr>
      </w:pPr>
      <w:r w:rsidRPr="00991D7A">
        <w:rPr>
          <w:rFonts w:hint="eastAsia"/>
          <w:lang w:eastAsia="ja-JP"/>
        </w:rPr>
        <w:t>◎早川智津子</w:t>
      </w:r>
      <w:r w:rsidRPr="00991D7A">
        <w:rPr>
          <w:lang w:eastAsia="ja-JP"/>
        </w:rPr>
        <w:t>(2008)</w:t>
      </w:r>
      <w:r w:rsidRPr="00991D7A">
        <w:rPr>
          <w:rFonts w:hint="eastAsia"/>
          <w:lang w:eastAsia="ja-JP"/>
        </w:rPr>
        <w:t>，外国人労働の法政策，信山社，頁</w:t>
      </w:r>
      <w:r w:rsidRPr="00991D7A">
        <w:rPr>
          <w:lang w:eastAsia="ja-JP"/>
        </w:rPr>
        <w:t>24-349</w:t>
      </w:r>
      <w:r w:rsidRPr="00991D7A">
        <w:rPr>
          <w:rFonts w:hint="eastAsia"/>
          <w:lang w:eastAsia="ja-JP"/>
        </w:rPr>
        <w:t>。</w:t>
      </w:r>
    </w:p>
    <w:p w14:paraId="383E6AE2"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(1899). </w:t>
      </w:r>
      <w:r w:rsidRPr="00991D7A">
        <w:rPr>
          <w:rFonts w:hint="eastAsia"/>
          <w:lang w:eastAsia="ja-JP"/>
        </w:rPr>
        <w:t>台灣總督府第</w:t>
      </w:r>
      <w:r w:rsidRPr="00991D7A">
        <w:rPr>
          <w:rFonts w:hint="eastAsia"/>
          <w:lang w:eastAsia="ja-JP"/>
        </w:rPr>
        <w:t>1</w:t>
      </w:r>
      <w:r w:rsidRPr="00991D7A">
        <w:rPr>
          <w:rFonts w:hint="eastAsia"/>
          <w:lang w:eastAsia="ja-JP"/>
        </w:rPr>
        <w:t>統計書，台灣：台灣總督府。</w:t>
      </w:r>
    </w:p>
    <w:p w14:paraId="4D9722CA"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(1900). </w:t>
      </w:r>
      <w:r w:rsidRPr="00991D7A">
        <w:rPr>
          <w:rFonts w:hint="eastAsia"/>
          <w:lang w:eastAsia="ja-JP"/>
        </w:rPr>
        <w:t>台灣總督府第</w:t>
      </w:r>
      <w:r w:rsidRPr="00991D7A">
        <w:rPr>
          <w:rFonts w:hint="eastAsia"/>
          <w:lang w:eastAsia="ja-JP"/>
        </w:rPr>
        <w:t>2</w:t>
      </w:r>
      <w:r w:rsidRPr="00991D7A">
        <w:rPr>
          <w:rFonts w:hint="eastAsia"/>
          <w:lang w:eastAsia="ja-JP"/>
        </w:rPr>
        <w:t>統計書，台灣：台灣總督府。</w:t>
      </w:r>
    </w:p>
    <w:p w14:paraId="3A1E6C2F"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(1901). </w:t>
      </w:r>
      <w:r w:rsidRPr="00991D7A">
        <w:rPr>
          <w:rFonts w:hint="eastAsia"/>
          <w:lang w:eastAsia="ja-JP"/>
        </w:rPr>
        <w:t>台灣總督府第</w:t>
      </w:r>
      <w:r w:rsidRPr="00991D7A">
        <w:rPr>
          <w:rFonts w:hint="eastAsia"/>
          <w:lang w:eastAsia="ja-JP"/>
        </w:rPr>
        <w:t>3</w:t>
      </w:r>
      <w:r w:rsidRPr="00991D7A">
        <w:rPr>
          <w:rFonts w:hint="eastAsia"/>
          <w:lang w:eastAsia="ja-JP"/>
        </w:rPr>
        <w:t>統計書，台灣：台灣總督府</w:t>
      </w:r>
      <w:r w:rsidR="00545D58">
        <w:rPr>
          <w:rFonts w:hint="eastAsia"/>
          <w:lang w:eastAsia="ja-JP"/>
        </w:rPr>
        <w:t>。</w:t>
      </w:r>
    </w:p>
    <w:p w14:paraId="3C2927E2"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(1902). </w:t>
      </w:r>
      <w:r w:rsidRPr="00991D7A">
        <w:rPr>
          <w:rFonts w:hint="eastAsia"/>
          <w:lang w:eastAsia="ja-JP"/>
        </w:rPr>
        <w:t>台灣總督府第</w:t>
      </w:r>
      <w:r w:rsidRPr="00991D7A">
        <w:rPr>
          <w:rFonts w:hint="eastAsia"/>
          <w:lang w:eastAsia="ja-JP"/>
        </w:rPr>
        <w:t>4</w:t>
      </w:r>
      <w:r w:rsidRPr="00991D7A">
        <w:rPr>
          <w:rFonts w:hint="eastAsia"/>
          <w:lang w:eastAsia="ja-JP"/>
        </w:rPr>
        <w:t>統計書，台灣：台灣總督府。</w:t>
      </w:r>
    </w:p>
    <w:p w14:paraId="11EBD6A8"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(1903). </w:t>
      </w:r>
      <w:r w:rsidRPr="00991D7A">
        <w:rPr>
          <w:rFonts w:hint="eastAsia"/>
          <w:lang w:eastAsia="ja-JP"/>
        </w:rPr>
        <w:t>台灣總督府第</w:t>
      </w:r>
      <w:r w:rsidRPr="00991D7A">
        <w:rPr>
          <w:rFonts w:hint="eastAsia"/>
          <w:lang w:eastAsia="ja-JP"/>
        </w:rPr>
        <w:t>5</w:t>
      </w:r>
      <w:r w:rsidRPr="00991D7A">
        <w:rPr>
          <w:rFonts w:hint="eastAsia"/>
          <w:lang w:eastAsia="ja-JP"/>
        </w:rPr>
        <w:t>統計書，台灣：台灣總督府。</w:t>
      </w:r>
    </w:p>
    <w:p w14:paraId="1F969E6F"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(1903). </w:t>
      </w:r>
      <w:r w:rsidRPr="00991D7A">
        <w:rPr>
          <w:rFonts w:hint="eastAsia"/>
          <w:lang w:eastAsia="ja-JP"/>
        </w:rPr>
        <w:t>台灣總督府第</w:t>
      </w:r>
      <w:r w:rsidRPr="00991D7A">
        <w:rPr>
          <w:rFonts w:hint="eastAsia"/>
          <w:lang w:eastAsia="ja-JP"/>
        </w:rPr>
        <w:t>6</w:t>
      </w:r>
      <w:r w:rsidRPr="00991D7A">
        <w:rPr>
          <w:rFonts w:hint="eastAsia"/>
          <w:lang w:eastAsia="ja-JP"/>
        </w:rPr>
        <w:t>統計書，台灣：台灣總督府。</w:t>
      </w:r>
    </w:p>
    <w:p w14:paraId="7048D306"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(1904). </w:t>
      </w:r>
      <w:r w:rsidRPr="00991D7A">
        <w:rPr>
          <w:rFonts w:hint="eastAsia"/>
          <w:lang w:eastAsia="ja-JP"/>
        </w:rPr>
        <w:t>台灣總督府第</w:t>
      </w:r>
      <w:r w:rsidRPr="00991D7A">
        <w:rPr>
          <w:rFonts w:hint="eastAsia"/>
          <w:lang w:eastAsia="ja-JP"/>
        </w:rPr>
        <w:t>7</w:t>
      </w:r>
      <w:r w:rsidRPr="00991D7A">
        <w:rPr>
          <w:rFonts w:hint="eastAsia"/>
          <w:lang w:eastAsia="ja-JP"/>
        </w:rPr>
        <w:t>統計書，台灣：台灣總督府</w:t>
      </w:r>
      <w:r w:rsidR="00545D58">
        <w:rPr>
          <w:rFonts w:hint="eastAsia"/>
          <w:lang w:eastAsia="ja-JP"/>
        </w:rPr>
        <w:t>。</w:t>
      </w:r>
    </w:p>
    <w:p w14:paraId="34D4910E"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(1905). </w:t>
      </w:r>
      <w:r w:rsidRPr="00991D7A">
        <w:rPr>
          <w:rFonts w:hint="eastAsia"/>
          <w:lang w:eastAsia="ja-JP"/>
        </w:rPr>
        <w:t>台灣總督府第</w:t>
      </w:r>
      <w:r w:rsidRPr="00991D7A">
        <w:rPr>
          <w:rFonts w:hint="eastAsia"/>
          <w:lang w:eastAsia="ja-JP"/>
        </w:rPr>
        <w:t>8</w:t>
      </w:r>
      <w:r w:rsidRPr="00991D7A">
        <w:rPr>
          <w:rFonts w:hint="eastAsia"/>
          <w:lang w:eastAsia="ja-JP"/>
        </w:rPr>
        <w:t>統計書，台灣：台灣總督府。</w:t>
      </w:r>
    </w:p>
    <w:p w14:paraId="59CD93EF"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(1907). </w:t>
      </w:r>
      <w:r w:rsidRPr="00991D7A">
        <w:rPr>
          <w:rFonts w:hint="eastAsia"/>
          <w:lang w:eastAsia="ja-JP"/>
        </w:rPr>
        <w:t>台灣犯罪統計，台灣：台灣總督府</w:t>
      </w:r>
      <w:r w:rsidR="00545D58">
        <w:rPr>
          <w:rFonts w:hint="eastAsia"/>
          <w:lang w:eastAsia="ja-JP"/>
        </w:rPr>
        <w:t>。</w:t>
      </w:r>
    </w:p>
    <w:p w14:paraId="3EB12D76"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(1907). </w:t>
      </w:r>
      <w:r w:rsidRPr="00991D7A">
        <w:rPr>
          <w:rFonts w:hint="eastAsia"/>
          <w:lang w:eastAsia="ja-JP"/>
        </w:rPr>
        <w:t>台灣總督府第</w:t>
      </w:r>
      <w:r w:rsidRPr="00991D7A">
        <w:rPr>
          <w:rFonts w:hint="eastAsia"/>
          <w:lang w:eastAsia="ja-JP"/>
        </w:rPr>
        <w:t>10</w:t>
      </w:r>
      <w:r w:rsidRPr="00991D7A">
        <w:rPr>
          <w:rFonts w:hint="eastAsia"/>
          <w:lang w:eastAsia="ja-JP"/>
        </w:rPr>
        <w:t>統計書，台灣：台灣總督府。</w:t>
      </w:r>
    </w:p>
    <w:p w14:paraId="2E29E873"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(1907). </w:t>
      </w:r>
      <w:r w:rsidRPr="00991D7A">
        <w:rPr>
          <w:rFonts w:hint="eastAsia"/>
          <w:lang w:eastAsia="ja-JP"/>
        </w:rPr>
        <w:t>台灣總督府第</w:t>
      </w:r>
      <w:r w:rsidRPr="00991D7A">
        <w:rPr>
          <w:rFonts w:hint="eastAsia"/>
          <w:lang w:eastAsia="ja-JP"/>
        </w:rPr>
        <w:t>9</w:t>
      </w:r>
      <w:r w:rsidRPr="00991D7A">
        <w:rPr>
          <w:rFonts w:hint="eastAsia"/>
          <w:lang w:eastAsia="ja-JP"/>
        </w:rPr>
        <w:t>統計書，台灣：台灣總督府。</w:t>
      </w:r>
    </w:p>
    <w:p w14:paraId="18C762CA"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(1909). </w:t>
      </w:r>
      <w:r w:rsidRPr="00991D7A">
        <w:rPr>
          <w:rFonts w:hint="eastAsia"/>
          <w:lang w:eastAsia="ja-JP"/>
        </w:rPr>
        <w:t>台灣犯罪統計，台灣：台灣總督府。</w:t>
      </w:r>
    </w:p>
    <w:p w14:paraId="34259F26"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(1909). </w:t>
      </w:r>
      <w:r w:rsidRPr="00991D7A">
        <w:rPr>
          <w:rFonts w:hint="eastAsia"/>
          <w:lang w:eastAsia="ja-JP"/>
        </w:rPr>
        <w:t>台灣總督府第</w:t>
      </w:r>
      <w:r w:rsidRPr="00991D7A">
        <w:rPr>
          <w:rFonts w:hint="eastAsia"/>
          <w:lang w:eastAsia="ja-JP"/>
        </w:rPr>
        <w:t>11</w:t>
      </w:r>
      <w:r w:rsidRPr="00991D7A">
        <w:rPr>
          <w:rFonts w:hint="eastAsia"/>
          <w:lang w:eastAsia="ja-JP"/>
        </w:rPr>
        <w:t>統計書，台灣：台灣總督府。</w:t>
      </w:r>
    </w:p>
    <w:p w14:paraId="22573E63"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(1910). </w:t>
      </w:r>
      <w:r w:rsidRPr="00991D7A">
        <w:rPr>
          <w:rFonts w:hint="eastAsia"/>
          <w:lang w:eastAsia="ja-JP"/>
        </w:rPr>
        <w:t>台灣犯罪統計，台灣：台灣總督府</w:t>
      </w:r>
      <w:r w:rsidR="00545D58">
        <w:rPr>
          <w:rFonts w:hint="eastAsia"/>
          <w:lang w:eastAsia="ja-JP"/>
        </w:rPr>
        <w:t>。</w:t>
      </w:r>
    </w:p>
    <w:p w14:paraId="08011DAE"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(1910). </w:t>
      </w:r>
      <w:r w:rsidRPr="00991D7A">
        <w:rPr>
          <w:rFonts w:hint="eastAsia"/>
          <w:lang w:eastAsia="ja-JP"/>
        </w:rPr>
        <w:t>台灣總督府第</w:t>
      </w:r>
      <w:r w:rsidRPr="00991D7A">
        <w:rPr>
          <w:rFonts w:hint="eastAsia"/>
          <w:lang w:eastAsia="ja-JP"/>
        </w:rPr>
        <w:t>12</w:t>
      </w:r>
      <w:r w:rsidRPr="00991D7A">
        <w:rPr>
          <w:rFonts w:hint="eastAsia"/>
          <w:lang w:eastAsia="ja-JP"/>
        </w:rPr>
        <w:t>統計書，台灣：台灣總督府</w:t>
      </w:r>
      <w:r w:rsidR="00545D58">
        <w:rPr>
          <w:rFonts w:hint="eastAsia"/>
          <w:lang w:eastAsia="ja-JP"/>
        </w:rPr>
        <w:t>。</w:t>
      </w:r>
    </w:p>
    <w:p w14:paraId="2DDC5B27"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(1911). </w:t>
      </w:r>
      <w:r w:rsidRPr="00991D7A">
        <w:rPr>
          <w:rFonts w:hint="eastAsia"/>
          <w:lang w:eastAsia="ja-JP"/>
        </w:rPr>
        <w:t>台灣總督府第</w:t>
      </w:r>
      <w:r w:rsidRPr="00991D7A">
        <w:rPr>
          <w:rFonts w:hint="eastAsia"/>
          <w:lang w:eastAsia="ja-JP"/>
        </w:rPr>
        <w:t>13</w:t>
      </w:r>
      <w:r w:rsidRPr="00991D7A">
        <w:rPr>
          <w:rFonts w:hint="eastAsia"/>
          <w:lang w:eastAsia="ja-JP"/>
        </w:rPr>
        <w:t>統計書，台灣：台灣總督府。</w:t>
      </w:r>
    </w:p>
    <w:p w14:paraId="79A1B0D2"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(1912). </w:t>
      </w:r>
      <w:r w:rsidRPr="00991D7A">
        <w:rPr>
          <w:rFonts w:hint="eastAsia"/>
          <w:lang w:eastAsia="ja-JP"/>
        </w:rPr>
        <w:t>台灣犯罪統計，台灣：台灣總督府。</w:t>
      </w:r>
    </w:p>
    <w:p w14:paraId="4B095755"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(1912). </w:t>
      </w:r>
      <w:r w:rsidRPr="00991D7A">
        <w:rPr>
          <w:rFonts w:hint="eastAsia"/>
          <w:lang w:eastAsia="ja-JP"/>
        </w:rPr>
        <w:t>台灣總督府第</w:t>
      </w:r>
      <w:r w:rsidRPr="00991D7A">
        <w:rPr>
          <w:rFonts w:hint="eastAsia"/>
          <w:lang w:eastAsia="ja-JP"/>
        </w:rPr>
        <w:t>14</w:t>
      </w:r>
      <w:r w:rsidRPr="00991D7A">
        <w:rPr>
          <w:rFonts w:hint="eastAsia"/>
          <w:lang w:eastAsia="ja-JP"/>
        </w:rPr>
        <w:t>統計書，台灣：台灣總督府。</w:t>
      </w:r>
    </w:p>
    <w:p w14:paraId="40683936"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(1913). </w:t>
      </w:r>
      <w:r w:rsidRPr="00991D7A">
        <w:rPr>
          <w:rFonts w:hint="eastAsia"/>
          <w:lang w:eastAsia="ja-JP"/>
        </w:rPr>
        <w:t>台灣總督府第</w:t>
      </w:r>
      <w:r w:rsidRPr="00991D7A">
        <w:rPr>
          <w:rFonts w:hint="eastAsia"/>
          <w:lang w:eastAsia="ja-JP"/>
        </w:rPr>
        <w:t>15</w:t>
      </w:r>
      <w:r w:rsidRPr="00991D7A">
        <w:rPr>
          <w:rFonts w:hint="eastAsia"/>
          <w:lang w:eastAsia="ja-JP"/>
        </w:rPr>
        <w:t>統計書，台灣：台灣總督府。</w:t>
      </w:r>
    </w:p>
    <w:p w14:paraId="7967A494"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(1914). </w:t>
      </w:r>
      <w:r w:rsidRPr="00991D7A">
        <w:rPr>
          <w:rFonts w:hint="eastAsia"/>
          <w:lang w:eastAsia="ja-JP"/>
        </w:rPr>
        <w:t>台灣總督府第</w:t>
      </w:r>
      <w:r w:rsidRPr="00991D7A">
        <w:rPr>
          <w:rFonts w:hint="eastAsia"/>
          <w:lang w:eastAsia="ja-JP"/>
        </w:rPr>
        <w:t>16</w:t>
      </w:r>
      <w:r w:rsidRPr="00991D7A">
        <w:rPr>
          <w:rFonts w:hint="eastAsia"/>
          <w:lang w:eastAsia="ja-JP"/>
        </w:rPr>
        <w:t>統計書，台灣：台灣總督府。</w:t>
      </w:r>
    </w:p>
    <w:p w14:paraId="1821CB69"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(1915). </w:t>
      </w:r>
      <w:r w:rsidRPr="00991D7A">
        <w:rPr>
          <w:rFonts w:hint="eastAsia"/>
          <w:lang w:eastAsia="ja-JP"/>
        </w:rPr>
        <w:t>台灣犯罪統計，台灣：台灣總督府。</w:t>
      </w:r>
    </w:p>
    <w:p w14:paraId="6385488B"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(1915). </w:t>
      </w:r>
      <w:r w:rsidRPr="00991D7A">
        <w:rPr>
          <w:rFonts w:hint="eastAsia"/>
          <w:lang w:eastAsia="ja-JP"/>
        </w:rPr>
        <w:t>台灣總督府第</w:t>
      </w:r>
      <w:r w:rsidRPr="00991D7A">
        <w:rPr>
          <w:rFonts w:hint="eastAsia"/>
          <w:lang w:eastAsia="ja-JP"/>
        </w:rPr>
        <w:t>17</w:t>
      </w:r>
      <w:r w:rsidRPr="00991D7A">
        <w:rPr>
          <w:rFonts w:hint="eastAsia"/>
          <w:lang w:eastAsia="ja-JP"/>
        </w:rPr>
        <w:t>統計書，台灣：台灣總督府。</w:t>
      </w:r>
    </w:p>
    <w:p w14:paraId="0B3CEEB1"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(1916). </w:t>
      </w:r>
      <w:r w:rsidRPr="00991D7A">
        <w:rPr>
          <w:rFonts w:hint="eastAsia"/>
          <w:lang w:eastAsia="ja-JP"/>
        </w:rPr>
        <w:t>台灣犯罪統計，台灣：台灣總督府。</w:t>
      </w:r>
    </w:p>
    <w:p w14:paraId="3B9DA8E2"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(1916). </w:t>
      </w:r>
      <w:r w:rsidRPr="00991D7A">
        <w:rPr>
          <w:rFonts w:hint="eastAsia"/>
          <w:lang w:eastAsia="ja-JP"/>
        </w:rPr>
        <w:t>台灣總督府第</w:t>
      </w:r>
      <w:r w:rsidRPr="00991D7A">
        <w:rPr>
          <w:rFonts w:hint="eastAsia"/>
          <w:lang w:eastAsia="ja-JP"/>
        </w:rPr>
        <w:t>18</w:t>
      </w:r>
      <w:r w:rsidRPr="00991D7A">
        <w:rPr>
          <w:rFonts w:hint="eastAsia"/>
          <w:lang w:eastAsia="ja-JP"/>
        </w:rPr>
        <w:t>統計書，台灣：台灣總督府。</w:t>
      </w:r>
    </w:p>
    <w:p w14:paraId="2A64C2DD"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(1917). </w:t>
      </w:r>
      <w:r w:rsidRPr="00991D7A">
        <w:rPr>
          <w:rFonts w:hint="eastAsia"/>
          <w:lang w:eastAsia="ja-JP"/>
        </w:rPr>
        <w:t>台灣犯罪統計，台灣：台灣總督府。</w:t>
      </w:r>
    </w:p>
    <w:p w14:paraId="76946D2D"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(1917). </w:t>
      </w:r>
      <w:r w:rsidRPr="00991D7A">
        <w:rPr>
          <w:rFonts w:hint="eastAsia"/>
          <w:lang w:eastAsia="ja-JP"/>
        </w:rPr>
        <w:t>台灣總督府第</w:t>
      </w:r>
      <w:r w:rsidRPr="00991D7A">
        <w:rPr>
          <w:rFonts w:hint="eastAsia"/>
          <w:lang w:eastAsia="ja-JP"/>
        </w:rPr>
        <w:t>19</w:t>
      </w:r>
      <w:r w:rsidRPr="00991D7A">
        <w:rPr>
          <w:rFonts w:hint="eastAsia"/>
          <w:lang w:eastAsia="ja-JP"/>
        </w:rPr>
        <w:t>統計書，台灣：台灣總督府。</w:t>
      </w:r>
    </w:p>
    <w:p w14:paraId="372D4FD5"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(1918). </w:t>
      </w:r>
      <w:r w:rsidRPr="00991D7A">
        <w:rPr>
          <w:rFonts w:hint="eastAsia"/>
          <w:lang w:eastAsia="ja-JP"/>
        </w:rPr>
        <w:t>台灣犯罪統計，台灣：台灣總督府。</w:t>
      </w:r>
    </w:p>
    <w:p w14:paraId="605C7B37"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(1918). </w:t>
      </w:r>
      <w:r w:rsidRPr="00991D7A">
        <w:rPr>
          <w:rFonts w:hint="eastAsia"/>
          <w:lang w:eastAsia="ja-JP"/>
        </w:rPr>
        <w:t>台灣總督府第</w:t>
      </w:r>
      <w:r w:rsidRPr="00991D7A">
        <w:rPr>
          <w:rFonts w:hint="eastAsia"/>
          <w:lang w:eastAsia="ja-JP"/>
        </w:rPr>
        <w:t>20</w:t>
      </w:r>
      <w:r w:rsidRPr="00991D7A">
        <w:rPr>
          <w:rFonts w:hint="eastAsia"/>
          <w:lang w:eastAsia="ja-JP"/>
        </w:rPr>
        <w:t>統計書，台灣：台灣總督府。</w:t>
      </w:r>
    </w:p>
    <w:p w14:paraId="56EFC8D7"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(1919). </w:t>
      </w:r>
      <w:r w:rsidRPr="00991D7A">
        <w:rPr>
          <w:rFonts w:hint="eastAsia"/>
          <w:lang w:eastAsia="ja-JP"/>
        </w:rPr>
        <w:t>台灣總督府第</w:t>
      </w:r>
      <w:r w:rsidRPr="00991D7A">
        <w:rPr>
          <w:rFonts w:hint="eastAsia"/>
          <w:lang w:eastAsia="ja-JP"/>
        </w:rPr>
        <w:t>21</w:t>
      </w:r>
      <w:r w:rsidRPr="00991D7A">
        <w:rPr>
          <w:rFonts w:hint="eastAsia"/>
          <w:lang w:eastAsia="ja-JP"/>
        </w:rPr>
        <w:t>統計書，台灣：台灣總督府。</w:t>
      </w:r>
    </w:p>
    <w:p w14:paraId="47F8D478"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(1920). </w:t>
      </w:r>
      <w:r w:rsidRPr="00991D7A">
        <w:rPr>
          <w:rFonts w:hint="eastAsia"/>
          <w:lang w:eastAsia="ja-JP"/>
        </w:rPr>
        <w:t>台灣犯罪統計，台灣：台灣總督府。</w:t>
      </w:r>
    </w:p>
    <w:p w14:paraId="2FFBDCCE"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(1920). </w:t>
      </w:r>
      <w:r w:rsidRPr="00991D7A">
        <w:rPr>
          <w:rFonts w:hint="eastAsia"/>
          <w:lang w:eastAsia="ja-JP"/>
        </w:rPr>
        <w:t>台灣總督府第</w:t>
      </w:r>
      <w:r w:rsidRPr="00991D7A">
        <w:rPr>
          <w:rFonts w:hint="eastAsia"/>
          <w:lang w:eastAsia="ja-JP"/>
        </w:rPr>
        <w:t>22</w:t>
      </w:r>
      <w:r w:rsidRPr="00991D7A">
        <w:rPr>
          <w:rFonts w:hint="eastAsia"/>
          <w:lang w:eastAsia="ja-JP"/>
        </w:rPr>
        <w:t>統計書，台灣：台灣總督府。</w:t>
      </w:r>
    </w:p>
    <w:p w14:paraId="6C52A32D"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(1921). </w:t>
      </w:r>
      <w:r w:rsidRPr="00991D7A">
        <w:rPr>
          <w:rFonts w:hint="eastAsia"/>
          <w:lang w:eastAsia="ja-JP"/>
        </w:rPr>
        <w:t>台灣犯罪統計，台灣：台灣總督府。</w:t>
      </w:r>
    </w:p>
    <w:p w14:paraId="394AD51B"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(1921). </w:t>
      </w:r>
      <w:r w:rsidRPr="00991D7A">
        <w:rPr>
          <w:rFonts w:hint="eastAsia"/>
          <w:lang w:eastAsia="ja-JP"/>
        </w:rPr>
        <w:t>台灣總督府第</w:t>
      </w:r>
      <w:r w:rsidRPr="00991D7A">
        <w:rPr>
          <w:rFonts w:hint="eastAsia"/>
          <w:lang w:eastAsia="ja-JP"/>
        </w:rPr>
        <w:t>23</w:t>
      </w:r>
      <w:r w:rsidRPr="00991D7A">
        <w:rPr>
          <w:rFonts w:hint="eastAsia"/>
          <w:lang w:eastAsia="ja-JP"/>
        </w:rPr>
        <w:t>統計書，台灣：台灣總督府。</w:t>
      </w:r>
    </w:p>
    <w:p w14:paraId="06DE4C0C"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(1922). </w:t>
      </w:r>
      <w:r w:rsidRPr="00991D7A">
        <w:rPr>
          <w:rFonts w:hint="eastAsia"/>
          <w:lang w:eastAsia="ja-JP"/>
        </w:rPr>
        <w:t>台灣犯罪統計，台灣：台灣總督府。</w:t>
      </w:r>
    </w:p>
    <w:p w14:paraId="191816AB"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(1922). </w:t>
      </w:r>
      <w:r w:rsidRPr="00991D7A">
        <w:rPr>
          <w:rFonts w:hint="eastAsia"/>
          <w:lang w:eastAsia="ja-JP"/>
        </w:rPr>
        <w:t>台灣總督府第</w:t>
      </w:r>
      <w:r w:rsidRPr="00991D7A">
        <w:rPr>
          <w:rFonts w:hint="eastAsia"/>
          <w:lang w:eastAsia="ja-JP"/>
        </w:rPr>
        <w:t>24</w:t>
      </w:r>
      <w:r w:rsidRPr="00991D7A">
        <w:rPr>
          <w:rFonts w:hint="eastAsia"/>
          <w:lang w:eastAsia="ja-JP"/>
        </w:rPr>
        <w:t>統計書，台灣：台灣總督府。</w:t>
      </w:r>
    </w:p>
    <w:p w14:paraId="4C2A5B56"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(1923). </w:t>
      </w:r>
      <w:r w:rsidRPr="00991D7A">
        <w:rPr>
          <w:rFonts w:hint="eastAsia"/>
          <w:lang w:eastAsia="ja-JP"/>
        </w:rPr>
        <w:t>台灣犯罪統計，台灣：台灣總督府</w:t>
      </w:r>
      <w:r w:rsidR="00545D58">
        <w:rPr>
          <w:rFonts w:hint="eastAsia"/>
          <w:lang w:eastAsia="ja-JP"/>
        </w:rPr>
        <w:t>。</w:t>
      </w:r>
    </w:p>
    <w:p w14:paraId="0FFEDB72"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(1923). </w:t>
      </w:r>
      <w:r w:rsidRPr="00991D7A">
        <w:rPr>
          <w:rFonts w:hint="eastAsia"/>
          <w:lang w:eastAsia="ja-JP"/>
        </w:rPr>
        <w:t>台灣總督府第</w:t>
      </w:r>
      <w:r w:rsidRPr="00991D7A">
        <w:rPr>
          <w:rFonts w:hint="eastAsia"/>
          <w:lang w:eastAsia="ja-JP"/>
        </w:rPr>
        <w:t>25</w:t>
      </w:r>
      <w:r w:rsidRPr="00991D7A">
        <w:rPr>
          <w:rFonts w:hint="eastAsia"/>
          <w:lang w:eastAsia="ja-JP"/>
        </w:rPr>
        <w:t>統計書，台灣：台灣總督府</w:t>
      </w:r>
      <w:r w:rsidR="00545D58">
        <w:rPr>
          <w:rFonts w:hint="eastAsia"/>
          <w:lang w:eastAsia="ja-JP"/>
        </w:rPr>
        <w:t>。</w:t>
      </w:r>
    </w:p>
    <w:p w14:paraId="3F3558CA"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(1924). </w:t>
      </w:r>
      <w:r w:rsidRPr="00991D7A">
        <w:rPr>
          <w:rFonts w:hint="eastAsia"/>
          <w:lang w:eastAsia="ja-JP"/>
        </w:rPr>
        <w:t>台灣犯罪統計，台灣：台灣總督府。</w:t>
      </w:r>
    </w:p>
    <w:p w14:paraId="7C9C15F2"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(1924). </w:t>
      </w:r>
      <w:r w:rsidRPr="00991D7A">
        <w:rPr>
          <w:rFonts w:hint="eastAsia"/>
          <w:lang w:eastAsia="ja-JP"/>
        </w:rPr>
        <w:t>台灣總督府第</w:t>
      </w:r>
      <w:r w:rsidRPr="00991D7A">
        <w:rPr>
          <w:rFonts w:hint="eastAsia"/>
          <w:lang w:eastAsia="ja-JP"/>
        </w:rPr>
        <w:t>26</w:t>
      </w:r>
      <w:r w:rsidRPr="00991D7A">
        <w:rPr>
          <w:rFonts w:hint="eastAsia"/>
          <w:lang w:eastAsia="ja-JP"/>
        </w:rPr>
        <w:t>統計書，台灣：台灣總督府。</w:t>
      </w:r>
    </w:p>
    <w:p w14:paraId="0B02D995"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(1925). </w:t>
      </w:r>
      <w:r w:rsidRPr="00991D7A">
        <w:rPr>
          <w:rFonts w:hint="eastAsia"/>
          <w:lang w:eastAsia="ja-JP"/>
        </w:rPr>
        <w:t>台灣犯罪統計，台灣：台灣總督府。</w:t>
      </w:r>
    </w:p>
    <w:p w14:paraId="0761D591"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(1925). </w:t>
      </w:r>
      <w:r w:rsidRPr="00991D7A">
        <w:rPr>
          <w:rFonts w:hint="eastAsia"/>
          <w:lang w:eastAsia="ja-JP"/>
        </w:rPr>
        <w:t>台灣總督府第</w:t>
      </w:r>
      <w:r w:rsidRPr="00991D7A">
        <w:rPr>
          <w:rFonts w:hint="eastAsia"/>
          <w:lang w:eastAsia="ja-JP"/>
        </w:rPr>
        <w:t>27</w:t>
      </w:r>
      <w:r w:rsidRPr="00991D7A">
        <w:rPr>
          <w:rFonts w:hint="eastAsia"/>
          <w:lang w:eastAsia="ja-JP"/>
        </w:rPr>
        <w:t>統計書，台灣：台灣總督府。</w:t>
      </w:r>
    </w:p>
    <w:p w14:paraId="4F4AC423"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(1926). </w:t>
      </w:r>
      <w:r w:rsidRPr="00991D7A">
        <w:rPr>
          <w:rFonts w:hint="eastAsia"/>
          <w:lang w:eastAsia="ja-JP"/>
        </w:rPr>
        <w:t>台灣犯罪統計，台灣：台灣總督府</w:t>
      </w:r>
      <w:r w:rsidR="00545D58">
        <w:rPr>
          <w:rFonts w:hint="eastAsia"/>
          <w:lang w:eastAsia="ja-JP"/>
        </w:rPr>
        <w:t>。</w:t>
      </w:r>
    </w:p>
    <w:p w14:paraId="02534FDB"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(1926). </w:t>
      </w:r>
      <w:r w:rsidRPr="00991D7A">
        <w:rPr>
          <w:rFonts w:hint="eastAsia"/>
          <w:lang w:eastAsia="ja-JP"/>
        </w:rPr>
        <w:t>台灣總督府第</w:t>
      </w:r>
      <w:r w:rsidRPr="00991D7A">
        <w:rPr>
          <w:rFonts w:hint="eastAsia"/>
          <w:lang w:eastAsia="ja-JP"/>
        </w:rPr>
        <w:t>28</w:t>
      </w:r>
      <w:r w:rsidRPr="00991D7A">
        <w:rPr>
          <w:rFonts w:hint="eastAsia"/>
          <w:lang w:eastAsia="ja-JP"/>
        </w:rPr>
        <w:t>統計書，台灣：台灣總督府</w:t>
      </w:r>
      <w:r w:rsidR="00545D58">
        <w:rPr>
          <w:rFonts w:hint="eastAsia"/>
          <w:lang w:eastAsia="ja-JP"/>
        </w:rPr>
        <w:t>。</w:t>
      </w:r>
    </w:p>
    <w:p w14:paraId="512B2F91"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(1927). </w:t>
      </w:r>
      <w:r w:rsidRPr="00991D7A">
        <w:rPr>
          <w:rFonts w:hint="eastAsia"/>
          <w:lang w:eastAsia="ja-JP"/>
        </w:rPr>
        <w:t>台灣犯罪統計，台灣：台灣總督府。</w:t>
      </w:r>
    </w:p>
    <w:p w14:paraId="00CCB190"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(1927). </w:t>
      </w:r>
      <w:r w:rsidRPr="00991D7A">
        <w:rPr>
          <w:rFonts w:hint="eastAsia"/>
          <w:lang w:eastAsia="ja-JP"/>
        </w:rPr>
        <w:t>台灣總督府第</w:t>
      </w:r>
      <w:r w:rsidRPr="00991D7A">
        <w:rPr>
          <w:rFonts w:hint="eastAsia"/>
          <w:lang w:eastAsia="ja-JP"/>
        </w:rPr>
        <w:t>29</w:t>
      </w:r>
      <w:r w:rsidRPr="00991D7A">
        <w:rPr>
          <w:rFonts w:hint="eastAsia"/>
          <w:lang w:eastAsia="ja-JP"/>
        </w:rPr>
        <w:t>統計書，台灣：台灣總督府。</w:t>
      </w:r>
    </w:p>
    <w:p w14:paraId="47C48A4C"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(1928). </w:t>
      </w:r>
      <w:r w:rsidRPr="00991D7A">
        <w:rPr>
          <w:rFonts w:hint="eastAsia"/>
          <w:lang w:eastAsia="ja-JP"/>
        </w:rPr>
        <w:t>台灣犯罪統計，台灣：台灣總督府</w:t>
      </w:r>
      <w:r w:rsidR="00545D58">
        <w:rPr>
          <w:rFonts w:hint="eastAsia"/>
          <w:lang w:eastAsia="ja-JP"/>
        </w:rPr>
        <w:t>。</w:t>
      </w:r>
    </w:p>
    <w:p w14:paraId="59FA6D29"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(1928). </w:t>
      </w:r>
      <w:r w:rsidRPr="00991D7A">
        <w:rPr>
          <w:rFonts w:hint="eastAsia"/>
          <w:lang w:eastAsia="ja-JP"/>
        </w:rPr>
        <w:t>台灣總督府第</w:t>
      </w:r>
      <w:r w:rsidRPr="00991D7A">
        <w:rPr>
          <w:rFonts w:hint="eastAsia"/>
          <w:lang w:eastAsia="ja-JP"/>
        </w:rPr>
        <w:t>30</w:t>
      </w:r>
      <w:r w:rsidRPr="00991D7A">
        <w:rPr>
          <w:rFonts w:hint="eastAsia"/>
          <w:lang w:eastAsia="ja-JP"/>
        </w:rPr>
        <w:t>統計書，台灣：台灣總督府</w:t>
      </w:r>
      <w:r w:rsidR="00545D58">
        <w:rPr>
          <w:rFonts w:hint="eastAsia"/>
          <w:lang w:eastAsia="ja-JP"/>
        </w:rPr>
        <w:t>。</w:t>
      </w:r>
    </w:p>
    <w:p w14:paraId="773AA43E"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(1929). </w:t>
      </w:r>
      <w:r w:rsidRPr="00991D7A">
        <w:rPr>
          <w:rFonts w:hint="eastAsia"/>
          <w:lang w:eastAsia="ja-JP"/>
        </w:rPr>
        <w:t>台灣犯罪統計，台灣：台灣總督府</w:t>
      </w:r>
      <w:r w:rsidR="00545D58">
        <w:rPr>
          <w:rFonts w:hint="eastAsia"/>
          <w:lang w:eastAsia="ja-JP"/>
        </w:rPr>
        <w:t>。</w:t>
      </w:r>
    </w:p>
    <w:p w14:paraId="1FBBE360"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(1929). </w:t>
      </w:r>
      <w:r w:rsidRPr="00991D7A">
        <w:rPr>
          <w:rFonts w:hint="eastAsia"/>
          <w:lang w:eastAsia="ja-JP"/>
        </w:rPr>
        <w:t>台灣總督府第</w:t>
      </w:r>
      <w:r w:rsidRPr="00991D7A">
        <w:rPr>
          <w:rFonts w:hint="eastAsia"/>
          <w:lang w:eastAsia="ja-JP"/>
        </w:rPr>
        <w:t>31</w:t>
      </w:r>
      <w:r w:rsidRPr="00991D7A">
        <w:rPr>
          <w:rFonts w:hint="eastAsia"/>
          <w:lang w:eastAsia="ja-JP"/>
        </w:rPr>
        <w:t>統計書，台灣：台灣總督府</w:t>
      </w:r>
      <w:r w:rsidR="00545D58">
        <w:rPr>
          <w:rFonts w:hint="eastAsia"/>
          <w:lang w:eastAsia="ja-JP"/>
        </w:rPr>
        <w:t>。</w:t>
      </w:r>
    </w:p>
    <w:p w14:paraId="060E8F4E"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(1930). </w:t>
      </w:r>
      <w:r w:rsidRPr="00991D7A">
        <w:rPr>
          <w:rFonts w:hint="eastAsia"/>
          <w:lang w:eastAsia="ja-JP"/>
        </w:rPr>
        <w:t>台灣犯罪統計，台灣：台灣總督府。</w:t>
      </w:r>
    </w:p>
    <w:p w14:paraId="779C4400"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(1930). </w:t>
      </w:r>
      <w:r w:rsidRPr="00991D7A">
        <w:rPr>
          <w:rFonts w:hint="eastAsia"/>
          <w:lang w:eastAsia="ja-JP"/>
        </w:rPr>
        <w:t>台灣總督府第</w:t>
      </w:r>
      <w:r w:rsidRPr="00991D7A">
        <w:rPr>
          <w:rFonts w:hint="eastAsia"/>
          <w:lang w:eastAsia="ja-JP"/>
        </w:rPr>
        <w:t>32</w:t>
      </w:r>
      <w:r w:rsidRPr="00991D7A">
        <w:rPr>
          <w:rFonts w:hint="eastAsia"/>
          <w:lang w:eastAsia="ja-JP"/>
        </w:rPr>
        <w:t>統計書，台灣：台灣總督府。</w:t>
      </w:r>
    </w:p>
    <w:p w14:paraId="40E9BBB2"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(1931). </w:t>
      </w:r>
      <w:r w:rsidRPr="00991D7A">
        <w:rPr>
          <w:rFonts w:hint="eastAsia"/>
          <w:lang w:eastAsia="ja-JP"/>
        </w:rPr>
        <w:t>台灣犯罪統計，台灣：台灣總督府。</w:t>
      </w:r>
    </w:p>
    <w:p w14:paraId="61D273B4"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(1931). </w:t>
      </w:r>
      <w:r w:rsidRPr="00991D7A">
        <w:rPr>
          <w:rFonts w:hint="eastAsia"/>
          <w:lang w:eastAsia="ja-JP"/>
        </w:rPr>
        <w:t>台灣總督府第</w:t>
      </w:r>
      <w:r w:rsidRPr="00991D7A">
        <w:rPr>
          <w:rFonts w:hint="eastAsia"/>
          <w:lang w:eastAsia="ja-JP"/>
        </w:rPr>
        <w:t>33</w:t>
      </w:r>
      <w:r w:rsidRPr="00991D7A">
        <w:rPr>
          <w:rFonts w:hint="eastAsia"/>
          <w:lang w:eastAsia="ja-JP"/>
        </w:rPr>
        <w:t>統計書，台灣：台灣總督府。</w:t>
      </w:r>
    </w:p>
    <w:p w14:paraId="61ADAAA3"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(1932). </w:t>
      </w:r>
      <w:r w:rsidRPr="00991D7A">
        <w:rPr>
          <w:rFonts w:hint="eastAsia"/>
          <w:lang w:eastAsia="ja-JP"/>
        </w:rPr>
        <w:t>台灣犯罪統計，台灣：台灣總督府</w:t>
      </w:r>
      <w:r w:rsidR="00545D58">
        <w:rPr>
          <w:rFonts w:hint="eastAsia"/>
          <w:lang w:eastAsia="ja-JP"/>
        </w:rPr>
        <w:t>。</w:t>
      </w:r>
    </w:p>
    <w:p w14:paraId="5E781EC8"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(1932). </w:t>
      </w:r>
      <w:r w:rsidRPr="00991D7A">
        <w:rPr>
          <w:rFonts w:hint="eastAsia"/>
          <w:lang w:eastAsia="ja-JP"/>
        </w:rPr>
        <w:t>台灣總督府第</w:t>
      </w:r>
      <w:r w:rsidRPr="00991D7A">
        <w:rPr>
          <w:rFonts w:hint="eastAsia"/>
          <w:lang w:eastAsia="ja-JP"/>
        </w:rPr>
        <w:t>34</w:t>
      </w:r>
      <w:r w:rsidRPr="00991D7A">
        <w:rPr>
          <w:rFonts w:hint="eastAsia"/>
          <w:lang w:eastAsia="ja-JP"/>
        </w:rPr>
        <w:t>統計書</w:t>
      </w:r>
      <w:r w:rsidRPr="00991D7A">
        <w:rPr>
          <w:rFonts w:hint="eastAsia"/>
          <w:lang w:eastAsia="ja-JP"/>
        </w:rPr>
        <w:t>(</w:t>
      </w:r>
      <w:r w:rsidRPr="00991D7A">
        <w:rPr>
          <w:rFonts w:hint="eastAsia"/>
          <w:lang w:eastAsia="ja-JP"/>
        </w:rPr>
        <w:t>下</w:t>
      </w:r>
      <w:r w:rsidRPr="00991D7A">
        <w:rPr>
          <w:rFonts w:hint="eastAsia"/>
          <w:lang w:eastAsia="ja-JP"/>
        </w:rPr>
        <w:t>)</w:t>
      </w:r>
      <w:r w:rsidRPr="00991D7A">
        <w:rPr>
          <w:rFonts w:hint="eastAsia"/>
          <w:lang w:eastAsia="ja-JP"/>
        </w:rPr>
        <w:t>，台灣：台灣總督府。</w:t>
      </w:r>
    </w:p>
    <w:p w14:paraId="4141CA41"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(1932). </w:t>
      </w:r>
      <w:r w:rsidRPr="00991D7A">
        <w:rPr>
          <w:rFonts w:hint="eastAsia"/>
          <w:lang w:eastAsia="ja-JP"/>
        </w:rPr>
        <w:t>台灣總督府第</w:t>
      </w:r>
      <w:r w:rsidRPr="00991D7A">
        <w:rPr>
          <w:rFonts w:hint="eastAsia"/>
          <w:lang w:eastAsia="ja-JP"/>
        </w:rPr>
        <w:t>34</w:t>
      </w:r>
      <w:r w:rsidRPr="00991D7A">
        <w:rPr>
          <w:rFonts w:hint="eastAsia"/>
          <w:lang w:eastAsia="ja-JP"/>
        </w:rPr>
        <w:t>統計書</w:t>
      </w:r>
      <w:r w:rsidRPr="00991D7A">
        <w:rPr>
          <w:rFonts w:hint="eastAsia"/>
          <w:lang w:eastAsia="ja-JP"/>
        </w:rPr>
        <w:t>(</w:t>
      </w:r>
      <w:r w:rsidRPr="00991D7A">
        <w:rPr>
          <w:rFonts w:hint="eastAsia"/>
          <w:lang w:eastAsia="ja-JP"/>
        </w:rPr>
        <w:t>上</w:t>
      </w:r>
      <w:r w:rsidRPr="00991D7A">
        <w:rPr>
          <w:rFonts w:hint="eastAsia"/>
          <w:lang w:eastAsia="ja-JP"/>
        </w:rPr>
        <w:t>)</w:t>
      </w:r>
      <w:r w:rsidRPr="00991D7A">
        <w:rPr>
          <w:rFonts w:hint="eastAsia"/>
          <w:lang w:eastAsia="ja-JP"/>
        </w:rPr>
        <w:t>，台灣：台灣總督府</w:t>
      </w:r>
      <w:r w:rsidR="00545D58">
        <w:rPr>
          <w:rFonts w:hint="eastAsia"/>
          <w:lang w:eastAsia="ja-JP"/>
        </w:rPr>
        <w:t>。</w:t>
      </w:r>
    </w:p>
    <w:p w14:paraId="13F8F329"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(1933). </w:t>
      </w:r>
      <w:r w:rsidRPr="00991D7A">
        <w:rPr>
          <w:rFonts w:hint="eastAsia"/>
          <w:lang w:eastAsia="ja-JP"/>
        </w:rPr>
        <w:t>台灣犯罪統計，台灣：台灣總督府</w:t>
      </w:r>
      <w:r w:rsidR="00545D58">
        <w:rPr>
          <w:rFonts w:hint="eastAsia"/>
          <w:lang w:eastAsia="ja-JP"/>
        </w:rPr>
        <w:t>。</w:t>
      </w:r>
    </w:p>
    <w:p w14:paraId="509533AD"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(1933). </w:t>
      </w:r>
      <w:r w:rsidRPr="00991D7A">
        <w:rPr>
          <w:rFonts w:hint="eastAsia"/>
          <w:lang w:eastAsia="ja-JP"/>
        </w:rPr>
        <w:t>台灣總督府第</w:t>
      </w:r>
      <w:r w:rsidRPr="00991D7A">
        <w:rPr>
          <w:rFonts w:hint="eastAsia"/>
          <w:lang w:eastAsia="ja-JP"/>
        </w:rPr>
        <w:t>35</w:t>
      </w:r>
      <w:r w:rsidRPr="00991D7A">
        <w:rPr>
          <w:rFonts w:hint="eastAsia"/>
          <w:lang w:eastAsia="ja-JP"/>
        </w:rPr>
        <w:t>統計書，台灣：台灣總督府</w:t>
      </w:r>
      <w:r w:rsidR="00545D58">
        <w:rPr>
          <w:rFonts w:hint="eastAsia"/>
          <w:lang w:eastAsia="ja-JP"/>
        </w:rPr>
        <w:t>。</w:t>
      </w:r>
    </w:p>
    <w:p w14:paraId="06EC4E24"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(1934). </w:t>
      </w:r>
      <w:r w:rsidRPr="00991D7A">
        <w:rPr>
          <w:rFonts w:hint="eastAsia"/>
          <w:lang w:eastAsia="ja-JP"/>
        </w:rPr>
        <w:t>台灣犯罪統計，台灣：台灣總督府</w:t>
      </w:r>
      <w:r w:rsidR="00545D58">
        <w:rPr>
          <w:rFonts w:hint="eastAsia"/>
          <w:lang w:eastAsia="ja-JP"/>
        </w:rPr>
        <w:t>。</w:t>
      </w:r>
    </w:p>
    <w:p w14:paraId="327E69D6"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(1934). </w:t>
      </w:r>
      <w:r w:rsidRPr="00991D7A">
        <w:rPr>
          <w:rFonts w:hint="eastAsia"/>
          <w:lang w:eastAsia="ja-JP"/>
        </w:rPr>
        <w:t>台灣總督府第</w:t>
      </w:r>
      <w:r w:rsidRPr="00991D7A">
        <w:rPr>
          <w:rFonts w:hint="eastAsia"/>
          <w:lang w:eastAsia="ja-JP"/>
        </w:rPr>
        <w:t>36</w:t>
      </w:r>
      <w:r w:rsidRPr="00991D7A">
        <w:rPr>
          <w:rFonts w:hint="eastAsia"/>
          <w:lang w:eastAsia="ja-JP"/>
        </w:rPr>
        <w:t>統計書，台灣：台灣總督府</w:t>
      </w:r>
      <w:r w:rsidR="00545D58">
        <w:rPr>
          <w:rFonts w:hint="eastAsia"/>
          <w:lang w:eastAsia="ja-JP"/>
        </w:rPr>
        <w:t>。</w:t>
      </w:r>
    </w:p>
    <w:p w14:paraId="36AEF768"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(1935). </w:t>
      </w:r>
      <w:r w:rsidRPr="00991D7A">
        <w:rPr>
          <w:rFonts w:hint="eastAsia"/>
          <w:lang w:eastAsia="ja-JP"/>
        </w:rPr>
        <w:t>台灣犯罪統計，台灣：台灣總督府。</w:t>
      </w:r>
    </w:p>
    <w:p w14:paraId="71562140"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(1935). </w:t>
      </w:r>
      <w:r w:rsidRPr="00991D7A">
        <w:rPr>
          <w:rFonts w:hint="eastAsia"/>
          <w:lang w:eastAsia="ja-JP"/>
        </w:rPr>
        <w:t>台灣總督府第</w:t>
      </w:r>
      <w:r w:rsidRPr="00991D7A">
        <w:rPr>
          <w:rFonts w:hint="eastAsia"/>
          <w:lang w:eastAsia="ja-JP"/>
        </w:rPr>
        <w:t>37</w:t>
      </w:r>
      <w:r w:rsidRPr="00991D7A">
        <w:rPr>
          <w:rFonts w:hint="eastAsia"/>
          <w:lang w:eastAsia="ja-JP"/>
        </w:rPr>
        <w:t>統計書，台灣：台灣總督府。</w:t>
      </w:r>
    </w:p>
    <w:p w14:paraId="1046979A"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(1936). </w:t>
      </w:r>
      <w:r w:rsidRPr="00991D7A">
        <w:rPr>
          <w:rFonts w:hint="eastAsia"/>
          <w:lang w:eastAsia="ja-JP"/>
        </w:rPr>
        <w:t>台灣總督府第</w:t>
      </w:r>
      <w:r w:rsidRPr="00991D7A">
        <w:rPr>
          <w:rFonts w:hint="eastAsia"/>
          <w:lang w:eastAsia="ja-JP"/>
        </w:rPr>
        <w:t>38</w:t>
      </w:r>
      <w:r w:rsidRPr="00991D7A">
        <w:rPr>
          <w:rFonts w:hint="eastAsia"/>
          <w:lang w:eastAsia="ja-JP"/>
        </w:rPr>
        <w:t>統計書，台灣：台灣總督府。</w:t>
      </w:r>
    </w:p>
    <w:p w14:paraId="7F32B274"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(1937). </w:t>
      </w:r>
      <w:r w:rsidRPr="00991D7A">
        <w:rPr>
          <w:rFonts w:hint="eastAsia"/>
          <w:lang w:eastAsia="ja-JP"/>
        </w:rPr>
        <w:t>台灣總督府第</w:t>
      </w:r>
      <w:r w:rsidRPr="00991D7A">
        <w:rPr>
          <w:rFonts w:hint="eastAsia"/>
          <w:lang w:eastAsia="ja-JP"/>
        </w:rPr>
        <w:t>39</w:t>
      </w:r>
      <w:r w:rsidRPr="00991D7A">
        <w:rPr>
          <w:rFonts w:hint="eastAsia"/>
          <w:lang w:eastAsia="ja-JP"/>
        </w:rPr>
        <w:t>統計書，台灣：台灣總督府</w:t>
      </w:r>
      <w:r w:rsidR="00545D58">
        <w:rPr>
          <w:rFonts w:hint="eastAsia"/>
          <w:lang w:eastAsia="ja-JP"/>
        </w:rPr>
        <w:t>。</w:t>
      </w:r>
    </w:p>
    <w:p w14:paraId="56F4FF3B"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(1938). </w:t>
      </w:r>
      <w:r w:rsidRPr="00991D7A">
        <w:rPr>
          <w:rFonts w:hint="eastAsia"/>
          <w:lang w:eastAsia="ja-JP"/>
        </w:rPr>
        <w:t>台灣總督府第</w:t>
      </w:r>
      <w:r w:rsidRPr="00991D7A">
        <w:rPr>
          <w:rFonts w:hint="eastAsia"/>
          <w:lang w:eastAsia="ja-JP"/>
        </w:rPr>
        <w:t>40</w:t>
      </w:r>
      <w:r w:rsidRPr="00991D7A">
        <w:rPr>
          <w:rFonts w:hint="eastAsia"/>
          <w:lang w:eastAsia="ja-JP"/>
        </w:rPr>
        <w:t>統計書，台灣：台灣總督府。</w:t>
      </w:r>
    </w:p>
    <w:p w14:paraId="0FF05447"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(1939). </w:t>
      </w:r>
      <w:r w:rsidRPr="00991D7A">
        <w:rPr>
          <w:rFonts w:hint="eastAsia"/>
          <w:lang w:eastAsia="ja-JP"/>
        </w:rPr>
        <w:t>台灣總督府第</w:t>
      </w:r>
      <w:r w:rsidRPr="00991D7A">
        <w:rPr>
          <w:rFonts w:hint="eastAsia"/>
          <w:lang w:eastAsia="ja-JP"/>
        </w:rPr>
        <w:t>41</w:t>
      </w:r>
      <w:r w:rsidRPr="00991D7A">
        <w:rPr>
          <w:rFonts w:hint="eastAsia"/>
          <w:lang w:eastAsia="ja-JP"/>
        </w:rPr>
        <w:t>統計書，台灣：台灣總督府。</w:t>
      </w:r>
    </w:p>
    <w:p w14:paraId="11DDD31B"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(1940). </w:t>
      </w:r>
      <w:r w:rsidRPr="00991D7A">
        <w:rPr>
          <w:rFonts w:hint="eastAsia"/>
          <w:lang w:eastAsia="ja-JP"/>
        </w:rPr>
        <w:t>台灣總督府第</w:t>
      </w:r>
      <w:r w:rsidRPr="00991D7A">
        <w:rPr>
          <w:rFonts w:hint="eastAsia"/>
          <w:lang w:eastAsia="ja-JP"/>
        </w:rPr>
        <w:t>42</w:t>
      </w:r>
      <w:r w:rsidRPr="00991D7A">
        <w:rPr>
          <w:rFonts w:hint="eastAsia"/>
          <w:lang w:eastAsia="ja-JP"/>
        </w:rPr>
        <w:t>統計書，台灣：台灣總督府。</w:t>
      </w:r>
    </w:p>
    <w:p w14:paraId="05F865D7"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(1941). </w:t>
      </w:r>
      <w:r w:rsidRPr="00991D7A">
        <w:rPr>
          <w:rFonts w:hint="eastAsia"/>
          <w:lang w:eastAsia="ja-JP"/>
        </w:rPr>
        <w:t>台灣犯罪統計，台灣：台灣總督府。</w:t>
      </w:r>
    </w:p>
    <w:p w14:paraId="256790F8"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(1941). </w:t>
      </w:r>
      <w:r w:rsidRPr="00991D7A">
        <w:rPr>
          <w:rFonts w:hint="eastAsia"/>
          <w:lang w:eastAsia="ja-JP"/>
        </w:rPr>
        <w:t>台灣總督府第</w:t>
      </w:r>
      <w:r w:rsidRPr="00991D7A">
        <w:rPr>
          <w:rFonts w:hint="eastAsia"/>
          <w:lang w:eastAsia="ja-JP"/>
        </w:rPr>
        <w:t>43</w:t>
      </w:r>
      <w:r w:rsidRPr="00991D7A">
        <w:rPr>
          <w:rFonts w:hint="eastAsia"/>
          <w:lang w:eastAsia="ja-JP"/>
        </w:rPr>
        <w:t>統計書，台灣：台灣總督府。</w:t>
      </w:r>
    </w:p>
    <w:p w14:paraId="113145D9"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(1942). </w:t>
      </w:r>
      <w:r w:rsidRPr="00991D7A">
        <w:rPr>
          <w:rFonts w:hint="eastAsia"/>
          <w:lang w:eastAsia="ja-JP"/>
        </w:rPr>
        <w:t>台灣總督府第</w:t>
      </w:r>
      <w:r w:rsidRPr="00991D7A">
        <w:rPr>
          <w:rFonts w:hint="eastAsia"/>
          <w:lang w:eastAsia="ja-JP"/>
        </w:rPr>
        <w:t>44</w:t>
      </w:r>
      <w:r w:rsidRPr="00991D7A">
        <w:rPr>
          <w:rFonts w:hint="eastAsia"/>
          <w:lang w:eastAsia="ja-JP"/>
        </w:rPr>
        <w:t>統計書，台灣：台灣總督府。</w:t>
      </w:r>
    </w:p>
    <w:p w14:paraId="2A5161D0"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(1943). </w:t>
      </w:r>
      <w:r w:rsidRPr="00991D7A">
        <w:rPr>
          <w:rFonts w:hint="eastAsia"/>
          <w:lang w:eastAsia="ja-JP"/>
        </w:rPr>
        <w:t>台灣犯罪統計，台灣：台灣總督府。</w:t>
      </w:r>
    </w:p>
    <w:p w14:paraId="0F222316"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(1943). </w:t>
      </w:r>
      <w:r w:rsidRPr="00991D7A">
        <w:rPr>
          <w:rFonts w:hint="eastAsia"/>
          <w:lang w:eastAsia="ja-JP"/>
        </w:rPr>
        <w:t>台灣總督府第</w:t>
      </w:r>
      <w:r w:rsidRPr="00991D7A">
        <w:rPr>
          <w:rFonts w:hint="eastAsia"/>
          <w:lang w:eastAsia="ja-JP"/>
        </w:rPr>
        <w:t>45</w:t>
      </w:r>
      <w:r w:rsidRPr="00991D7A">
        <w:rPr>
          <w:rFonts w:hint="eastAsia"/>
          <w:lang w:eastAsia="ja-JP"/>
        </w:rPr>
        <w:t>統計書，台灣：台灣總督府。</w:t>
      </w:r>
    </w:p>
    <w:p w14:paraId="2BA8B126"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(1944). </w:t>
      </w:r>
      <w:r w:rsidRPr="00991D7A">
        <w:rPr>
          <w:rFonts w:hint="eastAsia"/>
          <w:lang w:eastAsia="ja-JP"/>
        </w:rPr>
        <w:t>台灣總督府第</w:t>
      </w:r>
      <w:r w:rsidRPr="00991D7A">
        <w:rPr>
          <w:rFonts w:hint="eastAsia"/>
          <w:lang w:eastAsia="ja-JP"/>
        </w:rPr>
        <w:t>46</w:t>
      </w:r>
      <w:r w:rsidRPr="00991D7A">
        <w:rPr>
          <w:rFonts w:hint="eastAsia"/>
          <w:lang w:eastAsia="ja-JP"/>
        </w:rPr>
        <w:t>統計書</w:t>
      </w:r>
      <w:r w:rsidRPr="00991D7A">
        <w:rPr>
          <w:rFonts w:hint="eastAsia"/>
          <w:lang w:eastAsia="ja-JP"/>
        </w:rPr>
        <w:t>(</w:t>
      </w:r>
      <w:r w:rsidRPr="00991D7A">
        <w:rPr>
          <w:rFonts w:hint="eastAsia"/>
          <w:lang w:eastAsia="ja-JP"/>
        </w:rPr>
        <w:t>下</w:t>
      </w:r>
      <w:r w:rsidRPr="00991D7A">
        <w:rPr>
          <w:rFonts w:hint="eastAsia"/>
          <w:lang w:eastAsia="ja-JP"/>
        </w:rPr>
        <w:t>)</w:t>
      </w:r>
      <w:r w:rsidRPr="00991D7A">
        <w:rPr>
          <w:rFonts w:hint="eastAsia"/>
          <w:lang w:eastAsia="ja-JP"/>
        </w:rPr>
        <w:t>，台灣：台灣總督府。</w:t>
      </w:r>
    </w:p>
    <w:p w14:paraId="01A0D474" w14:textId="77777777"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(1944). </w:t>
      </w:r>
      <w:r w:rsidRPr="00991D7A">
        <w:rPr>
          <w:rFonts w:hint="eastAsia"/>
          <w:lang w:eastAsia="ja-JP"/>
        </w:rPr>
        <w:t>台灣總督府第</w:t>
      </w:r>
      <w:r w:rsidRPr="00991D7A">
        <w:rPr>
          <w:rFonts w:hint="eastAsia"/>
          <w:lang w:eastAsia="ja-JP"/>
        </w:rPr>
        <w:t>46</w:t>
      </w:r>
      <w:r w:rsidRPr="00991D7A">
        <w:rPr>
          <w:rFonts w:hint="eastAsia"/>
          <w:lang w:eastAsia="ja-JP"/>
        </w:rPr>
        <w:t>統計書</w:t>
      </w:r>
      <w:r w:rsidRPr="00991D7A">
        <w:rPr>
          <w:rFonts w:hint="eastAsia"/>
          <w:lang w:eastAsia="ja-JP"/>
        </w:rPr>
        <w:t>(</w:t>
      </w:r>
      <w:r w:rsidRPr="00991D7A">
        <w:rPr>
          <w:rFonts w:hint="eastAsia"/>
          <w:lang w:eastAsia="ja-JP"/>
        </w:rPr>
        <w:t>上</w:t>
      </w:r>
      <w:r w:rsidRPr="00991D7A">
        <w:rPr>
          <w:rFonts w:hint="eastAsia"/>
          <w:lang w:eastAsia="ja-JP"/>
        </w:rPr>
        <w:t>)</w:t>
      </w:r>
      <w:r w:rsidRPr="00991D7A">
        <w:rPr>
          <w:rFonts w:hint="eastAsia"/>
          <w:lang w:eastAsia="ja-JP"/>
        </w:rPr>
        <w:t>，台灣：台灣總督府。</w:t>
      </w:r>
    </w:p>
    <w:p w14:paraId="12030ADC" w14:textId="77777777" w:rsidR="00991D7A" w:rsidRPr="00991D7A" w:rsidRDefault="00991D7A" w:rsidP="00D87D91">
      <w:pPr>
        <w:rPr>
          <w:lang w:eastAsia="ja-JP"/>
        </w:rPr>
      </w:pPr>
      <w:r w:rsidRPr="00991D7A">
        <w:rPr>
          <w:rFonts w:hint="eastAsia"/>
          <w:lang w:eastAsia="ja-JP"/>
        </w:rPr>
        <w:t>◎第一東京弁護士会人権擁護委員会国際人権部会</w:t>
      </w:r>
      <w:r w:rsidRPr="00991D7A">
        <w:rPr>
          <w:lang w:eastAsia="ja-JP"/>
        </w:rPr>
        <w:t>(2011)</w:t>
      </w:r>
      <w:r w:rsidRPr="00991D7A">
        <w:rPr>
          <w:rFonts w:hint="eastAsia"/>
          <w:lang w:eastAsia="ja-JP"/>
        </w:rPr>
        <w:t>，外国人の法律相談</w:t>
      </w:r>
      <w:r w:rsidRPr="00991D7A">
        <w:rPr>
          <w:lang w:eastAsia="ja-JP"/>
        </w:rPr>
        <w:t>Q&amp;A</w:t>
      </w:r>
      <w:r w:rsidRPr="00991D7A">
        <w:rPr>
          <w:rFonts w:hint="eastAsia"/>
          <w:lang w:eastAsia="ja-JP"/>
        </w:rPr>
        <w:t>第二次改訂版，ぎょうせい，頁</w:t>
      </w:r>
      <w:r w:rsidRPr="00991D7A">
        <w:rPr>
          <w:lang w:eastAsia="ja-JP"/>
        </w:rPr>
        <w:t>2-370</w:t>
      </w:r>
      <w:r w:rsidRPr="00991D7A">
        <w:rPr>
          <w:rFonts w:hint="eastAsia"/>
          <w:lang w:eastAsia="ja-JP"/>
        </w:rPr>
        <w:t>。</w:t>
      </w:r>
    </w:p>
    <w:p w14:paraId="19C44D8D" w14:textId="77777777" w:rsidR="00991D7A" w:rsidRPr="00991D7A" w:rsidRDefault="00991D7A" w:rsidP="00D87D91">
      <w:pPr>
        <w:rPr>
          <w:lang w:eastAsia="ja-JP"/>
        </w:rPr>
      </w:pPr>
      <w:r w:rsidRPr="00991D7A">
        <w:rPr>
          <w:rFonts w:hint="eastAsia"/>
          <w:lang w:eastAsia="ja-JP"/>
        </w:rPr>
        <w:t>◎鷹崎僊三等著</w:t>
      </w:r>
      <w:r w:rsidRPr="00991D7A">
        <w:rPr>
          <w:rFonts w:hint="eastAsia"/>
          <w:lang w:eastAsia="ja-JP"/>
        </w:rPr>
        <w:t xml:space="preserve">(1987). </w:t>
      </w:r>
      <w:r w:rsidRPr="00991D7A">
        <w:rPr>
          <w:rFonts w:hint="eastAsia"/>
          <w:lang w:eastAsia="ja-JP"/>
        </w:rPr>
        <w:t>阿片事項調查書，臺灣：臺灣總督府製藥所，第</w:t>
      </w:r>
      <w:r w:rsidRPr="00991D7A">
        <w:rPr>
          <w:rFonts w:hint="eastAsia"/>
          <w:lang w:eastAsia="ja-JP"/>
        </w:rPr>
        <w:t>6-7</w:t>
      </w:r>
      <w:r w:rsidRPr="00991D7A">
        <w:rPr>
          <w:rFonts w:hint="eastAsia"/>
          <w:lang w:eastAsia="ja-JP"/>
        </w:rPr>
        <w:t>頁。</w:t>
      </w:r>
    </w:p>
    <w:p w14:paraId="1ADFDEF9" w14:textId="77777777" w:rsidR="00991D7A" w:rsidRPr="00991D7A" w:rsidRDefault="00991D7A" w:rsidP="00D87D91">
      <w:pPr>
        <w:rPr>
          <w:lang w:eastAsia="ja-JP"/>
        </w:rPr>
      </w:pPr>
      <w:r w:rsidRPr="00991D7A">
        <w:rPr>
          <w:rFonts w:hint="eastAsia"/>
          <w:lang w:eastAsia="ja-JP"/>
        </w:rPr>
        <w:t>◎仲原良二</w:t>
      </w:r>
      <w:r w:rsidRPr="00991D7A">
        <w:rPr>
          <w:lang w:eastAsia="ja-JP"/>
        </w:rPr>
        <w:t>(2000)</w:t>
      </w:r>
      <w:r w:rsidRPr="00991D7A">
        <w:rPr>
          <w:rFonts w:hint="eastAsia"/>
          <w:lang w:eastAsia="ja-JP"/>
        </w:rPr>
        <w:t>，知っていますか</w:t>
      </w:r>
      <w:r w:rsidRPr="00991D7A">
        <w:rPr>
          <w:lang w:eastAsia="ja-JP"/>
        </w:rPr>
        <w:t>?</w:t>
      </w:r>
      <w:r w:rsidRPr="00991D7A">
        <w:rPr>
          <w:rFonts w:hint="eastAsia"/>
          <w:lang w:eastAsia="ja-JP"/>
        </w:rPr>
        <w:t>在日外国人と参政権一問一答，解放出版社，頁</w:t>
      </w:r>
      <w:r w:rsidRPr="00991D7A">
        <w:rPr>
          <w:lang w:eastAsia="ja-JP"/>
        </w:rPr>
        <w:t>31-92</w:t>
      </w:r>
      <w:r w:rsidRPr="00991D7A">
        <w:rPr>
          <w:rFonts w:hint="eastAsia"/>
          <w:lang w:eastAsia="ja-JP"/>
        </w:rPr>
        <w:t>。</w:t>
      </w:r>
    </w:p>
    <w:p w14:paraId="1979AFE4" w14:textId="77777777" w:rsidR="00991D7A" w:rsidRPr="00991D7A" w:rsidRDefault="00991D7A" w:rsidP="00D87D91">
      <w:pPr>
        <w:rPr>
          <w:lang w:eastAsia="ja-JP"/>
        </w:rPr>
      </w:pPr>
      <w:r w:rsidRPr="00991D7A">
        <w:rPr>
          <w:rFonts w:hint="eastAsia"/>
          <w:lang w:eastAsia="ja-JP"/>
        </w:rPr>
        <w:t>◎東京弁護士会外国人の権利に関する委員会</w:t>
      </w:r>
      <w:r w:rsidRPr="00991D7A">
        <w:rPr>
          <w:lang w:eastAsia="ja-JP"/>
        </w:rPr>
        <w:t>(2010)</w:t>
      </w:r>
      <w:r w:rsidRPr="00991D7A">
        <w:rPr>
          <w:rFonts w:hint="eastAsia"/>
          <w:lang w:eastAsia="ja-JP"/>
        </w:rPr>
        <w:t>，外国人の法律相談，学陽書房，頁</w:t>
      </w:r>
      <w:r w:rsidRPr="00991D7A">
        <w:rPr>
          <w:lang w:eastAsia="ja-JP"/>
        </w:rPr>
        <w:t>45-263</w:t>
      </w:r>
      <w:r w:rsidR="00545D58">
        <w:rPr>
          <w:rFonts w:hint="eastAsia"/>
          <w:lang w:eastAsia="ja-JP"/>
        </w:rPr>
        <w:t>。</w:t>
      </w:r>
    </w:p>
    <w:p w14:paraId="6C5D8D36" w14:textId="77777777" w:rsidR="00991D7A" w:rsidRPr="00991D7A" w:rsidRDefault="00991D7A" w:rsidP="00D87D91">
      <w:pPr>
        <w:rPr>
          <w:lang w:eastAsia="ja-JP"/>
        </w:rPr>
      </w:pPr>
      <w:r w:rsidRPr="00991D7A">
        <w:rPr>
          <w:rFonts w:hint="eastAsia"/>
          <w:lang w:eastAsia="ja-JP"/>
        </w:rPr>
        <w:t>◎特定非営利活動法人難民支援協会</w:t>
      </w:r>
      <w:r w:rsidRPr="00991D7A">
        <w:rPr>
          <w:lang w:eastAsia="ja-JP"/>
        </w:rPr>
        <w:t>(2010)</w:t>
      </w:r>
      <w:r w:rsidRPr="00991D7A">
        <w:rPr>
          <w:rFonts w:hint="eastAsia"/>
          <w:lang w:eastAsia="ja-JP"/>
        </w:rPr>
        <w:t>，外国人をめぐる生活と医療</w:t>
      </w:r>
      <w:r w:rsidRPr="00991D7A">
        <w:rPr>
          <w:rFonts w:hint="cs"/>
          <w:lang w:eastAsia="ja-JP"/>
        </w:rPr>
        <w:t>―</w:t>
      </w:r>
      <w:r w:rsidRPr="00991D7A">
        <w:rPr>
          <w:rFonts w:hint="eastAsia"/>
          <w:lang w:eastAsia="ja-JP"/>
        </w:rPr>
        <w:t>難民たちが地域で健康に暮らすために，現代人文社，頁</w:t>
      </w:r>
      <w:r w:rsidRPr="00991D7A">
        <w:rPr>
          <w:lang w:eastAsia="ja-JP"/>
        </w:rPr>
        <w:t>22-78</w:t>
      </w:r>
      <w:r w:rsidR="00545D58">
        <w:rPr>
          <w:rFonts w:hint="eastAsia"/>
          <w:lang w:eastAsia="ja-JP"/>
        </w:rPr>
        <w:t>。</w:t>
      </w:r>
    </w:p>
    <w:p w14:paraId="5BFF4ED5" w14:textId="77777777" w:rsidR="00991D7A" w:rsidRPr="00991D7A" w:rsidRDefault="00991D7A" w:rsidP="00D87D91">
      <w:pPr>
        <w:rPr>
          <w:lang w:eastAsia="ja-JP"/>
        </w:rPr>
      </w:pPr>
      <w:r w:rsidRPr="00991D7A">
        <w:rPr>
          <w:rFonts w:hint="eastAsia"/>
          <w:lang w:eastAsia="ja-JP"/>
        </w:rPr>
        <w:t>◎日本司法書士会連合会「外国人住民票」検討委員会</w:t>
      </w:r>
      <w:r w:rsidRPr="00991D7A">
        <w:rPr>
          <w:lang w:eastAsia="ja-JP"/>
        </w:rPr>
        <w:t>(2012)</w:t>
      </w:r>
      <w:r w:rsidRPr="00991D7A">
        <w:rPr>
          <w:rFonts w:hint="eastAsia"/>
          <w:lang w:eastAsia="ja-JP"/>
        </w:rPr>
        <w:t>，外国人住民票の創設と渉外家族法実務，民事法研究会，頁</w:t>
      </w:r>
      <w:r w:rsidRPr="00991D7A">
        <w:rPr>
          <w:lang w:eastAsia="ja-JP"/>
        </w:rPr>
        <w:t>36-413</w:t>
      </w:r>
      <w:r w:rsidR="00545D58">
        <w:rPr>
          <w:rFonts w:hint="eastAsia"/>
          <w:lang w:eastAsia="ja-JP"/>
        </w:rPr>
        <w:t>。</w:t>
      </w:r>
    </w:p>
    <w:p w14:paraId="6C802D7F" w14:textId="77777777" w:rsidR="00991D7A" w:rsidRPr="00991D7A" w:rsidRDefault="00991D7A" w:rsidP="00D87D91">
      <w:pPr>
        <w:rPr>
          <w:lang w:eastAsia="ja-JP"/>
        </w:rPr>
      </w:pPr>
      <w:r w:rsidRPr="00991D7A">
        <w:rPr>
          <w:rFonts w:hint="eastAsia"/>
          <w:lang w:eastAsia="ja-JP"/>
        </w:rPr>
        <w:t>◎日本社会福祉士会</w:t>
      </w:r>
      <w:r w:rsidRPr="00991D7A">
        <w:rPr>
          <w:lang w:eastAsia="ja-JP"/>
        </w:rPr>
        <w:t>(2012)</w:t>
      </w:r>
      <w:r w:rsidRPr="00991D7A">
        <w:rPr>
          <w:rFonts w:hint="eastAsia"/>
          <w:lang w:eastAsia="ja-JP"/>
        </w:rPr>
        <w:t>，滞日外国人支援の実践事例から学ぶ多文化ソーシャルワーク，中央法規出版社，頁</w:t>
      </w:r>
      <w:r w:rsidRPr="00991D7A">
        <w:rPr>
          <w:lang w:eastAsia="ja-JP"/>
        </w:rPr>
        <w:t>19-197</w:t>
      </w:r>
      <w:r w:rsidRPr="00991D7A">
        <w:rPr>
          <w:rFonts w:hint="eastAsia"/>
          <w:lang w:eastAsia="ja-JP"/>
        </w:rPr>
        <w:t>。</w:t>
      </w:r>
    </w:p>
    <w:p w14:paraId="0C5E6577" w14:textId="77777777" w:rsidR="00991D7A" w:rsidRPr="00991D7A" w:rsidRDefault="00991D7A" w:rsidP="00D87D91">
      <w:pPr>
        <w:rPr>
          <w:lang w:eastAsia="ja-JP"/>
        </w:rPr>
      </w:pPr>
      <w:r w:rsidRPr="00991D7A">
        <w:rPr>
          <w:rFonts w:hint="eastAsia"/>
          <w:lang w:eastAsia="ja-JP"/>
        </w:rPr>
        <w:t>◎百地章</w:t>
      </w:r>
      <w:r w:rsidRPr="00991D7A">
        <w:rPr>
          <w:lang w:eastAsia="ja-JP"/>
        </w:rPr>
        <w:t>(2010)</w:t>
      </w:r>
      <w:r w:rsidRPr="00991D7A">
        <w:rPr>
          <w:rFonts w:hint="eastAsia"/>
          <w:lang w:eastAsia="ja-JP"/>
        </w:rPr>
        <w:t>，外國人の參政権問題</w:t>
      </w:r>
      <w:r w:rsidRPr="00991D7A">
        <w:rPr>
          <w:lang w:eastAsia="ja-JP"/>
        </w:rPr>
        <w:t>Q&amp;A―</w:t>
      </w:r>
      <w:r w:rsidRPr="00991D7A">
        <w:rPr>
          <w:rFonts w:hint="eastAsia"/>
          <w:lang w:eastAsia="ja-JP"/>
        </w:rPr>
        <w:t>地方選挙権付與も憲法違反，改訂版，明成社，頁</w:t>
      </w:r>
      <w:r w:rsidRPr="00991D7A">
        <w:rPr>
          <w:lang w:eastAsia="ja-JP"/>
        </w:rPr>
        <w:t>2-46</w:t>
      </w:r>
      <w:r w:rsidR="00545D58">
        <w:rPr>
          <w:rFonts w:hint="eastAsia"/>
          <w:lang w:eastAsia="ja-JP"/>
        </w:rPr>
        <w:t>。</w:t>
      </w:r>
    </w:p>
    <w:p w14:paraId="1C673151" w14:textId="77777777" w:rsidR="00991D7A" w:rsidRPr="00991D7A" w:rsidRDefault="00991D7A" w:rsidP="00D87D91">
      <w:pPr>
        <w:rPr>
          <w:lang w:eastAsia="ja-JP"/>
        </w:rPr>
      </w:pPr>
      <w:r w:rsidRPr="00991D7A">
        <w:rPr>
          <w:rFonts w:hint="eastAsia"/>
          <w:lang w:eastAsia="ja-JP"/>
        </w:rPr>
        <w:t>◎福王守</w:t>
      </w:r>
      <w:r w:rsidRPr="00991D7A">
        <w:rPr>
          <w:rFonts w:hint="eastAsia"/>
          <w:lang w:eastAsia="ja-JP"/>
        </w:rPr>
        <w:t>(2004)</w:t>
      </w:r>
      <w:r w:rsidRPr="00991D7A">
        <w:rPr>
          <w:rFonts w:hint="eastAsia"/>
          <w:lang w:eastAsia="ja-JP"/>
        </w:rPr>
        <w:t>，公法判例研究，法學新報，第</w:t>
      </w:r>
      <w:r w:rsidRPr="00991D7A">
        <w:rPr>
          <w:rFonts w:hint="eastAsia"/>
          <w:lang w:eastAsia="ja-JP"/>
        </w:rPr>
        <w:t>111</w:t>
      </w:r>
      <w:r w:rsidRPr="00991D7A">
        <w:rPr>
          <w:rFonts w:hint="eastAsia"/>
          <w:lang w:eastAsia="ja-JP"/>
        </w:rPr>
        <w:t>卷，中央大學公法判例研究會，頁</w:t>
      </w:r>
      <w:r w:rsidRPr="00991D7A">
        <w:rPr>
          <w:rFonts w:hint="eastAsia"/>
          <w:lang w:eastAsia="ja-JP"/>
        </w:rPr>
        <w:t>418</w:t>
      </w:r>
      <w:r w:rsidRPr="00991D7A">
        <w:rPr>
          <w:rFonts w:hint="eastAsia"/>
          <w:lang w:eastAsia="ja-JP"/>
        </w:rPr>
        <w:t>。</w:t>
      </w:r>
    </w:p>
    <w:p w14:paraId="3DDBB4E9" w14:textId="77777777" w:rsidR="00991D7A" w:rsidRPr="00991D7A" w:rsidRDefault="00991D7A" w:rsidP="00D87D91">
      <w:pPr>
        <w:rPr>
          <w:lang w:eastAsia="ja-JP"/>
        </w:rPr>
      </w:pPr>
      <w:r w:rsidRPr="00991D7A">
        <w:rPr>
          <w:rFonts w:hint="eastAsia"/>
          <w:lang w:eastAsia="ja-JP"/>
        </w:rPr>
        <w:t>◎別冊宝島、ノンフィクション</w:t>
      </w:r>
      <w:r w:rsidRPr="00991D7A">
        <w:rPr>
          <w:lang w:eastAsia="ja-JP"/>
        </w:rPr>
        <w:t>(2010)</w:t>
      </w:r>
      <w:r w:rsidRPr="00991D7A">
        <w:rPr>
          <w:rFonts w:hint="eastAsia"/>
          <w:lang w:eastAsia="ja-JP"/>
        </w:rPr>
        <w:t>，外国人参政権で日本がなくなる日，宝島社，頁</w:t>
      </w:r>
      <w:r w:rsidRPr="00991D7A">
        <w:rPr>
          <w:lang w:eastAsia="ja-JP"/>
        </w:rPr>
        <w:t>6-86</w:t>
      </w:r>
      <w:r w:rsidRPr="00991D7A">
        <w:rPr>
          <w:rFonts w:hint="eastAsia"/>
          <w:lang w:eastAsia="ja-JP"/>
        </w:rPr>
        <w:t>。</w:t>
      </w:r>
    </w:p>
    <w:p w14:paraId="30B8293C" w14:textId="77777777" w:rsidR="00991D7A" w:rsidRPr="00991D7A" w:rsidRDefault="00991D7A" w:rsidP="00D87D91">
      <w:pPr>
        <w:rPr>
          <w:lang w:eastAsia="ja-JP"/>
        </w:rPr>
      </w:pPr>
      <w:r w:rsidRPr="00991D7A">
        <w:rPr>
          <w:rFonts w:hint="eastAsia"/>
          <w:lang w:eastAsia="ja-JP"/>
        </w:rPr>
        <w:t>◎野中俊彥、中村睦男、高橋和之、高見勝利</w:t>
      </w:r>
      <w:r w:rsidRPr="00991D7A">
        <w:rPr>
          <w:rFonts w:hint="eastAsia"/>
          <w:lang w:eastAsia="ja-JP"/>
        </w:rPr>
        <w:t>(2012)</w:t>
      </w:r>
      <w:r w:rsidRPr="00991D7A">
        <w:rPr>
          <w:rFonts w:hint="eastAsia"/>
          <w:lang w:eastAsia="ja-JP"/>
        </w:rPr>
        <w:t>，憲法</w:t>
      </w:r>
      <w:r w:rsidRPr="00991D7A">
        <w:rPr>
          <w:rFonts w:hint="eastAsia"/>
          <w:lang w:eastAsia="ja-JP"/>
        </w:rPr>
        <w:t>II</w:t>
      </w:r>
      <w:r w:rsidRPr="00991D7A">
        <w:rPr>
          <w:rFonts w:hint="eastAsia"/>
          <w:lang w:eastAsia="ja-JP"/>
        </w:rPr>
        <w:t>，第</w:t>
      </w:r>
      <w:r w:rsidR="008F066C">
        <w:rPr>
          <w:rFonts w:hint="eastAsia"/>
          <w:lang w:eastAsia="ja-JP"/>
        </w:rPr>
        <w:t>5</w:t>
      </w:r>
      <w:r w:rsidRPr="00991D7A">
        <w:rPr>
          <w:rFonts w:hint="eastAsia"/>
          <w:lang w:eastAsia="ja-JP"/>
        </w:rPr>
        <w:t>版，有斐閣，頁</w:t>
      </w:r>
      <w:r w:rsidRPr="00991D7A">
        <w:rPr>
          <w:rFonts w:hint="eastAsia"/>
          <w:lang w:eastAsia="ja-JP"/>
        </w:rPr>
        <w:t>1-451</w:t>
      </w:r>
      <w:r w:rsidR="00545D58">
        <w:rPr>
          <w:rFonts w:hint="eastAsia"/>
          <w:lang w:eastAsia="ja-JP"/>
        </w:rPr>
        <w:t>。</w:t>
      </w:r>
    </w:p>
    <w:p w14:paraId="2412AD6D" w14:textId="77777777" w:rsidR="00953151" w:rsidRDefault="00991D7A" w:rsidP="00D87D91">
      <w:r w:rsidRPr="00991D7A">
        <w:rPr>
          <w:rFonts w:hint="eastAsia"/>
          <w:lang w:eastAsia="ja-JP"/>
        </w:rPr>
        <w:t>◎蘆部信喜、高橋和之</w:t>
      </w:r>
      <w:r w:rsidRPr="00991D7A">
        <w:rPr>
          <w:rFonts w:hint="eastAsia"/>
          <w:lang w:eastAsia="ja-JP"/>
        </w:rPr>
        <w:t>(2011)</w:t>
      </w:r>
      <w:r w:rsidRPr="00991D7A">
        <w:rPr>
          <w:rFonts w:hint="eastAsia"/>
          <w:lang w:eastAsia="ja-JP"/>
        </w:rPr>
        <w:t>，憲法，第五版，岩波書店，頁</w:t>
      </w:r>
      <w:r w:rsidRPr="00991D7A">
        <w:rPr>
          <w:rFonts w:hint="eastAsia"/>
          <w:lang w:eastAsia="ja-JP"/>
        </w:rPr>
        <w:t>1-402</w:t>
      </w:r>
      <w:r w:rsidRPr="00991D7A">
        <w:rPr>
          <w:rFonts w:hint="eastAsia"/>
          <w:lang w:eastAsia="ja-JP"/>
        </w:rPr>
        <w:t>。</w:t>
      </w:r>
    </w:p>
    <w:p w14:paraId="7B940523" w14:textId="77777777" w:rsidR="00A360B5" w:rsidRDefault="00A360B5" w:rsidP="00D87D91"/>
    <w:p w14:paraId="7896080C" w14:textId="77777777" w:rsidR="00A360B5" w:rsidRDefault="00A360B5" w:rsidP="00BC66E8">
      <w:pPr>
        <w:jc w:val="right"/>
      </w:pPr>
      <w:r w:rsidRPr="0026266A">
        <w:rPr>
          <w:rFonts w:hint="eastAsia"/>
        </w:rPr>
        <w:t>。。。。。。。。。。。。。。。。。。。。。。。。。</w:t>
      </w:r>
      <w:hyperlink w:anchor="top" w:history="1">
        <w:r w:rsidRPr="00E5474F">
          <w:rPr>
            <w:rStyle w:val="a5"/>
            <w:sz w:val="18"/>
          </w:rPr>
          <w:t>回首頁</w:t>
        </w:r>
      </w:hyperlink>
      <w:r w:rsidR="00E91F89">
        <w:rPr>
          <w:rFonts w:ascii="新細明體" w:hAnsi="新細明體"/>
          <w:color w:val="808000"/>
        </w:rPr>
        <w:t>〉〉</w:t>
      </w:r>
    </w:p>
    <w:p w14:paraId="2EBFA9C6" w14:textId="77777777" w:rsidR="00203F72" w:rsidRPr="00A53581" w:rsidRDefault="00203F72" w:rsidP="00D87D91"/>
    <w:p w14:paraId="09E0DCB0" w14:textId="77777777" w:rsidR="00203F72" w:rsidRPr="00A53581" w:rsidRDefault="00203F72" w:rsidP="00767F37">
      <w:pPr>
        <w:pStyle w:val="2"/>
      </w:pPr>
      <w:bookmarkStart w:id="174" w:name="_其他參考文獻"/>
      <w:bookmarkEnd w:id="174"/>
      <w:r w:rsidRPr="00A53581">
        <w:t>其他參考文獻</w:t>
      </w:r>
    </w:p>
    <w:p w14:paraId="127EF18E" w14:textId="77777777" w:rsidR="00991D7A" w:rsidRPr="00991D7A" w:rsidRDefault="00991D7A" w:rsidP="00027D54">
      <w:pPr>
        <w:jc w:val="left"/>
      </w:pPr>
      <w:r w:rsidRPr="00991D7A">
        <w:rPr>
          <w:rFonts w:hint="eastAsia"/>
        </w:rPr>
        <w:t>◎</w:t>
      </w:r>
      <w:r w:rsidRPr="00991D7A">
        <w:rPr>
          <w:rFonts w:hint="eastAsia"/>
        </w:rPr>
        <w:t xml:space="preserve">Abhijit Naik(2010). Illegal Immigration Statistics, retrieved 11/02, 2010, from </w:t>
      </w:r>
      <w:r w:rsidRPr="00364551">
        <w:rPr>
          <w:rStyle w:val="a5"/>
          <w:rFonts w:hint="eastAsia"/>
        </w:rPr>
        <w:t>http://www.buzzle.com/articles/illegal-immigration-statistics.html</w:t>
      </w:r>
      <w:r w:rsidRPr="00991D7A">
        <w:rPr>
          <w:rFonts w:hint="eastAsia"/>
        </w:rPr>
        <w:t>.</w:t>
      </w:r>
    </w:p>
    <w:p w14:paraId="2B058F1B" w14:textId="77777777" w:rsidR="00BC66E8" w:rsidRDefault="00991D7A" w:rsidP="00027D54">
      <w:pPr>
        <w:jc w:val="left"/>
      </w:pPr>
      <w:r w:rsidRPr="00991D7A">
        <w:rPr>
          <w:rFonts w:hint="eastAsia"/>
        </w:rPr>
        <w:t>◎</w:t>
      </w:r>
      <w:r w:rsidRPr="00991D7A">
        <w:rPr>
          <w:rFonts w:hint="eastAsia"/>
        </w:rPr>
        <w:t>Alonso Chehade(2010). ICE Upgrade: Dismissing 17,000 Unjust Removal Proceedings. retrieved 11/02, 2010, from</w:t>
      </w:r>
    </w:p>
    <w:p w14:paraId="0F4FD355" w14:textId="77777777" w:rsidR="00991D7A" w:rsidRPr="00991D7A" w:rsidRDefault="00991D7A" w:rsidP="00027D54">
      <w:pPr>
        <w:jc w:val="left"/>
      </w:pPr>
      <w:r w:rsidRPr="00364551">
        <w:rPr>
          <w:rStyle w:val="a5"/>
          <w:rFonts w:hint="eastAsia"/>
        </w:rPr>
        <w:t>http://immigration.change.org/blog/view/ice_upgrade_dismissing_17000_unjust_removal_proceedings</w:t>
      </w:r>
      <w:r w:rsidRPr="00991D7A">
        <w:rPr>
          <w:rFonts w:hint="eastAsia"/>
        </w:rPr>
        <w:t>.</w:t>
      </w:r>
    </w:p>
    <w:p w14:paraId="046B132A" w14:textId="77777777" w:rsidR="00991D7A" w:rsidRPr="00815760" w:rsidRDefault="00991D7A" w:rsidP="00027D54">
      <w:pPr>
        <w:jc w:val="left"/>
      </w:pPr>
      <w:r w:rsidRPr="00991D7A">
        <w:rPr>
          <w:rFonts w:hint="eastAsia"/>
        </w:rPr>
        <w:t>◎</w:t>
      </w:r>
      <w:r w:rsidRPr="00991D7A">
        <w:rPr>
          <w:rFonts w:hint="eastAsia"/>
        </w:rPr>
        <w:t>BBC</w:t>
      </w:r>
      <w:r w:rsidRPr="00991D7A">
        <w:rPr>
          <w:rFonts w:hint="eastAsia"/>
        </w:rPr>
        <w:t>中文網</w:t>
      </w:r>
      <w:r w:rsidRPr="00991D7A">
        <w:rPr>
          <w:rFonts w:hint="eastAsia"/>
        </w:rPr>
        <w:t>(2012)</w:t>
      </w:r>
      <w:r w:rsidRPr="00991D7A">
        <w:rPr>
          <w:rFonts w:hint="eastAsia"/>
        </w:rPr>
        <w:t>，美非法移民數量下降，亞裔移民增多，</w:t>
      </w:r>
      <w:r w:rsidRPr="00991D7A">
        <w:rPr>
          <w:rFonts w:hint="eastAsia"/>
        </w:rPr>
        <w:t xml:space="preserve">retrieved 02/02, 2014, from </w:t>
      </w:r>
      <w:hyperlink r:id="rId2871" w:history="1">
        <w:r w:rsidR="00F720E1" w:rsidRPr="00815760">
          <w:rPr>
            <w:rStyle w:val="a5"/>
          </w:rPr>
          <w:t>http://www.bbc.com/zhongwen/trad/world/2012/12/121206_us_census_immigration</w:t>
        </w:r>
      </w:hyperlink>
      <w:r w:rsidRPr="00815760">
        <w:rPr>
          <w:rFonts w:hint="eastAsia"/>
        </w:rPr>
        <w:t>。</w:t>
      </w:r>
    </w:p>
    <w:p w14:paraId="1ACAD6FA" w14:textId="77777777" w:rsidR="00991D7A" w:rsidRPr="00991D7A" w:rsidRDefault="00991D7A" w:rsidP="00027D54">
      <w:pPr>
        <w:jc w:val="left"/>
      </w:pPr>
      <w:r w:rsidRPr="00991D7A">
        <w:rPr>
          <w:rFonts w:hint="eastAsia"/>
        </w:rPr>
        <w:t>◎</w:t>
      </w:r>
      <w:r w:rsidRPr="00991D7A">
        <w:rPr>
          <w:rFonts w:hint="eastAsia"/>
        </w:rPr>
        <w:t>BBC</w:t>
      </w:r>
      <w:r w:rsidRPr="00991D7A">
        <w:rPr>
          <w:rFonts w:hint="eastAsia"/>
        </w:rPr>
        <w:t>中文網</w:t>
      </w:r>
      <w:r w:rsidRPr="00991D7A">
        <w:rPr>
          <w:rFonts w:hint="eastAsia"/>
        </w:rPr>
        <w:t>(2012)</w:t>
      </w:r>
      <w:r w:rsidRPr="00991D7A">
        <w:rPr>
          <w:rFonts w:hint="eastAsia"/>
        </w:rPr>
        <w:t>，美國境內非法移民人數達</w:t>
      </w:r>
      <w:r w:rsidRPr="00991D7A">
        <w:rPr>
          <w:rFonts w:hint="eastAsia"/>
        </w:rPr>
        <w:t>1150</w:t>
      </w:r>
      <w:r w:rsidRPr="00991D7A">
        <w:rPr>
          <w:rFonts w:hint="eastAsia"/>
        </w:rPr>
        <w:t>萬，</w:t>
      </w:r>
      <w:r w:rsidRPr="00991D7A">
        <w:rPr>
          <w:rFonts w:hint="eastAsia"/>
        </w:rPr>
        <w:t xml:space="preserve">retrieved 02/02, 2014, from </w:t>
      </w:r>
      <w:r w:rsidRPr="00364551">
        <w:rPr>
          <w:rStyle w:val="a5"/>
          <w:rFonts w:hint="eastAsia"/>
        </w:rPr>
        <w:t>http://www.bbc.co.uk/zhongwen/trad/rolling_news/2012/03/120324_rolling_us_illegals.shtml</w:t>
      </w:r>
      <w:r w:rsidRPr="00991D7A">
        <w:rPr>
          <w:rFonts w:hint="eastAsia"/>
        </w:rPr>
        <w:t>。</w:t>
      </w:r>
    </w:p>
    <w:p w14:paraId="72A5E871" w14:textId="77777777" w:rsidR="00991D7A" w:rsidRPr="00991D7A" w:rsidRDefault="00991D7A" w:rsidP="00027D54">
      <w:pPr>
        <w:jc w:val="left"/>
      </w:pPr>
      <w:r w:rsidRPr="00991D7A">
        <w:rPr>
          <w:rFonts w:hint="eastAsia"/>
        </w:rPr>
        <w:t>◎</w:t>
      </w:r>
      <w:r w:rsidRPr="00991D7A">
        <w:rPr>
          <w:rFonts w:hint="eastAsia"/>
        </w:rPr>
        <w:t xml:space="preserve">Canada, Ontario Ministry of Labour(2010), </w:t>
      </w:r>
      <w:r w:rsidRPr="00991D7A">
        <w:rPr>
          <w:rFonts w:hint="eastAsia"/>
        </w:rPr>
        <w:t>“</w:t>
      </w:r>
      <w:r w:rsidRPr="00991D7A">
        <w:rPr>
          <w:rFonts w:hint="eastAsia"/>
        </w:rPr>
        <w:t xml:space="preserve">Your Employment Standards Rights: Foreign National Live-in Caregivers, </w:t>
      </w:r>
      <w:r w:rsidRPr="00991D7A">
        <w:rPr>
          <w:rFonts w:hint="eastAsia"/>
        </w:rPr>
        <w:t>”</w:t>
      </w:r>
      <w:r w:rsidRPr="00991D7A">
        <w:rPr>
          <w:rFonts w:hint="eastAsia"/>
        </w:rPr>
        <w:t xml:space="preserve"> </w:t>
      </w:r>
      <w:r w:rsidRPr="00364551">
        <w:rPr>
          <w:rStyle w:val="a5"/>
          <w:rFonts w:hint="eastAsia"/>
        </w:rPr>
        <w:t>http://www.labour.gov.on.ca/english/es/pubs/is_fn_esa.php</w:t>
      </w:r>
      <w:r w:rsidRPr="00991D7A">
        <w:rPr>
          <w:rFonts w:hint="eastAsia"/>
        </w:rPr>
        <w:t>(2011/09/05).</w:t>
      </w:r>
    </w:p>
    <w:p w14:paraId="61D33D05" w14:textId="77777777" w:rsidR="00991D7A" w:rsidRPr="00991D7A" w:rsidRDefault="00991D7A" w:rsidP="00027D54">
      <w:pPr>
        <w:jc w:val="left"/>
      </w:pPr>
      <w:r w:rsidRPr="00991D7A">
        <w:rPr>
          <w:rFonts w:hint="eastAsia"/>
        </w:rPr>
        <w:t>◎</w:t>
      </w:r>
      <w:r w:rsidRPr="00991D7A">
        <w:rPr>
          <w:rFonts w:hint="eastAsia"/>
        </w:rPr>
        <w:t xml:space="preserve">Canada, Ontario Ministry of Labour(2010), </w:t>
      </w:r>
      <w:r w:rsidRPr="00991D7A">
        <w:rPr>
          <w:rFonts w:hint="eastAsia"/>
        </w:rPr>
        <w:t>“</w:t>
      </w:r>
      <w:r w:rsidRPr="00991D7A">
        <w:rPr>
          <w:rFonts w:hint="eastAsia"/>
        </w:rPr>
        <w:t xml:space="preserve">Your Rights Under the Employment Protection for Foreign Nationals Act (Live-in Caregivers and Others), 2009, </w:t>
      </w:r>
      <w:r w:rsidRPr="00991D7A">
        <w:rPr>
          <w:rFonts w:hint="eastAsia"/>
        </w:rPr>
        <w:t>”</w:t>
      </w:r>
      <w:r w:rsidRPr="00991D7A">
        <w:rPr>
          <w:rFonts w:hint="eastAsia"/>
        </w:rPr>
        <w:t xml:space="preserve"> </w:t>
      </w:r>
      <w:r w:rsidRPr="00364551">
        <w:rPr>
          <w:rStyle w:val="a5"/>
          <w:rFonts w:hint="eastAsia"/>
        </w:rPr>
        <w:t>http://www.labour.gov.on.ca/english/es/pubs/is_fn_epfn.php</w:t>
      </w:r>
      <w:r w:rsidRPr="00991D7A">
        <w:rPr>
          <w:rFonts w:hint="eastAsia"/>
        </w:rPr>
        <w:t>(2011/09/10).</w:t>
      </w:r>
    </w:p>
    <w:p w14:paraId="7FD8E053" w14:textId="77777777" w:rsidR="00991D7A" w:rsidRPr="00991D7A" w:rsidRDefault="00991D7A" w:rsidP="00027D54">
      <w:pPr>
        <w:jc w:val="left"/>
      </w:pPr>
      <w:r w:rsidRPr="00991D7A">
        <w:rPr>
          <w:rFonts w:hint="eastAsia"/>
        </w:rPr>
        <w:t>◎</w:t>
      </w:r>
      <w:r w:rsidRPr="00991D7A">
        <w:rPr>
          <w:rFonts w:hint="eastAsia"/>
        </w:rPr>
        <w:t>Canada, Ontario Ministry of Labour(2010),</w:t>
      </w:r>
      <w:r w:rsidRPr="00991D7A">
        <w:rPr>
          <w:rFonts w:hint="eastAsia"/>
        </w:rPr>
        <w:t>“</w:t>
      </w:r>
      <w:r w:rsidRPr="00991D7A">
        <w:rPr>
          <w:rFonts w:hint="eastAsia"/>
        </w:rPr>
        <w:t>Employment Protection for Foreign Nationals Act (Live-in Caregivers and Others), 2009: FAQs ,</w:t>
      </w:r>
      <w:r w:rsidRPr="00991D7A">
        <w:rPr>
          <w:rFonts w:hint="eastAsia"/>
        </w:rPr>
        <w:t>”</w:t>
      </w:r>
      <w:r w:rsidRPr="00991D7A">
        <w:rPr>
          <w:rFonts w:hint="eastAsia"/>
        </w:rPr>
        <w:t xml:space="preserve"> </w:t>
      </w:r>
      <w:hyperlink r:id="rId2872" w:history="1">
        <w:r w:rsidR="00BC66E8" w:rsidRPr="00A45644">
          <w:rPr>
            <w:rStyle w:val="a5"/>
            <w:rFonts w:ascii="Times New Roman" w:eastAsia="新細明體" w:hAnsi="Times New Roman" w:hint="eastAsia"/>
          </w:rPr>
          <w:t>http://www.labour.gov.on.ca/english/es/faqs/epfna.php</w:t>
        </w:r>
      </w:hyperlink>
      <w:r w:rsidRPr="00991D7A">
        <w:rPr>
          <w:rFonts w:hint="eastAsia"/>
        </w:rPr>
        <w:t>(2011/09/20).</w:t>
      </w:r>
    </w:p>
    <w:p w14:paraId="3E22C57E" w14:textId="77777777" w:rsidR="00BC66E8" w:rsidRDefault="00991D7A" w:rsidP="00027D54">
      <w:pPr>
        <w:jc w:val="left"/>
      </w:pPr>
      <w:r w:rsidRPr="00991D7A">
        <w:rPr>
          <w:rFonts w:hint="eastAsia"/>
        </w:rPr>
        <w:t>◎</w:t>
      </w:r>
      <w:r w:rsidRPr="00991D7A">
        <w:rPr>
          <w:rFonts w:hint="eastAsia"/>
        </w:rPr>
        <w:t xml:space="preserve">CBS News(2010). Number of Illegal Immigrants Plunges by 1M: Department of Homeland Security Reports Sharp Drop in Undocumented Population, Renewing Divisive Debate, retrieved 11/02, 2010, from </w:t>
      </w:r>
      <w:hyperlink r:id="rId2873" w:history="1">
        <w:r w:rsidR="00BC66E8" w:rsidRPr="00A45644">
          <w:rPr>
            <w:rStyle w:val="a5"/>
            <w:rFonts w:ascii="Times New Roman" w:eastAsia="新細明體" w:hAnsi="Times New Roman" w:hint="eastAsia"/>
          </w:rPr>
          <w:t>http://www.cbsnews.com/stories/2010/02/11/national/main6197466</w:t>
        </w:r>
        <w:r w:rsidR="00BC66E8" w:rsidRPr="00A45644">
          <w:rPr>
            <w:rStyle w:val="a5"/>
            <w:rFonts w:ascii="Times New Roman" w:eastAsia="新細明體" w:hAnsi="Times New Roman"/>
          </w:rPr>
          <w:t>.shtml</w:t>
        </w:r>
      </w:hyperlink>
    </w:p>
    <w:p w14:paraId="56FF37A2" w14:textId="77777777" w:rsidR="00991D7A" w:rsidRPr="00991D7A" w:rsidRDefault="00991D7A" w:rsidP="00027D54">
      <w:pPr>
        <w:jc w:val="left"/>
      </w:pPr>
      <w:r w:rsidRPr="00991D7A">
        <w:rPr>
          <w:rFonts w:hint="eastAsia"/>
        </w:rPr>
        <w:t>◎</w:t>
      </w:r>
      <w:r w:rsidRPr="00991D7A">
        <w:rPr>
          <w:rFonts w:hint="eastAsia"/>
        </w:rPr>
        <w:t>Comprehensive Nuclear-Test-Ban Treaty(2006)</w:t>
      </w:r>
      <w:r w:rsidRPr="00991D7A">
        <w:rPr>
          <w:rFonts w:hint="eastAsia"/>
        </w:rPr>
        <w:t>，</w:t>
      </w:r>
      <w:r w:rsidRPr="00991D7A">
        <w:rPr>
          <w:rFonts w:hint="eastAsia"/>
        </w:rPr>
        <w:t>http://disarmament.un.org/wmd/ctbt/index.html(2006.07.22)</w:t>
      </w:r>
      <w:r w:rsidRPr="00991D7A">
        <w:rPr>
          <w:rFonts w:hint="eastAsia"/>
        </w:rPr>
        <w:t>。</w:t>
      </w:r>
    </w:p>
    <w:p w14:paraId="180618EC" w14:textId="77777777" w:rsidR="00991D7A" w:rsidRPr="00991D7A" w:rsidRDefault="00991D7A" w:rsidP="00027D54">
      <w:pPr>
        <w:jc w:val="left"/>
      </w:pPr>
      <w:r w:rsidRPr="00991D7A">
        <w:rPr>
          <w:rFonts w:hint="eastAsia"/>
        </w:rPr>
        <w:t>◎</w:t>
      </w:r>
      <w:r w:rsidRPr="00991D7A">
        <w:rPr>
          <w:rFonts w:hint="eastAsia"/>
        </w:rPr>
        <w:t>Dream Act of 2009 © 2009 at Homestead(2013), Dream Act2013 , retrieved 03/01, 2014, from http://www.dreamact2009.org/.</w:t>
      </w:r>
    </w:p>
    <w:p w14:paraId="3CF6CBC2" w14:textId="77777777" w:rsidR="00BC66E8" w:rsidRPr="00991D7A" w:rsidRDefault="00991D7A" w:rsidP="00027D54">
      <w:pPr>
        <w:jc w:val="left"/>
      </w:pPr>
      <w:r w:rsidRPr="00991D7A">
        <w:rPr>
          <w:rFonts w:hint="eastAsia"/>
        </w:rPr>
        <w:t>◎</w:t>
      </w:r>
      <w:r w:rsidRPr="00991D7A">
        <w:rPr>
          <w:rFonts w:hint="eastAsia"/>
        </w:rPr>
        <w:t xml:space="preserve">Elise Foley(2010). ICE Halts Some Deportation Proceedings. retrieved 11/02, 2010, from </w:t>
      </w:r>
      <w:hyperlink r:id="rId2874" w:history="1">
        <w:r w:rsidR="00BC66E8" w:rsidRPr="00A45644">
          <w:rPr>
            <w:rStyle w:val="a5"/>
            <w:rFonts w:ascii="Times New Roman" w:eastAsia="新細明體" w:hAnsi="Times New Roman" w:hint="eastAsia"/>
          </w:rPr>
          <w:t>http://washingtonindependent.com/95926/ice-halts-some-deportation-proceedings</w:t>
        </w:r>
      </w:hyperlink>
    </w:p>
    <w:p w14:paraId="62F3A9E4" w14:textId="77777777" w:rsidR="00BC66E8" w:rsidRPr="00991D7A" w:rsidRDefault="00991D7A" w:rsidP="00027D54">
      <w:pPr>
        <w:jc w:val="left"/>
      </w:pPr>
      <w:r w:rsidRPr="00991D7A">
        <w:rPr>
          <w:rFonts w:hint="eastAsia"/>
        </w:rPr>
        <w:t>◎</w:t>
      </w:r>
      <w:r w:rsidRPr="00991D7A">
        <w:rPr>
          <w:rFonts w:hint="eastAsia"/>
        </w:rPr>
        <w:t xml:space="preserve">European Commission(2013), Questions and Answers: Schengen Information System (SIS II), retrieved on 2013/08/27, from </w:t>
      </w:r>
      <w:hyperlink r:id="rId2875" w:history="1">
        <w:r w:rsidR="00BC66E8" w:rsidRPr="00A45644">
          <w:rPr>
            <w:rStyle w:val="a5"/>
            <w:rFonts w:ascii="Times New Roman" w:eastAsia="新細明體" w:hAnsi="Times New Roman" w:hint="eastAsia"/>
          </w:rPr>
          <w:t>http://europa.eu/rapid/press-release_MEMO-13-309_en.htm</w:t>
        </w:r>
      </w:hyperlink>
    </w:p>
    <w:p w14:paraId="38C9768E" w14:textId="77777777" w:rsidR="00BC66E8" w:rsidRDefault="00991D7A" w:rsidP="00027D54">
      <w:pPr>
        <w:jc w:val="left"/>
      </w:pPr>
      <w:r w:rsidRPr="00991D7A">
        <w:rPr>
          <w:rFonts w:hint="eastAsia"/>
        </w:rPr>
        <w:t>◎</w:t>
      </w:r>
      <w:r w:rsidRPr="00991D7A">
        <w:rPr>
          <w:rFonts w:hint="eastAsia"/>
        </w:rPr>
        <w:t xml:space="preserve">European Commission(2013), Schengen Information System (SIS), retrieved on 2013/08/27, from </w:t>
      </w:r>
      <w:hyperlink r:id="rId2876" w:history="1">
        <w:r w:rsidR="00BC66E8" w:rsidRPr="00A45644">
          <w:rPr>
            <w:rStyle w:val="a5"/>
            <w:rFonts w:ascii="Times New Roman" w:eastAsia="新細明體" w:hAnsi="Times New Roman" w:hint="eastAsia"/>
          </w:rPr>
          <w:t>http://ec.europa.eu/dgs/home-affairs/what-we-do/policies/borders-and-visas/schengen-information-system/index_en.htm</w:t>
        </w:r>
      </w:hyperlink>
    </w:p>
    <w:p w14:paraId="23D6008D" w14:textId="77777777" w:rsidR="00991D7A" w:rsidRPr="00991D7A" w:rsidRDefault="00991D7A" w:rsidP="00027D54">
      <w:pPr>
        <w:jc w:val="left"/>
      </w:pPr>
      <w:r w:rsidRPr="00991D7A">
        <w:rPr>
          <w:rFonts w:hint="eastAsia"/>
        </w:rPr>
        <w:t>◎</w:t>
      </w:r>
      <w:r w:rsidRPr="00991D7A">
        <w:rPr>
          <w:rFonts w:hint="eastAsia"/>
        </w:rPr>
        <w:t xml:space="preserve">Final Report of the Vancouver Insite Expert Advisory Committee (2008). </w:t>
      </w:r>
      <w:hyperlink r:id="rId2877" w:anchor="insite" w:history="1">
        <w:r w:rsidR="00BC66E8" w:rsidRPr="00A45644">
          <w:rPr>
            <w:rStyle w:val="a5"/>
            <w:rFonts w:ascii="Times New Roman" w:eastAsia="新細明體" w:hAnsi="Times New Roman" w:hint="eastAsia"/>
          </w:rPr>
          <w:t>http://www.hc-sc.gc.ca/ahc-asc/pubs/_sites-lieux/insite/index-eng.php#insite</w:t>
        </w:r>
      </w:hyperlink>
      <w:r w:rsidRPr="00991D7A">
        <w:rPr>
          <w:rFonts w:hint="eastAsia"/>
        </w:rPr>
        <w:t>(2010.08)</w:t>
      </w:r>
      <w:r w:rsidRPr="00991D7A">
        <w:rPr>
          <w:rFonts w:hint="eastAsia"/>
        </w:rPr>
        <w:t>。</w:t>
      </w:r>
    </w:p>
    <w:p w14:paraId="63DFE854" w14:textId="77777777" w:rsidR="00991D7A" w:rsidRPr="00991D7A" w:rsidRDefault="00991D7A" w:rsidP="00027D54">
      <w:pPr>
        <w:jc w:val="left"/>
      </w:pPr>
      <w:r w:rsidRPr="00991D7A">
        <w:rPr>
          <w:rFonts w:hint="eastAsia"/>
        </w:rPr>
        <w:t>◎</w:t>
      </w:r>
      <w:r w:rsidRPr="00991D7A">
        <w:rPr>
          <w:rFonts w:hint="eastAsia"/>
        </w:rPr>
        <w:t>Jeffrey S. Passel &amp; D</w:t>
      </w:r>
      <w:r w:rsidRPr="00991D7A">
        <w:rPr>
          <w:rFonts w:hint="eastAsia"/>
        </w:rPr>
        <w:t>’</w:t>
      </w:r>
      <w:r w:rsidRPr="00991D7A">
        <w:rPr>
          <w:rFonts w:hint="eastAsia"/>
        </w:rPr>
        <w:t>Vera Cohn(2010). U.S. Unauthorized Immigration Flows Are Down Sharply Since Mid-Decade, NW: Pew Research Center, pp 1-3.</w:t>
      </w:r>
    </w:p>
    <w:p w14:paraId="1FE0C6D1" w14:textId="77777777" w:rsidR="00BC66E8" w:rsidRDefault="00991D7A" w:rsidP="00027D54">
      <w:pPr>
        <w:jc w:val="left"/>
      </w:pPr>
      <w:r w:rsidRPr="00991D7A">
        <w:rPr>
          <w:rFonts w:hint="eastAsia"/>
        </w:rPr>
        <w:t>◎</w:t>
      </w:r>
      <w:r w:rsidRPr="00991D7A">
        <w:rPr>
          <w:rFonts w:hint="eastAsia"/>
        </w:rPr>
        <w:t xml:space="preserve">Julia Preston(2010). Immigration Agency Ends Some Deportations. retrieved 11/02, 2010, from </w:t>
      </w:r>
      <w:hyperlink r:id="rId2878" w:history="1">
        <w:r w:rsidR="00BC66E8" w:rsidRPr="00A45644">
          <w:rPr>
            <w:rStyle w:val="a5"/>
            <w:rFonts w:ascii="Times New Roman" w:eastAsia="新細明體" w:hAnsi="Times New Roman" w:hint="eastAsia"/>
          </w:rPr>
          <w:t>http://www.nytimes.com/2010/08/27/us/27immig.html?_r=1</w:t>
        </w:r>
      </w:hyperlink>
    </w:p>
    <w:p w14:paraId="0D3813C6" w14:textId="77777777" w:rsidR="00991D7A" w:rsidRPr="00991D7A" w:rsidRDefault="00991D7A" w:rsidP="00027D54">
      <w:pPr>
        <w:jc w:val="left"/>
      </w:pPr>
      <w:r w:rsidRPr="00991D7A">
        <w:rPr>
          <w:rFonts w:hint="eastAsia"/>
        </w:rPr>
        <w:t>◎</w:t>
      </w:r>
      <w:r w:rsidRPr="00991D7A">
        <w:rPr>
          <w:rFonts w:hint="eastAsia"/>
        </w:rPr>
        <w:t>Karis(2011)</w:t>
      </w:r>
      <w:r w:rsidRPr="00991D7A">
        <w:rPr>
          <w:rFonts w:hint="eastAsia"/>
        </w:rPr>
        <w:t>，被隔離的國度</w:t>
      </w:r>
      <w:r w:rsidR="00D92F56">
        <w:rPr>
          <w:rFonts w:hint="eastAsia"/>
        </w:rPr>
        <w:t>〜</w:t>
      </w:r>
      <w:r w:rsidRPr="00991D7A">
        <w:rPr>
          <w:rFonts w:hint="eastAsia"/>
        </w:rPr>
        <w:t>記南投收容所參訪，上網瀏覽時間：</w:t>
      </w:r>
      <w:r w:rsidRPr="00991D7A">
        <w:rPr>
          <w:rFonts w:hint="eastAsia"/>
        </w:rPr>
        <w:t>2013</w:t>
      </w:r>
      <w:r w:rsidRPr="00991D7A">
        <w:rPr>
          <w:rFonts w:hint="eastAsia"/>
        </w:rPr>
        <w:t>年</w:t>
      </w:r>
      <w:r w:rsidRPr="00991D7A">
        <w:rPr>
          <w:rFonts w:hint="eastAsia"/>
        </w:rPr>
        <w:t>1</w:t>
      </w:r>
      <w:r w:rsidRPr="00991D7A">
        <w:rPr>
          <w:rFonts w:hint="eastAsia"/>
        </w:rPr>
        <w:t>月</w:t>
      </w:r>
      <w:r w:rsidRPr="00991D7A">
        <w:rPr>
          <w:rFonts w:hint="eastAsia"/>
        </w:rPr>
        <w:t>21</w:t>
      </w:r>
      <w:r w:rsidRPr="00991D7A">
        <w:rPr>
          <w:rFonts w:hint="eastAsia"/>
        </w:rPr>
        <w:t>日，</w:t>
      </w:r>
      <w:r w:rsidRPr="00991D7A">
        <w:rPr>
          <w:rFonts w:hint="eastAsia"/>
        </w:rPr>
        <w:t>http://enews.url.com.tw/human/69055</w:t>
      </w:r>
      <w:r w:rsidRPr="00991D7A">
        <w:rPr>
          <w:rFonts w:hint="eastAsia"/>
        </w:rPr>
        <w:t>。</w:t>
      </w:r>
    </w:p>
    <w:p w14:paraId="3B5B5039" w14:textId="77777777" w:rsidR="00991D7A" w:rsidRPr="00991D7A" w:rsidRDefault="00991D7A" w:rsidP="00027D54">
      <w:pPr>
        <w:jc w:val="left"/>
      </w:pPr>
      <w:r w:rsidRPr="00991D7A">
        <w:rPr>
          <w:rFonts w:hint="eastAsia"/>
        </w:rPr>
        <w:t>◎</w:t>
      </w:r>
      <w:r w:rsidRPr="00991D7A">
        <w:rPr>
          <w:rFonts w:hint="eastAsia"/>
        </w:rPr>
        <w:t>Marcos Restrepo(2010). New ICE rules stop deportation of immigrants trying to gain legal status (Corrected). retrieved 11/02, 2010, from http://floridaindependent.com/6677/new-ice-rules-stop-deportation-of-immigrants-trying-to-gain-legal-status.</w:t>
      </w:r>
    </w:p>
    <w:p w14:paraId="39216483" w14:textId="77777777" w:rsidR="00BC66E8" w:rsidRDefault="00991D7A" w:rsidP="00027D54">
      <w:pPr>
        <w:jc w:val="left"/>
      </w:pPr>
      <w:r w:rsidRPr="00991D7A">
        <w:rPr>
          <w:rFonts w:hint="eastAsia"/>
        </w:rPr>
        <w:t>◎</w:t>
      </w:r>
      <w:r w:rsidRPr="00991D7A">
        <w:rPr>
          <w:rFonts w:hint="eastAsia"/>
        </w:rPr>
        <w:t xml:space="preserve">Ministry of Home Affairs(2010). Immigration (Amendment) Bill 2004, 2010. retrieved 11/02, 2010, from </w:t>
      </w:r>
      <w:hyperlink r:id="rId2879" w:history="1">
        <w:r w:rsidR="00BC66E8" w:rsidRPr="00A45644">
          <w:rPr>
            <w:rStyle w:val="a5"/>
            <w:rFonts w:ascii="Times New Roman" w:eastAsia="新細明體" w:hAnsi="Times New Roman" w:hint="eastAsia"/>
          </w:rPr>
          <w:t>http://www.mha.gov.sg/basic_content.aspx?pageid=81</w:t>
        </w:r>
      </w:hyperlink>
    </w:p>
    <w:p w14:paraId="5119CC35" w14:textId="77777777" w:rsidR="00BC66E8" w:rsidRPr="00991D7A" w:rsidRDefault="00991D7A" w:rsidP="00027D54">
      <w:pPr>
        <w:jc w:val="left"/>
      </w:pPr>
      <w:r w:rsidRPr="00991D7A">
        <w:rPr>
          <w:rFonts w:hint="eastAsia"/>
        </w:rPr>
        <w:t>◎</w:t>
      </w:r>
      <w:r w:rsidRPr="00991D7A">
        <w:rPr>
          <w:rFonts w:hint="eastAsia"/>
        </w:rPr>
        <w:t xml:space="preserve">Randal C. Archibold(2010). Arizona Enacts Stringent Law on Immigration, 2010. retrieved 11/02, 2010, from </w:t>
      </w:r>
      <w:hyperlink r:id="rId2880" w:history="1">
        <w:r w:rsidR="00BC66E8" w:rsidRPr="00A45644">
          <w:rPr>
            <w:rStyle w:val="a5"/>
            <w:rFonts w:ascii="Times New Roman" w:eastAsia="新細明體" w:hAnsi="Times New Roman" w:hint="eastAsia"/>
          </w:rPr>
          <w:t>http://www.nytimes.com/2010/04/24/us/politics/24immig.html</w:t>
        </w:r>
      </w:hyperlink>
    </w:p>
    <w:p w14:paraId="65BBE631" w14:textId="77777777" w:rsidR="00BC66E8" w:rsidRPr="00991D7A" w:rsidRDefault="00991D7A" w:rsidP="00027D54">
      <w:pPr>
        <w:jc w:val="left"/>
      </w:pPr>
      <w:r w:rsidRPr="00991D7A">
        <w:rPr>
          <w:rFonts w:hint="eastAsia"/>
        </w:rPr>
        <w:t>◎</w:t>
      </w:r>
      <w:r w:rsidRPr="00991D7A">
        <w:rPr>
          <w:rFonts w:hint="eastAsia"/>
        </w:rPr>
        <w:t xml:space="preserve">Reuters, U.N(2010). Warns states on illegal immigrant rights, retrieved 11/02, 2010, from </w:t>
      </w:r>
      <w:hyperlink r:id="rId2881" w:history="1">
        <w:r w:rsidR="00BC66E8" w:rsidRPr="00A45644">
          <w:rPr>
            <w:rStyle w:val="a5"/>
            <w:rFonts w:ascii="Times New Roman" w:eastAsia="新細明體" w:hAnsi="Times New Roman" w:hint="eastAsia"/>
          </w:rPr>
          <w:t>http://www.reuters.com/article/idUSTRE68T2OT20100930</w:t>
        </w:r>
      </w:hyperlink>
    </w:p>
    <w:p w14:paraId="747AD6F1" w14:textId="77777777" w:rsidR="00991D7A" w:rsidRPr="00991D7A" w:rsidRDefault="00991D7A" w:rsidP="00027D54">
      <w:pPr>
        <w:jc w:val="left"/>
      </w:pPr>
      <w:r w:rsidRPr="00991D7A">
        <w:rPr>
          <w:rFonts w:hint="eastAsia"/>
        </w:rPr>
        <w:t>◎</w:t>
      </w:r>
      <w:r w:rsidRPr="00991D7A">
        <w:rPr>
          <w:rFonts w:hint="eastAsia"/>
        </w:rPr>
        <w:t>RIA Novosti(2010). Russia reports 4 mln illegal migrant workers, retrieved 11/02, 2010, from http://en.rian.ru/russia/20100908/160519155.html.</w:t>
      </w:r>
    </w:p>
    <w:p w14:paraId="2794C008" w14:textId="77777777" w:rsidR="00991D7A" w:rsidRPr="00991D7A" w:rsidRDefault="00991D7A" w:rsidP="00027D54">
      <w:pPr>
        <w:jc w:val="left"/>
      </w:pPr>
      <w:r w:rsidRPr="00991D7A">
        <w:rPr>
          <w:rFonts w:hint="eastAsia"/>
        </w:rPr>
        <w:t>◎</w:t>
      </w:r>
      <w:r w:rsidRPr="00991D7A">
        <w:rPr>
          <w:rFonts w:hint="eastAsia"/>
        </w:rPr>
        <w:t>Select Nannies Inc(2011),</w:t>
      </w:r>
      <w:r w:rsidRPr="00991D7A">
        <w:rPr>
          <w:rFonts w:hint="eastAsia"/>
        </w:rPr>
        <w:t>“</w:t>
      </w:r>
      <w:r w:rsidRPr="00991D7A">
        <w:rPr>
          <w:rFonts w:hint="eastAsia"/>
        </w:rPr>
        <w:t xml:space="preserve">Employment Protection for Foreign Nationals Act (EPFNA) </w:t>
      </w:r>
      <w:r w:rsidR="00D92F56">
        <w:rPr>
          <w:rFonts w:hint="eastAsia"/>
        </w:rPr>
        <w:t>〜</w:t>
      </w:r>
      <w:r w:rsidRPr="00991D7A">
        <w:rPr>
          <w:rFonts w:hint="eastAsia"/>
        </w:rPr>
        <w:t xml:space="preserve">applies only to Employers in Ontario, </w:t>
      </w:r>
      <w:r w:rsidRPr="00991D7A">
        <w:rPr>
          <w:rFonts w:hint="eastAsia"/>
        </w:rPr>
        <w:t>”</w:t>
      </w:r>
      <w:r w:rsidRPr="00991D7A">
        <w:rPr>
          <w:rFonts w:hint="eastAsia"/>
        </w:rPr>
        <w:t xml:space="preserve"> </w:t>
      </w:r>
      <w:hyperlink r:id="rId2882" w:history="1">
        <w:r w:rsidR="00BC66E8" w:rsidRPr="00A45644">
          <w:rPr>
            <w:rStyle w:val="a5"/>
            <w:rFonts w:ascii="Times New Roman" w:eastAsia="新細明體" w:hAnsi="Times New Roman" w:hint="eastAsia"/>
          </w:rPr>
          <w:t>http://www.labour.gov.on.ca/english/es/faqs/epfna.php</w:t>
        </w:r>
      </w:hyperlink>
      <w:r w:rsidRPr="00991D7A">
        <w:rPr>
          <w:rFonts w:hint="eastAsia"/>
        </w:rPr>
        <w:t>(2011/09/02).</w:t>
      </w:r>
    </w:p>
    <w:p w14:paraId="1097BCB7" w14:textId="77777777" w:rsidR="00991D7A" w:rsidRPr="00991D7A" w:rsidRDefault="00991D7A" w:rsidP="00027D54">
      <w:pPr>
        <w:jc w:val="left"/>
      </w:pPr>
      <w:r w:rsidRPr="00991D7A">
        <w:rPr>
          <w:rFonts w:hint="eastAsia"/>
        </w:rPr>
        <w:t>◎</w:t>
      </w:r>
      <w:r w:rsidRPr="00991D7A">
        <w:rPr>
          <w:rFonts w:hint="eastAsia"/>
        </w:rPr>
        <w:t xml:space="preserve">Select Nannies Inc.(2011), </w:t>
      </w:r>
      <w:r w:rsidRPr="00991D7A">
        <w:rPr>
          <w:rFonts w:hint="eastAsia"/>
        </w:rPr>
        <w:t>“</w:t>
      </w:r>
      <w:r w:rsidRPr="00991D7A">
        <w:rPr>
          <w:rFonts w:hint="eastAsia"/>
        </w:rPr>
        <w:t>Caregiver Program</w:t>
      </w:r>
      <w:r w:rsidR="00D92F56">
        <w:rPr>
          <w:rFonts w:hint="eastAsia"/>
        </w:rPr>
        <w:t>〜</w:t>
      </w:r>
      <w:r w:rsidRPr="00991D7A">
        <w:rPr>
          <w:rFonts w:hint="eastAsia"/>
        </w:rPr>
        <w:t>introduction and overview,</w:t>
      </w:r>
      <w:r w:rsidRPr="00991D7A">
        <w:rPr>
          <w:rFonts w:hint="eastAsia"/>
        </w:rPr>
        <w:t>”</w:t>
      </w:r>
      <w:r w:rsidRPr="00991D7A">
        <w:rPr>
          <w:rFonts w:hint="eastAsia"/>
        </w:rPr>
        <w:t xml:space="preserve"> </w:t>
      </w:r>
      <w:hyperlink r:id="rId2883" w:history="1">
        <w:r w:rsidR="00BC66E8" w:rsidRPr="00A45644">
          <w:rPr>
            <w:rStyle w:val="a5"/>
            <w:rFonts w:ascii="Times New Roman" w:eastAsia="新細明體" w:hAnsi="Times New Roman" w:hint="eastAsia"/>
          </w:rPr>
          <w:t>http://www.selectnannies.ca/03_caregiver/index.cfm</w:t>
        </w:r>
      </w:hyperlink>
      <w:r w:rsidRPr="00991D7A">
        <w:rPr>
          <w:rFonts w:hint="eastAsia"/>
        </w:rPr>
        <w:t>(2011/09/10).</w:t>
      </w:r>
    </w:p>
    <w:p w14:paraId="282F68BC" w14:textId="77777777" w:rsidR="00991D7A" w:rsidRPr="00991D7A" w:rsidRDefault="00991D7A" w:rsidP="00027D54">
      <w:pPr>
        <w:jc w:val="left"/>
      </w:pPr>
      <w:r w:rsidRPr="00991D7A">
        <w:rPr>
          <w:rFonts w:hint="eastAsia"/>
        </w:rPr>
        <w:t>◎</w:t>
      </w:r>
      <w:r w:rsidRPr="00991D7A">
        <w:rPr>
          <w:rFonts w:hint="eastAsia"/>
        </w:rPr>
        <w:t xml:space="preserve">Select Nannies Inc.(2011), </w:t>
      </w:r>
      <w:r w:rsidRPr="00991D7A">
        <w:rPr>
          <w:rFonts w:hint="eastAsia"/>
        </w:rPr>
        <w:t>“</w:t>
      </w:r>
      <w:r w:rsidRPr="00991D7A">
        <w:rPr>
          <w:rFonts w:hint="eastAsia"/>
        </w:rPr>
        <w:t>Federal Changes to LCP (Live-in Caregiver Program)</w:t>
      </w:r>
      <w:r w:rsidR="00D92F56">
        <w:rPr>
          <w:rFonts w:hint="eastAsia"/>
        </w:rPr>
        <w:t>〜</w:t>
      </w:r>
      <w:r w:rsidRPr="00991D7A">
        <w:rPr>
          <w:rFonts w:hint="eastAsia"/>
        </w:rPr>
        <w:t xml:space="preserve">applies to all employers in Canada, </w:t>
      </w:r>
      <w:r w:rsidRPr="00991D7A">
        <w:rPr>
          <w:rFonts w:hint="eastAsia"/>
        </w:rPr>
        <w:t>“</w:t>
      </w:r>
      <w:r w:rsidRPr="00991D7A">
        <w:rPr>
          <w:rFonts w:hint="eastAsia"/>
        </w:rPr>
        <w:t xml:space="preserve"> </w:t>
      </w:r>
      <w:hyperlink r:id="rId2884" w:history="1">
        <w:r w:rsidR="00BC66E8" w:rsidRPr="00A45644">
          <w:rPr>
            <w:rStyle w:val="a5"/>
            <w:rFonts w:ascii="Times New Roman" w:eastAsia="新細明體" w:hAnsi="Times New Roman" w:hint="eastAsia"/>
          </w:rPr>
          <w:t>http://www.hrsdc.gc.ca/eng/workplaceskills/foreign_workers/communications/lcpnewchanges.shtml</w:t>
        </w:r>
      </w:hyperlink>
      <w:r w:rsidRPr="00991D7A">
        <w:rPr>
          <w:rFonts w:hint="eastAsia"/>
        </w:rPr>
        <w:t>(2011/09/03).</w:t>
      </w:r>
    </w:p>
    <w:p w14:paraId="3DD1CD3D" w14:textId="77777777" w:rsidR="00991D7A" w:rsidRPr="00991D7A" w:rsidRDefault="00991D7A" w:rsidP="00027D54">
      <w:pPr>
        <w:jc w:val="left"/>
      </w:pPr>
      <w:r w:rsidRPr="00991D7A">
        <w:rPr>
          <w:rFonts w:hint="eastAsia"/>
        </w:rPr>
        <w:t>◎</w:t>
      </w:r>
      <w:r w:rsidRPr="00991D7A">
        <w:rPr>
          <w:rFonts w:hint="eastAsia"/>
        </w:rPr>
        <w:t xml:space="preserve">Singapore Statutes Online(2010). retrieved 11/02, 2010, from </w:t>
      </w:r>
      <w:hyperlink r:id="rId2885" w:history="1">
        <w:r w:rsidR="00BC66E8" w:rsidRPr="00A45644">
          <w:rPr>
            <w:rStyle w:val="a5"/>
            <w:rFonts w:ascii="Times New Roman" w:eastAsia="新細明體" w:hAnsi="Times New Roman" w:hint="eastAsia"/>
          </w:rPr>
          <w:t>http://statutes.agc.gov.sg/non_version/html/homepage.html</w:t>
        </w:r>
      </w:hyperlink>
      <w:r w:rsidRPr="00991D7A">
        <w:rPr>
          <w:rFonts w:hint="eastAsia"/>
        </w:rPr>
        <w:t xml:space="preserve"> </w:t>
      </w:r>
    </w:p>
    <w:p w14:paraId="34BB67F1" w14:textId="77777777" w:rsidR="00BC66E8" w:rsidRPr="00991D7A" w:rsidRDefault="00991D7A" w:rsidP="00027D54">
      <w:pPr>
        <w:jc w:val="left"/>
      </w:pPr>
      <w:r w:rsidRPr="00991D7A">
        <w:rPr>
          <w:rFonts w:hint="eastAsia"/>
        </w:rPr>
        <w:t>◎</w:t>
      </w:r>
      <w:r w:rsidRPr="00991D7A">
        <w:rPr>
          <w:rFonts w:hint="eastAsia"/>
        </w:rPr>
        <w:t>Stem cells(2013)</w:t>
      </w:r>
      <w:r w:rsidRPr="00991D7A">
        <w:rPr>
          <w:rFonts w:hint="eastAsia"/>
        </w:rPr>
        <w:t>，</w:t>
      </w:r>
      <w:r w:rsidRPr="00991D7A">
        <w:rPr>
          <w:rFonts w:hint="eastAsia"/>
        </w:rPr>
        <w:t>Wikipedia</w:t>
      </w:r>
      <w:r w:rsidRPr="00991D7A">
        <w:rPr>
          <w:rFonts w:hint="eastAsia"/>
        </w:rPr>
        <w:t>，</w:t>
      </w:r>
      <w:hyperlink r:id="rId2886" w:history="1">
        <w:r w:rsidR="00BC66E8" w:rsidRPr="00A45644">
          <w:rPr>
            <w:rStyle w:val="a5"/>
            <w:rFonts w:ascii="Times New Roman" w:eastAsia="新細明體" w:hAnsi="Times New Roman" w:hint="eastAsia"/>
          </w:rPr>
          <w:t>http://en.wikipedia.org/wiki/Stem_cell</w:t>
        </w:r>
      </w:hyperlink>
    </w:p>
    <w:p w14:paraId="148F46AB" w14:textId="77777777" w:rsidR="00BC66E8" w:rsidRPr="00991D7A" w:rsidRDefault="00991D7A" w:rsidP="00027D54">
      <w:pPr>
        <w:jc w:val="left"/>
      </w:pPr>
      <w:r w:rsidRPr="00991D7A">
        <w:rPr>
          <w:rFonts w:hint="eastAsia"/>
        </w:rPr>
        <w:t>◎</w:t>
      </w:r>
      <w:r w:rsidRPr="00991D7A">
        <w:rPr>
          <w:rFonts w:hint="eastAsia"/>
        </w:rPr>
        <w:t xml:space="preserve">Teresa Watanabe(2010). Illegal immigrant numbers plunge, 2010. retrieved 11/02, 2010, from </w:t>
      </w:r>
      <w:hyperlink r:id="rId2887" w:history="1">
        <w:r w:rsidR="00BC66E8" w:rsidRPr="00A45644">
          <w:rPr>
            <w:rStyle w:val="a5"/>
            <w:rFonts w:ascii="Times New Roman" w:eastAsia="新細明體" w:hAnsi="Times New Roman" w:hint="eastAsia"/>
          </w:rPr>
          <w:t>http://articles.latimes.com/2010/feb/11/local/la-me-immig11-2010feb11</w:t>
        </w:r>
      </w:hyperlink>
    </w:p>
    <w:p w14:paraId="5796D7D9" w14:textId="77777777" w:rsidR="00991D7A" w:rsidRPr="00991D7A" w:rsidRDefault="00991D7A" w:rsidP="00027D54">
      <w:pPr>
        <w:jc w:val="left"/>
      </w:pPr>
      <w:r w:rsidRPr="00991D7A">
        <w:rPr>
          <w:rFonts w:hint="eastAsia"/>
        </w:rPr>
        <w:t>◎</w:t>
      </w:r>
      <w:r w:rsidRPr="00991D7A">
        <w:rPr>
          <w:rFonts w:hint="eastAsia"/>
        </w:rPr>
        <w:t xml:space="preserve">The U.S. State Department(2011), </w:t>
      </w:r>
      <w:r w:rsidRPr="00991D7A">
        <w:rPr>
          <w:rFonts w:hint="eastAsia"/>
        </w:rPr>
        <w:t>“</w:t>
      </w:r>
      <w:r w:rsidRPr="00991D7A">
        <w:rPr>
          <w:rFonts w:hint="eastAsia"/>
        </w:rPr>
        <w:t xml:space="preserve">Trafficking in Persons Report 2011, </w:t>
      </w:r>
      <w:r w:rsidRPr="00991D7A">
        <w:rPr>
          <w:rFonts w:hint="eastAsia"/>
        </w:rPr>
        <w:t>“</w:t>
      </w:r>
      <w:r w:rsidRPr="00991D7A">
        <w:rPr>
          <w:rFonts w:hint="eastAsia"/>
        </w:rPr>
        <w:t xml:space="preserve"> </w:t>
      </w:r>
      <w:hyperlink r:id="rId2888" w:history="1">
        <w:r w:rsidR="00BC66E8" w:rsidRPr="00A45644">
          <w:rPr>
            <w:rStyle w:val="a5"/>
            <w:rFonts w:ascii="Times New Roman" w:eastAsia="新細明體" w:hAnsi="Times New Roman" w:hint="eastAsia"/>
          </w:rPr>
          <w:t>http://www.state.gov/g/tip/rls/tiprpt/2011/</w:t>
        </w:r>
      </w:hyperlink>
      <w:r w:rsidRPr="00991D7A">
        <w:rPr>
          <w:rFonts w:hint="eastAsia"/>
        </w:rPr>
        <w:t xml:space="preserve">(2011/12/20). </w:t>
      </w:r>
    </w:p>
    <w:p w14:paraId="50E395D8" w14:textId="77777777" w:rsidR="00BC66E8" w:rsidRPr="00991D7A" w:rsidRDefault="00991D7A" w:rsidP="00027D54">
      <w:pPr>
        <w:jc w:val="left"/>
      </w:pPr>
      <w:r w:rsidRPr="00991D7A">
        <w:rPr>
          <w:rFonts w:hint="eastAsia"/>
        </w:rPr>
        <w:t>◎</w:t>
      </w:r>
      <w:r w:rsidRPr="00991D7A">
        <w:rPr>
          <w:rFonts w:hint="eastAsia"/>
        </w:rPr>
        <w:t xml:space="preserve">U.N. Department of Economic and Social Affairs(2010). retrieved 11/02, 2010, from </w:t>
      </w:r>
      <w:hyperlink r:id="rId2889" w:history="1">
        <w:r w:rsidR="00BC66E8" w:rsidRPr="00A45644">
          <w:rPr>
            <w:rStyle w:val="a5"/>
            <w:rFonts w:ascii="Times New Roman" w:eastAsia="新細明體" w:hAnsi="Times New Roman" w:hint="eastAsia"/>
          </w:rPr>
          <w:t>http://esa.un.org/migration/p2k0data.asp</w:t>
        </w:r>
      </w:hyperlink>
    </w:p>
    <w:p w14:paraId="45F85C88" w14:textId="77777777" w:rsidR="00BC66E8" w:rsidRPr="00991D7A" w:rsidRDefault="00991D7A" w:rsidP="00027D54">
      <w:pPr>
        <w:jc w:val="left"/>
      </w:pPr>
      <w:r w:rsidRPr="00991D7A">
        <w:rPr>
          <w:rFonts w:hint="eastAsia"/>
        </w:rPr>
        <w:t>◎</w:t>
      </w:r>
      <w:r w:rsidRPr="00991D7A">
        <w:rPr>
          <w:rFonts w:hint="eastAsia"/>
        </w:rPr>
        <w:t xml:space="preserve">US State Department(2010). Trafficking in Persons Report 2010, retrieved 11/04, 2010, from </w:t>
      </w:r>
      <w:hyperlink r:id="rId2890" w:history="1">
        <w:r w:rsidR="00BC66E8" w:rsidRPr="00A45644">
          <w:rPr>
            <w:rStyle w:val="a5"/>
            <w:rFonts w:ascii="Times New Roman" w:eastAsia="新細明體" w:hAnsi="Times New Roman" w:hint="eastAsia"/>
          </w:rPr>
          <w:t>http://www.state.gov/g/tip/rls/tiprpt/2010/142744.htm</w:t>
        </w:r>
      </w:hyperlink>
    </w:p>
    <w:p w14:paraId="640297CF" w14:textId="77777777" w:rsidR="00BC66E8" w:rsidRDefault="00991D7A" w:rsidP="00027D54">
      <w:pPr>
        <w:jc w:val="left"/>
      </w:pPr>
      <w:r w:rsidRPr="00991D7A">
        <w:rPr>
          <w:rFonts w:hint="eastAsia"/>
        </w:rPr>
        <w:t>◎</w:t>
      </w:r>
      <w:r w:rsidRPr="00991D7A">
        <w:rPr>
          <w:rFonts w:hint="eastAsia"/>
        </w:rPr>
        <w:t xml:space="preserve">US State Department(2010). Trafficking in Persons Report 2010, retrieved 11/04, 2010, from </w:t>
      </w:r>
      <w:hyperlink r:id="rId2891" w:history="1">
        <w:r w:rsidR="00BC66E8" w:rsidRPr="00A45644">
          <w:rPr>
            <w:rStyle w:val="a5"/>
            <w:rFonts w:ascii="Times New Roman" w:eastAsia="新細明體" w:hAnsi="Times New Roman" w:hint="eastAsia"/>
          </w:rPr>
          <w:t>http://www.state.gov/g/tip/rls/tiprpt/2010/142744.htm</w:t>
        </w:r>
      </w:hyperlink>
    </w:p>
    <w:p w14:paraId="5286C833" w14:textId="77777777" w:rsidR="00991D7A" w:rsidRPr="00991D7A" w:rsidRDefault="00991D7A" w:rsidP="00027D54">
      <w:pPr>
        <w:jc w:val="left"/>
      </w:pPr>
      <w:r w:rsidRPr="00991D7A">
        <w:rPr>
          <w:rFonts w:hint="eastAsia"/>
        </w:rPr>
        <w:t>◎</w:t>
      </w:r>
      <w:r w:rsidRPr="00991D7A">
        <w:rPr>
          <w:rFonts w:hint="eastAsia"/>
        </w:rPr>
        <w:t xml:space="preserve">US State Department(2013). Trafficking in Persons Report 2013, retrieved 08/04, 2014, from </w:t>
      </w:r>
      <w:hyperlink r:id="rId2892" w:history="1">
        <w:r w:rsidR="00BC66E8" w:rsidRPr="00A45644">
          <w:rPr>
            <w:rStyle w:val="a5"/>
            <w:rFonts w:ascii="Times New Roman" w:eastAsia="新細明體" w:hAnsi="Times New Roman" w:hint="eastAsia"/>
          </w:rPr>
          <w:t>http://www.state.gov/documents/organization/210737.pdf</w:t>
        </w:r>
      </w:hyperlink>
    </w:p>
    <w:p w14:paraId="17BB2ADD" w14:textId="77777777" w:rsidR="00BC66E8" w:rsidRPr="00991D7A" w:rsidRDefault="00991D7A" w:rsidP="00027D54">
      <w:pPr>
        <w:jc w:val="left"/>
      </w:pPr>
      <w:r w:rsidRPr="00991D7A">
        <w:rPr>
          <w:rFonts w:hint="eastAsia"/>
        </w:rPr>
        <w:t>◎</w:t>
      </w:r>
      <w:r w:rsidRPr="00991D7A">
        <w:rPr>
          <w:rFonts w:hint="eastAsia"/>
        </w:rPr>
        <w:t xml:space="preserve">US State Department(2014). Trafficking in Persons Report 2014 , retrieved 08/04, 2014, from </w:t>
      </w:r>
      <w:hyperlink r:id="rId2893" w:history="1">
        <w:r w:rsidR="00BC66E8" w:rsidRPr="00A45644">
          <w:rPr>
            <w:rStyle w:val="a5"/>
            <w:rFonts w:ascii="Times New Roman" w:eastAsia="新細明體" w:hAnsi="Times New Roman" w:hint="eastAsia"/>
          </w:rPr>
          <w:t>http://www.state.gov/</w:t>
        </w:r>
      </w:hyperlink>
    </w:p>
    <w:p w14:paraId="02682E11" w14:textId="77777777" w:rsidR="00BC66E8" w:rsidRPr="00991D7A" w:rsidRDefault="00991D7A" w:rsidP="00027D54">
      <w:pPr>
        <w:jc w:val="left"/>
      </w:pPr>
      <w:r w:rsidRPr="00991D7A">
        <w:rPr>
          <w:rFonts w:hint="eastAsia"/>
        </w:rPr>
        <w:t>◎</w:t>
      </w:r>
      <w:r w:rsidRPr="00991D7A">
        <w:rPr>
          <w:rFonts w:hint="eastAsia"/>
        </w:rPr>
        <w:t xml:space="preserve">Wikipedia(2010). irregular migrant population , retrieved 11/01, 2010, from </w:t>
      </w:r>
      <w:hyperlink r:id="rId2894" w:history="1">
        <w:r w:rsidR="00BC66E8" w:rsidRPr="00A45644">
          <w:rPr>
            <w:rStyle w:val="a5"/>
            <w:rFonts w:ascii="Times New Roman" w:eastAsia="新細明體" w:hAnsi="Times New Roman" w:hint="eastAsia"/>
          </w:rPr>
          <w:t>http://en.wikipedia.org/wiki/Illegal_immigration</w:t>
        </w:r>
      </w:hyperlink>
    </w:p>
    <w:p w14:paraId="71BBE41E" w14:textId="77777777" w:rsidR="00BC66E8" w:rsidRDefault="00991D7A" w:rsidP="00027D54">
      <w:pPr>
        <w:jc w:val="left"/>
      </w:pPr>
      <w:r w:rsidRPr="00991D7A">
        <w:rPr>
          <w:rFonts w:hint="eastAsia"/>
        </w:rPr>
        <w:t>◎</w:t>
      </w:r>
      <w:r w:rsidRPr="00991D7A">
        <w:rPr>
          <w:rFonts w:hint="eastAsia"/>
        </w:rPr>
        <w:t>Wikipedia(2011),</w:t>
      </w:r>
      <w:r w:rsidRPr="00991D7A">
        <w:rPr>
          <w:rFonts w:hint="eastAsia"/>
        </w:rPr>
        <w:t>“</w:t>
      </w:r>
      <w:r w:rsidRPr="00991D7A">
        <w:rPr>
          <w:rFonts w:hint="eastAsia"/>
        </w:rPr>
        <w:t xml:space="preserve">Employment Standards Act, </w:t>
      </w:r>
      <w:r w:rsidRPr="00991D7A">
        <w:rPr>
          <w:rFonts w:hint="eastAsia"/>
        </w:rPr>
        <w:t>“</w:t>
      </w:r>
      <w:r w:rsidRPr="00991D7A">
        <w:rPr>
          <w:rFonts w:hint="eastAsia"/>
        </w:rPr>
        <w:t xml:space="preserve"> </w:t>
      </w:r>
      <w:hyperlink r:id="rId2895" w:history="1">
        <w:r w:rsidR="00BC66E8" w:rsidRPr="00A45644">
          <w:rPr>
            <w:rStyle w:val="a5"/>
            <w:rFonts w:ascii="Times New Roman" w:eastAsia="新細明體" w:hAnsi="Times New Roman" w:hint="eastAsia"/>
          </w:rPr>
          <w:t>http://en.wikipedia.org/wiki/Employment_Standards_Act</w:t>
        </w:r>
      </w:hyperlink>
    </w:p>
    <w:p w14:paraId="502B379B" w14:textId="77777777" w:rsidR="00991D7A" w:rsidRPr="00991D7A" w:rsidRDefault="00991D7A" w:rsidP="00027D54">
      <w:pPr>
        <w:jc w:val="left"/>
      </w:pPr>
      <w:r w:rsidRPr="00991D7A">
        <w:rPr>
          <w:rFonts w:hint="eastAsia"/>
        </w:rPr>
        <w:t>(2011/09/20).</w:t>
      </w:r>
    </w:p>
    <w:p w14:paraId="250104A9" w14:textId="77777777" w:rsidR="00BC66E8" w:rsidRDefault="00991D7A" w:rsidP="00027D54">
      <w:pPr>
        <w:jc w:val="left"/>
      </w:pPr>
      <w:r w:rsidRPr="00991D7A">
        <w:rPr>
          <w:rFonts w:hint="eastAsia"/>
        </w:rPr>
        <w:t>◎</w:t>
      </w:r>
      <w:r w:rsidRPr="00991D7A">
        <w:rPr>
          <w:rFonts w:hint="eastAsia"/>
        </w:rPr>
        <w:t>Wikipedia(2011). Supervised Injection Sites</w:t>
      </w:r>
      <w:r w:rsidRPr="00991D7A">
        <w:rPr>
          <w:rFonts w:hint="eastAsia"/>
        </w:rPr>
        <w:t>，</w:t>
      </w:r>
      <w:hyperlink r:id="rId2896" w:history="1">
        <w:r w:rsidR="00BC66E8" w:rsidRPr="00A45644">
          <w:rPr>
            <w:rStyle w:val="a5"/>
            <w:rFonts w:ascii="Times New Roman" w:eastAsia="新細明體" w:hAnsi="Times New Roman" w:hint="eastAsia"/>
          </w:rPr>
          <w:t>http://en.wikipedia.org/wiki/Safe_injection_site</w:t>
        </w:r>
      </w:hyperlink>
    </w:p>
    <w:p w14:paraId="331C8895" w14:textId="77777777" w:rsidR="00991D7A" w:rsidRPr="00991D7A" w:rsidRDefault="00991D7A" w:rsidP="00027D54">
      <w:pPr>
        <w:jc w:val="left"/>
      </w:pPr>
      <w:r w:rsidRPr="00991D7A">
        <w:rPr>
          <w:rFonts w:hint="eastAsia"/>
        </w:rPr>
        <w:t xml:space="preserve">(2011.05) </w:t>
      </w:r>
    </w:p>
    <w:p w14:paraId="68B09704" w14:textId="77777777" w:rsidR="00991D7A" w:rsidRPr="00991D7A" w:rsidRDefault="00991D7A" w:rsidP="00027D54">
      <w:pPr>
        <w:jc w:val="left"/>
      </w:pPr>
      <w:r w:rsidRPr="00991D7A">
        <w:rPr>
          <w:rFonts w:hint="eastAsia"/>
        </w:rPr>
        <w:t>◎大智人力</w:t>
      </w:r>
      <w:r w:rsidRPr="00991D7A">
        <w:rPr>
          <w:rFonts w:hint="eastAsia"/>
        </w:rPr>
        <w:t>(2013)</w:t>
      </w:r>
      <w:r w:rsidRPr="00991D7A">
        <w:rPr>
          <w:rFonts w:hint="eastAsia"/>
        </w:rPr>
        <w:t>，外勞行蹤不明人數破</w:t>
      </w:r>
      <w:r w:rsidRPr="00991D7A">
        <w:rPr>
          <w:rFonts w:hint="eastAsia"/>
        </w:rPr>
        <w:t>4</w:t>
      </w:r>
      <w:r w:rsidRPr="00991D7A">
        <w:rPr>
          <w:rFonts w:hint="eastAsia"/>
        </w:rPr>
        <w:t>萬人大關，越政府提懲罰防堵措施，勞委會肯定，</w:t>
      </w:r>
      <w:r w:rsidRPr="00991D7A">
        <w:rPr>
          <w:rFonts w:hint="eastAsia"/>
        </w:rPr>
        <w:t xml:space="preserve">retrieved 02/22, 2014, from </w:t>
      </w:r>
      <w:hyperlink r:id="rId2897" w:history="1">
        <w:r w:rsidR="00BC66E8" w:rsidRPr="00A45644">
          <w:rPr>
            <w:rStyle w:val="a5"/>
            <w:rFonts w:ascii="Times New Roman" w:eastAsia="新細明體" w:hAnsi="Times New Roman" w:hint="eastAsia"/>
          </w:rPr>
          <w:t>http://www.dart-wits.com.tw/_chinese/06_latestnews/02_newsdetail.aspx?NID=170</w:t>
        </w:r>
      </w:hyperlink>
    </w:p>
    <w:p w14:paraId="599E5AF4" w14:textId="77777777" w:rsidR="00991D7A" w:rsidRPr="00991D7A" w:rsidRDefault="00991D7A" w:rsidP="00027D54">
      <w:pPr>
        <w:jc w:val="left"/>
      </w:pPr>
      <w:r w:rsidRPr="00991D7A">
        <w:rPr>
          <w:rFonts w:hint="eastAsia"/>
        </w:rPr>
        <w:t>◎大智人力</w:t>
      </w:r>
      <w:r w:rsidRPr="00991D7A">
        <w:rPr>
          <w:rFonts w:hint="eastAsia"/>
        </w:rPr>
        <w:t>(2013)</w:t>
      </w:r>
      <w:r w:rsidRPr="00991D7A">
        <w:rPr>
          <w:rFonts w:hint="eastAsia"/>
        </w:rPr>
        <w:t>，法令不具嚇阻效果，外勞逃逸毫無忌憚，行蹤不明人數破</w:t>
      </w:r>
      <w:r w:rsidRPr="00991D7A">
        <w:rPr>
          <w:rFonts w:hint="eastAsia"/>
        </w:rPr>
        <w:t>4</w:t>
      </w:r>
      <w:r w:rsidRPr="00991D7A">
        <w:rPr>
          <w:rFonts w:hint="eastAsia"/>
        </w:rPr>
        <w:t>萬，社會治安隱憂，</w:t>
      </w:r>
      <w:r w:rsidRPr="00991D7A">
        <w:rPr>
          <w:rFonts w:hint="eastAsia"/>
        </w:rPr>
        <w:t xml:space="preserve">retrieved 02/25, 2014, from </w:t>
      </w:r>
      <w:hyperlink r:id="rId2898" w:history="1">
        <w:r w:rsidR="00BC66E8" w:rsidRPr="00A45644">
          <w:rPr>
            <w:rStyle w:val="a5"/>
            <w:rFonts w:ascii="Times New Roman" w:eastAsia="新細明體" w:hAnsi="Times New Roman" w:hint="eastAsia"/>
          </w:rPr>
          <w:t>http://www.dart-wits.com.tw/_chinese/06_latestnews/02_newsdetail.aspx?NID=163</w:t>
        </w:r>
      </w:hyperlink>
    </w:p>
    <w:p w14:paraId="2B142F10" w14:textId="77777777" w:rsidR="00BC66E8" w:rsidRDefault="00991D7A" w:rsidP="00027D54">
      <w:pPr>
        <w:jc w:val="left"/>
      </w:pPr>
      <w:r w:rsidRPr="00991D7A">
        <w:rPr>
          <w:rFonts w:hint="eastAsia"/>
        </w:rPr>
        <w:t>◎中央研究院</w:t>
      </w:r>
      <w:r w:rsidRPr="00991D7A">
        <w:rPr>
          <w:rFonts w:hint="eastAsia"/>
        </w:rPr>
        <w:t>(2000).</w:t>
      </w:r>
      <w:r w:rsidRPr="00991D7A">
        <w:rPr>
          <w:rFonts w:hint="eastAsia"/>
        </w:rPr>
        <w:t>，漢籍電子文獻資料庫，</w:t>
      </w:r>
      <w:hyperlink r:id="rId2899" w:history="1">
        <w:r w:rsidR="00BC66E8" w:rsidRPr="00A45644">
          <w:rPr>
            <w:rStyle w:val="a5"/>
            <w:rFonts w:ascii="Times New Roman" w:eastAsia="新細明體" w:hAnsi="Times New Roman" w:hint="eastAsia"/>
          </w:rPr>
          <w:t>http://www.sinica.edu.tw/ftms-bin/ftmsw3?ukey=-1366032312&amp;rid=67</w:t>
        </w:r>
      </w:hyperlink>
    </w:p>
    <w:p w14:paraId="405E4C48" w14:textId="77777777" w:rsidR="00991D7A" w:rsidRPr="00991D7A" w:rsidRDefault="00991D7A" w:rsidP="00027D54">
      <w:pPr>
        <w:jc w:val="left"/>
      </w:pPr>
      <w:r w:rsidRPr="00991D7A">
        <w:rPr>
          <w:rFonts w:hint="eastAsia"/>
        </w:rPr>
        <w:t>(2010.08)</w:t>
      </w:r>
      <w:r w:rsidRPr="00991D7A">
        <w:rPr>
          <w:rFonts w:hint="eastAsia"/>
        </w:rPr>
        <w:t>。</w:t>
      </w:r>
    </w:p>
    <w:p w14:paraId="7CA14D54" w14:textId="77777777" w:rsidR="00BC66E8" w:rsidRDefault="00991D7A" w:rsidP="00027D54">
      <w:pPr>
        <w:jc w:val="left"/>
      </w:pPr>
      <w:r w:rsidRPr="00991D7A">
        <w:rPr>
          <w:rFonts w:hint="eastAsia"/>
        </w:rPr>
        <w:t>◎中央研究院</w:t>
      </w:r>
      <w:r w:rsidRPr="00991D7A">
        <w:rPr>
          <w:rFonts w:hint="eastAsia"/>
        </w:rPr>
        <w:t xml:space="preserve">(2006). </w:t>
      </w:r>
      <w:r w:rsidRPr="00991D7A">
        <w:rPr>
          <w:rFonts w:hint="eastAsia"/>
        </w:rPr>
        <w:t>台灣省</w:t>
      </w:r>
      <w:r w:rsidRPr="00991D7A">
        <w:rPr>
          <w:rFonts w:hint="eastAsia"/>
        </w:rPr>
        <w:t>51</w:t>
      </w:r>
      <w:r w:rsidRPr="00991D7A">
        <w:rPr>
          <w:rFonts w:hint="eastAsia"/>
        </w:rPr>
        <w:t>年來統計提要，</w:t>
      </w:r>
      <w:hyperlink r:id="rId2900" w:history="1">
        <w:r w:rsidR="00BC66E8" w:rsidRPr="00A45644">
          <w:rPr>
            <w:rStyle w:val="a5"/>
            <w:rFonts w:ascii="Times New Roman" w:eastAsia="新細明體" w:hAnsi="Times New Roman" w:hint="eastAsia"/>
          </w:rPr>
          <w:t>http://twstudy.iis.sinica.edu.tw/twstatistic50/JUDI/Mt184.xls</w:t>
        </w:r>
      </w:hyperlink>
    </w:p>
    <w:p w14:paraId="5320944A" w14:textId="77777777" w:rsidR="00991D7A" w:rsidRPr="00991D7A" w:rsidRDefault="00991D7A" w:rsidP="00027D54">
      <w:pPr>
        <w:jc w:val="left"/>
      </w:pPr>
      <w:r w:rsidRPr="00991D7A">
        <w:rPr>
          <w:rFonts w:hint="eastAsia"/>
        </w:rPr>
        <w:t>(2011.05)</w:t>
      </w:r>
      <w:r w:rsidRPr="00991D7A">
        <w:rPr>
          <w:rFonts w:hint="eastAsia"/>
        </w:rPr>
        <w:t>。</w:t>
      </w:r>
    </w:p>
    <w:p w14:paraId="23E5AFA1" w14:textId="77777777" w:rsidR="00BC66E8" w:rsidRDefault="00991D7A" w:rsidP="00027D54">
      <w:pPr>
        <w:jc w:val="left"/>
      </w:pPr>
      <w:r w:rsidRPr="00991D7A">
        <w:rPr>
          <w:rFonts w:hint="eastAsia"/>
        </w:rPr>
        <w:t>◎中國人民解放軍中將劉源</w:t>
      </w:r>
      <w:r w:rsidRPr="00991D7A">
        <w:rPr>
          <w:rFonts w:hint="eastAsia"/>
        </w:rPr>
        <w:t>(2004)</w:t>
      </w:r>
      <w:r w:rsidRPr="00991D7A">
        <w:rPr>
          <w:rFonts w:hint="eastAsia"/>
        </w:rPr>
        <w:t>，三峽大壩摧不垮，毀不掉！中國青年報，</w:t>
      </w:r>
      <w:r w:rsidRPr="00991D7A">
        <w:rPr>
          <w:rFonts w:hint="eastAsia"/>
        </w:rPr>
        <w:t xml:space="preserve"> </w:t>
      </w:r>
      <w:hyperlink r:id="rId2901" w:history="1">
        <w:r w:rsidR="00BC66E8" w:rsidRPr="00A45644">
          <w:rPr>
            <w:rStyle w:val="a5"/>
            <w:rFonts w:ascii="Times New Roman" w:eastAsia="新細明體" w:hAnsi="Times New Roman" w:hint="eastAsia"/>
          </w:rPr>
          <w:t>http://www.peacehall.com/news/gb/china/2004/06/200406161040.shtml</w:t>
        </w:r>
      </w:hyperlink>
    </w:p>
    <w:p w14:paraId="3D8F77AC" w14:textId="77777777" w:rsidR="00991D7A" w:rsidRPr="00991D7A" w:rsidRDefault="00991D7A" w:rsidP="00027D54">
      <w:pPr>
        <w:jc w:val="left"/>
      </w:pPr>
      <w:r w:rsidRPr="00991D7A">
        <w:rPr>
          <w:rFonts w:hint="eastAsia"/>
        </w:rPr>
        <w:t>(2006.08)</w:t>
      </w:r>
      <w:r w:rsidRPr="00991D7A">
        <w:rPr>
          <w:rFonts w:hint="eastAsia"/>
        </w:rPr>
        <w:t>。</w:t>
      </w:r>
    </w:p>
    <w:p w14:paraId="43EEE690" w14:textId="77777777" w:rsidR="00BC66E8" w:rsidRDefault="00991D7A" w:rsidP="00027D54">
      <w:pPr>
        <w:jc w:val="left"/>
      </w:pPr>
      <w:r w:rsidRPr="00991D7A">
        <w:rPr>
          <w:rFonts w:hint="eastAsia"/>
        </w:rPr>
        <w:t>◎中國反色情網</w:t>
      </w:r>
      <w:r w:rsidRPr="00991D7A">
        <w:rPr>
          <w:rFonts w:hint="eastAsia"/>
        </w:rPr>
        <w:t>(2014)</w:t>
      </w:r>
      <w:r w:rsidRPr="00991D7A">
        <w:rPr>
          <w:rFonts w:hint="eastAsia"/>
        </w:rPr>
        <w:t>，人命如燈，性快樂就是快速消耗“燈油”，</w:t>
      </w:r>
      <w:r w:rsidRPr="00991D7A">
        <w:rPr>
          <w:rFonts w:hint="eastAsia"/>
        </w:rPr>
        <w:t xml:space="preserve">retrieved 25/09, 2014, from </w:t>
      </w:r>
      <w:hyperlink r:id="rId2902" w:history="1">
        <w:r w:rsidR="00BC66E8" w:rsidRPr="00A45644">
          <w:rPr>
            <w:rStyle w:val="a5"/>
            <w:rFonts w:ascii="Times New Roman" w:eastAsia="新細明體" w:hAnsi="Times New Roman" w:hint="eastAsia"/>
          </w:rPr>
          <w:t>http://www.haongo.com/xingyujiankang/2014/0217/1919.html</w:t>
        </w:r>
      </w:hyperlink>
    </w:p>
    <w:p w14:paraId="3F0FFD6D" w14:textId="77777777" w:rsidR="00991D7A" w:rsidRPr="00991D7A" w:rsidRDefault="00991D7A" w:rsidP="00027D54">
      <w:pPr>
        <w:jc w:val="left"/>
      </w:pPr>
      <w:r w:rsidRPr="00991D7A">
        <w:rPr>
          <w:rFonts w:hint="eastAsia"/>
        </w:rPr>
        <w:t>.</w:t>
      </w:r>
    </w:p>
    <w:p w14:paraId="637A13A4" w14:textId="77777777" w:rsidR="00BC66E8" w:rsidRDefault="00991D7A" w:rsidP="00027D54">
      <w:pPr>
        <w:jc w:val="left"/>
      </w:pPr>
      <w:r w:rsidRPr="00991D7A">
        <w:rPr>
          <w:rFonts w:hint="eastAsia"/>
        </w:rPr>
        <w:t>◎中國的承諾</w:t>
      </w:r>
      <w:r w:rsidRPr="00991D7A">
        <w:rPr>
          <w:rFonts w:hint="eastAsia"/>
        </w:rPr>
        <w:t>(2006)</w:t>
      </w:r>
      <w:r w:rsidRPr="00991D7A">
        <w:rPr>
          <w:rFonts w:hint="eastAsia"/>
        </w:rPr>
        <w:t>，</w:t>
      </w:r>
      <w:hyperlink r:id="rId2903" w:history="1">
        <w:r w:rsidR="00BC66E8" w:rsidRPr="00A45644">
          <w:rPr>
            <w:rStyle w:val="a5"/>
            <w:rFonts w:ascii="Times New Roman" w:eastAsia="新細明體" w:hAnsi="Times New Roman" w:hint="eastAsia"/>
          </w:rPr>
          <w:t>http://159.226.2.5:89/gate/big5/www.kepu.com.cn/gb/technology/nuclear/develop/200207300145.html</w:t>
        </w:r>
      </w:hyperlink>
    </w:p>
    <w:p w14:paraId="5D505AA2" w14:textId="77777777" w:rsidR="00991D7A" w:rsidRPr="00991D7A" w:rsidRDefault="00991D7A" w:rsidP="00027D54">
      <w:pPr>
        <w:jc w:val="left"/>
      </w:pPr>
      <w:r w:rsidRPr="00991D7A">
        <w:rPr>
          <w:rFonts w:hint="eastAsia"/>
        </w:rPr>
        <w:t>(2006.07.22)</w:t>
      </w:r>
      <w:r w:rsidRPr="00991D7A">
        <w:rPr>
          <w:rFonts w:hint="eastAsia"/>
        </w:rPr>
        <w:t>。</w:t>
      </w:r>
    </w:p>
    <w:p w14:paraId="6EB1F3CE" w14:textId="77777777" w:rsidR="00BC66E8" w:rsidRDefault="00991D7A" w:rsidP="00027D54">
      <w:pPr>
        <w:jc w:val="left"/>
      </w:pPr>
      <w:r w:rsidRPr="00991D7A">
        <w:rPr>
          <w:rFonts w:hint="eastAsia"/>
        </w:rPr>
        <w:t>◎中國臺灣網</w:t>
      </w:r>
      <w:r w:rsidRPr="00991D7A">
        <w:rPr>
          <w:rFonts w:hint="eastAsia"/>
        </w:rPr>
        <w:t>(2005)</w:t>
      </w:r>
      <w:r w:rsidRPr="00991D7A">
        <w:rPr>
          <w:rFonts w:hint="eastAsia"/>
        </w:rPr>
        <w:t>，</w:t>
      </w:r>
      <w:r w:rsidRPr="00991D7A">
        <w:rPr>
          <w:rFonts w:hint="eastAsia"/>
        </w:rPr>
        <w:t>2005</w:t>
      </w:r>
      <w:r w:rsidRPr="00991D7A">
        <w:rPr>
          <w:rFonts w:hint="eastAsia"/>
        </w:rPr>
        <w:t>年</w:t>
      </w:r>
      <w:r w:rsidRPr="00991D7A">
        <w:rPr>
          <w:rFonts w:hint="eastAsia"/>
        </w:rPr>
        <w:t>03</w:t>
      </w:r>
      <w:r w:rsidRPr="00991D7A">
        <w:rPr>
          <w:rFonts w:hint="eastAsia"/>
        </w:rPr>
        <w:t>月</w:t>
      </w:r>
      <w:r w:rsidRPr="00991D7A">
        <w:rPr>
          <w:rFonts w:hint="eastAsia"/>
        </w:rPr>
        <w:t>26</w:t>
      </w:r>
      <w:r w:rsidRPr="00991D7A">
        <w:rPr>
          <w:rFonts w:hint="eastAsia"/>
        </w:rPr>
        <w:t>日，</w:t>
      </w:r>
      <w:hyperlink r:id="rId2904" w:history="1">
        <w:r w:rsidR="00BC66E8" w:rsidRPr="00A45644">
          <w:rPr>
            <w:rStyle w:val="a5"/>
            <w:rFonts w:ascii="Times New Roman" w:eastAsia="新細明體" w:hAnsi="Times New Roman" w:hint="eastAsia"/>
          </w:rPr>
          <w:t>http://www.sina.com.cn</w:t>
        </w:r>
      </w:hyperlink>
    </w:p>
    <w:p w14:paraId="3BE328D0" w14:textId="77777777" w:rsidR="00991D7A" w:rsidRPr="00991D7A" w:rsidRDefault="00991D7A" w:rsidP="00027D54">
      <w:pPr>
        <w:jc w:val="left"/>
      </w:pPr>
      <w:r w:rsidRPr="00991D7A">
        <w:rPr>
          <w:rFonts w:hint="eastAsia"/>
        </w:rPr>
        <w:t xml:space="preserve"> (2006.07.22)</w:t>
      </w:r>
      <w:r w:rsidRPr="00991D7A">
        <w:rPr>
          <w:rFonts w:hint="eastAsia"/>
        </w:rPr>
        <w:t>。</w:t>
      </w:r>
    </w:p>
    <w:p w14:paraId="14A17A86" w14:textId="77777777" w:rsidR="00BC66E8" w:rsidRDefault="00991D7A" w:rsidP="00027D54">
      <w:pPr>
        <w:jc w:val="left"/>
      </w:pPr>
      <w:r w:rsidRPr="00991D7A">
        <w:rPr>
          <w:rFonts w:hint="eastAsia"/>
        </w:rPr>
        <w:t>◎中國臺灣網</w:t>
      </w:r>
      <w:r w:rsidRPr="00991D7A">
        <w:rPr>
          <w:rFonts w:hint="eastAsia"/>
        </w:rPr>
        <w:t>(2005)</w:t>
      </w:r>
      <w:r w:rsidRPr="00991D7A">
        <w:rPr>
          <w:rFonts w:hint="eastAsia"/>
        </w:rPr>
        <w:t>，專家稱反分裂法暗含絕不對台動用核武之善意，</w:t>
      </w:r>
      <w:r w:rsidRPr="00991D7A">
        <w:rPr>
          <w:rFonts w:hint="eastAsia"/>
        </w:rPr>
        <w:t>2005</w:t>
      </w:r>
      <w:r w:rsidRPr="00991D7A">
        <w:rPr>
          <w:rFonts w:hint="eastAsia"/>
        </w:rPr>
        <w:t>年</w:t>
      </w:r>
      <w:r w:rsidRPr="00991D7A">
        <w:rPr>
          <w:rFonts w:hint="eastAsia"/>
        </w:rPr>
        <w:t>03</w:t>
      </w:r>
      <w:r w:rsidRPr="00991D7A">
        <w:rPr>
          <w:rFonts w:hint="eastAsia"/>
        </w:rPr>
        <w:t>月</w:t>
      </w:r>
      <w:r w:rsidRPr="00991D7A">
        <w:rPr>
          <w:rFonts w:hint="eastAsia"/>
        </w:rPr>
        <w:t>26</w:t>
      </w:r>
      <w:r w:rsidRPr="00991D7A">
        <w:rPr>
          <w:rFonts w:hint="eastAsia"/>
        </w:rPr>
        <w:t>日，</w:t>
      </w:r>
      <w:hyperlink r:id="rId2905" w:history="1">
        <w:r w:rsidR="00BC66E8" w:rsidRPr="00A45644">
          <w:rPr>
            <w:rStyle w:val="a5"/>
            <w:rFonts w:ascii="Times New Roman" w:eastAsia="新細明體" w:hAnsi="Times New Roman" w:hint="eastAsia"/>
          </w:rPr>
          <w:t>http://www.sina.com.cn</w:t>
        </w:r>
      </w:hyperlink>
    </w:p>
    <w:p w14:paraId="11E61AAF" w14:textId="77777777" w:rsidR="00991D7A" w:rsidRPr="00991D7A" w:rsidRDefault="00991D7A" w:rsidP="00027D54">
      <w:pPr>
        <w:jc w:val="left"/>
      </w:pPr>
      <w:r w:rsidRPr="00991D7A">
        <w:rPr>
          <w:rFonts w:hint="eastAsia"/>
        </w:rPr>
        <w:t xml:space="preserve"> (2006.07.22)</w:t>
      </w:r>
      <w:r w:rsidRPr="00991D7A">
        <w:rPr>
          <w:rFonts w:hint="eastAsia"/>
        </w:rPr>
        <w:t>。</w:t>
      </w:r>
    </w:p>
    <w:p w14:paraId="439A614C" w14:textId="77777777" w:rsidR="00BC66E8" w:rsidRDefault="00991D7A" w:rsidP="00027D54">
      <w:pPr>
        <w:jc w:val="left"/>
      </w:pPr>
      <w:r w:rsidRPr="00991D7A">
        <w:rPr>
          <w:rFonts w:hint="eastAsia"/>
        </w:rPr>
        <w:t>◎內政部入出國及移民署專勤事務大隊</w:t>
      </w:r>
      <w:r w:rsidRPr="00991D7A">
        <w:rPr>
          <w:rFonts w:hint="eastAsia"/>
        </w:rPr>
        <w:t>(2013)</w:t>
      </w:r>
      <w:r w:rsidRPr="00991D7A">
        <w:rPr>
          <w:rFonts w:hint="eastAsia"/>
        </w:rPr>
        <w:t>，移民署長謝立功關懷外籍漁工工作生活，上網瀏覽時間：</w:t>
      </w:r>
      <w:r w:rsidRPr="00991D7A">
        <w:rPr>
          <w:rFonts w:hint="eastAsia"/>
        </w:rPr>
        <w:t>2014</w:t>
      </w:r>
      <w:r w:rsidRPr="00991D7A">
        <w:rPr>
          <w:rFonts w:hint="eastAsia"/>
        </w:rPr>
        <w:t>年</w:t>
      </w:r>
      <w:r w:rsidRPr="00991D7A">
        <w:rPr>
          <w:rFonts w:hint="eastAsia"/>
        </w:rPr>
        <w:t>3</w:t>
      </w:r>
      <w:r w:rsidRPr="00991D7A">
        <w:rPr>
          <w:rFonts w:hint="eastAsia"/>
        </w:rPr>
        <w:t>月</w:t>
      </w:r>
      <w:r w:rsidRPr="00991D7A">
        <w:rPr>
          <w:rFonts w:hint="eastAsia"/>
        </w:rPr>
        <w:t>27</w:t>
      </w:r>
      <w:r w:rsidRPr="00991D7A">
        <w:rPr>
          <w:rFonts w:hint="eastAsia"/>
        </w:rPr>
        <w:t>日，</w:t>
      </w:r>
      <w:hyperlink r:id="rId2906" w:history="1">
        <w:r w:rsidR="00BC66E8" w:rsidRPr="00A45644">
          <w:rPr>
            <w:rStyle w:val="a5"/>
            <w:rFonts w:ascii="Times New Roman" w:eastAsia="新細明體" w:hAnsi="Times New Roman" w:hint="eastAsia"/>
          </w:rPr>
          <w:t>http://www.immigration.gov.tw/ct.asp?xItem=1241011&amp;ctNode=34815&amp;mp=mobmp1</w:t>
        </w:r>
      </w:hyperlink>
    </w:p>
    <w:p w14:paraId="14938385" w14:textId="77777777" w:rsidR="00991D7A" w:rsidRPr="00991D7A" w:rsidRDefault="00991D7A" w:rsidP="00027D54">
      <w:pPr>
        <w:jc w:val="left"/>
      </w:pPr>
      <w:r w:rsidRPr="00991D7A">
        <w:rPr>
          <w:rFonts w:hint="eastAsia"/>
        </w:rPr>
        <w:t>。</w:t>
      </w:r>
    </w:p>
    <w:p w14:paraId="7A292FCC" w14:textId="77777777" w:rsidR="00BC66E8" w:rsidRDefault="00991D7A" w:rsidP="00027D54">
      <w:pPr>
        <w:jc w:val="left"/>
      </w:pPr>
      <w:r w:rsidRPr="00991D7A">
        <w:rPr>
          <w:rFonts w:hint="eastAsia"/>
        </w:rPr>
        <w:t>◎反分裂法</w:t>
      </w:r>
      <w:r w:rsidRPr="00991D7A">
        <w:rPr>
          <w:rFonts w:hint="eastAsia"/>
        </w:rPr>
        <w:t>(2006)</w:t>
      </w:r>
      <w:r w:rsidRPr="00991D7A">
        <w:rPr>
          <w:rFonts w:hint="eastAsia"/>
        </w:rPr>
        <w:t>，解放軍將領表示：說白了就是不讓我們向臺灣扔核彈，</w:t>
      </w:r>
      <w:hyperlink r:id="rId2907" w:history="1">
        <w:r w:rsidR="00BC66E8" w:rsidRPr="00A45644">
          <w:rPr>
            <w:rStyle w:val="a5"/>
            <w:rFonts w:ascii="Times New Roman" w:eastAsia="新細明體" w:hAnsi="Times New Roman" w:hint="eastAsia"/>
          </w:rPr>
          <w:t>http://peacehall.com/forum/boxun2005a/223580.shtml</w:t>
        </w:r>
      </w:hyperlink>
    </w:p>
    <w:p w14:paraId="191BA4F1" w14:textId="77777777" w:rsidR="00991D7A" w:rsidRPr="00991D7A" w:rsidRDefault="00991D7A" w:rsidP="00027D54">
      <w:pPr>
        <w:jc w:val="left"/>
      </w:pPr>
      <w:r w:rsidRPr="00991D7A">
        <w:rPr>
          <w:rFonts w:hint="eastAsia"/>
        </w:rPr>
        <w:t>，轉引自太陽報</w:t>
      </w:r>
      <w:r w:rsidRPr="00991D7A">
        <w:rPr>
          <w:rFonts w:hint="eastAsia"/>
        </w:rPr>
        <w:t>(2006.07.22)</w:t>
      </w:r>
      <w:r w:rsidRPr="00991D7A">
        <w:rPr>
          <w:rFonts w:hint="eastAsia"/>
        </w:rPr>
        <w:t>。</w:t>
      </w:r>
    </w:p>
    <w:p w14:paraId="54936088" w14:textId="77777777" w:rsidR="00BC66E8" w:rsidRDefault="00991D7A" w:rsidP="00027D54">
      <w:pPr>
        <w:jc w:val="left"/>
      </w:pPr>
      <w:r w:rsidRPr="00991D7A">
        <w:rPr>
          <w:rFonts w:hint="eastAsia"/>
        </w:rPr>
        <w:t>◎日本國法庫</w:t>
      </w:r>
      <w:r w:rsidRPr="00991D7A">
        <w:rPr>
          <w:rFonts w:hint="eastAsia"/>
        </w:rPr>
        <w:t xml:space="preserve">(2011). </w:t>
      </w:r>
      <w:r w:rsidRPr="00991D7A">
        <w:rPr>
          <w:rFonts w:hint="eastAsia"/>
        </w:rPr>
        <w:t>，</w:t>
      </w:r>
      <w:hyperlink r:id="rId2908" w:anchor="s3" w:history="1">
        <w:r w:rsidR="00BC66E8" w:rsidRPr="00A45644">
          <w:rPr>
            <w:rStyle w:val="a5"/>
            <w:rFonts w:ascii="Times New Roman" w:eastAsia="新細明體" w:hAnsi="Times New Roman" w:hint="eastAsia"/>
          </w:rPr>
          <w:t>http://www.houko.com/00/01/S28/014.HTM#s3</w:t>
        </w:r>
      </w:hyperlink>
    </w:p>
    <w:p w14:paraId="34EB16FA" w14:textId="77777777" w:rsidR="00991D7A" w:rsidRPr="00991D7A" w:rsidRDefault="00991D7A" w:rsidP="00027D54">
      <w:pPr>
        <w:jc w:val="left"/>
      </w:pPr>
      <w:r w:rsidRPr="00991D7A">
        <w:rPr>
          <w:rFonts w:hint="eastAsia"/>
        </w:rPr>
        <w:t>(2011.06)</w:t>
      </w:r>
      <w:r w:rsidRPr="00991D7A">
        <w:rPr>
          <w:rFonts w:hint="eastAsia"/>
        </w:rPr>
        <w:t>。</w:t>
      </w:r>
    </w:p>
    <w:p w14:paraId="39DD38EE" w14:textId="77777777" w:rsidR="00BC66E8" w:rsidRDefault="00991D7A" w:rsidP="00027D54">
      <w:pPr>
        <w:jc w:val="left"/>
      </w:pPr>
      <w:r w:rsidRPr="00991D7A">
        <w:rPr>
          <w:rFonts w:hint="eastAsia"/>
        </w:rPr>
        <w:t>◎日本國法庫</w:t>
      </w:r>
      <w:r w:rsidRPr="00991D7A">
        <w:rPr>
          <w:rFonts w:hint="eastAsia"/>
        </w:rPr>
        <w:t xml:space="preserve">(2011). </w:t>
      </w:r>
      <w:hyperlink r:id="rId2909" w:history="1">
        <w:r w:rsidR="00BC66E8" w:rsidRPr="00A45644">
          <w:rPr>
            <w:rStyle w:val="a5"/>
            <w:rFonts w:ascii="Times New Roman" w:eastAsia="新細明體" w:hAnsi="Times New Roman" w:hint="eastAsia"/>
          </w:rPr>
          <w:t>http://www.houko.com/00/02/H07/343.HTM</w:t>
        </w:r>
      </w:hyperlink>
    </w:p>
    <w:p w14:paraId="76DDE091" w14:textId="77777777" w:rsidR="00991D7A" w:rsidRPr="00991D7A" w:rsidRDefault="00991D7A" w:rsidP="00027D54">
      <w:pPr>
        <w:jc w:val="left"/>
      </w:pPr>
      <w:r w:rsidRPr="00991D7A">
        <w:rPr>
          <w:rFonts w:hint="eastAsia"/>
        </w:rPr>
        <w:t>(2011.05)</w:t>
      </w:r>
      <w:r w:rsidRPr="00991D7A">
        <w:rPr>
          <w:rFonts w:hint="eastAsia"/>
        </w:rPr>
        <w:t>。</w:t>
      </w:r>
    </w:p>
    <w:p w14:paraId="38FD2046" w14:textId="77777777" w:rsidR="00991D7A" w:rsidRPr="00991D7A" w:rsidRDefault="00991D7A" w:rsidP="00027D54">
      <w:pPr>
        <w:jc w:val="left"/>
      </w:pPr>
      <w:r w:rsidRPr="00991D7A">
        <w:rPr>
          <w:rFonts w:hint="eastAsia"/>
        </w:rPr>
        <w:t>◎王佐</w:t>
      </w:r>
      <w:r w:rsidRPr="00991D7A">
        <w:rPr>
          <w:rFonts w:hint="eastAsia"/>
        </w:rPr>
        <w:t>(2006)</w:t>
      </w:r>
      <w:r w:rsidRPr="00991D7A">
        <w:rPr>
          <w:rFonts w:hint="eastAsia"/>
        </w:rPr>
        <w:t>，瓊山區大坡中心小學</w:t>
      </w:r>
      <w:r w:rsidRPr="00991D7A">
        <w:rPr>
          <w:rFonts w:hint="eastAsia"/>
        </w:rPr>
        <w:t xml:space="preserve">, </w:t>
      </w:r>
      <w:r w:rsidRPr="00991D7A">
        <w:rPr>
          <w:rFonts w:hint="eastAsia"/>
        </w:rPr>
        <w:t>從歷史的角度說說臺灣問題的形成和發展趨勢——時間不是我們的朋友，</w:t>
      </w:r>
      <w:r w:rsidRPr="00991D7A">
        <w:rPr>
          <w:rFonts w:hint="eastAsia"/>
        </w:rPr>
        <w:t>2006-03-13</w:t>
      </w:r>
      <w:r w:rsidRPr="00991D7A">
        <w:rPr>
          <w:rFonts w:hint="eastAsia"/>
        </w:rPr>
        <w:t>，</w:t>
      </w:r>
      <w:r w:rsidRPr="00991D7A">
        <w:rPr>
          <w:rFonts w:hint="eastAsia"/>
        </w:rPr>
        <w:t>http://blog.cersp.com/59961/409997.aspx(2006.07.22)</w:t>
      </w:r>
      <w:r w:rsidRPr="00991D7A">
        <w:rPr>
          <w:rFonts w:hint="eastAsia"/>
        </w:rPr>
        <w:t>。</w:t>
      </w:r>
    </w:p>
    <w:p w14:paraId="61CBF22C" w14:textId="77777777" w:rsidR="00BC66E8" w:rsidRDefault="00991D7A" w:rsidP="00027D54">
      <w:pPr>
        <w:jc w:val="left"/>
      </w:pPr>
      <w:r w:rsidRPr="00991D7A">
        <w:rPr>
          <w:rFonts w:hint="eastAsia"/>
        </w:rPr>
        <w:t>◎王翰靈</w:t>
      </w:r>
      <w:r w:rsidRPr="00991D7A">
        <w:rPr>
          <w:rFonts w:hint="eastAsia"/>
        </w:rPr>
        <w:t>(2005)</w:t>
      </w:r>
      <w:r w:rsidRPr="00991D7A">
        <w:rPr>
          <w:rFonts w:hint="eastAsia"/>
        </w:rPr>
        <w:t>，《反分裂國家法》的非和平方式條款，</w:t>
      </w:r>
      <w:hyperlink r:id="rId2910" w:history="1">
        <w:r w:rsidR="00BC66E8" w:rsidRPr="00A45644">
          <w:rPr>
            <w:rStyle w:val="a5"/>
            <w:rFonts w:ascii="Times New Roman" w:eastAsia="新細明體" w:hAnsi="Times New Roman" w:hint="eastAsia"/>
          </w:rPr>
          <w:t>http://www.chinatopnews.com/MainNews/Opinion/2005_4_15_7_53_34_622.html</w:t>
        </w:r>
      </w:hyperlink>
    </w:p>
    <w:p w14:paraId="68166C88" w14:textId="77777777" w:rsidR="00991D7A" w:rsidRPr="00991D7A" w:rsidRDefault="00991D7A" w:rsidP="00027D54">
      <w:pPr>
        <w:jc w:val="left"/>
      </w:pPr>
      <w:r w:rsidRPr="00991D7A">
        <w:rPr>
          <w:rFonts w:hint="eastAsia"/>
        </w:rPr>
        <w:t>；</w:t>
      </w:r>
      <w:r w:rsidRPr="00991D7A">
        <w:rPr>
          <w:rFonts w:hint="eastAsia"/>
        </w:rPr>
        <w:t>chinesenewsnet.com(2006.07.22)</w:t>
      </w:r>
      <w:r w:rsidRPr="00991D7A">
        <w:rPr>
          <w:rFonts w:hint="eastAsia"/>
        </w:rPr>
        <w:t>。</w:t>
      </w:r>
    </w:p>
    <w:p w14:paraId="3F4E827C" w14:textId="77777777" w:rsidR="00BC66E8" w:rsidRDefault="00991D7A" w:rsidP="00027D54">
      <w:pPr>
        <w:jc w:val="left"/>
      </w:pPr>
      <w:r w:rsidRPr="00991D7A">
        <w:rPr>
          <w:rFonts w:hint="eastAsia"/>
        </w:rPr>
        <w:t>◎台東縣政府全球資訊網</w:t>
      </w:r>
      <w:r w:rsidRPr="00991D7A">
        <w:rPr>
          <w:rFonts w:hint="eastAsia"/>
        </w:rPr>
        <w:t>(2006).</w:t>
      </w:r>
      <w:r w:rsidRPr="00991D7A">
        <w:rPr>
          <w:rFonts w:hint="eastAsia"/>
        </w:rPr>
        <w:t>，</w:t>
      </w:r>
      <w:hyperlink r:id="rId2911" w:history="1">
        <w:r w:rsidR="00BC66E8" w:rsidRPr="00A45644">
          <w:rPr>
            <w:rStyle w:val="a5"/>
            <w:rFonts w:ascii="Times New Roman" w:eastAsia="新細明體" w:hAnsi="Times New Roman" w:hint="eastAsia"/>
          </w:rPr>
          <w:t>http://www.taitung.gov.tw/chinese/exotic/ex_eidetic-b.php</w:t>
        </w:r>
      </w:hyperlink>
    </w:p>
    <w:p w14:paraId="41F0AA29" w14:textId="77777777" w:rsidR="00991D7A" w:rsidRPr="00991D7A" w:rsidRDefault="00991D7A" w:rsidP="00027D54">
      <w:pPr>
        <w:jc w:val="left"/>
      </w:pPr>
      <w:r w:rsidRPr="00991D7A">
        <w:rPr>
          <w:rFonts w:hint="eastAsia"/>
        </w:rPr>
        <w:t>(2009.10)</w:t>
      </w:r>
      <w:r w:rsidRPr="00991D7A">
        <w:rPr>
          <w:rFonts w:hint="eastAsia"/>
        </w:rPr>
        <w:t>。</w:t>
      </w:r>
    </w:p>
    <w:p w14:paraId="48BCBBF0" w14:textId="77777777" w:rsidR="00BC66E8" w:rsidRDefault="00991D7A" w:rsidP="00027D54">
      <w:pPr>
        <w:jc w:val="left"/>
      </w:pPr>
      <w:r w:rsidRPr="00991D7A">
        <w:rPr>
          <w:rFonts w:hint="eastAsia"/>
        </w:rPr>
        <w:t>◎台灣怒問大陸：上海與大壩，準備犧牲哪個？</w:t>
      </w:r>
      <w:r w:rsidRPr="00991D7A">
        <w:rPr>
          <w:rFonts w:hint="eastAsia"/>
        </w:rPr>
        <w:t xml:space="preserve">2006/05/26 </w:t>
      </w:r>
      <w:r w:rsidRPr="00991D7A">
        <w:rPr>
          <w:rFonts w:hint="eastAsia"/>
        </w:rPr>
        <w:t>，</w:t>
      </w:r>
      <w:hyperlink r:id="rId2912" w:history="1">
        <w:r w:rsidR="00BC66E8" w:rsidRPr="00A45644">
          <w:rPr>
            <w:rStyle w:val="a5"/>
            <w:rFonts w:ascii="Times New Roman" w:eastAsia="新細明體" w:hAnsi="Times New Roman" w:hint="eastAsia"/>
          </w:rPr>
          <w:t>http://www.chilicity.com/cgi-bin/bigate.cgi/b/x/g/http@www.chilicity.com/publishhtml/5/2006-05-26/20060526054336.html</w:t>
        </w:r>
      </w:hyperlink>
    </w:p>
    <w:p w14:paraId="0B82C640" w14:textId="77777777" w:rsidR="00BC66E8" w:rsidRDefault="00076467" w:rsidP="00027D54">
      <w:pPr>
        <w:jc w:val="left"/>
      </w:pPr>
      <w:hyperlink r:id="rId2913" w:history="1">
        <w:r w:rsidR="00BC66E8" w:rsidRPr="00A45644">
          <w:rPr>
            <w:rStyle w:val="a5"/>
            <w:rFonts w:ascii="Times New Roman" w:eastAsia="新細明體" w:hAnsi="Times New Roman" w:hint="eastAsia"/>
          </w:rPr>
          <w:t>http://www.peacehall.com/news/gb/china/2004/06/200406161040.shtml</w:t>
        </w:r>
      </w:hyperlink>
    </w:p>
    <w:p w14:paraId="32FC337B" w14:textId="77777777" w:rsidR="00991D7A" w:rsidRPr="00991D7A" w:rsidRDefault="00991D7A" w:rsidP="00027D54">
      <w:pPr>
        <w:jc w:val="left"/>
      </w:pPr>
      <w:r w:rsidRPr="00991D7A">
        <w:rPr>
          <w:rFonts w:hint="eastAsia"/>
        </w:rPr>
        <w:t>(2006.09)</w:t>
      </w:r>
      <w:r w:rsidRPr="00991D7A">
        <w:rPr>
          <w:rFonts w:hint="eastAsia"/>
        </w:rPr>
        <w:t>。</w:t>
      </w:r>
    </w:p>
    <w:p w14:paraId="104FD24C" w14:textId="77777777" w:rsidR="00991D7A" w:rsidRPr="00991D7A" w:rsidRDefault="00991D7A" w:rsidP="00027D54">
      <w:pPr>
        <w:jc w:val="left"/>
      </w:pPr>
      <w:r w:rsidRPr="00991D7A">
        <w:rPr>
          <w:rFonts w:hint="eastAsia"/>
        </w:rPr>
        <w:t>◎台灣國際勞工協會</w:t>
      </w:r>
      <w:r w:rsidRPr="00991D7A">
        <w:rPr>
          <w:rFonts w:hint="eastAsia"/>
        </w:rPr>
        <w:t>(2011)</w:t>
      </w:r>
      <w:r w:rsidRPr="00991D7A">
        <w:rPr>
          <w:rFonts w:hint="eastAsia"/>
        </w:rPr>
        <w:t>，〈血拼休假權，移工大遊行〉，</w:t>
      </w:r>
      <w:hyperlink r:id="rId2914" w:history="1">
        <w:r w:rsidRPr="00BC66E8">
          <w:rPr>
            <w:rStyle w:val="a5"/>
            <w:rFonts w:ascii="Times New Roman" w:eastAsia="新細明體" w:hAnsi="Times New Roman" w:hint="eastAsia"/>
          </w:rPr>
          <w:t>http://www.coolloud.org.tw/node/64902</w:t>
        </w:r>
      </w:hyperlink>
      <w:r w:rsidRPr="00991D7A">
        <w:rPr>
          <w:rFonts w:hint="eastAsia"/>
        </w:rPr>
        <w:t>(2011/12/20)</w:t>
      </w:r>
      <w:r w:rsidRPr="00991D7A">
        <w:rPr>
          <w:rFonts w:hint="eastAsia"/>
        </w:rPr>
        <w:t>。</w:t>
      </w:r>
    </w:p>
    <w:p w14:paraId="61437491" w14:textId="77777777" w:rsidR="00991D7A" w:rsidRPr="00991D7A" w:rsidRDefault="00991D7A" w:rsidP="00027D54">
      <w:pPr>
        <w:jc w:val="left"/>
      </w:pPr>
      <w:r w:rsidRPr="00991D7A">
        <w:rPr>
          <w:rFonts w:hint="eastAsia"/>
        </w:rPr>
        <w:t>◎民間司改會檔案追蹤小組</w:t>
      </w:r>
      <w:r w:rsidRPr="00991D7A">
        <w:rPr>
          <w:rFonts w:hint="eastAsia"/>
        </w:rPr>
        <w:t>(2012)</w:t>
      </w:r>
      <w:r w:rsidRPr="00991D7A">
        <w:rPr>
          <w:rFonts w:hint="eastAsia"/>
        </w:rPr>
        <w:t>，在司法程序中矮一截的外國人？法律之前人人平等，外國人在台涉有犯嫌，亦應依我國法律規定處理，上網瀏覽時間：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5</w:t>
      </w:r>
      <w:r w:rsidRPr="00991D7A">
        <w:rPr>
          <w:rFonts w:hint="eastAsia"/>
        </w:rPr>
        <w:t>日，</w:t>
      </w:r>
      <w:hyperlink r:id="rId2915" w:history="1">
        <w:r w:rsidRPr="00BC66E8">
          <w:rPr>
            <w:rStyle w:val="a5"/>
            <w:rFonts w:ascii="Times New Roman" w:eastAsia="新細明體" w:hAnsi="Times New Roman" w:hint="eastAsia"/>
          </w:rPr>
          <w:t>http://www.jrf.org.tw/newjrf/RTE/myform_detail2.asp?id=1463</w:t>
        </w:r>
      </w:hyperlink>
      <w:r w:rsidRPr="00991D7A">
        <w:rPr>
          <w:rFonts w:hint="eastAsia"/>
        </w:rPr>
        <w:t>。</w:t>
      </w:r>
    </w:p>
    <w:p w14:paraId="73DBB909" w14:textId="77777777" w:rsidR="00991D7A" w:rsidRPr="00991D7A" w:rsidRDefault="00991D7A" w:rsidP="00027D54">
      <w:pPr>
        <w:jc w:val="left"/>
      </w:pPr>
      <w:r w:rsidRPr="00991D7A">
        <w:rPr>
          <w:rFonts w:hint="eastAsia"/>
        </w:rPr>
        <w:t>◎甘肅省公安廳</w:t>
      </w:r>
      <w:r w:rsidRPr="00991D7A">
        <w:rPr>
          <w:rFonts w:hint="eastAsia"/>
        </w:rPr>
        <w:t xml:space="preserve">(2005). </w:t>
      </w:r>
      <w:r w:rsidRPr="00991D7A">
        <w:rPr>
          <w:rFonts w:hint="eastAsia"/>
        </w:rPr>
        <w:t>禁煙禁毒的開端，</w:t>
      </w:r>
      <w:r w:rsidRPr="00991D7A">
        <w:rPr>
          <w:rFonts w:hint="eastAsia"/>
        </w:rPr>
        <w:t xml:space="preserve"> </w:t>
      </w:r>
      <w:hyperlink r:id="rId2916" w:history="1">
        <w:r w:rsidRPr="00BC66E8">
          <w:rPr>
            <w:rStyle w:val="a5"/>
            <w:rFonts w:ascii="Times New Roman" w:eastAsia="新細明體" w:hAnsi="Times New Roman" w:hint="eastAsia"/>
          </w:rPr>
          <w:t>http://www.gs.xinhuanet.com/gsgaw/2005-09/03/content_5043548.htm</w:t>
        </w:r>
      </w:hyperlink>
      <w:r w:rsidRPr="00991D7A">
        <w:rPr>
          <w:rFonts w:hint="eastAsia"/>
        </w:rPr>
        <w:t>(2011.05)</w:t>
      </w:r>
      <w:r w:rsidRPr="00991D7A">
        <w:rPr>
          <w:rFonts w:hint="eastAsia"/>
        </w:rPr>
        <w:t>。</w:t>
      </w:r>
    </w:p>
    <w:p w14:paraId="4F5690B8" w14:textId="77777777" w:rsidR="00991D7A" w:rsidRPr="00991D7A" w:rsidRDefault="00991D7A" w:rsidP="00027D54">
      <w:pPr>
        <w:jc w:val="left"/>
      </w:pPr>
      <w:r w:rsidRPr="00991D7A">
        <w:rPr>
          <w:rFonts w:hint="eastAsia"/>
        </w:rPr>
        <w:t>◎石剛，全球非法移民問題綜述</w:t>
      </w:r>
      <w:r w:rsidRPr="00991D7A">
        <w:rPr>
          <w:rFonts w:hint="eastAsia"/>
        </w:rPr>
        <w:t xml:space="preserve">(2010). retrieved 11/02, 2010, from </w:t>
      </w:r>
      <w:hyperlink r:id="rId2917" w:history="1">
        <w:r w:rsidRPr="00BC66E8">
          <w:rPr>
            <w:rStyle w:val="a5"/>
            <w:rFonts w:ascii="Times New Roman" w:eastAsia="新細明體" w:hAnsi="Times New Roman" w:hint="eastAsia"/>
          </w:rPr>
          <w:t>http://www.annian.net/show.aspx?id=19740&amp;cid=16</w:t>
        </w:r>
      </w:hyperlink>
      <w:r w:rsidRPr="00991D7A">
        <w:rPr>
          <w:rFonts w:hint="eastAsia"/>
        </w:rPr>
        <w:t>。</w:t>
      </w:r>
    </w:p>
    <w:p w14:paraId="46FAC5D3" w14:textId="77777777" w:rsidR="00991D7A" w:rsidRPr="00991D7A" w:rsidRDefault="00991D7A" w:rsidP="00027D54">
      <w:pPr>
        <w:jc w:val="left"/>
      </w:pPr>
      <w:r w:rsidRPr="00991D7A">
        <w:rPr>
          <w:rFonts w:hint="eastAsia"/>
        </w:rPr>
        <w:t>◎立法院</w:t>
      </w:r>
      <w:r w:rsidRPr="00991D7A">
        <w:rPr>
          <w:rFonts w:hint="eastAsia"/>
        </w:rPr>
        <w:t xml:space="preserve">(1955). </w:t>
      </w:r>
      <w:r w:rsidRPr="00991D7A">
        <w:rPr>
          <w:rFonts w:hint="eastAsia"/>
        </w:rPr>
        <w:t>立法院公報，第</w:t>
      </w:r>
      <w:r w:rsidRPr="00991D7A">
        <w:rPr>
          <w:rFonts w:hint="eastAsia"/>
        </w:rPr>
        <w:t>15</w:t>
      </w:r>
      <w:r w:rsidRPr="00991D7A">
        <w:rPr>
          <w:rFonts w:hint="eastAsia"/>
        </w:rPr>
        <w:t>會期</w:t>
      </w:r>
      <w:r w:rsidRPr="00991D7A">
        <w:rPr>
          <w:rFonts w:hint="eastAsia"/>
        </w:rPr>
        <w:t>1-5</w:t>
      </w:r>
      <w:r w:rsidRPr="00991D7A">
        <w:rPr>
          <w:rFonts w:hint="eastAsia"/>
        </w:rPr>
        <w:t>期，第</w:t>
      </w:r>
      <w:r w:rsidRPr="00991D7A">
        <w:rPr>
          <w:rFonts w:hint="eastAsia"/>
        </w:rPr>
        <w:t>76-234</w:t>
      </w:r>
      <w:r w:rsidRPr="00991D7A">
        <w:rPr>
          <w:rFonts w:hint="eastAsia"/>
        </w:rPr>
        <w:t>頁。</w:t>
      </w:r>
    </w:p>
    <w:p w14:paraId="1D840779" w14:textId="77777777" w:rsidR="00991D7A" w:rsidRPr="00991D7A" w:rsidRDefault="00991D7A" w:rsidP="00027D54">
      <w:pPr>
        <w:jc w:val="left"/>
      </w:pPr>
      <w:r w:rsidRPr="00991D7A">
        <w:rPr>
          <w:rFonts w:hint="eastAsia"/>
        </w:rPr>
        <w:t>◎立法院</w:t>
      </w:r>
      <w:r w:rsidRPr="00991D7A">
        <w:rPr>
          <w:rFonts w:hint="eastAsia"/>
        </w:rPr>
        <w:t xml:space="preserve">(1994). </w:t>
      </w:r>
      <w:r w:rsidRPr="00991D7A">
        <w:rPr>
          <w:rFonts w:hint="eastAsia"/>
        </w:rPr>
        <w:t>立法院公報，第</w:t>
      </w:r>
      <w:r w:rsidRPr="00991D7A">
        <w:rPr>
          <w:rFonts w:hint="eastAsia"/>
        </w:rPr>
        <w:t>83</w:t>
      </w:r>
      <w:r w:rsidRPr="00991D7A">
        <w:rPr>
          <w:rFonts w:hint="eastAsia"/>
        </w:rPr>
        <w:t>卷第</w:t>
      </w:r>
      <w:r w:rsidRPr="00991D7A">
        <w:rPr>
          <w:rFonts w:hint="eastAsia"/>
        </w:rPr>
        <w:t>83</w:t>
      </w:r>
      <w:r w:rsidRPr="00991D7A">
        <w:rPr>
          <w:rFonts w:hint="eastAsia"/>
        </w:rPr>
        <w:t>期（下），第</w:t>
      </w:r>
      <w:r w:rsidRPr="00991D7A">
        <w:rPr>
          <w:rFonts w:hint="eastAsia"/>
        </w:rPr>
        <w:t>337-364</w:t>
      </w:r>
      <w:r w:rsidRPr="00991D7A">
        <w:rPr>
          <w:rFonts w:hint="eastAsia"/>
        </w:rPr>
        <w:t>。</w:t>
      </w:r>
    </w:p>
    <w:p w14:paraId="6D1F5BEF" w14:textId="77777777" w:rsidR="00991D7A" w:rsidRPr="00991D7A" w:rsidRDefault="00991D7A" w:rsidP="00027D54">
      <w:pPr>
        <w:jc w:val="left"/>
      </w:pPr>
      <w:r w:rsidRPr="00991D7A">
        <w:rPr>
          <w:rFonts w:hint="eastAsia"/>
        </w:rPr>
        <w:t>◎立法院</w:t>
      </w:r>
      <w:r w:rsidRPr="00991D7A">
        <w:rPr>
          <w:rFonts w:hint="eastAsia"/>
        </w:rPr>
        <w:t xml:space="preserve">(2003). </w:t>
      </w:r>
      <w:r w:rsidRPr="00991D7A">
        <w:rPr>
          <w:rFonts w:hint="eastAsia"/>
        </w:rPr>
        <w:t>立法院公報，第</w:t>
      </w:r>
      <w:r w:rsidRPr="00991D7A">
        <w:rPr>
          <w:rFonts w:hint="eastAsia"/>
        </w:rPr>
        <w:t>92</w:t>
      </w:r>
      <w:r w:rsidRPr="00991D7A">
        <w:rPr>
          <w:rFonts w:hint="eastAsia"/>
        </w:rPr>
        <w:t>卷第</w:t>
      </w:r>
      <w:r w:rsidRPr="00991D7A">
        <w:rPr>
          <w:rFonts w:hint="eastAsia"/>
        </w:rPr>
        <w:t>30</w:t>
      </w:r>
      <w:r w:rsidRPr="00991D7A">
        <w:rPr>
          <w:rFonts w:hint="eastAsia"/>
        </w:rPr>
        <w:t>期（上），第</w:t>
      </w:r>
      <w:r w:rsidRPr="00991D7A">
        <w:rPr>
          <w:rFonts w:hint="eastAsia"/>
        </w:rPr>
        <w:t>155-181</w:t>
      </w:r>
      <w:r w:rsidRPr="00991D7A">
        <w:rPr>
          <w:rFonts w:hint="eastAsia"/>
        </w:rPr>
        <w:t>頁。</w:t>
      </w:r>
    </w:p>
    <w:p w14:paraId="6716DBC1" w14:textId="77777777"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11</w:t>
      </w:r>
      <w:r w:rsidRPr="00991D7A">
        <w:rPr>
          <w:rFonts w:hint="eastAsia"/>
        </w:rPr>
        <w:t>期委員會紀錄。</w:t>
      </w:r>
    </w:p>
    <w:p w14:paraId="72F965BC" w14:textId="77777777"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13</w:t>
      </w:r>
      <w:r w:rsidRPr="00991D7A">
        <w:rPr>
          <w:rFonts w:hint="eastAsia"/>
        </w:rPr>
        <w:t>期委員會紀錄。</w:t>
      </w:r>
    </w:p>
    <w:p w14:paraId="64C0C957" w14:textId="77777777"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15</w:t>
      </w:r>
      <w:r w:rsidRPr="00991D7A">
        <w:rPr>
          <w:rFonts w:hint="eastAsia"/>
        </w:rPr>
        <w:t>期委員會紀錄。</w:t>
      </w:r>
    </w:p>
    <w:p w14:paraId="52F90C1C" w14:textId="77777777"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19</w:t>
      </w:r>
      <w:r w:rsidRPr="00991D7A">
        <w:rPr>
          <w:rFonts w:hint="eastAsia"/>
        </w:rPr>
        <w:t>期委員會紀錄。</w:t>
      </w:r>
    </w:p>
    <w:p w14:paraId="37527187" w14:textId="77777777"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30</w:t>
      </w:r>
      <w:r w:rsidRPr="00991D7A">
        <w:rPr>
          <w:rFonts w:hint="eastAsia"/>
        </w:rPr>
        <w:t>期委員會紀錄。</w:t>
      </w:r>
    </w:p>
    <w:p w14:paraId="70DA1C56" w14:textId="77777777"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31</w:t>
      </w:r>
      <w:r w:rsidRPr="00991D7A">
        <w:rPr>
          <w:rFonts w:hint="eastAsia"/>
        </w:rPr>
        <w:t>期委員會紀錄。</w:t>
      </w:r>
    </w:p>
    <w:p w14:paraId="7A7DF657" w14:textId="77777777"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32</w:t>
      </w:r>
      <w:r w:rsidRPr="00991D7A">
        <w:rPr>
          <w:rFonts w:hint="eastAsia"/>
        </w:rPr>
        <w:t>期委員會紀錄。</w:t>
      </w:r>
    </w:p>
    <w:p w14:paraId="4D606569" w14:textId="77777777"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9</w:t>
      </w:r>
      <w:r w:rsidRPr="00991D7A">
        <w:rPr>
          <w:rFonts w:hint="eastAsia"/>
        </w:rPr>
        <w:t>期委員會紀錄。</w:t>
      </w:r>
    </w:p>
    <w:p w14:paraId="061F4617" w14:textId="77777777" w:rsidR="00991D7A" w:rsidRPr="00991D7A" w:rsidRDefault="00991D7A" w:rsidP="00027D54">
      <w:pPr>
        <w:jc w:val="left"/>
      </w:pPr>
      <w:r w:rsidRPr="00991D7A">
        <w:rPr>
          <w:rFonts w:hint="eastAsia"/>
        </w:rPr>
        <w:t>◎全面禁止核子試驗條約</w:t>
      </w:r>
      <w:r w:rsidRPr="00991D7A">
        <w:rPr>
          <w:rFonts w:hint="eastAsia"/>
        </w:rPr>
        <w:t>(2006)</w:t>
      </w:r>
      <w:r w:rsidRPr="00991D7A">
        <w:rPr>
          <w:rFonts w:hint="eastAsia"/>
        </w:rPr>
        <w:t>，</w:t>
      </w:r>
      <w:hyperlink r:id="rId2918" w:history="1">
        <w:r w:rsidRPr="00BC66E8">
          <w:rPr>
            <w:rStyle w:val="a5"/>
            <w:rFonts w:ascii="Times New Roman" w:eastAsia="新細明體" w:hAnsi="Times New Roman" w:hint="eastAsia"/>
          </w:rPr>
          <w:t>http://www.un.org/chinese/peace/disarmament/nuclear.htm</w:t>
        </w:r>
      </w:hyperlink>
      <w:r w:rsidRPr="00991D7A">
        <w:rPr>
          <w:rFonts w:hint="eastAsia"/>
        </w:rPr>
        <w:t>(2006.07.22)</w:t>
      </w:r>
      <w:r w:rsidRPr="00991D7A">
        <w:rPr>
          <w:rFonts w:hint="eastAsia"/>
        </w:rPr>
        <w:t>。</w:t>
      </w:r>
    </w:p>
    <w:p w14:paraId="78D084C4" w14:textId="77777777" w:rsidR="00991D7A" w:rsidRPr="00991D7A" w:rsidRDefault="00991D7A" w:rsidP="00027D54">
      <w:pPr>
        <w:jc w:val="left"/>
      </w:pPr>
      <w:r w:rsidRPr="00991D7A">
        <w:rPr>
          <w:rFonts w:hint="eastAsia"/>
        </w:rPr>
        <w:t>◎安南縱談核不擴散問題</w:t>
      </w:r>
      <w:r w:rsidRPr="00991D7A">
        <w:rPr>
          <w:rFonts w:hint="eastAsia"/>
        </w:rPr>
        <w:t>(2006)</w:t>
      </w:r>
      <w:r w:rsidRPr="00991D7A">
        <w:rPr>
          <w:rFonts w:hint="eastAsia"/>
        </w:rPr>
        <w:t>，</w:t>
      </w:r>
      <w:r w:rsidRPr="00991D7A">
        <w:rPr>
          <w:rFonts w:hint="eastAsia"/>
        </w:rPr>
        <w:t>2006</w:t>
      </w:r>
      <w:r w:rsidRPr="00991D7A">
        <w:rPr>
          <w:rFonts w:hint="eastAsia"/>
        </w:rPr>
        <w:t>年</w:t>
      </w:r>
      <w:r w:rsidRPr="00991D7A">
        <w:rPr>
          <w:rFonts w:hint="eastAsia"/>
        </w:rPr>
        <w:t>6</w:t>
      </w:r>
      <w:r w:rsidRPr="00991D7A">
        <w:rPr>
          <w:rFonts w:hint="eastAsia"/>
        </w:rPr>
        <w:t>月</w:t>
      </w:r>
      <w:r w:rsidRPr="00991D7A">
        <w:rPr>
          <w:rFonts w:hint="eastAsia"/>
        </w:rPr>
        <w:t>21</w:t>
      </w:r>
      <w:r w:rsidRPr="00991D7A">
        <w:rPr>
          <w:rFonts w:hint="eastAsia"/>
        </w:rPr>
        <w:t>日，</w:t>
      </w:r>
      <w:hyperlink r:id="rId2919" w:history="1">
        <w:r w:rsidRPr="00BC66E8">
          <w:rPr>
            <w:rStyle w:val="a5"/>
            <w:rFonts w:ascii="Times New Roman" w:eastAsia="新細明體" w:hAnsi="Times New Roman" w:hint="eastAsia"/>
          </w:rPr>
          <w:t>http://www.un.org/chinese/radio/story.asp?NewsID=1438</w:t>
        </w:r>
      </w:hyperlink>
      <w:r w:rsidRPr="00991D7A">
        <w:rPr>
          <w:rFonts w:hint="eastAsia"/>
        </w:rPr>
        <w:t>(2006.07.22)</w:t>
      </w:r>
      <w:r w:rsidRPr="00991D7A">
        <w:rPr>
          <w:rFonts w:hint="eastAsia"/>
        </w:rPr>
        <w:t>。</w:t>
      </w:r>
    </w:p>
    <w:p w14:paraId="72825E0B" w14:textId="77777777" w:rsidR="00991D7A" w:rsidRPr="00991D7A" w:rsidRDefault="00991D7A" w:rsidP="00027D54">
      <w:pPr>
        <w:jc w:val="left"/>
      </w:pPr>
      <w:r w:rsidRPr="00991D7A">
        <w:rPr>
          <w:rFonts w:hint="eastAsia"/>
        </w:rPr>
        <w:t>◎安徽憲達律師事務所</w:t>
      </w:r>
      <w:r w:rsidRPr="00991D7A">
        <w:rPr>
          <w:rFonts w:hint="eastAsia"/>
        </w:rPr>
        <w:t>(2005)</w:t>
      </w:r>
      <w:r w:rsidRPr="00991D7A">
        <w:rPr>
          <w:rFonts w:hint="eastAsia"/>
        </w:rPr>
        <w:t>，臺灣問題中的法律戰———兼評《中華人民共和國反分裂國家法》的法理基礎，</w:t>
      </w:r>
      <w:hyperlink r:id="rId2920" w:history="1">
        <w:r w:rsidRPr="00027D54">
          <w:rPr>
            <w:rStyle w:val="a5"/>
            <w:rFonts w:ascii="Times New Roman" w:eastAsia="新細明體" w:hAnsi="Times New Roman" w:hint="eastAsia"/>
          </w:rPr>
          <w:t>http://www.ahlawyer.com.cn/kanwu/2005/lx/lx3/200510/28130403032.html</w:t>
        </w:r>
      </w:hyperlink>
      <w:r w:rsidRPr="00991D7A">
        <w:rPr>
          <w:rFonts w:hint="eastAsia"/>
        </w:rPr>
        <w:t>(2006.07.22)</w:t>
      </w:r>
      <w:r w:rsidRPr="00991D7A">
        <w:rPr>
          <w:rFonts w:hint="eastAsia"/>
        </w:rPr>
        <w:t>。</w:t>
      </w:r>
    </w:p>
    <w:p w14:paraId="0E5EBC2B" w14:textId="77777777" w:rsidR="00991D7A" w:rsidRPr="00991D7A" w:rsidRDefault="00991D7A" w:rsidP="00027D54">
      <w:pPr>
        <w:jc w:val="left"/>
      </w:pPr>
      <w:r w:rsidRPr="00991D7A">
        <w:rPr>
          <w:rFonts w:hint="eastAsia"/>
        </w:rPr>
        <w:t>◎朱芳瑤</w:t>
      </w:r>
      <w:r w:rsidRPr="00991D7A">
        <w:rPr>
          <w:rFonts w:hint="eastAsia"/>
        </w:rPr>
        <w:t>(2011)</w:t>
      </w:r>
      <w:r w:rsidRPr="00991D7A">
        <w:rPr>
          <w:rFonts w:hint="eastAsia"/>
        </w:rPr>
        <w:t>，移工團體，周日千人遊行，中國時報，</w:t>
      </w:r>
      <w:r w:rsidRPr="00991D7A">
        <w:rPr>
          <w:rFonts w:hint="eastAsia"/>
        </w:rPr>
        <w:t>100</w:t>
      </w:r>
      <w:r w:rsidRPr="00991D7A">
        <w:rPr>
          <w:rFonts w:hint="eastAsia"/>
        </w:rPr>
        <w:t>年</w:t>
      </w:r>
      <w:r w:rsidRPr="00991D7A">
        <w:rPr>
          <w:rFonts w:hint="eastAsia"/>
        </w:rPr>
        <w:t>12</w:t>
      </w:r>
      <w:r w:rsidRPr="00991D7A">
        <w:rPr>
          <w:rFonts w:hint="eastAsia"/>
        </w:rPr>
        <w:t>月</w:t>
      </w:r>
      <w:r w:rsidRPr="00991D7A">
        <w:rPr>
          <w:rFonts w:hint="eastAsia"/>
        </w:rPr>
        <w:t>8</w:t>
      </w:r>
      <w:r w:rsidRPr="00991D7A">
        <w:rPr>
          <w:rFonts w:hint="eastAsia"/>
        </w:rPr>
        <w:t>日</w:t>
      </w:r>
      <w:r w:rsidR="00545D58">
        <w:rPr>
          <w:rFonts w:hint="eastAsia"/>
        </w:rPr>
        <w:t>。</w:t>
      </w:r>
    </w:p>
    <w:p w14:paraId="63656DF3" w14:textId="77777777" w:rsidR="00991D7A" w:rsidRPr="00991D7A" w:rsidRDefault="00991D7A" w:rsidP="00027D54">
      <w:pPr>
        <w:jc w:val="left"/>
      </w:pPr>
      <w:r w:rsidRPr="00991D7A">
        <w:rPr>
          <w:rFonts w:hint="eastAsia"/>
        </w:rPr>
        <w:t>◎百度百科</w:t>
      </w:r>
      <w:r w:rsidRPr="00991D7A">
        <w:t>(2015)</w:t>
      </w:r>
      <w:r w:rsidRPr="00991D7A">
        <w:rPr>
          <w:rFonts w:hint="eastAsia"/>
        </w:rPr>
        <w:t>，日本右翼势力，上網瀏覽時間：</w:t>
      </w:r>
      <w:r w:rsidRPr="00991D7A">
        <w:t>2015/03/01</w:t>
      </w:r>
      <w:r w:rsidRPr="00991D7A">
        <w:rPr>
          <w:rFonts w:hint="eastAsia"/>
        </w:rPr>
        <w:t>，</w:t>
      </w:r>
      <w:hyperlink r:id="rId2921" w:history="1">
        <w:r w:rsidRPr="00027D54">
          <w:rPr>
            <w:rStyle w:val="a5"/>
            <w:rFonts w:ascii="Times New Roman" w:eastAsia="新細明體" w:hAnsi="Times New Roman"/>
          </w:rPr>
          <w:t>http://baike.baidu.com/view/3369566.htm</w:t>
        </w:r>
      </w:hyperlink>
      <w:r w:rsidRPr="00991D7A">
        <w:rPr>
          <w:rFonts w:hint="eastAsia"/>
        </w:rPr>
        <w:t>。</w:t>
      </w:r>
    </w:p>
    <w:p w14:paraId="4537E330" w14:textId="77777777" w:rsidR="00991D7A" w:rsidRPr="00991D7A" w:rsidRDefault="00991D7A" w:rsidP="00027D54">
      <w:pPr>
        <w:jc w:val="left"/>
      </w:pPr>
      <w:r w:rsidRPr="00991D7A">
        <w:rPr>
          <w:rFonts w:hint="eastAsia"/>
        </w:rPr>
        <w:t>◎艾立勤教授，胚胎幹細胞實驗的倫理省思，</w:t>
      </w:r>
      <w:hyperlink r:id="rId2922" w:history="1">
        <w:r w:rsidRPr="00027D54">
          <w:rPr>
            <w:rStyle w:val="a5"/>
            <w:rFonts w:ascii="Times New Roman" w:eastAsia="新細明體" w:hAnsi="Times New Roman" w:hint="eastAsia"/>
          </w:rPr>
          <w:t>http://www.christianstudy.com/data/pastoral/euthanas06.html</w:t>
        </w:r>
      </w:hyperlink>
      <w:r w:rsidRPr="00991D7A">
        <w:rPr>
          <w:rFonts w:hint="eastAsia"/>
        </w:rPr>
        <w:t>。</w:t>
      </w:r>
    </w:p>
    <w:p w14:paraId="0C136F19" w14:textId="77777777" w:rsidR="00991D7A" w:rsidRPr="00991D7A" w:rsidRDefault="00991D7A" w:rsidP="00027D54">
      <w:pPr>
        <w:jc w:val="left"/>
      </w:pPr>
      <w:r w:rsidRPr="00991D7A">
        <w:rPr>
          <w:rFonts w:hint="eastAsia"/>
        </w:rPr>
        <w:t>◎呂苡榕</w:t>
      </w:r>
      <w:r w:rsidRPr="00991D7A">
        <w:rPr>
          <w:rFonts w:hint="eastAsia"/>
        </w:rPr>
        <w:t>(2011)</w:t>
      </w:r>
      <w:r w:rsidRPr="00991D7A">
        <w:rPr>
          <w:rFonts w:hint="eastAsia"/>
        </w:rPr>
        <w:t>，元旦慶融合，孤軍後裔仍流浪，</w:t>
      </w:r>
      <w:r w:rsidRPr="00991D7A">
        <w:rPr>
          <w:rFonts w:hint="eastAsia"/>
        </w:rPr>
        <w:t xml:space="preserve">retrieved 02/22, 2014, from </w:t>
      </w:r>
      <w:hyperlink r:id="rId2923" w:history="1">
        <w:r w:rsidRPr="00027D54">
          <w:rPr>
            <w:rStyle w:val="a5"/>
            <w:rFonts w:ascii="Times New Roman" w:eastAsia="新細明體" w:hAnsi="Times New Roman" w:hint="eastAsia"/>
          </w:rPr>
          <w:t>https://groups.google.com/d/topic/yotu/tEX7zGxrBeE</w:t>
        </w:r>
      </w:hyperlink>
      <w:r w:rsidRPr="00991D7A">
        <w:rPr>
          <w:rFonts w:hint="eastAsia"/>
        </w:rPr>
        <w:t>。</w:t>
      </w:r>
    </w:p>
    <w:p w14:paraId="6099D092" w14:textId="77777777" w:rsidR="00991D7A" w:rsidRPr="00991D7A" w:rsidRDefault="00991D7A" w:rsidP="00027D54">
      <w:pPr>
        <w:jc w:val="left"/>
      </w:pPr>
      <w:r w:rsidRPr="00991D7A">
        <w:rPr>
          <w:rFonts w:hint="eastAsia"/>
        </w:rPr>
        <w:t>◎李秀娟、林師模、李高朝，〈外籍勞工的競爭性與互補性對我國勞動需求及外勞政策的影響〉</w:t>
      </w:r>
      <w:r w:rsidRPr="00991D7A">
        <w:t>(2010)</w:t>
      </w:r>
      <w:r w:rsidRPr="00991D7A">
        <w:rPr>
          <w:rFonts w:hint="eastAsia"/>
        </w:rPr>
        <w:t>，</w:t>
      </w:r>
      <w:r w:rsidRPr="00991D7A">
        <w:t xml:space="preserve">retrieved 11/02, 2010, from </w:t>
      </w:r>
      <w:hyperlink r:id="rId2924" w:history="1">
        <w:r w:rsidRPr="00027D54">
          <w:rPr>
            <w:rStyle w:val="a5"/>
            <w:rFonts w:ascii="Times New Roman" w:eastAsia="新細明體" w:hAnsi="Times New Roman"/>
          </w:rPr>
          <w:t>http://proj3.sinica.edu.tw/~tea/images/stories/file/WP0074.pdf</w:t>
        </w:r>
      </w:hyperlink>
      <w:r w:rsidRPr="00991D7A">
        <w:rPr>
          <w:rFonts w:hint="eastAsia"/>
        </w:rPr>
        <w:t>。</w:t>
      </w:r>
    </w:p>
    <w:p w14:paraId="07E35D9D" w14:textId="77777777" w:rsidR="00991D7A" w:rsidRPr="00991D7A" w:rsidRDefault="00991D7A" w:rsidP="00027D54">
      <w:pPr>
        <w:jc w:val="left"/>
      </w:pPr>
      <w:r w:rsidRPr="00991D7A">
        <w:rPr>
          <w:rFonts w:hint="eastAsia"/>
        </w:rPr>
        <w:t>◎李念祖</w:t>
      </w:r>
      <w:r w:rsidRPr="00991D7A">
        <w:rPr>
          <w:rFonts w:hint="eastAsia"/>
        </w:rPr>
        <w:t>(2013)</w:t>
      </w:r>
      <w:r w:rsidRPr="00991D7A">
        <w:rPr>
          <w:rFonts w:hint="eastAsia"/>
        </w:rPr>
        <w:t>，打破「司法一元主義」的概念孤寂！上網瀏覽時間：</w:t>
      </w:r>
      <w:r w:rsidRPr="00991D7A">
        <w:rPr>
          <w:rFonts w:hint="eastAsia"/>
        </w:rPr>
        <w:t>2013</w:t>
      </w:r>
      <w:r w:rsidRPr="00991D7A">
        <w:rPr>
          <w:rFonts w:hint="eastAsia"/>
        </w:rPr>
        <w:t>年</w:t>
      </w:r>
      <w:r w:rsidRPr="00991D7A">
        <w:rPr>
          <w:rFonts w:hint="eastAsia"/>
        </w:rPr>
        <w:t>7</w:t>
      </w:r>
      <w:r w:rsidRPr="00991D7A">
        <w:rPr>
          <w:rFonts w:hint="eastAsia"/>
        </w:rPr>
        <w:t>月</w:t>
      </w:r>
      <w:r w:rsidRPr="00991D7A">
        <w:rPr>
          <w:rFonts w:hint="eastAsia"/>
        </w:rPr>
        <w:t>10</w:t>
      </w:r>
      <w:r w:rsidRPr="00991D7A">
        <w:rPr>
          <w:rFonts w:hint="eastAsia"/>
        </w:rPr>
        <w:t>日，</w:t>
      </w:r>
      <w:hyperlink r:id="rId2925" w:history="1">
        <w:r w:rsidRPr="00027D54">
          <w:rPr>
            <w:rStyle w:val="a5"/>
            <w:rFonts w:ascii="Times New Roman" w:eastAsia="新細明體" w:hAnsi="Times New Roman" w:hint="eastAsia"/>
          </w:rPr>
          <w:t>http://www.jrf.org.tw/newjrf/RTE/myform_detail.asp?id=1664</w:t>
        </w:r>
      </w:hyperlink>
      <w:r w:rsidRPr="00991D7A">
        <w:rPr>
          <w:rFonts w:hint="eastAsia"/>
        </w:rPr>
        <w:t>。</w:t>
      </w:r>
    </w:p>
    <w:p w14:paraId="388B0B14" w14:textId="77777777" w:rsidR="00991D7A" w:rsidRPr="00991D7A" w:rsidRDefault="00991D7A" w:rsidP="00027D54">
      <w:pPr>
        <w:jc w:val="left"/>
      </w:pPr>
      <w:r w:rsidRPr="00991D7A">
        <w:rPr>
          <w:rFonts w:hint="eastAsia"/>
        </w:rPr>
        <w:t>◎見晉法師，誰創造了複製人？－佛教的有情生命觀，</w:t>
      </w:r>
      <w:hyperlink r:id="rId2926" w:history="1">
        <w:r w:rsidRPr="00027D54">
          <w:rPr>
            <w:rStyle w:val="a5"/>
            <w:rFonts w:ascii="Times New Roman" w:eastAsia="新細明體" w:hAnsi="Times New Roman" w:hint="eastAsia"/>
          </w:rPr>
          <w:t>http://www.gaya.org.tw/hkbi/topic/topic4.htm</w:t>
        </w:r>
      </w:hyperlink>
      <w:r w:rsidR="00545D58">
        <w:rPr>
          <w:rFonts w:hint="eastAsia"/>
        </w:rPr>
        <w:t>。</w:t>
      </w:r>
    </w:p>
    <w:p w14:paraId="4934DD33" w14:textId="77777777" w:rsidR="00991D7A" w:rsidRPr="00991D7A" w:rsidRDefault="00991D7A" w:rsidP="00027D54">
      <w:pPr>
        <w:jc w:val="left"/>
      </w:pPr>
      <w:r w:rsidRPr="00991D7A">
        <w:rPr>
          <w:rFonts w:hint="eastAsia"/>
        </w:rPr>
        <w:t>◎周安士</w:t>
      </w:r>
      <w:r w:rsidRPr="00991D7A">
        <w:rPr>
          <w:rFonts w:hint="eastAsia"/>
        </w:rPr>
        <w:t>(2006)</w:t>
      </w:r>
      <w:r w:rsidRPr="00991D7A">
        <w:rPr>
          <w:rFonts w:hint="eastAsia"/>
        </w:rPr>
        <w:t>，欲海回狂，第一卷，</w:t>
      </w:r>
      <w:hyperlink r:id="rId2927" w:history="1">
        <w:r w:rsidRPr="00BC66E8">
          <w:rPr>
            <w:rStyle w:val="a5"/>
            <w:rFonts w:ascii="Times New Roman" w:eastAsia="新細明體" w:hAnsi="Times New Roman" w:hint="eastAsia"/>
          </w:rPr>
          <w:t>http://www.buddedu.com/liaowu/yhkl/yhkl-40.htm</w:t>
        </w:r>
      </w:hyperlink>
      <w:r w:rsidRPr="00991D7A">
        <w:rPr>
          <w:rFonts w:hint="eastAsia"/>
        </w:rPr>
        <w:t>(2009.06)</w:t>
      </w:r>
      <w:r w:rsidRPr="00991D7A">
        <w:rPr>
          <w:rFonts w:hint="eastAsia"/>
        </w:rPr>
        <w:t>。</w:t>
      </w:r>
    </w:p>
    <w:p w14:paraId="0C16CCB1" w14:textId="77777777" w:rsidR="00991D7A" w:rsidRPr="00991D7A" w:rsidRDefault="00991D7A" w:rsidP="00027D54">
      <w:pPr>
        <w:jc w:val="left"/>
      </w:pPr>
      <w:r w:rsidRPr="00991D7A">
        <w:rPr>
          <w:rFonts w:hint="eastAsia"/>
        </w:rPr>
        <w:t>◎東京都福祉保健局</w:t>
      </w:r>
      <w:r w:rsidRPr="00991D7A">
        <w:rPr>
          <w:rFonts w:hint="eastAsia"/>
        </w:rPr>
        <w:t xml:space="preserve">(2009). </w:t>
      </w:r>
      <w:r w:rsidRPr="00991D7A">
        <w:rPr>
          <w:rFonts w:hint="eastAsia"/>
        </w:rPr>
        <w:t>，</w:t>
      </w:r>
      <w:hyperlink r:id="rId2928" w:history="1">
        <w:r w:rsidRPr="00027D54">
          <w:rPr>
            <w:rStyle w:val="a5"/>
            <w:rFonts w:ascii="Times New Roman" w:eastAsia="新細明體" w:hAnsi="Times New Roman" w:hint="eastAsia"/>
          </w:rPr>
          <w:t>http://www.fukushihoken.metro.tokyo.jp/</w:t>
        </w:r>
      </w:hyperlink>
      <w:r w:rsidRPr="00991D7A">
        <w:rPr>
          <w:rFonts w:hint="eastAsia"/>
        </w:rPr>
        <w:t>(2011.05)</w:t>
      </w:r>
      <w:r w:rsidRPr="00991D7A">
        <w:rPr>
          <w:rFonts w:hint="eastAsia"/>
        </w:rPr>
        <w:t>。</w:t>
      </w:r>
    </w:p>
    <w:p w14:paraId="61B749A3" w14:textId="77777777" w:rsidR="00991D7A" w:rsidRPr="00991D7A" w:rsidRDefault="00991D7A" w:rsidP="00027D54">
      <w:pPr>
        <w:jc w:val="left"/>
      </w:pPr>
      <w:r w:rsidRPr="00991D7A">
        <w:rPr>
          <w:rFonts w:hint="eastAsia"/>
        </w:rPr>
        <w:t>◎邱念興（</w:t>
      </w:r>
      <w:r w:rsidRPr="00991D7A">
        <w:rPr>
          <w:rFonts w:hint="eastAsia"/>
        </w:rPr>
        <w:t>2009</w:t>
      </w:r>
      <w:r w:rsidRPr="00991D7A">
        <w:rPr>
          <w:rFonts w:hint="eastAsia"/>
        </w:rPr>
        <w:t>），我國防制人口販運之執法運作，發表於中央警察大學國境警察學系與移民研究中心共同舉辦之</w:t>
      </w:r>
      <w:r w:rsidRPr="00991D7A">
        <w:rPr>
          <w:rFonts w:hint="eastAsia"/>
        </w:rPr>
        <w:t>2009</w:t>
      </w:r>
      <w:r w:rsidRPr="00991D7A">
        <w:rPr>
          <w:rFonts w:hint="eastAsia"/>
        </w:rPr>
        <w:t>年防制人口販運國際研討會之專題演講，頁</w:t>
      </w:r>
      <w:r w:rsidRPr="00991D7A">
        <w:rPr>
          <w:rFonts w:hint="eastAsia"/>
        </w:rPr>
        <w:t>9-51</w:t>
      </w:r>
      <w:r w:rsidRPr="00991D7A">
        <w:rPr>
          <w:rFonts w:hint="eastAsia"/>
        </w:rPr>
        <w:t>。</w:t>
      </w:r>
    </w:p>
    <w:p w14:paraId="4F90D9EA" w14:textId="77777777" w:rsidR="00991D7A" w:rsidRPr="00991D7A" w:rsidRDefault="00991D7A" w:rsidP="00027D54">
      <w:pPr>
        <w:jc w:val="left"/>
      </w:pPr>
      <w:r w:rsidRPr="00991D7A">
        <w:rPr>
          <w:rFonts w:hint="eastAsia"/>
        </w:rPr>
        <w:t>◎冠龍（</w:t>
      </w:r>
      <w:r w:rsidRPr="00991D7A">
        <w:rPr>
          <w:rFonts w:hint="eastAsia"/>
        </w:rPr>
        <w:t>2010</w:t>
      </w:r>
      <w:r w:rsidRPr="00991D7A">
        <w:rPr>
          <w:rFonts w:hint="eastAsia"/>
        </w:rPr>
        <w:t>），性縱欲過度智商降低：日本恐將面臨滅頂之災</w:t>
      </w:r>
      <w:r w:rsidRPr="00991D7A">
        <w:rPr>
          <w:rFonts w:hint="eastAsia"/>
        </w:rPr>
        <w:t>. retrieved 10/20, 2010, from</w:t>
      </w:r>
      <w:r w:rsidR="00027D54">
        <w:rPr>
          <w:rFonts w:hint="eastAsia"/>
        </w:rPr>
        <w:t xml:space="preserve"> </w:t>
      </w:r>
      <w:hyperlink r:id="rId2929" w:history="1">
        <w:r w:rsidRPr="00027D54">
          <w:rPr>
            <w:rStyle w:val="a5"/>
            <w:rFonts w:ascii="Times New Roman" w:eastAsia="新細明體" w:hAnsi="Times New Roman" w:hint="eastAsia"/>
          </w:rPr>
          <w:t>http://news.boxun.com/forum/201003/boxun2010/120700.shtml</w:t>
        </w:r>
      </w:hyperlink>
      <w:r w:rsidRPr="00991D7A">
        <w:rPr>
          <w:rFonts w:hint="eastAsia"/>
        </w:rPr>
        <w:t>.</w:t>
      </w:r>
    </w:p>
    <w:p w14:paraId="0304CED6" w14:textId="77777777" w:rsidR="00991D7A" w:rsidRPr="00991D7A" w:rsidRDefault="00991D7A" w:rsidP="00027D54">
      <w:pPr>
        <w:jc w:val="left"/>
      </w:pPr>
      <w:r w:rsidRPr="00991D7A">
        <w:rPr>
          <w:rFonts w:hint="eastAsia"/>
        </w:rPr>
        <w:t>◎柯雨瑞</w:t>
      </w:r>
      <w:r w:rsidRPr="00991D7A">
        <w:rPr>
          <w:rFonts w:hint="eastAsia"/>
        </w:rPr>
        <w:t>(2009)</w:t>
      </w:r>
      <w:r w:rsidRPr="00991D7A">
        <w:rPr>
          <w:rFonts w:hint="eastAsia"/>
        </w:rPr>
        <w:t>，中央警察大學民國</w:t>
      </w:r>
      <w:r w:rsidRPr="00991D7A">
        <w:rPr>
          <w:rFonts w:hint="eastAsia"/>
        </w:rPr>
        <w:t>98</w:t>
      </w:r>
      <w:r w:rsidRPr="00991D7A">
        <w:rPr>
          <w:rFonts w:hint="eastAsia"/>
        </w:rPr>
        <w:t>年暑假教師赴實務機關參觀考察報告書。</w:t>
      </w:r>
    </w:p>
    <w:p w14:paraId="6A7F9FA3" w14:textId="77777777" w:rsidR="00991D7A" w:rsidRPr="00991D7A" w:rsidRDefault="00991D7A" w:rsidP="00027D54">
      <w:pPr>
        <w:jc w:val="left"/>
      </w:pPr>
      <w:r w:rsidRPr="00991D7A">
        <w:rPr>
          <w:rFonts w:hint="eastAsia"/>
        </w:rPr>
        <w:t>◎美國之音中文網</w:t>
      </w:r>
      <w:r w:rsidRPr="00991D7A">
        <w:rPr>
          <w:rFonts w:hint="eastAsia"/>
        </w:rPr>
        <w:t>(2003)</w:t>
      </w:r>
      <w:r w:rsidRPr="00991D7A">
        <w:rPr>
          <w:rFonts w:hint="eastAsia"/>
        </w:rPr>
        <w:t>，中國希望全面禁止核子試驗條約儘早生效，</w:t>
      </w:r>
      <w:r w:rsidRPr="00991D7A">
        <w:rPr>
          <w:rFonts w:hint="eastAsia"/>
        </w:rPr>
        <w:t>2003-09-04</w:t>
      </w:r>
      <w:r w:rsidRPr="00991D7A">
        <w:rPr>
          <w:rFonts w:hint="eastAsia"/>
        </w:rPr>
        <w:t>，</w:t>
      </w:r>
      <w:hyperlink r:id="rId2930" w:history="1">
        <w:r w:rsidRPr="00027D54">
          <w:rPr>
            <w:rStyle w:val="a5"/>
            <w:rFonts w:ascii="Times New Roman" w:eastAsia="新細明體" w:hAnsi="Times New Roman" w:hint="eastAsia"/>
          </w:rPr>
          <w:t>www.voafanti.com/gate/big5/www.voanews.com/ chinese/archive/2003-09/a--8-1.cfm</w:t>
        </w:r>
      </w:hyperlink>
      <w:r w:rsidRPr="00991D7A">
        <w:rPr>
          <w:rFonts w:hint="eastAsia"/>
        </w:rPr>
        <w:t>(2006.07.22)</w:t>
      </w:r>
      <w:r w:rsidRPr="00991D7A">
        <w:rPr>
          <w:rFonts w:hint="eastAsia"/>
        </w:rPr>
        <w:t>。</w:t>
      </w:r>
    </w:p>
    <w:p w14:paraId="3D1C1D63" w14:textId="77777777" w:rsidR="00991D7A" w:rsidRPr="00991D7A" w:rsidRDefault="00991D7A" w:rsidP="00027D54">
      <w:pPr>
        <w:jc w:val="left"/>
      </w:pPr>
      <w:r w:rsidRPr="00991D7A">
        <w:rPr>
          <w:rFonts w:hint="eastAsia"/>
        </w:rPr>
        <w:t>◎美國在台協會</w:t>
      </w:r>
      <w:r w:rsidRPr="00991D7A">
        <w:rPr>
          <w:rFonts w:hint="eastAsia"/>
        </w:rPr>
        <w:t>(2014)</w:t>
      </w:r>
      <w:r w:rsidRPr="00991D7A">
        <w:rPr>
          <w:rFonts w:hint="eastAsia"/>
        </w:rPr>
        <w:t>，美國</w:t>
      </w:r>
      <w:r w:rsidRPr="00991D7A">
        <w:rPr>
          <w:rFonts w:hint="eastAsia"/>
        </w:rPr>
        <w:t>2014</w:t>
      </w:r>
      <w:r w:rsidRPr="00991D7A">
        <w:rPr>
          <w:rFonts w:hint="eastAsia"/>
        </w:rPr>
        <w:t>年人口販運問題報告</w:t>
      </w:r>
      <w:r w:rsidR="00D92F56">
        <w:rPr>
          <w:rFonts w:hint="eastAsia"/>
        </w:rPr>
        <w:t>〜</w:t>
      </w:r>
      <w:r w:rsidRPr="00991D7A">
        <w:rPr>
          <w:rFonts w:hint="eastAsia"/>
        </w:rPr>
        <w:t>台灣部分（第一列），上網瀏覽時間：</w:t>
      </w:r>
      <w:r w:rsidRPr="00991D7A">
        <w:rPr>
          <w:rFonts w:hint="eastAsia"/>
        </w:rPr>
        <w:t>2014</w:t>
      </w:r>
      <w:r w:rsidRPr="00991D7A">
        <w:rPr>
          <w:rFonts w:hint="eastAsia"/>
        </w:rPr>
        <w:t>年</w:t>
      </w:r>
      <w:r w:rsidRPr="00991D7A">
        <w:rPr>
          <w:rFonts w:hint="eastAsia"/>
        </w:rPr>
        <w:t>7</w:t>
      </w:r>
      <w:r w:rsidRPr="00991D7A">
        <w:rPr>
          <w:rFonts w:hint="eastAsia"/>
        </w:rPr>
        <w:t>月</w:t>
      </w:r>
      <w:r w:rsidRPr="00991D7A">
        <w:rPr>
          <w:rFonts w:hint="eastAsia"/>
        </w:rPr>
        <w:t>3</w:t>
      </w:r>
      <w:r w:rsidRPr="00991D7A">
        <w:rPr>
          <w:rFonts w:hint="eastAsia"/>
        </w:rPr>
        <w:t>日，</w:t>
      </w:r>
      <w:hyperlink r:id="rId2931" w:history="1">
        <w:r w:rsidRPr="00027D54">
          <w:rPr>
            <w:rStyle w:val="a5"/>
            <w:rFonts w:ascii="Times New Roman" w:eastAsia="新細明體" w:hAnsi="Times New Roman" w:hint="eastAsia"/>
          </w:rPr>
          <w:t>http://www.ait.org.tw/zh/2014-trafficking-in-persons-report-taiwan.html</w:t>
        </w:r>
      </w:hyperlink>
      <w:r w:rsidRPr="00991D7A">
        <w:rPr>
          <w:rFonts w:hint="eastAsia"/>
        </w:rPr>
        <w:t>。</w:t>
      </w:r>
    </w:p>
    <w:p w14:paraId="7AA04264" w14:textId="77777777" w:rsidR="00991D7A" w:rsidRPr="00991D7A" w:rsidRDefault="00991D7A" w:rsidP="00027D54">
      <w:pPr>
        <w:jc w:val="left"/>
      </w:pPr>
      <w:r w:rsidRPr="00991D7A">
        <w:rPr>
          <w:rFonts w:hint="eastAsia"/>
        </w:rPr>
        <w:t>◎美國在台協會（</w:t>
      </w:r>
      <w:r w:rsidRPr="00991D7A">
        <w:rPr>
          <w:rFonts w:hint="eastAsia"/>
        </w:rPr>
        <w:t>American Institute in Taiwan</w:t>
      </w:r>
      <w:r w:rsidRPr="00991D7A">
        <w:rPr>
          <w:rFonts w:hint="eastAsia"/>
        </w:rPr>
        <w:t>）</w:t>
      </w:r>
      <w:r w:rsidRPr="00991D7A">
        <w:rPr>
          <w:rFonts w:hint="eastAsia"/>
        </w:rPr>
        <w:t>(2014)</w:t>
      </w:r>
      <w:r w:rsidRPr="00991D7A">
        <w:rPr>
          <w:rFonts w:hint="eastAsia"/>
        </w:rPr>
        <w:t>，上網瀏覽時間：</w:t>
      </w:r>
      <w:r w:rsidRPr="00991D7A">
        <w:rPr>
          <w:rFonts w:hint="eastAsia"/>
        </w:rPr>
        <w:t>2014</w:t>
      </w:r>
      <w:r w:rsidRPr="00991D7A">
        <w:rPr>
          <w:rFonts w:hint="eastAsia"/>
        </w:rPr>
        <w:t>年</w:t>
      </w:r>
      <w:r w:rsidRPr="00991D7A">
        <w:rPr>
          <w:rFonts w:hint="eastAsia"/>
        </w:rPr>
        <w:t>3</w:t>
      </w:r>
      <w:r w:rsidRPr="00991D7A">
        <w:rPr>
          <w:rFonts w:hint="eastAsia"/>
        </w:rPr>
        <w:t>月</w:t>
      </w:r>
      <w:r w:rsidRPr="00991D7A">
        <w:rPr>
          <w:rFonts w:hint="eastAsia"/>
        </w:rPr>
        <w:t xml:space="preserve">4 </w:t>
      </w:r>
      <w:r w:rsidRPr="00991D7A">
        <w:rPr>
          <w:rFonts w:hint="eastAsia"/>
        </w:rPr>
        <w:t>日，網址：</w:t>
      </w:r>
      <w:hyperlink r:id="rId2932" w:history="1">
        <w:r w:rsidRPr="00027D54">
          <w:rPr>
            <w:rStyle w:val="a5"/>
            <w:rFonts w:ascii="Times New Roman" w:eastAsia="新細明體" w:hAnsi="Times New Roman" w:hint="eastAsia"/>
          </w:rPr>
          <w:t>http://www.ait.org.tw/zh/officialtext-ot1306.html</w:t>
        </w:r>
      </w:hyperlink>
      <w:r w:rsidRPr="00991D7A">
        <w:rPr>
          <w:rFonts w:hint="eastAsia"/>
        </w:rPr>
        <w:t>.</w:t>
      </w:r>
    </w:p>
    <w:p w14:paraId="711FF7F4" w14:textId="77777777" w:rsidR="00991D7A" w:rsidRPr="00991D7A" w:rsidRDefault="00991D7A" w:rsidP="00027D54">
      <w:pPr>
        <w:jc w:val="left"/>
      </w:pPr>
      <w:r w:rsidRPr="00991D7A">
        <w:rPr>
          <w:rFonts w:hint="eastAsia"/>
        </w:rPr>
        <w:t>◎飛彈瞄準長江三峽的水壩攻擊</w:t>
      </w:r>
      <w:r w:rsidRPr="00991D7A">
        <w:rPr>
          <w:rFonts w:hint="eastAsia"/>
        </w:rPr>
        <w:t>(2006)</w:t>
      </w:r>
      <w:r w:rsidRPr="00991D7A">
        <w:rPr>
          <w:rFonts w:hint="eastAsia"/>
        </w:rPr>
        <w:t>，立法院公報處第</w:t>
      </w:r>
      <w:r w:rsidRPr="00991D7A">
        <w:rPr>
          <w:rFonts w:hint="eastAsia"/>
        </w:rPr>
        <w:t>4</w:t>
      </w:r>
      <w:r w:rsidRPr="00991D7A">
        <w:rPr>
          <w:rFonts w:hint="eastAsia"/>
        </w:rPr>
        <w:t>會期、第</w:t>
      </w:r>
      <w:r w:rsidRPr="00991D7A">
        <w:rPr>
          <w:rFonts w:hint="eastAsia"/>
        </w:rPr>
        <w:t>12</w:t>
      </w:r>
      <w:r w:rsidRPr="00991D7A">
        <w:rPr>
          <w:rFonts w:hint="eastAsia"/>
        </w:rPr>
        <w:t>會期，</w:t>
      </w:r>
      <w:r w:rsidRPr="00991D7A">
        <w:rPr>
          <w:rStyle w:val="a5"/>
          <w:rFonts w:hint="eastAsia"/>
        </w:rPr>
        <w:t>http://tornado.ly.gov.tw/tornado/draft/final/word/05/04/20/LCIDB01_05042001.dochttp://www.peacehall.com/news/gb/china/2004/06/200406161040.shtml</w:t>
      </w:r>
      <w:r w:rsidRPr="00991D7A">
        <w:rPr>
          <w:rFonts w:hint="eastAsia"/>
        </w:rPr>
        <w:t>(2006.08)</w:t>
      </w:r>
      <w:r w:rsidRPr="00991D7A">
        <w:rPr>
          <w:rFonts w:hint="eastAsia"/>
        </w:rPr>
        <w:t>。</w:t>
      </w:r>
    </w:p>
    <w:p w14:paraId="72782EC5" w14:textId="77777777" w:rsidR="00991D7A" w:rsidRPr="00991D7A" w:rsidRDefault="00991D7A" w:rsidP="00027D54">
      <w:pPr>
        <w:jc w:val="left"/>
      </w:pPr>
      <w:r w:rsidRPr="00991D7A">
        <w:rPr>
          <w:rFonts w:hint="eastAsia"/>
        </w:rPr>
        <w:t>◎奚道正</w:t>
      </w:r>
      <w:r w:rsidRPr="00991D7A">
        <w:rPr>
          <w:rFonts w:hint="eastAsia"/>
        </w:rPr>
        <w:t>(1990)</w:t>
      </w:r>
      <w:r w:rsidRPr="00991D7A">
        <w:rPr>
          <w:rFonts w:hint="eastAsia"/>
        </w:rPr>
        <w:t>，日本：原則禁止一般勞工進入；新加坡：制訂週延法律加以管理，中央日報，民國</w:t>
      </w:r>
      <w:r w:rsidRPr="00991D7A">
        <w:rPr>
          <w:rFonts w:hint="eastAsia"/>
        </w:rPr>
        <w:t>79</w:t>
      </w:r>
      <w:r w:rsidRPr="00991D7A">
        <w:rPr>
          <w:rFonts w:hint="eastAsia"/>
        </w:rPr>
        <w:t>年</w:t>
      </w:r>
      <w:r w:rsidRPr="00991D7A">
        <w:rPr>
          <w:rFonts w:hint="eastAsia"/>
        </w:rPr>
        <w:t>8</w:t>
      </w:r>
      <w:r w:rsidRPr="00991D7A">
        <w:rPr>
          <w:rFonts w:hint="eastAsia"/>
        </w:rPr>
        <w:t>月</w:t>
      </w:r>
      <w:r w:rsidRPr="00991D7A">
        <w:rPr>
          <w:rFonts w:hint="eastAsia"/>
        </w:rPr>
        <w:t>20</w:t>
      </w:r>
      <w:r w:rsidRPr="00991D7A">
        <w:rPr>
          <w:rFonts w:hint="eastAsia"/>
        </w:rPr>
        <w:t>日</w:t>
      </w:r>
      <w:r w:rsidRPr="00991D7A">
        <w:rPr>
          <w:rFonts w:hint="eastAsia"/>
        </w:rPr>
        <w:t>14</w:t>
      </w:r>
      <w:r w:rsidRPr="00991D7A">
        <w:rPr>
          <w:rFonts w:hint="eastAsia"/>
        </w:rPr>
        <w:t>版，收錄於立法院</w:t>
      </w:r>
      <w:r w:rsidRPr="00991D7A">
        <w:rPr>
          <w:rFonts w:hint="eastAsia"/>
        </w:rPr>
        <w:t>(1991)</w:t>
      </w:r>
      <w:r w:rsidRPr="00991D7A">
        <w:rPr>
          <w:rFonts w:hint="eastAsia"/>
        </w:rPr>
        <w:t>，「外籍勞工」，立法報章資料專輯，第</w:t>
      </w:r>
      <w:r w:rsidRPr="00991D7A">
        <w:rPr>
          <w:rFonts w:hint="eastAsia"/>
        </w:rPr>
        <w:t>42</w:t>
      </w:r>
      <w:r w:rsidRPr="00991D7A">
        <w:rPr>
          <w:rFonts w:hint="eastAsia"/>
        </w:rPr>
        <w:t>輯，立法院圖書資料室。</w:t>
      </w:r>
    </w:p>
    <w:p w14:paraId="07A72166" w14:textId="77777777" w:rsidR="00991D7A" w:rsidRPr="00991D7A" w:rsidRDefault="00991D7A" w:rsidP="00027D54">
      <w:pPr>
        <w:jc w:val="left"/>
      </w:pPr>
      <w:r w:rsidRPr="00991D7A">
        <w:rPr>
          <w:rFonts w:hint="eastAsia"/>
        </w:rPr>
        <w:t>◎財團法人中央廣播電臺</w:t>
      </w:r>
      <w:r w:rsidRPr="00991D7A">
        <w:rPr>
          <w:rFonts w:hint="eastAsia"/>
        </w:rPr>
        <w:t>(2013)</w:t>
      </w:r>
      <w:r w:rsidRPr="00991D7A">
        <w:rPr>
          <w:rFonts w:hint="eastAsia"/>
        </w:rPr>
        <w:t>，外勞組工會，謝立功赴南方澳參訪，上網瀏覽時間：</w:t>
      </w:r>
      <w:r w:rsidRPr="00991D7A">
        <w:rPr>
          <w:rFonts w:hint="eastAsia"/>
        </w:rPr>
        <w:t>2014</w:t>
      </w:r>
      <w:r w:rsidRPr="00991D7A">
        <w:rPr>
          <w:rFonts w:hint="eastAsia"/>
        </w:rPr>
        <w:t>年</w:t>
      </w:r>
      <w:r w:rsidRPr="00991D7A">
        <w:rPr>
          <w:rFonts w:hint="eastAsia"/>
        </w:rPr>
        <w:t>3</w:t>
      </w:r>
      <w:r w:rsidRPr="00991D7A">
        <w:rPr>
          <w:rFonts w:hint="eastAsia"/>
        </w:rPr>
        <w:t>月</w:t>
      </w:r>
      <w:r w:rsidRPr="00991D7A">
        <w:rPr>
          <w:rFonts w:hint="eastAsia"/>
        </w:rPr>
        <w:t>26</w:t>
      </w:r>
      <w:r w:rsidRPr="00991D7A">
        <w:rPr>
          <w:rFonts w:hint="eastAsia"/>
        </w:rPr>
        <w:t>日，</w:t>
      </w:r>
      <w:r w:rsidRPr="00991D7A">
        <w:rPr>
          <w:rStyle w:val="a5"/>
          <w:rFonts w:hint="eastAsia"/>
        </w:rPr>
        <w:t>http://news.rti.org.tw/index_newsContent.aspx?nid=471644</w:t>
      </w:r>
      <w:r w:rsidRPr="00991D7A">
        <w:rPr>
          <w:rFonts w:hint="eastAsia"/>
        </w:rPr>
        <w:t>。</w:t>
      </w:r>
    </w:p>
    <w:p w14:paraId="31B8F3D6" w14:textId="77777777" w:rsidR="00991D7A" w:rsidRPr="00991D7A" w:rsidRDefault="00991D7A" w:rsidP="00027D54">
      <w:pPr>
        <w:jc w:val="left"/>
      </w:pPr>
      <w:r w:rsidRPr="00991D7A">
        <w:rPr>
          <w:rFonts w:hint="eastAsia"/>
        </w:rPr>
        <w:t>◎高雄市就業服務商業同業公會</w:t>
      </w:r>
      <w:r w:rsidRPr="00991D7A">
        <w:rPr>
          <w:rFonts w:hint="eastAsia"/>
        </w:rPr>
        <w:t>(2011)</w:t>
      </w:r>
      <w:r w:rsidRPr="00991D7A">
        <w:rPr>
          <w:rFonts w:hint="eastAsia"/>
        </w:rPr>
        <w:t>，〈家事勞工保障法，工時、工資喬不定〉，</w:t>
      </w:r>
      <w:r w:rsidRPr="00991D7A">
        <w:rPr>
          <w:rStyle w:val="a5"/>
          <w:rFonts w:hint="eastAsia"/>
        </w:rPr>
        <w:t>http://blog.xuite.net/kesia/annie/41826013</w:t>
      </w:r>
      <w:r w:rsidRPr="00991D7A">
        <w:rPr>
          <w:rFonts w:hint="eastAsia"/>
        </w:rPr>
        <w:t>(2011/11/25)</w:t>
      </w:r>
      <w:r w:rsidRPr="00991D7A">
        <w:rPr>
          <w:rFonts w:hint="eastAsia"/>
        </w:rPr>
        <w:t>。</w:t>
      </w:r>
    </w:p>
    <w:p w14:paraId="1F6F31E9" w14:textId="77777777" w:rsidR="00991D7A" w:rsidRPr="00991D7A" w:rsidRDefault="00991D7A" w:rsidP="00027D54">
      <w:pPr>
        <w:jc w:val="left"/>
      </w:pPr>
      <w:r w:rsidRPr="00991D7A">
        <w:rPr>
          <w:rFonts w:hint="eastAsia"/>
        </w:rPr>
        <w:t>◎國際刑事法院羅馬規約</w:t>
      </w:r>
      <w:r w:rsidRPr="00991D7A">
        <w:rPr>
          <w:rFonts w:hint="eastAsia"/>
        </w:rPr>
        <w:t>(2006)</w:t>
      </w:r>
      <w:r w:rsidRPr="00991D7A">
        <w:rPr>
          <w:rFonts w:hint="eastAsia"/>
        </w:rPr>
        <w:t>，</w:t>
      </w:r>
      <w:r w:rsidRPr="00991D7A">
        <w:rPr>
          <w:rStyle w:val="a5"/>
          <w:rFonts w:hint="eastAsia"/>
        </w:rPr>
        <w:t>http://www.un.org/chinese/work/law/Roma1997.htm</w:t>
      </w:r>
      <w:r w:rsidRPr="00991D7A">
        <w:rPr>
          <w:rFonts w:hint="eastAsia"/>
        </w:rPr>
        <w:t xml:space="preserve">(2006.07.22) </w:t>
      </w:r>
      <w:r w:rsidRPr="00991D7A">
        <w:rPr>
          <w:rFonts w:hint="eastAsia"/>
        </w:rPr>
        <w:t>。</w:t>
      </w:r>
    </w:p>
    <w:p w14:paraId="07DA70F8" w14:textId="77777777" w:rsidR="00991D7A" w:rsidRPr="00991D7A" w:rsidRDefault="00991D7A" w:rsidP="00027D54">
      <w:pPr>
        <w:jc w:val="left"/>
      </w:pPr>
      <w:r w:rsidRPr="00991D7A">
        <w:rPr>
          <w:rFonts w:hint="eastAsia"/>
        </w:rPr>
        <w:t>◎常律法師</w:t>
      </w:r>
      <w:r w:rsidRPr="00991D7A">
        <w:rPr>
          <w:rFonts w:hint="eastAsia"/>
        </w:rPr>
        <w:t>(2008)</w:t>
      </w:r>
      <w:r w:rsidRPr="00991D7A">
        <w:rPr>
          <w:rFonts w:hint="eastAsia"/>
        </w:rPr>
        <w:t>，治國之道</w:t>
      </w:r>
      <w:r w:rsidR="00D92F56">
        <w:rPr>
          <w:rFonts w:hint="eastAsia"/>
        </w:rPr>
        <w:t>〜</w:t>
      </w:r>
      <w:r w:rsidRPr="00991D7A">
        <w:rPr>
          <w:rFonts w:hint="eastAsia"/>
        </w:rPr>
        <w:t>與馬英九淺談治國津要，上網瀏覽時間：</w:t>
      </w:r>
      <w:r w:rsidRPr="00991D7A">
        <w:rPr>
          <w:rFonts w:hint="eastAsia"/>
        </w:rPr>
        <w:t>2015</w:t>
      </w:r>
      <w:r w:rsidRPr="00991D7A">
        <w:rPr>
          <w:rFonts w:hint="eastAsia"/>
        </w:rPr>
        <w:t>年</w:t>
      </w:r>
      <w:r w:rsidRPr="00991D7A">
        <w:rPr>
          <w:rFonts w:hint="eastAsia"/>
        </w:rPr>
        <w:t>1</w:t>
      </w:r>
      <w:r w:rsidRPr="00991D7A">
        <w:rPr>
          <w:rFonts w:hint="eastAsia"/>
        </w:rPr>
        <w:t>月</w:t>
      </w:r>
      <w:r w:rsidRPr="00991D7A">
        <w:rPr>
          <w:rFonts w:hint="eastAsia"/>
        </w:rPr>
        <w:t>13</w:t>
      </w:r>
      <w:r w:rsidRPr="00991D7A">
        <w:rPr>
          <w:rFonts w:hint="eastAsia"/>
        </w:rPr>
        <w:t>日，</w:t>
      </w:r>
      <w:r w:rsidRPr="00991D7A">
        <w:rPr>
          <w:rStyle w:val="a5"/>
          <w:rFonts w:hint="eastAsia"/>
        </w:rPr>
        <w:t>http://blog.roodo.com/cthci/archives/5950799.html</w:t>
      </w:r>
      <w:r w:rsidRPr="00991D7A">
        <w:rPr>
          <w:rFonts w:hint="eastAsia"/>
        </w:rPr>
        <w:t>。</w:t>
      </w:r>
    </w:p>
    <w:p w14:paraId="622C8BD8" w14:textId="77777777" w:rsidR="00991D7A" w:rsidRPr="00991D7A" w:rsidRDefault="00991D7A" w:rsidP="00027D54">
      <w:pPr>
        <w:jc w:val="left"/>
      </w:pPr>
      <w:r w:rsidRPr="00991D7A">
        <w:rPr>
          <w:rFonts w:hint="eastAsia"/>
        </w:rPr>
        <w:t>◎張益昌</w:t>
      </w:r>
      <w:r w:rsidRPr="00991D7A">
        <w:t xml:space="preserve">(2008). </w:t>
      </w:r>
      <w:r w:rsidRPr="00991D7A">
        <w:rPr>
          <w:rFonts w:hint="eastAsia"/>
        </w:rPr>
        <w:t>海洛因防制政策</w:t>
      </w:r>
      <w:r w:rsidR="00D92F56">
        <w:t>〜</w:t>
      </w:r>
      <w:r w:rsidRPr="00991D7A">
        <w:rPr>
          <w:rFonts w:hint="eastAsia"/>
        </w:rPr>
        <w:t>海洛因危害與監控</w:t>
      </w:r>
      <w:r w:rsidR="00D92F56">
        <w:t>〜</w:t>
      </w:r>
      <w:r w:rsidRPr="00991D7A">
        <w:rPr>
          <w:rFonts w:hint="eastAsia"/>
        </w:rPr>
        <w:t>以台南地檢署實施緩起訴替代療為例，</w:t>
      </w:r>
      <w:r w:rsidRPr="00991D7A">
        <w:rPr>
          <w:rStyle w:val="a5"/>
        </w:rPr>
        <w:t>http://www.tcf.tw/index.php?option=com_content&amp;task=view&amp;id=643</w:t>
      </w:r>
      <w:r w:rsidRPr="00991D7A">
        <w:t>(2011.06)</w:t>
      </w:r>
      <w:r w:rsidRPr="00991D7A">
        <w:rPr>
          <w:rFonts w:hint="eastAsia"/>
        </w:rPr>
        <w:t>。</w:t>
      </w:r>
    </w:p>
    <w:p w14:paraId="61FDCEAF" w14:textId="77777777" w:rsidR="00991D7A" w:rsidRPr="00991D7A" w:rsidRDefault="00991D7A" w:rsidP="00027D54">
      <w:pPr>
        <w:jc w:val="left"/>
      </w:pPr>
      <w:r w:rsidRPr="00991D7A">
        <w:rPr>
          <w:rFonts w:hint="eastAsia"/>
        </w:rPr>
        <w:t>◎許家雋</w:t>
      </w:r>
      <w:r w:rsidRPr="00991D7A">
        <w:rPr>
          <w:rFonts w:hint="eastAsia"/>
        </w:rPr>
        <w:t>(2011)</w:t>
      </w:r>
      <w:r w:rsidRPr="00991D7A">
        <w:rPr>
          <w:rFonts w:hint="eastAsia"/>
        </w:rPr>
        <w:t>，〈家事勞工保障法應具國際</w:t>
      </w:r>
      <w:r w:rsidR="003E240E">
        <w:rPr>
          <w:rFonts w:hint="eastAsia"/>
        </w:rPr>
        <w:t>視</w:t>
      </w:r>
      <w:r w:rsidRPr="00991D7A">
        <w:rPr>
          <w:rFonts w:hint="eastAsia"/>
        </w:rPr>
        <w:t>野〉，</w:t>
      </w:r>
      <w:r w:rsidRPr="00991D7A">
        <w:rPr>
          <w:rStyle w:val="a5"/>
          <w:rFonts w:hint="eastAsia"/>
        </w:rPr>
        <w:t>http://www.tiwa.org.tw/?itemid=456</w:t>
      </w:r>
      <w:r w:rsidRPr="00991D7A">
        <w:rPr>
          <w:rFonts w:hint="eastAsia"/>
        </w:rPr>
        <w:t>(2011/12/05)</w:t>
      </w:r>
      <w:r w:rsidR="00545D58">
        <w:rPr>
          <w:rFonts w:hint="eastAsia"/>
        </w:rPr>
        <w:t>。</w:t>
      </w:r>
    </w:p>
    <w:p w14:paraId="60EEFB05" w14:textId="77777777" w:rsidR="00991D7A" w:rsidRPr="00991D7A" w:rsidRDefault="00991D7A" w:rsidP="00027D54">
      <w:pPr>
        <w:jc w:val="left"/>
      </w:pPr>
      <w:r w:rsidRPr="00991D7A">
        <w:rPr>
          <w:rFonts w:hint="eastAsia"/>
        </w:rPr>
        <w:t>◎陳怡君</w:t>
      </w:r>
      <w:r w:rsidRPr="00991D7A">
        <w:rPr>
          <w:rFonts w:hint="eastAsia"/>
        </w:rPr>
        <w:t>(2009)</w:t>
      </w:r>
      <w:r w:rsidRPr="00991D7A">
        <w:rPr>
          <w:rFonts w:hint="eastAsia"/>
        </w:rPr>
        <w:t>，外國人逾期收容問題及收容所參訪，台灣人權促進會電子報，上網瀏覽時間：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1</w:t>
      </w:r>
      <w:r w:rsidRPr="00991D7A">
        <w:rPr>
          <w:rFonts w:hint="eastAsia"/>
        </w:rPr>
        <w:t>日，</w:t>
      </w:r>
      <w:r w:rsidRPr="00991D7A">
        <w:rPr>
          <w:rStyle w:val="a5"/>
          <w:rFonts w:hint="eastAsia"/>
        </w:rPr>
        <w:t>http://enews.url.com.tw/human/54882</w:t>
      </w:r>
      <w:r w:rsidRPr="00991D7A">
        <w:rPr>
          <w:rFonts w:hint="eastAsia"/>
        </w:rPr>
        <w:t>。</w:t>
      </w:r>
    </w:p>
    <w:p w14:paraId="4B20DACA" w14:textId="77777777" w:rsidR="00991D7A" w:rsidRPr="00991D7A" w:rsidRDefault="00991D7A" w:rsidP="00027D54">
      <w:pPr>
        <w:jc w:val="left"/>
      </w:pPr>
      <w:r w:rsidRPr="00991D7A">
        <w:rPr>
          <w:rFonts w:hint="eastAsia"/>
        </w:rPr>
        <w:t>◎陳韋綸</w:t>
      </w:r>
      <w:r w:rsidRPr="00991D7A">
        <w:rPr>
          <w:rFonts w:hint="eastAsia"/>
        </w:rPr>
        <w:t>(2009)</w:t>
      </w:r>
      <w:r w:rsidRPr="00991D7A">
        <w:rPr>
          <w:rFonts w:hint="eastAsia"/>
        </w:rPr>
        <w:t>，早知道寧願認罪去坐牢！</w:t>
      </w:r>
      <w:r w:rsidR="00D92F56">
        <w:rPr>
          <w:rFonts w:hint="eastAsia"/>
        </w:rPr>
        <w:t>〜</w:t>
      </w:r>
      <w:r w:rsidRPr="00991D7A">
        <w:rPr>
          <w:rFonts w:hint="eastAsia"/>
        </w:rPr>
        <w:t>參訪宜蘭收容所，台灣人權促進會電子報，上網瀏覽時間：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1</w:t>
      </w:r>
      <w:r w:rsidRPr="00991D7A">
        <w:rPr>
          <w:rFonts w:hint="eastAsia"/>
        </w:rPr>
        <w:t>日，</w:t>
      </w:r>
      <w:r w:rsidRPr="00991D7A">
        <w:rPr>
          <w:rFonts w:hint="eastAsia"/>
        </w:rPr>
        <w:t>http://enews.url.com.tw/human/54882</w:t>
      </w:r>
      <w:r w:rsidRPr="00991D7A">
        <w:rPr>
          <w:rFonts w:hint="eastAsia"/>
        </w:rPr>
        <w:t>。</w:t>
      </w:r>
    </w:p>
    <w:p w14:paraId="46764768" w14:textId="77777777" w:rsidR="00991D7A" w:rsidRPr="00991D7A" w:rsidRDefault="00991D7A" w:rsidP="00027D54">
      <w:pPr>
        <w:jc w:val="left"/>
      </w:pPr>
      <w:r w:rsidRPr="00991D7A">
        <w:rPr>
          <w:rFonts w:hint="eastAsia"/>
        </w:rPr>
        <w:t>◎陳淑芬（</w:t>
      </w:r>
      <w:r w:rsidRPr="00991D7A">
        <w:rPr>
          <w:rFonts w:hint="eastAsia"/>
        </w:rPr>
        <w:t>2009</w:t>
      </w:r>
      <w:r w:rsidRPr="00991D7A">
        <w:rPr>
          <w:rFonts w:hint="eastAsia"/>
        </w:rPr>
        <w:t>），人口販運防制法過關罰則太低，</w:t>
      </w:r>
      <w:r w:rsidRPr="00991D7A">
        <w:rPr>
          <w:rFonts w:hint="eastAsia"/>
        </w:rPr>
        <w:t xml:space="preserve">Retrieved January 13, 2009, from </w:t>
      </w:r>
      <w:r w:rsidRPr="00991D7A">
        <w:rPr>
          <w:rStyle w:val="a5"/>
          <w:rFonts w:hint="eastAsia"/>
        </w:rPr>
        <w:t>http://news.sina.com.tw/article/20090113/1278291.html</w:t>
      </w:r>
      <w:r w:rsidRPr="00991D7A">
        <w:rPr>
          <w:rFonts w:hint="eastAsia"/>
        </w:rPr>
        <w:t>。</w:t>
      </w:r>
    </w:p>
    <w:p w14:paraId="429E3A52" w14:textId="77777777" w:rsidR="00991D7A" w:rsidRPr="00991D7A" w:rsidRDefault="00991D7A" w:rsidP="00027D54">
      <w:pPr>
        <w:jc w:val="left"/>
      </w:pPr>
      <w:r w:rsidRPr="00991D7A">
        <w:rPr>
          <w:rFonts w:hint="eastAsia"/>
        </w:rPr>
        <w:t>◎陳惠如</w:t>
      </w:r>
      <w:r w:rsidRPr="00991D7A">
        <w:rPr>
          <w:rFonts w:hint="eastAsia"/>
        </w:rPr>
        <w:t>(2010)</w:t>
      </w:r>
      <w:r w:rsidRPr="00991D7A">
        <w:rPr>
          <w:rFonts w:hint="eastAsia"/>
        </w:rPr>
        <w:t>，人權兩公約，大事紀新聞網</w:t>
      </w:r>
      <w:r w:rsidRPr="00991D7A">
        <w:rPr>
          <w:rFonts w:hint="eastAsia"/>
        </w:rPr>
        <w:t>Q&amp;A</w:t>
      </w:r>
      <w:r w:rsidRPr="00991D7A">
        <w:rPr>
          <w:rFonts w:hint="eastAsia"/>
        </w:rPr>
        <w:t>，上網瀏覽時間：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2</w:t>
      </w:r>
      <w:r w:rsidRPr="00991D7A">
        <w:rPr>
          <w:rFonts w:hint="eastAsia"/>
        </w:rPr>
        <w:t>日，</w:t>
      </w:r>
      <w:r w:rsidRPr="00991D7A">
        <w:rPr>
          <w:rStyle w:val="a5"/>
          <w:rFonts w:hint="eastAsia"/>
        </w:rPr>
        <w:t>http://www.epochtimes.com/b5</w:t>
      </w:r>
      <w:r w:rsidRPr="00991D7A">
        <w:rPr>
          <w:rFonts w:hint="eastAsia"/>
        </w:rPr>
        <w:t>。</w:t>
      </w:r>
      <w:r w:rsidRPr="00991D7A">
        <w:rPr>
          <w:rFonts w:hint="eastAsia"/>
        </w:rPr>
        <w:tab/>
      </w:r>
    </w:p>
    <w:p w14:paraId="4B3037F3" w14:textId="77777777" w:rsidR="00991D7A" w:rsidRPr="00991D7A" w:rsidRDefault="00991D7A" w:rsidP="00027D54">
      <w:pPr>
        <w:jc w:val="left"/>
      </w:pPr>
      <w:r w:rsidRPr="00991D7A">
        <w:rPr>
          <w:rFonts w:hint="eastAsia"/>
        </w:rPr>
        <w:t>◎陳隆志</w:t>
      </w:r>
      <w:r w:rsidRPr="00991D7A">
        <w:rPr>
          <w:rFonts w:hint="eastAsia"/>
        </w:rPr>
        <w:t>(2001)</w:t>
      </w:r>
      <w:r w:rsidRPr="00991D7A">
        <w:rPr>
          <w:rFonts w:hint="eastAsia"/>
        </w:rPr>
        <w:t>，〈國際人權法典〉，</w:t>
      </w:r>
      <w:r w:rsidRPr="00991D7A">
        <w:rPr>
          <w:rStyle w:val="a5"/>
          <w:rFonts w:hint="eastAsia"/>
        </w:rPr>
        <w:t>http://www.oceantaiwan.com/eyereach/20010430.htm</w:t>
      </w:r>
      <w:r w:rsidRPr="00991D7A">
        <w:rPr>
          <w:rFonts w:hint="eastAsia"/>
        </w:rPr>
        <w:t>(2011/12/13)</w:t>
      </w:r>
      <w:r w:rsidRPr="00991D7A">
        <w:rPr>
          <w:rFonts w:hint="eastAsia"/>
        </w:rPr>
        <w:t>。</w:t>
      </w:r>
    </w:p>
    <w:p w14:paraId="13DF4F27" w14:textId="77777777" w:rsidR="00991D7A" w:rsidRPr="00991D7A" w:rsidRDefault="00991D7A" w:rsidP="00027D54">
      <w:pPr>
        <w:jc w:val="left"/>
      </w:pPr>
      <w:r w:rsidRPr="00991D7A">
        <w:rPr>
          <w:rFonts w:hint="eastAsia"/>
        </w:rPr>
        <w:t>◎陳新民</w:t>
      </w:r>
      <w:r w:rsidRPr="00991D7A">
        <w:rPr>
          <w:rFonts w:hint="eastAsia"/>
        </w:rPr>
        <w:t>(2003)</w:t>
      </w:r>
      <w:r w:rsidRPr="00991D7A">
        <w:rPr>
          <w:rFonts w:hint="eastAsia"/>
        </w:rPr>
        <w:t>，立法院召開臨時會的法律問題，財團法人國家政策研究基金會，上網瀏覽時間：</w:t>
      </w:r>
      <w:r w:rsidRPr="00991D7A">
        <w:rPr>
          <w:rFonts w:hint="eastAsia"/>
        </w:rPr>
        <w:t>2013</w:t>
      </w:r>
      <w:r w:rsidRPr="00991D7A">
        <w:rPr>
          <w:rFonts w:hint="eastAsia"/>
        </w:rPr>
        <w:t>年</w:t>
      </w:r>
      <w:r w:rsidRPr="00991D7A">
        <w:rPr>
          <w:rFonts w:hint="eastAsia"/>
        </w:rPr>
        <w:t>6</w:t>
      </w:r>
      <w:r w:rsidRPr="00991D7A">
        <w:rPr>
          <w:rFonts w:hint="eastAsia"/>
        </w:rPr>
        <w:t>月</w:t>
      </w:r>
      <w:r w:rsidRPr="00991D7A">
        <w:rPr>
          <w:rFonts w:hint="eastAsia"/>
        </w:rPr>
        <w:t>25</w:t>
      </w:r>
      <w:r w:rsidRPr="00991D7A">
        <w:rPr>
          <w:rFonts w:hint="eastAsia"/>
        </w:rPr>
        <w:t>日，</w:t>
      </w:r>
      <w:r w:rsidRPr="00991D7A">
        <w:rPr>
          <w:rStyle w:val="a5"/>
          <w:rFonts w:hint="eastAsia"/>
        </w:rPr>
        <w:t>1http://old.npf.org.tw/PUBLICATION/CL/092/CL-R-092-025.htm</w:t>
      </w:r>
      <w:r w:rsidRPr="00991D7A">
        <w:rPr>
          <w:rFonts w:hint="eastAsia"/>
        </w:rPr>
        <w:t>。</w:t>
      </w:r>
    </w:p>
    <w:p w14:paraId="78EC57E4" w14:textId="77777777" w:rsidR="00991D7A" w:rsidRPr="00991D7A" w:rsidRDefault="00991D7A" w:rsidP="00027D54">
      <w:pPr>
        <w:jc w:val="left"/>
      </w:pPr>
      <w:r w:rsidRPr="00991D7A">
        <w:rPr>
          <w:rFonts w:hint="eastAsia"/>
        </w:rPr>
        <w:t>◎陶堅</w:t>
      </w:r>
      <w:r w:rsidRPr="00991D7A">
        <w:rPr>
          <w:rFonts w:hint="eastAsia"/>
        </w:rPr>
        <w:t>(2005)</w:t>
      </w:r>
      <w:r w:rsidRPr="00991D7A">
        <w:rPr>
          <w:rFonts w:hint="eastAsia"/>
        </w:rPr>
        <w:t>，第十四屆海峽兩岸關係學術研討會大會發言，</w:t>
      </w:r>
      <w:r w:rsidRPr="00991D7A">
        <w:rPr>
          <w:rFonts w:hint="eastAsia"/>
        </w:rPr>
        <w:t>2005-08-02</w:t>
      </w:r>
      <w:r w:rsidRPr="00991D7A">
        <w:rPr>
          <w:rFonts w:hint="eastAsia"/>
        </w:rPr>
        <w:t>，</w:t>
      </w:r>
      <w:r w:rsidRPr="00991D7A">
        <w:rPr>
          <w:rStyle w:val="a5"/>
          <w:rFonts w:hint="eastAsia"/>
        </w:rPr>
        <w:t>http://webcast.china.com.cn/webcast/created/451/4_1_0101_asc.htm</w:t>
      </w:r>
      <w:r w:rsidRPr="00991D7A">
        <w:rPr>
          <w:rFonts w:hint="eastAsia"/>
        </w:rPr>
        <w:t>(2006.07.22)</w:t>
      </w:r>
      <w:r w:rsidRPr="00991D7A">
        <w:rPr>
          <w:rFonts w:hint="eastAsia"/>
        </w:rPr>
        <w:t>。</w:t>
      </w:r>
    </w:p>
    <w:p w14:paraId="1DF4C608" w14:textId="77777777" w:rsidR="00991D7A" w:rsidRPr="00991D7A" w:rsidRDefault="00991D7A" w:rsidP="00027D54">
      <w:pPr>
        <w:jc w:val="left"/>
      </w:pPr>
      <w:r w:rsidRPr="00991D7A">
        <w:rPr>
          <w:rFonts w:hint="eastAsia"/>
        </w:rPr>
        <w:t>◎勞委會</w:t>
      </w:r>
      <w:r w:rsidRPr="00991D7A">
        <w:rPr>
          <w:rFonts w:hint="eastAsia"/>
        </w:rPr>
        <w:t>(2011)</w:t>
      </w:r>
      <w:r w:rsidRPr="00991D7A">
        <w:rPr>
          <w:rFonts w:hint="eastAsia"/>
        </w:rPr>
        <w:t>，〈勞委會將持續蒐集各界意見，推動家事勞工保障法草案〉，</w:t>
      </w:r>
      <w:r w:rsidRPr="00991D7A">
        <w:rPr>
          <w:rStyle w:val="a5"/>
          <w:rFonts w:hint="eastAsia"/>
        </w:rPr>
        <w:t>http://www.cla.gov.tw/cgi-bin/Message/MM_msg_control?mode=viewnews&amp;ts=4e55f722:3d8c&amp;theme=</w:t>
      </w:r>
      <w:r w:rsidRPr="00991D7A">
        <w:rPr>
          <w:rFonts w:hint="eastAsia"/>
        </w:rPr>
        <w:t>(2011/12/08)</w:t>
      </w:r>
      <w:r w:rsidRPr="00991D7A">
        <w:rPr>
          <w:rFonts w:hint="eastAsia"/>
        </w:rPr>
        <w:t>。</w:t>
      </w:r>
    </w:p>
    <w:p w14:paraId="525DF2A7" w14:textId="77777777" w:rsidR="00991D7A" w:rsidRPr="00991D7A" w:rsidRDefault="00991D7A" w:rsidP="00027D54">
      <w:pPr>
        <w:jc w:val="left"/>
      </w:pPr>
      <w:r w:rsidRPr="00991D7A">
        <w:rPr>
          <w:rFonts w:hint="eastAsia"/>
        </w:rPr>
        <w:t>◎勞委會職業訓練局</w:t>
      </w:r>
      <w:r w:rsidRPr="00991D7A">
        <w:rPr>
          <w:rFonts w:hint="eastAsia"/>
        </w:rPr>
        <w:t>(2010)</w:t>
      </w:r>
      <w:r w:rsidRPr="00991D7A">
        <w:rPr>
          <w:rFonts w:hint="eastAsia"/>
        </w:rPr>
        <w:t>，〈勞委會對於在台外勞之勞動權益保障，與本國國民一</w:t>
      </w:r>
      <w:r w:rsidR="003E240E">
        <w:rPr>
          <w:rFonts w:hint="eastAsia"/>
        </w:rPr>
        <w:t>視</w:t>
      </w:r>
      <w:r w:rsidRPr="00991D7A">
        <w:rPr>
          <w:rFonts w:hint="eastAsia"/>
        </w:rPr>
        <w:t>同仁〉，</w:t>
      </w:r>
      <w:r w:rsidRPr="00991D7A">
        <w:rPr>
          <w:rStyle w:val="a5"/>
          <w:rFonts w:hint="eastAsia"/>
        </w:rPr>
        <w:t>http://www.cla.gov.tw/cgi-bin/Message/MM_msg_control?mode=viewnews&amp;ts=4b9a0c0f:76c5&amp;theme=</w:t>
      </w:r>
      <w:r w:rsidRPr="00991D7A">
        <w:rPr>
          <w:rFonts w:hint="eastAsia"/>
        </w:rPr>
        <w:t>(2011/11/25)</w:t>
      </w:r>
      <w:r w:rsidRPr="00991D7A">
        <w:rPr>
          <w:rFonts w:hint="eastAsia"/>
        </w:rPr>
        <w:t>。</w:t>
      </w:r>
    </w:p>
    <w:p w14:paraId="7932D106" w14:textId="77777777" w:rsidR="00991D7A" w:rsidRPr="00991D7A" w:rsidRDefault="00991D7A" w:rsidP="00027D54">
      <w:pPr>
        <w:jc w:val="left"/>
      </w:pPr>
      <w:r w:rsidRPr="00991D7A">
        <w:rPr>
          <w:rFonts w:hint="eastAsia"/>
        </w:rPr>
        <w:t>◎彭鑫（</w:t>
      </w:r>
      <w:r w:rsidRPr="00991D7A">
        <w:rPr>
          <w:rFonts w:hint="eastAsia"/>
        </w:rPr>
        <w:t>2009</w:t>
      </w:r>
      <w:r w:rsidRPr="00991D7A">
        <w:rPr>
          <w:rFonts w:hint="eastAsia"/>
        </w:rPr>
        <w:t>），色情、手淫、婚外情對身體的巨大傷害</w:t>
      </w:r>
      <w:r w:rsidRPr="00991D7A">
        <w:rPr>
          <w:rFonts w:hint="eastAsia"/>
        </w:rPr>
        <w:t xml:space="preserve">. retrieved 10/19, 2010, from </w:t>
      </w:r>
      <w:r w:rsidRPr="00991D7A">
        <w:rPr>
          <w:rStyle w:val="a5"/>
          <w:rFonts w:hint="eastAsia"/>
        </w:rPr>
        <w:t>http://blog.udn.com/bluest1937/3496910</w:t>
      </w:r>
      <w:r w:rsidRPr="00991D7A">
        <w:rPr>
          <w:rFonts w:hint="eastAsia"/>
        </w:rPr>
        <w:t>。</w:t>
      </w:r>
    </w:p>
    <w:p w14:paraId="2D89C3A6" w14:textId="77777777" w:rsidR="00991D7A" w:rsidRPr="00991D7A" w:rsidRDefault="00991D7A" w:rsidP="00027D54">
      <w:pPr>
        <w:jc w:val="left"/>
      </w:pPr>
      <w:r w:rsidRPr="00991D7A">
        <w:rPr>
          <w:rFonts w:hint="eastAsia"/>
        </w:rPr>
        <w:t>◎無憂雅思網</w:t>
      </w:r>
      <w:r w:rsidRPr="00991D7A">
        <w:rPr>
          <w:rFonts w:hint="eastAsia"/>
        </w:rPr>
        <w:t>(2009)</w:t>
      </w:r>
      <w:r w:rsidRPr="00991D7A">
        <w:rPr>
          <w:rFonts w:hint="eastAsia"/>
        </w:rPr>
        <w:t>，〈安省提出保姆法案，對非法招聘將最重監禁處罰〉，</w:t>
      </w:r>
      <w:r w:rsidRPr="00991D7A">
        <w:rPr>
          <w:rStyle w:val="a5"/>
          <w:rFonts w:hint="eastAsia"/>
        </w:rPr>
        <w:t>http://bbs.51ielts.com/thread-615734-1-1.html</w:t>
      </w:r>
      <w:r w:rsidRPr="00991D7A">
        <w:rPr>
          <w:rFonts w:hint="eastAsia"/>
        </w:rPr>
        <w:t>(2011/09/03)</w:t>
      </w:r>
      <w:r w:rsidRPr="00991D7A">
        <w:rPr>
          <w:rFonts w:hint="eastAsia"/>
        </w:rPr>
        <w:t>。</w:t>
      </w:r>
    </w:p>
    <w:p w14:paraId="19238382" w14:textId="77777777" w:rsidR="00991D7A" w:rsidRPr="00991D7A" w:rsidRDefault="00991D7A" w:rsidP="00027D54">
      <w:pPr>
        <w:jc w:val="left"/>
      </w:pPr>
      <w:r w:rsidRPr="00991D7A">
        <w:rPr>
          <w:rFonts w:hint="eastAsia"/>
        </w:rPr>
        <w:t>◎華夏經緯</w:t>
      </w:r>
      <w:r w:rsidRPr="00991D7A">
        <w:rPr>
          <w:rFonts w:hint="eastAsia"/>
        </w:rPr>
        <w:t>(2004)</w:t>
      </w:r>
      <w:r w:rsidRPr="00991D7A">
        <w:rPr>
          <w:rFonts w:hint="eastAsia"/>
        </w:rPr>
        <w:t>，臺軍妄想炸三峽大壩，解放軍：台灣將遭毀滅性打擊，</w:t>
      </w:r>
      <w:r w:rsidRPr="00991D7A">
        <w:rPr>
          <w:rStyle w:val="a5"/>
          <w:rFonts w:hint="eastAsia"/>
        </w:rPr>
        <w:t>http://big5.huaxia.com/tw/sdbd/js/00210850.html</w:t>
      </w:r>
      <w:r w:rsidRPr="00991D7A">
        <w:rPr>
          <w:rFonts w:hint="eastAsia"/>
        </w:rPr>
        <w:t>。</w:t>
      </w:r>
    </w:p>
    <w:p w14:paraId="0278E1A8" w14:textId="77777777" w:rsidR="00991D7A" w:rsidRPr="00991D7A" w:rsidRDefault="00991D7A" w:rsidP="00027D54">
      <w:pPr>
        <w:jc w:val="left"/>
      </w:pPr>
      <w:r w:rsidRPr="00991D7A">
        <w:rPr>
          <w:rFonts w:hint="eastAsia"/>
        </w:rPr>
        <w:t>◎黃燕明</w:t>
      </w:r>
      <w:r w:rsidRPr="00991D7A">
        <w:rPr>
          <w:rFonts w:hint="eastAsia"/>
        </w:rPr>
        <w:t>(2004)</w:t>
      </w:r>
      <w:r w:rsidRPr="00991D7A">
        <w:rPr>
          <w:rFonts w:hint="eastAsia"/>
        </w:rPr>
        <w:t>，從「孫子兵法」看臺灣海峽，《議報》第</w:t>
      </w:r>
      <w:r w:rsidRPr="00991D7A">
        <w:rPr>
          <w:rFonts w:hint="eastAsia"/>
        </w:rPr>
        <w:t>222</w:t>
      </w:r>
      <w:r w:rsidRPr="00991D7A">
        <w:rPr>
          <w:rFonts w:hint="eastAsia"/>
        </w:rPr>
        <w:t>期，</w:t>
      </w:r>
      <w:r w:rsidRPr="00991D7A">
        <w:rPr>
          <w:rFonts w:hint="eastAsia"/>
        </w:rPr>
        <w:t xml:space="preserve"> </w:t>
      </w:r>
      <w:r w:rsidRPr="00991D7A">
        <w:rPr>
          <w:rStyle w:val="a5"/>
          <w:rFonts w:hint="eastAsia"/>
        </w:rPr>
        <w:t>http://www.chinaeweekly.comhttp://www.peacehall.com/news/gb/china/2004/06/200406161040.shtml</w:t>
      </w:r>
      <w:r w:rsidRPr="00991D7A">
        <w:rPr>
          <w:rFonts w:hint="eastAsia"/>
        </w:rPr>
        <w:t>(2006.08)</w:t>
      </w:r>
      <w:r w:rsidRPr="00991D7A">
        <w:rPr>
          <w:rFonts w:hint="eastAsia"/>
        </w:rPr>
        <w:t>。</w:t>
      </w:r>
    </w:p>
    <w:p w14:paraId="72758BD2" w14:textId="77777777" w:rsidR="00991D7A" w:rsidRPr="00991D7A" w:rsidRDefault="00991D7A" w:rsidP="00027D54">
      <w:pPr>
        <w:jc w:val="left"/>
      </w:pPr>
      <w:r w:rsidRPr="00991D7A">
        <w:rPr>
          <w:rFonts w:hint="eastAsia"/>
        </w:rPr>
        <w:t>◎新華網</w:t>
      </w:r>
      <w:r w:rsidRPr="00991D7A">
        <w:rPr>
          <w:rFonts w:hint="eastAsia"/>
        </w:rPr>
        <w:t>(2004)</w:t>
      </w:r>
      <w:r w:rsidRPr="00991D7A">
        <w:rPr>
          <w:rFonts w:hint="eastAsia"/>
        </w:rPr>
        <w:t>，美軍自己人審自己人</w:t>
      </w:r>
      <w:r w:rsidRPr="00991D7A">
        <w:rPr>
          <w:rFonts w:hint="eastAsia"/>
        </w:rPr>
        <w:t xml:space="preserve"> </w:t>
      </w:r>
      <w:r w:rsidRPr="00991D7A">
        <w:rPr>
          <w:rFonts w:hint="eastAsia"/>
        </w:rPr>
        <w:t>誰來保護伊拉克無辜平民，</w:t>
      </w:r>
      <w:r w:rsidRPr="00991D7A">
        <w:rPr>
          <w:rStyle w:val="a5"/>
          <w:rFonts w:hint="eastAsia"/>
        </w:rPr>
        <w:t>http://news.xinhuanet.com/world/2004-12/12/content_2324294.htm</w:t>
      </w:r>
      <w:r w:rsidR="00545D58">
        <w:rPr>
          <w:rFonts w:hint="eastAsia"/>
        </w:rPr>
        <w:t>。</w:t>
      </w:r>
    </w:p>
    <w:p w14:paraId="2281F46C" w14:textId="77777777" w:rsidR="00991D7A" w:rsidRPr="00991D7A" w:rsidRDefault="00991D7A" w:rsidP="00027D54">
      <w:pPr>
        <w:jc w:val="left"/>
        <w:rPr>
          <w:rStyle w:val="a5"/>
        </w:rPr>
      </w:pPr>
      <w:r w:rsidRPr="00991D7A">
        <w:rPr>
          <w:rFonts w:hint="eastAsia"/>
        </w:rPr>
        <w:t>◎葉素萍</w:t>
      </w:r>
      <w:r w:rsidRPr="00991D7A">
        <w:rPr>
          <w:rFonts w:hint="eastAsia"/>
        </w:rPr>
        <w:t>(2010)</w:t>
      </w:r>
      <w:r w:rsidRPr="00991D7A">
        <w:rPr>
          <w:rFonts w:hint="eastAsia"/>
        </w:rPr>
        <w:t>，外國人收容疏失、監委促改進，台灣頻道新浪網北美中央社，上網瀏覽時間：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3</w:t>
      </w:r>
      <w:r w:rsidRPr="00991D7A">
        <w:rPr>
          <w:rFonts w:hint="eastAsia"/>
        </w:rPr>
        <w:t>日，</w:t>
      </w:r>
      <w:r w:rsidRPr="00991D7A">
        <w:rPr>
          <w:rStyle w:val="a5"/>
          <w:rFonts w:hint="eastAsia"/>
        </w:rPr>
        <w:t>http://dailynews.sina.com/bg/tw/twpolitics/cna/20100909/06061817706.html。</w:t>
      </w:r>
    </w:p>
    <w:p w14:paraId="6E8AAAD3" w14:textId="77777777" w:rsidR="00991D7A" w:rsidRPr="00991D7A" w:rsidRDefault="00991D7A" w:rsidP="00027D54">
      <w:pPr>
        <w:jc w:val="left"/>
        <w:rPr>
          <w:rStyle w:val="a5"/>
        </w:rPr>
      </w:pPr>
      <w:r w:rsidRPr="00991D7A">
        <w:rPr>
          <w:rFonts w:hint="eastAsia"/>
        </w:rPr>
        <w:t>◎演培法師</w:t>
      </w:r>
      <w:r w:rsidRPr="00991D7A">
        <w:rPr>
          <w:rFonts w:hint="eastAsia"/>
        </w:rPr>
        <w:t>(2012)</w:t>
      </w:r>
      <w:r w:rsidRPr="00991D7A">
        <w:rPr>
          <w:rFonts w:hint="eastAsia"/>
        </w:rPr>
        <w:t>，解深密經語體釋</w:t>
      </w:r>
      <w:r w:rsidR="00D92F56">
        <w:rPr>
          <w:rFonts w:hint="eastAsia"/>
        </w:rPr>
        <w:t>〜</w:t>
      </w:r>
      <w:r w:rsidRPr="00991D7A">
        <w:rPr>
          <w:rFonts w:hint="eastAsia"/>
        </w:rPr>
        <w:t>心意識相品第三，</w:t>
      </w:r>
      <w:r w:rsidRPr="00991D7A">
        <w:rPr>
          <w:rStyle w:val="a5"/>
          <w:rFonts w:hint="eastAsia"/>
        </w:rPr>
        <w:t>http://sravakabhumi.blogspot.tw/2012/12/blog-post_2216.html。</w:t>
      </w:r>
    </w:p>
    <w:p w14:paraId="58C84774" w14:textId="77777777" w:rsidR="00991D7A" w:rsidRPr="00991D7A" w:rsidRDefault="00991D7A" w:rsidP="00027D54">
      <w:pPr>
        <w:jc w:val="left"/>
        <w:rPr>
          <w:rStyle w:val="a5"/>
        </w:rPr>
      </w:pPr>
      <w:r w:rsidRPr="00991D7A">
        <w:rPr>
          <w:rFonts w:hint="eastAsia"/>
        </w:rPr>
        <w:t>◎維基百科</w:t>
      </w:r>
      <w:r w:rsidRPr="00991D7A">
        <w:rPr>
          <w:rFonts w:hint="eastAsia"/>
        </w:rPr>
        <w:t>(2013)</w:t>
      </w:r>
      <w:r w:rsidRPr="00991D7A">
        <w:rPr>
          <w:rFonts w:hint="eastAsia"/>
        </w:rPr>
        <w:t>，國際人道法，</w:t>
      </w:r>
      <w:r w:rsidRPr="00991D7A">
        <w:rPr>
          <w:rStyle w:val="a5"/>
          <w:rFonts w:hint="eastAsia"/>
        </w:rPr>
        <w:t>http://zh.wikipedia.org/wiki/%E5%9C%8B%E9%9A%9B%E4%BA%BA%E9%81%93%E6%B3%95</w:t>
      </w:r>
      <w:r w:rsidR="00545D58">
        <w:rPr>
          <w:rStyle w:val="a5"/>
          <w:rFonts w:hint="eastAsia"/>
        </w:rPr>
        <w:t>。</w:t>
      </w:r>
    </w:p>
    <w:p w14:paraId="166A0F13" w14:textId="77777777" w:rsidR="00991D7A" w:rsidRPr="00991D7A" w:rsidRDefault="00991D7A" w:rsidP="00027D54">
      <w:pPr>
        <w:jc w:val="left"/>
        <w:rPr>
          <w:rStyle w:val="a5"/>
        </w:rPr>
      </w:pPr>
      <w:r w:rsidRPr="00991D7A">
        <w:rPr>
          <w:rFonts w:hint="eastAsia"/>
        </w:rPr>
        <w:t>◎維基百科，人工多能幹細胞，</w:t>
      </w:r>
      <w:r w:rsidRPr="00991D7A">
        <w:rPr>
          <w:rFonts w:hint="eastAsia"/>
        </w:rPr>
        <w:t xml:space="preserve"> </w:t>
      </w:r>
      <w:r w:rsidRPr="00991D7A">
        <w:rPr>
          <w:rStyle w:val="a5"/>
          <w:rFonts w:hint="eastAsia"/>
        </w:rPr>
        <w:t>http://zh.wikipedia.org/wiki/%E4%BA%BA%E5%B7%A5%E5%A4%9A%E8%83%BD%E5%B9%B2%E7%BB%86%E8%83%9E。</w:t>
      </w:r>
    </w:p>
    <w:p w14:paraId="7DD10EE3" w14:textId="77777777" w:rsidR="00991D7A" w:rsidRPr="00991D7A" w:rsidRDefault="00991D7A" w:rsidP="00027D54">
      <w:pPr>
        <w:jc w:val="left"/>
      </w:pPr>
      <w:r w:rsidRPr="00991D7A">
        <w:rPr>
          <w:rFonts w:hint="eastAsia"/>
        </w:rPr>
        <w:t>◎臺灣省政府全球資訊網</w:t>
      </w:r>
      <w:r w:rsidRPr="00991D7A">
        <w:rPr>
          <w:rFonts w:hint="eastAsia"/>
        </w:rPr>
        <w:t>(2013)</w:t>
      </w:r>
      <w:r w:rsidRPr="00991D7A">
        <w:rPr>
          <w:rFonts w:hint="eastAsia"/>
        </w:rPr>
        <w:t>，上網瀏覽時間：</w:t>
      </w:r>
      <w:r w:rsidRPr="00991D7A">
        <w:rPr>
          <w:rFonts w:hint="eastAsia"/>
        </w:rPr>
        <w:t>2013</w:t>
      </w:r>
      <w:r w:rsidRPr="00991D7A">
        <w:rPr>
          <w:rFonts w:hint="eastAsia"/>
        </w:rPr>
        <w:t>年</w:t>
      </w:r>
      <w:r w:rsidRPr="00991D7A">
        <w:rPr>
          <w:rFonts w:hint="eastAsia"/>
        </w:rPr>
        <w:t>7</w:t>
      </w:r>
      <w:r w:rsidRPr="00991D7A">
        <w:rPr>
          <w:rFonts w:hint="eastAsia"/>
        </w:rPr>
        <w:t>月</w:t>
      </w:r>
      <w:r w:rsidRPr="00991D7A">
        <w:rPr>
          <w:rFonts w:hint="eastAsia"/>
        </w:rPr>
        <w:t>1</w:t>
      </w:r>
      <w:r w:rsidRPr="00991D7A">
        <w:rPr>
          <w:rFonts w:hint="eastAsia"/>
        </w:rPr>
        <w:t>日</w:t>
      </w:r>
      <w:hyperlink r:id="rId2933" w:history="1">
        <w:r w:rsidRPr="00027D54">
          <w:rPr>
            <w:rStyle w:val="a5"/>
            <w:rFonts w:ascii="Times New Roman" w:eastAsia="新細明體" w:hAnsi="Times New Roman" w:hint="eastAsia"/>
          </w:rPr>
          <w:t>http://www.tpg.gov.tw/</w:t>
        </w:r>
      </w:hyperlink>
      <w:r w:rsidRPr="00991D7A">
        <w:rPr>
          <w:rFonts w:hint="eastAsia"/>
        </w:rPr>
        <w:t>。</w:t>
      </w:r>
    </w:p>
    <w:p w14:paraId="58350323" w14:textId="77777777" w:rsidR="00991D7A" w:rsidRPr="00991D7A" w:rsidRDefault="00991D7A" w:rsidP="00027D54">
      <w:pPr>
        <w:jc w:val="left"/>
        <w:rPr>
          <w:rStyle w:val="a5"/>
        </w:rPr>
      </w:pPr>
      <w:r w:rsidRPr="00991D7A">
        <w:rPr>
          <w:rFonts w:hint="eastAsia"/>
        </w:rPr>
        <w:t>◎趙容青</w:t>
      </w:r>
      <w:r w:rsidRPr="00991D7A">
        <w:rPr>
          <w:rFonts w:hint="eastAsia"/>
        </w:rPr>
        <w:t>(2011)</w:t>
      </w:r>
      <w:r w:rsidRPr="00991D7A">
        <w:rPr>
          <w:rFonts w:hint="eastAsia"/>
        </w:rPr>
        <w:t>，〈淺談外籍勞工現況及管理〉，</w:t>
      </w:r>
      <w:r w:rsidRPr="00991D7A">
        <w:rPr>
          <w:rStyle w:val="a5"/>
          <w:rFonts w:hint="eastAsia"/>
        </w:rPr>
        <w:t>http://labor.kcg.gov.tw/epaper/share/tmp/files/p9-3.pdf(2011/12/09)。</w:t>
      </w:r>
    </w:p>
    <w:p w14:paraId="04C64C7B" w14:textId="77777777" w:rsidR="00991D7A" w:rsidRPr="00991D7A" w:rsidRDefault="00991D7A" w:rsidP="00027D54">
      <w:pPr>
        <w:jc w:val="left"/>
        <w:rPr>
          <w:rStyle w:val="a5"/>
        </w:rPr>
      </w:pPr>
      <w:r w:rsidRPr="00991D7A">
        <w:rPr>
          <w:rFonts w:hint="eastAsia"/>
        </w:rPr>
        <w:t>◎鄭津津</w:t>
      </w:r>
      <w:r w:rsidRPr="00991D7A">
        <w:rPr>
          <w:rFonts w:hint="eastAsia"/>
        </w:rPr>
        <w:t>(2011)</w:t>
      </w:r>
      <w:r w:rsidRPr="00991D7A">
        <w:rPr>
          <w:rFonts w:hint="eastAsia"/>
        </w:rPr>
        <w:t>，〈外籍勞工之政策及人權保障之檢</w:t>
      </w:r>
      <w:r w:rsidR="003E240E">
        <w:rPr>
          <w:rFonts w:hint="eastAsia"/>
        </w:rPr>
        <w:t>視</w:t>
      </w:r>
      <w:r w:rsidRPr="00991D7A">
        <w:rPr>
          <w:rFonts w:hint="eastAsia"/>
        </w:rPr>
        <w:t>〉，</w:t>
      </w:r>
      <w:r w:rsidRPr="00991D7A">
        <w:rPr>
          <w:rStyle w:val="a5"/>
          <w:rFonts w:hint="eastAsia"/>
        </w:rPr>
        <w:t>http://humanrights.cy.gov.tw/dl.asp?fileName=0113010351671.pdf(2011/12/10)。</w:t>
      </w:r>
    </w:p>
    <w:p w14:paraId="4670BA57" w14:textId="77777777" w:rsidR="00991D7A" w:rsidRPr="00991D7A" w:rsidRDefault="00991D7A" w:rsidP="00027D54">
      <w:pPr>
        <w:jc w:val="left"/>
        <w:rPr>
          <w:rStyle w:val="a5"/>
        </w:rPr>
      </w:pPr>
      <w:r w:rsidRPr="00991D7A">
        <w:rPr>
          <w:rFonts w:hint="eastAsia"/>
        </w:rPr>
        <w:t>◎賴怡均</w:t>
      </w:r>
      <w:r w:rsidRPr="00991D7A">
        <w:rPr>
          <w:rFonts w:hint="eastAsia"/>
        </w:rPr>
        <w:t>(2010)</w:t>
      </w:r>
      <w:r w:rsidRPr="00991D7A">
        <w:rPr>
          <w:rFonts w:hint="eastAsia"/>
        </w:rPr>
        <w:t>，臺北外國人收容所法諮有感，財團法人法律扶助基金會板橋分會網站，上網瀏覽時間：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2</w:t>
      </w:r>
      <w:r w:rsidRPr="00991D7A">
        <w:rPr>
          <w:rFonts w:hint="eastAsia"/>
        </w:rPr>
        <w:t>日，</w:t>
      </w:r>
      <w:r w:rsidRPr="00991D7A">
        <w:rPr>
          <w:rStyle w:val="a5"/>
          <w:rFonts w:hint="eastAsia"/>
        </w:rPr>
        <w:t>http://lafbcb.blogspot.tw/2010/01/blog-post_1514.htmil。</w:t>
      </w:r>
    </w:p>
    <w:p w14:paraId="6DA96329" w14:textId="77777777" w:rsidR="00991D7A" w:rsidRPr="00991D7A" w:rsidRDefault="00991D7A" w:rsidP="00027D54">
      <w:pPr>
        <w:jc w:val="left"/>
        <w:rPr>
          <w:rStyle w:val="a5"/>
        </w:rPr>
      </w:pPr>
      <w:r w:rsidRPr="00991D7A">
        <w:rPr>
          <w:rFonts w:hint="eastAsia"/>
        </w:rPr>
        <w:t>◎聯合國裁軍事務部</w:t>
      </w:r>
      <w:r w:rsidRPr="00991D7A">
        <w:rPr>
          <w:rFonts w:hint="eastAsia"/>
        </w:rPr>
        <w:t>(2006)</w:t>
      </w:r>
      <w:r w:rsidRPr="00991D7A">
        <w:rPr>
          <w:rFonts w:hint="eastAsia"/>
        </w:rPr>
        <w:t>，</w:t>
      </w:r>
      <w:r w:rsidRPr="00991D7A">
        <w:rPr>
          <w:rStyle w:val="a5"/>
          <w:rFonts w:hint="eastAsia"/>
        </w:rPr>
        <w:t>http://www.un.org/chinese/peace/disarmament/t8.htm(2006.07.22)。</w:t>
      </w:r>
    </w:p>
    <w:p w14:paraId="164E07A5" w14:textId="77777777" w:rsidR="00991D7A" w:rsidRPr="00991D7A" w:rsidRDefault="00991D7A" w:rsidP="00027D54">
      <w:pPr>
        <w:jc w:val="left"/>
        <w:rPr>
          <w:rStyle w:val="a5"/>
        </w:rPr>
      </w:pPr>
      <w:r w:rsidRPr="00991D7A">
        <w:rPr>
          <w:rFonts w:hint="eastAsia"/>
        </w:rPr>
        <w:t>◎聯合國裁軍事務部</w:t>
      </w:r>
      <w:r w:rsidRPr="00991D7A">
        <w:rPr>
          <w:rFonts w:hint="eastAsia"/>
        </w:rPr>
        <w:t>(2006)</w:t>
      </w:r>
      <w:r w:rsidRPr="00991D7A">
        <w:rPr>
          <w:rFonts w:hint="eastAsia"/>
        </w:rPr>
        <w:t>，禁止為軍事或任何其他敵對目的使用改變環境的技術的公約，</w:t>
      </w:r>
      <w:r w:rsidRPr="00991D7A">
        <w:rPr>
          <w:rStyle w:val="a5"/>
          <w:rFonts w:hint="eastAsia"/>
        </w:rPr>
        <w:t>http://www.un.org/chinese/peace/disarmament/t8.htm</w:t>
      </w:r>
      <w:r w:rsidRPr="00953151">
        <w:rPr>
          <w:rStyle w:val="a5"/>
          <w:rFonts w:hint="eastAsia"/>
          <w:u w:val="none"/>
        </w:rPr>
        <w:t>(2006.07.22)。</w:t>
      </w:r>
    </w:p>
    <w:p w14:paraId="4A880036" w14:textId="77777777" w:rsidR="00991D7A" w:rsidRPr="00991D7A" w:rsidRDefault="00991D7A" w:rsidP="00027D54">
      <w:pPr>
        <w:jc w:val="left"/>
        <w:rPr>
          <w:rStyle w:val="a5"/>
        </w:rPr>
      </w:pPr>
      <w:r w:rsidRPr="00991D7A">
        <w:rPr>
          <w:rFonts w:hint="eastAsia"/>
        </w:rPr>
        <w:t>◎謝立功</w:t>
      </w:r>
      <w:r w:rsidRPr="00991D7A">
        <w:rPr>
          <w:rFonts w:hint="eastAsia"/>
        </w:rPr>
        <w:t>(2010)</w:t>
      </w:r>
      <w:r w:rsidRPr="00991D7A">
        <w:rPr>
          <w:rFonts w:hint="eastAsia"/>
        </w:rPr>
        <w:t>，境外過濾及國際情資交流精實國境人流管理，</w:t>
      </w:r>
      <w:r w:rsidRPr="00991D7A">
        <w:rPr>
          <w:rFonts w:hint="eastAsia"/>
        </w:rPr>
        <w:t xml:space="preserve">retrieved 11/02, 2010, from </w:t>
      </w:r>
      <w:r w:rsidRPr="00991D7A">
        <w:rPr>
          <w:rStyle w:val="a5"/>
          <w:rFonts w:hint="eastAsia"/>
        </w:rPr>
        <w:t>http://www.nownews.com/2010/04/30/301-2597676.htm。</w:t>
      </w:r>
    </w:p>
    <w:p w14:paraId="5E7CE517" w14:textId="77777777" w:rsidR="00991D7A" w:rsidRPr="00991D7A" w:rsidRDefault="00991D7A" w:rsidP="00027D54">
      <w:pPr>
        <w:jc w:val="left"/>
        <w:rPr>
          <w:rStyle w:val="a5"/>
        </w:rPr>
      </w:pPr>
      <w:r w:rsidRPr="00991D7A">
        <w:rPr>
          <w:rFonts w:hint="eastAsia"/>
        </w:rPr>
        <w:t>◎謝立功</w:t>
      </w:r>
      <w:r w:rsidRPr="00991D7A">
        <w:rPr>
          <w:rFonts w:hint="eastAsia"/>
        </w:rPr>
        <w:t>(2014)</w:t>
      </w:r>
      <w:r w:rsidRPr="00991D7A">
        <w:rPr>
          <w:rFonts w:hint="eastAsia"/>
        </w:rPr>
        <w:t>，臺灣人口販運問題分析，上網瀏覽時間：</w:t>
      </w:r>
      <w:r w:rsidRPr="00991D7A">
        <w:rPr>
          <w:rFonts w:hint="eastAsia"/>
        </w:rPr>
        <w:t>2014</w:t>
      </w:r>
      <w:r w:rsidRPr="00991D7A">
        <w:rPr>
          <w:rFonts w:hint="eastAsia"/>
        </w:rPr>
        <w:t>年</w:t>
      </w:r>
      <w:r w:rsidRPr="00991D7A">
        <w:rPr>
          <w:rFonts w:hint="eastAsia"/>
        </w:rPr>
        <w:t>3</w:t>
      </w:r>
      <w:r w:rsidRPr="00991D7A">
        <w:rPr>
          <w:rFonts w:hint="eastAsia"/>
        </w:rPr>
        <w:t>月</w:t>
      </w:r>
      <w:r w:rsidRPr="00991D7A">
        <w:rPr>
          <w:rFonts w:hint="eastAsia"/>
        </w:rPr>
        <w:t>27</w:t>
      </w:r>
      <w:r w:rsidRPr="00991D7A">
        <w:rPr>
          <w:rFonts w:hint="eastAsia"/>
        </w:rPr>
        <w:t>日，</w:t>
      </w:r>
      <w:r w:rsidRPr="00991D7A">
        <w:rPr>
          <w:rStyle w:val="a5"/>
          <w:rFonts w:hint="eastAsia"/>
        </w:rPr>
        <w:t>http://www.pra.cpu.edu.tw/paper/3/8/pdf。</w:t>
      </w:r>
    </w:p>
    <w:p w14:paraId="786D9C83" w14:textId="77777777" w:rsidR="00991D7A" w:rsidRPr="00991D7A" w:rsidRDefault="00991D7A" w:rsidP="00027D54">
      <w:pPr>
        <w:jc w:val="left"/>
        <w:rPr>
          <w:rStyle w:val="a5"/>
        </w:rPr>
      </w:pPr>
      <w:r w:rsidRPr="00991D7A">
        <w:rPr>
          <w:rFonts w:hint="eastAsia"/>
        </w:rPr>
        <w:t>◎藍天虹</w:t>
      </w:r>
      <w:r w:rsidRPr="00991D7A">
        <w:rPr>
          <w:rFonts w:hint="eastAsia"/>
        </w:rPr>
        <w:t>(2005)</w:t>
      </w:r>
      <w:r w:rsidRPr="00991D7A">
        <w:rPr>
          <w:rFonts w:hint="eastAsia"/>
        </w:rPr>
        <w:t>，論反制中共法律戰的作為，空軍學術月刊</w:t>
      </w:r>
      <w:r w:rsidRPr="00991D7A">
        <w:rPr>
          <w:rFonts w:hint="eastAsia"/>
        </w:rPr>
        <w:t>581</w:t>
      </w:r>
      <w:r w:rsidRPr="00991D7A">
        <w:rPr>
          <w:rFonts w:hint="eastAsia"/>
        </w:rPr>
        <w:t>期，</w:t>
      </w:r>
      <w:r w:rsidRPr="00991D7A">
        <w:rPr>
          <w:rStyle w:val="a5"/>
          <w:rFonts w:hint="eastAsia"/>
        </w:rPr>
        <w:t>http://www.mnd.gov.tw/publication/subject.aspx?TopicID=415http://www.peacehall.com/news/gb/china/2004/06/200406161040.shtml(2006.08)。</w:t>
      </w:r>
    </w:p>
    <w:p w14:paraId="201A42C8" w14:textId="77777777" w:rsidR="00991D7A" w:rsidRPr="00991D7A" w:rsidRDefault="00991D7A" w:rsidP="00027D54">
      <w:pPr>
        <w:jc w:val="left"/>
        <w:rPr>
          <w:rStyle w:val="a5"/>
        </w:rPr>
      </w:pPr>
      <w:r w:rsidRPr="00991D7A">
        <w:rPr>
          <w:rFonts w:hint="eastAsia"/>
        </w:rPr>
        <w:t>◎藍劄（</w:t>
      </w:r>
      <w:r w:rsidRPr="00991D7A">
        <w:rPr>
          <w:rFonts w:hint="eastAsia"/>
        </w:rPr>
        <w:t>Robert Lanza</w:t>
      </w:r>
      <w:r w:rsidRPr="00991D7A">
        <w:rPr>
          <w:rFonts w:hint="eastAsia"/>
        </w:rPr>
        <w:t>）、羅森塔爾（</w:t>
      </w:r>
      <w:r w:rsidRPr="00991D7A">
        <w:rPr>
          <w:rFonts w:hint="eastAsia"/>
        </w:rPr>
        <w:t>Nadia Rosenthal</w:t>
      </w:r>
      <w:r w:rsidRPr="00991D7A">
        <w:rPr>
          <w:rFonts w:hint="eastAsia"/>
        </w:rPr>
        <w:t>），塗可欣翻譯，幹細胞的挑戰？幹細胞療法帶來的曙光與實際的臨床治療之間，橫亙著哪些障礙？</w:t>
      </w:r>
      <w:r w:rsidRPr="00991D7A">
        <w:rPr>
          <w:rStyle w:val="a5"/>
          <w:rFonts w:hint="eastAsia"/>
        </w:rPr>
        <w:t xml:space="preserve">http://sa.ylib.com/read/readshow.asp?FDocNo=489&amp;DocNo=789 </w:t>
      </w:r>
    </w:p>
    <w:p w14:paraId="2A80A96E" w14:textId="77777777" w:rsidR="00991D7A" w:rsidRPr="00991D7A" w:rsidRDefault="00991D7A" w:rsidP="00027D54">
      <w:pPr>
        <w:jc w:val="left"/>
      </w:pPr>
      <w:r w:rsidRPr="00991D7A">
        <w:rPr>
          <w:rFonts w:hint="eastAsia"/>
        </w:rPr>
        <w:t>◎魏千峰</w:t>
      </w:r>
      <w:r w:rsidRPr="00991D7A">
        <w:rPr>
          <w:rFonts w:hint="eastAsia"/>
        </w:rPr>
        <w:t>(2011)</w:t>
      </w:r>
      <w:r w:rsidRPr="00991D7A">
        <w:rPr>
          <w:rFonts w:hint="eastAsia"/>
        </w:rPr>
        <w:t>，外傭政策該全面檢討了，中國時報，民</w:t>
      </w:r>
      <w:r w:rsidRPr="00991D7A">
        <w:rPr>
          <w:rFonts w:hint="eastAsia"/>
        </w:rPr>
        <w:t>100</w:t>
      </w:r>
      <w:r w:rsidRPr="00991D7A">
        <w:rPr>
          <w:rFonts w:hint="eastAsia"/>
        </w:rPr>
        <w:t>年</w:t>
      </w:r>
      <w:r w:rsidRPr="00991D7A">
        <w:rPr>
          <w:rFonts w:hint="eastAsia"/>
        </w:rPr>
        <w:t>12</w:t>
      </w:r>
      <w:r w:rsidRPr="00991D7A">
        <w:rPr>
          <w:rFonts w:hint="eastAsia"/>
        </w:rPr>
        <w:t>月</w:t>
      </w:r>
      <w:r w:rsidRPr="00991D7A">
        <w:rPr>
          <w:rFonts w:hint="eastAsia"/>
        </w:rPr>
        <w:t>16</w:t>
      </w:r>
      <w:r w:rsidRPr="00991D7A">
        <w:rPr>
          <w:rFonts w:hint="eastAsia"/>
        </w:rPr>
        <w:t>日。</w:t>
      </w:r>
    </w:p>
    <w:p w14:paraId="24F0B256" w14:textId="77777777" w:rsidR="00991D7A" w:rsidRPr="00991D7A" w:rsidRDefault="00991D7A" w:rsidP="00027D54">
      <w:pPr>
        <w:jc w:val="left"/>
        <w:rPr>
          <w:rStyle w:val="a5"/>
        </w:rPr>
      </w:pPr>
      <w:r w:rsidRPr="00991D7A">
        <w:rPr>
          <w:rFonts w:hint="eastAsia"/>
        </w:rPr>
        <w:t>◎關於中華人民共和國履行《不擴散核武器條約》情況的國家報告</w:t>
      </w:r>
      <w:r w:rsidRPr="00991D7A">
        <w:rPr>
          <w:rFonts w:hint="eastAsia"/>
        </w:rPr>
        <w:t>(2005)</w:t>
      </w:r>
      <w:r w:rsidRPr="00991D7A">
        <w:rPr>
          <w:rFonts w:hint="eastAsia"/>
        </w:rPr>
        <w:t>，</w:t>
      </w:r>
      <w:r w:rsidRPr="00991D7A">
        <w:rPr>
          <w:rFonts w:hint="eastAsia"/>
        </w:rPr>
        <w:t>2005/05/18</w:t>
      </w:r>
      <w:r w:rsidRPr="00991D7A">
        <w:rPr>
          <w:rFonts w:hint="eastAsia"/>
        </w:rPr>
        <w:t>，</w:t>
      </w:r>
      <w:hyperlink r:id="rId2934" w:history="1">
        <w:r w:rsidRPr="00991D7A">
          <w:rPr>
            <w:rStyle w:val="a5"/>
          </w:rPr>
          <w:t>http://big5.fmprc.gov.cn:89/gate/big5/www.fmcoprc.gov.hk/chn/szyw/t196102.htm</w:t>
        </w:r>
      </w:hyperlink>
    </w:p>
    <w:p w14:paraId="40F64AC2" w14:textId="77777777" w:rsidR="00991D7A" w:rsidRPr="00991D7A" w:rsidRDefault="00991D7A" w:rsidP="00027D54">
      <w:pPr>
        <w:jc w:val="left"/>
        <w:rPr>
          <w:rStyle w:val="a5"/>
        </w:rPr>
      </w:pPr>
      <w:r w:rsidRPr="00991D7A">
        <w:rPr>
          <w:rFonts w:hint="eastAsia"/>
        </w:rPr>
        <w:t>◎釋昭慧</w:t>
      </w:r>
      <w:r w:rsidRPr="00991D7A">
        <w:rPr>
          <w:rFonts w:hint="eastAsia"/>
        </w:rPr>
        <w:t>(2006)</w:t>
      </w:r>
      <w:r w:rsidRPr="00991D7A">
        <w:rPr>
          <w:rFonts w:hint="eastAsia"/>
        </w:rPr>
        <w:t>，幹細胞研究的佛法反省─以黃禹錫事件為例</w:t>
      </w:r>
      <w:r w:rsidRPr="00991D7A">
        <w:rPr>
          <w:rFonts w:hint="eastAsia"/>
        </w:rPr>
        <w:t>(Buddhistical reflection on the stem cell researches: the Woo Suk Hwang event as an example)</w:t>
      </w:r>
      <w:r w:rsidRPr="00991D7A">
        <w:rPr>
          <w:rFonts w:hint="eastAsia"/>
        </w:rPr>
        <w:t>，弘誓雙月刊，</w:t>
      </w:r>
      <w:r w:rsidRPr="00991D7A">
        <w:rPr>
          <w:rFonts w:hint="eastAsia"/>
        </w:rPr>
        <w:t>79</w:t>
      </w:r>
      <w:r w:rsidRPr="00991D7A">
        <w:rPr>
          <w:rFonts w:hint="eastAsia"/>
        </w:rPr>
        <w:t>期，</w:t>
      </w:r>
      <w:r w:rsidRPr="00991D7A">
        <w:rPr>
          <w:rStyle w:val="a5"/>
          <w:rFonts w:hint="eastAsia"/>
        </w:rPr>
        <w:t>http://www.awker.com/hongshi/mag/79/79-1.htm</w:t>
      </w:r>
    </w:p>
    <w:p w14:paraId="439ED330" w14:textId="77777777" w:rsidR="00991D7A" w:rsidRPr="00991D7A" w:rsidRDefault="00991D7A" w:rsidP="00027D54">
      <w:pPr>
        <w:jc w:val="left"/>
      </w:pPr>
      <w:r w:rsidRPr="00991D7A">
        <w:rPr>
          <w:rFonts w:hint="eastAsia"/>
        </w:rPr>
        <w:t>◎釋惠敏，佛教之生命倫理觀</w:t>
      </w:r>
      <w:r w:rsidRPr="00991D7A">
        <w:rPr>
          <w:rFonts w:hint="eastAsia"/>
        </w:rPr>
        <w:t>(Bioethics)</w:t>
      </w:r>
      <w:r w:rsidR="00D92F56">
        <w:rPr>
          <w:rFonts w:hint="eastAsia"/>
        </w:rPr>
        <w:t>〜</w:t>
      </w:r>
      <w:r w:rsidRPr="00991D7A">
        <w:rPr>
          <w:rFonts w:hint="eastAsia"/>
        </w:rPr>
        <w:t>以「複製人」</w:t>
      </w:r>
      <w:r w:rsidRPr="00991D7A">
        <w:rPr>
          <w:rFonts w:hint="eastAsia"/>
        </w:rPr>
        <w:t>(Human Cloning)</w:t>
      </w:r>
      <w:r w:rsidRPr="00991D7A">
        <w:rPr>
          <w:rFonts w:hint="eastAsia"/>
        </w:rPr>
        <w:t>與「胚胎幹細胞」</w:t>
      </w:r>
      <w:r w:rsidRPr="00991D7A">
        <w:rPr>
          <w:rFonts w:hint="eastAsia"/>
        </w:rPr>
        <w:t>(Embryo stem cell)</w:t>
      </w:r>
      <w:r w:rsidRPr="00991D7A">
        <w:rPr>
          <w:rFonts w:hint="eastAsia"/>
        </w:rPr>
        <w:t>為例－，</w:t>
      </w:r>
      <w:r w:rsidRPr="00991D7A">
        <w:rPr>
          <w:rStyle w:val="a5"/>
          <w:rFonts w:hint="eastAsia"/>
        </w:rPr>
        <w:t>http://ge.tnua.edu.tw/~huimin/paper/29-cloning/29-CLONING.HTM</w:t>
      </w:r>
    </w:p>
    <w:p w14:paraId="3F18A2B1" w14:textId="77777777" w:rsidR="00953151" w:rsidRDefault="00991D7A" w:rsidP="00027D54">
      <w:pPr>
        <w:jc w:val="left"/>
      </w:pPr>
      <w:r w:rsidRPr="00991D7A">
        <w:rPr>
          <w:rFonts w:hint="eastAsia"/>
        </w:rPr>
        <w:t>◎釋慈廣</w:t>
      </w:r>
      <w:r w:rsidRPr="00991D7A">
        <w:rPr>
          <w:rFonts w:hint="eastAsia"/>
        </w:rPr>
        <w:t>(2004)</w:t>
      </w:r>
      <w:r w:rsidRPr="00991D7A">
        <w:rPr>
          <w:rFonts w:hint="eastAsia"/>
        </w:rPr>
        <w:t>，從桃莉羊到複製人的倫理困惑</w:t>
      </w:r>
      <w:r w:rsidR="00D92F56">
        <w:rPr>
          <w:rFonts w:hint="eastAsia"/>
        </w:rPr>
        <w:t>〜</w:t>
      </w:r>
      <w:r w:rsidRPr="00991D7A">
        <w:rPr>
          <w:rFonts w:hint="eastAsia"/>
        </w:rPr>
        <w:t>佛教倫理觀點的省思（上）</w:t>
      </w:r>
      <w:r w:rsidRPr="00991D7A">
        <w:rPr>
          <w:rFonts w:hint="eastAsia"/>
        </w:rPr>
        <w:t>(</w:t>
      </w:r>
      <w:r w:rsidRPr="00991D7A">
        <w:rPr>
          <w:rFonts w:hint="eastAsia"/>
        </w:rPr>
        <w:t>下</w:t>
      </w:r>
      <w:r w:rsidRPr="00991D7A">
        <w:rPr>
          <w:rFonts w:hint="eastAsia"/>
        </w:rPr>
        <w:t>)</w:t>
      </w:r>
      <w:r w:rsidRPr="00991D7A">
        <w:rPr>
          <w:rFonts w:hint="eastAsia"/>
        </w:rPr>
        <w:t>，海潮音第</w:t>
      </w:r>
      <w:r w:rsidRPr="00991D7A">
        <w:rPr>
          <w:rFonts w:hint="eastAsia"/>
        </w:rPr>
        <w:t>85</w:t>
      </w:r>
      <w:r w:rsidRPr="00991D7A">
        <w:rPr>
          <w:rFonts w:hint="eastAsia"/>
        </w:rPr>
        <w:t>卷</w:t>
      </w:r>
      <w:r w:rsidRPr="00991D7A">
        <w:rPr>
          <w:rFonts w:hint="eastAsia"/>
        </w:rPr>
        <w:t>/</w:t>
      </w:r>
      <w:r w:rsidRPr="00991D7A">
        <w:rPr>
          <w:rFonts w:hint="eastAsia"/>
        </w:rPr>
        <w:t>第</w:t>
      </w:r>
      <w:r w:rsidRPr="00991D7A">
        <w:rPr>
          <w:rFonts w:hint="eastAsia"/>
        </w:rPr>
        <w:t>2</w:t>
      </w:r>
      <w:r w:rsidRPr="00991D7A">
        <w:rPr>
          <w:rFonts w:hint="eastAsia"/>
        </w:rPr>
        <w:t>期。</w:t>
      </w:r>
    </w:p>
    <w:p w14:paraId="2F263A5E" w14:textId="77777777" w:rsidR="00203F72" w:rsidRDefault="00203F72" w:rsidP="00D87D91"/>
    <w:p w14:paraId="6899E85C" w14:textId="77777777" w:rsidR="00027D54" w:rsidRPr="00A53581" w:rsidRDefault="00027D54" w:rsidP="00D87D91">
      <w:pPr>
        <w:sectPr w:rsidR="00027D54" w:rsidRPr="00A53581" w:rsidSect="00203F72">
          <w:footerReference w:type="default" r:id="rId2935"/>
          <w:type w:val="oddPage"/>
          <w:pgSz w:w="11907" w:h="16840" w:code="9"/>
          <w:pgMar w:top="1418" w:right="1814" w:bottom="1418" w:left="1814" w:header="680" w:footer="737" w:gutter="0"/>
          <w:cols w:space="425"/>
          <w:docGrid w:linePitch="360"/>
        </w:sect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80"/>
      </w:tblGrid>
      <w:tr w:rsidR="00203F72" w:rsidRPr="00A53581" w14:paraId="195627DD" w14:textId="77777777" w:rsidTr="00027D54">
        <w:tc>
          <w:tcPr>
            <w:tcW w:w="8080" w:type="dxa"/>
            <w:shd w:val="clear" w:color="auto" w:fill="auto"/>
          </w:tcPr>
          <w:p w14:paraId="737404CF" w14:textId="77777777" w:rsidR="00203F72" w:rsidRPr="00027D54" w:rsidRDefault="00203F72" w:rsidP="00027D54">
            <w:pPr>
              <w:pStyle w:val="3"/>
              <w:rPr>
                <w:color w:val="auto"/>
                <w:sz w:val="20"/>
                <w:szCs w:val="20"/>
              </w:rPr>
            </w:pPr>
            <w:r w:rsidRPr="00027D54">
              <w:rPr>
                <w:color w:val="auto"/>
                <w:sz w:val="20"/>
                <w:szCs w:val="20"/>
              </w:rPr>
              <w:t>書名：「憲法逐條釋義與人權保障」</w:t>
            </w:r>
            <w:r w:rsidRPr="00027D54">
              <w:rPr>
                <w:color w:val="auto"/>
                <w:sz w:val="20"/>
                <w:szCs w:val="20"/>
              </w:rPr>
              <w:t xml:space="preserve"> </w:t>
            </w:r>
          </w:p>
          <w:p w14:paraId="44E96EE9" w14:textId="77777777" w:rsidR="00203F72" w:rsidRPr="00027D54" w:rsidRDefault="00203F72" w:rsidP="00027D54">
            <w:pPr>
              <w:pStyle w:val="3"/>
              <w:rPr>
                <w:color w:val="auto"/>
                <w:sz w:val="20"/>
                <w:szCs w:val="20"/>
              </w:rPr>
            </w:pPr>
            <w:r w:rsidRPr="00027D54">
              <w:rPr>
                <w:color w:val="auto"/>
                <w:sz w:val="20"/>
                <w:szCs w:val="20"/>
              </w:rPr>
              <w:t>編</w:t>
            </w:r>
            <w:r w:rsidRPr="00027D54">
              <w:rPr>
                <w:color w:val="auto"/>
                <w:sz w:val="20"/>
                <w:szCs w:val="20"/>
              </w:rPr>
              <w:t xml:space="preserve"> </w:t>
            </w:r>
            <w:r w:rsidRPr="00027D54">
              <w:rPr>
                <w:color w:val="auto"/>
                <w:sz w:val="20"/>
                <w:szCs w:val="20"/>
              </w:rPr>
              <w:t>著</w:t>
            </w:r>
            <w:r w:rsidRPr="00027D54">
              <w:rPr>
                <w:color w:val="auto"/>
                <w:sz w:val="20"/>
                <w:szCs w:val="20"/>
              </w:rPr>
              <w:t xml:space="preserve"> </w:t>
            </w:r>
            <w:r w:rsidRPr="00027D54">
              <w:rPr>
                <w:color w:val="auto"/>
                <w:sz w:val="20"/>
                <w:szCs w:val="20"/>
              </w:rPr>
              <w:t>者：</w:t>
            </w:r>
            <w:r w:rsidRPr="00027D54">
              <w:rPr>
                <w:color w:val="auto"/>
                <w:sz w:val="20"/>
                <w:szCs w:val="20"/>
              </w:rPr>
              <w:t xml:space="preserve"> </w:t>
            </w:r>
            <w:r w:rsidRPr="00027D54">
              <w:rPr>
                <w:color w:val="auto"/>
                <w:sz w:val="20"/>
                <w:szCs w:val="20"/>
              </w:rPr>
              <w:t>柯雨瑞、侯夙芳</w:t>
            </w:r>
            <w:r w:rsidRPr="00027D54">
              <w:rPr>
                <w:rFonts w:hint="eastAsia"/>
                <w:color w:val="auto"/>
                <w:sz w:val="20"/>
                <w:szCs w:val="20"/>
              </w:rPr>
              <w:t xml:space="preserve"> </w:t>
            </w:r>
          </w:p>
          <w:p w14:paraId="4A50C845" w14:textId="77777777" w:rsidR="00203F72" w:rsidRPr="00027D54" w:rsidRDefault="00203F72" w:rsidP="00027D54">
            <w:pPr>
              <w:pStyle w:val="3"/>
              <w:rPr>
                <w:color w:val="auto"/>
                <w:sz w:val="20"/>
                <w:szCs w:val="20"/>
              </w:rPr>
            </w:pPr>
            <w:r w:rsidRPr="00027D54">
              <w:rPr>
                <w:color w:val="auto"/>
                <w:sz w:val="20"/>
                <w:szCs w:val="20"/>
              </w:rPr>
              <w:t>主</w:t>
            </w:r>
            <w:r w:rsidRPr="00027D54">
              <w:rPr>
                <w:color w:val="auto"/>
                <w:sz w:val="20"/>
                <w:szCs w:val="20"/>
              </w:rPr>
              <w:t xml:space="preserve"> </w:t>
            </w:r>
            <w:r w:rsidRPr="00027D54">
              <w:rPr>
                <w:color w:val="auto"/>
                <w:sz w:val="20"/>
                <w:szCs w:val="20"/>
              </w:rPr>
              <w:t>編：柯雨瑞、侯夙芳</w:t>
            </w:r>
          </w:p>
          <w:p w14:paraId="181FE0ED" w14:textId="77777777" w:rsidR="00203F72" w:rsidRPr="00027D54" w:rsidRDefault="00203F72" w:rsidP="00027D54">
            <w:pPr>
              <w:pStyle w:val="3"/>
              <w:rPr>
                <w:color w:val="auto"/>
                <w:sz w:val="20"/>
                <w:szCs w:val="20"/>
              </w:rPr>
            </w:pPr>
            <w:r w:rsidRPr="00027D54">
              <w:rPr>
                <w:color w:val="auto"/>
                <w:sz w:val="20"/>
                <w:szCs w:val="20"/>
              </w:rPr>
              <w:t>發</w:t>
            </w:r>
            <w:r w:rsidRPr="00027D54">
              <w:rPr>
                <w:color w:val="auto"/>
                <w:sz w:val="20"/>
                <w:szCs w:val="20"/>
              </w:rPr>
              <w:t xml:space="preserve"> </w:t>
            </w:r>
            <w:r w:rsidRPr="00027D54">
              <w:rPr>
                <w:color w:val="auto"/>
                <w:sz w:val="20"/>
                <w:szCs w:val="20"/>
              </w:rPr>
              <w:t>行</w:t>
            </w:r>
            <w:r w:rsidRPr="00027D54">
              <w:rPr>
                <w:color w:val="auto"/>
                <w:sz w:val="20"/>
                <w:szCs w:val="20"/>
              </w:rPr>
              <w:t xml:space="preserve"> </w:t>
            </w:r>
            <w:r w:rsidRPr="00027D54">
              <w:rPr>
                <w:color w:val="auto"/>
                <w:sz w:val="20"/>
                <w:szCs w:val="20"/>
              </w:rPr>
              <w:t>人：柯雨瑞、侯夙芳</w:t>
            </w:r>
          </w:p>
          <w:p w14:paraId="1A04A01E" w14:textId="77777777" w:rsidR="00203F72" w:rsidRPr="00027D54" w:rsidRDefault="00203F72" w:rsidP="00027D54">
            <w:pPr>
              <w:pStyle w:val="3"/>
              <w:rPr>
                <w:color w:val="auto"/>
                <w:sz w:val="20"/>
                <w:szCs w:val="20"/>
              </w:rPr>
            </w:pPr>
            <w:r w:rsidRPr="00027D54">
              <w:rPr>
                <w:color w:val="auto"/>
                <w:sz w:val="20"/>
                <w:szCs w:val="20"/>
              </w:rPr>
              <w:t>出版者：柯雨瑞</w:t>
            </w:r>
            <w:r w:rsidRPr="00027D54">
              <w:rPr>
                <w:color w:val="auto"/>
                <w:sz w:val="20"/>
                <w:szCs w:val="20"/>
              </w:rPr>
              <w:t xml:space="preserve"> </w:t>
            </w:r>
          </w:p>
          <w:p w14:paraId="3E7F6555" w14:textId="77777777" w:rsidR="00203F72" w:rsidRPr="00027D54" w:rsidRDefault="00203F72" w:rsidP="00027D54">
            <w:pPr>
              <w:pStyle w:val="3"/>
              <w:rPr>
                <w:color w:val="auto"/>
                <w:sz w:val="20"/>
                <w:szCs w:val="20"/>
              </w:rPr>
            </w:pPr>
            <w:r w:rsidRPr="00027D54">
              <w:rPr>
                <w:color w:val="auto"/>
                <w:sz w:val="20"/>
                <w:szCs w:val="20"/>
              </w:rPr>
              <w:t>地</w:t>
            </w:r>
            <w:r w:rsidRPr="00027D54">
              <w:rPr>
                <w:color w:val="auto"/>
                <w:sz w:val="20"/>
                <w:szCs w:val="20"/>
              </w:rPr>
              <w:t xml:space="preserve"> </w:t>
            </w:r>
            <w:r w:rsidRPr="00027D54">
              <w:rPr>
                <w:color w:val="auto"/>
                <w:sz w:val="20"/>
                <w:szCs w:val="20"/>
              </w:rPr>
              <w:t>址：</w:t>
            </w:r>
            <w:r w:rsidRPr="00027D54">
              <w:rPr>
                <w:color w:val="auto"/>
                <w:sz w:val="20"/>
                <w:szCs w:val="20"/>
              </w:rPr>
              <w:t xml:space="preserve"> 33304</w:t>
            </w:r>
            <w:r w:rsidRPr="00027D54">
              <w:rPr>
                <w:color w:val="auto"/>
                <w:sz w:val="20"/>
                <w:szCs w:val="20"/>
              </w:rPr>
              <w:t>桃園市</w:t>
            </w:r>
            <w:r w:rsidRPr="00027D54">
              <w:rPr>
                <w:color w:val="auto"/>
                <w:sz w:val="20"/>
                <w:szCs w:val="20"/>
              </w:rPr>
              <w:t xml:space="preserve"> </w:t>
            </w:r>
            <w:r w:rsidRPr="00027D54">
              <w:rPr>
                <w:color w:val="auto"/>
                <w:sz w:val="20"/>
                <w:szCs w:val="20"/>
              </w:rPr>
              <w:t>龜山區</w:t>
            </w:r>
            <w:r w:rsidRPr="00027D54">
              <w:rPr>
                <w:color w:val="auto"/>
                <w:sz w:val="20"/>
                <w:szCs w:val="20"/>
              </w:rPr>
              <w:t xml:space="preserve"> </w:t>
            </w:r>
            <w:r w:rsidRPr="00027D54">
              <w:rPr>
                <w:color w:val="auto"/>
                <w:sz w:val="20"/>
                <w:szCs w:val="20"/>
              </w:rPr>
              <w:t>大崗里</w:t>
            </w:r>
            <w:r w:rsidRPr="00027D54">
              <w:rPr>
                <w:color w:val="auto"/>
                <w:sz w:val="20"/>
                <w:szCs w:val="20"/>
              </w:rPr>
              <w:t>6</w:t>
            </w:r>
            <w:r w:rsidRPr="00027D54">
              <w:rPr>
                <w:color w:val="auto"/>
                <w:sz w:val="20"/>
                <w:szCs w:val="20"/>
              </w:rPr>
              <w:t>鄰</w:t>
            </w:r>
            <w:r w:rsidRPr="00027D54">
              <w:rPr>
                <w:color w:val="auto"/>
                <w:sz w:val="20"/>
                <w:szCs w:val="20"/>
              </w:rPr>
              <w:t xml:space="preserve"> </w:t>
            </w:r>
            <w:r w:rsidRPr="00027D54">
              <w:rPr>
                <w:color w:val="auto"/>
                <w:sz w:val="20"/>
                <w:szCs w:val="20"/>
              </w:rPr>
              <w:t>樹人路</w:t>
            </w:r>
            <w:r w:rsidRPr="00027D54">
              <w:rPr>
                <w:color w:val="auto"/>
                <w:sz w:val="20"/>
                <w:szCs w:val="20"/>
              </w:rPr>
              <w:t xml:space="preserve"> 56</w:t>
            </w:r>
            <w:r w:rsidRPr="00027D54">
              <w:rPr>
                <w:color w:val="auto"/>
                <w:sz w:val="20"/>
                <w:szCs w:val="20"/>
              </w:rPr>
              <w:t>號</w:t>
            </w:r>
            <w:r w:rsidRPr="00027D54">
              <w:rPr>
                <w:color w:val="auto"/>
                <w:sz w:val="20"/>
                <w:szCs w:val="20"/>
              </w:rPr>
              <w:t xml:space="preserve"> </w:t>
            </w:r>
            <w:r w:rsidRPr="00027D54">
              <w:rPr>
                <w:color w:val="auto"/>
                <w:sz w:val="20"/>
                <w:szCs w:val="20"/>
              </w:rPr>
              <w:t>中央警察大學</w:t>
            </w:r>
            <w:r w:rsidRPr="00027D54">
              <w:rPr>
                <w:color w:val="auto"/>
                <w:sz w:val="20"/>
                <w:szCs w:val="20"/>
              </w:rPr>
              <w:t xml:space="preserve"> </w:t>
            </w:r>
            <w:r w:rsidRPr="00027D54">
              <w:rPr>
                <w:color w:val="auto"/>
                <w:sz w:val="20"/>
                <w:szCs w:val="20"/>
              </w:rPr>
              <w:t>國境警察學系</w:t>
            </w:r>
            <w:r w:rsidRPr="00027D54">
              <w:rPr>
                <w:color w:val="auto"/>
                <w:sz w:val="20"/>
                <w:szCs w:val="20"/>
              </w:rPr>
              <w:t xml:space="preserve"> </w:t>
            </w:r>
          </w:p>
          <w:p w14:paraId="385F3DD4" w14:textId="77777777" w:rsidR="00203F72" w:rsidRPr="00027D54" w:rsidRDefault="00203F72" w:rsidP="00027D54">
            <w:pPr>
              <w:pStyle w:val="3"/>
              <w:rPr>
                <w:color w:val="auto"/>
                <w:sz w:val="20"/>
                <w:szCs w:val="20"/>
              </w:rPr>
            </w:pPr>
            <w:r w:rsidRPr="00027D54">
              <w:rPr>
                <w:color w:val="auto"/>
                <w:sz w:val="20"/>
                <w:szCs w:val="20"/>
              </w:rPr>
              <w:t>電</w:t>
            </w:r>
            <w:r w:rsidRPr="00027D54">
              <w:rPr>
                <w:color w:val="auto"/>
                <w:sz w:val="20"/>
                <w:szCs w:val="20"/>
              </w:rPr>
              <w:t xml:space="preserve"> </w:t>
            </w:r>
            <w:r w:rsidRPr="00027D54">
              <w:rPr>
                <w:color w:val="auto"/>
                <w:sz w:val="20"/>
                <w:szCs w:val="20"/>
              </w:rPr>
              <w:t>話：</w:t>
            </w:r>
            <w:r w:rsidRPr="00027D54">
              <w:rPr>
                <w:color w:val="auto"/>
                <w:sz w:val="20"/>
                <w:szCs w:val="20"/>
              </w:rPr>
              <w:t xml:space="preserve"> (03)3282321</w:t>
            </w:r>
            <w:r w:rsidRPr="00027D54">
              <w:rPr>
                <w:color w:val="auto"/>
                <w:sz w:val="20"/>
                <w:szCs w:val="20"/>
              </w:rPr>
              <w:t>轉</w:t>
            </w:r>
            <w:r w:rsidRPr="00027D54">
              <w:rPr>
                <w:color w:val="auto"/>
                <w:sz w:val="20"/>
                <w:szCs w:val="20"/>
              </w:rPr>
              <w:t>4718</w:t>
            </w:r>
          </w:p>
          <w:p w14:paraId="38D3C096" w14:textId="77777777" w:rsidR="00203F72" w:rsidRPr="00027D54" w:rsidRDefault="00203F72" w:rsidP="00027D54">
            <w:pPr>
              <w:pStyle w:val="3"/>
              <w:rPr>
                <w:color w:val="auto"/>
                <w:sz w:val="20"/>
                <w:szCs w:val="20"/>
              </w:rPr>
            </w:pPr>
            <w:r w:rsidRPr="00027D54">
              <w:rPr>
                <w:color w:val="auto"/>
                <w:sz w:val="20"/>
                <w:szCs w:val="20"/>
              </w:rPr>
              <w:t>傳</w:t>
            </w:r>
            <w:r w:rsidRPr="00027D54">
              <w:rPr>
                <w:color w:val="auto"/>
                <w:sz w:val="20"/>
                <w:szCs w:val="20"/>
              </w:rPr>
              <w:t xml:space="preserve"> </w:t>
            </w:r>
            <w:r w:rsidRPr="00027D54">
              <w:rPr>
                <w:color w:val="auto"/>
                <w:sz w:val="20"/>
                <w:szCs w:val="20"/>
              </w:rPr>
              <w:t>真：</w:t>
            </w:r>
            <w:r w:rsidRPr="00027D54">
              <w:rPr>
                <w:color w:val="auto"/>
                <w:sz w:val="20"/>
                <w:szCs w:val="20"/>
              </w:rPr>
              <w:t xml:space="preserve"> (03)3282321</w:t>
            </w:r>
            <w:r w:rsidRPr="00027D54">
              <w:rPr>
                <w:color w:val="auto"/>
                <w:sz w:val="20"/>
                <w:szCs w:val="20"/>
              </w:rPr>
              <w:t>轉</w:t>
            </w:r>
            <w:r w:rsidRPr="00027D54">
              <w:rPr>
                <w:color w:val="auto"/>
                <w:sz w:val="20"/>
                <w:szCs w:val="20"/>
              </w:rPr>
              <w:t xml:space="preserve">4303 </w:t>
            </w:r>
          </w:p>
          <w:p w14:paraId="2E901AC7" w14:textId="77777777" w:rsidR="00203F72" w:rsidRPr="00027D54" w:rsidRDefault="00203F72" w:rsidP="00027D54">
            <w:pPr>
              <w:pStyle w:val="3"/>
              <w:rPr>
                <w:color w:val="auto"/>
                <w:sz w:val="20"/>
                <w:szCs w:val="20"/>
              </w:rPr>
            </w:pPr>
            <w:r w:rsidRPr="00027D54">
              <w:rPr>
                <w:color w:val="auto"/>
                <w:sz w:val="20"/>
                <w:szCs w:val="20"/>
              </w:rPr>
              <w:t>電子郵件：</w:t>
            </w:r>
            <w:r w:rsidRPr="00027D54">
              <w:rPr>
                <w:color w:val="auto"/>
                <w:sz w:val="20"/>
                <w:szCs w:val="20"/>
              </w:rPr>
              <w:t xml:space="preserve"> ko@mail.cpu.edu.tw </w:t>
            </w:r>
          </w:p>
          <w:p w14:paraId="6960076D" w14:textId="77777777" w:rsidR="00203F72" w:rsidRPr="00027D54" w:rsidRDefault="00203F72" w:rsidP="00027D54">
            <w:pPr>
              <w:pStyle w:val="3"/>
              <w:rPr>
                <w:color w:val="auto"/>
                <w:sz w:val="20"/>
                <w:szCs w:val="20"/>
              </w:rPr>
            </w:pPr>
            <w:r w:rsidRPr="00027D54">
              <w:rPr>
                <w:color w:val="auto"/>
                <w:sz w:val="20"/>
                <w:szCs w:val="20"/>
              </w:rPr>
              <w:t>網</w:t>
            </w:r>
            <w:r w:rsidRPr="00027D54">
              <w:rPr>
                <w:color w:val="auto"/>
                <w:sz w:val="20"/>
                <w:szCs w:val="20"/>
              </w:rPr>
              <w:t xml:space="preserve"> </w:t>
            </w:r>
            <w:r w:rsidRPr="00027D54">
              <w:rPr>
                <w:color w:val="auto"/>
                <w:sz w:val="20"/>
                <w:szCs w:val="20"/>
              </w:rPr>
              <w:t>址：</w:t>
            </w:r>
            <w:r w:rsidRPr="00027D54">
              <w:rPr>
                <w:color w:val="auto"/>
                <w:sz w:val="20"/>
                <w:szCs w:val="20"/>
              </w:rPr>
              <w:t xml:space="preserve"> </w:t>
            </w:r>
            <w:r w:rsidRPr="00027D54">
              <w:rPr>
                <w:color w:val="auto"/>
                <w:sz w:val="20"/>
                <w:szCs w:val="20"/>
              </w:rPr>
              <w:t>無</w:t>
            </w:r>
          </w:p>
          <w:p w14:paraId="2409D736" w14:textId="77777777" w:rsidR="00203F72" w:rsidRPr="00027D54" w:rsidRDefault="00203F72" w:rsidP="00027D54">
            <w:pPr>
              <w:pStyle w:val="3"/>
              <w:rPr>
                <w:color w:val="auto"/>
                <w:sz w:val="20"/>
                <w:szCs w:val="20"/>
              </w:rPr>
            </w:pPr>
            <w:r w:rsidRPr="00027D54">
              <w:rPr>
                <w:color w:val="auto"/>
                <w:sz w:val="20"/>
                <w:szCs w:val="20"/>
              </w:rPr>
              <w:t>出</w:t>
            </w:r>
            <w:r w:rsidRPr="00027D54">
              <w:rPr>
                <w:color w:val="auto"/>
                <w:sz w:val="20"/>
                <w:szCs w:val="20"/>
              </w:rPr>
              <w:t xml:space="preserve"> </w:t>
            </w:r>
            <w:r w:rsidRPr="00027D54">
              <w:rPr>
                <w:color w:val="auto"/>
                <w:sz w:val="20"/>
                <w:szCs w:val="20"/>
              </w:rPr>
              <w:t>版</w:t>
            </w:r>
            <w:r w:rsidRPr="00027D54">
              <w:rPr>
                <w:color w:val="auto"/>
                <w:sz w:val="20"/>
                <w:szCs w:val="20"/>
              </w:rPr>
              <w:t xml:space="preserve"> </w:t>
            </w:r>
            <w:r w:rsidRPr="00027D54">
              <w:rPr>
                <w:color w:val="auto"/>
                <w:sz w:val="20"/>
                <w:szCs w:val="20"/>
              </w:rPr>
              <w:t>年</w:t>
            </w:r>
            <w:r w:rsidRPr="00027D54">
              <w:rPr>
                <w:color w:val="auto"/>
                <w:sz w:val="20"/>
                <w:szCs w:val="20"/>
              </w:rPr>
              <w:t xml:space="preserve"> </w:t>
            </w:r>
            <w:r w:rsidRPr="00027D54">
              <w:rPr>
                <w:color w:val="auto"/>
                <w:sz w:val="20"/>
                <w:szCs w:val="20"/>
              </w:rPr>
              <w:t>月</w:t>
            </w:r>
            <w:r w:rsidRPr="00027D54">
              <w:rPr>
                <w:color w:val="auto"/>
                <w:sz w:val="20"/>
                <w:szCs w:val="20"/>
              </w:rPr>
              <w:t xml:space="preserve"> </w:t>
            </w:r>
            <w:r w:rsidRPr="00027D54">
              <w:rPr>
                <w:color w:val="auto"/>
                <w:sz w:val="20"/>
                <w:szCs w:val="20"/>
              </w:rPr>
              <w:t>：</w:t>
            </w:r>
            <w:r w:rsidRPr="00027D54">
              <w:rPr>
                <w:color w:val="auto"/>
                <w:sz w:val="20"/>
                <w:szCs w:val="20"/>
              </w:rPr>
              <w:t>2015</w:t>
            </w:r>
            <w:r w:rsidRPr="00027D54">
              <w:rPr>
                <w:color w:val="auto"/>
                <w:sz w:val="20"/>
                <w:szCs w:val="20"/>
              </w:rPr>
              <w:t>年</w:t>
            </w:r>
            <w:r w:rsidRPr="00027D54">
              <w:rPr>
                <w:color w:val="auto"/>
                <w:sz w:val="20"/>
                <w:szCs w:val="20"/>
              </w:rPr>
              <w:t>04</w:t>
            </w:r>
            <w:r w:rsidRPr="00027D54">
              <w:rPr>
                <w:color w:val="auto"/>
                <w:sz w:val="20"/>
                <w:szCs w:val="20"/>
              </w:rPr>
              <w:t>月</w:t>
            </w:r>
            <w:r w:rsidRPr="00027D54">
              <w:rPr>
                <w:color w:val="auto"/>
                <w:sz w:val="20"/>
                <w:szCs w:val="20"/>
              </w:rPr>
              <w:t xml:space="preserve"> </w:t>
            </w:r>
            <w:r w:rsidRPr="00027D54">
              <w:rPr>
                <w:color w:val="auto"/>
                <w:sz w:val="20"/>
                <w:szCs w:val="20"/>
              </w:rPr>
              <w:t>增訂</w:t>
            </w:r>
            <w:r w:rsidRPr="00027D54">
              <w:rPr>
                <w:color w:val="auto"/>
                <w:sz w:val="20"/>
                <w:szCs w:val="20"/>
              </w:rPr>
              <w:t>2</w:t>
            </w:r>
            <w:r w:rsidRPr="00027D54">
              <w:rPr>
                <w:color w:val="auto"/>
                <w:sz w:val="20"/>
                <w:szCs w:val="20"/>
              </w:rPr>
              <w:t>版</w:t>
            </w:r>
          </w:p>
          <w:p w14:paraId="2891FAB3" w14:textId="77777777" w:rsidR="00203F72" w:rsidRPr="00027D54" w:rsidRDefault="00203F72" w:rsidP="00027D54">
            <w:pPr>
              <w:pStyle w:val="3"/>
              <w:rPr>
                <w:color w:val="auto"/>
                <w:sz w:val="20"/>
                <w:szCs w:val="20"/>
              </w:rPr>
            </w:pPr>
            <w:r w:rsidRPr="00027D54">
              <w:rPr>
                <w:color w:val="auto"/>
                <w:sz w:val="20"/>
                <w:szCs w:val="20"/>
              </w:rPr>
              <w:t>定</w:t>
            </w:r>
            <w:r w:rsidRPr="00027D54">
              <w:rPr>
                <w:color w:val="auto"/>
                <w:sz w:val="20"/>
                <w:szCs w:val="20"/>
              </w:rPr>
              <w:t xml:space="preserve"> </w:t>
            </w:r>
            <w:r w:rsidRPr="00027D54">
              <w:rPr>
                <w:color w:val="auto"/>
                <w:sz w:val="20"/>
                <w:szCs w:val="20"/>
              </w:rPr>
              <w:t>價：</w:t>
            </w:r>
            <w:r w:rsidRPr="00027D54">
              <w:rPr>
                <w:color w:val="auto"/>
                <w:sz w:val="20"/>
                <w:szCs w:val="20"/>
              </w:rPr>
              <w:t>1000</w:t>
            </w:r>
            <w:r w:rsidRPr="00027D54">
              <w:rPr>
                <w:color w:val="auto"/>
                <w:sz w:val="20"/>
                <w:szCs w:val="20"/>
              </w:rPr>
              <w:t>元</w:t>
            </w:r>
          </w:p>
          <w:p w14:paraId="034B74D4" w14:textId="77777777" w:rsidR="00203F72" w:rsidRPr="00027D54" w:rsidRDefault="00203F72" w:rsidP="00027D54">
            <w:pPr>
              <w:pStyle w:val="3"/>
              <w:rPr>
                <w:b/>
                <w:color w:val="auto"/>
                <w:sz w:val="20"/>
                <w:szCs w:val="20"/>
                <w:lang w:val="de-DE"/>
              </w:rPr>
            </w:pPr>
            <w:r w:rsidRPr="00027D54">
              <w:rPr>
                <w:b/>
                <w:color w:val="auto"/>
                <w:sz w:val="20"/>
                <w:szCs w:val="20"/>
                <w:lang w:val="de-DE"/>
              </w:rPr>
              <w:t xml:space="preserve">ISBN (PDF) </w:t>
            </w:r>
            <w:r w:rsidRPr="00027D54">
              <w:rPr>
                <w:b/>
                <w:color w:val="auto"/>
                <w:sz w:val="20"/>
                <w:szCs w:val="20"/>
                <w:lang w:val="de-DE"/>
              </w:rPr>
              <w:t>：</w:t>
            </w:r>
            <w:r w:rsidRPr="00027D54">
              <w:rPr>
                <w:b/>
                <w:color w:val="auto"/>
                <w:sz w:val="20"/>
                <w:szCs w:val="20"/>
                <w:lang w:val="de-DE"/>
              </w:rPr>
              <w:t xml:space="preserve"> </w:t>
            </w:r>
            <w:r w:rsidRPr="00027D54">
              <w:rPr>
                <w:b/>
                <w:color w:val="auto"/>
                <w:sz w:val="20"/>
                <w:szCs w:val="20"/>
              </w:rPr>
              <w:t>9789574322916</w:t>
            </w:r>
          </w:p>
          <w:p w14:paraId="00CDADA7" w14:textId="77777777" w:rsidR="00953151" w:rsidRPr="00027D54" w:rsidRDefault="00203F72" w:rsidP="00027D54">
            <w:pPr>
              <w:pStyle w:val="3"/>
              <w:rPr>
                <w:color w:val="auto"/>
                <w:sz w:val="20"/>
                <w:szCs w:val="20"/>
              </w:rPr>
            </w:pPr>
            <w:r w:rsidRPr="00027D54">
              <w:rPr>
                <w:color w:val="auto"/>
                <w:sz w:val="20"/>
                <w:szCs w:val="20"/>
              </w:rPr>
              <w:t>展售處：</w:t>
            </w:r>
            <w:r w:rsidRPr="00027D54">
              <w:rPr>
                <w:color w:val="auto"/>
                <w:sz w:val="20"/>
                <w:szCs w:val="20"/>
              </w:rPr>
              <w:t>33304</w:t>
            </w:r>
            <w:r w:rsidRPr="00027D54">
              <w:rPr>
                <w:color w:val="auto"/>
                <w:sz w:val="20"/>
                <w:szCs w:val="20"/>
              </w:rPr>
              <w:t>桃園市</w:t>
            </w:r>
            <w:r w:rsidRPr="00027D54">
              <w:rPr>
                <w:color w:val="auto"/>
                <w:sz w:val="20"/>
                <w:szCs w:val="20"/>
              </w:rPr>
              <w:t xml:space="preserve"> </w:t>
            </w:r>
            <w:r w:rsidRPr="00027D54">
              <w:rPr>
                <w:color w:val="auto"/>
                <w:sz w:val="20"/>
                <w:szCs w:val="20"/>
              </w:rPr>
              <w:t>龜山區</w:t>
            </w:r>
            <w:r w:rsidRPr="00027D54">
              <w:rPr>
                <w:color w:val="auto"/>
                <w:sz w:val="20"/>
                <w:szCs w:val="20"/>
              </w:rPr>
              <w:t xml:space="preserve"> </w:t>
            </w:r>
            <w:r w:rsidRPr="00027D54">
              <w:rPr>
                <w:color w:val="auto"/>
                <w:sz w:val="20"/>
                <w:szCs w:val="20"/>
              </w:rPr>
              <w:t>大崗里</w:t>
            </w:r>
            <w:r w:rsidRPr="00027D54">
              <w:rPr>
                <w:color w:val="auto"/>
                <w:sz w:val="20"/>
                <w:szCs w:val="20"/>
              </w:rPr>
              <w:t>6</w:t>
            </w:r>
            <w:r w:rsidRPr="00027D54">
              <w:rPr>
                <w:color w:val="auto"/>
                <w:sz w:val="20"/>
                <w:szCs w:val="20"/>
              </w:rPr>
              <w:t>鄰</w:t>
            </w:r>
            <w:r w:rsidRPr="00027D54">
              <w:rPr>
                <w:color w:val="auto"/>
                <w:sz w:val="20"/>
                <w:szCs w:val="20"/>
              </w:rPr>
              <w:t xml:space="preserve"> </w:t>
            </w:r>
            <w:r w:rsidRPr="00027D54">
              <w:rPr>
                <w:color w:val="auto"/>
                <w:sz w:val="20"/>
                <w:szCs w:val="20"/>
              </w:rPr>
              <w:t>樹人路</w:t>
            </w:r>
            <w:r w:rsidRPr="00027D54">
              <w:rPr>
                <w:color w:val="auto"/>
                <w:sz w:val="20"/>
                <w:szCs w:val="20"/>
              </w:rPr>
              <w:t xml:space="preserve"> 56</w:t>
            </w:r>
            <w:r w:rsidRPr="00027D54">
              <w:rPr>
                <w:color w:val="auto"/>
                <w:sz w:val="20"/>
                <w:szCs w:val="20"/>
              </w:rPr>
              <w:t>號</w:t>
            </w:r>
            <w:r w:rsidRPr="00027D54">
              <w:rPr>
                <w:color w:val="auto"/>
                <w:sz w:val="20"/>
                <w:szCs w:val="20"/>
              </w:rPr>
              <w:t xml:space="preserve"> </w:t>
            </w:r>
            <w:r w:rsidRPr="00027D54">
              <w:rPr>
                <w:color w:val="auto"/>
                <w:sz w:val="20"/>
                <w:szCs w:val="20"/>
              </w:rPr>
              <w:t>中央警察大學</w:t>
            </w:r>
            <w:r w:rsidRPr="00027D54">
              <w:rPr>
                <w:color w:val="auto"/>
                <w:sz w:val="20"/>
                <w:szCs w:val="20"/>
              </w:rPr>
              <w:t xml:space="preserve"> </w:t>
            </w:r>
            <w:r w:rsidRPr="00027D54">
              <w:rPr>
                <w:color w:val="auto"/>
                <w:sz w:val="20"/>
                <w:szCs w:val="20"/>
              </w:rPr>
              <w:t>國境警察學系</w:t>
            </w:r>
            <w:r w:rsidRPr="00027D54">
              <w:rPr>
                <w:color w:val="auto"/>
                <w:sz w:val="20"/>
                <w:szCs w:val="20"/>
              </w:rPr>
              <w:t xml:space="preserve"> </w:t>
            </w:r>
            <w:r w:rsidRPr="00027D54">
              <w:rPr>
                <w:color w:val="auto"/>
                <w:sz w:val="20"/>
                <w:szCs w:val="20"/>
              </w:rPr>
              <w:t>研究大樓</w:t>
            </w:r>
            <w:r w:rsidRPr="00027D54">
              <w:rPr>
                <w:color w:val="auto"/>
                <w:sz w:val="20"/>
                <w:szCs w:val="20"/>
              </w:rPr>
              <w:t xml:space="preserve"> 318</w:t>
            </w:r>
            <w:r w:rsidRPr="00027D54">
              <w:rPr>
                <w:color w:val="auto"/>
                <w:sz w:val="20"/>
                <w:szCs w:val="20"/>
              </w:rPr>
              <w:t>研究室</w:t>
            </w:r>
            <w:r w:rsidRPr="00027D54">
              <w:rPr>
                <w:color w:val="auto"/>
                <w:sz w:val="20"/>
                <w:szCs w:val="20"/>
              </w:rPr>
              <w:t xml:space="preserve"> (</w:t>
            </w:r>
            <w:r w:rsidRPr="00027D54">
              <w:rPr>
                <w:color w:val="auto"/>
                <w:sz w:val="20"/>
                <w:szCs w:val="20"/>
              </w:rPr>
              <w:t>作者自售</w:t>
            </w:r>
            <w:r w:rsidRPr="00027D54">
              <w:rPr>
                <w:color w:val="auto"/>
                <w:sz w:val="20"/>
                <w:szCs w:val="20"/>
              </w:rPr>
              <w:t>)</w:t>
            </w:r>
          </w:p>
          <w:p w14:paraId="6D8BA1D4" w14:textId="77777777" w:rsidR="00203F72" w:rsidRPr="00027D54" w:rsidRDefault="00203F72" w:rsidP="00027D54">
            <w:pPr>
              <w:pStyle w:val="3"/>
              <w:rPr>
                <w:color w:val="auto"/>
                <w:sz w:val="20"/>
                <w:szCs w:val="20"/>
              </w:rPr>
            </w:pPr>
            <w:r w:rsidRPr="00027D54">
              <w:rPr>
                <w:color w:val="auto"/>
                <w:sz w:val="20"/>
                <w:szCs w:val="20"/>
              </w:rPr>
              <w:t>電子書設計製作：柯雨瑞</w:t>
            </w:r>
          </w:p>
          <w:p w14:paraId="20CC41C4" w14:textId="77777777" w:rsidR="00203F72" w:rsidRPr="00027D54" w:rsidRDefault="00203F72" w:rsidP="00027D54">
            <w:pPr>
              <w:pStyle w:val="3"/>
              <w:rPr>
                <w:color w:val="auto"/>
                <w:sz w:val="20"/>
                <w:szCs w:val="20"/>
              </w:rPr>
            </w:pPr>
            <w:r w:rsidRPr="00027D54">
              <w:rPr>
                <w:color w:val="auto"/>
                <w:sz w:val="20"/>
                <w:szCs w:val="20"/>
              </w:rPr>
              <w:t>設計製作：柯雨瑞</w:t>
            </w:r>
          </w:p>
          <w:p w14:paraId="5703B752" w14:textId="77777777" w:rsidR="00203F72" w:rsidRPr="00027D54" w:rsidRDefault="00203F72" w:rsidP="00027D54">
            <w:pPr>
              <w:pStyle w:val="3"/>
              <w:rPr>
                <w:color w:val="auto"/>
                <w:sz w:val="20"/>
                <w:szCs w:val="20"/>
              </w:rPr>
            </w:pPr>
            <w:r w:rsidRPr="00027D54">
              <w:rPr>
                <w:color w:val="auto"/>
                <w:sz w:val="20"/>
                <w:szCs w:val="20"/>
              </w:rPr>
              <w:t>地</w:t>
            </w:r>
            <w:r w:rsidRPr="00027D54">
              <w:rPr>
                <w:color w:val="auto"/>
                <w:sz w:val="20"/>
                <w:szCs w:val="20"/>
              </w:rPr>
              <w:t xml:space="preserve"> </w:t>
            </w:r>
            <w:r w:rsidRPr="00027D54">
              <w:rPr>
                <w:color w:val="auto"/>
                <w:sz w:val="20"/>
                <w:szCs w:val="20"/>
              </w:rPr>
              <w:t>址：</w:t>
            </w:r>
            <w:r w:rsidRPr="00027D54">
              <w:rPr>
                <w:color w:val="auto"/>
                <w:sz w:val="20"/>
                <w:szCs w:val="20"/>
              </w:rPr>
              <w:t xml:space="preserve"> 33304</w:t>
            </w:r>
            <w:r w:rsidRPr="00027D54">
              <w:rPr>
                <w:color w:val="auto"/>
                <w:sz w:val="20"/>
                <w:szCs w:val="20"/>
              </w:rPr>
              <w:t>桃園市</w:t>
            </w:r>
            <w:r w:rsidRPr="00027D54">
              <w:rPr>
                <w:color w:val="auto"/>
                <w:sz w:val="20"/>
                <w:szCs w:val="20"/>
              </w:rPr>
              <w:t xml:space="preserve"> </w:t>
            </w:r>
            <w:r w:rsidRPr="00027D54">
              <w:rPr>
                <w:color w:val="auto"/>
                <w:sz w:val="20"/>
                <w:szCs w:val="20"/>
              </w:rPr>
              <w:t>龜山區</w:t>
            </w:r>
            <w:r w:rsidRPr="00027D54">
              <w:rPr>
                <w:color w:val="auto"/>
                <w:sz w:val="20"/>
                <w:szCs w:val="20"/>
              </w:rPr>
              <w:t xml:space="preserve"> </w:t>
            </w:r>
            <w:r w:rsidRPr="00027D54">
              <w:rPr>
                <w:color w:val="auto"/>
                <w:sz w:val="20"/>
                <w:szCs w:val="20"/>
              </w:rPr>
              <w:t>大崗里</w:t>
            </w:r>
            <w:r w:rsidRPr="00027D54">
              <w:rPr>
                <w:color w:val="auto"/>
                <w:sz w:val="20"/>
                <w:szCs w:val="20"/>
              </w:rPr>
              <w:t>6</w:t>
            </w:r>
            <w:r w:rsidRPr="00027D54">
              <w:rPr>
                <w:color w:val="auto"/>
                <w:sz w:val="20"/>
                <w:szCs w:val="20"/>
              </w:rPr>
              <w:t>鄰</w:t>
            </w:r>
            <w:r w:rsidRPr="00027D54">
              <w:rPr>
                <w:color w:val="auto"/>
                <w:sz w:val="20"/>
                <w:szCs w:val="20"/>
              </w:rPr>
              <w:t xml:space="preserve"> </w:t>
            </w:r>
            <w:r w:rsidRPr="00027D54">
              <w:rPr>
                <w:color w:val="auto"/>
                <w:sz w:val="20"/>
                <w:szCs w:val="20"/>
              </w:rPr>
              <w:t>樹人路</w:t>
            </w:r>
            <w:r w:rsidRPr="00027D54">
              <w:rPr>
                <w:color w:val="auto"/>
                <w:sz w:val="20"/>
                <w:szCs w:val="20"/>
              </w:rPr>
              <w:t>56</w:t>
            </w:r>
            <w:r w:rsidRPr="00027D54">
              <w:rPr>
                <w:color w:val="auto"/>
                <w:sz w:val="20"/>
                <w:szCs w:val="20"/>
              </w:rPr>
              <w:t>號</w:t>
            </w:r>
            <w:r w:rsidRPr="00027D54">
              <w:rPr>
                <w:color w:val="auto"/>
                <w:sz w:val="20"/>
                <w:szCs w:val="20"/>
              </w:rPr>
              <w:t xml:space="preserve"> </w:t>
            </w:r>
            <w:r w:rsidRPr="00027D54">
              <w:rPr>
                <w:color w:val="auto"/>
                <w:sz w:val="20"/>
                <w:szCs w:val="20"/>
              </w:rPr>
              <w:t>中央警察大學</w:t>
            </w:r>
            <w:r w:rsidRPr="00027D54">
              <w:rPr>
                <w:color w:val="auto"/>
                <w:sz w:val="20"/>
                <w:szCs w:val="20"/>
              </w:rPr>
              <w:t xml:space="preserve"> </w:t>
            </w:r>
            <w:r w:rsidRPr="00027D54">
              <w:rPr>
                <w:color w:val="auto"/>
                <w:sz w:val="20"/>
                <w:szCs w:val="20"/>
              </w:rPr>
              <w:t>國境警察學系研究大樓</w:t>
            </w:r>
            <w:r w:rsidRPr="00027D54">
              <w:rPr>
                <w:color w:val="auto"/>
                <w:sz w:val="20"/>
                <w:szCs w:val="20"/>
              </w:rPr>
              <w:t xml:space="preserve"> 318</w:t>
            </w:r>
            <w:r w:rsidRPr="00027D54">
              <w:rPr>
                <w:color w:val="auto"/>
                <w:sz w:val="20"/>
                <w:szCs w:val="20"/>
              </w:rPr>
              <w:t>研究室</w:t>
            </w:r>
          </w:p>
          <w:p w14:paraId="449CAAB1" w14:textId="77777777" w:rsidR="00203F72" w:rsidRPr="00027D54" w:rsidRDefault="00203F72" w:rsidP="00027D54">
            <w:pPr>
              <w:pStyle w:val="3"/>
              <w:rPr>
                <w:color w:val="auto"/>
                <w:sz w:val="20"/>
                <w:szCs w:val="20"/>
              </w:rPr>
            </w:pPr>
            <w:r w:rsidRPr="00027D54">
              <w:rPr>
                <w:color w:val="auto"/>
                <w:sz w:val="20"/>
                <w:szCs w:val="20"/>
              </w:rPr>
              <w:t>電</w:t>
            </w:r>
            <w:r w:rsidRPr="00027D54">
              <w:rPr>
                <w:color w:val="auto"/>
                <w:sz w:val="20"/>
                <w:szCs w:val="20"/>
              </w:rPr>
              <w:t xml:space="preserve"> </w:t>
            </w:r>
            <w:r w:rsidRPr="00027D54">
              <w:rPr>
                <w:color w:val="auto"/>
                <w:sz w:val="20"/>
                <w:szCs w:val="20"/>
              </w:rPr>
              <w:t>話：</w:t>
            </w:r>
            <w:r w:rsidRPr="00027D54">
              <w:rPr>
                <w:color w:val="auto"/>
                <w:sz w:val="20"/>
                <w:szCs w:val="20"/>
              </w:rPr>
              <w:t xml:space="preserve"> (03)3282321</w:t>
            </w:r>
            <w:r w:rsidRPr="00027D54">
              <w:rPr>
                <w:color w:val="auto"/>
                <w:sz w:val="20"/>
                <w:szCs w:val="20"/>
              </w:rPr>
              <w:t>轉</w:t>
            </w:r>
            <w:r w:rsidRPr="00027D54">
              <w:rPr>
                <w:color w:val="auto"/>
                <w:sz w:val="20"/>
                <w:szCs w:val="20"/>
              </w:rPr>
              <w:t>4718</w:t>
            </w:r>
          </w:p>
          <w:p w14:paraId="494D2357" w14:textId="77777777" w:rsidR="00203F72" w:rsidRPr="00027D54" w:rsidRDefault="00203F72" w:rsidP="00027D54">
            <w:pPr>
              <w:pStyle w:val="3"/>
              <w:rPr>
                <w:color w:val="auto"/>
                <w:sz w:val="20"/>
                <w:szCs w:val="20"/>
              </w:rPr>
            </w:pPr>
            <w:r w:rsidRPr="00027D54">
              <w:rPr>
                <w:color w:val="auto"/>
                <w:sz w:val="20"/>
                <w:szCs w:val="20"/>
              </w:rPr>
              <w:t>電子郵件：</w:t>
            </w:r>
            <w:r w:rsidRPr="00027D54">
              <w:rPr>
                <w:color w:val="auto"/>
                <w:sz w:val="20"/>
                <w:szCs w:val="20"/>
              </w:rPr>
              <w:t>ko@mail.cpu.edu.tw</w:t>
            </w:r>
          </w:p>
          <w:p w14:paraId="2F518EAF" w14:textId="77777777" w:rsidR="00203F72" w:rsidRPr="00027D54" w:rsidRDefault="00203F72" w:rsidP="00027D54">
            <w:pPr>
              <w:pStyle w:val="3"/>
              <w:rPr>
                <w:color w:val="auto"/>
                <w:sz w:val="20"/>
                <w:szCs w:val="20"/>
              </w:rPr>
            </w:pPr>
            <w:r w:rsidRPr="00027D54">
              <w:rPr>
                <w:color w:val="auto"/>
                <w:sz w:val="20"/>
                <w:szCs w:val="20"/>
              </w:rPr>
              <w:t>網</w:t>
            </w:r>
            <w:r w:rsidRPr="00027D54">
              <w:rPr>
                <w:color w:val="auto"/>
                <w:sz w:val="20"/>
                <w:szCs w:val="20"/>
              </w:rPr>
              <w:t xml:space="preserve"> </w:t>
            </w:r>
            <w:r w:rsidRPr="00027D54">
              <w:rPr>
                <w:color w:val="auto"/>
                <w:sz w:val="20"/>
                <w:szCs w:val="20"/>
              </w:rPr>
              <w:t>址：</w:t>
            </w:r>
            <w:r w:rsidRPr="00027D54">
              <w:rPr>
                <w:color w:val="auto"/>
                <w:sz w:val="20"/>
                <w:szCs w:val="20"/>
              </w:rPr>
              <w:t xml:space="preserve"> </w:t>
            </w:r>
            <w:r w:rsidRPr="00027D54">
              <w:rPr>
                <w:color w:val="auto"/>
                <w:sz w:val="20"/>
                <w:szCs w:val="20"/>
              </w:rPr>
              <w:t>無</w:t>
            </w:r>
          </w:p>
          <w:p w14:paraId="66DB8D63" w14:textId="77777777" w:rsidR="00203F72" w:rsidRPr="00027D54" w:rsidRDefault="00203F72" w:rsidP="00027D54">
            <w:pPr>
              <w:pStyle w:val="3"/>
              <w:rPr>
                <w:color w:val="auto"/>
                <w:sz w:val="20"/>
                <w:szCs w:val="20"/>
              </w:rPr>
            </w:pPr>
            <w:r w:rsidRPr="00027D54">
              <w:rPr>
                <w:color w:val="auto"/>
                <w:sz w:val="20"/>
                <w:szCs w:val="20"/>
              </w:rPr>
              <w:t>銷售平臺：</w:t>
            </w:r>
            <w:r w:rsidRPr="00027D54">
              <w:rPr>
                <w:color w:val="auto"/>
                <w:sz w:val="20"/>
                <w:szCs w:val="20"/>
              </w:rPr>
              <w:t xml:space="preserve">33304 </w:t>
            </w:r>
            <w:r w:rsidRPr="00027D54">
              <w:rPr>
                <w:color w:val="auto"/>
                <w:sz w:val="20"/>
                <w:szCs w:val="20"/>
              </w:rPr>
              <w:t>桃園縣龜山鄉大崗村樹人路</w:t>
            </w:r>
            <w:r w:rsidRPr="00027D54">
              <w:rPr>
                <w:color w:val="auto"/>
                <w:sz w:val="20"/>
                <w:szCs w:val="20"/>
              </w:rPr>
              <w:t>56</w:t>
            </w:r>
            <w:r w:rsidRPr="00027D54">
              <w:rPr>
                <w:color w:val="auto"/>
                <w:sz w:val="20"/>
                <w:szCs w:val="20"/>
              </w:rPr>
              <w:t>號</w:t>
            </w:r>
            <w:r w:rsidRPr="00027D54">
              <w:rPr>
                <w:color w:val="auto"/>
                <w:sz w:val="20"/>
                <w:szCs w:val="20"/>
              </w:rPr>
              <w:t xml:space="preserve"> </w:t>
            </w:r>
            <w:r w:rsidRPr="00027D54">
              <w:rPr>
                <w:color w:val="auto"/>
                <w:sz w:val="20"/>
                <w:szCs w:val="20"/>
              </w:rPr>
              <w:t>中央警察大學</w:t>
            </w:r>
            <w:r w:rsidRPr="00027D54">
              <w:rPr>
                <w:color w:val="auto"/>
                <w:sz w:val="20"/>
                <w:szCs w:val="20"/>
              </w:rPr>
              <w:t xml:space="preserve"> </w:t>
            </w:r>
            <w:r w:rsidRPr="00027D54">
              <w:rPr>
                <w:color w:val="auto"/>
                <w:sz w:val="20"/>
                <w:szCs w:val="20"/>
              </w:rPr>
              <w:t>研究大樓</w:t>
            </w:r>
            <w:r w:rsidRPr="00027D54">
              <w:rPr>
                <w:color w:val="auto"/>
                <w:sz w:val="20"/>
                <w:szCs w:val="20"/>
              </w:rPr>
              <w:t xml:space="preserve"> 318</w:t>
            </w:r>
            <w:r w:rsidRPr="00027D54">
              <w:rPr>
                <w:color w:val="auto"/>
                <w:sz w:val="20"/>
                <w:szCs w:val="20"/>
              </w:rPr>
              <w:t>研究室</w:t>
            </w:r>
            <w:r w:rsidRPr="00027D54">
              <w:rPr>
                <w:color w:val="auto"/>
                <w:sz w:val="20"/>
                <w:szCs w:val="20"/>
              </w:rPr>
              <w:t xml:space="preserve"> (</w:t>
            </w:r>
            <w:r w:rsidRPr="00027D54">
              <w:rPr>
                <w:color w:val="auto"/>
                <w:sz w:val="20"/>
                <w:szCs w:val="20"/>
              </w:rPr>
              <w:t>作者自售</w:t>
            </w:r>
            <w:r w:rsidRPr="00027D54">
              <w:rPr>
                <w:color w:val="auto"/>
                <w:sz w:val="20"/>
                <w:szCs w:val="20"/>
              </w:rPr>
              <w:t xml:space="preserve">) </w:t>
            </w:r>
          </w:p>
          <w:p w14:paraId="0FCC098D" w14:textId="77777777" w:rsidR="00203F72" w:rsidRPr="00027D54" w:rsidRDefault="00203F72" w:rsidP="00027D54">
            <w:pPr>
              <w:pStyle w:val="3"/>
              <w:rPr>
                <w:color w:val="auto"/>
                <w:sz w:val="20"/>
                <w:szCs w:val="20"/>
              </w:rPr>
            </w:pPr>
            <w:r w:rsidRPr="00027D54">
              <w:rPr>
                <w:color w:val="auto"/>
                <w:sz w:val="20"/>
                <w:szCs w:val="20"/>
              </w:rPr>
              <w:t>電子書播放資訊：</w:t>
            </w:r>
            <w:r w:rsidRPr="00027D54">
              <w:rPr>
                <w:color w:val="auto"/>
                <w:sz w:val="20"/>
                <w:szCs w:val="20"/>
              </w:rPr>
              <w:t xml:space="preserve"> </w:t>
            </w:r>
          </w:p>
          <w:p w14:paraId="21971FFF" w14:textId="77777777" w:rsidR="00203F72" w:rsidRPr="00027D54" w:rsidRDefault="00203F72" w:rsidP="00027D54">
            <w:pPr>
              <w:pStyle w:val="3"/>
              <w:rPr>
                <w:color w:val="auto"/>
                <w:sz w:val="20"/>
                <w:szCs w:val="20"/>
              </w:rPr>
            </w:pPr>
            <w:r w:rsidRPr="00027D54">
              <w:rPr>
                <w:color w:val="auto"/>
                <w:sz w:val="20"/>
                <w:szCs w:val="20"/>
              </w:rPr>
              <w:t>作業系統：</w:t>
            </w:r>
            <w:r w:rsidRPr="00027D54">
              <w:rPr>
                <w:color w:val="auto"/>
                <w:sz w:val="20"/>
                <w:szCs w:val="20"/>
              </w:rPr>
              <w:t xml:space="preserve"> Window </w:t>
            </w:r>
            <w:r w:rsidRPr="00027D54">
              <w:rPr>
                <w:color w:val="auto"/>
                <w:sz w:val="20"/>
                <w:szCs w:val="20"/>
              </w:rPr>
              <w:t>系統</w:t>
            </w:r>
          </w:p>
          <w:p w14:paraId="3DB32ED6" w14:textId="77777777" w:rsidR="00203F72" w:rsidRPr="00027D54" w:rsidRDefault="00203F72" w:rsidP="00027D54">
            <w:pPr>
              <w:pStyle w:val="3"/>
              <w:rPr>
                <w:color w:val="auto"/>
                <w:sz w:val="20"/>
                <w:szCs w:val="20"/>
              </w:rPr>
            </w:pPr>
            <w:r w:rsidRPr="00027D54">
              <w:rPr>
                <w:color w:val="auto"/>
                <w:sz w:val="20"/>
                <w:szCs w:val="20"/>
              </w:rPr>
              <w:t>檔案格式：</w:t>
            </w:r>
            <w:r w:rsidRPr="00027D54">
              <w:rPr>
                <w:color w:val="auto"/>
                <w:sz w:val="20"/>
                <w:szCs w:val="20"/>
              </w:rPr>
              <w:t xml:space="preserve"> PDF </w:t>
            </w:r>
          </w:p>
          <w:p w14:paraId="1E18A03C" w14:textId="77777777" w:rsidR="00203F72" w:rsidRPr="00027D54" w:rsidRDefault="00203F72" w:rsidP="00027D54">
            <w:pPr>
              <w:pStyle w:val="3"/>
              <w:rPr>
                <w:color w:val="auto"/>
                <w:sz w:val="20"/>
                <w:szCs w:val="20"/>
              </w:rPr>
            </w:pPr>
            <w:r w:rsidRPr="00027D54">
              <w:rPr>
                <w:color w:val="auto"/>
                <w:sz w:val="20"/>
                <w:szCs w:val="20"/>
              </w:rPr>
              <w:t>檔案內容：</w:t>
            </w:r>
            <w:r w:rsidRPr="00027D54">
              <w:rPr>
                <w:color w:val="auto"/>
                <w:sz w:val="20"/>
                <w:szCs w:val="20"/>
              </w:rPr>
              <w:t xml:space="preserve"> PDF </w:t>
            </w:r>
          </w:p>
          <w:p w14:paraId="31C7E521" w14:textId="77777777" w:rsidR="00203F72" w:rsidRPr="00027D54" w:rsidRDefault="00203F72" w:rsidP="00027D54">
            <w:pPr>
              <w:pStyle w:val="3"/>
              <w:rPr>
                <w:color w:val="auto"/>
                <w:sz w:val="20"/>
                <w:szCs w:val="20"/>
              </w:rPr>
            </w:pPr>
            <w:r w:rsidRPr="00027D54">
              <w:rPr>
                <w:color w:val="auto"/>
                <w:sz w:val="20"/>
                <w:szCs w:val="20"/>
              </w:rPr>
              <w:t>播放軟體：</w:t>
            </w:r>
            <w:r w:rsidRPr="00027D54">
              <w:rPr>
                <w:color w:val="auto"/>
                <w:sz w:val="20"/>
                <w:szCs w:val="20"/>
              </w:rPr>
              <w:t>Adobe Reader</w:t>
            </w:r>
          </w:p>
          <w:p w14:paraId="5CADF9D4" w14:textId="77777777" w:rsidR="00203F72" w:rsidRPr="00A53581" w:rsidRDefault="00203F72" w:rsidP="00027D54">
            <w:pPr>
              <w:pStyle w:val="3"/>
            </w:pPr>
            <w:r w:rsidRPr="00027D54">
              <w:rPr>
                <w:color w:val="auto"/>
                <w:sz w:val="20"/>
                <w:szCs w:val="20"/>
              </w:rPr>
              <w:t>版權所有</w:t>
            </w:r>
          </w:p>
        </w:tc>
      </w:tr>
    </w:tbl>
    <w:p w14:paraId="194407B4" w14:textId="77777777" w:rsidR="00953151" w:rsidRPr="00302768" w:rsidRDefault="00953151" w:rsidP="00D87D91"/>
    <w:p w14:paraId="61E843A1" w14:textId="77777777" w:rsidR="0045425A" w:rsidRDefault="0045425A" w:rsidP="00D87D91"/>
    <w:p w14:paraId="26775D05" w14:textId="77777777" w:rsidR="00302768" w:rsidRPr="00E5474F" w:rsidRDefault="005A482C" w:rsidP="00670577">
      <w:pPr>
        <w:jc w:val="right"/>
        <w:rPr>
          <w:rStyle w:val="a5"/>
          <w:rFonts w:ascii="Arial Unicode MS" w:hAnsi="Arial Unicode MS"/>
          <w:sz w:val="18"/>
        </w:rPr>
      </w:pPr>
      <w:r w:rsidRPr="0026266A">
        <w:rPr>
          <w:rFonts w:hint="eastAsia"/>
        </w:rPr>
        <w:t>。。。。。。。。。。。。。。。。。。。。。。。。。</w:t>
      </w:r>
      <w:hyperlink w:anchor="top" w:history="1">
        <w:r w:rsidR="00302768" w:rsidRPr="00E5474F">
          <w:rPr>
            <w:rStyle w:val="a5"/>
            <w:sz w:val="18"/>
          </w:rPr>
          <w:t>回首頁</w:t>
        </w:r>
      </w:hyperlink>
      <w:r w:rsidR="00E91F89">
        <w:rPr>
          <w:rFonts w:ascii="新細明體" w:hAnsi="新細明體"/>
          <w:color w:val="808000"/>
        </w:rPr>
        <w:t>〉〉</w:t>
      </w:r>
    </w:p>
    <w:p w14:paraId="4C384103" w14:textId="77777777" w:rsidR="00302768" w:rsidRPr="00203F72" w:rsidRDefault="00302768" w:rsidP="00D87D91"/>
    <w:sectPr w:rsidR="00302768" w:rsidRPr="00203F72">
      <w:footerReference w:type="even" r:id="rId2936"/>
      <w:footerReference w:type="default" r:id="rId2937"/>
      <w:pgSz w:w="11906" w:h="16838"/>
      <w:pgMar w:top="851" w:right="1134" w:bottom="851" w:left="85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55CAB2" w14:textId="77777777" w:rsidR="00076467" w:rsidRDefault="00076467" w:rsidP="00D87D91">
      <w:r>
        <w:separator/>
      </w:r>
    </w:p>
  </w:endnote>
  <w:endnote w:type="continuationSeparator" w:id="0">
    <w:p w14:paraId="2F1052A9" w14:textId="77777777" w:rsidR="00076467" w:rsidRDefault="00076467" w:rsidP="00D87D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標楷體">
    <w:panose1 w:val="03000509000000000000"/>
    <w:charset w:val="88"/>
    <w:family w:val="script"/>
    <w:pitch w:val="fixed"/>
    <w:sig w:usb0="00000003" w:usb1="080E0000" w:usb2="00000016" w:usb3="00000000" w:csb0="00100001" w:csb1="00000000"/>
  </w:font>
  <w:font w:name="華康仿宋體">
    <w:altName w:val="Arial Unicode MS"/>
    <w:charset w:val="88"/>
    <w:family w:val="modern"/>
    <w:pitch w:val="fixed"/>
    <w:sig w:usb0="00000000" w:usb1="08080000" w:usb2="00000010" w:usb3="00000000" w:csb0="00100000" w:csb1="00000000"/>
  </w:font>
  <w:font w:name="Century">
    <w:panose1 w:val="02040604050505020304"/>
    <w:charset w:val="00"/>
    <w:family w:val="roman"/>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20002A87" w:usb1="00000000" w:usb2="00000000" w:usb3="00000000" w:csb0="000001FF" w:csb1="00000000"/>
  </w:font>
  <w:font w:name="DFMingUBold-B5">
    <w:altName w:val="新細明體"/>
    <w:panose1 w:val="00000000000000000000"/>
    <w:charset w:val="88"/>
    <w:family w:val="roman"/>
    <w:notTrueType/>
    <w:pitch w:val="default"/>
    <w:sig w:usb0="00000001" w:usb1="08080000" w:usb2="00000010" w:usb3="00000000" w:csb0="00100000" w:csb1="00000000"/>
  </w:font>
  <w:font w:name="Myriad Pro">
    <w:panose1 w:val="00000000000000000000"/>
    <w:charset w:val="00"/>
    <w:family w:val="swiss"/>
    <w:notTrueType/>
    <w:pitch w:val="variable"/>
    <w:sig w:usb0="20000287" w:usb1="00000001" w:usb2="00000000" w:usb3="00000000" w:csb0="0000019F" w:csb1="00000000"/>
  </w:font>
  <w:font w:name="simsong">
    <w:altName w:val="Times New Roman"/>
    <w:panose1 w:val="00000000000000000000"/>
    <w:charset w:val="00"/>
    <w:family w:val="roman"/>
    <w:notTrueType/>
    <w:pitch w:val="default"/>
  </w:font>
  <w:font w:name="зũ">
    <w:altName w:val="Times New Roman"/>
    <w:panose1 w:val="00000000000000000000"/>
    <w:charset w:val="00"/>
    <w:family w:val="roman"/>
    <w:notTrueType/>
    <w:pitch w:val="default"/>
  </w:font>
  <w:font w:name="細明體_HKSCS">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T21o00">
    <w:altName w:val="Arial Unicode MS"/>
    <w:panose1 w:val="00000000000000000000"/>
    <w:charset w:val="88"/>
    <w:family w:val="auto"/>
    <w:notTrueType/>
    <w:pitch w:val="default"/>
    <w:sig w:usb0="00000001" w:usb1="08080000" w:usb2="00000010" w:usb3="00000000" w:csb0="00100000" w:csb1="00000000"/>
  </w:font>
  <w:font w:name="TT20o00">
    <w:altName w:val="Arial Unicode MS"/>
    <w:panose1 w:val="00000000000000000000"/>
    <w:charset w:val="88"/>
    <w:family w:val="auto"/>
    <w:notTrueType/>
    <w:pitch w:val="default"/>
    <w:sig w:usb0="00000001" w:usb1="08080000" w:usb2="00000010" w:usb3="00000000" w:csb0="00100000" w:csb1="00000000"/>
  </w:font>
  <w:font w:name="穝灿砰-WinCharSetFFFF-H2">
    <w:altName w:val="Arial Unicode MS"/>
    <w:panose1 w:val="00000000000000000000"/>
    <w:charset w:val="86"/>
    <w:family w:val="auto"/>
    <w:notTrueType/>
    <w:pitch w:val="default"/>
    <w:sig w:usb0="00000001" w:usb1="080E0000" w:usb2="00000010" w:usb3="00000000" w:csb0="00040000" w:csb1="00000000"/>
  </w:font>
  <w:font w:name="MS Mincho">
    <w:altName w:val="ＭＳ 明朝"/>
    <w:panose1 w:val="02020609040205080304"/>
    <w:charset w:val="80"/>
    <w:family w:val="modern"/>
    <w:pitch w:val="fixed"/>
    <w:sig w:usb0="E00002FF" w:usb1="6AC7FDFB" w:usb2="08000012" w:usb3="00000000" w:csb0="0002009F" w:csb1="00000000"/>
  </w:font>
  <w:font w:name="TT28o00">
    <w:altName w:val="Arial Unicode MS"/>
    <w:panose1 w:val="00000000000000000000"/>
    <w:charset w:val="88"/>
    <w:family w:val="auto"/>
    <w:notTrueType/>
    <w:pitch w:val="default"/>
    <w:sig w:usb0="00000001" w:usb1="08080000" w:usb2="00000010" w:usb3="00000000" w:csb0="00100000" w:csb1="00000000"/>
  </w:font>
  <w:font w:name="華康標楷體(P)">
    <w:altName w:val="Arial Unicode MS"/>
    <w:charset w:val="88"/>
    <w:family w:val="script"/>
    <w:pitch w:val="variable"/>
    <w:sig w:usb0="80000001" w:usb1="28091800" w:usb2="00000016" w:usb3="00000000" w:csb0="00100000" w:csb1="00000000"/>
  </w:font>
  <w:font w:name="Vrinda">
    <w:panose1 w:val="020B0609010101010101"/>
    <w:charset w:val="01"/>
    <w:family w:val="roman"/>
    <w:notTrueType/>
    <w:pitch w:val="variable"/>
  </w:font>
  <w:font w:name="ScalaSansLF-Regular">
    <w:altName w:val="Arial"/>
    <w:panose1 w:val="00000000000000000000"/>
    <w:charset w:val="00"/>
    <w:family w:val="swiss"/>
    <w:notTrueType/>
    <w:pitch w:val="default"/>
    <w:sig w:usb0="00000003" w:usb1="00000000" w:usb2="00000000" w:usb3="00000000" w:csb0="00000001" w:csb1="00000000"/>
  </w:font>
  <w:font w:name="ScalaLF-Regular">
    <w:altName w:val="Times New Roman"/>
    <w:panose1 w:val="00000000000000000000"/>
    <w:charset w:val="00"/>
    <w:family w:val="roman"/>
    <w:notTrueType/>
    <w:pitch w:val="default"/>
    <w:sig w:usb0="00000003" w:usb1="00000000" w:usb2="00000000" w:usb3="00000000" w:csb0="00000001" w:csb1="00000000"/>
  </w:font>
  <w:font w:name="DF Hei">
    <w:altName w:val="細明體"/>
    <w:panose1 w:val="00000000000000000000"/>
    <w:charset w:val="88"/>
    <w:family w:val="modern"/>
    <w:notTrueType/>
    <w:pitch w:val="default"/>
    <w:sig w:usb0="00000001" w:usb1="08080000" w:usb2="00000010" w:usb3="00000000" w:csb0="00100000" w:csb1="00000000"/>
  </w:font>
  <w:font w:name="TimesNewRomanPS-BoldMT">
    <w:altName w:val="Arial"/>
    <w:panose1 w:val="00000000000000000000"/>
    <w:charset w:val="00"/>
    <w:family w:val="swiss"/>
    <w:notTrueType/>
    <w:pitch w:val="default"/>
    <w:sig w:usb0="00000003" w:usb1="00000000" w:usb2="00000000" w:usb3="00000000" w:csb0="00000001" w:csb1="00000000"/>
  </w:font>
  <w:font w:name="T57">
    <w:altName w:val="Arial Unicode MS"/>
    <w:panose1 w:val="00000000000000000000"/>
    <w:charset w:val="86"/>
    <w:family w:val="swiss"/>
    <w:notTrueType/>
    <w:pitch w:val="default"/>
    <w:sig w:usb0="00000001" w:usb1="080E0000" w:usb2="00000010" w:usb3="00000000" w:csb0="00040000" w:csb1="00000000"/>
  </w:font>
  <w:font w:name="T48">
    <w:altName w:val="Arial Unicode MS"/>
    <w:panose1 w:val="00000000000000000000"/>
    <w:charset w:val="86"/>
    <w:family w:val="swiss"/>
    <w:notTrueType/>
    <w:pitch w:val="default"/>
    <w:sig w:usb0="00000001" w:usb1="080E0000" w:usb2="00000010" w:usb3="00000000" w:csb0="00040000" w:csb1="00000000"/>
  </w:font>
  <w:font w:name="T50">
    <w:altName w:val="Arial Unicode MS"/>
    <w:panose1 w:val="00000000000000000000"/>
    <w:charset w:val="86"/>
    <w:family w:val="swiss"/>
    <w:notTrueType/>
    <w:pitch w:val="default"/>
    <w:sig w:usb0="00000001" w:usb1="080E0000" w:usb2="00000010" w:usb3="00000000" w:csb0="00040000" w:csb1="00000000"/>
  </w:font>
  <w:font w:name="T49">
    <w:altName w:val="Arial Unicode MS"/>
    <w:panose1 w:val="00000000000000000000"/>
    <w:charset w:val="86"/>
    <w:family w:val="swiss"/>
    <w:notTrueType/>
    <w:pitch w:val="default"/>
    <w:sig w:usb0="00000000" w:usb1="080E0000" w:usb2="00000010" w:usb3="00000000" w:csb0="00040000" w:csb1="00000000"/>
  </w:font>
  <w:font w:name="T51">
    <w:altName w:val="Arial Unicode MS"/>
    <w:panose1 w:val="00000000000000000000"/>
    <w:charset w:val="86"/>
    <w:family w:val="swiss"/>
    <w:notTrueType/>
    <w:pitch w:val="default"/>
    <w:sig w:usb0="00000001" w:usb1="080E0000" w:usb2="00000010" w:usb3="00000000" w:csb0="00040000" w:csb1="00000000"/>
  </w:font>
  <w:font w:name="T53">
    <w:altName w:val="Arial Unicode MS"/>
    <w:panose1 w:val="00000000000000000000"/>
    <w:charset w:val="86"/>
    <w:family w:val="swiss"/>
    <w:notTrueType/>
    <w:pitch w:val="default"/>
    <w:sig w:usb0="00000000" w:usb1="080E0000" w:usb2="00000010" w:usb3="00000000" w:csb0="00040000" w:csb1="00000000"/>
  </w:font>
  <w:font w:name="T52">
    <w:altName w:val="Arial Unicode MS"/>
    <w:panose1 w:val="00000000000000000000"/>
    <w:charset w:val="86"/>
    <w:family w:val="swiss"/>
    <w:notTrueType/>
    <w:pitch w:val="default"/>
    <w:sig w:usb0="00000000" w:usb1="080E0000" w:usb2="00000010" w:usb3="00000000" w:csb0="00040000" w:csb1="00000000"/>
  </w:font>
  <w:font w:name="DFHeiMedium-B5">
    <w:altName w:val="μO±d...AAe"/>
    <w:panose1 w:val="00000000000000000000"/>
    <w:charset w:val="88"/>
    <w:family w:val="swiss"/>
    <w:notTrueType/>
    <w:pitch w:val="default"/>
    <w:sig w:usb0="00000001" w:usb1="08080000" w:usb2="00000010" w:usb3="00000000" w:csb0="00100000" w:csb1="00000000"/>
  </w:font>
  <w:font w:name="DFLiHei-Bd">
    <w:altName w:val="Arial Unicode MS"/>
    <w:panose1 w:val="00000000000000000000"/>
    <w:charset w:val="88"/>
    <w:family w:val="swiss"/>
    <w:notTrueType/>
    <w:pitch w:val="default"/>
    <w:sig w:usb0="00000001" w:usb1="08080000" w:usb2="00000010" w:usb3="00000000" w:csb0="00100000"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4736724"/>
      <w:docPartObj>
        <w:docPartGallery w:val="Page Numbers (Bottom of Page)"/>
        <w:docPartUnique/>
      </w:docPartObj>
    </w:sdtPr>
    <w:sdtEndPr>
      <w:rPr>
        <w:sz w:val="20"/>
      </w:rPr>
    </w:sdtEndPr>
    <w:sdtContent>
      <w:p w14:paraId="2670E90E" w14:textId="77777777" w:rsidR="00CA23FA" w:rsidRPr="00E91F89" w:rsidRDefault="00E91F89" w:rsidP="00D12E33">
        <w:pPr>
          <w:pStyle w:val="a9"/>
          <w:wordWrap w:val="0"/>
          <w:jc w:val="right"/>
          <w:rPr>
            <w:sz w:val="20"/>
          </w:rPr>
        </w:pPr>
        <w:r w:rsidRPr="00E91F89">
          <w:rPr>
            <w:rFonts w:hint="eastAsia"/>
          </w:rPr>
          <w:t>〈</w:t>
        </w:r>
        <w:r w:rsidRPr="00E91F89">
          <w:rPr>
            <w:rFonts w:hint="eastAsia"/>
          </w:rPr>
          <w:t>〈</w:t>
        </w:r>
        <w:r w:rsidR="00CA23FA" w:rsidRPr="00E91F89">
          <w:rPr>
            <w:rFonts w:hint="eastAsia"/>
            <w:sz w:val="18"/>
          </w:rPr>
          <w:t>憲法逐條釋義與人權保障</w:t>
        </w:r>
        <w:r w:rsidRPr="00E91F89">
          <w:rPr>
            <w:rFonts w:hint="eastAsia"/>
            <w:sz w:val="18"/>
          </w:rPr>
          <w:t>〉</w:t>
        </w:r>
        <w:r w:rsidRPr="00E91F89">
          <w:rPr>
            <w:rFonts w:hint="eastAsia"/>
            <w:sz w:val="18"/>
          </w:rPr>
          <w:t>〉</w:t>
        </w:r>
        <w:r w:rsidR="00CA23FA" w:rsidRPr="00E91F89">
          <w:rPr>
            <w:rFonts w:ascii="Arial Unicode MS" w:hAnsi="Arial Unicode MS" w:hint="eastAsia"/>
            <w:sz w:val="18"/>
          </w:rPr>
          <w:t xml:space="preserve"> </w:t>
        </w:r>
        <w:r w:rsidR="00CA23FA" w:rsidRPr="00E91F89">
          <w:rPr>
            <w:rFonts w:ascii="Arial Unicode MS" w:hAnsi="Arial Unicode MS"/>
            <w:color w:val="5F5F5F"/>
            <w:sz w:val="18"/>
          </w:rPr>
          <w:fldChar w:fldCharType="begin"/>
        </w:r>
        <w:r w:rsidR="00CA23FA" w:rsidRPr="00E91F89">
          <w:rPr>
            <w:rFonts w:ascii="Arial Unicode MS" w:hAnsi="Arial Unicode MS"/>
            <w:color w:val="5F5F5F"/>
            <w:sz w:val="18"/>
          </w:rPr>
          <w:instrText>PAGE   \* MERGEFORMAT</w:instrText>
        </w:r>
        <w:r w:rsidR="00CA23FA" w:rsidRPr="00E91F89">
          <w:rPr>
            <w:rFonts w:ascii="Arial Unicode MS" w:hAnsi="Arial Unicode MS"/>
            <w:color w:val="5F5F5F"/>
            <w:sz w:val="18"/>
          </w:rPr>
          <w:fldChar w:fldCharType="separate"/>
        </w:r>
        <w:r w:rsidR="00291742" w:rsidRPr="00E91F89">
          <w:rPr>
            <w:rFonts w:ascii="Arial Unicode MS" w:hAnsi="Arial Unicode MS"/>
            <w:noProof/>
            <w:color w:val="5F5F5F"/>
            <w:sz w:val="18"/>
            <w:lang w:val="zh-TW"/>
          </w:rPr>
          <w:t>558</w:t>
        </w:r>
        <w:r w:rsidR="00CA23FA" w:rsidRPr="00E91F89">
          <w:rPr>
            <w:rFonts w:ascii="Arial Unicode MS" w:hAnsi="Arial Unicode MS"/>
            <w:color w:val="5F5F5F"/>
            <w:sz w:val="18"/>
          </w:rPr>
          <w:fldChar w:fldCharType="end"/>
        </w:r>
      </w:p>
    </w:sdtContent>
  </w:sdt>
  <w:p w14:paraId="54A97874" w14:textId="77777777" w:rsidR="00CA23FA" w:rsidRPr="00E91F89" w:rsidRDefault="00CA23FA" w:rsidP="00D87D91">
    <w:pPr>
      <w:pStyle w:val="a9"/>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414E1" w14:textId="77777777" w:rsidR="00CA23FA" w:rsidRDefault="00CA23FA" w:rsidP="00D87D91">
    <w:pPr>
      <w:pStyle w:val="a9"/>
      <w:rPr>
        <w:rStyle w:val="ab"/>
      </w:rPr>
    </w:pPr>
    <w:r>
      <w:rPr>
        <w:rStyle w:val="ab"/>
      </w:rPr>
      <w:fldChar w:fldCharType="begin"/>
    </w:r>
    <w:r>
      <w:rPr>
        <w:rStyle w:val="ab"/>
      </w:rPr>
      <w:instrText xml:space="preserve">PAGE  </w:instrText>
    </w:r>
    <w:r>
      <w:rPr>
        <w:rStyle w:val="ab"/>
      </w:rPr>
      <w:fldChar w:fldCharType="end"/>
    </w:r>
  </w:p>
  <w:p w14:paraId="6751C611" w14:textId="77777777" w:rsidR="00CA23FA" w:rsidRDefault="00CA23FA" w:rsidP="00D87D91">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3FE2B5" w14:textId="77777777" w:rsidR="00CA23FA" w:rsidRPr="00464EE7" w:rsidRDefault="00CA23FA" w:rsidP="00027D54">
    <w:pPr>
      <w:pStyle w:val="a9"/>
      <w:jc w:val="right"/>
    </w:pPr>
    <w:r w:rsidRPr="00E11E41">
      <w:rPr>
        <w:rFonts w:hint="eastAsia"/>
      </w:rPr>
      <w:t>&lt;</w:t>
    </w:r>
    <w:r w:rsidRPr="00E11E41">
      <w:rPr>
        <w:rFonts w:hint="eastAsia"/>
        <w:sz w:val="18"/>
      </w:rPr>
      <w:t>憲法逐條釋義與人權保障</w:t>
    </w:r>
    <w:r w:rsidRPr="00E11E41">
      <w:rPr>
        <w:rFonts w:hint="eastAsia"/>
        <w:sz w:val="18"/>
      </w:rPr>
      <w:t>&gt;</w:t>
    </w:r>
    <w:r>
      <w:rPr>
        <w:rFonts w:hint="eastAsia"/>
        <w:color w:val="5F5F5F"/>
        <w:sz w:val="18"/>
      </w:rPr>
      <w:t xml:space="preserve"> </w:t>
    </w:r>
    <w:r>
      <w:rPr>
        <w:rStyle w:val="ab"/>
      </w:rPr>
      <w:fldChar w:fldCharType="begin"/>
    </w:r>
    <w:r>
      <w:rPr>
        <w:rStyle w:val="ab"/>
      </w:rPr>
      <w:instrText xml:space="preserve">PAGE  </w:instrText>
    </w:r>
    <w:r>
      <w:rPr>
        <w:rStyle w:val="ab"/>
      </w:rPr>
      <w:fldChar w:fldCharType="separate"/>
    </w:r>
    <w:r w:rsidR="00291742">
      <w:rPr>
        <w:rStyle w:val="ab"/>
        <w:noProof/>
      </w:rPr>
      <w:t>559</w:t>
    </w:r>
    <w:r>
      <w:rPr>
        <w:rStyle w:val="ab"/>
      </w:rPr>
      <w:fldChar w:fldCharType="end"/>
    </w:r>
    <w:r w:rsidRPr="00464EE7">
      <w:rPr>
        <w:rFonts w:hint="eastAsia"/>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C99D92" w14:textId="77777777" w:rsidR="00076467" w:rsidRDefault="00076467" w:rsidP="00D87D91">
      <w:r>
        <w:separator/>
      </w:r>
    </w:p>
  </w:footnote>
  <w:footnote w:type="continuationSeparator" w:id="0">
    <w:p w14:paraId="65BB4FAF" w14:textId="77777777" w:rsidR="00076467" w:rsidRDefault="00076467" w:rsidP="00D87D91">
      <w:r>
        <w:continuationSeparator/>
      </w:r>
    </w:p>
  </w:footnote>
  <w:footnote w:id="1">
    <w:p w14:paraId="50E22542" w14:textId="77777777" w:rsidR="00CA23FA" w:rsidRPr="007F0D12" w:rsidRDefault="00CA23FA" w:rsidP="00D87D91">
      <w:pPr>
        <w:pStyle w:val="3"/>
        <w:rPr>
          <w:rStyle w:val="a5"/>
          <w:b/>
        </w:rPr>
      </w:pPr>
      <w:r w:rsidRPr="007F0D12">
        <w:rPr>
          <w:rStyle w:val="af3"/>
        </w:rPr>
        <w:footnoteRef/>
      </w:r>
      <w:r w:rsidRPr="007F0D12">
        <w:rPr>
          <w:rFonts w:hint="eastAsia"/>
        </w:rPr>
        <w:t>維基百科</w:t>
      </w:r>
      <w:r w:rsidRPr="007F0D12">
        <w:rPr>
          <w:rFonts w:hint="eastAsia"/>
        </w:rPr>
        <w:t>(2015)</w:t>
      </w:r>
      <w:r w:rsidRPr="007F0D12">
        <w:rPr>
          <w:rFonts w:hint="eastAsia"/>
        </w:rPr>
        <w:t>，中華民國憲法，上網瀏覽時日：</w:t>
      </w:r>
      <w:r w:rsidRPr="007F0D12">
        <w:rPr>
          <w:rFonts w:hint="eastAsia"/>
        </w:rPr>
        <w:t>2015/08/02</w:t>
      </w:r>
      <w:r w:rsidRPr="007F0D12">
        <w:rPr>
          <w:rFonts w:hint="eastAsia"/>
        </w:rPr>
        <w:t>，</w:t>
      </w:r>
      <w:hyperlink r:id="rId1" w:history="1">
        <w:r w:rsidRPr="007F0D12">
          <w:rPr>
            <w:rStyle w:val="a5"/>
          </w:rPr>
          <w:t>https://zh.wikipedia.org/wiki/%E4%B8%AD%E8%8F%AF%E6%B0%91%E5%9C%8B%E6%86%B2%E6%B3%95</w:t>
        </w:r>
      </w:hyperlink>
      <w:r w:rsidRPr="007F0D12">
        <w:rPr>
          <w:rStyle w:val="a5"/>
        </w:rPr>
        <w:t>。</w:t>
      </w:r>
    </w:p>
  </w:footnote>
  <w:footnote w:id="2">
    <w:p w14:paraId="0EBC2D9F" w14:textId="77777777" w:rsidR="00CA23FA" w:rsidRPr="007F0D12" w:rsidRDefault="00CA23FA" w:rsidP="00E108EB">
      <w:pPr>
        <w:pStyle w:val="3"/>
        <w:rPr>
          <w:b/>
        </w:rPr>
      </w:pPr>
      <w:r w:rsidRPr="007F0D12">
        <w:rPr>
          <w:rStyle w:val="af3"/>
        </w:rPr>
        <w:footnoteRef/>
      </w:r>
      <w:r w:rsidRPr="007F0D12">
        <w:rPr>
          <w:rFonts w:hint="eastAsia"/>
        </w:rPr>
        <w:t>維基百科</w:t>
      </w:r>
      <w:r w:rsidRPr="007F0D12">
        <w:rPr>
          <w:rFonts w:hint="eastAsia"/>
        </w:rPr>
        <w:t>(2015)</w:t>
      </w:r>
      <w:r w:rsidRPr="007F0D12">
        <w:rPr>
          <w:rFonts w:hint="eastAsia"/>
        </w:rPr>
        <w:t>，中華民國憲法，上網瀏覽時日：</w:t>
      </w:r>
      <w:r w:rsidRPr="007F0D12">
        <w:rPr>
          <w:rFonts w:hint="eastAsia"/>
        </w:rPr>
        <w:t>2015/08/02</w:t>
      </w:r>
      <w:r w:rsidRPr="007F0D12">
        <w:rPr>
          <w:rFonts w:hint="eastAsia"/>
        </w:rPr>
        <w:t>，</w:t>
      </w:r>
      <w:hyperlink r:id="rId2" w:history="1">
        <w:r w:rsidRPr="007F0D12">
          <w:rPr>
            <w:rStyle w:val="a5"/>
            <w:rFonts w:ascii="Arial Unicode MS" w:hAnsi="Arial Unicode MS"/>
          </w:rPr>
          <w:t>https://zh.wikipedia.org/wiki/%E4%B8%AD%E8%8F%AF%E6%B0%91%E5%9C%8B%E6%86%B2%E6%B3%95</w:t>
        </w:r>
      </w:hyperlink>
      <w:r w:rsidRPr="007F0D12">
        <w:t>。</w:t>
      </w:r>
    </w:p>
  </w:footnote>
  <w:footnote w:id="3">
    <w:p w14:paraId="642EDBAA" w14:textId="77777777" w:rsidR="00CA23FA" w:rsidRPr="007F0D12" w:rsidRDefault="00CA23FA" w:rsidP="00E108EB">
      <w:pPr>
        <w:pStyle w:val="3"/>
      </w:pPr>
      <w:r w:rsidRPr="007F0D12">
        <w:rPr>
          <w:rStyle w:val="af3"/>
          <w:color w:val="808000"/>
          <w:sz w:val="18"/>
        </w:rPr>
        <w:footnoteRef/>
      </w:r>
      <w:r w:rsidRPr="007F0D12">
        <w:t xml:space="preserve"> </w:t>
      </w:r>
      <w:r w:rsidRPr="007F0D12">
        <w:rPr>
          <w:rFonts w:hint="eastAsia"/>
        </w:rPr>
        <w:t>謝瑞智</w:t>
      </w:r>
      <w:r w:rsidRPr="007F0D12">
        <w:t>(1999)</w:t>
      </w:r>
      <w:r w:rsidRPr="007F0D12">
        <w:rPr>
          <w:rFonts w:hint="eastAsia"/>
        </w:rPr>
        <w:t>，憲法新論，文笙書局，頁</w:t>
      </w:r>
      <w:r w:rsidRPr="007F0D12">
        <w:t>37-57</w:t>
      </w:r>
      <w:r w:rsidRPr="007F0D12">
        <w:rPr>
          <w:rFonts w:hint="eastAsia"/>
        </w:rPr>
        <w:t>。</w:t>
      </w:r>
      <w:r w:rsidRPr="007F0D12">
        <w:t xml:space="preserve"> </w:t>
      </w:r>
    </w:p>
  </w:footnote>
  <w:footnote w:id="4">
    <w:p w14:paraId="74ADFDB8" w14:textId="77777777" w:rsidR="00CA23FA" w:rsidRPr="007F0D12" w:rsidRDefault="00CA23FA" w:rsidP="00E108EB">
      <w:pPr>
        <w:pStyle w:val="3"/>
      </w:pPr>
      <w:r w:rsidRPr="007F0D12">
        <w:rPr>
          <w:rStyle w:val="af3"/>
          <w:color w:val="808000"/>
          <w:sz w:val="18"/>
        </w:rPr>
        <w:footnoteRef/>
      </w:r>
      <w:r w:rsidRPr="007F0D12">
        <w:rPr>
          <w:rFonts w:hint="eastAsia"/>
        </w:rPr>
        <w:t>維基百科</w:t>
      </w:r>
      <w:r w:rsidRPr="007F0D12">
        <w:rPr>
          <w:rFonts w:hint="eastAsia"/>
        </w:rPr>
        <w:t>(2015)</w:t>
      </w:r>
      <w:r w:rsidRPr="007F0D12">
        <w:rPr>
          <w:rFonts w:hint="eastAsia"/>
        </w:rPr>
        <w:t>，中華民國憲法，上網瀏覽時日：</w:t>
      </w:r>
      <w:r w:rsidRPr="007F0D12">
        <w:rPr>
          <w:rFonts w:hint="eastAsia"/>
        </w:rPr>
        <w:t>2015/08/02</w:t>
      </w:r>
      <w:r w:rsidRPr="007F0D12">
        <w:rPr>
          <w:rFonts w:hint="eastAsia"/>
        </w:rPr>
        <w:t>，</w:t>
      </w:r>
      <w:hyperlink r:id="rId3" w:history="1">
        <w:r w:rsidRPr="007F0D12">
          <w:rPr>
            <w:rStyle w:val="a5"/>
            <w:rFonts w:ascii="Arial Unicode MS" w:hAnsi="Arial Unicode MS"/>
          </w:rPr>
          <w:t>https://zh.wikipedia.org/wiki/%E4%B8%AD%E8%8F%AF%E6%B0%91%E5%9C%8B%E6%86%B2%E6%B3%95</w:t>
        </w:r>
      </w:hyperlink>
      <w:r w:rsidRPr="007F0D12">
        <w:t>。</w:t>
      </w:r>
    </w:p>
  </w:footnote>
  <w:footnote w:id="5">
    <w:p w14:paraId="51EB6A70" w14:textId="77777777" w:rsidR="00CA23FA" w:rsidRPr="005D6CE5" w:rsidRDefault="00CA23FA" w:rsidP="00D87D91">
      <w:pPr>
        <w:pStyle w:val="3"/>
        <w:rPr>
          <w:b/>
        </w:rPr>
      </w:pPr>
      <w:r w:rsidRPr="005D6CE5">
        <w:rPr>
          <w:rStyle w:val="af3"/>
        </w:rPr>
        <w:footnoteRef/>
      </w:r>
      <w:r w:rsidRPr="005D6CE5">
        <w:rPr>
          <w:rFonts w:hint="eastAsia"/>
        </w:rPr>
        <w:t>謝瑞智</w:t>
      </w:r>
      <w:r w:rsidRPr="005D6CE5">
        <w:t>(1999)</w:t>
      </w:r>
      <w:r w:rsidRPr="005D6CE5">
        <w:rPr>
          <w:rFonts w:hint="eastAsia"/>
        </w:rPr>
        <w:t>，憲法新論，文笙書局，頁</w:t>
      </w:r>
      <w:r w:rsidRPr="005D6CE5">
        <w:t>85-86</w:t>
      </w:r>
      <w:r w:rsidRPr="005D6CE5">
        <w:rPr>
          <w:rFonts w:hint="eastAsia"/>
        </w:rPr>
        <w:t>。</w:t>
      </w:r>
      <w:r w:rsidRPr="005D6CE5">
        <w:t xml:space="preserve"> </w:t>
      </w:r>
    </w:p>
  </w:footnote>
  <w:footnote w:id="6">
    <w:p w14:paraId="4F5F286C" w14:textId="77777777" w:rsidR="00CA23FA" w:rsidRPr="00E108EB" w:rsidRDefault="00CA23FA" w:rsidP="00E108EB">
      <w:pPr>
        <w:pStyle w:val="3"/>
        <w:jc w:val="left"/>
        <w:rPr>
          <w:b/>
        </w:rPr>
      </w:pPr>
      <w:r w:rsidRPr="00E108EB">
        <w:rPr>
          <w:rStyle w:val="af3"/>
          <w:sz w:val="18"/>
        </w:rPr>
        <w:footnoteRef/>
      </w:r>
      <w:r w:rsidRPr="00E108EB">
        <w:rPr>
          <w:rFonts w:hint="eastAsia"/>
        </w:rPr>
        <w:t>維基百科</w:t>
      </w:r>
      <w:r w:rsidRPr="00E108EB">
        <w:rPr>
          <w:rFonts w:hint="eastAsia"/>
        </w:rPr>
        <w:t>(2015)</w:t>
      </w:r>
      <w:r w:rsidRPr="00E108EB">
        <w:rPr>
          <w:rFonts w:hint="eastAsia"/>
        </w:rPr>
        <w:t>，中華民國憲法，上網瀏覽時日：</w:t>
      </w:r>
      <w:r w:rsidRPr="00E108EB">
        <w:rPr>
          <w:rFonts w:hint="eastAsia"/>
        </w:rPr>
        <w:t>2015/08/02</w:t>
      </w:r>
      <w:r w:rsidRPr="00E108EB">
        <w:rPr>
          <w:rFonts w:hint="eastAsia"/>
        </w:rPr>
        <w:t>，</w:t>
      </w:r>
      <w:hyperlink r:id="rId4" w:history="1">
        <w:r w:rsidRPr="00E108EB">
          <w:rPr>
            <w:rStyle w:val="a5"/>
            <w:rFonts w:ascii="Arial Unicode MS" w:hAnsi="Arial Unicode MS"/>
            <w:sz w:val="18"/>
          </w:rPr>
          <w:t>https://zh.wikipedia.org/wiki/%E4%B8%AD%E8%8F%AF%E6%B0%91%E5%9C%8B%E6%86%B2%E6%B3%95</w:t>
        </w:r>
      </w:hyperlink>
      <w:r w:rsidRPr="00E108EB">
        <w:t>。</w:t>
      </w:r>
    </w:p>
  </w:footnote>
  <w:footnote w:id="7">
    <w:p w14:paraId="109E99FE" w14:textId="77777777" w:rsidR="00CA23FA" w:rsidRPr="005D6CE5" w:rsidRDefault="00CA23FA" w:rsidP="00D87D91">
      <w:pPr>
        <w:pStyle w:val="3"/>
        <w:rPr>
          <w:b/>
        </w:rPr>
      </w:pPr>
      <w:r w:rsidRPr="005D6CE5">
        <w:rPr>
          <w:rStyle w:val="af3"/>
        </w:rPr>
        <w:footnoteRef/>
      </w:r>
      <w:r w:rsidRPr="005D6CE5">
        <w:rPr>
          <w:rFonts w:hint="eastAsia"/>
        </w:rPr>
        <w:t>謝瑞智</w:t>
      </w:r>
      <w:r w:rsidRPr="005D6CE5">
        <w:t>(2005)</w:t>
      </w:r>
      <w:r w:rsidRPr="005D6CE5">
        <w:rPr>
          <w:rFonts w:hint="eastAsia"/>
        </w:rPr>
        <w:t>，憲法概要，文笙書局，頁</w:t>
      </w:r>
      <w:r w:rsidRPr="005D6CE5">
        <w:t>85-86</w:t>
      </w:r>
      <w:r w:rsidRPr="005D6CE5">
        <w:rPr>
          <w:rFonts w:hint="eastAsia"/>
        </w:rPr>
        <w:t>。</w:t>
      </w:r>
    </w:p>
  </w:footnote>
  <w:footnote w:id="8">
    <w:p w14:paraId="2F866830" w14:textId="77777777" w:rsidR="00CA23FA" w:rsidRPr="005D6CE5" w:rsidRDefault="00CA23FA" w:rsidP="00E108EB">
      <w:pPr>
        <w:pStyle w:val="3"/>
        <w:jc w:val="left"/>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 xml:space="preserve">A Manual on Human Rights for Judges, Prosecutors and Lawyers. New York, pp 651-656. </w:t>
      </w:r>
    </w:p>
  </w:footnote>
  <w:footnote w:id="9">
    <w:p w14:paraId="5257B4C8" w14:textId="77777777" w:rsidR="00CA23FA" w:rsidRPr="007D50BB" w:rsidRDefault="00CA23FA" w:rsidP="00E108EB">
      <w:pPr>
        <w:pStyle w:val="3"/>
        <w:jc w:val="left"/>
        <w:rPr>
          <w:b/>
        </w:rPr>
      </w:pPr>
      <w:r w:rsidRPr="005D6CE5">
        <w:rPr>
          <w:rStyle w:val="af3"/>
          <w:szCs w:val="20"/>
        </w:rPr>
        <w:footnoteRef/>
      </w:r>
      <w:r w:rsidRPr="005D6CE5">
        <w:rPr>
          <w:rFonts w:hint="eastAsia"/>
        </w:rPr>
        <w:t>另外，容易與公民與政治權利國際公約人權</w:t>
      </w:r>
      <w:r w:rsidRPr="005D6CE5">
        <w:t>(</w:t>
      </w:r>
      <w:r w:rsidRPr="005D6CE5">
        <w:rPr>
          <w:rFonts w:hint="eastAsia"/>
        </w:rPr>
        <w:t>事務</w:t>
      </w:r>
      <w:r w:rsidRPr="005D6CE5">
        <w:t>)</w:t>
      </w:r>
      <w:r w:rsidRPr="005D6CE5">
        <w:rPr>
          <w:rFonts w:hint="eastAsia"/>
        </w:rPr>
        <w:t>委員會</w:t>
      </w:r>
      <w:r w:rsidRPr="005D6CE5">
        <w:t>(the Human Rights Committee</w:t>
      </w:r>
      <w:r w:rsidRPr="005D6CE5">
        <w:rPr>
          <w:rFonts w:hint="eastAsia"/>
        </w:rPr>
        <w:t>，簡稱為</w:t>
      </w:r>
      <w:r w:rsidRPr="005D6CE5">
        <w:t>HRC)</w:t>
      </w:r>
      <w:r w:rsidRPr="005D6CE5">
        <w:rPr>
          <w:rFonts w:hint="eastAsia"/>
        </w:rPr>
        <w:t>相互混淆之機關，係為聯合國人權理事會（英語：</w:t>
      </w:r>
      <w:r w:rsidRPr="005D6CE5">
        <w:t>United Nations Human Rights Council</w:t>
      </w:r>
      <w:r w:rsidRPr="005D6CE5">
        <w:rPr>
          <w:rFonts w:hint="eastAsia"/>
        </w:rPr>
        <w:t>；法語：</w:t>
      </w:r>
      <w:r w:rsidRPr="005D6CE5">
        <w:t>Conseil des droits de l'homme des Nations Unies</w:t>
      </w:r>
      <w:r w:rsidRPr="005D6CE5">
        <w:rPr>
          <w:rFonts w:hint="eastAsia"/>
        </w:rPr>
        <w:t>；西班牙語：</w:t>
      </w:r>
      <w:r w:rsidRPr="005D6CE5">
        <w:t>Consejo de Derechos Humanos de la Naciones Unidas</w:t>
      </w:r>
      <w:r w:rsidRPr="005D6CE5">
        <w:rPr>
          <w:rFonts w:hint="eastAsia"/>
        </w:rPr>
        <w:t>），其前身為聯合國人權委員會</w:t>
      </w:r>
      <w:r w:rsidRPr="005D6CE5">
        <w:t>(</w:t>
      </w:r>
      <w:r w:rsidRPr="005D6CE5">
        <w:rPr>
          <w:rFonts w:hint="eastAsia"/>
        </w:rPr>
        <w:t>簡稱人權委員會；英語：</w:t>
      </w:r>
      <w:r w:rsidRPr="005D6CE5">
        <w:t>United Nations Commission on Human Rights</w:t>
      </w:r>
      <w:r w:rsidRPr="005D6CE5">
        <w:rPr>
          <w:rFonts w:hint="eastAsia"/>
        </w:rPr>
        <w:t>，縮寫：</w:t>
      </w:r>
      <w:r w:rsidRPr="005D6CE5">
        <w:t>UNCHR)</w:t>
      </w:r>
      <w:r w:rsidRPr="005D6CE5">
        <w:rPr>
          <w:rFonts w:hint="eastAsia"/>
        </w:rPr>
        <w:t>，</w:t>
      </w:r>
      <w:r w:rsidRPr="005D6CE5">
        <w:t>2006</w:t>
      </w:r>
      <w:r w:rsidRPr="005D6CE5">
        <w:rPr>
          <w:rFonts w:hint="eastAsia"/>
        </w:rPr>
        <w:t>年</w:t>
      </w:r>
      <w:r w:rsidRPr="005D6CE5">
        <w:t>3</w:t>
      </w:r>
      <w:r w:rsidRPr="005D6CE5">
        <w:rPr>
          <w:rFonts w:hint="eastAsia"/>
        </w:rPr>
        <w:t>月</w:t>
      </w:r>
      <w:r w:rsidRPr="005D6CE5">
        <w:t>15</w:t>
      </w:r>
      <w:r w:rsidRPr="005D6CE5">
        <w:rPr>
          <w:rFonts w:hint="eastAsia"/>
        </w:rPr>
        <w:t>日，聯合國大會以</w:t>
      </w:r>
      <w:r w:rsidRPr="005D6CE5">
        <w:t>170</w:t>
      </w:r>
      <w:r w:rsidRPr="005D6CE5">
        <w:rPr>
          <w:rFonts w:hint="eastAsia"/>
        </w:rPr>
        <w:t>票支持、</w:t>
      </w:r>
      <w:r w:rsidRPr="005D6CE5">
        <w:t>4</w:t>
      </w:r>
      <w:r w:rsidRPr="005D6CE5">
        <w:rPr>
          <w:rFonts w:hint="eastAsia"/>
        </w:rPr>
        <w:t>票反對，和</w:t>
      </w:r>
      <w:r w:rsidRPr="005D6CE5">
        <w:t>3</w:t>
      </w:r>
      <w:r w:rsidRPr="005D6CE5">
        <w:rPr>
          <w:rFonts w:hint="eastAsia"/>
        </w:rPr>
        <w:t>票棄權，多數通過成立聯合國人權理事會（英語：</w:t>
      </w:r>
      <w:r w:rsidRPr="005D6CE5">
        <w:rPr>
          <w:rFonts w:hint="eastAsia"/>
        </w:rPr>
        <w:t>United Nations Human Rights Council</w:t>
      </w:r>
      <w:r w:rsidRPr="005D6CE5">
        <w:rPr>
          <w:rFonts w:hint="eastAsia"/>
        </w:rPr>
        <w:t>），取代聯合國人權委員會</w:t>
      </w:r>
      <w:r w:rsidRPr="005D6CE5">
        <w:t>(UNCHR)</w:t>
      </w:r>
      <w:r w:rsidRPr="005D6CE5">
        <w:rPr>
          <w:rFonts w:hint="eastAsia"/>
        </w:rPr>
        <w:t>，新的聯合國人權理事會，擁有</w:t>
      </w:r>
      <w:r w:rsidRPr="005D6CE5">
        <w:t>47</w:t>
      </w:r>
      <w:r w:rsidRPr="005D6CE5">
        <w:rPr>
          <w:rFonts w:hint="eastAsia"/>
        </w:rPr>
        <w:t>個席位：亞洲</w:t>
      </w:r>
      <w:r w:rsidRPr="005D6CE5">
        <w:t>13</w:t>
      </w:r>
      <w:r w:rsidRPr="005D6CE5">
        <w:rPr>
          <w:rFonts w:hint="eastAsia"/>
        </w:rPr>
        <w:t>席、非洲</w:t>
      </w:r>
      <w:r w:rsidRPr="005D6CE5">
        <w:t>13</w:t>
      </w:r>
      <w:r w:rsidRPr="005D6CE5">
        <w:rPr>
          <w:rFonts w:hint="eastAsia"/>
        </w:rPr>
        <w:t>席、東歐</w:t>
      </w:r>
      <w:r w:rsidRPr="005D6CE5">
        <w:t>6</w:t>
      </w:r>
      <w:r w:rsidRPr="005D6CE5">
        <w:rPr>
          <w:rFonts w:hint="eastAsia"/>
        </w:rPr>
        <w:t>席、拉丁美洲和加勒比海地區</w:t>
      </w:r>
      <w:r w:rsidRPr="005D6CE5">
        <w:t>8</w:t>
      </w:r>
      <w:r w:rsidRPr="005D6CE5">
        <w:rPr>
          <w:rFonts w:hint="eastAsia"/>
        </w:rPr>
        <w:t>席、西歐及其他國家集團</w:t>
      </w:r>
      <w:r w:rsidRPr="005D6CE5">
        <w:rPr>
          <w:rFonts w:hint="eastAsia"/>
        </w:rPr>
        <w:t>7</w:t>
      </w:r>
      <w:r w:rsidRPr="005D6CE5">
        <w:rPr>
          <w:rFonts w:hint="eastAsia"/>
        </w:rPr>
        <w:t>席。聯合國人權理事會（英語：</w:t>
      </w:r>
      <w:r w:rsidRPr="005D6CE5">
        <w:rPr>
          <w:rFonts w:hint="eastAsia"/>
        </w:rPr>
        <w:t>United Nations Human Rights Council</w:t>
      </w:r>
      <w:r w:rsidRPr="005D6CE5">
        <w:rPr>
          <w:rFonts w:hint="eastAsia"/>
        </w:rPr>
        <w:t>）是聯合國系統中的政府間機構，由</w:t>
      </w:r>
      <w:r w:rsidRPr="005D6CE5">
        <w:rPr>
          <w:rFonts w:hint="eastAsia"/>
        </w:rPr>
        <w:t>47</w:t>
      </w:r>
      <w:r w:rsidRPr="005D6CE5">
        <w:rPr>
          <w:rFonts w:hint="eastAsia"/>
        </w:rPr>
        <w:t>個通過聯合國大會選舉的成員國組成，理事會負責討論全球各地，每一年需要關注的人權問題和狀況，舉行會議之</w:t>
      </w:r>
      <w:r w:rsidRPr="007D50BB">
        <w:rPr>
          <w:rFonts w:hint="eastAsia"/>
        </w:rPr>
        <w:t>處所，係在聯合國日內瓦辦事處。聯合國人權理事會（英語：</w:t>
      </w:r>
      <w:r w:rsidRPr="007D50BB">
        <w:rPr>
          <w:rFonts w:hint="eastAsia"/>
        </w:rPr>
        <w:t>United Nations Human Rights Council</w:t>
      </w:r>
      <w:r w:rsidRPr="007D50BB">
        <w:rPr>
          <w:rFonts w:hint="eastAsia"/>
        </w:rPr>
        <w:t>）共計有</w:t>
      </w:r>
      <w:r w:rsidRPr="007D50BB">
        <w:rPr>
          <w:rFonts w:hint="eastAsia"/>
        </w:rPr>
        <w:t>3</w:t>
      </w:r>
      <w:r w:rsidRPr="007D50BB">
        <w:rPr>
          <w:rFonts w:hint="eastAsia"/>
        </w:rPr>
        <w:t>種不同之機制：</w:t>
      </w:r>
      <w:r w:rsidRPr="007D50BB">
        <w:rPr>
          <w:rFonts w:hint="eastAsia"/>
        </w:rPr>
        <w:t>1</w:t>
      </w:r>
      <w:r w:rsidRPr="007D50BB">
        <w:rPr>
          <w:rFonts w:hint="eastAsia"/>
        </w:rPr>
        <w:t>、普遍定期審議機制</w:t>
      </w:r>
      <w:r w:rsidRPr="007D50BB">
        <w:rPr>
          <w:rFonts w:hint="eastAsia"/>
        </w:rPr>
        <w:t>(</w:t>
      </w:r>
      <w:r w:rsidRPr="007D50BB">
        <w:t>UPR</w:t>
      </w:r>
      <w:r w:rsidRPr="007D50BB">
        <w:rPr>
          <w:rFonts w:hint="eastAsia"/>
        </w:rPr>
        <w:t>--</w:t>
      </w:r>
      <w:r w:rsidRPr="007D50BB">
        <w:t>universal periodicalreview</w:t>
      </w:r>
      <w:r w:rsidRPr="007D50BB">
        <w:rPr>
          <w:rFonts w:hint="eastAsia"/>
        </w:rPr>
        <w:t>)</w:t>
      </w:r>
      <w:r w:rsidRPr="007D50BB">
        <w:rPr>
          <w:rFonts w:hint="eastAsia"/>
        </w:rPr>
        <w:t>；</w:t>
      </w:r>
      <w:r w:rsidRPr="007D50BB">
        <w:rPr>
          <w:rFonts w:hint="eastAsia"/>
        </w:rPr>
        <w:t>2</w:t>
      </w:r>
      <w:r w:rsidRPr="007D50BB">
        <w:rPr>
          <w:rFonts w:hint="eastAsia"/>
        </w:rPr>
        <w:t>、諮詢委員會；</w:t>
      </w:r>
      <w:r w:rsidRPr="007D50BB">
        <w:rPr>
          <w:rFonts w:hint="eastAsia"/>
        </w:rPr>
        <w:t>3</w:t>
      </w:r>
      <w:r w:rsidRPr="007D50BB">
        <w:rPr>
          <w:rFonts w:hint="eastAsia"/>
        </w:rPr>
        <w:t>、投訴程序。以上，請進一步參閱：維基百科</w:t>
      </w:r>
      <w:r w:rsidRPr="007D50BB">
        <w:rPr>
          <w:rFonts w:hint="eastAsia"/>
        </w:rPr>
        <w:t>(2015)</w:t>
      </w:r>
      <w:r w:rsidRPr="007D50BB">
        <w:rPr>
          <w:rFonts w:hint="eastAsia"/>
        </w:rPr>
        <w:t>，聯合國人權理事會，上網瀏覽時間：</w:t>
      </w:r>
      <w:r w:rsidRPr="007D50BB">
        <w:rPr>
          <w:rFonts w:hint="eastAsia"/>
        </w:rPr>
        <w:t>2015/06/21</w:t>
      </w:r>
      <w:r w:rsidRPr="007D50BB">
        <w:rPr>
          <w:rFonts w:hint="eastAsia"/>
        </w:rPr>
        <w:t>，</w:t>
      </w:r>
      <w:hyperlink r:id="rId5" w:history="1">
        <w:r w:rsidRPr="007D50BB">
          <w:rPr>
            <w:rStyle w:val="a5"/>
            <w:rFonts w:ascii="Arial Unicode MS" w:hAnsi="Arial Unicode MS" w:hint="eastAsia"/>
            <w:sz w:val="18"/>
            <w:szCs w:val="20"/>
          </w:rPr>
          <w:t>https://zh.wikipedia.org/wiki/%E8%81%AF%E5%90%88%E5%9C%8B%E4%BA%BA%E6%AC%8A%E7%90%86%E4%BA%8B%E6%9C%83</w:t>
        </w:r>
      </w:hyperlink>
      <w:r w:rsidRPr="007D50BB">
        <w:rPr>
          <w:rFonts w:hint="eastAsia"/>
        </w:rPr>
        <w:t>。</w:t>
      </w:r>
    </w:p>
    <w:p w14:paraId="09BF311B" w14:textId="77777777" w:rsidR="00CA23FA" w:rsidRPr="005D6CE5" w:rsidRDefault="00CA23FA" w:rsidP="00E108EB">
      <w:pPr>
        <w:pStyle w:val="3"/>
        <w:jc w:val="left"/>
        <w:rPr>
          <w:b/>
        </w:rPr>
      </w:pPr>
      <w:r w:rsidRPr="005D6CE5">
        <w:rPr>
          <w:rFonts w:hint="eastAsia"/>
        </w:rPr>
        <w:t>另外，葉毓蘭教授亦提供其對於聯合國人權理事會</w:t>
      </w:r>
      <w:r w:rsidRPr="005D6CE5">
        <w:rPr>
          <w:rFonts w:hint="eastAsia"/>
        </w:rPr>
        <w:t>(</w:t>
      </w:r>
      <w:r w:rsidRPr="005D6CE5">
        <w:t>HRC</w:t>
      </w:r>
      <w:r w:rsidRPr="005D6CE5">
        <w:rPr>
          <w:rFonts w:hint="eastAsia"/>
        </w:rPr>
        <w:t>)</w:t>
      </w:r>
      <w:r w:rsidRPr="005D6CE5">
        <w:t>之觀察，葉教授對本文之意見如下：「、、、</w:t>
      </w:r>
      <w:r w:rsidRPr="005D6CE5">
        <w:rPr>
          <w:rFonts w:hint="eastAsia"/>
        </w:rPr>
        <w:t>我剛從日內瓦參加國際勞工組織大會與聯合國人權理事會年會回來，、、、</w:t>
      </w:r>
      <w:r w:rsidRPr="005D6CE5">
        <w:t>HRC</w:t>
      </w:r>
      <w:r w:rsidRPr="005D6CE5">
        <w:rPr>
          <w:rFonts w:hint="eastAsia"/>
        </w:rPr>
        <w:t>早已在</w:t>
      </w:r>
      <w:r w:rsidRPr="005D6CE5">
        <w:t>2006</w:t>
      </w:r>
      <w:r w:rsidRPr="005D6CE5">
        <w:rPr>
          <w:rFonts w:hint="eastAsia"/>
        </w:rPr>
        <w:t>年，從</w:t>
      </w:r>
      <w:r w:rsidRPr="005D6CE5">
        <w:t>committee</w:t>
      </w:r>
      <w:r w:rsidRPr="005D6CE5">
        <w:rPr>
          <w:rFonts w:hint="eastAsia"/>
        </w:rPr>
        <w:t>升格為</w:t>
      </w:r>
      <w:r w:rsidRPr="005D6CE5">
        <w:t>council</w:t>
      </w:r>
      <w:r w:rsidRPr="005D6CE5">
        <w:t>。</w:t>
      </w:r>
      <w:r w:rsidRPr="005D6CE5">
        <w:rPr>
          <w:rFonts w:hint="eastAsia"/>
        </w:rPr>
        <w:t>現在，聯合國人權理事會</w:t>
      </w:r>
      <w:r w:rsidRPr="005D6CE5">
        <w:rPr>
          <w:rFonts w:hint="eastAsia"/>
        </w:rPr>
        <w:t>(</w:t>
      </w:r>
      <w:r w:rsidRPr="005D6CE5">
        <w:t>HRC</w:t>
      </w:r>
      <w:r w:rsidRPr="005D6CE5">
        <w:rPr>
          <w:rFonts w:hint="eastAsia"/>
        </w:rPr>
        <w:t>)</w:t>
      </w:r>
      <w:r w:rsidRPr="005D6CE5">
        <w:rPr>
          <w:rFonts w:hint="eastAsia"/>
        </w:rPr>
        <w:t>對人權的保障，有三個重要的機制：</w:t>
      </w:r>
      <w:r w:rsidRPr="005D6CE5">
        <w:rPr>
          <w:rFonts w:hint="eastAsia"/>
        </w:rPr>
        <w:t>1.</w:t>
      </w:r>
      <w:r w:rsidRPr="005D6CE5">
        <w:t>UPR</w:t>
      </w:r>
      <w:r w:rsidRPr="005D6CE5">
        <w:rPr>
          <w:rFonts w:hint="eastAsia"/>
        </w:rPr>
        <w:t>--</w:t>
      </w:r>
      <w:r w:rsidRPr="005D6CE5">
        <w:t xml:space="preserve">universal periodicalreview, </w:t>
      </w:r>
      <w:r w:rsidRPr="005D6CE5">
        <w:rPr>
          <w:rFonts w:hint="eastAsia"/>
        </w:rPr>
        <w:t>請參閱</w:t>
      </w:r>
      <w:hyperlink r:id="rId6" w:history="1">
        <w:r w:rsidRPr="005D6CE5">
          <w:rPr>
            <w:rStyle w:val="a5"/>
            <w:rFonts w:ascii="Arial Unicode MS" w:hAnsi="Arial Unicode MS"/>
            <w:szCs w:val="20"/>
          </w:rPr>
          <w:t>https://en.wikipedia.org/wiki/Universal_Periodic_Review</w:t>
        </w:r>
      </w:hyperlink>
      <w:r w:rsidRPr="005D6CE5">
        <w:t xml:space="preserve"> </w:t>
      </w:r>
      <w:r w:rsidRPr="005D6CE5">
        <w:t>；</w:t>
      </w:r>
      <w:r w:rsidRPr="005D6CE5">
        <w:rPr>
          <w:rFonts w:hint="eastAsia"/>
        </w:rPr>
        <w:t xml:space="preserve"> 2.</w:t>
      </w:r>
      <w:r w:rsidRPr="005D6CE5">
        <w:t xml:space="preserve"> Special procedure</w:t>
      </w:r>
      <w:r w:rsidRPr="005D6CE5">
        <w:rPr>
          <w:rFonts w:hint="eastAsia"/>
        </w:rPr>
        <w:t xml:space="preserve"> </w:t>
      </w:r>
      <w:r w:rsidRPr="005D6CE5">
        <w:t>；</w:t>
      </w:r>
      <w:r w:rsidRPr="005D6CE5">
        <w:rPr>
          <w:rFonts w:hint="eastAsia"/>
        </w:rPr>
        <w:t xml:space="preserve"> 3.</w:t>
      </w:r>
      <w:r w:rsidRPr="005D6CE5">
        <w:t xml:space="preserve"> Treaty Body </w:t>
      </w:r>
      <w:r w:rsidRPr="005D6CE5">
        <w:rPr>
          <w:rFonts w:hint="eastAsia"/>
        </w:rPr>
        <w:t>三大支柱、、、、另外人權兩公約中的公政公約</w:t>
      </w:r>
      <w:r w:rsidRPr="005D6CE5">
        <w:t>ICCPR</w:t>
      </w:r>
      <w:r w:rsidRPr="005D6CE5">
        <w:rPr>
          <w:rFonts w:hint="eastAsia"/>
        </w:rPr>
        <w:t>，我國都已經內國法化，不應再稱為國際盟約。」有關於葉毓蘭教授對於本文指稱公政公約</w:t>
      </w:r>
      <w:r w:rsidRPr="005D6CE5">
        <w:t>ICCPR</w:t>
      </w:r>
      <w:r w:rsidRPr="005D6CE5">
        <w:t>之名稱</w:t>
      </w:r>
      <w:r>
        <w:rPr>
          <w:rFonts w:hint="eastAsia"/>
        </w:rPr>
        <w:t>〜</w:t>
      </w:r>
      <w:r w:rsidRPr="005D6CE5">
        <w:rPr>
          <w:rFonts w:hint="eastAsia"/>
        </w:rPr>
        <w:t>不宜稱為公民與政治權利國際盟約，本文業已修正改為</w:t>
      </w:r>
      <w:r>
        <w:rPr>
          <w:rFonts w:hint="eastAsia"/>
        </w:rPr>
        <w:t>〜</w:t>
      </w:r>
      <w:r w:rsidRPr="005D6CE5">
        <w:rPr>
          <w:rFonts w:hint="eastAsia"/>
        </w:rPr>
        <w:t>公民與政治權利國際公約，非常感謝葉毓蘭教授之斧正，令筆者獲益良多。</w:t>
      </w:r>
    </w:p>
  </w:footnote>
  <w:footnote w:id="10">
    <w:p w14:paraId="06CB8120"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 xml:space="preserve">A Manual on Human Rights for Judges, Prosecutors and Lawyers. New York, pp 651-656. </w:t>
      </w:r>
    </w:p>
  </w:footnote>
  <w:footnote w:id="11">
    <w:p w14:paraId="48255176"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12">
    <w:p w14:paraId="5AB2F57B"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13">
    <w:p w14:paraId="1E8052D1" w14:textId="77777777" w:rsidR="00CA23FA" w:rsidRDefault="00CA23FA" w:rsidP="00D87D91">
      <w:pPr>
        <w:pStyle w:val="3"/>
        <w:rPr>
          <w:b/>
        </w:rPr>
      </w:pPr>
      <w:r w:rsidRPr="005D6CE5">
        <w:rPr>
          <w:rStyle w:val="af3"/>
          <w:szCs w:val="20"/>
        </w:rPr>
        <w:footnoteRef/>
      </w:r>
      <w:r w:rsidRPr="005D6CE5">
        <w:rPr>
          <w:rFonts w:hint="eastAsia"/>
        </w:rPr>
        <w:t>聯合國人權事務委員會（英語：</w:t>
      </w:r>
      <w:r w:rsidRPr="005D6CE5">
        <w:rPr>
          <w:rFonts w:hint="eastAsia"/>
        </w:rPr>
        <w:t>United Nations Human Rights Committee, UNHRC</w:t>
      </w:r>
      <w:r w:rsidRPr="005D6CE5">
        <w:rPr>
          <w:rFonts w:hint="eastAsia"/>
        </w:rPr>
        <w:t>）是隸屬於聯合國之一個專門人權委員會，由</w:t>
      </w:r>
      <w:r w:rsidRPr="005D6CE5">
        <w:rPr>
          <w:rFonts w:hint="eastAsia"/>
        </w:rPr>
        <w:t>18</w:t>
      </w:r>
      <w:r w:rsidRPr="005D6CE5">
        <w:rPr>
          <w:rFonts w:hint="eastAsia"/>
        </w:rPr>
        <w:t>名專家組成，每年集會三次，每次開會之時程，係為四星期，集會之地點，係分別於紐約的聯合國總部，或日內瓦舉行會議。其主要職責：審議由</w:t>
      </w:r>
      <w:r w:rsidRPr="005D6CE5">
        <w:rPr>
          <w:rFonts w:hint="eastAsia"/>
        </w:rPr>
        <w:t>162</w:t>
      </w:r>
      <w:r w:rsidRPr="005D6CE5">
        <w:rPr>
          <w:rFonts w:hint="eastAsia"/>
        </w:rPr>
        <w:t>個聯合國成員國，根據《公民權利和政治權利國際公約》所提交的實行報告書，</w:t>
      </w:r>
      <w:r w:rsidRPr="005D6CE5">
        <w:rPr>
          <w:rFonts w:hint="eastAsia"/>
        </w:rPr>
        <w:t>UNHRC</w:t>
      </w:r>
      <w:r w:rsidRPr="005D6CE5">
        <w:rPr>
          <w:rFonts w:hint="eastAsia"/>
        </w:rPr>
        <w:t>並監察</w:t>
      </w:r>
      <w:r w:rsidRPr="005D6CE5">
        <w:rPr>
          <w:rFonts w:hint="eastAsia"/>
        </w:rPr>
        <w:t>112</w:t>
      </w:r>
      <w:r w:rsidRPr="005D6CE5">
        <w:rPr>
          <w:rFonts w:hint="eastAsia"/>
        </w:rPr>
        <w:t>個簽定了兩項任擇議定書締約</w:t>
      </w:r>
    </w:p>
    <w:p w14:paraId="3BF5DB51" w14:textId="77777777" w:rsidR="00CA23FA" w:rsidRPr="005D6CE5" w:rsidRDefault="00CA23FA" w:rsidP="00E108EB">
      <w:pPr>
        <w:pStyle w:val="3"/>
        <w:jc w:val="left"/>
        <w:rPr>
          <w:b/>
        </w:rPr>
      </w:pPr>
      <w:r w:rsidRPr="005D6CE5">
        <w:rPr>
          <w:rFonts w:hint="eastAsia"/>
        </w:rPr>
        <w:t>國的實行情況。對聯合國人權事務委員會的爭議，主要在於其功能是屬於準司法機構（</w:t>
      </w:r>
      <w:r w:rsidRPr="005D6CE5">
        <w:rPr>
          <w:rFonts w:hint="eastAsia"/>
        </w:rPr>
        <w:t>quasi-judicial body</w:t>
      </w:r>
      <w:r w:rsidRPr="005D6CE5">
        <w:rPr>
          <w:rFonts w:hint="eastAsia"/>
        </w:rPr>
        <w:t>），或是，僅是就有關條約作用權威性詮釋的機構。以上，請進一步參閱：維基百科</w:t>
      </w:r>
      <w:r w:rsidRPr="005D6CE5">
        <w:rPr>
          <w:rFonts w:hint="eastAsia"/>
        </w:rPr>
        <w:t>(2015)</w:t>
      </w:r>
      <w:r w:rsidRPr="005D6CE5">
        <w:rPr>
          <w:rFonts w:hint="eastAsia"/>
        </w:rPr>
        <w:t>，聯合國人權事務委員會，上網瀏覽時間：</w:t>
      </w:r>
      <w:r w:rsidRPr="005D6CE5">
        <w:rPr>
          <w:rFonts w:hint="eastAsia"/>
        </w:rPr>
        <w:t>2015/06/21</w:t>
      </w:r>
      <w:r w:rsidRPr="005D6CE5">
        <w:rPr>
          <w:rFonts w:hint="eastAsia"/>
        </w:rPr>
        <w:t>，</w:t>
      </w:r>
      <w:r w:rsidRPr="005D6CE5">
        <w:t>https://zh.wikipedia.org/wiki/%E8%81%94%E5%90%88%E5%9B%BD%E4%BA%BA%E6%9D%83%E4%BA%8B%E5%8A%A1%E5%A7%94%E5%91%98%E4%BC%9A</w:t>
      </w:r>
      <w:r w:rsidRPr="005D6CE5">
        <w:rPr>
          <w:rFonts w:hint="eastAsia"/>
        </w:rPr>
        <w:t>。</w:t>
      </w:r>
    </w:p>
  </w:footnote>
  <w:footnote w:id="14">
    <w:p w14:paraId="61EB7F86" w14:textId="77777777" w:rsidR="00CA23FA" w:rsidRPr="005D6CE5" w:rsidRDefault="00CA23FA" w:rsidP="00E108EB">
      <w:pPr>
        <w:pStyle w:val="3"/>
        <w:jc w:val="left"/>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15">
    <w:p w14:paraId="2288345D" w14:textId="77777777" w:rsidR="00CA23FA" w:rsidRPr="005D6CE5" w:rsidRDefault="00CA23FA" w:rsidP="00E108EB">
      <w:pPr>
        <w:pStyle w:val="3"/>
        <w:jc w:val="left"/>
        <w:rPr>
          <w:b/>
        </w:rPr>
      </w:pPr>
      <w:r w:rsidRPr="005D6CE5">
        <w:rPr>
          <w:rStyle w:val="af3"/>
        </w:rPr>
        <w:footnoteRef/>
      </w:r>
      <w:r w:rsidRPr="005D6CE5">
        <w:t xml:space="preserve"> </w:t>
      </w:r>
      <w:r w:rsidRPr="005D6CE5">
        <w:rPr>
          <w:rFonts w:hint="eastAsia"/>
        </w:rPr>
        <w:t>根據美洲人權公約序言之規定，「承認人的基本權利的來源並非由於某人是某一國家的公民，而是根據人類人格的屬性，因此以公約形式來加強或補充美洲國家國內法提供的保護而對上述權利給予國際性保護是正當的。」上述之基本權利，包括平等權。</w:t>
      </w:r>
      <w:r w:rsidRPr="005D6CE5">
        <w:t xml:space="preserve"> </w:t>
      </w:r>
    </w:p>
  </w:footnote>
  <w:footnote w:id="16">
    <w:p w14:paraId="5E4D90DA" w14:textId="77777777" w:rsidR="00CA23FA" w:rsidRPr="005D6CE5" w:rsidRDefault="00CA23FA" w:rsidP="00E108EB">
      <w:pPr>
        <w:pStyle w:val="3"/>
        <w:jc w:val="left"/>
        <w:rPr>
          <w:b/>
        </w:rPr>
      </w:pPr>
      <w:r w:rsidRPr="005D6CE5">
        <w:rPr>
          <w:rStyle w:val="af3"/>
        </w:rPr>
        <w:footnoteRef/>
      </w:r>
      <w:r w:rsidRPr="005D6CE5">
        <w:rPr>
          <w:rFonts w:hint="eastAsia"/>
        </w:rPr>
        <w:t>一九六九年十一月二十二日訂於哥斯達黎加聖約瑟城。</w:t>
      </w:r>
    </w:p>
  </w:footnote>
  <w:footnote w:id="17">
    <w:p w14:paraId="60BAD675" w14:textId="77777777" w:rsidR="00CA23FA" w:rsidRPr="005D6CE5" w:rsidRDefault="00CA23FA" w:rsidP="00E108EB">
      <w:pPr>
        <w:pStyle w:val="3"/>
        <w:jc w:val="left"/>
        <w:rPr>
          <w:b/>
        </w:rPr>
      </w:pPr>
      <w:r w:rsidRPr="005D6CE5">
        <w:rPr>
          <w:rStyle w:val="af3"/>
        </w:rPr>
        <w:footnoteRef/>
      </w:r>
      <w:r w:rsidRPr="005D6CE5">
        <w:t xml:space="preserve"> </w:t>
      </w:r>
      <w:r w:rsidRPr="005D6CE5">
        <w:rPr>
          <w:rFonts w:hint="eastAsia"/>
        </w:rPr>
        <w:t>第一條係規範「尊重權利的義務」。</w:t>
      </w:r>
    </w:p>
  </w:footnote>
  <w:footnote w:id="18">
    <w:p w14:paraId="7AC2297B" w14:textId="77777777" w:rsidR="00CA23FA" w:rsidRPr="005D6CE5" w:rsidRDefault="00CA23FA" w:rsidP="00E108EB">
      <w:pPr>
        <w:pStyle w:val="3"/>
        <w:jc w:val="left"/>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19">
    <w:p w14:paraId="05BE51DE"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0">
    <w:p w14:paraId="715760A0"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1">
    <w:p w14:paraId="4022D60F" w14:textId="77777777" w:rsidR="00CA23FA" w:rsidRPr="005D6CE5" w:rsidRDefault="00CA23FA" w:rsidP="00D87D91">
      <w:pPr>
        <w:pStyle w:val="3"/>
        <w:rPr>
          <w:b/>
        </w:rPr>
      </w:pPr>
      <w:r w:rsidRPr="005D6CE5">
        <w:rPr>
          <w:rStyle w:val="af3"/>
        </w:rPr>
        <w:footnoteRef/>
      </w:r>
      <w:r w:rsidRPr="005D6CE5">
        <w:t>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r w:rsidRPr="005D6CE5">
        <w:rPr>
          <w:rFonts w:hint="eastAsia"/>
        </w:rPr>
        <w:t xml:space="preserve"> </w:t>
      </w:r>
    </w:p>
  </w:footnote>
  <w:footnote w:id="22">
    <w:p w14:paraId="137AC1B6" w14:textId="77777777" w:rsidR="00CA23FA" w:rsidRPr="005D6CE5" w:rsidRDefault="00CA23FA" w:rsidP="00D87D91">
      <w:pPr>
        <w:pStyle w:val="3"/>
        <w:rPr>
          <w:b/>
        </w:rPr>
      </w:pPr>
      <w:r w:rsidRPr="005D6CE5">
        <w:rPr>
          <w:rStyle w:val="af3"/>
        </w:rPr>
        <w:footnoteRef/>
      </w:r>
      <w:r w:rsidRPr="005D6CE5">
        <w:t xml:space="preserve"> </w:t>
      </w:r>
      <w:r w:rsidRPr="005D6CE5">
        <w:rPr>
          <w:rFonts w:hint="eastAsia"/>
        </w:rPr>
        <w:t>差異化處遇具有工具與手段之性質。</w:t>
      </w:r>
      <w:r w:rsidRPr="005D6CE5">
        <w:t xml:space="preserve"> </w:t>
      </w:r>
    </w:p>
  </w:footnote>
  <w:footnote w:id="23">
    <w:p w14:paraId="676628CC"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4">
    <w:p w14:paraId="55381777"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5">
    <w:p w14:paraId="63E905A6"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6">
    <w:p w14:paraId="7D8A8DD6"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 xml:space="preserve">A Manual on Human Rights for Judges, Prosecutors and Lawyers. New York, pp 651-656. </w:t>
      </w:r>
    </w:p>
  </w:footnote>
  <w:footnote w:id="27">
    <w:p w14:paraId="47705775"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8">
    <w:p w14:paraId="3BD80224" w14:textId="77777777" w:rsidR="00CA23FA" w:rsidRPr="001663AE" w:rsidRDefault="00CA23FA" w:rsidP="00D87D91">
      <w:pPr>
        <w:pStyle w:val="3"/>
      </w:pPr>
      <w:r w:rsidRPr="001663AE">
        <w:rPr>
          <w:rStyle w:val="af3"/>
          <w:rFonts w:ascii="新細明體" w:hAnsi="新細明體"/>
        </w:rPr>
        <w:footnoteRef/>
      </w:r>
      <w:r w:rsidRPr="001663AE">
        <w:rPr>
          <w:rFonts w:hint="eastAsia"/>
        </w:rPr>
        <w:t>財政部中華民國九十六年六月十四日台財稅字第０九六０四五０一八七０號令：「一、貨物稅條例第十一條第一項第二款規定之彩色電視機須同時具備彩色顯示器及電視調諧器二大主要部分。二、廠商產製（或進口）之彩色顯示器，本體不具有電視調諧器（</w:t>
      </w:r>
      <w:r w:rsidRPr="001663AE">
        <w:t>TV Tuner</w:t>
      </w:r>
      <w:r w:rsidRPr="001663AE">
        <w:rPr>
          <w:rFonts w:hint="eastAsia"/>
        </w:rPr>
        <w:t>）裝置，且產品名稱、功能型錄及外包裝未標示有電視字樣，亦未併同具有電視調諧器功能之機具出廠（或進口）者，因無法直接接收電視視頻訊號及播放電視節目，核非屬彩色電視機之範圍，免於出廠（或進口）時課徵貨物稅。三、廠商產製（或進口）電視調諧器或具有電視調諧器功能之機具，本體不具有影像顯示功能，且未併同彩色顯示器出廠（或進口）者，亦免於出廠（或進口）時課徵貨物稅。」</w:t>
      </w:r>
    </w:p>
  </w:footnote>
  <w:footnote w:id="29">
    <w:p w14:paraId="68D6E25D" w14:textId="77777777"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 xml:space="preserve">A Manual on Human Rights for Judges, Prosecutors and Lawyers. New York, pp 651-656. </w:t>
      </w:r>
    </w:p>
  </w:footnote>
  <w:footnote w:id="30">
    <w:p w14:paraId="16B6E7F9" w14:textId="77777777" w:rsidR="00CA23FA" w:rsidRPr="0021336D" w:rsidRDefault="00CA23FA" w:rsidP="00D87D91">
      <w:pPr>
        <w:pStyle w:val="3"/>
        <w:rPr>
          <w:b/>
        </w:rPr>
      </w:pPr>
      <w:r w:rsidRPr="0021336D">
        <w:rPr>
          <w:rStyle w:val="af3"/>
        </w:rPr>
        <w:footnoteRef/>
      </w:r>
      <w:r w:rsidRPr="0021336D">
        <w:t xml:space="preserve"> United Nations(2003). Professional Training Series No. 9</w:t>
      </w:r>
      <w:r w:rsidRPr="0021336D">
        <w:rPr>
          <w:rFonts w:hint="eastAsia"/>
        </w:rPr>
        <w:t>：</w:t>
      </w:r>
      <w:r w:rsidRPr="0021336D">
        <w:t xml:space="preserve"> Human Rights in The Administration of Justice</w:t>
      </w:r>
      <w:r>
        <w:t>〜</w:t>
      </w:r>
      <w:r w:rsidRPr="0021336D">
        <w:t>A Manual on Human Rights for Judges, Prosecutors and Lawyers. New York, pp 651-656.</w:t>
      </w:r>
    </w:p>
  </w:footnote>
  <w:footnote w:id="31">
    <w:p w14:paraId="01EDFB4D" w14:textId="77777777" w:rsidR="00CA23FA" w:rsidRPr="0021336D" w:rsidRDefault="00CA23FA" w:rsidP="00D87D91">
      <w:pPr>
        <w:pStyle w:val="3"/>
        <w:rPr>
          <w:b/>
        </w:rPr>
      </w:pPr>
      <w:r w:rsidRPr="0021336D">
        <w:rPr>
          <w:rStyle w:val="af3"/>
        </w:rPr>
        <w:footnoteRef/>
      </w:r>
      <w:r w:rsidRPr="0021336D">
        <w:t xml:space="preserve"> United Nations(2003). Professional Training Series No. 9</w:t>
      </w:r>
      <w:r w:rsidRPr="0021336D">
        <w:rPr>
          <w:rFonts w:hint="eastAsia"/>
        </w:rPr>
        <w:t>：</w:t>
      </w:r>
      <w:r w:rsidRPr="0021336D">
        <w:t xml:space="preserve"> Human Rights in The Administration of Justice</w:t>
      </w:r>
      <w:r>
        <w:t>〜</w:t>
      </w:r>
      <w:r w:rsidRPr="0021336D">
        <w:t>A Manual on Human Rights for Judges, Prosecutors and Lawyers. New York, pp 651-656.</w:t>
      </w:r>
    </w:p>
  </w:footnote>
  <w:footnote w:id="32">
    <w:p w14:paraId="21CE6329" w14:textId="77777777" w:rsidR="00CA23FA" w:rsidRPr="0021336D" w:rsidRDefault="00CA23FA" w:rsidP="00D87D91">
      <w:pPr>
        <w:pStyle w:val="3"/>
        <w:rPr>
          <w:b/>
        </w:rPr>
      </w:pPr>
      <w:r w:rsidRPr="0021336D">
        <w:rPr>
          <w:rStyle w:val="af3"/>
        </w:rPr>
        <w:footnoteRef/>
      </w:r>
      <w:r w:rsidRPr="0021336D">
        <w:t xml:space="preserve"> United Nations(2003). Professional Training Series No. 9</w:t>
      </w:r>
      <w:r w:rsidRPr="0021336D">
        <w:rPr>
          <w:rFonts w:hint="eastAsia"/>
        </w:rPr>
        <w:t>：</w:t>
      </w:r>
      <w:r w:rsidRPr="0021336D">
        <w:t xml:space="preserve"> Human Rights in The Administration of Justice</w:t>
      </w:r>
      <w:r>
        <w:t>〜</w:t>
      </w:r>
      <w:r w:rsidRPr="0021336D">
        <w:t>A Manual on Human Rights for Judges, Prosecutors and Lawyers. New York, pp 651-656.</w:t>
      </w:r>
    </w:p>
  </w:footnote>
  <w:footnote w:id="33">
    <w:p w14:paraId="05BED97E" w14:textId="77777777" w:rsidR="00CA23FA" w:rsidRPr="001F6A1B" w:rsidRDefault="00CA23FA" w:rsidP="00D87D91">
      <w:pPr>
        <w:pStyle w:val="3"/>
        <w:rPr>
          <w:b/>
        </w:rPr>
      </w:pPr>
      <w:r w:rsidRPr="001F6A1B">
        <w:rPr>
          <w:rStyle w:val="af3"/>
          <w:sz w:val="18"/>
          <w:szCs w:val="20"/>
        </w:rPr>
        <w:footnoteRef/>
      </w:r>
      <w:r w:rsidRPr="001F6A1B">
        <w:t xml:space="preserve"> </w:t>
      </w:r>
      <w:r w:rsidRPr="001F6A1B">
        <w:rPr>
          <w:rFonts w:hint="eastAsia"/>
        </w:rPr>
        <w:t>司法一元制，指人民犯罪須由司法機關辦理，僅有普通法院，依刑事訴訟法之程序，始可審問或處罰犯罪者。且除非法律有特別規定，亦不受特別法院之管轄，而由統一的普通法院辦理。司法二元制，係指審判權的雙軌或多軌化，除了普通法院以外，會依據裁判所涉事務之性質設立不同屬性之特殊法院，例如法國之中央行政法院、德國之聯邦行政法院、憲法法院、財務法院、社會法院、勞動法院等等。我國除普通法院外，另設有行政法院，因此就此一層面而言，我國除普通法院外，另設有行政法院，比較像是德法等國之制度，可以稱為司法二元制。司法一元制，則為美國之制度，除普通法院之外，不設置特殊性質之法院。大陸法係採司法二元制，英美法係採司法一元制。以上，請參閱：</w:t>
      </w:r>
      <w:hyperlink r:id="rId7" w:history="1">
        <w:r w:rsidRPr="001F6A1B">
          <w:rPr>
            <w:rStyle w:val="a5"/>
            <w:rFonts w:ascii="Arial Unicode MS" w:hAnsi="Arial Unicode MS"/>
            <w:sz w:val="18"/>
            <w:szCs w:val="20"/>
          </w:rPr>
          <w:t>http</w:t>
        </w:r>
        <w:r w:rsidRPr="001F6A1B">
          <w:rPr>
            <w:rStyle w:val="a5"/>
            <w:rFonts w:ascii="Arial Unicode MS" w:hAnsi="Arial Unicode MS" w:hint="eastAsia"/>
            <w:sz w:val="18"/>
            <w:szCs w:val="20"/>
          </w:rPr>
          <w:t>：</w:t>
        </w:r>
        <w:r w:rsidRPr="001F6A1B">
          <w:rPr>
            <w:rStyle w:val="a5"/>
            <w:rFonts w:ascii="Arial Unicode MS" w:hAnsi="Arial Unicode MS"/>
            <w:sz w:val="18"/>
            <w:szCs w:val="20"/>
          </w:rPr>
          <w:t>//tw.knowledge.yahoo.com/question/question?qid=1306022521296</w:t>
        </w:r>
      </w:hyperlink>
      <w:r w:rsidRPr="001F6A1B">
        <w:rPr>
          <w:rFonts w:hint="eastAsia"/>
        </w:rPr>
        <w:t>，瀏覽日期：</w:t>
      </w:r>
      <w:r w:rsidRPr="001F6A1B">
        <w:t>2013</w:t>
      </w:r>
      <w:r w:rsidRPr="001F6A1B">
        <w:rPr>
          <w:rFonts w:hint="eastAsia"/>
        </w:rPr>
        <w:t>年</w:t>
      </w:r>
      <w:r w:rsidRPr="001F6A1B">
        <w:t>7</w:t>
      </w:r>
      <w:r w:rsidRPr="001F6A1B">
        <w:rPr>
          <w:rFonts w:hint="eastAsia"/>
        </w:rPr>
        <w:t>月</w:t>
      </w:r>
      <w:r w:rsidRPr="001F6A1B">
        <w:t>10</w:t>
      </w:r>
      <w:r w:rsidRPr="001F6A1B">
        <w:rPr>
          <w:rFonts w:hint="eastAsia"/>
        </w:rPr>
        <w:t>日。</w:t>
      </w:r>
    </w:p>
    <w:p w14:paraId="05AA66BB" w14:textId="77777777" w:rsidR="00CA23FA" w:rsidRPr="001F6A1B" w:rsidRDefault="00CA23FA" w:rsidP="00D87D91">
      <w:pPr>
        <w:pStyle w:val="3"/>
        <w:rPr>
          <w:b/>
        </w:rPr>
      </w:pPr>
      <w:r w:rsidRPr="001F6A1B">
        <w:t>Yahoo</w:t>
      </w:r>
      <w:r w:rsidRPr="001F6A1B">
        <w:rPr>
          <w:rFonts w:hint="eastAsia"/>
        </w:rPr>
        <w:t>奇摩知識網</w:t>
      </w:r>
      <w:r w:rsidRPr="001F6A1B">
        <w:t>(2006)</w:t>
      </w:r>
      <w:r w:rsidRPr="001F6A1B">
        <w:rPr>
          <w:rFonts w:hint="eastAsia"/>
        </w:rPr>
        <w:t>，司法一元制還是司法二元制，瀏覽日期：</w:t>
      </w:r>
      <w:r w:rsidRPr="001F6A1B">
        <w:t>2013</w:t>
      </w:r>
      <w:r w:rsidRPr="001F6A1B">
        <w:rPr>
          <w:rFonts w:hint="eastAsia"/>
        </w:rPr>
        <w:t>年</w:t>
      </w:r>
      <w:r w:rsidRPr="001F6A1B">
        <w:t>6</w:t>
      </w:r>
      <w:r w:rsidRPr="001F6A1B">
        <w:rPr>
          <w:rFonts w:hint="eastAsia"/>
        </w:rPr>
        <w:t>月</w:t>
      </w:r>
      <w:r w:rsidRPr="001F6A1B">
        <w:t>10</w:t>
      </w:r>
      <w:r w:rsidRPr="001F6A1B">
        <w:rPr>
          <w:rFonts w:hint="eastAsia"/>
        </w:rPr>
        <w:t>日</w:t>
      </w:r>
      <w:hyperlink r:id="rId8" w:history="1">
        <w:r w:rsidRPr="001F6A1B">
          <w:rPr>
            <w:rStyle w:val="a5"/>
            <w:rFonts w:ascii="Arial Unicode MS" w:hAnsi="Arial Unicode MS"/>
            <w:sz w:val="18"/>
            <w:szCs w:val="20"/>
          </w:rPr>
          <w:t>http://tw.knowledge.yahoo.com/question/question?qid=1306022521296</w:t>
        </w:r>
      </w:hyperlink>
      <w:r w:rsidRPr="001F6A1B">
        <w:rPr>
          <w:rFonts w:hint="eastAsia"/>
        </w:rPr>
        <w:t>。</w:t>
      </w:r>
    </w:p>
    <w:p w14:paraId="7533D0FF" w14:textId="77777777" w:rsidR="00CA23FA" w:rsidRPr="001F6A1B" w:rsidRDefault="00CA23FA" w:rsidP="00D87D91">
      <w:pPr>
        <w:pStyle w:val="3"/>
        <w:rPr>
          <w:b/>
        </w:rPr>
      </w:pPr>
      <w:r w:rsidRPr="001F6A1B">
        <w:rPr>
          <w:rFonts w:hint="eastAsia"/>
        </w:rPr>
        <w:t>李念祖，</w:t>
      </w:r>
      <w:r w:rsidRPr="001F6A1B">
        <w:rPr>
          <w:rStyle w:val="afc"/>
          <w:rFonts w:hint="eastAsia"/>
          <w:b w:val="0"/>
          <w:szCs w:val="20"/>
        </w:rPr>
        <w:t>打破「司法一元主義」的概念孤寂！</w:t>
      </w:r>
      <w:r w:rsidRPr="001F6A1B">
        <w:rPr>
          <w:rFonts w:hint="eastAsia"/>
        </w:rPr>
        <w:t>，瀏覽日期：</w:t>
      </w:r>
      <w:r w:rsidRPr="001F6A1B">
        <w:t>2013</w:t>
      </w:r>
      <w:r w:rsidRPr="001F6A1B">
        <w:rPr>
          <w:rFonts w:hint="eastAsia"/>
        </w:rPr>
        <w:t>年</w:t>
      </w:r>
      <w:r w:rsidRPr="001F6A1B">
        <w:t>7</w:t>
      </w:r>
      <w:r w:rsidRPr="001F6A1B">
        <w:rPr>
          <w:rFonts w:hint="eastAsia"/>
        </w:rPr>
        <w:t>月</w:t>
      </w:r>
      <w:r w:rsidRPr="001F6A1B">
        <w:t>10</w:t>
      </w:r>
      <w:r w:rsidRPr="001F6A1B">
        <w:rPr>
          <w:rFonts w:hint="eastAsia"/>
        </w:rPr>
        <w:t>日，</w:t>
      </w:r>
      <w:hyperlink r:id="rId9" w:history="1">
        <w:r w:rsidRPr="001F6A1B">
          <w:rPr>
            <w:rStyle w:val="a5"/>
            <w:rFonts w:ascii="Arial Unicode MS" w:hAnsi="Arial Unicode MS"/>
            <w:sz w:val="18"/>
            <w:szCs w:val="20"/>
          </w:rPr>
          <w:t>http</w:t>
        </w:r>
        <w:r w:rsidRPr="001F6A1B">
          <w:rPr>
            <w:rStyle w:val="a5"/>
            <w:rFonts w:ascii="Arial Unicode MS" w:hAnsi="Arial Unicode MS" w:hint="eastAsia"/>
            <w:sz w:val="18"/>
            <w:szCs w:val="20"/>
          </w:rPr>
          <w:t>：</w:t>
        </w:r>
        <w:r w:rsidRPr="001F6A1B">
          <w:rPr>
            <w:rStyle w:val="a5"/>
            <w:rFonts w:ascii="Arial Unicode MS" w:hAnsi="Arial Unicode MS"/>
            <w:sz w:val="18"/>
            <w:szCs w:val="20"/>
          </w:rPr>
          <w:t>//www.jrf.org.tw/newjrf/RTE/myform_detail.asp?id=1664</w:t>
        </w:r>
      </w:hyperlink>
      <w:r w:rsidRPr="001F6A1B">
        <w:rPr>
          <w:rFonts w:hint="eastAsia"/>
        </w:rPr>
        <w:t>。</w:t>
      </w:r>
      <w:r w:rsidRPr="001F6A1B">
        <w:t xml:space="preserve"> </w:t>
      </w:r>
    </w:p>
  </w:footnote>
  <w:footnote w:id="34">
    <w:p w14:paraId="5FE5C843" w14:textId="77777777" w:rsidR="00CA23FA" w:rsidRPr="001F6A1B" w:rsidRDefault="00CA23FA" w:rsidP="00D87D91">
      <w:pPr>
        <w:pStyle w:val="3"/>
        <w:rPr>
          <w:b/>
        </w:rPr>
      </w:pPr>
      <w:r w:rsidRPr="001F6A1B">
        <w:rPr>
          <w:rStyle w:val="af3"/>
          <w:sz w:val="18"/>
        </w:rPr>
        <w:footnoteRef/>
      </w:r>
      <w:r w:rsidRPr="001F6A1B">
        <w:rPr>
          <w:rFonts w:hint="eastAsia"/>
        </w:rPr>
        <w:t>謝瑞智</w:t>
      </w:r>
      <w:r w:rsidRPr="001F6A1B">
        <w:t>(1996)</w:t>
      </w:r>
      <w:r w:rsidRPr="001F6A1B">
        <w:rPr>
          <w:rFonts w:hint="eastAsia"/>
        </w:rPr>
        <w:t>，中華民國憲法精義與立國精神，文笙書局，頁</w:t>
      </w:r>
      <w:r w:rsidRPr="001F6A1B">
        <w:t>115-116</w:t>
      </w:r>
      <w:r w:rsidRPr="001F6A1B">
        <w:rPr>
          <w:rFonts w:hint="eastAsia"/>
        </w:rPr>
        <w:t>。</w:t>
      </w:r>
    </w:p>
  </w:footnote>
  <w:footnote w:id="35">
    <w:p w14:paraId="0D409579" w14:textId="77777777" w:rsidR="00CA23FA" w:rsidRPr="00B03E84" w:rsidRDefault="00CA23FA" w:rsidP="00D87D91">
      <w:pPr>
        <w:pStyle w:val="3"/>
      </w:pPr>
      <w:r w:rsidRPr="00B03E84">
        <w:rPr>
          <w:rStyle w:val="af3"/>
          <w:rFonts w:ascii="新細明體" w:hAnsi="新細明體"/>
          <w:szCs w:val="18"/>
        </w:rPr>
        <w:footnoteRef/>
      </w:r>
      <w:r w:rsidRPr="00B03E84">
        <w:t xml:space="preserve"> </w:t>
      </w:r>
      <w:r w:rsidRPr="00B03E84">
        <w:rPr>
          <w:rFonts w:hint="eastAsia"/>
          <w:lang w:bidi="bn-IN"/>
        </w:rPr>
        <w:t>司法院釋字第</w:t>
      </w:r>
      <w:r w:rsidRPr="00B03E84">
        <w:rPr>
          <w:lang w:bidi="bn-IN"/>
        </w:rPr>
        <w:t>710</w:t>
      </w:r>
      <w:r w:rsidRPr="00B03E84">
        <w:rPr>
          <w:rFonts w:hint="eastAsia"/>
          <w:lang w:bidi="bn-IN"/>
        </w:rPr>
        <w:t>號解釋文：</w:t>
      </w:r>
      <w:r w:rsidRPr="00B03E84">
        <w:rPr>
          <w:rFonts w:hint="eastAsia"/>
        </w:rPr>
        <w:t>中華民國九十二年十月二十九日修正公布之臺灣地區與大陸地區人民關係條例第十八條第一項規定：「進入臺灣地區之大陸地區人民，有下列情形之一者，治安機關得逕行強制出境。</w:t>
      </w:r>
      <w:r w:rsidRPr="00B03E84">
        <w:t>……</w:t>
      </w:r>
      <w:r w:rsidRPr="00B03E84">
        <w:rPr>
          <w:rFonts w:hint="eastAsia"/>
        </w:rPr>
        <w:t>」（該條於九十八年七月一日為文字修正）除因危害國家安全或社會秩序而須為急速處分之情形外，對於經許可合法入境之大陸地區人民，未予申辯之機會，即得逕行強制出境部分，有違憲法正當法律程序原則，不符憲法第十條保障遷徙自由之意旨。同條第二項規定：「前項大陸地區人民，於強制出境前，得暫予收容</w:t>
      </w:r>
      <w:r w:rsidRPr="00B03E84">
        <w:t>……</w:t>
      </w:r>
      <w:r w:rsidRPr="00B03E84">
        <w:rPr>
          <w:rFonts w:hint="eastAsia"/>
        </w:rPr>
        <w:t>」（即九十八年七月一日修正公布之同條例第十八條第三項），未能顯示應限於非暫予收容顯難強制出境者，始得暫予收容之意旨，亦未明定暫予收容之事由，有違法律明確性原則；於因執行遣送所需合理作業期間內之暫時收容部分，未予受暫時收容人即時之司法救濟；於逾越前開暫時收容期間之收容部分，未由法院審查決定，均有違憲法正當法律程序原則，不符憲法第八條保障人身自由之意旨。又同條例關於暫予收容未設期間限制，有導致受收容人身體自由遭受過度剝奪之虞，有違憲法第二十三條比例原則，亦不符憲法第八條保障人身自由之意旨。前揭第十八條第一項與本解釋意旨不符部分及第二項關於暫予收容之規定均應自本解釋公布之日起，至遲於屆滿二年時失其效力。</w:t>
      </w:r>
    </w:p>
  </w:footnote>
  <w:footnote w:id="36">
    <w:p w14:paraId="01B3025A"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參閱司法院釋字第三八四號、第五八八號、第六三六號、第七０八號解釋。</w:t>
      </w:r>
    </w:p>
  </w:footnote>
  <w:footnote w:id="37">
    <w:p w14:paraId="4B6DDD6F"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參閱司法院釋字第六一八號解釋。</w:t>
      </w:r>
    </w:p>
  </w:footnote>
  <w:footnote w:id="38">
    <w:p w14:paraId="50D4C1A5"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參閱司法院釋字第四九七號、第五五八號解釋。</w:t>
      </w:r>
    </w:p>
  </w:footnote>
  <w:footnote w:id="39">
    <w:p w14:paraId="0D15AB04"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參酌聯合國公民與政治權利國際公約第十二條及第十五號一般性意見第六點。</w:t>
      </w:r>
    </w:p>
  </w:footnote>
  <w:footnote w:id="40">
    <w:p w14:paraId="134E644A"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參酌聯合國公民與政治權利國際公約第十三條、歐洲人權公約第七號議定書第一條。</w:t>
      </w:r>
    </w:p>
  </w:footnote>
  <w:footnote w:id="41">
    <w:p w14:paraId="416A2853"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本條於九十八年七月一日修正公布，第一項僅為文字修正。</w:t>
      </w:r>
    </w:p>
  </w:footnote>
  <w:footnote w:id="42">
    <w:p w14:paraId="2099CFE5"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請參閱：</w:t>
      </w:r>
      <w:r w:rsidRPr="001663AE">
        <w:rPr>
          <w:rFonts w:hint="eastAsia"/>
          <w:lang w:bidi="bn-IN"/>
        </w:rPr>
        <w:t>司法院釋字第</w:t>
      </w:r>
      <w:r w:rsidRPr="001663AE">
        <w:rPr>
          <w:lang w:bidi="bn-IN"/>
        </w:rPr>
        <w:t>710</w:t>
      </w:r>
      <w:r w:rsidRPr="001663AE">
        <w:rPr>
          <w:rFonts w:hint="eastAsia"/>
          <w:lang w:bidi="bn-IN"/>
        </w:rPr>
        <w:t>號解釋。</w:t>
      </w:r>
    </w:p>
  </w:footnote>
  <w:footnote w:id="43">
    <w:p w14:paraId="47C95291"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即九十八年七月一日修正公布之同條例第十八條第三項。</w:t>
      </w:r>
    </w:p>
  </w:footnote>
  <w:footnote w:id="44">
    <w:p w14:paraId="11715E5E"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參照內政部發布之大陸地區人民及香港澳門居民收容處所設置及管理辦法。</w:t>
      </w:r>
    </w:p>
  </w:footnote>
  <w:footnote w:id="45">
    <w:p w14:paraId="453DFFE2"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司法院釋字第四四三號、第五二三號解釋參照。</w:t>
      </w:r>
    </w:p>
  </w:footnote>
  <w:footnote w:id="46">
    <w:p w14:paraId="768E62BB"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司法院釋字第六三六號、第六九０號解釋參照。</w:t>
      </w:r>
    </w:p>
  </w:footnote>
  <w:footnote w:id="47">
    <w:p w14:paraId="4F6E93C6"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司法院釋字第三八四號、第五八八號解釋參照。</w:t>
      </w:r>
    </w:p>
  </w:footnote>
  <w:footnote w:id="48">
    <w:p w14:paraId="6027E5E0"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司法院釋字第五八八號、第七０八號解釋參照。</w:t>
      </w:r>
    </w:p>
  </w:footnote>
  <w:footnote w:id="49">
    <w:p w14:paraId="75AA9F22"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司法院釋字第七０八號解釋參照。</w:t>
      </w:r>
    </w:p>
  </w:footnote>
  <w:footnote w:id="50">
    <w:p w14:paraId="2DA7D69C"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w:t>
      </w:r>
      <w:r w:rsidRPr="001663AE">
        <w:rPr>
          <w:rFonts w:hint="eastAsia"/>
          <w:lang w:bidi="bn-IN"/>
        </w:rPr>
        <w:t>司法院釋字第</w:t>
      </w:r>
      <w:r w:rsidRPr="001663AE">
        <w:rPr>
          <w:lang w:bidi="bn-IN"/>
        </w:rPr>
        <w:t>710</w:t>
      </w:r>
      <w:r w:rsidRPr="001663AE">
        <w:rPr>
          <w:rFonts w:hint="eastAsia"/>
          <w:lang w:bidi="bn-IN"/>
        </w:rPr>
        <w:t>號解釋。</w:t>
      </w:r>
    </w:p>
  </w:footnote>
  <w:footnote w:id="51">
    <w:p w14:paraId="1AE0F0DF" w14:textId="77777777" w:rsidR="00CA23FA" w:rsidRPr="001663AE" w:rsidRDefault="00CA23FA" w:rsidP="00D87D91">
      <w:pPr>
        <w:pStyle w:val="3"/>
      </w:pPr>
      <w:r w:rsidRPr="001663AE">
        <w:rPr>
          <w:rStyle w:val="af3"/>
          <w:rFonts w:ascii="新細明體" w:hAnsi="新細明體"/>
        </w:rPr>
        <w:footnoteRef/>
      </w:r>
      <w:r w:rsidRPr="001663AE">
        <w:rPr>
          <w:rFonts w:hint="eastAsia"/>
        </w:rPr>
        <w:t>法務部</w:t>
      </w:r>
      <w:r w:rsidRPr="001663AE">
        <w:t>(2013)</w:t>
      </w:r>
      <w:r w:rsidRPr="001663AE">
        <w:rPr>
          <w:rFonts w:hint="eastAsia"/>
        </w:rPr>
        <w:t>，對於軍事審判法第</w:t>
      </w:r>
      <w:r w:rsidRPr="001663AE">
        <w:t>1</w:t>
      </w:r>
      <w:r w:rsidRPr="001663AE">
        <w:rPr>
          <w:rFonts w:hint="eastAsia"/>
        </w:rPr>
        <w:t>條、第</w:t>
      </w:r>
      <w:r w:rsidRPr="001663AE">
        <w:t>34</w:t>
      </w:r>
      <w:r w:rsidRPr="001663AE">
        <w:rPr>
          <w:rFonts w:hint="eastAsia"/>
        </w:rPr>
        <w:t>條及第</w:t>
      </w:r>
      <w:r w:rsidRPr="001663AE">
        <w:t>237</w:t>
      </w:r>
      <w:r w:rsidRPr="001663AE">
        <w:rPr>
          <w:rFonts w:hint="eastAsia"/>
        </w:rPr>
        <w:t>條修正施行後之相關事宜，上網瀏覽時間：</w:t>
      </w:r>
      <w:r w:rsidRPr="001663AE">
        <w:t>2013/08/17</w:t>
      </w:r>
      <w:r w:rsidRPr="001663AE">
        <w:rPr>
          <w:rFonts w:hint="eastAsia"/>
        </w:rPr>
        <w:t>，</w:t>
      </w:r>
      <w:hyperlink r:id="rId10" w:history="1">
        <w:r w:rsidRPr="001663AE">
          <w:rPr>
            <w:rStyle w:val="a5"/>
          </w:rPr>
          <w:t>http://www.moj.gov.tw/content.asp?cuItem=315176</w:t>
        </w:r>
      </w:hyperlink>
      <w:r w:rsidRPr="001663AE">
        <w:rPr>
          <w:rFonts w:hint="eastAsia"/>
        </w:rPr>
        <w:t>。</w:t>
      </w:r>
    </w:p>
    <w:p w14:paraId="42855874" w14:textId="77777777" w:rsidR="00CA23FA" w:rsidRPr="001663AE" w:rsidRDefault="00CA23FA" w:rsidP="00D87D91">
      <w:pPr>
        <w:pStyle w:val="3"/>
      </w:pPr>
      <w:r w:rsidRPr="001663AE">
        <w:rPr>
          <w:rFonts w:hint="eastAsia"/>
        </w:rPr>
        <w:t>楊毅</w:t>
      </w:r>
      <w:r w:rsidRPr="001663AE">
        <w:t>(2013)</w:t>
      </w:r>
      <w:r w:rsidRPr="001663AE">
        <w:rPr>
          <w:rFonts w:hint="eastAsia"/>
        </w:rPr>
        <w:t>，洪仲丘案立即適用，軍審修法，</w:t>
      </w:r>
      <w:r w:rsidRPr="001663AE">
        <w:t>2</w:t>
      </w:r>
      <w:r w:rsidRPr="001663AE">
        <w:rPr>
          <w:rFonts w:hint="eastAsia"/>
        </w:rPr>
        <w:t>小時過關，中國時報，</w:t>
      </w:r>
      <w:r w:rsidRPr="001663AE">
        <w:t>2013</w:t>
      </w:r>
      <w:r w:rsidRPr="001663AE">
        <w:rPr>
          <w:rFonts w:hint="eastAsia"/>
        </w:rPr>
        <w:t>年</w:t>
      </w:r>
      <w:r w:rsidRPr="001663AE">
        <w:t>8</w:t>
      </w:r>
      <w:r w:rsidRPr="001663AE">
        <w:rPr>
          <w:rFonts w:hint="eastAsia"/>
        </w:rPr>
        <w:t>月</w:t>
      </w:r>
      <w:r w:rsidRPr="001663AE">
        <w:t>7</w:t>
      </w:r>
      <w:r w:rsidRPr="001663AE">
        <w:rPr>
          <w:rFonts w:hint="eastAsia"/>
        </w:rPr>
        <w:t>日。</w:t>
      </w:r>
    </w:p>
  </w:footnote>
  <w:footnote w:id="52">
    <w:p w14:paraId="109F31E3" w14:textId="77777777" w:rsidR="00CA23FA" w:rsidRPr="001663AE" w:rsidRDefault="00CA23FA" w:rsidP="00D87D91">
      <w:pPr>
        <w:pStyle w:val="3"/>
      </w:pPr>
      <w:r w:rsidRPr="001663AE">
        <w:rPr>
          <w:rStyle w:val="af3"/>
          <w:rFonts w:ascii="新細明體" w:hAnsi="新細明體"/>
        </w:rPr>
        <w:footnoteRef/>
      </w:r>
      <w:r w:rsidRPr="001663AE">
        <w:rPr>
          <w:rFonts w:hint="eastAsia"/>
        </w:rPr>
        <w:t>林紀東</w:t>
      </w:r>
      <w:r w:rsidRPr="001663AE">
        <w:t>(1992)</w:t>
      </w:r>
      <w:r w:rsidRPr="001663AE">
        <w:rPr>
          <w:rFonts w:hint="eastAsia"/>
        </w:rPr>
        <w:t>，中華民國憲法釋義，大中國圖書公司，頁</w:t>
      </w:r>
      <w:r w:rsidRPr="001663AE">
        <w:t>148-149</w:t>
      </w:r>
      <w:r w:rsidRPr="001663AE">
        <w:rPr>
          <w:rFonts w:hint="eastAsia"/>
        </w:rPr>
        <w:t>。</w:t>
      </w:r>
    </w:p>
  </w:footnote>
  <w:footnote w:id="53">
    <w:p w14:paraId="4649797A"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陳建榮</w:t>
      </w:r>
      <w:r w:rsidRPr="001663AE">
        <w:t>(2004)</w:t>
      </w:r>
      <w:r w:rsidRPr="001663AE">
        <w:rPr>
          <w:rFonts w:hint="eastAsia"/>
        </w:rPr>
        <w:t>，中華民國憲法，華立圖書，頁</w:t>
      </w:r>
      <w:r w:rsidRPr="001663AE">
        <w:t>177-191</w:t>
      </w:r>
      <w:r w:rsidRPr="001663AE">
        <w:rPr>
          <w:rFonts w:hint="eastAsia"/>
        </w:rPr>
        <w:t>。</w:t>
      </w:r>
    </w:p>
  </w:footnote>
  <w:footnote w:id="54">
    <w:p w14:paraId="0BC61703" w14:textId="77777777" w:rsidR="00CA23FA" w:rsidRPr="00707676" w:rsidRDefault="00CA23FA" w:rsidP="00D87D91">
      <w:pPr>
        <w:pStyle w:val="3"/>
      </w:pPr>
      <w:r w:rsidRPr="001663AE">
        <w:rPr>
          <w:rStyle w:val="af3"/>
          <w:rFonts w:ascii="新細明體" w:hAnsi="新細明體"/>
        </w:rPr>
        <w:footnoteRef/>
      </w:r>
      <w:r w:rsidRPr="001663AE">
        <w:rPr>
          <w:rFonts w:hint="eastAsia"/>
        </w:rPr>
        <w:t>謝瑞智</w:t>
      </w:r>
      <w:r w:rsidRPr="001663AE">
        <w:t>(1996)</w:t>
      </w:r>
      <w:r w:rsidRPr="001663AE">
        <w:rPr>
          <w:rFonts w:hint="eastAsia"/>
        </w:rPr>
        <w:t>，中華民國憲法精義與立國精神，文笙書局，頁</w:t>
      </w:r>
      <w:r w:rsidRPr="001663AE">
        <w:t>196</w:t>
      </w:r>
      <w:r w:rsidRPr="001663AE">
        <w:rPr>
          <w:rFonts w:hint="eastAsia"/>
        </w:rPr>
        <w:t>。</w:t>
      </w:r>
    </w:p>
  </w:footnote>
  <w:footnote w:id="55">
    <w:p w14:paraId="496D91D3" w14:textId="77777777" w:rsidR="00CA23FA" w:rsidRPr="001663AE" w:rsidRDefault="00CA23FA" w:rsidP="00D87D91">
      <w:pPr>
        <w:pStyle w:val="3"/>
      </w:pPr>
      <w:r w:rsidRPr="001663AE">
        <w:rPr>
          <w:rStyle w:val="af3"/>
          <w:rFonts w:ascii="新細明體" w:hAnsi="新細明體"/>
        </w:rPr>
        <w:footnoteRef/>
      </w:r>
      <w:r w:rsidRPr="001663AE">
        <w:t xml:space="preserve"> Übermaß</w:t>
      </w:r>
      <w:r w:rsidRPr="001663AE">
        <w:rPr>
          <w:rFonts w:hint="eastAsia"/>
        </w:rPr>
        <w:t>意旨：過度、過量、過多、過份等之意；</w:t>
      </w:r>
      <w:r w:rsidRPr="001663AE">
        <w:t>Verbot</w:t>
      </w:r>
      <w:r w:rsidRPr="001663AE">
        <w:rPr>
          <w:rFonts w:hint="eastAsia"/>
        </w:rPr>
        <w:t>代表「禁止」之意。</w:t>
      </w:r>
    </w:p>
  </w:footnote>
  <w:footnote w:id="56">
    <w:p w14:paraId="0B802D4A" w14:textId="77777777" w:rsidR="00CA23FA" w:rsidRPr="001663AE" w:rsidRDefault="00CA23FA" w:rsidP="00D87D91">
      <w:pPr>
        <w:pStyle w:val="3"/>
      </w:pPr>
      <w:r w:rsidRPr="001663AE">
        <w:rPr>
          <w:rStyle w:val="af3"/>
          <w:rFonts w:ascii="新細明體" w:hAnsi="新細明體"/>
        </w:rPr>
        <w:footnoteRef/>
      </w:r>
      <w:r w:rsidRPr="001663AE">
        <w:rPr>
          <w:rFonts w:hint="eastAsia"/>
        </w:rPr>
        <w:t>蔡震榮</w:t>
      </w:r>
      <w:r w:rsidRPr="001663AE">
        <w:t>(2004)</w:t>
      </w:r>
      <w:r w:rsidRPr="001663AE">
        <w:rPr>
          <w:rFonts w:hint="eastAsia"/>
        </w:rPr>
        <w:t>，警察職權行使法概論，初版，桃園：中央警察大學出版社，頁</w:t>
      </w:r>
      <w:r w:rsidRPr="001663AE">
        <w:t>120-121</w:t>
      </w:r>
      <w:r w:rsidRPr="001663AE">
        <w:rPr>
          <w:rFonts w:hint="eastAsia"/>
        </w:rPr>
        <w:t>。</w:t>
      </w:r>
    </w:p>
  </w:footnote>
  <w:footnote w:id="57">
    <w:p w14:paraId="4F5616FF"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林石猛、邱基峻</w:t>
      </w:r>
      <w:r w:rsidRPr="001663AE">
        <w:t>(2011)</w:t>
      </w:r>
      <w:r w:rsidRPr="001663AE">
        <w:rPr>
          <w:rFonts w:hint="eastAsia"/>
        </w:rPr>
        <w:t>，行政程序法在稅務爭訟之運用，第</w:t>
      </w:r>
      <w:r w:rsidRPr="001663AE">
        <w:t>2</w:t>
      </w:r>
      <w:r w:rsidRPr="001663AE">
        <w:rPr>
          <w:rFonts w:hint="eastAsia"/>
        </w:rPr>
        <w:t>版第</w:t>
      </w:r>
      <w:r w:rsidRPr="001663AE">
        <w:t>1</w:t>
      </w:r>
      <w:r w:rsidRPr="001663AE">
        <w:rPr>
          <w:rFonts w:hint="eastAsia"/>
        </w:rPr>
        <w:t>刷，臺北巿：元照公司，頁</w:t>
      </w:r>
      <w:r w:rsidRPr="001663AE">
        <w:t>178-181</w:t>
      </w:r>
      <w:r w:rsidRPr="001663AE">
        <w:rPr>
          <w:rFonts w:hint="eastAsia"/>
        </w:rPr>
        <w:t>。</w:t>
      </w:r>
    </w:p>
    <w:p w14:paraId="34BD076F" w14:textId="77777777" w:rsidR="00CA23FA" w:rsidRPr="001663AE" w:rsidRDefault="00CA23FA" w:rsidP="00D87D91">
      <w:pPr>
        <w:pStyle w:val="3"/>
      </w:pPr>
      <w:r w:rsidRPr="001663AE">
        <w:rPr>
          <w:rFonts w:hint="eastAsia"/>
        </w:rPr>
        <w:t>吳庚</w:t>
      </w:r>
      <w:r w:rsidRPr="001663AE">
        <w:t>(2007)</w:t>
      </w:r>
      <w:r w:rsidRPr="001663AE">
        <w:rPr>
          <w:rFonts w:hint="eastAsia"/>
        </w:rPr>
        <w:t>，行政法之理論與實用，增訂</w:t>
      </w:r>
      <w:r w:rsidRPr="001663AE">
        <w:t>10</w:t>
      </w:r>
      <w:r w:rsidRPr="001663AE">
        <w:rPr>
          <w:rFonts w:hint="eastAsia"/>
        </w:rPr>
        <w:t>版，臺北巿：作者自印，頁</w:t>
      </w:r>
      <w:r w:rsidRPr="001663AE">
        <w:t>58-60</w:t>
      </w:r>
      <w:r w:rsidRPr="001663AE">
        <w:rPr>
          <w:rFonts w:hint="eastAsia"/>
        </w:rPr>
        <w:t>。</w:t>
      </w:r>
    </w:p>
    <w:p w14:paraId="52D2FC26" w14:textId="77777777" w:rsidR="00CA23FA" w:rsidRPr="001663AE" w:rsidRDefault="00CA23FA" w:rsidP="00D87D91">
      <w:pPr>
        <w:pStyle w:val="3"/>
      </w:pPr>
      <w:r w:rsidRPr="001663AE">
        <w:rPr>
          <w:rFonts w:hint="eastAsia"/>
        </w:rPr>
        <w:t>林石猛</w:t>
      </w:r>
      <w:r w:rsidRPr="001663AE">
        <w:t>(2004)</w:t>
      </w:r>
      <w:r w:rsidRPr="001663AE">
        <w:rPr>
          <w:rFonts w:hint="eastAsia"/>
        </w:rPr>
        <w:t>，行政訴訟類型之理論與實務，</w:t>
      </w:r>
      <w:r w:rsidRPr="001663AE">
        <w:t>2</w:t>
      </w:r>
      <w:r w:rsidRPr="001663AE">
        <w:rPr>
          <w:rFonts w:hint="eastAsia"/>
        </w:rPr>
        <w:t>版，臺北巿：學林公司，頁</w:t>
      </w:r>
      <w:r w:rsidRPr="001663AE">
        <w:t>241-242</w:t>
      </w:r>
      <w:r w:rsidRPr="001663AE">
        <w:rPr>
          <w:rFonts w:hint="eastAsia"/>
        </w:rPr>
        <w:t>。</w:t>
      </w:r>
    </w:p>
    <w:p w14:paraId="03201AF2" w14:textId="77777777" w:rsidR="00CA23FA" w:rsidRPr="001663AE" w:rsidRDefault="00CA23FA" w:rsidP="00D87D91">
      <w:pPr>
        <w:pStyle w:val="3"/>
      </w:pPr>
      <w:r w:rsidRPr="001663AE">
        <w:rPr>
          <w:rFonts w:hint="eastAsia"/>
        </w:rPr>
        <w:t>陳新民</w:t>
      </w:r>
      <w:r w:rsidRPr="001663AE">
        <w:t>(2005)</w:t>
      </w:r>
      <w:r w:rsidRPr="001663AE">
        <w:rPr>
          <w:rFonts w:hint="eastAsia"/>
        </w:rPr>
        <w:t>，憲法導論，</w:t>
      </w:r>
      <w:r w:rsidRPr="001663AE">
        <w:t>5</w:t>
      </w:r>
      <w:r w:rsidRPr="001663AE">
        <w:rPr>
          <w:rFonts w:hint="eastAsia"/>
        </w:rPr>
        <w:t>版，臺北巿：新學林公司，頁</w:t>
      </w:r>
      <w:r w:rsidRPr="001663AE">
        <w:t>72-75</w:t>
      </w:r>
      <w:r w:rsidRPr="001663AE">
        <w:rPr>
          <w:rFonts w:hint="eastAsia"/>
        </w:rPr>
        <w:t>。</w:t>
      </w:r>
    </w:p>
    <w:p w14:paraId="01B660ED" w14:textId="77777777" w:rsidR="00CA23FA" w:rsidRPr="001663AE" w:rsidRDefault="00CA23FA" w:rsidP="00D87D91">
      <w:pPr>
        <w:pStyle w:val="3"/>
      </w:pPr>
      <w:r w:rsidRPr="001663AE">
        <w:rPr>
          <w:rFonts w:hint="eastAsia"/>
        </w:rPr>
        <w:t>湯德宗</w:t>
      </w:r>
      <w:r w:rsidRPr="001663AE">
        <w:t>(2009)</w:t>
      </w:r>
      <w:r w:rsidRPr="001663AE">
        <w:rPr>
          <w:rFonts w:hint="eastAsia"/>
        </w:rPr>
        <w:t>，違憲審查基準體系建立初探</w:t>
      </w:r>
      <w:r w:rsidRPr="001663AE">
        <w:t>──</w:t>
      </w:r>
      <w:r w:rsidRPr="001663AE">
        <w:rPr>
          <w:rFonts w:hint="eastAsia"/>
        </w:rPr>
        <w:t>階層式比例原則構想，收錄於中央研究院法律研究所籌備處，憲法解釋之理論與實務，第</w:t>
      </w:r>
      <w:r w:rsidRPr="001663AE">
        <w:t>6</w:t>
      </w:r>
      <w:r w:rsidRPr="001663AE">
        <w:rPr>
          <w:rFonts w:hint="eastAsia"/>
        </w:rPr>
        <w:t>輯下冊，臺北巿：中央研究院法律研究所籌備處，頁</w:t>
      </w:r>
      <w:r w:rsidRPr="001663AE">
        <w:t>581-662</w:t>
      </w:r>
      <w:r w:rsidRPr="001663AE">
        <w:rPr>
          <w:rFonts w:hint="eastAsia"/>
        </w:rPr>
        <w:t>。</w:t>
      </w:r>
    </w:p>
    <w:p w14:paraId="4CB1219E" w14:textId="77777777" w:rsidR="00CA23FA" w:rsidRPr="001663AE" w:rsidRDefault="00CA23FA" w:rsidP="00D87D91">
      <w:pPr>
        <w:pStyle w:val="3"/>
      </w:pPr>
      <w:r w:rsidRPr="001663AE">
        <w:rPr>
          <w:rFonts w:hint="eastAsia"/>
        </w:rPr>
        <w:t>陳清秀</w:t>
      </w:r>
      <w:r w:rsidRPr="001663AE">
        <w:t>(2000)</w:t>
      </w:r>
      <w:r w:rsidRPr="001663AE">
        <w:rPr>
          <w:rFonts w:hint="eastAsia"/>
        </w:rPr>
        <w:t>，行政法的法源，收錄於翁嶽生編，行政法，</w:t>
      </w:r>
      <w:r w:rsidRPr="001663AE">
        <w:t>2</w:t>
      </w:r>
      <w:r w:rsidRPr="001663AE">
        <w:rPr>
          <w:rFonts w:hint="eastAsia"/>
        </w:rPr>
        <w:t>版</w:t>
      </w:r>
      <w:r w:rsidRPr="001663AE">
        <w:t>2</w:t>
      </w:r>
      <w:r w:rsidRPr="001663AE">
        <w:rPr>
          <w:rFonts w:hint="eastAsia"/>
        </w:rPr>
        <w:t>刷，臺北巿：翰蘆公司，頁</w:t>
      </w:r>
      <w:r w:rsidRPr="001663AE">
        <w:t>134-136</w:t>
      </w:r>
      <w:r w:rsidRPr="001663AE">
        <w:rPr>
          <w:rFonts w:hint="eastAsia"/>
        </w:rPr>
        <w:t>。</w:t>
      </w:r>
    </w:p>
    <w:p w14:paraId="426379BE" w14:textId="77777777" w:rsidR="00CA23FA" w:rsidRPr="001663AE" w:rsidRDefault="00CA23FA" w:rsidP="00D87D91">
      <w:pPr>
        <w:pStyle w:val="3"/>
      </w:pPr>
      <w:r w:rsidRPr="001663AE">
        <w:rPr>
          <w:rFonts w:hint="eastAsia"/>
        </w:rPr>
        <w:t>蔡震榮</w:t>
      </w:r>
      <w:r w:rsidRPr="001663AE">
        <w:t>(1999)</w:t>
      </w:r>
      <w:r w:rsidRPr="001663AE">
        <w:rPr>
          <w:rFonts w:hint="eastAsia"/>
        </w:rPr>
        <w:t>，行政法理論與基本人權之保障，</w:t>
      </w:r>
      <w:r w:rsidRPr="001663AE">
        <w:t>2</w:t>
      </w:r>
      <w:r w:rsidRPr="001663AE">
        <w:rPr>
          <w:rFonts w:hint="eastAsia"/>
        </w:rPr>
        <w:t>版</w:t>
      </w:r>
      <w:r w:rsidRPr="001663AE">
        <w:t>1</w:t>
      </w:r>
      <w:r w:rsidRPr="001663AE">
        <w:rPr>
          <w:rFonts w:hint="eastAsia"/>
        </w:rPr>
        <w:t>刷，臺北巿：五南公司，頁</w:t>
      </w:r>
      <w:r w:rsidRPr="001663AE">
        <w:t>101-144</w:t>
      </w:r>
      <w:r w:rsidRPr="001663AE">
        <w:rPr>
          <w:rFonts w:hint="eastAsia"/>
        </w:rPr>
        <w:t>。</w:t>
      </w:r>
    </w:p>
    <w:p w14:paraId="7D424DEE" w14:textId="77777777" w:rsidR="00CA23FA" w:rsidRPr="001663AE" w:rsidRDefault="00CA23FA" w:rsidP="00D87D91">
      <w:pPr>
        <w:pStyle w:val="3"/>
      </w:pPr>
      <w:r w:rsidRPr="001663AE">
        <w:rPr>
          <w:rFonts w:hint="eastAsia"/>
        </w:rPr>
        <w:t>蔡震榮</w:t>
      </w:r>
      <w:r w:rsidRPr="001663AE">
        <w:t>(2004)</w:t>
      </w:r>
      <w:r w:rsidRPr="001663AE">
        <w:rPr>
          <w:rFonts w:hint="eastAsia"/>
        </w:rPr>
        <w:t>，同前註，頁</w:t>
      </w:r>
      <w:r w:rsidRPr="001663AE">
        <w:t>121-124</w:t>
      </w:r>
      <w:r w:rsidRPr="001663AE">
        <w:rPr>
          <w:rFonts w:hint="eastAsia"/>
        </w:rPr>
        <w:t>。</w:t>
      </w:r>
    </w:p>
    <w:p w14:paraId="73B4907B" w14:textId="77777777" w:rsidR="00CA23FA" w:rsidRPr="001663AE" w:rsidRDefault="00CA23FA" w:rsidP="00D87D91">
      <w:pPr>
        <w:pStyle w:val="3"/>
      </w:pPr>
      <w:r w:rsidRPr="001663AE">
        <w:rPr>
          <w:rFonts w:hint="eastAsia"/>
        </w:rPr>
        <w:t>蔡庭榕、簡建章、李錫棟、許義寶</w:t>
      </w:r>
      <w:r w:rsidRPr="001663AE">
        <w:t>(2005)</w:t>
      </w:r>
      <w:r w:rsidRPr="001663AE">
        <w:rPr>
          <w:rFonts w:hint="eastAsia"/>
        </w:rPr>
        <w:t>，警察職權行使法逐條釋論，初版，臺北巿：五南書局，頁</w:t>
      </w:r>
      <w:r w:rsidRPr="001663AE">
        <w:t>75-78</w:t>
      </w:r>
      <w:r w:rsidRPr="001663AE">
        <w:rPr>
          <w:rFonts w:hint="eastAsia"/>
        </w:rPr>
        <w:t>。</w:t>
      </w:r>
    </w:p>
    <w:p w14:paraId="7117A39C" w14:textId="77777777" w:rsidR="00CA23FA" w:rsidRPr="001663AE" w:rsidRDefault="00CA23FA" w:rsidP="00D87D91">
      <w:pPr>
        <w:pStyle w:val="af1"/>
      </w:pPr>
    </w:p>
  </w:footnote>
  <w:footnote w:id="58">
    <w:p w14:paraId="32EC8B4A" w14:textId="77777777" w:rsidR="00CA23FA" w:rsidRPr="001663AE" w:rsidRDefault="00CA23FA" w:rsidP="00D87D91">
      <w:pPr>
        <w:pStyle w:val="3"/>
      </w:pPr>
      <w:r w:rsidRPr="001663AE">
        <w:rPr>
          <w:rStyle w:val="af3"/>
          <w:rFonts w:ascii="新細明體" w:hAnsi="新細明體"/>
        </w:rPr>
        <w:footnoteRef/>
      </w:r>
      <w:r w:rsidRPr="001663AE">
        <w:t xml:space="preserve"> Weichmacher</w:t>
      </w:r>
      <w:r w:rsidRPr="001663AE">
        <w:rPr>
          <w:rFonts w:hint="eastAsia"/>
        </w:rPr>
        <w:t>代表：增塑劑、軟化劑等之意，而</w:t>
      </w:r>
      <w:r w:rsidRPr="001663AE">
        <w:t>weich</w:t>
      </w:r>
      <w:r w:rsidRPr="001663AE">
        <w:rPr>
          <w:rFonts w:hint="eastAsia"/>
        </w:rPr>
        <w:t>代表：軟的、柔軟的、柔滑等之意。</w:t>
      </w:r>
    </w:p>
  </w:footnote>
  <w:footnote w:id="59">
    <w:p w14:paraId="37A853D9" w14:textId="77777777" w:rsidR="00CA23FA" w:rsidRPr="001663AE" w:rsidRDefault="00CA23FA" w:rsidP="00D87D91">
      <w:pPr>
        <w:pStyle w:val="3"/>
      </w:pPr>
      <w:r w:rsidRPr="001663AE">
        <w:rPr>
          <w:rStyle w:val="af3"/>
          <w:rFonts w:ascii="新細明體" w:hAnsi="新細明體"/>
        </w:rPr>
        <w:footnoteRef/>
      </w:r>
      <w:r w:rsidRPr="001663AE">
        <w:t xml:space="preserve"> Leiten</w:t>
      </w:r>
      <w:r w:rsidRPr="001663AE">
        <w:rPr>
          <w:rFonts w:hint="eastAsia"/>
        </w:rPr>
        <w:t>代表：領導、主持、指引、帶領等之意；而</w:t>
      </w:r>
      <w:r w:rsidRPr="001663AE">
        <w:t>regeln</w:t>
      </w:r>
      <w:r w:rsidRPr="001663AE">
        <w:rPr>
          <w:rFonts w:hint="eastAsia"/>
        </w:rPr>
        <w:t>代表：整頓、處理、調整、順利進行、正常進行等之意。</w:t>
      </w:r>
    </w:p>
  </w:footnote>
  <w:footnote w:id="60">
    <w:p w14:paraId="4FA58DFD" w14:textId="77777777" w:rsidR="00CA23FA" w:rsidRPr="001663AE" w:rsidRDefault="00CA23FA" w:rsidP="00D87D91">
      <w:pPr>
        <w:pStyle w:val="3"/>
      </w:pPr>
      <w:r w:rsidRPr="001663AE">
        <w:rPr>
          <w:rStyle w:val="af3"/>
          <w:rFonts w:ascii="新細明體" w:hAnsi="新細明體"/>
        </w:rPr>
        <w:footnoteRef/>
      </w:r>
      <w:r w:rsidRPr="001663AE">
        <w:t xml:space="preserve"> Interesse</w:t>
      </w:r>
      <w:r w:rsidRPr="001663AE">
        <w:rPr>
          <w:rFonts w:hint="eastAsia"/>
        </w:rPr>
        <w:t>代表：興趣、趣味、關注（心）、利害關係、利益、益處等意；而</w:t>
      </w:r>
      <w:r w:rsidRPr="001663AE">
        <w:t>abwägen</w:t>
      </w:r>
      <w:r w:rsidRPr="001663AE">
        <w:rPr>
          <w:rFonts w:hint="eastAsia"/>
        </w:rPr>
        <w:t>（動詞）代表：權衡、斟酌、衡量等之意。</w:t>
      </w:r>
    </w:p>
  </w:footnote>
  <w:footnote w:id="61">
    <w:p w14:paraId="1D44FACE" w14:textId="77777777" w:rsidR="00CA23FA" w:rsidRPr="001663AE" w:rsidRDefault="00CA23FA" w:rsidP="00D87D91">
      <w:pPr>
        <w:pStyle w:val="3"/>
      </w:pPr>
      <w:r w:rsidRPr="001663AE">
        <w:rPr>
          <w:rStyle w:val="af3"/>
          <w:rFonts w:ascii="新細明體" w:hAnsi="新細明體"/>
        </w:rPr>
        <w:footnoteRef/>
      </w:r>
      <w:r w:rsidRPr="001663AE">
        <w:t xml:space="preserve"> Güter </w:t>
      </w:r>
      <w:r w:rsidRPr="001663AE">
        <w:rPr>
          <w:rFonts w:hint="eastAsia"/>
        </w:rPr>
        <w:t>代表：財物、財產、財富、地產、莊園、物品（資）、貨物、法益等意。而</w:t>
      </w:r>
      <w:r w:rsidRPr="001663AE">
        <w:t xml:space="preserve">abwägen </w:t>
      </w:r>
      <w:r w:rsidRPr="001663AE">
        <w:rPr>
          <w:rFonts w:hint="eastAsia"/>
        </w:rPr>
        <w:t>代表：權衡、衡量之意，故</w:t>
      </w:r>
      <w:r w:rsidRPr="001663AE">
        <w:t>Güterabwägung</w:t>
      </w:r>
      <w:r w:rsidRPr="001663AE">
        <w:rPr>
          <w:rFonts w:hint="eastAsia"/>
        </w:rPr>
        <w:t>即有「法益權衡」、「法益權量」、「法益衡量」等之意。</w:t>
      </w:r>
    </w:p>
  </w:footnote>
  <w:footnote w:id="62">
    <w:p w14:paraId="7A5666C8"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維基百科</w:t>
      </w:r>
      <w:r w:rsidRPr="001663AE">
        <w:t>(2013)</w:t>
      </w:r>
      <w:r w:rsidRPr="001663AE">
        <w:rPr>
          <w:rFonts w:hint="eastAsia"/>
        </w:rPr>
        <w:t>，比例原則，瀏覽日期：</w:t>
      </w:r>
      <w:r w:rsidRPr="001663AE">
        <w:t>2013</w:t>
      </w:r>
      <w:r w:rsidRPr="001663AE">
        <w:rPr>
          <w:rFonts w:hint="eastAsia"/>
        </w:rPr>
        <w:t>年</w:t>
      </w:r>
      <w:r w:rsidRPr="001663AE">
        <w:t>5</w:t>
      </w:r>
      <w:r w:rsidRPr="001663AE">
        <w:rPr>
          <w:rFonts w:hint="eastAsia"/>
        </w:rPr>
        <w:t>月</w:t>
      </w:r>
      <w:r w:rsidRPr="001663AE">
        <w:t>10</w:t>
      </w:r>
      <w:r w:rsidRPr="001663AE">
        <w:rPr>
          <w:rFonts w:hint="eastAsia"/>
        </w:rPr>
        <w:t>日，</w:t>
      </w:r>
      <w:hyperlink r:id="rId11" w:history="1">
        <w:r w:rsidRPr="001663AE">
          <w:rPr>
            <w:rStyle w:val="a5"/>
          </w:rPr>
          <w:t>http://zh.wikipedia.org/wiki/%E6%AF%94%E4%BE%8B%E5%8E%9F%E5%89%87</w:t>
        </w:r>
      </w:hyperlink>
      <w:r w:rsidRPr="001663AE">
        <w:rPr>
          <w:rFonts w:hint="eastAsia"/>
        </w:rPr>
        <w:t>。</w:t>
      </w:r>
    </w:p>
  </w:footnote>
  <w:footnote w:id="63">
    <w:p w14:paraId="5FB1FE77" w14:textId="77777777" w:rsidR="00CA23FA" w:rsidRPr="007F7377" w:rsidRDefault="00CA23FA" w:rsidP="00D87D91">
      <w:pPr>
        <w:pStyle w:val="3"/>
        <w:rPr>
          <w:kern w:val="0"/>
          <w:lang w:bidi="bn-IN"/>
        </w:rPr>
      </w:pPr>
      <w:r w:rsidRPr="001663AE">
        <w:rPr>
          <w:rStyle w:val="af3"/>
          <w:rFonts w:ascii="新細明體" w:hAnsi="新細明體"/>
          <w:szCs w:val="20"/>
        </w:rPr>
        <w:footnoteRef/>
      </w:r>
      <w:r w:rsidRPr="001663AE">
        <w:rPr>
          <w:rFonts w:ascii="新細明體" w:hAnsi="新細明體"/>
          <w:szCs w:val="20"/>
        </w:rPr>
        <w:t xml:space="preserve"> </w:t>
      </w:r>
      <w:r w:rsidRPr="001663AE">
        <w:rPr>
          <w:rFonts w:ascii="新細明體" w:hAnsi="新細明體" w:hint="eastAsia"/>
          <w:szCs w:val="20"/>
        </w:rPr>
        <w:t>中央選舉委員會，</w:t>
      </w:r>
      <w:r w:rsidRPr="001663AE">
        <w:rPr>
          <w:rFonts w:ascii="新細明體" w:hAnsi="新細明體" w:cs="新細明體" w:hint="eastAsia"/>
          <w:kern w:val="0"/>
          <w:szCs w:val="20"/>
          <w:lang w:bidi="bn-IN"/>
        </w:rPr>
        <w:t>國民大會代表選舉，</w:t>
      </w:r>
      <w:r w:rsidRPr="001663AE">
        <w:rPr>
          <w:rFonts w:ascii="新細明體" w:hAnsi="新細明體" w:hint="eastAsia"/>
          <w:szCs w:val="20"/>
        </w:rPr>
        <w:t>瀏覽日期：</w:t>
      </w:r>
      <w:r w:rsidRPr="001663AE">
        <w:rPr>
          <w:rFonts w:ascii="新細明體" w:hAnsi="新細明體"/>
          <w:szCs w:val="20"/>
        </w:rPr>
        <w:t>2013</w:t>
      </w:r>
      <w:r w:rsidRPr="001663AE">
        <w:rPr>
          <w:rFonts w:ascii="新細明體" w:hAnsi="新細明體" w:hint="eastAsia"/>
          <w:szCs w:val="20"/>
        </w:rPr>
        <w:t>年</w:t>
      </w:r>
      <w:r w:rsidRPr="001663AE">
        <w:rPr>
          <w:rFonts w:ascii="新細明體" w:hAnsi="新細明體"/>
          <w:szCs w:val="20"/>
        </w:rPr>
        <w:t>5</w:t>
      </w:r>
      <w:r w:rsidRPr="001663AE">
        <w:rPr>
          <w:rFonts w:ascii="新細明體" w:hAnsi="新細明體" w:hint="eastAsia"/>
          <w:szCs w:val="20"/>
        </w:rPr>
        <w:t>月</w:t>
      </w:r>
      <w:r w:rsidRPr="001663AE">
        <w:rPr>
          <w:rFonts w:ascii="新細明體" w:hAnsi="新細明體"/>
          <w:szCs w:val="20"/>
        </w:rPr>
        <w:t>11</w:t>
      </w:r>
      <w:r w:rsidRPr="001663AE">
        <w:rPr>
          <w:rFonts w:ascii="新細明體" w:hAnsi="新細明體" w:hint="eastAsia"/>
          <w:szCs w:val="20"/>
        </w:rPr>
        <w:t>日，</w:t>
      </w:r>
      <w:hyperlink r:id="rId12" w:history="1">
        <w:r w:rsidRPr="007F7377">
          <w:rPr>
            <w:rStyle w:val="a5"/>
            <w:rFonts w:ascii="Arial Unicode MS" w:hAnsi="Arial Unicode MS"/>
            <w:bCs w:val="0"/>
            <w:kern w:val="0"/>
            <w:sz w:val="18"/>
            <w:lang w:bidi="bn-IN"/>
          </w:rPr>
          <w:t>http://web.cec.gov.tw/files/11-1000-1612.php?Lang=zh-TW</w:t>
        </w:r>
      </w:hyperlink>
      <w:r w:rsidRPr="007F7377">
        <w:rPr>
          <w:rFonts w:hint="eastAsia"/>
          <w:kern w:val="0"/>
          <w:lang w:bidi="bn-IN"/>
        </w:rPr>
        <w:t>。</w:t>
      </w:r>
      <w:r w:rsidRPr="007F7377">
        <w:rPr>
          <w:kern w:val="0"/>
          <w:lang w:bidi="bn-IN"/>
        </w:rPr>
        <w:t xml:space="preserve"> </w:t>
      </w:r>
    </w:p>
    <w:p w14:paraId="4A7C0627" w14:textId="77777777" w:rsidR="00CA23FA" w:rsidRPr="001663AE" w:rsidRDefault="00CA23FA" w:rsidP="00D87D91">
      <w:pPr>
        <w:pStyle w:val="af1"/>
      </w:pPr>
    </w:p>
  </w:footnote>
  <w:footnote w:id="64">
    <w:p w14:paraId="1304E7BA" w14:textId="77777777" w:rsidR="00CA23FA" w:rsidRPr="001663AE" w:rsidRDefault="00CA23FA" w:rsidP="00D87D91">
      <w:pPr>
        <w:pStyle w:val="3"/>
      </w:pPr>
      <w:r w:rsidRPr="001663AE">
        <w:rPr>
          <w:rStyle w:val="af3"/>
          <w:rFonts w:ascii="新細明體" w:hAnsi="新細明體"/>
        </w:rPr>
        <w:footnoteRef/>
      </w:r>
      <w:r w:rsidRPr="001663AE">
        <w:rPr>
          <w:rFonts w:hint="eastAsia"/>
        </w:rPr>
        <w:t>中央選舉委員會，</w:t>
      </w:r>
      <w:r w:rsidRPr="001663AE">
        <w:rPr>
          <w:rFonts w:cs="新細明體" w:hint="eastAsia"/>
          <w:kern w:val="0"/>
          <w:lang w:bidi="bn-IN"/>
        </w:rPr>
        <w:t>國民大會代表選舉，</w:t>
      </w:r>
      <w:r w:rsidRPr="001663AE">
        <w:rPr>
          <w:rFonts w:hint="eastAsia"/>
        </w:rPr>
        <w:t>瀏覽日期：</w:t>
      </w:r>
      <w:r w:rsidRPr="001663AE">
        <w:t>2013</w:t>
      </w:r>
      <w:r w:rsidRPr="001663AE">
        <w:rPr>
          <w:rFonts w:hint="eastAsia"/>
        </w:rPr>
        <w:t>年</w:t>
      </w:r>
      <w:r w:rsidRPr="001663AE">
        <w:t>6</w:t>
      </w:r>
      <w:r w:rsidRPr="001663AE">
        <w:rPr>
          <w:rFonts w:hint="eastAsia"/>
        </w:rPr>
        <w:t>月</w:t>
      </w:r>
      <w:r w:rsidRPr="001663AE">
        <w:t>10</w:t>
      </w:r>
      <w:r w:rsidRPr="001663AE">
        <w:rPr>
          <w:rFonts w:hint="eastAsia"/>
        </w:rPr>
        <w:t>日，</w:t>
      </w:r>
      <w:hyperlink r:id="rId13" w:history="1">
        <w:r w:rsidRPr="001663AE">
          <w:rPr>
            <w:rStyle w:val="a5"/>
            <w:rFonts w:cs="新細明體"/>
            <w:kern w:val="0"/>
            <w:lang w:bidi="bn-IN"/>
          </w:rPr>
          <w:t>http://web.cec.gov.tw/files/11-1000-1612.php?Lang=zh-TW</w:t>
        </w:r>
      </w:hyperlink>
      <w:r w:rsidRPr="001663AE">
        <w:rPr>
          <w:rFonts w:cs="新細明體" w:hint="eastAsia"/>
          <w:kern w:val="0"/>
          <w:lang w:bidi="bn-IN"/>
        </w:rPr>
        <w:t>。</w:t>
      </w:r>
    </w:p>
  </w:footnote>
  <w:footnote w:id="65">
    <w:p w14:paraId="3E3A9114" w14:textId="77777777" w:rsidR="00CA23FA" w:rsidRPr="001663AE" w:rsidRDefault="00CA23FA" w:rsidP="00D87D91">
      <w:pPr>
        <w:pStyle w:val="3"/>
      </w:pPr>
      <w:r w:rsidRPr="001663AE">
        <w:rPr>
          <w:rStyle w:val="af3"/>
          <w:rFonts w:ascii="新細明體" w:hAnsi="新細明體"/>
        </w:rPr>
        <w:footnoteRef/>
      </w:r>
      <w:r w:rsidRPr="001663AE">
        <w:rPr>
          <w:rFonts w:hint="eastAsia"/>
        </w:rPr>
        <w:t>謝瑞智</w:t>
      </w:r>
      <w:r w:rsidRPr="001663AE">
        <w:t>(1999)</w:t>
      </w:r>
      <w:r w:rsidRPr="001663AE">
        <w:rPr>
          <w:rFonts w:hint="eastAsia"/>
        </w:rPr>
        <w:t>，憲法新論，台北：文笙書局，頁</w:t>
      </w:r>
      <w:r w:rsidRPr="001663AE">
        <w:t>551</w:t>
      </w:r>
      <w:r w:rsidRPr="001663AE">
        <w:rPr>
          <w:rFonts w:hint="eastAsia"/>
        </w:rPr>
        <w:t>。</w:t>
      </w:r>
    </w:p>
  </w:footnote>
  <w:footnote w:id="66">
    <w:p w14:paraId="67DC832E" w14:textId="77777777" w:rsidR="00CA23FA" w:rsidRPr="001663AE" w:rsidRDefault="00CA23FA" w:rsidP="00D87D91">
      <w:pPr>
        <w:pStyle w:val="3"/>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，中華民國憲法，上網瀏覽時日：</w:t>
      </w:r>
      <w:r w:rsidRPr="001663AE">
        <w:rPr>
          <w:rFonts w:hint="eastAsia"/>
        </w:rPr>
        <w:t>2015/08/02</w:t>
      </w:r>
      <w:r w:rsidRPr="001663AE">
        <w:rPr>
          <w:rFonts w:hint="eastAsia"/>
        </w:rPr>
        <w:t>，</w:t>
      </w:r>
      <w:hyperlink r:id="rId14" w:history="1">
        <w:r w:rsidRPr="001663AE">
          <w:rPr>
            <w:rStyle w:val="a5"/>
          </w:rPr>
          <w:t>https://zh.wikipedia.org/wiki/%E4%B8%AD%E8%8F%AF%E6%B0%91%E5%9C%8B%E6%86%B2%E6%B3%95</w:t>
        </w:r>
      </w:hyperlink>
      <w:r w:rsidRPr="001663AE">
        <w:t>。</w:t>
      </w:r>
    </w:p>
  </w:footnote>
  <w:footnote w:id="67">
    <w:p w14:paraId="11A17087"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黃炎東</w:t>
      </w:r>
      <w:r w:rsidRPr="001663AE">
        <w:t>(2006)</w:t>
      </w:r>
      <w:r w:rsidRPr="001663AE">
        <w:rPr>
          <w:rFonts w:hint="eastAsia"/>
        </w:rPr>
        <w:t>，中華民國憲法新論，五南圖書出版股份有限公司，頁</w:t>
      </w:r>
      <w:r w:rsidRPr="001663AE">
        <w:t>178</w:t>
      </w:r>
      <w:r w:rsidRPr="001663AE">
        <w:rPr>
          <w:rFonts w:hint="eastAsia"/>
        </w:rPr>
        <w:t>。</w:t>
      </w:r>
      <w:r w:rsidRPr="001663AE">
        <w:t xml:space="preserve"> </w:t>
      </w:r>
    </w:p>
    <w:p w14:paraId="7966A556" w14:textId="77777777" w:rsidR="00CA23FA" w:rsidRPr="001663AE" w:rsidRDefault="00CA23FA" w:rsidP="00D87D91">
      <w:pPr>
        <w:pStyle w:val="af1"/>
      </w:pPr>
    </w:p>
  </w:footnote>
  <w:footnote w:id="68">
    <w:p w14:paraId="71E1BA38" w14:textId="77777777" w:rsidR="00CA23FA" w:rsidRPr="001663AE" w:rsidRDefault="00CA23FA" w:rsidP="00D87D91">
      <w:pPr>
        <w:pStyle w:val="3"/>
      </w:pPr>
      <w:r w:rsidRPr="001663AE">
        <w:rPr>
          <w:rStyle w:val="af3"/>
          <w:rFonts w:ascii="新細明體" w:hAnsi="新細明體"/>
        </w:rPr>
        <w:footnoteRef/>
      </w:r>
      <w:r w:rsidRPr="001663AE">
        <w:rPr>
          <w:rFonts w:hint="eastAsia"/>
        </w:rPr>
        <w:t>謝瑞智</w:t>
      </w:r>
      <w:r w:rsidRPr="001663AE">
        <w:t>(1999)</w:t>
      </w:r>
      <w:r w:rsidRPr="001663AE">
        <w:rPr>
          <w:rFonts w:hint="eastAsia"/>
        </w:rPr>
        <w:t>，憲法新論，文笙書局，頁</w:t>
      </w:r>
      <w:r w:rsidRPr="001663AE">
        <w:t>533</w:t>
      </w:r>
      <w:r w:rsidRPr="001663AE">
        <w:rPr>
          <w:rFonts w:hint="eastAsia"/>
        </w:rPr>
        <w:t>。</w:t>
      </w:r>
    </w:p>
  </w:footnote>
  <w:footnote w:id="69">
    <w:p w14:paraId="7BB1D86C" w14:textId="77777777" w:rsidR="00CA23FA" w:rsidRPr="001663AE" w:rsidRDefault="00CA23FA" w:rsidP="00D87D91">
      <w:pPr>
        <w:pStyle w:val="3"/>
      </w:pPr>
      <w:r w:rsidRPr="001663AE">
        <w:rPr>
          <w:rStyle w:val="af3"/>
          <w:rFonts w:ascii="新細明體" w:hAnsi="新細明體"/>
        </w:rPr>
        <w:footnoteRef/>
      </w:r>
      <w:r w:rsidRPr="001663AE">
        <w:t xml:space="preserve"> Mass</w:t>
      </w:r>
      <w:r w:rsidRPr="001663AE">
        <w:rPr>
          <w:rFonts w:hint="eastAsia"/>
        </w:rPr>
        <w:t>係指：度量單位、尺寸、大小、規模。</w:t>
      </w:r>
      <w:r w:rsidRPr="001663AE">
        <w:t>Massnahme</w:t>
      </w:r>
      <w:r w:rsidRPr="001663AE">
        <w:rPr>
          <w:rFonts w:hint="eastAsia"/>
        </w:rPr>
        <w:t>係指：措施或辦法，</w:t>
      </w:r>
      <w:r w:rsidRPr="001663AE">
        <w:t>gesetz</w:t>
      </w:r>
      <w:r w:rsidRPr="001663AE">
        <w:rPr>
          <w:rFonts w:hint="eastAsia"/>
        </w:rPr>
        <w:t>係指：法律之意。</w:t>
      </w:r>
    </w:p>
  </w:footnote>
  <w:footnote w:id="70">
    <w:p w14:paraId="70C89E98" w14:textId="77777777" w:rsidR="00CA23FA" w:rsidRPr="001663AE" w:rsidRDefault="00CA23FA" w:rsidP="00D87D91">
      <w:pPr>
        <w:pStyle w:val="3"/>
      </w:pPr>
      <w:r w:rsidRPr="001663AE">
        <w:rPr>
          <w:rStyle w:val="af3"/>
          <w:rFonts w:ascii="新細明體" w:hAnsi="新細明體"/>
        </w:rPr>
        <w:footnoteRef/>
      </w:r>
      <w:r w:rsidRPr="001663AE">
        <w:t>立法院</w:t>
      </w:r>
      <w:r w:rsidRPr="001663AE">
        <w:rPr>
          <w:rFonts w:hint="eastAsia"/>
        </w:rPr>
        <w:t>(2010)</w:t>
      </w:r>
      <w:r w:rsidRPr="001663AE">
        <w:rPr>
          <w:rFonts w:hint="eastAsia"/>
        </w:rPr>
        <w:t>，</w:t>
      </w:r>
      <w:r w:rsidRPr="001663AE">
        <w:t>立法院組織圖，上網瀏覽時間：</w:t>
      </w:r>
      <w:r w:rsidRPr="001663AE">
        <w:rPr>
          <w:rFonts w:hint="eastAsia"/>
        </w:rPr>
        <w:t>2015/06/25</w:t>
      </w:r>
      <w:r w:rsidRPr="001663AE">
        <w:rPr>
          <w:rFonts w:hint="eastAsia"/>
        </w:rPr>
        <w:t>，</w:t>
      </w:r>
      <w:r w:rsidRPr="001663AE">
        <w:t>http://www.ly.gov.tw/02_introduce/0201_intro/introView.action?id=3&amp;itemno=02010300</w:t>
      </w:r>
      <w:r w:rsidRPr="001663AE">
        <w:t>。</w:t>
      </w:r>
    </w:p>
  </w:footnote>
  <w:footnote w:id="71">
    <w:p w14:paraId="5B7914B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t>程序委員會置委員</w:t>
      </w:r>
      <w:r w:rsidRPr="001663AE">
        <w:t>19</w:t>
      </w:r>
      <w:r w:rsidRPr="001663AE">
        <w:t>人，由各政黨</w:t>
      </w:r>
      <w:r w:rsidRPr="001663AE">
        <w:t>(</w:t>
      </w:r>
      <w:r w:rsidRPr="001663AE">
        <w:t>團</w:t>
      </w:r>
      <w:r w:rsidRPr="001663AE">
        <w:t>)</w:t>
      </w:r>
      <w:r w:rsidRPr="001663AE">
        <w:t>依其在院會席次之比例分配。但每一政黨</w:t>
      </w:r>
      <w:r w:rsidRPr="001663AE">
        <w:t>(</w:t>
      </w:r>
      <w:r w:rsidRPr="001663AE">
        <w:t>團</w:t>
      </w:r>
      <w:r w:rsidRPr="001663AE">
        <w:t>)</w:t>
      </w:r>
      <w:r w:rsidRPr="001663AE">
        <w:t>至少</w:t>
      </w:r>
      <w:r w:rsidRPr="001663AE">
        <w:t>1</w:t>
      </w:r>
      <w:r w:rsidRPr="001663AE">
        <w:t>人。第二讀會討論經各委員會審查之議案，或經院會決議逕付二讀之議案。二讀時先朗讀議案，再依次進行廣泛討論及逐條討論。</w:t>
      </w:r>
    </w:p>
    <w:p w14:paraId="4F1BC4A8" w14:textId="77777777" w:rsidR="00CA23FA" w:rsidRPr="001663AE" w:rsidRDefault="00CA23FA" w:rsidP="00D87D91">
      <w:pPr>
        <w:pStyle w:val="3"/>
      </w:pPr>
      <w:r w:rsidRPr="001663AE">
        <w:t>以上資料之來源：立法院</w:t>
      </w:r>
      <w:r w:rsidRPr="001663AE">
        <w:rPr>
          <w:rFonts w:hint="eastAsia"/>
        </w:rPr>
        <w:t>(2010)</w:t>
      </w:r>
      <w:r w:rsidRPr="001663AE">
        <w:rPr>
          <w:rFonts w:hint="eastAsia"/>
        </w:rPr>
        <w:t>，</w:t>
      </w:r>
      <w:r w:rsidRPr="001663AE">
        <w:t>立法院立法程序，上網瀏覽時間：</w:t>
      </w:r>
      <w:r w:rsidRPr="001663AE">
        <w:rPr>
          <w:rFonts w:hint="eastAsia"/>
        </w:rPr>
        <w:t>2015/06/25</w:t>
      </w:r>
      <w:r w:rsidRPr="001663AE">
        <w:rPr>
          <w:rFonts w:hint="eastAsia"/>
        </w:rPr>
        <w:t>，</w:t>
      </w:r>
      <w:r w:rsidRPr="001663AE">
        <w:t>http://www.ly.gov.tw/02_introduce/0201_intro/introView.action?id=9&amp;itemno=02010900</w:t>
      </w:r>
      <w:r w:rsidRPr="001663AE">
        <w:t>。</w:t>
      </w:r>
    </w:p>
  </w:footnote>
  <w:footnote w:id="72">
    <w:p w14:paraId="7754529F" w14:textId="77777777" w:rsidR="00CA23FA" w:rsidRPr="001663AE" w:rsidRDefault="00CA23FA" w:rsidP="00D87D91">
      <w:pPr>
        <w:pStyle w:val="3"/>
      </w:pPr>
      <w:r w:rsidRPr="001663AE">
        <w:rPr>
          <w:rStyle w:val="af3"/>
          <w:rFonts w:ascii="新細明體" w:hAnsi="新細明體"/>
        </w:rPr>
        <w:footnoteRef/>
      </w:r>
      <w:r w:rsidRPr="001663AE">
        <w:rPr>
          <w:rFonts w:hint="eastAsia"/>
        </w:rPr>
        <w:t>餘小雲</w:t>
      </w:r>
      <w:r w:rsidRPr="001663AE">
        <w:t>(2013)</w:t>
      </w:r>
      <w:r w:rsidRPr="001663AE">
        <w:rPr>
          <w:rFonts w:hint="eastAsia"/>
        </w:rPr>
        <w:t>，密室政治與議長職權，中國時報，</w:t>
      </w:r>
      <w:r w:rsidRPr="001663AE">
        <w:t>2013</w:t>
      </w:r>
      <w:r w:rsidRPr="001663AE">
        <w:rPr>
          <w:rFonts w:hint="eastAsia"/>
        </w:rPr>
        <w:t>年</w:t>
      </w:r>
      <w:r w:rsidRPr="001663AE">
        <w:t>10</w:t>
      </w:r>
      <w:r w:rsidRPr="001663AE">
        <w:rPr>
          <w:rFonts w:hint="eastAsia"/>
        </w:rPr>
        <w:t>月</w:t>
      </w:r>
      <w:r w:rsidRPr="001663AE">
        <w:t>11</w:t>
      </w:r>
      <w:r w:rsidRPr="001663AE">
        <w:rPr>
          <w:rFonts w:hint="eastAsia"/>
        </w:rPr>
        <w:t>日。</w:t>
      </w:r>
    </w:p>
  </w:footnote>
  <w:footnote w:id="73">
    <w:p w14:paraId="78F285AF"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《立法院組織法》第</w:t>
      </w:r>
      <w:r w:rsidRPr="001663AE">
        <w:t>33</w:t>
      </w:r>
      <w:r w:rsidRPr="001663AE">
        <w:rPr>
          <w:rFonts w:hint="eastAsia"/>
        </w:rPr>
        <w:t>條（黨團、政團之組成）</w:t>
      </w:r>
    </w:p>
    <w:p w14:paraId="0AFF8862" w14:textId="77777777" w:rsidR="00CA23FA" w:rsidRPr="001663AE" w:rsidRDefault="00CA23FA" w:rsidP="00D87D91">
      <w:pPr>
        <w:pStyle w:val="3"/>
      </w:pPr>
      <w:r w:rsidRPr="001663AE">
        <w:rPr>
          <w:rFonts w:hint="eastAsia"/>
        </w:rPr>
        <w:t xml:space="preserve">　　每屆立法委員選舉當選席次達三席且席次較多之五個政黨得各組成黨團；席次相同時，以抽籤決定組成之。立法委員依其所屬政黨參加黨團。每一政黨以組成一黨團為限；每一黨團至少須維持三人以上。</w:t>
      </w:r>
      <w:r w:rsidRPr="001663AE">
        <w:rPr>
          <w:rFonts w:hint="eastAsia"/>
        </w:rPr>
        <w:t xml:space="preserve"> </w:t>
      </w:r>
    </w:p>
    <w:p w14:paraId="081FCA2F" w14:textId="77777777" w:rsidR="00CA23FA" w:rsidRPr="001663AE" w:rsidRDefault="00CA23FA" w:rsidP="00D87D91">
      <w:pPr>
        <w:pStyle w:val="3"/>
      </w:pPr>
      <w:r w:rsidRPr="001663AE">
        <w:rPr>
          <w:rFonts w:hint="eastAsia"/>
        </w:rPr>
        <w:t xml:space="preserve">　　未能依前項規定組成黨團之政黨或無黨籍之委員，得加入其他黨團。黨團未達五個時，得合組四人以上之政團；依第四項將名單送交人事處之政團，以席次較多者優先組成，黨（政）團總數合計以五個為限。</w:t>
      </w:r>
      <w:r w:rsidRPr="001663AE">
        <w:rPr>
          <w:rFonts w:hint="eastAsia"/>
        </w:rPr>
        <w:t xml:space="preserve"> </w:t>
      </w:r>
    </w:p>
    <w:p w14:paraId="469C117D" w14:textId="77777777" w:rsidR="00CA23FA" w:rsidRPr="001663AE" w:rsidRDefault="00CA23FA" w:rsidP="00D87D91">
      <w:pPr>
        <w:pStyle w:val="3"/>
      </w:pPr>
      <w:r w:rsidRPr="001663AE">
        <w:rPr>
          <w:rFonts w:hint="eastAsia"/>
        </w:rPr>
        <w:t xml:space="preserve">　　前項政團準用有關黨團之規定。</w:t>
      </w:r>
      <w:r w:rsidRPr="001663AE">
        <w:rPr>
          <w:rFonts w:hint="eastAsia"/>
        </w:rPr>
        <w:t xml:space="preserve"> </w:t>
      </w:r>
    </w:p>
    <w:p w14:paraId="6C57CCE3" w14:textId="77777777" w:rsidR="00CA23FA" w:rsidRPr="001663AE" w:rsidRDefault="00CA23FA" w:rsidP="00D87D91">
      <w:pPr>
        <w:pStyle w:val="3"/>
      </w:pPr>
      <w:r w:rsidRPr="001663AE">
        <w:rPr>
          <w:rFonts w:hint="eastAsia"/>
        </w:rPr>
        <w:t xml:space="preserve">　　各黨團應於每年首次會期開議日前一日，將各黨團所屬委員名單經黨團負責人簽名後，送交人事處，以供認定委員所參加之黨團。</w:t>
      </w:r>
      <w:r w:rsidRPr="001663AE">
        <w:rPr>
          <w:rFonts w:hint="eastAsia"/>
        </w:rPr>
        <w:t xml:space="preserve"> </w:t>
      </w:r>
    </w:p>
    <w:p w14:paraId="7F5C108E" w14:textId="77777777" w:rsidR="00CA23FA" w:rsidRPr="001663AE" w:rsidRDefault="00CA23FA" w:rsidP="00D87D91">
      <w:pPr>
        <w:pStyle w:val="3"/>
      </w:pPr>
      <w:r w:rsidRPr="001663AE">
        <w:rPr>
          <w:rFonts w:hint="eastAsia"/>
        </w:rPr>
        <w:t xml:space="preserve">　　黨團辦公室由立法院提供之。</w:t>
      </w:r>
      <w:r w:rsidRPr="001663AE">
        <w:rPr>
          <w:rFonts w:hint="eastAsia"/>
        </w:rPr>
        <w:t xml:space="preserve"> </w:t>
      </w:r>
    </w:p>
    <w:p w14:paraId="09F40D9A" w14:textId="77777777" w:rsidR="00CA23FA" w:rsidRPr="001663AE" w:rsidRDefault="00CA23FA" w:rsidP="00D87D91">
      <w:pPr>
        <w:pStyle w:val="3"/>
      </w:pPr>
      <w:r w:rsidRPr="001663AE">
        <w:rPr>
          <w:rFonts w:hint="eastAsia"/>
        </w:rPr>
        <w:t xml:space="preserve">　　各黨團置公費助理十人至十六人，由各黨團遴選，並由其推派之委員聘用之；相關費用依前條之規定。</w:t>
      </w:r>
      <w:r w:rsidRPr="001663AE">
        <w:rPr>
          <w:rFonts w:hint="eastAsia"/>
        </w:rPr>
        <w:t xml:space="preserve"> </w:t>
      </w:r>
    </w:p>
    <w:p w14:paraId="72BA83B7" w14:textId="77777777" w:rsidR="00CA23FA" w:rsidRPr="001663AE" w:rsidRDefault="00CA23FA" w:rsidP="00D87D91">
      <w:pPr>
        <w:pStyle w:val="3"/>
      </w:pPr>
      <w:r w:rsidRPr="001663AE">
        <w:rPr>
          <w:rFonts w:hint="eastAsia"/>
        </w:rPr>
        <w:t xml:space="preserve">　　前項現職公費助理於中華民國八十七年三月一日至九十四年六月三十日間，由各黨團遴選並由其推派之委員或各該政黨聘用，並實際服務於黨團之助理年資，得辦理勞動基準法工作年資結清事宜。</w:t>
      </w:r>
    </w:p>
  </w:footnote>
  <w:footnote w:id="74">
    <w:p w14:paraId="785BFB3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cs="新細明體" w:hint="eastAsia"/>
          <w:kern w:val="0"/>
          <w:lang w:bidi="bn-IN"/>
        </w:rPr>
        <w:t>《立法院職權行使法》</w:t>
      </w:r>
      <w:r w:rsidRPr="001663AE">
        <w:rPr>
          <w:rFonts w:hint="eastAsia"/>
        </w:rPr>
        <w:t>第</w:t>
      </w:r>
      <w:r w:rsidRPr="001663AE">
        <w:t>70</w:t>
      </w:r>
      <w:r w:rsidRPr="001663AE">
        <w:rPr>
          <w:rFonts w:hint="eastAsia"/>
        </w:rPr>
        <w:t>條（指派參加黨團協商代表）</w:t>
      </w:r>
    </w:p>
    <w:p w14:paraId="7BC15102" w14:textId="77777777" w:rsidR="00CA23FA" w:rsidRPr="001663AE" w:rsidRDefault="00CA23FA" w:rsidP="00D87D91">
      <w:pPr>
        <w:pStyle w:val="3"/>
      </w:pPr>
      <w:r w:rsidRPr="001663AE">
        <w:rPr>
          <w:rFonts w:hint="eastAsia"/>
        </w:rPr>
        <w:t xml:space="preserve">　　議案交由黨團協商時，由該議案之院會說明人所屬黨團負責召集，通知各黨團書面簽名指派代表二人參加，該院會說明人為當然代表，並由其擔任協商主席。但院會說明人更換黨團時，則由原所屬黨團另指派協商主席。</w:t>
      </w:r>
      <w:r w:rsidRPr="001663AE">
        <w:rPr>
          <w:rFonts w:hint="eastAsia"/>
        </w:rPr>
        <w:t xml:space="preserve"> </w:t>
      </w:r>
    </w:p>
    <w:p w14:paraId="424DA673" w14:textId="77777777" w:rsidR="00CA23FA" w:rsidRPr="001663AE" w:rsidRDefault="00CA23FA" w:rsidP="00D87D91">
      <w:pPr>
        <w:pStyle w:val="3"/>
      </w:pPr>
      <w:r w:rsidRPr="001663AE">
        <w:rPr>
          <w:rFonts w:hint="eastAsia"/>
        </w:rPr>
        <w:t xml:space="preserve">　　各黨團指派之代表，其中一人應為審查會委員。但黨團所屬委員均非審查會委員時，不在此限。</w:t>
      </w:r>
      <w:r w:rsidRPr="001663AE">
        <w:rPr>
          <w:rFonts w:hint="eastAsia"/>
        </w:rPr>
        <w:t xml:space="preserve"> </w:t>
      </w:r>
    </w:p>
    <w:p w14:paraId="37F752D5" w14:textId="77777777" w:rsidR="00CA23FA" w:rsidRPr="001663AE" w:rsidRDefault="00CA23FA" w:rsidP="00D87D91">
      <w:pPr>
        <w:pStyle w:val="3"/>
      </w:pPr>
      <w:r w:rsidRPr="001663AE">
        <w:rPr>
          <w:rFonts w:hint="eastAsia"/>
        </w:rPr>
        <w:t xml:space="preserve">　　依第六十八條第二項提出異議之委員，得向負責召集之黨團，以書面簽名推派二人列席協商說明。</w:t>
      </w:r>
      <w:r w:rsidRPr="001663AE">
        <w:rPr>
          <w:rFonts w:hint="eastAsia"/>
        </w:rPr>
        <w:t xml:space="preserve"> </w:t>
      </w:r>
    </w:p>
    <w:p w14:paraId="2631930B" w14:textId="77777777" w:rsidR="00CA23FA" w:rsidRPr="001663AE" w:rsidRDefault="00CA23FA" w:rsidP="00D87D91">
      <w:pPr>
        <w:pStyle w:val="3"/>
      </w:pPr>
      <w:r w:rsidRPr="001663AE">
        <w:rPr>
          <w:rFonts w:hint="eastAsia"/>
        </w:rPr>
        <w:t xml:space="preserve">　　議案進行協商時，由秘書長派員支援，全程錄影、錄音、記錄，併同協商結論，刊登公報。</w:t>
      </w:r>
      <w:r w:rsidRPr="001663AE">
        <w:rPr>
          <w:rFonts w:hint="eastAsia"/>
        </w:rPr>
        <w:t xml:space="preserve"> </w:t>
      </w:r>
    </w:p>
    <w:p w14:paraId="56E2C26B" w14:textId="77777777" w:rsidR="00CA23FA" w:rsidRPr="001663AE" w:rsidRDefault="00CA23FA" w:rsidP="00D87D91">
      <w:pPr>
        <w:pStyle w:val="3"/>
      </w:pPr>
      <w:r w:rsidRPr="001663AE">
        <w:rPr>
          <w:rFonts w:hint="eastAsia"/>
        </w:rPr>
        <w:t xml:space="preserve">　　協商結論如與審查會之決議或原提案條文有明顯差異時，應由提出修正之黨團或提案委員，以書面附具條文及立法理由，併同協商結論，刊登公報。</w:t>
      </w:r>
    </w:p>
  </w:footnote>
  <w:footnote w:id="75">
    <w:p w14:paraId="54497044"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cs="新細明體" w:hint="eastAsia"/>
          <w:kern w:val="0"/>
          <w:lang w:bidi="bn-IN"/>
        </w:rPr>
        <w:t>《立法院職權行使法》</w:t>
      </w:r>
      <w:r w:rsidRPr="001663AE">
        <w:rPr>
          <w:rFonts w:hint="eastAsia"/>
        </w:rPr>
        <w:t>第</w:t>
      </w:r>
      <w:r w:rsidRPr="001663AE">
        <w:t>68</w:t>
      </w:r>
      <w:r w:rsidRPr="001663AE">
        <w:rPr>
          <w:rFonts w:hint="eastAsia"/>
        </w:rPr>
        <w:t>條（黨團協商）</w:t>
      </w:r>
    </w:p>
    <w:p w14:paraId="2064C20A" w14:textId="77777777" w:rsidR="00CA23FA" w:rsidRPr="001663AE" w:rsidRDefault="00CA23FA" w:rsidP="00D87D91">
      <w:pPr>
        <w:pStyle w:val="3"/>
      </w:pPr>
      <w:r w:rsidRPr="001663AE">
        <w:rPr>
          <w:rFonts w:hint="eastAsia"/>
        </w:rPr>
        <w:t xml:space="preserve">　　為協商議案或解決爭議事項，得由院長或各黨團向院長請求進行黨團協商。</w:t>
      </w:r>
      <w:r w:rsidRPr="001663AE">
        <w:rPr>
          <w:rFonts w:hint="eastAsia"/>
        </w:rPr>
        <w:t xml:space="preserve"> </w:t>
      </w:r>
    </w:p>
    <w:p w14:paraId="5474AB3C" w14:textId="77777777" w:rsidR="00CA23FA" w:rsidRPr="001663AE" w:rsidRDefault="00CA23FA" w:rsidP="00D87D91">
      <w:pPr>
        <w:pStyle w:val="3"/>
      </w:pPr>
      <w:r w:rsidRPr="001663AE">
        <w:rPr>
          <w:rFonts w:hint="eastAsia"/>
        </w:rPr>
        <w:t xml:space="preserve">　　立法院院會於審議不須黨團協商之議案時，如有出席委員提出異議，十人以上連署或附議，該議案即交黨團協商。</w:t>
      </w:r>
      <w:r w:rsidRPr="001663AE">
        <w:rPr>
          <w:rFonts w:hint="eastAsia"/>
        </w:rPr>
        <w:t xml:space="preserve"> </w:t>
      </w:r>
    </w:p>
    <w:p w14:paraId="1ADA0014" w14:textId="77777777" w:rsidR="00CA23FA" w:rsidRPr="001663AE" w:rsidRDefault="00CA23FA" w:rsidP="00D87D91">
      <w:pPr>
        <w:pStyle w:val="3"/>
      </w:pPr>
      <w:r w:rsidRPr="001663AE">
        <w:rPr>
          <w:rFonts w:hint="eastAsia"/>
        </w:rPr>
        <w:t xml:space="preserve">　　各委員會審查議案遇有爭議時，主席得裁決進行協商。</w:t>
      </w:r>
    </w:p>
  </w:footnote>
  <w:footnote w:id="76">
    <w:p w14:paraId="3841CC98"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《立法院組織法》第</w:t>
      </w:r>
      <w:r w:rsidRPr="001663AE">
        <w:t>13</w:t>
      </w:r>
      <w:r w:rsidRPr="001663AE">
        <w:rPr>
          <w:rFonts w:hint="eastAsia"/>
        </w:rPr>
        <w:t>條（院長、副院長之任期及職掌）</w:t>
      </w:r>
    </w:p>
    <w:p w14:paraId="4F52A814" w14:textId="77777777" w:rsidR="00CA23FA" w:rsidRPr="001663AE" w:rsidRDefault="00CA23FA" w:rsidP="00D87D91">
      <w:pPr>
        <w:pStyle w:val="3"/>
      </w:pPr>
      <w:r w:rsidRPr="001663AE">
        <w:rPr>
          <w:rFonts w:hint="eastAsia"/>
        </w:rPr>
        <w:t xml:space="preserve">　　立法院院長、副院長之任期至該屆立法委員任期屆滿之日為止。</w:t>
      </w:r>
      <w:r w:rsidRPr="001663AE">
        <w:rPr>
          <w:rFonts w:hint="eastAsia"/>
        </w:rPr>
        <w:t xml:space="preserve"> </w:t>
      </w:r>
    </w:p>
    <w:p w14:paraId="3106DE55" w14:textId="77777777" w:rsidR="00CA23FA" w:rsidRPr="001663AE" w:rsidRDefault="00CA23FA" w:rsidP="00D87D91">
      <w:pPr>
        <w:pStyle w:val="3"/>
      </w:pPr>
      <w:r w:rsidRPr="001663AE">
        <w:rPr>
          <w:rFonts w:hint="eastAsia"/>
        </w:rPr>
        <w:t xml:space="preserve">　　立法院院長綜理院務。</w:t>
      </w:r>
      <w:r w:rsidRPr="001663AE">
        <w:rPr>
          <w:rFonts w:hint="eastAsia"/>
        </w:rPr>
        <w:t xml:space="preserve"> </w:t>
      </w:r>
    </w:p>
    <w:p w14:paraId="6F8C3F43" w14:textId="77777777" w:rsidR="00CA23FA" w:rsidRPr="001663AE" w:rsidRDefault="00CA23FA" w:rsidP="00D87D91">
      <w:pPr>
        <w:pStyle w:val="3"/>
      </w:pPr>
      <w:r w:rsidRPr="001663AE">
        <w:rPr>
          <w:rFonts w:hint="eastAsia"/>
        </w:rPr>
        <w:t xml:space="preserve">　　立法院院長因事故不能視事時，由副院長代理其職務。</w:t>
      </w:r>
      <w:r w:rsidRPr="001663AE">
        <w:rPr>
          <w:rFonts w:hint="eastAsia"/>
        </w:rPr>
        <w:t xml:space="preserve"> </w:t>
      </w:r>
    </w:p>
    <w:p w14:paraId="7263EC1E" w14:textId="77777777" w:rsidR="00CA23FA" w:rsidRPr="001663AE" w:rsidRDefault="00CA23FA" w:rsidP="00D87D91">
      <w:pPr>
        <w:pStyle w:val="af1"/>
      </w:pPr>
    </w:p>
  </w:footnote>
  <w:footnote w:id="77">
    <w:p w14:paraId="7E66219F" w14:textId="77777777" w:rsidR="00CA23FA" w:rsidRPr="001663AE" w:rsidRDefault="00CA23FA" w:rsidP="00D87D91">
      <w:pPr>
        <w:pStyle w:val="3"/>
      </w:pPr>
      <w:r w:rsidRPr="001663AE">
        <w:rPr>
          <w:rStyle w:val="af3"/>
          <w:rFonts w:ascii="新細明體" w:hAnsi="新細明體"/>
        </w:rPr>
        <w:footnoteRef/>
      </w:r>
      <w:r w:rsidRPr="001663AE">
        <w:t>民國</w:t>
      </w:r>
      <w:r w:rsidRPr="001663AE">
        <w:t>93</w:t>
      </w:r>
      <w:r w:rsidRPr="001663AE">
        <w:t>年</w:t>
      </w:r>
      <w:r w:rsidRPr="001663AE">
        <w:rPr>
          <w:rFonts w:hint="eastAsia"/>
        </w:rPr>
        <w:t>(2004</w:t>
      </w:r>
      <w:r w:rsidRPr="001663AE">
        <w:rPr>
          <w:rFonts w:hint="eastAsia"/>
        </w:rPr>
        <w:t>年</w:t>
      </w:r>
      <w:r w:rsidRPr="001663AE">
        <w:rPr>
          <w:rFonts w:hint="eastAsia"/>
        </w:rPr>
        <w:t>)</w:t>
      </w:r>
      <w:r w:rsidRPr="001663AE">
        <w:t>8</w:t>
      </w:r>
      <w:r w:rsidRPr="001663AE">
        <w:t>月</w:t>
      </w:r>
      <w:r w:rsidRPr="001663AE">
        <w:t>23</w:t>
      </w:r>
      <w:r w:rsidRPr="001663AE">
        <w:t>日立法院通過憲法修正案，並於</w:t>
      </w:r>
      <w:r w:rsidRPr="001663AE">
        <w:t>94</w:t>
      </w:r>
      <w:r w:rsidRPr="001663AE">
        <w:t>年</w:t>
      </w:r>
      <w:r w:rsidRPr="001663AE">
        <w:rPr>
          <w:rFonts w:hint="eastAsia"/>
        </w:rPr>
        <w:t>(2005</w:t>
      </w:r>
      <w:r w:rsidRPr="001663AE">
        <w:rPr>
          <w:rFonts w:hint="eastAsia"/>
        </w:rPr>
        <w:t>年</w:t>
      </w:r>
      <w:r w:rsidRPr="001663AE">
        <w:rPr>
          <w:rFonts w:hint="eastAsia"/>
        </w:rPr>
        <w:t>)</w:t>
      </w:r>
      <w:r w:rsidRPr="001663AE">
        <w:t>6</w:t>
      </w:r>
      <w:r w:rsidRPr="001663AE">
        <w:t>月</w:t>
      </w:r>
      <w:r w:rsidRPr="001663AE">
        <w:t>7</w:t>
      </w:r>
      <w:r w:rsidRPr="001663AE">
        <w:t>日經國民大會複決通過，經總統於</w:t>
      </w:r>
      <w:r w:rsidRPr="001663AE">
        <w:t>94</w:t>
      </w:r>
      <w:r w:rsidRPr="001663AE">
        <w:t>年</w:t>
      </w:r>
      <w:r w:rsidRPr="001663AE">
        <w:t>6</w:t>
      </w:r>
      <w:r w:rsidRPr="001663AE">
        <w:t>月</w:t>
      </w:r>
      <w:r w:rsidRPr="001663AE">
        <w:t>10</w:t>
      </w:r>
      <w:r w:rsidRPr="001663AE">
        <w:t>日公布，立法委員自第七屆起，立委人數更改減為</w:t>
      </w:r>
      <w:r w:rsidRPr="001663AE">
        <w:t>113</w:t>
      </w:r>
      <w:r w:rsidRPr="001663AE">
        <w:t>人，立法委員任期</w:t>
      </w:r>
      <w:r w:rsidRPr="001663AE">
        <w:t>4</w:t>
      </w:r>
      <w:r w:rsidRPr="001663AE">
        <w:t>年，選舉方式改行單一選區兩票制。以上資料，引自：</w:t>
      </w:r>
      <w:r w:rsidRPr="001663AE">
        <w:rPr>
          <w:rFonts w:hint="eastAsia"/>
        </w:rPr>
        <w:t>立法院</w:t>
      </w:r>
      <w:r w:rsidRPr="001663AE">
        <w:rPr>
          <w:rFonts w:hint="eastAsia"/>
        </w:rPr>
        <w:t>(2010)</w:t>
      </w:r>
      <w:r w:rsidRPr="001663AE">
        <w:rPr>
          <w:rFonts w:hint="eastAsia"/>
        </w:rPr>
        <w:t>，立法委員，上網瀏覽時間：</w:t>
      </w:r>
      <w:r w:rsidRPr="001663AE">
        <w:rPr>
          <w:rFonts w:hint="eastAsia"/>
        </w:rPr>
        <w:t>2015/06/25</w:t>
      </w:r>
      <w:r w:rsidRPr="001663AE">
        <w:rPr>
          <w:rFonts w:hint="eastAsia"/>
        </w:rPr>
        <w:t>，</w:t>
      </w:r>
      <w:hyperlink r:id="rId15" w:history="1">
        <w:r w:rsidRPr="001663AE">
          <w:rPr>
            <w:rStyle w:val="a5"/>
          </w:rPr>
          <w:t>http://www.ly.gov.tw/02_introduce/0201_intro/introView.action?id=4&amp;itemno=02010400</w:t>
        </w:r>
      </w:hyperlink>
      <w:r w:rsidRPr="001663AE">
        <w:t>。</w:t>
      </w:r>
    </w:p>
  </w:footnote>
  <w:footnote w:id="78">
    <w:p w14:paraId="2F24D22A" w14:textId="77777777" w:rsidR="00CA23FA" w:rsidRPr="001663AE" w:rsidRDefault="00CA23FA" w:rsidP="00D87D91">
      <w:pPr>
        <w:pStyle w:val="3"/>
      </w:pPr>
      <w:r w:rsidRPr="001663AE">
        <w:rPr>
          <w:rStyle w:val="af3"/>
          <w:rFonts w:ascii="新細明體" w:hAnsi="新細明體"/>
        </w:rPr>
        <w:footnoteRef/>
      </w:r>
      <w:r w:rsidRPr="001663AE">
        <w:rPr>
          <w:rFonts w:hint="eastAsia"/>
        </w:rPr>
        <w:t>餘小雲</w:t>
      </w:r>
      <w:r w:rsidRPr="001663AE">
        <w:t>(2013)</w:t>
      </w:r>
      <w:r w:rsidRPr="001663AE">
        <w:rPr>
          <w:rFonts w:hint="eastAsia"/>
        </w:rPr>
        <w:t>，密室政治與議長職權，中國時報，</w:t>
      </w:r>
      <w:r w:rsidRPr="001663AE">
        <w:t>2013</w:t>
      </w:r>
      <w:r w:rsidRPr="001663AE">
        <w:rPr>
          <w:rFonts w:hint="eastAsia"/>
        </w:rPr>
        <w:t>年</w:t>
      </w:r>
      <w:r w:rsidRPr="001663AE">
        <w:t>10</w:t>
      </w:r>
      <w:r w:rsidRPr="001663AE">
        <w:rPr>
          <w:rFonts w:hint="eastAsia"/>
        </w:rPr>
        <w:t>月</w:t>
      </w:r>
      <w:r w:rsidRPr="001663AE">
        <w:t>11</w:t>
      </w:r>
      <w:r w:rsidRPr="001663AE">
        <w:rPr>
          <w:rFonts w:hint="eastAsia"/>
        </w:rPr>
        <w:t>日。</w:t>
      </w:r>
    </w:p>
  </w:footnote>
  <w:footnote w:id="79">
    <w:p w14:paraId="329F6369"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立法院召開臨時會的法律問題，陳新民</w:t>
      </w:r>
      <w:r w:rsidRPr="001663AE">
        <w:t>(2003)</w:t>
      </w:r>
      <w:r w:rsidRPr="001663AE">
        <w:rPr>
          <w:rFonts w:hint="eastAsia"/>
        </w:rPr>
        <w:t>，財團法人國家政策研究基金會，瀏覽日期：</w:t>
      </w:r>
      <w:r w:rsidRPr="001663AE">
        <w:t>2013</w:t>
      </w:r>
      <w:r w:rsidRPr="001663AE">
        <w:rPr>
          <w:rFonts w:hint="eastAsia"/>
        </w:rPr>
        <w:t>年</w:t>
      </w:r>
      <w:r w:rsidRPr="001663AE">
        <w:t>6</w:t>
      </w:r>
      <w:r w:rsidRPr="001663AE">
        <w:rPr>
          <w:rFonts w:hint="eastAsia"/>
        </w:rPr>
        <w:t>月</w:t>
      </w:r>
      <w:r w:rsidRPr="001663AE">
        <w:t>25</w:t>
      </w:r>
      <w:r w:rsidRPr="001663AE">
        <w:rPr>
          <w:rFonts w:hint="eastAsia"/>
        </w:rPr>
        <w:t>日查閱，</w:t>
      </w:r>
      <w:hyperlink r:id="rId16" w:history="1">
        <w:r w:rsidRPr="001663AE">
          <w:rPr>
            <w:rStyle w:val="a5"/>
            <w:rFonts w:cs="新細明體"/>
            <w:kern w:val="0"/>
          </w:rPr>
          <w:t>http</w:t>
        </w:r>
        <w:r w:rsidRPr="001663AE">
          <w:rPr>
            <w:rStyle w:val="a5"/>
            <w:rFonts w:cs="新細明體" w:hint="eastAsia"/>
            <w:kern w:val="0"/>
          </w:rPr>
          <w:t>：</w:t>
        </w:r>
        <w:r w:rsidRPr="001663AE">
          <w:rPr>
            <w:rStyle w:val="a5"/>
            <w:rFonts w:cs="新細明體"/>
            <w:kern w:val="0"/>
          </w:rPr>
          <w:t>//old.npf.org.tw/PUBLICATION/CL/092/CL-R-092-025.htm</w:t>
        </w:r>
      </w:hyperlink>
      <w:r w:rsidRPr="001663AE">
        <w:rPr>
          <w:rFonts w:hint="eastAsia"/>
        </w:rPr>
        <w:t>。</w:t>
      </w:r>
      <w:r w:rsidRPr="001663AE">
        <w:t xml:space="preserve"> </w:t>
      </w:r>
    </w:p>
    <w:p w14:paraId="27B577EE" w14:textId="77777777" w:rsidR="00CA23FA" w:rsidRPr="001663AE" w:rsidRDefault="00CA23FA" w:rsidP="00D87D91">
      <w:pPr>
        <w:pStyle w:val="af1"/>
      </w:pPr>
    </w:p>
  </w:footnote>
  <w:footnote w:id="80">
    <w:p w14:paraId="77C6B58E" w14:textId="77777777" w:rsidR="00CA23FA" w:rsidRPr="001663AE" w:rsidRDefault="00CA23FA" w:rsidP="002B1F3A">
      <w:pPr>
        <w:pStyle w:val="3"/>
        <w:jc w:val="left"/>
      </w:pPr>
      <w:r w:rsidRPr="001663AE">
        <w:rPr>
          <w:rStyle w:val="af3"/>
          <w:rFonts w:ascii="新細明體" w:hAnsi="新細明體"/>
        </w:rPr>
        <w:footnoteRef/>
      </w:r>
      <w:r w:rsidRPr="001663AE">
        <w:rPr>
          <w:rFonts w:hint="eastAsia"/>
        </w:rPr>
        <w:t>立法院</w:t>
      </w:r>
      <w:r w:rsidRPr="001663AE">
        <w:rPr>
          <w:rFonts w:hint="eastAsia"/>
        </w:rPr>
        <w:t>(2010)</w:t>
      </w:r>
      <w:r w:rsidRPr="001663AE">
        <w:rPr>
          <w:rFonts w:hint="eastAsia"/>
        </w:rPr>
        <w:t>，立法委員，上網瀏覽時間：</w:t>
      </w:r>
      <w:r w:rsidRPr="001663AE">
        <w:rPr>
          <w:rFonts w:hint="eastAsia"/>
        </w:rPr>
        <w:t>2015/06/25</w:t>
      </w:r>
      <w:r w:rsidRPr="001663AE">
        <w:rPr>
          <w:rFonts w:hint="eastAsia"/>
        </w:rPr>
        <w:t>，</w:t>
      </w:r>
      <w:hyperlink r:id="rId17" w:history="1">
        <w:r w:rsidRPr="001663AE">
          <w:rPr>
            <w:rStyle w:val="a5"/>
          </w:rPr>
          <w:t>http://www.ly.gov.tw/02_introduce/0201_intro/introView.action?id=4&amp;itemno=02010400</w:t>
        </w:r>
      </w:hyperlink>
      <w:r w:rsidRPr="001663AE">
        <w:t>。</w:t>
      </w:r>
    </w:p>
  </w:footnote>
  <w:footnote w:id="81">
    <w:p w14:paraId="1D300F76"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依司法院大法官審理案件法第</w:t>
      </w:r>
      <w:r w:rsidRPr="001663AE">
        <w:t>2</w:t>
      </w:r>
      <w:r w:rsidRPr="001663AE">
        <w:rPr>
          <w:rFonts w:hint="eastAsia"/>
        </w:rPr>
        <w:t>條之規定：司法院大法官，以會議方式，合議審理司法院解釋憲法與統一解釋法律及命令之案件；並組成憲法法庭，合議審理政黨違憲之解散案件。另</w:t>
      </w:r>
      <w:r w:rsidRPr="001663AE">
        <w:rPr>
          <w:rFonts w:cs="Arial" w:hint="eastAsia"/>
        </w:rPr>
        <w:t>依司法院大法官審理案件法第</w:t>
      </w:r>
      <w:r w:rsidRPr="001663AE">
        <w:rPr>
          <w:rFonts w:cs="Arial"/>
        </w:rPr>
        <w:t>4</w:t>
      </w:r>
      <w:r w:rsidRPr="001663AE">
        <w:rPr>
          <w:rFonts w:cs="Arial" w:hint="eastAsia"/>
        </w:rPr>
        <w:t>條之規定，</w:t>
      </w:r>
      <w:r w:rsidRPr="001663AE">
        <w:rPr>
          <w:rFonts w:hint="eastAsia"/>
        </w:rPr>
        <w:t>大法官解釋憲法之事項如左：一、關於適用憲法發生疑義之事項。二、關於法律或命令，有無牴觸憲法之事項。三、關於省自治法、縣自治法、省法規及縣規章有無牴觸憲法之事項。前三項解釋之事項，以憲法條文有規定者為限。</w:t>
      </w:r>
    </w:p>
    <w:p w14:paraId="57CDD38B" w14:textId="77777777" w:rsidR="00CA23FA" w:rsidRPr="001663AE" w:rsidRDefault="00CA23FA" w:rsidP="00D87D91">
      <w:pPr>
        <w:pStyle w:val="3"/>
      </w:pPr>
      <w:r w:rsidRPr="001663AE">
        <w:rPr>
          <w:rFonts w:hint="eastAsia"/>
        </w:rPr>
        <w:t>依司法院大法官審理案件法第</w:t>
      </w:r>
      <w:r w:rsidRPr="001663AE">
        <w:t>5</w:t>
      </w:r>
      <w:r w:rsidRPr="001663AE">
        <w:rPr>
          <w:rFonts w:hint="eastAsia"/>
        </w:rPr>
        <w:t>條規定，得聲請解釋憲法：一、中央或地方機關，於其行使職權，適用憲法發生疑義，或因行使職權與其他機關之職權，發生適用憲法之爭議，或適用法律與命令發生有牴觸憲法之疑義者。二、人民、法人或政黨於其憲法上所保障之權利，遭受不法侵害，經依法定程序提起訴訟，對於確定終局裁判所適用之法律或命令發生有牴觸憲法之疑義者。三、依立法委員現有總額三分之一以上之聲請，就其行使職權，適用憲法發生疑義，或適用法律發生有牴觸憲法之疑義者。最高法院或行政法院就其受理之案件，對所適用之法律或命令，確信有牴觸憲法之疑義時，得以裁定停止訴訟程序，聲請大法官解釋。聲請解釋憲法不合前二項規定者，應不受理。</w:t>
      </w:r>
    </w:p>
    <w:p w14:paraId="0E3965BF" w14:textId="77777777" w:rsidR="00CA23FA" w:rsidRPr="001663AE" w:rsidRDefault="00CA23FA" w:rsidP="00D87D91">
      <w:pPr>
        <w:pStyle w:val="3"/>
      </w:pPr>
      <w:r w:rsidRPr="001663AE">
        <w:rPr>
          <w:rFonts w:hint="eastAsia"/>
        </w:rPr>
        <w:t>依司法院大法官審理案件法第</w:t>
      </w:r>
      <w:r w:rsidRPr="001663AE">
        <w:t>7</w:t>
      </w:r>
      <w:r w:rsidRPr="001663AE">
        <w:rPr>
          <w:rFonts w:hint="eastAsia"/>
        </w:rPr>
        <w:t>條規定，得聲請統一解釋之事項：一、中央或地方機關，就其職權上適用法律或命令所持見解，與本機關或他機關適用同一法律或命令時所已表示之見解有異者。但該機關依法應受本機關或他機關見解之拘束，或得變更其見解者，不在此限。二、人民、法人或政黨於其權利遭受不法侵害，認確定終局裁判適用法律或命令所表示之見解，與其他審判機關之確定終局裁判，適用同一法律或命令時所已表示之見解有異者。但得依法定程序聲明不服，或後裁判已變更前裁判之見解者，不在此限。</w:t>
      </w:r>
      <w:r w:rsidRPr="001663AE">
        <w:t xml:space="preserve"> </w:t>
      </w:r>
    </w:p>
  </w:footnote>
  <w:footnote w:id="82">
    <w:p w14:paraId="4B011997" w14:textId="77777777" w:rsidR="00CA23FA" w:rsidRPr="001663AE" w:rsidRDefault="00CA23FA" w:rsidP="002B1F3A">
      <w:pPr>
        <w:pStyle w:val="3"/>
        <w:jc w:val="left"/>
      </w:pPr>
      <w:r w:rsidRPr="001663AE">
        <w:rPr>
          <w:rStyle w:val="af3"/>
          <w:rFonts w:ascii="新細明體" w:hAnsi="新細明體"/>
        </w:rPr>
        <w:footnoteRef/>
      </w:r>
      <w:r w:rsidRPr="001663AE">
        <w:t xml:space="preserve"> </w:t>
      </w:r>
      <w:r w:rsidRPr="001663AE">
        <w:rPr>
          <w:rFonts w:hint="eastAsia"/>
        </w:rPr>
        <w:t>司法院大法官，大法官任命與任期，瀏覽日期：</w:t>
      </w:r>
      <w:r w:rsidRPr="001663AE">
        <w:t>2013</w:t>
      </w:r>
      <w:r w:rsidRPr="001663AE">
        <w:rPr>
          <w:rFonts w:hint="eastAsia"/>
        </w:rPr>
        <w:t>年</w:t>
      </w:r>
      <w:r w:rsidRPr="001663AE">
        <w:t>7</w:t>
      </w:r>
      <w:r w:rsidRPr="001663AE">
        <w:rPr>
          <w:rFonts w:hint="eastAsia"/>
        </w:rPr>
        <w:t>月</w:t>
      </w:r>
      <w:r w:rsidRPr="001663AE">
        <w:t>20</w:t>
      </w:r>
      <w:r w:rsidRPr="001663AE">
        <w:rPr>
          <w:rFonts w:hint="eastAsia"/>
        </w:rPr>
        <w:t>日，</w:t>
      </w:r>
      <w:hyperlink r:id="rId18" w:history="1">
        <w:r w:rsidRPr="001663AE">
          <w:rPr>
            <w:rStyle w:val="a5"/>
          </w:rPr>
          <w:t>http://www.judicial.gov.tw/constitutionalcourt/p01_01_02.asp</w:t>
        </w:r>
      </w:hyperlink>
      <w:r w:rsidRPr="001663AE">
        <w:rPr>
          <w:rFonts w:hint="eastAsia"/>
        </w:rPr>
        <w:t>。</w:t>
      </w:r>
      <w:r w:rsidRPr="001663AE">
        <w:t xml:space="preserve"> </w:t>
      </w:r>
    </w:p>
  </w:footnote>
  <w:footnote w:id="83">
    <w:p w14:paraId="043FA175"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李建良</w:t>
      </w:r>
      <w:r w:rsidRPr="001663AE">
        <w:t>(1999)</w:t>
      </w:r>
      <w:r w:rsidRPr="001663AE">
        <w:rPr>
          <w:rFonts w:hint="eastAsia"/>
        </w:rPr>
        <w:t>，憲法理論與實踐</w:t>
      </w:r>
      <w:r w:rsidRPr="001663AE">
        <w:t>(</w:t>
      </w:r>
      <w:r w:rsidRPr="001663AE">
        <w:rPr>
          <w:rFonts w:hint="eastAsia"/>
        </w:rPr>
        <w:t>二</w:t>
      </w:r>
      <w:r w:rsidRPr="001663AE">
        <w:t>)</w:t>
      </w:r>
      <w:r w:rsidRPr="001663AE">
        <w:rPr>
          <w:rFonts w:hint="eastAsia"/>
        </w:rPr>
        <w:t>，學林文化事業有限公司，頁</w:t>
      </w:r>
      <w:r w:rsidRPr="001663AE">
        <w:t>135-138</w:t>
      </w:r>
      <w:r w:rsidRPr="001663AE">
        <w:rPr>
          <w:rFonts w:hint="eastAsia"/>
        </w:rPr>
        <w:t>。</w:t>
      </w:r>
    </w:p>
    <w:p w14:paraId="1821B2B0" w14:textId="77777777" w:rsidR="00CA23FA" w:rsidRPr="001663AE" w:rsidRDefault="00CA23FA" w:rsidP="00D87D91">
      <w:pPr>
        <w:pStyle w:val="af1"/>
      </w:pPr>
    </w:p>
  </w:footnote>
  <w:footnote w:id="84">
    <w:p w14:paraId="5FD0D1B8"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請參閱：考選部組織法第一條及第二條之規定。</w:t>
      </w:r>
    </w:p>
  </w:footnote>
  <w:footnote w:id="85">
    <w:p w14:paraId="690A5A21" w14:textId="77777777" w:rsidR="00CA23FA" w:rsidRPr="001663AE" w:rsidRDefault="00CA23FA" w:rsidP="00D87D91">
      <w:pPr>
        <w:pStyle w:val="3"/>
        <w:rPr>
          <w:rFonts w:ascii="新細明體" w:hAnsi="新細明體"/>
        </w:rPr>
      </w:pPr>
      <w:r w:rsidRPr="005D6CE5">
        <w:rPr>
          <w:rStyle w:val="af3"/>
        </w:rPr>
        <w:footnoteRef/>
      </w:r>
      <w:r w:rsidRPr="005D6CE5">
        <w:rPr>
          <w:rFonts w:hint="eastAsia"/>
        </w:rPr>
        <w:t>維基百科</w:t>
      </w:r>
      <w:r w:rsidRPr="005D6CE5">
        <w:rPr>
          <w:rFonts w:hint="eastAsia"/>
        </w:rPr>
        <w:t>(2015)</w:t>
      </w:r>
      <w:r w:rsidRPr="005D6CE5">
        <w:rPr>
          <w:rFonts w:hint="eastAsia"/>
        </w:rPr>
        <w:t>，中華民國憲法，上網瀏覽時日：</w:t>
      </w:r>
      <w:r w:rsidRPr="005D6CE5">
        <w:rPr>
          <w:rFonts w:hint="eastAsia"/>
        </w:rPr>
        <w:t>2015/08/02</w:t>
      </w:r>
      <w:r w:rsidRPr="005D6CE5">
        <w:rPr>
          <w:rFonts w:hint="eastAsia"/>
        </w:rPr>
        <w:t>，</w:t>
      </w:r>
      <w:hyperlink r:id="rId19" w:history="1">
        <w:r w:rsidRPr="005D6CE5">
          <w:rPr>
            <w:rStyle w:val="a5"/>
            <w:rFonts w:ascii="Arial Unicode MS" w:hAnsi="Arial Unicode MS"/>
          </w:rPr>
          <w:t>https://zh.wikipedia.org/wiki/%E4%B8%AD%E8%8F%AF%E6%B0%91%E5%9C%8B%E6%86%B2%E6%B3%95</w:t>
        </w:r>
      </w:hyperlink>
      <w:r w:rsidRPr="001663AE">
        <w:rPr>
          <w:rFonts w:ascii="新細明體" w:hAnsi="新細明體"/>
        </w:rPr>
        <w:t>。</w:t>
      </w:r>
    </w:p>
  </w:footnote>
  <w:footnote w:id="86">
    <w:p w14:paraId="4D309F78" w14:textId="77777777" w:rsidR="00CA23FA" w:rsidRPr="00E80116" w:rsidRDefault="00CA23FA" w:rsidP="00D87D91">
      <w:pPr>
        <w:pStyle w:val="3"/>
        <w:rPr>
          <w:rFonts w:ascii="新細明體" w:hAnsi="新細明體"/>
        </w:rPr>
      </w:pPr>
      <w:r w:rsidRPr="00E80116">
        <w:rPr>
          <w:rStyle w:val="af3"/>
          <w:bCs w:val="0"/>
          <w:sz w:val="18"/>
          <w:vertAlign w:val="baseline"/>
        </w:rPr>
        <w:footnoteRef/>
      </w:r>
      <w:r w:rsidRPr="00E80116">
        <w:rPr>
          <w:rFonts w:hint="eastAsia"/>
        </w:rPr>
        <w:t>維基百科</w:t>
      </w:r>
      <w:r w:rsidRPr="00E80116">
        <w:rPr>
          <w:rFonts w:hint="eastAsia"/>
        </w:rPr>
        <w:t>(2015)</w:t>
      </w:r>
      <w:r w:rsidRPr="00E80116">
        <w:rPr>
          <w:rFonts w:hint="eastAsia"/>
        </w:rPr>
        <w:t>，中華民國憲法，上網瀏覽時日：</w:t>
      </w:r>
      <w:r w:rsidRPr="00E80116">
        <w:rPr>
          <w:rFonts w:hint="eastAsia"/>
        </w:rPr>
        <w:t>2015/08/02</w:t>
      </w:r>
      <w:r w:rsidRPr="00E80116">
        <w:rPr>
          <w:rFonts w:hint="eastAsia"/>
        </w:rPr>
        <w:t>，</w:t>
      </w:r>
      <w:hyperlink r:id="rId20" w:history="1">
        <w:r w:rsidRPr="00E80116">
          <w:rPr>
            <w:rStyle w:val="a5"/>
            <w:rFonts w:ascii="Arial Unicode MS" w:hAnsi="Arial Unicode MS"/>
            <w:bCs w:val="0"/>
            <w:sz w:val="18"/>
          </w:rPr>
          <w:t>https://zh.wikipedia.org/wiki/%E4%B8%AD%E8%8F%AF%E6%B0%91%E5%9C%8B%E6%86%B2%E6%B3%95</w:t>
        </w:r>
      </w:hyperlink>
      <w:r w:rsidRPr="00E80116">
        <w:rPr>
          <w:rFonts w:ascii="新細明體" w:hAnsi="新細明體"/>
        </w:rPr>
        <w:t>。</w:t>
      </w:r>
    </w:p>
  </w:footnote>
  <w:footnote w:id="87">
    <w:p w14:paraId="5D62A59E"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監察法第</w:t>
      </w:r>
      <w:r w:rsidRPr="001663AE">
        <w:t>19</w:t>
      </w:r>
      <w:r w:rsidRPr="001663AE">
        <w:rPr>
          <w:rFonts w:hint="eastAsia"/>
        </w:rPr>
        <w:t>條（糾舉權之行使）：</w:t>
      </w:r>
    </w:p>
    <w:p w14:paraId="2C78953C" w14:textId="77777777" w:rsidR="00CA23FA" w:rsidRPr="001663AE" w:rsidRDefault="00CA23FA" w:rsidP="00D87D91">
      <w:pPr>
        <w:pStyle w:val="3"/>
      </w:pPr>
      <w:r w:rsidRPr="001663AE">
        <w:rPr>
          <w:rFonts w:hint="eastAsia"/>
        </w:rPr>
        <w:t xml:space="preserve">　　監察委員對於公務人員認為有違法或失職之行為，應先予停職或其他急速處分時，得以書面糾舉，經其他監察委員三人以上之審查及決定，由監察院送交被糾舉人員之主管長官或其上級長官，其違法行為涉及刑事或軍法者，應逕送各該管司法或軍法機關依法辦理。</w:t>
      </w:r>
      <w:r w:rsidRPr="001663AE">
        <w:t xml:space="preserve"> </w:t>
      </w:r>
    </w:p>
    <w:p w14:paraId="2901FBC9" w14:textId="77777777" w:rsidR="00CA23FA" w:rsidRPr="001663AE" w:rsidRDefault="00CA23FA" w:rsidP="00D87D91">
      <w:pPr>
        <w:pStyle w:val="3"/>
      </w:pPr>
      <w:r w:rsidRPr="001663AE">
        <w:rPr>
          <w:rFonts w:hint="eastAsia"/>
        </w:rPr>
        <w:t xml:space="preserve">　　監察委員於分派執行職務之該管監察區內，對薦任以下公務人員，提議糾舉案於監察院，必要時得通知該主管長官或其上級長官予以注意。</w:t>
      </w:r>
    </w:p>
  </w:footnote>
  <w:footnote w:id="88">
    <w:p w14:paraId="4C251174"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監察法第</w:t>
      </w:r>
      <w:r w:rsidRPr="001663AE">
        <w:t>24</w:t>
      </w:r>
      <w:r w:rsidRPr="001663AE">
        <w:rPr>
          <w:rFonts w:hint="eastAsia"/>
        </w:rPr>
        <w:t>條（糾正案之提出）：</w:t>
      </w:r>
    </w:p>
    <w:p w14:paraId="451B7B43" w14:textId="77777777" w:rsidR="00CA23FA" w:rsidRPr="001663AE" w:rsidRDefault="00CA23FA" w:rsidP="00D87D91">
      <w:pPr>
        <w:pStyle w:val="3"/>
      </w:pPr>
      <w:r w:rsidRPr="001663AE">
        <w:rPr>
          <w:rFonts w:hint="eastAsia"/>
        </w:rPr>
        <w:t>監察院於調查行政院及其所屬各機關之工作及設施後，經各有關委員會之審查及決議，得由監察院提出糾正案，移送行政院或有關部會，促其注意改善。</w:t>
      </w:r>
    </w:p>
  </w:footnote>
  <w:footnote w:id="89">
    <w:p w14:paraId="4A54974D"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監察法第</w:t>
      </w:r>
      <w:r w:rsidRPr="001663AE">
        <w:t>25</w:t>
      </w:r>
      <w:r w:rsidRPr="001663AE">
        <w:rPr>
          <w:rFonts w:hint="eastAsia"/>
        </w:rPr>
        <w:t>條（接到糾正案後之處理）：</w:t>
      </w:r>
    </w:p>
    <w:p w14:paraId="2A3D3646" w14:textId="77777777" w:rsidR="00CA23FA" w:rsidRPr="001663AE" w:rsidRDefault="00CA23FA" w:rsidP="00D87D91">
      <w:pPr>
        <w:pStyle w:val="3"/>
      </w:pPr>
      <w:r w:rsidRPr="001663AE">
        <w:rPr>
          <w:rFonts w:hint="eastAsia"/>
        </w:rPr>
        <w:t>行政院或有關部會接到糾正案後，應即為適當之改善與處置，並應以書面答復監察院，如逾二個月仍未將改善與處置之事實答復監察院時，監察院得質問之。</w:t>
      </w:r>
    </w:p>
  </w:footnote>
  <w:footnote w:id="90">
    <w:p w14:paraId="0957D1FB"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2</w:t>
      </w:r>
      <w:r w:rsidRPr="001663AE">
        <w:rPr>
          <w:rFonts w:hint="eastAsia"/>
        </w:rPr>
        <w:t>條。</w:t>
      </w:r>
    </w:p>
  </w:footnote>
  <w:footnote w:id="91">
    <w:p w14:paraId="091F46A8"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3</w:t>
      </w:r>
      <w:r w:rsidRPr="001663AE">
        <w:rPr>
          <w:rFonts w:hint="eastAsia"/>
        </w:rPr>
        <w:t>條。</w:t>
      </w:r>
    </w:p>
  </w:footnote>
  <w:footnote w:id="92">
    <w:p w14:paraId="0FE63E8D"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6</w:t>
      </w:r>
      <w:r w:rsidRPr="001663AE">
        <w:rPr>
          <w:rFonts w:hint="eastAsia"/>
        </w:rPr>
        <w:t>條。</w:t>
      </w:r>
    </w:p>
  </w:footnote>
  <w:footnote w:id="93">
    <w:p w14:paraId="0EFA5E73"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8</w:t>
      </w:r>
      <w:r w:rsidRPr="001663AE">
        <w:rPr>
          <w:rFonts w:hint="eastAsia"/>
        </w:rPr>
        <w:t>條。</w:t>
      </w:r>
    </w:p>
  </w:footnote>
  <w:footnote w:id="94">
    <w:p w14:paraId="3606103C"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9</w:t>
      </w:r>
      <w:r w:rsidRPr="001663AE">
        <w:rPr>
          <w:rFonts w:hint="eastAsia"/>
        </w:rPr>
        <w:t>條。</w:t>
      </w:r>
    </w:p>
  </w:footnote>
  <w:footnote w:id="95">
    <w:p w14:paraId="21A998F4"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第二章彈劾權</w:t>
      </w:r>
      <w:r w:rsidRPr="001663AE">
        <w:rPr>
          <w:rFonts w:hint="eastAsia"/>
        </w:rPr>
        <w:t>之規定。</w:t>
      </w:r>
    </w:p>
  </w:footnote>
  <w:footnote w:id="96">
    <w:p w14:paraId="025D833D"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第二章彈劾權</w:t>
      </w:r>
      <w:r w:rsidRPr="001663AE">
        <w:rPr>
          <w:rFonts w:hint="eastAsia"/>
        </w:rPr>
        <w:t>之規定。</w:t>
      </w:r>
    </w:p>
  </w:footnote>
  <w:footnote w:id="97">
    <w:p w14:paraId="58807048"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第二章彈劾權</w:t>
      </w:r>
      <w:r w:rsidRPr="001663AE">
        <w:rPr>
          <w:rFonts w:hint="eastAsia"/>
        </w:rPr>
        <w:t>之規定。</w:t>
      </w:r>
    </w:p>
  </w:footnote>
  <w:footnote w:id="98">
    <w:p w14:paraId="5260720B"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第三章糾舉權</w:t>
      </w:r>
      <w:r w:rsidRPr="001663AE">
        <w:rPr>
          <w:rFonts w:hint="eastAsia"/>
        </w:rPr>
        <w:t>之規定。</w:t>
      </w:r>
    </w:p>
  </w:footnote>
  <w:footnote w:id="99">
    <w:p w14:paraId="5903F273"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第三章糾舉權</w:t>
      </w:r>
      <w:r w:rsidRPr="001663AE">
        <w:rPr>
          <w:rFonts w:hint="eastAsia"/>
        </w:rPr>
        <w:t>之規定。</w:t>
      </w:r>
    </w:p>
  </w:footnote>
  <w:footnote w:id="100">
    <w:p w14:paraId="0779198C" w14:textId="77777777"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第四章糾正</w:t>
      </w:r>
      <w:r w:rsidRPr="001663AE">
        <w:rPr>
          <w:rFonts w:hint="eastAsia"/>
        </w:rPr>
        <w:t>之規定。</w:t>
      </w:r>
      <w:r w:rsidRPr="001663AE">
        <w:t xml:space="preserve"> </w:t>
      </w:r>
    </w:p>
  </w:footnote>
  <w:footnote w:id="101">
    <w:p w14:paraId="4BD5B553" w14:textId="77777777" w:rsidR="00CA23FA" w:rsidRPr="001663AE" w:rsidRDefault="00CA23FA" w:rsidP="00D87D91">
      <w:pPr>
        <w:pStyle w:val="3"/>
      </w:pPr>
      <w:r w:rsidRPr="001663AE">
        <w:rPr>
          <w:rStyle w:val="af3"/>
          <w:rFonts w:ascii="新細明體" w:hAnsi="新細明體"/>
        </w:rPr>
        <w:footnoteRef/>
      </w:r>
      <w:r w:rsidRPr="001663AE">
        <w:rPr>
          <w:rFonts w:hint="eastAsia"/>
        </w:rPr>
        <w:t>臺灣省政府全球資訊網，省府簡介，上網瀏覽時間：</w:t>
      </w:r>
      <w:r w:rsidRPr="001663AE">
        <w:t>2013</w:t>
      </w:r>
      <w:r w:rsidRPr="001663AE">
        <w:rPr>
          <w:rFonts w:hint="eastAsia"/>
        </w:rPr>
        <w:t>年</w:t>
      </w:r>
      <w:r w:rsidRPr="001663AE">
        <w:t>7</w:t>
      </w:r>
      <w:r w:rsidRPr="001663AE">
        <w:rPr>
          <w:rFonts w:hint="eastAsia"/>
        </w:rPr>
        <w:t>月</w:t>
      </w:r>
      <w:r w:rsidRPr="001663AE">
        <w:t>1</w:t>
      </w:r>
      <w:r w:rsidRPr="001663AE">
        <w:rPr>
          <w:rFonts w:hint="eastAsia"/>
        </w:rPr>
        <w:t>日，</w:t>
      </w:r>
      <w:hyperlink r:id="rId21" w:history="1">
        <w:r w:rsidRPr="001663AE">
          <w:rPr>
            <w:rStyle w:val="a5"/>
          </w:rPr>
          <w:t>http</w:t>
        </w:r>
        <w:r w:rsidRPr="001663AE">
          <w:rPr>
            <w:rStyle w:val="a5"/>
            <w:rFonts w:hint="eastAsia"/>
          </w:rPr>
          <w:t>：</w:t>
        </w:r>
        <w:r w:rsidRPr="001663AE">
          <w:rPr>
            <w:rStyle w:val="a5"/>
          </w:rPr>
          <w:t>//www.tpg.gov.tw/</w:t>
        </w:r>
      </w:hyperlink>
      <w:r w:rsidRPr="001663AE">
        <w:rPr>
          <w:rFonts w:hint="eastAsia"/>
        </w:rPr>
        <w:t>。</w:t>
      </w:r>
    </w:p>
  </w:footnote>
  <w:footnote w:id="102">
    <w:p w14:paraId="609A0419" w14:textId="77777777" w:rsidR="00CA23FA" w:rsidRPr="001663AE" w:rsidRDefault="00CA23FA" w:rsidP="00D87D91">
      <w:pPr>
        <w:pStyle w:val="3"/>
      </w:pPr>
      <w:r w:rsidRPr="001663AE">
        <w:rPr>
          <w:rStyle w:val="af3"/>
          <w:rFonts w:ascii="新細明體" w:hAnsi="新細明體"/>
        </w:rPr>
        <w:footnoteRef/>
      </w:r>
      <w:r w:rsidRPr="001663AE">
        <w:rPr>
          <w:rFonts w:hint="eastAsia"/>
        </w:rPr>
        <w:t>臺灣省政府全球資訊網，省府簡介，上網瀏覽時間：</w:t>
      </w:r>
      <w:r w:rsidRPr="001663AE">
        <w:t>2013</w:t>
      </w:r>
      <w:r w:rsidRPr="001663AE">
        <w:rPr>
          <w:rFonts w:hint="eastAsia"/>
        </w:rPr>
        <w:t>年</w:t>
      </w:r>
      <w:r w:rsidRPr="001663AE">
        <w:t>7</w:t>
      </w:r>
      <w:r w:rsidRPr="001663AE">
        <w:rPr>
          <w:rFonts w:hint="eastAsia"/>
        </w:rPr>
        <w:t>月</w:t>
      </w:r>
      <w:r w:rsidRPr="001663AE">
        <w:t>1</w:t>
      </w:r>
      <w:r w:rsidRPr="001663AE">
        <w:rPr>
          <w:rFonts w:hint="eastAsia"/>
        </w:rPr>
        <w:t>日，</w:t>
      </w:r>
      <w:hyperlink r:id="rId22" w:history="1">
        <w:r w:rsidRPr="001663AE">
          <w:rPr>
            <w:rStyle w:val="a5"/>
          </w:rPr>
          <w:t>http</w:t>
        </w:r>
        <w:r w:rsidRPr="001663AE">
          <w:rPr>
            <w:rStyle w:val="a5"/>
            <w:rFonts w:hint="eastAsia"/>
          </w:rPr>
          <w:t>：</w:t>
        </w:r>
        <w:r w:rsidRPr="001663AE">
          <w:rPr>
            <w:rStyle w:val="a5"/>
          </w:rPr>
          <w:t>//www.tpg.gov.tw/</w:t>
        </w:r>
      </w:hyperlink>
      <w:r w:rsidRPr="001663AE">
        <w:rPr>
          <w:rFonts w:hint="eastAsia"/>
        </w:rPr>
        <w:t>。</w:t>
      </w:r>
    </w:p>
  </w:footnote>
  <w:footnote w:id="103">
    <w:p w14:paraId="0F9C0FD9" w14:textId="77777777" w:rsidR="00CA23FA" w:rsidRPr="001663AE" w:rsidRDefault="00CA23FA" w:rsidP="00D87D91">
      <w:pPr>
        <w:pStyle w:val="3"/>
      </w:pPr>
      <w:r w:rsidRPr="001663AE">
        <w:rPr>
          <w:rStyle w:val="af3"/>
          <w:rFonts w:ascii="新細明體" w:hAnsi="新細明體"/>
        </w:rPr>
        <w:footnoteRef/>
      </w:r>
      <w:r w:rsidRPr="001663AE">
        <w:rPr>
          <w:rFonts w:hint="eastAsia"/>
        </w:rPr>
        <w:t>臺灣省政府全球資訊網，省府簡介，上網瀏覽時間：</w:t>
      </w:r>
      <w:r w:rsidRPr="001663AE">
        <w:t>2013</w:t>
      </w:r>
      <w:r w:rsidRPr="001663AE">
        <w:rPr>
          <w:rFonts w:hint="eastAsia"/>
        </w:rPr>
        <w:t>年</w:t>
      </w:r>
      <w:r w:rsidRPr="001663AE">
        <w:t>7</w:t>
      </w:r>
      <w:r w:rsidRPr="001663AE">
        <w:rPr>
          <w:rFonts w:hint="eastAsia"/>
        </w:rPr>
        <w:t>月</w:t>
      </w:r>
      <w:r w:rsidRPr="001663AE">
        <w:t>1</w:t>
      </w:r>
      <w:r w:rsidRPr="001663AE">
        <w:rPr>
          <w:rFonts w:hint="eastAsia"/>
        </w:rPr>
        <w:t>日，</w:t>
      </w:r>
      <w:hyperlink r:id="rId23" w:history="1">
        <w:r w:rsidRPr="001663AE">
          <w:rPr>
            <w:rStyle w:val="a5"/>
          </w:rPr>
          <w:t>http</w:t>
        </w:r>
        <w:r w:rsidRPr="001663AE">
          <w:rPr>
            <w:rStyle w:val="a5"/>
            <w:rFonts w:hint="eastAsia"/>
          </w:rPr>
          <w:t>：</w:t>
        </w:r>
        <w:r w:rsidRPr="001663AE">
          <w:rPr>
            <w:rStyle w:val="a5"/>
          </w:rPr>
          <w:t>//www.tpg.gov.tw/</w:t>
        </w:r>
      </w:hyperlink>
      <w:r w:rsidRPr="001663AE">
        <w:rPr>
          <w:rFonts w:hint="eastAsia"/>
        </w:rPr>
        <w:t>。</w:t>
      </w:r>
    </w:p>
  </w:footnote>
  <w:footnote w:id="104">
    <w:p w14:paraId="7118A65C"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臺灣省政府全球資訊網，省府簡介，上網瀏覽時間：</w:t>
      </w:r>
      <w:r w:rsidRPr="001663AE">
        <w:t>2013</w:t>
      </w:r>
      <w:r w:rsidRPr="001663AE">
        <w:rPr>
          <w:rFonts w:hint="eastAsia"/>
        </w:rPr>
        <w:t>年</w:t>
      </w:r>
      <w:r w:rsidRPr="001663AE">
        <w:t>7</w:t>
      </w:r>
      <w:r w:rsidRPr="001663AE">
        <w:rPr>
          <w:rFonts w:hint="eastAsia"/>
        </w:rPr>
        <w:t>月</w:t>
      </w:r>
      <w:r w:rsidRPr="001663AE">
        <w:t>1</w:t>
      </w:r>
      <w:r w:rsidRPr="001663AE">
        <w:rPr>
          <w:rFonts w:hint="eastAsia"/>
        </w:rPr>
        <w:t>日，</w:t>
      </w:r>
      <w:hyperlink r:id="rId24" w:history="1">
        <w:r w:rsidRPr="001663AE">
          <w:rPr>
            <w:rStyle w:val="a5"/>
          </w:rPr>
          <w:t>http</w:t>
        </w:r>
        <w:r w:rsidRPr="001663AE">
          <w:rPr>
            <w:rStyle w:val="a5"/>
            <w:rFonts w:hint="eastAsia"/>
          </w:rPr>
          <w:t>：</w:t>
        </w:r>
        <w:r w:rsidRPr="001663AE">
          <w:rPr>
            <w:rStyle w:val="a5"/>
          </w:rPr>
          <w:t>//www.tpg.gov.tw/</w:t>
        </w:r>
      </w:hyperlink>
      <w:r w:rsidRPr="001663AE">
        <w:rPr>
          <w:rFonts w:hint="eastAsia"/>
        </w:rPr>
        <w:t>。</w:t>
      </w:r>
    </w:p>
  </w:footnote>
  <w:footnote w:id="105">
    <w:p w14:paraId="59B30FE8" w14:textId="77777777" w:rsidR="00CA23FA" w:rsidRPr="00366B0C" w:rsidRDefault="00CA23FA" w:rsidP="007F3288">
      <w:pPr>
        <w:pStyle w:val="3"/>
        <w:jc w:val="left"/>
      </w:pPr>
      <w:r w:rsidRPr="00366B0C">
        <w:rPr>
          <w:rStyle w:val="af3"/>
          <w:rFonts w:ascii="新細明體" w:hAnsi="新細明體"/>
          <w:szCs w:val="20"/>
        </w:rPr>
        <w:footnoteRef/>
      </w:r>
      <w:r w:rsidRPr="00366B0C">
        <w:rPr>
          <w:rFonts w:hint="eastAsia"/>
        </w:rPr>
        <w:t>地方制度法第</w:t>
      </w:r>
      <w:r w:rsidRPr="00366B0C">
        <w:t>3</w:t>
      </w:r>
      <w:r w:rsidRPr="00366B0C">
        <w:rPr>
          <w:rFonts w:hint="eastAsia"/>
        </w:rPr>
        <w:t>條：</w:t>
      </w:r>
      <w:r w:rsidRPr="00366B0C">
        <w:t xml:space="preserve"> </w:t>
      </w:r>
    </w:p>
    <w:p w14:paraId="4576141E" w14:textId="77777777" w:rsidR="00CA23FA" w:rsidRPr="00366B0C" w:rsidRDefault="00CA23FA" w:rsidP="007F3288">
      <w:pPr>
        <w:pStyle w:val="3"/>
        <w:jc w:val="left"/>
      </w:pPr>
      <w:r w:rsidRPr="00366B0C">
        <w:rPr>
          <w:rFonts w:hint="eastAsia"/>
        </w:rPr>
        <w:t>地方劃分為省、直轄市。</w:t>
      </w:r>
    </w:p>
    <w:p w14:paraId="5DEE9EC2" w14:textId="77777777" w:rsidR="00CA23FA" w:rsidRPr="00366B0C" w:rsidRDefault="00CA23FA" w:rsidP="007F3288">
      <w:pPr>
        <w:pStyle w:val="3"/>
        <w:jc w:val="left"/>
      </w:pPr>
      <w:r w:rsidRPr="00366B0C">
        <w:rPr>
          <w:rFonts w:hint="eastAsia"/>
        </w:rPr>
        <w:t>省劃分為縣、市</w:t>
      </w:r>
      <w:r w:rsidRPr="00366B0C">
        <w:t>(</w:t>
      </w:r>
      <w:r w:rsidRPr="00366B0C">
        <w:rPr>
          <w:rFonts w:hint="eastAsia"/>
        </w:rPr>
        <w:t>以下稱縣</w:t>
      </w:r>
      <w:r w:rsidRPr="00366B0C">
        <w:t>(</w:t>
      </w:r>
      <w:r w:rsidRPr="00366B0C">
        <w:rPr>
          <w:rFonts w:hint="eastAsia"/>
        </w:rPr>
        <w:t>市</w:t>
      </w:r>
      <w:r w:rsidRPr="00366B0C">
        <w:t xml:space="preserve">) ) </w:t>
      </w:r>
      <w:r w:rsidRPr="00366B0C">
        <w:rPr>
          <w:rFonts w:hint="eastAsia"/>
        </w:rPr>
        <w:t>；縣劃分為鄉、鎮、縣轄市</w:t>
      </w:r>
      <w:r w:rsidRPr="00366B0C">
        <w:t>(</w:t>
      </w:r>
      <w:r w:rsidRPr="00366B0C">
        <w:rPr>
          <w:rFonts w:hint="eastAsia"/>
        </w:rPr>
        <w:t>以下稱鄉</w:t>
      </w:r>
      <w:r w:rsidRPr="00366B0C">
        <w:t>(</w:t>
      </w:r>
      <w:r w:rsidRPr="00366B0C">
        <w:rPr>
          <w:rFonts w:hint="eastAsia"/>
        </w:rPr>
        <w:t>鎮、市</w:t>
      </w:r>
      <w:r w:rsidRPr="00366B0C">
        <w:t xml:space="preserve">) ) </w:t>
      </w:r>
      <w:r w:rsidRPr="00366B0C">
        <w:rPr>
          <w:rFonts w:hint="eastAsia"/>
        </w:rPr>
        <w:t>。</w:t>
      </w:r>
    </w:p>
    <w:p w14:paraId="264D6CD8" w14:textId="77777777" w:rsidR="00CA23FA" w:rsidRPr="00366B0C" w:rsidRDefault="00CA23FA" w:rsidP="007F3288">
      <w:pPr>
        <w:pStyle w:val="3"/>
        <w:jc w:val="left"/>
      </w:pPr>
      <w:r w:rsidRPr="00366B0C">
        <w:rPr>
          <w:rFonts w:hint="eastAsia"/>
        </w:rPr>
        <w:t>直轄市及市均劃分為區。</w:t>
      </w:r>
    </w:p>
    <w:p w14:paraId="03555152" w14:textId="77777777" w:rsidR="00CA23FA" w:rsidRPr="00366B0C" w:rsidRDefault="00CA23FA" w:rsidP="007F3288">
      <w:pPr>
        <w:pStyle w:val="3"/>
        <w:jc w:val="left"/>
      </w:pPr>
      <w:r w:rsidRPr="00366B0C">
        <w:rPr>
          <w:rFonts w:hint="eastAsia"/>
        </w:rPr>
        <w:t>鄉以內之編組為村；鎮、縣轄市及區以內之編組為里。村、里</w:t>
      </w:r>
      <w:r w:rsidRPr="00366B0C">
        <w:t>(</w:t>
      </w:r>
      <w:r w:rsidRPr="00366B0C">
        <w:rPr>
          <w:rFonts w:hint="eastAsia"/>
        </w:rPr>
        <w:t>以下稱村</w:t>
      </w:r>
      <w:r w:rsidRPr="00366B0C">
        <w:t>(</w:t>
      </w:r>
      <w:r w:rsidRPr="00366B0C">
        <w:rPr>
          <w:rFonts w:hint="eastAsia"/>
        </w:rPr>
        <w:t>里</w:t>
      </w:r>
      <w:r w:rsidRPr="00366B0C">
        <w:t>) )</w:t>
      </w:r>
      <w:r w:rsidRPr="00366B0C">
        <w:rPr>
          <w:rFonts w:hint="eastAsia"/>
        </w:rPr>
        <w:t>以內之編組為鄰。</w:t>
      </w:r>
    </w:p>
  </w:footnote>
  <w:footnote w:id="106">
    <w:p w14:paraId="7B1D68C3" w14:textId="77777777" w:rsidR="00CA23FA" w:rsidRPr="006F42DC" w:rsidRDefault="00CA23FA" w:rsidP="007F3288">
      <w:pPr>
        <w:pStyle w:val="3"/>
        <w:jc w:val="left"/>
      </w:pPr>
      <w:r w:rsidRPr="006F42DC">
        <w:rPr>
          <w:rStyle w:val="af3"/>
          <w:rFonts w:ascii="新細明體" w:hAnsi="新細明體"/>
          <w:b/>
          <w:sz w:val="18"/>
        </w:rPr>
        <w:footnoteRef/>
      </w:r>
      <w:r w:rsidRPr="006F42DC">
        <w:rPr>
          <w:rStyle w:val="afc"/>
          <w:rFonts w:ascii="新細明體" w:hAnsi="新細明體" w:hint="eastAsia"/>
          <w:b w:val="0"/>
        </w:rPr>
        <w:t>內政部民政司，我國</w:t>
      </w:r>
      <w:r w:rsidRPr="006F42DC">
        <w:rPr>
          <w:rFonts w:hint="eastAsia"/>
        </w:rPr>
        <w:t>地方制度概</w:t>
      </w:r>
      <w:r w:rsidRPr="006F42DC">
        <w:rPr>
          <w:rStyle w:val="afc"/>
          <w:rFonts w:ascii="新細明體" w:hAnsi="新細明體" w:hint="eastAsia"/>
        </w:rPr>
        <w:t>況，</w:t>
      </w:r>
      <w:r w:rsidRPr="006F42DC">
        <w:rPr>
          <w:rFonts w:hint="eastAsia"/>
        </w:rPr>
        <w:t>瀏覽日期：</w:t>
      </w:r>
      <w:r w:rsidRPr="006F42DC">
        <w:t>2013</w:t>
      </w:r>
      <w:r w:rsidRPr="006F42DC">
        <w:rPr>
          <w:rFonts w:hint="eastAsia"/>
        </w:rPr>
        <w:t>年</w:t>
      </w:r>
      <w:r w:rsidRPr="006F42DC">
        <w:t>4</w:t>
      </w:r>
      <w:r w:rsidRPr="006F42DC">
        <w:rPr>
          <w:rFonts w:hint="eastAsia"/>
        </w:rPr>
        <w:t>月</w:t>
      </w:r>
      <w:r w:rsidRPr="006F42DC">
        <w:t>23</w:t>
      </w:r>
      <w:r w:rsidRPr="006F42DC">
        <w:rPr>
          <w:rFonts w:hint="eastAsia"/>
        </w:rPr>
        <w:t>日</w:t>
      </w:r>
      <w:hyperlink r:id="rId25" w:history="1">
        <w:r w:rsidRPr="006F42DC">
          <w:rPr>
            <w:rStyle w:val="a5"/>
            <w:sz w:val="18"/>
          </w:rPr>
          <w:t>http://www.moi.gov.tw/dca/02place_001.aspx</w:t>
        </w:r>
      </w:hyperlink>
      <w:r w:rsidRPr="006F42DC">
        <w:rPr>
          <w:rFonts w:hint="eastAsia"/>
        </w:rPr>
        <w:t>。</w:t>
      </w:r>
    </w:p>
  </w:footnote>
  <w:footnote w:id="107">
    <w:p w14:paraId="324906F7" w14:textId="77777777" w:rsidR="00CA23FA" w:rsidRPr="006F42DC" w:rsidRDefault="00CA23FA" w:rsidP="007F3288">
      <w:pPr>
        <w:pStyle w:val="3"/>
        <w:jc w:val="left"/>
      </w:pPr>
      <w:r w:rsidRPr="006F42DC">
        <w:rPr>
          <w:rStyle w:val="af3"/>
          <w:rFonts w:ascii="新細明體" w:hAnsi="新細明體"/>
          <w:sz w:val="18"/>
          <w:szCs w:val="20"/>
        </w:rPr>
        <w:footnoteRef/>
      </w:r>
      <w:r w:rsidRPr="006F42DC">
        <w:t xml:space="preserve"> </w:t>
      </w:r>
      <w:r w:rsidRPr="006F42DC">
        <w:rPr>
          <w:rFonts w:hint="eastAsia"/>
        </w:rPr>
        <w:t>請參閱：地方制度法第</w:t>
      </w:r>
      <w:r w:rsidRPr="006F42DC">
        <w:t>2</w:t>
      </w:r>
      <w:r w:rsidRPr="006F42DC">
        <w:rPr>
          <w:rFonts w:hint="eastAsia"/>
        </w:rPr>
        <w:t>條：</w:t>
      </w:r>
      <w:r w:rsidRPr="006F42DC">
        <w:t xml:space="preserve"> </w:t>
      </w:r>
    </w:p>
    <w:p w14:paraId="369D0188" w14:textId="77777777" w:rsidR="00CA23FA" w:rsidRPr="006F42DC" w:rsidRDefault="00CA23FA" w:rsidP="007F3288">
      <w:pPr>
        <w:pStyle w:val="3"/>
        <w:jc w:val="left"/>
      </w:pPr>
      <w:r w:rsidRPr="006F42DC">
        <w:t xml:space="preserve"> </w:t>
      </w:r>
      <w:r w:rsidRPr="006F42DC">
        <w:rPr>
          <w:rFonts w:hint="eastAsia"/>
        </w:rPr>
        <w:t>本法用詞之定義如下：</w:t>
      </w:r>
    </w:p>
    <w:p w14:paraId="4050830A" w14:textId="77777777" w:rsidR="00CA23FA" w:rsidRPr="006F42DC" w:rsidRDefault="00CA23FA" w:rsidP="007F3288">
      <w:pPr>
        <w:pStyle w:val="3"/>
        <w:jc w:val="left"/>
      </w:pPr>
      <w:r w:rsidRPr="006F42DC">
        <w:rPr>
          <w:rFonts w:hint="eastAsia"/>
        </w:rPr>
        <w:t>一、地方自治團體：指依本法實施地方自治，具公法人地位之團體。省政府為行政院派出機關，省為非地方自治團體。</w:t>
      </w:r>
    </w:p>
  </w:footnote>
  <w:footnote w:id="108">
    <w:p w14:paraId="6BBFFF28"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維基百科</w:t>
      </w:r>
      <w:r w:rsidRPr="001663AE">
        <w:t>(2013)</w:t>
      </w:r>
      <w:r w:rsidRPr="001663AE">
        <w:rPr>
          <w:rFonts w:hint="eastAsia"/>
        </w:rPr>
        <w:t>，中華民國之疆域，瀏覽日期：</w:t>
      </w:r>
      <w:r w:rsidRPr="001663AE">
        <w:t>2013</w:t>
      </w:r>
      <w:r w:rsidRPr="001663AE">
        <w:rPr>
          <w:rFonts w:hint="eastAsia"/>
        </w:rPr>
        <w:t>年</w:t>
      </w:r>
      <w:r w:rsidRPr="001663AE">
        <w:t>2</w:t>
      </w:r>
      <w:r w:rsidRPr="001663AE">
        <w:rPr>
          <w:rFonts w:hint="eastAsia"/>
        </w:rPr>
        <w:t>月</w:t>
      </w:r>
      <w:r w:rsidRPr="001663AE">
        <w:t>29</w:t>
      </w:r>
      <w:r w:rsidRPr="001663AE">
        <w:rPr>
          <w:rFonts w:hint="eastAsia"/>
        </w:rPr>
        <w:t>日，</w:t>
      </w:r>
      <w:hyperlink r:id="rId26" w:history="1">
        <w:r w:rsidRPr="001663AE">
          <w:rPr>
            <w:rStyle w:val="a5"/>
          </w:rPr>
          <w:t>http://zh.wikipedia.org/wiki/%E4%B8%AD%E8%8F%AF%E6%B0%91%E5%9C%8B%E7%96%86%E5%9F%9F</w:t>
        </w:r>
      </w:hyperlink>
      <w:r w:rsidRPr="001663AE">
        <w:rPr>
          <w:rFonts w:hint="eastAsia"/>
        </w:rPr>
        <w:t>。</w:t>
      </w:r>
      <w:r w:rsidRPr="001663AE">
        <w:t xml:space="preserve"> </w:t>
      </w:r>
    </w:p>
  </w:footnote>
  <w:footnote w:id="109">
    <w:p w14:paraId="3FAC8A48"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維基百科</w:t>
      </w:r>
      <w:r w:rsidRPr="001663AE">
        <w:t>(2013)</w:t>
      </w:r>
      <w:r w:rsidRPr="001663AE">
        <w:rPr>
          <w:rFonts w:hint="eastAsia"/>
        </w:rPr>
        <w:t>，中華民國政府，瀏覽日期：</w:t>
      </w:r>
      <w:r w:rsidRPr="001663AE">
        <w:t>2013</w:t>
      </w:r>
      <w:r w:rsidRPr="001663AE">
        <w:rPr>
          <w:rFonts w:hint="eastAsia"/>
        </w:rPr>
        <w:t>年</w:t>
      </w:r>
      <w:r w:rsidRPr="001663AE">
        <w:t>6</w:t>
      </w:r>
      <w:r w:rsidRPr="001663AE">
        <w:rPr>
          <w:rFonts w:hint="eastAsia"/>
        </w:rPr>
        <w:t>月</w:t>
      </w:r>
      <w:r w:rsidRPr="001663AE">
        <w:t>19</w:t>
      </w:r>
      <w:r w:rsidRPr="001663AE">
        <w:rPr>
          <w:rFonts w:hint="eastAsia"/>
        </w:rPr>
        <w:t>日，</w:t>
      </w:r>
      <w:hyperlink r:id="rId27" w:history="1">
        <w:r w:rsidRPr="001663AE">
          <w:rPr>
            <w:rStyle w:val="a5"/>
          </w:rPr>
          <w:t>http://zh.wikipedia.org/wiki/%E4%B8%AD%E8%8F%AF%E6%B0%91%E5%9C%8B%E6%94%BF%E5%BA%9C</w:t>
        </w:r>
      </w:hyperlink>
      <w:r w:rsidRPr="001663AE">
        <w:rPr>
          <w:rFonts w:hint="eastAsia"/>
        </w:rPr>
        <w:t>。</w:t>
      </w:r>
      <w:r w:rsidRPr="001663AE">
        <w:t xml:space="preserve"> </w:t>
      </w:r>
    </w:p>
  </w:footnote>
  <w:footnote w:id="110">
    <w:p w14:paraId="5941C399"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地方立法機關組織準則係由內政部公布，本準則之立法沿革如下：</w:t>
      </w:r>
    </w:p>
    <w:p w14:paraId="4AF99D72" w14:textId="77777777" w:rsidR="00CA23FA" w:rsidRPr="001663AE" w:rsidRDefault="00CA23FA" w:rsidP="00D87D91">
      <w:pPr>
        <w:pStyle w:val="3"/>
      </w:pPr>
      <w:r w:rsidRPr="001663AE">
        <w:t>1‧</w:t>
      </w:r>
      <w:r w:rsidRPr="001663AE">
        <w:rPr>
          <w:rFonts w:hint="eastAsia"/>
        </w:rPr>
        <w:t>中華民國八十八年八月十二日內政部（</w:t>
      </w:r>
      <w:r w:rsidRPr="001663AE">
        <w:t>88</w:t>
      </w:r>
      <w:r w:rsidRPr="001663AE">
        <w:rPr>
          <w:rFonts w:hint="eastAsia"/>
        </w:rPr>
        <w:t>）台內民字第</w:t>
      </w:r>
      <w:r w:rsidRPr="001663AE">
        <w:t>8880478</w:t>
      </w:r>
      <w:r w:rsidRPr="001663AE">
        <w:rPr>
          <w:rFonts w:hint="eastAsia"/>
        </w:rPr>
        <w:t>號令訂定發布全文</w:t>
      </w:r>
      <w:r w:rsidRPr="001663AE">
        <w:t>35</w:t>
      </w:r>
      <w:r w:rsidRPr="001663AE">
        <w:rPr>
          <w:rFonts w:hint="eastAsia"/>
        </w:rPr>
        <w:t>條；並自發布日起施行；</w:t>
      </w:r>
    </w:p>
    <w:p w14:paraId="651A0896" w14:textId="77777777" w:rsidR="00CA23FA" w:rsidRPr="001663AE" w:rsidRDefault="00CA23FA" w:rsidP="00D87D91">
      <w:pPr>
        <w:pStyle w:val="3"/>
      </w:pPr>
      <w:r w:rsidRPr="001663AE">
        <w:t>2‧</w:t>
      </w:r>
      <w:r w:rsidRPr="001663AE">
        <w:rPr>
          <w:rFonts w:hint="eastAsia"/>
        </w:rPr>
        <w:t>中華民國八十九年十月四日內政部（</w:t>
      </w:r>
      <w:r w:rsidRPr="001663AE">
        <w:t>89</w:t>
      </w:r>
      <w:r w:rsidRPr="001663AE">
        <w:rPr>
          <w:rFonts w:hint="eastAsia"/>
        </w:rPr>
        <w:t>）台內民字第</w:t>
      </w:r>
      <w:r w:rsidRPr="001663AE">
        <w:t>8961857</w:t>
      </w:r>
      <w:r w:rsidRPr="001663AE">
        <w:rPr>
          <w:rFonts w:hint="eastAsia"/>
        </w:rPr>
        <w:t>號令修正發布第</w:t>
      </w:r>
      <w:r w:rsidRPr="001663AE">
        <w:t>16</w:t>
      </w:r>
      <w:r w:rsidRPr="001663AE">
        <w:rPr>
          <w:rFonts w:hint="eastAsia"/>
        </w:rPr>
        <w:t>、</w:t>
      </w:r>
      <w:r w:rsidRPr="001663AE">
        <w:t>25</w:t>
      </w:r>
      <w:r w:rsidRPr="001663AE">
        <w:rPr>
          <w:rFonts w:hint="eastAsia"/>
        </w:rPr>
        <w:t>、</w:t>
      </w:r>
      <w:r w:rsidRPr="001663AE">
        <w:t>29</w:t>
      </w:r>
      <w:r w:rsidRPr="001663AE">
        <w:rPr>
          <w:rFonts w:hint="eastAsia"/>
        </w:rPr>
        <w:t>條條文；</w:t>
      </w:r>
    </w:p>
    <w:p w14:paraId="32C84B18" w14:textId="77777777" w:rsidR="00CA23FA" w:rsidRPr="001663AE" w:rsidRDefault="00CA23FA" w:rsidP="00D87D91">
      <w:pPr>
        <w:pStyle w:val="3"/>
      </w:pPr>
      <w:r w:rsidRPr="001663AE">
        <w:t>3‧</w:t>
      </w:r>
      <w:r w:rsidRPr="001663AE">
        <w:rPr>
          <w:rFonts w:hint="eastAsia"/>
        </w:rPr>
        <w:t>中華民國九十年五月十五日內政部（</w:t>
      </w:r>
      <w:r w:rsidRPr="001663AE">
        <w:t>90</w:t>
      </w:r>
      <w:r w:rsidRPr="001663AE">
        <w:rPr>
          <w:rFonts w:hint="eastAsia"/>
        </w:rPr>
        <w:t>）台內民字第</w:t>
      </w:r>
      <w:r w:rsidRPr="001663AE">
        <w:t>9076716</w:t>
      </w:r>
      <w:r w:rsidRPr="001663AE">
        <w:rPr>
          <w:rFonts w:hint="eastAsia"/>
        </w:rPr>
        <w:t>號令修正發布第</w:t>
      </w:r>
      <w:r w:rsidRPr="001663AE">
        <w:t>16</w:t>
      </w:r>
      <w:r w:rsidRPr="001663AE">
        <w:rPr>
          <w:rFonts w:hint="eastAsia"/>
        </w:rPr>
        <w:t>條條文；</w:t>
      </w:r>
      <w:r w:rsidRPr="001663AE">
        <w:t xml:space="preserve"> </w:t>
      </w:r>
    </w:p>
    <w:p w14:paraId="48F5A113" w14:textId="77777777" w:rsidR="00CA23FA" w:rsidRPr="001663AE" w:rsidRDefault="00CA23FA" w:rsidP="00D87D91">
      <w:pPr>
        <w:pStyle w:val="3"/>
      </w:pPr>
      <w:r w:rsidRPr="001663AE">
        <w:t>4‧</w:t>
      </w:r>
      <w:r w:rsidRPr="001663AE">
        <w:rPr>
          <w:rFonts w:hint="eastAsia"/>
        </w:rPr>
        <w:t>中華民國九十一年八月二十一日內政部台內民字第</w:t>
      </w:r>
      <w:r w:rsidRPr="001663AE">
        <w:t>0910006021</w:t>
      </w:r>
      <w:r w:rsidRPr="001663AE">
        <w:rPr>
          <w:rFonts w:hint="eastAsia"/>
        </w:rPr>
        <w:t>號令修正發布第</w:t>
      </w:r>
      <w:r w:rsidRPr="001663AE">
        <w:t>5</w:t>
      </w:r>
      <w:r w:rsidRPr="001663AE">
        <w:rPr>
          <w:rFonts w:hint="eastAsia"/>
        </w:rPr>
        <w:t>條條文；並增訂第</w:t>
      </w:r>
      <w:r w:rsidRPr="001663AE">
        <w:t>34-1</w:t>
      </w:r>
      <w:r w:rsidRPr="001663AE">
        <w:rPr>
          <w:rFonts w:hint="eastAsia"/>
        </w:rPr>
        <w:t>條條文；</w:t>
      </w:r>
      <w:r w:rsidRPr="001663AE">
        <w:t xml:space="preserve"> </w:t>
      </w:r>
    </w:p>
    <w:p w14:paraId="12312913" w14:textId="77777777" w:rsidR="00CA23FA" w:rsidRPr="001663AE" w:rsidRDefault="00CA23FA" w:rsidP="00D87D91">
      <w:pPr>
        <w:pStyle w:val="3"/>
      </w:pPr>
      <w:r w:rsidRPr="001663AE">
        <w:t>5‧</w:t>
      </w:r>
      <w:r w:rsidRPr="001663AE">
        <w:rPr>
          <w:rFonts w:hint="eastAsia"/>
        </w:rPr>
        <w:t>中華民國九十六年八月二十二日內政部台內民字第</w:t>
      </w:r>
      <w:r w:rsidRPr="001663AE">
        <w:t>0960128127</w:t>
      </w:r>
      <w:r w:rsidRPr="001663AE">
        <w:rPr>
          <w:rFonts w:hint="eastAsia"/>
        </w:rPr>
        <w:t>號令修正發布第</w:t>
      </w:r>
      <w:r w:rsidRPr="001663AE">
        <w:t>29</w:t>
      </w:r>
      <w:r w:rsidRPr="001663AE">
        <w:rPr>
          <w:rFonts w:hint="eastAsia"/>
        </w:rPr>
        <w:t>條條文；</w:t>
      </w:r>
      <w:r w:rsidRPr="001663AE">
        <w:t xml:space="preserve"> </w:t>
      </w:r>
    </w:p>
    <w:p w14:paraId="03018936" w14:textId="77777777" w:rsidR="00CA23FA" w:rsidRPr="001663AE" w:rsidRDefault="00CA23FA" w:rsidP="00D87D91">
      <w:pPr>
        <w:pStyle w:val="3"/>
      </w:pPr>
      <w:r w:rsidRPr="001663AE">
        <w:t>6‧</w:t>
      </w:r>
      <w:r w:rsidRPr="001663AE">
        <w:rPr>
          <w:rFonts w:hint="eastAsia"/>
        </w:rPr>
        <w:t>中華民國九十九年四月六日內政部台內民字第</w:t>
      </w:r>
      <w:r w:rsidRPr="001663AE">
        <w:t>0990062534</w:t>
      </w:r>
      <w:r w:rsidRPr="001663AE">
        <w:rPr>
          <w:rFonts w:hint="eastAsia"/>
        </w:rPr>
        <w:t>號令修正發布第</w:t>
      </w:r>
      <w:r w:rsidRPr="001663AE">
        <w:t>5</w:t>
      </w:r>
      <w:r w:rsidRPr="001663AE">
        <w:rPr>
          <w:rFonts w:hint="eastAsia"/>
        </w:rPr>
        <w:t>、</w:t>
      </w:r>
      <w:r w:rsidRPr="001663AE">
        <w:t>6</w:t>
      </w:r>
      <w:r w:rsidRPr="001663AE">
        <w:rPr>
          <w:rFonts w:hint="eastAsia"/>
        </w:rPr>
        <w:t>、</w:t>
      </w:r>
      <w:r w:rsidRPr="001663AE">
        <w:t>13</w:t>
      </w:r>
      <w:r w:rsidRPr="001663AE">
        <w:rPr>
          <w:rFonts w:hint="eastAsia"/>
        </w:rPr>
        <w:t>、</w:t>
      </w:r>
      <w:r w:rsidRPr="001663AE">
        <w:t>29</w:t>
      </w:r>
      <w:r w:rsidRPr="001663AE">
        <w:rPr>
          <w:rFonts w:hint="eastAsia"/>
        </w:rPr>
        <w:t>條條文；</w:t>
      </w:r>
      <w:r w:rsidRPr="001663AE">
        <w:t xml:space="preserve"> </w:t>
      </w:r>
    </w:p>
    <w:p w14:paraId="6CF97EC8" w14:textId="77777777" w:rsidR="00CA23FA" w:rsidRPr="001663AE" w:rsidRDefault="00CA23FA" w:rsidP="00D87D91">
      <w:pPr>
        <w:pStyle w:val="3"/>
      </w:pPr>
      <w:r w:rsidRPr="001663AE">
        <w:t>7‧</w:t>
      </w:r>
      <w:r w:rsidRPr="001663AE">
        <w:rPr>
          <w:rFonts w:hint="eastAsia"/>
        </w:rPr>
        <w:t>中華民國一百零二年七月十日內政部台內民字第</w:t>
      </w:r>
      <w:r w:rsidRPr="001663AE">
        <w:t>1020246756</w:t>
      </w:r>
      <w:r w:rsidRPr="001663AE">
        <w:rPr>
          <w:rFonts w:hint="eastAsia"/>
        </w:rPr>
        <w:t>號令修正發布第</w:t>
      </w:r>
      <w:r w:rsidRPr="001663AE">
        <w:t>5</w:t>
      </w:r>
      <w:r w:rsidRPr="001663AE">
        <w:rPr>
          <w:rFonts w:hint="eastAsia"/>
        </w:rPr>
        <w:t>、</w:t>
      </w:r>
      <w:r w:rsidRPr="001663AE">
        <w:t>6</w:t>
      </w:r>
      <w:r w:rsidRPr="001663AE">
        <w:rPr>
          <w:rFonts w:hint="eastAsia"/>
        </w:rPr>
        <w:t>、</w:t>
      </w:r>
      <w:r w:rsidRPr="001663AE">
        <w:t>18</w:t>
      </w:r>
      <w:r w:rsidRPr="001663AE">
        <w:rPr>
          <w:rFonts w:hint="eastAsia"/>
        </w:rPr>
        <w:t>、</w:t>
      </w:r>
      <w:r w:rsidRPr="001663AE">
        <w:t>19</w:t>
      </w:r>
      <w:r w:rsidRPr="001663AE">
        <w:rPr>
          <w:rFonts w:hint="eastAsia"/>
        </w:rPr>
        <w:t>、</w:t>
      </w:r>
      <w:r w:rsidRPr="001663AE">
        <w:t>22</w:t>
      </w:r>
      <w:r w:rsidRPr="001663AE">
        <w:rPr>
          <w:rFonts w:hint="eastAsia"/>
        </w:rPr>
        <w:t>條條文。</w:t>
      </w:r>
    </w:p>
  </w:footnote>
  <w:footnote w:id="111">
    <w:p w14:paraId="3A81B845"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文化部，台灣大百科全書，，瀏覽日期：</w:t>
      </w:r>
      <w:r w:rsidRPr="001663AE">
        <w:t>2013</w:t>
      </w:r>
      <w:r w:rsidRPr="001663AE">
        <w:rPr>
          <w:rFonts w:hint="eastAsia"/>
        </w:rPr>
        <w:t>年</w:t>
      </w:r>
      <w:r w:rsidRPr="001663AE">
        <w:t>7</w:t>
      </w:r>
      <w:r w:rsidRPr="001663AE">
        <w:rPr>
          <w:rFonts w:hint="eastAsia"/>
        </w:rPr>
        <w:t>月</w:t>
      </w:r>
      <w:r w:rsidRPr="001663AE">
        <w:t>23</w:t>
      </w:r>
      <w:r w:rsidRPr="001663AE">
        <w:rPr>
          <w:rFonts w:hint="eastAsia"/>
        </w:rPr>
        <w:t>日，</w:t>
      </w:r>
      <w:hyperlink r:id="rId28" w:history="1">
        <w:r w:rsidRPr="001663AE">
          <w:rPr>
            <w:rStyle w:val="a5"/>
          </w:rPr>
          <w:t>http://taiwanpedia.culture.tw/web/content?ID=100360</w:t>
        </w:r>
      </w:hyperlink>
      <w:r w:rsidRPr="001663AE">
        <w:rPr>
          <w:rFonts w:hint="eastAsia"/>
        </w:rPr>
        <w:t>。</w:t>
      </w:r>
      <w:r w:rsidRPr="001663AE">
        <w:t xml:space="preserve"> </w:t>
      </w:r>
    </w:p>
  </w:footnote>
  <w:footnote w:id="112">
    <w:p w14:paraId="1D86F1FB"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國立臺北大學公共行政暨政策學系，創制權，</w:t>
      </w:r>
      <w:hyperlink r:id="rId29" w:history="1">
        <w:r w:rsidRPr="001663AE">
          <w:rPr>
            <w:rStyle w:val="a5"/>
          </w:rPr>
          <w:t>http</w:t>
        </w:r>
        <w:r w:rsidRPr="001663AE">
          <w:rPr>
            <w:rStyle w:val="a5"/>
            <w:rFonts w:hint="eastAsia"/>
          </w:rPr>
          <w:t>：</w:t>
        </w:r>
        <w:r w:rsidRPr="001663AE">
          <w:rPr>
            <w:rStyle w:val="a5"/>
          </w:rPr>
          <w:t>//120.126.122.251/ntpu_dep/user_file/001250.pdf</w:t>
        </w:r>
      </w:hyperlink>
      <w:r w:rsidRPr="001663AE">
        <w:t xml:space="preserve">, </w:t>
      </w:r>
      <w:r w:rsidRPr="001663AE">
        <w:rPr>
          <w:rFonts w:hint="eastAsia"/>
        </w:rPr>
        <w:t>瀏灠日期：</w:t>
      </w:r>
      <w:r w:rsidRPr="001663AE">
        <w:t>2013/7/4</w:t>
      </w:r>
      <w:r w:rsidRPr="001663AE">
        <w:rPr>
          <w:rFonts w:hint="eastAsia"/>
        </w:rPr>
        <w:t>。</w:t>
      </w:r>
    </w:p>
  </w:footnote>
  <w:footnote w:id="113">
    <w:p w14:paraId="5CFDE586" w14:textId="77777777" w:rsidR="00CA23FA" w:rsidRPr="001663AE" w:rsidRDefault="00CA23FA" w:rsidP="00723D4E">
      <w:pPr>
        <w:pStyle w:val="3"/>
        <w:jc w:val="left"/>
      </w:pPr>
      <w:r w:rsidRPr="001663AE">
        <w:rPr>
          <w:rStyle w:val="af3"/>
          <w:rFonts w:ascii="新細明體" w:hAnsi="新細明體"/>
        </w:rPr>
        <w:footnoteRef/>
      </w:r>
      <w:r w:rsidRPr="001663AE">
        <w:rPr>
          <w:rFonts w:hint="eastAsia"/>
        </w:rPr>
        <w:t>國立臺北大學公共行政暨政策學系，創制權，</w:t>
      </w:r>
      <w:hyperlink r:id="rId30" w:history="1">
        <w:r w:rsidRPr="001663AE">
          <w:rPr>
            <w:rStyle w:val="a5"/>
          </w:rPr>
          <w:t>http</w:t>
        </w:r>
        <w:r w:rsidRPr="001663AE">
          <w:rPr>
            <w:rStyle w:val="a5"/>
            <w:rFonts w:hint="eastAsia"/>
          </w:rPr>
          <w:t>：</w:t>
        </w:r>
        <w:r w:rsidRPr="001663AE">
          <w:rPr>
            <w:rStyle w:val="a5"/>
          </w:rPr>
          <w:t>//120.126.122.251/ntpu_dep/user_file/001250.pdf</w:t>
        </w:r>
      </w:hyperlink>
      <w:r w:rsidRPr="001663AE">
        <w:t xml:space="preserve">, </w:t>
      </w:r>
      <w:r w:rsidRPr="001663AE">
        <w:rPr>
          <w:rFonts w:hint="eastAsia"/>
        </w:rPr>
        <w:t>瀏灠日期：</w:t>
      </w:r>
      <w:r w:rsidRPr="001663AE">
        <w:t>2013/7/4</w:t>
      </w:r>
      <w:r w:rsidRPr="001663AE">
        <w:rPr>
          <w:rFonts w:hint="eastAsia"/>
        </w:rPr>
        <w:t>。</w:t>
      </w:r>
    </w:p>
  </w:footnote>
  <w:footnote w:id="114">
    <w:p w14:paraId="135B407D" w14:textId="77777777" w:rsidR="00CA23FA" w:rsidRPr="001663AE" w:rsidRDefault="00CA23FA" w:rsidP="00723D4E">
      <w:pPr>
        <w:pStyle w:val="3"/>
        <w:jc w:val="left"/>
      </w:pPr>
      <w:r w:rsidRPr="001663AE">
        <w:rPr>
          <w:rStyle w:val="af3"/>
          <w:rFonts w:ascii="新細明體" w:hAnsi="新細明體"/>
        </w:rPr>
        <w:footnoteRef/>
      </w:r>
      <w:r w:rsidRPr="001663AE">
        <w:t xml:space="preserve"> </w:t>
      </w:r>
      <w:r w:rsidRPr="001663AE">
        <w:rPr>
          <w:rFonts w:hint="eastAsia"/>
        </w:rPr>
        <w:t xml:space="preserve">S-link </w:t>
      </w:r>
      <w:r w:rsidRPr="001663AE">
        <w:rPr>
          <w:rFonts w:hint="eastAsia"/>
        </w:rPr>
        <w:t>電子六法全書，</w:t>
      </w:r>
      <w:hyperlink r:id="rId31" w:history="1">
        <w:r w:rsidRPr="001663AE">
          <w:rPr>
            <w:rStyle w:val="a5"/>
          </w:rPr>
          <w:t>http</w:t>
        </w:r>
        <w:r w:rsidRPr="001663AE">
          <w:rPr>
            <w:rStyle w:val="a5"/>
            <w:rFonts w:hint="eastAsia"/>
          </w:rPr>
          <w:t>：</w:t>
        </w:r>
        <w:r w:rsidRPr="001663AE">
          <w:rPr>
            <w:rStyle w:val="a5"/>
          </w:rPr>
          <w:t>//www.6law.idv.tw/6law/law/%E5%9C%8B%E9%98%B2%E9%83%A8%E7%B5%84%E7%B9%94%E6%B3%95.htm</w:t>
        </w:r>
      </w:hyperlink>
      <w:r w:rsidRPr="001663AE">
        <w:t xml:space="preserve">, </w:t>
      </w:r>
      <w:r w:rsidRPr="001663AE">
        <w:rPr>
          <w:rFonts w:hint="eastAsia"/>
        </w:rPr>
        <w:t>瀏灠日期：</w:t>
      </w:r>
      <w:r w:rsidRPr="001663AE">
        <w:t>2013/7/4</w:t>
      </w:r>
      <w:r w:rsidRPr="001663AE">
        <w:rPr>
          <w:rFonts w:hint="eastAsia"/>
        </w:rPr>
        <w:t>。</w:t>
      </w:r>
    </w:p>
  </w:footnote>
  <w:footnote w:id="115">
    <w:p w14:paraId="2EC5CA16" w14:textId="77777777" w:rsidR="00CA23FA" w:rsidRPr="001663AE" w:rsidRDefault="00CA23FA" w:rsidP="00D87D91">
      <w:pPr>
        <w:pStyle w:val="3"/>
      </w:pPr>
      <w:r w:rsidRPr="001663AE">
        <w:rPr>
          <w:rStyle w:val="af3"/>
          <w:rFonts w:ascii="新細明體" w:hAnsi="新細明體"/>
        </w:rPr>
        <w:footnoteRef/>
      </w:r>
      <w:r w:rsidRPr="001663AE">
        <w:rPr>
          <w:rFonts w:hint="eastAsia"/>
        </w:rPr>
        <w:t>林建甫</w:t>
      </w:r>
      <w:r w:rsidRPr="001663AE">
        <w:t>(2012)</w:t>
      </w:r>
      <w:r w:rsidRPr="001663AE">
        <w:rPr>
          <w:rFonts w:hint="eastAsia"/>
        </w:rPr>
        <w:t>，漲價歸公落實房產正義，瀏灠日期：</w:t>
      </w:r>
      <w:r w:rsidRPr="001663AE">
        <w:t>2013/7/4</w:t>
      </w:r>
      <w:r w:rsidRPr="001663AE">
        <w:rPr>
          <w:rFonts w:hint="eastAsia"/>
        </w:rPr>
        <w:t>，</w:t>
      </w:r>
      <w:hyperlink r:id="rId32" w:history="1">
        <w:r w:rsidRPr="001663AE">
          <w:rPr>
            <w:rStyle w:val="a5"/>
          </w:rPr>
          <w:t>http</w:t>
        </w:r>
        <w:r w:rsidRPr="001663AE">
          <w:rPr>
            <w:rStyle w:val="a5"/>
            <w:rFonts w:hint="eastAsia"/>
          </w:rPr>
          <w:t>：</w:t>
        </w:r>
        <w:r w:rsidRPr="001663AE">
          <w:rPr>
            <w:rStyle w:val="a5"/>
          </w:rPr>
          <w:t>//www.npf.org.tw/post/1/11716</w:t>
        </w:r>
      </w:hyperlink>
      <w:r w:rsidRPr="001663AE">
        <w:rPr>
          <w:rFonts w:hint="eastAsia"/>
        </w:rPr>
        <w:t>。</w:t>
      </w:r>
    </w:p>
  </w:footnote>
  <w:footnote w:id="116">
    <w:p w14:paraId="74E67D30"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內政部，瀏灠日期：</w:t>
      </w:r>
      <w:r w:rsidRPr="001663AE">
        <w:t>2013/7/4</w:t>
      </w:r>
      <w:r w:rsidRPr="001663AE">
        <w:rPr>
          <w:rFonts w:hint="eastAsia"/>
        </w:rPr>
        <w:t>，</w:t>
      </w:r>
      <w:hyperlink r:id="rId33" w:history="1">
        <w:r w:rsidRPr="001663AE">
          <w:rPr>
            <w:rStyle w:val="a5"/>
          </w:rPr>
          <w:t>http</w:t>
        </w:r>
        <w:r w:rsidRPr="001663AE">
          <w:rPr>
            <w:rStyle w:val="a5"/>
            <w:rFonts w:hint="eastAsia"/>
          </w:rPr>
          <w:t>：</w:t>
        </w:r>
        <w:r w:rsidRPr="001663AE">
          <w:rPr>
            <w:rStyle w:val="a5"/>
          </w:rPr>
          <w:t>//coop.moi.gov.tw/moi-introduction/moi-p2.html</w:t>
        </w:r>
      </w:hyperlink>
      <w:r w:rsidRPr="001663AE">
        <w:rPr>
          <w:rFonts w:hint="eastAsia"/>
        </w:rPr>
        <w:t>。</w:t>
      </w:r>
    </w:p>
  </w:footnote>
  <w:footnote w:id="117">
    <w:p w14:paraId="495D9A6A"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經濟部經貿談判代表辦公室</w:t>
      </w:r>
      <w:r w:rsidRPr="001663AE">
        <w:t>(2012)</w:t>
      </w:r>
      <w:r w:rsidRPr="001663AE">
        <w:rPr>
          <w:rFonts w:hint="eastAsia"/>
        </w:rPr>
        <w:t>，我國洽簽經濟合作協定</w:t>
      </w:r>
      <w:r w:rsidRPr="001663AE">
        <w:t>(ECA)</w:t>
      </w:r>
      <w:r w:rsidRPr="001663AE">
        <w:rPr>
          <w:rFonts w:hint="eastAsia"/>
        </w:rPr>
        <w:t>之情形，瀏灠日期：</w:t>
      </w:r>
      <w:r w:rsidRPr="001663AE">
        <w:t>2013/7/4</w:t>
      </w:r>
      <w:r w:rsidRPr="001663AE">
        <w:rPr>
          <w:rFonts w:hint="eastAsia"/>
        </w:rPr>
        <w:t>，</w:t>
      </w:r>
      <w:hyperlink r:id="rId34" w:history="1">
        <w:r w:rsidRPr="001663AE">
          <w:rPr>
            <w:rStyle w:val="a5"/>
            <w:szCs w:val="20"/>
          </w:rPr>
          <w:t>http://www.moea.gov.tw/Mns/otn/content/wHandMenuFile.ashx?menu_id=5709</w:t>
        </w:r>
      </w:hyperlink>
      <w:r w:rsidRPr="001663AE">
        <w:rPr>
          <w:rFonts w:hint="eastAsia"/>
        </w:rPr>
        <w:t>。</w:t>
      </w:r>
    </w:p>
  </w:footnote>
  <w:footnote w:id="118">
    <w:p w14:paraId="26F9B7A4" w14:textId="77777777" w:rsidR="00CA23FA" w:rsidRPr="001663AE" w:rsidRDefault="00CA23FA" w:rsidP="00D87D91">
      <w:pPr>
        <w:pStyle w:val="3"/>
      </w:pPr>
      <w:r w:rsidRPr="001663AE">
        <w:rPr>
          <w:rStyle w:val="af3"/>
          <w:rFonts w:ascii="新細明體" w:hAnsi="新細明體"/>
        </w:rPr>
        <w:footnoteRef/>
      </w:r>
      <w:r w:rsidRPr="001663AE">
        <w:rPr>
          <w:rFonts w:hint="eastAsia"/>
        </w:rPr>
        <w:t>林建甫、周信佑</w:t>
      </w:r>
      <w:r w:rsidRPr="001663AE">
        <w:t>(2012)</w:t>
      </w:r>
      <w:r w:rsidRPr="001663AE">
        <w:rPr>
          <w:rFonts w:hint="eastAsia"/>
        </w:rPr>
        <w:t>，公債法與財劃法修法之評析，瀏灠日期：</w:t>
      </w:r>
      <w:r w:rsidRPr="001663AE">
        <w:t>2013/7/4</w:t>
      </w:r>
      <w:r w:rsidRPr="001663AE">
        <w:rPr>
          <w:rFonts w:hint="eastAsia"/>
        </w:rPr>
        <w:t>，</w:t>
      </w:r>
      <w:hyperlink r:id="rId35" w:history="1">
        <w:r w:rsidRPr="001663AE">
          <w:rPr>
            <w:rStyle w:val="a5"/>
          </w:rPr>
          <w:t>http://www.npf.org.tw/post/3/11770</w:t>
        </w:r>
      </w:hyperlink>
      <w:r w:rsidRPr="001663AE">
        <w:rPr>
          <w:rFonts w:hint="eastAsia"/>
        </w:rPr>
        <w:t>。</w:t>
      </w:r>
    </w:p>
  </w:footnote>
  <w:footnote w:id="119">
    <w:p w14:paraId="5506CDF7"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財政部證券暨期貨管理委員會隸屬於行政院金融監督管理委員會之下。</w:t>
      </w:r>
    </w:p>
  </w:footnote>
  <w:footnote w:id="120">
    <w:p w14:paraId="01187033" w14:textId="77777777" w:rsidR="00CA23FA" w:rsidRPr="001663AE" w:rsidRDefault="00CA23FA" w:rsidP="00D87D91">
      <w:pPr>
        <w:pStyle w:val="3"/>
      </w:pPr>
      <w:r w:rsidRPr="001663AE">
        <w:rPr>
          <w:rStyle w:val="af3"/>
          <w:rFonts w:ascii="新細明體" w:hAnsi="新細明體"/>
        </w:rPr>
        <w:footnoteRef/>
      </w:r>
      <w:r w:rsidRPr="001663AE">
        <w:rPr>
          <w:rFonts w:hint="eastAsia"/>
        </w:rPr>
        <w:t>法務部全國法規資料庫，</w:t>
      </w:r>
      <w:hyperlink r:id="rId36" w:history="1">
        <w:r w:rsidRPr="001663AE">
          <w:rPr>
            <w:rStyle w:val="a5"/>
          </w:rPr>
          <w:t>http</w:t>
        </w:r>
        <w:r w:rsidRPr="001663AE">
          <w:rPr>
            <w:rStyle w:val="a5"/>
            <w:rFonts w:hint="eastAsia"/>
          </w:rPr>
          <w:t>：</w:t>
        </w:r>
        <w:r w:rsidRPr="001663AE">
          <w:rPr>
            <w:rStyle w:val="a5"/>
          </w:rPr>
          <w:t>//law.moj.gov.tw/LawClass/LawAll.aspx?PCode=H0020045</w:t>
        </w:r>
      </w:hyperlink>
      <w:r w:rsidRPr="001663AE">
        <w:t xml:space="preserve">, </w:t>
      </w:r>
      <w:r w:rsidRPr="001663AE">
        <w:rPr>
          <w:rFonts w:hint="eastAsia"/>
        </w:rPr>
        <w:t>瀏灠日期：</w:t>
      </w:r>
      <w:r w:rsidRPr="001663AE">
        <w:t>2013/7/3</w:t>
      </w:r>
      <w:r w:rsidRPr="001663AE">
        <w:rPr>
          <w:rFonts w:hint="eastAsia"/>
        </w:rPr>
        <w:t>。</w:t>
      </w:r>
    </w:p>
  </w:footnote>
  <w:footnote w:id="121">
    <w:p w14:paraId="2195047C" w14:textId="77777777" w:rsidR="00CA23FA" w:rsidRPr="001663AE" w:rsidRDefault="00CA23FA" w:rsidP="00D87D91">
      <w:pPr>
        <w:pStyle w:val="3"/>
      </w:pPr>
      <w:r w:rsidRPr="001663AE">
        <w:rPr>
          <w:rStyle w:val="af3"/>
          <w:rFonts w:ascii="新細明體" w:hAnsi="新細明體"/>
        </w:rPr>
        <w:footnoteRef/>
      </w:r>
      <w:r w:rsidRPr="001663AE">
        <w:rPr>
          <w:rFonts w:hint="eastAsia"/>
        </w:rPr>
        <w:t>法務部全國法規資料庫，</w:t>
      </w:r>
      <w:hyperlink r:id="rId37" w:history="1">
        <w:r w:rsidRPr="001663AE">
          <w:rPr>
            <w:rStyle w:val="a5"/>
          </w:rPr>
          <w:t>http</w:t>
        </w:r>
        <w:r w:rsidRPr="001663AE">
          <w:rPr>
            <w:rStyle w:val="a5"/>
            <w:rFonts w:hint="eastAsia"/>
          </w:rPr>
          <w:t>：</w:t>
        </w:r>
        <w:r w:rsidRPr="001663AE">
          <w:rPr>
            <w:rStyle w:val="a5"/>
          </w:rPr>
          <w:t>//law.moj.gov.tw/LawClass/LawAll.aspx?PCode=H0070001</w:t>
        </w:r>
      </w:hyperlink>
      <w:r w:rsidRPr="001663AE">
        <w:t xml:space="preserve">, </w:t>
      </w:r>
      <w:r w:rsidRPr="001663AE">
        <w:rPr>
          <w:rFonts w:hint="eastAsia"/>
        </w:rPr>
        <w:t>瀏灠日期：</w:t>
      </w:r>
      <w:r w:rsidRPr="001663AE">
        <w:t>2013/7/3</w:t>
      </w:r>
      <w:r w:rsidRPr="001663AE">
        <w:rPr>
          <w:rFonts w:hint="eastAsia"/>
        </w:rPr>
        <w:t>。</w:t>
      </w:r>
    </w:p>
  </w:footnote>
  <w:footnote w:id="122">
    <w:p w14:paraId="6CD9C61D" w14:textId="77777777" w:rsidR="00CA23FA" w:rsidRPr="00D53F68" w:rsidRDefault="00CA23FA" w:rsidP="001F5816">
      <w:pPr>
        <w:pStyle w:val="3"/>
        <w:jc w:val="left"/>
      </w:pPr>
      <w:r w:rsidRPr="001663AE">
        <w:rPr>
          <w:rStyle w:val="af3"/>
          <w:rFonts w:ascii="新細明體" w:hAnsi="新細明體"/>
        </w:rPr>
        <w:footnoteRef/>
      </w:r>
      <w:r w:rsidRPr="001663AE">
        <w:rPr>
          <w:rFonts w:hint="eastAsia"/>
        </w:rPr>
        <w:t>中央社</w:t>
      </w:r>
      <w:r w:rsidRPr="001663AE">
        <w:rPr>
          <w:rFonts w:hint="eastAsia"/>
        </w:rPr>
        <w:t>(2015)</w:t>
      </w:r>
      <w:r w:rsidRPr="001663AE">
        <w:rPr>
          <w:rFonts w:hint="eastAsia"/>
        </w:rPr>
        <w:t>，修憲在即</w:t>
      </w:r>
      <w:r w:rsidRPr="001663AE">
        <w:rPr>
          <w:rFonts w:hint="eastAsia"/>
        </w:rPr>
        <w:t xml:space="preserve"> 9</w:t>
      </w:r>
      <w:r w:rsidRPr="001663AE">
        <w:rPr>
          <w:rFonts w:hint="eastAsia"/>
        </w:rPr>
        <w:t>議題</w:t>
      </w:r>
      <w:r w:rsidRPr="001663AE">
        <w:rPr>
          <w:rFonts w:hint="eastAsia"/>
        </w:rPr>
        <w:t>34</w:t>
      </w:r>
      <w:r w:rsidRPr="001663AE">
        <w:rPr>
          <w:rFonts w:hint="eastAsia"/>
        </w:rPr>
        <w:t>提案一次總整理，上網瀏覽時間：</w:t>
      </w:r>
      <w:r w:rsidRPr="001663AE">
        <w:rPr>
          <w:rFonts w:hint="eastAsia"/>
        </w:rPr>
        <w:t>2015/06/28</w:t>
      </w:r>
      <w:r w:rsidRPr="001663AE">
        <w:rPr>
          <w:rFonts w:hint="eastAsia"/>
        </w:rPr>
        <w:t>，</w:t>
      </w:r>
      <w:hyperlink r:id="rId38" w:history="1">
        <w:r w:rsidRPr="00D53F68">
          <w:rPr>
            <w:rStyle w:val="a5"/>
            <w:sz w:val="18"/>
          </w:rPr>
          <w:t>https://tw.news.yahoo.com/%E4%BF%AE%E6%86%B2%E5%9C%A8%E5%8D%B3-9%E8%AD%B0%E9%A1%8C34%E6%8F%90%E6%A1%88%E4%B8%80%E6%AC%A1%E7%B8%BD%E6%95%B4%E7%90%86-002033269.html</w:t>
        </w:r>
      </w:hyperlink>
      <w:r w:rsidRPr="00D53F68">
        <w:t>。</w:t>
      </w:r>
    </w:p>
  </w:footnote>
  <w:footnote w:id="123">
    <w:p w14:paraId="79922D4C" w14:textId="77777777" w:rsidR="00CA23FA" w:rsidRPr="00D53F68" w:rsidRDefault="00CA23FA" w:rsidP="001F5816">
      <w:pPr>
        <w:pStyle w:val="3"/>
        <w:jc w:val="left"/>
      </w:pPr>
      <w:r w:rsidRPr="00D53F68">
        <w:rPr>
          <w:rStyle w:val="af3"/>
          <w:rFonts w:ascii="新細明體" w:hAnsi="新細明體"/>
          <w:sz w:val="18"/>
        </w:rPr>
        <w:footnoteRef/>
      </w:r>
      <w:r w:rsidRPr="00D53F68">
        <w:rPr>
          <w:rFonts w:hint="eastAsia"/>
        </w:rPr>
        <w:t>洪家寧</w:t>
      </w:r>
      <w:r w:rsidRPr="00D53F68">
        <w:t>(2002)</w:t>
      </w:r>
      <w:r w:rsidRPr="00D53F68">
        <w:rPr>
          <w:rFonts w:hint="eastAsia"/>
        </w:rPr>
        <w:t>，公法人化」與高等教育自由化的趨勢，瀏覽日期：</w:t>
      </w:r>
      <w:r w:rsidRPr="00D53F68">
        <w:t>2013</w:t>
      </w:r>
      <w:r w:rsidRPr="00D53F68">
        <w:rPr>
          <w:rFonts w:hint="eastAsia"/>
        </w:rPr>
        <w:t>年</w:t>
      </w:r>
      <w:r w:rsidRPr="00D53F68">
        <w:t>5</w:t>
      </w:r>
      <w:r w:rsidRPr="00D53F68">
        <w:rPr>
          <w:rFonts w:hint="eastAsia"/>
        </w:rPr>
        <w:t>月</w:t>
      </w:r>
      <w:r w:rsidRPr="00D53F68">
        <w:t>23</w:t>
      </w:r>
      <w:r w:rsidRPr="00D53F68">
        <w:rPr>
          <w:rFonts w:hint="eastAsia"/>
        </w:rPr>
        <w:t>日，</w:t>
      </w:r>
      <w:hyperlink r:id="rId39" w:history="1">
        <w:r w:rsidRPr="00D53F68">
          <w:rPr>
            <w:rStyle w:val="a5"/>
            <w:sz w:val="18"/>
          </w:rPr>
          <w:t>http://linkage.ngo.tw/youth/youth0601.htm</w:t>
        </w:r>
      </w:hyperlink>
      <w:r w:rsidRPr="00D53F68">
        <w:rPr>
          <w:rFonts w:hint="eastAsia"/>
        </w:rPr>
        <w:t>。</w:t>
      </w:r>
    </w:p>
  </w:footnote>
  <w:footnote w:id="124">
    <w:p w14:paraId="77E0AE46" w14:textId="77777777" w:rsidR="00CA23FA" w:rsidRPr="001663AE" w:rsidRDefault="00CA23FA" w:rsidP="00D53F68">
      <w:pPr>
        <w:pStyle w:val="3"/>
        <w:jc w:val="left"/>
        <w:rPr>
          <w:rFonts w:ascii="新細明體" w:hAnsi="新細明體"/>
        </w:rPr>
      </w:pPr>
      <w:r w:rsidRPr="001663AE">
        <w:rPr>
          <w:rStyle w:val="af3"/>
          <w:rFonts w:ascii="新細明體" w:hAnsi="新細明體"/>
        </w:rPr>
        <w:footnoteRef/>
      </w:r>
      <w:r w:rsidRPr="001663AE">
        <w:rPr>
          <w:rFonts w:ascii="新細明體" w:hAnsi="新細明體" w:hint="eastAsia"/>
        </w:rPr>
        <w:t>永然聯合法律事務所，</w:t>
      </w:r>
      <w:hyperlink r:id="rId40" w:history="1">
        <w:r w:rsidRPr="001663AE">
          <w:rPr>
            <w:rStyle w:val="a5"/>
          </w:rPr>
          <w:t>http</w:t>
        </w:r>
        <w:r w:rsidRPr="001663AE">
          <w:rPr>
            <w:rStyle w:val="a5"/>
            <w:rFonts w:hint="eastAsia"/>
          </w:rPr>
          <w:t>：</w:t>
        </w:r>
        <w:r w:rsidRPr="001663AE">
          <w:rPr>
            <w:rStyle w:val="a5"/>
          </w:rPr>
          <w:t>//taipei.law119.com.tw/lawnewsview.asp?idnostr=%BBO%ABn%A5%AB%BC%FA%C0y%A8p%A4H%BF%B3&amp;idno=23068&amp;keywords=</w:t>
        </w:r>
        <w:r w:rsidRPr="001663AE">
          <w:rPr>
            <w:rStyle w:val="a5"/>
            <w:rFonts w:hint="eastAsia"/>
          </w:rPr>
          <w:t>，瀏灠日期：</w:t>
        </w:r>
        <w:r w:rsidRPr="001663AE">
          <w:rPr>
            <w:rStyle w:val="a5"/>
          </w:rPr>
          <w:t>2013/7/3</w:t>
        </w:r>
      </w:hyperlink>
      <w:r w:rsidRPr="001663AE">
        <w:rPr>
          <w:rFonts w:ascii="新細明體" w:hAnsi="新細明體" w:hint="eastAsia"/>
        </w:rPr>
        <w:t>。</w:t>
      </w:r>
    </w:p>
  </w:footnote>
  <w:footnote w:id="125">
    <w:p w14:paraId="018AA267" w14:textId="77777777" w:rsidR="00CA23FA" w:rsidRPr="00D53F68" w:rsidRDefault="00CA23FA" w:rsidP="00D53F68">
      <w:pPr>
        <w:pStyle w:val="3"/>
        <w:jc w:val="left"/>
      </w:pPr>
      <w:r w:rsidRPr="00D53F68">
        <w:rPr>
          <w:rStyle w:val="af3"/>
          <w:rFonts w:ascii="新細明體" w:hAnsi="新細明體"/>
          <w:sz w:val="18"/>
        </w:rPr>
        <w:footnoteRef/>
      </w:r>
      <w:r w:rsidRPr="00D53F68">
        <w:t xml:space="preserve"> </w:t>
      </w:r>
      <w:r w:rsidRPr="00D53F68">
        <w:rPr>
          <w:rFonts w:hint="eastAsia"/>
        </w:rPr>
        <w:t>司法院大法官釋字第</w:t>
      </w:r>
      <w:r w:rsidRPr="00D53F68">
        <w:rPr>
          <w:rFonts w:hint="eastAsia"/>
        </w:rPr>
        <w:t>193</w:t>
      </w:r>
      <w:r w:rsidRPr="00D53F68">
        <w:rPr>
          <w:rFonts w:hint="eastAsia"/>
        </w:rPr>
        <w:t>號文，</w:t>
      </w:r>
      <w:hyperlink r:id="rId41" w:history="1">
        <w:r w:rsidRPr="00D53F68">
          <w:rPr>
            <w:rStyle w:val="a5"/>
            <w:sz w:val="18"/>
          </w:rPr>
          <w:t>http</w:t>
        </w:r>
        <w:r w:rsidRPr="00D53F68">
          <w:rPr>
            <w:rStyle w:val="a5"/>
            <w:rFonts w:hint="eastAsia"/>
            <w:sz w:val="18"/>
          </w:rPr>
          <w:t>：</w:t>
        </w:r>
        <w:r w:rsidRPr="00D53F68">
          <w:rPr>
            <w:rStyle w:val="a5"/>
            <w:sz w:val="18"/>
          </w:rPr>
          <w:t>//www.judicial.gov.tw/constitutionalcourt/p03_01.asp?expno=193</w:t>
        </w:r>
      </w:hyperlink>
      <w:r w:rsidRPr="00D53F68">
        <w:t xml:space="preserve">, </w:t>
      </w:r>
      <w:r w:rsidRPr="00D53F68">
        <w:rPr>
          <w:rFonts w:hint="eastAsia"/>
        </w:rPr>
        <w:t>瀏灠日期：</w:t>
      </w:r>
      <w:r w:rsidRPr="00D53F68">
        <w:t>2013/7/3</w:t>
      </w:r>
      <w:r w:rsidRPr="00D53F68">
        <w:rPr>
          <w:rFonts w:hint="eastAsia"/>
        </w:rPr>
        <w:t>。</w:t>
      </w:r>
    </w:p>
  </w:footnote>
  <w:footnote w:id="126">
    <w:p w14:paraId="3E84FD58" w14:textId="77777777" w:rsidR="00CA23FA" w:rsidRPr="001663AE" w:rsidRDefault="00CA23FA" w:rsidP="00D53F68">
      <w:pPr>
        <w:pStyle w:val="3"/>
        <w:jc w:val="left"/>
      </w:pPr>
      <w:r w:rsidRPr="001663AE">
        <w:rPr>
          <w:rStyle w:val="af3"/>
          <w:rFonts w:ascii="新細明體" w:hAnsi="新細明體"/>
          <w:szCs w:val="20"/>
        </w:rPr>
        <w:footnoteRef/>
      </w:r>
      <w:r w:rsidRPr="001663AE">
        <w:t xml:space="preserve"> </w:t>
      </w:r>
      <w:r w:rsidRPr="001663AE">
        <w:rPr>
          <w:rFonts w:hint="eastAsia"/>
        </w:rPr>
        <w:t>司法院，解釋憲法，瀏灠日期：</w:t>
      </w:r>
      <w:r w:rsidRPr="001663AE">
        <w:t>2013/7/3</w:t>
      </w:r>
      <w:r w:rsidRPr="001663AE">
        <w:rPr>
          <w:rFonts w:hint="eastAsia"/>
        </w:rPr>
        <w:t>，</w:t>
      </w:r>
      <w:hyperlink r:id="rId42" w:history="1">
        <w:r w:rsidRPr="001663AE">
          <w:rPr>
            <w:rStyle w:val="a5"/>
            <w:szCs w:val="20"/>
          </w:rPr>
          <w:t>http</w:t>
        </w:r>
        <w:r w:rsidRPr="001663AE">
          <w:rPr>
            <w:rStyle w:val="a5"/>
            <w:rFonts w:hint="eastAsia"/>
            <w:szCs w:val="20"/>
          </w:rPr>
          <w:t>：</w:t>
        </w:r>
        <w:r w:rsidRPr="001663AE">
          <w:rPr>
            <w:rStyle w:val="a5"/>
            <w:szCs w:val="20"/>
          </w:rPr>
          <w:t>//www.judicial.gov.tw/constitutionalcourt/p06_03_01.asp</w:t>
        </w:r>
      </w:hyperlink>
      <w:r w:rsidRPr="001663AE">
        <w:rPr>
          <w:rFonts w:hint="eastAsia"/>
        </w:rPr>
        <w:t>。</w:t>
      </w:r>
    </w:p>
  </w:footnote>
  <w:footnote w:id="127">
    <w:p w14:paraId="0EF7EE17" w14:textId="77777777" w:rsidR="00CA23FA" w:rsidRDefault="00CA23FA" w:rsidP="00D87D91">
      <w:pPr>
        <w:pStyle w:val="3"/>
      </w:pPr>
      <w:r w:rsidRPr="001663AE">
        <w:rPr>
          <w:rStyle w:val="af3"/>
          <w:rFonts w:ascii="新細明體" w:hAnsi="新細明體"/>
          <w:szCs w:val="20"/>
        </w:rPr>
        <w:footnoteRef/>
      </w:r>
    </w:p>
    <w:p w14:paraId="5875B47B" w14:textId="77777777" w:rsidR="00CA23FA" w:rsidRDefault="00CA23FA" w:rsidP="00D87D91">
      <w:pPr>
        <w:pStyle w:val="3"/>
      </w:pPr>
      <w:r>
        <w:rPr>
          <w:rFonts w:hint="eastAsia"/>
        </w:rPr>
        <w:t>中華民國憲法增修條文之法規沿革如下：</w:t>
      </w:r>
    </w:p>
    <w:p w14:paraId="3699C181" w14:textId="77777777" w:rsidR="00CA23FA" w:rsidRDefault="00CA23FA" w:rsidP="00D87D91">
      <w:pPr>
        <w:pStyle w:val="3"/>
      </w:pPr>
      <w:r>
        <w:rPr>
          <w:rFonts w:hint="eastAsia"/>
        </w:rPr>
        <w:t>1.</w:t>
      </w:r>
      <w:r>
        <w:rPr>
          <w:rFonts w:hint="eastAsia"/>
        </w:rPr>
        <w:t>中華民國八十年五月一日總統（</w:t>
      </w:r>
      <w:r>
        <w:rPr>
          <w:rFonts w:hint="eastAsia"/>
        </w:rPr>
        <w:t>80</w:t>
      </w:r>
      <w:r>
        <w:rPr>
          <w:rFonts w:hint="eastAsia"/>
        </w:rPr>
        <w:t>）華總（一）義字第</w:t>
      </w:r>
      <w:r>
        <w:rPr>
          <w:rFonts w:hint="eastAsia"/>
        </w:rPr>
        <w:t>2124</w:t>
      </w:r>
      <w:r>
        <w:rPr>
          <w:rFonts w:hint="eastAsia"/>
        </w:rPr>
        <w:t>號令制定公布全文</w:t>
      </w:r>
      <w:r>
        <w:rPr>
          <w:rFonts w:hint="eastAsia"/>
        </w:rPr>
        <w:t>10</w:t>
      </w:r>
      <w:r>
        <w:rPr>
          <w:rFonts w:hint="eastAsia"/>
        </w:rPr>
        <w:t>條；</w:t>
      </w:r>
    </w:p>
    <w:p w14:paraId="43A13E24" w14:textId="77777777" w:rsidR="00CA23FA" w:rsidRDefault="00CA23FA" w:rsidP="00D87D91">
      <w:pPr>
        <w:pStyle w:val="3"/>
      </w:pPr>
      <w:r>
        <w:rPr>
          <w:rFonts w:hint="eastAsia"/>
        </w:rPr>
        <w:t>2.</w:t>
      </w:r>
      <w:r>
        <w:rPr>
          <w:rFonts w:hint="eastAsia"/>
        </w:rPr>
        <w:t>中華民國八十一年五月二十八日總統（</w:t>
      </w:r>
      <w:r>
        <w:rPr>
          <w:rFonts w:hint="eastAsia"/>
        </w:rPr>
        <w:t>81</w:t>
      </w:r>
      <w:r>
        <w:rPr>
          <w:rFonts w:hint="eastAsia"/>
        </w:rPr>
        <w:t>）華總（一）義字第</w:t>
      </w:r>
      <w:r>
        <w:rPr>
          <w:rFonts w:hint="eastAsia"/>
        </w:rPr>
        <w:t>2656</w:t>
      </w:r>
      <w:r>
        <w:rPr>
          <w:rFonts w:hint="eastAsia"/>
        </w:rPr>
        <w:t>號令修正公布增訂公布第</w:t>
      </w:r>
      <w:r>
        <w:rPr>
          <w:rFonts w:hint="eastAsia"/>
        </w:rPr>
        <w:t>11</w:t>
      </w:r>
      <w:r>
        <w:rPr>
          <w:rFonts w:hint="eastAsia"/>
        </w:rPr>
        <w:t>～</w:t>
      </w:r>
      <w:r>
        <w:rPr>
          <w:rFonts w:hint="eastAsia"/>
        </w:rPr>
        <w:t>18</w:t>
      </w:r>
      <w:r>
        <w:rPr>
          <w:rFonts w:hint="eastAsia"/>
        </w:rPr>
        <w:t>條條文；</w:t>
      </w:r>
    </w:p>
    <w:p w14:paraId="1BD9C179" w14:textId="77777777" w:rsidR="00CA23FA" w:rsidRDefault="00CA23FA" w:rsidP="00D87D91">
      <w:pPr>
        <w:pStyle w:val="3"/>
      </w:pPr>
      <w:r>
        <w:rPr>
          <w:rFonts w:hint="eastAsia"/>
        </w:rPr>
        <w:t>3.</w:t>
      </w:r>
      <w:r>
        <w:rPr>
          <w:rFonts w:hint="eastAsia"/>
        </w:rPr>
        <w:t>中華民國八十三年八月一日總統（</w:t>
      </w:r>
      <w:r>
        <w:rPr>
          <w:rFonts w:hint="eastAsia"/>
        </w:rPr>
        <w:t>83</w:t>
      </w:r>
      <w:r>
        <w:rPr>
          <w:rFonts w:hint="eastAsia"/>
        </w:rPr>
        <w:t>）華總（一）義字第</w:t>
      </w:r>
      <w:r>
        <w:rPr>
          <w:rFonts w:hint="eastAsia"/>
        </w:rPr>
        <w:t>4488</w:t>
      </w:r>
      <w:r>
        <w:rPr>
          <w:rFonts w:hint="eastAsia"/>
        </w:rPr>
        <w:t>號令修正公布全文</w:t>
      </w:r>
      <w:r>
        <w:rPr>
          <w:rFonts w:hint="eastAsia"/>
        </w:rPr>
        <w:t>10</w:t>
      </w:r>
      <w:r>
        <w:rPr>
          <w:rFonts w:hint="eastAsia"/>
        </w:rPr>
        <w:t>條；</w:t>
      </w:r>
    </w:p>
    <w:p w14:paraId="0BE002FF" w14:textId="77777777" w:rsidR="00CA23FA" w:rsidRDefault="00CA23FA" w:rsidP="00D87D91">
      <w:pPr>
        <w:pStyle w:val="3"/>
      </w:pPr>
      <w:r>
        <w:rPr>
          <w:rFonts w:hint="eastAsia"/>
        </w:rPr>
        <w:t>4.</w:t>
      </w:r>
      <w:r>
        <w:rPr>
          <w:rFonts w:hint="eastAsia"/>
        </w:rPr>
        <w:t>中華民國八十六年七月二十一日總統（</w:t>
      </w:r>
      <w:r>
        <w:rPr>
          <w:rFonts w:hint="eastAsia"/>
        </w:rPr>
        <w:t>86</w:t>
      </w:r>
      <w:r>
        <w:rPr>
          <w:rFonts w:hint="eastAsia"/>
        </w:rPr>
        <w:t>）華總（一）義字第</w:t>
      </w:r>
      <w:r>
        <w:rPr>
          <w:rFonts w:hint="eastAsia"/>
        </w:rPr>
        <w:t>8600167020</w:t>
      </w:r>
      <w:r>
        <w:rPr>
          <w:rFonts w:hint="eastAsia"/>
        </w:rPr>
        <w:t>號令修正公布全文</w:t>
      </w:r>
      <w:r>
        <w:rPr>
          <w:rFonts w:hint="eastAsia"/>
        </w:rPr>
        <w:t>11</w:t>
      </w:r>
      <w:r>
        <w:rPr>
          <w:rFonts w:hint="eastAsia"/>
        </w:rPr>
        <w:t>條；</w:t>
      </w:r>
    </w:p>
    <w:p w14:paraId="2BDFA16B" w14:textId="77777777" w:rsidR="00CA23FA" w:rsidRDefault="00CA23FA" w:rsidP="00D87D91">
      <w:pPr>
        <w:pStyle w:val="3"/>
      </w:pPr>
      <w:r>
        <w:rPr>
          <w:rFonts w:hint="eastAsia"/>
        </w:rPr>
        <w:t>5.</w:t>
      </w:r>
      <w:r>
        <w:rPr>
          <w:rFonts w:hint="eastAsia"/>
        </w:rPr>
        <w:t>中華民國八十八年九月十五日總統（</w:t>
      </w:r>
      <w:r>
        <w:rPr>
          <w:rFonts w:hint="eastAsia"/>
        </w:rPr>
        <w:t>88</w:t>
      </w:r>
      <w:r>
        <w:rPr>
          <w:rFonts w:hint="eastAsia"/>
        </w:rPr>
        <w:t>）華總（一）義字第</w:t>
      </w:r>
      <w:r>
        <w:rPr>
          <w:rFonts w:hint="eastAsia"/>
        </w:rPr>
        <w:t>8800213390</w:t>
      </w:r>
      <w:r>
        <w:rPr>
          <w:rFonts w:hint="eastAsia"/>
        </w:rPr>
        <w:t>號令修正公布第</w:t>
      </w:r>
      <w:r>
        <w:rPr>
          <w:rFonts w:hint="eastAsia"/>
        </w:rPr>
        <w:t>1</w:t>
      </w:r>
      <w:r>
        <w:rPr>
          <w:rFonts w:hint="eastAsia"/>
        </w:rPr>
        <w:t>、</w:t>
      </w:r>
      <w:r>
        <w:rPr>
          <w:rFonts w:hint="eastAsia"/>
        </w:rPr>
        <w:t>4</w:t>
      </w:r>
      <w:r>
        <w:rPr>
          <w:rFonts w:hint="eastAsia"/>
        </w:rPr>
        <w:t>、</w:t>
      </w:r>
      <w:r>
        <w:rPr>
          <w:rFonts w:hint="eastAsia"/>
        </w:rPr>
        <w:t>9</w:t>
      </w:r>
      <w:r>
        <w:rPr>
          <w:rFonts w:hint="eastAsia"/>
        </w:rPr>
        <w:t>、</w:t>
      </w:r>
      <w:r>
        <w:rPr>
          <w:rFonts w:hint="eastAsia"/>
        </w:rPr>
        <w:t>10</w:t>
      </w:r>
      <w:r>
        <w:rPr>
          <w:rFonts w:hint="eastAsia"/>
        </w:rPr>
        <w:t>條條文；</w:t>
      </w:r>
    </w:p>
    <w:p w14:paraId="3D4042DD" w14:textId="77777777" w:rsidR="00CA23FA" w:rsidRDefault="00CA23FA" w:rsidP="00D87D91">
      <w:pPr>
        <w:pStyle w:val="3"/>
      </w:pPr>
      <w:r>
        <w:rPr>
          <w:rFonts w:hint="eastAsia"/>
        </w:rPr>
        <w:t>6.</w:t>
      </w:r>
      <w:r>
        <w:rPr>
          <w:rFonts w:hint="eastAsia"/>
        </w:rPr>
        <w:t>中華民國八十九年四月二十五日總統（</w:t>
      </w:r>
      <w:r>
        <w:rPr>
          <w:rFonts w:hint="eastAsia"/>
        </w:rPr>
        <w:t>89</w:t>
      </w:r>
      <w:r>
        <w:rPr>
          <w:rFonts w:hint="eastAsia"/>
        </w:rPr>
        <w:t>）華總一義字第</w:t>
      </w:r>
      <w:r>
        <w:rPr>
          <w:rFonts w:hint="eastAsia"/>
        </w:rPr>
        <w:t>8900108350</w:t>
      </w:r>
      <w:r>
        <w:rPr>
          <w:rFonts w:hint="eastAsia"/>
        </w:rPr>
        <w:t>號令修正公布全文</w:t>
      </w:r>
      <w:r>
        <w:rPr>
          <w:rFonts w:hint="eastAsia"/>
        </w:rPr>
        <w:t>11</w:t>
      </w:r>
      <w:r>
        <w:rPr>
          <w:rFonts w:hint="eastAsia"/>
        </w:rPr>
        <w:t>條；</w:t>
      </w:r>
    </w:p>
    <w:p w14:paraId="6551EC94" w14:textId="77777777" w:rsidR="00CA23FA" w:rsidRDefault="00CA23FA" w:rsidP="00D87D91">
      <w:pPr>
        <w:pStyle w:val="3"/>
      </w:pPr>
      <w:r>
        <w:rPr>
          <w:rFonts w:hint="eastAsia"/>
        </w:rPr>
        <w:t>7.</w:t>
      </w:r>
      <w:r>
        <w:rPr>
          <w:rFonts w:hint="eastAsia"/>
        </w:rPr>
        <w:t>中華民國九十四年六月十日總統華總一義字第</w:t>
      </w:r>
      <w:r>
        <w:rPr>
          <w:rFonts w:hint="eastAsia"/>
        </w:rPr>
        <w:t>09400087551</w:t>
      </w:r>
      <w:r>
        <w:rPr>
          <w:rFonts w:hint="eastAsia"/>
        </w:rPr>
        <w:t>號令修正公布第</w:t>
      </w:r>
      <w:r>
        <w:rPr>
          <w:rFonts w:hint="eastAsia"/>
        </w:rPr>
        <w:t>1</w:t>
      </w:r>
      <w:r>
        <w:rPr>
          <w:rFonts w:hint="eastAsia"/>
        </w:rPr>
        <w:t>、</w:t>
      </w:r>
      <w:r>
        <w:rPr>
          <w:rFonts w:hint="eastAsia"/>
        </w:rPr>
        <w:t>2</w:t>
      </w:r>
      <w:r>
        <w:rPr>
          <w:rFonts w:hint="eastAsia"/>
        </w:rPr>
        <w:t>、</w:t>
      </w:r>
      <w:r>
        <w:rPr>
          <w:rFonts w:hint="eastAsia"/>
        </w:rPr>
        <w:t>4</w:t>
      </w:r>
      <w:r>
        <w:rPr>
          <w:rFonts w:hint="eastAsia"/>
        </w:rPr>
        <w:t>、</w:t>
      </w:r>
      <w:r>
        <w:rPr>
          <w:rFonts w:hint="eastAsia"/>
        </w:rPr>
        <w:t>5</w:t>
      </w:r>
      <w:r>
        <w:rPr>
          <w:rFonts w:hint="eastAsia"/>
        </w:rPr>
        <w:t>、</w:t>
      </w:r>
      <w:r>
        <w:rPr>
          <w:rFonts w:hint="eastAsia"/>
        </w:rPr>
        <w:t>8</w:t>
      </w:r>
      <w:r>
        <w:rPr>
          <w:rFonts w:hint="eastAsia"/>
        </w:rPr>
        <w:t>條條文，並增訂第</w:t>
      </w:r>
      <w:r>
        <w:rPr>
          <w:rFonts w:hint="eastAsia"/>
        </w:rPr>
        <w:t>12</w:t>
      </w:r>
      <w:r>
        <w:rPr>
          <w:rFonts w:hint="eastAsia"/>
        </w:rPr>
        <w:t>條條文。</w:t>
      </w:r>
    </w:p>
    <w:p w14:paraId="12EDD0DF" w14:textId="77777777" w:rsidR="00CA23FA" w:rsidRDefault="00CA23FA" w:rsidP="00D87D91">
      <w:pPr>
        <w:pStyle w:val="3"/>
      </w:pPr>
      <w:r>
        <w:rPr>
          <w:rFonts w:hint="eastAsia"/>
        </w:rPr>
        <w:t>管歐著、林騰鷂修訂（</w:t>
      </w:r>
      <w:r>
        <w:rPr>
          <w:rFonts w:hint="eastAsia"/>
        </w:rPr>
        <w:t>2010</w:t>
      </w:r>
      <w:r>
        <w:rPr>
          <w:rFonts w:hint="eastAsia"/>
        </w:rPr>
        <w:t>），中華民國憲法論，修訂</w:t>
      </w:r>
      <w:r>
        <w:rPr>
          <w:rFonts w:hint="eastAsia"/>
        </w:rPr>
        <w:t>12</w:t>
      </w:r>
      <w:r>
        <w:rPr>
          <w:rFonts w:hint="eastAsia"/>
        </w:rPr>
        <w:t>版，臺北市：三民公司，頁</w:t>
      </w:r>
      <w:r>
        <w:rPr>
          <w:rFonts w:hint="eastAsia"/>
        </w:rPr>
        <w:t>402</w:t>
      </w:r>
      <w:r>
        <w:rPr>
          <w:rFonts w:hint="eastAsia"/>
        </w:rPr>
        <w:t>。</w:t>
      </w:r>
    </w:p>
    <w:p w14:paraId="4872AC17" w14:textId="77777777" w:rsidR="00CA23FA" w:rsidRPr="001663AE" w:rsidRDefault="00CA23FA" w:rsidP="001F5816">
      <w:pPr>
        <w:pStyle w:val="3"/>
        <w:jc w:val="left"/>
      </w:pPr>
      <w:r>
        <w:rPr>
          <w:rFonts w:hint="eastAsia"/>
        </w:rPr>
        <w:t>維基百科（</w:t>
      </w:r>
      <w:r>
        <w:rPr>
          <w:rFonts w:hint="eastAsia"/>
        </w:rPr>
        <w:t>2015</w:t>
      </w:r>
      <w:r>
        <w:rPr>
          <w:rFonts w:hint="eastAsia"/>
        </w:rPr>
        <w:t>），中華民國憲法，上網瀏覽時日：</w:t>
      </w:r>
      <w:r>
        <w:rPr>
          <w:rFonts w:hint="eastAsia"/>
        </w:rPr>
        <w:t>2015/08/02</w:t>
      </w:r>
      <w:r>
        <w:rPr>
          <w:rFonts w:hint="eastAsia"/>
        </w:rPr>
        <w:t>，</w:t>
      </w:r>
      <w:r>
        <w:rPr>
          <w:rFonts w:hint="eastAsia"/>
        </w:rPr>
        <w:t>https://zh.wikipedia.org/wiki/</w:t>
      </w:r>
      <w:r>
        <w:rPr>
          <w:rFonts w:hint="eastAsia"/>
        </w:rPr>
        <w:t>中華民國憲法。</w:t>
      </w:r>
    </w:p>
  </w:footnote>
  <w:footnote w:id="128">
    <w:p w14:paraId="7240C738" w14:textId="77777777" w:rsidR="00CA23FA" w:rsidRDefault="00CA23FA"/>
    <w:p w14:paraId="3A279985" w14:textId="77777777" w:rsidR="00CA23FA" w:rsidRPr="001663AE" w:rsidRDefault="00CA23FA" w:rsidP="00D87D91">
      <w:pPr>
        <w:pStyle w:val="3"/>
      </w:pPr>
    </w:p>
  </w:footnote>
  <w:footnote w:id="129">
    <w:p w14:paraId="1C3945A1" w14:textId="77777777" w:rsidR="00CA23FA" w:rsidRDefault="00CA23FA" w:rsidP="00D87D91"/>
    <w:p w14:paraId="5C3101CF" w14:textId="77777777" w:rsidR="00CA23FA" w:rsidRPr="001663AE" w:rsidRDefault="00CA23FA" w:rsidP="00D87D91">
      <w:pPr>
        <w:pStyle w:val="3"/>
      </w:pPr>
    </w:p>
  </w:footnote>
  <w:footnote w:id="130">
    <w:p w14:paraId="5F1F579C" w14:textId="77777777" w:rsidR="00CA23FA" w:rsidRPr="005D6CE5" w:rsidRDefault="00CA23FA" w:rsidP="00D53F68">
      <w:pPr>
        <w:pStyle w:val="3"/>
        <w:jc w:val="left"/>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版，臺北市：三民公司，頁</w:t>
      </w:r>
      <w:r w:rsidRPr="005D6CE5">
        <w:t>115</w:t>
      </w:r>
      <w:r w:rsidRPr="005D6CE5">
        <w:rPr>
          <w:rFonts w:hint="eastAsia"/>
        </w:rPr>
        <w:t>。</w:t>
      </w:r>
      <w:r w:rsidRPr="005D6CE5">
        <w:t xml:space="preserve"> </w:t>
      </w:r>
    </w:p>
    <w:p w14:paraId="5070EDB6" w14:textId="77777777" w:rsidR="00CA23FA" w:rsidRPr="005D6CE5" w:rsidRDefault="00CA23FA" w:rsidP="00D53F68">
      <w:pPr>
        <w:pStyle w:val="3"/>
        <w:jc w:val="left"/>
        <w:rPr>
          <w:b/>
        </w:rPr>
      </w:pPr>
      <w:r w:rsidRPr="005D6CE5">
        <w:rPr>
          <w:rFonts w:hint="eastAsia"/>
        </w:rPr>
        <w:t>陳志華</w:t>
      </w:r>
      <w:r w:rsidRPr="005D6CE5">
        <w:t>(2012)</w:t>
      </w:r>
      <w:r w:rsidRPr="005D6CE5">
        <w:rPr>
          <w:rFonts w:hint="eastAsia"/>
        </w:rPr>
        <w:t>，中華民國憲法概要，修訂</w:t>
      </w:r>
      <w:r w:rsidRPr="005D6CE5">
        <w:t>5</w:t>
      </w:r>
      <w:r w:rsidRPr="005D6CE5">
        <w:rPr>
          <w:rFonts w:hint="eastAsia"/>
        </w:rPr>
        <w:t>版，臺北市：三民公司，頁</w:t>
      </w:r>
      <w:r w:rsidRPr="005D6CE5">
        <w:t>101</w:t>
      </w:r>
      <w:r w:rsidRPr="005D6CE5">
        <w:rPr>
          <w:rFonts w:hint="eastAsia"/>
        </w:rPr>
        <w:t>。</w:t>
      </w:r>
    </w:p>
    <w:p w14:paraId="175C4A7E" w14:textId="77777777" w:rsidR="00CA23FA" w:rsidRPr="005D6CE5" w:rsidRDefault="00CA23FA" w:rsidP="00D53F68">
      <w:pPr>
        <w:pStyle w:val="3"/>
        <w:jc w:val="left"/>
        <w:rPr>
          <w:b/>
        </w:rPr>
      </w:pPr>
      <w:r w:rsidRPr="005D6CE5">
        <w:rPr>
          <w:rFonts w:hint="eastAsia"/>
        </w:rPr>
        <w:t>呂炳寬、項程華、楊智傑</w:t>
      </w:r>
      <w:r w:rsidRPr="005D6CE5">
        <w:t>(2007)</w:t>
      </w:r>
      <w:r w:rsidRPr="005D6CE5">
        <w:rPr>
          <w:rFonts w:hint="eastAsia"/>
        </w:rPr>
        <w:t>，中華民國憲法精義，</w:t>
      </w:r>
      <w:r w:rsidRPr="005D6CE5">
        <w:t>2</w:t>
      </w:r>
      <w:r w:rsidRPr="005D6CE5">
        <w:rPr>
          <w:rFonts w:hint="eastAsia"/>
        </w:rPr>
        <w:t>版，臺北市：五南公司，頁</w:t>
      </w:r>
      <w:r w:rsidRPr="005D6CE5">
        <w:t>223</w:t>
      </w:r>
      <w:r w:rsidRPr="005D6CE5">
        <w:rPr>
          <w:rFonts w:hint="eastAsia"/>
        </w:rPr>
        <w:t>。</w:t>
      </w:r>
    </w:p>
  </w:footnote>
  <w:footnote w:id="131">
    <w:p w14:paraId="4AA2826A" w14:textId="77777777" w:rsidR="00CA23FA" w:rsidRPr="001663AE" w:rsidRDefault="00CA23FA" w:rsidP="00D53F68">
      <w:pPr>
        <w:pStyle w:val="3"/>
        <w:jc w:val="left"/>
      </w:pPr>
      <w:r w:rsidRPr="005D6CE5">
        <w:rPr>
          <w:rStyle w:val="af3"/>
          <w:rFonts w:ascii="新細明體" w:hAnsi="新細明體"/>
        </w:rPr>
        <w:footnoteRef/>
      </w:r>
      <w:r w:rsidRPr="005D6CE5">
        <w:rPr>
          <w:rFonts w:hint="eastAsia"/>
        </w:rPr>
        <w:t>維基百科</w:t>
      </w:r>
      <w:r w:rsidRPr="005D6CE5">
        <w:rPr>
          <w:rFonts w:hint="eastAsia"/>
        </w:rPr>
        <w:t>(2015)</w:t>
      </w:r>
      <w:r w:rsidRPr="005D6CE5">
        <w:rPr>
          <w:rFonts w:hint="eastAsia"/>
        </w:rPr>
        <w:t>，解散國會，上網瀏灠時間：</w:t>
      </w:r>
      <w:r w:rsidRPr="005D6CE5">
        <w:rPr>
          <w:rFonts w:hint="eastAsia"/>
        </w:rPr>
        <w:t>2015/0711</w:t>
      </w:r>
      <w:r w:rsidRPr="005D6CE5">
        <w:rPr>
          <w:rFonts w:hint="eastAsia"/>
        </w:rPr>
        <w:t>，</w:t>
      </w:r>
      <w:hyperlink r:id="rId43" w:history="1">
        <w:r w:rsidRPr="005D6CE5">
          <w:rPr>
            <w:rFonts w:cs="Arial"/>
          </w:rPr>
          <w:t>https://zh.wikipedia.org/wiki/%E8%A7%A3%E6%95%A3%E5%9B%BD%E4%BC%9A</w:t>
        </w:r>
      </w:hyperlink>
      <w:r w:rsidRPr="005D6CE5">
        <w:rPr>
          <w:rFonts w:cs="Arial"/>
        </w:rPr>
        <w:t>。</w:t>
      </w:r>
    </w:p>
  </w:footnote>
  <w:footnote w:id="132">
    <w:p w14:paraId="5771F0A7" w14:textId="77777777"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第七条　天皇は、内閣の助言と承認により、国民のために、左の国事に関する行為を行ふ。</w:t>
      </w:r>
    </w:p>
    <w:p w14:paraId="492A0FD5" w14:textId="77777777" w:rsidR="00CA23FA" w:rsidRPr="005D6CE5" w:rsidRDefault="00CA23FA" w:rsidP="00D87D91">
      <w:pPr>
        <w:pStyle w:val="3"/>
        <w:rPr>
          <w:b/>
        </w:rPr>
      </w:pPr>
      <w:r w:rsidRPr="005D6CE5">
        <w:t>Article 7.</w:t>
      </w:r>
      <w:r w:rsidRPr="005D6CE5">
        <w:t xml:space="preserve">　</w:t>
      </w:r>
      <w:r w:rsidRPr="005D6CE5">
        <w:t>The Emperor, with the advice and approval of the Cabinet, shall perform the following acts in matters of state on behalf of the people:</w:t>
      </w:r>
    </w:p>
    <w:p w14:paraId="6DAE3E0F" w14:textId="77777777" w:rsidR="00CA23FA" w:rsidRPr="005D6CE5" w:rsidRDefault="00CA23FA" w:rsidP="00D87D91">
      <w:pPr>
        <w:pStyle w:val="3"/>
        <w:rPr>
          <w:b/>
          <w:lang w:eastAsia="ja-JP"/>
        </w:rPr>
      </w:pPr>
      <w:r w:rsidRPr="005D6CE5">
        <w:rPr>
          <w:lang w:eastAsia="ja-JP"/>
        </w:rPr>
        <w:t>一　憲法改正、法律、政令及び条約を公布すること。</w:t>
      </w:r>
    </w:p>
    <w:p w14:paraId="508FC3ED" w14:textId="77777777" w:rsidR="00CA23FA" w:rsidRPr="005D6CE5" w:rsidRDefault="00CA23FA" w:rsidP="00D87D91">
      <w:pPr>
        <w:pStyle w:val="3"/>
        <w:rPr>
          <w:b/>
        </w:rPr>
      </w:pPr>
      <w:r w:rsidRPr="005D6CE5">
        <w:rPr>
          <w:lang w:eastAsia="ja-JP"/>
        </w:rPr>
        <w:t xml:space="preserve">　</w:t>
      </w:r>
      <w:r w:rsidRPr="005D6CE5">
        <w:t>Promulgation of amendments of the constitution, laws, cabinet orders and treaties.</w:t>
      </w:r>
    </w:p>
    <w:p w14:paraId="365C4C51" w14:textId="77777777" w:rsidR="00CA23FA" w:rsidRPr="005D6CE5" w:rsidRDefault="00CA23FA" w:rsidP="00D87D91">
      <w:pPr>
        <w:pStyle w:val="3"/>
        <w:rPr>
          <w:b/>
          <w:lang w:eastAsia="ja-JP"/>
        </w:rPr>
      </w:pPr>
      <w:r w:rsidRPr="005D6CE5">
        <w:rPr>
          <w:lang w:eastAsia="ja-JP"/>
        </w:rPr>
        <w:t>二　国会を召集すること。</w:t>
      </w:r>
    </w:p>
    <w:p w14:paraId="0DE88483" w14:textId="77777777" w:rsidR="00CA23FA" w:rsidRPr="005D6CE5" w:rsidRDefault="00CA23FA" w:rsidP="00D87D91">
      <w:pPr>
        <w:pStyle w:val="3"/>
        <w:rPr>
          <w:b/>
          <w:lang w:eastAsia="ja-JP"/>
        </w:rPr>
      </w:pPr>
      <w:r w:rsidRPr="005D6CE5">
        <w:rPr>
          <w:lang w:eastAsia="ja-JP"/>
        </w:rPr>
        <w:t xml:space="preserve">　</w:t>
      </w:r>
      <w:r w:rsidRPr="005D6CE5">
        <w:rPr>
          <w:lang w:eastAsia="ja-JP"/>
        </w:rPr>
        <w:t>Convocation of the Diet.</w:t>
      </w:r>
    </w:p>
    <w:p w14:paraId="2C305B33" w14:textId="77777777" w:rsidR="00CA23FA" w:rsidRPr="005D6CE5" w:rsidRDefault="00CA23FA" w:rsidP="00D87D91">
      <w:pPr>
        <w:pStyle w:val="3"/>
        <w:rPr>
          <w:b/>
          <w:lang w:eastAsia="ja-JP"/>
        </w:rPr>
      </w:pPr>
      <w:r w:rsidRPr="005D6CE5">
        <w:rPr>
          <w:lang w:eastAsia="ja-JP"/>
        </w:rPr>
        <w:t>三　衆議院を解散すること。</w:t>
      </w:r>
    </w:p>
    <w:p w14:paraId="5627838D" w14:textId="77777777" w:rsidR="00CA23FA" w:rsidRPr="005D6CE5" w:rsidRDefault="00CA23FA" w:rsidP="00D87D91">
      <w:pPr>
        <w:pStyle w:val="3"/>
        <w:rPr>
          <w:b/>
          <w:lang w:eastAsia="ja-JP"/>
        </w:rPr>
      </w:pPr>
      <w:r w:rsidRPr="005D6CE5">
        <w:rPr>
          <w:lang w:eastAsia="ja-JP"/>
        </w:rPr>
        <w:t xml:space="preserve">　</w:t>
      </w:r>
      <w:r w:rsidRPr="005D6CE5">
        <w:rPr>
          <w:lang w:eastAsia="ja-JP"/>
        </w:rPr>
        <w:t>Dissolution of the House of Representatives.</w:t>
      </w:r>
    </w:p>
    <w:p w14:paraId="44EE91C3" w14:textId="77777777" w:rsidR="00CA23FA" w:rsidRPr="005D6CE5" w:rsidRDefault="00CA23FA" w:rsidP="00D87D91">
      <w:pPr>
        <w:pStyle w:val="3"/>
        <w:rPr>
          <w:b/>
          <w:lang w:eastAsia="ja-JP"/>
        </w:rPr>
      </w:pPr>
      <w:r w:rsidRPr="005D6CE5">
        <w:rPr>
          <w:lang w:eastAsia="ja-JP"/>
        </w:rPr>
        <w:t>四　国会議員の総選挙の施行を公示すること。</w:t>
      </w:r>
    </w:p>
    <w:p w14:paraId="0F5AC201" w14:textId="77777777" w:rsidR="00CA23FA" w:rsidRPr="005D6CE5" w:rsidRDefault="00CA23FA" w:rsidP="00D87D91">
      <w:pPr>
        <w:pStyle w:val="3"/>
        <w:rPr>
          <w:b/>
        </w:rPr>
      </w:pPr>
      <w:r w:rsidRPr="005D6CE5">
        <w:rPr>
          <w:lang w:eastAsia="ja-JP"/>
        </w:rPr>
        <w:t xml:space="preserve">　</w:t>
      </w:r>
      <w:r w:rsidRPr="005D6CE5">
        <w:t>Proclamation of general election of members of the Diet.</w:t>
      </w:r>
    </w:p>
    <w:p w14:paraId="27D163E0" w14:textId="77777777" w:rsidR="00CA23FA" w:rsidRPr="005D6CE5" w:rsidRDefault="00CA23FA" w:rsidP="00D87D91">
      <w:pPr>
        <w:pStyle w:val="3"/>
        <w:rPr>
          <w:b/>
          <w:lang w:eastAsia="ja-JP"/>
        </w:rPr>
      </w:pPr>
      <w:r w:rsidRPr="005D6CE5">
        <w:rPr>
          <w:lang w:eastAsia="ja-JP"/>
        </w:rPr>
        <w:t>五　国務大臣及び法律の定めるその他の官吏の任免並びに全権委任状及び大使及び公使の信任状を認証すること。</w:t>
      </w:r>
    </w:p>
    <w:p w14:paraId="26F1551A" w14:textId="77777777" w:rsidR="00CA23FA" w:rsidRPr="005D6CE5" w:rsidRDefault="00CA23FA" w:rsidP="00D87D91">
      <w:pPr>
        <w:pStyle w:val="3"/>
        <w:rPr>
          <w:b/>
        </w:rPr>
      </w:pPr>
      <w:r w:rsidRPr="005D6CE5">
        <w:rPr>
          <w:lang w:eastAsia="ja-JP"/>
        </w:rPr>
        <w:t xml:space="preserve">　</w:t>
      </w:r>
      <w:r w:rsidRPr="005D6CE5">
        <w:t>Attestation of the appointment and dismissal of Ministers of State and other officials as provided for by law, and of full powers and credentials of Ambassadors and Ministers.</w:t>
      </w:r>
    </w:p>
    <w:p w14:paraId="135AA04A" w14:textId="77777777" w:rsidR="00CA23FA" w:rsidRPr="005D6CE5" w:rsidRDefault="00CA23FA" w:rsidP="00D87D91">
      <w:pPr>
        <w:pStyle w:val="3"/>
        <w:rPr>
          <w:b/>
          <w:lang w:eastAsia="ja-JP"/>
        </w:rPr>
      </w:pPr>
      <w:r w:rsidRPr="005D6CE5">
        <w:rPr>
          <w:lang w:eastAsia="ja-JP"/>
        </w:rPr>
        <w:t>六　大赦、特赦、減刑、刑の執行の免除及び復権を認証すること。</w:t>
      </w:r>
    </w:p>
    <w:p w14:paraId="16C3E232" w14:textId="77777777" w:rsidR="00CA23FA" w:rsidRPr="005D6CE5" w:rsidRDefault="00CA23FA" w:rsidP="00D87D91">
      <w:pPr>
        <w:pStyle w:val="3"/>
        <w:rPr>
          <w:b/>
        </w:rPr>
      </w:pPr>
      <w:r w:rsidRPr="005D6CE5">
        <w:rPr>
          <w:lang w:eastAsia="ja-JP"/>
        </w:rPr>
        <w:t xml:space="preserve">　</w:t>
      </w:r>
      <w:r w:rsidRPr="005D6CE5">
        <w:t>Attestation of general and special amnesty, commutation of punishment, reprieve, and restoration of rights.</w:t>
      </w:r>
    </w:p>
    <w:p w14:paraId="73C94B30" w14:textId="77777777" w:rsidR="00CA23FA" w:rsidRPr="005D6CE5" w:rsidRDefault="00CA23FA" w:rsidP="00D87D91">
      <w:pPr>
        <w:pStyle w:val="3"/>
        <w:rPr>
          <w:b/>
          <w:lang w:eastAsia="ja-JP"/>
        </w:rPr>
      </w:pPr>
      <w:r w:rsidRPr="005D6CE5">
        <w:rPr>
          <w:lang w:eastAsia="ja-JP"/>
        </w:rPr>
        <w:t>七　栄典を授与すること。</w:t>
      </w:r>
    </w:p>
    <w:p w14:paraId="0C566508" w14:textId="77777777" w:rsidR="00CA23FA" w:rsidRPr="005D6CE5" w:rsidRDefault="00CA23FA" w:rsidP="00D87D91">
      <w:pPr>
        <w:pStyle w:val="3"/>
        <w:rPr>
          <w:b/>
          <w:lang w:eastAsia="ja-JP"/>
        </w:rPr>
      </w:pPr>
      <w:r w:rsidRPr="005D6CE5">
        <w:rPr>
          <w:lang w:eastAsia="ja-JP"/>
        </w:rPr>
        <w:t xml:space="preserve">　</w:t>
      </w:r>
      <w:r w:rsidRPr="005D6CE5">
        <w:rPr>
          <w:lang w:eastAsia="ja-JP"/>
        </w:rPr>
        <w:t>Awarding of honors.</w:t>
      </w:r>
    </w:p>
    <w:p w14:paraId="696E894B" w14:textId="77777777" w:rsidR="00CA23FA" w:rsidRPr="005D6CE5" w:rsidRDefault="00CA23FA" w:rsidP="00D87D91">
      <w:pPr>
        <w:pStyle w:val="3"/>
        <w:rPr>
          <w:b/>
          <w:lang w:eastAsia="ja-JP"/>
        </w:rPr>
      </w:pPr>
      <w:r w:rsidRPr="005D6CE5">
        <w:rPr>
          <w:lang w:eastAsia="ja-JP"/>
        </w:rPr>
        <w:t>八　批准書及び法律の定めるその他の外交文書を認証すること。</w:t>
      </w:r>
    </w:p>
    <w:p w14:paraId="5095F496" w14:textId="77777777" w:rsidR="00CA23FA" w:rsidRPr="005D6CE5" w:rsidRDefault="00CA23FA" w:rsidP="00D87D91">
      <w:pPr>
        <w:pStyle w:val="3"/>
        <w:rPr>
          <w:b/>
          <w:lang w:eastAsia="ja-JP"/>
        </w:rPr>
      </w:pPr>
      <w:r w:rsidRPr="005D6CE5">
        <w:rPr>
          <w:lang w:eastAsia="ja-JP"/>
        </w:rPr>
        <w:t xml:space="preserve">　</w:t>
      </w:r>
      <w:r w:rsidRPr="005D6CE5">
        <w:rPr>
          <w:lang w:eastAsia="ja-JP"/>
        </w:rPr>
        <w:t>Attestation of instruments of ratification and other diplomatic documents as provided for by law.</w:t>
      </w:r>
    </w:p>
    <w:p w14:paraId="23D4FF60" w14:textId="77777777" w:rsidR="00CA23FA" w:rsidRPr="005D6CE5" w:rsidRDefault="00CA23FA" w:rsidP="00D87D91">
      <w:pPr>
        <w:pStyle w:val="3"/>
        <w:rPr>
          <w:b/>
          <w:lang w:eastAsia="ja-JP"/>
        </w:rPr>
      </w:pPr>
      <w:r w:rsidRPr="005D6CE5">
        <w:rPr>
          <w:lang w:eastAsia="ja-JP"/>
        </w:rPr>
        <w:t>九　外国の大使及び公使を接受すること。</w:t>
      </w:r>
    </w:p>
    <w:p w14:paraId="3D55DA65" w14:textId="77777777" w:rsidR="00CA23FA" w:rsidRPr="005D6CE5" w:rsidRDefault="00CA23FA" w:rsidP="00D87D91">
      <w:pPr>
        <w:pStyle w:val="3"/>
        <w:rPr>
          <w:b/>
        </w:rPr>
      </w:pPr>
      <w:r w:rsidRPr="005D6CE5">
        <w:rPr>
          <w:lang w:eastAsia="ja-JP"/>
        </w:rPr>
        <w:t xml:space="preserve">　</w:t>
      </w:r>
      <w:r w:rsidRPr="005D6CE5">
        <w:t>Receiving foreign ambassadors and ministers.</w:t>
      </w:r>
    </w:p>
    <w:p w14:paraId="21A82A56" w14:textId="77777777" w:rsidR="00CA23FA" w:rsidRPr="005D6CE5" w:rsidRDefault="00CA23FA" w:rsidP="00D87D91">
      <w:pPr>
        <w:pStyle w:val="3"/>
        <w:rPr>
          <w:b/>
          <w:lang w:eastAsia="ja-JP"/>
        </w:rPr>
      </w:pPr>
      <w:r w:rsidRPr="005D6CE5">
        <w:rPr>
          <w:lang w:eastAsia="ja-JP"/>
        </w:rPr>
        <w:t>十　儀式を行ふこと。</w:t>
      </w:r>
    </w:p>
    <w:p w14:paraId="4B6CF052" w14:textId="77777777" w:rsidR="00CA23FA" w:rsidRPr="005D6CE5" w:rsidRDefault="00CA23FA" w:rsidP="00D87D91">
      <w:pPr>
        <w:pStyle w:val="3"/>
        <w:rPr>
          <w:b/>
        </w:rPr>
      </w:pPr>
      <w:r w:rsidRPr="005D6CE5">
        <w:rPr>
          <w:lang w:eastAsia="ja-JP"/>
        </w:rPr>
        <w:t xml:space="preserve">　</w:t>
      </w:r>
      <w:r w:rsidRPr="005D6CE5">
        <w:rPr>
          <w:lang w:eastAsia="ja-JP"/>
        </w:rPr>
        <w:t>Performance of ceremonial functions.</w:t>
      </w:r>
    </w:p>
  </w:footnote>
  <w:footnote w:id="133">
    <w:p w14:paraId="2D4C53C8" w14:textId="77777777"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第五十三条　内閣は、国会の臨時会の召集を決定することができる。いづれかの議院の総議員の四分の一以上の要求があれば、内閣は、その召集を決定しなければならない。</w:t>
      </w:r>
    </w:p>
    <w:p w14:paraId="6436D8E6" w14:textId="77777777" w:rsidR="00CA23FA" w:rsidRPr="005D6CE5" w:rsidRDefault="00CA23FA" w:rsidP="00D87D91">
      <w:pPr>
        <w:pStyle w:val="3"/>
        <w:rPr>
          <w:b/>
        </w:rPr>
      </w:pPr>
      <w:r w:rsidRPr="005D6CE5">
        <w:t>Article 53.</w:t>
      </w:r>
      <w:r w:rsidRPr="005D6CE5">
        <w:t xml:space="preserve">　</w:t>
      </w:r>
      <w:r w:rsidRPr="005D6CE5">
        <w:t>The Cabinet may determine to convoke extraordinary sessions of the Diet. When a quarter or more of the total members of either House makes the demand, the Cabinet must determine on such convocation.</w:t>
      </w:r>
    </w:p>
  </w:footnote>
  <w:footnote w:id="134">
    <w:p w14:paraId="272BE711" w14:textId="77777777"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第六十三条　内閣総理大臣その他の国務大臣は、両議院の一に議席を有すると有しないとにかかはらず、何時でも議案について発言するため議院に出席することができる。又、答弁又は説明のため出席を求められたときは、出席しなければならない。</w:t>
      </w:r>
    </w:p>
    <w:p w14:paraId="5A4C4626" w14:textId="77777777" w:rsidR="00CA23FA" w:rsidRPr="005D6CE5" w:rsidRDefault="00CA23FA" w:rsidP="00D87D91">
      <w:pPr>
        <w:pStyle w:val="3"/>
        <w:rPr>
          <w:b/>
        </w:rPr>
      </w:pPr>
      <w:r w:rsidRPr="005D6CE5">
        <w:t>Article 63.</w:t>
      </w:r>
      <w:r w:rsidRPr="005D6CE5">
        <w:t xml:space="preserve">　</w:t>
      </w:r>
      <w:r w:rsidRPr="005D6CE5">
        <w:t>The Prime Minister and other Ministers of State may, at any time, appear in either House for the purpose of speaking on bills, regardless of whether they are members of the House or not. They must appear when their presence is required in order to give answers or explanations.</w:t>
      </w:r>
    </w:p>
  </w:footnote>
  <w:footnote w:id="135">
    <w:p w14:paraId="3B2C0AE1" w14:textId="77777777" w:rsidR="00CA23FA" w:rsidRPr="005D6CE5" w:rsidRDefault="00CA23FA" w:rsidP="00D87D91">
      <w:pPr>
        <w:pStyle w:val="3"/>
        <w:rPr>
          <w:b/>
        </w:rPr>
      </w:pPr>
      <w:r w:rsidRPr="005D6CE5">
        <w:rPr>
          <w:rStyle w:val="af3"/>
          <w:rFonts w:ascii="新細明體" w:hAnsi="新細明體"/>
          <w:szCs w:val="20"/>
        </w:rPr>
        <w:footnoteRef/>
      </w:r>
      <w:r w:rsidRPr="005D6CE5">
        <w:t>第六十五条　行政権は、内閣に属する。</w:t>
      </w:r>
    </w:p>
    <w:p w14:paraId="23AA22DF" w14:textId="77777777" w:rsidR="00CA23FA" w:rsidRPr="005D6CE5" w:rsidRDefault="00CA23FA" w:rsidP="00D87D91">
      <w:pPr>
        <w:pStyle w:val="3"/>
        <w:rPr>
          <w:b/>
        </w:rPr>
      </w:pPr>
      <w:r w:rsidRPr="005D6CE5">
        <w:t>Article 65.</w:t>
      </w:r>
      <w:r w:rsidRPr="005D6CE5">
        <w:t xml:space="preserve">　</w:t>
      </w:r>
      <w:r w:rsidRPr="005D6CE5">
        <w:t>Executive power shall be vested in the Cabinet.</w:t>
      </w:r>
    </w:p>
  </w:footnote>
  <w:footnote w:id="136">
    <w:p w14:paraId="51088347" w14:textId="77777777"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第六十六条　内閣は、法律の定めるところにより、その首長たる内閣総理大臣及びその他の国務大臣でこれを組織する。</w:t>
      </w:r>
    </w:p>
    <w:p w14:paraId="4EA11275" w14:textId="77777777" w:rsidR="00CA23FA" w:rsidRPr="005D6CE5" w:rsidRDefault="00CA23FA" w:rsidP="00D87D91">
      <w:pPr>
        <w:pStyle w:val="3"/>
        <w:rPr>
          <w:b/>
        </w:rPr>
      </w:pPr>
      <w:r w:rsidRPr="005D6CE5">
        <w:t>Article 66.</w:t>
      </w:r>
      <w:r w:rsidRPr="005D6CE5">
        <w:t xml:space="preserve">　</w:t>
      </w:r>
      <w:r w:rsidRPr="005D6CE5">
        <w:t>The Cabinet shall consist of the Prime Minister, who shall be its head, and other Ministers of State, as provided for by law.</w:t>
      </w:r>
    </w:p>
    <w:p w14:paraId="144E0047" w14:textId="77777777" w:rsidR="00CA23FA" w:rsidRPr="005D6CE5" w:rsidRDefault="00CA23FA" w:rsidP="00D87D91">
      <w:pPr>
        <w:pStyle w:val="3"/>
        <w:rPr>
          <w:b/>
          <w:lang w:eastAsia="ja-JP"/>
        </w:rPr>
      </w:pPr>
      <w:r w:rsidRPr="005D6CE5">
        <w:rPr>
          <w:lang w:eastAsia="ja-JP"/>
        </w:rPr>
        <w:t>内閣総理大臣その他の国務大臣は、文民でなければならない。</w:t>
      </w:r>
    </w:p>
    <w:p w14:paraId="0F6D5B3E" w14:textId="77777777" w:rsidR="00CA23FA" w:rsidRPr="005D6CE5" w:rsidRDefault="00CA23FA" w:rsidP="00D87D91">
      <w:pPr>
        <w:pStyle w:val="3"/>
        <w:rPr>
          <w:b/>
        </w:rPr>
      </w:pPr>
      <w:r w:rsidRPr="005D6CE5">
        <w:t>The Prime Minister and other Ministers of State must be civilians.</w:t>
      </w:r>
    </w:p>
    <w:p w14:paraId="71521CE2" w14:textId="77777777" w:rsidR="00CA23FA" w:rsidRPr="005D6CE5" w:rsidRDefault="00CA23FA" w:rsidP="00D87D91">
      <w:pPr>
        <w:pStyle w:val="3"/>
        <w:rPr>
          <w:b/>
          <w:lang w:eastAsia="ja-JP"/>
        </w:rPr>
      </w:pPr>
      <w:r w:rsidRPr="005D6CE5">
        <w:rPr>
          <w:lang w:eastAsia="ja-JP"/>
        </w:rPr>
        <w:t>内閣は、行政権の行使について、国会に対し連帯して責任を負ふ。</w:t>
      </w:r>
    </w:p>
    <w:p w14:paraId="762AEF40" w14:textId="77777777" w:rsidR="00CA23FA" w:rsidRPr="005D6CE5" w:rsidRDefault="00CA23FA" w:rsidP="00D87D91">
      <w:pPr>
        <w:pStyle w:val="3"/>
        <w:rPr>
          <w:b/>
        </w:rPr>
      </w:pPr>
      <w:r w:rsidRPr="005D6CE5">
        <w:t>The Cabinet, in the exercise of executive power, shall be collectively responsible to the Diet.</w:t>
      </w:r>
    </w:p>
  </w:footnote>
  <w:footnote w:id="137">
    <w:p w14:paraId="682972D8" w14:textId="77777777"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第六十七条　内閣総理大臣は、国会議員の中から国会の議決で、これを指名する。この指名は、他のすべての案件に先だつて、これを行ふ。</w:t>
      </w:r>
    </w:p>
    <w:p w14:paraId="1927A768" w14:textId="77777777" w:rsidR="00CA23FA" w:rsidRPr="005D6CE5" w:rsidRDefault="00CA23FA" w:rsidP="00D87D91">
      <w:pPr>
        <w:pStyle w:val="3"/>
        <w:rPr>
          <w:b/>
          <w:lang w:eastAsia="ja-JP"/>
        </w:rPr>
      </w:pPr>
      <w:r w:rsidRPr="005D6CE5">
        <w:t>Article 67.</w:t>
      </w:r>
      <w:r w:rsidRPr="005D6CE5">
        <w:t xml:space="preserve">　</w:t>
      </w:r>
      <w:r w:rsidRPr="005D6CE5">
        <w:t xml:space="preserve">The Prime Minister shall be designated from among the members of the Diet by a resolution of the Diet. </w:t>
      </w:r>
      <w:r w:rsidRPr="005D6CE5">
        <w:rPr>
          <w:lang w:eastAsia="ja-JP"/>
        </w:rPr>
        <w:t>This designation shall precede all other business.</w:t>
      </w:r>
    </w:p>
    <w:p w14:paraId="214DF994" w14:textId="77777777" w:rsidR="00CA23FA" w:rsidRPr="00367D0C" w:rsidRDefault="00CA23FA" w:rsidP="00D87D91">
      <w:pPr>
        <w:pStyle w:val="3"/>
        <w:rPr>
          <w:b/>
          <w:lang w:eastAsia="ja-JP"/>
        </w:rPr>
      </w:pPr>
      <w:r w:rsidRPr="00367D0C">
        <w:rPr>
          <w:lang w:eastAsia="ja-JP"/>
        </w:rPr>
        <w:t xml:space="preserve">　　衆議院と参議院とが異なつた指名の議決をした場合に、法律の定めるところにより、両議院の協議会を開いても意見が一致しないとき、又は衆議院が指名の議決をした後、国会休会中の期間を除いて十日以内に、参議院が、指名の議決をしないときは、衆議院の議決を国会の議決とする。</w:t>
      </w:r>
    </w:p>
    <w:p w14:paraId="476C7077" w14:textId="77777777" w:rsidR="00CA23FA" w:rsidRPr="00367D0C" w:rsidRDefault="00CA23FA" w:rsidP="00D87D91">
      <w:pPr>
        <w:pStyle w:val="3"/>
        <w:rPr>
          <w:b/>
        </w:rPr>
      </w:pPr>
      <w:r w:rsidRPr="00367D0C">
        <w:t>If the House of Representatives and the House of Councillors disagree and if no agreement can be reached even through a joint committee of both Houses, provided for by law, or the House of Councillors fails to make designation within ten</w:t>
      </w:r>
      <w:r>
        <w:t>(</w:t>
      </w:r>
      <w:r w:rsidRPr="00367D0C">
        <w:t>10) days, exclusive of the period of recess, after the House of Representatives has made designation, the decision of the House of Representatives shall be the decision of the Diet.</w:t>
      </w:r>
    </w:p>
  </w:footnote>
  <w:footnote w:id="138">
    <w:p w14:paraId="26236CEF" w14:textId="77777777"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第六十八条　内閣総理大臣は、国務大臣を任命する。但し、その過半数は、国会議員の中から選ばれなければならない。</w:t>
      </w:r>
    </w:p>
    <w:p w14:paraId="3816CF49" w14:textId="77777777" w:rsidR="00CA23FA" w:rsidRPr="00367D0C" w:rsidRDefault="00CA23FA" w:rsidP="00D87D91">
      <w:pPr>
        <w:pStyle w:val="3"/>
        <w:rPr>
          <w:b/>
        </w:rPr>
      </w:pPr>
      <w:r w:rsidRPr="00367D0C">
        <w:t xml:space="preserve">　　</w:t>
      </w:r>
      <w:r w:rsidRPr="00367D0C">
        <w:t>Article 68.</w:t>
      </w:r>
      <w:r w:rsidRPr="00367D0C">
        <w:t xml:space="preserve">　</w:t>
      </w:r>
      <w:r w:rsidRPr="00367D0C">
        <w:t>The Prime Minister shall appoint the Ministers of State. However, a majority of their number must be chosen from among the members of the Diet.</w:t>
      </w:r>
    </w:p>
    <w:p w14:paraId="5E1B01C7" w14:textId="77777777" w:rsidR="00CA23FA" w:rsidRPr="00367D0C" w:rsidRDefault="00CA23FA" w:rsidP="00D87D91">
      <w:pPr>
        <w:pStyle w:val="3"/>
        <w:rPr>
          <w:b/>
          <w:lang w:eastAsia="ja-JP"/>
        </w:rPr>
      </w:pPr>
      <w:r w:rsidRPr="00367D0C">
        <w:rPr>
          <w:lang w:eastAsia="ja-JP"/>
        </w:rPr>
        <w:t>内閣総理大臣は、任意に国務大臣を罷免することができる。</w:t>
      </w:r>
    </w:p>
    <w:p w14:paraId="4D201C77" w14:textId="77777777" w:rsidR="00CA23FA" w:rsidRPr="00367D0C" w:rsidRDefault="00CA23FA" w:rsidP="00D87D91">
      <w:pPr>
        <w:pStyle w:val="3"/>
        <w:rPr>
          <w:b/>
        </w:rPr>
      </w:pPr>
      <w:r w:rsidRPr="00367D0C">
        <w:t>The Prime Minister may remove the Ministers of State as he chooses.</w:t>
      </w:r>
    </w:p>
  </w:footnote>
  <w:footnote w:id="139">
    <w:p w14:paraId="63F0CDA8" w14:textId="77777777"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 xml:space="preserve">　　第六十九条　内閣は、衆議院で不信任の決議案を可決し、又は信任の決議案を否決したときは、十日以内に衆議院が解散されない限り、総辞職をしなければならない。</w:t>
      </w:r>
    </w:p>
    <w:p w14:paraId="280E8A5D" w14:textId="77777777" w:rsidR="00CA23FA" w:rsidRPr="00367D0C" w:rsidRDefault="00CA23FA" w:rsidP="00D87D91">
      <w:pPr>
        <w:pStyle w:val="3"/>
        <w:rPr>
          <w:b/>
        </w:rPr>
      </w:pPr>
      <w:r w:rsidRPr="00367D0C">
        <w:t xml:space="preserve">　　</w:t>
      </w:r>
      <w:r w:rsidRPr="00367D0C">
        <w:t>Article 69.</w:t>
      </w:r>
      <w:r w:rsidRPr="00367D0C">
        <w:t xml:space="preserve">　</w:t>
      </w:r>
      <w:r w:rsidRPr="00367D0C">
        <w:t>If the House of Representatives passes a non-confidence resolution, or rejects a confidence resolution, the Cabinet shall resign en masse, unless the House of Representatives is dissolved within ten</w:t>
      </w:r>
      <w:r>
        <w:t>(</w:t>
      </w:r>
      <w:r w:rsidRPr="00367D0C">
        <w:t>10) days.</w:t>
      </w:r>
    </w:p>
  </w:footnote>
  <w:footnote w:id="140">
    <w:p w14:paraId="50DECD94" w14:textId="77777777"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 xml:space="preserve">　　第七十条　内閣総理大臣が欠けたとき、又は衆議院議員総選挙の後に初めて国会の召集があつたときは、内閣は、総辞職をしなければならない。</w:t>
      </w:r>
    </w:p>
    <w:p w14:paraId="0E817EA9" w14:textId="77777777" w:rsidR="00CA23FA" w:rsidRPr="00367D0C" w:rsidRDefault="00CA23FA" w:rsidP="00D87D91">
      <w:pPr>
        <w:pStyle w:val="3"/>
        <w:rPr>
          <w:b/>
        </w:rPr>
      </w:pPr>
      <w:r w:rsidRPr="00367D0C">
        <w:t>Article 70.</w:t>
      </w:r>
      <w:r w:rsidRPr="00367D0C">
        <w:t xml:space="preserve">　</w:t>
      </w:r>
      <w:r w:rsidRPr="00367D0C">
        <w:t>When there is a vacancy in the post of Prime Minister, or upon the first convocation of the Diet after a general election of members of the House of Representatives, the Cabinet shall resign en masse.</w:t>
      </w:r>
    </w:p>
  </w:footnote>
  <w:footnote w:id="141">
    <w:p w14:paraId="18E4CF58" w14:textId="77777777"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 xml:space="preserve">　　第七十一条　前二条の場合には、内閣は、あらたに内閣総理大臣が任命されるまで引き続きその職務を行ふ。</w:t>
      </w:r>
    </w:p>
    <w:p w14:paraId="1CF3346B" w14:textId="77777777" w:rsidR="00CA23FA" w:rsidRPr="00367D0C" w:rsidRDefault="00CA23FA" w:rsidP="00D87D91">
      <w:pPr>
        <w:pStyle w:val="3"/>
        <w:rPr>
          <w:b/>
        </w:rPr>
      </w:pPr>
      <w:r w:rsidRPr="00367D0C">
        <w:t>Article 71.</w:t>
      </w:r>
      <w:r w:rsidRPr="00367D0C">
        <w:t xml:space="preserve">　</w:t>
      </w:r>
      <w:r w:rsidRPr="00367D0C">
        <w:t>In the cases mentioned in the two preceding articles, the Cabinet shall continue its functions until the time when a new Prime Minister is appointed.</w:t>
      </w:r>
    </w:p>
  </w:footnote>
  <w:footnote w:id="142">
    <w:p w14:paraId="392EB15B" w14:textId="77777777"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第七十二条　内閣総理大臣は、内閣を代表して議案を国会に提出し、一般国務及び外交関係について国会に報告し、並びに行政各部を指揮監督する。</w:t>
      </w:r>
    </w:p>
    <w:p w14:paraId="4F56CAA5" w14:textId="77777777" w:rsidR="00CA23FA" w:rsidRPr="00367D0C" w:rsidRDefault="00CA23FA" w:rsidP="00D87D91">
      <w:pPr>
        <w:pStyle w:val="3"/>
        <w:rPr>
          <w:b/>
        </w:rPr>
      </w:pPr>
      <w:r w:rsidRPr="00367D0C">
        <w:t>Article 72.</w:t>
      </w:r>
      <w:r w:rsidRPr="00367D0C">
        <w:t xml:space="preserve">　</w:t>
      </w:r>
      <w:r w:rsidRPr="00367D0C">
        <w:t>The Prime Minister, representing the Cabinet, submits bills, reports on general national affairs and foreign relations to the Diet and exercises control and supervision over various administrative branches.</w:t>
      </w:r>
    </w:p>
  </w:footnote>
  <w:footnote w:id="143">
    <w:p w14:paraId="4FA90CEF" w14:textId="77777777" w:rsidR="00CA23FA" w:rsidRPr="00367D0C" w:rsidRDefault="00CA23FA" w:rsidP="00D87D91">
      <w:pPr>
        <w:pStyle w:val="3"/>
        <w:rPr>
          <w:lang w:eastAsia="ja-JP"/>
        </w:rPr>
      </w:pPr>
      <w:r w:rsidRPr="00367D0C">
        <w:rPr>
          <w:rStyle w:val="af3"/>
          <w:rFonts w:ascii="新細明體" w:hAnsi="新細明體"/>
          <w:szCs w:val="18"/>
        </w:rPr>
        <w:footnoteRef/>
      </w:r>
      <w:r w:rsidRPr="00367D0C">
        <w:rPr>
          <w:lang w:eastAsia="ja-JP"/>
        </w:rPr>
        <w:t>第七十三条　内閣は、他の一般行政事務の外、左の事務を行ふ。</w:t>
      </w:r>
    </w:p>
    <w:p w14:paraId="2362035E" w14:textId="77777777" w:rsidR="00CA23FA" w:rsidRPr="00367D0C" w:rsidRDefault="00CA23FA" w:rsidP="00D87D91">
      <w:pPr>
        <w:pStyle w:val="3"/>
      </w:pPr>
      <w:r w:rsidRPr="00367D0C">
        <w:t>Article 73.</w:t>
      </w:r>
      <w:r w:rsidRPr="00367D0C">
        <w:t xml:space="preserve">　</w:t>
      </w:r>
      <w:r w:rsidRPr="00367D0C">
        <w:t>The Cabinet, in addition to other general administrative functions, shall perform the following functions:</w:t>
      </w:r>
    </w:p>
    <w:p w14:paraId="0227FF20" w14:textId="77777777" w:rsidR="00CA23FA" w:rsidRPr="00367D0C" w:rsidRDefault="00CA23FA" w:rsidP="00D87D91">
      <w:pPr>
        <w:pStyle w:val="3"/>
        <w:rPr>
          <w:lang w:eastAsia="ja-JP"/>
        </w:rPr>
      </w:pPr>
      <w:r w:rsidRPr="00367D0C">
        <w:rPr>
          <w:lang w:eastAsia="ja-JP"/>
        </w:rPr>
        <w:t>一　法律を誠実に執行し、国務を総理すること。</w:t>
      </w:r>
    </w:p>
    <w:p w14:paraId="53731729" w14:textId="77777777" w:rsidR="00CA23FA" w:rsidRPr="00367D0C" w:rsidRDefault="00CA23FA" w:rsidP="00D87D91">
      <w:pPr>
        <w:pStyle w:val="3"/>
      </w:pPr>
      <w:r w:rsidRPr="00367D0C">
        <w:rPr>
          <w:lang w:eastAsia="ja-JP"/>
        </w:rPr>
        <w:t xml:space="preserve">　</w:t>
      </w:r>
      <w:r w:rsidRPr="00367D0C">
        <w:t>Administer the law faithfully; conduct affairs of state.</w:t>
      </w:r>
    </w:p>
    <w:p w14:paraId="014C6401" w14:textId="77777777" w:rsidR="00CA23FA" w:rsidRPr="00367D0C" w:rsidRDefault="00CA23FA" w:rsidP="00D87D91">
      <w:pPr>
        <w:pStyle w:val="3"/>
        <w:rPr>
          <w:lang w:eastAsia="ja-JP"/>
        </w:rPr>
      </w:pPr>
      <w:r w:rsidRPr="00367D0C">
        <w:rPr>
          <w:lang w:eastAsia="ja-JP"/>
        </w:rPr>
        <w:t>二　外交関係を処理すること。</w:t>
      </w:r>
    </w:p>
    <w:p w14:paraId="6AA53840" w14:textId="77777777" w:rsidR="00CA23FA" w:rsidRPr="00367D0C" w:rsidRDefault="00CA23FA" w:rsidP="00D87D91">
      <w:pPr>
        <w:pStyle w:val="3"/>
        <w:rPr>
          <w:lang w:eastAsia="ja-JP"/>
        </w:rPr>
      </w:pPr>
      <w:r w:rsidRPr="00367D0C">
        <w:rPr>
          <w:lang w:eastAsia="ja-JP"/>
        </w:rPr>
        <w:t xml:space="preserve">　</w:t>
      </w:r>
      <w:r w:rsidRPr="00367D0C">
        <w:rPr>
          <w:lang w:eastAsia="ja-JP"/>
        </w:rPr>
        <w:t>Manage foreign affairs.</w:t>
      </w:r>
    </w:p>
    <w:p w14:paraId="5F6BF0CD" w14:textId="77777777" w:rsidR="00CA23FA" w:rsidRPr="00367D0C" w:rsidRDefault="00CA23FA" w:rsidP="00D87D91">
      <w:pPr>
        <w:pStyle w:val="3"/>
        <w:rPr>
          <w:lang w:eastAsia="ja-JP"/>
        </w:rPr>
      </w:pPr>
      <w:r w:rsidRPr="00367D0C">
        <w:rPr>
          <w:lang w:eastAsia="ja-JP"/>
        </w:rPr>
        <w:t>三　条約を締結すること。但し、事前に、時宜によつては事後に、国会の承認を経ることを必要とする。</w:t>
      </w:r>
    </w:p>
    <w:p w14:paraId="4B01CFF3" w14:textId="77777777" w:rsidR="00CA23FA" w:rsidRPr="00367D0C" w:rsidRDefault="00CA23FA" w:rsidP="00D87D91">
      <w:pPr>
        <w:pStyle w:val="3"/>
      </w:pPr>
      <w:r w:rsidRPr="00367D0C">
        <w:rPr>
          <w:lang w:eastAsia="ja-JP"/>
        </w:rPr>
        <w:t xml:space="preserve">　</w:t>
      </w:r>
      <w:r w:rsidRPr="00367D0C">
        <w:t>Conclude treaties. However, it shall obtain prior or, depending on circumstances, subsequent approval of the Diet.</w:t>
      </w:r>
    </w:p>
    <w:p w14:paraId="1F937133" w14:textId="77777777" w:rsidR="00CA23FA" w:rsidRPr="00367D0C" w:rsidRDefault="00CA23FA" w:rsidP="00D87D91">
      <w:pPr>
        <w:pStyle w:val="3"/>
        <w:rPr>
          <w:lang w:eastAsia="ja-JP"/>
        </w:rPr>
      </w:pPr>
      <w:r w:rsidRPr="00367D0C">
        <w:rPr>
          <w:lang w:eastAsia="ja-JP"/>
        </w:rPr>
        <w:t>四　法律の定める基準に従ひ、官吏に関する事務を掌理すること。</w:t>
      </w:r>
    </w:p>
    <w:p w14:paraId="766A75C9" w14:textId="77777777" w:rsidR="00CA23FA" w:rsidRPr="00367D0C" w:rsidRDefault="00CA23FA" w:rsidP="00D87D91">
      <w:pPr>
        <w:pStyle w:val="3"/>
      </w:pPr>
      <w:r w:rsidRPr="00367D0C">
        <w:rPr>
          <w:lang w:eastAsia="ja-JP"/>
        </w:rPr>
        <w:t xml:space="preserve">　</w:t>
      </w:r>
      <w:r w:rsidRPr="00367D0C">
        <w:t>Administer the civil service, in accordance with standards established by law.</w:t>
      </w:r>
    </w:p>
    <w:p w14:paraId="6D358C10" w14:textId="77777777" w:rsidR="00CA23FA" w:rsidRPr="00367D0C" w:rsidRDefault="00CA23FA" w:rsidP="00D87D91">
      <w:pPr>
        <w:pStyle w:val="3"/>
        <w:rPr>
          <w:lang w:eastAsia="ja-JP"/>
        </w:rPr>
      </w:pPr>
      <w:r w:rsidRPr="00367D0C">
        <w:rPr>
          <w:lang w:eastAsia="ja-JP"/>
        </w:rPr>
        <w:t>五　予算を作成して国会に提出すること。</w:t>
      </w:r>
    </w:p>
    <w:p w14:paraId="3A4B3F51" w14:textId="77777777" w:rsidR="00CA23FA" w:rsidRPr="00367D0C" w:rsidRDefault="00CA23FA" w:rsidP="00D87D91">
      <w:pPr>
        <w:pStyle w:val="3"/>
      </w:pPr>
      <w:r w:rsidRPr="00367D0C">
        <w:rPr>
          <w:lang w:eastAsia="ja-JP"/>
        </w:rPr>
        <w:t xml:space="preserve">　</w:t>
      </w:r>
      <w:r w:rsidRPr="00367D0C">
        <w:t>Prepare the budget, and present it to the Diet.</w:t>
      </w:r>
    </w:p>
    <w:p w14:paraId="73C8E9DA" w14:textId="77777777" w:rsidR="00CA23FA" w:rsidRPr="00367D0C" w:rsidRDefault="00CA23FA" w:rsidP="00D87D91">
      <w:pPr>
        <w:pStyle w:val="3"/>
        <w:rPr>
          <w:lang w:eastAsia="ja-JP"/>
        </w:rPr>
      </w:pPr>
      <w:r w:rsidRPr="00367D0C">
        <w:rPr>
          <w:lang w:eastAsia="ja-JP"/>
        </w:rPr>
        <w:t>六　この憲法及び法律の規定を実施するために、政令を制定すること。但し、政令には、特にその法律の委任がある場合を除いては、罰則を設けることができない。</w:t>
      </w:r>
    </w:p>
    <w:p w14:paraId="7DC051D1" w14:textId="77777777" w:rsidR="00CA23FA" w:rsidRPr="00367D0C" w:rsidRDefault="00CA23FA" w:rsidP="00D87D91">
      <w:pPr>
        <w:pStyle w:val="3"/>
      </w:pPr>
      <w:r w:rsidRPr="00367D0C">
        <w:rPr>
          <w:lang w:eastAsia="ja-JP"/>
        </w:rPr>
        <w:t xml:space="preserve">　</w:t>
      </w:r>
      <w:r w:rsidRPr="00367D0C">
        <w:t>Enact cabinet orders in order to execute the provisions of this Constitution and of the law. However, it cannot include penal provisions in such cabinet orders unless authorized by such law.</w:t>
      </w:r>
    </w:p>
    <w:p w14:paraId="560FC86B" w14:textId="77777777" w:rsidR="00CA23FA" w:rsidRPr="00367D0C" w:rsidRDefault="00CA23FA" w:rsidP="00D87D91">
      <w:pPr>
        <w:pStyle w:val="3"/>
        <w:rPr>
          <w:lang w:eastAsia="ja-JP"/>
        </w:rPr>
      </w:pPr>
      <w:r w:rsidRPr="00367D0C">
        <w:rPr>
          <w:lang w:eastAsia="ja-JP"/>
        </w:rPr>
        <w:t>七　大赦、特赦、減刑、刑の執行の免除及び復権を決定すること。</w:t>
      </w:r>
    </w:p>
    <w:p w14:paraId="368896B3" w14:textId="77777777" w:rsidR="00CA23FA" w:rsidRPr="00367D0C" w:rsidRDefault="00CA23FA" w:rsidP="00D87D91">
      <w:pPr>
        <w:pStyle w:val="3"/>
      </w:pPr>
      <w:r w:rsidRPr="00367D0C">
        <w:rPr>
          <w:lang w:eastAsia="ja-JP"/>
        </w:rPr>
        <w:t xml:space="preserve">　</w:t>
      </w:r>
      <w:r w:rsidRPr="00367D0C">
        <w:t>Decide on general amnesty, special amnesty, commutation of punishment, reprieve, and restoration of rights.</w:t>
      </w:r>
    </w:p>
  </w:footnote>
  <w:footnote w:id="144">
    <w:p w14:paraId="310A2519" w14:textId="77777777" w:rsidR="00CA23FA" w:rsidRPr="005D6CE5" w:rsidRDefault="00CA23FA" w:rsidP="00D87D91">
      <w:pPr>
        <w:pStyle w:val="3"/>
        <w:rPr>
          <w:b/>
          <w:lang w:eastAsia="ja-JP"/>
        </w:rPr>
      </w:pPr>
      <w:r>
        <w:rPr>
          <w:rFonts w:cs="Arial"/>
          <w:lang w:eastAsia="ja-JP"/>
        </w:rPr>
        <w:t xml:space="preserve">　　</w:t>
      </w:r>
      <w:r w:rsidRPr="005D6CE5">
        <w:rPr>
          <w:rStyle w:val="af3"/>
          <w:rFonts w:ascii="新細明體" w:hAnsi="新細明體"/>
        </w:rPr>
        <w:footnoteRef/>
      </w:r>
      <w:r w:rsidRPr="005D6CE5">
        <w:rPr>
          <w:rFonts w:cs="Arial"/>
          <w:lang w:eastAsia="ja-JP"/>
        </w:rPr>
        <w:t>最新情報強者ブログ</w:t>
      </w:r>
      <w:r w:rsidRPr="005D6CE5">
        <w:rPr>
          <w:rFonts w:cs="Arial" w:hint="eastAsia"/>
          <w:lang w:eastAsia="ja-JP"/>
        </w:rPr>
        <w:t>(2014)</w:t>
      </w:r>
      <w:r w:rsidRPr="005D6CE5">
        <w:rPr>
          <w:rFonts w:cs="Arial" w:hint="eastAsia"/>
          <w:lang w:eastAsia="ja-JP"/>
        </w:rPr>
        <w:t>，</w:t>
      </w:r>
      <w:r w:rsidRPr="005D6CE5">
        <w:rPr>
          <w:rFonts w:cs="Arial"/>
          <w:lang w:eastAsia="ja-JP"/>
        </w:rPr>
        <w:t>内閣総辞職と衆議院解散の違いは？安倍総理は？</w:t>
      </w:r>
      <w:r w:rsidRPr="005D6CE5">
        <w:rPr>
          <w:rFonts w:hint="eastAsia"/>
          <w:lang w:eastAsia="ja-JP"/>
        </w:rPr>
        <w:t>上網瀏覽時間：</w:t>
      </w:r>
      <w:r w:rsidRPr="005D6CE5">
        <w:rPr>
          <w:rFonts w:hint="eastAsia"/>
          <w:lang w:eastAsia="ja-JP"/>
        </w:rPr>
        <w:t>2015/07/13</w:t>
      </w:r>
      <w:r w:rsidRPr="005D6CE5">
        <w:rPr>
          <w:rFonts w:hint="eastAsia"/>
          <w:lang w:eastAsia="ja-JP"/>
        </w:rPr>
        <w:t>，</w:t>
      </w:r>
      <w:hyperlink r:id="rId44" w:history="1">
        <w:r w:rsidRPr="005D6CE5">
          <w:rPr>
            <w:rStyle w:val="a5"/>
            <w:bCs w:val="0"/>
            <w:lang w:eastAsia="ja-JP"/>
          </w:rPr>
          <w:t>http://know01.com/tigai-2-2817</w:t>
        </w:r>
      </w:hyperlink>
      <w:r w:rsidRPr="005D6CE5">
        <w:rPr>
          <w:lang w:eastAsia="ja-JP"/>
        </w:rPr>
        <w:t>。</w:t>
      </w:r>
    </w:p>
  </w:footnote>
  <w:footnote w:id="145">
    <w:p w14:paraId="6D3E0247" w14:textId="77777777" w:rsidR="00CA23FA" w:rsidRPr="005D6CE5" w:rsidRDefault="00CA23FA" w:rsidP="00D87D91">
      <w:pPr>
        <w:pStyle w:val="3"/>
        <w:rPr>
          <w:b/>
          <w:lang w:eastAsia="ja-JP"/>
        </w:rPr>
      </w:pPr>
      <w:r>
        <w:rPr>
          <w:rFonts w:hint="eastAsia"/>
          <w:lang w:eastAsia="ja-JP"/>
        </w:rPr>
        <w:t xml:space="preserve">　　</w:t>
      </w:r>
      <w:r w:rsidRPr="005D6CE5">
        <w:rPr>
          <w:rStyle w:val="af3"/>
          <w:rFonts w:ascii="新細明體" w:hAnsi="新細明體"/>
        </w:rPr>
        <w:footnoteRef/>
      </w:r>
      <w:r w:rsidRPr="005D6CE5">
        <w:rPr>
          <w:rFonts w:hint="eastAsia"/>
          <w:lang w:eastAsia="ja-JP"/>
        </w:rPr>
        <w:t>日本參議院，国会のしくみ，上網瀏覽時間：</w:t>
      </w:r>
      <w:r w:rsidRPr="005D6CE5">
        <w:rPr>
          <w:rFonts w:hint="eastAsia"/>
          <w:lang w:eastAsia="ja-JP"/>
        </w:rPr>
        <w:t>2015/07/13</w:t>
      </w:r>
      <w:r w:rsidRPr="005D6CE5">
        <w:rPr>
          <w:rFonts w:hint="eastAsia"/>
          <w:lang w:eastAsia="ja-JP"/>
        </w:rPr>
        <w:t>，</w:t>
      </w:r>
      <w:hyperlink r:id="rId45" w:history="1">
        <w:r w:rsidRPr="005D6CE5">
          <w:rPr>
            <w:rStyle w:val="a5"/>
            <w:bCs w:val="0"/>
            <w:lang w:eastAsia="ja-JP"/>
          </w:rPr>
          <w:t>http://www.sangiin.go.jp/japanese/kids/html/shikumi/index.html</w:t>
        </w:r>
      </w:hyperlink>
      <w:r w:rsidRPr="005D6CE5">
        <w:rPr>
          <w:lang w:eastAsia="ja-JP"/>
        </w:rPr>
        <w:t>。</w:t>
      </w:r>
    </w:p>
  </w:footnote>
  <w:footnote w:id="146">
    <w:p w14:paraId="7EEA4198" w14:textId="77777777" w:rsidR="00CA23FA" w:rsidRPr="005D6CE5" w:rsidRDefault="00CA23FA" w:rsidP="00D87D91">
      <w:pPr>
        <w:pStyle w:val="3"/>
        <w:rPr>
          <w:b/>
        </w:rPr>
      </w:pPr>
      <w:r w:rsidRPr="005D6CE5">
        <w:rPr>
          <w:rStyle w:val="af3"/>
          <w:rFonts w:ascii="新細明體" w:hAnsi="新細明體"/>
        </w:rPr>
        <w:footnoteRef/>
      </w:r>
      <w:r w:rsidRPr="005D6CE5">
        <w:rPr>
          <w:rFonts w:cs="Arial"/>
          <w:lang w:eastAsia="ja-JP"/>
        </w:rPr>
        <w:t>最新情報強者ブログ</w:t>
      </w:r>
      <w:r w:rsidRPr="005D6CE5">
        <w:rPr>
          <w:rFonts w:cs="Arial" w:hint="eastAsia"/>
        </w:rPr>
        <w:t>(2014)</w:t>
      </w:r>
      <w:r w:rsidRPr="005D6CE5">
        <w:rPr>
          <w:rFonts w:cs="Arial" w:hint="eastAsia"/>
        </w:rPr>
        <w:t>，</w:t>
      </w:r>
      <w:r w:rsidRPr="005D6CE5">
        <w:rPr>
          <w:rFonts w:cs="Arial"/>
          <w:lang w:eastAsia="ja-JP"/>
        </w:rPr>
        <w:t>内閣総辞職と衆議院解散の違いは？安倍総理は？</w:t>
      </w:r>
      <w:r w:rsidRPr="005D6CE5">
        <w:rPr>
          <w:rFonts w:hint="eastAsia"/>
          <w:lang w:eastAsia="ja-JP"/>
        </w:rPr>
        <w:t>上網瀏覽時間：</w:t>
      </w:r>
      <w:r w:rsidRPr="005D6CE5">
        <w:rPr>
          <w:rFonts w:hint="eastAsia"/>
        </w:rPr>
        <w:t>2015/07/13</w:t>
      </w:r>
      <w:r w:rsidRPr="005D6CE5">
        <w:rPr>
          <w:rFonts w:hint="eastAsia"/>
        </w:rPr>
        <w:t>，</w:t>
      </w:r>
      <w:hyperlink r:id="rId46" w:history="1">
        <w:r w:rsidRPr="005D6CE5">
          <w:rPr>
            <w:rStyle w:val="a5"/>
            <w:bCs w:val="0"/>
          </w:rPr>
          <w:t>http://know01.com/tigai-2-2817</w:t>
        </w:r>
      </w:hyperlink>
      <w:r w:rsidRPr="005D6CE5">
        <w:t>。</w:t>
      </w:r>
    </w:p>
  </w:footnote>
  <w:footnote w:id="147">
    <w:p w14:paraId="7BE36252" w14:textId="77777777" w:rsidR="00CA23FA" w:rsidRPr="005D6CE5" w:rsidRDefault="00CA23FA" w:rsidP="00D87D91">
      <w:pPr>
        <w:pStyle w:val="3"/>
        <w:rPr>
          <w:b/>
        </w:rPr>
      </w:pPr>
      <w:r w:rsidRPr="005D6CE5">
        <w:rPr>
          <w:rStyle w:val="af3"/>
          <w:rFonts w:ascii="新細明體" w:hAnsi="新細明體"/>
          <w:szCs w:val="20"/>
        </w:rPr>
        <w:footnoteRef/>
      </w:r>
      <w:r w:rsidRPr="005D6CE5">
        <w:t xml:space="preserve"> Nikkei</w:t>
      </w:r>
      <w:r w:rsidRPr="005D6CE5">
        <w:rPr>
          <w:rFonts w:hint="eastAsia"/>
        </w:rPr>
        <w:t>(2015)</w:t>
      </w:r>
      <w:r w:rsidRPr="005D6CE5">
        <w:rPr>
          <w:rFonts w:hint="eastAsia"/>
        </w:rPr>
        <w:t>，</w:t>
      </w:r>
      <w:r w:rsidRPr="005D6CE5">
        <w:t>衆院解散後の内閣，</w:t>
      </w:r>
      <w:r w:rsidRPr="005D6CE5">
        <w:rPr>
          <w:rFonts w:hint="eastAsia"/>
          <w:lang w:eastAsia="ja-JP"/>
        </w:rPr>
        <w:t>上網瀏覽時間：</w:t>
      </w:r>
      <w:r w:rsidRPr="005D6CE5">
        <w:rPr>
          <w:rFonts w:hint="eastAsia"/>
        </w:rPr>
        <w:t>2015/07/13</w:t>
      </w:r>
      <w:r w:rsidRPr="005D6CE5">
        <w:rPr>
          <w:rFonts w:hint="eastAsia"/>
        </w:rPr>
        <w:t>，</w:t>
      </w:r>
      <w:hyperlink r:id="rId47" w:history="1">
        <w:r w:rsidRPr="005D6CE5">
          <w:rPr>
            <w:rStyle w:val="a5"/>
            <w:bCs w:val="0"/>
            <w:szCs w:val="20"/>
          </w:rPr>
          <w:t>https://www.nikkei4946.com/knowledgebank/index.aspx?Sakuin2=571&amp;p=kaisetsu</w:t>
        </w:r>
      </w:hyperlink>
      <w:r w:rsidRPr="005D6CE5">
        <w:t>。</w:t>
      </w:r>
    </w:p>
  </w:footnote>
  <w:footnote w:id="148">
    <w:p w14:paraId="5D3FD89A" w14:textId="77777777" w:rsidR="00CA23FA" w:rsidRPr="005D6CE5" w:rsidRDefault="00CA23FA" w:rsidP="00D53F68">
      <w:pPr>
        <w:pStyle w:val="3"/>
        <w:jc w:val="left"/>
        <w:rPr>
          <w:b/>
        </w:rPr>
      </w:pPr>
      <w:r w:rsidRPr="005D6CE5">
        <w:rPr>
          <w:rStyle w:val="af3"/>
          <w:rFonts w:ascii="新細明體" w:hAnsi="新細明體"/>
          <w:szCs w:val="20"/>
        </w:rPr>
        <w:footnoteRef/>
      </w:r>
      <w:r w:rsidRPr="005D6CE5">
        <w:t xml:space="preserve"> Robert Elgie</w:t>
      </w:r>
      <w:r w:rsidRPr="005D6CE5">
        <w:rPr>
          <w:rFonts w:hint="eastAsia"/>
        </w:rPr>
        <w:t>(</w:t>
      </w:r>
      <w:r w:rsidRPr="005D6CE5">
        <w:t>1999</w:t>
      </w:r>
      <w:r w:rsidRPr="005D6CE5">
        <w:rPr>
          <w:rFonts w:hint="eastAsia"/>
        </w:rPr>
        <w:t>)</w:t>
      </w:r>
      <w:r w:rsidRPr="005D6CE5">
        <w:t xml:space="preserve">. </w:t>
      </w:r>
      <w:r w:rsidRPr="005D6CE5">
        <w:rPr>
          <w:iCs/>
        </w:rPr>
        <w:t>Semi-Presidentialism in Europe</w:t>
      </w:r>
      <w:r w:rsidRPr="005D6CE5">
        <w:t>，</w:t>
      </w:r>
      <w:r w:rsidRPr="005D6CE5">
        <w:t>New York</w:t>
      </w:r>
      <w:r w:rsidRPr="005D6CE5">
        <w:t>：</w:t>
      </w:r>
      <w:r w:rsidRPr="005D6CE5">
        <w:t>Oxford University</w:t>
      </w:r>
    </w:p>
    <w:p w14:paraId="75656CAD" w14:textId="77777777" w:rsidR="00CA23FA" w:rsidRPr="005D6CE5" w:rsidRDefault="00CA23FA" w:rsidP="00D53F68">
      <w:pPr>
        <w:pStyle w:val="3"/>
        <w:jc w:val="left"/>
        <w:rPr>
          <w:b/>
        </w:rPr>
      </w:pPr>
      <w:r w:rsidRPr="005D6CE5">
        <w:t>Press</w:t>
      </w:r>
      <w:r w:rsidRPr="005D6CE5">
        <w:t>。</w:t>
      </w:r>
    </w:p>
    <w:p w14:paraId="4F0715CB" w14:textId="77777777" w:rsidR="00CA23FA" w:rsidRPr="005D6CE5" w:rsidRDefault="00CA23FA" w:rsidP="00D53F68">
      <w:pPr>
        <w:pStyle w:val="3"/>
        <w:jc w:val="left"/>
        <w:rPr>
          <w:b/>
        </w:rPr>
      </w:pPr>
      <w:r w:rsidRPr="005D6CE5">
        <w:rPr>
          <w:rFonts w:cs="Times"/>
        </w:rPr>
        <w:t>Maurice</w:t>
      </w:r>
      <w:r w:rsidRPr="005D6CE5">
        <w:rPr>
          <w:rFonts w:cs="Times" w:hint="eastAsia"/>
        </w:rPr>
        <w:t xml:space="preserve"> </w:t>
      </w:r>
      <w:r w:rsidRPr="005D6CE5">
        <w:t>Duverger</w:t>
      </w:r>
      <w:r w:rsidRPr="005D6CE5">
        <w:rPr>
          <w:rFonts w:hint="eastAsia"/>
        </w:rPr>
        <w:t>(1980)</w:t>
      </w:r>
      <w:r w:rsidRPr="005D6CE5">
        <w:t xml:space="preserve"> </w:t>
      </w:r>
      <w:r w:rsidRPr="005D6CE5">
        <w:rPr>
          <w:rFonts w:hint="eastAsia"/>
        </w:rPr>
        <w:t>.</w:t>
      </w:r>
      <w:r w:rsidRPr="005D6CE5">
        <w:rPr>
          <w:iCs/>
        </w:rPr>
        <w:t>A new</w:t>
      </w:r>
      <w:r w:rsidRPr="005D6CE5">
        <w:rPr>
          <w:rFonts w:hint="eastAsia"/>
          <w:iCs/>
        </w:rPr>
        <w:t xml:space="preserve"> </w:t>
      </w:r>
      <w:r w:rsidRPr="005D6CE5">
        <w:rPr>
          <w:iCs/>
        </w:rPr>
        <w:t>Political System Model</w:t>
      </w:r>
      <w:r w:rsidRPr="005D6CE5">
        <w:t>：</w:t>
      </w:r>
      <w:r w:rsidRPr="005D6CE5">
        <w:rPr>
          <w:iCs/>
        </w:rPr>
        <w:t>Semi-Presidential Government</w:t>
      </w:r>
      <w:r w:rsidRPr="005D6CE5">
        <w:rPr>
          <w:rFonts w:hint="eastAsia"/>
          <w:iCs/>
        </w:rPr>
        <w:t>,</w:t>
      </w:r>
      <w:r w:rsidRPr="005D6CE5">
        <w:t>“European Journal of Political Research”, Vol.8, No.2</w:t>
      </w:r>
      <w:r w:rsidRPr="005D6CE5">
        <w:rPr>
          <w:rFonts w:hint="eastAsia"/>
        </w:rPr>
        <w:t>.</w:t>
      </w:r>
    </w:p>
    <w:p w14:paraId="5DDBEAC8" w14:textId="77777777" w:rsidR="00CA23FA" w:rsidRPr="005D6CE5" w:rsidRDefault="00CA23FA" w:rsidP="00D53F68">
      <w:pPr>
        <w:pStyle w:val="3"/>
        <w:jc w:val="left"/>
        <w:rPr>
          <w:b/>
        </w:rPr>
      </w:pPr>
      <w:r w:rsidRPr="005D6CE5">
        <w:rPr>
          <w:rFonts w:cs="Times"/>
          <w:kern w:val="0"/>
        </w:rPr>
        <w:t>楊中立</w:t>
      </w:r>
      <w:r w:rsidRPr="005D6CE5">
        <w:rPr>
          <w:rFonts w:cs="Times" w:hint="eastAsia"/>
          <w:kern w:val="0"/>
        </w:rPr>
        <w:t>(2008)</w:t>
      </w:r>
      <w:r w:rsidRPr="005D6CE5">
        <w:rPr>
          <w:rFonts w:cs="Times"/>
          <w:kern w:val="0"/>
        </w:rPr>
        <w:t>，雙首長制的理論、制度與台灣經驗，</w:t>
      </w:r>
      <w:hyperlink r:id="rId48" w:history="1">
        <w:r w:rsidRPr="005D6CE5">
          <w:rPr>
            <w:rFonts w:cs="Arial"/>
          </w:rPr>
          <w:t>http://www2.pccu.edu.tw/cryaps/cn/events/08conf/agenda/06.pdf</w:t>
        </w:r>
      </w:hyperlink>
      <w:r w:rsidRPr="005D6CE5">
        <w:rPr>
          <w:rFonts w:cs="Arial"/>
        </w:rPr>
        <w:t>。</w:t>
      </w:r>
    </w:p>
  </w:footnote>
  <w:footnote w:id="149">
    <w:p w14:paraId="58CAD2EC" w14:textId="77777777" w:rsidR="00CA23FA" w:rsidRPr="005D6CE5" w:rsidRDefault="00CA23FA" w:rsidP="00D53F68">
      <w:pPr>
        <w:pStyle w:val="3"/>
        <w:jc w:val="left"/>
        <w:rPr>
          <w:b/>
        </w:rPr>
      </w:pPr>
      <w:r w:rsidRPr="005D6CE5">
        <w:rPr>
          <w:rStyle w:val="af3"/>
          <w:rFonts w:ascii="新細明體" w:hAnsi="新細明體"/>
          <w:szCs w:val="20"/>
        </w:rPr>
        <w:footnoteRef/>
      </w:r>
      <w:r w:rsidRPr="005D6CE5">
        <w:t xml:space="preserve"> Robert Elgie</w:t>
      </w:r>
      <w:r w:rsidRPr="005D6CE5">
        <w:rPr>
          <w:rFonts w:hint="eastAsia"/>
        </w:rPr>
        <w:t>(</w:t>
      </w:r>
      <w:r w:rsidRPr="005D6CE5">
        <w:t>1999</w:t>
      </w:r>
      <w:r w:rsidRPr="005D6CE5">
        <w:rPr>
          <w:rFonts w:hint="eastAsia"/>
        </w:rPr>
        <w:t>)</w:t>
      </w:r>
      <w:r w:rsidRPr="005D6CE5">
        <w:t xml:space="preserve">. </w:t>
      </w:r>
      <w:r w:rsidRPr="005D6CE5">
        <w:rPr>
          <w:iCs/>
        </w:rPr>
        <w:t>Semi-Presidentialism in Europe</w:t>
      </w:r>
      <w:r w:rsidRPr="005D6CE5">
        <w:t>，</w:t>
      </w:r>
      <w:r w:rsidRPr="005D6CE5">
        <w:t>New York</w:t>
      </w:r>
      <w:r w:rsidRPr="005D6CE5">
        <w:t>：</w:t>
      </w:r>
      <w:r w:rsidRPr="005D6CE5">
        <w:t>Oxford University</w:t>
      </w:r>
    </w:p>
    <w:p w14:paraId="780A8085" w14:textId="77777777" w:rsidR="00CA23FA" w:rsidRPr="005D6CE5" w:rsidRDefault="00CA23FA" w:rsidP="00D53F68">
      <w:pPr>
        <w:pStyle w:val="3"/>
        <w:jc w:val="left"/>
        <w:rPr>
          <w:b/>
        </w:rPr>
      </w:pPr>
      <w:r w:rsidRPr="005D6CE5">
        <w:t>Press</w:t>
      </w:r>
      <w:r w:rsidRPr="005D6CE5">
        <w:t>。</w:t>
      </w:r>
    </w:p>
    <w:p w14:paraId="45F177E2" w14:textId="77777777" w:rsidR="00CA23FA" w:rsidRPr="005D6CE5" w:rsidRDefault="00CA23FA" w:rsidP="00D53F68">
      <w:pPr>
        <w:pStyle w:val="3"/>
        <w:jc w:val="left"/>
        <w:rPr>
          <w:b/>
        </w:rPr>
      </w:pPr>
      <w:r w:rsidRPr="005D6CE5">
        <w:rPr>
          <w:rFonts w:cs="Times"/>
        </w:rPr>
        <w:t>Maurice</w:t>
      </w:r>
      <w:r w:rsidRPr="005D6CE5">
        <w:rPr>
          <w:rFonts w:cs="Times" w:hint="eastAsia"/>
        </w:rPr>
        <w:t xml:space="preserve"> </w:t>
      </w:r>
      <w:r w:rsidRPr="005D6CE5">
        <w:t>Duverger</w:t>
      </w:r>
      <w:r w:rsidRPr="005D6CE5">
        <w:rPr>
          <w:rFonts w:hint="eastAsia"/>
        </w:rPr>
        <w:t>(1980)</w:t>
      </w:r>
      <w:r w:rsidRPr="005D6CE5">
        <w:t xml:space="preserve"> </w:t>
      </w:r>
      <w:r w:rsidRPr="005D6CE5">
        <w:rPr>
          <w:rFonts w:hint="eastAsia"/>
        </w:rPr>
        <w:t>.</w:t>
      </w:r>
      <w:r w:rsidRPr="005D6CE5">
        <w:rPr>
          <w:iCs/>
        </w:rPr>
        <w:t>A new</w:t>
      </w:r>
      <w:r w:rsidRPr="005D6CE5">
        <w:rPr>
          <w:rFonts w:hint="eastAsia"/>
          <w:iCs/>
        </w:rPr>
        <w:t xml:space="preserve"> </w:t>
      </w:r>
      <w:r w:rsidRPr="005D6CE5">
        <w:rPr>
          <w:iCs/>
        </w:rPr>
        <w:t>Political System Model</w:t>
      </w:r>
      <w:r w:rsidRPr="005D6CE5">
        <w:t>：</w:t>
      </w:r>
      <w:r w:rsidRPr="005D6CE5">
        <w:rPr>
          <w:iCs/>
        </w:rPr>
        <w:t>Semi-Presidential Government</w:t>
      </w:r>
      <w:r w:rsidRPr="005D6CE5">
        <w:rPr>
          <w:rFonts w:hint="eastAsia"/>
          <w:iCs/>
        </w:rPr>
        <w:t>,</w:t>
      </w:r>
      <w:r w:rsidRPr="005D6CE5">
        <w:t>“European Journal of Political Research”, Vol.8, No.2</w:t>
      </w:r>
      <w:r w:rsidRPr="005D6CE5">
        <w:rPr>
          <w:rFonts w:hint="eastAsia"/>
        </w:rPr>
        <w:t>.</w:t>
      </w:r>
    </w:p>
    <w:p w14:paraId="5B9105D2" w14:textId="77777777" w:rsidR="00CA23FA" w:rsidRPr="00E16174" w:rsidRDefault="00CA23FA" w:rsidP="00D53F68">
      <w:pPr>
        <w:pStyle w:val="3"/>
        <w:jc w:val="left"/>
        <w:rPr>
          <w:rFonts w:cs="Times"/>
          <w:b/>
          <w:kern w:val="0"/>
        </w:rPr>
      </w:pPr>
      <w:r w:rsidRPr="005D6CE5">
        <w:rPr>
          <w:rFonts w:cs="Times"/>
          <w:kern w:val="0"/>
        </w:rPr>
        <w:t>楊中立</w:t>
      </w:r>
      <w:r w:rsidRPr="005D6CE5">
        <w:rPr>
          <w:rFonts w:cs="Times" w:hint="eastAsia"/>
          <w:kern w:val="0"/>
        </w:rPr>
        <w:t>(2008)</w:t>
      </w:r>
      <w:r w:rsidRPr="005D6CE5">
        <w:rPr>
          <w:rFonts w:cs="Times"/>
          <w:kern w:val="0"/>
        </w:rPr>
        <w:t>，雙首長制的理論、制度與台灣經驗，</w:t>
      </w:r>
      <w:hyperlink r:id="rId49" w:history="1">
        <w:r w:rsidRPr="005D6CE5">
          <w:rPr>
            <w:rFonts w:cs="Arial"/>
          </w:rPr>
          <w:t>http://www2.pccu.edu.tw/cryaps/cn/events/08conf/agenda/06.pdf</w:t>
        </w:r>
      </w:hyperlink>
      <w:r w:rsidRPr="005D6CE5">
        <w:rPr>
          <w:rFonts w:cs="Arial"/>
        </w:rPr>
        <w:t>。</w:t>
      </w:r>
    </w:p>
  </w:footnote>
  <w:footnote w:id="150">
    <w:p w14:paraId="659938A1"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蘇嘉宏</w:t>
      </w:r>
      <w:r w:rsidRPr="005D6CE5">
        <w:t>(2007)</w:t>
      </w:r>
      <w:r w:rsidRPr="005D6CE5">
        <w:rPr>
          <w:rFonts w:hint="eastAsia"/>
        </w:rPr>
        <w:t>，增修中華民國憲法要義，</w:t>
      </w:r>
      <w:r w:rsidRPr="005D6CE5">
        <w:t>5</w:t>
      </w:r>
      <w:r w:rsidRPr="005D6CE5">
        <w:rPr>
          <w:rFonts w:hint="eastAsia"/>
        </w:rPr>
        <w:t>版，臺北市：台灣東華公司，頁</w:t>
      </w:r>
      <w:r w:rsidRPr="005D6CE5">
        <w:t>142</w:t>
      </w:r>
      <w:r w:rsidRPr="005D6CE5">
        <w:rPr>
          <w:rFonts w:hint="eastAsia"/>
        </w:rPr>
        <w:t>。</w:t>
      </w:r>
    </w:p>
  </w:footnote>
  <w:footnote w:id="151">
    <w:p w14:paraId="421E758B"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李惠宗</w:t>
      </w:r>
      <w:r w:rsidRPr="005D6CE5">
        <w:t>(2006)</w:t>
      </w:r>
      <w:r w:rsidRPr="005D6CE5">
        <w:rPr>
          <w:rFonts w:hint="eastAsia"/>
        </w:rPr>
        <w:t>，中華民國憲法概要</w:t>
      </w:r>
      <w:r>
        <w:t>〜</w:t>
      </w:r>
      <w:r w:rsidRPr="005D6CE5">
        <w:rPr>
          <w:rFonts w:hint="eastAsia"/>
        </w:rPr>
        <w:t>憲法生活的新思維，</w:t>
      </w:r>
      <w:r w:rsidRPr="005D6CE5">
        <w:t>5</w:t>
      </w:r>
      <w:r w:rsidRPr="005D6CE5">
        <w:rPr>
          <w:rFonts w:hint="eastAsia"/>
        </w:rPr>
        <w:t>版，臺北市：元照公司，頁</w:t>
      </w:r>
      <w:r w:rsidRPr="005D6CE5">
        <w:t>210</w:t>
      </w:r>
      <w:r w:rsidRPr="005D6CE5">
        <w:rPr>
          <w:rFonts w:hint="eastAsia"/>
        </w:rPr>
        <w:t>。</w:t>
      </w:r>
    </w:p>
  </w:footnote>
  <w:footnote w:id="152">
    <w:p w14:paraId="25903568"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李惠宗</w:t>
      </w:r>
      <w:r w:rsidRPr="005D6CE5">
        <w:t>(2006)</w:t>
      </w:r>
      <w:r w:rsidRPr="005D6CE5">
        <w:rPr>
          <w:rFonts w:hint="eastAsia"/>
        </w:rPr>
        <w:t>，中華民國憲法概要</w:t>
      </w:r>
      <w:r>
        <w:t>〜</w:t>
      </w:r>
      <w:r w:rsidRPr="005D6CE5">
        <w:rPr>
          <w:rFonts w:hint="eastAsia"/>
        </w:rPr>
        <w:t>憲法生活的新思維，</w:t>
      </w:r>
      <w:r w:rsidRPr="005D6CE5">
        <w:t>5</w:t>
      </w:r>
      <w:r w:rsidRPr="005D6CE5">
        <w:rPr>
          <w:rFonts w:hint="eastAsia"/>
        </w:rPr>
        <w:t>版，臺北市：元照公司，頁</w:t>
      </w:r>
      <w:r w:rsidRPr="005D6CE5">
        <w:rPr>
          <w:rFonts w:cs="細明體_HKSCS"/>
          <w:kern w:val="0"/>
        </w:rPr>
        <w:t>214</w:t>
      </w:r>
      <w:r w:rsidRPr="005D6CE5">
        <w:rPr>
          <w:rFonts w:cs="細明體_HKSCS" w:hint="eastAsia"/>
          <w:kern w:val="0"/>
        </w:rPr>
        <w:t>。</w:t>
      </w:r>
      <w:r w:rsidRPr="005D6CE5">
        <w:rPr>
          <w:rFonts w:cs="細明體_HKSCS"/>
          <w:kern w:val="0"/>
        </w:rPr>
        <w:t xml:space="preserve"> </w:t>
      </w:r>
    </w:p>
  </w:footnote>
  <w:footnote w:id="153">
    <w:p w14:paraId="285D9D71"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李惠宗</w:t>
      </w:r>
      <w:r w:rsidRPr="005D6CE5">
        <w:t>(2006)</w:t>
      </w:r>
      <w:r w:rsidRPr="005D6CE5">
        <w:rPr>
          <w:rFonts w:hint="eastAsia"/>
        </w:rPr>
        <w:t>，中華民國憲法概要</w:t>
      </w:r>
      <w:r>
        <w:t>〜</w:t>
      </w:r>
      <w:r w:rsidRPr="005D6CE5">
        <w:rPr>
          <w:rFonts w:hint="eastAsia"/>
        </w:rPr>
        <w:t>憲法生活的新思維，</w:t>
      </w:r>
      <w:r w:rsidRPr="005D6CE5">
        <w:t>5</w:t>
      </w:r>
      <w:r w:rsidRPr="005D6CE5">
        <w:rPr>
          <w:rFonts w:hint="eastAsia"/>
        </w:rPr>
        <w:t>版，臺北市：元照公司，頁</w:t>
      </w:r>
      <w:r w:rsidRPr="005D6CE5">
        <w:rPr>
          <w:rFonts w:cs="細明體_HKSCS"/>
          <w:kern w:val="0"/>
        </w:rPr>
        <w:t>191</w:t>
      </w:r>
      <w:r w:rsidRPr="005D6CE5">
        <w:rPr>
          <w:rFonts w:cs="細明體_HKSCS" w:hint="eastAsia"/>
          <w:kern w:val="0"/>
        </w:rPr>
        <w:t>。</w:t>
      </w:r>
    </w:p>
  </w:footnote>
  <w:footnote w:id="154">
    <w:p w14:paraId="2A6DB68B"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w:t>
      </w:r>
      <w:r w:rsidRPr="005D6CE5">
        <w:rPr>
          <w:rFonts w:hint="eastAsia"/>
          <w:kern w:val="0"/>
        </w:rPr>
        <w:t>頁</w:t>
      </w:r>
      <w:r w:rsidRPr="005D6CE5">
        <w:rPr>
          <w:kern w:val="0"/>
        </w:rPr>
        <w:t>133</w:t>
      </w:r>
      <w:r w:rsidRPr="005D6CE5">
        <w:rPr>
          <w:rFonts w:hint="eastAsia"/>
          <w:kern w:val="0"/>
        </w:rPr>
        <w:t>。</w:t>
      </w:r>
    </w:p>
  </w:footnote>
  <w:footnote w:id="155">
    <w:p w14:paraId="4E00B8B4"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蘇嘉宏</w:t>
      </w:r>
      <w:r w:rsidRPr="005D6CE5">
        <w:rPr>
          <w:rFonts w:hint="eastAsia"/>
        </w:rPr>
        <w:t>(2007)</w:t>
      </w:r>
      <w:r w:rsidRPr="005D6CE5">
        <w:rPr>
          <w:rFonts w:hint="eastAsia"/>
        </w:rPr>
        <w:t>，增修中華民國憲法要義，</w:t>
      </w:r>
      <w:r w:rsidRPr="005D6CE5">
        <w:rPr>
          <w:rFonts w:hint="eastAsia"/>
        </w:rPr>
        <w:t>5</w:t>
      </w:r>
      <w:r w:rsidRPr="005D6CE5">
        <w:rPr>
          <w:rFonts w:hint="eastAsia"/>
        </w:rPr>
        <w:t>版，臺北市：台灣東華公司，</w:t>
      </w:r>
      <w:r w:rsidRPr="005D6CE5">
        <w:rPr>
          <w:rFonts w:cs="細明體_HKSCS" w:hint="eastAsia"/>
          <w:kern w:val="0"/>
        </w:rPr>
        <w:t>頁</w:t>
      </w:r>
      <w:r w:rsidRPr="005D6CE5">
        <w:rPr>
          <w:rFonts w:cs="細明體_HKSCS"/>
          <w:kern w:val="0"/>
        </w:rPr>
        <w:t>155~168</w:t>
      </w:r>
      <w:r w:rsidRPr="005D6CE5">
        <w:rPr>
          <w:rFonts w:cs="細明體_HKSCS" w:hint="eastAsia"/>
          <w:kern w:val="0"/>
        </w:rPr>
        <w:t>。</w:t>
      </w:r>
      <w:r w:rsidRPr="005D6CE5">
        <w:rPr>
          <w:rFonts w:cs="細明體_HKSCS"/>
          <w:kern w:val="0"/>
        </w:rPr>
        <w:t xml:space="preserve"> </w:t>
      </w:r>
    </w:p>
  </w:footnote>
  <w:footnote w:id="156">
    <w:p w14:paraId="0CBAB2CD" w14:textId="77777777" w:rsidR="00CA23FA" w:rsidRPr="005D6CE5" w:rsidRDefault="00CA23FA" w:rsidP="00D87D91">
      <w:pPr>
        <w:pStyle w:val="3"/>
        <w:rPr>
          <w:b/>
        </w:rPr>
      </w:pPr>
      <w:r w:rsidRPr="005D6CE5">
        <w:rPr>
          <w:rStyle w:val="af3"/>
          <w:rFonts w:ascii="新細明體" w:hAnsi="新細明體"/>
        </w:rPr>
        <w:footnoteRef/>
      </w:r>
      <w:r w:rsidRPr="005D6CE5">
        <w:t>請參閱：</w:t>
      </w:r>
      <w:r w:rsidRPr="005D6CE5">
        <w:rPr>
          <w:rFonts w:hint="eastAsia"/>
        </w:rPr>
        <w:t>司法院釋字</w:t>
      </w:r>
      <w:r>
        <w:rPr>
          <w:rFonts w:hint="eastAsia"/>
        </w:rPr>
        <w:t>第</w:t>
      </w:r>
      <w:r w:rsidRPr="005D6CE5">
        <w:rPr>
          <w:rFonts w:hint="eastAsia"/>
        </w:rPr>
        <w:t xml:space="preserve">721 </w:t>
      </w:r>
      <w:r w:rsidRPr="005D6CE5">
        <w:rPr>
          <w:rFonts w:hint="eastAsia"/>
        </w:rPr>
        <w:t>號。</w:t>
      </w:r>
    </w:p>
  </w:footnote>
  <w:footnote w:id="157">
    <w:p w14:paraId="716A1B0A" w14:textId="77777777" w:rsidR="00CA23FA" w:rsidRPr="005D6CE5" w:rsidRDefault="00CA23FA" w:rsidP="00D87D91">
      <w:pPr>
        <w:pStyle w:val="3"/>
        <w:rPr>
          <w:b/>
        </w:rPr>
      </w:pPr>
      <w:r w:rsidRPr="005D6CE5">
        <w:rPr>
          <w:rStyle w:val="af3"/>
          <w:rFonts w:ascii="新細明體" w:hAnsi="新細明體"/>
        </w:rPr>
        <w:footnoteRef/>
      </w:r>
      <w:r w:rsidRPr="005D6CE5">
        <w:t xml:space="preserve"> </w:t>
      </w:r>
      <w:r w:rsidRPr="005D6CE5">
        <w:t>請參閱：</w:t>
      </w:r>
      <w:r w:rsidRPr="005D6CE5">
        <w:rPr>
          <w:rFonts w:hint="eastAsia"/>
        </w:rPr>
        <w:t>司法院釋字</w:t>
      </w:r>
      <w:r>
        <w:rPr>
          <w:rFonts w:hint="eastAsia"/>
        </w:rPr>
        <w:t>第</w:t>
      </w:r>
      <w:r w:rsidRPr="005D6CE5">
        <w:rPr>
          <w:rFonts w:hint="eastAsia"/>
        </w:rPr>
        <w:t xml:space="preserve">721 </w:t>
      </w:r>
      <w:r w:rsidRPr="005D6CE5">
        <w:rPr>
          <w:rFonts w:hint="eastAsia"/>
        </w:rPr>
        <w:t>號。</w:t>
      </w:r>
    </w:p>
  </w:footnote>
  <w:footnote w:id="158">
    <w:p w14:paraId="0E9C5429" w14:textId="77777777" w:rsidR="00CA23FA" w:rsidRPr="005D6CE5" w:rsidRDefault="00CA23FA" w:rsidP="00D87D91">
      <w:pPr>
        <w:pStyle w:val="3"/>
        <w:rPr>
          <w:b/>
        </w:rPr>
      </w:pPr>
      <w:r w:rsidRPr="005D6CE5">
        <w:rPr>
          <w:rStyle w:val="af3"/>
          <w:rFonts w:ascii="新細明體" w:hAnsi="新細明體"/>
        </w:rPr>
        <w:footnoteRef/>
      </w:r>
      <w:r w:rsidRPr="005D6CE5">
        <w:t>請參閱：</w:t>
      </w:r>
      <w:r w:rsidRPr="005D6CE5">
        <w:rPr>
          <w:rFonts w:hint="eastAsia"/>
        </w:rPr>
        <w:t>司法院釋字</w:t>
      </w:r>
      <w:r>
        <w:rPr>
          <w:rFonts w:hint="eastAsia"/>
        </w:rPr>
        <w:t>第</w:t>
      </w:r>
      <w:r w:rsidRPr="005D6CE5">
        <w:rPr>
          <w:rFonts w:hint="eastAsia"/>
        </w:rPr>
        <w:t xml:space="preserve">721 </w:t>
      </w:r>
      <w:r w:rsidRPr="005D6CE5">
        <w:rPr>
          <w:rFonts w:hint="eastAsia"/>
        </w:rPr>
        <w:t>號。</w:t>
      </w:r>
    </w:p>
  </w:footnote>
  <w:footnote w:id="159">
    <w:p w14:paraId="1E555062" w14:textId="77777777" w:rsidR="00CA23FA" w:rsidRPr="005D6CE5" w:rsidRDefault="00CA23FA" w:rsidP="00D87D91">
      <w:pPr>
        <w:pStyle w:val="3"/>
        <w:rPr>
          <w:b/>
        </w:rPr>
      </w:pPr>
      <w:r w:rsidRPr="005D6CE5">
        <w:rPr>
          <w:rStyle w:val="af3"/>
          <w:rFonts w:ascii="新細明體" w:hAnsi="新細明體"/>
        </w:rPr>
        <w:footnoteRef/>
      </w:r>
      <w:r w:rsidRPr="005D6CE5">
        <w:t>請參閱：</w:t>
      </w:r>
      <w:r w:rsidRPr="005D6CE5">
        <w:rPr>
          <w:rFonts w:hint="eastAsia"/>
        </w:rPr>
        <w:t>司法院釋字</w:t>
      </w:r>
      <w:r>
        <w:rPr>
          <w:rFonts w:hint="eastAsia"/>
        </w:rPr>
        <w:t>第</w:t>
      </w:r>
      <w:r w:rsidRPr="005D6CE5">
        <w:rPr>
          <w:rFonts w:hint="eastAsia"/>
        </w:rPr>
        <w:t xml:space="preserve">721 </w:t>
      </w:r>
      <w:r w:rsidRPr="005D6CE5">
        <w:rPr>
          <w:rFonts w:hint="eastAsia"/>
        </w:rPr>
        <w:t>號。</w:t>
      </w:r>
    </w:p>
  </w:footnote>
  <w:footnote w:id="160">
    <w:p w14:paraId="49F98EE0" w14:textId="77777777" w:rsidR="00CA23FA" w:rsidRPr="005D6CE5" w:rsidRDefault="00CA23FA" w:rsidP="00D87D91">
      <w:pPr>
        <w:pStyle w:val="3"/>
        <w:rPr>
          <w:rFonts w:cs="細明體_HKSCS"/>
          <w:b/>
          <w:kern w:val="0"/>
        </w:rPr>
      </w:pPr>
      <w:r w:rsidRPr="005D6CE5">
        <w:rPr>
          <w:rStyle w:val="af3"/>
          <w:rFonts w:ascii="新細明體" w:hAnsi="新細明體"/>
        </w:rPr>
        <w:footnoteRef/>
      </w:r>
      <w:r w:rsidRPr="005D6CE5">
        <w:rPr>
          <w:rFonts w:hint="eastAsia"/>
        </w:rPr>
        <w:t>陳志華</w:t>
      </w:r>
      <w:r w:rsidRPr="005D6CE5">
        <w:rPr>
          <w:rFonts w:hint="eastAsia"/>
        </w:rPr>
        <w:t>(2012)</w:t>
      </w:r>
      <w:r w:rsidRPr="005D6CE5">
        <w:rPr>
          <w:rFonts w:hint="eastAsia"/>
        </w:rPr>
        <w:t>，中華民國憲法概要，修訂</w:t>
      </w:r>
      <w:r w:rsidRPr="005D6CE5">
        <w:rPr>
          <w:rFonts w:hint="eastAsia"/>
        </w:rPr>
        <w:t>5</w:t>
      </w:r>
      <w:r w:rsidRPr="005D6CE5">
        <w:rPr>
          <w:rFonts w:hint="eastAsia"/>
        </w:rPr>
        <w:t>版，臺北市：三民公司，</w:t>
      </w:r>
      <w:r w:rsidRPr="005D6CE5">
        <w:rPr>
          <w:rFonts w:cs="細明體_HKSCS" w:hint="eastAsia"/>
          <w:kern w:val="0"/>
        </w:rPr>
        <w:t>頁</w:t>
      </w:r>
      <w:r w:rsidRPr="005D6CE5">
        <w:rPr>
          <w:rFonts w:cs="細明體_HKSCS"/>
          <w:kern w:val="0"/>
        </w:rPr>
        <w:t>168~174</w:t>
      </w:r>
      <w:r w:rsidRPr="005D6CE5">
        <w:rPr>
          <w:rFonts w:cs="細明體_HKSCS" w:hint="eastAsia"/>
          <w:kern w:val="0"/>
        </w:rPr>
        <w:t>。</w:t>
      </w:r>
    </w:p>
    <w:p w14:paraId="05EB07F6" w14:textId="77777777" w:rsidR="00CA23FA" w:rsidRPr="005D6CE5" w:rsidRDefault="00CA23FA" w:rsidP="00D87D91">
      <w:pPr>
        <w:pStyle w:val="3"/>
        <w:rPr>
          <w:b/>
        </w:rPr>
      </w:pPr>
      <w:r w:rsidRPr="005D6CE5">
        <w:rPr>
          <w:rFonts w:hint="eastAsia"/>
        </w:rPr>
        <w:t>蘇嘉宏</w:t>
      </w:r>
      <w:r w:rsidRPr="005D6CE5">
        <w:rPr>
          <w:rFonts w:hint="eastAsia"/>
        </w:rPr>
        <w:t>(2007)</w:t>
      </w:r>
      <w:r w:rsidRPr="005D6CE5">
        <w:rPr>
          <w:rFonts w:hint="eastAsia"/>
        </w:rPr>
        <w:t>，增修中華民國憲法要義，</w:t>
      </w:r>
      <w:r w:rsidRPr="005D6CE5">
        <w:rPr>
          <w:rFonts w:hint="eastAsia"/>
        </w:rPr>
        <w:t>5</w:t>
      </w:r>
      <w:r w:rsidRPr="005D6CE5">
        <w:rPr>
          <w:rFonts w:hint="eastAsia"/>
        </w:rPr>
        <w:t>版，臺北市：台灣東華公司，</w:t>
      </w:r>
      <w:r w:rsidRPr="005D6CE5">
        <w:rPr>
          <w:rFonts w:cs="細明體_HKSCS" w:hint="eastAsia"/>
          <w:kern w:val="0"/>
        </w:rPr>
        <w:t>頁</w:t>
      </w:r>
      <w:r w:rsidRPr="005D6CE5">
        <w:rPr>
          <w:rFonts w:cs="細明體_HKSCS"/>
          <w:kern w:val="0"/>
        </w:rPr>
        <w:t>172~179</w:t>
      </w:r>
      <w:r w:rsidRPr="005D6CE5">
        <w:rPr>
          <w:rFonts w:cs="細明體_HKSCS" w:hint="eastAsia"/>
          <w:kern w:val="0"/>
        </w:rPr>
        <w:t>。</w:t>
      </w:r>
    </w:p>
  </w:footnote>
  <w:footnote w:id="161">
    <w:p w14:paraId="249D2104"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司法院組織法第四條第二項。</w:t>
      </w:r>
    </w:p>
  </w:footnote>
  <w:footnote w:id="162">
    <w:p w14:paraId="3B085638"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德國基本法第</w:t>
      </w:r>
      <w:r w:rsidRPr="005D6CE5">
        <w:t>93</w:t>
      </w:r>
      <w:r w:rsidRPr="005D6CE5">
        <w:rPr>
          <w:rFonts w:hint="eastAsia"/>
        </w:rPr>
        <w:t>條。</w:t>
      </w:r>
    </w:p>
  </w:footnote>
  <w:footnote w:id="163">
    <w:p w14:paraId="49E06BEC"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版，臺北市：三民公司，頁</w:t>
      </w:r>
      <w:r w:rsidRPr="005D6CE5">
        <w:t>235</w:t>
      </w:r>
      <w:r w:rsidRPr="005D6CE5">
        <w:rPr>
          <w:rFonts w:hint="eastAsia"/>
        </w:rPr>
        <w:t>。</w:t>
      </w:r>
    </w:p>
  </w:footnote>
  <w:footnote w:id="164">
    <w:p w14:paraId="419924CF"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蘇嘉宏</w:t>
      </w:r>
      <w:r w:rsidRPr="005D6CE5">
        <w:rPr>
          <w:rFonts w:hint="eastAsia"/>
        </w:rPr>
        <w:t>(2007)</w:t>
      </w:r>
      <w:r w:rsidRPr="005D6CE5">
        <w:rPr>
          <w:rFonts w:hint="eastAsia"/>
        </w:rPr>
        <w:t>，增修中華民國憲法要義，</w:t>
      </w:r>
      <w:r w:rsidRPr="005D6CE5">
        <w:rPr>
          <w:rFonts w:hint="eastAsia"/>
        </w:rPr>
        <w:t>5</w:t>
      </w:r>
      <w:r w:rsidRPr="005D6CE5">
        <w:rPr>
          <w:rFonts w:hint="eastAsia"/>
        </w:rPr>
        <w:t>版，臺北市：台灣東華公司，</w:t>
      </w:r>
      <w:r w:rsidRPr="005D6CE5">
        <w:rPr>
          <w:rFonts w:cs="細明體_HKSCS" w:hint="eastAsia"/>
          <w:kern w:val="0"/>
        </w:rPr>
        <w:t>頁</w:t>
      </w:r>
      <w:r w:rsidRPr="005D6CE5">
        <w:rPr>
          <w:rFonts w:cs="細明體_HKSCS"/>
          <w:kern w:val="0"/>
        </w:rPr>
        <w:t>248</w:t>
      </w:r>
      <w:r w:rsidRPr="005D6CE5">
        <w:rPr>
          <w:rFonts w:cs="細明體_HKSCS" w:hint="eastAsia"/>
          <w:kern w:val="0"/>
        </w:rPr>
        <w:t>。</w:t>
      </w:r>
    </w:p>
  </w:footnote>
  <w:footnote w:id="165">
    <w:p w14:paraId="2B25FE81" w14:textId="77777777" w:rsidR="00CA23FA" w:rsidRPr="005D6CE5" w:rsidRDefault="00CA23FA" w:rsidP="00D87D91">
      <w:pPr>
        <w:pStyle w:val="3"/>
        <w:rPr>
          <w:b/>
        </w:rPr>
      </w:pPr>
      <w:r w:rsidRPr="005D6CE5">
        <w:rPr>
          <w:rStyle w:val="af3"/>
          <w:rFonts w:ascii="新細明體" w:hAnsi="新細明體"/>
        </w:rPr>
        <w:footnoteRef/>
      </w:r>
      <w:r w:rsidRPr="005D6CE5">
        <w:rPr>
          <w:rFonts w:cs="細明體_HKSCS" w:hint="eastAsia"/>
          <w:kern w:val="0"/>
        </w:rPr>
        <w:t xml:space="preserve"> </w:t>
      </w:r>
      <w:r w:rsidRPr="005D6CE5">
        <w:rPr>
          <w:rFonts w:hint="eastAsia"/>
        </w:rPr>
        <w:t>陳志華</w:t>
      </w:r>
      <w:r w:rsidRPr="005D6CE5">
        <w:rPr>
          <w:rFonts w:hint="eastAsia"/>
        </w:rPr>
        <w:t>(2012)</w:t>
      </w:r>
      <w:r w:rsidRPr="005D6CE5">
        <w:rPr>
          <w:rFonts w:hint="eastAsia"/>
        </w:rPr>
        <w:t>，中華民國憲法概要，修訂</w:t>
      </w:r>
      <w:r w:rsidRPr="005D6CE5">
        <w:rPr>
          <w:rFonts w:hint="eastAsia"/>
        </w:rPr>
        <w:t>5</w:t>
      </w:r>
      <w:r w:rsidRPr="005D6CE5">
        <w:rPr>
          <w:rFonts w:hint="eastAsia"/>
        </w:rPr>
        <w:t>版，臺北市：三民公司，</w:t>
      </w:r>
      <w:r w:rsidRPr="005D6CE5">
        <w:rPr>
          <w:rFonts w:cs="細明體_HKSCS" w:hint="eastAsia"/>
          <w:kern w:val="0"/>
        </w:rPr>
        <w:t>頁</w:t>
      </w:r>
      <w:r w:rsidRPr="005D6CE5">
        <w:rPr>
          <w:rFonts w:cs="細明體_HKSCS"/>
          <w:kern w:val="0"/>
        </w:rPr>
        <w:t>233</w:t>
      </w:r>
      <w:r w:rsidRPr="005D6CE5">
        <w:rPr>
          <w:rFonts w:cs="細明體_HKSCS" w:hint="eastAsia"/>
          <w:kern w:val="0"/>
        </w:rPr>
        <w:t>。</w:t>
      </w:r>
    </w:p>
  </w:footnote>
  <w:footnote w:id="166">
    <w:p w14:paraId="6BA16484"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w:t>
      </w:r>
      <w:r w:rsidRPr="005D6CE5">
        <w:rPr>
          <w:rFonts w:hint="eastAsia"/>
          <w:kern w:val="0"/>
        </w:rPr>
        <w:t>頁</w:t>
      </w:r>
      <w:r w:rsidRPr="005D6CE5">
        <w:rPr>
          <w:kern w:val="0"/>
        </w:rPr>
        <w:t>276</w:t>
      </w:r>
      <w:r w:rsidRPr="005D6CE5">
        <w:rPr>
          <w:rFonts w:hint="eastAsia"/>
          <w:kern w:val="0"/>
        </w:rPr>
        <w:t>。</w:t>
      </w:r>
    </w:p>
  </w:footnote>
  <w:footnote w:id="167">
    <w:p w14:paraId="299A0B00"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w:t>
      </w:r>
      <w:r w:rsidRPr="005D6CE5">
        <w:rPr>
          <w:rFonts w:hint="eastAsia"/>
          <w:kern w:val="0"/>
        </w:rPr>
        <w:t>頁</w:t>
      </w:r>
      <w:r w:rsidRPr="005D6CE5">
        <w:rPr>
          <w:kern w:val="0"/>
        </w:rPr>
        <w:t>276~286</w:t>
      </w:r>
      <w:r w:rsidRPr="005D6CE5">
        <w:rPr>
          <w:rFonts w:hint="eastAsia"/>
          <w:kern w:val="0"/>
        </w:rPr>
        <w:t>。</w:t>
      </w:r>
    </w:p>
  </w:footnote>
  <w:footnote w:id="168">
    <w:p w14:paraId="15A4B9F9"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周繼祥</w:t>
      </w:r>
      <w:r w:rsidRPr="005D6CE5">
        <w:t>(2000)</w:t>
      </w:r>
      <w:r w:rsidRPr="005D6CE5">
        <w:rPr>
          <w:rFonts w:hint="eastAsia"/>
        </w:rPr>
        <w:t>，中華民國憲法概論，初版，臺北市：揚智文化公司，頁</w:t>
      </w:r>
      <w:r w:rsidRPr="005D6CE5">
        <w:t>290-301</w:t>
      </w:r>
      <w:r w:rsidRPr="005D6CE5">
        <w:rPr>
          <w:rFonts w:hint="eastAsia"/>
        </w:rPr>
        <w:t>。</w:t>
      </w:r>
    </w:p>
  </w:footnote>
  <w:footnote w:id="169">
    <w:p w14:paraId="6B7F370F" w14:textId="77777777" w:rsidR="00CA23FA" w:rsidRPr="005D6CE5" w:rsidRDefault="00CA23FA" w:rsidP="00D87D91">
      <w:pPr>
        <w:pStyle w:val="3"/>
        <w:rPr>
          <w:b/>
        </w:rPr>
      </w:pPr>
      <w:r w:rsidRPr="005D6CE5">
        <w:rPr>
          <w:rStyle w:val="af3"/>
          <w:rFonts w:ascii="新細明體" w:hAnsi="新細明體"/>
        </w:rPr>
        <w:footnoteRef/>
      </w:r>
      <w:r w:rsidRPr="005D6CE5">
        <w:rPr>
          <w:rFonts w:hint="eastAsia"/>
        </w:rPr>
        <w:t>臺北巿、新北巿、桃園巿、台中巿、台南巿及高雄巿。</w:t>
      </w:r>
    </w:p>
  </w:footnote>
  <w:footnote w:id="170">
    <w:p w14:paraId="0A701DBC" w14:textId="77777777" w:rsidR="00CA23FA" w:rsidRPr="005D6CE5" w:rsidRDefault="00CA23FA" w:rsidP="00930A55">
      <w:pPr>
        <w:pStyle w:val="3"/>
        <w:jc w:val="left"/>
        <w:rPr>
          <w:b/>
        </w:rPr>
      </w:pPr>
      <w:r w:rsidRPr="005D6CE5">
        <w:rPr>
          <w:rStyle w:val="af3"/>
          <w:rFonts w:ascii="新細明體" w:hAnsi="新細明體"/>
        </w:rPr>
        <w:footnoteRef/>
      </w:r>
      <w:r w:rsidRPr="005D6CE5">
        <w:rPr>
          <w:rFonts w:cs="細明體_HKSCS" w:hint="eastAsia"/>
          <w:kern w:val="0"/>
        </w:rPr>
        <w:t>德國基本法第</w:t>
      </w:r>
      <w:r w:rsidRPr="005D6CE5">
        <w:rPr>
          <w:rFonts w:cs="細明體_HKSCS"/>
          <w:kern w:val="0"/>
        </w:rPr>
        <w:t>104</w:t>
      </w:r>
      <w:r w:rsidRPr="005D6CE5">
        <w:rPr>
          <w:rFonts w:cs="細明體_HKSCS" w:hint="eastAsia"/>
          <w:kern w:val="0"/>
        </w:rPr>
        <w:t>條之</w:t>
      </w:r>
      <w:r w:rsidRPr="005D6CE5">
        <w:rPr>
          <w:rFonts w:cs="細明體_HKSCS"/>
          <w:kern w:val="0"/>
        </w:rPr>
        <w:t>1</w:t>
      </w:r>
      <w:r w:rsidRPr="005D6CE5">
        <w:rPr>
          <w:rFonts w:cs="細明體_HKSCS" w:hint="eastAsia"/>
          <w:kern w:val="0"/>
        </w:rPr>
        <w:t>第</w:t>
      </w:r>
      <w:r w:rsidRPr="005D6CE5">
        <w:rPr>
          <w:rFonts w:cs="細明體_HKSCS"/>
          <w:kern w:val="0"/>
        </w:rPr>
        <w:t>4</w:t>
      </w:r>
      <w:r w:rsidRPr="005D6CE5">
        <w:rPr>
          <w:rFonts w:cs="細明體_HKSCS" w:hint="eastAsia"/>
          <w:kern w:val="0"/>
        </w:rPr>
        <w:t>項。</w:t>
      </w:r>
      <w:r w:rsidRPr="005D6CE5">
        <w:rPr>
          <w:rFonts w:hint="eastAsia"/>
        </w:rPr>
        <w:t>請參閱：朱建民原譯、陳沖、張桐銳、林子平、李震山增譯</w:t>
      </w:r>
      <w:r w:rsidRPr="005D6CE5">
        <w:t>(2002)</w:t>
      </w:r>
      <w:r w:rsidRPr="005D6CE5">
        <w:rPr>
          <w:rFonts w:hint="eastAsia"/>
        </w:rPr>
        <w:t>，</w:t>
      </w:r>
      <w:r w:rsidRPr="005D6CE5">
        <w:rPr>
          <w:rStyle w:val="afc"/>
          <w:rFonts w:ascii="新細明體" w:hAnsi="新細明體" w:hint="eastAsia"/>
          <w:b w:val="0"/>
        </w:rPr>
        <w:t>德意志聯邦共和國基本法，</w:t>
      </w:r>
      <w:hyperlink r:id="rId50" w:history="1">
        <w:r w:rsidRPr="005D6CE5">
          <w:rPr>
            <w:rStyle w:val="a5"/>
          </w:rPr>
          <w:t>http://www.judicial.gov.tw/db/db04/%E5%BE%B7%E6%84%8F%E5%BF%97%E8%81%AF%E9%82%A6%E5%85%B1%E5%92%8C%E5%9C%8B%E5%9F%BA%E6%9C%AC%E6%B3%95.doc</w:t>
        </w:r>
      </w:hyperlink>
      <w:r w:rsidRPr="005D6CE5">
        <w:rPr>
          <w:rStyle w:val="afc"/>
          <w:rFonts w:ascii="新細明體" w:hAnsi="新細明體" w:hint="eastAsia"/>
          <w:b w:val="0"/>
        </w:rPr>
        <w:t>。</w:t>
      </w:r>
    </w:p>
  </w:footnote>
  <w:footnote w:id="171">
    <w:p w14:paraId="0A315C57" w14:textId="77777777" w:rsidR="00CA23FA" w:rsidRPr="005D6CE5" w:rsidRDefault="00CA23FA" w:rsidP="00930A55">
      <w:pPr>
        <w:pStyle w:val="3"/>
        <w:jc w:val="left"/>
        <w:rPr>
          <w:b/>
        </w:rPr>
      </w:pPr>
      <w:r w:rsidRPr="005D6CE5">
        <w:rPr>
          <w:rStyle w:val="af3"/>
          <w:rFonts w:ascii="新細明體" w:hAnsi="新細明體"/>
        </w:rPr>
        <w:footnoteRef/>
      </w:r>
      <w:r w:rsidRPr="005D6CE5">
        <w:rPr>
          <w:rFonts w:cs="細明體_HKSCS" w:hint="eastAsia"/>
          <w:kern w:val="0"/>
        </w:rPr>
        <w:t>德國基本法第</w:t>
      </w:r>
      <w:r w:rsidRPr="005D6CE5">
        <w:rPr>
          <w:rFonts w:cs="細明體_HKSCS"/>
          <w:kern w:val="0"/>
        </w:rPr>
        <w:t>105</w:t>
      </w:r>
      <w:r w:rsidRPr="005D6CE5">
        <w:rPr>
          <w:rFonts w:cs="細明體_HKSCS" w:hint="eastAsia"/>
          <w:kern w:val="0"/>
        </w:rPr>
        <w:t>條第</w:t>
      </w:r>
      <w:r w:rsidRPr="005D6CE5">
        <w:rPr>
          <w:rFonts w:cs="細明體_HKSCS"/>
          <w:kern w:val="0"/>
        </w:rPr>
        <w:t>3</w:t>
      </w:r>
      <w:r w:rsidRPr="005D6CE5">
        <w:rPr>
          <w:rFonts w:cs="細明體_HKSCS" w:hint="eastAsia"/>
          <w:kern w:val="0"/>
        </w:rPr>
        <w:t>項。</w:t>
      </w:r>
      <w:r w:rsidRPr="005D6CE5">
        <w:rPr>
          <w:rFonts w:hint="eastAsia"/>
        </w:rPr>
        <w:t>請參閱：朱建民原譯、陳沖、張桐銳、林子平、李震山增譯</w:t>
      </w:r>
      <w:r w:rsidRPr="005D6CE5">
        <w:t>(2002)</w:t>
      </w:r>
      <w:r w:rsidRPr="005D6CE5">
        <w:rPr>
          <w:rFonts w:hint="eastAsia"/>
        </w:rPr>
        <w:t>，</w:t>
      </w:r>
      <w:r w:rsidRPr="005D6CE5">
        <w:rPr>
          <w:rStyle w:val="afc"/>
          <w:rFonts w:ascii="新細明體" w:hAnsi="新細明體" w:hint="eastAsia"/>
          <w:b w:val="0"/>
        </w:rPr>
        <w:t>德意志聯邦共和國基本法，</w:t>
      </w:r>
      <w:hyperlink r:id="rId51" w:history="1">
        <w:r w:rsidRPr="005D6CE5">
          <w:rPr>
            <w:rStyle w:val="a5"/>
          </w:rPr>
          <w:t>http://www.judicial.gov.tw/db/db04/%E5%BE%B7%E6%84%8F%E5%BF%97%E8%81%AF%E9%82%A6%E5%85%B1%E5%92%8C%E5%9C%8B%E5%9F%BA%E6%9C%AC%E6%B3%95.doc</w:t>
        </w:r>
      </w:hyperlink>
      <w:r w:rsidRPr="005D6CE5">
        <w:rPr>
          <w:rStyle w:val="afc"/>
          <w:rFonts w:ascii="新細明體" w:hAnsi="新細明體" w:hint="eastAsia"/>
          <w:b w:val="0"/>
        </w:rPr>
        <w:t>。</w:t>
      </w:r>
    </w:p>
  </w:footnote>
  <w:footnote w:id="172">
    <w:p w14:paraId="22B01B12" w14:textId="77777777" w:rsidR="00CA23FA" w:rsidRPr="005D6CE5" w:rsidRDefault="00CA23FA" w:rsidP="00930A55">
      <w:pPr>
        <w:pStyle w:val="3"/>
        <w:jc w:val="left"/>
        <w:rPr>
          <w:rFonts w:ascii="新細明體" w:hAnsi="新細明體"/>
          <w:b/>
        </w:rPr>
      </w:pPr>
      <w:r w:rsidRPr="005D6CE5">
        <w:rPr>
          <w:rStyle w:val="af3"/>
          <w:rFonts w:ascii="新細明體" w:hAnsi="新細明體"/>
        </w:rPr>
        <w:footnoteRef/>
      </w:r>
      <w:r w:rsidRPr="005D6CE5">
        <w:rPr>
          <w:rFonts w:ascii="新細明體" w:hAnsi="新細明體" w:cs="細明體_HKSCS" w:hint="eastAsia"/>
          <w:kern w:val="0"/>
        </w:rPr>
        <w:t>德國</w:t>
      </w:r>
      <w:r w:rsidRPr="005D6CE5">
        <w:rPr>
          <w:rFonts w:ascii="新細明體" w:hAnsi="新細明體" w:cs="細明體_HKSCS" w:hint="eastAsia"/>
        </w:rPr>
        <w:t>基本法第</w:t>
      </w:r>
      <w:r w:rsidRPr="005D6CE5">
        <w:rPr>
          <w:rFonts w:ascii="新細明體" w:hAnsi="新細明體" w:cs="細明體_HKSCS"/>
        </w:rPr>
        <w:t>106</w:t>
      </w:r>
      <w:r w:rsidRPr="005D6CE5">
        <w:rPr>
          <w:rFonts w:ascii="新細明體" w:hAnsi="新細明體" w:cs="細明體_HKSCS" w:hint="eastAsia"/>
        </w:rPr>
        <w:t>條。</w:t>
      </w:r>
      <w:r w:rsidRPr="005D6CE5">
        <w:rPr>
          <w:rFonts w:ascii="新細明體" w:hAnsi="新細明體" w:hint="eastAsia"/>
        </w:rPr>
        <w:t>請參閱：朱建民原譯、陳沖、張桐銳、林子平、李震山增譯</w:t>
      </w:r>
      <w:r w:rsidRPr="005D6CE5">
        <w:rPr>
          <w:rFonts w:ascii="新細明體" w:hAnsi="新細明體"/>
        </w:rPr>
        <w:t>(2002)</w:t>
      </w:r>
      <w:r w:rsidRPr="005D6CE5">
        <w:rPr>
          <w:rFonts w:ascii="新細明體" w:hAnsi="新細明體" w:hint="eastAsia"/>
        </w:rPr>
        <w:t>，</w:t>
      </w:r>
      <w:r w:rsidRPr="005D6CE5">
        <w:rPr>
          <w:rStyle w:val="afc"/>
          <w:rFonts w:ascii="新細明體" w:hAnsi="新細明體" w:hint="eastAsia"/>
          <w:b w:val="0"/>
        </w:rPr>
        <w:t>德意志聯邦共和國基本法，</w:t>
      </w:r>
      <w:hyperlink r:id="rId52" w:history="1">
        <w:r w:rsidRPr="005D6CE5">
          <w:rPr>
            <w:rStyle w:val="a5"/>
          </w:rPr>
          <w:t>http://www.judicial.gov.tw/db/db04/%E5%BE%B7%E6%84%8F%E5%BF%97%E8%81%AF%E9%82%A6%E5%85%B1%E5%92%8C%E5%9C%8B%E5%9F%BA%E6%9C%AC%E6%B3%95.doc</w:t>
        </w:r>
      </w:hyperlink>
      <w:r w:rsidRPr="005D6CE5">
        <w:rPr>
          <w:rStyle w:val="afc"/>
          <w:rFonts w:ascii="新細明體" w:hAnsi="新細明體" w:hint="eastAsia"/>
          <w:b w:val="0"/>
        </w:rPr>
        <w:t>。</w:t>
      </w:r>
    </w:p>
  </w:footnote>
  <w:footnote w:id="173">
    <w:p w14:paraId="590B547C" w14:textId="77777777" w:rsidR="00CA23FA" w:rsidRPr="005D6CE5" w:rsidRDefault="00CA23FA" w:rsidP="00930A55">
      <w:pPr>
        <w:pStyle w:val="3"/>
        <w:jc w:val="left"/>
        <w:rPr>
          <w:rFonts w:ascii="新細明體" w:hAnsi="新細明體"/>
          <w:b/>
          <w:lang w:eastAsia="ja-JP"/>
        </w:rPr>
      </w:pPr>
      <w:r w:rsidRPr="005D6CE5">
        <w:rPr>
          <w:rStyle w:val="af3"/>
          <w:rFonts w:ascii="新細明體" w:hAnsi="新細明體"/>
        </w:rPr>
        <w:footnoteRef/>
      </w:r>
      <w:r w:rsidRPr="005D6CE5">
        <w:rPr>
          <w:rFonts w:ascii="新細明體" w:hAnsi="新細明體" w:cs="細明體_HKSCS"/>
          <w:kern w:val="0"/>
          <w:lang w:eastAsia="ja-JP"/>
        </w:rPr>
        <w:t>德國基本法第</w:t>
      </w:r>
      <w:r w:rsidRPr="005D6CE5">
        <w:rPr>
          <w:rFonts w:ascii="新細明體" w:hAnsi="新細明體" w:cs="細明體_HKSCS"/>
          <w:kern w:val="0"/>
        </w:rPr>
        <w:t>106</w:t>
      </w:r>
      <w:r w:rsidRPr="005D6CE5">
        <w:rPr>
          <w:rFonts w:ascii="新細明體" w:hAnsi="新細明體" w:cs="細明體_HKSCS"/>
          <w:kern w:val="0"/>
          <w:lang w:eastAsia="ja-JP"/>
        </w:rPr>
        <w:t>條。</w:t>
      </w:r>
      <w:r w:rsidRPr="005D6CE5">
        <w:rPr>
          <w:rFonts w:ascii="新細明體" w:hAnsi="新細明體" w:hint="eastAsia"/>
        </w:rPr>
        <w:t>請參閱：朱建民原譯、陳沖、張桐銳、林子平、李震山增譯</w:t>
      </w:r>
      <w:r w:rsidRPr="005D6CE5">
        <w:rPr>
          <w:rFonts w:ascii="新細明體" w:hAnsi="新細明體"/>
        </w:rPr>
        <w:t>(2002)</w:t>
      </w:r>
      <w:r w:rsidRPr="005D6CE5">
        <w:rPr>
          <w:rFonts w:ascii="新細明體" w:hAnsi="新細明體" w:hint="eastAsia"/>
        </w:rPr>
        <w:t>，</w:t>
      </w:r>
      <w:r w:rsidRPr="005D6CE5">
        <w:rPr>
          <w:rStyle w:val="afc"/>
          <w:rFonts w:ascii="新細明體" w:hAnsi="新細明體" w:hint="eastAsia"/>
          <w:b w:val="0"/>
        </w:rPr>
        <w:t>德意志聯邦共和國基本法，</w:t>
      </w:r>
      <w:hyperlink r:id="rId53" w:history="1">
        <w:r w:rsidRPr="005D6CE5">
          <w:rPr>
            <w:rStyle w:val="a5"/>
          </w:rPr>
          <w:t>http://www.judicial.gov.tw/db/db04/%E5%BE%B7%E6%84%8F%E5%BF%97%E8%81%AF%E9%82%A6%E5%85%B1%E5%92%8C%E5%9C%8B%E5%9F%BA%E6%9C%AC%E6%B3%95.doc</w:t>
        </w:r>
      </w:hyperlink>
      <w:r w:rsidRPr="005D6CE5">
        <w:rPr>
          <w:rStyle w:val="afc"/>
          <w:rFonts w:ascii="新細明體" w:hAnsi="新細明體" w:hint="eastAsia"/>
          <w:b w:val="0"/>
        </w:rPr>
        <w:t>。</w:t>
      </w:r>
    </w:p>
  </w:footnote>
  <w:footnote w:id="174">
    <w:p w14:paraId="22B4F5CF" w14:textId="77777777" w:rsidR="00CA23FA" w:rsidRPr="005D6CE5" w:rsidRDefault="00CA23FA" w:rsidP="00D87D91">
      <w:pPr>
        <w:pStyle w:val="3"/>
        <w:rPr>
          <w:b/>
        </w:rPr>
      </w:pPr>
      <w:r w:rsidRPr="005D6CE5">
        <w:rPr>
          <w:rStyle w:val="af3"/>
          <w:rFonts w:ascii="新細明體" w:hAnsi="新細明體"/>
          <w:szCs w:val="20"/>
        </w:rPr>
        <w:footnoteRef/>
      </w:r>
      <w:r w:rsidRPr="005D6CE5">
        <w:rPr>
          <w:rFonts w:hint="eastAsia"/>
        </w:rPr>
        <w:t>憲法增修條文第</w:t>
      </w:r>
      <w:r w:rsidRPr="005D6CE5">
        <w:t>10</w:t>
      </w:r>
      <w:r w:rsidRPr="005D6CE5">
        <w:rPr>
          <w:rFonts w:hint="eastAsia"/>
        </w:rPr>
        <w:t>條第</w:t>
      </w:r>
      <w:r w:rsidRPr="005D6CE5">
        <w:t>1</w:t>
      </w:r>
      <w:r w:rsidRPr="005D6CE5">
        <w:rPr>
          <w:rFonts w:hint="eastAsia"/>
        </w:rPr>
        <w:t>款至第</w:t>
      </w:r>
      <w:r w:rsidRPr="005D6CE5">
        <w:t>13</w:t>
      </w:r>
      <w:r w:rsidRPr="005D6CE5">
        <w:rPr>
          <w:rFonts w:hint="eastAsia"/>
        </w:rPr>
        <w:t>款。</w:t>
      </w:r>
    </w:p>
  </w:footnote>
  <w:footnote w:id="175">
    <w:p w14:paraId="1346DB19" w14:textId="77777777" w:rsidR="00CA23FA" w:rsidRPr="005D6CE5" w:rsidRDefault="00CA23FA" w:rsidP="00D87D91">
      <w:pPr>
        <w:pStyle w:val="3"/>
        <w:rPr>
          <w:b/>
        </w:rPr>
      </w:pPr>
      <w:r w:rsidRPr="005D6CE5">
        <w:rPr>
          <w:rStyle w:val="af3"/>
          <w:rFonts w:ascii="新細明體" w:hAnsi="新細明體"/>
          <w:szCs w:val="20"/>
        </w:rPr>
        <w:footnoteRef/>
      </w:r>
      <w:r w:rsidRPr="005D6CE5">
        <w:rPr>
          <w:rFonts w:hint="eastAsia"/>
        </w:rPr>
        <w:t xml:space="preserve"> </w:t>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版，臺北市：三民公司，頁</w:t>
      </w:r>
      <w:r w:rsidRPr="005D6CE5">
        <w:t>361-380</w:t>
      </w:r>
      <w:r w:rsidRPr="005D6CE5">
        <w:rPr>
          <w:rFonts w:hint="eastAsia"/>
        </w:rPr>
        <w:t>。</w:t>
      </w:r>
    </w:p>
  </w:footnote>
  <w:footnote w:id="176">
    <w:p w14:paraId="204FF9D8" w14:textId="77777777"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5</w:t>
      </w:r>
      <w:r w:rsidRPr="005D6CE5">
        <w:rPr>
          <w:rFonts w:hint="eastAsia"/>
        </w:rPr>
        <w:t>款。</w:t>
      </w:r>
    </w:p>
  </w:footnote>
  <w:footnote w:id="177">
    <w:p w14:paraId="373089F1" w14:textId="77777777"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6</w:t>
      </w:r>
      <w:r w:rsidRPr="005D6CE5">
        <w:rPr>
          <w:rFonts w:hint="eastAsia"/>
        </w:rPr>
        <w:t>款。</w:t>
      </w:r>
    </w:p>
  </w:footnote>
  <w:footnote w:id="178">
    <w:p w14:paraId="5C28BE69" w14:textId="77777777"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7</w:t>
      </w:r>
      <w:r w:rsidRPr="005D6CE5">
        <w:rPr>
          <w:rFonts w:hint="eastAsia"/>
        </w:rPr>
        <w:t>款。</w:t>
      </w:r>
    </w:p>
  </w:footnote>
  <w:footnote w:id="179">
    <w:p w14:paraId="221DB683" w14:textId="77777777"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8</w:t>
      </w:r>
      <w:r w:rsidRPr="005D6CE5">
        <w:rPr>
          <w:rFonts w:hint="eastAsia"/>
        </w:rPr>
        <w:t>款。</w:t>
      </w:r>
    </w:p>
  </w:footnote>
  <w:footnote w:id="180">
    <w:p w14:paraId="68EF766F" w14:textId="77777777"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10</w:t>
      </w:r>
      <w:r w:rsidRPr="005D6CE5">
        <w:rPr>
          <w:rFonts w:hint="eastAsia"/>
        </w:rPr>
        <w:t>款。</w:t>
      </w:r>
    </w:p>
  </w:footnote>
  <w:footnote w:id="181">
    <w:p w14:paraId="459F7F07" w14:textId="77777777" w:rsidR="00CA23FA" w:rsidRPr="005D6CE5" w:rsidRDefault="00CA23FA" w:rsidP="00D87D91">
      <w:pPr>
        <w:pStyle w:val="3"/>
        <w:rPr>
          <w:b/>
        </w:rPr>
      </w:pPr>
      <w:r w:rsidRPr="005D6CE5">
        <w:rPr>
          <w:rStyle w:val="af3"/>
          <w:rFonts w:ascii="新細明體" w:hAnsi="新細明體"/>
        </w:rPr>
        <w:footnoteRef/>
      </w:r>
      <w:r w:rsidRPr="005D6CE5">
        <w:t xml:space="preserve"> </w:t>
      </w:r>
      <w:r w:rsidRPr="005D6CE5">
        <w:rPr>
          <w:rFonts w:hint="eastAsia"/>
        </w:rPr>
        <w:t>敬老尊賢是中華民族之美德，現今之憲法，宜發揚此種美德，並保障老人之身心健康；近年來，老人之</w:t>
      </w:r>
      <w:r w:rsidRPr="005D6CE5">
        <w:rPr>
          <w:rFonts w:cs="細明體_HKSCS" w:hint="eastAsia"/>
          <w:kern w:val="0"/>
        </w:rPr>
        <w:t>短、中、</w:t>
      </w:r>
      <w:r w:rsidRPr="005D6CE5">
        <w:rPr>
          <w:rFonts w:hint="eastAsia"/>
        </w:rPr>
        <w:t>長期照護問題，普遍未受到政府之重視，老人因慢性病之故，因而自殺、被棄養與被配偶子女殺害之問題，時有所聞，故宜在憲法之層級，保障老人之健康與醫療保健，令老人保有人性尊嚴之晚年。</w:t>
      </w:r>
    </w:p>
  </w:footnote>
  <w:footnote w:id="182">
    <w:p w14:paraId="12D90F4E" w14:textId="77777777" w:rsidR="00CA23FA" w:rsidRPr="00930A55" w:rsidRDefault="00CA23FA" w:rsidP="00930A55">
      <w:pPr>
        <w:pStyle w:val="3"/>
        <w:jc w:val="left"/>
        <w:rPr>
          <w:b/>
          <w:sz w:val="16"/>
        </w:rPr>
      </w:pPr>
      <w:r w:rsidRPr="00930A55">
        <w:rPr>
          <w:rStyle w:val="af3"/>
          <w:rFonts w:ascii="新細明體" w:hAnsi="新細明體"/>
          <w:sz w:val="20"/>
        </w:rPr>
        <w:footnoteRef/>
      </w:r>
      <w:r w:rsidRPr="00930A55">
        <w:rPr>
          <w:sz w:val="16"/>
        </w:rPr>
        <w:t>維基</w:t>
      </w:r>
      <w:r w:rsidRPr="00930A55">
        <w:rPr>
          <w:rFonts w:hint="eastAsia"/>
          <w:sz w:val="16"/>
        </w:rPr>
        <w:t>(2015)</w:t>
      </w:r>
      <w:r w:rsidRPr="00930A55">
        <w:rPr>
          <w:rFonts w:hint="eastAsia"/>
          <w:sz w:val="16"/>
        </w:rPr>
        <w:t>，機場保安有限公司，上網瀏覽時間</w:t>
      </w:r>
      <w:r w:rsidRPr="00930A55">
        <w:rPr>
          <w:rFonts w:hint="eastAsia"/>
          <w:sz w:val="16"/>
        </w:rPr>
        <w:t>2015/02/13</w:t>
      </w:r>
      <w:r w:rsidRPr="00930A55">
        <w:rPr>
          <w:rFonts w:hint="eastAsia"/>
          <w:sz w:val="16"/>
        </w:rPr>
        <w:t>，</w:t>
      </w:r>
      <w:hyperlink r:id="rId54" w:history="1">
        <w:r w:rsidRPr="00930A55">
          <w:rPr>
            <w:rStyle w:val="a5"/>
            <w:rFonts w:cs="Arial"/>
            <w:sz w:val="20"/>
          </w:rPr>
          <w:t>http://zh.wikipedia.org/zh-tw/%E6%A9%9F%E5%A0%B4%E4%BF%9D%E5%AE%89%E6%9C%89%E9%99%90%E5%85%AC%E5%8F%B8</w:t>
        </w:r>
      </w:hyperlink>
      <w:r w:rsidRPr="00930A55">
        <w:rPr>
          <w:rFonts w:cs="Arial"/>
          <w:sz w:val="16"/>
        </w:rPr>
        <w:t>。</w:t>
      </w:r>
    </w:p>
  </w:footnote>
  <w:footnote w:id="183">
    <w:p w14:paraId="2C2CDC0F" w14:textId="77777777" w:rsidR="00CA23FA" w:rsidRPr="00930A55" w:rsidRDefault="00CA23FA" w:rsidP="00930A55">
      <w:pPr>
        <w:pStyle w:val="3"/>
        <w:jc w:val="left"/>
        <w:rPr>
          <w:b/>
          <w:sz w:val="16"/>
        </w:rPr>
      </w:pPr>
      <w:r w:rsidRPr="00930A55">
        <w:rPr>
          <w:rStyle w:val="af3"/>
          <w:sz w:val="20"/>
        </w:rPr>
        <w:footnoteRef/>
      </w:r>
      <w:r w:rsidRPr="00930A55">
        <w:rPr>
          <w:sz w:val="16"/>
        </w:rPr>
        <w:t xml:space="preserve"> </w:t>
      </w:r>
      <w:r w:rsidRPr="00930A55">
        <w:rPr>
          <w:sz w:val="16"/>
        </w:rPr>
        <w:t>維基</w:t>
      </w:r>
      <w:r w:rsidRPr="00930A55">
        <w:rPr>
          <w:rFonts w:hint="eastAsia"/>
          <w:sz w:val="16"/>
        </w:rPr>
        <w:t>(2015)</w:t>
      </w:r>
      <w:r w:rsidRPr="00930A55">
        <w:rPr>
          <w:rFonts w:hint="eastAsia"/>
          <w:sz w:val="16"/>
        </w:rPr>
        <w:t>，機場保安有限公司，上網瀏覽時間</w:t>
      </w:r>
      <w:r w:rsidRPr="00930A55">
        <w:rPr>
          <w:rFonts w:hint="eastAsia"/>
          <w:sz w:val="16"/>
        </w:rPr>
        <w:t>2015/02/13</w:t>
      </w:r>
      <w:r w:rsidRPr="00930A55">
        <w:rPr>
          <w:rFonts w:hint="eastAsia"/>
          <w:sz w:val="16"/>
        </w:rPr>
        <w:t>，</w:t>
      </w:r>
      <w:hyperlink r:id="rId55" w:history="1">
        <w:r w:rsidRPr="00930A55">
          <w:rPr>
            <w:rStyle w:val="a5"/>
            <w:rFonts w:ascii="Arial Unicode MS" w:hAnsi="Arial Unicode MS"/>
            <w:sz w:val="20"/>
          </w:rPr>
          <w:t>http://zh.wikipedia.org/zh-tw/%E6%A9%9F%E5%A0%B4%E4%BF%9D%E5%AE%89%E6%9C%89%E9%99%90%E5%85%AC%E5%8F%B8</w:t>
        </w:r>
      </w:hyperlink>
      <w:r w:rsidRPr="00930A55">
        <w:rPr>
          <w:sz w:val="16"/>
        </w:rPr>
        <w:t>。</w:t>
      </w:r>
    </w:p>
  </w:footnote>
  <w:footnote w:id="184">
    <w:p w14:paraId="5002F22E" w14:textId="77777777" w:rsidR="00CA23FA" w:rsidRPr="00930A55" w:rsidRDefault="00CA23FA" w:rsidP="00930A55">
      <w:pPr>
        <w:pStyle w:val="3"/>
        <w:jc w:val="left"/>
        <w:rPr>
          <w:b/>
          <w:sz w:val="16"/>
        </w:rPr>
      </w:pPr>
      <w:r w:rsidRPr="00930A55">
        <w:rPr>
          <w:rStyle w:val="af3"/>
          <w:sz w:val="20"/>
        </w:rPr>
        <w:footnoteRef/>
      </w:r>
      <w:r w:rsidRPr="00930A55">
        <w:rPr>
          <w:rFonts w:hint="eastAsia"/>
          <w:sz w:val="16"/>
        </w:rPr>
        <w:t xml:space="preserve"> </w:t>
      </w:r>
      <w:r w:rsidRPr="00930A55">
        <w:rPr>
          <w:rFonts w:hint="eastAsia"/>
          <w:sz w:val="16"/>
        </w:rPr>
        <w:t>香港航空保安條例第</w:t>
      </w:r>
      <w:r w:rsidRPr="00930A55">
        <w:rPr>
          <w:rFonts w:hint="eastAsia"/>
          <w:sz w:val="16"/>
        </w:rPr>
        <w:t>26</w:t>
      </w:r>
      <w:r w:rsidRPr="00930A55">
        <w:rPr>
          <w:rFonts w:hint="eastAsia"/>
          <w:sz w:val="16"/>
        </w:rPr>
        <w:t>條〜航空保安委員會：</w:t>
      </w:r>
    </w:p>
    <w:p w14:paraId="1C11BA89" w14:textId="77777777" w:rsidR="00CA23FA" w:rsidRPr="00930A55" w:rsidRDefault="00CA23FA" w:rsidP="00930A55">
      <w:pPr>
        <w:pStyle w:val="3"/>
        <w:jc w:val="left"/>
        <w:rPr>
          <w:b/>
          <w:sz w:val="16"/>
        </w:rPr>
      </w:pPr>
      <w:r w:rsidRPr="00930A55">
        <w:rPr>
          <w:rFonts w:hint="eastAsia"/>
          <w:sz w:val="16"/>
        </w:rPr>
        <w:t xml:space="preserve">(1) </w:t>
      </w:r>
      <w:r w:rsidRPr="00930A55">
        <w:rPr>
          <w:rFonts w:hint="eastAsia"/>
          <w:sz w:val="16"/>
        </w:rPr>
        <w:t>現設立一個名為“航空保安委員會”的委員會。</w:t>
      </w:r>
    </w:p>
    <w:p w14:paraId="6F2DDBDB" w14:textId="77777777" w:rsidR="00CA23FA" w:rsidRPr="00930A55" w:rsidRDefault="00CA23FA" w:rsidP="00930A55">
      <w:pPr>
        <w:pStyle w:val="3"/>
        <w:jc w:val="left"/>
        <w:rPr>
          <w:b/>
          <w:sz w:val="16"/>
        </w:rPr>
      </w:pPr>
      <w:r w:rsidRPr="00930A55">
        <w:rPr>
          <w:rFonts w:hint="eastAsia"/>
          <w:sz w:val="16"/>
        </w:rPr>
        <w:t xml:space="preserve">(2) </w:t>
      </w:r>
      <w:r w:rsidRPr="00930A55">
        <w:rPr>
          <w:rFonts w:hint="eastAsia"/>
          <w:sz w:val="16"/>
        </w:rPr>
        <w:t>該委員會的職能為─</w:t>
      </w:r>
    </w:p>
    <w:p w14:paraId="4D584257" w14:textId="77777777" w:rsidR="00CA23FA" w:rsidRPr="00930A55" w:rsidRDefault="00CA23FA" w:rsidP="00930A55">
      <w:pPr>
        <w:pStyle w:val="3"/>
        <w:jc w:val="left"/>
        <w:rPr>
          <w:b/>
          <w:sz w:val="16"/>
        </w:rPr>
      </w:pPr>
      <w:r w:rsidRPr="00930A55">
        <w:rPr>
          <w:rFonts w:hint="eastAsia"/>
          <w:sz w:val="16"/>
        </w:rPr>
        <w:t xml:space="preserve">(a) </w:t>
      </w:r>
      <w:r w:rsidRPr="00930A55">
        <w:rPr>
          <w:rFonts w:hint="eastAsia"/>
          <w:sz w:val="16"/>
        </w:rPr>
        <w:t>向監督就以下各方面提供意見─</w:t>
      </w:r>
    </w:p>
    <w:p w14:paraId="4DF5DF18" w14:textId="77777777" w:rsidR="00CA23FA" w:rsidRPr="00930A55" w:rsidRDefault="00CA23FA" w:rsidP="00930A55">
      <w:pPr>
        <w:pStyle w:val="3"/>
        <w:jc w:val="left"/>
        <w:rPr>
          <w:b/>
          <w:sz w:val="16"/>
        </w:rPr>
      </w:pPr>
      <w:r w:rsidRPr="00930A55">
        <w:rPr>
          <w:rFonts w:hint="eastAsia"/>
          <w:sz w:val="16"/>
        </w:rPr>
        <w:t xml:space="preserve">(i) </w:t>
      </w:r>
      <w:r w:rsidRPr="00930A55">
        <w:rPr>
          <w:rFonts w:hint="eastAsia"/>
          <w:sz w:val="16"/>
        </w:rPr>
        <w:t>與《計劃》的發展、維持和實施有關的任何事宜；及</w:t>
      </w:r>
    </w:p>
    <w:p w14:paraId="6C7C6D3D" w14:textId="77777777" w:rsidR="00CA23FA" w:rsidRPr="00930A55" w:rsidRDefault="00CA23FA" w:rsidP="00930A55">
      <w:pPr>
        <w:pStyle w:val="3"/>
        <w:jc w:val="left"/>
        <w:rPr>
          <w:b/>
          <w:sz w:val="16"/>
        </w:rPr>
      </w:pPr>
      <w:r w:rsidRPr="00930A55">
        <w:rPr>
          <w:rFonts w:hint="eastAsia"/>
          <w:sz w:val="16"/>
        </w:rPr>
        <w:t xml:space="preserve">(ii) </w:t>
      </w:r>
      <w:r w:rsidRPr="00930A55">
        <w:rPr>
          <w:rFonts w:hint="eastAsia"/>
          <w:sz w:val="16"/>
        </w:rPr>
        <w:t>行政長官或監督轉介予委員會的關乎航空保安的其他事宜；</w:t>
      </w:r>
    </w:p>
    <w:p w14:paraId="7C77AEF9" w14:textId="77777777" w:rsidR="00CA23FA" w:rsidRPr="00930A55" w:rsidRDefault="00CA23FA" w:rsidP="00930A55">
      <w:pPr>
        <w:pStyle w:val="3"/>
        <w:jc w:val="left"/>
        <w:rPr>
          <w:b/>
          <w:sz w:val="16"/>
        </w:rPr>
      </w:pPr>
      <w:r w:rsidRPr="00930A55">
        <w:rPr>
          <w:rFonts w:hint="eastAsia"/>
          <w:sz w:val="16"/>
        </w:rPr>
        <w:t xml:space="preserve">(b) </w:t>
      </w:r>
      <w:r w:rsidRPr="00930A55">
        <w:rPr>
          <w:rFonts w:hint="eastAsia"/>
          <w:sz w:val="16"/>
        </w:rPr>
        <w:t>行政長官不時指示的與航空保安有關的其他職能。</w:t>
      </w:r>
      <w:r w:rsidRPr="00930A55">
        <w:rPr>
          <w:rFonts w:hint="eastAsia"/>
          <w:sz w:val="16"/>
        </w:rPr>
        <w:t>(</w:t>
      </w:r>
      <w:r w:rsidRPr="00930A55">
        <w:rPr>
          <w:rFonts w:hint="eastAsia"/>
          <w:sz w:val="16"/>
        </w:rPr>
        <w:t>由</w:t>
      </w:r>
      <w:r w:rsidRPr="00930A55">
        <w:rPr>
          <w:rFonts w:hint="eastAsia"/>
          <w:sz w:val="16"/>
        </w:rPr>
        <w:t>1999</w:t>
      </w:r>
      <w:r w:rsidRPr="00930A55">
        <w:rPr>
          <w:rFonts w:hint="eastAsia"/>
          <w:sz w:val="16"/>
        </w:rPr>
        <w:t>年第</w:t>
      </w:r>
      <w:r w:rsidRPr="00930A55">
        <w:rPr>
          <w:rFonts w:hint="eastAsia"/>
          <w:sz w:val="16"/>
        </w:rPr>
        <w:t>71</w:t>
      </w:r>
      <w:r w:rsidRPr="00930A55">
        <w:rPr>
          <w:rFonts w:hint="eastAsia"/>
          <w:sz w:val="16"/>
        </w:rPr>
        <w:t>號第</w:t>
      </w:r>
      <w:r w:rsidRPr="00930A55">
        <w:rPr>
          <w:rFonts w:hint="eastAsia"/>
          <w:sz w:val="16"/>
        </w:rPr>
        <w:t>3</w:t>
      </w:r>
      <w:r w:rsidRPr="00930A55">
        <w:rPr>
          <w:rFonts w:hint="eastAsia"/>
          <w:sz w:val="16"/>
        </w:rPr>
        <w:t>條修訂</w:t>
      </w:r>
      <w:r w:rsidRPr="00930A55">
        <w:rPr>
          <w:rFonts w:hint="eastAsia"/>
          <w:sz w:val="16"/>
        </w:rPr>
        <w:t>)</w:t>
      </w:r>
    </w:p>
    <w:p w14:paraId="1680835E" w14:textId="77777777" w:rsidR="00CA23FA" w:rsidRPr="00930A55" w:rsidRDefault="00CA23FA" w:rsidP="00930A55">
      <w:pPr>
        <w:pStyle w:val="3"/>
        <w:jc w:val="left"/>
        <w:rPr>
          <w:b/>
          <w:sz w:val="16"/>
        </w:rPr>
      </w:pPr>
      <w:r w:rsidRPr="00930A55">
        <w:rPr>
          <w:rFonts w:hint="eastAsia"/>
          <w:sz w:val="16"/>
        </w:rPr>
        <w:t xml:space="preserve">(3) </w:t>
      </w:r>
      <w:r w:rsidRPr="00930A55">
        <w:rPr>
          <w:rFonts w:hint="eastAsia"/>
          <w:sz w:val="16"/>
        </w:rPr>
        <w:t>委員會由以下人士組成─</w:t>
      </w:r>
    </w:p>
    <w:p w14:paraId="5B3C58D5" w14:textId="77777777" w:rsidR="00CA23FA" w:rsidRPr="00930A55" w:rsidRDefault="00CA23FA" w:rsidP="00930A55">
      <w:pPr>
        <w:pStyle w:val="3"/>
        <w:jc w:val="left"/>
        <w:rPr>
          <w:b/>
          <w:sz w:val="16"/>
        </w:rPr>
      </w:pPr>
      <w:r w:rsidRPr="00930A55">
        <w:rPr>
          <w:rFonts w:hint="eastAsia"/>
          <w:sz w:val="16"/>
        </w:rPr>
        <w:t xml:space="preserve">(a) </w:t>
      </w:r>
      <w:r w:rsidRPr="00930A55">
        <w:rPr>
          <w:rFonts w:hint="eastAsia"/>
          <w:sz w:val="16"/>
        </w:rPr>
        <w:t>監督或一名由他提名的代表，他須出任主席</w:t>
      </w:r>
      <w:r w:rsidRPr="00930A55">
        <w:rPr>
          <w:rFonts w:hint="eastAsia"/>
          <w:sz w:val="16"/>
        </w:rPr>
        <w:t>(</w:t>
      </w:r>
      <w:r w:rsidRPr="00930A55">
        <w:rPr>
          <w:rFonts w:hint="eastAsia"/>
          <w:sz w:val="16"/>
        </w:rPr>
        <w:t>“主席”</w:t>
      </w:r>
      <w:r w:rsidRPr="00930A55">
        <w:rPr>
          <w:rFonts w:hint="eastAsia"/>
          <w:sz w:val="16"/>
        </w:rPr>
        <w:t>)</w:t>
      </w:r>
      <w:r w:rsidRPr="00930A55">
        <w:rPr>
          <w:rFonts w:hint="eastAsia"/>
          <w:sz w:val="16"/>
        </w:rPr>
        <w:t>；</w:t>
      </w:r>
    </w:p>
    <w:p w14:paraId="3528B93F" w14:textId="77777777" w:rsidR="00CA23FA" w:rsidRPr="00930A55" w:rsidRDefault="00CA23FA" w:rsidP="00930A55">
      <w:pPr>
        <w:pStyle w:val="3"/>
        <w:jc w:val="left"/>
        <w:rPr>
          <w:b/>
          <w:sz w:val="16"/>
        </w:rPr>
      </w:pPr>
      <w:r w:rsidRPr="00930A55">
        <w:rPr>
          <w:rFonts w:hint="eastAsia"/>
          <w:sz w:val="16"/>
        </w:rPr>
        <w:t xml:space="preserve">(b) </w:t>
      </w:r>
      <w:r w:rsidRPr="00930A55">
        <w:rPr>
          <w:rFonts w:hint="eastAsia"/>
          <w:sz w:val="16"/>
        </w:rPr>
        <w:t>處長或一名由他提名的代表；</w:t>
      </w:r>
    </w:p>
    <w:p w14:paraId="765785DE" w14:textId="77777777" w:rsidR="00CA23FA" w:rsidRPr="00930A55" w:rsidRDefault="00CA23FA" w:rsidP="00930A55">
      <w:pPr>
        <w:pStyle w:val="3"/>
        <w:jc w:val="left"/>
        <w:rPr>
          <w:b/>
          <w:sz w:val="16"/>
        </w:rPr>
      </w:pPr>
      <w:r w:rsidRPr="00930A55">
        <w:rPr>
          <w:rFonts w:hint="eastAsia"/>
          <w:sz w:val="16"/>
        </w:rPr>
        <w:t xml:space="preserve">(c) </w:t>
      </w:r>
      <w:r w:rsidRPr="00930A55">
        <w:rPr>
          <w:rFonts w:hint="eastAsia"/>
          <w:sz w:val="16"/>
        </w:rPr>
        <w:t>警務處處長或一名由他提名的代表；</w:t>
      </w:r>
    </w:p>
    <w:p w14:paraId="16B789A4" w14:textId="77777777" w:rsidR="00CA23FA" w:rsidRPr="00930A55" w:rsidRDefault="00CA23FA" w:rsidP="00930A55">
      <w:pPr>
        <w:pStyle w:val="3"/>
        <w:jc w:val="left"/>
        <w:rPr>
          <w:b/>
          <w:sz w:val="16"/>
        </w:rPr>
      </w:pPr>
      <w:r w:rsidRPr="00930A55">
        <w:rPr>
          <w:rFonts w:hint="eastAsia"/>
          <w:sz w:val="16"/>
        </w:rPr>
        <w:t xml:space="preserve">(d) </w:t>
      </w:r>
      <w:r w:rsidRPr="00930A55">
        <w:rPr>
          <w:rFonts w:hint="eastAsia"/>
          <w:sz w:val="16"/>
        </w:rPr>
        <w:t>由監督委任的公職人員，其人數以監督認為合適者為準；及</w:t>
      </w:r>
    </w:p>
    <w:p w14:paraId="1A2812F3" w14:textId="77777777" w:rsidR="00CA23FA" w:rsidRPr="00930A55" w:rsidRDefault="00CA23FA" w:rsidP="00930A55">
      <w:pPr>
        <w:pStyle w:val="3"/>
        <w:jc w:val="left"/>
        <w:rPr>
          <w:b/>
          <w:sz w:val="16"/>
        </w:rPr>
      </w:pPr>
      <w:r w:rsidRPr="00930A55">
        <w:rPr>
          <w:rFonts w:hint="eastAsia"/>
          <w:sz w:val="16"/>
        </w:rPr>
        <w:t xml:space="preserve">(e) </w:t>
      </w:r>
      <w:r w:rsidRPr="00930A55">
        <w:rPr>
          <w:rFonts w:hint="eastAsia"/>
          <w:sz w:val="16"/>
        </w:rPr>
        <w:t>由監督委任的不屬公職人員的其他人，其人數以監督認為合適者為準。</w:t>
      </w:r>
    </w:p>
    <w:p w14:paraId="0E6BBADD" w14:textId="77777777" w:rsidR="00CA23FA" w:rsidRPr="00930A55" w:rsidRDefault="00CA23FA" w:rsidP="00930A55">
      <w:pPr>
        <w:pStyle w:val="3"/>
        <w:jc w:val="left"/>
        <w:rPr>
          <w:b/>
          <w:sz w:val="16"/>
        </w:rPr>
      </w:pPr>
      <w:r w:rsidRPr="00930A55">
        <w:rPr>
          <w:rFonts w:hint="eastAsia"/>
          <w:sz w:val="16"/>
        </w:rPr>
        <w:t xml:space="preserve">(4) </w:t>
      </w:r>
      <w:r w:rsidRPr="00930A55">
        <w:rPr>
          <w:rFonts w:hint="eastAsia"/>
          <w:sz w:val="16"/>
        </w:rPr>
        <w:t>根據第</w:t>
      </w:r>
      <w:r w:rsidRPr="00930A55">
        <w:rPr>
          <w:rFonts w:hint="eastAsia"/>
          <w:sz w:val="16"/>
        </w:rPr>
        <w:t>(3)(d)</w:t>
      </w:r>
      <w:r w:rsidRPr="00930A55">
        <w:rPr>
          <w:rFonts w:hint="eastAsia"/>
          <w:sz w:val="16"/>
        </w:rPr>
        <w:t>款所作的委任可藉提述職位或職守方式作出，而凡作出此項委任，當其時身居該職位或擔任該職守或正在履行該職位或職守的職能的個人，須為如此委任的成員。</w:t>
      </w:r>
    </w:p>
    <w:p w14:paraId="55EC67CE" w14:textId="77777777" w:rsidR="00CA23FA" w:rsidRPr="00930A55" w:rsidRDefault="00CA23FA" w:rsidP="00930A55">
      <w:pPr>
        <w:pStyle w:val="3"/>
        <w:jc w:val="left"/>
        <w:rPr>
          <w:b/>
          <w:sz w:val="16"/>
        </w:rPr>
      </w:pPr>
      <w:r w:rsidRPr="00930A55">
        <w:rPr>
          <w:rFonts w:hint="eastAsia"/>
          <w:sz w:val="16"/>
        </w:rPr>
        <w:t xml:space="preserve">(5) </w:t>
      </w:r>
      <w:r w:rsidRPr="00930A55">
        <w:rPr>
          <w:rFonts w:hint="eastAsia"/>
          <w:sz w:val="16"/>
        </w:rPr>
        <w:t>根據第</w:t>
      </w:r>
      <w:r w:rsidRPr="00930A55">
        <w:rPr>
          <w:rFonts w:hint="eastAsia"/>
          <w:sz w:val="16"/>
        </w:rPr>
        <w:t>(3)(d)</w:t>
      </w:r>
      <w:r w:rsidRPr="00930A55">
        <w:rPr>
          <w:rFonts w:hint="eastAsia"/>
          <w:sz w:val="16"/>
        </w:rPr>
        <w:t>及</w:t>
      </w:r>
      <w:r w:rsidRPr="00930A55">
        <w:rPr>
          <w:rFonts w:hint="eastAsia"/>
          <w:sz w:val="16"/>
        </w:rPr>
        <w:t>(e)</w:t>
      </w:r>
      <w:r w:rsidRPr="00930A55">
        <w:rPr>
          <w:rFonts w:hint="eastAsia"/>
          <w:sz w:val="16"/>
        </w:rPr>
        <w:t>款獲委任的成員的任期與委任條款，由監督在他們各人的委任書內指明。</w:t>
      </w:r>
    </w:p>
    <w:p w14:paraId="69573A87" w14:textId="77777777" w:rsidR="00CA23FA" w:rsidRPr="00930A55" w:rsidRDefault="00CA23FA" w:rsidP="00930A55">
      <w:pPr>
        <w:pStyle w:val="3"/>
        <w:jc w:val="left"/>
        <w:rPr>
          <w:b/>
          <w:sz w:val="16"/>
        </w:rPr>
      </w:pPr>
      <w:r w:rsidRPr="00930A55">
        <w:rPr>
          <w:rFonts w:hint="eastAsia"/>
          <w:sz w:val="16"/>
        </w:rPr>
        <w:t xml:space="preserve">(6) </w:t>
      </w:r>
      <w:r w:rsidRPr="00930A55">
        <w:rPr>
          <w:rFonts w:hint="eastAsia"/>
          <w:sz w:val="16"/>
        </w:rPr>
        <w:t>根據第</w:t>
      </w:r>
      <w:r w:rsidRPr="00930A55">
        <w:rPr>
          <w:rFonts w:hint="eastAsia"/>
          <w:sz w:val="16"/>
        </w:rPr>
        <w:t>(3)(e)</w:t>
      </w:r>
      <w:r w:rsidRPr="00930A55">
        <w:rPr>
          <w:rFonts w:hint="eastAsia"/>
          <w:sz w:val="16"/>
        </w:rPr>
        <w:t>款獲委任的委員會成員可藉向監督送交書面通知而隨時辭職。</w:t>
      </w:r>
    </w:p>
    <w:p w14:paraId="526D2E13" w14:textId="77777777" w:rsidR="00CA23FA" w:rsidRPr="00930A55" w:rsidRDefault="00CA23FA" w:rsidP="00930A55">
      <w:pPr>
        <w:pStyle w:val="3"/>
        <w:jc w:val="left"/>
        <w:rPr>
          <w:b/>
          <w:sz w:val="16"/>
        </w:rPr>
      </w:pPr>
      <w:r w:rsidRPr="00930A55">
        <w:rPr>
          <w:rFonts w:hint="eastAsia"/>
          <w:sz w:val="16"/>
        </w:rPr>
        <w:t xml:space="preserve">(7) </w:t>
      </w:r>
      <w:r w:rsidRPr="00930A55">
        <w:rPr>
          <w:rFonts w:hint="eastAsia"/>
          <w:sz w:val="16"/>
        </w:rPr>
        <w:t>委員會舉行會議的頻密程度，須按主席就考慮第</w:t>
      </w:r>
      <w:r w:rsidRPr="00930A55">
        <w:rPr>
          <w:rFonts w:hint="eastAsia"/>
          <w:sz w:val="16"/>
        </w:rPr>
        <w:t>(2)</w:t>
      </w:r>
      <w:r w:rsidRPr="00930A55">
        <w:rPr>
          <w:rFonts w:hint="eastAsia"/>
          <w:sz w:val="16"/>
        </w:rPr>
        <w:t>款所提述的任何事宜而決定所需的開會次數而定。</w:t>
      </w:r>
    </w:p>
    <w:p w14:paraId="418D715C" w14:textId="77777777" w:rsidR="00CA23FA" w:rsidRPr="00930A55" w:rsidRDefault="00CA23FA" w:rsidP="00930A55">
      <w:pPr>
        <w:pStyle w:val="3"/>
        <w:jc w:val="left"/>
        <w:rPr>
          <w:b/>
          <w:sz w:val="16"/>
        </w:rPr>
      </w:pPr>
      <w:r w:rsidRPr="00930A55">
        <w:rPr>
          <w:rFonts w:hint="eastAsia"/>
          <w:sz w:val="16"/>
        </w:rPr>
        <w:t xml:space="preserve">(8) </w:t>
      </w:r>
      <w:r w:rsidRPr="00930A55">
        <w:rPr>
          <w:rFonts w:hint="eastAsia"/>
          <w:sz w:val="16"/>
        </w:rPr>
        <w:t>委員會的程序須由委員會決定。</w:t>
      </w:r>
    </w:p>
    <w:p w14:paraId="6A42A3D2" w14:textId="77777777" w:rsidR="00CA23FA" w:rsidRPr="00930A55" w:rsidRDefault="00CA23FA" w:rsidP="00930A55">
      <w:pPr>
        <w:pStyle w:val="3"/>
        <w:jc w:val="left"/>
        <w:rPr>
          <w:b/>
          <w:sz w:val="16"/>
        </w:rPr>
      </w:pPr>
      <w:r w:rsidRPr="00930A55">
        <w:rPr>
          <w:rFonts w:hint="eastAsia"/>
          <w:sz w:val="16"/>
        </w:rPr>
        <w:t xml:space="preserve">(9) </w:t>
      </w:r>
      <w:r w:rsidRPr="00930A55">
        <w:rPr>
          <w:rFonts w:hint="eastAsia"/>
          <w:sz w:val="16"/>
        </w:rPr>
        <w:t>委員會可─</w:t>
      </w:r>
    </w:p>
    <w:p w14:paraId="1993A17C" w14:textId="77777777" w:rsidR="00CA23FA" w:rsidRPr="00930A55" w:rsidRDefault="00CA23FA" w:rsidP="00930A55">
      <w:pPr>
        <w:pStyle w:val="3"/>
        <w:jc w:val="left"/>
        <w:rPr>
          <w:b/>
          <w:sz w:val="16"/>
        </w:rPr>
      </w:pPr>
      <w:r w:rsidRPr="00930A55">
        <w:rPr>
          <w:rFonts w:hint="eastAsia"/>
          <w:sz w:val="16"/>
        </w:rPr>
        <w:t xml:space="preserve">(a) </w:t>
      </w:r>
      <w:r w:rsidRPr="00930A55">
        <w:rPr>
          <w:rFonts w:hint="eastAsia"/>
          <w:sz w:val="16"/>
        </w:rPr>
        <w:t>設立委員會認為合適的小組委員會，以協助委員會執行其職能；</w:t>
      </w:r>
    </w:p>
    <w:p w14:paraId="4FA6BEA1" w14:textId="77777777" w:rsidR="00CA23FA" w:rsidRPr="005D6CE5" w:rsidRDefault="00CA23FA" w:rsidP="00D87D91">
      <w:pPr>
        <w:pStyle w:val="3"/>
        <w:rPr>
          <w:b/>
        </w:rPr>
      </w:pPr>
      <w:r w:rsidRPr="005D6CE5">
        <w:rPr>
          <w:rFonts w:hint="eastAsia"/>
        </w:rPr>
        <w:t xml:space="preserve">(b) </w:t>
      </w:r>
      <w:r w:rsidRPr="005D6CE5">
        <w:rPr>
          <w:rFonts w:hint="eastAsia"/>
        </w:rPr>
        <w:t>委任委員會認為合適的人為任何上述小組委員會的成員；及</w:t>
      </w:r>
    </w:p>
    <w:p w14:paraId="4AEC0340" w14:textId="77777777" w:rsidR="00CA23FA" w:rsidRPr="005D6CE5" w:rsidRDefault="00CA23FA" w:rsidP="00D87D91">
      <w:pPr>
        <w:pStyle w:val="3"/>
        <w:rPr>
          <w:b/>
        </w:rPr>
      </w:pPr>
      <w:r w:rsidRPr="005D6CE5">
        <w:rPr>
          <w:rFonts w:hint="eastAsia"/>
        </w:rPr>
        <w:t xml:space="preserve">(c) </w:t>
      </w:r>
      <w:r w:rsidRPr="005D6CE5">
        <w:rPr>
          <w:rFonts w:hint="eastAsia"/>
        </w:rPr>
        <w:t>諮詢委員會認為合適的其他人。</w:t>
      </w:r>
    </w:p>
  </w:footnote>
  <w:footnote w:id="185">
    <w:p w14:paraId="5B458324" w14:textId="77777777" w:rsidR="00CA23FA" w:rsidRPr="00930A55" w:rsidRDefault="00CA23FA" w:rsidP="00D87D91">
      <w:pPr>
        <w:pStyle w:val="3"/>
      </w:pPr>
      <w:r w:rsidRPr="00930A55">
        <w:rPr>
          <w:rStyle w:val="af3"/>
          <w:b/>
        </w:rPr>
        <w:footnoteRef/>
      </w:r>
      <w:r w:rsidRPr="00930A55">
        <w:rPr>
          <w:rStyle w:val="afc"/>
          <w:b w:val="0"/>
        </w:rPr>
        <w:t>香港特</w:t>
      </w:r>
      <w:r w:rsidRPr="00930A55">
        <w:rPr>
          <w:rStyle w:val="afc"/>
          <w:rFonts w:hint="eastAsia"/>
          <w:b w:val="0"/>
        </w:rPr>
        <w:t>別行政區政府保安局</w:t>
      </w:r>
      <w:r w:rsidRPr="00930A55">
        <w:rPr>
          <w:rStyle w:val="afc"/>
          <w:b w:val="0"/>
        </w:rPr>
        <w:t>航空保安委員會</w:t>
      </w:r>
      <w:r w:rsidRPr="00930A55">
        <w:rPr>
          <w:rStyle w:val="afc"/>
          <w:rFonts w:hint="eastAsia"/>
          <w:b w:val="0"/>
        </w:rPr>
        <w:t>(2013)</w:t>
      </w:r>
      <w:r w:rsidRPr="00930A55">
        <w:rPr>
          <w:rStyle w:val="afc"/>
          <w:rFonts w:hint="eastAsia"/>
          <w:b w:val="0"/>
        </w:rPr>
        <w:t>，</w:t>
      </w:r>
      <w:r w:rsidRPr="00930A55">
        <w:rPr>
          <w:rStyle w:val="afc"/>
          <w:b w:val="0"/>
        </w:rPr>
        <w:t>航空保安委員會，</w:t>
      </w:r>
      <w:r w:rsidRPr="00930A55">
        <w:rPr>
          <w:rFonts w:hint="eastAsia"/>
        </w:rPr>
        <w:t>上網瀏覽時間</w:t>
      </w:r>
      <w:r w:rsidRPr="00930A55">
        <w:rPr>
          <w:rFonts w:hint="eastAsia"/>
        </w:rPr>
        <w:t>2015/02/13</w:t>
      </w:r>
      <w:r w:rsidRPr="00930A55">
        <w:rPr>
          <w:rFonts w:hint="eastAsia"/>
        </w:rPr>
        <w:t>，</w:t>
      </w:r>
      <w:hyperlink r:id="rId56" w:history="1">
        <w:r w:rsidRPr="00930A55">
          <w:rPr>
            <w:rStyle w:val="a5"/>
            <w:rFonts w:ascii="Arial Unicode MS" w:hAnsi="Arial Unicode MS"/>
          </w:rPr>
          <w:t>http://www.sb.gov.hk/chi/links/avsecc/avsecc.html</w:t>
        </w:r>
      </w:hyperlink>
      <w:r w:rsidRPr="00930A55">
        <w:rPr>
          <w:rStyle w:val="afc"/>
        </w:rPr>
        <w:t>。</w:t>
      </w:r>
    </w:p>
  </w:footnote>
  <w:footnote w:id="186">
    <w:p w14:paraId="14C4F491" w14:textId="77777777" w:rsidR="00CA23FA" w:rsidRPr="005D6CE5" w:rsidRDefault="00CA23FA" w:rsidP="00D87D91">
      <w:pPr>
        <w:pStyle w:val="3"/>
        <w:rPr>
          <w:b/>
        </w:rPr>
      </w:pPr>
      <w:r w:rsidRPr="005D6CE5">
        <w:rPr>
          <w:rStyle w:val="af3"/>
        </w:rPr>
        <w:footnoteRef/>
      </w:r>
      <w:r w:rsidRPr="005D6CE5">
        <w:rPr>
          <w:rFonts w:hint="eastAsia"/>
        </w:rPr>
        <w:t xml:space="preserve"> </w:t>
      </w:r>
      <w:r w:rsidRPr="005D6CE5">
        <w:rPr>
          <w:rFonts w:hint="eastAsia"/>
        </w:rPr>
        <w:t>香港航空保安條例第</w:t>
      </w:r>
      <w:r w:rsidRPr="005D6CE5">
        <w:rPr>
          <w:rFonts w:hint="eastAsia"/>
        </w:rPr>
        <w:t>38</w:t>
      </w:r>
      <w:r w:rsidRPr="005D6CE5">
        <w:rPr>
          <w:rFonts w:hint="eastAsia"/>
        </w:rPr>
        <w:t>條</w:t>
      </w:r>
      <w:r>
        <w:rPr>
          <w:rFonts w:hint="eastAsia"/>
        </w:rPr>
        <w:t>〜</w:t>
      </w:r>
    </w:p>
    <w:p w14:paraId="62E71526" w14:textId="77777777" w:rsidR="00CA23FA" w:rsidRPr="005D6CE5" w:rsidRDefault="00CA23FA" w:rsidP="00D87D91">
      <w:pPr>
        <w:pStyle w:val="3"/>
        <w:rPr>
          <w:b/>
        </w:rPr>
      </w:pPr>
      <w:r w:rsidRPr="005D6CE5">
        <w:rPr>
          <w:rFonts w:hint="eastAsia"/>
        </w:rPr>
        <w:t xml:space="preserve">(1) </w:t>
      </w:r>
      <w:r w:rsidRPr="005D6CE5">
        <w:rPr>
          <w:rFonts w:hint="eastAsia"/>
        </w:rPr>
        <w:t>為本部適用的目的，監督可向任何機場的經理發出指示，規定他盡力確保該指示內指明的本條適用的搜查得以進行。</w:t>
      </w:r>
    </w:p>
    <w:p w14:paraId="56232EAA" w14:textId="77777777" w:rsidR="00CA23FA" w:rsidRPr="005D6CE5" w:rsidRDefault="00CA23FA" w:rsidP="00D87D91">
      <w:pPr>
        <w:pStyle w:val="3"/>
        <w:rPr>
          <w:b/>
        </w:rPr>
      </w:pPr>
      <w:r w:rsidRPr="005D6CE5">
        <w:rPr>
          <w:rFonts w:hint="eastAsia"/>
        </w:rPr>
        <w:t xml:space="preserve">(2) </w:t>
      </w:r>
      <w:r w:rsidRPr="005D6CE5">
        <w:rPr>
          <w:rFonts w:hint="eastAsia"/>
        </w:rPr>
        <w:t>就任何機場進行的本條所適用的搜查，即搜查─</w:t>
      </w:r>
    </w:p>
    <w:p w14:paraId="1EC22420" w14:textId="77777777" w:rsidR="00CA23FA" w:rsidRPr="005D6CE5" w:rsidRDefault="00CA23FA" w:rsidP="00D87D91">
      <w:pPr>
        <w:pStyle w:val="3"/>
        <w:rPr>
          <w:b/>
        </w:rPr>
      </w:pPr>
      <w:r w:rsidRPr="005D6CE5">
        <w:rPr>
          <w:rFonts w:hint="eastAsia"/>
        </w:rPr>
        <w:t xml:space="preserve">(a) </w:t>
      </w:r>
      <w:r w:rsidRPr="005D6CE5">
        <w:rPr>
          <w:rFonts w:hint="eastAsia"/>
        </w:rPr>
        <w:t>該機場或機場的任何部分；</w:t>
      </w:r>
    </w:p>
    <w:p w14:paraId="18F0967A" w14:textId="77777777" w:rsidR="00CA23FA" w:rsidRPr="005D6CE5" w:rsidRDefault="00CA23FA" w:rsidP="00961D95">
      <w:pPr>
        <w:pStyle w:val="3"/>
      </w:pPr>
      <w:r w:rsidRPr="005D6CE5">
        <w:rPr>
          <w:rFonts w:hint="eastAsia"/>
        </w:rPr>
        <w:t xml:space="preserve">(b) </w:t>
      </w:r>
      <w:r w:rsidRPr="005D6CE5">
        <w:rPr>
          <w:rFonts w:hint="eastAsia"/>
        </w:rPr>
        <w:t>在該指示作出的當時或其後任何時間是在該機場的任何部分的飛機；及</w:t>
      </w:r>
    </w:p>
    <w:p w14:paraId="60C9784C" w14:textId="77777777" w:rsidR="00CA23FA" w:rsidRPr="005D6CE5" w:rsidRDefault="00CA23FA" w:rsidP="00961D95">
      <w:pPr>
        <w:pStyle w:val="3"/>
      </w:pPr>
      <w:r w:rsidRPr="005D6CE5">
        <w:rPr>
          <w:rFonts w:hint="eastAsia"/>
        </w:rPr>
        <w:t xml:space="preserve">(c) </w:t>
      </w:r>
      <w:r w:rsidRPr="005D6CE5">
        <w:rPr>
          <w:rFonts w:hint="eastAsia"/>
        </w:rPr>
        <w:t>上述任何時間在該機場的任何部分的人或財產</w:t>
      </w:r>
      <w:r w:rsidRPr="005D6CE5">
        <w:rPr>
          <w:rFonts w:hint="eastAsia"/>
        </w:rPr>
        <w:t>(</w:t>
      </w:r>
      <w:r w:rsidRPr="005D6CE5">
        <w:rPr>
          <w:rFonts w:hint="eastAsia"/>
        </w:rPr>
        <w:t>但飛機除外</w:t>
      </w:r>
      <w:r w:rsidRPr="005D6CE5">
        <w:rPr>
          <w:rFonts w:hint="eastAsia"/>
        </w:rPr>
        <w:t>)</w:t>
      </w:r>
      <w:r w:rsidRPr="005D6CE5">
        <w:rPr>
          <w:rFonts w:hint="eastAsia"/>
        </w:rPr>
        <w:t>。</w:t>
      </w:r>
    </w:p>
    <w:p w14:paraId="2C18DB5F" w14:textId="77777777" w:rsidR="00CA23FA" w:rsidRPr="005D6CE5" w:rsidRDefault="00CA23FA" w:rsidP="00961D95">
      <w:pPr>
        <w:pStyle w:val="3"/>
      </w:pPr>
      <w:r w:rsidRPr="005D6CE5">
        <w:rPr>
          <w:rFonts w:hint="eastAsia"/>
        </w:rPr>
        <w:t xml:space="preserve">(3) </w:t>
      </w:r>
      <w:r w:rsidRPr="005D6CE5">
        <w:rPr>
          <w:rFonts w:hint="eastAsia"/>
        </w:rPr>
        <w:t>在不損害第</w:t>
      </w:r>
      <w:r w:rsidRPr="005D6CE5">
        <w:rPr>
          <w:rFonts w:hint="eastAsia"/>
        </w:rPr>
        <w:t>13</w:t>
      </w:r>
      <w:r w:rsidRPr="005D6CE5">
        <w:rPr>
          <w:rFonts w:hint="eastAsia"/>
        </w:rPr>
        <w:t>條的規定下，凡根據本條向機場經理發出的指示當其時是有效的，則該指示按照本條所指明的任何人如有合理理由懷疑有違禁物品是在或可能被帶入該機場的任何部分，他可憑藉本款在無手令的情況下搜查該機場的任何部分或當其時在該機場的任何部分的任何飛機、車輛、貨品或任何類別的其他可移動財產，並可為該目的─</w:t>
      </w:r>
    </w:p>
    <w:p w14:paraId="50A4843B" w14:textId="77777777" w:rsidR="00CA23FA" w:rsidRPr="005D6CE5" w:rsidRDefault="00CA23FA" w:rsidP="00961D95">
      <w:pPr>
        <w:pStyle w:val="3"/>
      </w:pPr>
      <w:r w:rsidRPr="005D6CE5">
        <w:rPr>
          <w:rFonts w:hint="eastAsia"/>
        </w:rPr>
        <w:t xml:space="preserve">(a) </w:t>
      </w:r>
      <w:r w:rsidRPr="005D6CE5">
        <w:rPr>
          <w:rFonts w:hint="eastAsia"/>
        </w:rPr>
        <w:t>進入該機場內的任何建築物或工程設施或進入該機場的任何土地，並可在有需要時強行進入；及</w:t>
      </w:r>
    </w:p>
    <w:p w14:paraId="5271B887" w14:textId="77777777" w:rsidR="00CA23FA" w:rsidRPr="005D6CE5" w:rsidRDefault="00CA23FA" w:rsidP="00961D95">
      <w:pPr>
        <w:pStyle w:val="3"/>
      </w:pPr>
      <w:r w:rsidRPr="005D6CE5">
        <w:rPr>
          <w:rFonts w:hint="eastAsia"/>
        </w:rPr>
        <w:t xml:space="preserve">(b) </w:t>
      </w:r>
      <w:r w:rsidRPr="005D6CE5">
        <w:rPr>
          <w:rFonts w:hint="eastAsia"/>
        </w:rPr>
        <w:t>截停任何上述飛機、車輛、貨品、財產或人，並將其扣留一段為該目的所需的時間。</w:t>
      </w:r>
    </w:p>
    <w:p w14:paraId="6FC0FEDD" w14:textId="77777777" w:rsidR="00CA23FA" w:rsidRPr="005D6CE5" w:rsidRDefault="00CA23FA" w:rsidP="00961D95">
      <w:pPr>
        <w:pStyle w:val="3"/>
      </w:pPr>
      <w:r w:rsidRPr="005D6CE5">
        <w:rPr>
          <w:rFonts w:hint="eastAsia"/>
        </w:rPr>
        <w:t xml:space="preserve">(4) </w:t>
      </w:r>
      <w:r w:rsidRPr="005D6CE5">
        <w:rPr>
          <w:rFonts w:hint="eastAsia"/>
        </w:rPr>
        <w:t>任何人─</w:t>
      </w:r>
    </w:p>
    <w:p w14:paraId="59FE4CBC" w14:textId="77777777" w:rsidR="00CA23FA" w:rsidRPr="005D6CE5" w:rsidRDefault="00CA23FA" w:rsidP="00961D95">
      <w:pPr>
        <w:pStyle w:val="3"/>
      </w:pPr>
      <w:r w:rsidRPr="005D6CE5">
        <w:rPr>
          <w:rFonts w:hint="eastAsia"/>
        </w:rPr>
        <w:t xml:space="preserve">(a) </w:t>
      </w:r>
      <w:r w:rsidRPr="005D6CE5">
        <w:rPr>
          <w:rFonts w:hint="eastAsia"/>
        </w:rPr>
        <w:t>無合理辯解而不遵從根據本條向他發出的指示；或</w:t>
      </w:r>
    </w:p>
    <w:p w14:paraId="0BD2AA3B" w14:textId="77777777" w:rsidR="00CA23FA" w:rsidRPr="005D6CE5" w:rsidRDefault="00CA23FA" w:rsidP="00961D95">
      <w:pPr>
        <w:pStyle w:val="3"/>
      </w:pPr>
      <w:r w:rsidRPr="005D6CE5">
        <w:rPr>
          <w:rFonts w:hint="eastAsia"/>
        </w:rPr>
        <w:t xml:space="preserve">(b) </w:t>
      </w:r>
      <w:r w:rsidRPr="005D6CE5">
        <w:rPr>
          <w:rFonts w:hint="eastAsia"/>
        </w:rPr>
        <w:t>故意妨礙任何行使第</w:t>
      </w:r>
      <w:r w:rsidRPr="005D6CE5">
        <w:rPr>
          <w:rFonts w:hint="eastAsia"/>
        </w:rPr>
        <w:t>(3)</w:t>
      </w:r>
      <w:r w:rsidRPr="005D6CE5">
        <w:rPr>
          <w:rFonts w:hint="eastAsia"/>
        </w:rPr>
        <w:t>款授予的權力而行事的人，即屬犯罪─</w:t>
      </w:r>
    </w:p>
    <w:p w14:paraId="2BD95C6C" w14:textId="77777777" w:rsidR="00CA23FA" w:rsidRPr="005D6CE5" w:rsidRDefault="00CA23FA" w:rsidP="00961D95">
      <w:pPr>
        <w:pStyle w:val="3"/>
      </w:pPr>
      <w:r w:rsidRPr="005D6CE5">
        <w:rPr>
          <w:rFonts w:hint="eastAsia"/>
        </w:rPr>
        <w:t xml:space="preserve">(i) </w:t>
      </w:r>
      <w:r w:rsidRPr="005D6CE5">
        <w:rPr>
          <w:rFonts w:hint="eastAsia"/>
        </w:rPr>
        <w:t>一經循簡易程序定罪，可處第</w:t>
      </w:r>
      <w:r w:rsidRPr="005D6CE5">
        <w:rPr>
          <w:rFonts w:hint="eastAsia"/>
        </w:rPr>
        <w:t>3</w:t>
      </w:r>
      <w:r w:rsidRPr="005D6CE5">
        <w:rPr>
          <w:rFonts w:hint="eastAsia"/>
        </w:rPr>
        <w:t>級罰款；</w:t>
      </w:r>
    </w:p>
    <w:p w14:paraId="4CBB5D8C" w14:textId="77777777" w:rsidR="00CA23FA" w:rsidRPr="005D6CE5" w:rsidRDefault="00CA23FA" w:rsidP="00961D95">
      <w:pPr>
        <w:pStyle w:val="3"/>
      </w:pPr>
      <w:r w:rsidRPr="005D6CE5">
        <w:rPr>
          <w:rFonts w:hint="eastAsia"/>
        </w:rPr>
        <w:t xml:space="preserve">(ii) </w:t>
      </w:r>
      <w:r w:rsidRPr="005D6CE5">
        <w:rPr>
          <w:rFonts w:hint="eastAsia"/>
        </w:rPr>
        <w:t>一經循公訴程序定罪，可處罰款</w:t>
      </w:r>
      <w:r w:rsidRPr="005D6CE5">
        <w:rPr>
          <w:rFonts w:hint="eastAsia"/>
        </w:rPr>
        <w:t>$500000</w:t>
      </w:r>
      <w:r w:rsidRPr="005D6CE5">
        <w:rPr>
          <w:rFonts w:hint="eastAsia"/>
        </w:rPr>
        <w:t>及監禁</w:t>
      </w:r>
      <w:r w:rsidRPr="005D6CE5">
        <w:rPr>
          <w:rFonts w:hint="eastAsia"/>
        </w:rPr>
        <w:t>2</w:t>
      </w:r>
      <w:r w:rsidRPr="005D6CE5">
        <w:rPr>
          <w:rFonts w:hint="eastAsia"/>
        </w:rPr>
        <w:t>年。</w:t>
      </w:r>
    </w:p>
    <w:p w14:paraId="4B00942F" w14:textId="77777777" w:rsidR="00CA23FA" w:rsidRPr="005D6CE5" w:rsidRDefault="00CA23FA" w:rsidP="00961D95">
      <w:pPr>
        <w:pStyle w:val="3"/>
      </w:pPr>
      <w:r w:rsidRPr="005D6CE5">
        <w:rPr>
          <w:rFonts w:hint="eastAsia"/>
        </w:rPr>
        <w:t xml:space="preserve">(5) </w:t>
      </w:r>
      <w:r w:rsidRPr="005D6CE5">
        <w:rPr>
          <w:rFonts w:hint="eastAsia"/>
        </w:rPr>
        <w:t>凡任何人就沒有遵從保安指示的行為被裁定犯第</w:t>
      </w:r>
      <w:r w:rsidRPr="005D6CE5">
        <w:rPr>
          <w:rFonts w:hint="eastAsia"/>
        </w:rPr>
        <w:t>(4)(a)</w:t>
      </w:r>
      <w:r w:rsidRPr="005D6CE5">
        <w:rPr>
          <w:rFonts w:hint="eastAsia"/>
        </w:rPr>
        <w:t>款所訂的罪行，而該行為在他被定罪後持續而無合理辯解，他即屬犯另一罪行，一經定罪，可就該另一罪行的持續期間處以按每日計</w:t>
      </w:r>
      <w:r w:rsidRPr="005D6CE5">
        <w:rPr>
          <w:rFonts w:hint="eastAsia"/>
        </w:rPr>
        <w:t>$1000</w:t>
      </w:r>
      <w:r w:rsidRPr="005D6CE5">
        <w:rPr>
          <w:rFonts w:hint="eastAsia"/>
        </w:rPr>
        <w:t>的罰款。</w:t>
      </w:r>
    </w:p>
    <w:p w14:paraId="70419E1F" w14:textId="77777777" w:rsidR="00CA23FA" w:rsidRPr="005D6CE5" w:rsidRDefault="00CA23FA" w:rsidP="00961D95">
      <w:pPr>
        <w:pStyle w:val="3"/>
      </w:pPr>
      <w:r w:rsidRPr="005D6CE5">
        <w:rPr>
          <w:rFonts w:hint="eastAsia"/>
        </w:rPr>
        <w:t xml:space="preserve">(6) </w:t>
      </w:r>
      <w:r w:rsidRPr="005D6CE5">
        <w:rPr>
          <w:rFonts w:hint="eastAsia"/>
        </w:rPr>
        <w:t>在不損害授予在有手令或無手令的情況下逮捕的權力的任何法律在就本條例所訂的罪行的實施的原則下，第</w:t>
      </w:r>
      <w:r w:rsidRPr="005D6CE5">
        <w:rPr>
          <w:rFonts w:hint="eastAsia"/>
        </w:rPr>
        <w:t>(3)</w:t>
      </w:r>
      <w:r w:rsidRPr="005D6CE5">
        <w:rPr>
          <w:rFonts w:hint="eastAsia"/>
        </w:rPr>
        <w:t>款具有效力。</w:t>
      </w:r>
    </w:p>
  </w:footnote>
  <w:footnote w:id="187">
    <w:p w14:paraId="205BFD4E" w14:textId="77777777" w:rsidR="00CA23FA" w:rsidRPr="005D6CE5" w:rsidRDefault="00CA23FA" w:rsidP="00961D95">
      <w:pPr>
        <w:pStyle w:val="3"/>
      </w:pPr>
      <w:r w:rsidRPr="005D6CE5">
        <w:rPr>
          <w:rStyle w:val="af3"/>
          <w:color w:val="808000"/>
          <w:sz w:val="18"/>
        </w:rPr>
        <w:footnoteRef/>
      </w:r>
      <w:r w:rsidRPr="005D6CE5">
        <w:rPr>
          <w:rFonts w:hint="eastAsia"/>
        </w:rPr>
        <w:t xml:space="preserve"> </w:t>
      </w:r>
      <w:r w:rsidRPr="005D6CE5">
        <w:rPr>
          <w:rFonts w:hint="eastAsia"/>
        </w:rPr>
        <w:t>香港航空保安條例第</w:t>
      </w:r>
      <w:r w:rsidRPr="005D6CE5">
        <w:rPr>
          <w:rFonts w:hint="eastAsia"/>
        </w:rPr>
        <w:t>39</w:t>
      </w:r>
      <w:r w:rsidRPr="005D6CE5">
        <w:rPr>
          <w:rFonts w:hint="eastAsia"/>
        </w:rPr>
        <w:t>條</w:t>
      </w:r>
      <w:r>
        <w:rPr>
          <w:rFonts w:hint="eastAsia"/>
        </w:rPr>
        <w:t>〜</w:t>
      </w:r>
      <w:r w:rsidRPr="005D6CE5">
        <w:rPr>
          <w:rFonts w:hint="eastAsia"/>
        </w:rPr>
        <w:t xml:space="preserve">-- </w:t>
      </w:r>
    </w:p>
    <w:p w14:paraId="04115E80" w14:textId="77777777" w:rsidR="00CA23FA" w:rsidRPr="005D6CE5" w:rsidRDefault="00CA23FA" w:rsidP="00961D95">
      <w:pPr>
        <w:pStyle w:val="3"/>
      </w:pPr>
      <w:r w:rsidRPr="005D6CE5">
        <w:rPr>
          <w:rFonts w:hint="eastAsia"/>
        </w:rPr>
        <w:t xml:space="preserve">(1) </w:t>
      </w:r>
      <w:r w:rsidRPr="005D6CE5">
        <w:rPr>
          <w:rFonts w:hint="eastAsia"/>
        </w:rPr>
        <w:t>為本部適用的目的，監督可向下述的人</w:t>
      </w:r>
      <w:r w:rsidRPr="005D6CE5">
        <w:rPr>
          <w:rFonts w:hint="eastAsia"/>
        </w:rPr>
        <w:t>(</w:t>
      </w:r>
      <w:r w:rsidRPr="005D6CE5">
        <w:rPr>
          <w:rFonts w:hint="eastAsia"/>
        </w:rPr>
        <w:t>機場經理除外</w:t>
      </w:r>
      <w:r w:rsidRPr="005D6CE5">
        <w:rPr>
          <w:rFonts w:hint="eastAsia"/>
        </w:rPr>
        <w:t>)</w:t>
      </w:r>
      <w:r w:rsidRPr="005D6CE5">
        <w:rPr>
          <w:rFonts w:hint="eastAsia"/>
        </w:rPr>
        <w:t>發出指示─</w:t>
      </w:r>
    </w:p>
    <w:p w14:paraId="2962FAB7" w14:textId="77777777" w:rsidR="00CA23FA" w:rsidRPr="005D6CE5" w:rsidRDefault="00CA23FA" w:rsidP="00961D95">
      <w:pPr>
        <w:pStyle w:val="3"/>
      </w:pPr>
      <w:r w:rsidRPr="005D6CE5">
        <w:rPr>
          <w:rFonts w:hint="eastAsia"/>
        </w:rPr>
        <w:t xml:space="preserve">(a) </w:t>
      </w:r>
      <w:r w:rsidRPr="005D6CE5">
        <w:rPr>
          <w:rFonts w:hint="eastAsia"/>
        </w:rPr>
        <w:t>佔用屬任何機場的一部分的土地的人；或</w:t>
      </w:r>
    </w:p>
    <w:p w14:paraId="55390A62" w14:textId="77777777" w:rsidR="00CA23FA" w:rsidRPr="005D6CE5" w:rsidRDefault="00CA23FA" w:rsidP="00961D95">
      <w:pPr>
        <w:pStyle w:val="3"/>
      </w:pPr>
      <w:r w:rsidRPr="005D6CE5">
        <w:rPr>
          <w:rFonts w:hint="eastAsia"/>
        </w:rPr>
        <w:t xml:space="preserve">(b) </w:t>
      </w:r>
      <w:r w:rsidRPr="005D6CE5">
        <w:rPr>
          <w:rFonts w:hint="eastAsia"/>
        </w:rPr>
        <w:t>為了進行他所經營的業務的目的而獲准許進入機場禁區的人，規定他盡力確保該指示內指明的本條所適用的搜查得以進行。</w:t>
      </w:r>
    </w:p>
    <w:p w14:paraId="08502B85" w14:textId="77777777" w:rsidR="00CA23FA" w:rsidRPr="005D6CE5" w:rsidRDefault="00CA23FA" w:rsidP="00961D95">
      <w:pPr>
        <w:pStyle w:val="3"/>
      </w:pPr>
      <w:r w:rsidRPr="005D6CE5">
        <w:rPr>
          <w:rFonts w:hint="eastAsia"/>
        </w:rPr>
        <w:t xml:space="preserve">(2) </w:t>
      </w:r>
      <w:r w:rsidRPr="005D6CE5">
        <w:rPr>
          <w:rFonts w:hint="eastAsia"/>
        </w:rPr>
        <w:t>本條所適用的搜查為─</w:t>
      </w:r>
    </w:p>
    <w:p w14:paraId="06A23F99" w14:textId="77777777" w:rsidR="00CA23FA" w:rsidRPr="005D6CE5" w:rsidRDefault="00CA23FA" w:rsidP="00961D95">
      <w:pPr>
        <w:pStyle w:val="3"/>
      </w:pPr>
      <w:r w:rsidRPr="005D6CE5">
        <w:rPr>
          <w:rFonts w:hint="eastAsia"/>
        </w:rPr>
        <w:t xml:space="preserve">(a) </w:t>
      </w:r>
      <w:r w:rsidRPr="005D6CE5">
        <w:rPr>
          <w:rFonts w:hint="eastAsia"/>
        </w:rPr>
        <w:t>就第</w:t>
      </w:r>
      <w:r w:rsidRPr="005D6CE5">
        <w:rPr>
          <w:rFonts w:hint="eastAsia"/>
        </w:rPr>
        <w:t>(1)(a)</w:t>
      </w:r>
      <w:r w:rsidRPr="005D6CE5">
        <w:rPr>
          <w:rFonts w:hint="eastAsia"/>
        </w:rPr>
        <w:t>款所指的人而言，搜查─</w:t>
      </w:r>
    </w:p>
    <w:p w14:paraId="196E7F7D" w14:textId="77777777" w:rsidR="00CA23FA" w:rsidRPr="005D6CE5" w:rsidRDefault="00CA23FA" w:rsidP="00961D95">
      <w:pPr>
        <w:pStyle w:val="3"/>
      </w:pPr>
      <w:r w:rsidRPr="005D6CE5">
        <w:rPr>
          <w:rFonts w:hint="eastAsia"/>
        </w:rPr>
        <w:t xml:space="preserve">(i) </w:t>
      </w:r>
      <w:r w:rsidRPr="005D6CE5">
        <w:rPr>
          <w:rFonts w:hint="eastAsia"/>
        </w:rPr>
        <w:t>他在機場內佔用的土地；及</w:t>
      </w:r>
    </w:p>
    <w:p w14:paraId="3F1DAD03" w14:textId="77777777" w:rsidR="00CA23FA" w:rsidRPr="005D6CE5" w:rsidRDefault="00CA23FA" w:rsidP="00961D95">
      <w:pPr>
        <w:pStyle w:val="3"/>
      </w:pPr>
      <w:r w:rsidRPr="005D6CE5">
        <w:rPr>
          <w:rFonts w:hint="eastAsia"/>
        </w:rPr>
        <w:t xml:space="preserve">(ii) </w:t>
      </w:r>
      <w:r w:rsidRPr="005D6CE5">
        <w:rPr>
          <w:rFonts w:hint="eastAsia"/>
        </w:rPr>
        <w:t>在該土地上的人或財產；及</w:t>
      </w:r>
    </w:p>
    <w:p w14:paraId="70831451" w14:textId="77777777" w:rsidR="00CA23FA" w:rsidRPr="005D6CE5" w:rsidRDefault="00CA23FA" w:rsidP="00961D95">
      <w:pPr>
        <w:pStyle w:val="3"/>
      </w:pPr>
      <w:r w:rsidRPr="005D6CE5">
        <w:rPr>
          <w:rFonts w:hint="eastAsia"/>
        </w:rPr>
        <w:t xml:space="preserve">(b) </w:t>
      </w:r>
      <w:r w:rsidRPr="005D6CE5">
        <w:rPr>
          <w:rFonts w:hint="eastAsia"/>
        </w:rPr>
        <w:t>就第</w:t>
      </w:r>
      <w:r w:rsidRPr="005D6CE5">
        <w:rPr>
          <w:rFonts w:hint="eastAsia"/>
        </w:rPr>
        <w:t>(1)(b)</w:t>
      </w:r>
      <w:r w:rsidRPr="005D6CE5">
        <w:rPr>
          <w:rFonts w:hint="eastAsia"/>
        </w:rPr>
        <w:t>款所指的人而言，搜查─</w:t>
      </w:r>
    </w:p>
    <w:p w14:paraId="6FAF6B86" w14:textId="77777777" w:rsidR="00CA23FA" w:rsidRPr="005D6CE5" w:rsidRDefault="00CA23FA" w:rsidP="00961D95">
      <w:pPr>
        <w:pStyle w:val="3"/>
      </w:pPr>
      <w:r w:rsidRPr="005D6CE5">
        <w:rPr>
          <w:rFonts w:hint="eastAsia"/>
        </w:rPr>
        <w:t xml:space="preserve">(i) </w:t>
      </w:r>
      <w:r w:rsidRPr="005D6CE5">
        <w:rPr>
          <w:rFonts w:hint="eastAsia"/>
        </w:rPr>
        <w:t>他為其業務而佔用的該機場外的任何土地；及</w:t>
      </w:r>
    </w:p>
    <w:p w14:paraId="37BCD683" w14:textId="77777777" w:rsidR="00CA23FA" w:rsidRPr="005D6CE5" w:rsidRDefault="00CA23FA" w:rsidP="00961D95">
      <w:pPr>
        <w:pStyle w:val="3"/>
      </w:pPr>
      <w:r w:rsidRPr="005D6CE5">
        <w:rPr>
          <w:rFonts w:hint="eastAsia"/>
        </w:rPr>
        <w:t xml:space="preserve">(ii) </w:t>
      </w:r>
      <w:r w:rsidRPr="005D6CE5">
        <w:rPr>
          <w:rFonts w:hint="eastAsia"/>
        </w:rPr>
        <w:t>在該土地上的人或財產。</w:t>
      </w:r>
    </w:p>
    <w:p w14:paraId="627E298B" w14:textId="77777777" w:rsidR="00CA23FA" w:rsidRPr="005D6CE5" w:rsidRDefault="00CA23FA" w:rsidP="00961D95">
      <w:pPr>
        <w:pStyle w:val="3"/>
      </w:pPr>
      <w:r w:rsidRPr="005D6CE5">
        <w:rPr>
          <w:rFonts w:hint="eastAsia"/>
        </w:rPr>
        <w:t xml:space="preserve">(3) </w:t>
      </w:r>
      <w:r w:rsidRPr="005D6CE5">
        <w:rPr>
          <w:rFonts w:hint="eastAsia"/>
        </w:rPr>
        <w:t>任何人無合理辯解而不遵從根據本條向他發出的指示，即屬犯罪─</w:t>
      </w:r>
    </w:p>
    <w:p w14:paraId="1D0C9E0D" w14:textId="77777777" w:rsidR="00CA23FA" w:rsidRPr="005D6CE5" w:rsidRDefault="00CA23FA" w:rsidP="00961D95">
      <w:pPr>
        <w:pStyle w:val="3"/>
      </w:pPr>
      <w:r w:rsidRPr="005D6CE5">
        <w:rPr>
          <w:rFonts w:hint="eastAsia"/>
        </w:rPr>
        <w:t xml:space="preserve">(a) </w:t>
      </w:r>
      <w:r w:rsidRPr="005D6CE5">
        <w:rPr>
          <w:rFonts w:hint="eastAsia"/>
        </w:rPr>
        <w:t>一經循簡易程序定罪，可處第</w:t>
      </w:r>
      <w:r w:rsidRPr="005D6CE5">
        <w:rPr>
          <w:rFonts w:hint="eastAsia"/>
        </w:rPr>
        <w:t>3</w:t>
      </w:r>
      <w:r w:rsidRPr="005D6CE5">
        <w:rPr>
          <w:rFonts w:hint="eastAsia"/>
        </w:rPr>
        <w:t>級罰款；</w:t>
      </w:r>
    </w:p>
    <w:p w14:paraId="0818296D" w14:textId="77777777" w:rsidR="00CA23FA" w:rsidRPr="005D6CE5" w:rsidRDefault="00CA23FA" w:rsidP="00961D95">
      <w:pPr>
        <w:pStyle w:val="3"/>
      </w:pPr>
      <w:r w:rsidRPr="005D6CE5">
        <w:rPr>
          <w:rFonts w:hint="eastAsia"/>
        </w:rPr>
        <w:t xml:space="preserve">(b) </w:t>
      </w:r>
      <w:r w:rsidRPr="005D6CE5">
        <w:rPr>
          <w:rFonts w:hint="eastAsia"/>
        </w:rPr>
        <w:t>一經循公訴程序定罪，可處罰款</w:t>
      </w:r>
      <w:r w:rsidRPr="005D6CE5">
        <w:rPr>
          <w:rFonts w:hint="eastAsia"/>
        </w:rPr>
        <w:t>$500000</w:t>
      </w:r>
      <w:r w:rsidRPr="005D6CE5">
        <w:rPr>
          <w:rFonts w:hint="eastAsia"/>
        </w:rPr>
        <w:t>及監禁</w:t>
      </w:r>
      <w:r w:rsidRPr="005D6CE5">
        <w:rPr>
          <w:rFonts w:hint="eastAsia"/>
        </w:rPr>
        <w:t>2</w:t>
      </w:r>
      <w:r w:rsidRPr="005D6CE5">
        <w:rPr>
          <w:rFonts w:hint="eastAsia"/>
        </w:rPr>
        <w:t>年。</w:t>
      </w:r>
    </w:p>
    <w:p w14:paraId="21F9DFC4" w14:textId="77777777" w:rsidR="00CA23FA" w:rsidRPr="005D6CE5" w:rsidRDefault="00CA23FA" w:rsidP="00961D95">
      <w:pPr>
        <w:pStyle w:val="3"/>
      </w:pPr>
      <w:r w:rsidRPr="005D6CE5">
        <w:rPr>
          <w:rFonts w:hint="eastAsia"/>
        </w:rPr>
        <w:t xml:space="preserve">(4) </w:t>
      </w:r>
      <w:r w:rsidRPr="005D6CE5">
        <w:rPr>
          <w:rFonts w:hint="eastAsia"/>
        </w:rPr>
        <w:t>凡任何人就沒有遵從指示的行為被裁定犯第</w:t>
      </w:r>
      <w:r w:rsidRPr="005D6CE5">
        <w:rPr>
          <w:rFonts w:hint="eastAsia"/>
        </w:rPr>
        <w:t>(3)</w:t>
      </w:r>
      <w:r w:rsidRPr="005D6CE5">
        <w:rPr>
          <w:rFonts w:hint="eastAsia"/>
        </w:rPr>
        <w:t>款所訂的罪行，而該行為在他被定罪後持續而無合理辯解，他即屬犯另一罪行，一經定罪，可就該另一罪行的持續期間處以按每日計不超逾</w:t>
      </w:r>
      <w:r w:rsidRPr="005D6CE5">
        <w:rPr>
          <w:rFonts w:hint="eastAsia"/>
        </w:rPr>
        <w:t>$1000</w:t>
      </w:r>
      <w:r w:rsidRPr="005D6CE5">
        <w:rPr>
          <w:rFonts w:hint="eastAsia"/>
        </w:rPr>
        <w:t>的罰款。</w:t>
      </w:r>
      <w:r>
        <w:rPr>
          <w:rFonts w:hint="eastAsia"/>
        </w:rPr>
        <w:t>(</w:t>
      </w:r>
      <w:r w:rsidRPr="005D6CE5">
        <w:rPr>
          <w:rFonts w:hint="eastAsia"/>
        </w:rPr>
        <w:t>由</w:t>
      </w:r>
      <w:r w:rsidRPr="005D6CE5">
        <w:rPr>
          <w:rFonts w:hint="eastAsia"/>
        </w:rPr>
        <w:t>2005</w:t>
      </w:r>
      <w:r w:rsidRPr="005D6CE5">
        <w:rPr>
          <w:rFonts w:hint="eastAsia"/>
        </w:rPr>
        <w:t>年第</w:t>
      </w:r>
      <w:r w:rsidRPr="005D6CE5">
        <w:rPr>
          <w:rFonts w:hint="eastAsia"/>
        </w:rPr>
        <w:t>14</w:t>
      </w:r>
      <w:r w:rsidRPr="005D6CE5">
        <w:rPr>
          <w:rFonts w:hint="eastAsia"/>
        </w:rPr>
        <w:t>號第</w:t>
      </w:r>
      <w:r w:rsidRPr="005D6CE5">
        <w:rPr>
          <w:rFonts w:hint="eastAsia"/>
        </w:rPr>
        <w:t>9</w:t>
      </w:r>
      <w:r w:rsidRPr="005D6CE5">
        <w:rPr>
          <w:rFonts w:hint="eastAsia"/>
        </w:rPr>
        <w:t>條修訂</w:t>
      </w:r>
      <w:r w:rsidRPr="005D6CE5">
        <w:rPr>
          <w:rFonts w:hint="eastAsia"/>
        </w:rPr>
        <w:t>)</w:t>
      </w:r>
    </w:p>
  </w:footnote>
  <w:footnote w:id="188">
    <w:p w14:paraId="0A0A1947" w14:textId="77777777" w:rsidR="00CA23FA" w:rsidRPr="001663AE" w:rsidRDefault="00CA23FA" w:rsidP="00961D95">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4</w:t>
      </w:r>
      <w:r w:rsidRPr="001663AE">
        <w:rPr>
          <w:rFonts w:hint="eastAsia"/>
        </w:rPr>
        <w:t>條</w:t>
      </w:r>
      <w:r>
        <w:rPr>
          <w:rFonts w:hint="eastAsia"/>
        </w:rPr>
        <w:t>〜</w:t>
      </w:r>
      <w:r w:rsidRPr="001663AE">
        <w:rPr>
          <w:rFonts w:hint="eastAsia"/>
        </w:rPr>
        <w:t>--</w:t>
      </w:r>
    </w:p>
    <w:p w14:paraId="40787FAD" w14:textId="77777777" w:rsidR="00CA23FA" w:rsidRPr="001663AE" w:rsidRDefault="00CA23FA" w:rsidP="00961D95">
      <w:pPr>
        <w:pStyle w:val="3"/>
      </w:pPr>
      <w:r w:rsidRPr="001663AE">
        <w:rPr>
          <w:rFonts w:hint="eastAsia"/>
        </w:rPr>
        <w:t xml:space="preserve">(1) </w:t>
      </w:r>
      <w:r w:rsidRPr="001663AE">
        <w:rPr>
          <w:rFonts w:hint="eastAsia"/>
        </w:rPr>
        <w:t>為在香港的任何法院進行的任何法律程序的目的，第</w:t>
      </w:r>
      <w:r w:rsidRPr="001663AE">
        <w:rPr>
          <w:rFonts w:hint="eastAsia"/>
        </w:rPr>
        <w:t>(2)</w:t>
      </w:r>
      <w:r w:rsidRPr="001663AE">
        <w:rPr>
          <w:rFonts w:hint="eastAsia"/>
        </w:rPr>
        <w:t>至</w:t>
      </w:r>
      <w:r w:rsidRPr="001663AE">
        <w:rPr>
          <w:rFonts w:hint="eastAsia"/>
        </w:rPr>
        <w:t>(5)</w:t>
      </w:r>
      <w:r w:rsidRPr="001663AE">
        <w:rPr>
          <w:rFonts w:hint="eastAsia"/>
        </w:rPr>
        <w:t>款的條文具有效力。</w:t>
      </w:r>
    </w:p>
    <w:p w14:paraId="69C6E33E" w14:textId="77777777" w:rsidR="00CA23FA" w:rsidRPr="001663AE" w:rsidRDefault="00CA23FA" w:rsidP="00961D95">
      <w:pPr>
        <w:pStyle w:val="3"/>
      </w:pPr>
      <w:r w:rsidRPr="001663AE">
        <w:rPr>
          <w:rFonts w:hint="eastAsia"/>
        </w:rPr>
        <w:t xml:space="preserve">(2) </w:t>
      </w:r>
      <w:r w:rsidRPr="001663AE">
        <w:rPr>
          <w:rFonts w:hint="eastAsia"/>
        </w:rPr>
        <w:t>如正在航行的飛機</w:t>
      </w:r>
      <w:r w:rsidRPr="001663AE">
        <w:rPr>
          <w:rFonts w:hint="eastAsia"/>
        </w:rPr>
        <w:t>(</w:t>
      </w:r>
      <w:r w:rsidRPr="001663AE">
        <w:rPr>
          <w:rFonts w:hint="eastAsia"/>
        </w:rPr>
        <w:t>不論該飛機在何處</w:t>
      </w:r>
      <w:r w:rsidRPr="001663AE">
        <w:rPr>
          <w:rFonts w:hint="eastAsia"/>
        </w:rPr>
        <w:t>)</w:t>
      </w:r>
      <w:r w:rsidRPr="001663AE">
        <w:rPr>
          <w:rFonts w:hint="eastAsia"/>
        </w:rPr>
        <w:t>的機長有合理理由相信在該飛機上的任何人─</w:t>
      </w:r>
    </w:p>
    <w:p w14:paraId="0E08A1BC" w14:textId="77777777" w:rsidR="00CA23FA" w:rsidRPr="001663AE" w:rsidRDefault="00CA23FA" w:rsidP="00961D95">
      <w:pPr>
        <w:pStyle w:val="3"/>
      </w:pPr>
      <w:r w:rsidRPr="001663AE">
        <w:rPr>
          <w:rFonts w:hint="eastAsia"/>
        </w:rPr>
        <w:t xml:space="preserve">(a) </w:t>
      </w:r>
      <w:r w:rsidRPr="001663AE">
        <w:rPr>
          <w:rFonts w:hint="eastAsia"/>
        </w:rPr>
        <w:t>已於或即將於該飛機正在航行時在該飛機上作出任何作為，而該作為危及或可能危及─</w:t>
      </w:r>
    </w:p>
    <w:p w14:paraId="7C316576" w14:textId="77777777" w:rsidR="00CA23FA" w:rsidRPr="001663AE" w:rsidRDefault="00CA23FA" w:rsidP="00D87D91">
      <w:pPr>
        <w:pStyle w:val="3"/>
      </w:pPr>
      <w:r w:rsidRPr="001663AE">
        <w:rPr>
          <w:rFonts w:hint="eastAsia"/>
        </w:rPr>
        <w:t xml:space="preserve">(i) </w:t>
      </w:r>
      <w:r w:rsidRPr="001663AE">
        <w:rPr>
          <w:rFonts w:hint="eastAsia"/>
        </w:rPr>
        <w:t>該飛機的安全或該飛機上的人或財產的安全；或</w:t>
      </w:r>
    </w:p>
    <w:p w14:paraId="0E0E5A9A" w14:textId="77777777" w:rsidR="00CA23FA" w:rsidRPr="001663AE" w:rsidRDefault="00CA23FA" w:rsidP="00D87D91">
      <w:pPr>
        <w:pStyle w:val="3"/>
      </w:pPr>
      <w:r w:rsidRPr="001663AE">
        <w:rPr>
          <w:rFonts w:hint="eastAsia"/>
        </w:rPr>
        <w:t xml:space="preserve">(ii) </w:t>
      </w:r>
      <w:r w:rsidRPr="001663AE">
        <w:rPr>
          <w:rFonts w:hint="eastAsia"/>
        </w:rPr>
        <w:t>該飛機上的良好秩序和紀律；或</w:t>
      </w:r>
    </w:p>
    <w:p w14:paraId="57B68DCD" w14:textId="77777777" w:rsidR="00CA23FA" w:rsidRPr="001663AE" w:rsidRDefault="00CA23FA" w:rsidP="00D87D91">
      <w:pPr>
        <w:pStyle w:val="3"/>
      </w:pPr>
      <w:r w:rsidRPr="001663AE">
        <w:rPr>
          <w:rFonts w:hint="eastAsia"/>
        </w:rPr>
        <w:t xml:space="preserve">(b) </w:t>
      </w:r>
      <w:r w:rsidRPr="001663AE">
        <w:rPr>
          <w:rFonts w:hint="eastAsia"/>
        </w:rPr>
        <w:t>已於該飛機正在航行時在該飛機上作出任何作為，而機長認為該作為根據該飛機所註冊的國家或地區有效的任何法律</w:t>
      </w:r>
      <w:r w:rsidRPr="001663AE">
        <w:rPr>
          <w:rFonts w:hint="eastAsia"/>
        </w:rPr>
        <w:t>(</w:t>
      </w:r>
      <w:r w:rsidRPr="001663AE">
        <w:rPr>
          <w:rFonts w:hint="eastAsia"/>
        </w:rPr>
        <w:t>但並非屬政治性質或基於任何形式的關於種族、膚色、性別、語言、宗教、政治或其他見解或民族本源或社會階級的歧視的法律</w:t>
      </w:r>
      <w:r w:rsidRPr="001663AE">
        <w:rPr>
          <w:rFonts w:hint="eastAsia"/>
        </w:rPr>
        <w:t>)</w:t>
      </w:r>
      <w:r w:rsidRPr="001663AE">
        <w:rPr>
          <w:rFonts w:hint="eastAsia"/>
        </w:rPr>
        <w:t>屬嚴重罪行，則在不抵觸第</w:t>
      </w:r>
      <w:r w:rsidRPr="001663AE">
        <w:rPr>
          <w:rFonts w:hint="eastAsia"/>
        </w:rPr>
        <w:t>(4)</w:t>
      </w:r>
      <w:r w:rsidRPr="001663AE">
        <w:rPr>
          <w:rFonts w:hint="eastAsia"/>
        </w:rPr>
        <w:t>款的條文下，機長可對該人採取所需的合理措施，包括束縛其人身，以─</w:t>
      </w:r>
    </w:p>
    <w:p w14:paraId="116AD2BC" w14:textId="77777777" w:rsidR="00CA23FA" w:rsidRPr="001663AE" w:rsidRDefault="00CA23FA" w:rsidP="00D87D91">
      <w:pPr>
        <w:pStyle w:val="3"/>
      </w:pPr>
      <w:r w:rsidRPr="001663AE">
        <w:rPr>
          <w:rFonts w:hint="eastAsia"/>
        </w:rPr>
        <w:t xml:space="preserve">(i) </w:t>
      </w:r>
      <w:r w:rsidRPr="001663AE">
        <w:rPr>
          <w:rFonts w:hint="eastAsia"/>
        </w:rPr>
        <w:t>保障該飛機的安全或該飛機上的人或財產的安全；</w:t>
      </w:r>
    </w:p>
    <w:p w14:paraId="4A2320EE" w14:textId="77777777" w:rsidR="00CA23FA" w:rsidRPr="001663AE" w:rsidRDefault="00CA23FA" w:rsidP="00D87D91">
      <w:pPr>
        <w:pStyle w:val="3"/>
      </w:pPr>
      <w:r w:rsidRPr="001663AE">
        <w:rPr>
          <w:rFonts w:hint="eastAsia"/>
        </w:rPr>
        <w:t xml:space="preserve">(ii) </w:t>
      </w:r>
      <w:r w:rsidRPr="001663AE">
        <w:rPr>
          <w:rFonts w:hint="eastAsia"/>
        </w:rPr>
        <w:t>維持該飛機上的良好秩序和紀律；或</w:t>
      </w:r>
    </w:p>
    <w:p w14:paraId="40B331DD" w14:textId="77777777" w:rsidR="00CA23FA" w:rsidRPr="001663AE" w:rsidRDefault="00CA23FA" w:rsidP="00D87D91">
      <w:pPr>
        <w:pStyle w:val="3"/>
      </w:pPr>
      <w:r w:rsidRPr="001663AE">
        <w:rPr>
          <w:rFonts w:hint="eastAsia"/>
        </w:rPr>
        <w:t xml:space="preserve">(iii) </w:t>
      </w:r>
      <w:r w:rsidRPr="001663AE">
        <w:rPr>
          <w:rFonts w:hint="eastAsia"/>
        </w:rPr>
        <w:t>使機長能夠按照第</w:t>
      </w:r>
      <w:r w:rsidRPr="001663AE">
        <w:rPr>
          <w:rFonts w:hint="eastAsia"/>
        </w:rPr>
        <w:t>(5)</w:t>
      </w:r>
      <w:r w:rsidRPr="001663AE">
        <w:rPr>
          <w:rFonts w:hint="eastAsia"/>
        </w:rPr>
        <w:t>款將該人送下飛機或送交有關人員，而就</w:t>
      </w:r>
      <w:r w:rsidRPr="001663AE">
        <w:rPr>
          <w:rFonts w:hint="eastAsia"/>
        </w:rPr>
        <w:t>(b)</w:t>
      </w:r>
      <w:r w:rsidRPr="001663AE">
        <w:rPr>
          <w:rFonts w:hint="eastAsia"/>
        </w:rPr>
        <w:t>段而言，任何香港控制的飛機，不論事實上是否在香港註冊，均須當作是在香港註冊的。</w:t>
      </w:r>
    </w:p>
    <w:p w14:paraId="358CB83D" w14:textId="77777777" w:rsidR="00CA23FA" w:rsidRPr="001663AE" w:rsidRDefault="00CA23FA" w:rsidP="00D87D91">
      <w:pPr>
        <w:pStyle w:val="3"/>
      </w:pPr>
      <w:r w:rsidRPr="001663AE">
        <w:rPr>
          <w:rFonts w:hint="eastAsia"/>
        </w:rPr>
        <w:t xml:space="preserve">(3) </w:t>
      </w:r>
      <w:r w:rsidRPr="001663AE">
        <w:rPr>
          <w:rFonts w:hint="eastAsia"/>
        </w:rPr>
        <w:t>飛機的任何機組成員和在該飛機上的任何其他人可在該飛機的機長的請求下或在得到該飛機機長的授權下，提供協助以對機長有權根據第</w:t>
      </w:r>
      <w:r w:rsidRPr="001663AE">
        <w:rPr>
          <w:rFonts w:hint="eastAsia"/>
        </w:rPr>
        <w:t>(2)</w:t>
      </w:r>
      <w:r w:rsidRPr="001663AE">
        <w:rPr>
          <w:rFonts w:hint="eastAsia"/>
        </w:rPr>
        <w:t>款束縛的任何人施加束縛，而任何機組成員在機長如此要求時，則須提供該項協助；於飛機正在航行中的任何時間，任何機組成員或其他人可在沒有獲得機長的授權下，對飛機上的任何人採取該款所述而他有合理理由相信為保障該飛機的安全或該飛機上的人或財產的安全而立即需要採取的措施。</w:t>
      </w:r>
    </w:p>
    <w:p w14:paraId="7284C48A" w14:textId="77777777" w:rsidR="00CA23FA" w:rsidRPr="001663AE" w:rsidRDefault="00CA23FA" w:rsidP="00D87D91">
      <w:pPr>
        <w:pStyle w:val="3"/>
      </w:pPr>
      <w:r w:rsidRPr="001663AE">
        <w:rPr>
          <w:rFonts w:hint="eastAsia"/>
        </w:rPr>
        <w:t xml:space="preserve">(4) </w:t>
      </w:r>
      <w:r w:rsidRPr="001663AE">
        <w:rPr>
          <w:rFonts w:hint="eastAsia"/>
        </w:rPr>
        <w:t>根據本條授予的權力對在飛機上的任何人所施加的任何束縛─</w:t>
      </w:r>
    </w:p>
    <w:p w14:paraId="6A74CDCD" w14:textId="77777777" w:rsidR="00CA23FA" w:rsidRPr="001663AE" w:rsidRDefault="00CA23FA" w:rsidP="00D87D91">
      <w:pPr>
        <w:pStyle w:val="3"/>
      </w:pPr>
      <w:r w:rsidRPr="00367D0C">
        <w:rPr>
          <w:rFonts w:hint="eastAsia"/>
        </w:rPr>
        <w:t xml:space="preserve">(a) </w:t>
      </w:r>
      <w:r w:rsidRPr="00367D0C">
        <w:rPr>
          <w:rFonts w:hint="eastAsia"/>
        </w:rPr>
        <w:t>不得在該飛機其後首次於某地方停止航行的時間之後予以繼續，除非該飛機的機長在該時間之前或在該時間之後在合理切實可行範圍內盡快安排將該飛機上有人受束縛和其原因的通知發</w:t>
      </w:r>
      <w:r w:rsidRPr="001663AE">
        <w:rPr>
          <w:rFonts w:hint="eastAsia"/>
        </w:rPr>
        <w:t>出予該地方的具有權限的主管當局</w:t>
      </w:r>
      <w:r w:rsidRPr="001663AE">
        <w:rPr>
          <w:rFonts w:hint="eastAsia"/>
        </w:rPr>
        <w:t>(</w:t>
      </w:r>
      <w:r w:rsidRPr="001663AE">
        <w:rPr>
          <w:rFonts w:hint="eastAsia"/>
        </w:rPr>
        <w:t>其職能相當於香港警務處的職能者</w:t>
      </w:r>
      <w:r w:rsidRPr="001663AE">
        <w:rPr>
          <w:rFonts w:hint="eastAsia"/>
        </w:rPr>
        <w:t>)</w:t>
      </w:r>
      <w:r w:rsidRPr="001663AE">
        <w:rPr>
          <w:rFonts w:hint="eastAsia"/>
        </w:rPr>
        <w:t>；但</w:t>
      </w:r>
      <w:r>
        <w:rPr>
          <w:rFonts w:hint="eastAsia"/>
        </w:rPr>
        <w:t>(</w:t>
      </w:r>
      <w:r w:rsidRPr="001663AE">
        <w:rPr>
          <w:rFonts w:hint="eastAsia"/>
        </w:rPr>
        <w:t>由</w:t>
      </w:r>
      <w:r w:rsidRPr="001663AE">
        <w:rPr>
          <w:rFonts w:hint="eastAsia"/>
        </w:rPr>
        <w:t>1999</w:t>
      </w:r>
      <w:r w:rsidRPr="001663AE">
        <w:rPr>
          <w:rFonts w:hint="eastAsia"/>
        </w:rPr>
        <w:t>年第</w:t>
      </w:r>
      <w:r w:rsidRPr="001663AE">
        <w:rPr>
          <w:rFonts w:hint="eastAsia"/>
        </w:rPr>
        <w:t>71</w:t>
      </w:r>
      <w:r w:rsidRPr="001663AE">
        <w:rPr>
          <w:rFonts w:hint="eastAsia"/>
        </w:rPr>
        <w:t>號第</w:t>
      </w:r>
      <w:r w:rsidRPr="001663AE">
        <w:rPr>
          <w:rFonts w:hint="eastAsia"/>
        </w:rPr>
        <w:t>3</w:t>
      </w:r>
      <w:r w:rsidRPr="001663AE">
        <w:rPr>
          <w:rFonts w:hint="eastAsia"/>
        </w:rPr>
        <w:t>條修訂</w:t>
      </w:r>
      <w:r w:rsidRPr="001663AE">
        <w:rPr>
          <w:rFonts w:hint="eastAsia"/>
        </w:rPr>
        <w:t>)</w:t>
      </w:r>
    </w:p>
    <w:p w14:paraId="1E08326D" w14:textId="77777777" w:rsidR="00CA23FA" w:rsidRPr="001663AE" w:rsidRDefault="00CA23FA" w:rsidP="00D87D91">
      <w:pPr>
        <w:pStyle w:val="3"/>
      </w:pPr>
      <w:r w:rsidRPr="001663AE">
        <w:rPr>
          <w:rFonts w:hint="eastAsia"/>
        </w:rPr>
        <w:t xml:space="preserve">(b) </w:t>
      </w:r>
      <w:r w:rsidRPr="001663AE">
        <w:rPr>
          <w:rFonts w:hint="eastAsia"/>
        </w:rPr>
        <w:t>可在發出上述通知的情況下─</w:t>
      </w:r>
    </w:p>
    <w:p w14:paraId="3B834A3A" w14:textId="77777777" w:rsidR="00CA23FA" w:rsidRPr="001663AE" w:rsidRDefault="00CA23FA" w:rsidP="00D87D91">
      <w:pPr>
        <w:pStyle w:val="3"/>
      </w:pPr>
      <w:r w:rsidRPr="001663AE">
        <w:rPr>
          <w:rFonts w:hint="eastAsia"/>
        </w:rPr>
        <w:t xml:space="preserve">(i) </w:t>
      </w:r>
      <w:r w:rsidRPr="001663AE">
        <w:rPr>
          <w:rFonts w:hint="eastAsia"/>
        </w:rPr>
        <w:t>在該時間之後予以繼續任何一段期間</w:t>
      </w:r>
      <w:r w:rsidRPr="001663AE">
        <w:rPr>
          <w:rFonts w:hint="eastAsia"/>
        </w:rPr>
        <w:t>(</w:t>
      </w:r>
      <w:r w:rsidRPr="001663AE">
        <w:rPr>
          <w:rFonts w:hint="eastAsia"/>
        </w:rPr>
        <w:t>包括任何再航行的期間</w:t>
      </w:r>
      <w:r w:rsidRPr="001663AE">
        <w:rPr>
          <w:rFonts w:hint="eastAsia"/>
        </w:rPr>
        <w:t>)</w:t>
      </w:r>
      <w:r w:rsidRPr="001663AE">
        <w:rPr>
          <w:rFonts w:hint="eastAsia"/>
        </w:rPr>
        <w:t>，即自該時間起至其後機長首次能夠在獲得具有權限的主管當局的任何必需的同意下按照第</w:t>
      </w:r>
      <w:r w:rsidRPr="001663AE">
        <w:rPr>
          <w:rFonts w:hint="eastAsia"/>
        </w:rPr>
        <w:t>(5)</w:t>
      </w:r>
      <w:r w:rsidRPr="001663AE">
        <w:rPr>
          <w:rFonts w:hint="eastAsia"/>
        </w:rPr>
        <w:t>款將該名受束縛的人送下飛機或將該人送交有關人員之時止的一段期間；或</w:t>
      </w:r>
    </w:p>
    <w:p w14:paraId="36C3699D" w14:textId="77777777" w:rsidR="00CA23FA" w:rsidRPr="001663AE" w:rsidRDefault="00CA23FA" w:rsidP="00D87D91">
      <w:pPr>
        <w:pStyle w:val="3"/>
      </w:pPr>
      <w:r w:rsidRPr="001663AE">
        <w:rPr>
          <w:rFonts w:hint="eastAsia"/>
        </w:rPr>
        <w:t xml:space="preserve">(ii) </w:t>
      </w:r>
      <w:r w:rsidRPr="001663AE">
        <w:rPr>
          <w:rFonts w:hint="eastAsia"/>
        </w:rPr>
        <w:t>如該名受束縛的人同意在該飛機上在受到束縛的情況下繼續其旅程，在該時間之後予以繼續。</w:t>
      </w:r>
    </w:p>
    <w:p w14:paraId="01B77E03" w14:textId="77777777" w:rsidR="00CA23FA" w:rsidRPr="001663AE" w:rsidRDefault="00CA23FA" w:rsidP="00D87D91">
      <w:pPr>
        <w:pStyle w:val="3"/>
      </w:pPr>
      <w:r w:rsidRPr="001663AE">
        <w:rPr>
          <w:rFonts w:hint="eastAsia"/>
        </w:rPr>
        <w:t xml:space="preserve">(5) </w:t>
      </w:r>
      <w:r w:rsidRPr="001663AE">
        <w:rPr>
          <w:rFonts w:hint="eastAsia"/>
        </w:rPr>
        <w:t>任何飛機的機長─</w:t>
      </w:r>
    </w:p>
    <w:p w14:paraId="7769E19F" w14:textId="77777777" w:rsidR="00CA23FA" w:rsidRPr="001663AE" w:rsidRDefault="00CA23FA" w:rsidP="00D87D91">
      <w:pPr>
        <w:pStyle w:val="3"/>
      </w:pPr>
      <w:r w:rsidRPr="001663AE">
        <w:rPr>
          <w:rFonts w:hint="eastAsia"/>
        </w:rPr>
        <w:t xml:space="preserve">(a) </w:t>
      </w:r>
      <w:r w:rsidRPr="001663AE">
        <w:rPr>
          <w:rFonts w:hint="eastAsia"/>
        </w:rPr>
        <w:t>如就該飛機上任何人的情況，有合理理由─</w:t>
      </w:r>
    </w:p>
    <w:p w14:paraId="34019B3C" w14:textId="77777777" w:rsidR="00CA23FA" w:rsidRPr="001663AE" w:rsidRDefault="00CA23FA" w:rsidP="00D87D91">
      <w:pPr>
        <w:pStyle w:val="3"/>
      </w:pPr>
      <w:r w:rsidRPr="001663AE">
        <w:rPr>
          <w:rFonts w:hint="eastAsia"/>
        </w:rPr>
        <w:t xml:space="preserve">(i) </w:t>
      </w:r>
      <w:r w:rsidRPr="001663AE">
        <w:rPr>
          <w:rFonts w:hint="eastAsia"/>
        </w:rPr>
        <w:t>相信有第</w:t>
      </w:r>
      <w:r w:rsidRPr="001663AE">
        <w:rPr>
          <w:rFonts w:hint="eastAsia"/>
        </w:rPr>
        <w:t>(2)(a)</w:t>
      </w:r>
      <w:r w:rsidRPr="001663AE">
        <w:rPr>
          <w:rFonts w:hint="eastAsia"/>
        </w:rPr>
        <w:t>款所述情況；及</w:t>
      </w:r>
    </w:p>
    <w:p w14:paraId="3CAD0AC3" w14:textId="77777777" w:rsidR="00CA23FA" w:rsidRPr="001663AE" w:rsidRDefault="00CA23FA" w:rsidP="00D87D91">
      <w:pPr>
        <w:pStyle w:val="3"/>
      </w:pPr>
      <w:r w:rsidRPr="001663AE">
        <w:rPr>
          <w:rFonts w:hint="eastAsia"/>
        </w:rPr>
        <w:t xml:space="preserve">(ii) </w:t>
      </w:r>
      <w:r w:rsidRPr="001663AE">
        <w:rPr>
          <w:rFonts w:hint="eastAsia"/>
        </w:rPr>
        <w:t>相信為了保障該飛機的安全或該飛機上的人或財產的安全，或為了維持該飛機上的良好秩序和紀律而有需要如此行事，可於該飛機所在的任何地方將該人送下飛機；及</w:t>
      </w:r>
    </w:p>
    <w:p w14:paraId="5582BCFF" w14:textId="77777777" w:rsidR="00CA23FA" w:rsidRPr="001663AE" w:rsidRDefault="00CA23FA" w:rsidP="00D87D91">
      <w:pPr>
        <w:pStyle w:val="3"/>
      </w:pPr>
      <w:r w:rsidRPr="001663AE">
        <w:rPr>
          <w:rFonts w:hint="eastAsia"/>
        </w:rPr>
        <w:t xml:space="preserve">(b) </w:t>
      </w:r>
      <w:r w:rsidRPr="001663AE">
        <w:rPr>
          <w:rFonts w:hint="eastAsia"/>
        </w:rPr>
        <w:t>如就飛機上任何人的情況，有合理理由相信有第</w:t>
      </w:r>
      <w:r w:rsidRPr="001663AE">
        <w:rPr>
          <w:rFonts w:hint="eastAsia"/>
        </w:rPr>
        <w:t>(2)(b)</w:t>
      </w:r>
      <w:r w:rsidRPr="001663AE">
        <w:rPr>
          <w:rFonts w:hint="eastAsia"/>
        </w:rPr>
        <w:t>款所述情況，可將該人送交─</w:t>
      </w:r>
    </w:p>
    <w:p w14:paraId="13995A88" w14:textId="77777777" w:rsidR="00CA23FA" w:rsidRPr="001663AE" w:rsidRDefault="00CA23FA" w:rsidP="00D87D91">
      <w:pPr>
        <w:pStyle w:val="3"/>
      </w:pPr>
      <w:r w:rsidRPr="001663AE">
        <w:rPr>
          <w:rFonts w:hint="eastAsia"/>
        </w:rPr>
        <w:t>(i)</w:t>
      </w:r>
      <w:r>
        <w:rPr>
          <w:rFonts w:hint="eastAsia"/>
        </w:rPr>
        <w:t>(</w:t>
      </w:r>
      <w:r w:rsidRPr="001663AE">
        <w:rPr>
          <w:rFonts w:hint="eastAsia"/>
        </w:rPr>
        <w:t>若在香港境內</w:t>
      </w:r>
      <w:r w:rsidRPr="001663AE">
        <w:rPr>
          <w:rFonts w:hint="eastAsia"/>
        </w:rPr>
        <w:t>)</w:t>
      </w:r>
      <w:r w:rsidRPr="001663AE">
        <w:rPr>
          <w:rFonts w:hint="eastAsia"/>
        </w:rPr>
        <w:t>警務人員；或</w:t>
      </w:r>
    </w:p>
    <w:p w14:paraId="7D32C95A" w14:textId="77777777" w:rsidR="00CA23FA" w:rsidRPr="001663AE" w:rsidRDefault="00CA23FA" w:rsidP="00D87D91">
      <w:pPr>
        <w:pStyle w:val="3"/>
      </w:pPr>
      <w:r w:rsidRPr="001663AE">
        <w:rPr>
          <w:rFonts w:hint="eastAsia"/>
        </w:rPr>
        <w:t>(ii)</w:t>
      </w:r>
      <w:r>
        <w:rPr>
          <w:rFonts w:hint="eastAsia"/>
        </w:rPr>
        <w:t>(</w:t>
      </w:r>
      <w:r w:rsidRPr="001663AE">
        <w:rPr>
          <w:rFonts w:hint="eastAsia"/>
        </w:rPr>
        <w:t>若在任何其他《東京公約》適用的國家或地區內</w:t>
      </w:r>
      <w:r w:rsidRPr="001663AE">
        <w:rPr>
          <w:rFonts w:hint="eastAsia"/>
        </w:rPr>
        <w:t>)</w:t>
      </w:r>
      <w:r w:rsidRPr="001663AE">
        <w:rPr>
          <w:rFonts w:hint="eastAsia"/>
        </w:rPr>
        <w:t>職能相當於警務人員或入境事務人員的職能的公職人員。</w:t>
      </w:r>
    </w:p>
    <w:p w14:paraId="20637982" w14:textId="77777777" w:rsidR="00CA23FA" w:rsidRPr="001663AE" w:rsidRDefault="00CA23FA" w:rsidP="00D87D91">
      <w:pPr>
        <w:pStyle w:val="3"/>
      </w:pPr>
      <w:r w:rsidRPr="001663AE">
        <w:rPr>
          <w:rFonts w:hint="eastAsia"/>
        </w:rPr>
        <w:t xml:space="preserve">(6) </w:t>
      </w:r>
      <w:r w:rsidRPr="001663AE">
        <w:rPr>
          <w:rFonts w:hint="eastAsia"/>
        </w:rPr>
        <w:t>任何飛機的機長─</w:t>
      </w:r>
    </w:p>
    <w:p w14:paraId="233934CA" w14:textId="77777777" w:rsidR="00CA23FA" w:rsidRPr="001663AE" w:rsidRDefault="00CA23FA" w:rsidP="00D87D91">
      <w:pPr>
        <w:pStyle w:val="3"/>
      </w:pPr>
      <w:r w:rsidRPr="001663AE">
        <w:rPr>
          <w:rFonts w:hint="eastAsia"/>
        </w:rPr>
        <w:t xml:space="preserve">(a) </w:t>
      </w:r>
      <w:r w:rsidRPr="001663AE">
        <w:rPr>
          <w:rFonts w:hint="eastAsia"/>
        </w:rPr>
        <w:t>如依據第</w:t>
      </w:r>
      <w:r w:rsidRPr="001663AE">
        <w:rPr>
          <w:rFonts w:hint="eastAsia"/>
        </w:rPr>
        <w:t>(5)(a)</w:t>
      </w:r>
      <w:r w:rsidRPr="001663AE">
        <w:rPr>
          <w:rFonts w:hint="eastAsia"/>
        </w:rPr>
        <w:t>款將屬某國籍的人，</w:t>
      </w:r>
      <w:r w:rsidRPr="001663AE">
        <w:rPr>
          <w:rFonts w:hint="eastAsia"/>
        </w:rPr>
        <w:t>(</w:t>
      </w:r>
      <w:r w:rsidRPr="001663AE">
        <w:rPr>
          <w:rFonts w:hint="eastAsia"/>
        </w:rPr>
        <w:t>如屬香港控制的飛機</w:t>
      </w:r>
      <w:r w:rsidRPr="001663AE">
        <w:rPr>
          <w:rFonts w:hint="eastAsia"/>
        </w:rPr>
        <w:t>)</w:t>
      </w:r>
      <w:r w:rsidRPr="001663AE">
        <w:rPr>
          <w:rFonts w:hint="eastAsia"/>
        </w:rPr>
        <w:t>於任何地方送下飛機時，或</w:t>
      </w:r>
      <w:r w:rsidRPr="001663AE">
        <w:rPr>
          <w:rFonts w:hint="eastAsia"/>
        </w:rPr>
        <w:t>(</w:t>
      </w:r>
      <w:r w:rsidRPr="001663AE">
        <w:rPr>
          <w:rFonts w:hint="eastAsia"/>
        </w:rPr>
        <w:t>如屬任何其他飛機</w:t>
      </w:r>
      <w:r w:rsidRPr="001663AE">
        <w:rPr>
          <w:rFonts w:hint="eastAsia"/>
        </w:rPr>
        <w:t>)</w:t>
      </w:r>
      <w:r w:rsidRPr="001663AE">
        <w:rPr>
          <w:rFonts w:hint="eastAsia"/>
        </w:rPr>
        <w:t>於香港境內送下飛機時，須將送下飛機的該事實和其原因報知─</w:t>
      </w:r>
    </w:p>
    <w:p w14:paraId="64AAE493" w14:textId="77777777" w:rsidR="00CA23FA" w:rsidRPr="001663AE" w:rsidRDefault="00CA23FA" w:rsidP="00D87D91">
      <w:pPr>
        <w:pStyle w:val="3"/>
      </w:pPr>
      <w:r w:rsidRPr="001663AE">
        <w:rPr>
          <w:rFonts w:hint="eastAsia"/>
        </w:rPr>
        <w:t xml:space="preserve">(i) </w:t>
      </w:r>
      <w:r w:rsidRPr="001663AE">
        <w:rPr>
          <w:rFonts w:hint="eastAsia"/>
        </w:rPr>
        <w:t>送下飛機的當地的具有權限的主管當局；及</w:t>
      </w:r>
    </w:p>
    <w:p w14:paraId="0B0FC847" w14:textId="77777777" w:rsidR="00CA23FA" w:rsidRPr="001663AE" w:rsidRDefault="00CA23FA" w:rsidP="00D87D91">
      <w:pPr>
        <w:pStyle w:val="3"/>
      </w:pPr>
      <w:r w:rsidRPr="001663AE">
        <w:rPr>
          <w:rFonts w:hint="eastAsia"/>
        </w:rPr>
        <w:t xml:space="preserve">(ii) </w:t>
      </w:r>
      <w:r w:rsidRPr="001663AE">
        <w:rPr>
          <w:rFonts w:hint="eastAsia"/>
        </w:rPr>
        <w:t>該某國的適當的外交或領事辦事處；</w:t>
      </w:r>
    </w:p>
    <w:p w14:paraId="7782FC58" w14:textId="77777777" w:rsidR="00CA23FA" w:rsidRPr="001663AE" w:rsidRDefault="00CA23FA" w:rsidP="00D87D91">
      <w:pPr>
        <w:pStyle w:val="3"/>
      </w:pPr>
      <w:r w:rsidRPr="001663AE">
        <w:rPr>
          <w:rFonts w:hint="eastAsia"/>
        </w:rPr>
        <w:t xml:space="preserve">(b) </w:t>
      </w:r>
      <w:r w:rsidRPr="001663AE">
        <w:rPr>
          <w:rFonts w:hint="eastAsia"/>
        </w:rPr>
        <w:t>如擬按照第</w:t>
      </w:r>
      <w:r w:rsidRPr="001663AE">
        <w:rPr>
          <w:rFonts w:hint="eastAsia"/>
        </w:rPr>
        <w:t>(5)(b)</w:t>
      </w:r>
      <w:r w:rsidRPr="001663AE">
        <w:rPr>
          <w:rFonts w:hint="eastAsia"/>
        </w:rPr>
        <w:t>款將屬某國籍的人在香港境內或</w:t>
      </w:r>
      <w:r w:rsidRPr="001663AE">
        <w:rPr>
          <w:rFonts w:hint="eastAsia"/>
        </w:rPr>
        <w:t>(</w:t>
      </w:r>
      <w:r w:rsidRPr="001663AE">
        <w:rPr>
          <w:rFonts w:hint="eastAsia"/>
        </w:rPr>
        <w:t>如屬香港控制的飛機</w:t>
      </w:r>
      <w:r w:rsidRPr="001663AE">
        <w:rPr>
          <w:rFonts w:hint="eastAsia"/>
        </w:rPr>
        <w:t>)</w:t>
      </w:r>
      <w:r w:rsidRPr="001663AE">
        <w:rPr>
          <w:rFonts w:hint="eastAsia"/>
        </w:rPr>
        <w:t>在《東京公約》適用的國家或地區內送交有關人員，須於着陸之前或着陸之後在合理切實可行範圍內盡快將其意向和送交的原因通知以下人士和辦事處─</w:t>
      </w:r>
    </w:p>
    <w:p w14:paraId="7717B0C7" w14:textId="77777777" w:rsidR="00CA23FA" w:rsidRPr="001663AE" w:rsidRDefault="00CA23FA" w:rsidP="00D87D91">
      <w:pPr>
        <w:pStyle w:val="3"/>
      </w:pPr>
      <w:r w:rsidRPr="001663AE">
        <w:rPr>
          <w:rFonts w:hint="eastAsia"/>
        </w:rPr>
        <w:t xml:space="preserve">(i) </w:t>
      </w:r>
      <w:r w:rsidRPr="001663AE">
        <w:rPr>
          <w:rFonts w:hint="eastAsia"/>
        </w:rPr>
        <w:t>凡所涉地方是香港，則通知警務人員或入境事務人員，或若是任何其他《東京公約》適用的國家或地區，則通知職能相當於警務人員或入境事務人員的職能的公職人員；及</w:t>
      </w:r>
    </w:p>
    <w:p w14:paraId="62E5C963" w14:textId="77777777" w:rsidR="00CA23FA" w:rsidRPr="001663AE" w:rsidRDefault="00CA23FA" w:rsidP="00D87D91">
      <w:pPr>
        <w:pStyle w:val="3"/>
      </w:pPr>
      <w:r w:rsidRPr="001663AE">
        <w:rPr>
          <w:rFonts w:hint="eastAsia"/>
        </w:rPr>
        <w:t xml:space="preserve">(ii) </w:t>
      </w:r>
      <w:r w:rsidRPr="001663AE">
        <w:rPr>
          <w:rFonts w:hint="eastAsia"/>
        </w:rPr>
        <w:t>無論屬何種情況，均須通知該某國的適當的外交或領事辦事處，而任何飛機的機長無合理辯解而不遵從本款的規定，即屬犯罪，一經循簡易程序定罪，可處第</w:t>
      </w:r>
      <w:r w:rsidRPr="001663AE">
        <w:rPr>
          <w:rFonts w:hint="eastAsia"/>
        </w:rPr>
        <w:t>2</w:t>
      </w:r>
      <w:r w:rsidRPr="001663AE">
        <w:rPr>
          <w:rFonts w:hint="eastAsia"/>
        </w:rPr>
        <w:t>級罰款。</w:t>
      </w:r>
    </w:p>
  </w:footnote>
  <w:footnote w:id="189">
    <w:p w14:paraId="246BC7FD" w14:textId="77777777" w:rsidR="00CA23FA" w:rsidRPr="001663AE" w:rsidRDefault="00CA23FA" w:rsidP="00D87D91">
      <w:pPr>
        <w:pStyle w:val="3"/>
      </w:pPr>
      <w:r w:rsidRPr="001663AE">
        <w:rPr>
          <w:rStyle w:val="af3"/>
          <w:rFonts w:ascii="新細明體" w:hAnsi="新細明體"/>
        </w:rPr>
        <w:footnoteRef/>
      </w:r>
      <w:r w:rsidRPr="001663AE">
        <w:rPr>
          <w:rFonts w:hint="eastAsia"/>
        </w:rPr>
        <w:t>香港航空保安條例第</w:t>
      </w:r>
      <w:r w:rsidRPr="001663AE">
        <w:rPr>
          <w:rFonts w:hint="eastAsia"/>
        </w:rPr>
        <w:t>6</w:t>
      </w:r>
      <w:r w:rsidRPr="001663AE">
        <w:rPr>
          <w:rFonts w:hint="eastAsia"/>
        </w:rPr>
        <w:t>條</w:t>
      </w:r>
      <w:r>
        <w:rPr>
          <w:rFonts w:hint="eastAsia"/>
        </w:rPr>
        <w:t>〜</w:t>
      </w:r>
    </w:p>
    <w:p w14:paraId="55E3F366" w14:textId="77777777" w:rsidR="00CA23FA" w:rsidRPr="001663AE" w:rsidRDefault="00CA23FA" w:rsidP="00D87D91">
      <w:pPr>
        <w:pStyle w:val="3"/>
      </w:pPr>
      <w:r w:rsidRPr="001663AE">
        <w:rPr>
          <w:rFonts w:hint="eastAsia"/>
        </w:rPr>
        <w:t xml:space="preserve">(1) </w:t>
      </w:r>
      <w:r w:rsidRPr="001663AE">
        <w:rPr>
          <w:rFonts w:hint="eastAsia"/>
        </w:rPr>
        <w:t>在就飛機上所犯的罪行而於香港的法院進行的任何法律程序中，如需要屬某國籍的人的證供，而法院信納不能在香港找到該人，則該人先前在香港以外的地方在以下情況下經宣誓而作出的關於該等法律程序的標的事項的任何供詞，在該法院可被接納為證據─</w:t>
      </w:r>
    </w:p>
    <w:p w14:paraId="24FD7CA1" w14:textId="77777777" w:rsidR="00CA23FA" w:rsidRPr="001663AE" w:rsidRDefault="00CA23FA" w:rsidP="00D87D91">
      <w:pPr>
        <w:pStyle w:val="3"/>
      </w:pPr>
      <w:r w:rsidRPr="001663AE">
        <w:rPr>
          <w:rFonts w:hint="eastAsia"/>
        </w:rPr>
        <w:t xml:space="preserve">(a) </w:t>
      </w:r>
      <w:r w:rsidRPr="001663AE">
        <w:rPr>
          <w:rFonts w:hint="eastAsia"/>
        </w:rPr>
        <w:t>是被控該罪行的人在場下作出的；及</w:t>
      </w:r>
    </w:p>
    <w:p w14:paraId="2BA2E789" w14:textId="77777777" w:rsidR="00CA23FA" w:rsidRPr="001663AE" w:rsidRDefault="00CA23FA" w:rsidP="00D87D91">
      <w:pPr>
        <w:pStyle w:val="3"/>
      </w:pPr>
      <w:r w:rsidRPr="001663AE">
        <w:rPr>
          <w:rFonts w:hint="eastAsia"/>
        </w:rPr>
        <w:t xml:space="preserve">(b) </w:t>
      </w:r>
      <w:r w:rsidRPr="001663AE">
        <w:rPr>
          <w:rFonts w:hint="eastAsia"/>
        </w:rPr>
        <w:t>是在該某國的領事館官員或某國家的法官或裁判官席前作出的。</w:t>
      </w:r>
    </w:p>
    <w:p w14:paraId="23992B58" w14:textId="77777777" w:rsidR="00CA23FA" w:rsidRPr="001663AE" w:rsidRDefault="00CA23FA" w:rsidP="00D87D91">
      <w:pPr>
        <w:pStyle w:val="3"/>
      </w:pPr>
      <w:r w:rsidRPr="001663AE">
        <w:rPr>
          <w:rFonts w:hint="eastAsia"/>
        </w:rPr>
        <w:t xml:space="preserve">(2) </w:t>
      </w:r>
      <w:r w:rsidRPr="001663AE">
        <w:rPr>
          <w:rFonts w:hint="eastAsia"/>
        </w:rPr>
        <w:t>凡任何該等供詞在某法官、裁判官或領事館官員席前作出，該等供詞須由法官、裁判官或領事館官員簽署認證，而他須證明被控有關罪行的人在錄取該等供詞時在場。</w:t>
      </w:r>
    </w:p>
    <w:p w14:paraId="462087C4" w14:textId="77777777" w:rsidR="00CA23FA" w:rsidRPr="001663AE" w:rsidRDefault="00CA23FA" w:rsidP="00D87D91">
      <w:pPr>
        <w:pStyle w:val="3"/>
      </w:pPr>
      <w:r w:rsidRPr="001663AE">
        <w:rPr>
          <w:rFonts w:hint="eastAsia"/>
        </w:rPr>
        <w:t xml:space="preserve">(3) </w:t>
      </w:r>
      <w:r w:rsidRPr="001663AE">
        <w:rPr>
          <w:rFonts w:hint="eastAsia"/>
        </w:rPr>
        <w:t>在任何法律程序中，無須證明看來是如此認證任何該等供詞的人或發給該等證明書的人的簽名或官方身分，而該等證明書在任何法律程序中須是證明被控該罪行的人在錄取供詞時在場的充分證據，除非證明事實並非如此。</w:t>
      </w:r>
    </w:p>
    <w:p w14:paraId="690537E7" w14:textId="77777777" w:rsidR="00CA23FA" w:rsidRPr="001663AE" w:rsidRDefault="00CA23FA" w:rsidP="00D87D91">
      <w:pPr>
        <w:pStyle w:val="3"/>
      </w:pPr>
      <w:r w:rsidRPr="001663AE">
        <w:rPr>
          <w:rFonts w:hint="eastAsia"/>
        </w:rPr>
        <w:t xml:space="preserve">(4) </w:t>
      </w:r>
      <w:r w:rsidRPr="001663AE">
        <w:rPr>
          <w:rFonts w:hint="eastAsia"/>
        </w:rPr>
        <w:t>在本條中─</w:t>
      </w:r>
    </w:p>
    <w:p w14:paraId="083E809F" w14:textId="77777777" w:rsidR="00CA23FA" w:rsidRPr="001663AE" w:rsidRDefault="00CA23FA" w:rsidP="00D87D91">
      <w:pPr>
        <w:pStyle w:val="3"/>
      </w:pPr>
      <w:r w:rsidRPr="001663AE">
        <w:rPr>
          <w:rFonts w:hint="eastAsia"/>
        </w:rPr>
        <w:t>“供詞”</w:t>
      </w:r>
      <w:r w:rsidRPr="001663AE">
        <w:rPr>
          <w:rFonts w:hint="eastAsia"/>
        </w:rPr>
        <w:t xml:space="preserve">(deposition) </w:t>
      </w:r>
      <w:r w:rsidRPr="001663AE">
        <w:rPr>
          <w:rFonts w:hint="eastAsia"/>
        </w:rPr>
        <w:t>包括任何誓章、非宗教式誓詞、聲明或經宣誓而作出的陳述；</w:t>
      </w:r>
    </w:p>
    <w:p w14:paraId="60D91639" w14:textId="77777777" w:rsidR="00CA23FA" w:rsidRPr="001663AE" w:rsidRDefault="00CA23FA" w:rsidP="00D87D91">
      <w:pPr>
        <w:pStyle w:val="3"/>
      </w:pPr>
      <w:r w:rsidRPr="001663AE">
        <w:rPr>
          <w:rFonts w:hint="eastAsia"/>
        </w:rPr>
        <w:t>“宣誓”</w:t>
      </w:r>
      <w:r w:rsidRPr="001663AE">
        <w:rPr>
          <w:rFonts w:hint="eastAsia"/>
        </w:rPr>
        <w:t xml:space="preserve">(oath) </w:t>
      </w:r>
      <w:r w:rsidRPr="001663AE">
        <w:rPr>
          <w:rFonts w:hint="eastAsia"/>
        </w:rPr>
        <w:t>在法律容許某些人士作非宗教式誓詞或聲明以代替宣誓的情況下，包括任何非宗教式誓詞或聲明。</w:t>
      </w:r>
    </w:p>
    <w:p w14:paraId="033666F9" w14:textId="77777777" w:rsidR="00CA23FA" w:rsidRPr="001663AE" w:rsidRDefault="00CA23FA" w:rsidP="00D87D91">
      <w:pPr>
        <w:pStyle w:val="3"/>
      </w:pPr>
      <w:r w:rsidRPr="001663AE">
        <w:rPr>
          <w:rFonts w:hint="eastAsia"/>
        </w:rPr>
        <w:t xml:space="preserve">(5) </w:t>
      </w:r>
      <w:r w:rsidRPr="001663AE">
        <w:rPr>
          <w:rFonts w:hint="eastAsia"/>
        </w:rPr>
        <w:t>本條並不損害除因本條外可被接納為證據的任何供詞被接納為證據。</w:t>
      </w:r>
    </w:p>
  </w:footnote>
  <w:footnote w:id="190">
    <w:p w14:paraId="5918FEE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12B</w:t>
      </w:r>
      <w:r w:rsidRPr="001663AE">
        <w:rPr>
          <w:rFonts w:hint="eastAsia"/>
        </w:rPr>
        <w:t>條</w:t>
      </w:r>
      <w:r>
        <w:rPr>
          <w:rFonts w:hint="eastAsia"/>
        </w:rPr>
        <w:t>〜</w:t>
      </w:r>
    </w:p>
    <w:p w14:paraId="2EF7B059" w14:textId="77777777" w:rsidR="00CA23FA" w:rsidRPr="001663AE" w:rsidRDefault="00CA23FA" w:rsidP="00D87D91">
      <w:pPr>
        <w:pStyle w:val="3"/>
      </w:pPr>
      <w:r w:rsidRPr="001663AE">
        <w:rPr>
          <w:rFonts w:hint="eastAsia"/>
        </w:rPr>
        <w:t xml:space="preserve">(1) </w:t>
      </w:r>
      <w:r w:rsidRPr="001663AE">
        <w:rPr>
          <w:rFonts w:hint="eastAsia"/>
        </w:rPr>
        <w:t>任何在飛機上的人故意妨礙該飛機的機組成員履行其職責，即屬犯罪。</w:t>
      </w:r>
    </w:p>
    <w:p w14:paraId="6F351B4C" w14:textId="77777777" w:rsidR="00CA23FA" w:rsidRPr="001663AE" w:rsidRDefault="00CA23FA" w:rsidP="00D87D91">
      <w:pPr>
        <w:pStyle w:val="3"/>
      </w:pPr>
      <w:r w:rsidRPr="001663AE">
        <w:rPr>
          <w:rFonts w:hint="eastAsia"/>
        </w:rPr>
        <w:t xml:space="preserve">(2) </w:t>
      </w:r>
      <w:r w:rsidRPr="001663AE">
        <w:rPr>
          <w:rFonts w:hint="eastAsia"/>
        </w:rPr>
        <w:t>任何在飛機上的人無合理辯解而不遵從該飛機的機長為以下目的向他發出的或有關的機組成員代該機長為以下目的向他發出的任何指令—</w:t>
      </w:r>
    </w:p>
    <w:p w14:paraId="63653210" w14:textId="77777777" w:rsidR="00CA23FA" w:rsidRPr="001663AE" w:rsidRDefault="00CA23FA" w:rsidP="00D87D91">
      <w:pPr>
        <w:pStyle w:val="3"/>
      </w:pPr>
      <w:r w:rsidRPr="001663AE">
        <w:rPr>
          <w:rFonts w:hint="eastAsia"/>
        </w:rPr>
        <w:t xml:space="preserve">(a) </w:t>
      </w:r>
      <w:r w:rsidRPr="001663AE">
        <w:rPr>
          <w:rFonts w:hint="eastAsia"/>
        </w:rPr>
        <w:t>保障該飛機的安全或該飛機上的人或財產的安全；或</w:t>
      </w:r>
    </w:p>
    <w:p w14:paraId="3C3E689A" w14:textId="77777777" w:rsidR="00CA23FA" w:rsidRPr="001663AE" w:rsidRDefault="00CA23FA" w:rsidP="00D87D91">
      <w:pPr>
        <w:pStyle w:val="3"/>
      </w:pPr>
      <w:r w:rsidRPr="001663AE">
        <w:rPr>
          <w:rFonts w:hint="eastAsia"/>
        </w:rPr>
        <w:t xml:space="preserve">(b) </w:t>
      </w:r>
      <w:r w:rsidRPr="001663AE">
        <w:rPr>
          <w:rFonts w:hint="eastAsia"/>
        </w:rPr>
        <w:t>維持該飛機上的良好秩序和紀律，</w:t>
      </w:r>
    </w:p>
    <w:p w14:paraId="413FBF27" w14:textId="77777777" w:rsidR="00CA23FA" w:rsidRPr="001663AE" w:rsidRDefault="00CA23FA" w:rsidP="00D87D91">
      <w:pPr>
        <w:pStyle w:val="3"/>
      </w:pPr>
      <w:r w:rsidRPr="001663AE">
        <w:rPr>
          <w:rFonts w:hint="eastAsia"/>
        </w:rPr>
        <w:t>即屬犯罪。</w:t>
      </w:r>
    </w:p>
  </w:footnote>
  <w:footnote w:id="191">
    <w:p w14:paraId="45950187"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13</w:t>
      </w:r>
      <w:r w:rsidRPr="001663AE">
        <w:rPr>
          <w:rFonts w:hint="eastAsia"/>
        </w:rPr>
        <w:t>條</w:t>
      </w:r>
      <w:r>
        <w:rPr>
          <w:rFonts w:hint="eastAsia"/>
        </w:rPr>
        <w:t>〜</w:t>
      </w:r>
      <w:r w:rsidRPr="001663AE">
        <w:rPr>
          <w:rFonts w:hint="eastAsia"/>
        </w:rPr>
        <w:t>-</w:t>
      </w:r>
    </w:p>
    <w:p w14:paraId="00686107" w14:textId="77777777" w:rsidR="00CA23FA" w:rsidRPr="001663AE" w:rsidRDefault="00CA23FA" w:rsidP="00D87D91">
      <w:pPr>
        <w:pStyle w:val="3"/>
      </w:pPr>
      <w:r w:rsidRPr="001663AE">
        <w:rPr>
          <w:rFonts w:hint="eastAsia"/>
        </w:rPr>
        <w:t xml:space="preserve">(1) </w:t>
      </w:r>
      <w:r w:rsidRPr="001663AE">
        <w:rPr>
          <w:rFonts w:hint="eastAsia"/>
        </w:rPr>
        <w:t>凡飛機營運者的僱員、獲該營運者為此而授權的人、機場的經理、獲該經理為此而授權的人、警務人員或任何其他公職人員有合理理由懷疑任何即將在香港登上某飛機的人或任何正在該飛機上的人，意圖就該飛機犯第</w:t>
      </w:r>
      <w:r w:rsidRPr="001663AE">
        <w:rPr>
          <w:rFonts w:hint="eastAsia"/>
        </w:rPr>
        <w:t>8</w:t>
      </w:r>
      <w:r w:rsidRPr="001663AE">
        <w:rPr>
          <w:rFonts w:hint="eastAsia"/>
        </w:rPr>
        <w:t>、</w:t>
      </w:r>
      <w:r w:rsidRPr="001663AE">
        <w:rPr>
          <w:rFonts w:hint="eastAsia"/>
        </w:rPr>
        <w:t>9</w:t>
      </w:r>
      <w:r w:rsidRPr="001663AE">
        <w:rPr>
          <w:rFonts w:hint="eastAsia"/>
        </w:rPr>
        <w:t>、</w:t>
      </w:r>
      <w:r w:rsidRPr="001663AE">
        <w:rPr>
          <w:rFonts w:hint="eastAsia"/>
        </w:rPr>
        <w:t>11</w:t>
      </w:r>
      <w:r w:rsidRPr="001663AE">
        <w:rPr>
          <w:rFonts w:hint="eastAsia"/>
        </w:rPr>
        <w:t>、</w:t>
      </w:r>
      <w:r w:rsidRPr="001663AE">
        <w:rPr>
          <w:rFonts w:hint="eastAsia"/>
        </w:rPr>
        <w:t>12</w:t>
      </w:r>
      <w:r w:rsidRPr="001663AE">
        <w:rPr>
          <w:rFonts w:hint="eastAsia"/>
        </w:rPr>
        <w:t>、</w:t>
      </w:r>
      <w:r w:rsidRPr="001663AE">
        <w:rPr>
          <w:rFonts w:hint="eastAsia"/>
        </w:rPr>
        <w:t>12A</w:t>
      </w:r>
      <w:r w:rsidRPr="001663AE">
        <w:rPr>
          <w:rFonts w:hint="eastAsia"/>
        </w:rPr>
        <w:t>或</w:t>
      </w:r>
      <w:r w:rsidRPr="001663AE">
        <w:rPr>
          <w:rFonts w:hint="eastAsia"/>
        </w:rPr>
        <w:t>12B</w:t>
      </w:r>
      <w:r w:rsidRPr="001663AE">
        <w:rPr>
          <w:rFonts w:hint="eastAsia"/>
        </w:rPr>
        <w:t>條所訂的罪行，則該僱員、該經理、該人或該人員可禁止該人乘搭該飛機，而為強制執行該項禁止的目的，該僱員或人員可─</w:t>
      </w:r>
      <w:r>
        <w:rPr>
          <w:rFonts w:hint="eastAsia"/>
        </w:rPr>
        <w:t>(</w:t>
      </w:r>
      <w:r w:rsidRPr="001663AE">
        <w:rPr>
          <w:rFonts w:hint="eastAsia"/>
        </w:rPr>
        <w:t>由</w:t>
      </w:r>
      <w:r w:rsidRPr="001663AE">
        <w:rPr>
          <w:rFonts w:hint="eastAsia"/>
        </w:rPr>
        <w:t>2005</w:t>
      </w:r>
      <w:r w:rsidRPr="001663AE">
        <w:rPr>
          <w:rFonts w:hint="eastAsia"/>
        </w:rPr>
        <w:t>年第</w:t>
      </w:r>
      <w:r w:rsidRPr="001663AE">
        <w:rPr>
          <w:rFonts w:hint="eastAsia"/>
        </w:rPr>
        <w:t>14</w:t>
      </w:r>
      <w:r w:rsidRPr="001663AE">
        <w:rPr>
          <w:rFonts w:hint="eastAsia"/>
        </w:rPr>
        <w:t>號第</w:t>
      </w:r>
      <w:r w:rsidRPr="001663AE">
        <w:rPr>
          <w:rFonts w:hint="eastAsia"/>
        </w:rPr>
        <w:t>5</w:t>
      </w:r>
      <w:r w:rsidRPr="001663AE">
        <w:rPr>
          <w:rFonts w:hint="eastAsia"/>
        </w:rPr>
        <w:t>條修訂</w:t>
      </w:r>
      <w:r w:rsidRPr="001663AE">
        <w:rPr>
          <w:rFonts w:hint="eastAsia"/>
        </w:rPr>
        <w:t>)</w:t>
      </w:r>
    </w:p>
    <w:p w14:paraId="3F5EF9DF" w14:textId="77777777" w:rsidR="00CA23FA" w:rsidRPr="001663AE" w:rsidRDefault="00CA23FA" w:rsidP="00D87D91">
      <w:pPr>
        <w:pStyle w:val="3"/>
      </w:pPr>
      <w:r w:rsidRPr="001663AE">
        <w:rPr>
          <w:rFonts w:hint="eastAsia"/>
        </w:rPr>
        <w:t xml:space="preserve">(a) </w:t>
      </w:r>
      <w:r w:rsidRPr="001663AE">
        <w:rPr>
          <w:rFonts w:hint="eastAsia"/>
        </w:rPr>
        <w:t>阻止該人登上該飛機或</w:t>
      </w:r>
      <w:r w:rsidRPr="001663AE">
        <w:rPr>
          <w:rFonts w:hint="eastAsia"/>
        </w:rPr>
        <w:t>(</w:t>
      </w:r>
      <w:r w:rsidRPr="001663AE">
        <w:rPr>
          <w:rFonts w:hint="eastAsia"/>
        </w:rPr>
        <w:t>視屬何情況而定</w:t>
      </w:r>
      <w:r w:rsidRPr="001663AE">
        <w:rPr>
          <w:rFonts w:hint="eastAsia"/>
        </w:rPr>
        <w:t>)</w:t>
      </w:r>
      <w:r w:rsidRPr="001663AE">
        <w:rPr>
          <w:rFonts w:hint="eastAsia"/>
        </w:rPr>
        <w:t>可將該人從該飛機移走；及</w:t>
      </w:r>
    </w:p>
    <w:p w14:paraId="39A4BFEC" w14:textId="77777777" w:rsidR="00CA23FA" w:rsidRPr="001663AE" w:rsidRDefault="00CA23FA" w:rsidP="00D87D91">
      <w:pPr>
        <w:pStyle w:val="3"/>
      </w:pPr>
      <w:r w:rsidRPr="001663AE">
        <w:rPr>
          <w:rFonts w:hint="eastAsia"/>
        </w:rPr>
        <w:t xml:space="preserve">(b) </w:t>
      </w:r>
      <w:r w:rsidRPr="001663AE">
        <w:rPr>
          <w:rFonts w:hint="eastAsia"/>
        </w:rPr>
        <w:t>在無手令的情況下逮捕該人，並─</w:t>
      </w:r>
    </w:p>
    <w:p w14:paraId="006395C8" w14:textId="77777777" w:rsidR="00CA23FA" w:rsidRPr="001663AE" w:rsidRDefault="00CA23FA" w:rsidP="00D87D91">
      <w:pPr>
        <w:pStyle w:val="3"/>
      </w:pPr>
      <w:r w:rsidRPr="001663AE">
        <w:rPr>
          <w:rFonts w:hint="eastAsia"/>
        </w:rPr>
        <w:t xml:space="preserve">(i) </w:t>
      </w:r>
      <w:r w:rsidRPr="001663AE">
        <w:rPr>
          <w:rFonts w:hint="eastAsia"/>
        </w:rPr>
        <w:t>將該人羈留一段為該目的所需的時間；或</w:t>
      </w:r>
    </w:p>
    <w:p w14:paraId="0775D35B" w14:textId="77777777" w:rsidR="00CA23FA" w:rsidRPr="001663AE" w:rsidRDefault="00CA23FA" w:rsidP="00D87D91">
      <w:pPr>
        <w:pStyle w:val="3"/>
      </w:pPr>
      <w:r w:rsidRPr="001663AE">
        <w:rPr>
          <w:rFonts w:hint="eastAsia"/>
        </w:rPr>
        <w:t>(ii)</w:t>
      </w:r>
      <w:r>
        <w:rPr>
          <w:rFonts w:hint="eastAsia"/>
        </w:rPr>
        <w:t>(</w:t>
      </w:r>
      <w:r w:rsidRPr="001663AE">
        <w:rPr>
          <w:rFonts w:hint="eastAsia"/>
        </w:rPr>
        <w:t>如作出逮捕的人本身不是警務人員</w:t>
      </w:r>
      <w:r w:rsidRPr="001663AE">
        <w:rPr>
          <w:rFonts w:hint="eastAsia"/>
        </w:rPr>
        <w:t>)</w:t>
      </w:r>
      <w:r w:rsidRPr="001663AE">
        <w:rPr>
          <w:rFonts w:hint="eastAsia"/>
        </w:rPr>
        <w:t>須在合理切實可行範圍內盡快將被如此逮捕的人送交警務人員。</w:t>
      </w:r>
    </w:p>
    <w:p w14:paraId="4E39F84A" w14:textId="77777777" w:rsidR="00CA23FA" w:rsidRPr="001663AE" w:rsidRDefault="00CA23FA" w:rsidP="00D87D91">
      <w:pPr>
        <w:pStyle w:val="3"/>
      </w:pPr>
      <w:r w:rsidRPr="001663AE">
        <w:rPr>
          <w:rFonts w:hint="eastAsia"/>
        </w:rPr>
        <w:t xml:space="preserve">(2) </w:t>
      </w:r>
      <w:r w:rsidRPr="001663AE">
        <w:rPr>
          <w:rFonts w:hint="eastAsia"/>
        </w:rPr>
        <w:t>任何人故意妨礙任何人在行使第</w:t>
      </w:r>
      <w:r w:rsidRPr="001663AE">
        <w:rPr>
          <w:rFonts w:hint="eastAsia"/>
        </w:rPr>
        <w:t>(1)</w:t>
      </w:r>
      <w:r w:rsidRPr="001663AE">
        <w:rPr>
          <w:rFonts w:hint="eastAsia"/>
        </w:rPr>
        <w:t>款所授予的權力下行事，即屬犯罪─</w:t>
      </w:r>
    </w:p>
    <w:p w14:paraId="20F719E0" w14:textId="77777777" w:rsidR="00CA23FA" w:rsidRPr="001663AE" w:rsidRDefault="00CA23FA" w:rsidP="00D87D91">
      <w:pPr>
        <w:pStyle w:val="3"/>
      </w:pPr>
      <w:r w:rsidRPr="001663AE">
        <w:rPr>
          <w:rFonts w:hint="eastAsia"/>
        </w:rPr>
        <w:t xml:space="preserve">(a) </w:t>
      </w:r>
      <w:r w:rsidRPr="001663AE">
        <w:rPr>
          <w:rFonts w:hint="eastAsia"/>
        </w:rPr>
        <w:t>一經循簡易程序定罪，可處第</w:t>
      </w:r>
      <w:r w:rsidRPr="001663AE">
        <w:rPr>
          <w:rFonts w:hint="eastAsia"/>
        </w:rPr>
        <w:t>2</w:t>
      </w:r>
      <w:r w:rsidRPr="001663AE">
        <w:rPr>
          <w:rFonts w:hint="eastAsia"/>
        </w:rPr>
        <w:t>級罰款；</w:t>
      </w:r>
    </w:p>
    <w:p w14:paraId="42A85940" w14:textId="77777777" w:rsidR="00CA23FA" w:rsidRPr="001663AE" w:rsidRDefault="00CA23FA" w:rsidP="00D87D91">
      <w:pPr>
        <w:pStyle w:val="3"/>
      </w:pPr>
      <w:r w:rsidRPr="001663AE">
        <w:rPr>
          <w:rFonts w:hint="eastAsia"/>
        </w:rPr>
        <w:t xml:space="preserve">(b) </w:t>
      </w:r>
      <w:r w:rsidRPr="001663AE">
        <w:rPr>
          <w:rFonts w:hint="eastAsia"/>
        </w:rPr>
        <w:t>一經循公訴程序定罪，可處第</w:t>
      </w:r>
      <w:r w:rsidRPr="001663AE">
        <w:rPr>
          <w:rFonts w:hint="eastAsia"/>
        </w:rPr>
        <w:t>4</w:t>
      </w:r>
      <w:r w:rsidRPr="001663AE">
        <w:rPr>
          <w:rFonts w:hint="eastAsia"/>
        </w:rPr>
        <w:t>級罰款和監禁</w:t>
      </w:r>
      <w:r w:rsidRPr="001663AE">
        <w:rPr>
          <w:rFonts w:hint="eastAsia"/>
        </w:rPr>
        <w:t>2</w:t>
      </w:r>
      <w:r w:rsidRPr="001663AE">
        <w:rPr>
          <w:rFonts w:hint="eastAsia"/>
        </w:rPr>
        <w:t>年。</w:t>
      </w:r>
    </w:p>
    <w:p w14:paraId="4F74D2E7" w14:textId="77777777" w:rsidR="00CA23FA" w:rsidRPr="001663AE" w:rsidRDefault="00CA23FA" w:rsidP="00D87D91">
      <w:pPr>
        <w:pStyle w:val="3"/>
      </w:pPr>
      <w:r w:rsidRPr="001663AE">
        <w:rPr>
          <w:rFonts w:hint="eastAsia"/>
        </w:rPr>
        <w:t xml:space="preserve">(3) </w:t>
      </w:r>
      <w:r w:rsidRPr="001663AE">
        <w:rPr>
          <w:rFonts w:hint="eastAsia"/>
        </w:rPr>
        <w:t>第</w:t>
      </w:r>
      <w:r w:rsidRPr="001663AE">
        <w:rPr>
          <w:rFonts w:hint="eastAsia"/>
        </w:rPr>
        <w:t>(1)</w:t>
      </w:r>
      <w:r w:rsidRPr="001663AE">
        <w:rPr>
          <w:rFonts w:hint="eastAsia"/>
        </w:rPr>
        <w:t>款在不損害任何關乎在無手令的情況下進行逮捕的法律就本條例所訂的任何罪行的實施下具有效力。</w:t>
      </w:r>
    </w:p>
  </w:footnote>
  <w:footnote w:id="192">
    <w:p w14:paraId="4FCBBBE9"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46</w:t>
      </w:r>
      <w:r w:rsidRPr="001663AE">
        <w:rPr>
          <w:rFonts w:hint="eastAsia"/>
        </w:rPr>
        <w:t>條</w:t>
      </w:r>
      <w:r w:rsidRPr="001663AE">
        <w:rPr>
          <w:rFonts w:hint="eastAsia"/>
        </w:rPr>
        <w:t>(</w:t>
      </w:r>
      <w:r w:rsidRPr="001663AE">
        <w:rPr>
          <w:rFonts w:hint="eastAsia"/>
        </w:rPr>
        <w:t>強制執行通知</w:t>
      </w:r>
      <w:r w:rsidRPr="001663AE">
        <w:rPr>
          <w:rFonts w:hint="eastAsia"/>
        </w:rPr>
        <w:t xml:space="preserve"> )</w:t>
      </w:r>
      <w:r>
        <w:rPr>
          <w:rFonts w:hint="eastAsia"/>
        </w:rPr>
        <w:t>〜</w:t>
      </w:r>
      <w:r w:rsidRPr="001663AE">
        <w:rPr>
          <w:rFonts w:hint="eastAsia"/>
        </w:rPr>
        <w:t>-</w:t>
      </w:r>
    </w:p>
    <w:p w14:paraId="55F4CB3C" w14:textId="77777777" w:rsidR="00CA23FA" w:rsidRPr="001663AE" w:rsidRDefault="00CA23FA" w:rsidP="00D87D91">
      <w:pPr>
        <w:pStyle w:val="3"/>
      </w:pPr>
      <w:r w:rsidRPr="001663AE">
        <w:rPr>
          <w:rFonts w:hint="eastAsia"/>
        </w:rPr>
        <w:t xml:space="preserve">(1) </w:t>
      </w:r>
      <w:r w:rsidRPr="001663AE">
        <w:rPr>
          <w:rFonts w:hint="eastAsia"/>
        </w:rPr>
        <w:t>凡獲授權人員認為任何人沒有遵從任何向他發出的指示的規定，他可向該人送達通知─</w:t>
      </w:r>
    </w:p>
    <w:p w14:paraId="2B25A4B9" w14:textId="77777777" w:rsidR="00CA23FA" w:rsidRPr="001663AE" w:rsidRDefault="00CA23FA" w:rsidP="00D87D91">
      <w:pPr>
        <w:pStyle w:val="3"/>
      </w:pPr>
      <w:r w:rsidRPr="001663AE">
        <w:rPr>
          <w:rFonts w:hint="eastAsia"/>
        </w:rPr>
        <w:t xml:space="preserve">(a) </w:t>
      </w:r>
      <w:r w:rsidRPr="001663AE">
        <w:rPr>
          <w:rFonts w:hint="eastAsia"/>
        </w:rPr>
        <w:t>指明獲授權人員認為該指示的那些規定是該人沒有遵從的；及</w:t>
      </w:r>
    </w:p>
    <w:p w14:paraId="5E2D2492" w14:textId="77777777" w:rsidR="00CA23FA" w:rsidRPr="001663AE" w:rsidRDefault="00CA23FA" w:rsidP="00D87D91">
      <w:pPr>
        <w:pStyle w:val="3"/>
      </w:pPr>
      <w:r w:rsidRPr="001663AE">
        <w:rPr>
          <w:rFonts w:hint="eastAsia"/>
        </w:rPr>
        <w:t xml:space="preserve">(b) </w:t>
      </w:r>
      <w:r w:rsidRPr="001663AE">
        <w:rPr>
          <w:rFonts w:hint="eastAsia"/>
        </w:rPr>
        <w:t>指明在符合第</w:t>
      </w:r>
      <w:r w:rsidRPr="001663AE">
        <w:rPr>
          <w:rFonts w:hint="eastAsia"/>
        </w:rPr>
        <w:t>47</w:t>
      </w:r>
      <w:r w:rsidRPr="001663AE">
        <w:rPr>
          <w:rFonts w:hint="eastAsia"/>
        </w:rPr>
        <w:t>條的規定下為遵從該等規定而應採取的措施。</w:t>
      </w:r>
    </w:p>
    <w:p w14:paraId="04E0ED4E" w14:textId="77777777" w:rsidR="00CA23FA" w:rsidRPr="001663AE" w:rsidRDefault="00CA23FA" w:rsidP="00D87D91">
      <w:pPr>
        <w:pStyle w:val="3"/>
      </w:pPr>
      <w:r w:rsidRPr="001663AE">
        <w:rPr>
          <w:rFonts w:hint="eastAsia"/>
        </w:rPr>
        <w:t xml:space="preserve">(2) </w:t>
      </w:r>
      <w:r w:rsidRPr="001663AE">
        <w:rPr>
          <w:rFonts w:hint="eastAsia"/>
        </w:rPr>
        <w:t>在將關乎根據第</w:t>
      </w:r>
      <w:r w:rsidRPr="001663AE">
        <w:rPr>
          <w:rFonts w:hint="eastAsia"/>
        </w:rPr>
        <w:t>39(1)</w:t>
      </w:r>
      <w:r w:rsidRPr="001663AE">
        <w:rPr>
          <w:rFonts w:hint="eastAsia"/>
        </w:rPr>
        <w:t>條發出的指示的任何強制執行通知送達之前，獲授權人員須告知監督在該通知內所指明的建議措施，並須對監督就該等建議向他提出的意見作出考慮。</w:t>
      </w:r>
    </w:p>
  </w:footnote>
  <w:footnote w:id="193">
    <w:p w14:paraId="43FC6AE7" w14:textId="77777777" w:rsidR="00CA23FA" w:rsidRPr="001663AE" w:rsidRDefault="00CA23FA" w:rsidP="00D87D91">
      <w:pPr>
        <w:pStyle w:val="3"/>
      </w:pPr>
      <w:r w:rsidRPr="001663AE">
        <w:rPr>
          <w:rStyle w:val="af3"/>
          <w:rFonts w:ascii="新細明體" w:hAnsi="新細明體"/>
        </w:rPr>
        <w:footnoteRef/>
      </w:r>
      <w:r w:rsidRPr="001663AE">
        <w:rPr>
          <w:rFonts w:hint="eastAsia"/>
        </w:rPr>
        <w:t>香港航空保安條例第</w:t>
      </w:r>
      <w:r w:rsidRPr="001663AE">
        <w:rPr>
          <w:rFonts w:hint="eastAsia"/>
        </w:rPr>
        <w:t>47</w:t>
      </w:r>
      <w:r w:rsidRPr="001663AE">
        <w:rPr>
          <w:rFonts w:hint="eastAsia"/>
        </w:rPr>
        <w:t>條</w:t>
      </w:r>
      <w:r w:rsidRPr="001663AE">
        <w:rPr>
          <w:rFonts w:hint="eastAsia"/>
        </w:rPr>
        <w:t>(</w:t>
      </w:r>
      <w:r w:rsidRPr="001663AE">
        <w:rPr>
          <w:rFonts w:hint="eastAsia"/>
        </w:rPr>
        <w:t>強制執行通知的內容</w:t>
      </w:r>
      <w:r w:rsidRPr="001663AE">
        <w:rPr>
          <w:rFonts w:hint="eastAsia"/>
        </w:rPr>
        <w:t>)</w:t>
      </w:r>
      <w:r>
        <w:rPr>
          <w:rFonts w:hint="eastAsia"/>
        </w:rPr>
        <w:t>〜</w:t>
      </w:r>
      <w:r w:rsidRPr="001663AE">
        <w:rPr>
          <w:rFonts w:hint="eastAsia"/>
        </w:rPr>
        <w:t>-</w:t>
      </w:r>
    </w:p>
    <w:p w14:paraId="459E0825" w14:textId="77777777" w:rsidR="00CA23FA" w:rsidRPr="001663AE" w:rsidRDefault="00CA23FA" w:rsidP="00D87D91">
      <w:pPr>
        <w:pStyle w:val="3"/>
      </w:pPr>
      <w:r w:rsidRPr="001663AE">
        <w:rPr>
          <w:rFonts w:hint="eastAsia"/>
        </w:rPr>
        <w:t xml:space="preserve">(1) </w:t>
      </w:r>
      <w:r w:rsidRPr="001663AE">
        <w:rPr>
          <w:rFonts w:hint="eastAsia"/>
        </w:rPr>
        <w:t>凡任何強制執行通知所關乎的施加一般規定的指示已在其條文中以一般性的字眼描述某些措施，則該通知可對該等措施作更詳盡指明，但不可施加不是由監督根據該指示所依據的條文發出的任何指示所能施加的任何規定。</w:t>
      </w:r>
    </w:p>
    <w:p w14:paraId="5AAB4051" w14:textId="77777777" w:rsidR="00CA23FA" w:rsidRPr="001663AE" w:rsidRDefault="00CA23FA" w:rsidP="00D87D91">
      <w:pPr>
        <w:pStyle w:val="3"/>
      </w:pPr>
      <w:r w:rsidRPr="001663AE">
        <w:rPr>
          <w:rFonts w:hint="eastAsia"/>
        </w:rPr>
        <w:t xml:space="preserve">(2) </w:t>
      </w:r>
      <w:r w:rsidRPr="001663AE">
        <w:rPr>
          <w:rFonts w:hint="eastAsia"/>
        </w:rPr>
        <w:t>任何強制執行通知的擬定方式，可使獲送達通知的人可選擇不同方式以遵從該指示的指明規定。</w:t>
      </w:r>
    </w:p>
    <w:p w14:paraId="76CF4B33" w14:textId="77777777" w:rsidR="00CA23FA" w:rsidRPr="001663AE" w:rsidRDefault="00CA23FA" w:rsidP="00D87D91">
      <w:pPr>
        <w:pStyle w:val="3"/>
      </w:pPr>
      <w:r w:rsidRPr="001663AE">
        <w:rPr>
          <w:rFonts w:hint="eastAsia"/>
        </w:rPr>
        <w:t xml:space="preserve">(3) </w:t>
      </w:r>
      <w:r w:rsidRPr="001663AE">
        <w:rPr>
          <w:rFonts w:hint="eastAsia"/>
        </w:rPr>
        <w:t>除第</w:t>
      </w:r>
      <w:r w:rsidRPr="001663AE">
        <w:rPr>
          <w:rFonts w:hint="eastAsia"/>
        </w:rPr>
        <w:t>(4)</w:t>
      </w:r>
      <w:r w:rsidRPr="001663AE">
        <w:rPr>
          <w:rFonts w:hint="eastAsia"/>
        </w:rPr>
        <w:t>款另有規定外，關乎根據第</w:t>
      </w:r>
      <w:r w:rsidRPr="001663AE">
        <w:rPr>
          <w:rFonts w:hint="eastAsia"/>
        </w:rPr>
        <w:t>39</w:t>
      </w:r>
      <w:r w:rsidRPr="001663AE">
        <w:rPr>
          <w:rFonts w:hint="eastAsia"/>
        </w:rPr>
        <w:t>條發出的指示的任何強制執行通知必須規定獲發給指示的人在指明的措施未予採取之前，不得安排作出或不得准許作出該條的第</w:t>
      </w:r>
      <w:r w:rsidRPr="001663AE">
        <w:rPr>
          <w:rFonts w:hint="eastAsia"/>
        </w:rPr>
        <w:t>(1)(a)</w:t>
      </w:r>
      <w:r w:rsidRPr="001663AE">
        <w:rPr>
          <w:rFonts w:hint="eastAsia"/>
        </w:rPr>
        <w:t>或</w:t>
      </w:r>
      <w:r w:rsidRPr="001663AE">
        <w:rPr>
          <w:rFonts w:hint="eastAsia"/>
        </w:rPr>
        <w:t>(b)</w:t>
      </w:r>
      <w:r w:rsidRPr="001663AE">
        <w:rPr>
          <w:rFonts w:hint="eastAsia"/>
        </w:rPr>
        <w:t>或</w:t>
      </w:r>
      <w:r w:rsidRPr="001663AE">
        <w:rPr>
          <w:rFonts w:hint="eastAsia"/>
        </w:rPr>
        <w:t>(2)</w:t>
      </w:r>
      <w:r w:rsidRPr="001663AE">
        <w:rPr>
          <w:rFonts w:hint="eastAsia"/>
        </w:rPr>
        <w:t>款</w:t>
      </w:r>
      <w:r w:rsidRPr="001663AE">
        <w:rPr>
          <w:rFonts w:hint="eastAsia"/>
        </w:rPr>
        <w:t>(</w:t>
      </w:r>
      <w:r w:rsidRPr="001663AE">
        <w:rPr>
          <w:rFonts w:hint="eastAsia"/>
        </w:rPr>
        <w:t>視乎情況所需而定</w:t>
      </w:r>
      <w:r w:rsidRPr="001663AE">
        <w:rPr>
          <w:rFonts w:hint="eastAsia"/>
        </w:rPr>
        <w:t>)</w:t>
      </w:r>
      <w:r w:rsidRPr="001663AE">
        <w:rPr>
          <w:rFonts w:hint="eastAsia"/>
        </w:rPr>
        <w:t>所述的事情。</w:t>
      </w:r>
    </w:p>
    <w:p w14:paraId="0984D353" w14:textId="77777777" w:rsidR="00CA23FA" w:rsidRPr="001663AE" w:rsidRDefault="00CA23FA" w:rsidP="00D87D91">
      <w:pPr>
        <w:pStyle w:val="3"/>
      </w:pPr>
      <w:r w:rsidRPr="001663AE">
        <w:rPr>
          <w:rFonts w:hint="eastAsia"/>
        </w:rPr>
        <w:t xml:space="preserve">(4) </w:t>
      </w:r>
      <w:r w:rsidRPr="001663AE">
        <w:rPr>
          <w:rFonts w:hint="eastAsia"/>
        </w:rPr>
        <w:t>在送達關乎根據第</w:t>
      </w:r>
      <w:r w:rsidRPr="001663AE">
        <w:rPr>
          <w:rFonts w:hint="eastAsia"/>
        </w:rPr>
        <w:t>39(2)</w:t>
      </w:r>
      <w:r w:rsidRPr="001663AE">
        <w:rPr>
          <w:rFonts w:hint="eastAsia"/>
        </w:rPr>
        <w:t>條發出的指示的任何強制執行通知時，獲授權人員須容許</w:t>
      </w:r>
      <w:r w:rsidRPr="001663AE">
        <w:rPr>
          <w:rFonts w:hint="eastAsia"/>
        </w:rPr>
        <w:t>(</w:t>
      </w:r>
      <w:r w:rsidRPr="001663AE">
        <w:rPr>
          <w:rFonts w:hint="eastAsia"/>
        </w:rPr>
        <w:t>並須在該通知內指明</w:t>
      </w:r>
      <w:r w:rsidRPr="001663AE">
        <w:rPr>
          <w:rFonts w:hint="eastAsia"/>
        </w:rPr>
        <w:t>)</w:t>
      </w:r>
      <w:r w:rsidRPr="001663AE">
        <w:rPr>
          <w:rFonts w:hint="eastAsia"/>
        </w:rPr>
        <w:t>一段他覺得合理所需的期間，以採取該通知所指明的措施，而該通知不得在上述指明的期間終止前生效。</w:t>
      </w:r>
    </w:p>
    <w:p w14:paraId="47ABCAED" w14:textId="77777777" w:rsidR="00CA23FA" w:rsidRPr="001663AE" w:rsidRDefault="00CA23FA" w:rsidP="00D87D91">
      <w:pPr>
        <w:pStyle w:val="3"/>
      </w:pPr>
      <w:r w:rsidRPr="001663AE">
        <w:rPr>
          <w:rFonts w:hint="eastAsia"/>
        </w:rPr>
        <w:t xml:space="preserve">(5) </w:t>
      </w:r>
      <w:r w:rsidRPr="001663AE">
        <w:rPr>
          <w:rFonts w:hint="eastAsia"/>
        </w:rPr>
        <w:t>關乎任何指示的強制執行通知必須─</w:t>
      </w:r>
    </w:p>
    <w:p w14:paraId="2494D3A5" w14:textId="77777777" w:rsidR="00CA23FA" w:rsidRPr="001663AE" w:rsidRDefault="00CA23FA" w:rsidP="00D87D91">
      <w:pPr>
        <w:pStyle w:val="3"/>
      </w:pPr>
      <w:r w:rsidRPr="001663AE">
        <w:rPr>
          <w:rFonts w:hint="eastAsia"/>
        </w:rPr>
        <w:t xml:space="preserve">(a) </w:t>
      </w:r>
      <w:r w:rsidRPr="001663AE">
        <w:rPr>
          <w:rFonts w:hint="eastAsia"/>
        </w:rPr>
        <w:t>規定獲發給指示的人在該通知內指明的期間內採取如此指明的措施─</w:t>
      </w:r>
    </w:p>
    <w:p w14:paraId="7C8829D8" w14:textId="77777777" w:rsidR="00CA23FA" w:rsidRPr="001663AE" w:rsidRDefault="00CA23FA" w:rsidP="00D87D91">
      <w:pPr>
        <w:pStyle w:val="3"/>
      </w:pPr>
      <w:r w:rsidRPr="001663AE">
        <w:rPr>
          <w:rFonts w:hint="eastAsia"/>
        </w:rPr>
        <w:t xml:space="preserve">(i) </w:t>
      </w:r>
      <w:r w:rsidRPr="001663AE">
        <w:rPr>
          <w:rFonts w:hint="eastAsia"/>
        </w:rPr>
        <w:t>若該項措施是包含或包括任何建築物或其他工程的建造、施行、更改、拆卸或遷移的，該指明的期間不得不少於送達該通知的日期後的</w:t>
      </w:r>
      <w:r w:rsidRPr="001663AE">
        <w:rPr>
          <w:rFonts w:hint="eastAsia"/>
        </w:rPr>
        <w:t>30</w:t>
      </w:r>
      <w:r w:rsidRPr="001663AE">
        <w:rPr>
          <w:rFonts w:hint="eastAsia"/>
        </w:rPr>
        <w:t>日；及</w:t>
      </w:r>
    </w:p>
    <w:p w14:paraId="0EBA398F" w14:textId="77777777" w:rsidR="00CA23FA" w:rsidRPr="001663AE" w:rsidRDefault="00CA23FA" w:rsidP="00D87D91">
      <w:pPr>
        <w:pStyle w:val="3"/>
      </w:pPr>
      <w:r w:rsidRPr="001663AE">
        <w:rPr>
          <w:rFonts w:hint="eastAsia"/>
        </w:rPr>
        <w:t xml:space="preserve">(ii) </w:t>
      </w:r>
      <w:r w:rsidRPr="001663AE">
        <w:rPr>
          <w:rFonts w:hint="eastAsia"/>
        </w:rPr>
        <w:t>在任何其他情況下，該指明的期間不得少於上述日期後的</w:t>
      </w:r>
      <w:r w:rsidRPr="001663AE">
        <w:rPr>
          <w:rFonts w:hint="eastAsia"/>
        </w:rPr>
        <w:t>7</w:t>
      </w:r>
      <w:r w:rsidRPr="001663AE">
        <w:rPr>
          <w:rFonts w:hint="eastAsia"/>
        </w:rPr>
        <w:t>日；或</w:t>
      </w:r>
    </w:p>
    <w:p w14:paraId="193EE09E" w14:textId="77777777" w:rsidR="00CA23FA" w:rsidRPr="001663AE" w:rsidRDefault="00CA23FA" w:rsidP="00D87D91">
      <w:pPr>
        <w:pStyle w:val="3"/>
      </w:pPr>
      <w:r w:rsidRPr="001663AE">
        <w:rPr>
          <w:rFonts w:hint="eastAsia"/>
        </w:rPr>
        <w:t xml:space="preserve">(b) </w:t>
      </w:r>
      <w:r w:rsidRPr="001663AE">
        <w:rPr>
          <w:rFonts w:hint="eastAsia"/>
        </w:rPr>
        <w:t>規定他在如此指明的措施未予採取之前，不得作出如此指明的事情，或不得安排作出或不得准許作出如此指明的事情。</w:t>
      </w:r>
    </w:p>
    <w:p w14:paraId="1C3BD3AF" w14:textId="77777777" w:rsidR="00CA23FA" w:rsidRPr="001663AE" w:rsidRDefault="00CA23FA" w:rsidP="00D87D91">
      <w:pPr>
        <w:pStyle w:val="3"/>
      </w:pPr>
      <w:r w:rsidRPr="001663AE">
        <w:rPr>
          <w:rFonts w:hint="eastAsia"/>
        </w:rPr>
        <w:t xml:space="preserve">(6) </w:t>
      </w:r>
      <w:r w:rsidRPr="001663AE">
        <w:rPr>
          <w:rFonts w:hint="eastAsia"/>
        </w:rPr>
        <w:t>除第</w:t>
      </w:r>
      <w:r w:rsidRPr="001663AE">
        <w:rPr>
          <w:rFonts w:hint="eastAsia"/>
        </w:rPr>
        <w:t>50</w:t>
      </w:r>
      <w:r w:rsidRPr="001663AE">
        <w:rPr>
          <w:rFonts w:hint="eastAsia"/>
        </w:rPr>
        <w:t>條另有規定外，凡規定某人不得安排作出或不得准許作出任何事情的強制執行通知，須解釋為規定他採取所有在任何特定情況下屬切實可行和必需的步驟，以避免該事情的作出。</w:t>
      </w:r>
    </w:p>
  </w:footnote>
  <w:footnote w:id="194">
    <w:p w14:paraId="3E34A296" w14:textId="77777777" w:rsidR="00CA23FA" w:rsidRPr="001663AE" w:rsidRDefault="00CA23FA" w:rsidP="00D87D91">
      <w:pPr>
        <w:pStyle w:val="3"/>
      </w:pPr>
      <w:r w:rsidRPr="001663AE">
        <w:rPr>
          <w:rStyle w:val="af3"/>
          <w:rFonts w:ascii="新細明體" w:hAnsi="新細明體"/>
        </w:rPr>
        <w:footnoteRef/>
      </w:r>
      <w:r w:rsidRPr="001663AE">
        <w:rPr>
          <w:rFonts w:hint="eastAsia"/>
        </w:rPr>
        <w:t>香港航空保安條例第</w:t>
      </w:r>
      <w:r w:rsidRPr="001663AE">
        <w:rPr>
          <w:rFonts w:hint="eastAsia"/>
        </w:rPr>
        <w:t>48</w:t>
      </w:r>
      <w:r w:rsidRPr="001663AE">
        <w:rPr>
          <w:rFonts w:hint="eastAsia"/>
        </w:rPr>
        <w:t>條</w:t>
      </w:r>
      <w:r>
        <w:rPr>
          <w:rFonts w:hint="eastAsia"/>
        </w:rPr>
        <w:t>〜</w:t>
      </w:r>
      <w:r w:rsidRPr="001663AE">
        <w:rPr>
          <w:rFonts w:hint="eastAsia"/>
        </w:rPr>
        <w:t>--</w:t>
      </w:r>
    </w:p>
    <w:p w14:paraId="044E2F4F" w14:textId="77777777" w:rsidR="00CA23FA" w:rsidRPr="001663AE" w:rsidRDefault="00CA23FA" w:rsidP="00D87D91">
      <w:pPr>
        <w:pStyle w:val="3"/>
      </w:pPr>
      <w:r w:rsidRPr="001663AE">
        <w:rPr>
          <w:rFonts w:hint="eastAsia"/>
        </w:rPr>
        <w:t xml:space="preserve">(1) </w:t>
      </w:r>
      <w:r w:rsidRPr="001663AE">
        <w:rPr>
          <w:rFonts w:hint="eastAsia"/>
        </w:rPr>
        <w:t>任何人無合理辯解而不遵從送達他的強制執行通知，即屬犯罪─</w:t>
      </w:r>
    </w:p>
    <w:p w14:paraId="4679A2DF" w14:textId="77777777" w:rsidR="00CA23FA" w:rsidRPr="001663AE" w:rsidRDefault="00CA23FA" w:rsidP="00D87D91">
      <w:pPr>
        <w:pStyle w:val="3"/>
      </w:pPr>
      <w:r w:rsidRPr="001663AE">
        <w:rPr>
          <w:rFonts w:hint="eastAsia"/>
        </w:rPr>
        <w:t xml:space="preserve">(a) </w:t>
      </w:r>
      <w:r w:rsidRPr="001663AE">
        <w:rPr>
          <w:rFonts w:hint="eastAsia"/>
        </w:rPr>
        <w:t>一經循簡易程序定罪，可處第</w:t>
      </w:r>
      <w:r w:rsidRPr="001663AE">
        <w:rPr>
          <w:rFonts w:hint="eastAsia"/>
        </w:rPr>
        <w:t>3</w:t>
      </w:r>
      <w:r w:rsidRPr="001663AE">
        <w:rPr>
          <w:rFonts w:hint="eastAsia"/>
        </w:rPr>
        <w:t>級罰款；</w:t>
      </w:r>
    </w:p>
    <w:p w14:paraId="436A0F31" w14:textId="77777777" w:rsidR="00CA23FA" w:rsidRPr="001663AE" w:rsidRDefault="00CA23FA" w:rsidP="00D87D91">
      <w:pPr>
        <w:pStyle w:val="3"/>
      </w:pPr>
      <w:r w:rsidRPr="001663AE">
        <w:rPr>
          <w:rFonts w:hint="eastAsia"/>
        </w:rPr>
        <w:t xml:space="preserve">(b) </w:t>
      </w:r>
      <w:r w:rsidRPr="001663AE">
        <w:rPr>
          <w:rFonts w:hint="eastAsia"/>
        </w:rPr>
        <w:t>一經循公訴程序定罪，可處第</w:t>
      </w:r>
      <w:r w:rsidRPr="001663AE">
        <w:rPr>
          <w:rFonts w:hint="eastAsia"/>
        </w:rPr>
        <w:t>6</w:t>
      </w:r>
      <w:r w:rsidRPr="001663AE">
        <w:rPr>
          <w:rFonts w:hint="eastAsia"/>
        </w:rPr>
        <w:t>級罰款。</w:t>
      </w:r>
    </w:p>
    <w:p w14:paraId="56D59DE5" w14:textId="77777777" w:rsidR="00CA23FA" w:rsidRPr="001663AE" w:rsidRDefault="00CA23FA" w:rsidP="00D87D91">
      <w:pPr>
        <w:pStyle w:val="3"/>
      </w:pPr>
      <w:r w:rsidRPr="001663AE">
        <w:rPr>
          <w:rFonts w:hint="eastAsia"/>
        </w:rPr>
        <w:t xml:space="preserve">(2) </w:t>
      </w:r>
      <w:r w:rsidRPr="001663AE">
        <w:rPr>
          <w:rFonts w:hint="eastAsia"/>
        </w:rPr>
        <w:t>凡任何人就沒有遵從強制執行通知的行為被裁定犯第</w:t>
      </w:r>
      <w:r w:rsidRPr="001663AE">
        <w:rPr>
          <w:rFonts w:hint="eastAsia"/>
        </w:rPr>
        <w:t>(1)</w:t>
      </w:r>
      <w:r w:rsidRPr="001663AE">
        <w:rPr>
          <w:rFonts w:hint="eastAsia"/>
        </w:rPr>
        <w:t>款所訂的罪行，而該行為在他被定罪後持續而無合理辯解，他即屬犯另一罪行，一經定罪，可就該另一罪行的持續期間處以按每日不超逾</w:t>
      </w:r>
      <w:r w:rsidRPr="001663AE">
        <w:rPr>
          <w:rFonts w:hint="eastAsia"/>
        </w:rPr>
        <w:t>$1000</w:t>
      </w:r>
      <w:r w:rsidRPr="001663AE">
        <w:rPr>
          <w:rFonts w:hint="eastAsia"/>
        </w:rPr>
        <w:t>的罰款。</w:t>
      </w:r>
      <w:r>
        <w:rPr>
          <w:rFonts w:hint="eastAsia"/>
        </w:rPr>
        <w:t>(</w:t>
      </w:r>
      <w:r w:rsidRPr="001663AE">
        <w:rPr>
          <w:rFonts w:hint="eastAsia"/>
        </w:rPr>
        <w:t>由</w:t>
      </w:r>
      <w:r w:rsidRPr="001663AE">
        <w:rPr>
          <w:rFonts w:hint="eastAsia"/>
        </w:rPr>
        <w:t>2005</w:t>
      </w:r>
      <w:r w:rsidRPr="001663AE">
        <w:rPr>
          <w:rFonts w:hint="eastAsia"/>
        </w:rPr>
        <w:t>年第</w:t>
      </w:r>
      <w:r w:rsidRPr="001663AE">
        <w:rPr>
          <w:rFonts w:hint="eastAsia"/>
        </w:rPr>
        <w:t>14</w:t>
      </w:r>
      <w:r w:rsidRPr="001663AE">
        <w:rPr>
          <w:rFonts w:hint="eastAsia"/>
        </w:rPr>
        <w:t>號第</w:t>
      </w:r>
      <w:r w:rsidRPr="001663AE">
        <w:rPr>
          <w:rFonts w:hint="eastAsia"/>
        </w:rPr>
        <w:t>9</w:t>
      </w:r>
      <w:r w:rsidRPr="001663AE">
        <w:rPr>
          <w:rFonts w:hint="eastAsia"/>
        </w:rPr>
        <w:t>條修訂</w:t>
      </w:r>
      <w:r w:rsidRPr="001663AE">
        <w:rPr>
          <w:rFonts w:hint="eastAsia"/>
        </w:rPr>
        <w:t>)</w:t>
      </w:r>
    </w:p>
    <w:p w14:paraId="5C1744E3" w14:textId="77777777" w:rsidR="00CA23FA" w:rsidRPr="001663AE" w:rsidRDefault="00CA23FA" w:rsidP="00D87D91">
      <w:pPr>
        <w:pStyle w:val="3"/>
      </w:pPr>
      <w:r w:rsidRPr="001663AE">
        <w:rPr>
          <w:rFonts w:hint="eastAsia"/>
        </w:rPr>
        <w:t xml:space="preserve">(3) </w:t>
      </w:r>
      <w:r w:rsidRPr="001663AE">
        <w:rPr>
          <w:rFonts w:hint="eastAsia"/>
        </w:rPr>
        <w:t>任何人故意干擾為遵從任何強制執行通知而在任何土地上建造任何建築物或施行任何工程，或故意干擾為遵從任何強制執行通知而安裝在任何土地之上、之下或上空或橫越該土地的任何東西，即屬犯罪─</w:t>
      </w:r>
    </w:p>
    <w:p w14:paraId="03BAAB7C" w14:textId="77777777" w:rsidR="00CA23FA" w:rsidRPr="001663AE" w:rsidRDefault="00CA23FA" w:rsidP="00D87D91">
      <w:pPr>
        <w:pStyle w:val="3"/>
      </w:pPr>
      <w:r w:rsidRPr="001663AE">
        <w:rPr>
          <w:rFonts w:hint="eastAsia"/>
        </w:rPr>
        <w:t xml:space="preserve">(a) </w:t>
      </w:r>
      <w:r w:rsidRPr="001663AE">
        <w:rPr>
          <w:rFonts w:hint="eastAsia"/>
        </w:rPr>
        <w:t>一經循簡易程序定罪，可處第</w:t>
      </w:r>
      <w:r w:rsidRPr="001663AE">
        <w:rPr>
          <w:rFonts w:hint="eastAsia"/>
        </w:rPr>
        <w:t>3</w:t>
      </w:r>
      <w:r w:rsidRPr="001663AE">
        <w:rPr>
          <w:rFonts w:hint="eastAsia"/>
        </w:rPr>
        <w:t>級罰款；</w:t>
      </w:r>
    </w:p>
    <w:p w14:paraId="2B51608E" w14:textId="77777777" w:rsidR="00CA23FA" w:rsidRPr="001663AE" w:rsidRDefault="00CA23FA" w:rsidP="00D87D91">
      <w:pPr>
        <w:pStyle w:val="3"/>
      </w:pPr>
      <w:r w:rsidRPr="001663AE">
        <w:rPr>
          <w:rFonts w:hint="eastAsia"/>
        </w:rPr>
        <w:t xml:space="preserve">(b) </w:t>
      </w:r>
      <w:r w:rsidRPr="001663AE">
        <w:rPr>
          <w:rFonts w:hint="eastAsia"/>
        </w:rPr>
        <w:t>一經循公訴程序定罪，可處第</w:t>
      </w:r>
      <w:r w:rsidRPr="001663AE">
        <w:rPr>
          <w:rFonts w:hint="eastAsia"/>
        </w:rPr>
        <w:t>6</w:t>
      </w:r>
      <w:r w:rsidRPr="001663AE">
        <w:rPr>
          <w:rFonts w:hint="eastAsia"/>
        </w:rPr>
        <w:t>級罰款。</w:t>
      </w:r>
    </w:p>
  </w:footnote>
  <w:footnote w:id="195">
    <w:p w14:paraId="6BF1FD60"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34</w:t>
      </w:r>
      <w:r w:rsidRPr="001663AE">
        <w:rPr>
          <w:rFonts w:hint="eastAsia"/>
        </w:rPr>
        <w:t>條</w:t>
      </w:r>
      <w:r>
        <w:rPr>
          <w:rFonts w:hint="eastAsia"/>
        </w:rPr>
        <w:t>〜〜</w:t>
      </w:r>
    </w:p>
    <w:p w14:paraId="3D924B41" w14:textId="77777777" w:rsidR="00CA23FA" w:rsidRPr="001663AE" w:rsidRDefault="00CA23FA" w:rsidP="00D87D91">
      <w:pPr>
        <w:pStyle w:val="3"/>
      </w:pPr>
      <w:r w:rsidRPr="001663AE">
        <w:rPr>
          <w:rFonts w:hint="eastAsia"/>
        </w:rPr>
        <w:t xml:space="preserve">(1) </w:t>
      </w:r>
      <w:r w:rsidRPr="001663AE">
        <w:rPr>
          <w:rFonts w:hint="eastAsia"/>
        </w:rPr>
        <w:t>監督可藉向任何以下人士發出書面通知─</w:t>
      </w:r>
    </w:p>
    <w:p w14:paraId="305DCE5D" w14:textId="77777777" w:rsidR="00CA23FA" w:rsidRPr="001663AE" w:rsidRDefault="00CA23FA" w:rsidP="00D87D91">
      <w:pPr>
        <w:pStyle w:val="3"/>
      </w:pPr>
      <w:r w:rsidRPr="001663AE">
        <w:rPr>
          <w:rFonts w:hint="eastAsia"/>
        </w:rPr>
        <w:t xml:space="preserve">(a) </w:t>
      </w:r>
      <w:r w:rsidRPr="001663AE">
        <w:rPr>
          <w:rFonts w:hint="eastAsia"/>
        </w:rPr>
        <w:t>在香港註冊或營運的飛機的營運者；</w:t>
      </w:r>
    </w:p>
    <w:p w14:paraId="19C27FC8" w14:textId="77777777" w:rsidR="00CA23FA" w:rsidRPr="001663AE" w:rsidRDefault="00CA23FA" w:rsidP="00D87D91">
      <w:pPr>
        <w:pStyle w:val="3"/>
      </w:pPr>
      <w:r w:rsidRPr="001663AE">
        <w:rPr>
          <w:rFonts w:hint="eastAsia"/>
        </w:rPr>
        <w:t xml:space="preserve">(b) </w:t>
      </w:r>
      <w:r w:rsidRPr="001663AE">
        <w:rPr>
          <w:rFonts w:hint="eastAsia"/>
        </w:rPr>
        <w:t>任何機場的經理；</w:t>
      </w:r>
    </w:p>
    <w:p w14:paraId="55ACE5C2" w14:textId="77777777" w:rsidR="00CA23FA" w:rsidRPr="001663AE" w:rsidRDefault="00CA23FA" w:rsidP="00D87D91">
      <w:pPr>
        <w:pStyle w:val="3"/>
      </w:pPr>
      <w:r w:rsidRPr="001663AE">
        <w:rPr>
          <w:rFonts w:hint="eastAsia"/>
        </w:rPr>
        <w:t xml:space="preserve">(c) </w:t>
      </w:r>
      <w:r w:rsidRPr="001663AE">
        <w:rPr>
          <w:rFonts w:hint="eastAsia"/>
        </w:rPr>
        <w:t>佔用任何屬任何機場的一部分的土地的人；</w:t>
      </w:r>
      <w:r w:rsidRPr="001663AE">
        <w:rPr>
          <w:rFonts w:hint="eastAsia"/>
        </w:rPr>
        <w:t xml:space="preserve"> </w:t>
      </w:r>
      <w:r w:rsidRPr="001663AE">
        <w:rPr>
          <w:rFonts w:hint="eastAsia"/>
        </w:rPr>
        <w:t>或</w:t>
      </w:r>
    </w:p>
    <w:p w14:paraId="64F735F7" w14:textId="77777777" w:rsidR="00CA23FA" w:rsidRPr="001663AE" w:rsidRDefault="00CA23FA" w:rsidP="00D87D91">
      <w:pPr>
        <w:pStyle w:val="3"/>
      </w:pPr>
      <w:r w:rsidRPr="001663AE">
        <w:rPr>
          <w:rFonts w:hint="eastAsia"/>
        </w:rPr>
        <w:t xml:space="preserve">(d) </w:t>
      </w:r>
      <w:r w:rsidRPr="001663AE">
        <w:rPr>
          <w:rFonts w:hint="eastAsia"/>
        </w:rPr>
        <w:t>為進行他所經營的業務的目的而獲准許進入機場禁區的人，要求該人向監督提供在該通知內指明並屬監督所需的與監督行使他在本部下的職能有關的或與任何影響航空保安事件有關的資料。</w:t>
      </w:r>
    </w:p>
    <w:p w14:paraId="7ADE338C" w14:textId="77777777" w:rsidR="00CA23FA" w:rsidRPr="001663AE" w:rsidRDefault="00CA23FA" w:rsidP="00D87D91">
      <w:pPr>
        <w:pStyle w:val="3"/>
      </w:pPr>
      <w:r w:rsidRPr="001663AE">
        <w:rPr>
          <w:rFonts w:hint="eastAsia"/>
        </w:rPr>
        <w:t xml:space="preserve">(2) </w:t>
      </w:r>
      <w:r w:rsidRPr="001663AE">
        <w:rPr>
          <w:rFonts w:hint="eastAsia"/>
        </w:rPr>
        <w:t>根據第</w:t>
      </w:r>
      <w:r w:rsidRPr="001663AE">
        <w:rPr>
          <w:rFonts w:hint="eastAsia"/>
        </w:rPr>
        <w:t>(1)</w:t>
      </w:r>
      <w:r w:rsidRPr="001663AE">
        <w:rPr>
          <w:rFonts w:hint="eastAsia"/>
        </w:rPr>
        <w:t>款發出的通知須指明某一日期</w:t>
      </w:r>
      <w:r w:rsidRPr="001663AE">
        <w:rPr>
          <w:rFonts w:hint="eastAsia"/>
        </w:rPr>
        <w:t>(</w:t>
      </w:r>
      <w:r w:rsidRPr="001663AE">
        <w:rPr>
          <w:rFonts w:hint="eastAsia"/>
        </w:rPr>
        <w:t>不早於該通知送達的日期後的</w:t>
      </w:r>
      <w:r w:rsidRPr="001663AE">
        <w:rPr>
          <w:rFonts w:hint="eastAsia"/>
        </w:rPr>
        <w:t>7</w:t>
      </w:r>
      <w:r w:rsidRPr="001663AE">
        <w:rPr>
          <w:rFonts w:hint="eastAsia"/>
        </w:rPr>
        <w:t>日</w:t>
      </w:r>
      <w:r w:rsidRPr="001663AE">
        <w:rPr>
          <w:rFonts w:hint="eastAsia"/>
        </w:rPr>
        <w:t>)</w:t>
      </w:r>
      <w:r w:rsidRPr="001663AE">
        <w:rPr>
          <w:rFonts w:hint="eastAsia"/>
        </w:rPr>
        <w:t>，該通知按照第</w:t>
      </w:r>
      <w:r w:rsidRPr="001663AE">
        <w:rPr>
          <w:rFonts w:hint="eastAsia"/>
        </w:rPr>
        <w:t>(1)</w:t>
      </w:r>
      <w:r w:rsidRPr="001663AE">
        <w:rPr>
          <w:rFonts w:hint="eastAsia"/>
        </w:rPr>
        <w:t>款所要求的資料須在該日期前提供予監督。</w:t>
      </w:r>
    </w:p>
    <w:p w14:paraId="396C7480" w14:textId="77777777" w:rsidR="00CA23FA" w:rsidRPr="001663AE" w:rsidRDefault="00CA23FA" w:rsidP="00D87D91">
      <w:pPr>
        <w:pStyle w:val="3"/>
      </w:pPr>
      <w:r w:rsidRPr="001663AE">
        <w:rPr>
          <w:rFonts w:hint="eastAsia"/>
        </w:rPr>
        <w:t xml:space="preserve">(3) </w:t>
      </w:r>
      <w:r w:rsidRPr="001663AE">
        <w:rPr>
          <w:rFonts w:hint="eastAsia"/>
        </w:rPr>
        <w:t>任何上述通知亦可要求獲發給通知的人，在他已按照第</w:t>
      </w:r>
      <w:r w:rsidRPr="001663AE">
        <w:rPr>
          <w:rFonts w:hint="eastAsia"/>
        </w:rPr>
        <w:t>(1)</w:t>
      </w:r>
      <w:r w:rsidRPr="001663AE">
        <w:rPr>
          <w:rFonts w:hint="eastAsia"/>
        </w:rPr>
        <w:t>款向監督提供該通知所要求的資料後，如在任何時候先前向監督提供的資料</w:t>
      </w:r>
      <w:r w:rsidRPr="001663AE">
        <w:rPr>
          <w:rFonts w:hint="eastAsia"/>
        </w:rPr>
        <w:t>(</w:t>
      </w:r>
      <w:r w:rsidRPr="001663AE">
        <w:rPr>
          <w:rFonts w:hint="eastAsia"/>
        </w:rPr>
        <w:t>包括依據一項憑藉本款施加的規定而提供的任何資料</w:t>
      </w:r>
      <w:r w:rsidRPr="001663AE">
        <w:rPr>
          <w:rFonts w:hint="eastAsia"/>
        </w:rPr>
        <w:t>)</w:t>
      </w:r>
      <w:r w:rsidRPr="001663AE">
        <w:rPr>
          <w:rFonts w:hint="eastAsia"/>
        </w:rPr>
        <w:t>因情況有任何改變</w:t>
      </w:r>
      <w:r w:rsidRPr="001663AE">
        <w:rPr>
          <w:rFonts w:hint="eastAsia"/>
        </w:rPr>
        <w:t>(</w:t>
      </w:r>
      <w:r w:rsidRPr="001663AE">
        <w:rPr>
          <w:rFonts w:hint="eastAsia"/>
        </w:rPr>
        <w:t>包括為本部適用的目的而採取任何進一步措施，或更改或中止任何已採取的措施</w:t>
      </w:r>
      <w:r w:rsidRPr="001663AE">
        <w:rPr>
          <w:rFonts w:hint="eastAsia"/>
        </w:rPr>
        <w:t>)</w:t>
      </w:r>
      <w:r w:rsidRPr="001663AE">
        <w:rPr>
          <w:rFonts w:hint="eastAsia"/>
        </w:rPr>
        <w:t>而變成不正確時，告知監督。</w:t>
      </w:r>
    </w:p>
    <w:p w14:paraId="10BE290C" w14:textId="77777777" w:rsidR="00CA23FA" w:rsidRPr="001663AE" w:rsidRDefault="00CA23FA" w:rsidP="00D87D91">
      <w:pPr>
        <w:pStyle w:val="3"/>
      </w:pPr>
      <w:r w:rsidRPr="001663AE">
        <w:rPr>
          <w:rFonts w:hint="eastAsia"/>
        </w:rPr>
        <w:t xml:space="preserve">(4) </w:t>
      </w:r>
      <w:r w:rsidRPr="001663AE">
        <w:rPr>
          <w:rFonts w:hint="eastAsia"/>
        </w:rPr>
        <w:t>凡在上述通知要求按照第</w:t>
      </w:r>
      <w:r w:rsidRPr="001663AE">
        <w:rPr>
          <w:rFonts w:hint="eastAsia"/>
        </w:rPr>
        <w:t>(3)</w:t>
      </w:r>
      <w:r w:rsidRPr="001663AE">
        <w:rPr>
          <w:rFonts w:hint="eastAsia"/>
        </w:rPr>
        <w:t>款向監督提供進一步資料，則須在自該通知為施行本款所指明的情況有變的日期後不少於</w:t>
      </w:r>
      <w:r w:rsidRPr="001663AE">
        <w:rPr>
          <w:rFonts w:hint="eastAsia"/>
        </w:rPr>
        <w:t>7</w:t>
      </w:r>
      <w:r w:rsidRPr="001663AE">
        <w:rPr>
          <w:rFonts w:hint="eastAsia"/>
        </w:rPr>
        <w:t>日的一段期間終止前，向他提供該資料。</w:t>
      </w:r>
    </w:p>
    <w:p w14:paraId="6A395CF7" w14:textId="77777777" w:rsidR="00CA23FA" w:rsidRPr="001663AE" w:rsidRDefault="00CA23FA" w:rsidP="00D87D91">
      <w:pPr>
        <w:pStyle w:val="3"/>
      </w:pPr>
      <w:r w:rsidRPr="001663AE">
        <w:rPr>
          <w:rFonts w:hint="eastAsia"/>
        </w:rPr>
        <w:t xml:space="preserve">(5) </w:t>
      </w:r>
      <w:r w:rsidRPr="001663AE">
        <w:rPr>
          <w:rFonts w:hint="eastAsia"/>
        </w:rPr>
        <w:t>任何人如─</w:t>
      </w:r>
    </w:p>
    <w:p w14:paraId="35B064FF" w14:textId="77777777" w:rsidR="00CA23FA" w:rsidRPr="001663AE" w:rsidRDefault="00CA23FA" w:rsidP="00D87D91">
      <w:pPr>
        <w:pStyle w:val="3"/>
      </w:pPr>
      <w:r w:rsidRPr="001663AE">
        <w:rPr>
          <w:rFonts w:hint="eastAsia"/>
        </w:rPr>
        <w:t xml:space="preserve">(a) </w:t>
      </w:r>
      <w:r w:rsidRPr="001663AE">
        <w:rPr>
          <w:rFonts w:hint="eastAsia"/>
        </w:rPr>
        <w:t>無合理辯解而不遵從根據本條發出的通知所施加予他的規定；或</w:t>
      </w:r>
    </w:p>
    <w:p w14:paraId="4B1F4861" w14:textId="77777777" w:rsidR="00CA23FA" w:rsidRPr="001663AE" w:rsidRDefault="00CA23FA" w:rsidP="00D87D91">
      <w:pPr>
        <w:pStyle w:val="3"/>
      </w:pPr>
      <w:r w:rsidRPr="001663AE">
        <w:rPr>
          <w:rFonts w:hint="eastAsia"/>
        </w:rPr>
        <w:t xml:space="preserve">(b) </w:t>
      </w:r>
      <w:r w:rsidRPr="001663AE">
        <w:rPr>
          <w:rFonts w:hint="eastAsia"/>
        </w:rPr>
        <w:t>在提供任何所要求的資料時，作出他明知在要項上屬虛假或具誤導性的陳述，或罔顧後果地作出在要項上屬虛假或具誤導性的陳述，</w:t>
      </w:r>
    </w:p>
    <w:p w14:paraId="0A287E7E" w14:textId="77777777" w:rsidR="00CA23FA" w:rsidRPr="001663AE" w:rsidRDefault="00CA23FA" w:rsidP="00D87D91">
      <w:pPr>
        <w:pStyle w:val="3"/>
      </w:pPr>
      <w:r w:rsidRPr="001663AE">
        <w:rPr>
          <w:rFonts w:hint="eastAsia"/>
        </w:rPr>
        <w:t>即屬犯罪─</w:t>
      </w:r>
    </w:p>
    <w:p w14:paraId="4E8965AA" w14:textId="77777777" w:rsidR="00CA23FA" w:rsidRPr="001663AE" w:rsidRDefault="00CA23FA" w:rsidP="00D87D91">
      <w:pPr>
        <w:pStyle w:val="3"/>
      </w:pPr>
      <w:r w:rsidRPr="001663AE">
        <w:rPr>
          <w:rFonts w:hint="eastAsia"/>
        </w:rPr>
        <w:t xml:space="preserve">(i) </w:t>
      </w:r>
      <w:r w:rsidRPr="001663AE">
        <w:rPr>
          <w:rFonts w:hint="eastAsia"/>
        </w:rPr>
        <w:t>一經循簡易程序定罪，可處第</w:t>
      </w:r>
      <w:r w:rsidRPr="001663AE">
        <w:rPr>
          <w:rFonts w:hint="eastAsia"/>
        </w:rPr>
        <w:t>3</w:t>
      </w:r>
      <w:r w:rsidRPr="001663AE">
        <w:rPr>
          <w:rFonts w:hint="eastAsia"/>
        </w:rPr>
        <w:t>級罰款；</w:t>
      </w:r>
    </w:p>
    <w:p w14:paraId="080E05F3" w14:textId="77777777" w:rsidR="00CA23FA" w:rsidRPr="001663AE" w:rsidRDefault="00CA23FA" w:rsidP="00D87D91">
      <w:pPr>
        <w:pStyle w:val="3"/>
      </w:pPr>
      <w:r w:rsidRPr="001663AE">
        <w:rPr>
          <w:rFonts w:hint="eastAsia"/>
        </w:rPr>
        <w:t xml:space="preserve">(ii) </w:t>
      </w:r>
      <w:r w:rsidRPr="001663AE">
        <w:rPr>
          <w:rFonts w:hint="eastAsia"/>
        </w:rPr>
        <w:t>一經循公訴程序定罪，可處第</w:t>
      </w:r>
      <w:r w:rsidRPr="001663AE">
        <w:rPr>
          <w:rFonts w:hint="eastAsia"/>
        </w:rPr>
        <w:t>5</w:t>
      </w:r>
      <w:r w:rsidRPr="001663AE">
        <w:rPr>
          <w:rFonts w:hint="eastAsia"/>
        </w:rPr>
        <w:t>級罰款及監禁</w:t>
      </w:r>
      <w:r w:rsidRPr="001663AE">
        <w:rPr>
          <w:rFonts w:hint="eastAsia"/>
        </w:rPr>
        <w:t>2</w:t>
      </w:r>
      <w:r w:rsidRPr="001663AE">
        <w:rPr>
          <w:rFonts w:hint="eastAsia"/>
        </w:rPr>
        <w:t>年。</w:t>
      </w:r>
    </w:p>
    <w:p w14:paraId="1D06F0EE" w14:textId="77777777" w:rsidR="00CA23FA" w:rsidRPr="001663AE" w:rsidRDefault="00CA23FA" w:rsidP="00D87D91">
      <w:pPr>
        <w:pStyle w:val="3"/>
      </w:pPr>
      <w:r w:rsidRPr="001663AE">
        <w:rPr>
          <w:rFonts w:hint="eastAsia"/>
        </w:rPr>
        <w:t xml:space="preserve">(6) </w:t>
      </w:r>
      <w:r w:rsidRPr="001663AE">
        <w:rPr>
          <w:rFonts w:hint="eastAsia"/>
        </w:rPr>
        <w:t>根據第</w:t>
      </w:r>
      <w:r w:rsidRPr="001663AE">
        <w:rPr>
          <w:rFonts w:hint="eastAsia"/>
        </w:rPr>
        <w:t>(1)</w:t>
      </w:r>
      <w:r w:rsidRPr="001663AE">
        <w:rPr>
          <w:rFonts w:hint="eastAsia"/>
        </w:rPr>
        <w:t>款給予任何人的通知可隨時─</w:t>
      </w:r>
    </w:p>
    <w:p w14:paraId="2E559009" w14:textId="77777777" w:rsidR="00CA23FA" w:rsidRPr="001663AE" w:rsidRDefault="00CA23FA" w:rsidP="00D87D91">
      <w:pPr>
        <w:pStyle w:val="3"/>
      </w:pPr>
      <w:r w:rsidRPr="001663AE">
        <w:rPr>
          <w:rFonts w:hint="eastAsia"/>
        </w:rPr>
        <w:t xml:space="preserve">(a) </w:t>
      </w:r>
      <w:r w:rsidRPr="001663AE">
        <w:rPr>
          <w:rFonts w:hint="eastAsia"/>
        </w:rPr>
        <w:t>藉監督向該人發出的書面通知而被撤銷；或</w:t>
      </w:r>
    </w:p>
    <w:p w14:paraId="23837E3E" w14:textId="77777777" w:rsidR="00CA23FA" w:rsidRPr="001663AE" w:rsidRDefault="00CA23FA" w:rsidP="00D87D91">
      <w:pPr>
        <w:pStyle w:val="3"/>
      </w:pPr>
      <w:r w:rsidRPr="001663AE">
        <w:rPr>
          <w:rFonts w:hint="eastAsia"/>
        </w:rPr>
        <w:t xml:space="preserve">(b) </w:t>
      </w:r>
      <w:r w:rsidRPr="001663AE">
        <w:rPr>
          <w:rFonts w:hint="eastAsia"/>
        </w:rPr>
        <w:t>藉根據第</w:t>
      </w:r>
      <w:r w:rsidRPr="001663AE">
        <w:rPr>
          <w:rFonts w:hint="eastAsia"/>
        </w:rPr>
        <w:t>(1)</w:t>
      </w:r>
      <w:r w:rsidRPr="001663AE">
        <w:rPr>
          <w:rFonts w:hint="eastAsia"/>
        </w:rPr>
        <w:t>款發出的進一步通知而被更改。</w:t>
      </w:r>
    </w:p>
  </w:footnote>
  <w:footnote w:id="196">
    <w:p w14:paraId="068EC341"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香港航空保安條例第</w:t>
      </w:r>
      <w:r w:rsidRPr="001663AE">
        <w:rPr>
          <w:rFonts w:hint="eastAsia"/>
        </w:rPr>
        <w:t>57</w:t>
      </w:r>
      <w:r w:rsidRPr="001663AE">
        <w:rPr>
          <w:rFonts w:hint="eastAsia"/>
        </w:rPr>
        <w:t>條</w:t>
      </w:r>
      <w:r w:rsidRPr="001663AE">
        <w:rPr>
          <w:rFonts w:hint="eastAsia"/>
        </w:rPr>
        <w:t>(</w:t>
      </w:r>
      <w:r w:rsidRPr="001663AE">
        <w:rPr>
          <w:rFonts w:hint="eastAsia"/>
        </w:rPr>
        <w:t>進入處所等與搜查、檢取等的權力</w:t>
      </w:r>
      <w:r w:rsidRPr="001663AE">
        <w:rPr>
          <w:rFonts w:hint="eastAsia"/>
        </w:rPr>
        <w:t>)</w:t>
      </w:r>
      <w:r>
        <w:rPr>
          <w:rFonts w:hint="eastAsia"/>
        </w:rPr>
        <w:t>〜</w:t>
      </w:r>
      <w:r w:rsidRPr="001663AE">
        <w:rPr>
          <w:rFonts w:hint="eastAsia"/>
        </w:rPr>
        <w:t>-</w:t>
      </w:r>
    </w:p>
    <w:p w14:paraId="2DE546F7" w14:textId="77777777" w:rsidR="00CA23FA" w:rsidRPr="001663AE" w:rsidRDefault="00CA23FA" w:rsidP="00D87D91">
      <w:pPr>
        <w:pStyle w:val="3"/>
      </w:pPr>
      <w:r w:rsidRPr="001663AE">
        <w:rPr>
          <w:rFonts w:hint="eastAsia"/>
        </w:rPr>
        <w:t xml:space="preserve">(1) </w:t>
      </w:r>
      <w:r w:rsidRPr="001663AE">
        <w:rPr>
          <w:rFonts w:hint="eastAsia"/>
        </w:rPr>
        <w:t>凡已根據第</w:t>
      </w:r>
      <w:r w:rsidRPr="001663AE">
        <w:rPr>
          <w:rFonts w:hint="eastAsia"/>
        </w:rPr>
        <w:t>(2)</w:t>
      </w:r>
      <w:r w:rsidRPr="001663AE">
        <w:rPr>
          <w:rFonts w:hint="eastAsia"/>
        </w:rPr>
        <w:t>款就任何處所發出手令，或第</w:t>
      </w:r>
      <w:r w:rsidRPr="001663AE">
        <w:rPr>
          <w:rFonts w:hint="eastAsia"/>
        </w:rPr>
        <w:t>(3)</w:t>
      </w:r>
      <w:r w:rsidRPr="001663AE">
        <w:rPr>
          <w:rFonts w:hint="eastAsia"/>
        </w:rPr>
        <w:t>款就任何處所而適用，任何獲授權人員或警務人員可─</w:t>
      </w:r>
    </w:p>
    <w:p w14:paraId="4FE04DF7" w14:textId="77777777" w:rsidR="00CA23FA" w:rsidRPr="001663AE" w:rsidRDefault="00CA23FA" w:rsidP="00D87D91">
      <w:pPr>
        <w:pStyle w:val="3"/>
      </w:pPr>
      <w:r w:rsidRPr="001663AE">
        <w:rPr>
          <w:rFonts w:hint="eastAsia"/>
        </w:rPr>
        <w:t xml:space="preserve">(a) </w:t>
      </w:r>
      <w:r w:rsidRPr="001663AE">
        <w:rPr>
          <w:rFonts w:hint="eastAsia"/>
        </w:rPr>
        <w:t>隨時使用所需的武力進入並搜查該處所；</w:t>
      </w:r>
    </w:p>
    <w:p w14:paraId="6B1BED92" w14:textId="77777777" w:rsidR="00CA23FA" w:rsidRPr="001663AE" w:rsidRDefault="00CA23FA" w:rsidP="00D87D91">
      <w:pPr>
        <w:pStyle w:val="3"/>
      </w:pPr>
      <w:r w:rsidRPr="001663AE">
        <w:rPr>
          <w:rFonts w:hint="eastAsia"/>
        </w:rPr>
        <w:t xml:space="preserve">(b) </w:t>
      </w:r>
      <w:r w:rsidRPr="001663AE">
        <w:rPr>
          <w:rFonts w:hint="eastAsia"/>
        </w:rPr>
        <w:t>移走妨礙上述的進入與搜查的任何東西；</w:t>
      </w:r>
    </w:p>
    <w:p w14:paraId="2975E902" w14:textId="77777777" w:rsidR="00CA23FA" w:rsidRPr="001663AE" w:rsidRDefault="00CA23FA" w:rsidP="00D87D91">
      <w:pPr>
        <w:pStyle w:val="3"/>
      </w:pPr>
      <w:r w:rsidRPr="001663AE">
        <w:rPr>
          <w:rFonts w:hint="eastAsia"/>
        </w:rPr>
        <w:t xml:space="preserve">(c) </w:t>
      </w:r>
      <w:r w:rsidRPr="001663AE">
        <w:rPr>
          <w:rFonts w:hint="eastAsia"/>
        </w:rPr>
        <w:t>將被發現在該處所的任何人扣留一段合理所需的期間，以便上述搜查得以進行，而假如他不是這樣被扣留，便可能會對搜查的目的有所損害；</w:t>
      </w:r>
    </w:p>
    <w:p w14:paraId="2B78CC04" w14:textId="77777777" w:rsidR="00CA23FA" w:rsidRPr="001663AE" w:rsidRDefault="00CA23FA" w:rsidP="00D87D91">
      <w:pPr>
        <w:pStyle w:val="3"/>
      </w:pPr>
      <w:r w:rsidRPr="001663AE">
        <w:rPr>
          <w:rFonts w:hint="eastAsia"/>
        </w:rPr>
        <w:t xml:space="preserve">(d) </w:t>
      </w:r>
      <w:r w:rsidRPr="001663AE">
        <w:rPr>
          <w:rFonts w:hint="eastAsia"/>
        </w:rPr>
        <w:t>檢查、檢取和扣留任何東西，而該東西是或他覺得是或載有，或相當可能含有犯本條例所訂的罪行的證據。</w:t>
      </w:r>
    </w:p>
    <w:p w14:paraId="54378A92" w14:textId="77777777" w:rsidR="00CA23FA" w:rsidRPr="001663AE" w:rsidRDefault="00CA23FA" w:rsidP="00D87D91">
      <w:pPr>
        <w:pStyle w:val="3"/>
      </w:pPr>
      <w:r w:rsidRPr="001663AE">
        <w:rPr>
          <w:rFonts w:hint="eastAsia"/>
        </w:rPr>
        <w:t xml:space="preserve">(2) </w:t>
      </w:r>
      <w:r w:rsidRPr="001663AE">
        <w:rPr>
          <w:rFonts w:hint="eastAsia"/>
        </w:rPr>
        <w:t>凡裁判官根據經宣誓而作的告發信納有合理理由懷疑─</w:t>
      </w:r>
    </w:p>
    <w:p w14:paraId="71CBEA10" w14:textId="77777777" w:rsidR="00CA23FA" w:rsidRPr="001663AE" w:rsidRDefault="00CA23FA" w:rsidP="00D87D91">
      <w:pPr>
        <w:pStyle w:val="3"/>
      </w:pPr>
      <w:r w:rsidRPr="001663AE">
        <w:rPr>
          <w:rFonts w:hint="eastAsia"/>
        </w:rPr>
        <w:t xml:space="preserve">(a) </w:t>
      </w:r>
      <w:r w:rsidRPr="001663AE">
        <w:rPr>
          <w:rFonts w:hint="eastAsia"/>
        </w:rPr>
        <w:t>在任何處所有人正犯或已犯本條例所訂的罪行；或</w:t>
      </w:r>
    </w:p>
    <w:p w14:paraId="36DF5EA6" w14:textId="77777777" w:rsidR="00CA23FA" w:rsidRPr="001663AE" w:rsidRDefault="00CA23FA" w:rsidP="00D87D91">
      <w:pPr>
        <w:pStyle w:val="3"/>
      </w:pPr>
      <w:r w:rsidRPr="001663AE">
        <w:rPr>
          <w:rFonts w:hint="eastAsia"/>
        </w:rPr>
        <w:t xml:space="preserve">(b) </w:t>
      </w:r>
      <w:r w:rsidRPr="001663AE">
        <w:rPr>
          <w:rFonts w:hint="eastAsia"/>
        </w:rPr>
        <w:t>在任何處所有或可能有任何東西，而該東西是或載有或相當可能是或含有犯本條例所訂的罪行的證據，則他可發出手令，授權任何獲授權人員或警務人員進入該處所。</w:t>
      </w:r>
    </w:p>
    <w:p w14:paraId="323EE371" w14:textId="77777777" w:rsidR="00CA23FA" w:rsidRPr="001663AE" w:rsidRDefault="00CA23FA" w:rsidP="00D87D91">
      <w:pPr>
        <w:pStyle w:val="3"/>
      </w:pPr>
      <w:r w:rsidRPr="001663AE">
        <w:rPr>
          <w:rFonts w:hint="eastAsia"/>
        </w:rPr>
        <w:t xml:space="preserve">(3) </w:t>
      </w:r>
      <w:r w:rsidRPr="001663AE">
        <w:rPr>
          <w:rFonts w:hint="eastAsia"/>
        </w:rPr>
        <w:t>如有以下情況，任何獲授權人員或警務人員可就任何非住宅處所的處所在沒有根據第</w:t>
      </w:r>
      <w:r w:rsidRPr="001663AE">
        <w:rPr>
          <w:rFonts w:hint="eastAsia"/>
        </w:rPr>
        <w:t>(2)</w:t>
      </w:r>
      <w:r w:rsidRPr="001663AE">
        <w:rPr>
          <w:rFonts w:hint="eastAsia"/>
        </w:rPr>
        <w:t>款發出的手令的情況下，行使第</w:t>
      </w:r>
      <w:r w:rsidRPr="001663AE">
        <w:rPr>
          <w:rFonts w:hint="eastAsia"/>
        </w:rPr>
        <w:t>(1)</w:t>
      </w:r>
      <w:r w:rsidRPr="001663AE">
        <w:rPr>
          <w:rFonts w:hint="eastAsia"/>
        </w:rPr>
        <w:t>款所授予的任何權力─</w:t>
      </w:r>
    </w:p>
    <w:p w14:paraId="31A8376D" w14:textId="77777777" w:rsidR="00CA23FA" w:rsidRPr="001663AE" w:rsidRDefault="00CA23FA" w:rsidP="00D87D91">
      <w:pPr>
        <w:pStyle w:val="3"/>
      </w:pPr>
      <w:r w:rsidRPr="001663AE">
        <w:rPr>
          <w:rFonts w:hint="eastAsia"/>
        </w:rPr>
        <w:t xml:space="preserve">(a) </w:t>
      </w:r>
      <w:r w:rsidRPr="001663AE">
        <w:rPr>
          <w:rFonts w:hint="eastAsia"/>
        </w:rPr>
        <w:t>他有合理理由懷疑─</w:t>
      </w:r>
    </w:p>
    <w:p w14:paraId="1D630E1E" w14:textId="77777777" w:rsidR="00CA23FA" w:rsidRPr="001663AE" w:rsidRDefault="00CA23FA" w:rsidP="00D87D91">
      <w:pPr>
        <w:pStyle w:val="3"/>
      </w:pPr>
      <w:r w:rsidRPr="001663AE">
        <w:rPr>
          <w:rFonts w:hint="eastAsia"/>
        </w:rPr>
        <w:t xml:space="preserve">(i) </w:t>
      </w:r>
      <w:r w:rsidRPr="001663AE">
        <w:rPr>
          <w:rFonts w:hint="eastAsia"/>
        </w:rPr>
        <w:t>在該處所有人正犯或已犯本條例所訂的罪行；或</w:t>
      </w:r>
    </w:p>
    <w:p w14:paraId="7C214D3E" w14:textId="77777777" w:rsidR="00CA23FA" w:rsidRPr="001663AE" w:rsidRDefault="00CA23FA" w:rsidP="00D87D91">
      <w:pPr>
        <w:pStyle w:val="3"/>
      </w:pPr>
      <w:r w:rsidRPr="001663AE">
        <w:rPr>
          <w:rFonts w:hint="eastAsia"/>
        </w:rPr>
        <w:t xml:space="preserve">(ii) </w:t>
      </w:r>
      <w:r w:rsidRPr="001663AE">
        <w:rPr>
          <w:rFonts w:hint="eastAsia"/>
        </w:rPr>
        <w:t>在該處所有或可能有任何東西，而該東西是或含有或相當可能是或含有犯本條例所訂的罪行的證據；及</w:t>
      </w:r>
    </w:p>
    <w:p w14:paraId="249D3425" w14:textId="77777777" w:rsidR="00CA23FA" w:rsidRPr="001663AE" w:rsidRDefault="00CA23FA" w:rsidP="00D87D91">
      <w:pPr>
        <w:pStyle w:val="3"/>
      </w:pPr>
      <w:r w:rsidRPr="001663AE">
        <w:rPr>
          <w:rFonts w:hint="eastAsia"/>
        </w:rPr>
        <w:t xml:space="preserve">(b) </w:t>
      </w:r>
      <w:r w:rsidRPr="001663AE">
        <w:rPr>
          <w:rFonts w:hint="eastAsia"/>
        </w:rPr>
        <w:t>在行使該等權力前就該處所取得手令並非合理切實可行。</w:t>
      </w:r>
    </w:p>
    <w:p w14:paraId="3DE62338" w14:textId="77777777" w:rsidR="00CA23FA" w:rsidRPr="001663AE" w:rsidRDefault="00CA23FA" w:rsidP="00D87D91">
      <w:pPr>
        <w:pStyle w:val="3"/>
      </w:pPr>
      <w:r w:rsidRPr="001663AE">
        <w:rPr>
          <w:rFonts w:hint="eastAsia"/>
        </w:rPr>
        <w:t xml:space="preserve">(4) </w:t>
      </w:r>
      <w:r w:rsidRPr="001663AE">
        <w:rPr>
          <w:rFonts w:hint="eastAsia"/>
        </w:rPr>
        <w:t>本條並不損害任何其他法律授予警務人員進入和搜查處所的權力。</w:t>
      </w:r>
    </w:p>
    <w:p w14:paraId="40E1E287" w14:textId="77777777" w:rsidR="00CA23FA" w:rsidRPr="001663AE" w:rsidRDefault="00CA23FA" w:rsidP="00D87D91">
      <w:pPr>
        <w:pStyle w:val="3"/>
      </w:pPr>
      <w:r w:rsidRPr="001663AE">
        <w:rPr>
          <w:rFonts w:hint="eastAsia"/>
        </w:rPr>
        <w:t xml:space="preserve">(5) </w:t>
      </w:r>
      <w:r w:rsidRPr="001663AE">
        <w:rPr>
          <w:rFonts w:hint="eastAsia"/>
        </w:rPr>
        <w:t>在本條中─</w:t>
      </w:r>
    </w:p>
    <w:p w14:paraId="34BC1DF3" w14:textId="77777777" w:rsidR="00CA23FA" w:rsidRPr="001663AE" w:rsidRDefault="00CA23FA" w:rsidP="00D87D91">
      <w:pPr>
        <w:pStyle w:val="3"/>
      </w:pPr>
      <w:r w:rsidRPr="001663AE">
        <w:rPr>
          <w:rFonts w:hint="eastAsia"/>
        </w:rPr>
        <w:t>“住宅處所”</w:t>
      </w:r>
      <w:r w:rsidRPr="001663AE">
        <w:rPr>
          <w:rFonts w:hint="eastAsia"/>
        </w:rPr>
        <w:t xml:space="preserve">(domestic premises) </w:t>
      </w:r>
      <w:r w:rsidRPr="001663AE">
        <w:rPr>
          <w:rFonts w:hint="eastAsia"/>
        </w:rPr>
        <w:t>指完全或主要用作住宅用途並構成獨立家居單位的任何處所；</w:t>
      </w:r>
    </w:p>
    <w:p w14:paraId="2FD5C301" w14:textId="77777777" w:rsidR="00CA23FA" w:rsidRPr="001663AE" w:rsidRDefault="00CA23FA" w:rsidP="00D87D91">
      <w:pPr>
        <w:pStyle w:val="3"/>
      </w:pPr>
      <w:r w:rsidRPr="001663AE">
        <w:rPr>
          <w:rFonts w:hint="eastAsia"/>
        </w:rPr>
        <w:t>“處所”</w:t>
      </w:r>
      <w:r w:rsidRPr="001663AE">
        <w:rPr>
          <w:rFonts w:hint="eastAsia"/>
        </w:rPr>
        <w:t xml:space="preserve">(premises) </w:t>
      </w:r>
      <w:r w:rsidRPr="001663AE">
        <w:rPr>
          <w:rFonts w:hint="eastAsia"/>
        </w:rPr>
        <w:t>包括任何飛機，而進入處所則包括登上飛機。</w:t>
      </w:r>
    </w:p>
  </w:footnote>
  <w:footnote w:id="197">
    <w:p w14:paraId="36A6BB08"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58</w:t>
      </w:r>
      <w:r w:rsidRPr="001663AE">
        <w:rPr>
          <w:rFonts w:hint="eastAsia"/>
        </w:rPr>
        <w:t>條</w:t>
      </w:r>
      <w:r>
        <w:rPr>
          <w:rFonts w:hint="eastAsia"/>
        </w:rPr>
        <w:t>〜</w:t>
      </w:r>
      <w:r w:rsidRPr="001663AE">
        <w:rPr>
          <w:rFonts w:hint="eastAsia"/>
        </w:rPr>
        <w:t>-</w:t>
      </w:r>
    </w:p>
    <w:p w14:paraId="3561E831" w14:textId="77777777" w:rsidR="00CA23FA" w:rsidRPr="001663AE" w:rsidRDefault="00CA23FA" w:rsidP="00D87D91">
      <w:pPr>
        <w:pStyle w:val="3"/>
      </w:pPr>
      <w:r w:rsidRPr="001663AE">
        <w:rPr>
          <w:rFonts w:hint="eastAsia"/>
        </w:rPr>
        <w:t xml:space="preserve">(1) </w:t>
      </w:r>
      <w:r w:rsidRPr="001663AE">
        <w:rPr>
          <w:rFonts w:hint="eastAsia"/>
        </w:rPr>
        <w:t>為了以下目的─</w:t>
      </w:r>
    </w:p>
    <w:p w14:paraId="081561D1" w14:textId="77777777" w:rsidR="00CA23FA" w:rsidRPr="001663AE" w:rsidRDefault="00CA23FA" w:rsidP="00D87D91">
      <w:pPr>
        <w:pStyle w:val="3"/>
      </w:pPr>
      <w:r w:rsidRPr="001663AE">
        <w:rPr>
          <w:rFonts w:hint="eastAsia"/>
        </w:rPr>
        <w:t xml:space="preserve">(a) </w:t>
      </w:r>
      <w:r w:rsidRPr="001663AE">
        <w:rPr>
          <w:rFonts w:hint="eastAsia"/>
        </w:rPr>
        <w:t>使監督能決定是否根據第</w:t>
      </w:r>
      <w:r w:rsidRPr="001663AE">
        <w:rPr>
          <w:rFonts w:hint="eastAsia"/>
        </w:rPr>
        <w:t>VIII</w:t>
      </w:r>
      <w:r w:rsidRPr="001663AE">
        <w:rPr>
          <w:rFonts w:hint="eastAsia"/>
        </w:rPr>
        <w:t>及</w:t>
      </w:r>
      <w:r w:rsidRPr="001663AE">
        <w:rPr>
          <w:rFonts w:hint="eastAsia"/>
        </w:rPr>
        <w:t>IX</w:t>
      </w:r>
      <w:r w:rsidRPr="001663AE">
        <w:rPr>
          <w:rFonts w:hint="eastAsia"/>
        </w:rPr>
        <w:t>部的任何條文向任何人發出指示；或</w:t>
      </w:r>
    </w:p>
    <w:p w14:paraId="37564360" w14:textId="77777777" w:rsidR="00CA23FA" w:rsidRPr="001663AE" w:rsidRDefault="00CA23FA" w:rsidP="00D87D91">
      <w:pPr>
        <w:pStyle w:val="3"/>
      </w:pPr>
      <w:r w:rsidRPr="001663AE">
        <w:rPr>
          <w:rFonts w:hint="eastAsia"/>
        </w:rPr>
        <w:t xml:space="preserve">(b) </w:t>
      </w:r>
      <w:r w:rsidRPr="001663AE">
        <w:rPr>
          <w:rFonts w:hint="eastAsia"/>
        </w:rPr>
        <w:t>確定任何上述指示或任何強制執行通知是否正獲遵從或已獲遵從，任何獲授權人員可在出示</w:t>
      </w:r>
      <w:r w:rsidRPr="001663AE">
        <w:rPr>
          <w:rFonts w:hint="eastAsia"/>
        </w:rPr>
        <w:t>(</w:t>
      </w:r>
      <w:r w:rsidRPr="001663AE">
        <w:rPr>
          <w:rFonts w:hint="eastAsia"/>
        </w:rPr>
        <w:t>如被要求出示</w:t>
      </w:r>
      <w:r w:rsidRPr="001663AE">
        <w:rPr>
          <w:rFonts w:hint="eastAsia"/>
        </w:rPr>
        <w:t>)</w:t>
      </w:r>
      <w:r w:rsidRPr="001663AE">
        <w:rPr>
          <w:rFonts w:hint="eastAsia"/>
        </w:rPr>
        <w:t>其授權證明後，視察─</w:t>
      </w:r>
    </w:p>
    <w:p w14:paraId="0363996A" w14:textId="77777777" w:rsidR="00CA23FA" w:rsidRPr="001663AE" w:rsidRDefault="00CA23FA" w:rsidP="00D87D91">
      <w:pPr>
        <w:pStyle w:val="3"/>
      </w:pPr>
      <w:r w:rsidRPr="001663AE">
        <w:rPr>
          <w:rFonts w:hint="eastAsia"/>
        </w:rPr>
        <w:t xml:space="preserve">(i) </w:t>
      </w:r>
      <w:r w:rsidRPr="001663AE">
        <w:rPr>
          <w:rFonts w:hint="eastAsia"/>
        </w:rPr>
        <w:t>在香港註冊或營運的任何飛機，而該飛機當時是在香港的；</w:t>
      </w:r>
    </w:p>
    <w:p w14:paraId="1F011B53" w14:textId="77777777" w:rsidR="00CA23FA" w:rsidRPr="001663AE" w:rsidRDefault="00CA23FA" w:rsidP="00D87D91">
      <w:pPr>
        <w:pStyle w:val="3"/>
      </w:pPr>
      <w:r w:rsidRPr="001663AE">
        <w:rPr>
          <w:rFonts w:hint="eastAsia"/>
        </w:rPr>
        <w:t xml:space="preserve">(ii) </w:t>
      </w:r>
      <w:r w:rsidRPr="001663AE">
        <w:rPr>
          <w:rFonts w:hint="eastAsia"/>
        </w:rPr>
        <w:t>任何船隻或車輛；</w:t>
      </w:r>
    </w:p>
    <w:p w14:paraId="08821240" w14:textId="77777777" w:rsidR="00CA23FA" w:rsidRPr="001663AE" w:rsidRDefault="00CA23FA" w:rsidP="00D87D91">
      <w:pPr>
        <w:pStyle w:val="3"/>
      </w:pPr>
      <w:r w:rsidRPr="001663AE">
        <w:rPr>
          <w:rFonts w:hint="eastAsia"/>
        </w:rPr>
        <w:t xml:space="preserve">(iii) </w:t>
      </w:r>
      <w:r w:rsidRPr="001663AE">
        <w:rPr>
          <w:rFonts w:hint="eastAsia"/>
        </w:rPr>
        <w:t>任何機場的任何部分；或</w:t>
      </w:r>
    </w:p>
    <w:p w14:paraId="0102E597" w14:textId="77777777" w:rsidR="00CA23FA" w:rsidRPr="001663AE" w:rsidRDefault="00CA23FA" w:rsidP="00D87D91">
      <w:pPr>
        <w:pStyle w:val="3"/>
      </w:pPr>
      <w:r w:rsidRPr="001663AE">
        <w:rPr>
          <w:rFonts w:hint="eastAsia"/>
        </w:rPr>
        <w:t xml:space="preserve">(iv) </w:t>
      </w:r>
      <w:r w:rsidRPr="001663AE">
        <w:rPr>
          <w:rFonts w:hint="eastAsia"/>
        </w:rPr>
        <w:t>機場外的任何土地，該土地是由任何以下的人為業務目的而佔用的─</w:t>
      </w:r>
    </w:p>
    <w:p w14:paraId="672E7824" w14:textId="77777777" w:rsidR="00CA23FA" w:rsidRPr="001663AE" w:rsidRDefault="00CA23FA" w:rsidP="00D87D91">
      <w:pPr>
        <w:pStyle w:val="3"/>
      </w:pPr>
      <w:r w:rsidRPr="001663AE">
        <w:rPr>
          <w:rFonts w:hint="eastAsia"/>
        </w:rPr>
        <w:t xml:space="preserve">(A) </w:t>
      </w:r>
      <w:r w:rsidRPr="001663AE">
        <w:rPr>
          <w:rFonts w:hint="eastAsia"/>
        </w:rPr>
        <w:t>為該業務目的亦佔用</w:t>
      </w:r>
      <w:r w:rsidRPr="001663AE">
        <w:rPr>
          <w:rFonts w:hint="eastAsia"/>
        </w:rPr>
        <w:t>(</w:t>
      </w:r>
      <w:r w:rsidRPr="001663AE">
        <w:rPr>
          <w:rFonts w:hint="eastAsia"/>
        </w:rPr>
        <w:t>或獲授權人員覺得其即將佔用</w:t>
      </w:r>
      <w:r w:rsidRPr="001663AE">
        <w:rPr>
          <w:rFonts w:hint="eastAsia"/>
        </w:rPr>
        <w:t>)</w:t>
      </w:r>
      <w:r w:rsidRPr="001663AE">
        <w:rPr>
          <w:rFonts w:hint="eastAsia"/>
        </w:rPr>
        <w:t>機場內的土地的人；或</w:t>
      </w:r>
    </w:p>
    <w:p w14:paraId="7CC3F64F" w14:textId="77777777" w:rsidR="00CA23FA" w:rsidRPr="001663AE" w:rsidRDefault="00CA23FA" w:rsidP="00D87D91">
      <w:pPr>
        <w:pStyle w:val="3"/>
      </w:pPr>
      <w:r w:rsidRPr="001663AE">
        <w:rPr>
          <w:rFonts w:hint="eastAsia"/>
        </w:rPr>
        <w:t xml:space="preserve">(B) </w:t>
      </w:r>
      <w:r w:rsidRPr="001663AE">
        <w:rPr>
          <w:rFonts w:hint="eastAsia"/>
        </w:rPr>
        <w:t>獲准</w:t>
      </w:r>
      <w:r w:rsidRPr="001663AE">
        <w:rPr>
          <w:rFonts w:hint="eastAsia"/>
        </w:rPr>
        <w:t>(</w:t>
      </w:r>
      <w:r w:rsidRPr="001663AE">
        <w:rPr>
          <w:rFonts w:hint="eastAsia"/>
        </w:rPr>
        <w:t>或獲授權人員覺得其即將獲准</w:t>
      </w:r>
      <w:r w:rsidRPr="001663AE">
        <w:rPr>
          <w:rFonts w:hint="eastAsia"/>
        </w:rPr>
        <w:t>)</w:t>
      </w:r>
      <w:r w:rsidRPr="001663AE">
        <w:rPr>
          <w:rFonts w:hint="eastAsia"/>
        </w:rPr>
        <w:t>為進行該業務活動的目的進入機場禁區的人。</w:t>
      </w:r>
    </w:p>
    <w:p w14:paraId="04CD3C53" w14:textId="77777777" w:rsidR="00CA23FA" w:rsidRPr="001663AE" w:rsidRDefault="00CA23FA" w:rsidP="00D87D91">
      <w:pPr>
        <w:pStyle w:val="3"/>
      </w:pPr>
      <w:r w:rsidRPr="001663AE">
        <w:rPr>
          <w:rFonts w:hint="eastAsia"/>
        </w:rPr>
        <w:t xml:space="preserve">(2) </w:t>
      </w:r>
      <w:r w:rsidRPr="001663AE">
        <w:rPr>
          <w:rFonts w:hint="eastAsia"/>
        </w:rPr>
        <w:t>任何獲授權人員在根據第</w:t>
      </w:r>
      <w:r w:rsidRPr="001663AE">
        <w:rPr>
          <w:rFonts w:hint="eastAsia"/>
        </w:rPr>
        <w:t>(1)</w:t>
      </w:r>
      <w:r w:rsidRPr="001663AE">
        <w:rPr>
          <w:rFonts w:hint="eastAsia"/>
        </w:rPr>
        <w:t>款視察任何飛機、機場的任何部分和機場外的任何土地時，有權─</w:t>
      </w:r>
    </w:p>
    <w:p w14:paraId="508FE6F0" w14:textId="77777777" w:rsidR="00CA23FA" w:rsidRPr="001663AE" w:rsidRDefault="00CA23FA" w:rsidP="00D87D91">
      <w:pPr>
        <w:pStyle w:val="3"/>
      </w:pPr>
      <w:r w:rsidRPr="001663AE">
        <w:rPr>
          <w:rFonts w:hint="eastAsia"/>
        </w:rPr>
        <w:t xml:space="preserve">(a) </w:t>
      </w:r>
      <w:r w:rsidRPr="001663AE">
        <w:rPr>
          <w:rFonts w:hint="eastAsia"/>
        </w:rPr>
        <w:t>對他在飛機內發現的任何財產</w:t>
      </w:r>
      <w:r w:rsidRPr="001663AE">
        <w:rPr>
          <w:rFonts w:hint="eastAsia"/>
        </w:rPr>
        <w:t>(</w:t>
      </w:r>
      <w:r w:rsidRPr="001663AE">
        <w:rPr>
          <w:rFonts w:hint="eastAsia"/>
        </w:rPr>
        <w:t>但不是該飛機本身或在其內安裝的任何儀器或設備</w:t>
      </w:r>
      <w:r w:rsidRPr="001663AE">
        <w:rPr>
          <w:rFonts w:hint="eastAsia"/>
        </w:rPr>
        <w:t>)</w:t>
      </w:r>
      <w:r w:rsidRPr="001663AE">
        <w:rPr>
          <w:rFonts w:hint="eastAsia"/>
        </w:rPr>
        <w:t>，或</w:t>
      </w:r>
      <w:r w:rsidRPr="001663AE">
        <w:rPr>
          <w:rFonts w:hint="eastAsia"/>
        </w:rPr>
        <w:t>(</w:t>
      </w:r>
      <w:r w:rsidRPr="001663AE">
        <w:rPr>
          <w:rFonts w:hint="eastAsia"/>
        </w:rPr>
        <w:t>視屬何情況而定</w:t>
      </w:r>
      <w:r w:rsidRPr="001663AE">
        <w:rPr>
          <w:rFonts w:hint="eastAsia"/>
        </w:rPr>
        <w:t>)</w:t>
      </w:r>
      <w:r w:rsidRPr="001663AE">
        <w:rPr>
          <w:rFonts w:hint="eastAsia"/>
        </w:rPr>
        <w:t>對機場的該部分或他在該處或該土地上發現的任何財產，進行該獲授權人員合理地認為為了進行該視察的目的而需要的測試；</w:t>
      </w:r>
    </w:p>
    <w:p w14:paraId="3B9B542A" w14:textId="77777777" w:rsidR="00CA23FA" w:rsidRPr="001663AE" w:rsidRDefault="00CA23FA" w:rsidP="00D87D91">
      <w:pPr>
        <w:pStyle w:val="3"/>
      </w:pPr>
      <w:r w:rsidRPr="001663AE">
        <w:rPr>
          <w:rFonts w:hint="eastAsia"/>
        </w:rPr>
        <w:t xml:space="preserve">(b) </w:t>
      </w:r>
      <w:r w:rsidRPr="001663AE">
        <w:rPr>
          <w:rFonts w:hint="eastAsia"/>
        </w:rPr>
        <w:t>採取該獲授權人員合理地認為為進行該視察的目的而需要的步驟─</w:t>
      </w:r>
    </w:p>
    <w:p w14:paraId="50F893F7" w14:textId="77777777" w:rsidR="00CA23FA" w:rsidRPr="001663AE" w:rsidRDefault="00CA23FA" w:rsidP="00D87D91">
      <w:pPr>
        <w:pStyle w:val="3"/>
      </w:pPr>
      <w:r w:rsidRPr="001663AE">
        <w:rPr>
          <w:rFonts w:hint="eastAsia"/>
        </w:rPr>
        <w:t xml:space="preserve">(i) </w:t>
      </w:r>
      <w:r w:rsidRPr="001663AE">
        <w:rPr>
          <w:rFonts w:hint="eastAsia"/>
        </w:rPr>
        <w:t>以確定就保安方面正在依循的常規或程序；或</w:t>
      </w:r>
    </w:p>
    <w:p w14:paraId="6B515A39" w14:textId="77777777" w:rsidR="00CA23FA" w:rsidRPr="001663AE" w:rsidRDefault="00CA23FA" w:rsidP="00D87D91">
      <w:pPr>
        <w:pStyle w:val="3"/>
      </w:pPr>
      <w:r w:rsidRPr="001663AE">
        <w:rPr>
          <w:rFonts w:hint="eastAsia"/>
        </w:rPr>
        <w:t xml:space="preserve">(ii) </w:t>
      </w:r>
      <w:r w:rsidRPr="001663AE">
        <w:rPr>
          <w:rFonts w:hint="eastAsia"/>
        </w:rPr>
        <w:t>測試任何關於保安的常規或程序的有效程度；或</w:t>
      </w:r>
    </w:p>
    <w:p w14:paraId="2AFF2156" w14:textId="77777777" w:rsidR="00CA23FA" w:rsidRPr="001663AE" w:rsidRDefault="00CA23FA" w:rsidP="00D87D91">
      <w:pPr>
        <w:pStyle w:val="3"/>
      </w:pPr>
      <w:r w:rsidRPr="001663AE">
        <w:rPr>
          <w:rFonts w:hint="eastAsia"/>
        </w:rPr>
        <w:t xml:space="preserve">(c) </w:t>
      </w:r>
      <w:r w:rsidRPr="001663AE">
        <w:rPr>
          <w:rFonts w:hint="eastAsia"/>
        </w:rPr>
        <w:t>要求該飛機的營運者、該機場的經理或該土地的佔用者向他提供該獲授權人員合理地認為為進行該視察的目的而需要的資料，或向他出示如此需要的由該營運者、經理或佔用者管有或控制的簿冊紀錄或電腦紀錄或撮要。</w:t>
      </w:r>
    </w:p>
    <w:p w14:paraId="18AEB7FC" w14:textId="77777777" w:rsidR="00CA23FA" w:rsidRPr="001663AE" w:rsidRDefault="00CA23FA" w:rsidP="00D87D91">
      <w:pPr>
        <w:pStyle w:val="3"/>
      </w:pPr>
      <w:r w:rsidRPr="001663AE">
        <w:rPr>
          <w:rFonts w:hint="eastAsia"/>
        </w:rPr>
        <w:t xml:space="preserve">(3) </w:t>
      </w:r>
      <w:r w:rsidRPr="001663AE">
        <w:rPr>
          <w:rFonts w:hint="eastAsia"/>
        </w:rPr>
        <w:t>除第</w:t>
      </w:r>
      <w:r w:rsidRPr="001663AE">
        <w:rPr>
          <w:rFonts w:hint="eastAsia"/>
        </w:rPr>
        <w:t>(4)</w:t>
      </w:r>
      <w:r w:rsidRPr="001663AE">
        <w:rPr>
          <w:rFonts w:hint="eastAsia"/>
        </w:rPr>
        <w:t>款另有規定外，任何獲授權人員為了就飛機、機場或機場外的任何土地行使本條授予他的任何權力，有權─</w:t>
      </w:r>
    </w:p>
    <w:p w14:paraId="01D50CED" w14:textId="77777777" w:rsidR="00CA23FA" w:rsidRPr="001663AE" w:rsidRDefault="00CA23FA" w:rsidP="00D87D91">
      <w:pPr>
        <w:pStyle w:val="3"/>
      </w:pPr>
      <w:r w:rsidRPr="001663AE">
        <w:rPr>
          <w:rFonts w:hint="eastAsia"/>
        </w:rPr>
        <w:t xml:space="preserve">(a) </w:t>
      </w:r>
      <w:r w:rsidRPr="001663AE">
        <w:rPr>
          <w:rFonts w:hint="eastAsia"/>
        </w:rPr>
        <w:t>為了視察任何飛機的目的而登上該飛機，並採取扣留該飛機所需的所有步驟；</w:t>
      </w:r>
    </w:p>
    <w:p w14:paraId="655D936C" w14:textId="77777777" w:rsidR="00CA23FA" w:rsidRPr="001663AE" w:rsidRDefault="00CA23FA" w:rsidP="00D87D91">
      <w:pPr>
        <w:pStyle w:val="3"/>
      </w:pPr>
      <w:r w:rsidRPr="001663AE">
        <w:rPr>
          <w:rFonts w:hint="eastAsia"/>
        </w:rPr>
        <w:t xml:space="preserve">(b) </w:t>
      </w:r>
      <w:r w:rsidRPr="001663AE">
        <w:rPr>
          <w:rFonts w:hint="eastAsia"/>
        </w:rPr>
        <w:t>為了視察機場的任何部分的目的而進入在機場內的任何建築物或工程設施或進入機場的任何土地；</w:t>
      </w:r>
    </w:p>
    <w:p w14:paraId="51ED8056" w14:textId="77777777" w:rsidR="00CA23FA" w:rsidRPr="001663AE" w:rsidRDefault="00CA23FA" w:rsidP="00D87D91">
      <w:pPr>
        <w:pStyle w:val="3"/>
      </w:pPr>
      <w:r w:rsidRPr="001663AE">
        <w:rPr>
          <w:rFonts w:hint="eastAsia"/>
        </w:rPr>
        <w:t xml:space="preserve">(c) </w:t>
      </w:r>
      <w:r w:rsidRPr="001663AE">
        <w:rPr>
          <w:rFonts w:hint="eastAsia"/>
        </w:rPr>
        <w:t>為了視察機場外的任何土地的目的而進入該土地或進入該土地上的任何建築物或工程設施。</w:t>
      </w:r>
    </w:p>
    <w:p w14:paraId="1F613584" w14:textId="77777777" w:rsidR="00CA23FA" w:rsidRPr="001663AE" w:rsidRDefault="00CA23FA" w:rsidP="00D87D91">
      <w:pPr>
        <w:pStyle w:val="3"/>
      </w:pPr>
      <w:r w:rsidRPr="001663AE">
        <w:rPr>
          <w:rFonts w:hint="eastAsia"/>
        </w:rPr>
        <w:t xml:space="preserve">(4) </w:t>
      </w:r>
      <w:r w:rsidRPr="001663AE">
        <w:rPr>
          <w:rFonts w:hint="eastAsia"/>
        </w:rPr>
        <w:t>由第</w:t>
      </w:r>
      <w:r w:rsidRPr="001663AE">
        <w:rPr>
          <w:rFonts w:hint="eastAsia"/>
        </w:rPr>
        <w:t>(3)</w:t>
      </w:r>
      <w:r w:rsidRPr="001663AE">
        <w:rPr>
          <w:rFonts w:hint="eastAsia"/>
        </w:rPr>
        <w:t>款所授予的權力，不包括任何獲授權人員為了登上任何飛機或進入建築物或工程設施或進入任何土地而使用武力的權力。</w:t>
      </w:r>
    </w:p>
  </w:footnote>
  <w:footnote w:id="198">
    <w:p w14:paraId="6F4ECD5C" w14:textId="77777777" w:rsidR="00CA23FA"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日本航空法</w:t>
      </w:r>
      <w:r w:rsidRPr="001663AE">
        <w:t>第八十六条</w:t>
      </w:r>
      <w:r>
        <w:rPr>
          <w:rFonts w:hint="eastAsia"/>
        </w:rPr>
        <w:t>〜</w:t>
      </w:r>
    </w:p>
    <w:p w14:paraId="3D293C68" w14:textId="77777777" w:rsidR="00CA23FA" w:rsidRDefault="00CA23FA" w:rsidP="00D87D91">
      <w:pPr>
        <w:pStyle w:val="3"/>
      </w:pPr>
      <w:r w:rsidRPr="001663AE">
        <w:t xml:space="preserve">　爆発性又は易燃性を有する物件その他人に危害を与え、又は他の物件を損傷するおそれのある物件で国土交通省令で定めるものは、航空機で輸送してはならない。</w:t>
      </w:r>
    </w:p>
    <w:p w14:paraId="71FF3087" w14:textId="77777777" w:rsidR="00CA23FA" w:rsidRPr="001663AE" w:rsidRDefault="00CA23FA" w:rsidP="00D87D91">
      <w:pPr>
        <w:pStyle w:val="3"/>
      </w:pPr>
      <w:r>
        <w:t>2</w:t>
      </w:r>
      <w:r w:rsidRPr="001663AE">
        <w:t xml:space="preserve">　何人も、前項の物件を航空機内に持ち込んではならない。</w:t>
      </w:r>
    </w:p>
    <w:p w14:paraId="65F5A792" w14:textId="77777777" w:rsidR="00CA23FA" w:rsidRDefault="00CA23FA" w:rsidP="00D87D91">
      <w:pPr>
        <w:pStyle w:val="3"/>
      </w:pPr>
      <w:r w:rsidRPr="001663AE">
        <w:rPr>
          <w:rFonts w:hint="eastAsia"/>
        </w:rPr>
        <w:t>日本航空法</w:t>
      </w:r>
      <w:r w:rsidRPr="001663AE">
        <w:t>第八十六条の二</w:t>
      </w:r>
      <w:r>
        <w:rPr>
          <w:rFonts w:hint="eastAsia"/>
        </w:rPr>
        <w:t>〜</w:t>
      </w:r>
      <w:r w:rsidRPr="001663AE">
        <w:rPr>
          <w:rFonts w:hint="eastAsia"/>
        </w:rPr>
        <w:t>--</w:t>
      </w:r>
    </w:p>
    <w:p w14:paraId="1C2A880C" w14:textId="77777777" w:rsidR="00CA23FA" w:rsidRDefault="00CA23FA" w:rsidP="00D87D91">
      <w:pPr>
        <w:pStyle w:val="3"/>
      </w:pPr>
      <w:r w:rsidRPr="001663AE">
        <w:t xml:space="preserve">　</w:t>
      </w:r>
      <w:r w:rsidRPr="001663AE">
        <w:rPr>
          <w:rFonts w:hint="eastAsia"/>
        </w:rPr>
        <w:t xml:space="preserve"> </w:t>
      </w:r>
      <w:r w:rsidRPr="001663AE">
        <w:t>航空運送事業を経営する者は、貨物若しくは手荷物又は旅客の携行品その他航空機内に持ち込まれ若しくは持ち込まれようとしている物件について、形状、重量その他の事情により前条第一項の物件であることを疑うに足りる相当な理由がある場合は、当該物件の輸送若しくは航空機内への持ち込みを拒絶し、託送人若しくは所持人に対し当該物件の取卸しを要求し、又は自ら当該物件を取り卸すことができる。但し、自ら物件を取り卸すことができるのは、当該物件の託送人又は所持人がその場に居合わせない場合に限る。</w:t>
      </w:r>
    </w:p>
    <w:p w14:paraId="26B1FF70" w14:textId="77777777" w:rsidR="00CA23FA" w:rsidRPr="001663AE" w:rsidRDefault="00CA23FA" w:rsidP="00D87D91">
      <w:pPr>
        <w:pStyle w:val="3"/>
      </w:pPr>
      <w:r>
        <w:t>2</w:t>
      </w:r>
      <w:r w:rsidRPr="001663AE">
        <w:t xml:space="preserve">　国土交通大臣は、航空の安全を確保するため特に必要があると認めるときは、航空運送事業を経営する者に対し、前項の規定による措置を講ずべきことを命ずることができる。</w:t>
      </w:r>
    </w:p>
  </w:footnote>
  <w:footnote w:id="199">
    <w:p w14:paraId="15A145AE" w14:textId="77777777" w:rsidR="00CA23FA" w:rsidRPr="001663AE" w:rsidRDefault="00CA23FA" w:rsidP="00D87D91">
      <w:pPr>
        <w:pStyle w:val="3"/>
        <w:rPr>
          <w:lang w:eastAsia="ja-JP"/>
        </w:rPr>
      </w:pPr>
      <w:r w:rsidRPr="001663AE">
        <w:rPr>
          <w:rStyle w:val="af3"/>
          <w:rFonts w:ascii="新細明體" w:hAnsi="新細明體"/>
          <w:szCs w:val="20"/>
        </w:rPr>
        <w:footnoteRef/>
      </w:r>
      <w:r w:rsidRPr="001663AE">
        <w:rPr>
          <w:rFonts w:hint="eastAsia"/>
          <w:lang w:eastAsia="ja-JP"/>
        </w:rPr>
        <w:t>ウィキペディア</w:t>
      </w:r>
      <w:r w:rsidRPr="001663AE">
        <w:rPr>
          <w:rFonts w:hint="eastAsia"/>
          <w:lang w:eastAsia="ja-JP"/>
        </w:rPr>
        <w:t>(2015)</w:t>
      </w:r>
      <w:r w:rsidRPr="001663AE">
        <w:rPr>
          <w:rFonts w:hint="eastAsia"/>
          <w:lang w:eastAsia="ja-JP"/>
        </w:rPr>
        <w:t>，空港警備，上網瀏覽時間</w:t>
      </w:r>
      <w:r w:rsidRPr="001663AE">
        <w:rPr>
          <w:rFonts w:hint="eastAsia"/>
          <w:lang w:eastAsia="ja-JP"/>
        </w:rPr>
        <w:t>2015/02/13</w:t>
      </w:r>
      <w:r w:rsidRPr="001663AE">
        <w:rPr>
          <w:rFonts w:hint="eastAsia"/>
          <w:lang w:eastAsia="ja-JP"/>
        </w:rPr>
        <w:t>，</w:t>
      </w:r>
      <w:hyperlink r:id="rId57" w:history="1">
        <w:r w:rsidRPr="001663AE">
          <w:rPr>
            <w:rStyle w:val="a5"/>
            <w:szCs w:val="20"/>
            <w:lang w:eastAsia="ja-JP"/>
          </w:rPr>
          <w:t>http://ja.wikipedia.org/wiki/%E7%A9%BA%E6%B8%AF%E8%AD%A6%E5%82%99</w:t>
        </w:r>
      </w:hyperlink>
      <w:r w:rsidRPr="001663AE">
        <w:rPr>
          <w:lang w:eastAsia="ja-JP"/>
        </w:rPr>
        <w:t>。</w:t>
      </w:r>
    </w:p>
  </w:footnote>
  <w:footnote w:id="200">
    <w:p w14:paraId="66FADD74"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日本警備業法</w:t>
      </w:r>
      <w:r w:rsidRPr="001663AE">
        <w:t>第四十七条</w:t>
      </w:r>
      <w:r>
        <w:rPr>
          <w:rFonts w:hint="eastAsia"/>
        </w:rPr>
        <w:t>〜</w:t>
      </w:r>
      <w:r w:rsidRPr="001663AE">
        <w:rPr>
          <w:rFonts w:hint="eastAsia"/>
        </w:rPr>
        <w:t>--</w:t>
      </w:r>
    </w:p>
    <w:p w14:paraId="410EA2A7" w14:textId="77777777" w:rsidR="00CA23FA" w:rsidRPr="001663AE" w:rsidRDefault="00CA23FA" w:rsidP="00D87D91">
      <w:pPr>
        <w:pStyle w:val="3"/>
      </w:pPr>
      <w:r w:rsidRPr="001663AE">
        <w:t xml:space="preserve"> </w:t>
      </w:r>
      <w:r w:rsidRPr="001663AE">
        <w:t xml:space="preserve">　公安委員会は、この法律の施行に必要な限度において、警察職員に警備業者の営業所、基地局又は待機所に立ち入り、業務の状況又は帳簿、書類その他の物件を検査させることができる。</w:t>
      </w:r>
      <w:r w:rsidRPr="001663AE">
        <w:t xml:space="preserve"> </w:t>
      </w:r>
    </w:p>
    <w:p w14:paraId="6982AFA4" w14:textId="77777777" w:rsidR="00CA23FA" w:rsidRPr="001663AE" w:rsidRDefault="00CA23FA" w:rsidP="00D87D91">
      <w:pPr>
        <w:pStyle w:val="3"/>
      </w:pPr>
      <w:r>
        <w:t>2</w:t>
      </w:r>
      <w:r w:rsidRPr="001663AE">
        <w:t xml:space="preserve"> </w:t>
      </w:r>
      <w:r w:rsidRPr="001663AE">
        <w:t xml:space="preserve">　第三十八条第二項及び第三項の規定は、前項の規定による立入検査について準用する。</w:t>
      </w:r>
    </w:p>
  </w:footnote>
  <w:footnote w:id="201">
    <w:p w14:paraId="559911A6"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日本警備業法</w:t>
      </w:r>
      <w:r w:rsidRPr="001663AE">
        <w:t>第四十八条</w:t>
      </w:r>
      <w:r>
        <w:rPr>
          <w:rFonts w:hint="eastAsia"/>
        </w:rPr>
        <w:t>〜</w:t>
      </w:r>
      <w:r w:rsidRPr="001663AE">
        <w:rPr>
          <w:rFonts w:hint="eastAsia"/>
        </w:rPr>
        <w:t>-</w:t>
      </w:r>
    </w:p>
    <w:p w14:paraId="6C46FCCC" w14:textId="77777777" w:rsidR="00CA23FA" w:rsidRPr="001663AE" w:rsidRDefault="00CA23FA" w:rsidP="00D87D91">
      <w:pPr>
        <w:pStyle w:val="3"/>
      </w:pPr>
      <w:r w:rsidRPr="001663AE">
        <w:t xml:space="preserve"> </w:t>
      </w:r>
      <w:r w:rsidRPr="001663AE">
        <w:t xml:space="preserve">　公安委員会は、警備業者又はその警備員が、この法律、この法律に基づく命令若しくは第十七条第一項の規定に基づく都道府県公安委員会規則の規定に違反し、又は警備業務に関し他の法令の規定に違反した場合において、警備業務の適正な実施が害されるおそれがあると認められるときは、当該警備業者に対し、当該警備員を警備業務に従事させない措置その他の必要な措置をとるべきことを指示することができる。</w:t>
      </w:r>
    </w:p>
  </w:footnote>
  <w:footnote w:id="202">
    <w:p w14:paraId="7A5D02BC"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日本警備業法</w:t>
      </w:r>
      <w:r w:rsidRPr="001663AE">
        <w:t>第五十六条</w:t>
      </w:r>
      <w:r>
        <w:rPr>
          <w:rFonts w:hint="eastAsia"/>
        </w:rPr>
        <w:t>〜</w:t>
      </w:r>
    </w:p>
    <w:p w14:paraId="5D3EE466" w14:textId="77777777" w:rsidR="00CA23FA" w:rsidRPr="001663AE" w:rsidRDefault="00CA23FA" w:rsidP="00D87D91">
      <w:pPr>
        <w:pStyle w:val="3"/>
      </w:pPr>
      <w:r w:rsidRPr="001663AE">
        <w:t xml:space="preserve"> </w:t>
      </w:r>
      <w:r w:rsidRPr="001663AE">
        <w:t xml:space="preserve">　次の各号のいずれかに該当する者は、一年以下の懲役若しくは百万円以下の罰金に処し、又はこれを併科する。</w:t>
      </w:r>
      <w:r w:rsidRPr="001663AE">
        <w:t xml:space="preserve"> </w:t>
      </w:r>
    </w:p>
    <w:p w14:paraId="50CD11DE" w14:textId="77777777" w:rsidR="00CA23FA" w:rsidRPr="001663AE" w:rsidRDefault="00CA23FA" w:rsidP="00D87D91">
      <w:pPr>
        <w:pStyle w:val="3"/>
      </w:pPr>
      <w:r w:rsidRPr="001663AE">
        <w:t>一</w:t>
      </w:r>
      <w:r w:rsidRPr="001663AE">
        <w:t xml:space="preserve"> </w:t>
      </w:r>
      <w:r w:rsidRPr="001663AE">
        <w:t xml:space="preserve">　第三十五条の規定による業務の停止の命令に違反した者。</w:t>
      </w:r>
    </w:p>
    <w:p w14:paraId="6633524E" w14:textId="77777777" w:rsidR="00CA23FA" w:rsidRPr="001663AE" w:rsidRDefault="00CA23FA" w:rsidP="00D87D91">
      <w:pPr>
        <w:pStyle w:val="3"/>
      </w:pPr>
      <w:r w:rsidRPr="001663AE">
        <w:t>二</w:t>
      </w:r>
      <w:r w:rsidRPr="001663AE">
        <w:t xml:space="preserve"> </w:t>
      </w:r>
      <w:r w:rsidRPr="001663AE">
        <w:t xml:space="preserve">　第四十九条第一項又は第二項の規定による営業の停止又は廃止の命令に違反した者。</w:t>
      </w:r>
    </w:p>
  </w:footnote>
  <w:footnote w:id="203">
    <w:p w14:paraId="59E96050"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日本警備業法</w:t>
      </w:r>
      <w:r w:rsidRPr="001663AE">
        <w:t>第五十七条</w:t>
      </w:r>
      <w:r>
        <w:rPr>
          <w:rFonts w:hint="eastAsia"/>
        </w:rPr>
        <w:t>〜</w:t>
      </w:r>
      <w:r w:rsidRPr="001663AE">
        <w:rPr>
          <w:rFonts w:hint="eastAsia"/>
        </w:rPr>
        <w:t>-</w:t>
      </w:r>
    </w:p>
    <w:p w14:paraId="6920BF11" w14:textId="77777777" w:rsidR="00CA23FA" w:rsidRPr="001663AE" w:rsidRDefault="00CA23FA" w:rsidP="00D87D91">
      <w:pPr>
        <w:pStyle w:val="3"/>
      </w:pPr>
      <w:r w:rsidRPr="001663AE">
        <w:t xml:space="preserve"> </w:t>
      </w:r>
      <w:r w:rsidRPr="001663AE">
        <w:t xml:space="preserve">　次の各号のいずれかに該当する者は、百万円以下の罰金に処する。</w:t>
      </w:r>
      <w:r w:rsidRPr="001663AE">
        <w:t xml:space="preserve"> </w:t>
      </w:r>
    </w:p>
    <w:p w14:paraId="284EDF7F" w14:textId="77777777" w:rsidR="00CA23FA" w:rsidRPr="001663AE" w:rsidRDefault="00CA23FA" w:rsidP="00D87D91">
      <w:pPr>
        <w:pStyle w:val="3"/>
      </w:pPr>
      <w:r w:rsidRPr="001663AE">
        <w:t>一</w:t>
      </w:r>
      <w:r w:rsidRPr="001663AE">
        <w:t xml:space="preserve"> </w:t>
      </w:r>
      <w:r w:rsidRPr="001663AE">
        <w:t xml:space="preserve">　第五条第一項の規定による認定の申請をしないで、又はこれに係る同条第二項若しくは第三項の規定による通知を受ける前に警備業を営んだ者</w:t>
      </w:r>
      <w:r w:rsidRPr="001663AE">
        <w:t xml:space="preserve"> </w:t>
      </w:r>
    </w:p>
    <w:p w14:paraId="74E0C953" w14:textId="77777777" w:rsidR="00CA23FA" w:rsidRPr="001663AE" w:rsidRDefault="00CA23FA" w:rsidP="00D87D91">
      <w:pPr>
        <w:pStyle w:val="3"/>
      </w:pPr>
      <w:r w:rsidRPr="001663AE">
        <w:t>二</w:t>
      </w:r>
      <w:r w:rsidRPr="001663AE">
        <w:t xml:space="preserve"> </w:t>
      </w:r>
      <w:r w:rsidRPr="001663AE">
        <w:t xml:space="preserve">　第七条第一項の規定による認定証の有効期間の更新の申請をしないで、認定証の有効期間の満了後引き続き警備業を営んだ者</w:t>
      </w:r>
      <w:r w:rsidRPr="001663AE">
        <w:t xml:space="preserve"> </w:t>
      </w:r>
    </w:p>
    <w:p w14:paraId="6E986C36" w14:textId="77777777" w:rsidR="00CA23FA" w:rsidRPr="001663AE" w:rsidRDefault="00CA23FA" w:rsidP="00D87D91">
      <w:pPr>
        <w:pStyle w:val="3"/>
      </w:pPr>
      <w:r w:rsidRPr="001663AE">
        <w:t>三</w:t>
      </w:r>
      <w:r w:rsidRPr="001663AE">
        <w:t xml:space="preserve"> </w:t>
      </w:r>
      <w:r w:rsidRPr="001663AE">
        <w:t xml:space="preserve">　第十三条の規定に違反して他人に警備業を営ませた者</w:t>
      </w:r>
      <w:r w:rsidRPr="001663AE">
        <w:t xml:space="preserve"> </w:t>
      </w:r>
    </w:p>
    <w:p w14:paraId="687C4595" w14:textId="77777777" w:rsidR="00CA23FA" w:rsidRPr="001663AE" w:rsidRDefault="00CA23FA" w:rsidP="00D87D91">
      <w:pPr>
        <w:pStyle w:val="3"/>
      </w:pPr>
      <w:r w:rsidRPr="001663AE">
        <w:t>四</w:t>
      </w:r>
      <w:r w:rsidRPr="001663AE">
        <w:t xml:space="preserve"> </w:t>
      </w:r>
      <w:r w:rsidRPr="001663AE">
        <w:t xml:space="preserve">　第十九条の規定に違反して、書面を交付せず、又は同条に規定する事項が記載されていない書面若しくは虚偽の記載のある書面を交付した者</w:t>
      </w:r>
      <w:r w:rsidRPr="001663AE">
        <w:t xml:space="preserve"> </w:t>
      </w:r>
    </w:p>
    <w:p w14:paraId="0286499D" w14:textId="77777777" w:rsidR="00CA23FA" w:rsidRPr="001663AE" w:rsidRDefault="00CA23FA" w:rsidP="00D87D91">
      <w:pPr>
        <w:pStyle w:val="3"/>
      </w:pPr>
      <w:r w:rsidRPr="001663AE">
        <w:t>五</w:t>
      </w:r>
      <w:r w:rsidRPr="001663AE">
        <w:t xml:space="preserve"> </w:t>
      </w:r>
      <w:r w:rsidRPr="001663AE">
        <w:t xml:space="preserve">　第二十二条第一項の規定に違反して警備員指導教育責任者を選任しなかつた者</w:t>
      </w:r>
      <w:r w:rsidRPr="001663AE">
        <w:t xml:space="preserve"> </w:t>
      </w:r>
    </w:p>
    <w:p w14:paraId="74C2AF66" w14:textId="77777777" w:rsidR="00CA23FA" w:rsidRPr="001663AE" w:rsidRDefault="00CA23FA" w:rsidP="00D87D91">
      <w:pPr>
        <w:pStyle w:val="3"/>
      </w:pPr>
      <w:r w:rsidRPr="001663AE">
        <w:t>六</w:t>
      </w:r>
      <w:r w:rsidRPr="001663AE">
        <w:t xml:space="preserve"> </w:t>
      </w:r>
      <w:r w:rsidRPr="001663AE">
        <w:t xml:space="preserve">　第四十条の規定に違反して届出をしなかつた者</w:t>
      </w:r>
      <w:r w:rsidRPr="001663AE">
        <w:t xml:space="preserve"> </w:t>
      </w:r>
    </w:p>
    <w:p w14:paraId="6BCFD211" w14:textId="77777777" w:rsidR="00CA23FA" w:rsidRPr="001663AE" w:rsidRDefault="00CA23FA" w:rsidP="00D87D91">
      <w:pPr>
        <w:pStyle w:val="3"/>
      </w:pPr>
      <w:r w:rsidRPr="001663AE">
        <w:t>七</w:t>
      </w:r>
      <w:r w:rsidRPr="001663AE">
        <w:t xml:space="preserve"> </w:t>
      </w:r>
      <w:r w:rsidRPr="001663AE">
        <w:t xml:space="preserve">　第四十八条の規定による指示に違反した者</w:t>
      </w:r>
      <w:r w:rsidRPr="001663AE">
        <w:t xml:space="preserve"> </w:t>
      </w:r>
    </w:p>
    <w:p w14:paraId="1EBACA3E" w14:textId="77777777" w:rsidR="00CA23FA" w:rsidRPr="001663AE" w:rsidRDefault="00CA23FA" w:rsidP="00D87D91">
      <w:pPr>
        <w:pStyle w:val="3"/>
      </w:pPr>
      <w:r w:rsidRPr="001663AE">
        <w:t>八</w:t>
      </w:r>
      <w:r w:rsidRPr="001663AE">
        <w:t xml:space="preserve"> </w:t>
      </w:r>
      <w:r w:rsidRPr="001663AE">
        <w:t xml:space="preserve">　偽りその他不正の手段により第四条の認定又は第七条第一項の認定証の有効期間の更新を受けた者</w:t>
      </w:r>
    </w:p>
  </w:footnote>
  <w:footnote w:id="204">
    <w:p w14:paraId="7EED6DEF"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日本警備業法</w:t>
      </w:r>
      <w:r w:rsidRPr="001663AE">
        <w:t>第五十八条</w:t>
      </w:r>
      <w:r>
        <w:rPr>
          <w:rFonts w:hint="eastAsia"/>
        </w:rPr>
        <w:t>〜</w:t>
      </w:r>
      <w:r w:rsidRPr="001663AE">
        <w:rPr>
          <w:rFonts w:hint="eastAsia"/>
        </w:rPr>
        <w:t>-</w:t>
      </w:r>
    </w:p>
    <w:p w14:paraId="759F599D" w14:textId="77777777" w:rsidR="00CA23FA" w:rsidRPr="001663AE" w:rsidRDefault="00CA23FA" w:rsidP="00D87D91">
      <w:pPr>
        <w:pStyle w:val="3"/>
      </w:pPr>
      <w:r w:rsidRPr="001663AE">
        <w:t xml:space="preserve"> </w:t>
      </w:r>
      <w:r w:rsidRPr="001663AE">
        <w:t xml:space="preserve">　次の各号のいずれかに該当する者は、三十万円以下の罰金に処する。</w:t>
      </w:r>
      <w:r w:rsidRPr="001663AE">
        <w:t xml:space="preserve"> </w:t>
      </w:r>
    </w:p>
    <w:p w14:paraId="7D3DDC89" w14:textId="77777777" w:rsidR="00CA23FA" w:rsidRPr="001663AE" w:rsidRDefault="00CA23FA" w:rsidP="00D87D91">
      <w:pPr>
        <w:pStyle w:val="3"/>
      </w:pPr>
      <w:r w:rsidRPr="001663AE">
        <w:t>一</w:t>
      </w:r>
      <w:r w:rsidRPr="001663AE">
        <w:t xml:space="preserve"> </w:t>
      </w:r>
      <w:r w:rsidRPr="001663AE">
        <w:t xml:space="preserve">　第五条第一項（第七条第四項において準用する場合を含む。）の認定申請書若しくは認定証更新申請書又は添付書類に虚偽の記載をして提出した者</w:t>
      </w:r>
      <w:r w:rsidRPr="001663AE">
        <w:t xml:space="preserve"> </w:t>
      </w:r>
    </w:p>
    <w:p w14:paraId="49426164" w14:textId="77777777" w:rsidR="00CA23FA" w:rsidRPr="001663AE" w:rsidRDefault="00CA23FA" w:rsidP="00D87D91">
      <w:pPr>
        <w:pStyle w:val="3"/>
      </w:pPr>
      <w:r w:rsidRPr="001663AE">
        <w:t>二</w:t>
      </w:r>
      <w:r w:rsidRPr="001663AE">
        <w:t xml:space="preserve"> </w:t>
      </w:r>
      <w:r w:rsidRPr="001663AE">
        <w:t xml:space="preserve">　第六条の規定に違反して認定証を掲示しなかつた者</w:t>
      </w:r>
      <w:r w:rsidRPr="001663AE">
        <w:t xml:space="preserve"> </w:t>
      </w:r>
    </w:p>
    <w:p w14:paraId="129F0948" w14:textId="77777777" w:rsidR="00CA23FA" w:rsidRPr="001663AE" w:rsidRDefault="00CA23FA" w:rsidP="00D87D91">
      <w:pPr>
        <w:pStyle w:val="3"/>
      </w:pPr>
      <w:r w:rsidRPr="001663AE">
        <w:t>三</w:t>
      </w:r>
      <w:r w:rsidRPr="001663AE">
        <w:t xml:space="preserve"> </w:t>
      </w:r>
      <w:r w:rsidRPr="001663AE">
        <w:t xml:space="preserve">　第九条、第十条第一項、第十一条第一項（同条第四項、第十六条第三項及び第十七条第二項において準用する場合を含む。以下この号において同じ。）、第十六条第二項（第十七条第二項において準用する場合を含む。以下この号において同じ。）若しくは第四十一条の規定に違反して届出をせず、又は第九条、第十条第一項、第十一条第一項、第十六条第二項、第四十条若しくは第四十一条の届出書若しくは添付書類に虚偽の記載をして提出した者</w:t>
      </w:r>
      <w:r w:rsidRPr="001663AE">
        <w:t xml:space="preserve"> </w:t>
      </w:r>
    </w:p>
    <w:p w14:paraId="7A33BB5C" w14:textId="77777777" w:rsidR="00CA23FA" w:rsidRPr="001663AE" w:rsidRDefault="00CA23FA" w:rsidP="00D87D91">
      <w:pPr>
        <w:pStyle w:val="3"/>
      </w:pPr>
      <w:r w:rsidRPr="001663AE">
        <w:t>四</w:t>
      </w:r>
      <w:r w:rsidRPr="001663AE">
        <w:t xml:space="preserve"> </w:t>
      </w:r>
      <w:r w:rsidRPr="001663AE">
        <w:t xml:space="preserve">　第十二条第一項の規定に違反して認定証を返納しなかつた者</w:t>
      </w:r>
      <w:r w:rsidRPr="001663AE">
        <w:t xml:space="preserve"> </w:t>
      </w:r>
    </w:p>
    <w:p w14:paraId="2DA7BF12" w14:textId="77777777" w:rsidR="00CA23FA" w:rsidRPr="001663AE" w:rsidRDefault="00CA23FA" w:rsidP="00D87D91">
      <w:pPr>
        <w:pStyle w:val="3"/>
      </w:pPr>
      <w:r w:rsidRPr="001663AE">
        <w:t>五</w:t>
      </w:r>
      <w:r w:rsidRPr="001663AE">
        <w:t xml:space="preserve"> </w:t>
      </w:r>
      <w:r w:rsidRPr="001663AE">
        <w:t xml:space="preserve">　第二十二条第七項（第二十三条第五項及び第四十二条第三項において準用する場合を含む。）の規定による命令に違反した者</w:t>
      </w:r>
      <w:r w:rsidRPr="001663AE">
        <w:t xml:space="preserve"> </w:t>
      </w:r>
    </w:p>
    <w:p w14:paraId="1759D8C1" w14:textId="77777777" w:rsidR="00CA23FA" w:rsidRPr="001663AE" w:rsidRDefault="00CA23FA" w:rsidP="00D87D91">
      <w:pPr>
        <w:pStyle w:val="3"/>
      </w:pPr>
      <w:r w:rsidRPr="001663AE">
        <w:t>六</w:t>
      </w:r>
      <w:r w:rsidRPr="001663AE">
        <w:t xml:space="preserve"> </w:t>
      </w:r>
      <w:r w:rsidRPr="001663AE">
        <w:t xml:space="preserve">　第三十一条の規定による届出をせず、又は虚偽の届出をした者</w:t>
      </w:r>
      <w:r w:rsidRPr="001663AE">
        <w:t xml:space="preserve"> </w:t>
      </w:r>
    </w:p>
    <w:p w14:paraId="6CDD14F7" w14:textId="77777777" w:rsidR="00CA23FA" w:rsidRPr="001663AE" w:rsidRDefault="00CA23FA" w:rsidP="00D87D91">
      <w:pPr>
        <w:pStyle w:val="3"/>
      </w:pPr>
      <w:r w:rsidRPr="001663AE">
        <w:t>七</w:t>
      </w:r>
      <w:r w:rsidRPr="001663AE">
        <w:t xml:space="preserve"> </w:t>
      </w:r>
      <w:r w:rsidRPr="001663AE">
        <w:t xml:space="preserve">　第三十六条の規定に違反して帳簿を備えず、帳簿に記載せず、若しくは虚偽の記載をし、又は帳簿を保存しなかつた者</w:t>
      </w:r>
      <w:r w:rsidRPr="001663AE">
        <w:t xml:space="preserve"> </w:t>
      </w:r>
    </w:p>
    <w:p w14:paraId="787A320D" w14:textId="77777777" w:rsidR="00CA23FA" w:rsidRPr="001663AE" w:rsidRDefault="00CA23FA" w:rsidP="00D87D91">
      <w:pPr>
        <w:pStyle w:val="3"/>
      </w:pPr>
      <w:r w:rsidRPr="001663AE">
        <w:t>八</w:t>
      </w:r>
      <w:r w:rsidRPr="001663AE">
        <w:t xml:space="preserve"> </w:t>
      </w:r>
      <w:r w:rsidRPr="001663AE">
        <w:t xml:space="preserve">　第三十七条若しくは第四十六条の規定による報告若しくは資料の提出をせず、若しくは虚偽の報告若しくは資料の提出をし、又は第三十八条第一項若しくは第四十七条第一項の規定による検査を拒み、妨げ、若しくは忌避した者</w:t>
      </w:r>
      <w:r w:rsidRPr="001663AE">
        <w:t xml:space="preserve"> </w:t>
      </w:r>
    </w:p>
    <w:p w14:paraId="02DF1357" w14:textId="77777777" w:rsidR="00CA23FA" w:rsidRPr="001663AE" w:rsidRDefault="00CA23FA" w:rsidP="00D87D91">
      <w:pPr>
        <w:pStyle w:val="3"/>
      </w:pPr>
      <w:r w:rsidRPr="001663AE">
        <w:t>九</w:t>
      </w:r>
      <w:r w:rsidRPr="001663AE">
        <w:t xml:space="preserve"> </w:t>
      </w:r>
      <w:r w:rsidRPr="001663AE">
        <w:t xml:space="preserve">　第四十二条第一項の規定に違反して機械警備業務管理者を選任しなかつた者</w:t>
      </w:r>
      <w:r w:rsidRPr="001663AE">
        <w:t xml:space="preserve"> </w:t>
      </w:r>
    </w:p>
    <w:p w14:paraId="42F59266" w14:textId="77777777" w:rsidR="00CA23FA" w:rsidRPr="001663AE" w:rsidRDefault="00CA23FA" w:rsidP="00D87D91">
      <w:pPr>
        <w:pStyle w:val="3"/>
      </w:pPr>
      <w:r w:rsidRPr="001663AE">
        <w:t>十</w:t>
      </w:r>
      <w:r w:rsidRPr="001663AE">
        <w:t xml:space="preserve"> </w:t>
      </w:r>
      <w:r w:rsidRPr="001663AE">
        <w:t xml:space="preserve">　第四十四条又は第四十五条に規定する書類を備え付けず、又はこれに必要な事項を記載せず、若しくは虚偽の記載をした者</w:t>
      </w:r>
      <w:r w:rsidRPr="001663AE">
        <w:t xml:space="preserve"> </w:t>
      </w:r>
    </w:p>
  </w:footnote>
  <w:footnote w:id="205">
    <w:p w14:paraId="61FE29D2"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日本警備業法</w:t>
      </w:r>
      <w:r w:rsidRPr="001663AE">
        <w:t>第五十九条</w:t>
      </w:r>
      <w:r>
        <w:rPr>
          <w:rFonts w:hint="eastAsia"/>
        </w:rPr>
        <w:t>〜</w:t>
      </w:r>
      <w:r w:rsidRPr="001663AE">
        <w:rPr>
          <w:rFonts w:hint="eastAsia"/>
        </w:rPr>
        <w:t>-</w:t>
      </w:r>
    </w:p>
    <w:p w14:paraId="6E975B2B" w14:textId="77777777" w:rsidR="00CA23FA" w:rsidRPr="001663AE" w:rsidRDefault="00CA23FA" w:rsidP="00D87D91">
      <w:pPr>
        <w:pStyle w:val="3"/>
      </w:pPr>
      <w:r w:rsidRPr="001663AE">
        <w:t xml:space="preserve"> </w:t>
      </w:r>
      <w:r w:rsidRPr="001663AE">
        <w:t xml:space="preserve">　法人の代表者又は法人若しくは人の代理人、使用人その他の従業者が、その法人又は人の業務に関し、前三条の違反行為をしたときは、行為者を罰するほか、その法人又は人に対しても、各本条の罰金刑を科する。</w:t>
      </w:r>
    </w:p>
  </w:footnote>
  <w:footnote w:id="206">
    <w:p w14:paraId="3F916074"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t>有關於</w:t>
      </w:r>
      <w:r w:rsidRPr="001663AE">
        <w:rPr>
          <w:rFonts w:hint="eastAsia"/>
        </w:rPr>
        <w:t>民航法草案</w:t>
      </w:r>
      <w:r w:rsidRPr="001663AE">
        <w:rPr>
          <w:rFonts w:hint="eastAsia"/>
        </w:rPr>
        <w:t>(2015</w:t>
      </w:r>
      <w:r w:rsidRPr="001663AE">
        <w:rPr>
          <w:rFonts w:hint="eastAsia"/>
        </w:rPr>
        <w:t>年</w:t>
      </w:r>
      <w:r w:rsidRPr="001663AE">
        <w:rPr>
          <w:rFonts w:hint="eastAsia"/>
        </w:rPr>
        <w:t>)</w:t>
      </w:r>
      <w:r w:rsidRPr="001663AE">
        <w:t>由認證之保全業，執行航空保安之工作，相關之學者、專家之看法，如下所述：</w:t>
      </w:r>
    </w:p>
    <w:p w14:paraId="472E2845" w14:textId="77777777" w:rsidR="00CA23FA" w:rsidRPr="001663AE" w:rsidRDefault="00CA23FA" w:rsidP="00D87D91">
      <w:pPr>
        <w:pStyle w:val="3"/>
      </w:pPr>
      <w:r w:rsidRPr="001663AE">
        <w:t>開南大學法律系</w:t>
      </w:r>
      <w:r w:rsidRPr="001663AE">
        <w:rPr>
          <w:rFonts w:hint="eastAsia"/>
        </w:rPr>
        <w:t>鄭教授善印：</w:t>
      </w:r>
    </w:p>
    <w:p w14:paraId="50CBA8A5" w14:textId="77777777" w:rsidR="00CA23FA" w:rsidRPr="001663AE" w:rsidRDefault="00CA23FA" w:rsidP="00D87D91">
      <w:pPr>
        <w:pStyle w:val="3"/>
      </w:pPr>
      <w:r w:rsidRPr="00367D0C">
        <w:rPr>
          <w:rFonts w:hint="eastAsia"/>
        </w:rPr>
        <w:t>首先我覺得應該要確定，民航法草案</w:t>
      </w:r>
      <w:r w:rsidRPr="00367D0C">
        <w:rPr>
          <w:rFonts w:hint="eastAsia"/>
        </w:rPr>
        <w:t>(2015</w:t>
      </w:r>
      <w:r w:rsidRPr="00367D0C">
        <w:rPr>
          <w:rFonts w:hint="eastAsia"/>
        </w:rPr>
        <w:t>年</w:t>
      </w:r>
      <w:r w:rsidRPr="00367D0C">
        <w:rPr>
          <w:rFonts w:hint="eastAsia"/>
        </w:rPr>
        <w:t>)</w:t>
      </w:r>
      <w:r w:rsidRPr="00367D0C">
        <w:rPr>
          <w:rFonts w:hint="eastAsia"/>
        </w:rPr>
        <w:t>「檢查」是要用「公權力授與」的方式，或</w:t>
      </w:r>
      <w:r w:rsidRPr="001663AE">
        <w:rPr>
          <w:rFonts w:hint="eastAsia"/>
        </w:rPr>
        <w:t>是用「航空公司或機場公司聯合執行本身飛航安全的」的方式來進行檢查，這兩者的結果應該不同，最簡單的不同是，前者航警局才有各種監督權，也才有強制檢查的公權力應由航警局負責的結論。接著，民航法草案</w:t>
      </w:r>
      <w:r w:rsidRPr="001663AE">
        <w:rPr>
          <w:rFonts w:hint="eastAsia"/>
        </w:rPr>
        <w:t>(2015</w:t>
      </w:r>
      <w:r w:rsidRPr="001663AE">
        <w:rPr>
          <w:rFonts w:hint="eastAsia"/>
        </w:rPr>
        <w:t>年</w:t>
      </w:r>
      <w:r w:rsidRPr="001663AE">
        <w:rPr>
          <w:rFonts w:hint="eastAsia"/>
        </w:rPr>
        <w:t>)</w:t>
      </w:r>
      <w:r w:rsidRPr="001663AE">
        <w:rPr>
          <w:rFonts w:hint="eastAsia"/>
        </w:rPr>
        <w:t>第</w:t>
      </w:r>
      <w:r w:rsidRPr="001663AE">
        <w:rPr>
          <w:rFonts w:hint="eastAsia"/>
        </w:rPr>
        <w:t>47</w:t>
      </w:r>
      <w:r w:rsidRPr="001663AE">
        <w:rPr>
          <w:rFonts w:hint="eastAsia"/>
        </w:rPr>
        <w:t>條之</w:t>
      </w:r>
      <w:r w:rsidRPr="001663AE">
        <w:rPr>
          <w:rFonts w:hint="eastAsia"/>
        </w:rPr>
        <w:t>3</w:t>
      </w:r>
      <w:r w:rsidRPr="001663AE">
        <w:rPr>
          <w:rFonts w:hint="eastAsia"/>
        </w:rPr>
        <w:t>第</w:t>
      </w:r>
      <w:r w:rsidRPr="001663AE">
        <w:rPr>
          <w:rFonts w:hint="eastAsia"/>
        </w:rPr>
        <w:t>6</w:t>
      </w:r>
      <w:r w:rsidRPr="001663AE">
        <w:rPr>
          <w:rFonts w:hint="eastAsia"/>
        </w:rPr>
        <w:t>項，所要求訂定之條文過細，非但訂在條文內嫌煩，同時也難以因應將來的新需要，建議以行政命令解決較佳。第三，「前項安全檢查涉及公權力行使之檢查類型</w:t>
      </w:r>
      <w:r>
        <w:rPr>
          <w:rFonts w:hint="eastAsia"/>
        </w:rPr>
        <w:t>〜</w:t>
      </w:r>
      <w:r w:rsidRPr="001663AE">
        <w:rPr>
          <w:rFonts w:hint="eastAsia"/>
        </w:rPr>
        <w:t>」一句，改為「前項安全檢查涉及強制檢查或其他公權力行使之檢查類型</w:t>
      </w:r>
      <w:r>
        <w:rPr>
          <w:rFonts w:hint="eastAsia"/>
        </w:rPr>
        <w:t>〜</w:t>
      </w:r>
      <w:r w:rsidRPr="001663AE">
        <w:rPr>
          <w:rFonts w:hint="eastAsia"/>
        </w:rPr>
        <w:t>」，理由是「公權力不容易定義，加上強制檢查，會讓其範圍較為明確」。但有一個問題，將來行李可從台北車站托運，要怎麼處理這一塊？</w:t>
      </w:r>
    </w:p>
    <w:p w14:paraId="3011AA05" w14:textId="77777777" w:rsidR="00CA23FA" w:rsidRPr="001663AE" w:rsidRDefault="00CA23FA" w:rsidP="00D87D91">
      <w:pPr>
        <w:pStyle w:val="3"/>
      </w:pPr>
      <w:r w:rsidRPr="001663AE">
        <w:rPr>
          <w:rFonts w:hint="eastAsia"/>
        </w:rPr>
        <w:t>Dr.</w:t>
      </w:r>
      <w:r w:rsidRPr="001663AE">
        <w:t>蔡教授庭榕：新加坡的航空保安的安檢部分，係由</w:t>
      </w:r>
      <w:r w:rsidRPr="001663AE">
        <w:rPr>
          <w:rFonts w:hint="eastAsia"/>
        </w:rPr>
        <w:t>2</w:t>
      </w:r>
      <w:r w:rsidRPr="001663AE">
        <w:rPr>
          <w:rFonts w:hint="eastAsia"/>
        </w:rPr>
        <w:t>家</w:t>
      </w:r>
      <w:r w:rsidRPr="001663AE">
        <w:t>輔助警察公司</w:t>
      </w:r>
      <w:r w:rsidRPr="001663AE">
        <w:rPr>
          <w:rFonts w:hint="eastAsia"/>
        </w:rPr>
        <w:t>(</w:t>
      </w:r>
      <w:r w:rsidRPr="001663AE">
        <w:rPr>
          <w:rFonts w:hint="eastAsia"/>
        </w:rPr>
        <w:t>保全公司</w:t>
      </w:r>
      <w:r w:rsidRPr="001663AE">
        <w:rPr>
          <w:rFonts w:hint="eastAsia"/>
        </w:rPr>
        <w:t>)</w:t>
      </w:r>
      <w:r w:rsidRPr="001663AE">
        <w:t>執行，主要之法理，係航空公司與其飛機，究竟是國有財產？或私人財產？如屬私人財產，其航空保安的安檢責任部分，宜由航空公司自行負責。故入出境新加坡的旅客，須自費購買航空保安的安檢費用，此費用由入出境新加坡的旅客自行承擔。</w:t>
      </w:r>
    </w:p>
    <w:p w14:paraId="30B440C2" w14:textId="77777777" w:rsidR="00CA23FA" w:rsidRPr="001663AE" w:rsidRDefault="00CA23FA" w:rsidP="00D87D91">
      <w:pPr>
        <w:pStyle w:val="3"/>
      </w:pPr>
      <w:r w:rsidRPr="001663AE">
        <w:rPr>
          <w:rFonts w:hint="eastAsia"/>
        </w:rPr>
        <w:t>Dr.</w:t>
      </w:r>
      <w:r w:rsidRPr="001663AE">
        <w:rPr>
          <w:rFonts w:hint="eastAsia"/>
        </w:rPr>
        <w:t>王教授寬弘之意見如下：有關民航法草案</w:t>
      </w:r>
      <w:r w:rsidRPr="001663AE">
        <w:rPr>
          <w:rFonts w:hint="eastAsia"/>
        </w:rPr>
        <w:t>(2015</w:t>
      </w:r>
      <w:r w:rsidRPr="001663AE">
        <w:rPr>
          <w:rFonts w:hint="eastAsia"/>
        </w:rPr>
        <w:t>年</w:t>
      </w:r>
      <w:r w:rsidRPr="001663AE">
        <w:rPr>
          <w:rFonts w:hint="eastAsia"/>
        </w:rPr>
        <w:t>)</w:t>
      </w:r>
      <w:r w:rsidRPr="001663AE">
        <w:rPr>
          <w:rFonts w:hint="eastAsia"/>
        </w:rPr>
        <w:t>航空安全檢查委由保全業者執行案，有一些上位概念先釐清，意見如下，以供參考：一、組織面：航空安全檢查一定要做，但是政府或航空公司作？假設是政府作？政府作由哪一機關職掌？交由警察機關職掌或其他機關？。二、假設交由警察機關作，此工作得否委託保全業執行？哪一部份可以委託？哪一部份不能委託？可以委託則以何方式委託？行政助手方式或行政委託方式？三、國安法雖有瑕疵，但是組織法或作用法？尚屬有爭議。以</w:t>
      </w:r>
      <w:r w:rsidRPr="001663AE">
        <w:rPr>
          <w:rFonts w:hint="eastAsia"/>
        </w:rPr>
        <w:t>553</w:t>
      </w:r>
      <w:r w:rsidRPr="001663AE">
        <w:rPr>
          <w:rFonts w:hint="eastAsia"/>
        </w:rPr>
        <w:t>號解釋警察勤務條例精神觀之，似乎有作用法性質，只是不完整而已。四、民航法草案</w:t>
      </w:r>
      <w:r w:rsidRPr="001663AE">
        <w:rPr>
          <w:rFonts w:hint="eastAsia"/>
        </w:rPr>
        <w:t>(2015</w:t>
      </w:r>
      <w:r w:rsidRPr="001663AE">
        <w:rPr>
          <w:rFonts w:hint="eastAsia"/>
        </w:rPr>
        <w:t>年</w:t>
      </w:r>
      <w:r w:rsidRPr="001663AE">
        <w:rPr>
          <w:rFonts w:hint="eastAsia"/>
        </w:rPr>
        <w:t>)</w:t>
      </w:r>
      <w:r w:rsidRPr="001663AE">
        <w:rPr>
          <w:rFonts w:hint="eastAsia"/>
        </w:rPr>
        <w:t>中，航空安全檢查假設非一定由政府作，可交由航空業者做，那又不同思考。即航空業者自己要做好，政府（可由警察）以察查、抽檢其是否做好為主，業者做不好政府處罰之。至於業者交由保全業，那是業者與保全關係。</w:t>
      </w:r>
    </w:p>
    <w:p w14:paraId="0E251C22" w14:textId="77777777" w:rsidR="00CA23FA" w:rsidRPr="001663AE" w:rsidRDefault="00CA23FA" w:rsidP="00D87D91">
      <w:pPr>
        <w:pStyle w:val="3"/>
      </w:pPr>
    </w:p>
    <w:p w14:paraId="40B50D08" w14:textId="77777777" w:rsidR="00CA23FA" w:rsidRPr="001663AE" w:rsidRDefault="00CA23FA" w:rsidP="00D87D91">
      <w:pPr>
        <w:pStyle w:val="3"/>
      </w:pPr>
      <w:r w:rsidRPr="001663AE">
        <w:rPr>
          <w:rFonts w:hint="eastAsia"/>
        </w:rPr>
        <w:t>移民署國境事務大隊林弘傑副隊長：我個人認為民航法草案</w:t>
      </w:r>
      <w:r w:rsidRPr="001663AE">
        <w:rPr>
          <w:rFonts w:hint="eastAsia"/>
        </w:rPr>
        <w:t>(2015</w:t>
      </w:r>
      <w:r w:rsidRPr="001663AE">
        <w:rPr>
          <w:rFonts w:hint="eastAsia"/>
        </w:rPr>
        <w:t>年</w:t>
      </w:r>
      <w:r w:rsidRPr="001663AE">
        <w:rPr>
          <w:rFonts w:hint="eastAsia"/>
        </w:rPr>
        <w:t>)</w:t>
      </w:r>
      <w:r w:rsidRPr="001663AE">
        <w:rPr>
          <w:rFonts w:hint="eastAsia"/>
        </w:rPr>
        <w:t>重點絕非僅在安全檢查的法源與形式，民航法草案</w:t>
      </w:r>
      <w:r w:rsidRPr="001663AE">
        <w:rPr>
          <w:rFonts w:hint="eastAsia"/>
        </w:rPr>
        <w:t>(2015</w:t>
      </w:r>
      <w:r w:rsidRPr="001663AE">
        <w:rPr>
          <w:rFonts w:hint="eastAsia"/>
        </w:rPr>
        <w:t>年</w:t>
      </w:r>
      <w:r w:rsidRPr="001663AE">
        <w:rPr>
          <w:rFonts w:hint="eastAsia"/>
        </w:rPr>
        <w:t>)</w:t>
      </w:r>
      <w:r w:rsidRPr="001663AE">
        <w:rPr>
          <w:rFonts w:hint="eastAsia"/>
        </w:rPr>
        <w:t>中，保全公司的認證是重點中的重點，過去由航警擔任安全檢查，檢查人員的質與量相對穩定，今後是由機場公司成立保全子公司</w:t>
      </w:r>
      <w:r w:rsidRPr="001663AE">
        <w:t>?</w:t>
      </w:r>
      <w:r w:rsidRPr="001663AE">
        <w:rPr>
          <w:rFonts w:hint="eastAsia"/>
        </w:rPr>
        <w:t>認證私人保全公司</w:t>
      </w:r>
      <w:r w:rsidRPr="001663AE">
        <w:t>?</w:t>
      </w:r>
      <w:r w:rsidRPr="001663AE">
        <w:rPr>
          <w:rFonts w:hint="eastAsia"/>
        </w:rPr>
        <w:t>若採私人保全公司人力素質勢必浮動很大，對於未來航空保安工作是一個很大的隱憂，須有配套措施。</w:t>
      </w:r>
    </w:p>
    <w:p w14:paraId="7CC1CD16" w14:textId="77777777" w:rsidR="00CA23FA" w:rsidRPr="001663AE" w:rsidRDefault="00CA23FA" w:rsidP="00D87D91">
      <w:pPr>
        <w:pStyle w:val="3"/>
      </w:pPr>
      <w:r w:rsidRPr="001663AE">
        <w:t>宜蘭縣警局詹雪雍巡官</w:t>
      </w:r>
      <w:r w:rsidRPr="001663AE">
        <w:rPr>
          <w:rFonts w:hint="eastAsia"/>
        </w:rPr>
        <w:t>：雖然，民航法草案</w:t>
      </w:r>
      <w:r w:rsidRPr="001663AE">
        <w:rPr>
          <w:rFonts w:hint="eastAsia"/>
        </w:rPr>
        <w:t>(2015</w:t>
      </w:r>
      <w:r w:rsidRPr="001663AE">
        <w:rPr>
          <w:rFonts w:hint="eastAsia"/>
        </w:rPr>
        <w:t>年</w:t>
      </w:r>
      <w:r w:rsidRPr="001663AE">
        <w:rPr>
          <w:rFonts w:hint="eastAsia"/>
        </w:rPr>
        <w:t>)</w:t>
      </w:r>
      <w:r w:rsidRPr="001663AE">
        <w:rPr>
          <w:rFonts w:hint="eastAsia"/>
        </w:rPr>
        <w:t>之法條，說不涉及公權力的部分，委由認證保全</w:t>
      </w:r>
      <w:r w:rsidRPr="001663AE">
        <w:rPr>
          <w:rFonts w:hint="eastAsia"/>
        </w:rPr>
        <w:t>(</w:t>
      </w:r>
      <w:r w:rsidRPr="001663AE">
        <w:rPr>
          <w:rFonts w:hint="eastAsia"/>
        </w:rPr>
        <w:t>私人</w:t>
      </w:r>
      <w:r w:rsidRPr="001663AE">
        <w:rPr>
          <w:rFonts w:hint="eastAsia"/>
        </w:rPr>
        <w:t>)</w:t>
      </w:r>
      <w:r w:rsidRPr="001663AE">
        <w:rPr>
          <w:rFonts w:hint="eastAsia"/>
        </w:rPr>
        <w:t>執行，但何謂不涉及公權力部分，民航法草案</w:t>
      </w:r>
      <w:r w:rsidRPr="001663AE">
        <w:rPr>
          <w:rFonts w:hint="eastAsia"/>
        </w:rPr>
        <w:t>(2015</w:t>
      </w:r>
      <w:r w:rsidRPr="001663AE">
        <w:rPr>
          <w:rFonts w:hint="eastAsia"/>
        </w:rPr>
        <w:t>年</w:t>
      </w:r>
      <w:r w:rsidRPr="001663AE">
        <w:rPr>
          <w:rFonts w:hint="eastAsia"/>
        </w:rPr>
        <w:t>)</w:t>
      </w:r>
      <w:r w:rsidRPr="001663AE">
        <w:rPr>
          <w:rFonts w:hint="eastAsia"/>
        </w:rPr>
        <w:t>之法條，沒有清楚界定。如在機場安檢程序中，引導旅客將隨身物品，放入</w:t>
      </w:r>
      <w:r w:rsidRPr="001663AE">
        <w:rPr>
          <w:rFonts w:hint="eastAsia"/>
        </w:rPr>
        <w:t>X</w:t>
      </w:r>
      <w:r w:rsidRPr="001663AE">
        <w:rPr>
          <w:rFonts w:hint="eastAsia"/>
        </w:rPr>
        <w:t>光儀器、引導旅客，經過金屬探測門，這些，都算是事實行為，無法律效果，若</w:t>
      </w:r>
      <w:r w:rsidRPr="001663AE">
        <w:rPr>
          <w:rFonts w:hint="eastAsia"/>
        </w:rPr>
        <w:t>X</w:t>
      </w:r>
      <w:r w:rsidRPr="001663AE">
        <w:rPr>
          <w:rFonts w:hint="eastAsia"/>
        </w:rPr>
        <w:t>光儀器顯示異常，或金屬探測門亮燈顯示異常，由旅客自行卸下身體的物件或是自行開啟手提行李，讓檢查人員複檢，也屬於事實行為。但若是旅客堅不拿出，或是需要以「人工檢查」，就會到達另一個層次。民航法草案</w:t>
      </w:r>
      <w:r w:rsidRPr="001663AE">
        <w:rPr>
          <w:rFonts w:hint="eastAsia"/>
        </w:rPr>
        <w:t>(2015</w:t>
      </w:r>
      <w:r w:rsidRPr="001663AE">
        <w:rPr>
          <w:rFonts w:hint="eastAsia"/>
        </w:rPr>
        <w:t>年</w:t>
      </w:r>
      <w:r w:rsidRPr="001663AE">
        <w:rPr>
          <w:rFonts w:hint="eastAsia"/>
        </w:rPr>
        <w:t>)</w:t>
      </w:r>
      <w:r w:rsidRPr="001663AE">
        <w:rPr>
          <w:rFonts w:hint="eastAsia"/>
        </w:rPr>
        <w:t>之法條，沒有定義「人工檢查」是如何實施</w:t>
      </w:r>
      <w:r w:rsidRPr="001663AE">
        <w:rPr>
          <w:rFonts w:hint="eastAsia"/>
        </w:rPr>
        <w:t>?</w:t>
      </w:r>
      <w:r w:rsidRPr="001663AE">
        <w:rPr>
          <w:rFonts w:hint="eastAsia"/>
        </w:rPr>
        <w:t>是由檢查人員「碰觸」受檢人</w:t>
      </w:r>
      <w:r w:rsidRPr="001663AE">
        <w:rPr>
          <w:rFonts w:hint="eastAsia"/>
        </w:rPr>
        <w:t>?</w:t>
      </w:r>
      <w:r w:rsidRPr="001663AE">
        <w:rPr>
          <w:rFonts w:hint="eastAsia"/>
        </w:rPr>
        <w:t>類似「搜索」式的檢查，還是在旅客配合下把物品自行拿出或卸下呢</w:t>
      </w:r>
      <w:r w:rsidRPr="001663AE">
        <w:rPr>
          <w:rFonts w:hint="eastAsia"/>
        </w:rPr>
        <w:t>?</w:t>
      </w:r>
      <w:r w:rsidRPr="001663AE">
        <w:rPr>
          <w:rFonts w:hint="eastAsia"/>
        </w:rPr>
        <w:t>搜索是不是有涉及公權力行使</w:t>
      </w:r>
      <w:r w:rsidRPr="001663AE">
        <w:rPr>
          <w:rFonts w:hint="eastAsia"/>
        </w:rPr>
        <w:t xml:space="preserve">? </w:t>
      </w:r>
      <w:r w:rsidRPr="001663AE">
        <w:rPr>
          <w:rFonts w:hint="eastAsia"/>
        </w:rPr>
        <w:t>再者，判讀</w:t>
      </w:r>
      <w:r w:rsidRPr="001663AE">
        <w:rPr>
          <w:rFonts w:hint="eastAsia"/>
        </w:rPr>
        <w:t>X</w:t>
      </w:r>
      <w:r w:rsidRPr="001663AE">
        <w:rPr>
          <w:rFonts w:hint="eastAsia"/>
        </w:rPr>
        <w:t>光儀器顯示出來的影像是否有違規，這個工作是要委由保全來判斷嗎</w:t>
      </w:r>
      <w:r w:rsidRPr="001663AE">
        <w:rPr>
          <w:rFonts w:hint="eastAsia"/>
        </w:rPr>
        <w:t>??</w:t>
      </w:r>
      <w:r w:rsidRPr="001663AE">
        <w:rPr>
          <w:rFonts w:hint="eastAsia"/>
        </w:rPr>
        <w:t>因為這是屬於公權力中的裁量部分。一條安檢線，基本上最少會有三個人員：第一個人負責引領指導告知旅客如何施測；第二個人員負責</w:t>
      </w:r>
      <w:r w:rsidRPr="001663AE">
        <w:rPr>
          <w:rFonts w:hint="eastAsia"/>
        </w:rPr>
        <w:t>X</w:t>
      </w:r>
      <w:r w:rsidRPr="001663AE">
        <w:rPr>
          <w:rFonts w:hint="eastAsia"/>
        </w:rPr>
        <w:t>光機影像判別，第三個人員負責複檢，由第二個判斷影像人員指揮複檢人員行李的哪個東西需要旅客自行拿出來特別檢查，或手持金屬探測棒在人身掃瞄檢查。若需要加以搜身，或帶到勤務處所加以檢查、盤查、搜身時，則已有公權力措施的實施了。</w:t>
      </w:r>
    </w:p>
    <w:p w14:paraId="31E5B563" w14:textId="77777777" w:rsidR="00CA23FA" w:rsidRPr="001663AE" w:rsidRDefault="00CA23FA" w:rsidP="00D87D91">
      <w:pPr>
        <w:pStyle w:val="3"/>
      </w:pPr>
      <w:r w:rsidRPr="001663AE">
        <w:rPr>
          <w:rFonts w:hint="eastAsia"/>
        </w:rPr>
        <w:t>再者，既然不涉及公權力的安全檢查類型寫得很仔細，由航警執行涉及公權力的安全檢查類型反而讓內政部訂定標準，這與國家安全法施行細則</w:t>
      </w:r>
      <w:r w:rsidRPr="001663AE">
        <w:rPr>
          <w:rFonts w:hint="eastAsia"/>
        </w:rPr>
        <w:t>(</w:t>
      </w:r>
      <w:r w:rsidRPr="001663AE">
        <w:rPr>
          <w:rFonts w:hint="eastAsia"/>
        </w:rPr>
        <w:t>子法</w:t>
      </w:r>
      <w:r w:rsidRPr="001663AE">
        <w:rPr>
          <w:rFonts w:hint="eastAsia"/>
        </w:rPr>
        <w:t>)</w:t>
      </w:r>
      <w:r w:rsidRPr="001663AE">
        <w:rPr>
          <w:rFonts w:hint="eastAsia"/>
        </w:rPr>
        <w:t>訂得很仔細，但母法制定的卻很概括，子法反而逾越母法之規定，母法也被說成是任務法非作用法。應該是涉及公權力的安全檢查類型屬於規範密度較高的，要規範在民用航空法內，因為會有干預性，涉及到人民的人身自由、財產權與隱私權。而保全是被界定不做涉入公權力的工作，能明文化保全的工作範圍及執行安全檢查的方式，人民比較不會有疑惑，但涉及公權力的部分的安全檢查是否要更明確呢</w:t>
      </w:r>
      <w:r w:rsidRPr="001663AE">
        <w:rPr>
          <w:rFonts w:hint="eastAsia"/>
        </w:rPr>
        <w:t>?</w:t>
      </w:r>
      <w:r w:rsidRPr="001663AE">
        <w:rPr>
          <w:rFonts w:hint="eastAsia"/>
        </w:rPr>
        <w:t>而非以幾個字帶過。看起來，保全並非協助執行，亦非以行政助手的概念，而是所有安全檢查程序都是保全實施。民航法草案</w:t>
      </w:r>
      <w:r w:rsidRPr="001663AE">
        <w:rPr>
          <w:rFonts w:hint="eastAsia"/>
        </w:rPr>
        <w:t>(2015</w:t>
      </w:r>
      <w:r w:rsidRPr="001663AE">
        <w:rPr>
          <w:rFonts w:hint="eastAsia"/>
        </w:rPr>
        <w:t>年</w:t>
      </w:r>
      <w:r w:rsidRPr="001663AE">
        <w:rPr>
          <w:rFonts w:hint="eastAsia"/>
        </w:rPr>
        <w:t>)</w:t>
      </w:r>
      <w:r w:rsidRPr="001663AE">
        <w:rPr>
          <w:rFonts w:hint="eastAsia"/>
        </w:rPr>
        <w:t>法條可能可以修改的方式如下：第</w:t>
      </w:r>
      <w:r w:rsidRPr="001663AE">
        <w:rPr>
          <w:rFonts w:hint="eastAsia"/>
        </w:rPr>
        <w:t>47</w:t>
      </w:r>
      <w:r w:rsidRPr="001663AE">
        <w:rPr>
          <w:rFonts w:hint="eastAsia"/>
        </w:rPr>
        <w:t>條之</w:t>
      </w:r>
      <w:r w:rsidRPr="001663AE">
        <w:rPr>
          <w:rFonts w:hint="eastAsia"/>
        </w:rPr>
        <w:t>3</w:t>
      </w:r>
      <w:r>
        <w:rPr>
          <w:rFonts w:hint="eastAsia"/>
        </w:rPr>
        <w:t>〜</w:t>
      </w:r>
    </w:p>
    <w:p w14:paraId="546C5C1F" w14:textId="77777777" w:rsidR="00CA23FA" w:rsidRPr="001663AE" w:rsidRDefault="00CA23FA" w:rsidP="00D87D91">
      <w:pPr>
        <w:pStyle w:val="3"/>
      </w:pPr>
      <w:r w:rsidRPr="001663AE">
        <w:rPr>
          <w:rFonts w:hint="eastAsia"/>
        </w:rPr>
        <w:t>「航空器上工作人員、乘客與其所攜帶、託運之行李、物品，載運之貨物及郵件，未經安全檢查或拒絕檢查者，不得進入航空器。但有下列情形之一者，不在此限：</w:t>
      </w:r>
    </w:p>
    <w:p w14:paraId="5C170433" w14:textId="77777777" w:rsidR="00CA23FA" w:rsidRPr="001663AE" w:rsidRDefault="00CA23FA" w:rsidP="00D87D91">
      <w:pPr>
        <w:pStyle w:val="3"/>
      </w:pPr>
      <w:r>
        <w:rPr>
          <w:rFonts w:hint="eastAsia"/>
        </w:rPr>
        <w:t xml:space="preserve">　　</w:t>
      </w:r>
      <w:r w:rsidRPr="001663AE">
        <w:rPr>
          <w:rFonts w:hint="eastAsia"/>
        </w:rPr>
        <w:t>一、依條約、協定及國際公約規定，不需安全檢查。</w:t>
      </w:r>
    </w:p>
    <w:p w14:paraId="7A090ACA" w14:textId="77777777" w:rsidR="00CA23FA" w:rsidRPr="001663AE" w:rsidRDefault="00CA23FA" w:rsidP="00D87D91">
      <w:pPr>
        <w:pStyle w:val="3"/>
      </w:pPr>
      <w:r>
        <w:rPr>
          <w:rFonts w:hint="eastAsia"/>
        </w:rPr>
        <w:t xml:space="preserve">　　</w:t>
      </w:r>
      <w:r w:rsidRPr="001663AE">
        <w:rPr>
          <w:rFonts w:hint="eastAsia"/>
        </w:rPr>
        <w:t>二、由保安控管人依核定之航空保安計畫實施保安控管之貨物。</w:t>
      </w:r>
    </w:p>
    <w:p w14:paraId="47EFE7A9" w14:textId="77777777" w:rsidR="00CA23FA" w:rsidRPr="001663AE" w:rsidRDefault="00CA23FA" w:rsidP="00D87D91">
      <w:pPr>
        <w:pStyle w:val="3"/>
      </w:pPr>
      <w:r>
        <w:rPr>
          <w:rFonts w:hint="eastAsia"/>
        </w:rPr>
        <w:t xml:space="preserve">　　</w:t>
      </w:r>
      <w:r w:rsidRPr="001663AE">
        <w:rPr>
          <w:rFonts w:hint="eastAsia"/>
        </w:rPr>
        <w:t>三、其他經航空警察局依規定核准。</w:t>
      </w:r>
    </w:p>
    <w:p w14:paraId="59971709" w14:textId="77777777" w:rsidR="00CA23FA" w:rsidRPr="001663AE" w:rsidRDefault="00CA23FA" w:rsidP="00D87D91">
      <w:pPr>
        <w:pStyle w:val="3"/>
      </w:pPr>
      <w:r>
        <w:rPr>
          <w:rFonts w:hint="eastAsia"/>
        </w:rPr>
        <w:t xml:space="preserve">　　</w:t>
      </w:r>
      <w:r w:rsidRPr="001663AE">
        <w:rPr>
          <w:rFonts w:hint="eastAsia"/>
        </w:rPr>
        <w:t>航空器所有人或使用人不得載運未依前項規定接受安全檢查之乘客、行李、貨物及郵件。</w:t>
      </w:r>
    </w:p>
    <w:p w14:paraId="145B898A" w14:textId="77777777" w:rsidR="00CA23FA" w:rsidRPr="001663AE" w:rsidRDefault="00CA23FA" w:rsidP="00D87D91">
      <w:pPr>
        <w:pStyle w:val="3"/>
      </w:pPr>
      <w:r w:rsidRPr="001663AE">
        <w:rPr>
          <w:rFonts w:hint="eastAsia"/>
        </w:rPr>
        <w:t>航空器所有人或使用人對航空器負有航空保安之責。</w:t>
      </w:r>
    </w:p>
    <w:p w14:paraId="16B841BC" w14:textId="77777777" w:rsidR="00CA23FA" w:rsidRPr="001663AE" w:rsidRDefault="00CA23FA" w:rsidP="00D87D91">
      <w:pPr>
        <w:pStyle w:val="3"/>
      </w:pPr>
      <w:r>
        <w:rPr>
          <w:rFonts w:hint="eastAsia"/>
        </w:rPr>
        <w:t xml:space="preserve">　　</w:t>
      </w:r>
      <w:r w:rsidRPr="001663AE">
        <w:rPr>
          <w:rFonts w:hint="eastAsia"/>
        </w:rPr>
        <w:t>前三項規定，於外籍航空器所有人或使用人，適用之。</w:t>
      </w:r>
    </w:p>
    <w:p w14:paraId="35BE9187" w14:textId="77777777" w:rsidR="00CA23FA" w:rsidRPr="001663AE" w:rsidRDefault="00CA23FA" w:rsidP="00D87D91">
      <w:pPr>
        <w:pStyle w:val="3"/>
      </w:pPr>
      <w:r>
        <w:rPr>
          <w:rFonts w:hint="eastAsia"/>
        </w:rPr>
        <w:t xml:space="preserve">　　</w:t>
      </w:r>
      <w:r w:rsidRPr="001663AE">
        <w:rPr>
          <w:rFonts w:hint="eastAsia"/>
        </w:rPr>
        <w:t>入出境航空器及其載運人員與其所攜帶及託運之行李、貨物及郵件之檢查方式，依下列規定辦理：</w:t>
      </w:r>
    </w:p>
    <w:p w14:paraId="6AE1C5C7" w14:textId="77777777" w:rsidR="00CA23FA" w:rsidRPr="001663AE" w:rsidRDefault="00CA23FA" w:rsidP="00D87D91">
      <w:pPr>
        <w:pStyle w:val="3"/>
      </w:pPr>
      <w:r>
        <w:rPr>
          <w:rFonts w:hint="eastAsia"/>
        </w:rPr>
        <w:t xml:space="preserve">　　</w:t>
      </w:r>
      <w:r w:rsidRPr="001663AE">
        <w:rPr>
          <w:rFonts w:hint="eastAsia"/>
        </w:rPr>
        <w:t>一、航空器：得作清艙檢查。出境之航空器於乘客進入後，須經核對艙單、清點人數相符，並經簽署後，始准起飛。</w:t>
      </w:r>
    </w:p>
    <w:p w14:paraId="726D460C" w14:textId="77777777" w:rsidR="00CA23FA" w:rsidRPr="001663AE" w:rsidRDefault="00CA23FA" w:rsidP="00D87D91">
      <w:pPr>
        <w:pStyle w:val="3"/>
      </w:pPr>
      <w:r>
        <w:rPr>
          <w:rFonts w:hint="eastAsia"/>
        </w:rPr>
        <w:t xml:space="preserve">　　</w:t>
      </w:r>
      <w:r w:rsidRPr="001663AE">
        <w:rPr>
          <w:rFonts w:hint="eastAsia"/>
        </w:rPr>
        <w:t>二、航空器上工作人員、乘客及其所攜帶行李應經安檢儀器檢查，行李應自行開啟接受檢查；未設安檢儀器或無法使用，應經人工安全檢查：</w:t>
      </w:r>
    </w:p>
    <w:p w14:paraId="652523C8" w14:textId="77777777" w:rsidR="00CA23FA" w:rsidRPr="001663AE" w:rsidRDefault="00CA23FA" w:rsidP="00D87D91">
      <w:pPr>
        <w:pStyle w:val="3"/>
      </w:pPr>
      <w:r>
        <w:rPr>
          <w:rFonts w:hint="eastAsia"/>
        </w:rPr>
        <w:t>(</w:t>
      </w:r>
      <w:r w:rsidRPr="001663AE">
        <w:rPr>
          <w:rFonts w:hint="eastAsia"/>
        </w:rPr>
        <w:t>一</w:t>
      </w:r>
      <w:r>
        <w:rPr>
          <w:rFonts w:hint="eastAsia"/>
        </w:rPr>
        <w:t>)</w:t>
      </w:r>
      <w:r w:rsidRPr="001663AE">
        <w:rPr>
          <w:rFonts w:hint="eastAsia"/>
        </w:rPr>
        <w:t>有正當理由且必要時，得使用人工或其他儀器複查。但涉及碰觸人身或搜索等方式，僅由航警執行之。</w:t>
      </w:r>
    </w:p>
    <w:p w14:paraId="5CDA9F5F" w14:textId="77777777" w:rsidR="00CA23FA" w:rsidRPr="001663AE" w:rsidRDefault="00CA23FA" w:rsidP="00D87D91">
      <w:pPr>
        <w:pStyle w:val="3"/>
      </w:pPr>
      <w:r>
        <w:rPr>
          <w:rFonts w:hint="eastAsia"/>
        </w:rPr>
        <w:t>(</w:t>
      </w:r>
      <w:r w:rsidRPr="001663AE">
        <w:rPr>
          <w:rFonts w:hint="eastAsia"/>
        </w:rPr>
        <w:t>二</w:t>
      </w:r>
      <w:r>
        <w:rPr>
          <w:rFonts w:hint="eastAsia"/>
        </w:rPr>
        <w:t>)</w:t>
      </w:r>
      <w:r w:rsidRPr="001663AE">
        <w:rPr>
          <w:rFonts w:hint="eastAsia"/>
        </w:rPr>
        <w:t>檢查女性應由女性檢查員為之。但不能由女性檢查員行之者，不在此限。</w:t>
      </w:r>
    </w:p>
    <w:p w14:paraId="4A20F90C" w14:textId="77777777" w:rsidR="00CA23FA" w:rsidRPr="001663AE" w:rsidRDefault="00CA23FA" w:rsidP="00D87D91">
      <w:pPr>
        <w:pStyle w:val="3"/>
      </w:pPr>
      <w:r>
        <w:rPr>
          <w:rFonts w:hint="eastAsia"/>
        </w:rPr>
        <w:t>(</w:t>
      </w:r>
      <w:r w:rsidRPr="001663AE">
        <w:rPr>
          <w:rFonts w:hint="eastAsia"/>
        </w:rPr>
        <w:t>三</w:t>
      </w:r>
      <w:r>
        <w:rPr>
          <w:rFonts w:hint="eastAsia"/>
        </w:rPr>
        <w:t>)</w:t>
      </w:r>
      <w:r w:rsidRPr="001663AE">
        <w:rPr>
          <w:rFonts w:hint="eastAsia"/>
        </w:rPr>
        <w:t>基於生理等因素無法經過安檢儀器受檢之人，得請求施以人工安全檢查。</w:t>
      </w:r>
    </w:p>
    <w:p w14:paraId="6DFF0CA9" w14:textId="77777777" w:rsidR="00CA23FA" w:rsidRPr="001663AE" w:rsidRDefault="00CA23FA" w:rsidP="00D87D91">
      <w:pPr>
        <w:pStyle w:val="3"/>
      </w:pPr>
      <w:r>
        <w:rPr>
          <w:rFonts w:hint="eastAsia"/>
        </w:rPr>
        <w:t>(</w:t>
      </w:r>
      <w:r>
        <w:rPr>
          <w:rFonts w:hint="eastAsia"/>
          <w:lang w:eastAsia="zh-HK"/>
        </w:rPr>
        <w:t>四</w:t>
      </w:r>
      <w:r>
        <w:rPr>
          <w:rFonts w:hint="eastAsia"/>
        </w:rPr>
        <w:t>)</w:t>
      </w:r>
      <w:r w:rsidRPr="001663AE">
        <w:rPr>
          <w:rFonts w:hint="eastAsia"/>
        </w:rPr>
        <w:t>轉機或過境之檢查與出境規定同。</w:t>
      </w:r>
    </w:p>
    <w:p w14:paraId="6C959E49" w14:textId="77777777" w:rsidR="00CA23FA" w:rsidRPr="001663AE" w:rsidRDefault="00CA23FA" w:rsidP="00D87D91">
      <w:pPr>
        <w:pStyle w:val="3"/>
      </w:pPr>
      <w:r>
        <w:rPr>
          <w:rFonts w:hint="eastAsia"/>
        </w:rPr>
        <w:t>(</w:t>
      </w:r>
      <w:r>
        <w:rPr>
          <w:rFonts w:hint="eastAsia"/>
          <w:lang w:eastAsia="zh-HK"/>
        </w:rPr>
        <w:t>五</w:t>
      </w:r>
      <w:r>
        <w:rPr>
          <w:rFonts w:hint="eastAsia"/>
        </w:rPr>
        <w:t>)</w:t>
      </w:r>
      <w:r w:rsidRPr="001663AE">
        <w:rPr>
          <w:rFonts w:hint="eastAsia"/>
        </w:rPr>
        <w:t>雖非管制、違禁物品，有影響飛航安全之虞，應主動提交航空器所有人或使用人托運。</w:t>
      </w:r>
    </w:p>
    <w:p w14:paraId="42E65021" w14:textId="77777777" w:rsidR="00CA23FA" w:rsidRPr="001663AE" w:rsidRDefault="00CA23FA" w:rsidP="00D87D91">
      <w:pPr>
        <w:pStyle w:val="3"/>
      </w:pPr>
      <w:r>
        <w:rPr>
          <w:rFonts w:hint="eastAsia"/>
        </w:rPr>
        <w:t>(</w:t>
      </w:r>
      <w:r>
        <w:rPr>
          <w:rFonts w:hint="eastAsia"/>
          <w:lang w:eastAsia="zh-HK"/>
        </w:rPr>
        <w:t>六</w:t>
      </w:r>
      <w:r>
        <w:rPr>
          <w:rFonts w:hint="eastAsia"/>
        </w:rPr>
        <w:t>)</w:t>
      </w:r>
      <w:r w:rsidRPr="001663AE">
        <w:rPr>
          <w:rFonts w:hint="eastAsia"/>
        </w:rPr>
        <w:t>入境不檢查。但有正當理由且必要時，得會同相關單位檢查，其檢查與出境同。</w:t>
      </w:r>
    </w:p>
    <w:p w14:paraId="189CD456" w14:textId="77777777" w:rsidR="00CA23FA" w:rsidRPr="001663AE" w:rsidRDefault="00CA23FA" w:rsidP="00D87D91">
      <w:pPr>
        <w:pStyle w:val="3"/>
      </w:pPr>
      <w:r w:rsidRPr="001663AE">
        <w:rPr>
          <w:rFonts w:hint="eastAsia"/>
        </w:rPr>
        <w:t>三、托運行李，應經安檢儀器檢查；未設安檢儀器或無法使用，應經人工安全檢查：</w:t>
      </w:r>
    </w:p>
    <w:p w14:paraId="538AB29F" w14:textId="77777777" w:rsidR="00CA23FA" w:rsidRPr="001663AE" w:rsidRDefault="00CA23FA" w:rsidP="00D87D91">
      <w:pPr>
        <w:pStyle w:val="3"/>
      </w:pPr>
      <w:r>
        <w:rPr>
          <w:rFonts w:hint="eastAsia"/>
        </w:rPr>
        <w:t>(</w:t>
      </w:r>
      <w:r w:rsidRPr="001663AE">
        <w:rPr>
          <w:rFonts w:hint="eastAsia"/>
        </w:rPr>
        <w:t>一</w:t>
      </w:r>
      <w:r>
        <w:rPr>
          <w:rFonts w:hint="eastAsia"/>
        </w:rPr>
        <w:t>)</w:t>
      </w:r>
      <w:r w:rsidRPr="001663AE">
        <w:rPr>
          <w:rFonts w:hint="eastAsia"/>
        </w:rPr>
        <w:t>有正當理由且必要時，得使用人工或其他儀器複查。</w:t>
      </w:r>
    </w:p>
    <w:p w14:paraId="0AF34D44" w14:textId="77777777" w:rsidR="00CA23FA" w:rsidRPr="001663AE" w:rsidRDefault="00CA23FA" w:rsidP="00D87D91">
      <w:pPr>
        <w:pStyle w:val="3"/>
      </w:pPr>
      <w:r>
        <w:rPr>
          <w:rFonts w:hint="eastAsia"/>
        </w:rPr>
        <w:t>(</w:t>
      </w:r>
      <w:r w:rsidRPr="001663AE">
        <w:rPr>
          <w:rFonts w:hint="eastAsia"/>
        </w:rPr>
        <w:t>二</w:t>
      </w:r>
      <w:r>
        <w:rPr>
          <w:rFonts w:hint="eastAsia"/>
        </w:rPr>
        <w:t>)</w:t>
      </w:r>
      <w:r w:rsidRPr="001663AE">
        <w:rPr>
          <w:rFonts w:hint="eastAsia"/>
        </w:rPr>
        <w:t>乘客與托運行李不在同一航班，其托運行李應予取下，始得起飛。但經航空公司具結保證者，不在此限。</w:t>
      </w:r>
    </w:p>
    <w:p w14:paraId="32E7D277" w14:textId="77777777" w:rsidR="00CA23FA" w:rsidRPr="001663AE" w:rsidRDefault="00CA23FA" w:rsidP="00D87D91">
      <w:pPr>
        <w:pStyle w:val="3"/>
      </w:pPr>
      <w:r>
        <w:rPr>
          <w:rFonts w:hint="eastAsia"/>
          <w:lang w:eastAsia="zh-HK"/>
        </w:rPr>
        <w:t>四</w:t>
      </w:r>
      <w:r w:rsidRPr="001663AE">
        <w:rPr>
          <w:rFonts w:hint="eastAsia"/>
        </w:rPr>
        <w:t>、貨物及郵件總包，應經安檢儀器檢查；未設安檢儀器或無法使用，應經人工安全檢查：</w:t>
      </w:r>
    </w:p>
    <w:p w14:paraId="0281F1E1" w14:textId="77777777" w:rsidR="00CA23FA" w:rsidRPr="001663AE" w:rsidRDefault="00CA23FA" w:rsidP="00D87D91">
      <w:pPr>
        <w:pStyle w:val="3"/>
      </w:pPr>
      <w:r>
        <w:rPr>
          <w:rFonts w:hint="eastAsia"/>
        </w:rPr>
        <w:t>(</w:t>
      </w:r>
      <w:r w:rsidRPr="001663AE">
        <w:rPr>
          <w:rFonts w:hint="eastAsia"/>
        </w:rPr>
        <w:t>一</w:t>
      </w:r>
      <w:r>
        <w:rPr>
          <w:rFonts w:hint="eastAsia"/>
        </w:rPr>
        <w:t>)</w:t>
      </w:r>
      <w:r w:rsidRPr="001663AE">
        <w:rPr>
          <w:rFonts w:hint="eastAsia"/>
        </w:rPr>
        <w:t>一般貨物載入航空器前，應實施保安控管。</w:t>
      </w:r>
    </w:p>
    <w:p w14:paraId="4E2905A0" w14:textId="77777777" w:rsidR="00CA23FA" w:rsidRPr="001663AE" w:rsidRDefault="00CA23FA" w:rsidP="00D87D91">
      <w:pPr>
        <w:pStyle w:val="3"/>
      </w:pPr>
      <w:r>
        <w:rPr>
          <w:rFonts w:hint="eastAsia"/>
        </w:rPr>
        <w:t>(</w:t>
      </w:r>
      <w:r w:rsidRPr="001663AE">
        <w:rPr>
          <w:rFonts w:hint="eastAsia"/>
        </w:rPr>
        <w:t>二</w:t>
      </w:r>
      <w:r>
        <w:rPr>
          <w:rFonts w:hint="eastAsia"/>
        </w:rPr>
        <w:t>)</w:t>
      </w:r>
      <w:r w:rsidRPr="001663AE">
        <w:rPr>
          <w:rFonts w:hint="eastAsia"/>
        </w:rPr>
        <w:t>機邊驗放貨物、快遞貨物或郵件總包，有正當理由且必要時，會同相關單位使用人工或其他儀器複查。</w:t>
      </w:r>
    </w:p>
    <w:p w14:paraId="16C9B082" w14:textId="77777777" w:rsidR="00CA23FA" w:rsidRPr="001663AE" w:rsidRDefault="00CA23FA" w:rsidP="00D87D91">
      <w:pPr>
        <w:pStyle w:val="3"/>
      </w:pPr>
      <w:r>
        <w:rPr>
          <w:rFonts w:hint="eastAsia"/>
          <w:lang w:eastAsia="zh-HK"/>
        </w:rPr>
        <w:t>五</w:t>
      </w:r>
      <w:r w:rsidRPr="001663AE">
        <w:rPr>
          <w:rFonts w:hint="eastAsia"/>
        </w:rPr>
        <w:t>、過境之乘客，非經許可，不得會晤境內人員與接受物品。</w:t>
      </w:r>
    </w:p>
    <w:p w14:paraId="52852C7D" w14:textId="77777777" w:rsidR="00CA23FA" w:rsidRPr="001663AE" w:rsidRDefault="00CA23FA" w:rsidP="00D87D91">
      <w:pPr>
        <w:pStyle w:val="3"/>
      </w:pPr>
      <w:r>
        <w:rPr>
          <w:rFonts w:hint="eastAsia"/>
          <w:lang w:eastAsia="zh-HK"/>
        </w:rPr>
        <w:t>六</w:t>
      </w:r>
      <w:r w:rsidRPr="001663AE">
        <w:rPr>
          <w:rFonts w:hint="eastAsia"/>
        </w:rPr>
        <w:t>、乘客於登機時，並得查驗其身分。</w:t>
      </w:r>
    </w:p>
    <w:p w14:paraId="5A089944" w14:textId="77777777" w:rsidR="00CA23FA" w:rsidRPr="001663AE" w:rsidRDefault="00CA23FA" w:rsidP="00D87D91">
      <w:pPr>
        <w:pStyle w:val="3"/>
      </w:pPr>
      <w:r>
        <w:rPr>
          <w:rFonts w:hint="eastAsia"/>
        </w:rPr>
        <w:t xml:space="preserve">　　</w:t>
      </w:r>
      <w:r w:rsidRPr="001663AE">
        <w:rPr>
          <w:rFonts w:hint="eastAsia"/>
        </w:rPr>
        <w:t>航行境內航空器及其載運人員與所攜帶及托運之行李、貨物及郵件之檢查，準用前項規定辦理。」</w:t>
      </w:r>
    </w:p>
    <w:p w14:paraId="16ECA816" w14:textId="77777777" w:rsidR="00CA23FA" w:rsidRPr="001663AE" w:rsidRDefault="00CA23FA" w:rsidP="00D87D91">
      <w:pPr>
        <w:pStyle w:val="3"/>
      </w:pPr>
      <w:r>
        <w:rPr>
          <w:rFonts w:hint="eastAsia"/>
        </w:rPr>
        <w:t xml:space="preserve">　　</w:t>
      </w:r>
      <w:r w:rsidRPr="001663AE">
        <w:rPr>
          <w:rFonts w:hint="eastAsia"/>
        </w:rPr>
        <w:t>Dr.</w:t>
      </w:r>
      <w:r w:rsidRPr="001663AE">
        <w:rPr>
          <w:rFonts w:hint="eastAsia"/>
        </w:rPr>
        <w:t>郭志裕博士</w:t>
      </w:r>
      <w:r w:rsidRPr="001663AE">
        <w:rPr>
          <w:rFonts w:hint="eastAsia"/>
        </w:rPr>
        <w:t>(</w:t>
      </w:r>
      <w:r w:rsidRPr="001663AE">
        <w:rPr>
          <w:rFonts w:hint="eastAsia"/>
        </w:rPr>
        <w:t>曾任警察分局長，警大犯防所博士，現任保全公司總經理</w:t>
      </w:r>
      <w:r w:rsidRPr="001663AE">
        <w:rPr>
          <w:rFonts w:hint="eastAsia"/>
        </w:rPr>
        <w:t>)</w:t>
      </w:r>
      <w:r>
        <w:rPr>
          <w:rFonts w:hint="eastAsia"/>
        </w:rPr>
        <w:t>〜</w:t>
      </w:r>
      <w:r w:rsidRPr="001663AE">
        <w:rPr>
          <w:rFonts w:hint="eastAsia"/>
        </w:rPr>
        <w:t>--</w:t>
      </w:r>
      <w:r w:rsidRPr="001663AE">
        <w:rPr>
          <w:rFonts w:hint="eastAsia"/>
        </w:rPr>
        <w:t>有關保全業參與機場安全檢查，我們業界肯定政府願意釋出機會，表示喝采。不過我個人意見，目前，光是修民航法是不夠，基本上，保全業法對保全管理似嫌不足。因為攸關保全服務品質的證照與評鑑制度，都無法依循，光是用內政部認證保全業，是不夠。所以保全業法必須配合修法，才能符合實際需要。其次除了機場安檢外，港口安全檢查也是必須同步考量，因為台</w:t>
      </w:r>
      <w:r w:rsidRPr="001663AE">
        <w:rPr>
          <w:rFonts w:hint="eastAsia"/>
        </w:rPr>
        <w:t xml:space="preserve"> </w:t>
      </w:r>
      <w:r w:rsidRPr="001663AE">
        <w:rPr>
          <w:rFonts w:hint="eastAsia"/>
        </w:rPr>
        <w:t>灣是島嶼，港口出入境也應一併考慮。</w:t>
      </w:r>
    </w:p>
  </w:footnote>
  <w:footnote w:id="207">
    <w:p w14:paraId="0FF91A6E"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日本「警備業法」</w:t>
      </w:r>
      <w:r w:rsidRPr="001663AE">
        <w:t>第二十三条</w:t>
      </w:r>
      <w:r>
        <w:rPr>
          <w:rFonts w:hint="eastAsia"/>
        </w:rPr>
        <w:t>〜</w:t>
      </w:r>
      <w:r w:rsidRPr="001663AE">
        <w:rPr>
          <w:rFonts w:hint="eastAsia"/>
        </w:rPr>
        <w:t>-</w:t>
      </w:r>
    </w:p>
    <w:p w14:paraId="6277978B" w14:textId="77777777" w:rsidR="00CA23FA" w:rsidRPr="001663AE" w:rsidRDefault="00CA23FA" w:rsidP="00D87D91">
      <w:pPr>
        <w:pStyle w:val="3"/>
      </w:pPr>
      <w:r>
        <w:t xml:space="preserve">　　</w:t>
      </w:r>
      <w:r w:rsidRPr="001663AE">
        <w:t>公安委員会は、警備業務の実施の適正を図るため、その種別に応じ、警備員又は警備員になろうとする者について、その知識及び能力に関する検定を行う。</w:t>
      </w:r>
      <w:r w:rsidRPr="001663AE">
        <w:t xml:space="preserve"> </w:t>
      </w:r>
    </w:p>
    <w:p w14:paraId="20FDA86F" w14:textId="77777777" w:rsidR="00CA23FA" w:rsidRPr="001663AE" w:rsidRDefault="00CA23FA" w:rsidP="00D87D91">
      <w:pPr>
        <w:pStyle w:val="3"/>
      </w:pPr>
      <w:r>
        <w:t>2</w:t>
      </w:r>
      <w:r w:rsidRPr="001663AE">
        <w:t xml:space="preserve"> </w:t>
      </w:r>
      <w:r w:rsidRPr="001663AE">
        <w:t xml:space="preserve">　前項の検定は、警備員又は警備員になろうとする者が、その種別の警備業務に関する知識及び能力を有するかどうかを学科試験及び実技試験により判定することによつて行う。</w:t>
      </w:r>
      <w:r w:rsidRPr="001663AE">
        <w:t xml:space="preserve"> </w:t>
      </w:r>
    </w:p>
    <w:p w14:paraId="3E33643F" w14:textId="77777777" w:rsidR="00CA23FA" w:rsidRPr="001663AE" w:rsidRDefault="00CA23FA" w:rsidP="00D87D91">
      <w:pPr>
        <w:pStyle w:val="3"/>
      </w:pPr>
      <w:r w:rsidRPr="001663AE">
        <w:t>３</w:t>
      </w:r>
      <w:r w:rsidRPr="001663AE">
        <w:t xml:space="preserve"> </w:t>
      </w:r>
      <w:r w:rsidRPr="001663AE">
        <w:t xml:space="preserve">　前項の場合において、国家公安委員会の登録を受けた者が行う講習会（以下単に「講習会」という。）の課程を修了した者については、国家公安委員会規則で定めるところにより、同項の学科試験又は実技試験の全部又は一部を免除することができる。</w:t>
      </w:r>
      <w:r w:rsidRPr="001663AE">
        <w:t xml:space="preserve"> </w:t>
      </w:r>
    </w:p>
    <w:p w14:paraId="54998806" w14:textId="77777777" w:rsidR="00CA23FA" w:rsidRPr="001663AE" w:rsidRDefault="00CA23FA" w:rsidP="00D87D91">
      <w:pPr>
        <w:pStyle w:val="3"/>
      </w:pPr>
      <w:r>
        <w:t>4</w:t>
      </w:r>
      <w:r w:rsidRPr="001663AE">
        <w:t xml:space="preserve"> </w:t>
      </w:r>
      <w:r w:rsidRPr="001663AE">
        <w:t xml:space="preserve">　公安委員会は、第一項の検定に合格した者に対し、警備業務の種別ごとに合格証明書を交付する。</w:t>
      </w:r>
      <w:r w:rsidRPr="001663AE">
        <w:t xml:space="preserve"> </w:t>
      </w:r>
    </w:p>
    <w:p w14:paraId="21041E6E" w14:textId="77777777" w:rsidR="00CA23FA" w:rsidRPr="001663AE" w:rsidRDefault="00CA23FA" w:rsidP="00D87D91">
      <w:pPr>
        <w:pStyle w:val="3"/>
      </w:pPr>
      <w:r w:rsidRPr="001663AE">
        <w:t>５</w:t>
      </w:r>
      <w:r w:rsidRPr="001663AE">
        <w:t xml:space="preserve"> </w:t>
      </w:r>
      <w:r w:rsidRPr="001663AE">
        <w:t xml:space="preserve">　前条第四項から第六項までの規定は合格証明書の交付、書換え及び再交付について、同条第七項の規定は合格証明書の交付を受けた者について準用する。この場合において、同条第四項中「第二項」とあるのは「第二十三条第四項」と、同項第一号中「未成年者」とあるのは「十八歳未満の者」と、同項第二号中「第六号」とあるのは「第七号」と、同項第三号中「第七項第二号」とあるのは「第二十三条第五項において読み替えて準用する第七項第二号」と、「警備員指導教育責任者資格者証の返納」とあるのは「合格証明書の返納」と、同条第七項第一号中「第六号」とあるのは「第七号」と、同項第三号中「警備員指導教育責任者」とあるのは「警備員」と読み替えるものとする。</w:t>
      </w:r>
      <w:r w:rsidRPr="001663AE">
        <w:t xml:space="preserve"> </w:t>
      </w:r>
    </w:p>
    <w:p w14:paraId="36102A0B" w14:textId="77777777" w:rsidR="00CA23FA" w:rsidRPr="001663AE" w:rsidRDefault="00CA23FA" w:rsidP="00D87D91">
      <w:pPr>
        <w:pStyle w:val="3"/>
      </w:pPr>
      <w:r w:rsidRPr="001663AE">
        <w:t>６</w:t>
      </w:r>
      <w:r w:rsidRPr="001663AE">
        <w:t xml:space="preserve"> </w:t>
      </w:r>
      <w:r w:rsidRPr="001663AE">
        <w:t xml:space="preserve">　前各項に定めるもののほか、第一項の検定の試験科目、受験手続その他同項の検定の実施について必要な事項は、国家公安委員会規則で定める。</w:t>
      </w:r>
    </w:p>
  </w:footnote>
  <w:footnote w:id="208">
    <w:p w14:paraId="2529B7CC"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58" w:history="1">
        <w:r w:rsidRPr="001663AE">
          <w:rPr>
            <w:rStyle w:val="a5"/>
          </w:rPr>
          <w:t>http://www.mod.go.jp/j/publication/wp/wp2013/pc/2013/index.html</w:t>
        </w:r>
      </w:hyperlink>
      <w:r w:rsidRPr="001663AE">
        <w:rPr>
          <w:rFonts w:hint="eastAsia"/>
        </w:rPr>
        <w:t>。</w:t>
      </w:r>
      <w:r w:rsidRPr="001663AE">
        <w:rPr>
          <w:rFonts w:hint="eastAsia"/>
        </w:rPr>
        <w:t xml:space="preserve"> </w:t>
      </w:r>
    </w:p>
  </w:footnote>
  <w:footnote w:id="209">
    <w:p w14:paraId="4C7CD1BE"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59" w:history="1">
        <w:r w:rsidRPr="001663AE">
          <w:rPr>
            <w:rStyle w:val="a5"/>
          </w:rPr>
          <w:t>http://www.mod.go.jp/j/publication/wp/wp2013/pc/2013/index.html</w:t>
        </w:r>
      </w:hyperlink>
      <w:r w:rsidRPr="001663AE">
        <w:rPr>
          <w:rFonts w:hint="eastAsia"/>
        </w:rPr>
        <w:t>。</w:t>
      </w:r>
    </w:p>
  </w:footnote>
  <w:footnote w:id="210">
    <w:p w14:paraId="6B874E8C"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60" w:history="1">
        <w:r w:rsidRPr="001663AE">
          <w:rPr>
            <w:rStyle w:val="a5"/>
          </w:rPr>
          <w:t>http://www.mod.go.jp/j/publication/wp/wp2013/pc/2013/index.html</w:t>
        </w:r>
      </w:hyperlink>
      <w:r w:rsidRPr="001663AE">
        <w:rPr>
          <w:rFonts w:hint="eastAsia"/>
        </w:rPr>
        <w:t>。</w:t>
      </w:r>
    </w:p>
  </w:footnote>
  <w:footnote w:id="211">
    <w:p w14:paraId="40DD399C"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61" w:history="1">
        <w:r w:rsidRPr="001663AE">
          <w:rPr>
            <w:rStyle w:val="a5"/>
          </w:rPr>
          <w:t>http://www.mod.go.jp/j/publication/wp/wp2013/pc/2013/index.html</w:t>
        </w:r>
      </w:hyperlink>
      <w:r w:rsidRPr="001663AE">
        <w:rPr>
          <w:rFonts w:hint="eastAsia"/>
        </w:rPr>
        <w:t>。</w:t>
      </w:r>
    </w:p>
  </w:footnote>
  <w:footnote w:id="212">
    <w:p w14:paraId="01F7ED1E"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62" w:history="1">
        <w:r w:rsidRPr="001663AE">
          <w:rPr>
            <w:rStyle w:val="a5"/>
          </w:rPr>
          <w:t>http://www.mod.go.jp/j/publication/wp/wp2013/pc/2013/index.html</w:t>
        </w:r>
      </w:hyperlink>
      <w:r w:rsidRPr="001663AE">
        <w:rPr>
          <w:rFonts w:hint="eastAsia"/>
        </w:rPr>
        <w:t>。</w:t>
      </w:r>
    </w:p>
  </w:footnote>
  <w:footnote w:id="213">
    <w:p w14:paraId="1F504A67"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林郁方</w:t>
      </w:r>
      <w:r w:rsidRPr="001663AE">
        <w:t>(2012)</w:t>
      </w:r>
      <w:r w:rsidRPr="001663AE">
        <w:rPr>
          <w:rFonts w:hint="eastAsia"/>
        </w:rPr>
        <w:t>，新增軍事投資偏低，中央通訊社，</w:t>
      </w:r>
      <w:r w:rsidRPr="001663AE">
        <w:t>2012</w:t>
      </w:r>
      <w:r w:rsidRPr="001663AE">
        <w:rPr>
          <w:rFonts w:hint="eastAsia"/>
        </w:rPr>
        <w:t>年</w:t>
      </w:r>
      <w:r w:rsidRPr="001663AE">
        <w:t>9</w:t>
      </w:r>
      <w:r w:rsidRPr="001663AE">
        <w:rPr>
          <w:rFonts w:hint="eastAsia"/>
        </w:rPr>
        <w:t>月</w:t>
      </w:r>
      <w:r w:rsidRPr="001663AE">
        <w:t>1</w:t>
      </w:r>
      <w:r w:rsidRPr="001663AE">
        <w:rPr>
          <w:rFonts w:hint="eastAsia"/>
        </w:rPr>
        <w:t>日。</w:t>
      </w:r>
      <w:r w:rsidRPr="001663AE">
        <w:rPr>
          <w:rFonts w:hint="eastAsia"/>
        </w:rPr>
        <w:t xml:space="preserve"> </w:t>
      </w:r>
    </w:p>
  </w:footnote>
  <w:footnote w:id="214">
    <w:p w14:paraId="6643153A"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林郁方</w:t>
      </w:r>
      <w:r w:rsidRPr="001663AE">
        <w:t>(2012)</w:t>
      </w:r>
      <w:r w:rsidRPr="001663AE">
        <w:rPr>
          <w:rFonts w:hint="eastAsia"/>
        </w:rPr>
        <w:t>，新增軍事投資偏低，中央通訊社，</w:t>
      </w:r>
      <w:r w:rsidRPr="001663AE">
        <w:t>2012</w:t>
      </w:r>
      <w:r w:rsidRPr="001663AE">
        <w:rPr>
          <w:rFonts w:hint="eastAsia"/>
        </w:rPr>
        <w:t>年</w:t>
      </w:r>
      <w:r w:rsidRPr="001663AE">
        <w:t>9</w:t>
      </w:r>
      <w:r w:rsidRPr="001663AE">
        <w:rPr>
          <w:rFonts w:hint="eastAsia"/>
        </w:rPr>
        <w:t>月</w:t>
      </w:r>
      <w:r w:rsidRPr="001663AE">
        <w:t>1</w:t>
      </w:r>
      <w:r w:rsidRPr="001663AE">
        <w:rPr>
          <w:rFonts w:hint="eastAsia"/>
        </w:rPr>
        <w:t>日。</w:t>
      </w:r>
      <w:r w:rsidRPr="001663AE">
        <w:rPr>
          <w:rFonts w:hint="eastAsia"/>
        </w:rPr>
        <w:t xml:space="preserve"> </w:t>
      </w:r>
    </w:p>
  </w:footnote>
  <w:footnote w:id="215">
    <w:p w14:paraId="369251AD"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3"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16">
    <w:p w14:paraId="26541A23"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4"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17">
    <w:p w14:paraId="037B84B7"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5" w:history="1">
        <w:r w:rsidRPr="001663AE">
          <w:rPr>
            <w:rStyle w:val="a5"/>
            <w:rFonts w:hint="eastAsia"/>
          </w:rPr>
          <w:t>http://www.mod.go.jp/j/publication/wp/wp2013/pc/2013/index.html</w:t>
        </w:r>
      </w:hyperlink>
      <w:r w:rsidRPr="001663AE">
        <w:rPr>
          <w:rFonts w:hint="eastAsia"/>
        </w:rPr>
        <w:t>。</w:t>
      </w:r>
    </w:p>
  </w:footnote>
  <w:footnote w:id="218">
    <w:p w14:paraId="349F0559"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6"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19">
    <w:p w14:paraId="539CE8E5"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7"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0">
    <w:p w14:paraId="459F708F"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8"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1">
    <w:p w14:paraId="10ADEFD9"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9"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2">
    <w:p w14:paraId="7BD71FC3"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70"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3">
    <w:p w14:paraId="06EA6412" w14:textId="77777777"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71"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4">
    <w:p w14:paraId="690DAD20" w14:textId="77777777" w:rsidR="00CA23FA" w:rsidRPr="004E1189" w:rsidRDefault="00CA23FA" w:rsidP="004E1189">
      <w:pPr>
        <w:pStyle w:val="3"/>
        <w:jc w:val="left"/>
      </w:pPr>
      <w:r w:rsidRPr="004E1189">
        <w:rPr>
          <w:rStyle w:val="af3"/>
          <w:rFonts w:ascii="新細明體" w:hAnsi="新細明體"/>
          <w:sz w:val="18"/>
        </w:rPr>
        <w:footnoteRef/>
      </w:r>
      <w:r w:rsidRPr="004E1189">
        <w:rPr>
          <w:rFonts w:hint="eastAsia"/>
        </w:rPr>
        <w:t>管歐著、林騰鷂修訂</w:t>
      </w:r>
      <w:r w:rsidRPr="004E1189">
        <w:rPr>
          <w:rFonts w:hint="eastAsia"/>
        </w:rPr>
        <w:t>(2010)</w:t>
      </w:r>
      <w:r w:rsidRPr="004E1189">
        <w:rPr>
          <w:rFonts w:hint="eastAsia"/>
        </w:rPr>
        <w:t>，中華民國憲法論，修訂</w:t>
      </w:r>
      <w:r w:rsidRPr="004E1189">
        <w:rPr>
          <w:rFonts w:hint="eastAsia"/>
        </w:rPr>
        <w:t>12</w:t>
      </w:r>
      <w:r w:rsidRPr="004E1189">
        <w:rPr>
          <w:rFonts w:hint="eastAsia"/>
        </w:rPr>
        <w:t>版，臺北市：三民公司，</w:t>
      </w:r>
      <w:r w:rsidRPr="004E1189">
        <w:rPr>
          <w:rFonts w:cs="細明體_HKSCS" w:hint="eastAsia"/>
          <w:kern w:val="0"/>
        </w:rPr>
        <w:t>頁</w:t>
      </w:r>
      <w:r w:rsidRPr="004E1189">
        <w:rPr>
          <w:rFonts w:cs="細明體_HKSCS"/>
          <w:kern w:val="0"/>
        </w:rPr>
        <w:t>379</w:t>
      </w:r>
      <w:r w:rsidRPr="004E1189">
        <w:rPr>
          <w:rFonts w:cs="細明體_HKSCS" w:hint="eastAsia"/>
          <w:kern w:val="0"/>
        </w:rPr>
        <w:t>。</w:t>
      </w:r>
    </w:p>
  </w:footnote>
  <w:footnote w:id="225">
    <w:p w14:paraId="4CB7935E" w14:textId="77777777" w:rsidR="00CA23FA" w:rsidRPr="004E1189" w:rsidRDefault="00CA23FA" w:rsidP="004E1189">
      <w:pPr>
        <w:pStyle w:val="3"/>
        <w:jc w:val="left"/>
      </w:pPr>
      <w:r w:rsidRPr="004E1189">
        <w:rPr>
          <w:rStyle w:val="af3"/>
          <w:color w:val="808000"/>
          <w:sz w:val="18"/>
        </w:rPr>
        <w:footnoteRef/>
      </w:r>
      <w:r w:rsidRPr="004E1189">
        <w:t>我國現行修憲程序，</w:t>
      </w:r>
      <w:hyperlink r:id="rId72" w:history="1">
        <w:r w:rsidRPr="004E1189">
          <w:rPr>
            <w:rStyle w:val="a5"/>
            <w:rFonts w:ascii="Arial Unicode MS" w:hAnsi="Arial Unicode MS"/>
            <w:sz w:val="18"/>
          </w:rPr>
          <w:t>http://www.ccj.url.tw/VerfR/PDF/%E4%BF%AE%E6%86%B2%E7%A8%8B%E5%BA%8F.pdf</w:t>
        </w:r>
      </w:hyperlink>
      <w:r w:rsidRPr="004E1189">
        <w:t>。</w:t>
      </w:r>
    </w:p>
  </w:footnote>
  <w:footnote w:id="226">
    <w:p w14:paraId="399D68D2" w14:textId="77777777" w:rsidR="00CA23FA" w:rsidRPr="005D6CE5" w:rsidRDefault="00CA23FA" w:rsidP="00BE652C">
      <w:pPr>
        <w:pStyle w:val="3"/>
      </w:pPr>
      <w:r w:rsidRPr="005D6CE5">
        <w:rPr>
          <w:rStyle w:val="af3"/>
          <w:color w:val="808000"/>
        </w:rPr>
        <w:footnoteRef/>
      </w:r>
      <w:r w:rsidRPr="005D6CE5">
        <w:rPr>
          <w:rFonts w:hint="eastAsia"/>
        </w:rPr>
        <w:t>游正博、林泰元、陳淑華，面對幹細胞，你需要停看聽，</w:t>
      </w:r>
      <w:r w:rsidRPr="005D6CE5">
        <w:t>72</w:t>
      </w:r>
      <w:r w:rsidRPr="005D6CE5">
        <w:rPr>
          <w:rFonts w:hint="eastAsia"/>
        </w:rPr>
        <w:t>變的幹細胞</w:t>
      </w:r>
      <w:r w:rsidRPr="005D6CE5">
        <w:t>──</w:t>
      </w:r>
      <w:r w:rsidRPr="005D6CE5">
        <w:rPr>
          <w:rFonts w:hint="eastAsia"/>
        </w:rPr>
        <w:t>幹細胞與再生醫學專輯，科學月刊</w:t>
      </w:r>
      <w:r w:rsidRPr="005D6CE5">
        <w:t>425</w:t>
      </w:r>
      <w:r w:rsidRPr="005D6CE5">
        <w:rPr>
          <w:rFonts w:hint="eastAsia"/>
        </w:rPr>
        <w:t>期，</w:t>
      </w:r>
      <w:r w:rsidRPr="005D6CE5">
        <w:t>2005.5</w:t>
      </w:r>
      <w:r w:rsidRPr="005D6CE5">
        <w:rPr>
          <w:rFonts w:hint="eastAsia"/>
        </w:rPr>
        <w:t>。</w:t>
      </w:r>
      <w:r w:rsidRPr="005D6CE5">
        <w:t xml:space="preserve"> </w:t>
      </w:r>
    </w:p>
  </w:footnote>
  <w:footnote w:id="227">
    <w:p w14:paraId="66CB1ACD" w14:textId="77777777" w:rsidR="00CA23FA" w:rsidRPr="001663AE" w:rsidRDefault="00CA23FA" w:rsidP="00D87D91">
      <w:pPr>
        <w:pStyle w:val="3"/>
      </w:pPr>
      <w:r w:rsidRPr="001663AE">
        <w:rPr>
          <w:rStyle w:val="af3"/>
          <w:rFonts w:ascii="新細明體" w:hAnsi="新細明體"/>
        </w:rPr>
        <w:footnoteRef/>
      </w:r>
      <w:r w:rsidRPr="001663AE">
        <w:rPr>
          <w:rFonts w:hint="eastAsia"/>
        </w:rPr>
        <w:t>互動百科</w:t>
      </w:r>
      <w:r w:rsidRPr="001663AE">
        <w:t>(2011)</w:t>
      </w:r>
      <w:r w:rsidRPr="001663AE">
        <w:rPr>
          <w:rFonts w:hint="eastAsia"/>
        </w:rPr>
        <w:t>，美國批准第二起胚胎幹細胞臨床實驗</w:t>
      </w:r>
      <w:r w:rsidRPr="001663AE">
        <w:t xml:space="preserve"> </w:t>
      </w:r>
      <w:r w:rsidRPr="001663AE">
        <w:rPr>
          <w:rFonts w:hint="eastAsia"/>
        </w:rPr>
        <w:t>再掀倫理爭議，</w:t>
      </w:r>
      <w:r w:rsidRPr="001663AE">
        <w:t xml:space="preserve">Retrieved January 06, 2015, from </w:t>
      </w:r>
      <w:hyperlink r:id="rId73" w:history="1">
        <w:r w:rsidRPr="001663AE">
          <w:rPr>
            <w:rStyle w:val="a5"/>
          </w:rPr>
          <w:t>www.baike.com</w:t>
        </w:r>
      </w:hyperlink>
      <w:r w:rsidRPr="001663AE">
        <w:rPr>
          <w:rFonts w:hint="eastAsia"/>
        </w:rPr>
        <w:t>。</w:t>
      </w:r>
    </w:p>
  </w:footnote>
  <w:footnote w:id="228">
    <w:p w14:paraId="18D01480" w14:textId="77777777" w:rsidR="00CA23FA" w:rsidRPr="001663AE" w:rsidRDefault="00CA23FA" w:rsidP="00D87D91">
      <w:pPr>
        <w:pStyle w:val="3"/>
      </w:pPr>
      <w:r w:rsidRPr="001663AE">
        <w:rPr>
          <w:rStyle w:val="af3"/>
          <w:rFonts w:ascii="新細明體" w:hAnsi="新細明體"/>
        </w:rPr>
        <w:footnoteRef/>
      </w:r>
      <w:r w:rsidRPr="001663AE">
        <w:rPr>
          <w:rFonts w:hint="eastAsia"/>
        </w:rPr>
        <w:t>游正博、林泰元、陳淑華，面對幹細胞，你需要停看聽，</w:t>
      </w:r>
      <w:r w:rsidRPr="001663AE">
        <w:t>72</w:t>
      </w:r>
      <w:r w:rsidRPr="001663AE">
        <w:rPr>
          <w:rFonts w:hint="eastAsia"/>
        </w:rPr>
        <w:t>變的幹細胞</w:t>
      </w:r>
      <w:r w:rsidRPr="001663AE">
        <w:t>──</w:t>
      </w:r>
      <w:r w:rsidRPr="001663AE">
        <w:rPr>
          <w:rFonts w:hint="eastAsia"/>
        </w:rPr>
        <w:t>幹細胞與再生醫學專輯，科學月刊</w:t>
      </w:r>
      <w:r w:rsidRPr="001663AE">
        <w:t>425</w:t>
      </w:r>
      <w:r w:rsidRPr="001663AE">
        <w:rPr>
          <w:rFonts w:hint="eastAsia"/>
        </w:rPr>
        <w:t>期，</w:t>
      </w:r>
      <w:r w:rsidRPr="001663AE">
        <w:t>2005.5</w:t>
      </w:r>
      <w:r w:rsidRPr="001663AE">
        <w:rPr>
          <w:rFonts w:hint="eastAsia"/>
        </w:rPr>
        <w:t>。</w:t>
      </w:r>
    </w:p>
  </w:footnote>
  <w:footnote w:id="229">
    <w:p w14:paraId="01AF26CE" w14:textId="77777777" w:rsidR="00CA23FA" w:rsidRPr="001663AE" w:rsidRDefault="00CA23FA" w:rsidP="00BE652C">
      <w:pPr>
        <w:pStyle w:val="3"/>
        <w:jc w:val="left"/>
      </w:pPr>
      <w:r w:rsidRPr="001663AE">
        <w:rPr>
          <w:rStyle w:val="af3"/>
          <w:rFonts w:ascii="新細明體" w:hAnsi="新細明體"/>
        </w:rPr>
        <w:footnoteRef/>
      </w:r>
      <w:r w:rsidRPr="001663AE">
        <w:t>陳彥榮</w:t>
      </w:r>
      <w:r w:rsidRPr="001663AE">
        <w:rPr>
          <w:rFonts w:hint="eastAsia"/>
        </w:rPr>
        <w:t>(2014)</w:t>
      </w:r>
      <w:r w:rsidRPr="001663AE">
        <w:rPr>
          <w:rFonts w:hint="eastAsia"/>
        </w:rPr>
        <w:t>，</w:t>
      </w:r>
      <w:r w:rsidRPr="001663AE">
        <w:t>多能性幹細胞，</w:t>
      </w:r>
      <w:r w:rsidRPr="001663AE">
        <w:rPr>
          <w:rFonts w:hint="eastAsia"/>
          <w:spacing w:val="30"/>
        </w:rPr>
        <w:t>上網瀏覽時間：</w:t>
      </w:r>
      <w:r w:rsidRPr="001663AE">
        <w:rPr>
          <w:rFonts w:hint="eastAsia"/>
          <w:spacing w:val="30"/>
        </w:rPr>
        <w:t>2015/06/29</w:t>
      </w:r>
      <w:r w:rsidRPr="001663AE">
        <w:rPr>
          <w:rFonts w:hint="eastAsia"/>
          <w:spacing w:val="30"/>
        </w:rPr>
        <w:t>，</w:t>
      </w:r>
      <w:hyperlink r:id="rId74" w:history="1">
        <w:r w:rsidRPr="001663AE">
          <w:rPr>
            <w:rStyle w:val="a5"/>
            <w:spacing w:val="30"/>
          </w:rPr>
          <w:t>http://scimonth.blogspot.tw/2014/01/blog-post_5206.html</w:t>
        </w:r>
      </w:hyperlink>
      <w:r w:rsidRPr="001663AE">
        <w:rPr>
          <w:spacing w:val="30"/>
        </w:rPr>
        <w:t>。</w:t>
      </w:r>
    </w:p>
  </w:footnote>
  <w:footnote w:id="230">
    <w:p w14:paraId="37705812" w14:textId="77777777" w:rsidR="00CA23FA" w:rsidRPr="001663AE" w:rsidRDefault="00CA23FA" w:rsidP="00BE652C">
      <w:pPr>
        <w:pStyle w:val="3"/>
        <w:jc w:val="left"/>
      </w:pPr>
      <w:r w:rsidRPr="001663AE">
        <w:rPr>
          <w:rStyle w:val="af3"/>
          <w:rFonts w:ascii="新細明體" w:hAnsi="新細明體"/>
        </w:rPr>
        <w:footnoteRef/>
      </w:r>
      <w:r w:rsidRPr="001663AE">
        <w:rPr>
          <w:rFonts w:hint="eastAsia"/>
        </w:rPr>
        <w:t>蔡政憲、劉玉，從亞當夏娃談幹細胞，</w:t>
      </w:r>
      <w:r w:rsidRPr="001663AE">
        <w:t>72</w:t>
      </w:r>
      <w:r w:rsidRPr="001663AE">
        <w:rPr>
          <w:rFonts w:hint="eastAsia"/>
        </w:rPr>
        <w:t>變的幹細胞</w:t>
      </w:r>
      <w:r w:rsidRPr="001663AE">
        <w:t>──</w:t>
      </w:r>
      <w:r w:rsidRPr="001663AE">
        <w:rPr>
          <w:rFonts w:hint="eastAsia"/>
        </w:rPr>
        <w:t>幹細胞與再生醫學專輯，科學月刊</w:t>
      </w:r>
      <w:r w:rsidRPr="001663AE">
        <w:t>425</w:t>
      </w:r>
      <w:r w:rsidRPr="001663AE">
        <w:rPr>
          <w:rFonts w:hint="eastAsia"/>
        </w:rPr>
        <w:t>期</w:t>
      </w:r>
      <w:r w:rsidRPr="001663AE">
        <w:t>2005.5</w:t>
      </w:r>
      <w:r w:rsidRPr="001663AE">
        <w:rPr>
          <w:rFonts w:hint="eastAsia"/>
        </w:rPr>
        <w:t>。</w:t>
      </w:r>
    </w:p>
  </w:footnote>
  <w:footnote w:id="231">
    <w:p w14:paraId="6BEF7CF6" w14:textId="77777777" w:rsidR="00CA23FA" w:rsidRPr="001663AE" w:rsidRDefault="00CA23FA" w:rsidP="00BE652C">
      <w:pPr>
        <w:pStyle w:val="3"/>
        <w:jc w:val="left"/>
      </w:pPr>
      <w:r w:rsidRPr="001663AE">
        <w:rPr>
          <w:rStyle w:val="af3"/>
          <w:rFonts w:ascii="新細明體" w:hAnsi="新細明體"/>
        </w:rPr>
        <w:footnoteRef/>
      </w:r>
      <w:r w:rsidRPr="001663AE">
        <w:t>潘柏滔</w:t>
      </w:r>
      <w:r w:rsidRPr="001663AE">
        <w:rPr>
          <w:rFonts w:hint="eastAsia"/>
        </w:rPr>
        <w:t>(</w:t>
      </w:r>
      <w:r w:rsidRPr="001663AE">
        <w:t>2015</w:t>
      </w:r>
      <w:r w:rsidRPr="001663AE">
        <w:rPr>
          <w:rFonts w:hint="eastAsia"/>
        </w:rPr>
        <w:t>)</w:t>
      </w:r>
      <w:r w:rsidRPr="001663AE">
        <w:rPr>
          <w:rFonts w:hint="eastAsia"/>
        </w:rPr>
        <w:t>，</w:t>
      </w:r>
      <w:hyperlink r:id="rId75" w:history="1">
        <w:r w:rsidRPr="001663AE">
          <w:t>胚胎基因工程的最新發展和挑戰，</w:t>
        </w:r>
      </w:hyperlink>
      <w:r w:rsidRPr="001663AE">
        <w:t>上網瀏覽時間：</w:t>
      </w:r>
      <w:r w:rsidRPr="001663AE">
        <w:rPr>
          <w:rFonts w:hint="eastAsia"/>
        </w:rPr>
        <w:t>2015/06/26</w:t>
      </w:r>
      <w:r w:rsidRPr="001663AE">
        <w:rPr>
          <w:rFonts w:hint="eastAsia"/>
        </w:rPr>
        <w:t>，</w:t>
      </w:r>
      <w:hyperlink r:id="rId76" w:history="1">
        <w:r w:rsidRPr="001663AE">
          <w:rPr>
            <w:rStyle w:val="a5"/>
          </w:rPr>
          <w:t>http://behold.oc.org/?p=27167</w:t>
        </w:r>
      </w:hyperlink>
      <w:r w:rsidRPr="001663AE">
        <w:t>。</w:t>
      </w:r>
    </w:p>
  </w:footnote>
  <w:footnote w:id="232">
    <w:p w14:paraId="5D99D2B7" w14:textId="77777777" w:rsidR="00CA23FA" w:rsidRPr="001663AE" w:rsidRDefault="00CA23FA" w:rsidP="00BE652C">
      <w:pPr>
        <w:pStyle w:val="3"/>
        <w:jc w:val="left"/>
        <w:rPr>
          <w:rFonts w:ascii="新細明體" w:hAnsi="新細明體"/>
        </w:rPr>
      </w:pPr>
      <w:r w:rsidRPr="008768C1">
        <w:rPr>
          <w:rStyle w:val="af3"/>
          <w:bCs w:val="0"/>
          <w:vertAlign w:val="baseline"/>
        </w:rPr>
        <w:footnoteRef/>
      </w:r>
      <w:r w:rsidRPr="008768C1">
        <w:rPr>
          <w:rFonts w:hint="eastAsia"/>
        </w:rPr>
        <w:t>黃效民，科學怪人真的會出現嗎？，</w:t>
      </w:r>
      <w:r w:rsidRPr="008768C1">
        <w:t>72</w:t>
      </w:r>
      <w:r w:rsidRPr="008768C1">
        <w:rPr>
          <w:rFonts w:hint="eastAsia"/>
        </w:rPr>
        <w:t>變的幹細胞</w:t>
      </w:r>
      <w:r w:rsidRPr="008768C1">
        <w:t>──</w:t>
      </w:r>
      <w:r w:rsidRPr="008768C1">
        <w:rPr>
          <w:rFonts w:hint="eastAsia"/>
        </w:rPr>
        <w:t>幹細胞與再生醫學專輯，科學月刊</w:t>
      </w:r>
      <w:r w:rsidRPr="008768C1">
        <w:t>425</w:t>
      </w:r>
      <w:r w:rsidRPr="001663AE">
        <w:rPr>
          <w:rFonts w:ascii="新細明體" w:hAnsi="新細明體" w:hint="eastAsia"/>
        </w:rPr>
        <w:t>期</w:t>
      </w:r>
      <w:r w:rsidRPr="001663AE">
        <w:rPr>
          <w:rFonts w:ascii="新細明體" w:hAnsi="新細明體"/>
        </w:rPr>
        <w:t>2005.5</w:t>
      </w:r>
      <w:r w:rsidRPr="001663AE">
        <w:rPr>
          <w:rFonts w:ascii="新細明體" w:hAnsi="新細明體" w:hint="eastAsia"/>
        </w:rPr>
        <w:t>。</w:t>
      </w:r>
    </w:p>
  </w:footnote>
  <w:footnote w:id="233">
    <w:p w14:paraId="71359F4D" w14:textId="77777777" w:rsidR="00CA23FA" w:rsidRPr="001663AE" w:rsidRDefault="00CA23FA" w:rsidP="00D87D91">
      <w:pPr>
        <w:pStyle w:val="3"/>
        <w:rPr>
          <w:rFonts w:ascii="新細明體" w:hAnsi="新細明體"/>
        </w:rPr>
      </w:pPr>
      <w:r w:rsidRPr="001663AE">
        <w:rPr>
          <w:rStyle w:val="af3"/>
          <w:rFonts w:ascii="新細明體" w:hAnsi="新細明體"/>
        </w:rPr>
        <w:footnoteRef/>
      </w:r>
      <w:r w:rsidRPr="001663AE">
        <w:rPr>
          <w:rFonts w:ascii="新細明體" w:hAnsi="新細明體"/>
        </w:rPr>
        <w:t>潘柏滔</w:t>
      </w:r>
      <w:r w:rsidRPr="001663AE">
        <w:rPr>
          <w:rFonts w:ascii="新細明體" w:hAnsi="新細明體" w:hint="eastAsia"/>
        </w:rPr>
        <w:t>(</w:t>
      </w:r>
      <w:r w:rsidRPr="001663AE">
        <w:rPr>
          <w:rFonts w:ascii="新細明體" w:hAnsi="新細明體"/>
        </w:rPr>
        <w:t>2015</w:t>
      </w:r>
      <w:r w:rsidRPr="001663AE">
        <w:rPr>
          <w:rFonts w:ascii="新細明體" w:hAnsi="新細明體" w:hint="eastAsia"/>
        </w:rPr>
        <w:t>)，</w:t>
      </w:r>
      <w:hyperlink r:id="rId77" w:history="1">
        <w:r w:rsidRPr="001663AE">
          <w:rPr>
            <w:rFonts w:ascii="新細明體" w:hAnsi="新細明體"/>
          </w:rPr>
          <w:t>胚胎基因工程的最新發展和挑戰，</w:t>
        </w:r>
      </w:hyperlink>
      <w:r w:rsidRPr="001663AE">
        <w:rPr>
          <w:rFonts w:ascii="新細明體" w:hAnsi="新細明體"/>
        </w:rPr>
        <w:t>上網瀏覽時間：</w:t>
      </w:r>
      <w:r w:rsidRPr="001663AE">
        <w:rPr>
          <w:rFonts w:ascii="新細明體" w:hAnsi="新細明體" w:hint="eastAsia"/>
        </w:rPr>
        <w:t>2015/06/26，</w:t>
      </w:r>
      <w:hyperlink r:id="rId78" w:history="1">
        <w:r w:rsidRPr="001663AE">
          <w:rPr>
            <w:rStyle w:val="a5"/>
          </w:rPr>
          <w:t>http://behold.oc.org/?p=27167</w:t>
        </w:r>
      </w:hyperlink>
      <w:r w:rsidRPr="001663AE">
        <w:rPr>
          <w:rFonts w:ascii="新細明體" w:hAnsi="新細明體"/>
        </w:rPr>
        <w:t>。</w:t>
      </w:r>
    </w:p>
  </w:footnote>
  <w:footnote w:id="234">
    <w:p w14:paraId="312D5199" w14:textId="77777777" w:rsidR="00CA23FA" w:rsidRPr="001663AE" w:rsidRDefault="00CA23FA" w:rsidP="00D87D91">
      <w:pPr>
        <w:pStyle w:val="3"/>
        <w:rPr>
          <w:rFonts w:ascii="新細明體" w:hAnsi="新細明體"/>
          <w:vanish/>
          <w:szCs w:val="20"/>
          <w:lang w:val="en"/>
        </w:rPr>
      </w:pPr>
      <w:r w:rsidRPr="001663AE">
        <w:rPr>
          <w:rStyle w:val="af3"/>
          <w:rFonts w:ascii="新細明體" w:hAnsi="新細明體"/>
          <w:szCs w:val="20"/>
        </w:rPr>
        <w:footnoteRef/>
      </w:r>
      <w:r w:rsidRPr="001663AE">
        <w:rPr>
          <w:rFonts w:ascii="新細明體" w:hAnsi="新細明體"/>
          <w:szCs w:val="20"/>
        </w:rPr>
        <w:t xml:space="preserve"> </w:t>
      </w:r>
      <w:hyperlink r:id="rId79" w:anchor="auth-1" w:history="1">
        <w:r w:rsidRPr="001663AE">
          <w:rPr>
            <w:rFonts w:ascii="新細明體" w:hAnsi="新細明體"/>
            <w:szCs w:val="20"/>
            <w:lang w:val="en"/>
          </w:rPr>
          <w:t>Uta Grieshammer</w:t>
        </w:r>
      </w:hyperlink>
      <w:r w:rsidRPr="001663AE">
        <w:rPr>
          <w:rFonts w:ascii="新細明體" w:hAnsi="新細明體" w:hint="eastAsia"/>
          <w:szCs w:val="20"/>
          <w:lang w:val="en"/>
        </w:rPr>
        <w:t xml:space="preserve">; </w:t>
      </w:r>
      <w:hyperlink r:id="rId80" w:anchor="auth-2" w:history="1">
        <w:r w:rsidRPr="001663AE">
          <w:rPr>
            <w:rFonts w:ascii="新細明體" w:hAnsi="新細明體"/>
            <w:szCs w:val="20"/>
            <w:lang w:val="en"/>
          </w:rPr>
          <w:t>Kelly A Shepard</w:t>
        </w:r>
      </w:hyperlink>
      <w:r w:rsidRPr="001663AE">
        <w:rPr>
          <w:rStyle w:val="comma"/>
          <w:rFonts w:ascii="新細明體" w:hAnsi="新細明體" w:cs="Arial" w:hint="eastAsia"/>
          <w:szCs w:val="20"/>
          <w:lang w:val="en"/>
        </w:rPr>
        <w:t xml:space="preserve">; </w:t>
      </w:r>
      <w:hyperlink r:id="rId81" w:anchor="auth-3" w:history="1">
        <w:r w:rsidRPr="001663AE">
          <w:rPr>
            <w:rFonts w:ascii="新細明體" w:hAnsi="新細明體"/>
            <w:szCs w:val="20"/>
            <w:lang w:val="en"/>
          </w:rPr>
          <w:t>Elizabeth A Nigh</w:t>
        </w:r>
      </w:hyperlink>
      <w:r w:rsidRPr="001663AE">
        <w:rPr>
          <w:rFonts w:ascii="新細明體" w:hAnsi="新細明體" w:cs="Arial" w:hint="eastAsia"/>
          <w:szCs w:val="20"/>
          <w:vertAlign w:val="superscript"/>
          <w:lang w:val="en"/>
        </w:rPr>
        <w:t xml:space="preserve">; </w:t>
      </w:r>
      <w:r w:rsidRPr="001663AE">
        <w:rPr>
          <w:rFonts w:ascii="新細明體" w:hAnsi="新細明體"/>
          <w:szCs w:val="20"/>
          <w:lang w:val="en"/>
        </w:rPr>
        <w:t xml:space="preserve">&amp; </w:t>
      </w:r>
      <w:hyperlink r:id="rId82" w:anchor="auth-4" w:history="1">
        <w:r w:rsidRPr="001663AE">
          <w:rPr>
            <w:rFonts w:ascii="新細明體" w:hAnsi="新細明體"/>
            <w:szCs w:val="20"/>
            <w:lang w:val="en"/>
          </w:rPr>
          <w:t>Alan Trounson</w:t>
        </w:r>
      </w:hyperlink>
      <w:r w:rsidRPr="001663AE">
        <w:rPr>
          <w:rFonts w:ascii="新細明體" w:hAnsi="新細明體"/>
          <w:szCs w:val="20"/>
          <w:lang w:val="en"/>
        </w:rPr>
        <w:t>(2011)</w:t>
      </w:r>
      <w:r w:rsidRPr="001663AE">
        <w:rPr>
          <w:rFonts w:ascii="新細明體" w:hAnsi="新細明體" w:hint="eastAsia"/>
          <w:szCs w:val="20"/>
          <w:lang w:val="en"/>
        </w:rPr>
        <w:t xml:space="preserve">. </w:t>
      </w:r>
      <w:r w:rsidRPr="001663AE">
        <w:rPr>
          <w:rFonts w:ascii="新細明體" w:hAnsi="新細明體" w:cs="Arial"/>
          <w:spacing w:val="-8"/>
          <w:szCs w:val="20"/>
          <w:lang w:val="en"/>
        </w:rPr>
        <w:t>Unique opportunities for human nuclear transfer technology</w:t>
      </w:r>
      <w:r w:rsidRPr="001663AE">
        <w:rPr>
          <w:rFonts w:ascii="新細明體" w:hAnsi="新細明體" w:cs="Arial" w:hint="eastAsia"/>
          <w:spacing w:val="-8"/>
          <w:szCs w:val="20"/>
          <w:lang w:val="en"/>
        </w:rPr>
        <w:t>.</w:t>
      </w:r>
      <w:r w:rsidRPr="001663AE">
        <w:rPr>
          <w:rFonts w:ascii="新細明體" w:hAnsi="新細明體" w:cs="Arial" w:hint="eastAsia"/>
          <w:szCs w:val="20"/>
          <w:vertAlign w:val="superscript"/>
          <w:lang w:val="en"/>
        </w:rPr>
        <w:t xml:space="preserve">. </w:t>
      </w:r>
      <w:r w:rsidRPr="001663AE">
        <w:rPr>
          <w:rFonts w:ascii="新細明體" w:hAnsi="新細明體"/>
          <w:vanish/>
          <w:szCs w:val="20"/>
          <w:lang w:val="en"/>
        </w:rPr>
        <w:t>Journal name:</w:t>
      </w:r>
    </w:p>
    <w:p w14:paraId="32A0218A" w14:textId="77777777" w:rsidR="00CA23FA" w:rsidRPr="001663AE" w:rsidRDefault="00CA23FA" w:rsidP="00D87D91">
      <w:pPr>
        <w:pStyle w:val="3"/>
        <w:rPr>
          <w:vanish/>
          <w:lang w:val="en"/>
        </w:rPr>
      </w:pPr>
      <w:r w:rsidRPr="001663AE">
        <w:rPr>
          <w:lang w:val="en"/>
        </w:rPr>
        <w:t>Nature Biotechnology</w:t>
      </w:r>
      <w:r w:rsidRPr="001663AE">
        <w:rPr>
          <w:rFonts w:hint="eastAsia"/>
          <w:lang w:val="en"/>
        </w:rPr>
        <w:t xml:space="preserve">: </w:t>
      </w:r>
      <w:r w:rsidRPr="001663AE">
        <w:rPr>
          <w:vanish/>
          <w:lang w:val="en"/>
        </w:rPr>
        <w:t>Volume:</w:t>
      </w:r>
    </w:p>
    <w:p w14:paraId="4433857F" w14:textId="77777777" w:rsidR="00CA23FA" w:rsidRPr="001663AE" w:rsidRDefault="00CA23FA" w:rsidP="00D87D91">
      <w:pPr>
        <w:pStyle w:val="3"/>
        <w:rPr>
          <w:lang w:val="en"/>
        </w:rPr>
      </w:pPr>
      <w:r w:rsidRPr="001663AE">
        <w:rPr>
          <w:lang w:val="en"/>
        </w:rPr>
        <w:t>29,</w:t>
      </w:r>
      <w:r w:rsidRPr="001663AE">
        <w:rPr>
          <w:rFonts w:hint="eastAsia"/>
          <w:lang w:val="en"/>
        </w:rPr>
        <w:t xml:space="preserve">pp </w:t>
      </w:r>
      <w:r w:rsidRPr="001663AE">
        <w:rPr>
          <w:lang w:val="en"/>
        </w:rPr>
        <w:t>Pages:</w:t>
      </w:r>
    </w:p>
    <w:p w14:paraId="0795353A" w14:textId="77777777" w:rsidR="00CA23FA" w:rsidRPr="001663AE" w:rsidRDefault="00CA23FA" w:rsidP="00D87D91">
      <w:pPr>
        <w:pStyle w:val="3"/>
      </w:pPr>
      <w:r w:rsidRPr="001663AE">
        <w:rPr>
          <w:lang w:val="en"/>
        </w:rPr>
        <w:t>701–705</w:t>
      </w:r>
      <w:r w:rsidRPr="001663AE">
        <w:rPr>
          <w:rFonts w:hint="eastAsia"/>
          <w:lang w:val="en"/>
        </w:rPr>
        <w:t>.</w:t>
      </w:r>
    </w:p>
  </w:footnote>
  <w:footnote w:id="235">
    <w:p w14:paraId="0227AE9E"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根據段崇智、李萬柱、愛德華</w:t>
      </w:r>
      <w:r w:rsidRPr="001663AE">
        <w:t>‧</w:t>
      </w:r>
      <w:r w:rsidRPr="001663AE">
        <w:rPr>
          <w:rFonts w:hint="eastAsia"/>
        </w:rPr>
        <w:t>卡特森等人之研究，間質幹細胞（</w:t>
      </w:r>
      <w:r w:rsidRPr="001663AE">
        <w:t>mesenchymal stem cell, MSC</w:t>
      </w:r>
      <w:r w:rsidRPr="001663AE">
        <w:rPr>
          <w:rFonts w:hint="eastAsia"/>
        </w:rPr>
        <w:t>）之臨床治療與應用，具有以下之重要特色：</w:t>
      </w:r>
    </w:p>
    <w:p w14:paraId="47628DE2" w14:textId="77777777" w:rsidR="00CA23FA" w:rsidRPr="001663AE" w:rsidRDefault="00CA23FA" w:rsidP="00D87D91">
      <w:pPr>
        <w:pStyle w:val="3"/>
      </w:pPr>
      <w:r w:rsidRPr="001663AE">
        <w:t>1</w:t>
      </w:r>
      <w:r w:rsidRPr="001663AE">
        <w:rPr>
          <w:rFonts w:hint="eastAsia"/>
        </w:rPr>
        <w:t>、間質幹細胞可取自於骨髓、骨膜或包括肌肉、骨骼及脂肪在內的結締組織；</w:t>
      </w:r>
    </w:p>
    <w:p w14:paraId="2AE9F092" w14:textId="77777777" w:rsidR="00CA23FA" w:rsidRPr="001663AE" w:rsidRDefault="00CA23FA" w:rsidP="00D87D91">
      <w:pPr>
        <w:pStyle w:val="3"/>
      </w:pPr>
      <w:r w:rsidRPr="001663AE">
        <w:t>2</w:t>
      </w:r>
      <w:r w:rsidRPr="001663AE">
        <w:rPr>
          <w:rFonts w:hint="eastAsia"/>
        </w:rPr>
        <w:t>、骨髓是最容易取得間質幹細胞的來源；</w:t>
      </w:r>
    </w:p>
    <w:p w14:paraId="6BBED6DF" w14:textId="77777777" w:rsidR="00CA23FA" w:rsidRPr="001663AE" w:rsidRDefault="00CA23FA" w:rsidP="00D87D91">
      <w:pPr>
        <w:pStyle w:val="3"/>
      </w:pPr>
      <w:r w:rsidRPr="001663AE">
        <w:t>3</w:t>
      </w:r>
      <w:r w:rsidRPr="001663AE">
        <w:rPr>
          <w:rFonts w:hint="eastAsia"/>
        </w:rPr>
        <w:t>、骨移植之技術，在骨科臨床醫學中，被應用在骨折治療及損傷的修補上；</w:t>
      </w:r>
    </w:p>
    <w:p w14:paraId="13460DF1" w14:textId="77777777" w:rsidR="00CA23FA" w:rsidRPr="001663AE" w:rsidRDefault="00CA23FA" w:rsidP="00D87D91">
      <w:pPr>
        <w:pStyle w:val="3"/>
      </w:pPr>
      <w:r w:rsidRPr="001663AE">
        <w:t>4</w:t>
      </w:r>
      <w:r w:rsidRPr="001663AE">
        <w:rPr>
          <w:rFonts w:hint="eastAsia"/>
        </w:rPr>
        <w:t>、間質幹細胞所引導的骨質再生可應用於臨床治療中。</w:t>
      </w:r>
    </w:p>
    <w:p w14:paraId="0191A3CE" w14:textId="77777777" w:rsidR="00CA23FA" w:rsidRPr="001663AE" w:rsidRDefault="00CA23FA" w:rsidP="00D87D91">
      <w:pPr>
        <w:pStyle w:val="3"/>
      </w:pPr>
      <w:r w:rsidRPr="001663AE">
        <w:rPr>
          <w:rFonts w:hint="eastAsia"/>
        </w:rPr>
        <w:t>以上，請參閱：</w:t>
      </w:r>
      <w:r w:rsidRPr="001663AE">
        <w:t xml:space="preserve"> </w:t>
      </w:r>
      <w:r w:rsidRPr="001663AE">
        <w:rPr>
          <w:rFonts w:hint="eastAsia"/>
        </w:rPr>
        <w:t>段崇智、李萬柱、愛德華</w:t>
      </w:r>
      <w:r w:rsidRPr="001663AE">
        <w:t>‧</w:t>
      </w:r>
      <w:r w:rsidRPr="001663AE">
        <w:rPr>
          <w:rFonts w:hint="eastAsia"/>
        </w:rPr>
        <w:t>卡特森，以間質幹細胞為基礎的骨骼組織工程學，台灣醫學第</w:t>
      </w:r>
      <w:r w:rsidRPr="001663AE">
        <w:t>5</w:t>
      </w:r>
      <w:r w:rsidRPr="001663AE">
        <w:rPr>
          <w:rFonts w:hint="eastAsia"/>
        </w:rPr>
        <w:t>卷第</w:t>
      </w:r>
      <w:r w:rsidRPr="001663AE">
        <w:t>6</w:t>
      </w:r>
      <w:r w:rsidRPr="001663AE">
        <w:rPr>
          <w:rFonts w:hint="eastAsia"/>
        </w:rPr>
        <w:t>期，</w:t>
      </w:r>
      <w:r w:rsidRPr="001663AE">
        <w:t>2001</w:t>
      </w:r>
      <w:r w:rsidRPr="001663AE">
        <w:rPr>
          <w:rFonts w:hint="eastAsia"/>
        </w:rPr>
        <w:t>年。</w:t>
      </w:r>
    </w:p>
  </w:footnote>
  <w:footnote w:id="236">
    <w:p w14:paraId="4B45D3BA"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根據李文婷氏之研究，臍帶血幹細胞具有以下之屬性：</w:t>
      </w:r>
    </w:p>
    <w:p w14:paraId="50D861C2" w14:textId="77777777" w:rsidR="00CA23FA" w:rsidRPr="001663AE" w:rsidRDefault="00CA23FA" w:rsidP="00D87D91">
      <w:pPr>
        <w:pStyle w:val="3"/>
      </w:pPr>
      <w:r w:rsidRPr="001663AE">
        <w:t>1</w:t>
      </w:r>
      <w:r w:rsidRPr="001663AE">
        <w:rPr>
          <w:rFonts w:hint="eastAsia"/>
        </w:rPr>
        <w:t>、臍帶血中含有大量的幹細胞；</w:t>
      </w:r>
    </w:p>
    <w:p w14:paraId="182B36F5" w14:textId="77777777" w:rsidR="00CA23FA" w:rsidRPr="001663AE" w:rsidRDefault="00CA23FA" w:rsidP="00D87D91">
      <w:pPr>
        <w:pStyle w:val="3"/>
      </w:pPr>
      <w:r w:rsidRPr="001663AE">
        <w:t>2</w:t>
      </w:r>
      <w:r w:rsidRPr="001663AE">
        <w:rPr>
          <w:rFonts w:hint="eastAsia"/>
        </w:rPr>
        <w:t>、臍帶血幹細胞具有能力可分化為：淋巴幹細胞（</w:t>
      </w:r>
      <w:r w:rsidRPr="001663AE">
        <w:t>lymphoid stem cell</w:t>
      </w:r>
      <w:r w:rsidRPr="001663AE">
        <w:rPr>
          <w:rFonts w:hint="eastAsia"/>
        </w:rPr>
        <w:t>）及骨髓樣幹細胞（</w:t>
      </w:r>
      <w:r w:rsidRPr="001663AE">
        <w:t>myeloid stem cell</w:t>
      </w:r>
      <w:r w:rsidRPr="001663AE">
        <w:rPr>
          <w:rFonts w:hint="eastAsia"/>
        </w:rPr>
        <w:t>）；</w:t>
      </w:r>
    </w:p>
    <w:p w14:paraId="4CE8028F" w14:textId="77777777" w:rsidR="00CA23FA" w:rsidRPr="001663AE" w:rsidRDefault="00CA23FA" w:rsidP="00D87D91">
      <w:pPr>
        <w:pStyle w:val="3"/>
      </w:pPr>
      <w:r w:rsidRPr="001663AE">
        <w:t>3</w:t>
      </w:r>
      <w:r w:rsidRPr="001663AE">
        <w:rPr>
          <w:rFonts w:hint="eastAsia"/>
        </w:rPr>
        <w:t>、淋巴幹細胞可進一步分化成免疫系統所需的細胞，如</w:t>
      </w:r>
      <w:r w:rsidRPr="001663AE">
        <w:t>B</w:t>
      </w:r>
      <w:r w:rsidRPr="001663AE">
        <w:rPr>
          <w:rFonts w:hint="eastAsia"/>
        </w:rPr>
        <w:t>細胞、</w:t>
      </w:r>
      <w:r w:rsidRPr="001663AE">
        <w:t>T</w:t>
      </w:r>
      <w:r w:rsidRPr="001663AE">
        <w:rPr>
          <w:rFonts w:hint="eastAsia"/>
        </w:rPr>
        <w:t>細胞及樹枝狀細胞</w:t>
      </w:r>
      <w:r w:rsidRPr="001663AE">
        <w:t>…</w:t>
      </w:r>
      <w:r w:rsidRPr="001663AE">
        <w:rPr>
          <w:rFonts w:hint="eastAsia"/>
        </w:rPr>
        <w:t>等；</w:t>
      </w:r>
    </w:p>
    <w:p w14:paraId="7BB71292" w14:textId="77777777" w:rsidR="00CA23FA" w:rsidRPr="001663AE" w:rsidRDefault="00CA23FA" w:rsidP="00D87D91">
      <w:pPr>
        <w:pStyle w:val="3"/>
      </w:pPr>
      <w:r w:rsidRPr="001663AE">
        <w:t>4</w:t>
      </w:r>
      <w:r w:rsidRPr="001663AE">
        <w:rPr>
          <w:rFonts w:hint="eastAsia"/>
        </w:rPr>
        <w:t>、骨髓樣幹細胞則可分化成巨噬細胞、紅血球、血小板</w:t>
      </w:r>
      <w:r w:rsidRPr="001663AE">
        <w:t>…</w:t>
      </w:r>
      <w:r w:rsidRPr="001663AE">
        <w:rPr>
          <w:rFonts w:hint="eastAsia"/>
        </w:rPr>
        <w:t>等。</w:t>
      </w:r>
    </w:p>
    <w:p w14:paraId="39505716" w14:textId="77777777" w:rsidR="00CA23FA" w:rsidRPr="001663AE" w:rsidRDefault="00CA23FA" w:rsidP="00D87D91">
      <w:pPr>
        <w:pStyle w:val="3"/>
      </w:pPr>
      <w:r w:rsidRPr="001663AE">
        <w:rPr>
          <w:rFonts w:hint="eastAsia"/>
        </w:rPr>
        <w:t>以上，請參閱：李文婷，成體幹細胞的研究現況與未來發展，化工資訊，</w:t>
      </w:r>
      <w:r w:rsidRPr="001663AE">
        <w:t>2002,7</w:t>
      </w:r>
      <w:r w:rsidRPr="001663AE">
        <w:rPr>
          <w:rFonts w:hint="eastAsia"/>
        </w:rPr>
        <w:t>。</w:t>
      </w:r>
    </w:p>
  </w:footnote>
  <w:footnote w:id="237">
    <w:p w14:paraId="5A29BE2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脂肪組織中的基質細胞和骨髓基質細胞一樣，可被</w:t>
      </w:r>
      <w:r w:rsidRPr="001663AE">
        <w:t>gluococotticoids</w:t>
      </w:r>
      <w:r w:rsidRPr="001663AE">
        <w:rPr>
          <w:rFonts w:hint="eastAsia"/>
        </w:rPr>
        <w:t>、</w:t>
      </w:r>
      <w:r w:rsidRPr="001663AE">
        <w:t>IGF-1</w:t>
      </w:r>
      <w:r w:rsidRPr="001663AE">
        <w:rPr>
          <w:rFonts w:hint="eastAsia"/>
        </w:rPr>
        <w:t>及胰島素等外加刺激因數刺激分化成為脂肪細胞。以上，請參閱：李文婷，成體幹細胞的研究現況與未來發展，化工資訊，</w:t>
      </w:r>
      <w:r w:rsidRPr="001663AE">
        <w:t>2002,7</w:t>
      </w:r>
      <w:r w:rsidRPr="001663AE">
        <w:rPr>
          <w:rFonts w:hint="eastAsia"/>
        </w:rPr>
        <w:t>。</w:t>
      </w:r>
    </w:p>
  </w:footnote>
  <w:footnote w:id="238">
    <w:p w14:paraId="0E7001B6"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依據湯崇志、王博南等人之研究，造血幹細胞的來源，其可分為三部份：</w:t>
      </w:r>
    </w:p>
    <w:p w14:paraId="79FE510C" w14:textId="77777777" w:rsidR="00CA23FA" w:rsidRPr="001663AE" w:rsidRDefault="00CA23FA" w:rsidP="00D87D91">
      <w:pPr>
        <w:pStyle w:val="3"/>
      </w:pPr>
      <w:r w:rsidRPr="001663AE">
        <w:t>1.</w:t>
      </w:r>
      <w:r w:rsidRPr="001663AE">
        <w:rPr>
          <w:rFonts w:hint="eastAsia"/>
        </w:rPr>
        <w:t>骨髓（</w:t>
      </w:r>
      <w:r w:rsidRPr="001663AE">
        <w:t>Bone marrow</w:t>
      </w:r>
      <w:r w:rsidRPr="001663AE">
        <w:rPr>
          <w:rFonts w:hint="eastAsia"/>
        </w:rPr>
        <w:t>），來源可分為自體（</w:t>
      </w:r>
      <w:r w:rsidRPr="001663AE">
        <w:t>autologous</w:t>
      </w:r>
      <w:r w:rsidRPr="001663AE">
        <w:rPr>
          <w:rFonts w:hint="eastAsia"/>
        </w:rPr>
        <w:t>），或是異體（</w:t>
      </w:r>
      <w:r w:rsidRPr="001663AE">
        <w:t>allogeneic</w:t>
      </w:r>
      <w:r w:rsidRPr="001663AE">
        <w:rPr>
          <w:rFonts w:hint="eastAsia"/>
        </w:rPr>
        <w:t>）；而異體的部分，又可分為來自同卵雙胞胎（</w:t>
      </w:r>
      <w:r w:rsidRPr="001663AE">
        <w:t>syngeneic</w:t>
      </w:r>
      <w:r w:rsidRPr="001663AE">
        <w:rPr>
          <w:rFonts w:hint="eastAsia"/>
        </w:rPr>
        <w:t>），或是兄弟姊妹之間的捐贈（</w:t>
      </w:r>
      <w:r w:rsidRPr="001663AE">
        <w:t>sibling matched or mismatched donor</w:t>
      </w:r>
      <w:r w:rsidRPr="001663AE">
        <w:rPr>
          <w:rFonts w:hint="eastAsia"/>
        </w:rPr>
        <w:t>），或是非親屬關係的捐贈（</w:t>
      </w:r>
      <w:r w:rsidRPr="001663AE">
        <w:t>unrelated matched donor</w:t>
      </w:r>
      <w:r w:rsidRPr="001663AE">
        <w:rPr>
          <w:rFonts w:hint="eastAsia"/>
        </w:rPr>
        <w:t>）；</w:t>
      </w:r>
    </w:p>
    <w:p w14:paraId="2C782076" w14:textId="77777777" w:rsidR="00CA23FA" w:rsidRPr="001663AE" w:rsidRDefault="00CA23FA" w:rsidP="00D87D91">
      <w:pPr>
        <w:pStyle w:val="3"/>
      </w:pPr>
      <w:r w:rsidRPr="001663AE">
        <w:t>2.</w:t>
      </w:r>
      <w:r w:rsidRPr="001663AE">
        <w:rPr>
          <w:rFonts w:hint="eastAsia"/>
        </w:rPr>
        <w:t>周邊血液幹細胞（</w:t>
      </w:r>
      <w:r w:rsidRPr="001663AE">
        <w:t>peripheral blood stem cells PBSC</w:t>
      </w:r>
      <w:r w:rsidRPr="001663AE">
        <w:rPr>
          <w:rFonts w:hint="eastAsia"/>
        </w:rPr>
        <w:t>）：收集周邊血液幹細胞來進行移植；</w:t>
      </w:r>
    </w:p>
    <w:p w14:paraId="17822650" w14:textId="77777777" w:rsidR="00CA23FA" w:rsidRPr="001663AE" w:rsidRDefault="00CA23FA" w:rsidP="00D87D91">
      <w:pPr>
        <w:pStyle w:val="3"/>
      </w:pPr>
      <w:r w:rsidRPr="001663AE">
        <w:t>3.</w:t>
      </w:r>
      <w:r w:rsidRPr="001663AE">
        <w:rPr>
          <w:rFonts w:hint="eastAsia"/>
        </w:rPr>
        <w:t>臍帶血（</w:t>
      </w:r>
      <w:r w:rsidRPr="001663AE">
        <w:t>umbilical cord blood</w:t>
      </w:r>
      <w:r w:rsidRPr="001663AE">
        <w:rPr>
          <w:rFonts w:hint="eastAsia"/>
        </w:rPr>
        <w:t>），在最近</w:t>
      </w:r>
      <w:r w:rsidRPr="001663AE">
        <w:t>5</w:t>
      </w:r>
      <w:r w:rsidRPr="001663AE">
        <w:rPr>
          <w:rFonts w:hint="eastAsia"/>
        </w:rPr>
        <w:t>年，臍帶血移植開始用於孩童之移植捐贈。</w:t>
      </w:r>
    </w:p>
    <w:p w14:paraId="77047D90" w14:textId="77777777" w:rsidR="00CA23FA" w:rsidRPr="001663AE" w:rsidRDefault="00CA23FA" w:rsidP="00D87D91">
      <w:pPr>
        <w:pStyle w:val="3"/>
      </w:pPr>
      <w:r w:rsidRPr="001663AE">
        <w:rPr>
          <w:rFonts w:hint="eastAsia"/>
        </w:rPr>
        <w:t>以上，請參閱：湯崇志、王博南，異體周邊血液幹細胞移植，內科新知，</w:t>
      </w:r>
      <w:r w:rsidRPr="001663AE">
        <w:t>3</w:t>
      </w:r>
      <w:r w:rsidRPr="001663AE">
        <w:rPr>
          <w:rFonts w:hint="eastAsia"/>
        </w:rPr>
        <w:t>卷，</w:t>
      </w:r>
      <w:r w:rsidRPr="001663AE">
        <w:t>2</w:t>
      </w:r>
      <w:r w:rsidRPr="001663AE">
        <w:rPr>
          <w:rFonts w:hint="eastAsia"/>
        </w:rPr>
        <w:t>期，</w:t>
      </w:r>
      <w:r w:rsidRPr="001663AE">
        <w:t>2000</w:t>
      </w:r>
      <w:r w:rsidRPr="001663AE">
        <w:rPr>
          <w:rFonts w:hint="eastAsia"/>
        </w:rPr>
        <w:t>年</w:t>
      </w:r>
      <w:r w:rsidRPr="001663AE">
        <w:t>10</w:t>
      </w:r>
      <w:r w:rsidRPr="001663AE">
        <w:rPr>
          <w:rFonts w:hint="eastAsia"/>
        </w:rPr>
        <w:t>月。</w:t>
      </w:r>
    </w:p>
  </w:footnote>
  <w:footnote w:id="239">
    <w:p w14:paraId="0251E77D"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根據裴雪濤氏之研究，神經幹細胞（</w:t>
      </w:r>
      <w:r w:rsidRPr="001663AE">
        <w:t>NSCs</w:t>
      </w:r>
      <w:r w:rsidRPr="001663AE">
        <w:rPr>
          <w:rFonts w:hint="eastAsia"/>
        </w:rPr>
        <w:t>）之重要特徵如下：</w:t>
      </w:r>
    </w:p>
    <w:p w14:paraId="1B2A68B9" w14:textId="77777777" w:rsidR="00CA23FA" w:rsidRPr="001663AE" w:rsidRDefault="00CA23FA" w:rsidP="00D87D91">
      <w:pPr>
        <w:pStyle w:val="3"/>
      </w:pPr>
      <w:r w:rsidRPr="001663AE">
        <w:t>1</w:t>
      </w:r>
      <w:r w:rsidRPr="001663AE">
        <w:rPr>
          <w:rFonts w:hint="eastAsia"/>
        </w:rPr>
        <w:t>、神經幹細胞（</w:t>
      </w:r>
      <w:r w:rsidRPr="001663AE">
        <w:t>NSCs</w:t>
      </w:r>
      <w:r w:rsidRPr="001663AE">
        <w:rPr>
          <w:rFonts w:hint="eastAsia"/>
        </w:rPr>
        <w:t>）存在胚胎和成人的腦組織中和周圍神經系統中；</w:t>
      </w:r>
    </w:p>
    <w:p w14:paraId="45005188" w14:textId="77777777" w:rsidR="00CA23FA" w:rsidRPr="001663AE" w:rsidRDefault="00CA23FA" w:rsidP="00D87D91">
      <w:pPr>
        <w:pStyle w:val="3"/>
      </w:pPr>
      <w:r w:rsidRPr="001663AE">
        <w:t>2</w:t>
      </w:r>
      <w:r w:rsidRPr="001663AE">
        <w:rPr>
          <w:rFonts w:hint="eastAsia"/>
        </w:rPr>
        <w:t>、根據神經幹細胞（</w:t>
      </w:r>
      <w:r w:rsidRPr="001663AE">
        <w:t>NSCs</w:t>
      </w:r>
      <w:r w:rsidRPr="001663AE">
        <w:rPr>
          <w:rFonts w:hint="eastAsia"/>
        </w:rPr>
        <w:t>）在體內存在部位的不同，又分別稱為中樞神經幹細胞和周圍神經幹細胞；</w:t>
      </w:r>
    </w:p>
    <w:p w14:paraId="3844B476" w14:textId="77777777" w:rsidR="00CA23FA" w:rsidRPr="001663AE" w:rsidRDefault="00CA23FA" w:rsidP="00D87D91">
      <w:pPr>
        <w:pStyle w:val="3"/>
      </w:pPr>
      <w:r w:rsidRPr="001663AE">
        <w:t>3</w:t>
      </w:r>
      <w:r w:rsidRPr="001663AE">
        <w:rPr>
          <w:rFonts w:hint="eastAsia"/>
        </w:rPr>
        <w:t>、神經幹細胞（</w:t>
      </w:r>
      <w:r w:rsidRPr="001663AE">
        <w:t>NSCs</w:t>
      </w:r>
      <w:r w:rsidRPr="001663AE">
        <w:rPr>
          <w:rFonts w:hint="eastAsia"/>
        </w:rPr>
        <w:t>）具有向神經元、星形膠質細胞和少突神經膠質細胞分化的能力。</w:t>
      </w:r>
    </w:p>
    <w:p w14:paraId="3ECBD57B" w14:textId="77777777" w:rsidR="00CA23FA" w:rsidRPr="001663AE" w:rsidRDefault="00CA23FA" w:rsidP="00D87D91">
      <w:pPr>
        <w:pStyle w:val="3"/>
      </w:pPr>
      <w:r w:rsidRPr="001663AE">
        <w:rPr>
          <w:rFonts w:hint="eastAsia"/>
        </w:rPr>
        <w:t>以上，請參閱：</w:t>
      </w:r>
      <w:r w:rsidRPr="001663AE">
        <w:t xml:space="preserve"> </w:t>
      </w:r>
      <w:r w:rsidRPr="001663AE">
        <w:rPr>
          <w:rFonts w:hint="eastAsia"/>
        </w:rPr>
        <w:t>裴雪濤主編，路光予校訂，幹細胞技術，五南圖書出版公司，</w:t>
      </w:r>
      <w:r w:rsidRPr="001663AE">
        <w:t>2003</w:t>
      </w:r>
      <w:r w:rsidRPr="001663AE">
        <w:rPr>
          <w:rFonts w:hint="eastAsia"/>
        </w:rPr>
        <w:t>年</w:t>
      </w:r>
      <w:r w:rsidRPr="001663AE">
        <w:t>1</w:t>
      </w:r>
      <w:r w:rsidRPr="001663AE">
        <w:rPr>
          <w:rFonts w:hint="eastAsia"/>
        </w:rPr>
        <w:t>月。</w:t>
      </w:r>
    </w:p>
  </w:footnote>
  <w:footnote w:id="240">
    <w:p w14:paraId="2CC99585"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根據裴雪濤氏之研究，肝臟組織幹細胞之特徵，如下所述：</w:t>
      </w:r>
    </w:p>
    <w:p w14:paraId="4C79CDE2" w14:textId="77777777" w:rsidR="00CA23FA" w:rsidRPr="001663AE" w:rsidRDefault="00CA23FA" w:rsidP="00D87D91">
      <w:pPr>
        <w:pStyle w:val="3"/>
      </w:pPr>
      <w:r w:rsidRPr="001663AE">
        <w:t>1</w:t>
      </w:r>
      <w:r w:rsidRPr="001663AE">
        <w:rPr>
          <w:rFonts w:hint="eastAsia"/>
        </w:rPr>
        <w:t>、在胎鼠和新生鼠肝細胞的長期初代培養過程中，發現肝臟組織幹細胞的一些特殊的亞型；</w:t>
      </w:r>
    </w:p>
    <w:p w14:paraId="77DC2446" w14:textId="77777777" w:rsidR="00CA23FA" w:rsidRPr="001663AE" w:rsidRDefault="00CA23FA" w:rsidP="00D87D91">
      <w:pPr>
        <w:pStyle w:val="3"/>
      </w:pPr>
      <w:r w:rsidRPr="001663AE">
        <w:t>2</w:t>
      </w:r>
      <w:r w:rsidRPr="001663AE">
        <w:rPr>
          <w:rFonts w:hint="eastAsia"/>
        </w:rPr>
        <w:t>、成年鼠肝臟組織中，亦有幹細胞存在；</w:t>
      </w:r>
    </w:p>
    <w:p w14:paraId="53689514" w14:textId="77777777" w:rsidR="00CA23FA" w:rsidRPr="001663AE" w:rsidRDefault="00CA23FA" w:rsidP="00D87D91">
      <w:pPr>
        <w:pStyle w:val="3"/>
      </w:pPr>
      <w:r w:rsidRPr="001663AE">
        <w:t>3</w:t>
      </w:r>
      <w:r w:rsidRPr="001663AE">
        <w:rPr>
          <w:rFonts w:hint="eastAsia"/>
        </w:rPr>
        <w:t>、胎鼠、新生鼠、成年鼠肝臟組織幹細胞經過六十九次傳代後，仍具有向肝細胞分化的潛能；</w:t>
      </w:r>
    </w:p>
    <w:p w14:paraId="6E2BFFA6" w14:textId="77777777" w:rsidR="00CA23FA" w:rsidRPr="001663AE" w:rsidRDefault="00CA23FA" w:rsidP="00D87D91">
      <w:pPr>
        <w:pStyle w:val="3"/>
      </w:pPr>
      <w:r w:rsidRPr="001663AE">
        <w:t>4</w:t>
      </w:r>
      <w:r w:rsidRPr="001663AE">
        <w:rPr>
          <w:rFonts w:hint="eastAsia"/>
        </w:rPr>
        <w:t>、高度增殖的卵形細胞，可分化成：肝細胞和膽管細胞譜系的細胞。</w:t>
      </w:r>
    </w:p>
    <w:p w14:paraId="28FB65E9" w14:textId="77777777" w:rsidR="00CA23FA" w:rsidRPr="001663AE" w:rsidRDefault="00CA23FA" w:rsidP="00D87D91">
      <w:pPr>
        <w:pStyle w:val="3"/>
      </w:pPr>
      <w:r w:rsidRPr="001663AE">
        <w:rPr>
          <w:rFonts w:hint="eastAsia"/>
        </w:rPr>
        <w:t>以上，請參閱：裴雪濤主編，路光予校訂，幹細胞技術，五南圖書出版公司，</w:t>
      </w:r>
      <w:r w:rsidRPr="001663AE">
        <w:t>2003</w:t>
      </w:r>
      <w:r w:rsidRPr="001663AE">
        <w:rPr>
          <w:rFonts w:hint="eastAsia"/>
        </w:rPr>
        <w:t>年</w:t>
      </w:r>
      <w:r w:rsidRPr="001663AE">
        <w:t>1</w:t>
      </w:r>
      <w:r w:rsidRPr="001663AE">
        <w:rPr>
          <w:rFonts w:hint="eastAsia"/>
        </w:rPr>
        <w:t>月。</w:t>
      </w:r>
    </w:p>
  </w:footnote>
  <w:footnote w:id="241">
    <w:p w14:paraId="4F8176FB" w14:textId="77777777" w:rsidR="00CA23FA" w:rsidRPr="001663AE" w:rsidRDefault="00CA23FA" w:rsidP="00670577">
      <w:pPr>
        <w:pStyle w:val="3"/>
        <w:jc w:val="left"/>
      </w:pPr>
      <w:r w:rsidRPr="001663AE">
        <w:rPr>
          <w:rStyle w:val="af3"/>
          <w:rFonts w:ascii="新細明體" w:hAnsi="新細明體"/>
        </w:rPr>
        <w:footnoteRef/>
      </w:r>
      <w:r w:rsidRPr="001663AE">
        <w:rPr>
          <w:rFonts w:hint="eastAsia"/>
        </w:rPr>
        <w:t>文匯報</w:t>
      </w:r>
      <w:r w:rsidRPr="001663AE">
        <w:rPr>
          <w:rFonts w:hint="eastAsia"/>
        </w:rPr>
        <w:t>(2011)</w:t>
      </w:r>
      <w:r w:rsidRPr="001663AE">
        <w:rPr>
          <w:rFonts w:hint="eastAsia"/>
        </w:rPr>
        <w:t>，</w:t>
      </w:r>
      <w:r w:rsidRPr="001663AE">
        <w:rPr>
          <w:rFonts w:hint="eastAsia"/>
        </w:rPr>
        <w:t>Gearhart J. et al.(2007). NEJM, 357:1467-70.</w:t>
      </w:r>
      <w:r w:rsidRPr="001663AE">
        <w:rPr>
          <w:rFonts w:hint="eastAsia"/>
        </w:rPr>
        <w:t>，</w:t>
      </w:r>
      <w:r w:rsidRPr="001663AE">
        <w:rPr>
          <w:rFonts w:hint="eastAsia"/>
          <w:spacing w:val="30"/>
        </w:rPr>
        <w:t>人工誘導萬能幹細胞，上網瀏覽時間：</w:t>
      </w:r>
      <w:r w:rsidRPr="001663AE">
        <w:rPr>
          <w:rFonts w:hint="eastAsia"/>
          <w:spacing w:val="30"/>
        </w:rPr>
        <w:t>2015/06/29</w:t>
      </w:r>
      <w:r w:rsidRPr="001663AE">
        <w:rPr>
          <w:rFonts w:hint="eastAsia"/>
          <w:spacing w:val="30"/>
        </w:rPr>
        <w:t>，</w:t>
      </w:r>
      <w:hyperlink r:id="rId83" w:history="1">
        <w:r w:rsidRPr="001663AE">
          <w:rPr>
            <w:rStyle w:val="a5"/>
            <w:spacing w:val="30"/>
          </w:rPr>
          <w:t>http://paper.wenweipo.com/2011/01/14/HK1101140009.htm</w:t>
        </w:r>
      </w:hyperlink>
      <w:r w:rsidRPr="001663AE">
        <w:rPr>
          <w:spacing w:val="30"/>
        </w:rPr>
        <w:t>。</w:t>
      </w:r>
    </w:p>
  </w:footnote>
  <w:footnote w:id="242">
    <w:p w14:paraId="34BE6522" w14:textId="77777777" w:rsidR="00CA23FA" w:rsidRPr="001663AE" w:rsidRDefault="00CA23FA" w:rsidP="00670577">
      <w:pPr>
        <w:pStyle w:val="3"/>
        <w:jc w:val="left"/>
        <w:rPr>
          <w:lang w:val="en"/>
        </w:rPr>
      </w:pPr>
      <w:r w:rsidRPr="001663AE">
        <w:rPr>
          <w:rStyle w:val="af3"/>
          <w:rFonts w:ascii="新細明體" w:hAnsi="新細明體"/>
        </w:rPr>
        <w:footnoteRef/>
      </w:r>
      <w:r w:rsidRPr="001663AE">
        <w:t xml:space="preserve"> </w:t>
      </w:r>
      <w:r w:rsidRPr="001663AE">
        <w:rPr>
          <w:lang w:val="en"/>
        </w:rPr>
        <w:t>Stem cells(2013)</w:t>
      </w:r>
      <w:r w:rsidRPr="001663AE">
        <w:rPr>
          <w:rFonts w:hint="eastAsia"/>
          <w:lang w:val="en"/>
        </w:rPr>
        <w:t>，</w:t>
      </w:r>
      <w:r w:rsidRPr="001663AE">
        <w:rPr>
          <w:lang w:val="en"/>
        </w:rPr>
        <w:t>Wikipedia</w:t>
      </w:r>
      <w:r w:rsidRPr="001663AE">
        <w:rPr>
          <w:rFonts w:hint="eastAsia"/>
          <w:lang w:val="en"/>
        </w:rPr>
        <w:t>，</w:t>
      </w:r>
      <w:hyperlink r:id="rId84" w:history="1">
        <w:r w:rsidRPr="001663AE">
          <w:rPr>
            <w:rStyle w:val="a5"/>
            <w:lang w:val="en"/>
          </w:rPr>
          <w:t>http://en.wikipedia.org/wiki/Stem_cell</w:t>
        </w:r>
      </w:hyperlink>
      <w:r w:rsidRPr="001663AE">
        <w:rPr>
          <w:rFonts w:hint="eastAsia"/>
          <w:lang w:val="en"/>
        </w:rPr>
        <w:t>。</w:t>
      </w:r>
    </w:p>
    <w:p w14:paraId="073A9D0D" w14:textId="77777777" w:rsidR="00CA23FA" w:rsidRPr="001663AE" w:rsidRDefault="00CA23FA" w:rsidP="00670577">
      <w:pPr>
        <w:pStyle w:val="3"/>
        <w:jc w:val="left"/>
      </w:pPr>
      <w:r w:rsidRPr="001663AE">
        <w:rPr>
          <w:rFonts w:hint="eastAsia"/>
          <w:lang w:val="en"/>
        </w:rPr>
        <w:t>人工多能幹細胞，維基百科，</w:t>
      </w:r>
      <w:hyperlink r:id="rId85" w:history="1">
        <w:r w:rsidRPr="001663AE">
          <w:rPr>
            <w:rStyle w:val="a5"/>
          </w:rPr>
          <w:t>http://zh.wikipedia.org/wiki/%E4%BA%BA%E5%B7%A5%E5%A4%9A%E8%83%BD%E5%B9%B2%E7%BB%86%E8%83%9E</w:t>
        </w:r>
      </w:hyperlink>
      <w:r w:rsidRPr="001663AE">
        <w:rPr>
          <w:rFonts w:hint="eastAsia"/>
        </w:rPr>
        <w:t>。</w:t>
      </w:r>
    </w:p>
  </w:footnote>
  <w:footnote w:id="243">
    <w:p w14:paraId="6EA7AB13" w14:textId="77777777" w:rsidR="00CA23FA" w:rsidRPr="001663AE" w:rsidRDefault="00CA23FA" w:rsidP="00670577">
      <w:pPr>
        <w:pStyle w:val="3"/>
        <w:jc w:val="left"/>
      </w:pPr>
      <w:r w:rsidRPr="001663AE">
        <w:rPr>
          <w:rStyle w:val="af3"/>
          <w:rFonts w:ascii="新細明體" w:hAnsi="新細明體"/>
          <w:szCs w:val="20"/>
        </w:rPr>
        <w:footnoteRef/>
      </w:r>
      <w:r w:rsidRPr="001663AE">
        <w:rPr>
          <w:rFonts w:hint="eastAsia"/>
        </w:rPr>
        <w:t>歐洲人權法院拒絕胚胎有人權，</w:t>
      </w:r>
    </w:p>
    <w:p w14:paraId="315AF050" w14:textId="77777777" w:rsidR="00CA23FA" w:rsidRPr="001663AE" w:rsidRDefault="00076467" w:rsidP="00670577">
      <w:pPr>
        <w:pStyle w:val="3"/>
        <w:jc w:val="left"/>
      </w:pPr>
      <w:hyperlink r:id="rId86" w:history="1">
        <w:r w:rsidR="00CA23FA" w:rsidRPr="001663AE">
          <w:rPr>
            <w:rStyle w:val="a5"/>
          </w:rPr>
          <w:t>http://www.religiousconsultation.org/News_Tracker/European_court_denies_fetus_rights_ruling.htm</w:t>
        </w:r>
      </w:hyperlink>
      <w:r w:rsidR="00CA23FA" w:rsidRPr="001663AE">
        <w:rPr>
          <w:rFonts w:hint="eastAsia"/>
        </w:rPr>
        <w:t>。</w:t>
      </w:r>
    </w:p>
  </w:footnote>
  <w:footnote w:id="244">
    <w:p w14:paraId="08C20302" w14:textId="77777777" w:rsidR="00CA23FA" w:rsidRPr="001663AE" w:rsidRDefault="00CA23FA" w:rsidP="00670577">
      <w:pPr>
        <w:pStyle w:val="3"/>
        <w:jc w:val="left"/>
      </w:pPr>
      <w:r w:rsidRPr="001663AE">
        <w:rPr>
          <w:rStyle w:val="af3"/>
          <w:rFonts w:ascii="新細明體" w:hAnsi="新細明體"/>
          <w:szCs w:val="20"/>
        </w:rPr>
        <w:footnoteRef/>
      </w:r>
      <w:r w:rsidRPr="001663AE">
        <w:rPr>
          <w:rFonts w:hint="eastAsia"/>
        </w:rPr>
        <w:t>歐洲人權法院拒絕胚胎有人權，</w:t>
      </w:r>
    </w:p>
    <w:p w14:paraId="15FA2451" w14:textId="77777777" w:rsidR="00CA23FA" w:rsidRPr="001663AE" w:rsidRDefault="00076467" w:rsidP="00670577">
      <w:pPr>
        <w:pStyle w:val="3"/>
        <w:jc w:val="left"/>
      </w:pPr>
      <w:hyperlink r:id="rId87" w:history="1">
        <w:r w:rsidR="00CA23FA" w:rsidRPr="001663AE">
          <w:rPr>
            <w:rStyle w:val="a5"/>
          </w:rPr>
          <w:t>http://www.religiousconsultation.org/News_Tracker/European_court_denies_fetus_rights_ruling.htm</w:t>
        </w:r>
      </w:hyperlink>
      <w:r w:rsidR="00CA23FA" w:rsidRPr="001663AE">
        <w:rPr>
          <w:rFonts w:hint="eastAsia"/>
        </w:rPr>
        <w:t>。</w:t>
      </w:r>
    </w:p>
  </w:footnote>
  <w:footnote w:id="245">
    <w:p w14:paraId="385000EE" w14:textId="77777777" w:rsidR="00CA23FA" w:rsidRPr="001663AE" w:rsidRDefault="00CA23FA" w:rsidP="00670577">
      <w:pPr>
        <w:pStyle w:val="3"/>
        <w:jc w:val="left"/>
      </w:pPr>
      <w:r w:rsidRPr="001663AE">
        <w:rPr>
          <w:rStyle w:val="af3"/>
          <w:rFonts w:ascii="新細明體" w:hAnsi="新細明體"/>
          <w:szCs w:val="20"/>
        </w:rPr>
        <w:footnoteRef/>
      </w:r>
      <w:r w:rsidRPr="001663AE">
        <w:rPr>
          <w:rFonts w:hint="eastAsia"/>
        </w:rPr>
        <w:t>歐洲人權法院拒絕胚胎有人權，</w:t>
      </w:r>
    </w:p>
    <w:p w14:paraId="70408B91" w14:textId="77777777" w:rsidR="00CA23FA" w:rsidRPr="001663AE" w:rsidRDefault="00076467" w:rsidP="00670577">
      <w:pPr>
        <w:pStyle w:val="3"/>
        <w:jc w:val="left"/>
      </w:pPr>
      <w:hyperlink r:id="rId88" w:history="1">
        <w:r w:rsidR="00CA23FA" w:rsidRPr="001663AE">
          <w:rPr>
            <w:rStyle w:val="a5"/>
          </w:rPr>
          <w:t>http://www.religiousconsultation.org/News_Tracker/European_court_denies_fetus_rights_ruling.htm</w:t>
        </w:r>
      </w:hyperlink>
      <w:r w:rsidR="00CA23FA" w:rsidRPr="001663AE">
        <w:rPr>
          <w:rFonts w:hint="eastAsia"/>
        </w:rPr>
        <w:t>。</w:t>
      </w:r>
    </w:p>
  </w:footnote>
  <w:footnote w:id="246">
    <w:p w14:paraId="77372319" w14:textId="77777777" w:rsidR="00CA23FA" w:rsidRPr="001663AE" w:rsidRDefault="00CA23FA" w:rsidP="00670577">
      <w:pPr>
        <w:pStyle w:val="3"/>
        <w:jc w:val="left"/>
      </w:pPr>
      <w:r w:rsidRPr="001663AE">
        <w:rPr>
          <w:rStyle w:val="af3"/>
          <w:rFonts w:ascii="新細明體" w:hAnsi="新細明體"/>
          <w:szCs w:val="20"/>
        </w:rPr>
        <w:footnoteRef/>
      </w:r>
      <w:r w:rsidRPr="001663AE">
        <w:rPr>
          <w:rFonts w:hint="eastAsia"/>
        </w:rPr>
        <w:t>歐洲人權法院拒絕胚胎有人權，</w:t>
      </w:r>
    </w:p>
    <w:p w14:paraId="194A65CE" w14:textId="77777777" w:rsidR="00CA23FA" w:rsidRPr="001663AE" w:rsidRDefault="00076467" w:rsidP="00670577">
      <w:pPr>
        <w:pStyle w:val="3"/>
        <w:jc w:val="left"/>
      </w:pPr>
      <w:hyperlink r:id="rId89" w:history="1">
        <w:r w:rsidR="00CA23FA" w:rsidRPr="001663AE">
          <w:rPr>
            <w:rStyle w:val="a5"/>
          </w:rPr>
          <w:t>http://www.religiousconsultation.org/News_Tracker/European_court_denies_fetus_rights_ruling.htm</w:t>
        </w:r>
      </w:hyperlink>
      <w:r w:rsidR="00CA23FA" w:rsidRPr="001663AE">
        <w:rPr>
          <w:rFonts w:hint="eastAsia"/>
        </w:rPr>
        <w:t>。</w:t>
      </w:r>
    </w:p>
  </w:footnote>
  <w:footnote w:id="247">
    <w:p w14:paraId="56303CB8" w14:textId="77777777" w:rsidR="00CA23FA" w:rsidRPr="001663AE" w:rsidRDefault="00CA23FA" w:rsidP="00670577">
      <w:pPr>
        <w:pStyle w:val="3"/>
        <w:jc w:val="left"/>
      </w:pPr>
      <w:r w:rsidRPr="001663AE">
        <w:rPr>
          <w:rStyle w:val="af3"/>
          <w:rFonts w:ascii="新細明體" w:hAnsi="新細明體"/>
          <w:szCs w:val="20"/>
        </w:rPr>
        <w:footnoteRef/>
      </w:r>
      <w:r w:rsidRPr="001663AE">
        <w:t xml:space="preserve"> </w:t>
      </w:r>
      <w:hyperlink r:id="rId90" w:history="1">
        <w:r w:rsidRPr="001663AE">
          <w:rPr>
            <w:rStyle w:val="a5"/>
            <w:szCs w:val="20"/>
          </w:rPr>
          <w:t>http://news.webs-tv.net/trackback/375901</w:t>
        </w:r>
      </w:hyperlink>
      <w:r w:rsidRPr="001663AE">
        <w:rPr>
          <w:rFonts w:hint="eastAsia"/>
        </w:rPr>
        <w:t>。</w:t>
      </w:r>
    </w:p>
    <w:p w14:paraId="1396311E" w14:textId="77777777" w:rsidR="00CA23FA" w:rsidRPr="001663AE" w:rsidRDefault="00076467" w:rsidP="00670577">
      <w:pPr>
        <w:pStyle w:val="3"/>
        <w:jc w:val="left"/>
      </w:pPr>
      <w:hyperlink r:id="rId91" w:history="1">
        <w:r w:rsidR="00CA23FA" w:rsidRPr="001663AE">
          <w:rPr>
            <w:rStyle w:val="a5"/>
            <w:szCs w:val="20"/>
          </w:rPr>
          <w:t>http://news.webs-tv.net/index.php?category=9&amp;channel=9&amp;show=375901</w:t>
        </w:r>
      </w:hyperlink>
      <w:r w:rsidR="00CA23FA" w:rsidRPr="001663AE">
        <w:rPr>
          <w:rFonts w:hint="eastAsia"/>
        </w:rPr>
        <w:t>。</w:t>
      </w:r>
    </w:p>
    <w:p w14:paraId="03E71050" w14:textId="77777777" w:rsidR="00CA23FA" w:rsidRPr="001663AE" w:rsidRDefault="00CA23FA" w:rsidP="00670577">
      <w:pPr>
        <w:pStyle w:val="3"/>
        <w:jc w:val="left"/>
      </w:pPr>
      <w:r w:rsidRPr="001663AE">
        <w:t>2006-03-09 00:00</w:t>
      </w:r>
      <w:r w:rsidRPr="001663AE">
        <w:rPr>
          <w:rFonts w:hint="eastAsia"/>
        </w:rPr>
        <w:t>。</w:t>
      </w:r>
    </w:p>
  </w:footnote>
  <w:footnote w:id="248">
    <w:p w14:paraId="52697A52" w14:textId="77777777" w:rsidR="00CA23FA" w:rsidRPr="001663AE" w:rsidRDefault="00CA23FA" w:rsidP="00D87D91">
      <w:pPr>
        <w:pStyle w:val="3"/>
      </w:pPr>
      <w:r w:rsidRPr="001663AE">
        <w:rPr>
          <w:rStyle w:val="af3"/>
          <w:rFonts w:ascii="新細明體" w:hAnsi="新細明體"/>
        </w:rPr>
        <w:footnoteRef/>
      </w:r>
      <w:r w:rsidRPr="001663AE">
        <w:rPr>
          <w:rFonts w:hint="eastAsia"/>
        </w:rPr>
        <w:t>釋昭慧，幹細胞研究的佛法反省</w:t>
      </w:r>
      <w:r w:rsidRPr="001663AE">
        <w:t>─</w:t>
      </w:r>
      <w:r w:rsidRPr="001663AE">
        <w:rPr>
          <w:rFonts w:hint="eastAsia"/>
        </w:rPr>
        <w:t>以黃禹錫事件為例</w:t>
      </w:r>
      <w:r w:rsidRPr="001663AE">
        <w:t>(Buddhistical reflection on the stem cell researches: the Woo Suk Hwang event as an example)</w:t>
      </w:r>
      <w:r w:rsidRPr="001663AE">
        <w:rPr>
          <w:rFonts w:hint="eastAsia"/>
        </w:rPr>
        <w:t>，弘誓雙月刊，</w:t>
      </w:r>
      <w:r w:rsidRPr="001663AE">
        <w:t>79</w:t>
      </w:r>
      <w:r w:rsidRPr="001663AE">
        <w:rPr>
          <w:rFonts w:hint="eastAsia"/>
        </w:rPr>
        <w:t>期，</w:t>
      </w:r>
      <w:r w:rsidRPr="001663AE">
        <w:t>2006/02</w:t>
      </w:r>
      <w:r w:rsidRPr="001663AE">
        <w:rPr>
          <w:rFonts w:hint="eastAsia"/>
        </w:rPr>
        <w:t>。</w:t>
      </w:r>
      <w:hyperlink r:id="rId92" w:history="1">
        <w:r w:rsidRPr="001663AE">
          <w:rPr>
            <w:rStyle w:val="a5"/>
          </w:rPr>
          <w:t>http://www.awker.com/hongshi/mag/79/79-1.htm</w:t>
        </w:r>
      </w:hyperlink>
      <w:r w:rsidRPr="001663AE">
        <w:rPr>
          <w:rFonts w:hint="eastAsia"/>
        </w:rPr>
        <w:t>。</w:t>
      </w:r>
    </w:p>
  </w:footnote>
  <w:footnote w:id="249">
    <w:p w14:paraId="33866A8A" w14:textId="77777777" w:rsidR="00CA23FA" w:rsidRPr="001663AE" w:rsidRDefault="00CA23FA" w:rsidP="00D87D91">
      <w:pPr>
        <w:pStyle w:val="3"/>
      </w:pPr>
      <w:r w:rsidRPr="001663AE">
        <w:rPr>
          <w:rStyle w:val="af3"/>
          <w:rFonts w:ascii="新細明體" w:hAnsi="新細明體"/>
        </w:rPr>
        <w:footnoteRef/>
      </w:r>
      <w:r w:rsidRPr="001663AE">
        <w:rPr>
          <w:rFonts w:hint="eastAsia"/>
        </w:rPr>
        <w:t>《梵網經菩薩戒本疏》第四，大正四十</w:t>
      </w:r>
      <w:r w:rsidRPr="001663AE">
        <w:t>‧629c</w:t>
      </w:r>
      <w:r w:rsidRPr="001663AE">
        <w:rPr>
          <w:rFonts w:hint="eastAsia"/>
        </w:rPr>
        <w:t>～</w:t>
      </w:r>
      <w:r w:rsidRPr="001663AE">
        <w:t>630a)]</w:t>
      </w:r>
      <w:r w:rsidRPr="001663AE">
        <w:rPr>
          <w:rFonts w:hint="eastAsia"/>
        </w:rPr>
        <w:t>。釋慈廣，從桃莉羊到複製人的倫理困惑</w:t>
      </w:r>
      <w:r>
        <w:t>〜</w:t>
      </w:r>
      <w:r w:rsidRPr="001663AE">
        <w:rPr>
          <w:rFonts w:hint="eastAsia"/>
        </w:rPr>
        <w:t>佛教倫理觀點的省思（上）</w:t>
      </w:r>
      <w:r w:rsidRPr="001663AE">
        <w:t>(</w:t>
      </w:r>
      <w:r w:rsidRPr="001663AE">
        <w:rPr>
          <w:rFonts w:hint="eastAsia"/>
        </w:rPr>
        <w:t>下</w:t>
      </w:r>
      <w:r w:rsidRPr="001663AE">
        <w:t>)</w:t>
      </w:r>
      <w:r w:rsidRPr="001663AE">
        <w:rPr>
          <w:rFonts w:hint="eastAsia"/>
        </w:rPr>
        <w:t>，海潮音第</w:t>
      </w:r>
      <w:r w:rsidRPr="001663AE">
        <w:t>85</w:t>
      </w:r>
      <w:r w:rsidRPr="001663AE">
        <w:rPr>
          <w:rFonts w:hint="eastAsia"/>
        </w:rPr>
        <w:t>卷</w:t>
      </w:r>
      <w:r w:rsidRPr="001663AE">
        <w:t>/</w:t>
      </w:r>
      <w:r w:rsidRPr="001663AE">
        <w:rPr>
          <w:rFonts w:hint="eastAsia"/>
        </w:rPr>
        <w:t>第</w:t>
      </w:r>
      <w:r w:rsidRPr="001663AE">
        <w:t>2</w:t>
      </w:r>
      <w:r w:rsidRPr="001663AE">
        <w:rPr>
          <w:rFonts w:hint="eastAsia"/>
        </w:rPr>
        <w:t>期，民國</w:t>
      </w:r>
      <w:r w:rsidRPr="001663AE">
        <w:t>93</w:t>
      </w:r>
      <w:r w:rsidRPr="001663AE">
        <w:rPr>
          <w:rFonts w:hint="eastAsia"/>
        </w:rPr>
        <w:t>年</w:t>
      </w:r>
      <w:r w:rsidRPr="001663AE">
        <w:t>2</w:t>
      </w:r>
      <w:r w:rsidRPr="001663AE">
        <w:rPr>
          <w:rFonts w:hint="eastAsia"/>
        </w:rPr>
        <w:t>月、</w:t>
      </w:r>
      <w:r w:rsidRPr="001663AE">
        <w:t>3</w:t>
      </w:r>
      <w:r w:rsidRPr="001663AE">
        <w:rPr>
          <w:rFonts w:hint="eastAsia"/>
        </w:rPr>
        <w:t>月。</w:t>
      </w:r>
      <w:hyperlink r:id="rId93" w:history="1">
        <w:r w:rsidRPr="001663AE">
          <w:rPr>
            <w:rStyle w:val="a5"/>
          </w:rPr>
          <w:t>http://www.awker.com/ethics/data/data041030.htm</w:t>
        </w:r>
      </w:hyperlink>
      <w:r w:rsidRPr="001663AE">
        <w:rPr>
          <w:rFonts w:hint="eastAsia"/>
        </w:rPr>
        <w:t>。</w:t>
      </w:r>
    </w:p>
  </w:footnote>
  <w:footnote w:id="250">
    <w:p w14:paraId="46B2064D" w14:textId="77777777" w:rsidR="00CA23FA" w:rsidRPr="001663AE" w:rsidRDefault="00CA23FA" w:rsidP="00D87D91">
      <w:pPr>
        <w:pStyle w:val="3"/>
      </w:pPr>
      <w:r w:rsidRPr="001663AE">
        <w:rPr>
          <w:rStyle w:val="af3"/>
          <w:rFonts w:ascii="新細明體" w:hAnsi="新細明體"/>
        </w:rPr>
        <w:footnoteRef/>
      </w:r>
      <w:r w:rsidRPr="001663AE">
        <w:rPr>
          <w:rFonts w:hint="eastAsia"/>
        </w:rPr>
        <w:t>釋慈廣，從桃莉羊到複製人的倫理困惑</w:t>
      </w:r>
      <w:r>
        <w:t>〜</w:t>
      </w:r>
      <w:r w:rsidRPr="001663AE">
        <w:rPr>
          <w:rFonts w:hint="eastAsia"/>
        </w:rPr>
        <w:t>佛教倫理觀點的省思（上）</w:t>
      </w:r>
      <w:r w:rsidRPr="001663AE">
        <w:t>(</w:t>
      </w:r>
      <w:r w:rsidRPr="001663AE">
        <w:rPr>
          <w:rFonts w:hint="eastAsia"/>
        </w:rPr>
        <w:t>下</w:t>
      </w:r>
      <w:r w:rsidRPr="001663AE">
        <w:t>)</w:t>
      </w:r>
      <w:r w:rsidRPr="001663AE">
        <w:rPr>
          <w:rFonts w:hint="eastAsia"/>
        </w:rPr>
        <w:t>，海潮音第</w:t>
      </w:r>
      <w:r w:rsidRPr="001663AE">
        <w:t>85</w:t>
      </w:r>
      <w:r w:rsidRPr="001663AE">
        <w:rPr>
          <w:rFonts w:hint="eastAsia"/>
        </w:rPr>
        <w:t>卷</w:t>
      </w:r>
      <w:r w:rsidRPr="001663AE">
        <w:t>/</w:t>
      </w:r>
      <w:r w:rsidRPr="001663AE">
        <w:rPr>
          <w:rFonts w:hint="eastAsia"/>
        </w:rPr>
        <w:t>第</w:t>
      </w:r>
      <w:r w:rsidRPr="001663AE">
        <w:t>2</w:t>
      </w:r>
      <w:r w:rsidRPr="001663AE">
        <w:rPr>
          <w:rFonts w:hint="eastAsia"/>
        </w:rPr>
        <w:t>期，民國</w:t>
      </w:r>
      <w:r w:rsidRPr="001663AE">
        <w:t>93</w:t>
      </w:r>
      <w:r w:rsidRPr="001663AE">
        <w:rPr>
          <w:rFonts w:hint="eastAsia"/>
        </w:rPr>
        <w:t>年</w:t>
      </w:r>
      <w:r w:rsidRPr="001663AE">
        <w:t>2</w:t>
      </w:r>
      <w:r w:rsidRPr="001663AE">
        <w:rPr>
          <w:rFonts w:hint="eastAsia"/>
        </w:rPr>
        <w:t>月、</w:t>
      </w:r>
      <w:r w:rsidRPr="001663AE">
        <w:t>3</w:t>
      </w:r>
      <w:r w:rsidRPr="001663AE">
        <w:rPr>
          <w:rFonts w:hint="eastAsia"/>
        </w:rPr>
        <w:t>月。</w:t>
      </w:r>
      <w:hyperlink r:id="rId94" w:history="1">
        <w:r w:rsidRPr="001663AE">
          <w:rPr>
            <w:rStyle w:val="a5"/>
          </w:rPr>
          <w:t>http://www.awker.com/ethics/data/data041030.htm</w:t>
        </w:r>
      </w:hyperlink>
      <w:r w:rsidRPr="001663AE">
        <w:rPr>
          <w:rFonts w:hint="eastAsia"/>
        </w:rPr>
        <w:t>。</w:t>
      </w:r>
    </w:p>
  </w:footnote>
  <w:footnote w:id="251">
    <w:p w14:paraId="36A88D77" w14:textId="77777777" w:rsidR="00CA23FA" w:rsidRPr="001663AE" w:rsidRDefault="00CA23FA" w:rsidP="00EE39EE">
      <w:pPr>
        <w:pStyle w:val="3"/>
        <w:jc w:val="left"/>
      </w:pPr>
      <w:r w:rsidRPr="001663AE">
        <w:rPr>
          <w:rStyle w:val="af3"/>
          <w:rFonts w:ascii="新細明體" w:hAnsi="新細明體"/>
        </w:rPr>
        <w:footnoteRef/>
      </w:r>
      <w:r w:rsidRPr="001663AE">
        <w:rPr>
          <w:rFonts w:cs="Helvetica"/>
        </w:rPr>
        <w:t>黃俊儒</w:t>
      </w:r>
      <w:r w:rsidRPr="001663AE">
        <w:rPr>
          <w:rFonts w:hint="eastAsia"/>
        </w:rPr>
        <w:t xml:space="preserve"> </w:t>
      </w:r>
      <w:r w:rsidRPr="001663AE">
        <w:rPr>
          <w:rFonts w:hint="eastAsia"/>
        </w:rPr>
        <w:t>，</w:t>
      </w:r>
      <w:r w:rsidRPr="001663AE">
        <w:rPr>
          <w:rFonts w:cs="Helvetica"/>
        </w:rPr>
        <w:t>桃莉複製羊的流程圖</w:t>
      </w:r>
      <w:r w:rsidRPr="001663AE">
        <w:t>，</w:t>
      </w:r>
      <w:r w:rsidRPr="001663AE">
        <w:rPr>
          <w:rFonts w:hint="eastAsia"/>
        </w:rPr>
        <w:t>上網瀏覽時間：</w:t>
      </w:r>
      <w:r w:rsidRPr="001663AE">
        <w:rPr>
          <w:rFonts w:hint="eastAsia"/>
        </w:rPr>
        <w:t>2015/06/29</w:t>
      </w:r>
      <w:r w:rsidRPr="001663AE">
        <w:rPr>
          <w:rFonts w:hint="eastAsia"/>
        </w:rPr>
        <w:t>，</w:t>
      </w:r>
      <w:r w:rsidRPr="001663AE">
        <w:t>http://get.aca.ntu.edu.tw/getcdb/handle/getcdb/308163</w:t>
      </w:r>
      <w:r w:rsidRPr="001663AE">
        <w:t>。</w:t>
      </w:r>
    </w:p>
  </w:footnote>
  <w:footnote w:id="252">
    <w:p w14:paraId="7B47F1BB" w14:textId="77777777" w:rsidR="00CA23FA" w:rsidRPr="001663AE" w:rsidRDefault="00CA23FA" w:rsidP="00EE39EE">
      <w:pPr>
        <w:pStyle w:val="3"/>
        <w:jc w:val="left"/>
      </w:pPr>
      <w:r w:rsidRPr="001663AE">
        <w:rPr>
          <w:rStyle w:val="af3"/>
          <w:rFonts w:ascii="新細明體" w:hAnsi="新細明體"/>
        </w:rPr>
        <w:footnoteRef/>
      </w:r>
      <w:r w:rsidRPr="001663AE">
        <w:rPr>
          <w:rFonts w:hint="eastAsia"/>
        </w:rPr>
        <w:t>釋慈廣，從桃莉羊到複製人的倫理困惑</w:t>
      </w:r>
      <w:r>
        <w:t>〜</w:t>
      </w:r>
      <w:r w:rsidRPr="001663AE">
        <w:rPr>
          <w:rFonts w:hint="eastAsia"/>
        </w:rPr>
        <w:t>佛教倫理觀點的省思（上）</w:t>
      </w:r>
      <w:r w:rsidRPr="001663AE">
        <w:t>(</w:t>
      </w:r>
      <w:r w:rsidRPr="001663AE">
        <w:rPr>
          <w:rFonts w:hint="eastAsia"/>
        </w:rPr>
        <w:t>下</w:t>
      </w:r>
      <w:r w:rsidRPr="001663AE">
        <w:t>)</w:t>
      </w:r>
      <w:r w:rsidRPr="001663AE">
        <w:rPr>
          <w:rFonts w:hint="eastAsia"/>
        </w:rPr>
        <w:t>，海潮音第</w:t>
      </w:r>
      <w:r w:rsidRPr="001663AE">
        <w:t>85</w:t>
      </w:r>
      <w:r w:rsidRPr="001663AE">
        <w:rPr>
          <w:rFonts w:hint="eastAsia"/>
        </w:rPr>
        <w:t>卷</w:t>
      </w:r>
      <w:r w:rsidRPr="001663AE">
        <w:t>/</w:t>
      </w:r>
      <w:r w:rsidRPr="001663AE">
        <w:rPr>
          <w:rFonts w:hint="eastAsia"/>
        </w:rPr>
        <w:t>第</w:t>
      </w:r>
      <w:r w:rsidRPr="001663AE">
        <w:t>2</w:t>
      </w:r>
      <w:r w:rsidRPr="001663AE">
        <w:rPr>
          <w:rFonts w:hint="eastAsia"/>
        </w:rPr>
        <w:t>期，民國</w:t>
      </w:r>
      <w:r w:rsidRPr="001663AE">
        <w:t>93</w:t>
      </w:r>
      <w:r w:rsidRPr="001663AE">
        <w:rPr>
          <w:rFonts w:hint="eastAsia"/>
        </w:rPr>
        <w:t>年</w:t>
      </w:r>
      <w:r w:rsidRPr="001663AE">
        <w:t>2</w:t>
      </w:r>
      <w:r w:rsidRPr="001663AE">
        <w:rPr>
          <w:rFonts w:hint="eastAsia"/>
        </w:rPr>
        <w:t>月、</w:t>
      </w:r>
      <w:r w:rsidRPr="001663AE">
        <w:t>3</w:t>
      </w:r>
      <w:r w:rsidRPr="001663AE">
        <w:rPr>
          <w:rFonts w:hint="eastAsia"/>
        </w:rPr>
        <w:t>月。</w:t>
      </w:r>
      <w:hyperlink r:id="rId95" w:history="1">
        <w:r w:rsidRPr="001663AE">
          <w:rPr>
            <w:rStyle w:val="a5"/>
          </w:rPr>
          <w:t>http://www.awker.com/ethics/data/data041030.htm</w:t>
        </w:r>
      </w:hyperlink>
      <w:r w:rsidRPr="001663AE">
        <w:rPr>
          <w:rFonts w:hint="eastAsia"/>
        </w:rPr>
        <w:t>。</w:t>
      </w:r>
    </w:p>
  </w:footnote>
  <w:footnote w:id="253">
    <w:p w14:paraId="12119B88" w14:textId="77777777" w:rsidR="00CA23FA" w:rsidRPr="001663AE" w:rsidRDefault="00CA23FA" w:rsidP="00EE39EE">
      <w:pPr>
        <w:pStyle w:val="3"/>
        <w:jc w:val="left"/>
      </w:pPr>
      <w:r w:rsidRPr="001663AE">
        <w:rPr>
          <w:rStyle w:val="af3"/>
          <w:rFonts w:ascii="新細明體" w:hAnsi="新細明體"/>
        </w:rPr>
        <w:footnoteRef/>
      </w:r>
      <w:r w:rsidRPr="001663AE">
        <w:rPr>
          <w:rFonts w:hint="eastAsia"/>
        </w:rPr>
        <w:t>釋慈廣，從桃莉羊到複製人的倫理困惑</w:t>
      </w:r>
      <w:r>
        <w:t>〜</w:t>
      </w:r>
      <w:r w:rsidRPr="001663AE">
        <w:rPr>
          <w:rFonts w:hint="eastAsia"/>
        </w:rPr>
        <w:t>佛教倫理觀點的省思（上）</w:t>
      </w:r>
      <w:r w:rsidRPr="001663AE">
        <w:t>(</w:t>
      </w:r>
      <w:r w:rsidRPr="001663AE">
        <w:rPr>
          <w:rFonts w:hint="eastAsia"/>
        </w:rPr>
        <w:t>下</w:t>
      </w:r>
      <w:r w:rsidRPr="001663AE">
        <w:t>)</w:t>
      </w:r>
      <w:r w:rsidRPr="001663AE">
        <w:rPr>
          <w:rFonts w:hint="eastAsia"/>
        </w:rPr>
        <w:t>，海潮音第</w:t>
      </w:r>
      <w:r w:rsidRPr="001663AE">
        <w:t>85</w:t>
      </w:r>
      <w:r w:rsidRPr="001663AE">
        <w:rPr>
          <w:rFonts w:hint="eastAsia"/>
        </w:rPr>
        <w:t>卷</w:t>
      </w:r>
      <w:r w:rsidRPr="001663AE">
        <w:t>/</w:t>
      </w:r>
      <w:r w:rsidRPr="001663AE">
        <w:rPr>
          <w:rFonts w:hint="eastAsia"/>
        </w:rPr>
        <w:t>第</w:t>
      </w:r>
      <w:r w:rsidRPr="001663AE">
        <w:t>2</w:t>
      </w:r>
      <w:r w:rsidRPr="001663AE">
        <w:rPr>
          <w:rFonts w:hint="eastAsia"/>
        </w:rPr>
        <w:t>期，民國</w:t>
      </w:r>
      <w:r w:rsidRPr="001663AE">
        <w:t>93</w:t>
      </w:r>
      <w:r w:rsidRPr="001663AE">
        <w:rPr>
          <w:rFonts w:hint="eastAsia"/>
        </w:rPr>
        <w:t>年</w:t>
      </w:r>
      <w:r w:rsidRPr="001663AE">
        <w:t>2</w:t>
      </w:r>
      <w:r w:rsidRPr="001663AE">
        <w:rPr>
          <w:rFonts w:hint="eastAsia"/>
        </w:rPr>
        <w:t>月、</w:t>
      </w:r>
      <w:r w:rsidRPr="001663AE">
        <w:t>3</w:t>
      </w:r>
      <w:r w:rsidRPr="001663AE">
        <w:rPr>
          <w:rFonts w:hint="eastAsia"/>
        </w:rPr>
        <w:t>月。</w:t>
      </w:r>
      <w:hyperlink r:id="rId96" w:history="1">
        <w:r w:rsidRPr="001663AE">
          <w:rPr>
            <w:rStyle w:val="a5"/>
          </w:rPr>
          <w:t>http://www.awker.com/ethics/data/data041030.htm</w:t>
        </w:r>
      </w:hyperlink>
      <w:r w:rsidRPr="001663AE">
        <w:rPr>
          <w:rFonts w:hint="eastAsia"/>
        </w:rPr>
        <w:t>。</w:t>
      </w:r>
    </w:p>
  </w:footnote>
  <w:footnote w:id="254">
    <w:p w14:paraId="488868FA" w14:textId="77777777" w:rsidR="00CA23FA" w:rsidRPr="001663AE" w:rsidRDefault="00CA23FA" w:rsidP="00D87D91">
      <w:pPr>
        <w:pStyle w:val="3"/>
      </w:pPr>
      <w:r w:rsidRPr="001663AE">
        <w:rPr>
          <w:rStyle w:val="af3"/>
          <w:rFonts w:ascii="新細明體" w:hAnsi="新細明體"/>
        </w:rPr>
        <w:footnoteRef/>
      </w:r>
      <w:r w:rsidRPr="001663AE">
        <w:rPr>
          <w:rFonts w:hint="eastAsia"/>
        </w:rPr>
        <w:t>見晉法師，誰創造了複製人？</w:t>
      </w:r>
      <w:r w:rsidRPr="001663AE">
        <w:rPr>
          <w:rFonts w:hint="eastAsia"/>
          <w:spacing w:val="-80"/>
        </w:rPr>
        <w:t>－</w:t>
      </w:r>
      <w:r w:rsidRPr="001663AE">
        <w:rPr>
          <w:rFonts w:hint="eastAsia"/>
        </w:rPr>
        <w:t>佛教的有情生命觀，</w:t>
      </w:r>
      <w:hyperlink r:id="rId97" w:history="1">
        <w:r w:rsidRPr="001663AE">
          <w:rPr>
            <w:rStyle w:val="a5"/>
          </w:rPr>
          <w:t>http://www.gaya.org.tw/hkbi/topic/topic4.htm</w:t>
        </w:r>
      </w:hyperlink>
      <w:r w:rsidRPr="001663AE">
        <w:rPr>
          <w:rFonts w:hint="eastAsia"/>
        </w:rPr>
        <w:t>。依據見晉法師之觀點，</w:t>
      </w:r>
      <w:r w:rsidRPr="001663AE">
        <w:rPr>
          <w:rFonts w:hint="eastAsia"/>
          <w:spacing w:val="20"/>
        </w:rPr>
        <w:t>佛法強調慈悲護生，愛護的對象包含有情、無情全體，但有輕重差別。有情生命中，以人類為主，任何傷害人類生命的行為，乃至傷害胚胎，在佛法中都是絕對禁止的。亦即，人類胚胎是屬於有情生命，禁止傷害人類胚胎。以上，是</w:t>
      </w:r>
      <w:r w:rsidRPr="001663AE">
        <w:rPr>
          <w:rFonts w:hint="eastAsia"/>
        </w:rPr>
        <w:t>見晉法師之觀點。</w:t>
      </w:r>
    </w:p>
  </w:footnote>
  <w:footnote w:id="255">
    <w:p w14:paraId="34301DFB" w14:textId="77777777" w:rsidR="00CA23FA" w:rsidRPr="001663AE" w:rsidRDefault="00CA23FA" w:rsidP="00D87D91">
      <w:pPr>
        <w:pStyle w:val="3"/>
      </w:pPr>
      <w:r w:rsidRPr="001663AE">
        <w:rPr>
          <w:rStyle w:val="af3"/>
          <w:rFonts w:ascii="新細明體" w:hAnsi="新細明體"/>
        </w:rPr>
        <w:footnoteRef/>
      </w:r>
      <w:r w:rsidRPr="001663AE">
        <w:rPr>
          <w:rFonts w:hint="eastAsia"/>
        </w:rPr>
        <w:t>釋昭慧</w:t>
      </w:r>
      <w:r w:rsidRPr="001663AE">
        <w:rPr>
          <w:rFonts w:hint="eastAsia"/>
        </w:rPr>
        <w:t>(2004)</w:t>
      </w:r>
      <w:r w:rsidRPr="001663AE">
        <w:rPr>
          <w:rFonts w:hint="eastAsia"/>
        </w:rPr>
        <w:t>，依佛法以觀人類胚胎</w:t>
      </w:r>
      <w:r w:rsidRPr="001663AE">
        <w:t>(</w:t>
      </w:r>
      <w:r w:rsidRPr="001663AE">
        <w:rPr>
          <w:rFonts w:hint="eastAsia"/>
        </w:rPr>
        <w:t>胎兒</w:t>
      </w:r>
      <w:r w:rsidRPr="001663AE">
        <w:t>)</w:t>
      </w:r>
      <w:r w:rsidRPr="001663AE">
        <w:rPr>
          <w:rFonts w:hint="eastAsia"/>
        </w:rPr>
        <w:t>的地位，《輔仁宗教研究》第十期</w:t>
      </w:r>
      <w:r w:rsidRPr="001663AE">
        <w:t>(2004</w:t>
      </w:r>
      <w:r w:rsidRPr="001663AE">
        <w:rPr>
          <w:rFonts w:hint="eastAsia"/>
        </w:rPr>
        <w:t>冬季號</w:t>
      </w:r>
      <w:r w:rsidRPr="001663AE">
        <w:t>)</w:t>
      </w:r>
      <w:r w:rsidRPr="001663AE">
        <w:t>。</w:t>
      </w:r>
    </w:p>
  </w:footnote>
  <w:footnote w:id="256">
    <w:p w14:paraId="34FAF3E3" w14:textId="77777777" w:rsidR="00CA23FA" w:rsidRPr="001663AE" w:rsidRDefault="00CA23FA" w:rsidP="00EE39EE">
      <w:pPr>
        <w:pStyle w:val="3"/>
        <w:jc w:val="left"/>
      </w:pPr>
      <w:r w:rsidRPr="001663AE">
        <w:rPr>
          <w:rStyle w:val="af3"/>
          <w:rFonts w:ascii="新細明體" w:hAnsi="新細明體"/>
        </w:rPr>
        <w:footnoteRef/>
      </w:r>
      <w:r w:rsidRPr="001663AE">
        <w:t xml:space="preserve"> The Visible Embryo(2015), The Visible Embryo, Retrieved January 06, 2015, from </w:t>
      </w:r>
      <w:hyperlink r:id="rId98" w:history="1">
        <w:r w:rsidRPr="001663AE">
          <w:rPr>
            <w:rStyle w:val="a5"/>
          </w:rPr>
          <w:t>http://www.visembryo.com/baby/index.html</w:t>
        </w:r>
      </w:hyperlink>
      <w:r w:rsidRPr="001663AE">
        <w:t xml:space="preserve">. </w:t>
      </w:r>
      <w:r w:rsidRPr="001663AE">
        <w:rPr>
          <w:rFonts w:hint="eastAsia"/>
        </w:rPr>
        <w:t>胚胎的成長歷程，共分為</w:t>
      </w:r>
      <w:r w:rsidRPr="001663AE">
        <w:t>23</w:t>
      </w:r>
      <w:r w:rsidRPr="001663AE">
        <w:rPr>
          <w:rFonts w:hint="eastAsia"/>
        </w:rPr>
        <w:t>階段</w:t>
      </w:r>
      <w:r w:rsidRPr="001663AE">
        <w:t>(This spiral represents the 23 stages occurring in the first trimester of pregnancy)</w:t>
      </w:r>
      <w:r w:rsidRPr="001663AE">
        <w:rPr>
          <w:rFonts w:hint="eastAsia"/>
        </w:rPr>
        <w:t>，計</w:t>
      </w:r>
      <w:r w:rsidRPr="001663AE">
        <w:t>40</w:t>
      </w:r>
      <w:r w:rsidRPr="001663AE">
        <w:rPr>
          <w:rFonts w:hint="eastAsia"/>
        </w:rPr>
        <w:t>週的歷程</w:t>
      </w:r>
      <w:r w:rsidRPr="001663AE">
        <w:t>(to navigate through the 40 weeks of pregnancy)</w:t>
      </w:r>
      <w:r w:rsidRPr="001663AE">
        <w:rPr>
          <w:rFonts w:hint="eastAsia"/>
        </w:rPr>
        <w:t>。</w:t>
      </w:r>
    </w:p>
  </w:footnote>
  <w:footnote w:id="257">
    <w:p w14:paraId="1A6B0CCE" w14:textId="77777777" w:rsidR="00CA23FA" w:rsidRPr="001663AE" w:rsidRDefault="00CA23FA" w:rsidP="00EE39EE">
      <w:pPr>
        <w:pStyle w:val="3"/>
        <w:jc w:val="left"/>
      </w:pPr>
      <w:r w:rsidRPr="001663AE">
        <w:rPr>
          <w:rStyle w:val="af3"/>
          <w:rFonts w:ascii="新細明體" w:hAnsi="新細明體"/>
        </w:rPr>
        <w:footnoteRef/>
      </w:r>
      <w:r w:rsidRPr="001663AE">
        <w:rPr>
          <w:rFonts w:hint="eastAsia"/>
          <w:lang w:bidi="bn-IN"/>
        </w:rPr>
        <w:t>演培法師，解深密經語體釋</w:t>
      </w:r>
      <w:r>
        <w:rPr>
          <w:lang w:bidi="bn-IN"/>
        </w:rPr>
        <w:t>〜</w:t>
      </w:r>
      <w:r w:rsidRPr="001663AE">
        <w:rPr>
          <w:rFonts w:hint="eastAsia"/>
          <w:lang w:bidi="bn-IN"/>
        </w:rPr>
        <w:t>心意識相品第三，</w:t>
      </w:r>
      <w:hyperlink r:id="rId99" w:history="1">
        <w:r w:rsidRPr="001663AE">
          <w:rPr>
            <w:rStyle w:val="a5"/>
            <w:rFonts w:cs="新細明體"/>
            <w:kern w:val="0"/>
            <w:lang w:bidi="bn-IN"/>
          </w:rPr>
          <w:t>http://sravakabhumi.blogspot.tw/2012/12/blog-post_2216.html</w:t>
        </w:r>
      </w:hyperlink>
      <w:r w:rsidRPr="001663AE">
        <w:rPr>
          <w:rFonts w:hint="eastAsia"/>
          <w:lang w:bidi="bn-IN"/>
        </w:rPr>
        <w:t>。</w:t>
      </w:r>
    </w:p>
  </w:footnote>
  <w:footnote w:id="258">
    <w:p w14:paraId="17D6FD4D" w14:textId="77777777" w:rsidR="00CA23FA" w:rsidRPr="001663AE" w:rsidRDefault="00CA23FA" w:rsidP="00EE39EE">
      <w:pPr>
        <w:pStyle w:val="3"/>
        <w:jc w:val="left"/>
      </w:pPr>
      <w:r w:rsidRPr="001663AE">
        <w:rPr>
          <w:rStyle w:val="af3"/>
          <w:b/>
          <w:bCs w:val="0"/>
          <w:szCs w:val="20"/>
        </w:rPr>
        <w:footnoteRef/>
      </w:r>
      <w:r w:rsidRPr="001663AE">
        <w:rPr>
          <w:rFonts w:hint="eastAsia"/>
        </w:rPr>
        <w:t>釋惠敏，佛教之生命倫理觀</w:t>
      </w:r>
      <w:r w:rsidRPr="001663AE">
        <w:t>(Bioethics)</w:t>
      </w:r>
      <w:r>
        <w:t>〜</w:t>
      </w:r>
      <w:r w:rsidRPr="001663AE">
        <w:t>-</w:t>
      </w:r>
      <w:r w:rsidRPr="001663AE">
        <w:rPr>
          <w:rFonts w:hint="eastAsia"/>
        </w:rPr>
        <w:t>以「複製人」</w:t>
      </w:r>
      <w:r w:rsidRPr="001663AE">
        <w:t>(Human Cloning)</w:t>
      </w:r>
      <w:r w:rsidRPr="001663AE">
        <w:rPr>
          <w:rFonts w:hint="eastAsia"/>
        </w:rPr>
        <w:t>與「胚胎幹細胞」</w:t>
      </w:r>
      <w:r w:rsidRPr="001663AE">
        <w:t>(Embryo stem cell)</w:t>
      </w:r>
      <w:r w:rsidRPr="001663AE">
        <w:rPr>
          <w:rFonts w:hint="eastAsia"/>
        </w:rPr>
        <w:t>為例－，</w:t>
      </w:r>
      <w:r w:rsidRPr="001663AE">
        <w:t xml:space="preserve"> </w:t>
      </w:r>
      <w:hyperlink r:id="rId100" w:history="1">
        <w:r w:rsidRPr="00EE39EE">
          <w:rPr>
            <w:rStyle w:val="a5"/>
            <w:bCs w:val="0"/>
            <w:sz w:val="18"/>
            <w:szCs w:val="20"/>
          </w:rPr>
          <w:t>http://ge.tnua.edu.tw/~huimin/paper/29-cloning/29-CLONING.HTM</w:t>
        </w:r>
      </w:hyperlink>
      <w:r w:rsidRPr="001663AE">
        <w:rPr>
          <w:rFonts w:hint="eastAsia"/>
        </w:rPr>
        <w:t>。</w:t>
      </w:r>
    </w:p>
  </w:footnote>
  <w:footnote w:id="259">
    <w:p w14:paraId="2DC02ADF" w14:textId="77777777" w:rsidR="00CA23FA" w:rsidRPr="001663AE" w:rsidRDefault="00CA23FA" w:rsidP="00EE39EE">
      <w:pPr>
        <w:pStyle w:val="3"/>
        <w:jc w:val="left"/>
      </w:pPr>
      <w:r w:rsidRPr="001663AE">
        <w:rPr>
          <w:rStyle w:val="af3"/>
          <w:rFonts w:ascii="新細明體" w:hAnsi="新細明體"/>
        </w:rPr>
        <w:footnoteRef/>
      </w:r>
      <w:r w:rsidRPr="001663AE">
        <w:rPr>
          <w:rFonts w:hint="eastAsia"/>
        </w:rPr>
        <w:t>釋惠敏</w:t>
      </w:r>
      <w:r w:rsidRPr="001663AE">
        <w:rPr>
          <w:rFonts w:hint="eastAsia"/>
        </w:rPr>
        <w:t>(2005)</w:t>
      </w:r>
      <w:r w:rsidRPr="001663AE">
        <w:rPr>
          <w:rFonts w:hint="eastAsia"/>
        </w:rPr>
        <w:t>，禪與靜坐，上網瀏覽時間：</w:t>
      </w:r>
      <w:r w:rsidRPr="001663AE">
        <w:rPr>
          <w:rFonts w:hint="eastAsia"/>
        </w:rPr>
        <w:t>2015/06/29</w:t>
      </w:r>
      <w:r w:rsidRPr="001663AE">
        <w:rPr>
          <w:rFonts w:hint="eastAsia"/>
        </w:rPr>
        <w:t>，</w:t>
      </w:r>
      <w:r w:rsidRPr="001663AE">
        <w:t>http://ge.tnua.edu.tw/zen/r7.htmhttp://ge.tnua.edu.tw/zen/r7.htm</w:t>
      </w:r>
      <w:r w:rsidRPr="001663AE">
        <w:t>。</w:t>
      </w:r>
    </w:p>
  </w:footnote>
  <w:footnote w:id="260">
    <w:p w14:paraId="403973D2" w14:textId="77777777" w:rsidR="00CA23FA" w:rsidRPr="001663AE" w:rsidRDefault="00CA23FA" w:rsidP="00EE39EE">
      <w:pPr>
        <w:pStyle w:val="3"/>
        <w:jc w:val="left"/>
      </w:pPr>
      <w:r w:rsidRPr="001663AE">
        <w:rPr>
          <w:rStyle w:val="af3"/>
          <w:rFonts w:ascii="新細明體" w:hAnsi="新細明體"/>
        </w:rPr>
        <w:footnoteRef/>
      </w:r>
      <w:r w:rsidRPr="001663AE">
        <w:rPr>
          <w:rFonts w:hint="eastAsia"/>
        </w:rPr>
        <w:t>釋惠敏，佛教之生命倫理觀</w:t>
      </w:r>
      <w:r w:rsidRPr="001663AE">
        <w:t>(Bioethics)</w:t>
      </w:r>
      <w:r>
        <w:t>〜</w:t>
      </w:r>
      <w:r w:rsidRPr="001663AE">
        <w:t>-</w:t>
      </w:r>
      <w:r w:rsidRPr="001663AE">
        <w:rPr>
          <w:rFonts w:hint="eastAsia"/>
        </w:rPr>
        <w:t>以「複製人」</w:t>
      </w:r>
      <w:r w:rsidRPr="001663AE">
        <w:t>(Human Cloning)</w:t>
      </w:r>
      <w:r w:rsidRPr="001663AE">
        <w:rPr>
          <w:rFonts w:hint="eastAsia"/>
        </w:rPr>
        <w:t>與「胚胎幹細胞」</w:t>
      </w:r>
      <w:r w:rsidRPr="001663AE">
        <w:t>(Embryo stem cell)</w:t>
      </w:r>
      <w:r w:rsidRPr="001663AE">
        <w:rPr>
          <w:rFonts w:hint="eastAsia"/>
        </w:rPr>
        <w:t>為例－，</w:t>
      </w:r>
      <w:r w:rsidRPr="001663AE">
        <w:t xml:space="preserve"> </w:t>
      </w:r>
      <w:hyperlink r:id="rId101" w:history="1">
        <w:r w:rsidRPr="001663AE">
          <w:rPr>
            <w:rStyle w:val="a5"/>
          </w:rPr>
          <w:t>http://ge.tnua.edu.tw/~huimin/paper/29-cloning/29-CLONING.HTM</w:t>
        </w:r>
      </w:hyperlink>
      <w:r w:rsidRPr="001663AE">
        <w:rPr>
          <w:rFonts w:hint="eastAsia"/>
        </w:rPr>
        <w:t>。</w:t>
      </w:r>
    </w:p>
  </w:footnote>
  <w:footnote w:id="261">
    <w:p w14:paraId="771D0BB6" w14:textId="77777777" w:rsidR="00CA23FA" w:rsidRPr="001663AE" w:rsidRDefault="00CA23FA" w:rsidP="00EE39EE">
      <w:pPr>
        <w:pStyle w:val="3"/>
        <w:jc w:val="left"/>
      </w:pPr>
      <w:r w:rsidRPr="001663AE">
        <w:rPr>
          <w:rStyle w:val="af3"/>
          <w:rFonts w:ascii="新細明體" w:hAnsi="新細明體"/>
        </w:rPr>
        <w:footnoteRef/>
      </w:r>
      <w:r w:rsidRPr="001663AE">
        <w:rPr>
          <w:rFonts w:hint="eastAsia"/>
        </w:rPr>
        <w:t>釋惠敏，佛教之生命倫理觀</w:t>
      </w:r>
      <w:r w:rsidRPr="001663AE">
        <w:t>(Bioethics)</w:t>
      </w:r>
      <w:r>
        <w:t>〜</w:t>
      </w:r>
      <w:r w:rsidRPr="001663AE">
        <w:t>-</w:t>
      </w:r>
      <w:r w:rsidRPr="001663AE">
        <w:rPr>
          <w:rFonts w:hint="eastAsia"/>
        </w:rPr>
        <w:t>以「複製人」</w:t>
      </w:r>
      <w:r w:rsidRPr="001663AE">
        <w:t>(Human Cloning)</w:t>
      </w:r>
      <w:r w:rsidRPr="001663AE">
        <w:rPr>
          <w:rFonts w:hint="eastAsia"/>
        </w:rPr>
        <w:t>與「胚胎幹細胞」</w:t>
      </w:r>
      <w:r w:rsidRPr="001663AE">
        <w:t>(Embryo stem cell)</w:t>
      </w:r>
      <w:r w:rsidRPr="001663AE">
        <w:rPr>
          <w:rFonts w:hint="eastAsia"/>
        </w:rPr>
        <w:t>為例－，</w:t>
      </w:r>
      <w:r w:rsidRPr="001663AE">
        <w:t xml:space="preserve"> </w:t>
      </w:r>
      <w:hyperlink r:id="rId102" w:history="1">
        <w:r w:rsidRPr="001663AE">
          <w:rPr>
            <w:rStyle w:val="a5"/>
          </w:rPr>
          <w:t>http://ge.tnua.edu.tw/~huimin/paper/29-cloning/29-CLONING.HTM</w:t>
        </w:r>
      </w:hyperlink>
      <w:r w:rsidRPr="001663AE">
        <w:rPr>
          <w:rFonts w:hint="eastAsia"/>
        </w:rPr>
        <w:t>。</w:t>
      </w:r>
    </w:p>
  </w:footnote>
  <w:footnote w:id="262">
    <w:p w14:paraId="30574FD0" w14:textId="77777777" w:rsidR="00CA23FA" w:rsidRPr="001663AE" w:rsidRDefault="00CA23FA" w:rsidP="00EE39EE">
      <w:pPr>
        <w:pStyle w:val="3"/>
        <w:jc w:val="left"/>
      </w:pPr>
      <w:r w:rsidRPr="001663AE">
        <w:rPr>
          <w:rStyle w:val="af3"/>
          <w:rFonts w:ascii="新細明體" w:hAnsi="新細明體"/>
        </w:rPr>
        <w:footnoteRef/>
      </w:r>
      <w:r w:rsidRPr="001663AE">
        <w:t xml:space="preserve"> </w:t>
      </w:r>
      <w:r w:rsidRPr="001663AE">
        <w:rPr>
          <w:rFonts w:hint="eastAsia"/>
        </w:rPr>
        <w:t>係指一切種子心識離開人類之身體。</w:t>
      </w:r>
    </w:p>
  </w:footnote>
  <w:footnote w:id="263">
    <w:p w14:paraId="209D9A6F" w14:textId="77777777" w:rsidR="00CA23FA" w:rsidRPr="001663AE" w:rsidRDefault="00CA23FA" w:rsidP="00D87D91">
      <w:pPr>
        <w:pStyle w:val="3"/>
      </w:pPr>
      <w:r w:rsidRPr="001663AE">
        <w:rPr>
          <w:rStyle w:val="af3"/>
          <w:rFonts w:ascii="新細明體" w:hAnsi="新細明體"/>
        </w:rPr>
        <w:footnoteRef/>
      </w:r>
      <w:r w:rsidRPr="001663AE">
        <w:rPr>
          <w:rFonts w:hint="eastAsia"/>
        </w:rPr>
        <w:t>釋惠敏，佛教之生命倫理觀</w:t>
      </w:r>
      <w:r w:rsidRPr="001663AE">
        <w:t>(Bioethics)</w:t>
      </w:r>
      <w:r>
        <w:t>〜</w:t>
      </w:r>
      <w:r w:rsidRPr="001663AE">
        <w:t>-</w:t>
      </w:r>
      <w:r w:rsidRPr="001663AE">
        <w:rPr>
          <w:rFonts w:hint="eastAsia"/>
        </w:rPr>
        <w:t>以「複製人」</w:t>
      </w:r>
      <w:r w:rsidRPr="001663AE">
        <w:t>(Human Cloning)</w:t>
      </w:r>
      <w:r w:rsidRPr="001663AE">
        <w:rPr>
          <w:rFonts w:hint="eastAsia"/>
        </w:rPr>
        <w:t>與「胚胎幹細胞」</w:t>
      </w:r>
      <w:r w:rsidRPr="001663AE">
        <w:t>(Embryo stem cell)</w:t>
      </w:r>
      <w:r w:rsidRPr="001663AE">
        <w:rPr>
          <w:rFonts w:hint="eastAsia"/>
        </w:rPr>
        <w:t>為例－，</w:t>
      </w:r>
      <w:r w:rsidRPr="001663AE">
        <w:t xml:space="preserve"> </w:t>
      </w:r>
      <w:hyperlink r:id="rId103" w:history="1">
        <w:r w:rsidRPr="001663AE">
          <w:rPr>
            <w:rStyle w:val="a5"/>
          </w:rPr>
          <w:t>http://ge.tnua.edu.tw/~huimin/paper/29-cloning/29-CLONING.HTM</w:t>
        </w:r>
      </w:hyperlink>
      <w:r w:rsidRPr="001663AE">
        <w:rPr>
          <w:rFonts w:hint="eastAsia"/>
        </w:rPr>
        <w:t>。</w:t>
      </w:r>
    </w:p>
  </w:footnote>
  <w:footnote w:id="264">
    <w:p w14:paraId="593A4CD2"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艾立勤教授，胚胎幹細胞實驗的倫理省思，</w:t>
      </w:r>
    </w:p>
    <w:p w14:paraId="2CA1EC7B" w14:textId="77777777" w:rsidR="00CA23FA" w:rsidRPr="001663AE" w:rsidRDefault="00076467" w:rsidP="00D87D91">
      <w:pPr>
        <w:pStyle w:val="3"/>
      </w:pPr>
      <w:hyperlink r:id="rId104" w:history="1">
        <w:r w:rsidR="00CA23FA" w:rsidRPr="001663AE">
          <w:rPr>
            <w:rStyle w:val="a5"/>
          </w:rPr>
          <w:t>http://www.christianstudy.com/data/pastoral/euthanas06.html</w:t>
        </w:r>
      </w:hyperlink>
      <w:r w:rsidR="00CA23FA" w:rsidRPr="001663AE">
        <w:rPr>
          <w:rFonts w:hint="eastAsia"/>
        </w:rPr>
        <w:t>。</w:t>
      </w:r>
    </w:p>
  </w:footnote>
  <w:footnote w:id="265">
    <w:p w14:paraId="5AF9FC81"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艾立勤教授，胚胎幹細胞實驗的倫理省思，</w:t>
      </w:r>
    </w:p>
    <w:p w14:paraId="4358C831" w14:textId="77777777" w:rsidR="00CA23FA" w:rsidRPr="001663AE" w:rsidRDefault="00076467" w:rsidP="00D87D91">
      <w:pPr>
        <w:pStyle w:val="3"/>
      </w:pPr>
      <w:hyperlink r:id="rId105" w:history="1">
        <w:r w:rsidR="00CA23FA" w:rsidRPr="001663AE">
          <w:rPr>
            <w:rStyle w:val="a5"/>
          </w:rPr>
          <w:t>http://www.christianstudy.com/data/pastoral/euthanas06.html</w:t>
        </w:r>
      </w:hyperlink>
      <w:r w:rsidR="00CA23FA" w:rsidRPr="001663AE">
        <w:rPr>
          <w:rFonts w:hint="eastAsia"/>
        </w:rPr>
        <w:t>。</w:t>
      </w:r>
    </w:p>
  </w:footnote>
  <w:footnote w:id="266">
    <w:p w14:paraId="4004C5C9"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體細胞核轉植技術</w:t>
      </w:r>
      <w:r w:rsidRPr="001663AE">
        <w:t>(somatic cell nuclear transfer, SCNT</w:t>
      </w:r>
      <w:r w:rsidRPr="001663AE">
        <w:rPr>
          <w:rFonts w:hint="eastAsia"/>
        </w:rPr>
        <w:t>。進一步之資訊，請參閱：藍劄（</w:t>
      </w:r>
      <w:r w:rsidRPr="001663AE">
        <w:t>Robert Lanza</w:t>
      </w:r>
      <w:r w:rsidRPr="001663AE">
        <w:rPr>
          <w:rFonts w:hint="eastAsia"/>
        </w:rPr>
        <w:t>）、羅森塔爾（</w:t>
      </w:r>
      <w:r w:rsidRPr="001663AE">
        <w:t>Nadia Rosenthal</w:t>
      </w:r>
      <w:r w:rsidRPr="001663AE">
        <w:rPr>
          <w:rFonts w:hint="eastAsia"/>
        </w:rPr>
        <w:t>），塗可欣翻譯，幹細胞的挑戰？幹細胞療法帶來的曙光與實際的臨床治療之間，橫亙著哪些障礙？</w:t>
      </w:r>
      <w:hyperlink r:id="rId106" w:history="1">
        <w:r w:rsidRPr="001663AE">
          <w:rPr>
            <w:rStyle w:val="a5"/>
          </w:rPr>
          <w:t>http://sa.ylib.com/read/readshow.asp?FDocNo=489&amp;DocNo=789</w:t>
        </w:r>
      </w:hyperlink>
      <w:r w:rsidRPr="001663AE">
        <w:rPr>
          <w:rFonts w:hint="eastAsia"/>
        </w:rPr>
        <w:t>。</w:t>
      </w:r>
    </w:p>
  </w:footnote>
  <w:footnote w:id="267">
    <w:p w14:paraId="12247C8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第一議定書適用於國際性武裝衝突，而第二議定書適用於非國際性武裝衝突。</w:t>
      </w:r>
    </w:p>
  </w:footnote>
  <w:footnote w:id="268">
    <w:p w14:paraId="1CC9E59E" w14:textId="77777777" w:rsidR="00CA23FA" w:rsidRPr="002D7C67" w:rsidRDefault="00CA23FA" w:rsidP="00D87D91">
      <w:pPr>
        <w:pStyle w:val="3"/>
        <w:rPr>
          <w:b/>
        </w:rPr>
      </w:pPr>
      <w:r w:rsidRPr="002D7C67">
        <w:rPr>
          <w:rStyle w:val="af3"/>
          <w:rFonts w:ascii="新細明體" w:hAnsi="新細明體"/>
          <w:b/>
        </w:rPr>
        <w:footnoteRef/>
      </w:r>
      <w:r w:rsidRPr="00EE39EE">
        <w:rPr>
          <w:rFonts w:hint="eastAsia"/>
        </w:rPr>
        <w:t>李震山增譯</w:t>
      </w:r>
      <w:r w:rsidRPr="002D7C67">
        <w:rPr>
          <w:rFonts w:hint="eastAsia"/>
          <w:b/>
        </w:rPr>
        <w:t>，</w:t>
      </w:r>
      <w:r w:rsidRPr="002D7C67">
        <w:rPr>
          <w:rStyle w:val="afc"/>
          <w:rFonts w:ascii="新細明體" w:hAnsi="新細明體" w:hint="eastAsia"/>
          <w:b w:val="0"/>
        </w:rPr>
        <w:t>德意志聯邦共和國基本法，臺北：司法院。</w:t>
      </w:r>
    </w:p>
  </w:footnote>
  <w:footnote w:id="269">
    <w:p w14:paraId="087A9613" w14:textId="77777777" w:rsidR="00CA23FA" w:rsidRPr="001663AE" w:rsidRDefault="00CA23FA" w:rsidP="00D87D91">
      <w:pPr>
        <w:pStyle w:val="3"/>
        <w:rPr>
          <w:lang w:val="it-IT"/>
        </w:rPr>
      </w:pPr>
      <w:r w:rsidRPr="001663AE">
        <w:rPr>
          <w:rStyle w:val="af3"/>
          <w:rFonts w:ascii="新細明體" w:hAnsi="新細明體"/>
        </w:rPr>
        <w:footnoteRef/>
      </w:r>
      <w:r w:rsidRPr="001663AE">
        <w:rPr>
          <w:lang w:val="it-IT"/>
        </w:rPr>
        <w:t xml:space="preserve"> China Times</w:t>
      </w:r>
      <w:r w:rsidRPr="001663AE">
        <w:rPr>
          <w:rFonts w:hint="eastAsia"/>
          <w:lang w:val="it-IT"/>
        </w:rPr>
        <w:t>，軍國復活，右翼掌權？</w:t>
      </w:r>
      <w:hyperlink r:id="rId107" w:history="1">
        <w:r w:rsidRPr="001663AE">
          <w:rPr>
            <w:rStyle w:val="a5"/>
            <w:lang w:val="it-IT"/>
          </w:rPr>
          <w:t>http://forums.chinatimes.com/special/japan/index.htm</w:t>
        </w:r>
      </w:hyperlink>
      <w:r w:rsidRPr="001663AE">
        <w:rPr>
          <w:rFonts w:hint="eastAsia"/>
          <w:lang w:val="it-IT"/>
        </w:rPr>
        <w:t>。</w:t>
      </w:r>
    </w:p>
  </w:footnote>
  <w:footnote w:id="270">
    <w:p w14:paraId="61DC08CE" w14:textId="77777777" w:rsidR="00CA23FA" w:rsidRPr="001663AE" w:rsidRDefault="00CA23FA" w:rsidP="00D87D91">
      <w:pPr>
        <w:pStyle w:val="3"/>
        <w:rPr>
          <w:rFonts w:cs="新細明體"/>
          <w:kern w:val="0"/>
        </w:rPr>
      </w:pPr>
      <w:r w:rsidRPr="001663AE">
        <w:rPr>
          <w:rStyle w:val="af3"/>
          <w:rFonts w:ascii="新細明體" w:hAnsi="新細明體"/>
          <w:szCs w:val="20"/>
        </w:rPr>
        <w:footnoteRef/>
      </w:r>
      <w:r w:rsidRPr="001663AE">
        <w:rPr>
          <w:rFonts w:cs="新細明體"/>
          <w:kern w:val="0"/>
        </w:rPr>
        <w:t xml:space="preserve"> </w:t>
      </w:r>
      <w:r w:rsidRPr="001663AE">
        <w:rPr>
          <w:rFonts w:hint="eastAsia"/>
        </w:rPr>
        <w:t>日本憲法第九條之英、日文如下：</w:t>
      </w:r>
    </w:p>
    <w:p w14:paraId="514A9FA0" w14:textId="77777777" w:rsidR="00CA23FA" w:rsidRPr="001663AE" w:rsidRDefault="00CA23FA" w:rsidP="00D87D91">
      <w:pPr>
        <w:pStyle w:val="3"/>
      </w:pPr>
      <w:r w:rsidRPr="001663AE">
        <w:t>Article 9.</w:t>
      </w:r>
      <w:r w:rsidRPr="001663AE">
        <w:rPr>
          <w:rFonts w:hint="eastAsia"/>
        </w:rPr>
        <w:t xml:space="preserve">　</w:t>
      </w:r>
      <w:r w:rsidRPr="001663AE">
        <w:t>Aspiring sincerely to an international peace based on justice and order, the Japanese people forever renounce war as a sovereign right of the nation and the threat or use of force as means of settling international disputes.</w:t>
      </w:r>
    </w:p>
    <w:p w14:paraId="36DAA055" w14:textId="77777777" w:rsidR="00CA23FA" w:rsidRPr="001663AE" w:rsidRDefault="00CA23FA" w:rsidP="00D87D91">
      <w:pPr>
        <w:pStyle w:val="3"/>
      </w:pPr>
      <w:r w:rsidRPr="001663AE">
        <w:t>In order to accomplish the aim of the preceding paragraph, land, sea, and air forces, as well as other war potential, will never be maintained. The right of belligerency of the state will not be recognized.</w:t>
      </w:r>
    </w:p>
    <w:p w14:paraId="7C45A33C" w14:textId="77777777" w:rsidR="00CA23FA" w:rsidRPr="001663AE" w:rsidRDefault="00CA23FA" w:rsidP="00D87D91">
      <w:pPr>
        <w:pStyle w:val="3"/>
        <w:rPr>
          <w:lang w:eastAsia="ja-JP"/>
        </w:rPr>
      </w:pPr>
      <w:r w:rsidRPr="001663AE">
        <w:rPr>
          <w:lang w:eastAsia="ja-JP"/>
        </w:rPr>
        <w:t>第九条　日本国民は、正義と秩序を基調とする国際平和を誠実に希求し、国権の発動たる戦争と、武力による威嚇又は武力の行使は、国際紛争を解決する手段としては、永久にこれを放棄する。</w:t>
      </w:r>
    </w:p>
    <w:p w14:paraId="16942425" w14:textId="77777777" w:rsidR="00CA23FA" w:rsidRPr="001663AE" w:rsidRDefault="00CA23FA" w:rsidP="00D87D91">
      <w:pPr>
        <w:pStyle w:val="3"/>
        <w:rPr>
          <w:lang w:eastAsia="ja-JP"/>
        </w:rPr>
      </w:pPr>
      <w:r w:rsidRPr="001663AE">
        <w:rPr>
          <w:lang w:eastAsia="ja-JP"/>
        </w:rPr>
        <w:t>前項の目的を達するため、陸海空軍その他の戦力は、これを保持しない。国の交戦権は、これを認めない。</w:t>
      </w:r>
    </w:p>
  </w:footnote>
  <w:footnote w:id="271">
    <w:p w14:paraId="4C3B4FEB" w14:textId="77777777" w:rsidR="00CA23FA" w:rsidRPr="001663AE" w:rsidRDefault="00CA23FA" w:rsidP="00EE39EE">
      <w:pPr>
        <w:pStyle w:val="3"/>
        <w:jc w:val="left"/>
        <w:rPr>
          <w:lang w:eastAsia="ja-JP"/>
        </w:rPr>
      </w:pPr>
      <w:r w:rsidRPr="001663AE">
        <w:rPr>
          <w:rStyle w:val="af3"/>
          <w:rFonts w:ascii="新細明體" w:hAnsi="新細明體"/>
        </w:rPr>
        <w:footnoteRef/>
      </w:r>
      <w:r w:rsidRPr="001663AE">
        <w:rPr>
          <w:rFonts w:hint="eastAsia"/>
          <w:lang w:eastAsia="ja-JP"/>
        </w:rPr>
        <w:t>中國人民解放軍中將劉源，三峽大壩摧不垮，毀不掉！，中國青年報，</w:t>
      </w:r>
      <w:r w:rsidRPr="001663AE">
        <w:rPr>
          <w:lang w:eastAsia="ja-JP"/>
        </w:rPr>
        <w:t>2004</w:t>
      </w:r>
      <w:r w:rsidRPr="001663AE">
        <w:rPr>
          <w:rFonts w:hint="eastAsia"/>
          <w:lang w:eastAsia="ja-JP"/>
        </w:rPr>
        <w:t>，</w:t>
      </w:r>
      <w:hyperlink r:id="rId108" w:history="1">
        <w:r w:rsidRPr="001663AE">
          <w:rPr>
            <w:rStyle w:val="a5"/>
            <w:lang w:eastAsia="ja-JP"/>
          </w:rPr>
          <w:t>http://www.peacehall.com/news/gb/china/2004/06/200406161040.shtml(2006.08</w:t>
        </w:r>
      </w:hyperlink>
      <w:r w:rsidRPr="001663AE">
        <w:rPr>
          <w:lang w:eastAsia="ja-JP"/>
        </w:rPr>
        <w:t>)</w:t>
      </w:r>
      <w:r w:rsidRPr="001663AE">
        <w:rPr>
          <w:rFonts w:hint="eastAsia"/>
          <w:lang w:eastAsia="ja-JP"/>
        </w:rPr>
        <w:t>。</w:t>
      </w:r>
    </w:p>
  </w:footnote>
  <w:footnote w:id="272">
    <w:p w14:paraId="1A75D838" w14:textId="77777777" w:rsidR="00CA23FA" w:rsidRPr="001663AE" w:rsidRDefault="00CA23FA" w:rsidP="00EE39EE">
      <w:pPr>
        <w:pStyle w:val="3"/>
        <w:jc w:val="left"/>
      </w:pPr>
      <w:r w:rsidRPr="001663AE">
        <w:rPr>
          <w:rStyle w:val="af3"/>
          <w:rFonts w:ascii="新細明體" w:hAnsi="新細明體"/>
        </w:rPr>
        <w:footnoteRef/>
      </w:r>
      <w:r w:rsidRPr="001663AE">
        <w:rPr>
          <w:rFonts w:hint="eastAsia"/>
        </w:rPr>
        <w:t>飛彈瞄準長江三峽的水壩攻擊，立法院公報處第</w:t>
      </w:r>
      <w:r w:rsidRPr="001663AE">
        <w:t>4</w:t>
      </w:r>
      <w:r w:rsidRPr="001663AE">
        <w:rPr>
          <w:rFonts w:hint="eastAsia"/>
        </w:rPr>
        <w:t>會期、第</w:t>
      </w:r>
      <w:r w:rsidRPr="001663AE">
        <w:t>12</w:t>
      </w:r>
      <w:r w:rsidRPr="001663AE">
        <w:rPr>
          <w:rFonts w:hint="eastAsia"/>
        </w:rPr>
        <w:t>會期，</w:t>
      </w:r>
      <w:hyperlink r:id="rId109" w:history="1">
        <w:r w:rsidRPr="001663AE">
          <w:rPr>
            <w:rStyle w:val="a5"/>
          </w:rPr>
          <w:t>http://tornado.ly.gov.tw/tornado/draft/final/word/05/04/20/LCIDB01_05042001.doc</w:t>
        </w:r>
      </w:hyperlink>
      <w:hyperlink r:id="rId110" w:history="1">
        <w:r w:rsidRPr="001663AE">
          <w:rPr>
            <w:rStyle w:val="a5"/>
          </w:rPr>
          <w:t>http://www.peacehall.com/news/gb/china/2004/06/200406161040.shtml(2006.08</w:t>
        </w:r>
      </w:hyperlink>
      <w:r w:rsidRPr="001663AE">
        <w:t>)</w:t>
      </w:r>
      <w:r w:rsidRPr="001663AE">
        <w:rPr>
          <w:rFonts w:hint="eastAsia"/>
        </w:rPr>
        <w:t>。</w:t>
      </w:r>
    </w:p>
  </w:footnote>
  <w:footnote w:id="273">
    <w:p w14:paraId="35F49AC3" w14:textId="77777777" w:rsidR="00CA23FA" w:rsidRPr="001663AE" w:rsidRDefault="00CA23FA" w:rsidP="00EE39EE">
      <w:pPr>
        <w:pStyle w:val="3"/>
        <w:jc w:val="left"/>
      </w:pPr>
      <w:r w:rsidRPr="001663AE">
        <w:rPr>
          <w:rStyle w:val="af3"/>
          <w:rFonts w:ascii="新細明體" w:hAnsi="新細明體"/>
        </w:rPr>
        <w:footnoteRef/>
      </w:r>
      <w:r w:rsidRPr="001663AE">
        <w:t xml:space="preserve"> </w:t>
      </w:r>
      <w:r w:rsidRPr="001663AE">
        <w:rPr>
          <w:rFonts w:hint="eastAsia"/>
        </w:rPr>
        <w:t>這是立法委員對國防部長之質詢內容，請參閱：立法院公報第</w:t>
      </w:r>
      <w:r w:rsidRPr="001663AE">
        <w:t>4</w:t>
      </w:r>
      <w:r w:rsidRPr="001663AE">
        <w:rPr>
          <w:rFonts w:hint="eastAsia"/>
        </w:rPr>
        <w:t>會期、第</w:t>
      </w:r>
      <w:r w:rsidRPr="001663AE">
        <w:t>12</w:t>
      </w:r>
      <w:r w:rsidRPr="001663AE">
        <w:rPr>
          <w:rFonts w:hint="eastAsia"/>
        </w:rPr>
        <w:t>會期。</w:t>
      </w:r>
      <w:r w:rsidRPr="001663AE">
        <w:t xml:space="preserve"> </w:t>
      </w:r>
    </w:p>
  </w:footnote>
  <w:footnote w:id="274">
    <w:p w14:paraId="03E1EA15" w14:textId="77777777" w:rsidR="00CA23FA" w:rsidRPr="001663AE" w:rsidRDefault="00CA23FA" w:rsidP="00EE39EE">
      <w:pPr>
        <w:pStyle w:val="3"/>
        <w:jc w:val="left"/>
      </w:pPr>
      <w:r w:rsidRPr="001663AE">
        <w:rPr>
          <w:rStyle w:val="af3"/>
          <w:rFonts w:ascii="新細明體" w:hAnsi="新細明體"/>
        </w:rPr>
        <w:footnoteRef/>
      </w:r>
      <w:r w:rsidRPr="001663AE">
        <w:t xml:space="preserve"> </w:t>
      </w:r>
      <w:r w:rsidRPr="001663AE">
        <w:rPr>
          <w:rFonts w:hint="eastAsia"/>
        </w:rPr>
        <w:t>本文認為，即使使用一切辦法，亦均應遵守國際人道法及國際戰爭法之一切規定。攻擊長江三峽的水壩，是一種違反人類正義之作法。</w:t>
      </w:r>
    </w:p>
  </w:footnote>
  <w:footnote w:id="275">
    <w:p w14:paraId="0CDDE6CC" w14:textId="77777777" w:rsidR="00CA23FA" w:rsidRPr="00EE39EE" w:rsidRDefault="00CA23FA" w:rsidP="00BE652C">
      <w:pPr>
        <w:pStyle w:val="3"/>
        <w:jc w:val="left"/>
        <w:rPr>
          <w:szCs w:val="18"/>
        </w:rPr>
      </w:pPr>
      <w:r w:rsidRPr="00EE39EE">
        <w:rPr>
          <w:rStyle w:val="af3"/>
          <w:rFonts w:ascii="新細明體" w:hAnsi="新細明體"/>
          <w:sz w:val="18"/>
          <w:szCs w:val="18"/>
        </w:rPr>
        <w:footnoteRef/>
      </w:r>
      <w:r w:rsidRPr="00EE39EE">
        <w:rPr>
          <w:rFonts w:hint="eastAsia"/>
          <w:szCs w:val="18"/>
        </w:rPr>
        <w:t>台灣怒問大陸：上海與大壩，準備犧牲哪個？</w:t>
      </w:r>
      <w:r w:rsidRPr="00EE39EE">
        <w:rPr>
          <w:szCs w:val="18"/>
        </w:rPr>
        <w:t>2006/05/26 </w:t>
      </w:r>
      <w:r w:rsidRPr="00EE39EE">
        <w:rPr>
          <w:rFonts w:hint="eastAsia"/>
          <w:szCs w:val="18"/>
        </w:rPr>
        <w:t>，</w:t>
      </w:r>
    </w:p>
    <w:p w14:paraId="37EBD84E" w14:textId="77777777" w:rsidR="00CA23FA" w:rsidRPr="00EE39EE" w:rsidRDefault="00076467" w:rsidP="00BE652C">
      <w:pPr>
        <w:pStyle w:val="3"/>
        <w:jc w:val="left"/>
        <w:rPr>
          <w:szCs w:val="18"/>
        </w:rPr>
      </w:pPr>
      <w:hyperlink r:id="rId111" w:history="1">
        <w:r w:rsidR="00CA23FA" w:rsidRPr="00EE39EE">
          <w:rPr>
            <w:rStyle w:val="a5"/>
            <w:sz w:val="18"/>
            <w:szCs w:val="18"/>
          </w:rPr>
          <w:t>http://www.chilicity.com/cgi-bin/bigate.cgi/b/x/g/http@www.chilicity.com/publishhtml/5/2006-05-26/20060526054336.html</w:t>
        </w:r>
      </w:hyperlink>
      <w:hyperlink r:id="rId112" w:history="1">
        <w:r w:rsidR="00CA23FA" w:rsidRPr="00EE39EE">
          <w:rPr>
            <w:rStyle w:val="a5"/>
            <w:sz w:val="18"/>
            <w:szCs w:val="18"/>
          </w:rPr>
          <w:t>http://www.peacehall.com/news/gb/china/2004/06/200406161040.shtml(2006.0</w:t>
        </w:r>
      </w:hyperlink>
      <w:r w:rsidR="00CA23FA" w:rsidRPr="00EE39EE">
        <w:rPr>
          <w:szCs w:val="18"/>
        </w:rPr>
        <w:t>9)</w:t>
      </w:r>
      <w:r w:rsidR="00CA23FA" w:rsidRPr="00EE39EE">
        <w:rPr>
          <w:rFonts w:hint="eastAsia"/>
          <w:szCs w:val="18"/>
        </w:rPr>
        <w:t>。</w:t>
      </w:r>
    </w:p>
  </w:footnote>
  <w:footnote w:id="276">
    <w:p w14:paraId="6DD60B04" w14:textId="77777777" w:rsidR="00CA23FA" w:rsidRPr="00EE39EE" w:rsidRDefault="00CA23FA" w:rsidP="00BE652C">
      <w:pPr>
        <w:pStyle w:val="3"/>
        <w:jc w:val="left"/>
        <w:rPr>
          <w:szCs w:val="18"/>
        </w:rPr>
      </w:pPr>
      <w:r w:rsidRPr="00EE39EE">
        <w:rPr>
          <w:rStyle w:val="af3"/>
          <w:rFonts w:ascii="新細明體" w:hAnsi="新細明體"/>
          <w:sz w:val="18"/>
          <w:szCs w:val="18"/>
        </w:rPr>
        <w:footnoteRef/>
      </w:r>
      <w:r w:rsidRPr="00EE39EE">
        <w:rPr>
          <w:szCs w:val="18"/>
        </w:rPr>
        <w:t xml:space="preserve"> </w:t>
      </w:r>
      <w:r w:rsidRPr="00EE39EE">
        <w:rPr>
          <w:rFonts w:hint="eastAsia"/>
          <w:szCs w:val="18"/>
        </w:rPr>
        <w:t>華夏經緯</w:t>
      </w:r>
      <w:r w:rsidRPr="00EE39EE">
        <w:rPr>
          <w:szCs w:val="18"/>
        </w:rPr>
        <w:t>(2004)</w:t>
      </w:r>
      <w:r w:rsidRPr="00EE39EE">
        <w:rPr>
          <w:rFonts w:hint="eastAsia"/>
          <w:szCs w:val="18"/>
        </w:rPr>
        <w:t>，臺軍妄想炸三峽大壩，解放軍：台灣將遭毀滅性打擊，</w:t>
      </w:r>
      <w:hyperlink r:id="rId113" w:history="1">
        <w:r w:rsidRPr="00EE39EE">
          <w:rPr>
            <w:rStyle w:val="a5"/>
            <w:sz w:val="18"/>
            <w:szCs w:val="18"/>
          </w:rPr>
          <w:t>http://big5.huaxia.com/tw/sdbd/js/00210850.html</w:t>
        </w:r>
      </w:hyperlink>
      <w:r w:rsidRPr="00EE39EE">
        <w:rPr>
          <w:rFonts w:hint="eastAsia"/>
          <w:szCs w:val="18"/>
        </w:rPr>
        <w:t>。根據相關之文獻資料顯示，我國確有以武力攻擊中國三峽大壩之作戰計畫。</w:t>
      </w:r>
    </w:p>
  </w:footnote>
  <w:footnote w:id="277">
    <w:p w14:paraId="47717AC2" w14:textId="77777777" w:rsidR="00CA23FA" w:rsidRPr="00EE39EE" w:rsidRDefault="00CA23FA" w:rsidP="00BE652C">
      <w:pPr>
        <w:pStyle w:val="3"/>
        <w:jc w:val="left"/>
        <w:rPr>
          <w:szCs w:val="18"/>
        </w:rPr>
      </w:pPr>
      <w:r w:rsidRPr="00EE39EE">
        <w:rPr>
          <w:rStyle w:val="af3"/>
          <w:rFonts w:ascii="新細明體" w:hAnsi="新細明體"/>
          <w:sz w:val="18"/>
          <w:szCs w:val="18"/>
        </w:rPr>
        <w:footnoteRef/>
      </w:r>
      <w:r w:rsidRPr="00EE39EE">
        <w:rPr>
          <w:szCs w:val="18"/>
        </w:rPr>
        <w:t xml:space="preserve"> </w:t>
      </w:r>
      <w:hyperlink r:id="rId114" w:history="1">
        <w:r w:rsidRPr="00EE39EE">
          <w:rPr>
            <w:rStyle w:val="a5"/>
            <w:sz w:val="18"/>
            <w:szCs w:val="18"/>
          </w:rPr>
          <w:t>http://www.gaforum.org/archive/index.php/t-88898.html</w:t>
        </w:r>
      </w:hyperlink>
      <w:hyperlink r:id="rId115" w:history="1">
        <w:r w:rsidRPr="00EE39EE">
          <w:rPr>
            <w:rStyle w:val="a5"/>
            <w:sz w:val="18"/>
            <w:szCs w:val="18"/>
          </w:rPr>
          <w:t>http://www.peacehall.com/news/gb/china/2004/06/200406161040.shtml(2006.08</w:t>
        </w:r>
      </w:hyperlink>
      <w:r w:rsidRPr="00EE39EE">
        <w:rPr>
          <w:szCs w:val="18"/>
        </w:rPr>
        <w:t>)</w:t>
      </w:r>
      <w:r w:rsidRPr="00EE39EE">
        <w:rPr>
          <w:rFonts w:hint="eastAsia"/>
          <w:szCs w:val="18"/>
        </w:rPr>
        <w:t>。</w:t>
      </w:r>
    </w:p>
  </w:footnote>
  <w:footnote w:id="278">
    <w:p w14:paraId="677F4A4D" w14:textId="77777777" w:rsidR="00CA23FA" w:rsidRDefault="00CA23FA" w:rsidP="00BE652C">
      <w:pPr>
        <w:pStyle w:val="3"/>
        <w:jc w:val="left"/>
        <w:rPr>
          <w:rStyle w:val="a5"/>
          <w:sz w:val="18"/>
          <w:szCs w:val="18"/>
        </w:rPr>
      </w:pPr>
      <w:r w:rsidRPr="00EE39EE">
        <w:rPr>
          <w:rStyle w:val="af3"/>
          <w:rFonts w:ascii="新細明體" w:hAnsi="新細明體"/>
          <w:sz w:val="18"/>
          <w:szCs w:val="18"/>
        </w:rPr>
        <w:footnoteRef/>
      </w:r>
      <w:r w:rsidRPr="00EE39EE">
        <w:rPr>
          <w:szCs w:val="18"/>
        </w:rPr>
        <w:t xml:space="preserve"> </w:t>
      </w:r>
      <w:hyperlink r:id="rId116" w:history="1">
        <w:r w:rsidRPr="00EE39EE">
          <w:rPr>
            <w:rStyle w:val="a5"/>
            <w:sz w:val="18"/>
            <w:szCs w:val="18"/>
          </w:rPr>
          <w:t>http://tt.mop.com/club/read_197169.html</w:t>
        </w:r>
      </w:hyperlink>
    </w:p>
    <w:p w14:paraId="19526668" w14:textId="77777777" w:rsidR="00CA23FA" w:rsidRPr="00EE39EE" w:rsidRDefault="00076467" w:rsidP="00BE652C">
      <w:pPr>
        <w:pStyle w:val="3"/>
        <w:jc w:val="left"/>
        <w:rPr>
          <w:szCs w:val="18"/>
        </w:rPr>
      </w:pPr>
      <w:hyperlink r:id="rId117" w:history="1">
        <w:r w:rsidR="00CA23FA" w:rsidRPr="00EE39EE">
          <w:rPr>
            <w:rStyle w:val="a5"/>
            <w:rFonts w:ascii="Arial Unicode MS" w:eastAsia="新細明體" w:hAnsi="Arial Unicode MS"/>
            <w:sz w:val="18"/>
            <w:szCs w:val="18"/>
          </w:rPr>
          <w:t>http://www.peacehall.com/news/gb/china/2004/06/200406161040.shtml</w:t>
        </w:r>
      </w:hyperlink>
      <w:r w:rsidR="00CA23FA" w:rsidRPr="00EE39EE">
        <w:rPr>
          <w:szCs w:val="18"/>
        </w:rPr>
        <w:t>(2006.087)</w:t>
      </w:r>
      <w:r w:rsidR="00CA23FA" w:rsidRPr="00EE39EE">
        <w:rPr>
          <w:rFonts w:hint="eastAsia"/>
          <w:szCs w:val="18"/>
        </w:rPr>
        <w:t>。</w:t>
      </w:r>
    </w:p>
  </w:footnote>
  <w:footnote w:id="279">
    <w:p w14:paraId="092F75FB" w14:textId="77777777" w:rsidR="00CA23FA" w:rsidRPr="00EE39EE" w:rsidRDefault="00CA23FA" w:rsidP="00BE652C">
      <w:pPr>
        <w:pStyle w:val="3"/>
        <w:jc w:val="left"/>
        <w:rPr>
          <w:szCs w:val="18"/>
        </w:rPr>
      </w:pPr>
      <w:r w:rsidRPr="00EE39EE">
        <w:rPr>
          <w:rStyle w:val="af3"/>
          <w:rFonts w:ascii="新細明體" w:hAnsi="新細明體"/>
          <w:sz w:val="18"/>
          <w:szCs w:val="18"/>
        </w:rPr>
        <w:footnoteRef/>
      </w:r>
      <w:r w:rsidRPr="00EE39EE">
        <w:rPr>
          <w:szCs w:val="18"/>
        </w:rPr>
        <w:t xml:space="preserve"> </w:t>
      </w:r>
      <w:r w:rsidRPr="00EE39EE">
        <w:rPr>
          <w:rFonts w:hint="eastAsia"/>
          <w:szCs w:val="18"/>
        </w:rPr>
        <w:t>在分析兩岸軍事衝突之中，較少談及動物生命權之保障議題，此一部份，值得加以關注。</w:t>
      </w:r>
    </w:p>
  </w:footnote>
  <w:footnote w:id="280">
    <w:p w14:paraId="7CCDDB9F" w14:textId="77777777" w:rsidR="00CA23FA" w:rsidRDefault="00CA23FA" w:rsidP="00BE652C">
      <w:pPr>
        <w:pStyle w:val="3"/>
        <w:jc w:val="left"/>
        <w:rPr>
          <w:rStyle w:val="a5"/>
        </w:rPr>
      </w:pPr>
      <w:r w:rsidRPr="00EE39EE">
        <w:rPr>
          <w:rStyle w:val="af3"/>
          <w:rFonts w:ascii="新細明體" w:hAnsi="新細明體"/>
          <w:sz w:val="18"/>
          <w:szCs w:val="18"/>
        </w:rPr>
        <w:footnoteRef/>
      </w:r>
      <w:r w:rsidRPr="00EE39EE">
        <w:rPr>
          <w:rFonts w:hint="eastAsia"/>
          <w:szCs w:val="18"/>
        </w:rPr>
        <w:t>俞正山，《武裝衝突法》，北京：軍事科學出版社，</w:t>
      </w:r>
      <w:r w:rsidRPr="00EE39EE">
        <w:rPr>
          <w:szCs w:val="18"/>
        </w:rPr>
        <w:t>2001</w:t>
      </w:r>
      <w:r w:rsidRPr="00EE39EE">
        <w:rPr>
          <w:rFonts w:hint="eastAsia"/>
          <w:szCs w:val="18"/>
        </w:rPr>
        <w:t>年</w:t>
      </w:r>
      <w:r w:rsidRPr="00EE39EE">
        <w:rPr>
          <w:szCs w:val="18"/>
        </w:rPr>
        <w:t>10</w:t>
      </w:r>
      <w:r w:rsidRPr="00EE39EE">
        <w:rPr>
          <w:rFonts w:hint="eastAsia"/>
          <w:szCs w:val="18"/>
        </w:rPr>
        <w:t>月，頁</w:t>
      </w:r>
      <w:r w:rsidRPr="00EE39EE">
        <w:rPr>
          <w:szCs w:val="18"/>
        </w:rPr>
        <w:t>267</w:t>
      </w:r>
      <w:r w:rsidRPr="00EE39EE">
        <w:rPr>
          <w:rFonts w:hint="eastAsia"/>
          <w:szCs w:val="18"/>
        </w:rPr>
        <w:t>。轉引自：藍天虹，論反制中共法律戰的作為，空軍學術月刊</w:t>
      </w:r>
      <w:r w:rsidRPr="00EE39EE">
        <w:rPr>
          <w:szCs w:val="18"/>
        </w:rPr>
        <w:t>581</w:t>
      </w:r>
      <w:r w:rsidRPr="00EE39EE">
        <w:rPr>
          <w:rFonts w:hint="eastAsia"/>
          <w:szCs w:val="18"/>
        </w:rPr>
        <w:t>期，</w:t>
      </w:r>
      <w:r w:rsidRPr="00EE39EE">
        <w:rPr>
          <w:szCs w:val="18"/>
        </w:rPr>
        <w:t>2005/7/6</w:t>
      </w:r>
      <w:r w:rsidRPr="00EE39EE">
        <w:rPr>
          <w:rFonts w:hint="eastAsia"/>
          <w:szCs w:val="18"/>
        </w:rPr>
        <w:t>，</w:t>
      </w:r>
      <w:hyperlink r:id="rId118" w:history="1">
        <w:r w:rsidRPr="001663AE">
          <w:rPr>
            <w:rStyle w:val="a5"/>
          </w:rPr>
          <w:t>http://www.mnd.gov.tw/publication/subject.aspx?TopicID=415</w:t>
        </w:r>
      </w:hyperlink>
    </w:p>
    <w:p w14:paraId="006F60DF" w14:textId="77777777" w:rsidR="00CA23FA" w:rsidRPr="001663AE" w:rsidRDefault="00076467" w:rsidP="00BE652C">
      <w:pPr>
        <w:pStyle w:val="3"/>
        <w:jc w:val="left"/>
      </w:pPr>
      <w:hyperlink r:id="rId119" w:history="1">
        <w:r w:rsidR="00CA23FA" w:rsidRPr="00EE39EE">
          <w:rPr>
            <w:rStyle w:val="a5"/>
            <w:rFonts w:ascii="Arial Unicode MS" w:eastAsia="新細明體" w:hAnsi="Arial Unicode MS"/>
            <w:sz w:val="18"/>
          </w:rPr>
          <w:t>http://www.peacehall.com/news/gb/china/2004/06/200406161040.shtml</w:t>
        </w:r>
      </w:hyperlink>
      <w:r w:rsidR="00CA23FA" w:rsidRPr="001663AE">
        <w:t>(2006.08)</w:t>
      </w:r>
      <w:r w:rsidR="00CA23FA" w:rsidRPr="001663AE">
        <w:rPr>
          <w:rFonts w:hint="eastAsia"/>
        </w:rPr>
        <w:t>。</w:t>
      </w:r>
    </w:p>
  </w:footnote>
  <w:footnote w:id="281">
    <w:p w14:paraId="4BE3F319" w14:textId="77777777" w:rsidR="00CA23FA" w:rsidRPr="00EE39EE" w:rsidRDefault="00CA23FA" w:rsidP="00BE652C">
      <w:pPr>
        <w:pStyle w:val="3"/>
        <w:jc w:val="left"/>
        <w:rPr>
          <w:sz w:val="20"/>
          <w:szCs w:val="20"/>
        </w:rPr>
      </w:pPr>
      <w:r w:rsidRPr="00EE39EE">
        <w:rPr>
          <w:rStyle w:val="af3"/>
          <w:rFonts w:ascii="新細明體" w:hAnsi="新細明體"/>
          <w:sz w:val="20"/>
          <w:szCs w:val="20"/>
        </w:rPr>
        <w:footnoteRef/>
      </w:r>
      <w:r w:rsidRPr="00EE39EE">
        <w:rPr>
          <w:sz w:val="20"/>
          <w:szCs w:val="20"/>
        </w:rPr>
        <w:t xml:space="preserve"> </w:t>
      </w:r>
      <w:r w:rsidRPr="00EE39EE">
        <w:rPr>
          <w:rFonts w:hint="eastAsia"/>
          <w:sz w:val="20"/>
          <w:szCs w:val="20"/>
        </w:rPr>
        <w:t>《日內瓦公約》計包括以下</w:t>
      </w:r>
      <w:r w:rsidRPr="00EE39EE">
        <w:rPr>
          <w:sz w:val="20"/>
          <w:szCs w:val="20"/>
        </w:rPr>
        <w:t>4</w:t>
      </w:r>
      <w:r w:rsidRPr="00EE39EE">
        <w:rPr>
          <w:rFonts w:hint="eastAsia"/>
          <w:sz w:val="20"/>
          <w:szCs w:val="20"/>
        </w:rPr>
        <w:t>個公約</w:t>
      </w:r>
      <w:r w:rsidRPr="00EE39EE">
        <w:rPr>
          <w:sz w:val="20"/>
          <w:szCs w:val="20"/>
        </w:rPr>
        <w:t>〜</w:t>
      </w:r>
      <w:r w:rsidRPr="00EE39EE">
        <w:rPr>
          <w:sz w:val="20"/>
          <w:szCs w:val="20"/>
        </w:rPr>
        <w:t>“</w:t>
      </w:r>
      <w:r w:rsidRPr="00EE39EE">
        <w:rPr>
          <w:rFonts w:hint="eastAsia"/>
          <w:sz w:val="20"/>
          <w:szCs w:val="20"/>
        </w:rPr>
        <w:t>第一公約</w:t>
      </w:r>
      <w:r w:rsidRPr="00EE39EE">
        <w:rPr>
          <w:sz w:val="20"/>
          <w:szCs w:val="20"/>
        </w:rPr>
        <w:t>”</w:t>
      </w:r>
      <w:r w:rsidRPr="00EE39EE">
        <w:rPr>
          <w:rFonts w:hint="eastAsia"/>
          <w:sz w:val="20"/>
          <w:szCs w:val="20"/>
        </w:rPr>
        <w:t>、</w:t>
      </w:r>
      <w:r w:rsidRPr="00EE39EE">
        <w:rPr>
          <w:sz w:val="20"/>
          <w:szCs w:val="20"/>
        </w:rPr>
        <w:t>“</w:t>
      </w:r>
      <w:r w:rsidRPr="00EE39EE">
        <w:rPr>
          <w:rFonts w:hint="eastAsia"/>
          <w:sz w:val="20"/>
          <w:szCs w:val="20"/>
        </w:rPr>
        <w:t>第二公約</w:t>
      </w:r>
      <w:r w:rsidRPr="00EE39EE">
        <w:rPr>
          <w:sz w:val="20"/>
          <w:szCs w:val="20"/>
        </w:rPr>
        <w:t>”</w:t>
      </w:r>
      <w:r w:rsidRPr="00EE39EE">
        <w:rPr>
          <w:rFonts w:hint="eastAsia"/>
          <w:sz w:val="20"/>
          <w:szCs w:val="20"/>
        </w:rPr>
        <w:t>、</w:t>
      </w:r>
      <w:r w:rsidRPr="00EE39EE">
        <w:rPr>
          <w:sz w:val="20"/>
          <w:szCs w:val="20"/>
        </w:rPr>
        <w:t>“</w:t>
      </w:r>
      <w:r w:rsidRPr="00EE39EE">
        <w:rPr>
          <w:rFonts w:hint="eastAsia"/>
          <w:sz w:val="20"/>
          <w:szCs w:val="20"/>
        </w:rPr>
        <w:t>第三公約</w:t>
      </w:r>
      <w:r w:rsidRPr="00EE39EE">
        <w:rPr>
          <w:sz w:val="20"/>
          <w:szCs w:val="20"/>
        </w:rPr>
        <w:t>”</w:t>
      </w:r>
      <w:r w:rsidRPr="00EE39EE">
        <w:rPr>
          <w:rFonts w:hint="eastAsia"/>
          <w:sz w:val="20"/>
          <w:szCs w:val="20"/>
        </w:rPr>
        <w:t>和</w:t>
      </w:r>
      <w:r w:rsidRPr="00EE39EE">
        <w:rPr>
          <w:sz w:val="20"/>
          <w:szCs w:val="20"/>
        </w:rPr>
        <w:t>“</w:t>
      </w:r>
      <w:r w:rsidRPr="00EE39EE">
        <w:rPr>
          <w:rFonts w:hint="eastAsia"/>
          <w:sz w:val="20"/>
          <w:szCs w:val="20"/>
        </w:rPr>
        <w:t>第四公約</w:t>
      </w:r>
      <w:r w:rsidRPr="00EE39EE">
        <w:rPr>
          <w:sz w:val="20"/>
          <w:szCs w:val="20"/>
        </w:rPr>
        <w:t>”</w:t>
      </w:r>
      <w:r w:rsidRPr="00EE39EE">
        <w:rPr>
          <w:rFonts w:hint="eastAsia"/>
          <w:sz w:val="20"/>
          <w:szCs w:val="20"/>
        </w:rPr>
        <w:t>。分別指</w:t>
      </w:r>
      <w:r w:rsidRPr="00EE39EE">
        <w:rPr>
          <w:sz w:val="20"/>
          <w:szCs w:val="20"/>
        </w:rPr>
        <w:t>“</w:t>
      </w:r>
      <w:r w:rsidRPr="00EE39EE">
        <w:rPr>
          <w:rFonts w:hint="eastAsia"/>
          <w:sz w:val="20"/>
          <w:szCs w:val="20"/>
        </w:rPr>
        <w:t>第一公約</w:t>
      </w:r>
      <w:r w:rsidRPr="00EE39EE">
        <w:rPr>
          <w:sz w:val="20"/>
          <w:szCs w:val="20"/>
        </w:rPr>
        <w:t>”</w:t>
      </w:r>
      <w:r w:rsidRPr="00EE39EE">
        <w:rPr>
          <w:rFonts w:hint="eastAsia"/>
          <w:sz w:val="20"/>
          <w:szCs w:val="20"/>
        </w:rPr>
        <w:t>、</w:t>
      </w:r>
      <w:r w:rsidRPr="00EE39EE">
        <w:rPr>
          <w:sz w:val="20"/>
          <w:szCs w:val="20"/>
        </w:rPr>
        <w:t>“</w:t>
      </w:r>
      <w:r w:rsidRPr="00EE39EE">
        <w:rPr>
          <w:rFonts w:hint="eastAsia"/>
          <w:sz w:val="20"/>
          <w:szCs w:val="20"/>
        </w:rPr>
        <w:t>第二公約</w:t>
      </w:r>
      <w:r w:rsidRPr="00EE39EE">
        <w:rPr>
          <w:sz w:val="20"/>
          <w:szCs w:val="20"/>
        </w:rPr>
        <w:t>”</w:t>
      </w:r>
      <w:r w:rsidRPr="00EE39EE">
        <w:rPr>
          <w:rFonts w:hint="eastAsia"/>
          <w:sz w:val="20"/>
          <w:szCs w:val="20"/>
        </w:rPr>
        <w:t>、</w:t>
      </w:r>
      <w:r w:rsidRPr="00EE39EE">
        <w:rPr>
          <w:sz w:val="20"/>
          <w:szCs w:val="20"/>
        </w:rPr>
        <w:t>“</w:t>
      </w:r>
      <w:r w:rsidRPr="00EE39EE">
        <w:rPr>
          <w:rFonts w:hint="eastAsia"/>
          <w:sz w:val="20"/>
          <w:szCs w:val="20"/>
        </w:rPr>
        <w:t>第三公約</w:t>
      </w:r>
      <w:r w:rsidRPr="00EE39EE">
        <w:rPr>
          <w:sz w:val="20"/>
          <w:szCs w:val="20"/>
        </w:rPr>
        <w:t>”</w:t>
      </w:r>
      <w:r w:rsidRPr="00EE39EE">
        <w:rPr>
          <w:rFonts w:hint="eastAsia"/>
          <w:sz w:val="20"/>
          <w:szCs w:val="20"/>
        </w:rPr>
        <w:t>和</w:t>
      </w:r>
      <w:r w:rsidRPr="00EE39EE">
        <w:rPr>
          <w:sz w:val="20"/>
          <w:szCs w:val="20"/>
        </w:rPr>
        <w:t>“</w:t>
      </w:r>
      <w:r w:rsidRPr="00EE39EE">
        <w:rPr>
          <w:rFonts w:hint="eastAsia"/>
          <w:sz w:val="20"/>
          <w:szCs w:val="20"/>
        </w:rPr>
        <w:t>第四公約</w:t>
      </w:r>
      <w:r w:rsidRPr="00EE39EE">
        <w:rPr>
          <w:sz w:val="20"/>
          <w:szCs w:val="20"/>
        </w:rPr>
        <w:t>”</w:t>
      </w:r>
      <w:r w:rsidRPr="00EE39EE">
        <w:rPr>
          <w:rFonts w:hint="eastAsia"/>
          <w:sz w:val="20"/>
          <w:szCs w:val="20"/>
        </w:rPr>
        <w:t>：</w:t>
      </w:r>
      <w:r>
        <w:rPr>
          <w:rFonts w:hint="eastAsia"/>
          <w:sz w:val="20"/>
          <w:szCs w:val="20"/>
        </w:rPr>
        <w:t>1949</w:t>
      </w:r>
      <w:r w:rsidRPr="00EE39EE">
        <w:rPr>
          <w:rFonts w:hint="eastAsia"/>
          <w:sz w:val="20"/>
          <w:szCs w:val="20"/>
        </w:rPr>
        <w:t>年</w:t>
      </w:r>
      <w:r>
        <w:rPr>
          <w:rFonts w:hint="eastAsia"/>
          <w:sz w:val="20"/>
          <w:szCs w:val="20"/>
        </w:rPr>
        <w:t>8</w:t>
      </w:r>
      <w:r w:rsidRPr="00EE39EE">
        <w:rPr>
          <w:rFonts w:hint="eastAsia"/>
          <w:sz w:val="20"/>
          <w:szCs w:val="20"/>
        </w:rPr>
        <w:t>月</w:t>
      </w:r>
      <w:r>
        <w:rPr>
          <w:rFonts w:hint="eastAsia"/>
          <w:sz w:val="20"/>
          <w:szCs w:val="20"/>
        </w:rPr>
        <w:t>12</w:t>
      </w:r>
      <w:r w:rsidRPr="00EE39EE">
        <w:rPr>
          <w:rFonts w:hint="eastAsia"/>
          <w:sz w:val="20"/>
          <w:szCs w:val="20"/>
        </w:rPr>
        <w:t>日改善戰地武裝部隊傷者病者境遇的日內瓦公約</w:t>
      </w:r>
      <w:r w:rsidRPr="00EE39EE">
        <w:rPr>
          <w:sz w:val="20"/>
          <w:szCs w:val="20"/>
        </w:rPr>
        <w:t>(“</w:t>
      </w:r>
      <w:r w:rsidRPr="00EE39EE">
        <w:rPr>
          <w:rFonts w:hint="eastAsia"/>
          <w:sz w:val="20"/>
          <w:szCs w:val="20"/>
        </w:rPr>
        <w:t>第一公約</w:t>
      </w:r>
      <w:r w:rsidRPr="00EE39EE">
        <w:rPr>
          <w:sz w:val="20"/>
          <w:szCs w:val="20"/>
        </w:rPr>
        <w:t>”)</w:t>
      </w:r>
      <w:r w:rsidRPr="00EE39EE">
        <w:rPr>
          <w:rFonts w:hint="eastAsia"/>
          <w:sz w:val="20"/>
          <w:szCs w:val="20"/>
        </w:rPr>
        <w:t>；</w:t>
      </w:r>
      <w:r>
        <w:rPr>
          <w:rFonts w:hint="eastAsia"/>
          <w:sz w:val="20"/>
          <w:szCs w:val="20"/>
        </w:rPr>
        <w:t>1949</w:t>
      </w:r>
      <w:r w:rsidRPr="00EE39EE">
        <w:rPr>
          <w:rFonts w:hint="eastAsia"/>
          <w:sz w:val="20"/>
          <w:szCs w:val="20"/>
        </w:rPr>
        <w:t>年</w:t>
      </w:r>
      <w:r>
        <w:rPr>
          <w:rFonts w:hint="eastAsia"/>
          <w:sz w:val="20"/>
          <w:szCs w:val="20"/>
        </w:rPr>
        <w:t>8</w:t>
      </w:r>
      <w:r w:rsidRPr="00EE39EE">
        <w:rPr>
          <w:rFonts w:hint="eastAsia"/>
          <w:sz w:val="20"/>
          <w:szCs w:val="20"/>
        </w:rPr>
        <w:t>月</w:t>
      </w:r>
      <w:r>
        <w:rPr>
          <w:rFonts w:hint="eastAsia"/>
          <w:sz w:val="20"/>
          <w:szCs w:val="20"/>
        </w:rPr>
        <w:t>12</w:t>
      </w:r>
      <w:r w:rsidRPr="00EE39EE">
        <w:rPr>
          <w:rFonts w:hint="eastAsia"/>
          <w:sz w:val="20"/>
          <w:szCs w:val="20"/>
        </w:rPr>
        <w:t>日改善海上武裝部隊傷者病者及遇船難者境遇的日內瓦公約</w:t>
      </w:r>
      <w:r w:rsidRPr="00EE39EE">
        <w:rPr>
          <w:sz w:val="20"/>
          <w:szCs w:val="20"/>
        </w:rPr>
        <w:t>(“</w:t>
      </w:r>
      <w:r w:rsidRPr="00EE39EE">
        <w:rPr>
          <w:rFonts w:hint="eastAsia"/>
          <w:sz w:val="20"/>
          <w:szCs w:val="20"/>
        </w:rPr>
        <w:t>第二公約</w:t>
      </w:r>
      <w:r w:rsidRPr="00EE39EE">
        <w:rPr>
          <w:sz w:val="20"/>
          <w:szCs w:val="20"/>
        </w:rPr>
        <w:t>”)</w:t>
      </w:r>
      <w:r w:rsidRPr="00EE39EE">
        <w:rPr>
          <w:rFonts w:hint="eastAsia"/>
          <w:sz w:val="20"/>
          <w:szCs w:val="20"/>
        </w:rPr>
        <w:t>；</w:t>
      </w:r>
      <w:r>
        <w:rPr>
          <w:rFonts w:hint="eastAsia"/>
          <w:sz w:val="20"/>
          <w:szCs w:val="20"/>
        </w:rPr>
        <w:t>1949</w:t>
      </w:r>
      <w:r w:rsidRPr="00EE39EE">
        <w:rPr>
          <w:rFonts w:hint="eastAsia"/>
          <w:sz w:val="20"/>
          <w:szCs w:val="20"/>
        </w:rPr>
        <w:t>年</w:t>
      </w:r>
      <w:r>
        <w:rPr>
          <w:rFonts w:hint="eastAsia"/>
          <w:sz w:val="20"/>
          <w:szCs w:val="20"/>
        </w:rPr>
        <w:t>8</w:t>
      </w:r>
      <w:r w:rsidRPr="00EE39EE">
        <w:rPr>
          <w:rFonts w:hint="eastAsia"/>
          <w:sz w:val="20"/>
          <w:szCs w:val="20"/>
        </w:rPr>
        <w:t>月</w:t>
      </w:r>
      <w:r>
        <w:rPr>
          <w:rFonts w:hint="eastAsia"/>
          <w:sz w:val="20"/>
          <w:szCs w:val="20"/>
        </w:rPr>
        <w:t>12</w:t>
      </w:r>
      <w:r w:rsidRPr="00EE39EE">
        <w:rPr>
          <w:rFonts w:hint="eastAsia"/>
          <w:sz w:val="20"/>
          <w:szCs w:val="20"/>
        </w:rPr>
        <w:t>日關於戰俘待遇的日內瓦公約</w:t>
      </w:r>
      <w:r w:rsidRPr="00EE39EE">
        <w:rPr>
          <w:sz w:val="20"/>
          <w:szCs w:val="20"/>
        </w:rPr>
        <w:t>(“</w:t>
      </w:r>
      <w:r w:rsidRPr="00EE39EE">
        <w:rPr>
          <w:rFonts w:hint="eastAsia"/>
          <w:sz w:val="20"/>
          <w:szCs w:val="20"/>
        </w:rPr>
        <w:t>第三公約</w:t>
      </w:r>
      <w:r w:rsidRPr="00EE39EE">
        <w:rPr>
          <w:sz w:val="20"/>
          <w:szCs w:val="20"/>
        </w:rPr>
        <w:t>”)</w:t>
      </w:r>
      <w:r w:rsidRPr="00EE39EE">
        <w:rPr>
          <w:rFonts w:hint="eastAsia"/>
          <w:sz w:val="20"/>
          <w:szCs w:val="20"/>
        </w:rPr>
        <w:t>；</w:t>
      </w:r>
      <w:r>
        <w:rPr>
          <w:rFonts w:hint="eastAsia"/>
          <w:sz w:val="20"/>
          <w:szCs w:val="20"/>
        </w:rPr>
        <w:t>1949</w:t>
      </w:r>
      <w:r w:rsidRPr="00EE39EE">
        <w:rPr>
          <w:rFonts w:hint="eastAsia"/>
          <w:sz w:val="20"/>
          <w:szCs w:val="20"/>
        </w:rPr>
        <w:t>年</w:t>
      </w:r>
      <w:r>
        <w:rPr>
          <w:rFonts w:hint="eastAsia"/>
          <w:sz w:val="20"/>
          <w:szCs w:val="20"/>
        </w:rPr>
        <w:t>8</w:t>
      </w:r>
      <w:r w:rsidRPr="00EE39EE">
        <w:rPr>
          <w:rFonts w:hint="eastAsia"/>
          <w:sz w:val="20"/>
          <w:szCs w:val="20"/>
        </w:rPr>
        <w:t>月</w:t>
      </w:r>
      <w:r>
        <w:rPr>
          <w:rFonts w:hint="eastAsia"/>
          <w:sz w:val="20"/>
          <w:szCs w:val="20"/>
        </w:rPr>
        <w:t>12</w:t>
      </w:r>
      <w:r w:rsidRPr="00EE39EE">
        <w:rPr>
          <w:rFonts w:hint="eastAsia"/>
          <w:sz w:val="20"/>
          <w:szCs w:val="20"/>
        </w:rPr>
        <w:t>日關於戰時保護平民的日內瓦公約</w:t>
      </w:r>
      <w:r w:rsidRPr="00EE39EE">
        <w:rPr>
          <w:sz w:val="20"/>
          <w:szCs w:val="20"/>
        </w:rPr>
        <w:t>(“</w:t>
      </w:r>
      <w:r w:rsidRPr="00EE39EE">
        <w:rPr>
          <w:rFonts w:hint="eastAsia"/>
          <w:sz w:val="20"/>
          <w:szCs w:val="20"/>
        </w:rPr>
        <w:t>第四公約</w:t>
      </w:r>
      <w:r w:rsidRPr="00EE39EE">
        <w:rPr>
          <w:sz w:val="20"/>
          <w:szCs w:val="20"/>
        </w:rPr>
        <w:t>”)</w:t>
      </w:r>
      <w:r w:rsidRPr="00EE39EE">
        <w:rPr>
          <w:rFonts w:hint="eastAsia"/>
          <w:sz w:val="20"/>
          <w:szCs w:val="20"/>
        </w:rPr>
        <w:t>；</w:t>
      </w:r>
    </w:p>
  </w:footnote>
  <w:footnote w:id="282">
    <w:p w14:paraId="02F1E6BF" w14:textId="77777777" w:rsidR="00CA23FA" w:rsidRDefault="00CA23FA" w:rsidP="00BE652C">
      <w:pPr>
        <w:pStyle w:val="3"/>
        <w:jc w:val="left"/>
        <w:rPr>
          <w:rStyle w:val="a5"/>
          <w:sz w:val="20"/>
          <w:szCs w:val="20"/>
        </w:rPr>
      </w:pPr>
      <w:r w:rsidRPr="00EE39EE">
        <w:rPr>
          <w:rStyle w:val="af3"/>
          <w:rFonts w:ascii="新細明體" w:hAnsi="新細明體"/>
          <w:sz w:val="20"/>
          <w:szCs w:val="20"/>
        </w:rPr>
        <w:footnoteRef/>
      </w:r>
      <w:r w:rsidRPr="00EE39EE">
        <w:rPr>
          <w:rFonts w:hint="eastAsia"/>
          <w:sz w:val="20"/>
          <w:szCs w:val="20"/>
        </w:rPr>
        <w:t>《日內瓦公約》是目前得到國際社會最廣泛認可和尊重的國際公約之一，它是紅十字人道主義思想和行為在戰爭時期的體現。以上，請參閱：青島市紅十字會，</w:t>
      </w:r>
      <w:hyperlink r:id="rId120" w:history="1">
        <w:r w:rsidRPr="00EE39EE">
          <w:rPr>
            <w:rStyle w:val="a5"/>
            <w:sz w:val="20"/>
            <w:szCs w:val="20"/>
          </w:rPr>
          <w:t>http://redcross.qingdao.gov.cn/cn/episteme_4.asp?tmpId=17</w:t>
        </w:r>
      </w:hyperlink>
    </w:p>
    <w:p w14:paraId="152DD21B" w14:textId="77777777" w:rsidR="00CA23FA" w:rsidRPr="00EE39EE" w:rsidRDefault="00076467" w:rsidP="00BE652C">
      <w:pPr>
        <w:pStyle w:val="3"/>
        <w:jc w:val="left"/>
        <w:rPr>
          <w:sz w:val="20"/>
          <w:szCs w:val="20"/>
        </w:rPr>
      </w:pPr>
      <w:hyperlink r:id="rId121" w:history="1">
        <w:r w:rsidR="00CA23FA" w:rsidRPr="00EE39EE">
          <w:rPr>
            <w:rStyle w:val="a5"/>
            <w:rFonts w:ascii="Arial Unicode MS" w:eastAsia="新細明體" w:hAnsi="Arial Unicode MS"/>
            <w:sz w:val="20"/>
            <w:szCs w:val="20"/>
          </w:rPr>
          <w:t>http://www.peacehall.com/news/gb/china/2004/06/200406161040.shtml</w:t>
        </w:r>
      </w:hyperlink>
      <w:r w:rsidR="00CA23FA" w:rsidRPr="00EE39EE">
        <w:rPr>
          <w:sz w:val="20"/>
          <w:szCs w:val="20"/>
        </w:rPr>
        <w:t>(2006.09)</w:t>
      </w:r>
      <w:r w:rsidR="00CA23FA" w:rsidRPr="00EE39EE">
        <w:rPr>
          <w:rFonts w:hint="eastAsia"/>
          <w:sz w:val="20"/>
          <w:szCs w:val="20"/>
        </w:rPr>
        <w:t>。</w:t>
      </w:r>
    </w:p>
  </w:footnote>
  <w:footnote w:id="283">
    <w:p w14:paraId="19E20970" w14:textId="77777777" w:rsidR="00CA23FA" w:rsidRPr="00EE39EE" w:rsidRDefault="00CA23FA" w:rsidP="00BE652C">
      <w:pPr>
        <w:pStyle w:val="3"/>
        <w:jc w:val="left"/>
        <w:rPr>
          <w:sz w:val="20"/>
          <w:szCs w:val="20"/>
        </w:rPr>
      </w:pPr>
      <w:r w:rsidRPr="00EE39EE">
        <w:rPr>
          <w:rStyle w:val="af3"/>
          <w:rFonts w:ascii="新細明體" w:hAnsi="新細明體"/>
          <w:sz w:val="20"/>
          <w:szCs w:val="20"/>
        </w:rPr>
        <w:footnoteRef/>
      </w:r>
      <w:r w:rsidRPr="00EE39EE">
        <w:rPr>
          <w:sz w:val="20"/>
          <w:szCs w:val="20"/>
        </w:rPr>
        <w:t xml:space="preserve"> </w:t>
      </w:r>
      <w:r w:rsidRPr="00EE39EE">
        <w:rPr>
          <w:rFonts w:hint="eastAsia"/>
          <w:sz w:val="20"/>
          <w:szCs w:val="20"/>
        </w:rPr>
        <w:t>有關全文部分，請參閱：</w:t>
      </w:r>
      <w:hyperlink r:id="rId122" w:history="1">
        <w:r w:rsidRPr="00EE39EE">
          <w:rPr>
            <w:rStyle w:val="a5"/>
            <w:sz w:val="20"/>
            <w:szCs w:val="20"/>
          </w:rPr>
          <w:t>http://www.un.org/chinese/documents/decl-con/geneva_protocol_2.htm</w:t>
        </w:r>
      </w:hyperlink>
      <w:hyperlink r:id="rId123" w:history="1">
        <w:r w:rsidRPr="00EE39EE">
          <w:rPr>
            <w:rStyle w:val="a5"/>
            <w:sz w:val="20"/>
            <w:szCs w:val="20"/>
          </w:rPr>
          <w:t>http://www.peacehall.com/news/gb/china/2004/06/200406161040.shtml(2006.08</w:t>
        </w:r>
      </w:hyperlink>
      <w:r w:rsidRPr="00EE39EE">
        <w:rPr>
          <w:sz w:val="20"/>
          <w:szCs w:val="20"/>
        </w:rPr>
        <w:t>)</w:t>
      </w:r>
      <w:r w:rsidRPr="00EE39EE">
        <w:rPr>
          <w:rFonts w:hint="eastAsia"/>
          <w:sz w:val="20"/>
          <w:szCs w:val="20"/>
        </w:rPr>
        <w:t>。</w:t>
      </w:r>
    </w:p>
  </w:footnote>
  <w:footnote w:id="284">
    <w:p w14:paraId="0F90DDF0" w14:textId="77777777" w:rsidR="00CA23FA" w:rsidRPr="00EE39EE" w:rsidRDefault="00CA23FA" w:rsidP="00BE652C">
      <w:pPr>
        <w:pStyle w:val="3"/>
        <w:jc w:val="left"/>
        <w:rPr>
          <w:rFonts w:ascii="新細明體" w:hAnsi="新細明體"/>
          <w:sz w:val="20"/>
          <w:szCs w:val="20"/>
        </w:rPr>
      </w:pPr>
      <w:r w:rsidRPr="00EE39EE">
        <w:rPr>
          <w:rStyle w:val="af3"/>
          <w:bCs w:val="0"/>
          <w:sz w:val="20"/>
          <w:szCs w:val="20"/>
          <w:vertAlign w:val="baseline"/>
        </w:rPr>
        <w:footnoteRef/>
      </w:r>
      <w:r w:rsidRPr="00EE39EE">
        <w:rPr>
          <w:rFonts w:hint="eastAsia"/>
          <w:sz w:val="20"/>
          <w:szCs w:val="20"/>
        </w:rPr>
        <w:t>藍天虹，論反制中共法律戰的作為，空軍學術月刊</w:t>
      </w:r>
      <w:r w:rsidRPr="00EE39EE">
        <w:rPr>
          <w:sz w:val="20"/>
          <w:szCs w:val="20"/>
        </w:rPr>
        <w:t>581</w:t>
      </w:r>
      <w:r w:rsidRPr="00EE39EE">
        <w:rPr>
          <w:rFonts w:hint="eastAsia"/>
          <w:sz w:val="20"/>
          <w:szCs w:val="20"/>
        </w:rPr>
        <w:t>期，</w:t>
      </w:r>
      <w:r w:rsidRPr="00EE39EE">
        <w:rPr>
          <w:sz w:val="20"/>
          <w:szCs w:val="20"/>
        </w:rPr>
        <w:t>2005/7/6</w:t>
      </w:r>
      <w:r w:rsidRPr="00EE39EE">
        <w:rPr>
          <w:rFonts w:hint="eastAsia"/>
          <w:sz w:val="20"/>
          <w:szCs w:val="20"/>
        </w:rPr>
        <w:t>，</w:t>
      </w:r>
      <w:hyperlink r:id="rId124" w:history="1">
        <w:r w:rsidRPr="00EE39EE">
          <w:rPr>
            <w:rStyle w:val="a5"/>
            <w:sz w:val="20"/>
            <w:szCs w:val="20"/>
          </w:rPr>
          <w:t>http://www.mnd.gov.tw/publication/subject.aspx?TopicID=415</w:t>
        </w:r>
      </w:hyperlink>
      <w:hyperlink r:id="rId125" w:history="1">
        <w:r w:rsidRPr="00EE39EE">
          <w:rPr>
            <w:rStyle w:val="a5"/>
            <w:sz w:val="20"/>
            <w:szCs w:val="20"/>
          </w:rPr>
          <w:t>http://www.peacehall.com/news/gb/china/2004/06/200406161040.shtml(2006.08</w:t>
        </w:r>
      </w:hyperlink>
      <w:r w:rsidRPr="00EE39EE">
        <w:rPr>
          <w:rFonts w:ascii="新細明體" w:hAnsi="新細明體"/>
          <w:sz w:val="20"/>
          <w:szCs w:val="20"/>
        </w:rPr>
        <w:t>)</w:t>
      </w:r>
      <w:r w:rsidRPr="00EE39EE">
        <w:rPr>
          <w:rFonts w:ascii="新細明體" w:hAnsi="新細明體" w:hint="eastAsia"/>
          <w:sz w:val="20"/>
          <w:szCs w:val="20"/>
        </w:rPr>
        <w:t>。</w:t>
      </w:r>
    </w:p>
  </w:footnote>
  <w:footnote w:id="285">
    <w:p w14:paraId="439F0845" w14:textId="77777777" w:rsidR="00CA23FA" w:rsidRDefault="00CA23FA" w:rsidP="00BE652C">
      <w:pPr>
        <w:pStyle w:val="3"/>
        <w:jc w:val="left"/>
        <w:rPr>
          <w:rStyle w:val="a5"/>
          <w:sz w:val="20"/>
          <w:szCs w:val="20"/>
        </w:rPr>
      </w:pPr>
      <w:r w:rsidRPr="00EE39EE">
        <w:rPr>
          <w:rStyle w:val="af3"/>
          <w:rFonts w:ascii="新細明體" w:hAnsi="新細明體"/>
          <w:sz w:val="20"/>
          <w:szCs w:val="20"/>
        </w:rPr>
        <w:footnoteRef/>
      </w:r>
      <w:r w:rsidRPr="00EE39EE">
        <w:rPr>
          <w:rFonts w:hint="eastAsia"/>
          <w:sz w:val="20"/>
          <w:szCs w:val="20"/>
        </w:rPr>
        <w:t>有關全文部分，請參閱：</w:t>
      </w:r>
      <w:hyperlink r:id="rId126" w:history="1">
        <w:r w:rsidRPr="00EE39EE">
          <w:rPr>
            <w:rStyle w:val="a5"/>
            <w:sz w:val="20"/>
            <w:szCs w:val="20"/>
          </w:rPr>
          <w:t>http://www.un.org/chinese/documents/decl-con/geneva_protocol_1.htm</w:t>
        </w:r>
      </w:hyperlink>
    </w:p>
    <w:p w14:paraId="470D0EDD" w14:textId="77777777" w:rsidR="00CA23FA" w:rsidRPr="00EE39EE" w:rsidRDefault="00076467" w:rsidP="00BE652C">
      <w:pPr>
        <w:pStyle w:val="3"/>
        <w:jc w:val="left"/>
        <w:rPr>
          <w:sz w:val="20"/>
          <w:szCs w:val="20"/>
        </w:rPr>
      </w:pPr>
      <w:hyperlink r:id="rId127" w:history="1">
        <w:r w:rsidR="00CA23FA" w:rsidRPr="00EE39EE">
          <w:rPr>
            <w:rStyle w:val="a5"/>
            <w:rFonts w:ascii="Arial Unicode MS" w:eastAsia="新細明體" w:hAnsi="Arial Unicode MS"/>
            <w:sz w:val="20"/>
            <w:szCs w:val="20"/>
          </w:rPr>
          <w:t>http://www.peacehall.com/news/gb/china/2004/06/200406161040.shtml</w:t>
        </w:r>
      </w:hyperlink>
      <w:r w:rsidR="00CA23FA" w:rsidRPr="00EE39EE">
        <w:rPr>
          <w:sz w:val="20"/>
          <w:szCs w:val="20"/>
        </w:rPr>
        <w:t>(2006.010)</w:t>
      </w:r>
      <w:r w:rsidR="00CA23FA" w:rsidRPr="00EE39EE">
        <w:rPr>
          <w:rFonts w:hint="eastAsia"/>
          <w:sz w:val="20"/>
          <w:szCs w:val="20"/>
        </w:rPr>
        <w:t>。</w:t>
      </w:r>
    </w:p>
  </w:footnote>
  <w:footnote w:id="286">
    <w:p w14:paraId="5B001F48" w14:textId="77777777" w:rsidR="00CA23FA" w:rsidRPr="00445210" w:rsidRDefault="00CA23FA" w:rsidP="00BE652C">
      <w:pPr>
        <w:pStyle w:val="3"/>
        <w:jc w:val="left"/>
        <w:rPr>
          <w:rFonts w:asciiTheme="minorEastAsia" w:eastAsiaTheme="minorEastAsia" w:hAnsiTheme="minorEastAsia"/>
          <w:sz w:val="20"/>
          <w:szCs w:val="20"/>
        </w:rPr>
      </w:pPr>
      <w:r w:rsidRPr="00445210">
        <w:rPr>
          <w:rStyle w:val="af3"/>
          <w:rFonts w:asciiTheme="minorEastAsia" w:eastAsiaTheme="minorEastAsia" w:hAnsiTheme="minorEastAsia"/>
          <w:sz w:val="20"/>
          <w:szCs w:val="20"/>
        </w:rPr>
        <w:footnoteRef/>
      </w:r>
      <w:r w:rsidRPr="00445210">
        <w:rPr>
          <w:rFonts w:asciiTheme="minorEastAsia" w:eastAsiaTheme="minorEastAsia" w:hAnsiTheme="minorEastAsia"/>
          <w:sz w:val="20"/>
          <w:szCs w:val="20"/>
        </w:rPr>
        <w:t xml:space="preserve"> </w:t>
      </w:r>
      <w:r w:rsidRPr="00445210">
        <w:rPr>
          <w:rStyle w:val="HTML0"/>
          <w:rFonts w:asciiTheme="minorEastAsia" w:eastAsiaTheme="minorEastAsia" w:hAnsiTheme="minorEastAsia" w:hint="eastAsia"/>
          <w:sz w:val="20"/>
          <w:szCs w:val="20"/>
        </w:rPr>
        <w:t>第一議定書</w:t>
      </w:r>
      <w:r w:rsidRPr="00445210">
        <w:rPr>
          <w:rFonts w:asciiTheme="minorEastAsia" w:eastAsiaTheme="minorEastAsia" w:hAnsiTheme="minorEastAsia" w:hint="eastAsia"/>
          <w:sz w:val="20"/>
          <w:szCs w:val="20"/>
        </w:rPr>
        <w:t>第一條</w:t>
      </w:r>
      <w:r w:rsidRPr="00445210">
        <w:rPr>
          <w:rFonts w:asciiTheme="minorEastAsia" w:eastAsiaTheme="minorEastAsia" w:hAnsiTheme="minorEastAsia"/>
          <w:sz w:val="20"/>
          <w:szCs w:val="20"/>
        </w:rPr>
        <w:t xml:space="preserve"> </w:t>
      </w:r>
      <w:r w:rsidRPr="00445210">
        <w:rPr>
          <w:rFonts w:asciiTheme="minorEastAsia" w:eastAsiaTheme="minorEastAsia" w:hAnsiTheme="minorEastAsia" w:hint="eastAsia"/>
          <w:sz w:val="20"/>
          <w:szCs w:val="20"/>
        </w:rPr>
        <w:t>一般原則和適用範圍</w:t>
      </w:r>
    </w:p>
    <w:p w14:paraId="2EBCF5AF" w14:textId="77777777" w:rsidR="00CA23FA" w:rsidRPr="00445210" w:rsidRDefault="00CA23FA" w:rsidP="00BE652C">
      <w:pPr>
        <w:pStyle w:val="3"/>
        <w:jc w:val="left"/>
        <w:rPr>
          <w:rFonts w:asciiTheme="minorEastAsia" w:eastAsiaTheme="minorEastAsia" w:hAnsiTheme="minorEastAsia"/>
          <w:sz w:val="20"/>
          <w:szCs w:val="20"/>
        </w:rPr>
      </w:pPr>
      <w:r w:rsidRPr="00445210">
        <w:rPr>
          <w:rFonts w:asciiTheme="minorEastAsia" w:eastAsiaTheme="minorEastAsia" w:hAnsiTheme="minorEastAsia" w:hint="eastAsia"/>
          <w:sz w:val="20"/>
          <w:szCs w:val="20"/>
        </w:rPr>
        <w:t xml:space="preserve">　　一、締約各方承諾，在一切情況下，尊重本議定書並保證本議定書被尊重。</w:t>
      </w:r>
    </w:p>
    <w:p w14:paraId="2229FCF6" w14:textId="77777777" w:rsidR="00CA23FA" w:rsidRPr="00445210" w:rsidRDefault="00CA23FA" w:rsidP="00BE652C">
      <w:pPr>
        <w:pStyle w:val="3"/>
        <w:jc w:val="left"/>
        <w:rPr>
          <w:rFonts w:asciiTheme="minorEastAsia" w:eastAsiaTheme="minorEastAsia" w:hAnsiTheme="minorEastAsia"/>
          <w:sz w:val="20"/>
          <w:szCs w:val="20"/>
        </w:rPr>
      </w:pPr>
      <w:r w:rsidRPr="00445210">
        <w:rPr>
          <w:rFonts w:asciiTheme="minorEastAsia" w:eastAsiaTheme="minorEastAsia" w:hAnsiTheme="minorEastAsia" w:hint="eastAsia"/>
          <w:sz w:val="20"/>
          <w:szCs w:val="20"/>
        </w:rPr>
        <w:t xml:space="preserve">　　二、在本議定書或其他國際協定所未包括的情形下，平民和戰鬥員仍受來源於既定習慣、人道原則和公眾良心要求的國際法原則的保護和支配。</w:t>
      </w:r>
    </w:p>
    <w:p w14:paraId="3FDA40A9" w14:textId="77777777" w:rsidR="00CA23FA" w:rsidRPr="00445210" w:rsidRDefault="00CA23FA" w:rsidP="00BE652C">
      <w:pPr>
        <w:pStyle w:val="3"/>
        <w:jc w:val="left"/>
        <w:rPr>
          <w:rFonts w:asciiTheme="minorEastAsia" w:eastAsiaTheme="minorEastAsia" w:hAnsiTheme="minorEastAsia"/>
          <w:sz w:val="20"/>
          <w:szCs w:val="20"/>
        </w:rPr>
      </w:pPr>
      <w:r w:rsidRPr="00445210">
        <w:rPr>
          <w:rFonts w:asciiTheme="minorEastAsia" w:eastAsiaTheme="minorEastAsia" w:hAnsiTheme="minorEastAsia" w:hint="eastAsia"/>
          <w:sz w:val="20"/>
          <w:szCs w:val="20"/>
        </w:rPr>
        <w:t xml:space="preserve">　　三、本議定書補充1949年8月12日關於保護戰爭受難者的日內瓦四公約，應適用於各公約共同第二條所指的各場合。</w:t>
      </w:r>
      <w:r w:rsidRPr="00445210">
        <w:rPr>
          <w:rFonts w:asciiTheme="minorEastAsia" w:eastAsiaTheme="minorEastAsia" w:hAnsiTheme="minorEastAsia"/>
          <w:sz w:val="20"/>
          <w:szCs w:val="20"/>
        </w:rPr>
        <w:t xml:space="preserve"> </w:t>
      </w:r>
    </w:p>
    <w:p w14:paraId="32EF5E53" w14:textId="77777777" w:rsidR="00CA23FA" w:rsidRPr="00445210" w:rsidRDefault="00CA23FA" w:rsidP="00BE652C">
      <w:pPr>
        <w:pStyle w:val="3"/>
        <w:jc w:val="left"/>
        <w:rPr>
          <w:rFonts w:asciiTheme="minorEastAsia" w:eastAsiaTheme="minorEastAsia" w:hAnsiTheme="minorEastAsia"/>
          <w:sz w:val="20"/>
          <w:szCs w:val="20"/>
        </w:rPr>
      </w:pPr>
      <w:r w:rsidRPr="00445210">
        <w:rPr>
          <w:rFonts w:asciiTheme="minorEastAsia" w:eastAsiaTheme="minorEastAsia" w:hAnsiTheme="minorEastAsia" w:hint="eastAsia"/>
          <w:sz w:val="20"/>
          <w:szCs w:val="20"/>
        </w:rPr>
        <w:t xml:space="preserve">　　四、上款所指的場合，包括各國人民在行使莊嚴載入聯合國憲章和關於各國依聯合國憲章建立友好關係及合作的國際法原則宣言的自決權中，對殖民統治和外國佔領以及對種族主義政權作戰的武裝衝突。</w:t>
      </w:r>
    </w:p>
    <w:p w14:paraId="24026235" w14:textId="77777777" w:rsidR="00CA23FA" w:rsidRPr="00445210" w:rsidRDefault="00CA23FA" w:rsidP="00BE652C">
      <w:pPr>
        <w:pStyle w:val="3"/>
        <w:jc w:val="left"/>
        <w:rPr>
          <w:rFonts w:asciiTheme="minorEastAsia" w:eastAsiaTheme="minorEastAsia" w:hAnsiTheme="minorEastAsia"/>
          <w:sz w:val="20"/>
          <w:szCs w:val="20"/>
        </w:rPr>
      </w:pPr>
      <w:r w:rsidRPr="00445210">
        <w:rPr>
          <w:rStyle w:val="HTML0"/>
          <w:rFonts w:asciiTheme="minorEastAsia" w:eastAsiaTheme="minorEastAsia" w:hAnsiTheme="minorEastAsia" w:hint="eastAsia"/>
          <w:sz w:val="20"/>
          <w:szCs w:val="20"/>
        </w:rPr>
        <w:t>根據上述第一</w:t>
      </w:r>
      <w:r w:rsidRPr="00445210">
        <w:rPr>
          <w:rFonts w:asciiTheme="minorEastAsia" w:eastAsiaTheme="minorEastAsia" w:hAnsiTheme="minorEastAsia" w:hint="eastAsia"/>
          <w:sz w:val="20"/>
          <w:szCs w:val="20"/>
        </w:rPr>
        <w:t>議定書第一條第三款之意旨，</w:t>
      </w:r>
      <w:r w:rsidRPr="00445210">
        <w:rPr>
          <w:rStyle w:val="HTML0"/>
          <w:rFonts w:asciiTheme="minorEastAsia" w:eastAsiaTheme="minorEastAsia" w:hAnsiTheme="minorEastAsia" w:hint="eastAsia"/>
          <w:sz w:val="20"/>
          <w:szCs w:val="20"/>
        </w:rPr>
        <w:t>第一</w:t>
      </w:r>
      <w:r w:rsidRPr="00445210">
        <w:rPr>
          <w:rFonts w:asciiTheme="minorEastAsia" w:eastAsiaTheme="minorEastAsia" w:hAnsiTheme="minorEastAsia" w:hint="eastAsia"/>
          <w:sz w:val="20"/>
          <w:szCs w:val="20"/>
        </w:rPr>
        <w:t>議定書第一條係補充1949年8月12日關於保護戰爭受難者的日內瓦四公約，應適用於各公約共同第二條所指的各場合。</w:t>
      </w:r>
    </w:p>
  </w:footnote>
  <w:footnote w:id="287">
    <w:p w14:paraId="0A7E4CBF" w14:textId="77777777" w:rsidR="00CA23FA" w:rsidRPr="00445210" w:rsidRDefault="00CA23FA" w:rsidP="00BE652C">
      <w:pPr>
        <w:pStyle w:val="3"/>
        <w:jc w:val="left"/>
        <w:rPr>
          <w:rStyle w:val="HTML0"/>
          <w:rFonts w:asciiTheme="minorEastAsia" w:eastAsiaTheme="minorEastAsia" w:hAnsiTheme="minorEastAsia"/>
          <w:sz w:val="20"/>
          <w:szCs w:val="20"/>
        </w:rPr>
      </w:pPr>
      <w:r w:rsidRPr="00445210">
        <w:rPr>
          <w:rStyle w:val="af3"/>
          <w:rFonts w:asciiTheme="minorEastAsia" w:eastAsiaTheme="minorEastAsia" w:hAnsiTheme="minorEastAsia"/>
          <w:sz w:val="20"/>
          <w:szCs w:val="20"/>
        </w:rPr>
        <w:footnoteRef/>
      </w:r>
      <w:r w:rsidRPr="00445210">
        <w:rPr>
          <w:rFonts w:asciiTheme="minorEastAsia" w:eastAsiaTheme="minorEastAsia" w:hAnsiTheme="minorEastAsia"/>
          <w:sz w:val="20"/>
          <w:szCs w:val="20"/>
        </w:rPr>
        <w:t xml:space="preserve"> </w:t>
      </w:r>
      <w:r w:rsidRPr="00445210">
        <w:rPr>
          <w:rFonts w:asciiTheme="minorEastAsia" w:eastAsiaTheme="minorEastAsia" w:hAnsiTheme="minorEastAsia" w:hint="eastAsia"/>
          <w:sz w:val="20"/>
          <w:szCs w:val="20"/>
        </w:rPr>
        <w:t>本公約又稱為：</w:t>
      </w:r>
      <w:hyperlink r:id="rId128" w:tooltip="一九四九年關於陸戰戰場部隊傷患者減緩傷痛之日內瓦第一公約 Geneva Convention for the amelioration of the condition of the wounded and sick in armed forces in the field (with annexes)" w:history="1">
        <w:r w:rsidRPr="00445210">
          <w:rPr>
            <w:rFonts w:asciiTheme="minorEastAsia" w:eastAsiaTheme="minorEastAsia" w:hAnsiTheme="minorEastAsia" w:hint="eastAsia"/>
            <w:spacing w:val="7"/>
            <w:sz w:val="20"/>
            <w:szCs w:val="20"/>
          </w:rPr>
          <w:t>一九四九年關於陸戰戰場部隊傷患者減緩傷痛之日內瓦第一公約</w:t>
        </w:r>
        <w:r w:rsidRPr="00445210">
          <w:rPr>
            <w:rFonts w:asciiTheme="minorEastAsia" w:eastAsiaTheme="minorEastAsia" w:hAnsiTheme="minorEastAsia"/>
            <w:spacing w:val="7"/>
            <w:sz w:val="20"/>
            <w:szCs w:val="20"/>
          </w:rPr>
          <w:t>(Geneva Convention for the amelioration of the condition of the wounded and sick in armed forces in the field(with annexes)</w:t>
        </w:r>
      </w:hyperlink>
      <w:r w:rsidRPr="00445210">
        <w:rPr>
          <w:rFonts w:asciiTheme="minorEastAsia" w:eastAsiaTheme="minorEastAsia" w:hAnsiTheme="minorEastAsia" w:hint="eastAsia"/>
          <w:spacing w:val="7"/>
          <w:sz w:val="20"/>
          <w:szCs w:val="20"/>
        </w:rPr>
        <w:t>，我國於</w:t>
      </w:r>
      <w:r w:rsidRPr="00445210">
        <w:rPr>
          <w:rFonts w:asciiTheme="minorEastAsia" w:eastAsiaTheme="minorEastAsia" w:hAnsiTheme="minorEastAsia"/>
          <w:spacing w:val="7"/>
          <w:sz w:val="20"/>
          <w:szCs w:val="20"/>
        </w:rPr>
        <w:t>1949</w:t>
      </w:r>
      <w:r w:rsidRPr="00445210">
        <w:rPr>
          <w:rFonts w:asciiTheme="minorEastAsia" w:eastAsiaTheme="minorEastAsia" w:hAnsiTheme="minorEastAsia" w:hint="eastAsia"/>
          <w:spacing w:val="7"/>
          <w:sz w:val="20"/>
          <w:szCs w:val="20"/>
        </w:rPr>
        <w:t>年</w:t>
      </w:r>
      <w:r w:rsidRPr="00445210">
        <w:rPr>
          <w:rFonts w:asciiTheme="minorEastAsia" w:eastAsiaTheme="minorEastAsia" w:hAnsiTheme="minorEastAsia"/>
          <w:spacing w:val="7"/>
          <w:sz w:val="20"/>
          <w:szCs w:val="20"/>
        </w:rPr>
        <w:t>12</w:t>
      </w:r>
      <w:r w:rsidRPr="00445210">
        <w:rPr>
          <w:rFonts w:asciiTheme="minorEastAsia" w:eastAsiaTheme="minorEastAsia" w:hAnsiTheme="minorEastAsia" w:hint="eastAsia"/>
          <w:spacing w:val="7"/>
          <w:sz w:val="20"/>
          <w:szCs w:val="20"/>
        </w:rPr>
        <w:t>月</w:t>
      </w:r>
      <w:r w:rsidRPr="00445210">
        <w:rPr>
          <w:rFonts w:asciiTheme="minorEastAsia" w:eastAsiaTheme="minorEastAsia" w:hAnsiTheme="minorEastAsia"/>
          <w:spacing w:val="7"/>
          <w:sz w:val="20"/>
          <w:szCs w:val="20"/>
        </w:rPr>
        <w:t>10</w:t>
      </w:r>
      <w:r w:rsidRPr="00445210">
        <w:rPr>
          <w:rFonts w:asciiTheme="minorEastAsia" w:eastAsiaTheme="minorEastAsia" w:hAnsiTheme="minorEastAsia" w:hint="eastAsia"/>
          <w:spacing w:val="7"/>
          <w:sz w:val="20"/>
          <w:szCs w:val="20"/>
        </w:rPr>
        <w:t>日加入之，迄</w:t>
      </w:r>
      <w:r w:rsidRPr="00445210">
        <w:rPr>
          <w:rFonts w:asciiTheme="minorEastAsia" w:eastAsiaTheme="minorEastAsia" w:hAnsiTheme="minorEastAsia"/>
          <w:spacing w:val="7"/>
          <w:sz w:val="20"/>
          <w:szCs w:val="20"/>
        </w:rPr>
        <w:t>2007</w:t>
      </w:r>
      <w:r w:rsidRPr="00445210">
        <w:rPr>
          <w:rFonts w:asciiTheme="minorEastAsia" w:eastAsiaTheme="minorEastAsia" w:hAnsiTheme="minorEastAsia" w:hint="eastAsia"/>
          <w:spacing w:val="7"/>
          <w:sz w:val="20"/>
          <w:szCs w:val="20"/>
        </w:rPr>
        <w:t>年尚未批淮之。其他之</w:t>
      </w:r>
      <w:r w:rsidRPr="00445210">
        <w:rPr>
          <w:rStyle w:val="HTML0"/>
          <w:rFonts w:asciiTheme="minorEastAsia" w:eastAsiaTheme="minorEastAsia" w:hAnsiTheme="minorEastAsia" w:hint="eastAsia"/>
          <w:sz w:val="20"/>
          <w:szCs w:val="20"/>
        </w:rPr>
        <w:t>日內瓦公約及兩個議定書，我國均未加入及批准。請參閱：外交部網站，</w:t>
      </w:r>
      <w:hyperlink r:id="rId129" w:history="1">
        <w:r w:rsidRPr="00445210">
          <w:rPr>
            <w:rStyle w:val="a5"/>
            <w:rFonts w:asciiTheme="minorEastAsia" w:hAnsiTheme="minorEastAsia" w:cs="新細明體"/>
            <w:kern w:val="36"/>
            <w:sz w:val="20"/>
            <w:szCs w:val="20"/>
          </w:rPr>
          <w:t>http://www.mofa.gov.tw/webapp/ct.asp?xItem=11427&amp;ctNode=295&amp;mp=1</w:t>
        </w:r>
      </w:hyperlink>
      <w:r w:rsidRPr="00445210">
        <w:rPr>
          <w:rStyle w:val="HTML0"/>
          <w:rFonts w:asciiTheme="minorEastAsia" w:eastAsiaTheme="minorEastAsia" w:hAnsiTheme="minorEastAsia" w:hint="eastAsia"/>
          <w:sz w:val="20"/>
          <w:szCs w:val="20"/>
        </w:rPr>
        <w:t>。</w:t>
      </w:r>
    </w:p>
  </w:footnote>
  <w:footnote w:id="288">
    <w:p w14:paraId="2A52E56C" w14:textId="77777777" w:rsidR="00CA23FA" w:rsidRPr="00445210" w:rsidRDefault="00CA23FA" w:rsidP="00BE652C">
      <w:pPr>
        <w:pStyle w:val="3"/>
        <w:jc w:val="left"/>
        <w:rPr>
          <w:rFonts w:asciiTheme="minorEastAsia" w:eastAsiaTheme="minorEastAsia" w:hAnsiTheme="minorEastAsia"/>
          <w:sz w:val="20"/>
          <w:szCs w:val="20"/>
        </w:rPr>
      </w:pPr>
      <w:r w:rsidRPr="00445210">
        <w:rPr>
          <w:rStyle w:val="af3"/>
          <w:rFonts w:asciiTheme="minorEastAsia" w:eastAsiaTheme="minorEastAsia" w:hAnsiTheme="minorEastAsia"/>
          <w:sz w:val="20"/>
          <w:szCs w:val="20"/>
        </w:rPr>
        <w:footnoteRef/>
      </w:r>
      <w:r w:rsidRPr="00445210">
        <w:rPr>
          <w:rStyle w:val="HTML0"/>
          <w:rFonts w:asciiTheme="minorEastAsia" w:eastAsiaTheme="minorEastAsia" w:hAnsiTheme="minorEastAsia" w:hint="eastAsia"/>
          <w:sz w:val="20"/>
          <w:szCs w:val="20"/>
        </w:rPr>
        <w:t>請參閱日內瓦四公約關於保護國際性武裝衝突受難者的附加議定書（第一議定書）第</w:t>
      </w:r>
      <w:r w:rsidRPr="00445210">
        <w:rPr>
          <w:rStyle w:val="HTML0"/>
          <w:rFonts w:asciiTheme="minorEastAsia" w:eastAsiaTheme="minorEastAsia" w:hAnsiTheme="minorEastAsia"/>
          <w:sz w:val="20"/>
          <w:szCs w:val="20"/>
        </w:rPr>
        <w:t>2</w:t>
      </w:r>
      <w:r w:rsidRPr="00445210">
        <w:rPr>
          <w:rStyle w:val="HTML0"/>
          <w:rFonts w:asciiTheme="minorEastAsia" w:eastAsiaTheme="minorEastAsia" w:hAnsiTheme="minorEastAsia" w:hint="eastAsia"/>
          <w:sz w:val="20"/>
          <w:szCs w:val="20"/>
        </w:rPr>
        <w:t>條之規定。</w:t>
      </w:r>
    </w:p>
  </w:footnote>
  <w:footnote w:id="289">
    <w:p w14:paraId="49383640" w14:textId="77777777" w:rsidR="00CA23FA" w:rsidRPr="00445210" w:rsidRDefault="00CA23FA" w:rsidP="00D87D91">
      <w:pPr>
        <w:pStyle w:val="3"/>
        <w:rPr>
          <w:rFonts w:asciiTheme="minorEastAsia" w:eastAsiaTheme="minorEastAsia" w:hAnsiTheme="minorEastAsia"/>
        </w:rPr>
      </w:pPr>
      <w:r w:rsidRPr="00445210">
        <w:rPr>
          <w:rStyle w:val="af3"/>
          <w:rFonts w:asciiTheme="minorEastAsia" w:eastAsiaTheme="minorEastAsia" w:hAnsiTheme="minorEastAsia"/>
          <w:szCs w:val="20"/>
        </w:rPr>
        <w:footnoteRef/>
      </w:r>
      <w:r w:rsidRPr="00445210">
        <w:rPr>
          <w:rFonts w:asciiTheme="minorEastAsia" w:eastAsiaTheme="minorEastAsia" w:hAnsiTheme="minorEastAsia" w:hint="eastAsia"/>
        </w:rPr>
        <w:t>一九四九年八月十二日改善戰地武裝部隊傷者病者境遇之日內瓦公約</w:t>
      </w:r>
      <w:r w:rsidRPr="00445210">
        <w:rPr>
          <w:rFonts w:asciiTheme="minorEastAsia" w:eastAsiaTheme="minorEastAsia" w:hAnsiTheme="minorEastAsia"/>
        </w:rPr>
        <w:t>(</w:t>
      </w:r>
      <w:r w:rsidRPr="00445210">
        <w:rPr>
          <w:rFonts w:asciiTheme="minorEastAsia" w:eastAsiaTheme="minorEastAsia" w:hAnsiTheme="minorEastAsia" w:hint="eastAsia"/>
        </w:rPr>
        <w:t>日內瓦第一公約</w:t>
      </w:r>
      <w:r w:rsidRPr="00445210">
        <w:rPr>
          <w:rFonts w:asciiTheme="minorEastAsia" w:eastAsiaTheme="minorEastAsia" w:hAnsiTheme="minorEastAsia"/>
        </w:rPr>
        <w:t>)</w:t>
      </w:r>
      <w:r w:rsidRPr="00445210">
        <w:rPr>
          <w:rFonts w:asciiTheme="minorEastAsia" w:eastAsiaTheme="minorEastAsia" w:hAnsiTheme="minorEastAsia" w:hint="eastAsia"/>
        </w:rPr>
        <w:t>第三條</w:t>
      </w:r>
      <w:r w:rsidRPr="00445210">
        <w:rPr>
          <w:rFonts w:asciiTheme="minorEastAsia" w:eastAsiaTheme="minorEastAsia" w:hAnsiTheme="minorEastAsia"/>
        </w:rPr>
        <w:t xml:space="preserve"> </w:t>
      </w:r>
    </w:p>
    <w:p w14:paraId="0C86232C" w14:textId="77777777" w:rsidR="00CA23FA" w:rsidRPr="00445210" w:rsidRDefault="00CA23FA" w:rsidP="00D87D91">
      <w:pPr>
        <w:pStyle w:val="3"/>
        <w:rPr>
          <w:rFonts w:asciiTheme="minorEastAsia" w:eastAsiaTheme="minorEastAsia" w:hAnsiTheme="minorEastAsia"/>
        </w:rPr>
      </w:pPr>
      <w:r w:rsidRPr="00445210">
        <w:rPr>
          <w:rFonts w:asciiTheme="minorEastAsia" w:eastAsiaTheme="minorEastAsia" w:hAnsiTheme="minorEastAsia" w:hint="eastAsia"/>
        </w:rPr>
        <w:t>在一締約國之領土內發生非國際性之武裝衝突之場合，衝突之各方最低限度應遵守下列規定：</w:t>
      </w:r>
    </w:p>
    <w:p w14:paraId="1100145F" w14:textId="77777777" w:rsidR="00CA23FA" w:rsidRPr="001663AE" w:rsidRDefault="00CA23FA" w:rsidP="00D87D91">
      <w:pPr>
        <w:pStyle w:val="3"/>
      </w:pPr>
      <w:r w:rsidRPr="001663AE">
        <w:t>(</w:t>
      </w:r>
      <w:r w:rsidRPr="001663AE">
        <w:rPr>
          <w:rFonts w:hint="eastAsia"/>
        </w:rPr>
        <w:t>一</w:t>
      </w:r>
      <w:r w:rsidRPr="001663AE">
        <w:t>)</w:t>
      </w:r>
      <w:r w:rsidRPr="001663AE">
        <w:rPr>
          <w:rFonts w:hint="eastAsia"/>
        </w:rPr>
        <w:t>不實際參加戰事之人員，包括放下武器之武裝部隊人員及因病、傷、拘留、或其他原因而失去戰鬥力之人員在內，在一切情況下應予以人道待遇，不得基於種族、膚色、宗教或信仰、性別、出身或財力或其他類似標準而有所歧視。</w:t>
      </w:r>
    </w:p>
    <w:p w14:paraId="4B1A3BA1" w14:textId="77777777" w:rsidR="00CA23FA" w:rsidRPr="001663AE" w:rsidRDefault="00CA23FA" w:rsidP="00D87D91">
      <w:pPr>
        <w:pStyle w:val="3"/>
      </w:pPr>
      <w:r w:rsidRPr="001663AE">
        <w:rPr>
          <w:rFonts w:hint="eastAsia"/>
        </w:rPr>
        <w:t>因此，對於上述人員，不論何時何地，不得有下列行為：</w:t>
      </w:r>
    </w:p>
    <w:p w14:paraId="486E7564" w14:textId="77777777" w:rsidR="00CA23FA" w:rsidRPr="001663AE" w:rsidRDefault="00CA23FA" w:rsidP="00D87D91">
      <w:pPr>
        <w:pStyle w:val="3"/>
      </w:pPr>
      <w:r w:rsidRPr="001663AE">
        <w:rPr>
          <w:rFonts w:hint="eastAsia"/>
        </w:rPr>
        <w:t>（甲）對生命與人身施以暴力，特別如各種謀殺、殘傷肢體、虐待及酷刑；</w:t>
      </w:r>
    </w:p>
    <w:p w14:paraId="509A585E" w14:textId="77777777" w:rsidR="00CA23FA" w:rsidRPr="001663AE" w:rsidRDefault="00CA23FA" w:rsidP="00D87D91">
      <w:pPr>
        <w:pStyle w:val="3"/>
      </w:pPr>
      <w:r w:rsidRPr="001663AE">
        <w:rPr>
          <w:rFonts w:hint="eastAsia"/>
        </w:rPr>
        <w:t>（乙）作為人質；</w:t>
      </w:r>
    </w:p>
    <w:p w14:paraId="4C3CDC39" w14:textId="77777777" w:rsidR="00CA23FA" w:rsidRPr="001663AE" w:rsidRDefault="00CA23FA" w:rsidP="00D87D91">
      <w:pPr>
        <w:pStyle w:val="3"/>
      </w:pPr>
      <w:r w:rsidRPr="001663AE">
        <w:rPr>
          <w:rFonts w:hint="eastAsia"/>
        </w:rPr>
        <w:t>（丙）損害個人尊嚴，特別如侮辱與降低身份的待遇；</w:t>
      </w:r>
    </w:p>
    <w:p w14:paraId="55D95AE3" w14:textId="77777777" w:rsidR="00CA23FA" w:rsidRPr="001663AE" w:rsidRDefault="00CA23FA" w:rsidP="00D87D91">
      <w:pPr>
        <w:pStyle w:val="3"/>
      </w:pPr>
      <w:r w:rsidRPr="001663AE">
        <w:rPr>
          <w:rFonts w:hint="eastAsia"/>
        </w:rPr>
        <w:t>（丁）未經具有文明人類所認為必需之司法保障的正規組織之法庭之宣判，而遽行判罪及執行死刑。</w:t>
      </w:r>
    </w:p>
    <w:p w14:paraId="0E808AB0" w14:textId="77777777" w:rsidR="00CA23FA" w:rsidRPr="001663AE" w:rsidRDefault="00CA23FA" w:rsidP="00D87D91">
      <w:pPr>
        <w:pStyle w:val="3"/>
      </w:pPr>
      <w:r w:rsidRPr="001663AE">
        <w:t>(</w:t>
      </w:r>
      <w:r w:rsidRPr="001663AE">
        <w:rPr>
          <w:rFonts w:hint="eastAsia"/>
        </w:rPr>
        <w:t>二</w:t>
      </w:r>
      <w:r w:rsidRPr="001663AE">
        <w:t>)</w:t>
      </w:r>
      <w:r w:rsidRPr="001663AE">
        <w:rPr>
          <w:rFonts w:hint="eastAsia"/>
        </w:rPr>
        <w:t>傷者、病者應予收集與照顧。</w:t>
      </w:r>
    </w:p>
    <w:p w14:paraId="74553BB4" w14:textId="77777777" w:rsidR="00CA23FA" w:rsidRPr="001663AE" w:rsidRDefault="00CA23FA" w:rsidP="00D87D91">
      <w:pPr>
        <w:pStyle w:val="3"/>
      </w:pPr>
      <w:r w:rsidRPr="001663AE">
        <w:rPr>
          <w:rFonts w:hint="eastAsia"/>
        </w:rPr>
        <w:t>公正的人道團體，如紅十字國際委員會，得向衝突之各方提供服務。</w:t>
      </w:r>
    </w:p>
    <w:p w14:paraId="04E06A52" w14:textId="77777777" w:rsidR="00CA23FA" w:rsidRPr="001663AE" w:rsidRDefault="00CA23FA" w:rsidP="00D87D91">
      <w:pPr>
        <w:pStyle w:val="3"/>
      </w:pPr>
      <w:r w:rsidRPr="001663AE">
        <w:rPr>
          <w:rFonts w:hint="eastAsia"/>
        </w:rPr>
        <w:t>衝突之各方應進而努力，以特別協定之方式，使本公約之其他規定得全部或部分發生效力。</w:t>
      </w:r>
    </w:p>
    <w:p w14:paraId="305B7E11" w14:textId="77777777" w:rsidR="00CA23FA" w:rsidRPr="001663AE" w:rsidRDefault="00CA23FA" w:rsidP="00D87D91">
      <w:pPr>
        <w:pStyle w:val="3"/>
      </w:pPr>
      <w:r w:rsidRPr="001663AE">
        <w:rPr>
          <w:rFonts w:hint="eastAsia"/>
        </w:rPr>
        <w:t>上述規定之適用不影響衝突各方之法律地位。</w:t>
      </w:r>
    </w:p>
  </w:footnote>
  <w:footnote w:id="290">
    <w:p w14:paraId="41002772" w14:textId="77777777" w:rsidR="00CA23FA" w:rsidRPr="001663AE" w:rsidRDefault="00CA23FA" w:rsidP="00D87D91">
      <w:pPr>
        <w:pStyle w:val="3"/>
      </w:pPr>
      <w:r w:rsidRPr="001663AE">
        <w:rPr>
          <w:rStyle w:val="af3"/>
          <w:rFonts w:ascii="新細明體" w:hAnsi="新細明體"/>
        </w:rPr>
        <w:footnoteRef/>
      </w:r>
      <w:r w:rsidRPr="001663AE">
        <w:t xml:space="preserve"> This Protocol, which develops and supplements Article 3 common to the Geneva Conventions of 12 August 1949 without modifying its existing conditions of application</w:t>
      </w:r>
      <w:r w:rsidRPr="001663AE">
        <w:rPr>
          <w:rFonts w:hint="eastAsia"/>
        </w:rPr>
        <w:t>。</w:t>
      </w:r>
    </w:p>
  </w:footnote>
  <w:footnote w:id="291">
    <w:p w14:paraId="3DF60F04" w14:textId="77777777" w:rsidR="00CA23FA" w:rsidRPr="001663AE" w:rsidRDefault="00CA23FA" w:rsidP="00D87D91">
      <w:pPr>
        <w:pStyle w:val="3"/>
      </w:pPr>
      <w:r w:rsidRPr="001663AE">
        <w:rPr>
          <w:rStyle w:val="af3"/>
          <w:rFonts w:ascii="新細明體" w:hAnsi="新細明體"/>
        </w:rPr>
        <w:footnoteRef/>
      </w:r>
      <w:r w:rsidRPr="001663AE">
        <w:t xml:space="preserve"> shall apply to all armed conflicts which are not covered by Article 1 of the Protocol Additional to the Geneva Conventions of 12 August 1949, and relating to the Protection of Victims of International Armed Conflicts</w:t>
      </w:r>
      <w:r>
        <w:t>(</w:t>
      </w:r>
      <w:r w:rsidRPr="001663AE">
        <w:t>Protocol I)</w:t>
      </w:r>
      <w:r w:rsidRPr="001663AE">
        <w:rPr>
          <w:rFonts w:hint="eastAsia"/>
        </w:rPr>
        <w:t>。</w:t>
      </w:r>
    </w:p>
  </w:footnote>
  <w:footnote w:id="292">
    <w:p w14:paraId="23AAD4B0" w14:textId="77777777" w:rsidR="00CA23FA" w:rsidRPr="001663AE" w:rsidRDefault="00CA23FA" w:rsidP="00D87D91">
      <w:pPr>
        <w:pStyle w:val="3"/>
      </w:pPr>
      <w:r w:rsidRPr="001663AE">
        <w:rPr>
          <w:rStyle w:val="af3"/>
          <w:rFonts w:ascii="新細明體" w:hAnsi="新細明體"/>
        </w:rPr>
        <w:footnoteRef/>
      </w:r>
      <w:r w:rsidRPr="001663AE">
        <w:t xml:space="preserve"> </w:t>
      </w:r>
      <w:hyperlink r:id="rId130" w:history="1">
        <w:r w:rsidRPr="001663AE">
          <w:rPr>
            <w:rStyle w:val="a5"/>
          </w:rPr>
          <w:t>http://www.un.org/chinese/documents/decl-con/geneva_protocol_2.htm</w:t>
        </w:r>
      </w:hyperlink>
      <w:hyperlink r:id="rId131" w:history="1">
        <w:r w:rsidRPr="001663AE">
          <w:rPr>
            <w:rStyle w:val="a5"/>
          </w:rPr>
          <w:t>http://www.peacehall.com/news/gb/china/2004/06/200406161040.shtml(2006.08</w:t>
        </w:r>
      </w:hyperlink>
      <w:r w:rsidRPr="001663AE">
        <w:t>)</w:t>
      </w:r>
      <w:r w:rsidRPr="001663AE">
        <w:rPr>
          <w:rFonts w:hint="eastAsia"/>
        </w:rPr>
        <w:t>。</w:t>
      </w:r>
    </w:p>
    <w:p w14:paraId="6BAE1B4F" w14:textId="77777777" w:rsidR="00CA23FA" w:rsidRPr="001663AE" w:rsidRDefault="00CA23FA" w:rsidP="00D87D91">
      <w:pPr>
        <w:pStyle w:val="3"/>
      </w:pPr>
      <w:r w:rsidRPr="001663AE">
        <w:t>which take place in the territory of a High Contracting Party between its armed forces and dissident armed forces or other organized armed groups which, under responsible command, exercise such control over a part of its territory as to enable them to carry out sustained and concerted military operations and to implement this Protocol</w:t>
      </w:r>
      <w:r w:rsidRPr="001663AE">
        <w:rPr>
          <w:rFonts w:hint="eastAsia"/>
        </w:rPr>
        <w:t>。</w:t>
      </w:r>
    </w:p>
  </w:footnote>
  <w:footnote w:id="293">
    <w:p w14:paraId="115A8875" w14:textId="77777777" w:rsidR="00CA23FA" w:rsidRPr="001663AE" w:rsidRDefault="00CA23FA" w:rsidP="00BE652C">
      <w:pPr>
        <w:pStyle w:val="3"/>
        <w:jc w:val="left"/>
      </w:pPr>
      <w:r w:rsidRPr="001663AE">
        <w:rPr>
          <w:rStyle w:val="af3"/>
          <w:rFonts w:ascii="新細明體" w:hAnsi="新細明體"/>
        </w:rPr>
        <w:footnoteRef/>
      </w:r>
      <w:r w:rsidRPr="001663AE">
        <w:t xml:space="preserve"> </w:t>
      </w:r>
      <w:r w:rsidRPr="001663AE">
        <w:rPr>
          <w:rFonts w:hint="eastAsia"/>
        </w:rPr>
        <w:t>丘宏達，現代國際法，臺北：三民書局，第</w:t>
      </w:r>
      <w:r w:rsidRPr="001663AE">
        <w:t>560-950</w:t>
      </w:r>
      <w:r w:rsidRPr="001663AE">
        <w:rPr>
          <w:rFonts w:hint="eastAsia"/>
        </w:rPr>
        <w:t>頁。</w:t>
      </w:r>
    </w:p>
  </w:footnote>
  <w:footnote w:id="294">
    <w:p w14:paraId="5931B390" w14:textId="77777777" w:rsidR="00CA23FA" w:rsidRPr="001663AE" w:rsidRDefault="00CA23FA" w:rsidP="00BE652C">
      <w:pPr>
        <w:pStyle w:val="3"/>
        <w:jc w:val="left"/>
      </w:pPr>
      <w:r w:rsidRPr="001663AE">
        <w:rPr>
          <w:rStyle w:val="af3"/>
          <w:rFonts w:ascii="新細明體" w:hAnsi="新細明體"/>
        </w:rPr>
        <w:footnoteRef/>
      </w:r>
      <w:r w:rsidRPr="001663AE">
        <w:t xml:space="preserve"> </w:t>
      </w:r>
      <w:r w:rsidRPr="001663AE">
        <w:rPr>
          <w:rFonts w:hint="eastAsia"/>
        </w:rPr>
        <w:t>新華網</w:t>
      </w:r>
      <w:r w:rsidRPr="001663AE">
        <w:t>(2004)</w:t>
      </w:r>
      <w:r w:rsidRPr="001663AE">
        <w:rPr>
          <w:rFonts w:hint="eastAsia"/>
        </w:rPr>
        <w:t>，美軍自己人審自己人</w:t>
      </w:r>
      <w:r w:rsidRPr="001663AE">
        <w:t xml:space="preserve"> </w:t>
      </w:r>
      <w:r w:rsidRPr="001663AE">
        <w:rPr>
          <w:rFonts w:hint="eastAsia"/>
        </w:rPr>
        <w:t>誰來保護伊拉克無辜平民，</w:t>
      </w:r>
      <w:hyperlink r:id="rId132" w:history="1">
        <w:r w:rsidRPr="001663AE">
          <w:rPr>
            <w:rStyle w:val="a5"/>
          </w:rPr>
          <w:t>http://news.xinhuanet.com/world/2004-12/12/content_2324294.htm</w:t>
        </w:r>
      </w:hyperlink>
      <w:r w:rsidRPr="001663AE">
        <w:rPr>
          <w:rFonts w:hint="eastAsia"/>
        </w:rPr>
        <w:t>。</w:t>
      </w:r>
    </w:p>
  </w:footnote>
  <w:footnote w:id="295">
    <w:p w14:paraId="62C28AF4" w14:textId="77777777" w:rsidR="00CA23FA" w:rsidRPr="001663AE" w:rsidRDefault="00CA23FA" w:rsidP="00BE652C">
      <w:pPr>
        <w:pStyle w:val="3"/>
        <w:jc w:val="left"/>
      </w:pPr>
      <w:r w:rsidRPr="001663AE">
        <w:rPr>
          <w:rStyle w:val="af3"/>
          <w:rFonts w:ascii="新細明體" w:hAnsi="新細明體"/>
        </w:rPr>
        <w:footnoteRef/>
      </w:r>
      <w:r w:rsidRPr="001663AE">
        <w:t xml:space="preserve"> </w:t>
      </w:r>
      <w:r w:rsidRPr="001663AE">
        <w:rPr>
          <w:rFonts w:hint="eastAsia"/>
        </w:rPr>
        <w:t>維基百科</w:t>
      </w:r>
      <w:r w:rsidRPr="001663AE">
        <w:t>(2013)</w:t>
      </w:r>
      <w:r w:rsidRPr="001663AE">
        <w:rPr>
          <w:rFonts w:hint="eastAsia"/>
        </w:rPr>
        <w:t>，國際人道法，</w:t>
      </w:r>
      <w:hyperlink r:id="rId133" w:history="1">
        <w:r w:rsidRPr="001663AE">
          <w:rPr>
            <w:rStyle w:val="a5"/>
          </w:rPr>
          <w:t>http://zh.wikipedia.org/wiki/%E5%9C%8B%E9%9A%9B%E4%BA%BA%E9%81%93%E6%B3%95</w:t>
        </w:r>
      </w:hyperlink>
      <w:r w:rsidRPr="001663AE">
        <w:rPr>
          <w:rFonts w:hint="eastAsia"/>
        </w:rPr>
        <w:t>。</w:t>
      </w:r>
    </w:p>
  </w:footnote>
  <w:footnote w:id="296">
    <w:p w14:paraId="5C59A534" w14:textId="77777777" w:rsidR="00CA23FA" w:rsidRPr="001663AE" w:rsidRDefault="00CA23FA" w:rsidP="00BE652C">
      <w:pPr>
        <w:pStyle w:val="3"/>
        <w:jc w:val="left"/>
      </w:pPr>
      <w:r w:rsidRPr="001663AE">
        <w:rPr>
          <w:rStyle w:val="af3"/>
          <w:rFonts w:ascii="新細明體" w:hAnsi="新細明體"/>
        </w:rPr>
        <w:footnoteRef/>
      </w:r>
      <w:r w:rsidRPr="001663AE">
        <w:t xml:space="preserve"> Protocol Additional to the Geneva Conventions of 12 August 1949, and Relating to the Protection of Victims of Non-International Armed Conflicts</w:t>
      </w:r>
      <w:r>
        <w:t>(</w:t>
      </w:r>
      <w:r w:rsidRPr="001663AE">
        <w:t>Protocol II)</w:t>
      </w:r>
      <w:r w:rsidRPr="001663AE">
        <w:rPr>
          <w:rFonts w:hint="eastAsia"/>
        </w:rPr>
        <w:t>英文版之資料，可以參閱以下網站：</w:t>
      </w:r>
      <w:hyperlink r:id="rId134" w:history="1">
        <w:r w:rsidRPr="001663AE">
          <w:rPr>
            <w:rStyle w:val="a5"/>
          </w:rPr>
          <w:t>http://www.unhchr.ch/html/menu3/b/94.htm</w:t>
        </w:r>
      </w:hyperlink>
      <w:r w:rsidRPr="001663AE">
        <w:t>http://www.peacehall.com/news/gb/china/2004/06/200406161040.shtml(2006.09)</w:t>
      </w:r>
      <w:r w:rsidRPr="001663AE">
        <w:rPr>
          <w:rFonts w:hint="eastAsia"/>
        </w:rPr>
        <w:t>。</w:t>
      </w:r>
      <w:r w:rsidRPr="001663AE">
        <w:t xml:space="preserve"> </w:t>
      </w:r>
    </w:p>
  </w:footnote>
  <w:footnote w:id="297">
    <w:p w14:paraId="7623B1AD" w14:textId="77777777" w:rsidR="00CA23FA" w:rsidRPr="001663AE" w:rsidRDefault="00CA23FA" w:rsidP="00BE652C">
      <w:pPr>
        <w:pStyle w:val="3"/>
        <w:jc w:val="left"/>
      </w:pPr>
      <w:r w:rsidRPr="001663AE">
        <w:rPr>
          <w:rStyle w:val="af3"/>
          <w:rFonts w:ascii="新細明體" w:hAnsi="新細明體"/>
          <w:szCs w:val="20"/>
        </w:rPr>
        <w:footnoteRef/>
      </w:r>
      <w:r w:rsidRPr="001663AE">
        <w:t xml:space="preserve"> Article 15.-Protection of works and installations containing dangerous forces</w:t>
      </w:r>
    </w:p>
    <w:p w14:paraId="5264285E" w14:textId="77777777" w:rsidR="00CA23FA" w:rsidRPr="001663AE" w:rsidRDefault="00CA23FA" w:rsidP="00BE652C">
      <w:pPr>
        <w:pStyle w:val="3"/>
        <w:jc w:val="left"/>
      </w:pPr>
      <w:r w:rsidRPr="001663AE">
        <w:t>Works or installations containing dangerous forces, namely dams, dykes and nuclear electrical generating stations, shall not be made the object of attack, even where these objects are military objectives, if such attack may cause the release of dangerous forces and consequent severe losses among the civilian population.</w:t>
      </w:r>
    </w:p>
  </w:footnote>
  <w:footnote w:id="298">
    <w:p w14:paraId="676D74FD" w14:textId="77777777" w:rsidR="00CA23FA" w:rsidRPr="001663AE" w:rsidRDefault="00CA23FA" w:rsidP="00BE652C">
      <w:pPr>
        <w:pStyle w:val="3"/>
        <w:jc w:val="left"/>
      </w:pPr>
      <w:r w:rsidRPr="001663AE">
        <w:rPr>
          <w:rStyle w:val="af3"/>
          <w:rFonts w:ascii="新細明體" w:hAnsi="新細明體"/>
        </w:rPr>
        <w:footnoteRef/>
      </w:r>
      <w:r w:rsidRPr="001663AE">
        <w:t xml:space="preserve"> Protocol Additional to the Geneva Conventions of 12 August 1949, and Relating to the Protection of Victims of Non-International Armed Conflicts</w:t>
      </w:r>
      <w:r>
        <w:t>(</w:t>
      </w:r>
      <w:r w:rsidRPr="001663AE">
        <w:t>Protocol II)</w:t>
      </w:r>
      <w:r w:rsidRPr="001663AE">
        <w:rPr>
          <w:rFonts w:hint="eastAsia"/>
        </w:rPr>
        <w:t>。英文版條約內容，請參照：</w:t>
      </w:r>
      <w:hyperlink r:id="rId135" w:history="1">
        <w:r w:rsidRPr="001663AE">
          <w:rPr>
            <w:rStyle w:val="a5"/>
            <w:rFonts w:cs="Arial"/>
          </w:rPr>
          <w:t>http://www.unhchr.ch/html/menu3/b/94.htm</w:t>
        </w:r>
      </w:hyperlink>
      <w:r w:rsidRPr="001663AE">
        <w:rPr>
          <w:rFonts w:cs="Arial" w:hint="eastAsia"/>
        </w:rPr>
        <w:t>。</w:t>
      </w:r>
      <w:r w:rsidRPr="001663AE">
        <w:rPr>
          <w:rFonts w:cs="Arial"/>
        </w:rPr>
        <w:t xml:space="preserve"> </w:t>
      </w:r>
    </w:p>
  </w:footnote>
  <w:footnote w:id="299">
    <w:p w14:paraId="6D2DFBC1" w14:textId="77777777" w:rsidR="00CA23FA" w:rsidRPr="001663AE" w:rsidRDefault="00CA23FA" w:rsidP="00BE652C">
      <w:pPr>
        <w:pStyle w:val="3"/>
        <w:jc w:val="left"/>
      </w:pPr>
      <w:r w:rsidRPr="001663AE">
        <w:rPr>
          <w:rStyle w:val="af3"/>
          <w:rFonts w:ascii="新細明體" w:hAnsi="新細明體"/>
        </w:rPr>
        <w:footnoteRef/>
      </w:r>
      <w:r w:rsidRPr="001663AE">
        <w:t xml:space="preserve"> Works or installations containing dangerous forces</w:t>
      </w:r>
      <w:r w:rsidRPr="001663AE">
        <w:rPr>
          <w:rFonts w:hint="eastAsia"/>
        </w:rPr>
        <w:t>。</w:t>
      </w:r>
    </w:p>
  </w:footnote>
  <w:footnote w:id="300">
    <w:p w14:paraId="181FFFE5" w14:textId="77777777" w:rsidR="00CA23FA" w:rsidRPr="001663AE" w:rsidRDefault="00CA23FA" w:rsidP="00BE652C">
      <w:pPr>
        <w:pStyle w:val="3"/>
        <w:jc w:val="left"/>
      </w:pPr>
      <w:r w:rsidRPr="001663AE">
        <w:rPr>
          <w:rStyle w:val="af3"/>
          <w:rFonts w:ascii="新細明體" w:hAnsi="新細明體"/>
        </w:rPr>
        <w:footnoteRef/>
      </w:r>
      <w:r w:rsidRPr="001663AE">
        <w:t xml:space="preserve"> namely dams, dykes and nuclear electrical generating stations</w:t>
      </w:r>
      <w:r w:rsidRPr="001663AE">
        <w:rPr>
          <w:rFonts w:hint="eastAsia"/>
        </w:rPr>
        <w:t>。</w:t>
      </w:r>
    </w:p>
  </w:footnote>
  <w:footnote w:id="301">
    <w:p w14:paraId="1EA8B382" w14:textId="77777777" w:rsidR="00CA23FA" w:rsidRPr="001663AE" w:rsidRDefault="00CA23FA" w:rsidP="00BE652C">
      <w:pPr>
        <w:pStyle w:val="3"/>
        <w:jc w:val="left"/>
      </w:pPr>
      <w:r w:rsidRPr="001663AE">
        <w:rPr>
          <w:rStyle w:val="af3"/>
          <w:rFonts w:ascii="新細明體" w:hAnsi="新細明體"/>
        </w:rPr>
        <w:footnoteRef/>
      </w:r>
      <w:r w:rsidRPr="001663AE">
        <w:t xml:space="preserve"> if such attack may cause the release of dangerous forces</w:t>
      </w:r>
      <w:r w:rsidRPr="001663AE">
        <w:rPr>
          <w:rFonts w:hint="eastAsia"/>
        </w:rPr>
        <w:t>。</w:t>
      </w:r>
    </w:p>
  </w:footnote>
  <w:footnote w:id="302">
    <w:p w14:paraId="48FB485C" w14:textId="77777777" w:rsidR="00CA23FA" w:rsidRPr="001663AE" w:rsidRDefault="00CA23FA" w:rsidP="00BE652C">
      <w:pPr>
        <w:pStyle w:val="3"/>
        <w:jc w:val="left"/>
      </w:pPr>
      <w:r w:rsidRPr="001663AE">
        <w:rPr>
          <w:rStyle w:val="af3"/>
          <w:rFonts w:ascii="新細明體" w:hAnsi="新細明體"/>
        </w:rPr>
        <w:footnoteRef/>
      </w:r>
      <w:r w:rsidRPr="001663AE">
        <w:t xml:space="preserve"> shall not be made the object of attack</w:t>
      </w:r>
      <w:r w:rsidRPr="001663AE">
        <w:rPr>
          <w:rFonts w:hint="eastAsia"/>
        </w:rPr>
        <w:t>。</w:t>
      </w:r>
    </w:p>
  </w:footnote>
  <w:footnote w:id="303">
    <w:p w14:paraId="6B13CBDC" w14:textId="77777777" w:rsidR="00CA23FA" w:rsidRPr="001663AE" w:rsidRDefault="00CA23FA" w:rsidP="00BE652C">
      <w:pPr>
        <w:pStyle w:val="3"/>
        <w:jc w:val="left"/>
      </w:pPr>
      <w:r w:rsidRPr="001663AE">
        <w:rPr>
          <w:rStyle w:val="af3"/>
          <w:rFonts w:ascii="新細明體" w:hAnsi="新細明體"/>
        </w:rPr>
        <w:footnoteRef/>
      </w:r>
      <w:r w:rsidRPr="001663AE">
        <w:t xml:space="preserve"> </w:t>
      </w:r>
      <w:hyperlink r:id="rId136" w:history="1">
        <w:r w:rsidRPr="001663AE">
          <w:rPr>
            <w:rStyle w:val="a5"/>
          </w:rPr>
          <w:t>http://www.un.org/chinese/documents/decl-con/geneva_protocol_2.htm</w:t>
        </w:r>
      </w:hyperlink>
      <w:hyperlink r:id="rId137" w:history="1">
        <w:r w:rsidRPr="001663AE">
          <w:rPr>
            <w:rStyle w:val="a5"/>
          </w:rPr>
          <w:t>http://www.peacehall.com/news/gb/china/2004/06/200406161040.shtml(2006.08</w:t>
        </w:r>
      </w:hyperlink>
      <w:r w:rsidRPr="001663AE">
        <w:t>)</w:t>
      </w:r>
      <w:r w:rsidRPr="001663AE">
        <w:rPr>
          <w:rFonts w:hint="eastAsia"/>
        </w:rPr>
        <w:t>。</w:t>
      </w:r>
    </w:p>
  </w:footnote>
  <w:footnote w:id="304">
    <w:p w14:paraId="718099F9" w14:textId="77777777" w:rsidR="00CA23FA" w:rsidRPr="001663AE" w:rsidRDefault="00CA23FA" w:rsidP="00BE652C">
      <w:pPr>
        <w:pStyle w:val="3"/>
        <w:jc w:val="left"/>
        <w:rPr>
          <w:rFonts w:ascii="新細明體" w:hAnsi="新細明體"/>
        </w:rPr>
      </w:pPr>
      <w:r w:rsidRPr="001663AE">
        <w:rPr>
          <w:rStyle w:val="af3"/>
          <w:rFonts w:ascii="新細明體" w:hAnsi="新細明體"/>
        </w:rPr>
        <w:footnoteRef/>
      </w:r>
      <w:r w:rsidRPr="001663AE">
        <w:rPr>
          <w:rFonts w:ascii="新細明體" w:hAnsi="新細明體"/>
        </w:rPr>
        <w:t xml:space="preserve"> </w:t>
      </w:r>
      <w:hyperlink r:id="rId138" w:history="1">
        <w:r w:rsidRPr="001663AE">
          <w:rPr>
            <w:rStyle w:val="a5"/>
          </w:rPr>
          <w:t>http://www.un.org/chinese/documents/decl-con/geneva_protocol_2.htm</w:t>
        </w:r>
      </w:hyperlink>
      <w:hyperlink r:id="rId139" w:history="1">
        <w:r w:rsidRPr="001663AE">
          <w:rPr>
            <w:rStyle w:val="a5"/>
          </w:rPr>
          <w:t>http://www.peacehall.com/news/gb/china/2004/06/200406161040.shtml(2006.08</w:t>
        </w:r>
      </w:hyperlink>
      <w:r w:rsidRPr="001663AE">
        <w:rPr>
          <w:rFonts w:ascii="新細明體" w:hAnsi="新細明體"/>
        </w:rPr>
        <w:t>)</w:t>
      </w:r>
      <w:r w:rsidRPr="001663AE">
        <w:rPr>
          <w:rFonts w:ascii="新細明體" w:hAnsi="新細明體" w:hint="eastAsia"/>
        </w:rPr>
        <w:t>。</w:t>
      </w:r>
    </w:p>
  </w:footnote>
  <w:footnote w:id="305">
    <w:p w14:paraId="6D9FEAC1" w14:textId="77777777" w:rsidR="00CA23FA" w:rsidRPr="001663AE" w:rsidRDefault="00CA23FA" w:rsidP="00BE652C">
      <w:pPr>
        <w:pStyle w:val="3"/>
        <w:jc w:val="left"/>
      </w:pPr>
      <w:r w:rsidRPr="001663AE">
        <w:rPr>
          <w:rStyle w:val="af3"/>
          <w:rFonts w:ascii="新細明體" w:hAnsi="新細明體"/>
        </w:rPr>
        <w:footnoteRef/>
      </w:r>
      <w:r w:rsidRPr="001663AE">
        <w:t xml:space="preserve"> The civilian population and individual civilians shall enjoy general protection against the dangers arising from military operations</w:t>
      </w:r>
      <w:r w:rsidRPr="001663AE">
        <w:rPr>
          <w:rFonts w:hint="eastAsia"/>
        </w:rPr>
        <w:t>。</w:t>
      </w:r>
    </w:p>
  </w:footnote>
  <w:footnote w:id="306">
    <w:p w14:paraId="2AFDCD59" w14:textId="77777777" w:rsidR="00CA23FA" w:rsidRPr="001663AE" w:rsidRDefault="00CA23FA" w:rsidP="00BE652C">
      <w:pPr>
        <w:pStyle w:val="3"/>
        <w:jc w:val="left"/>
      </w:pPr>
      <w:r w:rsidRPr="001663AE">
        <w:rPr>
          <w:rStyle w:val="af3"/>
          <w:rFonts w:ascii="新細明體" w:hAnsi="新細明體"/>
        </w:rPr>
        <w:footnoteRef/>
      </w:r>
      <w:r w:rsidRPr="001663AE">
        <w:t xml:space="preserve"> To give effect to this protection, the following rules shall be observed in all circumstances</w:t>
      </w:r>
      <w:r w:rsidRPr="001663AE">
        <w:rPr>
          <w:rFonts w:hint="eastAsia"/>
        </w:rPr>
        <w:t>。</w:t>
      </w:r>
    </w:p>
  </w:footnote>
  <w:footnote w:id="307">
    <w:p w14:paraId="65BBA413" w14:textId="77777777" w:rsidR="00CA23FA" w:rsidRPr="001663AE" w:rsidRDefault="00CA23FA" w:rsidP="00BE652C">
      <w:pPr>
        <w:pStyle w:val="3"/>
        <w:jc w:val="left"/>
      </w:pPr>
      <w:r w:rsidRPr="001663AE">
        <w:rPr>
          <w:rStyle w:val="af3"/>
          <w:rFonts w:ascii="新細明體" w:hAnsi="新細明體"/>
        </w:rPr>
        <w:footnoteRef/>
      </w:r>
      <w:r w:rsidRPr="001663AE">
        <w:t xml:space="preserve"> The civilian population as such, as well as individual civilians, shall not be the object of attack</w:t>
      </w:r>
      <w:r w:rsidRPr="001663AE">
        <w:rPr>
          <w:rFonts w:hint="eastAsia"/>
        </w:rPr>
        <w:t>。</w:t>
      </w:r>
    </w:p>
  </w:footnote>
  <w:footnote w:id="308">
    <w:p w14:paraId="6A925773" w14:textId="77777777" w:rsidR="00CA23FA" w:rsidRPr="001663AE" w:rsidRDefault="00CA23FA" w:rsidP="00BE652C">
      <w:pPr>
        <w:pStyle w:val="3"/>
        <w:jc w:val="left"/>
      </w:pPr>
      <w:r w:rsidRPr="001663AE">
        <w:rPr>
          <w:rStyle w:val="af3"/>
          <w:rFonts w:ascii="新細明體" w:hAnsi="新細明體"/>
        </w:rPr>
        <w:footnoteRef/>
      </w:r>
      <w:r w:rsidRPr="001663AE">
        <w:t xml:space="preserve"> Acts or threats of violence the primary purpose of which is to spread terror among the civilian population are prohibited</w:t>
      </w:r>
      <w:r w:rsidRPr="001663AE">
        <w:rPr>
          <w:rFonts w:hint="eastAsia"/>
        </w:rPr>
        <w:t>。</w:t>
      </w:r>
    </w:p>
  </w:footnote>
  <w:footnote w:id="309">
    <w:p w14:paraId="0B31BBDC" w14:textId="77777777" w:rsidR="00CA23FA" w:rsidRPr="001663AE" w:rsidRDefault="00CA23FA" w:rsidP="00BE652C">
      <w:pPr>
        <w:pStyle w:val="3"/>
        <w:jc w:val="left"/>
      </w:pPr>
      <w:r w:rsidRPr="001663AE">
        <w:rPr>
          <w:rStyle w:val="af3"/>
          <w:rFonts w:ascii="新細明體" w:hAnsi="新細明體"/>
        </w:rPr>
        <w:footnoteRef/>
      </w:r>
      <w:r w:rsidRPr="001663AE">
        <w:t xml:space="preserve"> Civilians shall enjoy the protection afforded by this Part, unless and for such time as they take a direct part in hostilities</w:t>
      </w:r>
      <w:r w:rsidRPr="001663AE">
        <w:rPr>
          <w:rFonts w:hint="eastAsia"/>
        </w:rPr>
        <w:t>。</w:t>
      </w:r>
    </w:p>
  </w:footnote>
  <w:footnote w:id="310">
    <w:p w14:paraId="0E009BAD" w14:textId="77777777" w:rsidR="00CA23FA" w:rsidRPr="001663AE" w:rsidRDefault="00CA23FA" w:rsidP="00BE652C">
      <w:pPr>
        <w:pStyle w:val="3"/>
        <w:jc w:val="left"/>
      </w:pPr>
      <w:r w:rsidRPr="001663AE">
        <w:rPr>
          <w:rStyle w:val="af3"/>
          <w:rFonts w:ascii="新細明體" w:hAnsi="新細明體"/>
        </w:rPr>
        <w:footnoteRef/>
      </w:r>
      <w:r w:rsidRPr="001663AE">
        <w:t xml:space="preserve"> The civilian population as such, as well as individual civilians, shall not be the object of attack</w:t>
      </w:r>
      <w:r w:rsidRPr="001663AE">
        <w:rPr>
          <w:rFonts w:hint="eastAsia"/>
        </w:rPr>
        <w:t>。</w:t>
      </w:r>
    </w:p>
  </w:footnote>
  <w:footnote w:id="311">
    <w:p w14:paraId="4860EA87" w14:textId="77777777" w:rsidR="00CA23FA" w:rsidRPr="001663AE" w:rsidRDefault="00CA23FA" w:rsidP="00D87D91">
      <w:pPr>
        <w:pStyle w:val="3"/>
      </w:pPr>
      <w:r w:rsidRPr="001663AE">
        <w:rPr>
          <w:rStyle w:val="af3"/>
          <w:rFonts w:ascii="新細明體" w:hAnsi="新細明體"/>
        </w:rPr>
        <w:footnoteRef/>
      </w:r>
      <w:r w:rsidRPr="001663AE">
        <w:t xml:space="preserve"> Without prejudice to the provisions of The Hague Convention for the Protection of Cultural Property in the Event of Armed Conflict of 14 May 1954</w:t>
      </w:r>
      <w:r w:rsidRPr="001663AE">
        <w:rPr>
          <w:rFonts w:hint="eastAsia"/>
        </w:rPr>
        <w:t>。</w:t>
      </w:r>
    </w:p>
  </w:footnote>
  <w:footnote w:id="312">
    <w:p w14:paraId="49121D1A" w14:textId="77777777" w:rsidR="00CA23FA" w:rsidRPr="001663AE" w:rsidRDefault="00CA23FA" w:rsidP="00D87D91">
      <w:pPr>
        <w:pStyle w:val="3"/>
      </w:pPr>
      <w:r w:rsidRPr="001663AE">
        <w:rPr>
          <w:rStyle w:val="af3"/>
          <w:rFonts w:ascii="新細明體" w:hAnsi="新細明體"/>
        </w:rPr>
        <w:footnoteRef/>
      </w:r>
      <w:r w:rsidRPr="001663AE">
        <w:t xml:space="preserve"> it is prohibited to commit any acts of hostility directed against historic monuments, works of art or places of worship which constitute the cultural or spiritual heritage of peoples, and to use them in support of the military effort</w:t>
      </w:r>
      <w:r w:rsidRPr="001663AE">
        <w:rPr>
          <w:rFonts w:hint="eastAsia"/>
        </w:rPr>
        <w:t>。</w:t>
      </w:r>
    </w:p>
  </w:footnote>
  <w:footnote w:id="313">
    <w:p w14:paraId="56F3430A" w14:textId="77777777" w:rsidR="00CA23FA" w:rsidRPr="001663AE" w:rsidRDefault="00CA23FA" w:rsidP="00D87D91">
      <w:pPr>
        <w:pStyle w:val="3"/>
      </w:pPr>
      <w:r w:rsidRPr="001663AE">
        <w:rPr>
          <w:rStyle w:val="af3"/>
          <w:rFonts w:ascii="新細明體" w:hAnsi="新細明體"/>
        </w:rPr>
        <w:footnoteRef/>
      </w:r>
      <w:r w:rsidRPr="001663AE">
        <w:t xml:space="preserve"> It is prohibited to order that there shall be no survivors</w:t>
      </w:r>
      <w:r w:rsidRPr="001663AE">
        <w:rPr>
          <w:rFonts w:hint="eastAsia"/>
        </w:rPr>
        <w:t>。</w:t>
      </w:r>
    </w:p>
  </w:footnote>
  <w:footnote w:id="314">
    <w:p w14:paraId="4D5FB33E" w14:textId="77777777" w:rsidR="00CA23FA" w:rsidRPr="001663AE" w:rsidRDefault="00CA23FA" w:rsidP="00D87D91">
      <w:pPr>
        <w:pStyle w:val="3"/>
      </w:pPr>
      <w:r w:rsidRPr="001663AE">
        <w:rPr>
          <w:rStyle w:val="af3"/>
          <w:rFonts w:ascii="新細明體" w:hAnsi="新細明體"/>
        </w:rPr>
        <w:footnoteRef/>
      </w:r>
      <w:r w:rsidRPr="001663AE">
        <w:t xml:space="preserve"> All persons who do not take a direct part or who have ceased to take part in hostilities</w:t>
      </w:r>
      <w:r w:rsidRPr="001663AE">
        <w:rPr>
          <w:rFonts w:hint="eastAsia"/>
        </w:rPr>
        <w:t>。</w:t>
      </w:r>
    </w:p>
  </w:footnote>
  <w:footnote w:id="315">
    <w:p w14:paraId="6B6C3ED7" w14:textId="77777777" w:rsidR="00CA23FA" w:rsidRPr="001663AE" w:rsidRDefault="00CA23FA" w:rsidP="00D87D91">
      <w:pPr>
        <w:pStyle w:val="3"/>
      </w:pPr>
      <w:r w:rsidRPr="001663AE">
        <w:rPr>
          <w:rStyle w:val="af3"/>
          <w:rFonts w:ascii="新細明體" w:hAnsi="新細明體"/>
        </w:rPr>
        <w:footnoteRef/>
      </w:r>
      <w:r w:rsidRPr="001663AE">
        <w:t xml:space="preserve"> whether or not their liberty has been restricted</w:t>
      </w:r>
      <w:r w:rsidRPr="001663AE">
        <w:rPr>
          <w:rFonts w:hint="eastAsia"/>
        </w:rPr>
        <w:t>。</w:t>
      </w:r>
    </w:p>
  </w:footnote>
  <w:footnote w:id="316">
    <w:p w14:paraId="32B3BED5" w14:textId="77777777" w:rsidR="00CA23FA" w:rsidRPr="001663AE" w:rsidRDefault="00CA23FA" w:rsidP="00D87D91">
      <w:pPr>
        <w:pStyle w:val="3"/>
      </w:pPr>
      <w:r w:rsidRPr="001663AE">
        <w:rPr>
          <w:rStyle w:val="af3"/>
          <w:rFonts w:ascii="新細明體" w:hAnsi="新細明體"/>
        </w:rPr>
        <w:footnoteRef/>
      </w:r>
      <w:r w:rsidRPr="001663AE">
        <w:t xml:space="preserve"> are entitled to respect for their person, honour and convictions and religious practices</w:t>
      </w:r>
      <w:r w:rsidRPr="001663AE">
        <w:rPr>
          <w:rFonts w:hint="eastAsia"/>
        </w:rPr>
        <w:t>。</w:t>
      </w:r>
    </w:p>
  </w:footnote>
  <w:footnote w:id="317">
    <w:p w14:paraId="34ACCD9E" w14:textId="77777777" w:rsidR="00CA23FA" w:rsidRPr="001663AE" w:rsidRDefault="00CA23FA" w:rsidP="00D87D91">
      <w:pPr>
        <w:pStyle w:val="3"/>
      </w:pPr>
      <w:r w:rsidRPr="001663AE">
        <w:rPr>
          <w:rStyle w:val="af3"/>
          <w:rFonts w:ascii="新細明體" w:hAnsi="新細明體"/>
        </w:rPr>
        <w:footnoteRef/>
      </w:r>
      <w:r w:rsidRPr="001663AE">
        <w:t xml:space="preserve"> It is prohibited to order that there shall be no survivors</w:t>
      </w:r>
      <w:r w:rsidRPr="001663AE">
        <w:rPr>
          <w:rFonts w:hint="eastAsia"/>
        </w:rPr>
        <w:t>。</w:t>
      </w:r>
    </w:p>
  </w:footnote>
  <w:footnote w:id="318">
    <w:p w14:paraId="6458F0E0" w14:textId="77777777" w:rsidR="00CA23FA" w:rsidRPr="001663AE" w:rsidRDefault="00CA23FA" w:rsidP="00D87D91">
      <w:pPr>
        <w:pStyle w:val="3"/>
      </w:pPr>
      <w:r w:rsidRPr="001663AE">
        <w:rPr>
          <w:rStyle w:val="af3"/>
          <w:rFonts w:ascii="新細明體" w:hAnsi="新細明體"/>
        </w:rPr>
        <w:footnoteRef/>
      </w:r>
      <w:r w:rsidRPr="001663AE">
        <w:t xml:space="preserve"> Without prejudice to the generality of the foregoing</w:t>
      </w:r>
      <w:r w:rsidRPr="001663AE">
        <w:rPr>
          <w:rFonts w:hint="eastAsia"/>
        </w:rPr>
        <w:t>。</w:t>
      </w:r>
    </w:p>
  </w:footnote>
  <w:footnote w:id="319">
    <w:p w14:paraId="431DB058" w14:textId="77777777" w:rsidR="00CA23FA" w:rsidRPr="001663AE" w:rsidRDefault="00CA23FA" w:rsidP="00D87D91">
      <w:pPr>
        <w:pStyle w:val="3"/>
      </w:pPr>
      <w:r w:rsidRPr="001663AE">
        <w:rPr>
          <w:rStyle w:val="af3"/>
          <w:rFonts w:ascii="新細明體" w:hAnsi="新細明體"/>
        </w:rPr>
        <w:footnoteRef/>
      </w:r>
      <w:r w:rsidRPr="001663AE">
        <w:t xml:space="preserve"> the following acts against the persons referred to in paragraph I are and shall remain prohibited at any time and in any place whatsoever</w:t>
      </w:r>
      <w:r w:rsidRPr="001663AE">
        <w:rPr>
          <w:rFonts w:hint="eastAsia"/>
        </w:rPr>
        <w:t>。</w:t>
      </w:r>
    </w:p>
  </w:footnote>
  <w:footnote w:id="320">
    <w:p w14:paraId="6502FA2E" w14:textId="77777777" w:rsidR="00CA23FA" w:rsidRPr="001663AE" w:rsidRDefault="00CA23FA" w:rsidP="00D87D91">
      <w:pPr>
        <w:pStyle w:val="3"/>
      </w:pPr>
      <w:r w:rsidRPr="001663AE">
        <w:rPr>
          <w:rStyle w:val="af3"/>
          <w:rFonts w:ascii="新細明體" w:hAnsi="新細明體"/>
        </w:rPr>
        <w:footnoteRef/>
      </w:r>
      <w:r w:rsidRPr="001663AE">
        <w:t xml:space="preserve"> Violence to the life, health and physical or mental well-being of persons</w:t>
      </w:r>
      <w:r w:rsidRPr="001663AE">
        <w:rPr>
          <w:rFonts w:hint="eastAsia"/>
        </w:rPr>
        <w:t>。</w:t>
      </w:r>
    </w:p>
  </w:footnote>
  <w:footnote w:id="321">
    <w:p w14:paraId="3E44AB3A" w14:textId="77777777" w:rsidR="00CA23FA" w:rsidRPr="001663AE" w:rsidRDefault="00CA23FA" w:rsidP="00D87D91">
      <w:pPr>
        <w:pStyle w:val="3"/>
      </w:pPr>
      <w:r w:rsidRPr="001663AE">
        <w:rPr>
          <w:rStyle w:val="af3"/>
          <w:rFonts w:ascii="新細明體" w:hAnsi="新細明體"/>
        </w:rPr>
        <w:footnoteRef/>
      </w:r>
      <w:r w:rsidRPr="001663AE">
        <w:t xml:space="preserve"> in particular murder as well as cruel treatment such as torture, mutilation or any form of corporal punishment</w:t>
      </w:r>
      <w:r w:rsidRPr="001663AE">
        <w:rPr>
          <w:rFonts w:hint="eastAsia"/>
        </w:rPr>
        <w:t>。</w:t>
      </w:r>
    </w:p>
  </w:footnote>
  <w:footnote w:id="322">
    <w:p w14:paraId="6B6994DA" w14:textId="77777777" w:rsidR="00CA23FA" w:rsidRPr="001663AE" w:rsidRDefault="00CA23FA" w:rsidP="00D87D91">
      <w:pPr>
        <w:pStyle w:val="3"/>
      </w:pPr>
      <w:r w:rsidRPr="001663AE">
        <w:rPr>
          <w:rStyle w:val="af3"/>
          <w:rFonts w:ascii="新細明體" w:hAnsi="新細明體"/>
        </w:rPr>
        <w:footnoteRef/>
      </w:r>
      <w:r w:rsidRPr="001663AE">
        <w:t xml:space="preserve"> Protection of objects indispensable to the survival of the civilian population</w:t>
      </w:r>
      <w:r w:rsidRPr="001663AE">
        <w:rPr>
          <w:rFonts w:hint="eastAsia"/>
        </w:rPr>
        <w:t>。</w:t>
      </w:r>
    </w:p>
  </w:footnote>
  <w:footnote w:id="323">
    <w:p w14:paraId="4C8065A8" w14:textId="77777777"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Starvation of civilians as a method of combat is prohibited</w:t>
      </w:r>
      <w:r w:rsidRPr="00445210">
        <w:rPr>
          <w:rFonts w:hint="eastAsia"/>
          <w:szCs w:val="18"/>
        </w:rPr>
        <w:t>。</w:t>
      </w:r>
    </w:p>
  </w:footnote>
  <w:footnote w:id="324">
    <w:p w14:paraId="74C8BE9C" w14:textId="77777777"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objects indispensable to the survival of the civilian population</w:t>
      </w:r>
      <w:r w:rsidRPr="00445210">
        <w:rPr>
          <w:rFonts w:hint="eastAsia"/>
          <w:szCs w:val="18"/>
        </w:rPr>
        <w:t>。</w:t>
      </w:r>
    </w:p>
  </w:footnote>
  <w:footnote w:id="325">
    <w:p w14:paraId="54456C0B" w14:textId="77777777"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It is therefore prohibited to attack, destroy, remove or render useless</w:t>
      </w:r>
      <w:r w:rsidRPr="00445210">
        <w:rPr>
          <w:rFonts w:hint="eastAsia"/>
          <w:szCs w:val="18"/>
        </w:rPr>
        <w:t>。</w:t>
      </w:r>
    </w:p>
  </w:footnote>
  <w:footnote w:id="326">
    <w:p w14:paraId="064EC821" w14:textId="77777777"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drinking water installations and supplies)</w:t>
      </w:r>
      <w:r w:rsidRPr="00445210">
        <w:rPr>
          <w:rFonts w:hint="eastAsia"/>
          <w:szCs w:val="18"/>
        </w:rPr>
        <w:t>及灌溉工程</w:t>
      </w:r>
      <w:r w:rsidRPr="00445210">
        <w:rPr>
          <w:szCs w:val="18"/>
        </w:rPr>
        <w:t>(irrigation works</w:t>
      </w:r>
      <w:r w:rsidRPr="00445210">
        <w:rPr>
          <w:rFonts w:hint="eastAsia"/>
          <w:szCs w:val="18"/>
        </w:rPr>
        <w:t>。</w:t>
      </w:r>
    </w:p>
  </w:footnote>
  <w:footnote w:id="327">
    <w:p w14:paraId="17603D35" w14:textId="77777777"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rFonts w:hint="eastAsia"/>
          <w:szCs w:val="18"/>
        </w:rPr>
        <w:t>根據中國黃燕明氏之研究，「於美國西點軍校課程中，把中國之《孫子兵法》一書，列為未來將軍們必讀之書。是以，兩岸之政治家、軍事家、學者及民眾，如果能從非戰、和平的角度，探討兩岸之問題，則會造福人類，以及避免一場中華民族</w:t>
      </w:r>
      <w:r w:rsidRPr="00445210">
        <w:rPr>
          <w:szCs w:val="18"/>
        </w:rPr>
        <w:t>“</w:t>
      </w:r>
      <w:r w:rsidRPr="00445210">
        <w:rPr>
          <w:rFonts w:hint="eastAsia"/>
          <w:szCs w:val="18"/>
        </w:rPr>
        <w:t>同室操弋</w:t>
      </w:r>
      <w:r w:rsidRPr="00445210">
        <w:rPr>
          <w:szCs w:val="18"/>
        </w:rPr>
        <w:t>”</w:t>
      </w:r>
      <w:r w:rsidRPr="00445210">
        <w:rPr>
          <w:rFonts w:hint="eastAsia"/>
          <w:szCs w:val="18"/>
        </w:rPr>
        <w:t>的戰爭</w:t>
      </w:r>
      <w:r w:rsidRPr="00445210">
        <w:rPr>
          <w:rStyle w:val="af3"/>
          <w:rFonts w:ascii="新細明體" w:hAnsi="新細明體"/>
          <w:sz w:val="18"/>
          <w:szCs w:val="18"/>
        </w:rPr>
        <w:footnoteRef/>
      </w:r>
      <w:r w:rsidRPr="00445210">
        <w:rPr>
          <w:rFonts w:hint="eastAsia"/>
          <w:szCs w:val="18"/>
        </w:rPr>
        <w:t>。中國之孫子，告誡人們應非常慎重對待戰爭，反復強調</w:t>
      </w:r>
      <w:r w:rsidRPr="00445210">
        <w:rPr>
          <w:szCs w:val="18"/>
        </w:rPr>
        <w:t>“</w:t>
      </w:r>
      <w:r w:rsidRPr="00445210">
        <w:rPr>
          <w:rFonts w:hint="eastAsia"/>
          <w:szCs w:val="18"/>
        </w:rPr>
        <w:t>戰勝</w:t>
      </w:r>
      <w:r w:rsidRPr="00445210">
        <w:rPr>
          <w:szCs w:val="18"/>
        </w:rPr>
        <w:t>”</w:t>
      </w:r>
      <w:r w:rsidRPr="00445210">
        <w:rPr>
          <w:rFonts w:hint="eastAsia"/>
          <w:szCs w:val="18"/>
        </w:rPr>
        <w:t>並不是戰爭最終目的，軍事家的最高軍事境界，就是</w:t>
      </w:r>
      <w:r w:rsidRPr="00445210">
        <w:rPr>
          <w:szCs w:val="18"/>
        </w:rPr>
        <w:t>“</w:t>
      </w:r>
      <w:r w:rsidRPr="00445210">
        <w:rPr>
          <w:rFonts w:hint="eastAsia"/>
          <w:szCs w:val="18"/>
        </w:rPr>
        <w:t>不戰而屈人之兵，善之善者也。故上兵伐謀，其次伐交（和平外交），其次伐兵，其下攻城。攻城之法為不得已</w:t>
      </w:r>
      <w:r w:rsidRPr="00445210">
        <w:rPr>
          <w:szCs w:val="18"/>
        </w:rPr>
        <w:t>”</w:t>
      </w:r>
      <w:r w:rsidRPr="00445210">
        <w:rPr>
          <w:rFonts w:hint="eastAsia"/>
          <w:szCs w:val="18"/>
        </w:rPr>
        <w:t>。」以上，請參閱：黃燕明，從「孫子兵法」看臺灣海峽，《議報》第</w:t>
      </w:r>
      <w:r w:rsidRPr="00445210">
        <w:rPr>
          <w:szCs w:val="18"/>
        </w:rPr>
        <w:t>222</w:t>
      </w:r>
      <w:r w:rsidRPr="00445210">
        <w:rPr>
          <w:rFonts w:hint="eastAsia"/>
          <w:szCs w:val="18"/>
        </w:rPr>
        <w:t>期，</w:t>
      </w:r>
      <w:r w:rsidRPr="00445210">
        <w:rPr>
          <w:szCs w:val="18"/>
        </w:rPr>
        <w:t xml:space="preserve"> </w:t>
      </w:r>
      <w:hyperlink r:id="rId140" w:history="1">
        <w:r w:rsidRPr="00445210">
          <w:rPr>
            <w:rStyle w:val="a5"/>
            <w:sz w:val="18"/>
            <w:szCs w:val="18"/>
          </w:rPr>
          <w:t>http://www.chinaeweekly.com</w:t>
        </w:r>
      </w:hyperlink>
      <w:hyperlink r:id="rId141" w:history="1">
        <w:r w:rsidRPr="00445210">
          <w:rPr>
            <w:rStyle w:val="a5"/>
            <w:sz w:val="18"/>
            <w:szCs w:val="18"/>
          </w:rPr>
          <w:t>http://www.peacehall.com/news/gb/china/2004/06/200406161040.shtml(2006.08</w:t>
        </w:r>
      </w:hyperlink>
      <w:r w:rsidRPr="00445210">
        <w:rPr>
          <w:szCs w:val="18"/>
        </w:rPr>
        <w:t>)</w:t>
      </w:r>
      <w:r w:rsidRPr="00445210">
        <w:rPr>
          <w:rFonts w:hint="eastAsia"/>
          <w:szCs w:val="18"/>
        </w:rPr>
        <w:t>；</w:t>
      </w:r>
      <w:r w:rsidRPr="00445210">
        <w:rPr>
          <w:szCs w:val="18"/>
        </w:rPr>
        <w:t>http://www.epochtimes.com/b5/5/11/2/n1105209.htm</w:t>
      </w:r>
      <w:hyperlink r:id="rId142" w:history="1">
        <w:r w:rsidRPr="00445210">
          <w:rPr>
            <w:rStyle w:val="a5"/>
            <w:sz w:val="18"/>
            <w:szCs w:val="18"/>
          </w:rPr>
          <w:t>http://www.peacehall.com/news/gb/china/2004/06/200406161040.shtml(2006.08</w:t>
        </w:r>
      </w:hyperlink>
      <w:r w:rsidRPr="00445210">
        <w:rPr>
          <w:szCs w:val="18"/>
        </w:rPr>
        <w:t>)</w:t>
      </w:r>
      <w:r w:rsidRPr="00445210">
        <w:rPr>
          <w:rFonts w:hint="eastAsia"/>
          <w:szCs w:val="18"/>
        </w:rPr>
        <w:t>。黃燕明氏認為，兩岸政治問題之解決，使用武力是下策，以和平方式實現統一，才是最上策，本文同意此種觀點。</w:t>
      </w:r>
      <w:r w:rsidRPr="00445210">
        <w:rPr>
          <w:szCs w:val="18"/>
        </w:rPr>
        <w:t xml:space="preserve"> </w:t>
      </w:r>
    </w:p>
  </w:footnote>
  <w:footnote w:id="328">
    <w:p w14:paraId="6218DBF7" w14:textId="77777777"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Acts or threats of violence the primary purpose of which is to spread terror among the civilian population are prohibited</w:t>
      </w:r>
      <w:r w:rsidRPr="00445210">
        <w:rPr>
          <w:rFonts w:hint="eastAsia"/>
          <w:szCs w:val="18"/>
        </w:rPr>
        <w:t>。</w:t>
      </w:r>
    </w:p>
  </w:footnote>
  <w:footnote w:id="329">
    <w:p w14:paraId="6EBB7808" w14:textId="77777777" w:rsidR="00CA23FA" w:rsidRPr="00480296" w:rsidRDefault="00CA23FA" w:rsidP="00BE652C">
      <w:pPr>
        <w:pStyle w:val="3"/>
        <w:jc w:val="left"/>
      </w:pPr>
      <w:r w:rsidRPr="00445210">
        <w:rPr>
          <w:rStyle w:val="af3"/>
          <w:bCs w:val="0"/>
          <w:color w:val="808000"/>
          <w:sz w:val="18"/>
          <w:szCs w:val="18"/>
          <w:vertAlign w:val="baseline"/>
        </w:rPr>
        <w:footnoteRef/>
      </w:r>
      <w:r w:rsidRPr="00445210">
        <w:rPr>
          <w:rFonts w:hint="eastAsia"/>
          <w:szCs w:val="18"/>
        </w:rPr>
        <w:t>台國防部長</w:t>
      </w:r>
      <w:r w:rsidRPr="00445210">
        <w:rPr>
          <w:szCs w:val="18"/>
        </w:rPr>
        <w:t>:</w:t>
      </w:r>
      <w:r w:rsidRPr="00445210">
        <w:rPr>
          <w:rFonts w:hint="eastAsia"/>
          <w:szCs w:val="18"/>
        </w:rPr>
        <w:t>遊錫堃說飛彈打三峽大壩害死我們，</w:t>
      </w:r>
      <w:hyperlink r:id="rId143" w:history="1">
        <w:r w:rsidRPr="00445210">
          <w:rPr>
            <w:rStyle w:val="a5"/>
            <w:rFonts w:ascii="Arial Unicode MS" w:hAnsi="Arial Unicode MS"/>
            <w:bCs w:val="0"/>
            <w:sz w:val="18"/>
            <w:szCs w:val="18"/>
          </w:rPr>
          <w:t>http://www.china247.com/news/2007-04-27/121859.shtml</w:t>
        </w:r>
      </w:hyperlink>
      <w:r w:rsidRPr="00445210">
        <w:rPr>
          <w:szCs w:val="18"/>
        </w:rPr>
        <w:t>(2007.05)</w:t>
      </w:r>
      <w:r w:rsidRPr="00445210">
        <w:rPr>
          <w:rFonts w:hint="eastAsia"/>
          <w:szCs w:val="18"/>
        </w:rPr>
        <w:t>。</w:t>
      </w:r>
    </w:p>
  </w:footnote>
  <w:footnote w:id="330">
    <w:p w14:paraId="28F8BAED" w14:textId="77777777" w:rsidR="00CA23FA" w:rsidRPr="001663AE" w:rsidRDefault="00CA23FA" w:rsidP="00445210">
      <w:pPr>
        <w:pStyle w:val="3"/>
        <w:jc w:val="left"/>
      </w:pPr>
      <w:r w:rsidRPr="001663AE">
        <w:rPr>
          <w:rStyle w:val="af3"/>
          <w:rFonts w:ascii="新細明體" w:hAnsi="新細明體"/>
        </w:rPr>
        <w:footnoteRef/>
      </w:r>
      <w:r w:rsidRPr="001663AE">
        <w:t xml:space="preserve"> </w:t>
      </w:r>
      <w:r w:rsidRPr="001663AE">
        <w:rPr>
          <w:rFonts w:hint="eastAsia"/>
          <w:lang w:bidi="bn-IN"/>
        </w:rPr>
        <w:t>「世界人權宣言」第</w:t>
      </w:r>
      <w:r w:rsidRPr="001663AE">
        <w:rPr>
          <w:lang w:bidi="bn-IN"/>
        </w:rPr>
        <w:t>25</w:t>
      </w:r>
      <w:r w:rsidRPr="001663AE">
        <w:rPr>
          <w:rFonts w:hint="eastAsia"/>
          <w:lang w:bidi="bn-IN"/>
        </w:rPr>
        <w:t>條第</w:t>
      </w:r>
      <w:r w:rsidRPr="001663AE">
        <w:rPr>
          <w:lang w:bidi="bn-IN"/>
        </w:rPr>
        <w:t>1</w:t>
      </w:r>
      <w:r w:rsidRPr="001663AE">
        <w:rPr>
          <w:rFonts w:hint="eastAsia"/>
          <w:lang w:bidi="bn-IN"/>
        </w:rPr>
        <w:t>款：</w:t>
      </w:r>
      <w:r w:rsidRPr="001663AE">
        <w:rPr>
          <w:lang w:bidi="bn-IN"/>
        </w:rPr>
        <w:t>“</w:t>
      </w:r>
      <w:r w:rsidRPr="001663AE">
        <w:rPr>
          <w:rFonts w:hint="eastAsia"/>
          <w:lang w:bidi="bn-IN"/>
        </w:rPr>
        <w:t>人人有權享受為維持他本人和家屬的健康和福利所需的生活水準，包括食物、衣著、住房、醫療和必要的社會服務</w:t>
      </w:r>
      <w:r w:rsidRPr="001663AE">
        <w:rPr>
          <w:lang w:bidi="bn-IN"/>
        </w:rPr>
        <w:t>”</w:t>
      </w:r>
      <w:r w:rsidRPr="001663AE">
        <w:rPr>
          <w:rFonts w:hint="eastAsia"/>
          <w:lang w:bidi="bn-IN"/>
        </w:rPr>
        <w:t>。</w:t>
      </w:r>
    </w:p>
  </w:footnote>
  <w:footnote w:id="331">
    <w:p w14:paraId="6927DEDA" w14:textId="77777777" w:rsidR="00CA23FA" w:rsidRPr="001663AE" w:rsidRDefault="00CA23FA" w:rsidP="00445210">
      <w:pPr>
        <w:pStyle w:val="3"/>
        <w:jc w:val="left"/>
      </w:pPr>
      <w:r w:rsidRPr="001663AE">
        <w:rPr>
          <w:rStyle w:val="af3"/>
          <w:rFonts w:ascii="新細明體" w:hAnsi="新細明體"/>
        </w:rPr>
        <w:footnoteRef/>
      </w:r>
      <w:r w:rsidRPr="001663AE">
        <w:rPr>
          <w:rFonts w:hint="eastAsia"/>
          <w:lang w:bidi="bn-IN"/>
        </w:rPr>
        <w:t>經濟、社會、文化權利委員會第二十二屆會議</w:t>
      </w:r>
      <w:r w:rsidRPr="001663AE">
        <w:rPr>
          <w:lang w:bidi="bn-IN"/>
        </w:rPr>
        <w:t>(2000</w:t>
      </w:r>
      <w:r w:rsidRPr="001663AE">
        <w:rPr>
          <w:rFonts w:hint="eastAsia"/>
          <w:lang w:bidi="bn-IN"/>
        </w:rPr>
        <w:t>年</w:t>
      </w:r>
      <w:r w:rsidRPr="001663AE">
        <w:rPr>
          <w:lang w:bidi="bn-IN"/>
        </w:rPr>
        <w:t>)</w:t>
      </w:r>
      <w:r w:rsidRPr="001663AE">
        <w:rPr>
          <w:rFonts w:hint="eastAsia"/>
          <w:lang w:bidi="bn-IN"/>
        </w:rPr>
        <w:t>第</w:t>
      </w:r>
      <w:r w:rsidRPr="001663AE">
        <w:rPr>
          <w:lang w:bidi="bn-IN"/>
        </w:rPr>
        <w:t>14</w:t>
      </w:r>
      <w:r w:rsidRPr="001663AE">
        <w:rPr>
          <w:rFonts w:hint="eastAsia"/>
          <w:lang w:bidi="bn-IN"/>
        </w:rPr>
        <w:t>號一般性意見：享有能達到的最高健康標準的權利</w:t>
      </w:r>
      <w:r w:rsidRPr="001663AE">
        <w:rPr>
          <w:lang w:bidi="bn-IN"/>
        </w:rPr>
        <w:t>(</w:t>
      </w:r>
      <w:r w:rsidRPr="001663AE">
        <w:rPr>
          <w:rFonts w:hint="eastAsia"/>
          <w:lang w:bidi="bn-IN"/>
        </w:rPr>
        <w:t>第</w:t>
      </w:r>
      <w:r w:rsidRPr="001663AE">
        <w:rPr>
          <w:lang w:bidi="bn-IN"/>
        </w:rPr>
        <w:t>12</w:t>
      </w:r>
      <w:r w:rsidRPr="001663AE">
        <w:rPr>
          <w:rFonts w:hint="eastAsia"/>
          <w:lang w:bidi="bn-IN"/>
        </w:rPr>
        <w:t>條</w:t>
      </w:r>
      <w:r w:rsidRPr="001663AE">
        <w:rPr>
          <w:lang w:bidi="bn-IN"/>
        </w:rPr>
        <w:t>)</w:t>
      </w:r>
      <w:r w:rsidRPr="001663AE">
        <w:rPr>
          <w:rFonts w:hint="eastAsia"/>
          <w:lang w:bidi="bn-IN"/>
        </w:rPr>
        <w:t>，載於</w:t>
      </w:r>
      <w:r w:rsidRPr="001663AE">
        <w:rPr>
          <w:lang w:bidi="bn-IN"/>
        </w:rPr>
        <w:t>E/C.12/2000/4</w:t>
      </w:r>
      <w:r w:rsidRPr="001663AE">
        <w:rPr>
          <w:rFonts w:hint="eastAsia"/>
          <w:lang w:bidi="bn-IN"/>
        </w:rPr>
        <w:t>號文件，彙編於聯合國文獻</w:t>
      </w:r>
      <w:r w:rsidRPr="001663AE">
        <w:rPr>
          <w:lang w:bidi="bn-IN"/>
        </w:rPr>
        <w:t>HRI\GEN\1\Rev.7(2004)</w:t>
      </w:r>
      <w:r w:rsidRPr="001663AE">
        <w:rPr>
          <w:rFonts w:hint="eastAsia"/>
          <w:lang w:bidi="bn-IN"/>
        </w:rPr>
        <w:t>。，以上資料，引自美國明尼蘇達大學人權圖書館，</w:t>
      </w:r>
      <w:hyperlink r:id="rId144" w:history="1">
        <w:r w:rsidRPr="001663AE">
          <w:rPr>
            <w:rStyle w:val="a5"/>
          </w:rPr>
          <w:t>http://www1.umn.edu/humanrts/chinese/CHgencomm/CHgencomment14.htm</w:t>
        </w:r>
      </w:hyperlink>
      <w:r w:rsidRPr="001663AE">
        <w:rPr>
          <w:rFonts w:hint="eastAsia"/>
        </w:rPr>
        <w:t>。</w:t>
      </w:r>
    </w:p>
  </w:footnote>
  <w:footnote w:id="332">
    <w:p w14:paraId="399D3959"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經濟、社會、文化權利委員會第二十二屆會議</w:t>
      </w:r>
      <w:r w:rsidRPr="001663AE">
        <w:rPr>
          <w:lang w:bidi="bn-IN"/>
        </w:rPr>
        <w:t>(2000</w:t>
      </w:r>
      <w:r w:rsidRPr="001663AE">
        <w:rPr>
          <w:rFonts w:hint="eastAsia"/>
          <w:lang w:bidi="bn-IN"/>
        </w:rPr>
        <w:t>年</w:t>
      </w:r>
      <w:r w:rsidRPr="001663AE">
        <w:rPr>
          <w:lang w:bidi="bn-IN"/>
        </w:rPr>
        <w:t>)</w:t>
      </w:r>
      <w:r w:rsidRPr="001663AE">
        <w:rPr>
          <w:rFonts w:hint="eastAsia"/>
          <w:lang w:bidi="bn-IN"/>
        </w:rPr>
        <w:t>第</w:t>
      </w:r>
      <w:r w:rsidRPr="001663AE">
        <w:rPr>
          <w:lang w:bidi="bn-IN"/>
        </w:rPr>
        <w:t>14</w:t>
      </w:r>
      <w:r w:rsidRPr="001663AE">
        <w:rPr>
          <w:rFonts w:hint="eastAsia"/>
          <w:lang w:bidi="bn-IN"/>
        </w:rPr>
        <w:t>號一般性意見：享有能達到的最高健康標準的權利</w:t>
      </w:r>
      <w:r w:rsidRPr="001663AE">
        <w:rPr>
          <w:lang w:bidi="bn-IN"/>
        </w:rPr>
        <w:t>(</w:t>
      </w:r>
      <w:r w:rsidRPr="001663AE">
        <w:rPr>
          <w:rFonts w:hint="eastAsia"/>
          <w:lang w:bidi="bn-IN"/>
        </w:rPr>
        <w:t>第</w:t>
      </w:r>
      <w:r w:rsidRPr="001663AE">
        <w:rPr>
          <w:lang w:bidi="bn-IN"/>
        </w:rPr>
        <w:t>12</w:t>
      </w:r>
      <w:r w:rsidRPr="001663AE">
        <w:rPr>
          <w:rFonts w:hint="eastAsia"/>
          <w:lang w:bidi="bn-IN"/>
        </w:rPr>
        <w:t>條</w:t>
      </w:r>
      <w:r w:rsidRPr="001663AE">
        <w:rPr>
          <w:lang w:bidi="bn-IN"/>
        </w:rPr>
        <w:t>)</w:t>
      </w:r>
      <w:r w:rsidRPr="001663AE">
        <w:rPr>
          <w:rFonts w:hint="eastAsia"/>
          <w:lang w:bidi="bn-IN"/>
        </w:rPr>
        <w:t>，載於</w:t>
      </w:r>
      <w:r w:rsidRPr="001663AE">
        <w:rPr>
          <w:lang w:bidi="bn-IN"/>
        </w:rPr>
        <w:t>E/C.12/2000/4</w:t>
      </w:r>
      <w:r w:rsidRPr="001663AE">
        <w:rPr>
          <w:rFonts w:hint="eastAsia"/>
          <w:lang w:bidi="bn-IN"/>
        </w:rPr>
        <w:t>號文件，彙編於聯合國文獻</w:t>
      </w:r>
      <w:r w:rsidRPr="001663AE">
        <w:rPr>
          <w:lang w:bidi="bn-IN"/>
        </w:rPr>
        <w:t>HRI\GEN\1\Rev.7(2004)</w:t>
      </w:r>
      <w:r w:rsidRPr="001663AE">
        <w:rPr>
          <w:rFonts w:hint="eastAsia"/>
        </w:rPr>
        <w:t>。</w:t>
      </w:r>
    </w:p>
  </w:footnote>
  <w:footnote w:id="333">
    <w:p w14:paraId="5FADD13D"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林素卿，</w:t>
      </w:r>
      <w:r w:rsidRPr="001663AE">
        <w:t xml:space="preserve">1985. </w:t>
      </w:r>
      <w:r w:rsidRPr="001663AE">
        <w:rPr>
          <w:rFonts w:hint="eastAsia"/>
        </w:rPr>
        <w:t>日本殖民體制下之臺灣鴉片政策研究，淡江大學日本文所碩士論文，第</w:t>
      </w:r>
      <w:r w:rsidRPr="001663AE">
        <w:t>10-41</w:t>
      </w:r>
      <w:r w:rsidRPr="001663AE">
        <w:rPr>
          <w:rFonts w:hint="eastAsia"/>
        </w:rPr>
        <w:t>頁。</w:t>
      </w:r>
    </w:p>
  </w:footnote>
  <w:footnote w:id="334">
    <w:p w14:paraId="2A40FD0F" w14:textId="77777777" w:rsidR="00CA23FA" w:rsidRPr="001663AE" w:rsidRDefault="00CA23FA" w:rsidP="00D87D91">
      <w:pPr>
        <w:pStyle w:val="3"/>
      </w:pPr>
      <w:r w:rsidRPr="001663AE">
        <w:rPr>
          <w:rStyle w:val="af3"/>
          <w:rFonts w:ascii="新細明體" w:hAnsi="新細明體"/>
        </w:rPr>
        <w:footnoteRef/>
      </w:r>
      <w:r w:rsidRPr="001663AE">
        <w:rPr>
          <w:rFonts w:hint="eastAsia"/>
        </w:rPr>
        <w:t>胡金野，</w:t>
      </w:r>
      <w:r w:rsidRPr="001663AE">
        <w:t xml:space="preserve">2006. </w:t>
      </w:r>
      <w:r w:rsidRPr="001663AE">
        <w:rPr>
          <w:rFonts w:hint="eastAsia"/>
        </w:rPr>
        <w:t>中國禁煙禁毒史綱，臺北中和：宋氏照遠出版社，第</w:t>
      </w:r>
      <w:r w:rsidRPr="001663AE">
        <w:t>10-305</w:t>
      </w:r>
      <w:r w:rsidRPr="001663AE">
        <w:rPr>
          <w:rFonts w:hint="eastAsia"/>
        </w:rPr>
        <w:t>頁。</w:t>
      </w:r>
    </w:p>
  </w:footnote>
  <w:footnote w:id="335">
    <w:p w14:paraId="1A38F182" w14:textId="77777777" w:rsidR="00CA23FA" w:rsidRPr="001663AE" w:rsidRDefault="00CA23FA" w:rsidP="00D87D91">
      <w:pPr>
        <w:pStyle w:val="3"/>
      </w:pPr>
      <w:r w:rsidRPr="001663AE">
        <w:rPr>
          <w:rStyle w:val="af3"/>
          <w:rFonts w:ascii="新細明體" w:hAnsi="新細明體"/>
        </w:rPr>
        <w:footnoteRef/>
      </w:r>
      <w:r w:rsidRPr="001663AE">
        <w:rPr>
          <w:rFonts w:hint="eastAsia"/>
        </w:rPr>
        <w:t>鷹崎僊三等著，</w:t>
      </w:r>
      <w:r w:rsidRPr="001663AE">
        <w:t xml:space="preserve">1987. </w:t>
      </w:r>
      <w:r w:rsidRPr="001663AE">
        <w:rPr>
          <w:rFonts w:hint="eastAsia"/>
        </w:rPr>
        <w:t>阿片事項調查書，臺灣：臺灣總督府製藥所，第</w:t>
      </w:r>
      <w:r w:rsidRPr="001663AE">
        <w:t>6-7</w:t>
      </w:r>
      <w:r w:rsidRPr="001663AE">
        <w:rPr>
          <w:rFonts w:hint="eastAsia"/>
        </w:rPr>
        <w:t>頁。</w:t>
      </w:r>
    </w:p>
    <w:p w14:paraId="1595BF87" w14:textId="77777777" w:rsidR="00CA23FA" w:rsidRPr="001663AE" w:rsidRDefault="00CA23FA" w:rsidP="00D87D91">
      <w:pPr>
        <w:pStyle w:val="3"/>
      </w:pPr>
      <w:r w:rsidRPr="001663AE">
        <w:rPr>
          <w:rFonts w:hint="eastAsia"/>
        </w:rPr>
        <w:t>林素卿，</w:t>
      </w:r>
      <w:r w:rsidRPr="001663AE">
        <w:t xml:space="preserve">1985. </w:t>
      </w:r>
      <w:r w:rsidRPr="001663AE">
        <w:rPr>
          <w:rFonts w:hint="eastAsia"/>
        </w:rPr>
        <w:t>日本殖民體制下之臺灣鴉片政策研究，淡江大學日本文所碩士論文，第</w:t>
      </w:r>
      <w:r w:rsidRPr="001663AE">
        <w:t>10-41</w:t>
      </w:r>
      <w:r w:rsidRPr="001663AE">
        <w:rPr>
          <w:rFonts w:hint="eastAsia"/>
        </w:rPr>
        <w:t>頁。</w:t>
      </w:r>
    </w:p>
  </w:footnote>
  <w:footnote w:id="336">
    <w:p w14:paraId="2CE15378" w14:textId="77777777" w:rsidR="00CA23FA" w:rsidRPr="001663AE" w:rsidRDefault="00CA23FA" w:rsidP="00D87D91">
      <w:pPr>
        <w:pStyle w:val="3"/>
      </w:pPr>
      <w:r w:rsidRPr="001663AE">
        <w:rPr>
          <w:rStyle w:val="af3"/>
          <w:rFonts w:ascii="新細明體" w:hAnsi="新細明體"/>
        </w:rPr>
        <w:footnoteRef/>
      </w:r>
      <w:r w:rsidRPr="001663AE">
        <w:rPr>
          <w:rFonts w:hint="eastAsia"/>
        </w:rPr>
        <w:t>林素卿，</w:t>
      </w:r>
      <w:r w:rsidRPr="001663AE">
        <w:t xml:space="preserve">1985. </w:t>
      </w:r>
      <w:r w:rsidRPr="001663AE">
        <w:rPr>
          <w:rFonts w:hint="eastAsia"/>
        </w:rPr>
        <w:t>日本殖民體制下之臺灣鴉片政策研究，淡江大學日本文所碩士論文，第</w:t>
      </w:r>
      <w:r w:rsidRPr="001663AE">
        <w:t>10-41</w:t>
      </w:r>
      <w:r w:rsidRPr="001663AE">
        <w:rPr>
          <w:rFonts w:hint="eastAsia"/>
        </w:rPr>
        <w:t>頁。</w:t>
      </w:r>
    </w:p>
  </w:footnote>
  <w:footnote w:id="337">
    <w:p w14:paraId="5B4BE9A0" w14:textId="77777777" w:rsidR="00CA23FA" w:rsidRPr="001663AE" w:rsidRDefault="00CA23FA" w:rsidP="00D87D91">
      <w:pPr>
        <w:pStyle w:val="3"/>
      </w:pPr>
      <w:r w:rsidRPr="001663AE">
        <w:rPr>
          <w:rStyle w:val="af3"/>
          <w:rFonts w:ascii="新細明體" w:hAnsi="新細明體"/>
        </w:rPr>
        <w:footnoteRef/>
      </w:r>
      <w:r w:rsidRPr="001663AE">
        <w:rPr>
          <w:rFonts w:hint="eastAsia"/>
        </w:rPr>
        <w:t>沈雅靜，</w:t>
      </w:r>
      <w:r w:rsidRPr="001663AE">
        <w:t xml:space="preserve">2002. </w:t>
      </w:r>
      <w:r w:rsidRPr="001663AE">
        <w:rPr>
          <w:rFonts w:hint="eastAsia"/>
        </w:rPr>
        <w:t>論施用毒品行為之除罪化，國立中正大學犯罪防治研究所碩士論文，第</w:t>
      </w:r>
      <w:r w:rsidRPr="001663AE">
        <w:t>8-19</w:t>
      </w:r>
      <w:r w:rsidRPr="001663AE">
        <w:rPr>
          <w:rFonts w:hint="eastAsia"/>
        </w:rPr>
        <w:t>頁。</w:t>
      </w:r>
    </w:p>
  </w:footnote>
  <w:footnote w:id="338">
    <w:p w14:paraId="0A4E8076"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邱創教主編，趙秉志、李春林、許文英副主編，</w:t>
      </w:r>
      <w:r w:rsidRPr="001663AE">
        <w:t xml:space="preserve">1998. </w:t>
      </w:r>
      <w:r w:rsidRPr="001663AE">
        <w:rPr>
          <w:rFonts w:hint="eastAsia"/>
        </w:rPr>
        <w:t>毒品犯罪懲治與防範全書，北京：中國法制出版社，第</w:t>
      </w:r>
      <w:r w:rsidRPr="001663AE">
        <w:t>370-527</w:t>
      </w:r>
      <w:r w:rsidRPr="001663AE">
        <w:rPr>
          <w:rFonts w:hint="eastAsia"/>
        </w:rPr>
        <w:t>頁。</w:t>
      </w:r>
      <w:r w:rsidRPr="001663AE">
        <w:rPr>
          <w:rFonts w:hint="eastAsia"/>
        </w:rPr>
        <w:t xml:space="preserve"> </w:t>
      </w:r>
    </w:p>
    <w:p w14:paraId="00A2E079" w14:textId="77777777" w:rsidR="00CA23FA" w:rsidRPr="001663AE" w:rsidRDefault="00CA23FA" w:rsidP="00D87D91">
      <w:pPr>
        <w:pStyle w:val="3"/>
      </w:pPr>
      <w:r w:rsidRPr="001663AE">
        <w:rPr>
          <w:rFonts w:hint="eastAsia"/>
        </w:rPr>
        <w:t>柯雨瑞，</w:t>
      </w:r>
      <w:r w:rsidRPr="001663AE">
        <w:t xml:space="preserve">2006. </w:t>
      </w:r>
      <w:r w:rsidRPr="001663AE">
        <w:rPr>
          <w:rFonts w:hint="eastAsia"/>
        </w:rPr>
        <w:t>百年來台灣毒品刑事政策變遷之研究，中央警察大學犯罪防治研究所博士論文，第</w:t>
      </w:r>
      <w:r w:rsidRPr="001663AE">
        <w:t>202-550</w:t>
      </w:r>
      <w:r w:rsidRPr="001663AE">
        <w:rPr>
          <w:rFonts w:hint="eastAsia"/>
        </w:rPr>
        <w:t>頁。</w:t>
      </w:r>
    </w:p>
  </w:footnote>
  <w:footnote w:id="339">
    <w:p w14:paraId="038A3EE1" w14:textId="77777777" w:rsidR="00CA23FA" w:rsidRPr="001663AE" w:rsidRDefault="00CA23FA" w:rsidP="00D87D91">
      <w:pPr>
        <w:pStyle w:val="3"/>
      </w:pPr>
      <w:r w:rsidRPr="001663AE">
        <w:rPr>
          <w:rStyle w:val="af3"/>
          <w:rFonts w:ascii="新細明體" w:hAnsi="新細明體"/>
        </w:rPr>
        <w:footnoteRef/>
      </w:r>
      <w:r w:rsidRPr="001663AE">
        <w:rPr>
          <w:rFonts w:hint="eastAsia"/>
        </w:rPr>
        <w:t>王金香，</w:t>
      </w:r>
      <w:r w:rsidRPr="001663AE">
        <w:t xml:space="preserve">2005. </w:t>
      </w:r>
      <w:r w:rsidRPr="001663AE">
        <w:rPr>
          <w:rFonts w:hint="eastAsia"/>
        </w:rPr>
        <w:t>中國禁毒史，上海：上海人民出版社，第</w:t>
      </w:r>
      <w:r w:rsidRPr="001663AE">
        <w:t>1</w:t>
      </w:r>
      <w:r w:rsidRPr="001663AE">
        <w:rPr>
          <w:rFonts w:hint="eastAsia"/>
        </w:rPr>
        <w:t>版，第</w:t>
      </w:r>
      <w:r w:rsidRPr="001663AE">
        <w:t>36-323</w:t>
      </w:r>
      <w:r w:rsidRPr="001663AE">
        <w:rPr>
          <w:rFonts w:hint="eastAsia"/>
        </w:rPr>
        <w:t>頁。</w:t>
      </w:r>
    </w:p>
    <w:p w14:paraId="699AE4B3" w14:textId="77777777" w:rsidR="00CA23FA" w:rsidRPr="001663AE" w:rsidRDefault="00CA23FA" w:rsidP="00D87D91">
      <w:pPr>
        <w:pStyle w:val="3"/>
      </w:pPr>
      <w:r w:rsidRPr="001663AE">
        <w:rPr>
          <w:rFonts w:hint="eastAsia"/>
        </w:rPr>
        <w:t>甘肅省公安廳，</w:t>
      </w:r>
      <w:r w:rsidRPr="001663AE">
        <w:t xml:space="preserve">2005. </w:t>
      </w:r>
      <w:r w:rsidRPr="001663AE">
        <w:rPr>
          <w:rFonts w:hint="eastAsia"/>
        </w:rPr>
        <w:t>禁煙禁毒的開端，</w:t>
      </w:r>
      <w:r w:rsidRPr="001663AE">
        <w:t xml:space="preserve"> </w:t>
      </w:r>
      <w:hyperlink r:id="rId145" w:history="1">
        <w:r w:rsidRPr="001663AE">
          <w:t>http://www.gs.xinhuanet.com/gsgaw/2005-09/03/content_5043548.htm(2011.05)</w:t>
        </w:r>
      </w:hyperlink>
      <w:r w:rsidRPr="001663AE">
        <w:rPr>
          <w:rFonts w:hint="eastAsia"/>
        </w:rPr>
        <w:t>。</w:t>
      </w:r>
    </w:p>
  </w:footnote>
  <w:footnote w:id="340">
    <w:p w14:paraId="76449DBE" w14:textId="77777777" w:rsidR="00CA23FA" w:rsidRPr="001663AE" w:rsidRDefault="00CA23FA" w:rsidP="00D87D91">
      <w:pPr>
        <w:pStyle w:val="3"/>
      </w:pPr>
      <w:r w:rsidRPr="001663AE">
        <w:rPr>
          <w:rStyle w:val="af3"/>
          <w:rFonts w:ascii="新細明體" w:hAnsi="新細明體"/>
        </w:rPr>
        <w:footnoteRef/>
      </w:r>
      <w:r w:rsidRPr="001663AE">
        <w:rPr>
          <w:rFonts w:hint="eastAsia"/>
        </w:rPr>
        <w:t>連橫，</w:t>
      </w:r>
      <w:r w:rsidRPr="001663AE">
        <w:t xml:space="preserve">1985. </w:t>
      </w:r>
      <w:r w:rsidRPr="001663AE">
        <w:rPr>
          <w:rFonts w:hint="eastAsia"/>
        </w:rPr>
        <w:t>台灣通史，臺北市：幼獅文化事業公司，第</w:t>
      </w:r>
      <w:r w:rsidRPr="001663AE">
        <w:t>6</w:t>
      </w:r>
      <w:r w:rsidRPr="001663AE">
        <w:rPr>
          <w:rFonts w:hint="eastAsia"/>
        </w:rPr>
        <w:t>版，第</w:t>
      </w:r>
      <w:r w:rsidRPr="001663AE">
        <w:t>399-401</w:t>
      </w:r>
      <w:r w:rsidRPr="001663AE">
        <w:rPr>
          <w:rFonts w:hint="eastAsia"/>
        </w:rPr>
        <w:t>頁。</w:t>
      </w:r>
    </w:p>
    <w:p w14:paraId="4164867F" w14:textId="77777777" w:rsidR="00CA23FA" w:rsidRPr="001663AE" w:rsidRDefault="00CA23FA" w:rsidP="00D87D91">
      <w:pPr>
        <w:pStyle w:val="3"/>
      </w:pPr>
      <w:r w:rsidRPr="001663AE">
        <w:rPr>
          <w:rFonts w:hint="eastAsia"/>
        </w:rPr>
        <w:t>鷹崎僊三等著，</w:t>
      </w:r>
      <w:r w:rsidRPr="001663AE">
        <w:t xml:space="preserve">1987. </w:t>
      </w:r>
      <w:r w:rsidRPr="001663AE">
        <w:rPr>
          <w:rFonts w:hint="eastAsia"/>
        </w:rPr>
        <w:t>阿片事項調查書，臺灣：臺灣總督府製藥所，第</w:t>
      </w:r>
      <w:r w:rsidRPr="001663AE">
        <w:t>6-7</w:t>
      </w:r>
      <w:r w:rsidRPr="001663AE">
        <w:rPr>
          <w:rFonts w:hint="eastAsia"/>
        </w:rPr>
        <w:t>頁。</w:t>
      </w:r>
    </w:p>
    <w:p w14:paraId="4888955F" w14:textId="77777777" w:rsidR="00CA23FA" w:rsidRPr="001663AE" w:rsidRDefault="00CA23FA" w:rsidP="00D87D91">
      <w:pPr>
        <w:pStyle w:val="3"/>
      </w:pPr>
      <w:r w:rsidRPr="001663AE">
        <w:rPr>
          <w:rFonts w:hint="eastAsia"/>
        </w:rPr>
        <w:t>林素卿，</w:t>
      </w:r>
      <w:r w:rsidRPr="001663AE">
        <w:t xml:space="preserve">1985. </w:t>
      </w:r>
      <w:r w:rsidRPr="001663AE">
        <w:rPr>
          <w:rFonts w:hint="eastAsia"/>
        </w:rPr>
        <w:t>日本殖民體制下之臺灣鴉片政策研究，淡江大學日本文所碩士論文，第</w:t>
      </w:r>
      <w:r w:rsidRPr="001663AE">
        <w:t>10-41</w:t>
      </w:r>
      <w:r w:rsidRPr="001663AE">
        <w:rPr>
          <w:rFonts w:hint="eastAsia"/>
        </w:rPr>
        <w:t>頁。</w:t>
      </w:r>
    </w:p>
  </w:footnote>
  <w:footnote w:id="341">
    <w:p w14:paraId="3AD7322E" w14:textId="77777777" w:rsidR="00CA23FA" w:rsidRPr="001663AE" w:rsidRDefault="00CA23FA" w:rsidP="00D87D91">
      <w:pPr>
        <w:pStyle w:val="3"/>
      </w:pPr>
      <w:r w:rsidRPr="001663AE">
        <w:rPr>
          <w:rStyle w:val="af3"/>
          <w:rFonts w:ascii="新細明體" w:hAnsi="新細明體"/>
        </w:rPr>
        <w:footnoteRef/>
      </w:r>
      <w:r w:rsidRPr="001663AE">
        <w:rPr>
          <w:rFonts w:hint="eastAsia"/>
        </w:rPr>
        <w:t>王金香，</w:t>
      </w:r>
      <w:r w:rsidRPr="001663AE">
        <w:t xml:space="preserve">2005. </w:t>
      </w:r>
      <w:r w:rsidRPr="001663AE">
        <w:rPr>
          <w:rFonts w:hint="eastAsia"/>
        </w:rPr>
        <w:t>中國禁毒史，上海：上海人民出版社，第</w:t>
      </w:r>
      <w:r w:rsidRPr="001663AE">
        <w:t>1</w:t>
      </w:r>
      <w:r w:rsidRPr="001663AE">
        <w:rPr>
          <w:rFonts w:hint="eastAsia"/>
        </w:rPr>
        <w:t>版，第</w:t>
      </w:r>
      <w:r w:rsidRPr="001663AE">
        <w:t>36-323</w:t>
      </w:r>
      <w:r w:rsidRPr="001663AE">
        <w:rPr>
          <w:rFonts w:hint="eastAsia"/>
        </w:rPr>
        <w:t>頁。</w:t>
      </w:r>
    </w:p>
  </w:footnote>
  <w:footnote w:id="342">
    <w:p w14:paraId="6CACF24A" w14:textId="77777777" w:rsidR="00CA23FA" w:rsidRPr="001663AE" w:rsidRDefault="00CA23FA" w:rsidP="00D87D91">
      <w:pPr>
        <w:pStyle w:val="3"/>
      </w:pPr>
      <w:r w:rsidRPr="001663AE">
        <w:rPr>
          <w:rStyle w:val="af3"/>
          <w:rFonts w:ascii="新細明體" w:hAnsi="新細明體"/>
        </w:rPr>
        <w:footnoteRef/>
      </w:r>
      <w:r w:rsidRPr="001663AE">
        <w:rPr>
          <w:rFonts w:hint="eastAsia"/>
        </w:rPr>
        <w:t>中央研究院，</w:t>
      </w:r>
      <w:r w:rsidRPr="001663AE">
        <w:t xml:space="preserve">2000. </w:t>
      </w:r>
      <w:r w:rsidRPr="001663AE">
        <w:rPr>
          <w:rFonts w:hint="eastAsia"/>
        </w:rPr>
        <w:t>漢籍電子文獻資料庫，</w:t>
      </w:r>
      <w:hyperlink r:id="rId146" w:history="1">
        <w:r w:rsidRPr="001663AE">
          <w:t>http://www.sinica.edu.tw/ftms-bin/ftmsw3?ukey=-1366032312&amp;rid=67(2010.08)</w:t>
        </w:r>
      </w:hyperlink>
      <w:r w:rsidRPr="001663AE">
        <w:rPr>
          <w:rFonts w:hint="eastAsia"/>
        </w:rPr>
        <w:t>。</w:t>
      </w:r>
    </w:p>
    <w:p w14:paraId="41D7EA15" w14:textId="77777777" w:rsidR="00CA23FA" w:rsidRPr="001663AE" w:rsidRDefault="00CA23FA" w:rsidP="00D87D91">
      <w:pPr>
        <w:pStyle w:val="3"/>
      </w:pPr>
      <w:r w:rsidRPr="001663AE">
        <w:rPr>
          <w:rFonts w:hint="eastAsia"/>
        </w:rPr>
        <w:t>林焜熿，</w:t>
      </w:r>
      <w:r w:rsidRPr="001663AE">
        <w:t xml:space="preserve">1960. </w:t>
      </w:r>
      <w:r w:rsidRPr="001663AE">
        <w:rPr>
          <w:rFonts w:hint="eastAsia"/>
        </w:rPr>
        <w:t>金門志，台灣文獻叢刊第</w:t>
      </w:r>
      <w:r w:rsidRPr="001663AE">
        <w:t>80</w:t>
      </w:r>
      <w:r w:rsidRPr="001663AE">
        <w:rPr>
          <w:rFonts w:hint="eastAsia"/>
        </w:rPr>
        <w:t>種第</w:t>
      </w:r>
      <w:r w:rsidRPr="001663AE">
        <w:t>16</w:t>
      </w:r>
      <w:r w:rsidRPr="001663AE">
        <w:rPr>
          <w:rFonts w:hint="eastAsia"/>
        </w:rPr>
        <w:t>卷，臺北：台灣銀行經濟研究室，第</w:t>
      </w:r>
      <w:r w:rsidRPr="001663AE">
        <w:t>405</w:t>
      </w:r>
      <w:r w:rsidRPr="001663AE">
        <w:rPr>
          <w:rFonts w:hint="eastAsia"/>
        </w:rPr>
        <w:t>頁。</w:t>
      </w:r>
    </w:p>
  </w:footnote>
  <w:footnote w:id="343">
    <w:p w14:paraId="133C025F" w14:textId="77777777" w:rsidR="00CA23FA" w:rsidRPr="001663AE" w:rsidRDefault="00CA23FA" w:rsidP="00D87D91">
      <w:pPr>
        <w:pStyle w:val="3"/>
      </w:pPr>
      <w:r w:rsidRPr="001663AE">
        <w:rPr>
          <w:rStyle w:val="af3"/>
          <w:rFonts w:ascii="新細明體" w:hAnsi="新細明體"/>
        </w:rPr>
        <w:footnoteRef/>
      </w:r>
      <w:r w:rsidRPr="001663AE">
        <w:rPr>
          <w:rFonts w:hint="eastAsia"/>
        </w:rPr>
        <w:t>西元</w:t>
      </w:r>
      <w:r w:rsidRPr="001663AE">
        <w:t>1895</w:t>
      </w:r>
      <w:r w:rsidRPr="001663AE">
        <w:rPr>
          <w:rFonts w:hint="eastAsia"/>
        </w:rPr>
        <w:t>年之後，日本開始統治台灣。</w:t>
      </w:r>
    </w:p>
  </w:footnote>
  <w:footnote w:id="344">
    <w:p w14:paraId="0033A8B8" w14:textId="77777777" w:rsidR="00CA23FA" w:rsidRPr="001663AE" w:rsidRDefault="00CA23FA" w:rsidP="00D87D91">
      <w:pPr>
        <w:pStyle w:val="3"/>
      </w:pPr>
      <w:r w:rsidRPr="001663AE">
        <w:rPr>
          <w:rStyle w:val="af3"/>
          <w:rFonts w:ascii="新細明體" w:hAnsi="新細明體"/>
        </w:rPr>
        <w:footnoteRef/>
      </w:r>
      <w:r w:rsidRPr="001663AE">
        <w:rPr>
          <w:rFonts w:hint="eastAsia"/>
        </w:rPr>
        <w:t>明治</w:t>
      </w:r>
      <w:r w:rsidRPr="001663AE">
        <w:t>30</w:t>
      </w:r>
      <w:r w:rsidRPr="001663AE">
        <w:rPr>
          <w:rFonts w:hint="eastAsia"/>
        </w:rPr>
        <w:t>年，</w:t>
      </w:r>
      <w:r w:rsidRPr="001663AE">
        <w:t>1897</w:t>
      </w:r>
      <w:r w:rsidRPr="001663AE">
        <w:rPr>
          <w:rFonts w:hint="eastAsia"/>
        </w:rPr>
        <w:t>年</w:t>
      </w:r>
      <w:r w:rsidRPr="001663AE">
        <w:t>1</w:t>
      </w:r>
      <w:r w:rsidRPr="001663AE">
        <w:rPr>
          <w:rFonts w:hint="eastAsia"/>
        </w:rPr>
        <w:t>月頒佈。</w:t>
      </w:r>
    </w:p>
  </w:footnote>
  <w:footnote w:id="345">
    <w:p w14:paraId="58DC42C8" w14:textId="77777777" w:rsidR="00CA23FA" w:rsidRPr="001663AE" w:rsidRDefault="00CA23FA" w:rsidP="00D87D91">
      <w:pPr>
        <w:pStyle w:val="3"/>
      </w:pPr>
      <w:r w:rsidRPr="001663AE">
        <w:rPr>
          <w:rStyle w:val="af3"/>
          <w:rFonts w:ascii="新細明體" w:hAnsi="新細明體"/>
        </w:rPr>
        <w:footnoteRef/>
      </w:r>
      <w:r w:rsidRPr="001663AE">
        <w:t>1897</w:t>
      </w:r>
      <w:r w:rsidRPr="001663AE">
        <w:rPr>
          <w:rFonts w:hint="eastAsia"/>
        </w:rPr>
        <w:t>年</w:t>
      </w:r>
      <w:r w:rsidRPr="001663AE">
        <w:t>3</w:t>
      </w:r>
      <w:r w:rsidRPr="001663AE">
        <w:rPr>
          <w:rFonts w:hint="eastAsia"/>
        </w:rPr>
        <w:t>月頒佈「台灣鴉片例舉辦章程」。</w:t>
      </w:r>
    </w:p>
    <w:p w14:paraId="14FAC562" w14:textId="77777777" w:rsidR="00CA23FA" w:rsidRPr="001663AE" w:rsidRDefault="00CA23FA" w:rsidP="00D87D91">
      <w:pPr>
        <w:pStyle w:val="3"/>
      </w:pPr>
      <w:r w:rsidRPr="001663AE">
        <w:rPr>
          <w:rFonts w:hint="eastAsia"/>
        </w:rPr>
        <w:t>沈雅靜，</w:t>
      </w:r>
      <w:r w:rsidRPr="001663AE">
        <w:t xml:space="preserve">2002. </w:t>
      </w:r>
      <w:r w:rsidRPr="001663AE">
        <w:rPr>
          <w:rFonts w:hint="eastAsia"/>
        </w:rPr>
        <w:t>論施用毒品行為之除罪化，國立中正大學犯罪防治研究所碩士論文，第</w:t>
      </w:r>
      <w:r w:rsidRPr="001663AE">
        <w:t>8-19</w:t>
      </w:r>
      <w:r w:rsidRPr="001663AE">
        <w:rPr>
          <w:rFonts w:hint="eastAsia"/>
        </w:rPr>
        <w:t>頁。</w:t>
      </w:r>
    </w:p>
  </w:footnote>
  <w:footnote w:id="346">
    <w:p w14:paraId="7372F07A" w14:textId="77777777" w:rsidR="00CA23FA" w:rsidRPr="001663AE" w:rsidRDefault="00CA23FA" w:rsidP="00D87D91">
      <w:pPr>
        <w:pStyle w:val="3"/>
      </w:pPr>
      <w:r w:rsidRPr="001663AE">
        <w:rPr>
          <w:rStyle w:val="af3"/>
          <w:rFonts w:ascii="新細明體" w:hAnsi="新細明體"/>
        </w:rPr>
        <w:footnoteRef/>
      </w:r>
      <w:r w:rsidRPr="001663AE">
        <w:rPr>
          <w:rFonts w:hint="eastAsia"/>
        </w:rPr>
        <w:t>沈雅靜，</w:t>
      </w:r>
      <w:r w:rsidRPr="001663AE">
        <w:t xml:space="preserve">2002. </w:t>
      </w:r>
      <w:r w:rsidRPr="001663AE">
        <w:rPr>
          <w:rFonts w:hint="eastAsia"/>
        </w:rPr>
        <w:t>論施用毒品行為之除罪化，國立中正大學犯罪防治研究所碩士論文，第</w:t>
      </w:r>
      <w:r w:rsidRPr="001663AE">
        <w:t>8-19</w:t>
      </w:r>
      <w:r w:rsidRPr="001663AE">
        <w:rPr>
          <w:rFonts w:hint="eastAsia"/>
        </w:rPr>
        <w:t>頁。</w:t>
      </w:r>
    </w:p>
  </w:footnote>
  <w:footnote w:id="347">
    <w:p w14:paraId="1B807B26" w14:textId="77777777"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1989.</w:t>
      </w:r>
      <w:r w:rsidRPr="001663AE">
        <w:rPr>
          <w:rFonts w:hint="eastAsia"/>
        </w:rPr>
        <w:t>「明治</w:t>
      </w:r>
      <w:r w:rsidRPr="001663AE">
        <w:t>32</w:t>
      </w:r>
      <w:r w:rsidRPr="001663AE">
        <w:rPr>
          <w:rFonts w:hint="eastAsia"/>
        </w:rPr>
        <w:t>年度下半年阿片行政成績」專案報告。</w:t>
      </w:r>
    </w:p>
  </w:footnote>
  <w:footnote w:id="348">
    <w:p w14:paraId="2B0119FA" w14:textId="77777777" w:rsidR="00CA23FA" w:rsidRPr="001663AE" w:rsidRDefault="00CA23FA" w:rsidP="00D87D91">
      <w:pPr>
        <w:pStyle w:val="3"/>
      </w:pPr>
      <w:r w:rsidRPr="001663AE">
        <w:rPr>
          <w:rStyle w:val="af3"/>
          <w:rFonts w:ascii="新細明體" w:hAnsi="新細明體"/>
        </w:rPr>
        <w:footnoteRef/>
      </w:r>
      <w:r w:rsidRPr="001663AE">
        <w:rPr>
          <w:rFonts w:hint="eastAsia"/>
        </w:rPr>
        <w:t>陳進盛，</w:t>
      </w:r>
      <w:r w:rsidRPr="001663AE">
        <w:t xml:space="preserve">1988. </w:t>
      </w:r>
      <w:r w:rsidRPr="001663AE">
        <w:rPr>
          <w:rFonts w:hint="eastAsia"/>
        </w:rPr>
        <w:t>日據時期台灣鴉片漸禁政策之研究</w:t>
      </w:r>
      <w:r>
        <w:t>〜</w:t>
      </w:r>
      <w:r w:rsidRPr="001663AE">
        <w:t>1895</w:t>
      </w:r>
      <w:r w:rsidRPr="001663AE">
        <w:rPr>
          <w:rFonts w:hint="eastAsia"/>
        </w:rPr>
        <w:t>年～</w:t>
      </w:r>
      <w:r w:rsidRPr="001663AE">
        <w:t>1930</w:t>
      </w:r>
      <w:r w:rsidRPr="001663AE">
        <w:rPr>
          <w:rFonts w:hint="eastAsia"/>
        </w:rPr>
        <w:t>年，國立臺灣大學政治學研究所碩士論文，第</w:t>
      </w:r>
      <w:r w:rsidRPr="001663AE">
        <w:t>16-92</w:t>
      </w:r>
      <w:r w:rsidRPr="001663AE">
        <w:rPr>
          <w:rFonts w:hint="eastAsia"/>
        </w:rPr>
        <w:t>頁。</w:t>
      </w:r>
    </w:p>
  </w:footnote>
  <w:footnote w:id="349">
    <w:p w14:paraId="644E55FF" w14:textId="77777777" w:rsidR="00CA23FA" w:rsidRPr="001663AE" w:rsidRDefault="00CA23FA" w:rsidP="00D87D91">
      <w:pPr>
        <w:pStyle w:val="3"/>
      </w:pPr>
      <w:r w:rsidRPr="001663AE">
        <w:rPr>
          <w:rStyle w:val="af3"/>
          <w:rFonts w:ascii="新細明體" w:hAnsi="新細明體"/>
        </w:rPr>
        <w:footnoteRef/>
      </w:r>
      <w:r w:rsidRPr="001663AE">
        <w:rPr>
          <w:rFonts w:hint="eastAsia"/>
        </w:rPr>
        <w:t>臺灣鴉片令具有法律地位之律令。</w:t>
      </w:r>
    </w:p>
  </w:footnote>
  <w:footnote w:id="350">
    <w:p w14:paraId="2C461119" w14:textId="77777777" w:rsidR="00CA23FA" w:rsidRPr="001663AE" w:rsidRDefault="00CA23FA" w:rsidP="00D87D91">
      <w:pPr>
        <w:pStyle w:val="3"/>
      </w:pPr>
      <w:r w:rsidRPr="001663AE">
        <w:rPr>
          <w:rStyle w:val="af3"/>
          <w:rFonts w:ascii="新細明體" w:hAnsi="新細明體"/>
        </w:rPr>
        <w:footnoteRef/>
      </w:r>
      <w:r w:rsidRPr="001663AE">
        <w:rPr>
          <w:rFonts w:hint="eastAsia"/>
        </w:rPr>
        <w:t>臺灣鴉片令施行規則係屬於臺灣總督府之府令。</w:t>
      </w:r>
    </w:p>
  </w:footnote>
  <w:footnote w:id="351">
    <w:p w14:paraId="170AB06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臺灣鴉片令施行手續係屬於民政部</w:t>
      </w:r>
      <w:r w:rsidRPr="001663AE">
        <w:t>(</w:t>
      </w:r>
      <w:r w:rsidRPr="001663AE">
        <w:rPr>
          <w:rFonts w:hint="eastAsia"/>
        </w:rPr>
        <w:t>或稱為民政局</w:t>
      </w:r>
      <w:r w:rsidRPr="001663AE">
        <w:t>)</w:t>
      </w:r>
      <w:r w:rsidRPr="001663AE">
        <w:rPr>
          <w:rFonts w:hint="eastAsia"/>
        </w:rPr>
        <w:t>內訓令，鴉片監視規則標準亦屬於民政局內訓令。</w:t>
      </w:r>
      <w:r w:rsidRPr="001663AE">
        <w:t xml:space="preserve"> </w:t>
      </w:r>
    </w:p>
  </w:footnote>
  <w:footnote w:id="352">
    <w:p w14:paraId="101EC587" w14:textId="77777777" w:rsidR="00CA23FA" w:rsidRPr="001663AE" w:rsidRDefault="00CA23FA" w:rsidP="00D87D91">
      <w:pPr>
        <w:pStyle w:val="3"/>
      </w:pPr>
      <w:r w:rsidRPr="001663AE">
        <w:rPr>
          <w:rStyle w:val="af3"/>
          <w:rFonts w:ascii="新細明體" w:hAnsi="新細明體"/>
        </w:rPr>
        <w:footnoteRef/>
      </w:r>
      <w:r w:rsidRPr="001663AE">
        <w:rPr>
          <w:rFonts w:hint="eastAsia"/>
        </w:rPr>
        <w:t>陳進盛，</w:t>
      </w:r>
      <w:r w:rsidRPr="001663AE">
        <w:t xml:space="preserve">1988. </w:t>
      </w:r>
      <w:r w:rsidRPr="001663AE">
        <w:rPr>
          <w:rFonts w:hint="eastAsia"/>
        </w:rPr>
        <w:t>日據時期台灣鴉片漸禁政策之研究</w:t>
      </w:r>
      <w:r>
        <w:t>〜</w:t>
      </w:r>
      <w:r w:rsidRPr="001663AE">
        <w:t>1895</w:t>
      </w:r>
      <w:r w:rsidRPr="001663AE">
        <w:rPr>
          <w:rFonts w:hint="eastAsia"/>
        </w:rPr>
        <w:t>年～</w:t>
      </w:r>
      <w:r w:rsidRPr="001663AE">
        <w:t>1930</w:t>
      </w:r>
      <w:r w:rsidRPr="001663AE">
        <w:rPr>
          <w:rFonts w:hint="eastAsia"/>
        </w:rPr>
        <w:t>年，國立臺灣大學政治學研究所碩士論文。洪敏麟主編，程大學、許錫專編譯，</w:t>
      </w:r>
      <w:r w:rsidRPr="001663AE">
        <w:t xml:space="preserve">1978. </w:t>
      </w:r>
      <w:r w:rsidRPr="001663AE">
        <w:rPr>
          <w:rFonts w:hint="eastAsia"/>
        </w:rPr>
        <w:t>日據初期之鴉片政策</w:t>
      </w:r>
      <w:r w:rsidRPr="001663AE">
        <w:t>(</w:t>
      </w:r>
      <w:r w:rsidRPr="001663AE">
        <w:rPr>
          <w:rFonts w:hint="eastAsia"/>
        </w:rPr>
        <w:t>附錄保甲制度</w:t>
      </w:r>
      <w:r w:rsidRPr="001663AE">
        <w:t>)</w:t>
      </w:r>
      <w:r w:rsidRPr="001663AE">
        <w:rPr>
          <w:rFonts w:hint="eastAsia"/>
        </w:rPr>
        <w:t>第</w:t>
      </w:r>
      <w:r w:rsidRPr="001663AE">
        <w:t>2</w:t>
      </w:r>
      <w:r w:rsidRPr="001663AE">
        <w:rPr>
          <w:rFonts w:hint="eastAsia"/>
        </w:rPr>
        <w:t>冊，南投：台灣省文獻委員會。</w:t>
      </w:r>
    </w:p>
  </w:footnote>
  <w:footnote w:id="353">
    <w:p w14:paraId="078C788E" w14:textId="77777777" w:rsidR="00CA23FA" w:rsidRPr="001663AE" w:rsidRDefault="00CA23FA" w:rsidP="00D87D91">
      <w:pPr>
        <w:pStyle w:val="3"/>
      </w:pPr>
      <w:r w:rsidRPr="001663AE">
        <w:rPr>
          <w:rStyle w:val="af3"/>
          <w:rFonts w:ascii="新細明體" w:hAnsi="新細明體"/>
        </w:rPr>
        <w:footnoteRef/>
      </w:r>
      <w:r w:rsidRPr="001663AE">
        <w:rPr>
          <w:rFonts w:hint="eastAsia"/>
        </w:rPr>
        <w:t>陳進盛，</w:t>
      </w:r>
      <w:r w:rsidRPr="001663AE">
        <w:t xml:space="preserve">1988. </w:t>
      </w:r>
      <w:r w:rsidRPr="001663AE">
        <w:rPr>
          <w:rFonts w:hint="eastAsia"/>
        </w:rPr>
        <w:t>日據時期台灣鴉片漸禁政策之研究</w:t>
      </w:r>
      <w:r>
        <w:t>〜</w:t>
      </w:r>
      <w:r w:rsidRPr="001663AE">
        <w:t>1895</w:t>
      </w:r>
      <w:r w:rsidRPr="001663AE">
        <w:rPr>
          <w:rFonts w:hint="eastAsia"/>
        </w:rPr>
        <w:t>年～</w:t>
      </w:r>
      <w:r w:rsidRPr="001663AE">
        <w:t>1930</w:t>
      </w:r>
      <w:r w:rsidRPr="001663AE">
        <w:rPr>
          <w:rFonts w:hint="eastAsia"/>
        </w:rPr>
        <w:t>年，國立臺灣大學政治學研究所碩士論文，第</w:t>
      </w:r>
      <w:r w:rsidRPr="001663AE">
        <w:t>16-92</w:t>
      </w:r>
      <w:r w:rsidRPr="001663AE">
        <w:rPr>
          <w:rFonts w:hint="eastAsia"/>
        </w:rPr>
        <w:t>頁。</w:t>
      </w:r>
    </w:p>
  </w:footnote>
  <w:footnote w:id="354">
    <w:p w14:paraId="32F98F04" w14:textId="77777777" w:rsidR="00CA23FA" w:rsidRPr="001663AE" w:rsidRDefault="00CA23FA" w:rsidP="00D87D91">
      <w:pPr>
        <w:pStyle w:val="3"/>
      </w:pPr>
      <w:r w:rsidRPr="001663AE">
        <w:rPr>
          <w:rStyle w:val="af3"/>
          <w:rFonts w:ascii="新細明體" w:hAnsi="新細明體"/>
        </w:rPr>
        <w:footnoteRef/>
      </w:r>
      <w:r w:rsidRPr="001663AE">
        <w:rPr>
          <w:rFonts w:hint="eastAsia"/>
        </w:rPr>
        <w:t>楊雅雯，</w:t>
      </w:r>
      <w:r w:rsidRPr="001663AE">
        <w:t xml:space="preserve">1997. </w:t>
      </w:r>
      <w:r w:rsidRPr="001663AE">
        <w:rPr>
          <w:rFonts w:hint="eastAsia"/>
        </w:rPr>
        <w:t>假戒毒之名，行斂財之實：日本殖民政府的鴉片政策，中央日報第</w:t>
      </w:r>
      <w:r w:rsidRPr="001663AE">
        <w:t>19</w:t>
      </w:r>
      <w:r w:rsidRPr="001663AE">
        <w:rPr>
          <w:rFonts w:hint="eastAsia"/>
        </w:rPr>
        <w:t>版。</w:t>
      </w:r>
    </w:p>
  </w:footnote>
  <w:footnote w:id="355">
    <w:p w14:paraId="2AF06578" w14:textId="77777777" w:rsidR="00CA23FA" w:rsidRPr="001663AE" w:rsidRDefault="00CA23FA" w:rsidP="00D87D91">
      <w:pPr>
        <w:pStyle w:val="3"/>
      </w:pPr>
      <w:r w:rsidRPr="001663AE">
        <w:rPr>
          <w:rStyle w:val="af3"/>
          <w:rFonts w:ascii="新細明體" w:hAnsi="新細明體"/>
        </w:rPr>
        <w:footnoteRef/>
      </w:r>
      <w:r w:rsidRPr="001663AE">
        <w:rPr>
          <w:rFonts w:hint="eastAsia"/>
        </w:rPr>
        <w:t>赤松祐之，</w:t>
      </w:r>
      <w:r w:rsidRPr="001663AE">
        <w:t xml:space="preserve">1933. </w:t>
      </w:r>
      <w:r w:rsidRPr="001663AE">
        <w:rPr>
          <w:rFonts w:hint="eastAsia"/>
        </w:rPr>
        <w:t>極東阿片問題</w:t>
      </w:r>
      <w:r>
        <w:t>〜</w:t>
      </w:r>
      <w:r w:rsidRPr="001663AE">
        <w:rPr>
          <w:rFonts w:hint="eastAsia"/>
        </w:rPr>
        <w:t>國際聯盟極東阿片調查委員會報告書，東京：社團法人國際聯盟協會，第</w:t>
      </w:r>
      <w:r w:rsidRPr="001663AE">
        <w:t>139-150</w:t>
      </w:r>
      <w:r w:rsidRPr="001663AE">
        <w:rPr>
          <w:rFonts w:hint="eastAsia"/>
        </w:rPr>
        <w:t>頁。</w:t>
      </w:r>
    </w:p>
  </w:footnote>
  <w:footnote w:id="356">
    <w:p w14:paraId="63717E57" w14:textId="77777777" w:rsidR="00CA23FA" w:rsidRPr="001663AE" w:rsidRDefault="00CA23FA" w:rsidP="00D87D91">
      <w:pPr>
        <w:pStyle w:val="3"/>
      </w:pPr>
      <w:r w:rsidRPr="001663AE">
        <w:rPr>
          <w:rStyle w:val="af3"/>
          <w:rFonts w:ascii="新細明體" w:hAnsi="新細明體"/>
        </w:rPr>
        <w:footnoteRef/>
      </w:r>
      <w:r w:rsidRPr="001663AE">
        <w:rPr>
          <w:rFonts w:hint="eastAsia"/>
        </w:rPr>
        <w:t>赤松祐之，</w:t>
      </w:r>
      <w:r w:rsidRPr="001663AE">
        <w:t xml:space="preserve">1933. </w:t>
      </w:r>
      <w:r w:rsidRPr="001663AE">
        <w:rPr>
          <w:rFonts w:hint="eastAsia"/>
        </w:rPr>
        <w:t>極東阿片問題</w:t>
      </w:r>
      <w:r>
        <w:t>〜</w:t>
      </w:r>
      <w:r w:rsidRPr="001663AE">
        <w:rPr>
          <w:rFonts w:hint="eastAsia"/>
        </w:rPr>
        <w:t>國際聯盟極東阿片調查委員會報告書，東京：社團法人國際聯盟協會，第</w:t>
      </w:r>
      <w:r w:rsidRPr="001663AE">
        <w:t>139-150</w:t>
      </w:r>
      <w:r w:rsidRPr="001663AE">
        <w:rPr>
          <w:rFonts w:hint="eastAsia"/>
        </w:rPr>
        <w:t>頁。</w:t>
      </w:r>
    </w:p>
  </w:footnote>
  <w:footnote w:id="357">
    <w:p w14:paraId="1408AFF7" w14:textId="77777777" w:rsidR="00CA23FA" w:rsidRPr="001663AE" w:rsidRDefault="00CA23FA" w:rsidP="00D87D91">
      <w:pPr>
        <w:pStyle w:val="3"/>
      </w:pPr>
      <w:r w:rsidRPr="001663AE">
        <w:rPr>
          <w:rStyle w:val="af3"/>
          <w:rFonts w:ascii="新細明體" w:hAnsi="新細明體"/>
        </w:rPr>
        <w:footnoteRef/>
      </w:r>
      <w:r w:rsidRPr="001663AE">
        <w:rPr>
          <w:rFonts w:hint="eastAsia"/>
        </w:rPr>
        <w:t>赤松祐之，</w:t>
      </w:r>
      <w:r w:rsidRPr="001663AE">
        <w:t xml:space="preserve">1933. </w:t>
      </w:r>
      <w:r w:rsidRPr="001663AE">
        <w:rPr>
          <w:rFonts w:hint="eastAsia"/>
        </w:rPr>
        <w:t>極東阿片問題</w:t>
      </w:r>
      <w:r>
        <w:t>〜</w:t>
      </w:r>
      <w:r w:rsidRPr="001663AE">
        <w:rPr>
          <w:rFonts w:hint="eastAsia"/>
        </w:rPr>
        <w:t>國際聯盟極東阿片調查委員會報告書，東京：社團法人國際聯盟協會，第</w:t>
      </w:r>
      <w:r w:rsidRPr="001663AE">
        <w:t>139-150</w:t>
      </w:r>
      <w:r w:rsidRPr="001663AE">
        <w:rPr>
          <w:rFonts w:hint="eastAsia"/>
        </w:rPr>
        <w:t>頁。</w:t>
      </w:r>
    </w:p>
  </w:footnote>
  <w:footnote w:id="358">
    <w:p w14:paraId="2C5360D6" w14:textId="77777777" w:rsidR="00CA23FA" w:rsidRPr="001663AE" w:rsidRDefault="00CA23FA" w:rsidP="00D87D91">
      <w:pPr>
        <w:pStyle w:val="3"/>
      </w:pPr>
      <w:r w:rsidRPr="001663AE">
        <w:rPr>
          <w:rStyle w:val="af3"/>
          <w:rFonts w:ascii="新細明體" w:hAnsi="新細明體"/>
        </w:rPr>
        <w:footnoteRef/>
      </w:r>
      <w:r w:rsidRPr="001663AE">
        <w:rPr>
          <w:rFonts w:hint="eastAsia"/>
        </w:rPr>
        <w:t>鄭淑屏，</w:t>
      </w:r>
      <w:r w:rsidRPr="001663AE">
        <w:t xml:space="preserve">1986. </w:t>
      </w:r>
      <w:r w:rsidRPr="001663AE">
        <w:rPr>
          <w:rFonts w:hint="eastAsia"/>
        </w:rPr>
        <w:t>台灣在日據時期警察法令與犯罪控制，輔仁大學法律研究所碩士論文，第</w:t>
      </w:r>
      <w:r w:rsidRPr="001663AE">
        <w:t>196-220</w:t>
      </w:r>
      <w:r w:rsidRPr="001663AE">
        <w:rPr>
          <w:rFonts w:hint="eastAsia"/>
        </w:rPr>
        <w:t>頁。</w:t>
      </w:r>
    </w:p>
  </w:footnote>
  <w:footnote w:id="359">
    <w:p w14:paraId="15B6BDDF" w14:textId="77777777" w:rsidR="00CA23FA" w:rsidRPr="001663AE" w:rsidRDefault="00CA23FA" w:rsidP="00D87D91">
      <w:pPr>
        <w:pStyle w:val="3"/>
      </w:pPr>
      <w:r w:rsidRPr="001663AE">
        <w:rPr>
          <w:rStyle w:val="af3"/>
          <w:rFonts w:ascii="新細明體" w:hAnsi="新細明體"/>
        </w:rPr>
        <w:footnoteRef/>
      </w:r>
      <w:r w:rsidRPr="001663AE">
        <w:rPr>
          <w:rFonts w:hint="eastAsia"/>
        </w:rPr>
        <w:t>後改為</w:t>
      </w:r>
      <w:r w:rsidRPr="001663AE">
        <w:t>6</w:t>
      </w:r>
      <w:r w:rsidRPr="001663AE">
        <w:rPr>
          <w:rFonts w:hint="eastAsia"/>
        </w:rPr>
        <w:t>個月以下。</w:t>
      </w:r>
    </w:p>
  </w:footnote>
  <w:footnote w:id="360">
    <w:p w14:paraId="1E9EDC78" w14:textId="77777777"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 xml:space="preserve">1931. </w:t>
      </w:r>
      <w:r w:rsidRPr="001663AE">
        <w:rPr>
          <w:rFonts w:hint="eastAsia"/>
        </w:rPr>
        <w:t>台灣犯罪統計，台灣：台灣總督府。</w:t>
      </w:r>
      <w:r w:rsidRPr="001663AE">
        <w:rPr>
          <w:rFonts w:hint="eastAsia"/>
        </w:rPr>
        <w:t xml:space="preserve"> </w:t>
      </w:r>
    </w:p>
  </w:footnote>
  <w:footnote w:id="361">
    <w:p w14:paraId="4F7CB3DF" w14:textId="77777777" w:rsidR="00CA23FA" w:rsidRPr="001663AE" w:rsidRDefault="00CA23FA" w:rsidP="00D87D91">
      <w:pPr>
        <w:pStyle w:val="3"/>
      </w:pPr>
      <w:r w:rsidRPr="001663AE">
        <w:rPr>
          <w:rStyle w:val="af3"/>
          <w:rFonts w:ascii="新細明體" w:hAnsi="新細明體"/>
        </w:rPr>
        <w:footnoteRef/>
      </w:r>
      <w:r w:rsidRPr="001663AE">
        <w:t xml:space="preserve"> 46/1864=2.47%</w:t>
      </w:r>
      <w:r w:rsidRPr="001663AE">
        <w:rPr>
          <w:rFonts w:hint="eastAsia"/>
        </w:rPr>
        <w:t>。</w:t>
      </w:r>
    </w:p>
  </w:footnote>
  <w:footnote w:id="362">
    <w:p w14:paraId="7E0D4867" w14:textId="77777777" w:rsidR="00CA23FA" w:rsidRPr="001663AE" w:rsidRDefault="00CA23FA" w:rsidP="00D87D91">
      <w:pPr>
        <w:pStyle w:val="3"/>
      </w:pPr>
      <w:r w:rsidRPr="001663AE">
        <w:rPr>
          <w:rStyle w:val="af3"/>
          <w:rFonts w:ascii="新細明體" w:hAnsi="新細明體"/>
        </w:rPr>
        <w:footnoteRef/>
      </w:r>
      <w:r w:rsidRPr="001663AE">
        <w:t xml:space="preserve"> 2/1864=0.11%</w:t>
      </w:r>
      <w:r w:rsidRPr="001663AE">
        <w:rPr>
          <w:rFonts w:hint="eastAsia"/>
        </w:rPr>
        <w:t>。</w:t>
      </w:r>
    </w:p>
  </w:footnote>
  <w:footnote w:id="363">
    <w:p w14:paraId="5E9F81D1"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319/1864=17.11%</w:t>
      </w:r>
      <w:r w:rsidRPr="001663AE">
        <w:rPr>
          <w:rFonts w:hint="eastAsia"/>
        </w:rPr>
        <w:t>。</w:t>
      </w:r>
    </w:p>
  </w:footnote>
  <w:footnote w:id="364">
    <w:p w14:paraId="2844061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710/1864=38.09%</w:t>
      </w:r>
      <w:r w:rsidRPr="001663AE">
        <w:rPr>
          <w:rFonts w:hint="eastAsia"/>
        </w:rPr>
        <w:t>。</w:t>
      </w:r>
    </w:p>
  </w:footnote>
  <w:footnote w:id="365">
    <w:p w14:paraId="54A99D88" w14:textId="77777777" w:rsidR="00CA23FA" w:rsidRPr="001663AE" w:rsidRDefault="00CA23FA" w:rsidP="00D87D91">
      <w:pPr>
        <w:pStyle w:val="3"/>
      </w:pPr>
      <w:r w:rsidRPr="001663AE">
        <w:rPr>
          <w:rStyle w:val="af3"/>
          <w:rFonts w:ascii="新細明體" w:hAnsi="新細明體"/>
        </w:rPr>
        <w:footnoteRef/>
      </w:r>
      <w:r w:rsidRPr="001663AE">
        <w:t xml:space="preserve"> 1578+286=1864</w:t>
      </w:r>
      <w:r w:rsidRPr="001663AE">
        <w:rPr>
          <w:rFonts w:hint="eastAsia"/>
        </w:rPr>
        <w:t>。</w:t>
      </w:r>
    </w:p>
  </w:footnote>
  <w:footnote w:id="366">
    <w:p w14:paraId="0A0D3EB4" w14:textId="77777777"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 xml:space="preserve">1931. </w:t>
      </w:r>
      <w:r w:rsidRPr="001663AE">
        <w:rPr>
          <w:rFonts w:hint="eastAsia"/>
        </w:rPr>
        <w:t>台灣犯罪統計，台灣：台灣總督府，第</w:t>
      </w:r>
      <w:r w:rsidRPr="001663AE">
        <w:t>25-30</w:t>
      </w:r>
      <w:r w:rsidRPr="001663AE">
        <w:rPr>
          <w:rFonts w:hint="eastAsia"/>
        </w:rPr>
        <w:t>頁。</w:t>
      </w:r>
    </w:p>
  </w:footnote>
  <w:footnote w:id="367">
    <w:p w14:paraId="392B4021" w14:textId="77777777"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 xml:space="preserve">1931. </w:t>
      </w:r>
      <w:r w:rsidRPr="001663AE">
        <w:rPr>
          <w:rFonts w:hint="eastAsia"/>
        </w:rPr>
        <w:t>台灣犯罪統計，台灣：台灣總督府。</w:t>
      </w:r>
    </w:p>
  </w:footnote>
  <w:footnote w:id="368">
    <w:p w14:paraId="4B48096E" w14:textId="77777777"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 xml:space="preserve">1931. </w:t>
      </w:r>
      <w:r w:rsidRPr="001663AE">
        <w:rPr>
          <w:rFonts w:hint="eastAsia"/>
        </w:rPr>
        <w:t>台灣犯罪統計，台灣：台灣總督府。</w:t>
      </w:r>
    </w:p>
  </w:footnote>
  <w:footnote w:id="369">
    <w:p w14:paraId="259E99D4"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124/328=37.8%</w:t>
      </w:r>
      <w:r w:rsidRPr="001663AE">
        <w:rPr>
          <w:rFonts w:hint="eastAsia"/>
        </w:rPr>
        <w:t>。</w:t>
      </w:r>
    </w:p>
  </w:footnote>
  <w:footnote w:id="370">
    <w:p w14:paraId="50801DD3" w14:textId="77777777" w:rsidR="00CA23FA" w:rsidRPr="001663AE" w:rsidRDefault="00CA23FA" w:rsidP="00D87D91">
      <w:pPr>
        <w:pStyle w:val="3"/>
      </w:pPr>
      <w:r w:rsidRPr="001663AE">
        <w:rPr>
          <w:rStyle w:val="af3"/>
          <w:rFonts w:ascii="新細明體" w:hAnsi="新細明體"/>
        </w:rPr>
        <w:footnoteRef/>
      </w:r>
      <w:r w:rsidRPr="001663AE">
        <w:rPr>
          <w:rFonts w:hint="eastAsia"/>
        </w:rPr>
        <w:t>台灣犯罪統計，台灣總督府，昭和</w:t>
      </w:r>
      <w:r w:rsidRPr="001663AE">
        <w:rPr>
          <w:rFonts w:hint="eastAsia"/>
        </w:rPr>
        <w:t>6</w:t>
      </w:r>
      <w:r w:rsidRPr="001663AE">
        <w:rPr>
          <w:rFonts w:hint="eastAsia"/>
        </w:rPr>
        <w:t>年</w:t>
      </w:r>
      <w:r w:rsidRPr="001663AE">
        <w:rPr>
          <w:rFonts w:hint="eastAsia"/>
        </w:rPr>
        <w:t>(1931</w:t>
      </w:r>
      <w:r w:rsidRPr="001663AE">
        <w:rPr>
          <w:rFonts w:hint="eastAsia"/>
        </w:rPr>
        <w:t>年</w:t>
      </w:r>
      <w:r w:rsidRPr="001663AE">
        <w:rPr>
          <w:rFonts w:hint="eastAsia"/>
        </w:rPr>
        <w:t>)</w:t>
      </w:r>
      <w:r w:rsidRPr="001663AE">
        <w:rPr>
          <w:rFonts w:hint="eastAsia"/>
        </w:rPr>
        <w:t>，第</w:t>
      </w:r>
      <w:r w:rsidRPr="001663AE">
        <w:rPr>
          <w:rFonts w:hint="eastAsia"/>
        </w:rPr>
        <w:t>45-50</w:t>
      </w:r>
      <w:r w:rsidRPr="001663AE">
        <w:rPr>
          <w:rFonts w:hint="eastAsia"/>
        </w:rPr>
        <w:t>頁。</w:t>
      </w:r>
    </w:p>
  </w:footnote>
  <w:footnote w:id="371">
    <w:p w14:paraId="5E051040"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147/305=48.20%</w:t>
      </w:r>
      <w:r w:rsidRPr="001663AE">
        <w:rPr>
          <w:rFonts w:hint="eastAsia"/>
        </w:rPr>
        <w:t>。</w:t>
      </w:r>
    </w:p>
  </w:footnote>
  <w:footnote w:id="372">
    <w:p w14:paraId="034D56F9" w14:textId="77777777" w:rsidR="00CA23FA" w:rsidRPr="001663AE" w:rsidRDefault="00CA23FA" w:rsidP="00D87D91">
      <w:pPr>
        <w:pStyle w:val="3"/>
      </w:pPr>
      <w:r w:rsidRPr="001663AE">
        <w:rPr>
          <w:rStyle w:val="af3"/>
          <w:rFonts w:ascii="新細明體" w:hAnsi="新細明體"/>
        </w:rPr>
        <w:footnoteRef/>
      </w:r>
      <w:r w:rsidRPr="001663AE">
        <w:rPr>
          <w:rFonts w:hint="eastAsia"/>
        </w:rPr>
        <w:t>台灣犯罪統計，台灣總督府，昭和</w:t>
      </w:r>
      <w:r w:rsidRPr="001663AE">
        <w:rPr>
          <w:rFonts w:hint="eastAsia"/>
        </w:rPr>
        <w:t>6</w:t>
      </w:r>
      <w:r w:rsidRPr="001663AE">
        <w:rPr>
          <w:rFonts w:hint="eastAsia"/>
        </w:rPr>
        <w:t>年</w:t>
      </w:r>
      <w:r w:rsidRPr="001663AE">
        <w:rPr>
          <w:rFonts w:hint="eastAsia"/>
        </w:rPr>
        <w:t>(1931</w:t>
      </w:r>
      <w:r w:rsidRPr="001663AE">
        <w:rPr>
          <w:rFonts w:hint="eastAsia"/>
        </w:rPr>
        <w:t>年</w:t>
      </w:r>
      <w:r w:rsidRPr="001663AE">
        <w:rPr>
          <w:rFonts w:hint="eastAsia"/>
        </w:rPr>
        <w:t>)</w:t>
      </w:r>
      <w:r w:rsidRPr="001663AE">
        <w:rPr>
          <w:rFonts w:hint="eastAsia"/>
        </w:rPr>
        <w:t>，第</w:t>
      </w:r>
      <w:r w:rsidRPr="001663AE">
        <w:rPr>
          <w:rFonts w:hint="eastAsia"/>
        </w:rPr>
        <w:t>45-50</w:t>
      </w:r>
      <w:r w:rsidRPr="001663AE">
        <w:rPr>
          <w:rFonts w:hint="eastAsia"/>
        </w:rPr>
        <w:t>頁，第</w:t>
      </w:r>
      <w:r w:rsidRPr="001663AE">
        <w:rPr>
          <w:rFonts w:hint="eastAsia"/>
        </w:rPr>
        <w:t>57-60</w:t>
      </w:r>
      <w:r w:rsidRPr="001663AE">
        <w:rPr>
          <w:rFonts w:hint="eastAsia"/>
        </w:rPr>
        <w:t>頁。</w:t>
      </w:r>
    </w:p>
  </w:footnote>
  <w:footnote w:id="373">
    <w:p w14:paraId="490E3B44" w14:textId="77777777" w:rsidR="00CA23FA" w:rsidRPr="001663AE" w:rsidRDefault="00CA23FA" w:rsidP="00D87D91">
      <w:pPr>
        <w:pStyle w:val="3"/>
        <w:rPr>
          <w:rFonts w:ascii="新細明體" w:hAnsi="新細明體"/>
        </w:rPr>
      </w:pPr>
      <w:r w:rsidRPr="001663AE">
        <w:rPr>
          <w:rStyle w:val="af3"/>
          <w:rFonts w:ascii="新細明體" w:hAnsi="新細明體"/>
        </w:rPr>
        <w:footnoteRef/>
      </w:r>
      <w:r w:rsidRPr="001663AE">
        <w:rPr>
          <w:rFonts w:ascii="新細明體" w:hAnsi="新細明體"/>
        </w:rPr>
        <w:t xml:space="preserve"> </w:t>
      </w:r>
      <w:hyperlink r:id="rId147" w:history="1">
        <w:r w:rsidRPr="001663AE">
          <w:rPr>
            <w:rStyle w:val="a5"/>
          </w:rPr>
          <w:t>http://twstudy.iis.sinica.edu.tw/twstatistic50/JUDI/Mt184.xls</w:t>
        </w:r>
        <w:r w:rsidRPr="001663AE">
          <w:rPr>
            <w:rStyle w:val="a5"/>
            <w:rFonts w:hint="eastAsia"/>
          </w:rPr>
          <w:t>(2006.08)</w:t>
        </w:r>
      </w:hyperlink>
      <w:r w:rsidRPr="001663AE">
        <w:rPr>
          <w:rFonts w:ascii="新細明體" w:hAnsi="新細明體" w:hint="eastAsia"/>
        </w:rPr>
        <w:t>。</w:t>
      </w:r>
    </w:p>
  </w:footnote>
  <w:footnote w:id="374">
    <w:p w14:paraId="42046B02" w14:textId="77777777" w:rsidR="00CA23FA" w:rsidRPr="001663AE" w:rsidRDefault="00CA23FA" w:rsidP="00D87D91">
      <w:pPr>
        <w:pStyle w:val="3"/>
      </w:pPr>
      <w:r w:rsidRPr="001663AE">
        <w:rPr>
          <w:rStyle w:val="af3"/>
          <w:rFonts w:ascii="新細明體" w:hAnsi="新細明體"/>
        </w:rPr>
        <w:footnoteRef/>
      </w:r>
      <w:r w:rsidRPr="001663AE">
        <w:rPr>
          <w:rFonts w:hint="eastAsia"/>
        </w:rPr>
        <w:t>司法行政院犯罪問題研究中心，</w:t>
      </w:r>
      <w:r w:rsidRPr="001663AE">
        <w:t xml:space="preserve">1966. </w:t>
      </w:r>
      <w:r w:rsidRPr="001663AE">
        <w:rPr>
          <w:rFonts w:hint="eastAsia"/>
        </w:rPr>
        <w:t>煙毒犯問題之研究，初版，臺北：司法行政部，第</w:t>
      </w:r>
      <w:r w:rsidRPr="001663AE">
        <w:t>15</w:t>
      </w:r>
      <w:r w:rsidRPr="001663AE">
        <w:rPr>
          <w:rFonts w:hint="eastAsia"/>
        </w:rPr>
        <w:t>頁。</w:t>
      </w:r>
    </w:p>
    <w:p w14:paraId="3E8A0B43" w14:textId="77777777" w:rsidR="00CA23FA" w:rsidRPr="001663AE" w:rsidRDefault="00CA23FA" w:rsidP="00D87D91">
      <w:pPr>
        <w:pStyle w:val="3"/>
      </w:pPr>
      <w:r w:rsidRPr="001663AE">
        <w:rPr>
          <w:rFonts w:hint="eastAsia"/>
        </w:rPr>
        <w:t>鄭幼民，</w:t>
      </w:r>
      <w:r w:rsidRPr="001663AE">
        <w:t xml:space="preserve">2004. </w:t>
      </w:r>
      <w:r w:rsidRPr="001663AE">
        <w:rPr>
          <w:rFonts w:hint="eastAsia"/>
        </w:rPr>
        <w:t>我國毒品犯罪問題與防制機制</w:t>
      </w:r>
      <w:r>
        <w:t>〜</w:t>
      </w:r>
      <w:r w:rsidRPr="001663AE">
        <w:rPr>
          <w:rFonts w:hint="eastAsia"/>
        </w:rPr>
        <w:t>以緝毒工作為核心之分析，中國文化大學中山學術研究所博士論文，第</w:t>
      </w:r>
      <w:r w:rsidRPr="001663AE">
        <w:t>64-86</w:t>
      </w:r>
      <w:r w:rsidRPr="001663AE">
        <w:rPr>
          <w:rFonts w:hint="eastAsia"/>
        </w:rPr>
        <w:t>頁。</w:t>
      </w:r>
    </w:p>
  </w:footnote>
  <w:footnote w:id="375">
    <w:p w14:paraId="50DED385"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76">
    <w:p w14:paraId="0F65686A"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77">
    <w:p w14:paraId="40636ED8"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78">
    <w:p w14:paraId="41A0211F"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79">
    <w:p w14:paraId="37237522"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80">
    <w:p w14:paraId="66516F24"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81">
    <w:p w14:paraId="5D21B774" w14:textId="77777777" w:rsidR="00CA23FA" w:rsidRPr="001663AE" w:rsidRDefault="00CA23FA" w:rsidP="00D87D91">
      <w:pPr>
        <w:pStyle w:val="3"/>
      </w:pPr>
      <w:r w:rsidRPr="001663AE">
        <w:rPr>
          <w:rStyle w:val="af3"/>
          <w:rFonts w:ascii="新細明體" w:hAnsi="新細明體"/>
        </w:rPr>
        <w:footnoteRef/>
      </w:r>
      <w:r w:rsidRPr="001663AE">
        <w:rPr>
          <w:rFonts w:hint="eastAsia"/>
        </w:rPr>
        <w:t>林山田，</w:t>
      </w:r>
      <w:r w:rsidRPr="001663AE">
        <w:t xml:space="preserve">1999. </w:t>
      </w:r>
      <w:r w:rsidRPr="001663AE">
        <w:rPr>
          <w:rFonts w:hint="eastAsia"/>
        </w:rPr>
        <w:t>刑法各罪論</w:t>
      </w:r>
      <w:r w:rsidRPr="001663AE">
        <w:t>(</w:t>
      </w:r>
      <w:r w:rsidRPr="001663AE">
        <w:rPr>
          <w:rFonts w:hint="eastAsia"/>
        </w:rPr>
        <w:t>下冊</w:t>
      </w:r>
      <w:r w:rsidRPr="001663AE">
        <w:t>)</w:t>
      </w:r>
      <w:r w:rsidRPr="001663AE">
        <w:rPr>
          <w:rFonts w:hint="eastAsia"/>
        </w:rPr>
        <w:t>，臺北：台大法學院圖書部，第</w:t>
      </w:r>
      <w:r w:rsidRPr="001663AE">
        <w:t>519-539</w:t>
      </w:r>
      <w:r w:rsidRPr="001663AE">
        <w:rPr>
          <w:rFonts w:hint="eastAsia"/>
        </w:rPr>
        <w:t>頁。</w:t>
      </w:r>
    </w:p>
  </w:footnote>
  <w:footnote w:id="382">
    <w:p w14:paraId="7187D53F" w14:textId="77777777" w:rsidR="00CA23FA" w:rsidRPr="001663AE" w:rsidRDefault="00CA23FA" w:rsidP="00D87D91">
      <w:pPr>
        <w:pStyle w:val="3"/>
      </w:pPr>
      <w:r w:rsidRPr="001663AE">
        <w:rPr>
          <w:rStyle w:val="af3"/>
          <w:rFonts w:ascii="新細明體" w:hAnsi="新細明體"/>
        </w:rPr>
        <w:footnoteRef/>
      </w:r>
      <w:r w:rsidRPr="001663AE">
        <w:rPr>
          <w:rFonts w:hint="eastAsia"/>
        </w:rPr>
        <w:t>吳進發，</w:t>
      </w:r>
      <w:r w:rsidRPr="001663AE">
        <w:t xml:space="preserve">2006. </w:t>
      </w:r>
      <w:r w:rsidRPr="001663AE">
        <w:rPr>
          <w:rFonts w:hint="eastAsia"/>
        </w:rPr>
        <w:t>刑法、刑訴法應試精要，臺北：作者自印，第</w:t>
      </w:r>
      <w:r w:rsidRPr="001663AE">
        <w:t>7-15</w:t>
      </w:r>
      <w:r w:rsidRPr="001663AE">
        <w:rPr>
          <w:rFonts w:hint="eastAsia"/>
        </w:rPr>
        <w:t>頁。</w:t>
      </w:r>
    </w:p>
  </w:footnote>
  <w:footnote w:id="383">
    <w:p w14:paraId="030CD89D"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本項條例之起草及主事機關，係為法務部主導立法。</w:t>
      </w:r>
    </w:p>
  </w:footnote>
  <w:footnote w:id="384">
    <w:p w14:paraId="1EDEA2EE" w14:textId="77777777" w:rsidR="00CA23FA" w:rsidRPr="001663AE" w:rsidRDefault="00CA23FA" w:rsidP="00D87D91">
      <w:pPr>
        <w:pStyle w:val="3"/>
      </w:pPr>
      <w:r w:rsidRPr="001663AE">
        <w:rPr>
          <w:rStyle w:val="af3"/>
          <w:rFonts w:ascii="新細明體" w:hAnsi="新細明體"/>
        </w:rPr>
        <w:footnoteRef/>
      </w:r>
      <w:r w:rsidRPr="001663AE">
        <w:rPr>
          <w:rFonts w:hint="eastAsia"/>
        </w:rPr>
        <w:t>鄭幼民，</w:t>
      </w:r>
      <w:r w:rsidRPr="001663AE">
        <w:t xml:space="preserve">2004. </w:t>
      </w:r>
      <w:r w:rsidRPr="001663AE">
        <w:rPr>
          <w:rFonts w:hint="eastAsia"/>
        </w:rPr>
        <w:t>我國毒品犯罪問題與防制機制</w:t>
      </w:r>
      <w:r>
        <w:t>〜</w:t>
      </w:r>
      <w:r w:rsidRPr="001663AE">
        <w:rPr>
          <w:rFonts w:hint="eastAsia"/>
        </w:rPr>
        <w:t>以緝毒工作為核心之分析，中國文化大學中山學術研究所博士論文，第</w:t>
      </w:r>
      <w:r w:rsidRPr="001663AE">
        <w:t>64-86</w:t>
      </w:r>
      <w:r w:rsidRPr="001663AE">
        <w:rPr>
          <w:rFonts w:hint="eastAsia"/>
        </w:rPr>
        <w:t>頁。</w:t>
      </w:r>
    </w:p>
  </w:footnote>
  <w:footnote w:id="385">
    <w:p w14:paraId="5E1D382A"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1994. </w:t>
      </w:r>
      <w:r w:rsidRPr="001663AE">
        <w:rPr>
          <w:rFonts w:hint="eastAsia"/>
        </w:rPr>
        <w:t>立法院公報，第</w:t>
      </w:r>
      <w:r w:rsidRPr="001663AE">
        <w:t>83</w:t>
      </w:r>
      <w:r w:rsidRPr="001663AE">
        <w:rPr>
          <w:rFonts w:hint="eastAsia"/>
        </w:rPr>
        <w:t>卷第</w:t>
      </w:r>
      <w:r w:rsidRPr="001663AE">
        <w:t>83</w:t>
      </w:r>
      <w:r w:rsidRPr="001663AE">
        <w:rPr>
          <w:rFonts w:hint="eastAsia"/>
        </w:rPr>
        <w:t>期（下），第</w:t>
      </w:r>
      <w:r w:rsidRPr="001663AE">
        <w:t>337-364</w:t>
      </w:r>
      <w:r w:rsidRPr="001663AE">
        <w:rPr>
          <w:rFonts w:hint="eastAsia"/>
        </w:rPr>
        <w:t>。</w:t>
      </w:r>
    </w:p>
  </w:footnote>
  <w:footnote w:id="386">
    <w:p w14:paraId="22007A7A"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1994. </w:t>
      </w:r>
      <w:r w:rsidRPr="001663AE">
        <w:rPr>
          <w:rFonts w:hint="eastAsia"/>
        </w:rPr>
        <w:t>立法院公報，第</w:t>
      </w:r>
      <w:r w:rsidRPr="001663AE">
        <w:t>83</w:t>
      </w:r>
      <w:r w:rsidRPr="001663AE">
        <w:rPr>
          <w:rFonts w:hint="eastAsia"/>
        </w:rPr>
        <w:t>卷第</w:t>
      </w:r>
      <w:r w:rsidRPr="001663AE">
        <w:t>83</w:t>
      </w:r>
      <w:r w:rsidRPr="001663AE">
        <w:rPr>
          <w:rFonts w:hint="eastAsia"/>
        </w:rPr>
        <w:t>期（下），第</w:t>
      </w:r>
      <w:r w:rsidRPr="001663AE">
        <w:t>337-364</w:t>
      </w:r>
      <w:r w:rsidRPr="001663AE">
        <w:rPr>
          <w:rFonts w:hint="eastAsia"/>
        </w:rPr>
        <w:t>。</w:t>
      </w:r>
    </w:p>
  </w:footnote>
  <w:footnote w:id="387">
    <w:p w14:paraId="07675E49"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88">
    <w:p w14:paraId="2398C055"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89">
    <w:p w14:paraId="36173DFE"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0">
    <w:p w14:paraId="34B20D32"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1">
    <w:p w14:paraId="2DB0FB6D"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2">
    <w:p w14:paraId="79AA4A47"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3">
    <w:p w14:paraId="14F08327"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4">
    <w:p w14:paraId="69E41E4C"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5">
    <w:p w14:paraId="6F6B2D1D"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6">
    <w:p w14:paraId="7DAE93C3"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7">
    <w:p w14:paraId="2D67A524" w14:textId="77777777" w:rsidR="00CA23FA" w:rsidRPr="001663AE" w:rsidRDefault="00CA23FA" w:rsidP="00D87D91">
      <w:pPr>
        <w:pStyle w:val="3"/>
        <w:rPr>
          <w:lang w:eastAsia="ja-JP"/>
        </w:rPr>
      </w:pPr>
      <w:r w:rsidRPr="001663AE">
        <w:rPr>
          <w:rStyle w:val="af3"/>
          <w:rFonts w:ascii="新細明體" w:hAnsi="新細明體"/>
        </w:rPr>
        <w:footnoteRef/>
      </w:r>
      <w:r w:rsidRPr="001663AE">
        <w:rPr>
          <w:lang w:eastAsia="ja-JP"/>
        </w:rPr>
        <w:t>原始日文版之法律名稱為：</w:t>
      </w:r>
      <w:r w:rsidRPr="001663AE">
        <w:t xml:space="preserve"> </w:t>
      </w:r>
      <w:r w:rsidRPr="001663AE">
        <w:rPr>
          <w:lang w:eastAsia="ja-JP"/>
        </w:rPr>
        <w:t>麻薬及び向精神薬取締法。</w:t>
      </w:r>
    </w:p>
  </w:footnote>
  <w:footnote w:id="398">
    <w:p w14:paraId="7C370EF2"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lang w:eastAsia="ja-JP"/>
        </w:rPr>
        <w:t>「麻醉藥物與影響精神物質取締法」</w:t>
      </w:r>
      <w:r w:rsidRPr="001663AE">
        <w:rPr>
          <w:rFonts w:cs="Arial"/>
          <w:spacing w:val="-10"/>
          <w:lang w:eastAsia="ja-JP"/>
        </w:rPr>
        <w:t>第</w:t>
      </w:r>
      <w:r w:rsidRPr="001663AE">
        <w:rPr>
          <w:rFonts w:cs="Arial"/>
          <w:spacing w:val="-10"/>
        </w:rPr>
        <w:t>58</w:t>
      </w:r>
      <w:r w:rsidRPr="001663AE">
        <w:rPr>
          <w:rFonts w:cs="Arial"/>
          <w:spacing w:val="-10"/>
          <w:lang w:eastAsia="ja-JP"/>
        </w:rPr>
        <w:t>條之</w:t>
      </w:r>
      <w:r w:rsidRPr="001663AE">
        <w:rPr>
          <w:rFonts w:cs="Arial"/>
          <w:spacing w:val="-10"/>
        </w:rPr>
        <w:t>6</w:t>
      </w:r>
      <w:r w:rsidRPr="001663AE">
        <w:rPr>
          <w:rFonts w:cs="Arial"/>
          <w:spacing w:val="-10"/>
          <w:lang w:eastAsia="ja-JP"/>
        </w:rPr>
        <w:t>第</w:t>
      </w:r>
      <w:r w:rsidRPr="001663AE">
        <w:rPr>
          <w:rFonts w:cs="Arial"/>
          <w:spacing w:val="-10"/>
        </w:rPr>
        <w:t>1</w:t>
      </w:r>
      <w:r w:rsidRPr="001663AE">
        <w:rPr>
          <w:rFonts w:cs="Arial"/>
          <w:spacing w:val="-10"/>
          <w:lang w:eastAsia="ja-JP"/>
        </w:rPr>
        <w:t>項：「</w:t>
      </w:r>
      <w:r w:rsidRPr="001663AE">
        <w:rPr>
          <w:lang w:eastAsia="ja-JP"/>
        </w:rPr>
        <w:t>都道府県知事は、麻薬中毒者又はその疑いのある者について必要があると認めるときは、その指定する精神保健指定医をして、その者を診察させることができる。</w:t>
      </w:r>
      <w:r w:rsidRPr="001663AE">
        <w:rPr>
          <w:rFonts w:hint="eastAsia"/>
        </w:rPr>
        <w:t>」</w:t>
      </w:r>
    </w:p>
    <w:p w14:paraId="674554F2" w14:textId="77777777" w:rsidR="00CA23FA" w:rsidRPr="001663AE" w:rsidRDefault="00CA23FA" w:rsidP="00D87D91">
      <w:pPr>
        <w:pStyle w:val="af1"/>
      </w:pPr>
    </w:p>
  </w:footnote>
  <w:footnote w:id="399">
    <w:p w14:paraId="69D8ABA4" w14:textId="77777777" w:rsidR="00CA23FA" w:rsidRPr="001663AE" w:rsidRDefault="00CA23FA" w:rsidP="00D87D91">
      <w:pPr>
        <w:pStyle w:val="3"/>
      </w:pPr>
      <w:r w:rsidRPr="001663AE">
        <w:rPr>
          <w:rStyle w:val="af3"/>
          <w:rFonts w:ascii="新細明體" w:hAnsi="新細明體"/>
        </w:rPr>
        <w:footnoteRef/>
      </w:r>
      <w:r w:rsidRPr="001663AE">
        <w:rPr>
          <w:rFonts w:hint="eastAsia"/>
        </w:rPr>
        <w:t>可參閱：日本「麻醉藥物與影響精神物質取締法」</w:t>
      </w:r>
      <w:r w:rsidRPr="001663AE">
        <w:rPr>
          <w:rFonts w:cs="Arial" w:hint="eastAsia"/>
          <w:spacing w:val="-10"/>
          <w:kern w:val="0"/>
        </w:rPr>
        <w:t>第</w:t>
      </w:r>
      <w:r w:rsidRPr="001663AE">
        <w:rPr>
          <w:rFonts w:cs="Arial"/>
          <w:spacing w:val="-10"/>
          <w:kern w:val="0"/>
        </w:rPr>
        <w:t>58</w:t>
      </w:r>
      <w:r w:rsidRPr="001663AE">
        <w:rPr>
          <w:rFonts w:cs="Arial" w:hint="eastAsia"/>
          <w:spacing w:val="-10"/>
          <w:kern w:val="0"/>
        </w:rPr>
        <w:t>條之</w:t>
      </w:r>
      <w:r w:rsidRPr="001663AE">
        <w:rPr>
          <w:rFonts w:cs="Arial"/>
          <w:spacing w:val="-10"/>
          <w:kern w:val="0"/>
        </w:rPr>
        <w:t>8</w:t>
      </w:r>
      <w:r w:rsidRPr="001663AE">
        <w:rPr>
          <w:rFonts w:cs="Arial" w:hint="eastAsia"/>
          <w:spacing w:val="-10"/>
          <w:kern w:val="0"/>
        </w:rPr>
        <w:t>之規定。</w:t>
      </w:r>
    </w:p>
  </w:footnote>
  <w:footnote w:id="400">
    <w:p w14:paraId="383DA9B7" w14:textId="77777777" w:rsidR="00CA23FA" w:rsidRPr="001663AE" w:rsidRDefault="00CA23FA" w:rsidP="00D87D91">
      <w:pPr>
        <w:pStyle w:val="3"/>
      </w:pPr>
      <w:r w:rsidRPr="001663AE">
        <w:rPr>
          <w:rStyle w:val="af3"/>
          <w:rFonts w:ascii="新細明體" w:hAnsi="新細明體"/>
        </w:rPr>
        <w:footnoteRef/>
      </w:r>
      <w:r w:rsidRPr="001663AE">
        <w:t xml:space="preserve"> WHO., UNODC., UNAIDS. 2004. Substitution maintenance therapy in the management of opioid dependency and HIV/AIDS prevention. Geneva: WHO.</w:t>
      </w:r>
    </w:p>
  </w:footnote>
  <w:footnote w:id="401">
    <w:p w14:paraId="30A4A3FA" w14:textId="77777777" w:rsidR="00CA23FA" w:rsidRPr="001663AE" w:rsidRDefault="00CA23FA" w:rsidP="00D87D91">
      <w:pPr>
        <w:pStyle w:val="3"/>
      </w:pPr>
      <w:r w:rsidRPr="001663AE">
        <w:rPr>
          <w:rStyle w:val="af3"/>
          <w:rFonts w:ascii="新細明體" w:hAnsi="新細明體"/>
        </w:rPr>
        <w:footnoteRef/>
      </w:r>
      <w:r w:rsidRPr="001663AE">
        <w:rPr>
          <w:rFonts w:hint="eastAsia"/>
        </w:rPr>
        <w:t>法務部、衛生署、教育部、外交部，</w:t>
      </w:r>
      <w:r w:rsidRPr="001663AE">
        <w:t>2010. 99</w:t>
      </w:r>
      <w:r w:rsidRPr="001663AE">
        <w:rPr>
          <w:rFonts w:hint="eastAsia"/>
        </w:rPr>
        <w:t>反毒報告書，臺北：法務部、衛生署、教育部、外交部。</w:t>
      </w:r>
    </w:p>
    <w:p w14:paraId="37338723" w14:textId="77777777" w:rsidR="00CA23FA" w:rsidRPr="001663AE" w:rsidRDefault="00CA23FA" w:rsidP="00D87D91">
      <w:pPr>
        <w:pStyle w:val="3"/>
      </w:pPr>
      <w:r w:rsidRPr="001663AE">
        <w:rPr>
          <w:rFonts w:hint="eastAsia"/>
        </w:rPr>
        <w:t>裘雅恬，</w:t>
      </w:r>
      <w:r w:rsidRPr="001663AE">
        <w:t xml:space="preserve">2009. </w:t>
      </w:r>
      <w:r w:rsidRPr="001663AE">
        <w:rPr>
          <w:rFonts w:hint="eastAsia"/>
        </w:rPr>
        <w:t>毒品施用者緩起訴替代療法成效評估之研究。中央警察大學犯罪防治研究所碩士論文，未出版，桃園。</w:t>
      </w:r>
    </w:p>
  </w:footnote>
  <w:footnote w:id="402">
    <w:p w14:paraId="4ED410F9"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邱仁武</w:t>
      </w:r>
      <w:r w:rsidRPr="001663AE">
        <w:t>(2007)</w:t>
      </w:r>
      <w:r w:rsidRPr="001663AE">
        <w:rPr>
          <w:rFonts w:hint="eastAsia"/>
        </w:rPr>
        <w:t>，美沙冬替代療法</w:t>
      </w:r>
      <w:r w:rsidRPr="001663AE">
        <w:t xml:space="preserve"> </w:t>
      </w:r>
      <w:r w:rsidRPr="001663AE">
        <w:rPr>
          <w:rFonts w:hint="eastAsia"/>
        </w:rPr>
        <w:t>佳里服務點揭牌，上網瀏覽時間：</w:t>
      </w:r>
      <w:r w:rsidRPr="001663AE">
        <w:t>2014.12.28</w:t>
      </w:r>
      <w:r w:rsidRPr="001663AE">
        <w:rPr>
          <w:rFonts w:hint="eastAsia"/>
        </w:rPr>
        <w:t>，</w:t>
      </w:r>
      <w:hyperlink r:id="rId148" w:history="1">
        <w:r w:rsidRPr="001663AE">
          <w:rPr>
            <w:rStyle w:val="a5"/>
          </w:rPr>
          <w:t>http://5550555.tw/chinanews/2007/08/20/03/007.htm</w:t>
        </w:r>
      </w:hyperlink>
      <w:r w:rsidRPr="001663AE">
        <w:rPr>
          <w:rFonts w:hint="eastAsia"/>
        </w:rPr>
        <w:t>。台南地檢署主任檢察官張益昌指出，過去一年來，以緩起訴處分金接受「美沙冬替代療法」，對治安改善成果明顯。</w:t>
      </w:r>
    </w:p>
  </w:footnote>
  <w:footnote w:id="403">
    <w:p w14:paraId="389BF055" w14:textId="77777777" w:rsidR="00CA23FA" w:rsidRPr="001663AE" w:rsidRDefault="00CA23FA" w:rsidP="00D87D91">
      <w:pPr>
        <w:pStyle w:val="3"/>
      </w:pPr>
      <w:r w:rsidRPr="001663AE">
        <w:rPr>
          <w:rStyle w:val="af3"/>
          <w:rFonts w:ascii="新細明體" w:hAnsi="新細明體"/>
        </w:rPr>
        <w:footnoteRef/>
      </w:r>
      <w:r w:rsidRPr="001663AE">
        <w:rPr>
          <w:rFonts w:hint="eastAsia"/>
        </w:rPr>
        <w:t>邱仁武</w:t>
      </w:r>
      <w:r w:rsidRPr="001663AE">
        <w:t>(2007)</w:t>
      </w:r>
      <w:r w:rsidRPr="001663AE">
        <w:rPr>
          <w:rFonts w:hint="eastAsia"/>
        </w:rPr>
        <w:t>，美沙冬替代療法</w:t>
      </w:r>
      <w:r w:rsidRPr="001663AE">
        <w:t xml:space="preserve"> </w:t>
      </w:r>
      <w:r w:rsidRPr="001663AE">
        <w:rPr>
          <w:rFonts w:hint="eastAsia"/>
        </w:rPr>
        <w:t>佳里服務點揭牌，上網瀏覽時間：</w:t>
      </w:r>
      <w:r w:rsidRPr="001663AE">
        <w:t>2014.12.28</w:t>
      </w:r>
      <w:r w:rsidRPr="001663AE">
        <w:rPr>
          <w:rFonts w:hint="eastAsia"/>
        </w:rPr>
        <w:t>，</w:t>
      </w:r>
      <w:hyperlink r:id="rId149" w:history="1">
        <w:r w:rsidRPr="001663AE">
          <w:rPr>
            <w:rStyle w:val="a5"/>
          </w:rPr>
          <w:t>http://5550555.tw/chinanews/2007/08/20/03/007.htm</w:t>
        </w:r>
      </w:hyperlink>
      <w:r w:rsidRPr="001663AE">
        <w:rPr>
          <w:rFonts w:hint="eastAsia"/>
        </w:rPr>
        <w:t>。</w:t>
      </w:r>
    </w:p>
  </w:footnote>
  <w:footnote w:id="404">
    <w:p w14:paraId="515FB87B"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405">
    <w:p w14:paraId="60352B16"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406">
    <w:p w14:paraId="72C2D41D" w14:textId="77777777"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407">
    <w:p w14:paraId="375056AB" w14:textId="77777777" w:rsidR="00CA23FA" w:rsidRPr="001663AE" w:rsidRDefault="00CA23FA" w:rsidP="00D87D91">
      <w:pPr>
        <w:pStyle w:val="3"/>
        <w:rPr>
          <w:lang w:eastAsia="ja-JP"/>
        </w:rPr>
      </w:pPr>
      <w:r w:rsidRPr="001663AE">
        <w:rPr>
          <w:rStyle w:val="af3"/>
          <w:rFonts w:ascii="新細明體" w:hAnsi="新細明體"/>
        </w:rPr>
        <w:footnoteRef/>
      </w:r>
      <w:r w:rsidRPr="001663AE">
        <w:rPr>
          <w:lang w:eastAsia="ja-JP"/>
        </w:rPr>
        <w:t>該行政命令之日文原文如下：麻薬及び向精神薬取締法施行令及び麻薬、向精神薬及び麻薬向精神薬原料を指定する政令の一部を改正する政令。</w:t>
      </w:r>
    </w:p>
  </w:footnote>
  <w:footnote w:id="408">
    <w:p w14:paraId="2019BAF6" w14:textId="77777777" w:rsidR="00CA23FA" w:rsidRPr="001663AE" w:rsidRDefault="00CA23FA" w:rsidP="00D87D91">
      <w:pPr>
        <w:pStyle w:val="3"/>
      </w:pPr>
      <w:r w:rsidRPr="001663AE">
        <w:rPr>
          <w:rStyle w:val="af3"/>
          <w:rFonts w:ascii="新細明體" w:hAnsi="新細明體"/>
          <w:szCs w:val="20"/>
        </w:rPr>
        <w:footnoteRef/>
      </w:r>
      <w:r w:rsidRPr="001663AE">
        <w:rPr>
          <w:lang w:eastAsia="ja-JP"/>
        </w:rPr>
        <w:t>麻薬及び向精神薬取締法施行令及び麻薬、向精神薬及び麻薬向精神薬原料を指定する政令の一部を改正する政令。</w:t>
      </w:r>
      <w:r w:rsidRPr="001663AE">
        <w:rPr>
          <w:rFonts w:hint="eastAsia"/>
        </w:rPr>
        <w:t>第</w:t>
      </w:r>
      <w:r w:rsidRPr="001663AE">
        <w:t>1</w:t>
      </w:r>
      <w:r w:rsidRPr="001663AE">
        <w:rPr>
          <w:rFonts w:hint="eastAsia"/>
        </w:rPr>
        <w:t>條部分條文內容如下：</w:t>
      </w:r>
    </w:p>
    <w:p w14:paraId="162624DE" w14:textId="77777777" w:rsidR="00CA23FA" w:rsidRPr="001663AE" w:rsidRDefault="00CA23FA" w:rsidP="00D87D91">
      <w:pPr>
        <w:pStyle w:val="3"/>
        <w:rPr>
          <w:lang w:eastAsia="ja-JP"/>
        </w:rPr>
      </w:pPr>
      <w:r w:rsidRPr="001663AE">
        <w:rPr>
          <w:lang w:eastAsia="ja-JP"/>
        </w:rPr>
        <w:t>第</w:t>
      </w:r>
      <w:r w:rsidRPr="001663AE">
        <w:t>7</w:t>
      </w:r>
      <w:r w:rsidRPr="001663AE">
        <w:rPr>
          <w:lang w:eastAsia="ja-JP"/>
        </w:rPr>
        <w:t>号の次に次の</w:t>
      </w:r>
      <w:r w:rsidRPr="001663AE">
        <w:t>1</w:t>
      </w:r>
      <w:r w:rsidRPr="001663AE">
        <w:rPr>
          <w:lang w:eastAsia="ja-JP"/>
        </w:rPr>
        <w:t>号を加える。</w:t>
      </w:r>
    </w:p>
    <w:p w14:paraId="506126A6" w14:textId="77777777" w:rsidR="00CA23FA" w:rsidRPr="001663AE" w:rsidRDefault="00CA23FA" w:rsidP="00D87D91">
      <w:pPr>
        <w:pStyle w:val="3"/>
        <w:rPr>
          <w:lang w:eastAsia="ja-JP"/>
        </w:rPr>
      </w:pPr>
      <w:r w:rsidRPr="001663AE">
        <w:t>8</w:t>
      </w:r>
      <w:r w:rsidRPr="001663AE">
        <w:rPr>
          <w:lang w:eastAsia="ja-JP"/>
        </w:rPr>
        <w:t>．</w:t>
      </w:r>
      <w:r w:rsidRPr="001663AE">
        <w:t>5</w:t>
      </w:r>
      <w:r w:rsidRPr="001663AE">
        <w:rPr>
          <w:lang w:eastAsia="ja-JP"/>
        </w:rPr>
        <w:t>－（</w:t>
      </w:r>
      <w:r w:rsidRPr="001663AE">
        <w:t>2</w:t>
      </w:r>
      <w:r w:rsidRPr="001663AE">
        <w:rPr>
          <w:lang w:eastAsia="ja-JP"/>
        </w:rPr>
        <w:t>－フルオロフェニル）－</w:t>
      </w:r>
      <w:r w:rsidRPr="001663AE">
        <w:t>1</w:t>
      </w:r>
      <w:r w:rsidRPr="001663AE">
        <w:rPr>
          <w:lang w:eastAsia="ja-JP"/>
        </w:rPr>
        <w:t>・</w:t>
      </w:r>
      <w:r w:rsidRPr="001663AE">
        <w:t>3</w:t>
      </w:r>
      <w:r w:rsidRPr="001663AE">
        <w:rPr>
          <w:lang w:eastAsia="ja-JP"/>
        </w:rPr>
        <w:t>－ジヒドロ－</w:t>
      </w:r>
      <w:r w:rsidRPr="001663AE">
        <w:t>1</w:t>
      </w:r>
      <w:r w:rsidRPr="001663AE">
        <w:rPr>
          <w:lang w:eastAsia="ja-JP"/>
        </w:rPr>
        <w:t>－メチル－</w:t>
      </w:r>
      <w:r w:rsidRPr="001663AE">
        <w:t>7</w:t>
      </w:r>
      <w:r w:rsidRPr="001663AE">
        <w:rPr>
          <w:lang w:eastAsia="ja-JP"/>
        </w:rPr>
        <w:t>－ニトロ－</w:t>
      </w:r>
      <w:r w:rsidRPr="001663AE">
        <w:t>2</w:t>
      </w:r>
      <w:r w:rsidRPr="001663AE">
        <w:rPr>
          <w:lang w:eastAsia="ja-JP"/>
        </w:rPr>
        <w:t>Ｈ－</w:t>
      </w:r>
      <w:r w:rsidRPr="001663AE">
        <w:t>1</w:t>
      </w:r>
      <w:r w:rsidRPr="001663AE">
        <w:rPr>
          <w:lang w:eastAsia="ja-JP"/>
        </w:rPr>
        <w:t>・</w:t>
      </w:r>
      <w:r w:rsidRPr="001663AE">
        <w:t>4</w:t>
      </w:r>
      <w:r w:rsidRPr="001663AE">
        <w:rPr>
          <w:lang w:eastAsia="ja-JP"/>
        </w:rPr>
        <w:t>－ベンゾジアゼピン－</w:t>
      </w:r>
      <w:r w:rsidRPr="001663AE">
        <w:t>2</w:t>
      </w:r>
      <w:r w:rsidRPr="001663AE">
        <w:rPr>
          <w:lang w:eastAsia="ja-JP"/>
        </w:rPr>
        <w:t>－オン（別名フルニトラゼパム）及びその塩類。</w:t>
      </w:r>
    </w:p>
    <w:p w14:paraId="3A148B84" w14:textId="77777777" w:rsidR="00CA23FA" w:rsidRPr="001663AE" w:rsidRDefault="00CA23FA" w:rsidP="00D87D91">
      <w:pPr>
        <w:pStyle w:val="3"/>
        <w:rPr>
          <w:lang w:eastAsia="ja-JP"/>
        </w:rPr>
      </w:pPr>
      <w:r w:rsidRPr="001663AE">
        <w:rPr>
          <w:lang w:eastAsia="ja-JP"/>
        </w:rPr>
        <w:t>上述之フルニトラゼパム，即為</w:t>
      </w:r>
      <w:r w:rsidRPr="001663AE">
        <w:rPr>
          <w:rFonts w:cs="新細明體"/>
          <w:kern w:val="0"/>
          <w:lang w:eastAsia="ja-JP"/>
        </w:rPr>
        <w:t>強姦藥片</w:t>
      </w:r>
      <w:r w:rsidRPr="001663AE">
        <w:rPr>
          <w:rFonts w:cs="新細明體"/>
          <w:kern w:val="0"/>
        </w:rPr>
        <w:t>(</w:t>
      </w:r>
      <w:r w:rsidRPr="001663AE">
        <w:t>FM2</w:t>
      </w:r>
      <w:r w:rsidRPr="001663AE">
        <w:rPr>
          <w:lang w:eastAsia="ja-JP"/>
        </w:rPr>
        <w:t>，</w:t>
      </w:r>
      <w:r w:rsidRPr="001663AE">
        <w:t xml:space="preserve"> flunitrazepam)</w:t>
      </w:r>
      <w:r w:rsidRPr="001663AE">
        <w:rPr>
          <w:lang w:eastAsia="ja-JP"/>
        </w:rPr>
        <w:t>，已被日本新添列入「麻藥及影響精神物質取締法」管制之中。</w:t>
      </w:r>
    </w:p>
  </w:footnote>
  <w:footnote w:id="409">
    <w:p w14:paraId="41391F4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日本國法庫，</w:t>
      </w:r>
      <w:r w:rsidRPr="001663AE">
        <w:t xml:space="preserve">2011. </w:t>
      </w:r>
      <w:hyperlink r:id="rId150" w:history="1">
        <w:r w:rsidRPr="001663AE">
          <w:t>http://www.houko.com/00/02/H07/343.HTM(2011.05)</w:t>
        </w:r>
      </w:hyperlink>
      <w:r w:rsidRPr="001663AE">
        <w:rPr>
          <w:rFonts w:hint="eastAsia"/>
        </w:rPr>
        <w:t>。</w:t>
      </w:r>
    </w:p>
    <w:p w14:paraId="47726001" w14:textId="77777777" w:rsidR="00CA23FA" w:rsidRPr="001663AE" w:rsidRDefault="00CA23FA" w:rsidP="00D87D91">
      <w:pPr>
        <w:pStyle w:val="3"/>
      </w:pPr>
      <w:r w:rsidRPr="001663AE">
        <w:rPr>
          <w:rFonts w:hint="eastAsia"/>
        </w:rPr>
        <w:t>日本國法庫，</w:t>
      </w:r>
      <w:r w:rsidRPr="001663AE">
        <w:t xml:space="preserve">2011. </w:t>
      </w:r>
      <w:hyperlink r:id="rId151" w:anchor="s3(2011.06)" w:history="1">
        <w:r w:rsidRPr="001663AE">
          <w:t>http://www.houko.com/00/01/S28/014.HTM#s3(2011.06)</w:t>
        </w:r>
      </w:hyperlink>
      <w:r w:rsidRPr="001663AE">
        <w:rPr>
          <w:rFonts w:hint="eastAsia"/>
        </w:rPr>
        <w:t>。</w:t>
      </w:r>
    </w:p>
  </w:footnote>
  <w:footnote w:id="410">
    <w:p w14:paraId="09D9E573"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cs="新細明體" w:hint="eastAsia"/>
          <w:kern w:val="0"/>
        </w:rPr>
        <w:t>「</w:t>
      </w:r>
      <w:r w:rsidRPr="001663AE">
        <w:rPr>
          <w:rFonts w:hint="eastAsia"/>
        </w:rPr>
        <w:t>麻醉藥物與影響精神物質取締法</w:t>
      </w:r>
      <w:r w:rsidRPr="001663AE">
        <w:rPr>
          <w:rFonts w:cs="新細明體" w:hint="eastAsia"/>
          <w:kern w:val="0"/>
        </w:rPr>
        <w:t>」</w:t>
      </w:r>
      <w:r w:rsidRPr="001663AE">
        <w:rPr>
          <w:rFonts w:hint="eastAsia"/>
        </w:rPr>
        <w:t>第</w:t>
      </w:r>
      <w:r w:rsidRPr="001663AE">
        <w:t>27</w:t>
      </w:r>
      <w:r w:rsidRPr="001663AE">
        <w:rPr>
          <w:rFonts w:hint="eastAsia"/>
        </w:rPr>
        <w:t xml:space="preserve">條：　</w:t>
      </w:r>
    </w:p>
    <w:p w14:paraId="07443383" w14:textId="77777777" w:rsidR="00CA23FA" w:rsidRPr="001663AE" w:rsidRDefault="00CA23FA" w:rsidP="00D87D91">
      <w:pPr>
        <w:pStyle w:val="3"/>
        <w:rPr>
          <w:lang w:eastAsia="ja-JP"/>
        </w:rPr>
      </w:pPr>
      <w:r w:rsidRPr="001663AE">
        <w:t>1</w:t>
      </w:r>
      <w:r w:rsidRPr="001663AE">
        <w:rPr>
          <w:lang w:eastAsia="ja-JP"/>
        </w:rPr>
        <w:t>、麻薬施用者でなければ、麻薬を施用し、若しくは施用のため交付し、又は麻薬を記載した処方せんを交付してはならない。但し、左に掲げる場合は、この限りでない。</w:t>
      </w:r>
    </w:p>
    <w:p w14:paraId="5E78EE0C" w14:textId="77777777" w:rsidR="00CA23FA" w:rsidRPr="001663AE" w:rsidRDefault="00CA23FA" w:rsidP="00D87D91">
      <w:pPr>
        <w:pStyle w:val="3"/>
        <w:rPr>
          <w:lang w:eastAsia="ja-JP"/>
        </w:rPr>
      </w:pPr>
      <w:r w:rsidRPr="001663AE">
        <w:t>(1)</w:t>
      </w:r>
      <w:r w:rsidRPr="001663AE">
        <w:rPr>
          <w:lang w:eastAsia="ja-JP"/>
        </w:rPr>
        <w:t>麻薬研究者が、研究のため施用する場合</w:t>
      </w:r>
    </w:p>
    <w:p w14:paraId="60512ACF" w14:textId="77777777" w:rsidR="00CA23FA" w:rsidRPr="001663AE" w:rsidRDefault="00CA23FA" w:rsidP="00D87D91">
      <w:pPr>
        <w:pStyle w:val="3"/>
        <w:rPr>
          <w:lang w:eastAsia="ja-JP"/>
        </w:rPr>
      </w:pPr>
      <w:r w:rsidRPr="001663AE">
        <w:t>(2)</w:t>
      </w:r>
      <w:r w:rsidRPr="001663AE">
        <w:rPr>
          <w:lang w:eastAsia="ja-JP"/>
        </w:rPr>
        <w:t>麻薬施用者から施用のため麻薬の交付を受けた者が、その麻薬を施用する場合</w:t>
      </w:r>
    </w:p>
    <w:p w14:paraId="24E428FC" w14:textId="77777777" w:rsidR="00CA23FA" w:rsidRPr="001663AE" w:rsidRDefault="00CA23FA" w:rsidP="00D87D91">
      <w:pPr>
        <w:pStyle w:val="3"/>
        <w:rPr>
          <w:lang w:eastAsia="ja-JP"/>
        </w:rPr>
      </w:pPr>
      <w:r w:rsidRPr="001663AE">
        <w:t>(3)</w:t>
      </w:r>
      <w:r w:rsidRPr="001663AE">
        <w:rPr>
          <w:lang w:eastAsia="ja-JP"/>
        </w:rPr>
        <w:t>麻薬小売業者から麻薬処方せんにより調剤された麻薬を譲り受けた者が、その麻薬を施用する場合</w:t>
      </w:r>
    </w:p>
    <w:p w14:paraId="60050098" w14:textId="77777777" w:rsidR="00CA23FA" w:rsidRPr="001663AE" w:rsidRDefault="00CA23FA" w:rsidP="00D87D91">
      <w:pPr>
        <w:pStyle w:val="3"/>
        <w:rPr>
          <w:lang w:eastAsia="ja-JP"/>
        </w:rPr>
      </w:pPr>
      <w:r w:rsidRPr="001663AE">
        <w:t>2</w:t>
      </w:r>
      <w:r w:rsidRPr="001663AE">
        <w:rPr>
          <w:lang w:eastAsia="ja-JP"/>
        </w:rPr>
        <w:t>、前項ただし書の規定は、麻薬施用者から交付された麻薬又は麻薬処方せんが第３項又は第</w:t>
      </w:r>
      <w:r w:rsidRPr="001663AE">
        <w:t>4</w:t>
      </w:r>
      <w:r w:rsidRPr="001663AE">
        <w:rPr>
          <w:lang w:eastAsia="ja-JP"/>
        </w:rPr>
        <w:t>項の規定に違反して交付されたものであるときは、適用しない。</w:t>
      </w:r>
    </w:p>
    <w:p w14:paraId="3AF4B823" w14:textId="77777777" w:rsidR="00CA23FA" w:rsidRPr="001663AE" w:rsidRDefault="00CA23FA" w:rsidP="00D87D91">
      <w:pPr>
        <w:pStyle w:val="3"/>
        <w:rPr>
          <w:lang w:eastAsia="ja-JP"/>
        </w:rPr>
      </w:pPr>
      <w:r w:rsidRPr="001663AE">
        <w:t>3</w:t>
      </w:r>
      <w:r w:rsidRPr="001663AE">
        <w:rPr>
          <w:lang w:eastAsia="ja-JP"/>
        </w:rPr>
        <w:t>、麻薬施用者は、疾病の治療以外の目的で、麻薬を施用し、若しくは施用のため交付し、又は麻薬を記載した処方せんを交付してはならない。ただし、精神保健指定医が、</w:t>
      </w:r>
      <w:hyperlink r:id="rId152" w:anchor="058-6#058-6" w:tgtFrame="san" w:history="1">
        <w:r w:rsidRPr="001663AE">
          <w:rPr>
            <w:rStyle w:val="a5"/>
            <w:szCs w:val="20"/>
          </w:rPr>
          <w:t>6</w:t>
        </w:r>
      </w:hyperlink>
      <w:r w:rsidRPr="001663AE">
        <w:rPr>
          <w:lang w:eastAsia="ja-JP"/>
        </w:rPr>
        <w:t>第</w:t>
      </w:r>
      <w:r w:rsidRPr="001663AE">
        <w:t>1</w:t>
      </w:r>
      <w:r w:rsidRPr="001663AE">
        <w:rPr>
          <w:lang w:eastAsia="ja-JP"/>
        </w:rPr>
        <w:t>項の規定による診察を行うため、Ｎ－アリルノルモルヒネ、その塩類及びこれらを含有する麻薬その他政令で定める麻薬を施用するときは、この限りでない。</w:t>
      </w:r>
    </w:p>
    <w:p w14:paraId="5948E64A" w14:textId="77777777" w:rsidR="00CA23FA" w:rsidRPr="001663AE" w:rsidRDefault="00CA23FA" w:rsidP="00D87D91">
      <w:pPr>
        <w:pStyle w:val="3"/>
        <w:rPr>
          <w:lang w:eastAsia="ja-JP"/>
        </w:rPr>
      </w:pPr>
      <w:r w:rsidRPr="001663AE">
        <w:t>4</w:t>
      </w:r>
      <w:r w:rsidRPr="001663AE">
        <w:rPr>
          <w:lang w:eastAsia="ja-JP"/>
        </w:rPr>
        <w:t>、麻薬施用者は、前項の規定にかかわらず、麻薬又はあへんの中毒者の中毒症状を緩和するため、その他その中毒の治療の目的で、麻薬を施用し、若しくは施用のため交付し、又は麻薬を記載した処方せんを交付してはならない。ただし、</w:t>
      </w:r>
      <w:hyperlink r:id="rId153" w:anchor="058-8#058-8" w:tgtFrame="san" w:history="1">
        <w:r w:rsidRPr="001663AE">
          <w:rPr>
            <w:rStyle w:val="a5"/>
            <w:szCs w:val="20"/>
            <w:lang w:eastAsia="ja-JP"/>
          </w:rPr>
          <w:t>第</w:t>
        </w:r>
        <w:r w:rsidRPr="001663AE">
          <w:rPr>
            <w:rStyle w:val="a5"/>
            <w:szCs w:val="20"/>
          </w:rPr>
          <w:t>58</w:t>
        </w:r>
        <w:r w:rsidRPr="001663AE">
          <w:rPr>
            <w:rStyle w:val="a5"/>
            <w:szCs w:val="20"/>
            <w:lang w:eastAsia="ja-JP"/>
          </w:rPr>
          <w:t>条の</w:t>
        </w:r>
      </w:hyperlink>
      <w:r w:rsidRPr="001663AE">
        <w:t>8</w:t>
      </w:r>
      <w:r w:rsidRPr="001663AE">
        <w:rPr>
          <w:lang w:eastAsia="ja-JP"/>
        </w:rPr>
        <w:t>第</w:t>
      </w:r>
      <w:r w:rsidRPr="001663AE">
        <w:t>1</w:t>
      </w:r>
      <w:r w:rsidRPr="001663AE">
        <w:rPr>
          <w:lang w:eastAsia="ja-JP"/>
        </w:rPr>
        <w:t>項の規定に基づく厚生労働省令で定める病院において診療に従事する麻薬施用者が、同条の規定により当該病院に入院している者について、</w:t>
      </w:r>
      <w:r w:rsidRPr="001663AE">
        <w:t>6</w:t>
      </w:r>
      <w:r w:rsidRPr="001663AE">
        <w:rPr>
          <w:lang w:eastAsia="ja-JP"/>
        </w:rPr>
        <w:t>－ジメチルアミノ－</w:t>
      </w:r>
      <w:r w:rsidRPr="001663AE">
        <w:t>4</w:t>
      </w:r>
      <w:r w:rsidRPr="001663AE">
        <w:rPr>
          <w:lang w:eastAsia="ja-JP"/>
        </w:rPr>
        <w:t>・</w:t>
      </w:r>
      <w:r w:rsidRPr="001663AE">
        <w:t>4</w:t>
      </w:r>
      <w:r w:rsidRPr="001663AE">
        <w:rPr>
          <w:lang w:eastAsia="ja-JP"/>
        </w:rPr>
        <w:t>－ジフェニル－</w:t>
      </w:r>
      <w:r w:rsidRPr="001663AE">
        <w:t>3</w:t>
      </w:r>
      <w:r w:rsidRPr="001663AE">
        <w:rPr>
          <w:lang w:eastAsia="ja-JP"/>
        </w:rPr>
        <w:t>－ヘプタノン、その塩類及びこれらを含有する麻薬その他政令で定める麻薬を施用するときは、この限りでない。</w:t>
      </w:r>
    </w:p>
    <w:p w14:paraId="5CB77AF9" w14:textId="77777777" w:rsidR="00CA23FA" w:rsidRPr="001663AE" w:rsidRDefault="00CA23FA" w:rsidP="00D87D91">
      <w:pPr>
        <w:pStyle w:val="3"/>
        <w:rPr>
          <w:lang w:eastAsia="ja-JP"/>
        </w:rPr>
      </w:pPr>
      <w:r w:rsidRPr="001663AE">
        <w:t>5</w:t>
      </w:r>
      <w:r w:rsidRPr="001663AE">
        <w:rPr>
          <w:lang w:eastAsia="ja-JP"/>
        </w:rPr>
        <w:t>、何人も、第</w:t>
      </w:r>
      <w:r w:rsidRPr="001663AE">
        <w:t>1</w:t>
      </w:r>
      <w:r w:rsidRPr="001663AE">
        <w:rPr>
          <w:lang w:eastAsia="ja-JP"/>
        </w:rPr>
        <w:t>項、第</w:t>
      </w:r>
      <w:r w:rsidRPr="001663AE">
        <w:t>3</w:t>
      </w:r>
      <w:r w:rsidRPr="001663AE">
        <w:rPr>
          <w:lang w:eastAsia="ja-JP"/>
        </w:rPr>
        <w:t>項又は第</w:t>
      </w:r>
      <w:r w:rsidRPr="001663AE">
        <w:t>4</w:t>
      </w:r>
      <w:r w:rsidRPr="001663AE">
        <w:rPr>
          <w:lang w:eastAsia="ja-JP"/>
        </w:rPr>
        <w:t>項の規定により禁止される麻薬の施用を受けてはならない。</w:t>
      </w:r>
    </w:p>
    <w:p w14:paraId="05F59759" w14:textId="77777777" w:rsidR="00CA23FA" w:rsidRPr="001663AE" w:rsidRDefault="00CA23FA" w:rsidP="00D87D91">
      <w:pPr>
        <w:pStyle w:val="3"/>
        <w:rPr>
          <w:lang w:eastAsia="ja-JP"/>
        </w:rPr>
      </w:pPr>
      <w:r w:rsidRPr="001663AE">
        <w:t>6</w:t>
      </w:r>
      <w:r w:rsidRPr="001663AE">
        <w:rPr>
          <w:lang w:eastAsia="ja-JP"/>
        </w:rPr>
        <w:t>、麻薬施用者は、麻薬を記載した処方せんを交付するときは、その処方せんに、患者の氏名（患畜にあつては、その種類並びにその所有者又は管理者の氏名又は名称）、麻薬の品名、分量、用法用量、自己の氏名、免許証の番号その他厚生労働省令で定める事項を記載して、記名押印又は署名をしなければならない。</w:t>
      </w:r>
    </w:p>
  </w:footnote>
  <w:footnote w:id="411">
    <w:p w14:paraId="39BBF298"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cs="新細明體" w:hint="eastAsia"/>
          <w:kern w:val="0"/>
        </w:rPr>
        <w:t>「</w:t>
      </w:r>
      <w:r w:rsidRPr="001663AE">
        <w:rPr>
          <w:rFonts w:hint="eastAsia"/>
        </w:rPr>
        <w:t>麻醉藥物與影響精神物質取締法</w:t>
      </w:r>
      <w:r w:rsidRPr="001663AE">
        <w:rPr>
          <w:rFonts w:cs="新細明體" w:hint="eastAsia"/>
          <w:kern w:val="0"/>
        </w:rPr>
        <w:t>」第</w:t>
      </w:r>
      <w:r w:rsidRPr="001663AE">
        <w:rPr>
          <w:rFonts w:cs="新細明體"/>
          <w:kern w:val="0"/>
        </w:rPr>
        <w:t>66</w:t>
      </w:r>
      <w:r w:rsidRPr="001663AE">
        <w:rPr>
          <w:rFonts w:cs="新細明體" w:hint="eastAsia"/>
          <w:kern w:val="0"/>
        </w:rPr>
        <w:t>條之</w:t>
      </w:r>
      <w:r w:rsidRPr="001663AE">
        <w:rPr>
          <w:rFonts w:cs="新細明體"/>
          <w:kern w:val="0"/>
        </w:rPr>
        <w:t>2</w:t>
      </w:r>
      <w:r w:rsidRPr="001663AE">
        <w:rPr>
          <w:rFonts w:cs="新細明體" w:hint="eastAsia"/>
          <w:kern w:val="0"/>
        </w:rPr>
        <w:t>：</w:t>
      </w:r>
    </w:p>
    <w:p w14:paraId="7A569312" w14:textId="77777777" w:rsidR="00CA23FA" w:rsidRPr="001663AE" w:rsidRDefault="00CA23FA" w:rsidP="00D87D91">
      <w:pPr>
        <w:pStyle w:val="3"/>
        <w:rPr>
          <w:lang w:eastAsia="ja-JP"/>
        </w:rPr>
      </w:pPr>
      <w:r w:rsidRPr="001663AE">
        <w:t>1</w:t>
      </w:r>
      <w:r w:rsidRPr="001663AE">
        <w:rPr>
          <w:lang w:eastAsia="ja-JP"/>
        </w:rPr>
        <w:t>、</w:t>
      </w:r>
      <w:hyperlink r:id="rId154" w:anchor="027#027" w:tgtFrame="san" w:history="1">
        <w:r w:rsidRPr="001663AE">
          <w:rPr>
            <w:rStyle w:val="a5"/>
            <w:szCs w:val="20"/>
            <w:lang w:eastAsia="ja-JP"/>
          </w:rPr>
          <w:t>第</w:t>
        </w:r>
        <w:r w:rsidRPr="001663AE">
          <w:rPr>
            <w:rStyle w:val="a5"/>
            <w:szCs w:val="20"/>
          </w:rPr>
          <w:t>27</w:t>
        </w:r>
        <w:r w:rsidRPr="001663AE">
          <w:rPr>
            <w:rStyle w:val="a5"/>
            <w:szCs w:val="20"/>
            <w:lang w:eastAsia="ja-JP"/>
          </w:rPr>
          <w:t>条</w:t>
        </w:r>
      </w:hyperlink>
      <w:r w:rsidRPr="001663AE">
        <w:rPr>
          <w:lang w:eastAsia="ja-JP"/>
        </w:rPr>
        <w:t>第</w:t>
      </w:r>
      <w:r w:rsidRPr="001663AE">
        <w:t>1</w:t>
      </w:r>
      <w:r w:rsidRPr="001663AE">
        <w:rPr>
          <w:lang w:eastAsia="ja-JP"/>
        </w:rPr>
        <w:t>項又は第</w:t>
      </w:r>
      <w:r w:rsidRPr="001663AE">
        <w:t>3</w:t>
      </w:r>
      <w:r w:rsidRPr="001663AE">
        <w:rPr>
          <w:lang w:eastAsia="ja-JP"/>
        </w:rPr>
        <w:t>項から第</w:t>
      </w:r>
      <w:r w:rsidRPr="001663AE">
        <w:t>5</w:t>
      </w:r>
      <w:r w:rsidRPr="001663AE">
        <w:rPr>
          <w:lang w:eastAsia="ja-JP"/>
        </w:rPr>
        <w:t>項までの規定に違反した者は、</w:t>
      </w:r>
      <w:r w:rsidRPr="001663AE">
        <w:t>7</w:t>
      </w:r>
      <w:r w:rsidRPr="001663AE">
        <w:rPr>
          <w:lang w:eastAsia="ja-JP"/>
        </w:rPr>
        <w:t>年以下の懲役に処する。</w:t>
      </w:r>
    </w:p>
    <w:p w14:paraId="66552248" w14:textId="77777777" w:rsidR="00CA23FA" w:rsidRPr="001663AE" w:rsidRDefault="00CA23FA" w:rsidP="00D87D91">
      <w:pPr>
        <w:pStyle w:val="3"/>
        <w:rPr>
          <w:lang w:eastAsia="ja-JP"/>
        </w:rPr>
      </w:pPr>
      <w:r w:rsidRPr="001663AE">
        <w:t>2</w:t>
      </w:r>
      <w:r w:rsidRPr="001663AE">
        <w:rPr>
          <w:lang w:eastAsia="ja-JP"/>
        </w:rPr>
        <w:t>、営利の目的で前項の違反行為をした者は、</w:t>
      </w:r>
      <w:r w:rsidRPr="001663AE">
        <w:t>1</w:t>
      </w:r>
      <w:r w:rsidRPr="001663AE">
        <w:rPr>
          <w:lang w:eastAsia="ja-JP"/>
        </w:rPr>
        <w:t>年以上</w:t>
      </w:r>
      <w:r w:rsidRPr="001663AE">
        <w:t>10</w:t>
      </w:r>
      <w:r w:rsidRPr="001663AE">
        <w:rPr>
          <w:lang w:eastAsia="ja-JP"/>
        </w:rPr>
        <w:t>年以下の懲役に処し、又は情状により</w:t>
      </w:r>
      <w:r w:rsidRPr="001663AE">
        <w:t>1</w:t>
      </w:r>
      <w:r w:rsidRPr="001663AE">
        <w:rPr>
          <w:lang w:eastAsia="ja-JP"/>
        </w:rPr>
        <w:t>年以上</w:t>
      </w:r>
      <w:r w:rsidRPr="001663AE">
        <w:t>10</w:t>
      </w:r>
      <w:r w:rsidRPr="001663AE">
        <w:rPr>
          <w:lang w:eastAsia="ja-JP"/>
        </w:rPr>
        <w:t>年以下の懲役及び</w:t>
      </w:r>
      <w:r w:rsidRPr="001663AE">
        <w:t>300</w:t>
      </w:r>
      <w:r w:rsidRPr="001663AE">
        <w:rPr>
          <w:lang w:eastAsia="ja-JP"/>
        </w:rPr>
        <w:t>万円以下の罰金に処する。</w:t>
      </w:r>
    </w:p>
    <w:p w14:paraId="6B111106" w14:textId="77777777" w:rsidR="00CA23FA" w:rsidRPr="001663AE" w:rsidRDefault="00CA23FA" w:rsidP="00D87D91">
      <w:pPr>
        <w:pStyle w:val="3"/>
        <w:rPr>
          <w:lang w:eastAsia="ja-JP"/>
        </w:rPr>
      </w:pPr>
      <w:r w:rsidRPr="001663AE">
        <w:t>3</w:t>
      </w:r>
      <w:r w:rsidRPr="001663AE">
        <w:rPr>
          <w:lang w:eastAsia="ja-JP"/>
        </w:rPr>
        <w:t>、前</w:t>
      </w:r>
      <w:r w:rsidRPr="001663AE">
        <w:t>2</w:t>
      </w:r>
      <w:r w:rsidRPr="001663AE">
        <w:rPr>
          <w:lang w:eastAsia="ja-JP"/>
        </w:rPr>
        <w:t>項の未遂罪は、罰する。</w:t>
      </w:r>
    </w:p>
  </w:footnote>
  <w:footnote w:id="412">
    <w:p w14:paraId="08C71077" w14:textId="77777777" w:rsidR="00CA23FA" w:rsidRPr="001663AE" w:rsidRDefault="00CA23FA" w:rsidP="00D87D91">
      <w:pPr>
        <w:pStyle w:val="3"/>
        <w:rPr>
          <w:lang w:eastAsia="ja-JP"/>
        </w:rPr>
      </w:pPr>
      <w:r w:rsidRPr="001663AE">
        <w:rPr>
          <w:rStyle w:val="af3"/>
          <w:rFonts w:ascii="新細明體" w:hAnsi="新細明體"/>
        </w:rPr>
        <w:footnoteRef/>
      </w:r>
      <w:r w:rsidRPr="001663AE">
        <w:rPr>
          <w:lang w:eastAsia="ja-JP"/>
        </w:rPr>
        <w:t>平成</w:t>
      </w:r>
      <w:r w:rsidRPr="001663AE">
        <w:t>19</w:t>
      </w:r>
      <w:r w:rsidRPr="001663AE">
        <w:rPr>
          <w:lang w:eastAsia="ja-JP"/>
        </w:rPr>
        <w:t>年</w:t>
      </w:r>
      <w:r w:rsidRPr="001663AE">
        <w:t>(2007</w:t>
      </w:r>
      <w:r w:rsidRPr="001663AE">
        <w:rPr>
          <w:lang w:eastAsia="ja-JP"/>
        </w:rPr>
        <w:t>年</w:t>
      </w:r>
      <w:r w:rsidRPr="001663AE">
        <w:t>)1</w:t>
      </w:r>
      <w:r w:rsidRPr="001663AE">
        <w:rPr>
          <w:lang w:eastAsia="ja-JP"/>
        </w:rPr>
        <w:t>月</w:t>
      </w:r>
      <w:r w:rsidRPr="001663AE">
        <w:t>1</w:t>
      </w:r>
      <w:r w:rsidRPr="001663AE">
        <w:rPr>
          <w:lang w:eastAsia="ja-JP"/>
        </w:rPr>
        <w:t>日以降、下記の物質</w:t>
      </w:r>
      <w:r w:rsidRPr="001663AE">
        <w:t>(</w:t>
      </w:r>
      <w:r w:rsidRPr="001663AE">
        <w:rPr>
          <w:rFonts w:cs="新細明體"/>
          <w:kern w:val="0"/>
          <w:lang w:eastAsia="ja-JP"/>
        </w:rPr>
        <w:t>ケタミン</w:t>
      </w:r>
      <w:r w:rsidRPr="001663AE">
        <w:rPr>
          <w:rFonts w:cs="新細明體"/>
          <w:kern w:val="0"/>
        </w:rPr>
        <w:t>)</w:t>
      </w:r>
      <w:r w:rsidRPr="001663AE">
        <w:rPr>
          <w:lang w:eastAsia="ja-JP"/>
        </w:rPr>
        <w:t>が麻薬として規制されます。麻薬に指定されると、「麻薬及び向精神薬取締法」により、輸入、輸出、製造、製剤、小分け、譲り受け、譲り渡し、所持、施用がすべて禁止されます。上述之</w:t>
      </w:r>
      <w:r w:rsidRPr="001663AE">
        <w:rPr>
          <w:rFonts w:cs="新細明體"/>
          <w:kern w:val="0"/>
          <w:lang w:eastAsia="ja-JP"/>
        </w:rPr>
        <w:t>ケタミン，亦即為英文之</w:t>
      </w:r>
      <w:r w:rsidRPr="001663AE">
        <w:rPr>
          <w:lang w:eastAsia="ja-JP"/>
        </w:rPr>
        <w:t>Ketamine</w:t>
      </w:r>
      <w:r w:rsidRPr="001663AE">
        <w:rPr>
          <w:lang w:eastAsia="ja-JP"/>
        </w:rPr>
        <w:t>。</w:t>
      </w:r>
    </w:p>
    <w:p w14:paraId="57CF4D51" w14:textId="77777777" w:rsidR="00CA23FA" w:rsidRPr="001663AE" w:rsidRDefault="00CA23FA" w:rsidP="00D87D91">
      <w:pPr>
        <w:pStyle w:val="3"/>
        <w:rPr>
          <w:lang w:eastAsia="ja-JP"/>
        </w:rPr>
      </w:pPr>
      <w:r w:rsidRPr="001663AE">
        <w:rPr>
          <w:rFonts w:hint="eastAsia"/>
          <w:lang w:eastAsia="ja-JP"/>
        </w:rPr>
        <w:t>東京都福祉保健局，</w:t>
      </w:r>
      <w:r w:rsidRPr="001663AE">
        <w:rPr>
          <w:lang w:eastAsia="ja-JP"/>
        </w:rPr>
        <w:t xml:space="preserve">2009. </w:t>
      </w:r>
      <w:hyperlink r:id="rId155" w:history="1">
        <w:r w:rsidRPr="001663AE">
          <w:rPr>
            <w:lang w:eastAsia="ja-JP"/>
          </w:rPr>
          <w:t>http://www.fukushihoken.metro.tokyo.jp/(2011.05)</w:t>
        </w:r>
      </w:hyperlink>
      <w:r w:rsidRPr="001663AE">
        <w:rPr>
          <w:rFonts w:hint="eastAsia"/>
          <w:lang w:eastAsia="ja-JP"/>
        </w:rPr>
        <w:t>。</w:t>
      </w:r>
    </w:p>
  </w:footnote>
  <w:footnote w:id="413">
    <w:p w14:paraId="46D5FD15" w14:textId="77777777" w:rsidR="00CA23FA" w:rsidRPr="001663AE" w:rsidRDefault="00CA23FA" w:rsidP="00D87D91">
      <w:pPr>
        <w:pStyle w:val="3"/>
        <w:rPr>
          <w:lang w:eastAsia="ja-JP"/>
        </w:rPr>
      </w:pPr>
      <w:r w:rsidRPr="001663AE">
        <w:rPr>
          <w:rStyle w:val="af3"/>
          <w:rFonts w:ascii="新細明體" w:hAnsi="新細明體"/>
        </w:rPr>
        <w:footnoteRef/>
      </w:r>
      <w:r w:rsidRPr="001663AE">
        <w:rPr>
          <w:rFonts w:hint="eastAsia"/>
          <w:lang w:eastAsia="ja-JP"/>
        </w:rPr>
        <w:t>東京都福祉保健局，</w:t>
      </w:r>
      <w:r w:rsidRPr="001663AE">
        <w:rPr>
          <w:lang w:eastAsia="ja-JP"/>
        </w:rPr>
        <w:t xml:space="preserve">2009. </w:t>
      </w:r>
      <w:hyperlink r:id="rId156" w:history="1">
        <w:r w:rsidRPr="001663AE">
          <w:rPr>
            <w:lang w:eastAsia="ja-JP"/>
          </w:rPr>
          <w:t>http://www.fukushihoken.metro.tokyo.jp/(2011.05)</w:t>
        </w:r>
      </w:hyperlink>
      <w:r w:rsidRPr="001663AE">
        <w:rPr>
          <w:rFonts w:hint="eastAsia"/>
          <w:lang w:eastAsia="ja-JP"/>
        </w:rPr>
        <w:t>。</w:t>
      </w:r>
    </w:p>
  </w:footnote>
  <w:footnote w:id="414">
    <w:p w14:paraId="1A5AF49C" w14:textId="77777777" w:rsidR="00CA23FA" w:rsidRPr="001663AE" w:rsidRDefault="00CA23FA" w:rsidP="00D87D91">
      <w:pPr>
        <w:pStyle w:val="3"/>
      </w:pPr>
      <w:r w:rsidRPr="001663AE">
        <w:rPr>
          <w:rStyle w:val="af3"/>
          <w:rFonts w:ascii="新細明體" w:hAnsi="新細明體"/>
        </w:rPr>
        <w:footnoteRef/>
      </w:r>
      <w:r w:rsidRPr="001663AE">
        <w:rPr>
          <w:rFonts w:hint="eastAsia"/>
        </w:rPr>
        <w:t>柯雨瑞，</w:t>
      </w:r>
      <w:r w:rsidRPr="001663AE">
        <w:t xml:space="preserve">2006. </w:t>
      </w:r>
      <w:r w:rsidRPr="001663AE">
        <w:rPr>
          <w:rFonts w:hint="eastAsia"/>
        </w:rPr>
        <w:t>百年來台灣毒品刑事政策變遷之研究，中央警察大學犯罪防治研究所博士論文，第</w:t>
      </w:r>
      <w:r w:rsidRPr="001663AE">
        <w:t>202-550</w:t>
      </w:r>
      <w:r w:rsidRPr="001663AE">
        <w:rPr>
          <w:rFonts w:hint="eastAsia"/>
        </w:rPr>
        <w:t>頁。</w:t>
      </w:r>
    </w:p>
  </w:footnote>
  <w:footnote w:id="415">
    <w:p w14:paraId="2E66C051" w14:textId="77777777" w:rsidR="00CA23FA" w:rsidRPr="001663AE" w:rsidRDefault="00CA23FA" w:rsidP="00D87D91">
      <w:pPr>
        <w:pStyle w:val="3"/>
      </w:pPr>
      <w:r w:rsidRPr="001663AE">
        <w:rPr>
          <w:rStyle w:val="af3"/>
          <w:rFonts w:ascii="新細明體" w:hAnsi="新細明體"/>
        </w:rPr>
        <w:footnoteRef/>
      </w:r>
      <w:r w:rsidRPr="001663AE">
        <w:t xml:space="preserve"> Wikipedia, 2011. Supervised Injection Sites</w:t>
      </w:r>
      <w:r w:rsidRPr="001663AE">
        <w:rPr>
          <w:rFonts w:hint="eastAsia"/>
        </w:rPr>
        <w:t>，</w:t>
      </w:r>
      <w:hyperlink r:id="rId157" w:history="1">
        <w:r w:rsidRPr="001663AE">
          <w:t>http://en.wikipedia.org/wiki/Safe_injection_site(2011.05)</w:t>
        </w:r>
      </w:hyperlink>
      <w:r w:rsidRPr="001663AE">
        <w:t>.</w:t>
      </w:r>
    </w:p>
    <w:p w14:paraId="36ECAD62" w14:textId="77777777" w:rsidR="00CA23FA" w:rsidRPr="001663AE" w:rsidRDefault="00CA23FA" w:rsidP="00D87D91">
      <w:pPr>
        <w:pStyle w:val="3"/>
      </w:pPr>
      <w:r w:rsidRPr="001663AE">
        <w:rPr>
          <w:rFonts w:hint="eastAsia"/>
        </w:rPr>
        <w:t>李思賢、楊士隆、束連文、莊蘋、張麗玉、廖梨伶，</w:t>
      </w:r>
      <w:r w:rsidRPr="001663AE">
        <w:t xml:space="preserve">2011. </w:t>
      </w:r>
      <w:r w:rsidRPr="001663AE">
        <w:rPr>
          <w:rFonts w:hint="eastAsia"/>
        </w:rPr>
        <w:t>毒品減害措施之研究，行政院研究發展考核委員會委託研究，社團法人臺灣雀樂協會執行，第</w:t>
      </w:r>
      <w:r w:rsidRPr="001663AE">
        <w:t>50-90</w:t>
      </w:r>
      <w:r w:rsidRPr="001663AE">
        <w:rPr>
          <w:rFonts w:hint="eastAsia"/>
        </w:rPr>
        <w:t>頁。</w:t>
      </w:r>
    </w:p>
    <w:p w14:paraId="30C446CB" w14:textId="77777777" w:rsidR="00CA23FA" w:rsidRPr="001663AE" w:rsidRDefault="00CA23FA" w:rsidP="00D87D91">
      <w:pPr>
        <w:pStyle w:val="3"/>
      </w:pPr>
      <w:r w:rsidRPr="001663AE">
        <w:t xml:space="preserve">Fischer, B. </w:t>
      </w:r>
      <w:r w:rsidRPr="001663AE">
        <w:rPr>
          <w:lang w:val="de-DE"/>
        </w:rPr>
        <w:t xml:space="preserve">&amp; </w:t>
      </w:r>
      <w:r w:rsidRPr="001663AE">
        <w:t xml:space="preserve">Allard, C. 2007. </w:t>
      </w:r>
      <w:hyperlink r:id="rId158" w:tooltip="Feasibility Study on 'Supervised Drug Consumption Options' in the City of Victoria (external link)" w:history="1">
        <w:r w:rsidRPr="001663AE">
          <w:t>Feasibility Study on 'Supervised Drug Consumption Options' in the City of Victoria</w:t>
        </w:r>
      </w:hyperlink>
      <w:r w:rsidRPr="001663AE">
        <w:t>. Report delivered to the Vancouver Island Health Authority and the City of Victoria.</w:t>
      </w:r>
    </w:p>
    <w:p w14:paraId="74DCAA71" w14:textId="77777777" w:rsidR="00CA23FA" w:rsidRPr="001663AE" w:rsidRDefault="00CA23FA" w:rsidP="00D87D91">
      <w:pPr>
        <w:pStyle w:val="3"/>
      </w:pPr>
      <w:r w:rsidRPr="001663AE">
        <w:rPr>
          <w:lang w:val="nl-NL"/>
        </w:rPr>
        <w:t xml:space="preserve">Kimber, J., Dolan, K., &amp; Wodak, A. 2005. </w:t>
      </w:r>
      <w:r w:rsidRPr="001663AE">
        <w:t>Survey of drug consumption rooms: Service delivery and perceived public health and amenity impact. Drug and Alcohol Review, 24: 21-24.</w:t>
      </w:r>
    </w:p>
    <w:p w14:paraId="5083A2F1" w14:textId="77777777" w:rsidR="00CA23FA" w:rsidRPr="001663AE" w:rsidRDefault="00CA23FA" w:rsidP="00D87D91">
      <w:pPr>
        <w:pStyle w:val="3"/>
        <w:rPr>
          <w:szCs w:val="20"/>
        </w:rPr>
      </w:pPr>
      <w:r w:rsidRPr="001663AE">
        <w:rPr>
          <w:szCs w:val="20"/>
          <w:lang w:val="de-DE"/>
        </w:rPr>
        <w:t>Luan, R., Liang, B., Yuang, P.,</w:t>
      </w:r>
      <w:hyperlink r:id="rId159" w:history="1">
        <w:r w:rsidRPr="001663AE">
          <w:rPr>
            <w:szCs w:val="20"/>
            <w:lang w:val="de-DE"/>
          </w:rPr>
          <w:t xml:space="preserve"> Li, F</w:t>
        </w:r>
      </w:hyperlink>
      <w:r w:rsidRPr="001663AE">
        <w:rPr>
          <w:szCs w:val="20"/>
          <w:lang w:val="de-DE"/>
        </w:rPr>
        <w:t xml:space="preserve">., Huang, </w:t>
      </w:r>
      <w:hyperlink r:id="rId160" w:history="1">
        <w:r w:rsidRPr="001663AE">
          <w:rPr>
            <w:szCs w:val="20"/>
            <w:lang w:val="de-DE"/>
          </w:rPr>
          <w:t>Y.</w:t>
        </w:r>
      </w:hyperlink>
      <w:r w:rsidRPr="001663AE">
        <w:rPr>
          <w:szCs w:val="20"/>
          <w:lang w:val="de-DE"/>
        </w:rPr>
        <w:t xml:space="preserve">, Zeng, G., Wang, L., &amp; Wang, S. 2005. </w:t>
      </w:r>
      <w:r w:rsidRPr="001663AE">
        <w:rPr>
          <w:szCs w:val="20"/>
        </w:rPr>
        <w:t>A Study on the Capture-Recapture Method for Estimaing the Population Size of Injecting Drug Users in Southwest China, Journal of Health Science, 51(4): 405-409.</w:t>
      </w:r>
    </w:p>
    <w:p w14:paraId="650ED4FC" w14:textId="77777777" w:rsidR="00CA23FA" w:rsidRPr="001663AE" w:rsidRDefault="00CA23FA" w:rsidP="00D87D91">
      <w:pPr>
        <w:pStyle w:val="3"/>
      </w:pPr>
      <w:r w:rsidRPr="001663AE">
        <w:t>Packer, H. 1964. The Limits of Criminal Sanctions. USA :Stanford University Press.</w:t>
      </w:r>
    </w:p>
    <w:p w14:paraId="050DB4CC" w14:textId="77777777" w:rsidR="00CA23FA" w:rsidRPr="001663AE" w:rsidRDefault="00CA23FA" w:rsidP="00D87D91">
      <w:pPr>
        <w:pStyle w:val="3"/>
      </w:pPr>
      <w:r w:rsidRPr="001663AE">
        <w:t>Szasz, T. S. 1998. Drugs as Property: The Right We Rejected. in Shaler, J. A.</w:t>
      </w:r>
      <w:r>
        <w:t>(</w:t>
      </w:r>
      <w:r w:rsidRPr="001663AE">
        <w:t xml:space="preserve">Ed.), Drugs : Should We Legalize, Decriminalize, or Deregulate ? New York: Prometheus Books. pp. 181-190. </w:t>
      </w:r>
    </w:p>
    <w:p w14:paraId="79DDA323" w14:textId="77777777" w:rsidR="00CA23FA" w:rsidRPr="001663AE" w:rsidRDefault="00CA23FA" w:rsidP="00D87D91">
      <w:pPr>
        <w:pStyle w:val="3"/>
      </w:pPr>
      <w:r w:rsidRPr="001663AE">
        <w:t>Virginia, B. 1999. Opium and the People. New York: Free Association Books.</w:t>
      </w:r>
    </w:p>
    <w:p w14:paraId="46C87C49" w14:textId="77777777" w:rsidR="00CA23FA" w:rsidRPr="001663AE" w:rsidRDefault="00CA23FA" w:rsidP="00D87D91">
      <w:pPr>
        <w:pStyle w:val="3"/>
      </w:pPr>
      <w:r w:rsidRPr="001663AE">
        <w:t>Weisheit, R.(ed). 1990. Drug , Crime and the Criminal Justice System. OH, Cincinnati : Anderson Publishing Co.</w:t>
      </w:r>
    </w:p>
  </w:footnote>
  <w:footnote w:id="416">
    <w:p w14:paraId="1454DF0E" w14:textId="77777777" w:rsidR="00CA23FA" w:rsidRPr="001663AE" w:rsidRDefault="00CA23FA" w:rsidP="00D87D91">
      <w:pPr>
        <w:pStyle w:val="3"/>
      </w:pPr>
      <w:r w:rsidRPr="001663AE">
        <w:rPr>
          <w:rStyle w:val="af3"/>
          <w:rFonts w:ascii="新細明體" w:hAnsi="新細明體"/>
        </w:rPr>
        <w:footnoteRef/>
      </w:r>
      <w:r w:rsidRPr="001663AE">
        <w:rPr>
          <w:rFonts w:hint="eastAsia"/>
        </w:rPr>
        <w:t>李思賢、楊士隆、束連文、莊蘋、張麗玉、廖梨伶，</w:t>
      </w:r>
      <w:r w:rsidRPr="001663AE">
        <w:t xml:space="preserve">2011. </w:t>
      </w:r>
      <w:r w:rsidRPr="001663AE">
        <w:rPr>
          <w:rFonts w:hint="eastAsia"/>
        </w:rPr>
        <w:t>毒品減害措施之研究，行政院研究發展考核委員會委託研究，社團法人臺灣雀樂協會執行，第</w:t>
      </w:r>
      <w:r w:rsidRPr="001663AE">
        <w:t>50-90</w:t>
      </w:r>
      <w:r w:rsidRPr="001663AE">
        <w:rPr>
          <w:rFonts w:hint="eastAsia"/>
        </w:rPr>
        <w:t>頁。</w:t>
      </w:r>
    </w:p>
  </w:footnote>
  <w:footnote w:id="417">
    <w:p w14:paraId="16FDCA18" w14:textId="77777777" w:rsidR="00CA23FA" w:rsidRPr="001663AE" w:rsidRDefault="00CA23FA" w:rsidP="00D87D91">
      <w:pPr>
        <w:pStyle w:val="3"/>
      </w:pPr>
      <w:r w:rsidRPr="001663AE">
        <w:rPr>
          <w:rStyle w:val="af3"/>
          <w:rFonts w:ascii="新細明體" w:hAnsi="新細明體"/>
        </w:rPr>
        <w:footnoteRef/>
      </w:r>
      <w:r w:rsidRPr="001663AE">
        <w:rPr>
          <w:rFonts w:hint="eastAsia"/>
        </w:rPr>
        <w:t>李思賢、楊士隆、束連文、莊蘋、張麗玉、廖梨伶，</w:t>
      </w:r>
      <w:r w:rsidRPr="001663AE">
        <w:t xml:space="preserve">2011. </w:t>
      </w:r>
      <w:r w:rsidRPr="001663AE">
        <w:rPr>
          <w:rFonts w:hint="eastAsia"/>
        </w:rPr>
        <w:t>毒品減害措施之研究，行政院研究發展考核委員會委託研究，社團法人臺灣雀樂協會執行，第</w:t>
      </w:r>
      <w:r w:rsidRPr="001663AE">
        <w:t>50-90</w:t>
      </w:r>
      <w:r w:rsidRPr="001663AE">
        <w:rPr>
          <w:rFonts w:hint="eastAsia"/>
        </w:rPr>
        <w:t>頁。</w:t>
      </w:r>
    </w:p>
  </w:footnote>
  <w:footnote w:id="418">
    <w:p w14:paraId="213EC26D"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lang w:val="de-DE"/>
        </w:rPr>
        <w:t>Bayer, R., &amp; G. M. Oppenheimer</w:t>
      </w:r>
      <w:r>
        <w:rPr>
          <w:lang w:val="de-DE"/>
        </w:rPr>
        <w:t>(</w:t>
      </w:r>
      <w:r w:rsidRPr="001663AE">
        <w:rPr>
          <w:lang w:val="de-DE"/>
        </w:rPr>
        <w:t xml:space="preserve">eds.). </w:t>
      </w:r>
      <w:r w:rsidRPr="001663AE">
        <w:t>1993. Confronting Drug Policy—Illicit Drugs in a Free Society. New York : the University of Cambridge, p1-23.</w:t>
      </w:r>
    </w:p>
    <w:p w14:paraId="7FB5A2EA" w14:textId="77777777" w:rsidR="00CA23FA" w:rsidRPr="001663AE" w:rsidRDefault="00CA23FA" w:rsidP="00D87D91">
      <w:pPr>
        <w:pStyle w:val="3"/>
      </w:pPr>
      <w:r w:rsidRPr="001663AE">
        <w:t>Braithwaite, J. 1998. Restorative Justice. In M. Tonry(Ed.), The Handbook of Crime and Punishment. Oxford: Oxford University Press.</w:t>
      </w:r>
    </w:p>
    <w:p w14:paraId="7637EA9C" w14:textId="77777777" w:rsidR="00CA23FA" w:rsidRPr="001663AE" w:rsidRDefault="00CA23FA" w:rsidP="00D87D91">
      <w:pPr>
        <w:pStyle w:val="3"/>
      </w:pPr>
      <w:r w:rsidRPr="001663AE">
        <w:t>Braithwaite, J. 2002. Restorative Justice and Responsive Regulation. USA: Oxford University Press.</w:t>
      </w:r>
    </w:p>
    <w:p w14:paraId="5A304966" w14:textId="77777777" w:rsidR="00CA23FA" w:rsidRPr="001663AE" w:rsidRDefault="00CA23FA" w:rsidP="00D87D91">
      <w:pPr>
        <w:pStyle w:val="3"/>
      </w:pPr>
      <w:r w:rsidRPr="001663AE">
        <w:t>Courtwright, D. T. 1998. Should We Legalize Drugs? History Answer</w:t>
      </w:r>
      <w:r>
        <w:t>〜</w:t>
      </w:r>
      <w:r w:rsidRPr="001663AE">
        <w:t>No. in Shaler, J. A.</w:t>
      </w:r>
      <w:r>
        <w:t>(</w:t>
      </w:r>
      <w:r w:rsidRPr="001663AE">
        <w:t>Ed.), Drugs : Should We Legalize, Decriminalize, or Deregulate ? New York: Prometheus Books, pp. 83-90.</w:t>
      </w:r>
    </w:p>
    <w:p w14:paraId="097CA919" w14:textId="77777777" w:rsidR="00CA23FA" w:rsidRPr="001663AE" w:rsidRDefault="00CA23FA" w:rsidP="00D87D91">
      <w:pPr>
        <w:pStyle w:val="3"/>
      </w:pPr>
      <w:r w:rsidRPr="001663AE">
        <w:t>Eldredge, D. C. 1998. Ending the War on Drugs: a Solution for America. New York: Bridgehampton. pp 146-147.</w:t>
      </w:r>
    </w:p>
    <w:p w14:paraId="0E6FCBCC" w14:textId="77777777" w:rsidR="00CA23FA" w:rsidRPr="001663AE" w:rsidRDefault="00CA23FA" w:rsidP="00D87D91">
      <w:pPr>
        <w:pStyle w:val="3"/>
      </w:pPr>
      <w:r w:rsidRPr="001663AE">
        <w:t xml:space="preserve">Fischer, B. </w:t>
      </w:r>
      <w:r w:rsidRPr="001663AE">
        <w:rPr>
          <w:lang w:val="de-DE"/>
        </w:rPr>
        <w:t xml:space="preserve">&amp; </w:t>
      </w:r>
      <w:r w:rsidRPr="001663AE">
        <w:t xml:space="preserve">Allard, C. 2007. </w:t>
      </w:r>
      <w:hyperlink r:id="rId161" w:tooltip="Feasibility Study on 'Supervised Drug Consumption Options' in the City of Victoria (external link)" w:history="1">
        <w:r w:rsidRPr="001663AE">
          <w:t>Feasibility Study on 'Supervised Drug Consumption Options' in the City of Victoria</w:t>
        </w:r>
      </w:hyperlink>
      <w:r w:rsidRPr="001663AE">
        <w:t xml:space="preserve">. Report delivered to the Vancouver Island Health Authority and the City of Victoria. </w:t>
      </w:r>
    </w:p>
    <w:p w14:paraId="71EA0EEC" w14:textId="77777777" w:rsidR="00CA23FA" w:rsidRPr="001663AE" w:rsidRDefault="00CA23FA" w:rsidP="00D87D91">
      <w:pPr>
        <w:pStyle w:val="3"/>
      </w:pPr>
      <w:r w:rsidRPr="001663AE">
        <w:rPr>
          <w:lang w:val="de-DE"/>
        </w:rPr>
        <w:t xml:space="preserve">Friedman, M., &amp; Szasz, T. S. 1992. </w:t>
      </w:r>
      <w:r w:rsidRPr="001663AE">
        <w:t xml:space="preserve">On Liberty and Drugs. Washington : the Drug Policy Foundation Press. pp 45-47. </w:t>
      </w:r>
    </w:p>
    <w:p w14:paraId="3B4B6E51" w14:textId="77777777" w:rsidR="00CA23FA" w:rsidRPr="001663AE" w:rsidRDefault="00CA23FA" w:rsidP="00D87D91">
      <w:pPr>
        <w:pStyle w:val="3"/>
      </w:pPr>
      <w:r w:rsidRPr="001663AE">
        <w:t xml:space="preserve">Health Canada. 2008. </w:t>
      </w:r>
      <w:hyperlink r:id="rId162" w:anchor="insite" w:history="1">
        <w:r w:rsidRPr="001663AE">
          <w:t>Final Report of the Vancouver Insite Expert Advisory Committee</w:t>
        </w:r>
      </w:hyperlink>
      <w:r w:rsidRPr="001663AE">
        <w:t xml:space="preserve">. </w:t>
      </w:r>
    </w:p>
    <w:p w14:paraId="57D3F98F" w14:textId="77777777" w:rsidR="00CA23FA" w:rsidRPr="001663AE" w:rsidRDefault="00CA23FA" w:rsidP="00D87D91">
      <w:pPr>
        <w:pStyle w:val="3"/>
      </w:pPr>
      <w:r w:rsidRPr="001663AE">
        <w:t>Inciardi, J. A. 1992. The War on Drugs II: The Continuing Epic of Heroin, Cocaine, Crack, Crime, AIDS, and Public Policy. Mountain View, CA: Mayfield.</w:t>
      </w:r>
    </w:p>
    <w:p w14:paraId="7A19BE82" w14:textId="77777777" w:rsidR="00CA23FA" w:rsidRPr="001663AE" w:rsidRDefault="00CA23FA" w:rsidP="00D87D91">
      <w:pPr>
        <w:pStyle w:val="3"/>
      </w:pPr>
      <w:r w:rsidRPr="001663AE">
        <w:t>Inciardi, J. A. 1999. The Drug Legalization Debate</w:t>
      </w:r>
      <w:r>
        <w:t>(</w:t>
      </w:r>
      <w:r w:rsidRPr="001663AE">
        <w:t>Second Ed.). California : Sage Publication Inc.</w:t>
      </w:r>
    </w:p>
    <w:p w14:paraId="48AE8014" w14:textId="77777777" w:rsidR="00CA23FA" w:rsidRPr="001663AE" w:rsidRDefault="00CA23FA" w:rsidP="00D87D91">
      <w:pPr>
        <w:pStyle w:val="3"/>
      </w:pPr>
      <w:r w:rsidRPr="001663AE">
        <w:t>Independent Working Group . 2006. The Report of the Independent Working Group on Drug Consumption Rooms. United Kingdom: Joseph Rowntree Foundation.</w:t>
      </w:r>
    </w:p>
    <w:p w14:paraId="69746D09" w14:textId="77777777" w:rsidR="00CA23FA" w:rsidRPr="001663AE" w:rsidRDefault="00CA23FA" w:rsidP="00D87D91">
      <w:pPr>
        <w:pStyle w:val="3"/>
      </w:pPr>
      <w:r w:rsidRPr="001663AE">
        <w:rPr>
          <w:lang w:val="nl-NL"/>
        </w:rPr>
        <w:t xml:space="preserve">Kimber, J., Dolan, K., &amp; Wodak, A. 2005. </w:t>
      </w:r>
      <w:r w:rsidRPr="001663AE">
        <w:t>Survey of drug consumption rooms: Service delivery and perceived public health and amenity impact. Drug and Alcohol Review, 24: 21-24.</w:t>
      </w:r>
    </w:p>
    <w:p w14:paraId="3287D015" w14:textId="77777777" w:rsidR="00CA23FA" w:rsidRPr="001663AE" w:rsidRDefault="00CA23FA" w:rsidP="00D87D91">
      <w:pPr>
        <w:pStyle w:val="3"/>
      </w:pPr>
      <w:r w:rsidRPr="001663AE">
        <w:rPr>
          <w:lang w:val="de-DE"/>
        </w:rPr>
        <w:t>Luan, R., Liang, B., Yuang, P.,</w:t>
      </w:r>
      <w:hyperlink r:id="rId163" w:history="1">
        <w:r w:rsidRPr="001663AE">
          <w:rPr>
            <w:lang w:val="de-DE"/>
          </w:rPr>
          <w:t xml:space="preserve"> Li, F</w:t>
        </w:r>
      </w:hyperlink>
      <w:r w:rsidRPr="001663AE">
        <w:rPr>
          <w:lang w:val="de-DE"/>
        </w:rPr>
        <w:t xml:space="preserve">., Huang, </w:t>
      </w:r>
      <w:hyperlink r:id="rId164" w:history="1">
        <w:r w:rsidRPr="001663AE">
          <w:rPr>
            <w:lang w:val="de-DE"/>
          </w:rPr>
          <w:t>Y.</w:t>
        </w:r>
      </w:hyperlink>
      <w:r w:rsidRPr="001663AE">
        <w:rPr>
          <w:lang w:val="de-DE"/>
        </w:rPr>
        <w:t xml:space="preserve">, Zeng, G., Wang, L., &amp; Wang, S. 2005. </w:t>
      </w:r>
      <w:r w:rsidRPr="001663AE">
        <w:t>A Study on the Capture-Recapture Method for Estimaing the Population Size of Injecting Drug Users in Southwest China, Journal of Health Science, 51(4): 405-409.</w:t>
      </w:r>
    </w:p>
    <w:p w14:paraId="1F4678FE" w14:textId="77777777" w:rsidR="00CA23FA" w:rsidRPr="001663AE" w:rsidRDefault="00CA23FA" w:rsidP="00D87D91">
      <w:pPr>
        <w:pStyle w:val="3"/>
      </w:pPr>
      <w:r w:rsidRPr="001663AE">
        <w:t>Packer, H. 1964. The Limits of Criminal Sanctions. USA :Stanford University Press.</w:t>
      </w:r>
    </w:p>
    <w:p w14:paraId="6D9C6710" w14:textId="77777777" w:rsidR="00CA23FA" w:rsidRPr="001663AE" w:rsidRDefault="00CA23FA" w:rsidP="00D87D91">
      <w:pPr>
        <w:pStyle w:val="3"/>
      </w:pPr>
      <w:r w:rsidRPr="001663AE">
        <w:t>Szasz, T. S. 1998. Drugs as Property: The Right We Rejected. in Shaler, J. A.</w:t>
      </w:r>
      <w:r>
        <w:t>(</w:t>
      </w:r>
      <w:r w:rsidRPr="001663AE">
        <w:t xml:space="preserve">Ed.), Drugs : Should We Legalize, Decriminalize, or Deregulate ? New York: Prometheus Books. pp. 181-190. </w:t>
      </w:r>
    </w:p>
    <w:p w14:paraId="242AB2E5" w14:textId="77777777" w:rsidR="00CA23FA" w:rsidRPr="001663AE" w:rsidRDefault="00CA23FA" w:rsidP="00D87D91">
      <w:pPr>
        <w:pStyle w:val="3"/>
      </w:pPr>
      <w:r w:rsidRPr="001663AE">
        <w:t>Virginia, B. 1999. Opium and the People. New York: Free Association Books.</w:t>
      </w:r>
    </w:p>
    <w:p w14:paraId="151DCC31" w14:textId="77777777" w:rsidR="00CA23FA" w:rsidRPr="001663AE" w:rsidRDefault="00CA23FA" w:rsidP="00D87D91">
      <w:pPr>
        <w:pStyle w:val="3"/>
      </w:pPr>
      <w:r w:rsidRPr="001663AE">
        <w:t>Weisheit, R.(ed). 1990. Drug , Crime and the Criminal Justice System. OH, Cincinnati : Anderson Publishing Co.</w:t>
      </w:r>
    </w:p>
    <w:p w14:paraId="332F34D7" w14:textId="77777777" w:rsidR="00CA23FA" w:rsidRPr="001663AE" w:rsidRDefault="00CA23FA" w:rsidP="00D87D91">
      <w:pPr>
        <w:pStyle w:val="3"/>
      </w:pPr>
      <w:r w:rsidRPr="001663AE">
        <w:t>WHO., UNODC., UNAIDS. 2004. Substitution maintenance therapy in the management of opioid dependency and HIV/AIDS prevention. Geneva: WHO.</w:t>
      </w:r>
    </w:p>
  </w:footnote>
  <w:footnote w:id="419">
    <w:p w14:paraId="350AE90F" w14:textId="77777777" w:rsidR="00CA23FA" w:rsidRPr="001663AE" w:rsidRDefault="00CA23FA" w:rsidP="00D87D91">
      <w:pPr>
        <w:pStyle w:val="3"/>
        <w:rPr>
          <w:rFonts w:ascii="新細明體" w:hAnsi="新細明體"/>
        </w:rPr>
      </w:pPr>
      <w:r w:rsidRPr="001663AE">
        <w:rPr>
          <w:rStyle w:val="af3"/>
          <w:rFonts w:ascii="新細明體" w:hAnsi="新細明體"/>
        </w:rPr>
        <w:footnoteRef/>
      </w:r>
      <w:r w:rsidRPr="001663AE">
        <w:rPr>
          <w:rFonts w:ascii="新細明體" w:hAnsi="新細明體"/>
        </w:rPr>
        <w:t xml:space="preserve"> Health Canada. 2008. </w:t>
      </w:r>
      <w:hyperlink r:id="rId165" w:anchor="insite" w:history="1">
        <w:r w:rsidRPr="001663AE">
          <w:rPr>
            <w:rFonts w:ascii="新細明體" w:hAnsi="新細明體"/>
          </w:rPr>
          <w:t>Final Report of the Vancouver Insite Expert Advisory Committee</w:t>
        </w:r>
      </w:hyperlink>
      <w:r w:rsidRPr="001663AE">
        <w:rPr>
          <w:rFonts w:ascii="新細明體" w:hAnsi="新細明體"/>
        </w:rPr>
        <w:t>.</w:t>
      </w:r>
    </w:p>
  </w:footnote>
  <w:footnote w:id="420">
    <w:p w14:paraId="7E9BACD4" w14:textId="77777777" w:rsidR="00CA23FA" w:rsidRPr="001663AE" w:rsidRDefault="00CA23FA" w:rsidP="00D87D91">
      <w:pPr>
        <w:pStyle w:val="3"/>
      </w:pPr>
      <w:r w:rsidRPr="001663AE">
        <w:rPr>
          <w:rStyle w:val="af3"/>
          <w:rFonts w:ascii="新細明體" w:hAnsi="新細明體"/>
        </w:rPr>
        <w:footnoteRef/>
      </w:r>
      <w:r w:rsidRPr="001663AE">
        <w:rPr>
          <w:rFonts w:hint="eastAsia"/>
        </w:rPr>
        <w:t>光緒</w:t>
      </w:r>
      <w:r w:rsidRPr="001663AE">
        <w:t>19</w:t>
      </w:r>
      <w:r w:rsidRPr="001663AE">
        <w:rPr>
          <w:rFonts w:hint="eastAsia"/>
        </w:rPr>
        <w:t>年（</w:t>
      </w:r>
      <w:r w:rsidRPr="001663AE">
        <w:t>1893</w:t>
      </w:r>
      <w:r w:rsidRPr="001663AE">
        <w:rPr>
          <w:rFonts w:hint="eastAsia"/>
        </w:rPr>
        <w:t>年），胡傳氏任台東直隸州知州之任內，當胡傳氏初就任之際，晚清駐台東官兵似是軍紀不振，吸食鴉片者甚多，情況相當嚴重。根據台東縣政府全球資訊網上之資料，胡傳氏發現在台東全州總共約</w:t>
      </w:r>
      <w:r w:rsidRPr="001663AE">
        <w:t>2000</w:t>
      </w:r>
      <w:r w:rsidRPr="001663AE">
        <w:rPr>
          <w:rFonts w:hint="eastAsia"/>
        </w:rPr>
        <w:t>餘名官兵中，不吸食鴉片者約僅百人，台東直隸州官兵吸食鴉片盛行率近約</w:t>
      </w:r>
      <w:r w:rsidRPr="001663AE">
        <w:t>95%</w:t>
      </w:r>
      <w:r w:rsidRPr="001663AE">
        <w:rPr>
          <w:rFonts w:hint="eastAsia"/>
        </w:rPr>
        <w:t>。亦即，於</w:t>
      </w:r>
      <w:r w:rsidRPr="001663AE">
        <w:t>100</w:t>
      </w:r>
      <w:r w:rsidRPr="001663AE">
        <w:rPr>
          <w:rFonts w:hint="eastAsia"/>
        </w:rPr>
        <w:t>位官兵之中，約有</w:t>
      </w:r>
      <w:r w:rsidRPr="001663AE">
        <w:t>95</w:t>
      </w:r>
      <w:r w:rsidRPr="001663AE">
        <w:rPr>
          <w:rFonts w:hint="eastAsia"/>
        </w:rPr>
        <w:t>位駐台官兵有吸食鴉片之習慣，可見當時晚清駐台東官兵嗜煙之嚴重性。</w:t>
      </w:r>
    </w:p>
  </w:footnote>
  <w:footnote w:id="421">
    <w:p w14:paraId="35422CB0" w14:textId="77777777" w:rsidR="00CA23FA" w:rsidRPr="001663AE" w:rsidRDefault="00CA23FA" w:rsidP="00D87D91">
      <w:pPr>
        <w:pStyle w:val="3"/>
      </w:pPr>
      <w:r w:rsidRPr="001663AE">
        <w:rPr>
          <w:rStyle w:val="af3"/>
          <w:rFonts w:ascii="新細明體" w:hAnsi="新細明體"/>
        </w:rPr>
        <w:footnoteRef/>
      </w:r>
      <w:r w:rsidRPr="001663AE">
        <w:rPr>
          <w:rFonts w:hint="eastAsia"/>
        </w:rPr>
        <w:t>另外，依最高法院</w:t>
      </w:r>
      <w:r w:rsidRPr="001663AE">
        <w:t> 101</w:t>
      </w:r>
      <w:r w:rsidRPr="001663AE">
        <w:rPr>
          <w:rFonts w:hint="eastAsia"/>
        </w:rPr>
        <w:t>年台非字第</w:t>
      </w:r>
      <w:r w:rsidRPr="001663AE">
        <w:t>259</w:t>
      </w:r>
      <w:r w:rsidRPr="001663AE">
        <w:rPr>
          <w:rFonts w:hint="eastAsia"/>
        </w:rPr>
        <w:t>號之刑事判決文，倘被告於「五年內」已再犯，經依法追訴處罰，縱其第三次或第三次以上再度施用毒品之時間，在初犯經觀察、勒戒或強制戒治執行完畢釋放五年以後，已不合於五年後再犯之規定，且因已於五年內再犯，顯見其再犯率甚高，原實施觀察、勒戒或強制戒治已無法收其實效，即應依該條例</w:t>
      </w:r>
      <w:r>
        <w:rPr>
          <w:rFonts w:hint="eastAsia"/>
        </w:rPr>
        <w:t>第</w:t>
      </w:r>
      <w:r w:rsidRPr="001663AE">
        <w:t xml:space="preserve">10 </w:t>
      </w:r>
      <w:r w:rsidRPr="001663AE">
        <w:rPr>
          <w:rFonts w:hint="eastAsia"/>
        </w:rPr>
        <w:t>條規定處罰。以上，請參閱：建律法律事務所</w:t>
      </w:r>
      <w:r w:rsidRPr="001663AE">
        <w:t>(2012)</w:t>
      </w:r>
      <w:r w:rsidRPr="001663AE">
        <w:rPr>
          <w:rFonts w:hint="eastAsia"/>
        </w:rPr>
        <w:t>，毒品危害防制條例</w:t>
      </w:r>
      <w:r>
        <w:rPr>
          <w:rFonts w:hint="eastAsia"/>
        </w:rPr>
        <w:t>第</w:t>
      </w:r>
      <w:r w:rsidRPr="001663AE">
        <w:t xml:space="preserve">20 </w:t>
      </w:r>
      <w:r w:rsidRPr="001663AE">
        <w:rPr>
          <w:rFonts w:hint="eastAsia"/>
        </w:rPr>
        <w:t>條、第</w:t>
      </w:r>
      <w:r w:rsidRPr="001663AE">
        <w:t>23</w:t>
      </w:r>
      <w:r w:rsidRPr="001663AE">
        <w:rPr>
          <w:rFonts w:hint="eastAsia"/>
        </w:rPr>
        <w:t>條，</w:t>
      </w:r>
      <w:hyperlink r:id="rId166" w:history="1">
        <w:r w:rsidRPr="001663AE">
          <w:rPr>
            <w:rStyle w:val="a5"/>
          </w:rPr>
          <w:t>http://jianlyu.blogspot.com/2012/12/20-23-20-23.html</w:t>
        </w:r>
      </w:hyperlink>
      <w:r w:rsidRPr="001663AE">
        <w:rPr>
          <w:rFonts w:hint="eastAsia"/>
        </w:rPr>
        <w:t>。</w:t>
      </w:r>
    </w:p>
  </w:footnote>
  <w:footnote w:id="422">
    <w:p w14:paraId="46B93687"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實務運作方面，有些監獄對於</w:t>
      </w:r>
      <w:r w:rsidRPr="001663AE">
        <w:t>5</w:t>
      </w:r>
      <w:r w:rsidRPr="001663AE">
        <w:rPr>
          <w:rFonts w:hint="eastAsia"/>
        </w:rPr>
        <w:t>年內再犯毒品罪之毒品犯，於接受徒刑之執行時，則有實施內觀禪修法，利用內觀、禪修、打坐之方式戒治毒品犯。此部分，感謝前宜蘭監獄調查科張智雄科長惠予提供相關之資料。</w:t>
      </w:r>
    </w:p>
  </w:footnote>
  <w:footnote w:id="423">
    <w:p w14:paraId="4A6DA3AC" w14:textId="77777777" w:rsidR="00CA23FA" w:rsidRPr="001663AE" w:rsidRDefault="00CA23FA" w:rsidP="00D87D91">
      <w:pPr>
        <w:pStyle w:val="3"/>
      </w:pPr>
      <w:r w:rsidRPr="001663AE">
        <w:rPr>
          <w:rStyle w:val="af3"/>
          <w:rFonts w:ascii="新細明體" w:hAnsi="新細明體"/>
        </w:rPr>
        <w:footnoteRef/>
      </w:r>
      <w:r w:rsidRPr="001663AE">
        <w:t xml:space="preserve"> WHO., UNODC., UNAIDS. 2004. Substitution maintenance therapy in the management of opioid dependency and HIV/AIDS prevention. Geneva: WHO.</w:t>
      </w:r>
    </w:p>
  </w:footnote>
  <w:footnote w:id="424">
    <w:p w14:paraId="6B2CD406" w14:textId="77777777" w:rsidR="00CA23FA" w:rsidRPr="001663AE" w:rsidRDefault="00CA23FA" w:rsidP="00D87D91">
      <w:pPr>
        <w:pStyle w:val="3"/>
      </w:pPr>
      <w:r w:rsidRPr="001663AE">
        <w:rPr>
          <w:rStyle w:val="af3"/>
          <w:rFonts w:ascii="新細明體" w:hAnsi="新細明體"/>
        </w:rPr>
        <w:footnoteRef/>
      </w:r>
      <w:r w:rsidRPr="001663AE">
        <w:t xml:space="preserve"> The U.S. State Department(2011), Trafficking in Persons Report 2011, </w:t>
      </w:r>
      <w:hyperlink r:id="rId167" w:history="1">
        <w:r w:rsidRPr="001663AE">
          <w:rPr>
            <w:rStyle w:val="a5"/>
          </w:rPr>
          <w:t>http://www.state.gov/g/tip/rls/tiprpt/2011/(2011/12/20)</w:t>
        </w:r>
      </w:hyperlink>
      <w:r w:rsidRPr="001663AE">
        <w:t>.</w:t>
      </w:r>
    </w:p>
  </w:footnote>
  <w:footnote w:id="425">
    <w:p w14:paraId="31CEE284" w14:textId="77777777" w:rsidR="00CA23FA" w:rsidRPr="001663AE" w:rsidRDefault="00CA23FA" w:rsidP="00B612C2">
      <w:pPr>
        <w:pStyle w:val="3"/>
        <w:jc w:val="left"/>
      </w:pPr>
      <w:r w:rsidRPr="001663AE">
        <w:rPr>
          <w:rStyle w:val="af3"/>
          <w:rFonts w:ascii="新細明體" w:hAnsi="新細明體"/>
        </w:rPr>
        <w:footnoteRef/>
      </w:r>
      <w:r w:rsidRPr="001663AE">
        <w:t xml:space="preserve"> The U.S. State Department(2011), Trafficking in Persons Report 2011, </w:t>
      </w:r>
      <w:hyperlink r:id="rId168" w:history="1">
        <w:r w:rsidRPr="001663AE">
          <w:rPr>
            <w:rStyle w:val="a5"/>
          </w:rPr>
          <w:t>http://www.state.gov/g/tip/rls/tiprpt/2011/(2011/12/20)</w:t>
        </w:r>
      </w:hyperlink>
      <w:r w:rsidRPr="001663AE">
        <w:t>.</w:t>
      </w:r>
    </w:p>
  </w:footnote>
  <w:footnote w:id="426">
    <w:p w14:paraId="68D4B100" w14:textId="77777777" w:rsidR="00CA23FA" w:rsidRPr="001663AE" w:rsidRDefault="00CA23FA" w:rsidP="00B612C2">
      <w:pPr>
        <w:pStyle w:val="3"/>
        <w:jc w:val="left"/>
      </w:pPr>
      <w:r w:rsidRPr="001663AE">
        <w:rPr>
          <w:rStyle w:val="af3"/>
          <w:rFonts w:ascii="新細明體" w:hAnsi="新細明體"/>
        </w:rPr>
        <w:footnoteRef/>
      </w:r>
      <w:r w:rsidRPr="001663AE">
        <w:t xml:space="preserve"> Ibid .</w:t>
      </w:r>
    </w:p>
  </w:footnote>
  <w:footnote w:id="427">
    <w:p w14:paraId="42973F0B" w14:textId="77777777" w:rsidR="00CA23FA" w:rsidRPr="001663AE" w:rsidRDefault="00CA23FA" w:rsidP="00B612C2">
      <w:pPr>
        <w:pStyle w:val="3"/>
        <w:jc w:val="left"/>
      </w:pPr>
      <w:r w:rsidRPr="001663AE">
        <w:rPr>
          <w:rStyle w:val="af3"/>
          <w:rFonts w:ascii="新細明體" w:hAnsi="新細明體"/>
        </w:rPr>
        <w:footnoteRef/>
      </w:r>
      <w:r w:rsidRPr="001663AE">
        <w:t xml:space="preserve"> Ibid . </w:t>
      </w:r>
    </w:p>
  </w:footnote>
  <w:footnote w:id="428">
    <w:p w14:paraId="3F5A4E01" w14:textId="77777777" w:rsidR="00CA23FA" w:rsidRPr="001663AE" w:rsidRDefault="00CA23FA" w:rsidP="00B612C2">
      <w:pPr>
        <w:pStyle w:val="3"/>
        <w:jc w:val="left"/>
      </w:pPr>
      <w:r w:rsidRPr="001663AE">
        <w:rPr>
          <w:rStyle w:val="af3"/>
          <w:rFonts w:ascii="新細明體" w:hAnsi="新細明體"/>
          <w:szCs w:val="20"/>
        </w:rPr>
        <w:footnoteRef/>
      </w:r>
      <w:r w:rsidRPr="001663AE">
        <w:t xml:space="preserve"> </w:t>
      </w:r>
      <w:r w:rsidRPr="001663AE">
        <w:rPr>
          <w:rFonts w:hint="eastAsia"/>
        </w:rPr>
        <w:t>有關於家事外勞相關權益之保障，尚可參閱以下之文獻：</w:t>
      </w:r>
    </w:p>
    <w:p w14:paraId="066F615F" w14:textId="77777777" w:rsidR="00CA23FA" w:rsidRPr="001663AE" w:rsidRDefault="00CA23FA" w:rsidP="00B612C2">
      <w:pPr>
        <w:pStyle w:val="3"/>
        <w:jc w:val="left"/>
      </w:pPr>
      <w:r w:rsidRPr="001663AE">
        <w:rPr>
          <w:rFonts w:hint="eastAsia"/>
        </w:rPr>
        <w:t>鄭津津</w:t>
      </w:r>
      <w:r w:rsidRPr="001663AE">
        <w:t>(2008)</w:t>
      </w:r>
      <w:r w:rsidRPr="001663AE">
        <w:rPr>
          <w:rFonts w:hint="eastAsia"/>
        </w:rPr>
        <w:t>，我國外籍勞工人權保障問題之研究，月旦法學，第</w:t>
      </w:r>
      <w:r w:rsidRPr="001663AE">
        <w:t>161</w:t>
      </w:r>
      <w:r w:rsidRPr="001663AE">
        <w:rPr>
          <w:rFonts w:hint="eastAsia"/>
        </w:rPr>
        <w:t>期，頁</w:t>
      </w:r>
      <w:r w:rsidRPr="001663AE">
        <w:t>67-82</w:t>
      </w:r>
      <w:r w:rsidRPr="001663AE">
        <w:rPr>
          <w:rFonts w:hint="eastAsia"/>
        </w:rPr>
        <w:t>。</w:t>
      </w:r>
      <w:r w:rsidRPr="001663AE">
        <w:t xml:space="preserve"> </w:t>
      </w:r>
    </w:p>
    <w:p w14:paraId="79F7274A" w14:textId="77777777" w:rsidR="00CA23FA" w:rsidRPr="001663AE" w:rsidRDefault="00CA23FA" w:rsidP="00B612C2">
      <w:pPr>
        <w:pStyle w:val="3"/>
        <w:jc w:val="left"/>
      </w:pPr>
      <w:r w:rsidRPr="001663AE">
        <w:rPr>
          <w:rFonts w:hint="eastAsia"/>
        </w:rPr>
        <w:t>劉家綾</w:t>
      </w:r>
      <w:r w:rsidRPr="001663AE">
        <w:t>(2007)</w:t>
      </w:r>
      <w:r w:rsidRPr="001663AE">
        <w:rPr>
          <w:rFonts w:hint="eastAsia"/>
        </w:rPr>
        <w:t>，外籍勞工在我國憲法上應享有的人權，就業安全，第</w:t>
      </w:r>
      <w:r w:rsidRPr="001663AE">
        <w:t>6</w:t>
      </w:r>
      <w:r w:rsidRPr="001663AE">
        <w:rPr>
          <w:rFonts w:hint="eastAsia"/>
        </w:rPr>
        <w:t>卷第</w:t>
      </w:r>
      <w:r w:rsidRPr="001663AE">
        <w:t>1</w:t>
      </w:r>
      <w:r w:rsidRPr="001663AE">
        <w:rPr>
          <w:rFonts w:hint="eastAsia"/>
        </w:rPr>
        <w:t>期，頁</w:t>
      </w:r>
      <w:r w:rsidRPr="001663AE">
        <w:t>105-115</w:t>
      </w:r>
      <w:r w:rsidRPr="001663AE">
        <w:rPr>
          <w:rFonts w:hint="eastAsia"/>
        </w:rPr>
        <w:t>。</w:t>
      </w:r>
    </w:p>
    <w:p w14:paraId="19AB416A" w14:textId="77777777" w:rsidR="00CA23FA" w:rsidRPr="001663AE" w:rsidRDefault="00CA23FA" w:rsidP="00B612C2">
      <w:pPr>
        <w:pStyle w:val="3"/>
        <w:jc w:val="left"/>
      </w:pPr>
      <w:r w:rsidRPr="001663AE">
        <w:rPr>
          <w:rFonts w:hint="eastAsia"/>
        </w:rPr>
        <w:t>焦興鎧</w:t>
      </w:r>
      <w:r w:rsidRPr="001663AE">
        <w:t>(2005)</w:t>
      </w:r>
      <w:r w:rsidRPr="001663AE">
        <w:rPr>
          <w:rFonts w:hint="eastAsia"/>
        </w:rPr>
        <w:t>，保障外籍家事工作者勞動權益國際基準之研究，經社法制論叢，第</w:t>
      </w:r>
      <w:r w:rsidRPr="001663AE">
        <w:t>35</w:t>
      </w:r>
      <w:r w:rsidRPr="001663AE">
        <w:rPr>
          <w:rFonts w:hint="eastAsia"/>
        </w:rPr>
        <w:t>期，頁</w:t>
      </w:r>
      <w:r w:rsidRPr="001663AE">
        <w:t>147-180</w:t>
      </w:r>
      <w:r w:rsidRPr="001663AE">
        <w:rPr>
          <w:rFonts w:hint="eastAsia"/>
        </w:rPr>
        <w:t>。</w:t>
      </w:r>
    </w:p>
    <w:p w14:paraId="59F938FA" w14:textId="77777777" w:rsidR="00CA23FA" w:rsidRPr="001663AE" w:rsidRDefault="00CA23FA" w:rsidP="00B612C2">
      <w:pPr>
        <w:pStyle w:val="3"/>
        <w:jc w:val="left"/>
      </w:pPr>
      <w:r w:rsidRPr="001663AE">
        <w:rPr>
          <w:rFonts w:hint="eastAsia"/>
        </w:rPr>
        <w:t>蘇麗嬌</w:t>
      </w:r>
      <w:r w:rsidRPr="001663AE">
        <w:t>(2000)</w:t>
      </w:r>
      <w:r w:rsidRPr="001663AE">
        <w:rPr>
          <w:rFonts w:hint="eastAsia"/>
        </w:rPr>
        <w:t>，在台外國人工作及其相關權利之研究，中央警察大學行政警察研究所碩士論文，頁</w:t>
      </w:r>
      <w:r w:rsidRPr="001663AE">
        <w:t>103-107</w:t>
      </w:r>
      <w:r w:rsidRPr="001663AE">
        <w:rPr>
          <w:rFonts w:hint="eastAsia"/>
        </w:rPr>
        <w:t>。</w:t>
      </w:r>
    </w:p>
  </w:footnote>
  <w:footnote w:id="429">
    <w:p w14:paraId="490BB4DF" w14:textId="77777777" w:rsidR="00CA23FA" w:rsidRPr="001663AE" w:rsidRDefault="00CA23FA" w:rsidP="00B612C2">
      <w:pPr>
        <w:pStyle w:val="3"/>
        <w:jc w:val="left"/>
      </w:pPr>
      <w:r w:rsidRPr="001663AE">
        <w:rPr>
          <w:rStyle w:val="af3"/>
          <w:rFonts w:ascii="新細明體" w:hAnsi="新細明體"/>
        </w:rPr>
        <w:footnoteRef/>
      </w:r>
      <w:r w:rsidRPr="001663AE">
        <w:t xml:space="preserve"> The U.S. State Department(2011), Trafficking in Persons Report 2011, op.cit.</w:t>
      </w:r>
    </w:p>
  </w:footnote>
  <w:footnote w:id="430">
    <w:p w14:paraId="6126B7FC" w14:textId="77777777"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Select Nannies Inc(2011), Federal Changes to LCP(Live-in Caregiver Program)</w:t>
      </w:r>
      <w:r w:rsidRPr="00B612C2">
        <w:rPr>
          <w:szCs w:val="18"/>
        </w:rPr>
        <w:t>〜</w:t>
      </w:r>
      <w:r w:rsidRPr="00B612C2">
        <w:rPr>
          <w:szCs w:val="18"/>
        </w:rPr>
        <w:t xml:space="preserve">applies to all employers in Canada, </w:t>
      </w:r>
      <w:hyperlink r:id="rId169" w:history="1">
        <w:r w:rsidRPr="00B612C2">
          <w:rPr>
            <w:rStyle w:val="a5"/>
            <w:sz w:val="18"/>
            <w:szCs w:val="18"/>
          </w:rPr>
          <w:t>http://www.hrsdc.gc.ca/eng/workplaceskills/foreign_workers/communications/lcpnewchanges.shtml(2011/09/03)</w:t>
        </w:r>
      </w:hyperlink>
      <w:r w:rsidRPr="00B612C2">
        <w:rPr>
          <w:szCs w:val="18"/>
        </w:rPr>
        <w:t>.</w:t>
      </w:r>
    </w:p>
    <w:p w14:paraId="256D2ABF" w14:textId="77777777" w:rsidR="00CA23FA" w:rsidRPr="00B612C2" w:rsidRDefault="00CA23FA" w:rsidP="00B612C2">
      <w:pPr>
        <w:pStyle w:val="3"/>
        <w:jc w:val="left"/>
        <w:rPr>
          <w:szCs w:val="18"/>
        </w:rPr>
      </w:pPr>
      <w:r w:rsidRPr="00B612C2">
        <w:rPr>
          <w:szCs w:val="18"/>
        </w:rPr>
        <w:t>Select Nannies Inc.(2011), Caregiver Program</w:t>
      </w:r>
      <w:r w:rsidRPr="00B612C2">
        <w:rPr>
          <w:szCs w:val="18"/>
        </w:rPr>
        <w:t>〜</w:t>
      </w:r>
      <w:r w:rsidRPr="00B612C2">
        <w:rPr>
          <w:szCs w:val="18"/>
        </w:rPr>
        <w:t xml:space="preserve">introduction and overview, </w:t>
      </w:r>
      <w:hyperlink r:id="rId170" w:history="1">
        <w:r w:rsidRPr="00B612C2">
          <w:rPr>
            <w:rStyle w:val="a5"/>
            <w:sz w:val="18"/>
            <w:szCs w:val="18"/>
          </w:rPr>
          <w:t>http://www.selectnannies.ca/03_caregiver/index.cfm(2011/09/10)</w:t>
        </w:r>
      </w:hyperlink>
      <w:r w:rsidRPr="00B612C2">
        <w:rPr>
          <w:szCs w:val="18"/>
        </w:rPr>
        <w:t>.</w:t>
      </w:r>
    </w:p>
  </w:footnote>
  <w:footnote w:id="431">
    <w:p w14:paraId="680D9FF3" w14:textId="77777777"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w:t>
      </w:r>
      <w:r w:rsidRPr="00B612C2">
        <w:rPr>
          <w:rFonts w:hint="eastAsia"/>
          <w:szCs w:val="18"/>
        </w:rPr>
        <w:t>此舉，最主要之目的，欲防制外籍家事勞工被無理收取</w:t>
      </w:r>
      <w:r w:rsidRPr="00B612C2">
        <w:rPr>
          <w:szCs w:val="18"/>
        </w:rPr>
        <w:t>2</w:t>
      </w:r>
      <w:r w:rsidRPr="00B612C2">
        <w:rPr>
          <w:rFonts w:hint="eastAsia"/>
          <w:szCs w:val="18"/>
        </w:rPr>
        <w:t>次費用。</w:t>
      </w:r>
    </w:p>
  </w:footnote>
  <w:footnote w:id="432">
    <w:p w14:paraId="6DBE20D0" w14:textId="77777777"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Canada, Ontario Ministry of Labour(2010), Your Employment Standards Rights: Foreign National Live-in Caregivers, </w:t>
      </w:r>
      <w:hyperlink r:id="rId171" w:history="1">
        <w:r w:rsidRPr="00B612C2">
          <w:rPr>
            <w:rStyle w:val="a5"/>
            <w:sz w:val="18"/>
            <w:szCs w:val="18"/>
          </w:rPr>
          <w:t>http://www.labour.gov.on.ca/english/es/pubs/is_fn_esa.php(2011/09/05)</w:t>
        </w:r>
      </w:hyperlink>
      <w:r w:rsidRPr="00B612C2">
        <w:rPr>
          <w:szCs w:val="18"/>
        </w:rPr>
        <w:t>.</w:t>
      </w:r>
    </w:p>
    <w:p w14:paraId="31FDCF36" w14:textId="77777777" w:rsidR="00CA23FA" w:rsidRPr="00B612C2" w:rsidRDefault="00CA23FA" w:rsidP="00B612C2">
      <w:pPr>
        <w:pStyle w:val="3"/>
        <w:jc w:val="left"/>
        <w:rPr>
          <w:szCs w:val="18"/>
        </w:rPr>
      </w:pPr>
      <w:r w:rsidRPr="00B612C2">
        <w:rPr>
          <w:szCs w:val="18"/>
        </w:rPr>
        <w:t xml:space="preserve">Wikipedia(2011), Employment Standards Act, </w:t>
      </w:r>
      <w:hyperlink r:id="rId172" w:history="1">
        <w:r w:rsidRPr="00B612C2">
          <w:rPr>
            <w:rStyle w:val="a5"/>
            <w:sz w:val="18"/>
            <w:szCs w:val="18"/>
          </w:rPr>
          <w:t>http://en.wikipedia.org/wiki/Employment_Standards_Act(2011/09/20)</w:t>
        </w:r>
      </w:hyperlink>
      <w:r w:rsidRPr="00B612C2">
        <w:rPr>
          <w:szCs w:val="18"/>
        </w:rPr>
        <w:t>.</w:t>
      </w:r>
    </w:p>
  </w:footnote>
  <w:footnote w:id="433">
    <w:p w14:paraId="71032A00" w14:textId="77777777"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Canada, Ontario Ministry of Labour(2010), Employment Protection for Foreign Nationals Act(Live-in Caregivers and Others), 2009: FAQs, </w:t>
      </w:r>
      <w:hyperlink r:id="rId173" w:history="1">
        <w:r w:rsidRPr="00B612C2">
          <w:rPr>
            <w:rStyle w:val="a5"/>
            <w:sz w:val="18"/>
            <w:szCs w:val="18"/>
          </w:rPr>
          <w:t>http://www.labour.gov.on.ca/english/es/faqs/epfna.php(2011/09/20)</w:t>
        </w:r>
      </w:hyperlink>
      <w:r w:rsidRPr="00B612C2">
        <w:rPr>
          <w:szCs w:val="18"/>
        </w:rPr>
        <w:t>.</w:t>
      </w:r>
    </w:p>
    <w:p w14:paraId="216F249C" w14:textId="77777777" w:rsidR="00CA23FA" w:rsidRPr="00B612C2" w:rsidRDefault="00CA23FA" w:rsidP="00B612C2">
      <w:pPr>
        <w:pStyle w:val="3"/>
        <w:jc w:val="left"/>
        <w:rPr>
          <w:szCs w:val="18"/>
        </w:rPr>
      </w:pPr>
      <w:r w:rsidRPr="00B612C2">
        <w:rPr>
          <w:szCs w:val="18"/>
        </w:rPr>
        <w:t xml:space="preserve">Canada, Ontario Ministry of Labour(2010), Your Rights Under the Employment Protection for Foreign Nationals Act(Live-in Caregivers and Others), 2009, </w:t>
      </w:r>
      <w:hyperlink r:id="rId174" w:history="1">
        <w:r w:rsidRPr="00B612C2">
          <w:rPr>
            <w:rStyle w:val="a5"/>
            <w:sz w:val="18"/>
            <w:szCs w:val="18"/>
          </w:rPr>
          <w:t>http://www.labour.gov.on.ca/english/es/pubs/is_fn_epfn.php(2011/09/10)</w:t>
        </w:r>
      </w:hyperlink>
      <w:r w:rsidRPr="00B612C2">
        <w:rPr>
          <w:szCs w:val="18"/>
        </w:rPr>
        <w:t>.</w:t>
      </w:r>
    </w:p>
    <w:p w14:paraId="3FDC29A6" w14:textId="77777777" w:rsidR="00CA23FA" w:rsidRPr="00B612C2" w:rsidRDefault="00076467" w:rsidP="00B612C2">
      <w:pPr>
        <w:pStyle w:val="3"/>
        <w:jc w:val="left"/>
        <w:rPr>
          <w:szCs w:val="18"/>
        </w:rPr>
      </w:pPr>
      <w:hyperlink r:id="rId175" w:tgtFrame="_blank" w:history="1">
        <w:r w:rsidR="00CA23FA" w:rsidRPr="00B612C2">
          <w:rPr>
            <w:rStyle w:val="a5"/>
            <w:rFonts w:hint="eastAsia"/>
            <w:sz w:val="18"/>
            <w:szCs w:val="18"/>
          </w:rPr>
          <w:t>無憂雅思網</w:t>
        </w:r>
      </w:hyperlink>
      <w:r w:rsidR="00CA23FA" w:rsidRPr="00B612C2">
        <w:rPr>
          <w:szCs w:val="18"/>
        </w:rPr>
        <w:t>(2009)</w:t>
      </w:r>
      <w:r w:rsidR="00CA23FA" w:rsidRPr="00B612C2">
        <w:rPr>
          <w:rFonts w:hint="eastAsia"/>
          <w:szCs w:val="18"/>
        </w:rPr>
        <w:t>，</w:t>
      </w:r>
      <w:hyperlink r:id="rId176" w:history="1">
        <w:r w:rsidR="00CA23FA" w:rsidRPr="00B612C2">
          <w:rPr>
            <w:rStyle w:val="a5"/>
            <w:rFonts w:hint="eastAsia"/>
            <w:sz w:val="18"/>
            <w:szCs w:val="18"/>
          </w:rPr>
          <w:t>安省提出保姆法案，對非法招聘將最重監禁處罰</w:t>
        </w:r>
      </w:hyperlink>
      <w:r w:rsidR="00CA23FA" w:rsidRPr="00B612C2">
        <w:rPr>
          <w:rFonts w:hint="eastAsia"/>
          <w:szCs w:val="18"/>
        </w:rPr>
        <w:t>，</w:t>
      </w:r>
      <w:hyperlink r:id="rId177" w:history="1">
        <w:r w:rsidR="00CA23FA" w:rsidRPr="00B612C2">
          <w:rPr>
            <w:rStyle w:val="a5"/>
            <w:sz w:val="18"/>
            <w:szCs w:val="18"/>
          </w:rPr>
          <w:t>http://bbs.51ielts.com/thread-615734-1-1.html(2011/09/03)</w:t>
        </w:r>
      </w:hyperlink>
      <w:r w:rsidR="00CA23FA" w:rsidRPr="00B612C2">
        <w:rPr>
          <w:rFonts w:hint="eastAsia"/>
          <w:szCs w:val="18"/>
        </w:rPr>
        <w:t>。</w:t>
      </w:r>
    </w:p>
  </w:footnote>
  <w:footnote w:id="434">
    <w:p w14:paraId="7C3688E3" w14:textId="77777777"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Select Nannies Inc(2011), Employment Protection for Foreign Nationals Act(EPFNA) </w:t>
      </w:r>
      <w:r w:rsidRPr="00B612C2">
        <w:rPr>
          <w:szCs w:val="18"/>
        </w:rPr>
        <w:t>〜</w:t>
      </w:r>
      <w:r w:rsidRPr="00B612C2">
        <w:rPr>
          <w:szCs w:val="18"/>
        </w:rPr>
        <w:t xml:space="preserve">applies only to Employers in Ontario, </w:t>
      </w:r>
      <w:hyperlink r:id="rId178" w:history="1">
        <w:r w:rsidRPr="00B612C2">
          <w:rPr>
            <w:rStyle w:val="a5"/>
            <w:sz w:val="18"/>
            <w:szCs w:val="18"/>
          </w:rPr>
          <w:t>http://www.labour.gov.on.ca/english/es/faqs/epfna.php(2011/09/02)</w:t>
        </w:r>
      </w:hyperlink>
      <w:r w:rsidRPr="00B612C2">
        <w:rPr>
          <w:szCs w:val="18"/>
        </w:rPr>
        <w:t>.</w:t>
      </w:r>
    </w:p>
  </w:footnote>
  <w:footnote w:id="435">
    <w:p w14:paraId="532E668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簡稱為勞基法。</w:t>
      </w:r>
    </w:p>
  </w:footnote>
  <w:footnote w:id="436">
    <w:p w14:paraId="361FF879"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§3.(2)</w:t>
      </w:r>
      <w:r w:rsidRPr="001663AE">
        <w:rPr>
          <w:rFonts w:hint="eastAsia"/>
          <w:lang w:val="es-AR"/>
        </w:rPr>
        <w:t>。</w:t>
      </w:r>
    </w:p>
  </w:footnote>
  <w:footnote w:id="437">
    <w:p w14:paraId="038C12FA"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§3.(3)</w:t>
      </w:r>
      <w:r w:rsidRPr="001663AE">
        <w:rPr>
          <w:rFonts w:hint="eastAsia"/>
        </w:rPr>
        <w:t>。</w:t>
      </w:r>
    </w:p>
  </w:footnote>
  <w:footnote w:id="438">
    <w:p w14:paraId="2FC0AC35"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§3.(4)</w:t>
      </w:r>
      <w:r w:rsidRPr="001663AE">
        <w:rPr>
          <w:rFonts w:hint="eastAsia"/>
        </w:rPr>
        <w:t>。</w:t>
      </w:r>
    </w:p>
  </w:footnote>
  <w:footnote w:id="439">
    <w:p w14:paraId="0D9B2740" w14:textId="77777777" w:rsidR="00CA23FA" w:rsidRPr="001663AE" w:rsidRDefault="00CA23FA" w:rsidP="00D87D91">
      <w:pPr>
        <w:pStyle w:val="3"/>
      </w:pPr>
      <w:r w:rsidRPr="001663AE">
        <w:rPr>
          <w:rStyle w:val="af3"/>
          <w:rFonts w:ascii="新細明體" w:hAnsi="新細明體"/>
        </w:rPr>
        <w:footnoteRef/>
      </w:r>
      <w:r w:rsidRPr="001663AE">
        <w:t xml:space="preserve"> ESA §3.(5)</w:t>
      </w:r>
      <w:r w:rsidRPr="001663AE">
        <w:rPr>
          <w:rFonts w:hint="eastAsia"/>
        </w:rPr>
        <w:t>。</w:t>
      </w:r>
    </w:p>
  </w:footnote>
  <w:footnote w:id="440">
    <w:p w14:paraId="143D8C5B" w14:textId="77777777" w:rsidR="00CA23FA" w:rsidRPr="001663AE" w:rsidRDefault="00CA23FA" w:rsidP="00D87D91">
      <w:pPr>
        <w:pStyle w:val="3"/>
      </w:pPr>
      <w:r w:rsidRPr="001663AE">
        <w:rPr>
          <w:rStyle w:val="af3"/>
          <w:rFonts w:ascii="新細明體" w:hAnsi="新細明體"/>
        </w:rPr>
        <w:footnoteRef/>
      </w:r>
      <w:r w:rsidRPr="001663AE">
        <w:t xml:space="preserve"> ESA §1.(1)</w:t>
      </w:r>
      <w:r w:rsidRPr="001663AE">
        <w:rPr>
          <w:rFonts w:hint="eastAsia"/>
        </w:rPr>
        <w:t>。</w:t>
      </w:r>
    </w:p>
  </w:footnote>
  <w:footnote w:id="441">
    <w:p w14:paraId="183E4B30" w14:textId="77777777" w:rsidR="00CA23FA" w:rsidRPr="001663AE" w:rsidRDefault="00CA23FA" w:rsidP="00B612C2">
      <w:pPr>
        <w:pStyle w:val="3"/>
        <w:jc w:val="left"/>
      </w:pPr>
      <w:r w:rsidRPr="001663AE">
        <w:rPr>
          <w:rStyle w:val="af3"/>
          <w:rFonts w:ascii="新細明體" w:hAnsi="新細明體"/>
          <w:szCs w:val="20"/>
        </w:rPr>
        <w:footnoteRef/>
      </w:r>
      <w:r w:rsidRPr="001663AE">
        <w:t xml:space="preserve"> Canada, Ontario Ministry of Labour(2010), Your Employment Standards Rights: Foreign National Live-in Caregivers, </w:t>
      </w:r>
      <w:hyperlink r:id="rId179" w:history="1">
        <w:r w:rsidRPr="001663AE">
          <w:rPr>
            <w:rStyle w:val="a5"/>
            <w:szCs w:val="20"/>
          </w:rPr>
          <w:t>http://www.labour.gov.on.ca/english/es/pubs/is_fn_esa.php(2011/09/05)</w:t>
        </w:r>
      </w:hyperlink>
      <w:r w:rsidRPr="001663AE">
        <w:t>.</w:t>
      </w:r>
    </w:p>
    <w:p w14:paraId="28D738E5" w14:textId="77777777" w:rsidR="00CA23FA" w:rsidRPr="001663AE" w:rsidRDefault="00CA23FA" w:rsidP="00B612C2">
      <w:pPr>
        <w:pStyle w:val="3"/>
        <w:jc w:val="left"/>
      </w:pPr>
      <w:r w:rsidRPr="001663AE">
        <w:t xml:space="preserve">Wikipedia(2011), Employment Standards Act, </w:t>
      </w:r>
      <w:hyperlink r:id="rId180" w:history="1">
        <w:r w:rsidRPr="001663AE">
          <w:rPr>
            <w:rStyle w:val="a5"/>
          </w:rPr>
          <w:t>http://en.wikipedia.org/wiki/Employment_Standards_Act(2011/09/20)</w:t>
        </w:r>
      </w:hyperlink>
      <w:r w:rsidRPr="001663AE">
        <w:t>.</w:t>
      </w:r>
    </w:p>
  </w:footnote>
  <w:footnote w:id="442">
    <w:p w14:paraId="63AE7577" w14:textId="77777777"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Ibid. </w:t>
      </w:r>
    </w:p>
  </w:footnote>
  <w:footnote w:id="443">
    <w:p w14:paraId="36DD52FD" w14:textId="77777777"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ESA §11.(1)</w:t>
      </w:r>
      <w:r w:rsidRPr="001663AE">
        <w:rPr>
          <w:rFonts w:hint="eastAsia"/>
        </w:rPr>
        <w:t>。</w:t>
      </w:r>
    </w:p>
  </w:footnote>
  <w:footnote w:id="444">
    <w:p w14:paraId="63C577F1" w14:textId="77777777"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ESA §11.(2)</w:t>
      </w:r>
      <w:r w:rsidRPr="001663AE">
        <w:rPr>
          <w:rFonts w:hint="eastAsia"/>
        </w:rPr>
        <w:t>。</w:t>
      </w:r>
    </w:p>
  </w:footnote>
  <w:footnote w:id="445">
    <w:p w14:paraId="2997560F" w14:textId="77777777"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ESA §11.(3)</w:t>
      </w:r>
      <w:r w:rsidRPr="001663AE">
        <w:rPr>
          <w:rFonts w:hint="eastAsia"/>
        </w:rPr>
        <w:t>。</w:t>
      </w:r>
      <w:r w:rsidRPr="001663AE">
        <w:rPr>
          <w:lang w:val="es-AR"/>
        </w:rPr>
        <w:t xml:space="preserve"> </w:t>
      </w:r>
    </w:p>
  </w:footnote>
  <w:footnote w:id="446">
    <w:p w14:paraId="2DCD3A71" w14:textId="77777777"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ESA §11.(4)</w:t>
      </w:r>
      <w:r w:rsidRPr="001663AE">
        <w:rPr>
          <w:rFonts w:hint="eastAsia"/>
          <w:lang w:val="es-AR"/>
        </w:rPr>
        <w:t>。</w:t>
      </w:r>
    </w:p>
  </w:footnote>
  <w:footnote w:id="447">
    <w:p w14:paraId="3547D559"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§11.(5)</w:t>
      </w:r>
      <w:r w:rsidRPr="001663AE">
        <w:rPr>
          <w:rFonts w:hint="eastAsia"/>
        </w:rPr>
        <w:t>。</w:t>
      </w:r>
    </w:p>
  </w:footnote>
  <w:footnote w:id="448">
    <w:p w14:paraId="1FD07813"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§12.(1)</w:t>
      </w:r>
      <w:r w:rsidRPr="001663AE">
        <w:rPr>
          <w:rFonts w:hint="eastAsia"/>
        </w:rPr>
        <w:t>。</w:t>
      </w:r>
    </w:p>
  </w:footnote>
  <w:footnote w:id="449">
    <w:p w14:paraId="1B9B21FC"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§12.(3)</w:t>
      </w:r>
      <w:r w:rsidRPr="001663AE">
        <w:rPr>
          <w:rFonts w:hint="eastAsia"/>
        </w:rPr>
        <w:t>。</w:t>
      </w:r>
      <w:r w:rsidRPr="001663AE">
        <w:rPr>
          <w:lang w:val="es-AR"/>
        </w:rPr>
        <w:t xml:space="preserve"> </w:t>
      </w:r>
    </w:p>
  </w:footnote>
  <w:footnote w:id="450">
    <w:p w14:paraId="2973730D"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§12.1</w:t>
      </w:r>
      <w:r w:rsidRPr="001663AE">
        <w:rPr>
          <w:rFonts w:hint="eastAsia"/>
        </w:rPr>
        <w:t>。</w:t>
      </w:r>
      <w:r w:rsidRPr="001663AE">
        <w:rPr>
          <w:lang w:val="es-AR"/>
        </w:rPr>
        <w:t xml:space="preserve"> </w:t>
      </w:r>
    </w:p>
  </w:footnote>
  <w:footnote w:id="451">
    <w:p w14:paraId="4D117D88"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§13.(1)</w:t>
      </w:r>
      <w:r w:rsidRPr="001663AE">
        <w:rPr>
          <w:rFonts w:hint="eastAsia"/>
        </w:rPr>
        <w:t>。</w:t>
      </w:r>
    </w:p>
  </w:footnote>
  <w:footnote w:id="452">
    <w:p w14:paraId="3309B302"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§13.(2)</w:t>
      </w:r>
      <w:r w:rsidRPr="001663AE">
        <w:rPr>
          <w:rFonts w:hint="eastAsia"/>
        </w:rPr>
        <w:t>。</w:t>
      </w:r>
    </w:p>
  </w:footnote>
  <w:footnote w:id="453">
    <w:p w14:paraId="16251D16"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§13.(3)</w:t>
      </w:r>
      <w:r w:rsidRPr="001663AE">
        <w:rPr>
          <w:rFonts w:hint="eastAsia"/>
        </w:rPr>
        <w:t>。</w:t>
      </w:r>
    </w:p>
  </w:footnote>
  <w:footnote w:id="454">
    <w:p w14:paraId="28D981CD"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§13.(4)</w:t>
      </w:r>
      <w:r w:rsidRPr="001663AE">
        <w:rPr>
          <w:rFonts w:hint="eastAsia"/>
        </w:rPr>
        <w:t>。</w:t>
      </w:r>
    </w:p>
  </w:footnote>
  <w:footnote w:id="455">
    <w:p w14:paraId="3B5560C7"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§13.(3)</w:t>
      </w:r>
      <w:r w:rsidRPr="001663AE">
        <w:rPr>
          <w:rFonts w:hint="eastAsia"/>
        </w:rPr>
        <w:t>。</w:t>
      </w:r>
    </w:p>
  </w:footnote>
  <w:footnote w:id="456">
    <w:p w14:paraId="556E7AD3"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§13.(5)</w:t>
      </w:r>
      <w:r w:rsidRPr="001663AE">
        <w:rPr>
          <w:rFonts w:hint="eastAsia"/>
        </w:rPr>
        <w:t>。</w:t>
      </w:r>
      <w:r w:rsidRPr="001663AE">
        <w:rPr>
          <w:lang w:val="es-AR"/>
        </w:rPr>
        <w:t xml:space="preserve"> </w:t>
      </w:r>
    </w:p>
  </w:footnote>
  <w:footnote w:id="457">
    <w:p w14:paraId="0A6AC3E7"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w:t>
      </w:r>
      <w:r w:rsidRPr="001663AE">
        <w:rPr>
          <w:rFonts w:hint="eastAsia"/>
        </w:rPr>
        <w:t>。</w:t>
      </w:r>
    </w:p>
  </w:footnote>
  <w:footnote w:id="458">
    <w:p w14:paraId="3CEA20D4"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§17.(2)</w:t>
      </w:r>
      <w:r w:rsidRPr="001663AE">
        <w:rPr>
          <w:rFonts w:hint="eastAsia"/>
        </w:rPr>
        <w:t>。</w:t>
      </w:r>
      <w:r w:rsidRPr="001663AE">
        <w:rPr>
          <w:lang w:val="es-AR"/>
        </w:rPr>
        <w:t xml:space="preserve"> </w:t>
      </w:r>
    </w:p>
  </w:footnote>
  <w:footnote w:id="459">
    <w:p w14:paraId="7CFA296C"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§17.(3)</w:t>
      </w:r>
      <w:r w:rsidRPr="001663AE">
        <w:rPr>
          <w:rFonts w:hint="eastAsia"/>
        </w:rPr>
        <w:t>。</w:t>
      </w:r>
    </w:p>
  </w:footnote>
  <w:footnote w:id="460">
    <w:p w14:paraId="24140E38"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§17.(4)</w:t>
      </w:r>
      <w:r w:rsidRPr="001663AE">
        <w:rPr>
          <w:rFonts w:hint="eastAsia"/>
        </w:rPr>
        <w:t>。</w:t>
      </w:r>
    </w:p>
  </w:footnote>
  <w:footnote w:id="461">
    <w:p w14:paraId="30724918"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§17.(5)</w:t>
      </w:r>
      <w:r w:rsidRPr="001663AE">
        <w:rPr>
          <w:rFonts w:hint="eastAsia"/>
        </w:rPr>
        <w:t>。</w:t>
      </w:r>
    </w:p>
  </w:footnote>
  <w:footnote w:id="462">
    <w:p w14:paraId="2B6AF3E3"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§17.(6)</w:t>
      </w:r>
      <w:r w:rsidRPr="001663AE">
        <w:rPr>
          <w:rFonts w:hint="eastAsia"/>
          <w:lang w:val="es-AR"/>
        </w:rPr>
        <w:t>。</w:t>
      </w:r>
      <w:r w:rsidRPr="001663AE">
        <w:rPr>
          <w:lang w:val="es-AR"/>
        </w:rPr>
        <w:t xml:space="preserve"> </w:t>
      </w:r>
    </w:p>
  </w:footnote>
  <w:footnote w:id="463">
    <w:p w14:paraId="411B20F5"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§17.(7)</w:t>
      </w:r>
      <w:r w:rsidRPr="001663AE">
        <w:rPr>
          <w:rFonts w:hint="eastAsia"/>
          <w:lang w:val="es-AR"/>
        </w:rPr>
        <w:t>。</w:t>
      </w:r>
    </w:p>
  </w:footnote>
  <w:footnote w:id="464">
    <w:p w14:paraId="48CC3A82"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w:t>
      </w:r>
      <w:r w:rsidRPr="001663AE">
        <w:rPr>
          <w:rFonts w:hint="eastAsia"/>
        </w:rPr>
        <w:t>。</w:t>
      </w:r>
    </w:p>
  </w:footnote>
  <w:footnote w:id="465">
    <w:p w14:paraId="5DED6F75"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§17.1.(2)</w:t>
      </w:r>
      <w:r w:rsidRPr="001663AE">
        <w:rPr>
          <w:rFonts w:hint="eastAsia"/>
        </w:rPr>
        <w:t>。</w:t>
      </w:r>
    </w:p>
  </w:footnote>
  <w:footnote w:id="466">
    <w:p w14:paraId="78D9BA5C"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§17.1(3)</w:t>
      </w:r>
      <w:r w:rsidRPr="001663AE">
        <w:rPr>
          <w:rFonts w:hint="eastAsia"/>
        </w:rPr>
        <w:t>。</w:t>
      </w:r>
    </w:p>
  </w:footnote>
  <w:footnote w:id="467">
    <w:p w14:paraId="53CF59FA"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w:t>
      </w:r>
      <w:r>
        <w:rPr>
          <w:lang w:val="es-AR"/>
        </w:rPr>
        <w:t>(</w:t>
      </w:r>
      <w:r w:rsidRPr="001663AE">
        <w:rPr>
          <w:lang w:val="es-AR"/>
        </w:rPr>
        <w:t>3)(a)</w:t>
      </w:r>
      <w:r w:rsidRPr="001663AE">
        <w:rPr>
          <w:rFonts w:hint="eastAsia"/>
        </w:rPr>
        <w:t>。</w:t>
      </w:r>
    </w:p>
  </w:footnote>
  <w:footnote w:id="468">
    <w:p w14:paraId="54BB9DB7"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w:t>
      </w:r>
      <w:r>
        <w:rPr>
          <w:lang w:val="es-AR"/>
        </w:rPr>
        <w:t>(</w:t>
      </w:r>
      <w:r w:rsidRPr="001663AE">
        <w:rPr>
          <w:lang w:val="es-AR"/>
        </w:rPr>
        <w:t>3)(b)</w:t>
      </w:r>
      <w:r w:rsidRPr="001663AE">
        <w:rPr>
          <w:rFonts w:hint="eastAsia"/>
        </w:rPr>
        <w:t>。</w:t>
      </w:r>
    </w:p>
  </w:footnote>
  <w:footnote w:id="469">
    <w:p w14:paraId="3C9E63C7"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§17.1.(3)(c)</w:t>
      </w:r>
      <w:r w:rsidRPr="001663AE">
        <w:rPr>
          <w:rFonts w:hint="eastAsia"/>
        </w:rPr>
        <w:t>。</w:t>
      </w:r>
    </w:p>
  </w:footnote>
  <w:footnote w:id="470">
    <w:p w14:paraId="23668B28"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§17.1.(4)</w:t>
      </w:r>
      <w:r w:rsidRPr="001663AE">
        <w:rPr>
          <w:rFonts w:hint="eastAsia"/>
        </w:rPr>
        <w:t>。</w:t>
      </w:r>
    </w:p>
  </w:footnote>
  <w:footnote w:id="471">
    <w:p w14:paraId="2FF54A69"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§17.1.(5)</w:t>
      </w:r>
      <w:r w:rsidRPr="001663AE">
        <w:rPr>
          <w:rFonts w:hint="eastAsia"/>
        </w:rPr>
        <w:t>。</w:t>
      </w:r>
    </w:p>
  </w:footnote>
  <w:footnote w:id="472">
    <w:p w14:paraId="70345F8E"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§17.1.(6)</w:t>
      </w:r>
      <w:r w:rsidRPr="001663AE">
        <w:rPr>
          <w:rFonts w:hint="eastAsia"/>
        </w:rPr>
        <w:t>。</w:t>
      </w:r>
    </w:p>
  </w:footnote>
  <w:footnote w:id="473">
    <w:p w14:paraId="2442BA62"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§17.1(7)</w:t>
      </w:r>
      <w:r w:rsidRPr="001663AE">
        <w:rPr>
          <w:rFonts w:hint="eastAsia"/>
        </w:rPr>
        <w:t>。</w:t>
      </w:r>
    </w:p>
  </w:footnote>
  <w:footnote w:id="474">
    <w:p w14:paraId="2EF4F561"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w:t>
      </w:r>
      <w:r w:rsidRPr="001663AE">
        <w:rPr>
          <w:rFonts w:hint="eastAsia"/>
        </w:rPr>
        <w:t>就業標準處處長具有相當廣泛之裁量權。</w:t>
      </w:r>
    </w:p>
  </w:footnote>
  <w:footnote w:id="475">
    <w:p w14:paraId="0676516D"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§17.1(8)</w:t>
      </w:r>
      <w:r w:rsidRPr="001663AE">
        <w:rPr>
          <w:rFonts w:hint="eastAsia"/>
        </w:rPr>
        <w:t>。</w:t>
      </w:r>
    </w:p>
  </w:footnote>
  <w:footnote w:id="476">
    <w:p w14:paraId="041E6525"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§17.1(9)</w:t>
      </w:r>
      <w:r w:rsidRPr="001663AE">
        <w:rPr>
          <w:rFonts w:hint="eastAsia"/>
        </w:rPr>
        <w:t>。</w:t>
      </w:r>
    </w:p>
  </w:footnote>
  <w:footnote w:id="477">
    <w:p w14:paraId="1D1AE5CE"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§17.1(11)</w:t>
      </w:r>
      <w:r w:rsidRPr="001663AE">
        <w:rPr>
          <w:rFonts w:hint="eastAsia"/>
        </w:rPr>
        <w:t>。</w:t>
      </w:r>
    </w:p>
  </w:footnote>
  <w:footnote w:id="478">
    <w:p w14:paraId="2BEECD81"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§17.1(12)</w:t>
      </w:r>
      <w:r w:rsidRPr="001663AE">
        <w:rPr>
          <w:rFonts w:hint="eastAsia"/>
        </w:rPr>
        <w:t>。</w:t>
      </w:r>
    </w:p>
  </w:footnote>
  <w:footnote w:id="479">
    <w:p w14:paraId="034E9426"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§17.1(13)</w:t>
      </w:r>
      <w:r w:rsidRPr="001663AE">
        <w:rPr>
          <w:rFonts w:hint="eastAsia"/>
        </w:rPr>
        <w:t>。</w:t>
      </w:r>
    </w:p>
  </w:footnote>
  <w:footnote w:id="480">
    <w:p w14:paraId="789637D0"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§17.1(14)</w:t>
      </w:r>
      <w:r w:rsidRPr="001663AE">
        <w:rPr>
          <w:rFonts w:hint="eastAsia"/>
        </w:rPr>
        <w:t>。</w:t>
      </w:r>
      <w:r w:rsidRPr="001663AE">
        <w:rPr>
          <w:lang w:val="es-AR"/>
        </w:rPr>
        <w:t xml:space="preserve"> </w:t>
      </w:r>
    </w:p>
  </w:footnote>
  <w:footnote w:id="481">
    <w:p w14:paraId="35E827BE" w14:textId="77777777" w:rsidR="00CA23FA" w:rsidRPr="001663AE" w:rsidRDefault="00CA23FA" w:rsidP="00D87D91">
      <w:pPr>
        <w:pStyle w:val="3"/>
      </w:pPr>
      <w:r w:rsidRPr="001663AE">
        <w:rPr>
          <w:rStyle w:val="af3"/>
          <w:rFonts w:ascii="新細明體" w:hAnsi="新細明體"/>
          <w:szCs w:val="20"/>
        </w:rPr>
        <w:footnoteRef/>
      </w:r>
      <w:r w:rsidRPr="001663AE">
        <w:rPr>
          <w:lang w:val="es-AR"/>
        </w:rPr>
        <w:t xml:space="preserve"> ESA §17.1(15)</w:t>
      </w:r>
      <w:r w:rsidRPr="001663AE">
        <w:rPr>
          <w:rFonts w:hint="eastAsia"/>
        </w:rPr>
        <w:t>。此類似於我國行政程序法第</w:t>
      </w:r>
      <w:r w:rsidRPr="001663AE">
        <w:t>93</w:t>
      </w:r>
      <w:r w:rsidRPr="001663AE">
        <w:rPr>
          <w:rFonts w:hint="eastAsia"/>
        </w:rPr>
        <w:t>條之規定，「行政機關作成行政處分有裁量權時，得為附款。無裁量權者，以法律有明文規定或為確保行政處分法定要件之履行而以該要件為附款內容者為限，始得為之。</w:t>
      </w:r>
    </w:p>
    <w:p w14:paraId="26497446" w14:textId="77777777" w:rsidR="00CA23FA" w:rsidRPr="001663AE" w:rsidRDefault="00CA23FA" w:rsidP="00D87D91">
      <w:pPr>
        <w:pStyle w:val="3"/>
      </w:pPr>
      <w:r w:rsidRPr="001663AE">
        <w:rPr>
          <w:rFonts w:hint="eastAsia"/>
        </w:rPr>
        <w:t>前項所稱之附款如下︰</w:t>
      </w:r>
    </w:p>
    <w:p w14:paraId="6AFE6982" w14:textId="77777777" w:rsidR="00CA23FA" w:rsidRPr="001663AE" w:rsidRDefault="00CA23FA" w:rsidP="00D87D91">
      <w:pPr>
        <w:pStyle w:val="3"/>
      </w:pPr>
      <w:r w:rsidRPr="001663AE">
        <w:rPr>
          <w:rFonts w:hint="eastAsia"/>
        </w:rPr>
        <w:t>一、期限。</w:t>
      </w:r>
    </w:p>
    <w:p w14:paraId="3D229664" w14:textId="77777777" w:rsidR="00CA23FA" w:rsidRPr="001663AE" w:rsidRDefault="00CA23FA" w:rsidP="00D87D91">
      <w:pPr>
        <w:pStyle w:val="3"/>
      </w:pPr>
      <w:r w:rsidRPr="001663AE">
        <w:rPr>
          <w:rFonts w:hint="eastAsia"/>
        </w:rPr>
        <w:t>二、條件。</w:t>
      </w:r>
    </w:p>
    <w:p w14:paraId="72F03F09" w14:textId="77777777" w:rsidR="00CA23FA" w:rsidRPr="001663AE" w:rsidRDefault="00CA23FA" w:rsidP="00D87D91">
      <w:pPr>
        <w:pStyle w:val="3"/>
      </w:pPr>
      <w:r w:rsidRPr="001663AE">
        <w:rPr>
          <w:rFonts w:hint="eastAsia"/>
        </w:rPr>
        <w:t>三、負擔。</w:t>
      </w:r>
    </w:p>
    <w:p w14:paraId="05AF2BC4" w14:textId="77777777" w:rsidR="00CA23FA" w:rsidRPr="001663AE" w:rsidRDefault="00CA23FA" w:rsidP="00D87D91">
      <w:pPr>
        <w:pStyle w:val="3"/>
      </w:pPr>
      <w:r w:rsidRPr="001663AE">
        <w:rPr>
          <w:rFonts w:hint="eastAsia"/>
        </w:rPr>
        <w:t>四、保留行政處分之廢止權。</w:t>
      </w:r>
    </w:p>
    <w:p w14:paraId="2C2EBC78" w14:textId="77777777" w:rsidR="00CA23FA" w:rsidRPr="001663AE" w:rsidRDefault="00CA23FA" w:rsidP="00D87D91">
      <w:pPr>
        <w:pStyle w:val="3"/>
        <w:rPr>
          <w:lang w:val="es-AR"/>
        </w:rPr>
      </w:pPr>
      <w:r w:rsidRPr="001663AE">
        <w:rPr>
          <w:rFonts w:hint="eastAsia"/>
        </w:rPr>
        <w:t>五、保留負擔之事後附加或變更。」</w:t>
      </w:r>
    </w:p>
  </w:footnote>
  <w:footnote w:id="482">
    <w:p w14:paraId="18011F43"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§17.1(16)</w:t>
      </w:r>
      <w:r w:rsidRPr="001663AE">
        <w:rPr>
          <w:rFonts w:hint="eastAsia"/>
        </w:rPr>
        <w:t>。</w:t>
      </w:r>
    </w:p>
  </w:footnote>
  <w:footnote w:id="483">
    <w:p w14:paraId="7E1914BE"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§17.1(17)</w:t>
      </w:r>
      <w:r w:rsidRPr="001663AE">
        <w:rPr>
          <w:rFonts w:hint="eastAsia"/>
        </w:rPr>
        <w:t>。</w:t>
      </w:r>
      <w:r w:rsidRPr="001663AE">
        <w:rPr>
          <w:lang w:val="es-AR"/>
        </w:rPr>
        <w:t xml:space="preserve"> </w:t>
      </w:r>
    </w:p>
  </w:footnote>
  <w:footnote w:id="484">
    <w:p w14:paraId="233DC133"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§17.1(18)</w:t>
      </w:r>
      <w:r w:rsidRPr="001663AE">
        <w:rPr>
          <w:rFonts w:hint="eastAsia"/>
        </w:rPr>
        <w:t>。</w:t>
      </w:r>
    </w:p>
  </w:footnote>
  <w:footnote w:id="485">
    <w:p w14:paraId="132984E4"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§17.1(19)</w:t>
      </w:r>
      <w:r w:rsidRPr="001663AE">
        <w:rPr>
          <w:rFonts w:hint="eastAsia"/>
        </w:rPr>
        <w:t>。</w:t>
      </w:r>
      <w:r w:rsidRPr="001663AE">
        <w:rPr>
          <w:lang w:val="es-AR"/>
        </w:rPr>
        <w:t xml:space="preserve"> </w:t>
      </w:r>
    </w:p>
  </w:footnote>
  <w:footnote w:id="486">
    <w:p w14:paraId="3ADBDD9E"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§17.1(20)</w:t>
      </w:r>
      <w:r w:rsidRPr="001663AE">
        <w:rPr>
          <w:rFonts w:hint="eastAsia"/>
        </w:rPr>
        <w:t>。</w:t>
      </w:r>
    </w:p>
  </w:footnote>
  <w:footnote w:id="487">
    <w:p w14:paraId="1FD1D87B"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§18(1)</w:t>
      </w:r>
      <w:r w:rsidRPr="001663AE">
        <w:rPr>
          <w:rFonts w:hint="eastAsia"/>
        </w:rPr>
        <w:t>。</w:t>
      </w:r>
      <w:r w:rsidRPr="001663AE">
        <w:rPr>
          <w:lang w:val="es-AR"/>
        </w:rPr>
        <w:t xml:space="preserve"> </w:t>
      </w:r>
    </w:p>
  </w:footnote>
  <w:footnote w:id="488">
    <w:p w14:paraId="506AB79B"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§18(2)</w:t>
      </w:r>
      <w:r w:rsidRPr="001663AE">
        <w:rPr>
          <w:rFonts w:hint="eastAsia"/>
        </w:rPr>
        <w:t>。</w:t>
      </w:r>
    </w:p>
  </w:footnote>
  <w:footnote w:id="489">
    <w:p w14:paraId="291295BE"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§18(3)</w:t>
      </w:r>
      <w:r w:rsidRPr="001663AE">
        <w:rPr>
          <w:rFonts w:hint="eastAsia"/>
        </w:rPr>
        <w:t>。</w:t>
      </w:r>
    </w:p>
  </w:footnote>
  <w:footnote w:id="490">
    <w:p w14:paraId="49076B18"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§18(4)</w:t>
      </w:r>
      <w:r w:rsidRPr="001663AE">
        <w:rPr>
          <w:rFonts w:hint="eastAsia"/>
        </w:rPr>
        <w:t>。</w:t>
      </w:r>
    </w:p>
  </w:footnote>
  <w:footnote w:id="491">
    <w:p w14:paraId="3CA46617"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§19</w:t>
      </w:r>
      <w:r w:rsidRPr="001663AE">
        <w:rPr>
          <w:rFonts w:hint="eastAsia"/>
        </w:rPr>
        <w:t>。</w:t>
      </w:r>
    </w:p>
  </w:footnote>
  <w:footnote w:id="492">
    <w:p w14:paraId="09ED4930"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§20(1)</w:t>
      </w:r>
      <w:r w:rsidRPr="001663AE">
        <w:rPr>
          <w:rFonts w:hint="eastAsia"/>
        </w:rPr>
        <w:t>。</w:t>
      </w:r>
      <w:r w:rsidRPr="001663AE">
        <w:rPr>
          <w:lang w:val="es-AR"/>
        </w:rPr>
        <w:t xml:space="preserve"> </w:t>
      </w:r>
    </w:p>
  </w:footnote>
  <w:footnote w:id="493">
    <w:p w14:paraId="6F1D7F31"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§20(2)</w:t>
      </w:r>
      <w:r w:rsidRPr="001663AE">
        <w:rPr>
          <w:rFonts w:hint="eastAsia"/>
        </w:rPr>
        <w:t>。</w:t>
      </w:r>
    </w:p>
  </w:footnote>
  <w:footnote w:id="494">
    <w:p w14:paraId="59A562F3"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§21</w:t>
      </w:r>
      <w:r w:rsidRPr="001663AE">
        <w:rPr>
          <w:rFonts w:hint="eastAsia"/>
          <w:lang w:val="es-AR"/>
        </w:rPr>
        <w:t>。</w:t>
      </w:r>
    </w:p>
  </w:footnote>
  <w:footnote w:id="495">
    <w:p w14:paraId="38D1F0B3"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§22</w:t>
      </w:r>
      <w:r>
        <w:rPr>
          <w:lang w:val="es-AR"/>
        </w:rPr>
        <w:t>(</w:t>
      </w:r>
      <w:r w:rsidRPr="001663AE">
        <w:rPr>
          <w:lang w:val="es-AR"/>
        </w:rPr>
        <w:t>1)</w:t>
      </w:r>
      <w:r w:rsidRPr="001663AE">
        <w:rPr>
          <w:rFonts w:hint="eastAsia"/>
        </w:rPr>
        <w:t>。</w:t>
      </w:r>
      <w:r w:rsidRPr="001663AE">
        <w:rPr>
          <w:lang w:val="es-AR"/>
        </w:rPr>
        <w:t xml:space="preserve"> </w:t>
      </w:r>
    </w:p>
  </w:footnote>
  <w:footnote w:id="496">
    <w:p w14:paraId="690BD67F"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§22</w:t>
      </w:r>
      <w:r>
        <w:rPr>
          <w:lang w:val="es-AR"/>
        </w:rPr>
        <w:t>(</w:t>
      </w:r>
      <w:r w:rsidRPr="001663AE">
        <w:rPr>
          <w:lang w:val="es-AR"/>
        </w:rPr>
        <w:t>2)</w:t>
      </w:r>
      <w:r w:rsidRPr="001663AE">
        <w:rPr>
          <w:rFonts w:hint="eastAsia"/>
        </w:rPr>
        <w:t>。</w:t>
      </w:r>
    </w:p>
  </w:footnote>
  <w:footnote w:id="497">
    <w:p w14:paraId="0630AD51"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§22</w:t>
      </w:r>
      <w:r>
        <w:rPr>
          <w:lang w:val="es-AR"/>
        </w:rPr>
        <w:t>(</w:t>
      </w:r>
      <w:r w:rsidRPr="001663AE">
        <w:rPr>
          <w:lang w:val="es-AR"/>
        </w:rPr>
        <w:t>2.1)</w:t>
      </w:r>
      <w:r w:rsidRPr="001663AE">
        <w:rPr>
          <w:rFonts w:hint="eastAsia"/>
          <w:lang w:val="es-AR"/>
        </w:rPr>
        <w:t>。</w:t>
      </w:r>
    </w:p>
  </w:footnote>
  <w:footnote w:id="498">
    <w:p w14:paraId="1475B47A"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「就業服務法」之法規沿革如下所述：</w:t>
      </w:r>
    </w:p>
    <w:p w14:paraId="02995AB4" w14:textId="77777777" w:rsidR="00CA23FA" w:rsidRPr="001663AE" w:rsidRDefault="00CA23FA" w:rsidP="00D87D91">
      <w:pPr>
        <w:pStyle w:val="3"/>
      </w:pPr>
      <w:r w:rsidRPr="001663AE">
        <w:t>1‧</w:t>
      </w:r>
      <w:r w:rsidRPr="001663AE">
        <w:rPr>
          <w:rFonts w:hint="eastAsia"/>
        </w:rPr>
        <w:t>中華民國八十一年五月八日總統（</w:t>
      </w:r>
      <w:r w:rsidRPr="001663AE">
        <w:t>81</w:t>
      </w:r>
      <w:r w:rsidRPr="001663AE">
        <w:rPr>
          <w:rFonts w:hint="eastAsia"/>
        </w:rPr>
        <w:t>）華總（一）義字第</w:t>
      </w:r>
      <w:r w:rsidRPr="001663AE">
        <w:t>2359</w:t>
      </w:r>
      <w:r w:rsidRPr="001663AE">
        <w:rPr>
          <w:rFonts w:hint="eastAsia"/>
        </w:rPr>
        <w:t>號令制定公布全文</w:t>
      </w:r>
      <w:r w:rsidRPr="001663AE">
        <w:t>70</w:t>
      </w:r>
      <w:r w:rsidRPr="001663AE">
        <w:rPr>
          <w:rFonts w:hint="eastAsia"/>
        </w:rPr>
        <w:t>條。</w:t>
      </w:r>
      <w:r w:rsidRPr="001663AE">
        <w:t xml:space="preserve"> </w:t>
      </w:r>
    </w:p>
    <w:p w14:paraId="50396F93" w14:textId="77777777" w:rsidR="00CA23FA" w:rsidRPr="001663AE" w:rsidRDefault="00CA23FA" w:rsidP="00D87D91">
      <w:pPr>
        <w:pStyle w:val="3"/>
      </w:pPr>
      <w:r w:rsidRPr="001663AE">
        <w:t>2‧</w:t>
      </w:r>
      <w:r w:rsidRPr="001663AE">
        <w:rPr>
          <w:rFonts w:hint="eastAsia"/>
        </w:rPr>
        <w:t>中華民國八十六年五月二十一日總統（</w:t>
      </w:r>
      <w:r w:rsidRPr="001663AE">
        <w:t>86</w:t>
      </w:r>
      <w:r w:rsidRPr="001663AE">
        <w:rPr>
          <w:rFonts w:hint="eastAsia"/>
        </w:rPr>
        <w:t>）華總（一）義字第</w:t>
      </w:r>
      <w:r w:rsidRPr="001663AE">
        <w:t>8600118890</w:t>
      </w:r>
      <w:r w:rsidRPr="001663AE">
        <w:rPr>
          <w:rFonts w:hint="eastAsia"/>
        </w:rPr>
        <w:t>號令修正公布第</w:t>
      </w:r>
      <w:r w:rsidRPr="001663AE">
        <w:t>49</w:t>
      </w:r>
      <w:r w:rsidRPr="001663AE">
        <w:rPr>
          <w:rFonts w:hint="eastAsia"/>
        </w:rPr>
        <w:t>條條文。</w:t>
      </w:r>
      <w:r w:rsidRPr="001663AE">
        <w:t xml:space="preserve"> </w:t>
      </w:r>
    </w:p>
    <w:p w14:paraId="467A3F7C" w14:textId="77777777" w:rsidR="00CA23FA" w:rsidRPr="001663AE" w:rsidRDefault="00CA23FA" w:rsidP="00D87D91">
      <w:pPr>
        <w:pStyle w:val="3"/>
      </w:pPr>
      <w:r w:rsidRPr="001663AE">
        <w:t>3‧</w:t>
      </w:r>
      <w:r w:rsidRPr="001663AE">
        <w:rPr>
          <w:rFonts w:hint="eastAsia"/>
        </w:rPr>
        <w:t>中華民國八十九年一月二十六日總統（</w:t>
      </w:r>
      <w:r w:rsidRPr="001663AE">
        <w:t>89</w:t>
      </w:r>
      <w:r w:rsidRPr="001663AE">
        <w:rPr>
          <w:rFonts w:hint="eastAsia"/>
        </w:rPr>
        <w:t>）華總一義字第</w:t>
      </w:r>
      <w:r w:rsidRPr="001663AE">
        <w:t>8900021190</w:t>
      </w:r>
      <w:r w:rsidRPr="001663AE">
        <w:rPr>
          <w:rFonts w:hint="eastAsia"/>
        </w:rPr>
        <w:t>號令修正公布第</w:t>
      </w:r>
      <w:r w:rsidRPr="001663AE">
        <w:t>43</w:t>
      </w:r>
      <w:r w:rsidRPr="001663AE">
        <w:rPr>
          <w:rFonts w:hint="eastAsia"/>
        </w:rPr>
        <w:t>、</w:t>
      </w:r>
      <w:r w:rsidRPr="001663AE">
        <w:t>51</w:t>
      </w:r>
      <w:r w:rsidRPr="001663AE">
        <w:rPr>
          <w:rFonts w:hint="eastAsia"/>
        </w:rPr>
        <w:t>條條文。</w:t>
      </w:r>
    </w:p>
    <w:p w14:paraId="5AE243CC" w14:textId="77777777" w:rsidR="00CA23FA" w:rsidRPr="001663AE" w:rsidRDefault="00CA23FA" w:rsidP="00D87D91">
      <w:pPr>
        <w:pStyle w:val="3"/>
      </w:pPr>
      <w:r w:rsidRPr="001663AE">
        <w:t>4‧</w:t>
      </w:r>
      <w:r w:rsidRPr="001663AE">
        <w:rPr>
          <w:rFonts w:hint="eastAsia"/>
        </w:rPr>
        <w:t>中華民國九十一年一月二十一日總統（</w:t>
      </w:r>
      <w:r w:rsidRPr="001663AE">
        <w:t>91</w:t>
      </w:r>
      <w:r w:rsidRPr="001663AE">
        <w:rPr>
          <w:rFonts w:hint="eastAsia"/>
        </w:rPr>
        <w:t>）華總一義字第</w:t>
      </w:r>
      <w:r w:rsidRPr="001663AE">
        <w:t>09100010130</w:t>
      </w:r>
      <w:r w:rsidRPr="001663AE">
        <w:rPr>
          <w:rFonts w:hint="eastAsia"/>
        </w:rPr>
        <w:t>號令修正公布全文</w:t>
      </w:r>
      <w:r w:rsidRPr="001663AE">
        <w:t>83</w:t>
      </w:r>
      <w:r w:rsidRPr="001663AE">
        <w:rPr>
          <w:rFonts w:hint="eastAsia"/>
        </w:rPr>
        <w:t>條；本法施行日期，除第四十八條第一項至第三項規定由行政院以命令定之外，自公布日施行；中華民國九十三年一月九日行政院院臺勞字第</w:t>
      </w:r>
      <w:r w:rsidRPr="001663AE">
        <w:t>0930080307</w:t>
      </w:r>
      <w:r w:rsidRPr="001663AE">
        <w:rPr>
          <w:rFonts w:hint="eastAsia"/>
        </w:rPr>
        <w:t>號令發布第四十八條第一項至第三項規定定自九十三年一月十五日施行。</w:t>
      </w:r>
      <w:r w:rsidRPr="001663AE">
        <w:t xml:space="preserve"> </w:t>
      </w:r>
    </w:p>
    <w:p w14:paraId="354FDB73" w14:textId="77777777" w:rsidR="00CA23FA" w:rsidRPr="001663AE" w:rsidRDefault="00CA23FA" w:rsidP="00D87D91">
      <w:pPr>
        <w:pStyle w:val="3"/>
      </w:pPr>
      <w:r w:rsidRPr="001663AE">
        <w:t>5‧</w:t>
      </w:r>
      <w:r w:rsidRPr="001663AE">
        <w:rPr>
          <w:rFonts w:hint="eastAsia"/>
        </w:rPr>
        <w:t>中華民國九十二年五月十三日總統華總一義字第</w:t>
      </w:r>
      <w:r w:rsidRPr="001663AE">
        <w:t>09200087890</w:t>
      </w:r>
      <w:r w:rsidRPr="001663AE">
        <w:rPr>
          <w:rFonts w:hint="eastAsia"/>
        </w:rPr>
        <w:t>號令修正公布第</w:t>
      </w:r>
      <w:r w:rsidRPr="001663AE">
        <w:t>46</w:t>
      </w:r>
      <w:r w:rsidRPr="001663AE">
        <w:rPr>
          <w:rFonts w:hint="eastAsia"/>
        </w:rPr>
        <w:t>、</w:t>
      </w:r>
      <w:r w:rsidRPr="001663AE">
        <w:t>48</w:t>
      </w:r>
      <w:r w:rsidRPr="001663AE">
        <w:rPr>
          <w:rFonts w:hint="eastAsia"/>
        </w:rPr>
        <w:t>、</w:t>
      </w:r>
      <w:r w:rsidRPr="001663AE">
        <w:t>51</w:t>
      </w:r>
      <w:r w:rsidRPr="001663AE">
        <w:rPr>
          <w:rFonts w:hint="eastAsia"/>
        </w:rPr>
        <w:t>、</w:t>
      </w:r>
      <w:r w:rsidRPr="001663AE">
        <w:t>52</w:t>
      </w:r>
      <w:r w:rsidRPr="001663AE">
        <w:rPr>
          <w:rFonts w:hint="eastAsia"/>
        </w:rPr>
        <w:t>、</w:t>
      </w:r>
      <w:r w:rsidRPr="001663AE">
        <w:t>53</w:t>
      </w:r>
      <w:r w:rsidRPr="001663AE">
        <w:rPr>
          <w:rFonts w:hint="eastAsia"/>
        </w:rPr>
        <w:t>條條文。</w:t>
      </w:r>
      <w:r w:rsidRPr="001663AE">
        <w:t xml:space="preserve"> </w:t>
      </w:r>
    </w:p>
    <w:p w14:paraId="53A2ABA9" w14:textId="77777777" w:rsidR="00CA23FA" w:rsidRPr="001663AE" w:rsidRDefault="00CA23FA" w:rsidP="00D87D91">
      <w:pPr>
        <w:pStyle w:val="3"/>
      </w:pPr>
      <w:r w:rsidRPr="001663AE">
        <w:t>6‧</w:t>
      </w:r>
      <w:r w:rsidRPr="001663AE">
        <w:rPr>
          <w:rFonts w:hint="eastAsia"/>
        </w:rPr>
        <w:t>中華民國九十二年五月十六日總統華總一義字第</w:t>
      </w:r>
      <w:r w:rsidRPr="001663AE">
        <w:t>09200092550</w:t>
      </w:r>
      <w:r w:rsidRPr="001663AE">
        <w:rPr>
          <w:rFonts w:hint="eastAsia"/>
        </w:rPr>
        <w:t>號令修正公布第</w:t>
      </w:r>
      <w:r w:rsidRPr="001663AE">
        <w:t>52</w:t>
      </w:r>
      <w:r w:rsidRPr="001663AE">
        <w:rPr>
          <w:rFonts w:hint="eastAsia"/>
        </w:rPr>
        <w:t>條條文</w:t>
      </w:r>
      <w:r w:rsidRPr="001663AE">
        <w:t xml:space="preserve"> </w:t>
      </w:r>
    </w:p>
    <w:p w14:paraId="22A046EA" w14:textId="77777777" w:rsidR="00CA23FA" w:rsidRPr="001663AE" w:rsidRDefault="00CA23FA" w:rsidP="00D87D91">
      <w:pPr>
        <w:pStyle w:val="3"/>
      </w:pPr>
      <w:r w:rsidRPr="001663AE">
        <w:t>7‧</w:t>
      </w:r>
      <w:r w:rsidRPr="001663AE">
        <w:rPr>
          <w:rFonts w:hint="eastAsia"/>
        </w:rPr>
        <w:t>中華民國九十五年五月三十日總統華總一義字第</w:t>
      </w:r>
      <w:r w:rsidRPr="001663AE">
        <w:t>09500075901</w:t>
      </w:r>
      <w:r w:rsidRPr="001663AE">
        <w:rPr>
          <w:rFonts w:hint="eastAsia"/>
        </w:rPr>
        <w:t>號令修正公布第</w:t>
      </w:r>
      <w:r w:rsidRPr="001663AE">
        <w:t>64</w:t>
      </w:r>
      <w:r w:rsidRPr="001663AE">
        <w:rPr>
          <w:rFonts w:hint="eastAsia"/>
        </w:rPr>
        <w:t>、</w:t>
      </w:r>
      <w:r w:rsidRPr="001663AE">
        <w:t>83</w:t>
      </w:r>
      <w:r w:rsidRPr="001663AE">
        <w:rPr>
          <w:rFonts w:hint="eastAsia"/>
        </w:rPr>
        <w:t>條條文；並自九十五年七月一日施行。</w:t>
      </w:r>
      <w:r w:rsidRPr="001663AE">
        <w:t xml:space="preserve"> </w:t>
      </w:r>
    </w:p>
    <w:p w14:paraId="79CD54A6" w14:textId="77777777" w:rsidR="00CA23FA" w:rsidRPr="001663AE" w:rsidRDefault="00CA23FA" w:rsidP="00D87D91">
      <w:pPr>
        <w:pStyle w:val="3"/>
      </w:pPr>
      <w:r w:rsidRPr="001663AE">
        <w:t>8‧</w:t>
      </w:r>
      <w:r w:rsidRPr="001663AE">
        <w:rPr>
          <w:rFonts w:hint="eastAsia"/>
        </w:rPr>
        <w:t>中華民國九十六年五月二十三日總統華總一義字第</w:t>
      </w:r>
      <w:r w:rsidRPr="001663AE">
        <w:t>09600064151</w:t>
      </w:r>
      <w:r w:rsidRPr="001663AE">
        <w:rPr>
          <w:rFonts w:hint="eastAsia"/>
        </w:rPr>
        <w:t>號令修正公布第</w:t>
      </w:r>
      <w:r w:rsidRPr="001663AE">
        <w:t>5</w:t>
      </w:r>
      <w:r w:rsidRPr="001663AE">
        <w:rPr>
          <w:rFonts w:hint="eastAsia"/>
        </w:rPr>
        <w:t>、</w:t>
      </w:r>
      <w:r w:rsidRPr="001663AE">
        <w:t>40</w:t>
      </w:r>
      <w:r w:rsidRPr="001663AE">
        <w:rPr>
          <w:rFonts w:hint="eastAsia"/>
        </w:rPr>
        <w:t>、</w:t>
      </w:r>
      <w:r w:rsidRPr="001663AE">
        <w:t>55</w:t>
      </w:r>
      <w:r w:rsidRPr="001663AE">
        <w:rPr>
          <w:rFonts w:hint="eastAsia"/>
        </w:rPr>
        <w:t>、</w:t>
      </w:r>
      <w:r w:rsidRPr="001663AE">
        <w:t>58</w:t>
      </w:r>
      <w:r w:rsidRPr="001663AE">
        <w:rPr>
          <w:rFonts w:hint="eastAsia"/>
        </w:rPr>
        <w:t>、</w:t>
      </w:r>
      <w:r w:rsidRPr="001663AE">
        <w:t>60</w:t>
      </w:r>
      <w:r w:rsidRPr="001663AE">
        <w:rPr>
          <w:rFonts w:hint="eastAsia"/>
        </w:rPr>
        <w:t>條條文。</w:t>
      </w:r>
      <w:r w:rsidRPr="001663AE">
        <w:t xml:space="preserve"> </w:t>
      </w:r>
    </w:p>
    <w:p w14:paraId="553555BF" w14:textId="77777777" w:rsidR="00CA23FA" w:rsidRPr="001663AE" w:rsidRDefault="00CA23FA" w:rsidP="00D87D91">
      <w:pPr>
        <w:pStyle w:val="3"/>
      </w:pPr>
      <w:r w:rsidRPr="001663AE">
        <w:t>9‧</w:t>
      </w:r>
      <w:r w:rsidRPr="001663AE">
        <w:rPr>
          <w:rFonts w:hint="eastAsia"/>
        </w:rPr>
        <w:t>中華民國九十六年七月十一日總統華總一義字第</w:t>
      </w:r>
      <w:r w:rsidRPr="001663AE">
        <w:t>09600087311</w:t>
      </w:r>
      <w:r w:rsidRPr="001663AE">
        <w:rPr>
          <w:rFonts w:hint="eastAsia"/>
        </w:rPr>
        <w:t>號令修正公布第</w:t>
      </w:r>
      <w:r w:rsidRPr="001663AE">
        <w:t>52</w:t>
      </w:r>
      <w:r w:rsidRPr="001663AE">
        <w:rPr>
          <w:rFonts w:hint="eastAsia"/>
        </w:rPr>
        <w:t>條條文。</w:t>
      </w:r>
      <w:r w:rsidRPr="001663AE">
        <w:t xml:space="preserve"> </w:t>
      </w:r>
    </w:p>
    <w:p w14:paraId="7A275A86" w14:textId="77777777" w:rsidR="00CA23FA" w:rsidRPr="001663AE" w:rsidRDefault="00CA23FA" w:rsidP="00D87D91">
      <w:pPr>
        <w:pStyle w:val="3"/>
      </w:pPr>
      <w:r w:rsidRPr="001663AE">
        <w:t>10‧</w:t>
      </w:r>
      <w:r w:rsidRPr="001663AE">
        <w:rPr>
          <w:rFonts w:hint="eastAsia"/>
        </w:rPr>
        <w:t>中華民國九十七年八月六日總統華總一義字第</w:t>
      </w:r>
      <w:r w:rsidRPr="001663AE">
        <w:t>09700147411</w:t>
      </w:r>
      <w:r w:rsidRPr="001663AE">
        <w:rPr>
          <w:rFonts w:hint="eastAsia"/>
        </w:rPr>
        <w:t>號令修正公布第</w:t>
      </w:r>
      <w:r w:rsidRPr="001663AE">
        <w:t>48</w:t>
      </w:r>
      <w:r w:rsidRPr="001663AE">
        <w:rPr>
          <w:rFonts w:hint="eastAsia"/>
        </w:rPr>
        <w:t>條條文。</w:t>
      </w:r>
      <w:r w:rsidRPr="001663AE">
        <w:t xml:space="preserve"> </w:t>
      </w:r>
    </w:p>
    <w:p w14:paraId="52C8B439" w14:textId="77777777" w:rsidR="00CA23FA" w:rsidRPr="001663AE" w:rsidRDefault="00CA23FA" w:rsidP="00D87D91">
      <w:pPr>
        <w:pStyle w:val="3"/>
      </w:pPr>
      <w:r w:rsidRPr="001663AE">
        <w:t>11‧</w:t>
      </w:r>
      <w:r w:rsidRPr="001663AE">
        <w:rPr>
          <w:rFonts w:hint="eastAsia"/>
        </w:rPr>
        <w:t>中華民國九十八年五月十三日總統華總一義字第</w:t>
      </w:r>
      <w:r w:rsidRPr="001663AE">
        <w:t>09800116311</w:t>
      </w:r>
      <w:r w:rsidRPr="001663AE">
        <w:rPr>
          <w:rFonts w:hint="eastAsia"/>
        </w:rPr>
        <w:t>號令修正公布第</w:t>
      </w:r>
      <w:r w:rsidRPr="001663AE">
        <w:t>2</w:t>
      </w:r>
      <w:r w:rsidRPr="001663AE">
        <w:rPr>
          <w:rFonts w:hint="eastAsia"/>
        </w:rPr>
        <w:t>、</w:t>
      </w:r>
      <w:r w:rsidRPr="001663AE">
        <w:t>24</w:t>
      </w:r>
      <w:r w:rsidRPr="001663AE">
        <w:rPr>
          <w:rFonts w:hint="eastAsia"/>
        </w:rPr>
        <w:t>、</w:t>
      </w:r>
      <w:r w:rsidRPr="001663AE">
        <w:t>26</w:t>
      </w:r>
      <w:r w:rsidRPr="001663AE">
        <w:rPr>
          <w:rFonts w:hint="eastAsia"/>
        </w:rPr>
        <w:t>條條文。</w:t>
      </w:r>
      <w:r w:rsidRPr="001663AE">
        <w:t xml:space="preserve"> </w:t>
      </w:r>
    </w:p>
    <w:p w14:paraId="78B6DE1F" w14:textId="77777777" w:rsidR="00CA23FA" w:rsidRPr="001663AE" w:rsidRDefault="00CA23FA" w:rsidP="00D87D91">
      <w:pPr>
        <w:pStyle w:val="3"/>
      </w:pPr>
      <w:r w:rsidRPr="001663AE">
        <w:t>12‧</w:t>
      </w:r>
      <w:r w:rsidRPr="001663AE">
        <w:rPr>
          <w:rFonts w:hint="eastAsia"/>
        </w:rPr>
        <w:t>中華民國一百零一年一月三十日總統華總一義字第</w:t>
      </w:r>
      <w:r w:rsidRPr="001663AE">
        <w:t>10100021441</w:t>
      </w:r>
      <w:r w:rsidRPr="001663AE">
        <w:rPr>
          <w:rFonts w:hint="eastAsia"/>
        </w:rPr>
        <w:t>號令修正公布第</w:t>
      </w:r>
      <w:r w:rsidRPr="001663AE">
        <w:t>52</w:t>
      </w:r>
      <w:r w:rsidRPr="001663AE">
        <w:rPr>
          <w:rFonts w:hint="eastAsia"/>
        </w:rPr>
        <w:t>、</w:t>
      </w:r>
      <w:r w:rsidRPr="001663AE">
        <w:t>55</w:t>
      </w:r>
      <w:r w:rsidRPr="001663AE">
        <w:rPr>
          <w:rFonts w:hint="eastAsia"/>
        </w:rPr>
        <w:t>條條文。</w:t>
      </w:r>
      <w:r w:rsidRPr="001663AE">
        <w:t xml:space="preserve"> </w:t>
      </w:r>
    </w:p>
    <w:p w14:paraId="1A744F4A" w14:textId="77777777" w:rsidR="00CA23FA" w:rsidRPr="001663AE" w:rsidRDefault="00CA23FA" w:rsidP="00D87D91">
      <w:pPr>
        <w:pStyle w:val="3"/>
      </w:pPr>
      <w:r w:rsidRPr="001663AE">
        <w:t>13‧</w:t>
      </w:r>
      <w:r w:rsidRPr="001663AE">
        <w:rPr>
          <w:rFonts w:hint="eastAsia"/>
        </w:rPr>
        <w:t>中華民國一百零一年十一月二十八日總統華總一義字第</w:t>
      </w:r>
      <w:r w:rsidRPr="001663AE">
        <w:t>10100264211</w:t>
      </w:r>
      <w:r w:rsidRPr="001663AE">
        <w:rPr>
          <w:rFonts w:hint="eastAsia"/>
        </w:rPr>
        <w:t>號令修正公布第</w:t>
      </w:r>
      <w:r w:rsidRPr="001663AE">
        <w:t>5</w:t>
      </w:r>
      <w:r w:rsidRPr="001663AE">
        <w:rPr>
          <w:rFonts w:hint="eastAsia"/>
        </w:rPr>
        <w:t>條條文。</w:t>
      </w:r>
    </w:p>
    <w:p w14:paraId="7B127F74" w14:textId="77777777" w:rsidR="00CA23FA" w:rsidRPr="001663AE" w:rsidRDefault="00CA23FA" w:rsidP="00D87D91">
      <w:pPr>
        <w:pStyle w:val="3"/>
      </w:pPr>
      <w:r w:rsidRPr="001663AE">
        <w:t xml:space="preserve"> </w:t>
      </w:r>
      <w:r w:rsidRPr="001663AE">
        <w:rPr>
          <w:rFonts w:hint="eastAsia"/>
        </w:rPr>
        <w:t>截到民國</w:t>
      </w:r>
      <w:r w:rsidRPr="001663AE">
        <w:t>102</w:t>
      </w:r>
      <w:r w:rsidRPr="001663AE">
        <w:rPr>
          <w:rFonts w:hint="eastAsia"/>
        </w:rPr>
        <w:t>年上半年為止，「就業服務法」共計有</w:t>
      </w:r>
      <w:r w:rsidRPr="001663AE">
        <w:t>70</w:t>
      </w:r>
      <w:r w:rsidRPr="001663AE">
        <w:rPr>
          <w:rFonts w:hint="eastAsia"/>
        </w:rPr>
        <w:t>個條文。</w:t>
      </w:r>
    </w:p>
  </w:footnote>
  <w:footnote w:id="499">
    <w:p w14:paraId="0FB0807A" w14:textId="77777777" w:rsidR="00CA23FA" w:rsidRPr="001663AE" w:rsidRDefault="00CA23FA" w:rsidP="00D87D91">
      <w:pPr>
        <w:pStyle w:val="3"/>
      </w:pPr>
      <w:r w:rsidRPr="001663AE">
        <w:rPr>
          <w:rStyle w:val="af3"/>
          <w:rFonts w:ascii="新細明體" w:hAnsi="新細明體"/>
        </w:rPr>
        <w:footnoteRef/>
      </w:r>
      <w:r w:rsidRPr="001663AE">
        <w:rPr>
          <w:rFonts w:hint="eastAsia"/>
        </w:rPr>
        <w:t>吳俊明，「就業服務法立法經過及主要內容」，就業與訓練，第</w:t>
      </w:r>
      <w:r w:rsidRPr="001663AE">
        <w:t>10</w:t>
      </w:r>
      <w:r w:rsidRPr="001663AE">
        <w:rPr>
          <w:rFonts w:hint="eastAsia"/>
        </w:rPr>
        <w:t>卷第</w:t>
      </w:r>
      <w:r w:rsidRPr="001663AE">
        <w:t>4</w:t>
      </w:r>
      <w:r w:rsidRPr="001663AE">
        <w:rPr>
          <w:rFonts w:hint="eastAsia"/>
        </w:rPr>
        <w:t>期，民國</w:t>
      </w:r>
      <w:r w:rsidRPr="001663AE">
        <w:t>81</w:t>
      </w:r>
      <w:r w:rsidRPr="001663AE">
        <w:rPr>
          <w:rFonts w:hint="eastAsia"/>
        </w:rPr>
        <w:t>年</w:t>
      </w:r>
      <w:r w:rsidRPr="001663AE">
        <w:t>7</w:t>
      </w:r>
      <w:r w:rsidRPr="001663AE">
        <w:rPr>
          <w:rFonts w:hint="eastAsia"/>
        </w:rPr>
        <w:t>月。</w:t>
      </w:r>
    </w:p>
  </w:footnote>
  <w:footnote w:id="500">
    <w:p w14:paraId="013D7B33" w14:textId="77777777"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9</w:t>
      </w:r>
      <w:r w:rsidRPr="001663AE">
        <w:rPr>
          <w:rFonts w:hint="eastAsia"/>
        </w:rPr>
        <w:t>、</w:t>
      </w:r>
      <w:r w:rsidRPr="001663AE">
        <w:t>11</w:t>
      </w:r>
      <w:r w:rsidRPr="001663AE">
        <w:rPr>
          <w:rFonts w:hint="eastAsia"/>
        </w:rPr>
        <w:t>、</w:t>
      </w:r>
      <w:r w:rsidRPr="001663AE">
        <w:t>13</w:t>
      </w:r>
      <w:r w:rsidRPr="001663AE">
        <w:rPr>
          <w:rFonts w:hint="eastAsia"/>
        </w:rPr>
        <w:t>、</w:t>
      </w:r>
      <w:r w:rsidRPr="001663AE">
        <w:t>15</w:t>
      </w:r>
      <w:r w:rsidRPr="001663AE">
        <w:rPr>
          <w:rFonts w:hint="eastAsia"/>
        </w:rPr>
        <w:t>、</w:t>
      </w:r>
      <w:r w:rsidRPr="001663AE">
        <w:t>19</w:t>
      </w:r>
      <w:r w:rsidRPr="001663AE">
        <w:rPr>
          <w:rFonts w:hint="eastAsia"/>
        </w:rPr>
        <w:t>、</w:t>
      </w:r>
      <w:r w:rsidRPr="001663AE">
        <w:t>30</w:t>
      </w:r>
      <w:r w:rsidRPr="001663AE">
        <w:rPr>
          <w:rFonts w:hint="eastAsia"/>
        </w:rPr>
        <w:t>、</w:t>
      </w:r>
      <w:r w:rsidRPr="001663AE">
        <w:t>31</w:t>
      </w:r>
      <w:r w:rsidRPr="001663AE">
        <w:rPr>
          <w:rFonts w:hint="eastAsia"/>
        </w:rPr>
        <w:t>、</w:t>
      </w:r>
      <w:r w:rsidRPr="001663AE">
        <w:t>32</w:t>
      </w:r>
      <w:r w:rsidRPr="001663AE">
        <w:rPr>
          <w:rFonts w:hint="eastAsia"/>
        </w:rPr>
        <w:t>期委員會紀錄。</w:t>
      </w:r>
    </w:p>
  </w:footnote>
  <w:footnote w:id="501">
    <w:p w14:paraId="2EAC13D1" w14:textId="77777777"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31</w:t>
      </w:r>
      <w:r w:rsidRPr="001663AE">
        <w:rPr>
          <w:rFonts w:hint="eastAsia"/>
        </w:rPr>
        <w:t>期委員會紀錄。</w:t>
      </w:r>
    </w:p>
  </w:footnote>
  <w:footnote w:id="502">
    <w:p w14:paraId="1A810CED" w14:textId="77777777" w:rsidR="00CA23FA" w:rsidRPr="001663AE" w:rsidRDefault="00CA23FA" w:rsidP="00D87D91">
      <w:pPr>
        <w:pStyle w:val="3"/>
      </w:pPr>
      <w:r w:rsidRPr="001663AE">
        <w:rPr>
          <w:rStyle w:val="af3"/>
          <w:rFonts w:ascii="新細明體" w:hAnsi="新細明體"/>
        </w:rPr>
        <w:footnoteRef/>
      </w:r>
      <w:r w:rsidRPr="001663AE">
        <w:rPr>
          <w:rFonts w:hint="eastAsia"/>
        </w:rPr>
        <w:t>趙守博，「談引進大陸勞工的前提與要件」，中國勞工，第</w:t>
      </w:r>
      <w:r w:rsidRPr="001663AE">
        <w:t>905</w:t>
      </w:r>
      <w:r w:rsidRPr="001663AE">
        <w:rPr>
          <w:rFonts w:hint="eastAsia"/>
        </w:rPr>
        <w:t>期，民國</w:t>
      </w:r>
      <w:r w:rsidRPr="001663AE">
        <w:t>81</w:t>
      </w:r>
      <w:r w:rsidRPr="001663AE">
        <w:rPr>
          <w:rFonts w:hint="eastAsia"/>
        </w:rPr>
        <w:t>年</w:t>
      </w:r>
      <w:r w:rsidRPr="001663AE">
        <w:t>2</w:t>
      </w:r>
      <w:r w:rsidRPr="001663AE">
        <w:rPr>
          <w:rFonts w:hint="eastAsia"/>
        </w:rPr>
        <w:t>月，第</w:t>
      </w:r>
      <w:r w:rsidRPr="001663AE">
        <w:t>4</w:t>
      </w:r>
      <w:r w:rsidRPr="001663AE">
        <w:rPr>
          <w:rFonts w:hint="eastAsia"/>
        </w:rPr>
        <w:t>～</w:t>
      </w:r>
      <w:r w:rsidRPr="001663AE">
        <w:t>5</w:t>
      </w:r>
      <w:r w:rsidRPr="001663AE">
        <w:rPr>
          <w:rFonts w:hint="eastAsia"/>
        </w:rPr>
        <w:t>頁。</w:t>
      </w:r>
    </w:p>
  </w:footnote>
  <w:footnote w:id="503">
    <w:p w14:paraId="63D99076" w14:textId="77777777" w:rsidR="00CA23FA" w:rsidRPr="001663AE" w:rsidRDefault="00CA23FA" w:rsidP="00D87D91">
      <w:pPr>
        <w:pStyle w:val="3"/>
      </w:pPr>
      <w:r w:rsidRPr="001663AE">
        <w:rPr>
          <w:rStyle w:val="af3"/>
          <w:rFonts w:ascii="新細明體" w:hAnsi="新細明體"/>
        </w:rPr>
        <w:footnoteRef/>
      </w:r>
      <w:r w:rsidRPr="001663AE">
        <w:rPr>
          <w:rFonts w:hint="eastAsia"/>
        </w:rPr>
        <w:t>趙守博，「談引進大陸勞工的前提與要件」，中國勞工，第</w:t>
      </w:r>
      <w:r w:rsidRPr="001663AE">
        <w:t>905</w:t>
      </w:r>
      <w:r w:rsidRPr="001663AE">
        <w:rPr>
          <w:rFonts w:hint="eastAsia"/>
        </w:rPr>
        <w:t>期，民國</w:t>
      </w:r>
      <w:r w:rsidRPr="001663AE">
        <w:t>81</w:t>
      </w:r>
      <w:r w:rsidRPr="001663AE">
        <w:rPr>
          <w:rFonts w:hint="eastAsia"/>
        </w:rPr>
        <w:t>年</w:t>
      </w:r>
      <w:r w:rsidRPr="001663AE">
        <w:t>2</w:t>
      </w:r>
      <w:r w:rsidRPr="001663AE">
        <w:rPr>
          <w:rFonts w:hint="eastAsia"/>
        </w:rPr>
        <w:t>月，第</w:t>
      </w:r>
      <w:r w:rsidRPr="001663AE">
        <w:t>4</w:t>
      </w:r>
      <w:r w:rsidRPr="001663AE">
        <w:rPr>
          <w:rFonts w:hint="eastAsia"/>
        </w:rPr>
        <w:t>～</w:t>
      </w:r>
      <w:r w:rsidRPr="001663AE">
        <w:t>5</w:t>
      </w:r>
      <w:r w:rsidRPr="001663AE">
        <w:rPr>
          <w:rFonts w:hint="eastAsia"/>
        </w:rPr>
        <w:t>頁。</w:t>
      </w:r>
    </w:p>
  </w:footnote>
  <w:footnote w:id="504">
    <w:p w14:paraId="2C87F571" w14:textId="77777777" w:rsidR="00CA23FA" w:rsidRPr="001663AE" w:rsidRDefault="00CA23FA" w:rsidP="00D87D91">
      <w:pPr>
        <w:pStyle w:val="3"/>
      </w:pPr>
      <w:r w:rsidRPr="001663AE">
        <w:rPr>
          <w:rStyle w:val="af3"/>
          <w:rFonts w:ascii="新細明體" w:hAnsi="新細明體"/>
        </w:rPr>
        <w:footnoteRef/>
      </w:r>
      <w:r w:rsidRPr="001663AE">
        <w:rPr>
          <w:rFonts w:hint="eastAsia"/>
        </w:rPr>
        <w:t>趙守博，「談引進大陸勞工的前提與要件」，中國勞工，第</w:t>
      </w:r>
      <w:r w:rsidRPr="001663AE">
        <w:t>905</w:t>
      </w:r>
      <w:r w:rsidRPr="001663AE">
        <w:rPr>
          <w:rFonts w:hint="eastAsia"/>
        </w:rPr>
        <w:t>期，民國</w:t>
      </w:r>
      <w:r w:rsidRPr="001663AE">
        <w:t>81</w:t>
      </w:r>
      <w:r w:rsidRPr="001663AE">
        <w:rPr>
          <w:rFonts w:hint="eastAsia"/>
        </w:rPr>
        <w:t>年</w:t>
      </w:r>
      <w:r w:rsidRPr="001663AE">
        <w:t>2</w:t>
      </w:r>
      <w:r w:rsidRPr="001663AE">
        <w:rPr>
          <w:rFonts w:hint="eastAsia"/>
        </w:rPr>
        <w:t>月，第</w:t>
      </w:r>
      <w:r w:rsidRPr="001663AE">
        <w:t>4</w:t>
      </w:r>
      <w:r w:rsidRPr="001663AE">
        <w:rPr>
          <w:rFonts w:hint="eastAsia"/>
        </w:rPr>
        <w:t>～</w:t>
      </w:r>
      <w:r w:rsidRPr="001663AE">
        <w:t>5</w:t>
      </w:r>
      <w:r w:rsidRPr="001663AE">
        <w:rPr>
          <w:rFonts w:hint="eastAsia"/>
        </w:rPr>
        <w:t>頁。</w:t>
      </w:r>
    </w:p>
  </w:footnote>
  <w:footnote w:id="505">
    <w:p w14:paraId="76DFC7DD" w14:textId="77777777"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31</w:t>
      </w:r>
      <w:r w:rsidRPr="001663AE">
        <w:rPr>
          <w:rFonts w:hint="eastAsia"/>
        </w:rPr>
        <w:t>期委員會紀錄。</w:t>
      </w:r>
    </w:p>
  </w:footnote>
  <w:footnote w:id="506">
    <w:p w14:paraId="020364FF" w14:textId="77777777"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31</w:t>
      </w:r>
      <w:r w:rsidRPr="001663AE">
        <w:rPr>
          <w:rFonts w:hint="eastAsia"/>
        </w:rPr>
        <w:t>期委員會紀錄。</w:t>
      </w:r>
    </w:p>
  </w:footnote>
  <w:footnote w:id="507">
    <w:p w14:paraId="574639EA" w14:textId="77777777"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32</w:t>
      </w:r>
      <w:r w:rsidRPr="001663AE">
        <w:rPr>
          <w:rFonts w:hint="eastAsia"/>
        </w:rPr>
        <w:t>期委員會紀錄。</w:t>
      </w:r>
    </w:p>
  </w:footnote>
  <w:footnote w:id="508">
    <w:p w14:paraId="3C28B774" w14:textId="77777777"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32</w:t>
      </w:r>
      <w:r w:rsidRPr="001663AE">
        <w:rPr>
          <w:rFonts w:hint="eastAsia"/>
        </w:rPr>
        <w:t>期委員會紀錄。</w:t>
      </w:r>
    </w:p>
  </w:footnote>
  <w:footnote w:id="509">
    <w:p w14:paraId="0112A7C6" w14:textId="77777777"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32</w:t>
      </w:r>
      <w:r w:rsidRPr="001663AE">
        <w:rPr>
          <w:rFonts w:hint="eastAsia"/>
        </w:rPr>
        <w:t>期委員會紀錄。另外，行政院版「就業服務法草案修正草案」第五十四條第一項第五款：「受聘僱從事第四十三條第一項第七款或第八款之工作，經發現有妊娠者。」</w:t>
      </w:r>
    </w:p>
  </w:footnote>
  <w:footnote w:id="510">
    <w:p w14:paraId="43BB071C" w14:textId="77777777" w:rsidR="00CA23FA" w:rsidRPr="001663AE" w:rsidRDefault="00CA23FA" w:rsidP="00D87D91">
      <w:pPr>
        <w:pStyle w:val="3"/>
      </w:pPr>
      <w:r w:rsidRPr="001663AE">
        <w:rPr>
          <w:rStyle w:val="af3"/>
          <w:rFonts w:ascii="新細明體" w:hAnsi="新細明體"/>
        </w:rPr>
        <w:footnoteRef/>
      </w:r>
      <w:r w:rsidRPr="001663AE">
        <w:rPr>
          <w:rFonts w:hint="eastAsia"/>
        </w:rPr>
        <w:t>「法國工作法」中，有關外勞管理的相關規定，不得牴觸歐洲共同體的條約、公約或協議（工作法第</w:t>
      </w:r>
      <w:r w:rsidRPr="001663AE">
        <w:t>341-1</w:t>
      </w:r>
      <w:r w:rsidRPr="001663AE">
        <w:rPr>
          <w:rFonts w:hint="eastAsia"/>
        </w:rPr>
        <w:t>條）。如關於歐洲共同體方面，西班牙與葡萄牙之僑民，自</w:t>
      </w:r>
      <w:r w:rsidRPr="001663AE">
        <w:t>1992</w:t>
      </w:r>
      <w:r w:rsidRPr="001663AE">
        <w:rPr>
          <w:rFonts w:hint="eastAsia"/>
        </w:rPr>
        <w:t>年</w:t>
      </w:r>
      <w:r w:rsidRPr="001663AE">
        <w:t>1</w:t>
      </w:r>
      <w:r w:rsidRPr="001663AE">
        <w:rPr>
          <w:rFonts w:hint="eastAsia"/>
        </w:rPr>
        <w:t>月</w:t>
      </w:r>
      <w:r w:rsidRPr="001663AE">
        <w:t>1</w:t>
      </w:r>
      <w:r w:rsidRPr="001663AE">
        <w:rPr>
          <w:rFonts w:hint="eastAsia"/>
        </w:rPr>
        <w:t>日起，其勞工可在歐洲共同市場內自由遷移。另外，歐洲議會之公約方面，法國於</w:t>
      </w:r>
      <w:r w:rsidRPr="001663AE">
        <w:t>1983</w:t>
      </w:r>
      <w:r w:rsidRPr="001663AE">
        <w:rPr>
          <w:rFonts w:hint="eastAsia"/>
        </w:rPr>
        <w:t>年</w:t>
      </w:r>
      <w:r w:rsidRPr="001663AE">
        <w:t>12</w:t>
      </w:r>
      <w:r w:rsidRPr="001663AE">
        <w:rPr>
          <w:rFonts w:hint="eastAsia"/>
        </w:rPr>
        <w:t>月批准了歐洲議會所採行之「移民勞工法律地位」公約。法國並於</w:t>
      </w:r>
      <w:r w:rsidRPr="001663AE">
        <w:t>1984</w:t>
      </w:r>
      <w:r w:rsidRPr="001663AE">
        <w:rPr>
          <w:rFonts w:hint="eastAsia"/>
        </w:rPr>
        <w:t>年</w:t>
      </w:r>
      <w:r w:rsidRPr="001663AE">
        <w:t>1</w:t>
      </w:r>
      <w:r w:rsidRPr="001663AE">
        <w:rPr>
          <w:rFonts w:hint="eastAsia"/>
        </w:rPr>
        <w:t>月</w:t>
      </w:r>
      <w:r w:rsidRPr="001663AE">
        <w:t>1</w:t>
      </w:r>
      <w:r w:rsidRPr="001663AE">
        <w:rPr>
          <w:rFonts w:hint="eastAsia"/>
        </w:rPr>
        <w:t>日起實施「移民勞工法律地位」公約。法國工作法對外籍勞工之管理頗為完善，如第</w:t>
      </w:r>
      <w:r w:rsidRPr="001663AE">
        <w:t>341-2</w:t>
      </w:r>
      <w:r w:rsidRPr="001663AE">
        <w:rPr>
          <w:rFonts w:hint="eastAsia"/>
        </w:rPr>
        <w:t>條、第</w:t>
      </w:r>
      <w:r w:rsidRPr="001663AE">
        <w:t>341-4</w:t>
      </w:r>
      <w:r w:rsidRPr="001663AE">
        <w:rPr>
          <w:rFonts w:hint="eastAsia"/>
        </w:rPr>
        <w:t>條、第</w:t>
      </w:r>
      <w:r w:rsidRPr="001663AE">
        <w:t>R.341-1</w:t>
      </w:r>
      <w:r w:rsidRPr="001663AE">
        <w:rPr>
          <w:rFonts w:hint="eastAsia"/>
        </w:rPr>
        <w:t>條、第</w:t>
      </w:r>
      <w:r w:rsidRPr="001663AE">
        <w:t>R.341-3</w:t>
      </w:r>
      <w:r w:rsidRPr="001663AE">
        <w:rPr>
          <w:rFonts w:hint="eastAsia"/>
        </w:rPr>
        <w:t>條及第</w:t>
      </w:r>
      <w:r w:rsidRPr="001663AE">
        <w:t>R.341-3-1</w:t>
      </w:r>
      <w:r w:rsidRPr="001663AE">
        <w:rPr>
          <w:rFonts w:hint="eastAsia"/>
        </w:rPr>
        <w:t>條等均是涉及在法國從事受薪工作，須具有許可證之規定；在保障外籍勞工權利方面，第</w:t>
      </w:r>
      <w:r w:rsidRPr="001663AE">
        <w:t>121-1</w:t>
      </w:r>
      <w:r w:rsidRPr="001663AE">
        <w:rPr>
          <w:rFonts w:hint="eastAsia"/>
        </w:rPr>
        <w:t>條、第</w:t>
      </w:r>
      <w:r w:rsidRPr="001663AE">
        <w:t>133-5</w:t>
      </w:r>
      <w:r w:rsidRPr="001663AE">
        <w:rPr>
          <w:rFonts w:hint="eastAsia"/>
        </w:rPr>
        <w:t>條、第</w:t>
      </w:r>
      <w:r w:rsidRPr="001663AE">
        <w:t>143-13-1</w:t>
      </w:r>
      <w:r w:rsidRPr="001663AE">
        <w:rPr>
          <w:rFonts w:hint="eastAsia"/>
        </w:rPr>
        <w:t>條、第</w:t>
      </w:r>
      <w:r w:rsidRPr="001663AE">
        <w:t>341-6-1</w:t>
      </w:r>
      <w:r w:rsidRPr="001663AE">
        <w:rPr>
          <w:rFonts w:hint="eastAsia"/>
        </w:rPr>
        <w:t>條之規定，亦頗為週延；在罰則方面，則有第</w:t>
      </w:r>
      <w:r w:rsidRPr="001663AE">
        <w:t>341-7</w:t>
      </w:r>
      <w:r w:rsidRPr="001663AE">
        <w:rPr>
          <w:rFonts w:hint="eastAsia"/>
        </w:rPr>
        <w:t>條、第</w:t>
      </w:r>
      <w:r w:rsidRPr="001663AE">
        <w:t>R.341-35</w:t>
      </w:r>
      <w:r w:rsidRPr="001663AE">
        <w:rPr>
          <w:rFonts w:hint="eastAsia"/>
        </w:rPr>
        <w:t>條、第</w:t>
      </w:r>
      <w:r w:rsidRPr="001663AE">
        <w:t>364-1</w:t>
      </w:r>
      <w:r w:rsidRPr="001663AE">
        <w:rPr>
          <w:rFonts w:hint="eastAsia"/>
        </w:rPr>
        <w:t>條、第</w:t>
      </w:r>
      <w:r w:rsidRPr="001663AE">
        <w:t>364-2-1</w:t>
      </w:r>
      <w:r w:rsidRPr="001663AE">
        <w:rPr>
          <w:rFonts w:hint="eastAsia"/>
        </w:rPr>
        <w:t>條、第</w:t>
      </w:r>
      <w:r w:rsidRPr="001663AE">
        <w:t>364-2-2</w:t>
      </w:r>
      <w:r w:rsidRPr="001663AE">
        <w:rPr>
          <w:rFonts w:hint="eastAsia"/>
        </w:rPr>
        <w:t>條、第</w:t>
      </w:r>
      <w:r w:rsidRPr="001663AE">
        <w:t>364-3</w:t>
      </w:r>
      <w:r w:rsidRPr="001663AE">
        <w:rPr>
          <w:rFonts w:hint="eastAsia"/>
        </w:rPr>
        <w:t>條及第</w:t>
      </w:r>
      <w:r w:rsidRPr="001663AE">
        <w:t>631-1</w:t>
      </w:r>
      <w:r w:rsidRPr="001663AE">
        <w:rPr>
          <w:rFonts w:hint="eastAsia"/>
        </w:rPr>
        <w:t>條等條文之規定。以上，請參閱：</w:t>
      </w:r>
      <w:r w:rsidRPr="001663AE">
        <w:rPr>
          <w:rFonts w:cs="標楷體" w:hint="eastAsia"/>
        </w:rPr>
        <w:t>牟永平，「論法國之外籍勞工管理」，外事警察學術研討會</w:t>
      </w:r>
      <w:r w:rsidRPr="001663AE">
        <w:rPr>
          <w:rFonts w:hint="eastAsia"/>
        </w:rPr>
        <w:t>外籍勞工管理論文集，中央警察大學外事系，民國</w:t>
      </w:r>
      <w:r w:rsidRPr="001663AE">
        <w:t>83</w:t>
      </w:r>
      <w:r w:rsidRPr="001663AE">
        <w:rPr>
          <w:rFonts w:hint="eastAsia"/>
        </w:rPr>
        <w:t>年</w:t>
      </w:r>
      <w:r w:rsidRPr="001663AE">
        <w:t>12</w:t>
      </w:r>
      <w:r w:rsidRPr="001663AE">
        <w:rPr>
          <w:rFonts w:hint="eastAsia"/>
        </w:rPr>
        <w:t>月，第</w:t>
      </w:r>
      <w:r w:rsidRPr="001663AE">
        <w:t>73</w:t>
      </w:r>
      <w:r w:rsidRPr="001663AE">
        <w:rPr>
          <w:rFonts w:hint="eastAsia"/>
        </w:rPr>
        <w:t>～</w:t>
      </w:r>
      <w:r w:rsidRPr="001663AE">
        <w:t>123</w:t>
      </w:r>
      <w:r w:rsidRPr="001663AE">
        <w:rPr>
          <w:rFonts w:hint="eastAsia"/>
        </w:rPr>
        <w:t>頁。</w:t>
      </w:r>
    </w:p>
  </w:footnote>
  <w:footnote w:id="511">
    <w:p w14:paraId="790C8F24"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奧地利相關的勞動法規如「勞動契約法」、「受雇者保護法」、「集體勞動法」、「社會安全法」等皆視同外籍勞工為本國人民給予平等待遇；然有少部份法律歧視依然存在，如解雇保護及「工作委員會」的代表權上均不如奧國本土勞工，多數學者認為應修正以強化保障外勞的權益。以上，請參閱：</w:t>
      </w:r>
      <w:r w:rsidRPr="001663AE">
        <w:rPr>
          <w:rFonts w:cs="標楷體" w:hint="eastAsia"/>
        </w:rPr>
        <w:t>王惠玲，「德奧外籍勞工問題探討」，國立政治大學勞動學報，</w:t>
      </w:r>
      <w:r w:rsidRPr="001663AE">
        <w:t>1993</w:t>
      </w:r>
      <w:r w:rsidRPr="001663AE">
        <w:rPr>
          <w:rFonts w:hint="eastAsia"/>
        </w:rPr>
        <w:t>年</w:t>
      </w:r>
      <w:r w:rsidRPr="001663AE">
        <w:t>6</w:t>
      </w:r>
      <w:r w:rsidRPr="001663AE">
        <w:rPr>
          <w:rFonts w:hint="eastAsia"/>
        </w:rPr>
        <w:t>月，第</w:t>
      </w:r>
      <w:r w:rsidRPr="001663AE">
        <w:t>1</w:t>
      </w:r>
      <w:r w:rsidRPr="001663AE">
        <w:rPr>
          <w:rFonts w:hint="eastAsia"/>
        </w:rPr>
        <w:t>～</w:t>
      </w:r>
      <w:r w:rsidRPr="001663AE">
        <w:t>17</w:t>
      </w:r>
      <w:r w:rsidRPr="001663AE">
        <w:rPr>
          <w:rFonts w:hint="eastAsia"/>
        </w:rPr>
        <w:t>頁。</w:t>
      </w:r>
    </w:p>
  </w:footnote>
  <w:footnote w:id="512">
    <w:p w14:paraId="71DC58CD" w14:textId="77777777" w:rsidR="00CA23FA" w:rsidRPr="001663AE" w:rsidRDefault="00CA23FA" w:rsidP="00D87D91">
      <w:pPr>
        <w:pStyle w:val="3"/>
      </w:pPr>
      <w:r w:rsidRPr="001663AE">
        <w:rPr>
          <w:rStyle w:val="af3"/>
          <w:rFonts w:ascii="新細明體" w:hAnsi="新細明體"/>
        </w:rPr>
        <w:footnoteRef/>
      </w:r>
      <w:r w:rsidRPr="001663AE">
        <w:rPr>
          <w:rFonts w:hint="eastAsia"/>
        </w:rPr>
        <w:t>牟永平，「論法國之外籍勞工管理」，外事警察學術研討會外籍勞工管理論文集，中央警察大學，民國八十三年十二月，頁</w:t>
      </w:r>
      <w:r w:rsidRPr="001663AE">
        <w:t>81</w:t>
      </w:r>
      <w:r w:rsidRPr="001663AE">
        <w:rPr>
          <w:rFonts w:hint="eastAsia"/>
        </w:rPr>
        <w:t>。</w:t>
      </w:r>
    </w:p>
  </w:footnote>
  <w:footnote w:id="513">
    <w:p w14:paraId="2D47B313" w14:textId="77777777" w:rsidR="00CA23FA" w:rsidRPr="001663AE" w:rsidRDefault="00CA23FA" w:rsidP="00D87D91">
      <w:pPr>
        <w:pStyle w:val="3"/>
      </w:pPr>
      <w:r w:rsidRPr="001663AE">
        <w:rPr>
          <w:rStyle w:val="af3"/>
          <w:rFonts w:ascii="新細明體" w:hAnsi="新細明體"/>
        </w:rPr>
        <w:footnoteRef/>
      </w:r>
      <w:r w:rsidRPr="001663AE">
        <w:rPr>
          <w:rFonts w:hint="eastAsia"/>
        </w:rPr>
        <w:t>彭台臨，「瑞士的外籍勞動力引進與管理」，就業與訓練，民國八十四年三月，頁</w:t>
      </w:r>
      <w:r w:rsidRPr="001663AE">
        <w:t>24</w:t>
      </w:r>
      <w:r w:rsidRPr="001663AE">
        <w:rPr>
          <w:rFonts w:hint="eastAsia"/>
        </w:rPr>
        <w:t>到</w:t>
      </w:r>
      <w:r w:rsidRPr="001663AE">
        <w:t>25</w:t>
      </w:r>
      <w:r w:rsidRPr="001663AE">
        <w:rPr>
          <w:rFonts w:hint="eastAsia"/>
        </w:rPr>
        <w:t>。</w:t>
      </w:r>
    </w:p>
  </w:footnote>
  <w:footnote w:id="514">
    <w:p w14:paraId="32ADAA75" w14:textId="77777777" w:rsidR="00CA23FA" w:rsidRPr="001663AE" w:rsidRDefault="00CA23FA" w:rsidP="00D87D91">
      <w:pPr>
        <w:pStyle w:val="3"/>
      </w:pPr>
      <w:r w:rsidRPr="001663AE">
        <w:rPr>
          <w:rStyle w:val="af3"/>
          <w:rFonts w:ascii="新細明體" w:hAnsi="新細明體"/>
        </w:rPr>
        <w:footnoteRef/>
      </w:r>
      <w:r w:rsidRPr="001663AE">
        <w:rPr>
          <w:rFonts w:hint="eastAsia"/>
        </w:rPr>
        <w:t>林坤亮，「我國外籍勞工管理制度之研究」，中國文化大學勞工關係研究所碩士論文，民國八十二年十二月，頁</w:t>
      </w:r>
      <w:r w:rsidRPr="001663AE">
        <w:t>49</w:t>
      </w:r>
      <w:r w:rsidRPr="001663AE">
        <w:rPr>
          <w:rFonts w:hint="eastAsia"/>
        </w:rPr>
        <w:t>。</w:t>
      </w:r>
    </w:p>
  </w:footnote>
  <w:footnote w:id="515">
    <w:p w14:paraId="4B711A14" w14:textId="77777777" w:rsidR="00CA23FA" w:rsidRPr="001663AE" w:rsidRDefault="00CA23FA" w:rsidP="00D87D91">
      <w:pPr>
        <w:pStyle w:val="3"/>
      </w:pPr>
      <w:r w:rsidRPr="001663AE">
        <w:rPr>
          <w:rStyle w:val="af3"/>
          <w:rFonts w:ascii="新細明體" w:hAnsi="新細明體"/>
        </w:rPr>
        <w:footnoteRef/>
      </w:r>
      <w:r w:rsidRPr="001663AE">
        <w:rPr>
          <w:rFonts w:hint="eastAsia"/>
        </w:rPr>
        <w:t>成之約，「美國移入勞動人口問題及相關政策之探討」，勞動學報第三期，</w:t>
      </w:r>
      <w:r w:rsidRPr="001663AE">
        <w:t>1993</w:t>
      </w:r>
      <w:r w:rsidRPr="001663AE">
        <w:rPr>
          <w:rFonts w:hint="eastAsia"/>
        </w:rPr>
        <w:t>年</w:t>
      </w:r>
      <w:r w:rsidRPr="001663AE">
        <w:t>6</w:t>
      </w:r>
      <w:r w:rsidRPr="001663AE">
        <w:rPr>
          <w:rFonts w:hint="eastAsia"/>
        </w:rPr>
        <w:t>月，頁</w:t>
      </w:r>
      <w:r w:rsidRPr="001663AE">
        <w:t>69</w:t>
      </w:r>
      <w:r w:rsidRPr="001663AE">
        <w:rPr>
          <w:rFonts w:hint="eastAsia"/>
        </w:rPr>
        <w:t>至</w:t>
      </w:r>
      <w:r w:rsidRPr="001663AE">
        <w:t>84</w:t>
      </w:r>
      <w:r w:rsidRPr="001663AE">
        <w:rPr>
          <w:rFonts w:hint="eastAsia"/>
        </w:rPr>
        <w:t>。</w:t>
      </w:r>
    </w:p>
  </w:footnote>
  <w:footnote w:id="516">
    <w:p w14:paraId="4D02475C"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Style w:val="search2"/>
          <w:rFonts w:ascii="新細明體" w:hAnsi="新細明體" w:hint="eastAsia"/>
        </w:rPr>
        <w:t>職業訓練局改制為「勞動力發展署」。</w:t>
      </w:r>
    </w:p>
  </w:footnote>
  <w:footnote w:id="517">
    <w:p w14:paraId="6B7862F2" w14:textId="77777777" w:rsidR="00CA23FA" w:rsidRPr="001663AE" w:rsidRDefault="00CA23FA" w:rsidP="00D87D91">
      <w:pPr>
        <w:pStyle w:val="3"/>
      </w:pPr>
      <w:r w:rsidRPr="001663AE">
        <w:rPr>
          <w:rStyle w:val="af3"/>
          <w:rFonts w:ascii="新細明體" w:hAnsi="新細明體"/>
        </w:rPr>
        <w:footnoteRef/>
      </w:r>
      <w:r w:rsidRPr="001663AE">
        <w:rPr>
          <w:rFonts w:hint="eastAsia"/>
        </w:rPr>
        <w:t>黃紹祥，「我國外籍勞工管理實務之探討」，中央警察大學外事警察學術研討會論文集，民國</w:t>
      </w:r>
      <w:r w:rsidRPr="001663AE">
        <w:t>83</w:t>
      </w:r>
      <w:r w:rsidRPr="001663AE">
        <w:rPr>
          <w:rFonts w:hint="eastAsia"/>
        </w:rPr>
        <w:t>年</w:t>
      </w:r>
      <w:r w:rsidRPr="001663AE">
        <w:t>12</w:t>
      </w:r>
      <w:r w:rsidRPr="001663AE">
        <w:rPr>
          <w:rFonts w:hint="eastAsia"/>
        </w:rPr>
        <w:t>月，頁</w:t>
      </w:r>
      <w:r w:rsidRPr="001663AE">
        <w:t>64</w:t>
      </w:r>
      <w:r w:rsidRPr="001663AE">
        <w:rPr>
          <w:rFonts w:hint="eastAsia"/>
        </w:rPr>
        <w:t>。</w:t>
      </w:r>
    </w:p>
  </w:footnote>
  <w:footnote w:id="518">
    <w:p w14:paraId="0478C58B" w14:textId="77777777" w:rsidR="00CA23FA" w:rsidRPr="001663AE" w:rsidRDefault="00CA23FA" w:rsidP="00D87D91">
      <w:pPr>
        <w:pStyle w:val="3"/>
      </w:pPr>
      <w:r w:rsidRPr="001663AE">
        <w:rPr>
          <w:rStyle w:val="af3"/>
          <w:rFonts w:ascii="新細明體" w:hAnsi="新細明體"/>
        </w:rPr>
        <w:footnoteRef/>
      </w:r>
      <w:r w:rsidRPr="001663AE">
        <w:rPr>
          <w:rFonts w:hint="eastAsia"/>
        </w:rPr>
        <w:t>依照工作法第</w:t>
      </w:r>
      <w:r w:rsidRPr="001663AE">
        <w:t>341-4</w:t>
      </w:r>
      <w:r w:rsidRPr="001663AE">
        <w:rPr>
          <w:rFonts w:hint="eastAsia"/>
        </w:rPr>
        <w:t>條規定，外國人不能在沒有得到第</w:t>
      </w:r>
      <w:r w:rsidRPr="001663AE">
        <w:t>341-2</w:t>
      </w:r>
      <w:r w:rsidRPr="001663AE">
        <w:rPr>
          <w:rFonts w:hint="eastAsia"/>
        </w:rPr>
        <w:t>條之事前許可下，在法國從事受薪工作。「工作許可」可在此外國人申請臨時居留證（加註有「受薪者」）時給予，亦可以「常駐居留證」之形式給予外國人。而兩者之區別在於，「臨時居留證」加註「受薪者」，有效期限為一年，並使該外國人有權在卡上所加註之職業與區域內工作；「常駐居留證」之持卡者，有權在法國領土內，從事各類之受薪職業，有效期限為</w:t>
      </w:r>
      <w:r w:rsidRPr="001663AE">
        <w:t>10</w:t>
      </w:r>
      <w:r w:rsidRPr="001663AE">
        <w:rPr>
          <w:rFonts w:hint="eastAsia"/>
        </w:rPr>
        <w:t>年。</w:t>
      </w:r>
      <w:r w:rsidRPr="001663AE">
        <w:t xml:space="preserve"> </w:t>
      </w:r>
      <w:r w:rsidRPr="001663AE">
        <w:rPr>
          <w:rFonts w:hint="eastAsia"/>
        </w:rPr>
        <w:t>以上，請參閱：</w:t>
      </w:r>
      <w:r w:rsidRPr="001663AE">
        <w:rPr>
          <w:rFonts w:cs="標楷體" w:hint="eastAsia"/>
        </w:rPr>
        <w:t>牟永平，「論法國之外籍勞工管理」，外事警察學術研討會外籍勞工管理論文集，中央</w:t>
      </w:r>
      <w:r w:rsidRPr="001663AE">
        <w:rPr>
          <w:rFonts w:hint="eastAsia"/>
        </w:rPr>
        <w:t>警察大學，民國八十三年十二月，頁</w:t>
      </w:r>
      <w:r w:rsidRPr="001663AE">
        <w:t>73-123</w:t>
      </w:r>
      <w:r w:rsidRPr="001663AE">
        <w:rPr>
          <w:rFonts w:hint="eastAsia"/>
        </w:rPr>
        <w:t>。</w:t>
      </w:r>
    </w:p>
  </w:footnote>
  <w:footnote w:id="519">
    <w:p w14:paraId="283F2111"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「外國人聘僱許可及管理辦法」業已修改為「雇主聘僱外國人許可及管理辦法」。</w:t>
      </w:r>
      <w:r w:rsidRPr="001663AE">
        <w:t xml:space="preserve"> </w:t>
      </w:r>
    </w:p>
  </w:footnote>
  <w:footnote w:id="520">
    <w:p w14:paraId="18E44C2A" w14:textId="77777777" w:rsidR="00CA23FA" w:rsidRPr="001663AE" w:rsidRDefault="00CA23FA" w:rsidP="00D87D91">
      <w:pPr>
        <w:pStyle w:val="3"/>
      </w:pPr>
      <w:r w:rsidRPr="001663AE">
        <w:rPr>
          <w:rStyle w:val="af3"/>
          <w:rFonts w:ascii="新細明體" w:hAnsi="新細明體"/>
        </w:rPr>
        <w:footnoteRef/>
      </w:r>
      <w:r w:rsidRPr="001663AE">
        <w:rPr>
          <w:rFonts w:hint="eastAsia"/>
        </w:rPr>
        <w:t>黃紹祥，「我國外籍勞工管理實務之探討」，中央警察大學外事警察學術研討會論文集，民國</w:t>
      </w:r>
      <w:r w:rsidRPr="001663AE">
        <w:t>83</w:t>
      </w:r>
      <w:r w:rsidRPr="001663AE">
        <w:rPr>
          <w:rFonts w:hint="eastAsia"/>
        </w:rPr>
        <w:t>年</w:t>
      </w:r>
      <w:r w:rsidRPr="001663AE">
        <w:t>12</w:t>
      </w:r>
      <w:r w:rsidRPr="001663AE">
        <w:rPr>
          <w:rFonts w:hint="eastAsia"/>
        </w:rPr>
        <w:t>月，頁</w:t>
      </w:r>
      <w:r w:rsidRPr="001663AE">
        <w:t>64</w:t>
      </w:r>
      <w:r w:rsidRPr="001663AE">
        <w:rPr>
          <w:rFonts w:hint="eastAsia"/>
        </w:rPr>
        <w:t>。</w:t>
      </w:r>
    </w:p>
  </w:footnote>
  <w:footnote w:id="521">
    <w:p w14:paraId="094AA993" w14:textId="77777777" w:rsidR="00CA23FA" w:rsidRPr="001663AE" w:rsidRDefault="00CA23FA" w:rsidP="00D87D91">
      <w:pPr>
        <w:pStyle w:val="3"/>
      </w:pPr>
      <w:r w:rsidRPr="001663AE">
        <w:rPr>
          <w:rStyle w:val="af3"/>
          <w:rFonts w:ascii="新細明體" w:hAnsi="新細明體"/>
        </w:rPr>
        <w:footnoteRef/>
      </w:r>
      <w:r w:rsidRPr="001663AE">
        <w:rPr>
          <w:rFonts w:hint="eastAsia"/>
        </w:rPr>
        <w:t>曾國森，「非法外勞取締技巧及相關法律問題之研究」，中央警察大學外事警察學系外事警察學術研討會論文，民國</w:t>
      </w:r>
      <w:r w:rsidRPr="001663AE">
        <w:t>84</w:t>
      </w:r>
      <w:r w:rsidRPr="001663AE">
        <w:rPr>
          <w:rFonts w:hint="eastAsia"/>
        </w:rPr>
        <w:t>年</w:t>
      </w:r>
      <w:r w:rsidRPr="001663AE">
        <w:t>12</w:t>
      </w:r>
      <w:r w:rsidRPr="001663AE">
        <w:rPr>
          <w:rFonts w:hint="eastAsia"/>
        </w:rPr>
        <w:t>月，頁</w:t>
      </w:r>
      <w:r w:rsidRPr="001663AE">
        <w:t>1</w:t>
      </w:r>
      <w:r w:rsidRPr="001663AE">
        <w:rPr>
          <w:rFonts w:hint="eastAsia"/>
        </w:rPr>
        <w:t>至</w:t>
      </w:r>
      <w:r w:rsidRPr="001663AE">
        <w:t>13</w:t>
      </w:r>
      <w:r w:rsidRPr="001663AE">
        <w:rPr>
          <w:rFonts w:hint="eastAsia"/>
        </w:rPr>
        <w:t>；</w:t>
      </w:r>
    </w:p>
  </w:footnote>
  <w:footnote w:id="522">
    <w:p w14:paraId="1058165E"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就業服務法第</w:t>
      </w:r>
      <w:r w:rsidRPr="001663AE">
        <w:t>48</w:t>
      </w:r>
      <w:r w:rsidRPr="001663AE">
        <w:rPr>
          <w:rFonts w:hint="eastAsia"/>
        </w:rPr>
        <w:t>條（聘僱外國人之申請許可）：</w:t>
      </w:r>
    </w:p>
    <w:p w14:paraId="1E5EBCD6" w14:textId="77777777" w:rsidR="00CA23FA" w:rsidRPr="001663AE" w:rsidRDefault="00CA23FA" w:rsidP="00D87D91">
      <w:pPr>
        <w:pStyle w:val="3"/>
      </w:pPr>
      <w:r w:rsidRPr="001663AE">
        <w:rPr>
          <w:rFonts w:hint="eastAsia"/>
        </w:rPr>
        <w:t xml:space="preserve">　　雇主聘僱外國人工作，應檢具有關檔，向中央主管機關申請許可。但有下列情形之一，不須申請許可：</w:t>
      </w:r>
      <w:r w:rsidRPr="001663AE">
        <w:t xml:space="preserve"> </w:t>
      </w:r>
    </w:p>
    <w:p w14:paraId="337F296C" w14:textId="77777777" w:rsidR="00CA23FA" w:rsidRPr="001663AE" w:rsidRDefault="00CA23FA" w:rsidP="00D87D91">
      <w:pPr>
        <w:pStyle w:val="3"/>
      </w:pPr>
      <w:r w:rsidRPr="001663AE">
        <w:rPr>
          <w:rFonts w:hint="eastAsia"/>
        </w:rPr>
        <w:t xml:space="preserve">　　一、各級政府及其所屬學術研究機構聘請外國人擔任顧問或研究工作者。</w:t>
      </w:r>
      <w:r w:rsidRPr="001663AE">
        <w:t xml:space="preserve"> </w:t>
      </w:r>
    </w:p>
    <w:p w14:paraId="3064D93F" w14:textId="77777777" w:rsidR="00CA23FA" w:rsidRPr="001663AE" w:rsidRDefault="00CA23FA" w:rsidP="00D87D91">
      <w:pPr>
        <w:pStyle w:val="3"/>
      </w:pPr>
      <w:r w:rsidRPr="001663AE">
        <w:rPr>
          <w:rFonts w:hint="eastAsia"/>
        </w:rPr>
        <w:t xml:space="preserve">　　二、外國人與在中華民國境內設有戶籍之國民結婚，且獲准居留者。</w:t>
      </w:r>
      <w:r w:rsidRPr="001663AE">
        <w:t xml:space="preserve"> </w:t>
      </w:r>
    </w:p>
    <w:p w14:paraId="27EF0487" w14:textId="77777777" w:rsidR="00CA23FA" w:rsidRPr="001663AE" w:rsidRDefault="00CA23FA" w:rsidP="00D87D91">
      <w:pPr>
        <w:pStyle w:val="3"/>
      </w:pPr>
      <w:r w:rsidRPr="001663AE">
        <w:rPr>
          <w:rFonts w:hint="eastAsia"/>
        </w:rPr>
        <w:t xml:space="preserve">　　三、受聘僱於公立或經立案之私立大學進行六個月內之短期講座、學術研究經教育部認可者。</w:t>
      </w:r>
      <w:r w:rsidRPr="001663AE">
        <w:t xml:space="preserve"> </w:t>
      </w:r>
    </w:p>
    <w:p w14:paraId="178D8331" w14:textId="77777777" w:rsidR="00CA23FA" w:rsidRPr="001663AE" w:rsidRDefault="00CA23FA" w:rsidP="00D87D91">
      <w:pPr>
        <w:pStyle w:val="3"/>
      </w:pPr>
      <w:r w:rsidRPr="001663AE">
        <w:rPr>
          <w:rFonts w:hint="eastAsia"/>
        </w:rPr>
        <w:t xml:space="preserve">　　前項申請許可、廢止許可及其他有關聘僱管理之辦法，由中央主管機關會商中央目的事業主管機關定之。</w:t>
      </w:r>
      <w:r w:rsidRPr="001663AE">
        <w:t xml:space="preserve"> </w:t>
      </w:r>
    </w:p>
    <w:p w14:paraId="2AEEA19B" w14:textId="77777777" w:rsidR="00CA23FA" w:rsidRPr="001663AE" w:rsidRDefault="00CA23FA" w:rsidP="00D87D91">
      <w:pPr>
        <w:pStyle w:val="3"/>
      </w:pPr>
      <w:r w:rsidRPr="001663AE">
        <w:rPr>
          <w:rFonts w:hint="eastAsia"/>
        </w:rPr>
        <w:t xml:space="preserve">　　第一項受聘僱外國人入境前後之健康檢查管理辦法，由中央衛生主管機關會商中央主管機關定之。</w:t>
      </w:r>
      <w:r w:rsidRPr="001663AE">
        <w:t xml:space="preserve"> </w:t>
      </w:r>
    </w:p>
    <w:p w14:paraId="1FBA70A2" w14:textId="77777777" w:rsidR="00CA23FA" w:rsidRPr="001663AE" w:rsidRDefault="00CA23FA" w:rsidP="00D87D91">
      <w:pPr>
        <w:pStyle w:val="3"/>
      </w:pPr>
      <w:r w:rsidRPr="001663AE">
        <w:rPr>
          <w:rFonts w:hint="eastAsia"/>
        </w:rPr>
        <w:t xml:space="preserve">　　前項受聘僱外國人入境後之健康檢查，由中央衛生主管機關指定醫院辦理之；其受指定之資格條件、指定、廢止指定及其他管理事項之辦法，由中央衛生主管機關定之。</w:t>
      </w:r>
      <w:r w:rsidRPr="001663AE">
        <w:t xml:space="preserve"> </w:t>
      </w:r>
    </w:p>
    <w:p w14:paraId="4E7FA89A" w14:textId="77777777" w:rsidR="00CA23FA" w:rsidRPr="001663AE" w:rsidRDefault="00CA23FA" w:rsidP="00D87D91">
      <w:pPr>
        <w:pStyle w:val="3"/>
      </w:pPr>
      <w:r w:rsidRPr="001663AE">
        <w:rPr>
          <w:rFonts w:hint="eastAsia"/>
        </w:rPr>
        <w:t xml:space="preserve">　　受聘僱之外國人健康檢查不合格經限令出國者，雇主應即督促其出國。</w:t>
      </w:r>
      <w:r w:rsidRPr="001663AE">
        <w:t xml:space="preserve"> </w:t>
      </w:r>
    </w:p>
    <w:p w14:paraId="12740D2A" w14:textId="77777777" w:rsidR="00CA23FA" w:rsidRPr="001663AE" w:rsidRDefault="00CA23FA" w:rsidP="00D87D91">
      <w:pPr>
        <w:pStyle w:val="3"/>
      </w:pPr>
      <w:r w:rsidRPr="001663AE">
        <w:rPr>
          <w:rFonts w:hint="eastAsia"/>
        </w:rPr>
        <w:t xml:space="preserve">　　中央主管機關對從事第四十六條第一項第八款至第十一款規定工作之外國人，得規定其國別及數額。</w:t>
      </w:r>
      <w:r w:rsidRPr="001663AE">
        <w:t xml:space="preserve"> </w:t>
      </w:r>
    </w:p>
  </w:footnote>
  <w:footnote w:id="523">
    <w:p w14:paraId="0929C958" w14:textId="77777777" w:rsidR="00CA23FA" w:rsidRPr="001663AE" w:rsidRDefault="00CA23FA" w:rsidP="00D87D91">
      <w:pPr>
        <w:pStyle w:val="3"/>
      </w:pPr>
      <w:r w:rsidRPr="001663AE">
        <w:rPr>
          <w:rStyle w:val="af3"/>
          <w:rFonts w:ascii="新細明體" w:hAnsi="新細明體"/>
        </w:rPr>
        <w:footnoteRef/>
      </w:r>
      <w:r w:rsidRPr="001663AE">
        <w:rPr>
          <w:rFonts w:hint="eastAsia"/>
        </w:rPr>
        <w:t>曾國森，「非法外勞取締技巧及相關法律問題之研究」，中央警察大學外事警察學系外事警察學術研討會論文，民國</w:t>
      </w:r>
      <w:r w:rsidRPr="001663AE">
        <w:t>84</w:t>
      </w:r>
      <w:r w:rsidRPr="001663AE">
        <w:rPr>
          <w:rFonts w:hint="eastAsia"/>
        </w:rPr>
        <w:t>年</w:t>
      </w:r>
      <w:r w:rsidRPr="001663AE">
        <w:t>12</w:t>
      </w:r>
      <w:r w:rsidRPr="001663AE">
        <w:rPr>
          <w:rFonts w:hint="eastAsia"/>
        </w:rPr>
        <w:t>月，頁</w:t>
      </w:r>
      <w:r w:rsidRPr="001663AE">
        <w:t>1</w:t>
      </w:r>
      <w:r w:rsidRPr="001663AE">
        <w:rPr>
          <w:rFonts w:hint="eastAsia"/>
        </w:rPr>
        <w:t>至</w:t>
      </w:r>
      <w:r w:rsidRPr="001663AE">
        <w:t>13</w:t>
      </w:r>
      <w:r w:rsidRPr="001663AE">
        <w:rPr>
          <w:rFonts w:hint="eastAsia"/>
        </w:rPr>
        <w:t>；</w:t>
      </w:r>
    </w:p>
  </w:footnote>
  <w:footnote w:id="524">
    <w:p w14:paraId="231DFA94"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民國</w:t>
      </w:r>
      <w:r w:rsidRPr="001663AE">
        <w:t>89</w:t>
      </w:r>
      <w:r w:rsidRPr="001663AE">
        <w:rPr>
          <w:rFonts w:hint="eastAsia"/>
        </w:rPr>
        <w:t>年版「就業服務法」第</w:t>
      </w:r>
      <w:r w:rsidRPr="001663AE">
        <w:t>43</w:t>
      </w:r>
      <w:r w:rsidRPr="001663AE">
        <w:rPr>
          <w:rFonts w:hint="eastAsia"/>
        </w:rPr>
        <w:t>條：</w:t>
      </w:r>
    </w:p>
    <w:p w14:paraId="5022CFCA" w14:textId="77777777" w:rsidR="00CA23FA" w:rsidRPr="001663AE" w:rsidRDefault="00CA23FA" w:rsidP="00D87D91">
      <w:pPr>
        <w:pStyle w:val="3"/>
      </w:pPr>
      <w:r w:rsidRPr="001663AE">
        <w:rPr>
          <w:rFonts w:hint="eastAsia"/>
        </w:rPr>
        <w:t xml:space="preserve">　　雇主聘僱外國人在中華民國境內從事之工作，除本法另有規定外，以左列各款為限︰</w:t>
      </w:r>
      <w:r w:rsidRPr="001663AE">
        <w:t xml:space="preserve"> </w:t>
      </w:r>
    </w:p>
    <w:p w14:paraId="628A51EC" w14:textId="77777777" w:rsidR="00CA23FA" w:rsidRPr="001663AE" w:rsidRDefault="00CA23FA" w:rsidP="00D87D91">
      <w:pPr>
        <w:pStyle w:val="3"/>
      </w:pPr>
      <w:r w:rsidRPr="001663AE">
        <w:rPr>
          <w:rFonts w:hint="eastAsia"/>
        </w:rPr>
        <w:t xml:space="preserve">　　一、專門性或技術性之工作。</w:t>
      </w:r>
      <w:r w:rsidRPr="001663AE">
        <w:t xml:space="preserve"> </w:t>
      </w:r>
    </w:p>
    <w:p w14:paraId="6F75A6E5" w14:textId="77777777" w:rsidR="00CA23FA" w:rsidRPr="001663AE" w:rsidRDefault="00CA23FA" w:rsidP="00D87D91">
      <w:pPr>
        <w:pStyle w:val="3"/>
      </w:pPr>
      <w:r w:rsidRPr="001663AE">
        <w:rPr>
          <w:rFonts w:hint="eastAsia"/>
        </w:rPr>
        <w:t xml:space="preserve">　　二、華僑或外國人經政府核准投資或設立事業之主管。</w:t>
      </w:r>
      <w:r w:rsidRPr="001663AE">
        <w:t xml:space="preserve"> </w:t>
      </w:r>
    </w:p>
    <w:p w14:paraId="0F908912" w14:textId="77777777" w:rsidR="00CA23FA" w:rsidRPr="001663AE" w:rsidRDefault="00CA23FA" w:rsidP="00D87D91">
      <w:pPr>
        <w:pStyle w:val="3"/>
      </w:pPr>
      <w:r w:rsidRPr="001663AE">
        <w:rPr>
          <w:rFonts w:hint="eastAsia"/>
        </w:rPr>
        <w:t xml:space="preserve">　　三、下列學校教師︰</w:t>
      </w:r>
      <w:r w:rsidRPr="001663AE">
        <w:t xml:space="preserve"> </w:t>
      </w:r>
    </w:p>
    <w:p w14:paraId="36E71DFA" w14:textId="77777777" w:rsidR="00CA23FA" w:rsidRPr="001663AE" w:rsidRDefault="00CA23FA" w:rsidP="00D87D91">
      <w:pPr>
        <w:pStyle w:val="3"/>
      </w:pPr>
      <w:r w:rsidRPr="001663AE">
        <w:rPr>
          <w:rFonts w:hint="eastAsia"/>
        </w:rPr>
        <w:t xml:space="preserve">　　（一）公立或經立案之私立大專以上校院或外國僑民學校之教師。</w:t>
      </w:r>
      <w:r w:rsidRPr="001663AE">
        <w:t xml:space="preserve"> </w:t>
      </w:r>
    </w:p>
    <w:p w14:paraId="5B75E0A0" w14:textId="77777777" w:rsidR="00CA23FA" w:rsidRPr="001663AE" w:rsidRDefault="00CA23FA" w:rsidP="00D87D91">
      <w:pPr>
        <w:pStyle w:val="3"/>
      </w:pPr>
      <w:r w:rsidRPr="001663AE">
        <w:rPr>
          <w:rFonts w:hint="eastAsia"/>
        </w:rPr>
        <w:t xml:space="preserve">　　（二）經立案之私立國民中小學之合格外國語文課程教師。</w:t>
      </w:r>
      <w:r w:rsidRPr="001663AE">
        <w:t xml:space="preserve"> </w:t>
      </w:r>
    </w:p>
    <w:p w14:paraId="54374E0A" w14:textId="77777777" w:rsidR="00CA23FA" w:rsidRPr="001663AE" w:rsidRDefault="00CA23FA" w:rsidP="00D87D91">
      <w:pPr>
        <w:pStyle w:val="3"/>
      </w:pPr>
      <w:r w:rsidRPr="001663AE">
        <w:rPr>
          <w:rFonts w:hint="eastAsia"/>
        </w:rPr>
        <w:t xml:space="preserve">　　（三）公立或已立案私立實驗高級中等學校雙語部或雙語學校之學科教師。</w:t>
      </w:r>
      <w:r w:rsidRPr="001663AE">
        <w:t xml:space="preserve"> </w:t>
      </w:r>
    </w:p>
    <w:p w14:paraId="68B9AF65" w14:textId="77777777" w:rsidR="00CA23FA" w:rsidRPr="001663AE" w:rsidRDefault="00CA23FA" w:rsidP="00D87D91">
      <w:pPr>
        <w:pStyle w:val="3"/>
      </w:pPr>
      <w:r w:rsidRPr="001663AE">
        <w:rPr>
          <w:rFonts w:hint="eastAsia"/>
        </w:rPr>
        <w:t xml:space="preserve">　　四、依補習教育法立案之短期補習班之專任外國語文教師。</w:t>
      </w:r>
      <w:r w:rsidRPr="001663AE">
        <w:t xml:space="preserve"> </w:t>
      </w:r>
    </w:p>
    <w:p w14:paraId="368AA6C2" w14:textId="77777777" w:rsidR="00CA23FA" w:rsidRPr="001663AE" w:rsidRDefault="00CA23FA" w:rsidP="00D87D91">
      <w:pPr>
        <w:pStyle w:val="3"/>
      </w:pPr>
      <w:r w:rsidRPr="001663AE">
        <w:rPr>
          <w:rFonts w:hint="eastAsia"/>
        </w:rPr>
        <w:t xml:space="preserve">　　五、運動教練及運動員。</w:t>
      </w:r>
      <w:r w:rsidRPr="001663AE">
        <w:t xml:space="preserve"> </w:t>
      </w:r>
    </w:p>
    <w:p w14:paraId="002C3DFE" w14:textId="77777777" w:rsidR="00CA23FA" w:rsidRPr="001663AE" w:rsidRDefault="00CA23FA" w:rsidP="00D87D91">
      <w:pPr>
        <w:pStyle w:val="3"/>
      </w:pPr>
      <w:r w:rsidRPr="001663AE">
        <w:rPr>
          <w:rFonts w:hint="eastAsia"/>
        </w:rPr>
        <w:t xml:space="preserve">　　六、宗教、藝術及演藝工作。</w:t>
      </w:r>
      <w:r w:rsidRPr="001663AE">
        <w:t xml:space="preserve"> </w:t>
      </w:r>
    </w:p>
    <w:p w14:paraId="3C52E0C3" w14:textId="77777777" w:rsidR="00CA23FA" w:rsidRPr="001663AE" w:rsidRDefault="00CA23FA" w:rsidP="00D87D91">
      <w:pPr>
        <w:pStyle w:val="3"/>
      </w:pPr>
      <w:r w:rsidRPr="001663AE">
        <w:rPr>
          <w:rFonts w:hint="eastAsia"/>
        </w:rPr>
        <w:t xml:space="preserve">　　七、家庭幫傭。</w:t>
      </w:r>
      <w:r w:rsidRPr="001663AE">
        <w:t xml:space="preserve"> </w:t>
      </w:r>
    </w:p>
    <w:p w14:paraId="5285681D" w14:textId="77777777" w:rsidR="00CA23FA" w:rsidRPr="001663AE" w:rsidRDefault="00CA23FA" w:rsidP="00D87D91">
      <w:pPr>
        <w:pStyle w:val="3"/>
      </w:pPr>
      <w:r w:rsidRPr="001663AE">
        <w:rPr>
          <w:rFonts w:hint="eastAsia"/>
        </w:rPr>
        <w:t xml:space="preserve">　　八、為因應國家重要建設工程或經濟社會發展需要，經中央主管機關指定之工作。</w:t>
      </w:r>
      <w:r w:rsidRPr="001663AE">
        <w:t xml:space="preserve"> </w:t>
      </w:r>
    </w:p>
    <w:p w14:paraId="62F80F81" w14:textId="77777777" w:rsidR="00CA23FA" w:rsidRPr="001663AE" w:rsidRDefault="00CA23FA" w:rsidP="00D87D91">
      <w:pPr>
        <w:pStyle w:val="3"/>
      </w:pPr>
      <w:r w:rsidRPr="001663AE">
        <w:rPr>
          <w:rFonts w:hint="eastAsia"/>
        </w:rPr>
        <w:t xml:space="preserve">　　九、其他因工作性質特殊，國內缺乏該項人才，在業務上確有聘僱外國人從事工作之必要，經中央主管機關專案核定者。</w:t>
      </w:r>
      <w:r w:rsidRPr="001663AE">
        <w:t xml:space="preserve"> </w:t>
      </w:r>
    </w:p>
    <w:p w14:paraId="6177A213" w14:textId="77777777" w:rsidR="00CA23FA" w:rsidRPr="001663AE" w:rsidRDefault="00CA23FA" w:rsidP="00D87D91">
      <w:pPr>
        <w:pStyle w:val="3"/>
      </w:pPr>
      <w:r w:rsidRPr="001663AE">
        <w:rPr>
          <w:rFonts w:hint="eastAsia"/>
        </w:rPr>
        <w:t xml:space="preserve">　　中央主管機關及中央目的事業主管機關，對從事前項工作之外國人，應規定其工作資格及審查標準。</w:t>
      </w:r>
      <w:r w:rsidRPr="001663AE">
        <w:t xml:space="preserve"> </w:t>
      </w:r>
    </w:p>
    <w:p w14:paraId="4591A76A" w14:textId="77777777" w:rsidR="00CA23FA" w:rsidRPr="001663AE" w:rsidRDefault="00CA23FA" w:rsidP="00D87D91">
      <w:pPr>
        <w:pStyle w:val="3"/>
      </w:pPr>
      <w:r w:rsidRPr="001663AE">
        <w:rPr>
          <w:rFonts w:hint="eastAsia"/>
        </w:rPr>
        <w:t xml:space="preserve">　　雇主申請聘僱外國人從事第一項第三款第二目、第三目、第七款至第九款所規定之工作，應先以合理勞動條件在國內辦理招募，經招募無法滿足其需要時，始得就該不足人數提出申請。</w:t>
      </w:r>
      <w:r w:rsidRPr="001663AE">
        <w:t xml:space="preserve"> </w:t>
      </w:r>
    </w:p>
    <w:p w14:paraId="7FD078A7" w14:textId="77777777" w:rsidR="00CA23FA" w:rsidRPr="001663AE" w:rsidRDefault="00CA23FA" w:rsidP="00D87D91">
      <w:pPr>
        <w:pStyle w:val="3"/>
      </w:pPr>
      <w:r w:rsidRPr="001663AE">
        <w:rPr>
          <w:rFonts w:hint="eastAsia"/>
        </w:rPr>
        <w:t xml:space="preserve">　　雇主依第一項第七款至第八款規定聘僱之外國人，其勞動契約依勞動基準法有關定期契約之規定辦理。</w:t>
      </w:r>
      <w:r w:rsidRPr="001663AE">
        <w:t xml:space="preserve"> </w:t>
      </w:r>
    </w:p>
    <w:p w14:paraId="7BB19520" w14:textId="77777777" w:rsidR="00CA23FA" w:rsidRPr="001663AE" w:rsidRDefault="00CA23FA" w:rsidP="00D87D91">
      <w:pPr>
        <w:pStyle w:val="3"/>
      </w:pPr>
      <w:r w:rsidRPr="001663AE">
        <w:rPr>
          <w:rFonts w:hint="eastAsia"/>
        </w:rPr>
        <w:t xml:space="preserve">　　第一項各款聘僱之外國人，其眷屬在勞工保險條例實施區域外，罹患傷病、生育或死亡時，不得請領各該事故之保險給付。</w:t>
      </w:r>
      <w:r w:rsidRPr="001663AE">
        <w:t xml:space="preserve"> </w:t>
      </w:r>
    </w:p>
  </w:footnote>
  <w:footnote w:id="525">
    <w:p w14:paraId="66B2F392"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民國</w:t>
      </w:r>
      <w:r w:rsidRPr="001663AE">
        <w:t>89</w:t>
      </w:r>
      <w:r w:rsidRPr="001663AE">
        <w:rPr>
          <w:rFonts w:hint="eastAsia"/>
        </w:rPr>
        <w:t>年版「就業服務法」第</w:t>
      </w:r>
      <w:r w:rsidRPr="001663AE">
        <w:t>44</w:t>
      </w:r>
      <w:r w:rsidRPr="001663AE">
        <w:rPr>
          <w:rFonts w:hint="eastAsia"/>
        </w:rPr>
        <w:t>條：</w:t>
      </w:r>
    </w:p>
    <w:p w14:paraId="7A37071F" w14:textId="77777777" w:rsidR="00CA23FA" w:rsidRPr="001663AE" w:rsidRDefault="00CA23FA" w:rsidP="00D87D91">
      <w:pPr>
        <w:pStyle w:val="3"/>
      </w:pPr>
      <w:r w:rsidRPr="001663AE">
        <w:rPr>
          <w:rFonts w:hint="eastAsia"/>
        </w:rPr>
        <w:t xml:space="preserve">　　雇主聘僱外國人從事前條第一項第一款至第六款工作，應檢具有關檔向各目的事業主管機關申請許可。但中央政府、省（市）政府及其所屬學術研究機構聘請擔任顧問或研究工作者，不在此限。</w:t>
      </w:r>
      <w:r w:rsidRPr="001663AE">
        <w:t xml:space="preserve"> </w:t>
      </w:r>
    </w:p>
    <w:p w14:paraId="2C191D5C" w14:textId="77777777" w:rsidR="00CA23FA" w:rsidRPr="001663AE" w:rsidRDefault="00CA23FA" w:rsidP="00D87D91">
      <w:pPr>
        <w:pStyle w:val="3"/>
      </w:pPr>
      <w:r w:rsidRPr="001663AE">
        <w:rPr>
          <w:rFonts w:hint="eastAsia"/>
        </w:rPr>
        <w:t xml:space="preserve">　　前項許可及有關聘僱管理辦法，由各中央目的事業主管機會同中央主管機關定之。</w:t>
      </w:r>
    </w:p>
  </w:footnote>
  <w:footnote w:id="526">
    <w:p w14:paraId="5A8817E1"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民國</w:t>
      </w:r>
      <w:r w:rsidRPr="001663AE">
        <w:t>89</w:t>
      </w:r>
      <w:r w:rsidRPr="001663AE">
        <w:rPr>
          <w:rFonts w:hint="eastAsia"/>
        </w:rPr>
        <w:t>年版「就業服務法」第</w:t>
      </w:r>
      <w:r w:rsidRPr="001663AE">
        <w:t>45</w:t>
      </w:r>
      <w:r w:rsidRPr="001663AE">
        <w:rPr>
          <w:rFonts w:hint="eastAsia"/>
        </w:rPr>
        <w:t>條：</w:t>
      </w:r>
    </w:p>
    <w:p w14:paraId="3208FB31" w14:textId="77777777" w:rsidR="00CA23FA" w:rsidRPr="001663AE" w:rsidRDefault="00CA23FA" w:rsidP="00D87D91">
      <w:pPr>
        <w:pStyle w:val="3"/>
      </w:pPr>
      <w:r w:rsidRPr="001663AE">
        <w:rPr>
          <w:rFonts w:hint="eastAsia"/>
        </w:rPr>
        <w:t xml:space="preserve">　　雇主聘僱外國人從事第四十三條第一項第七款至第九款工作，應檢具有關檔向中央主管機關申請許可；其許可及有關聘僱管理辦法，由中央主管機關會商中央目的事業主管機關定之。</w:t>
      </w:r>
    </w:p>
  </w:footnote>
  <w:footnote w:id="527">
    <w:p w14:paraId="1D994239"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民國</w:t>
      </w:r>
      <w:r w:rsidRPr="001663AE">
        <w:t>89</w:t>
      </w:r>
      <w:r w:rsidRPr="001663AE">
        <w:rPr>
          <w:rFonts w:hint="eastAsia"/>
        </w:rPr>
        <w:t>年版「就業服務法」第</w:t>
      </w:r>
      <w:r w:rsidRPr="001663AE">
        <w:t>46</w:t>
      </w:r>
      <w:r w:rsidRPr="001663AE">
        <w:rPr>
          <w:rFonts w:hint="eastAsia"/>
        </w:rPr>
        <w:t>條：</w:t>
      </w:r>
    </w:p>
    <w:p w14:paraId="1B8E39C2" w14:textId="77777777" w:rsidR="00CA23FA" w:rsidRPr="001663AE" w:rsidRDefault="00CA23FA" w:rsidP="00D87D91">
      <w:pPr>
        <w:pStyle w:val="3"/>
      </w:pPr>
      <w:r w:rsidRPr="001663AE">
        <w:rPr>
          <w:rFonts w:hint="eastAsia"/>
        </w:rPr>
        <w:t xml:space="preserve">　　各國駐華使領館及駐華外國機構，得聘僱外國人工作。但應向外交部申請許可；其許可及有關聘僱管理辦法，由外交部會商中央主管機關定之。</w:t>
      </w:r>
      <w:r w:rsidRPr="001663AE">
        <w:t xml:space="preserve"> </w:t>
      </w:r>
    </w:p>
  </w:footnote>
  <w:footnote w:id="528">
    <w:p w14:paraId="3A4A9208" w14:textId="77777777" w:rsidR="00CA23FA" w:rsidRPr="007F3288" w:rsidRDefault="00CA23FA" w:rsidP="00D87D91">
      <w:pPr>
        <w:pStyle w:val="3"/>
        <w:rPr>
          <w:szCs w:val="18"/>
        </w:rPr>
      </w:pPr>
      <w:r w:rsidRPr="007F3288">
        <w:rPr>
          <w:rStyle w:val="af3"/>
          <w:rFonts w:ascii="新細明體" w:hAnsi="新細明體"/>
          <w:sz w:val="18"/>
          <w:szCs w:val="18"/>
        </w:rPr>
        <w:footnoteRef/>
      </w:r>
      <w:r w:rsidRPr="007F3288">
        <w:rPr>
          <w:rFonts w:hint="eastAsia"/>
          <w:szCs w:val="18"/>
        </w:rPr>
        <w:t>民國</w:t>
      </w:r>
      <w:r w:rsidRPr="007F3288">
        <w:rPr>
          <w:szCs w:val="18"/>
        </w:rPr>
        <w:t>89</w:t>
      </w:r>
      <w:r w:rsidRPr="007F3288">
        <w:rPr>
          <w:rFonts w:hint="eastAsia"/>
          <w:szCs w:val="18"/>
        </w:rPr>
        <w:t>年版「就業服務法」第</w:t>
      </w:r>
      <w:r w:rsidRPr="007F3288">
        <w:rPr>
          <w:szCs w:val="18"/>
        </w:rPr>
        <w:t>47</w:t>
      </w:r>
      <w:r w:rsidRPr="007F3288">
        <w:rPr>
          <w:rFonts w:hint="eastAsia"/>
          <w:szCs w:val="18"/>
        </w:rPr>
        <w:t>條：</w:t>
      </w:r>
    </w:p>
    <w:p w14:paraId="59D10C7B" w14:textId="77777777" w:rsidR="00CA23FA" w:rsidRPr="007F3288" w:rsidRDefault="00CA23FA" w:rsidP="00D87D91">
      <w:pPr>
        <w:pStyle w:val="3"/>
        <w:rPr>
          <w:szCs w:val="18"/>
        </w:rPr>
      </w:pPr>
      <w:r w:rsidRPr="007F3288">
        <w:rPr>
          <w:rFonts w:hint="eastAsia"/>
          <w:szCs w:val="18"/>
        </w:rPr>
        <w:t xml:space="preserve">　　雇主聘僱就讀於公立或經立案之私立大專以上院校之留學生從事工作，應向教育部申請許可；其許可及有關聘僱管理辦法，由教育部會同中央主管機關定之。</w:t>
      </w:r>
      <w:r w:rsidRPr="007F3288">
        <w:rPr>
          <w:szCs w:val="18"/>
        </w:rPr>
        <w:t xml:space="preserve"> </w:t>
      </w:r>
    </w:p>
    <w:p w14:paraId="43D8A0C7" w14:textId="77777777" w:rsidR="00CA23FA" w:rsidRPr="007F3288" w:rsidRDefault="00CA23FA" w:rsidP="00D87D91">
      <w:pPr>
        <w:pStyle w:val="3"/>
        <w:rPr>
          <w:szCs w:val="18"/>
        </w:rPr>
      </w:pPr>
      <w:r w:rsidRPr="007F3288">
        <w:rPr>
          <w:rFonts w:hint="eastAsia"/>
          <w:szCs w:val="18"/>
        </w:rPr>
        <w:t xml:space="preserve">　　前項外國留學生從事之工作，得不受第四十三條第一項規定之限制；其工作時間除寒暑假外，每星期最長為十二小時。</w:t>
      </w:r>
      <w:r w:rsidRPr="007F3288">
        <w:rPr>
          <w:szCs w:val="18"/>
        </w:rPr>
        <w:t xml:space="preserve"> </w:t>
      </w:r>
    </w:p>
  </w:footnote>
  <w:footnote w:id="529">
    <w:p w14:paraId="689CC0D1" w14:textId="77777777" w:rsidR="00CA23FA" w:rsidRPr="007F3288" w:rsidRDefault="00CA23FA" w:rsidP="00D87D91">
      <w:pPr>
        <w:pStyle w:val="3"/>
        <w:rPr>
          <w:szCs w:val="18"/>
        </w:rPr>
      </w:pPr>
      <w:r w:rsidRPr="007F3288">
        <w:rPr>
          <w:rStyle w:val="af3"/>
          <w:rFonts w:ascii="新細明體" w:hAnsi="新細明體"/>
          <w:sz w:val="18"/>
          <w:szCs w:val="18"/>
        </w:rPr>
        <w:footnoteRef/>
      </w:r>
      <w:r w:rsidRPr="007F3288">
        <w:rPr>
          <w:rFonts w:hint="eastAsia"/>
          <w:szCs w:val="18"/>
        </w:rPr>
        <w:t>陳素玲</w:t>
      </w:r>
      <w:r w:rsidRPr="007F3288">
        <w:rPr>
          <w:szCs w:val="18"/>
        </w:rPr>
        <w:t>(2007)</w:t>
      </w:r>
      <w:r w:rsidRPr="007F3288">
        <w:rPr>
          <w:rFonts w:hint="eastAsia"/>
          <w:szCs w:val="18"/>
        </w:rPr>
        <w:t>，外國人來台工作，諾貝爾得主也得申請工作證，</w:t>
      </w:r>
      <w:hyperlink r:id="rId181" w:history="1">
        <w:r w:rsidRPr="007F3288">
          <w:rPr>
            <w:rStyle w:val="a5"/>
            <w:sz w:val="18"/>
            <w:szCs w:val="18"/>
          </w:rPr>
          <w:t>http://mag.udn.com/mag/edu/storypage.jsp?f_ART_ID=80967</w:t>
        </w:r>
      </w:hyperlink>
      <w:r w:rsidRPr="007F3288">
        <w:rPr>
          <w:rFonts w:hint="eastAsia"/>
          <w:szCs w:val="18"/>
        </w:rPr>
        <w:t>。</w:t>
      </w:r>
    </w:p>
  </w:footnote>
  <w:footnote w:id="530">
    <w:p w14:paraId="609DF98D" w14:textId="77777777" w:rsidR="00CA23FA" w:rsidRPr="007F3288" w:rsidRDefault="00CA23FA" w:rsidP="00D87D91">
      <w:pPr>
        <w:pStyle w:val="3"/>
        <w:rPr>
          <w:szCs w:val="18"/>
        </w:rPr>
      </w:pPr>
      <w:r w:rsidRPr="007F3288">
        <w:rPr>
          <w:rStyle w:val="af3"/>
          <w:rFonts w:ascii="新細明體" w:hAnsi="新細明體"/>
          <w:sz w:val="18"/>
          <w:szCs w:val="18"/>
        </w:rPr>
        <w:footnoteRef/>
      </w:r>
      <w:r w:rsidRPr="007F3288">
        <w:rPr>
          <w:szCs w:val="18"/>
        </w:rPr>
        <w:t xml:space="preserve"> </w:t>
      </w:r>
      <w:r w:rsidRPr="007F3288">
        <w:rPr>
          <w:rFonts w:hint="eastAsia"/>
          <w:szCs w:val="18"/>
        </w:rPr>
        <w:t>關於季節性勞工方面，根據工作法第</w:t>
      </w:r>
      <w:r w:rsidRPr="007F3288">
        <w:rPr>
          <w:szCs w:val="18"/>
        </w:rPr>
        <w:t>R.341-7-2</w:t>
      </w:r>
      <w:r w:rsidRPr="007F3288">
        <w:rPr>
          <w:rFonts w:hint="eastAsia"/>
          <w:szCs w:val="18"/>
        </w:rPr>
        <w:t>條之規定，一名外籍勞工所能獲益之季節性合約或多個合約，其期限不得在連續</w:t>
      </w:r>
      <w:r w:rsidRPr="007F3288">
        <w:rPr>
          <w:szCs w:val="18"/>
        </w:rPr>
        <w:t>12</w:t>
      </w:r>
      <w:r w:rsidRPr="007F3288">
        <w:rPr>
          <w:rFonts w:hint="eastAsia"/>
          <w:szCs w:val="18"/>
        </w:rPr>
        <w:t>個月中超過６個月。但若合於特殊之農業生產活動之需要，雇主可被允許簽訂連續</w:t>
      </w:r>
      <w:r w:rsidRPr="007F3288">
        <w:rPr>
          <w:szCs w:val="18"/>
        </w:rPr>
        <w:t>12</w:t>
      </w:r>
      <w:r w:rsidRPr="007F3288">
        <w:rPr>
          <w:rFonts w:hint="eastAsia"/>
          <w:szCs w:val="18"/>
        </w:rPr>
        <w:t>個月內，長達</w:t>
      </w:r>
      <w:r w:rsidRPr="007F3288">
        <w:rPr>
          <w:rFonts w:hint="eastAsia"/>
          <w:szCs w:val="18"/>
        </w:rPr>
        <w:t>8</w:t>
      </w:r>
      <w:r w:rsidRPr="007F3288">
        <w:rPr>
          <w:rFonts w:hint="eastAsia"/>
          <w:szCs w:val="18"/>
        </w:rPr>
        <w:t>個月之季節性合約（原則上，不能超過６個月；例外情形，可被允許達</w:t>
      </w:r>
      <w:r w:rsidRPr="007F3288">
        <w:rPr>
          <w:rFonts w:hint="eastAsia"/>
          <w:szCs w:val="18"/>
        </w:rPr>
        <w:t>8</w:t>
      </w:r>
      <w:r w:rsidRPr="007F3288">
        <w:rPr>
          <w:rFonts w:hint="eastAsia"/>
          <w:szCs w:val="18"/>
        </w:rPr>
        <w:t>個月）。同時，雇主必須提出無法從國內招募其所需勞工之證明。以上，請參閱：</w:t>
      </w:r>
      <w:r w:rsidRPr="007F3288">
        <w:rPr>
          <w:rFonts w:cs="標楷體" w:hint="eastAsia"/>
          <w:szCs w:val="18"/>
        </w:rPr>
        <w:t>牟永平，「論法國之外籍勞工管理」，外事警察學術研討會外籍勞工管理論文集，中央</w:t>
      </w:r>
      <w:r w:rsidRPr="007F3288">
        <w:rPr>
          <w:rFonts w:hint="eastAsia"/>
          <w:szCs w:val="18"/>
        </w:rPr>
        <w:t>警察大學，民國八十三年十二月，頁</w:t>
      </w:r>
      <w:r w:rsidRPr="007F3288">
        <w:rPr>
          <w:szCs w:val="18"/>
        </w:rPr>
        <w:t>73-123</w:t>
      </w:r>
      <w:r w:rsidRPr="007F3288">
        <w:rPr>
          <w:rFonts w:hint="eastAsia"/>
          <w:szCs w:val="18"/>
        </w:rPr>
        <w:t>。</w:t>
      </w:r>
      <w:r w:rsidRPr="007F3288">
        <w:rPr>
          <w:szCs w:val="18"/>
        </w:rPr>
        <w:t></w:t>
      </w:r>
    </w:p>
  </w:footnote>
  <w:footnote w:id="531">
    <w:p w14:paraId="277B7815" w14:textId="77777777" w:rsidR="00CA23FA" w:rsidRPr="007F3288" w:rsidRDefault="00CA23FA" w:rsidP="00D87D91">
      <w:pPr>
        <w:pStyle w:val="3"/>
        <w:rPr>
          <w:szCs w:val="18"/>
        </w:rPr>
      </w:pPr>
      <w:r w:rsidRPr="007F3288">
        <w:rPr>
          <w:rStyle w:val="af3"/>
          <w:rFonts w:ascii="新細明體" w:hAnsi="新細明體"/>
          <w:sz w:val="18"/>
          <w:szCs w:val="18"/>
        </w:rPr>
        <w:footnoteRef/>
      </w:r>
      <w:r w:rsidRPr="007F3288">
        <w:rPr>
          <w:rFonts w:cs="標楷體" w:hint="eastAsia"/>
          <w:szCs w:val="18"/>
        </w:rPr>
        <w:t>「就業服務法」</w:t>
      </w:r>
      <w:r w:rsidRPr="007F3288">
        <w:rPr>
          <w:rFonts w:hint="eastAsia"/>
          <w:szCs w:val="18"/>
        </w:rPr>
        <w:t>第</w:t>
      </w:r>
      <w:r w:rsidRPr="007F3288">
        <w:rPr>
          <w:szCs w:val="18"/>
        </w:rPr>
        <w:t>52</w:t>
      </w:r>
      <w:r w:rsidRPr="007F3288">
        <w:rPr>
          <w:rFonts w:hint="eastAsia"/>
          <w:szCs w:val="18"/>
        </w:rPr>
        <w:t>條（聘僱外國人期滿之申請展延）</w:t>
      </w:r>
    </w:p>
    <w:p w14:paraId="46BA79A5" w14:textId="77777777" w:rsidR="00CA23FA" w:rsidRPr="007F3288" w:rsidRDefault="00CA23FA" w:rsidP="00D87D91">
      <w:pPr>
        <w:pStyle w:val="3"/>
        <w:rPr>
          <w:szCs w:val="18"/>
        </w:rPr>
      </w:pPr>
      <w:r w:rsidRPr="007F3288">
        <w:rPr>
          <w:rFonts w:hint="eastAsia"/>
          <w:szCs w:val="18"/>
        </w:rPr>
        <w:t xml:space="preserve">　　聘僱外國人從事第四十六條第一項第一款至第七款及第十一款規定之工作，許可期間最長為三年，期滿有繼續聘僱之需要者，雇主得申請展延。</w:t>
      </w:r>
      <w:r w:rsidRPr="007F3288">
        <w:rPr>
          <w:szCs w:val="18"/>
        </w:rPr>
        <w:t xml:space="preserve"> </w:t>
      </w:r>
    </w:p>
    <w:p w14:paraId="7AD99BBC" w14:textId="77777777" w:rsidR="00CA23FA" w:rsidRPr="007F3288" w:rsidRDefault="00CA23FA" w:rsidP="00D87D91">
      <w:pPr>
        <w:pStyle w:val="3"/>
        <w:rPr>
          <w:szCs w:val="18"/>
        </w:rPr>
      </w:pPr>
      <w:r w:rsidRPr="007F3288">
        <w:rPr>
          <w:rFonts w:hint="eastAsia"/>
          <w:szCs w:val="18"/>
        </w:rPr>
        <w:t xml:space="preserve">　　聘僱外國人從事第四十六條第一項第八款至第十款規定之工作，許可期間最長為三年。有重大特殊情形者，雇主得申請展延，其情形及期間由行政院以命令定之。但屬重大工程者，其展延期間，最長以六個月為限。</w:t>
      </w:r>
      <w:r w:rsidRPr="007F3288">
        <w:rPr>
          <w:szCs w:val="18"/>
        </w:rPr>
        <w:t xml:space="preserve"> </w:t>
      </w:r>
    </w:p>
    <w:p w14:paraId="0938719D" w14:textId="77777777" w:rsidR="00CA23FA" w:rsidRPr="007F3288" w:rsidRDefault="00CA23FA" w:rsidP="00D87D91">
      <w:pPr>
        <w:pStyle w:val="3"/>
        <w:rPr>
          <w:szCs w:val="18"/>
        </w:rPr>
      </w:pPr>
      <w:r w:rsidRPr="007F3288">
        <w:rPr>
          <w:rFonts w:hint="eastAsia"/>
          <w:szCs w:val="18"/>
        </w:rPr>
        <w:t xml:space="preserve">　　前項每年得引進總人數，依外籍勞工聘僱警戒指標，由中央主管機關邀集相關機關、勞工、雇主、學者代表協商之。</w:t>
      </w:r>
      <w:r w:rsidRPr="007F3288">
        <w:rPr>
          <w:szCs w:val="18"/>
        </w:rPr>
        <w:t xml:space="preserve"> </w:t>
      </w:r>
    </w:p>
    <w:p w14:paraId="556B4051" w14:textId="77777777" w:rsidR="00CA23FA" w:rsidRPr="007F3288" w:rsidRDefault="00CA23FA" w:rsidP="00D87D91">
      <w:pPr>
        <w:pStyle w:val="3"/>
        <w:rPr>
          <w:szCs w:val="18"/>
        </w:rPr>
      </w:pPr>
      <w:r w:rsidRPr="007F3288">
        <w:rPr>
          <w:rFonts w:hint="eastAsia"/>
          <w:szCs w:val="18"/>
        </w:rPr>
        <w:t xml:space="preserve">　　受聘僱之外國人於聘僱許可期間無違反法令規定情事而因聘僱關係終止、聘僱許可期間屆滿出國或因健康檢查不合格經返國治療再檢查合格者，得再入國工作。但從事第四十六條第一項第八款至第十款規定工作之外國人，應出國一日後始得再入國工作，且其在中華民國境內工作期間，累計不得逾十二年。</w:t>
      </w:r>
      <w:r w:rsidRPr="007F3288">
        <w:rPr>
          <w:szCs w:val="18"/>
        </w:rPr>
        <w:t xml:space="preserve"> </w:t>
      </w:r>
    </w:p>
    <w:p w14:paraId="0E8F4AAE" w14:textId="77777777" w:rsidR="00CA23FA" w:rsidRPr="001663AE" w:rsidRDefault="00CA23FA" w:rsidP="00D87D91">
      <w:pPr>
        <w:pStyle w:val="af1"/>
      </w:pPr>
    </w:p>
  </w:footnote>
  <w:footnote w:id="532">
    <w:p w14:paraId="2A30B43A"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cs="標楷體" w:hint="eastAsia"/>
        </w:rPr>
        <w:t>施銀河，「開放引進外籍勞工之政策規劃」，勞工行政，第</w:t>
      </w:r>
      <w:r w:rsidRPr="001663AE">
        <w:t>53</w:t>
      </w:r>
      <w:r w:rsidRPr="001663AE">
        <w:rPr>
          <w:rFonts w:hint="eastAsia"/>
        </w:rPr>
        <w:t>期，民國</w:t>
      </w:r>
      <w:r w:rsidRPr="001663AE">
        <w:t>81</w:t>
      </w:r>
      <w:r w:rsidRPr="001663AE">
        <w:rPr>
          <w:rFonts w:hint="eastAsia"/>
        </w:rPr>
        <w:t>年</w:t>
      </w:r>
      <w:r w:rsidRPr="001663AE">
        <w:t>9</w:t>
      </w:r>
      <w:r w:rsidRPr="001663AE">
        <w:rPr>
          <w:rFonts w:hint="eastAsia"/>
        </w:rPr>
        <w:t>月，頁</w:t>
      </w:r>
      <w:r w:rsidRPr="001663AE">
        <w:t>30</w:t>
      </w:r>
      <w:r w:rsidRPr="001663AE">
        <w:rPr>
          <w:rFonts w:hint="eastAsia"/>
        </w:rPr>
        <w:t>到</w:t>
      </w:r>
      <w:r w:rsidRPr="001663AE">
        <w:t>32</w:t>
      </w:r>
      <w:r w:rsidRPr="001663AE">
        <w:rPr>
          <w:rFonts w:hint="eastAsia"/>
        </w:rPr>
        <w:t>；「就業服務法」公布施行後，勞委會為積極妥適解決產業界勞力不足，於民國</w:t>
      </w:r>
      <w:r w:rsidRPr="001663AE">
        <w:t>81</w:t>
      </w:r>
      <w:r w:rsidRPr="001663AE">
        <w:rPr>
          <w:rFonts w:hint="eastAsia"/>
        </w:rPr>
        <w:t>年</w:t>
      </w:r>
      <w:r w:rsidRPr="001663AE">
        <w:t>5</w:t>
      </w:r>
      <w:r w:rsidRPr="001663AE">
        <w:rPr>
          <w:rFonts w:hint="eastAsia"/>
        </w:rPr>
        <w:t>月</w:t>
      </w:r>
      <w:r w:rsidRPr="001663AE">
        <w:t>22</w:t>
      </w:r>
      <w:r w:rsidRPr="001663AE">
        <w:rPr>
          <w:rFonts w:hint="eastAsia"/>
        </w:rPr>
        <w:t>日，邀集經濟部等有關部會及勞資團體研商決議，由勞委會與經建會、主計處、經濟部、全國總工會、工業總會、商業總會等單位代表及學者專家成立「台灣地區產業勞動力需求評估小組」，對外勞需求量進行評估；工業總會、商業總會測得的外勞需求量是</w:t>
      </w:r>
      <w:r w:rsidRPr="001663AE">
        <w:t>186,541</w:t>
      </w:r>
      <w:r w:rsidRPr="001663AE">
        <w:rPr>
          <w:rFonts w:hint="eastAsia"/>
        </w:rPr>
        <w:t>人；但依行政院主計處、內政部警政署、勞委會專案小組及中華民國民意測驗協會之調查報告，台灣最低外勞需求量為</w:t>
      </w:r>
      <w:r w:rsidRPr="001663AE">
        <w:t>30,277</w:t>
      </w:r>
      <w:r w:rsidRPr="001663AE">
        <w:rPr>
          <w:rFonts w:hint="eastAsia"/>
        </w:rPr>
        <w:t>人，顯然，工總、商總之數據，有待多方面再加以評估。此外，評估小組會中並作成多項原則性建議，其中之一是外勞開放引進的對象，應按行業別區分。</w:t>
      </w:r>
    </w:p>
  </w:footnote>
  <w:footnote w:id="533">
    <w:p w14:paraId="297EE5B2"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w:t>
      </w:r>
      <w:r w:rsidRPr="001663AE">
        <w:rPr>
          <w:rFonts w:hint="eastAsia"/>
        </w:rPr>
        <w:t>。</w:t>
      </w:r>
    </w:p>
  </w:footnote>
  <w:footnote w:id="534">
    <w:p w14:paraId="043EA23A" w14:textId="77777777" w:rsidR="00CA23FA" w:rsidRPr="001663AE" w:rsidRDefault="00CA23FA" w:rsidP="00D87D91">
      <w:pPr>
        <w:pStyle w:val="3"/>
      </w:pPr>
      <w:r w:rsidRPr="001663AE">
        <w:rPr>
          <w:rStyle w:val="af3"/>
          <w:rFonts w:ascii="新細明體" w:hAnsi="新細明體"/>
        </w:rPr>
        <w:footnoteRef/>
      </w:r>
      <w:r w:rsidRPr="001663AE">
        <w:rPr>
          <w:rFonts w:hint="eastAsia"/>
        </w:rPr>
        <w:t>德國政府對外勞的待遇是頗合乎人道精神的，如德國訂有「工作介紹法」、「憮卹法」、「工作促進法」等，用以保障外勞權益；另者，外勞得參入工會、在「經營協議會」中擁有選舉權與被選舉權、適用團體協約及法令規定的勞動條件等等；此外，德國政府對外勞增建住宅、照顧其子女就學，所以外勞進入德國工作與居留的意願是相當高的。以上，請參閱：</w:t>
      </w:r>
      <w:r w:rsidRPr="001663AE">
        <w:rPr>
          <w:rFonts w:cs="標楷體" w:hint="eastAsia"/>
        </w:rPr>
        <w:t>朱愛群，「論德國外籍勞工管理及其法令之探討」，中央警察大學外事警察學術研討會</w:t>
      </w:r>
      <w:r w:rsidRPr="001663AE">
        <w:rPr>
          <w:rFonts w:hint="eastAsia"/>
        </w:rPr>
        <w:t>外籍勞工管理論文集，民國</w:t>
      </w:r>
      <w:r w:rsidRPr="001663AE">
        <w:t>83</w:t>
      </w:r>
      <w:r w:rsidRPr="001663AE">
        <w:rPr>
          <w:rFonts w:hint="eastAsia"/>
        </w:rPr>
        <w:t>年</w:t>
      </w:r>
      <w:r w:rsidRPr="001663AE">
        <w:t>12</w:t>
      </w:r>
      <w:r w:rsidRPr="001663AE">
        <w:rPr>
          <w:rFonts w:hint="eastAsia"/>
        </w:rPr>
        <w:t>月，第</w:t>
      </w:r>
      <w:r w:rsidRPr="001663AE">
        <w:t>151</w:t>
      </w:r>
      <w:r w:rsidRPr="001663AE">
        <w:rPr>
          <w:rFonts w:hint="eastAsia"/>
        </w:rPr>
        <w:t>～</w:t>
      </w:r>
      <w:r w:rsidRPr="001663AE">
        <w:t>161</w:t>
      </w:r>
      <w:r w:rsidRPr="001663AE">
        <w:rPr>
          <w:rFonts w:hint="eastAsia"/>
        </w:rPr>
        <w:t>頁。</w:t>
      </w:r>
    </w:p>
  </w:footnote>
  <w:footnote w:id="535">
    <w:p w14:paraId="71E24643" w14:textId="77777777" w:rsidR="00CA23FA" w:rsidRPr="001663AE" w:rsidRDefault="00CA23FA" w:rsidP="00D87D91">
      <w:pPr>
        <w:pStyle w:val="3"/>
      </w:pPr>
      <w:r w:rsidRPr="001663AE">
        <w:rPr>
          <w:rStyle w:val="af3"/>
          <w:rFonts w:ascii="新細明體" w:hAnsi="新細明體"/>
        </w:rPr>
        <w:footnoteRef/>
      </w:r>
      <w:r w:rsidRPr="001663AE">
        <w:rPr>
          <w:rFonts w:hint="eastAsia"/>
        </w:rPr>
        <w:t>日本在參酌歐美諸國的先例後，提出「雇用許可制」除了規制外勞在就業前必須取得「工作許可證」外，雇主在採用外勞之前也要申請「雇用許可」。假如企業未申請「雇用許可」而雇用外勞經被舉發後，除對雇主科以刑罰外，並取消該雇主從此申請「雇用許可」的權利。以上，請參閱：</w:t>
      </w:r>
      <w:r w:rsidRPr="001663AE">
        <w:rPr>
          <w:rFonts w:cs="標楷體" w:hint="eastAsia"/>
        </w:rPr>
        <w:t>邱駿彥，「日本的外籍勞工問題及其對策</w:t>
      </w:r>
      <w:r w:rsidRPr="001663AE">
        <w:t>(</w:t>
      </w:r>
      <w:r w:rsidRPr="001663AE">
        <w:rPr>
          <w:rFonts w:hint="eastAsia"/>
        </w:rPr>
        <w:t>上</w:t>
      </w:r>
      <w:r w:rsidRPr="001663AE">
        <w:t>)(</w:t>
      </w:r>
      <w:r w:rsidRPr="001663AE">
        <w:rPr>
          <w:rFonts w:hint="eastAsia"/>
        </w:rPr>
        <w:t>下</w:t>
      </w:r>
      <w:r w:rsidRPr="001663AE">
        <w:t>)</w:t>
      </w:r>
      <w:r w:rsidRPr="001663AE">
        <w:rPr>
          <w:rFonts w:hint="eastAsia"/>
        </w:rPr>
        <w:t>」，勞工行政第</w:t>
      </w:r>
      <w:r w:rsidRPr="001663AE">
        <w:t>16</w:t>
      </w:r>
      <w:r w:rsidRPr="001663AE">
        <w:rPr>
          <w:rFonts w:hint="eastAsia"/>
        </w:rPr>
        <w:t>期，民國</w:t>
      </w:r>
      <w:r w:rsidRPr="001663AE">
        <w:t>78</w:t>
      </w:r>
      <w:r w:rsidRPr="001663AE">
        <w:rPr>
          <w:rFonts w:hint="eastAsia"/>
        </w:rPr>
        <w:t>年</w:t>
      </w:r>
      <w:r w:rsidRPr="001663AE">
        <w:t>8</w:t>
      </w:r>
      <w:r w:rsidRPr="001663AE">
        <w:rPr>
          <w:rFonts w:hint="eastAsia"/>
        </w:rPr>
        <w:t>月，第</w:t>
      </w:r>
      <w:r w:rsidRPr="001663AE">
        <w:t>57</w:t>
      </w:r>
      <w:r w:rsidRPr="001663AE">
        <w:rPr>
          <w:rFonts w:hint="eastAsia"/>
        </w:rPr>
        <w:t>～</w:t>
      </w:r>
      <w:r w:rsidRPr="001663AE">
        <w:t>61</w:t>
      </w:r>
      <w:r w:rsidRPr="001663AE">
        <w:rPr>
          <w:rFonts w:hint="eastAsia"/>
        </w:rPr>
        <w:t>頁。日本於</w:t>
      </w:r>
      <w:r w:rsidRPr="001663AE">
        <w:t>1988</w:t>
      </w:r>
      <w:r w:rsidRPr="001663AE">
        <w:rPr>
          <w:rFonts w:hint="eastAsia"/>
        </w:rPr>
        <w:t>年</w:t>
      </w:r>
      <w:r w:rsidRPr="001663AE">
        <w:t>5</w:t>
      </w:r>
      <w:r w:rsidRPr="001663AE">
        <w:rPr>
          <w:rFonts w:hint="eastAsia"/>
        </w:rPr>
        <w:t>月通過「經濟營運</w:t>
      </w:r>
      <w:r w:rsidRPr="001663AE">
        <w:t>5</w:t>
      </w:r>
      <w:r w:rsidRPr="001663AE">
        <w:rPr>
          <w:rFonts w:hint="eastAsia"/>
        </w:rPr>
        <w:t>年計劃」；於同年（</w:t>
      </w:r>
      <w:r w:rsidRPr="001663AE">
        <w:t>1988</w:t>
      </w:r>
      <w:r w:rsidRPr="001663AE">
        <w:rPr>
          <w:rFonts w:hint="eastAsia"/>
        </w:rPr>
        <w:t>年）</w:t>
      </w:r>
      <w:r w:rsidRPr="001663AE">
        <w:t>6</w:t>
      </w:r>
      <w:r w:rsidRPr="001663AE">
        <w:rPr>
          <w:rFonts w:hint="eastAsia"/>
        </w:rPr>
        <w:t>月通過「第六次雇用基本對策」，針對具有專業知識與技術的外勞，改採為積極接納的態度；對於不需特殊技能與知識的單純勞工，其接受與否則採取慎重保留的因應態度。以上，請參閱：</w:t>
      </w:r>
      <w:r w:rsidRPr="001663AE">
        <w:rPr>
          <w:rFonts w:cs="標楷體" w:hint="eastAsia"/>
        </w:rPr>
        <w:t>劉進福，「日本外籍勞工管理中之研修制度」，中央警察大學外事警察外籍勞工管理學</w:t>
      </w:r>
      <w:r w:rsidRPr="001663AE">
        <w:rPr>
          <w:rFonts w:hint="eastAsia"/>
        </w:rPr>
        <w:t>術研討會論文集，民國</w:t>
      </w:r>
      <w:r w:rsidRPr="001663AE">
        <w:t>83</w:t>
      </w:r>
      <w:r w:rsidRPr="001663AE">
        <w:rPr>
          <w:rFonts w:hint="eastAsia"/>
        </w:rPr>
        <w:t>年</w:t>
      </w:r>
      <w:r w:rsidRPr="001663AE">
        <w:t>12</w:t>
      </w:r>
      <w:r w:rsidRPr="001663AE">
        <w:rPr>
          <w:rFonts w:hint="eastAsia"/>
        </w:rPr>
        <w:t>月，第</w:t>
      </w:r>
      <w:r w:rsidRPr="001663AE">
        <w:t>19</w:t>
      </w:r>
      <w:r w:rsidRPr="001663AE">
        <w:rPr>
          <w:rFonts w:hint="eastAsia"/>
        </w:rPr>
        <w:t>～</w:t>
      </w:r>
      <w:r w:rsidRPr="001663AE">
        <w:t>42</w:t>
      </w:r>
      <w:r w:rsidRPr="001663AE">
        <w:rPr>
          <w:rFonts w:hint="eastAsia"/>
        </w:rPr>
        <w:t>頁。</w:t>
      </w:r>
    </w:p>
  </w:footnote>
  <w:footnote w:id="536">
    <w:p w14:paraId="10AE6537" w14:textId="77777777" w:rsidR="00CA23FA" w:rsidRPr="001663AE" w:rsidRDefault="00CA23FA" w:rsidP="00D87D91">
      <w:pPr>
        <w:pStyle w:val="3"/>
        <w:rPr>
          <w:lang w:val="es-AR"/>
        </w:rPr>
      </w:pPr>
      <w:r w:rsidRPr="001663AE">
        <w:rPr>
          <w:rStyle w:val="af3"/>
          <w:rFonts w:ascii="新細明體" w:hAnsi="新細明體"/>
        </w:rPr>
        <w:footnoteRef/>
      </w:r>
      <w:r w:rsidRPr="001663AE">
        <w:rPr>
          <w:rFonts w:hint="eastAsia"/>
          <w:kern w:val="0"/>
        </w:rPr>
        <w:t>勞委會</w:t>
      </w:r>
      <w:r w:rsidRPr="001663AE">
        <w:rPr>
          <w:kern w:val="0"/>
        </w:rPr>
        <w:t>(2011)</w:t>
      </w:r>
      <w:r w:rsidRPr="001663AE">
        <w:rPr>
          <w:rFonts w:hint="eastAsia"/>
          <w:kern w:val="0"/>
        </w:rPr>
        <w:t>，勞委會將持續蒐集各界意見，推動「家事勞工保障法草案」，</w:t>
      </w:r>
      <w:hyperlink r:id="rId182" w:history="1">
        <w:r w:rsidRPr="001663AE">
          <w:rPr>
            <w:rStyle w:val="a5"/>
          </w:rPr>
          <w:t>http://www.cla.gov.tw/cgi-bin/Message/MM_msg_control?mode=viewnews&amp;ts=4e55f722:3d8c&amp;theme=(2011/12/08)</w:t>
        </w:r>
      </w:hyperlink>
      <w:r w:rsidRPr="001663AE">
        <w:rPr>
          <w:rFonts w:hint="eastAsia"/>
        </w:rPr>
        <w:t>。目前，由於我國家事勞工保障法草案修法進度較為緩慢，引發台灣國際勞工協會、天主教關懷外勞小組及台灣移工聯盟等團體之不滿，於</w:t>
      </w:r>
      <w:r w:rsidRPr="001663AE">
        <w:t>100</w:t>
      </w:r>
      <w:r w:rsidRPr="001663AE">
        <w:rPr>
          <w:rFonts w:hint="eastAsia"/>
        </w:rPr>
        <w:t>年</w:t>
      </w:r>
      <w:r w:rsidRPr="001663AE">
        <w:t>12</w:t>
      </w:r>
      <w:r w:rsidRPr="001663AE">
        <w:rPr>
          <w:rFonts w:hint="eastAsia"/>
        </w:rPr>
        <w:t>月上旬，藉由遊行之方式，主張「移工沒人權，國家沒尊嚴」，爭取家事外勞之休假權。引自：朱芳瑤</w:t>
      </w:r>
      <w:r w:rsidRPr="001663AE">
        <w:t>(2011)</w:t>
      </w:r>
      <w:r w:rsidRPr="001663AE">
        <w:rPr>
          <w:rFonts w:hint="eastAsia"/>
        </w:rPr>
        <w:t>，移工團體，周日千人遊行，中國時報，</w:t>
      </w:r>
      <w:r w:rsidRPr="001663AE">
        <w:t>100</w:t>
      </w:r>
      <w:r w:rsidRPr="001663AE">
        <w:rPr>
          <w:rFonts w:hint="eastAsia"/>
        </w:rPr>
        <w:t>年</w:t>
      </w:r>
      <w:r w:rsidRPr="001663AE">
        <w:t>12</w:t>
      </w:r>
      <w:r w:rsidRPr="001663AE">
        <w:rPr>
          <w:rFonts w:hint="eastAsia"/>
        </w:rPr>
        <w:t>月</w:t>
      </w:r>
      <w:r w:rsidRPr="001663AE">
        <w:t>8</w:t>
      </w:r>
      <w:r w:rsidRPr="001663AE">
        <w:rPr>
          <w:rFonts w:hint="eastAsia"/>
        </w:rPr>
        <w:t>日。</w:t>
      </w:r>
      <w:r w:rsidRPr="001663AE">
        <w:t xml:space="preserve"> </w:t>
      </w:r>
    </w:p>
  </w:footnote>
  <w:footnote w:id="537">
    <w:p w14:paraId="0D6D9F9D" w14:textId="77777777" w:rsidR="00CA23FA" w:rsidRPr="001663AE" w:rsidRDefault="00CA23FA" w:rsidP="00D87D91">
      <w:pPr>
        <w:pStyle w:val="3"/>
        <w:rPr>
          <w:lang w:val="es-AR"/>
        </w:rPr>
      </w:pPr>
      <w:r w:rsidRPr="001663AE">
        <w:rPr>
          <w:rStyle w:val="af3"/>
          <w:rFonts w:ascii="新細明體" w:hAnsi="新細明體"/>
        </w:rPr>
        <w:footnoteRef/>
      </w:r>
      <w:r w:rsidRPr="001663AE">
        <w:rPr>
          <w:rFonts w:hint="eastAsia"/>
        </w:rPr>
        <w:t>勞委會</w:t>
      </w:r>
      <w:r w:rsidRPr="001663AE">
        <w:rPr>
          <w:lang w:val="es-AR"/>
        </w:rPr>
        <w:t>(2011)</w:t>
      </w:r>
      <w:r w:rsidRPr="001663AE">
        <w:rPr>
          <w:rFonts w:hint="eastAsia"/>
          <w:lang w:val="es-AR"/>
        </w:rPr>
        <w:t>，</w:t>
      </w:r>
      <w:r w:rsidRPr="001663AE">
        <w:rPr>
          <w:rFonts w:hint="eastAsia"/>
        </w:rPr>
        <w:t>勞委會將持續蒐集各界意見</w:t>
      </w:r>
      <w:r w:rsidRPr="001663AE">
        <w:rPr>
          <w:rFonts w:hint="eastAsia"/>
          <w:lang w:val="es-AR"/>
        </w:rPr>
        <w:t>，</w:t>
      </w:r>
      <w:r w:rsidRPr="001663AE">
        <w:rPr>
          <w:rFonts w:hint="eastAsia"/>
        </w:rPr>
        <w:t>推動「家事勞工保障法草案」，同前。</w:t>
      </w:r>
    </w:p>
  </w:footnote>
  <w:footnote w:id="538">
    <w:p w14:paraId="4190F917" w14:textId="77777777" w:rsidR="00CA23FA" w:rsidRPr="001663AE" w:rsidRDefault="00CA23FA" w:rsidP="00D87D91">
      <w:pPr>
        <w:pStyle w:val="3"/>
        <w:rPr>
          <w:lang w:val="es-AR"/>
        </w:rPr>
      </w:pPr>
      <w:r w:rsidRPr="001663AE">
        <w:rPr>
          <w:rStyle w:val="af3"/>
          <w:rFonts w:ascii="新細明體" w:hAnsi="新細明體"/>
        </w:rPr>
        <w:footnoteRef/>
      </w:r>
      <w:r w:rsidRPr="001663AE">
        <w:rPr>
          <w:rFonts w:hint="eastAsia"/>
        </w:rPr>
        <w:t>台灣民眾為何喜愛聘用外籍家事勞工，主要原因係為薪資低，且可供</w:t>
      </w:r>
      <w:r w:rsidRPr="001663AE">
        <w:t>24</w:t>
      </w:r>
      <w:r w:rsidRPr="001663AE">
        <w:rPr>
          <w:rFonts w:hint="eastAsia"/>
        </w:rPr>
        <w:t>小時使喚。目前聘用外傭之薪資行情，係在每月最低薪資</w:t>
      </w:r>
      <w:r w:rsidRPr="001663AE">
        <w:t>17880</w:t>
      </w:r>
      <w:r w:rsidRPr="001663AE">
        <w:rPr>
          <w:rFonts w:hint="eastAsia"/>
        </w:rPr>
        <w:t>元之基礎上，再加上</w:t>
      </w:r>
      <w:r w:rsidRPr="001663AE">
        <w:t>2000</w:t>
      </w:r>
      <w:r w:rsidRPr="001663AE">
        <w:rPr>
          <w:rFonts w:hint="eastAsia"/>
        </w:rPr>
        <w:t>元至</w:t>
      </w:r>
      <w:r w:rsidRPr="001663AE">
        <w:t>3000</w:t>
      </w:r>
      <w:r w:rsidRPr="001663AE">
        <w:rPr>
          <w:rFonts w:hint="eastAsia"/>
        </w:rPr>
        <w:t>元之加班費，約兩萬元左右，即為家事外勞每月之薪資，因其薪資偏低，故廣受民眾之喜好。引自：魏千峰</w:t>
      </w:r>
      <w:r w:rsidRPr="001663AE">
        <w:t>(2011)</w:t>
      </w:r>
      <w:r w:rsidRPr="001663AE">
        <w:rPr>
          <w:rFonts w:hint="eastAsia"/>
        </w:rPr>
        <w:t>，外傭政策該全面檢討了，中國時報，民</w:t>
      </w:r>
      <w:r w:rsidRPr="001663AE">
        <w:t>100</w:t>
      </w:r>
      <w:r w:rsidRPr="001663AE">
        <w:rPr>
          <w:rFonts w:hint="eastAsia"/>
        </w:rPr>
        <w:t>年</w:t>
      </w:r>
      <w:r w:rsidRPr="001663AE">
        <w:t>12</w:t>
      </w:r>
      <w:r w:rsidRPr="001663AE">
        <w:rPr>
          <w:rFonts w:hint="eastAsia"/>
        </w:rPr>
        <w:t>月</w:t>
      </w:r>
      <w:r w:rsidRPr="001663AE">
        <w:t>16</w:t>
      </w:r>
      <w:r w:rsidRPr="001663AE">
        <w:rPr>
          <w:rFonts w:hint="eastAsia"/>
        </w:rPr>
        <w:t>日。</w:t>
      </w:r>
    </w:p>
  </w:footnote>
  <w:footnote w:id="539">
    <w:p w14:paraId="71B0C3E4" w14:textId="77777777" w:rsidR="00CA23FA" w:rsidRPr="001663AE" w:rsidRDefault="00CA23FA" w:rsidP="00D87D91">
      <w:pPr>
        <w:pStyle w:val="3"/>
        <w:rPr>
          <w:lang w:val="es-AR"/>
        </w:rPr>
      </w:pPr>
      <w:r w:rsidRPr="001663AE">
        <w:rPr>
          <w:rStyle w:val="af3"/>
          <w:rFonts w:ascii="新細明體" w:hAnsi="新細明體"/>
        </w:rPr>
        <w:footnoteRef/>
      </w:r>
      <w:r w:rsidRPr="001663AE">
        <w:rPr>
          <w:rFonts w:hint="eastAsia"/>
        </w:rPr>
        <w:t>勞委會職業訓練局</w:t>
      </w:r>
      <w:r w:rsidRPr="001663AE">
        <w:rPr>
          <w:lang w:val="es-AR"/>
        </w:rPr>
        <w:t>(2010)</w:t>
      </w:r>
      <w:r w:rsidRPr="001663AE">
        <w:rPr>
          <w:rFonts w:hint="eastAsia"/>
          <w:lang w:val="es-AR"/>
        </w:rPr>
        <w:t>，</w:t>
      </w:r>
      <w:r w:rsidRPr="001663AE">
        <w:rPr>
          <w:rFonts w:hint="eastAsia"/>
        </w:rPr>
        <w:t>勞委會對於在台外勞之勞動權益保障</w:t>
      </w:r>
      <w:r w:rsidRPr="001663AE">
        <w:rPr>
          <w:rFonts w:hint="eastAsia"/>
          <w:lang w:val="es-AR"/>
        </w:rPr>
        <w:t>，</w:t>
      </w:r>
      <w:r w:rsidRPr="001663AE">
        <w:rPr>
          <w:rFonts w:hint="eastAsia"/>
        </w:rPr>
        <w:t>與本國國民一視同仁</w:t>
      </w:r>
      <w:r w:rsidRPr="001663AE">
        <w:rPr>
          <w:rFonts w:hint="eastAsia"/>
          <w:lang w:val="es-AR"/>
        </w:rPr>
        <w:t>，</w:t>
      </w:r>
      <w:hyperlink r:id="rId183" w:history="1">
        <w:r w:rsidRPr="001663AE">
          <w:rPr>
            <w:rStyle w:val="a5"/>
            <w:lang w:val="es-AR"/>
          </w:rPr>
          <w:t>http://www.cla.gov.tw/cgi-bin/Message/MM_msg_control?mode=viewnews&amp;ts=4b9a0c0f:76c5&amp;theme=(2011/11/25)</w:t>
        </w:r>
      </w:hyperlink>
      <w:r w:rsidRPr="001663AE">
        <w:rPr>
          <w:rFonts w:hint="eastAsia"/>
        </w:rPr>
        <w:t>。魏千峰律師主張，在台灣工作之外傭，形同台灣社會之奴工，外傭常遭遇之問題，尚包括超時工作、僱主對外傭毆打、性騷擾或不支付超時加班費，對台灣國際形象損害非常大，宜給予外傭適當之法律保障為佳。在立法之方向部分，魏千峰律師建議：制訂專法保障，或適用勞基法。引自：魏千峰</w:t>
      </w:r>
      <w:r w:rsidRPr="001663AE">
        <w:t>(2011)</w:t>
      </w:r>
      <w:r w:rsidRPr="001663AE">
        <w:rPr>
          <w:rFonts w:hint="eastAsia"/>
        </w:rPr>
        <w:t>，外傭政策該全面檢討了，同前。</w:t>
      </w:r>
    </w:p>
  </w:footnote>
  <w:footnote w:id="540">
    <w:p w14:paraId="2557E82F" w14:textId="77777777" w:rsidR="00CA23FA" w:rsidRPr="001663AE" w:rsidRDefault="00CA23FA" w:rsidP="00D87D91">
      <w:pPr>
        <w:pStyle w:val="3"/>
        <w:rPr>
          <w:lang w:val="es-AR"/>
        </w:rPr>
      </w:pPr>
      <w:r w:rsidRPr="001663AE">
        <w:rPr>
          <w:rStyle w:val="af3"/>
          <w:rFonts w:ascii="新細明體" w:hAnsi="新細明體"/>
        </w:rPr>
        <w:footnoteRef/>
      </w:r>
      <w:r w:rsidRPr="001663AE">
        <w:rPr>
          <w:rFonts w:hint="eastAsia"/>
          <w:lang w:val="en"/>
        </w:rPr>
        <w:t>許家雋</w:t>
      </w:r>
      <w:r w:rsidRPr="001663AE">
        <w:rPr>
          <w:lang w:val="es-AR"/>
        </w:rPr>
        <w:t>(2011)</w:t>
      </w:r>
      <w:r w:rsidRPr="001663AE">
        <w:rPr>
          <w:rFonts w:hint="eastAsia"/>
          <w:lang w:val="es-AR"/>
        </w:rPr>
        <w:t>，</w:t>
      </w:r>
      <w:r w:rsidRPr="001663AE">
        <w:rPr>
          <w:rFonts w:hint="eastAsia"/>
        </w:rPr>
        <w:t>家事勞工保障法應具國際視野</w:t>
      </w:r>
      <w:r w:rsidRPr="001663AE">
        <w:rPr>
          <w:rFonts w:hint="eastAsia"/>
          <w:lang w:val="es-AR"/>
        </w:rPr>
        <w:t>，</w:t>
      </w:r>
      <w:hyperlink r:id="rId184" w:history="1">
        <w:r w:rsidRPr="001663AE">
          <w:rPr>
            <w:rStyle w:val="a5"/>
            <w:lang w:val="es-AR"/>
          </w:rPr>
          <w:t>http://www.tiwa.org.tw/?itemid=456(2011/12/05)</w:t>
        </w:r>
      </w:hyperlink>
      <w:r w:rsidRPr="001663AE">
        <w:rPr>
          <w:rFonts w:hint="eastAsia"/>
        </w:rPr>
        <w:t>。</w:t>
      </w:r>
      <w:r w:rsidRPr="001663AE">
        <w:rPr>
          <w:lang w:val="es-AR"/>
        </w:rPr>
        <w:t xml:space="preserve"> </w:t>
      </w:r>
    </w:p>
  </w:footnote>
  <w:footnote w:id="541">
    <w:p w14:paraId="38730B59" w14:textId="77777777" w:rsidR="00CA23FA" w:rsidRPr="001663AE" w:rsidRDefault="00CA23FA" w:rsidP="00D87D91">
      <w:pPr>
        <w:pStyle w:val="3"/>
      </w:pPr>
      <w:r w:rsidRPr="001663AE">
        <w:rPr>
          <w:rStyle w:val="af3"/>
          <w:rFonts w:ascii="新細明體" w:hAnsi="新細明體"/>
        </w:rPr>
        <w:footnoteRef/>
      </w:r>
      <w:r w:rsidRPr="001663AE">
        <w:rPr>
          <w:rFonts w:hint="eastAsia"/>
        </w:rPr>
        <w:t>蔡令恬</w:t>
      </w:r>
      <w:r w:rsidRPr="001663AE">
        <w:t>(2010)</w:t>
      </w:r>
      <w:r w:rsidRPr="001663AE">
        <w:rPr>
          <w:rFonts w:hint="eastAsia"/>
        </w:rPr>
        <w:t>，我國外籍家事勞動者勞動權益保障之研究，東吳大學法學院法律學系碩士論文，頁</w:t>
      </w:r>
      <w:r w:rsidRPr="001663AE">
        <w:t>40-122</w:t>
      </w:r>
      <w:r w:rsidRPr="001663AE">
        <w:rPr>
          <w:rFonts w:hint="eastAsia"/>
        </w:rPr>
        <w:t>。</w:t>
      </w:r>
    </w:p>
  </w:footnote>
  <w:footnote w:id="542">
    <w:p w14:paraId="3087189E" w14:textId="77777777" w:rsidR="00CA23FA" w:rsidRPr="001663AE" w:rsidRDefault="00CA23FA" w:rsidP="00D87D91">
      <w:pPr>
        <w:pStyle w:val="3"/>
      </w:pPr>
      <w:r w:rsidRPr="001663AE">
        <w:rPr>
          <w:rStyle w:val="af3"/>
          <w:rFonts w:ascii="新細明體" w:hAnsi="新細明體"/>
        </w:rPr>
        <w:footnoteRef/>
      </w:r>
      <w:r w:rsidRPr="001663AE">
        <w:rPr>
          <w:rFonts w:hint="eastAsia"/>
        </w:rPr>
        <w:t>高雄市就業服務商業同業公會</w:t>
      </w:r>
      <w:r w:rsidRPr="001663AE">
        <w:t>(2011)</w:t>
      </w:r>
      <w:r w:rsidRPr="001663AE">
        <w:rPr>
          <w:rFonts w:hint="eastAsia"/>
        </w:rPr>
        <w:t>，家事勞工保障法，工時、工資喬不定，</w:t>
      </w:r>
      <w:hyperlink r:id="rId185" w:history="1">
        <w:r w:rsidRPr="001663AE">
          <w:rPr>
            <w:rStyle w:val="a5"/>
          </w:rPr>
          <w:t>http://blog.xuite.net/kesia/annie/41826013(2011/11/25)</w:t>
        </w:r>
      </w:hyperlink>
      <w:r w:rsidRPr="001663AE">
        <w:rPr>
          <w:rFonts w:hint="eastAsia"/>
        </w:rPr>
        <w:t>。</w:t>
      </w:r>
    </w:p>
  </w:footnote>
  <w:footnote w:id="543">
    <w:p w14:paraId="49C84395" w14:textId="77777777" w:rsidR="00CA23FA" w:rsidRPr="001663AE" w:rsidRDefault="00CA23FA" w:rsidP="00166E2F">
      <w:pPr>
        <w:pStyle w:val="3"/>
        <w:jc w:val="left"/>
      </w:pPr>
      <w:r w:rsidRPr="001663AE">
        <w:rPr>
          <w:rStyle w:val="af3"/>
          <w:rFonts w:ascii="新細明體" w:hAnsi="新細明體"/>
        </w:rPr>
        <w:footnoteRef/>
      </w:r>
      <w:r w:rsidRPr="001663AE">
        <w:rPr>
          <w:rFonts w:hint="eastAsia"/>
        </w:rPr>
        <w:t>鄭津津，外籍勞工之政策及人權保障之檢視，</w:t>
      </w:r>
      <w:hyperlink r:id="rId186" w:history="1">
        <w:r w:rsidRPr="001663AE">
          <w:rPr>
            <w:rStyle w:val="a5"/>
          </w:rPr>
          <w:t>http://humanrights.cy.gov.tw/dl.asp?fileName=0113010351671.pdf(2011/12/10)</w:t>
        </w:r>
      </w:hyperlink>
      <w:r w:rsidRPr="001663AE">
        <w:rPr>
          <w:rFonts w:hint="eastAsia"/>
        </w:rPr>
        <w:t>。</w:t>
      </w:r>
    </w:p>
  </w:footnote>
  <w:footnote w:id="544">
    <w:p w14:paraId="22D59155" w14:textId="77777777" w:rsidR="00CA23FA" w:rsidRPr="001663AE" w:rsidRDefault="00CA23FA" w:rsidP="00166E2F">
      <w:pPr>
        <w:pStyle w:val="3"/>
        <w:jc w:val="left"/>
      </w:pPr>
      <w:r w:rsidRPr="001663AE">
        <w:rPr>
          <w:rStyle w:val="af3"/>
          <w:rFonts w:ascii="新細明體" w:hAnsi="新細明體"/>
        </w:rPr>
        <w:footnoteRef/>
      </w:r>
      <w:r w:rsidRPr="001663AE">
        <w:rPr>
          <w:rFonts w:hint="eastAsia"/>
        </w:rPr>
        <w:t>同上。</w:t>
      </w:r>
    </w:p>
  </w:footnote>
  <w:footnote w:id="545">
    <w:p w14:paraId="76353A6D" w14:textId="77777777" w:rsidR="00CA23FA" w:rsidRPr="001663AE" w:rsidRDefault="00CA23FA" w:rsidP="00166E2F">
      <w:pPr>
        <w:pStyle w:val="3"/>
        <w:jc w:val="left"/>
      </w:pPr>
      <w:r w:rsidRPr="001663AE">
        <w:rPr>
          <w:rStyle w:val="af3"/>
          <w:rFonts w:ascii="新細明體" w:hAnsi="新細明體"/>
        </w:rPr>
        <w:footnoteRef/>
      </w:r>
      <w:r w:rsidRPr="001663AE">
        <w:rPr>
          <w:rFonts w:hint="eastAsia"/>
        </w:rPr>
        <w:t>黃美美</w:t>
      </w:r>
      <w:r w:rsidRPr="001663AE">
        <w:t>(2006)</w:t>
      </w:r>
      <w:r w:rsidRPr="001663AE">
        <w:rPr>
          <w:rFonts w:hint="eastAsia"/>
        </w:rPr>
        <w:t>，台灣外籍監護工問題與改進之研究，逢甲大學經營管理碩士在職專班碩士論文，頁</w:t>
      </w:r>
      <w:r w:rsidRPr="001663AE">
        <w:t>64-65</w:t>
      </w:r>
      <w:r w:rsidRPr="001663AE">
        <w:rPr>
          <w:rFonts w:hint="eastAsia"/>
        </w:rPr>
        <w:t>。</w:t>
      </w:r>
    </w:p>
  </w:footnote>
  <w:footnote w:id="546">
    <w:p w14:paraId="730F4B8D" w14:textId="77777777" w:rsidR="00CA23FA" w:rsidRPr="001663AE" w:rsidRDefault="00CA23FA" w:rsidP="00166E2F">
      <w:pPr>
        <w:pStyle w:val="3"/>
        <w:jc w:val="left"/>
      </w:pPr>
      <w:r w:rsidRPr="001663AE">
        <w:rPr>
          <w:rStyle w:val="af3"/>
          <w:rFonts w:ascii="新細明體" w:hAnsi="新細明體"/>
        </w:rPr>
        <w:footnoteRef/>
      </w:r>
      <w:r w:rsidRPr="001663AE">
        <w:t xml:space="preserve"> </w:t>
      </w:r>
      <w:r w:rsidRPr="001663AE">
        <w:rPr>
          <w:rFonts w:hint="eastAsia"/>
        </w:rPr>
        <w:t>專法係指「家事勞工保障法草案」。</w:t>
      </w:r>
    </w:p>
  </w:footnote>
  <w:footnote w:id="547">
    <w:p w14:paraId="2CD2460D" w14:textId="77777777" w:rsidR="00CA23FA" w:rsidRPr="001663AE" w:rsidRDefault="00CA23FA" w:rsidP="009937E4">
      <w:pPr>
        <w:pStyle w:val="3"/>
        <w:jc w:val="left"/>
      </w:pPr>
      <w:r w:rsidRPr="001663AE">
        <w:rPr>
          <w:rStyle w:val="af3"/>
          <w:rFonts w:ascii="新細明體" w:hAnsi="新細明體"/>
          <w:szCs w:val="20"/>
        </w:rPr>
        <w:footnoteRef/>
      </w:r>
      <w:r w:rsidRPr="001663AE">
        <w:rPr>
          <w:rFonts w:hint="eastAsia"/>
        </w:rPr>
        <w:t>有關於家事外勞在台灣所處之各種不利情境，尚可參考以下文獻：</w:t>
      </w:r>
    </w:p>
    <w:p w14:paraId="19D634DF" w14:textId="77777777" w:rsidR="00CA23FA" w:rsidRPr="001663AE" w:rsidRDefault="00CA23FA" w:rsidP="009937E4">
      <w:pPr>
        <w:pStyle w:val="3"/>
        <w:jc w:val="left"/>
      </w:pPr>
      <w:r w:rsidRPr="001663AE">
        <w:rPr>
          <w:rFonts w:hint="eastAsia"/>
        </w:rPr>
        <w:t>馬財專、王慧鈺</w:t>
      </w:r>
      <w:r w:rsidRPr="001663AE">
        <w:t>(2010)</w:t>
      </w:r>
      <w:r w:rsidRPr="001663AE">
        <w:rPr>
          <w:rFonts w:hint="eastAsia"/>
        </w:rPr>
        <w:t>，外籍家庭看護工違法使用狀況之探討，就業安全，第</w:t>
      </w:r>
      <w:r w:rsidRPr="001663AE">
        <w:t>9</w:t>
      </w:r>
      <w:r w:rsidRPr="001663AE">
        <w:rPr>
          <w:rFonts w:hint="eastAsia"/>
        </w:rPr>
        <w:t>卷第</w:t>
      </w:r>
      <w:r w:rsidRPr="001663AE">
        <w:t>1</w:t>
      </w:r>
      <w:r w:rsidRPr="001663AE">
        <w:rPr>
          <w:rFonts w:hint="eastAsia"/>
        </w:rPr>
        <w:t>期，頁</w:t>
      </w:r>
      <w:r w:rsidRPr="001663AE">
        <w:t>122-129</w:t>
      </w:r>
      <w:r w:rsidRPr="001663AE">
        <w:rPr>
          <w:rFonts w:hint="eastAsia"/>
        </w:rPr>
        <w:t>。</w:t>
      </w:r>
      <w:r w:rsidRPr="001663AE">
        <w:t xml:space="preserve"> </w:t>
      </w:r>
    </w:p>
    <w:p w14:paraId="49B701D0" w14:textId="77777777" w:rsidR="00CA23FA" w:rsidRPr="001663AE" w:rsidRDefault="00CA23FA" w:rsidP="009937E4">
      <w:pPr>
        <w:pStyle w:val="3"/>
        <w:jc w:val="left"/>
      </w:pPr>
      <w:r w:rsidRPr="001663AE">
        <w:rPr>
          <w:rFonts w:hint="eastAsia"/>
        </w:rPr>
        <w:t>吳秀照</w:t>
      </w:r>
      <w:r w:rsidRPr="001663AE">
        <w:t>(2006)</w:t>
      </w:r>
      <w:r w:rsidRPr="001663AE">
        <w:rPr>
          <w:rFonts w:hint="eastAsia"/>
        </w:rPr>
        <w:t>，層層控制下不自由的勞動者：外籍家戶勞動者勞動條件、勞雇關係及管理政策析論，社會政策與社會工作學刊，第</w:t>
      </w:r>
      <w:r w:rsidRPr="001663AE">
        <w:t>10</w:t>
      </w:r>
      <w:r w:rsidRPr="001663AE">
        <w:rPr>
          <w:rFonts w:hint="eastAsia"/>
        </w:rPr>
        <w:t>卷第</w:t>
      </w:r>
      <w:r w:rsidRPr="001663AE">
        <w:t>2</w:t>
      </w:r>
      <w:r w:rsidRPr="001663AE">
        <w:rPr>
          <w:rFonts w:hint="eastAsia"/>
        </w:rPr>
        <w:t>期，頁</w:t>
      </w:r>
      <w:r w:rsidRPr="001663AE">
        <w:t>1-48</w:t>
      </w:r>
      <w:r w:rsidRPr="001663AE">
        <w:rPr>
          <w:rFonts w:hint="eastAsia"/>
        </w:rPr>
        <w:t>。</w:t>
      </w:r>
    </w:p>
  </w:footnote>
  <w:footnote w:id="548">
    <w:p w14:paraId="0CCD6840" w14:textId="77777777" w:rsidR="00CA23FA" w:rsidRPr="001663AE" w:rsidRDefault="00CA23FA" w:rsidP="009937E4">
      <w:pPr>
        <w:pStyle w:val="3"/>
        <w:jc w:val="left"/>
      </w:pPr>
      <w:r w:rsidRPr="001663AE">
        <w:rPr>
          <w:rStyle w:val="af3"/>
          <w:rFonts w:ascii="新細明體" w:hAnsi="新細明體"/>
        </w:rPr>
        <w:footnoteRef/>
      </w:r>
      <w:r w:rsidRPr="001663AE">
        <w:rPr>
          <w:rFonts w:hint="eastAsia"/>
        </w:rPr>
        <w:t>黃美美</w:t>
      </w:r>
      <w:r w:rsidRPr="001663AE">
        <w:t>(2006)</w:t>
      </w:r>
      <w:r w:rsidRPr="001663AE">
        <w:rPr>
          <w:rFonts w:hint="eastAsia"/>
        </w:rPr>
        <w:t>，同前。</w:t>
      </w:r>
    </w:p>
  </w:footnote>
  <w:footnote w:id="549">
    <w:p w14:paraId="3F251101" w14:textId="77777777" w:rsidR="00CA23FA" w:rsidRPr="001663AE" w:rsidRDefault="00CA23FA" w:rsidP="009937E4">
      <w:pPr>
        <w:pStyle w:val="3"/>
        <w:jc w:val="left"/>
      </w:pPr>
      <w:r w:rsidRPr="001663AE">
        <w:rPr>
          <w:rStyle w:val="af3"/>
          <w:rFonts w:ascii="新細明體" w:hAnsi="新細明體"/>
        </w:rPr>
        <w:footnoteRef/>
      </w:r>
      <w:r w:rsidRPr="001663AE">
        <w:rPr>
          <w:rFonts w:hint="eastAsia"/>
        </w:rPr>
        <w:t>台灣國際勞工協會</w:t>
      </w:r>
      <w:r w:rsidRPr="001663AE">
        <w:t>(2011)</w:t>
      </w:r>
      <w:r w:rsidRPr="001663AE">
        <w:rPr>
          <w:rFonts w:hint="eastAsia"/>
        </w:rPr>
        <w:t>，血拼休假權，移工大遊行，</w:t>
      </w:r>
      <w:hyperlink r:id="rId187" w:history="1">
        <w:r w:rsidRPr="001663AE">
          <w:rPr>
            <w:rStyle w:val="a5"/>
          </w:rPr>
          <w:t>http://www.coolloud.org.tw/node/64902(2011/12/20)</w:t>
        </w:r>
      </w:hyperlink>
      <w:r w:rsidRPr="001663AE">
        <w:rPr>
          <w:rFonts w:hint="eastAsia"/>
        </w:rPr>
        <w:t>。</w:t>
      </w:r>
    </w:p>
  </w:footnote>
  <w:footnote w:id="550">
    <w:p w14:paraId="0C0A1E38" w14:textId="77777777" w:rsidR="00CA23FA" w:rsidRPr="001663AE" w:rsidRDefault="00CA23FA" w:rsidP="009937E4">
      <w:pPr>
        <w:pStyle w:val="3"/>
        <w:jc w:val="left"/>
      </w:pPr>
      <w:r w:rsidRPr="001663AE">
        <w:rPr>
          <w:rStyle w:val="af3"/>
          <w:rFonts w:ascii="新細明體" w:hAnsi="新細明體"/>
        </w:rPr>
        <w:footnoteRef/>
      </w:r>
      <w:r w:rsidRPr="001663AE">
        <w:rPr>
          <w:rFonts w:hint="eastAsia"/>
        </w:rPr>
        <w:t>趙容青，淺談外籍勞工現況及管理，</w:t>
      </w:r>
      <w:hyperlink r:id="rId188" w:history="1">
        <w:r w:rsidRPr="001663AE">
          <w:rPr>
            <w:rStyle w:val="a5"/>
          </w:rPr>
          <w:t>http://labor.kcg.gov.tw/epaper/share/tmp/files/p9-3.pdf(2011/12/09)</w:t>
        </w:r>
      </w:hyperlink>
      <w:r w:rsidRPr="001663AE">
        <w:rPr>
          <w:rFonts w:hint="eastAsia"/>
        </w:rPr>
        <w:t>。</w:t>
      </w:r>
    </w:p>
  </w:footnote>
  <w:footnote w:id="551">
    <w:p w14:paraId="7B360F6D" w14:textId="77777777" w:rsidR="00CA23FA" w:rsidRPr="001663AE" w:rsidRDefault="00CA23FA" w:rsidP="009937E4">
      <w:pPr>
        <w:pStyle w:val="3"/>
        <w:jc w:val="left"/>
      </w:pPr>
      <w:r w:rsidRPr="001663AE">
        <w:rPr>
          <w:rStyle w:val="af3"/>
          <w:rFonts w:ascii="新細明體" w:hAnsi="新細明體"/>
        </w:rPr>
        <w:footnoteRef/>
      </w:r>
      <w:r w:rsidRPr="001663AE">
        <w:rPr>
          <w:rFonts w:hint="eastAsia"/>
        </w:rPr>
        <w:t>蔡尚宏</w:t>
      </w:r>
      <w:r w:rsidRPr="001663AE">
        <w:t>(2006)</w:t>
      </w:r>
      <w:r w:rsidRPr="001663AE">
        <w:rPr>
          <w:rFonts w:hint="eastAsia"/>
        </w:rPr>
        <w:t>，我國外籍勞工勞動人權之研究，國立中正大學法律所碩士論文，頁</w:t>
      </w:r>
      <w:r w:rsidRPr="001663AE">
        <w:t>14-147</w:t>
      </w:r>
      <w:r w:rsidRPr="001663AE">
        <w:rPr>
          <w:rFonts w:hint="eastAsia"/>
        </w:rPr>
        <w:t>。</w:t>
      </w:r>
    </w:p>
  </w:footnote>
  <w:footnote w:id="552">
    <w:p w14:paraId="63FAB491"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郭振恭</w:t>
      </w:r>
      <w:r w:rsidRPr="001663AE">
        <w:t>(2002)</w:t>
      </w:r>
      <w:r w:rsidRPr="001663AE">
        <w:rPr>
          <w:rFonts w:hint="eastAsia"/>
        </w:rPr>
        <w:t>，民法，修訂</w:t>
      </w:r>
      <w:r w:rsidRPr="001663AE">
        <w:t>3</w:t>
      </w:r>
      <w:r w:rsidRPr="001663AE">
        <w:rPr>
          <w:rFonts w:hint="eastAsia"/>
        </w:rPr>
        <w:t>版，臺北：三民書局，頁</w:t>
      </w:r>
      <w:r w:rsidRPr="001663AE">
        <w:t>92-93</w:t>
      </w:r>
      <w:r w:rsidRPr="001663AE">
        <w:rPr>
          <w:rFonts w:hint="eastAsia"/>
        </w:rPr>
        <w:t>。</w:t>
      </w:r>
    </w:p>
  </w:footnote>
  <w:footnote w:id="553">
    <w:p w14:paraId="23EE1524"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陳自強</w:t>
      </w:r>
      <w:r w:rsidRPr="001663AE">
        <w:t>(2002)</w:t>
      </w:r>
      <w:r w:rsidRPr="001663AE">
        <w:rPr>
          <w:rFonts w:hint="eastAsia"/>
        </w:rPr>
        <w:t>，民法講義</w:t>
      </w:r>
      <w:r w:rsidRPr="001663AE">
        <w:t>(1)</w:t>
      </w:r>
      <w:r>
        <w:t>〜</w:t>
      </w:r>
      <w:r w:rsidRPr="001663AE">
        <w:rPr>
          <w:rFonts w:hint="eastAsia"/>
        </w:rPr>
        <w:t>契約之成立與生效，臺北：學林文化，頁</w:t>
      </w:r>
      <w:r w:rsidRPr="001663AE">
        <w:t>274-275</w:t>
      </w:r>
      <w:r w:rsidRPr="001663AE">
        <w:rPr>
          <w:rFonts w:hint="eastAsia"/>
        </w:rPr>
        <w:t>。</w:t>
      </w:r>
    </w:p>
  </w:footnote>
  <w:footnote w:id="554">
    <w:p w14:paraId="7FADC038"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同上，頁</w:t>
      </w:r>
      <w:r w:rsidRPr="001663AE">
        <w:t>155-156</w:t>
      </w:r>
      <w:r w:rsidRPr="001663AE">
        <w:rPr>
          <w:rFonts w:hint="eastAsia"/>
        </w:rPr>
        <w:t>。</w:t>
      </w:r>
      <w:r w:rsidRPr="001663AE">
        <w:t xml:space="preserve"> </w:t>
      </w:r>
    </w:p>
  </w:footnote>
  <w:footnote w:id="555">
    <w:p w14:paraId="47B422BF"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林佳和</w:t>
      </w:r>
      <w:r w:rsidRPr="001663AE">
        <w:t>(2003)</w:t>
      </w:r>
      <w:r w:rsidRPr="001663AE">
        <w:rPr>
          <w:rFonts w:hint="eastAsia"/>
        </w:rPr>
        <w:t>，外勞人權與行政管制</w:t>
      </w:r>
      <w:r>
        <w:t>〜</w:t>
      </w:r>
      <w:r w:rsidRPr="001663AE">
        <w:rPr>
          <w:rFonts w:hint="eastAsia"/>
        </w:rPr>
        <w:t>建立外勞保護體系之初步研究，行政院勞工委員會委託，中華民國勞資關係協進會執行，頁</w:t>
      </w:r>
      <w:r w:rsidRPr="001663AE">
        <w:t>47</w:t>
      </w:r>
      <w:r w:rsidRPr="001663AE">
        <w:rPr>
          <w:rFonts w:hint="eastAsia"/>
        </w:rPr>
        <w:t>。</w:t>
      </w:r>
    </w:p>
    <w:p w14:paraId="64A5E3B5" w14:textId="77777777" w:rsidR="00CA23FA" w:rsidRPr="001663AE" w:rsidRDefault="00CA23FA" w:rsidP="00D87D91">
      <w:pPr>
        <w:pStyle w:val="3"/>
      </w:pPr>
      <w:r w:rsidRPr="001663AE">
        <w:rPr>
          <w:rFonts w:hint="eastAsia"/>
        </w:rPr>
        <w:t>蕭博銘</w:t>
      </w:r>
      <w:r w:rsidRPr="001663AE">
        <w:t>(2005)</w:t>
      </w:r>
      <w:r w:rsidRPr="001663AE">
        <w:rPr>
          <w:rFonts w:hint="eastAsia"/>
        </w:rPr>
        <w:t>，全球趨勢下對勞動人權影響的政治經濟分析</w:t>
      </w:r>
      <w:r>
        <w:t>〜</w:t>
      </w:r>
      <w:r w:rsidRPr="001663AE">
        <w:rPr>
          <w:rFonts w:hint="eastAsia"/>
        </w:rPr>
        <w:t>以我國外籍勞工勞動人權為例，國立中山大學政治學研究所碩士論文，頁</w:t>
      </w:r>
      <w:r w:rsidRPr="001663AE">
        <w:t>107-156</w:t>
      </w:r>
      <w:r w:rsidRPr="001663AE">
        <w:rPr>
          <w:rFonts w:hint="eastAsia"/>
        </w:rPr>
        <w:t>。</w:t>
      </w:r>
    </w:p>
  </w:footnote>
  <w:footnote w:id="556">
    <w:p w14:paraId="4B1D8D4A" w14:textId="77777777" w:rsidR="00CA23FA" w:rsidRPr="001663AE" w:rsidRDefault="00CA23FA" w:rsidP="00D87D91">
      <w:pPr>
        <w:pStyle w:val="3"/>
      </w:pPr>
      <w:r w:rsidRPr="001663AE">
        <w:rPr>
          <w:rStyle w:val="af3"/>
          <w:rFonts w:ascii="新細明體" w:hAnsi="新細明體"/>
        </w:rPr>
        <w:footnoteRef/>
      </w:r>
      <w:r w:rsidRPr="001663AE">
        <w:rPr>
          <w:rFonts w:hint="eastAsia"/>
          <w:lang w:val="en"/>
        </w:rPr>
        <w:t>許家雋</w:t>
      </w:r>
      <w:r w:rsidRPr="001663AE">
        <w:rPr>
          <w:lang w:val="en"/>
        </w:rPr>
        <w:t>(2011)</w:t>
      </w:r>
      <w:r w:rsidRPr="001663AE">
        <w:rPr>
          <w:rFonts w:hint="eastAsia"/>
          <w:lang w:val="en"/>
        </w:rPr>
        <w:t>，</w:t>
      </w:r>
      <w:r w:rsidRPr="001663AE">
        <w:rPr>
          <w:rFonts w:hint="eastAsia"/>
        </w:rPr>
        <w:t>《家事勞工保障法》應具國際視野，</w:t>
      </w:r>
      <w:hyperlink r:id="rId189" w:history="1">
        <w:r w:rsidRPr="001663AE">
          <w:rPr>
            <w:rStyle w:val="a5"/>
          </w:rPr>
          <w:t>http://www.tiwa.org.tw/?itemid=456(2011/12/05)</w:t>
        </w:r>
      </w:hyperlink>
      <w:r w:rsidRPr="001663AE">
        <w:rPr>
          <w:rFonts w:hint="eastAsia"/>
        </w:rPr>
        <w:t>。</w:t>
      </w:r>
    </w:p>
  </w:footnote>
  <w:footnote w:id="557">
    <w:p w14:paraId="47C2375C"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餘國寧</w:t>
      </w:r>
      <w:r w:rsidRPr="001663AE">
        <w:t>(2007)</w:t>
      </w:r>
      <w:r w:rsidRPr="001663AE">
        <w:rPr>
          <w:rFonts w:hint="eastAsia"/>
        </w:rPr>
        <w:t>，從國際法觀點析論我國外籍勞工之法制，國立臺灣海洋大學海洋法律研究所碩士論文，頁</w:t>
      </w:r>
      <w:r w:rsidRPr="001663AE">
        <w:t>24-90</w:t>
      </w:r>
      <w:r w:rsidRPr="001663AE">
        <w:rPr>
          <w:rFonts w:hint="eastAsia"/>
        </w:rPr>
        <w:t>。</w:t>
      </w:r>
      <w:r w:rsidRPr="001663AE">
        <w:t xml:space="preserve"> </w:t>
      </w:r>
    </w:p>
    <w:p w14:paraId="00D29859" w14:textId="77777777" w:rsidR="00CA23FA" w:rsidRPr="001663AE" w:rsidRDefault="00CA23FA" w:rsidP="00D87D91">
      <w:pPr>
        <w:pStyle w:val="3"/>
      </w:pPr>
      <w:r w:rsidRPr="001663AE">
        <w:rPr>
          <w:rFonts w:hint="eastAsia"/>
        </w:rPr>
        <w:t>趙容青，同前。</w:t>
      </w:r>
    </w:p>
    <w:p w14:paraId="2A2B2C3B" w14:textId="77777777" w:rsidR="00CA23FA" w:rsidRPr="001663AE" w:rsidRDefault="00CA23FA" w:rsidP="00D87D91">
      <w:pPr>
        <w:pStyle w:val="3"/>
      </w:pPr>
      <w:r w:rsidRPr="001663AE">
        <w:rPr>
          <w:rFonts w:hint="eastAsia"/>
        </w:rPr>
        <w:t>蔡尚宏</w:t>
      </w:r>
      <w:r w:rsidRPr="001663AE">
        <w:t>(2006)</w:t>
      </w:r>
      <w:r w:rsidRPr="001663AE">
        <w:rPr>
          <w:rFonts w:hint="eastAsia"/>
        </w:rPr>
        <w:t>，同前，頁</w:t>
      </w:r>
      <w:r w:rsidRPr="001663AE">
        <w:t>14-147</w:t>
      </w:r>
      <w:r w:rsidRPr="001663AE">
        <w:rPr>
          <w:rFonts w:hint="eastAsia"/>
        </w:rPr>
        <w:t>。</w:t>
      </w:r>
    </w:p>
    <w:p w14:paraId="554C991E" w14:textId="77777777" w:rsidR="00CA23FA" w:rsidRPr="001663AE" w:rsidRDefault="00CA23FA" w:rsidP="00D87D91">
      <w:pPr>
        <w:pStyle w:val="3"/>
      </w:pPr>
      <w:r w:rsidRPr="001663AE">
        <w:rPr>
          <w:rFonts w:hint="eastAsia"/>
        </w:rPr>
        <w:t>張瑞源</w:t>
      </w:r>
      <w:r w:rsidRPr="001663AE">
        <w:t>(2006)</w:t>
      </w:r>
      <w:r w:rsidRPr="001663AE">
        <w:rPr>
          <w:rFonts w:hint="eastAsia"/>
        </w:rPr>
        <w:t>，台灣外勞管理機制之探討</w:t>
      </w:r>
      <w:r>
        <w:t>〜</w:t>
      </w:r>
      <w:r w:rsidRPr="001663AE">
        <w:rPr>
          <w:rFonts w:hint="eastAsia"/>
        </w:rPr>
        <w:t>以高雄捷運泰勞事件為例，東海大學政治學系碩士論文，頁</w:t>
      </w:r>
      <w:r w:rsidRPr="001663AE">
        <w:t>114-126</w:t>
      </w:r>
      <w:r w:rsidRPr="001663AE">
        <w:rPr>
          <w:rFonts w:hint="eastAsia"/>
        </w:rPr>
        <w:t>。</w:t>
      </w:r>
    </w:p>
    <w:p w14:paraId="769AF664" w14:textId="77777777" w:rsidR="00CA23FA" w:rsidRPr="001663AE" w:rsidRDefault="00CA23FA" w:rsidP="00D87D91">
      <w:pPr>
        <w:pStyle w:val="3"/>
      </w:pPr>
      <w:r w:rsidRPr="001663AE">
        <w:rPr>
          <w:rFonts w:hint="eastAsia"/>
        </w:rPr>
        <w:t>蕭博銘</w:t>
      </w:r>
      <w:r w:rsidRPr="001663AE">
        <w:t>(2005)</w:t>
      </w:r>
      <w:r w:rsidRPr="001663AE">
        <w:rPr>
          <w:rFonts w:hint="eastAsia"/>
        </w:rPr>
        <w:t>，同前，頁</w:t>
      </w:r>
      <w:r w:rsidRPr="001663AE">
        <w:t>107-156</w:t>
      </w:r>
      <w:r w:rsidRPr="001663AE">
        <w:rPr>
          <w:rFonts w:hint="eastAsia"/>
        </w:rPr>
        <w:t>。</w:t>
      </w:r>
    </w:p>
    <w:p w14:paraId="31EB3E6F" w14:textId="77777777" w:rsidR="00CA23FA" w:rsidRPr="001663AE" w:rsidRDefault="00CA23FA" w:rsidP="00D87D91">
      <w:pPr>
        <w:pStyle w:val="3"/>
      </w:pPr>
      <w:r w:rsidRPr="001663AE">
        <w:rPr>
          <w:rFonts w:hint="eastAsia"/>
        </w:rPr>
        <w:t>蔡令恬</w:t>
      </w:r>
      <w:r w:rsidRPr="001663AE">
        <w:t>(2010)</w:t>
      </w:r>
      <w:r w:rsidRPr="001663AE">
        <w:rPr>
          <w:rFonts w:hint="eastAsia"/>
        </w:rPr>
        <w:t>，同前，頁</w:t>
      </w:r>
      <w:r w:rsidRPr="001663AE">
        <w:t>40-122</w:t>
      </w:r>
      <w:r w:rsidRPr="001663AE">
        <w:rPr>
          <w:rFonts w:hint="eastAsia"/>
        </w:rPr>
        <w:t>。</w:t>
      </w:r>
    </w:p>
    <w:p w14:paraId="28C6F594" w14:textId="77777777" w:rsidR="00CA23FA" w:rsidRPr="001663AE" w:rsidRDefault="00CA23FA" w:rsidP="00D87D91">
      <w:pPr>
        <w:pStyle w:val="3"/>
      </w:pPr>
      <w:r w:rsidRPr="001663AE">
        <w:rPr>
          <w:rFonts w:hint="eastAsia"/>
        </w:rPr>
        <w:t>廖浩彬</w:t>
      </w:r>
      <w:r w:rsidRPr="001663AE">
        <w:t>(2010)</w:t>
      </w:r>
      <w:r w:rsidRPr="001663AE">
        <w:rPr>
          <w:rFonts w:hint="eastAsia"/>
        </w:rPr>
        <w:t>，外籍勞工休閒參與及休閒效益之研究</w:t>
      </w:r>
      <w:r>
        <w:t>〜</w:t>
      </w:r>
      <w:r w:rsidRPr="001663AE">
        <w:rPr>
          <w:rFonts w:hint="eastAsia"/>
        </w:rPr>
        <w:t>以印尼籍外勞為例，國立台灣師範大學運動與休閒管理研究所碩士論文，頁</w:t>
      </w:r>
      <w:r w:rsidRPr="001663AE">
        <w:t>124-125</w:t>
      </w:r>
      <w:r w:rsidRPr="001663AE">
        <w:rPr>
          <w:rFonts w:hint="eastAsia"/>
        </w:rPr>
        <w:t>。</w:t>
      </w:r>
    </w:p>
    <w:p w14:paraId="73C7ECA7" w14:textId="77777777" w:rsidR="00CA23FA" w:rsidRPr="001663AE" w:rsidRDefault="00CA23FA" w:rsidP="00D87D91">
      <w:pPr>
        <w:pStyle w:val="3"/>
      </w:pPr>
      <w:r w:rsidRPr="001663AE">
        <w:rPr>
          <w:rFonts w:hint="eastAsia"/>
        </w:rPr>
        <w:t>劉家綾</w:t>
      </w:r>
      <w:r w:rsidRPr="001663AE">
        <w:t>(2005)</w:t>
      </w:r>
      <w:r w:rsidRPr="001663AE">
        <w:rPr>
          <w:rFonts w:hint="eastAsia"/>
        </w:rPr>
        <w:t>，我國外籍勞工管理法制合憲性的檢討，國立臺北大學法律所碩士論文，頁</w:t>
      </w:r>
      <w:r w:rsidRPr="001663AE">
        <w:t>105-115</w:t>
      </w:r>
      <w:r w:rsidRPr="001663AE">
        <w:rPr>
          <w:rFonts w:hint="eastAsia"/>
        </w:rPr>
        <w:t>。</w:t>
      </w:r>
    </w:p>
    <w:p w14:paraId="57CEC438" w14:textId="77777777" w:rsidR="00CA23FA" w:rsidRPr="001663AE" w:rsidRDefault="00CA23FA" w:rsidP="00D87D91">
      <w:pPr>
        <w:pStyle w:val="3"/>
      </w:pPr>
      <w:r w:rsidRPr="001663AE">
        <w:rPr>
          <w:rFonts w:hint="eastAsia"/>
        </w:rPr>
        <w:t>許德琳</w:t>
      </w:r>
      <w:r w:rsidRPr="001663AE">
        <w:t>(2005)</w:t>
      </w:r>
      <w:r w:rsidRPr="001663AE">
        <w:rPr>
          <w:rFonts w:hint="eastAsia"/>
        </w:rPr>
        <w:t>，台灣外籍勞工問題之研究</w:t>
      </w:r>
      <w:r>
        <w:t>〜</w:t>
      </w:r>
      <w:r w:rsidRPr="001663AE">
        <w:rPr>
          <w:rFonts w:hint="eastAsia"/>
        </w:rPr>
        <w:t>以外籍勞工管理為中心，中央警察大學法律學研究所碩士論文，頁</w:t>
      </w:r>
      <w:r w:rsidRPr="001663AE">
        <w:t>95-102</w:t>
      </w:r>
      <w:r w:rsidRPr="001663AE">
        <w:rPr>
          <w:rFonts w:hint="eastAsia"/>
        </w:rPr>
        <w:t>。</w:t>
      </w:r>
    </w:p>
    <w:p w14:paraId="324A746F" w14:textId="77777777" w:rsidR="00CA23FA" w:rsidRPr="001663AE" w:rsidRDefault="00CA23FA" w:rsidP="00D87D91">
      <w:pPr>
        <w:pStyle w:val="3"/>
      </w:pPr>
      <w:r w:rsidRPr="001663AE">
        <w:rPr>
          <w:rFonts w:hint="eastAsia"/>
        </w:rPr>
        <w:t>鄭津津，同前。</w:t>
      </w:r>
    </w:p>
    <w:p w14:paraId="6D6182DD" w14:textId="77777777" w:rsidR="00CA23FA" w:rsidRPr="001663AE" w:rsidRDefault="00CA23FA" w:rsidP="00D87D91">
      <w:pPr>
        <w:pStyle w:val="3"/>
      </w:pPr>
      <w:r w:rsidRPr="001663AE">
        <w:rPr>
          <w:rFonts w:hint="eastAsia"/>
        </w:rPr>
        <w:t>黃美美</w:t>
      </w:r>
      <w:r w:rsidRPr="001663AE">
        <w:t>(2006)</w:t>
      </w:r>
      <w:r w:rsidRPr="001663AE">
        <w:rPr>
          <w:rFonts w:hint="eastAsia"/>
        </w:rPr>
        <w:t>，台灣外籍監護工問題與改進之研究，逢甲大學經營管理碩士在職專班碩士論文，頁</w:t>
      </w:r>
      <w:r w:rsidRPr="001663AE">
        <w:t>64-65</w:t>
      </w:r>
      <w:r w:rsidRPr="001663AE">
        <w:rPr>
          <w:rFonts w:hint="eastAsia"/>
        </w:rPr>
        <w:t>。</w:t>
      </w:r>
    </w:p>
    <w:p w14:paraId="50E64F7F" w14:textId="77777777" w:rsidR="00CA23FA" w:rsidRPr="001663AE" w:rsidRDefault="00CA23FA" w:rsidP="00D87D91">
      <w:pPr>
        <w:pStyle w:val="3"/>
      </w:pPr>
      <w:r w:rsidRPr="001663AE">
        <w:rPr>
          <w:rFonts w:hint="eastAsia"/>
        </w:rPr>
        <w:t>王尚志</w:t>
      </w:r>
      <w:r w:rsidRPr="001663AE">
        <w:t>(2003)</w:t>
      </w:r>
      <w:r w:rsidRPr="001663AE">
        <w:rPr>
          <w:rFonts w:hint="eastAsia"/>
        </w:rPr>
        <w:t>，我國外籍勞工許可及管理法制與實踐之研究，國立臺灣海洋大學海洋法律研究所碩士論文，頁</w:t>
      </w:r>
      <w:r w:rsidRPr="001663AE">
        <w:t>152-154</w:t>
      </w:r>
      <w:r w:rsidRPr="001663AE">
        <w:rPr>
          <w:rFonts w:hint="eastAsia"/>
        </w:rPr>
        <w:t>。</w:t>
      </w:r>
    </w:p>
    <w:p w14:paraId="2E8494AD" w14:textId="77777777" w:rsidR="00CA23FA" w:rsidRPr="001663AE" w:rsidRDefault="00CA23FA" w:rsidP="00D87D91">
      <w:pPr>
        <w:pStyle w:val="3"/>
      </w:pPr>
      <w:r w:rsidRPr="001663AE">
        <w:rPr>
          <w:rFonts w:hint="eastAsia"/>
        </w:rPr>
        <w:t>陳光偉</w:t>
      </w:r>
      <w:r w:rsidRPr="001663AE">
        <w:t>(2005)</w:t>
      </w:r>
      <w:r w:rsidRPr="001663AE">
        <w:rPr>
          <w:rFonts w:hint="eastAsia"/>
        </w:rPr>
        <w:t>，外籍勞工平等待遇原則之研究，中國文化大學勞動學研究所碩士論文，頁</w:t>
      </w:r>
      <w:r w:rsidRPr="001663AE">
        <w:t>147-152</w:t>
      </w:r>
      <w:r w:rsidRPr="001663AE">
        <w:rPr>
          <w:rFonts w:hint="eastAsia"/>
        </w:rPr>
        <w:t>。</w:t>
      </w:r>
      <w:r w:rsidRPr="001663AE">
        <w:t xml:space="preserve"> </w:t>
      </w:r>
    </w:p>
    <w:p w14:paraId="2F488D03" w14:textId="77777777" w:rsidR="00CA23FA" w:rsidRPr="001663AE" w:rsidRDefault="00CA23FA" w:rsidP="00D87D91">
      <w:pPr>
        <w:pStyle w:val="3"/>
      </w:pPr>
      <w:r w:rsidRPr="001663AE">
        <w:rPr>
          <w:rFonts w:hint="eastAsia"/>
        </w:rPr>
        <w:t>邱駿彥</w:t>
      </w:r>
      <w:r w:rsidRPr="001663AE">
        <w:t>(2009)</w:t>
      </w:r>
      <w:r w:rsidRPr="001663AE">
        <w:rPr>
          <w:rFonts w:hint="eastAsia"/>
        </w:rPr>
        <w:t>，外國人聘僱及管理法制研究計畫，行政院勞工委員會職業訓練局委託研究報告，中華民國勞資關係協進會執行，頁</w:t>
      </w:r>
      <w:r w:rsidRPr="001663AE">
        <w:t>103-109</w:t>
      </w:r>
      <w:r w:rsidRPr="001663AE">
        <w:rPr>
          <w:rFonts w:hint="eastAsia"/>
        </w:rPr>
        <w:t>。</w:t>
      </w:r>
    </w:p>
  </w:footnote>
  <w:footnote w:id="558">
    <w:p w14:paraId="0D566F9B" w14:textId="77777777" w:rsidR="00CA23FA" w:rsidRPr="001663AE" w:rsidRDefault="00CA23FA" w:rsidP="00D87D91">
      <w:pPr>
        <w:pStyle w:val="3"/>
      </w:pPr>
      <w:r w:rsidRPr="001663AE">
        <w:rPr>
          <w:rStyle w:val="af3"/>
          <w:rFonts w:ascii="新細明體" w:hAnsi="新細明體"/>
        </w:rPr>
        <w:footnoteRef/>
      </w:r>
      <w:r w:rsidRPr="001663AE">
        <w:t xml:space="preserve"> ESA §22</w:t>
      </w:r>
      <w:r w:rsidRPr="001663AE">
        <w:rPr>
          <w:rFonts w:hint="eastAsia"/>
        </w:rPr>
        <w:t>（</w:t>
      </w:r>
      <w:r w:rsidRPr="001663AE">
        <w:t>1</w:t>
      </w:r>
      <w:r w:rsidRPr="001663AE">
        <w:rPr>
          <w:rFonts w:hint="eastAsia"/>
        </w:rPr>
        <w:t>）。</w:t>
      </w:r>
      <w:r w:rsidRPr="001663AE">
        <w:t xml:space="preserve"> </w:t>
      </w:r>
    </w:p>
  </w:footnote>
  <w:footnote w:id="559">
    <w:p w14:paraId="480433AC" w14:textId="77777777" w:rsidR="00CA23FA" w:rsidRPr="001663AE" w:rsidRDefault="00CA23FA" w:rsidP="00D87D91">
      <w:pPr>
        <w:pStyle w:val="3"/>
      </w:pPr>
      <w:r w:rsidRPr="001663AE">
        <w:rPr>
          <w:rStyle w:val="af3"/>
          <w:rFonts w:ascii="新細明體" w:hAnsi="新細明體"/>
        </w:rPr>
        <w:footnoteRef/>
      </w:r>
      <w:r w:rsidRPr="001663AE">
        <w:rPr>
          <w:rFonts w:hint="eastAsia"/>
        </w:rPr>
        <w:t>蔡尚宏</w:t>
      </w:r>
      <w:r w:rsidRPr="001663AE">
        <w:t>(2006)</w:t>
      </w:r>
      <w:r w:rsidRPr="001663AE">
        <w:rPr>
          <w:rFonts w:hint="eastAsia"/>
        </w:rPr>
        <w:t>，我國外籍勞工勞動人權之研究，國立中正大學法律所碩士論文，頁</w:t>
      </w:r>
      <w:r w:rsidRPr="001663AE">
        <w:t>14-147</w:t>
      </w:r>
      <w:r w:rsidRPr="001663AE">
        <w:rPr>
          <w:rFonts w:hint="eastAsia"/>
        </w:rPr>
        <w:t>。</w:t>
      </w:r>
    </w:p>
  </w:footnote>
  <w:footnote w:id="560">
    <w:p w14:paraId="643F2752" w14:textId="77777777" w:rsidR="00CA23FA" w:rsidRPr="001663AE" w:rsidRDefault="00CA23FA" w:rsidP="00D87D91">
      <w:pPr>
        <w:pStyle w:val="3"/>
      </w:pPr>
      <w:r w:rsidRPr="001663AE">
        <w:rPr>
          <w:rStyle w:val="af3"/>
          <w:rFonts w:ascii="新細明體" w:hAnsi="新細明體"/>
        </w:rPr>
        <w:footnoteRef/>
      </w:r>
      <w:r w:rsidRPr="001663AE">
        <w:rPr>
          <w:rFonts w:hint="eastAsia"/>
        </w:rPr>
        <w:t>丘宏達</w:t>
      </w:r>
      <w:r w:rsidRPr="001663AE">
        <w:t>(2006)</w:t>
      </w:r>
      <w:r w:rsidRPr="001663AE">
        <w:rPr>
          <w:rFonts w:hint="eastAsia"/>
        </w:rPr>
        <w:t>，現代國際法（修訂</w:t>
      </w:r>
      <w:r w:rsidRPr="001663AE">
        <w:t>2</w:t>
      </w:r>
      <w:r w:rsidRPr="001663AE">
        <w:rPr>
          <w:rFonts w:hint="eastAsia"/>
        </w:rPr>
        <w:t>版），臺北：三民書局，頁</w:t>
      </w:r>
      <w:r w:rsidRPr="001663AE">
        <w:t>454-455</w:t>
      </w:r>
      <w:r w:rsidRPr="001663AE">
        <w:rPr>
          <w:rFonts w:hint="eastAsia"/>
        </w:rPr>
        <w:t>。</w:t>
      </w:r>
    </w:p>
  </w:footnote>
  <w:footnote w:id="561">
    <w:p w14:paraId="65D46CD2" w14:textId="77777777" w:rsidR="00CA23FA" w:rsidRPr="001663AE" w:rsidRDefault="00CA23FA" w:rsidP="00D87D91">
      <w:pPr>
        <w:pStyle w:val="3"/>
      </w:pPr>
      <w:r w:rsidRPr="001663AE">
        <w:rPr>
          <w:rStyle w:val="af3"/>
          <w:rFonts w:ascii="新細明體" w:hAnsi="新細明體"/>
        </w:rPr>
        <w:footnoteRef/>
      </w:r>
      <w:r w:rsidRPr="001663AE">
        <w:rPr>
          <w:rFonts w:hint="eastAsia"/>
        </w:rPr>
        <w:t>陳隆志</w:t>
      </w:r>
      <w:r w:rsidRPr="001663AE">
        <w:t>(2001)</w:t>
      </w:r>
      <w:r w:rsidRPr="001663AE">
        <w:rPr>
          <w:rFonts w:hint="eastAsia"/>
        </w:rPr>
        <w:t>，國際人權法典，</w:t>
      </w:r>
      <w:hyperlink r:id="rId190" w:history="1">
        <w:r w:rsidRPr="001663AE">
          <w:rPr>
            <w:rStyle w:val="a5"/>
          </w:rPr>
          <w:t>http://www.oceantaiwan.com/eyereach/20010430.htm(2011/12/13)</w:t>
        </w:r>
      </w:hyperlink>
      <w:r w:rsidRPr="001663AE">
        <w:rPr>
          <w:rFonts w:hint="eastAsia"/>
        </w:rPr>
        <w:t>。</w:t>
      </w:r>
    </w:p>
  </w:footnote>
  <w:footnote w:id="562">
    <w:p w14:paraId="215FB40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w:t>
      </w:r>
      <w:r w:rsidRPr="001663AE">
        <w:rPr>
          <w:rFonts w:hint="eastAsia"/>
        </w:rPr>
        <w:t>條</w:t>
      </w:r>
      <w:r w:rsidRPr="001663AE">
        <w:t>(</w:t>
      </w:r>
      <w:r w:rsidRPr="001663AE">
        <w:rPr>
          <w:rFonts w:hint="eastAsia"/>
        </w:rPr>
        <w:t>禁止歧視原則</w:t>
      </w:r>
      <w:r w:rsidRPr="001663AE">
        <w:t>)</w:t>
      </w:r>
    </w:p>
    <w:p w14:paraId="6F8AD838" w14:textId="77777777" w:rsidR="00CA23FA" w:rsidRPr="001663AE" w:rsidRDefault="00CA23FA" w:rsidP="00D87D91">
      <w:pPr>
        <w:pStyle w:val="3"/>
      </w:pPr>
      <w:r w:rsidRPr="001663AE">
        <w:rPr>
          <w:rFonts w:hint="eastAsia"/>
        </w:rPr>
        <w:t xml:space="preserve">　　</w:t>
      </w:r>
      <w:r w:rsidRPr="001663AE">
        <w:t>1.</w:t>
      </w:r>
      <w:r w:rsidRPr="001663AE">
        <w:rPr>
          <w:rFonts w:hint="eastAsia"/>
        </w:rPr>
        <w:t>本公約，除此後另有規定外，適用於所有移徙工人及其家庭成員，不分性別、種族、膚色、語言、宗教或信念、政治見解或其他意見、民族、族裔或社會根源、國籍、年齡、經濟地位、財產、婚姻狀況、出身或其他身份地位等任何區別。</w:t>
      </w:r>
    </w:p>
    <w:p w14:paraId="3C95CE76" w14:textId="77777777" w:rsidR="00CA23FA" w:rsidRPr="001663AE" w:rsidRDefault="00CA23FA" w:rsidP="00D87D91">
      <w:pPr>
        <w:pStyle w:val="3"/>
      </w:pPr>
      <w:r w:rsidRPr="001663AE">
        <w:rPr>
          <w:rFonts w:hint="eastAsia"/>
        </w:rPr>
        <w:t xml:space="preserve">　　</w:t>
      </w:r>
      <w:r w:rsidRPr="001663AE">
        <w:t>2.</w:t>
      </w:r>
      <w:r w:rsidRPr="001663AE">
        <w:rPr>
          <w:rFonts w:hint="eastAsia"/>
        </w:rPr>
        <w:t>本公約適用於移徙工人及其家庭成員的整個移徙過程，包括準備移徙、離開、過境和整個逗留期間，在就業國的有報酬活動以及回返原籍國或慣常居住國。</w:t>
      </w:r>
    </w:p>
  </w:footnote>
  <w:footnote w:id="563">
    <w:p w14:paraId="5A1E50E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第</w:t>
      </w:r>
      <w:r w:rsidRPr="001663AE">
        <w:t>7</w:t>
      </w:r>
      <w:r w:rsidRPr="001663AE">
        <w:rPr>
          <w:rFonts w:hint="eastAsia"/>
        </w:rPr>
        <w:t>條</w:t>
      </w:r>
      <w:r>
        <w:t>(</w:t>
      </w:r>
      <w:r w:rsidRPr="001663AE">
        <w:rPr>
          <w:rFonts w:hint="eastAsia"/>
        </w:rPr>
        <w:t>權利方面不受歧視原則</w:t>
      </w:r>
      <w:r w:rsidRPr="001663AE">
        <w:t>)</w:t>
      </w:r>
    </w:p>
    <w:p w14:paraId="58132F38" w14:textId="77777777" w:rsidR="00CA23FA" w:rsidRPr="001663AE" w:rsidRDefault="00CA23FA" w:rsidP="00D87D91">
      <w:pPr>
        <w:pStyle w:val="3"/>
      </w:pPr>
      <w:r w:rsidRPr="001663AE">
        <w:rPr>
          <w:rFonts w:hint="eastAsia"/>
        </w:rPr>
        <w:t xml:space="preserve">　　締約國依照關於人權的各項國際文書，承擔尊重並確保所有在其境內或受其管轄的移徙工人及其家庭成員，享有本公約所規定的權利，不分性別、種族、膚色、語言、宗教或信念、政治見解或其他意見、民族、族裔或社會根源、國籍、年齡、經濟地位、財產、婚姻狀況、出身或其他身份地位等任何區別。</w:t>
      </w:r>
    </w:p>
  </w:footnote>
  <w:footnote w:id="564">
    <w:p w14:paraId="73076E1A"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8</w:t>
      </w:r>
      <w:r w:rsidRPr="001663AE">
        <w:rPr>
          <w:rFonts w:hint="eastAsia"/>
        </w:rPr>
        <w:t>條</w:t>
      </w:r>
      <w:r w:rsidRPr="001663AE">
        <w:t>(</w:t>
      </w:r>
      <w:r w:rsidRPr="001663AE">
        <w:rPr>
          <w:rFonts w:hint="eastAsia"/>
        </w:rPr>
        <w:t>遷徙自由</w:t>
      </w:r>
      <w:r w:rsidRPr="001663AE">
        <w:t>)</w:t>
      </w:r>
    </w:p>
    <w:p w14:paraId="7F17D7D3" w14:textId="77777777" w:rsidR="00CA23FA" w:rsidRPr="001663AE" w:rsidRDefault="00CA23FA" w:rsidP="00D87D91">
      <w:pPr>
        <w:pStyle w:val="3"/>
      </w:pPr>
      <w:r>
        <w:rPr>
          <w:rFonts w:hint="eastAsia"/>
        </w:rPr>
        <w:t xml:space="preserve">　　</w:t>
      </w:r>
      <w:r w:rsidRPr="00331EC1">
        <w:rPr>
          <w:rFonts w:hint="eastAsia"/>
        </w:rPr>
        <w:t>1</w:t>
      </w:r>
      <w:r w:rsidRPr="00331EC1">
        <w:rPr>
          <w:rFonts w:hint="eastAsia"/>
        </w:rPr>
        <w:t>、</w:t>
      </w:r>
      <w:r w:rsidRPr="001663AE">
        <w:rPr>
          <w:rFonts w:hint="eastAsia"/>
        </w:rPr>
        <w:t>移徙工人及其家庭成員應可自由離開任何國家，包括其原籍國在內。除法律規定，為保護國家安全、公共秩序、公共衛生或道德或他人的權利和自由，並且不違反本公約本部分所承認的其他權利的限制外，此項權利不受任何限制。</w:t>
      </w:r>
    </w:p>
    <w:p w14:paraId="50BFA792" w14:textId="77777777" w:rsidR="00CA23FA" w:rsidRPr="001663AE" w:rsidRDefault="00CA23FA" w:rsidP="00D87D91">
      <w:pPr>
        <w:pStyle w:val="3"/>
      </w:pPr>
      <w:r>
        <w:t xml:space="preserve">　　</w:t>
      </w:r>
      <w:r w:rsidRPr="00331EC1">
        <w:rPr>
          <w:rFonts w:hint="eastAsia"/>
        </w:rPr>
        <w:t xml:space="preserve"> </w:t>
      </w:r>
      <w:r>
        <w:rPr>
          <w:rFonts w:hint="eastAsia"/>
        </w:rPr>
        <w:t>2</w:t>
      </w:r>
      <w:r w:rsidRPr="00331EC1">
        <w:rPr>
          <w:rFonts w:hint="eastAsia"/>
        </w:rPr>
        <w:t>、</w:t>
      </w:r>
      <w:r w:rsidRPr="001663AE">
        <w:rPr>
          <w:rFonts w:hint="eastAsia"/>
        </w:rPr>
        <w:t>移徙工人及其家庭成員應有權隨時進入其原籍國並在其原籍國停留。</w:t>
      </w:r>
    </w:p>
  </w:footnote>
  <w:footnote w:id="565">
    <w:p w14:paraId="638C77DC"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9</w:t>
      </w:r>
      <w:r w:rsidRPr="001663AE">
        <w:rPr>
          <w:rFonts w:hint="eastAsia"/>
        </w:rPr>
        <w:t>條</w:t>
      </w:r>
      <w:r w:rsidRPr="001663AE">
        <w:t>(</w:t>
      </w:r>
      <w:r w:rsidRPr="001663AE">
        <w:rPr>
          <w:rFonts w:hint="eastAsia"/>
        </w:rPr>
        <w:t>生命權應受法律保護</w:t>
      </w:r>
      <w:r w:rsidRPr="001663AE">
        <w:t xml:space="preserve">) </w:t>
      </w:r>
    </w:p>
    <w:p w14:paraId="1EDF1B60" w14:textId="77777777" w:rsidR="00CA23FA" w:rsidRPr="001663AE" w:rsidRDefault="00CA23FA" w:rsidP="00D87D91">
      <w:pPr>
        <w:pStyle w:val="3"/>
      </w:pPr>
      <w:r w:rsidRPr="001663AE">
        <w:rPr>
          <w:rFonts w:hint="eastAsia"/>
        </w:rPr>
        <w:t xml:space="preserve">　　移徙工人及其家庭成員的生命權應受法律保護。</w:t>
      </w:r>
    </w:p>
  </w:footnote>
  <w:footnote w:id="566">
    <w:p w14:paraId="7029ED4A"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10</w:t>
      </w:r>
      <w:r w:rsidRPr="001663AE">
        <w:rPr>
          <w:rFonts w:hint="eastAsia"/>
        </w:rPr>
        <w:t>條</w:t>
      </w:r>
      <w:r w:rsidRPr="001663AE">
        <w:t>(</w:t>
      </w:r>
      <w:r w:rsidRPr="001663AE">
        <w:rPr>
          <w:rFonts w:hint="eastAsia"/>
        </w:rPr>
        <w:t>不受不人道、有辱人格的待遇</w:t>
      </w:r>
      <w:r w:rsidRPr="001663AE">
        <w:t>)</w:t>
      </w:r>
    </w:p>
    <w:p w14:paraId="138131A9" w14:textId="77777777" w:rsidR="00CA23FA" w:rsidRPr="001663AE" w:rsidRDefault="00CA23FA" w:rsidP="00D87D91">
      <w:pPr>
        <w:pStyle w:val="3"/>
      </w:pPr>
      <w:r w:rsidRPr="001663AE">
        <w:rPr>
          <w:rFonts w:hint="eastAsia"/>
        </w:rPr>
        <w:t xml:space="preserve">　　移徙工人或其家庭成員不應受到酷刑或殘忍、不人道、有辱人格的待遇或處罰。</w:t>
      </w:r>
    </w:p>
  </w:footnote>
  <w:footnote w:id="567">
    <w:p w14:paraId="5E5AEAF2"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11</w:t>
      </w:r>
      <w:r w:rsidRPr="001663AE">
        <w:rPr>
          <w:rFonts w:hint="eastAsia"/>
        </w:rPr>
        <w:t>條</w:t>
      </w:r>
      <w:r w:rsidRPr="001663AE">
        <w:t>(</w:t>
      </w:r>
      <w:r w:rsidRPr="001663AE">
        <w:rPr>
          <w:rFonts w:hint="eastAsia"/>
        </w:rPr>
        <w:t>不受奴役</w:t>
      </w:r>
      <w:r w:rsidRPr="001663AE">
        <w:t>)</w:t>
      </w:r>
    </w:p>
    <w:p w14:paraId="60F43BD9"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移徙工人或其家庭成員不得被使為奴隸或受奴役。</w:t>
      </w:r>
    </w:p>
    <w:p w14:paraId="14A8F04A" w14:textId="77777777" w:rsidR="00CA23FA" w:rsidRPr="001663AE" w:rsidRDefault="00CA23FA" w:rsidP="00D87D91">
      <w:pPr>
        <w:pStyle w:val="3"/>
      </w:pPr>
      <w:r w:rsidRPr="001663AE">
        <w:rPr>
          <w:rFonts w:hint="eastAsia"/>
        </w:rPr>
        <w:t xml:space="preserve">　　</w:t>
      </w:r>
      <w:r w:rsidRPr="001663AE">
        <w:t>2.</w:t>
      </w:r>
      <w:r w:rsidRPr="001663AE">
        <w:rPr>
          <w:rFonts w:hint="eastAsia"/>
        </w:rPr>
        <w:t>移徙工人或其家庭成員不得被要求從事強迫或強制勞動。</w:t>
      </w:r>
    </w:p>
    <w:p w14:paraId="30171569" w14:textId="77777777" w:rsidR="00CA23FA" w:rsidRPr="001663AE" w:rsidRDefault="00CA23FA" w:rsidP="00D87D91">
      <w:pPr>
        <w:pStyle w:val="3"/>
      </w:pPr>
      <w:r w:rsidRPr="001663AE">
        <w:rPr>
          <w:rFonts w:hint="eastAsia"/>
        </w:rPr>
        <w:t xml:space="preserve">　　</w:t>
      </w:r>
      <w:r w:rsidRPr="001663AE">
        <w:t>3.</w:t>
      </w:r>
      <w:r w:rsidRPr="001663AE">
        <w:rPr>
          <w:rFonts w:hint="eastAsia"/>
        </w:rPr>
        <w:t>在苦役監禁得作為對犯罪的一種處罰的國家，本條第</w:t>
      </w:r>
      <w:r w:rsidRPr="001663AE">
        <w:t>2</w:t>
      </w:r>
      <w:r w:rsidRPr="001663AE">
        <w:rPr>
          <w:rFonts w:hint="eastAsia"/>
        </w:rPr>
        <w:t>款的規定不應視為排除按照主管法庭關於此項刑罰的判決而執行的苦役。</w:t>
      </w:r>
    </w:p>
    <w:p w14:paraId="009D1E69" w14:textId="77777777" w:rsidR="00CA23FA" w:rsidRPr="001663AE" w:rsidRDefault="00CA23FA" w:rsidP="00D87D91">
      <w:pPr>
        <w:pStyle w:val="3"/>
      </w:pPr>
      <w:r w:rsidRPr="001663AE">
        <w:rPr>
          <w:rFonts w:hint="eastAsia"/>
        </w:rPr>
        <w:t xml:space="preserve">　　</w:t>
      </w:r>
      <w:r w:rsidRPr="001663AE">
        <w:t>4.</w:t>
      </w:r>
      <w:r w:rsidRPr="001663AE">
        <w:rPr>
          <w:rFonts w:hint="eastAsia"/>
        </w:rPr>
        <w:t>為本條的目的，</w:t>
      </w:r>
      <w:r w:rsidRPr="001663AE">
        <w:t>“</w:t>
      </w:r>
      <w:r w:rsidRPr="001663AE">
        <w:rPr>
          <w:rFonts w:hint="eastAsia"/>
        </w:rPr>
        <w:t>強迫或強制勞動</w:t>
      </w:r>
      <w:r w:rsidRPr="001663AE">
        <w:t>”</w:t>
      </w:r>
      <w:r w:rsidRPr="001663AE">
        <w:rPr>
          <w:rFonts w:hint="eastAsia"/>
        </w:rPr>
        <w:t>一詞不應包括：</w:t>
      </w:r>
    </w:p>
    <w:p w14:paraId="26A45DA4" w14:textId="77777777" w:rsidR="00CA23FA" w:rsidRPr="001663AE" w:rsidRDefault="00CA23FA" w:rsidP="00D87D91">
      <w:pPr>
        <w:pStyle w:val="3"/>
      </w:pPr>
      <w:r w:rsidRPr="001663AE">
        <w:rPr>
          <w:rFonts w:hint="eastAsia"/>
        </w:rPr>
        <w:t xml:space="preserve">　　</w:t>
      </w:r>
      <w:r w:rsidRPr="001663AE">
        <w:t>(a)</w:t>
      </w:r>
      <w:r w:rsidRPr="001663AE">
        <w:rPr>
          <w:rFonts w:hint="eastAsia"/>
        </w:rPr>
        <w:t>通常對依照法庭的合法命令被拘禁的人或對從此種拘禁中有條件釋放的人所要求的任何工作或勞務，非屬本條第</w:t>
      </w:r>
      <w:r w:rsidRPr="001663AE">
        <w:t>3</w:t>
      </w:r>
      <w:r w:rsidRPr="001663AE">
        <w:rPr>
          <w:rFonts w:hint="eastAsia"/>
        </w:rPr>
        <w:t>款所述者；</w:t>
      </w:r>
    </w:p>
    <w:p w14:paraId="0AA9189A" w14:textId="77777777" w:rsidR="00CA23FA" w:rsidRPr="001663AE" w:rsidRDefault="00CA23FA" w:rsidP="00D87D91">
      <w:pPr>
        <w:pStyle w:val="3"/>
      </w:pPr>
      <w:r w:rsidRPr="001663AE">
        <w:rPr>
          <w:rFonts w:hint="eastAsia"/>
        </w:rPr>
        <w:t xml:space="preserve">　　</w:t>
      </w:r>
      <w:r w:rsidRPr="001663AE">
        <w:t>(b)</w:t>
      </w:r>
      <w:r w:rsidRPr="001663AE">
        <w:rPr>
          <w:rFonts w:hint="eastAsia"/>
        </w:rPr>
        <w:t>在威脅社會生活或福祉的緊急狀態或災難的情況下任何強制的勞務；</w:t>
      </w:r>
    </w:p>
    <w:p w14:paraId="14217785" w14:textId="77777777" w:rsidR="00CA23FA" w:rsidRPr="001663AE" w:rsidRDefault="00CA23FA" w:rsidP="00D87D91">
      <w:pPr>
        <w:pStyle w:val="3"/>
      </w:pPr>
      <w:r w:rsidRPr="001663AE">
        <w:rPr>
          <w:rFonts w:hint="eastAsia"/>
        </w:rPr>
        <w:t xml:space="preserve">　　</w:t>
      </w:r>
      <w:r w:rsidRPr="001663AE">
        <w:t>(c)</w:t>
      </w:r>
      <w:r w:rsidRPr="001663AE">
        <w:rPr>
          <w:rFonts w:hint="eastAsia"/>
        </w:rPr>
        <w:t>有關國家公民也需承擔的屬於正常公民義務一部分的任何工作或勞務。</w:t>
      </w:r>
    </w:p>
  </w:footnote>
  <w:footnote w:id="568">
    <w:p w14:paraId="62F2E18C"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第</w:t>
      </w:r>
      <w:r w:rsidRPr="001663AE">
        <w:t>12</w:t>
      </w:r>
      <w:r w:rsidRPr="001663AE">
        <w:rPr>
          <w:rFonts w:hint="eastAsia"/>
        </w:rPr>
        <w:t>條</w:t>
      </w:r>
      <w:r w:rsidRPr="001663AE">
        <w:t>(</w:t>
      </w:r>
      <w:r w:rsidRPr="001663AE">
        <w:rPr>
          <w:rFonts w:hint="eastAsia"/>
        </w:rPr>
        <w:t>思想、良心和宗教自由權利</w:t>
      </w:r>
      <w:r w:rsidRPr="001663AE">
        <w:t>)</w:t>
      </w:r>
    </w:p>
    <w:p w14:paraId="1AC3B135"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享有思想、良心和宗教自由。這項權利應包括信仰或皈依自己所選擇的宗教或信仰的自由，以及不論個別或是集體、公開或是私下，通過禮拜、虔守、舉行儀式或傳播教義等來表明其宗教或信仰的自由。</w:t>
      </w:r>
    </w:p>
    <w:p w14:paraId="60720B47" w14:textId="77777777" w:rsidR="00CA23FA" w:rsidRPr="001663AE" w:rsidRDefault="00CA23FA" w:rsidP="00D87D91">
      <w:pPr>
        <w:pStyle w:val="3"/>
      </w:pPr>
      <w:r w:rsidRPr="001663AE">
        <w:rPr>
          <w:rFonts w:hint="eastAsia"/>
        </w:rPr>
        <w:t xml:space="preserve">　　</w:t>
      </w:r>
      <w:r w:rsidRPr="001663AE">
        <w:t>2.</w:t>
      </w:r>
      <w:r w:rsidRPr="001663AE">
        <w:rPr>
          <w:rFonts w:hint="eastAsia"/>
        </w:rPr>
        <w:t>移徙工人及其家庭成員不得受脅迫從而有損其信仰或皈依所選宗教或信仰的自由。</w:t>
      </w:r>
    </w:p>
    <w:p w14:paraId="12279882" w14:textId="77777777" w:rsidR="00CA23FA" w:rsidRPr="001663AE" w:rsidRDefault="00CA23FA" w:rsidP="00D87D91">
      <w:pPr>
        <w:pStyle w:val="3"/>
      </w:pPr>
      <w:r w:rsidRPr="001663AE">
        <w:rPr>
          <w:rFonts w:hint="eastAsia"/>
        </w:rPr>
        <w:t xml:space="preserve">　　</w:t>
      </w:r>
      <w:r w:rsidRPr="001663AE">
        <w:t>3.</w:t>
      </w:r>
      <w:r w:rsidRPr="001663AE">
        <w:rPr>
          <w:rFonts w:hint="eastAsia"/>
        </w:rPr>
        <w:t>表明其宗教或信仰的自由得僅受法律所規定並為保護公共安全、秩序、衛生或道德或他人的基本權利和自由所必需的限制。</w:t>
      </w:r>
    </w:p>
    <w:p w14:paraId="1412746B" w14:textId="77777777" w:rsidR="00CA23FA" w:rsidRPr="001663AE" w:rsidRDefault="00CA23FA" w:rsidP="00D87D91">
      <w:pPr>
        <w:pStyle w:val="3"/>
      </w:pPr>
      <w:r w:rsidRPr="001663AE">
        <w:rPr>
          <w:rFonts w:hint="eastAsia"/>
        </w:rPr>
        <w:t xml:space="preserve">　　</w:t>
      </w:r>
      <w:r w:rsidRPr="001663AE">
        <w:t>4.</w:t>
      </w:r>
      <w:r w:rsidRPr="001663AE">
        <w:rPr>
          <w:rFonts w:hint="eastAsia"/>
        </w:rPr>
        <w:t>本公約締約國承允尊重至少有一方為移徙工人的父母和適用時法定監護人確保他們的子女按照他們自己的信仰接受宗教和道德教育的自由。</w:t>
      </w:r>
    </w:p>
  </w:footnote>
  <w:footnote w:id="569">
    <w:p w14:paraId="2308E166"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13</w:t>
      </w:r>
      <w:r w:rsidRPr="001663AE">
        <w:rPr>
          <w:rFonts w:hint="eastAsia"/>
        </w:rPr>
        <w:t>條</w:t>
      </w:r>
      <w:r w:rsidRPr="001663AE">
        <w:t>(</w:t>
      </w:r>
      <w:r w:rsidRPr="001663AE">
        <w:rPr>
          <w:rFonts w:hint="eastAsia"/>
        </w:rPr>
        <w:t>表達意見的自由權利</w:t>
      </w:r>
      <w:r w:rsidRPr="001663AE">
        <w:t>)</w:t>
      </w:r>
    </w:p>
    <w:p w14:paraId="26BBC632"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移徙工人及其家庭成員應有權持有主張，不受干涉。</w:t>
      </w:r>
    </w:p>
    <w:p w14:paraId="0CAF323A" w14:textId="77777777" w:rsidR="00CA23FA" w:rsidRPr="001663AE" w:rsidRDefault="00CA23FA" w:rsidP="00D87D91">
      <w:pPr>
        <w:pStyle w:val="3"/>
      </w:pPr>
      <w:r w:rsidRPr="001663AE">
        <w:rPr>
          <w:rFonts w:hint="eastAsia"/>
        </w:rPr>
        <w:t xml:space="preserve">　　</w:t>
      </w:r>
      <w:r w:rsidRPr="001663AE">
        <w:t>2.</w:t>
      </w:r>
      <w:r w:rsidRPr="001663AE">
        <w:rPr>
          <w:rFonts w:hint="eastAsia"/>
        </w:rPr>
        <w:t>移徙工人及其家庭成員應有權享有表達意見的自由；這項權利應包括通過不論是採取口頭、書面或印刷方式、以藝術形式或通過他們所選擇的任何其他媒介，尋求、接受和傳遞各種消息和思想的自由，而不論國界。</w:t>
      </w:r>
    </w:p>
    <w:p w14:paraId="3826882E" w14:textId="77777777" w:rsidR="00CA23FA" w:rsidRPr="001663AE" w:rsidRDefault="00CA23FA" w:rsidP="00D87D91">
      <w:pPr>
        <w:pStyle w:val="3"/>
      </w:pPr>
      <w:r w:rsidRPr="001663AE">
        <w:rPr>
          <w:rFonts w:hint="eastAsia"/>
        </w:rPr>
        <w:t xml:space="preserve">　　</w:t>
      </w:r>
      <w:r w:rsidRPr="001663AE">
        <w:t>3.</w:t>
      </w:r>
      <w:r w:rsidRPr="001663AE">
        <w:rPr>
          <w:rFonts w:hint="eastAsia"/>
        </w:rPr>
        <w:t>本條第</w:t>
      </w:r>
      <w:r w:rsidRPr="001663AE">
        <w:t>2</w:t>
      </w:r>
      <w:r w:rsidRPr="001663AE">
        <w:rPr>
          <w:rFonts w:hint="eastAsia"/>
        </w:rPr>
        <w:t>款所規定的權利的行使帶有特殊的義務和責任。因此其行使得受某些限制，但這些限制只應由法律規定並為下列條件所必需：</w:t>
      </w:r>
    </w:p>
    <w:p w14:paraId="39430D86" w14:textId="77777777" w:rsidR="00CA23FA" w:rsidRPr="001663AE" w:rsidRDefault="00CA23FA" w:rsidP="00D87D91">
      <w:pPr>
        <w:pStyle w:val="3"/>
      </w:pPr>
      <w:r w:rsidRPr="001663AE">
        <w:rPr>
          <w:rFonts w:hint="eastAsia"/>
        </w:rPr>
        <w:t xml:space="preserve">　　</w:t>
      </w:r>
      <w:r w:rsidRPr="001663AE">
        <w:t>(a)</w:t>
      </w:r>
      <w:r w:rsidRPr="001663AE">
        <w:rPr>
          <w:rFonts w:hint="eastAsia"/>
        </w:rPr>
        <w:t>尊重他人的權利或名譽；</w:t>
      </w:r>
    </w:p>
    <w:p w14:paraId="5C6AAC17" w14:textId="77777777" w:rsidR="00CA23FA" w:rsidRPr="001663AE" w:rsidRDefault="00CA23FA" w:rsidP="00D87D91">
      <w:pPr>
        <w:pStyle w:val="3"/>
      </w:pPr>
      <w:r w:rsidRPr="001663AE">
        <w:rPr>
          <w:rFonts w:hint="eastAsia"/>
        </w:rPr>
        <w:t xml:space="preserve">　　</w:t>
      </w:r>
      <w:r w:rsidRPr="001663AE">
        <w:t>(b)</w:t>
      </w:r>
      <w:r w:rsidRPr="001663AE">
        <w:rPr>
          <w:rFonts w:hint="eastAsia"/>
        </w:rPr>
        <w:t>保護有關國家的國家安全或公共秩序、或公共衛生或道德；</w:t>
      </w:r>
    </w:p>
    <w:p w14:paraId="0358C31A" w14:textId="77777777" w:rsidR="00CA23FA" w:rsidRPr="001663AE" w:rsidRDefault="00CA23FA" w:rsidP="00D87D91">
      <w:pPr>
        <w:pStyle w:val="3"/>
      </w:pPr>
      <w:r w:rsidRPr="001663AE">
        <w:rPr>
          <w:rFonts w:hint="eastAsia"/>
        </w:rPr>
        <w:t xml:space="preserve">　　</w:t>
      </w:r>
      <w:r w:rsidRPr="001663AE">
        <w:t>(c)</w:t>
      </w:r>
      <w:r w:rsidRPr="001663AE">
        <w:rPr>
          <w:rFonts w:hint="eastAsia"/>
        </w:rPr>
        <w:t>防止任何戰爭宣傳；</w:t>
      </w:r>
    </w:p>
    <w:p w14:paraId="7F4180A0" w14:textId="77777777" w:rsidR="00CA23FA" w:rsidRPr="001663AE" w:rsidRDefault="00CA23FA" w:rsidP="00D87D91">
      <w:pPr>
        <w:pStyle w:val="3"/>
      </w:pPr>
      <w:r w:rsidRPr="001663AE">
        <w:rPr>
          <w:rFonts w:hint="eastAsia"/>
        </w:rPr>
        <w:t xml:space="preserve">　　</w:t>
      </w:r>
      <w:r w:rsidRPr="001663AE">
        <w:t>(d)</w:t>
      </w:r>
      <w:r w:rsidRPr="001663AE">
        <w:rPr>
          <w:rFonts w:hint="eastAsia"/>
        </w:rPr>
        <w:t>防止任何鼓吹民族、種族或宗教仇恨而構成煽動歧視、敵視或暴力的行為。</w:t>
      </w:r>
    </w:p>
  </w:footnote>
  <w:footnote w:id="570">
    <w:p w14:paraId="0EF08592"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14</w:t>
      </w:r>
      <w:r w:rsidRPr="001663AE">
        <w:rPr>
          <w:rFonts w:hint="eastAsia"/>
        </w:rPr>
        <w:t>條</w:t>
      </w:r>
      <w:r w:rsidRPr="001663AE">
        <w:t>(</w:t>
      </w:r>
      <w:r w:rsidRPr="001663AE">
        <w:rPr>
          <w:rFonts w:hint="eastAsia"/>
        </w:rPr>
        <w:t>隱私、家庭、住宅、通信權</w:t>
      </w:r>
      <w:r w:rsidRPr="001663AE">
        <w:t>)</w:t>
      </w:r>
    </w:p>
    <w:p w14:paraId="3C40E6DD" w14:textId="77777777" w:rsidR="00CA23FA" w:rsidRPr="001663AE" w:rsidRDefault="00CA23FA" w:rsidP="00D87D91">
      <w:pPr>
        <w:pStyle w:val="3"/>
      </w:pPr>
      <w:r w:rsidRPr="001663AE">
        <w:rPr>
          <w:rFonts w:hint="eastAsia"/>
        </w:rPr>
        <w:t xml:space="preserve">　　移徙工人或其家庭成員的隱私、家庭、住宅、通信或其他聯繫，不應受任意或非法干涉，其榮譽和名譽也不受非法攻擊。移徙工人及其家庭成員應有權享有法律保護，不受此種干涉或攻擊。</w:t>
      </w:r>
    </w:p>
  </w:footnote>
  <w:footnote w:id="571">
    <w:p w14:paraId="20E5884D"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15</w:t>
      </w:r>
      <w:r w:rsidRPr="001663AE">
        <w:rPr>
          <w:rFonts w:hint="eastAsia"/>
        </w:rPr>
        <w:t>條</w:t>
      </w:r>
      <w:r w:rsidRPr="001663AE">
        <w:t>(</w:t>
      </w:r>
      <w:r w:rsidRPr="001663AE">
        <w:rPr>
          <w:rFonts w:hint="eastAsia"/>
        </w:rPr>
        <w:t>財產權</w:t>
      </w:r>
      <w:r w:rsidRPr="001663AE">
        <w:t>)</w:t>
      </w:r>
    </w:p>
    <w:p w14:paraId="20AAA78C" w14:textId="77777777" w:rsidR="00CA23FA" w:rsidRPr="001663AE" w:rsidRDefault="00CA23FA" w:rsidP="00D87D91">
      <w:pPr>
        <w:pStyle w:val="3"/>
      </w:pPr>
      <w:r w:rsidRPr="001663AE">
        <w:rPr>
          <w:rFonts w:hint="eastAsia"/>
        </w:rPr>
        <w:t xml:space="preserve">　　移徙工人或其家庭成員的財產，不論個人所有或與他人共有，不應被任意剝奪。在根據就業國現行法律，移徙工人或其家庭成員的財產全部或部分被沒收時，當事人應有權獲得公平和適當的賠償。</w:t>
      </w:r>
    </w:p>
  </w:footnote>
  <w:footnote w:id="572">
    <w:p w14:paraId="4DEA7AD4"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16</w:t>
      </w:r>
      <w:r w:rsidRPr="001663AE">
        <w:rPr>
          <w:rFonts w:hint="eastAsia"/>
        </w:rPr>
        <w:t>條</w:t>
      </w:r>
      <w:r w:rsidRPr="001663AE">
        <w:t>(</w:t>
      </w:r>
      <w:r w:rsidRPr="001663AE">
        <w:rPr>
          <w:rFonts w:hint="eastAsia"/>
        </w:rPr>
        <w:t>人身自由和安全權利</w:t>
      </w:r>
      <w:r w:rsidRPr="001663AE">
        <w:t>)</w:t>
      </w:r>
    </w:p>
    <w:p w14:paraId="3776F01B"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移徙工人及其家庭成員應有權享有人身自由和安全。</w:t>
      </w:r>
    </w:p>
    <w:p w14:paraId="68E61486" w14:textId="77777777" w:rsidR="00CA23FA" w:rsidRPr="001663AE" w:rsidRDefault="00CA23FA" w:rsidP="00D87D91">
      <w:pPr>
        <w:pStyle w:val="3"/>
      </w:pPr>
      <w:r w:rsidRPr="001663AE">
        <w:rPr>
          <w:rFonts w:hint="eastAsia"/>
        </w:rPr>
        <w:t xml:space="preserve">　　</w:t>
      </w:r>
      <w:r w:rsidRPr="001663AE">
        <w:t>2.</w:t>
      </w:r>
      <w:r w:rsidRPr="001663AE">
        <w:rPr>
          <w:rFonts w:hint="eastAsia"/>
        </w:rPr>
        <w:t>移徙工人及其家庭成員應有權受到國家的有效保護，以免遭到無論公務人員或個人、團體或機構施以暴力、身體傷害、威脅和恫嚇。</w:t>
      </w:r>
    </w:p>
    <w:p w14:paraId="5DAE34EA" w14:textId="77777777" w:rsidR="00CA23FA" w:rsidRPr="001663AE" w:rsidRDefault="00CA23FA" w:rsidP="00D87D91">
      <w:pPr>
        <w:pStyle w:val="3"/>
      </w:pPr>
      <w:r w:rsidRPr="001663AE">
        <w:rPr>
          <w:rFonts w:hint="eastAsia"/>
        </w:rPr>
        <w:t xml:space="preserve">　　</w:t>
      </w:r>
      <w:r w:rsidRPr="001663AE">
        <w:t>3.</w:t>
      </w:r>
      <w:r w:rsidRPr="001663AE">
        <w:rPr>
          <w:rFonts w:hint="eastAsia"/>
        </w:rPr>
        <w:t>執法人員對移徙工人或其家庭成員身份的任何核查，均應按照法律規定的程序進行。</w:t>
      </w:r>
    </w:p>
    <w:p w14:paraId="7F30E5D9" w14:textId="77777777" w:rsidR="00CA23FA" w:rsidRPr="001663AE" w:rsidRDefault="00CA23FA" w:rsidP="00D87D91">
      <w:pPr>
        <w:pStyle w:val="3"/>
      </w:pPr>
      <w:r w:rsidRPr="001663AE">
        <w:rPr>
          <w:rFonts w:hint="eastAsia"/>
        </w:rPr>
        <w:t xml:space="preserve">　　</w:t>
      </w:r>
      <w:r w:rsidRPr="001663AE">
        <w:t>4.</w:t>
      </w:r>
      <w:r w:rsidRPr="001663AE">
        <w:rPr>
          <w:rFonts w:hint="eastAsia"/>
        </w:rPr>
        <w:t>移徙工人及其家庭成員不應遭到個別或集體任意逮捕或拘禁；除根據法律所規定的這種理由並按照法律所規定的這種程序外，他們不得被剝奪自由。</w:t>
      </w:r>
    </w:p>
    <w:p w14:paraId="11EEA4CE" w14:textId="77777777" w:rsidR="00CA23FA" w:rsidRPr="001663AE" w:rsidRDefault="00CA23FA" w:rsidP="00D87D91">
      <w:pPr>
        <w:pStyle w:val="3"/>
      </w:pPr>
      <w:r w:rsidRPr="001663AE">
        <w:rPr>
          <w:rFonts w:hint="eastAsia"/>
        </w:rPr>
        <w:t xml:space="preserve">　　</w:t>
      </w:r>
      <w:r w:rsidRPr="001663AE">
        <w:t>5.</w:t>
      </w:r>
      <w:r w:rsidRPr="001663AE">
        <w:rPr>
          <w:rFonts w:hint="eastAsia"/>
        </w:rPr>
        <w:t>被逮捕的移徙工人及其家庭成員應在被逮捕之時盡可能以他們所瞭解的語言被告知逮捕理由，並應以他們所瞭解的語言被迅速告知對他們提出的任何指控。</w:t>
      </w:r>
    </w:p>
    <w:p w14:paraId="0B3526C4" w14:textId="77777777" w:rsidR="00CA23FA" w:rsidRPr="001663AE" w:rsidRDefault="00CA23FA" w:rsidP="00D87D91">
      <w:pPr>
        <w:pStyle w:val="3"/>
      </w:pPr>
      <w:r w:rsidRPr="001663AE">
        <w:rPr>
          <w:rFonts w:hint="eastAsia"/>
        </w:rPr>
        <w:t xml:space="preserve">　　</w:t>
      </w:r>
      <w:r w:rsidRPr="001663AE">
        <w:t>6.</w:t>
      </w:r>
      <w:r w:rsidRPr="001663AE">
        <w:rPr>
          <w:rFonts w:hint="eastAsia"/>
        </w:rPr>
        <w:t>因刑事指控被逮捕或拘留的移徙工人及其家庭成員，應迅速由法官或經法律授權行使司法權力的其他官員予以傳訊，並應有權在合理的時間內受審或獲釋。候審期間通常不應予以拘押，但其釋放可以保證在司法程序的任何其他階段出庭受審並於必要時出庭接受判決的執行為條件。</w:t>
      </w:r>
    </w:p>
    <w:p w14:paraId="111CDBF6" w14:textId="77777777" w:rsidR="00CA23FA" w:rsidRPr="001663AE" w:rsidRDefault="00CA23FA" w:rsidP="00D87D91">
      <w:pPr>
        <w:pStyle w:val="3"/>
      </w:pPr>
      <w:r w:rsidRPr="001663AE">
        <w:rPr>
          <w:rFonts w:hint="eastAsia"/>
        </w:rPr>
        <w:t xml:space="preserve">　　</w:t>
      </w:r>
      <w:r w:rsidRPr="001663AE">
        <w:t>7.</w:t>
      </w:r>
      <w:r w:rsidRPr="001663AE">
        <w:rPr>
          <w:rFonts w:hint="eastAsia"/>
        </w:rPr>
        <w:t>遇某一移徙工人或其一家庭成員遭逮捕或審前關押或拘押或者以任何其他方式拘留時：</w:t>
      </w:r>
    </w:p>
    <w:p w14:paraId="1B2F2D08" w14:textId="77777777" w:rsidR="00CA23FA" w:rsidRPr="001663AE" w:rsidRDefault="00CA23FA" w:rsidP="00D87D91">
      <w:pPr>
        <w:pStyle w:val="3"/>
      </w:pPr>
      <w:r w:rsidRPr="001663AE">
        <w:rPr>
          <w:rFonts w:hint="eastAsia"/>
        </w:rPr>
        <w:t xml:space="preserve">　　</w:t>
      </w:r>
      <w:r w:rsidRPr="001663AE">
        <w:t>(a)</w:t>
      </w:r>
      <w:r w:rsidRPr="001663AE">
        <w:rPr>
          <w:rFonts w:hint="eastAsia"/>
        </w:rPr>
        <w:t>如當事人有此要求，應毫不拖延地將其逮捕或拘禁情事及其理由告知其原籍國的領事或外交當局或代表該國利益的領事或外交當局；</w:t>
      </w:r>
    </w:p>
    <w:p w14:paraId="7BDF5C60" w14:textId="77777777" w:rsidR="00CA23FA" w:rsidRPr="001663AE" w:rsidRDefault="00CA23FA" w:rsidP="00D87D91">
      <w:pPr>
        <w:pStyle w:val="3"/>
      </w:pPr>
      <w:r w:rsidRPr="001663AE">
        <w:rPr>
          <w:rFonts w:hint="eastAsia"/>
        </w:rPr>
        <w:t xml:space="preserve">　　</w:t>
      </w:r>
      <w:r w:rsidRPr="001663AE">
        <w:t>(b)</w:t>
      </w:r>
      <w:r w:rsidRPr="001663AE">
        <w:rPr>
          <w:rFonts w:hint="eastAsia"/>
        </w:rPr>
        <w:t>當事人應有權與上述當局聯繫，對當事人給上述當局的任何通信應毫不拖延地予以傳遞，當事人也應有權在毫不拖延的情況下接到上述當局送出的通信；</w:t>
      </w:r>
    </w:p>
    <w:p w14:paraId="42E7D239" w14:textId="77777777" w:rsidR="00CA23FA" w:rsidRPr="001663AE" w:rsidRDefault="00CA23FA" w:rsidP="00D87D91">
      <w:pPr>
        <w:pStyle w:val="3"/>
      </w:pPr>
      <w:r w:rsidRPr="001663AE">
        <w:rPr>
          <w:rFonts w:hint="eastAsia"/>
        </w:rPr>
        <w:t xml:space="preserve">　　</w:t>
      </w:r>
      <w:r w:rsidRPr="001663AE">
        <w:t>(c)</w:t>
      </w:r>
      <w:r w:rsidRPr="001663AE">
        <w:rPr>
          <w:rFonts w:hint="eastAsia"/>
        </w:rPr>
        <w:t>應毫不拖延地告知當事人此項權利及按照有關國家間適用的任何有關條約規定的各種權利，與上述當局的代表通信和會面，並同他們安排其法律代理人。</w:t>
      </w:r>
    </w:p>
    <w:p w14:paraId="5278BE94" w14:textId="77777777" w:rsidR="00CA23FA" w:rsidRPr="001663AE" w:rsidRDefault="00CA23FA" w:rsidP="00D87D91">
      <w:pPr>
        <w:pStyle w:val="3"/>
      </w:pPr>
      <w:r w:rsidRPr="001663AE">
        <w:rPr>
          <w:rFonts w:hint="eastAsia"/>
        </w:rPr>
        <w:t xml:space="preserve">　　</w:t>
      </w:r>
      <w:r w:rsidRPr="001663AE">
        <w:t>8.</w:t>
      </w:r>
      <w:r w:rsidRPr="001663AE">
        <w:rPr>
          <w:rFonts w:hint="eastAsia"/>
        </w:rPr>
        <w:t>因遭逮捕或拘禁而被剝奪自由的移徙工人及其家庭成員應有權向法庭提出訴訟，以期該法庭可毫不拖延地就其拘禁合法與否作出判決，並在拘禁不合法時下令予以釋放。他們出庭時，如不懂或不會說庭上所用語言，應於必要時獲得無需他們支付費用的譯員的協助。</w:t>
      </w:r>
    </w:p>
    <w:p w14:paraId="7D3426DA" w14:textId="77777777" w:rsidR="00CA23FA" w:rsidRPr="001663AE" w:rsidRDefault="00CA23FA" w:rsidP="00D87D91">
      <w:pPr>
        <w:pStyle w:val="3"/>
      </w:pPr>
      <w:r w:rsidRPr="001663AE">
        <w:rPr>
          <w:rFonts w:hint="eastAsia"/>
        </w:rPr>
        <w:t xml:space="preserve">　　</w:t>
      </w:r>
      <w:r w:rsidRPr="001663AE">
        <w:t>9.</w:t>
      </w:r>
      <w:r w:rsidRPr="001663AE">
        <w:rPr>
          <w:rFonts w:hint="eastAsia"/>
        </w:rPr>
        <w:t>遭到非法逮捕或拘禁的移徙工人及其家庭成員，應享有獲得可強制執行的賠償的權利。</w:t>
      </w:r>
      <w:r w:rsidRPr="001663AE">
        <w:t xml:space="preserve"> </w:t>
      </w:r>
    </w:p>
  </w:footnote>
  <w:footnote w:id="573">
    <w:p w14:paraId="54C37966"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17</w:t>
      </w:r>
      <w:r w:rsidRPr="001663AE">
        <w:rPr>
          <w:rFonts w:hint="eastAsia"/>
        </w:rPr>
        <w:t>條</w:t>
      </w:r>
      <w:r w:rsidRPr="001663AE">
        <w:t>(</w:t>
      </w:r>
      <w:r w:rsidRPr="001663AE">
        <w:rPr>
          <w:rFonts w:hint="eastAsia"/>
        </w:rPr>
        <w:t>固有的人的尊嚴之保障</w:t>
      </w:r>
      <w:r w:rsidRPr="001663AE">
        <w:t>)</w:t>
      </w:r>
    </w:p>
    <w:p w14:paraId="6A150FCD" w14:textId="77777777" w:rsidR="00CA23FA" w:rsidRPr="001663AE" w:rsidRDefault="00CA23FA" w:rsidP="00D87D91">
      <w:pPr>
        <w:pStyle w:val="3"/>
      </w:pPr>
      <w:r w:rsidRPr="001663AE">
        <w:rPr>
          <w:rFonts w:hint="eastAsia"/>
        </w:rPr>
        <w:t xml:space="preserve">　　</w:t>
      </w:r>
      <w:r w:rsidRPr="001663AE">
        <w:t>1.</w:t>
      </w:r>
      <w:r w:rsidRPr="001663AE">
        <w:rPr>
          <w:rFonts w:hint="eastAsia"/>
        </w:rPr>
        <w:t>被剝奪自由的移徙工人及其家庭成員應受到人道的對待，並尊重其固有的人的尊嚴和文化特性。</w:t>
      </w:r>
    </w:p>
    <w:p w14:paraId="450C0BD5" w14:textId="77777777" w:rsidR="00CA23FA" w:rsidRPr="001663AE" w:rsidRDefault="00CA23FA" w:rsidP="00D87D91">
      <w:pPr>
        <w:pStyle w:val="3"/>
      </w:pPr>
      <w:r w:rsidRPr="001663AE">
        <w:rPr>
          <w:rFonts w:hint="eastAsia"/>
        </w:rPr>
        <w:t xml:space="preserve">　　</w:t>
      </w:r>
      <w:r w:rsidRPr="001663AE">
        <w:t>2.</w:t>
      </w:r>
      <w:r w:rsidRPr="001663AE">
        <w:rPr>
          <w:rFonts w:hint="eastAsia"/>
        </w:rPr>
        <w:t>被控告的移徙工人及其家庭成員，除特殊情況外，應與已經定罪的人隔離，並應給予合乎其未定罪者身份的分別待遇。被控告的未成年人應與成年人隔開，並應儘快予以審判。</w:t>
      </w:r>
    </w:p>
    <w:p w14:paraId="7A2EB47B" w14:textId="77777777" w:rsidR="00CA23FA" w:rsidRPr="001663AE" w:rsidRDefault="00CA23FA" w:rsidP="00D87D91">
      <w:pPr>
        <w:pStyle w:val="3"/>
      </w:pPr>
      <w:r w:rsidRPr="001663AE">
        <w:rPr>
          <w:rFonts w:hint="eastAsia"/>
        </w:rPr>
        <w:t xml:space="preserve">　　</w:t>
      </w:r>
      <w:r w:rsidRPr="001663AE">
        <w:t>3.</w:t>
      </w:r>
      <w:r w:rsidRPr="001663AE">
        <w:rPr>
          <w:rFonts w:hint="eastAsia"/>
        </w:rPr>
        <w:t>任何移徙工人或其家庭成員在過境國或就業國因觸犯移徙條例被拘留時，應盡實際可能，被安置於與已經定罪的人或拘留候審的人分開的處所。</w:t>
      </w:r>
    </w:p>
    <w:p w14:paraId="6CCEC52C" w14:textId="77777777" w:rsidR="00CA23FA" w:rsidRPr="001663AE" w:rsidRDefault="00CA23FA" w:rsidP="00D87D91">
      <w:pPr>
        <w:pStyle w:val="3"/>
      </w:pPr>
      <w:r w:rsidRPr="001663AE">
        <w:rPr>
          <w:rFonts w:hint="eastAsia"/>
        </w:rPr>
        <w:t xml:space="preserve">　　</w:t>
      </w:r>
      <w:r w:rsidRPr="001663AE">
        <w:t>4.</w:t>
      </w:r>
      <w:r w:rsidRPr="001663AE">
        <w:rPr>
          <w:rFonts w:hint="eastAsia"/>
        </w:rPr>
        <w:t>在法庭所判的服刑監禁任何期間內，對移徙工人或其家庭成員的待遇的基本宗旨應在改造他們，使他們日後能過正常的社會生活。未成年犯應與成年犯隔離，並應給予合乎其年齡和法律地位的待遇。</w:t>
      </w:r>
    </w:p>
    <w:p w14:paraId="536F17CD" w14:textId="77777777" w:rsidR="00CA23FA" w:rsidRPr="001663AE" w:rsidRDefault="00CA23FA" w:rsidP="00D87D91">
      <w:pPr>
        <w:pStyle w:val="3"/>
      </w:pPr>
      <w:r w:rsidRPr="001663AE">
        <w:rPr>
          <w:rFonts w:hint="eastAsia"/>
        </w:rPr>
        <w:t xml:space="preserve">　　</w:t>
      </w:r>
      <w:r w:rsidRPr="001663AE">
        <w:t>5.</w:t>
      </w:r>
      <w:r w:rsidRPr="001663AE">
        <w:rPr>
          <w:rFonts w:hint="eastAsia"/>
        </w:rPr>
        <w:t>在拘禁或監禁期間，移徙工人及其家庭成員應如國民一樣，享有家人探訪的權利。</w:t>
      </w:r>
    </w:p>
    <w:p w14:paraId="67F10630" w14:textId="77777777" w:rsidR="00CA23FA" w:rsidRPr="001663AE" w:rsidRDefault="00CA23FA" w:rsidP="00D87D91">
      <w:pPr>
        <w:pStyle w:val="3"/>
      </w:pPr>
      <w:r w:rsidRPr="001663AE">
        <w:rPr>
          <w:rFonts w:hint="eastAsia"/>
        </w:rPr>
        <w:t xml:space="preserve">　　</w:t>
      </w:r>
      <w:r w:rsidRPr="001663AE">
        <w:t>6.</w:t>
      </w:r>
      <w:r w:rsidRPr="001663AE">
        <w:rPr>
          <w:rFonts w:hint="eastAsia"/>
        </w:rPr>
        <w:t>遇某一移徙工人被剝奪自由時，有關國家的主管當局應注意其家庭成員可能遭遇的問題，特別是其配偶和未成年子女的問題。</w:t>
      </w:r>
    </w:p>
    <w:p w14:paraId="24873CCD" w14:textId="77777777" w:rsidR="00CA23FA" w:rsidRPr="001663AE" w:rsidRDefault="00CA23FA" w:rsidP="00D87D91">
      <w:pPr>
        <w:pStyle w:val="3"/>
      </w:pPr>
      <w:r w:rsidRPr="001663AE">
        <w:rPr>
          <w:rFonts w:hint="eastAsia"/>
        </w:rPr>
        <w:t xml:space="preserve">　　</w:t>
      </w:r>
      <w:r w:rsidRPr="001663AE">
        <w:t>7.</w:t>
      </w:r>
      <w:r w:rsidRPr="001663AE">
        <w:rPr>
          <w:rFonts w:hint="eastAsia"/>
        </w:rPr>
        <w:t>根據就業國或過境國現行法律受到任何形式的拘禁或監禁的移徙工人及其家庭成員，應享有與處於相同情況的這些國家國民同樣的權利。</w:t>
      </w:r>
    </w:p>
    <w:p w14:paraId="73344462" w14:textId="77777777" w:rsidR="00CA23FA" w:rsidRPr="001663AE" w:rsidRDefault="00CA23FA" w:rsidP="00D87D91">
      <w:pPr>
        <w:pStyle w:val="3"/>
      </w:pPr>
      <w:r w:rsidRPr="001663AE">
        <w:rPr>
          <w:rFonts w:hint="eastAsia"/>
        </w:rPr>
        <w:t xml:space="preserve">　　</w:t>
      </w:r>
      <w:r w:rsidRPr="001663AE">
        <w:t>8.</w:t>
      </w:r>
      <w:r w:rsidRPr="001663AE">
        <w:rPr>
          <w:rFonts w:hint="eastAsia"/>
        </w:rPr>
        <w:t>如因檢查任何違反有關移徙條例情事的目的而將某一移徙工人或其一家庭成員加以拘留，不得要求其負擔由此產生的任何費用。</w:t>
      </w:r>
    </w:p>
  </w:footnote>
  <w:footnote w:id="574">
    <w:p w14:paraId="3730617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18</w:t>
      </w:r>
      <w:r w:rsidRPr="001663AE">
        <w:rPr>
          <w:rFonts w:hint="eastAsia"/>
        </w:rPr>
        <w:t>條</w:t>
      </w:r>
      <w:r w:rsidRPr="001663AE">
        <w:t>(</w:t>
      </w:r>
      <w:r w:rsidRPr="001663AE">
        <w:rPr>
          <w:rFonts w:hint="eastAsia"/>
        </w:rPr>
        <w:t>在法院享有國民平等待遇權</w:t>
      </w:r>
      <w:r w:rsidRPr="001663AE">
        <w:t>)</w:t>
      </w:r>
    </w:p>
    <w:p w14:paraId="56188B84" w14:textId="77777777" w:rsidR="00CA23FA" w:rsidRPr="001663AE" w:rsidRDefault="00CA23FA" w:rsidP="00D87D91">
      <w:pPr>
        <w:pStyle w:val="3"/>
      </w:pPr>
      <w:r w:rsidRPr="001663AE">
        <w:rPr>
          <w:rFonts w:hint="eastAsia"/>
        </w:rPr>
        <w:t xml:space="preserve">　　</w:t>
      </w:r>
      <w:r w:rsidRPr="001663AE">
        <w:t>1.</w:t>
      </w:r>
      <w:r w:rsidRPr="001663AE">
        <w:rPr>
          <w:rFonts w:hint="eastAsia"/>
        </w:rPr>
        <w:t>在法院和法庭上，移徙工人及其家庭成員有權享有與有關國家國民平等的地位。在審判對他們提出的任何刑事指控或他們在訴訟案中的權利和義務時，他們應有權獲得一個依法設立的獨立公正的主管法庭進行公平而且公開的審理。</w:t>
      </w:r>
    </w:p>
    <w:p w14:paraId="06AD2D02" w14:textId="77777777" w:rsidR="00CA23FA" w:rsidRPr="001663AE" w:rsidRDefault="00CA23FA" w:rsidP="00D87D91">
      <w:pPr>
        <w:pStyle w:val="3"/>
      </w:pPr>
      <w:r w:rsidRPr="001663AE">
        <w:rPr>
          <w:rFonts w:hint="eastAsia"/>
        </w:rPr>
        <w:t xml:space="preserve">　　</w:t>
      </w:r>
      <w:r w:rsidRPr="001663AE">
        <w:t>2.</w:t>
      </w:r>
      <w:r w:rsidRPr="001663AE">
        <w:rPr>
          <w:rFonts w:hint="eastAsia"/>
        </w:rPr>
        <w:t>受刑事控告的移徙工人及其家庭成員，未經依法證實有罪之前，應有權被假定為無罪。</w:t>
      </w:r>
    </w:p>
    <w:p w14:paraId="3CA46857" w14:textId="77777777" w:rsidR="00CA23FA" w:rsidRPr="001663AE" w:rsidRDefault="00CA23FA" w:rsidP="00D87D91">
      <w:pPr>
        <w:pStyle w:val="3"/>
      </w:pPr>
      <w:r w:rsidRPr="001663AE">
        <w:rPr>
          <w:rFonts w:hint="eastAsia"/>
        </w:rPr>
        <w:t xml:space="preserve">　　</w:t>
      </w:r>
      <w:r w:rsidRPr="001663AE">
        <w:t>3.</w:t>
      </w:r>
      <w:r w:rsidRPr="001663AE">
        <w:rPr>
          <w:rFonts w:hint="eastAsia"/>
        </w:rPr>
        <w:t>在審判對他們提出的任何刑事指控時，移徙工人及其家庭成員應有權享有下列最低限度的保證：</w:t>
      </w:r>
    </w:p>
    <w:p w14:paraId="0A439771" w14:textId="77777777" w:rsidR="00CA23FA" w:rsidRPr="001663AE" w:rsidRDefault="00CA23FA" w:rsidP="00D87D91">
      <w:pPr>
        <w:pStyle w:val="3"/>
      </w:pPr>
      <w:r w:rsidRPr="001663AE">
        <w:rPr>
          <w:rFonts w:hint="eastAsia"/>
        </w:rPr>
        <w:t xml:space="preserve">　　</w:t>
      </w:r>
      <w:r w:rsidRPr="001663AE">
        <w:t>(a)</w:t>
      </w:r>
      <w:r w:rsidRPr="001663AE">
        <w:rPr>
          <w:rFonts w:hint="eastAsia"/>
        </w:rPr>
        <w:t>迅速以一種他們所瞭解的語言詳細告知對他們提出的指控性質和案由；</w:t>
      </w:r>
    </w:p>
    <w:p w14:paraId="5E15889D" w14:textId="77777777" w:rsidR="00CA23FA" w:rsidRPr="001663AE" w:rsidRDefault="00CA23FA" w:rsidP="00D87D91">
      <w:pPr>
        <w:pStyle w:val="3"/>
      </w:pPr>
      <w:r w:rsidRPr="001663AE">
        <w:rPr>
          <w:rFonts w:hint="eastAsia"/>
        </w:rPr>
        <w:t xml:space="preserve">　　</w:t>
      </w:r>
      <w:r w:rsidRPr="001663AE">
        <w:t>(b)</w:t>
      </w:r>
      <w:r w:rsidRPr="001663AE">
        <w:rPr>
          <w:rFonts w:hint="eastAsia"/>
        </w:rPr>
        <w:t>有充分時間和便利準備他們的辯護並同他們自己選擇的律師聯繫；</w:t>
      </w:r>
    </w:p>
    <w:p w14:paraId="7B26E292" w14:textId="77777777" w:rsidR="00CA23FA" w:rsidRPr="001663AE" w:rsidRDefault="00CA23FA" w:rsidP="00D87D91">
      <w:pPr>
        <w:pStyle w:val="3"/>
      </w:pPr>
      <w:r w:rsidRPr="001663AE">
        <w:rPr>
          <w:rFonts w:hint="eastAsia"/>
        </w:rPr>
        <w:t xml:space="preserve">　　</w:t>
      </w:r>
      <w:r w:rsidRPr="001663AE">
        <w:t>(c)</w:t>
      </w:r>
      <w:r w:rsidRPr="001663AE">
        <w:rPr>
          <w:rFonts w:hint="eastAsia"/>
        </w:rPr>
        <w:t>立即受審，不得無故拖延；</w:t>
      </w:r>
    </w:p>
    <w:p w14:paraId="1DCEFEB1" w14:textId="77777777" w:rsidR="00CA23FA" w:rsidRPr="001663AE" w:rsidRDefault="00CA23FA" w:rsidP="00D87D91">
      <w:pPr>
        <w:pStyle w:val="3"/>
      </w:pPr>
      <w:r w:rsidRPr="001663AE">
        <w:rPr>
          <w:rFonts w:hint="eastAsia"/>
        </w:rPr>
        <w:t xml:space="preserve">　　</w:t>
      </w:r>
      <w:r w:rsidRPr="001663AE">
        <w:t>(d)</w:t>
      </w:r>
      <w:r w:rsidRPr="001663AE">
        <w:rPr>
          <w:rFonts w:hint="eastAsia"/>
        </w:rPr>
        <w:t>出庭受審並親自或通過自己所選擇的法律援助進行辯護；如果沒有法律援助，應通知他們享有這項權利；在審判有此必要的任何情況下，為他們指定法律援助，並在他們沒有足夠能力支付的任何這種情況下，可免自己付費；</w:t>
      </w:r>
    </w:p>
    <w:p w14:paraId="290D8553" w14:textId="77777777" w:rsidR="00CA23FA" w:rsidRPr="001663AE" w:rsidRDefault="00CA23FA" w:rsidP="00D87D91">
      <w:pPr>
        <w:pStyle w:val="3"/>
      </w:pPr>
      <w:r w:rsidRPr="001663AE">
        <w:rPr>
          <w:rFonts w:hint="eastAsia"/>
        </w:rPr>
        <w:t xml:space="preserve">　　</w:t>
      </w:r>
      <w:r w:rsidRPr="001663AE">
        <w:t>(e)</w:t>
      </w:r>
      <w:r w:rsidRPr="001663AE">
        <w:rPr>
          <w:rFonts w:hint="eastAsia"/>
        </w:rPr>
        <w:t>詰問或間接詰問他造證人，並且使自己的證人在他造證人同樣的條件下出庭並受詰問；</w:t>
      </w:r>
    </w:p>
    <w:p w14:paraId="06C07D66" w14:textId="77777777" w:rsidR="00CA23FA" w:rsidRPr="001663AE" w:rsidRDefault="00CA23FA" w:rsidP="00D87D91">
      <w:pPr>
        <w:pStyle w:val="3"/>
      </w:pPr>
      <w:r w:rsidRPr="001663AE">
        <w:rPr>
          <w:rFonts w:hint="eastAsia"/>
        </w:rPr>
        <w:t xml:space="preserve">　　</w:t>
      </w:r>
      <w:r w:rsidRPr="001663AE">
        <w:t>(f)</w:t>
      </w:r>
      <w:r w:rsidRPr="001663AE">
        <w:rPr>
          <w:rFonts w:hint="eastAsia"/>
        </w:rPr>
        <w:t>如他們不懂或不會說法庭所用語言，可免費獲得譯員的協助；</w:t>
      </w:r>
    </w:p>
    <w:p w14:paraId="21976708" w14:textId="77777777" w:rsidR="00CA23FA" w:rsidRPr="001663AE" w:rsidRDefault="00CA23FA" w:rsidP="00D87D91">
      <w:pPr>
        <w:pStyle w:val="3"/>
      </w:pPr>
      <w:r w:rsidRPr="001663AE">
        <w:rPr>
          <w:rFonts w:hint="eastAsia"/>
        </w:rPr>
        <w:t xml:space="preserve">　　</w:t>
      </w:r>
      <w:r w:rsidRPr="001663AE">
        <w:t>(g)</w:t>
      </w:r>
      <w:r w:rsidRPr="001663AE">
        <w:rPr>
          <w:rFonts w:hint="eastAsia"/>
        </w:rPr>
        <w:t>不被強迫作不利自己的證言或強迫承認犯罪。</w:t>
      </w:r>
    </w:p>
    <w:p w14:paraId="4858617E" w14:textId="77777777" w:rsidR="00CA23FA" w:rsidRPr="001663AE" w:rsidRDefault="00CA23FA" w:rsidP="00D87D91">
      <w:pPr>
        <w:pStyle w:val="3"/>
      </w:pPr>
      <w:r w:rsidRPr="001663AE">
        <w:rPr>
          <w:rFonts w:hint="eastAsia"/>
        </w:rPr>
        <w:t xml:space="preserve">　　</w:t>
      </w:r>
      <w:r w:rsidRPr="001663AE">
        <w:t>4.</w:t>
      </w:r>
      <w:r w:rsidRPr="001663AE">
        <w:rPr>
          <w:rFonts w:hint="eastAsia"/>
        </w:rPr>
        <w:t>對未成年人案件，審判程序應考慮到他們的年齡和幫助他們重新做人的需要。</w:t>
      </w:r>
    </w:p>
    <w:p w14:paraId="01A0F279" w14:textId="77777777" w:rsidR="00CA23FA" w:rsidRPr="001663AE" w:rsidRDefault="00CA23FA" w:rsidP="00D87D91">
      <w:pPr>
        <w:pStyle w:val="3"/>
      </w:pPr>
      <w:r w:rsidRPr="001663AE">
        <w:rPr>
          <w:rFonts w:hint="eastAsia"/>
        </w:rPr>
        <w:t xml:space="preserve">　　</w:t>
      </w:r>
      <w:r w:rsidRPr="001663AE">
        <w:t>5.</w:t>
      </w:r>
      <w:r w:rsidRPr="001663AE">
        <w:rPr>
          <w:rFonts w:hint="eastAsia"/>
        </w:rPr>
        <w:t>被判定犯罪的移徙工人及其家庭成員，應有權由上級法庭對其定罪和判刑依法進行復審。</w:t>
      </w:r>
    </w:p>
    <w:p w14:paraId="1682BB51" w14:textId="77777777" w:rsidR="00CA23FA" w:rsidRPr="001663AE" w:rsidRDefault="00CA23FA" w:rsidP="00D87D91">
      <w:pPr>
        <w:pStyle w:val="3"/>
      </w:pPr>
      <w:r w:rsidRPr="001663AE">
        <w:rPr>
          <w:rFonts w:hint="eastAsia"/>
        </w:rPr>
        <w:t xml:space="preserve">　　</w:t>
      </w:r>
      <w:r w:rsidRPr="001663AE">
        <w:t>6.</w:t>
      </w:r>
      <w:r w:rsidRPr="001663AE">
        <w:rPr>
          <w:rFonts w:hint="eastAsia"/>
        </w:rPr>
        <w:t>遇某一移徙工人或其一家庭成員經最終判決判定犯有刑事罪而其後因新的或新發現的案情確實表明審判不當時，其定罪被撤銷或其被赦免的情況下，因這種定罪而受到刑罰的人應依法得到賠償，但經證明未知案情未能及時揭露應由其本人完全或部分負責者除外。</w:t>
      </w:r>
    </w:p>
    <w:p w14:paraId="3058BE1D" w14:textId="77777777" w:rsidR="00CA23FA" w:rsidRPr="001663AE" w:rsidRDefault="00CA23FA" w:rsidP="00D87D91">
      <w:pPr>
        <w:pStyle w:val="3"/>
      </w:pPr>
      <w:r w:rsidRPr="001663AE">
        <w:rPr>
          <w:rFonts w:hint="eastAsia"/>
        </w:rPr>
        <w:t xml:space="preserve">　　</w:t>
      </w:r>
      <w:r w:rsidRPr="001663AE">
        <w:t>7.</w:t>
      </w:r>
      <w:r w:rsidRPr="001663AE">
        <w:rPr>
          <w:rFonts w:hint="eastAsia"/>
        </w:rPr>
        <w:t>對移徙工人或其家庭成員已按照有關國家法律和刑事程序經最終定罪或無罪開釋者，不得就同一罪名再予審判或科刑。</w:t>
      </w:r>
    </w:p>
  </w:footnote>
  <w:footnote w:id="575">
    <w:p w14:paraId="5782198A"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21</w:t>
      </w:r>
      <w:r w:rsidRPr="001663AE">
        <w:rPr>
          <w:rFonts w:hint="eastAsia"/>
        </w:rPr>
        <w:t>條</w:t>
      </w:r>
      <w:r w:rsidRPr="001663AE">
        <w:t>(</w:t>
      </w:r>
      <w:r w:rsidRPr="001663AE">
        <w:rPr>
          <w:rFonts w:hint="eastAsia"/>
        </w:rPr>
        <w:t>禁止非法扣留證件</w:t>
      </w:r>
      <w:r w:rsidRPr="001663AE">
        <w:t>)</w:t>
      </w:r>
    </w:p>
    <w:p w14:paraId="351AB1C4" w14:textId="77777777" w:rsidR="00CA23FA" w:rsidRPr="001663AE" w:rsidRDefault="00CA23FA" w:rsidP="00D87D91">
      <w:pPr>
        <w:pStyle w:val="3"/>
      </w:pPr>
      <w:r w:rsidRPr="001663AE">
        <w:rPr>
          <w:rFonts w:hint="eastAsia"/>
        </w:rPr>
        <w:t xml:space="preserve">　　除依法經正當授權的公務人員外，任何人沒收、銷毀或企圖銷毀身份證件、准許入境或在一國境內逗留、居住或營業的證件、或工作許可證，均屬非法。經授權對這類證件進行沒收，必須提出詳細收據。在任何情況下，不允許銷毀某一移徙工人或其一家庭成員的護照或等同證件。</w:t>
      </w:r>
    </w:p>
  </w:footnote>
  <w:footnote w:id="576">
    <w:p w14:paraId="5C227A47"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22</w:t>
      </w:r>
      <w:r w:rsidRPr="001663AE">
        <w:rPr>
          <w:rFonts w:hint="eastAsia"/>
        </w:rPr>
        <w:t>條</w:t>
      </w:r>
      <w:r w:rsidRPr="001663AE">
        <w:t>(</w:t>
      </w:r>
      <w:r w:rsidRPr="001663AE">
        <w:rPr>
          <w:rFonts w:hint="eastAsia"/>
        </w:rPr>
        <w:t>禁止非法驅逐出境</w:t>
      </w:r>
      <w:r w:rsidRPr="001663AE">
        <w:t>)</w:t>
      </w:r>
    </w:p>
    <w:p w14:paraId="31B9D9F9" w14:textId="77777777" w:rsidR="00CA23FA" w:rsidRPr="001663AE" w:rsidRDefault="00CA23FA" w:rsidP="00D87D91">
      <w:pPr>
        <w:pStyle w:val="3"/>
      </w:pPr>
      <w:r w:rsidRPr="001663AE">
        <w:rPr>
          <w:rFonts w:hint="eastAsia"/>
        </w:rPr>
        <w:t xml:space="preserve">　　</w:t>
      </w:r>
      <w:r w:rsidRPr="001663AE">
        <w:t>1.</w:t>
      </w:r>
      <w:r w:rsidRPr="001663AE">
        <w:rPr>
          <w:rFonts w:hint="eastAsia"/>
        </w:rPr>
        <w:t>不得對移徙工人及其家庭成員採取集體驅逐的措施。對每一宗驅逐案件都應逐案審查和決定。</w:t>
      </w:r>
    </w:p>
    <w:p w14:paraId="41EBF9AD" w14:textId="77777777" w:rsidR="00CA23FA" w:rsidRPr="001663AE" w:rsidRDefault="00CA23FA" w:rsidP="00D87D91">
      <w:pPr>
        <w:pStyle w:val="3"/>
      </w:pPr>
      <w:r w:rsidRPr="001663AE">
        <w:rPr>
          <w:rFonts w:hint="eastAsia"/>
        </w:rPr>
        <w:t xml:space="preserve">　　</w:t>
      </w:r>
      <w:r w:rsidRPr="001663AE">
        <w:t>2.</w:t>
      </w:r>
      <w:r w:rsidRPr="001663AE">
        <w:rPr>
          <w:rFonts w:hint="eastAsia"/>
        </w:rPr>
        <w:t>只有按照主管當局依法作出的決定，方可將移徙工人及其家庭成員從締約國境內驅逐出境。</w:t>
      </w:r>
    </w:p>
    <w:p w14:paraId="14D641FC" w14:textId="77777777" w:rsidR="00CA23FA" w:rsidRPr="001663AE" w:rsidRDefault="00CA23FA" w:rsidP="00D87D91">
      <w:pPr>
        <w:pStyle w:val="3"/>
      </w:pPr>
      <w:r w:rsidRPr="001663AE">
        <w:rPr>
          <w:rFonts w:hint="eastAsia"/>
        </w:rPr>
        <w:t xml:space="preserve">　　</w:t>
      </w:r>
      <w:r w:rsidRPr="001663AE">
        <w:t>3.</w:t>
      </w:r>
      <w:r w:rsidRPr="001663AE">
        <w:rPr>
          <w:rFonts w:hint="eastAsia"/>
        </w:rPr>
        <w:t>應以他們所瞭解的語言將判決傳達給他們。如果沒有另外的強制性規定，經他們要求，應以書面方式將判決傳達給他們，除涉及國家安全的特殊情況外，應說明判決的理由。在作出判決之前或至遲在作出判決之時，應把這些權利告知當事人。</w:t>
      </w:r>
    </w:p>
    <w:p w14:paraId="7AAE15BE" w14:textId="77777777" w:rsidR="00CA23FA" w:rsidRPr="001663AE" w:rsidRDefault="00CA23FA" w:rsidP="00D87D91">
      <w:pPr>
        <w:pStyle w:val="3"/>
      </w:pPr>
      <w:r w:rsidRPr="001663AE">
        <w:rPr>
          <w:rFonts w:hint="eastAsia"/>
        </w:rPr>
        <w:t xml:space="preserve">　　</w:t>
      </w:r>
      <w:r w:rsidRPr="001663AE">
        <w:t>4.</w:t>
      </w:r>
      <w:r w:rsidRPr="001663AE">
        <w:rPr>
          <w:rFonts w:hint="eastAsia"/>
        </w:rPr>
        <w:t>除司法當局作出最終判決的情況外，當事人應有權提出其不應被驅逐的理由，並由有關當局對其案件進行復審，除因國家安全的重大理由另有規定外。在進行這類復審之前，當事人應有權要求暫緩執行驅逐的判決。</w:t>
      </w:r>
    </w:p>
    <w:p w14:paraId="038518E2" w14:textId="77777777" w:rsidR="00CA23FA" w:rsidRPr="001663AE" w:rsidRDefault="00CA23FA" w:rsidP="00D87D91">
      <w:pPr>
        <w:pStyle w:val="3"/>
      </w:pPr>
      <w:r w:rsidRPr="001663AE">
        <w:rPr>
          <w:rFonts w:hint="eastAsia"/>
        </w:rPr>
        <w:t xml:space="preserve">　　</w:t>
      </w:r>
      <w:r w:rsidRPr="001663AE">
        <w:t>5.</w:t>
      </w:r>
      <w:r w:rsidRPr="001663AE">
        <w:rPr>
          <w:rFonts w:hint="eastAsia"/>
        </w:rPr>
        <w:t>已經執行的驅逐判決如其後予以取消。當事人應有權依法要求賠償，而以前的判決不得被用來阻止當事人再次進入有關國家。</w:t>
      </w:r>
    </w:p>
    <w:p w14:paraId="24183726" w14:textId="77777777" w:rsidR="00CA23FA" w:rsidRPr="001663AE" w:rsidRDefault="00CA23FA" w:rsidP="00D87D91">
      <w:pPr>
        <w:pStyle w:val="3"/>
      </w:pPr>
      <w:r w:rsidRPr="001663AE">
        <w:rPr>
          <w:rFonts w:hint="eastAsia"/>
        </w:rPr>
        <w:t xml:space="preserve">　　</w:t>
      </w:r>
      <w:r w:rsidRPr="001663AE">
        <w:t>6.</w:t>
      </w:r>
      <w:r w:rsidRPr="001663AE">
        <w:rPr>
          <w:rFonts w:hint="eastAsia"/>
        </w:rPr>
        <w:t>如被驅逐出境，當事人在離境之前或之後應有合理機會解決任何應得工資和其他應享權利的要求以及任何未決義務。</w:t>
      </w:r>
    </w:p>
    <w:p w14:paraId="50086440" w14:textId="77777777" w:rsidR="00CA23FA" w:rsidRPr="001663AE" w:rsidRDefault="00CA23FA" w:rsidP="00D87D91">
      <w:pPr>
        <w:pStyle w:val="3"/>
      </w:pPr>
      <w:r w:rsidRPr="001663AE">
        <w:rPr>
          <w:rFonts w:hint="eastAsia"/>
        </w:rPr>
        <w:t xml:space="preserve">　　</w:t>
      </w:r>
      <w:r w:rsidRPr="001663AE">
        <w:t>7.</w:t>
      </w:r>
      <w:r w:rsidRPr="001663AE">
        <w:rPr>
          <w:rFonts w:hint="eastAsia"/>
        </w:rPr>
        <w:t>在不影響一宗驅逐判決的執行的情況下，該一判決所涉的某一移徙工人或其一家庭成員可尋求進入非其原籍國的國家。</w:t>
      </w:r>
    </w:p>
    <w:p w14:paraId="6CFAD4F9" w14:textId="77777777" w:rsidR="00CA23FA" w:rsidRPr="001663AE" w:rsidRDefault="00CA23FA" w:rsidP="00D87D91">
      <w:pPr>
        <w:pStyle w:val="3"/>
      </w:pPr>
      <w:r w:rsidRPr="001663AE">
        <w:rPr>
          <w:rFonts w:hint="eastAsia"/>
        </w:rPr>
        <w:t xml:space="preserve">　　</w:t>
      </w:r>
      <w:r w:rsidRPr="001663AE">
        <w:t>8.</w:t>
      </w:r>
      <w:r w:rsidRPr="001663AE">
        <w:rPr>
          <w:rFonts w:hint="eastAsia"/>
        </w:rPr>
        <w:t>遇某一移徙工人或其一家庭成員被驅逐出境時，驅逐出境的費用不應由其負擔。但得要求當事人支付自己的旅費。</w:t>
      </w:r>
    </w:p>
    <w:p w14:paraId="6DC9399C" w14:textId="77777777" w:rsidR="00CA23FA" w:rsidRPr="001663AE" w:rsidRDefault="00CA23FA" w:rsidP="00D87D91">
      <w:pPr>
        <w:pStyle w:val="3"/>
      </w:pPr>
      <w:r w:rsidRPr="001663AE">
        <w:rPr>
          <w:rFonts w:hint="eastAsia"/>
        </w:rPr>
        <w:t xml:space="preserve">　　</w:t>
      </w:r>
      <w:r w:rsidRPr="001663AE">
        <w:t>9.</w:t>
      </w:r>
      <w:r w:rsidRPr="001663AE">
        <w:rPr>
          <w:rFonts w:hint="eastAsia"/>
        </w:rPr>
        <w:t>從就業國被驅逐出境的事實不得損害某一移徙工人或其一家庭成員按照該國法律所獲的任何權利，包括接受工資及其他應享的權利。</w:t>
      </w:r>
    </w:p>
  </w:footnote>
  <w:footnote w:id="577">
    <w:p w14:paraId="5BB3F7E7"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23</w:t>
      </w:r>
      <w:r w:rsidRPr="001663AE">
        <w:rPr>
          <w:rFonts w:hint="eastAsia"/>
        </w:rPr>
        <w:t>條</w:t>
      </w:r>
      <w:r w:rsidRPr="001663AE">
        <w:t>(</w:t>
      </w:r>
      <w:r w:rsidRPr="001663AE">
        <w:rPr>
          <w:rFonts w:hint="eastAsia"/>
        </w:rPr>
        <w:t>受領事保護權利</w:t>
      </w:r>
      <w:r w:rsidRPr="001663AE">
        <w:t>)</w:t>
      </w:r>
    </w:p>
    <w:p w14:paraId="223A37DB" w14:textId="77777777" w:rsidR="00CA23FA" w:rsidRPr="001663AE" w:rsidRDefault="00CA23FA" w:rsidP="00D87D91">
      <w:pPr>
        <w:pStyle w:val="3"/>
      </w:pPr>
      <w:r w:rsidRPr="001663AE">
        <w:rPr>
          <w:rFonts w:hint="eastAsia"/>
        </w:rPr>
        <w:t xml:space="preserve">　　移徙工人及其家庭成員在本公約所承認的權利受到損害時，應有權尋求其原籍國領事或外交機關或代表該國利益的國家的領事或外交機關的保護和協助。特別是在處理驅逐出境時，應毫不拖延地將此項權利告知當事人，驅逐國當局並應為行使這項權利提供便利。</w:t>
      </w:r>
    </w:p>
  </w:footnote>
  <w:footnote w:id="578">
    <w:p w14:paraId="2E7D855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24</w:t>
      </w:r>
      <w:r w:rsidRPr="001663AE">
        <w:rPr>
          <w:rFonts w:hint="eastAsia"/>
        </w:rPr>
        <w:t>條</w:t>
      </w:r>
      <w:r w:rsidRPr="001663AE">
        <w:t>(</w:t>
      </w:r>
      <w:r w:rsidRPr="001663AE">
        <w:rPr>
          <w:rFonts w:hint="eastAsia"/>
        </w:rPr>
        <w:t>法律之前的人格權利</w:t>
      </w:r>
      <w:r w:rsidRPr="001663AE">
        <w:t>)</w:t>
      </w:r>
    </w:p>
    <w:p w14:paraId="2071C1C3" w14:textId="77777777" w:rsidR="00CA23FA" w:rsidRPr="001663AE" w:rsidRDefault="00CA23FA" w:rsidP="00D87D91">
      <w:pPr>
        <w:pStyle w:val="3"/>
      </w:pPr>
      <w:r w:rsidRPr="001663AE">
        <w:rPr>
          <w:rFonts w:hint="eastAsia"/>
        </w:rPr>
        <w:t xml:space="preserve">　　每個移徙工人及其每一家庭成員均應有權在任何地方獲得承認其在法律之前的人格。</w:t>
      </w:r>
    </w:p>
  </w:footnote>
  <w:footnote w:id="579">
    <w:p w14:paraId="4723172D"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25</w:t>
      </w:r>
      <w:r w:rsidRPr="001663AE">
        <w:rPr>
          <w:rFonts w:hint="eastAsia"/>
        </w:rPr>
        <w:t>條</w:t>
      </w:r>
      <w:r w:rsidRPr="001663AE">
        <w:t>(</w:t>
      </w:r>
      <w:r w:rsidRPr="001663AE">
        <w:rPr>
          <w:rFonts w:hint="eastAsia"/>
        </w:rPr>
        <w:t>同工同酬等相關權利</w:t>
      </w:r>
      <w:r w:rsidRPr="001663AE">
        <w:t>)</w:t>
      </w:r>
    </w:p>
    <w:p w14:paraId="283D022D"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移徙工人在工作報酬和以下其他方面，應享有不低於適用於就業國國民的待遇：</w:t>
      </w:r>
    </w:p>
    <w:p w14:paraId="4789303E" w14:textId="77777777" w:rsidR="00CA23FA" w:rsidRPr="001663AE" w:rsidRDefault="00CA23FA" w:rsidP="00D87D91">
      <w:pPr>
        <w:pStyle w:val="3"/>
      </w:pPr>
      <w:r w:rsidRPr="001663AE">
        <w:rPr>
          <w:rFonts w:hint="eastAsia"/>
        </w:rPr>
        <w:t xml:space="preserve">　　</w:t>
      </w:r>
      <w:r w:rsidRPr="001663AE">
        <w:t>(a)</w:t>
      </w:r>
      <w:r w:rsidRPr="001663AE">
        <w:rPr>
          <w:rFonts w:hint="eastAsia"/>
        </w:rPr>
        <w:t>其他工作條件，即加班、工時、每週休假、有薪假日、安全、衛生、雇用關係的結束，以及依照國家法律和慣例，本詞所涵蓋的任何其他工作條件；</w:t>
      </w:r>
    </w:p>
    <w:p w14:paraId="750CA7B1" w14:textId="77777777" w:rsidR="00CA23FA" w:rsidRPr="001663AE" w:rsidRDefault="00CA23FA" w:rsidP="00D87D91">
      <w:pPr>
        <w:pStyle w:val="3"/>
      </w:pPr>
      <w:r w:rsidRPr="001663AE">
        <w:rPr>
          <w:rFonts w:hint="eastAsia"/>
        </w:rPr>
        <w:t xml:space="preserve">　　</w:t>
      </w:r>
      <w:r w:rsidRPr="001663AE">
        <w:t>(b)</w:t>
      </w:r>
      <w:r w:rsidRPr="001663AE">
        <w:rPr>
          <w:rFonts w:hint="eastAsia"/>
        </w:rPr>
        <w:t>其他雇用條件，即最低就業年齡、在家工作的限制，以及依照國家法律和慣例經認為是雇用條件的任何其他事項。</w:t>
      </w:r>
    </w:p>
    <w:p w14:paraId="018A2418" w14:textId="77777777" w:rsidR="00CA23FA" w:rsidRPr="001663AE" w:rsidRDefault="00CA23FA" w:rsidP="00D87D91">
      <w:pPr>
        <w:pStyle w:val="3"/>
      </w:pPr>
      <w:r w:rsidRPr="001663AE">
        <w:rPr>
          <w:rFonts w:hint="eastAsia"/>
        </w:rPr>
        <w:t xml:space="preserve">　　</w:t>
      </w:r>
      <w:r w:rsidRPr="001663AE">
        <w:t>2.</w:t>
      </w:r>
      <w:r w:rsidRPr="001663AE">
        <w:rPr>
          <w:rFonts w:hint="eastAsia"/>
        </w:rPr>
        <w:t>在私人雇用合約中，克減本條第</w:t>
      </w:r>
      <w:r w:rsidRPr="001663AE">
        <w:t>1</w:t>
      </w:r>
      <w:r w:rsidRPr="001663AE">
        <w:rPr>
          <w:rFonts w:hint="eastAsia"/>
        </w:rPr>
        <w:t>款所述的平等待遇原則，應屬非法。</w:t>
      </w:r>
    </w:p>
    <w:p w14:paraId="2B976AB0" w14:textId="77777777" w:rsidR="00CA23FA" w:rsidRPr="001663AE" w:rsidRDefault="00CA23FA" w:rsidP="00D87D91">
      <w:pPr>
        <w:pStyle w:val="3"/>
      </w:pPr>
      <w:r w:rsidRPr="001663AE">
        <w:rPr>
          <w:rFonts w:hint="eastAsia"/>
        </w:rPr>
        <w:t xml:space="preserve">　　</w:t>
      </w:r>
      <w:r w:rsidRPr="001663AE">
        <w:t>3.</w:t>
      </w:r>
      <w:r w:rsidRPr="001663AE">
        <w:rPr>
          <w:rFonts w:hint="eastAsia"/>
        </w:rPr>
        <w:t>締約國應採取一切適當措施，確保移徙工人不因其逗留或就業有任何不正常情況而被剝奪因本原則而獲得的任何權利。特別是雇主不得由於任何這種不正常情況而得免除任何法律的或合同的義務，或對其義務有任何方式的限制。</w:t>
      </w:r>
      <w:r w:rsidRPr="001663AE">
        <w:t xml:space="preserve"> </w:t>
      </w:r>
    </w:p>
    <w:p w14:paraId="6AE49DBB" w14:textId="77777777" w:rsidR="00CA23FA" w:rsidRPr="001663AE" w:rsidRDefault="00CA23FA" w:rsidP="00D87D91">
      <w:pPr>
        <w:pStyle w:val="3"/>
      </w:pPr>
    </w:p>
  </w:footnote>
  <w:footnote w:id="580">
    <w:p w14:paraId="5F83F253"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26</w:t>
      </w:r>
      <w:r w:rsidRPr="001663AE">
        <w:rPr>
          <w:rFonts w:hint="eastAsia"/>
        </w:rPr>
        <w:t>條</w:t>
      </w:r>
      <w:r w:rsidRPr="001663AE">
        <w:t>(</w:t>
      </w:r>
      <w:r w:rsidRPr="001663AE">
        <w:rPr>
          <w:rFonts w:hint="eastAsia"/>
        </w:rPr>
        <w:t>結社權、集會權</w:t>
      </w:r>
      <w:r w:rsidRPr="001663AE">
        <w:t>)</w:t>
      </w:r>
    </w:p>
    <w:p w14:paraId="63F44539" w14:textId="77777777" w:rsidR="00CA23FA" w:rsidRPr="001663AE" w:rsidRDefault="00CA23FA" w:rsidP="00D87D91">
      <w:pPr>
        <w:pStyle w:val="3"/>
      </w:pPr>
      <w:r w:rsidRPr="001663AE">
        <w:rPr>
          <w:rFonts w:hint="eastAsia"/>
        </w:rPr>
        <w:t xml:space="preserve">　　</w:t>
      </w:r>
      <w:r w:rsidRPr="001663AE">
        <w:t>1.</w:t>
      </w:r>
      <w:r w:rsidRPr="001663AE">
        <w:rPr>
          <w:rFonts w:hint="eastAsia"/>
        </w:rPr>
        <w:t>締約國承認移徙工人及其家庭成員有權：</w:t>
      </w:r>
    </w:p>
    <w:p w14:paraId="2D108B34" w14:textId="77777777" w:rsidR="00CA23FA" w:rsidRPr="001663AE" w:rsidRDefault="00CA23FA" w:rsidP="00D87D91">
      <w:pPr>
        <w:pStyle w:val="3"/>
      </w:pPr>
      <w:r w:rsidRPr="001663AE">
        <w:rPr>
          <w:rFonts w:hint="eastAsia"/>
        </w:rPr>
        <w:t xml:space="preserve">　　</w:t>
      </w:r>
      <w:r w:rsidRPr="001663AE">
        <w:t>(a)</w:t>
      </w:r>
      <w:r w:rsidRPr="001663AE">
        <w:rPr>
          <w:rFonts w:hint="eastAsia"/>
        </w:rPr>
        <w:t>參與工會的及任何其他為保護他們經濟、社會、文化和其他利益而依法成立的協會的集會和活動，僅受有關組織規則的限制；</w:t>
      </w:r>
    </w:p>
    <w:p w14:paraId="6EB90827" w14:textId="77777777" w:rsidR="00CA23FA" w:rsidRPr="001663AE" w:rsidRDefault="00CA23FA" w:rsidP="00D87D91">
      <w:pPr>
        <w:pStyle w:val="3"/>
      </w:pPr>
      <w:r w:rsidRPr="001663AE">
        <w:rPr>
          <w:rFonts w:hint="eastAsia"/>
        </w:rPr>
        <w:t xml:space="preserve">　　</w:t>
      </w:r>
      <w:r w:rsidRPr="001663AE">
        <w:t>(b)</w:t>
      </w:r>
      <w:r w:rsidRPr="001663AE">
        <w:rPr>
          <w:rFonts w:hint="eastAsia"/>
        </w:rPr>
        <w:t>自由參加任何工會或上述任何這類協會，僅受有關組織規則的限制；</w:t>
      </w:r>
    </w:p>
    <w:p w14:paraId="4B7ABE32" w14:textId="77777777" w:rsidR="00CA23FA" w:rsidRPr="001663AE" w:rsidRDefault="00CA23FA" w:rsidP="00D87D91">
      <w:pPr>
        <w:pStyle w:val="3"/>
      </w:pPr>
      <w:r w:rsidRPr="001663AE">
        <w:rPr>
          <w:rFonts w:hint="eastAsia"/>
        </w:rPr>
        <w:t xml:space="preserve">　　</w:t>
      </w:r>
      <w:r w:rsidRPr="001663AE">
        <w:t>(c)</w:t>
      </w:r>
      <w:r w:rsidRPr="001663AE">
        <w:rPr>
          <w:rFonts w:hint="eastAsia"/>
        </w:rPr>
        <w:t>向任何工會或上述任何這類協會尋求援助和協助。</w:t>
      </w:r>
    </w:p>
    <w:p w14:paraId="3EDF7216" w14:textId="77777777" w:rsidR="00CA23FA" w:rsidRPr="001663AE" w:rsidRDefault="00CA23FA" w:rsidP="00D87D91">
      <w:pPr>
        <w:pStyle w:val="3"/>
      </w:pPr>
      <w:r w:rsidRPr="001663AE">
        <w:rPr>
          <w:rFonts w:hint="eastAsia"/>
        </w:rPr>
        <w:t xml:space="preserve">　　</w:t>
      </w:r>
      <w:r w:rsidRPr="001663AE">
        <w:t>2.</w:t>
      </w:r>
      <w:r w:rsidRPr="001663AE">
        <w:rPr>
          <w:rFonts w:hint="eastAsia"/>
        </w:rPr>
        <w:t>這些權利的行使除受法律所規定並在民主社會為了國家安全、公共秩序或保護他人的權利和自由所需要的限制以外，不受任何其他限制。</w:t>
      </w:r>
    </w:p>
  </w:footnote>
  <w:footnote w:id="581">
    <w:p w14:paraId="1D287B61"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28</w:t>
      </w:r>
      <w:r w:rsidRPr="001663AE">
        <w:rPr>
          <w:rFonts w:hint="eastAsia"/>
        </w:rPr>
        <w:t>條</w:t>
      </w:r>
      <w:r w:rsidRPr="001663AE">
        <w:t>(</w:t>
      </w:r>
      <w:r w:rsidRPr="001663AE">
        <w:rPr>
          <w:rFonts w:hint="eastAsia"/>
        </w:rPr>
        <w:t>健康權</w:t>
      </w:r>
      <w:r w:rsidRPr="001663AE">
        <w:t>)</w:t>
      </w:r>
    </w:p>
    <w:p w14:paraId="3511F35C" w14:textId="77777777" w:rsidR="00CA23FA" w:rsidRPr="001663AE" w:rsidRDefault="00CA23FA" w:rsidP="00D87D91">
      <w:pPr>
        <w:pStyle w:val="3"/>
      </w:pPr>
      <w:r w:rsidRPr="001663AE">
        <w:rPr>
          <w:rFonts w:hint="eastAsia"/>
        </w:rPr>
        <w:t xml:space="preserve">　　移徙工人及家庭成員應有權按與有關國家國民同等的待遇接受維持其生命或避免對其健康的不可彌補的損害而迫切需要的任何醫療。不得以他們在逗留或就業方面有任何不正常情況為由，而拒絕給予此種緊急醫療。</w:t>
      </w:r>
    </w:p>
  </w:footnote>
  <w:footnote w:id="582">
    <w:p w14:paraId="0CB1CFF7"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30</w:t>
      </w:r>
      <w:r w:rsidRPr="001663AE">
        <w:rPr>
          <w:rFonts w:hint="eastAsia"/>
        </w:rPr>
        <w:t>條</w:t>
      </w:r>
      <w:r w:rsidRPr="001663AE">
        <w:t>(</w:t>
      </w:r>
      <w:r w:rsidRPr="001663AE">
        <w:rPr>
          <w:rFonts w:hint="eastAsia"/>
        </w:rPr>
        <w:t>子女受教育權利</w:t>
      </w:r>
      <w:r w:rsidRPr="001663AE">
        <w:t>)</w:t>
      </w:r>
    </w:p>
    <w:p w14:paraId="1C83EB68" w14:textId="77777777" w:rsidR="00CA23FA" w:rsidRPr="001663AE" w:rsidRDefault="00CA23FA" w:rsidP="00D87D91">
      <w:pPr>
        <w:pStyle w:val="3"/>
      </w:pPr>
      <w:r w:rsidRPr="001663AE">
        <w:rPr>
          <w:rFonts w:hint="eastAsia"/>
        </w:rPr>
        <w:t xml:space="preserve">　　移徙工人的每一名子女應照與有關國家國民同等的待遇享有接受教育的基本權利。不得以其父親或母親在就業國的逗留或就業方面有任何不正常情況為由或因為其本人的逗留屬不正常的情況，而拒絕或限制其進入公立幼稚園或學校。</w:t>
      </w:r>
    </w:p>
  </w:footnote>
  <w:footnote w:id="583">
    <w:p w14:paraId="0BEAC2DC"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31</w:t>
      </w:r>
      <w:r w:rsidRPr="001663AE">
        <w:rPr>
          <w:rFonts w:hint="eastAsia"/>
        </w:rPr>
        <w:t>條</w:t>
      </w:r>
      <w:r w:rsidRPr="001663AE">
        <w:t>(</w:t>
      </w:r>
      <w:r w:rsidRPr="001663AE">
        <w:rPr>
          <w:rFonts w:hint="eastAsia"/>
        </w:rPr>
        <w:t>文化權</w:t>
      </w:r>
      <w:r w:rsidRPr="001663AE">
        <w:t>)</w:t>
      </w:r>
    </w:p>
    <w:p w14:paraId="48422FBD" w14:textId="77777777" w:rsidR="00CA23FA" w:rsidRPr="001663AE" w:rsidRDefault="00CA23FA" w:rsidP="00D87D91">
      <w:pPr>
        <w:pStyle w:val="3"/>
      </w:pPr>
      <w:r w:rsidRPr="001663AE">
        <w:rPr>
          <w:rFonts w:hint="eastAsia"/>
        </w:rPr>
        <w:t xml:space="preserve">　　</w:t>
      </w:r>
      <w:r w:rsidRPr="001663AE">
        <w:t>1.</w:t>
      </w:r>
      <w:r w:rsidRPr="001663AE">
        <w:rPr>
          <w:rFonts w:hint="eastAsia"/>
        </w:rPr>
        <w:t>締約國應保證尊重移徙工人及其家庭成員的文化特性，並且不得阻礙他們與其原籍國保持文化聯繫。</w:t>
      </w:r>
    </w:p>
    <w:p w14:paraId="2E2E39E2" w14:textId="77777777" w:rsidR="00CA23FA" w:rsidRPr="001663AE" w:rsidRDefault="00CA23FA" w:rsidP="00D87D91">
      <w:pPr>
        <w:pStyle w:val="3"/>
      </w:pPr>
      <w:r w:rsidRPr="001663AE">
        <w:rPr>
          <w:rFonts w:hint="eastAsia"/>
        </w:rPr>
        <w:t xml:space="preserve">　　</w:t>
      </w:r>
      <w:r w:rsidRPr="001663AE">
        <w:t>2.</w:t>
      </w:r>
      <w:r w:rsidRPr="001663AE">
        <w:rPr>
          <w:rFonts w:hint="eastAsia"/>
        </w:rPr>
        <w:t>締約國可採取適當措施協助和鼓勵這方面的努力。</w:t>
      </w:r>
    </w:p>
  </w:footnote>
  <w:footnote w:id="584">
    <w:p w14:paraId="3E6F4CDF"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第</w:t>
      </w:r>
      <w:r w:rsidRPr="001663AE">
        <w:t>32</w:t>
      </w:r>
      <w:r w:rsidRPr="001663AE">
        <w:rPr>
          <w:rFonts w:hint="eastAsia"/>
        </w:rPr>
        <w:t>條</w:t>
      </w:r>
      <w:r w:rsidRPr="001663AE">
        <w:t>(</w:t>
      </w:r>
      <w:r w:rsidRPr="001663AE">
        <w:rPr>
          <w:rFonts w:hint="eastAsia"/>
        </w:rPr>
        <w:t>匯兌收益權</w:t>
      </w:r>
      <w:r w:rsidRPr="001663AE">
        <w:t>)</w:t>
      </w:r>
    </w:p>
    <w:p w14:paraId="4EE4E293" w14:textId="77777777" w:rsidR="00CA23FA" w:rsidRPr="001663AE" w:rsidRDefault="00CA23FA" w:rsidP="00D87D91">
      <w:pPr>
        <w:pStyle w:val="3"/>
      </w:pPr>
      <w:r w:rsidRPr="001663AE">
        <w:rPr>
          <w:rFonts w:hint="eastAsia"/>
        </w:rPr>
        <w:t xml:space="preserve">　　移徙工人及其家庭成員在結束他們在就業國的逗留時，應有權匯兌他們的收益和儲蓄，並且根據有關國家適用的立法，帶走他們的私人財物和物品。</w:t>
      </w:r>
    </w:p>
  </w:footnote>
  <w:footnote w:id="585">
    <w:p w14:paraId="3DD4F9E5"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33</w:t>
      </w:r>
      <w:r w:rsidRPr="001663AE">
        <w:rPr>
          <w:rFonts w:hint="eastAsia"/>
        </w:rPr>
        <w:t>條</w:t>
      </w:r>
      <w:r w:rsidRPr="001663AE">
        <w:t>(</w:t>
      </w:r>
      <w:r w:rsidRPr="001663AE">
        <w:rPr>
          <w:rFonts w:hint="eastAsia"/>
        </w:rPr>
        <w:t>受告知資訊權</w:t>
      </w:r>
      <w:r w:rsidRPr="001663AE">
        <w:t>)</w:t>
      </w:r>
    </w:p>
    <w:p w14:paraId="2E838D86"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移徙工人及其家庭成員應有權獲得視情形而定原籍國、就業國或過境國告知以下方面的資料：</w:t>
      </w:r>
    </w:p>
    <w:p w14:paraId="07D92486" w14:textId="77777777" w:rsidR="00CA23FA" w:rsidRPr="001663AE" w:rsidRDefault="00CA23FA" w:rsidP="00D87D91">
      <w:pPr>
        <w:pStyle w:val="3"/>
      </w:pPr>
      <w:r w:rsidRPr="001663AE">
        <w:rPr>
          <w:rFonts w:hint="eastAsia"/>
        </w:rPr>
        <w:t xml:space="preserve">　　</w:t>
      </w:r>
      <w:r w:rsidRPr="001663AE">
        <w:t>(a)</w:t>
      </w:r>
      <w:r w:rsidRPr="001663AE">
        <w:rPr>
          <w:rFonts w:hint="eastAsia"/>
        </w:rPr>
        <w:t>本公約所賦予他們的權利；</w:t>
      </w:r>
    </w:p>
    <w:p w14:paraId="305AF02A" w14:textId="77777777" w:rsidR="00CA23FA" w:rsidRPr="001663AE" w:rsidRDefault="00CA23FA" w:rsidP="00D87D91">
      <w:pPr>
        <w:pStyle w:val="3"/>
      </w:pPr>
      <w:r w:rsidRPr="001663AE">
        <w:rPr>
          <w:rFonts w:hint="eastAsia"/>
        </w:rPr>
        <w:t xml:space="preserve">　　</w:t>
      </w:r>
      <w:r w:rsidRPr="001663AE">
        <w:t>(b)</w:t>
      </w:r>
      <w:r w:rsidRPr="001663AE">
        <w:rPr>
          <w:rFonts w:hint="eastAsia"/>
        </w:rPr>
        <w:t>有關國家的法律和慣例規定的接納他們入境的條件、他們的權利和義務以及使他們遵守該國行政的或其他的正規手續的這類其他事項。</w:t>
      </w:r>
    </w:p>
    <w:p w14:paraId="2BBC39AD" w14:textId="77777777" w:rsidR="00CA23FA" w:rsidRPr="001663AE" w:rsidRDefault="00CA23FA" w:rsidP="00D87D91">
      <w:pPr>
        <w:pStyle w:val="3"/>
      </w:pPr>
      <w:r w:rsidRPr="001663AE">
        <w:rPr>
          <w:rFonts w:hint="eastAsia"/>
        </w:rPr>
        <w:t xml:space="preserve">　　</w:t>
      </w:r>
      <w:r w:rsidRPr="001663AE">
        <w:t>2.</w:t>
      </w:r>
      <w:r w:rsidRPr="001663AE">
        <w:rPr>
          <w:rFonts w:hint="eastAsia"/>
        </w:rPr>
        <w:t>締約國應採取其認為適當的一切措施傳播上述資料或確保雇主、工會或其他有關機關或機構提供上述資料。並應酌情與其他有關國家合作。</w:t>
      </w:r>
    </w:p>
    <w:p w14:paraId="6EFD6116" w14:textId="77777777" w:rsidR="00CA23FA" w:rsidRPr="001663AE" w:rsidRDefault="00CA23FA" w:rsidP="00D87D91">
      <w:pPr>
        <w:pStyle w:val="3"/>
      </w:pPr>
      <w:r w:rsidRPr="001663AE">
        <w:rPr>
          <w:rFonts w:hint="eastAsia"/>
        </w:rPr>
        <w:t xml:space="preserve">　　</w:t>
      </w:r>
      <w:r w:rsidRPr="001663AE">
        <w:t>3.</w:t>
      </w:r>
      <w:r w:rsidRPr="001663AE">
        <w:rPr>
          <w:rFonts w:hint="eastAsia"/>
        </w:rPr>
        <w:t>經請求應向移徙工人及其家庭成員免費並盡可能以他們所能瞭解的語言充分提供此類資料。</w:t>
      </w:r>
    </w:p>
  </w:footnote>
  <w:footnote w:id="586">
    <w:p w14:paraId="09826E86"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39</w:t>
      </w:r>
      <w:r w:rsidRPr="001663AE">
        <w:rPr>
          <w:rFonts w:hint="eastAsia"/>
        </w:rPr>
        <w:t>條</w:t>
      </w:r>
      <w:r w:rsidRPr="001663AE">
        <w:t>(</w:t>
      </w:r>
      <w:r w:rsidRPr="001663AE">
        <w:rPr>
          <w:rFonts w:hint="eastAsia"/>
        </w:rPr>
        <w:t>遷徙、居住自由權利</w:t>
      </w:r>
      <w:r w:rsidRPr="001663AE">
        <w:t>)</w:t>
      </w:r>
    </w:p>
    <w:p w14:paraId="6BD6C2F3"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移徙工人及其家庭成員有權在就業國領土內自由遷移和在當地自由選擇住所。</w:t>
      </w:r>
    </w:p>
    <w:p w14:paraId="2901CDEE" w14:textId="77777777" w:rsidR="00CA23FA" w:rsidRPr="001663AE" w:rsidRDefault="00CA23FA" w:rsidP="00D87D91">
      <w:pPr>
        <w:pStyle w:val="3"/>
      </w:pPr>
      <w:r w:rsidRPr="001663AE">
        <w:rPr>
          <w:rFonts w:hint="eastAsia"/>
        </w:rPr>
        <w:t xml:space="preserve">　　</w:t>
      </w:r>
      <w:r w:rsidRPr="001663AE">
        <w:t>2.</w:t>
      </w:r>
      <w:r w:rsidRPr="001663AE">
        <w:rPr>
          <w:rFonts w:hint="eastAsia"/>
        </w:rPr>
        <w:t>本條第</w:t>
      </w:r>
      <w:r w:rsidRPr="001663AE">
        <w:t>1</w:t>
      </w:r>
      <w:r w:rsidRPr="001663AE">
        <w:rPr>
          <w:rFonts w:hint="eastAsia"/>
        </w:rPr>
        <w:t>款所述權利不應受任何限制，但經法律規定為保護國家安全、公共秩序、公共衛生或道德或他人的權利和自由所必需且不違反本公約所承認的其他各項權利的限制除外。</w:t>
      </w:r>
    </w:p>
  </w:footnote>
  <w:footnote w:id="587">
    <w:p w14:paraId="4545DB6F"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40</w:t>
      </w:r>
      <w:r w:rsidRPr="001663AE">
        <w:rPr>
          <w:rFonts w:hint="eastAsia"/>
        </w:rPr>
        <w:t>條</w:t>
      </w:r>
      <w:r w:rsidRPr="001663AE">
        <w:t>(</w:t>
      </w:r>
      <w:r w:rsidRPr="001663AE">
        <w:rPr>
          <w:rFonts w:hint="eastAsia"/>
        </w:rPr>
        <w:t>結社權</w:t>
      </w:r>
      <w:r>
        <w:t>〜</w:t>
      </w:r>
      <w:r w:rsidRPr="001663AE">
        <w:rPr>
          <w:rFonts w:hint="eastAsia"/>
        </w:rPr>
        <w:t>組成工會權</w:t>
      </w:r>
      <w:r w:rsidRPr="001663AE">
        <w:t>)</w:t>
      </w:r>
    </w:p>
    <w:p w14:paraId="23FFFF1A"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移徙工人及其家庭成員應有權在就業國成立社團和工會，以促進和保護其經濟、社會、文化和其他利益。</w:t>
      </w:r>
    </w:p>
    <w:p w14:paraId="2EEA50C1" w14:textId="77777777" w:rsidR="00CA23FA" w:rsidRPr="001663AE" w:rsidRDefault="00CA23FA" w:rsidP="00D87D91">
      <w:pPr>
        <w:pStyle w:val="3"/>
      </w:pPr>
      <w:r w:rsidRPr="001663AE">
        <w:rPr>
          <w:rFonts w:hint="eastAsia"/>
        </w:rPr>
        <w:t xml:space="preserve">　　</w:t>
      </w:r>
      <w:r w:rsidRPr="001663AE">
        <w:t>2.</w:t>
      </w:r>
      <w:r w:rsidRPr="001663AE">
        <w:rPr>
          <w:rFonts w:hint="eastAsia"/>
        </w:rPr>
        <w:t>除法律所規定且在民主社會為國家安全、公共秩序的利益或為保護他人的權利和自由所必需之外，不得對行使對這一項權利施加任何限制。</w:t>
      </w:r>
    </w:p>
  </w:footnote>
  <w:footnote w:id="588">
    <w:p w14:paraId="6E28BA73"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43</w:t>
      </w:r>
      <w:r w:rsidRPr="001663AE">
        <w:rPr>
          <w:rFonts w:hint="eastAsia"/>
        </w:rPr>
        <w:t>條</w:t>
      </w:r>
      <w:r>
        <w:t>(</w:t>
      </w:r>
      <w:r w:rsidRPr="001663AE">
        <w:rPr>
          <w:rFonts w:hint="eastAsia"/>
        </w:rPr>
        <w:t>社會權之國民同等待遇</w:t>
      </w:r>
      <w:r w:rsidRPr="001663AE">
        <w:t xml:space="preserve">) </w:t>
      </w:r>
    </w:p>
    <w:p w14:paraId="2B85D2C7"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移徙工人在以下方面應享有與就業國國民同等的待遇：</w:t>
      </w:r>
    </w:p>
    <w:p w14:paraId="47F3DFA7" w14:textId="77777777" w:rsidR="00CA23FA" w:rsidRPr="001663AE" w:rsidRDefault="00CA23FA" w:rsidP="00D87D91">
      <w:pPr>
        <w:pStyle w:val="3"/>
      </w:pPr>
      <w:r w:rsidRPr="001663AE">
        <w:rPr>
          <w:rFonts w:hint="eastAsia"/>
        </w:rPr>
        <w:t xml:space="preserve">　　</w:t>
      </w:r>
      <w:r w:rsidRPr="001663AE">
        <w:t>(a)</w:t>
      </w:r>
      <w:r w:rsidRPr="001663AE">
        <w:rPr>
          <w:rFonts w:hint="eastAsia"/>
        </w:rPr>
        <w:t>在符合有關機構和服務的入學規定和其他規章的情況下，享用教育機構和服務；</w:t>
      </w:r>
    </w:p>
    <w:p w14:paraId="71D7EED2" w14:textId="77777777" w:rsidR="00CA23FA" w:rsidRPr="001663AE" w:rsidRDefault="00CA23FA" w:rsidP="00D87D91">
      <w:pPr>
        <w:pStyle w:val="3"/>
      </w:pPr>
      <w:r w:rsidRPr="001663AE">
        <w:rPr>
          <w:rFonts w:hint="eastAsia"/>
        </w:rPr>
        <w:t xml:space="preserve">　　</w:t>
      </w:r>
      <w:r w:rsidRPr="001663AE">
        <w:t>(b)</w:t>
      </w:r>
      <w:r w:rsidRPr="001663AE">
        <w:rPr>
          <w:rFonts w:hint="eastAsia"/>
        </w:rPr>
        <w:t>享受職業指導和就業服務；</w:t>
      </w:r>
    </w:p>
    <w:p w14:paraId="03F1D060" w14:textId="77777777" w:rsidR="00CA23FA" w:rsidRPr="001663AE" w:rsidRDefault="00CA23FA" w:rsidP="00D87D91">
      <w:pPr>
        <w:pStyle w:val="3"/>
      </w:pPr>
      <w:r w:rsidRPr="001663AE">
        <w:rPr>
          <w:rFonts w:hint="eastAsia"/>
        </w:rPr>
        <w:t xml:space="preserve">　　</w:t>
      </w:r>
      <w:r w:rsidRPr="001663AE">
        <w:t>(c)</w:t>
      </w:r>
      <w:r w:rsidRPr="001663AE">
        <w:rPr>
          <w:rFonts w:hint="eastAsia"/>
        </w:rPr>
        <w:t>享受職業訓練和再訓練設施和機構；</w:t>
      </w:r>
    </w:p>
    <w:p w14:paraId="6ED39D82" w14:textId="77777777" w:rsidR="00CA23FA" w:rsidRPr="001663AE" w:rsidRDefault="00CA23FA" w:rsidP="00D87D91">
      <w:pPr>
        <w:pStyle w:val="3"/>
      </w:pPr>
      <w:r w:rsidRPr="001663AE">
        <w:rPr>
          <w:rFonts w:hint="eastAsia"/>
        </w:rPr>
        <w:t xml:space="preserve">　　</w:t>
      </w:r>
      <w:r w:rsidRPr="001663AE">
        <w:t>(d)</w:t>
      </w:r>
      <w:r w:rsidRPr="001663AE">
        <w:rPr>
          <w:rFonts w:hint="eastAsia"/>
        </w:rPr>
        <w:t>享受住房、包括公共住宅計畫，以及在租金方面不受剝削的保障；</w:t>
      </w:r>
    </w:p>
    <w:p w14:paraId="474E6BA1" w14:textId="77777777" w:rsidR="00CA23FA" w:rsidRPr="001663AE" w:rsidRDefault="00CA23FA" w:rsidP="00D87D91">
      <w:pPr>
        <w:pStyle w:val="3"/>
      </w:pPr>
      <w:r w:rsidRPr="001663AE">
        <w:rPr>
          <w:rFonts w:hint="eastAsia"/>
        </w:rPr>
        <w:t xml:space="preserve">　　</w:t>
      </w:r>
      <w:r w:rsidRPr="001663AE">
        <w:t>(e)</w:t>
      </w:r>
      <w:r w:rsidRPr="001663AE">
        <w:rPr>
          <w:rFonts w:hint="eastAsia"/>
        </w:rPr>
        <w:t>享受社會服務和保健服務，但需符合參加各該種計畫的規定；</w:t>
      </w:r>
    </w:p>
    <w:p w14:paraId="2683CC71" w14:textId="77777777" w:rsidR="00CA23FA" w:rsidRPr="001663AE" w:rsidRDefault="00CA23FA" w:rsidP="00D87D91">
      <w:pPr>
        <w:pStyle w:val="3"/>
      </w:pPr>
      <w:r w:rsidRPr="001663AE">
        <w:rPr>
          <w:rFonts w:hint="eastAsia"/>
        </w:rPr>
        <w:t xml:space="preserve">　　</w:t>
      </w:r>
      <w:r w:rsidRPr="001663AE">
        <w:t>(f)</w:t>
      </w:r>
      <w:r w:rsidRPr="001663AE">
        <w:rPr>
          <w:rFonts w:hint="eastAsia"/>
        </w:rPr>
        <w:t>參加合作社和自行管理的企業，但這不應意味他們移徙工人地位的改變，並應符合有關機構的條例和規章；</w:t>
      </w:r>
    </w:p>
    <w:p w14:paraId="2946D36F" w14:textId="77777777" w:rsidR="00CA23FA" w:rsidRPr="001663AE" w:rsidRDefault="00CA23FA" w:rsidP="00D87D91">
      <w:pPr>
        <w:pStyle w:val="3"/>
      </w:pPr>
      <w:r w:rsidRPr="001663AE">
        <w:rPr>
          <w:rFonts w:hint="eastAsia"/>
        </w:rPr>
        <w:t xml:space="preserve">　　</w:t>
      </w:r>
      <w:r w:rsidRPr="001663AE">
        <w:t>(g)</w:t>
      </w:r>
      <w:r w:rsidRPr="001663AE">
        <w:rPr>
          <w:rFonts w:hint="eastAsia"/>
        </w:rPr>
        <w:t>享受和參加文化生活。</w:t>
      </w:r>
    </w:p>
    <w:p w14:paraId="1D2A0EA3" w14:textId="77777777" w:rsidR="00CA23FA" w:rsidRPr="001663AE" w:rsidRDefault="00CA23FA" w:rsidP="00D87D91">
      <w:pPr>
        <w:pStyle w:val="3"/>
      </w:pPr>
      <w:r w:rsidRPr="001663AE">
        <w:rPr>
          <w:rFonts w:hint="eastAsia"/>
        </w:rPr>
        <w:t xml:space="preserve">　　</w:t>
      </w:r>
      <w:r w:rsidRPr="001663AE">
        <w:t>2.</w:t>
      </w:r>
      <w:r w:rsidRPr="001663AE">
        <w:rPr>
          <w:rFonts w:hint="eastAsia"/>
        </w:rPr>
        <w:t>締約國應促進確保待遇實際平等的條件，使移徙工人在就業國批准的逗留條件符合適當的規定時，能夠享有本條第</w:t>
      </w:r>
      <w:r w:rsidRPr="001663AE">
        <w:t>1</w:t>
      </w:r>
      <w:r w:rsidRPr="001663AE">
        <w:rPr>
          <w:rFonts w:hint="eastAsia"/>
        </w:rPr>
        <w:t>款所述的權利。</w:t>
      </w:r>
    </w:p>
    <w:p w14:paraId="7180375D" w14:textId="77777777" w:rsidR="00CA23FA" w:rsidRPr="001663AE" w:rsidRDefault="00CA23FA" w:rsidP="00D87D91">
      <w:pPr>
        <w:pStyle w:val="3"/>
      </w:pPr>
      <w:r w:rsidRPr="001663AE">
        <w:rPr>
          <w:rFonts w:hint="eastAsia"/>
        </w:rPr>
        <w:t xml:space="preserve">　　</w:t>
      </w:r>
      <w:r w:rsidRPr="001663AE">
        <w:t>3.</w:t>
      </w:r>
      <w:r w:rsidRPr="001663AE">
        <w:rPr>
          <w:rFonts w:hint="eastAsia"/>
        </w:rPr>
        <w:t>就業國不應阻止移徙工人的雇主為其提供住房或社會或文化服務設備。依照本公約第</w:t>
      </w:r>
      <w:r w:rsidRPr="001663AE">
        <w:t>70</w:t>
      </w:r>
      <w:r w:rsidRPr="001663AE">
        <w:rPr>
          <w:rFonts w:hint="eastAsia"/>
        </w:rPr>
        <w:t>條的規定，就業國可要求所提供的這類設備符合該國一般適用的關於設置此類設備的規定。</w:t>
      </w:r>
    </w:p>
  </w:footnote>
  <w:footnote w:id="589">
    <w:p w14:paraId="5ED8D4CF"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44</w:t>
      </w:r>
      <w:r w:rsidRPr="001663AE">
        <w:rPr>
          <w:rFonts w:hint="eastAsia"/>
        </w:rPr>
        <w:t>條</w:t>
      </w:r>
      <w:r w:rsidRPr="001663AE">
        <w:t>(</w:t>
      </w:r>
      <w:r w:rsidRPr="001663AE">
        <w:rPr>
          <w:rFonts w:hint="eastAsia"/>
        </w:rPr>
        <w:t>家庭權之適當保護</w:t>
      </w:r>
      <w:r w:rsidRPr="001663AE">
        <w:t>)</w:t>
      </w:r>
    </w:p>
    <w:p w14:paraId="3F68E3F0" w14:textId="77777777" w:rsidR="00CA23FA" w:rsidRPr="001663AE" w:rsidRDefault="00CA23FA" w:rsidP="00D87D91">
      <w:pPr>
        <w:pStyle w:val="3"/>
      </w:pPr>
      <w:r w:rsidRPr="001663AE">
        <w:rPr>
          <w:rFonts w:hint="eastAsia"/>
        </w:rPr>
        <w:t xml:space="preserve">　　</w:t>
      </w:r>
      <w:r w:rsidRPr="001663AE">
        <w:t>1.</w:t>
      </w:r>
      <w:r w:rsidRPr="001663AE">
        <w:rPr>
          <w:rFonts w:hint="eastAsia"/>
        </w:rPr>
        <w:t>締約國確認家庭是社會的自然基本單元並有權受到社會和國家的保護，應採取適當措施，確使保護移徙工人的家庭完整。</w:t>
      </w:r>
    </w:p>
    <w:p w14:paraId="35FD46C1" w14:textId="77777777" w:rsidR="00CA23FA" w:rsidRPr="001663AE" w:rsidRDefault="00CA23FA" w:rsidP="00D87D91">
      <w:pPr>
        <w:pStyle w:val="3"/>
      </w:pPr>
      <w:r w:rsidRPr="001663AE">
        <w:rPr>
          <w:rFonts w:hint="eastAsia"/>
        </w:rPr>
        <w:t xml:space="preserve">　　</w:t>
      </w:r>
      <w:r w:rsidRPr="001663AE">
        <w:t>2.</w:t>
      </w:r>
      <w:r w:rsidRPr="001663AE">
        <w:rPr>
          <w:rFonts w:hint="eastAsia"/>
        </w:rPr>
        <w:t>締約國應採取其認為妥當並符合其許可權範圍的措施，便利移徙工人同他們的配偶或依照適用法律與移徙工人的關係具有相當於婚姻效力的個人以及同受他們撫養的未成年未婚子女團聚。</w:t>
      </w:r>
    </w:p>
    <w:p w14:paraId="5090286A" w14:textId="77777777" w:rsidR="00CA23FA" w:rsidRPr="001663AE" w:rsidRDefault="00CA23FA" w:rsidP="00D87D91">
      <w:pPr>
        <w:pStyle w:val="3"/>
      </w:pPr>
      <w:r w:rsidRPr="001663AE">
        <w:rPr>
          <w:rFonts w:hint="eastAsia"/>
        </w:rPr>
        <w:t xml:space="preserve">　　</w:t>
      </w:r>
      <w:r w:rsidRPr="001663AE">
        <w:t>3.</w:t>
      </w:r>
      <w:r w:rsidRPr="001663AE">
        <w:rPr>
          <w:rFonts w:hint="eastAsia"/>
        </w:rPr>
        <w:t>就業國應根據人道的理由，有利地考慮按照本條第</w:t>
      </w:r>
      <w:r w:rsidRPr="001663AE">
        <w:t>2</w:t>
      </w:r>
      <w:r w:rsidRPr="001663AE">
        <w:rPr>
          <w:rFonts w:hint="eastAsia"/>
        </w:rPr>
        <w:t>款規定給予移徙工人其他家庭成員同等的待遇。</w:t>
      </w:r>
    </w:p>
  </w:footnote>
  <w:footnote w:id="590">
    <w:p w14:paraId="456B3D3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45</w:t>
      </w:r>
      <w:r w:rsidRPr="001663AE">
        <w:rPr>
          <w:rFonts w:hint="eastAsia"/>
        </w:rPr>
        <w:t>條</w:t>
      </w:r>
      <w:r w:rsidRPr="001663AE">
        <w:t>(</w:t>
      </w:r>
      <w:r w:rsidRPr="001663AE">
        <w:rPr>
          <w:rFonts w:hint="eastAsia"/>
        </w:rPr>
        <w:t>移徙工人家庭成員的經濟社會權</w:t>
      </w:r>
      <w:r w:rsidRPr="001663AE">
        <w:t>)</w:t>
      </w:r>
    </w:p>
    <w:p w14:paraId="3E18C84A"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移徙工人的家庭成員在就業國內在以下方面應享有與該國國民同等的待遇：</w:t>
      </w:r>
    </w:p>
    <w:p w14:paraId="57C8A023" w14:textId="77777777" w:rsidR="00CA23FA" w:rsidRPr="001663AE" w:rsidRDefault="00CA23FA" w:rsidP="00D87D91">
      <w:pPr>
        <w:pStyle w:val="3"/>
      </w:pPr>
      <w:r w:rsidRPr="001663AE">
        <w:rPr>
          <w:rFonts w:hint="eastAsia"/>
        </w:rPr>
        <w:t xml:space="preserve">　　</w:t>
      </w:r>
      <w:r w:rsidRPr="001663AE">
        <w:t>(a)</w:t>
      </w:r>
      <w:r w:rsidRPr="001663AE">
        <w:rPr>
          <w:rFonts w:hint="eastAsia"/>
        </w:rPr>
        <w:t>在符合有關機構和服務的入學規定和其他規章的情況下，享用教育設施和服務；</w:t>
      </w:r>
    </w:p>
    <w:p w14:paraId="46B45613" w14:textId="77777777" w:rsidR="00CA23FA" w:rsidRPr="001663AE" w:rsidRDefault="00CA23FA" w:rsidP="00D87D91">
      <w:pPr>
        <w:pStyle w:val="3"/>
      </w:pPr>
      <w:r w:rsidRPr="001663AE">
        <w:rPr>
          <w:rFonts w:hint="eastAsia"/>
        </w:rPr>
        <w:t xml:space="preserve">　　</w:t>
      </w:r>
      <w:r w:rsidRPr="001663AE">
        <w:t>(b)</w:t>
      </w:r>
      <w:r w:rsidRPr="001663AE">
        <w:rPr>
          <w:rFonts w:hint="eastAsia"/>
        </w:rPr>
        <w:t>享受職業指導和訓練機構和服務，但需符合參加的規定；</w:t>
      </w:r>
    </w:p>
    <w:p w14:paraId="0F56FE4F" w14:textId="77777777" w:rsidR="00CA23FA" w:rsidRPr="001663AE" w:rsidRDefault="00CA23FA" w:rsidP="00D87D91">
      <w:pPr>
        <w:pStyle w:val="3"/>
      </w:pPr>
      <w:r w:rsidRPr="001663AE">
        <w:rPr>
          <w:rFonts w:hint="eastAsia"/>
        </w:rPr>
        <w:t xml:space="preserve">　　</w:t>
      </w:r>
      <w:r w:rsidRPr="001663AE">
        <w:t>(c)</w:t>
      </w:r>
      <w:r w:rsidRPr="001663AE">
        <w:rPr>
          <w:rFonts w:hint="eastAsia"/>
        </w:rPr>
        <w:t>享受社會服務和保健服務，但需符合參加各該種計畫的規定；</w:t>
      </w:r>
    </w:p>
    <w:p w14:paraId="1766C34A" w14:textId="77777777" w:rsidR="00CA23FA" w:rsidRPr="001663AE" w:rsidRDefault="00CA23FA" w:rsidP="00D87D91">
      <w:pPr>
        <w:pStyle w:val="3"/>
      </w:pPr>
      <w:r w:rsidRPr="001663AE">
        <w:rPr>
          <w:rFonts w:hint="eastAsia"/>
        </w:rPr>
        <w:t xml:space="preserve">　　</w:t>
      </w:r>
      <w:r w:rsidRPr="001663AE">
        <w:t>(d)</w:t>
      </w:r>
      <w:r w:rsidRPr="001663AE">
        <w:rPr>
          <w:rFonts w:hint="eastAsia"/>
        </w:rPr>
        <w:t>享受和參加文化生活。</w:t>
      </w:r>
    </w:p>
    <w:p w14:paraId="5C5EB643" w14:textId="77777777" w:rsidR="00CA23FA" w:rsidRPr="001663AE" w:rsidRDefault="00CA23FA" w:rsidP="00D87D91">
      <w:pPr>
        <w:pStyle w:val="3"/>
      </w:pPr>
      <w:r w:rsidRPr="001663AE">
        <w:rPr>
          <w:rFonts w:hint="eastAsia"/>
        </w:rPr>
        <w:t xml:space="preserve">　　</w:t>
      </w:r>
      <w:r w:rsidRPr="001663AE">
        <w:t>2.</w:t>
      </w:r>
      <w:r w:rsidRPr="001663AE">
        <w:rPr>
          <w:rFonts w:hint="eastAsia"/>
        </w:rPr>
        <w:t>就業國應斟酌情況同原籍國協作，實施一項旨在促進移徙工人的子女進入當地學校系統就讀的政策，特別是在有關教學當地語文方面。</w:t>
      </w:r>
    </w:p>
    <w:p w14:paraId="38831403" w14:textId="77777777" w:rsidR="00CA23FA" w:rsidRPr="001663AE" w:rsidRDefault="00CA23FA" w:rsidP="00D87D91">
      <w:pPr>
        <w:pStyle w:val="3"/>
      </w:pPr>
      <w:r w:rsidRPr="001663AE">
        <w:rPr>
          <w:rFonts w:hint="eastAsia"/>
        </w:rPr>
        <w:t xml:space="preserve">　　</w:t>
      </w:r>
      <w:r w:rsidRPr="001663AE">
        <w:t>3.</w:t>
      </w:r>
      <w:r w:rsidRPr="001663AE">
        <w:rPr>
          <w:rFonts w:hint="eastAsia"/>
        </w:rPr>
        <w:t>就業國應努力促進移徙工人子女的母語和文化學習，原籍國在這方面應斟酌情況給予協作。</w:t>
      </w:r>
    </w:p>
    <w:p w14:paraId="17A3919B" w14:textId="77777777" w:rsidR="00CA23FA" w:rsidRPr="001663AE" w:rsidRDefault="00CA23FA" w:rsidP="00D87D91">
      <w:pPr>
        <w:pStyle w:val="3"/>
      </w:pPr>
      <w:r w:rsidRPr="001663AE">
        <w:rPr>
          <w:rFonts w:hint="eastAsia"/>
        </w:rPr>
        <w:t xml:space="preserve">　　</w:t>
      </w:r>
      <w:r w:rsidRPr="001663AE">
        <w:t>4.</w:t>
      </w:r>
      <w:r w:rsidRPr="001663AE">
        <w:rPr>
          <w:rFonts w:hint="eastAsia"/>
        </w:rPr>
        <w:t>就業國可以移徙工人子女的母語提供特別教學方案，必要時可同原籍國協作。</w:t>
      </w:r>
    </w:p>
  </w:footnote>
  <w:footnote w:id="591">
    <w:p w14:paraId="7915AAF7"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49</w:t>
      </w:r>
      <w:r w:rsidRPr="001663AE">
        <w:rPr>
          <w:rFonts w:hint="eastAsia"/>
        </w:rPr>
        <w:t>條</w:t>
      </w:r>
      <w:r w:rsidRPr="001663AE">
        <w:t>(</w:t>
      </w:r>
      <w:r w:rsidRPr="001663AE">
        <w:rPr>
          <w:rFonts w:hint="eastAsia"/>
        </w:rPr>
        <w:t>居留許可權</w:t>
      </w:r>
      <w:r w:rsidRPr="001663AE">
        <w:t>)</w:t>
      </w:r>
    </w:p>
    <w:p w14:paraId="4F4CC6C2" w14:textId="77777777" w:rsidR="00CA23FA" w:rsidRPr="001663AE" w:rsidRDefault="00CA23FA" w:rsidP="00D87D91">
      <w:pPr>
        <w:pStyle w:val="3"/>
      </w:pPr>
      <w:r w:rsidRPr="001663AE">
        <w:rPr>
          <w:rFonts w:hint="eastAsia"/>
        </w:rPr>
        <w:t xml:space="preserve">　　</w:t>
      </w:r>
      <w:r w:rsidRPr="001663AE">
        <w:t>1.</w:t>
      </w:r>
      <w:r w:rsidRPr="001663AE">
        <w:rPr>
          <w:rFonts w:hint="eastAsia"/>
        </w:rPr>
        <w:t>在國家法律規定居留和就業須要分別獲得許可時，就業國應至少在准許移徙工人從事有報酬活動的同一期間，給予他們居留許可。</w:t>
      </w:r>
    </w:p>
    <w:p w14:paraId="4F71D239" w14:textId="77777777" w:rsidR="00CA23FA" w:rsidRPr="001663AE" w:rsidRDefault="00CA23FA" w:rsidP="00D87D91">
      <w:pPr>
        <w:pStyle w:val="3"/>
      </w:pPr>
      <w:r w:rsidRPr="001663AE">
        <w:rPr>
          <w:rFonts w:hint="eastAsia"/>
        </w:rPr>
        <w:t xml:space="preserve">　　</w:t>
      </w:r>
      <w:r w:rsidRPr="001663AE">
        <w:t>2.</w:t>
      </w:r>
      <w:r w:rsidRPr="001663AE">
        <w:rPr>
          <w:rFonts w:hint="eastAsia"/>
        </w:rPr>
        <w:t>在就業國內被允許自由選擇其有報酬活動的移徙工人，不應僅由於在其工作許可或類似許可到期之前終止其有報酬活動，而被視為身份不正常或喪失其居留許可。</w:t>
      </w:r>
    </w:p>
    <w:p w14:paraId="5C9AB510" w14:textId="77777777" w:rsidR="00CA23FA" w:rsidRPr="001663AE" w:rsidRDefault="00CA23FA" w:rsidP="00D87D91">
      <w:pPr>
        <w:pStyle w:val="3"/>
      </w:pPr>
      <w:r w:rsidRPr="001663AE">
        <w:rPr>
          <w:rFonts w:hint="eastAsia"/>
        </w:rPr>
        <w:t xml:space="preserve">　　</w:t>
      </w:r>
      <w:r w:rsidRPr="001663AE">
        <w:t>3.</w:t>
      </w:r>
      <w:r w:rsidRPr="001663AE">
        <w:rPr>
          <w:rFonts w:hint="eastAsia"/>
        </w:rPr>
        <w:t>為允許本條第</w:t>
      </w:r>
      <w:r w:rsidRPr="001663AE">
        <w:t>2</w:t>
      </w:r>
      <w:r w:rsidRPr="001663AE">
        <w:rPr>
          <w:rFonts w:hint="eastAsia"/>
        </w:rPr>
        <w:t>款所指移徙工人有足夠時間尋找其他有報酬活動，至少在相當於可享有失業津貼的期間，不應撤銷其居留許可。</w:t>
      </w:r>
    </w:p>
  </w:footnote>
  <w:footnote w:id="592">
    <w:p w14:paraId="36211748"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52</w:t>
      </w:r>
      <w:r w:rsidRPr="001663AE">
        <w:rPr>
          <w:rFonts w:hint="eastAsia"/>
        </w:rPr>
        <w:t>條</w:t>
      </w:r>
      <w:r w:rsidRPr="001663AE">
        <w:t>(</w:t>
      </w:r>
      <w:r w:rsidRPr="001663AE">
        <w:rPr>
          <w:rFonts w:hint="eastAsia"/>
        </w:rPr>
        <w:t>工作權</w:t>
      </w:r>
      <w:r w:rsidRPr="001663AE">
        <w:t>)</w:t>
      </w:r>
    </w:p>
    <w:p w14:paraId="2E86F149" w14:textId="77777777" w:rsidR="00CA23FA" w:rsidRPr="001663AE" w:rsidRDefault="00CA23FA" w:rsidP="00D87D91">
      <w:pPr>
        <w:pStyle w:val="3"/>
      </w:pPr>
      <w:r w:rsidRPr="001663AE">
        <w:rPr>
          <w:rFonts w:hint="eastAsia"/>
        </w:rPr>
        <w:t xml:space="preserve">　　</w:t>
      </w:r>
      <w:r w:rsidRPr="001663AE">
        <w:t>1.</w:t>
      </w:r>
      <w:r w:rsidRPr="001663AE">
        <w:rPr>
          <w:rFonts w:hint="eastAsia"/>
        </w:rPr>
        <w:t>移徙工人在就業國內應有權自由選擇其有報酬活動，但須符合下列限制或條件。</w:t>
      </w:r>
    </w:p>
    <w:p w14:paraId="09E345FB" w14:textId="77777777" w:rsidR="00CA23FA" w:rsidRPr="001663AE" w:rsidRDefault="00CA23FA" w:rsidP="00D87D91">
      <w:pPr>
        <w:pStyle w:val="3"/>
      </w:pPr>
      <w:r w:rsidRPr="001663AE">
        <w:rPr>
          <w:rFonts w:hint="eastAsia"/>
        </w:rPr>
        <w:t xml:space="preserve">　　</w:t>
      </w:r>
      <w:r w:rsidRPr="001663AE">
        <w:t>2.</w:t>
      </w:r>
      <w:r w:rsidRPr="001663AE">
        <w:rPr>
          <w:rFonts w:hint="eastAsia"/>
        </w:rPr>
        <w:t>就業國得對任何移徙工人：</w:t>
      </w:r>
    </w:p>
    <w:p w14:paraId="6F005418" w14:textId="77777777" w:rsidR="00CA23FA" w:rsidRPr="001663AE" w:rsidRDefault="00CA23FA" w:rsidP="00D87D91">
      <w:pPr>
        <w:pStyle w:val="3"/>
      </w:pPr>
      <w:r w:rsidRPr="001663AE">
        <w:rPr>
          <w:rFonts w:hint="eastAsia"/>
        </w:rPr>
        <w:t xml:space="preserve">　　</w:t>
      </w:r>
      <w:r w:rsidRPr="001663AE">
        <w:t>(a)</w:t>
      </w:r>
      <w:r w:rsidRPr="001663AE">
        <w:rPr>
          <w:rFonts w:hint="eastAsia"/>
        </w:rPr>
        <w:t>根據本國利益的需要和國家立法的規定，限制從事某些種類的工作、職務、服務或活動；</w:t>
      </w:r>
    </w:p>
    <w:p w14:paraId="7AA71979" w14:textId="77777777" w:rsidR="00CA23FA" w:rsidRPr="001663AE" w:rsidRDefault="00CA23FA" w:rsidP="00D87D91">
      <w:pPr>
        <w:pStyle w:val="3"/>
      </w:pPr>
      <w:r w:rsidRPr="001663AE">
        <w:rPr>
          <w:rFonts w:hint="eastAsia"/>
        </w:rPr>
        <w:t xml:space="preserve">　　</w:t>
      </w:r>
      <w:r w:rsidRPr="001663AE">
        <w:t>(b)</w:t>
      </w:r>
      <w:r w:rsidRPr="001663AE">
        <w:rPr>
          <w:rFonts w:hint="eastAsia"/>
        </w:rPr>
        <w:t>根據其關於對境外取得的職業資格給予承認的立法規定，限制自由選擇有報酬活動。但有關締約國應盡力對這類資格給予承認。</w:t>
      </w:r>
    </w:p>
    <w:p w14:paraId="7789216D" w14:textId="77777777" w:rsidR="00CA23FA" w:rsidRPr="001663AE" w:rsidRDefault="00CA23FA" w:rsidP="00D87D91">
      <w:pPr>
        <w:pStyle w:val="3"/>
      </w:pPr>
      <w:r w:rsidRPr="001663AE">
        <w:rPr>
          <w:rFonts w:hint="eastAsia"/>
        </w:rPr>
        <w:t xml:space="preserve">　　</w:t>
      </w:r>
      <w:r w:rsidRPr="001663AE">
        <w:t>3.</w:t>
      </w:r>
      <w:r w:rsidRPr="001663AE">
        <w:rPr>
          <w:rFonts w:hint="eastAsia"/>
        </w:rPr>
        <w:t>對獲准工作的時間有限制的移徙工人，就業國並得：</w:t>
      </w:r>
    </w:p>
    <w:p w14:paraId="62D45725" w14:textId="77777777" w:rsidR="00CA23FA" w:rsidRPr="001663AE" w:rsidRDefault="00CA23FA" w:rsidP="00D87D91">
      <w:pPr>
        <w:pStyle w:val="3"/>
      </w:pPr>
      <w:r w:rsidRPr="001663AE">
        <w:rPr>
          <w:rFonts w:hint="eastAsia"/>
        </w:rPr>
        <w:t xml:space="preserve">　　</w:t>
      </w:r>
      <w:r w:rsidRPr="001663AE">
        <w:t>(a)</w:t>
      </w:r>
      <w:r w:rsidRPr="001663AE">
        <w:rPr>
          <w:rFonts w:hint="eastAsia"/>
        </w:rPr>
        <w:t>對自由選擇其有報酬活動的權利附加以下條件，即移徙工人已合法在其境內居留以從事國家立法規定一段期間不超過兩年的有報酬活動；</w:t>
      </w:r>
    </w:p>
    <w:p w14:paraId="07200CB9" w14:textId="77777777" w:rsidR="00CA23FA" w:rsidRPr="001663AE" w:rsidRDefault="00CA23FA" w:rsidP="00D87D91">
      <w:pPr>
        <w:pStyle w:val="3"/>
      </w:pPr>
      <w:r w:rsidRPr="001663AE">
        <w:rPr>
          <w:rFonts w:hint="eastAsia"/>
        </w:rPr>
        <w:t xml:space="preserve">　　</w:t>
      </w:r>
      <w:r w:rsidRPr="001663AE">
        <w:t>(b)</w:t>
      </w:r>
      <w:r w:rsidRPr="001663AE">
        <w:rPr>
          <w:rFonts w:hint="eastAsia"/>
        </w:rPr>
        <w:t>為推行給予本國國民或給予依據立法或雙邊或多邊協定為此目的同化為國民的人優先的政策，限制移徙工人從事有報酬的活動。任何此類限制對已合法在其境內居留以從事國家立法規定一段期間不超過五年的有報酬活動的移徙工人應停止適用。</w:t>
      </w:r>
    </w:p>
    <w:p w14:paraId="7394C65B" w14:textId="77777777" w:rsidR="00CA23FA" w:rsidRPr="001663AE" w:rsidRDefault="00CA23FA" w:rsidP="00D87D91">
      <w:pPr>
        <w:pStyle w:val="3"/>
      </w:pPr>
      <w:r w:rsidRPr="001663AE">
        <w:rPr>
          <w:rFonts w:hint="eastAsia"/>
        </w:rPr>
        <w:t xml:space="preserve">　　</w:t>
      </w:r>
      <w:r w:rsidRPr="001663AE">
        <w:t>4.</w:t>
      </w:r>
      <w:r w:rsidRPr="001663AE">
        <w:rPr>
          <w:rFonts w:hint="eastAsia"/>
        </w:rPr>
        <w:t>就業國應規定已獲接納入境工作的移徙工人可獲准自行從事工作的條件。應考慮到該移徙工人已在就業國合法停留的期間。</w:t>
      </w:r>
      <w:r w:rsidRPr="001663AE">
        <w:t xml:space="preserve"> </w:t>
      </w:r>
    </w:p>
  </w:footnote>
  <w:footnote w:id="593">
    <w:p w14:paraId="2D8A9742"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55</w:t>
      </w:r>
      <w:r w:rsidRPr="001663AE">
        <w:rPr>
          <w:rFonts w:hint="eastAsia"/>
        </w:rPr>
        <w:t>條</w:t>
      </w:r>
      <w:r w:rsidRPr="001663AE">
        <w:t>(</w:t>
      </w:r>
      <w:r w:rsidRPr="001663AE">
        <w:rPr>
          <w:rFonts w:hint="eastAsia"/>
        </w:rPr>
        <w:t>享有同等待遇權</w:t>
      </w:r>
      <w:r w:rsidRPr="001663AE">
        <w:t>)</w:t>
      </w:r>
    </w:p>
    <w:p w14:paraId="38D97EBE" w14:textId="77777777" w:rsidR="00CA23FA" w:rsidRPr="001663AE" w:rsidRDefault="00CA23FA" w:rsidP="00D87D91">
      <w:pPr>
        <w:pStyle w:val="3"/>
      </w:pPr>
      <w:r w:rsidRPr="001663AE">
        <w:rPr>
          <w:rFonts w:hint="eastAsia"/>
        </w:rPr>
        <w:t xml:space="preserve">　　獲准從事一項有報酬活動的移徙工人，在符合該種許可所附的條件的情況下，享有與從事該項有報酬活動的就業國國民同等的待遇。</w:t>
      </w:r>
    </w:p>
  </w:footnote>
  <w:footnote w:id="594">
    <w:p w14:paraId="0AE0089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64</w:t>
      </w:r>
      <w:r w:rsidRPr="001663AE">
        <w:rPr>
          <w:rFonts w:hint="eastAsia"/>
        </w:rPr>
        <w:t>條</w:t>
      </w:r>
      <w:r w:rsidRPr="001663AE">
        <w:t>(</w:t>
      </w:r>
      <w:r w:rsidRPr="001663AE">
        <w:rPr>
          <w:rFonts w:hint="eastAsia"/>
        </w:rPr>
        <w:t>外籍勞工及家庭成員遷徙自由權</w:t>
      </w:r>
      <w:r w:rsidRPr="001663AE">
        <w:t>)</w:t>
      </w:r>
    </w:p>
    <w:p w14:paraId="4FB6E405" w14:textId="77777777" w:rsidR="00CA23FA" w:rsidRPr="001663AE" w:rsidRDefault="00CA23FA" w:rsidP="00D87D91">
      <w:pPr>
        <w:pStyle w:val="3"/>
      </w:pPr>
      <w:r w:rsidRPr="001663AE">
        <w:rPr>
          <w:rFonts w:hint="eastAsia"/>
        </w:rPr>
        <w:t xml:space="preserve">　　</w:t>
      </w:r>
      <w:r w:rsidRPr="001663AE">
        <w:t>1.</w:t>
      </w:r>
      <w:r w:rsidRPr="001663AE">
        <w:rPr>
          <w:rFonts w:hint="eastAsia"/>
        </w:rPr>
        <w:t>在不損及本公約第</w:t>
      </w:r>
      <w:r w:rsidRPr="001663AE">
        <w:t>79</w:t>
      </w:r>
      <w:r w:rsidRPr="001663AE">
        <w:rPr>
          <w:rFonts w:hint="eastAsia"/>
        </w:rPr>
        <w:t>條的情況下，有關締約國應酌情進行協商與合作，以期增進工人及其家庭成員國際移徙的合理、公平和人道條件。</w:t>
      </w:r>
    </w:p>
    <w:p w14:paraId="3656791F" w14:textId="77777777" w:rsidR="00CA23FA" w:rsidRPr="001663AE" w:rsidRDefault="00CA23FA" w:rsidP="00D87D91">
      <w:pPr>
        <w:pStyle w:val="3"/>
      </w:pPr>
      <w:r w:rsidRPr="001663AE">
        <w:rPr>
          <w:rFonts w:hint="eastAsia"/>
        </w:rPr>
        <w:t xml:space="preserve">　　</w:t>
      </w:r>
      <w:r w:rsidRPr="001663AE">
        <w:t>2.</w:t>
      </w:r>
      <w:r w:rsidRPr="001663AE">
        <w:rPr>
          <w:rFonts w:hint="eastAsia"/>
        </w:rPr>
        <w:t>在這方面，不僅應適當顧及勞力需求和資源，還應顧到所涉移徙工人及其家庭成員的社會、經濟、文化及其他需要以及這種移徙對有關社會造成的後果。</w:t>
      </w:r>
    </w:p>
  </w:footnote>
  <w:footnote w:id="595">
    <w:p w14:paraId="2E7163E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蔡庭榕、刁仁國、簡建章、許義寶、蘇麗嬌、柯雨瑞，外國人入出境管理法制之研究，行政院國家科學委員會補助專題研究計畫成果報告，民國八十九年十月十日，頁</w:t>
      </w:r>
      <w:r w:rsidRPr="001663AE">
        <w:t>3</w:t>
      </w:r>
      <w:r w:rsidRPr="001663AE">
        <w:rPr>
          <w:rFonts w:hint="eastAsia"/>
        </w:rPr>
        <w:t>。</w:t>
      </w:r>
    </w:p>
  </w:footnote>
  <w:footnote w:id="596">
    <w:p w14:paraId="4F12F70D"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丘宏達，現代國際法基本文件，三民書局，民國</w:t>
      </w:r>
      <w:r w:rsidRPr="001663AE">
        <w:t>86</w:t>
      </w:r>
      <w:r w:rsidRPr="001663AE">
        <w:rPr>
          <w:rFonts w:hint="eastAsia"/>
        </w:rPr>
        <w:t>年，頁</w:t>
      </w:r>
      <w:r w:rsidRPr="001663AE">
        <w:t>371</w:t>
      </w:r>
      <w:r w:rsidRPr="001663AE">
        <w:rPr>
          <w:rFonts w:hint="eastAsia"/>
        </w:rPr>
        <w:t>。</w:t>
      </w:r>
    </w:p>
  </w:footnote>
  <w:footnote w:id="597">
    <w:p w14:paraId="259C8EE8" w14:textId="77777777" w:rsidR="00CA23FA" w:rsidRPr="001663AE" w:rsidRDefault="00CA23FA" w:rsidP="00D87D91">
      <w:pPr>
        <w:pStyle w:val="3"/>
      </w:pPr>
      <w:r w:rsidRPr="001663AE">
        <w:rPr>
          <w:rStyle w:val="af3"/>
          <w:rFonts w:ascii="新細明體" w:hAnsi="新細明體"/>
        </w:rPr>
        <w:footnoteRef/>
      </w:r>
      <w:r w:rsidRPr="001663AE">
        <w:rPr>
          <w:rFonts w:hint="eastAsia"/>
        </w:rPr>
        <w:t>陳清福，我國入出境管理法制化問題之研究，中央警察大學行政警察研究所碩士論文，八十八年六月，頁</w:t>
      </w:r>
      <w:r w:rsidRPr="001663AE">
        <w:t>66</w:t>
      </w:r>
      <w:r w:rsidRPr="001663AE">
        <w:rPr>
          <w:rFonts w:hint="eastAsia"/>
        </w:rPr>
        <w:t>。</w:t>
      </w:r>
    </w:p>
  </w:footnote>
  <w:footnote w:id="598">
    <w:p w14:paraId="02232451"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宮崎繁樹，國際法綱要，成文堂，平成五年</w:t>
      </w:r>
      <w:r w:rsidRPr="001663AE">
        <w:t>3</w:t>
      </w:r>
      <w:r w:rsidRPr="001663AE">
        <w:rPr>
          <w:rFonts w:hint="eastAsia"/>
        </w:rPr>
        <w:t>月</w:t>
      </w:r>
      <w:r w:rsidRPr="001663AE">
        <w:t>15</w:t>
      </w:r>
      <w:r w:rsidRPr="001663AE">
        <w:rPr>
          <w:rFonts w:hint="eastAsia"/>
        </w:rPr>
        <w:t>日初版，頁</w:t>
      </w:r>
      <w:r w:rsidRPr="001663AE">
        <w:t>111</w:t>
      </w:r>
      <w:r w:rsidRPr="001663AE">
        <w:rPr>
          <w:rFonts w:hint="eastAsia"/>
        </w:rPr>
        <w:t>。轉引自陳清福，我國入出境管理法制化問題之研究，中央警察大學行政警察研究所碩士論文，八十八年六月，頁</w:t>
      </w:r>
      <w:r w:rsidRPr="001663AE">
        <w:t>67</w:t>
      </w:r>
      <w:r w:rsidRPr="001663AE">
        <w:rPr>
          <w:rFonts w:hint="eastAsia"/>
        </w:rPr>
        <w:t>。</w:t>
      </w:r>
    </w:p>
  </w:footnote>
  <w:footnote w:id="599">
    <w:p w14:paraId="1934D639" w14:textId="77777777" w:rsidR="00CA23FA" w:rsidRPr="001663AE" w:rsidRDefault="00CA23FA" w:rsidP="00D87D91">
      <w:pPr>
        <w:pStyle w:val="3"/>
      </w:pPr>
      <w:r w:rsidRPr="001663AE">
        <w:rPr>
          <w:rStyle w:val="af3"/>
          <w:rFonts w:ascii="新細明體" w:hAnsi="新細明體"/>
        </w:rPr>
        <w:footnoteRef/>
      </w:r>
      <w:r w:rsidRPr="001663AE">
        <w:rPr>
          <w:rFonts w:hint="eastAsia"/>
        </w:rPr>
        <w:t>丘宏達，現代國際法基本文件，三民書局，民國</w:t>
      </w:r>
      <w:r w:rsidRPr="001663AE">
        <w:t>86</w:t>
      </w:r>
      <w:r w:rsidRPr="001663AE">
        <w:rPr>
          <w:rFonts w:hint="eastAsia"/>
        </w:rPr>
        <w:t>年，頁</w:t>
      </w:r>
      <w:r w:rsidRPr="001663AE">
        <w:t>371</w:t>
      </w:r>
      <w:r w:rsidRPr="001663AE">
        <w:t>，</w:t>
      </w:r>
      <w:r w:rsidRPr="001663AE">
        <w:t>396</w:t>
      </w:r>
      <w:r w:rsidRPr="001663AE">
        <w:rPr>
          <w:rFonts w:hint="eastAsia"/>
        </w:rPr>
        <w:t>，</w:t>
      </w:r>
      <w:r w:rsidRPr="001663AE">
        <w:t>402</w:t>
      </w:r>
      <w:r w:rsidRPr="001663AE">
        <w:rPr>
          <w:rFonts w:hint="eastAsia"/>
        </w:rPr>
        <w:t>。</w:t>
      </w:r>
    </w:p>
    <w:p w14:paraId="1B0B154A" w14:textId="77777777" w:rsidR="00CA23FA" w:rsidRPr="001663AE" w:rsidRDefault="00CA23FA" w:rsidP="00D87D91">
      <w:pPr>
        <w:pStyle w:val="3"/>
      </w:pPr>
      <w:r w:rsidRPr="001663AE">
        <w:rPr>
          <w:rFonts w:hint="eastAsia"/>
        </w:rPr>
        <w:t>刁仁國，外國人入出境管理法論，桃園：中央警察大學出版社，民國九十年三月。</w:t>
      </w:r>
    </w:p>
  </w:footnote>
  <w:footnote w:id="600">
    <w:p w14:paraId="133C746E" w14:textId="77777777" w:rsidR="00CA23FA" w:rsidRPr="001663AE" w:rsidRDefault="00CA23FA" w:rsidP="00D87D91">
      <w:pPr>
        <w:pStyle w:val="3"/>
      </w:pPr>
      <w:r w:rsidRPr="001663AE">
        <w:rPr>
          <w:rStyle w:val="af3"/>
          <w:rFonts w:ascii="新細明體" w:hAnsi="新細明體"/>
        </w:rPr>
        <w:footnoteRef/>
      </w:r>
      <w:r w:rsidRPr="001663AE">
        <w:rPr>
          <w:rFonts w:hint="eastAsia"/>
        </w:rPr>
        <w:t>陳清福，我國入出境管理法制化問題之研究，中央警察大學行政警察研究所碩士論文，八十八年六月，頁</w:t>
      </w:r>
      <w:r w:rsidRPr="001663AE">
        <w:t>67</w:t>
      </w:r>
      <w:r w:rsidRPr="001663AE">
        <w:rPr>
          <w:rFonts w:hint="eastAsia"/>
        </w:rPr>
        <w:t>。</w:t>
      </w:r>
    </w:p>
  </w:footnote>
  <w:footnote w:id="601">
    <w:p w14:paraId="114B4A73" w14:textId="77777777" w:rsidR="00CA23FA" w:rsidRPr="001663AE" w:rsidRDefault="00CA23FA" w:rsidP="00D87D91">
      <w:pPr>
        <w:pStyle w:val="3"/>
      </w:pPr>
      <w:r w:rsidRPr="001663AE">
        <w:rPr>
          <w:rStyle w:val="af3"/>
          <w:rFonts w:ascii="新細明體" w:hAnsi="新細明體"/>
        </w:rPr>
        <w:footnoteRef/>
      </w:r>
      <w:r w:rsidRPr="001663AE">
        <w:rPr>
          <w:rFonts w:hint="eastAsia"/>
        </w:rPr>
        <w:t>陳清福，我國入出境管理法制化問題之研究，中央警察大學行政警察研究所碩士論文，八十八年六月，頁</w:t>
      </w:r>
      <w:r w:rsidRPr="001663AE">
        <w:t>67</w:t>
      </w:r>
      <w:r w:rsidRPr="001663AE">
        <w:rPr>
          <w:rFonts w:hint="eastAsia"/>
        </w:rPr>
        <w:t>。</w:t>
      </w:r>
    </w:p>
  </w:footnote>
  <w:footnote w:id="602">
    <w:p w14:paraId="1073D0E2"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丘宏達，現代國際法基本文件，三民書局，民國</w:t>
      </w:r>
      <w:r w:rsidRPr="001663AE">
        <w:t>86</w:t>
      </w:r>
      <w:r w:rsidRPr="001663AE">
        <w:rPr>
          <w:rFonts w:hint="eastAsia"/>
        </w:rPr>
        <w:t>年，頁</w:t>
      </w:r>
      <w:r w:rsidRPr="001663AE">
        <w:t>397</w:t>
      </w:r>
      <w:r w:rsidRPr="001663AE">
        <w:rPr>
          <w:rFonts w:hint="eastAsia"/>
        </w:rPr>
        <w:t>。</w:t>
      </w:r>
    </w:p>
  </w:footnote>
  <w:footnote w:id="603">
    <w:p w14:paraId="46211CEF"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姜皇池，論外國人之憲法權利</w:t>
      </w:r>
      <w:r w:rsidRPr="001663AE">
        <w:t>…</w:t>
      </w:r>
      <w:r w:rsidRPr="001663AE">
        <w:rPr>
          <w:rFonts w:hint="eastAsia"/>
        </w:rPr>
        <w:t>從國際法觀點檢視，憲政時代，第</w:t>
      </w:r>
      <w:r w:rsidRPr="001663AE">
        <w:t>25</w:t>
      </w:r>
      <w:r w:rsidRPr="001663AE">
        <w:rPr>
          <w:rFonts w:hint="eastAsia"/>
        </w:rPr>
        <w:t>卷第</w:t>
      </w:r>
      <w:r w:rsidRPr="001663AE">
        <w:t>1</w:t>
      </w:r>
      <w:r w:rsidRPr="001663AE">
        <w:rPr>
          <w:rFonts w:hint="eastAsia"/>
        </w:rPr>
        <w:t>期，民國</w:t>
      </w:r>
      <w:r w:rsidRPr="001663AE">
        <w:t>88</w:t>
      </w:r>
      <w:r w:rsidRPr="001663AE">
        <w:rPr>
          <w:rFonts w:hint="eastAsia"/>
        </w:rPr>
        <w:t>年</w:t>
      </w:r>
      <w:r w:rsidRPr="001663AE">
        <w:t>7</w:t>
      </w:r>
      <w:r w:rsidRPr="001663AE">
        <w:rPr>
          <w:rFonts w:hint="eastAsia"/>
        </w:rPr>
        <w:t>月，頁</w:t>
      </w:r>
      <w:r w:rsidRPr="001663AE">
        <w:t>15</w:t>
      </w:r>
      <w:r w:rsidRPr="001663AE">
        <w:rPr>
          <w:rFonts w:hint="eastAsia"/>
        </w:rPr>
        <w:t>。</w:t>
      </w:r>
    </w:p>
    <w:p w14:paraId="7F5FC474" w14:textId="77777777" w:rsidR="00CA23FA" w:rsidRPr="001663AE" w:rsidRDefault="00CA23FA" w:rsidP="00D87D91">
      <w:pPr>
        <w:pStyle w:val="3"/>
      </w:pPr>
      <w:r w:rsidRPr="001663AE">
        <w:rPr>
          <w:rFonts w:hint="eastAsia"/>
        </w:rPr>
        <w:t>陳清福，我國入出境管理法制化問題之研究，中央警察大學行政警察研究所碩士論文，八十八年六月，頁</w:t>
      </w:r>
      <w:r w:rsidRPr="001663AE">
        <w:t>68</w:t>
      </w:r>
      <w:r w:rsidRPr="001663AE">
        <w:rPr>
          <w:rFonts w:hint="eastAsia"/>
        </w:rPr>
        <w:t>。</w:t>
      </w:r>
    </w:p>
  </w:footnote>
  <w:footnote w:id="604">
    <w:p w14:paraId="180088DC" w14:textId="77777777" w:rsidR="00CA23FA" w:rsidRPr="001663AE" w:rsidRDefault="00CA23FA" w:rsidP="00D87D91">
      <w:pPr>
        <w:pStyle w:val="3"/>
      </w:pPr>
      <w:r w:rsidRPr="001663AE">
        <w:rPr>
          <w:rStyle w:val="af3"/>
          <w:rFonts w:ascii="新細明體" w:hAnsi="新細明體"/>
        </w:rPr>
        <w:footnoteRef/>
      </w:r>
      <w:r w:rsidRPr="001663AE">
        <w:rPr>
          <w:rFonts w:hint="eastAsia"/>
        </w:rPr>
        <w:t>姜皇池，論外國人之憲法權利</w:t>
      </w:r>
      <w:r w:rsidRPr="001663AE">
        <w:t>…</w:t>
      </w:r>
      <w:r w:rsidRPr="001663AE">
        <w:rPr>
          <w:rFonts w:hint="eastAsia"/>
        </w:rPr>
        <w:t>從國際法觀點檢視，憲政時代，第</w:t>
      </w:r>
      <w:r w:rsidRPr="001663AE">
        <w:t>25</w:t>
      </w:r>
      <w:r w:rsidRPr="001663AE">
        <w:rPr>
          <w:rFonts w:hint="eastAsia"/>
        </w:rPr>
        <w:t>卷第</w:t>
      </w:r>
      <w:r w:rsidRPr="001663AE">
        <w:t>1</w:t>
      </w:r>
      <w:r w:rsidRPr="001663AE">
        <w:rPr>
          <w:rFonts w:hint="eastAsia"/>
        </w:rPr>
        <w:t>期，民國</w:t>
      </w:r>
      <w:r w:rsidRPr="001663AE">
        <w:t>88</w:t>
      </w:r>
      <w:r w:rsidRPr="001663AE">
        <w:rPr>
          <w:rFonts w:hint="eastAsia"/>
        </w:rPr>
        <w:t>年</w:t>
      </w:r>
      <w:r w:rsidRPr="001663AE">
        <w:t>7</w:t>
      </w:r>
      <w:r w:rsidRPr="001663AE">
        <w:rPr>
          <w:rFonts w:hint="eastAsia"/>
        </w:rPr>
        <w:t>月，頁</w:t>
      </w:r>
      <w:r w:rsidRPr="001663AE">
        <w:t>15</w:t>
      </w:r>
      <w:r w:rsidRPr="001663AE">
        <w:rPr>
          <w:rFonts w:hint="eastAsia"/>
        </w:rPr>
        <w:t>。</w:t>
      </w:r>
    </w:p>
    <w:p w14:paraId="678F16FE" w14:textId="77777777" w:rsidR="00CA23FA" w:rsidRPr="001663AE" w:rsidRDefault="00CA23FA" w:rsidP="00D87D91">
      <w:pPr>
        <w:pStyle w:val="3"/>
      </w:pPr>
      <w:r w:rsidRPr="001663AE">
        <w:rPr>
          <w:rFonts w:hint="eastAsia"/>
        </w:rPr>
        <w:t>陳清福，我國入出境管理法制化問題之研究，中央警察大學行政警察研究所碩士論文，八十八年六月，頁</w:t>
      </w:r>
      <w:r w:rsidRPr="001663AE">
        <w:t>68</w:t>
      </w:r>
      <w:r w:rsidRPr="001663AE">
        <w:rPr>
          <w:rFonts w:hint="eastAsia"/>
        </w:rPr>
        <w:t>。</w:t>
      </w:r>
    </w:p>
    <w:p w14:paraId="7771FB84" w14:textId="77777777" w:rsidR="00CA23FA" w:rsidRPr="001663AE" w:rsidRDefault="00CA23FA" w:rsidP="00D87D91">
      <w:pPr>
        <w:pStyle w:val="3"/>
      </w:pPr>
      <w:r w:rsidRPr="001663AE">
        <w:rPr>
          <w:rFonts w:hint="eastAsia"/>
        </w:rPr>
        <w:t>刁仁國，外國人入出境管理法論，桃園：中央警察大學出版社，民國九十年三月。</w:t>
      </w:r>
    </w:p>
  </w:footnote>
  <w:footnote w:id="605">
    <w:p w14:paraId="6ACAF0B6" w14:textId="77777777" w:rsidR="00CA23FA" w:rsidRPr="001663AE" w:rsidRDefault="00CA23FA" w:rsidP="00D87D91">
      <w:pPr>
        <w:pStyle w:val="3"/>
      </w:pPr>
      <w:r w:rsidRPr="001663AE">
        <w:rPr>
          <w:rStyle w:val="af3"/>
          <w:rFonts w:ascii="新細明體" w:hAnsi="新細明體"/>
        </w:rPr>
        <w:footnoteRef/>
      </w:r>
      <w:r w:rsidRPr="001663AE">
        <w:rPr>
          <w:rFonts w:hint="eastAsia"/>
        </w:rPr>
        <w:t>黃異，國際法，啟英文化公司，民</w:t>
      </w:r>
      <w:r w:rsidRPr="001663AE">
        <w:t>85</w:t>
      </w:r>
      <w:r w:rsidRPr="001663AE">
        <w:rPr>
          <w:rFonts w:hint="eastAsia"/>
        </w:rPr>
        <w:t>年，頁</w:t>
      </w:r>
      <w:r w:rsidRPr="001663AE">
        <w:t>90</w:t>
      </w:r>
      <w:r w:rsidRPr="001663AE">
        <w:rPr>
          <w:rFonts w:hint="eastAsia"/>
        </w:rPr>
        <w:t>。引自刁仁國，外國人入出境管理法論，桃園：中央警察大學出版社，民國九十年三月，頁</w:t>
      </w:r>
      <w:r w:rsidRPr="001663AE">
        <w:t>20</w:t>
      </w:r>
      <w:r w:rsidRPr="001663AE">
        <w:rPr>
          <w:rFonts w:hint="eastAsia"/>
        </w:rPr>
        <w:t>。</w:t>
      </w:r>
    </w:p>
  </w:footnote>
  <w:footnote w:id="606">
    <w:p w14:paraId="06815667"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王鐵崖等編著，國際法，五南出版社，民國</w:t>
      </w:r>
      <w:r w:rsidRPr="001663AE">
        <w:t>81</w:t>
      </w:r>
      <w:r w:rsidRPr="001663AE">
        <w:rPr>
          <w:rFonts w:hint="eastAsia"/>
        </w:rPr>
        <w:t>年</w:t>
      </w:r>
      <w:r w:rsidRPr="001663AE">
        <w:t>5</w:t>
      </w:r>
      <w:r w:rsidRPr="001663AE">
        <w:rPr>
          <w:rFonts w:hint="eastAsia"/>
        </w:rPr>
        <w:t>月，頁</w:t>
      </w:r>
      <w:r w:rsidRPr="001663AE">
        <w:t>82-83</w:t>
      </w:r>
      <w:r w:rsidRPr="001663AE">
        <w:rPr>
          <w:rFonts w:hint="eastAsia"/>
        </w:rPr>
        <w:t>＃</w:t>
      </w:r>
    </w:p>
    <w:p w14:paraId="2ADC70A1" w14:textId="77777777" w:rsidR="00CA23FA" w:rsidRPr="001663AE" w:rsidRDefault="00CA23FA" w:rsidP="00D87D91">
      <w:pPr>
        <w:pStyle w:val="3"/>
      </w:pPr>
      <w:r w:rsidRPr="001663AE">
        <w:rPr>
          <w:rFonts w:hint="eastAsia"/>
        </w:rPr>
        <w:t>刁仁國，外國人入出境管理法論，桃園：中央警察大學出版社，民國九十年三月，頁</w:t>
      </w:r>
      <w:r w:rsidRPr="001663AE">
        <w:t>20</w:t>
      </w:r>
      <w:r w:rsidRPr="001663AE">
        <w:rPr>
          <w:rFonts w:hint="eastAsia"/>
        </w:rPr>
        <w:t>。</w:t>
      </w:r>
    </w:p>
  </w:footnote>
  <w:footnote w:id="607">
    <w:p w14:paraId="65D9A7B4"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李震山等著，入出國管理及安全檢查專題研究，中央警察大學，民國</w:t>
      </w:r>
      <w:r w:rsidRPr="001663AE">
        <w:t>88</w:t>
      </w:r>
      <w:r w:rsidRPr="001663AE">
        <w:rPr>
          <w:rFonts w:hint="eastAsia"/>
        </w:rPr>
        <w:t>年</w:t>
      </w:r>
      <w:r w:rsidRPr="001663AE">
        <w:t>8</w:t>
      </w:r>
      <w:r w:rsidRPr="001663AE">
        <w:rPr>
          <w:rFonts w:hint="eastAsia"/>
        </w:rPr>
        <w:t>月，第</w:t>
      </w:r>
      <w:r w:rsidRPr="001663AE">
        <w:t>2</w:t>
      </w:r>
      <w:r w:rsidRPr="001663AE">
        <w:rPr>
          <w:rFonts w:hint="eastAsia"/>
        </w:rPr>
        <w:t>頁。</w:t>
      </w:r>
    </w:p>
    <w:p w14:paraId="6A038EB6" w14:textId="77777777" w:rsidR="00CA23FA" w:rsidRPr="001663AE" w:rsidRDefault="00CA23FA" w:rsidP="00D87D91">
      <w:pPr>
        <w:pStyle w:val="3"/>
      </w:pPr>
      <w:r w:rsidRPr="001663AE">
        <w:rPr>
          <w:rFonts w:hint="eastAsia"/>
        </w:rPr>
        <w:t>刁仁國，外國人入出境管理法論，桃園：中央警察大學出版社，民國九十年三月，頁</w:t>
      </w:r>
      <w:r w:rsidRPr="001663AE">
        <w:t>21</w:t>
      </w:r>
      <w:r w:rsidRPr="001663AE">
        <w:rPr>
          <w:rFonts w:hint="eastAsia"/>
        </w:rPr>
        <w:t>。</w:t>
      </w:r>
    </w:p>
  </w:footnote>
  <w:footnote w:id="608">
    <w:p w14:paraId="2586D2A8"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陳清福，我國入出境管理法制化問題之研究，中央警察大學行政警察研究所碩士論文，八十八年六月，頁</w:t>
      </w:r>
      <w:r w:rsidRPr="001663AE">
        <w:t>69</w:t>
      </w:r>
      <w:r w:rsidRPr="001663AE">
        <w:rPr>
          <w:rFonts w:hint="eastAsia"/>
        </w:rPr>
        <w:t>。</w:t>
      </w:r>
    </w:p>
  </w:footnote>
  <w:footnote w:id="609">
    <w:p w14:paraId="404C3825" w14:textId="77777777" w:rsidR="00CA23FA" w:rsidRPr="001663AE" w:rsidRDefault="00CA23FA" w:rsidP="00D87D91">
      <w:pPr>
        <w:pStyle w:val="3"/>
      </w:pPr>
      <w:r w:rsidRPr="001663AE">
        <w:rPr>
          <w:rStyle w:val="af3"/>
          <w:rFonts w:ascii="新細明體" w:hAnsi="新細明體"/>
        </w:rPr>
        <w:footnoteRef/>
      </w:r>
      <w:r w:rsidRPr="001663AE">
        <w:rPr>
          <w:rFonts w:hint="eastAsia"/>
        </w:rPr>
        <w:t>陳清福，我國入出境管理法制化問題之研究，中央警察大學行政警察研究所碩士論文，八十八年六月，頁</w:t>
      </w:r>
      <w:r w:rsidRPr="001663AE">
        <w:t>73</w:t>
      </w:r>
      <w:r w:rsidRPr="001663AE">
        <w:rPr>
          <w:rFonts w:hint="eastAsia"/>
        </w:rPr>
        <w:t>。</w:t>
      </w:r>
    </w:p>
    <w:p w14:paraId="4712B75C" w14:textId="77777777" w:rsidR="00CA23FA" w:rsidRPr="001663AE" w:rsidRDefault="00CA23FA" w:rsidP="00D87D91">
      <w:pPr>
        <w:pStyle w:val="3"/>
      </w:pPr>
      <w:r w:rsidRPr="001663AE">
        <w:rPr>
          <w:rFonts w:hint="eastAsia"/>
        </w:rPr>
        <w:t>刁仁國，外國人入出境管理法論，桃園：中央警察大學出版社，民國九十年三月。</w:t>
      </w:r>
    </w:p>
  </w:footnote>
  <w:footnote w:id="610">
    <w:p w14:paraId="34112F0C"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李震山，德國入出境管理法制與執行，載於中央警察大學國境警察學系學術研討會，我國警察安全檢查理論與實務，民國</w:t>
      </w:r>
      <w:r w:rsidRPr="001663AE">
        <w:t>82</w:t>
      </w:r>
      <w:r w:rsidRPr="001663AE">
        <w:rPr>
          <w:rFonts w:hint="eastAsia"/>
        </w:rPr>
        <w:t>年</w:t>
      </w:r>
      <w:r w:rsidRPr="001663AE">
        <w:t>3</w:t>
      </w:r>
      <w:r w:rsidRPr="001663AE">
        <w:rPr>
          <w:rFonts w:hint="eastAsia"/>
        </w:rPr>
        <w:t>月</w:t>
      </w:r>
      <w:r w:rsidRPr="001663AE">
        <w:t>25</w:t>
      </w:r>
      <w:r w:rsidRPr="001663AE">
        <w:rPr>
          <w:rFonts w:hint="eastAsia"/>
        </w:rPr>
        <w:t>日，頁</w:t>
      </w:r>
      <w:r w:rsidRPr="001663AE">
        <w:t>4-5</w:t>
      </w:r>
      <w:r w:rsidRPr="001663AE">
        <w:rPr>
          <w:rFonts w:hint="eastAsia"/>
        </w:rPr>
        <w:t>。</w:t>
      </w:r>
    </w:p>
    <w:p w14:paraId="1246A50C" w14:textId="77777777" w:rsidR="00CA23FA" w:rsidRPr="001663AE" w:rsidRDefault="00CA23FA" w:rsidP="00D87D91">
      <w:pPr>
        <w:pStyle w:val="3"/>
      </w:pPr>
      <w:r w:rsidRPr="001663AE">
        <w:rPr>
          <w:rFonts w:hint="eastAsia"/>
        </w:rPr>
        <w:t>刁仁國，外國人入出境管理法論，桃園：中央警察大學出版社，民國九十年三月。</w:t>
      </w:r>
    </w:p>
    <w:p w14:paraId="3B366DFD" w14:textId="77777777" w:rsidR="00CA23FA" w:rsidRPr="001663AE" w:rsidRDefault="00CA23FA" w:rsidP="00D87D91">
      <w:pPr>
        <w:pStyle w:val="3"/>
      </w:pPr>
      <w:r w:rsidRPr="001663AE">
        <w:rPr>
          <w:rFonts w:hint="eastAsia"/>
        </w:rPr>
        <w:t>陳清福，我國入出境管理法制化問題之研究，中央警察大學行政警察研究所碩士論文，八十八年六月，頁</w:t>
      </w:r>
      <w:r w:rsidRPr="001663AE">
        <w:t>73-74</w:t>
      </w:r>
      <w:r w:rsidRPr="001663AE">
        <w:rPr>
          <w:rFonts w:hint="eastAsia"/>
        </w:rPr>
        <w:t>。</w:t>
      </w:r>
    </w:p>
  </w:footnote>
  <w:footnote w:id="611">
    <w:p w14:paraId="32265854"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中國時報，</w:t>
      </w:r>
      <w:r w:rsidRPr="001663AE">
        <w:t>92</w:t>
      </w:r>
      <w:r w:rsidRPr="001663AE">
        <w:rPr>
          <w:rFonts w:hint="eastAsia"/>
        </w:rPr>
        <w:t>年</w:t>
      </w:r>
      <w:r w:rsidRPr="001663AE">
        <w:t>4</w:t>
      </w:r>
      <w:r w:rsidRPr="001663AE">
        <w:rPr>
          <w:rFonts w:hint="eastAsia"/>
        </w:rPr>
        <w:t>月</w:t>
      </w:r>
      <w:r w:rsidRPr="001663AE">
        <w:t>2</w:t>
      </w:r>
      <w:r w:rsidRPr="001663AE">
        <w:rPr>
          <w:rFonts w:hint="eastAsia"/>
        </w:rPr>
        <w:t>日，其標題為「法國三醫生在越南染病，被禁返國」。</w:t>
      </w:r>
    </w:p>
  </w:footnote>
  <w:footnote w:id="612">
    <w:p w14:paraId="04176B0E" w14:textId="77777777" w:rsidR="00CA23FA" w:rsidRPr="001663AE" w:rsidRDefault="00CA23FA" w:rsidP="00D87D91">
      <w:pPr>
        <w:pStyle w:val="3"/>
      </w:pPr>
      <w:r w:rsidRPr="001663AE">
        <w:rPr>
          <w:rStyle w:val="af3"/>
          <w:rFonts w:ascii="新細明體" w:hAnsi="新細明體"/>
        </w:rPr>
        <w:footnoteRef/>
      </w:r>
      <w:r w:rsidRPr="001663AE">
        <w:rPr>
          <w:rFonts w:hint="eastAsia"/>
        </w:rPr>
        <w:t>大法官劉鐵錚針對我國採行雙重國籍之困境，表示以下之看法：「</w:t>
      </w:r>
      <w:r>
        <w:t>〜</w:t>
      </w:r>
      <w:r w:rsidRPr="001663AE">
        <w:rPr>
          <w:rFonts w:hint="eastAsia"/>
        </w:rPr>
        <w:t>對有戶籍國民之返國（入境、入國），則無任何限制</w:t>
      </w:r>
      <w:r>
        <w:t>〜</w:t>
      </w:r>
      <w:r w:rsidRPr="001663AE">
        <w:rPr>
          <w:rFonts w:hint="eastAsia"/>
        </w:rPr>
        <w:t>。入出國及移民法上述條文之適用，雖以有戶籍國民為準，排除無戶籍之國民，此實由於行憲後，國家遭遇重大變故，特殊國情使然，如不作此區分，必有事實上之困難，與國家安全也屬有礙，應無違憲之虞（憲法增修條文第十一條參照）」，以上，請參照司法院釋字第</w:t>
      </w:r>
      <w:r w:rsidRPr="001663AE">
        <w:t>558</w:t>
      </w:r>
      <w:r w:rsidRPr="001663AE">
        <w:rPr>
          <w:rFonts w:hint="eastAsia"/>
        </w:rPr>
        <w:t>號不同意見書。</w:t>
      </w:r>
    </w:p>
  </w:footnote>
  <w:footnote w:id="613">
    <w:p w14:paraId="1172B814"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關於「護照」之定義，依據美國「國籍、移民法」第</w:t>
      </w:r>
      <w:r w:rsidRPr="001663AE">
        <w:t>101</w:t>
      </w:r>
      <w:r w:rsidRPr="001663AE">
        <w:rPr>
          <w:rFonts w:hint="eastAsia"/>
        </w:rPr>
        <w:t>條</w:t>
      </w:r>
      <w:r w:rsidRPr="001663AE">
        <w:t>a</w:t>
      </w:r>
      <w:r w:rsidRPr="001663AE">
        <w:rPr>
          <w:rFonts w:hint="eastAsia"/>
        </w:rPr>
        <w:t>項之規定，「護照乃有權機關發給之旅行證明檔，證明當事人之出生事項</w:t>
      </w:r>
      <w:r w:rsidRPr="001663AE">
        <w:t>(origin)</w:t>
      </w:r>
      <w:r w:rsidRPr="001663AE">
        <w:rPr>
          <w:rFonts w:hint="eastAsia"/>
        </w:rPr>
        <w:t>、同一人性</w:t>
      </w:r>
      <w:r w:rsidRPr="001663AE">
        <w:t>(identity)</w:t>
      </w:r>
      <w:r w:rsidRPr="001663AE">
        <w:rPr>
          <w:rFonts w:hint="eastAsia"/>
        </w:rPr>
        <w:t>、國籍</w:t>
      </w:r>
      <w:r w:rsidRPr="001663AE">
        <w:t>(nationality)</w:t>
      </w:r>
      <w:r w:rsidRPr="001663AE">
        <w:rPr>
          <w:rFonts w:hint="eastAsia"/>
        </w:rPr>
        <w:t>及有效出入國等事項之證明文件」。另依日本出入國管理及難民認定法」第二條第五項之規定，「護照係指日本政府或日本政府承認之外國政府及國際機構發行之護照或難民旅行證或其他有效被明文件。」引自劉進福，外事警察學，桃園：中央警察大學出版社，民國</w:t>
      </w:r>
      <w:r w:rsidRPr="001663AE">
        <w:t>86</w:t>
      </w:r>
      <w:r w:rsidRPr="001663AE">
        <w:rPr>
          <w:rFonts w:hint="eastAsia"/>
        </w:rPr>
        <w:t>年</w:t>
      </w:r>
      <w:r w:rsidRPr="001663AE">
        <w:t>8</w:t>
      </w:r>
      <w:r w:rsidRPr="001663AE">
        <w:rPr>
          <w:rFonts w:hint="eastAsia"/>
        </w:rPr>
        <w:t>月，頁</w:t>
      </w:r>
      <w:r w:rsidRPr="001663AE">
        <w:t>35</w:t>
      </w:r>
      <w:r w:rsidRPr="001663AE">
        <w:rPr>
          <w:rFonts w:hint="eastAsia"/>
        </w:rPr>
        <w:t>。</w:t>
      </w:r>
    </w:p>
  </w:footnote>
  <w:footnote w:id="614">
    <w:p w14:paraId="790C8F6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月。原文參照：</w:t>
      </w:r>
      <w:r w:rsidRPr="001663AE">
        <w:t>L.B. Boudin, The Constitutional Right to Travel., Columbia Law Review, Vol. 56, 1956, p49</w:t>
      </w:r>
      <w:r w:rsidRPr="001663AE">
        <w:rPr>
          <w:rFonts w:hint="eastAsia"/>
        </w:rPr>
        <w:t>。</w:t>
      </w:r>
    </w:p>
  </w:footnote>
  <w:footnote w:id="615">
    <w:p w14:paraId="71E5A4AD" w14:textId="77777777" w:rsidR="00CA23FA" w:rsidRPr="001663AE" w:rsidRDefault="00CA23FA" w:rsidP="00D87D91">
      <w:pPr>
        <w:pStyle w:val="3"/>
      </w:pPr>
      <w:r w:rsidRPr="001663AE">
        <w:rPr>
          <w:rStyle w:val="af3"/>
          <w:rFonts w:ascii="新細明體" w:hAnsi="新細明體"/>
        </w:rPr>
        <w:footnoteRef/>
      </w:r>
      <w:r w:rsidRPr="001663AE">
        <w:t xml:space="preserve"> Emerson &amp; Haber, Political and Civil Rights in the United States, 2d Ed. Vol. 1, 1958, p504</w:t>
      </w:r>
      <w:r w:rsidRPr="001663AE">
        <w:rPr>
          <w:rFonts w:hint="eastAsia"/>
        </w:rPr>
        <w:t>，轉引自陳新民，憲法基本權利之基本理論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月，第</w:t>
      </w:r>
      <w:r w:rsidRPr="001663AE">
        <w:t>470</w:t>
      </w:r>
      <w:r w:rsidRPr="001663AE">
        <w:rPr>
          <w:rFonts w:hint="eastAsia"/>
        </w:rPr>
        <w:t>頁。</w:t>
      </w:r>
    </w:p>
  </w:footnote>
  <w:footnote w:id="616">
    <w:p w14:paraId="11EB6747" w14:textId="77777777" w:rsidR="00CA23FA" w:rsidRPr="001663AE" w:rsidRDefault="00CA23FA" w:rsidP="00D87D91">
      <w:pPr>
        <w:pStyle w:val="3"/>
      </w:pPr>
      <w:r w:rsidRPr="001663AE">
        <w:rPr>
          <w:rStyle w:val="af3"/>
          <w:rFonts w:ascii="新細明體" w:hAnsi="新細明體"/>
        </w:rPr>
        <w:footnoteRef/>
      </w:r>
      <w:r w:rsidRPr="001663AE">
        <w:t xml:space="preserve"> Emerson &amp; Haber, Political and Civil Rights in the United States, 2d Ed. Vol. 1, 1958, p, P518</w:t>
      </w:r>
      <w:r w:rsidRPr="001663AE">
        <w:rPr>
          <w:rFonts w:hint="eastAsia"/>
        </w:rPr>
        <w:t>，轉引自陳新民，憲法基本權利之基本理論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月，第</w:t>
      </w:r>
      <w:r w:rsidRPr="001663AE">
        <w:t>470</w:t>
      </w:r>
      <w:r w:rsidRPr="001663AE">
        <w:rPr>
          <w:rFonts w:hint="eastAsia"/>
        </w:rPr>
        <w:t>頁。</w:t>
      </w:r>
    </w:p>
  </w:footnote>
  <w:footnote w:id="617">
    <w:p w14:paraId="0EE5CDF6" w14:textId="77777777" w:rsidR="00CA23FA" w:rsidRPr="001663AE" w:rsidRDefault="00CA23FA" w:rsidP="00D87D91">
      <w:pPr>
        <w:pStyle w:val="3"/>
      </w:pPr>
      <w:r w:rsidRPr="001663AE">
        <w:rPr>
          <w:rStyle w:val="af3"/>
          <w:rFonts w:ascii="新細明體" w:hAnsi="新細明體"/>
        </w:rPr>
        <w:footnoteRef/>
      </w:r>
      <w:r w:rsidRPr="001663AE">
        <w:rPr>
          <w:rFonts w:hint="eastAsia"/>
        </w:rPr>
        <w:t>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月，第</w:t>
      </w:r>
      <w:r w:rsidRPr="001663AE">
        <w:t>471</w:t>
      </w:r>
      <w:r w:rsidRPr="001663AE">
        <w:rPr>
          <w:rFonts w:hint="eastAsia"/>
        </w:rPr>
        <w:t>頁。</w:t>
      </w:r>
    </w:p>
  </w:footnote>
  <w:footnote w:id="618">
    <w:p w14:paraId="211B0E91" w14:textId="77777777" w:rsidR="00CA23FA" w:rsidRPr="001663AE" w:rsidRDefault="00CA23FA" w:rsidP="00D87D91">
      <w:pPr>
        <w:pStyle w:val="3"/>
      </w:pPr>
      <w:r w:rsidRPr="001663AE">
        <w:rPr>
          <w:rStyle w:val="af3"/>
          <w:rFonts w:ascii="新細明體" w:hAnsi="新細明體"/>
        </w:rPr>
        <w:footnoteRef/>
      </w:r>
      <w:r w:rsidRPr="001663AE">
        <w:rPr>
          <w:rFonts w:hint="eastAsia"/>
        </w:rPr>
        <w:t>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月，第</w:t>
      </w:r>
      <w:r w:rsidRPr="001663AE">
        <w:t>472-474</w:t>
      </w:r>
      <w:r w:rsidRPr="001663AE">
        <w:rPr>
          <w:rFonts w:hint="eastAsia"/>
        </w:rPr>
        <w:t>頁。</w:t>
      </w:r>
    </w:p>
  </w:footnote>
  <w:footnote w:id="619">
    <w:p w14:paraId="260A8CFF" w14:textId="77777777" w:rsidR="00CA23FA" w:rsidRPr="001663AE" w:rsidRDefault="00CA23FA" w:rsidP="00D87D91">
      <w:pPr>
        <w:pStyle w:val="3"/>
      </w:pPr>
      <w:r w:rsidRPr="001663AE">
        <w:rPr>
          <w:rStyle w:val="af3"/>
          <w:rFonts w:ascii="新細明體" w:hAnsi="新細明體"/>
        </w:rPr>
        <w:footnoteRef/>
      </w:r>
      <w:r w:rsidRPr="001663AE">
        <w:t xml:space="preserve"> 31 Fed Reg. 13544, Codified at 22 C.F.R. §51, 70(b)(4)</w:t>
      </w:r>
      <w:r w:rsidRPr="001663AE">
        <w:rPr>
          <w:rFonts w:hint="eastAsia"/>
        </w:rPr>
        <w:t>，參見</w:t>
      </w:r>
      <w:r w:rsidRPr="001663AE">
        <w:t>D.A. Farber, National Security, the right to travel, and the court, in : The Supreme Court Review</w:t>
      </w:r>
      <w:r>
        <w:t>(</w:t>
      </w:r>
      <w:r w:rsidRPr="001663AE">
        <w:t>1981), p270</w:t>
      </w:r>
      <w:r w:rsidRPr="001663AE">
        <w:rPr>
          <w:rFonts w:hint="eastAsia"/>
        </w:rPr>
        <w:t>。轉引自陳新民，憲法基本權利之基本理論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月，頁</w:t>
      </w:r>
      <w:r w:rsidRPr="001663AE">
        <w:t>478</w:t>
      </w:r>
      <w:r w:rsidRPr="001663AE">
        <w:rPr>
          <w:rFonts w:hint="eastAsia"/>
        </w:rPr>
        <w:t>。</w:t>
      </w:r>
    </w:p>
  </w:footnote>
  <w:footnote w:id="620">
    <w:p w14:paraId="7DCFCE93" w14:textId="77777777" w:rsidR="00CA23FA" w:rsidRPr="001663AE" w:rsidRDefault="00CA23FA" w:rsidP="00D87D91">
      <w:pPr>
        <w:pStyle w:val="3"/>
      </w:pPr>
      <w:r w:rsidRPr="001663AE">
        <w:rPr>
          <w:rStyle w:val="af3"/>
          <w:rFonts w:ascii="新細明體" w:hAnsi="新細明體"/>
        </w:rPr>
        <w:footnoteRef/>
      </w:r>
      <w:r w:rsidRPr="001663AE">
        <w:t xml:space="preserve"> D.A. Farber, National Security, the right to travel, and the court, in : The Supreme Court Review</w:t>
      </w:r>
      <w:r>
        <w:t>(</w:t>
      </w:r>
      <w:r w:rsidRPr="001663AE">
        <w:t>1981), p282</w:t>
      </w:r>
      <w:r w:rsidRPr="001663AE">
        <w:rPr>
          <w:rFonts w:hint="eastAsia"/>
        </w:rPr>
        <w:t>；轉引自陳新民，憲法基本權利之基本理論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月，頁</w:t>
      </w:r>
      <w:r w:rsidRPr="001663AE">
        <w:t>478</w:t>
      </w:r>
      <w:r w:rsidRPr="001663AE">
        <w:rPr>
          <w:rFonts w:hint="eastAsia"/>
        </w:rPr>
        <w:t>。</w:t>
      </w:r>
    </w:p>
  </w:footnote>
  <w:footnote w:id="621">
    <w:p w14:paraId="2834E998" w14:textId="77777777" w:rsidR="00CA23FA" w:rsidRPr="001663AE" w:rsidRDefault="00CA23FA" w:rsidP="00D87D91">
      <w:pPr>
        <w:pStyle w:val="3"/>
      </w:pPr>
      <w:r w:rsidRPr="001663AE">
        <w:rPr>
          <w:rStyle w:val="af3"/>
          <w:rFonts w:ascii="新細明體" w:hAnsi="新細明體"/>
        </w:rPr>
        <w:footnoteRef/>
      </w:r>
      <w:r w:rsidRPr="001663AE">
        <w:t xml:space="preserve"> R. Jennings &amp; A. Watt, Oppenheim's International Law, Vol 1. Part 1(England : Longman, 1997), pp897,</w:t>
      </w:r>
      <w:r w:rsidRPr="001663AE">
        <w:rPr>
          <w:rFonts w:hint="eastAsia"/>
        </w:rPr>
        <w:t>引自刁仁國，外國人入出境管理法論，桃園：中央警察大學出版社，民國九十年三月，頁</w:t>
      </w:r>
      <w:r w:rsidRPr="001663AE">
        <w:t>33</w:t>
      </w:r>
      <w:r w:rsidRPr="001663AE">
        <w:rPr>
          <w:rFonts w:hint="eastAsia"/>
        </w:rPr>
        <w:t>。</w:t>
      </w:r>
    </w:p>
  </w:footnote>
  <w:footnote w:id="622">
    <w:p w14:paraId="10F2405E" w14:textId="77777777" w:rsidR="00CA23FA" w:rsidRPr="001663AE" w:rsidRDefault="00CA23FA" w:rsidP="00D87D91">
      <w:pPr>
        <w:pStyle w:val="3"/>
      </w:pPr>
      <w:r w:rsidRPr="001663AE">
        <w:rPr>
          <w:rStyle w:val="af3"/>
          <w:rFonts w:ascii="新細明體" w:hAnsi="新細明體"/>
        </w:rPr>
        <w:footnoteRef/>
      </w:r>
      <w:r w:rsidRPr="001663AE">
        <w:t xml:space="preserve"> J.G., Starke, Introduction to International Law</w:t>
      </w:r>
      <w:r>
        <w:t>(</w:t>
      </w:r>
      <w:r w:rsidRPr="001663AE">
        <w:t xml:space="preserve">London: Buttervworths , 1989), p348; </w:t>
      </w:r>
      <w:r w:rsidRPr="001663AE">
        <w:rPr>
          <w:rFonts w:hint="eastAsia"/>
        </w:rPr>
        <w:t>引自刁仁國，外國人入出境管理法論，桃園：中央警察大學出版社，民國九十年三月，頁</w:t>
      </w:r>
      <w:r w:rsidRPr="001663AE">
        <w:t>33</w:t>
      </w:r>
      <w:r w:rsidRPr="001663AE">
        <w:rPr>
          <w:rFonts w:hint="eastAsia"/>
        </w:rPr>
        <w:t>。</w:t>
      </w:r>
    </w:p>
  </w:footnote>
  <w:footnote w:id="623">
    <w:p w14:paraId="389C08F3"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宮崎繁樹，國際人權的法理，法律時報，第</w:t>
      </w:r>
      <w:r w:rsidRPr="001663AE">
        <w:t>41</w:t>
      </w:r>
      <w:r w:rsidRPr="001663AE">
        <w:rPr>
          <w:rFonts w:hint="eastAsia"/>
        </w:rPr>
        <w:t>卷第</w:t>
      </w:r>
      <w:r w:rsidRPr="001663AE">
        <w:t>4</w:t>
      </w:r>
      <w:r w:rsidRPr="001663AE">
        <w:rPr>
          <w:rFonts w:hint="eastAsia"/>
        </w:rPr>
        <w:t>號，</w:t>
      </w:r>
      <w:r w:rsidRPr="001663AE">
        <w:t>1966</w:t>
      </w:r>
      <w:r w:rsidRPr="001663AE">
        <w:rPr>
          <w:rFonts w:hint="eastAsia"/>
        </w:rPr>
        <w:t>，頁</w:t>
      </w:r>
      <w:r w:rsidRPr="001663AE">
        <w:t>5-6</w:t>
      </w:r>
      <w:r w:rsidRPr="001663AE">
        <w:rPr>
          <w:rFonts w:hint="eastAsia"/>
        </w:rPr>
        <w:t>；引自刁仁國，外國人入出境管理法論，桃園：中央警察大學出版社，民國九十年三月，頁</w:t>
      </w:r>
      <w:r w:rsidRPr="001663AE">
        <w:t>34</w:t>
      </w:r>
      <w:r w:rsidRPr="001663AE">
        <w:rPr>
          <w:rFonts w:hint="eastAsia"/>
        </w:rPr>
        <w:t>。</w:t>
      </w:r>
    </w:p>
  </w:footnote>
  <w:footnote w:id="624">
    <w:p w14:paraId="551031F6" w14:textId="77777777" w:rsidR="00CA23FA" w:rsidRPr="001663AE" w:rsidRDefault="00CA23FA" w:rsidP="00D87D91">
      <w:pPr>
        <w:pStyle w:val="3"/>
      </w:pPr>
      <w:r w:rsidRPr="001663AE">
        <w:rPr>
          <w:rStyle w:val="af3"/>
          <w:rFonts w:ascii="新細明體" w:hAnsi="新細明體"/>
        </w:rPr>
        <w:footnoteRef/>
      </w:r>
      <w:r w:rsidRPr="001663AE">
        <w:t xml:space="preserve"> Starke, International Law Eleven Edition], 1994 </w:t>
      </w:r>
      <w:r w:rsidRPr="001663AE">
        <w:rPr>
          <w:rFonts w:hint="eastAsia"/>
        </w:rPr>
        <w:t>；轉引自</w:t>
      </w:r>
      <w:r w:rsidRPr="001663AE">
        <w:t xml:space="preserve"> </w:t>
      </w:r>
      <w:r w:rsidRPr="001663AE">
        <w:rPr>
          <w:rFonts w:hint="eastAsia"/>
        </w:rPr>
        <w:t>陳錦華譯，國際法，臺北：五南公司，民國</w:t>
      </w:r>
      <w:r w:rsidRPr="001663AE">
        <w:t>88</w:t>
      </w:r>
      <w:r w:rsidRPr="001663AE">
        <w:rPr>
          <w:rFonts w:hint="eastAsia"/>
        </w:rPr>
        <w:t>年，頁</w:t>
      </w:r>
      <w:r w:rsidRPr="001663AE">
        <w:t>440</w:t>
      </w:r>
      <w:r w:rsidRPr="001663AE">
        <w:rPr>
          <w:rFonts w:hint="eastAsia"/>
        </w:rPr>
        <w:t>。另參閱：刁仁國，外國人入出境管理法論，桃園：中央警察大學出版社，民國九十年三月，頁</w:t>
      </w:r>
      <w:r w:rsidRPr="001663AE">
        <w:t>63</w:t>
      </w:r>
      <w:r w:rsidRPr="001663AE">
        <w:rPr>
          <w:rFonts w:hint="eastAsia"/>
        </w:rPr>
        <w:t>；李惠宗，行政法要義，臺北：五南出版社，民國</w:t>
      </w:r>
      <w:r w:rsidRPr="001663AE">
        <w:t>89</w:t>
      </w:r>
      <w:r w:rsidRPr="001663AE">
        <w:rPr>
          <w:rFonts w:hint="eastAsia"/>
        </w:rPr>
        <w:t>年</w:t>
      </w:r>
      <w:r w:rsidRPr="001663AE">
        <w:t>11</w:t>
      </w:r>
      <w:r w:rsidRPr="001663AE">
        <w:rPr>
          <w:rFonts w:hint="eastAsia"/>
        </w:rPr>
        <w:t>月，頁</w:t>
      </w:r>
      <w:r w:rsidRPr="001663AE">
        <w:t>92</w:t>
      </w:r>
      <w:r w:rsidRPr="001663AE">
        <w:rPr>
          <w:rFonts w:hint="eastAsia"/>
        </w:rPr>
        <w:t>。</w:t>
      </w:r>
    </w:p>
  </w:footnote>
  <w:footnote w:id="625">
    <w:p w14:paraId="6959827B" w14:textId="77777777" w:rsidR="00CA23FA" w:rsidRPr="001663AE" w:rsidRDefault="00CA23FA" w:rsidP="00D87D91">
      <w:pPr>
        <w:pStyle w:val="3"/>
      </w:pPr>
      <w:r w:rsidRPr="001663AE">
        <w:rPr>
          <w:rStyle w:val="af3"/>
          <w:rFonts w:ascii="新細明體" w:hAnsi="新細明體"/>
        </w:rPr>
        <w:footnoteRef/>
      </w:r>
      <w:r w:rsidRPr="001663AE">
        <w:t>R. Jennings &amp; A. Watts, Oppenheim's International Law, Vol 1 Part1</w:t>
      </w:r>
      <w:r>
        <w:t>(</w:t>
      </w:r>
      <w:r w:rsidRPr="001663AE">
        <w:t>England; Longman, 1997), pp418-422</w:t>
      </w:r>
      <w:r w:rsidRPr="001663AE">
        <w:rPr>
          <w:rFonts w:hint="eastAsia"/>
        </w:rPr>
        <w:t>；引自刁仁國，外國人入出境管理法論，桃園：中央警察大學出版社，民國九十年三月，頁</w:t>
      </w:r>
      <w:r w:rsidRPr="001663AE">
        <w:t>40</w:t>
      </w:r>
      <w:r w:rsidRPr="001663AE">
        <w:rPr>
          <w:rFonts w:hint="eastAsia"/>
        </w:rPr>
        <w:t>。</w:t>
      </w:r>
    </w:p>
  </w:footnote>
  <w:footnote w:id="626">
    <w:p w14:paraId="29EF99E7"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劉鐵錚，陳榮傳，國際私法論，臺北；三民書局，民國</w:t>
      </w:r>
      <w:r w:rsidRPr="001663AE">
        <w:t>87</w:t>
      </w:r>
      <w:r w:rsidRPr="001663AE">
        <w:rPr>
          <w:rFonts w:hint="eastAsia"/>
        </w:rPr>
        <w:t>年</w:t>
      </w:r>
      <w:r w:rsidRPr="001663AE">
        <w:t>8</w:t>
      </w:r>
      <w:r w:rsidRPr="001663AE">
        <w:rPr>
          <w:rFonts w:hint="eastAsia"/>
        </w:rPr>
        <w:t>月，頁</w:t>
      </w:r>
      <w:r w:rsidRPr="001663AE">
        <w:t>165</w:t>
      </w:r>
      <w:r w:rsidRPr="001663AE">
        <w:rPr>
          <w:rFonts w:hint="eastAsia"/>
        </w:rPr>
        <w:t>。</w:t>
      </w:r>
    </w:p>
  </w:footnote>
  <w:footnote w:id="627">
    <w:p w14:paraId="67EFF800" w14:textId="77777777" w:rsidR="00CA23FA" w:rsidRPr="001663AE" w:rsidRDefault="00CA23FA" w:rsidP="00D87D91">
      <w:pPr>
        <w:pStyle w:val="3"/>
      </w:pPr>
      <w:r w:rsidRPr="001663AE">
        <w:rPr>
          <w:rStyle w:val="af3"/>
          <w:rFonts w:ascii="新細明體" w:hAnsi="新細明體"/>
        </w:rPr>
        <w:footnoteRef/>
      </w:r>
      <w:r w:rsidRPr="001663AE">
        <w:rPr>
          <w:rFonts w:hint="eastAsia"/>
        </w:rPr>
        <w:t>芹田健太郎，日本外國人的國際法上權利與義務，</w:t>
      </w:r>
      <w:r w:rsidRPr="001663AE">
        <w:t>No.877, 1987</w:t>
      </w:r>
      <w:r w:rsidRPr="001663AE">
        <w:rPr>
          <w:rFonts w:hint="eastAsia"/>
        </w:rPr>
        <w:t>年，</w:t>
      </w:r>
      <w:r w:rsidRPr="001663AE">
        <w:t>p36.</w:t>
      </w:r>
      <w:r w:rsidRPr="001663AE">
        <w:rPr>
          <w:rFonts w:hint="eastAsia"/>
        </w:rPr>
        <w:t>；引自刁仁國，外國人入出境管理法論，桃園：中央警察大學出版社，民國九十年三月，頁</w:t>
      </w:r>
      <w:r w:rsidRPr="001663AE">
        <w:t>41</w:t>
      </w:r>
      <w:r w:rsidRPr="001663AE">
        <w:rPr>
          <w:rFonts w:hint="eastAsia"/>
        </w:rPr>
        <w:t>。</w:t>
      </w:r>
    </w:p>
  </w:footnote>
  <w:footnote w:id="628">
    <w:p w14:paraId="7C0A03F8" w14:textId="77777777" w:rsidR="00CA23FA" w:rsidRPr="001663AE" w:rsidRDefault="00CA23FA" w:rsidP="00D87D91">
      <w:pPr>
        <w:pStyle w:val="3"/>
      </w:pPr>
      <w:r w:rsidRPr="001663AE">
        <w:rPr>
          <w:rStyle w:val="af3"/>
          <w:rFonts w:ascii="新細明體" w:hAnsi="新細明體"/>
        </w:rPr>
        <w:footnoteRef/>
      </w:r>
      <w:r w:rsidRPr="001663AE">
        <w:t xml:space="preserve"> G.S., Good-Gill, International Law and the Movement of Persons between States</w:t>
      </w:r>
      <w:r>
        <w:t>(</w:t>
      </w:r>
      <w:r w:rsidRPr="001663AE">
        <w:t>Oxford: Clarendon Press, 1978), pp96;</w:t>
      </w:r>
      <w:r w:rsidRPr="001663AE">
        <w:rPr>
          <w:rFonts w:hint="eastAsia"/>
        </w:rPr>
        <w:t>引自：刁仁國，外國人入出境管理法論，桃園：中央警察大學出版社，民國九十年三月，頁</w:t>
      </w:r>
      <w:r w:rsidRPr="001663AE">
        <w:t>41</w:t>
      </w:r>
      <w:r w:rsidRPr="001663AE">
        <w:rPr>
          <w:rFonts w:hint="eastAsia"/>
        </w:rPr>
        <w:t>。</w:t>
      </w:r>
    </w:p>
  </w:footnote>
  <w:footnote w:id="629">
    <w:p w14:paraId="2747377B" w14:textId="77777777" w:rsidR="00CA23FA" w:rsidRPr="001663AE" w:rsidRDefault="00CA23FA" w:rsidP="00D87D91">
      <w:pPr>
        <w:pStyle w:val="3"/>
      </w:pPr>
      <w:r w:rsidRPr="001663AE">
        <w:rPr>
          <w:rStyle w:val="af3"/>
          <w:rFonts w:ascii="新細明體" w:hAnsi="新細明體"/>
        </w:rPr>
        <w:footnoteRef/>
      </w:r>
      <w:r w:rsidRPr="001663AE">
        <w:rPr>
          <w:rFonts w:hint="eastAsia"/>
        </w:rPr>
        <w:t>劉鐵錚，陳榮傳，國際私法論，臺北；三民書局，民國</w:t>
      </w:r>
      <w:r w:rsidRPr="001663AE">
        <w:t>87</w:t>
      </w:r>
      <w:r w:rsidRPr="001663AE">
        <w:rPr>
          <w:rFonts w:hint="eastAsia"/>
        </w:rPr>
        <w:t>年</w:t>
      </w:r>
      <w:r w:rsidRPr="001663AE">
        <w:t>8</w:t>
      </w:r>
      <w:r w:rsidRPr="001663AE">
        <w:rPr>
          <w:rFonts w:hint="eastAsia"/>
        </w:rPr>
        <w:t>月，頁</w:t>
      </w:r>
      <w:r w:rsidRPr="001663AE">
        <w:t>164</w:t>
      </w:r>
      <w:r w:rsidRPr="001663AE">
        <w:rPr>
          <w:rFonts w:hint="eastAsia"/>
        </w:rPr>
        <w:t>。</w:t>
      </w:r>
    </w:p>
  </w:footnote>
  <w:footnote w:id="630">
    <w:p w14:paraId="72284338" w14:textId="77777777" w:rsidR="00CA23FA" w:rsidRPr="001663AE" w:rsidRDefault="00CA23FA" w:rsidP="00D87D91">
      <w:pPr>
        <w:pStyle w:val="3"/>
      </w:pPr>
      <w:r w:rsidRPr="001663AE">
        <w:rPr>
          <w:rStyle w:val="af3"/>
          <w:rFonts w:ascii="新細明體" w:hAnsi="新細明體"/>
        </w:rPr>
        <w:footnoteRef/>
      </w:r>
      <w:r w:rsidRPr="001663AE">
        <w:rPr>
          <w:rFonts w:hint="eastAsia"/>
        </w:rPr>
        <w:t>陳錦華譯，國際法，臺北：五南公司，民國</w:t>
      </w:r>
      <w:r w:rsidRPr="001663AE">
        <w:t>88</w:t>
      </w:r>
      <w:r w:rsidRPr="001663AE">
        <w:rPr>
          <w:rFonts w:hint="eastAsia"/>
        </w:rPr>
        <w:t>年，頁</w:t>
      </w:r>
      <w:r w:rsidRPr="001663AE">
        <w:t>440</w:t>
      </w:r>
      <w:r w:rsidRPr="001663AE">
        <w:rPr>
          <w:rFonts w:hint="eastAsia"/>
        </w:rPr>
        <w:t>。</w:t>
      </w:r>
    </w:p>
  </w:footnote>
  <w:footnote w:id="631">
    <w:p w14:paraId="0DA7BDDF" w14:textId="77777777" w:rsidR="00CA23FA" w:rsidRPr="001663AE" w:rsidRDefault="00CA23FA" w:rsidP="00D87D91">
      <w:pPr>
        <w:pStyle w:val="3"/>
      </w:pPr>
      <w:r w:rsidRPr="001663AE">
        <w:rPr>
          <w:rStyle w:val="af3"/>
          <w:rFonts w:ascii="新細明體" w:hAnsi="新細明體"/>
        </w:rPr>
        <w:footnoteRef/>
      </w:r>
      <w:r w:rsidRPr="001663AE">
        <w:rPr>
          <w:rFonts w:hint="eastAsia"/>
        </w:rPr>
        <w:t>劉鐵錚，陳榮傳，國際私法論，臺北；三民書局，民國</w:t>
      </w:r>
      <w:r w:rsidRPr="001663AE">
        <w:t>87</w:t>
      </w:r>
      <w:r w:rsidRPr="001663AE">
        <w:rPr>
          <w:rFonts w:hint="eastAsia"/>
        </w:rPr>
        <w:t>年</w:t>
      </w:r>
      <w:r w:rsidRPr="001663AE">
        <w:t>8</w:t>
      </w:r>
      <w:r w:rsidRPr="001663AE">
        <w:rPr>
          <w:rFonts w:hint="eastAsia"/>
        </w:rPr>
        <w:t>月，頁</w:t>
      </w:r>
      <w:r w:rsidRPr="001663AE">
        <w:t>164-165</w:t>
      </w:r>
      <w:r w:rsidRPr="001663AE">
        <w:rPr>
          <w:rFonts w:hint="eastAsia"/>
        </w:rPr>
        <w:t>。</w:t>
      </w:r>
    </w:p>
  </w:footnote>
  <w:footnote w:id="632">
    <w:p w14:paraId="772BD7AB" w14:textId="77777777" w:rsidR="00CA23FA" w:rsidRPr="001663AE" w:rsidRDefault="00CA23FA" w:rsidP="00D87D91">
      <w:pPr>
        <w:pStyle w:val="3"/>
      </w:pPr>
      <w:r w:rsidRPr="001663AE">
        <w:rPr>
          <w:rStyle w:val="af3"/>
          <w:rFonts w:ascii="新細明體" w:hAnsi="新細明體"/>
        </w:rPr>
        <w:footnoteRef/>
      </w:r>
      <w:r w:rsidRPr="001663AE">
        <w:rPr>
          <w:rFonts w:hint="eastAsia"/>
        </w:rPr>
        <w:t>劉鐵錚，陳榮傳，國際私法論，臺北；三民書局，民國</w:t>
      </w:r>
      <w:r w:rsidRPr="001663AE">
        <w:t>87</w:t>
      </w:r>
      <w:r w:rsidRPr="001663AE">
        <w:rPr>
          <w:rFonts w:hint="eastAsia"/>
        </w:rPr>
        <w:t>年</w:t>
      </w:r>
      <w:r w:rsidRPr="001663AE">
        <w:t>8</w:t>
      </w:r>
      <w:r w:rsidRPr="001663AE">
        <w:rPr>
          <w:rFonts w:hint="eastAsia"/>
        </w:rPr>
        <w:t>月，頁</w:t>
      </w:r>
      <w:r w:rsidRPr="001663AE">
        <w:t>165</w:t>
      </w:r>
      <w:r w:rsidRPr="001663AE">
        <w:rPr>
          <w:rFonts w:hint="eastAsia"/>
        </w:rPr>
        <w:t>。</w:t>
      </w:r>
    </w:p>
  </w:footnote>
  <w:footnote w:id="633">
    <w:p w14:paraId="67FDBC25"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許慶雄、李明峻，現代國際法入門，臺北：月旦出版社，民國</w:t>
      </w:r>
      <w:r w:rsidRPr="001663AE">
        <w:t>82</w:t>
      </w:r>
      <w:r w:rsidRPr="001663AE">
        <w:rPr>
          <w:rFonts w:hint="eastAsia"/>
        </w:rPr>
        <w:t>年，頁</w:t>
      </w:r>
      <w:r w:rsidRPr="001663AE">
        <w:t>235~236</w:t>
      </w:r>
      <w:r w:rsidRPr="001663AE">
        <w:rPr>
          <w:rFonts w:hint="eastAsia"/>
        </w:rPr>
        <w:t>；吳嘉生，國際法學原理</w:t>
      </w:r>
      <w:r w:rsidRPr="001663AE">
        <w:t>—</w:t>
      </w:r>
      <w:r w:rsidRPr="001663AE">
        <w:rPr>
          <w:rFonts w:hint="eastAsia"/>
        </w:rPr>
        <w:t>本質與功能之研究，臺北：五南圖書出版公司，民國</w:t>
      </w:r>
      <w:r w:rsidRPr="001663AE">
        <w:t>89</w:t>
      </w:r>
      <w:r w:rsidRPr="001663AE">
        <w:rPr>
          <w:rFonts w:hint="eastAsia"/>
        </w:rPr>
        <w:t>年，頁</w:t>
      </w:r>
      <w:r w:rsidRPr="001663AE">
        <w:t>314</w:t>
      </w:r>
      <w:r w:rsidRPr="001663AE">
        <w:rPr>
          <w:rFonts w:hint="eastAsia"/>
        </w:rPr>
        <w:t>。</w:t>
      </w:r>
    </w:p>
  </w:footnote>
  <w:footnote w:id="634">
    <w:p w14:paraId="0C27CF8E" w14:textId="77777777" w:rsidR="00CA23FA" w:rsidRPr="001663AE" w:rsidRDefault="00CA23FA" w:rsidP="00D87D91">
      <w:pPr>
        <w:pStyle w:val="3"/>
      </w:pPr>
      <w:r w:rsidRPr="001663AE">
        <w:rPr>
          <w:rStyle w:val="af3"/>
          <w:rFonts w:ascii="新細明體" w:hAnsi="新細明體"/>
        </w:rPr>
        <w:footnoteRef/>
      </w:r>
      <w:r w:rsidRPr="001663AE">
        <w:t xml:space="preserve"> Verdross, Voelkerrecht, 1964, 5. Aufl, S.219; </w:t>
      </w:r>
      <w:r w:rsidRPr="001663AE">
        <w:rPr>
          <w:rFonts w:hint="eastAsia"/>
        </w:rPr>
        <w:t>李震山，入出境管理之概念與範疇，警專學報第</w:t>
      </w:r>
      <w:r w:rsidRPr="001663AE">
        <w:t>1</w:t>
      </w:r>
      <w:r w:rsidRPr="001663AE">
        <w:rPr>
          <w:rFonts w:hint="eastAsia"/>
        </w:rPr>
        <w:t>卷第</w:t>
      </w:r>
      <w:r w:rsidRPr="001663AE">
        <w:t>8</w:t>
      </w:r>
      <w:r w:rsidRPr="001663AE">
        <w:rPr>
          <w:rFonts w:hint="eastAsia"/>
        </w:rPr>
        <w:t>期，民國</w:t>
      </w:r>
      <w:r w:rsidRPr="001663AE">
        <w:t>84</w:t>
      </w:r>
      <w:r w:rsidRPr="001663AE">
        <w:rPr>
          <w:rFonts w:hint="eastAsia"/>
        </w:rPr>
        <w:t>年，第</w:t>
      </w:r>
      <w:r w:rsidRPr="001663AE">
        <w:t>210-211</w:t>
      </w:r>
      <w:r w:rsidRPr="001663AE">
        <w:rPr>
          <w:rFonts w:hint="eastAsia"/>
        </w:rPr>
        <w:t>頁；刁仁國，外國人入出境管理法論，桃園：中央警察大學，民</w:t>
      </w:r>
      <w:r w:rsidRPr="001663AE">
        <w:t>90</w:t>
      </w:r>
      <w:r w:rsidRPr="001663AE">
        <w:rPr>
          <w:rFonts w:hint="eastAsia"/>
        </w:rPr>
        <w:t>年，</w:t>
      </w:r>
      <w:r w:rsidRPr="001663AE">
        <w:t>40</w:t>
      </w:r>
      <w:r w:rsidRPr="001663AE">
        <w:rPr>
          <w:rFonts w:hint="eastAsia"/>
        </w:rPr>
        <w:t>頁。李震山，入出境管理之一般法理基礎，收錄於李震山等著，入出國管理及安全檢查專題研究，中央警察大學，</w:t>
      </w:r>
      <w:r w:rsidRPr="001663AE">
        <w:t>1999</w:t>
      </w:r>
      <w:r w:rsidRPr="001663AE">
        <w:rPr>
          <w:rFonts w:hint="eastAsia"/>
        </w:rPr>
        <w:t>年</w:t>
      </w:r>
      <w:r w:rsidRPr="001663AE">
        <w:t>8</w:t>
      </w:r>
      <w:r w:rsidRPr="001663AE">
        <w:rPr>
          <w:rFonts w:hint="eastAsia"/>
        </w:rPr>
        <w:t>月，頁</w:t>
      </w:r>
      <w:r w:rsidRPr="001663AE">
        <w:t>11</w:t>
      </w:r>
      <w:r w:rsidRPr="001663AE">
        <w:rPr>
          <w:rFonts w:hint="eastAsia"/>
        </w:rPr>
        <w:t>。</w:t>
      </w:r>
    </w:p>
  </w:footnote>
  <w:footnote w:id="635">
    <w:p w14:paraId="6E523494" w14:textId="77777777" w:rsidR="00CA23FA" w:rsidRPr="001663AE" w:rsidRDefault="00CA23FA" w:rsidP="00D87D91">
      <w:pPr>
        <w:pStyle w:val="3"/>
      </w:pPr>
      <w:r w:rsidRPr="001663AE">
        <w:rPr>
          <w:rStyle w:val="af3"/>
          <w:rFonts w:ascii="新細明體" w:hAnsi="新細明體"/>
        </w:rPr>
        <w:footnoteRef/>
      </w:r>
      <w:r w:rsidRPr="001663AE">
        <w:rPr>
          <w:rFonts w:hint="eastAsia"/>
        </w:rPr>
        <w:t>蘆部信喜，憲法；李鴻禧譯，憲法，臺北：月旦出版公司，</w:t>
      </w:r>
      <w:r w:rsidRPr="001663AE">
        <w:t>1997</w:t>
      </w:r>
      <w:r w:rsidRPr="001663AE">
        <w:rPr>
          <w:rFonts w:hint="eastAsia"/>
        </w:rPr>
        <w:t>年</w:t>
      </w:r>
      <w:r w:rsidRPr="001663AE">
        <w:t>5</w:t>
      </w:r>
      <w:r w:rsidRPr="001663AE">
        <w:rPr>
          <w:rFonts w:hint="eastAsia"/>
        </w:rPr>
        <w:t>月，頁</w:t>
      </w:r>
      <w:r w:rsidRPr="001663AE">
        <w:t>109</w:t>
      </w:r>
      <w:r w:rsidRPr="001663AE">
        <w:rPr>
          <w:rFonts w:hint="eastAsia"/>
        </w:rPr>
        <w:t>。</w:t>
      </w:r>
    </w:p>
  </w:footnote>
  <w:footnote w:id="636">
    <w:p w14:paraId="62B8023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蘆部信喜，前揭書，頁</w:t>
      </w:r>
      <w:r w:rsidRPr="001663AE">
        <w:t>109-110</w:t>
      </w:r>
      <w:r w:rsidRPr="001663AE">
        <w:rPr>
          <w:rFonts w:hint="eastAsia"/>
        </w:rPr>
        <w:t>。</w:t>
      </w:r>
    </w:p>
  </w:footnote>
  <w:footnote w:id="637">
    <w:p w14:paraId="483A8400"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蘆部信喜，前揭書，頁</w:t>
      </w:r>
      <w:r w:rsidRPr="001663AE">
        <w:t>110</w:t>
      </w:r>
      <w:r w:rsidRPr="001663AE">
        <w:rPr>
          <w:rFonts w:hint="eastAsia"/>
        </w:rPr>
        <w:t>。</w:t>
      </w:r>
    </w:p>
  </w:footnote>
  <w:footnote w:id="638">
    <w:p w14:paraId="07E6C36E" w14:textId="77777777" w:rsidR="00CA23FA" w:rsidRPr="001663AE" w:rsidRDefault="00CA23FA" w:rsidP="00D87D91">
      <w:pPr>
        <w:pStyle w:val="3"/>
      </w:pPr>
      <w:r w:rsidRPr="001663AE">
        <w:rPr>
          <w:rStyle w:val="af3"/>
          <w:rFonts w:ascii="新細明體" w:hAnsi="新細明體"/>
        </w:rPr>
        <w:footnoteRef/>
      </w:r>
      <w:r w:rsidRPr="001663AE">
        <w:t xml:space="preserve"> Virginia,Harper-Ho., Noncitizen voting rights: the history, the Law and current prospects for change, Law and Inequality, summer 2000.</w:t>
      </w:r>
    </w:p>
  </w:footnote>
  <w:footnote w:id="639">
    <w:p w14:paraId="3AE3F4C1"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許義寶，外國人居留權之研究，中央警察大學外事警察學術研討會，民國</w:t>
      </w:r>
      <w:r w:rsidRPr="001663AE">
        <w:t>91</w:t>
      </w:r>
      <w:r w:rsidRPr="001663AE">
        <w:rPr>
          <w:rFonts w:hint="eastAsia"/>
        </w:rPr>
        <w:t>年</w:t>
      </w:r>
      <w:r w:rsidRPr="001663AE">
        <w:t>5</w:t>
      </w:r>
      <w:r w:rsidRPr="001663AE">
        <w:rPr>
          <w:rFonts w:hint="eastAsia"/>
        </w:rPr>
        <w:t>月。</w:t>
      </w:r>
    </w:p>
  </w:footnote>
  <w:footnote w:id="640">
    <w:p w14:paraId="563166E1"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參見「公民與政治權利國際公約」（</w:t>
      </w:r>
      <w:r w:rsidRPr="001663AE">
        <w:t>International Covenant On Civil and Political Rights</w:t>
      </w:r>
      <w:r w:rsidRPr="001663AE">
        <w:rPr>
          <w:rFonts w:hint="eastAsia"/>
        </w:rPr>
        <w:t>）</w:t>
      </w:r>
      <w:r w:rsidRPr="001663AE">
        <w:t>(</w:t>
      </w:r>
      <w:r w:rsidRPr="001663AE">
        <w:rPr>
          <w:rFonts w:hint="eastAsia"/>
        </w:rPr>
        <w:t>即</w:t>
      </w:r>
      <w:r w:rsidRPr="001663AE">
        <w:t>B</w:t>
      </w:r>
      <w:r w:rsidRPr="001663AE">
        <w:rPr>
          <w:rFonts w:hint="eastAsia"/>
        </w:rPr>
        <w:t>公約</w:t>
      </w:r>
      <w:r w:rsidRPr="001663AE">
        <w:t>)</w:t>
      </w:r>
      <w:r w:rsidRPr="001663AE">
        <w:rPr>
          <w:rFonts w:hint="eastAsia"/>
        </w:rPr>
        <w:t>第</w:t>
      </w:r>
      <w:r w:rsidRPr="001663AE">
        <w:t>12</w:t>
      </w:r>
      <w:r w:rsidRPr="001663AE">
        <w:rPr>
          <w:rFonts w:hint="eastAsia"/>
        </w:rPr>
        <w:t>條第</w:t>
      </w:r>
      <w:r w:rsidRPr="001663AE">
        <w:t>4</w:t>
      </w:r>
      <w:r w:rsidRPr="001663AE">
        <w:rPr>
          <w:rFonts w:hint="eastAsia"/>
        </w:rPr>
        <w:t>項。</w:t>
      </w:r>
    </w:p>
  </w:footnote>
  <w:footnote w:id="641">
    <w:p w14:paraId="4044AC9D"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蘆部信喜，憲法；李鴻禧譯，憲法，臺北：月旦出版公司，</w:t>
      </w:r>
      <w:r w:rsidRPr="001663AE">
        <w:t>1997</w:t>
      </w:r>
      <w:r w:rsidRPr="001663AE">
        <w:rPr>
          <w:rFonts w:hint="eastAsia"/>
        </w:rPr>
        <w:t>年</w:t>
      </w:r>
      <w:r w:rsidRPr="001663AE">
        <w:t>5</w:t>
      </w:r>
      <w:r w:rsidRPr="001663AE">
        <w:rPr>
          <w:rFonts w:hint="eastAsia"/>
        </w:rPr>
        <w:t>月，頁</w:t>
      </w:r>
      <w:r w:rsidRPr="001663AE">
        <w:t>205 –206</w:t>
      </w:r>
      <w:r w:rsidRPr="001663AE">
        <w:rPr>
          <w:rFonts w:hint="eastAsia"/>
        </w:rPr>
        <w:t>。</w:t>
      </w:r>
    </w:p>
  </w:footnote>
  <w:footnote w:id="642">
    <w:p w14:paraId="259EEBF0"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陳錦華譯，前揭書，頁</w:t>
      </w:r>
      <w:r w:rsidRPr="001663AE">
        <w:t>443</w:t>
      </w:r>
      <w:r w:rsidRPr="001663AE">
        <w:rPr>
          <w:rFonts w:hint="eastAsia"/>
        </w:rPr>
        <w:t>。</w:t>
      </w:r>
    </w:p>
  </w:footnote>
  <w:footnote w:id="643">
    <w:p w14:paraId="5CCE150D"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陳錦華譯，前揭書，頁</w:t>
      </w:r>
      <w:r w:rsidRPr="001663AE">
        <w:t>443</w:t>
      </w:r>
      <w:r w:rsidRPr="001663AE">
        <w:rPr>
          <w:rFonts w:hint="eastAsia"/>
        </w:rPr>
        <w:t>。</w:t>
      </w:r>
    </w:p>
  </w:footnote>
  <w:footnote w:id="644">
    <w:p w14:paraId="690A7CC5"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孫以凡，外籍勞工法制與國際法上保障之研究，中華法學第</w:t>
      </w:r>
      <w:r w:rsidRPr="001663AE">
        <w:t>6</w:t>
      </w:r>
      <w:r w:rsidRPr="001663AE">
        <w:rPr>
          <w:rFonts w:hint="eastAsia"/>
        </w:rPr>
        <w:t>期，</w:t>
      </w:r>
      <w:r w:rsidRPr="001663AE">
        <w:t>1996</w:t>
      </w:r>
      <w:r w:rsidRPr="001663AE">
        <w:rPr>
          <w:rFonts w:hint="eastAsia"/>
        </w:rPr>
        <w:t>年</w:t>
      </w:r>
      <w:r w:rsidRPr="001663AE">
        <w:t>4</w:t>
      </w:r>
      <w:r w:rsidRPr="001663AE">
        <w:rPr>
          <w:rFonts w:hint="eastAsia"/>
        </w:rPr>
        <w:t>月，頁</w:t>
      </w:r>
      <w:r w:rsidRPr="001663AE">
        <w:t>175</w:t>
      </w:r>
      <w:r w:rsidRPr="001663AE">
        <w:rPr>
          <w:rFonts w:hint="eastAsia"/>
        </w:rPr>
        <w:t>；蘇麗嬌，在台外國人工作及其相關權利之研究，中央警察大學行政警察研究所碩士論文，頁</w:t>
      </w:r>
      <w:r w:rsidRPr="001663AE">
        <w:t>109-142</w:t>
      </w:r>
      <w:r w:rsidRPr="001663AE">
        <w:rPr>
          <w:rFonts w:hint="eastAsia"/>
        </w:rPr>
        <w:t>。</w:t>
      </w:r>
    </w:p>
  </w:footnote>
  <w:footnote w:id="645">
    <w:p w14:paraId="526184BB" w14:textId="77777777" w:rsidR="00CA23FA" w:rsidRPr="001663AE" w:rsidRDefault="00CA23FA" w:rsidP="00D87D91">
      <w:pPr>
        <w:pStyle w:val="3"/>
      </w:pPr>
      <w:r w:rsidRPr="001663AE">
        <w:rPr>
          <w:rStyle w:val="af3"/>
          <w:rFonts w:ascii="新細明體" w:hAnsi="新細明體"/>
        </w:rPr>
        <w:footnoteRef/>
      </w:r>
      <w:r w:rsidRPr="001663AE">
        <w:t xml:space="preserve"> Jennings and Watts, Vol. 1, Parts 2-4,</w:t>
      </w:r>
      <w:r w:rsidRPr="001663AE">
        <w:rPr>
          <w:rFonts w:hint="eastAsia"/>
        </w:rPr>
        <w:t>頁</w:t>
      </w:r>
      <w:r w:rsidRPr="001663AE">
        <w:t>901-902</w:t>
      </w:r>
      <w:r w:rsidRPr="001663AE">
        <w:rPr>
          <w:rFonts w:hint="eastAsia"/>
        </w:rPr>
        <w:t>；丘宏達，現代國際法，臺北：三民書局，</w:t>
      </w:r>
      <w:r w:rsidRPr="001663AE">
        <w:t>2002</w:t>
      </w:r>
      <w:r w:rsidRPr="001663AE">
        <w:rPr>
          <w:rFonts w:hint="eastAsia"/>
        </w:rPr>
        <w:t>年</w:t>
      </w:r>
      <w:r w:rsidRPr="001663AE">
        <w:t>8</w:t>
      </w:r>
      <w:r w:rsidRPr="001663AE">
        <w:rPr>
          <w:rFonts w:hint="eastAsia"/>
        </w:rPr>
        <w:t>月</w:t>
      </w:r>
      <w:r w:rsidRPr="001663AE">
        <w:t>435</w:t>
      </w:r>
      <w:r w:rsidRPr="001663AE">
        <w:rPr>
          <w:rFonts w:hint="eastAsia"/>
        </w:rPr>
        <w:t>頁。</w:t>
      </w:r>
    </w:p>
  </w:footnote>
  <w:footnote w:id="646">
    <w:p w14:paraId="022DDABF" w14:textId="77777777" w:rsidR="00CA23FA" w:rsidRPr="001663AE" w:rsidRDefault="00CA23FA" w:rsidP="00D87D91">
      <w:pPr>
        <w:pStyle w:val="3"/>
      </w:pPr>
      <w:r w:rsidRPr="001663AE">
        <w:rPr>
          <w:rStyle w:val="af3"/>
          <w:rFonts w:ascii="新細明體" w:hAnsi="新細明體"/>
        </w:rPr>
        <w:footnoteRef/>
      </w:r>
      <w:r w:rsidRPr="001663AE">
        <w:t xml:space="preserve"> Jennings &amp;watts, Vol. 1, Parts 2-4,</w:t>
      </w:r>
      <w:r w:rsidRPr="001663AE">
        <w:rPr>
          <w:rFonts w:hint="eastAsia"/>
        </w:rPr>
        <w:t>前揭書，頁</w:t>
      </w:r>
      <w:r w:rsidRPr="001663AE">
        <w:t>904</w:t>
      </w:r>
      <w:r w:rsidRPr="001663AE">
        <w:rPr>
          <w:rFonts w:hint="eastAsia"/>
        </w:rPr>
        <w:t>，丘宏達，前揭書，</w:t>
      </w:r>
      <w:r w:rsidRPr="001663AE">
        <w:t>2002</w:t>
      </w:r>
      <w:r w:rsidRPr="001663AE">
        <w:rPr>
          <w:rFonts w:hint="eastAsia"/>
        </w:rPr>
        <w:t>，頁</w:t>
      </w:r>
      <w:r w:rsidRPr="001663AE">
        <w:t>435</w:t>
      </w:r>
      <w:r w:rsidRPr="001663AE">
        <w:rPr>
          <w:rFonts w:hint="eastAsia"/>
        </w:rPr>
        <w:t>）</w:t>
      </w:r>
    </w:p>
  </w:footnote>
  <w:footnote w:id="647">
    <w:p w14:paraId="342D7893" w14:textId="77777777" w:rsidR="00CA23FA" w:rsidRPr="001663AE" w:rsidRDefault="00CA23FA" w:rsidP="00D87D91">
      <w:pPr>
        <w:pStyle w:val="3"/>
      </w:pPr>
      <w:r w:rsidRPr="001663AE">
        <w:rPr>
          <w:rStyle w:val="af3"/>
          <w:rFonts w:ascii="新細明體" w:hAnsi="新細明體"/>
        </w:rPr>
        <w:footnoteRef/>
      </w:r>
      <w:r w:rsidRPr="001663AE">
        <w:t xml:space="preserve"> Jennings and Watts, Vol.1, Parts 2-4, </w:t>
      </w:r>
      <w:r w:rsidRPr="001663AE">
        <w:rPr>
          <w:rFonts w:hint="eastAsia"/>
        </w:rPr>
        <w:t>前揭書，頁</w:t>
      </w:r>
      <w:r w:rsidRPr="001663AE">
        <w:t xml:space="preserve">903 ; Starke, p359 ; </w:t>
      </w:r>
      <w:r w:rsidRPr="001663AE">
        <w:rPr>
          <w:rFonts w:hint="eastAsia"/>
        </w:rPr>
        <w:t>丘宏達，前揭書，</w:t>
      </w:r>
      <w:r w:rsidRPr="001663AE">
        <w:t>2002</w:t>
      </w:r>
      <w:r w:rsidRPr="001663AE">
        <w:rPr>
          <w:rFonts w:hint="eastAsia"/>
        </w:rPr>
        <w:t>，頁</w:t>
      </w:r>
      <w:r w:rsidRPr="001663AE">
        <w:t>435</w:t>
      </w:r>
      <w:r w:rsidRPr="001663AE">
        <w:rPr>
          <w:rFonts w:hint="eastAsia"/>
        </w:rPr>
        <w:t>。</w:t>
      </w:r>
    </w:p>
  </w:footnote>
  <w:footnote w:id="648">
    <w:p w14:paraId="4F77792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丘宏達，前揭書，</w:t>
      </w:r>
      <w:r w:rsidRPr="001663AE">
        <w:t>2002</w:t>
      </w:r>
      <w:r w:rsidRPr="001663AE">
        <w:rPr>
          <w:rFonts w:hint="eastAsia"/>
        </w:rPr>
        <w:t>，頁</w:t>
      </w:r>
      <w:r w:rsidRPr="001663AE">
        <w:t>435</w:t>
      </w:r>
      <w:r w:rsidRPr="001663AE">
        <w:rPr>
          <w:rFonts w:hint="eastAsia"/>
        </w:rPr>
        <w:t>。</w:t>
      </w:r>
    </w:p>
  </w:footnote>
  <w:footnote w:id="649">
    <w:p w14:paraId="35704854" w14:textId="77777777" w:rsidR="00CA23FA" w:rsidRPr="001663AE" w:rsidRDefault="00CA23FA" w:rsidP="00D87D91">
      <w:pPr>
        <w:pStyle w:val="3"/>
      </w:pPr>
      <w:r w:rsidRPr="001663AE">
        <w:rPr>
          <w:rStyle w:val="af3"/>
          <w:rFonts w:ascii="新細明體" w:hAnsi="新細明體"/>
        </w:rPr>
        <w:footnoteRef/>
      </w:r>
      <w:r w:rsidRPr="001663AE">
        <w:t xml:space="preserve"> IA, Shearer., International Law, </w:t>
      </w:r>
      <w:r w:rsidRPr="001663AE">
        <w:rPr>
          <w:rFonts w:hint="eastAsia"/>
        </w:rPr>
        <w:t>前揭書，</w:t>
      </w:r>
      <w:r w:rsidRPr="001663AE">
        <w:t>1994</w:t>
      </w:r>
      <w:r w:rsidRPr="001663AE">
        <w:rPr>
          <w:rFonts w:hint="eastAsia"/>
        </w:rPr>
        <w:t>；陳錦華譯，前揭書，頁</w:t>
      </w:r>
      <w:r w:rsidRPr="001663AE">
        <w:t>455</w:t>
      </w:r>
      <w:r w:rsidRPr="001663AE">
        <w:rPr>
          <w:rFonts w:hint="eastAsia"/>
        </w:rPr>
        <w:t>。</w:t>
      </w:r>
    </w:p>
  </w:footnote>
  <w:footnote w:id="650">
    <w:p w14:paraId="2F9392F6" w14:textId="77777777" w:rsidR="00CA23FA" w:rsidRPr="001663AE" w:rsidRDefault="00CA23FA" w:rsidP="00D87D91">
      <w:pPr>
        <w:pStyle w:val="3"/>
      </w:pPr>
      <w:r w:rsidRPr="001663AE">
        <w:rPr>
          <w:rStyle w:val="af3"/>
          <w:rFonts w:ascii="新細明體" w:hAnsi="新細明體"/>
        </w:rPr>
        <w:footnoteRef/>
      </w:r>
      <w:r w:rsidRPr="001663AE">
        <w:t xml:space="preserve"> IA, Sherarer</w:t>
      </w:r>
      <w:r w:rsidRPr="001663AE">
        <w:rPr>
          <w:rFonts w:hint="eastAsia"/>
        </w:rPr>
        <w:t>；陳錦華譯，前揭書，頁</w:t>
      </w:r>
      <w:r w:rsidRPr="001663AE">
        <w:t>454-455</w:t>
      </w:r>
      <w:r w:rsidRPr="001663AE">
        <w:rPr>
          <w:rFonts w:hint="eastAsia"/>
        </w:rPr>
        <w:t>。</w:t>
      </w:r>
    </w:p>
  </w:footnote>
  <w:footnote w:id="651">
    <w:p w14:paraId="4B79B60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丘宏達，前揭書，</w:t>
      </w:r>
      <w:r w:rsidRPr="001663AE">
        <w:t>2002</w:t>
      </w:r>
      <w:r w:rsidRPr="001663AE">
        <w:rPr>
          <w:rFonts w:hint="eastAsia"/>
        </w:rPr>
        <w:t>年</w:t>
      </w:r>
      <w:r w:rsidRPr="001663AE">
        <w:t>8</w:t>
      </w:r>
      <w:r w:rsidRPr="001663AE">
        <w:rPr>
          <w:rFonts w:hint="eastAsia"/>
        </w:rPr>
        <w:t>月，頁</w:t>
      </w:r>
      <w:r w:rsidRPr="001663AE">
        <w:t>421</w:t>
      </w:r>
      <w:r w:rsidRPr="001663AE">
        <w:rPr>
          <w:rFonts w:hint="eastAsia"/>
        </w:rPr>
        <w:t>。</w:t>
      </w:r>
    </w:p>
  </w:footnote>
  <w:footnote w:id="652">
    <w:p w14:paraId="17499333"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陳錦華譯，前揭書，頁</w:t>
      </w:r>
      <w:r w:rsidRPr="001663AE">
        <w:t>455-456</w:t>
      </w:r>
      <w:r w:rsidRPr="001663AE">
        <w:rPr>
          <w:rFonts w:hint="eastAsia"/>
        </w:rPr>
        <w:t>。</w:t>
      </w:r>
    </w:p>
  </w:footnote>
  <w:footnote w:id="653">
    <w:p w14:paraId="7CA0BEC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陳錦華譯，前揭書，頁</w:t>
      </w:r>
      <w:r w:rsidRPr="001663AE">
        <w:t>456-457</w:t>
      </w:r>
      <w:r w:rsidRPr="001663AE">
        <w:rPr>
          <w:rFonts w:hint="eastAsia"/>
        </w:rPr>
        <w:t>。</w:t>
      </w:r>
    </w:p>
  </w:footnote>
  <w:footnote w:id="654">
    <w:p w14:paraId="3DC3BB6C" w14:textId="77777777" w:rsidR="00CA23FA" w:rsidRPr="001663AE" w:rsidRDefault="00CA23FA" w:rsidP="00D87D91">
      <w:pPr>
        <w:pStyle w:val="3"/>
      </w:pPr>
      <w:r w:rsidRPr="001663AE">
        <w:rPr>
          <w:rStyle w:val="af3"/>
          <w:rFonts w:ascii="新細明體" w:hAnsi="新細明體"/>
        </w:rPr>
        <w:footnoteRef/>
      </w:r>
      <w:r w:rsidRPr="001663AE">
        <w:rPr>
          <w:rFonts w:hint="eastAsia"/>
        </w:rPr>
        <w:t>黃耀曾，論外國人入出國管理</w:t>
      </w:r>
      <w:r>
        <w:t>〜</w:t>
      </w:r>
      <w:r w:rsidRPr="001663AE">
        <w:rPr>
          <w:rFonts w:hint="eastAsia"/>
        </w:rPr>
        <w:t>對外國人遣返程序之探討，中央警察大學行政警察研究所碩士論文，民國</w:t>
      </w:r>
      <w:r w:rsidRPr="001663AE">
        <w:t>92</w:t>
      </w:r>
      <w:r w:rsidRPr="001663AE">
        <w:rPr>
          <w:rFonts w:hint="eastAsia"/>
        </w:rPr>
        <w:t>年</w:t>
      </w:r>
      <w:r w:rsidRPr="001663AE">
        <w:t>6</w:t>
      </w:r>
      <w:r w:rsidRPr="001663AE">
        <w:rPr>
          <w:rFonts w:hint="eastAsia"/>
        </w:rPr>
        <w:t>月，頁</w:t>
      </w:r>
      <w:r w:rsidRPr="001663AE">
        <w:t>108</w:t>
      </w:r>
      <w:r w:rsidRPr="001663AE">
        <w:rPr>
          <w:rFonts w:hint="eastAsia"/>
        </w:rPr>
        <w:t>。</w:t>
      </w:r>
    </w:p>
  </w:footnote>
  <w:footnote w:id="655">
    <w:p w14:paraId="18FA0411"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「臺灣地區與大陸地區人民關係條例」</w:t>
      </w:r>
      <w:r>
        <w:rPr>
          <w:rFonts w:hint="eastAsia"/>
        </w:rPr>
        <w:t>第</w:t>
      </w:r>
      <w:r w:rsidRPr="001663AE">
        <w:t xml:space="preserve">17 </w:t>
      </w:r>
      <w:r w:rsidRPr="001663AE">
        <w:rPr>
          <w:rFonts w:hint="eastAsia"/>
        </w:rPr>
        <w:t>條：大陸地區人民為臺灣地區人民配偶，得依法令申請進入臺灣地區團聚，經許可入境後，得申請在臺灣地區依親居留。</w:t>
      </w:r>
    </w:p>
    <w:p w14:paraId="4A7AADE2" w14:textId="77777777" w:rsidR="00CA23FA" w:rsidRPr="001663AE" w:rsidRDefault="00CA23FA" w:rsidP="00D87D91">
      <w:pPr>
        <w:pStyle w:val="3"/>
      </w:pPr>
      <w:r w:rsidRPr="001663AE">
        <w:rPr>
          <w:rFonts w:hint="eastAsia"/>
        </w:rPr>
        <w:t>前項以外之大陸地區人民，得依法令申請在臺灣地區停留；有下列情形之一者，得申請在臺灣地區商務或工作居留，居留期間最長為三年，期滿得申請延期：</w:t>
      </w:r>
    </w:p>
    <w:p w14:paraId="5F6D894C" w14:textId="77777777" w:rsidR="00CA23FA" w:rsidRPr="001663AE" w:rsidRDefault="00CA23FA" w:rsidP="00D87D91">
      <w:pPr>
        <w:pStyle w:val="3"/>
      </w:pPr>
      <w:r w:rsidRPr="001663AE">
        <w:rPr>
          <w:rFonts w:hint="eastAsia"/>
        </w:rPr>
        <w:t>一、符合第十一條受僱在臺灣地區工作之大陸地區人民。</w:t>
      </w:r>
    </w:p>
    <w:p w14:paraId="08390C6B" w14:textId="77777777" w:rsidR="00CA23FA" w:rsidRPr="001663AE" w:rsidRDefault="00CA23FA" w:rsidP="00D87D91">
      <w:pPr>
        <w:pStyle w:val="3"/>
      </w:pPr>
      <w:r w:rsidRPr="001663AE">
        <w:rPr>
          <w:rFonts w:hint="eastAsia"/>
        </w:rPr>
        <w:t>二、符合第十條或第十六條第一項來臺從事商務相關活動之大陸地區人民。</w:t>
      </w:r>
    </w:p>
    <w:p w14:paraId="0F9E1641" w14:textId="77777777" w:rsidR="00CA23FA" w:rsidRPr="001663AE" w:rsidRDefault="00CA23FA" w:rsidP="00D87D91">
      <w:pPr>
        <w:pStyle w:val="3"/>
      </w:pPr>
      <w:r w:rsidRPr="001663AE">
        <w:rPr>
          <w:rFonts w:hint="eastAsia"/>
        </w:rPr>
        <w:t>經依第一項規定許可在臺灣地區依親居留滿四年，且每年在臺灣地區合法居留期間逾一百八十三日者，得申請長期居留。</w:t>
      </w:r>
    </w:p>
    <w:p w14:paraId="3EC863A0" w14:textId="77777777" w:rsidR="00CA23FA" w:rsidRPr="001663AE" w:rsidRDefault="00CA23FA" w:rsidP="00D87D91">
      <w:pPr>
        <w:pStyle w:val="3"/>
      </w:pPr>
      <w:r w:rsidRPr="001663AE">
        <w:rPr>
          <w:rFonts w:hint="eastAsia"/>
        </w:rPr>
        <w:t>內政部得基於政治、經濟、社會、教育、科技或文化之考量，專案許可大陸地區人民在臺灣地區長期居留，申請居留之類別及數額，得予限制；其類別及數額，由內政部擬訂，報請行政院核定後公告之。</w:t>
      </w:r>
    </w:p>
    <w:p w14:paraId="28A2CAD1" w14:textId="77777777" w:rsidR="00CA23FA" w:rsidRPr="001663AE" w:rsidRDefault="00CA23FA" w:rsidP="00D87D91">
      <w:pPr>
        <w:pStyle w:val="3"/>
      </w:pPr>
      <w:r w:rsidRPr="001663AE">
        <w:rPr>
          <w:rFonts w:hint="eastAsia"/>
        </w:rPr>
        <w:t>經依前二項規定許可在臺灣地區長期居留者，居留期間無限制；長期居留符合下列規定者，得申請在臺灣地區定居：</w:t>
      </w:r>
    </w:p>
    <w:p w14:paraId="084B77AA" w14:textId="77777777" w:rsidR="00CA23FA" w:rsidRPr="001663AE" w:rsidRDefault="00CA23FA" w:rsidP="00D87D91">
      <w:pPr>
        <w:pStyle w:val="3"/>
      </w:pPr>
      <w:r w:rsidRPr="001663AE">
        <w:rPr>
          <w:rFonts w:hint="eastAsia"/>
        </w:rPr>
        <w:t>一、在臺灣地區合法居留連續二年且每年居住逾一百八十三日。</w:t>
      </w:r>
    </w:p>
    <w:p w14:paraId="523A7006" w14:textId="77777777" w:rsidR="00CA23FA" w:rsidRPr="001663AE" w:rsidRDefault="00CA23FA" w:rsidP="00D87D91">
      <w:pPr>
        <w:pStyle w:val="3"/>
      </w:pPr>
      <w:r w:rsidRPr="001663AE">
        <w:rPr>
          <w:rFonts w:hint="eastAsia"/>
        </w:rPr>
        <w:t>二、品行端正，無犯罪紀錄。</w:t>
      </w:r>
    </w:p>
    <w:p w14:paraId="26E88A05" w14:textId="77777777" w:rsidR="00CA23FA" w:rsidRPr="001663AE" w:rsidRDefault="00CA23FA" w:rsidP="00D87D91">
      <w:pPr>
        <w:pStyle w:val="3"/>
      </w:pPr>
      <w:r w:rsidRPr="001663AE">
        <w:rPr>
          <w:rFonts w:hint="eastAsia"/>
        </w:rPr>
        <w:t>三、提出喪失原籍證明。</w:t>
      </w:r>
    </w:p>
    <w:p w14:paraId="4203B49D" w14:textId="77777777" w:rsidR="00CA23FA" w:rsidRPr="001663AE" w:rsidRDefault="00CA23FA" w:rsidP="00D87D91">
      <w:pPr>
        <w:pStyle w:val="3"/>
      </w:pPr>
      <w:r w:rsidRPr="001663AE">
        <w:rPr>
          <w:rFonts w:hint="eastAsia"/>
        </w:rPr>
        <w:t>四、符合國家利益。</w:t>
      </w:r>
    </w:p>
    <w:p w14:paraId="2334B9DD" w14:textId="77777777" w:rsidR="00CA23FA" w:rsidRPr="001663AE" w:rsidRDefault="00CA23FA" w:rsidP="00D87D91">
      <w:pPr>
        <w:pStyle w:val="3"/>
      </w:pPr>
      <w:r w:rsidRPr="001663AE">
        <w:rPr>
          <w:rFonts w:hint="eastAsia"/>
        </w:rPr>
        <w:t>內政部得訂定依親居留、長期居留及定居之數額及類別，報請行政院核定後公告之。</w:t>
      </w:r>
    </w:p>
    <w:p w14:paraId="38CB0A0F" w14:textId="77777777" w:rsidR="00CA23FA" w:rsidRPr="001663AE" w:rsidRDefault="00CA23FA" w:rsidP="00D87D91">
      <w:pPr>
        <w:pStyle w:val="3"/>
      </w:pPr>
      <w:r w:rsidRPr="001663AE">
        <w:rPr>
          <w:rFonts w:hint="eastAsia"/>
        </w:rPr>
        <w:t>第一項人員經許可依親居留、長期居留或定居，有事實足認係通謀而為虛偽結婚者，撤銷其依親居留、長期居留、定居許可及戶籍登記，並強制出境。</w:t>
      </w:r>
    </w:p>
    <w:p w14:paraId="604DB2D2" w14:textId="77777777" w:rsidR="00CA23FA" w:rsidRPr="001663AE" w:rsidRDefault="00CA23FA" w:rsidP="00D87D91">
      <w:pPr>
        <w:pStyle w:val="3"/>
      </w:pPr>
      <w:r w:rsidRPr="001663AE">
        <w:rPr>
          <w:rFonts w:hint="eastAsia"/>
        </w:rPr>
        <w:t>大陸地區人民在臺灣地區逾期停留、居留或未經許可入境者，在臺灣地區</w:t>
      </w:r>
    </w:p>
    <w:p w14:paraId="1FD2062C" w14:textId="77777777" w:rsidR="00CA23FA" w:rsidRPr="001663AE" w:rsidRDefault="00CA23FA" w:rsidP="00D87D91">
      <w:pPr>
        <w:pStyle w:val="3"/>
      </w:pPr>
      <w:r w:rsidRPr="001663AE">
        <w:rPr>
          <w:rFonts w:hint="eastAsia"/>
        </w:rPr>
        <w:t>停留、居留期間，不適用前條及第一項至第四項規定。</w:t>
      </w:r>
    </w:p>
    <w:p w14:paraId="57437E54" w14:textId="77777777" w:rsidR="00CA23FA" w:rsidRPr="001663AE" w:rsidRDefault="00CA23FA" w:rsidP="00D87D91">
      <w:pPr>
        <w:pStyle w:val="3"/>
      </w:pPr>
      <w:r w:rsidRPr="001663AE">
        <w:rPr>
          <w:rFonts w:hint="eastAsia"/>
        </w:rPr>
        <w:t>前條及第一項至第五項有關居留、長期居留、或定居條件、程序、方式、限制、撤銷或廢止許可及其他應遵行事項之辦法，由內政部會同有關機關擬訂，報請行政院核定之。</w:t>
      </w:r>
    </w:p>
    <w:p w14:paraId="53524D22" w14:textId="77777777" w:rsidR="00CA23FA" w:rsidRPr="001663AE" w:rsidRDefault="00CA23FA" w:rsidP="00D87D91">
      <w:pPr>
        <w:pStyle w:val="3"/>
      </w:pPr>
      <w:r w:rsidRPr="001663AE">
        <w:rPr>
          <w:rFonts w:hint="eastAsia"/>
        </w:rPr>
        <w:t>本條例中華民國九十八年六月九日修正之條文施行前，經許可在臺團聚者，其每年在臺合法團聚期間逾一百八十三日者，得轉換為依親居留期間；其已在臺依親居留或長期居留者，每年在臺合法團聚期間逾一百八十三日者，其團聚期間得分別轉換併計為依親居留或長期居留期間；經轉換併計後，在臺依親居留滿四年，符合第三項規定，得申請轉換為長期居留期間；經轉換併計後，在臺連續長期居留滿二年，並符合第五項規定，得申請定居。</w:t>
      </w:r>
    </w:p>
  </w:footnote>
  <w:footnote w:id="656">
    <w:p w14:paraId="1765EB6B" w14:textId="77777777" w:rsidR="00CA23FA" w:rsidRPr="001663AE" w:rsidRDefault="00CA23FA" w:rsidP="00D87D91">
      <w:pPr>
        <w:pStyle w:val="3"/>
      </w:pPr>
      <w:r w:rsidRPr="001663AE">
        <w:rPr>
          <w:rStyle w:val="af3"/>
          <w:rFonts w:ascii="新細明體" w:hAnsi="新細明體"/>
        </w:rPr>
        <w:footnoteRef/>
      </w:r>
      <w:r w:rsidRPr="001663AE">
        <w:rPr>
          <w:rFonts w:hint="eastAsia"/>
        </w:rPr>
        <w:t>「香港澳門關係條例」</w:t>
      </w:r>
      <w:r>
        <w:rPr>
          <w:rFonts w:hint="eastAsia"/>
        </w:rPr>
        <w:t>第</w:t>
      </w:r>
      <w:r w:rsidRPr="001663AE">
        <w:t xml:space="preserve">18 </w:t>
      </w:r>
      <w:r w:rsidRPr="001663AE">
        <w:rPr>
          <w:rFonts w:hint="eastAsia"/>
        </w:rPr>
        <w:t>條：對於因政治因素而致安全及自由受有緊急危害之香港或澳門居民，得提供必要之援助。</w:t>
      </w:r>
    </w:p>
  </w:footnote>
  <w:footnote w:id="657">
    <w:p w14:paraId="3C052816"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年關於難民地位的公約」第十三條：　</w:t>
      </w:r>
      <w:r w:rsidRPr="001663AE">
        <w:t xml:space="preserve"> </w:t>
      </w:r>
      <w:r w:rsidRPr="001663AE">
        <w:rPr>
          <w:rFonts w:hint="eastAsia"/>
        </w:rPr>
        <w:t>動產和不動產</w:t>
      </w:r>
    </w:p>
    <w:p w14:paraId="2CDFA105" w14:textId="77777777" w:rsidR="00CA23FA" w:rsidRPr="001663AE" w:rsidRDefault="00CA23FA" w:rsidP="00D87D91">
      <w:pPr>
        <w:pStyle w:val="3"/>
      </w:pPr>
      <w:r w:rsidRPr="001663AE">
        <w:rPr>
          <w:rFonts w:hint="eastAsia"/>
        </w:rPr>
        <w:t xml:space="preserve">　　締約各國在動產和不動產的取得及與此在關的其他權利，以及關於動產和不動產的租賃和契約方面，應給予難民盡可能優惠的待遇，無論如何，此項待遇不得低於在同樣情況下給予一般外國人的待遇。</w:t>
      </w:r>
    </w:p>
  </w:footnote>
  <w:footnote w:id="658">
    <w:p w14:paraId="1A310C2B"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年關於難民地位的公約」第十四條　</w:t>
      </w:r>
      <w:r w:rsidRPr="001663AE">
        <w:t xml:space="preserve"> </w:t>
      </w:r>
      <w:r w:rsidRPr="001663AE">
        <w:rPr>
          <w:rFonts w:hint="eastAsia"/>
        </w:rPr>
        <w:t>藝術權利和工業財產</w:t>
      </w:r>
    </w:p>
    <w:p w14:paraId="66AC8ECF" w14:textId="77777777" w:rsidR="00CA23FA" w:rsidRPr="001663AE" w:rsidRDefault="00CA23FA" w:rsidP="00D87D91">
      <w:pPr>
        <w:pStyle w:val="3"/>
      </w:pPr>
      <w:r w:rsidRPr="001663AE">
        <w:rPr>
          <w:rFonts w:hint="eastAsia"/>
        </w:rPr>
        <w:t xml:space="preserve">　　關於工業財產的保護，例如對發明、設計或模型、商標、商品名稱以及對文學、藝術、和科學作品的權利，難民在其經常居住的國家內，應給予該國國民所享有的同樣保護，他在任何其他締約國領土內，應給以他經常居住國家的國民所享有的同樣保護。</w:t>
      </w:r>
      <w:r w:rsidRPr="001663AE">
        <w:t xml:space="preserve"> </w:t>
      </w:r>
    </w:p>
  </w:footnote>
  <w:footnote w:id="659">
    <w:p w14:paraId="04EF7617"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年關於難民地位的公約」第十五條　</w:t>
      </w:r>
      <w:r w:rsidRPr="001663AE">
        <w:t xml:space="preserve"> </w:t>
      </w:r>
      <w:r w:rsidRPr="001663AE">
        <w:rPr>
          <w:rFonts w:hint="eastAsia"/>
        </w:rPr>
        <w:t>結社的權利</w:t>
      </w:r>
    </w:p>
    <w:p w14:paraId="7192107E" w14:textId="77777777" w:rsidR="00CA23FA" w:rsidRPr="001663AE" w:rsidRDefault="00CA23FA" w:rsidP="00D87D91">
      <w:pPr>
        <w:pStyle w:val="3"/>
      </w:pPr>
      <w:r w:rsidRPr="001663AE">
        <w:rPr>
          <w:rFonts w:hint="eastAsia"/>
        </w:rPr>
        <w:t xml:space="preserve">　　關於非政治性和非營利性的社團以及同業公會組織，締約各國對合法居留在其領土內的難民，應給以一個外國的國民在同樣情況下所享有的最優惠國待遇。</w:t>
      </w:r>
    </w:p>
  </w:footnote>
  <w:footnote w:id="660">
    <w:p w14:paraId="0B8F9E33"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年關於難民地位的公約」第十六條　</w:t>
      </w:r>
      <w:r w:rsidRPr="001663AE">
        <w:t xml:space="preserve"> </w:t>
      </w:r>
      <w:r w:rsidRPr="001663AE">
        <w:rPr>
          <w:rFonts w:hint="eastAsia"/>
        </w:rPr>
        <w:t>向法院申訴的權利</w:t>
      </w:r>
    </w:p>
    <w:p w14:paraId="1FB4B7B6" w14:textId="77777777" w:rsidR="00CA23FA" w:rsidRPr="001663AE" w:rsidRDefault="00CA23FA" w:rsidP="00D87D91">
      <w:pPr>
        <w:pStyle w:val="3"/>
      </w:pPr>
      <w:r w:rsidRPr="001663AE">
        <w:rPr>
          <w:rFonts w:hint="eastAsia"/>
        </w:rPr>
        <w:t>（一）難民有權自由向所有締約各國領土內的法院申訴。</w:t>
      </w:r>
    </w:p>
    <w:p w14:paraId="72F888E5" w14:textId="77777777" w:rsidR="00CA23FA" w:rsidRPr="001663AE" w:rsidRDefault="00CA23FA" w:rsidP="00D87D91">
      <w:pPr>
        <w:pStyle w:val="3"/>
      </w:pPr>
      <w:r w:rsidRPr="001663AE">
        <w:rPr>
          <w:rFonts w:hint="eastAsia"/>
        </w:rPr>
        <w:t>（二）難民在其經常居住的締約國內，應向法院申訴的事項，包括訴訟救助和免予提供訴訟擔保在內，應享有與本國國民相同的待遇。</w:t>
      </w:r>
    </w:p>
    <w:p w14:paraId="43A8B9D8" w14:textId="77777777" w:rsidR="00CA23FA" w:rsidRPr="001663AE" w:rsidRDefault="00CA23FA" w:rsidP="00D87D91">
      <w:pPr>
        <w:pStyle w:val="3"/>
      </w:pPr>
      <w:r w:rsidRPr="001663AE">
        <w:rPr>
          <w:rFonts w:hint="eastAsia"/>
        </w:rPr>
        <w:t>（三）難民在其經常居住的國家以外的其他國家內，就第（二）款所述事項，應給以他經常居住國家的國民所享有的待遇。</w:t>
      </w:r>
    </w:p>
  </w:footnote>
  <w:footnote w:id="661">
    <w:p w14:paraId="3AEE68AA"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年關於難民地位的公約」第十七條　</w:t>
      </w:r>
      <w:r w:rsidRPr="001663AE">
        <w:t xml:space="preserve"> </w:t>
      </w:r>
      <w:r w:rsidRPr="001663AE">
        <w:rPr>
          <w:rFonts w:hint="eastAsia"/>
        </w:rPr>
        <w:t>以工資受償的雇傭</w:t>
      </w:r>
    </w:p>
    <w:p w14:paraId="67320963" w14:textId="77777777" w:rsidR="00CA23FA" w:rsidRPr="001663AE" w:rsidRDefault="00CA23FA" w:rsidP="00D87D91">
      <w:pPr>
        <w:pStyle w:val="3"/>
      </w:pPr>
      <w:r w:rsidRPr="001663AE">
        <w:rPr>
          <w:rFonts w:hint="eastAsia"/>
        </w:rPr>
        <w:t>（一）締約各國對合法在其領土內居留的難民，就從事工作以換取工資的權利方面，應給以在同樣情況下一個外國國民所享有的最惠國待遇。</w:t>
      </w:r>
    </w:p>
    <w:p w14:paraId="059F0DAF" w14:textId="77777777" w:rsidR="00CA23FA" w:rsidRPr="001663AE" w:rsidRDefault="00CA23FA" w:rsidP="00D87D91">
      <w:pPr>
        <w:pStyle w:val="3"/>
      </w:pPr>
      <w:r w:rsidRPr="001663AE">
        <w:rPr>
          <w:rFonts w:hint="eastAsia"/>
        </w:rPr>
        <w:t>（二）無論如何，對外國人施加的限制措施或者為了保護國內勞動力市場而對雇傭外國人施加限制的措施，均不得適用於在本公約對有關締約國生效之日已免除此項措施的難民，亦不適用於具備下列條件之一的難民：</w:t>
      </w:r>
    </w:p>
    <w:p w14:paraId="41DCA992" w14:textId="77777777" w:rsidR="00CA23FA" w:rsidRPr="001663AE" w:rsidRDefault="00CA23FA" w:rsidP="00D87D91">
      <w:pPr>
        <w:pStyle w:val="3"/>
      </w:pPr>
      <w:r w:rsidRPr="001663AE">
        <w:rPr>
          <w:rFonts w:hint="eastAsia"/>
        </w:rPr>
        <w:t xml:space="preserve">　</w:t>
      </w:r>
      <w:r>
        <w:t>(</w:t>
      </w:r>
      <w:r w:rsidRPr="001663AE">
        <w:t xml:space="preserve">a) </w:t>
      </w:r>
      <w:r w:rsidRPr="001663AE">
        <w:rPr>
          <w:rFonts w:hint="eastAsia"/>
        </w:rPr>
        <w:t>已在該國居住滿三年；</w:t>
      </w:r>
    </w:p>
    <w:p w14:paraId="49622C51" w14:textId="77777777" w:rsidR="00CA23FA" w:rsidRPr="001663AE" w:rsidRDefault="00CA23FA" w:rsidP="00D87D91">
      <w:pPr>
        <w:pStyle w:val="3"/>
      </w:pPr>
      <w:r w:rsidRPr="001663AE">
        <w:rPr>
          <w:rFonts w:hint="eastAsia"/>
        </w:rPr>
        <w:t xml:space="preserve">　</w:t>
      </w:r>
      <w:r>
        <w:t>(</w:t>
      </w:r>
      <w:r w:rsidRPr="001663AE">
        <w:t>b)</w:t>
      </w:r>
      <w:r w:rsidRPr="001663AE">
        <w:rPr>
          <w:rFonts w:hint="eastAsia"/>
        </w:rPr>
        <w:t>其配偶具有居住國的國籍，但如難民已與其配偶離異，則不得援引本項規定的利益；</w:t>
      </w:r>
    </w:p>
    <w:p w14:paraId="564AF6F1" w14:textId="77777777" w:rsidR="00CA23FA" w:rsidRPr="001663AE" w:rsidRDefault="00CA23FA" w:rsidP="00D87D91">
      <w:pPr>
        <w:pStyle w:val="3"/>
      </w:pPr>
      <w:r w:rsidRPr="001663AE">
        <w:rPr>
          <w:rFonts w:hint="eastAsia"/>
        </w:rPr>
        <w:t xml:space="preserve">　</w:t>
      </w:r>
      <w:r>
        <w:t>(</w:t>
      </w:r>
      <w:r w:rsidRPr="001663AE">
        <w:t xml:space="preserve">c) </w:t>
      </w:r>
      <w:r w:rsidRPr="001663AE">
        <w:rPr>
          <w:rFonts w:hint="eastAsia"/>
        </w:rPr>
        <w:t>其子女一人或數人具有居住國的國籍；</w:t>
      </w:r>
    </w:p>
    <w:p w14:paraId="14F05B63" w14:textId="77777777" w:rsidR="00CA23FA" w:rsidRPr="001663AE" w:rsidRDefault="00CA23FA" w:rsidP="00D87D91">
      <w:pPr>
        <w:pStyle w:val="3"/>
      </w:pPr>
      <w:r w:rsidRPr="001663AE">
        <w:t>(</w:t>
      </w:r>
      <w:r w:rsidRPr="001663AE">
        <w:rPr>
          <w:rFonts w:hint="eastAsia"/>
        </w:rPr>
        <w:t>三）關於以上工資受償的雇傭問題，締約各國對於使一切難民的權利相同於本國國民的權利方面，應給予同情的考慮，特別是對根據招工計畫或移民入境法進入其領土的難民的此項權利。</w:t>
      </w:r>
    </w:p>
  </w:footnote>
  <w:footnote w:id="662">
    <w:p w14:paraId="63EEA4A7"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年關於難民地位的公約」第十八條</w:t>
      </w:r>
      <w:r w:rsidRPr="001663AE">
        <w:t xml:space="preserve"> </w:t>
      </w:r>
      <w:r w:rsidRPr="001663AE">
        <w:rPr>
          <w:rFonts w:hint="eastAsia"/>
        </w:rPr>
        <w:t xml:space="preserve">　自營職業</w:t>
      </w:r>
    </w:p>
    <w:p w14:paraId="552F83A4" w14:textId="77777777" w:rsidR="00CA23FA" w:rsidRPr="001663AE" w:rsidRDefault="00CA23FA" w:rsidP="00D87D91">
      <w:pPr>
        <w:pStyle w:val="3"/>
      </w:pPr>
      <w:r w:rsidRPr="001663AE">
        <w:rPr>
          <w:rFonts w:hint="eastAsia"/>
        </w:rPr>
        <w:t xml:space="preserve">　　締約各國對合法在其領土內的難民，就其自己經營農業、工業、手工業、商業以及設立工商業公司方面，應給以盡可能優惠的待遇，無論如何，此項待遇不低於一般外國人在同樣情況下所享有的待遇。</w:t>
      </w:r>
    </w:p>
  </w:footnote>
  <w:footnote w:id="663">
    <w:p w14:paraId="1ADA16C7"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年關於難民地位的公約」第十九條　</w:t>
      </w:r>
      <w:r w:rsidRPr="001663AE">
        <w:t xml:space="preserve"> </w:t>
      </w:r>
      <w:r w:rsidRPr="001663AE">
        <w:rPr>
          <w:rFonts w:hint="eastAsia"/>
        </w:rPr>
        <w:t>自由職業</w:t>
      </w:r>
    </w:p>
    <w:p w14:paraId="3BA88EDC" w14:textId="77777777" w:rsidR="00CA23FA" w:rsidRPr="001663AE" w:rsidRDefault="00CA23FA" w:rsidP="00D87D91">
      <w:pPr>
        <w:pStyle w:val="3"/>
      </w:pPr>
      <w:r w:rsidRPr="001663AE">
        <w:rPr>
          <w:rFonts w:hint="eastAsia"/>
        </w:rPr>
        <w:t>（一）締約各國對合法居留於其領土內的難民，凡持有該國主管當局所承認的文憑願意從事自由職業者，應給以盡可能優惠的待遇，無論如何，此項待遇不得低於一般外國人在同樣情況下所享有的待遇。</w:t>
      </w:r>
    </w:p>
    <w:p w14:paraId="4C7D5B19" w14:textId="77777777" w:rsidR="00CA23FA" w:rsidRPr="001663AE" w:rsidRDefault="00CA23FA" w:rsidP="00D87D91">
      <w:pPr>
        <w:pStyle w:val="3"/>
      </w:pPr>
      <w:r w:rsidRPr="001663AE">
        <w:rPr>
          <w:rFonts w:hint="eastAsia"/>
        </w:rPr>
        <w:t>（二）締約各國對在其本土以外而由其負責國際關係的領土內的難民，應在符合法律和憲法的情況下，盡極大努力使這些難民定居下來。</w:t>
      </w:r>
    </w:p>
  </w:footnote>
  <w:footnote w:id="664">
    <w:p w14:paraId="001CAB5F"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年關於難民地位的公約」第二十二條　</w:t>
      </w:r>
      <w:r w:rsidRPr="001663AE">
        <w:t xml:space="preserve"> </w:t>
      </w:r>
      <w:r w:rsidRPr="001663AE">
        <w:rPr>
          <w:rFonts w:hint="eastAsia"/>
        </w:rPr>
        <w:t>公共教育</w:t>
      </w:r>
    </w:p>
    <w:p w14:paraId="66E71475" w14:textId="77777777" w:rsidR="00CA23FA" w:rsidRPr="001663AE" w:rsidRDefault="00CA23FA" w:rsidP="00D87D91">
      <w:pPr>
        <w:pStyle w:val="3"/>
      </w:pPr>
      <w:r w:rsidRPr="001663AE">
        <w:rPr>
          <w:rFonts w:hint="eastAsia"/>
        </w:rPr>
        <w:t>（一）締約各國給予難民凡本國國民在初等教育方面所享有的同樣待遇。</w:t>
      </w:r>
    </w:p>
    <w:p w14:paraId="4A08A824" w14:textId="77777777" w:rsidR="00CA23FA" w:rsidRPr="001663AE" w:rsidRDefault="00CA23FA" w:rsidP="00D87D91">
      <w:pPr>
        <w:pStyle w:val="3"/>
      </w:pPr>
      <w:r w:rsidRPr="001663AE">
        <w:rPr>
          <w:rFonts w:hint="eastAsia"/>
        </w:rPr>
        <w:t>（二）締約各國應初等教育以外的教育、特別是獲得研究學術的機會，承認外國學校的證書、文憑、和學位、減免學費、以及發給獎學金方面，應對難民給以盡可能優惠的待遇，無論如何，此項待遇不得低於一般外國人在同樣情況下所享有的待遇。</w:t>
      </w:r>
    </w:p>
  </w:footnote>
  <w:footnote w:id="665">
    <w:p w14:paraId="49275AEC"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年關於難民地位的公約」第二十三條　</w:t>
      </w:r>
      <w:r w:rsidRPr="001663AE">
        <w:t xml:space="preserve"> </w:t>
      </w:r>
      <w:r w:rsidRPr="001663AE">
        <w:rPr>
          <w:rFonts w:hint="eastAsia"/>
        </w:rPr>
        <w:t>公共救濟</w:t>
      </w:r>
    </w:p>
    <w:p w14:paraId="05D7F484" w14:textId="77777777" w:rsidR="00CA23FA" w:rsidRPr="001663AE" w:rsidRDefault="00CA23FA" w:rsidP="00D87D91">
      <w:pPr>
        <w:pStyle w:val="3"/>
      </w:pPr>
      <w:r w:rsidRPr="001663AE">
        <w:rPr>
          <w:rFonts w:hint="eastAsia"/>
        </w:rPr>
        <w:t xml:space="preserve">　　締約各國對合法居住在其領土內的難民，就公共救濟和援助方面，應給以凡其本國國民所享有的同樣待遇。</w:t>
      </w:r>
    </w:p>
  </w:footnote>
  <w:footnote w:id="666">
    <w:p w14:paraId="48CC2B31"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年關於難民地位的公約」第二十四條　</w:t>
      </w:r>
      <w:r w:rsidRPr="001663AE">
        <w:t xml:space="preserve"> </w:t>
      </w:r>
      <w:r w:rsidRPr="001663AE">
        <w:rPr>
          <w:rFonts w:hint="eastAsia"/>
        </w:rPr>
        <w:t>勞動立法和社會安全</w:t>
      </w:r>
    </w:p>
    <w:p w14:paraId="5BA1DC54" w14:textId="77777777" w:rsidR="00CA23FA" w:rsidRPr="001663AE" w:rsidRDefault="00CA23FA" w:rsidP="00D87D91">
      <w:pPr>
        <w:pStyle w:val="3"/>
      </w:pPr>
      <w:r w:rsidRPr="001663AE">
        <w:rPr>
          <w:rFonts w:hint="eastAsia"/>
        </w:rPr>
        <w:t>（一）締約各國對合法居留在其領土內的難民，就下列各事項，應給以本國國民所享有的同樣待遇：</w:t>
      </w:r>
    </w:p>
    <w:p w14:paraId="6B8E6113" w14:textId="77777777" w:rsidR="00CA23FA" w:rsidRPr="001663AE" w:rsidRDefault="00CA23FA" w:rsidP="00D87D91">
      <w:pPr>
        <w:pStyle w:val="3"/>
      </w:pPr>
      <w:r w:rsidRPr="001663AE">
        <w:rPr>
          <w:rFonts w:hint="eastAsia"/>
        </w:rPr>
        <w:t xml:space="preserve">　　（</w:t>
      </w:r>
      <w:r w:rsidRPr="001663AE">
        <w:t>1</w:t>
      </w:r>
      <w:r w:rsidRPr="001663AE">
        <w:rPr>
          <w:rFonts w:hint="eastAsia"/>
        </w:rPr>
        <w:t>）報酬，包括家庭津貼－如此種津貼構成報酬一部分的話、工作時間、加班辦法、假日工資、對帶回家去工作的限制、雇傭最低年齡、學徒和訓練，女工和童工、享受共同交涉的利益，如果這些事項由法律或規章規定，或者受行政當局管制的話；</w:t>
      </w:r>
    </w:p>
    <w:p w14:paraId="502EF895" w14:textId="77777777" w:rsidR="00CA23FA" w:rsidRPr="001663AE" w:rsidRDefault="00CA23FA" w:rsidP="00D87D91">
      <w:pPr>
        <w:pStyle w:val="3"/>
      </w:pPr>
      <w:r w:rsidRPr="001663AE">
        <w:rPr>
          <w:rFonts w:hint="eastAsia"/>
        </w:rPr>
        <w:t xml:space="preserve">　　（</w:t>
      </w:r>
      <w:r w:rsidRPr="001663AE">
        <w:t>2</w:t>
      </w:r>
      <w:r w:rsidRPr="001663AE">
        <w:rPr>
          <w:rFonts w:hint="eastAsia"/>
        </w:rPr>
        <w:t>）社會安全（關於雇傭中受損害、職業病、生育、疾病、殘疾、年老、死亡、失業、家庭負擔或根據國家法律或規章包括在社會安全計畫之內的任何其他事故的法律規定），但受以下規定的限制：</w:t>
      </w:r>
    </w:p>
    <w:p w14:paraId="35034E83" w14:textId="77777777" w:rsidR="00CA23FA" w:rsidRPr="001663AE" w:rsidRDefault="00CA23FA" w:rsidP="00D87D91">
      <w:pPr>
        <w:pStyle w:val="3"/>
      </w:pPr>
      <w:r w:rsidRPr="001663AE">
        <w:rPr>
          <w:rFonts w:hint="eastAsia"/>
        </w:rPr>
        <w:t xml:space="preserve">　　（</w:t>
      </w:r>
      <w:r w:rsidRPr="001663AE">
        <w:t>a</w:t>
      </w:r>
      <w:r w:rsidRPr="001663AE">
        <w:rPr>
          <w:rFonts w:hint="eastAsia"/>
        </w:rPr>
        <w:t>）</w:t>
      </w:r>
      <w:r w:rsidRPr="001663AE">
        <w:t xml:space="preserve"> </w:t>
      </w:r>
      <w:r w:rsidRPr="001663AE">
        <w:rPr>
          <w:rFonts w:hint="eastAsia"/>
        </w:rPr>
        <w:t>對維持即得權利和正在取得的權利可能作出適當安排；</w:t>
      </w:r>
    </w:p>
    <w:p w14:paraId="5AE7BE05" w14:textId="77777777" w:rsidR="00CA23FA" w:rsidRPr="001663AE" w:rsidRDefault="00CA23FA" w:rsidP="00D87D91">
      <w:pPr>
        <w:pStyle w:val="3"/>
      </w:pPr>
      <w:r w:rsidRPr="001663AE">
        <w:rPr>
          <w:rFonts w:hint="eastAsia"/>
        </w:rPr>
        <w:t xml:space="preserve">　　（</w:t>
      </w:r>
      <w:r w:rsidRPr="001663AE">
        <w:t>b</w:t>
      </w:r>
      <w:r w:rsidRPr="001663AE">
        <w:rPr>
          <w:rFonts w:hint="eastAsia"/>
        </w:rPr>
        <w:t>）居住地國的法律或規章可能對全部由公共基金支付利益或利益金的一部分或對不符合於為發給正常退職金所規定資助條件的人發給津貼，制訂特別安排。</w:t>
      </w:r>
    </w:p>
    <w:p w14:paraId="0771BC22" w14:textId="77777777" w:rsidR="00CA23FA" w:rsidRPr="001663AE" w:rsidRDefault="00CA23FA" w:rsidP="00D87D91">
      <w:pPr>
        <w:pStyle w:val="3"/>
      </w:pPr>
      <w:r w:rsidRPr="001663AE">
        <w:rPr>
          <w:rFonts w:hint="eastAsia"/>
        </w:rPr>
        <w:t>（二）難民由於雇傭中所受損害或職業病死亡而獲得的補償權利。不因受益人居住地在締約國領土以外而受影響。</w:t>
      </w:r>
    </w:p>
    <w:p w14:paraId="314B108F" w14:textId="77777777" w:rsidR="00CA23FA" w:rsidRPr="001663AE" w:rsidRDefault="00CA23FA" w:rsidP="00D87D91">
      <w:pPr>
        <w:pStyle w:val="3"/>
      </w:pPr>
      <w:r w:rsidRPr="001663AE">
        <w:rPr>
          <w:rFonts w:hint="eastAsia"/>
        </w:rPr>
        <w:t>（三）締約各國之間所締結或在將來可能締結的協定，凡涉及社會安全既得權利或正在取得的權利，締約各國應以此項協定所產生利益給予難民，但以符合對有關協定各簽字國國民適用的條件者為限。</w:t>
      </w:r>
    </w:p>
    <w:p w14:paraId="27C71E3C" w14:textId="77777777" w:rsidR="00CA23FA" w:rsidRPr="001663AE" w:rsidRDefault="00CA23FA" w:rsidP="00D87D91">
      <w:pPr>
        <w:pStyle w:val="3"/>
      </w:pPr>
      <w:r w:rsidRPr="001663AE">
        <w:rPr>
          <w:rFonts w:hint="eastAsia"/>
        </w:rPr>
        <w:t>（四）締約各國對以締約國和非締約國之間隨時可能生效的類似協定所產生的利益儘量給予難民一事，將予以同情的考慮。</w:t>
      </w:r>
    </w:p>
  </w:footnote>
  <w:footnote w:id="667">
    <w:p w14:paraId="1CDFA6EF"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入出國及移民法</w:t>
      </w:r>
      <w:r>
        <w:rPr>
          <w:rFonts w:hint="eastAsia"/>
        </w:rPr>
        <w:t>第</w:t>
      </w:r>
      <w:r w:rsidRPr="001663AE">
        <w:rPr>
          <w:rFonts w:hint="eastAsia"/>
        </w:rPr>
        <w:t>三十六</w:t>
      </w:r>
      <w:r w:rsidRPr="001663AE">
        <w:t xml:space="preserve"> </w:t>
      </w:r>
      <w:r w:rsidRPr="001663AE">
        <w:rPr>
          <w:rFonts w:hint="eastAsia"/>
        </w:rPr>
        <w:t>條：　　外國人有下列情形之一者，入出國及移民署得強制驅逐出國。但其涉有案件已進入司法程序者，應先通知司法機關：</w:t>
      </w:r>
    </w:p>
    <w:p w14:paraId="4B13EF12" w14:textId="77777777" w:rsidR="00CA23FA" w:rsidRPr="001663AE" w:rsidRDefault="00CA23FA" w:rsidP="00D87D91">
      <w:pPr>
        <w:pStyle w:val="3"/>
      </w:pPr>
      <w:r w:rsidRPr="001663AE">
        <w:rPr>
          <w:rFonts w:hint="eastAsia"/>
        </w:rPr>
        <w:t xml:space="preserve">　　一、</w:t>
      </w:r>
      <w:r w:rsidRPr="001663AE">
        <w:t xml:space="preserve"> </w:t>
      </w:r>
      <w:r w:rsidRPr="001663AE">
        <w:rPr>
          <w:rFonts w:hint="eastAsia"/>
        </w:rPr>
        <w:t>違反第四條第一項規定，未經查驗入國。</w:t>
      </w:r>
    </w:p>
    <w:p w14:paraId="56C773FB" w14:textId="77777777" w:rsidR="00CA23FA" w:rsidRPr="001663AE" w:rsidRDefault="00CA23FA" w:rsidP="00D87D91">
      <w:pPr>
        <w:pStyle w:val="3"/>
      </w:pPr>
      <w:r w:rsidRPr="001663AE">
        <w:rPr>
          <w:rFonts w:hint="eastAsia"/>
        </w:rPr>
        <w:t xml:space="preserve">　　二、</w:t>
      </w:r>
      <w:r w:rsidRPr="001663AE">
        <w:t xml:space="preserve"> </w:t>
      </w:r>
      <w:r w:rsidRPr="001663AE">
        <w:rPr>
          <w:rFonts w:hint="eastAsia"/>
        </w:rPr>
        <w:t>入國後，發現有第十八條禁止入國情形之一。</w:t>
      </w:r>
    </w:p>
    <w:p w14:paraId="3CB95A59" w14:textId="77777777" w:rsidR="00CA23FA" w:rsidRPr="001663AE" w:rsidRDefault="00CA23FA" w:rsidP="00D87D91">
      <w:pPr>
        <w:pStyle w:val="3"/>
      </w:pPr>
      <w:r w:rsidRPr="001663AE">
        <w:rPr>
          <w:rFonts w:hint="eastAsia"/>
        </w:rPr>
        <w:t xml:space="preserve">　　三、</w:t>
      </w:r>
      <w:r w:rsidRPr="001663AE">
        <w:t xml:space="preserve"> </w:t>
      </w:r>
      <w:r w:rsidRPr="001663AE">
        <w:rPr>
          <w:rFonts w:hint="eastAsia"/>
        </w:rPr>
        <w:t>違反第十九條第一項規定，未經許可臨時入國。</w:t>
      </w:r>
    </w:p>
    <w:p w14:paraId="2DCBCCF8" w14:textId="77777777" w:rsidR="00CA23FA" w:rsidRPr="001663AE" w:rsidRDefault="00CA23FA" w:rsidP="00D87D91">
      <w:pPr>
        <w:pStyle w:val="3"/>
      </w:pPr>
      <w:r w:rsidRPr="001663AE">
        <w:rPr>
          <w:rFonts w:hint="eastAsia"/>
        </w:rPr>
        <w:t xml:space="preserve">　　四、</w:t>
      </w:r>
      <w:r w:rsidRPr="001663AE">
        <w:t xml:space="preserve"> </w:t>
      </w:r>
      <w:r w:rsidRPr="001663AE">
        <w:rPr>
          <w:rFonts w:hint="eastAsia"/>
        </w:rPr>
        <w:t>違反依第十九條第二項所定辦法中有關應備檔、證件、停留期間、地區之管理規定。</w:t>
      </w:r>
    </w:p>
    <w:p w14:paraId="7E830840" w14:textId="77777777" w:rsidR="00CA23FA" w:rsidRPr="001663AE" w:rsidRDefault="00CA23FA" w:rsidP="00D87D91">
      <w:pPr>
        <w:pStyle w:val="3"/>
      </w:pPr>
      <w:r w:rsidRPr="001663AE">
        <w:rPr>
          <w:rFonts w:hint="eastAsia"/>
        </w:rPr>
        <w:t xml:space="preserve">　　五、</w:t>
      </w:r>
      <w:r w:rsidRPr="001663AE">
        <w:t xml:space="preserve"> </w:t>
      </w:r>
      <w:r w:rsidRPr="001663AE">
        <w:rPr>
          <w:rFonts w:hint="eastAsia"/>
        </w:rPr>
        <w:t>違反第二十條第二項規定，擅離過夜住宿之處所。</w:t>
      </w:r>
    </w:p>
    <w:p w14:paraId="03E08E5E" w14:textId="77777777" w:rsidR="00CA23FA" w:rsidRPr="001663AE" w:rsidRDefault="00CA23FA" w:rsidP="00D87D91">
      <w:pPr>
        <w:pStyle w:val="3"/>
      </w:pPr>
      <w:r w:rsidRPr="001663AE">
        <w:rPr>
          <w:rFonts w:hint="eastAsia"/>
        </w:rPr>
        <w:t xml:space="preserve">　　六、</w:t>
      </w:r>
      <w:r w:rsidRPr="001663AE">
        <w:t xml:space="preserve"> </w:t>
      </w:r>
      <w:r w:rsidRPr="001663AE">
        <w:rPr>
          <w:rFonts w:hint="eastAsia"/>
        </w:rPr>
        <w:t>違反第二十九條規定，從事與申請停留、居留原因不符之活動或工作。</w:t>
      </w:r>
    </w:p>
    <w:p w14:paraId="58C25D3A" w14:textId="77777777" w:rsidR="00CA23FA" w:rsidRPr="001663AE" w:rsidRDefault="00CA23FA" w:rsidP="00D87D91">
      <w:pPr>
        <w:pStyle w:val="3"/>
      </w:pPr>
      <w:r w:rsidRPr="001663AE">
        <w:rPr>
          <w:rFonts w:hint="eastAsia"/>
        </w:rPr>
        <w:t xml:space="preserve">　　七、</w:t>
      </w:r>
      <w:r w:rsidRPr="001663AE">
        <w:t xml:space="preserve"> </w:t>
      </w:r>
      <w:r w:rsidRPr="001663AE">
        <w:rPr>
          <w:rFonts w:hint="eastAsia"/>
        </w:rPr>
        <w:t>違反入出國及移民署依第三十條所定限制住居所、活動或課以應行遵守之事項。</w:t>
      </w:r>
    </w:p>
    <w:p w14:paraId="337F52F0" w14:textId="77777777" w:rsidR="00CA23FA" w:rsidRPr="001663AE" w:rsidRDefault="00CA23FA" w:rsidP="00D87D91">
      <w:pPr>
        <w:pStyle w:val="3"/>
      </w:pPr>
      <w:r w:rsidRPr="001663AE">
        <w:rPr>
          <w:rFonts w:hint="eastAsia"/>
        </w:rPr>
        <w:t xml:space="preserve">　　八、</w:t>
      </w:r>
      <w:r w:rsidRPr="001663AE">
        <w:t xml:space="preserve"> </w:t>
      </w:r>
      <w:r w:rsidRPr="001663AE">
        <w:rPr>
          <w:rFonts w:hint="eastAsia"/>
        </w:rPr>
        <w:t>違反第三十一條第一項規定，於停留或居留期限屆滿前，未申請停留、居留延期。但有第三十一條第三項情形者，不在此限。</w:t>
      </w:r>
    </w:p>
    <w:p w14:paraId="369D8500" w14:textId="77777777" w:rsidR="00CA23FA" w:rsidRPr="001663AE" w:rsidRDefault="00CA23FA" w:rsidP="00D87D91">
      <w:pPr>
        <w:pStyle w:val="3"/>
      </w:pPr>
      <w:r w:rsidRPr="001663AE">
        <w:rPr>
          <w:rFonts w:hint="eastAsia"/>
        </w:rPr>
        <w:t xml:space="preserve">　　九、</w:t>
      </w:r>
      <w:r w:rsidRPr="001663AE">
        <w:t xml:space="preserve"> </w:t>
      </w:r>
      <w:r w:rsidRPr="001663AE">
        <w:rPr>
          <w:rFonts w:hint="eastAsia"/>
        </w:rPr>
        <w:t>有第三十一條第四項規定情形，居留原因消失，經廢止居留許可，並註銷外僑居留證。</w:t>
      </w:r>
    </w:p>
    <w:p w14:paraId="5404133C" w14:textId="77777777" w:rsidR="00CA23FA" w:rsidRPr="001663AE" w:rsidRDefault="00CA23FA" w:rsidP="00D87D91">
      <w:pPr>
        <w:pStyle w:val="3"/>
      </w:pPr>
      <w:r w:rsidRPr="001663AE">
        <w:rPr>
          <w:rFonts w:hint="eastAsia"/>
        </w:rPr>
        <w:t xml:space="preserve">　　十、</w:t>
      </w:r>
      <w:r w:rsidRPr="001663AE">
        <w:t xml:space="preserve"> </w:t>
      </w:r>
      <w:r w:rsidRPr="001663AE">
        <w:rPr>
          <w:rFonts w:hint="eastAsia"/>
        </w:rPr>
        <w:t>有第三十二條第一款至第三款規定情形，經撤銷或廢止居留許可，並註銷外僑居留證。</w:t>
      </w:r>
    </w:p>
    <w:p w14:paraId="3B62D484" w14:textId="77777777" w:rsidR="00CA23FA" w:rsidRPr="001663AE" w:rsidRDefault="00CA23FA" w:rsidP="00D87D91">
      <w:pPr>
        <w:pStyle w:val="3"/>
      </w:pPr>
      <w:r w:rsidRPr="001663AE">
        <w:rPr>
          <w:rFonts w:hint="eastAsia"/>
        </w:rPr>
        <w:t xml:space="preserve">　　十一、</w:t>
      </w:r>
      <w:r w:rsidRPr="001663AE">
        <w:t xml:space="preserve"> </w:t>
      </w:r>
      <w:r w:rsidRPr="001663AE">
        <w:rPr>
          <w:rFonts w:hint="eastAsia"/>
        </w:rPr>
        <w:t>有第三十三條第一款至第三款規定情形，經撤銷或廢止永久居留許可，並註銷外僑永久居留證。</w:t>
      </w:r>
    </w:p>
    <w:p w14:paraId="597F9F1F" w14:textId="77777777" w:rsidR="00CA23FA" w:rsidRPr="001663AE" w:rsidRDefault="00CA23FA" w:rsidP="00D87D91">
      <w:pPr>
        <w:pStyle w:val="3"/>
      </w:pPr>
      <w:r w:rsidRPr="001663AE">
        <w:rPr>
          <w:rFonts w:hint="eastAsia"/>
        </w:rPr>
        <w:t xml:space="preserve">　　入出國及移民署依前項規定強制驅逐已取得居留、永久居留許可外國人出國前，應組成審查會審查之，並給予當事人陳述意見之機會。但當事人有下列情形之一者，得不經審查會審查，逕行強制驅逐出國：</w:t>
      </w:r>
      <w:r w:rsidRPr="001663AE">
        <w:t xml:space="preserve"> </w:t>
      </w:r>
    </w:p>
    <w:p w14:paraId="100859EE" w14:textId="77777777" w:rsidR="00CA23FA" w:rsidRPr="001663AE" w:rsidRDefault="00CA23FA" w:rsidP="00D87D91">
      <w:pPr>
        <w:pStyle w:val="3"/>
      </w:pPr>
      <w:r w:rsidRPr="001663AE">
        <w:rPr>
          <w:rFonts w:hint="eastAsia"/>
        </w:rPr>
        <w:t xml:space="preserve">　　一、</w:t>
      </w:r>
      <w:r w:rsidRPr="001663AE">
        <w:t xml:space="preserve"> </w:t>
      </w:r>
      <w:r w:rsidRPr="001663AE">
        <w:rPr>
          <w:rFonts w:hint="eastAsia"/>
        </w:rPr>
        <w:t>以書面聲明放棄陳述意見或自願出國。</w:t>
      </w:r>
    </w:p>
    <w:p w14:paraId="2B6EC7FE" w14:textId="77777777" w:rsidR="00CA23FA" w:rsidRPr="001663AE" w:rsidRDefault="00CA23FA" w:rsidP="00D87D91">
      <w:pPr>
        <w:pStyle w:val="3"/>
      </w:pPr>
      <w:r w:rsidRPr="001663AE">
        <w:rPr>
          <w:rFonts w:hint="eastAsia"/>
        </w:rPr>
        <w:t xml:space="preserve">　　二、</w:t>
      </w:r>
      <w:r w:rsidRPr="001663AE">
        <w:t xml:space="preserve"> </w:t>
      </w:r>
      <w:r w:rsidRPr="001663AE">
        <w:rPr>
          <w:rFonts w:hint="eastAsia"/>
        </w:rPr>
        <w:t>經法院於裁判時併宣告驅逐出境。</w:t>
      </w:r>
    </w:p>
    <w:p w14:paraId="53FB2E85" w14:textId="77777777" w:rsidR="00CA23FA" w:rsidRPr="001663AE" w:rsidRDefault="00CA23FA" w:rsidP="00D87D91">
      <w:pPr>
        <w:pStyle w:val="3"/>
      </w:pPr>
      <w:r w:rsidRPr="001663AE">
        <w:rPr>
          <w:rFonts w:hint="eastAsia"/>
        </w:rPr>
        <w:t xml:space="preserve">　　三、</w:t>
      </w:r>
      <w:r w:rsidRPr="001663AE">
        <w:t xml:space="preserve"> </w:t>
      </w:r>
      <w:r w:rsidRPr="001663AE">
        <w:rPr>
          <w:rFonts w:hint="eastAsia"/>
        </w:rPr>
        <w:t>依其他法律應限令出國。</w:t>
      </w:r>
    </w:p>
    <w:p w14:paraId="66347696" w14:textId="77777777" w:rsidR="00CA23FA" w:rsidRPr="001663AE" w:rsidRDefault="00CA23FA" w:rsidP="00D87D91">
      <w:pPr>
        <w:pStyle w:val="3"/>
      </w:pPr>
      <w:r w:rsidRPr="001663AE">
        <w:rPr>
          <w:rFonts w:hint="eastAsia"/>
        </w:rPr>
        <w:t xml:space="preserve">　　四、</w:t>
      </w:r>
      <w:r w:rsidRPr="001663AE">
        <w:t xml:space="preserve"> </w:t>
      </w:r>
      <w:r w:rsidRPr="001663AE">
        <w:rPr>
          <w:rFonts w:hint="eastAsia"/>
        </w:rPr>
        <w:t>有危害我國利益、公共安全、公共秩序或從事恐怖活動之虞，且情況急迫應即時處分。</w:t>
      </w:r>
    </w:p>
    <w:p w14:paraId="05B64345" w14:textId="77777777" w:rsidR="00CA23FA" w:rsidRPr="001663AE" w:rsidRDefault="00CA23FA" w:rsidP="00D87D91">
      <w:pPr>
        <w:pStyle w:val="3"/>
      </w:pPr>
      <w:r w:rsidRPr="001663AE">
        <w:rPr>
          <w:rFonts w:hint="eastAsia"/>
        </w:rPr>
        <w:t xml:space="preserve">　　外國人有第一項第二款、第四款至第七款、第九款或第十款情形之一，入出國及移民署得於強制驅逐出國前，限令其於七日內出國。</w:t>
      </w:r>
      <w:r w:rsidRPr="001663AE">
        <w:t xml:space="preserve"> </w:t>
      </w:r>
    </w:p>
    <w:p w14:paraId="3C3F5B53" w14:textId="77777777" w:rsidR="00CA23FA" w:rsidRPr="001663AE" w:rsidRDefault="00CA23FA" w:rsidP="00D87D91">
      <w:pPr>
        <w:pStyle w:val="3"/>
      </w:pPr>
      <w:r w:rsidRPr="001663AE">
        <w:t xml:space="preserve"> </w:t>
      </w:r>
      <w:r w:rsidRPr="001663AE">
        <w:rPr>
          <w:rFonts w:hint="eastAsia"/>
        </w:rPr>
        <w:t xml:space="preserve">　　第一項所定強制驅逐出國之處理方式、程序、管理及其他應遵行事項之辦法，由主管機關定之。</w:t>
      </w:r>
      <w:r w:rsidRPr="001663AE">
        <w:t xml:space="preserve"> </w:t>
      </w:r>
    </w:p>
    <w:p w14:paraId="659F4DE6" w14:textId="77777777" w:rsidR="00CA23FA" w:rsidRPr="001663AE" w:rsidRDefault="00CA23FA" w:rsidP="00D87D91">
      <w:pPr>
        <w:pStyle w:val="3"/>
      </w:pPr>
      <w:r w:rsidRPr="001663AE">
        <w:t xml:space="preserve"> </w:t>
      </w:r>
      <w:r w:rsidRPr="001663AE">
        <w:rPr>
          <w:rFonts w:hint="eastAsia"/>
        </w:rPr>
        <w:t xml:space="preserve">　　第二項審查會之組成、審查要件、程序等事宜，由主管機關定之。</w:t>
      </w:r>
    </w:p>
  </w:footnote>
  <w:footnote w:id="668">
    <w:p w14:paraId="2B7C6D16" w14:textId="77777777" w:rsidR="00CA23FA"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入出國及移民法</w:t>
      </w:r>
      <w:r>
        <w:rPr>
          <w:rFonts w:hint="eastAsia"/>
        </w:rPr>
        <w:t>第</w:t>
      </w:r>
      <w:r w:rsidRPr="001663AE">
        <w:rPr>
          <w:rFonts w:hint="eastAsia"/>
        </w:rPr>
        <w:t>三十八</w:t>
      </w:r>
      <w:r w:rsidRPr="001663AE">
        <w:t xml:space="preserve"> </w:t>
      </w:r>
      <w:r w:rsidRPr="001663AE">
        <w:rPr>
          <w:rFonts w:hint="eastAsia"/>
        </w:rPr>
        <w:t>條：</w:t>
      </w:r>
    </w:p>
    <w:p w14:paraId="5F71BA7C" w14:textId="77777777" w:rsidR="00CA23FA" w:rsidRPr="001663AE" w:rsidRDefault="00CA23FA" w:rsidP="00D87D91">
      <w:pPr>
        <w:pStyle w:val="3"/>
      </w:pPr>
      <w:r w:rsidRPr="001663AE">
        <w:rPr>
          <w:rFonts w:hint="eastAsia"/>
        </w:rPr>
        <w:t xml:space="preserve">　　外國人有下列情形之一，非予收容，顯難強制驅逐出國者，入出國及移民署得暫予收容：</w:t>
      </w:r>
    </w:p>
    <w:p w14:paraId="290C0A8E" w14:textId="77777777" w:rsidR="00CA23FA" w:rsidRPr="001663AE" w:rsidRDefault="00CA23FA" w:rsidP="00D87D91">
      <w:pPr>
        <w:pStyle w:val="3"/>
      </w:pPr>
      <w:r w:rsidRPr="001663AE">
        <w:rPr>
          <w:rFonts w:hint="eastAsia"/>
        </w:rPr>
        <w:t xml:space="preserve">　　一、</w:t>
      </w:r>
      <w:r w:rsidRPr="001663AE">
        <w:t xml:space="preserve"> </w:t>
      </w:r>
      <w:r w:rsidRPr="001663AE">
        <w:rPr>
          <w:rFonts w:hint="eastAsia"/>
        </w:rPr>
        <w:t>受驅逐出國處分或限令七日內出國仍未離境。</w:t>
      </w:r>
    </w:p>
    <w:p w14:paraId="4DFDA574" w14:textId="77777777" w:rsidR="00CA23FA" w:rsidRPr="001663AE" w:rsidRDefault="00CA23FA" w:rsidP="00D87D91">
      <w:pPr>
        <w:pStyle w:val="3"/>
      </w:pPr>
      <w:r w:rsidRPr="001663AE">
        <w:rPr>
          <w:rFonts w:hint="eastAsia"/>
        </w:rPr>
        <w:t xml:space="preserve">　　二、</w:t>
      </w:r>
      <w:r w:rsidRPr="001663AE">
        <w:t xml:space="preserve"> </w:t>
      </w:r>
      <w:r w:rsidRPr="001663AE">
        <w:rPr>
          <w:rFonts w:hint="eastAsia"/>
        </w:rPr>
        <w:t>未經許可入國。</w:t>
      </w:r>
    </w:p>
    <w:p w14:paraId="16C13201" w14:textId="77777777" w:rsidR="00CA23FA" w:rsidRPr="001663AE" w:rsidRDefault="00CA23FA" w:rsidP="00D87D91">
      <w:pPr>
        <w:pStyle w:val="3"/>
      </w:pPr>
      <w:r w:rsidRPr="001663AE">
        <w:rPr>
          <w:rFonts w:hint="eastAsia"/>
        </w:rPr>
        <w:t xml:space="preserve">　　三、</w:t>
      </w:r>
      <w:r w:rsidRPr="001663AE">
        <w:t xml:space="preserve"> </w:t>
      </w:r>
      <w:r w:rsidRPr="001663AE">
        <w:rPr>
          <w:rFonts w:hint="eastAsia"/>
        </w:rPr>
        <w:t>逾期停留、居留。</w:t>
      </w:r>
    </w:p>
    <w:p w14:paraId="0CA80232" w14:textId="77777777" w:rsidR="00CA23FA" w:rsidRPr="001663AE" w:rsidRDefault="00CA23FA" w:rsidP="00D87D91">
      <w:pPr>
        <w:pStyle w:val="3"/>
      </w:pPr>
      <w:r w:rsidRPr="001663AE">
        <w:rPr>
          <w:rFonts w:hint="eastAsia"/>
        </w:rPr>
        <w:t xml:space="preserve">　　四、</w:t>
      </w:r>
      <w:r w:rsidRPr="001663AE">
        <w:t xml:space="preserve"> </w:t>
      </w:r>
      <w:r w:rsidRPr="001663AE">
        <w:rPr>
          <w:rFonts w:hint="eastAsia"/>
        </w:rPr>
        <w:t>受外國政府通緝。</w:t>
      </w:r>
    </w:p>
    <w:p w14:paraId="2468E3A0" w14:textId="77777777" w:rsidR="00CA23FA" w:rsidRPr="001663AE" w:rsidRDefault="00CA23FA" w:rsidP="00D87D91">
      <w:pPr>
        <w:pStyle w:val="3"/>
      </w:pPr>
      <w:r w:rsidRPr="001663AE">
        <w:rPr>
          <w:rFonts w:hint="eastAsia"/>
        </w:rPr>
        <w:t xml:space="preserve">　　前項收容以六十日為限，收容期間屆滿，入出國及移民署在事實上認有繼續收容之必要，得延長收容六十日，以一次為限。但受收容人所持護照或旅行檔遺失或失效，尚未能換發、補發或延期者，得延長收容至有效證件備齊後三十日止。</w:t>
      </w:r>
      <w:r w:rsidRPr="001663AE">
        <w:t xml:space="preserve"> </w:t>
      </w:r>
    </w:p>
    <w:p w14:paraId="66F13216" w14:textId="77777777" w:rsidR="00CA23FA" w:rsidRPr="001663AE" w:rsidRDefault="00CA23FA" w:rsidP="00D87D91">
      <w:pPr>
        <w:pStyle w:val="3"/>
      </w:pPr>
      <w:r w:rsidRPr="001663AE">
        <w:t xml:space="preserve"> </w:t>
      </w:r>
      <w:r w:rsidRPr="001663AE">
        <w:rPr>
          <w:rFonts w:hint="eastAsia"/>
        </w:rPr>
        <w:t xml:space="preserve">　　受收容人或其配偶、直系親屬、法定代理人、兄弟姊妹，得於七日內向入出國及移民署提出收容異議。</w:t>
      </w:r>
      <w:r w:rsidRPr="001663AE">
        <w:t xml:space="preserve"> </w:t>
      </w:r>
    </w:p>
    <w:p w14:paraId="4E1B6257" w14:textId="77777777" w:rsidR="00CA23FA" w:rsidRPr="001663AE" w:rsidRDefault="00CA23FA" w:rsidP="00D87D91">
      <w:pPr>
        <w:pStyle w:val="3"/>
      </w:pPr>
      <w:r w:rsidRPr="001663AE">
        <w:rPr>
          <w:rFonts w:hint="eastAsia"/>
        </w:rPr>
        <w:t xml:space="preserve">　　受收容人無法遣送或經認定無暫予收容之必要時，入出國及移民署得限定其住居所或附加其他條件後，廢止收容處分。</w:t>
      </w:r>
      <w:r w:rsidRPr="001663AE">
        <w:t xml:space="preserve"> </w:t>
      </w:r>
    </w:p>
    <w:p w14:paraId="0B98701C" w14:textId="77777777" w:rsidR="00CA23FA" w:rsidRPr="001663AE" w:rsidRDefault="00CA23FA" w:rsidP="00D87D91">
      <w:pPr>
        <w:pStyle w:val="3"/>
      </w:pPr>
      <w:r w:rsidRPr="001663AE">
        <w:t xml:space="preserve"> </w:t>
      </w:r>
      <w:r w:rsidRPr="001663AE">
        <w:rPr>
          <w:rFonts w:hint="eastAsia"/>
        </w:rPr>
        <w:t xml:space="preserve">　　受收容人涉及刑事案件已進入司法程序者，入出國及移民署於收容前或執行強制驅逐出國十五日前，應通知司法機關；其係經司法機關責付者，並應經司法機關同意，始得執行強制驅逐出國。司法機關認為有羈押之必要者，應移請司法機關處理。</w:t>
      </w:r>
      <w:r w:rsidRPr="001663AE">
        <w:t xml:space="preserve"> </w:t>
      </w:r>
    </w:p>
    <w:p w14:paraId="7211A71A" w14:textId="77777777" w:rsidR="00CA23FA" w:rsidRPr="001663AE" w:rsidRDefault="00CA23FA" w:rsidP="00D87D91">
      <w:pPr>
        <w:pStyle w:val="3"/>
      </w:pPr>
      <w:r w:rsidRPr="001663AE">
        <w:rPr>
          <w:rFonts w:hint="eastAsia"/>
        </w:rPr>
        <w:t xml:space="preserve">　　有第一項各款情形之一之外國人涉及刑事案件，經司法機關責付而收容於第三十九條所定之收容處所，並經法院判決有罪確定者，其收容之日數，以一日折抵有期徒刑或拘役一日或刑法第四十二條第六項裁判所定之罰金額數。</w:t>
      </w:r>
      <w:r w:rsidRPr="001663AE">
        <w:t xml:space="preserve"> </w:t>
      </w:r>
    </w:p>
    <w:p w14:paraId="2A4494D8" w14:textId="77777777" w:rsidR="00CA23FA" w:rsidRPr="001663AE" w:rsidRDefault="00CA23FA" w:rsidP="00D87D91">
      <w:pPr>
        <w:pStyle w:val="3"/>
      </w:pPr>
      <w:r w:rsidRPr="001663AE">
        <w:rPr>
          <w:rFonts w:hint="eastAsia"/>
        </w:rPr>
        <w:t xml:space="preserve">　　中華民國一百年十一月八日修正之條文施行前，外國人涉嫌犯罪，經法院判決有罪確定，於修正施行後尚未執行完畢者，其於修正施行前收容於第三十九條收容處所之日數，仍適用修正施行前折抵之規定。</w:t>
      </w:r>
      <w:r w:rsidRPr="001663AE">
        <w:t xml:space="preserve"> </w:t>
      </w:r>
    </w:p>
    <w:p w14:paraId="240EFAD0" w14:textId="77777777" w:rsidR="00CA23FA" w:rsidRPr="001663AE" w:rsidRDefault="00CA23FA" w:rsidP="00D87D91">
      <w:pPr>
        <w:pStyle w:val="3"/>
      </w:pPr>
      <w:r w:rsidRPr="001663AE">
        <w:rPr>
          <w:rFonts w:hint="eastAsia"/>
        </w:rPr>
        <w:t xml:space="preserve">　　第二項收容、延長收容及第三十六條強制驅逐出國之處分，應以當事人理解之語文作成書面通知，附記處分理由及不服處分提起救濟之方法、期間、受理機關等相關規定；收容處分並應聯繫當事人原籍國駐華使領館或授權機構。</w:t>
      </w:r>
      <w:r w:rsidRPr="001663AE">
        <w:t xml:space="preserve"> </w:t>
      </w:r>
    </w:p>
  </w:footnote>
  <w:footnote w:id="669">
    <w:p w14:paraId="6DB8B6F5"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此部分，另請參閱：蘇麗嬌，在台外國人工作及其相關權利之研究，中央警察大學碩士論文，民</w:t>
      </w:r>
      <w:r w:rsidRPr="001663AE">
        <w:t>89</w:t>
      </w:r>
      <w:r w:rsidRPr="001663AE">
        <w:rPr>
          <w:rFonts w:hint="eastAsia"/>
        </w:rPr>
        <w:t>年</w:t>
      </w:r>
      <w:r w:rsidRPr="001663AE">
        <w:t>6</w:t>
      </w:r>
      <w:r w:rsidRPr="001663AE">
        <w:rPr>
          <w:rFonts w:hint="eastAsia"/>
        </w:rPr>
        <w:t>月。黃耀曾，論外國人入出國管理</w:t>
      </w:r>
      <w:r>
        <w:t>〜</w:t>
      </w:r>
      <w:r w:rsidRPr="001663AE">
        <w:rPr>
          <w:rFonts w:hint="eastAsia"/>
        </w:rPr>
        <w:t>對外國人遣返程序之探討，中央警察大學行政警察研究所碩士論文，民國</w:t>
      </w:r>
      <w:r w:rsidRPr="001663AE">
        <w:t>92</w:t>
      </w:r>
      <w:r w:rsidRPr="001663AE">
        <w:rPr>
          <w:rFonts w:hint="eastAsia"/>
        </w:rPr>
        <w:t>年</w:t>
      </w:r>
      <w:r w:rsidRPr="001663AE">
        <w:t>6</w:t>
      </w:r>
      <w:r w:rsidRPr="001663AE">
        <w:rPr>
          <w:rFonts w:hint="eastAsia"/>
        </w:rPr>
        <w:t>月，頁</w:t>
      </w:r>
      <w:r w:rsidRPr="001663AE">
        <w:t>98</w:t>
      </w:r>
      <w:r w:rsidRPr="001663AE">
        <w:rPr>
          <w:rFonts w:hint="eastAsia"/>
        </w:rPr>
        <w:t>。</w:t>
      </w:r>
    </w:p>
  </w:footnote>
  <w:footnote w:id="670">
    <w:p w14:paraId="624FB416" w14:textId="77777777" w:rsidR="00CA23FA" w:rsidRPr="001663AE" w:rsidRDefault="00CA23FA" w:rsidP="00D87D91">
      <w:pPr>
        <w:pStyle w:val="3"/>
      </w:pPr>
      <w:r w:rsidRPr="001663AE">
        <w:rPr>
          <w:rStyle w:val="af3"/>
          <w:rFonts w:ascii="新細明體" w:hAnsi="新細明體"/>
        </w:rPr>
        <w:footnoteRef/>
      </w:r>
      <w:r w:rsidRPr="001663AE">
        <w:rPr>
          <w:rFonts w:hint="eastAsia"/>
        </w:rPr>
        <w:t>另請參閱：刁仁國，外國人入出境管理法論，桃園：中央警察大學出版社，民國九十年三月，頁</w:t>
      </w:r>
      <w:r w:rsidRPr="001663AE">
        <w:t>221</w:t>
      </w:r>
      <w:r w:rsidRPr="001663AE">
        <w:rPr>
          <w:rFonts w:hint="eastAsia"/>
        </w:rPr>
        <w:t>。黃耀曾，論外國人入出國管理</w:t>
      </w:r>
      <w:r>
        <w:t>〜</w:t>
      </w:r>
      <w:r w:rsidRPr="001663AE">
        <w:rPr>
          <w:rFonts w:hint="eastAsia"/>
        </w:rPr>
        <w:t>對外國人遣返程序之探討，中央警察大學行政警察研究所碩士論文，民國</w:t>
      </w:r>
      <w:r w:rsidRPr="001663AE">
        <w:t>92</w:t>
      </w:r>
      <w:r w:rsidRPr="001663AE">
        <w:rPr>
          <w:rFonts w:hint="eastAsia"/>
        </w:rPr>
        <w:t>年</w:t>
      </w:r>
      <w:r w:rsidRPr="001663AE">
        <w:t>6</w:t>
      </w:r>
      <w:r w:rsidRPr="001663AE">
        <w:rPr>
          <w:rFonts w:hint="eastAsia"/>
        </w:rPr>
        <w:t>月，頁</w:t>
      </w:r>
      <w:r w:rsidRPr="001663AE">
        <w:t>130</w:t>
      </w:r>
      <w:r w:rsidRPr="001663AE">
        <w:rPr>
          <w:rFonts w:hint="eastAsia"/>
        </w:rPr>
        <w:t>。</w:t>
      </w:r>
    </w:p>
  </w:footnote>
  <w:footnote w:id="671">
    <w:p w14:paraId="26BC9D2A"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李震山，人性尊嚴與人權保障，臺北：元照出版社，</w:t>
      </w:r>
      <w:r w:rsidRPr="001663AE">
        <w:t>2000</w:t>
      </w:r>
      <w:r w:rsidRPr="001663AE">
        <w:rPr>
          <w:rFonts w:hint="eastAsia"/>
        </w:rPr>
        <w:t>年，頁</w:t>
      </w:r>
      <w:r w:rsidRPr="001663AE">
        <w:t>409</w:t>
      </w:r>
      <w:r w:rsidRPr="001663AE">
        <w:rPr>
          <w:rFonts w:hint="eastAsia"/>
        </w:rPr>
        <w:t>。</w:t>
      </w:r>
    </w:p>
  </w:footnote>
  <w:footnote w:id="672">
    <w:p w14:paraId="2CE620B0"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倘受收容人於暫時收容期間內，對於暫時收容處分表示不服，或要求由法院審查決定是否予以收容，入出國及移民署應即於二十四小時內將受收容人移送法院迅速裁定是否予以收容。亦即，假若收容人於暫時收容期間內，對於暫時收容處分並未表示不服，或並未要求由法院審查決定是否予以收容，此時，則無須將受收容人移送法院迅速裁定是否予以收容，此種之機制，仍未適用嚴格法官保留之機制。</w:t>
      </w:r>
      <w:r w:rsidRPr="001663AE">
        <w:t xml:space="preserve"> </w:t>
      </w:r>
    </w:p>
    <w:p w14:paraId="1380BDE8" w14:textId="77777777" w:rsidR="00CA23FA" w:rsidRPr="001663AE" w:rsidRDefault="00CA23FA" w:rsidP="00663B4B">
      <w:pPr>
        <w:pStyle w:val="3"/>
      </w:pPr>
    </w:p>
  </w:footnote>
  <w:footnote w:id="673">
    <w:p w14:paraId="4D022913" w14:textId="77777777" w:rsidR="00CA23FA" w:rsidRPr="001663AE" w:rsidRDefault="00CA23FA" w:rsidP="00663B4B">
      <w:pPr>
        <w:pStyle w:val="3"/>
      </w:pPr>
      <w:r w:rsidRPr="001663AE">
        <w:rPr>
          <w:rStyle w:val="af3"/>
          <w:rFonts w:ascii="新細明體" w:hAnsi="新細明體"/>
          <w:szCs w:val="20"/>
        </w:rPr>
        <w:footnoteRef/>
      </w:r>
      <w:r w:rsidRPr="001663AE">
        <w:rPr>
          <w:rFonts w:hint="eastAsia"/>
        </w:rPr>
        <w:t>入出國及移民法</w:t>
      </w:r>
      <w:r>
        <w:rPr>
          <w:rFonts w:hint="eastAsia"/>
        </w:rPr>
        <w:t>第</w:t>
      </w:r>
      <w:r w:rsidRPr="001663AE">
        <w:rPr>
          <w:rFonts w:hint="eastAsia"/>
        </w:rPr>
        <w:t>二十一</w:t>
      </w:r>
      <w:r w:rsidRPr="001663AE">
        <w:t xml:space="preserve"> </w:t>
      </w:r>
      <w:r w:rsidRPr="001663AE">
        <w:rPr>
          <w:rFonts w:hint="eastAsia"/>
        </w:rPr>
        <w:t>條：外國人有下列情形之一者，入出國及移民署應禁止其出國：</w:t>
      </w:r>
    </w:p>
    <w:p w14:paraId="66EE95CB" w14:textId="77777777" w:rsidR="00CA23FA" w:rsidRPr="001663AE" w:rsidRDefault="00CA23FA" w:rsidP="00663B4B">
      <w:pPr>
        <w:pStyle w:val="3"/>
      </w:pPr>
      <w:r w:rsidRPr="001663AE">
        <w:t xml:space="preserve"> </w:t>
      </w:r>
      <w:r w:rsidRPr="001663AE">
        <w:rPr>
          <w:rFonts w:hint="eastAsia"/>
        </w:rPr>
        <w:t xml:space="preserve">　　一、</w:t>
      </w:r>
      <w:r w:rsidRPr="001663AE">
        <w:t xml:space="preserve"> </w:t>
      </w:r>
      <w:r w:rsidRPr="001663AE">
        <w:rPr>
          <w:rFonts w:hint="eastAsia"/>
        </w:rPr>
        <w:t>經司法機關通知限制出國。</w:t>
      </w:r>
    </w:p>
    <w:p w14:paraId="69F5690E" w14:textId="77777777" w:rsidR="00CA23FA" w:rsidRPr="001663AE" w:rsidRDefault="00CA23FA" w:rsidP="00663B4B">
      <w:pPr>
        <w:pStyle w:val="3"/>
      </w:pPr>
      <w:r w:rsidRPr="001663AE">
        <w:t xml:space="preserve"> </w:t>
      </w:r>
      <w:r w:rsidRPr="001663AE">
        <w:rPr>
          <w:rFonts w:hint="eastAsia"/>
        </w:rPr>
        <w:t xml:space="preserve">　　二、</w:t>
      </w:r>
      <w:r w:rsidRPr="001663AE">
        <w:t xml:space="preserve"> </w:t>
      </w:r>
      <w:r w:rsidRPr="001663AE">
        <w:rPr>
          <w:rFonts w:hint="eastAsia"/>
        </w:rPr>
        <w:t>經財稅機關通知限制出國。</w:t>
      </w:r>
    </w:p>
    <w:p w14:paraId="06CC35E6" w14:textId="77777777" w:rsidR="00CA23FA" w:rsidRPr="001663AE" w:rsidRDefault="00CA23FA" w:rsidP="00663B4B">
      <w:pPr>
        <w:pStyle w:val="3"/>
        <w:rPr>
          <w:rFonts w:ascii="新細明體" w:hAnsi="新細明體"/>
          <w:szCs w:val="20"/>
        </w:rPr>
      </w:pPr>
      <w:r w:rsidRPr="00E5108F">
        <w:rPr>
          <w:rFonts w:hint="eastAsia"/>
        </w:rPr>
        <w:t xml:space="preserve">　　外國人因其他案件在依法查證中，經有關機關請求限制出國者，入出國及移民署得禁止</w:t>
      </w:r>
      <w:r w:rsidRPr="001663AE">
        <w:rPr>
          <w:rFonts w:ascii="新細明體" w:hAnsi="新細明體" w:hint="eastAsia"/>
          <w:szCs w:val="20"/>
        </w:rPr>
        <w:t>其出國。</w:t>
      </w:r>
      <w:r w:rsidRPr="001663AE">
        <w:rPr>
          <w:rFonts w:ascii="新細明體" w:hAnsi="新細明體"/>
          <w:szCs w:val="20"/>
        </w:rPr>
        <w:t xml:space="preserve"> </w:t>
      </w:r>
    </w:p>
    <w:p w14:paraId="633C7D0A" w14:textId="77777777" w:rsidR="00CA23FA" w:rsidRPr="001663AE" w:rsidRDefault="00CA23FA" w:rsidP="00663B4B">
      <w:pPr>
        <w:pStyle w:val="3"/>
      </w:pPr>
      <w:r w:rsidRPr="001663AE">
        <w:t xml:space="preserve"> </w:t>
      </w:r>
      <w:r w:rsidRPr="001663AE">
        <w:rPr>
          <w:rFonts w:hint="eastAsia"/>
        </w:rPr>
        <w:t xml:space="preserve">　　禁止出國者，入出國及移民署應以書面敘明理由，通知當事人。</w:t>
      </w:r>
      <w:r w:rsidRPr="001663AE">
        <w:t xml:space="preserve"> </w:t>
      </w:r>
    </w:p>
    <w:p w14:paraId="2295C339" w14:textId="77777777" w:rsidR="00CA23FA" w:rsidRPr="001663AE" w:rsidRDefault="00CA23FA" w:rsidP="00663B4B">
      <w:pPr>
        <w:pStyle w:val="3"/>
      </w:pPr>
      <w:r w:rsidRPr="001663AE">
        <w:t xml:space="preserve"> </w:t>
      </w:r>
      <w:r w:rsidRPr="001663AE">
        <w:rPr>
          <w:rFonts w:hint="eastAsia"/>
        </w:rPr>
        <w:t xml:space="preserve">　　前三項禁止出國之規定，於大陸地區人民、香港或澳門居民準用之。</w:t>
      </w:r>
      <w:r w:rsidRPr="001663AE">
        <w:t xml:space="preserve"> </w:t>
      </w:r>
    </w:p>
  </w:footnote>
  <w:footnote w:id="674">
    <w:p w14:paraId="666F2C55"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入出國及移民法</w:t>
      </w:r>
      <w:r>
        <w:rPr>
          <w:rFonts w:hint="eastAsia"/>
        </w:rPr>
        <w:t>第</w:t>
      </w:r>
      <w:r w:rsidRPr="001663AE">
        <w:rPr>
          <w:rFonts w:hint="eastAsia"/>
        </w:rPr>
        <w:t>七</w:t>
      </w:r>
      <w:r w:rsidRPr="001663AE">
        <w:t xml:space="preserve"> </w:t>
      </w:r>
      <w:r w:rsidRPr="001663AE">
        <w:rPr>
          <w:rFonts w:hint="eastAsia"/>
        </w:rPr>
        <w:t>條：</w:t>
      </w:r>
      <w:r w:rsidRPr="001663AE">
        <w:t xml:space="preserve"> </w:t>
      </w:r>
      <w:r w:rsidRPr="001663AE">
        <w:rPr>
          <w:rFonts w:hint="eastAsia"/>
        </w:rPr>
        <w:t>臺灣地區無戶籍國民有下列情形之一者，入出國及移民署應不予許可或禁止入國：</w:t>
      </w:r>
    </w:p>
    <w:p w14:paraId="5204B5C9" w14:textId="77777777" w:rsidR="00CA23FA" w:rsidRPr="001663AE" w:rsidRDefault="00CA23FA" w:rsidP="00D87D91">
      <w:pPr>
        <w:pStyle w:val="3"/>
      </w:pPr>
      <w:r w:rsidRPr="001663AE">
        <w:t xml:space="preserve"> </w:t>
      </w:r>
      <w:r w:rsidRPr="001663AE">
        <w:rPr>
          <w:rFonts w:hint="eastAsia"/>
        </w:rPr>
        <w:t xml:space="preserve">　　一、</w:t>
      </w:r>
      <w:r w:rsidRPr="001663AE">
        <w:t xml:space="preserve"> </w:t>
      </w:r>
      <w:r w:rsidRPr="001663AE">
        <w:rPr>
          <w:rFonts w:hint="eastAsia"/>
        </w:rPr>
        <w:t>參加暴力或恐怖組織或其活動。</w:t>
      </w:r>
    </w:p>
    <w:p w14:paraId="19BEB1FE" w14:textId="77777777" w:rsidR="00CA23FA" w:rsidRPr="001663AE" w:rsidRDefault="00CA23FA" w:rsidP="00D87D91">
      <w:pPr>
        <w:pStyle w:val="3"/>
      </w:pPr>
      <w:r w:rsidRPr="001663AE">
        <w:t xml:space="preserve"> </w:t>
      </w:r>
      <w:r w:rsidRPr="001663AE">
        <w:rPr>
          <w:rFonts w:hint="eastAsia"/>
        </w:rPr>
        <w:t xml:space="preserve">　　二、</w:t>
      </w:r>
      <w:r w:rsidRPr="001663AE">
        <w:t xml:space="preserve"> </w:t>
      </w:r>
      <w:r w:rsidRPr="001663AE">
        <w:rPr>
          <w:rFonts w:hint="eastAsia"/>
        </w:rPr>
        <w:t>涉及內亂罪、外患罪重大嫌疑。</w:t>
      </w:r>
    </w:p>
    <w:p w14:paraId="43BF2C2C" w14:textId="77777777" w:rsidR="00CA23FA" w:rsidRPr="001663AE" w:rsidRDefault="00CA23FA" w:rsidP="00D87D91">
      <w:pPr>
        <w:pStyle w:val="3"/>
      </w:pPr>
      <w:r w:rsidRPr="001663AE">
        <w:t xml:space="preserve"> </w:t>
      </w:r>
      <w:r w:rsidRPr="001663AE">
        <w:rPr>
          <w:rFonts w:hint="eastAsia"/>
        </w:rPr>
        <w:t xml:space="preserve">　　三、</w:t>
      </w:r>
      <w:r w:rsidRPr="001663AE">
        <w:t xml:space="preserve"> </w:t>
      </w:r>
      <w:r w:rsidRPr="001663AE">
        <w:rPr>
          <w:rFonts w:hint="eastAsia"/>
        </w:rPr>
        <w:t>涉嫌重大犯罪或有犯罪習慣。</w:t>
      </w:r>
    </w:p>
    <w:p w14:paraId="180E7817" w14:textId="77777777" w:rsidR="00CA23FA" w:rsidRPr="001663AE" w:rsidRDefault="00CA23FA" w:rsidP="00D87D91">
      <w:pPr>
        <w:pStyle w:val="3"/>
      </w:pPr>
      <w:r w:rsidRPr="001663AE">
        <w:t xml:space="preserve"> </w:t>
      </w:r>
      <w:r w:rsidRPr="001663AE">
        <w:rPr>
          <w:rFonts w:hint="eastAsia"/>
        </w:rPr>
        <w:t xml:space="preserve">　　四、</w:t>
      </w:r>
      <w:r w:rsidRPr="001663AE">
        <w:t xml:space="preserve"> </w:t>
      </w:r>
      <w:r w:rsidRPr="001663AE">
        <w:rPr>
          <w:rFonts w:hint="eastAsia"/>
        </w:rPr>
        <w:t>護照或入國許可證件係不法取得、偽造、變造或冒用。</w:t>
      </w:r>
    </w:p>
    <w:p w14:paraId="7E21D79A" w14:textId="77777777" w:rsidR="00CA23FA" w:rsidRPr="001663AE" w:rsidRDefault="00CA23FA" w:rsidP="00D87D91">
      <w:pPr>
        <w:pStyle w:val="3"/>
      </w:pPr>
      <w:r w:rsidRPr="001663AE">
        <w:rPr>
          <w:rFonts w:hint="eastAsia"/>
        </w:rPr>
        <w:t xml:space="preserve">　　臺灣地區無戶籍國民兼具有外國國籍，有前項各款或第十八條第一項各款規定情形之一者，入出國及移民署得不予許可或禁止入國。</w:t>
      </w:r>
      <w:r w:rsidRPr="001663AE">
        <w:t xml:space="preserve"> </w:t>
      </w:r>
    </w:p>
    <w:p w14:paraId="7359398F" w14:textId="77777777" w:rsidR="00CA23FA" w:rsidRPr="001663AE" w:rsidRDefault="00CA23FA" w:rsidP="00D87D91">
      <w:pPr>
        <w:pStyle w:val="3"/>
      </w:pPr>
      <w:r w:rsidRPr="001663AE">
        <w:t xml:space="preserve"> </w:t>
      </w:r>
      <w:r w:rsidRPr="001663AE">
        <w:rPr>
          <w:rFonts w:hint="eastAsia"/>
        </w:rPr>
        <w:t xml:space="preserve">　　第一項第三款所定重大犯罪或有犯罪習慣及前條第一項第六款所定重大經濟犯罪或重大刑事案件之認定標準，由主管機關會同法務部定之。</w:t>
      </w:r>
    </w:p>
  </w:footnote>
  <w:footnote w:id="675">
    <w:p w14:paraId="410224A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鄭正忠﹐劫機犯罪之研究（上）﹐臺北：五南公司﹐民</w:t>
      </w:r>
      <w:r w:rsidRPr="001663AE">
        <w:t>85</w:t>
      </w:r>
      <w:r w:rsidRPr="001663AE">
        <w:rPr>
          <w:rFonts w:hint="eastAsia"/>
        </w:rPr>
        <w:t>年</w:t>
      </w:r>
      <w:r w:rsidRPr="001663AE">
        <w:t>5</w:t>
      </w:r>
      <w:r w:rsidRPr="001663AE">
        <w:rPr>
          <w:rFonts w:hint="eastAsia"/>
        </w:rPr>
        <w:t>月﹐頁</w:t>
      </w:r>
      <w:r w:rsidRPr="001663AE">
        <w:t>160</w:t>
      </w:r>
      <w:r w:rsidRPr="001663AE">
        <w:rPr>
          <w:rFonts w:hint="eastAsia"/>
        </w:rPr>
        <w:t>。</w:t>
      </w:r>
    </w:p>
  </w:footnote>
  <w:footnote w:id="676">
    <w:p w14:paraId="0A44DE55"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丘宏達﹐前揭書，</w:t>
      </w:r>
      <w:r w:rsidRPr="001663AE">
        <w:t>2002</w:t>
      </w:r>
      <w:r w:rsidRPr="001663AE">
        <w:rPr>
          <w:rFonts w:hint="eastAsia"/>
        </w:rPr>
        <w:t>，頁</w:t>
      </w:r>
      <w:r w:rsidRPr="001663AE">
        <w:t>113</w:t>
      </w:r>
      <w:r w:rsidRPr="001663AE">
        <w:rPr>
          <w:rFonts w:hint="eastAsia"/>
        </w:rPr>
        <w:t>。</w:t>
      </w:r>
    </w:p>
  </w:footnote>
  <w:footnote w:id="677">
    <w:p w14:paraId="0F12172F" w14:textId="77777777" w:rsidR="00CA23FA" w:rsidRPr="001663AE" w:rsidRDefault="00CA23FA" w:rsidP="00D87D91">
      <w:pPr>
        <w:pStyle w:val="3"/>
      </w:pPr>
      <w:r w:rsidRPr="001663AE">
        <w:rPr>
          <w:rStyle w:val="af3"/>
          <w:rFonts w:ascii="新細明體" w:hAnsi="新細明體"/>
        </w:rPr>
        <w:footnoteRef/>
      </w:r>
      <w:r w:rsidRPr="001663AE">
        <w:t xml:space="preserve"> Jack Donnelly</w:t>
      </w:r>
      <w:r w:rsidRPr="001663AE">
        <w:rPr>
          <w:rFonts w:hint="eastAsia"/>
        </w:rPr>
        <w:t>原著，江素慧譯</w:t>
      </w:r>
      <w:r w:rsidRPr="001663AE">
        <w:t>(2007)</w:t>
      </w:r>
      <w:r w:rsidRPr="001663AE">
        <w:rPr>
          <w:rFonts w:hint="eastAsia"/>
        </w:rPr>
        <w:t>，普世人權：理論與實踐，臺北巿：巨流，頁</w:t>
      </w:r>
      <w:r w:rsidRPr="001663AE">
        <w:t>7-10</w:t>
      </w:r>
      <w:r w:rsidRPr="001663AE">
        <w:rPr>
          <w:rFonts w:hint="eastAsia"/>
        </w:rPr>
        <w:t>。</w:t>
      </w:r>
    </w:p>
  </w:footnote>
  <w:footnote w:id="678">
    <w:p w14:paraId="4410114F" w14:textId="77777777" w:rsidR="00CA23FA" w:rsidRPr="001663AE" w:rsidRDefault="00CA23FA" w:rsidP="00D87D91">
      <w:pPr>
        <w:pStyle w:val="3"/>
      </w:pPr>
      <w:r w:rsidRPr="001663AE">
        <w:rPr>
          <w:rStyle w:val="af3"/>
          <w:rFonts w:ascii="新細明體" w:hAnsi="新細明體"/>
        </w:rPr>
        <w:footnoteRef/>
      </w:r>
      <w:r w:rsidRPr="001663AE">
        <w:rPr>
          <w:rFonts w:hint="eastAsia"/>
        </w:rPr>
        <w:t>國立編譯館</w:t>
      </w:r>
      <w:r w:rsidRPr="001663AE">
        <w:t>(2009)</w:t>
      </w:r>
      <w:r w:rsidRPr="001663AE">
        <w:rPr>
          <w:rFonts w:hint="eastAsia"/>
        </w:rPr>
        <w:t>，人權的概念與標準，臺北巿</w:t>
      </w:r>
      <w:r w:rsidRPr="001663AE">
        <w:t>:</w:t>
      </w:r>
      <w:r w:rsidRPr="001663AE">
        <w:rPr>
          <w:rFonts w:hint="eastAsia"/>
        </w:rPr>
        <w:t>國立編譯館，頁</w:t>
      </w:r>
      <w:r w:rsidRPr="001663AE">
        <w:t>58-243</w:t>
      </w:r>
      <w:r w:rsidRPr="001663AE">
        <w:rPr>
          <w:rFonts w:hint="eastAsia"/>
        </w:rPr>
        <w:t>。</w:t>
      </w:r>
    </w:p>
  </w:footnote>
  <w:footnote w:id="679">
    <w:p w14:paraId="3774D61F"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柴松林</w:t>
      </w:r>
      <w:r w:rsidRPr="001663AE">
        <w:t>(2001)</w:t>
      </w:r>
      <w:r w:rsidRPr="001663AE">
        <w:rPr>
          <w:rFonts w:hint="eastAsia"/>
        </w:rPr>
        <w:t>，人權伸張與人權譜系的擴增，收錄於中國人權協會編</w:t>
      </w:r>
      <w:r w:rsidRPr="001663AE">
        <w:t>(2001)</w:t>
      </w:r>
      <w:r w:rsidRPr="001663AE">
        <w:rPr>
          <w:rFonts w:hint="eastAsia"/>
        </w:rPr>
        <w:t>，人權法典，初版，臺北巿：遠流，頁</w:t>
      </w:r>
      <w:r w:rsidRPr="001663AE">
        <w:t>III-V</w:t>
      </w:r>
      <w:r w:rsidRPr="001663AE">
        <w:rPr>
          <w:rFonts w:hint="eastAsia"/>
        </w:rPr>
        <w:t>。</w:t>
      </w:r>
    </w:p>
    <w:p w14:paraId="1847359C" w14:textId="77777777" w:rsidR="00CA23FA" w:rsidRPr="001663AE" w:rsidRDefault="00CA23FA" w:rsidP="00D87D91">
      <w:pPr>
        <w:pStyle w:val="3"/>
      </w:pPr>
      <w:r w:rsidRPr="001663AE">
        <w:rPr>
          <w:rFonts w:hint="eastAsia"/>
        </w:rPr>
        <w:t>蔡百銓</w:t>
      </w:r>
      <w:r w:rsidRPr="001663AE">
        <w:t>(2007)</w:t>
      </w:r>
      <w:r w:rsidRPr="001663AE">
        <w:rPr>
          <w:rFonts w:hint="eastAsia"/>
        </w:rPr>
        <w:t>，邁向人權國家，初版，臺北巿：前衛，頁</w:t>
      </w:r>
      <w:r w:rsidRPr="001663AE">
        <w:t>29-263</w:t>
      </w:r>
      <w:r w:rsidRPr="001663AE">
        <w:rPr>
          <w:rFonts w:hint="eastAsia"/>
        </w:rPr>
        <w:t>。</w:t>
      </w:r>
    </w:p>
    <w:p w14:paraId="7EE06D0C" w14:textId="77777777" w:rsidR="00CA23FA" w:rsidRPr="001663AE" w:rsidRDefault="00CA23FA" w:rsidP="00D87D91">
      <w:pPr>
        <w:pStyle w:val="3"/>
      </w:pPr>
      <w:r w:rsidRPr="001663AE">
        <w:rPr>
          <w:rFonts w:hint="eastAsia"/>
        </w:rPr>
        <w:t>國立編譯館</w:t>
      </w:r>
      <w:r w:rsidRPr="001663AE">
        <w:t>(2009)</w:t>
      </w:r>
      <w:r w:rsidRPr="001663AE">
        <w:rPr>
          <w:rFonts w:hint="eastAsia"/>
        </w:rPr>
        <w:t>，同上註，頁</w:t>
      </w:r>
      <w:r w:rsidRPr="001663AE">
        <w:t>58-237</w:t>
      </w:r>
      <w:r w:rsidRPr="001663AE">
        <w:rPr>
          <w:rFonts w:hint="eastAsia"/>
        </w:rPr>
        <w:t>。</w:t>
      </w:r>
    </w:p>
    <w:p w14:paraId="02C45B3A" w14:textId="77777777" w:rsidR="00CA23FA" w:rsidRPr="001663AE" w:rsidRDefault="00CA23FA" w:rsidP="00D87D91">
      <w:pPr>
        <w:pStyle w:val="3"/>
      </w:pPr>
      <w:r w:rsidRPr="001663AE">
        <w:rPr>
          <w:rFonts w:hint="eastAsia"/>
        </w:rPr>
        <w:t>李明峻</w:t>
      </w:r>
      <w:r w:rsidRPr="001663AE">
        <w:t>(2007)</w:t>
      </w:r>
      <w:r w:rsidRPr="001663AE">
        <w:rPr>
          <w:rFonts w:hint="eastAsia"/>
        </w:rPr>
        <w:t>，移民人權導讀－外國人的人權，收錄於卓春英主編，人權思潮導論，初版，臺北巿：秀威資訊科技，頁</w:t>
      </w:r>
      <w:r w:rsidRPr="001663AE">
        <w:t>137-162</w:t>
      </w:r>
      <w:r w:rsidRPr="001663AE">
        <w:rPr>
          <w:rFonts w:hint="eastAsia"/>
        </w:rPr>
        <w:t>。</w:t>
      </w:r>
    </w:p>
    <w:p w14:paraId="41EC68E8" w14:textId="77777777" w:rsidR="00CA23FA" w:rsidRPr="001663AE" w:rsidRDefault="00CA23FA" w:rsidP="00D87D91">
      <w:pPr>
        <w:pStyle w:val="3"/>
      </w:pPr>
      <w:r w:rsidRPr="001663AE">
        <w:t>Jack Donnelly</w:t>
      </w:r>
      <w:r w:rsidRPr="001663AE">
        <w:rPr>
          <w:rFonts w:hint="eastAsia"/>
        </w:rPr>
        <w:t>著，江素慧譯</w:t>
      </w:r>
      <w:r w:rsidRPr="001663AE">
        <w:t>(2007)</w:t>
      </w:r>
      <w:r w:rsidRPr="001663AE">
        <w:rPr>
          <w:rFonts w:hint="eastAsia"/>
        </w:rPr>
        <w:t>，同上註，頁</w:t>
      </w:r>
      <w:r w:rsidRPr="001663AE">
        <w:t>7-317</w:t>
      </w:r>
      <w:r w:rsidRPr="001663AE">
        <w:rPr>
          <w:rFonts w:hint="eastAsia"/>
        </w:rPr>
        <w:t>。</w:t>
      </w:r>
    </w:p>
    <w:p w14:paraId="258165E6" w14:textId="77777777" w:rsidR="00CA23FA" w:rsidRPr="001663AE" w:rsidRDefault="00CA23FA" w:rsidP="00D87D91">
      <w:pPr>
        <w:pStyle w:val="3"/>
      </w:pPr>
      <w:r w:rsidRPr="001663AE">
        <w:rPr>
          <w:rFonts w:hint="eastAsia"/>
        </w:rPr>
        <w:t>何志鵬</w:t>
      </w:r>
      <w:r w:rsidRPr="001663AE">
        <w:t>(2008)</w:t>
      </w:r>
      <w:r w:rsidRPr="001663AE">
        <w:rPr>
          <w:rFonts w:hint="eastAsia"/>
        </w:rPr>
        <w:t>，人權全權化基本理論研究，初版，吉林：科學出版社，頁</w:t>
      </w:r>
      <w:r w:rsidRPr="001663AE">
        <w:t>62-257</w:t>
      </w:r>
      <w:r w:rsidRPr="001663AE">
        <w:rPr>
          <w:rFonts w:hint="eastAsia"/>
        </w:rPr>
        <w:t>。</w:t>
      </w:r>
    </w:p>
    <w:p w14:paraId="702EFC52" w14:textId="77777777" w:rsidR="00CA23FA" w:rsidRPr="001663AE" w:rsidRDefault="00CA23FA" w:rsidP="00D87D91">
      <w:pPr>
        <w:pStyle w:val="3"/>
      </w:pPr>
      <w:r w:rsidRPr="001663AE">
        <w:rPr>
          <w:rFonts w:hint="eastAsia"/>
        </w:rPr>
        <w:t>蘇景輝</w:t>
      </w:r>
      <w:r w:rsidRPr="001663AE">
        <w:t>(2010)</w:t>
      </w:r>
      <w:r w:rsidRPr="001663AE">
        <w:rPr>
          <w:rFonts w:hint="eastAsia"/>
        </w:rPr>
        <w:t>，弱勢者人權與社會工作，初版，臺北巿：巨流，頁</w:t>
      </w:r>
      <w:r w:rsidRPr="001663AE">
        <w:t>3-113</w:t>
      </w:r>
      <w:r w:rsidRPr="001663AE">
        <w:rPr>
          <w:rFonts w:hint="eastAsia"/>
        </w:rPr>
        <w:t>。</w:t>
      </w:r>
    </w:p>
    <w:p w14:paraId="5592D8D6" w14:textId="77777777" w:rsidR="00CA23FA" w:rsidRPr="001663AE" w:rsidRDefault="00CA23FA" w:rsidP="00D87D91">
      <w:pPr>
        <w:pStyle w:val="3"/>
      </w:pPr>
      <w:r w:rsidRPr="001663AE">
        <w:rPr>
          <w:rFonts w:hint="eastAsia"/>
        </w:rPr>
        <w:t>賴械壹、彭鏡琴、吳慧娟</w:t>
      </w:r>
      <w:r w:rsidRPr="001663AE">
        <w:t>(2005)</w:t>
      </w:r>
      <w:r w:rsidRPr="001663AE">
        <w:rPr>
          <w:rFonts w:hint="eastAsia"/>
        </w:rPr>
        <w:t>，淺析外國人之基本權及其限制，中央警察大學國境警察學報第</w:t>
      </w:r>
      <w:r w:rsidRPr="001663AE">
        <w:t>4</w:t>
      </w:r>
      <w:r w:rsidRPr="001663AE">
        <w:rPr>
          <w:rFonts w:hint="eastAsia"/>
        </w:rPr>
        <w:t>期，頁</w:t>
      </w:r>
      <w:r w:rsidRPr="001663AE">
        <w:t>157-189</w:t>
      </w:r>
      <w:r w:rsidRPr="001663AE">
        <w:rPr>
          <w:rFonts w:hint="eastAsia"/>
        </w:rPr>
        <w:t>。</w:t>
      </w:r>
    </w:p>
    <w:p w14:paraId="7D957E1A" w14:textId="77777777" w:rsidR="00CA23FA" w:rsidRPr="001663AE" w:rsidRDefault="00CA23FA" w:rsidP="00D87D91">
      <w:pPr>
        <w:pStyle w:val="3"/>
      </w:pPr>
      <w:r w:rsidRPr="001663AE">
        <w:rPr>
          <w:rFonts w:hint="eastAsia"/>
        </w:rPr>
        <w:t>許義寶</w:t>
      </w:r>
      <w:r w:rsidRPr="001663AE">
        <w:t>(2012)</w:t>
      </w:r>
      <w:r w:rsidRPr="001663AE">
        <w:rPr>
          <w:rFonts w:hint="eastAsia"/>
        </w:rPr>
        <w:t>，外國人之相關基本權利保障，收錄於氏著入出國法制與人權保障，初版</w:t>
      </w:r>
      <w:r w:rsidRPr="001663AE">
        <w:t>1</w:t>
      </w:r>
      <w:r w:rsidRPr="001663AE">
        <w:rPr>
          <w:rFonts w:hint="eastAsia"/>
        </w:rPr>
        <w:t>刷，臺北</w:t>
      </w:r>
      <w:r w:rsidRPr="001663AE">
        <w:t>:</w:t>
      </w:r>
      <w:r w:rsidRPr="001663AE">
        <w:rPr>
          <w:rFonts w:hint="eastAsia"/>
        </w:rPr>
        <w:t>五南，頁</w:t>
      </w:r>
      <w:r w:rsidRPr="001663AE">
        <w:t>117-150</w:t>
      </w:r>
      <w:r w:rsidRPr="001663AE">
        <w:rPr>
          <w:rFonts w:hint="eastAsia"/>
        </w:rPr>
        <w:t>。</w:t>
      </w:r>
    </w:p>
  </w:footnote>
  <w:footnote w:id="680">
    <w:p w14:paraId="6B13AF04" w14:textId="77777777" w:rsidR="00CA23FA" w:rsidRPr="001663AE" w:rsidRDefault="00CA23FA" w:rsidP="00D87D91">
      <w:pPr>
        <w:pStyle w:val="3"/>
      </w:pPr>
      <w:r w:rsidRPr="001663AE">
        <w:rPr>
          <w:rStyle w:val="af3"/>
          <w:rFonts w:ascii="新細明體" w:hAnsi="新細明體"/>
        </w:rPr>
        <w:footnoteRef/>
      </w:r>
      <w:r w:rsidRPr="001663AE">
        <w:rPr>
          <w:rFonts w:hint="eastAsia"/>
        </w:rPr>
        <w:t>賴械壹、彭鏡琴、吳慧娟</w:t>
      </w:r>
      <w:r w:rsidRPr="001663AE">
        <w:t>(2005)</w:t>
      </w:r>
      <w:r w:rsidRPr="001663AE">
        <w:rPr>
          <w:rFonts w:hint="eastAsia"/>
        </w:rPr>
        <w:t>，同上註，頁</w:t>
      </w:r>
      <w:r w:rsidRPr="001663AE">
        <w:t>157-189</w:t>
      </w:r>
      <w:r w:rsidRPr="001663AE">
        <w:rPr>
          <w:rFonts w:hint="eastAsia"/>
        </w:rPr>
        <w:t>。</w:t>
      </w:r>
    </w:p>
    <w:p w14:paraId="6D2E2B28" w14:textId="77777777" w:rsidR="00CA23FA" w:rsidRPr="001663AE" w:rsidRDefault="00CA23FA" w:rsidP="00D87D91">
      <w:pPr>
        <w:pStyle w:val="3"/>
      </w:pPr>
      <w:r w:rsidRPr="001663AE">
        <w:rPr>
          <w:rFonts w:hint="eastAsia"/>
        </w:rPr>
        <w:t>許義寶</w:t>
      </w:r>
      <w:r w:rsidRPr="001663AE">
        <w:t>(2012)</w:t>
      </w:r>
      <w:r w:rsidRPr="001663AE">
        <w:rPr>
          <w:rFonts w:hint="eastAsia"/>
        </w:rPr>
        <w:t>，入出國法制與人權保障，初版</w:t>
      </w:r>
      <w:r w:rsidRPr="001663AE">
        <w:t>1</w:t>
      </w:r>
      <w:r w:rsidRPr="001663AE">
        <w:rPr>
          <w:rFonts w:hint="eastAsia"/>
        </w:rPr>
        <w:t>刷，臺北</w:t>
      </w:r>
      <w:r w:rsidRPr="001663AE">
        <w:t>:</w:t>
      </w:r>
      <w:r w:rsidRPr="001663AE">
        <w:rPr>
          <w:rFonts w:hint="eastAsia"/>
        </w:rPr>
        <w:t>五南，頁</w:t>
      </w:r>
      <w:r w:rsidRPr="001663AE">
        <w:t>211-386</w:t>
      </w:r>
      <w:r w:rsidRPr="001663AE">
        <w:rPr>
          <w:rFonts w:hint="eastAsia"/>
        </w:rPr>
        <w:t>。</w:t>
      </w:r>
    </w:p>
  </w:footnote>
  <w:footnote w:id="681">
    <w:p w14:paraId="1F3A7D5E" w14:textId="77777777" w:rsidR="00CA23FA" w:rsidRPr="001663AE" w:rsidRDefault="00CA23FA" w:rsidP="00D87D91">
      <w:pPr>
        <w:pStyle w:val="3"/>
      </w:pPr>
      <w:r w:rsidRPr="001663AE">
        <w:rPr>
          <w:rStyle w:val="af3"/>
          <w:rFonts w:ascii="新細明體" w:hAnsi="新細明體"/>
        </w:rPr>
        <w:footnoteRef/>
      </w:r>
      <w:r w:rsidRPr="001663AE">
        <w:rPr>
          <w:rFonts w:hint="eastAsia"/>
        </w:rPr>
        <w:t>有關於涉及外國人之相關權利與義務部分，可參閱：許義寶</w:t>
      </w:r>
      <w:r w:rsidRPr="001663AE">
        <w:t>(2009)</w:t>
      </w:r>
      <w:r w:rsidRPr="001663AE">
        <w:rPr>
          <w:rFonts w:hint="eastAsia"/>
        </w:rPr>
        <w:t>，外國人相關基本權利之初探，警察法第</w:t>
      </w:r>
      <w:r w:rsidRPr="001663AE">
        <w:t>8</w:t>
      </w:r>
      <w:r w:rsidRPr="001663AE">
        <w:rPr>
          <w:rFonts w:hint="eastAsia"/>
        </w:rPr>
        <w:t>期，頁</w:t>
      </w:r>
      <w:r w:rsidRPr="001663AE">
        <w:t>81-127</w:t>
      </w:r>
      <w:r w:rsidRPr="001663AE">
        <w:rPr>
          <w:rFonts w:hint="eastAsia"/>
        </w:rPr>
        <w:t>。魏靜芬</w:t>
      </w:r>
      <w:r w:rsidRPr="001663AE">
        <w:t>(2011)</w:t>
      </w:r>
      <w:r w:rsidRPr="001663AE">
        <w:rPr>
          <w:rFonts w:hint="eastAsia"/>
        </w:rPr>
        <w:t>，國際法，初版</w:t>
      </w:r>
      <w:r w:rsidRPr="001663AE">
        <w:t>1</w:t>
      </w:r>
      <w:r w:rsidRPr="001663AE">
        <w:rPr>
          <w:rFonts w:hint="eastAsia"/>
        </w:rPr>
        <w:t>刷，臺北：五南，頁</w:t>
      </w:r>
      <w:r w:rsidRPr="001663AE">
        <w:t>1-266</w:t>
      </w:r>
      <w:r w:rsidRPr="001663AE">
        <w:rPr>
          <w:rFonts w:hint="eastAsia"/>
        </w:rPr>
        <w:t>。</w:t>
      </w:r>
      <w:r w:rsidRPr="001663AE">
        <w:t xml:space="preserve"> </w:t>
      </w:r>
    </w:p>
  </w:footnote>
  <w:footnote w:id="682">
    <w:p w14:paraId="21E83EEA" w14:textId="77777777" w:rsidR="00CA23FA" w:rsidRPr="001663AE" w:rsidRDefault="00CA23FA" w:rsidP="00D87D91">
      <w:pPr>
        <w:pStyle w:val="3"/>
      </w:pPr>
      <w:r w:rsidRPr="001663AE">
        <w:rPr>
          <w:rStyle w:val="af3"/>
          <w:rFonts w:ascii="新細明體" w:hAnsi="新細明體"/>
        </w:rPr>
        <w:footnoteRef/>
      </w:r>
      <w:r w:rsidRPr="001663AE">
        <w:t xml:space="preserve"> Maurice Kamto</w:t>
      </w:r>
      <w:r>
        <w:t>(</w:t>
      </w:r>
      <w:r w:rsidRPr="001663AE">
        <w:t>2011), Seventh report on the expulsion of aliens</w:t>
      </w:r>
      <w:r>
        <w:t>(</w:t>
      </w:r>
      <w:r w:rsidRPr="001663AE">
        <w:t>A/CN. 4/625), Geneva</w:t>
      </w:r>
      <w:r w:rsidRPr="001663AE">
        <w:rPr>
          <w:rFonts w:hint="eastAsia"/>
        </w:rPr>
        <w:t>：</w:t>
      </w:r>
      <w:r w:rsidRPr="001663AE">
        <w:t>UN International Law Commission, pp1-16.</w:t>
      </w:r>
    </w:p>
  </w:footnote>
  <w:footnote w:id="683">
    <w:p w14:paraId="65C26096"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公民與政治權利國際公約</w:t>
      </w:r>
      <w:r w:rsidRPr="001663AE">
        <w:t xml:space="preserve"> </w:t>
      </w:r>
      <w:r w:rsidRPr="001663AE">
        <w:rPr>
          <w:rFonts w:hint="eastAsia"/>
        </w:rPr>
        <w:t>第</w:t>
      </w:r>
      <w:r w:rsidRPr="001663AE">
        <w:t>9</w:t>
      </w:r>
      <w:r w:rsidRPr="001663AE">
        <w:rPr>
          <w:rFonts w:hint="eastAsia"/>
        </w:rPr>
        <w:t>條</w:t>
      </w:r>
    </w:p>
    <w:p w14:paraId="6D004291" w14:textId="77777777" w:rsidR="00CA23FA" w:rsidRPr="001663AE" w:rsidRDefault="00CA23FA" w:rsidP="00D87D91">
      <w:pPr>
        <w:pStyle w:val="3"/>
      </w:pPr>
      <w:r w:rsidRPr="001663AE">
        <w:rPr>
          <w:rFonts w:hint="eastAsia"/>
        </w:rPr>
        <w:t>一　人人有權享有身體自由及人身安全。任何人不得無理予以逮捕或拘禁。非依法定理由及程序，不得剝奪任何人之自由。</w:t>
      </w:r>
    </w:p>
    <w:p w14:paraId="3E0699FB" w14:textId="77777777" w:rsidR="00CA23FA" w:rsidRPr="001663AE" w:rsidRDefault="00CA23FA" w:rsidP="00D87D91">
      <w:pPr>
        <w:pStyle w:val="3"/>
      </w:pPr>
      <w:r w:rsidRPr="001663AE">
        <w:rPr>
          <w:rFonts w:hint="eastAsia"/>
        </w:rPr>
        <w:t>二　執行逮捕時，應當場向被捕人宣告逮捕原因，並應隨即告知被控案由。</w:t>
      </w:r>
    </w:p>
    <w:p w14:paraId="1E4DFBD7" w14:textId="77777777" w:rsidR="00CA23FA" w:rsidRPr="001663AE" w:rsidRDefault="00CA23FA" w:rsidP="00D87D91">
      <w:pPr>
        <w:pStyle w:val="3"/>
      </w:pPr>
      <w:r w:rsidRPr="001663AE">
        <w:rPr>
          <w:rFonts w:hint="eastAsia"/>
        </w:rPr>
        <w:t>三　因刑事罪名而被逮捕或拘禁之人，應迅即解送法官或依法執行司法權力之其他官員，並應於合理期間內審訊或釋放。候訊人通常不得加以羈押，但釋放得令具報，於審訊時，於司法程序之任何其他階段、並於一旦執行判決時，候傳到場。</w:t>
      </w:r>
    </w:p>
    <w:p w14:paraId="30C32FCA" w14:textId="77777777" w:rsidR="00CA23FA" w:rsidRPr="001663AE" w:rsidRDefault="00CA23FA" w:rsidP="00D87D91">
      <w:pPr>
        <w:pStyle w:val="3"/>
      </w:pPr>
      <w:r w:rsidRPr="001663AE">
        <w:rPr>
          <w:rFonts w:hint="eastAsia"/>
        </w:rPr>
        <w:t>四　任何人因逮捕或拘禁而被奪自由時，有權聲請法院提審，以迅速決定其拘禁是否合法，如屬非法，應即令釋放。</w:t>
      </w:r>
    </w:p>
    <w:p w14:paraId="4B0D1334" w14:textId="77777777" w:rsidR="00CA23FA" w:rsidRPr="001663AE" w:rsidRDefault="00CA23FA" w:rsidP="00D87D91">
      <w:pPr>
        <w:pStyle w:val="3"/>
      </w:pPr>
      <w:r w:rsidRPr="001663AE">
        <w:rPr>
          <w:rFonts w:hint="eastAsia"/>
        </w:rPr>
        <w:t>五　任何人受非法逮捕或拘禁者，有權要求執行損害賠償。</w:t>
      </w:r>
    </w:p>
  </w:footnote>
  <w:footnote w:id="684">
    <w:p w14:paraId="4FA67BEB"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非洲人權和</w:t>
      </w:r>
      <w:r w:rsidRPr="001663AE">
        <w:rPr>
          <w:rFonts w:hint="eastAsia"/>
        </w:rPr>
        <w:t>民族</w:t>
      </w:r>
      <w:r w:rsidRPr="001663AE">
        <w:rPr>
          <w:rFonts w:hint="eastAsia"/>
          <w:lang w:bidi="bn-IN"/>
        </w:rPr>
        <w:t>權憲章</w:t>
      </w:r>
      <w:r w:rsidRPr="001663AE">
        <w:rPr>
          <w:lang w:bidi="bn-IN"/>
        </w:rPr>
        <w:t xml:space="preserve"> </w:t>
      </w:r>
      <w:r w:rsidRPr="001663AE">
        <w:rPr>
          <w:rFonts w:hint="eastAsia"/>
          <w:lang w:bidi="bn-IN"/>
        </w:rPr>
        <w:t>第六條每一個人均有權享有人身自由與安全。除非根據事先已經制定好的依據和條件，任何人均不得被剝奪自由。尤其是，任何人均不得被逮捕或拘捕。</w:t>
      </w:r>
    </w:p>
  </w:footnote>
  <w:footnote w:id="685">
    <w:p w14:paraId="40ECD1E5" w14:textId="77777777" w:rsidR="00CA23FA" w:rsidRPr="001663AE" w:rsidRDefault="00CA23FA" w:rsidP="00D87D91">
      <w:pPr>
        <w:pStyle w:val="3"/>
      </w:pPr>
      <w:r w:rsidRPr="001663AE">
        <w:rPr>
          <w:rStyle w:val="af3"/>
          <w:rFonts w:ascii="新細明體" w:hAnsi="新細明體"/>
        </w:rPr>
        <w:footnoteRef/>
      </w:r>
      <w:r w:rsidRPr="001663AE">
        <w:t xml:space="preserve"> U.N., Human Rights Committee</w:t>
      </w:r>
      <w:r>
        <w:t>(</w:t>
      </w:r>
      <w:r w:rsidRPr="001663AE">
        <w:t>1982), ICCPR General Comment No.8: Article 9</w:t>
      </w:r>
      <w:r>
        <w:t>(</w:t>
      </w:r>
      <w:r w:rsidRPr="001663AE">
        <w:t xml:space="preserve">Right to Liberty and Security of Person). </w:t>
      </w:r>
    </w:p>
  </w:footnote>
  <w:footnote w:id="686">
    <w:p w14:paraId="583D0AC4" w14:textId="77777777"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 77.</w:t>
      </w:r>
    </w:p>
  </w:footnote>
  <w:footnote w:id="687">
    <w:p w14:paraId="38D2F378"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w:t>
      </w:r>
      <w:r w:rsidRPr="001663AE">
        <w:rPr>
          <w:lang w:val="es-AR" w:bidi="bn-IN"/>
        </w:rPr>
        <w:t>I.C.J.(2010). I.C.J. Reports 2010. 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 85, 86.</w:t>
      </w:r>
    </w:p>
  </w:footnote>
  <w:footnote w:id="688">
    <w:p w14:paraId="0FD31C83" w14:textId="77777777"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w:t>
      </w:r>
      <w:r w:rsidRPr="001663AE">
        <w:rPr>
          <w:lang w:val="es-AR" w:bidi="bn-IN"/>
        </w:rPr>
        <w:t>I.C.J.(2010). I.C.J. Reports 2010. 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para.85 .</w:t>
      </w:r>
    </w:p>
  </w:footnote>
  <w:footnote w:id="689">
    <w:p w14:paraId="30F97FDE"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計算公式為：</w:t>
      </w:r>
      <w:r w:rsidRPr="001663AE">
        <w:t xml:space="preserve"> 72</w:t>
      </w:r>
      <w:r w:rsidRPr="001663AE">
        <w:rPr>
          <w:rFonts w:hint="eastAsia"/>
        </w:rPr>
        <w:t>日</w:t>
      </w:r>
      <w:r w:rsidRPr="001663AE">
        <w:t>=66</w:t>
      </w:r>
      <w:r w:rsidRPr="001663AE">
        <w:rPr>
          <w:rFonts w:hint="eastAsia"/>
        </w:rPr>
        <w:t>日</w:t>
      </w:r>
      <w:r w:rsidRPr="001663AE">
        <w:t>+6</w:t>
      </w:r>
      <w:r w:rsidRPr="001663AE">
        <w:rPr>
          <w:rFonts w:hint="eastAsia"/>
        </w:rPr>
        <w:t>日</w:t>
      </w:r>
    </w:p>
  </w:footnote>
  <w:footnote w:id="690">
    <w:p w14:paraId="6EAB3CEA" w14:textId="77777777" w:rsidR="00CA23FA" w:rsidRPr="001663AE" w:rsidRDefault="00CA23FA" w:rsidP="00D87D91">
      <w:pPr>
        <w:pStyle w:val="3"/>
        <w:rPr>
          <w:lang w:val="es-AR"/>
        </w:rPr>
      </w:pPr>
      <w:r w:rsidRPr="001663AE">
        <w:rPr>
          <w:rStyle w:val="af3"/>
          <w:rFonts w:ascii="新細明體" w:hAnsi="新細明體"/>
        </w:rPr>
        <w:footnoteRef/>
      </w:r>
      <w:r w:rsidRPr="001663AE">
        <w:rPr>
          <w:lang w:bidi="bn-IN"/>
        </w:rPr>
        <w:t xml:space="preserve"> I.C.J.(2010). </w:t>
      </w:r>
      <w:r w:rsidRPr="001663AE">
        <w:rPr>
          <w:lang w:val="es-AR" w:bidi="bn-IN"/>
        </w:rPr>
        <w:t>I.C.J. Reports 2010. 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para.79 . </w:t>
      </w:r>
    </w:p>
  </w:footnote>
  <w:footnote w:id="691">
    <w:p w14:paraId="3A4CD1F9"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公民與政治權利國際公約</w:t>
      </w:r>
      <w:r>
        <w:rPr>
          <w:rFonts w:hint="eastAsia"/>
        </w:rPr>
        <w:t>第</w:t>
      </w:r>
      <w:r w:rsidRPr="001663AE">
        <w:t xml:space="preserve">13 </w:t>
      </w:r>
      <w:r w:rsidRPr="001663AE">
        <w:rPr>
          <w:rFonts w:hint="eastAsia"/>
        </w:rPr>
        <w:t>條</w:t>
      </w:r>
    </w:p>
    <w:p w14:paraId="302005C4" w14:textId="77777777" w:rsidR="00CA23FA" w:rsidRPr="001663AE" w:rsidRDefault="00CA23FA" w:rsidP="00D87D91">
      <w:pPr>
        <w:pStyle w:val="3"/>
      </w:pPr>
      <w:r w:rsidRPr="001663AE">
        <w:rPr>
          <w:rFonts w:hint="eastAsia"/>
        </w:rPr>
        <w:t>本盟約締約國境內合法居留之外國人，非經依法判定，不得驅逐出境，且除事關國家安全必須急速處分者外，應准其提出不服驅逐出境之理由，及聲請主管當局或主管當局特別指定之人員予以覆判，並為此目的委託代理人到場申訴。</w:t>
      </w:r>
    </w:p>
  </w:footnote>
  <w:footnote w:id="692">
    <w:p w14:paraId="5789EE8B" w14:textId="77777777" w:rsidR="00CA23FA" w:rsidRDefault="00CA23FA" w:rsidP="00D87D91">
      <w:pPr>
        <w:pStyle w:val="3"/>
      </w:pPr>
      <w:r w:rsidRPr="001663AE">
        <w:rPr>
          <w:rStyle w:val="af3"/>
          <w:rFonts w:ascii="新細明體" w:hAnsi="新細明體"/>
          <w:szCs w:val="20"/>
        </w:rPr>
        <w:footnoteRef/>
      </w:r>
      <w:r w:rsidRPr="001663AE">
        <w:rPr>
          <w:rFonts w:hint="eastAsia"/>
        </w:rPr>
        <w:t>非洲人權和民族權憲章</w:t>
      </w:r>
      <w:r w:rsidRPr="001663AE">
        <w:t xml:space="preserve"> </w:t>
      </w:r>
      <w:r w:rsidRPr="001663AE">
        <w:rPr>
          <w:rFonts w:hint="eastAsia"/>
        </w:rPr>
        <w:t>第十二條</w:t>
      </w:r>
    </w:p>
    <w:p w14:paraId="61912921" w14:textId="77777777" w:rsidR="00CA23FA" w:rsidRPr="001663AE" w:rsidRDefault="00CA23FA" w:rsidP="00D87D91">
      <w:pPr>
        <w:pStyle w:val="3"/>
      </w:pPr>
      <w:r w:rsidRPr="001663AE">
        <w:rPr>
          <w:rFonts w:hint="eastAsia"/>
        </w:rPr>
        <w:t>一、在一國範圍內，只要遵守法律，人人有權自由遷徙和居留。</w:t>
      </w:r>
    </w:p>
    <w:p w14:paraId="18E3C0A4" w14:textId="77777777" w:rsidR="00CA23FA" w:rsidRPr="001663AE" w:rsidRDefault="00CA23FA" w:rsidP="00D87D91">
      <w:pPr>
        <w:pStyle w:val="3"/>
      </w:pPr>
      <w:r w:rsidRPr="001663AE">
        <w:rPr>
          <w:rFonts w:hint="eastAsia"/>
        </w:rPr>
        <w:t>二、人人有權離開包括其本國在內的任何一個國度，也有權返回其本國。此項權利只受為保護國家安全、法律及秩序、公共衛生或道德而制定的法律條文的限制。</w:t>
      </w:r>
    </w:p>
    <w:p w14:paraId="74620B66" w14:textId="77777777" w:rsidR="00CA23FA" w:rsidRPr="001663AE" w:rsidRDefault="00CA23FA" w:rsidP="00D87D91">
      <w:pPr>
        <w:pStyle w:val="3"/>
      </w:pPr>
      <w:r w:rsidRPr="001663AE">
        <w:rPr>
          <w:rFonts w:hint="eastAsia"/>
        </w:rPr>
        <w:t>三、每一個人在遭到迫害時均有權依法照其他國家的法律和國際公約在其他國家尋求和獲得庇護。</w:t>
      </w:r>
    </w:p>
    <w:p w14:paraId="705C2E41" w14:textId="77777777" w:rsidR="00CA23FA" w:rsidRPr="001663AE" w:rsidRDefault="00CA23FA" w:rsidP="00D87D91">
      <w:pPr>
        <w:pStyle w:val="3"/>
      </w:pPr>
      <w:r w:rsidRPr="001663AE">
        <w:rPr>
          <w:rFonts w:hint="eastAsia"/>
        </w:rPr>
        <w:t>四、合法地處於本憲章各締約國之內的非本國國民，惟按照依法作出的決定方可被驅逐出境。</w:t>
      </w:r>
    </w:p>
    <w:p w14:paraId="1B676A87" w14:textId="77777777" w:rsidR="00CA23FA" w:rsidRPr="001663AE" w:rsidRDefault="00CA23FA" w:rsidP="00D87D91">
      <w:pPr>
        <w:pStyle w:val="3"/>
      </w:pPr>
      <w:r w:rsidRPr="001663AE">
        <w:rPr>
          <w:rFonts w:hint="eastAsia"/>
        </w:rPr>
        <w:t>五、大規模地驅逐非本國國民應予以禁止，大規模的驅逐是指對民族、種族、人種或宗教團體的驅逐。</w:t>
      </w:r>
    </w:p>
  </w:footnote>
  <w:footnote w:id="693">
    <w:p w14:paraId="696E7AB5" w14:textId="77777777" w:rsidR="00CA23FA" w:rsidRPr="001663AE" w:rsidRDefault="00CA23FA" w:rsidP="00D87D91">
      <w:pPr>
        <w:pStyle w:val="3"/>
        <w:rPr>
          <w:lang w:val="es-AR"/>
        </w:rPr>
      </w:pPr>
      <w:r w:rsidRPr="001663AE">
        <w:rPr>
          <w:rStyle w:val="af3"/>
          <w:rFonts w:ascii="新細明體" w:hAnsi="新細明體"/>
        </w:rPr>
        <w:footnoteRef/>
      </w:r>
      <w:r w:rsidRPr="001663AE">
        <w:rPr>
          <w:lang w:bidi="bn-IN"/>
        </w:rPr>
        <w:t xml:space="preserve"> 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para.65 .</w:t>
      </w:r>
    </w:p>
  </w:footnote>
  <w:footnote w:id="694">
    <w:p w14:paraId="4E665E6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剛果民主共和國又被稱為</w:t>
      </w:r>
      <w:r w:rsidRPr="001663AE">
        <w:t>Zaire</w:t>
      </w:r>
      <w:r w:rsidRPr="001663AE">
        <w:rPr>
          <w:rFonts w:hint="eastAsia"/>
        </w:rPr>
        <w:t>。</w:t>
      </w:r>
    </w:p>
  </w:footnote>
  <w:footnote w:id="695">
    <w:p w14:paraId="4840576E" w14:textId="77777777"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para.72 . </w:t>
      </w:r>
    </w:p>
  </w:footnote>
  <w:footnote w:id="696">
    <w:p w14:paraId="6766F1C6" w14:textId="77777777" w:rsidR="00CA23FA" w:rsidRPr="001663AE" w:rsidRDefault="00CA23FA" w:rsidP="00D87D91">
      <w:pPr>
        <w:pStyle w:val="3"/>
      </w:pPr>
      <w:r w:rsidRPr="001663AE">
        <w:rPr>
          <w:rStyle w:val="af3"/>
          <w:rFonts w:ascii="新細明體" w:hAnsi="新細明體"/>
        </w:rPr>
        <w:footnoteRef/>
      </w:r>
      <w:r w:rsidRPr="001663AE">
        <w:t xml:space="preserve"> Ibid. </w:t>
      </w:r>
    </w:p>
  </w:footnote>
  <w:footnote w:id="697">
    <w:p w14:paraId="73561876" w14:textId="77777777"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para.73 .</w:t>
      </w:r>
    </w:p>
  </w:footnote>
  <w:footnote w:id="698">
    <w:p w14:paraId="48F55769" w14:textId="77777777"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para.74 . </w:t>
      </w:r>
    </w:p>
  </w:footnote>
  <w:footnote w:id="699">
    <w:p w14:paraId="07272A65"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維也納領事關係公約第三十六條與派遣國國民通訊及聯絡</w:t>
      </w:r>
    </w:p>
    <w:p w14:paraId="0492109A" w14:textId="77777777" w:rsidR="00CA23FA" w:rsidRPr="001663AE" w:rsidRDefault="00CA23FA" w:rsidP="00D87D91">
      <w:pPr>
        <w:pStyle w:val="3"/>
      </w:pPr>
      <w:r w:rsidRPr="001663AE">
        <w:rPr>
          <w:rFonts w:hint="eastAsia"/>
        </w:rPr>
        <w:t>一、為便於領館執行其對派遣國國民之職務計：</w:t>
      </w:r>
    </w:p>
    <w:p w14:paraId="7293A85A" w14:textId="77777777" w:rsidR="00CA23FA" w:rsidRPr="001663AE" w:rsidRDefault="00CA23FA" w:rsidP="00D87D91">
      <w:pPr>
        <w:pStyle w:val="3"/>
      </w:pPr>
      <w:r w:rsidRPr="001663AE">
        <w:rPr>
          <w:rFonts w:hint="eastAsia"/>
        </w:rPr>
        <w:t>（一）</w:t>
      </w:r>
      <w:r w:rsidRPr="001663AE">
        <w:t xml:space="preserve"> </w:t>
      </w:r>
      <w:r w:rsidRPr="001663AE">
        <w:rPr>
          <w:rFonts w:hint="eastAsia"/>
        </w:rPr>
        <w:t>領事官員得自由與派遣國國民通訊及會見。派遣國國民與派遣國領事官員通訊及會見應有同樣自由。</w:t>
      </w:r>
    </w:p>
    <w:p w14:paraId="25AE7EAE" w14:textId="77777777" w:rsidR="00CA23FA" w:rsidRPr="001663AE" w:rsidRDefault="00CA23FA" w:rsidP="00D87D91">
      <w:pPr>
        <w:pStyle w:val="3"/>
      </w:pPr>
      <w:r w:rsidRPr="001663AE">
        <w:rPr>
          <w:rFonts w:hint="eastAsia"/>
        </w:rPr>
        <w:t>（二）</w:t>
      </w:r>
      <w:r w:rsidRPr="001663AE">
        <w:t xml:space="preserve"> </w:t>
      </w:r>
      <w:r w:rsidRPr="001663AE">
        <w:rPr>
          <w:rFonts w:hint="eastAsia"/>
        </w:rPr>
        <w:t>遇有領館轄區內有派遣國國民受逮捕或監禁或羈押候審，或受任何其他方式之拘禁之情事，經其本人請求時，接受國主管當局應迅即通知派遣國領館。受逮捕、監禁、羈押或拘禁之人致領館之信件亦應由該當局迅予遞交。該當局應將本款規定之權利迅即告知當事人。</w:t>
      </w:r>
    </w:p>
    <w:p w14:paraId="323EA7F6" w14:textId="77777777" w:rsidR="00CA23FA" w:rsidRPr="001663AE" w:rsidRDefault="00CA23FA" w:rsidP="00D87D91">
      <w:pPr>
        <w:pStyle w:val="3"/>
      </w:pPr>
      <w:r w:rsidRPr="001663AE">
        <w:rPr>
          <w:rFonts w:hint="eastAsia"/>
        </w:rPr>
        <w:t>（三）</w:t>
      </w:r>
      <w:r w:rsidRPr="001663AE">
        <w:t xml:space="preserve"> </w:t>
      </w:r>
      <w:r w:rsidRPr="001663AE">
        <w:rPr>
          <w:rFonts w:hint="eastAsia"/>
        </w:rPr>
        <w:t>領事官員有權探訪受監禁、羈押或拘禁之派遣國國民，與之交談或通訊，並代聘其法律代表。領事官員並有權探訪其轄區內依判決而受監禁、羈押或拘禁之派遣國國民。但如受監禁、羈押或拘禁之國民明示反對為其採取行動時，領事官員應避免採取此種行動。</w:t>
      </w:r>
    </w:p>
    <w:p w14:paraId="28BE5E89" w14:textId="77777777" w:rsidR="00CA23FA" w:rsidRPr="001663AE" w:rsidRDefault="00CA23FA" w:rsidP="00D87D91">
      <w:pPr>
        <w:pStyle w:val="3"/>
      </w:pPr>
      <w:r w:rsidRPr="001663AE">
        <w:rPr>
          <w:rFonts w:hint="eastAsia"/>
        </w:rPr>
        <w:t>二、本條第一項所稱各項權利應遵照接受國法律規章行使之，但此項法律規章務須使本條所規定之權利之目的得以充分實現。</w:t>
      </w:r>
    </w:p>
  </w:footnote>
  <w:footnote w:id="700">
    <w:p w14:paraId="2A3D8344" w14:textId="77777777"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para.95 . </w:t>
      </w:r>
    </w:p>
  </w:footnote>
  <w:footnote w:id="701">
    <w:p w14:paraId="14E184D9" w14:textId="77777777"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para.149 .</w:t>
      </w:r>
    </w:p>
  </w:footnote>
  <w:footnote w:id="702">
    <w:p w14:paraId="2AB234B4" w14:textId="77777777"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para.155 .</w:t>
      </w:r>
    </w:p>
  </w:footnote>
  <w:footnote w:id="703">
    <w:p w14:paraId="119C95E4" w14:textId="77777777" w:rsidR="00CA23FA" w:rsidRPr="001663AE" w:rsidRDefault="00CA23FA" w:rsidP="00D87D91">
      <w:pPr>
        <w:pStyle w:val="3"/>
        <w:rPr>
          <w:lang w:val="es-AR" w:bidi="bn-IN"/>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para.44 . </w:t>
      </w:r>
    </w:p>
    <w:p w14:paraId="3F2EFDA8" w14:textId="77777777" w:rsidR="00CA23FA" w:rsidRPr="001663AE" w:rsidRDefault="00CA23FA" w:rsidP="00D87D91">
      <w:pPr>
        <w:pStyle w:val="3"/>
      </w:pPr>
      <w:r w:rsidRPr="001663AE">
        <w:rPr>
          <w:lang w:bidi="bn-IN"/>
        </w:rPr>
        <w:t>I.C.J.(1970).</w:t>
      </w:r>
      <w:r w:rsidRPr="001663AE">
        <w:t xml:space="preserve"> I.C.J. Reports 1970, p.35. Barcelona Traction, Light and Power CompanyLimited</w:t>
      </w:r>
      <w:r>
        <w:t>(</w:t>
      </w:r>
      <w:r w:rsidRPr="001663AE">
        <w:t>Belgium v. Spain), Second Phase, Judgment, para.44.</w:t>
      </w:r>
    </w:p>
  </w:footnote>
  <w:footnote w:id="704">
    <w:p w14:paraId="08C5E7DB" w14:textId="77777777" w:rsidR="00CA23FA" w:rsidRPr="001663AE" w:rsidRDefault="00CA23FA" w:rsidP="00D87D91">
      <w:pPr>
        <w:pStyle w:val="3"/>
        <w:rPr>
          <w:lang w:val="es-AR"/>
        </w:rPr>
      </w:pPr>
      <w:r w:rsidRPr="001663AE">
        <w:rPr>
          <w:rStyle w:val="af3"/>
          <w:rFonts w:ascii="新細明體" w:hAnsi="新細明體"/>
          <w:szCs w:val="20"/>
        </w:rPr>
        <w:footnoteRef/>
      </w:r>
      <w:r w:rsidRPr="001663AE">
        <w:rPr>
          <w:lang w:bidi="bn-IN"/>
        </w:rPr>
        <w:t xml:space="preserve"> 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para.46 . </w:t>
      </w:r>
    </w:p>
  </w:footnote>
  <w:footnote w:id="705">
    <w:p w14:paraId="2B5C7D86" w14:textId="77777777"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para.156 .</w:t>
      </w:r>
    </w:p>
  </w:footnote>
  <w:footnote w:id="706">
    <w:p w14:paraId="164843AA" w14:textId="77777777" w:rsidR="00CA23FA" w:rsidRPr="001663AE" w:rsidRDefault="00CA23FA" w:rsidP="00670577">
      <w:pPr>
        <w:pStyle w:val="3"/>
        <w:jc w:val="left"/>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para.157 . </w:t>
      </w:r>
    </w:p>
  </w:footnote>
  <w:footnote w:id="707">
    <w:p w14:paraId="6D589D42" w14:textId="77777777" w:rsidR="00CA23FA" w:rsidRPr="001663AE" w:rsidRDefault="00CA23FA" w:rsidP="00670577">
      <w:pPr>
        <w:pStyle w:val="3"/>
        <w:jc w:val="left"/>
      </w:pPr>
      <w:r w:rsidRPr="001663AE">
        <w:rPr>
          <w:rStyle w:val="af3"/>
          <w:rFonts w:ascii="新細明體" w:hAnsi="新細明體"/>
        </w:rPr>
        <w:footnoteRef/>
      </w:r>
      <w:r w:rsidRPr="001663AE">
        <w:t xml:space="preserve"> </w:t>
      </w:r>
      <w:r w:rsidRPr="001663AE">
        <w:rPr>
          <w:kern w:val="0"/>
          <w:lang w:bidi="bn-IN"/>
        </w:rPr>
        <w:t>I.C.J.(1970).</w:t>
      </w:r>
      <w:r w:rsidRPr="001663AE">
        <w:t xml:space="preserve"> I.C.J. Reports 1970, p.41. Barcelona Traction, Light and Power CompanyLimited</w:t>
      </w:r>
      <w:r>
        <w:t>(</w:t>
      </w:r>
      <w:r w:rsidRPr="001663AE">
        <w:t>Belgium v. Spain), Second phase, Judgement, para.66.</w:t>
      </w:r>
    </w:p>
    <w:p w14:paraId="7B95D845" w14:textId="77777777" w:rsidR="00CA23FA" w:rsidRPr="001663AE" w:rsidRDefault="00CA23FA" w:rsidP="00670577">
      <w:pPr>
        <w:pStyle w:val="3"/>
        <w:jc w:val="left"/>
        <w:rPr>
          <w:lang w:val="es-AR"/>
        </w:rPr>
      </w:pP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para.158 .</w:t>
      </w:r>
    </w:p>
  </w:footnote>
  <w:footnote w:id="708">
    <w:p w14:paraId="3E96D377" w14:textId="77777777" w:rsidR="00CA23FA" w:rsidRPr="001663AE" w:rsidRDefault="00CA23FA" w:rsidP="00670577">
      <w:pPr>
        <w:pStyle w:val="3"/>
        <w:jc w:val="left"/>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para.159 . </w:t>
      </w:r>
    </w:p>
  </w:footnote>
  <w:footnote w:id="709">
    <w:p w14:paraId="3B3B549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然而，關於涉及驅逐國裁處之特定性驅逐出國及收容處分，須經由法院裁定之概念，在國際社會上，正蓬勃發展之中，且已有實際之國家立法例，如美國移民法制等。</w:t>
      </w:r>
    </w:p>
  </w:footnote>
  <w:footnote w:id="710">
    <w:p w14:paraId="6E2844CC"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福王守</w:t>
      </w:r>
      <w:r w:rsidRPr="001663AE">
        <w:t>(2004)</w:t>
      </w:r>
      <w:r w:rsidRPr="001663AE">
        <w:rPr>
          <w:rFonts w:hint="eastAsia"/>
        </w:rPr>
        <w:t>，公法判例研究，法學新報，第</w:t>
      </w:r>
      <w:r w:rsidRPr="001663AE">
        <w:t>111</w:t>
      </w:r>
      <w:r w:rsidRPr="001663AE">
        <w:rPr>
          <w:rFonts w:hint="eastAsia"/>
        </w:rPr>
        <w:t>卷，中央大學公法判例研究會，頁</w:t>
      </w:r>
      <w:r w:rsidRPr="001663AE">
        <w:t>418</w:t>
      </w:r>
      <w:r w:rsidRPr="001663AE">
        <w:rPr>
          <w:rFonts w:hint="eastAsia"/>
        </w:rPr>
        <w:t>。</w:t>
      </w:r>
    </w:p>
  </w:footnote>
  <w:footnote w:id="711">
    <w:p w14:paraId="19E4253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w:t>
      </w:r>
      <w:r w:rsidRPr="001663AE">
        <w:t>(2012)</w:t>
      </w:r>
      <w:r w:rsidRPr="001663AE">
        <w:rPr>
          <w:rFonts w:hint="eastAsia"/>
        </w:rPr>
        <w:t>，入出國法制與人權保障，五南圖書出版股份有限公司，頁</w:t>
      </w:r>
      <w:r w:rsidRPr="001663AE">
        <w:t>290</w:t>
      </w:r>
      <w:r w:rsidRPr="001663AE">
        <w:rPr>
          <w:rFonts w:hint="eastAsia"/>
        </w:rPr>
        <w:t>。</w:t>
      </w:r>
    </w:p>
  </w:footnote>
  <w:footnote w:id="712">
    <w:p w14:paraId="6073B5F8" w14:textId="77777777"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(2012)</w:t>
      </w:r>
      <w:r w:rsidRPr="001663AE">
        <w:rPr>
          <w:rFonts w:hint="eastAsia"/>
        </w:rPr>
        <w:t>，入出國法制與人權保障，五南圖書出版股份有限公司，頁</w:t>
      </w:r>
      <w:r w:rsidRPr="001663AE">
        <w:t>209</w:t>
      </w:r>
      <w:r w:rsidRPr="001663AE">
        <w:rPr>
          <w:rFonts w:hint="eastAsia"/>
        </w:rPr>
        <w:t>。</w:t>
      </w:r>
    </w:p>
  </w:footnote>
  <w:footnote w:id="713">
    <w:p w14:paraId="5218DDE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刁仁國</w:t>
      </w:r>
      <w:r w:rsidRPr="001663AE">
        <w:t>(2001)</w:t>
      </w:r>
      <w:r w:rsidRPr="001663AE">
        <w:rPr>
          <w:rFonts w:hint="eastAsia"/>
        </w:rPr>
        <w:t>，外國人入出境管理法論，中央警察大學出版社，頁</w:t>
      </w:r>
      <w:r w:rsidRPr="001663AE">
        <w:t>106</w:t>
      </w:r>
      <w:r w:rsidRPr="001663AE">
        <w:rPr>
          <w:rFonts w:hint="eastAsia"/>
        </w:rPr>
        <w:t>。</w:t>
      </w:r>
    </w:p>
  </w:footnote>
  <w:footnote w:id="714">
    <w:p w14:paraId="1F050B6F"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221</w:t>
      </w:r>
      <w:r w:rsidRPr="001663AE">
        <w:rPr>
          <w:rFonts w:hint="eastAsia"/>
        </w:rPr>
        <w:t>。</w:t>
      </w:r>
    </w:p>
  </w:footnote>
  <w:footnote w:id="715">
    <w:p w14:paraId="1F945D1F"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刁仁國</w:t>
      </w:r>
      <w:r w:rsidRPr="001663AE">
        <w:t>(2001)</w:t>
      </w:r>
      <w:r w:rsidRPr="001663AE">
        <w:rPr>
          <w:rFonts w:hint="eastAsia"/>
        </w:rPr>
        <w:t>，同前註，頁</w:t>
      </w:r>
      <w:r w:rsidRPr="001663AE">
        <w:t>115-18</w:t>
      </w:r>
      <w:r w:rsidRPr="001663AE">
        <w:rPr>
          <w:rFonts w:hint="eastAsia"/>
        </w:rPr>
        <w:t>。</w:t>
      </w:r>
    </w:p>
  </w:footnote>
  <w:footnote w:id="716">
    <w:p w14:paraId="19C51FC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劉進福</w:t>
      </w:r>
      <w:r w:rsidRPr="001663AE">
        <w:t>(1991)</w:t>
      </w:r>
      <w:r w:rsidRPr="001663AE">
        <w:rPr>
          <w:rFonts w:hint="eastAsia"/>
        </w:rPr>
        <w:t>，中日兩國外國人居留管理之研究及其比較，中日關係研究會，頁</w:t>
      </w:r>
      <w:r w:rsidRPr="001663AE">
        <w:t>118-19</w:t>
      </w:r>
      <w:r w:rsidRPr="001663AE">
        <w:rPr>
          <w:rFonts w:hint="eastAsia"/>
        </w:rPr>
        <w:t>。</w:t>
      </w:r>
      <w:r w:rsidRPr="001663AE">
        <w:rPr>
          <w:rFonts w:hint="eastAsia"/>
        </w:rPr>
        <w:t xml:space="preserve"> </w:t>
      </w:r>
    </w:p>
  </w:footnote>
  <w:footnote w:id="717">
    <w:p w14:paraId="3A6164B2" w14:textId="77777777"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248-49</w:t>
      </w:r>
      <w:r w:rsidRPr="001663AE">
        <w:rPr>
          <w:rFonts w:hint="eastAsia"/>
        </w:rPr>
        <w:t>。</w:t>
      </w:r>
    </w:p>
  </w:footnote>
  <w:footnote w:id="718">
    <w:p w14:paraId="4560D21C" w14:textId="77777777"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221</w:t>
      </w:r>
      <w:r w:rsidRPr="001663AE">
        <w:rPr>
          <w:rFonts w:hint="eastAsia"/>
        </w:rPr>
        <w:t>。</w:t>
      </w:r>
    </w:p>
    <w:p w14:paraId="2E696705" w14:textId="77777777" w:rsidR="00CA23FA" w:rsidRPr="001663AE" w:rsidRDefault="00CA23FA" w:rsidP="00D87D91">
      <w:pPr>
        <w:pStyle w:val="3"/>
      </w:pPr>
      <w:r w:rsidRPr="001663AE">
        <w:rPr>
          <w:rFonts w:hint="eastAsia"/>
        </w:rPr>
        <w:t>許義寶</w:t>
      </w:r>
      <w:r w:rsidRPr="001663AE">
        <w:t>(2009)</w:t>
      </w:r>
      <w:r w:rsidRPr="001663AE">
        <w:rPr>
          <w:rFonts w:hint="eastAsia"/>
        </w:rPr>
        <w:t>，外國人相關基本權利之初探，警察法第</w:t>
      </w:r>
      <w:r w:rsidRPr="001663AE">
        <w:t>8</w:t>
      </w:r>
      <w:r w:rsidRPr="001663AE">
        <w:rPr>
          <w:rFonts w:hint="eastAsia"/>
        </w:rPr>
        <w:t>期，頁</w:t>
      </w:r>
      <w:r w:rsidRPr="001663AE">
        <w:t>81-127</w:t>
      </w:r>
      <w:r w:rsidRPr="001663AE">
        <w:rPr>
          <w:rFonts w:hint="eastAsia"/>
        </w:rPr>
        <w:t>。</w:t>
      </w:r>
    </w:p>
    <w:p w14:paraId="1CA20568" w14:textId="77777777" w:rsidR="00CA23FA" w:rsidRPr="001663AE" w:rsidRDefault="00CA23FA" w:rsidP="00D87D91">
      <w:pPr>
        <w:pStyle w:val="3"/>
      </w:pPr>
      <w:r w:rsidRPr="001663AE">
        <w:rPr>
          <w:rFonts w:hint="eastAsia"/>
        </w:rPr>
        <w:t>許義寶</w:t>
      </w:r>
      <w:r w:rsidRPr="001663AE">
        <w:t>(2012)</w:t>
      </w:r>
      <w:r w:rsidRPr="001663AE">
        <w:rPr>
          <w:rFonts w:hint="eastAsia"/>
        </w:rPr>
        <w:t>，入出國法制與人權保障，</w:t>
      </w:r>
      <w:r w:rsidRPr="001663AE">
        <w:rPr>
          <w:rFonts w:hint="eastAsia"/>
          <w:kern w:val="0"/>
          <w:lang w:bidi="bn-IN"/>
        </w:rPr>
        <w:t>臺北市：</w:t>
      </w:r>
      <w:r w:rsidRPr="001663AE">
        <w:rPr>
          <w:rFonts w:hint="eastAsia"/>
        </w:rPr>
        <w:t>五南圖書出版股份有限公司，頁</w:t>
      </w:r>
      <w:r w:rsidRPr="001663AE">
        <w:t>289</w:t>
      </w:r>
      <w:r w:rsidRPr="001663AE">
        <w:rPr>
          <w:rFonts w:hint="eastAsia"/>
        </w:rPr>
        <w:t>。</w:t>
      </w:r>
    </w:p>
    <w:p w14:paraId="0EB6316A" w14:textId="77777777" w:rsidR="00CA23FA" w:rsidRPr="001663AE" w:rsidRDefault="00CA23FA" w:rsidP="00D87D91">
      <w:pPr>
        <w:pStyle w:val="3"/>
      </w:pPr>
      <w:r w:rsidRPr="001663AE">
        <w:rPr>
          <w:rFonts w:hint="eastAsia"/>
        </w:rPr>
        <w:t>許義寶</w:t>
      </w:r>
      <w:r w:rsidRPr="001663AE">
        <w:t>(2012)</w:t>
      </w:r>
      <w:r w:rsidRPr="001663AE">
        <w:rPr>
          <w:rFonts w:hint="eastAsia"/>
        </w:rPr>
        <w:t>，外國人之相關基本權利保障，收錄於氏著入出國法制與人權保障，初版</w:t>
      </w:r>
      <w:r w:rsidRPr="001663AE">
        <w:t>1</w:t>
      </w:r>
      <w:r w:rsidRPr="001663AE">
        <w:rPr>
          <w:rFonts w:hint="eastAsia"/>
        </w:rPr>
        <w:t>刷，臺北</w:t>
      </w:r>
      <w:r w:rsidRPr="001663AE">
        <w:t>:</w:t>
      </w:r>
      <w:r w:rsidRPr="001663AE">
        <w:rPr>
          <w:rFonts w:hint="eastAsia"/>
        </w:rPr>
        <w:t>五南，頁</w:t>
      </w:r>
      <w:r w:rsidRPr="001663AE">
        <w:t>117-150</w:t>
      </w:r>
      <w:r w:rsidRPr="001663AE">
        <w:rPr>
          <w:rFonts w:hint="eastAsia"/>
        </w:rPr>
        <w:t>。</w:t>
      </w:r>
    </w:p>
  </w:footnote>
  <w:footnote w:id="719">
    <w:p w14:paraId="7E925FAF"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w:t>
      </w:r>
      <w:r w:rsidRPr="001663AE">
        <w:rPr>
          <w:lang w:bidi="bn-IN"/>
        </w:rPr>
        <w:t xml:space="preserve"> </w:t>
      </w:r>
      <w:r w:rsidRPr="001663AE">
        <w:rPr>
          <w:rFonts w:hint="eastAsia"/>
          <w:lang w:bidi="bn-IN"/>
        </w:rPr>
        <w:t>，政大碩士論文，頁</w:t>
      </w:r>
      <w:r w:rsidRPr="001663AE">
        <w:rPr>
          <w:lang w:bidi="bn-IN"/>
        </w:rPr>
        <w:t>14-15</w:t>
      </w:r>
      <w:r w:rsidRPr="001663AE">
        <w:rPr>
          <w:rFonts w:hint="eastAsia"/>
          <w:lang w:bidi="bn-IN"/>
        </w:rPr>
        <w:t>。</w:t>
      </w:r>
    </w:p>
  </w:footnote>
  <w:footnote w:id="720">
    <w:p w14:paraId="506DB4E9"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w:t>
      </w:r>
      <w:r w:rsidRPr="001663AE">
        <w:rPr>
          <w:lang w:bidi="bn-IN"/>
        </w:rPr>
        <w:t xml:space="preserve"> </w:t>
      </w:r>
      <w:r w:rsidRPr="001663AE">
        <w:rPr>
          <w:rFonts w:hint="eastAsia"/>
          <w:lang w:bidi="bn-IN"/>
        </w:rPr>
        <w:t>，政大碩士論文，頁</w:t>
      </w:r>
      <w:r w:rsidRPr="001663AE">
        <w:rPr>
          <w:lang w:bidi="bn-IN"/>
        </w:rPr>
        <w:t>49</w:t>
      </w:r>
      <w:r w:rsidRPr="001663AE">
        <w:rPr>
          <w:rFonts w:hint="eastAsia"/>
          <w:lang w:bidi="bn-IN"/>
        </w:rPr>
        <w:t>。</w:t>
      </w:r>
    </w:p>
  </w:footnote>
  <w:footnote w:id="721">
    <w:p w14:paraId="1BC21DB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w:t>
      </w:r>
      <w:r w:rsidRPr="001663AE">
        <w:rPr>
          <w:lang w:bidi="bn-IN"/>
        </w:rPr>
        <w:t xml:space="preserve"> </w:t>
      </w:r>
      <w:r w:rsidRPr="001663AE">
        <w:rPr>
          <w:rFonts w:hint="eastAsia"/>
          <w:lang w:bidi="bn-IN"/>
        </w:rPr>
        <w:t>，</w:t>
      </w:r>
      <w:r w:rsidRPr="001663AE">
        <w:rPr>
          <w:lang w:bidi="bn-IN"/>
        </w:rPr>
        <w:t xml:space="preserve"> </w:t>
      </w:r>
      <w:r w:rsidRPr="001663AE">
        <w:rPr>
          <w:rFonts w:hint="eastAsia"/>
          <w:lang w:bidi="bn-IN"/>
        </w:rPr>
        <w:t>政大碩士論文，頁</w:t>
      </w:r>
      <w:r w:rsidRPr="001663AE">
        <w:rPr>
          <w:lang w:bidi="bn-IN"/>
        </w:rPr>
        <w:t>49</w:t>
      </w:r>
      <w:r w:rsidRPr="001663AE">
        <w:rPr>
          <w:rFonts w:hint="eastAsia"/>
          <w:lang w:bidi="bn-IN"/>
        </w:rPr>
        <w:t>。</w:t>
      </w:r>
    </w:p>
  </w:footnote>
  <w:footnote w:id="722">
    <w:p w14:paraId="00FA0159"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廖元豪</w:t>
      </w:r>
      <w:r w:rsidRPr="001663AE">
        <w:t>(2012)</w:t>
      </w:r>
      <w:r w:rsidRPr="001663AE">
        <w:rPr>
          <w:rFonts w:hint="eastAsia"/>
        </w:rPr>
        <w:t>，移民收容程序之檢討，行政法學會</w:t>
      </w:r>
      <w:r w:rsidRPr="001663AE">
        <w:rPr>
          <w:rFonts w:cs="新細明體" w:hint="eastAsia"/>
          <w:kern w:val="0"/>
          <w:lang w:bidi="bn-IN"/>
        </w:rPr>
        <w:t>「國境管制</w:t>
      </w:r>
      <w:r w:rsidRPr="001663AE">
        <w:rPr>
          <w:rFonts w:cs="新細明體"/>
          <w:kern w:val="0"/>
          <w:lang w:bidi="bn-IN"/>
        </w:rPr>
        <w:t>/</w:t>
      </w:r>
      <w:r w:rsidRPr="001663AE">
        <w:rPr>
          <w:rFonts w:cs="新細明體" w:hint="eastAsia"/>
          <w:kern w:val="0"/>
          <w:lang w:bidi="bn-IN"/>
        </w:rPr>
        <w:t>行政法之舉發」研討會論文集，頁</w:t>
      </w:r>
      <w:r w:rsidRPr="001663AE">
        <w:rPr>
          <w:rFonts w:cs="新細明體"/>
          <w:kern w:val="0"/>
          <w:lang w:bidi="bn-IN"/>
        </w:rPr>
        <w:t>7</w:t>
      </w:r>
      <w:r w:rsidRPr="001663AE">
        <w:rPr>
          <w:rFonts w:cs="新細明體" w:hint="eastAsia"/>
          <w:kern w:val="0"/>
          <w:lang w:bidi="bn-IN"/>
        </w:rPr>
        <w:t>。</w:t>
      </w:r>
    </w:p>
  </w:footnote>
  <w:footnote w:id="723">
    <w:p w14:paraId="121251F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謝瑞智</w:t>
      </w:r>
      <w:r w:rsidRPr="001663AE">
        <w:t>(1999)</w:t>
      </w:r>
      <w:r w:rsidRPr="001663AE">
        <w:rPr>
          <w:rFonts w:hint="eastAsia"/>
        </w:rPr>
        <w:t>，憲法新論，文笙書局，頁</w:t>
      </w:r>
      <w:r w:rsidRPr="001663AE">
        <w:t>155</w:t>
      </w:r>
      <w:r w:rsidRPr="001663AE">
        <w:rPr>
          <w:rFonts w:hint="eastAsia"/>
        </w:rPr>
        <w:t>。</w:t>
      </w:r>
      <w:r w:rsidRPr="001663AE">
        <w:rPr>
          <w:rFonts w:hint="eastAsia"/>
        </w:rPr>
        <w:t xml:space="preserve"> </w:t>
      </w:r>
    </w:p>
  </w:footnote>
  <w:footnote w:id="724">
    <w:p w14:paraId="63DFC8D3"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李震山，</w:t>
      </w:r>
      <w:r w:rsidRPr="001663AE">
        <w:rPr>
          <w:lang w:bidi="bn-IN"/>
        </w:rPr>
        <w:t>(2007)</w:t>
      </w:r>
      <w:r w:rsidRPr="001663AE">
        <w:rPr>
          <w:rFonts w:hint="eastAsia"/>
          <w:lang w:bidi="bn-IN"/>
        </w:rPr>
        <w:t>多元，寬容與人權保障以憲法未列舉權之保障為中心，元照出版，頁</w:t>
      </w:r>
      <w:r w:rsidRPr="001663AE">
        <w:rPr>
          <w:lang w:bidi="bn-IN"/>
        </w:rPr>
        <w:t>189</w:t>
      </w:r>
      <w:r w:rsidRPr="001663AE">
        <w:rPr>
          <w:rFonts w:hint="eastAsia"/>
          <w:lang w:bidi="bn-IN"/>
        </w:rPr>
        <w:t>。</w:t>
      </w:r>
    </w:p>
  </w:footnote>
  <w:footnote w:id="725">
    <w:p w14:paraId="1B28264D" w14:textId="77777777" w:rsidR="00CA23FA" w:rsidRPr="001663AE" w:rsidRDefault="00CA23FA" w:rsidP="00D87D91">
      <w:pPr>
        <w:pStyle w:val="3"/>
        <w:rPr>
          <w:lang w:bidi="bn-IN"/>
        </w:rPr>
      </w:pPr>
      <w:r w:rsidRPr="001663AE">
        <w:rPr>
          <w:rStyle w:val="af3"/>
          <w:rFonts w:ascii="新細明體" w:hAnsi="新細明體"/>
        </w:rPr>
        <w:footnoteRef/>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w:t>
      </w:r>
      <w:r w:rsidRPr="001663AE">
        <w:rPr>
          <w:lang w:bidi="bn-IN"/>
        </w:rPr>
        <w:t xml:space="preserve"> </w:t>
      </w:r>
      <w:r w:rsidRPr="001663AE">
        <w:rPr>
          <w:rFonts w:hint="eastAsia"/>
          <w:lang w:bidi="bn-IN"/>
        </w:rPr>
        <w:t>，</w:t>
      </w:r>
      <w:r w:rsidRPr="001663AE">
        <w:rPr>
          <w:lang w:bidi="bn-IN"/>
        </w:rPr>
        <w:t xml:space="preserve"> </w:t>
      </w:r>
      <w:r w:rsidRPr="001663AE">
        <w:rPr>
          <w:rFonts w:hint="eastAsia"/>
          <w:lang w:bidi="bn-IN"/>
        </w:rPr>
        <w:t>政大碩士論文，頁</w:t>
      </w:r>
      <w:r w:rsidRPr="001663AE">
        <w:rPr>
          <w:lang w:bidi="bn-IN"/>
        </w:rPr>
        <w:t>158</w:t>
      </w:r>
      <w:r w:rsidRPr="001663AE">
        <w:rPr>
          <w:rFonts w:hint="eastAsia"/>
          <w:lang w:bidi="bn-IN"/>
        </w:rPr>
        <w:t>。</w:t>
      </w:r>
    </w:p>
  </w:footnote>
  <w:footnote w:id="726">
    <w:p w14:paraId="6E521975" w14:textId="77777777" w:rsidR="00CA23FA" w:rsidRPr="001663AE" w:rsidRDefault="00CA23FA" w:rsidP="00D87D91">
      <w:pPr>
        <w:pStyle w:val="3"/>
      </w:pPr>
      <w:r w:rsidRPr="001663AE">
        <w:rPr>
          <w:rStyle w:val="af3"/>
          <w:rFonts w:ascii="新細明體" w:hAnsi="新細明體"/>
        </w:rPr>
        <w:footnoteRef/>
      </w:r>
      <w:r w:rsidRPr="001663AE">
        <w:rPr>
          <w:rFonts w:hint="eastAsia"/>
        </w:rPr>
        <w:t>陳惠如</w:t>
      </w:r>
      <w:r w:rsidRPr="001663AE">
        <w:t>(2010)</w:t>
      </w:r>
      <w:r w:rsidRPr="001663AE">
        <w:rPr>
          <w:rFonts w:hint="eastAsia"/>
        </w:rPr>
        <w:t>，人權兩公約，大事紀新聞網</w:t>
      </w:r>
      <w:r w:rsidRPr="001663AE">
        <w:t>Q&amp;A</w:t>
      </w:r>
      <w:r w:rsidRPr="001663AE">
        <w:rPr>
          <w:rFonts w:hint="eastAsia"/>
        </w:rPr>
        <w:t>，</w:t>
      </w:r>
      <w:hyperlink r:id="rId191" w:history="1">
        <w:r w:rsidRPr="001663AE">
          <w:rPr>
            <w:rStyle w:val="a5"/>
          </w:rPr>
          <w:t>http://www.epochtimes.com/b5</w:t>
        </w:r>
      </w:hyperlink>
      <w:r w:rsidRPr="001663AE">
        <w:rPr>
          <w:rFonts w:hint="eastAsia"/>
        </w:rPr>
        <w:t>。</w:t>
      </w:r>
      <w:r w:rsidRPr="001663AE">
        <w:tab/>
      </w:r>
    </w:p>
  </w:footnote>
  <w:footnote w:id="727">
    <w:p w14:paraId="5EA79444" w14:textId="77777777" w:rsidR="00CA23FA" w:rsidRPr="001663AE" w:rsidRDefault="00CA23FA" w:rsidP="00D87D91">
      <w:pPr>
        <w:pStyle w:val="3"/>
      </w:pPr>
      <w:r w:rsidRPr="001663AE">
        <w:rPr>
          <w:rStyle w:val="af3"/>
          <w:rFonts w:ascii="新細明體" w:hAnsi="新細明體"/>
        </w:rPr>
        <w:footnoteRef/>
      </w:r>
      <w:r w:rsidRPr="001663AE">
        <w:rPr>
          <w:rFonts w:hint="eastAsia"/>
        </w:rPr>
        <w:t>陳惠如</w:t>
      </w:r>
      <w:r w:rsidRPr="001663AE">
        <w:t>(2010)</w:t>
      </w:r>
      <w:r w:rsidRPr="001663AE">
        <w:rPr>
          <w:rFonts w:hint="eastAsia"/>
        </w:rPr>
        <w:t>，人權兩公約，大事紀新聞網</w:t>
      </w:r>
      <w:r w:rsidRPr="001663AE">
        <w:t>Q&amp;A</w:t>
      </w:r>
      <w:r w:rsidRPr="001663AE">
        <w:rPr>
          <w:rFonts w:hint="eastAsia"/>
        </w:rPr>
        <w:t>，</w:t>
      </w:r>
      <w:hyperlink r:id="rId192" w:history="1">
        <w:r w:rsidRPr="001663AE">
          <w:rPr>
            <w:rStyle w:val="a5"/>
          </w:rPr>
          <w:t>http://www.epochtimes.com/b5</w:t>
        </w:r>
      </w:hyperlink>
      <w:r w:rsidRPr="001663AE">
        <w:rPr>
          <w:rFonts w:hint="eastAsia"/>
        </w:rPr>
        <w:t>。</w:t>
      </w:r>
      <w:r w:rsidRPr="001663AE">
        <w:tab/>
      </w:r>
    </w:p>
  </w:footnote>
  <w:footnote w:id="728">
    <w:p w14:paraId="5DEFCAC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225</w:t>
      </w:r>
      <w:r w:rsidRPr="001663AE">
        <w:rPr>
          <w:rFonts w:hint="eastAsia"/>
        </w:rPr>
        <w:t>。</w:t>
      </w:r>
    </w:p>
  </w:footnote>
  <w:footnote w:id="729">
    <w:p w14:paraId="5343C2A2" w14:textId="77777777"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225</w:t>
      </w:r>
      <w:r w:rsidRPr="001663AE">
        <w:rPr>
          <w:rFonts w:hint="eastAsia"/>
        </w:rPr>
        <w:t>。</w:t>
      </w:r>
    </w:p>
  </w:footnote>
  <w:footnote w:id="730">
    <w:p w14:paraId="698EA87A" w14:textId="77777777" w:rsidR="00CA23FA" w:rsidRPr="001663AE" w:rsidRDefault="00CA23FA" w:rsidP="00D87D91">
      <w:pPr>
        <w:pStyle w:val="3"/>
      </w:pPr>
      <w:r w:rsidRPr="001663AE">
        <w:rPr>
          <w:rStyle w:val="af3"/>
          <w:rFonts w:ascii="新細明體" w:hAnsi="新細明體"/>
        </w:rPr>
        <w:footnoteRef/>
      </w:r>
      <w:r w:rsidRPr="001663AE">
        <w:rPr>
          <w:rFonts w:hint="eastAsia"/>
        </w:rPr>
        <w:t>此為民國</w:t>
      </w:r>
      <w:r w:rsidRPr="001663AE">
        <w:t xml:space="preserve">100 </w:t>
      </w:r>
      <w:r w:rsidRPr="001663AE">
        <w:rPr>
          <w:rFonts w:hint="eastAsia"/>
        </w:rPr>
        <w:t>年之前，入出國及移民法尚未修法之前之現象，現已改善良多。</w:t>
      </w:r>
    </w:p>
  </w:footnote>
  <w:footnote w:id="731">
    <w:p w14:paraId="20E2322E"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林紀東</w:t>
      </w:r>
      <w:r w:rsidRPr="001663AE">
        <w:t>(1993)</w:t>
      </w:r>
      <w:r w:rsidRPr="001663AE">
        <w:rPr>
          <w:rFonts w:hint="eastAsia"/>
        </w:rPr>
        <w:t>，中華民國憲法釋論，大中國圖書公司。</w:t>
      </w:r>
    </w:p>
  </w:footnote>
  <w:footnote w:id="732">
    <w:p w14:paraId="20ABCABB" w14:textId="77777777" w:rsidR="00CA23FA" w:rsidRPr="001663AE" w:rsidRDefault="00CA23FA" w:rsidP="00D87D91">
      <w:pPr>
        <w:pStyle w:val="3"/>
      </w:pPr>
      <w:r w:rsidRPr="001663AE">
        <w:rPr>
          <w:rStyle w:val="af3"/>
          <w:sz w:val="20"/>
          <w:szCs w:val="20"/>
        </w:rPr>
        <w:footnoteRef/>
      </w:r>
      <w:r w:rsidRPr="001663AE">
        <w:rPr>
          <w:lang w:bidi="bn-IN"/>
        </w:rPr>
        <w:t xml:space="preserve"> </w:t>
      </w:r>
      <w:r w:rsidRPr="001663AE">
        <w:rPr>
          <w:rFonts w:hint="eastAsia"/>
          <w:lang w:bidi="bn-IN"/>
        </w:rPr>
        <w:t>玆舉兩個案例加以說明，第一個案例，</w:t>
      </w:r>
      <w:r w:rsidRPr="001663AE">
        <w:t>2001</w:t>
      </w:r>
      <w:r w:rsidRPr="001663AE">
        <w:rPr>
          <w:rFonts w:hint="eastAsia"/>
        </w:rPr>
        <w:t>年</w:t>
      </w:r>
      <w:r w:rsidRPr="001663AE">
        <w:t>10</w:t>
      </w:r>
      <w:r w:rsidRPr="001663AE">
        <w:rPr>
          <w:rFonts w:hint="eastAsia"/>
        </w:rPr>
        <w:t>月</w:t>
      </w:r>
      <w:r w:rsidRPr="001663AE">
        <w:t>21</w:t>
      </w:r>
      <w:r w:rsidRPr="001663AE">
        <w:rPr>
          <w:rFonts w:hint="eastAsia"/>
        </w:rPr>
        <w:t>日俄羅斯人石林被控涉有妨害風化，經檢察官指示收容於三峽外國人收容所。石林卻遲遲未收到收容處分書，延至</w:t>
      </w:r>
      <w:r w:rsidRPr="001663AE">
        <w:t>11</w:t>
      </w:r>
      <w:r w:rsidRPr="001663AE">
        <w:rPr>
          <w:rFonts w:hint="eastAsia"/>
        </w:rPr>
        <w:t>月</w:t>
      </w:r>
      <w:r w:rsidRPr="001663AE">
        <w:t>4</w:t>
      </w:r>
      <w:r w:rsidRPr="001663AE">
        <w:rPr>
          <w:rFonts w:hint="eastAsia"/>
        </w:rPr>
        <w:t>日才接到收容處分書，即</w:t>
      </w:r>
      <w:r w:rsidRPr="001663AE">
        <w:t>2001</w:t>
      </w:r>
      <w:r w:rsidRPr="001663AE">
        <w:rPr>
          <w:rFonts w:hint="eastAsia"/>
        </w:rPr>
        <w:t>年</w:t>
      </w:r>
      <w:r w:rsidRPr="001663AE">
        <w:t>10</w:t>
      </w:r>
      <w:r w:rsidRPr="001663AE">
        <w:rPr>
          <w:rFonts w:hint="eastAsia"/>
        </w:rPr>
        <w:t>月</w:t>
      </w:r>
      <w:r w:rsidRPr="001663AE">
        <w:t>21</w:t>
      </w:r>
      <w:r w:rsidRPr="001663AE">
        <w:rPr>
          <w:rFonts w:hint="eastAsia"/>
        </w:rPr>
        <w:t>日至</w:t>
      </w:r>
      <w:r w:rsidRPr="001663AE">
        <w:t>11</w:t>
      </w:r>
      <w:r w:rsidRPr="001663AE">
        <w:rPr>
          <w:rFonts w:hint="eastAsia"/>
        </w:rPr>
        <w:t>月</w:t>
      </w:r>
      <w:r w:rsidRPr="001663AE">
        <w:t>4</w:t>
      </w:r>
      <w:r w:rsidRPr="001663AE">
        <w:rPr>
          <w:rFonts w:hint="eastAsia"/>
        </w:rPr>
        <w:t>日止，石林並未被告知受拘禁之理由，且收容前後</w:t>
      </w:r>
      <w:r w:rsidRPr="001663AE">
        <w:t>24</w:t>
      </w:r>
      <w:r w:rsidRPr="001663AE">
        <w:rPr>
          <w:rFonts w:hint="eastAsia"/>
        </w:rPr>
        <w:t>小時內</w:t>
      </w:r>
      <w:r w:rsidRPr="00B525CE">
        <w:rPr>
          <w:rFonts w:hint="eastAsia"/>
        </w:rPr>
        <w:t>也未接受任何法院審問，此等人身自由之剝奪，恐觸犯憲法規定。以上，請參閱：</w:t>
      </w:r>
      <w:r w:rsidRPr="00B525CE">
        <w:rPr>
          <w:rFonts w:cs="Tahoma" w:hint="eastAsia"/>
        </w:rPr>
        <w:t>民間司改會檔案追蹤小組</w:t>
      </w:r>
      <w:r w:rsidRPr="00B525CE">
        <w:rPr>
          <w:rFonts w:cs="Tahoma"/>
        </w:rPr>
        <w:t>(2012)</w:t>
      </w:r>
      <w:r w:rsidRPr="00B525CE">
        <w:rPr>
          <w:rFonts w:cs="Tahoma" w:hint="eastAsia"/>
          <w:b/>
        </w:rPr>
        <w:t>，</w:t>
      </w:r>
      <w:r w:rsidRPr="00B525CE">
        <w:rPr>
          <w:rStyle w:val="afc"/>
          <w:rFonts w:cs="Tahoma" w:hint="eastAsia"/>
          <w:b w:val="0"/>
          <w:sz w:val="20"/>
          <w:szCs w:val="20"/>
        </w:rPr>
        <w:t>在司法程序中矮一截的外國人？！</w:t>
      </w:r>
      <w:r w:rsidRPr="00B525CE">
        <w:rPr>
          <w:rFonts w:cs="Tahoma" w:hint="eastAsia"/>
        </w:rPr>
        <w:t>法律</w:t>
      </w:r>
      <w:r w:rsidRPr="001663AE">
        <w:rPr>
          <w:rFonts w:cs="Tahoma" w:hint="eastAsia"/>
        </w:rPr>
        <w:t>之前人人平等，外國人在台涉有犯嫌，亦應依我國法律規定處理，</w:t>
      </w:r>
      <w:hyperlink r:id="rId193" w:history="1">
        <w:r w:rsidRPr="001663AE">
          <w:rPr>
            <w:rStyle w:val="a5"/>
            <w:rFonts w:cs="Tahoma"/>
            <w:szCs w:val="20"/>
          </w:rPr>
          <w:t>http://www.jrf.org.tw/newjrf/RTE/myform_detail2.asp?id=1463</w:t>
        </w:r>
      </w:hyperlink>
      <w:r w:rsidRPr="001663AE">
        <w:rPr>
          <w:rFonts w:cs="Tahoma" w:hint="eastAsia"/>
        </w:rPr>
        <w:t>。</w:t>
      </w:r>
      <w:r w:rsidRPr="001663AE">
        <w:rPr>
          <w:rFonts w:hint="eastAsia"/>
          <w:lang w:bidi="bn-IN"/>
        </w:rPr>
        <w:t>第二個案例，</w:t>
      </w:r>
      <w:r w:rsidRPr="001663AE">
        <w:rPr>
          <w:rFonts w:cs="Arial"/>
        </w:rPr>
        <w:t>2010</w:t>
      </w:r>
      <w:r w:rsidRPr="001663AE">
        <w:rPr>
          <w:rFonts w:cs="Arial" w:hint="eastAsia"/>
        </w:rPr>
        <w:t>年</w:t>
      </w:r>
      <w:r w:rsidRPr="001663AE">
        <w:rPr>
          <w:rFonts w:cs="Arial"/>
        </w:rPr>
        <w:t>9</w:t>
      </w:r>
      <w:r w:rsidRPr="001663AE">
        <w:rPr>
          <w:rFonts w:cs="Arial" w:hint="eastAsia"/>
        </w:rPr>
        <w:t>月</w:t>
      </w:r>
      <w:r w:rsidRPr="001663AE">
        <w:rPr>
          <w:rFonts w:cs="Arial"/>
        </w:rPr>
        <w:t>9</w:t>
      </w:r>
      <w:r w:rsidRPr="001663AE">
        <w:rPr>
          <w:rFonts w:cs="Arial" w:hint="eastAsia"/>
        </w:rPr>
        <w:t>日中央社記者葉素萍報導</w:t>
      </w:r>
      <w:r w:rsidRPr="001663AE">
        <w:rPr>
          <w:rFonts w:cs="Arial"/>
        </w:rPr>
        <w:t>:</w:t>
      </w:r>
      <w:r w:rsidRPr="001663AE">
        <w:rPr>
          <w:rFonts w:cs="Arial" w:hint="eastAsia"/>
        </w:rPr>
        <w:t>「</w:t>
      </w:r>
      <w:r w:rsidRPr="001663AE">
        <w:rPr>
          <w:rFonts w:hint="eastAsia"/>
        </w:rPr>
        <w:t>監委李復甸今天提調查報告指出，外籍人士在台因案遭「收容」卻形同「羈押」，有些人被收容數月或經年，收容期間遠超過刑期，卻沒有國賠補償機制，嚴重影響台灣國際形象。</w:t>
      </w:r>
      <w:r w:rsidRPr="001663AE">
        <w:t>…</w:t>
      </w:r>
      <w:r w:rsidRPr="001663AE">
        <w:rPr>
          <w:rFonts w:hint="eastAsia"/>
        </w:rPr>
        <w:t>監委認為，主管機關應儘速研議修法，明定收容前應經法院審問並予裁定，或明定收容前應經行政程序法聽證程序裁決，事後並可迅速於</w:t>
      </w:r>
      <w:r w:rsidRPr="001663AE">
        <w:t>24</w:t>
      </w:r>
      <w:r w:rsidRPr="001663AE">
        <w:rPr>
          <w:rFonts w:hint="eastAsia"/>
        </w:rPr>
        <w:t>小時內請求法院審查。監委要求法務部及司法院，加強督促所屬加速偵審，落實管考，以免衍生「以行政收容之名，行刑事羈押之實」之爭議；如果一再延長收容期限，行政機關將來並應給予適當補償，維護人權。」以上，請參閱：葉素萍</w:t>
      </w:r>
      <w:r w:rsidRPr="001663AE">
        <w:t>(2010)</w:t>
      </w:r>
      <w:r w:rsidRPr="001663AE">
        <w:rPr>
          <w:rFonts w:hint="eastAsia"/>
        </w:rPr>
        <w:t>，外國人收容疏失、監委促改進，台灣頻道新浪網北美中央社，</w:t>
      </w:r>
      <w:hyperlink r:id="rId194" w:history="1">
        <w:r w:rsidRPr="001663AE">
          <w:rPr>
            <w:rStyle w:val="a5"/>
            <w:szCs w:val="20"/>
          </w:rPr>
          <w:t>http://dailynews.sina.com/bg/tw/twpolitics/cna/20100909/06061817706.html</w:t>
        </w:r>
      </w:hyperlink>
      <w:r w:rsidRPr="001663AE">
        <w:rPr>
          <w:rFonts w:hint="eastAsia"/>
        </w:rPr>
        <w:t>。此為民國</w:t>
      </w:r>
      <w:r w:rsidRPr="001663AE">
        <w:t>100</w:t>
      </w:r>
      <w:r w:rsidRPr="001663AE">
        <w:rPr>
          <w:rFonts w:hint="eastAsia"/>
        </w:rPr>
        <w:t>年之前，入出國及移民法尚未修法之前之現象，修法之後，現已改善良多。</w:t>
      </w:r>
    </w:p>
  </w:footnote>
  <w:footnote w:id="733">
    <w:p w14:paraId="798D2E5D" w14:textId="77777777" w:rsidR="00CA23FA" w:rsidRPr="001663AE" w:rsidRDefault="00CA23FA" w:rsidP="004B3827">
      <w:pPr>
        <w:pStyle w:val="3"/>
        <w:jc w:val="left"/>
      </w:pPr>
      <w:r w:rsidRPr="001663AE">
        <w:rPr>
          <w:rStyle w:val="af3"/>
          <w:rFonts w:ascii="新細明體" w:hAnsi="新細明體"/>
        </w:rPr>
        <w:footnoteRef/>
      </w:r>
      <w:r w:rsidRPr="001663AE">
        <w:rPr>
          <w:rFonts w:hint="eastAsia"/>
        </w:rPr>
        <w:t>廖元豪</w:t>
      </w:r>
      <w:r w:rsidRPr="001663AE">
        <w:t>(2012)</w:t>
      </w:r>
      <w:r w:rsidRPr="001663AE">
        <w:rPr>
          <w:rFonts w:hint="eastAsia"/>
        </w:rPr>
        <w:t>，移民收容程序之檢討，行政法學會</w:t>
      </w:r>
      <w:r w:rsidRPr="001663AE">
        <w:rPr>
          <w:rFonts w:cs="新細明體" w:hint="eastAsia"/>
          <w:kern w:val="0"/>
          <w:lang w:bidi="bn-IN"/>
        </w:rPr>
        <w:t>「國境管制</w:t>
      </w:r>
      <w:r w:rsidRPr="001663AE">
        <w:rPr>
          <w:rFonts w:cs="新細明體"/>
          <w:kern w:val="0"/>
          <w:lang w:bidi="bn-IN"/>
        </w:rPr>
        <w:t>/</w:t>
      </w:r>
      <w:r w:rsidRPr="001663AE">
        <w:rPr>
          <w:rFonts w:cs="新細明體" w:hint="eastAsia"/>
          <w:kern w:val="0"/>
          <w:lang w:bidi="bn-IN"/>
        </w:rPr>
        <w:t>行政法之舉發」研討會論文集，頁</w:t>
      </w:r>
      <w:r w:rsidRPr="001663AE">
        <w:rPr>
          <w:rFonts w:cs="新細明體"/>
          <w:kern w:val="0"/>
          <w:lang w:bidi="bn-IN"/>
        </w:rPr>
        <w:t>3-4</w:t>
      </w:r>
      <w:r w:rsidRPr="001663AE">
        <w:rPr>
          <w:rFonts w:cs="新細明體" w:hint="eastAsia"/>
          <w:kern w:val="0"/>
          <w:lang w:bidi="bn-IN"/>
        </w:rPr>
        <w:t>。</w:t>
      </w:r>
      <w:r w:rsidRPr="001663AE">
        <w:rPr>
          <w:rFonts w:cs="新細明體" w:hint="eastAsia"/>
          <w:kern w:val="0"/>
          <w:lang w:bidi="bn-IN"/>
        </w:rPr>
        <w:t xml:space="preserve"> </w:t>
      </w:r>
    </w:p>
  </w:footnote>
  <w:footnote w:id="734">
    <w:p w14:paraId="38389C19" w14:textId="77777777" w:rsidR="00CA23FA" w:rsidRPr="001663AE" w:rsidRDefault="00CA23FA" w:rsidP="004B3827">
      <w:pPr>
        <w:pStyle w:val="3"/>
        <w:jc w:val="left"/>
      </w:pPr>
      <w:r w:rsidRPr="001663AE">
        <w:rPr>
          <w:rStyle w:val="af3"/>
          <w:sz w:val="20"/>
          <w:szCs w:val="20"/>
        </w:rPr>
        <w:footnoteRef/>
      </w:r>
      <w:r w:rsidRPr="001663AE">
        <w:t xml:space="preserve"> </w:t>
      </w:r>
      <w:r w:rsidRPr="001663AE">
        <w:rPr>
          <w:rFonts w:hint="eastAsia"/>
        </w:rPr>
        <w:t>於民國</w:t>
      </w:r>
      <w:r w:rsidRPr="001663AE">
        <w:t>100</w:t>
      </w:r>
      <w:r w:rsidRPr="001663AE">
        <w:rPr>
          <w:rFonts w:hint="eastAsia"/>
        </w:rPr>
        <w:t>年</w:t>
      </w:r>
      <w:r w:rsidRPr="001663AE">
        <w:t>(2010</w:t>
      </w:r>
      <w:r w:rsidRPr="001663AE">
        <w:rPr>
          <w:rFonts w:hint="eastAsia"/>
        </w:rPr>
        <w:t>年</w:t>
      </w:r>
      <w:r w:rsidRPr="001663AE">
        <w:t>)</w:t>
      </w:r>
      <w:r w:rsidRPr="001663AE">
        <w:rPr>
          <w:rFonts w:hint="eastAsia"/>
        </w:rPr>
        <w:t>入出國及移民法尚未修法之前，曾發生一個實例，依前述俄羅斯人石林一案，雖於同年</w:t>
      </w:r>
      <w:r w:rsidRPr="001663AE">
        <w:t>(2001)11</w:t>
      </w:r>
      <w:r w:rsidRPr="001663AE">
        <w:rPr>
          <w:rFonts w:hint="eastAsia"/>
        </w:rPr>
        <w:t>月</w:t>
      </w:r>
      <w:r w:rsidRPr="001663AE">
        <w:t>4</w:t>
      </w:r>
      <w:r w:rsidRPr="001663AE">
        <w:rPr>
          <w:rFonts w:hint="eastAsia"/>
        </w:rPr>
        <w:t>日收到收容處分書，但在石林收到之處分書「事實與理由」欗中，</w:t>
      </w:r>
      <w:r w:rsidRPr="001663AE">
        <w:t xml:space="preserve"> </w:t>
      </w:r>
      <w:r w:rsidRPr="001663AE">
        <w:rPr>
          <w:rFonts w:hint="eastAsia"/>
        </w:rPr>
        <w:t>僅記載「依入出國及移民法第三十六條第一項</w:t>
      </w:r>
      <w:r>
        <w:rPr>
          <w:rFonts w:hint="eastAsia"/>
        </w:rPr>
        <w:t>第</w:t>
      </w:r>
      <w:r w:rsidRPr="001663AE">
        <w:rPr>
          <w:rFonts w:hint="eastAsia"/>
        </w:rPr>
        <w:t>款規定予以收容。」其中何款始終未予載明。如此，易讓人形成移民行政機關收容石林乃為配合檢察官之指示；由於入出國及移民法受到上述批評，該法遂於民國</w:t>
      </w:r>
      <w:r w:rsidRPr="001663AE">
        <w:t>100</w:t>
      </w:r>
      <w:r w:rsidRPr="001663AE">
        <w:rPr>
          <w:rFonts w:hint="eastAsia"/>
        </w:rPr>
        <w:t>年</w:t>
      </w:r>
      <w:r w:rsidRPr="001663AE">
        <w:t>(2010</w:t>
      </w:r>
      <w:r w:rsidRPr="001663AE">
        <w:rPr>
          <w:rFonts w:hint="eastAsia"/>
        </w:rPr>
        <w:t>年</w:t>
      </w:r>
      <w:r w:rsidRPr="001663AE">
        <w:t>)</w:t>
      </w:r>
      <w:r w:rsidRPr="001663AE">
        <w:rPr>
          <w:rFonts w:hint="eastAsia"/>
        </w:rPr>
        <w:t>進行修法。以上，請參閱：</w:t>
      </w:r>
      <w:r w:rsidRPr="001663AE">
        <w:rPr>
          <w:rFonts w:cs="Tahoma" w:hint="eastAsia"/>
        </w:rPr>
        <w:t>民間司改會檔案追蹤小組</w:t>
      </w:r>
      <w:r w:rsidRPr="001663AE">
        <w:rPr>
          <w:rFonts w:cs="Tahoma"/>
        </w:rPr>
        <w:t>(2012)</w:t>
      </w:r>
      <w:r w:rsidRPr="001663AE">
        <w:rPr>
          <w:rFonts w:cs="Tahoma" w:hint="eastAsia"/>
        </w:rPr>
        <w:t>，</w:t>
      </w:r>
      <w:r w:rsidRPr="004B3827">
        <w:rPr>
          <w:rStyle w:val="afc"/>
          <w:rFonts w:cs="Tahoma" w:hint="eastAsia"/>
          <w:b w:val="0"/>
          <w:sz w:val="20"/>
          <w:szCs w:val="20"/>
        </w:rPr>
        <w:t>在司法程序中矮一截的外國人？！</w:t>
      </w:r>
      <w:r w:rsidRPr="001663AE">
        <w:rPr>
          <w:rFonts w:cs="Tahoma" w:hint="eastAsia"/>
        </w:rPr>
        <w:t>法律之前人人平等，外國人在台涉有犯嫌，亦應依我國法律規定處理，</w:t>
      </w:r>
      <w:hyperlink r:id="rId195" w:history="1">
        <w:r w:rsidRPr="001663AE">
          <w:rPr>
            <w:rStyle w:val="a5"/>
            <w:rFonts w:cs="Tahoma"/>
            <w:szCs w:val="20"/>
          </w:rPr>
          <w:t>http://www.jrf.org.tw/newjrf/RTE/myform_detail2.asp?id=1463</w:t>
        </w:r>
      </w:hyperlink>
      <w:r w:rsidRPr="001663AE">
        <w:rPr>
          <w:rFonts w:cs="Tahoma" w:hint="eastAsia"/>
        </w:rPr>
        <w:t>。再者，根據</w:t>
      </w:r>
      <w:r w:rsidRPr="001663AE">
        <w:rPr>
          <w:rFonts w:cs="Arial"/>
        </w:rPr>
        <w:t>2010</w:t>
      </w:r>
      <w:r w:rsidRPr="001663AE">
        <w:rPr>
          <w:rFonts w:cs="Arial" w:hint="eastAsia"/>
        </w:rPr>
        <w:t>年</w:t>
      </w:r>
      <w:r w:rsidRPr="001663AE">
        <w:rPr>
          <w:rFonts w:cs="Arial"/>
        </w:rPr>
        <w:t>9</w:t>
      </w:r>
      <w:r w:rsidRPr="001663AE">
        <w:rPr>
          <w:rFonts w:cs="Arial" w:hint="eastAsia"/>
        </w:rPr>
        <w:t>月</w:t>
      </w:r>
      <w:r w:rsidRPr="001663AE">
        <w:rPr>
          <w:rFonts w:cs="Arial"/>
        </w:rPr>
        <w:t>9</w:t>
      </w:r>
      <w:r w:rsidRPr="001663AE">
        <w:rPr>
          <w:rFonts w:cs="Arial" w:hint="eastAsia"/>
        </w:rPr>
        <w:t>日中央社記者葉素萍報導</w:t>
      </w:r>
      <w:r w:rsidRPr="001663AE">
        <w:rPr>
          <w:rFonts w:cs="Arial"/>
        </w:rPr>
        <w:t>:</w:t>
      </w:r>
      <w:r w:rsidRPr="001663AE">
        <w:rPr>
          <w:rFonts w:cs="Arial" w:hint="eastAsia"/>
        </w:rPr>
        <w:t>「</w:t>
      </w:r>
      <w:r w:rsidRPr="001663AE">
        <w:rPr>
          <w:rFonts w:hint="eastAsia"/>
        </w:rPr>
        <w:t>監察院已通過監委李復甸、周陽山、李炳南所提調查報告。李復甸指出，移民法規定非法入境、逾期居留等外籍人士，在遣送出境前，移民署得暫時收容；收容制度，性質上是行政措施，而不是刑事處罰，本質上是遣送出國前之保全措施，內容則是對人身自由之限制，但目前收容法制出現諸多缺失他說，法務部曾經要求檢察官在偵辦外國人涉嫌犯罪時，如果有強制處分之必要，應該依刑事訴訟法規定辦理，不得逕以命令或在點名單批示交由警察、移民署強制收容，藉此保障人權；不過，實務上還是出現檢察官以點名單要求收容情事，法務部督導不周」。對於這個問題，其實於</w:t>
      </w:r>
      <w:r w:rsidRPr="001663AE">
        <w:rPr>
          <w:rFonts w:cs="Arial"/>
        </w:rPr>
        <w:t>2002</w:t>
      </w:r>
      <w:r w:rsidRPr="001663AE">
        <w:rPr>
          <w:rFonts w:cs="Arial" w:hint="eastAsia"/>
        </w:rPr>
        <w:t>年</w:t>
      </w:r>
      <w:r w:rsidRPr="001663AE">
        <w:rPr>
          <w:rFonts w:cs="Arial"/>
        </w:rPr>
        <w:t>9</w:t>
      </w:r>
      <w:r w:rsidRPr="001663AE">
        <w:rPr>
          <w:rFonts w:cs="Arial" w:hint="eastAsia"/>
        </w:rPr>
        <w:t>月</w:t>
      </w:r>
      <w:r w:rsidRPr="001663AE">
        <w:rPr>
          <w:rFonts w:cs="Arial"/>
        </w:rPr>
        <w:t>20</w:t>
      </w:r>
      <w:r w:rsidRPr="001663AE">
        <w:rPr>
          <w:rFonts w:cs="Arial" w:hint="eastAsia"/>
        </w:rPr>
        <w:t>日監察委員於蒞臨三峽外國人收容所視察，於巡查座談會中，即有提出指示</w:t>
      </w:r>
      <w:r w:rsidRPr="001663AE">
        <w:rPr>
          <w:rFonts w:cs="Arial"/>
        </w:rPr>
        <w:t>:</w:t>
      </w:r>
      <w:r w:rsidRPr="001663AE">
        <w:rPr>
          <w:rFonts w:cs="Arial" w:hint="eastAsia"/>
        </w:rPr>
        <w:t>單純觸犯刑事法令之外國人應落實回歸刑事訴訟法之相關規定辦理，對於檢察官責付之涉案外國人，如不符合收容要件者，應不予收容。如觸犯刑事案件同時違反行政法令，且符合入出國及移民法第</w:t>
      </w:r>
      <w:r w:rsidRPr="001663AE">
        <w:rPr>
          <w:rFonts w:cs="Arial"/>
        </w:rPr>
        <w:t>36</w:t>
      </w:r>
      <w:r w:rsidRPr="001663AE">
        <w:rPr>
          <w:rFonts w:cs="Arial" w:hint="eastAsia"/>
        </w:rPr>
        <w:t>條各款收容規定者，始准入所收容，惟仍應於月內辦理相關出所手續，不得假行政收容處分之名，行犯罪偵查及司法審判之實。」</w:t>
      </w:r>
      <w:r w:rsidRPr="001663AE">
        <w:rPr>
          <w:rFonts w:hint="eastAsia"/>
        </w:rPr>
        <w:t>財團法人法律扶助基金會板橋分會專員賴怡均</w:t>
      </w:r>
      <w:r w:rsidRPr="001663AE">
        <w:t>(2010)</w:t>
      </w:r>
      <w:r w:rsidRPr="001663AE">
        <w:rPr>
          <w:rFonts w:hint="eastAsia"/>
        </w:rPr>
        <w:t>表示</w:t>
      </w:r>
      <w:r w:rsidRPr="001663AE">
        <w:t>:</w:t>
      </w:r>
      <w:r w:rsidRPr="001663AE">
        <w:rPr>
          <w:rFonts w:hint="eastAsia"/>
        </w:rPr>
        <w:t>「收容人之身分是某一司法案件之證人，則須待司法案件終結或是已無證人詰問之必要，證人</w:t>
      </w:r>
      <w:r w:rsidRPr="001663AE">
        <w:t>(</w:t>
      </w:r>
      <w:r w:rsidRPr="001663AE">
        <w:rPr>
          <w:rFonts w:hint="eastAsia"/>
        </w:rPr>
        <w:t>收容人</w:t>
      </w:r>
      <w:r w:rsidRPr="001663AE">
        <w:t>)</w:t>
      </w:r>
      <w:r w:rsidRPr="001663AE">
        <w:rPr>
          <w:rFonts w:hint="eastAsia"/>
        </w:rPr>
        <w:t>才有可能返回原籍國</w:t>
      </w:r>
      <w:r w:rsidRPr="001663AE">
        <w:t>……</w:t>
      </w:r>
      <w:r w:rsidRPr="001663AE">
        <w:rPr>
          <w:rFonts w:hint="eastAsia"/>
        </w:rPr>
        <w:t>有些人甚至只是案件之證人而已，卻因為我國之審理程序之冗長而不知何時才能回家。證人並非移民法中規定之應收容之外國人。」以上，請參閱：</w:t>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以外國人及大陸地區人民為中心，政大碩士論文。</w:t>
      </w:r>
      <w:r w:rsidRPr="001663AE">
        <w:rPr>
          <w:rFonts w:hint="eastAsia"/>
        </w:rPr>
        <w:t>王仁弘</w:t>
      </w:r>
      <w:r w:rsidRPr="001663AE">
        <w:t>(2003)</w:t>
      </w:r>
      <w:r w:rsidRPr="001663AE">
        <w:rPr>
          <w:rFonts w:hint="eastAsia"/>
        </w:rPr>
        <w:t>，我國外國人收容政策執行之研究，國立臺北大學公共行政暨政策學系碩士論文。葉素萍</w:t>
      </w:r>
      <w:r w:rsidRPr="001663AE">
        <w:t>(2010)</w:t>
      </w:r>
      <w:r w:rsidRPr="001663AE">
        <w:rPr>
          <w:rFonts w:hint="eastAsia"/>
        </w:rPr>
        <w:t>，外國人收容疏失，監委促改進，</w:t>
      </w:r>
      <w:hyperlink r:id="rId196" w:history="1">
        <w:r w:rsidRPr="001663AE">
          <w:rPr>
            <w:rStyle w:val="a5"/>
            <w:szCs w:val="20"/>
          </w:rPr>
          <w:t>http://news.cts.com.tw/cna/politics/201009/201009090559343.html</w:t>
        </w:r>
      </w:hyperlink>
      <w:r w:rsidRPr="001663AE">
        <w:rPr>
          <w:rFonts w:hint="eastAsia"/>
        </w:rPr>
        <w:t>。賴怡均</w:t>
      </w:r>
      <w:r w:rsidRPr="001663AE">
        <w:t>(2010)</w:t>
      </w:r>
      <w:r w:rsidRPr="001663AE">
        <w:rPr>
          <w:rFonts w:hint="eastAsia"/>
        </w:rPr>
        <w:t>，臺北外國人收容所法諮有感，財團法人法律扶助基金會板橋分會網站，</w:t>
      </w:r>
      <w:hyperlink r:id="rId197" w:history="1">
        <w:r w:rsidRPr="001663AE">
          <w:rPr>
            <w:rStyle w:val="a5"/>
            <w:szCs w:val="20"/>
          </w:rPr>
          <w:t>http://lafbcb.blogspot.tw/2010/01/blog-post_1514.html</w:t>
        </w:r>
      </w:hyperlink>
      <w:r w:rsidRPr="001663AE">
        <w:rPr>
          <w:rFonts w:hint="eastAsia"/>
        </w:rPr>
        <w:t>。</w:t>
      </w:r>
    </w:p>
  </w:footnote>
  <w:footnote w:id="735">
    <w:p w14:paraId="6EC93DBA" w14:textId="77777777" w:rsidR="00CA23FA" w:rsidRPr="00447DAE" w:rsidRDefault="00CA23FA" w:rsidP="00D87D91">
      <w:pPr>
        <w:pStyle w:val="3"/>
      </w:pPr>
      <w:r w:rsidRPr="001663AE">
        <w:rPr>
          <w:rStyle w:val="af3"/>
          <w:rFonts w:ascii="新細明體" w:hAnsi="新細明體"/>
        </w:rPr>
        <w:footnoteRef/>
      </w:r>
      <w:r w:rsidRPr="001663AE">
        <w:rPr>
          <w:rFonts w:hint="eastAsia"/>
        </w:rPr>
        <w:t>廖元豪</w:t>
      </w:r>
      <w:r w:rsidRPr="001663AE">
        <w:t>(2012)</w:t>
      </w:r>
      <w:r w:rsidRPr="001663AE">
        <w:rPr>
          <w:rFonts w:hint="eastAsia"/>
        </w:rPr>
        <w:t>，移民收容程序之檢討，行政法學會</w:t>
      </w:r>
      <w:r w:rsidRPr="001663AE">
        <w:rPr>
          <w:rFonts w:cs="新細明體" w:hint="eastAsia"/>
          <w:kern w:val="0"/>
          <w:lang w:bidi="bn-IN"/>
        </w:rPr>
        <w:t>「國境管制</w:t>
      </w:r>
      <w:r w:rsidRPr="001663AE">
        <w:rPr>
          <w:rFonts w:cs="新細明體"/>
          <w:kern w:val="0"/>
          <w:lang w:bidi="bn-IN"/>
        </w:rPr>
        <w:t>/</w:t>
      </w:r>
      <w:r w:rsidRPr="001663AE">
        <w:rPr>
          <w:rFonts w:cs="新細明體" w:hint="eastAsia"/>
          <w:kern w:val="0"/>
          <w:lang w:bidi="bn-IN"/>
        </w:rPr>
        <w:t>行政法之舉發」研討會論文集，</w:t>
      </w:r>
      <w:r w:rsidRPr="00447DAE">
        <w:rPr>
          <w:rFonts w:hint="eastAsia"/>
        </w:rPr>
        <w:t>頁</w:t>
      </w:r>
      <w:r w:rsidRPr="00447DAE">
        <w:t>3-4</w:t>
      </w:r>
      <w:r w:rsidRPr="00447DAE">
        <w:rPr>
          <w:rFonts w:hint="eastAsia"/>
        </w:rPr>
        <w:t>。</w:t>
      </w:r>
    </w:p>
  </w:footnote>
  <w:footnote w:id="736">
    <w:p w14:paraId="3951EFD2" w14:textId="77777777" w:rsidR="00CA23FA" w:rsidRPr="001663AE" w:rsidRDefault="00CA23FA" w:rsidP="00D87D91">
      <w:pPr>
        <w:pStyle w:val="3"/>
      </w:pPr>
      <w:r w:rsidRPr="001663AE">
        <w:rPr>
          <w:rStyle w:val="af3"/>
          <w:rFonts w:ascii="新細明體" w:hAnsi="新細明體"/>
        </w:rPr>
        <w:footnoteRef/>
      </w:r>
      <w:r w:rsidRPr="001663AE">
        <w:rPr>
          <w:rFonts w:hint="eastAsia"/>
        </w:rPr>
        <w:t>陳惠如</w:t>
      </w:r>
      <w:r w:rsidRPr="001663AE">
        <w:t>(2010)</w:t>
      </w:r>
      <w:r w:rsidRPr="001663AE">
        <w:rPr>
          <w:rFonts w:hint="eastAsia"/>
        </w:rPr>
        <w:t>，人權兩公約，大事紀新聞網</w:t>
      </w:r>
      <w:r w:rsidRPr="001663AE">
        <w:t>Q&amp;A</w:t>
      </w:r>
      <w:r w:rsidRPr="001663AE">
        <w:rPr>
          <w:rFonts w:hint="eastAsia"/>
        </w:rPr>
        <w:t>，</w:t>
      </w:r>
      <w:r w:rsidRPr="001663AE">
        <w:t>http://www.epochtimes.com/b5</w:t>
      </w:r>
      <w:r w:rsidRPr="001663AE">
        <w:rPr>
          <w:rFonts w:hint="eastAsia"/>
        </w:rPr>
        <w:t>。</w:t>
      </w:r>
    </w:p>
  </w:footnote>
  <w:footnote w:id="737">
    <w:p w14:paraId="176A30D2" w14:textId="77777777" w:rsidR="00CA23FA" w:rsidRPr="001663AE" w:rsidRDefault="00CA23FA" w:rsidP="00D87D91">
      <w:pPr>
        <w:pStyle w:val="3"/>
      </w:pPr>
      <w:r w:rsidRPr="001663AE">
        <w:rPr>
          <w:rStyle w:val="af3"/>
          <w:rFonts w:ascii="新細明體" w:hAnsi="新細明體"/>
          <w:szCs w:val="20"/>
        </w:rPr>
        <w:footnoteRef/>
      </w:r>
      <w:r w:rsidRPr="001663AE">
        <w:t xml:space="preserve"> 2009</w:t>
      </w:r>
      <w:r w:rsidRPr="001663AE">
        <w:rPr>
          <w:rFonts w:hint="eastAsia"/>
        </w:rPr>
        <w:t>年</w:t>
      </w:r>
      <w:r w:rsidRPr="001663AE">
        <w:t>10</w:t>
      </w:r>
      <w:r w:rsidRPr="001663AE">
        <w:rPr>
          <w:rFonts w:hint="eastAsia"/>
        </w:rPr>
        <w:t>月臺灣人權促進會電子報法務部陳怡君指出「有些收容人之案件本身並非單純之法院審理程序過長，而是法律方面之支援不足，這又回歸到了收容人普遍無法得到法律諮詢之問題之中。單獨就宜蘭收容所之查詢制度而言，在收容人日夜生活之收容區內，設立一個專職人員協助其查詢案件內容，確實可以達到統一管理</w:t>
      </w:r>
      <w:r w:rsidRPr="001663AE">
        <w:t>.</w:t>
      </w:r>
      <w:r w:rsidRPr="001663AE">
        <w:rPr>
          <w:rFonts w:hint="eastAsia"/>
        </w:rPr>
        <w:t>查詢之效果，但實際上我們與收容人交流，卻會發現收容人其實對這個措施並不瞭解，也許是收容所之宣傳沒有很徹底，大部分之收容人其實對於自己之案件之基本資料不清楚，以致在我們詢問之時候他們也沒有辦法很明確之提供相關資料，語言加上對法律不瞭解，使得他們對整個制度惶惶不安，收容所內之法律諮詢，在我們看來是非常急迫且必須。」以上，請參閱：陳怡君</w:t>
      </w:r>
      <w:r w:rsidRPr="001663AE">
        <w:t>(2009)</w:t>
      </w:r>
      <w:r w:rsidRPr="001663AE">
        <w:rPr>
          <w:rFonts w:hint="eastAsia"/>
        </w:rPr>
        <w:t>，</w:t>
      </w:r>
      <w:r w:rsidRPr="001663AE">
        <w:rPr>
          <w:rFonts w:cs="Arial" w:hint="eastAsia"/>
        </w:rPr>
        <w:t>外國人逾期收容問題及收容所參訪，</w:t>
      </w:r>
      <w:r w:rsidRPr="001663AE">
        <w:rPr>
          <w:rFonts w:hint="eastAsia"/>
        </w:rPr>
        <w:t>台灣人權促進會電子報，</w:t>
      </w:r>
      <w:hyperlink r:id="rId198" w:history="1">
        <w:r w:rsidRPr="001663AE">
          <w:rPr>
            <w:rStyle w:val="a5"/>
            <w:szCs w:val="20"/>
          </w:rPr>
          <w:t>http://enews.url.com.tw/human/54882</w:t>
        </w:r>
      </w:hyperlink>
      <w:r w:rsidRPr="001663AE">
        <w:rPr>
          <w:rFonts w:hint="eastAsia"/>
        </w:rPr>
        <w:t>。</w:t>
      </w:r>
    </w:p>
  </w:footnote>
  <w:footnote w:id="738">
    <w:p w14:paraId="5FDFA07C" w14:textId="77777777" w:rsidR="00CA23FA" w:rsidRPr="001663AE" w:rsidRDefault="00CA23FA" w:rsidP="00D87D91">
      <w:pPr>
        <w:pStyle w:val="3"/>
      </w:pPr>
      <w:r w:rsidRPr="001663AE">
        <w:rPr>
          <w:rStyle w:val="af3"/>
          <w:rFonts w:ascii="新細明體" w:hAnsi="新細明體"/>
        </w:rPr>
        <w:footnoteRef/>
      </w:r>
      <w:r w:rsidRPr="001663AE">
        <w:t xml:space="preserve"> 2009</w:t>
      </w:r>
      <w:r w:rsidRPr="001663AE">
        <w:rPr>
          <w:rFonts w:hint="eastAsia"/>
        </w:rPr>
        <w:t>年</w:t>
      </w:r>
      <w:r w:rsidRPr="001663AE">
        <w:t>10</w:t>
      </w:r>
      <w:r w:rsidRPr="001663AE">
        <w:rPr>
          <w:rFonts w:hint="eastAsia"/>
        </w:rPr>
        <w:t>月臺灣人權促進會電子報陳怡君表示</w:t>
      </w:r>
      <w:r w:rsidRPr="001663AE">
        <w:t>:</w:t>
      </w:r>
      <w:r w:rsidRPr="001663AE">
        <w:rPr>
          <w:rFonts w:hint="eastAsia"/>
        </w:rPr>
        <w:t>「收容所雖然比起以前以改善許多，對於有宗教或是飲食習慣之不同也能夠尊重，並在可能之範圍裡協助，但整體之生活環境還是不佳，以新竹收容所來說，大約</w:t>
      </w:r>
      <w:r w:rsidRPr="001663AE">
        <w:t>30</w:t>
      </w:r>
      <w:r w:rsidRPr="001663AE">
        <w:rPr>
          <w:rFonts w:hint="eastAsia"/>
        </w:rPr>
        <w:t>人生活在一間</w:t>
      </w:r>
      <w:r w:rsidRPr="001663AE">
        <w:t>40</w:t>
      </w:r>
      <w:r w:rsidRPr="001663AE">
        <w:rPr>
          <w:rFonts w:hint="eastAsia"/>
        </w:rPr>
        <w:t>坪不到之房間內，還包含了他們盥洗之場所，雖然新竹收容所已經在改建新之房舍，但整體來說空間還是不會變大；另外就是收容人出來運動之時間也不多，一個禮拜大約</w:t>
      </w:r>
      <w:r w:rsidRPr="001663AE">
        <w:t>2</w:t>
      </w:r>
      <w:r w:rsidRPr="001663AE">
        <w:rPr>
          <w:rFonts w:hint="eastAsia"/>
        </w:rPr>
        <w:t>天之下午可以在收容所內之籃球場或其他空間活動，其他時間除了會客以及其他團體來訪，都還是待在小小之生活空間裡。宜蘭收容所面積分為</w:t>
      </w:r>
      <w:r w:rsidRPr="001663AE">
        <w:t>2000</w:t>
      </w:r>
      <w:r w:rsidRPr="001663AE">
        <w:rPr>
          <w:rFonts w:hint="eastAsia"/>
        </w:rPr>
        <w:t>坪與</w:t>
      </w:r>
      <w:r w:rsidRPr="001663AE">
        <w:t>1700</w:t>
      </w:r>
      <w:r w:rsidRPr="001663AE">
        <w:rPr>
          <w:rFonts w:hint="eastAsia"/>
        </w:rPr>
        <w:t>坪，至多收容人數可達</w:t>
      </w:r>
      <w:r w:rsidRPr="001663AE">
        <w:t>564</w:t>
      </w:r>
      <w:r w:rsidRPr="001663AE">
        <w:rPr>
          <w:rFonts w:hint="eastAsia"/>
        </w:rPr>
        <w:t>人與</w:t>
      </w:r>
      <w:r w:rsidRPr="001663AE">
        <w:t>608</w:t>
      </w:r>
      <w:r w:rsidRPr="001663AE">
        <w:rPr>
          <w:rFonts w:hint="eastAsia"/>
        </w:rPr>
        <w:t>人。進入收容所統一著制服，起居於鐵欄後方、</w:t>
      </w:r>
      <w:r w:rsidRPr="001663AE">
        <w:t>20</w:t>
      </w:r>
      <w:r w:rsidRPr="001663AE">
        <w:rPr>
          <w:rFonts w:hint="eastAsia"/>
        </w:rPr>
        <w:t>人上下通舖內，後方銜接盥洗與浴廁，無隔牆，以相同國籍為一間做為管理原則。戶外活動方面，放風區域為一個籃球場，由於地狹人稠，以及移民署規定每人每週戶外活動時間至多兩天。被收容人申請後可會客，每次時間半小時。每寢有電話一隻，據一位中國籍被收容人表示，「每次通話時間約三分鐘。」</w:t>
      </w:r>
      <w:r w:rsidRPr="001663AE">
        <w:rPr>
          <w:rFonts w:cs="Arial"/>
        </w:rPr>
        <w:t>2010</w:t>
      </w:r>
      <w:r w:rsidRPr="001663AE">
        <w:rPr>
          <w:rFonts w:cs="Arial" w:hint="eastAsia"/>
        </w:rPr>
        <w:t>年</w:t>
      </w:r>
      <w:r w:rsidRPr="001663AE">
        <w:rPr>
          <w:rFonts w:cs="Arial"/>
        </w:rPr>
        <w:t>9</w:t>
      </w:r>
      <w:r w:rsidRPr="001663AE">
        <w:rPr>
          <w:rFonts w:cs="Arial" w:hint="eastAsia"/>
        </w:rPr>
        <w:t>月</w:t>
      </w:r>
      <w:r w:rsidRPr="001663AE">
        <w:rPr>
          <w:rFonts w:cs="Arial"/>
        </w:rPr>
        <w:t>9</w:t>
      </w:r>
      <w:r w:rsidRPr="001663AE">
        <w:rPr>
          <w:rFonts w:cs="Arial" w:hint="eastAsia"/>
        </w:rPr>
        <w:t>日中央社記者葉素萍報導</w:t>
      </w:r>
      <w:r w:rsidRPr="001663AE">
        <w:rPr>
          <w:rFonts w:cs="Arial"/>
        </w:rPr>
        <w:t>:</w:t>
      </w:r>
      <w:r w:rsidRPr="001663AE">
        <w:rPr>
          <w:rFonts w:cs="Arial" w:hint="eastAsia"/>
        </w:rPr>
        <w:t>「</w:t>
      </w:r>
      <w:r w:rsidRPr="001663AE">
        <w:rPr>
          <w:rFonts w:hint="eastAsia"/>
        </w:rPr>
        <w:t>監委也曾赴臺北收容所實地履勘，調查報告也指出，收容所醫療設施及醫事人員不足，收容人入所時沒有立即檢驗有無傳染疾病，僅暫時隔離</w:t>
      </w:r>
      <w:r w:rsidRPr="001663AE">
        <w:t>3</w:t>
      </w:r>
      <w:r w:rsidRPr="001663AE">
        <w:rPr>
          <w:rFonts w:hint="eastAsia"/>
        </w:rPr>
        <w:t>天再進入一般寢室，隔離室也不是個人隔離，距離一般寢室不遠，有群聚感染之虞。」以上資料，請參閱：陳怡君</w:t>
      </w:r>
      <w:r w:rsidRPr="001663AE">
        <w:t>(2009)</w:t>
      </w:r>
      <w:r w:rsidRPr="001663AE">
        <w:rPr>
          <w:rFonts w:hint="eastAsia"/>
        </w:rPr>
        <w:t>，</w:t>
      </w:r>
      <w:r w:rsidRPr="001663AE">
        <w:rPr>
          <w:rFonts w:cs="Arial" w:hint="eastAsia"/>
        </w:rPr>
        <w:t>外國人逾期收容問題及收容所參訪，</w:t>
      </w:r>
      <w:r w:rsidRPr="001663AE">
        <w:rPr>
          <w:rFonts w:hint="eastAsia"/>
        </w:rPr>
        <w:t>台灣人權促進會電子報，</w:t>
      </w:r>
      <w:hyperlink r:id="rId199" w:history="1">
        <w:r w:rsidRPr="001663AE">
          <w:rPr>
            <w:rStyle w:val="a5"/>
          </w:rPr>
          <w:t>http://enews.url.com.tw/human/54882</w:t>
        </w:r>
      </w:hyperlink>
      <w:r w:rsidRPr="001663AE">
        <w:rPr>
          <w:rFonts w:hint="eastAsia"/>
        </w:rPr>
        <w:t>。葉素萍</w:t>
      </w:r>
      <w:r w:rsidRPr="001663AE">
        <w:t>(2010)</w:t>
      </w:r>
      <w:r w:rsidRPr="001663AE">
        <w:rPr>
          <w:rFonts w:hint="eastAsia"/>
        </w:rPr>
        <w:t>，外國人收容疏失、監委促改進，台灣頻道新浪網北美，</w:t>
      </w:r>
      <w:r w:rsidRPr="001663AE">
        <w:t xml:space="preserve"> </w:t>
      </w:r>
      <w:hyperlink r:id="rId200" w:history="1">
        <w:r w:rsidRPr="001663AE">
          <w:rPr>
            <w:rStyle w:val="a5"/>
          </w:rPr>
          <w:t>http://dailynews.sina.com/bg/tw/twpolitics/cna/20100909/06061817706.html</w:t>
        </w:r>
      </w:hyperlink>
      <w:r w:rsidRPr="001663AE">
        <w:rPr>
          <w:rFonts w:hint="eastAsia"/>
        </w:rPr>
        <w:t>。</w:t>
      </w:r>
    </w:p>
  </w:footnote>
  <w:footnote w:id="739">
    <w:p w14:paraId="211C97B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w:t>
      </w:r>
      <w:r w:rsidRPr="001663AE">
        <w:t>(2012)</w:t>
      </w:r>
      <w:r w:rsidRPr="001663AE">
        <w:rPr>
          <w:rFonts w:hint="eastAsia"/>
        </w:rPr>
        <w:t>，入出國法制與人權保障，五南圖書出版股份有限公司，頁</w:t>
      </w:r>
      <w:r w:rsidRPr="001663AE">
        <w:t>289</w:t>
      </w:r>
      <w:r w:rsidRPr="001663AE">
        <w:rPr>
          <w:rFonts w:hint="eastAsia"/>
        </w:rPr>
        <w:t>。</w:t>
      </w:r>
    </w:p>
  </w:footnote>
  <w:footnote w:id="740">
    <w:p w14:paraId="60F59CE0" w14:textId="77777777"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(2012)</w:t>
      </w:r>
      <w:r w:rsidRPr="001663AE">
        <w:rPr>
          <w:rFonts w:hint="eastAsia"/>
        </w:rPr>
        <w:t>，入出國法制與人權保障，五南圖書出版股份有限公司，頁</w:t>
      </w:r>
      <w:r w:rsidRPr="001663AE">
        <w:t>292</w:t>
      </w:r>
      <w:r w:rsidRPr="001663AE">
        <w:rPr>
          <w:rFonts w:hint="eastAsia"/>
        </w:rPr>
        <w:t>。</w:t>
      </w:r>
    </w:p>
  </w:footnote>
  <w:footnote w:id="741">
    <w:p w14:paraId="49902334"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劉進福</w:t>
      </w:r>
      <w:r w:rsidRPr="001663AE">
        <w:t>(1991)</w:t>
      </w:r>
      <w:r w:rsidRPr="001663AE">
        <w:rPr>
          <w:rFonts w:hint="eastAsia"/>
        </w:rPr>
        <w:t>，中日兩國外國人居留管理之研究及其比較，財團法人中日關係研究會，頁</w:t>
      </w:r>
      <w:r w:rsidRPr="001663AE">
        <w:t>168-76</w:t>
      </w:r>
      <w:r w:rsidRPr="001663AE">
        <w:rPr>
          <w:rFonts w:hint="eastAsia"/>
        </w:rPr>
        <w:t>。</w:t>
      </w:r>
    </w:p>
  </w:footnote>
  <w:footnote w:id="742">
    <w:p w14:paraId="39A355F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刁仁國</w:t>
      </w:r>
      <w:r w:rsidRPr="001663AE">
        <w:t>(2001)</w:t>
      </w:r>
      <w:r w:rsidRPr="001663AE">
        <w:rPr>
          <w:rFonts w:hint="eastAsia"/>
        </w:rPr>
        <w:t>，外國人入出境管理法論，中央警察大學出版社，頁</w:t>
      </w:r>
      <w:r w:rsidRPr="001663AE">
        <w:t>202</w:t>
      </w:r>
      <w:r w:rsidRPr="001663AE">
        <w:rPr>
          <w:rFonts w:hint="eastAsia"/>
        </w:rPr>
        <w:t>。</w:t>
      </w:r>
    </w:p>
    <w:p w14:paraId="4A259090" w14:textId="77777777" w:rsidR="00CA23FA" w:rsidRPr="001663AE" w:rsidRDefault="00CA23FA" w:rsidP="00D87D91">
      <w:pPr>
        <w:pStyle w:val="af1"/>
      </w:pPr>
    </w:p>
  </w:footnote>
  <w:footnote w:id="743">
    <w:p w14:paraId="1E27C81F" w14:textId="77777777"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221</w:t>
      </w:r>
      <w:r w:rsidRPr="001663AE">
        <w:rPr>
          <w:rFonts w:hint="eastAsia"/>
        </w:rPr>
        <w:t>。</w:t>
      </w:r>
    </w:p>
    <w:p w14:paraId="7734FEA3" w14:textId="77777777" w:rsidR="00CA23FA" w:rsidRPr="001663AE" w:rsidRDefault="00CA23FA" w:rsidP="00D87D91">
      <w:pPr>
        <w:pStyle w:val="3"/>
      </w:pPr>
      <w:r w:rsidRPr="001663AE">
        <w:rPr>
          <w:rFonts w:hint="eastAsia"/>
        </w:rPr>
        <w:t>許義寶</w:t>
      </w:r>
      <w:r w:rsidRPr="001663AE">
        <w:t>(2009)</w:t>
      </w:r>
      <w:r w:rsidRPr="001663AE">
        <w:rPr>
          <w:rFonts w:hint="eastAsia"/>
        </w:rPr>
        <w:t>，外國人相關基本權利之初探，警察法第</w:t>
      </w:r>
      <w:r w:rsidRPr="001663AE">
        <w:t>8</w:t>
      </w:r>
      <w:r w:rsidRPr="001663AE">
        <w:rPr>
          <w:rFonts w:hint="eastAsia"/>
        </w:rPr>
        <w:t>期，頁</w:t>
      </w:r>
      <w:r w:rsidRPr="001663AE">
        <w:t>81-127</w:t>
      </w:r>
      <w:r w:rsidRPr="001663AE">
        <w:rPr>
          <w:rFonts w:hint="eastAsia"/>
        </w:rPr>
        <w:t>。</w:t>
      </w:r>
    </w:p>
    <w:p w14:paraId="4719A7F4" w14:textId="77777777" w:rsidR="00CA23FA" w:rsidRPr="001663AE" w:rsidRDefault="00CA23FA" w:rsidP="00D87D91">
      <w:pPr>
        <w:pStyle w:val="3"/>
      </w:pPr>
      <w:r w:rsidRPr="001663AE">
        <w:rPr>
          <w:rFonts w:hint="eastAsia"/>
        </w:rPr>
        <w:t>許義寶</w:t>
      </w:r>
      <w:r w:rsidRPr="001663AE">
        <w:t>(2012)</w:t>
      </w:r>
      <w:r w:rsidRPr="001663AE">
        <w:rPr>
          <w:rFonts w:hint="eastAsia"/>
        </w:rPr>
        <w:t>，入出國法制與人權保障，</w:t>
      </w:r>
      <w:r w:rsidRPr="001663AE">
        <w:rPr>
          <w:rFonts w:hint="eastAsia"/>
          <w:kern w:val="0"/>
          <w:lang w:bidi="bn-IN"/>
        </w:rPr>
        <w:t>臺北市：</w:t>
      </w:r>
      <w:r w:rsidRPr="001663AE">
        <w:rPr>
          <w:rFonts w:hint="eastAsia"/>
        </w:rPr>
        <w:t>五南圖書出版股份有限公司，頁</w:t>
      </w:r>
      <w:r w:rsidRPr="001663AE">
        <w:t>289</w:t>
      </w:r>
      <w:r w:rsidRPr="001663AE">
        <w:rPr>
          <w:rFonts w:hint="eastAsia"/>
        </w:rPr>
        <w:t>。</w:t>
      </w:r>
    </w:p>
    <w:p w14:paraId="3E4D157B" w14:textId="77777777" w:rsidR="00CA23FA" w:rsidRPr="001663AE" w:rsidRDefault="00CA23FA" w:rsidP="00D87D91">
      <w:pPr>
        <w:pStyle w:val="3"/>
      </w:pPr>
      <w:r w:rsidRPr="001663AE">
        <w:rPr>
          <w:rFonts w:hint="eastAsia"/>
        </w:rPr>
        <w:t>許義寶</w:t>
      </w:r>
      <w:r w:rsidRPr="001663AE">
        <w:t>(2012)</w:t>
      </w:r>
      <w:r w:rsidRPr="001663AE">
        <w:rPr>
          <w:rFonts w:hint="eastAsia"/>
        </w:rPr>
        <w:t>，外國人之相關基本權利保障，收錄於氏著入出國法制與人權保障，初版</w:t>
      </w:r>
      <w:r w:rsidRPr="001663AE">
        <w:t>1</w:t>
      </w:r>
      <w:r w:rsidRPr="001663AE">
        <w:rPr>
          <w:rFonts w:hint="eastAsia"/>
        </w:rPr>
        <w:t>刷，臺北</w:t>
      </w:r>
      <w:r w:rsidRPr="001663AE">
        <w:t>:</w:t>
      </w:r>
      <w:r w:rsidRPr="001663AE">
        <w:rPr>
          <w:rFonts w:hint="eastAsia"/>
        </w:rPr>
        <w:t>五南，頁</w:t>
      </w:r>
      <w:r w:rsidRPr="001663AE">
        <w:t>117-150</w:t>
      </w:r>
      <w:r w:rsidRPr="001663AE">
        <w:rPr>
          <w:rFonts w:hint="eastAsia"/>
        </w:rPr>
        <w:t>。</w:t>
      </w:r>
    </w:p>
  </w:footnote>
  <w:footnote w:id="744">
    <w:p w14:paraId="2E3DE15B" w14:textId="77777777" w:rsidR="00CA23FA" w:rsidRPr="001663AE" w:rsidRDefault="00CA23FA" w:rsidP="00D87D91">
      <w:pPr>
        <w:pStyle w:val="3"/>
      </w:pPr>
      <w:r w:rsidRPr="001663AE">
        <w:rPr>
          <w:rStyle w:val="af3"/>
          <w:rFonts w:ascii="新細明體" w:hAnsi="新細明體"/>
        </w:rPr>
        <w:footnoteRef/>
      </w:r>
      <w:r w:rsidRPr="001663AE">
        <w:rPr>
          <w:rFonts w:hint="eastAsia"/>
        </w:rPr>
        <w:t>此為民國</w:t>
      </w:r>
      <w:r w:rsidRPr="001663AE">
        <w:t xml:space="preserve">100 </w:t>
      </w:r>
      <w:r w:rsidRPr="001663AE">
        <w:rPr>
          <w:rFonts w:hint="eastAsia"/>
        </w:rPr>
        <w:t>年之前，入出國及移民法尚未修法之前之現象，現已改善良多。</w:t>
      </w:r>
    </w:p>
  </w:footnote>
  <w:footnote w:id="745">
    <w:p w14:paraId="16FB3973" w14:textId="77777777" w:rsidR="00CA23FA" w:rsidRPr="001663AE" w:rsidRDefault="00CA23FA" w:rsidP="00D87D91">
      <w:pPr>
        <w:pStyle w:val="3"/>
        <w:rPr>
          <w:lang w:bidi="bn-IN"/>
        </w:rPr>
      </w:pPr>
      <w:r w:rsidRPr="001663AE">
        <w:rPr>
          <w:rStyle w:val="af3"/>
          <w:rFonts w:ascii="新細明體" w:hAnsi="新細明體"/>
          <w:szCs w:val="20"/>
        </w:rPr>
        <w:footnoteRef/>
      </w:r>
      <w:r w:rsidRPr="001663AE">
        <w:rPr>
          <w:rFonts w:hint="eastAsia"/>
          <w:lang w:bidi="bn-IN"/>
        </w:rPr>
        <w:t xml:space="preserve"> </w:t>
      </w:r>
      <w:r w:rsidRPr="001663AE">
        <w:rPr>
          <w:rFonts w:hint="eastAsia"/>
          <w:lang w:bidi="bn-IN"/>
        </w:rPr>
        <w:t>入出國及移民法第</w:t>
      </w:r>
      <w:r w:rsidRPr="001663AE">
        <w:rPr>
          <w:rFonts w:hint="eastAsia"/>
          <w:lang w:bidi="bn-IN"/>
        </w:rPr>
        <w:t>36</w:t>
      </w:r>
      <w:r w:rsidRPr="001663AE">
        <w:rPr>
          <w:rFonts w:hint="eastAsia"/>
          <w:lang w:bidi="bn-IN"/>
        </w:rPr>
        <w:t>條（強制驅逐出國之情形）</w:t>
      </w:r>
      <w:r>
        <w:rPr>
          <w:rFonts w:hint="eastAsia"/>
          <w:lang w:bidi="bn-IN"/>
        </w:rPr>
        <w:t>〜</w:t>
      </w:r>
      <w:r w:rsidRPr="001663AE">
        <w:rPr>
          <w:rFonts w:hint="eastAsia"/>
          <w:lang w:bidi="bn-IN"/>
        </w:rPr>
        <w:t>-</w:t>
      </w:r>
    </w:p>
    <w:p w14:paraId="3ED7BF01" w14:textId="77777777" w:rsidR="00CA23FA" w:rsidRPr="001663AE" w:rsidRDefault="00CA23FA" w:rsidP="00D87D91">
      <w:pPr>
        <w:pStyle w:val="3"/>
        <w:rPr>
          <w:lang w:bidi="bn-IN"/>
        </w:rPr>
      </w:pPr>
      <w:r w:rsidRPr="001663AE">
        <w:rPr>
          <w:rFonts w:hint="eastAsia"/>
          <w:lang w:bidi="bn-IN"/>
        </w:rPr>
        <w:t xml:space="preserve">　　外國人有下列情形之一者，入出國及移民署應強制驅逐出國：</w:t>
      </w:r>
      <w:r w:rsidRPr="001663AE">
        <w:rPr>
          <w:rFonts w:hint="eastAsia"/>
          <w:lang w:bidi="bn-IN"/>
        </w:rPr>
        <w:t xml:space="preserve"> </w:t>
      </w:r>
    </w:p>
    <w:p w14:paraId="75C7551D" w14:textId="77777777" w:rsidR="00CA23FA" w:rsidRPr="001663AE" w:rsidRDefault="00CA23FA" w:rsidP="00D87D91">
      <w:pPr>
        <w:pStyle w:val="3"/>
        <w:rPr>
          <w:lang w:bidi="bn-IN"/>
        </w:rPr>
      </w:pPr>
      <w:r w:rsidRPr="001663AE">
        <w:rPr>
          <w:rFonts w:hint="eastAsia"/>
          <w:lang w:bidi="bn-IN"/>
        </w:rPr>
        <w:t xml:space="preserve">　　一、違反第四條第一項規定，未經查驗入國。</w:t>
      </w:r>
      <w:r w:rsidRPr="001663AE">
        <w:rPr>
          <w:rFonts w:hint="eastAsia"/>
          <w:lang w:bidi="bn-IN"/>
        </w:rPr>
        <w:t xml:space="preserve"> </w:t>
      </w:r>
    </w:p>
    <w:p w14:paraId="7B192BDF" w14:textId="77777777" w:rsidR="00CA23FA" w:rsidRPr="001663AE" w:rsidRDefault="00CA23FA" w:rsidP="00D87D91">
      <w:pPr>
        <w:pStyle w:val="3"/>
        <w:rPr>
          <w:lang w:bidi="bn-IN"/>
        </w:rPr>
      </w:pPr>
      <w:r w:rsidRPr="001663AE">
        <w:rPr>
          <w:rFonts w:hint="eastAsia"/>
          <w:lang w:bidi="bn-IN"/>
        </w:rPr>
        <w:t xml:space="preserve">　　二、違反第十九條第一項規定，未經許可臨時入國。</w:t>
      </w:r>
      <w:r w:rsidRPr="001663AE">
        <w:rPr>
          <w:rFonts w:hint="eastAsia"/>
          <w:lang w:bidi="bn-IN"/>
        </w:rPr>
        <w:t xml:space="preserve"> </w:t>
      </w:r>
    </w:p>
    <w:p w14:paraId="0FB51169" w14:textId="77777777" w:rsidR="00CA23FA" w:rsidRPr="001663AE" w:rsidRDefault="00CA23FA" w:rsidP="00D87D91">
      <w:pPr>
        <w:pStyle w:val="3"/>
        <w:rPr>
          <w:lang w:bidi="bn-IN"/>
        </w:rPr>
      </w:pPr>
      <w:r w:rsidRPr="001663AE">
        <w:rPr>
          <w:rFonts w:hint="eastAsia"/>
          <w:lang w:bidi="bn-IN"/>
        </w:rPr>
        <w:t xml:space="preserve">　　外國人有下列情形之一者，入出國及移民署得強制驅逐出國，或限令其於十日內出國，逾限令出國期限仍未出國，入出國及移民署得強制驅逐出國：</w:t>
      </w:r>
      <w:r w:rsidRPr="001663AE">
        <w:rPr>
          <w:rFonts w:hint="eastAsia"/>
          <w:lang w:bidi="bn-IN"/>
        </w:rPr>
        <w:t xml:space="preserve"> </w:t>
      </w:r>
    </w:p>
    <w:p w14:paraId="3069A550" w14:textId="77777777" w:rsidR="00CA23FA" w:rsidRPr="001663AE" w:rsidRDefault="00CA23FA" w:rsidP="00D87D91">
      <w:pPr>
        <w:pStyle w:val="3"/>
        <w:rPr>
          <w:lang w:bidi="bn-IN"/>
        </w:rPr>
      </w:pPr>
      <w:r w:rsidRPr="001663AE">
        <w:rPr>
          <w:rFonts w:hint="eastAsia"/>
          <w:lang w:bidi="bn-IN"/>
        </w:rPr>
        <w:t xml:space="preserve">　　一、入國後，發現有第十八條第一項及第二項禁止入國情形之一。</w:t>
      </w:r>
      <w:r w:rsidRPr="001663AE">
        <w:rPr>
          <w:rFonts w:hint="eastAsia"/>
          <w:lang w:bidi="bn-IN"/>
        </w:rPr>
        <w:t xml:space="preserve"> </w:t>
      </w:r>
    </w:p>
    <w:p w14:paraId="5FF7C26E" w14:textId="77777777" w:rsidR="00CA23FA" w:rsidRPr="001663AE" w:rsidRDefault="00CA23FA" w:rsidP="00D87D91">
      <w:pPr>
        <w:pStyle w:val="3"/>
        <w:rPr>
          <w:lang w:bidi="bn-IN"/>
        </w:rPr>
      </w:pPr>
      <w:r w:rsidRPr="001663AE">
        <w:rPr>
          <w:rFonts w:hint="eastAsia"/>
          <w:lang w:bidi="bn-IN"/>
        </w:rPr>
        <w:t xml:space="preserve">　　二、違反依第十九條第二項所定辦法中有關應備文件、證件、停留期間、地區之管理規定。</w:t>
      </w:r>
      <w:r w:rsidRPr="001663AE">
        <w:rPr>
          <w:rFonts w:hint="eastAsia"/>
          <w:lang w:bidi="bn-IN"/>
        </w:rPr>
        <w:t xml:space="preserve"> </w:t>
      </w:r>
    </w:p>
    <w:p w14:paraId="3EEAE408" w14:textId="77777777" w:rsidR="00CA23FA" w:rsidRPr="001663AE" w:rsidRDefault="00CA23FA" w:rsidP="00D87D91">
      <w:pPr>
        <w:pStyle w:val="3"/>
        <w:rPr>
          <w:lang w:bidi="bn-IN"/>
        </w:rPr>
      </w:pPr>
      <w:r w:rsidRPr="001663AE">
        <w:rPr>
          <w:rFonts w:hint="eastAsia"/>
          <w:lang w:bidi="bn-IN"/>
        </w:rPr>
        <w:t xml:space="preserve">　　三、違反第二十條第二項規定，擅離過夜住宿之處所。</w:t>
      </w:r>
      <w:r w:rsidRPr="001663AE">
        <w:rPr>
          <w:rFonts w:hint="eastAsia"/>
          <w:lang w:bidi="bn-IN"/>
        </w:rPr>
        <w:t xml:space="preserve"> </w:t>
      </w:r>
    </w:p>
    <w:p w14:paraId="543ADA3A" w14:textId="77777777" w:rsidR="00CA23FA" w:rsidRPr="001663AE" w:rsidRDefault="00CA23FA" w:rsidP="00D87D91">
      <w:pPr>
        <w:pStyle w:val="3"/>
        <w:rPr>
          <w:lang w:bidi="bn-IN"/>
        </w:rPr>
      </w:pPr>
      <w:r w:rsidRPr="001663AE">
        <w:rPr>
          <w:rFonts w:hint="eastAsia"/>
          <w:lang w:bidi="bn-IN"/>
        </w:rPr>
        <w:t xml:space="preserve">　　四、違反第二十九條規定，從事與許可停留、居留原因不符之活動或工作。</w:t>
      </w:r>
      <w:r w:rsidRPr="001663AE">
        <w:rPr>
          <w:rFonts w:hint="eastAsia"/>
          <w:lang w:bidi="bn-IN"/>
        </w:rPr>
        <w:t xml:space="preserve"> </w:t>
      </w:r>
    </w:p>
    <w:p w14:paraId="70D2BC4F" w14:textId="77777777" w:rsidR="00CA23FA" w:rsidRPr="001663AE" w:rsidRDefault="00CA23FA" w:rsidP="00D87D91">
      <w:pPr>
        <w:pStyle w:val="3"/>
        <w:rPr>
          <w:lang w:bidi="bn-IN"/>
        </w:rPr>
      </w:pPr>
      <w:r w:rsidRPr="001663AE">
        <w:rPr>
          <w:rFonts w:hint="eastAsia"/>
          <w:lang w:bidi="bn-IN"/>
        </w:rPr>
        <w:t xml:space="preserve">　　五、違反入出國及移民署依第三十條所定限制住居所、活動或課以應行遵守之事項。</w:t>
      </w:r>
      <w:r w:rsidRPr="001663AE">
        <w:rPr>
          <w:rFonts w:hint="eastAsia"/>
          <w:lang w:bidi="bn-IN"/>
        </w:rPr>
        <w:t xml:space="preserve"> </w:t>
      </w:r>
    </w:p>
    <w:p w14:paraId="5F8F0959" w14:textId="77777777" w:rsidR="00CA23FA" w:rsidRPr="001663AE" w:rsidRDefault="00CA23FA" w:rsidP="00D87D91">
      <w:pPr>
        <w:pStyle w:val="3"/>
        <w:rPr>
          <w:lang w:bidi="bn-IN"/>
        </w:rPr>
      </w:pPr>
      <w:r w:rsidRPr="001663AE">
        <w:rPr>
          <w:rFonts w:hint="eastAsia"/>
          <w:lang w:bidi="bn-IN"/>
        </w:rPr>
        <w:t xml:space="preserve">　　六、違反第三十一條第一項規定，於停留或居留期限屆滿前，未申請停留、居留延期。但有第三十一條第三項情形者，不在此限。</w:t>
      </w:r>
      <w:r w:rsidRPr="001663AE">
        <w:rPr>
          <w:rFonts w:hint="eastAsia"/>
          <w:lang w:bidi="bn-IN"/>
        </w:rPr>
        <w:t xml:space="preserve"> </w:t>
      </w:r>
    </w:p>
    <w:p w14:paraId="0D6695D8" w14:textId="77777777" w:rsidR="00CA23FA" w:rsidRPr="001663AE" w:rsidRDefault="00CA23FA" w:rsidP="00D87D91">
      <w:pPr>
        <w:pStyle w:val="3"/>
        <w:rPr>
          <w:lang w:bidi="bn-IN"/>
        </w:rPr>
      </w:pPr>
      <w:r w:rsidRPr="001663AE">
        <w:rPr>
          <w:rFonts w:hint="eastAsia"/>
          <w:lang w:bidi="bn-IN"/>
        </w:rPr>
        <w:t xml:space="preserve">　　七、有第三十一條第四項規定情形，居留原因消失，經廢止居留許可，並註銷外僑居留證。</w:t>
      </w:r>
      <w:r w:rsidRPr="001663AE">
        <w:rPr>
          <w:rFonts w:hint="eastAsia"/>
          <w:lang w:bidi="bn-IN"/>
        </w:rPr>
        <w:t xml:space="preserve"> </w:t>
      </w:r>
    </w:p>
    <w:p w14:paraId="338F3245" w14:textId="77777777" w:rsidR="00CA23FA" w:rsidRPr="001663AE" w:rsidRDefault="00CA23FA" w:rsidP="00D87D91">
      <w:pPr>
        <w:pStyle w:val="3"/>
        <w:rPr>
          <w:lang w:bidi="bn-IN"/>
        </w:rPr>
      </w:pPr>
      <w:r w:rsidRPr="001663AE">
        <w:rPr>
          <w:rFonts w:hint="eastAsia"/>
          <w:lang w:bidi="bn-IN"/>
        </w:rPr>
        <w:t xml:space="preserve">　　八、有第三十二條第一款至第三款規定情形，經撤銷或廢止居留許可，並註銷外僑居留證。</w:t>
      </w:r>
      <w:r w:rsidRPr="001663AE">
        <w:rPr>
          <w:rFonts w:hint="eastAsia"/>
          <w:lang w:bidi="bn-IN"/>
        </w:rPr>
        <w:t xml:space="preserve"> </w:t>
      </w:r>
    </w:p>
    <w:p w14:paraId="178860C1" w14:textId="77777777" w:rsidR="00CA23FA" w:rsidRPr="001663AE" w:rsidRDefault="00CA23FA" w:rsidP="00D87D91">
      <w:pPr>
        <w:pStyle w:val="3"/>
        <w:rPr>
          <w:lang w:bidi="bn-IN"/>
        </w:rPr>
      </w:pPr>
      <w:r w:rsidRPr="001663AE">
        <w:rPr>
          <w:rFonts w:hint="eastAsia"/>
          <w:lang w:bidi="bn-IN"/>
        </w:rPr>
        <w:t xml:space="preserve">　　九、有第三十三條第一款至第三款規定情形，經撤銷或廢止永久居留許可，並註銷外僑永久居留證。</w:t>
      </w:r>
      <w:r w:rsidRPr="001663AE">
        <w:rPr>
          <w:rFonts w:hint="eastAsia"/>
          <w:lang w:bidi="bn-IN"/>
        </w:rPr>
        <w:t xml:space="preserve"> </w:t>
      </w:r>
    </w:p>
    <w:p w14:paraId="65F47DDD" w14:textId="77777777" w:rsidR="00CA23FA" w:rsidRPr="001663AE" w:rsidRDefault="00CA23FA" w:rsidP="00D87D91">
      <w:pPr>
        <w:pStyle w:val="3"/>
        <w:rPr>
          <w:lang w:bidi="bn-IN"/>
        </w:rPr>
      </w:pPr>
      <w:r w:rsidRPr="001663AE">
        <w:rPr>
          <w:rFonts w:hint="eastAsia"/>
          <w:lang w:bidi="bn-IN"/>
        </w:rPr>
        <w:t xml:space="preserve">　　入出國及移民署於知悉前二項外國人涉有刑事案件已進入司法程序者，於強制驅逐出國十日前，應通知司法機關。該等外國人除經依法羈押、拘提、管收或限制出國者外，入出國及移民署得強制驅逐出國或限令出國。</w:t>
      </w:r>
      <w:r w:rsidRPr="001663AE">
        <w:rPr>
          <w:rFonts w:hint="eastAsia"/>
          <w:lang w:bidi="bn-IN"/>
        </w:rPr>
        <w:t xml:space="preserve"> </w:t>
      </w:r>
    </w:p>
    <w:p w14:paraId="6F8D7880" w14:textId="77777777" w:rsidR="00CA23FA" w:rsidRPr="001663AE" w:rsidRDefault="00CA23FA" w:rsidP="00D87D91">
      <w:pPr>
        <w:pStyle w:val="3"/>
        <w:rPr>
          <w:lang w:bidi="bn-IN"/>
        </w:rPr>
      </w:pPr>
      <w:r w:rsidRPr="001663AE">
        <w:rPr>
          <w:rFonts w:hint="eastAsia"/>
          <w:lang w:bidi="bn-IN"/>
        </w:rPr>
        <w:t xml:space="preserve">　　入出國及移民署依規定強制驅逐外國人出國前，應給予當事人陳述意見之機會；強制驅逐已取得居留或永久居留許可之外國人出國前，並應召開審查會。但當事人有下列情形之一者，得不經審查會審查，逕行強制驅逐出國：</w:t>
      </w:r>
      <w:r w:rsidRPr="001663AE">
        <w:rPr>
          <w:rFonts w:hint="eastAsia"/>
          <w:lang w:bidi="bn-IN"/>
        </w:rPr>
        <w:t xml:space="preserve"> </w:t>
      </w:r>
    </w:p>
    <w:p w14:paraId="2154B1F3" w14:textId="77777777" w:rsidR="00CA23FA" w:rsidRPr="001663AE" w:rsidRDefault="00CA23FA" w:rsidP="00D87D91">
      <w:pPr>
        <w:pStyle w:val="3"/>
        <w:rPr>
          <w:lang w:bidi="bn-IN"/>
        </w:rPr>
      </w:pPr>
      <w:r w:rsidRPr="001663AE">
        <w:rPr>
          <w:rFonts w:hint="eastAsia"/>
          <w:lang w:bidi="bn-IN"/>
        </w:rPr>
        <w:t xml:space="preserve">　　一、以書面聲明放棄陳述意見或自願出國。</w:t>
      </w:r>
      <w:r w:rsidRPr="001663AE">
        <w:rPr>
          <w:rFonts w:hint="eastAsia"/>
          <w:lang w:bidi="bn-IN"/>
        </w:rPr>
        <w:t xml:space="preserve"> </w:t>
      </w:r>
    </w:p>
    <w:p w14:paraId="493B7D09" w14:textId="77777777" w:rsidR="00CA23FA" w:rsidRPr="001663AE" w:rsidRDefault="00CA23FA" w:rsidP="00D87D91">
      <w:pPr>
        <w:pStyle w:val="3"/>
        <w:rPr>
          <w:lang w:bidi="bn-IN"/>
        </w:rPr>
      </w:pPr>
      <w:r w:rsidRPr="001663AE">
        <w:rPr>
          <w:rFonts w:hint="eastAsia"/>
          <w:lang w:bidi="bn-IN"/>
        </w:rPr>
        <w:t xml:space="preserve">　　二、經法院於裁判時併宣告驅逐出境確定。</w:t>
      </w:r>
      <w:r w:rsidRPr="001663AE">
        <w:rPr>
          <w:rFonts w:hint="eastAsia"/>
          <w:lang w:bidi="bn-IN"/>
        </w:rPr>
        <w:t xml:space="preserve"> </w:t>
      </w:r>
    </w:p>
    <w:p w14:paraId="0A38A03C" w14:textId="77777777" w:rsidR="00CA23FA" w:rsidRPr="001663AE" w:rsidRDefault="00CA23FA" w:rsidP="00D87D91">
      <w:pPr>
        <w:pStyle w:val="3"/>
        <w:rPr>
          <w:lang w:bidi="bn-IN"/>
        </w:rPr>
      </w:pPr>
      <w:r w:rsidRPr="001663AE">
        <w:rPr>
          <w:rFonts w:hint="eastAsia"/>
          <w:lang w:bidi="bn-IN"/>
        </w:rPr>
        <w:t xml:space="preserve">　　三、依其他法律規定應限令出國。</w:t>
      </w:r>
      <w:r w:rsidRPr="001663AE">
        <w:rPr>
          <w:rFonts w:hint="eastAsia"/>
          <w:lang w:bidi="bn-IN"/>
        </w:rPr>
        <w:t xml:space="preserve"> </w:t>
      </w:r>
    </w:p>
    <w:p w14:paraId="3967C8BB" w14:textId="77777777" w:rsidR="00CA23FA" w:rsidRPr="001663AE" w:rsidRDefault="00CA23FA" w:rsidP="00D87D91">
      <w:pPr>
        <w:pStyle w:val="3"/>
        <w:rPr>
          <w:lang w:bidi="bn-IN"/>
        </w:rPr>
      </w:pPr>
      <w:r w:rsidRPr="001663AE">
        <w:rPr>
          <w:rFonts w:hint="eastAsia"/>
          <w:lang w:bidi="bn-IN"/>
        </w:rPr>
        <w:t xml:space="preserve">　　四、有危害我國利益、公共安全或從事恐怖活動之虞，且情況急迫應即時處分。</w:t>
      </w:r>
      <w:r w:rsidRPr="001663AE">
        <w:rPr>
          <w:rFonts w:hint="eastAsia"/>
          <w:lang w:bidi="bn-IN"/>
        </w:rPr>
        <w:t xml:space="preserve"> </w:t>
      </w:r>
    </w:p>
    <w:p w14:paraId="5D8C8AD8" w14:textId="77777777" w:rsidR="00CA23FA" w:rsidRPr="001663AE" w:rsidRDefault="00CA23FA" w:rsidP="00D87D91">
      <w:pPr>
        <w:pStyle w:val="3"/>
        <w:rPr>
          <w:lang w:bidi="bn-IN"/>
        </w:rPr>
      </w:pPr>
      <w:r w:rsidRPr="001663AE">
        <w:rPr>
          <w:rFonts w:hint="eastAsia"/>
          <w:lang w:bidi="bn-IN"/>
        </w:rPr>
        <w:t xml:space="preserve">　　第一項及第二項所定強制驅逐出國之處理方式、程序、管理及其他應遵行事項之辦法，由主管機關定之。</w:t>
      </w:r>
      <w:r w:rsidRPr="001663AE">
        <w:rPr>
          <w:rFonts w:hint="eastAsia"/>
          <w:lang w:bidi="bn-IN"/>
        </w:rPr>
        <w:t xml:space="preserve"> </w:t>
      </w:r>
    </w:p>
    <w:p w14:paraId="73B7634C" w14:textId="77777777" w:rsidR="00CA23FA" w:rsidRPr="001663AE" w:rsidRDefault="00CA23FA" w:rsidP="00D87D91">
      <w:pPr>
        <w:pStyle w:val="3"/>
        <w:rPr>
          <w:lang w:bidi="bn-IN"/>
        </w:rPr>
      </w:pPr>
      <w:r w:rsidRPr="001663AE">
        <w:rPr>
          <w:rFonts w:hint="eastAsia"/>
          <w:lang w:bidi="bn-IN"/>
        </w:rPr>
        <w:t xml:space="preserve">　　第四項審查會由主管機關遴聘有關機關代表、社會公正人士及學者專家共同組成，其中單一性別不得少於三分之一，且社會公正人士及學者專家之人數不得少於二分之一。</w:t>
      </w:r>
    </w:p>
    <w:p w14:paraId="5D694ADA" w14:textId="77777777" w:rsidR="00CA23FA" w:rsidRPr="001663AE" w:rsidRDefault="00CA23FA" w:rsidP="00D87D91">
      <w:pPr>
        <w:pStyle w:val="3"/>
      </w:pPr>
    </w:p>
  </w:footnote>
  <w:footnote w:id="746">
    <w:p w14:paraId="2B696AEF"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德國居留法之全名為</w:t>
      </w:r>
      <w:r w:rsidRPr="001663AE">
        <w:t>Act on the Residence, Economic Activity and Integration of Foreigners in the Federal Territory</w:t>
      </w:r>
      <w:r w:rsidRPr="001663AE">
        <w:rPr>
          <w:rFonts w:hint="eastAsia"/>
        </w:rPr>
        <w:t>。</w:t>
      </w:r>
    </w:p>
  </w:footnote>
  <w:footnote w:id="747">
    <w:p w14:paraId="06380F38" w14:textId="77777777" w:rsidR="00CA23FA" w:rsidRPr="001663AE" w:rsidRDefault="00CA23FA" w:rsidP="00D87D91">
      <w:pPr>
        <w:pStyle w:val="3"/>
      </w:pPr>
      <w:r w:rsidRPr="001663AE">
        <w:rPr>
          <w:rStyle w:val="af3"/>
          <w:rFonts w:ascii="新細明體" w:hAnsi="新細明體"/>
          <w:szCs w:val="20"/>
        </w:rPr>
        <w:footnoteRef/>
      </w:r>
      <w:r w:rsidRPr="001663AE">
        <w:t xml:space="preserve"> Residence ActSection 62 Custody awaiting deportation </w:t>
      </w:r>
    </w:p>
    <w:p w14:paraId="2FAC9A42" w14:textId="77777777" w:rsidR="00CA23FA" w:rsidRPr="001663AE" w:rsidRDefault="00CA23FA" w:rsidP="00D87D91">
      <w:pPr>
        <w:pStyle w:val="3"/>
      </w:pPr>
      <w:r w:rsidRPr="001663AE">
        <w:t>(1) A foreigner shall be placed in custody by judicial order to enable the preparation of deportation, if a decision on deportation cannot be reached immediately and deportation would be complicated substantially or frustrated without such detainment</w:t>
      </w:r>
      <w:r>
        <w:t>(</w:t>
      </w:r>
      <w:r w:rsidRPr="001663AE">
        <w:t xml:space="preserve">custody to prepare deportation). The duration of custody to prepare deportation should not exceed six weeks. In case of expulsion, no new judicial order shall be required for the continuation of custody up to expiry of the ordered term of custody. </w:t>
      </w:r>
    </w:p>
    <w:p w14:paraId="0BA69153" w14:textId="77777777" w:rsidR="00CA23FA" w:rsidRPr="001663AE" w:rsidRDefault="00CA23FA" w:rsidP="00D87D91">
      <w:pPr>
        <w:pStyle w:val="3"/>
      </w:pPr>
      <w:r w:rsidRPr="001663AE">
        <w:t>(2) A foreigner shall be placed in custody by judicial order for the purpose of safeguarding deportation</w:t>
      </w:r>
      <w:r>
        <w:t>(</w:t>
      </w:r>
      <w:r w:rsidRPr="001663AE">
        <w:t xml:space="preserve">detention pending deportation) if </w:t>
      </w:r>
    </w:p>
    <w:p w14:paraId="1021CB3D" w14:textId="77777777" w:rsidR="00CA23FA" w:rsidRPr="001663AE" w:rsidRDefault="00CA23FA" w:rsidP="00D87D91">
      <w:pPr>
        <w:pStyle w:val="3"/>
      </w:pPr>
      <w:r w:rsidRPr="001663AE">
        <w:t xml:space="preserve">1. the foreigner is enforceably required to leave the Federal territory on account of his or her having entered the territory unlawfully, </w:t>
      </w:r>
    </w:p>
    <w:p w14:paraId="7B7E8B78" w14:textId="77777777" w:rsidR="00CA23FA" w:rsidRPr="001663AE" w:rsidRDefault="00CA23FA" w:rsidP="00D87D91">
      <w:pPr>
        <w:pStyle w:val="3"/>
      </w:pPr>
      <w:r w:rsidRPr="001663AE">
        <w:t xml:space="preserve">1a. a deportation order has been issued pursuant to Section 58a but is not immediately enforceable, </w:t>
      </w:r>
    </w:p>
    <w:p w14:paraId="40B97028" w14:textId="77777777" w:rsidR="00CA23FA" w:rsidRPr="001663AE" w:rsidRDefault="00CA23FA" w:rsidP="00D87D91">
      <w:pPr>
        <w:pStyle w:val="3"/>
      </w:pPr>
      <w:r w:rsidRPr="001663AE">
        <w:t xml:space="preserve">2. the period allowed for departure has expired and the foreigner has changed his or her place of residence without notifying the foreigners authority of an address at which he or she can be reached, </w:t>
      </w:r>
    </w:p>
    <w:p w14:paraId="25108839" w14:textId="77777777" w:rsidR="00CA23FA" w:rsidRPr="001663AE" w:rsidRDefault="00CA23FA" w:rsidP="00D87D91">
      <w:pPr>
        <w:pStyle w:val="3"/>
      </w:pPr>
      <w:r w:rsidRPr="001663AE">
        <w:t xml:space="preserve">3. he or she has failed to appear at the location stipulated by the foreigners authority on a date fixed for deportation, for reasons for which he or she is responsible </w:t>
      </w:r>
    </w:p>
    <w:p w14:paraId="0646B672" w14:textId="77777777" w:rsidR="00CA23FA" w:rsidRPr="001663AE" w:rsidRDefault="00CA23FA" w:rsidP="00D87D91">
      <w:pPr>
        <w:pStyle w:val="3"/>
      </w:pPr>
      <w:r w:rsidRPr="001663AE">
        <w:t xml:space="preserve">4. he or she has evaded deportation by any other means or </w:t>
      </w:r>
    </w:p>
    <w:p w14:paraId="61D1EEAE" w14:textId="77777777" w:rsidR="00CA23FA" w:rsidRPr="001663AE" w:rsidRDefault="00CA23FA" w:rsidP="00D87D91">
      <w:pPr>
        <w:pStyle w:val="3"/>
      </w:pPr>
      <w:r w:rsidRPr="001663AE">
        <w:t xml:space="preserve">5. a well-founded suspicion exists that he or she intends to evade deportation. </w:t>
      </w:r>
    </w:p>
    <w:p w14:paraId="4DBE7D0D" w14:textId="77777777" w:rsidR="00CA23FA" w:rsidRPr="001663AE" w:rsidRDefault="00CA23FA" w:rsidP="00D87D91">
      <w:pPr>
        <w:pStyle w:val="3"/>
      </w:pPr>
      <w:r w:rsidRPr="001663AE">
        <w:t xml:space="preserve">The foreigner may be placed in detention pending deportation for a maximum of two weeks, if the period allowed for departure has expired and it has been established that deportation can be enforced. By way of exception, the order for detention pending deportation pursuant to sentence 1, no. 1 may be waived if the foreigner credibly asserts that he or she does not intend to evade deportation. Detention pending deportation shall not be permissible if it is established that it will not be possible to carry out deportation within the next three months for reasons for which the foreigner is not responsible. Where deportation has failed due to reasons for which the foreigner is responsible, the order pursuant to sentence 1 shall remain unaffected until expiry of the period stipulated in the order. </w:t>
      </w:r>
    </w:p>
    <w:p w14:paraId="1FD02E85" w14:textId="77777777" w:rsidR="00CA23FA" w:rsidRPr="001663AE" w:rsidRDefault="00CA23FA" w:rsidP="00D87D91">
      <w:pPr>
        <w:pStyle w:val="3"/>
      </w:pPr>
      <w:r w:rsidRPr="001663AE">
        <w:t xml:space="preserve">(3) Detention pending deportation may be ordered for up to six months. In cases in which the foreigner frustrates his or her deportation, it may be extended by a maximum of twelve months. A period of custody to prepare deportation shall count towards the overall duration of detention pending deportation. </w:t>
      </w:r>
    </w:p>
    <w:p w14:paraId="10957325" w14:textId="77777777" w:rsidR="00CA23FA" w:rsidRPr="001663AE" w:rsidRDefault="00CA23FA" w:rsidP="00D87D91">
      <w:pPr>
        <w:pStyle w:val="3"/>
      </w:pPr>
      <w:r w:rsidRPr="001663AE">
        <w:t xml:space="preserve">(4) The authority responsible for the detention application may detain a foreigner without a prior judicial order and place such foreigner in temporary custody where </w:t>
      </w:r>
    </w:p>
    <w:p w14:paraId="506F0937" w14:textId="77777777" w:rsidR="00CA23FA" w:rsidRPr="001663AE" w:rsidRDefault="00CA23FA" w:rsidP="00D87D91">
      <w:pPr>
        <w:pStyle w:val="3"/>
      </w:pPr>
      <w:r w:rsidRPr="001663AE">
        <w:t xml:space="preserve">1. there is a strong suspicion that the conditions pursuant to sub-section 2, sentence 1 apply, </w:t>
      </w:r>
    </w:p>
    <w:p w14:paraId="4EC1545A" w14:textId="77777777" w:rsidR="00CA23FA" w:rsidRPr="001663AE" w:rsidRDefault="00CA23FA" w:rsidP="00D87D91">
      <w:pPr>
        <w:pStyle w:val="3"/>
      </w:pPr>
      <w:r w:rsidRPr="001663AE">
        <w:t xml:space="preserve">2. the judicial decision on the order for detention pending deportation is not obtainable beforehand and </w:t>
      </w:r>
    </w:p>
    <w:p w14:paraId="69CDE493" w14:textId="77777777" w:rsidR="00CA23FA" w:rsidRPr="001663AE" w:rsidRDefault="00CA23FA" w:rsidP="00D87D91">
      <w:pPr>
        <w:pStyle w:val="3"/>
      </w:pPr>
      <w:r w:rsidRPr="001663AE">
        <w:t xml:space="preserve">3. there is a well-founded suspicion that the foreigner intends to evade the order for detention pending deportation. </w:t>
      </w:r>
    </w:p>
    <w:p w14:paraId="1AC6BA1D" w14:textId="77777777" w:rsidR="00CA23FA" w:rsidRPr="001663AE" w:rsidRDefault="00CA23FA" w:rsidP="00D87D91">
      <w:pPr>
        <w:pStyle w:val="3"/>
      </w:pPr>
      <w:r w:rsidRPr="001663AE">
        <w:t>The foreigner shall be brought before the court forthwith for a decision on the order for detention pending deportation.</w:t>
      </w:r>
    </w:p>
  </w:footnote>
  <w:footnote w:id="748">
    <w:p w14:paraId="54DEB4CA"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司法院釋字</w:t>
      </w:r>
      <w:r>
        <w:rPr>
          <w:rFonts w:hint="eastAsia"/>
        </w:rPr>
        <w:t>第</w:t>
      </w:r>
      <w:r w:rsidRPr="001663AE">
        <w:t xml:space="preserve">708 </w:t>
      </w:r>
      <w:r w:rsidRPr="001663AE">
        <w:rPr>
          <w:rFonts w:hint="eastAsia"/>
        </w:rPr>
        <w:t>號：</w:t>
      </w:r>
      <w:r>
        <w:t>〜</w:t>
      </w:r>
      <w:r w:rsidRPr="001663AE">
        <w:rPr>
          <w:rFonts w:hint="eastAsia"/>
        </w:rPr>
        <w:t>系爭規定所稱之「收容」，雖與刑事羈押或處罰之性質不同，但仍係於一定期間拘束受收容外國人於一定處所，使其與外界隔離（入出國及移民法第三十八條第二項及「外國人收容管理規則」參照），亦屬剝奪人身自由之一種態樣，係嚴重幹預人民身體自由之強制處分（本院釋字第三九二號解釋參照），依憲法第八條第一項規定意旨，自須踐行必要之司法程序或其他正當法律程序。惟刑事被告與非刑事被告之人身自由限制，在目的、方式與程度上畢竟有其差異，是其踐行之司法程序或其他正當法律程序，自非均須同一不可（本院釋字第五八八號解釋參照）。查外國人並無自由進入我國國境之權利，而入出國及移民署依系爭規定收容外國人之目的，在儘速將外國人遣送出國，非為逮捕拘禁犯罪嫌疑人，則在該外國人可立即於短期間內迅速遣送出國之情形下，入出國及移民署自須有合理之作業期間，以利執行遣送事宜，例如代為洽購機票、申辦護照及旅行檔、聯繫相關機構協助或其他應辦事項，乃遣送出國過程本質上所必要。因此，從整體法秩序為價值判斷，系爭規定賦予該署合理之遣送作業期間，且於此短暫期間內得處分暫時收容該外國人，以防範其脫逃，俾能迅速將該外國人遣送出國，當屬合理、必要，亦屬國家主權之行使，並不違反憲法第八條第一項保障人身自由之意旨，是此暫時收容之處分部分，尚無須經由法院為之。惟基於上述憲法意旨，為落實即時有效之保障功能，對上述處分仍應賦予受暫時收容之外國人有立即聲請法院審查決定之救濟機會，倘受收容人於暫時收容期間內，對於暫時收容處分表示不服，或要求由法院審查決定是否予以收容，入出國及移民署應即於二十四小時內將受收容人移送法院迅速裁定是否予以收容；且於處分或裁定收容之後，亦應即以受收容之外國人可理解之語言及書面，告知其處分收容之原因、法律依據及不服處分之司法救濟途徑，並通知其指定之在臺親友或其原籍國駐華使領館或授權機關，俾受收容人善用上述救濟程序，得即時有效維護其權益，方符上開憲法保障人身自由之意旨。至於因執行遣送作業所需暫時收容之期間長短，則應由立法者斟酌行政作業所需時程及上述遣送前應行處理之事項等實際需要而以法律定之。惟考量暫時收容期間不宜過長，避免過度幹預受暫時收容人之人身自由，並衡酌入出國及移民署現行作業實務，約百分之七十之受收容人可於十五日內遣送出國（入出國及移民署一０二年一月九日移署專一蓮字第一０二００一一四五七號函參照）等情，是得由該署處分暫時收容之期間，其上限不得超過十五日。</w:t>
      </w:r>
    </w:p>
    <w:p w14:paraId="7ECA8371" w14:textId="77777777" w:rsidR="00CA23FA" w:rsidRPr="001663AE" w:rsidRDefault="00CA23FA" w:rsidP="00D87D91">
      <w:pPr>
        <w:pStyle w:val="3"/>
      </w:pPr>
      <w:r w:rsidRPr="001663AE">
        <w:rPr>
          <w:rFonts w:hint="eastAsia"/>
        </w:rPr>
        <w:t>至受收容人於暫時收容期間內，未表示不服或要求由法院審查決定是否收容，且暫時收容期間將屆滿者，入出國及移民署倘認有繼續收容之必要，因事關人身自由之長期剝奪，基於上述憲法保障人身自由之正當法律程序之要求，系爭規定關於逾越前述暫時收容期間之收容部分，自應由公正、獨立審判之法院依法審查決定。故入出國及移民署應於暫時收容期間屆滿之前，將受暫時收容人移送法院聲請裁定收容，始能續予收容；嗣後如依法有延長收容之必要者，亦同。</w:t>
      </w:r>
    </w:p>
    <w:p w14:paraId="3A2192FE" w14:textId="77777777" w:rsidR="00CA23FA" w:rsidRPr="001663AE" w:rsidRDefault="00CA23FA" w:rsidP="00D87D91">
      <w:pPr>
        <w:pStyle w:val="3"/>
      </w:pPr>
      <w:r w:rsidRPr="001663AE">
        <w:rPr>
          <w:rFonts w:hint="eastAsia"/>
        </w:rPr>
        <w:t>綜上所述，系爭規定授權入出國及移民署對受驅逐出國之外國人得以行政處分暫予收容，其中就遣送所需合理作業期間之暫時收容部分，固非憲法所不許，惟對受收容人必要之保障，雖於一００年十一月二十三日已修正增訂入出國及移民法第三十八條第八項，規定收容之處分應以當事人理解之語文作成書面通知，附記處分理由及不服處分提起救濟之方法、期間、受理機關等相關規定，並聯繫當事人原籍國駐華使領館或授權機構，但仍未賦予受暫時收容人即時有效之司法救濟，難認已充分保障受收容人之基本人權，自與憲法第八條第一項正當法律程序有違；又逾越上開暫時收容期間之收容部分，系爭規定由入出國及移民署逕為處分，非由法院審查決定，亦牴觸上開憲法規定保障人身自由之意旨。</w:t>
      </w:r>
    </w:p>
  </w:footnote>
  <w:footnote w:id="749">
    <w:p w14:paraId="3510E760"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請參閱：李震山大法官、陳春生大法官、羅昌發大法官、及陳新民大法官等人之不同意見書。</w:t>
      </w:r>
    </w:p>
  </w:footnote>
  <w:footnote w:id="750">
    <w:p w14:paraId="64892431"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李震山大法官指出</w:t>
      </w:r>
      <w:r>
        <w:t>〜</w:t>
      </w:r>
      <w:r w:rsidRPr="001663AE">
        <w:t>-</w:t>
      </w:r>
      <w:r w:rsidRPr="001663AE">
        <w:rPr>
          <w:rFonts w:hint="eastAsia"/>
        </w:rPr>
        <w:t>「本件解釋所稱「合理作業期間」，是為準備遣送出國而設，作業上或有其必要。但其與憲法將「二十四小時」定位為人身自由剝奪救濟的「急迫審查期間」，性質上是風馬牛不相及，自無互相取代的空間。僅以「整體法秩序為價值判斷」的模糊辭令，或以「暫時收容」與「暫予收容」用語的隻字之差，試圖將兩者混為一談，予人憲法所定二十四小時「並不合理」的聯想，而得到「並不違反憲法第八條第一項保障人身自由之意旨，是此暫時收容之處分部分，尚無須經由法院審查決定」的結論，恐有失釋憲者立場而難以服人。其刻意規避憲法第八條所明示之「二十四小時」誡命，自行創造的「合理作業期間」，保障程度上甚至比某些立法還低，堂而皇之將十五日寫入必須修憲或再次釋憲始可能變更的本院解釋之內，滯化未來法制進步的空間，確實令人不安。」上述之見解，</w:t>
      </w:r>
      <w:r w:rsidRPr="001663AE">
        <w:rPr>
          <w:rFonts w:cs="標楷體" w:hint="eastAsia"/>
          <w:kern w:val="0"/>
          <w:lang w:bidi="bn-IN"/>
        </w:rPr>
        <w:t>本文完全贊同之。</w:t>
      </w:r>
    </w:p>
    <w:p w14:paraId="7C3E4F3A" w14:textId="77777777" w:rsidR="00CA23FA" w:rsidRPr="001663AE" w:rsidRDefault="00CA23FA" w:rsidP="00D87D91">
      <w:pPr>
        <w:pStyle w:val="af1"/>
      </w:pPr>
    </w:p>
  </w:footnote>
  <w:footnote w:id="751">
    <w:p w14:paraId="7D7265B1"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28 </w:t>
      </w:r>
      <w:r w:rsidRPr="001663AE">
        <w:rPr>
          <w:rFonts w:hint="eastAsia"/>
        </w:rPr>
        <w:t>條</w:t>
      </w:r>
    </w:p>
    <w:p w14:paraId="28B440CC" w14:textId="77777777" w:rsidR="00CA23FA" w:rsidRPr="001663AE" w:rsidRDefault="00CA23FA" w:rsidP="00D87D91">
      <w:pPr>
        <w:pStyle w:val="3"/>
      </w:pPr>
      <w:r w:rsidRPr="001663AE">
        <w:rPr>
          <w:rFonts w:hint="eastAsia"/>
        </w:rPr>
        <w:t>一　茲設置人權事務委員會</w:t>
      </w:r>
      <w:r>
        <w:rPr>
          <w:rFonts w:hint="eastAsia"/>
        </w:rPr>
        <w:t>(</w:t>
      </w:r>
      <w:r w:rsidRPr="001663AE">
        <w:rPr>
          <w:rFonts w:hint="eastAsia"/>
        </w:rPr>
        <w:t>本盟約下文簡稱委員會</w:t>
      </w:r>
      <w:r w:rsidRPr="001663AE">
        <w:rPr>
          <w:rFonts w:hint="eastAsia"/>
        </w:rPr>
        <w:t xml:space="preserve">) </w:t>
      </w:r>
      <w:r w:rsidRPr="001663AE">
        <w:rPr>
          <w:rFonts w:hint="eastAsia"/>
        </w:rPr>
        <w:t>委員十八人，執行以下規定之職務。</w:t>
      </w:r>
    </w:p>
    <w:p w14:paraId="26269193" w14:textId="77777777" w:rsidR="00CA23FA" w:rsidRPr="001663AE" w:rsidRDefault="00CA23FA" w:rsidP="00D87D91">
      <w:pPr>
        <w:pStyle w:val="3"/>
      </w:pPr>
      <w:r w:rsidRPr="001663AE">
        <w:rPr>
          <w:rFonts w:hint="eastAsia"/>
        </w:rPr>
        <w:t>二　委員會委員應為本盟約締約國國民，品格高尚且在人權問題方面聲譽素著之人士；同時並應計及宜選若干具有法律經驗之人士擔任委員。</w:t>
      </w:r>
    </w:p>
    <w:p w14:paraId="30AB8879" w14:textId="77777777" w:rsidR="00CA23FA" w:rsidRPr="001663AE" w:rsidRDefault="00CA23FA" w:rsidP="00D87D91">
      <w:pPr>
        <w:pStyle w:val="3"/>
      </w:pPr>
      <w:r w:rsidRPr="001663AE">
        <w:rPr>
          <w:rFonts w:hint="eastAsia"/>
        </w:rPr>
        <w:t>三　委員會委員以個人資格當選任職。</w:t>
      </w:r>
    </w:p>
  </w:footnote>
  <w:footnote w:id="752">
    <w:p w14:paraId="3F9F5C27"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29 </w:t>
      </w:r>
      <w:r w:rsidRPr="001663AE">
        <w:rPr>
          <w:rFonts w:hint="eastAsia"/>
        </w:rPr>
        <w:t>條</w:t>
      </w:r>
    </w:p>
    <w:p w14:paraId="5F9F27F9" w14:textId="77777777" w:rsidR="00CA23FA" w:rsidRPr="001663AE" w:rsidRDefault="00CA23FA" w:rsidP="00D87D91">
      <w:pPr>
        <w:pStyle w:val="3"/>
      </w:pPr>
      <w:r w:rsidRPr="001663AE">
        <w:rPr>
          <w:rFonts w:hint="eastAsia"/>
        </w:rPr>
        <w:t>一　委員會之委員應自具備第二十八條所規定資格並經本盟約締約國為此提名之人士名單中以無記名投票選舉之。</w:t>
      </w:r>
    </w:p>
    <w:p w14:paraId="77CD5332" w14:textId="77777777" w:rsidR="00CA23FA" w:rsidRPr="001663AE" w:rsidRDefault="00CA23FA" w:rsidP="00D87D91">
      <w:pPr>
        <w:pStyle w:val="3"/>
      </w:pPr>
      <w:r w:rsidRPr="001663AE">
        <w:rPr>
          <w:rFonts w:hint="eastAsia"/>
        </w:rPr>
        <w:t>二　本盟約各締約國提出人選不得多於二人，所提人選應為提名國國民。</w:t>
      </w:r>
    </w:p>
    <w:p w14:paraId="1AFD99E8" w14:textId="77777777" w:rsidR="00CA23FA" w:rsidRPr="001663AE" w:rsidRDefault="00CA23FA" w:rsidP="00D87D91">
      <w:pPr>
        <w:pStyle w:val="3"/>
      </w:pPr>
      <w:r w:rsidRPr="001663AE">
        <w:rPr>
          <w:rFonts w:hint="eastAsia"/>
        </w:rPr>
        <w:t>三　候選人選，得續予提名。</w:t>
      </w:r>
    </w:p>
  </w:footnote>
  <w:footnote w:id="753">
    <w:p w14:paraId="0E060CC3"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30 </w:t>
      </w:r>
      <w:r w:rsidRPr="001663AE">
        <w:rPr>
          <w:rFonts w:hint="eastAsia"/>
        </w:rPr>
        <w:t>條</w:t>
      </w:r>
    </w:p>
    <w:p w14:paraId="19244027" w14:textId="77777777" w:rsidR="00CA23FA" w:rsidRPr="001663AE" w:rsidRDefault="00CA23FA" w:rsidP="00D87D91">
      <w:pPr>
        <w:pStyle w:val="3"/>
      </w:pPr>
      <w:r w:rsidRPr="001663AE">
        <w:rPr>
          <w:rFonts w:hint="eastAsia"/>
        </w:rPr>
        <w:t>一　初次選舉至遲應於本盟約開始生效後六個月內舉行。</w:t>
      </w:r>
    </w:p>
    <w:p w14:paraId="1EBDCB32" w14:textId="77777777" w:rsidR="00CA23FA" w:rsidRPr="001663AE" w:rsidRDefault="00CA23FA" w:rsidP="00D87D91">
      <w:pPr>
        <w:pStyle w:val="3"/>
      </w:pPr>
      <w:r w:rsidRPr="001663AE">
        <w:rPr>
          <w:rFonts w:hint="eastAsia"/>
        </w:rPr>
        <w:t>二　除依據第三十四條規定宣告出缺而舉行之補缺選舉外，聯合國秘書長至遲應於委員會各次選舉日期四個月前以書面邀請本盟約締約國於三個月內提出委員會委員候選人。</w:t>
      </w:r>
    </w:p>
    <w:p w14:paraId="72290B63" w14:textId="77777777" w:rsidR="00CA23FA" w:rsidRPr="001663AE" w:rsidRDefault="00CA23FA" w:rsidP="00D87D91">
      <w:pPr>
        <w:pStyle w:val="3"/>
      </w:pPr>
      <w:r w:rsidRPr="001663AE">
        <w:rPr>
          <w:rFonts w:hint="eastAsia"/>
        </w:rPr>
        <w:t>三　聯合國秘書長應就所提出之候選人，按照字母次序編製名單，標明推薦其候選之締約國，至遲於每次選舉日期一個月前，送達本盟約締約國。</w:t>
      </w:r>
    </w:p>
    <w:p w14:paraId="2BA6C715" w14:textId="77777777" w:rsidR="00CA23FA" w:rsidRPr="001663AE" w:rsidRDefault="00CA23FA" w:rsidP="00D87D91">
      <w:pPr>
        <w:pStyle w:val="3"/>
      </w:pPr>
      <w:r w:rsidRPr="001663AE">
        <w:rPr>
          <w:rFonts w:hint="eastAsia"/>
        </w:rPr>
        <w:t>四　委員會委員之選舉應由聯合國秘書長在聯合國會所召集之締約國會議舉行之，該會議以締約國之三分之二出席為法定人數，候選人獲票最多且得出席氶投票締約國代表絕對過半數票者當選為委員會委員。</w:t>
      </w:r>
    </w:p>
  </w:footnote>
  <w:footnote w:id="754">
    <w:p w14:paraId="38303CAF"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31 </w:t>
      </w:r>
      <w:r w:rsidRPr="001663AE">
        <w:rPr>
          <w:rFonts w:hint="eastAsia"/>
        </w:rPr>
        <w:t>條</w:t>
      </w:r>
      <w:r w:rsidRPr="001663AE">
        <w:rPr>
          <w:rFonts w:hint="eastAsia"/>
        </w:rPr>
        <w:t xml:space="preserve"> </w:t>
      </w:r>
    </w:p>
    <w:p w14:paraId="2D94C710" w14:textId="77777777" w:rsidR="00CA23FA" w:rsidRPr="001663AE" w:rsidRDefault="00CA23FA" w:rsidP="00D87D91">
      <w:pPr>
        <w:pStyle w:val="3"/>
      </w:pPr>
      <w:r w:rsidRPr="001663AE">
        <w:rPr>
          <w:rFonts w:hint="eastAsia"/>
        </w:rPr>
        <w:t xml:space="preserve"> </w:t>
      </w:r>
      <w:r w:rsidRPr="001663AE">
        <w:rPr>
          <w:rFonts w:hint="eastAsia"/>
        </w:rPr>
        <w:t>一　委員會不得有委員一人以上為同一國家之國民。</w:t>
      </w:r>
    </w:p>
    <w:p w14:paraId="3FA58136" w14:textId="77777777" w:rsidR="00CA23FA" w:rsidRPr="001663AE" w:rsidRDefault="00CA23FA" w:rsidP="00D87D91">
      <w:pPr>
        <w:pStyle w:val="3"/>
      </w:pPr>
      <w:r w:rsidRPr="001663AE">
        <w:rPr>
          <w:rFonts w:hint="eastAsia"/>
        </w:rPr>
        <w:t>二　選舉委員會委員時應計及地域公勻分配及確能代表世界不同文化及各主要法系之原則。</w:t>
      </w:r>
    </w:p>
  </w:footnote>
  <w:footnote w:id="755">
    <w:p w14:paraId="4B5ACAA2"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32 </w:t>
      </w:r>
      <w:r w:rsidRPr="001663AE">
        <w:rPr>
          <w:rFonts w:hint="eastAsia"/>
        </w:rPr>
        <w:t>條</w:t>
      </w:r>
    </w:p>
    <w:p w14:paraId="751C96C5" w14:textId="77777777" w:rsidR="00CA23FA" w:rsidRPr="001663AE" w:rsidRDefault="00CA23FA" w:rsidP="00D87D91">
      <w:pPr>
        <w:pStyle w:val="3"/>
      </w:pPr>
      <w:r w:rsidRPr="001663AE">
        <w:rPr>
          <w:rFonts w:hint="eastAsia"/>
        </w:rPr>
        <w:t>一　委員會委員任期四年。續經提名者連選得連任。但第一次選出之委員中九人任期應為二年；任期二年之委員九人，應於第一次選舉完畢後，立由第三十條第四項所稱會議之主席，以抽籤方法決定之。</w:t>
      </w:r>
    </w:p>
    <w:p w14:paraId="64D0EF50" w14:textId="77777777" w:rsidR="00CA23FA" w:rsidRPr="001663AE" w:rsidRDefault="00CA23FA" w:rsidP="00D87D91">
      <w:pPr>
        <w:pStyle w:val="3"/>
      </w:pPr>
      <w:r w:rsidRPr="001663AE">
        <w:rPr>
          <w:rFonts w:hint="eastAsia"/>
        </w:rPr>
        <w:t>二　委員會委員任滿時之改選，應依照本盟約本編以上各條舉行之。</w:t>
      </w:r>
    </w:p>
  </w:footnote>
  <w:footnote w:id="756">
    <w:p w14:paraId="3E79B1B2"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33 </w:t>
      </w:r>
      <w:r w:rsidRPr="001663AE">
        <w:rPr>
          <w:rFonts w:hint="eastAsia"/>
        </w:rPr>
        <w:t>條</w:t>
      </w:r>
    </w:p>
    <w:p w14:paraId="5DA2C723" w14:textId="77777777" w:rsidR="00CA23FA" w:rsidRPr="001663AE" w:rsidRDefault="00CA23FA" w:rsidP="00D87D91">
      <w:pPr>
        <w:pStyle w:val="3"/>
      </w:pPr>
      <w:r w:rsidRPr="001663AE">
        <w:rPr>
          <w:rFonts w:hint="eastAsia"/>
        </w:rPr>
        <w:t>一　委員會某一委員倘經其委員一致認為由於暫時缺席以外之其他原因，業已停止執行職務時，委員會主席應通知聯合國秘書長，由其宣告該委員出缺。</w:t>
      </w:r>
    </w:p>
    <w:p w14:paraId="48BE82E0" w14:textId="77777777" w:rsidR="00CA23FA" w:rsidRPr="001663AE" w:rsidRDefault="00CA23FA" w:rsidP="00D87D91">
      <w:pPr>
        <w:pStyle w:val="3"/>
      </w:pPr>
      <w:r w:rsidRPr="001663AE">
        <w:rPr>
          <w:rFonts w:hint="eastAsia"/>
        </w:rPr>
        <w:t>二　委員會委員死亡或辭職時，委員會主席應即通知聯合國秘書長，由其宣告該委員自死亡或辭職生效之日起出缺。</w:t>
      </w:r>
    </w:p>
  </w:footnote>
  <w:footnote w:id="757">
    <w:p w14:paraId="4FAF9A33"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34 </w:t>
      </w:r>
      <w:r w:rsidRPr="001663AE">
        <w:rPr>
          <w:rFonts w:hint="eastAsia"/>
        </w:rPr>
        <w:t>條</w:t>
      </w:r>
    </w:p>
    <w:p w14:paraId="1EBB73AA" w14:textId="77777777" w:rsidR="00CA23FA" w:rsidRPr="001663AE" w:rsidRDefault="00CA23FA" w:rsidP="00D87D91">
      <w:pPr>
        <w:pStyle w:val="3"/>
      </w:pPr>
      <w:r w:rsidRPr="001663AE">
        <w:rPr>
          <w:rFonts w:hint="eastAsia"/>
        </w:rPr>
        <w:t>一　遇有第三十三條所稱情形宣告出缺，且須行補選之委員任期不在宣告出席六個月內屆滿者，聯合國秘書長應通知本盟約各締約國，各締約國得於兩個月內依照第二十九條提出候選人，以備補缺。</w:t>
      </w:r>
    </w:p>
    <w:p w14:paraId="18511222" w14:textId="77777777" w:rsidR="00CA23FA" w:rsidRPr="001663AE" w:rsidRDefault="00CA23FA" w:rsidP="00D87D91">
      <w:pPr>
        <w:pStyle w:val="3"/>
      </w:pPr>
      <w:r w:rsidRPr="001663AE">
        <w:rPr>
          <w:rFonts w:hint="eastAsia"/>
        </w:rPr>
        <w:t>二　聯合國秘書長應就所提出之候選人，按照字母次序編製名單，送達本盟約締約國。補缺選舉應於編送名單後依照本盟約本編有關規定舉行之。</w:t>
      </w:r>
    </w:p>
    <w:p w14:paraId="79315FDD" w14:textId="77777777" w:rsidR="00CA23FA" w:rsidRPr="001663AE" w:rsidRDefault="00CA23FA" w:rsidP="00D87D91">
      <w:pPr>
        <w:pStyle w:val="3"/>
      </w:pPr>
      <w:r w:rsidRPr="001663AE">
        <w:rPr>
          <w:rFonts w:hint="eastAsia"/>
        </w:rPr>
        <w:t>三　委員會委員之當選遞補依第三十三條規定宣告之懸缺者，應任職至依該條規定出缺之委員會委員任期屆滿時為止。</w:t>
      </w:r>
    </w:p>
  </w:footnote>
  <w:footnote w:id="758">
    <w:p w14:paraId="7637A65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35 </w:t>
      </w:r>
      <w:r w:rsidRPr="001663AE">
        <w:rPr>
          <w:rFonts w:hint="eastAsia"/>
        </w:rPr>
        <w:t>條委員會委員經聯合國大會核准，自聯合國資金項下支取報酬，其待遇及條件由大會參酌委員會所負重大責任定之。</w:t>
      </w:r>
    </w:p>
  </w:footnote>
  <w:footnote w:id="759">
    <w:p w14:paraId="4FF5E1AD"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ICCPR</w:t>
      </w:r>
      <w:r>
        <w:rPr>
          <w:rFonts w:hint="eastAsia"/>
        </w:rPr>
        <w:t>第</w:t>
      </w:r>
      <w:r w:rsidRPr="001663AE">
        <w:rPr>
          <w:rFonts w:hint="eastAsia"/>
        </w:rPr>
        <w:t xml:space="preserve">36 </w:t>
      </w:r>
      <w:r w:rsidRPr="001663AE">
        <w:rPr>
          <w:rFonts w:hint="eastAsia"/>
        </w:rPr>
        <w:t>條聯合國秘書長應供給委員會必要之辦事人員及便利，俾得有效執行本盟約所規定之職務。</w:t>
      </w:r>
    </w:p>
  </w:footnote>
  <w:footnote w:id="760">
    <w:p w14:paraId="26DF83FD"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37 </w:t>
      </w:r>
      <w:r w:rsidRPr="001663AE">
        <w:rPr>
          <w:rFonts w:hint="eastAsia"/>
        </w:rPr>
        <w:t>條</w:t>
      </w:r>
    </w:p>
    <w:p w14:paraId="67D74817" w14:textId="77777777" w:rsidR="00CA23FA" w:rsidRPr="001663AE" w:rsidRDefault="00CA23FA" w:rsidP="00D87D91">
      <w:pPr>
        <w:pStyle w:val="3"/>
      </w:pPr>
      <w:r w:rsidRPr="001663AE">
        <w:rPr>
          <w:rFonts w:hint="eastAsia"/>
        </w:rPr>
        <w:t>一　委員會首次會議由聯合國秘書長在聯合國會所召集之。</w:t>
      </w:r>
    </w:p>
    <w:p w14:paraId="48F589A0" w14:textId="77777777" w:rsidR="00CA23FA" w:rsidRPr="001663AE" w:rsidRDefault="00CA23FA" w:rsidP="00D87D91">
      <w:pPr>
        <w:pStyle w:val="3"/>
      </w:pPr>
      <w:r w:rsidRPr="001663AE">
        <w:rPr>
          <w:rFonts w:hint="eastAsia"/>
        </w:rPr>
        <w:t>二　委員會舉行首次會議後，遇委員會議事規則規定之情形召開會議。</w:t>
      </w:r>
    </w:p>
    <w:p w14:paraId="0EAD8EDA" w14:textId="77777777" w:rsidR="00CA23FA" w:rsidRPr="001663AE" w:rsidRDefault="00CA23FA" w:rsidP="00D87D91">
      <w:pPr>
        <w:pStyle w:val="3"/>
      </w:pPr>
      <w:r w:rsidRPr="001663AE">
        <w:rPr>
          <w:rFonts w:hint="eastAsia"/>
        </w:rPr>
        <w:t>三</w:t>
      </w:r>
      <w:r w:rsidRPr="001663AE">
        <w:rPr>
          <w:rFonts w:hint="eastAsia"/>
        </w:rPr>
        <w:t xml:space="preserve"> </w:t>
      </w:r>
      <w:r w:rsidRPr="001663AE">
        <w:rPr>
          <w:rFonts w:hint="eastAsia"/>
        </w:rPr>
        <w:t>委員會會議通常應在聯合國會所或日內瓦聯合國辦事處舉行之。</w:t>
      </w:r>
    </w:p>
  </w:footnote>
  <w:footnote w:id="761">
    <w:p w14:paraId="334DFEDD"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38 </w:t>
      </w:r>
      <w:r w:rsidRPr="001663AE">
        <w:rPr>
          <w:rFonts w:hint="eastAsia"/>
        </w:rPr>
        <w:t>條委員會每一委員就職時，應在委員會公開集會中鄭重宣言，必當秉公竭誠，執行職務。</w:t>
      </w:r>
    </w:p>
  </w:footnote>
  <w:footnote w:id="762">
    <w:p w14:paraId="52372A91"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39 </w:t>
      </w:r>
      <w:r w:rsidRPr="001663AE">
        <w:rPr>
          <w:rFonts w:hint="eastAsia"/>
        </w:rPr>
        <w:t>條</w:t>
      </w:r>
    </w:p>
    <w:p w14:paraId="2968E50D" w14:textId="77777777" w:rsidR="00CA23FA" w:rsidRPr="001663AE" w:rsidRDefault="00CA23FA" w:rsidP="00D87D91">
      <w:pPr>
        <w:pStyle w:val="3"/>
      </w:pPr>
      <w:r w:rsidRPr="001663AE">
        <w:rPr>
          <w:rFonts w:hint="eastAsia"/>
        </w:rPr>
        <w:t>一　委員會應自行選舉其職員，任期二年，連選得連任。</w:t>
      </w:r>
    </w:p>
    <w:p w14:paraId="3827FE89" w14:textId="77777777" w:rsidR="00CA23FA" w:rsidRPr="001663AE" w:rsidRDefault="00CA23FA" w:rsidP="00D87D91">
      <w:pPr>
        <w:pStyle w:val="3"/>
      </w:pPr>
      <w:r w:rsidRPr="001663AE">
        <w:rPr>
          <w:rFonts w:hint="eastAsia"/>
        </w:rPr>
        <w:t>二　委員會應自行制定議事規則，其中應有下列規定：</w:t>
      </w:r>
    </w:p>
    <w:p w14:paraId="715CAD4D"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一</w:t>
      </w:r>
      <w:r w:rsidRPr="001663AE">
        <w:rPr>
          <w:rFonts w:hint="eastAsia"/>
        </w:rPr>
        <w:t xml:space="preserve">) </w:t>
      </w:r>
      <w:r w:rsidRPr="001663AE">
        <w:rPr>
          <w:rFonts w:hint="eastAsia"/>
        </w:rPr>
        <w:t>委員十二人構成法定人數；</w:t>
      </w:r>
    </w:p>
    <w:p w14:paraId="0B715385"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委員會之決議以出席委員過半數之同意為之。</w:t>
      </w:r>
    </w:p>
  </w:footnote>
  <w:footnote w:id="763">
    <w:p w14:paraId="159DC234"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40 </w:t>
      </w:r>
      <w:r w:rsidRPr="001663AE">
        <w:rPr>
          <w:rFonts w:hint="eastAsia"/>
        </w:rPr>
        <w:t>條</w:t>
      </w:r>
    </w:p>
    <w:p w14:paraId="602FF0CC" w14:textId="77777777" w:rsidR="00CA23FA" w:rsidRPr="001663AE" w:rsidRDefault="00CA23FA" w:rsidP="00D87D91">
      <w:pPr>
        <w:pStyle w:val="3"/>
      </w:pPr>
      <w:r w:rsidRPr="001663AE">
        <w:rPr>
          <w:rFonts w:hint="eastAsia"/>
        </w:rPr>
        <w:t>一　本盟約締約國承允依照下列規定，各就其實施本盟約所確認權利而採取之措施，及在享受各種權利方面所獲之進展，提具報告書：</w:t>
      </w:r>
    </w:p>
    <w:p w14:paraId="2A35ACE2"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一</w:t>
      </w:r>
      <w:r w:rsidRPr="001663AE">
        <w:rPr>
          <w:rFonts w:hint="eastAsia"/>
        </w:rPr>
        <w:t xml:space="preserve">) </w:t>
      </w:r>
      <w:r w:rsidRPr="001663AE">
        <w:rPr>
          <w:rFonts w:hint="eastAsia"/>
        </w:rPr>
        <w:t>本盟約對關係締約國生效後一年內；</w:t>
      </w:r>
    </w:p>
    <w:p w14:paraId="68362DB8"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其後遇委員會提出請求時。</w:t>
      </w:r>
    </w:p>
    <w:p w14:paraId="0184E0F6" w14:textId="77777777" w:rsidR="00CA23FA" w:rsidRPr="001663AE" w:rsidRDefault="00CA23FA" w:rsidP="00D87D91">
      <w:pPr>
        <w:pStyle w:val="3"/>
      </w:pPr>
      <w:r w:rsidRPr="001663AE">
        <w:rPr>
          <w:rFonts w:hint="eastAsia"/>
        </w:rPr>
        <w:t>二　所有報告書應交由聯合國秘書長轉送委員會審議。如有任何因素及困難影響本盟約之實施，報告書應予說明。</w:t>
      </w:r>
    </w:p>
    <w:p w14:paraId="61B6ED2B" w14:textId="77777777" w:rsidR="00CA23FA" w:rsidRPr="001663AE" w:rsidRDefault="00CA23FA" w:rsidP="00D87D91">
      <w:pPr>
        <w:pStyle w:val="3"/>
      </w:pPr>
      <w:r w:rsidRPr="001663AE">
        <w:rPr>
          <w:rFonts w:hint="eastAsia"/>
        </w:rPr>
        <w:t>三　聯合國秘書長與委員會商洽後得將報告書中屬於關係專門機關職權範圍之部分副本轉送各該專門機關。</w:t>
      </w:r>
      <w:r w:rsidRPr="001663AE">
        <w:rPr>
          <w:rFonts w:hint="eastAsia"/>
        </w:rPr>
        <w:t xml:space="preserve"> </w:t>
      </w:r>
      <w:r w:rsidRPr="001663AE">
        <w:rPr>
          <w:rFonts w:hint="eastAsia"/>
        </w:rPr>
        <w:t xml:space="preserve">　</w:t>
      </w:r>
    </w:p>
    <w:p w14:paraId="41B5867B" w14:textId="77777777" w:rsidR="00CA23FA" w:rsidRPr="001663AE" w:rsidRDefault="00CA23FA" w:rsidP="00D87D91">
      <w:pPr>
        <w:pStyle w:val="3"/>
      </w:pPr>
      <w:r w:rsidRPr="001663AE">
        <w:rPr>
          <w:rFonts w:hint="eastAsia"/>
        </w:rPr>
        <w:t>四　委員會應研究本盟約締約國提出之報告書。委員會應向締約國提送其報告書及其認為適當之一般評議。委員會亦得將此等評議連同其自本盟約締約國收到之報告書副本轉送經濟暨社會理事會。</w:t>
      </w:r>
    </w:p>
    <w:p w14:paraId="6BF4E549" w14:textId="77777777" w:rsidR="00CA23FA" w:rsidRPr="001663AE" w:rsidRDefault="00CA23FA" w:rsidP="00D87D91">
      <w:pPr>
        <w:pStyle w:val="3"/>
      </w:pPr>
      <w:r w:rsidRPr="001663AE">
        <w:rPr>
          <w:rFonts w:hint="eastAsia"/>
        </w:rPr>
        <w:t>五　本盟約締約國得就委員會可能依據本條第四項規定提出之任何評議向委員會提出意見。</w:t>
      </w:r>
    </w:p>
  </w:footnote>
  <w:footnote w:id="764">
    <w:p w14:paraId="2D0D2219"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41 </w:t>
      </w:r>
      <w:r w:rsidRPr="001663AE">
        <w:rPr>
          <w:rFonts w:hint="eastAsia"/>
        </w:rPr>
        <w:t>條</w:t>
      </w:r>
    </w:p>
    <w:p w14:paraId="6BE1E73B" w14:textId="77777777" w:rsidR="00CA23FA" w:rsidRPr="001663AE" w:rsidRDefault="00CA23FA" w:rsidP="00D87D91">
      <w:pPr>
        <w:pStyle w:val="3"/>
      </w:pPr>
      <w:r w:rsidRPr="001663AE">
        <w:rPr>
          <w:rFonts w:hint="eastAsia"/>
        </w:rPr>
        <w:t>一　本盟約締約國得依據本條規定，隨時聲明承認委員會有權接受並審議一締約國指稱另一締約國不履行本盟約義務之來文。依本條規定而遞送之來文，必須為曾聲明其本身承認委員會有權之締約國所提出方得予以接受並審查。如來文關涉未作此種聲明之締約國，委員會不得接受之。依照本條規定接受之來文應照下開程序處理：</w:t>
      </w:r>
    </w:p>
    <w:p w14:paraId="5470AD95"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一</w:t>
      </w:r>
      <w:r w:rsidRPr="001663AE">
        <w:rPr>
          <w:rFonts w:hint="eastAsia"/>
        </w:rPr>
        <w:t xml:space="preserve">) </w:t>
      </w:r>
      <w:r w:rsidRPr="001663AE">
        <w:rPr>
          <w:rFonts w:hint="eastAsia"/>
        </w:rPr>
        <w:t>如本盟約某一締約國認為另一締約國未實施本盟約條款，得書面提請該締約國注意。受請國應於收到此項來文三個月內，向遞送來文之國家書面提出解釋或任何其他聲明，以闡明此事，其中應　在可能及適當範圍內，載明有關此事之本國處理辦法，及業經採取或正在決定或可資援用之救濟辦法。</w:t>
      </w:r>
    </w:p>
    <w:p w14:paraId="01BFFD62"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如在受請國收到第一件來文後六個月內，問題仍未獲關係締約國雙國雙方滿意之調整，當事國任何一方均有權通知委員會及其他一方，將事件提交委員會。</w:t>
      </w:r>
    </w:p>
    <w:p w14:paraId="3D683A52"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三</w:t>
      </w:r>
      <w:r w:rsidRPr="001663AE">
        <w:rPr>
          <w:rFonts w:hint="eastAsia"/>
        </w:rPr>
        <w:t xml:space="preserve">) </w:t>
      </w:r>
      <w:r w:rsidRPr="001663AE">
        <w:rPr>
          <w:rFonts w:hint="eastAsia"/>
        </w:rPr>
        <w:t>委員會對於提請處理之事件，應於查明對此事件可以運用之國內救濟辦法悉已援用無遺後，依照公認之國際法原則處理之。但如救濟辦法之實施有不合理之拖延，則不在此限。</w:t>
      </w:r>
    </w:p>
    <w:p w14:paraId="62922B97"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四</w:t>
      </w:r>
      <w:r w:rsidRPr="001663AE">
        <w:rPr>
          <w:rFonts w:hint="eastAsia"/>
        </w:rPr>
        <w:t xml:space="preserve">) </w:t>
      </w:r>
      <w:r w:rsidRPr="001663AE">
        <w:rPr>
          <w:rFonts w:hint="eastAsia"/>
        </w:rPr>
        <w:t>委員會審查本條所稱之來文時應舉行不公開會議。</w:t>
      </w:r>
    </w:p>
    <w:p w14:paraId="1C9F1B7F"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五</w:t>
      </w:r>
      <w:r w:rsidRPr="001663AE">
        <w:rPr>
          <w:rFonts w:hint="eastAsia"/>
        </w:rPr>
        <w:t xml:space="preserve">) </w:t>
      </w:r>
      <w:r w:rsidRPr="001663AE">
        <w:rPr>
          <w:rFonts w:hint="eastAsia"/>
        </w:rPr>
        <w:t>以不牴觸</w:t>
      </w:r>
      <w:r>
        <w:rPr>
          <w:rFonts w:hint="eastAsia"/>
        </w:rPr>
        <w:t>(</w:t>
      </w:r>
      <w:r w:rsidRPr="001663AE">
        <w:rPr>
          <w:rFonts w:hint="eastAsia"/>
        </w:rPr>
        <w:t>三</w:t>
      </w:r>
      <w:r w:rsidRPr="001663AE">
        <w:rPr>
          <w:rFonts w:hint="eastAsia"/>
        </w:rPr>
        <w:t xml:space="preserve">) </w:t>
      </w:r>
      <w:r w:rsidRPr="001663AE">
        <w:rPr>
          <w:rFonts w:hint="eastAsia"/>
        </w:rPr>
        <w:t>款之規定為限，委員會應斡旋關係締約國俾以尊重本盟約所確認之人權及基本自由為基礎，友善解決事件。</w:t>
      </w:r>
    </w:p>
    <w:p w14:paraId="1EEE903C"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六</w:t>
      </w:r>
      <w:r w:rsidRPr="001663AE">
        <w:rPr>
          <w:rFonts w:hint="eastAsia"/>
        </w:rPr>
        <w:t xml:space="preserve">) </w:t>
      </w:r>
      <w:r w:rsidRPr="001663AE">
        <w:rPr>
          <w:rFonts w:hint="eastAsia"/>
        </w:rPr>
        <w:t>委員會對於提請處理之任何事件，得請</w:t>
      </w:r>
      <w:r>
        <w:rPr>
          <w:rFonts w:hint="eastAsia"/>
        </w:rPr>
        <w:t>(</w:t>
      </w:r>
      <w:r w:rsidRPr="001663AE">
        <w:rPr>
          <w:rFonts w:hint="eastAsia"/>
        </w:rPr>
        <w:t>二</w:t>
      </w:r>
      <w:r w:rsidRPr="001663AE">
        <w:rPr>
          <w:rFonts w:hint="eastAsia"/>
        </w:rPr>
        <w:t xml:space="preserve">) </w:t>
      </w:r>
      <w:r w:rsidRPr="001663AE">
        <w:rPr>
          <w:rFonts w:hint="eastAsia"/>
        </w:rPr>
        <w:t>款所稱之關係締約國提供任何有關情報。</w:t>
      </w:r>
    </w:p>
    <w:p w14:paraId="41201102"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七</w:t>
      </w:r>
      <w:r w:rsidRPr="001663AE">
        <w:rPr>
          <w:rFonts w:hint="eastAsia"/>
        </w:rPr>
        <w:t>)(</w:t>
      </w:r>
      <w:r w:rsidRPr="001663AE">
        <w:rPr>
          <w:rFonts w:hint="eastAsia"/>
        </w:rPr>
        <w:t>二</w:t>
      </w:r>
      <w:r w:rsidRPr="001663AE">
        <w:rPr>
          <w:rFonts w:hint="eastAsia"/>
        </w:rPr>
        <w:t xml:space="preserve">) </w:t>
      </w:r>
      <w:r w:rsidRPr="001663AE">
        <w:rPr>
          <w:rFonts w:hint="eastAsia"/>
        </w:rPr>
        <w:t>款所稱關係締約國有權於委員會審議此事件時出席並提出口頭及或書面陳述。</w:t>
      </w:r>
    </w:p>
    <w:p w14:paraId="063950F2"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八</w:t>
      </w:r>
      <w:r w:rsidRPr="001663AE">
        <w:rPr>
          <w:rFonts w:hint="eastAsia"/>
        </w:rPr>
        <w:t xml:space="preserve">) </w:t>
      </w:r>
      <w:r w:rsidRPr="001663AE">
        <w:rPr>
          <w:rFonts w:hint="eastAsia"/>
        </w:rPr>
        <w:t>委員會應於接獲依</w:t>
      </w:r>
      <w:r>
        <w:rPr>
          <w:rFonts w:hint="eastAsia"/>
        </w:rPr>
        <w:t>(</w:t>
      </w:r>
      <w:r w:rsidRPr="001663AE">
        <w:rPr>
          <w:rFonts w:hint="eastAsia"/>
        </w:rPr>
        <w:t>二</w:t>
      </w:r>
      <w:r w:rsidRPr="001663AE">
        <w:rPr>
          <w:rFonts w:hint="eastAsia"/>
        </w:rPr>
        <w:t xml:space="preserve">) </w:t>
      </w:r>
      <w:r w:rsidRPr="001663AE">
        <w:rPr>
          <w:rFonts w:hint="eastAsia"/>
        </w:rPr>
        <w:t>款所規定通知之日起十二個月內提出報告書：</w:t>
      </w:r>
    </w:p>
    <w:p w14:paraId="5FE317DF" w14:textId="77777777" w:rsidR="00CA23FA" w:rsidRPr="001663AE" w:rsidRDefault="00CA23FA" w:rsidP="00D87D91">
      <w:pPr>
        <w:pStyle w:val="3"/>
      </w:pPr>
      <w:r w:rsidRPr="001663AE">
        <w:rPr>
          <w:rFonts w:hint="eastAsia"/>
        </w:rPr>
        <w:t xml:space="preserve">　　　</w:t>
      </w:r>
      <w:r>
        <w:rPr>
          <w:rFonts w:hint="eastAsia"/>
        </w:rPr>
        <w:t>(1</w:t>
      </w:r>
      <w:r w:rsidRPr="001663AE">
        <w:rPr>
          <w:rFonts w:hint="eastAsia"/>
        </w:rPr>
        <w:t xml:space="preserve">) </w:t>
      </w:r>
      <w:r w:rsidRPr="001663AE">
        <w:rPr>
          <w:rFonts w:hint="eastAsia"/>
        </w:rPr>
        <w:t>如已達成</w:t>
      </w:r>
      <w:r>
        <w:rPr>
          <w:rFonts w:hint="eastAsia"/>
        </w:rPr>
        <w:t>(</w:t>
      </w:r>
      <w:r w:rsidRPr="001663AE">
        <w:rPr>
          <w:rFonts w:hint="eastAsia"/>
        </w:rPr>
        <w:t>五</w:t>
      </w:r>
      <w:r w:rsidRPr="001663AE">
        <w:rPr>
          <w:rFonts w:hint="eastAsia"/>
        </w:rPr>
        <w:t xml:space="preserve">) </w:t>
      </w:r>
      <w:r w:rsidRPr="001663AE">
        <w:rPr>
          <w:rFonts w:hint="eastAsia"/>
        </w:rPr>
        <w:t>款規定之解決辦法，委員會報告書應以扼要敘述事實及所達成之解決辦法為限。</w:t>
      </w:r>
    </w:p>
    <w:p w14:paraId="2617BC8D" w14:textId="77777777" w:rsidR="00CA23FA" w:rsidRPr="001663AE" w:rsidRDefault="00CA23FA" w:rsidP="00D87D91">
      <w:pPr>
        <w:pStyle w:val="3"/>
      </w:pPr>
      <w:r w:rsidRPr="001663AE">
        <w:rPr>
          <w:rFonts w:hint="eastAsia"/>
        </w:rPr>
        <w:t xml:space="preserve">　　　</w:t>
      </w:r>
      <w:r>
        <w:rPr>
          <w:rFonts w:hint="eastAsia"/>
        </w:rPr>
        <w:t>(2</w:t>
      </w:r>
      <w:r w:rsidRPr="001663AE">
        <w:rPr>
          <w:rFonts w:hint="eastAsia"/>
        </w:rPr>
        <w:t xml:space="preserve">) </w:t>
      </w:r>
      <w:r w:rsidRPr="001663AE">
        <w:rPr>
          <w:rFonts w:hint="eastAsia"/>
        </w:rPr>
        <w:t>如未達成</w:t>
      </w:r>
      <w:r>
        <w:rPr>
          <w:rFonts w:hint="eastAsia"/>
        </w:rPr>
        <w:t>(</w:t>
      </w:r>
      <w:r w:rsidRPr="001663AE">
        <w:rPr>
          <w:rFonts w:hint="eastAsia"/>
        </w:rPr>
        <w:t>五</w:t>
      </w:r>
      <w:r w:rsidRPr="001663AE">
        <w:rPr>
          <w:rFonts w:hint="eastAsia"/>
        </w:rPr>
        <w:t xml:space="preserve">) </w:t>
      </w:r>
      <w:r w:rsidRPr="001663AE">
        <w:rPr>
          <w:rFonts w:hint="eastAsia"/>
        </w:rPr>
        <w:t>款規定之解決辦法，委員會報告書應以扼要敘述事實為限；關係締約國提出之書面陳述及口頭陳述紀錄</w:t>
      </w:r>
    </w:p>
    <w:p w14:paraId="77A92E55" w14:textId="77777777" w:rsidR="00CA23FA" w:rsidRPr="001663AE" w:rsidRDefault="00CA23FA" w:rsidP="00D87D91">
      <w:pPr>
        <w:pStyle w:val="3"/>
      </w:pPr>
      <w:r w:rsidRPr="001663AE">
        <w:rPr>
          <w:rFonts w:hint="eastAsia"/>
        </w:rPr>
        <w:t xml:space="preserve">　　　　　　應附載於報告書內。</w:t>
      </w:r>
    </w:p>
    <w:p w14:paraId="30636D2A" w14:textId="77777777" w:rsidR="00CA23FA" w:rsidRPr="001663AE" w:rsidRDefault="00CA23FA" w:rsidP="00D87D91">
      <w:pPr>
        <w:pStyle w:val="3"/>
      </w:pPr>
      <w:r w:rsidRPr="001663AE">
        <w:rPr>
          <w:rFonts w:hint="eastAsia"/>
        </w:rPr>
        <w:t>關於每一事件，委員會應將報告書送達各關係締約國。</w:t>
      </w:r>
    </w:p>
    <w:p w14:paraId="715FA884" w14:textId="77777777" w:rsidR="00CA23FA" w:rsidRPr="001663AE" w:rsidRDefault="00CA23FA" w:rsidP="00D87D91">
      <w:pPr>
        <w:pStyle w:val="3"/>
      </w:pPr>
      <w:r w:rsidRPr="001663AE">
        <w:rPr>
          <w:rFonts w:hint="eastAsia"/>
        </w:rPr>
        <w:t>二　本條之規定應於本盟約十締約國發表本條第一項所稱之聲明後生效。此種聲明應由締約國交存聯合國秘書長，由秘書長將聲明副本轉送其他締約國。締約國得隨時通知秘書長撤回聲明。此種撤回不得影響對業經依照本條規定遞送之來文中所提事件之審議；秘書長接得撤回通知後，除非關係締約國另作新聲明，該國再有來文時不予接受。</w:t>
      </w:r>
    </w:p>
  </w:footnote>
  <w:footnote w:id="765">
    <w:p w14:paraId="7DD0BBFF"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42 </w:t>
      </w:r>
      <w:r w:rsidRPr="001663AE">
        <w:rPr>
          <w:rFonts w:hint="eastAsia"/>
        </w:rPr>
        <w:t>條</w:t>
      </w:r>
    </w:p>
    <w:p w14:paraId="4BC92324" w14:textId="77777777" w:rsidR="00CA23FA" w:rsidRPr="001663AE" w:rsidRDefault="00CA23FA" w:rsidP="00D87D91">
      <w:pPr>
        <w:pStyle w:val="3"/>
      </w:pPr>
      <w:r w:rsidRPr="001663AE">
        <w:rPr>
          <w:rFonts w:hint="eastAsia"/>
        </w:rPr>
        <w:t xml:space="preserve">一　</w:t>
      </w:r>
      <w:r w:rsidRPr="001663AE">
        <w:rPr>
          <w:rFonts w:hint="eastAsia"/>
        </w:rPr>
        <w:t>(</w:t>
      </w:r>
      <w:r w:rsidRPr="001663AE">
        <w:rPr>
          <w:rFonts w:hint="eastAsia"/>
        </w:rPr>
        <w:t>一</w:t>
      </w:r>
      <w:r w:rsidRPr="001663AE">
        <w:rPr>
          <w:rFonts w:hint="eastAsia"/>
        </w:rPr>
        <w:t>)</w:t>
      </w:r>
      <w:r w:rsidRPr="001663AE">
        <w:rPr>
          <w:rFonts w:hint="eastAsia"/>
        </w:rPr>
        <w:t xml:space="preserve">　如依第四十一條之規定提請委員會處理之事件未能獲得關係締約國滿意之解決，委員會得經關係締約國事先同意，指派一專設和解委員會</w:t>
      </w:r>
      <w:r>
        <w:rPr>
          <w:rFonts w:hint="eastAsia"/>
        </w:rPr>
        <w:t>(</w:t>
      </w:r>
      <w:r w:rsidRPr="001663AE">
        <w:rPr>
          <w:rFonts w:hint="eastAsia"/>
        </w:rPr>
        <w:t>下文簡稱和委會</w:t>
      </w:r>
      <w:r w:rsidRPr="001663AE">
        <w:rPr>
          <w:rFonts w:hint="eastAsia"/>
        </w:rPr>
        <w:t xml:space="preserve">) </w:t>
      </w:r>
      <w:r w:rsidRPr="001663AE">
        <w:rPr>
          <w:rFonts w:hint="eastAsia"/>
        </w:rPr>
        <w:t>。和委會應為關係締約國斡旋，俾以尊重本盟約為基礎，和睦解決問題；</w:t>
      </w:r>
    </w:p>
    <w:p w14:paraId="7E55FF81"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和委會由關係締約國接受之委員五人組成之。如關係締約國於三個月內對和委會組成之全部或一部未能達成協議，未得協議之和委會委員應由委員會用無記名投票法以三分之二之多數自其本身委員中選出之。</w:t>
      </w:r>
    </w:p>
    <w:p w14:paraId="4437F97D" w14:textId="77777777" w:rsidR="00CA23FA" w:rsidRPr="001663AE" w:rsidRDefault="00CA23FA" w:rsidP="00D87D91">
      <w:pPr>
        <w:pStyle w:val="3"/>
      </w:pPr>
      <w:r w:rsidRPr="001663AE">
        <w:rPr>
          <w:rFonts w:hint="eastAsia"/>
        </w:rPr>
        <w:t>二　和委會委員以個人資格任職。委員不得為關係締約國之國民，或為非本盟約締約國之國民，或未依第四十一條規定發表聲明之締約國國民。</w:t>
      </w:r>
    </w:p>
    <w:p w14:paraId="326B138B" w14:textId="77777777" w:rsidR="00CA23FA" w:rsidRPr="001663AE" w:rsidRDefault="00CA23FA" w:rsidP="00D87D91">
      <w:pPr>
        <w:pStyle w:val="3"/>
      </w:pPr>
      <w:r w:rsidRPr="001663AE">
        <w:rPr>
          <w:rFonts w:hint="eastAsia"/>
        </w:rPr>
        <w:t>三　和委會應自行選舉主席及制訂議事規則。</w:t>
      </w:r>
    </w:p>
    <w:p w14:paraId="50D97AE2" w14:textId="77777777" w:rsidR="00CA23FA" w:rsidRPr="001663AE" w:rsidRDefault="00CA23FA" w:rsidP="00D87D91">
      <w:pPr>
        <w:pStyle w:val="3"/>
      </w:pPr>
      <w:r w:rsidRPr="001663AE">
        <w:rPr>
          <w:rFonts w:hint="eastAsia"/>
        </w:rPr>
        <w:t>四　和委會會議通常應在聯合國會所或日內瓦聯合國辦事處舉行，但亦得於和委會諮商聯合國秘書長及關係締約國決定之其他方便地點舉行。</w:t>
      </w:r>
    </w:p>
    <w:p w14:paraId="424C2391" w14:textId="77777777" w:rsidR="00CA23FA" w:rsidRPr="001663AE" w:rsidRDefault="00CA23FA" w:rsidP="00D87D91">
      <w:pPr>
        <w:pStyle w:val="3"/>
      </w:pPr>
      <w:r w:rsidRPr="001663AE">
        <w:rPr>
          <w:rFonts w:hint="eastAsia"/>
        </w:rPr>
        <w:t>五　依第三十六條設置之秘書處應亦為本條指派之和委會服務。</w:t>
      </w:r>
    </w:p>
    <w:p w14:paraId="7DFD47FD" w14:textId="77777777" w:rsidR="00CA23FA" w:rsidRPr="001663AE" w:rsidRDefault="00CA23FA" w:rsidP="00D87D91">
      <w:pPr>
        <w:pStyle w:val="3"/>
      </w:pPr>
      <w:r w:rsidRPr="001663AE">
        <w:rPr>
          <w:rFonts w:hint="eastAsia"/>
        </w:rPr>
        <w:t>六　委員會所蒐集整理之情報，應提送和委會，和委會亦得請關俟締約國提供任何其他有關情報。</w:t>
      </w:r>
    </w:p>
    <w:p w14:paraId="78BFBEB3" w14:textId="77777777" w:rsidR="00CA23FA" w:rsidRPr="001663AE" w:rsidRDefault="00CA23FA" w:rsidP="00D87D91">
      <w:pPr>
        <w:pStyle w:val="3"/>
      </w:pPr>
      <w:r w:rsidRPr="001663AE">
        <w:rPr>
          <w:rFonts w:hint="eastAsia"/>
        </w:rPr>
        <w:t>七　和委會於詳盡審議案件後，無論如何應於受理該案件十二個月內，向委員會主席提出報告書，轉送關係締約國：</w:t>
      </w:r>
    </w:p>
    <w:p w14:paraId="6F03DABA"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一</w:t>
      </w:r>
      <w:r w:rsidRPr="001663AE">
        <w:rPr>
          <w:rFonts w:hint="eastAsia"/>
        </w:rPr>
        <w:t xml:space="preserve">) </w:t>
      </w:r>
      <w:r w:rsidRPr="001663AE">
        <w:rPr>
          <w:rFonts w:hint="eastAsia"/>
        </w:rPr>
        <w:t>和委會如未能於十二個月內完成案件之審議，其報告書應以扼要說明審議案件之情形為限；</w:t>
      </w:r>
    </w:p>
    <w:p w14:paraId="01EAFB99"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和委會如能達成以尊重本盟約所確認之人權為基礎之和睦解決問題辦法，其報告書應以扼要說明事實及所達成之解決辦法為限；</w:t>
      </w:r>
    </w:p>
    <w:p w14:paraId="2EC2D0F5"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三</w:t>
      </w:r>
      <w:r w:rsidRPr="001663AE">
        <w:rPr>
          <w:rFonts w:hint="eastAsia"/>
        </w:rPr>
        <w:t xml:space="preserve">) </w:t>
      </w:r>
      <w:r w:rsidRPr="001663AE">
        <w:rPr>
          <w:rFonts w:hint="eastAsia"/>
        </w:rPr>
        <w:t>如未能達成</w:t>
      </w:r>
      <w:r>
        <w:rPr>
          <w:rFonts w:hint="eastAsia"/>
        </w:rPr>
        <w:t>(</w:t>
      </w:r>
      <w:r w:rsidRPr="001663AE">
        <w:rPr>
          <w:rFonts w:hint="eastAsia"/>
        </w:rPr>
        <w:t>二</w:t>
      </w:r>
      <w:r w:rsidRPr="001663AE">
        <w:rPr>
          <w:rFonts w:hint="eastAsia"/>
        </w:rPr>
        <w:t xml:space="preserve">) </w:t>
      </w:r>
      <w:r w:rsidRPr="001663AE">
        <w:rPr>
          <w:rFonts w:hint="eastAsia"/>
        </w:rPr>
        <w:t>款規定之解決辦法，和委會報告書應載有其對對於關係締約國爭執事件之一切有關事實問題之結論，以及對於事件和睦解決各種可能性之意見。此項報告書應亦載有關係締約國提出之書面陳述及所作口頭陳述之紀錄；</w:t>
      </w:r>
    </w:p>
    <w:p w14:paraId="02D71F93" w14:textId="77777777" w:rsidR="00CA23FA" w:rsidRPr="001663AE" w:rsidRDefault="00CA23FA" w:rsidP="00D87D91">
      <w:pPr>
        <w:pStyle w:val="3"/>
      </w:pPr>
      <w:r w:rsidRPr="001663AE">
        <w:rPr>
          <w:rFonts w:hint="eastAsia"/>
        </w:rPr>
        <w:t xml:space="preserve">　</w:t>
      </w:r>
      <w:r>
        <w:rPr>
          <w:rFonts w:hint="eastAsia"/>
        </w:rPr>
        <w:t>(</w:t>
      </w:r>
      <w:r w:rsidRPr="001663AE">
        <w:rPr>
          <w:rFonts w:hint="eastAsia"/>
        </w:rPr>
        <w:t>四</w:t>
      </w:r>
      <w:r w:rsidRPr="001663AE">
        <w:rPr>
          <w:rFonts w:hint="eastAsia"/>
        </w:rPr>
        <w:t xml:space="preserve">) </w:t>
      </w:r>
      <w:r w:rsidRPr="001663AE">
        <w:rPr>
          <w:rFonts w:hint="eastAsia"/>
        </w:rPr>
        <w:t>和委會報告書如係依</w:t>
      </w:r>
      <w:r>
        <w:rPr>
          <w:rFonts w:hint="eastAsia"/>
        </w:rPr>
        <w:t>(</w:t>
      </w:r>
      <w:r w:rsidRPr="001663AE">
        <w:rPr>
          <w:rFonts w:hint="eastAsia"/>
        </w:rPr>
        <w:t>三</w:t>
      </w:r>
      <w:r w:rsidRPr="001663AE">
        <w:rPr>
          <w:rFonts w:hint="eastAsia"/>
        </w:rPr>
        <w:t xml:space="preserve">) </w:t>
      </w:r>
      <w:r w:rsidRPr="001663AE">
        <w:rPr>
          <w:rFonts w:hint="eastAsia"/>
        </w:rPr>
        <w:t>款之規定提出，關係締約國應於收到報告書後三月內通知委員會主席願否接受和委會報告書內容。</w:t>
      </w:r>
    </w:p>
    <w:p w14:paraId="11E30958" w14:textId="77777777" w:rsidR="00CA23FA" w:rsidRPr="001663AE" w:rsidRDefault="00CA23FA" w:rsidP="00D87D91">
      <w:pPr>
        <w:pStyle w:val="3"/>
      </w:pPr>
      <w:r w:rsidRPr="001663AE">
        <w:rPr>
          <w:rFonts w:hint="eastAsia"/>
        </w:rPr>
        <w:t>八　本條規定不影響委員會依第四十條所負之責任。</w:t>
      </w:r>
    </w:p>
    <w:p w14:paraId="4DEA3EA0" w14:textId="77777777" w:rsidR="00CA23FA" w:rsidRPr="001663AE" w:rsidRDefault="00CA23FA" w:rsidP="00D87D91">
      <w:pPr>
        <w:pStyle w:val="3"/>
      </w:pPr>
      <w:r w:rsidRPr="001663AE">
        <w:rPr>
          <w:rFonts w:hint="eastAsia"/>
        </w:rPr>
        <w:t>九　關係締約國應依照聯合國秘書長所提概算，平均負擔和委會委員之一切費用。</w:t>
      </w:r>
    </w:p>
    <w:p w14:paraId="2E715FCF" w14:textId="77777777" w:rsidR="00CA23FA" w:rsidRPr="001663AE" w:rsidRDefault="00CA23FA" w:rsidP="00D87D91">
      <w:pPr>
        <w:pStyle w:val="3"/>
      </w:pPr>
      <w:r w:rsidRPr="001663AE">
        <w:rPr>
          <w:rFonts w:hint="eastAsia"/>
        </w:rPr>
        <w:t>十　聯合國秘書長有權於必要時在關係締約國依本條第九項償還用款之前，支付和委會委員之費用。</w:t>
      </w:r>
    </w:p>
  </w:footnote>
  <w:footnote w:id="766">
    <w:p w14:paraId="4E756050"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43 </w:t>
      </w:r>
      <w:r w:rsidRPr="001663AE">
        <w:rPr>
          <w:rFonts w:hint="eastAsia"/>
        </w:rPr>
        <w:t>條委員會委員，以及依第四十二條可能指派之專設和解委員會委員，應有權享受聯合國特權豁免公約內有關各款為因聯合國公務出差之專家所規定之便利、特權與豁免。</w:t>
      </w:r>
    </w:p>
  </w:footnote>
  <w:footnote w:id="767">
    <w:p w14:paraId="07FCCE48"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45 </w:t>
      </w:r>
      <w:r w:rsidRPr="001663AE">
        <w:rPr>
          <w:rFonts w:hint="eastAsia"/>
        </w:rPr>
        <w:t>條委員會應經由經濟暨社會理事會向聯合國大會提送常年工作報告書。</w:t>
      </w:r>
    </w:p>
  </w:footnote>
  <w:footnote w:id="768">
    <w:p w14:paraId="0882653E"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有關於涉及向</w:t>
      </w:r>
      <w:r w:rsidRPr="001663AE">
        <w:t>HRC</w:t>
      </w:r>
      <w:r w:rsidRPr="001663AE">
        <w:rPr>
          <w:rFonts w:hint="eastAsia"/>
        </w:rPr>
        <w:t>提出申訴之相關性討論，尚可進一步參閱以下之重要文獻：</w:t>
      </w:r>
    </w:p>
    <w:p w14:paraId="0D72C123" w14:textId="77777777" w:rsidR="00CA23FA" w:rsidRPr="001663AE" w:rsidRDefault="00CA23FA" w:rsidP="00D87D91">
      <w:pPr>
        <w:pStyle w:val="3"/>
      </w:pPr>
      <w:r w:rsidRPr="001663AE">
        <w:rPr>
          <w:rFonts w:hint="eastAsia"/>
        </w:rPr>
        <w:t>俞寬賜</w:t>
      </w:r>
      <w:r w:rsidRPr="001663AE">
        <w:t>(2002)</w:t>
      </w:r>
      <w:r w:rsidRPr="001663AE">
        <w:rPr>
          <w:rFonts w:hint="eastAsia"/>
        </w:rPr>
        <w:t>，從國際人權法、國際人道法及國際刑法研究個人的國際法地位問題，初版，臺北巿：國家編譯館，頁</w:t>
      </w:r>
      <w:r w:rsidRPr="001663AE">
        <w:t>124-128</w:t>
      </w:r>
      <w:r w:rsidRPr="001663AE">
        <w:rPr>
          <w:rFonts w:hint="eastAsia"/>
        </w:rPr>
        <w:t>。</w:t>
      </w:r>
    </w:p>
    <w:p w14:paraId="06680561" w14:textId="77777777" w:rsidR="00CA23FA" w:rsidRPr="001663AE" w:rsidRDefault="00CA23FA" w:rsidP="00D87D91">
      <w:pPr>
        <w:pStyle w:val="3"/>
        <w:rPr>
          <w:rFonts w:cs="新細明體"/>
          <w:kern w:val="0"/>
          <w:lang w:bidi="bn-IN"/>
        </w:rPr>
      </w:pPr>
      <w:r w:rsidRPr="001663AE">
        <w:rPr>
          <w:rFonts w:hint="eastAsia"/>
        </w:rPr>
        <w:t>栗林忠男</w:t>
      </w:r>
      <w:r w:rsidRPr="001663AE">
        <w:t>(2000)</w:t>
      </w:r>
      <w:r w:rsidRPr="001663AE">
        <w:rPr>
          <w:rFonts w:hint="eastAsia"/>
        </w:rPr>
        <w:t>，現代國際法，初版第</w:t>
      </w:r>
      <w:r w:rsidRPr="001663AE">
        <w:t>2</w:t>
      </w:r>
      <w:r w:rsidRPr="001663AE">
        <w:rPr>
          <w:rFonts w:hint="eastAsia"/>
        </w:rPr>
        <w:t>刷，東京都：慶應義熟大學出版社，頁</w:t>
      </w:r>
      <w:r w:rsidRPr="001663AE">
        <w:t>212-214</w:t>
      </w:r>
      <w:r w:rsidRPr="001663AE">
        <w:rPr>
          <w:rFonts w:hint="eastAsia"/>
        </w:rPr>
        <w:t>。</w:t>
      </w:r>
    </w:p>
    <w:p w14:paraId="5FA30D6A" w14:textId="77777777" w:rsidR="00CA23FA" w:rsidRPr="001663AE" w:rsidRDefault="00CA23FA" w:rsidP="00D87D91">
      <w:pPr>
        <w:pStyle w:val="3"/>
      </w:pPr>
      <w:r w:rsidRPr="001663AE">
        <w:rPr>
          <w:rFonts w:hint="eastAsia"/>
        </w:rPr>
        <w:t>歐本漢</w:t>
      </w:r>
      <w:r w:rsidRPr="001663AE">
        <w:t>(2022)</w:t>
      </w:r>
      <w:r w:rsidRPr="001663AE">
        <w:rPr>
          <w:rFonts w:hint="eastAsia"/>
        </w:rPr>
        <w:t>，國際法</w:t>
      </w:r>
      <w:r w:rsidRPr="001663AE">
        <w:t>Q&amp;A</w:t>
      </w:r>
      <w:r w:rsidRPr="001663AE">
        <w:rPr>
          <w:rFonts w:hint="eastAsia"/>
        </w:rPr>
        <w:t>，初版，臺北巿：風雲論壇出版公司，頁</w:t>
      </w:r>
      <w:r w:rsidRPr="001663AE">
        <w:t>253-255</w:t>
      </w:r>
      <w:r w:rsidRPr="001663AE">
        <w:rPr>
          <w:rFonts w:hint="eastAsia"/>
        </w:rPr>
        <w:t>。</w:t>
      </w:r>
      <w:r w:rsidRPr="001663AE">
        <w:t xml:space="preserve"> </w:t>
      </w:r>
    </w:p>
    <w:p w14:paraId="0D4677AC" w14:textId="77777777" w:rsidR="00CA23FA" w:rsidRPr="001663AE" w:rsidRDefault="00CA23FA" w:rsidP="00D87D91">
      <w:pPr>
        <w:pStyle w:val="3"/>
      </w:pPr>
      <w:r w:rsidRPr="001663AE">
        <w:rPr>
          <w:rFonts w:hint="eastAsia"/>
        </w:rPr>
        <w:t>趙明義</w:t>
      </w:r>
      <w:r w:rsidRPr="001663AE">
        <w:t>(2003)</w:t>
      </w:r>
      <w:r w:rsidRPr="001663AE">
        <w:rPr>
          <w:rFonts w:hint="eastAsia"/>
        </w:rPr>
        <w:t>，當代國際法導論，初版，臺北巿：五南圖書公司，頁</w:t>
      </w:r>
      <w:r w:rsidRPr="001663AE">
        <w:t>171-177</w:t>
      </w:r>
      <w:r w:rsidRPr="001663AE">
        <w:rPr>
          <w:rFonts w:hint="eastAsia"/>
        </w:rPr>
        <w:t>。</w:t>
      </w:r>
      <w:r w:rsidRPr="001663AE">
        <w:t xml:space="preserve"> </w:t>
      </w:r>
    </w:p>
    <w:p w14:paraId="6369C4FE" w14:textId="77777777" w:rsidR="00CA23FA" w:rsidRPr="001663AE" w:rsidRDefault="00CA23FA" w:rsidP="00D87D91">
      <w:pPr>
        <w:pStyle w:val="3"/>
      </w:pPr>
      <w:r w:rsidRPr="001663AE">
        <w:rPr>
          <w:rFonts w:hint="eastAsia"/>
        </w:rPr>
        <w:t>謝瑞智</w:t>
      </w:r>
      <w:r w:rsidRPr="001663AE">
        <w:t>(2011)</w:t>
      </w:r>
      <w:r w:rsidRPr="001663AE">
        <w:rPr>
          <w:rFonts w:hint="eastAsia"/>
        </w:rPr>
        <w:t>，國際法概論，初版，臺北巿：台灣商務印書館公司，頁</w:t>
      </w:r>
      <w:r w:rsidRPr="001663AE">
        <w:t>221-223</w:t>
      </w:r>
      <w:r w:rsidRPr="001663AE">
        <w:rPr>
          <w:rFonts w:hint="eastAsia"/>
        </w:rPr>
        <w:t>。</w:t>
      </w:r>
      <w:r w:rsidRPr="001663AE">
        <w:t xml:space="preserve"> </w:t>
      </w:r>
    </w:p>
    <w:p w14:paraId="6BB7375C" w14:textId="77777777" w:rsidR="00CA23FA" w:rsidRPr="001663AE" w:rsidRDefault="00CA23FA" w:rsidP="00D87D91">
      <w:pPr>
        <w:pStyle w:val="3"/>
      </w:pPr>
      <w:r w:rsidRPr="001663AE">
        <w:rPr>
          <w:rFonts w:hint="eastAsia"/>
        </w:rPr>
        <w:t>吳嘉生</w:t>
      </w:r>
      <w:r w:rsidRPr="001663AE">
        <w:t>(2008)</w:t>
      </w:r>
      <w:r w:rsidRPr="001663AE">
        <w:rPr>
          <w:rFonts w:hint="eastAsia"/>
        </w:rPr>
        <w:t>，當代國際法</w:t>
      </w:r>
      <w:r w:rsidRPr="001663AE">
        <w:t>(</w:t>
      </w:r>
      <w:r w:rsidRPr="001663AE">
        <w:rPr>
          <w:rFonts w:hint="eastAsia"/>
        </w:rPr>
        <w:t>上</w:t>
      </w:r>
      <w:r w:rsidRPr="001663AE">
        <w:t>)</w:t>
      </w:r>
      <w:r w:rsidRPr="001663AE">
        <w:rPr>
          <w:rFonts w:hint="eastAsia"/>
        </w:rPr>
        <w:t>，初版，臺北巿：五南公司，頁</w:t>
      </w:r>
      <w:r w:rsidRPr="001663AE">
        <w:t>242-273</w:t>
      </w:r>
      <w:r w:rsidRPr="001663AE">
        <w:rPr>
          <w:rFonts w:hint="eastAsia"/>
        </w:rPr>
        <w:t>。</w:t>
      </w:r>
      <w:r w:rsidRPr="001663AE">
        <w:t xml:space="preserve"> </w:t>
      </w:r>
    </w:p>
    <w:p w14:paraId="6ED3C49F" w14:textId="77777777" w:rsidR="00CA23FA" w:rsidRPr="001663AE" w:rsidRDefault="00CA23FA" w:rsidP="00D87D91">
      <w:pPr>
        <w:pStyle w:val="3"/>
      </w:pPr>
      <w:r w:rsidRPr="001663AE">
        <w:rPr>
          <w:rFonts w:hint="eastAsia"/>
        </w:rPr>
        <w:t>杉原高嶺、水上千之、臼杵知史、吉井淳、加藤信行、高田映</w:t>
      </w:r>
      <w:r w:rsidRPr="001663AE">
        <w:t>(1995)</w:t>
      </w:r>
      <w:r w:rsidRPr="001663AE">
        <w:rPr>
          <w:rFonts w:hint="eastAsia"/>
        </w:rPr>
        <w:t>，現代國際法講義，第</w:t>
      </w:r>
      <w:r w:rsidRPr="001663AE">
        <w:t>2</w:t>
      </w:r>
      <w:r w:rsidRPr="001663AE">
        <w:rPr>
          <w:rFonts w:hint="eastAsia"/>
        </w:rPr>
        <w:t>版，東京：有斐閣，頁</w:t>
      </w:r>
      <w:r w:rsidRPr="001663AE">
        <w:t>359-363</w:t>
      </w:r>
      <w:r w:rsidRPr="001663AE">
        <w:rPr>
          <w:rFonts w:hint="eastAsia"/>
        </w:rPr>
        <w:t>。</w:t>
      </w:r>
    </w:p>
    <w:p w14:paraId="4D2AFFDF" w14:textId="77777777" w:rsidR="00CA23FA" w:rsidRPr="001663AE" w:rsidRDefault="00CA23FA" w:rsidP="00D87D91">
      <w:pPr>
        <w:pStyle w:val="3"/>
        <w:rPr>
          <w:rFonts w:cs="新細明體"/>
          <w:kern w:val="0"/>
          <w:lang w:eastAsia="ja-JP" w:bidi="bn-IN"/>
        </w:rPr>
      </w:pPr>
      <w:r w:rsidRPr="001663AE">
        <w:rPr>
          <w:lang w:eastAsia="ja-JP"/>
        </w:rPr>
        <w:t>廣瀨善男</w:t>
      </w:r>
      <w:r w:rsidRPr="001663AE">
        <w:t>(2009)</w:t>
      </w:r>
      <w:r w:rsidRPr="001663AE">
        <w:rPr>
          <w:lang w:eastAsia="ja-JP"/>
        </w:rPr>
        <w:t>，外交的保護と國際責任の國際法，初版</w:t>
      </w:r>
      <w:r w:rsidRPr="001663AE">
        <w:t>1</w:t>
      </w:r>
      <w:r w:rsidRPr="001663AE">
        <w:rPr>
          <w:lang w:eastAsia="ja-JP"/>
        </w:rPr>
        <w:t>刷，東京都：信山社，頁</w:t>
      </w:r>
      <w:r w:rsidRPr="001663AE">
        <w:t>106-110</w:t>
      </w:r>
      <w:r w:rsidRPr="001663AE">
        <w:rPr>
          <w:lang w:eastAsia="ja-JP"/>
        </w:rPr>
        <w:t>。</w:t>
      </w:r>
    </w:p>
    <w:p w14:paraId="05A6EE73" w14:textId="77777777" w:rsidR="00CA23FA" w:rsidRPr="001663AE" w:rsidRDefault="00CA23FA" w:rsidP="00D87D91">
      <w:pPr>
        <w:pStyle w:val="3"/>
        <w:rPr>
          <w:kern w:val="0"/>
        </w:rPr>
      </w:pPr>
      <w:r w:rsidRPr="001663AE">
        <w:rPr>
          <w:rFonts w:hint="eastAsia"/>
        </w:rPr>
        <w:t>廖福特</w:t>
      </w:r>
      <w:r w:rsidRPr="001663AE">
        <w:t>(2007)</w:t>
      </w:r>
      <w:r w:rsidRPr="001663AE">
        <w:rPr>
          <w:rFonts w:hint="eastAsia"/>
        </w:rPr>
        <w:t>，國際人權法：第一講，國際人權法典</w:t>
      </w:r>
      <w:r>
        <w:t>〜</w:t>
      </w:r>
      <w:r w:rsidRPr="001663AE">
        <w:rPr>
          <w:rFonts w:hint="eastAsia"/>
        </w:rPr>
        <w:t>普世人權範疇，月旦</w:t>
      </w:r>
      <w:r w:rsidRPr="001663AE">
        <w:rPr>
          <w:rFonts w:hint="eastAsia"/>
          <w:kern w:val="0"/>
        </w:rPr>
        <w:t>法學教室第</w:t>
      </w:r>
      <w:r w:rsidRPr="001663AE">
        <w:rPr>
          <w:kern w:val="0"/>
        </w:rPr>
        <w:t>54</w:t>
      </w:r>
      <w:r w:rsidRPr="001663AE">
        <w:rPr>
          <w:rFonts w:hint="eastAsia"/>
          <w:kern w:val="0"/>
        </w:rPr>
        <w:t>期，頁</w:t>
      </w:r>
      <w:r w:rsidRPr="001663AE">
        <w:rPr>
          <w:kern w:val="0"/>
        </w:rPr>
        <w:t>88-100</w:t>
      </w:r>
      <w:r w:rsidRPr="001663AE">
        <w:rPr>
          <w:rFonts w:hint="eastAsia"/>
          <w:kern w:val="0"/>
        </w:rPr>
        <w:t>。</w:t>
      </w:r>
    </w:p>
    <w:p w14:paraId="70165C7C" w14:textId="77777777" w:rsidR="00CA23FA" w:rsidRPr="001663AE" w:rsidRDefault="00CA23FA" w:rsidP="00D87D91">
      <w:pPr>
        <w:pStyle w:val="3"/>
        <w:rPr>
          <w:rFonts w:cs="新細明體"/>
          <w:lang w:bidi="bn-IN"/>
        </w:rPr>
      </w:pPr>
      <w:r w:rsidRPr="001663AE">
        <w:rPr>
          <w:rFonts w:hint="eastAsia"/>
        </w:rPr>
        <w:t>詹寧斯</w:t>
      </w:r>
      <w:r w:rsidRPr="001663AE">
        <w:t>(Robert Jennings)</w:t>
      </w:r>
      <w:r w:rsidRPr="001663AE">
        <w:rPr>
          <w:rFonts w:hint="eastAsia"/>
        </w:rPr>
        <w:t>、瓦茨</w:t>
      </w:r>
      <w:r w:rsidRPr="001663AE">
        <w:t>(Arthur Watts)</w:t>
      </w:r>
      <w:r w:rsidRPr="001663AE">
        <w:rPr>
          <w:rFonts w:hint="eastAsia"/>
        </w:rPr>
        <w:t>修訂，王鐵崖、陳公綽、湯宗舜、周仁譯</w:t>
      </w:r>
      <w:r w:rsidRPr="001663AE">
        <w:t>(1995)</w:t>
      </w:r>
      <w:r w:rsidRPr="001663AE">
        <w:rPr>
          <w:rFonts w:hint="eastAsia"/>
        </w:rPr>
        <w:t>，奧本海國際法，第</w:t>
      </w:r>
      <w:r w:rsidRPr="001663AE">
        <w:t>1</w:t>
      </w:r>
      <w:r w:rsidRPr="001663AE">
        <w:rPr>
          <w:rFonts w:hint="eastAsia"/>
        </w:rPr>
        <w:t>卷第</w:t>
      </w:r>
      <w:r w:rsidRPr="001663AE">
        <w:t>1</w:t>
      </w:r>
      <w:r w:rsidRPr="001663AE">
        <w:rPr>
          <w:rFonts w:hint="eastAsia"/>
        </w:rPr>
        <w:t>分冊，北京：中國大百科全書出版社，頁</w:t>
      </w:r>
      <w:r w:rsidRPr="001663AE">
        <w:t>92-202</w:t>
      </w:r>
      <w:r w:rsidRPr="001663AE">
        <w:rPr>
          <w:rFonts w:hint="eastAsia"/>
        </w:rPr>
        <w:t>。</w:t>
      </w:r>
    </w:p>
    <w:p w14:paraId="24E6EF6B" w14:textId="77777777" w:rsidR="00CA23FA" w:rsidRPr="001663AE" w:rsidRDefault="00CA23FA" w:rsidP="00D87D91">
      <w:pPr>
        <w:pStyle w:val="3"/>
      </w:pPr>
      <w:r w:rsidRPr="001663AE">
        <w:rPr>
          <w:rFonts w:hint="eastAsia"/>
        </w:rPr>
        <w:t>陳澤憲</w:t>
      </w:r>
      <w:r w:rsidRPr="001663AE">
        <w:t>(2008)</w:t>
      </w:r>
      <w:r w:rsidRPr="001663AE">
        <w:rPr>
          <w:rFonts w:hint="eastAsia"/>
        </w:rPr>
        <w:t>，公民權利與政治權利國際公約的批准與實施，初版，北京：中國社會科學出版社，頁</w:t>
      </w:r>
      <w:r w:rsidRPr="001663AE">
        <w:t>256-344</w:t>
      </w:r>
      <w:r w:rsidRPr="001663AE">
        <w:rPr>
          <w:rFonts w:hint="eastAsia"/>
        </w:rPr>
        <w:t>。</w:t>
      </w:r>
    </w:p>
  </w:footnote>
  <w:footnote w:id="769">
    <w:p w14:paraId="4A7BA4C7" w14:textId="77777777" w:rsidR="00CA23FA" w:rsidRPr="001663AE" w:rsidRDefault="00CA23FA" w:rsidP="00D87D91">
      <w:pPr>
        <w:pStyle w:val="3"/>
      </w:pPr>
      <w:r w:rsidRPr="001663AE">
        <w:rPr>
          <w:rStyle w:val="af3"/>
          <w:rFonts w:ascii="新細明體" w:hAnsi="新細明體"/>
        </w:rPr>
        <w:footnoteRef/>
      </w:r>
      <w:r w:rsidRPr="001663AE">
        <w:t xml:space="preserve"> OPICCPR Art 5(2)(b)</w:t>
      </w:r>
      <w:r w:rsidRPr="001663AE">
        <w:rPr>
          <w:rFonts w:hint="eastAsia"/>
        </w:rPr>
        <w:t>。</w:t>
      </w:r>
    </w:p>
  </w:footnote>
  <w:footnote w:id="770">
    <w:p w14:paraId="046D3605" w14:textId="77777777" w:rsidR="00CA23FA" w:rsidRPr="001663AE" w:rsidRDefault="00CA23FA" w:rsidP="00D87D91">
      <w:pPr>
        <w:pStyle w:val="3"/>
      </w:pPr>
      <w:r w:rsidRPr="001663AE">
        <w:rPr>
          <w:rStyle w:val="af3"/>
          <w:rFonts w:ascii="新細明體" w:hAnsi="新細明體"/>
        </w:rPr>
        <w:footnoteRef/>
      </w:r>
      <w:r w:rsidRPr="001663AE">
        <w:t xml:space="preserve"> OPICCPR Art 5(2)(a)</w:t>
      </w:r>
      <w:r w:rsidRPr="001663AE">
        <w:rPr>
          <w:rFonts w:hint="eastAsia"/>
        </w:rPr>
        <w:t>。</w:t>
      </w:r>
      <w:r w:rsidRPr="001663AE">
        <w:t xml:space="preserve"> </w:t>
      </w:r>
    </w:p>
  </w:footnote>
  <w:footnote w:id="771">
    <w:p w14:paraId="6CBE1B7B" w14:textId="77777777" w:rsidR="00CA23FA" w:rsidRPr="001663AE" w:rsidRDefault="00CA23FA" w:rsidP="00162A78">
      <w:pPr>
        <w:pStyle w:val="3"/>
        <w:jc w:val="left"/>
      </w:pPr>
      <w:r w:rsidRPr="001663AE">
        <w:rPr>
          <w:rStyle w:val="af3"/>
          <w:rFonts w:ascii="新細明體" w:hAnsi="新細明體"/>
        </w:rPr>
        <w:footnoteRef/>
      </w:r>
      <w:r w:rsidRPr="001663AE">
        <w:t xml:space="preserve"> OPICCPR Art 5(2)(c)</w:t>
      </w:r>
      <w:r w:rsidRPr="001663AE">
        <w:rPr>
          <w:rFonts w:hint="eastAsia"/>
        </w:rPr>
        <w:t>。</w:t>
      </w:r>
      <w:r w:rsidRPr="001663AE">
        <w:t xml:space="preserve"> </w:t>
      </w:r>
    </w:p>
  </w:footnote>
  <w:footnote w:id="772">
    <w:p w14:paraId="54312A54" w14:textId="77777777" w:rsidR="00CA23FA" w:rsidRPr="001663AE" w:rsidRDefault="00CA23FA" w:rsidP="00162A78">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73">
    <w:p w14:paraId="7D31C10A" w14:textId="77777777" w:rsidR="00CA23FA" w:rsidRPr="001663AE" w:rsidRDefault="00CA23FA" w:rsidP="00162A78">
      <w:pPr>
        <w:pStyle w:val="3"/>
        <w:jc w:val="left"/>
      </w:pPr>
      <w:r w:rsidRPr="001663AE">
        <w:rPr>
          <w:rStyle w:val="af3"/>
          <w:rFonts w:ascii="新細明體" w:hAnsi="新細明體"/>
          <w:szCs w:val="20"/>
        </w:rPr>
        <w:footnoteRef/>
      </w:r>
      <w:r w:rsidRPr="001663AE">
        <w:rPr>
          <w:rFonts w:hint="eastAsia"/>
        </w:rPr>
        <w:t>公民與政治權利國際公約第</w:t>
      </w:r>
      <w:r w:rsidRPr="001663AE">
        <w:t>2</w:t>
      </w:r>
      <w:r w:rsidRPr="001663AE">
        <w:rPr>
          <w:rFonts w:hint="eastAsia"/>
        </w:rPr>
        <w:t>條</w:t>
      </w:r>
    </w:p>
    <w:p w14:paraId="78C78561" w14:textId="77777777" w:rsidR="00CA23FA" w:rsidRPr="001663AE" w:rsidRDefault="00CA23FA" w:rsidP="00162A78">
      <w:pPr>
        <w:pStyle w:val="3"/>
        <w:jc w:val="left"/>
      </w:pPr>
      <w:r w:rsidRPr="001663AE">
        <w:rPr>
          <w:rFonts w:hint="eastAsia"/>
        </w:rPr>
        <w:t>一　本盟約締約國承允尊重並確保所有境內受其管轄之人，無分種類、膚色、性別、語言、宗教、政見或其他主張民族本源或社會階級、財產、出生或其他主張民族本源或社會階級、財產、出生或其他身分等等，一律享受本盟約所確認之權利。</w:t>
      </w:r>
      <w:r w:rsidRPr="001663AE">
        <w:t xml:space="preserve"> </w:t>
      </w:r>
      <w:r w:rsidRPr="001663AE">
        <w:rPr>
          <w:rFonts w:hint="eastAsia"/>
        </w:rPr>
        <w:t xml:space="preserve">　</w:t>
      </w:r>
    </w:p>
    <w:p w14:paraId="1954D80C" w14:textId="77777777" w:rsidR="00CA23FA" w:rsidRPr="001663AE" w:rsidRDefault="00CA23FA" w:rsidP="00162A78">
      <w:pPr>
        <w:pStyle w:val="3"/>
        <w:jc w:val="left"/>
      </w:pPr>
      <w:r w:rsidRPr="001663AE">
        <w:rPr>
          <w:rFonts w:hint="eastAsia"/>
        </w:rPr>
        <w:t>二　本盟約締約國承允遇現行立法或其他措詞尚無規定時，各依本國憲法程序，並遵照本盟約規定，採取必要步驟，制定必要之立法或其他措施，以實現本盟約所確認之權利。</w:t>
      </w:r>
    </w:p>
    <w:p w14:paraId="66F0F6EF" w14:textId="77777777" w:rsidR="00CA23FA" w:rsidRPr="001663AE" w:rsidRDefault="00CA23FA" w:rsidP="00162A78">
      <w:pPr>
        <w:pStyle w:val="3"/>
        <w:jc w:val="left"/>
      </w:pPr>
      <w:r w:rsidRPr="001663AE">
        <w:rPr>
          <w:rFonts w:hint="eastAsia"/>
        </w:rPr>
        <w:t>三　本盟約締約國承允：</w:t>
      </w:r>
    </w:p>
    <w:p w14:paraId="453E1FF7" w14:textId="77777777" w:rsidR="00CA23FA" w:rsidRPr="001663AE" w:rsidRDefault="00CA23FA" w:rsidP="00162A78">
      <w:pPr>
        <w:pStyle w:val="3"/>
        <w:jc w:val="left"/>
      </w:pPr>
      <w:r w:rsidRPr="001663AE">
        <w:rPr>
          <w:rFonts w:hint="eastAsia"/>
        </w:rPr>
        <w:t xml:space="preserve">　</w:t>
      </w:r>
      <w:r>
        <w:t>(</w:t>
      </w:r>
      <w:r w:rsidRPr="001663AE">
        <w:rPr>
          <w:rFonts w:hint="eastAsia"/>
        </w:rPr>
        <w:t>一</w:t>
      </w:r>
      <w:r w:rsidRPr="001663AE">
        <w:t xml:space="preserve">) </w:t>
      </w:r>
      <w:r w:rsidRPr="001663AE">
        <w:rPr>
          <w:rFonts w:hint="eastAsia"/>
        </w:rPr>
        <w:t>確保任何人所享本盟約確認之權利或自由如遭受侵害，均獲有效之救濟，公務員執行職務所犯之侵權行為，亦不例外；</w:t>
      </w:r>
    </w:p>
    <w:p w14:paraId="7B5D2B35" w14:textId="77777777" w:rsidR="00CA23FA" w:rsidRPr="001663AE" w:rsidRDefault="00CA23FA" w:rsidP="00162A78">
      <w:pPr>
        <w:pStyle w:val="3"/>
        <w:jc w:val="left"/>
      </w:pPr>
      <w:r w:rsidRPr="001663AE">
        <w:rPr>
          <w:rFonts w:hint="eastAsia"/>
        </w:rPr>
        <w:t xml:space="preserve">　</w:t>
      </w:r>
      <w:r>
        <w:t>(</w:t>
      </w:r>
      <w:r w:rsidRPr="001663AE">
        <w:rPr>
          <w:rFonts w:hint="eastAsia"/>
        </w:rPr>
        <w:t>二</w:t>
      </w:r>
      <w:r w:rsidRPr="001663AE">
        <w:t xml:space="preserve">) </w:t>
      </w:r>
      <w:r w:rsidRPr="001663AE">
        <w:rPr>
          <w:rFonts w:hint="eastAsia"/>
        </w:rPr>
        <w:t>確保上項救濟聲請人之救濟權利，由主管司法、行政或立法當局裁定，或由該國法律制度規定之其他主管當局裁定，並推廣司法救濟之機會；</w:t>
      </w:r>
    </w:p>
    <w:p w14:paraId="404F8059" w14:textId="77777777" w:rsidR="00CA23FA" w:rsidRPr="00D92F56" w:rsidRDefault="00CA23FA" w:rsidP="00162A78">
      <w:pPr>
        <w:pStyle w:val="3"/>
        <w:jc w:val="left"/>
      </w:pPr>
      <w:r w:rsidRPr="001663AE">
        <w:rPr>
          <w:rFonts w:hint="eastAsia"/>
        </w:rPr>
        <w:t xml:space="preserve">　　</w:t>
      </w:r>
      <w:r>
        <w:t>(</w:t>
      </w:r>
      <w:r w:rsidRPr="001663AE">
        <w:rPr>
          <w:rFonts w:hint="eastAsia"/>
        </w:rPr>
        <w:t>三</w:t>
      </w:r>
      <w:r w:rsidRPr="001663AE">
        <w:t xml:space="preserve">) </w:t>
      </w:r>
      <w:r w:rsidRPr="001663AE">
        <w:rPr>
          <w:rFonts w:hint="eastAsia"/>
        </w:rPr>
        <w:t>確保上項救濟一經核准，主管當局概予執行。</w:t>
      </w:r>
    </w:p>
  </w:footnote>
  <w:footnote w:id="774">
    <w:p w14:paraId="44FBA5FB" w14:textId="77777777" w:rsidR="00CA23FA" w:rsidRPr="001663AE" w:rsidRDefault="00CA23FA" w:rsidP="00162A78">
      <w:pPr>
        <w:pStyle w:val="3"/>
        <w:jc w:val="left"/>
      </w:pPr>
      <w:r w:rsidRPr="001663AE">
        <w:rPr>
          <w:rStyle w:val="af3"/>
          <w:rFonts w:ascii="新細明體" w:hAnsi="新細明體"/>
          <w:szCs w:val="20"/>
        </w:rPr>
        <w:footnoteRef/>
      </w:r>
      <w:r w:rsidRPr="001663AE">
        <w:rPr>
          <w:rFonts w:hint="eastAsia"/>
        </w:rPr>
        <w:t>公民與政治權利國際公約第</w:t>
      </w:r>
      <w:r w:rsidRPr="001663AE">
        <w:t>6</w:t>
      </w:r>
      <w:r w:rsidRPr="001663AE">
        <w:rPr>
          <w:rFonts w:hint="eastAsia"/>
        </w:rPr>
        <w:t>條一　人人皆有天賦之生存權。此種權利應受法律保障。任何人之生命不得無理剝奪。</w:t>
      </w:r>
    </w:p>
    <w:p w14:paraId="051B6B40" w14:textId="77777777" w:rsidR="00CA23FA" w:rsidRPr="001663AE" w:rsidRDefault="00CA23FA" w:rsidP="00162A78">
      <w:pPr>
        <w:pStyle w:val="3"/>
        <w:jc w:val="left"/>
      </w:pPr>
      <w:r w:rsidRPr="001663AE">
        <w:rPr>
          <w:rFonts w:hint="eastAsia"/>
        </w:rPr>
        <w:t>二　凡未廢除死刑之國家，非犯情節重大之罪，且依照犯罪時有效並與本盟約規定及防止及懲治殘害人群罪公約不牴觸之法律，不得科處死刑。死刑非依管轄法院終局判決，不得執行。</w:t>
      </w:r>
    </w:p>
    <w:p w14:paraId="07EE1A4B" w14:textId="77777777" w:rsidR="00CA23FA" w:rsidRPr="001663AE" w:rsidRDefault="00CA23FA" w:rsidP="00162A78">
      <w:pPr>
        <w:pStyle w:val="3"/>
        <w:jc w:val="left"/>
      </w:pPr>
      <w:r w:rsidRPr="001663AE">
        <w:rPr>
          <w:rFonts w:hint="eastAsia"/>
        </w:rPr>
        <w:t>三　生命之剝奪構成殘害人群罪時，本盟約締約國公認本條不得認為授權任何締約國以任何方式減免其依防止及懲治殘害人群罪公約規定所負之任何義務。</w:t>
      </w:r>
    </w:p>
    <w:p w14:paraId="547370E2" w14:textId="77777777" w:rsidR="00CA23FA" w:rsidRPr="001663AE" w:rsidRDefault="00CA23FA" w:rsidP="00162A78">
      <w:pPr>
        <w:pStyle w:val="3"/>
        <w:jc w:val="left"/>
      </w:pPr>
      <w:r w:rsidRPr="001663AE">
        <w:rPr>
          <w:rFonts w:hint="eastAsia"/>
        </w:rPr>
        <w:t>四　受死刑宣告者，有請求特赦或減刑之權。一切判處死刑之案件均得邀大赦、特赦或減刑。</w:t>
      </w:r>
    </w:p>
    <w:p w14:paraId="6BBE6C6F" w14:textId="77777777" w:rsidR="00CA23FA" w:rsidRPr="001663AE" w:rsidRDefault="00CA23FA" w:rsidP="00162A78">
      <w:pPr>
        <w:pStyle w:val="3"/>
        <w:jc w:val="left"/>
      </w:pPr>
      <w:r w:rsidRPr="001663AE">
        <w:rPr>
          <w:rFonts w:hint="eastAsia"/>
        </w:rPr>
        <w:t>五　未滿十八歲之人犯罪，不得判處死刑；懷胎婦女被判死刑，不得執行其刑。</w:t>
      </w:r>
    </w:p>
    <w:p w14:paraId="0352D278" w14:textId="77777777" w:rsidR="00CA23FA" w:rsidRPr="001663AE" w:rsidRDefault="00CA23FA" w:rsidP="00162A78">
      <w:pPr>
        <w:pStyle w:val="3"/>
        <w:jc w:val="left"/>
      </w:pPr>
      <w:r w:rsidRPr="001663AE">
        <w:rPr>
          <w:rFonts w:hint="eastAsia"/>
        </w:rPr>
        <w:t>六　本盟約締約國不得援引本條，而延緩或阻止死刑之廢除。</w:t>
      </w:r>
    </w:p>
  </w:footnote>
  <w:footnote w:id="775">
    <w:p w14:paraId="1B60E7B0" w14:textId="77777777" w:rsidR="00CA23FA" w:rsidRPr="001663AE" w:rsidRDefault="00CA23FA" w:rsidP="00162A78">
      <w:pPr>
        <w:pStyle w:val="3"/>
        <w:jc w:val="left"/>
      </w:pPr>
      <w:r w:rsidRPr="001663AE">
        <w:rPr>
          <w:rStyle w:val="af3"/>
          <w:rFonts w:ascii="新細明體" w:hAnsi="新細明體"/>
        </w:rPr>
        <w:footnoteRef/>
      </w:r>
      <w:r w:rsidRPr="001663AE">
        <w:rPr>
          <w:rFonts w:hint="eastAsia"/>
        </w:rPr>
        <w:t>公民與政治權利國際公約第</w:t>
      </w:r>
      <w:r w:rsidRPr="001663AE">
        <w:t>7</w:t>
      </w:r>
      <w:r w:rsidRPr="001663AE">
        <w:rPr>
          <w:rFonts w:hint="eastAsia"/>
        </w:rPr>
        <w:t>條任何人不得施以酷刑，或予以殘忍、不人道或侮辱之處遇或懲罰。非經本人自願同意，尤不得對任何人作醫學或科學試驗。</w:t>
      </w:r>
    </w:p>
  </w:footnote>
  <w:footnote w:id="776">
    <w:p w14:paraId="6FA51737" w14:textId="77777777" w:rsidR="00CA23FA" w:rsidRPr="001663AE" w:rsidRDefault="00CA23FA" w:rsidP="00162A78">
      <w:pPr>
        <w:pStyle w:val="3"/>
        <w:jc w:val="left"/>
      </w:pPr>
      <w:r w:rsidRPr="001663AE">
        <w:rPr>
          <w:rStyle w:val="af3"/>
          <w:rFonts w:ascii="新細明體" w:hAnsi="新細明體"/>
          <w:szCs w:val="20"/>
        </w:rPr>
        <w:footnoteRef/>
      </w:r>
      <w:r w:rsidRPr="001663AE">
        <w:rPr>
          <w:rFonts w:hint="eastAsia"/>
        </w:rPr>
        <w:t>第</w:t>
      </w:r>
      <w:r w:rsidRPr="001663AE">
        <w:t>9</w:t>
      </w:r>
      <w:r w:rsidRPr="001663AE">
        <w:rPr>
          <w:rFonts w:hint="eastAsia"/>
        </w:rPr>
        <w:t>條</w:t>
      </w:r>
    </w:p>
    <w:p w14:paraId="2B788661" w14:textId="77777777" w:rsidR="00CA23FA" w:rsidRPr="001663AE" w:rsidRDefault="00CA23FA" w:rsidP="00D87D91">
      <w:pPr>
        <w:pStyle w:val="3"/>
      </w:pPr>
      <w:r w:rsidRPr="001663AE">
        <w:rPr>
          <w:rFonts w:hint="eastAsia"/>
        </w:rPr>
        <w:t>一　人人有權享有身體自由及人身安全。任何人不得無理予以逮捕或拘禁。非依法定理由及程序，不得剝奪任何人之自由。</w:t>
      </w:r>
    </w:p>
    <w:p w14:paraId="49C7F235" w14:textId="77777777" w:rsidR="00CA23FA" w:rsidRPr="001663AE" w:rsidRDefault="00CA23FA" w:rsidP="00D87D91">
      <w:pPr>
        <w:pStyle w:val="3"/>
      </w:pPr>
      <w:r w:rsidRPr="001663AE">
        <w:rPr>
          <w:rFonts w:hint="eastAsia"/>
        </w:rPr>
        <w:t>二　執行逮捕時，應當場向被捕人宣告逮捕原因，並應隨即告知被控案由。</w:t>
      </w:r>
    </w:p>
    <w:p w14:paraId="16A3B339" w14:textId="77777777" w:rsidR="00CA23FA" w:rsidRPr="001663AE" w:rsidRDefault="00CA23FA" w:rsidP="00D87D91">
      <w:pPr>
        <w:pStyle w:val="3"/>
      </w:pPr>
      <w:r w:rsidRPr="001663AE">
        <w:rPr>
          <w:rFonts w:hint="eastAsia"/>
        </w:rPr>
        <w:t>三　因刑事罪名而被逮捕或拘禁之人，應迅即解送法官或依法執行司法權力之其他官員，並應於合理期間內審訊或釋放。候訊人通常不得加以羈押，但釋放得令具報，於審訊時，於司法程序之任何其他階段、並於一旦執行判決時，候傳到場。</w:t>
      </w:r>
    </w:p>
    <w:p w14:paraId="211F4EA0" w14:textId="77777777" w:rsidR="00CA23FA" w:rsidRPr="001663AE" w:rsidRDefault="00CA23FA" w:rsidP="00D87D91">
      <w:pPr>
        <w:pStyle w:val="3"/>
      </w:pPr>
      <w:r w:rsidRPr="001663AE">
        <w:rPr>
          <w:rFonts w:hint="eastAsia"/>
        </w:rPr>
        <w:t>四　任何人因逮捕或拘禁而被奪自由時，有權聲請法院提審，以迅速決定其拘禁是否合法，如屬非法，應即令釋放。</w:t>
      </w:r>
    </w:p>
    <w:p w14:paraId="49181D73" w14:textId="77777777" w:rsidR="00CA23FA" w:rsidRPr="001663AE" w:rsidRDefault="00CA23FA" w:rsidP="00D87D91">
      <w:pPr>
        <w:pStyle w:val="3"/>
      </w:pPr>
      <w:r w:rsidRPr="001663AE">
        <w:rPr>
          <w:rFonts w:hint="eastAsia"/>
        </w:rPr>
        <w:t>五　任何人受非法逮捕或拘禁者，有權要求執行損害賠償。</w:t>
      </w:r>
    </w:p>
  </w:footnote>
  <w:footnote w:id="777">
    <w:p w14:paraId="3D2EB000" w14:textId="77777777" w:rsidR="00CA23FA" w:rsidRPr="001663AE" w:rsidRDefault="00CA23FA" w:rsidP="00D87D91">
      <w:pPr>
        <w:pStyle w:val="3"/>
      </w:pPr>
      <w:r w:rsidRPr="001663AE">
        <w:rPr>
          <w:rStyle w:val="af3"/>
          <w:rFonts w:ascii="新細明體" w:hAnsi="新細明體"/>
        </w:rPr>
        <w:footnoteRef/>
      </w:r>
      <w:r w:rsidRPr="001663AE">
        <w:rPr>
          <w:rFonts w:hint="eastAsia"/>
        </w:rPr>
        <w:t>公民與政治權利國際公約第</w:t>
      </w:r>
      <w:r w:rsidRPr="001663AE">
        <w:t>13</w:t>
      </w:r>
      <w:r w:rsidRPr="001663AE">
        <w:rPr>
          <w:rFonts w:hint="eastAsia"/>
        </w:rPr>
        <w:t>條本盟約締約國境內合法居留之外國人，非經依法判定，不得驅逐出境，且除事關國家安全必須急速處分者外，應准其提出不服驅逐出境之理由，及聲請主管當局或主管當局特別指定之人員予以覆判，並為此目的委託代理人到場申訴。</w:t>
      </w:r>
    </w:p>
  </w:footnote>
  <w:footnote w:id="778">
    <w:p w14:paraId="4322C711"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公民與政治權利國際公約第</w:t>
      </w:r>
      <w:r w:rsidRPr="001663AE">
        <w:t>14</w:t>
      </w:r>
      <w:r w:rsidRPr="001663AE">
        <w:rPr>
          <w:rFonts w:hint="eastAsia"/>
        </w:rPr>
        <w:t>條</w:t>
      </w:r>
    </w:p>
    <w:p w14:paraId="283BB390" w14:textId="77777777" w:rsidR="00CA23FA" w:rsidRPr="001663AE" w:rsidRDefault="00CA23FA" w:rsidP="00D87D91">
      <w:pPr>
        <w:pStyle w:val="3"/>
      </w:pPr>
      <w:r w:rsidRPr="001663AE">
        <w:rPr>
          <w:rFonts w:hint="eastAsia"/>
        </w:rPr>
        <w:t>一　人人在法院或法庭之前，悉屬平等。任何人受刑事控告或因其權利義務涉訟須予判定時，應有權受獨立無私之法定管轄法庭公正公開審問。法院得因民主社會之風化、公共秩序或國家安全關係，或於保護當事人私生活有此必要時，或因情形特殊公開審判勢必影響司法而在其認為絕對必要之限度內，禁止新聞界及公眾旁聽審判程序之全部或一部；但除保護少年有此必要，或事關婚姻爭執或子女監護問題外，刑事民事之判決應一律公開宣示。</w:t>
      </w:r>
    </w:p>
    <w:p w14:paraId="156473BB" w14:textId="77777777" w:rsidR="00CA23FA" w:rsidRPr="001663AE" w:rsidRDefault="00CA23FA" w:rsidP="00D87D91">
      <w:pPr>
        <w:pStyle w:val="3"/>
      </w:pPr>
      <w:r w:rsidRPr="001663AE">
        <w:rPr>
          <w:rFonts w:hint="eastAsia"/>
        </w:rPr>
        <w:t>二　受刑事控告之人，未經依法確定有罪以前，應假定其無罪。</w:t>
      </w:r>
    </w:p>
    <w:p w14:paraId="49B88D4C" w14:textId="77777777" w:rsidR="00CA23FA" w:rsidRPr="001663AE" w:rsidRDefault="00CA23FA" w:rsidP="00D87D91">
      <w:pPr>
        <w:pStyle w:val="3"/>
      </w:pPr>
      <w:r w:rsidRPr="001663AE">
        <w:rPr>
          <w:rFonts w:hint="eastAsia"/>
        </w:rPr>
        <w:t>三　審判被控刑事罪時，被告一律有權平等享受下列最低限度之保障：</w:t>
      </w:r>
    </w:p>
    <w:p w14:paraId="48117792" w14:textId="77777777" w:rsidR="00CA23FA" w:rsidRPr="001663AE" w:rsidRDefault="00CA23FA" w:rsidP="00D87D91">
      <w:pPr>
        <w:pStyle w:val="3"/>
      </w:pPr>
      <w:r w:rsidRPr="001663AE">
        <w:rPr>
          <w:rFonts w:hint="eastAsia"/>
        </w:rPr>
        <w:t xml:space="preserve">　</w:t>
      </w:r>
      <w:r>
        <w:t>(</w:t>
      </w:r>
      <w:r w:rsidRPr="001663AE">
        <w:rPr>
          <w:rFonts w:hint="eastAsia"/>
        </w:rPr>
        <w:t>一</w:t>
      </w:r>
      <w:r w:rsidRPr="001663AE">
        <w:t xml:space="preserve">) </w:t>
      </w:r>
      <w:r w:rsidRPr="001663AE">
        <w:rPr>
          <w:rFonts w:hint="eastAsia"/>
        </w:rPr>
        <w:t>迅即以其通曉之語言，詳細告知被控罪名及案由；</w:t>
      </w:r>
    </w:p>
    <w:p w14:paraId="61250982" w14:textId="77777777" w:rsidR="00CA23FA" w:rsidRPr="001663AE" w:rsidRDefault="00CA23FA" w:rsidP="00D87D91">
      <w:pPr>
        <w:pStyle w:val="3"/>
      </w:pPr>
      <w:r w:rsidRPr="001663AE">
        <w:rPr>
          <w:rFonts w:hint="eastAsia"/>
        </w:rPr>
        <w:t xml:space="preserve">　</w:t>
      </w:r>
      <w:r>
        <w:t>(</w:t>
      </w:r>
      <w:r w:rsidRPr="001663AE">
        <w:rPr>
          <w:rFonts w:hint="eastAsia"/>
        </w:rPr>
        <w:t>二</w:t>
      </w:r>
      <w:r w:rsidRPr="001663AE">
        <w:t xml:space="preserve">) </w:t>
      </w:r>
      <w:r w:rsidRPr="001663AE">
        <w:rPr>
          <w:rFonts w:hint="eastAsia"/>
        </w:rPr>
        <w:t>給予充分之時間及便利，準備答辯並與其選任之辯護人聯絡；</w:t>
      </w:r>
    </w:p>
    <w:p w14:paraId="64EAA886" w14:textId="77777777" w:rsidR="00CA23FA" w:rsidRPr="001663AE" w:rsidRDefault="00CA23FA" w:rsidP="00D87D91">
      <w:pPr>
        <w:pStyle w:val="3"/>
      </w:pPr>
      <w:r w:rsidRPr="001663AE">
        <w:rPr>
          <w:rFonts w:hint="eastAsia"/>
        </w:rPr>
        <w:t xml:space="preserve">　</w:t>
      </w:r>
      <w:r>
        <w:t>(</w:t>
      </w:r>
      <w:r w:rsidRPr="001663AE">
        <w:rPr>
          <w:rFonts w:hint="eastAsia"/>
        </w:rPr>
        <w:t>三</w:t>
      </w:r>
      <w:r w:rsidRPr="001663AE">
        <w:t xml:space="preserve">) </w:t>
      </w:r>
      <w:r w:rsidRPr="001663AE">
        <w:rPr>
          <w:rFonts w:hint="eastAsia"/>
        </w:rPr>
        <w:t>立即受審，不得無故稽延；</w:t>
      </w:r>
      <w:r w:rsidRPr="001663AE">
        <w:t xml:space="preserve"> </w:t>
      </w:r>
    </w:p>
    <w:p w14:paraId="195016E4" w14:textId="77777777" w:rsidR="00CA23FA" w:rsidRPr="001663AE" w:rsidRDefault="00CA23FA" w:rsidP="00D87D91">
      <w:pPr>
        <w:pStyle w:val="3"/>
      </w:pPr>
      <w:r w:rsidRPr="001663AE">
        <w:rPr>
          <w:rFonts w:hint="eastAsia"/>
        </w:rPr>
        <w:t xml:space="preserve">　</w:t>
      </w:r>
      <w:r>
        <w:t>(</w:t>
      </w:r>
      <w:r w:rsidRPr="001663AE">
        <w:rPr>
          <w:rFonts w:hint="eastAsia"/>
        </w:rPr>
        <w:t>四</w:t>
      </w:r>
      <w:r w:rsidRPr="001663AE">
        <w:t xml:space="preserve">) </w:t>
      </w:r>
      <w:r w:rsidRPr="001663AE">
        <w:rPr>
          <w:rFonts w:hint="eastAsia"/>
        </w:rPr>
        <w:t>到庭受審，及親自答辯或由其選任辯護人答辯；未經選任辯護人者，應告以有此權利；法院認為審判有此必要時，應為其指定公設辯護人，如被告無資力酬償，得免付之；</w:t>
      </w:r>
    </w:p>
    <w:p w14:paraId="308AE61F" w14:textId="77777777" w:rsidR="00CA23FA" w:rsidRPr="001663AE" w:rsidRDefault="00CA23FA" w:rsidP="00D87D91">
      <w:pPr>
        <w:pStyle w:val="3"/>
      </w:pPr>
      <w:r w:rsidRPr="001663AE">
        <w:rPr>
          <w:rFonts w:hint="eastAsia"/>
        </w:rPr>
        <w:t xml:space="preserve">　</w:t>
      </w:r>
      <w:r>
        <w:t>(</w:t>
      </w:r>
      <w:r w:rsidRPr="001663AE">
        <w:rPr>
          <w:rFonts w:hint="eastAsia"/>
        </w:rPr>
        <w:t>五</w:t>
      </w:r>
      <w:r w:rsidRPr="001663AE">
        <w:t xml:space="preserve">) </w:t>
      </w:r>
      <w:r w:rsidRPr="001663AE">
        <w:rPr>
          <w:rFonts w:hint="eastAsia"/>
        </w:rPr>
        <w:t>得親自或間接詰問他造證人，並得聲請法院傳喚其證人在與他造證人同等條件下出庭作證；</w:t>
      </w:r>
    </w:p>
    <w:p w14:paraId="5BAAFD11" w14:textId="77777777" w:rsidR="00CA23FA" w:rsidRPr="001663AE" w:rsidRDefault="00CA23FA" w:rsidP="00D87D91">
      <w:pPr>
        <w:pStyle w:val="3"/>
      </w:pPr>
      <w:r w:rsidRPr="001663AE">
        <w:rPr>
          <w:rFonts w:hint="eastAsia"/>
        </w:rPr>
        <w:t xml:space="preserve">　</w:t>
      </w:r>
      <w:r>
        <w:t>(</w:t>
      </w:r>
      <w:r w:rsidRPr="001663AE">
        <w:rPr>
          <w:rFonts w:hint="eastAsia"/>
        </w:rPr>
        <w:t>六</w:t>
      </w:r>
      <w:r w:rsidRPr="001663AE">
        <w:t xml:space="preserve">) </w:t>
      </w:r>
      <w:r w:rsidRPr="001663AE">
        <w:rPr>
          <w:rFonts w:hint="eastAsia"/>
        </w:rPr>
        <w:t>如不通曉或不能使用法院所用之語言，應免費為備通譯協助之；</w:t>
      </w:r>
    </w:p>
    <w:p w14:paraId="49BB4BCB" w14:textId="77777777" w:rsidR="00CA23FA" w:rsidRPr="001663AE" w:rsidRDefault="00CA23FA" w:rsidP="00D87D91">
      <w:pPr>
        <w:pStyle w:val="3"/>
      </w:pPr>
      <w:r w:rsidRPr="001663AE">
        <w:rPr>
          <w:rFonts w:hint="eastAsia"/>
        </w:rPr>
        <w:t xml:space="preserve">　</w:t>
      </w:r>
      <w:r>
        <w:t>(</w:t>
      </w:r>
      <w:r w:rsidRPr="001663AE">
        <w:rPr>
          <w:rFonts w:hint="eastAsia"/>
        </w:rPr>
        <w:t>七</w:t>
      </w:r>
      <w:r w:rsidRPr="001663AE">
        <w:t xml:space="preserve">) </w:t>
      </w:r>
      <w:r w:rsidRPr="001663AE">
        <w:rPr>
          <w:rFonts w:hint="eastAsia"/>
        </w:rPr>
        <w:t>不得強迫被告自供或認罪。</w:t>
      </w:r>
    </w:p>
    <w:p w14:paraId="315783B0" w14:textId="77777777" w:rsidR="00CA23FA" w:rsidRPr="001663AE" w:rsidRDefault="00CA23FA" w:rsidP="00D87D91">
      <w:pPr>
        <w:pStyle w:val="3"/>
      </w:pPr>
      <w:r w:rsidRPr="001663AE">
        <w:rPr>
          <w:rFonts w:hint="eastAsia"/>
        </w:rPr>
        <w:t>四　少年犯罪之審判，應顧念被告年齡及宜使其重適社會生活，而酌定程序。</w:t>
      </w:r>
    </w:p>
    <w:p w14:paraId="0563C1B8" w14:textId="77777777" w:rsidR="00CA23FA" w:rsidRPr="001663AE" w:rsidRDefault="00CA23FA" w:rsidP="00D87D91">
      <w:pPr>
        <w:pStyle w:val="3"/>
      </w:pPr>
      <w:r w:rsidRPr="001663AE">
        <w:rPr>
          <w:rFonts w:hint="eastAsia"/>
        </w:rPr>
        <w:t>五　經判定犯罪者，有權聲請上級法院依法覆判其有罪判決及所科刑罰。</w:t>
      </w:r>
    </w:p>
    <w:p w14:paraId="5F0B6DF5" w14:textId="77777777" w:rsidR="00CA23FA" w:rsidRPr="001663AE" w:rsidRDefault="00CA23FA" w:rsidP="00D87D91">
      <w:pPr>
        <w:pStyle w:val="3"/>
      </w:pPr>
      <w:r w:rsidRPr="001663AE">
        <w:rPr>
          <w:rFonts w:hint="eastAsia"/>
        </w:rPr>
        <w:t>六　經終局判決判定犯罪，如後因提出新證據或因發見新證據，確實證明原判錯誤而經撤銷原判或免刑者，除經證明有關證據之未能及時披露，應由其本人全部或局部負責者外，因此判決而服刑之人應依法受損害賠償。</w:t>
      </w:r>
      <w:r w:rsidRPr="001663AE">
        <w:t xml:space="preserve"> </w:t>
      </w:r>
      <w:r w:rsidRPr="001663AE">
        <w:rPr>
          <w:rFonts w:hint="eastAsia"/>
        </w:rPr>
        <w:t xml:space="preserve">　</w:t>
      </w:r>
    </w:p>
    <w:p w14:paraId="54864018" w14:textId="77777777" w:rsidR="00CA23FA" w:rsidRPr="001663AE" w:rsidRDefault="00CA23FA" w:rsidP="00D87D91">
      <w:pPr>
        <w:pStyle w:val="3"/>
      </w:pPr>
      <w:r w:rsidRPr="001663AE">
        <w:rPr>
          <w:rFonts w:hint="eastAsia"/>
        </w:rPr>
        <w:t>七　任何人依一國法律及刑事程序經終局判決判定有罪或無罪開釋者，不得就同一罪名再予審判或科刑。</w:t>
      </w:r>
    </w:p>
    <w:p w14:paraId="3D55CEBB" w14:textId="77777777" w:rsidR="00CA23FA" w:rsidRPr="001663AE" w:rsidRDefault="00CA23FA" w:rsidP="00D87D91">
      <w:pPr>
        <w:pStyle w:val="af1"/>
      </w:pPr>
    </w:p>
  </w:footnote>
  <w:footnote w:id="779">
    <w:p w14:paraId="1FE8B8FF"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0">
    <w:p w14:paraId="3E0DD90A"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1">
    <w:p w14:paraId="344C3CA2" w14:textId="77777777" w:rsidR="00CA23FA" w:rsidRPr="001663AE" w:rsidRDefault="00CA23FA" w:rsidP="005D3252">
      <w:pPr>
        <w:pStyle w:val="3"/>
        <w:jc w:val="left"/>
      </w:pPr>
      <w:r w:rsidRPr="001663AE">
        <w:rPr>
          <w:rStyle w:val="af3"/>
          <w:rFonts w:ascii="新細明體" w:hAnsi="新細明體"/>
        </w:rPr>
        <w:footnoteRef/>
      </w:r>
      <w:r w:rsidRPr="001663AE">
        <w:t xml:space="preserve"> Ahani</w:t>
      </w:r>
      <w:r w:rsidRPr="001663AE">
        <w:rPr>
          <w:rFonts w:hint="eastAsia"/>
        </w:rPr>
        <w:t>持續被收容至驅逐回伊朗為止，前後被加拿大收容</w:t>
      </w:r>
      <w:r w:rsidRPr="001663AE">
        <w:t>9</w:t>
      </w:r>
      <w:r w:rsidRPr="001663AE">
        <w:rPr>
          <w:rFonts w:hint="eastAsia"/>
        </w:rPr>
        <w:t>年。</w:t>
      </w:r>
    </w:p>
  </w:footnote>
  <w:footnote w:id="782">
    <w:p w14:paraId="6BBEF12F"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3">
    <w:p w14:paraId="17378C37"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4">
    <w:p w14:paraId="490AE270"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5">
    <w:p w14:paraId="419DAEF7"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6">
    <w:p w14:paraId="594E101F"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第五條</w:t>
      </w:r>
    </w:p>
    <w:p w14:paraId="22CD5FA9" w14:textId="77777777" w:rsidR="00CA23FA" w:rsidRPr="001663AE" w:rsidRDefault="00CA23FA" w:rsidP="00D87D91">
      <w:pPr>
        <w:pStyle w:val="3"/>
      </w:pPr>
      <w:r w:rsidRPr="001663AE">
        <w:t xml:space="preserve">1. </w:t>
      </w:r>
      <w:r w:rsidRPr="001663AE">
        <w:rPr>
          <w:rFonts w:hint="eastAsia"/>
        </w:rPr>
        <w:t>委員會應參照該個人及關係締約國所提出的一切書面資料，審查根據本議定書所收到的來文。</w:t>
      </w:r>
      <w:r w:rsidRPr="001663AE">
        <w:t xml:space="preserve"> </w:t>
      </w:r>
    </w:p>
    <w:p w14:paraId="3BDBAD89" w14:textId="77777777" w:rsidR="00CA23FA" w:rsidRPr="001663AE" w:rsidRDefault="00CA23FA" w:rsidP="00D87D91">
      <w:pPr>
        <w:pStyle w:val="3"/>
      </w:pPr>
      <w:r w:rsidRPr="001663AE">
        <w:t xml:space="preserve">2. </w:t>
      </w:r>
      <w:r w:rsidRPr="001663AE">
        <w:rPr>
          <w:rFonts w:hint="eastAsia"/>
        </w:rPr>
        <w:t>委員會不得審查任何個人來文，除非已斷定：</w:t>
      </w:r>
    </w:p>
    <w:p w14:paraId="759D441F" w14:textId="77777777" w:rsidR="00CA23FA" w:rsidRPr="001663AE" w:rsidRDefault="00CA23FA" w:rsidP="00D87D91">
      <w:pPr>
        <w:pStyle w:val="3"/>
      </w:pPr>
      <w:r w:rsidRPr="001663AE">
        <w:t xml:space="preserve">(1) </w:t>
      </w:r>
      <w:r w:rsidRPr="001663AE">
        <w:rPr>
          <w:rFonts w:hint="eastAsia"/>
        </w:rPr>
        <w:t>同一事件不在另一國際調查或解決程序審查之中；</w:t>
      </w:r>
      <w:r w:rsidRPr="001663AE">
        <w:t xml:space="preserve"> </w:t>
      </w:r>
    </w:p>
    <w:p w14:paraId="2D4B53EC" w14:textId="77777777" w:rsidR="00CA23FA" w:rsidRPr="001663AE" w:rsidRDefault="00CA23FA" w:rsidP="00D87D91">
      <w:pPr>
        <w:pStyle w:val="3"/>
      </w:pPr>
      <w:r w:rsidRPr="001663AE">
        <w:t xml:space="preserve">(2) </w:t>
      </w:r>
      <w:r w:rsidRPr="001663AE">
        <w:rPr>
          <w:rFonts w:hint="eastAsia"/>
        </w:rPr>
        <w:t>該個人對可以運用的國內補救辦法悉已援用無遺。但如補救辦法的實施有不合理的拖延，則不在此限。</w:t>
      </w:r>
    </w:p>
    <w:p w14:paraId="3DDF458C" w14:textId="77777777" w:rsidR="00CA23FA" w:rsidRPr="001663AE" w:rsidRDefault="00CA23FA" w:rsidP="00D87D91">
      <w:pPr>
        <w:pStyle w:val="3"/>
      </w:pPr>
      <w:r w:rsidRPr="001663AE">
        <w:t xml:space="preserve">3. </w:t>
      </w:r>
      <w:r w:rsidRPr="001663AE">
        <w:rPr>
          <w:rFonts w:hint="eastAsia"/>
        </w:rPr>
        <w:t>委員會審查本議定書所稱的來文，應舉行不公開會議。</w:t>
      </w:r>
      <w:r w:rsidRPr="001663AE">
        <w:t xml:space="preserve"> </w:t>
      </w:r>
    </w:p>
    <w:p w14:paraId="397BEA45" w14:textId="77777777" w:rsidR="00CA23FA" w:rsidRPr="001663AE" w:rsidRDefault="00CA23FA" w:rsidP="00D87D91">
      <w:pPr>
        <w:pStyle w:val="3"/>
      </w:pPr>
      <w:r w:rsidRPr="001663AE">
        <w:t xml:space="preserve">4. </w:t>
      </w:r>
      <w:r w:rsidRPr="001663AE">
        <w:rPr>
          <w:rFonts w:hint="eastAsia"/>
        </w:rPr>
        <w:t>委員會應向關係締約國及該個人提出其意見。</w:t>
      </w:r>
    </w:p>
  </w:footnote>
  <w:footnote w:id="787">
    <w:p w14:paraId="61D72DCF"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8">
    <w:p w14:paraId="170548C0"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9">
    <w:p w14:paraId="40C4AC77"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0">
    <w:p w14:paraId="54192C58"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1">
    <w:p w14:paraId="64C70103" w14:textId="77777777"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2">
    <w:p w14:paraId="417EB026" w14:textId="77777777" w:rsidR="00CA23FA" w:rsidRPr="001663AE" w:rsidRDefault="00CA23FA" w:rsidP="00746C75">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3">
    <w:p w14:paraId="34387666" w14:textId="77777777" w:rsidR="00CA23FA" w:rsidRPr="001663AE" w:rsidRDefault="00CA23FA" w:rsidP="00D87D91">
      <w:pPr>
        <w:pStyle w:val="3"/>
      </w:pPr>
      <w:r w:rsidRPr="001663AE">
        <w:rPr>
          <w:rStyle w:val="af3"/>
          <w:rFonts w:ascii="新細明體" w:hAnsi="新細明體"/>
        </w:rPr>
        <w:footnoteRef/>
      </w:r>
      <w:r w:rsidRPr="001663AE">
        <w:t xml:space="preserve"> ICCPR §2</w:t>
      </w:r>
      <w:r>
        <w:t>(</w:t>
      </w:r>
      <w:r w:rsidRPr="001663AE">
        <w:t>3)</w:t>
      </w:r>
      <w:r>
        <w:t>(</w:t>
      </w:r>
      <w:r w:rsidRPr="001663AE">
        <w:t xml:space="preserve">a). </w:t>
      </w:r>
    </w:p>
  </w:footnote>
  <w:footnote w:id="794">
    <w:p w14:paraId="752303AA" w14:textId="77777777" w:rsidR="00CA23FA" w:rsidRPr="001663AE" w:rsidRDefault="00CA23FA" w:rsidP="00017547">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5">
    <w:p w14:paraId="5B507E14" w14:textId="77777777" w:rsidR="00CA23FA" w:rsidRPr="001663AE" w:rsidRDefault="00CA23FA" w:rsidP="00017547">
      <w:pPr>
        <w:pStyle w:val="3"/>
        <w:jc w:val="left"/>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w:t>
      </w:r>
      <w:r w:rsidRPr="001663AE">
        <w:rPr>
          <w:rFonts w:hint="eastAsia"/>
        </w:rPr>
        <w:t>「公民權利和政治權利國際公約」與「經濟、社會、文化權利國際公約」</w:t>
      </w:r>
      <w:r w:rsidRPr="001663AE">
        <w:rPr>
          <w:rFonts w:cs="TT20o00" w:hint="eastAsia"/>
          <w:kern w:val="0"/>
        </w:rPr>
        <w:t>及其批准與施行的背景，</w:t>
      </w:r>
      <w:r w:rsidRPr="001663AE">
        <w:rPr>
          <w:rStyle w:val="url"/>
          <w:rFonts w:ascii="新細明體" w:hAnsi="新細明體"/>
          <w:szCs w:val="20"/>
        </w:rPr>
        <w:t xml:space="preserve"> </w:t>
      </w:r>
      <w:hyperlink r:id="rId201" w:history="1">
        <w:r w:rsidRPr="001663AE">
          <w:rPr>
            <w:rStyle w:val="a5"/>
            <w:szCs w:val="20"/>
          </w:rPr>
          <w:t>www.tahr.org.tw/files/newsletter</w:t>
        </w:r>
      </w:hyperlink>
      <w:r w:rsidRPr="001663AE">
        <w:rPr>
          <w:rStyle w:val="url"/>
          <w:rFonts w:ascii="新細明體" w:hAnsi="新細明體" w:hint="eastAsia"/>
          <w:szCs w:val="20"/>
        </w:rPr>
        <w:t>。</w:t>
      </w:r>
      <w:r w:rsidRPr="001663AE">
        <w:t xml:space="preserve"> </w:t>
      </w:r>
    </w:p>
  </w:footnote>
  <w:footnote w:id="796">
    <w:p w14:paraId="3A019FB4" w14:textId="77777777" w:rsidR="00CA23FA" w:rsidRPr="001663AE" w:rsidRDefault="00CA23FA" w:rsidP="00017547">
      <w:pPr>
        <w:pStyle w:val="3"/>
        <w:jc w:val="left"/>
      </w:pPr>
      <w:r w:rsidRPr="001663AE">
        <w:rPr>
          <w:rStyle w:val="af3"/>
          <w:rFonts w:ascii="新細明體" w:hAnsi="新細明體"/>
        </w:rPr>
        <w:footnoteRef/>
      </w:r>
      <w:r w:rsidRPr="001663AE">
        <w:rPr>
          <w:rFonts w:cs="TT21o00" w:hint="eastAsia"/>
          <w:kern w:val="0"/>
        </w:rPr>
        <w:t>邱晃泉，</w:t>
      </w:r>
      <w:r w:rsidRPr="001663AE">
        <w:rPr>
          <w:rStyle w:val="url"/>
          <w:rFonts w:ascii="新細明體" w:hAnsi="新細明體"/>
        </w:rPr>
        <w:t>2010</w:t>
      </w:r>
      <w:r w:rsidRPr="001663AE">
        <w:rPr>
          <w:rStyle w:val="url"/>
          <w:rFonts w:ascii="新細明體" w:hAnsi="新細明體" w:hint="eastAsia"/>
        </w:rPr>
        <w:t>年，同上註</w:t>
      </w:r>
      <w:r w:rsidRPr="001663AE">
        <w:rPr>
          <w:rFonts w:cs="TT21o00" w:hint="eastAsia"/>
          <w:kern w:val="0"/>
        </w:rPr>
        <w:t>。</w:t>
      </w:r>
    </w:p>
  </w:footnote>
  <w:footnote w:id="797">
    <w:p w14:paraId="6B589F72" w14:textId="77777777" w:rsidR="00CA23FA" w:rsidRPr="001663AE" w:rsidRDefault="00CA23FA" w:rsidP="00017547">
      <w:pPr>
        <w:pStyle w:val="3"/>
        <w:jc w:val="left"/>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年，同上註</w:t>
      </w:r>
      <w:r w:rsidRPr="001663AE">
        <w:rPr>
          <w:rFonts w:cs="TT21o00" w:hint="eastAsia"/>
          <w:kern w:val="0"/>
        </w:rPr>
        <w:t>。</w:t>
      </w:r>
      <w:r w:rsidRPr="001663AE">
        <w:t xml:space="preserve"> </w:t>
      </w:r>
    </w:p>
  </w:footnote>
  <w:footnote w:id="798">
    <w:p w14:paraId="41E9B733" w14:textId="77777777" w:rsidR="00CA23FA" w:rsidRPr="001663AE" w:rsidRDefault="00CA23FA" w:rsidP="00017547">
      <w:pPr>
        <w:pStyle w:val="3"/>
        <w:jc w:val="left"/>
      </w:pPr>
      <w:r w:rsidRPr="001663AE">
        <w:rPr>
          <w:rStyle w:val="af3"/>
          <w:rFonts w:ascii="新細明體" w:hAnsi="新細明體"/>
          <w:szCs w:val="20"/>
        </w:rPr>
        <w:footnoteRef/>
      </w:r>
      <w:r w:rsidRPr="001663AE">
        <w:rPr>
          <w:rFonts w:hint="eastAsia"/>
        </w:rPr>
        <w:t>陳隆志，</w:t>
      </w:r>
      <w:r w:rsidRPr="001663AE">
        <w:t xml:space="preserve"> 2006</w:t>
      </w:r>
      <w:r w:rsidRPr="001663AE">
        <w:rPr>
          <w:rFonts w:hint="eastAsia"/>
        </w:rPr>
        <w:t>年，台灣廣場</w:t>
      </w:r>
      <w:r>
        <w:t>〜</w:t>
      </w:r>
      <w:r w:rsidRPr="001663AE">
        <w:rPr>
          <w:rStyle w:val="url"/>
          <w:rFonts w:ascii="新細明體" w:hAnsi="新細明體" w:cs="新細明體" w:hint="eastAsia"/>
          <w:kern w:val="0"/>
          <w:szCs w:val="20"/>
        </w:rPr>
        <w:t>聯合國人權事務委員會</w:t>
      </w:r>
      <w:r w:rsidRPr="001663AE">
        <w:rPr>
          <w:rFonts w:hint="eastAsia"/>
        </w:rPr>
        <w:t>，</w:t>
      </w:r>
      <w:r w:rsidRPr="001663AE">
        <w:rPr>
          <w:rStyle w:val="url"/>
          <w:rFonts w:ascii="新細明體" w:hAnsi="新細明體"/>
          <w:szCs w:val="20"/>
        </w:rPr>
        <w:t>www.taiwanncf.org.tw/media/tforum/</w:t>
      </w:r>
      <w:r w:rsidRPr="001663AE">
        <w:rPr>
          <w:rFonts w:hint="eastAsia"/>
        </w:rPr>
        <w:t>。瀏覽日期</w:t>
      </w:r>
      <w:r w:rsidRPr="001663AE">
        <w:t>2013</w:t>
      </w:r>
      <w:r w:rsidRPr="001663AE">
        <w:rPr>
          <w:rFonts w:hint="eastAsia"/>
        </w:rPr>
        <w:t>年</w:t>
      </w:r>
      <w:r w:rsidRPr="001663AE">
        <w:t>4</w:t>
      </w:r>
      <w:r w:rsidRPr="001663AE">
        <w:rPr>
          <w:rFonts w:hint="eastAsia"/>
        </w:rPr>
        <w:t>月。</w:t>
      </w:r>
    </w:p>
  </w:footnote>
  <w:footnote w:id="799">
    <w:p w14:paraId="3E25F0D3" w14:textId="77777777" w:rsidR="00CA23FA" w:rsidRPr="001663AE" w:rsidRDefault="00CA23FA" w:rsidP="00D87D91">
      <w:pPr>
        <w:pStyle w:val="3"/>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年，同前註</w:t>
      </w:r>
      <w:r w:rsidRPr="001663AE">
        <w:rPr>
          <w:rFonts w:cs="TT21o00" w:hint="eastAsia"/>
          <w:kern w:val="0"/>
        </w:rPr>
        <w:t>。</w:t>
      </w:r>
      <w:r w:rsidRPr="001663AE">
        <w:rPr>
          <w:rFonts w:cs="TT20o00"/>
          <w:kern w:val="0"/>
        </w:rPr>
        <w:t xml:space="preserve"> </w:t>
      </w:r>
    </w:p>
  </w:footnote>
  <w:footnote w:id="800">
    <w:p w14:paraId="5094AB90" w14:textId="77777777" w:rsidR="00CA23FA" w:rsidRPr="001663AE" w:rsidRDefault="00CA23FA" w:rsidP="00D87D91">
      <w:pPr>
        <w:pStyle w:val="3"/>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年，同上註</w:t>
      </w:r>
      <w:r w:rsidRPr="001663AE">
        <w:rPr>
          <w:rFonts w:cs="TT21o00" w:hint="eastAsia"/>
          <w:kern w:val="0"/>
        </w:rPr>
        <w:t>。</w:t>
      </w:r>
    </w:p>
  </w:footnote>
  <w:footnote w:id="801">
    <w:p w14:paraId="72869624" w14:textId="77777777" w:rsidR="00CA23FA" w:rsidRPr="001663AE" w:rsidRDefault="00CA23FA" w:rsidP="00D87D91">
      <w:pPr>
        <w:pStyle w:val="3"/>
        <w:rPr>
          <w:rFonts w:cs="新細明體"/>
          <w:kern w:val="0"/>
        </w:rPr>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年，同上註</w:t>
      </w:r>
      <w:r w:rsidRPr="001663AE">
        <w:rPr>
          <w:rFonts w:cs="TT21o00" w:hint="eastAsia"/>
          <w:kern w:val="0"/>
        </w:rPr>
        <w:t>。</w:t>
      </w:r>
      <w:r w:rsidRPr="001663AE">
        <w:rPr>
          <w:rFonts w:cs="TT20o00"/>
          <w:kern w:val="0"/>
        </w:rPr>
        <w:t xml:space="preserve"> </w:t>
      </w:r>
    </w:p>
  </w:footnote>
  <w:footnote w:id="802">
    <w:p w14:paraId="303AD352" w14:textId="77777777" w:rsidR="00CA23FA" w:rsidRPr="001663AE" w:rsidRDefault="00CA23FA" w:rsidP="00D87D91">
      <w:pPr>
        <w:pStyle w:val="3"/>
      </w:pPr>
      <w:r w:rsidRPr="001663AE">
        <w:rPr>
          <w:rStyle w:val="af3"/>
          <w:rFonts w:ascii="新細明體" w:hAnsi="新細明體"/>
          <w:szCs w:val="20"/>
        </w:rPr>
        <w:footnoteRef/>
      </w:r>
      <w:r w:rsidRPr="001663AE">
        <w:rPr>
          <w:rFonts w:cs="新細明體" w:hint="eastAsia"/>
          <w:kern w:val="0"/>
          <w:lang w:bidi="bn-IN"/>
        </w:rPr>
        <w:t>張文貞，</w:t>
      </w:r>
      <w:r w:rsidRPr="001663AE">
        <w:rPr>
          <w:rFonts w:cs="新細明體"/>
          <w:kern w:val="0"/>
          <w:lang w:bidi="bn-IN"/>
        </w:rPr>
        <w:t>2009</w:t>
      </w:r>
      <w:r w:rsidRPr="001663AE">
        <w:rPr>
          <w:rFonts w:cs="新細明體" w:hint="eastAsia"/>
          <w:kern w:val="0"/>
          <w:lang w:bidi="bn-IN"/>
        </w:rPr>
        <w:t>年，</w:t>
      </w:r>
      <w:r w:rsidRPr="001663AE">
        <w:rPr>
          <w:rFonts w:hint="eastAsia"/>
        </w:rPr>
        <w:t>公民與政治權利國際公約概論，</w:t>
      </w:r>
      <w:r w:rsidRPr="001663AE">
        <w:rPr>
          <w:rFonts w:cs="新細明體" w:hint="eastAsia"/>
          <w:kern w:val="0"/>
          <w:lang w:bidi="bn-IN"/>
        </w:rPr>
        <w:t>「人權公約與公民倡議系列工作坊」演講摘要，</w:t>
      </w:r>
      <w:r w:rsidRPr="001663AE">
        <w:t>http://www.amnesty.tw/?p=939</w:t>
      </w:r>
      <w:r w:rsidRPr="001663AE">
        <w:rPr>
          <w:rFonts w:hint="eastAsia"/>
        </w:rPr>
        <w:t>。</w:t>
      </w:r>
    </w:p>
  </w:footnote>
  <w:footnote w:id="803">
    <w:p w14:paraId="5BC9CE86" w14:textId="77777777" w:rsidR="00CA23FA" w:rsidRPr="001663AE" w:rsidRDefault="00CA23FA" w:rsidP="00D87D91">
      <w:pPr>
        <w:pStyle w:val="3"/>
      </w:pPr>
      <w:r w:rsidRPr="001663AE">
        <w:rPr>
          <w:rStyle w:val="af3"/>
          <w:rFonts w:ascii="新細明體" w:hAnsi="新細明體"/>
        </w:rPr>
        <w:footnoteRef/>
      </w:r>
      <w:r w:rsidRPr="001663AE">
        <w:rPr>
          <w:rFonts w:cs="新細明體" w:hint="eastAsia"/>
          <w:kern w:val="0"/>
          <w:lang w:bidi="bn-IN"/>
        </w:rPr>
        <w:t>入出國及移民</w:t>
      </w:r>
      <w:r w:rsidRPr="001663AE">
        <w:rPr>
          <w:rFonts w:cs="穝灿砰-WinCharSetFFFF-H2" w:hint="eastAsia"/>
        </w:rPr>
        <w:t>法第</w:t>
      </w:r>
      <w:r w:rsidRPr="001663AE">
        <w:rPr>
          <w:rFonts w:cs="穝灿砰-WinCharSetFFFF-H2"/>
        </w:rPr>
        <w:t>38</w:t>
      </w:r>
      <w:r w:rsidRPr="001663AE">
        <w:rPr>
          <w:rFonts w:cs="穝灿砰-WinCharSetFFFF-H2" w:hint="eastAsia"/>
        </w:rPr>
        <w:t>條規定，「外國人有下列情形之一，非予收容，顯難強制驅逐出國者，入出國及移民署得暫予收容：一、受驅逐出國處分或限令七日內出國仍未離境。二、未經許可入國。三、逾期停留、居留。四、受外國政府通緝。</w:t>
      </w:r>
      <w:r w:rsidRPr="001663AE">
        <w:rPr>
          <w:rFonts w:hint="eastAsia"/>
        </w:rPr>
        <w:t>前項收容以六十日為限，收容期間屆滿，入出國及移民署在事實上認有繼續收容之必要，得延長收容六十日，以一次為限。但受收容人所持護照或旅行檔遺失或失效，尚未能換發、補發或延期者，得延長收容至有效證件備齊後三十日止。」。</w:t>
      </w:r>
    </w:p>
  </w:footnote>
  <w:footnote w:id="804">
    <w:p w14:paraId="6804CD6F" w14:textId="77777777" w:rsidR="00CA23FA" w:rsidRPr="00240BD8" w:rsidRDefault="00CA23FA" w:rsidP="00D87D91">
      <w:pPr>
        <w:pStyle w:val="3"/>
      </w:pPr>
      <w:r w:rsidRPr="00240BD8">
        <w:rPr>
          <w:rStyle w:val="af3"/>
          <w:bCs w:val="0"/>
          <w:szCs w:val="20"/>
        </w:rPr>
        <w:footnoteRef/>
      </w:r>
      <w:r w:rsidRPr="00240BD8">
        <w:rPr>
          <w:rFonts w:hint="eastAsia"/>
        </w:rPr>
        <w:t>廖元豪，全球化趨勢中婚姻移民之人權保障</w:t>
      </w:r>
      <w:r w:rsidRPr="00240BD8">
        <w:t>—</w:t>
      </w:r>
      <w:r w:rsidRPr="00240BD8">
        <w:rPr>
          <w:rFonts w:hint="eastAsia"/>
        </w:rPr>
        <w:t>全球化、台灣新國族主義、人權論述的關係，</w:t>
      </w:r>
      <w:hyperlink r:id="rId202" w:history="1">
        <w:r w:rsidRPr="00240BD8">
          <w:rPr>
            <w:rStyle w:val="a5"/>
            <w:rFonts w:ascii="Arial Unicode MS" w:hAnsi="Arial Unicode MS"/>
            <w:bCs w:val="0"/>
            <w:sz w:val="18"/>
            <w:szCs w:val="20"/>
          </w:rPr>
          <w:t>www.ntpu.edu.tw/pa/news/94news/</w:t>
        </w:r>
        <w:r w:rsidRPr="00240BD8">
          <w:rPr>
            <w:rStyle w:val="a5"/>
            <w:rFonts w:ascii="MS Mincho" w:eastAsia="MS Mincho" w:hAnsi="MS Mincho" w:cs="MS Mincho" w:hint="eastAsia"/>
            <w:bCs w:val="0"/>
            <w:sz w:val="18"/>
            <w:szCs w:val="20"/>
          </w:rPr>
          <w:t>​</w:t>
        </w:r>
        <w:r w:rsidRPr="00240BD8">
          <w:rPr>
            <w:rStyle w:val="a5"/>
            <w:rFonts w:ascii="Arial Unicode MS" w:hAnsi="Arial Unicode MS"/>
            <w:bCs w:val="0"/>
            <w:sz w:val="18"/>
            <w:szCs w:val="20"/>
          </w:rPr>
          <w:t>attachment/950221/1-2</w:t>
        </w:r>
      </w:hyperlink>
      <w:r w:rsidRPr="00240BD8">
        <w:rPr>
          <w:rStyle w:val="url"/>
          <w:bCs w:val="0"/>
          <w:szCs w:val="20"/>
        </w:rPr>
        <w:t>.</w:t>
      </w:r>
      <w:r w:rsidRPr="00240BD8">
        <w:rPr>
          <w:rFonts w:hint="eastAsia"/>
        </w:rPr>
        <w:t>頁</w:t>
      </w:r>
      <w:r w:rsidRPr="00240BD8">
        <w:t>8-9</w:t>
      </w:r>
      <w:r w:rsidRPr="00240BD8">
        <w:rPr>
          <w:rFonts w:hint="eastAsia"/>
        </w:rPr>
        <w:t>。瀏覽日期</w:t>
      </w:r>
      <w:r w:rsidRPr="00240BD8">
        <w:t>2013</w:t>
      </w:r>
      <w:r w:rsidRPr="00240BD8">
        <w:rPr>
          <w:rFonts w:hint="eastAsia"/>
        </w:rPr>
        <w:t>年</w:t>
      </w:r>
      <w:r w:rsidRPr="00240BD8">
        <w:t>4</w:t>
      </w:r>
      <w:r w:rsidRPr="00240BD8">
        <w:rPr>
          <w:rFonts w:hint="eastAsia"/>
        </w:rPr>
        <w:t>月。</w:t>
      </w:r>
    </w:p>
  </w:footnote>
  <w:footnote w:id="805">
    <w:p w14:paraId="1B4A049A" w14:textId="77777777" w:rsidR="00CA23FA" w:rsidRPr="001663AE" w:rsidRDefault="00CA23FA" w:rsidP="00D87D91">
      <w:pPr>
        <w:pStyle w:val="3"/>
      </w:pPr>
      <w:r w:rsidRPr="00240BD8">
        <w:rPr>
          <w:rStyle w:val="af3"/>
          <w:bCs w:val="0"/>
          <w:szCs w:val="20"/>
        </w:rPr>
        <w:footnoteRef/>
      </w:r>
      <w:r w:rsidRPr="00240BD8">
        <w:rPr>
          <w:rFonts w:hint="eastAsia"/>
        </w:rPr>
        <w:t>廖元豪，全球化趨勢中婚姻移民之人權保障</w:t>
      </w:r>
      <w:r w:rsidRPr="00240BD8">
        <w:t>—</w:t>
      </w:r>
      <w:r w:rsidRPr="00240BD8">
        <w:rPr>
          <w:rFonts w:hint="eastAsia"/>
        </w:rPr>
        <w:t>全球化、台灣新國族主義、人權論述的關係</w:t>
      </w:r>
      <w:r w:rsidRPr="00240BD8">
        <w:t>(</w:t>
      </w:r>
      <w:r w:rsidRPr="00240BD8">
        <w:rPr>
          <w:rFonts w:hint="eastAsia"/>
        </w:rPr>
        <w:t>三</w:t>
      </w:r>
      <w:r w:rsidRPr="00240BD8">
        <w:t>)</w:t>
      </w:r>
      <w:r w:rsidRPr="00240BD8">
        <w:rPr>
          <w:rFonts w:hint="eastAsia"/>
        </w:rPr>
        <w:t>，台灣法律網，</w:t>
      </w:r>
      <w:hyperlink r:id="rId203" w:history="1">
        <w:r w:rsidRPr="00240BD8">
          <w:rPr>
            <w:rStyle w:val="a5"/>
            <w:rFonts w:ascii="Arial Unicode MS" w:hAnsi="Arial Unicode MS"/>
            <w:bCs w:val="0"/>
            <w:sz w:val="18"/>
            <w:szCs w:val="20"/>
          </w:rPr>
          <w:t>www.lawtw.com/</w:t>
        </w:r>
        <w:r w:rsidRPr="00240BD8">
          <w:rPr>
            <w:rStyle w:val="a5"/>
            <w:rFonts w:ascii="MS Mincho" w:eastAsia="MS Mincho" w:hAnsi="MS Mincho" w:cs="MS Mincho" w:hint="eastAsia"/>
            <w:bCs w:val="0"/>
            <w:sz w:val="18"/>
            <w:szCs w:val="20"/>
          </w:rPr>
          <w:t>​</w:t>
        </w:r>
        <w:r w:rsidRPr="00240BD8">
          <w:rPr>
            <w:rStyle w:val="a5"/>
            <w:rFonts w:ascii="Arial Unicode MS" w:hAnsi="Arial Unicode MS"/>
            <w:bCs w:val="0"/>
            <w:sz w:val="18"/>
            <w:szCs w:val="20"/>
          </w:rPr>
          <w:t>article.php?template=article</w:t>
        </w:r>
      </w:hyperlink>
      <w:r w:rsidRPr="00240BD8">
        <w:rPr>
          <w:rStyle w:val="url"/>
          <w:rFonts w:ascii="MS Mincho" w:eastAsia="MS Mincho" w:hAnsi="MS Mincho" w:cs="MS Mincho" w:hint="eastAsia"/>
          <w:bCs w:val="0"/>
          <w:szCs w:val="20"/>
        </w:rPr>
        <w:t>​</w:t>
      </w:r>
      <w:r w:rsidRPr="00240BD8">
        <w:rPr>
          <w:rStyle w:val="url"/>
          <w:bCs w:val="0"/>
          <w:szCs w:val="20"/>
        </w:rPr>
        <w:t>_content&amp;area=free</w:t>
      </w:r>
      <w:r w:rsidRPr="00240BD8">
        <w:rPr>
          <w:rFonts w:hint="eastAsia"/>
        </w:rPr>
        <w:t>。</w:t>
      </w:r>
      <w:r w:rsidRPr="001663AE">
        <w:rPr>
          <w:rFonts w:hint="eastAsia"/>
        </w:rPr>
        <w:t>瀏覽日期</w:t>
      </w:r>
      <w:r w:rsidRPr="001663AE">
        <w:t>2013</w:t>
      </w:r>
      <w:r w:rsidRPr="001663AE">
        <w:rPr>
          <w:rFonts w:hint="eastAsia"/>
        </w:rPr>
        <w:t>年</w:t>
      </w:r>
      <w:r w:rsidRPr="001663AE">
        <w:t>4</w:t>
      </w:r>
      <w:r w:rsidRPr="001663AE">
        <w:rPr>
          <w:rFonts w:hint="eastAsia"/>
        </w:rPr>
        <w:t>月。</w:t>
      </w:r>
    </w:p>
  </w:footnote>
  <w:footnote w:id="806">
    <w:p w14:paraId="019F434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公民權利和政治權利國際公約」第九條「一、人人有權享有人身自由和安全。任何人不得加以任意逮捕或拘禁。除非依照法律所確定的根據和程序，任何人不得被剝奪自由。二、任何被逮捕的人，在被逮捕時應被告知逮捕他的理由，並應被迅速告知對他提出的任何指控。三、任何因刑事指控被逮捕或拘禁的人，應被迅速帶見審判官或其他經法律授權行使司法權力的官員，並有權在合理的時間內受審判或被釋放。等候審判的人受監禁不應作為一般規則，但可規定釋放時應保證在司法程序的任何其他階段出席審判，並在必要時報到聽候執行判決。四、任何因逮捕或拘禁被剝奪自由的人，有資格向法庭提起訴訟，以便法庭能不拖延地決定拘禁他是否合法以及如果拘禁不合法時命令予以釋放」。</w:t>
      </w:r>
    </w:p>
  </w:footnote>
  <w:footnote w:id="807">
    <w:p w14:paraId="55E54253"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lang w:bidi="bn-IN"/>
        </w:rPr>
        <w:t>憲法第八條「人民身體之自由應予保障，除現行犯之逮捕由法律另定之，非經司法或警察機關依法定程序，不得逮捕拘禁。非由法院依法定程序，不得審問處罰，非依法定程序之逮捕、拘禁、審問、處罰，得拒絕之。人民因犯罪嫌疑被逮捕拘禁時，其逮捕拘禁機關應將逮捕拘禁原因，以書面告知本人及其本人指定之親友，並至遲於二十四小時內移送該管法院審問。本人或他人亦得聲請該管法院，於二十四小時內向逮捕之機關提審。法院對於前項聲請，不得拒絕，並不得先令逮捕拘禁之機關查覆。逮捕拘禁之機關，對於法院之提審，不得拒絕或遲延。人民遭受任何機關非法逮捕拘禁時，其本人或他人得向法院聲請追究，法院不得拒絕，並應於二十四小時內向逮捕拘禁之機關追究，依法處理」。</w:t>
      </w:r>
    </w:p>
  </w:footnote>
  <w:footnote w:id="808">
    <w:p w14:paraId="572E5F31"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廖元豪，</w:t>
      </w:r>
      <w:r w:rsidRPr="001663AE">
        <w:rPr>
          <w:rFonts w:cs="新細明體"/>
          <w:kern w:val="0"/>
          <w:lang w:bidi="bn-IN"/>
        </w:rPr>
        <w:t>2012</w:t>
      </w:r>
      <w:r w:rsidRPr="001663AE">
        <w:rPr>
          <w:rFonts w:cs="新細明體" w:hint="eastAsia"/>
          <w:kern w:val="0"/>
          <w:lang w:bidi="bn-IN"/>
        </w:rPr>
        <w:t>年，</w:t>
      </w:r>
      <w:r w:rsidRPr="001663AE">
        <w:rPr>
          <w:rFonts w:hint="eastAsia"/>
        </w:rPr>
        <w:t>移民收容程序之檢討，「國境管制／行政法上之舉發」學術研討會</w:t>
      </w:r>
      <w:r w:rsidRPr="001663AE">
        <w:rPr>
          <w:rFonts w:cs="新細明體" w:hint="eastAsia"/>
          <w:kern w:val="0"/>
          <w:lang w:bidi="bn-IN"/>
        </w:rPr>
        <w:t>論文集，頁</w:t>
      </w:r>
      <w:r w:rsidRPr="001663AE">
        <w:rPr>
          <w:rFonts w:cs="新細明體"/>
          <w:kern w:val="0"/>
          <w:lang w:bidi="bn-IN"/>
        </w:rPr>
        <w:t>6-8</w:t>
      </w:r>
      <w:r w:rsidRPr="001663AE">
        <w:rPr>
          <w:rFonts w:cs="新細明體" w:hint="eastAsia"/>
          <w:kern w:val="0"/>
          <w:lang w:bidi="bn-IN"/>
        </w:rPr>
        <w:t>。</w:t>
      </w:r>
    </w:p>
  </w:footnote>
  <w:footnote w:id="809">
    <w:p w14:paraId="2906B577"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於司法院大法官會議第</w:t>
      </w:r>
      <w:r w:rsidRPr="001663AE">
        <w:t>708</w:t>
      </w:r>
      <w:r w:rsidRPr="001663AE">
        <w:rPr>
          <w:rFonts w:hint="eastAsia"/>
        </w:rPr>
        <w:t>號之</w:t>
      </w:r>
      <w:r w:rsidRPr="001663AE">
        <w:rPr>
          <w:rFonts w:hint="eastAsia"/>
          <w:lang w:bidi="bn-IN"/>
        </w:rPr>
        <w:t>解釋文中，</w:t>
      </w:r>
      <w:r w:rsidRPr="001663AE">
        <w:rPr>
          <w:rFonts w:hint="eastAsia"/>
        </w:rPr>
        <w:t>聲請人主張提審法第一條之拘禁應包括系爭規定之收容，無須因犯罪嫌疑受逮捕拘禁，亦得聲請提審，而分別指摘臺灣高等法院臺中分院九十九年度抗字第三００號及臺灣高等法院九十九年度抗字第五四三號刑事確定終局裁定之見解不當云云，係爭執確定終局裁定認事用法之當否，尚非具體指摘提審法第一條之規定客觀上有何牴觸憲法之處；又聲請人指摘九十六年十二月二十六日修正公布之入出國及移民法第三十八條第二項，與聲請人之一另指摘同條第三項，以及一００年十一月二十三日修正公布之同法第三十六條第二項至第五項、第三十八條第一項第四款，暨提審法第八條等規定違憲部分，因各該條項款未經該聲請人執以聲請之確定終局裁定所適用，自不得對之聲請解釋。上揭聲請部分核與司法院大法官審理案件法第五條第一項第二款規定不合，依同條第三項規定，均應不受理。</w:t>
      </w:r>
    </w:p>
  </w:footnote>
  <w:footnote w:id="810">
    <w:p w14:paraId="016C67D5" w14:textId="77777777" w:rsidR="00CA23FA" w:rsidRPr="004C0D06" w:rsidRDefault="00CA23FA" w:rsidP="001A46D0">
      <w:pPr>
        <w:pStyle w:val="3"/>
        <w:jc w:val="left"/>
        <w:rPr>
          <w:b/>
        </w:rPr>
      </w:pPr>
      <w:r w:rsidRPr="001663AE">
        <w:rPr>
          <w:rStyle w:val="af3"/>
          <w:rFonts w:ascii="新細明體" w:hAnsi="新細明體"/>
          <w:bCs w:val="0"/>
          <w:szCs w:val="20"/>
        </w:rPr>
        <w:footnoteRef/>
      </w:r>
      <w:r w:rsidRPr="001663AE">
        <w:rPr>
          <w:rFonts w:hint="eastAsia"/>
        </w:rPr>
        <w:t>楊清民，</w:t>
      </w:r>
      <w:r w:rsidRPr="001663AE">
        <w:t>2006</w:t>
      </w:r>
      <w:r w:rsidRPr="001663AE">
        <w:rPr>
          <w:rFonts w:hint="eastAsia"/>
        </w:rPr>
        <w:t>年，人權之保障從憲法人權適用主體視外國人之人權，</w:t>
      </w:r>
      <w:r w:rsidRPr="001663AE">
        <w:rPr>
          <w:rStyle w:val="url2"/>
          <w:rFonts w:ascii="新細明體" w:hAnsi="新細明體" w:cs="Arial"/>
          <w:bCs w:val="0"/>
          <w:color w:val="auto"/>
          <w:szCs w:val="20"/>
        </w:rPr>
        <w:t xml:space="preserve"> </w:t>
      </w:r>
      <w:r w:rsidRPr="004C0D06">
        <w:rPr>
          <w:rStyle w:val="url2"/>
          <w:color w:val="808000"/>
          <w:sz w:val="18"/>
          <w:szCs w:val="22"/>
        </w:rPr>
        <w:t>http://tw.myblog.yahoo.com/jw!6lqy6oGGFRtaA5Jh1ju3aZRS</w:t>
      </w:r>
      <w:r w:rsidRPr="004C0D06">
        <w:rPr>
          <w:rFonts w:hint="eastAsia"/>
        </w:rPr>
        <w:t>。瀏覽日期</w:t>
      </w:r>
      <w:r w:rsidRPr="004C0D06">
        <w:t>2013</w:t>
      </w:r>
      <w:r w:rsidRPr="004C0D06">
        <w:rPr>
          <w:rFonts w:hint="eastAsia"/>
        </w:rPr>
        <w:t>年</w:t>
      </w:r>
      <w:r w:rsidRPr="004C0D06">
        <w:t>4</w:t>
      </w:r>
      <w:r w:rsidRPr="004C0D06">
        <w:rPr>
          <w:rFonts w:hint="eastAsia"/>
        </w:rPr>
        <w:t>月。</w:t>
      </w:r>
      <w:r w:rsidRPr="004C0D06">
        <w:t xml:space="preserve"> </w:t>
      </w:r>
    </w:p>
  </w:footnote>
  <w:footnote w:id="811">
    <w:p w14:paraId="36D80270" w14:textId="77777777" w:rsidR="00CA23FA" w:rsidRPr="001663AE" w:rsidRDefault="00CA23FA" w:rsidP="00EE7383">
      <w:pPr>
        <w:pStyle w:val="3"/>
      </w:pPr>
      <w:r w:rsidRPr="00EE7383">
        <w:rPr>
          <w:rStyle w:val="af3"/>
          <w:rFonts w:ascii="新細明體" w:hAnsi="新細明體"/>
          <w:b/>
        </w:rPr>
        <w:footnoteRef/>
      </w:r>
      <w:r w:rsidRPr="00EE7383">
        <w:rPr>
          <w:rStyle w:val="afc"/>
          <w:rFonts w:ascii="新細明體" w:hAnsi="新細明體" w:hint="eastAsia"/>
          <w:b w:val="0"/>
        </w:rPr>
        <w:t>陳瑞榆</w:t>
      </w:r>
      <w:r w:rsidRPr="00EE7383">
        <w:rPr>
          <w:rStyle w:val="afc"/>
          <w:rFonts w:ascii="新細明體" w:hAnsi="新細明體"/>
          <w:b w:val="0"/>
        </w:rPr>
        <w:t> </w:t>
      </w:r>
      <w:r w:rsidRPr="001663AE">
        <w:rPr>
          <w:rStyle w:val="afc"/>
          <w:rFonts w:ascii="新細明體" w:hAnsi="新細明體" w:hint="eastAsia"/>
        </w:rPr>
        <w:t>，</w:t>
      </w:r>
      <w:hyperlink r:id="rId204" w:tgtFrame="_blank" w:history="1"/>
      <w:r w:rsidRPr="001663AE">
        <w:t>2012</w:t>
      </w:r>
      <w:r w:rsidRPr="001663AE">
        <w:rPr>
          <w:rFonts w:hint="eastAsia"/>
        </w:rPr>
        <w:t>年，外國人收容所觀察訪問紀實，</w:t>
      </w:r>
      <w:r w:rsidRPr="001663AE">
        <w:rPr>
          <w:rFonts w:hint="eastAsia"/>
          <w:lang w:bidi="bn-IN"/>
        </w:rPr>
        <w:t>台灣監所改革聯盟</w:t>
      </w:r>
      <w:r w:rsidRPr="001663AE">
        <w:rPr>
          <w:rStyle w:val="afc"/>
          <w:rFonts w:ascii="新細明體" w:hAnsi="新細明體" w:hint="eastAsia"/>
        </w:rPr>
        <w:t>文，</w:t>
      </w:r>
      <w:hyperlink r:id="rId205" w:history="1">
        <w:r w:rsidRPr="00EE7383">
          <w:rPr>
            <w:rStyle w:val="a5"/>
            <w:rFonts w:eastAsia="新細明體" w:cs="Arial"/>
            <w:sz w:val="18"/>
          </w:rPr>
          <w:t>www.tahr.org.tw/node/</w:t>
        </w:r>
      </w:hyperlink>
      <w:r w:rsidRPr="001663AE">
        <w:rPr>
          <w:rFonts w:hint="eastAsia"/>
        </w:rPr>
        <w:t>。瀏覽日期</w:t>
      </w:r>
      <w:r w:rsidRPr="001663AE">
        <w:t>2013</w:t>
      </w:r>
      <w:r w:rsidRPr="001663AE">
        <w:rPr>
          <w:rFonts w:hint="eastAsia"/>
        </w:rPr>
        <w:t>年</w:t>
      </w:r>
      <w:r w:rsidRPr="001663AE">
        <w:t>4</w:t>
      </w:r>
      <w:r w:rsidRPr="001663AE">
        <w:rPr>
          <w:rFonts w:hint="eastAsia"/>
        </w:rPr>
        <w:t>月。</w:t>
      </w:r>
    </w:p>
  </w:footnote>
  <w:footnote w:id="812">
    <w:p w14:paraId="17E2550A" w14:textId="77777777" w:rsidR="00CA23FA" w:rsidRPr="001663AE" w:rsidRDefault="00CA23FA" w:rsidP="00EE7383">
      <w:pPr>
        <w:pStyle w:val="3"/>
      </w:pPr>
      <w:r w:rsidRPr="001663AE">
        <w:rPr>
          <w:rStyle w:val="af3"/>
          <w:rFonts w:ascii="新細明體" w:hAnsi="新細明體"/>
          <w:szCs w:val="20"/>
        </w:rPr>
        <w:footnoteRef/>
      </w:r>
      <w:r w:rsidRPr="001663AE">
        <w:rPr>
          <w:rFonts w:hint="eastAsia"/>
        </w:rPr>
        <w:t>廖元豪</w:t>
      </w:r>
      <w:r w:rsidRPr="001663AE">
        <w:t>(2012)</w:t>
      </w:r>
      <w:r w:rsidRPr="001663AE">
        <w:rPr>
          <w:rFonts w:hint="eastAsia"/>
        </w:rPr>
        <w:t>，移民收容程序之檢討，行政法學會「國境管制</w:t>
      </w:r>
      <w:r w:rsidRPr="001663AE">
        <w:t>/</w:t>
      </w:r>
      <w:r w:rsidRPr="001663AE">
        <w:rPr>
          <w:rFonts w:hint="eastAsia"/>
        </w:rPr>
        <w:t>行政法之舉發」研討會論文集。頁</w:t>
      </w:r>
      <w:r w:rsidRPr="001663AE">
        <w:t>6-8</w:t>
      </w:r>
      <w:r w:rsidRPr="001663AE">
        <w:rPr>
          <w:rFonts w:hint="eastAsia"/>
        </w:rPr>
        <w:t>。</w:t>
      </w:r>
    </w:p>
  </w:footnote>
  <w:footnote w:id="813">
    <w:p w14:paraId="60E5111C" w14:textId="77777777" w:rsidR="00CA23FA" w:rsidRPr="001663AE" w:rsidRDefault="00CA23FA" w:rsidP="00EE7383">
      <w:pPr>
        <w:pStyle w:val="3"/>
      </w:pPr>
      <w:r w:rsidRPr="001663AE">
        <w:rPr>
          <w:rStyle w:val="af3"/>
          <w:rFonts w:ascii="新細明體" w:hAnsi="新細明體"/>
        </w:rPr>
        <w:footnoteRef/>
      </w:r>
      <w:r w:rsidRPr="001663AE">
        <w:t xml:space="preserve"> </w:t>
      </w:r>
      <w:r w:rsidRPr="001663AE">
        <w:rPr>
          <w:rFonts w:hint="eastAsia"/>
        </w:rPr>
        <w:t>兩岸關係條例第十八條：</w:t>
      </w:r>
      <w:r w:rsidRPr="001663AE">
        <w:rPr>
          <w:rFonts w:hint="eastAsia"/>
          <w:lang w:bidi="bn-IN"/>
        </w:rPr>
        <w:t>「</w:t>
      </w:r>
      <w:r w:rsidRPr="001663AE">
        <w:rPr>
          <w:rFonts w:hint="eastAsia"/>
        </w:rPr>
        <w:t>進入臺灣地區之大陸地區人民，有下列情形之一者，治安機關得逕行強制出境。但其所涉案件已進入司法程序者，應先經司法機關之同意」。</w:t>
      </w:r>
    </w:p>
  </w:footnote>
  <w:footnote w:id="814">
    <w:p w14:paraId="4ECE4D04" w14:textId="77777777" w:rsidR="00CA23FA" w:rsidRPr="001663AE" w:rsidRDefault="00CA23FA" w:rsidP="00EE7383">
      <w:pPr>
        <w:pStyle w:val="3"/>
      </w:pPr>
      <w:r w:rsidRPr="001663AE">
        <w:rPr>
          <w:rStyle w:val="af3"/>
          <w:rFonts w:ascii="新細明體" w:hAnsi="新細明體"/>
        </w:rPr>
        <w:footnoteRef/>
      </w:r>
      <w:r w:rsidRPr="001663AE">
        <w:t xml:space="preserve"> </w:t>
      </w:r>
      <w:r w:rsidRPr="001663AE">
        <w:rPr>
          <w:rFonts w:hint="eastAsia"/>
        </w:rPr>
        <w:t>移民法第</w:t>
      </w:r>
      <w:r w:rsidRPr="001663AE">
        <w:t>36</w:t>
      </w:r>
      <w:r w:rsidRPr="001663AE">
        <w:rPr>
          <w:rFonts w:hint="eastAsia"/>
        </w:rPr>
        <w:t>條；</w:t>
      </w:r>
      <w:r w:rsidRPr="001663AE">
        <w:rPr>
          <w:rFonts w:hint="eastAsia"/>
          <w:lang w:bidi="bn-IN"/>
        </w:rPr>
        <w:t>「</w:t>
      </w:r>
      <w:r w:rsidRPr="001663AE">
        <w:rPr>
          <w:rFonts w:hint="eastAsia"/>
        </w:rPr>
        <w:t>外國人有下列情形之一者，入出國及移民署得強制驅逐出國。但其涉有案件已進入司法程序者，應先通知司法機關、、、外國人有第一項第二款、第四款至第十一款情形之一者，入出國及移民署得於強制驅逐出國前，限令其於七日內出國」。</w:t>
      </w:r>
    </w:p>
  </w:footnote>
  <w:footnote w:id="815">
    <w:p w14:paraId="5B6D773B" w14:textId="77777777" w:rsidR="00CA23FA" w:rsidRPr="001663AE" w:rsidRDefault="00CA23FA" w:rsidP="00EE7383">
      <w:pPr>
        <w:pStyle w:val="3"/>
      </w:pPr>
      <w:r w:rsidRPr="00EE7383">
        <w:rPr>
          <w:rStyle w:val="af3"/>
          <w:sz w:val="18"/>
          <w:vertAlign w:val="baseline"/>
        </w:rPr>
        <w:footnoteRef/>
      </w:r>
      <w:r w:rsidRPr="00EE7383">
        <w:rPr>
          <w:sz w:val="14"/>
        </w:rPr>
        <w:t xml:space="preserve"> </w:t>
      </w:r>
      <w:r w:rsidRPr="00026D0F">
        <w:rPr>
          <w:rFonts w:hint="eastAsia"/>
        </w:rPr>
        <w:t>廖元豪，全球化趨勢中婚姻移民之人權保障</w:t>
      </w:r>
      <w:r w:rsidRPr="00026D0F">
        <w:t>—</w:t>
      </w:r>
      <w:r w:rsidRPr="00026D0F">
        <w:rPr>
          <w:rFonts w:hint="eastAsia"/>
        </w:rPr>
        <w:t>全球化、台灣新國族主義、人</w:t>
      </w:r>
      <w:r w:rsidRPr="001663AE">
        <w:rPr>
          <w:rFonts w:hint="eastAsia"/>
        </w:rPr>
        <w:t>權論述的關係</w:t>
      </w:r>
      <w:r w:rsidRPr="001663AE">
        <w:t>(</w:t>
      </w:r>
      <w:r w:rsidRPr="001663AE">
        <w:rPr>
          <w:rFonts w:hint="eastAsia"/>
        </w:rPr>
        <w:t>三</w:t>
      </w:r>
      <w:r w:rsidRPr="001663AE">
        <w:t>)</w:t>
      </w:r>
      <w:r w:rsidRPr="001663AE">
        <w:rPr>
          <w:rFonts w:hint="eastAsia"/>
        </w:rPr>
        <w:t>，同前註。</w:t>
      </w:r>
    </w:p>
  </w:footnote>
  <w:footnote w:id="816">
    <w:p w14:paraId="1183F80A" w14:textId="77777777" w:rsidR="00CA23FA" w:rsidRPr="001663AE" w:rsidRDefault="00CA23FA" w:rsidP="00EE7383">
      <w:pPr>
        <w:pStyle w:val="3"/>
      </w:pPr>
      <w:r w:rsidRPr="001663AE">
        <w:rPr>
          <w:rStyle w:val="af3"/>
          <w:rFonts w:ascii="新細明體" w:hAnsi="新細明體"/>
        </w:rPr>
        <w:footnoteRef/>
      </w:r>
      <w:r w:rsidRPr="001663AE">
        <w:t xml:space="preserve"> </w:t>
      </w:r>
      <w:r w:rsidRPr="001663AE">
        <w:rPr>
          <w:rFonts w:hint="eastAsia"/>
        </w:rPr>
        <w:t>「公民權利和政治權利國際公約」第九條：「三、任何因刑事指控被逮捕或拘禁的人，應被迅速帶見審判官或其他經法律授權行使司法權力的官員，並有權在合理的時間內受審判或被釋放。」</w:t>
      </w:r>
    </w:p>
  </w:footnote>
  <w:footnote w:id="817">
    <w:p w14:paraId="0ECF56CD" w14:textId="77777777"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第十三條：「在本公約締約國領土內的外僑，只有按照依法作出的決定才可以被驅逐出境，並且，除非在國家安全的緊迫原因另有要求的情況下，應准予提出反對驅逐出境的理由和使他的案件得到合格當局或由合格當局特別指定的一人或數人的複審，並為此目的而請人作代表。」</w:t>
      </w:r>
    </w:p>
  </w:footnote>
  <w:footnote w:id="818">
    <w:p w14:paraId="4341AEAB" w14:textId="77777777"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「公民權利和政治權利國際公約」第十四條：「</w:t>
      </w:r>
      <w:r w:rsidRPr="001663AE">
        <w:t xml:space="preserve"> </w:t>
      </w:r>
      <w:r w:rsidRPr="001663AE">
        <w:rPr>
          <w:rFonts w:hint="eastAsia"/>
        </w:rPr>
        <w:t>一、所有的人在法庭和裁判所前一律平等。在判定對任何人提出的任何刑事指控或確定他在一件訴訟案中的權利和義務時，人人有資格由一個依法設立的合格的、獨立的和無偏倚的法庭進行公正的和公開的審訊。由於民主社會中的道德的、公共秩序的或國家安全的理由，或當訴訟當事人的私生活的利益有此需要時，或在特殊情況下法庭認為公開審判會損害司法利益因而嚴格需要的限度下，可不使記者和公眾出席全部或部分審判；」</w:t>
      </w:r>
    </w:p>
  </w:footnote>
  <w:footnote w:id="819">
    <w:p w14:paraId="49D6B8CD" w14:textId="77777777" w:rsidR="00CA23FA" w:rsidRPr="001663AE" w:rsidRDefault="00CA23FA" w:rsidP="00EE7383">
      <w:pPr>
        <w:pStyle w:val="3"/>
        <w:jc w:val="left"/>
      </w:pPr>
      <w:r w:rsidRPr="001663AE">
        <w:rPr>
          <w:rStyle w:val="af3"/>
          <w:b/>
          <w:bCs w:val="0"/>
          <w:szCs w:val="20"/>
        </w:rPr>
        <w:footnoteRef/>
      </w:r>
      <w:r w:rsidRPr="001663AE">
        <w:rPr>
          <w:rFonts w:hint="eastAsia"/>
        </w:rPr>
        <w:t>廖元豪，全球化趨勢中婚姻移民之人權保障</w:t>
      </w:r>
      <w:r w:rsidRPr="001663AE">
        <w:t>—</w:t>
      </w:r>
      <w:r w:rsidRPr="001663AE">
        <w:rPr>
          <w:rFonts w:hint="eastAsia"/>
        </w:rPr>
        <w:t>全球化、台灣新國族主義、人權論述的關係</w:t>
      </w:r>
      <w:r w:rsidRPr="001663AE">
        <w:t>(</w:t>
      </w:r>
      <w:r w:rsidRPr="001663AE">
        <w:rPr>
          <w:rFonts w:hint="eastAsia"/>
        </w:rPr>
        <w:t>三</w:t>
      </w:r>
      <w:r w:rsidRPr="001663AE">
        <w:t>)</w:t>
      </w:r>
      <w:r w:rsidRPr="001663AE">
        <w:rPr>
          <w:rFonts w:hint="eastAsia"/>
        </w:rPr>
        <w:t>，同前註。</w:t>
      </w:r>
      <w:r w:rsidRPr="001663AE">
        <w:t xml:space="preserve"> </w:t>
      </w:r>
    </w:p>
  </w:footnote>
  <w:footnote w:id="820">
    <w:p w14:paraId="4D7C72C7" w14:textId="77777777"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w:t>
      </w:r>
      <w:r>
        <w:rPr>
          <w:rFonts w:hint="eastAsia"/>
        </w:rPr>
        <w:t>第</w:t>
      </w:r>
      <w:r w:rsidRPr="001663AE">
        <w:rPr>
          <w:rFonts w:hint="eastAsia"/>
        </w:rPr>
        <w:t>六</w:t>
      </w:r>
      <w:r w:rsidRPr="001663AE">
        <w:t xml:space="preserve"> </w:t>
      </w:r>
      <w:r w:rsidRPr="001663AE">
        <w:rPr>
          <w:rFonts w:hint="eastAsia"/>
        </w:rPr>
        <w:t>條：「一</w:t>
      </w:r>
      <w:r w:rsidRPr="001663AE">
        <w:t xml:space="preserve"> </w:t>
      </w:r>
      <w:r w:rsidRPr="001663AE">
        <w:rPr>
          <w:rFonts w:hint="eastAsia"/>
        </w:rPr>
        <w:t>、</w:t>
      </w:r>
      <w:r w:rsidRPr="001663AE">
        <w:t xml:space="preserve"> </w:t>
      </w:r>
      <w:r w:rsidRPr="001663AE">
        <w:rPr>
          <w:rFonts w:hint="eastAsia"/>
        </w:rPr>
        <w:t>人</w:t>
      </w:r>
      <w:r w:rsidRPr="001663AE">
        <w:t xml:space="preserve"> </w:t>
      </w:r>
      <w:r w:rsidRPr="001663AE">
        <w:rPr>
          <w:rFonts w:hint="eastAsia"/>
        </w:rPr>
        <w:t>人</w:t>
      </w:r>
      <w:r w:rsidRPr="001663AE">
        <w:t xml:space="preserve"> </w:t>
      </w:r>
      <w:r w:rsidRPr="001663AE">
        <w:rPr>
          <w:rFonts w:hint="eastAsia"/>
        </w:rPr>
        <w:t>有</w:t>
      </w:r>
      <w:r w:rsidRPr="001663AE">
        <w:t xml:space="preserve"> </w:t>
      </w:r>
      <w:r w:rsidRPr="001663AE">
        <w:rPr>
          <w:rFonts w:hint="eastAsia"/>
        </w:rPr>
        <w:t>固</w:t>
      </w:r>
      <w:r w:rsidRPr="001663AE">
        <w:t xml:space="preserve"> </w:t>
      </w:r>
      <w:r w:rsidRPr="001663AE">
        <w:rPr>
          <w:rFonts w:hint="eastAsia"/>
        </w:rPr>
        <w:t>有</w:t>
      </w:r>
      <w:r w:rsidRPr="001663AE">
        <w:t xml:space="preserve"> </w:t>
      </w:r>
      <w:r w:rsidRPr="001663AE">
        <w:rPr>
          <w:rFonts w:hint="eastAsia"/>
        </w:rPr>
        <w:t>的</w:t>
      </w:r>
      <w:r w:rsidRPr="001663AE">
        <w:t xml:space="preserve"> </w:t>
      </w:r>
      <w:r w:rsidRPr="001663AE">
        <w:rPr>
          <w:rFonts w:hint="eastAsia"/>
        </w:rPr>
        <w:t>生</w:t>
      </w:r>
      <w:r w:rsidRPr="001663AE">
        <w:t xml:space="preserve"> </w:t>
      </w:r>
      <w:r w:rsidRPr="001663AE">
        <w:rPr>
          <w:rFonts w:hint="eastAsia"/>
        </w:rPr>
        <w:t>命</w:t>
      </w:r>
      <w:r w:rsidRPr="001663AE">
        <w:t xml:space="preserve"> </w:t>
      </w:r>
      <w:r w:rsidRPr="001663AE">
        <w:rPr>
          <w:rFonts w:hint="eastAsia"/>
        </w:rPr>
        <w:t>權</w:t>
      </w:r>
      <w:r w:rsidRPr="001663AE">
        <w:t xml:space="preserve"> </w:t>
      </w:r>
      <w:r w:rsidRPr="001663AE">
        <w:rPr>
          <w:rFonts w:hint="eastAsia"/>
        </w:rPr>
        <w:t>。</w:t>
      </w:r>
      <w:r w:rsidRPr="001663AE">
        <w:t xml:space="preserve"> </w:t>
      </w:r>
      <w:r w:rsidRPr="001663AE">
        <w:rPr>
          <w:rFonts w:hint="eastAsia"/>
        </w:rPr>
        <w:t>這</w:t>
      </w:r>
      <w:r w:rsidRPr="001663AE">
        <w:t xml:space="preserve"> </w:t>
      </w:r>
      <w:r w:rsidRPr="001663AE">
        <w:rPr>
          <w:rFonts w:hint="eastAsia"/>
        </w:rPr>
        <w:t>個</w:t>
      </w:r>
      <w:r w:rsidRPr="001663AE">
        <w:t xml:space="preserve"> </w:t>
      </w:r>
      <w:r w:rsidRPr="001663AE">
        <w:rPr>
          <w:rFonts w:hint="eastAsia"/>
        </w:rPr>
        <w:t>權</w:t>
      </w:r>
      <w:r w:rsidRPr="001663AE">
        <w:t xml:space="preserve"> </w:t>
      </w:r>
      <w:r w:rsidRPr="001663AE">
        <w:rPr>
          <w:rFonts w:hint="eastAsia"/>
        </w:rPr>
        <w:t>利</w:t>
      </w:r>
      <w:r w:rsidRPr="001663AE">
        <w:t xml:space="preserve"> </w:t>
      </w:r>
      <w:r w:rsidRPr="001663AE">
        <w:rPr>
          <w:rFonts w:hint="eastAsia"/>
        </w:rPr>
        <w:t>應</w:t>
      </w:r>
      <w:r w:rsidRPr="001663AE">
        <w:t xml:space="preserve"> </w:t>
      </w:r>
      <w:r w:rsidRPr="001663AE">
        <w:rPr>
          <w:rFonts w:hint="eastAsia"/>
        </w:rPr>
        <w:t>受</w:t>
      </w:r>
      <w:r w:rsidRPr="001663AE">
        <w:t xml:space="preserve"> </w:t>
      </w:r>
      <w:r w:rsidRPr="001663AE">
        <w:rPr>
          <w:rFonts w:hint="eastAsia"/>
        </w:rPr>
        <w:t>法</w:t>
      </w:r>
      <w:r w:rsidRPr="001663AE">
        <w:t xml:space="preserve"> </w:t>
      </w:r>
      <w:r w:rsidRPr="001663AE">
        <w:rPr>
          <w:rFonts w:hint="eastAsia"/>
        </w:rPr>
        <w:t>律</w:t>
      </w:r>
      <w:r w:rsidRPr="001663AE">
        <w:t xml:space="preserve"> </w:t>
      </w:r>
      <w:r w:rsidRPr="001663AE">
        <w:rPr>
          <w:rFonts w:hint="eastAsia"/>
        </w:rPr>
        <w:t>保</w:t>
      </w:r>
      <w:r w:rsidRPr="001663AE">
        <w:t xml:space="preserve"> </w:t>
      </w:r>
      <w:r w:rsidRPr="001663AE">
        <w:rPr>
          <w:rFonts w:hint="eastAsia"/>
        </w:rPr>
        <w:t>護</w:t>
      </w:r>
      <w:r w:rsidRPr="001663AE">
        <w:rPr>
          <w:spacing w:val="-24"/>
        </w:rPr>
        <w:t xml:space="preserve"> </w:t>
      </w:r>
      <w:r w:rsidRPr="001663AE">
        <w:rPr>
          <w:rFonts w:hint="eastAsia"/>
          <w:spacing w:val="-24"/>
        </w:rPr>
        <w:t>。</w:t>
      </w:r>
      <w:r w:rsidRPr="001663AE">
        <w:rPr>
          <w:spacing w:val="-26"/>
        </w:rPr>
        <w:t xml:space="preserve"> </w:t>
      </w:r>
      <w:r w:rsidRPr="001663AE">
        <w:rPr>
          <w:rFonts w:hint="eastAsia"/>
          <w:spacing w:val="-26"/>
        </w:rPr>
        <w:t>不</w:t>
      </w:r>
      <w:r w:rsidRPr="001663AE">
        <w:rPr>
          <w:spacing w:val="-26"/>
        </w:rPr>
        <w:t xml:space="preserve"> </w:t>
      </w:r>
      <w:r w:rsidRPr="001663AE">
        <w:rPr>
          <w:rFonts w:hint="eastAsia"/>
          <w:spacing w:val="-26"/>
        </w:rPr>
        <w:t>得</w:t>
      </w:r>
      <w:r w:rsidRPr="001663AE">
        <w:rPr>
          <w:spacing w:val="-26"/>
        </w:rPr>
        <w:t xml:space="preserve"> </w:t>
      </w:r>
      <w:r w:rsidRPr="001663AE">
        <w:rPr>
          <w:rFonts w:hint="eastAsia"/>
          <w:spacing w:val="-26"/>
        </w:rPr>
        <w:t>任</w:t>
      </w:r>
      <w:r w:rsidRPr="001663AE">
        <w:rPr>
          <w:spacing w:val="-26"/>
        </w:rPr>
        <w:t xml:space="preserve"> </w:t>
      </w:r>
      <w:r w:rsidRPr="001663AE">
        <w:rPr>
          <w:rFonts w:hint="eastAsia"/>
          <w:spacing w:val="-26"/>
        </w:rPr>
        <w:t>意</w:t>
      </w:r>
      <w:r w:rsidRPr="001663AE">
        <w:rPr>
          <w:spacing w:val="-26"/>
        </w:rPr>
        <w:t xml:space="preserve"> </w:t>
      </w:r>
      <w:r w:rsidRPr="001663AE">
        <w:rPr>
          <w:rFonts w:hint="eastAsia"/>
          <w:spacing w:val="-26"/>
        </w:rPr>
        <w:t>剝</w:t>
      </w:r>
      <w:r w:rsidRPr="001663AE">
        <w:rPr>
          <w:spacing w:val="-26"/>
        </w:rPr>
        <w:t xml:space="preserve"> </w:t>
      </w:r>
      <w:r w:rsidRPr="001663AE">
        <w:rPr>
          <w:rFonts w:hint="eastAsia"/>
          <w:spacing w:val="-26"/>
        </w:rPr>
        <w:t>奪</w:t>
      </w:r>
      <w:r w:rsidRPr="001663AE">
        <w:rPr>
          <w:spacing w:val="-26"/>
        </w:rPr>
        <w:t xml:space="preserve"> </w:t>
      </w:r>
      <w:r w:rsidRPr="001663AE">
        <w:rPr>
          <w:rFonts w:hint="eastAsia"/>
          <w:spacing w:val="-26"/>
        </w:rPr>
        <w:t>任</w:t>
      </w:r>
      <w:r w:rsidRPr="001663AE">
        <w:rPr>
          <w:spacing w:val="-26"/>
        </w:rPr>
        <w:t xml:space="preserve"> </w:t>
      </w:r>
      <w:r w:rsidRPr="001663AE">
        <w:rPr>
          <w:rFonts w:hint="eastAsia"/>
          <w:spacing w:val="-26"/>
        </w:rPr>
        <w:t>何</w:t>
      </w:r>
      <w:r w:rsidRPr="001663AE">
        <w:rPr>
          <w:spacing w:val="-26"/>
        </w:rPr>
        <w:t xml:space="preserve"> </w:t>
      </w:r>
      <w:r w:rsidRPr="001663AE">
        <w:rPr>
          <w:rFonts w:hint="eastAsia"/>
          <w:spacing w:val="-26"/>
        </w:rPr>
        <w:t>人</w:t>
      </w:r>
      <w:r w:rsidRPr="001663AE">
        <w:rPr>
          <w:spacing w:val="-26"/>
        </w:rPr>
        <w:t xml:space="preserve"> </w:t>
      </w:r>
      <w:r w:rsidRPr="001663AE">
        <w:rPr>
          <w:rFonts w:hint="eastAsia"/>
          <w:spacing w:val="-26"/>
        </w:rPr>
        <w:t>的</w:t>
      </w:r>
      <w:r w:rsidRPr="001663AE">
        <w:rPr>
          <w:spacing w:val="-26"/>
        </w:rPr>
        <w:t xml:space="preserve"> </w:t>
      </w:r>
      <w:r w:rsidRPr="001663AE">
        <w:rPr>
          <w:rFonts w:hint="eastAsia"/>
          <w:spacing w:val="-26"/>
        </w:rPr>
        <w:t>生</w:t>
      </w:r>
      <w:r w:rsidRPr="001663AE">
        <w:rPr>
          <w:spacing w:val="-26"/>
        </w:rPr>
        <w:t xml:space="preserve"> </w:t>
      </w:r>
      <w:r w:rsidRPr="001663AE">
        <w:rPr>
          <w:rFonts w:hint="eastAsia"/>
          <w:spacing w:val="-26"/>
        </w:rPr>
        <w:t>命</w:t>
      </w:r>
      <w:r w:rsidRPr="001663AE">
        <w:rPr>
          <w:spacing w:val="-26"/>
        </w:rPr>
        <w:t xml:space="preserve"> </w:t>
      </w:r>
      <w:r w:rsidRPr="001663AE">
        <w:rPr>
          <w:rFonts w:hint="eastAsia"/>
          <w:spacing w:val="-26"/>
        </w:rPr>
        <w:t>。</w:t>
      </w:r>
      <w:r w:rsidRPr="001663AE">
        <w:rPr>
          <w:rFonts w:hint="eastAsia"/>
        </w:rPr>
        <w:t>」</w:t>
      </w:r>
    </w:p>
  </w:footnote>
  <w:footnote w:id="821">
    <w:p w14:paraId="3A4C221F" w14:textId="77777777"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w:t>
      </w:r>
      <w:r w:rsidRPr="001663AE">
        <w:rPr>
          <w:rFonts w:hint="eastAsia"/>
          <w:spacing w:val="-20"/>
        </w:rPr>
        <w:t>」</w:t>
      </w:r>
      <w:r>
        <w:rPr>
          <w:rFonts w:hint="eastAsia"/>
          <w:spacing w:val="-20"/>
        </w:rPr>
        <w:t>第</w:t>
      </w:r>
      <w:r w:rsidRPr="001663AE">
        <w:rPr>
          <w:rFonts w:hint="eastAsia"/>
          <w:spacing w:val="-20"/>
        </w:rPr>
        <w:t>七條：</w:t>
      </w:r>
      <w:r w:rsidRPr="001663AE">
        <w:rPr>
          <w:rFonts w:hint="eastAsia"/>
        </w:rPr>
        <w:t>「任</w:t>
      </w:r>
      <w:r w:rsidRPr="001663AE">
        <w:t xml:space="preserve"> </w:t>
      </w:r>
      <w:r w:rsidRPr="001663AE">
        <w:rPr>
          <w:rFonts w:hint="eastAsia"/>
        </w:rPr>
        <w:t>何</w:t>
      </w:r>
      <w:r w:rsidRPr="001663AE">
        <w:t xml:space="preserve"> </w:t>
      </w:r>
      <w:r w:rsidRPr="001663AE">
        <w:rPr>
          <w:rFonts w:hint="eastAsia"/>
        </w:rPr>
        <w:t>人</w:t>
      </w:r>
      <w:r w:rsidRPr="001663AE">
        <w:t xml:space="preserve"> </w:t>
      </w:r>
      <w:r w:rsidRPr="001663AE">
        <w:rPr>
          <w:rFonts w:hint="eastAsia"/>
        </w:rPr>
        <w:t>均</w:t>
      </w:r>
      <w:r w:rsidRPr="001663AE">
        <w:t xml:space="preserve"> </w:t>
      </w:r>
      <w:r w:rsidRPr="001663AE">
        <w:rPr>
          <w:rFonts w:hint="eastAsia"/>
        </w:rPr>
        <w:t>不</w:t>
      </w:r>
      <w:r w:rsidRPr="001663AE">
        <w:t xml:space="preserve"> </w:t>
      </w:r>
      <w:r w:rsidRPr="001663AE">
        <w:rPr>
          <w:rFonts w:hint="eastAsia"/>
        </w:rPr>
        <w:t>得</w:t>
      </w:r>
      <w:r w:rsidRPr="001663AE">
        <w:t xml:space="preserve"> </w:t>
      </w:r>
      <w:r w:rsidRPr="001663AE">
        <w:rPr>
          <w:rFonts w:hint="eastAsia"/>
        </w:rPr>
        <w:t>加</w:t>
      </w:r>
      <w:r w:rsidRPr="001663AE">
        <w:t xml:space="preserve"> </w:t>
      </w:r>
      <w:r w:rsidRPr="001663AE">
        <w:rPr>
          <w:rFonts w:hint="eastAsia"/>
        </w:rPr>
        <w:t>以</w:t>
      </w:r>
      <w:r w:rsidRPr="001663AE">
        <w:t xml:space="preserve"> </w:t>
      </w:r>
      <w:r w:rsidRPr="001663AE">
        <w:rPr>
          <w:rFonts w:hint="eastAsia"/>
        </w:rPr>
        <w:t>酷</w:t>
      </w:r>
      <w:r w:rsidRPr="001663AE">
        <w:t xml:space="preserve"> </w:t>
      </w:r>
      <w:r w:rsidRPr="001663AE">
        <w:rPr>
          <w:rFonts w:hint="eastAsia"/>
        </w:rPr>
        <w:t>刑</w:t>
      </w:r>
      <w:r w:rsidRPr="001663AE">
        <w:t xml:space="preserve"> </w:t>
      </w:r>
      <w:r w:rsidRPr="001663AE">
        <w:rPr>
          <w:rFonts w:hint="eastAsia"/>
        </w:rPr>
        <w:t>或</w:t>
      </w:r>
      <w:r w:rsidRPr="001663AE">
        <w:t xml:space="preserve"> </w:t>
      </w:r>
      <w:r w:rsidRPr="001663AE">
        <w:rPr>
          <w:rFonts w:hint="eastAsia"/>
        </w:rPr>
        <w:t>施</w:t>
      </w:r>
      <w:r w:rsidRPr="001663AE">
        <w:t xml:space="preserve"> </w:t>
      </w:r>
      <w:r w:rsidRPr="001663AE">
        <w:rPr>
          <w:rFonts w:hint="eastAsia"/>
        </w:rPr>
        <w:t>以</w:t>
      </w:r>
      <w:r w:rsidRPr="001663AE">
        <w:t xml:space="preserve"> </w:t>
      </w:r>
      <w:r w:rsidRPr="001663AE">
        <w:rPr>
          <w:rFonts w:hint="eastAsia"/>
        </w:rPr>
        <w:t>殘</w:t>
      </w:r>
      <w:r w:rsidRPr="001663AE">
        <w:t xml:space="preserve"> </w:t>
      </w:r>
      <w:r w:rsidRPr="001663AE">
        <w:rPr>
          <w:rFonts w:hint="eastAsia"/>
        </w:rPr>
        <w:t>忍</w:t>
      </w:r>
      <w:r w:rsidRPr="001663AE">
        <w:t xml:space="preserve"> </w:t>
      </w:r>
      <w:r w:rsidRPr="001663AE">
        <w:rPr>
          <w:rFonts w:hint="eastAsia"/>
        </w:rPr>
        <w:t>的</w:t>
      </w:r>
      <w:r w:rsidRPr="001663AE">
        <w:t xml:space="preserve"> </w:t>
      </w:r>
      <w:r w:rsidRPr="001663AE">
        <w:rPr>
          <w:rFonts w:hint="eastAsia"/>
        </w:rPr>
        <w:t>、</w:t>
      </w:r>
      <w:r w:rsidRPr="001663AE">
        <w:t xml:space="preserve"> </w:t>
      </w:r>
      <w:r w:rsidRPr="001663AE">
        <w:rPr>
          <w:rFonts w:hint="eastAsia"/>
        </w:rPr>
        <w:t>不</w:t>
      </w:r>
      <w:r w:rsidRPr="001663AE">
        <w:t xml:space="preserve"> </w:t>
      </w:r>
      <w:r w:rsidRPr="001663AE">
        <w:rPr>
          <w:rFonts w:hint="eastAsia"/>
        </w:rPr>
        <w:t>人</w:t>
      </w:r>
      <w:r w:rsidRPr="001663AE">
        <w:t xml:space="preserve"> </w:t>
      </w:r>
      <w:r w:rsidRPr="001663AE">
        <w:rPr>
          <w:rFonts w:hint="eastAsia"/>
        </w:rPr>
        <w:t>道</w:t>
      </w:r>
      <w:r w:rsidRPr="001663AE">
        <w:t xml:space="preserve"> </w:t>
      </w:r>
      <w:r w:rsidRPr="001663AE">
        <w:rPr>
          <w:rFonts w:hint="eastAsia"/>
        </w:rPr>
        <w:t>的</w:t>
      </w:r>
      <w:r w:rsidRPr="001663AE">
        <w:t xml:space="preserve"> </w:t>
      </w:r>
      <w:r w:rsidRPr="001663AE">
        <w:rPr>
          <w:rFonts w:hint="eastAsia"/>
        </w:rPr>
        <w:t>或</w:t>
      </w:r>
      <w:r w:rsidRPr="001663AE">
        <w:t xml:space="preserve"> </w:t>
      </w:r>
      <w:r w:rsidRPr="001663AE">
        <w:rPr>
          <w:rFonts w:hint="eastAsia"/>
        </w:rPr>
        <w:t>侮</w:t>
      </w:r>
      <w:r w:rsidRPr="001663AE">
        <w:t xml:space="preserve"> </w:t>
      </w:r>
      <w:r w:rsidRPr="001663AE">
        <w:rPr>
          <w:rFonts w:hint="eastAsia"/>
        </w:rPr>
        <w:t>辱</w:t>
      </w:r>
      <w:r w:rsidRPr="001663AE">
        <w:t xml:space="preserve"> </w:t>
      </w:r>
      <w:r w:rsidRPr="001663AE">
        <w:rPr>
          <w:rFonts w:hint="eastAsia"/>
        </w:rPr>
        <w:t>性</w:t>
      </w:r>
      <w:r w:rsidRPr="001663AE">
        <w:t xml:space="preserve"> </w:t>
      </w:r>
      <w:r w:rsidRPr="001663AE">
        <w:rPr>
          <w:rFonts w:hint="eastAsia"/>
        </w:rPr>
        <w:t>的</w:t>
      </w:r>
      <w:r w:rsidRPr="001663AE">
        <w:t xml:space="preserve"> </w:t>
      </w:r>
      <w:r w:rsidRPr="001663AE">
        <w:rPr>
          <w:rFonts w:hint="eastAsia"/>
        </w:rPr>
        <w:t>待</w:t>
      </w:r>
      <w:r w:rsidRPr="001663AE">
        <w:t xml:space="preserve"> </w:t>
      </w:r>
      <w:r w:rsidRPr="001663AE">
        <w:rPr>
          <w:rFonts w:hint="eastAsia"/>
        </w:rPr>
        <w:t>遇</w:t>
      </w:r>
      <w:r w:rsidRPr="001663AE">
        <w:t xml:space="preserve"> </w:t>
      </w:r>
      <w:r w:rsidRPr="001663AE">
        <w:rPr>
          <w:rFonts w:hint="eastAsia"/>
        </w:rPr>
        <w:t>或</w:t>
      </w:r>
      <w:r w:rsidRPr="001663AE">
        <w:t xml:space="preserve"> </w:t>
      </w:r>
      <w:r w:rsidRPr="001663AE">
        <w:rPr>
          <w:rFonts w:hint="eastAsia"/>
        </w:rPr>
        <w:t>刑</w:t>
      </w:r>
      <w:r w:rsidRPr="001663AE">
        <w:t xml:space="preserve"> </w:t>
      </w:r>
      <w:r w:rsidRPr="001663AE">
        <w:rPr>
          <w:rFonts w:hint="eastAsia"/>
        </w:rPr>
        <w:t>罰</w:t>
      </w:r>
      <w:r w:rsidRPr="001663AE">
        <w:t xml:space="preserve"> </w:t>
      </w:r>
      <w:r w:rsidRPr="001663AE">
        <w:rPr>
          <w:rFonts w:hint="eastAsia"/>
        </w:rPr>
        <w:t>。</w:t>
      </w:r>
      <w:r w:rsidRPr="001663AE">
        <w:t xml:space="preserve"> </w:t>
      </w:r>
      <w:r w:rsidRPr="001663AE">
        <w:rPr>
          <w:rFonts w:hint="eastAsia"/>
        </w:rPr>
        <w:t>特</w:t>
      </w:r>
      <w:r w:rsidRPr="001663AE">
        <w:t xml:space="preserve"> </w:t>
      </w:r>
      <w:r w:rsidRPr="001663AE">
        <w:rPr>
          <w:rFonts w:hint="eastAsia"/>
        </w:rPr>
        <w:t>別</w:t>
      </w:r>
      <w:r w:rsidRPr="001663AE">
        <w:t xml:space="preserve"> </w:t>
      </w:r>
      <w:r w:rsidRPr="001663AE">
        <w:rPr>
          <w:rFonts w:hint="eastAsia"/>
        </w:rPr>
        <w:t>是</w:t>
      </w:r>
      <w:r w:rsidRPr="001663AE">
        <w:t xml:space="preserve"> </w:t>
      </w:r>
      <w:r w:rsidRPr="001663AE">
        <w:rPr>
          <w:rFonts w:hint="eastAsia"/>
        </w:rPr>
        <w:t>對</w:t>
      </w:r>
      <w:r w:rsidRPr="001663AE">
        <w:t xml:space="preserve"> </w:t>
      </w:r>
      <w:r w:rsidRPr="001663AE">
        <w:rPr>
          <w:rFonts w:hint="eastAsia"/>
        </w:rPr>
        <w:t>任</w:t>
      </w:r>
      <w:r w:rsidRPr="001663AE">
        <w:t xml:space="preserve"> </w:t>
      </w:r>
      <w:r w:rsidRPr="001663AE">
        <w:rPr>
          <w:rFonts w:hint="eastAsia"/>
        </w:rPr>
        <w:t>何</w:t>
      </w:r>
      <w:r w:rsidRPr="001663AE">
        <w:t xml:space="preserve"> </w:t>
      </w:r>
      <w:r w:rsidRPr="001663AE">
        <w:rPr>
          <w:rFonts w:hint="eastAsia"/>
        </w:rPr>
        <w:t>人</w:t>
      </w:r>
      <w:r w:rsidRPr="001663AE">
        <w:t xml:space="preserve"> </w:t>
      </w:r>
      <w:r w:rsidRPr="001663AE">
        <w:rPr>
          <w:rFonts w:hint="eastAsia"/>
        </w:rPr>
        <w:t>均</w:t>
      </w:r>
      <w:r w:rsidRPr="001663AE">
        <w:t xml:space="preserve"> </w:t>
      </w:r>
      <w:r w:rsidRPr="001663AE">
        <w:rPr>
          <w:rFonts w:hint="eastAsia"/>
        </w:rPr>
        <w:t>不</w:t>
      </w:r>
      <w:r w:rsidRPr="001663AE">
        <w:t xml:space="preserve"> </w:t>
      </w:r>
      <w:r w:rsidRPr="001663AE">
        <w:rPr>
          <w:rFonts w:hint="eastAsia"/>
        </w:rPr>
        <w:t>得</w:t>
      </w:r>
      <w:r w:rsidRPr="001663AE">
        <w:t xml:space="preserve"> </w:t>
      </w:r>
      <w:r w:rsidRPr="001663AE">
        <w:rPr>
          <w:rFonts w:hint="eastAsia"/>
        </w:rPr>
        <w:t>未</w:t>
      </w:r>
      <w:r w:rsidRPr="001663AE">
        <w:t xml:space="preserve"> </w:t>
      </w:r>
      <w:r w:rsidRPr="001663AE">
        <w:rPr>
          <w:rFonts w:hint="eastAsia"/>
        </w:rPr>
        <w:t>經</w:t>
      </w:r>
      <w:r w:rsidRPr="001663AE">
        <w:t xml:space="preserve"> </w:t>
      </w:r>
      <w:r w:rsidRPr="001663AE">
        <w:rPr>
          <w:rFonts w:hint="eastAsia"/>
        </w:rPr>
        <w:t>其</w:t>
      </w:r>
      <w:r w:rsidRPr="001663AE">
        <w:t xml:space="preserve"> </w:t>
      </w:r>
      <w:r w:rsidRPr="001663AE">
        <w:rPr>
          <w:rFonts w:hint="eastAsia"/>
        </w:rPr>
        <w:t>自</w:t>
      </w:r>
      <w:r w:rsidRPr="001663AE">
        <w:t xml:space="preserve"> </w:t>
      </w:r>
      <w:r w:rsidRPr="001663AE">
        <w:rPr>
          <w:rFonts w:hint="eastAsia"/>
        </w:rPr>
        <w:t>由</w:t>
      </w:r>
      <w:r w:rsidRPr="001663AE">
        <w:t xml:space="preserve"> </w:t>
      </w:r>
      <w:r w:rsidRPr="001663AE">
        <w:rPr>
          <w:rFonts w:hint="eastAsia"/>
        </w:rPr>
        <w:t>同</w:t>
      </w:r>
      <w:r w:rsidRPr="001663AE">
        <w:t xml:space="preserve"> </w:t>
      </w:r>
      <w:r w:rsidRPr="001663AE">
        <w:rPr>
          <w:rFonts w:hint="eastAsia"/>
        </w:rPr>
        <w:t>意</w:t>
      </w:r>
      <w:r w:rsidRPr="001663AE">
        <w:t xml:space="preserve"> </w:t>
      </w:r>
      <w:r w:rsidRPr="001663AE">
        <w:rPr>
          <w:rFonts w:hint="eastAsia"/>
        </w:rPr>
        <w:t>而</w:t>
      </w:r>
      <w:r w:rsidRPr="001663AE">
        <w:t xml:space="preserve"> </w:t>
      </w:r>
      <w:r w:rsidRPr="001663AE">
        <w:rPr>
          <w:rFonts w:hint="eastAsia"/>
        </w:rPr>
        <w:t>施</w:t>
      </w:r>
      <w:r w:rsidRPr="001663AE">
        <w:t xml:space="preserve"> </w:t>
      </w:r>
      <w:r w:rsidRPr="001663AE">
        <w:rPr>
          <w:rFonts w:hint="eastAsia"/>
        </w:rPr>
        <w:t>以</w:t>
      </w:r>
      <w:r w:rsidRPr="001663AE">
        <w:t xml:space="preserve"> </w:t>
      </w:r>
      <w:r w:rsidRPr="001663AE">
        <w:rPr>
          <w:rFonts w:hint="eastAsia"/>
        </w:rPr>
        <w:t>醫</w:t>
      </w:r>
      <w:r w:rsidRPr="001663AE">
        <w:t xml:space="preserve"> </w:t>
      </w:r>
      <w:r w:rsidRPr="001663AE">
        <w:rPr>
          <w:rFonts w:hint="eastAsia"/>
        </w:rPr>
        <w:t>藥</w:t>
      </w:r>
      <w:r w:rsidRPr="001663AE">
        <w:t xml:space="preserve"> </w:t>
      </w:r>
      <w:r w:rsidRPr="001663AE">
        <w:rPr>
          <w:rFonts w:hint="eastAsia"/>
        </w:rPr>
        <w:t>或</w:t>
      </w:r>
      <w:r w:rsidRPr="001663AE">
        <w:t xml:space="preserve"> </w:t>
      </w:r>
      <w:r w:rsidRPr="001663AE">
        <w:rPr>
          <w:rFonts w:hint="eastAsia"/>
        </w:rPr>
        <w:t>科</w:t>
      </w:r>
      <w:r w:rsidRPr="001663AE">
        <w:t xml:space="preserve"> </w:t>
      </w:r>
      <w:r w:rsidRPr="001663AE">
        <w:rPr>
          <w:rFonts w:hint="eastAsia"/>
        </w:rPr>
        <w:t>學</w:t>
      </w:r>
      <w:r w:rsidRPr="001663AE">
        <w:t xml:space="preserve"> </w:t>
      </w:r>
      <w:r w:rsidRPr="001663AE">
        <w:rPr>
          <w:rFonts w:hint="eastAsia"/>
        </w:rPr>
        <w:t>試</w:t>
      </w:r>
      <w:r w:rsidRPr="001663AE">
        <w:t xml:space="preserve"> </w:t>
      </w:r>
      <w:r w:rsidRPr="001663AE">
        <w:rPr>
          <w:rFonts w:hint="eastAsia"/>
        </w:rPr>
        <w:t>驗</w:t>
      </w:r>
      <w:r w:rsidRPr="001663AE">
        <w:t xml:space="preserve"> </w:t>
      </w:r>
      <w:r w:rsidRPr="001663AE">
        <w:rPr>
          <w:rFonts w:hint="eastAsia"/>
        </w:rPr>
        <w:t>。</w:t>
      </w:r>
      <w:r w:rsidRPr="001663AE">
        <w:rPr>
          <w:rFonts w:hint="eastAsia"/>
          <w:spacing w:val="-20"/>
        </w:rPr>
        <w:t>」</w:t>
      </w:r>
    </w:p>
  </w:footnote>
  <w:footnote w:id="822">
    <w:p w14:paraId="15C5D356" w14:textId="77777777"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w:t>
      </w:r>
      <w:r w:rsidRPr="001663AE">
        <w:rPr>
          <w:rFonts w:hint="eastAsia"/>
          <w:spacing w:val="-20"/>
        </w:rPr>
        <w:t>」</w:t>
      </w:r>
      <w:r>
        <w:rPr>
          <w:rFonts w:hint="eastAsia"/>
          <w:spacing w:val="-20"/>
        </w:rPr>
        <w:t>第</w:t>
      </w:r>
      <w:r w:rsidRPr="001663AE">
        <w:rPr>
          <w:rFonts w:hint="eastAsia"/>
          <w:spacing w:val="-20"/>
        </w:rPr>
        <w:t>九條：</w:t>
      </w:r>
      <w:r w:rsidRPr="001663AE">
        <w:t xml:space="preserve"> </w:t>
      </w:r>
      <w:r w:rsidRPr="001663AE">
        <w:rPr>
          <w:rFonts w:hint="eastAsia"/>
        </w:rPr>
        <w:t>「一</w:t>
      </w:r>
      <w:r w:rsidRPr="001663AE">
        <w:t xml:space="preserve"> </w:t>
      </w:r>
      <w:r w:rsidRPr="001663AE">
        <w:rPr>
          <w:rFonts w:hint="eastAsia"/>
        </w:rPr>
        <w:t>、</w:t>
      </w:r>
      <w:r w:rsidRPr="001663AE">
        <w:t xml:space="preserve"> </w:t>
      </w:r>
      <w:r w:rsidRPr="001663AE">
        <w:rPr>
          <w:rFonts w:hint="eastAsia"/>
        </w:rPr>
        <w:t>人</w:t>
      </w:r>
      <w:r w:rsidRPr="001663AE">
        <w:t xml:space="preserve"> </w:t>
      </w:r>
      <w:r w:rsidRPr="001663AE">
        <w:rPr>
          <w:rFonts w:hint="eastAsia"/>
        </w:rPr>
        <w:t>人</w:t>
      </w:r>
      <w:r w:rsidRPr="001663AE">
        <w:t xml:space="preserve"> </w:t>
      </w:r>
      <w:r w:rsidRPr="001663AE">
        <w:rPr>
          <w:rFonts w:hint="eastAsia"/>
        </w:rPr>
        <w:t>有</w:t>
      </w:r>
      <w:r w:rsidRPr="001663AE">
        <w:t xml:space="preserve"> </w:t>
      </w:r>
      <w:r w:rsidRPr="001663AE">
        <w:rPr>
          <w:rFonts w:hint="eastAsia"/>
        </w:rPr>
        <w:t>權</w:t>
      </w:r>
      <w:r w:rsidRPr="001663AE">
        <w:t xml:space="preserve"> </w:t>
      </w:r>
      <w:r w:rsidRPr="001663AE">
        <w:rPr>
          <w:rFonts w:hint="eastAsia"/>
        </w:rPr>
        <w:t>享</w:t>
      </w:r>
      <w:r w:rsidRPr="001663AE">
        <w:t xml:space="preserve"> </w:t>
      </w:r>
      <w:r w:rsidRPr="001663AE">
        <w:rPr>
          <w:rFonts w:hint="eastAsia"/>
        </w:rPr>
        <w:t>有</w:t>
      </w:r>
      <w:r w:rsidRPr="001663AE">
        <w:t xml:space="preserve"> </w:t>
      </w:r>
      <w:r w:rsidRPr="001663AE">
        <w:rPr>
          <w:rFonts w:hint="eastAsia"/>
        </w:rPr>
        <w:t>人</w:t>
      </w:r>
      <w:r w:rsidRPr="001663AE">
        <w:t xml:space="preserve"> </w:t>
      </w:r>
      <w:r w:rsidRPr="001663AE">
        <w:rPr>
          <w:rFonts w:hint="eastAsia"/>
        </w:rPr>
        <w:t>身</w:t>
      </w:r>
      <w:r w:rsidRPr="001663AE">
        <w:t xml:space="preserve"> </w:t>
      </w:r>
      <w:r w:rsidRPr="001663AE">
        <w:rPr>
          <w:rFonts w:hint="eastAsia"/>
        </w:rPr>
        <w:t>自</w:t>
      </w:r>
      <w:r w:rsidRPr="001663AE">
        <w:t xml:space="preserve"> </w:t>
      </w:r>
      <w:r w:rsidRPr="001663AE">
        <w:rPr>
          <w:rFonts w:hint="eastAsia"/>
        </w:rPr>
        <w:t>由</w:t>
      </w:r>
      <w:r w:rsidRPr="001663AE">
        <w:t xml:space="preserve"> </w:t>
      </w:r>
      <w:r w:rsidRPr="001663AE">
        <w:rPr>
          <w:rFonts w:hint="eastAsia"/>
        </w:rPr>
        <w:t>和</w:t>
      </w:r>
      <w:r w:rsidRPr="001663AE">
        <w:t xml:space="preserve"> </w:t>
      </w:r>
      <w:r w:rsidRPr="001663AE">
        <w:rPr>
          <w:rFonts w:hint="eastAsia"/>
        </w:rPr>
        <w:t>安</w:t>
      </w:r>
      <w:r w:rsidRPr="001663AE">
        <w:t xml:space="preserve"> </w:t>
      </w:r>
      <w:r w:rsidRPr="001663AE">
        <w:rPr>
          <w:rFonts w:hint="eastAsia"/>
        </w:rPr>
        <w:t>全</w:t>
      </w:r>
      <w:r w:rsidRPr="001663AE">
        <w:t xml:space="preserve"> </w:t>
      </w:r>
      <w:r w:rsidRPr="001663AE">
        <w:rPr>
          <w:rFonts w:hint="eastAsia"/>
        </w:rPr>
        <w:t>。</w:t>
      </w:r>
      <w:r w:rsidRPr="001663AE">
        <w:t xml:space="preserve"> </w:t>
      </w:r>
      <w:r w:rsidRPr="001663AE">
        <w:rPr>
          <w:rFonts w:hint="eastAsia"/>
        </w:rPr>
        <w:t>任</w:t>
      </w:r>
      <w:r w:rsidRPr="001663AE">
        <w:t xml:space="preserve"> </w:t>
      </w:r>
      <w:r w:rsidRPr="001663AE">
        <w:rPr>
          <w:rFonts w:hint="eastAsia"/>
        </w:rPr>
        <w:t>何</w:t>
      </w:r>
      <w:r w:rsidRPr="001663AE">
        <w:t xml:space="preserve"> </w:t>
      </w:r>
      <w:r w:rsidRPr="001663AE">
        <w:rPr>
          <w:rFonts w:hint="eastAsia"/>
        </w:rPr>
        <w:t>人</w:t>
      </w:r>
      <w:r w:rsidRPr="001663AE">
        <w:t xml:space="preserve"> </w:t>
      </w:r>
      <w:r w:rsidRPr="001663AE">
        <w:rPr>
          <w:rFonts w:hint="eastAsia"/>
        </w:rPr>
        <w:t>不</w:t>
      </w:r>
      <w:r w:rsidRPr="001663AE">
        <w:t xml:space="preserve"> </w:t>
      </w:r>
      <w:r w:rsidRPr="001663AE">
        <w:rPr>
          <w:rFonts w:hint="eastAsia"/>
        </w:rPr>
        <w:t>得</w:t>
      </w:r>
      <w:r w:rsidRPr="001663AE">
        <w:t xml:space="preserve"> </w:t>
      </w:r>
      <w:r w:rsidRPr="001663AE">
        <w:rPr>
          <w:rFonts w:hint="eastAsia"/>
        </w:rPr>
        <w:t>加</w:t>
      </w:r>
      <w:r w:rsidRPr="001663AE">
        <w:t xml:space="preserve"> </w:t>
      </w:r>
      <w:r w:rsidRPr="001663AE">
        <w:rPr>
          <w:rFonts w:hint="eastAsia"/>
        </w:rPr>
        <w:t>以</w:t>
      </w:r>
      <w:r w:rsidRPr="001663AE">
        <w:t xml:space="preserve"> </w:t>
      </w:r>
      <w:r w:rsidRPr="001663AE">
        <w:rPr>
          <w:rFonts w:hint="eastAsia"/>
        </w:rPr>
        <w:t>任</w:t>
      </w:r>
      <w:r w:rsidRPr="001663AE">
        <w:t xml:space="preserve"> </w:t>
      </w:r>
      <w:r w:rsidRPr="001663AE">
        <w:rPr>
          <w:rFonts w:hint="eastAsia"/>
        </w:rPr>
        <w:t>意</w:t>
      </w:r>
      <w:r w:rsidRPr="001663AE">
        <w:t xml:space="preserve"> </w:t>
      </w:r>
      <w:r w:rsidRPr="001663AE">
        <w:rPr>
          <w:rFonts w:hint="eastAsia"/>
        </w:rPr>
        <w:t>逮</w:t>
      </w:r>
      <w:r w:rsidRPr="001663AE">
        <w:t xml:space="preserve"> </w:t>
      </w:r>
      <w:r w:rsidRPr="001663AE">
        <w:rPr>
          <w:rFonts w:hint="eastAsia"/>
        </w:rPr>
        <w:t>捕</w:t>
      </w:r>
      <w:r w:rsidRPr="001663AE">
        <w:t xml:space="preserve"> </w:t>
      </w:r>
      <w:r w:rsidRPr="001663AE">
        <w:rPr>
          <w:rFonts w:hint="eastAsia"/>
        </w:rPr>
        <w:t>或</w:t>
      </w:r>
      <w:r w:rsidRPr="001663AE">
        <w:t xml:space="preserve"> </w:t>
      </w:r>
      <w:r w:rsidRPr="001663AE">
        <w:rPr>
          <w:rFonts w:hint="eastAsia"/>
        </w:rPr>
        <w:t>拘</w:t>
      </w:r>
      <w:r w:rsidRPr="001663AE">
        <w:t xml:space="preserve"> </w:t>
      </w:r>
      <w:r w:rsidRPr="001663AE">
        <w:rPr>
          <w:rFonts w:hint="eastAsia"/>
        </w:rPr>
        <w:t>禁</w:t>
      </w:r>
      <w:r w:rsidRPr="001663AE">
        <w:t xml:space="preserve"> </w:t>
      </w:r>
      <w:r w:rsidRPr="001663AE">
        <w:rPr>
          <w:rFonts w:hint="eastAsia"/>
        </w:rPr>
        <w:t>。</w:t>
      </w:r>
      <w:r w:rsidRPr="001663AE">
        <w:t xml:space="preserve"> </w:t>
      </w:r>
      <w:r w:rsidRPr="001663AE">
        <w:rPr>
          <w:rFonts w:hint="eastAsia"/>
        </w:rPr>
        <w:t>除</w:t>
      </w:r>
      <w:r w:rsidRPr="001663AE">
        <w:t xml:space="preserve"> </w:t>
      </w:r>
      <w:r w:rsidRPr="001663AE">
        <w:rPr>
          <w:rFonts w:hint="eastAsia"/>
        </w:rPr>
        <w:t>非</w:t>
      </w:r>
      <w:r w:rsidRPr="001663AE">
        <w:t xml:space="preserve"> </w:t>
      </w:r>
      <w:r w:rsidRPr="001663AE">
        <w:rPr>
          <w:rFonts w:hint="eastAsia"/>
        </w:rPr>
        <w:t>依</w:t>
      </w:r>
      <w:r w:rsidRPr="001663AE">
        <w:t xml:space="preserve"> </w:t>
      </w:r>
      <w:r w:rsidRPr="001663AE">
        <w:rPr>
          <w:rFonts w:hint="eastAsia"/>
        </w:rPr>
        <w:t>照</w:t>
      </w:r>
      <w:r w:rsidRPr="001663AE">
        <w:t xml:space="preserve"> </w:t>
      </w:r>
      <w:r w:rsidRPr="001663AE">
        <w:rPr>
          <w:rFonts w:hint="eastAsia"/>
        </w:rPr>
        <w:t>法</w:t>
      </w:r>
      <w:r w:rsidRPr="001663AE">
        <w:t xml:space="preserve"> </w:t>
      </w:r>
      <w:r w:rsidRPr="001663AE">
        <w:rPr>
          <w:rFonts w:hint="eastAsia"/>
        </w:rPr>
        <w:t>律</w:t>
      </w:r>
      <w:r w:rsidRPr="001663AE">
        <w:t xml:space="preserve"> </w:t>
      </w:r>
      <w:r w:rsidRPr="001663AE">
        <w:rPr>
          <w:rFonts w:hint="eastAsia"/>
        </w:rPr>
        <w:t>所</w:t>
      </w:r>
      <w:r w:rsidRPr="001663AE">
        <w:t xml:space="preserve"> </w:t>
      </w:r>
      <w:r w:rsidRPr="001663AE">
        <w:rPr>
          <w:rFonts w:hint="eastAsia"/>
        </w:rPr>
        <w:t>確</w:t>
      </w:r>
      <w:r w:rsidRPr="001663AE">
        <w:t xml:space="preserve"> </w:t>
      </w:r>
      <w:r w:rsidRPr="001663AE">
        <w:rPr>
          <w:rFonts w:hint="eastAsia"/>
        </w:rPr>
        <w:t>定</w:t>
      </w:r>
      <w:r w:rsidRPr="001663AE">
        <w:t xml:space="preserve"> </w:t>
      </w:r>
      <w:r w:rsidRPr="001663AE">
        <w:rPr>
          <w:rFonts w:hint="eastAsia"/>
        </w:rPr>
        <w:t>的</w:t>
      </w:r>
      <w:r w:rsidRPr="001663AE">
        <w:t xml:space="preserve"> </w:t>
      </w:r>
      <w:r w:rsidRPr="001663AE">
        <w:rPr>
          <w:rFonts w:hint="eastAsia"/>
        </w:rPr>
        <w:t>根</w:t>
      </w:r>
      <w:r w:rsidRPr="001663AE">
        <w:t xml:space="preserve"> </w:t>
      </w:r>
      <w:r w:rsidRPr="001663AE">
        <w:rPr>
          <w:rFonts w:hint="eastAsia"/>
        </w:rPr>
        <w:t>據</w:t>
      </w:r>
      <w:r w:rsidRPr="001663AE">
        <w:t xml:space="preserve"> </w:t>
      </w:r>
      <w:r w:rsidRPr="001663AE">
        <w:rPr>
          <w:rFonts w:hint="eastAsia"/>
        </w:rPr>
        <w:t>和</w:t>
      </w:r>
      <w:r w:rsidRPr="001663AE">
        <w:t xml:space="preserve"> </w:t>
      </w:r>
      <w:r w:rsidRPr="001663AE">
        <w:rPr>
          <w:rFonts w:hint="eastAsia"/>
        </w:rPr>
        <w:t>程</w:t>
      </w:r>
      <w:r w:rsidRPr="001663AE">
        <w:t xml:space="preserve"> </w:t>
      </w:r>
      <w:r w:rsidRPr="001663AE">
        <w:rPr>
          <w:rFonts w:hint="eastAsia"/>
        </w:rPr>
        <w:t>序</w:t>
      </w:r>
      <w:r w:rsidRPr="001663AE">
        <w:t xml:space="preserve"> </w:t>
      </w:r>
      <w:r w:rsidRPr="001663AE">
        <w:rPr>
          <w:rFonts w:hint="eastAsia"/>
        </w:rPr>
        <w:t>，</w:t>
      </w:r>
      <w:r w:rsidRPr="001663AE">
        <w:t xml:space="preserve"> </w:t>
      </w:r>
      <w:r w:rsidRPr="001663AE">
        <w:rPr>
          <w:rFonts w:hint="eastAsia"/>
        </w:rPr>
        <w:t>任</w:t>
      </w:r>
      <w:r w:rsidRPr="001663AE">
        <w:t xml:space="preserve"> </w:t>
      </w:r>
      <w:r w:rsidRPr="001663AE">
        <w:rPr>
          <w:rFonts w:hint="eastAsia"/>
        </w:rPr>
        <w:t>何</w:t>
      </w:r>
      <w:r w:rsidRPr="001663AE">
        <w:t xml:space="preserve"> </w:t>
      </w:r>
      <w:r w:rsidRPr="001663AE">
        <w:rPr>
          <w:rFonts w:hint="eastAsia"/>
        </w:rPr>
        <w:t>人</w:t>
      </w:r>
      <w:r w:rsidRPr="001663AE">
        <w:t xml:space="preserve"> </w:t>
      </w:r>
      <w:r w:rsidRPr="001663AE">
        <w:rPr>
          <w:rFonts w:hint="eastAsia"/>
        </w:rPr>
        <w:t>不</w:t>
      </w:r>
      <w:r w:rsidRPr="001663AE">
        <w:t xml:space="preserve"> </w:t>
      </w:r>
      <w:r w:rsidRPr="001663AE">
        <w:rPr>
          <w:rFonts w:hint="eastAsia"/>
        </w:rPr>
        <w:t>得</w:t>
      </w:r>
      <w:r w:rsidRPr="001663AE">
        <w:t xml:space="preserve"> </w:t>
      </w:r>
      <w:r w:rsidRPr="001663AE">
        <w:rPr>
          <w:rFonts w:hint="eastAsia"/>
        </w:rPr>
        <w:t>被</w:t>
      </w:r>
      <w:r w:rsidRPr="001663AE">
        <w:t xml:space="preserve"> </w:t>
      </w:r>
      <w:r w:rsidRPr="001663AE">
        <w:rPr>
          <w:rFonts w:hint="eastAsia"/>
        </w:rPr>
        <w:t>剝</w:t>
      </w:r>
      <w:r w:rsidRPr="001663AE">
        <w:t xml:space="preserve"> </w:t>
      </w:r>
      <w:r w:rsidRPr="001663AE">
        <w:rPr>
          <w:rFonts w:hint="eastAsia"/>
        </w:rPr>
        <w:t>奪</w:t>
      </w:r>
      <w:r w:rsidRPr="001663AE">
        <w:t xml:space="preserve"> </w:t>
      </w:r>
      <w:r w:rsidRPr="001663AE">
        <w:rPr>
          <w:rFonts w:hint="eastAsia"/>
        </w:rPr>
        <w:t>自</w:t>
      </w:r>
      <w:r w:rsidRPr="001663AE">
        <w:t xml:space="preserve"> </w:t>
      </w:r>
      <w:r w:rsidRPr="001663AE">
        <w:rPr>
          <w:rFonts w:hint="eastAsia"/>
        </w:rPr>
        <w:t>由</w:t>
      </w:r>
      <w:r w:rsidRPr="001663AE">
        <w:t xml:space="preserve"> </w:t>
      </w:r>
      <w:r w:rsidRPr="001663AE">
        <w:rPr>
          <w:rFonts w:hint="eastAsia"/>
        </w:rPr>
        <w:t>。</w:t>
      </w:r>
      <w:r w:rsidRPr="001663AE">
        <w:rPr>
          <w:rFonts w:hint="eastAsia"/>
          <w:spacing w:val="-20"/>
        </w:rPr>
        <w:t>」</w:t>
      </w:r>
    </w:p>
  </w:footnote>
  <w:footnote w:id="823">
    <w:p w14:paraId="61493613" w14:textId="77777777" w:rsidR="00CA23FA" w:rsidRPr="001663AE" w:rsidRDefault="00CA23FA" w:rsidP="00EE7383">
      <w:pPr>
        <w:pStyle w:val="3"/>
        <w:jc w:val="left"/>
      </w:pPr>
      <w:r w:rsidRPr="001663AE">
        <w:rPr>
          <w:rStyle w:val="af3"/>
          <w:rFonts w:ascii="新細明體" w:hAnsi="新細明體"/>
        </w:rPr>
        <w:footnoteRef/>
      </w:r>
      <w:r w:rsidRPr="001663AE">
        <w:rPr>
          <w:rFonts w:hint="eastAsia"/>
        </w:rPr>
        <w:t>「公民與政治權利國際公約任擇議決書」第二條：「凡聲稱其在盟約規定下之任何權利遭受侵害之個人，如對可以運用之國內救濟辦法，悉已採用無遺，得向人權事宜委員會書面提出聲請，由委員會審查」。</w:t>
      </w:r>
    </w:p>
  </w:footnote>
  <w:footnote w:id="824">
    <w:p w14:paraId="50AC5AB5" w14:textId="77777777" w:rsidR="00CA23FA" w:rsidRPr="001663AE" w:rsidRDefault="00CA23FA" w:rsidP="00D87D91">
      <w:pPr>
        <w:pStyle w:val="3"/>
      </w:pPr>
      <w:r w:rsidRPr="001663AE">
        <w:rPr>
          <w:rStyle w:val="af3"/>
          <w:rFonts w:ascii="新細明體" w:hAnsi="新細明體"/>
          <w:szCs w:val="20"/>
        </w:rPr>
        <w:footnoteRef/>
      </w:r>
      <w:r w:rsidRPr="001663AE">
        <w:rPr>
          <w:rFonts w:cs="新細明體" w:hint="eastAsia"/>
          <w:kern w:val="0"/>
          <w:lang w:bidi="bn-IN"/>
        </w:rPr>
        <w:t>張文貞，</w:t>
      </w:r>
      <w:r w:rsidRPr="001663AE">
        <w:rPr>
          <w:rFonts w:cs="新細明體"/>
          <w:kern w:val="0"/>
          <w:lang w:bidi="bn-IN"/>
        </w:rPr>
        <w:t>2009</w:t>
      </w:r>
      <w:r w:rsidRPr="001663AE">
        <w:rPr>
          <w:rFonts w:cs="新細明體" w:hint="eastAsia"/>
          <w:kern w:val="0"/>
          <w:lang w:bidi="bn-IN"/>
        </w:rPr>
        <w:t>年，</w:t>
      </w:r>
      <w:r w:rsidRPr="001663AE">
        <w:rPr>
          <w:rFonts w:hint="eastAsia"/>
        </w:rPr>
        <w:t>公民與政治權利國際公約概論</w:t>
      </w:r>
      <w:r>
        <w:t>〜</w:t>
      </w:r>
      <w:r w:rsidRPr="001663AE">
        <w:rPr>
          <w:rFonts w:cs="新細明體" w:hint="eastAsia"/>
          <w:kern w:val="0"/>
          <w:lang w:bidi="bn-IN"/>
        </w:rPr>
        <w:t>「人權公約與公民倡議系列工作坊」演講摘要</w:t>
      </w:r>
      <w:r w:rsidRPr="001663AE">
        <w:rPr>
          <w:rFonts w:hint="eastAsia"/>
        </w:rPr>
        <w:t>，</w:t>
      </w:r>
      <w:hyperlink r:id="rId206" w:history="1">
        <w:r w:rsidRPr="005E5AE3">
          <w:rPr>
            <w:rStyle w:val="a5"/>
            <w:rFonts w:ascii="Arial Unicode MS" w:eastAsia="新細明體" w:hAnsi="Arial Unicode MS"/>
            <w:sz w:val="18"/>
          </w:rPr>
          <w:t>http://www.amnesty.tw/?p=939</w:t>
        </w:r>
      </w:hyperlink>
      <w:r w:rsidRPr="001663AE">
        <w:t xml:space="preserve"> </w:t>
      </w:r>
      <w:r w:rsidRPr="001663AE">
        <w:rPr>
          <w:rFonts w:hint="eastAsia"/>
        </w:rPr>
        <w:t>。</w:t>
      </w:r>
      <w:r w:rsidRPr="001663AE">
        <w:t xml:space="preserve"> </w:t>
      </w:r>
      <w:r w:rsidRPr="001663AE">
        <w:rPr>
          <w:rFonts w:hint="eastAsia"/>
        </w:rPr>
        <w:t>瀏覽日期</w:t>
      </w:r>
      <w:r w:rsidRPr="001663AE">
        <w:t>2013</w:t>
      </w:r>
      <w:r w:rsidRPr="001663AE">
        <w:rPr>
          <w:rFonts w:hint="eastAsia"/>
        </w:rPr>
        <w:t>年</w:t>
      </w:r>
      <w:r w:rsidRPr="001663AE">
        <w:t>4</w:t>
      </w:r>
      <w:r w:rsidRPr="001663AE">
        <w:rPr>
          <w:rFonts w:hint="eastAsia"/>
        </w:rPr>
        <w:t>月。</w:t>
      </w:r>
    </w:p>
  </w:footnote>
  <w:footnote w:id="825">
    <w:p w14:paraId="7F20A97E" w14:textId="77777777" w:rsidR="00CA23FA" w:rsidRPr="001663AE" w:rsidRDefault="00CA23FA" w:rsidP="00D87D91">
      <w:pPr>
        <w:pStyle w:val="3"/>
      </w:pPr>
      <w:r w:rsidRPr="001663AE">
        <w:rPr>
          <w:rStyle w:val="af3"/>
          <w:rFonts w:ascii="新細明體" w:hAnsi="新細明體"/>
        </w:rPr>
        <w:footnoteRef/>
      </w:r>
      <w:r w:rsidRPr="001663AE">
        <w:rPr>
          <w:rFonts w:hint="eastAsia"/>
        </w:rPr>
        <w:t>兩公約施行法第五條：各級政府機關應確實依現行法令規定之業務職掌，負責籌劃、推動及執行兩公約規定事項；其涉及不同機關業務職掌者，相互間應協調連繫辦理。</w:t>
      </w:r>
    </w:p>
  </w:footnote>
  <w:footnote w:id="826">
    <w:p w14:paraId="23133B84" w14:textId="77777777" w:rsidR="00CA23FA" w:rsidRPr="001663AE" w:rsidRDefault="00CA23FA" w:rsidP="00D87D91">
      <w:pPr>
        <w:pStyle w:val="3"/>
      </w:pPr>
      <w:r w:rsidRPr="001663AE">
        <w:rPr>
          <w:rStyle w:val="af3"/>
          <w:rFonts w:ascii="新細明體" w:hAnsi="新細明體"/>
        </w:rPr>
        <w:footnoteRef/>
      </w:r>
      <w:r w:rsidRPr="001663AE">
        <w:rPr>
          <w:rFonts w:hint="eastAsia"/>
        </w:rPr>
        <w:t>兩公約施行法第七條：各級政府機關執行兩公約保障各項人權規定所需之經費，應依財政狀況，優先編列，逐步實施。</w:t>
      </w:r>
    </w:p>
  </w:footnote>
  <w:footnote w:id="827">
    <w:p w14:paraId="33DEEA6E" w14:textId="77777777" w:rsidR="00CA23FA" w:rsidRPr="001663AE" w:rsidRDefault="00CA23FA" w:rsidP="00D87D91">
      <w:pPr>
        <w:pStyle w:val="3"/>
      </w:pPr>
      <w:r w:rsidRPr="001663AE">
        <w:rPr>
          <w:rStyle w:val="af3"/>
          <w:rFonts w:ascii="新細明體" w:hAnsi="新細明體"/>
        </w:rPr>
        <w:footnoteRef/>
      </w:r>
      <w:r w:rsidRPr="001663AE">
        <w:rPr>
          <w:rFonts w:hint="eastAsia"/>
        </w:rPr>
        <w:t>兩公約施行法第八條：各級政府機關應依兩公約規定之內容，檢討所主管之法令及行政措施，有不符兩公約規定者，應於本法施行後二年內，完成法令之制（訂）定、修正或廢止及行政措施之改進。</w:t>
      </w:r>
    </w:p>
  </w:footnote>
  <w:footnote w:id="828">
    <w:p w14:paraId="09D44FA3" w14:textId="77777777" w:rsidR="00CA23FA" w:rsidRPr="001663AE" w:rsidRDefault="00CA23FA" w:rsidP="00D87D91">
      <w:pPr>
        <w:pStyle w:val="3"/>
      </w:pPr>
      <w:r w:rsidRPr="001663AE">
        <w:rPr>
          <w:rStyle w:val="af3"/>
          <w:rFonts w:ascii="新細明體" w:hAnsi="新細明體"/>
          <w:szCs w:val="20"/>
        </w:rPr>
        <w:footnoteRef/>
      </w:r>
      <w:r w:rsidRPr="001663AE">
        <w:rPr>
          <w:rFonts w:cs="TT28o00" w:hint="eastAsia"/>
        </w:rPr>
        <w:t>張文貞，</w:t>
      </w:r>
      <w:r w:rsidRPr="001663AE">
        <w:t>2009</w:t>
      </w:r>
      <w:r w:rsidRPr="001663AE">
        <w:rPr>
          <w:rFonts w:hint="eastAsia"/>
        </w:rPr>
        <w:t>年，國際人權法與內國憲法的匯流：台灣施行兩大人權公約之後，發表於</w:t>
      </w:r>
      <w:r w:rsidRPr="001663AE">
        <w:rPr>
          <w:rFonts w:cs="新細明體" w:hint="eastAsia"/>
          <w:lang w:bidi="bn-IN"/>
        </w:rPr>
        <w:t>「</w:t>
      </w:r>
      <w:r w:rsidRPr="001663AE">
        <w:rPr>
          <w:rFonts w:hint="eastAsia"/>
        </w:rPr>
        <w:t>台灣法學會</w:t>
      </w:r>
      <w:r w:rsidRPr="001663AE">
        <w:t>2009</w:t>
      </w:r>
      <w:r w:rsidRPr="001663AE">
        <w:rPr>
          <w:rFonts w:hint="eastAsia"/>
        </w:rPr>
        <w:t>年學術研討會</w:t>
      </w:r>
      <w:r w:rsidRPr="001663AE">
        <w:rPr>
          <w:rFonts w:cs="新細明體" w:hint="eastAsia"/>
          <w:lang w:bidi="bn-IN"/>
        </w:rPr>
        <w:t>」</w:t>
      </w:r>
      <w:r w:rsidRPr="001663AE">
        <w:rPr>
          <w:rFonts w:hint="eastAsia"/>
        </w:rPr>
        <w:t>，台灣法學會主辦，臺北。</w:t>
      </w:r>
    </w:p>
  </w:footnote>
  <w:footnote w:id="829">
    <w:p w14:paraId="30FFD33E" w14:textId="77777777" w:rsidR="00CA23FA" w:rsidRPr="001663AE" w:rsidRDefault="00CA23FA" w:rsidP="00D87D91">
      <w:pPr>
        <w:pStyle w:val="3"/>
      </w:pPr>
      <w:r w:rsidRPr="001663AE">
        <w:rPr>
          <w:rStyle w:val="af3"/>
          <w:rFonts w:ascii="新細明體" w:hAnsi="新細明體"/>
        </w:rPr>
        <w:footnoteRef/>
      </w:r>
      <w:r w:rsidRPr="001663AE">
        <w:rPr>
          <w:rFonts w:hint="eastAsia"/>
        </w:rPr>
        <w:t>兩公約施行法第四條：各級政府機關行使其職權，應符合兩公約有關人權保障之規定，避免侵害人權，保護人民不受他人侵害，並應積極促進各項人權之實現。</w:t>
      </w:r>
    </w:p>
  </w:footnote>
  <w:footnote w:id="830">
    <w:p w14:paraId="6157BFBF" w14:textId="77777777" w:rsidR="00CA23FA" w:rsidRPr="001663AE" w:rsidRDefault="00CA23FA" w:rsidP="00D87D91">
      <w:pPr>
        <w:pStyle w:val="3"/>
      </w:pPr>
      <w:r w:rsidRPr="001663AE">
        <w:rPr>
          <w:rStyle w:val="af3"/>
          <w:rFonts w:ascii="新細明體" w:hAnsi="新細明體"/>
        </w:rPr>
        <w:footnoteRef/>
      </w:r>
      <w:r w:rsidRPr="001663AE">
        <w:rPr>
          <w:rFonts w:hint="eastAsia"/>
        </w:rPr>
        <w:t>兩公約施行法第五條：政府應與各國政府、國際間非政府組織及人權機構共同合作，以保護及促進兩公約所保障各項人權之實現。</w:t>
      </w:r>
    </w:p>
  </w:footnote>
  <w:footnote w:id="831">
    <w:p w14:paraId="7E63F480" w14:textId="77777777" w:rsidR="00CA23FA" w:rsidRPr="001663AE" w:rsidRDefault="00CA23FA" w:rsidP="00D87D91">
      <w:pPr>
        <w:pStyle w:val="3"/>
        <w:rPr>
          <w:rFonts w:cs="Arial"/>
        </w:rPr>
      </w:pPr>
      <w:r w:rsidRPr="001663AE">
        <w:rPr>
          <w:rStyle w:val="af3"/>
          <w:rFonts w:ascii="新細明體" w:hAnsi="新細明體"/>
          <w:szCs w:val="20"/>
        </w:rPr>
        <w:footnoteRef/>
      </w:r>
      <w:r w:rsidRPr="001663AE">
        <w:rPr>
          <w:rFonts w:hint="eastAsia"/>
        </w:rPr>
        <w:t>楊清民，</w:t>
      </w:r>
      <w:r w:rsidRPr="001663AE">
        <w:t>2006</w:t>
      </w:r>
      <w:r w:rsidRPr="001663AE">
        <w:rPr>
          <w:rFonts w:hint="eastAsia"/>
        </w:rPr>
        <w:t>年，同前註。</w:t>
      </w:r>
      <w:r w:rsidRPr="001663AE">
        <w:rPr>
          <w:rFonts w:cs="Arial"/>
        </w:rPr>
        <w:t xml:space="preserve"> </w:t>
      </w:r>
    </w:p>
    <w:p w14:paraId="5BA7C4D7" w14:textId="77777777" w:rsidR="00CA23FA" w:rsidRPr="001663AE" w:rsidRDefault="00CA23FA" w:rsidP="00D87D91">
      <w:pPr>
        <w:pStyle w:val="3"/>
      </w:pPr>
    </w:p>
  </w:footnote>
  <w:footnote w:id="832">
    <w:p w14:paraId="4E374D23" w14:textId="77777777" w:rsidR="00CA23FA" w:rsidRPr="001663AE" w:rsidRDefault="00CA23FA" w:rsidP="00D87D91">
      <w:pPr>
        <w:pStyle w:val="3"/>
        <w:rPr>
          <w:lang w:eastAsia="x-none"/>
        </w:rPr>
      </w:pPr>
      <w:r w:rsidRPr="001663AE">
        <w:rPr>
          <w:rStyle w:val="af3"/>
          <w:rFonts w:ascii="新細明體" w:hAnsi="新細明體"/>
        </w:rPr>
        <w:footnoteRef/>
      </w:r>
      <w:r w:rsidRPr="001663AE">
        <w:t xml:space="preserve"> United Nations Office on Drug and Crime(2010). Smuggling of Migrants :A Global Review and Annotated Bibliography of Recent Publications, pp6-12.</w:t>
      </w:r>
    </w:p>
  </w:footnote>
  <w:footnote w:id="833">
    <w:p w14:paraId="3A971A2C" w14:textId="77777777"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51D3D762" w14:textId="77777777"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34">
    <w:p w14:paraId="46FABCCB"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「聯合國打擊跨國有組織犯罪公約關於打擊陸、海、空偷運移民之補充議定書」又名為「遷徙偷渡議定書」（</w:t>
      </w:r>
      <w:r w:rsidRPr="001663AE">
        <w:t>Migrant Smuggling Protocol</w:t>
      </w:r>
      <w:r w:rsidRPr="001663AE">
        <w:rPr>
          <w:rFonts w:hint="eastAsia"/>
        </w:rPr>
        <w:t>）。</w:t>
      </w:r>
    </w:p>
  </w:footnote>
  <w:footnote w:id="835">
    <w:p w14:paraId="1C298AB2" w14:textId="77777777" w:rsidR="00CA23FA" w:rsidRPr="00515D85" w:rsidRDefault="00CA23FA" w:rsidP="00D87D91">
      <w:pPr>
        <w:pStyle w:val="3"/>
      </w:pPr>
      <w:r w:rsidRPr="00515D85">
        <w:rPr>
          <w:rStyle w:val="af3"/>
          <w:rFonts w:ascii="新細明體" w:hAnsi="新細明體"/>
          <w:szCs w:val="18"/>
        </w:rPr>
        <w:footnoteRef/>
      </w:r>
      <w:r w:rsidRPr="00515D85">
        <w:t xml:space="preserve"> United Nations Office on Drug and Crime(2010). Smuggling of Migrants : A Global Review and Annotated Bibliography of Recent Publications, pp6-12.</w:t>
      </w:r>
    </w:p>
    <w:p w14:paraId="00BA8511" w14:textId="77777777" w:rsidR="00CA23FA" w:rsidRPr="00515D85" w:rsidRDefault="00CA23FA" w:rsidP="00D87D91">
      <w:pPr>
        <w:pStyle w:val="3"/>
        <w:rPr>
          <w:rFonts w:cs="華康標楷體(P)"/>
        </w:rPr>
      </w:pPr>
      <w:r w:rsidRPr="00515D85">
        <w:rPr>
          <w:rStyle w:val="A20"/>
          <w:rFonts w:ascii="新細明體" w:hAnsi="新細明體" w:cs="Vrinda" w:hint="eastAsia"/>
          <w:color w:val="808000"/>
          <w:sz w:val="18"/>
          <w:szCs w:val="18"/>
        </w:rPr>
        <w:t>柯雨瑞</w:t>
      </w:r>
      <w:r w:rsidRPr="00515D85">
        <w:rPr>
          <w:rFonts w:hint="eastAsia"/>
        </w:rPr>
        <w:t>、蔡政杰</w:t>
      </w:r>
      <w:r w:rsidRPr="00515D85">
        <w:t>(2014)</w:t>
      </w:r>
      <w:r w:rsidRPr="00515D85">
        <w:rPr>
          <w:rFonts w:hint="eastAsia"/>
        </w:rPr>
        <w:t>，人口販運問題之現況與回應對策，中央警察大學國土安全與國境管理學報第</w:t>
      </w:r>
      <w:r w:rsidRPr="00515D85">
        <w:t>22</w:t>
      </w:r>
      <w:r w:rsidRPr="00515D85">
        <w:rPr>
          <w:rFonts w:hint="eastAsia"/>
        </w:rPr>
        <w:t>期，頁</w:t>
      </w:r>
      <w:r w:rsidRPr="00515D85">
        <w:t>79-142</w:t>
      </w:r>
      <w:r w:rsidRPr="00515D85">
        <w:rPr>
          <w:rFonts w:cs="華康標楷體(P)" w:hint="eastAsia"/>
        </w:rPr>
        <w:t>。</w:t>
      </w:r>
    </w:p>
    <w:p w14:paraId="0E8F8BB6" w14:textId="77777777" w:rsidR="00CA23FA" w:rsidRPr="00515D85" w:rsidRDefault="00CA23FA" w:rsidP="00D87D91">
      <w:pPr>
        <w:pStyle w:val="3"/>
      </w:pPr>
      <w:r w:rsidRPr="000E25C7">
        <w:rPr>
          <w:rStyle w:val="afc"/>
          <w:rFonts w:ascii="新細明體" w:hAnsi="新細明體" w:hint="eastAsia"/>
          <w:b w:val="0"/>
          <w:szCs w:val="18"/>
        </w:rPr>
        <w:t>柯雨瑞、蔡政杰</w:t>
      </w:r>
      <w:r w:rsidRPr="000E25C7">
        <w:rPr>
          <w:rStyle w:val="afc"/>
          <w:rFonts w:ascii="新細明體" w:hAnsi="新細明體"/>
          <w:b w:val="0"/>
          <w:szCs w:val="18"/>
        </w:rPr>
        <w:t>(2014)</w:t>
      </w:r>
      <w:r w:rsidRPr="00515D85">
        <w:rPr>
          <w:rFonts w:hint="eastAsia"/>
          <w:spacing w:val="-32"/>
        </w:rPr>
        <w:t>，</w:t>
      </w:r>
      <w:r w:rsidRPr="00515D85">
        <w:rPr>
          <w:rFonts w:hint="eastAsia"/>
        </w:rPr>
        <w:t>人口販運防治，收錄於中央警察大學國境警察學系</w:t>
      </w:r>
      <w:r w:rsidRPr="00515D85">
        <w:t>2014</w:t>
      </w:r>
      <w:r w:rsidRPr="00515D85">
        <w:rPr>
          <w:rFonts w:hint="eastAsia"/>
        </w:rPr>
        <w:t>年『國境管理與執法』學術研討會論文集，頁</w:t>
      </w:r>
      <w:r w:rsidRPr="00515D85">
        <w:t>95-114</w:t>
      </w:r>
      <w:r w:rsidRPr="00515D85">
        <w:rPr>
          <w:rFonts w:hint="eastAsia"/>
        </w:rPr>
        <w:t>。</w:t>
      </w:r>
    </w:p>
  </w:footnote>
  <w:footnote w:id="836">
    <w:p w14:paraId="33EF70E1" w14:textId="77777777" w:rsidR="00CA23FA" w:rsidRPr="00515D85" w:rsidRDefault="00CA23FA" w:rsidP="00D87D91">
      <w:pPr>
        <w:pStyle w:val="3"/>
      </w:pPr>
      <w:r w:rsidRPr="00515D85">
        <w:rPr>
          <w:rStyle w:val="af3"/>
          <w:rFonts w:ascii="新細明體" w:hAnsi="新細明體"/>
          <w:szCs w:val="18"/>
        </w:rPr>
        <w:footnoteRef/>
      </w:r>
      <w:r w:rsidRPr="00515D85">
        <w:t xml:space="preserve"> United Nations Office on Drug and Crime(2010). Smuggling of Migrants : A Global Review and Annotated Bibliography of Recent Publications, pp6-12.</w:t>
      </w:r>
      <w:r w:rsidRPr="00515D85">
        <w:rPr>
          <w:rFonts w:hint="eastAsia"/>
        </w:rPr>
        <w:t xml:space="preserve"> </w:t>
      </w:r>
    </w:p>
  </w:footnote>
  <w:footnote w:id="837">
    <w:p w14:paraId="03CA29B7"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葉毓蘭（</w:t>
      </w:r>
      <w:r w:rsidRPr="001663AE">
        <w:t>2010</w:t>
      </w:r>
      <w:r w:rsidRPr="001663AE">
        <w:rPr>
          <w:rFonts w:hint="eastAsia"/>
        </w:rPr>
        <w:t>），涉外執法政策的擬定與執行：以人口販運為例，收錄於中央警察大學外事警察研究所舉辦之「</w:t>
      </w:r>
      <w:r w:rsidRPr="001663AE">
        <w:t>2010</w:t>
      </w:r>
      <w:r w:rsidRPr="001663AE">
        <w:rPr>
          <w:rFonts w:hint="eastAsia"/>
        </w:rPr>
        <w:t>年涉外執法政策與實務學術研討會論文集」，頁</w:t>
      </w:r>
      <w:r w:rsidRPr="001663AE">
        <w:t>119-146</w:t>
      </w:r>
      <w:r w:rsidRPr="001663AE">
        <w:rPr>
          <w:rFonts w:hint="eastAsia"/>
        </w:rPr>
        <w:t>。</w:t>
      </w:r>
    </w:p>
  </w:footnote>
  <w:footnote w:id="838">
    <w:p w14:paraId="7DAF15A0" w14:textId="77777777" w:rsidR="00CA23FA" w:rsidRPr="001663AE" w:rsidRDefault="00CA23FA" w:rsidP="00D87D91">
      <w:pPr>
        <w:pStyle w:val="3"/>
      </w:pPr>
      <w:r w:rsidRPr="001663AE">
        <w:rPr>
          <w:rStyle w:val="af3"/>
          <w:rFonts w:ascii="新細明體" w:hAnsi="新細明體"/>
        </w:rPr>
        <w:footnoteRef/>
      </w:r>
      <w:r w:rsidRPr="001663AE">
        <w:t xml:space="preserve"> US State Department(2010). </w:t>
      </w:r>
      <w:hyperlink r:id="rId207" w:history="1">
        <w:r w:rsidRPr="001663AE">
          <w:rPr>
            <w:rStyle w:val="a5"/>
          </w:rPr>
          <w:t>Trafficking in Persons Report 2010</w:t>
        </w:r>
      </w:hyperlink>
      <w:r w:rsidRPr="001663AE">
        <w:t xml:space="preserve">, retrieved 11/04, 2010, from </w:t>
      </w:r>
      <w:hyperlink r:id="rId208" w:history="1">
        <w:r w:rsidRPr="001663AE">
          <w:rPr>
            <w:rStyle w:val="a5"/>
          </w:rPr>
          <w:t>http://www.state.gov/g/tip/rls/tiprpt/2010/142744.htm</w:t>
        </w:r>
      </w:hyperlink>
      <w:r w:rsidRPr="001663AE">
        <w:t>.</w:t>
      </w:r>
    </w:p>
    <w:p w14:paraId="40DD8FE7" w14:textId="77777777" w:rsidR="00CA23FA" w:rsidRPr="001663AE" w:rsidRDefault="00CA23FA" w:rsidP="00D87D91">
      <w:pPr>
        <w:pStyle w:val="3"/>
      </w:pPr>
      <w:r w:rsidRPr="001663AE">
        <w:t xml:space="preserve">US State Department(2014). </w:t>
      </w:r>
      <w:hyperlink r:id="rId209" w:history="1">
        <w:r w:rsidRPr="001663AE">
          <w:rPr>
            <w:rStyle w:val="a5"/>
          </w:rPr>
          <w:t>Trafficking in Persons Report 201</w:t>
        </w:r>
      </w:hyperlink>
      <w:r w:rsidRPr="001663AE">
        <w:t xml:space="preserve">4 , retrieved 08/04, 2014, from </w:t>
      </w:r>
      <w:hyperlink r:id="rId210" w:history="1">
        <w:r w:rsidRPr="001663AE">
          <w:rPr>
            <w:rStyle w:val="a5"/>
          </w:rPr>
          <w:t>http://www.state.gov/</w:t>
        </w:r>
      </w:hyperlink>
      <w:r w:rsidRPr="001663AE">
        <w:t>.</w:t>
      </w:r>
    </w:p>
  </w:footnote>
  <w:footnote w:id="839">
    <w:p w14:paraId="0EE65B06" w14:textId="77777777"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363EC14F" w14:textId="77777777"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r w:rsidRPr="001663AE">
        <w:rPr>
          <w:rFonts w:hint="eastAsia"/>
        </w:rPr>
        <w:t xml:space="preserve"> </w:t>
      </w:r>
    </w:p>
  </w:footnote>
  <w:footnote w:id="840">
    <w:p w14:paraId="208ABC28" w14:textId="77777777" w:rsidR="00CA23FA" w:rsidRPr="001663AE" w:rsidRDefault="00CA23FA" w:rsidP="00D87D91">
      <w:pPr>
        <w:pStyle w:val="3"/>
      </w:pPr>
      <w:r w:rsidRPr="001663AE">
        <w:rPr>
          <w:rStyle w:val="af3"/>
          <w:rFonts w:ascii="新細明體" w:hAnsi="新細明體"/>
        </w:rPr>
        <w:footnoteRef/>
      </w:r>
      <w:r w:rsidRPr="001663AE">
        <w:rPr>
          <w:rFonts w:hint="eastAsia"/>
        </w:rPr>
        <w:t>聯合國「關於預防、禁止和懲治販運人口特別是婦女和兒童行為議定書」是對聯合國打擊跨國有組織犯罪公約之補充，故本議定書之性質，亦屬於國際公約。</w:t>
      </w:r>
    </w:p>
  </w:footnote>
  <w:footnote w:id="841">
    <w:p w14:paraId="056116D0" w14:textId="77777777" w:rsidR="00CA23FA" w:rsidRPr="001663AE" w:rsidRDefault="00CA23FA" w:rsidP="00D87D91">
      <w:pPr>
        <w:pStyle w:val="3"/>
        <w:rPr>
          <w:rFonts w:ascii="新細明體" w:hAnsi="新細明體"/>
        </w:rPr>
      </w:pPr>
      <w:r w:rsidRPr="001663AE">
        <w:rPr>
          <w:rStyle w:val="af3"/>
          <w:rFonts w:ascii="新細明體" w:hAnsi="新細明體"/>
        </w:rPr>
        <w:footnoteRef/>
      </w:r>
      <w:r w:rsidRPr="001663AE">
        <w:rPr>
          <w:rFonts w:ascii="新細明體" w:hAnsi="新細明體"/>
        </w:rPr>
        <w:t xml:space="preserve"> US State Department(2010). </w:t>
      </w:r>
      <w:hyperlink r:id="rId211" w:history="1">
        <w:r w:rsidRPr="001663AE">
          <w:rPr>
            <w:rStyle w:val="a5"/>
          </w:rPr>
          <w:t>Trafficking in Persons Report 2010</w:t>
        </w:r>
      </w:hyperlink>
      <w:r w:rsidRPr="001663AE">
        <w:rPr>
          <w:rFonts w:ascii="新細明體" w:hAnsi="新細明體"/>
        </w:rPr>
        <w:t xml:space="preserve">, retrieved 11/05, 2010, from </w:t>
      </w:r>
      <w:hyperlink r:id="rId212" w:history="1">
        <w:r w:rsidRPr="001663AE">
          <w:rPr>
            <w:rStyle w:val="a5"/>
          </w:rPr>
          <w:t>http://www.state.gov/g/tip/rls/tiprpt/2010/142744.htm(2010.11)</w:t>
        </w:r>
      </w:hyperlink>
      <w:r w:rsidRPr="001663AE">
        <w:rPr>
          <w:rFonts w:ascii="新細明體" w:hAnsi="新細明體"/>
        </w:rPr>
        <w:t>.</w:t>
      </w:r>
    </w:p>
    <w:p w14:paraId="78B4D997" w14:textId="77777777" w:rsidR="00CA23FA" w:rsidRPr="001663AE" w:rsidRDefault="00CA23FA" w:rsidP="00D87D91">
      <w:pPr>
        <w:pStyle w:val="3"/>
        <w:rPr>
          <w:rFonts w:cs="華康標楷體(P)"/>
        </w:rPr>
      </w:pP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4D0C6041" w14:textId="77777777" w:rsidR="00CA23FA" w:rsidRPr="001663AE" w:rsidRDefault="00CA23FA" w:rsidP="00D87D91">
      <w:pPr>
        <w:pStyle w:val="3"/>
        <w:rPr>
          <w:lang w:eastAsia="x-none"/>
        </w:rPr>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2">
    <w:p w14:paraId="6ED574C1"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亦可名為「關於預防、禁止和懲治販運人口特別是婦女和兒童行為議定書」。</w:t>
      </w:r>
    </w:p>
  </w:footnote>
  <w:footnote w:id="843">
    <w:p w14:paraId="0DECF379" w14:textId="77777777"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56451709" w14:textId="77777777"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4">
    <w:p w14:paraId="3391A94F" w14:textId="77777777"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76190AE5" w14:textId="77777777"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5">
    <w:p w14:paraId="39C3F32B" w14:textId="77777777"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2D549BC1" w14:textId="77777777"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6">
    <w:p w14:paraId="21E7FA81" w14:textId="77777777" w:rsidR="00CA23FA" w:rsidRPr="001663AE" w:rsidRDefault="00CA23FA" w:rsidP="00D87D91">
      <w:pPr>
        <w:pStyle w:val="3"/>
      </w:pPr>
      <w:r w:rsidRPr="001663AE">
        <w:rPr>
          <w:rStyle w:val="af3"/>
          <w:rFonts w:ascii="新細明體" w:hAnsi="新細明體"/>
        </w:rPr>
        <w:footnoteRef/>
      </w:r>
      <w:r w:rsidRPr="001663AE">
        <w:t xml:space="preserve"> US State Department(2010). </w:t>
      </w:r>
      <w:hyperlink r:id="rId213" w:history="1">
        <w:r w:rsidRPr="001663AE">
          <w:rPr>
            <w:rStyle w:val="a5"/>
          </w:rPr>
          <w:t>Trafficking in Persons Report 2010</w:t>
        </w:r>
      </w:hyperlink>
      <w:r w:rsidRPr="001663AE">
        <w:t xml:space="preserve">, retrieved 11/02, 2010, from </w:t>
      </w:r>
      <w:hyperlink r:id="rId214" w:history="1">
        <w:r w:rsidRPr="001663AE">
          <w:rPr>
            <w:rStyle w:val="a5"/>
          </w:rPr>
          <w:t>http://www.state.gov/g/tip/rls/tiprpt/2010/142744.htm</w:t>
        </w:r>
      </w:hyperlink>
      <w:r w:rsidRPr="001663AE">
        <w:t>.</w:t>
      </w:r>
    </w:p>
    <w:p w14:paraId="5B81F3F7" w14:textId="77777777" w:rsidR="00CA23FA" w:rsidRPr="001663AE" w:rsidRDefault="00CA23FA" w:rsidP="00D87D91">
      <w:pPr>
        <w:pStyle w:val="3"/>
      </w:pPr>
      <w:r w:rsidRPr="001663AE">
        <w:t xml:space="preserve">US State Department(2014). </w:t>
      </w:r>
      <w:hyperlink r:id="rId215" w:history="1">
        <w:r w:rsidRPr="001663AE">
          <w:rPr>
            <w:rStyle w:val="a5"/>
          </w:rPr>
          <w:t>Trafficking in Persons Report 201</w:t>
        </w:r>
      </w:hyperlink>
      <w:r w:rsidRPr="001663AE">
        <w:t xml:space="preserve">4 , retrieved 08/04, 2014, from </w:t>
      </w:r>
      <w:hyperlink r:id="rId216" w:history="1">
        <w:r w:rsidRPr="001663AE">
          <w:rPr>
            <w:rStyle w:val="a5"/>
          </w:rPr>
          <w:t>http://www.state.gov/</w:t>
        </w:r>
      </w:hyperlink>
      <w:r w:rsidRPr="001663AE">
        <w:t>.</w:t>
      </w:r>
    </w:p>
    <w:p w14:paraId="2379210D" w14:textId="77777777" w:rsidR="00CA23FA" w:rsidRPr="001663AE" w:rsidRDefault="00CA23FA" w:rsidP="00D87D91">
      <w:pPr>
        <w:pStyle w:val="3"/>
        <w:rPr>
          <w:rFonts w:cs="華康標楷體(P)"/>
        </w:rPr>
      </w:pP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78F5ACC9" w14:textId="77777777"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7">
    <w:p w14:paraId="03F29CA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根據本議定書</w:t>
      </w:r>
      <w:r w:rsidRPr="001663AE">
        <w:t>(</w:t>
      </w:r>
      <w:r w:rsidRPr="001663AE">
        <w:rPr>
          <w:rFonts w:hint="eastAsia"/>
        </w:rPr>
        <w:t>「巴勒莫（摩）議定書」</w:t>
      </w:r>
      <w:r w:rsidRPr="001663AE">
        <w:t>)</w:t>
      </w:r>
      <w:r w:rsidRPr="001663AE">
        <w:rPr>
          <w:rFonts w:hint="eastAsia"/>
        </w:rPr>
        <w:t>第</w:t>
      </w:r>
      <w:r w:rsidRPr="001663AE">
        <w:t>1</w:t>
      </w:r>
      <w:r w:rsidRPr="001663AE">
        <w:rPr>
          <w:rFonts w:hint="eastAsia"/>
        </w:rPr>
        <w:t>條之規定，本議定書與聯合國打擊跨國有組織犯罪公約之關係，如下所述：</w:t>
      </w:r>
    </w:p>
    <w:p w14:paraId="0D704913" w14:textId="77777777" w:rsidR="00CA23FA" w:rsidRPr="001663AE" w:rsidRDefault="00CA23FA" w:rsidP="00D87D91">
      <w:pPr>
        <w:pStyle w:val="3"/>
        <w:rPr>
          <w:lang w:eastAsia="x-none"/>
        </w:rPr>
      </w:pPr>
      <w:r>
        <w:t xml:space="preserve">　　</w:t>
      </w:r>
      <w:r w:rsidRPr="001663AE">
        <w:t xml:space="preserve">1. </w:t>
      </w:r>
      <w:r w:rsidRPr="001663AE">
        <w:rPr>
          <w:rFonts w:hint="eastAsia"/>
        </w:rPr>
        <w:t>本議定書是對聯合國打擊跨國有組織犯罪公約的補充。本議定書應連同公約一併予以解釋。</w:t>
      </w:r>
      <w:r w:rsidRPr="001663AE">
        <w:rPr>
          <w:rFonts w:hint="eastAsia"/>
        </w:rPr>
        <w:t xml:space="preserve"> </w:t>
      </w:r>
    </w:p>
    <w:p w14:paraId="27B01D4B" w14:textId="77777777" w:rsidR="00CA23FA" w:rsidRPr="001663AE" w:rsidRDefault="00CA23FA" w:rsidP="00D87D91">
      <w:pPr>
        <w:pStyle w:val="3"/>
      </w:pPr>
      <w:r>
        <w:t xml:space="preserve">　　</w:t>
      </w:r>
      <w:r w:rsidRPr="001663AE">
        <w:t xml:space="preserve">2. </w:t>
      </w:r>
      <w:r w:rsidRPr="001663AE">
        <w:rPr>
          <w:rFonts w:hint="eastAsia"/>
        </w:rPr>
        <w:t>除非本議定書中另有規定，公約的規定應經適當變通後適用於本議定書。</w:t>
      </w:r>
      <w:r w:rsidRPr="001663AE">
        <w:rPr>
          <w:rFonts w:hint="eastAsia"/>
        </w:rPr>
        <w:t xml:space="preserve"> </w:t>
      </w:r>
    </w:p>
    <w:p w14:paraId="2A609359" w14:textId="77777777" w:rsidR="00CA23FA" w:rsidRPr="001663AE" w:rsidRDefault="00CA23FA" w:rsidP="00D87D91">
      <w:pPr>
        <w:pStyle w:val="3"/>
      </w:pPr>
      <w:r w:rsidRPr="001663AE">
        <w:t xml:space="preserve">3. </w:t>
      </w:r>
      <w:r w:rsidRPr="001663AE">
        <w:rPr>
          <w:rFonts w:hint="eastAsia"/>
        </w:rPr>
        <w:t>根據本議定書第</w:t>
      </w:r>
      <w:r w:rsidRPr="001663AE">
        <w:t>5</w:t>
      </w:r>
      <w:r w:rsidRPr="001663AE">
        <w:rPr>
          <w:rFonts w:hint="eastAsia"/>
        </w:rPr>
        <w:t>條確立的犯罪應視為根據公約確立的犯罪。</w:t>
      </w:r>
      <w:r w:rsidRPr="001663AE">
        <w:rPr>
          <w:rFonts w:hint="eastAsia"/>
        </w:rPr>
        <w:t xml:space="preserve"> </w:t>
      </w:r>
    </w:p>
  </w:footnote>
  <w:footnote w:id="848">
    <w:p w14:paraId="560193A6" w14:textId="77777777" w:rsidR="00CA23FA" w:rsidRPr="001663AE" w:rsidRDefault="00CA23FA" w:rsidP="00D87D91">
      <w:pPr>
        <w:pStyle w:val="3"/>
        <w:rPr>
          <w:lang w:eastAsia="x-none"/>
        </w:rPr>
      </w:pPr>
      <w:r w:rsidRPr="001663AE">
        <w:rPr>
          <w:rStyle w:val="af3"/>
          <w:rFonts w:ascii="新細明體" w:hAnsi="新細明體"/>
        </w:rPr>
        <w:footnoteRef/>
      </w:r>
      <w:r w:rsidRPr="001663AE">
        <w:rPr>
          <w:rFonts w:hint="eastAsia"/>
        </w:rPr>
        <w:t>「巴勒莫（摩）議定書」第</w:t>
      </w:r>
      <w:r w:rsidRPr="001663AE">
        <w:t>3</w:t>
      </w:r>
      <w:r w:rsidRPr="001663AE">
        <w:rPr>
          <w:rFonts w:hint="eastAsia"/>
        </w:rPr>
        <w:t>條</w:t>
      </w:r>
      <w:r>
        <w:t>(</w:t>
      </w:r>
      <w:r w:rsidRPr="001663AE">
        <w:rPr>
          <w:rFonts w:hint="eastAsia"/>
        </w:rPr>
        <w:t>術語的使用</w:t>
      </w:r>
      <w:r w:rsidRPr="001663AE">
        <w:t xml:space="preserve"> )</w:t>
      </w:r>
      <w:r w:rsidRPr="001663AE">
        <w:rPr>
          <w:rFonts w:hint="eastAsia"/>
        </w:rPr>
        <w:t>在本議定書中：</w:t>
      </w:r>
      <w:r w:rsidRPr="001663AE">
        <w:rPr>
          <w:rFonts w:hint="eastAsia"/>
        </w:rPr>
        <w:t xml:space="preserve"> </w:t>
      </w:r>
    </w:p>
    <w:p w14:paraId="158A2ABD" w14:textId="77777777" w:rsidR="00CA23FA" w:rsidRPr="001663AE" w:rsidRDefault="00CA23FA" w:rsidP="00D87D91">
      <w:pPr>
        <w:pStyle w:val="3"/>
      </w:pPr>
      <w:r w:rsidRPr="001663AE">
        <w:rPr>
          <w:rFonts w:hint="eastAsia"/>
        </w:rPr>
        <w:t>（</w:t>
      </w:r>
      <w:r w:rsidRPr="001663AE">
        <w:t>b</w:t>
      </w:r>
      <w:r w:rsidRPr="001663AE">
        <w:rPr>
          <w:rFonts w:hint="eastAsia"/>
        </w:rPr>
        <w:t>）如果已使用本條（</w:t>
      </w:r>
      <w:r w:rsidRPr="001663AE">
        <w:t>a</w:t>
      </w:r>
      <w:r w:rsidRPr="001663AE">
        <w:rPr>
          <w:rFonts w:hint="eastAsia"/>
        </w:rPr>
        <w:t>）項所述任何手段，則人口販運活動被害人對（</w:t>
      </w:r>
      <w:r w:rsidRPr="001663AE">
        <w:t>a</w:t>
      </w:r>
      <w:r w:rsidRPr="001663AE">
        <w:rPr>
          <w:rFonts w:hint="eastAsia"/>
        </w:rPr>
        <w:t>）項所述的預謀進行的剝削所表示的同意並不相干；</w:t>
      </w:r>
      <w:r w:rsidRPr="001663AE">
        <w:rPr>
          <w:rFonts w:hint="eastAsia"/>
        </w:rPr>
        <w:t xml:space="preserve"> </w:t>
      </w:r>
    </w:p>
    <w:p w14:paraId="7096498F" w14:textId="77777777" w:rsidR="00CA23FA" w:rsidRPr="001663AE" w:rsidRDefault="00CA23FA" w:rsidP="00D87D91">
      <w:pPr>
        <w:pStyle w:val="3"/>
      </w:pPr>
      <w:r w:rsidRPr="001663AE">
        <w:rPr>
          <w:rFonts w:hint="eastAsia"/>
        </w:rPr>
        <w:t>（</w:t>
      </w:r>
      <w:r w:rsidRPr="001663AE">
        <w:t>c</w:t>
      </w:r>
      <w:r w:rsidRPr="001663AE">
        <w:rPr>
          <w:rFonts w:hint="eastAsia"/>
        </w:rPr>
        <w:t>）為剝削目的而招募、運送、轉移、窩藏或接收兒童，即使並不涉及本條（</w:t>
      </w:r>
      <w:r w:rsidRPr="001663AE">
        <w:t>a</w:t>
      </w:r>
      <w:r w:rsidRPr="001663AE">
        <w:rPr>
          <w:rFonts w:hint="eastAsia"/>
        </w:rPr>
        <w:t>）項所述任何手段，也應視為“人口販運”；</w:t>
      </w:r>
      <w:r w:rsidRPr="001663AE">
        <w:rPr>
          <w:rFonts w:hint="eastAsia"/>
        </w:rPr>
        <w:t xml:space="preserve"> </w:t>
      </w:r>
    </w:p>
    <w:p w14:paraId="5090D5EE" w14:textId="77777777" w:rsidR="00CA23FA" w:rsidRPr="001663AE" w:rsidRDefault="00CA23FA" w:rsidP="00D87D91">
      <w:pPr>
        <w:pStyle w:val="3"/>
      </w:pPr>
      <w:r w:rsidRPr="001663AE">
        <w:rPr>
          <w:rFonts w:hint="eastAsia"/>
        </w:rPr>
        <w:t>（</w:t>
      </w:r>
      <w:r w:rsidRPr="001663AE">
        <w:t>d</w:t>
      </w:r>
      <w:r w:rsidRPr="001663AE">
        <w:rPr>
          <w:rFonts w:hint="eastAsia"/>
        </w:rPr>
        <w:t>）“兒童”係指任何</w:t>
      </w:r>
      <w:r w:rsidRPr="001663AE">
        <w:t>18</w:t>
      </w:r>
      <w:r w:rsidRPr="001663AE">
        <w:rPr>
          <w:rFonts w:hint="eastAsia"/>
        </w:rPr>
        <w:t>歲以下者。</w:t>
      </w:r>
      <w:r w:rsidRPr="001663AE">
        <w:rPr>
          <w:rFonts w:hint="eastAsia"/>
        </w:rPr>
        <w:t xml:space="preserve"> </w:t>
      </w:r>
    </w:p>
  </w:footnote>
  <w:footnote w:id="849">
    <w:p w14:paraId="5F6BE35A" w14:textId="77777777" w:rsidR="00CA23FA" w:rsidRPr="007B2912" w:rsidRDefault="00CA23FA" w:rsidP="007B2912">
      <w:pPr>
        <w:pStyle w:val="3"/>
        <w:jc w:val="left"/>
        <w:rPr>
          <w:rFonts w:ascii="新細明體" w:hAnsi="新細明體"/>
          <w:szCs w:val="18"/>
          <w:lang w:eastAsia="x-none"/>
        </w:rPr>
      </w:pPr>
      <w:r w:rsidRPr="007B2912">
        <w:rPr>
          <w:rStyle w:val="af3"/>
          <w:rFonts w:ascii="新細明體" w:hAnsi="新細明體"/>
          <w:sz w:val="18"/>
          <w:szCs w:val="18"/>
        </w:rPr>
        <w:footnoteRef/>
      </w:r>
      <w:r w:rsidRPr="007B2912">
        <w:rPr>
          <w:rFonts w:ascii="新細明體" w:hAnsi="新細明體"/>
          <w:szCs w:val="18"/>
        </w:rPr>
        <w:t xml:space="preserve"> US State Department(2014). </w:t>
      </w:r>
      <w:hyperlink r:id="rId217" w:history="1">
        <w:r w:rsidRPr="007B2912">
          <w:rPr>
            <w:rStyle w:val="a5"/>
            <w:sz w:val="18"/>
            <w:szCs w:val="18"/>
          </w:rPr>
          <w:t>Trafficking in Persons Report 201</w:t>
        </w:r>
      </w:hyperlink>
      <w:r w:rsidRPr="007B2912">
        <w:rPr>
          <w:rFonts w:ascii="新細明體" w:hAnsi="新細明體"/>
          <w:szCs w:val="18"/>
        </w:rPr>
        <w:t xml:space="preserve">4 , retrieved 08/04, 2014, from </w:t>
      </w:r>
      <w:hyperlink r:id="rId218" w:history="1">
        <w:r w:rsidRPr="007B2912">
          <w:rPr>
            <w:rStyle w:val="a5"/>
            <w:sz w:val="18"/>
            <w:szCs w:val="18"/>
          </w:rPr>
          <w:t>http://www.state.gov/</w:t>
        </w:r>
      </w:hyperlink>
      <w:r w:rsidRPr="007B2912">
        <w:rPr>
          <w:rFonts w:ascii="新細明體" w:hAnsi="新細明體"/>
          <w:szCs w:val="18"/>
        </w:rPr>
        <w:t>.</w:t>
      </w:r>
    </w:p>
  </w:footnote>
  <w:footnote w:id="850">
    <w:p w14:paraId="48FDD002" w14:textId="77777777" w:rsidR="00CA23FA" w:rsidRPr="007B2912" w:rsidRDefault="00CA23FA" w:rsidP="007B2912">
      <w:pPr>
        <w:pStyle w:val="3"/>
        <w:jc w:val="left"/>
        <w:rPr>
          <w:rFonts w:ascii="新細明體" w:hAnsi="新細明體"/>
          <w:szCs w:val="18"/>
        </w:rPr>
      </w:pPr>
      <w:r w:rsidRPr="007B2912">
        <w:rPr>
          <w:rStyle w:val="af3"/>
          <w:rFonts w:ascii="新細明體" w:hAnsi="新細明體"/>
          <w:sz w:val="18"/>
          <w:szCs w:val="18"/>
        </w:rPr>
        <w:footnoteRef/>
      </w:r>
      <w:r w:rsidRPr="007B2912">
        <w:rPr>
          <w:rFonts w:ascii="新細明體" w:hAnsi="新細明體"/>
          <w:szCs w:val="18"/>
        </w:rPr>
        <w:t xml:space="preserve"> US State Department(2014). </w:t>
      </w:r>
      <w:hyperlink r:id="rId219" w:history="1">
        <w:r w:rsidRPr="007B2912">
          <w:rPr>
            <w:rStyle w:val="a5"/>
            <w:sz w:val="18"/>
            <w:szCs w:val="18"/>
          </w:rPr>
          <w:t>Trafficking in Persons Report 201</w:t>
        </w:r>
      </w:hyperlink>
      <w:r w:rsidRPr="007B2912">
        <w:rPr>
          <w:rFonts w:ascii="新細明體" w:hAnsi="新細明體"/>
          <w:szCs w:val="18"/>
        </w:rPr>
        <w:t xml:space="preserve">4 , retrieved 08/04, 2014, from </w:t>
      </w:r>
      <w:hyperlink r:id="rId220" w:history="1">
        <w:r w:rsidRPr="007B2912">
          <w:rPr>
            <w:rStyle w:val="a5"/>
            <w:sz w:val="18"/>
            <w:szCs w:val="18"/>
          </w:rPr>
          <w:t>http://www.state.gov/</w:t>
        </w:r>
      </w:hyperlink>
      <w:r w:rsidRPr="007B2912">
        <w:rPr>
          <w:rFonts w:ascii="新細明體" w:hAnsi="新細明體"/>
          <w:szCs w:val="18"/>
        </w:rPr>
        <w:t>.</w:t>
      </w:r>
    </w:p>
  </w:footnote>
  <w:footnote w:id="851">
    <w:p w14:paraId="4C21AE2C" w14:textId="77777777" w:rsidR="00CA23FA" w:rsidRPr="007B2912" w:rsidRDefault="00CA23FA" w:rsidP="007B2912">
      <w:pPr>
        <w:pStyle w:val="3"/>
        <w:jc w:val="left"/>
        <w:rPr>
          <w:rFonts w:ascii="新細明體" w:hAnsi="新細明體"/>
          <w:szCs w:val="18"/>
        </w:rPr>
      </w:pPr>
      <w:r w:rsidRPr="007B2912">
        <w:rPr>
          <w:rStyle w:val="af3"/>
          <w:rFonts w:ascii="新細明體" w:hAnsi="新細明體"/>
          <w:sz w:val="18"/>
          <w:szCs w:val="18"/>
        </w:rPr>
        <w:footnoteRef/>
      </w:r>
      <w:r w:rsidRPr="007B2912">
        <w:rPr>
          <w:rFonts w:ascii="新細明體" w:hAnsi="新細明體"/>
          <w:szCs w:val="18"/>
        </w:rPr>
        <w:t xml:space="preserve"> US State Department(2014). </w:t>
      </w:r>
      <w:hyperlink r:id="rId221" w:history="1">
        <w:r w:rsidRPr="007B2912">
          <w:rPr>
            <w:rStyle w:val="a5"/>
            <w:sz w:val="18"/>
            <w:szCs w:val="18"/>
          </w:rPr>
          <w:t>Trafficking in Persons Report 201</w:t>
        </w:r>
      </w:hyperlink>
      <w:r w:rsidRPr="007B2912">
        <w:rPr>
          <w:rFonts w:ascii="新細明體" w:hAnsi="新細明體"/>
          <w:szCs w:val="18"/>
        </w:rPr>
        <w:t xml:space="preserve">4 , retrieved 08/04, 2014, from </w:t>
      </w:r>
      <w:hyperlink r:id="rId222" w:history="1">
        <w:r w:rsidRPr="007B2912">
          <w:rPr>
            <w:rStyle w:val="a5"/>
            <w:sz w:val="18"/>
            <w:szCs w:val="18"/>
          </w:rPr>
          <w:t>http://www.state.gov/</w:t>
        </w:r>
      </w:hyperlink>
      <w:r w:rsidRPr="007B2912">
        <w:rPr>
          <w:rFonts w:ascii="新細明體" w:hAnsi="新細明體"/>
          <w:szCs w:val="18"/>
        </w:rPr>
        <w:t>.</w:t>
      </w:r>
    </w:p>
  </w:footnote>
  <w:footnote w:id="852">
    <w:p w14:paraId="4323B8D5" w14:textId="77777777" w:rsidR="00CA23FA" w:rsidRPr="001663AE" w:rsidRDefault="00CA23FA" w:rsidP="007B2912">
      <w:pPr>
        <w:pStyle w:val="3"/>
        <w:jc w:val="left"/>
        <w:rPr>
          <w:rFonts w:ascii="新細明體" w:hAnsi="新細明體"/>
        </w:rPr>
      </w:pPr>
      <w:r w:rsidRPr="007B2912">
        <w:rPr>
          <w:rStyle w:val="af3"/>
          <w:rFonts w:ascii="新細明體" w:hAnsi="新細明體"/>
          <w:sz w:val="18"/>
          <w:szCs w:val="18"/>
        </w:rPr>
        <w:footnoteRef/>
      </w:r>
      <w:r w:rsidRPr="007B2912">
        <w:rPr>
          <w:rFonts w:ascii="新細明體" w:hAnsi="新細明體"/>
          <w:szCs w:val="18"/>
        </w:rPr>
        <w:t xml:space="preserve"> US State Department(2014). </w:t>
      </w:r>
      <w:hyperlink r:id="rId223" w:history="1">
        <w:r w:rsidRPr="007B2912">
          <w:rPr>
            <w:rStyle w:val="a5"/>
            <w:sz w:val="18"/>
            <w:szCs w:val="18"/>
          </w:rPr>
          <w:t>Trafficking in Persons Report 201</w:t>
        </w:r>
      </w:hyperlink>
      <w:r w:rsidRPr="007B2912">
        <w:rPr>
          <w:rFonts w:ascii="新細明體" w:hAnsi="新細明體"/>
          <w:szCs w:val="18"/>
        </w:rPr>
        <w:t xml:space="preserve">4 , retrieved 08/04, 2014, from </w:t>
      </w:r>
      <w:hyperlink r:id="rId224" w:history="1">
        <w:r w:rsidRPr="007B2912">
          <w:rPr>
            <w:rStyle w:val="a5"/>
            <w:sz w:val="18"/>
            <w:szCs w:val="18"/>
          </w:rPr>
          <w:t>http://www.state.gov/</w:t>
        </w:r>
      </w:hyperlink>
      <w:r w:rsidRPr="007B2912">
        <w:rPr>
          <w:rFonts w:ascii="新細明體" w:hAnsi="新細明體"/>
          <w:szCs w:val="18"/>
        </w:rPr>
        <w:t>.</w:t>
      </w:r>
    </w:p>
  </w:footnote>
  <w:footnote w:id="853">
    <w:p w14:paraId="4C769DF7" w14:textId="77777777" w:rsidR="00CA23FA" w:rsidRPr="001663AE" w:rsidRDefault="00CA23FA" w:rsidP="007B2912">
      <w:pPr>
        <w:pStyle w:val="3"/>
        <w:jc w:val="left"/>
        <w:rPr>
          <w:rFonts w:ascii="新細明體" w:hAnsi="新細明體"/>
        </w:rPr>
      </w:pPr>
      <w:r w:rsidRPr="001663AE">
        <w:rPr>
          <w:rStyle w:val="af3"/>
          <w:rFonts w:ascii="新細明體" w:hAnsi="新細明體"/>
        </w:rPr>
        <w:footnoteRef/>
      </w:r>
      <w:r w:rsidRPr="001663AE">
        <w:rPr>
          <w:rFonts w:ascii="新細明體" w:hAnsi="新細明體"/>
        </w:rPr>
        <w:t xml:space="preserve"> US State Department(2014). </w:t>
      </w:r>
      <w:hyperlink r:id="rId225" w:history="1">
        <w:r w:rsidRPr="001663AE">
          <w:rPr>
            <w:rStyle w:val="a5"/>
          </w:rPr>
          <w:t>Trafficking in Persons Report 201</w:t>
        </w:r>
      </w:hyperlink>
      <w:r w:rsidRPr="001663AE">
        <w:rPr>
          <w:rFonts w:ascii="新細明體" w:hAnsi="新細明體"/>
        </w:rPr>
        <w:t xml:space="preserve">4 , retrieved 08/04, 2014, from </w:t>
      </w:r>
      <w:hyperlink r:id="rId226" w:history="1">
        <w:r w:rsidRPr="001663AE">
          <w:rPr>
            <w:rStyle w:val="a5"/>
          </w:rPr>
          <w:t>http://www.state.gov/</w:t>
        </w:r>
      </w:hyperlink>
      <w:r w:rsidRPr="001663AE">
        <w:rPr>
          <w:rFonts w:ascii="新細明體" w:hAnsi="新細明體"/>
        </w:rPr>
        <w:t>.</w:t>
      </w:r>
    </w:p>
  </w:footnote>
  <w:footnote w:id="854">
    <w:p w14:paraId="7D96FDB8" w14:textId="77777777" w:rsidR="00CA23FA" w:rsidRPr="001663AE" w:rsidRDefault="00CA23FA" w:rsidP="007B2912">
      <w:pPr>
        <w:pStyle w:val="3"/>
        <w:jc w:val="left"/>
        <w:rPr>
          <w:rFonts w:ascii="新細明體" w:hAnsi="新細明體"/>
        </w:rPr>
      </w:pPr>
      <w:r w:rsidRPr="001663AE">
        <w:rPr>
          <w:rStyle w:val="af3"/>
          <w:rFonts w:ascii="新細明體" w:hAnsi="新細明體"/>
        </w:rPr>
        <w:footnoteRef/>
      </w:r>
      <w:r w:rsidRPr="001663AE">
        <w:rPr>
          <w:rFonts w:ascii="新細明體" w:hAnsi="新細明體"/>
        </w:rPr>
        <w:t xml:space="preserve"> US State Department(2014). </w:t>
      </w:r>
      <w:hyperlink r:id="rId227" w:history="1">
        <w:r w:rsidRPr="001663AE">
          <w:rPr>
            <w:rStyle w:val="a5"/>
          </w:rPr>
          <w:t>Trafficking in Persons Report 201</w:t>
        </w:r>
      </w:hyperlink>
      <w:r w:rsidRPr="001663AE">
        <w:rPr>
          <w:rFonts w:ascii="新細明體" w:hAnsi="新細明體"/>
        </w:rPr>
        <w:t xml:space="preserve">4 , retrieved 08/04, 2014, from </w:t>
      </w:r>
      <w:hyperlink r:id="rId228" w:history="1">
        <w:r w:rsidRPr="001663AE">
          <w:rPr>
            <w:rStyle w:val="a5"/>
          </w:rPr>
          <w:t>http://www.state.gov/</w:t>
        </w:r>
      </w:hyperlink>
      <w:r w:rsidRPr="001663AE">
        <w:rPr>
          <w:rFonts w:ascii="新細明體" w:hAnsi="新細明體"/>
        </w:rPr>
        <w:t>.</w:t>
      </w:r>
    </w:p>
  </w:footnote>
  <w:footnote w:id="855">
    <w:p w14:paraId="249078C0" w14:textId="77777777" w:rsidR="00CA23FA" w:rsidRPr="001663AE" w:rsidRDefault="00CA23FA" w:rsidP="000E25C7">
      <w:pPr>
        <w:pStyle w:val="3"/>
        <w:jc w:val="left"/>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55752FCC" w14:textId="77777777" w:rsidR="00CA23FA" w:rsidRPr="001663AE" w:rsidRDefault="00CA23FA" w:rsidP="000E25C7">
      <w:pPr>
        <w:pStyle w:val="3"/>
        <w:jc w:val="left"/>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56">
    <w:p w14:paraId="0BB77AFB" w14:textId="77777777" w:rsidR="00CA23FA" w:rsidRPr="001663AE" w:rsidRDefault="00CA23FA" w:rsidP="000E25C7">
      <w:pPr>
        <w:pStyle w:val="3"/>
        <w:jc w:val="left"/>
        <w:rPr>
          <w:szCs w:val="20"/>
        </w:rPr>
      </w:pPr>
      <w:r w:rsidRPr="001663AE">
        <w:rPr>
          <w:rStyle w:val="af3"/>
          <w:rFonts w:ascii="新細明體" w:hAnsi="新細明體"/>
          <w:szCs w:val="20"/>
        </w:rPr>
        <w:footnoteRef/>
      </w:r>
      <w:r w:rsidRPr="001663AE">
        <w:rPr>
          <w:szCs w:val="20"/>
        </w:rPr>
        <w:t xml:space="preserve"> US State Department(2010). </w:t>
      </w:r>
      <w:hyperlink r:id="rId229" w:history="1">
        <w:r w:rsidRPr="001663AE">
          <w:rPr>
            <w:rStyle w:val="a5"/>
            <w:szCs w:val="20"/>
          </w:rPr>
          <w:t>Trafficking in Persons Report 201</w:t>
        </w:r>
      </w:hyperlink>
      <w:r w:rsidRPr="001663AE">
        <w:rPr>
          <w:szCs w:val="20"/>
        </w:rPr>
        <w:t xml:space="preserve">0 , retrieved 08/04, 2014, from </w:t>
      </w:r>
      <w:hyperlink r:id="rId230" w:history="1">
        <w:r w:rsidRPr="001663AE">
          <w:rPr>
            <w:rStyle w:val="a5"/>
            <w:szCs w:val="20"/>
          </w:rPr>
          <w:t>http://www.state.gov/</w:t>
        </w:r>
      </w:hyperlink>
      <w:r w:rsidRPr="001663AE">
        <w:rPr>
          <w:szCs w:val="20"/>
        </w:rPr>
        <w:t>.</w:t>
      </w:r>
    </w:p>
  </w:footnote>
  <w:footnote w:id="857">
    <w:p w14:paraId="18F5A8CE" w14:textId="77777777" w:rsidR="00CA23FA" w:rsidRPr="001663AE" w:rsidRDefault="00CA23FA" w:rsidP="000E25C7">
      <w:pPr>
        <w:pStyle w:val="3"/>
        <w:jc w:val="left"/>
        <w:rPr>
          <w:szCs w:val="20"/>
        </w:rPr>
      </w:pPr>
      <w:r w:rsidRPr="001663AE">
        <w:rPr>
          <w:rStyle w:val="af3"/>
          <w:rFonts w:ascii="新細明體" w:hAnsi="新細明體"/>
          <w:szCs w:val="20"/>
        </w:rPr>
        <w:footnoteRef/>
      </w:r>
      <w:r w:rsidRPr="001663AE">
        <w:rPr>
          <w:szCs w:val="20"/>
        </w:rPr>
        <w:t xml:space="preserve"> US State Department(2013). </w:t>
      </w:r>
      <w:hyperlink r:id="rId231" w:history="1">
        <w:r w:rsidRPr="001663AE">
          <w:rPr>
            <w:rStyle w:val="a5"/>
            <w:szCs w:val="20"/>
          </w:rPr>
          <w:t>Trafficking in Persons Report 201</w:t>
        </w:r>
      </w:hyperlink>
      <w:r w:rsidRPr="001663AE">
        <w:rPr>
          <w:szCs w:val="20"/>
        </w:rPr>
        <w:t xml:space="preserve">3, retrieved 08/04, 2014, from </w:t>
      </w:r>
      <w:hyperlink r:id="rId232" w:history="1">
        <w:r w:rsidRPr="001663AE">
          <w:rPr>
            <w:rStyle w:val="a5"/>
            <w:szCs w:val="20"/>
          </w:rPr>
          <w:t>http://www.state.gov/documents/organization/210737.pdf</w:t>
        </w:r>
      </w:hyperlink>
      <w:r w:rsidRPr="001663AE">
        <w:rPr>
          <w:szCs w:val="20"/>
        </w:rPr>
        <w:t>.</w:t>
      </w:r>
      <w:r w:rsidRPr="001663AE">
        <w:rPr>
          <w:rFonts w:hint="eastAsia"/>
          <w:szCs w:val="20"/>
        </w:rPr>
        <w:t xml:space="preserve"> </w:t>
      </w:r>
    </w:p>
  </w:footnote>
  <w:footnote w:id="858">
    <w:p w14:paraId="2359B477" w14:textId="77777777" w:rsidR="00CA23FA" w:rsidRPr="001663AE" w:rsidRDefault="00CA23FA" w:rsidP="000E25C7">
      <w:pPr>
        <w:pStyle w:val="3"/>
        <w:jc w:val="left"/>
      </w:pPr>
      <w:r w:rsidRPr="001663AE">
        <w:rPr>
          <w:rStyle w:val="af3"/>
          <w:rFonts w:ascii="新細明體" w:hAnsi="新細明體"/>
        </w:rPr>
        <w:footnoteRef/>
      </w:r>
      <w:r w:rsidRPr="001663AE">
        <w:t xml:space="preserve"> US State Department(2014). </w:t>
      </w:r>
      <w:hyperlink r:id="rId233" w:history="1">
        <w:r w:rsidRPr="001663AE">
          <w:rPr>
            <w:rStyle w:val="a5"/>
          </w:rPr>
          <w:t>Trafficking in Persons Report 201</w:t>
        </w:r>
      </w:hyperlink>
      <w:r w:rsidRPr="001663AE">
        <w:t xml:space="preserve">4 , retrieved 08/04, 2014, from </w:t>
      </w:r>
      <w:hyperlink r:id="rId234" w:history="1">
        <w:r w:rsidRPr="001663AE">
          <w:rPr>
            <w:rStyle w:val="a5"/>
          </w:rPr>
          <w:t>http://www.state.gov/</w:t>
        </w:r>
      </w:hyperlink>
      <w:r w:rsidRPr="001663AE">
        <w:t>.</w:t>
      </w:r>
    </w:p>
  </w:footnote>
  <w:footnote w:id="859">
    <w:p w14:paraId="436CF39A" w14:textId="77777777" w:rsidR="00CA23FA" w:rsidRPr="001663AE" w:rsidRDefault="00CA23FA" w:rsidP="00E91A5C">
      <w:pPr>
        <w:pStyle w:val="3"/>
        <w:rPr>
          <w:rFonts w:ascii="新細明體" w:hAnsi="新細明體"/>
        </w:rPr>
      </w:pPr>
      <w:r w:rsidRPr="001663AE">
        <w:rPr>
          <w:rStyle w:val="af3"/>
          <w:rFonts w:ascii="新細明體" w:hAnsi="新細明體"/>
        </w:rPr>
        <w:footnoteRef/>
      </w:r>
      <w:r w:rsidRPr="001663AE">
        <w:rPr>
          <w:rFonts w:ascii="新細明體" w:hAnsi="新細明體"/>
        </w:rPr>
        <w:t xml:space="preserve"> US State Department(2014). </w:t>
      </w:r>
      <w:hyperlink r:id="rId235" w:history="1">
        <w:r w:rsidRPr="001663AE">
          <w:rPr>
            <w:rStyle w:val="a5"/>
          </w:rPr>
          <w:t>Trafficking in Persons Report 201</w:t>
        </w:r>
      </w:hyperlink>
      <w:r w:rsidRPr="001663AE">
        <w:rPr>
          <w:rFonts w:ascii="新細明體" w:hAnsi="新細明體"/>
        </w:rPr>
        <w:t xml:space="preserve">4 , retrieved 08/04, 2014, from </w:t>
      </w:r>
      <w:hyperlink r:id="rId236" w:history="1">
        <w:r w:rsidRPr="001663AE">
          <w:rPr>
            <w:rStyle w:val="a5"/>
          </w:rPr>
          <w:t>http://www.state.gov/</w:t>
        </w:r>
      </w:hyperlink>
      <w:r w:rsidRPr="001663AE">
        <w:rPr>
          <w:rFonts w:ascii="新細明體" w:hAnsi="新細明體"/>
        </w:rPr>
        <w:t>.</w:t>
      </w:r>
    </w:p>
  </w:footnote>
  <w:footnote w:id="860">
    <w:p w14:paraId="45CA2187" w14:textId="77777777" w:rsidR="00CA23FA" w:rsidRPr="001663AE" w:rsidRDefault="00CA23FA" w:rsidP="00E91A5C">
      <w:pPr>
        <w:pStyle w:val="3"/>
      </w:pPr>
      <w:r w:rsidRPr="001663AE">
        <w:rPr>
          <w:rStyle w:val="af3"/>
          <w:rFonts w:ascii="新細明體" w:hAnsi="新細明體"/>
        </w:rPr>
        <w:footnoteRef/>
      </w:r>
      <w:r w:rsidRPr="001663AE">
        <w:rPr>
          <w:rFonts w:hint="eastAsia"/>
        </w:rPr>
        <w:t>美國在</w:t>
      </w:r>
      <w:r w:rsidRPr="001663AE">
        <w:t>2003</w:t>
      </w:r>
      <w:r w:rsidRPr="001663AE">
        <w:rPr>
          <w:rFonts w:hint="eastAsia"/>
        </w:rPr>
        <w:t>年通過人口販運被害人保護授權法（</w:t>
      </w:r>
      <w:r w:rsidRPr="001663AE">
        <w:t>Trafficking Victim Protection Reauthorization Act</w:t>
      </w:r>
      <w:r w:rsidRPr="001663AE">
        <w:rPr>
          <w:rFonts w:hint="eastAsia"/>
        </w:rPr>
        <w:t>），該法簡稱為</w:t>
      </w:r>
      <w:r w:rsidRPr="001663AE">
        <w:t>TVPR</w:t>
      </w:r>
      <w:r w:rsidRPr="001663AE">
        <w:rPr>
          <w:rFonts w:hint="eastAsia"/>
        </w:rPr>
        <w:t>。</w:t>
      </w:r>
    </w:p>
  </w:footnote>
  <w:footnote w:id="861">
    <w:p w14:paraId="767515ED" w14:textId="77777777" w:rsidR="00CA23FA" w:rsidRPr="00E91A5C" w:rsidRDefault="00CA23FA" w:rsidP="00E91A5C">
      <w:pPr>
        <w:pStyle w:val="3"/>
        <w:jc w:val="left"/>
      </w:pPr>
      <w:r w:rsidRPr="00E91A5C">
        <w:rPr>
          <w:rStyle w:val="af3"/>
          <w:rFonts w:ascii="新細明體" w:hAnsi="新細明體"/>
          <w:color w:val="808000"/>
          <w:szCs w:val="20"/>
        </w:rPr>
        <w:footnoteRef/>
      </w:r>
      <w:r w:rsidRPr="00E91A5C">
        <w:rPr>
          <w:rFonts w:hint="eastAsia"/>
        </w:rPr>
        <w:t>柯雨瑞、蔡政杰</w:t>
      </w:r>
      <w:r w:rsidRPr="00E91A5C">
        <w:t>(2014)</w:t>
      </w:r>
      <w:r w:rsidRPr="00E91A5C">
        <w:rPr>
          <w:rFonts w:hint="eastAsia"/>
        </w:rPr>
        <w:t>，論大陸地區人民來台之源頭安全管理，中央警察大學國土安全與國境管理學報第</w:t>
      </w:r>
      <w:r w:rsidRPr="00E91A5C">
        <w:t>21</w:t>
      </w:r>
      <w:r w:rsidRPr="00E91A5C">
        <w:rPr>
          <w:rFonts w:hint="eastAsia"/>
        </w:rPr>
        <w:t>期。</w:t>
      </w:r>
    </w:p>
    <w:p w14:paraId="04D715CB" w14:textId="77777777" w:rsidR="00CA23FA" w:rsidRPr="00E91A5C" w:rsidRDefault="00CA23FA" w:rsidP="00E91A5C">
      <w:pPr>
        <w:pStyle w:val="3"/>
        <w:jc w:val="left"/>
        <w:rPr>
          <w:rFonts w:cs="華康標楷體(P)"/>
        </w:rPr>
      </w:pPr>
      <w:r w:rsidRPr="00E91A5C">
        <w:rPr>
          <w:rFonts w:cs="Vrinda" w:hint="eastAsia"/>
        </w:rPr>
        <w:t>柯雨瑞</w:t>
      </w:r>
      <w:r w:rsidRPr="00E91A5C">
        <w:rPr>
          <w:rFonts w:hint="eastAsia"/>
        </w:rPr>
        <w:t>、蔡政杰</w:t>
      </w:r>
      <w:r w:rsidRPr="00E91A5C">
        <w:t>(2014)</w:t>
      </w:r>
      <w:r w:rsidRPr="00E91A5C">
        <w:rPr>
          <w:rFonts w:hint="eastAsia"/>
        </w:rPr>
        <w:t>，人口販運問題之現況與回應對策，中央警察大學國土安全與國境管理學報第</w:t>
      </w:r>
      <w:r w:rsidRPr="00E91A5C">
        <w:t>22</w:t>
      </w:r>
      <w:r w:rsidRPr="00E91A5C">
        <w:rPr>
          <w:rFonts w:hint="eastAsia"/>
        </w:rPr>
        <w:t>期，頁</w:t>
      </w:r>
      <w:r w:rsidRPr="00E91A5C">
        <w:t>79-142</w:t>
      </w:r>
      <w:r w:rsidRPr="00E91A5C">
        <w:rPr>
          <w:rFonts w:cs="華康標楷體(P)" w:hint="eastAsia"/>
        </w:rPr>
        <w:t>。</w:t>
      </w:r>
    </w:p>
    <w:p w14:paraId="4A6BC76A" w14:textId="77777777" w:rsidR="00CA23FA" w:rsidRPr="00E91A5C" w:rsidRDefault="00CA23FA" w:rsidP="00E91A5C">
      <w:pPr>
        <w:pStyle w:val="3"/>
        <w:jc w:val="left"/>
      </w:pPr>
      <w:r w:rsidRPr="00E91A5C">
        <w:rPr>
          <w:rFonts w:hint="eastAsia"/>
        </w:rPr>
        <w:t>柯雨瑞、蔡政杰</w:t>
      </w:r>
      <w:r w:rsidRPr="00E91A5C">
        <w:t>(2014)</w:t>
      </w:r>
      <w:r w:rsidRPr="00E91A5C">
        <w:rPr>
          <w:rFonts w:hint="eastAsia"/>
          <w:spacing w:val="-32"/>
        </w:rPr>
        <w:t>，</w:t>
      </w:r>
      <w:r w:rsidRPr="00E91A5C">
        <w:rPr>
          <w:rFonts w:hint="eastAsia"/>
        </w:rPr>
        <w:t>人口販運防治，收錄於中央警察大學國境警察學系</w:t>
      </w:r>
      <w:r w:rsidRPr="00E91A5C">
        <w:t>2014</w:t>
      </w:r>
      <w:r w:rsidRPr="00E91A5C">
        <w:rPr>
          <w:rFonts w:hint="eastAsia"/>
        </w:rPr>
        <w:t>年『國境管理與執法』學術研討會論文集，頁</w:t>
      </w:r>
      <w:r w:rsidRPr="00E91A5C">
        <w:t>95-114</w:t>
      </w:r>
      <w:r w:rsidRPr="00E91A5C">
        <w:rPr>
          <w:rFonts w:hint="eastAsia"/>
        </w:rPr>
        <w:t>。</w:t>
      </w:r>
    </w:p>
    <w:p w14:paraId="23CE0FF7" w14:textId="77777777" w:rsidR="00CA23FA" w:rsidRPr="00E91A5C" w:rsidRDefault="00CA23FA" w:rsidP="00E91A5C">
      <w:pPr>
        <w:pStyle w:val="3"/>
        <w:jc w:val="left"/>
      </w:pPr>
      <w:r w:rsidRPr="00E91A5C">
        <w:rPr>
          <w:rFonts w:hint="eastAsia"/>
        </w:rPr>
        <w:t>有關於</w:t>
      </w:r>
      <w:r w:rsidRPr="00E91A5C">
        <w:t>TVPR</w:t>
      </w:r>
      <w:r w:rsidRPr="00E91A5C">
        <w:rPr>
          <w:rFonts w:hint="eastAsia"/>
        </w:rPr>
        <w:t>評比等級及摘要內容，資料來源：參考美國在台協會（</w:t>
      </w:r>
      <w:r w:rsidRPr="00E91A5C">
        <w:t xml:space="preserve">American Institute in Taiwan </w:t>
      </w:r>
      <w:r w:rsidRPr="00E91A5C">
        <w:rPr>
          <w:rFonts w:hint="eastAsia"/>
        </w:rPr>
        <w:t>）</w:t>
      </w:r>
      <w:r w:rsidRPr="00E91A5C">
        <w:t>(2014)</w:t>
      </w:r>
      <w:r w:rsidRPr="00E91A5C">
        <w:rPr>
          <w:rFonts w:hint="eastAsia"/>
        </w:rPr>
        <w:t>，上網瀏覽時間：</w:t>
      </w:r>
      <w:r w:rsidRPr="00E91A5C">
        <w:t>2014</w:t>
      </w:r>
      <w:r w:rsidRPr="00E91A5C">
        <w:rPr>
          <w:rFonts w:hint="eastAsia"/>
        </w:rPr>
        <w:t>年</w:t>
      </w:r>
      <w:r w:rsidRPr="00E91A5C">
        <w:t>3</w:t>
      </w:r>
      <w:r w:rsidRPr="00E91A5C">
        <w:rPr>
          <w:rFonts w:hint="eastAsia"/>
        </w:rPr>
        <w:t>月</w:t>
      </w:r>
      <w:r w:rsidRPr="00E91A5C">
        <w:t xml:space="preserve">4 </w:t>
      </w:r>
      <w:r w:rsidRPr="00E91A5C">
        <w:rPr>
          <w:rFonts w:hint="eastAsia"/>
        </w:rPr>
        <w:t>日，網址：</w:t>
      </w:r>
      <w:hyperlink r:id="rId237" w:history="1">
        <w:r w:rsidRPr="00E91A5C">
          <w:rPr>
            <w:rStyle w:val="a5"/>
            <w:szCs w:val="20"/>
          </w:rPr>
          <w:t>http://www.ait.org.tw/zh/officialtext-ot1306.html</w:t>
        </w:r>
      </w:hyperlink>
      <w:r w:rsidRPr="00E91A5C">
        <w:t>.</w:t>
      </w:r>
      <w:r w:rsidRPr="00E91A5C">
        <w:rPr>
          <w:rFonts w:hint="eastAsia"/>
        </w:rPr>
        <w:t xml:space="preserve"> </w:t>
      </w:r>
    </w:p>
    <w:p w14:paraId="33474422" w14:textId="77777777" w:rsidR="00CA23FA" w:rsidRPr="00E91A5C" w:rsidRDefault="00CA23FA" w:rsidP="00E91A5C">
      <w:pPr>
        <w:pStyle w:val="3"/>
        <w:jc w:val="left"/>
      </w:pPr>
      <w:r w:rsidRPr="00E91A5C">
        <w:rPr>
          <w:rFonts w:hint="eastAsia"/>
        </w:rPr>
        <w:t>有關於臺灣人口販運犯罪所面臨之問題，及可行之解決對策，尚可進一步參閱以下相關之文獻：</w:t>
      </w:r>
    </w:p>
    <w:p w14:paraId="500D982E" w14:textId="77777777" w:rsidR="00CA23FA" w:rsidRPr="00E91A5C" w:rsidRDefault="00CA23FA" w:rsidP="00E91A5C">
      <w:pPr>
        <w:pStyle w:val="3"/>
        <w:jc w:val="left"/>
      </w:pPr>
      <w:r w:rsidRPr="00E91A5C">
        <w:t>1.</w:t>
      </w:r>
      <w:r w:rsidRPr="00E91A5C">
        <w:rPr>
          <w:rFonts w:hint="eastAsia"/>
        </w:rPr>
        <w:t>謝立功，臺灣人口販運問題分析，上網瀏覽時間：</w:t>
      </w:r>
      <w:r w:rsidRPr="00E91A5C">
        <w:t>2014</w:t>
      </w:r>
      <w:r w:rsidRPr="00E91A5C">
        <w:rPr>
          <w:rFonts w:hint="eastAsia"/>
        </w:rPr>
        <w:t>年</w:t>
      </w:r>
      <w:r w:rsidRPr="00E91A5C">
        <w:t>3</w:t>
      </w:r>
      <w:r w:rsidRPr="00E91A5C">
        <w:rPr>
          <w:rFonts w:hint="eastAsia"/>
        </w:rPr>
        <w:t>月</w:t>
      </w:r>
      <w:r w:rsidRPr="00E91A5C">
        <w:t>27</w:t>
      </w:r>
      <w:r w:rsidRPr="00E91A5C">
        <w:rPr>
          <w:rFonts w:hint="eastAsia"/>
        </w:rPr>
        <w:t>日，</w:t>
      </w:r>
      <w:r w:rsidRPr="00E91A5C">
        <w:t>http://www.pra.cpu.edu.tw/paper/3/8/pdf</w:t>
      </w:r>
      <w:r w:rsidRPr="00E91A5C">
        <w:rPr>
          <w:rFonts w:hint="eastAsia"/>
        </w:rPr>
        <w:t>。</w:t>
      </w:r>
    </w:p>
    <w:p w14:paraId="3493EFA8" w14:textId="77777777" w:rsidR="00CA23FA" w:rsidRPr="00E91A5C" w:rsidRDefault="00CA23FA" w:rsidP="00E91A5C">
      <w:pPr>
        <w:pStyle w:val="3"/>
        <w:jc w:val="left"/>
      </w:pPr>
      <w:r w:rsidRPr="00E91A5C">
        <w:t>2.</w:t>
      </w:r>
      <w:r w:rsidRPr="00E91A5C">
        <w:rPr>
          <w:rFonts w:hint="eastAsia"/>
        </w:rPr>
        <w:t>謝立功</w:t>
      </w:r>
      <w:r w:rsidRPr="00E91A5C">
        <w:t>(2007)</w:t>
      </w:r>
      <w:r w:rsidRPr="00E91A5C">
        <w:rPr>
          <w:rFonts w:hint="eastAsia"/>
        </w:rPr>
        <w:t>，我國人口販運防制對策，收錄於臺北市法務部：刑事政策與犯罪研究論文集</w:t>
      </w:r>
      <w:r w:rsidRPr="00E91A5C">
        <w:t>(</w:t>
      </w:r>
      <w:r w:rsidRPr="00E91A5C">
        <w:rPr>
          <w:rFonts w:hint="eastAsia"/>
        </w:rPr>
        <w:t>十</w:t>
      </w:r>
      <w:r w:rsidRPr="00E91A5C">
        <w:t>)</w:t>
      </w:r>
      <w:r w:rsidRPr="00E91A5C">
        <w:rPr>
          <w:rFonts w:hint="eastAsia"/>
        </w:rPr>
        <w:t>。</w:t>
      </w:r>
      <w:r w:rsidRPr="00E91A5C">
        <w:rPr>
          <w:rFonts w:hint="eastAsia"/>
        </w:rPr>
        <w:t xml:space="preserve"> </w:t>
      </w:r>
    </w:p>
    <w:p w14:paraId="2A5DDCCB" w14:textId="77777777" w:rsidR="00CA23FA" w:rsidRPr="00E91A5C" w:rsidRDefault="00CA23FA" w:rsidP="00E91A5C">
      <w:pPr>
        <w:pStyle w:val="3"/>
        <w:jc w:val="left"/>
        <w:rPr>
          <w:rStyle w:val="af2"/>
          <w:rFonts w:ascii="新細明體" w:hAnsi="新細明體"/>
          <w:color w:val="808000"/>
          <w:sz w:val="20"/>
          <w:szCs w:val="20"/>
        </w:rPr>
      </w:pPr>
      <w:r w:rsidRPr="00E91A5C">
        <w:t>3.</w:t>
      </w:r>
      <w:r w:rsidRPr="00E91A5C">
        <w:rPr>
          <w:rFonts w:hint="eastAsia"/>
        </w:rPr>
        <w:t>內政部入出國及移民署專勤事務大隊</w:t>
      </w:r>
      <w:r w:rsidRPr="00E91A5C">
        <w:t>(2013)</w:t>
      </w:r>
      <w:r w:rsidRPr="00E91A5C">
        <w:rPr>
          <w:rFonts w:hint="eastAsia"/>
        </w:rPr>
        <w:t>，移民署長謝立功關懷外籍漁工工</w:t>
      </w:r>
      <w:r w:rsidRPr="00E91A5C">
        <w:rPr>
          <w:rStyle w:val="af2"/>
          <w:rFonts w:ascii="新細明體" w:hAnsi="新細明體" w:hint="eastAsia"/>
          <w:color w:val="808000"/>
          <w:sz w:val="20"/>
          <w:szCs w:val="20"/>
        </w:rPr>
        <w:t>作生活，上網瀏覽時間：</w:t>
      </w:r>
      <w:r w:rsidRPr="00E91A5C">
        <w:rPr>
          <w:rStyle w:val="af2"/>
          <w:rFonts w:ascii="新細明體" w:hAnsi="新細明體"/>
          <w:color w:val="808000"/>
          <w:sz w:val="20"/>
          <w:szCs w:val="20"/>
        </w:rPr>
        <w:t>2014</w:t>
      </w:r>
      <w:r w:rsidRPr="00E91A5C">
        <w:rPr>
          <w:rStyle w:val="af2"/>
          <w:rFonts w:ascii="新細明體" w:hAnsi="新細明體" w:hint="eastAsia"/>
          <w:color w:val="808000"/>
          <w:sz w:val="20"/>
          <w:szCs w:val="20"/>
        </w:rPr>
        <w:t>年</w:t>
      </w:r>
      <w:r w:rsidRPr="00E91A5C">
        <w:rPr>
          <w:rStyle w:val="af2"/>
          <w:rFonts w:ascii="新細明體" w:hAnsi="新細明體"/>
          <w:color w:val="808000"/>
          <w:sz w:val="20"/>
          <w:szCs w:val="20"/>
        </w:rPr>
        <w:t>3</w:t>
      </w:r>
      <w:r w:rsidRPr="00E91A5C">
        <w:rPr>
          <w:rStyle w:val="af2"/>
          <w:rFonts w:ascii="新細明體" w:hAnsi="新細明體" w:hint="eastAsia"/>
          <w:color w:val="808000"/>
          <w:sz w:val="20"/>
          <w:szCs w:val="20"/>
        </w:rPr>
        <w:t>月</w:t>
      </w:r>
      <w:r w:rsidRPr="00E91A5C">
        <w:rPr>
          <w:rStyle w:val="af2"/>
          <w:rFonts w:ascii="新細明體" w:hAnsi="新細明體"/>
          <w:color w:val="808000"/>
          <w:sz w:val="20"/>
          <w:szCs w:val="20"/>
        </w:rPr>
        <w:t>27</w:t>
      </w:r>
      <w:r w:rsidRPr="00E91A5C">
        <w:rPr>
          <w:rStyle w:val="af2"/>
          <w:rFonts w:ascii="新細明體" w:hAnsi="新細明體" w:hint="eastAsia"/>
          <w:color w:val="808000"/>
          <w:sz w:val="20"/>
          <w:szCs w:val="20"/>
        </w:rPr>
        <w:t>日，</w:t>
      </w:r>
      <w:hyperlink r:id="rId238" w:history="1">
        <w:r w:rsidRPr="00E91A5C">
          <w:rPr>
            <w:rStyle w:val="a5"/>
            <w:rFonts w:eastAsia="新細明體"/>
            <w:sz w:val="20"/>
            <w:szCs w:val="20"/>
          </w:rPr>
          <w:t>http://www.immigration.gov.tw/ct.asp? xItem=1241011&amp;ctNode=34815&amp;mp=mobmp1</w:t>
        </w:r>
      </w:hyperlink>
      <w:r w:rsidRPr="00E91A5C">
        <w:rPr>
          <w:rStyle w:val="af2"/>
          <w:rFonts w:ascii="新細明體" w:hAnsi="新細明體" w:hint="eastAsia"/>
          <w:color w:val="808000"/>
          <w:sz w:val="20"/>
          <w:szCs w:val="20"/>
        </w:rPr>
        <w:t>。</w:t>
      </w:r>
    </w:p>
    <w:p w14:paraId="6DEC2CA3" w14:textId="77777777" w:rsidR="00CA23FA" w:rsidRPr="00E91A5C" w:rsidRDefault="00CA23FA" w:rsidP="00E91A5C">
      <w:pPr>
        <w:pStyle w:val="3"/>
        <w:jc w:val="left"/>
      </w:pPr>
      <w:r w:rsidRPr="00E91A5C">
        <w:t>4.</w:t>
      </w:r>
      <w:r w:rsidRPr="00E91A5C">
        <w:rPr>
          <w:rFonts w:hint="eastAsia"/>
        </w:rPr>
        <w:t>財團法人中央廣播電臺</w:t>
      </w:r>
      <w:r w:rsidRPr="00E91A5C">
        <w:t>(2013)</w:t>
      </w:r>
      <w:r w:rsidRPr="00E91A5C">
        <w:rPr>
          <w:rFonts w:hint="eastAsia"/>
        </w:rPr>
        <w:t>，外勞組工會，謝立功赴南方澳參訪，上網瀏覽時間：</w:t>
      </w:r>
      <w:r w:rsidRPr="00E91A5C">
        <w:t>2014</w:t>
      </w:r>
      <w:r w:rsidRPr="00E91A5C">
        <w:rPr>
          <w:rFonts w:hint="eastAsia"/>
        </w:rPr>
        <w:t>年</w:t>
      </w:r>
      <w:r w:rsidRPr="00E91A5C">
        <w:t>3</w:t>
      </w:r>
      <w:r w:rsidRPr="00E91A5C">
        <w:rPr>
          <w:rFonts w:hint="eastAsia"/>
        </w:rPr>
        <w:t>月</w:t>
      </w:r>
      <w:r w:rsidRPr="00E91A5C">
        <w:t>26</w:t>
      </w:r>
      <w:r w:rsidRPr="00E91A5C">
        <w:rPr>
          <w:rFonts w:hint="eastAsia"/>
        </w:rPr>
        <w:t>日，</w:t>
      </w:r>
      <w:hyperlink r:id="rId239" w:history="1">
        <w:r w:rsidRPr="00E91A5C">
          <w:rPr>
            <w:rStyle w:val="a5"/>
            <w:szCs w:val="20"/>
          </w:rPr>
          <w:t>http://news.rti.org.tw/index_newsContent.aspx?nid=471644</w:t>
        </w:r>
      </w:hyperlink>
      <w:r w:rsidRPr="00E91A5C">
        <w:rPr>
          <w:rFonts w:hint="eastAsia"/>
        </w:rPr>
        <w:t>。</w:t>
      </w:r>
      <w:r w:rsidRPr="00E91A5C">
        <w:rPr>
          <w:rFonts w:hint="eastAsia"/>
        </w:rPr>
        <w:t xml:space="preserve"> </w:t>
      </w:r>
    </w:p>
    <w:p w14:paraId="187961B4" w14:textId="77777777" w:rsidR="00CA23FA" w:rsidRPr="00E91A5C" w:rsidRDefault="00CA23FA" w:rsidP="00E91A5C">
      <w:pPr>
        <w:pStyle w:val="3"/>
        <w:jc w:val="left"/>
      </w:pPr>
      <w:r w:rsidRPr="00E91A5C">
        <w:t>5.</w:t>
      </w:r>
      <w:r w:rsidRPr="00E91A5C">
        <w:rPr>
          <w:rFonts w:hint="eastAsia"/>
        </w:rPr>
        <w:t>高瑞鍾、謝文忠、高瑞新</w:t>
      </w:r>
      <w:r w:rsidRPr="00E91A5C">
        <w:t>(2013)</w:t>
      </w:r>
      <w:r w:rsidRPr="00E91A5C">
        <w:rPr>
          <w:rFonts w:hint="eastAsia"/>
        </w:rPr>
        <w:t>，我國與南韓人口販運防制工作之比較研究，金大學報，第</w:t>
      </w:r>
      <w:r w:rsidRPr="00E91A5C">
        <w:t>3</w:t>
      </w:r>
      <w:r w:rsidRPr="00E91A5C">
        <w:rPr>
          <w:rFonts w:hint="eastAsia"/>
        </w:rPr>
        <w:t>期，頁</w:t>
      </w:r>
      <w:r w:rsidRPr="00E91A5C">
        <w:t>131-150</w:t>
      </w:r>
      <w:r w:rsidRPr="00E91A5C">
        <w:rPr>
          <w:rFonts w:hint="eastAsia"/>
        </w:rPr>
        <w:t>。</w:t>
      </w:r>
    </w:p>
    <w:p w14:paraId="03A5ECDE" w14:textId="77777777" w:rsidR="00CA23FA" w:rsidRPr="001663AE" w:rsidRDefault="00CA23FA" w:rsidP="00D87D91">
      <w:pPr>
        <w:pStyle w:val="3"/>
      </w:pPr>
    </w:p>
    <w:p w14:paraId="0F7CB627" w14:textId="77777777" w:rsidR="00CA23FA" w:rsidRPr="001663AE" w:rsidRDefault="00CA23FA" w:rsidP="00D87D91">
      <w:pPr>
        <w:pStyle w:val="3"/>
      </w:pPr>
    </w:p>
  </w:footnote>
  <w:footnote w:id="862">
    <w:p w14:paraId="3E649DCE" w14:textId="77777777" w:rsidR="00CA23FA" w:rsidRPr="001663AE" w:rsidRDefault="00CA23FA" w:rsidP="000E25C7">
      <w:pPr>
        <w:pStyle w:val="3"/>
        <w:jc w:val="left"/>
      </w:pPr>
      <w:r w:rsidRPr="001663AE">
        <w:rPr>
          <w:rStyle w:val="af3"/>
          <w:rFonts w:ascii="新細明體" w:hAnsi="新細明體"/>
        </w:rPr>
        <w:footnoteRef/>
      </w:r>
      <w:r w:rsidRPr="001663AE">
        <w:rPr>
          <w:rFonts w:hint="eastAsia"/>
        </w:rPr>
        <w:t>美國在台協會，美國</w:t>
      </w:r>
      <w:r w:rsidRPr="001663AE">
        <w:t>2014</w:t>
      </w:r>
      <w:r w:rsidRPr="001663AE">
        <w:rPr>
          <w:rFonts w:hint="eastAsia"/>
        </w:rPr>
        <w:t>年人口販運問題報告</w:t>
      </w:r>
      <w:r>
        <w:t>〜</w:t>
      </w:r>
      <w:r w:rsidRPr="001663AE">
        <w:rPr>
          <w:rFonts w:hint="eastAsia"/>
        </w:rPr>
        <w:t>台灣部分（第一列），上網瀏覽時間：</w:t>
      </w:r>
      <w:r w:rsidRPr="001663AE">
        <w:t>2014</w:t>
      </w:r>
      <w:r w:rsidRPr="001663AE">
        <w:rPr>
          <w:rFonts w:hint="eastAsia"/>
        </w:rPr>
        <w:t>年</w:t>
      </w:r>
      <w:r w:rsidRPr="001663AE">
        <w:t>7</w:t>
      </w:r>
      <w:r w:rsidRPr="001663AE">
        <w:rPr>
          <w:rFonts w:hint="eastAsia"/>
        </w:rPr>
        <w:t>月</w:t>
      </w:r>
      <w:r w:rsidRPr="001663AE">
        <w:t>3</w:t>
      </w:r>
      <w:r w:rsidRPr="001663AE">
        <w:rPr>
          <w:rFonts w:hint="eastAsia"/>
        </w:rPr>
        <w:t>日，</w:t>
      </w:r>
      <w:hyperlink r:id="rId240" w:history="1">
        <w:r w:rsidRPr="001663AE">
          <w:rPr>
            <w:rStyle w:val="a5"/>
          </w:rPr>
          <w:t>http://www.ait.org.tw/zh/2014-trafficking-in-persons-report-taiwan.html</w:t>
        </w:r>
      </w:hyperlink>
      <w:r w:rsidRPr="001663AE">
        <w:rPr>
          <w:rFonts w:hint="eastAsia"/>
        </w:rPr>
        <w:t>。</w:t>
      </w:r>
    </w:p>
  </w:footnote>
  <w:footnote w:id="863">
    <w:p w14:paraId="3506C50C" w14:textId="77777777" w:rsidR="00CA23FA" w:rsidRPr="001663AE" w:rsidRDefault="00CA23FA" w:rsidP="000E25C7">
      <w:pPr>
        <w:pStyle w:val="3"/>
        <w:jc w:val="left"/>
      </w:pPr>
      <w:r w:rsidRPr="001663AE">
        <w:rPr>
          <w:rStyle w:val="af3"/>
          <w:rFonts w:ascii="新細明體" w:hAnsi="新細明體"/>
        </w:rPr>
        <w:footnoteRef/>
      </w:r>
      <w:r w:rsidRPr="001663AE">
        <w:t xml:space="preserve"> </w:t>
      </w:r>
      <w:r w:rsidRPr="001663AE">
        <w:rPr>
          <w:rFonts w:hint="eastAsia"/>
        </w:rPr>
        <w:t>同上。</w:t>
      </w:r>
      <w:r w:rsidRPr="001663AE">
        <w:rPr>
          <w:rFonts w:hint="eastAsia"/>
        </w:rPr>
        <w:t xml:space="preserve"> </w:t>
      </w:r>
    </w:p>
    <w:p w14:paraId="5FC235B3" w14:textId="77777777" w:rsidR="00CA23FA" w:rsidRPr="001663AE" w:rsidRDefault="00CA23FA" w:rsidP="000E25C7">
      <w:pPr>
        <w:pStyle w:val="3"/>
        <w:jc w:val="left"/>
        <w:rPr>
          <w:rFonts w:cs="華康標楷體(P)"/>
        </w:rPr>
      </w:pP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3892F3C9" w14:textId="77777777" w:rsidR="00CA23FA" w:rsidRPr="001663AE" w:rsidRDefault="00CA23FA" w:rsidP="000E25C7">
      <w:pPr>
        <w:pStyle w:val="3"/>
        <w:jc w:val="left"/>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64">
    <w:p w14:paraId="789F451A" w14:textId="77777777" w:rsidR="00CA23FA" w:rsidRPr="001663AE" w:rsidRDefault="00CA23FA" w:rsidP="000E25C7">
      <w:pPr>
        <w:pStyle w:val="3"/>
        <w:jc w:val="left"/>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112AE38B" w14:textId="77777777" w:rsidR="00CA23FA" w:rsidRPr="001663AE" w:rsidRDefault="00CA23FA" w:rsidP="000E25C7">
      <w:pPr>
        <w:pStyle w:val="3"/>
        <w:jc w:val="left"/>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65">
    <w:p w14:paraId="356810F5" w14:textId="77777777" w:rsidR="00CA23FA" w:rsidRPr="001663AE" w:rsidRDefault="00CA23FA" w:rsidP="00D87D91">
      <w:pPr>
        <w:pStyle w:val="3"/>
      </w:pPr>
      <w:r w:rsidRPr="001663AE">
        <w:rPr>
          <w:rStyle w:val="af3"/>
          <w:rFonts w:ascii="新細明體" w:hAnsi="新細明體"/>
        </w:rPr>
        <w:footnoteRef/>
      </w:r>
      <w:r w:rsidRPr="001663AE">
        <w:rPr>
          <w:rFonts w:hint="eastAsia"/>
        </w:rPr>
        <w:t>柯雨瑞</w:t>
      </w:r>
      <w:r w:rsidRPr="001663AE">
        <w:t>(2009)</w:t>
      </w:r>
      <w:r w:rsidRPr="001663AE">
        <w:rPr>
          <w:rFonts w:hint="eastAsia"/>
        </w:rPr>
        <w:t>，中央警察大學民國</w:t>
      </w:r>
      <w:r w:rsidRPr="001663AE">
        <w:t>98</w:t>
      </w:r>
      <w:r w:rsidRPr="001663AE">
        <w:rPr>
          <w:rFonts w:hint="eastAsia"/>
        </w:rPr>
        <w:t>年暑假教師赴實務機關參觀考察報告書。</w:t>
      </w:r>
    </w:p>
  </w:footnote>
  <w:footnote w:id="866">
    <w:p w14:paraId="745F4916" w14:textId="77777777" w:rsidR="00CA23FA" w:rsidRPr="001663AE" w:rsidRDefault="00CA23FA" w:rsidP="00D87D91">
      <w:pPr>
        <w:pStyle w:val="3"/>
      </w:pPr>
      <w:r w:rsidRPr="001663AE">
        <w:rPr>
          <w:rStyle w:val="af3"/>
          <w:rFonts w:ascii="新細明體" w:hAnsi="新細明體"/>
        </w:rPr>
        <w:footnoteRef/>
      </w:r>
      <w:r w:rsidRPr="001663AE">
        <w:rPr>
          <w:rFonts w:hint="eastAsia"/>
        </w:rPr>
        <w:t>許家雋</w:t>
      </w:r>
      <w:r w:rsidRPr="001663AE">
        <w:rPr>
          <w:rFonts w:hint="eastAsia"/>
        </w:rPr>
        <w:t>(2011)</w:t>
      </w:r>
      <w:r w:rsidRPr="001663AE">
        <w:rPr>
          <w:rFonts w:hint="eastAsia"/>
        </w:rPr>
        <w:t>，外籍漁工血汗值多少，法扶會訊第二十九期。</w:t>
      </w:r>
    </w:p>
  </w:footnote>
  <w:footnote w:id="867">
    <w:p w14:paraId="0683D924" w14:textId="77777777" w:rsidR="00CA23FA" w:rsidRPr="001663AE" w:rsidRDefault="00CA23FA" w:rsidP="00D87D91">
      <w:pPr>
        <w:pStyle w:val="3"/>
      </w:pPr>
      <w:r w:rsidRPr="001663AE">
        <w:rPr>
          <w:rStyle w:val="af3"/>
          <w:rFonts w:ascii="新細明體" w:hAnsi="新細明體"/>
        </w:rPr>
        <w:footnoteRef/>
      </w:r>
      <w:r w:rsidRPr="001663AE">
        <w:rPr>
          <w:rFonts w:hint="eastAsia"/>
        </w:rPr>
        <w:t>許家雋</w:t>
      </w:r>
      <w:r w:rsidRPr="001663AE">
        <w:rPr>
          <w:rFonts w:hint="eastAsia"/>
        </w:rPr>
        <w:t>(2011)</w:t>
      </w:r>
      <w:r w:rsidRPr="001663AE">
        <w:rPr>
          <w:rFonts w:hint="eastAsia"/>
        </w:rPr>
        <w:t>，外籍漁工血汗值多少，法扶會訊第二十九期。</w:t>
      </w:r>
    </w:p>
  </w:footnote>
  <w:footnote w:id="868">
    <w:p w14:paraId="0B2DEF35" w14:textId="77777777" w:rsidR="00CA23FA" w:rsidRPr="001663AE" w:rsidRDefault="00CA23FA" w:rsidP="00703176">
      <w:pPr>
        <w:pStyle w:val="3"/>
        <w:jc w:val="left"/>
      </w:pPr>
      <w:r w:rsidRPr="001663AE">
        <w:rPr>
          <w:rStyle w:val="af3"/>
          <w:rFonts w:ascii="新細明體" w:hAnsi="新細明體"/>
        </w:rPr>
        <w:footnoteRef/>
      </w:r>
      <w:r w:rsidRPr="001663AE">
        <w:t xml:space="preserve"> US, Department of State, Office to Monitor and Combat Trafficking in Persons(2008), Trafficking in Persons Report 2008, pp52-292.</w:t>
      </w:r>
    </w:p>
  </w:footnote>
  <w:footnote w:id="869">
    <w:p w14:paraId="7C3E6F69" w14:textId="77777777" w:rsidR="00CA23FA" w:rsidRPr="001663AE" w:rsidRDefault="00CA23FA" w:rsidP="00703176">
      <w:pPr>
        <w:pStyle w:val="3"/>
        <w:jc w:val="left"/>
        <w:rPr>
          <w:lang w:eastAsia="x-none"/>
        </w:rPr>
      </w:pPr>
      <w:r w:rsidRPr="001663AE">
        <w:rPr>
          <w:rStyle w:val="af3"/>
          <w:rFonts w:ascii="新細明體" w:hAnsi="新細明體"/>
        </w:rPr>
        <w:footnoteRef/>
      </w:r>
      <w:r w:rsidRPr="001663AE">
        <w:rPr>
          <w:rFonts w:hint="eastAsia"/>
        </w:rPr>
        <w:t>人口販運防制法第</w:t>
      </w:r>
      <w:r w:rsidRPr="001663AE">
        <w:t>31</w:t>
      </w:r>
      <w:r w:rsidRPr="001663AE">
        <w:rPr>
          <w:rFonts w:hint="eastAsia"/>
        </w:rPr>
        <w:t>條（罰則）</w:t>
      </w:r>
      <w:r>
        <w:t>〜</w:t>
      </w:r>
      <w:r w:rsidRPr="001663AE">
        <w:t>-</w:t>
      </w:r>
      <w:r w:rsidRPr="001663AE">
        <w:rPr>
          <w:rFonts w:hint="eastAsia"/>
        </w:rPr>
        <w:t>意圖營利，利用不當債務約束或他人不能、不知或難以　求助之處境，使人從事性交易者，處六月以上五年以下有期徒刑，得併科新臺幣三百萬元以下罰金。</w:t>
      </w:r>
      <w:r w:rsidRPr="001663AE">
        <w:rPr>
          <w:rFonts w:hint="eastAsia"/>
        </w:rPr>
        <w:t xml:space="preserve"> </w:t>
      </w:r>
    </w:p>
    <w:p w14:paraId="024500F7" w14:textId="77777777" w:rsidR="00CA23FA" w:rsidRPr="001663AE" w:rsidRDefault="00CA23FA" w:rsidP="00703176">
      <w:pPr>
        <w:pStyle w:val="3"/>
        <w:jc w:val="left"/>
      </w:pPr>
      <w:r w:rsidRPr="001663AE">
        <w:rPr>
          <w:rFonts w:hint="eastAsia"/>
        </w:rPr>
        <w:t xml:space="preserve">　　前項之未遂犯罰之。</w:t>
      </w:r>
    </w:p>
  </w:footnote>
  <w:footnote w:id="870">
    <w:p w14:paraId="2C42B3E9" w14:textId="77777777" w:rsidR="00CA23FA" w:rsidRPr="001663AE" w:rsidRDefault="00CA23FA" w:rsidP="00703176">
      <w:pPr>
        <w:pStyle w:val="3"/>
        <w:jc w:val="left"/>
      </w:pPr>
      <w:r w:rsidRPr="001663AE">
        <w:rPr>
          <w:rStyle w:val="af3"/>
          <w:rFonts w:ascii="新細明體" w:hAnsi="新細明體"/>
        </w:rPr>
        <w:footnoteRef/>
      </w:r>
      <w:r w:rsidRPr="001663AE">
        <w:rPr>
          <w:rFonts w:hint="eastAsia"/>
        </w:rPr>
        <w:t>陳淑芬（</w:t>
      </w:r>
      <w:r w:rsidRPr="001663AE">
        <w:t>2009</w:t>
      </w:r>
      <w:r w:rsidRPr="001663AE">
        <w:rPr>
          <w:rFonts w:hint="eastAsia"/>
        </w:rPr>
        <w:t>），人口販運防制法過關罰則太低，</w:t>
      </w:r>
      <w:r w:rsidRPr="001663AE">
        <w:t xml:space="preserve">Retrieved January 13, 2009, from </w:t>
      </w:r>
      <w:hyperlink r:id="rId241" w:history="1">
        <w:r w:rsidRPr="001663AE">
          <w:rPr>
            <w:rStyle w:val="a5"/>
          </w:rPr>
          <w:t>http://news.sina.com.tw/article/20090113/1278291.html</w:t>
        </w:r>
      </w:hyperlink>
      <w:r w:rsidRPr="001663AE">
        <w:rPr>
          <w:rFonts w:hint="eastAsia"/>
        </w:rPr>
        <w:t>。</w:t>
      </w:r>
    </w:p>
  </w:footnote>
  <w:footnote w:id="871">
    <w:p w14:paraId="15FCC39F" w14:textId="77777777" w:rsidR="00CA23FA" w:rsidRPr="001663AE" w:rsidRDefault="00CA23FA" w:rsidP="00D87D91">
      <w:pPr>
        <w:pStyle w:val="3"/>
      </w:pPr>
      <w:r w:rsidRPr="001663AE">
        <w:rPr>
          <w:rStyle w:val="af3"/>
          <w:rFonts w:ascii="新細明體" w:hAnsi="新細明體"/>
        </w:rPr>
        <w:footnoteRef/>
      </w:r>
      <w:r w:rsidRPr="001663AE">
        <w:rPr>
          <w:rFonts w:hint="eastAsia"/>
        </w:rPr>
        <w:t>邱念興（</w:t>
      </w:r>
      <w:r w:rsidRPr="001663AE">
        <w:t>2009</w:t>
      </w:r>
      <w:r w:rsidRPr="001663AE">
        <w:rPr>
          <w:rFonts w:hint="eastAsia"/>
        </w:rPr>
        <w:t>），我國防制人口販運之執法運作，發表於中央警察大學國境警察學系與移民研究中心共同舉辦之</w:t>
      </w:r>
      <w:r w:rsidRPr="001663AE">
        <w:t>2009</w:t>
      </w:r>
      <w:r w:rsidRPr="001663AE">
        <w:rPr>
          <w:rFonts w:hint="eastAsia"/>
        </w:rPr>
        <w:t>年防制人口販運國際研討會之專題演講，頁</w:t>
      </w:r>
      <w:r w:rsidRPr="001663AE">
        <w:t>9-51</w:t>
      </w:r>
      <w:r w:rsidRPr="001663AE">
        <w:rPr>
          <w:rFonts w:hint="eastAsia"/>
        </w:rPr>
        <w:t>。根據刑事警察局邱念興氏之專案報告，被害人缺乏被害意識，不認為其是被害人，縱使遭人口販運之剝削而不自知，常拒絕協助偵查或不願接受安置，影響刑事警察局執法人員之後續偵查作為。是以，如何有效喚醒人口販運被害人之被害意識，勇於向執法人員報案，亦是當前宣導重點之所在。</w:t>
      </w:r>
    </w:p>
  </w:footnote>
  <w:footnote w:id="872">
    <w:p w14:paraId="1CE96A4E" w14:textId="77777777" w:rsidR="00CA23FA" w:rsidRPr="001663AE" w:rsidRDefault="00CA23FA" w:rsidP="00703176">
      <w:pPr>
        <w:pStyle w:val="3"/>
        <w:jc w:val="left"/>
        <w:rPr>
          <w:rFonts w:ascii="新細明體" w:hAnsi="新細明體"/>
          <w:szCs w:val="20"/>
        </w:rPr>
      </w:pPr>
      <w:r w:rsidRPr="001663AE">
        <w:rPr>
          <w:rStyle w:val="af3"/>
          <w:rFonts w:ascii="新細明體" w:hAnsi="新細明體"/>
          <w:szCs w:val="20"/>
        </w:rPr>
        <w:footnoteRef/>
      </w:r>
      <w:r w:rsidRPr="001663AE">
        <w:rPr>
          <w:rFonts w:ascii="新細明體" w:hAnsi="新細明體"/>
          <w:szCs w:val="20"/>
        </w:rPr>
        <w:t xml:space="preserve"> European Commission(2013), Schengen Information System</w:t>
      </w:r>
      <w:r>
        <w:rPr>
          <w:rFonts w:ascii="新細明體" w:hAnsi="新細明體"/>
          <w:szCs w:val="20"/>
        </w:rPr>
        <w:t>(</w:t>
      </w:r>
      <w:r w:rsidRPr="001663AE">
        <w:rPr>
          <w:rFonts w:ascii="新細明體" w:hAnsi="新細明體"/>
          <w:szCs w:val="20"/>
        </w:rPr>
        <w:t xml:space="preserve">SIS), retrieved on 2013/08/27, from </w:t>
      </w:r>
      <w:hyperlink r:id="rId242" w:history="1">
        <w:r w:rsidRPr="001663AE">
          <w:rPr>
            <w:rStyle w:val="a5"/>
            <w:szCs w:val="20"/>
          </w:rPr>
          <w:t>http://ec.europa.eu/dgs/home-affairs/what-we-do/policies/borders-and-visas/schengen-information-system/index_en.htm</w:t>
        </w:r>
      </w:hyperlink>
      <w:r w:rsidRPr="001663AE">
        <w:rPr>
          <w:rFonts w:ascii="新細明體" w:hAnsi="新細明體"/>
          <w:szCs w:val="20"/>
        </w:rPr>
        <w:t>.</w:t>
      </w:r>
    </w:p>
  </w:footnote>
  <w:footnote w:id="873">
    <w:p w14:paraId="419FE703" w14:textId="77777777" w:rsidR="00CA23FA" w:rsidRPr="001663AE" w:rsidRDefault="00CA23FA" w:rsidP="00703176">
      <w:pPr>
        <w:pStyle w:val="3"/>
        <w:jc w:val="left"/>
      </w:pPr>
      <w:r w:rsidRPr="001663AE">
        <w:rPr>
          <w:rStyle w:val="af3"/>
          <w:rFonts w:ascii="新細明體" w:hAnsi="新細明體"/>
        </w:rPr>
        <w:footnoteRef/>
      </w:r>
      <w:r w:rsidRPr="001663AE">
        <w:t xml:space="preserve"> Ibid.</w:t>
      </w:r>
      <w:r w:rsidRPr="001663AE">
        <w:rPr>
          <w:rFonts w:hint="eastAsia"/>
        </w:rPr>
        <w:t xml:space="preserve"> </w:t>
      </w:r>
    </w:p>
  </w:footnote>
  <w:footnote w:id="874">
    <w:p w14:paraId="2E6E2C2B" w14:textId="77777777" w:rsidR="00CA23FA" w:rsidRPr="001663AE" w:rsidRDefault="00CA23FA" w:rsidP="00703176">
      <w:pPr>
        <w:pStyle w:val="3"/>
        <w:jc w:val="left"/>
      </w:pPr>
      <w:r w:rsidRPr="001663AE">
        <w:rPr>
          <w:rStyle w:val="af3"/>
          <w:rFonts w:ascii="新細明體" w:hAnsi="新細明體"/>
        </w:rPr>
        <w:footnoteRef/>
      </w:r>
      <w:r w:rsidRPr="001663AE">
        <w:t xml:space="preserve"> European Commission(2013), Questions and Answers: Schengen Information System</w:t>
      </w:r>
      <w:r>
        <w:t>(</w:t>
      </w:r>
      <w:r w:rsidRPr="001663AE">
        <w:t xml:space="preserve">SIS II), retrieved on 2013/08/27, from </w:t>
      </w:r>
      <w:hyperlink r:id="rId243" w:history="1">
        <w:r w:rsidRPr="001663AE">
          <w:rPr>
            <w:rStyle w:val="a5"/>
          </w:rPr>
          <w:t>http://europa.eu/rapid/press-release_MEMO-13-309_en.htm</w:t>
        </w:r>
      </w:hyperlink>
      <w:r w:rsidRPr="001663AE">
        <w:t>.</w:t>
      </w:r>
    </w:p>
  </w:footnote>
  <w:footnote w:id="875">
    <w:p w14:paraId="53A12B70" w14:textId="77777777" w:rsidR="00CA23FA" w:rsidRPr="001663AE" w:rsidRDefault="00CA23FA" w:rsidP="00703176">
      <w:pPr>
        <w:pStyle w:val="3"/>
        <w:jc w:val="left"/>
      </w:pPr>
      <w:r w:rsidRPr="001663AE">
        <w:rPr>
          <w:rStyle w:val="af3"/>
          <w:rFonts w:ascii="新細明體" w:hAnsi="新細明體"/>
        </w:rPr>
        <w:footnoteRef/>
      </w:r>
      <w:r w:rsidRPr="001663AE">
        <w:t xml:space="preserve"> European Commission(2013), Schengen Information System</w:t>
      </w:r>
      <w:r>
        <w:t>(</w:t>
      </w:r>
      <w:r w:rsidRPr="001663AE">
        <w:t>SIS), op.cit.</w:t>
      </w:r>
      <w:r w:rsidRPr="001663AE">
        <w:rPr>
          <w:rFonts w:hint="eastAsia"/>
        </w:rPr>
        <w:t xml:space="preserve"> </w:t>
      </w:r>
    </w:p>
  </w:footnote>
  <w:footnote w:id="876">
    <w:p w14:paraId="690C3BE8" w14:textId="77777777" w:rsidR="00CA23FA" w:rsidRPr="001663AE" w:rsidRDefault="00CA23FA" w:rsidP="00703176">
      <w:pPr>
        <w:pStyle w:val="3"/>
        <w:jc w:val="left"/>
      </w:pPr>
      <w:r w:rsidRPr="001663AE">
        <w:rPr>
          <w:rStyle w:val="af3"/>
          <w:rFonts w:ascii="新細明體" w:hAnsi="新細明體"/>
        </w:rPr>
        <w:footnoteRef/>
      </w:r>
      <w:r w:rsidRPr="001663AE">
        <w:rPr>
          <w:rFonts w:hint="eastAsia"/>
        </w:rPr>
        <w:t>英文中之</w:t>
      </w:r>
      <w:r w:rsidRPr="001663AE">
        <w:t>Johns</w:t>
      </w:r>
      <w:r w:rsidRPr="001663AE">
        <w:rPr>
          <w:rFonts w:hint="eastAsia"/>
        </w:rPr>
        <w:t>，中文翻譯為約翰，另外之意思，係指嫖客。此部分，可參見：汪毓瑋，</w:t>
      </w:r>
      <w:r w:rsidRPr="001663AE">
        <w:t>2009</w:t>
      </w:r>
      <w:r w:rsidRPr="001663AE">
        <w:rPr>
          <w:rFonts w:hint="eastAsia"/>
        </w:rPr>
        <w:t>，移民政策發展之國家安全、法治、人權內涵之平衡思考</w:t>
      </w:r>
      <w:r>
        <w:t>〜</w:t>
      </w:r>
      <w:r w:rsidRPr="001663AE">
        <w:t>-</w:t>
      </w:r>
      <w:r w:rsidRPr="001663AE">
        <w:rPr>
          <w:rFonts w:hint="eastAsia"/>
        </w:rPr>
        <w:t>兼論處理人口販運應有之改善作為，收錄於</w:t>
      </w:r>
      <w:r w:rsidRPr="001663AE">
        <w:t>2009</w:t>
      </w:r>
      <w:r w:rsidRPr="001663AE">
        <w:rPr>
          <w:rFonts w:hint="eastAsia"/>
        </w:rPr>
        <w:t>年防制人口販運國際研討會論文集，中央警察大學國境警察學系主辦，頁</w:t>
      </w:r>
      <w:r w:rsidRPr="001663AE">
        <w:t>139</w:t>
      </w:r>
      <w:r w:rsidRPr="001663AE">
        <w:rPr>
          <w:rFonts w:hint="eastAsia"/>
        </w:rPr>
        <w:t>。</w:t>
      </w:r>
    </w:p>
  </w:footnote>
  <w:footnote w:id="877">
    <w:p w14:paraId="1563136B" w14:textId="77777777" w:rsidR="00CA23FA" w:rsidRPr="001663AE" w:rsidRDefault="00CA23FA" w:rsidP="00703176">
      <w:pPr>
        <w:pStyle w:val="3"/>
        <w:jc w:val="left"/>
        <w:rPr>
          <w:lang w:eastAsia="x-none"/>
        </w:rPr>
      </w:pPr>
      <w:r w:rsidRPr="001663AE">
        <w:rPr>
          <w:rStyle w:val="af3"/>
          <w:rFonts w:ascii="新細明體" w:hAnsi="新細明體"/>
        </w:rPr>
        <w:footnoteRef/>
      </w:r>
      <w:r w:rsidRPr="001663AE">
        <w:t xml:space="preserve"> </w:t>
      </w:r>
      <w:r w:rsidRPr="001663AE">
        <w:rPr>
          <w:rFonts w:hint="eastAsia"/>
        </w:rPr>
        <w:t>社會秩序維護法第</w:t>
      </w:r>
      <w:r w:rsidRPr="001663AE">
        <w:t>91</w:t>
      </w:r>
      <w:r w:rsidRPr="001663AE">
        <w:rPr>
          <w:rFonts w:hint="eastAsia"/>
        </w:rPr>
        <w:t>條之</w:t>
      </w:r>
      <w:r w:rsidRPr="001663AE">
        <w:t>1</w:t>
      </w:r>
      <w:r>
        <w:t>〜</w:t>
      </w:r>
      <w:r w:rsidRPr="001663AE">
        <w:rPr>
          <w:rFonts w:hint="eastAsia"/>
        </w:rPr>
        <w:t>直轄市、縣（市）政府得因地制宜，制定自治條例，規劃得從事性交易之區域及其管理。</w:t>
      </w:r>
    </w:p>
    <w:p w14:paraId="14ECA513" w14:textId="77777777" w:rsidR="00CA23FA" w:rsidRPr="001663AE" w:rsidRDefault="00CA23FA" w:rsidP="00703176">
      <w:pPr>
        <w:pStyle w:val="3"/>
        <w:jc w:val="left"/>
      </w:pPr>
      <w:r w:rsidRPr="001663AE">
        <w:rPr>
          <w:rFonts w:hint="eastAsia"/>
        </w:rPr>
        <w:t>前項自治條例，應包含下列各款規定：</w:t>
      </w:r>
    </w:p>
    <w:p w14:paraId="55857C07" w14:textId="77777777" w:rsidR="00CA23FA" w:rsidRPr="001663AE" w:rsidRDefault="00CA23FA" w:rsidP="00703176">
      <w:pPr>
        <w:pStyle w:val="3"/>
        <w:jc w:val="left"/>
      </w:pPr>
      <w:r w:rsidRPr="001663AE">
        <w:rPr>
          <w:rFonts w:hint="eastAsia"/>
        </w:rPr>
        <w:t>一、該區域於都市計畫地區，限於商業區範圍內。</w:t>
      </w:r>
    </w:p>
    <w:p w14:paraId="7CF4063C" w14:textId="77777777" w:rsidR="00CA23FA" w:rsidRPr="001663AE" w:rsidRDefault="00CA23FA" w:rsidP="00703176">
      <w:pPr>
        <w:pStyle w:val="3"/>
        <w:jc w:val="left"/>
      </w:pPr>
      <w:r w:rsidRPr="001663AE">
        <w:rPr>
          <w:rFonts w:hint="eastAsia"/>
        </w:rPr>
        <w:t>二、該區域於非都市土地，限於以供遊憩為主之遊憩用地範圍內。但不包括兒童或青少年遊憩場。</w:t>
      </w:r>
    </w:p>
    <w:p w14:paraId="38A02901" w14:textId="77777777" w:rsidR="00CA23FA" w:rsidRPr="001663AE" w:rsidRDefault="00CA23FA" w:rsidP="00703176">
      <w:pPr>
        <w:pStyle w:val="3"/>
        <w:jc w:val="left"/>
      </w:pPr>
      <w:r w:rsidRPr="001663AE">
        <w:rPr>
          <w:rFonts w:hint="eastAsia"/>
        </w:rPr>
        <w:t>三、前</w:t>
      </w:r>
      <w:r w:rsidRPr="001663AE">
        <w:t>2</w:t>
      </w:r>
      <w:r w:rsidRPr="001663AE">
        <w:rPr>
          <w:rFonts w:hint="eastAsia"/>
        </w:rPr>
        <w:t>款之區域，應與學校、幼稚園、寺廟、教會（堂）等建築物保持適當之距離。</w:t>
      </w:r>
    </w:p>
    <w:p w14:paraId="7351D2EB" w14:textId="77777777" w:rsidR="00CA23FA" w:rsidRPr="001663AE" w:rsidRDefault="00CA23FA" w:rsidP="00703176">
      <w:pPr>
        <w:pStyle w:val="3"/>
        <w:jc w:val="left"/>
      </w:pPr>
      <w:r w:rsidRPr="001663AE">
        <w:rPr>
          <w:rFonts w:hint="eastAsia"/>
        </w:rPr>
        <w:t>四、性交易場所應辦理登記及申請執照，未領有執照，不得經營性交易。</w:t>
      </w:r>
    </w:p>
    <w:p w14:paraId="25156D1F" w14:textId="77777777" w:rsidR="00CA23FA" w:rsidRPr="001663AE" w:rsidRDefault="00CA23FA" w:rsidP="00703176">
      <w:pPr>
        <w:pStyle w:val="3"/>
        <w:jc w:val="left"/>
      </w:pPr>
      <w:r w:rsidRPr="001663AE">
        <w:rPr>
          <w:rFonts w:hint="eastAsia"/>
        </w:rPr>
        <w:t>五、曾犯刑法第</w:t>
      </w:r>
      <w:r w:rsidRPr="001663AE">
        <w:t>231</w:t>
      </w:r>
      <w:r w:rsidRPr="001663AE">
        <w:rPr>
          <w:rFonts w:hint="eastAsia"/>
        </w:rPr>
        <w:t>條、第</w:t>
      </w:r>
      <w:r w:rsidRPr="001663AE">
        <w:t>231</w:t>
      </w:r>
      <w:r w:rsidRPr="001663AE">
        <w:rPr>
          <w:rFonts w:hint="eastAsia"/>
        </w:rPr>
        <w:t>條之</w:t>
      </w:r>
      <w:r w:rsidRPr="001663AE">
        <w:t>1</w:t>
      </w:r>
      <w:r w:rsidRPr="001663AE">
        <w:rPr>
          <w:rFonts w:hint="eastAsia"/>
        </w:rPr>
        <w:t>、第</w:t>
      </w:r>
      <w:r w:rsidRPr="001663AE">
        <w:t>233</w:t>
      </w:r>
      <w:r w:rsidRPr="001663AE">
        <w:rPr>
          <w:rFonts w:hint="eastAsia"/>
        </w:rPr>
        <w:t>條、第</w:t>
      </w:r>
      <w:r w:rsidRPr="001663AE">
        <w:t>240</w:t>
      </w:r>
      <w:r w:rsidRPr="001663AE">
        <w:rPr>
          <w:rFonts w:hint="eastAsia"/>
        </w:rPr>
        <w:t>條、第</w:t>
      </w:r>
      <w:r w:rsidRPr="001663AE">
        <w:t>241</w:t>
      </w:r>
      <w:r w:rsidRPr="001663AE">
        <w:rPr>
          <w:rFonts w:hint="eastAsia"/>
        </w:rPr>
        <w:t>條、第</w:t>
      </w:r>
      <w:r w:rsidRPr="001663AE">
        <w:t>296</w:t>
      </w:r>
      <w:r w:rsidRPr="001663AE">
        <w:rPr>
          <w:rFonts w:hint="eastAsia"/>
        </w:rPr>
        <w:t>條之</w:t>
      </w:r>
      <w:r w:rsidRPr="001663AE">
        <w:t>1</w:t>
      </w:r>
      <w:r w:rsidRPr="001663AE">
        <w:rPr>
          <w:rFonts w:hint="eastAsia"/>
        </w:rPr>
        <w:t>、兒童及少年性交易防制條例第</w:t>
      </w:r>
      <w:r w:rsidRPr="001663AE">
        <w:t>23</w:t>
      </w:r>
      <w:r w:rsidRPr="001663AE">
        <w:rPr>
          <w:rFonts w:hint="eastAsia"/>
        </w:rPr>
        <w:t>條至第</w:t>
      </w:r>
      <w:r w:rsidRPr="001663AE">
        <w:t>27</w:t>
      </w:r>
      <w:r w:rsidRPr="001663AE">
        <w:rPr>
          <w:rFonts w:hint="eastAsia"/>
        </w:rPr>
        <w:t>條或人口販運防制法之罪，經判決有罪者，不得擔任性交易場所之負責人。</w:t>
      </w:r>
    </w:p>
    <w:p w14:paraId="4207F988" w14:textId="77777777" w:rsidR="00CA23FA" w:rsidRPr="001663AE" w:rsidRDefault="00CA23FA" w:rsidP="00703176">
      <w:pPr>
        <w:pStyle w:val="3"/>
        <w:jc w:val="left"/>
      </w:pPr>
      <w:r w:rsidRPr="001663AE">
        <w:rPr>
          <w:rFonts w:hint="eastAsia"/>
        </w:rPr>
        <w:t>六、性交易場所之負責人犯前款所定之罪，經判決有罪者，撤銷或廢止性交易場所執照。</w:t>
      </w:r>
    </w:p>
    <w:p w14:paraId="46FCA3E2" w14:textId="77777777" w:rsidR="00CA23FA" w:rsidRPr="001663AE" w:rsidRDefault="00CA23FA" w:rsidP="00703176">
      <w:pPr>
        <w:pStyle w:val="3"/>
        <w:jc w:val="left"/>
      </w:pPr>
      <w:r w:rsidRPr="001663AE">
        <w:rPr>
          <w:rFonts w:hint="eastAsia"/>
        </w:rPr>
        <w:t>七、性交易服務者，應辦理登記及申請證照，並定期接受健康檢查。性交易場所負責人，亦應負責督促其場所內之性交易服務者定期接受健康檢查。</w:t>
      </w:r>
    </w:p>
    <w:p w14:paraId="6527E7E5" w14:textId="77777777" w:rsidR="00CA23FA" w:rsidRPr="001663AE" w:rsidRDefault="00CA23FA" w:rsidP="00703176">
      <w:pPr>
        <w:pStyle w:val="3"/>
        <w:jc w:val="left"/>
      </w:pPr>
      <w:r w:rsidRPr="001663AE">
        <w:rPr>
          <w:rFonts w:hint="eastAsia"/>
        </w:rPr>
        <w:t>八、性交易服務者犯刑法第</w:t>
      </w:r>
      <w:r w:rsidRPr="001663AE">
        <w:t>285</w:t>
      </w:r>
      <w:r w:rsidRPr="001663AE">
        <w:rPr>
          <w:rFonts w:hint="eastAsia"/>
        </w:rPr>
        <w:t>條或人類免疫缺乏病毒傳染防治及感染者權益保障條例第</w:t>
      </w:r>
      <w:r w:rsidRPr="001663AE">
        <w:t>21</w:t>
      </w:r>
      <w:r w:rsidRPr="001663AE">
        <w:rPr>
          <w:rFonts w:hint="eastAsia"/>
        </w:rPr>
        <w:t>條之罪者，撤銷或廢止其證照。</w:t>
      </w:r>
    </w:p>
    <w:p w14:paraId="46F83161" w14:textId="77777777" w:rsidR="00CA23FA" w:rsidRPr="001663AE" w:rsidRDefault="00CA23FA" w:rsidP="00703176">
      <w:pPr>
        <w:pStyle w:val="3"/>
        <w:jc w:val="left"/>
      </w:pPr>
      <w:r w:rsidRPr="001663AE">
        <w:rPr>
          <w:rFonts w:hint="eastAsia"/>
        </w:rPr>
        <w:t>九、性交易服務者經健康檢查發現有前款所定之疾病者，吊扣其證照，依法通知其接受治療，並於治療痊癒後發還證照。</w:t>
      </w:r>
    </w:p>
    <w:p w14:paraId="3A8B3360" w14:textId="77777777" w:rsidR="00CA23FA" w:rsidRPr="001663AE" w:rsidRDefault="00CA23FA" w:rsidP="00703176">
      <w:pPr>
        <w:pStyle w:val="3"/>
        <w:jc w:val="left"/>
      </w:pPr>
      <w:r w:rsidRPr="001663AE">
        <w:rPr>
          <w:rFonts w:hint="eastAsia"/>
        </w:rPr>
        <w:t>十、不得有意圖性交易或媒合性交易，於公共場所或公眾得出入之場所廣告之行為。</w:t>
      </w:r>
    </w:p>
    <w:p w14:paraId="093EBB40" w14:textId="77777777" w:rsidR="00CA23FA" w:rsidRPr="001663AE" w:rsidRDefault="00CA23FA" w:rsidP="00703176">
      <w:pPr>
        <w:pStyle w:val="3"/>
        <w:jc w:val="left"/>
      </w:pPr>
      <w:r w:rsidRPr="001663AE">
        <w:rPr>
          <w:rFonts w:hint="eastAsia"/>
        </w:rPr>
        <w:t>本法中華民國</w:t>
      </w:r>
      <w:r w:rsidRPr="001663AE">
        <w:t>100</w:t>
      </w:r>
      <w:r w:rsidRPr="001663AE">
        <w:rPr>
          <w:rFonts w:hint="eastAsia"/>
        </w:rPr>
        <w:t>年</w:t>
      </w:r>
      <w:r w:rsidRPr="001663AE">
        <w:t>11</w:t>
      </w:r>
      <w:r w:rsidRPr="001663AE">
        <w:rPr>
          <w:rFonts w:hint="eastAsia"/>
        </w:rPr>
        <w:t>月</w:t>
      </w:r>
      <w:r w:rsidRPr="001663AE">
        <w:t>4</w:t>
      </w:r>
      <w:r w:rsidRPr="001663AE">
        <w:rPr>
          <w:rFonts w:hint="eastAsia"/>
        </w:rPr>
        <w:t>日修正之條文施行前，已依直轄市、縣（市）政府制定之自治條例管理之性交易場所，於修正施行後，得於原地址依原自治條例之規定繼續經營。</w:t>
      </w:r>
    </w:p>
    <w:p w14:paraId="46A243C4" w14:textId="77777777" w:rsidR="00CA23FA" w:rsidRPr="001663AE" w:rsidRDefault="00CA23FA" w:rsidP="00703176">
      <w:pPr>
        <w:pStyle w:val="3"/>
        <w:jc w:val="left"/>
      </w:pPr>
      <w:r w:rsidRPr="001663AE">
        <w:rPr>
          <w:rFonts w:hint="eastAsia"/>
        </w:rPr>
        <w:t>依前</w:t>
      </w:r>
      <w:r w:rsidRPr="001663AE">
        <w:t>2</w:t>
      </w:r>
      <w:r w:rsidRPr="001663AE">
        <w:rPr>
          <w:rFonts w:hint="eastAsia"/>
        </w:rPr>
        <w:t>項規定經營性交易場所者，不適用刑法第</w:t>
      </w:r>
      <w:r w:rsidRPr="001663AE">
        <w:t>231</w:t>
      </w:r>
      <w:r w:rsidRPr="001663AE">
        <w:rPr>
          <w:rFonts w:hint="eastAsia"/>
        </w:rPr>
        <w:t>條之規定。</w:t>
      </w:r>
    </w:p>
    <w:p w14:paraId="5A0E94E9" w14:textId="77777777" w:rsidR="00CA23FA" w:rsidRPr="001663AE" w:rsidRDefault="00CA23FA" w:rsidP="00703176">
      <w:pPr>
        <w:pStyle w:val="3"/>
        <w:jc w:val="left"/>
      </w:pPr>
      <w:r w:rsidRPr="001663AE">
        <w:rPr>
          <w:rFonts w:hint="eastAsia"/>
        </w:rPr>
        <w:t>直轄市、縣（市）政府應依第</w:t>
      </w:r>
      <w:r w:rsidRPr="001663AE">
        <w:t>80</w:t>
      </w:r>
      <w:r w:rsidRPr="001663AE">
        <w:rPr>
          <w:rFonts w:hint="eastAsia"/>
        </w:rPr>
        <w:t>條、本條第</w:t>
      </w:r>
      <w:r w:rsidRPr="001663AE">
        <w:t>1</w:t>
      </w:r>
      <w:r w:rsidRPr="001663AE">
        <w:rPr>
          <w:rFonts w:hint="eastAsia"/>
        </w:rPr>
        <w:t>項及第</w:t>
      </w:r>
      <w:r w:rsidRPr="001663AE">
        <w:t>2</w:t>
      </w:r>
      <w:r w:rsidRPr="001663AE">
        <w:rPr>
          <w:rFonts w:hint="eastAsia"/>
        </w:rPr>
        <w:t>項性交易服務者之申請，提供輔導轉業或推介參加職業訓練。</w:t>
      </w:r>
    </w:p>
  </w:footnote>
  <w:footnote w:id="878">
    <w:p w14:paraId="7C739F42" w14:textId="77777777" w:rsidR="00CA23FA" w:rsidRPr="001663AE" w:rsidRDefault="00CA23FA" w:rsidP="00703176">
      <w:pPr>
        <w:pStyle w:val="3"/>
        <w:jc w:val="left"/>
      </w:pPr>
      <w:r w:rsidRPr="001663AE">
        <w:rPr>
          <w:rStyle w:val="af3"/>
          <w:rFonts w:ascii="新細明體" w:hAnsi="新細明體"/>
        </w:rPr>
        <w:footnoteRef/>
      </w:r>
      <w:r w:rsidRPr="001663AE">
        <w:rPr>
          <w:rFonts w:hint="eastAsia"/>
        </w:rPr>
        <w:t>此部分之討論，尚可參閱：汪毓瑋</w:t>
      </w:r>
      <w:r w:rsidRPr="001663AE">
        <w:t>(2009)</w:t>
      </w:r>
      <w:r w:rsidRPr="001663AE">
        <w:rPr>
          <w:rFonts w:hint="eastAsia"/>
        </w:rPr>
        <w:t>，移民政策發展之國家安全、法治、人權內涵之平衡思考</w:t>
      </w:r>
      <w:r>
        <w:t>〜</w:t>
      </w:r>
      <w:r w:rsidRPr="001663AE">
        <w:t>-</w:t>
      </w:r>
      <w:r w:rsidRPr="001663AE">
        <w:rPr>
          <w:rFonts w:hint="eastAsia"/>
        </w:rPr>
        <w:t>兼論處理人口販運應有之改善作為，收錄於</w:t>
      </w:r>
      <w:r w:rsidRPr="001663AE">
        <w:t>2009</w:t>
      </w:r>
      <w:r w:rsidRPr="001663AE">
        <w:rPr>
          <w:rFonts w:hint="eastAsia"/>
        </w:rPr>
        <w:t>年防制人口販運國際研討會論文集，中央警察大學國境警察學系主辦，頁</w:t>
      </w:r>
      <w:r w:rsidRPr="001663AE">
        <w:t>138-139</w:t>
      </w:r>
      <w:r w:rsidRPr="001663AE">
        <w:rPr>
          <w:rFonts w:hint="eastAsia"/>
        </w:rPr>
        <w:t>。汪毓瑋教授亦主張賣淫合法化絕對不是一個可行之經濟策略，此會增加執法人員之經費負擔，以及其他相關問題。言下之意，其亦反對合法化之主張。亦即，其似較傾向於將賣淫保留成為犯罪化，本文亦強烈支持此種觀點。</w:t>
      </w:r>
    </w:p>
  </w:footnote>
  <w:footnote w:id="879">
    <w:p w14:paraId="7AB1A767" w14:textId="77777777" w:rsidR="00CA23FA" w:rsidRPr="001663AE" w:rsidRDefault="00CA23FA" w:rsidP="00703176">
      <w:pPr>
        <w:pStyle w:val="3"/>
        <w:jc w:val="left"/>
      </w:pPr>
      <w:r w:rsidRPr="001663AE">
        <w:rPr>
          <w:rStyle w:val="af3"/>
          <w:rFonts w:ascii="新細明體" w:hAnsi="新細明體"/>
        </w:rPr>
        <w:footnoteRef/>
      </w:r>
      <w:r w:rsidRPr="001663AE">
        <w:rPr>
          <w:rFonts w:hint="eastAsia"/>
        </w:rPr>
        <w:t>彭鑫（</w:t>
      </w:r>
      <w:r w:rsidRPr="001663AE">
        <w:t>2009</w:t>
      </w:r>
      <w:r w:rsidRPr="001663AE">
        <w:rPr>
          <w:rFonts w:hint="eastAsia"/>
        </w:rPr>
        <w:t>），色情、手淫、婚外情對身體的巨大傷害</w:t>
      </w:r>
      <w:r w:rsidRPr="001663AE">
        <w:t xml:space="preserve">. retrieved 10/19, 2010, from </w:t>
      </w:r>
      <w:hyperlink r:id="rId244" w:history="1">
        <w:r w:rsidRPr="001663AE">
          <w:rPr>
            <w:rStyle w:val="a5"/>
          </w:rPr>
          <w:t>http://blog.udn.com/bluest1937/3496910</w:t>
        </w:r>
      </w:hyperlink>
      <w:r w:rsidRPr="001663AE">
        <w:rPr>
          <w:rFonts w:hint="eastAsia"/>
        </w:rPr>
        <w:t>。</w:t>
      </w:r>
    </w:p>
  </w:footnote>
  <w:footnote w:id="880">
    <w:p w14:paraId="0C700126" w14:textId="77777777" w:rsidR="00CA23FA" w:rsidRPr="001663AE" w:rsidRDefault="00CA23FA" w:rsidP="00703176">
      <w:pPr>
        <w:pStyle w:val="3"/>
        <w:jc w:val="left"/>
      </w:pPr>
      <w:r w:rsidRPr="001663AE">
        <w:rPr>
          <w:rStyle w:val="af3"/>
          <w:rFonts w:ascii="新細明體" w:hAnsi="新細明體"/>
        </w:rPr>
        <w:footnoteRef/>
      </w:r>
      <w:r w:rsidRPr="001663AE">
        <w:rPr>
          <w:rFonts w:hint="eastAsia"/>
        </w:rPr>
        <w:t>冠龍（</w:t>
      </w:r>
      <w:r w:rsidRPr="001663AE">
        <w:t>2010</w:t>
      </w:r>
      <w:r w:rsidRPr="001663AE">
        <w:rPr>
          <w:rFonts w:hint="eastAsia"/>
        </w:rPr>
        <w:t>），性縱欲過度智商降低：日本恐將面臨滅頂之災</w:t>
      </w:r>
      <w:r w:rsidRPr="001663AE">
        <w:t>. retrieved 10/20, 2010, from</w:t>
      </w:r>
      <w:hyperlink r:id="rId245" w:history="1">
        <w:r w:rsidRPr="001663AE">
          <w:rPr>
            <w:rStyle w:val="a5"/>
          </w:rPr>
          <w:t>http://news.boxun.com/forum/201003/boxun2010/120700.shtml</w:t>
        </w:r>
      </w:hyperlink>
      <w:r w:rsidRPr="001663AE">
        <w:t>.</w:t>
      </w:r>
    </w:p>
  </w:footnote>
  <w:footnote w:id="881">
    <w:p w14:paraId="3FE8C37B" w14:textId="77777777" w:rsidR="00CA23FA" w:rsidRPr="001663AE" w:rsidRDefault="00CA23FA" w:rsidP="00703176">
      <w:pPr>
        <w:pStyle w:val="3"/>
        <w:jc w:val="left"/>
      </w:pPr>
      <w:r w:rsidRPr="001663AE">
        <w:rPr>
          <w:rStyle w:val="af3"/>
          <w:rFonts w:ascii="新細明體" w:hAnsi="新細明體"/>
        </w:rPr>
        <w:footnoteRef/>
      </w:r>
      <w:r w:rsidRPr="001663AE">
        <w:rPr>
          <w:rFonts w:hint="eastAsia"/>
        </w:rPr>
        <w:t>彭鑫（</w:t>
      </w:r>
      <w:r w:rsidRPr="001663AE">
        <w:t>2009</w:t>
      </w:r>
      <w:r w:rsidRPr="001663AE">
        <w:rPr>
          <w:rFonts w:hint="eastAsia"/>
        </w:rPr>
        <w:t>），色情、手淫、婚外情對身體的巨大傷害</w:t>
      </w:r>
      <w:r w:rsidRPr="001663AE">
        <w:t xml:space="preserve">. retrieved 10/19, 2010, from </w:t>
      </w:r>
      <w:hyperlink r:id="rId246" w:history="1">
        <w:r w:rsidRPr="001663AE">
          <w:rPr>
            <w:rStyle w:val="a5"/>
          </w:rPr>
          <w:t>http://blog.udn.com/bluest1937/3496910</w:t>
        </w:r>
      </w:hyperlink>
      <w:r w:rsidRPr="001663AE">
        <w:rPr>
          <w:rFonts w:hint="eastAsia"/>
        </w:rPr>
        <w:t>。</w:t>
      </w:r>
    </w:p>
  </w:footnote>
  <w:footnote w:id="882">
    <w:p w14:paraId="5FA013C2" w14:textId="77777777" w:rsidR="00CA23FA" w:rsidRPr="001663AE" w:rsidRDefault="00CA23FA" w:rsidP="00703176">
      <w:pPr>
        <w:pStyle w:val="3"/>
        <w:jc w:val="left"/>
      </w:pPr>
      <w:r w:rsidRPr="001663AE">
        <w:rPr>
          <w:rStyle w:val="af3"/>
          <w:rFonts w:ascii="新細明體" w:hAnsi="新細明體"/>
          <w:szCs w:val="20"/>
        </w:rPr>
        <w:footnoteRef/>
      </w:r>
      <w:r w:rsidRPr="001663AE">
        <w:rPr>
          <w:rFonts w:hint="eastAsia"/>
        </w:rPr>
        <w:t>中國反色情網</w:t>
      </w:r>
      <w:r w:rsidRPr="001663AE">
        <w:t>(2014)</w:t>
      </w:r>
      <w:r w:rsidRPr="001663AE">
        <w:rPr>
          <w:rFonts w:hint="eastAsia"/>
        </w:rPr>
        <w:t>，人命如燈，性快樂就是快速消耗“燈油”，</w:t>
      </w:r>
      <w:r w:rsidRPr="001663AE">
        <w:t>retrieved 25/09, 2014, from</w:t>
      </w:r>
      <w:r w:rsidRPr="001663AE">
        <w:rPr>
          <w:rFonts w:hint="eastAsia"/>
        </w:rPr>
        <w:t xml:space="preserve"> </w:t>
      </w:r>
    </w:p>
    <w:p w14:paraId="1B22DDA9" w14:textId="77777777" w:rsidR="00CA23FA" w:rsidRPr="001663AE" w:rsidRDefault="00076467" w:rsidP="00703176">
      <w:pPr>
        <w:pStyle w:val="3"/>
        <w:jc w:val="left"/>
      </w:pPr>
      <w:hyperlink r:id="rId247" w:history="1">
        <w:r w:rsidR="00CA23FA" w:rsidRPr="001663AE">
          <w:rPr>
            <w:rStyle w:val="a5"/>
          </w:rPr>
          <w:t>http://www.haongo.com/xingyujiankang/2014/0217/1919.html</w:t>
        </w:r>
      </w:hyperlink>
      <w:r w:rsidR="00CA23FA" w:rsidRPr="001663AE">
        <w:t>.</w:t>
      </w:r>
    </w:p>
  </w:footnote>
  <w:footnote w:id="883">
    <w:p w14:paraId="239E4A41" w14:textId="77777777" w:rsidR="00CA23FA" w:rsidRPr="001663AE" w:rsidRDefault="00CA23FA" w:rsidP="00D87D91">
      <w:pPr>
        <w:pStyle w:val="3"/>
      </w:pPr>
      <w:r w:rsidRPr="001663AE">
        <w:rPr>
          <w:rStyle w:val="af3"/>
          <w:rFonts w:ascii="新細明體" w:hAnsi="新細明體"/>
        </w:rPr>
        <w:footnoteRef/>
      </w:r>
      <w:r w:rsidRPr="001663AE">
        <w:rPr>
          <w:rFonts w:hint="eastAsia"/>
        </w:rPr>
        <w:t>陳自強（</w:t>
      </w:r>
      <w:r w:rsidRPr="001663AE">
        <w:t>2002</w:t>
      </w:r>
      <w:r w:rsidRPr="001663AE">
        <w:rPr>
          <w:rFonts w:hint="eastAsia"/>
        </w:rPr>
        <w:t>），民法講義（</w:t>
      </w:r>
      <w:r w:rsidRPr="001663AE">
        <w:t>1</w:t>
      </w:r>
      <w:r w:rsidRPr="001663AE">
        <w:rPr>
          <w:rFonts w:hint="eastAsia"/>
        </w:rPr>
        <w:t>）</w:t>
      </w:r>
      <w:r>
        <w:t>〜</w:t>
      </w:r>
      <w:r w:rsidRPr="001663AE">
        <w:rPr>
          <w:rFonts w:hint="eastAsia"/>
        </w:rPr>
        <w:t>契約之成立與生效，臺北：學林文化，頁</w:t>
      </w:r>
      <w:r w:rsidRPr="001663AE">
        <w:t>175-180</w:t>
      </w:r>
      <w:r w:rsidRPr="001663AE">
        <w:rPr>
          <w:rFonts w:hint="eastAsia"/>
        </w:rPr>
        <w:t>。</w:t>
      </w:r>
    </w:p>
  </w:footnote>
  <w:footnote w:id="884">
    <w:p w14:paraId="0A935963" w14:textId="77777777" w:rsidR="00CA23FA" w:rsidRPr="001663AE" w:rsidRDefault="00CA23FA" w:rsidP="00D87D91">
      <w:pPr>
        <w:pStyle w:val="3"/>
      </w:pPr>
      <w:r w:rsidRPr="001663AE">
        <w:rPr>
          <w:rStyle w:val="af3"/>
          <w:rFonts w:ascii="新細明體" w:hAnsi="新細明體"/>
        </w:rPr>
        <w:footnoteRef/>
      </w:r>
      <w:r w:rsidRPr="001663AE">
        <w:t xml:space="preserve"> Korea. Ministry of Gender Equality(2003). Korean Government's Role in Preventing Transnational Trafficking in Persons </w:t>
      </w:r>
      <w:r>
        <w:t>〜</w:t>
      </w:r>
      <w:r w:rsidRPr="001663AE">
        <w:t xml:space="preserve"> Focusing on Trafficking in Women,pp12-24.</w:t>
      </w:r>
    </w:p>
  </w:footnote>
  <w:footnote w:id="885">
    <w:p w14:paraId="51D8E02A" w14:textId="77777777" w:rsidR="00CA23FA" w:rsidRPr="001663AE" w:rsidRDefault="00CA23FA" w:rsidP="00D87D91">
      <w:pPr>
        <w:pStyle w:val="3"/>
        <w:rPr>
          <w:lang w:eastAsia="x-none"/>
        </w:rPr>
      </w:pPr>
      <w:r w:rsidRPr="001663AE">
        <w:rPr>
          <w:rStyle w:val="af3"/>
          <w:rFonts w:ascii="新細明體" w:hAnsi="新細明體"/>
        </w:rPr>
        <w:footnoteRef/>
      </w:r>
      <w:r w:rsidRPr="001663AE">
        <w:t xml:space="preserve"> </w:t>
      </w:r>
      <w:r w:rsidRPr="001663AE">
        <w:rPr>
          <w:rFonts w:hint="eastAsia"/>
        </w:rPr>
        <w:t>周安士，欲海回狂，第一卷，</w:t>
      </w:r>
      <w:hyperlink r:id="rId248" w:history="1">
        <w:r w:rsidRPr="001663AE">
          <w:rPr>
            <w:rStyle w:val="a5"/>
          </w:rPr>
          <w:t>http://www.buddedu.com/liaowu/yhkl/yhkl-40.htm</w:t>
        </w:r>
      </w:hyperlink>
      <w:r w:rsidRPr="001663AE">
        <w:t>(2009.06)</w:t>
      </w:r>
      <w:r w:rsidRPr="001663AE">
        <w:rPr>
          <w:rFonts w:hint="eastAsia"/>
        </w:rPr>
        <w:t>。</w:t>
      </w:r>
    </w:p>
  </w:footnote>
  <w:footnote w:id="886">
    <w:p w14:paraId="081C83C0"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在桃園縣，有受害個案顯示，女性被害人每人</w:t>
      </w:r>
      <w:r w:rsidRPr="001663AE">
        <w:rPr>
          <w:rStyle w:val="afc"/>
          <w:rFonts w:ascii="新細明體" w:hAnsi="新細明體" w:hint="eastAsia"/>
        </w:rPr>
        <w:t>平均每</w:t>
      </w:r>
      <w:r w:rsidRPr="001663AE">
        <w:rPr>
          <w:rStyle w:val="afc"/>
          <w:rFonts w:ascii="新細明體" w:hAnsi="新細明體"/>
        </w:rPr>
        <w:t>7</w:t>
      </w:r>
      <w:r w:rsidRPr="001663AE">
        <w:rPr>
          <w:rStyle w:val="afc"/>
          <w:rFonts w:ascii="新細明體" w:hAnsi="新細明體" w:hint="eastAsia"/>
        </w:rPr>
        <w:t>天要</w:t>
      </w:r>
      <w:r w:rsidRPr="001663AE">
        <w:rPr>
          <w:rFonts w:hint="eastAsia"/>
        </w:rPr>
        <w:t>接客</w:t>
      </w:r>
      <w:r w:rsidRPr="001663AE">
        <w:rPr>
          <w:rStyle w:val="afc"/>
          <w:rFonts w:ascii="新細明體" w:hAnsi="新細明體"/>
        </w:rPr>
        <w:t>70</w:t>
      </w:r>
      <w:r w:rsidRPr="001663AE">
        <w:rPr>
          <w:rStyle w:val="afc"/>
          <w:rFonts w:ascii="新細明體" w:hAnsi="新細明體" w:hint="eastAsia"/>
        </w:rPr>
        <w:t>至</w:t>
      </w:r>
      <w:r w:rsidRPr="001663AE">
        <w:rPr>
          <w:rStyle w:val="afc"/>
          <w:rFonts w:ascii="新細明體" w:hAnsi="新細明體"/>
        </w:rPr>
        <w:t>80</w:t>
      </w:r>
      <w:r w:rsidRPr="001663AE">
        <w:rPr>
          <w:rStyle w:val="afc"/>
          <w:rFonts w:ascii="新細明體" w:hAnsi="新細明體" w:hint="eastAsia"/>
        </w:rPr>
        <w:t>次，每人每天接客約</w:t>
      </w:r>
      <w:r w:rsidRPr="001663AE">
        <w:rPr>
          <w:rStyle w:val="afc"/>
          <w:rFonts w:ascii="新細明體" w:hAnsi="新細明體"/>
        </w:rPr>
        <w:t>10</w:t>
      </w:r>
      <w:r w:rsidRPr="001663AE">
        <w:rPr>
          <w:rStyle w:val="afc"/>
          <w:rFonts w:ascii="新細明體" w:hAnsi="新細明體" w:hint="eastAsia"/>
        </w:rPr>
        <w:t>餘次，</w:t>
      </w:r>
      <w:r w:rsidRPr="001663AE">
        <w:rPr>
          <w:rStyle w:val="afc"/>
          <w:rFonts w:ascii="新細明體" w:hAnsi="新細明體"/>
        </w:rPr>
        <w:t>http</w:t>
      </w:r>
      <w:hyperlink r:id="rId249" w:history="1">
        <w:r w:rsidRPr="001663AE">
          <w:rPr>
            <w:rStyle w:val="a5"/>
          </w:rPr>
          <w:t>://www.newchinacity.com/bbs/redirect.php?fid=25&amp;tid=19356&amp;goto=nextnewset</w:t>
        </w:r>
      </w:hyperlink>
      <w:r w:rsidRPr="001663AE">
        <w:t>(2009.06)</w:t>
      </w:r>
      <w:r w:rsidRPr="001663AE">
        <w:rPr>
          <w:rFonts w:hint="eastAsia"/>
        </w:rPr>
        <w:t>。</w:t>
      </w:r>
    </w:p>
  </w:footnote>
  <w:footnote w:id="887">
    <w:p w14:paraId="48F72415"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在這樣之思維下，更宜重視「人口販運防制法」之法治教育及訓練，令相關之執法人員及廣大之台灣民眾，深切體認人口販運罪行之嚴重性及對基本人權之嚴重侵害，不僅拒絕人口販運犯行，並且，支持保護與協助人口販運被害人之相關措施。</w:t>
      </w:r>
    </w:p>
  </w:footnote>
  <w:footnote w:id="888">
    <w:p w14:paraId="4C301078" w14:textId="77777777" w:rsidR="00CA23FA" w:rsidRPr="001663AE" w:rsidRDefault="00CA23FA" w:rsidP="00D87D91">
      <w:pPr>
        <w:pStyle w:val="3"/>
      </w:pPr>
      <w:r w:rsidRPr="001663AE">
        <w:rPr>
          <w:rStyle w:val="af3"/>
          <w:b/>
          <w:szCs w:val="20"/>
        </w:rPr>
        <w:footnoteRef/>
      </w:r>
      <w:r w:rsidRPr="001663AE">
        <w:t>美國國務院民主、人權和勞工事務局</w:t>
      </w:r>
      <w:r w:rsidRPr="001663AE">
        <w:rPr>
          <w:rFonts w:hint="eastAsia"/>
        </w:rPr>
        <w:t>(2012)</w:t>
      </w:r>
      <w:r w:rsidRPr="001663AE">
        <w:rPr>
          <w:rFonts w:hint="eastAsia"/>
        </w:rPr>
        <w:t>，</w:t>
      </w:r>
      <w:r w:rsidRPr="001663AE">
        <w:t>《</w:t>
      </w:r>
      <w:r w:rsidRPr="001663AE">
        <w:t>2011</w:t>
      </w:r>
      <w:r w:rsidRPr="001663AE">
        <w:t>年度各國人權報告》</w:t>
      </w:r>
      <w:r w:rsidRPr="001663AE">
        <w:rPr>
          <w:rFonts w:hint="eastAsia"/>
        </w:rPr>
        <w:t>(</w:t>
      </w:r>
      <w:r w:rsidRPr="001663AE">
        <w:rPr>
          <w:rFonts w:hint="eastAsia"/>
        </w:rPr>
        <w:t>台灣部分</w:t>
      </w:r>
      <w:r w:rsidRPr="001663AE">
        <w:rPr>
          <w:rFonts w:hint="eastAsia"/>
        </w:rPr>
        <w:t>)</w:t>
      </w:r>
      <w:r w:rsidRPr="001663AE">
        <w:t>。</w:t>
      </w:r>
      <w:r w:rsidRPr="001663AE">
        <w:rPr>
          <w:rFonts w:hint="eastAsia"/>
        </w:rPr>
        <w:t xml:space="preserve"> </w:t>
      </w:r>
    </w:p>
    <w:p w14:paraId="6AF4B970" w14:textId="77777777" w:rsidR="00CA23FA" w:rsidRPr="001663AE" w:rsidRDefault="00CA23FA" w:rsidP="00D87D91">
      <w:pPr>
        <w:pStyle w:val="3"/>
      </w:pPr>
      <w:r w:rsidRPr="001663AE">
        <w:t>美國國務院民主、人權和勞工事務局</w:t>
      </w:r>
      <w:r w:rsidRPr="001663AE">
        <w:rPr>
          <w:rFonts w:hint="eastAsia"/>
        </w:rPr>
        <w:t>(2013)</w:t>
      </w:r>
      <w:r w:rsidRPr="001663AE">
        <w:rPr>
          <w:rFonts w:hint="eastAsia"/>
        </w:rPr>
        <w:t>，</w:t>
      </w:r>
      <w:r w:rsidRPr="001663AE">
        <w:t>《</w:t>
      </w:r>
      <w:r w:rsidRPr="001663AE">
        <w:t>201</w:t>
      </w:r>
      <w:r w:rsidRPr="001663AE">
        <w:rPr>
          <w:rFonts w:hint="eastAsia"/>
        </w:rPr>
        <w:t>2</w:t>
      </w:r>
      <w:r w:rsidRPr="001663AE">
        <w:t>年度各國人權報告》</w:t>
      </w:r>
      <w:r w:rsidRPr="001663AE">
        <w:rPr>
          <w:rFonts w:hint="eastAsia"/>
        </w:rPr>
        <w:t>(</w:t>
      </w:r>
      <w:r w:rsidRPr="001663AE">
        <w:rPr>
          <w:rFonts w:hint="eastAsia"/>
        </w:rPr>
        <w:t>台灣部分</w:t>
      </w:r>
      <w:r w:rsidRPr="001663AE">
        <w:rPr>
          <w:rFonts w:hint="eastAsia"/>
        </w:rPr>
        <w:t>)</w:t>
      </w:r>
      <w:r w:rsidRPr="001663AE">
        <w:t>。</w:t>
      </w:r>
    </w:p>
    <w:p w14:paraId="497AE277" w14:textId="77777777" w:rsidR="00CA23FA" w:rsidRPr="001663AE" w:rsidRDefault="00CA23FA" w:rsidP="00D87D91">
      <w:pPr>
        <w:pStyle w:val="3"/>
      </w:pPr>
      <w:r w:rsidRPr="001663AE">
        <w:t>美國國務院民主、人權和勞工事務局</w:t>
      </w:r>
      <w:r w:rsidRPr="001663AE">
        <w:rPr>
          <w:rFonts w:hint="eastAsia"/>
        </w:rPr>
        <w:t>(2014)</w:t>
      </w:r>
      <w:r w:rsidRPr="001663AE">
        <w:rPr>
          <w:rFonts w:hint="eastAsia"/>
        </w:rPr>
        <w:t>，</w:t>
      </w:r>
      <w:r w:rsidRPr="001663AE">
        <w:t>《</w:t>
      </w:r>
      <w:r w:rsidRPr="001663AE">
        <w:t>201</w:t>
      </w:r>
      <w:r w:rsidRPr="001663AE">
        <w:rPr>
          <w:rFonts w:hint="eastAsia"/>
        </w:rPr>
        <w:t>3</w:t>
      </w:r>
      <w:r w:rsidRPr="001663AE">
        <w:t>年度各國人權報告》</w:t>
      </w:r>
      <w:r w:rsidRPr="001663AE">
        <w:rPr>
          <w:rFonts w:hint="eastAsia"/>
        </w:rPr>
        <w:t>(</w:t>
      </w:r>
      <w:r w:rsidRPr="001663AE">
        <w:rPr>
          <w:rFonts w:hint="eastAsia"/>
        </w:rPr>
        <w:t>台灣部分</w:t>
      </w:r>
      <w:r w:rsidRPr="001663AE">
        <w:rPr>
          <w:rFonts w:hint="eastAsia"/>
        </w:rPr>
        <w:t>)</w:t>
      </w:r>
      <w:r w:rsidRPr="001663AE">
        <w:t>。</w:t>
      </w:r>
    </w:p>
  </w:footnote>
  <w:footnote w:id="889">
    <w:p w14:paraId="0A4ED4E9" w14:textId="77777777"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14:paraId="0D4AB4C8" w14:textId="77777777"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90">
    <w:p w14:paraId="060610BC"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lang w:bidi="bn-IN"/>
        </w:rPr>
        <w:t xml:space="preserve">Article 102 [Abolition of capital punishment] </w:t>
      </w:r>
      <w:r>
        <w:rPr>
          <w:lang w:bidi="bn-IN"/>
        </w:rPr>
        <w:t>〜</w:t>
      </w:r>
      <w:r w:rsidRPr="001663AE">
        <w:rPr>
          <w:lang w:bidi="bn-IN"/>
        </w:rPr>
        <w:t xml:space="preserve">-Capital punishment is abolished. </w:t>
      </w:r>
    </w:p>
  </w:footnote>
  <w:footnote w:id="891">
    <w:p w14:paraId="31BCB8FD" w14:textId="77777777" w:rsidR="00CA23FA" w:rsidRPr="001663AE" w:rsidRDefault="00CA23FA" w:rsidP="00D87D91">
      <w:pPr>
        <w:pStyle w:val="3"/>
      </w:pPr>
      <w:r w:rsidRPr="001663AE">
        <w:rPr>
          <w:rStyle w:val="af3"/>
          <w:rFonts w:ascii="新細明體" w:hAnsi="新細明體"/>
        </w:rPr>
        <w:footnoteRef/>
      </w:r>
      <w:r w:rsidRPr="001663AE">
        <w:t xml:space="preserve"> Sweden ConstitutionArticle 4 </w:t>
      </w:r>
      <w:r>
        <w:t>〜</w:t>
      </w:r>
      <w:r w:rsidRPr="001663AE">
        <w:t xml:space="preserve">There shall be no capital punishment. </w:t>
      </w:r>
    </w:p>
  </w:footnote>
  <w:footnote w:id="892">
    <w:p w14:paraId="3011A0B2" w14:textId="77777777" w:rsidR="00CA23FA" w:rsidRPr="001663AE" w:rsidRDefault="00CA23FA" w:rsidP="00D87D91">
      <w:pPr>
        <w:pStyle w:val="3"/>
      </w:pPr>
      <w:r w:rsidRPr="001663AE">
        <w:rPr>
          <w:rStyle w:val="af3"/>
          <w:rFonts w:ascii="新細明體" w:hAnsi="新細明體"/>
        </w:rPr>
        <w:footnoteRef/>
      </w:r>
      <w:r w:rsidRPr="001663AE">
        <w:t xml:space="preserve"> Article 66-1</w:t>
      </w:r>
      <w:r>
        <w:t>〜</w:t>
      </w:r>
      <w:r w:rsidRPr="001663AE">
        <w:t>-No one shall be sentenced to death.</w:t>
      </w:r>
    </w:p>
  </w:footnote>
  <w:footnote w:id="893">
    <w:p w14:paraId="2F4E9DE3"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lang w:bidi="bn-IN"/>
        </w:rPr>
        <w:t xml:space="preserve">The Constitution of the Kingdom of the Netherlands 2002 </w:t>
      </w:r>
      <w:r w:rsidRPr="001663AE">
        <w:rPr>
          <w:rFonts w:cs="ScalaSansLF-Regular"/>
          <w:lang w:bidi="bn-IN"/>
        </w:rPr>
        <w:t>Article 114</w:t>
      </w:r>
      <w:r>
        <w:rPr>
          <w:rFonts w:cs="ScalaSansLF-Regular"/>
          <w:lang w:bidi="bn-IN"/>
        </w:rPr>
        <w:t>〜</w:t>
      </w:r>
      <w:r w:rsidRPr="001663AE">
        <w:rPr>
          <w:rFonts w:cs="ScalaLF-Regular"/>
          <w:lang w:bidi="bn-IN"/>
        </w:rPr>
        <w:t xml:space="preserve">Capital punishment may not be imposed. </w:t>
      </w:r>
    </w:p>
  </w:footnote>
  <w:footnote w:id="894">
    <w:p w14:paraId="760BE368" w14:textId="77777777" w:rsidR="00CA23FA" w:rsidRPr="001663AE" w:rsidRDefault="00CA23FA" w:rsidP="00D87D91">
      <w:pPr>
        <w:pStyle w:val="3"/>
      </w:pPr>
      <w:r w:rsidRPr="001663AE">
        <w:rPr>
          <w:rStyle w:val="af3"/>
          <w:rFonts w:ascii="新細明體" w:hAnsi="新細明體"/>
        </w:rPr>
        <w:footnoteRef/>
      </w:r>
      <w:r w:rsidRPr="001663AE">
        <w:t xml:space="preserve"> Austria Constitution Article 85</w:t>
      </w:r>
      <w:r>
        <w:t>〜</w:t>
      </w:r>
      <w:r w:rsidRPr="001663AE">
        <w:t xml:space="preserve"> [Capital Punishment]</w:t>
      </w:r>
      <w:r>
        <w:t>〜</w:t>
      </w:r>
      <w:r w:rsidRPr="001663AE">
        <w:t>Capital punishment is abolished.</w:t>
      </w:r>
    </w:p>
  </w:footnote>
  <w:footnote w:id="895">
    <w:p w14:paraId="411FF3BC" w14:textId="77777777" w:rsidR="00CA23FA" w:rsidRDefault="00CA23FA" w:rsidP="00D87D91">
      <w:pPr>
        <w:pStyle w:val="3"/>
      </w:pPr>
      <w:r w:rsidRPr="001663AE">
        <w:rPr>
          <w:rStyle w:val="af3"/>
          <w:rFonts w:ascii="新細明體" w:hAnsi="新細明體"/>
        </w:rPr>
        <w:footnoteRef/>
      </w:r>
      <w:r w:rsidRPr="001663AE">
        <w:t xml:space="preserve"> Switzerland Constitution Article 10</w:t>
      </w:r>
      <w:r>
        <w:t>(</w:t>
      </w:r>
      <w:r w:rsidRPr="001663AE">
        <w:t>Right to Life and Personal Freedom)</w:t>
      </w:r>
      <w:r>
        <w:t>〜</w:t>
      </w:r>
    </w:p>
    <w:p w14:paraId="01D63CF5" w14:textId="77777777" w:rsidR="00CA23FA" w:rsidRDefault="00CA23FA" w:rsidP="00D87D91">
      <w:pPr>
        <w:pStyle w:val="3"/>
      </w:pPr>
      <w:r w:rsidRPr="001663AE">
        <w:t xml:space="preserve">(1) Every person has the right to life.The death penalty is prohibited. </w:t>
      </w:r>
    </w:p>
    <w:p w14:paraId="12ED2553" w14:textId="77777777" w:rsidR="00CA23FA" w:rsidRDefault="00CA23FA" w:rsidP="00D87D91">
      <w:pPr>
        <w:pStyle w:val="3"/>
      </w:pPr>
      <w:r w:rsidRPr="001663AE">
        <w:t>(2) Every person has the right to personal liberty, namely to corporal and mental integrity and freedom of movement.</w:t>
      </w:r>
    </w:p>
    <w:p w14:paraId="2EBD9BFA" w14:textId="77777777" w:rsidR="00CA23FA" w:rsidRDefault="00CA23FA" w:rsidP="00D87D91">
      <w:pPr>
        <w:pStyle w:val="3"/>
      </w:pPr>
      <w:r w:rsidRPr="001663AE">
        <w:t>(3) Torture and any other form of cruel, inhuman, or degrading treatment or punishment are prohibited.</w:t>
      </w:r>
    </w:p>
    <w:p w14:paraId="3B15807D" w14:textId="77777777" w:rsidR="00CA23FA" w:rsidRPr="00F07452" w:rsidRDefault="00CA23FA" w:rsidP="00D87D91"/>
  </w:footnote>
  <w:footnote w:id="896">
    <w:p w14:paraId="42EF1DDE" w14:textId="77777777" w:rsidR="00CA23FA" w:rsidRPr="001663AE" w:rsidRDefault="00CA23FA" w:rsidP="00D87D91">
      <w:pPr>
        <w:pStyle w:val="3"/>
      </w:pPr>
      <w:r w:rsidRPr="001663AE">
        <w:rPr>
          <w:rStyle w:val="af3"/>
          <w:rFonts w:ascii="新細明體" w:hAnsi="新細明體"/>
        </w:rPr>
        <w:footnoteRef/>
      </w:r>
      <w:r w:rsidRPr="001663AE">
        <w:rPr>
          <w:rFonts w:hint="eastAsia"/>
        </w:rPr>
        <w:t>許春金、吳景芳、李湧清、曾正一、許金標、蔡田木</w:t>
      </w:r>
      <w:r w:rsidRPr="001663AE">
        <w:rPr>
          <w:rFonts w:hint="eastAsia"/>
        </w:rPr>
        <w:t>(1994)</w:t>
      </w:r>
      <w:r w:rsidRPr="001663AE">
        <w:rPr>
          <w:rFonts w:hint="eastAsia"/>
        </w:rPr>
        <w:t>，死刑存廢之探討，台北：行政院研究發展考核委員會編印，頁</w:t>
      </w:r>
      <w:r w:rsidRPr="001663AE">
        <w:rPr>
          <w:rFonts w:hint="eastAsia"/>
        </w:rPr>
        <w:t>105-106</w:t>
      </w:r>
      <w:r w:rsidRPr="001663AE">
        <w:rPr>
          <w:rFonts w:hint="eastAsia"/>
        </w:rPr>
        <w:t>。</w:t>
      </w:r>
    </w:p>
  </w:footnote>
  <w:footnote w:id="897">
    <w:p w14:paraId="6A599B0C"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-1.668(E-04) =-0.0001668</w:t>
      </w:r>
    </w:p>
  </w:footnote>
  <w:footnote w:id="898">
    <w:p w14:paraId="0A9E0D8E"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4.889(E-04)=0.0004889</w:t>
      </w:r>
    </w:p>
  </w:footnote>
  <w:footnote w:id="899">
    <w:p w14:paraId="6C7AAD2A"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3.80(E-04)=0.000380</w:t>
      </w:r>
    </w:p>
  </w:footnote>
  <w:footnote w:id="900">
    <w:p w14:paraId="3952276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9.743(E-07)=0.0000009743</w:t>
      </w:r>
    </w:p>
  </w:footnote>
  <w:footnote w:id="901">
    <w:p w14:paraId="1FBDAFA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-3.499(E-05)=-0.00003499</w:t>
      </w:r>
    </w:p>
  </w:footnote>
  <w:footnote w:id="902">
    <w:p w14:paraId="4B082D00"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-4.434(E-04)=-0.0004434</w:t>
      </w:r>
    </w:p>
  </w:footnote>
  <w:footnote w:id="903">
    <w:p w14:paraId="13B32D99"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-1.228(E-06)=-0.000001228</w:t>
      </w:r>
    </w:p>
  </w:footnote>
  <w:footnote w:id="904">
    <w:p w14:paraId="5BE8FCD4"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-8.697(E-04)=-0.0008697</w:t>
      </w:r>
    </w:p>
  </w:footnote>
  <w:footnote w:id="905">
    <w:p w14:paraId="14383E57" w14:textId="77777777" w:rsidR="00CA23FA" w:rsidRPr="001663AE" w:rsidRDefault="00CA23FA" w:rsidP="00D87D91">
      <w:pPr>
        <w:pStyle w:val="3"/>
      </w:pPr>
      <w:r w:rsidRPr="001663AE">
        <w:rPr>
          <w:rStyle w:val="af3"/>
          <w:rFonts w:ascii="新細明體" w:hAnsi="新細明體"/>
        </w:rPr>
        <w:footnoteRef/>
      </w:r>
      <w:r w:rsidRPr="001663AE">
        <w:rPr>
          <w:rFonts w:hint="eastAsia"/>
        </w:rPr>
        <w:t>依變項</w:t>
      </w:r>
      <w:r w:rsidRPr="001663AE">
        <w:rPr>
          <w:rFonts w:hint="eastAsia"/>
        </w:rPr>
        <w:t>(</w:t>
      </w:r>
      <w:r w:rsidRPr="001663AE">
        <w:rPr>
          <w:rFonts w:hint="eastAsia"/>
        </w:rPr>
        <w:t>數</w:t>
      </w:r>
      <w:r w:rsidRPr="001663AE">
        <w:rPr>
          <w:rFonts w:hint="eastAsia"/>
        </w:rPr>
        <w:t>)</w:t>
      </w:r>
      <w:r w:rsidRPr="001663AE">
        <w:rPr>
          <w:rFonts w:hint="eastAsia"/>
        </w:rPr>
        <w:t>、結果變項</w:t>
      </w:r>
      <w:r w:rsidRPr="001663AE">
        <w:rPr>
          <w:rFonts w:hint="eastAsia"/>
        </w:rPr>
        <w:t>(</w:t>
      </w:r>
      <w:r w:rsidRPr="001663AE">
        <w:rPr>
          <w:rFonts w:hint="eastAsia"/>
        </w:rPr>
        <w:t>數</w:t>
      </w:r>
      <w:r w:rsidRPr="001663AE">
        <w:rPr>
          <w:rFonts w:hint="eastAsia"/>
        </w:rPr>
        <w:t>)</w:t>
      </w:r>
      <w:r w:rsidRPr="001663AE">
        <w:rPr>
          <w:rFonts w:hint="eastAsia"/>
        </w:rPr>
        <w:t>亦名</w:t>
      </w:r>
      <w:r>
        <w:rPr>
          <w:rFonts w:hint="eastAsia"/>
        </w:rPr>
        <w:t>〜</w:t>
      </w:r>
      <w:r w:rsidRPr="001663AE">
        <w:rPr>
          <w:rFonts w:hint="eastAsia"/>
        </w:rPr>
        <w:t>應變數、應變項。</w:t>
      </w:r>
    </w:p>
  </w:footnote>
  <w:footnote w:id="906">
    <w:p w14:paraId="4CBC439B" w14:textId="77777777" w:rsidR="00CA23FA" w:rsidRPr="001663AE" w:rsidRDefault="00CA23FA" w:rsidP="00D87D91">
      <w:pPr>
        <w:pStyle w:val="3"/>
      </w:pPr>
      <w:r w:rsidRPr="001663AE">
        <w:rPr>
          <w:rStyle w:val="af3"/>
          <w:rFonts w:ascii="新細明體" w:hAnsi="新細明體"/>
        </w:rPr>
        <w:footnoteRef/>
      </w:r>
      <w:r w:rsidRPr="001663AE">
        <w:rPr>
          <w:rFonts w:hint="eastAsia"/>
        </w:rPr>
        <w:t>自變項</w:t>
      </w:r>
      <w:r w:rsidRPr="001663AE">
        <w:rPr>
          <w:rFonts w:hint="eastAsia"/>
        </w:rPr>
        <w:t>(</w:t>
      </w:r>
      <w:r w:rsidRPr="001663AE">
        <w:rPr>
          <w:rFonts w:hint="eastAsia"/>
        </w:rPr>
        <w:t>數</w:t>
      </w:r>
      <w:r w:rsidRPr="001663AE">
        <w:rPr>
          <w:rFonts w:hint="eastAsia"/>
        </w:rPr>
        <w:t>)</w:t>
      </w:r>
      <w:r w:rsidRPr="001663AE">
        <w:rPr>
          <w:rFonts w:hint="eastAsia"/>
        </w:rPr>
        <w:t>又稱為解釋變項</w:t>
      </w:r>
      <w:r w:rsidRPr="001663AE">
        <w:rPr>
          <w:rFonts w:hint="eastAsia"/>
        </w:rPr>
        <w:t>(</w:t>
      </w:r>
      <w:r w:rsidRPr="001663AE">
        <w:rPr>
          <w:rFonts w:hint="eastAsia"/>
        </w:rPr>
        <w:t>數</w:t>
      </w:r>
      <w:r w:rsidRPr="001663AE">
        <w:rPr>
          <w:rFonts w:hint="eastAsia"/>
        </w:rPr>
        <w:t>)</w:t>
      </w:r>
      <w:r w:rsidRPr="001663AE">
        <w:rPr>
          <w:rFonts w:hint="eastAsia"/>
        </w:rPr>
        <w:t>、因變項</w:t>
      </w:r>
      <w:r w:rsidRPr="001663AE">
        <w:rPr>
          <w:rFonts w:hint="eastAsia"/>
        </w:rPr>
        <w:t>(</w:t>
      </w:r>
      <w:r w:rsidRPr="001663AE">
        <w:rPr>
          <w:rFonts w:hint="eastAsia"/>
        </w:rPr>
        <w:t>數</w:t>
      </w:r>
      <w:r w:rsidRPr="001663AE">
        <w:rPr>
          <w:rFonts w:hint="eastAsia"/>
        </w:rPr>
        <w:t>)</w:t>
      </w:r>
      <w:r w:rsidRPr="001663AE">
        <w:rPr>
          <w:rFonts w:hint="eastAsia"/>
        </w:rPr>
        <w:t>、控制變數</w:t>
      </w:r>
      <w:r w:rsidRPr="001663AE">
        <w:rPr>
          <w:rFonts w:hint="eastAsia"/>
        </w:rPr>
        <w:t>(</w:t>
      </w:r>
      <w:r w:rsidRPr="001663AE">
        <w:rPr>
          <w:rFonts w:hint="eastAsia"/>
        </w:rPr>
        <w:t>項</w:t>
      </w:r>
      <w:r w:rsidRPr="001663AE">
        <w:rPr>
          <w:rFonts w:hint="eastAsia"/>
        </w:rPr>
        <w:t>)</w:t>
      </w:r>
      <w:r w:rsidRPr="001663AE">
        <w:rPr>
          <w:rFonts w:hint="eastAsia"/>
        </w:rPr>
        <w:t>。</w:t>
      </w:r>
    </w:p>
  </w:footnote>
  <w:footnote w:id="907">
    <w:p w14:paraId="6D7A6D65" w14:textId="77777777" w:rsidR="00CA23FA" w:rsidRPr="001663AE" w:rsidRDefault="00CA23FA" w:rsidP="00703176">
      <w:pPr>
        <w:pStyle w:val="3"/>
        <w:jc w:val="left"/>
      </w:pPr>
      <w:r w:rsidRPr="001663AE">
        <w:rPr>
          <w:rStyle w:val="af3"/>
          <w:rFonts w:ascii="新細明體" w:hAnsi="新細明體"/>
        </w:rPr>
        <w:footnoteRef/>
      </w:r>
      <w:r w:rsidRPr="001663AE">
        <w:rPr>
          <w:rFonts w:hint="eastAsia"/>
        </w:rPr>
        <w:t xml:space="preserve"> </w:t>
      </w:r>
      <w:r w:rsidRPr="001663AE">
        <w:rPr>
          <w:rFonts w:hint="eastAsia"/>
        </w:rPr>
        <w:t>蕭文龍</w:t>
      </w:r>
      <w:r w:rsidRPr="001663AE">
        <w:rPr>
          <w:rFonts w:hint="eastAsia"/>
        </w:rPr>
        <w:t>(2009)</w:t>
      </w:r>
      <w:r w:rsidRPr="001663AE">
        <w:rPr>
          <w:rFonts w:hint="eastAsia"/>
        </w:rPr>
        <w:t>，多變量分析最佳入門實用書</w:t>
      </w:r>
      <w:r w:rsidRPr="001663AE">
        <w:rPr>
          <w:rFonts w:hint="eastAsia"/>
        </w:rPr>
        <w:t>(</w:t>
      </w:r>
      <w:r w:rsidRPr="001663AE">
        <w:rPr>
          <w:rFonts w:hint="eastAsia"/>
        </w:rPr>
        <w:t>第二版</w:t>
      </w:r>
      <w:r w:rsidRPr="001663AE">
        <w:rPr>
          <w:rFonts w:hint="eastAsia"/>
        </w:rPr>
        <w:t>)</w:t>
      </w:r>
      <w:r w:rsidRPr="001663AE">
        <w:rPr>
          <w:rFonts w:hint="eastAsia"/>
        </w:rPr>
        <w:t>：</w:t>
      </w:r>
      <w:r w:rsidRPr="001663AE">
        <w:rPr>
          <w:rFonts w:hint="eastAsia"/>
        </w:rPr>
        <w:t>SPSS+LISREL</w:t>
      </w:r>
      <w:r w:rsidRPr="001663AE">
        <w:rPr>
          <w:rFonts w:hint="eastAsia"/>
        </w:rPr>
        <w:t>，台北市：碁峰公司，頁</w:t>
      </w:r>
      <w:r w:rsidRPr="001663AE">
        <w:rPr>
          <w:rFonts w:hint="eastAsia"/>
        </w:rPr>
        <w:t>35-125</w:t>
      </w:r>
      <w:r w:rsidRPr="001663AE">
        <w:rPr>
          <w:rFonts w:hint="eastAsia"/>
        </w:rPr>
        <w:t>。</w:t>
      </w:r>
    </w:p>
  </w:footnote>
  <w:footnote w:id="908">
    <w:p w14:paraId="0CC39E9A" w14:textId="77777777" w:rsidR="00CA23FA" w:rsidRPr="001663AE" w:rsidRDefault="00CA23FA" w:rsidP="00703176">
      <w:pPr>
        <w:pStyle w:val="3"/>
        <w:jc w:val="left"/>
      </w:pPr>
      <w:r w:rsidRPr="001663AE">
        <w:rPr>
          <w:rStyle w:val="af3"/>
          <w:rFonts w:ascii="新細明體" w:hAnsi="新細明體"/>
          <w:szCs w:val="20"/>
        </w:rPr>
        <w:footnoteRef/>
      </w:r>
      <w:r w:rsidRPr="001663AE">
        <w:rPr>
          <w:rFonts w:hint="eastAsia"/>
        </w:rPr>
        <w:t xml:space="preserve"> </w:t>
      </w:r>
      <w:r w:rsidRPr="001663AE">
        <w:rPr>
          <w:rFonts w:hint="eastAsia"/>
        </w:rPr>
        <w:t>管中閔</w:t>
      </w:r>
      <w:r w:rsidRPr="001663AE">
        <w:rPr>
          <w:rFonts w:hint="eastAsia"/>
        </w:rPr>
        <w:t>(2004)</w:t>
      </w:r>
      <w:r w:rsidRPr="001663AE">
        <w:rPr>
          <w:rFonts w:hint="eastAsia"/>
        </w:rPr>
        <w:t>，統計學</w:t>
      </w:r>
      <w:r w:rsidRPr="001663AE">
        <w:t>—</w:t>
      </w:r>
      <w:r w:rsidRPr="001663AE">
        <w:rPr>
          <w:rFonts w:hint="eastAsia"/>
        </w:rPr>
        <w:t>觀念與方法，第</w:t>
      </w:r>
      <w:r w:rsidRPr="001663AE">
        <w:rPr>
          <w:rFonts w:hint="eastAsia"/>
        </w:rPr>
        <w:t>2</w:t>
      </w:r>
      <w:r w:rsidRPr="001663AE">
        <w:rPr>
          <w:rFonts w:hint="eastAsia"/>
        </w:rPr>
        <w:t>版，台北：華泰出版社，頁</w:t>
      </w:r>
      <w:r w:rsidRPr="001663AE">
        <w:rPr>
          <w:rFonts w:hint="eastAsia"/>
        </w:rPr>
        <w:t>25-169</w:t>
      </w:r>
      <w:r w:rsidRPr="001663AE">
        <w:rPr>
          <w:rFonts w:hint="eastAsia"/>
        </w:rPr>
        <w:t>。</w:t>
      </w:r>
    </w:p>
  </w:footnote>
  <w:footnote w:id="909">
    <w:p w14:paraId="47A8246E" w14:textId="77777777" w:rsidR="00CA23FA" w:rsidRPr="001663AE" w:rsidRDefault="00CA23FA" w:rsidP="00EA60ED">
      <w:pPr>
        <w:pStyle w:val="3"/>
        <w:jc w:val="left"/>
      </w:pPr>
      <w:r w:rsidRPr="001663AE">
        <w:rPr>
          <w:rStyle w:val="af3"/>
          <w:rFonts w:ascii="新細明體" w:hAnsi="新細明體" w:cs="Arial"/>
        </w:rPr>
        <w:footnoteRef/>
      </w:r>
      <w:r w:rsidRPr="001663AE">
        <w:t>有關於反分裂國家法之全文，請參閱以下之網站</w:t>
      </w:r>
      <w:hyperlink r:id="rId250" w:history="1">
        <w:r w:rsidRPr="001663AE">
          <w:rPr>
            <w:rStyle w:val="a5"/>
            <w:rFonts w:cs="Arial"/>
          </w:rPr>
          <w:t>http://news.xinhuanet.com/newscenter/2005-03/14/content_2694168.htm</w:t>
        </w:r>
      </w:hyperlink>
      <w:r>
        <w:t>(</w:t>
      </w:r>
      <w:r w:rsidRPr="001663AE">
        <w:t>2006.07.22)</w:t>
      </w:r>
      <w:r w:rsidRPr="001663AE">
        <w:t>。</w:t>
      </w:r>
    </w:p>
  </w:footnote>
  <w:footnote w:id="910">
    <w:p w14:paraId="188A696E" w14:textId="77777777" w:rsidR="00CA23FA" w:rsidRPr="001663AE" w:rsidRDefault="00CA23FA" w:rsidP="00EA60ED">
      <w:pPr>
        <w:pStyle w:val="3"/>
        <w:jc w:val="left"/>
      </w:pPr>
      <w:r w:rsidRPr="001663AE">
        <w:rPr>
          <w:rStyle w:val="af3"/>
          <w:rFonts w:ascii="新細明體" w:hAnsi="新細明體" w:cs="Arial"/>
        </w:rPr>
        <w:footnoteRef/>
      </w:r>
      <w:r w:rsidRPr="001663AE">
        <w:t>有關於反分裂國家法之全文，請參閱以下之網站</w:t>
      </w:r>
      <w:hyperlink r:id="rId251" w:history="1">
        <w:r w:rsidRPr="001663AE">
          <w:rPr>
            <w:rStyle w:val="a5"/>
            <w:rFonts w:cs="Arial"/>
          </w:rPr>
          <w:t>http://news.xinhuanet.com/newscenter/2005-03/14/content_2694168.htm</w:t>
        </w:r>
      </w:hyperlink>
      <w:r>
        <w:t>(</w:t>
      </w:r>
      <w:r w:rsidRPr="001663AE">
        <w:t>2006.07.22)</w:t>
      </w:r>
      <w:r w:rsidRPr="001663AE">
        <w:t>。</w:t>
      </w:r>
    </w:p>
  </w:footnote>
  <w:footnote w:id="911">
    <w:p w14:paraId="10FB4FCB" w14:textId="77777777" w:rsidR="00CA23FA" w:rsidRPr="001663AE" w:rsidRDefault="00CA23FA" w:rsidP="00EA60ED">
      <w:pPr>
        <w:pStyle w:val="3"/>
        <w:jc w:val="left"/>
      </w:pPr>
      <w:r w:rsidRPr="001663AE">
        <w:rPr>
          <w:rStyle w:val="af3"/>
          <w:rFonts w:ascii="新細明體" w:hAnsi="新細明體" w:cs="Arial"/>
        </w:rPr>
        <w:footnoteRef/>
      </w:r>
      <w:r w:rsidRPr="001663AE">
        <w:t>反分裂國家法，</w:t>
      </w:r>
      <w:hyperlink r:id="rId252" w:history="1">
        <w:r w:rsidRPr="001663AE">
          <w:rPr>
            <w:rStyle w:val="a5"/>
            <w:rFonts w:cs="Arial"/>
          </w:rPr>
          <w:t>http://news.xinhuanet.com/newscenter/2005-03/14/content_2694168.htm</w:t>
        </w:r>
      </w:hyperlink>
      <w:r w:rsidRPr="001663AE">
        <w:t>(2006.07.22)</w:t>
      </w:r>
      <w:r w:rsidRPr="001663AE">
        <w:t>。</w:t>
      </w:r>
    </w:p>
  </w:footnote>
  <w:footnote w:id="912">
    <w:p w14:paraId="1430E661" w14:textId="77777777" w:rsidR="00CA23FA" w:rsidRPr="001663AE" w:rsidRDefault="00CA23FA" w:rsidP="00EA60ED">
      <w:pPr>
        <w:pStyle w:val="3"/>
        <w:jc w:val="left"/>
      </w:pPr>
      <w:r w:rsidRPr="001663AE">
        <w:rPr>
          <w:rStyle w:val="af3"/>
          <w:rFonts w:ascii="新細明體" w:hAnsi="新細明體" w:cs="Arial"/>
        </w:rPr>
        <w:footnoteRef/>
      </w:r>
      <w:r w:rsidRPr="001663AE">
        <w:t>安徽憲達律師事務所，臺灣問題中的法律戰</w:t>
      </w:r>
      <w:r w:rsidRPr="001663AE">
        <w:t>———</w:t>
      </w:r>
      <w:r w:rsidRPr="001663AE">
        <w:t>兼評《中華人民共和國反分裂國家法》的法理基礎，</w:t>
      </w:r>
      <w:hyperlink r:id="rId253" w:history="1">
        <w:r w:rsidRPr="001663AE">
          <w:rPr>
            <w:rStyle w:val="a5"/>
            <w:rFonts w:cs="Arial"/>
          </w:rPr>
          <w:t>http://www.ahlawyer.com.cn/kanwu/2005/lx/lx3/200510/28130403032.html</w:t>
        </w:r>
      </w:hyperlink>
      <w:r w:rsidRPr="001663AE">
        <w:t>(2006.07.22)</w:t>
      </w:r>
      <w:r w:rsidRPr="001663AE">
        <w:t>。</w:t>
      </w:r>
    </w:p>
  </w:footnote>
  <w:footnote w:id="913">
    <w:p w14:paraId="3302E397" w14:textId="77777777" w:rsidR="00CA23FA" w:rsidRPr="001663AE" w:rsidRDefault="00CA23FA" w:rsidP="00EA60ED">
      <w:pPr>
        <w:pStyle w:val="3"/>
        <w:jc w:val="left"/>
      </w:pPr>
      <w:r w:rsidRPr="001663AE">
        <w:rPr>
          <w:rStyle w:val="af3"/>
          <w:rFonts w:ascii="新細明體" w:hAnsi="新細明體" w:cs="Arial"/>
        </w:rPr>
        <w:footnoteRef/>
      </w:r>
      <w:r w:rsidRPr="001663AE">
        <w:t>安徽憲達律師事務所，臺灣問題中的法律戰</w:t>
      </w:r>
      <w:r w:rsidRPr="001663AE">
        <w:t>———</w:t>
      </w:r>
      <w:r w:rsidRPr="001663AE">
        <w:t>兼評《中華人民共和國反分裂國家法》的法理基礎，</w:t>
      </w:r>
      <w:hyperlink r:id="rId254" w:history="1">
        <w:r w:rsidRPr="001663AE">
          <w:rPr>
            <w:rStyle w:val="a5"/>
            <w:rFonts w:cs="Arial"/>
          </w:rPr>
          <w:t>http://www.ahlawyer.com.cn/kanwu/2005/lx/lx3/200510/28130403032.html</w:t>
        </w:r>
      </w:hyperlink>
      <w:r w:rsidRPr="001663AE">
        <w:t>(2006.07.22)</w:t>
      </w:r>
      <w:r w:rsidRPr="001663AE">
        <w:t>。</w:t>
      </w:r>
    </w:p>
  </w:footnote>
  <w:footnote w:id="914">
    <w:p w14:paraId="10E1F538" w14:textId="77777777" w:rsidR="00CA23FA" w:rsidRPr="001663AE" w:rsidRDefault="00CA23FA" w:rsidP="00D87D91">
      <w:pPr>
        <w:pStyle w:val="3"/>
      </w:pPr>
      <w:r w:rsidRPr="001663AE">
        <w:rPr>
          <w:rStyle w:val="af3"/>
          <w:rFonts w:ascii="新細明體" w:hAnsi="新細明體" w:cs="Arial"/>
        </w:rPr>
        <w:footnoteRef/>
      </w:r>
      <w:r w:rsidRPr="001663AE">
        <w:t>王佐，瓊山區大坡中心小學</w:t>
      </w:r>
      <w:r w:rsidRPr="001663AE">
        <w:t xml:space="preserve">, </w:t>
      </w:r>
      <w:r w:rsidRPr="001663AE">
        <w:t>從歷史的角度說說臺灣問題的形成和發展趨勢</w:t>
      </w:r>
      <w:r w:rsidRPr="001663AE">
        <w:t>——</w:t>
      </w:r>
      <w:r w:rsidRPr="001663AE">
        <w:t>時間不是我們的朋友，</w:t>
      </w:r>
      <w:r w:rsidRPr="001663AE">
        <w:t>2006-03-13</w:t>
      </w:r>
      <w:r w:rsidRPr="001663AE">
        <w:t>，</w:t>
      </w:r>
      <w:hyperlink r:id="rId255" w:history="1">
        <w:r w:rsidRPr="001663AE">
          <w:rPr>
            <w:rStyle w:val="a5"/>
            <w:rFonts w:cs="Arial"/>
          </w:rPr>
          <w:t>http://blog.cersp.com/59961/409997.aspx</w:t>
        </w:r>
      </w:hyperlink>
      <w:r>
        <w:t>(</w:t>
      </w:r>
      <w:r w:rsidRPr="001663AE">
        <w:t>2006.07.22)</w:t>
      </w:r>
      <w:r w:rsidRPr="001663AE">
        <w:t>。</w:t>
      </w:r>
    </w:p>
  </w:footnote>
  <w:footnote w:id="915">
    <w:p w14:paraId="47892542" w14:textId="77777777" w:rsidR="00CA23FA" w:rsidRPr="001663AE" w:rsidRDefault="00CA23FA" w:rsidP="00D87D91">
      <w:pPr>
        <w:pStyle w:val="3"/>
      </w:pPr>
      <w:r w:rsidRPr="001663AE">
        <w:rPr>
          <w:rStyle w:val="af3"/>
          <w:rFonts w:ascii="新細明體" w:hAnsi="新細明體" w:cs="Arial"/>
        </w:rPr>
        <w:footnoteRef/>
      </w:r>
      <w:r w:rsidRPr="001663AE">
        <w:t>王佐，瓊山區大坡中心小學</w:t>
      </w:r>
      <w:r w:rsidRPr="001663AE">
        <w:t xml:space="preserve">, </w:t>
      </w:r>
      <w:r w:rsidRPr="001663AE">
        <w:t>從歷史的角度說說臺灣問題的形成和發展趨勢</w:t>
      </w:r>
      <w:r w:rsidRPr="001663AE">
        <w:t>——</w:t>
      </w:r>
      <w:r w:rsidRPr="001663AE">
        <w:t>時間不是我們的朋友，</w:t>
      </w:r>
      <w:r w:rsidRPr="001663AE">
        <w:t>2006-03-13</w:t>
      </w:r>
      <w:r w:rsidRPr="001663AE">
        <w:t>，</w:t>
      </w:r>
      <w:hyperlink r:id="rId256" w:history="1">
        <w:r w:rsidRPr="001663AE">
          <w:rPr>
            <w:rStyle w:val="a5"/>
            <w:rFonts w:cs="Arial"/>
          </w:rPr>
          <w:t>http://blog.cersp.com/59961/409997.aspx</w:t>
        </w:r>
      </w:hyperlink>
      <w:r w:rsidRPr="001663AE">
        <w:t>(2006.07.22)</w:t>
      </w:r>
      <w:r w:rsidRPr="001663AE">
        <w:t>。</w:t>
      </w:r>
    </w:p>
  </w:footnote>
  <w:footnote w:id="916">
    <w:p w14:paraId="73672C7D" w14:textId="77777777" w:rsidR="00CA23FA" w:rsidRPr="001663AE" w:rsidRDefault="00CA23FA" w:rsidP="00D87D91">
      <w:pPr>
        <w:pStyle w:val="3"/>
      </w:pPr>
      <w:r w:rsidRPr="001663AE">
        <w:rPr>
          <w:rStyle w:val="af3"/>
          <w:rFonts w:ascii="新細明體" w:hAnsi="新細明體"/>
        </w:rPr>
        <w:footnoteRef/>
      </w:r>
      <w:r w:rsidRPr="001663AE">
        <w:t>上述之論點，詳見：王佐，瓊山區大坡中心小學</w:t>
      </w:r>
      <w:r w:rsidRPr="001663AE">
        <w:t xml:space="preserve">, </w:t>
      </w:r>
      <w:r w:rsidRPr="001663AE">
        <w:t>從歷史的角度說說臺灣問題的形成和發展趨勢</w:t>
      </w:r>
      <w:r w:rsidRPr="001663AE">
        <w:t>——</w:t>
      </w:r>
      <w:r w:rsidRPr="001663AE">
        <w:t>時間不是我們的朋友，</w:t>
      </w:r>
      <w:r w:rsidRPr="001663AE">
        <w:t>2006-03-13</w:t>
      </w:r>
      <w:r w:rsidRPr="001663AE">
        <w:t>，</w:t>
      </w:r>
      <w:hyperlink r:id="rId257" w:history="1">
        <w:r w:rsidRPr="001663AE">
          <w:rPr>
            <w:rStyle w:val="a5"/>
            <w:rFonts w:cs="Arial"/>
          </w:rPr>
          <w:t>http://blog.cersp.com/59961/409997.aspx</w:t>
        </w:r>
      </w:hyperlink>
      <w:r w:rsidRPr="001663AE">
        <w:t>(2006.07.22)</w:t>
      </w:r>
      <w:r w:rsidRPr="001663AE">
        <w:t>。</w:t>
      </w:r>
    </w:p>
  </w:footnote>
  <w:footnote w:id="917">
    <w:p w14:paraId="5822BD9B" w14:textId="77777777" w:rsidR="00CA23FA" w:rsidRPr="001663AE" w:rsidRDefault="00CA23FA" w:rsidP="00EA60ED">
      <w:pPr>
        <w:pStyle w:val="3"/>
        <w:jc w:val="left"/>
      </w:pPr>
      <w:r w:rsidRPr="001663AE">
        <w:rPr>
          <w:rStyle w:val="af3"/>
          <w:rFonts w:ascii="新細明體" w:hAnsi="新細明體" w:cs="Arial"/>
        </w:rPr>
        <w:footnoteRef/>
      </w:r>
      <w:r w:rsidRPr="001663AE">
        <w:t>王翰靈，《反分裂國家法》的非和平方式條款，</w:t>
      </w:r>
      <w:hyperlink r:id="rId258" w:history="1">
        <w:r w:rsidRPr="001663AE">
          <w:rPr>
            <w:rStyle w:val="a5"/>
            <w:rFonts w:cs="Arial"/>
          </w:rPr>
          <w:t>http://www.chinatopnews.com/MainNews/Opinion/2005_4_15_7_53_34_622.html</w:t>
        </w:r>
      </w:hyperlink>
      <w:r w:rsidRPr="001663AE">
        <w:t>；</w:t>
      </w:r>
      <w:r w:rsidRPr="001663AE">
        <w:t>chinesenewsnet.com(2006.07.22)</w:t>
      </w:r>
      <w:r w:rsidRPr="001663AE">
        <w:t>。</w:t>
      </w:r>
    </w:p>
  </w:footnote>
  <w:footnote w:id="918">
    <w:p w14:paraId="47D0C970" w14:textId="77777777" w:rsidR="00CA23FA" w:rsidRPr="001663AE" w:rsidRDefault="00CA23FA" w:rsidP="00EA60ED">
      <w:pPr>
        <w:pStyle w:val="3"/>
        <w:jc w:val="left"/>
      </w:pPr>
      <w:r w:rsidRPr="001663AE">
        <w:rPr>
          <w:rStyle w:val="af3"/>
          <w:rFonts w:ascii="新細明體" w:hAnsi="新細明體" w:cs="Arial"/>
        </w:rPr>
        <w:footnoteRef/>
      </w:r>
      <w:r w:rsidRPr="001663AE">
        <w:t>陶堅，第十四屆海峽兩岸關係學術研討會大會發言，</w:t>
      </w:r>
      <w:r w:rsidRPr="001663AE">
        <w:t>2005-08-02</w:t>
      </w:r>
      <w:r w:rsidRPr="001663AE">
        <w:t>，</w:t>
      </w:r>
      <w:hyperlink r:id="rId259" w:history="1">
        <w:r w:rsidRPr="001663AE">
          <w:rPr>
            <w:rStyle w:val="a5"/>
            <w:rFonts w:cs="Arial"/>
          </w:rPr>
          <w:t>http://webcast.china.com.cn/webcast/created/451/4_1_0101_asc.htm</w:t>
        </w:r>
      </w:hyperlink>
      <w:r w:rsidRPr="001663AE">
        <w:t>(2006.07.22)</w:t>
      </w:r>
      <w:r w:rsidRPr="001663AE">
        <w:t>。</w:t>
      </w:r>
    </w:p>
  </w:footnote>
  <w:footnote w:id="919">
    <w:p w14:paraId="2FCC9745" w14:textId="77777777" w:rsidR="00CA23FA" w:rsidRPr="001663AE" w:rsidRDefault="00CA23FA" w:rsidP="00EA60ED">
      <w:pPr>
        <w:pStyle w:val="3"/>
        <w:jc w:val="left"/>
      </w:pPr>
      <w:r w:rsidRPr="001663AE">
        <w:rPr>
          <w:rStyle w:val="af3"/>
          <w:rFonts w:ascii="新細明體" w:hAnsi="新細明體" w:cs="Arial"/>
        </w:rPr>
        <w:footnoteRef/>
      </w:r>
      <w:r w:rsidRPr="001663AE">
        <w:t>反分裂法，解放軍將領表示：說白了就是不讓我們向臺灣扔核彈，</w:t>
      </w:r>
      <w:hyperlink r:id="rId260" w:history="1">
        <w:r w:rsidRPr="001663AE">
          <w:rPr>
            <w:rStyle w:val="a5"/>
            <w:rFonts w:cs="Arial"/>
          </w:rPr>
          <w:t>http://peacehall.com/forum/boxun2005a/223580.shtml</w:t>
        </w:r>
      </w:hyperlink>
      <w:r w:rsidRPr="001663AE">
        <w:t>，轉引自太陽報</w:t>
      </w:r>
      <w:r w:rsidRPr="001663AE">
        <w:t>(2006.07.22)</w:t>
      </w:r>
      <w:r w:rsidRPr="001663AE">
        <w:t>。</w:t>
      </w:r>
    </w:p>
  </w:footnote>
  <w:footnote w:id="920">
    <w:p w14:paraId="56D3F3C7" w14:textId="77777777" w:rsidR="00CA23FA" w:rsidRPr="001663AE" w:rsidRDefault="00CA23FA" w:rsidP="00EA60ED">
      <w:pPr>
        <w:pStyle w:val="3"/>
        <w:jc w:val="left"/>
      </w:pPr>
      <w:r w:rsidRPr="001663AE">
        <w:rPr>
          <w:rStyle w:val="af3"/>
          <w:rFonts w:ascii="新細明體" w:hAnsi="新細明體" w:cs="Arial"/>
        </w:rPr>
        <w:footnoteRef/>
      </w:r>
      <w:r w:rsidRPr="001663AE">
        <w:t>反分裂法，解放軍將領表示：說白了就是不讓我們向臺灣扔核彈，</w:t>
      </w:r>
      <w:hyperlink r:id="rId261" w:history="1">
        <w:r w:rsidRPr="001663AE">
          <w:rPr>
            <w:rStyle w:val="a5"/>
            <w:rFonts w:cs="Arial"/>
          </w:rPr>
          <w:t>http://peacehall.com/forum/boxun2005a/223580.shtml</w:t>
        </w:r>
      </w:hyperlink>
      <w:r w:rsidRPr="001663AE">
        <w:t>，轉引自太陽報</w:t>
      </w:r>
      <w:r w:rsidRPr="001663AE">
        <w:t>(2006.07.22)</w:t>
      </w:r>
      <w:r w:rsidRPr="001663AE">
        <w:t>。</w:t>
      </w:r>
    </w:p>
  </w:footnote>
  <w:footnote w:id="921">
    <w:p w14:paraId="1C3BFE99" w14:textId="77777777" w:rsidR="00CA23FA" w:rsidRPr="001663AE" w:rsidRDefault="00CA23FA" w:rsidP="00670577">
      <w:pPr>
        <w:pStyle w:val="3"/>
        <w:jc w:val="left"/>
      </w:pPr>
      <w:r w:rsidRPr="001663AE">
        <w:rPr>
          <w:rStyle w:val="af3"/>
          <w:rFonts w:ascii="新細明體" w:hAnsi="新細明體" w:cs="Arial"/>
        </w:rPr>
        <w:footnoteRef/>
      </w:r>
      <w:r w:rsidRPr="001663AE">
        <w:t>專家稱反分裂法暗含絕不對台動用核武之善意，中國臺灣網，</w:t>
      </w:r>
      <w:r w:rsidRPr="001663AE">
        <w:t>2005</w:t>
      </w:r>
      <w:r w:rsidRPr="001663AE">
        <w:t>年</w:t>
      </w:r>
      <w:r w:rsidRPr="001663AE">
        <w:t>03</w:t>
      </w:r>
      <w:r w:rsidRPr="001663AE">
        <w:t>月</w:t>
      </w:r>
      <w:r w:rsidRPr="001663AE">
        <w:t>26</w:t>
      </w:r>
      <w:r w:rsidRPr="001663AE">
        <w:t>日，</w:t>
      </w:r>
      <w:hyperlink r:id="rId262" w:history="1">
        <w:r w:rsidRPr="001663AE">
          <w:rPr>
            <w:rStyle w:val="a5"/>
            <w:rFonts w:cs="Arial"/>
          </w:rPr>
          <w:t>http://www.sina.com.cn</w:t>
        </w:r>
      </w:hyperlink>
      <w:r>
        <w:t>(</w:t>
      </w:r>
      <w:r w:rsidRPr="001663AE">
        <w:t>2006.07.22)</w:t>
      </w:r>
      <w:r w:rsidRPr="001663AE">
        <w:t>。</w:t>
      </w:r>
    </w:p>
  </w:footnote>
  <w:footnote w:id="922">
    <w:p w14:paraId="44A2FD3D" w14:textId="77777777" w:rsidR="00CA23FA" w:rsidRPr="001663AE" w:rsidRDefault="00CA23FA" w:rsidP="00670577">
      <w:pPr>
        <w:pStyle w:val="3"/>
        <w:jc w:val="left"/>
      </w:pPr>
      <w:r w:rsidRPr="001663AE">
        <w:rPr>
          <w:rStyle w:val="af3"/>
          <w:rFonts w:ascii="新細明體" w:hAnsi="新細明體" w:cs="Arial"/>
        </w:rPr>
        <w:footnoteRef/>
      </w:r>
      <w:r w:rsidRPr="001663AE">
        <w:t>王翰靈，《反分裂國家法》的非和平方式條款</w:t>
      </w:r>
      <w:hyperlink r:id="rId263" w:history="1">
        <w:r w:rsidRPr="001663AE">
          <w:rPr>
            <w:rStyle w:val="a5"/>
            <w:rFonts w:cs="Arial"/>
          </w:rPr>
          <w:t>http://www.chinatopnews.com/MainNews/Opinion/2005_4_15_7_53_34_622.html</w:t>
        </w:r>
      </w:hyperlink>
      <w:r w:rsidRPr="001663AE">
        <w:t>；</w:t>
      </w:r>
      <w:r w:rsidRPr="001663AE">
        <w:t>chinesenewsnet.com(2006.07.22)</w:t>
      </w:r>
      <w:r w:rsidRPr="001663AE">
        <w:t>。</w:t>
      </w:r>
    </w:p>
  </w:footnote>
  <w:footnote w:id="923">
    <w:p w14:paraId="3BD9D5D7" w14:textId="77777777" w:rsidR="00CA23FA" w:rsidRPr="001663AE" w:rsidRDefault="00CA23FA" w:rsidP="00670577">
      <w:pPr>
        <w:pStyle w:val="3"/>
        <w:jc w:val="left"/>
      </w:pPr>
      <w:r w:rsidRPr="001663AE">
        <w:rPr>
          <w:rStyle w:val="af3"/>
          <w:rFonts w:ascii="新細明體" w:hAnsi="新細明體" w:cs="Arial"/>
        </w:rPr>
        <w:footnoteRef/>
      </w:r>
      <w:r w:rsidRPr="001663AE">
        <w:t>王翰靈，《反分裂國家法》的非和平方式條款</w:t>
      </w:r>
      <w:hyperlink r:id="rId264" w:history="1">
        <w:r w:rsidRPr="001663AE">
          <w:rPr>
            <w:rStyle w:val="a5"/>
            <w:rFonts w:cs="Arial"/>
          </w:rPr>
          <w:t>http://www.chinatopnews.com/MainNews/Opinion/2005_4_15_7_53_34_622.html</w:t>
        </w:r>
      </w:hyperlink>
      <w:r w:rsidRPr="001663AE">
        <w:t>；</w:t>
      </w:r>
      <w:r w:rsidRPr="001663AE">
        <w:t>chinesenewsnet.com(2006.07.22)</w:t>
      </w:r>
      <w:r w:rsidRPr="001663AE">
        <w:t>。</w:t>
      </w:r>
    </w:p>
  </w:footnote>
  <w:footnote w:id="924">
    <w:p w14:paraId="2EED7A4A" w14:textId="77777777" w:rsidR="00CA23FA" w:rsidRPr="001663AE" w:rsidRDefault="00CA23FA" w:rsidP="00670577">
      <w:pPr>
        <w:pStyle w:val="3"/>
        <w:jc w:val="left"/>
      </w:pPr>
      <w:r w:rsidRPr="001663AE">
        <w:rPr>
          <w:rStyle w:val="af3"/>
          <w:rFonts w:ascii="新細明體" w:hAnsi="新細明體" w:cs="Arial"/>
        </w:rPr>
        <w:footnoteRef/>
      </w:r>
      <w:r w:rsidRPr="001663AE">
        <w:t>關於中華人民共和國履行《不擴散核武器條約》情況的國家報告，</w:t>
      </w:r>
      <w:r w:rsidRPr="001663AE">
        <w:t>2005/05/18</w:t>
      </w:r>
      <w:r w:rsidRPr="001663AE">
        <w:t>，</w:t>
      </w:r>
      <w:hyperlink r:id="rId265" w:history="1">
        <w:r w:rsidRPr="001663AE">
          <w:rPr>
            <w:rStyle w:val="a5"/>
            <w:rFonts w:cs="Arial"/>
          </w:rPr>
          <w:t>http://big5.fmprc.gov.cn:89/gate/big5/www.fmcoprc.gov.hk/chn/szyw/t196102.htm</w:t>
        </w:r>
      </w:hyperlink>
      <w:r w:rsidRPr="001663AE">
        <w:t>(2006.07.22)</w:t>
      </w:r>
      <w:r w:rsidRPr="001663AE">
        <w:t>。</w:t>
      </w:r>
    </w:p>
  </w:footnote>
  <w:footnote w:id="925">
    <w:p w14:paraId="677932E9" w14:textId="77777777" w:rsidR="00CA23FA" w:rsidRPr="001663AE" w:rsidRDefault="00CA23FA" w:rsidP="00FB75BE">
      <w:pPr>
        <w:pStyle w:val="3"/>
        <w:jc w:val="left"/>
      </w:pPr>
      <w:r w:rsidRPr="001663AE">
        <w:rPr>
          <w:rStyle w:val="af3"/>
          <w:rFonts w:ascii="新細明體" w:hAnsi="新細明體"/>
        </w:rPr>
        <w:footnoteRef/>
      </w:r>
      <w:r w:rsidRPr="001663AE">
        <w:t>關於中華人民共和國履行《不擴散核武器條約》情況的國家報告，</w:t>
      </w:r>
      <w:r w:rsidRPr="001663AE">
        <w:t>2005/05/18</w:t>
      </w:r>
      <w:r w:rsidRPr="001663AE">
        <w:t>，</w:t>
      </w:r>
      <w:hyperlink r:id="rId266" w:history="1">
        <w:r w:rsidRPr="001663AE">
          <w:rPr>
            <w:rStyle w:val="a5"/>
            <w:rFonts w:cs="Arial"/>
          </w:rPr>
          <w:t>http://big5.fmprc.gov.cn:89/gate/big5/www.fmcoprc.gov.hk/chn/szyw/t196102.htm</w:t>
        </w:r>
      </w:hyperlink>
      <w:r w:rsidRPr="001663AE">
        <w:t>(2006.07.22)</w:t>
      </w:r>
      <w:r w:rsidRPr="001663AE">
        <w:t>。</w:t>
      </w:r>
    </w:p>
  </w:footnote>
  <w:footnote w:id="926">
    <w:p w14:paraId="2FA3002B" w14:textId="77777777" w:rsidR="00CA23FA" w:rsidRPr="001663AE" w:rsidRDefault="00CA23FA" w:rsidP="00FB75BE">
      <w:pPr>
        <w:pStyle w:val="3"/>
        <w:jc w:val="left"/>
      </w:pPr>
      <w:r w:rsidRPr="001663AE">
        <w:rPr>
          <w:rStyle w:val="af3"/>
          <w:rFonts w:ascii="新細明體" w:hAnsi="新細明體" w:cs="Arial"/>
        </w:rPr>
        <w:footnoteRef/>
      </w:r>
      <w:r w:rsidRPr="001663AE">
        <w:t>關於中華人民共和國履行《不擴散核武器條約》情況的國家報告，</w:t>
      </w:r>
      <w:r w:rsidRPr="001663AE">
        <w:t>2005/05/18</w:t>
      </w:r>
      <w:r w:rsidRPr="001663AE">
        <w:t>，</w:t>
      </w:r>
      <w:hyperlink r:id="rId267" w:history="1">
        <w:r w:rsidRPr="001663AE">
          <w:rPr>
            <w:rStyle w:val="a5"/>
            <w:rFonts w:cs="Arial"/>
          </w:rPr>
          <w:t>http://big5.fmprc.gov.cn:89/gate/big5/www.fmcoprc.gov.hk/chn/szyw/t196102.htm</w:t>
        </w:r>
      </w:hyperlink>
      <w:r w:rsidRPr="001663AE">
        <w:t>(2006.07.22)</w:t>
      </w:r>
      <w:r w:rsidRPr="001663AE">
        <w:t>。</w:t>
      </w:r>
    </w:p>
  </w:footnote>
  <w:footnote w:id="927">
    <w:p w14:paraId="1B4A3E33" w14:textId="77777777" w:rsidR="00CA23FA" w:rsidRPr="001663AE" w:rsidRDefault="00CA23FA" w:rsidP="00FB75BE">
      <w:pPr>
        <w:pStyle w:val="3"/>
        <w:jc w:val="left"/>
      </w:pPr>
      <w:r w:rsidRPr="001663AE">
        <w:rPr>
          <w:rStyle w:val="af3"/>
          <w:rFonts w:ascii="新細明體" w:hAnsi="新細明體" w:cs="Arial"/>
        </w:rPr>
        <w:footnoteRef/>
      </w:r>
      <w:r w:rsidRPr="001663AE">
        <w:t>關於中華人民共和國履行《不擴散核武器條約》情況的國家報告，</w:t>
      </w:r>
      <w:r w:rsidRPr="001663AE">
        <w:t>2005/05/18</w:t>
      </w:r>
      <w:r w:rsidRPr="001663AE">
        <w:t>，</w:t>
      </w:r>
      <w:hyperlink r:id="rId268" w:history="1">
        <w:r w:rsidRPr="001663AE">
          <w:rPr>
            <w:rStyle w:val="a5"/>
            <w:rFonts w:cs="Arial"/>
          </w:rPr>
          <w:t>http://big5.fmprc.gov.cn:89/gate/big5/www.fmcoprc.gov.hk/chn/szyw/t196102.htm</w:t>
        </w:r>
      </w:hyperlink>
      <w:r>
        <w:t>(</w:t>
      </w:r>
      <w:r w:rsidRPr="001663AE">
        <w:t>2006.07.22)</w:t>
      </w:r>
      <w:r w:rsidRPr="001663AE">
        <w:t>。</w:t>
      </w:r>
    </w:p>
  </w:footnote>
  <w:footnote w:id="928">
    <w:p w14:paraId="0A40F66F" w14:textId="77777777" w:rsidR="00CA23FA" w:rsidRPr="001663AE" w:rsidRDefault="00CA23FA" w:rsidP="00FB75BE">
      <w:pPr>
        <w:pStyle w:val="3"/>
        <w:jc w:val="left"/>
      </w:pPr>
      <w:r w:rsidRPr="001663AE">
        <w:rPr>
          <w:rStyle w:val="af3"/>
          <w:rFonts w:ascii="新細明體" w:hAnsi="新細明體" w:cs="Arial"/>
        </w:rPr>
        <w:footnoteRef/>
      </w:r>
      <w:r w:rsidRPr="001663AE">
        <w:t xml:space="preserve"> Protocol Additional to the Geneva Conventions of 12 August 1949, and Relating to the Protection of Victims of Non-International Armed Conflicts</w:t>
      </w:r>
      <w:r>
        <w:t>(</w:t>
      </w:r>
      <w:r w:rsidRPr="001663AE">
        <w:t>Protocol II)</w:t>
      </w:r>
      <w:r w:rsidRPr="001663AE">
        <w:t>英文版之資料，可以參閱以下網站：</w:t>
      </w:r>
      <w:hyperlink r:id="rId269" w:history="1">
        <w:r w:rsidRPr="001663AE">
          <w:rPr>
            <w:rStyle w:val="a5"/>
            <w:rFonts w:cs="Arial"/>
          </w:rPr>
          <w:t>http://www.unhchr.ch/html/menu3/b/94.htm</w:t>
        </w:r>
      </w:hyperlink>
      <w:r>
        <w:t>(</w:t>
      </w:r>
      <w:r w:rsidRPr="001663AE">
        <w:t>2006.07.22)</w:t>
      </w:r>
      <w:r w:rsidRPr="001663AE">
        <w:t>。</w:t>
      </w:r>
      <w:r w:rsidRPr="001663AE">
        <w:t xml:space="preserve"> </w:t>
      </w:r>
    </w:p>
  </w:footnote>
  <w:footnote w:id="929">
    <w:p w14:paraId="793AB3DF" w14:textId="77777777" w:rsidR="00CA23FA" w:rsidRPr="001663AE" w:rsidRDefault="00CA23FA" w:rsidP="00FB75BE">
      <w:pPr>
        <w:pStyle w:val="3"/>
        <w:jc w:val="left"/>
      </w:pPr>
      <w:r w:rsidRPr="001663AE">
        <w:rPr>
          <w:rStyle w:val="af3"/>
          <w:rFonts w:ascii="新細明體" w:hAnsi="新細明體" w:cs="Arial"/>
        </w:rPr>
        <w:footnoteRef/>
      </w:r>
      <w:r w:rsidRPr="001663AE">
        <w:t xml:space="preserve"> </w:t>
      </w:r>
      <w:r w:rsidRPr="001663AE">
        <w:t>英文版之</w:t>
      </w:r>
      <w:r w:rsidRPr="001663AE">
        <w:t>Protocol Additional to the Geneva Conventions of 12 August 1949, and Relating to the Protection of Victims of Non-International Armed Conflicts</w:t>
      </w:r>
      <w:r>
        <w:t>(</w:t>
      </w:r>
      <w:r w:rsidRPr="001663AE">
        <w:t>Protocol II)</w:t>
      </w:r>
      <w:r w:rsidRPr="001663AE">
        <w:t>，請參閱：</w:t>
      </w:r>
      <w:hyperlink r:id="rId270" w:history="1">
        <w:r w:rsidRPr="001663AE">
          <w:rPr>
            <w:rStyle w:val="a5"/>
            <w:rFonts w:cs="Arial"/>
          </w:rPr>
          <w:t>http://www.unhchr.ch/html/menu3/b/94.htm</w:t>
        </w:r>
      </w:hyperlink>
      <w:r>
        <w:t>(</w:t>
      </w:r>
      <w:r w:rsidRPr="001663AE">
        <w:t>2006.07.22)</w:t>
      </w:r>
      <w:r w:rsidRPr="001663AE">
        <w:t>。</w:t>
      </w:r>
    </w:p>
  </w:footnote>
  <w:footnote w:id="930">
    <w:p w14:paraId="5C137104" w14:textId="77777777" w:rsidR="00CA23FA" w:rsidRPr="001663AE" w:rsidRDefault="00CA23FA" w:rsidP="00FB75BE">
      <w:pPr>
        <w:pStyle w:val="3"/>
        <w:jc w:val="left"/>
      </w:pPr>
      <w:r w:rsidRPr="001663AE">
        <w:rPr>
          <w:rStyle w:val="af3"/>
          <w:rFonts w:ascii="新細明體" w:hAnsi="新細明體" w:cs="Arial"/>
        </w:rPr>
        <w:footnoteRef/>
      </w:r>
      <w:r w:rsidRPr="001663AE">
        <w:t xml:space="preserve"> Recalling that the humanitarian principles enshrined in Article 3common to the Geneva Conventions of 12 August 1949 constitute the foundation of respect for the human person in cases of armed conflict not of an international character</w:t>
      </w:r>
      <w:r w:rsidRPr="001663AE">
        <w:t>。</w:t>
      </w:r>
    </w:p>
  </w:footnote>
  <w:footnote w:id="931">
    <w:p w14:paraId="70E37BCB" w14:textId="77777777" w:rsidR="00CA23FA" w:rsidRPr="001663AE" w:rsidRDefault="00CA23FA" w:rsidP="00FB75BE">
      <w:pPr>
        <w:pStyle w:val="3"/>
        <w:jc w:val="left"/>
      </w:pPr>
      <w:r w:rsidRPr="001663AE">
        <w:rPr>
          <w:rStyle w:val="af3"/>
          <w:rFonts w:ascii="新細明體" w:hAnsi="新細明體"/>
        </w:rPr>
        <w:footnoteRef/>
      </w:r>
      <w:r w:rsidRPr="001663AE">
        <w:t xml:space="preserve"> Recalling furthermore that international instruments relating to human rights offer a basic protection to the human person</w:t>
      </w:r>
      <w:r w:rsidRPr="001663AE">
        <w:rPr>
          <w:rFonts w:hint="eastAsia"/>
        </w:rPr>
        <w:t>。</w:t>
      </w:r>
    </w:p>
  </w:footnote>
  <w:footnote w:id="932">
    <w:p w14:paraId="621116AD" w14:textId="77777777" w:rsidR="00CA23FA" w:rsidRPr="001663AE" w:rsidRDefault="00CA23FA" w:rsidP="00FB75BE">
      <w:pPr>
        <w:pStyle w:val="3"/>
        <w:jc w:val="left"/>
      </w:pPr>
      <w:r w:rsidRPr="001663AE">
        <w:rPr>
          <w:rStyle w:val="af3"/>
          <w:rFonts w:ascii="新細明體" w:hAnsi="新細明體"/>
        </w:rPr>
        <w:footnoteRef/>
      </w:r>
      <w:r w:rsidRPr="001663AE">
        <w:t xml:space="preserve"> Emphasizing the need to ensure a better protection for the victims of those armed conflicts</w:t>
      </w:r>
      <w:r w:rsidRPr="001663AE">
        <w:rPr>
          <w:rFonts w:hint="eastAsia"/>
        </w:rPr>
        <w:t>。</w:t>
      </w:r>
    </w:p>
  </w:footnote>
  <w:footnote w:id="933">
    <w:p w14:paraId="449FD578" w14:textId="77777777" w:rsidR="00CA23FA" w:rsidRPr="001663AE" w:rsidRDefault="00CA23FA" w:rsidP="00FB75BE">
      <w:pPr>
        <w:pStyle w:val="3"/>
        <w:jc w:val="left"/>
      </w:pPr>
      <w:r w:rsidRPr="001663AE">
        <w:rPr>
          <w:rStyle w:val="af3"/>
          <w:rFonts w:ascii="新細明體" w:hAnsi="新細明體" w:cs="Arial"/>
        </w:rPr>
        <w:footnoteRef/>
      </w:r>
      <w:r w:rsidRPr="001663AE">
        <w:t xml:space="preserve"> the human person remains under the protection of the principles of humanity and the dictates of the public conscience</w:t>
      </w:r>
      <w:r w:rsidRPr="001663AE">
        <w:t>。</w:t>
      </w:r>
    </w:p>
  </w:footnote>
  <w:footnote w:id="934">
    <w:p w14:paraId="42CD48A4" w14:textId="77777777" w:rsidR="00CA23FA" w:rsidRPr="001663AE" w:rsidRDefault="00CA23FA" w:rsidP="00D87D91">
      <w:pPr>
        <w:pStyle w:val="3"/>
      </w:pPr>
      <w:r w:rsidRPr="001663AE">
        <w:rPr>
          <w:rStyle w:val="af3"/>
          <w:rFonts w:ascii="新細明體" w:hAnsi="新細明體"/>
        </w:rPr>
        <w:footnoteRef/>
      </w:r>
      <w:r w:rsidRPr="001663AE">
        <w:t xml:space="preserve"> All persons who do not take a direct part or who have ceased to take part in hostilities</w:t>
      </w:r>
      <w:r w:rsidRPr="001663AE">
        <w:rPr>
          <w:rFonts w:hint="eastAsia"/>
        </w:rPr>
        <w:t>。</w:t>
      </w:r>
    </w:p>
  </w:footnote>
  <w:footnote w:id="935">
    <w:p w14:paraId="58689292" w14:textId="77777777" w:rsidR="00CA23FA" w:rsidRPr="001663AE" w:rsidRDefault="00CA23FA" w:rsidP="00D87D91">
      <w:pPr>
        <w:pStyle w:val="3"/>
      </w:pPr>
      <w:r w:rsidRPr="001663AE">
        <w:rPr>
          <w:rStyle w:val="af3"/>
          <w:rFonts w:ascii="新細明體" w:hAnsi="新細明體"/>
        </w:rPr>
        <w:footnoteRef/>
      </w:r>
      <w:r w:rsidRPr="001663AE">
        <w:t xml:space="preserve"> are entitled to respect for their person, honour and convictions and religious practices</w:t>
      </w:r>
      <w:r w:rsidRPr="001663AE">
        <w:rPr>
          <w:rFonts w:hint="eastAsia"/>
        </w:rPr>
        <w:t>。</w:t>
      </w:r>
    </w:p>
  </w:footnote>
  <w:footnote w:id="936">
    <w:p w14:paraId="3ECBC075" w14:textId="77777777" w:rsidR="00CA23FA" w:rsidRPr="001663AE" w:rsidRDefault="00CA23FA" w:rsidP="00D87D91">
      <w:pPr>
        <w:pStyle w:val="3"/>
      </w:pPr>
      <w:r w:rsidRPr="001663AE">
        <w:rPr>
          <w:rStyle w:val="af3"/>
          <w:rFonts w:ascii="新細明體" w:hAnsi="新細明體" w:cs="Arial"/>
        </w:rPr>
        <w:footnoteRef/>
      </w:r>
      <w:r w:rsidRPr="001663AE">
        <w:t xml:space="preserve"> the following acts against the persons referred to in paragraph I are and shall remain prohibited at any time and in any place whatsoever</w:t>
      </w:r>
      <w:r w:rsidRPr="001663AE">
        <w:rPr>
          <w:rFonts w:hint="eastAsia"/>
        </w:rPr>
        <w:t>。</w:t>
      </w:r>
    </w:p>
  </w:footnote>
  <w:footnote w:id="937">
    <w:p w14:paraId="29A3250B" w14:textId="77777777" w:rsidR="00CA23FA" w:rsidRPr="001663AE" w:rsidRDefault="00CA23FA" w:rsidP="00D87D91">
      <w:pPr>
        <w:pStyle w:val="3"/>
      </w:pPr>
      <w:r w:rsidRPr="001663AE">
        <w:rPr>
          <w:rStyle w:val="af3"/>
          <w:rFonts w:ascii="新細明體" w:hAnsi="新細明體" w:cs="Arial"/>
        </w:rPr>
        <w:footnoteRef/>
      </w:r>
      <w:r w:rsidRPr="001663AE">
        <w:t xml:space="preserve"> in particular murder as well as cruel treatment such as torture, mutilation or any form of corporal punishment</w:t>
      </w:r>
      <w:r w:rsidRPr="001663AE">
        <w:rPr>
          <w:rFonts w:hint="eastAsia"/>
        </w:rPr>
        <w:t>。</w:t>
      </w:r>
    </w:p>
  </w:footnote>
  <w:footnote w:id="938">
    <w:p w14:paraId="72D0D6FB" w14:textId="77777777" w:rsidR="00CA23FA" w:rsidRPr="001663AE" w:rsidRDefault="00CA23FA" w:rsidP="00D87D91">
      <w:pPr>
        <w:pStyle w:val="3"/>
      </w:pPr>
      <w:r w:rsidRPr="001663AE">
        <w:rPr>
          <w:rStyle w:val="af3"/>
          <w:rFonts w:ascii="新細明體" w:hAnsi="新細明體"/>
        </w:rPr>
        <w:footnoteRef/>
      </w:r>
      <w:r w:rsidRPr="001663AE">
        <w:t xml:space="preserve"> Children shall be provided with the care and aid they require, and in particular</w:t>
      </w:r>
      <w:r w:rsidRPr="001663AE">
        <w:rPr>
          <w:rFonts w:hint="eastAsia"/>
        </w:rPr>
        <w:t>。</w:t>
      </w:r>
    </w:p>
  </w:footnote>
  <w:footnote w:id="939">
    <w:p w14:paraId="50D46008" w14:textId="77777777" w:rsidR="00CA23FA" w:rsidRPr="001663AE" w:rsidRDefault="00CA23FA" w:rsidP="00D87D91">
      <w:pPr>
        <w:pStyle w:val="3"/>
      </w:pPr>
      <w:r w:rsidRPr="001663AE">
        <w:rPr>
          <w:rStyle w:val="af3"/>
          <w:rFonts w:ascii="新細明體" w:hAnsi="新細明體"/>
        </w:rPr>
        <w:footnoteRef/>
      </w:r>
      <w:r w:rsidRPr="001663AE">
        <w:t xml:space="preserve"> They shall receive an education, including religious and moral education, in keeping with the wishes of their parents, or in the absence of parents, of those responsible for their care</w:t>
      </w:r>
      <w:r w:rsidRPr="001663AE">
        <w:rPr>
          <w:rFonts w:hint="eastAsia"/>
        </w:rPr>
        <w:t>。</w:t>
      </w:r>
    </w:p>
  </w:footnote>
  <w:footnote w:id="940">
    <w:p w14:paraId="7E74EEB1" w14:textId="77777777" w:rsidR="00CA23FA" w:rsidRPr="001663AE" w:rsidRDefault="00CA23FA" w:rsidP="00D87D91">
      <w:pPr>
        <w:pStyle w:val="3"/>
      </w:pPr>
      <w:r w:rsidRPr="001663AE">
        <w:rPr>
          <w:rStyle w:val="af3"/>
          <w:rFonts w:ascii="新細明體" w:hAnsi="新細明體"/>
        </w:rPr>
        <w:footnoteRef/>
      </w:r>
      <w:r w:rsidRPr="001663AE">
        <w:t xml:space="preserve"> All appropriate steps shall be taken to facilitate the reunion of families temporarily separated</w:t>
      </w:r>
      <w:r w:rsidRPr="001663AE">
        <w:rPr>
          <w:rFonts w:hint="eastAsia"/>
        </w:rPr>
        <w:t>。</w:t>
      </w:r>
    </w:p>
  </w:footnote>
  <w:footnote w:id="941">
    <w:p w14:paraId="66F5E9B2" w14:textId="77777777" w:rsidR="00CA23FA" w:rsidRPr="001663AE" w:rsidRDefault="00CA23FA" w:rsidP="00D87D91">
      <w:pPr>
        <w:pStyle w:val="3"/>
      </w:pPr>
      <w:r w:rsidRPr="001663AE">
        <w:rPr>
          <w:rStyle w:val="af3"/>
          <w:rFonts w:ascii="新細明體" w:hAnsi="新細明體"/>
        </w:rPr>
        <w:footnoteRef/>
      </w:r>
      <w:r w:rsidRPr="001663AE">
        <w:t xml:space="preserve"> Children who have not attained the age of fifteen years shall neither be recruited in the armed forces or groups nor allowed to take part in hostilities</w:t>
      </w:r>
      <w:r w:rsidRPr="001663AE">
        <w:rPr>
          <w:rFonts w:hint="eastAsia"/>
        </w:rPr>
        <w:t>。</w:t>
      </w:r>
    </w:p>
  </w:footnote>
  <w:footnote w:id="942">
    <w:p w14:paraId="03133300" w14:textId="77777777" w:rsidR="00CA23FA" w:rsidRPr="001663AE" w:rsidRDefault="00CA23FA" w:rsidP="00D87D91">
      <w:pPr>
        <w:pStyle w:val="3"/>
      </w:pPr>
      <w:r w:rsidRPr="001663AE">
        <w:rPr>
          <w:rStyle w:val="af3"/>
          <w:rFonts w:ascii="新細明體" w:hAnsi="新細明體"/>
        </w:rPr>
        <w:footnoteRef/>
      </w:r>
      <w:r w:rsidRPr="001663AE">
        <w:t xml:space="preserve"> The special protection provided by this Article to children who have not attained the age of fifteen years shall remain applicable to them if they take a direct part in hostilities despite the provisions of sub-paragraph</w:t>
      </w:r>
      <w:r>
        <w:t>(</w:t>
      </w:r>
      <w:r w:rsidRPr="001663AE">
        <w:t>c) and are captured</w:t>
      </w:r>
      <w:r w:rsidRPr="001663AE">
        <w:rPr>
          <w:rFonts w:hint="eastAsia"/>
        </w:rPr>
        <w:t>。</w:t>
      </w:r>
    </w:p>
  </w:footnote>
  <w:footnote w:id="943">
    <w:p w14:paraId="1298389B" w14:textId="77777777" w:rsidR="00CA23FA" w:rsidRPr="001663AE" w:rsidRDefault="00CA23FA" w:rsidP="00D87D91">
      <w:pPr>
        <w:pStyle w:val="3"/>
      </w:pPr>
      <w:r w:rsidRPr="001663AE">
        <w:rPr>
          <w:rStyle w:val="af3"/>
          <w:rFonts w:ascii="新細明體" w:hAnsi="新細明體"/>
        </w:rPr>
        <w:footnoteRef/>
      </w:r>
      <w:r w:rsidRPr="001663AE">
        <w:t xml:space="preserve"> Measures shall be taken, if necessary, and whenever possible with the consent of their parents or persons who by law or custom are primarily responsible for their care, to remove children temporarily from the area in which hostilities are taking place to a safer area within the country and ensure that they are accompanied by persons responsible for their safety and well-being</w:t>
      </w:r>
      <w:r w:rsidRPr="001663AE">
        <w:rPr>
          <w:rFonts w:hint="eastAsia"/>
        </w:rPr>
        <w:t>。</w:t>
      </w:r>
    </w:p>
  </w:footnote>
  <w:footnote w:id="944">
    <w:p w14:paraId="74C04F3A" w14:textId="77777777" w:rsidR="00CA23FA" w:rsidRPr="001663AE" w:rsidRDefault="00CA23FA" w:rsidP="00D87D91">
      <w:pPr>
        <w:pStyle w:val="3"/>
      </w:pPr>
      <w:r w:rsidRPr="001663AE">
        <w:rPr>
          <w:rStyle w:val="af3"/>
          <w:rFonts w:ascii="新細明體" w:hAnsi="新細明體" w:cs="Arial"/>
        </w:rPr>
        <w:footnoteRef/>
      </w:r>
      <w:r w:rsidRPr="001663AE">
        <w:t xml:space="preserve"> Medical and religious personnel shall be respected and protected and shall be granted all available help for the performance of their duties. They shall not be compelled to carry out tasks which are not compatible with their humanitarian mission</w:t>
      </w:r>
      <w:r w:rsidRPr="001663AE">
        <w:t>。</w:t>
      </w:r>
    </w:p>
  </w:footnote>
  <w:footnote w:id="945">
    <w:p w14:paraId="10AC4867" w14:textId="77777777" w:rsidR="00CA23FA" w:rsidRPr="001663AE" w:rsidRDefault="00CA23FA" w:rsidP="00D87D91">
      <w:pPr>
        <w:pStyle w:val="3"/>
      </w:pPr>
      <w:r w:rsidRPr="001663AE">
        <w:rPr>
          <w:rStyle w:val="af3"/>
          <w:rFonts w:ascii="新細明體" w:hAnsi="新細明體"/>
        </w:rPr>
        <w:footnoteRef/>
      </w:r>
      <w:r w:rsidRPr="001663AE">
        <w:t xml:space="preserve"> In the performance of their duties medical personnel may not be required to give priority to any person except on medical grounds</w:t>
      </w:r>
      <w:r w:rsidRPr="001663AE">
        <w:rPr>
          <w:rFonts w:hint="eastAsia"/>
        </w:rPr>
        <w:t>。</w:t>
      </w:r>
    </w:p>
  </w:footnote>
  <w:footnote w:id="946">
    <w:p w14:paraId="3C625349" w14:textId="77777777" w:rsidR="00CA23FA" w:rsidRPr="001663AE" w:rsidRDefault="00CA23FA" w:rsidP="00D87D91">
      <w:pPr>
        <w:pStyle w:val="3"/>
      </w:pPr>
      <w:r w:rsidRPr="001663AE">
        <w:rPr>
          <w:rStyle w:val="af3"/>
          <w:rFonts w:ascii="新細明體" w:hAnsi="新細明體"/>
        </w:rPr>
        <w:footnoteRef/>
      </w:r>
      <w:r w:rsidRPr="001663AE">
        <w:t xml:space="preserve"> Medical units and transports shall be respected and protected at all times and shall not be the object of attack</w:t>
      </w:r>
      <w:r w:rsidRPr="001663AE">
        <w:rPr>
          <w:rFonts w:hint="eastAsia"/>
        </w:rPr>
        <w:t>。</w:t>
      </w:r>
    </w:p>
  </w:footnote>
  <w:footnote w:id="947">
    <w:p w14:paraId="2321F661" w14:textId="77777777" w:rsidR="00CA23FA" w:rsidRPr="001663AE" w:rsidRDefault="00CA23FA" w:rsidP="00D87D91">
      <w:pPr>
        <w:pStyle w:val="3"/>
      </w:pPr>
      <w:r w:rsidRPr="001663AE">
        <w:rPr>
          <w:rStyle w:val="af3"/>
          <w:rFonts w:ascii="新細明體" w:hAnsi="新細明體" w:cs="Arial"/>
        </w:rPr>
        <w:footnoteRef/>
      </w:r>
      <w:r w:rsidRPr="001663AE">
        <w:t xml:space="preserve"> The protection to which medical units and transports are entitled shall not cease unless they are used to commit hostile acts, outside their humanitarian function. Protection may, however, cease only after a warning has been given setting, whenever appropriate, a reasonable time-limit, and after such warning has remained unheeded</w:t>
      </w:r>
    </w:p>
  </w:footnote>
  <w:footnote w:id="948">
    <w:p w14:paraId="68F5BF6D" w14:textId="77777777" w:rsidR="00CA23FA" w:rsidRPr="001663AE" w:rsidRDefault="00CA23FA" w:rsidP="00FB75BE">
      <w:pPr>
        <w:pStyle w:val="3"/>
        <w:jc w:val="left"/>
      </w:pPr>
      <w:r w:rsidRPr="001663AE">
        <w:rPr>
          <w:rStyle w:val="af3"/>
          <w:rFonts w:ascii="新細明體" w:hAnsi="新細明體" w:cs="Arial"/>
        </w:rPr>
        <w:footnoteRef/>
      </w:r>
      <w:r w:rsidRPr="001663AE">
        <w:t xml:space="preserve"> </w:t>
      </w:r>
      <w:hyperlink r:id="rId271" w:history="1">
        <w:r w:rsidRPr="001663AE">
          <w:rPr>
            <w:rStyle w:val="a5"/>
            <w:rFonts w:cs="Arial"/>
          </w:rPr>
          <w:t>http://www.un.org/chinese/documents/decl-con/geneva_protocol_2.htm</w:t>
        </w:r>
      </w:hyperlink>
      <w:r>
        <w:t>(</w:t>
      </w:r>
      <w:r w:rsidRPr="001663AE">
        <w:t>2006.07.22)</w:t>
      </w:r>
      <w:r w:rsidRPr="001663AE">
        <w:t>。</w:t>
      </w:r>
    </w:p>
  </w:footnote>
  <w:footnote w:id="949">
    <w:p w14:paraId="36BDB0C9" w14:textId="77777777" w:rsidR="00CA23FA" w:rsidRPr="001663AE" w:rsidRDefault="00CA23FA" w:rsidP="00FB75BE">
      <w:pPr>
        <w:pStyle w:val="3"/>
        <w:jc w:val="left"/>
      </w:pPr>
      <w:r w:rsidRPr="001663AE">
        <w:rPr>
          <w:rStyle w:val="af3"/>
          <w:rFonts w:ascii="新細明體" w:hAnsi="新細明體"/>
        </w:rPr>
        <w:footnoteRef/>
      </w:r>
      <w:r w:rsidRPr="001663AE">
        <w:t xml:space="preserve"> The civilian population and individual civilians shall enjoy general protection against the dangers arising from military operations</w:t>
      </w:r>
      <w:r w:rsidRPr="001663AE">
        <w:rPr>
          <w:rFonts w:hint="eastAsia"/>
        </w:rPr>
        <w:t>。</w:t>
      </w:r>
    </w:p>
  </w:footnote>
  <w:footnote w:id="950">
    <w:p w14:paraId="2633CFFC" w14:textId="77777777" w:rsidR="00CA23FA" w:rsidRPr="001663AE" w:rsidRDefault="00CA23FA" w:rsidP="00FB75BE">
      <w:pPr>
        <w:pStyle w:val="3"/>
        <w:jc w:val="left"/>
      </w:pPr>
      <w:r w:rsidRPr="001663AE">
        <w:rPr>
          <w:rStyle w:val="af3"/>
          <w:rFonts w:ascii="新細明體" w:hAnsi="新細明體"/>
        </w:rPr>
        <w:footnoteRef/>
      </w:r>
      <w:r w:rsidRPr="001663AE">
        <w:t xml:space="preserve"> Togive effect to this protection, the following rules shall be observed in all circumstances</w:t>
      </w:r>
      <w:r w:rsidRPr="001663AE">
        <w:rPr>
          <w:rFonts w:hint="eastAsia"/>
        </w:rPr>
        <w:t>。</w:t>
      </w:r>
    </w:p>
  </w:footnote>
  <w:footnote w:id="951">
    <w:p w14:paraId="2CBEBC88" w14:textId="77777777" w:rsidR="00CA23FA" w:rsidRPr="001663AE" w:rsidRDefault="00CA23FA" w:rsidP="00FB75BE">
      <w:pPr>
        <w:pStyle w:val="3"/>
        <w:jc w:val="left"/>
      </w:pPr>
      <w:r w:rsidRPr="001663AE">
        <w:rPr>
          <w:rStyle w:val="af3"/>
          <w:rFonts w:ascii="新細明體" w:hAnsi="新細明體"/>
        </w:rPr>
        <w:footnoteRef/>
      </w:r>
      <w:r w:rsidRPr="001663AE">
        <w:t xml:space="preserve"> The civilian population as such, as well as individual civilians, shall not be the object of attack</w:t>
      </w:r>
      <w:r w:rsidRPr="001663AE">
        <w:rPr>
          <w:rFonts w:hint="eastAsia"/>
        </w:rPr>
        <w:t>。</w:t>
      </w:r>
    </w:p>
  </w:footnote>
  <w:footnote w:id="952">
    <w:p w14:paraId="2C5379E9" w14:textId="77777777" w:rsidR="00CA23FA" w:rsidRPr="001663AE" w:rsidRDefault="00CA23FA" w:rsidP="00FB75BE">
      <w:pPr>
        <w:pStyle w:val="3"/>
        <w:jc w:val="left"/>
      </w:pPr>
      <w:r w:rsidRPr="001663AE">
        <w:rPr>
          <w:rStyle w:val="af3"/>
          <w:rFonts w:ascii="新細明體" w:hAnsi="新細明體"/>
        </w:rPr>
        <w:footnoteRef/>
      </w:r>
      <w:r w:rsidRPr="001663AE">
        <w:t xml:space="preserve"> Acts or threats of violence the primary purpose of which is to spread terror among the civilian population are prohibited</w:t>
      </w:r>
      <w:r w:rsidRPr="001663AE">
        <w:rPr>
          <w:rFonts w:hint="eastAsia"/>
        </w:rPr>
        <w:t>。</w:t>
      </w:r>
    </w:p>
  </w:footnote>
  <w:footnote w:id="953">
    <w:p w14:paraId="1978A495" w14:textId="77777777" w:rsidR="00CA23FA" w:rsidRPr="001663AE" w:rsidRDefault="00CA23FA" w:rsidP="00FB75BE">
      <w:pPr>
        <w:pStyle w:val="3"/>
        <w:jc w:val="left"/>
      </w:pPr>
      <w:r w:rsidRPr="001663AE">
        <w:rPr>
          <w:rStyle w:val="af3"/>
          <w:rFonts w:ascii="新細明體" w:hAnsi="新細明體" w:cs="Arial"/>
        </w:rPr>
        <w:footnoteRef/>
      </w:r>
      <w:r w:rsidRPr="001663AE">
        <w:t xml:space="preserve"> Civilians shall enjoy the protection afforded by this Part, unless and for such time as they take a direct part in hostilities</w:t>
      </w:r>
      <w:r w:rsidRPr="001663AE">
        <w:t>。</w:t>
      </w:r>
    </w:p>
  </w:footnote>
  <w:footnote w:id="954">
    <w:p w14:paraId="444E9FCD" w14:textId="77777777" w:rsidR="00CA23FA" w:rsidRPr="001663AE" w:rsidRDefault="00CA23FA" w:rsidP="00FB75BE">
      <w:pPr>
        <w:pStyle w:val="3"/>
        <w:jc w:val="left"/>
      </w:pPr>
      <w:r w:rsidRPr="001663AE">
        <w:rPr>
          <w:rStyle w:val="af3"/>
          <w:rFonts w:ascii="新細明體" w:hAnsi="新細明體" w:cs="Arial"/>
        </w:rPr>
        <w:footnoteRef/>
      </w:r>
      <w:r w:rsidRPr="001663AE">
        <w:t xml:space="preserve"> The civilian population as such, as well as individual civilians, shall not be the object of attack. Acts or threats of violence the primary purpose of which is to spread terror among the civilian population are prohibited</w:t>
      </w:r>
      <w:r w:rsidRPr="001663AE">
        <w:t>。</w:t>
      </w:r>
    </w:p>
  </w:footnote>
  <w:footnote w:id="955">
    <w:p w14:paraId="175553BE" w14:textId="77777777" w:rsidR="00CA23FA" w:rsidRPr="001663AE" w:rsidRDefault="00CA23FA" w:rsidP="00FB75BE">
      <w:pPr>
        <w:pStyle w:val="3"/>
        <w:jc w:val="left"/>
      </w:pPr>
      <w:r w:rsidRPr="001663AE">
        <w:rPr>
          <w:rStyle w:val="af3"/>
          <w:rFonts w:ascii="新細明體" w:hAnsi="新細明體" w:cs="Arial"/>
        </w:rPr>
        <w:footnoteRef/>
      </w:r>
      <w:r w:rsidRPr="001663AE">
        <w:t>專家稱反分裂法暗含絕不對台動用核武之善意，中國臺灣網，</w:t>
      </w:r>
      <w:r w:rsidRPr="001663AE">
        <w:t>2005</w:t>
      </w:r>
      <w:r w:rsidRPr="001663AE">
        <w:t>年</w:t>
      </w:r>
      <w:r w:rsidRPr="001663AE">
        <w:t>03</w:t>
      </w:r>
      <w:r w:rsidRPr="001663AE">
        <w:t>月</w:t>
      </w:r>
      <w:r w:rsidRPr="001663AE">
        <w:t>26</w:t>
      </w:r>
      <w:r w:rsidRPr="001663AE">
        <w:t>日，</w:t>
      </w:r>
      <w:hyperlink r:id="rId272" w:history="1">
        <w:r w:rsidRPr="001663AE">
          <w:rPr>
            <w:rStyle w:val="a5"/>
            <w:rFonts w:cs="Arial"/>
          </w:rPr>
          <w:t>http://www.sina.com.cn</w:t>
        </w:r>
      </w:hyperlink>
      <w:r>
        <w:t>(</w:t>
      </w:r>
      <w:r w:rsidRPr="001663AE">
        <w:t>2006.07.22)</w:t>
      </w:r>
      <w:r w:rsidRPr="001663AE">
        <w:t>。</w:t>
      </w:r>
    </w:p>
  </w:footnote>
  <w:footnote w:id="956">
    <w:p w14:paraId="3F7A5273" w14:textId="77777777" w:rsidR="00CA23FA" w:rsidRPr="001663AE" w:rsidRDefault="00CA23FA" w:rsidP="00FB75BE">
      <w:pPr>
        <w:pStyle w:val="3"/>
        <w:jc w:val="left"/>
      </w:pPr>
      <w:r w:rsidRPr="001663AE">
        <w:rPr>
          <w:rStyle w:val="af3"/>
          <w:rFonts w:ascii="新細明體" w:hAnsi="新細明體"/>
        </w:rPr>
        <w:footnoteRef/>
      </w:r>
      <w:r w:rsidRPr="001663AE">
        <w:t xml:space="preserve"> Protection of objects indispensable to the survival of the civilian population</w:t>
      </w:r>
      <w:r w:rsidRPr="001663AE">
        <w:rPr>
          <w:rFonts w:hint="eastAsia"/>
        </w:rPr>
        <w:t>。</w:t>
      </w:r>
    </w:p>
  </w:footnote>
  <w:footnote w:id="957">
    <w:p w14:paraId="52B9E8FB" w14:textId="77777777" w:rsidR="00CA23FA" w:rsidRPr="001663AE" w:rsidRDefault="00CA23FA" w:rsidP="00FB75BE">
      <w:pPr>
        <w:pStyle w:val="3"/>
        <w:jc w:val="left"/>
      </w:pPr>
      <w:r w:rsidRPr="001663AE">
        <w:rPr>
          <w:rStyle w:val="af3"/>
          <w:rFonts w:ascii="新細明體" w:hAnsi="新細明體"/>
        </w:rPr>
        <w:footnoteRef/>
      </w:r>
      <w:r w:rsidRPr="001663AE">
        <w:t xml:space="preserve"> Starvation of civilians as a method of combat is prohibited</w:t>
      </w:r>
      <w:r w:rsidRPr="001663AE">
        <w:rPr>
          <w:rFonts w:hint="eastAsia"/>
        </w:rPr>
        <w:t>。</w:t>
      </w:r>
    </w:p>
  </w:footnote>
  <w:footnote w:id="958">
    <w:p w14:paraId="412BD1E8" w14:textId="77777777" w:rsidR="00CA23FA" w:rsidRPr="001663AE" w:rsidRDefault="00CA23FA" w:rsidP="00FB75BE">
      <w:pPr>
        <w:pStyle w:val="3"/>
        <w:jc w:val="left"/>
      </w:pPr>
      <w:r w:rsidRPr="001663AE">
        <w:rPr>
          <w:rStyle w:val="af3"/>
          <w:rFonts w:ascii="新細明體" w:hAnsi="新細明體" w:cs="Arial"/>
        </w:rPr>
        <w:footnoteRef/>
      </w:r>
      <w:r w:rsidRPr="001663AE">
        <w:t xml:space="preserve"> It is therefore prohibited to attack, destroy, remove or render useless</w:t>
      </w:r>
      <w:r w:rsidRPr="001663AE">
        <w:t>。</w:t>
      </w:r>
    </w:p>
  </w:footnote>
  <w:footnote w:id="959">
    <w:p w14:paraId="49207A43" w14:textId="77777777" w:rsidR="00CA23FA" w:rsidRPr="001663AE" w:rsidRDefault="00CA23FA" w:rsidP="00FB75BE">
      <w:pPr>
        <w:pStyle w:val="3"/>
        <w:jc w:val="left"/>
      </w:pPr>
      <w:r w:rsidRPr="001663AE">
        <w:rPr>
          <w:rStyle w:val="af3"/>
          <w:rFonts w:ascii="新細明體" w:hAnsi="新細明體"/>
        </w:rPr>
        <w:footnoteRef/>
      </w:r>
      <w:r w:rsidRPr="001663AE">
        <w:t xml:space="preserve"> Without prejudice to the provisions of The Hague Convention for the Protection of Cultural Property in the Event of Armed Conflict of 14 May 1954</w:t>
      </w:r>
      <w:r w:rsidRPr="001663AE">
        <w:rPr>
          <w:rFonts w:hint="eastAsia"/>
        </w:rPr>
        <w:t>。</w:t>
      </w:r>
    </w:p>
  </w:footnote>
  <w:footnote w:id="960">
    <w:p w14:paraId="7DFF3307" w14:textId="77777777" w:rsidR="00CA23FA" w:rsidRPr="001663AE" w:rsidRDefault="00CA23FA" w:rsidP="00D87D91">
      <w:pPr>
        <w:pStyle w:val="3"/>
      </w:pPr>
      <w:r w:rsidRPr="001663AE">
        <w:rPr>
          <w:rStyle w:val="af3"/>
          <w:rFonts w:ascii="新細明體" w:hAnsi="新細明體"/>
        </w:rPr>
        <w:footnoteRef/>
      </w:r>
      <w:r w:rsidRPr="001663AE">
        <w:t xml:space="preserve"> it is prohibited to commit any acts of hostility directed against historic monuments, works of art or places of worship which constitute the cultural or spiritual heritage of peoples, and to use them in support of the military effort</w:t>
      </w:r>
      <w:r w:rsidRPr="001663AE">
        <w:rPr>
          <w:rFonts w:hint="eastAsia"/>
        </w:rPr>
        <w:t>。</w:t>
      </w:r>
    </w:p>
  </w:footnote>
  <w:footnote w:id="961">
    <w:p w14:paraId="425599D1" w14:textId="77777777" w:rsidR="00CA23FA" w:rsidRPr="001663AE" w:rsidRDefault="00CA23FA" w:rsidP="00D87D91">
      <w:pPr>
        <w:pStyle w:val="3"/>
        <w:rPr>
          <w:rFonts w:cs="Arial"/>
        </w:rPr>
      </w:pPr>
      <w:r w:rsidRPr="001663AE">
        <w:rPr>
          <w:rStyle w:val="af3"/>
          <w:rFonts w:ascii="新細明體" w:hAnsi="新細明體" w:cs="Arial"/>
        </w:rPr>
        <w:footnoteRef/>
      </w:r>
      <w:r w:rsidRPr="001663AE">
        <w:rPr>
          <w:rFonts w:cs="Arial"/>
        </w:rPr>
        <w:t>國際刑事法院羅馬規約，</w:t>
      </w:r>
      <w:hyperlink r:id="rId273" w:history="1">
        <w:r w:rsidRPr="001663AE">
          <w:rPr>
            <w:rStyle w:val="a5"/>
            <w:rFonts w:cs="Arial"/>
          </w:rPr>
          <w:t>http://www.un.org/chinese/work/law/Roma1997.htm</w:t>
        </w:r>
      </w:hyperlink>
      <w:r>
        <w:rPr>
          <w:rFonts w:cs="Arial"/>
        </w:rPr>
        <w:t>(</w:t>
      </w:r>
      <w:r w:rsidRPr="001663AE">
        <w:rPr>
          <w:rFonts w:cs="Arial"/>
        </w:rPr>
        <w:t>2006.07.22)</w:t>
      </w:r>
      <w:r w:rsidRPr="001663AE">
        <w:rPr>
          <w:rFonts w:cs="Arial"/>
        </w:rPr>
        <w:t>。</w:t>
      </w:r>
      <w:r w:rsidRPr="001663AE">
        <w:rPr>
          <w:kern w:val="0"/>
        </w:rPr>
        <w:t>genocide" means any of the following acts committed with intent to destroy, in whole or in part, a national, ethnical, racial or religious group</w:t>
      </w:r>
      <w:r w:rsidRPr="001663AE">
        <w:rPr>
          <w:rFonts w:hint="eastAsia"/>
          <w:kern w:val="0"/>
        </w:rPr>
        <w:t>。</w:t>
      </w:r>
    </w:p>
  </w:footnote>
  <w:footnote w:id="962">
    <w:p w14:paraId="68FAAD95" w14:textId="77777777" w:rsidR="00CA23FA" w:rsidRPr="001663AE" w:rsidRDefault="00CA23FA" w:rsidP="00D87D91">
      <w:pPr>
        <w:pStyle w:val="3"/>
      </w:pPr>
      <w:r w:rsidRPr="001663AE">
        <w:rPr>
          <w:rStyle w:val="af3"/>
          <w:rFonts w:ascii="新細明體" w:hAnsi="新細明體" w:cs="Arial"/>
        </w:rPr>
        <w:footnoteRef/>
      </w:r>
      <w:r w:rsidRPr="001663AE">
        <w:t xml:space="preserve"> Deliberately inflicting on the group conditions of life calculated to bring about its physical destruction in whole or in part</w:t>
      </w:r>
      <w:r w:rsidRPr="001663AE">
        <w:t>。</w:t>
      </w:r>
    </w:p>
  </w:footnote>
  <w:footnote w:id="963">
    <w:p w14:paraId="73E211FB" w14:textId="77777777" w:rsidR="00CA23FA" w:rsidRPr="001663AE" w:rsidRDefault="00CA23FA" w:rsidP="00D87D91">
      <w:pPr>
        <w:pStyle w:val="3"/>
      </w:pPr>
      <w:r w:rsidRPr="001663AE">
        <w:rPr>
          <w:rStyle w:val="af3"/>
          <w:rFonts w:ascii="新細明體" w:hAnsi="新細明體" w:cs="Arial"/>
        </w:rPr>
        <w:footnoteRef/>
      </w:r>
      <w:r w:rsidRPr="001663AE">
        <w:t xml:space="preserve"> "crime against humanity" means any of the following acts when committed as part of a widespread or systematic attack directed against any civilian population, with knowledge of the attack</w:t>
      </w:r>
      <w:r w:rsidRPr="001663AE">
        <w:t>。</w:t>
      </w:r>
    </w:p>
  </w:footnote>
  <w:footnote w:id="964">
    <w:p w14:paraId="42D8B6C1" w14:textId="77777777" w:rsidR="00CA23FA" w:rsidRPr="001663AE" w:rsidRDefault="00CA23FA" w:rsidP="00D87D91">
      <w:pPr>
        <w:pStyle w:val="3"/>
      </w:pPr>
      <w:r w:rsidRPr="001663AE">
        <w:rPr>
          <w:rStyle w:val="af3"/>
          <w:rFonts w:ascii="新細明體" w:hAnsi="新細明體" w:cs="Arial"/>
        </w:rPr>
        <w:footnoteRef/>
      </w:r>
      <w:r w:rsidRPr="001663AE">
        <w:t>國際刑事法院羅馬規約，</w:t>
      </w:r>
      <w:hyperlink r:id="rId274" w:history="1">
        <w:r w:rsidRPr="001663AE">
          <w:rPr>
            <w:rStyle w:val="a5"/>
            <w:rFonts w:cs="Arial"/>
          </w:rPr>
          <w:t>http://www.un.org/chinese/work/law/Roma1997.htm</w:t>
        </w:r>
      </w:hyperlink>
      <w:r w:rsidRPr="001663AE">
        <w:t xml:space="preserve">(2006.07.22) </w:t>
      </w:r>
      <w:r w:rsidRPr="001663AE">
        <w:t>。</w:t>
      </w:r>
    </w:p>
  </w:footnote>
  <w:footnote w:id="965">
    <w:p w14:paraId="0EE7EB99" w14:textId="77777777" w:rsidR="00CA23FA" w:rsidRPr="001663AE" w:rsidRDefault="00CA23FA" w:rsidP="00D87D91">
      <w:pPr>
        <w:pStyle w:val="3"/>
      </w:pPr>
      <w:r w:rsidRPr="001663AE">
        <w:rPr>
          <w:rStyle w:val="af3"/>
          <w:rFonts w:ascii="新細明體" w:hAnsi="新細明體" w:cs="Arial"/>
        </w:rPr>
        <w:footnoteRef/>
      </w:r>
      <w:r w:rsidRPr="001663AE">
        <w:t xml:space="preserve"> Imprisonment or other severe deprivation of physical liberty in violation of fundamental rules of international law</w:t>
      </w:r>
      <w:r w:rsidRPr="001663AE">
        <w:t>。</w:t>
      </w:r>
    </w:p>
  </w:footnote>
  <w:footnote w:id="966">
    <w:p w14:paraId="72460C1E" w14:textId="77777777" w:rsidR="00CA23FA" w:rsidRPr="001663AE" w:rsidRDefault="00CA23FA" w:rsidP="00D87D91">
      <w:pPr>
        <w:pStyle w:val="3"/>
      </w:pPr>
      <w:r w:rsidRPr="001663AE">
        <w:rPr>
          <w:rStyle w:val="af3"/>
          <w:rFonts w:ascii="新細明體" w:hAnsi="新細明體"/>
        </w:rPr>
        <w:footnoteRef/>
      </w:r>
      <w:r w:rsidRPr="001663AE">
        <w:t xml:space="preserve"> Rape, sexual slavery, enforced prostitution, forced pregnancy, enforced sterilization, or any other form of sexual violence of comparable gravity</w:t>
      </w:r>
      <w:r w:rsidRPr="001663AE">
        <w:rPr>
          <w:rFonts w:hint="eastAsia"/>
        </w:rPr>
        <w:t>。</w:t>
      </w:r>
    </w:p>
  </w:footnote>
  <w:footnote w:id="967">
    <w:p w14:paraId="044BDC4E" w14:textId="77777777" w:rsidR="00CA23FA" w:rsidRPr="001663AE" w:rsidRDefault="00CA23FA" w:rsidP="00D87D91">
      <w:pPr>
        <w:pStyle w:val="3"/>
      </w:pPr>
      <w:r w:rsidRPr="001663AE">
        <w:rPr>
          <w:rStyle w:val="af3"/>
          <w:rFonts w:ascii="新細明體" w:hAnsi="新細明體" w:cs="Arial"/>
        </w:rPr>
        <w:footnoteRef/>
      </w:r>
      <w:r w:rsidRPr="001663AE">
        <w:t xml:space="preserve"> Persecution against any identifiable group or collectivity on political, racial, national, ethnic, cultural, religious, gender as defined in paragraph 3, or other grounds that are universally recognized as impermissible under international law</w:t>
      </w:r>
      <w:r w:rsidRPr="001663AE">
        <w:t>。</w:t>
      </w:r>
    </w:p>
  </w:footnote>
  <w:footnote w:id="968">
    <w:p w14:paraId="6D4F441F" w14:textId="77777777" w:rsidR="00CA23FA" w:rsidRPr="001663AE" w:rsidRDefault="00CA23FA" w:rsidP="00D87D91">
      <w:pPr>
        <w:pStyle w:val="3"/>
      </w:pPr>
      <w:r w:rsidRPr="001663AE">
        <w:rPr>
          <w:rStyle w:val="af3"/>
          <w:rFonts w:ascii="新細明體" w:hAnsi="新細明體"/>
        </w:rPr>
        <w:footnoteRef/>
      </w:r>
      <w:r w:rsidRPr="001663AE">
        <w:t xml:space="preserve"> in connection with any act referred to in this paragraph or any crime within the jurisdiction of the Court</w:t>
      </w:r>
      <w:r w:rsidRPr="001663AE">
        <w:rPr>
          <w:rFonts w:hint="eastAsia"/>
        </w:rPr>
        <w:t>。</w:t>
      </w:r>
    </w:p>
  </w:footnote>
  <w:footnote w:id="969">
    <w:p w14:paraId="14F5446A" w14:textId="77777777" w:rsidR="00CA23FA" w:rsidRPr="001663AE" w:rsidRDefault="00CA23FA" w:rsidP="00D87D91">
      <w:pPr>
        <w:pStyle w:val="3"/>
      </w:pPr>
      <w:r w:rsidRPr="001663AE">
        <w:rPr>
          <w:rStyle w:val="af3"/>
          <w:rFonts w:ascii="新細明體" w:hAnsi="新細明體"/>
        </w:rPr>
        <w:footnoteRef/>
      </w:r>
      <w:r w:rsidRPr="001663AE">
        <w:t xml:space="preserve"> Other inhumane acts of a similar character intentionally causing great suffering, or serious injury to body or to mental or physical health</w:t>
      </w:r>
      <w:r w:rsidRPr="001663AE">
        <w:rPr>
          <w:rFonts w:hint="eastAsia"/>
        </w:rPr>
        <w:t>。</w:t>
      </w:r>
    </w:p>
  </w:footnote>
  <w:footnote w:id="970">
    <w:p w14:paraId="204E4065" w14:textId="77777777" w:rsidR="00CA23FA" w:rsidRPr="001663AE" w:rsidRDefault="00CA23FA" w:rsidP="00D87D91">
      <w:pPr>
        <w:pStyle w:val="3"/>
      </w:pPr>
      <w:r w:rsidRPr="001663AE">
        <w:rPr>
          <w:rStyle w:val="af3"/>
          <w:rFonts w:ascii="新細明體" w:hAnsi="新細明體" w:cs="Arial"/>
        </w:rPr>
        <w:footnoteRef/>
      </w:r>
      <w:r w:rsidRPr="001663AE">
        <w:t xml:space="preserve"> Other serious violations of the laws and customs applicable in armed conflicts not of an international character</w:t>
      </w:r>
      <w:r w:rsidRPr="001663AE">
        <w:t>。</w:t>
      </w:r>
    </w:p>
  </w:footnote>
  <w:footnote w:id="971">
    <w:p w14:paraId="75092AC5" w14:textId="77777777" w:rsidR="00CA23FA" w:rsidRPr="001663AE" w:rsidRDefault="00CA23FA" w:rsidP="00D87D91">
      <w:pPr>
        <w:pStyle w:val="3"/>
      </w:pPr>
      <w:r w:rsidRPr="001663AE">
        <w:rPr>
          <w:rStyle w:val="af3"/>
          <w:rFonts w:ascii="新細明體" w:hAnsi="新細明體" w:cs="Arial"/>
        </w:rPr>
        <w:footnoteRef/>
      </w:r>
      <w:r w:rsidRPr="001663AE">
        <w:t>國際刑事法院羅馬規約，</w:t>
      </w:r>
      <w:hyperlink r:id="rId275" w:history="1">
        <w:r w:rsidRPr="001663AE">
          <w:rPr>
            <w:rStyle w:val="a5"/>
            <w:rFonts w:cs="Arial"/>
          </w:rPr>
          <w:t>http://www.un.org/chinese/work/law/Roma1997.htm</w:t>
        </w:r>
      </w:hyperlink>
      <w:r>
        <w:t>(</w:t>
      </w:r>
      <w:r w:rsidRPr="001663AE">
        <w:t>2006.07.22)</w:t>
      </w:r>
      <w:r w:rsidRPr="001663AE">
        <w:t>。</w:t>
      </w:r>
    </w:p>
  </w:footnote>
  <w:footnote w:id="972">
    <w:p w14:paraId="7BBABDBA" w14:textId="77777777" w:rsidR="00CA23FA" w:rsidRPr="001663AE" w:rsidRDefault="00CA23FA" w:rsidP="00D87D91">
      <w:pPr>
        <w:pStyle w:val="3"/>
      </w:pPr>
      <w:r w:rsidRPr="001663AE">
        <w:rPr>
          <w:rStyle w:val="af3"/>
          <w:rFonts w:ascii="新細明體" w:hAnsi="新細明體"/>
        </w:rPr>
        <w:footnoteRef/>
      </w:r>
      <w:r w:rsidRPr="001663AE">
        <w:t xml:space="preserve"> Intentionally directing attacks against the civilian population as such or against individual civilians not taking direct part in hostilities</w:t>
      </w:r>
      <w:r w:rsidRPr="001663AE">
        <w:rPr>
          <w:rFonts w:hint="eastAsia"/>
        </w:rPr>
        <w:t>。</w:t>
      </w:r>
    </w:p>
  </w:footnote>
  <w:footnote w:id="973">
    <w:p w14:paraId="460D73A5" w14:textId="77777777" w:rsidR="00CA23FA" w:rsidRPr="001663AE" w:rsidRDefault="00CA23FA" w:rsidP="00D87D91">
      <w:pPr>
        <w:pStyle w:val="3"/>
      </w:pPr>
      <w:r w:rsidRPr="001663AE">
        <w:rPr>
          <w:rStyle w:val="af3"/>
          <w:rFonts w:ascii="新細明體" w:hAnsi="新細明體"/>
        </w:rPr>
        <w:footnoteRef/>
      </w:r>
      <w:r w:rsidRPr="001663AE">
        <w:t xml:space="preserve"> Intentionally directing attacks against buildings, material, medical units and transport, and personnel using the distinctive emblems of the Geneva Conventions in conformity with international law</w:t>
      </w:r>
      <w:r w:rsidRPr="001663AE">
        <w:rPr>
          <w:rFonts w:hint="eastAsia"/>
        </w:rPr>
        <w:t>。</w:t>
      </w:r>
    </w:p>
  </w:footnote>
  <w:footnote w:id="974">
    <w:p w14:paraId="0D1A4A26" w14:textId="77777777" w:rsidR="00CA23FA" w:rsidRPr="001663AE" w:rsidRDefault="00CA23FA" w:rsidP="00D87D91">
      <w:pPr>
        <w:pStyle w:val="3"/>
      </w:pPr>
      <w:r w:rsidRPr="001663AE">
        <w:rPr>
          <w:rStyle w:val="af3"/>
          <w:rFonts w:ascii="新細明體" w:hAnsi="新細明體"/>
        </w:rPr>
        <w:footnoteRef/>
      </w:r>
      <w:r w:rsidRPr="001663AE">
        <w:t xml:space="preserve"> Intentionally directing attacks against personnel, installations, material, units or vehicles involved in a humanitarian assistance or peacekeeping mission in accordance with the Charter of the United Nations, as long as they are entitled to the protection given to civilians or civilian objects under the international law of armed conflict</w:t>
      </w:r>
      <w:r w:rsidRPr="001663AE">
        <w:rPr>
          <w:rFonts w:hint="eastAsia"/>
        </w:rPr>
        <w:t>。</w:t>
      </w:r>
    </w:p>
  </w:footnote>
  <w:footnote w:id="975">
    <w:p w14:paraId="449B590A" w14:textId="77777777" w:rsidR="00CA23FA" w:rsidRPr="001663AE" w:rsidRDefault="00CA23FA" w:rsidP="00D87D91">
      <w:pPr>
        <w:pStyle w:val="3"/>
      </w:pPr>
      <w:r w:rsidRPr="001663AE">
        <w:rPr>
          <w:rStyle w:val="af3"/>
          <w:rFonts w:ascii="新細明體" w:hAnsi="新細明體"/>
        </w:rPr>
        <w:footnoteRef/>
      </w:r>
      <w:r w:rsidRPr="001663AE">
        <w:t xml:space="preserve"> Intentionally directing attacks against buildings dedicated to religion, education, art, science or charitable purposes, historic monuments, hospitals and places where the sick and wounded are collected, provided they are not military objectives</w:t>
      </w:r>
      <w:r w:rsidRPr="001663AE">
        <w:rPr>
          <w:rFonts w:hint="eastAsia"/>
        </w:rPr>
        <w:t>。</w:t>
      </w:r>
    </w:p>
  </w:footnote>
  <w:footnote w:id="976">
    <w:p w14:paraId="16B3A82E" w14:textId="77777777" w:rsidR="00CA23FA" w:rsidRPr="001663AE" w:rsidRDefault="00CA23FA" w:rsidP="00D87D91">
      <w:pPr>
        <w:pStyle w:val="3"/>
      </w:pPr>
      <w:r w:rsidRPr="001663AE">
        <w:rPr>
          <w:rStyle w:val="af3"/>
          <w:rFonts w:ascii="新細明體" w:hAnsi="新細明體" w:cs="Arial"/>
        </w:rPr>
        <w:footnoteRef/>
      </w:r>
      <w:r w:rsidRPr="001663AE">
        <w:t xml:space="preserve"> Committing rape, sexual slavery, enforced prostitution, forced pregnancy, as defined in article 7, paragraph 2</w:t>
      </w:r>
      <w:r>
        <w:t>(</w:t>
      </w:r>
      <w:r w:rsidRPr="001663AE">
        <w:t>f), enforced sterilization, and any other form of sexual violence also constituting a serious violation of article 3 common to the four Geneva Conventions</w:t>
      </w:r>
      <w:r w:rsidRPr="001663AE">
        <w:t>。</w:t>
      </w:r>
    </w:p>
  </w:footnote>
  <w:footnote w:id="977">
    <w:p w14:paraId="0547B47F" w14:textId="77777777" w:rsidR="00CA23FA" w:rsidRPr="001663AE" w:rsidRDefault="00CA23FA" w:rsidP="00D87D91">
      <w:pPr>
        <w:pStyle w:val="3"/>
      </w:pPr>
      <w:r w:rsidRPr="001663AE">
        <w:rPr>
          <w:rStyle w:val="af3"/>
          <w:rFonts w:ascii="新細明體" w:hAnsi="新細明體" w:cs="Arial"/>
        </w:rPr>
        <w:footnoteRef/>
      </w:r>
      <w:r w:rsidRPr="001663AE">
        <w:t xml:space="preserve"> Conscripting or enlisting children under the age of fifteen years into armed forces or groups or using them to participate actively in hostilities</w:t>
      </w:r>
      <w:r w:rsidRPr="001663AE">
        <w:t>。</w:t>
      </w:r>
    </w:p>
  </w:footnote>
  <w:footnote w:id="978">
    <w:p w14:paraId="2AE42010" w14:textId="77777777" w:rsidR="00CA23FA" w:rsidRPr="001663AE" w:rsidRDefault="00CA23FA" w:rsidP="00D87D91">
      <w:pPr>
        <w:pStyle w:val="3"/>
      </w:pPr>
      <w:r w:rsidRPr="001663AE">
        <w:rPr>
          <w:rStyle w:val="af3"/>
          <w:rFonts w:ascii="新細明體" w:hAnsi="新細明體"/>
        </w:rPr>
        <w:footnoteRef/>
      </w:r>
      <w:r w:rsidRPr="001663AE">
        <w:t xml:space="preserve"> Ordering the displacement of the civilian population for reasons related to the conflict, unless the security of the civilians involved or imperative military reasons so demand</w:t>
      </w:r>
      <w:r w:rsidRPr="001663AE">
        <w:rPr>
          <w:rFonts w:hint="eastAsia"/>
        </w:rPr>
        <w:t>。</w:t>
      </w:r>
    </w:p>
  </w:footnote>
  <w:footnote w:id="979">
    <w:p w14:paraId="0CAEDAEF" w14:textId="77777777" w:rsidR="00CA23FA" w:rsidRPr="001663AE" w:rsidRDefault="00CA23FA" w:rsidP="00D87D91">
      <w:pPr>
        <w:pStyle w:val="3"/>
      </w:pPr>
      <w:r w:rsidRPr="001663AE">
        <w:rPr>
          <w:rStyle w:val="af3"/>
          <w:rFonts w:ascii="新細明體" w:hAnsi="新細明體" w:cs="Arial"/>
        </w:rPr>
        <w:footnoteRef/>
      </w:r>
      <w:r w:rsidRPr="001663AE">
        <w:t xml:space="preserve"> Treacherously</w:t>
      </w:r>
      <w:r w:rsidRPr="001663AE">
        <w:t>表示：背信棄義地、背叛地。</w:t>
      </w:r>
    </w:p>
  </w:footnote>
  <w:footnote w:id="980">
    <w:p w14:paraId="2B11C37D" w14:textId="77777777" w:rsidR="00CA23FA" w:rsidRPr="001663AE" w:rsidRDefault="00CA23FA" w:rsidP="00D87D91">
      <w:pPr>
        <w:pStyle w:val="3"/>
      </w:pPr>
      <w:r w:rsidRPr="001663AE">
        <w:rPr>
          <w:rStyle w:val="af3"/>
          <w:rFonts w:ascii="新細明體" w:hAnsi="新細明體" w:cs="Arial"/>
        </w:rPr>
        <w:footnoteRef/>
      </w:r>
      <w:r w:rsidRPr="001663AE">
        <w:t xml:space="preserve"> Subjecting persons who are in the power of another party to the conflict to physical mutilation or to medical or scientific experiments of any kind which are neither justified by the medical, dental or hospital treatment of the person concerned nor carried out in his or her interest, and which cause death to or seriously endanger the health of such person or persons</w:t>
      </w:r>
      <w:r w:rsidRPr="001663AE">
        <w:t>。</w:t>
      </w:r>
    </w:p>
  </w:footnote>
  <w:footnote w:id="981">
    <w:p w14:paraId="638562E2" w14:textId="77777777" w:rsidR="00CA23FA" w:rsidRPr="001663AE" w:rsidRDefault="00CA23FA" w:rsidP="00D87D91">
      <w:pPr>
        <w:pStyle w:val="3"/>
      </w:pPr>
      <w:r w:rsidRPr="001663AE">
        <w:rPr>
          <w:rStyle w:val="af3"/>
          <w:rFonts w:ascii="新細明體" w:hAnsi="新細明體"/>
        </w:rPr>
        <w:footnoteRef/>
      </w:r>
      <w:r>
        <w:t>(</w:t>
      </w:r>
      <w:r w:rsidRPr="001663AE">
        <w:t>unless such destruction or seizure be imperatively demanded by the necessities of the conflict</w:t>
      </w:r>
      <w:r w:rsidRPr="001663AE">
        <w:rPr>
          <w:rFonts w:hint="eastAsia"/>
        </w:rPr>
        <w:t>。</w:t>
      </w:r>
    </w:p>
  </w:footnote>
  <w:footnote w:id="982">
    <w:p w14:paraId="0F2F5517" w14:textId="77777777" w:rsidR="00CA23FA" w:rsidRPr="00DF3454" w:rsidRDefault="00CA23FA" w:rsidP="00FB75BE">
      <w:pPr>
        <w:pStyle w:val="3"/>
        <w:jc w:val="left"/>
        <w:rPr>
          <w:rFonts w:ascii="新細明體" w:hAnsi="新細明體" w:cs="Arial"/>
        </w:rPr>
      </w:pPr>
      <w:r w:rsidRPr="001663AE">
        <w:rPr>
          <w:rStyle w:val="af3"/>
          <w:rFonts w:ascii="新細明體" w:hAnsi="新細明體" w:cs="Arial"/>
        </w:rPr>
        <w:footnoteRef/>
      </w:r>
      <w:r w:rsidRPr="001663AE">
        <w:rPr>
          <w:rFonts w:ascii="新細明體" w:hAnsi="新細明體" w:cs="Arial"/>
        </w:rPr>
        <w:t xml:space="preserve"> </w:t>
      </w:r>
      <w:hyperlink r:id="rId276" w:history="1">
        <w:r w:rsidRPr="001663AE">
          <w:rPr>
            <w:rStyle w:val="a5"/>
            <w:rFonts w:cs="Arial"/>
          </w:rPr>
          <w:t>http://www.npc.gov.cn/cwh/common/zw.jsp?label=WXZLK&amp;id=338173&amp;pdmc=fywj</w:t>
        </w:r>
      </w:hyperlink>
      <w:r w:rsidRPr="001663AE">
        <w:rPr>
          <w:rFonts w:ascii="新細明體" w:hAnsi="新細明體" w:cs="Arial"/>
        </w:rPr>
        <w:t>。</w:t>
      </w:r>
      <w:r w:rsidRPr="001663AE">
        <w:rPr>
          <w:rFonts w:ascii="新細明體" w:hAnsi="新細明體" w:cs="Arial"/>
          <w:kern w:val="0"/>
        </w:rPr>
        <w:t>禁止為軍事或任何其他敵對目的使用改變環境的技術的公約之全文，請</w:t>
      </w:r>
      <w:r w:rsidRPr="00DF3454">
        <w:rPr>
          <w:rFonts w:ascii="新細明體" w:hAnsi="新細明體" w:cs="Arial"/>
          <w:kern w:val="0"/>
        </w:rPr>
        <w:t>參閱</w:t>
      </w:r>
      <w:r w:rsidRPr="00DF3454">
        <w:rPr>
          <w:rFonts w:ascii="新細明體" w:hAnsi="新細明體" w:cs="Arial"/>
          <w:b/>
          <w:kern w:val="0"/>
        </w:rPr>
        <w:t>：</w:t>
      </w:r>
      <w:r w:rsidRPr="00DF3454">
        <w:rPr>
          <w:rStyle w:val="bigtitle1"/>
          <w:rFonts w:ascii="新細明體" w:hAnsi="新細明體" w:cs="Arial"/>
          <w:b w:val="0"/>
          <w:color w:val="808000"/>
        </w:rPr>
        <w:t>聯合國裁軍事務部，</w:t>
      </w:r>
      <w:hyperlink r:id="rId277" w:history="1">
        <w:r w:rsidRPr="00DF3454">
          <w:rPr>
            <w:rStyle w:val="a5"/>
            <w:rFonts w:cs="Arial"/>
            <w:bCs w:val="0"/>
            <w:kern w:val="0"/>
          </w:rPr>
          <w:t>http://www.un.org/chinese/peace/disarmament/t8.htm</w:t>
        </w:r>
      </w:hyperlink>
      <w:r w:rsidRPr="00DF3454">
        <w:rPr>
          <w:rFonts w:ascii="新細明體" w:hAnsi="新細明體" w:cs="Arial"/>
        </w:rPr>
        <w:t>(2006.07.22)</w:t>
      </w:r>
      <w:r w:rsidRPr="00DF3454">
        <w:rPr>
          <w:rFonts w:ascii="新細明體" w:hAnsi="新細明體" w:cs="Arial"/>
          <w:kern w:val="0"/>
        </w:rPr>
        <w:t>。</w:t>
      </w:r>
    </w:p>
  </w:footnote>
  <w:footnote w:id="983">
    <w:p w14:paraId="25E016CB" w14:textId="77777777" w:rsidR="00CA23FA" w:rsidRPr="001663AE" w:rsidRDefault="00CA23FA" w:rsidP="00FB75BE">
      <w:pPr>
        <w:pStyle w:val="3"/>
        <w:jc w:val="left"/>
      </w:pPr>
      <w:r w:rsidRPr="00DF3454">
        <w:rPr>
          <w:rStyle w:val="af3"/>
          <w:rFonts w:ascii="新細明體" w:hAnsi="新細明體" w:cs="Arial"/>
        </w:rPr>
        <w:footnoteRef/>
      </w:r>
      <w:r w:rsidRPr="00DF3454">
        <w:rPr>
          <w:kern w:val="0"/>
        </w:rPr>
        <w:t>禁止為軍事或任何其他敵對目的使用改變環境的技術的公約</w:t>
      </w:r>
      <w:r w:rsidRPr="00DF3454">
        <w:rPr>
          <w:b/>
          <w:kern w:val="0"/>
        </w:rPr>
        <w:t>，</w:t>
      </w:r>
      <w:r w:rsidRPr="00DF3454">
        <w:rPr>
          <w:rStyle w:val="bigtitle1"/>
          <w:rFonts w:ascii="新細明體" w:hAnsi="新細明體" w:cs="Arial"/>
          <w:b w:val="0"/>
          <w:color w:val="808000"/>
        </w:rPr>
        <w:t>聯合國裁軍事務部，</w:t>
      </w:r>
      <w:hyperlink r:id="rId278" w:history="1">
        <w:r w:rsidRPr="001663AE">
          <w:rPr>
            <w:rStyle w:val="a5"/>
            <w:rFonts w:cs="Arial"/>
            <w:bCs w:val="0"/>
            <w:kern w:val="0"/>
          </w:rPr>
          <w:t>http://www.un.org/chinese/peace/disarmament/t8.htm</w:t>
        </w:r>
      </w:hyperlink>
      <w:r w:rsidRPr="001663AE">
        <w:t>(2006.07.22)</w:t>
      </w:r>
      <w:r w:rsidRPr="001663AE">
        <w:rPr>
          <w:kern w:val="0"/>
        </w:rPr>
        <w:t>。</w:t>
      </w:r>
    </w:p>
  </w:footnote>
  <w:footnote w:id="984">
    <w:p w14:paraId="20D72F82" w14:textId="77777777" w:rsidR="00CA23FA" w:rsidRPr="001663AE" w:rsidRDefault="00CA23FA" w:rsidP="00FB75BE">
      <w:pPr>
        <w:pStyle w:val="3"/>
        <w:jc w:val="left"/>
      </w:pPr>
      <w:r w:rsidRPr="001663AE">
        <w:rPr>
          <w:rStyle w:val="af3"/>
          <w:rFonts w:ascii="新細明體" w:hAnsi="新細明體" w:cs="Arial"/>
        </w:rPr>
        <w:footnoteRef/>
      </w:r>
      <w:r w:rsidRPr="001663AE">
        <w:t xml:space="preserve"> </w:t>
      </w:r>
      <w:r w:rsidRPr="001663AE">
        <w:rPr>
          <w:rFonts w:hint="eastAsia"/>
        </w:rPr>
        <w:t>台灣諸多之</w:t>
      </w:r>
      <w:r w:rsidRPr="001663AE">
        <w:t>小動物</w:t>
      </w:r>
      <w:r w:rsidRPr="001663AE">
        <w:rPr>
          <w:rFonts w:hint="eastAsia"/>
        </w:rPr>
        <w:t>，</w:t>
      </w:r>
      <w:r w:rsidRPr="001663AE">
        <w:t>是否有生命權？本文持肯定之見解，亦即，肯定小動物是有生命權。假若將台灣自然環境中的小動物之生命權亦列入考量，則</w:t>
      </w:r>
      <w:r w:rsidRPr="001663AE">
        <w:rPr>
          <w:kern w:val="0"/>
        </w:rPr>
        <w:t>因</w:t>
      </w:r>
      <w:r w:rsidRPr="001663AE">
        <w:t>中國對台灣進行核彈軍事攻擊，造成台灣自然環境的重大破壞</w:t>
      </w:r>
      <w:r w:rsidRPr="001663AE">
        <w:rPr>
          <w:rFonts w:hint="eastAsia"/>
        </w:rPr>
        <w:t>，</w:t>
      </w:r>
      <w:r w:rsidRPr="001663AE">
        <w:t>台灣</w:t>
      </w:r>
      <w:r w:rsidRPr="001663AE">
        <w:rPr>
          <w:rFonts w:hint="eastAsia"/>
        </w:rPr>
        <w:t>所付出之民眾及動物</w:t>
      </w:r>
      <w:r w:rsidRPr="001663AE">
        <w:t>生命成本，死傷之生命數量，則是</w:t>
      </w:r>
      <w:r w:rsidRPr="001663AE">
        <w:rPr>
          <w:rFonts w:hint="eastAsia"/>
        </w:rPr>
        <w:t>高達無法計數，</w:t>
      </w:r>
      <w:r w:rsidRPr="001663AE">
        <w:t>傷亡相當慘重。</w:t>
      </w:r>
    </w:p>
  </w:footnote>
  <w:footnote w:id="985">
    <w:p w14:paraId="7A4645D2" w14:textId="77777777" w:rsidR="00CA23FA" w:rsidRPr="001663AE" w:rsidRDefault="00CA23FA" w:rsidP="00FB75BE">
      <w:pPr>
        <w:pStyle w:val="3"/>
        <w:jc w:val="left"/>
      </w:pPr>
      <w:r w:rsidRPr="001663AE">
        <w:rPr>
          <w:rStyle w:val="af3"/>
          <w:rFonts w:ascii="新細明體" w:hAnsi="新細明體" w:cs="Arial"/>
        </w:rPr>
        <w:footnoteRef/>
      </w:r>
      <w:r w:rsidRPr="001663AE">
        <w:t>安南縱談核不擴散問題，</w:t>
      </w:r>
      <w:r w:rsidRPr="001663AE">
        <w:t>2006</w:t>
      </w:r>
      <w:r w:rsidRPr="001663AE">
        <w:t>年</w:t>
      </w:r>
      <w:r w:rsidRPr="001663AE">
        <w:t>6</w:t>
      </w:r>
      <w:r w:rsidRPr="001663AE">
        <w:t>月</w:t>
      </w:r>
      <w:r w:rsidRPr="001663AE">
        <w:t>21</w:t>
      </w:r>
      <w:r w:rsidRPr="001663AE">
        <w:t>日，</w:t>
      </w:r>
      <w:hyperlink r:id="rId279" w:history="1">
        <w:r w:rsidRPr="001663AE">
          <w:rPr>
            <w:rStyle w:val="a5"/>
            <w:rFonts w:cs="Arial"/>
          </w:rPr>
          <w:t>http://www.un.org/chinese/radio/story.asp?NewsID=1438</w:t>
        </w:r>
      </w:hyperlink>
      <w:r w:rsidRPr="001663AE">
        <w:t>(2006.07.22)</w:t>
      </w:r>
      <w:r w:rsidRPr="001663AE">
        <w:t>。</w:t>
      </w:r>
    </w:p>
  </w:footnote>
  <w:footnote w:id="986">
    <w:p w14:paraId="74F180F2" w14:textId="77777777" w:rsidR="00CA23FA" w:rsidRPr="001663AE" w:rsidRDefault="00CA23FA" w:rsidP="00FB75BE">
      <w:pPr>
        <w:pStyle w:val="3"/>
        <w:jc w:val="left"/>
      </w:pPr>
      <w:r w:rsidRPr="001663AE">
        <w:rPr>
          <w:rStyle w:val="af3"/>
          <w:rFonts w:ascii="新細明體" w:hAnsi="新細明體" w:cs="Arial"/>
        </w:rPr>
        <w:footnoteRef/>
      </w:r>
      <w:r w:rsidRPr="001663AE">
        <w:t>安南縱談核不擴散問題，</w:t>
      </w:r>
      <w:r w:rsidRPr="001663AE">
        <w:t>2006</w:t>
      </w:r>
      <w:r w:rsidRPr="001663AE">
        <w:t>年</w:t>
      </w:r>
      <w:r w:rsidRPr="001663AE">
        <w:t>6</w:t>
      </w:r>
      <w:r w:rsidRPr="001663AE">
        <w:t>月</w:t>
      </w:r>
      <w:r w:rsidRPr="001663AE">
        <w:t>21</w:t>
      </w:r>
      <w:r w:rsidRPr="001663AE">
        <w:t>日，</w:t>
      </w:r>
      <w:hyperlink r:id="rId280" w:history="1">
        <w:r w:rsidRPr="001663AE">
          <w:rPr>
            <w:rStyle w:val="a5"/>
            <w:rFonts w:cs="Arial"/>
          </w:rPr>
          <w:t>http://www.un.org/chinese/radio/story.asp?NewsID=1438</w:t>
        </w:r>
      </w:hyperlink>
      <w:r w:rsidRPr="001663AE">
        <w:t>(2006.07.22)</w:t>
      </w:r>
      <w:r w:rsidRPr="001663AE">
        <w:t>。</w:t>
      </w:r>
    </w:p>
  </w:footnote>
  <w:footnote w:id="987">
    <w:p w14:paraId="6FECC743" w14:textId="77777777" w:rsidR="00CA23FA" w:rsidRPr="001663AE" w:rsidRDefault="00CA23FA" w:rsidP="00FB75BE">
      <w:pPr>
        <w:pStyle w:val="3"/>
        <w:jc w:val="left"/>
      </w:pPr>
      <w:r w:rsidRPr="001663AE">
        <w:rPr>
          <w:rStyle w:val="af3"/>
          <w:rFonts w:ascii="新細明體" w:hAnsi="新細明體" w:cs="Arial"/>
        </w:rPr>
        <w:footnoteRef/>
      </w:r>
      <w:r w:rsidRPr="001663AE">
        <w:t>安南縱談核不擴散問題，</w:t>
      </w:r>
      <w:r w:rsidRPr="001663AE">
        <w:t>2006</w:t>
      </w:r>
      <w:r w:rsidRPr="001663AE">
        <w:t>年</w:t>
      </w:r>
      <w:r w:rsidRPr="001663AE">
        <w:t>6</w:t>
      </w:r>
      <w:r w:rsidRPr="001663AE">
        <w:t>月</w:t>
      </w:r>
      <w:r w:rsidRPr="001663AE">
        <w:t>21</w:t>
      </w:r>
      <w:r w:rsidRPr="001663AE">
        <w:t>日，</w:t>
      </w:r>
      <w:hyperlink r:id="rId281" w:history="1">
        <w:r w:rsidRPr="001663AE">
          <w:rPr>
            <w:rStyle w:val="a5"/>
            <w:rFonts w:cs="Arial"/>
          </w:rPr>
          <w:t>http://www.un.org/chinese/radio/story.asp?NewsID=1438</w:t>
        </w:r>
      </w:hyperlink>
      <w:r w:rsidRPr="001663AE">
        <w:t>。</w:t>
      </w:r>
    </w:p>
  </w:footnote>
  <w:footnote w:id="988">
    <w:p w14:paraId="69A53F36" w14:textId="77777777"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 xml:space="preserve"> </w:t>
      </w:r>
      <w:hyperlink r:id="rId282" w:history="1">
        <w:r w:rsidRPr="00E34FD1">
          <w:rPr>
            <w:rStyle w:val="a5"/>
            <w:rFonts w:cs="Arial"/>
            <w:sz w:val="18"/>
            <w:szCs w:val="18"/>
          </w:rPr>
          <w:t>http://www.un.org/chinese/peace/disarmament/nuclear.htm</w:t>
        </w:r>
      </w:hyperlink>
      <w:r w:rsidRPr="00E34FD1">
        <w:rPr>
          <w:szCs w:val="18"/>
        </w:rPr>
        <w:t>(2006.07.22)</w:t>
      </w:r>
      <w:r w:rsidRPr="00E34FD1">
        <w:rPr>
          <w:szCs w:val="18"/>
        </w:rPr>
        <w:t>。</w:t>
      </w:r>
    </w:p>
  </w:footnote>
  <w:footnote w:id="989">
    <w:p w14:paraId="0376EDC9" w14:textId="77777777"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 xml:space="preserve"> </w:t>
      </w:r>
      <w:hyperlink r:id="rId283" w:history="1">
        <w:r w:rsidRPr="00E34FD1">
          <w:rPr>
            <w:rStyle w:val="a5"/>
            <w:rFonts w:cs="Arial"/>
            <w:sz w:val="18"/>
            <w:szCs w:val="18"/>
          </w:rPr>
          <w:t>http://big5.china.com.cn/chinese/2001/Mar/25486.htm(2006.07.22</w:t>
        </w:r>
      </w:hyperlink>
      <w:r w:rsidRPr="00E34FD1">
        <w:rPr>
          <w:szCs w:val="18"/>
        </w:rPr>
        <w:t>)</w:t>
      </w:r>
      <w:r w:rsidRPr="00E34FD1">
        <w:rPr>
          <w:szCs w:val="18"/>
        </w:rPr>
        <w:t>。</w:t>
      </w:r>
    </w:p>
  </w:footnote>
  <w:footnote w:id="990">
    <w:p w14:paraId="048CF278" w14:textId="77777777"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 xml:space="preserve"> </w:t>
      </w:r>
      <w:hyperlink r:id="rId284" w:history="1">
        <w:r w:rsidRPr="00E34FD1">
          <w:rPr>
            <w:rStyle w:val="a5"/>
            <w:rFonts w:cs="Arial"/>
            <w:sz w:val="18"/>
            <w:szCs w:val="18"/>
          </w:rPr>
          <w:t>http://big5.china.com.cn/chinese/2001/Mar/25486.htm(2006.07.22</w:t>
        </w:r>
      </w:hyperlink>
      <w:r w:rsidRPr="00E34FD1">
        <w:rPr>
          <w:szCs w:val="18"/>
        </w:rPr>
        <w:t>)</w:t>
      </w:r>
      <w:r w:rsidRPr="00E34FD1">
        <w:rPr>
          <w:szCs w:val="18"/>
        </w:rPr>
        <w:t>。</w:t>
      </w:r>
    </w:p>
  </w:footnote>
  <w:footnote w:id="991">
    <w:p w14:paraId="2E3E8CC8" w14:textId="77777777"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全面禁止核子試驗條約，</w:t>
      </w:r>
      <w:hyperlink r:id="rId285" w:history="1">
        <w:r w:rsidRPr="00E34FD1">
          <w:rPr>
            <w:rStyle w:val="a5"/>
            <w:rFonts w:cs="Arial"/>
            <w:sz w:val="18"/>
            <w:szCs w:val="18"/>
          </w:rPr>
          <w:t>http://www.un.org/chinese/peace/disarmament/nuclear.htm</w:t>
        </w:r>
      </w:hyperlink>
      <w:r w:rsidRPr="00E34FD1">
        <w:rPr>
          <w:szCs w:val="18"/>
        </w:rPr>
        <w:t>(2006.07.22)</w:t>
      </w:r>
      <w:r w:rsidRPr="00E34FD1">
        <w:rPr>
          <w:szCs w:val="18"/>
        </w:rPr>
        <w:t>。</w:t>
      </w:r>
    </w:p>
  </w:footnote>
  <w:footnote w:id="992">
    <w:p w14:paraId="30ABAE6C" w14:textId="77777777"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美國之音中文網，中國希望全面禁止核子試驗條約儘早生效，</w:t>
      </w:r>
      <w:r w:rsidRPr="00E34FD1">
        <w:rPr>
          <w:szCs w:val="18"/>
        </w:rPr>
        <w:t>2003-09-04</w:t>
      </w:r>
      <w:r w:rsidRPr="00E34FD1">
        <w:rPr>
          <w:szCs w:val="18"/>
        </w:rPr>
        <w:t>，</w:t>
      </w:r>
      <w:r w:rsidRPr="00E34FD1">
        <w:rPr>
          <w:szCs w:val="18"/>
        </w:rPr>
        <w:t>www.voafanti.com/gate/big5/www.voanews.com/ chinese/archive/2003-09/a--8-1.cfm(2006.07.22)</w:t>
      </w:r>
      <w:r w:rsidRPr="00E34FD1">
        <w:rPr>
          <w:szCs w:val="18"/>
        </w:rPr>
        <w:t>。</w:t>
      </w:r>
    </w:p>
  </w:footnote>
  <w:footnote w:id="993">
    <w:p w14:paraId="454F2FF0" w14:textId="77777777" w:rsidR="00CA23FA" w:rsidRPr="00E34FD1" w:rsidRDefault="00CA23FA" w:rsidP="00D87D91">
      <w:pPr>
        <w:pStyle w:val="3"/>
        <w:rPr>
          <w:szCs w:val="18"/>
        </w:rPr>
      </w:pPr>
      <w:r w:rsidRPr="00E34FD1">
        <w:rPr>
          <w:rStyle w:val="af3"/>
          <w:rFonts w:ascii="新細明體" w:hAnsi="新細明體" w:cs="Arial"/>
          <w:b/>
          <w:sz w:val="18"/>
          <w:szCs w:val="18"/>
        </w:rPr>
        <w:footnoteRef/>
      </w:r>
      <w:r w:rsidRPr="00E34FD1">
        <w:rPr>
          <w:rStyle w:val="bigtitle1"/>
          <w:rFonts w:ascii="新細明體" w:hAnsi="新細明體" w:cs="Arial"/>
          <w:b w:val="0"/>
          <w:color w:val="808000"/>
        </w:rPr>
        <w:t>聯合國裁軍事務部，</w:t>
      </w:r>
      <w:hyperlink r:id="rId286" w:history="1">
        <w:r w:rsidRPr="00E34FD1">
          <w:rPr>
            <w:rStyle w:val="a5"/>
            <w:rFonts w:cs="Arial"/>
            <w:bCs w:val="0"/>
            <w:kern w:val="0"/>
            <w:sz w:val="18"/>
            <w:szCs w:val="18"/>
          </w:rPr>
          <w:t>http://www.un.org/chinese/peace/disarmament/t8.htm</w:t>
        </w:r>
      </w:hyperlink>
      <w:r w:rsidRPr="00E34FD1">
        <w:rPr>
          <w:szCs w:val="18"/>
        </w:rPr>
        <w:t>(2006.07.22)</w:t>
      </w:r>
      <w:r w:rsidRPr="00E34FD1">
        <w:rPr>
          <w:kern w:val="0"/>
          <w:szCs w:val="18"/>
        </w:rPr>
        <w:t>。</w:t>
      </w:r>
    </w:p>
  </w:footnote>
  <w:footnote w:id="994">
    <w:p w14:paraId="09EEE7B4" w14:textId="77777777"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 xml:space="preserve"> Each State Party undertakes not to carry out any nuclear weapon test explosion or any other nuclear explosion, and to prohibit and prevent any such nuclear explosion at any place under its jurisdiction or control</w:t>
      </w:r>
      <w:r w:rsidRPr="00E34FD1">
        <w:rPr>
          <w:szCs w:val="18"/>
        </w:rPr>
        <w:t>。</w:t>
      </w:r>
    </w:p>
  </w:footnote>
  <w:footnote w:id="995">
    <w:p w14:paraId="2D3B8BE1" w14:textId="77777777" w:rsidR="00CA23FA" w:rsidRPr="001663AE" w:rsidRDefault="00CA23FA" w:rsidP="00E34FD1">
      <w:pPr>
        <w:pStyle w:val="3"/>
        <w:jc w:val="left"/>
      </w:pPr>
      <w:r w:rsidRPr="001663AE">
        <w:rPr>
          <w:rStyle w:val="af3"/>
          <w:rFonts w:ascii="新細明體" w:hAnsi="新細明體" w:cs="Arial"/>
        </w:rPr>
        <w:footnoteRef/>
      </w:r>
      <w:r w:rsidRPr="001663AE">
        <w:t xml:space="preserve"> Each State Party undertakes, furthermore, to refrain from causing, encouraging, or in any way participating in the carrying out of any nuclear weapon test explosion or any other nuclear explosion</w:t>
      </w:r>
      <w:r w:rsidRPr="001663AE">
        <w:t>。</w:t>
      </w:r>
    </w:p>
  </w:footnote>
  <w:footnote w:id="996">
    <w:p w14:paraId="60720603" w14:textId="77777777" w:rsidR="00CA23FA" w:rsidRPr="001663AE" w:rsidRDefault="00CA23FA" w:rsidP="00E34FD1">
      <w:pPr>
        <w:pStyle w:val="3"/>
        <w:jc w:val="left"/>
      </w:pPr>
      <w:r w:rsidRPr="00DF3454">
        <w:rPr>
          <w:rStyle w:val="af3"/>
          <w:rFonts w:ascii="新細明體" w:hAnsi="新細明體" w:cs="Arial"/>
          <w:b/>
        </w:rPr>
        <w:footnoteRef/>
      </w:r>
      <w:r w:rsidRPr="00DF3454">
        <w:rPr>
          <w:rStyle w:val="bigtitle1"/>
          <w:rFonts w:ascii="新細明體" w:hAnsi="新細明體" w:cs="Arial"/>
          <w:b w:val="0"/>
          <w:color w:val="808000"/>
        </w:rPr>
        <w:t>聯合國裁軍事務部</w:t>
      </w:r>
      <w:r w:rsidRPr="001663AE">
        <w:rPr>
          <w:rStyle w:val="bigtitle1"/>
          <w:rFonts w:ascii="新細明體" w:hAnsi="新細明體" w:cs="Arial"/>
        </w:rPr>
        <w:t>，</w:t>
      </w:r>
      <w:hyperlink r:id="rId287" w:history="1">
        <w:r w:rsidRPr="001663AE">
          <w:rPr>
            <w:rStyle w:val="a5"/>
            <w:rFonts w:cs="Arial"/>
            <w:bCs w:val="0"/>
            <w:kern w:val="0"/>
          </w:rPr>
          <w:t>http://www.un.org/chinese/peace/disarmament/t8.htm</w:t>
        </w:r>
      </w:hyperlink>
      <w:r w:rsidRPr="001663AE">
        <w:t>(2006.07.22)</w:t>
      </w:r>
      <w:r w:rsidRPr="001663AE">
        <w:rPr>
          <w:kern w:val="0"/>
        </w:rPr>
        <w:t>。</w:t>
      </w:r>
    </w:p>
  </w:footnote>
  <w:footnote w:id="997">
    <w:p w14:paraId="115D81AD" w14:textId="77777777" w:rsidR="00CA23FA" w:rsidRPr="001663AE" w:rsidRDefault="00CA23FA" w:rsidP="00E34FD1">
      <w:pPr>
        <w:pStyle w:val="3"/>
        <w:jc w:val="left"/>
      </w:pPr>
      <w:r w:rsidRPr="001663AE">
        <w:rPr>
          <w:rStyle w:val="af3"/>
          <w:rFonts w:ascii="新細明體" w:hAnsi="新細明體" w:cs="Arial"/>
        </w:rPr>
        <w:footnoteRef/>
      </w:r>
      <w:r w:rsidRPr="001663AE">
        <w:t xml:space="preserve"> </w:t>
      </w:r>
      <w:r w:rsidRPr="001663AE">
        <w:t>有關於英文版之</w:t>
      </w:r>
      <w:r w:rsidRPr="001663AE">
        <w:rPr>
          <w:kern w:val="0"/>
        </w:rPr>
        <w:t xml:space="preserve">Comprehensive Nuclear-Test-Ban Treaty </w:t>
      </w:r>
      <w:r w:rsidRPr="001663AE">
        <w:rPr>
          <w:kern w:val="0"/>
        </w:rPr>
        <w:t>，請參閱：</w:t>
      </w:r>
      <w:hyperlink r:id="rId288" w:history="1">
        <w:r w:rsidRPr="001663AE">
          <w:rPr>
            <w:rStyle w:val="a5"/>
            <w:rFonts w:cs="Arial"/>
          </w:rPr>
          <w:t>http://disarmament.un.org/wmd/ctbt/index.html</w:t>
        </w:r>
      </w:hyperlink>
      <w:r w:rsidRPr="001663AE">
        <w:t>(2006.07.22)</w:t>
      </w:r>
      <w:r w:rsidRPr="001663AE">
        <w:t>。</w:t>
      </w:r>
      <w:r w:rsidRPr="001663AE">
        <w:rPr>
          <w:kern w:val="0"/>
        </w:rPr>
        <w:t>Each State Party shall, in accordance with its constitutional processes, take any necessary measures to implement its obligations under this Treaty. In particular, it shall take any necessary measures</w:t>
      </w:r>
      <w:r w:rsidRPr="001663AE">
        <w:rPr>
          <w:rFonts w:hint="eastAsia"/>
          <w:kern w:val="0"/>
        </w:rPr>
        <w:t>。</w:t>
      </w:r>
    </w:p>
  </w:footnote>
  <w:footnote w:id="998">
    <w:p w14:paraId="4B44827E" w14:textId="77777777" w:rsidR="00CA23FA" w:rsidRPr="001663AE" w:rsidRDefault="00CA23FA" w:rsidP="00E34FD1">
      <w:pPr>
        <w:pStyle w:val="3"/>
        <w:jc w:val="left"/>
      </w:pPr>
      <w:r w:rsidRPr="001663AE">
        <w:rPr>
          <w:rStyle w:val="af3"/>
          <w:rFonts w:ascii="新細明體" w:hAnsi="新細明體"/>
        </w:rPr>
        <w:footnoteRef/>
      </w:r>
      <w:r w:rsidRPr="001663AE">
        <w:t xml:space="preserve"> To prohibit natural and legal persons anywhere on its territory or in any other place under its jurisdiction as recognized by international law from undertaking any activity prohibited to a State Party under this Treaty</w:t>
      </w:r>
      <w:r w:rsidRPr="001663AE">
        <w:rPr>
          <w:rFonts w:hint="eastAsia"/>
        </w:rPr>
        <w:t>。</w:t>
      </w:r>
    </w:p>
  </w:footnote>
  <w:footnote w:id="999">
    <w:p w14:paraId="1E4F01E7" w14:textId="77777777" w:rsidR="00CA23FA" w:rsidRPr="001663AE" w:rsidRDefault="00CA23FA" w:rsidP="00E34FD1">
      <w:pPr>
        <w:pStyle w:val="3"/>
        <w:jc w:val="left"/>
      </w:pPr>
      <w:r w:rsidRPr="001663AE">
        <w:rPr>
          <w:rStyle w:val="af3"/>
          <w:rFonts w:ascii="新細明體" w:hAnsi="新細明體" w:cs="Arial"/>
        </w:rPr>
        <w:footnoteRef/>
      </w:r>
      <w:r w:rsidRPr="001663AE">
        <w:t xml:space="preserve"> To prohibit, in conformity with international law, natural persons possessing its nationality from undertaking any such activity anywhere</w:t>
      </w:r>
      <w:r w:rsidRPr="001663AE">
        <w:t>。</w:t>
      </w:r>
    </w:p>
  </w:footnote>
  <w:footnote w:id="1000">
    <w:p w14:paraId="5808C47F" w14:textId="77777777" w:rsidR="00CA23FA" w:rsidRPr="001663AE" w:rsidRDefault="00CA23FA" w:rsidP="00E34FD1">
      <w:pPr>
        <w:pStyle w:val="3"/>
        <w:jc w:val="left"/>
      </w:pPr>
      <w:r w:rsidRPr="001663AE">
        <w:rPr>
          <w:rStyle w:val="af3"/>
          <w:rFonts w:ascii="新細明體" w:hAnsi="新細明體" w:cs="Arial"/>
        </w:rPr>
        <w:footnoteRef/>
      </w:r>
      <w:r w:rsidRPr="001663AE">
        <w:t xml:space="preserve"> Each State Party shall cooperate with other States Parties and afford the appropriate form of legal assistance to facilitate the implementation of the obligations under paragraph 1</w:t>
      </w:r>
      <w:r w:rsidRPr="001663AE">
        <w:t>。</w:t>
      </w:r>
    </w:p>
  </w:footnote>
  <w:footnote w:id="1001">
    <w:p w14:paraId="63672436" w14:textId="77777777" w:rsidR="00CA23FA" w:rsidRPr="001663AE" w:rsidRDefault="00CA23FA" w:rsidP="00E34FD1">
      <w:pPr>
        <w:pStyle w:val="3"/>
        <w:jc w:val="left"/>
      </w:pPr>
      <w:r w:rsidRPr="001663AE">
        <w:rPr>
          <w:rStyle w:val="af3"/>
          <w:rFonts w:ascii="新細明體" w:hAnsi="新細明體" w:cs="Arial"/>
        </w:rPr>
        <w:footnoteRef/>
      </w:r>
      <w:r w:rsidRPr="001663AE">
        <w:t xml:space="preserve"> In order to fulfil its obligations under the Treaty, each State Party shall designate or set up a National Authority and shall so inform the Organization upon entry into force of the Treaty for it.</w:t>
      </w:r>
      <w:r w:rsidRPr="001663AE">
        <w:rPr>
          <w:iCs/>
        </w:rPr>
        <w:t xml:space="preserve"> </w:t>
      </w:r>
      <w:r w:rsidRPr="001663AE">
        <w:t>The National Authority shall serve as the national focal point for liaison with the Organization and with other States Parties</w:t>
      </w:r>
      <w:r w:rsidRPr="001663AE">
        <w:t>。</w:t>
      </w:r>
    </w:p>
  </w:footnote>
  <w:footnote w:id="1002">
    <w:p w14:paraId="06E510ED" w14:textId="77777777" w:rsidR="00CA23FA" w:rsidRPr="001663AE" w:rsidRDefault="00CA23FA" w:rsidP="00E34FD1">
      <w:pPr>
        <w:pStyle w:val="3"/>
        <w:jc w:val="left"/>
      </w:pPr>
      <w:r w:rsidRPr="001663AE">
        <w:rPr>
          <w:rStyle w:val="af3"/>
          <w:rFonts w:ascii="新細明體" w:hAnsi="新細明體" w:cs="Arial"/>
        </w:rPr>
        <w:footnoteRef/>
      </w:r>
      <w:r w:rsidRPr="001663AE">
        <w:t>中國的承諾，</w:t>
      </w:r>
      <w:hyperlink r:id="rId289" w:history="1">
        <w:r w:rsidRPr="001663AE">
          <w:rPr>
            <w:rStyle w:val="a5"/>
            <w:rFonts w:cs="Arial"/>
          </w:rPr>
          <w:t>http://159.226.2.5:89/gate/big5/www.kepu.com.cn/gb/technology/nuclear/develop/200207300145.html</w:t>
        </w:r>
      </w:hyperlink>
      <w:r w:rsidRPr="001663AE">
        <w:t>(2006.07.22)</w:t>
      </w:r>
      <w:r w:rsidRPr="001663AE">
        <w:t>。</w:t>
      </w:r>
    </w:p>
  </w:footnote>
  <w:footnote w:id="1003">
    <w:p w14:paraId="1CC6F764" w14:textId="77777777" w:rsidR="00CA23FA" w:rsidRPr="001663AE" w:rsidRDefault="00CA23FA" w:rsidP="00E34FD1">
      <w:pPr>
        <w:pStyle w:val="3"/>
        <w:jc w:val="left"/>
      </w:pPr>
      <w:r w:rsidRPr="001663AE">
        <w:rPr>
          <w:rStyle w:val="af3"/>
          <w:rFonts w:ascii="新細明體" w:hAnsi="新細明體" w:cs="Arial"/>
        </w:rPr>
        <w:footnoteRef/>
      </w:r>
      <w:r w:rsidRPr="001663AE">
        <w:t>關於中華人民共和國履行《不擴散核武器條約》情況的國家報告，</w:t>
      </w:r>
      <w:r w:rsidRPr="001663AE">
        <w:t>2005/05/18</w:t>
      </w:r>
      <w:r w:rsidRPr="001663AE">
        <w:t>，</w:t>
      </w:r>
      <w:hyperlink r:id="rId290" w:history="1">
        <w:r w:rsidRPr="001663AE">
          <w:rPr>
            <w:rStyle w:val="a5"/>
            <w:rFonts w:cs="Arial"/>
          </w:rPr>
          <w:t>http://big5.fmprc.gov.cn:89/gate/big5/www.fmcoprc.gov.hk/chn/szyw/t196102.htm</w:t>
        </w:r>
      </w:hyperlink>
      <w:r w:rsidRPr="001663AE">
        <w:t>(2006.07.22)</w:t>
      </w:r>
      <w:r w:rsidRPr="001663AE">
        <w:t>。</w:t>
      </w:r>
    </w:p>
  </w:footnote>
  <w:footnote w:id="1004">
    <w:p w14:paraId="180D8003" w14:textId="77777777" w:rsidR="00CA23FA" w:rsidRPr="001663AE" w:rsidRDefault="00CA23FA" w:rsidP="00E34FD1">
      <w:pPr>
        <w:pStyle w:val="3"/>
        <w:jc w:val="left"/>
      </w:pPr>
      <w:r w:rsidRPr="001663AE">
        <w:rPr>
          <w:rStyle w:val="af3"/>
          <w:rFonts w:ascii="新細明體" w:hAnsi="新細明體" w:cs="Arial"/>
        </w:rPr>
        <w:footnoteRef/>
      </w:r>
      <w:r w:rsidRPr="001663AE">
        <w:t>丘宏達，現代國際法，台北：三民書局，</w:t>
      </w:r>
      <w:r w:rsidRPr="001663AE">
        <w:t>2002</w:t>
      </w:r>
      <w:r w:rsidRPr="001663AE">
        <w:t>年，頁</w:t>
      </w:r>
      <w:r w:rsidRPr="001663AE">
        <w:t>167-180</w:t>
      </w:r>
      <w:r w:rsidRPr="001663AE">
        <w:t>。</w:t>
      </w:r>
    </w:p>
  </w:footnote>
  <w:footnote w:id="1005">
    <w:p w14:paraId="58F4ADE8" w14:textId="77777777" w:rsidR="00CA23FA" w:rsidRPr="001663AE" w:rsidRDefault="00CA23FA" w:rsidP="00E34FD1">
      <w:pPr>
        <w:pStyle w:val="3"/>
        <w:jc w:val="left"/>
      </w:pPr>
      <w:r w:rsidRPr="001663AE">
        <w:rPr>
          <w:rStyle w:val="af3"/>
          <w:rFonts w:ascii="新細明體" w:hAnsi="新細明體" w:cs="Arial"/>
        </w:rPr>
        <w:footnoteRef/>
      </w:r>
      <w:r w:rsidRPr="001663AE">
        <w:t>中國的承諾，</w:t>
      </w:r>
      <w:hyperlink r:id="rId291" w:history="1">
        <w:r w:rsidRPr="001663AE">
          <w:rPr>
            <w:rStyle w:val="a5"/>
            <w:rFonts w:cs="Arial"/>
          </w:rPr>
          <w:t>http://159.226.2.5:89/gate/big5/www.kepu.com.cn/gb/technology/nuclear/develop/200207300145.html</w:t>
        </w:r>
      </w:hyperlink>
      <w:r w:rsidRPr="001663AE">
        <w:t>(2006.07.22)</w:t>
      </w:r>
      <w:r w:rsidRPr="001663AE">
        <w:t>。</w:t>
      </w:r>
    </w:p>
  </w:footnote>
  <w:footnote w:id="1006">
    <w:p w14:paraId="3DC08DAD" w14:textId="77777777" w:rsidR="00CA23FA" w:rsidRPr="001663AE" w:rsidRDefault="00CA23FA" w:rsidP="00E34FD1">
      <w:pPr>
        <w:pStyle w:val="3"/>
        <w:jc w:val="left"/>
      </w:pPr>
      <w:r w:rsidRPr="001663AE">
        <w:rPr>
          <w:rStyle w:val="af3"/>
          <w:rFonts w:ascii="新細明體" w:hAnsi="新細明體"/>
        </w:rPr>
        <w:footnoteRef/>
      </w:r>
      <w:r w:rsidRPr="001663AE">
        <w:rPr>
          <w:rFonts w:hint="eastAsia"/>
        </w:rPr>
        <w:t xml:space="preserve"> </w:t>
      </w:r>
      <w:r w:rsidRPr="001663AE">
        <w:rPr>
          <w:rFonts w:hint="eastAsia"/>
        </w:rPr>
        <w:t>乃指日本政治勢力中的鷹派，日本保守政黨中的強硬派。</w:t>
      </w:r>
      <w:r w:rsidRPr="001663AE">
        <w:rPr>
          <w:rFonts w:hint="eastAsia"/>
        </w:rPr>
        <w:t xml:space="preserve"> </w:t>
      </w:r>
    </w:p>
  </w:footnote>
  <w:footnote w:id="1007">
    <w:p w14:paraId="1F07EB02" w14:textId="77777777" w:rsidR="00CA23FA" w:rsidRPr="001663AE" w:rsidRDefault="00CA23FA" w:rsidP="00E34FD1">
      <w:pPr>
        <w:pStyle w:val="3"/>
        <w:jc w:val="left"/>
      </w:pPr>
      <w:r w:rsidRPr="001663AE">
        <w:rPr>
          <w:rStyle w:val="af3"/>
          <w:rFonts w:ascii="新細明體" w:hAnsi="新細明體"/>
        </w:rPr>
        <w:footnoteRef/>
      </w:r>
      <w:r w:rsidRPr="001663AE">
        <w:rPr>
          <w:rStyle w:val="lemmatitleh1"/>
          <w:rFonts w:ascii="新細明體" w:hAnsi="新細明體" w:hint="eastAsia"/>
        </w:rPr>
        <w:t xml:space="preserve"> 百度百科(2015)，</w:t>
      </w:r>
      <w:r w:rsidRPr="001663AE">
        <w:rPr>
          <w:rStyle w:val="lemmatitleh1"/>
          <w:rFonts w:ascii="新細明體" w:hAnsi="新細明體"/>
        </w:rPr>
        <w:t>日本右翼势力，上網瀏覽時間：</w:t>
      </w:r>
      <w:r w:rsidRPr="001663AE">
        <w:rPr>
          <w:rStyle w:val="lemmatitleh1"/>
          <w:rFonts w:ascii="新細明體" w:hAnsi="新細明體" w:hint="eastAsia"/>
        </w:rPr>
        <w:t>2015/03/01，</w:t>
      </w:r>
      <w:hyperlink r:id="rId292" w:history="1">
        <w:r w:rsidRPr="001663AE">
          <w:rPr>
            <w:rStyle w:val="a5"/>
            <w:rFonts w:cs="Arial"/>
          </w:rPr>
          <w:t>http://baike.baidu.com/view/3369566.htm</w:t>
        </w:r>
      </w:hyperlink>
      <w:r w:rsidRPr="001663AE">
        <w:t>。</w:t>
      </w:r>
    </w:p>
  </w:footnote>
  <w:footnote w:id="1008">
    <w:p w14:paraId="0DCF784F" w14:textId="77777777" w:rsidR="00CA23FA" w:rsidRPr="001663AE" w:rsidRDefault="00CA23FA" w:rsidP="00D87D91">
      <w:pPr>
        <w:pStyle w:val="3"/>
      </w:pPr>
      <w:r w:rsidRPr="001663AE">
        <w:rPr>
          <w:rStyle w:val="af3"/>
          <w:rFonts w:ascii="新細明體" w:hAnsi="新細明體"/>
          <w:szCs w:val="20"/>
        </w:rPr>
        <w:footnoteRef/>
      </w:r>
      <w:r w:rsidRPr="001663AE">
        <w:rPr>
          <w:rFonts w:cs="DF Hei" w:hint="eastAsia"/>
        </w:rPr>
        <w:t>此方向之論述，可進一步參閱：陳隆志</w:t>
      </w:r>
      <w:r w:rsidRPr="001663AE">
        <w:rPr>
          <w:rFonts w:cs="DF Hei" w:hint="eastAsia"/>
        </w:rPr>
        <w:t>(2005)</w:t>
      </w:r>
      <w:r w:rsidRPr="001663AE">
        <w:rPr>
          <w:rFonts w:cs="DF Hei" w:hint="eastAsia"/>
        </w:rPr>
        <w:t>，</w:t>
      </w:r>
      <w:r w:rsidRPr="001663AE">
        <w:t xml:space="preserve"> </w:t>
      </w:r>
      <w:r w:rsidRPr="001663AE">
        <w:rPr>
          <w:rFonts w:hint="eastAsia"/>
        </w:rPr>
        <w:t>制止中國的「侵略併吞台灣法」</w:t>
      </w:r>
      <w:r>
        <w:rPr>
          <w:rFonts w:hint="eastAsia"/>
        </w:rPr>
        <w:t>〜</w:t>
      </w:r>
      <w:r w:rsidRPr="001663AE">
        <w:rPr>
          <w:rFonts w:hint="eastAsia"/>
        </w:rPr>
        <w:t>國際法評判中國的「反分裂國家法」</w:t>
      </w:r>
      <w:r w:rsidRPr="001663AE">
        <w:t xml:space="preserve"> </w:t>
      </w:r>
      <w:r w:rsidRPr="001663AE">
        <w:t>，</w:t>
      </w:r>
      <w:r w:rsidRPr="001663AE">
        <w:rPr>
          <w:rFonts w:hint="eastAsia"/>
        </w:rPr>
        <w:t>新世紀智庫論壇第</w:t>
      </w:r>
      <w:r w:rsidRPr="001663AE">
        <w:rPr>
          <w:rFonts w:cs="Arial"/>
        </w:rPr>
        <w:t>29</w:t>
      </w:r>
      <w:r w:rsidRPr="001663AE">
        <w:rPr>
          <w:rFonts w:hint="eastAsia"/>
        </w:rPr>
        <w:t>期。</w:t>
      </w:r>
    </w:p>
  </w:footnote>
  <w:footnote w:id="1009">
    <w:p w14:paraId="6B47143C" w14:textId="77777777" w:rsidR="00CA23FA" w:rsidRPr="001663AE" w:rsidRDefault="00CA23FA" w:rsidP="00D87D91">
      <w:pPr>
        <w:pStyle w:val="3"/>
      </w:pPr>
      <w:r w:rsidRPr="001663AE">
        <w:rPr>
          <w:rStyle w:val="af3"/>
          <w:rFonts w:ascii="新細明體" w:hAnsi="新細明體" w:cs="Arial"/>
        </w:rPr>
        <w:footnoteRef/>
      </w:r>
      <w:r w:rsidRPr="001663AE">
        <w:t xml:space="preserve"> </w:t>
      </w:r>
      <w:r w:rsidRPr="001663AE">
        <w:t>刁仁國，外國人入出境管理法論，桃園：中央警察大學，民國</w:t>
      </w:r>
      <w:r w:rsidRPr="001663AE">
        <w:t>90</w:t>
      </w:r>
      <w:r w:rsidRPr="001663AE">
        <w:t>年</w:t>
      </w:r>
      <w:r w:rsidRPr="001663AE">
        <w:t>3</w:t>
      </w:r>
      <w:r w:rsidRPr="001663AE">
        <w:t>月，頁</w:t>
      </w:r>
      <w:r w:rsidRPr="001663AE">
        <w:t>1-23</w:t>
      </w:r>
      <w:r w:rsidRPr="001663AE">
        <w:t>。</w:t>
      </w:r>
    </w:p>
  </w:footnote>
  <w:footnote w:id="1010">
    <w:p w14:paraId="20E04214" w14:textId="77777777" w:rsidR="00CA23FA" w:rsidRPr="008162BE" w:rsidRDefault="00CA23FA" w:rsidP="00E108EB">
      <w:pPr>
        <w:pStyle w:val="3"/>
        <w:jc w:val="left"/>
      </w:pPr>
      <w:r>
        <w:rPr>
          <w:rStyle w:val="af3"/>
        </w:rPr>
        <w:footnoteRef/>
      </w:r>
      <w:r w:rsidRPr="008162BE">
        <w:rPr>
          <w:rFonts w:hint="eastAsia"/>
        </w:rPr>
        <w:t>憲法第一次增修，主要內容為：（一）明定第二屆中央民意代表產生的法源、名額、選舉方式、選出時間及任期。（二）賦予總統發布緊急命令的職權。（三）明定兩岸人民權利義務關係，得以臺灣地區與大陸地區人民關係條例規定之，中共不被視為叛亂團體。資料來源：</w:t>
      </w:r>
      <w:r w:rsidRPr="00B25435">
        <w:rPr>
          <w:rFonts w:hint="eastAsia"/>
        </w:rPr>
        <w:t>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1">
    <w:p w14:paraId="5653AB8B" w14:textId="77777777" w:rsidR="00CA23FA" w:rsidRPr="001C3A2B" w:rsidRDefault="00CA23FA" w:rsidP="00E108EB">
      <w:pPr>
        <w:pStyle w:val="3"/>
        <w:jc w:val="left"/>
      </w:pPr>
      <w:r>
        <w:rPr>
          <w:rStyle w:val="af3"/>
        </w:rPr>
        <w:footnoteRef/>
      </w:r>
      <w:r w:rsidRPr="00854ECB">
        <w:rPr>
          <w:rFonts w:hint="eastAsia"/>
        </w:rPr>
        <w:t>憲法第二次增修，主要內容為：（一）國民大會集會時，得聽取總統國情報告。自第三屆國民大會代表起，國民大會代表每四年改選一次。（二）將總統、副總統的選舉方式，改由中華民國自由地區全體人民選舉產生，任期改為四年。（三）賦予地方自治明確的法源基礎，並且開放省長、直轄市市長民選。（四）將監察委員產生方式，由原來的由省、市議會選舉，改為由總統提名；同時將總統對考試院、司法院、監察院有關人員的提名，改由國民大會行使同意權。（五）充實基本國策，加強對文化、科技、環保與經濟發展，以及婦女、原住民、殘障同胞、離島居民的保障與照顧。（六）明定司法院大法官組成憲法法庭，審理政黨違憲的解散事項。</w:t>
      </w:r>
      <w:r w:rsidRPr="00B25435">
        <w:rPr>
          <w:rFonts w:hint="eastAsia"/>
        </w:rPr>
        <w:t>資料來源：維基百科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2">
    <w:p w14:paraId="62E8C8C3" w14:textId="77777777" w:rsidR="00CA23FA" w:rsidRPr="00EE67A8" w:rsidRDefault="00CA23FA" w:rsidP="00E108EB">
      <w:pPr>
        <w:pStyle w:val="3"/>
        <w:jc w:val="left"/>
      </w:pPr>
      <w:r>
        <w:rPr>
          <w:rStyle w:val="af3"/>
        </w:rPr>
        <w:footnoteRef/>
      </w:r>
      <w:r w:rsidRPr="00EE67A8">
        <w:rPr>
          <w:rFonts w:hint="eastAsia"/>
        </w:rPr>
        <w:t>憲法第三次增修，主要內容為：（一）國民大會自第三屆起設議長、副議長各一人。（二）確定總統、副總統由人民直接選舉方式；至於罷免案，則須由國民大會提出，經人民投票同意通過。（三）總統依憲法經國民大會或立法院同意任命人員的任免命令，無須行政院院長的副署。</w:t>
      </w:r>
      <w:r w:rsidRPr="00B25435">
        <w:rPr>
          <w:rFonts w:hint="eastAsia"/>
        </w:rPr>
        <w:t>資料來源：維基百科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3">
    <w:p w14:paraId="176AD5CE" w14:textId="77777777" w:rsidR="00CA23FA" w:rsidRPr="004214A6" w:rsidRDefault="00CA23FA" w:rsidP="00E108EB">
      <w:pPr>
        <w:pStyle w:val="3"/>
        <w:jc w:val="left"/>
      </w:pPr>
      <w:r>
        <w:rPr>
          <w:rStyle w:val="af3"/>
        </w:rPr>
        <w:footnoteRef/>
      </w:r>
      <w:r w:rsidRPr="004214A6">
        <w:rPr>
          <w:rFonts w:hint="eastAsia"/>
        </w:rPr>
        <w:t>憲法第四次增修，主要內容為：（一）行政院院長由總統任命之，毋庸經立法院同意。（二）總統於立法院通過對行政院院長之不信任案後十日內，經諮詢立法院院長後，得宣告解散立法院。（三）對於總統、副總統彈劾權由監察院改為由立法院行使之，並僅限於犯內亂、外患罪。（四）將覆議門檻由三分之二降至二分之一。（五）立法院立法委員自第四屆起增至二百二十五人。（六）司法院設大法官十五人，並以其中一人為院長、一人為副院長，自中華民國九十二年起實施；司法院大法官任期八年，不分屆次，個別計算，並不得連任。（七）增列司法預算獨立條款。（八）凍結省級自治選舉，省設省政府、省諮議會，省主席、省府委員、省諮議會議員均由行政院院長提請總統任命之。（九）增列扶植中小型經濟事業條款。（十）取消教科文預算下限。</w:t>
      </w:r>
      <w:r w:rsidRPr="00F67597">
        <w:rPr>
          <w:rFonts w:hint="eastAsia"/>
        </w:rPr>
        <w:t>資料來源：</w:t>
      </w:r>
      <w:r w:rsidRPr="00B25435">
        <w:rPr>
          <w:rFonts w:hint="eastAsia"/>
        </w:rPr>
        <w:t>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4">
    <w:p w14:paraId="78990810" w14:textId="77777777" w:rsidR="00CA23FA" w:rsidRPr="002157F0" w:rsidRDefault="00CA23FA" w:rsidP="00D87D91">
      <w:pPr>
        <w:pStyle w:val="3"/>
      </w:pPr>
      <w:r>
        <w:rPr>
          <w:rStyle w:val="af3"/>
        </w:rPr>
        <w:footnoteRef/>
      </w:r>
      <w:r w:rsidRPr="002157F0">
        <w:rPr>
          <w:rFonts w:hint="eastAsia"/>
        </w:rPr>
        <w:t>憲法第五次增修，主要內容為：</w:t>
      </w:r>
      <w:r w:rsidRPr="002157F0">
        <w:rPr>
          <w:rFonts w:hint="eastAsia"/>
        </w:rPr>
        <w:t xml:space="preserve"> </w:t>
      </w:r>
      <w:r w:rsidRPr="002157F0">
        <w:rPr>
          <w:rFonts w:hint="eastAsia"/>
        </w:rPr>
        <w:t>（一）國民大會代表第四屆為三百人，自第五屆起為一百五十人，依規定以比例代表方式選出之。並以立法委員選舉，各政黨所推薦及獨立參選之候選人得票數之比例分配當選名額。（二）國民大會代表於任期中遇立法委員改選時同時改選，連選得連任。第三屆國民大會代表任期至第四屆立法委員任期屆滿之日止，不適用憲法第二十八條第一項之規定。（三）第四屆立法委員任期至</w:t>
      </w:r>
      <w:r w:rsidRPr="002157F0">
        <w:rPr>
          <w:rFonts w:hint="eastAsia"/>
        </w:rPr>
        <w:t>2002</w:t>
      </w:r>
      <w:r w:rsidRPr="002157F0">
        <w:rPr>
          <w:rFonts w:hint="eastAsia"/>
        </w:rPr>
        <w:t>年</w:t>
      </w:r>
      <w:r w:rsidRPr="002157F0">
        <w:rPr>
          <w:rFonts w:hint="eastAsia"/>
        </w:rPr>
        <w:t>6</w:t>
      </w:r>
      <w:r w:rsidRPr="002157F0">
        <w:rPr>
          <w:rFonts w:hint="eastAsia"/>
        </w:rPr>
        <w:t>月</w:t>
      </w:r>
      <w:r w:rsidRPr="002157F0">
        <w:rPr>
          <w:rFonts w:hint="eastAsia"/>
        </w:rPr>
        <w:t>30</w:t>
      </w:r>
      <w:r w:rsidRPr="002157F0">
        <w:rPr>
          <w:rFonts w:hint="eastAsia"/>
        </w:rPr>
        <w:t>日止。第五屆立法委員任期自</w:t>
      </w:r>
      <w:r w:rsidRPr="002157F0">
        <w:rPr>
          <w:rFonts w:hint="eastAsia"/>
        </w:rPr>
        <w:t>2002</w:t>
      </w:r>
      <w:r w:rsidRPr="002157F0">
        <w:rPr>
          <w:rFonts w:hint="eastAsia"/>
        </w:rPr>
        <w:t>年</w:t>
      </w:r>
      <w:r w:rsidRPr="002157F0">
        <w:rPr>
          <w:rFonts w:hint="eastAsia"/>
        </w:rPr>
        <w:t>7</w:t>
      </w:r>
      <w:r w:rsidRPr="002157F0">
        <w:rPr>
          <w:rFonts w:hint="eastAsia"/>
        </w:rPr>
        <w:t>月</w:t>
      </w:r>
      <w:r w:rsidRPr="002157F0">
        <w:rPr>
          <w:rFonts w:hint="eastAsia"/>
        </w:rPr>
        <w:t>1</w:t>
      </w:r>
      <w:r w:rsidRPr="002157F0">
        <w:rPr>
          <w:rFonts w:hint="eastAsia"/>
        </w:rPr>
        <w:t>日起為四年，連選得連任，其選舉應於每屆任滿前或解散後六十日內完成之。（四）增訂國家應重視社會福利工作，對於社會救助和國民就業等救濟性支出應優先編列。（五）增列保障退役軍人條款。（六）針對保障離島居民條款，增列澎湖地區。</w:t>
      </w:r>
      <w:r w:rsidRPr="00F67597">
        <w:rPr>
          <w:rFonts w:hint="eastAsia"/>
        </w:rPr>
        <w:t>資料來源：</w:t>
      </w:r>
      <w:r w:rsidRPr="00B25435">
        <w:rPr>
          <w:rFonts w:hint="eastAsia"/>
        </w:rPr>
        <w:t>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5">
    <w:p w14:paraId="21D751EA" w14:textId="77777777" w:rsidR="00CA23FA" w:rsidRPr="0088486D" w:rsidRDefault="00CA23FA" w:rsidP="00D87D91">
      <w:pPr>
        <w:pStyle w:val="3"/>
      </w:pPr>
      <w:r>
        <w:rPr>
          <w:rStyle w:val="af3"/>
        </w:rPr>
        <w:footnoteRef/>
      </w:r>
      <w:r w:rsidRPr="0088486D">
        <w:rPr>
          <w:rFonts w:hint="eastAsia"/>
        </w:rPr>
        <w:t>憲法第六次增修，主要內容為：（一）國民大會代表三百人，於立法院提出憲法修正案、領土變更案，經公告半年，或出總統、副總統彈劾案時，應於三個月內採比例代表制選出之。比例代表制之選舉方式以法律定之。（二）國民大會之職權為複決立法院所提之憲法修正案、領土變更案；議決立法院提出之總統、副總統彈劾案。（三）國民大會代表於選舉結果確認後十日內自行集會，國民大會集會以一個月為限。國民大會代表任期與集會期間相同。第三屆國民大會代表任期至</w:t>
      </w:r>
      <w:r w:rsidRPr="0088486D">
        <w:rPr>
          <w:rFonts w:hint="eastAsia"/>
        </w:rPr>
        <w:t>2000</w:t>
      </w:r>
      <w:r w:rsidRPr="0088486D">
        <w:rPr>
          <w:rFonts w:hint="eastAsia"/>
        </w:rPr>
        <w:t>年</w:t>
      </w:r>
      <w:r w:rsidRPr="0088486D">
        <w:rPr>
          <w:rFonts w:hint="eastAsia"/>
        </w:rPr>
        <w:t>5</w:t>
      </w:r>
      <w:r w:rsidRPr="0088486D">
        <w:rPr>
          <w:rFonts w:hint="eastAsia"/>
        </w:rPr>
        <w:t>月</w:t>
      </w:r>
      <w:r w:rsidRPr="0088486D">
        <w:rPr>
          <w:rFonts w:hint="eastAsia"/>
        </w:rPr>
        <w:t>19</w:t>
      </w:r>
      <w:r w:rsidRPr="0088486D">
        <w:rPr>
          <w:rFonts w:hint="eastAsia"/>
        </w:rPr>
        <w:t>日止。（四）副總統缺位時，改由立法院補選。（五）總統、副總統之罷免案，改由立法院提出，經人民投票同意通過。（六）立法院提出之總統、副總統彈劾案，刪除不限於犯內亂、外患罪。</w:t>
      </w:r>
      <w:r w:rsidRPr="0088486D">
        <w:rPr>
          <w:rFonts w:hint="eastAsia"/>
        </w:rPr>
        <w:t xml:space="preserve"> </w:t>
      </w:r>
      <w:r w:rsidRPr="0088486D">
        <w:rPr>
          <w:rFonts w:hint="eastAsia"/>
        </w:rPr>
        <w:t>（七）立法院於每年集會時，得聽取總統國情報告。（八）增列中華民國領土，依其固有之疆域，非經全體立法委員依法決議，並提經國民大會依法複決同意，不得變更之。（九）司法院大法官除法官轉任者外，不適用憲法第八十一條及有關法官終身職待遇之規定。（十）總統對司法院、考試院、監察院等三院有關人事的提名，改由立法院行使同意權。</w:t>
      </w:r>
      <w:r w:rsidRPr="00F67597">
        <w:rPr>
          <w:rFonts w:hint="eastAsia"/>
        </w:rPr>
        <w:t>資料來源：</w:t>
      </w:r>
      <w:r w:rsidRPr="00B25435">
        <w:rPr>
          <w:rFonts w:hint="eastAsia"/>
        </w:rPr>
        <w:t>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6">
    <w:p w14:paraId="5C6E3A79" w14:textId="77777777" w:rsidR="00CA23FA" w:rsidRPr="00FA1019" w:rsidRDefault="00CA23FA" w:rsidP="00E108EB">
      <w:pPr>
        <w:pStyle w:val="3"/>
        <w:jc w:val="left"/>
      </w:pPr>
      <w:r>
        <w:rPr>
          <w:rStyle w:val="af3"/>
        </w:rPr>
        <w:footnoteRef/>
      </w:r>
      <w:r w:rsidRPr="00FA1019">
        <w:rPr>
          <w:rFonts w:hint="eastAsia"/>
        </w:rPr>
        <w:t>憲法第七次增修，主要內容為：</w:t>
      </w:r>
      <w:r w:rsidRPr="00FA1019">
        <w:rPr>
          <w:rFonts w:hint="eastAsia"/>
        </w:rPr>
        <w:t>(</w:t>
      </w:r>
      <w:r w:rsidRPr="00FA1019">
        <w:rPr>
          <w:rFonts w:hint="eastAsia"/>
        </w:rPr>
        <w:t>一</w:t>
      </w:r>
      <w:r w:rsidRPr="00FA1019">
        <w:rPr>
          <w:rFonts w:hint="eastAsia"/>
        </w:rPr>
        <w:t>)</w:t>
      </w:r>
      <w:r w:rsidRPr="00FA1019">
        <w:rPr>
          <w:rFonts w:hint="eastAsia"/>
        </w:rPr>
        <w:t>立法院總統、副總統彈劾案須經全體立法委員二分之一以上之提議，全體立法委員三分之二以上之決議，由司法院大法官審理。（二）改由公民複決憲法修正案、領土變更案。此舉移除了國民大會全部職務。（三）領土變更、修憲程序：立法委員四分之一提議，四分之三出席，出席委員四分之三決議，公告半年後，經中華民國自由地區選舉人投票複決，有效同意票過選舉人總額之半數，即通過之。（四）立法委員自第七屆起，席次由二百二十五席減為一百一十三席，任期由三年改為四年，選制改為單一選區兩票制。（五）自由地區直轄市、縣市七十三人（每縣市至少一人）。自由地區平地原住民及山地原住民各三人。不分區及僑選部分（三十四人）由獲得百分之五以上政黨選舉票之政黨依得票比率選出之，各政黨當選名單中，婦女不得低於二分之一。</w:t>
      </w:r>
      <w:r w:rsidRPr="00035D3C">
        <w:rPr>
          <w:rFonts w:hint="eastAsia"/>
        </w:rPr>
        <w:t>資料來源：維基百科</w:t>
      </w:r>
      <w:r w:rsidRPr="00035D3C">
        <w:rPr>
          <w:rFonts w:hint="eastAsia"/>
        </w:rPr>
        <w:t>(2015)</w:t>
      </w:r>
      <w:r w:rsidRPr="00035D3C">
        <w:rPr>
          <w:rFonts w:hint="eastAsia"/>
        </w:rPr>
        <w:t>，中華民國憲法增修條文，上網瀏覽時日：</w:t>
      </w:r>
      <w:r w:rsidRPr="00035D3C">
        <w:rPr>
          <w:rFonts w:hint="eastAsia"/>
        </w:rPr>
        <w:t>2015/08/02</w:t>
      </w:r>
      <w:r w:rsidRPr="00035D3C">
        <w:rPr>
          <w:rFonts w:hint="eastAsia"/>
        </w:rPr>
        <w:t>，</w:t>
      </w:r>
      <w:r w:rsidRPr="00035D3C">
        <w:t>https://zh.wikipedia.org/wiki/</w:t>
      </w:r>
      <w:r>
        <w:t>中華民國憲法</w:t>
      </w:r>
      <w:r w:rsidRPr="00035D3C">
        <w:t>%E5%A2%9E%E4%BF%AE%E6%A2%9D%E6%96%87</w:t>
      </w:r>
      <w:r w:rsidRPr="00035D3C">
        <w:t>。</w:t>
      </w:r>
    </w:p>
  </w:footnote>
  <w:footnote w:id="1017">
    <w:p w14:paraId="0BC62434" w14:textId="77777777" w:rsidR="00CA23FA" w:rsidRPr="001663AE" w:rsidRDefault="00CA23FA" w:rsidP="00E108EB">
      <w:pPr>
        <w:pStyle w:val="3"/>
        <w:jc w:val="left"/>
        <w:rPr>
          <w:lang w:eastAsia="ja-JP"/>
        </w:rPr>
      </w:pPr>
      <w:r w:rsidRPr="001663AE">
        <w:rPr>
          <w:rStyle w:val="af3"/>
          <w:rFonts w:ascii="新細明體" w:hAnsi="新細明體"/>
        </w:rPr>
        <w:footnoteRef/>
      </w:r>
      <w:r w:rsidRPr="001663AE">
        <w:rPr>
          <w:lang w:eastAsia="ja-JP"/>
        </w:rPr>
        <w:t>小林直樹</w:t>
      </w:r>
      <w:r w:rsidRPr="001663AE">
        <w:t>(1986)</w:t>
      </w:r>
      <w:r w:rsidRPr="001663AE">
        <w:rPr>
          <w:lang w:eastAsia="ja-JP"/>
        </w:rPr>
        <w:t>，憲法秩序の理論，初版，東京大學出版社，頁</w:t>
      </w:r>
      <w:r w:rsidRPr="001663AE">
        <w:t>160-190</w:t>
      </w:r>
      <w:r w:rsidRPr="001663AE">
        <w:rPr>
          <w:lang w:eastAsia="ja-JP"/>
        </w:rPr>
        <w:t>。</w:t>
      </w:r>
      <w:r w:rsidRPr="001663AE">
        <w:rPr>
          <w:lang w:eastAsia="ja-JP"/>
        </w:rPr>
        <w:t xml:space="preserve"> </w:t>
      </w:r>
    </w:p>
  </w:footnote>
  <w:footnote w:id="1018">
    <w:p w14:paraId="4B67961D" w14:textId="77777777" w:rsidR="00CA23FA" w:rsidRPr="001663AE" w:rsidRDefault="00CA23FA" w:rsidP="00E108EB">
      <w:pPr>
        <w:pStyle w:val="3"/>
        <w:jc w:val="left"/>
      </w:pPr>
      <w:r w:rsidRPr="001663AE">
        <w:rPr>
          <w:rStyle w:val="af3"/>
          <w:rFonts w:ascii="新細明體" w:hAnsi="新細明體"/>
        </w:rPr>
        <w:footnoteRef/>
      </w:r>
      <w:r w:rsidRPr="001663AE">
        <w:rPr>
          <w:lang w:eastAsia="ja-JP"/>
        </w:rPr>
        <w:t>小林直樹</w:t>
      </w:r>
      <w:r w:rsidRPr="001663AE">
        <w:t>(1986)</w:t>
      </w:r>
      <w:r w:rsidRPr="001663AE">
        <w:rPr>
          <w:lang w:eastAsia="ja-JP"/>
        </w:rPr>
        <w:t>，憲法秩序の理論，初版，東京大學出版社，</w:t>
      </w:r>
      <w:r w:rsidRPr="001663AE">
        <w:rPr>
          <w:rFonts w:hint="eastAsia"/>
        </w:rPr>
        <w:t>頁</w:t>
      </w:r>
      <w:r w:rsidRPr="001663AE">
        <w:t>160-190</w:t>
      </w:r>
      <w:r w:rsidRPr="001663AE">
        <w:rPr>
          <w:rFonts w:hint="eastAsia"/>
        </w:rPr>
        <w:t>。</w:t>
      </w:r>
    </w:p>
  </w:footnote>
  <w:footnote w:id="1019">
    <w:p w14:paraId="5FF6AB5A" w14:textId="77777777" w:rsidR="00CA23FA" w:rsidRPr="006B7176" w:rsidRDefault="00CA23FA" w:rsidP="00F82426">
      <w:pPr>
        <w:pStyle w:val="3"/>
        <w:jc w:val="left"/>
      </w:pPr>
      <w:r w:rsidRPr="006B7176">
        <w:rPr>
          <w:rStyle w:val="af3"/>
          <w:rFonts w:ascii="新細明體" w:hAnsi="新細明體"/>
          <w:color w:val="808000"/>
          <w:szCs w:val="20"/>
        </w:rPr>
        <w:footnoteRef/>
      </w:r>
      <w:r w:rsidRPr="006B7176">
        <w:rPr>
          <w:rFonts w:hint="eastAsia"/>
        </w:rPr>
        <w:t>維基百科</w:t>
      </w:r>
      <w:r w:rsidRPr="006B7176">
        <w:rPr>
          <w:rFonts w:hint="eastAsia"/>
        </w:rPr>
        <w:t>(2015)</w:t>
      </w:r>
      <w:r w:rsidRPr="006B7176">
        <w:rPr>
          <w:rFonts w:hint="eastAsia"/>
        </w:rPr>
        <w:t>，中華民國史的分期，上網瀏覽時日：</w:t>
      </w:r>
      <w:r w:rsidRPr="006B7176">
        <w:rPr>
          <w:rFonts w:hint="eastAsia"/>
        </w:rPr>
        <w:t>2015/08/02</w:t>
      </w:r>
      <w:r w:rsidRPr="006B7176">
        <w:rPr>
          <w:rFonts w:hint="eastAsia"/>
        </w:rPr>
        <w:t>，</w:t>
      </w:r>
      <w:r w:rsidRPr="006B7176">
        <w:t>https://zh.wikipedia.org/wiki/%E4%B8%AD%E5%8D%8E%E6%B0%91%E5%9B%BD%E7%AC%AC%E4%BA%8C%E5%85%B1%E5%92%8C%E5%AE%AA%E6%B3%95</w:t>
      </w:r>
      <w:r w:rsidRPr="006B7176">
        <w:t>。</w:t>
      </w:r>
    </w:p>
  </w:footnote>
  <w:footnote w:id="1020">
    <w:p w14:paraId="15188D37" w14:textId="77777777" w:rsidR="00CA23FA" w:rsidRPr="006B7176" w:rsidRDefault="00CA23FA" w:rsidP="00F82426">
      <w:pPr>
        <w:pStyle w:val="3"/>
        <w:jc w:val="left"/>
      </w:pPr>
      <w:r w:rsidRPr="006B7176">
        <w:rPr>
          <w:rStyle w:val="af3"/>
          <w:rFonts w:ascii="新細明體" w:hAnsi="新細明體"/>
          <w:color w:val="808000"/>
        </w:rPr>
        <w:footnoteRef/>
      </w:r>
      <w:r w:rsidRPr="006B7176">
        <w:rPr>
          <w:rFonts w:hint="eastAsia"/>
        </w:rPr>
        <w:t>維基百科</w:t>
      </w:r>
      <w:r w:rsidRPr="006B7176">
        <w:rPr>
          <w:rFonts w:hint="eastAsia"/>
        </w:rPr>
        <w:t>(2015)</w:t>
      </w:r>
      <w:r w:rsidRPr="006B7176">
        <w:rPr>
          <w:rFonts w:hint="eastAsia"/>
        </w:rPr>
        <w:t>，臺日漁業協議，上網瀏覽時間：</w:t>
      </w:r>
      <w:r w:rsidRPr="006B7176">
        <w:rPr>
          <w:rFonts w:hint="eastAsia"/>
        </w:rPr>
        <w:t>2015/07/31</w:t>
      </w:r>
      <w:r w:rsidRPr="006B7176">
        <w:rPr>
          <w:rFonts w:hint="eastAsia"/>
        </w:rPr>
        <w:t>，</w:t>
      </w:r>
      <w:hyperlink r:id="rId293" w:history="1">
        <w:r w:rsidRPr="006B7176">
          <w:rPr>
            <w:rStyle w:val="a5"/>
          </w:rPr>
          <w:t>https://zh.wikipedia.org/wiki/%E8%87%BA%E6%97%A5%E6%BC%81%E6%A5%AD%E5%8D%94%E8%AD%B0</w:t>
        </w:r>
      </w:hyperlink>
      <w:r w:rsidRPr="006B7176">
        <w:t>。</w:t>
      </w:r>
    </w:p>
  </w:footnote>
  <w:footnote w:id="1021">
    <w:p w14:paraId="69EE3192" w14:textId="77777777" w:rsidR="00CA23FA" w:rsidRPr="006B7176" w:rsidRDefault="00CA23FA" w:rsidP="00E108EB">
      <w:pPr>
        <w:pStyle w:val="3"/>
        <w:jc w:val="left"/>
      </w:pPr>
      <w:r w:rsidRPr="006B7176">
        <w:rPr>
          <w:rStyle w:val="af3"/>
          <w:rFonts w:ascii="新細明體" w:hAnsi="新細明體"/>
          <w:color w:val="808000"/>
          <w:sz w:val="18"/>
        </w:rPr>
        <w:footnoteRef/>
      </w:r>
      <w:r w:rsidRPr="006B7176">
        <w:rPr>
          <w:rFonts w:hint="eastAsia"/>
        </w:rPr>
        <w:t>維基百科</w:t>
      </w:r>
      <w:r w:rsidRPr="006B7176">
        <w:rPr>
          <w:rFonts w:hint="eastAsia"/>
        </w:rPr>
        <w:t>(2015)</w:t>
      </w:r>
      <w:r w:rsidRPr="006B7176">
        <w:rPr>
          <w:rFonts w:hint="eastAsia"/>
        </w:rPr>
        <w:t>，臺日漁業協議，上網瀏覽時間：</w:t>
      </w:r>
      <w:r w:rsidRPr="006B7176">
        <w:rPr>
          <w:rFonts w:hint="eastAsia"/>
        </w:rPr>
        <w:t>2015/07/31</w:t>
      </w:r>
      <w:r w:rsidRPr="006B7176">
        <w:rPr>
          <w:rFonts w:hint="eastAsia"/>
        </w:rPr>
        <w:t>，</w:t>
      </w:r>
      <w:hyperlink r:id="rId294" w:history="1">
        <w:r w:rsidRPr="006B7176">
          <w:rPr>
            <w:rStyle w:val="a5"/>
            <w:sz w:val="18"/>
          </w:rPr>
          <w:t>https://zh.wikipedia.org/wiki/%E8%87%BA%E6%97%A5%E6%BC%81%E6%A5%AD%E5%8D%94%E8%AD%B0</w:t>
        </w:r>
      </w:hyperlink>
      <w:r w:rsidRPr="006B7176">
        <w:t>。</w:t>
      </w:r>
    </w:p>
  </w:footnote>
  <w:footnote w:id="1022">
    <w:p w14:paraId="71F0AFE3" w14:textId="77777777" w:rsidR="00CA23FA" w:rsidRPr="001663AE" w:rsidRDefault="00CA23FA" w:rsidP="00F82426">
      <w:pPr>
        <w:pStyle w:val="3"/>
        <w:jc w:val="left"/>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，臺日漁業協議，上網瀏覽時間：</w:t>
      </w:r>
      <w:r w:rsidRPr="001663AE">
        <w:rPr>
          <w:rFonts w:hint="eastAsia"/>
        </w:rPr>
        <w:t>2015/07/31</w:t>
      </w:r>
      <w:r w:rsidRPr="001663AE">
        <w:rPr>
          <w:rFonts w:hint="eastAsia"/>
        </w:rPr>
        <w:t>，</w:t>
      </w:r>
      <w:hyperlink r:id="rId295" w:history="1">
        <w:r w:rsidRPr="001663AE">
          <w:rPr>
            <w:rStyle w:val="a5"/>
          </w:rPr>
          <w:t>https://zh.wikipedia.org/wiki/%E8%87%BA%E6%97%A5%E6%BC%81%E6%A5%AD%E5%8D%94%E8%AD%B0</w:t>
        </w:r>
      </w:hyperlink>
      <w:r w:rsidRPr="001663AE">
        <w:t>。</w:t>
      </w:r>
    </w:p>
  </w:footnote>
  <w:footnote w:id="1023">
    <w:p w14:paraId="39988F5A" w14:textId="77777777" w:rsidR="00CA23FA" w:rsidRPr="001663AE" w:rsidRDefault="00CA23FA" w:rsidP="00F82426">
      <w:pPr>
        <w:pStyle w:val="3"/>
        <w:jc w:val="left"/>
      </w:pPr>
      <w:r w:rsidRPr="001663AE">
        <w:rPr>
          <w:rStyle w:val="af3"/>
          <w:rFonts w:ascii="新細明體" w:hAnsi="新細明體"/>
        </w:rPr>
        <w:footnoteRef/>
      </w:r>
      <w:r w:rsidRPr="001663AE">
        <w:t xml:space="preserve"> </w:t>
      </w:r>
      <w:hyperlink r:id="rId296" w:history="1">
        <w:r w:rsidRPr="001663AE">
          <w:rPr>
            <w:rFonts w:hint="eastAsia"/>
          </w:rPr>
          <w:t>有縁ネット</w:t>
        </w:r>
      </w:hyperlink>
      <w:r w:rsidRPr="001663AE">
        <w:rPr>
          <w:rFonts w:hint="eastAsia"/>
          <w:kern w:val="0"/>
        </w:rPr>
        <w:t>＝中国と日本＝あれやこれや</w:t>
      </w:r>
      <w:r w:rsidRPr="001663AE">
        <w:rPr>
          <w:rFonts w:hint="eastAsia"/>
        </w:rPr>
        <w:t>(2015)</w:t>
      </w:r>
      <w:r w:rsidRPr="001663AE">
        <w:rPr>
          <w:rFonts w:hint="eastAsia"/>
        </w:rPr>
        <w:t>，</w:t>
      </w:r>
      <w:r w:rsidRPr="00F82426">
        <w:rPr>
          <w:rStyle w:val="afc"/>
          <w:rFonts w:ascii="新細明體" w:hAnsi="新細明體" w:hint="eastAsia"/>
          <w:b w:val="0"/>
          <w:lang w:eastAsia="ja-JP"/>
        </w:rPr>
        <w:t>日本漁業権問題で台湾を取り込み，中国を牽制，</w:t>
      </w:r>
      <w:r w:rsidRPr="001663AE">
        <w:rPr>
          <w:rFonts w:hint="eastAsia"/>
        </w:rPr>
        <w:t>上網瀏覽時間：</w:t>
      </w:r>
      <w:r w:rsidRPr="001663AE">
        <w:rPr>
          <w:rFonts w:hint="eastAsia"/>
        </w:rPr>
        <w:t>2015/07/31</w:t>
      </w:r>
      <w:r w:rsidRPr="001663AE">
        <w:rPr>
          <w:rFonts w:hint="eastAsia"/>
        </w:rPr>
        <w:t>，</w:t>
      </w:r>
      <w:hyperlink r:id="rId297" w:history="1">
        <w:r w:rsidRPr="001663AE">
          <w:rPr>
            <w:rStyle w:val="a5"/>
          </w:rPr>
          <w:t>http://henmi42.cocolog-nifty.com/yijianyeye/2013/04/post-3ed0.html</w:t>
        </w:r>
      </w:hyperlink>
      <w:r w:rsidRPr="001663AE">
        <w:rPr>
          <w:rStyle w:val="afc"/>
          <w:rFonts w:ascii="新細明體" w:hAnsi="新細明體"/>
        </w:rPr>
        <w:t>。</w:t>
      </w:r>
    </w:p>
  </w:footnote>
  <w:footnote w:id="1024">
    <w:p w14:paraId="2CC03B26" w14:textId="77777777" w:rsidR="00CA23FA" w:rsidRPr="001663AE" w:rsidRDefault="00CA23FA" w:rsidP="00F82426">
      <w:pPr>
        <w:pStyle w:val="3"/>
        <w:jc w:val="left"/>
      </w:pPr>
      <w:r w:rsidRPr="001663AE">
        <w:rPr>
          <w:rStyle w:val="af3"/>
          <w:rFonts w:ascii="新細明體" w:hAnsi="新細明體"/>
        </w:rPr>
        <w:footnoteRef/>
      </w:r>
      <w:r w:rsidRPr="001663AE">
        <w:rPr>
          <w:rFonts w:hint="eastAsia"/>
        </w:rPr>
        <w:t>朱建民原譯、陳沖、張桐銳、林子平、李震山增譯，</w:t>
      </w:r>
      <w:r w:rsidRPr="00F82426">
        <w:rPr>
          <w:rStyle w:val="afc"/>
          <w:rFonts w:ascii="新細明體" w:hAnsi="新細明體" w:hint="eastAsia"/>
          <w:b w:val="0"/>
        </w:rPr>
        <w:t>德意志聯邦共和國基本法</w:t>
      </w:r>
      <w:r w:rsidRPr="001663AE">
        <w:rPr>
          <w:rStyle w:val="afc"/>
          <w:rFonts w:ascii="新細明體" w:hAnsi="新細明體" w:hint="eastAsia"/>
        </w:rPr>
        <w:t>，台北：司法院。</w:t>
      </w:r>
    </w:p>
  </w:footnote>
  <w:footnote w:id="1025">
    <w:p w14:paraId="65A9F745" w14:textId="77777777" w:rsidR="00CA23FA" w:rsidRPr="001663AE" w:rsidRDefault="00CA23FA" w:rsidP="00F82426">
      <w:pPr>
        <w:pStyle w:val="3"/>
        <w:jc w:val="left"/>
        <w:rPr>
          <w:lang w:bidi="bn-IN"/>
        </w:rPr>
      </w:pPr>
      <w:r w:rsidRPr="001663AE">
        <w:rPr>
          <w:rStyle w:val="af3"/>
          <w:rFonts w:ascii="新細明體" w:hAnsi="新細明體"/>
          <w:szCs w:val="20"/>
        </w:rPr>
        <w:footnoteRef/>
      </w:r>
      <w:r w:rsidRPr="001663AE">
        <w:t xml:space="preserve"> </w:t>
      </w:r>
      <w:r w:rsidRPr="001663AE">
        <w:rPr>
          <w:rFonts w:cs="TimesNewRomanPS-BoldMT"/>
          <w:lang w:bidi="bn-IN"/>
        </w:rPr>
        <w:t xml:space="preserve">The Constitution of Finland </w:t>
      </w:r>
      <w:r w:rsidRPr="001663AE">
        <w:rPr>
          <w:lang w:bidi="bn-IN"/>
        </w:rPr>
        <w:t xml:space="preserve">Section 1 </w:t>
      </w:r>
      <w:r>
        <w:rPr>
          <w:lang w:bidi="bn-IN"/>
        </w:rPr>
        <w:t>〜</w:t>
      </w:r>
      <w:r w:rsidRPr="001663AE">
        <w:rPr>
          <w:lang w:bidi="bn-IN"/>
        </w:rPr>
        <w:t xml:space="preserve">--The Constitution </w:t>
      </w:r>
    </w:p>
    <w:p w14:paraId="4480036F" w14:textId="77777777" w:rsidR="00CA23FA" w:rsidRPr="001663AE" w:rsidRDefault="00CA23FA" w:rsidP="00F82426">
      <w:pPr>
        <w:pStyle w:val="3"/>
        <w:jc w:val="left"/>
        <w:rPr>
          <w:lang w:bidi="bn-IN"/>
        </w:rPr>
      </w:pPr>
      <w:r w:rsidRPr="001663AE">
        <w:rPr>
          <w:lang w:bidi="bn-IN"/>
        </w:rPr>
        <w:t>Finland is a sovereign republic.</w:t>
      </w:r>
    </w:p>
    <w:p w14:paraId="7E108C57" w14:textId="77777777" w:rsidR="00CA23FA" w:rsidRPr="001663AE" w:rsidRDefault="00CA23FA" w:rsidP="00F82426">
      <w:pPr>
        <w:pStyle w:val="3"/>
        <w:jc w:val="left"/>
        <w:rPr>
          <w:lang w:bidi="bn-IN"/>
        </w:rPr>
      </w:pPr>
      <w:r w:rsidRPr="001663AE">
        <w:rPr>
          <w:lang w:bidi="bn-IN"/>
        </w:rPr>
        <w:t>The constitution of Finland is established in this constitutional act. The constitution shall guarantee the inviolability of human dignity and the freedom and rights of the individual and promote justice in society.</w:t>
      </w:r>
    </w:p>
    <w:p w14:paraId="5BE4EFB2" w14:textId="77777777" w:rsidR="00CA23FA" w:rsidRPr="001663AE" w:rsidRDefault="00CA23FA" w:rsidP="00F82426">
      <w:pPr>
        <w:pStyle w:val="3"/>
        <w:jc w:val="left"/>
      </w:pPr>
      <w:r w:rsidRPr="001663AE">
        <w:rPr>
          <w:lang w:bidi="bn-IN"/>
        </w:rPr>
        <w:t>Finland participates in international co-operation for the protection of peace and human rights and for the development of society. Finland is a Member State of the European Union</w:t>
      </w:r>
      <w:r>
        <w:rPr>
          <w:lang w:bidi="bn-IN"/>
        </w:rPr>
        <w:t>(</w:t>
      </w:r>
      <w:r w:rsidRPr="001663AE">
        <w:rPr>
          <w:lang w:bidi="bn-IN"/>
        </w:rPr>
        <w:t>1112/2011, entry into force 1.3.2012).</w:t>
      </w:r>
    </w:p>
  </w:footnote>
  <w:footnote w:id="1026">
    <w:p w14:paraId="78CC76DF" w14:textId="77777777" w:rsidR="00CA23FA" w:rsidRPr="001663AE" w:rsidRDefault="00CA23FA" w:rsidP="00F82426">
      <w:pPr>
        <w:pStyle w:val="3"/>
        <w:jc w:val="left"/>
      </w:pPr>
      <w:r w:rsidRPr="001663AE">
        <w:rPr>
          <w:rStyle w:val="af3"/>
          <w:rFonts w:ascii="新細明體" w:hAnsi="新細明體"/>
        </w:rPr>
        <w:footnoteRef/>
      </w:r>
      <w:r w:rsidRPr="001663AE">
        <w:t xml:space="preserve"> Conscious of their responsibility before God and man, Inspired by the determination to promote world peace as an equal partner in a united Europe, the German people, in the exer cise of their constituent power, have adopted this Basic Law. </w:t>
      </w:r>
    </w:p>
  </w:footnote>
  <w:footnote w:id="1027">
    <w:p w14:paraId="56F948D7" w14:textId="77777777" w:rsidR="00CA23FA" w:rsidRPr="001663AE" w:rsidRDefault="00CA23FA" w:rsidP="00F82426">
      <w:pPr>
        <w:pStyle w:val="3"/>
        <w:jc w:val="left"/>
      </w:pPr>
      <w:r w:rsidRPr="001663AE">
        <w:rPr>
          <w:rStyle w:val="af3"/>
          <w:rFonts w:ascii="新細明體" w:hAnsi="新細明體"/>
        </w:rPr>
        <w:footnoteRef/>
      </w:r>
      <w:r w:rsidRPr="001663AE">
        <w:t xml:space="preserve"> </w:t>
      </w:r>
      <w:r w:rsidRPr="001663AE">
        <w:rPr>
          <w:rFonts w:hint="eastAsia"/>
        </w:rPr>
        <w:t>請參閱：德國基本法序言。</w:t>
      </w:r>
    </w:p>
  </w:footnote>
  <w:footnote w:id="1028">
    <w:p w14:paraId="346C3573" w14:textId="77777777" w:rsidR="00CA23FA" w:rsidRPr="001663AE" w:rsidRDefault="00CA23FA" w:rsidP="00F82426">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298" w:history="1">
        <w:r w:rsidRPr="001663AE">
          <w:rPr>
            <w:rStyle w:val="a5"/>
          </w:rPr>
          <w:t>http://www.mod.go.jp/j/publication/wp/wp2013/pc/2013/index.html</w:t>
        </w:r>
      </w:hyperlink>
      <w:r w:rsidRPr="001663AE">
        <w:rPr>
          <w:rFonts w:hint="eastAsia"/>
        </w:rPr>
        <w:t>。</w:t>
      </w:r>
      <w:r w:rsidRPr="001663AE">
        <w:rPr>
          <w:rFonts w:hint="eastAsia"/>
        </w:rPr>
        <w:t xml:space="preserve"> </w:t>
      </w:r>
    </w:p>
  </w:footnote>
  <w:footnote w:id="1029">
    <w:p w14:paraId="364B5259" w14:textId="77777777" w:rsidR="00CA23FA" w:rsidRPr="001663AE" w:rsidRDefault="00CA23FA" w:rsidP="00F82426">
      <w:pPr>
        <w:pStyle w:val="3"/>
        <w:jc w:val="left"/>
      </w:pPr>
      <w:r w:rsidRPr="001663AE">
        <w:rPr>
          <w:rStyle w:val="af3"/>
          <w:rFonts w:ascii="新細明體" w:hAnsi="新細明體" w:cs="Arial"/>
        </w:rPr>
        <w:footnoteRef/>
      </w:r>
      <w:r w:rsidRPr="001663AE">
        <w:rPr>
          <w:rFonts w:hint="eastAsia"/>
        </w:rPr>
        <w:t>王翰靈</w:t>
      </w:r>
      <w:r w:rsidRPr="001663AE">
        <w:t>(2006)</w:t>
      </w:r>
      <w:r w:rsidRPr="001663AE">
        <w:rPr>
          <w:rFonts w:hint="eastAsia"/>
        </w:rPr>
        <w:t>，《反分裂國家法》的非和平方式條款，</w:t>
      </w:r>
      <w:hyperlink r:id="rId299" w:history="1">
        <w:r w:rsidRPr="001663AE">
          <w:rPr>
            <w:rStyle w:val="a5"/>
            <w:rFonts w:cs="Arial"/>
          </w:rPr>
          <w:t>http://www.chinatopnews.com/MainNews/Opinion/2005_4_15_7_53_34_622.html</w:t>
        </w:r>
      </w:hyperlink>
      <w:r w:rsidRPr="001663AE">
        <w:rPr>
          <w:rFonts w:hint="eastAsia"/>
        </w:rPr>
        <w:t>；</w:t>
      </w:r>
      <w:r w:rsidRPr="001663AE">
        <w:t>chinesenewsnet.com(2006.07.22)</w:t>
      </w:r>
      <w:r w:rsidRPr="001663AE">
        <w:rPr>
          <w:rFonts w:hint="eastAsia"/>
        </w:rPr>
        <w:t>。</w:t>
      </w:r>
    </w:p>
  </w:footnote>
  <w:footnote w:id="1030">
    <w:p w14:paraId="02A2E472" w14:textId="77777777" w:rsidR="00CA23FA" w:rsidRPr="001663AE" w:rsidRDefault="00CA23FA" w:rsidP="00F82426">
      <w:pPr>
        <w:pStyle w:val="3"/>
        <w:jc w:val="left"/>
      </w:pPr>
      <w:r w:rsidRPr="001663AE">
        <w:rPr>
          <w:rStyle w:val="af3"/>
          <w:rFonts w:ascii="新細明體" w:hAnsi="新細明體"/>
        </w:rPr>
        <w:footnoteRef/>
      </w:r>
      <w:r w:rsidRPr="001663AE">
        <w:rPr>
          <w:rFonts w:cs="Arial" w:hint="eastAsia"/>
        </w:rPr>
        <w:t>《反分裂國家法》</w:t>
      </w:r>
      <w:r w:rsidRPr="001663AE">
        <w:rPr>
          <w:rFonts w:hint="eastAsia"/>
        </w:rPr>
        <w:t>第二條</w:t>
      </w:r>
      <w:r w:rsidRPr="001663AE">
        <w:t xml:space="preserve"> </w:t>
      </w:r>
      <w:r w:rsidRPr="001663AE">
        <w:rPr>
          <w:rStyle w:val="grame"/>
          <w:rFonts w:ascii="新細明體" w:hAnsi="新細明體" w:cs="標楷體" w:hint="eastAsia"/>
        </w:rPr>
        <w:t>世界上隻有</w:t>
      </w:r>
      <w:r w:rsidRPr="001663AE">
        <w:rPr>
          <w:rFonts w:hint="eastAsia"/>
        </w:rPr>
        <w:t>一個中國，大陸和台灣同屬一個中國，中國的主權和領土完整不容分割。維護國家主權和領土完整是包括台灣同胞在內的全中國人民的共同義務。</w:t>
      </w:r>
    </w:p>
  </w:footnote>
  <w:footnote w:id="1031">
    <w:p w14:paraId="3E22A129" w14:textId="77777777" w:rsidR="00CA23FA" w:rsidRPr="001663AE" w:rsidRDefault="00CA23FA" w:rsidP="00F82426">
      <w:pPr>
        <w:pStyle w:val="3"/>
        <w:jc w:val="left"/>
      </w:pPr>
      <w:r w:rsidRPr="001663AE">
        <w:rPr>
          <w:rStyle w:val="af3"/>
          <w:rFonts w:ascii="新細明體" w:hAnsi="新細明體"/>
          <w:szCs w:val="20"/>
        </w:rPr>
        <w:footnoteRef/>
      </w:r>
      <w:r w:rsidRPr="001663AE">
        <w:t>中華民國外交部</w:t>
      </w:r>
      <w:r w:rsidRPr="001663AE">
        <w:rPr>
          <w:rFonts w:hint="eastAsia"/>
        </w:rPr>
        <w:t>(2012)</w:t>
      </w:r>
      <w:r w:rsidRPr="001663AE">
        <w:t>，</w:t>
      </w:r>
      <w:r w:rsidRPr="001663AE">
        <w:rPr>
          <w:rFonts w:hint="eastAsia"/>
        </w:rPr>
        <w:t>中日馬關條約，上網瀏覽時間：</w:t>
      </w:r>
      <w:r w:rsidRPr="001663AE">
        <w:rPr>
          <w:rFonts w:hint="eastAsia"/>
        </w:rPr>
        <w:t>2015/07/28</w:t>
      </w:r>
      <w:r w:rsidRPr="001663AE">
        <w:rPr>
          <w:rFonts w:hint="eastAsia"/>
        </w:rPr>
        <w:t>，</w:t>
      </w:r>
    </w:p>
    <w:p w14:paraId="518D8121" w14:textId="77777777" w:rsidR="00CA23FA" w:rsidRPr="001663AE" w:rsidRDefault="00076467" w:rsidP="00F82426">
      <w:pPr>
        <w:pStyle w:val="3"/>
        <w:jc w:val="left"/>
      </w:pPr>
      <w:hyperlink r:id="rId300" w:history="1">
        <w:r w:rsidR="00CA23FA" w:rsidRPr="001663AE">
          <w:rPr>
            <w:rStyle w:val="a5"/>
          </w:rPr>
          <w:t>http://www.mofa.gov.tw/cp.aspx?n=B73275F3D7E4D908</w:t>
        </w:r>
      </w:hyperlink>
      <w:r w:rsidR="00CA23FA" w:rsidRPr="001663AE">
        <w:t>。</w:t>
      </w:r>
    </w:p>
    <w:p w14:paraId="3C9FBAA9" w14:textId="77777777" w:rsidR="00CA23FA" w:rsidRPr="001663AE" w:rsidRDefault="00CA23FA" w:rsidP="00F82426">
      <w:pPr>
        <w:pStyle w:val="3"/>
        <w:jc w:val="left"/>
      </w:pPr>
      <w:r w:rsidRPr="001663AE">
        <w:rPr>
          <w:rFonts w:hint="eastAsia"/>
        </w:rPr>
        <w:t>中日馬關條約</w:t>
      </w:r>
      <w:r w:rsidRPr="001663AE">
        <w:rPr>
          <w:rFonts w:hint="eastAsia"/>
        </w:rPr>
        <w:t xml:space="preserve"> </w:t>
      </w:r>
    </w:p>
    <w:p w14:paraId="56C8BFE8" w14:textId="77777777" w:rsidR="00CA23FA" w:rsidRPr="001663AE" w:rsidRDefault="00CA23FA" w:rsidP="00F82426">
      <w:pPr>
        <w:pStyle w:val="3"/>
        <w:jc w:val="left"/>
      </w:pPr>
      <w:r w:rsidRPr="001663AE">
        <w:rPr>
          <w:rFonts w:hint="eastAsia"/>
        </w:rPr>
        <w:t>第一條：中國確認朝鮮國為獨立自主國家，朝鮮對中國的朝貢、奉獻、典禮永遠廢止。</w:t>
      </w:r>
    </w:p>
    <w:p w14:paraId="6E77114D" w14:textId="77777777" w:rsidR="00CA23FA" w:rsidRPr="001663AE" w:rsidRDefault="00CA23FA" w:rsidP="00F82426">
      <w:pPr>
        <w:pStyle w:val="3"/>
        <w:jc w:val="left"/>
      </w:pPr>
      <w:r w:rsidRPr="001663AE">
        <w:rPr>
          <w:rFonts w:hint="eastAsia"/>
        </w:rPr>
        <w:t>第二條：中國把遼東半島、台灣、澎湖群島之權，即英國格林尼次東經百十九度起至百二十度止、北緯二十三度起至二十四度之間諸島嶼。該地城壘、兵器製造所及國有物永久割讓給日本。</w:t>
      </w:r>
    </w:p>
    <w:p w14:paraId="68DFB7FF" w14:textId="77777777" w:rsidR="00CA23FA" w:rsidRPr="001663AE" w:rsidRDefault="00CA23FA" w:rsidP="00F82426">
      <w:pPr>
        <w:pStyle w:val="3"/>
        <w:jc w:val="left"/>
      </w:pPr>
      <w:r w:rsidRPr="001663AE">
        <w:rPr>
          <w:rFonts w:hint="eastAsia"/>
        </w:rPr>
        <w:t>第三條：兩國各選派官員劃定疆界，就地踏勘確定劃界。</w:t>
      </w:r>
    </w:p>
    <w:p w14:paraId="69A2A9BF" w14:textId="77777777" w:rsidR="00CA23FA" w:rsidRPr="001663AE" w:rsidRDefault="00CA23FA" w:rsidP="00F82426">
      <w:pPr>
        <w:pStyle w:val="3"/>
        <w:jc w:val="left"/>
      </w:pPr>
      <w:r w:rsidRPr="001663AE">
        <w:rPr>
          <w:rFonts w:hint="eastAsia"/>
        </w:rPr>
        <w:t>第四條：中國支付日本賠款</w:t>
      </w:r>
      <w:r w:rsidRPr="001663AE">
        <w:rPr>
          <w:rFonts w:hint="eastAsia"/>
        </w:rPr>
        <w:t>2</w:t>
      </w:r>
      <w:r w:rsidRPr="001663AE">
        <w:rPr>
          <w:rFonts w:hint="eastAsia"/>
        </w:rPr>
        <w:t>億兩白銀（約</w:t>
      </w:r>
      <w:r w:rsidRPr="001663AE">
        <w:rPr>
          <w:rFonts w:hint="eastAsia"/>
        </w:rPr>
        <w:t>3</w:t>
      </w:r>
      <w:r w:rsidRPr="001663AE">
        <w:rPr>
          <w:rFonts w:hint="eastAsia"/>
        </w:rPr>
        <w:t>億日圓）。</w:t>
      </w:r>
    </w:p>
    <w:p w14:paraId="2056E4BF" w14:textId="77777777" w:rsidR="00CA23FA" w:rsidRPr="001663AE" w:rsidRDefault="00CA23FA" w:rsidP="00F82426">
      <w:pPr>
        <w:pStyle w:val="3"/>
        <w:jc w:val="left"/>
      </w:pPr>
      <w:r w:rsidRPr="001663AE">
        <w:rPr>
          <w:rFonts w:hint="eastAsia"/>
        </w:rPr>
        <w:t>第五條：割讓土地的居民能自由賣掉所有不動產及遷移，條約批准</w:t>
      </w:r>
      <w:r w:rsidRPr="001663AE">
        <w:rPr>
          <w:rFonts w:hint="eastAsia"/>
        </w:rPr>
        <w:t>2</w:t>
      </w:r>
      <w:r w:rsidRPr="001663AE">
        <w:rPr>
          <w:rFonts w:hint="eastAsia"/>
        </w:rPr>
        <w:t>年後該地的居民將被視為日本國民。</w:t>
      </w:r>
    </w:p>
    <w:p w14:paraId="40923D7E" w14:textId="77777777" w:rsidR="00CA23FA" w:rsidRPr="001663AE" w:rsidRDefault="00CA23FA" w:rsidP="00F82426">
      <w:pPr>
        <w:pStyle w:val="3"/>
        <w:jc w:val="left"/>
      </w:pPr>
      <w:r w:rsidRPr="001663AE">
        <w:rPr>
          <w:rFonts w:hint="eastAsia"/>
        </w:rPr>
        <w:t>第六條：中國開放沙市、重慶、蘇州、杭州等口岸，及認可日本最惠國待遇。允許日本人在中國通商口設立領事館和工廠及輸入各種機器。</w:t>
      </w:r>
    </w:p>
    <w:p w14:paraId="454DD6E7" w14:textId="77777777" w:rsidR="00CA23FA" w:rsidRPr="001663AE" w:rsidRDefault="00CA23FA" w:rsidP="00F82426">
      <w:pPr>
        <w:pStyle w:val="3"/>
        <w:jc w:val="left"/>
      </w:pPr>
      <w:r w:rsidRPr="001663AE">
        <w:rPr>
          <w:rFonts w:hint="eastAsia"/>
        </w:rPr>
        <w:t>第七條：日本在</w:t>
      </w:r>
      <w:r w:rsidRPr="001663AE">
        <w:rPr>
          <w:rFonts w:hint="eastAsia"/>
        </w:rPr>
        <w:t>3</w:t>
      </w:r>
      <w:r w:rsidRPr="001663AE">
        <w:rPr>
          <w:rFonts w:hint="eastAsia"/>
        </w:rPr>
        <w:t>個月以內撤回中國領土內日軍。</w:t>
      </w:r>
    </w:p>
    <w:p w14:paraId="563A245F" w14:textId="77777777" w:rsidR="00CA23FA" w:rsidRPr="001663AE" w:rsidRDefault="00CA23FA" w:rsidP="00F82426">
      <w:pPr>
        <w:pStyle w:val="3"/>
        <w:jc w:val="left"/>
      </w:pPr>
      <w:r w:rsidRPr="001663AE">
        <w:rPr>
          <w:rFonts w:hint="eastAsia"/>
        </w:rPr>
        <w:t>第八條：中國承認日本佔領山東省威海衛三年，待中國還清賠款後才交還，如果費用支付不全，日軍不撤回，日軍軍費由中國負擔。</w:t>
      </w:r>
    </w:p>
    <w:p w14:paraId="0F924328" w14:textId="77777777" w:rsidR="00CA23FA" w:rsidRPr="001663AE" w:rsidRDefault="00CA23FA" w:rsidP="00F82426">
      <w:pPr>
        <w:pStyle w:val="3"/>
        <w:jc w:val="left"/>
      </w:pPr>
      <w:r w:rsidRPr="001663AE">
        <w:rPr>
          <w:rFonts w:hint="eastAsia"/>
        </w:rPr>
        <w:t>第九條：中國對日本人俘虜，不可虐待處刑，也不可對協助日軍的中國人士處刑。</w:t>
      </w:r>
    </w:p>
    <w:p w14:paraId="7927058F" w14:textId="77777777" w:rsidR="00CA23FA" w:rsidRPr="001663AE" w:rsidRDefault="00CA23FA" w:rsidP="00F82426">
      <w:pPr>
        <w:pStyle w:val="3"/>
        <w:jc w:val="left"/>
      </w:pPr>
      <w:r w:rsidRPr="001663AE">
        <w:rPr>
          <w:rFonts w:hint="eastAsia"/>
        </w:rPr>
        <w:t>第十條：條約批准日開始停止戰鬥。</w:t>
      </w:r>
    </w:p>
    <w:p w14:paraId="690D2958" w14:textId="77777777" w:rsidR="00CA23FA" w:rsidRPr="001663AE" w:rsidRDefault="00CA23FA" w:rsidP="00F82426">
      <w:pPr>
        <w:pStyle w:val="3"/>
        <w:jc w:val="left"/>
      </w:pPr>
      <w:r w:rsidRPr="001663AE">
        <w:rPr>
          <w:rFonts w:hint="eastAsia"/>
        </w:rPr>
        <w:t>第十一條：條約由中日兩國批准，日本明治</w:t>
      </w:r>
      <w:r w:rsidRPr="001663AE">
        <w:rPr>
          <w:rFonts w:hint="eastAsia"/>
        </w:rPr>
        <w:t>28</w:t>
      </w:r>
      <w:r w:rsidRPr="001663AE">
        <w:rPr>
          <w:rFonts w:hint="eastAsia"/>
        </w:rPr>
        <w:t>年（</w:t>
      </w:r>
      <w:r w:rsidRPr="001663AE">
        <w:rPr>
          <w:rFonts w:hint="eastAsia"/>
        </w:rPr>
        <w:t>1895</w:t>
      </w:r>
      <w:r w:rsidRPr="001663AE">
        <w:rPr>
          <w:rFonts w:hint="eastAsia"/>
        </w:rPr>
        <w:t>年）</w:t>
      </w:r>
      <w:r w:rsidRPr="001663AE">
        <w:rPr>
          <w:rFonts w:hint="eastAsia"/>
        </w:rPr>
        <w:t>5</w:t>
      </w:r>
      <w:r w:rsidRPr="001663AE">
        <w:rPr>
          <w:rFonts w:hint="eastAsia"/>
        </w:rPr>
        <w:t>月</w:t>
      </w:r>
      <w:r w:rsidRPr="001663AE">
        <w:rPr>
          <w:rFonts w:hint="eastAsia"/>
        </w:rPr>
        <w:t>8</w:t>
      </w:r>
      <w:r w:rsidRPr="001663AE">
        <w:rPr>
          <w:rFonts w:hint="eastAsia"/>
        </w:rPr>
        <w:t>日，清光緒二十一年四月十四日生效。</w:t>
      </w:r>
    </w:p>
    <w:p w14:paraId="38F81279" w14:textId="77777777" w:rsidR="00CA23FA" w:rsidRPr="001663AE" w:rsidRDefault="00CA23FA" w:rsidP="00D87D91">
      <w:pPr>
        <w:pStyle w:val="3"/>
      </w:pPr>
    </w:p>
  </w:footnote>
  <w:footnote w:id="1032">
    <w:p w14:paraId="1FE98F50"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舊金山和平條約第</w:t>
      </w:r>
      <w:r w:rsidRPr="001663AE">
        <w:t>2</w:t>
      </w:r>
      <w:r w:rsidRPr="001663AE">
        <w:rPr>
          <w:rFonts w:hint="eastAsia"/>
        </w:rPr>
        <w:t>條</w:t>
      </w:r>
      <w:r>
        <w:t>〜</w:t>
      </w:r>
      <w:r w:rsidRPr="001663AE">
        <w:t>-</w:t>
      </w:r>
    </w:p>
    <w:p w14:paraId="5E2BC45B" w14:textId="77777777" w:rsidR="00CA23FA" w:rsidRPr="001663AE" w:rsidRDefault="00CA23FA" w:rsidP="00D87D91">
      <w:pPr>
        <w:pStyle w:val="3"/>
      </w:pPr>
      <w:r w:rsidRPr="001663AE">
        <w:t>(a).</w:t>
      </w:r>
      <w:r w:rsidRPr="001663AE">
        <w:rPr>
          <w:rFonts w:hint="eastAsia"/>
        </w:rPr>
        <w:t>日本承認朝鮮獨立並予以放棄對朝鮮包括濟州島、巨文島與鬱陵島等島嶼的一切權利、權利名義與要求。</w:t>
      </w:r>
    </w:p>
    <w:p w14:paraId="5018BE29" w14:textId="77777777" w:rsidR="00CA23FA" w:rsidRPr="001663AE" w:rsidRDefault="00CA23FA" w:rsidP="00D87D91">
      <w:pPr>
        <w:pStyle w:val="3"/>
      </w:pPr>
      <w:r w:rsidRPr="001663AE">
        <w:t>(b).</w:t>
      </w:r>
      <w:r w:rsidRPr="001663AE">
        <w:rPr>
          <w:rFonts w:hint="eastAsia"/>
        </w:rPr>
        <w:t>日本放棄對台灣、澎湖等島嶼的一切權利、權利名義與要求。</w:t>
      </w:r>
    </w:p>
    <w:p w14:paraId="60440256" w14:textId="77777777" w:rsidR="00CA23FA" w:rsidRPr="001663AE" w:rsidRDefault="00CA23FA" w:rsidP="00D87D91">
      <w:pPr>
        <w:pStyle w:val="3"/>
      </w:pPr>
      <w:r w:rsidRPr="001663AE">
        <w:t>(c).</w:t>
      </w:r>
      <w:r w:rsidRPr="001663AE">
        <w:rPr>
          <w:rFonts w:hint="eastAsia"/>
        </w:rPr>
        <w:t>日本放棄對千島群島、</w:t>
      </w:r>
      <w:r w:rsidRPr="001663AE">
        <w:t xml:space="preserve"> 1905 </w:t>
      </w:r>
      <w:r w:rsidRPr="001663AE">
        <w:rPr>
          <w:rFonts w:hint="eastAsia"/>
        </w:rPr>
        <w:t>年</w:t>
      </w:r>
      <w:r w:rsidRPr="001663AE">
        <w:t xml:space="preserve"> 9 </w:t>
      </w:r>
      <w:r w:rsidRPr="001663AE">
        <w:rPr>
          <w:rFonts w:hint="eastAsia"/>
        </w:rPr>
        <w:t>月</w:t>
      </w:r>
      <w:r w:rsidRPr="001663AE">
        <w:t xml:space="preserve"> 5 </w:t>
      </w:r>
      <w:r w:rsidRPr="001663AE">
        <w:rPr>
          <w:rFonts w:hint="eastAsia"/>
        </w:rPr>
        <w:t>日獲得之庫頁島部分，以及鄰近各島嶼的一切權利、權利名義與要求。</w:t>
      </w:r>
    </w:p>
    <w:p w14:paraId="2C1A761C" w14:textId="77777777" w:rsidR="00CA23FA" w:rsidRPr="001663AE" w:rsidRDefault="00CA23FA" w:rsidP="00D87D91">
      <w:pPr>
        <w:pStyle w:val="3"/>
      </w:pPr>
      <w:r w:rsidRPr="001663AE">
        <w:t>(d).</w:t>
      </w:r>
      <w:r w:rsidRPr="001663AE">
        <w:rPr>
          <w:rFonts w:hint="eastAsia"/>
        </w:rPr>
        <w:t>日本放棄國際聯盟委任統治相關的一切權利、權利名義與要求，同時接受聯合國安全理事會於</w:t>
      </w:r>
      <w:r w:rsidRPr="001663AE">
        <w:t xml:space="preserve"> 1947</w:t>
      </w:r>
      <w:r w:rsidRPr="001663AE">
        <w:rPr>
          <w:rFonts w:hint="eastAsia"/>
        </w:rPr>
        <w:t>年</w:t>
      </w:r>
      <w:r w:rsidRPr="001663AE">
        <w:t>4</w:t>
      </w:r>
      <w:r w:rsidRPr="001663AE">
        <w:rPr>
          <w:rFonts w:hint="eastAsia"/>
        </w:rPr>
        <w:t>月</w:t>
      </w:r>
      <w:r w:rsidRPr="001663AE">
        <w:t>2</w:t>
      </w:r>
      <w:r w:rsidRPr="001663AE">
        <w:rPr>
          <w:rFonts w:hint="eastAsia"/>
        </w:rPr>
        <w:t>日所採取有關日本前述太平洋島嶼委任統治地之信託統治安排。</w:t>
      </w:r>
    </w:p>
    <w:p w14:paraId="0E31D3FC" w14:textId="77777777" w:rsidR="00CA23FA" w:rsidRPr="001663AE" w:rsidRDefault="00CA23FA" w:rsidP="00D87D91">
      <w:pPr>
        <w:pStyle w:val="3"/>
      </w:pPr>
      <w:r w:rsidRPr="001663AE">
        <w:t>(e).</w:t>
      </w:r>
      <w:r w:rsidRPr="001663AE">
        <w:rPr>
          <w:rFonts w:hint="eastAsia"/>
        </w:rPr>
        <w:t>日本放棄因為日本國家或國民在南極地區活動所衍生的一切權利、權利名義與要求。</w:t>
      </w:r>
    </w:p>
    <w:p w14:paraId="289E2CC9" w14:textId="77777777" w:rsidR="00CA23FA" w:rsidRPr="001663AE" w:rsidRDefault="00CA23FA" w:rsidP="00D87D91">
      <w:pPr>
        <w:pStyle w:val="3"/>
      </w:pPr>
      <w:r w:rsidRPr="001663AE">
        <w:t>(f).</w:t>
      </w:r>
      <w:r w:rsidRPr="001663AE">
        <w:rPr>
          <w:rFonts w:hint="eastAsia"/>
        </w:rPr>
        <w:t>日本放棄對南沙群島與西沙群島的一切權利、權利名義與要求。</w:t>
      </w:r>
    </w:p>
  </w:footnote>
  <w:footnote w:id="1033">
    <w:p w14:paraId="5728E460" w14:textId="77777777"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Section 1 - The Constitution</w:t>
      </w:r>
    </w:p>
    <w:p w14:paraId="56CE0A0B" w14:textId="77777777" w:rsidR="00CA23FA" w:rsidRPr="001663AE" w:rsidRDefault="00CA23FA" w:rsidP="00D87D91">
      <w:pPr>
        <w:pStyle w:val="3"/>
        <w:rPr>
          <w:lang w:bidi="bn-IN"/>
        </w:rPr>
      </w:pPr>
      <w:r w:rsidRPr="001663AE">
        <w:rPr>
          <w:lang w:bidi="bn-IN"/>
        </w:rPr>
        <w:t>Finland is a sovereign republic.</w:t>
      </w:r>
    </w:p>
    <w:p w14:paraId="396439AA" w14:textId="77777777" w:rsidR="00CA23FA" w:rsidRPr="001663AE" w:rsidRDefault="00CA23FA" w:rsidP="00D87D91">
      <w:pPr>
        <w:pStyle w:val="3"/>
        <w:rPr>
          <w:lang w:bidi="bn-IN"/>
        </w:rPr>
      </w:pPr>
      <w:r w:rsidRPr="001663AE">
        <w:rPr>
          <w:lang w:bidi="bn-IN"/>
        </w:rPr>
        <w:t>The constitution of Finland is established in this constitutional act. The constitution shall guarantee the inviolability of human dignity and the freedom and rights of the individual and promote justice in society.</w:t>
      </w:r>
    </w:p>
    <w:p w14:paraId="5504F74A" w14:textId="77777777" w:rsidR="00CA23FA" w:rsidRPr="001C3A2B" w:rsidRDefault="00CA23FA" w:rsidP="00D87D91">
      <w:pPr>
        <w:pStyle w:val="3"/>
      </w:pPr>
      <w:r w:rsidRPr="001663AE">
        <w:rPr>
          <w:lang w:bidi="bn-IN"/>
        </w:rPr>
        <w:t>Finland participates in international co-operation for the protection of peace and human rights and for the development of society. Finland is a Member State of the European Union</w:t>
      </w:r>
      <w:r>
        <w:rPr>
          <w:lang w:bidi="bn-IN"/>
        </w:rPr>
        <w:t>(</w:t>
      </w:r>
      <w:r w:rsidRPr="001663AE">
        <w:rPr>
          <w:lang w:bidi="bn-IN"/>
        </w:rPr>
        <w:t>1112/2011, entry into force 1.3.2012).</w:t>
      </w:r>
    </w:p>
  </w:footnote>
  <w:footnote w:id="1034">
    <w:p w14:paraId="3A8FA521"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有關於台灣民政府主張，詳見台灣民政府</w:t>
      </w:r>
      <w:r w:rsidRPr="001663AE">
        <w:rPr>
          <w:rFonts w:hint="eastAsia"/>
        </w:rPr>
        <w:t>2015 1</w:t>
      </w:r>
      <w:r w:rsidRPr="001663AE">
        <w:rPr>
          <w:rFonts w:hint="eastAsia"/>
        </w:rPr>
        <w:t>月</w:t>
      </w:r>
      <w:r w:rsidRPr="001663AE">
        <w:rPr>
          <w:rFonts w:hint="eastAsia"/>
        </w:rPr>
        <w:t>1</w:t>
      </w:r>
      <w:r w:rsidRPr="001663AE">
        <w:rPr>
          <w:rFonts w:hint="eastAsia"/>
        </w:rPr>
        <w:t>日新春文告文之內容。</w:t>
      </w:r>
    </w:p>
  </w:footnote>
  <w:footnote w:id="1035">
    <w:p w14:paraId="33BEB543" w14:textId="77777777" w:rsidR="00CA23FA" w:rsidRPr="001663AE" w:rsidRDefault="00CA23FA" w:rsidP="00D87D91">
      <w:pPr>
        <w:pStyle w:val="3"/>
      </w:pPr>
      <w:r w:rsidRPr="001663AE">
        <w:rPr>
          <w:rStyle w:val="af3"/>
          <w:rFonts w:ascii="新細明體" w:hAnsi="新細明體"/>
        </w:rPr>
        <w:footnoteRef/>
      </w:r>
      <w:r w:rsidRPr="001663AE">
        <w:t xml:space="preserve"> Article 1 [Human dignity – Human rights – Legally binding force of basic rights]</w:t>
      </w:r>
    </w:p>
    <w:p w14:paraId="363C8FC0" w14:textId="77777777" w:rsidR="00CA23FA" w:rsidRPr="001663AE" w:rsidRDefault="00CA23FA" w:rsidP="00D87D91">
      <w:pPr>
        <w:pStyle w:val="3"/>
      </w:pPr>
      <w:r w:rsidRPr="001663AE">
        <w:t xml:space="preserve">(1) Human dignity shall be inviolable. To respect and protect it shall be the duty of all state authority. </w:t>
      </w:r>
    </w:p>
  </w:footnote>
  <w:footnote w:id="1036">
    <w:p w14:paraId="4C638C5F" w14:textId="77777777"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Section 1 - The Constitution</w:t>
      </w:r>
    </w:p>
    <w:p w14:paraId="220CE743" w14:textId="77777777" w:rsidR="00CA23FA" w:rsidRPr="001663AE" w:rsidRDefault="00CA23FA" w:rsidP="00D87D91">
      <w:pPr>
        <w:pStyle w:val="3"/>
        <w:rPr>
          <w:lang w:bidi="bn-IN"/>
        </w:rPr>
      </w:pPr>
      <w:r w:rsidRPr="001663AE">
        <w:rPr>
          <w:lang w:bidi="bn-IN"/>
        </w:rPr>
        <w:t>Finland is a sovereign republic.</w:t>
      </w:r>
    </w:p>
    <w:p w14:paraId="6410CB81" w14:textId="77777777" w:rsidR="00CA23FA" w:rsidRPr="001663AE" w:rsidRDefault="00CA23FA" w:rsidP="00D87D91">
      <w:pPr>
        <w:pStyle w:val="3"/>
        <w:rPr>
          <w:lang w:bidi="bn-IN"/>
        </w:rPr>
      </w:pPr>
      <w:r w:rsidRPr="001663AE">
        <w:rPr>
          <w:lang w:bidi="bn-IN"/>
        </w:rPr>
        <w:t>The constitution of Finland is established in this constitutional act. The constitution shall guarantee the inviolability of human dignity and the freedom and rights of the individual and promote justice in society.</w:t>
      </w:r>
    </w:p>
    <w:p w14:paraId="735C0FB8" w14:textId="77777777" w:rsidR="00CA23FA" w:rsidRPr="001663AE" w:rsidRDefault="00CA23FA" w:rsidP="00D87D91">
      <w:pPr>
        <w:pStyle w:val="3"/>
      </w:pPr>
      <w:r w:rsidRPr="001663AE">
        <w:rPr>
          <w:lang w:bidi="bn-IN"/>
        </w:rPr>
        <w:t>Finland participates in international co-operation for the protection of peace and human rights and for the development of society. Finland is a Member State of the European Union</w:t>
      </w:r>
      <w:r>
        <w:rPr>
          <w:lang w:bidi="bn-IN"/>
        </w:rPr>
        <w:t>(</w:t>
      </w:r>
      <w:r w:rsidRPr="001663AE">
        <w:rPr>
          <w:lang w:bidi="bn-IN"/>
        </w:rPr>
        <w:t>1112/2011, entry into force 1.3.2012).</w:t>
      </w:r>
    </w:p>
    <w:p w14:paraId="2DD3E95A" w14:textId="77777777" w:rsidR="00CA23FA" w:rsidRPr="001663AE" w:rsidRDefault="00CA23FA" w:rsidP="00D87D91">
      <w:pPr>
        <w:pStyle w:val="3"/>
      </w:pPr>
    </w:p>
  </w:footnote>
  <w:footnote w:id="1037">
    <w:p w14:paraId="35ABDD90" w14:textId="77777777" w:rsidR="00CA23FA" w:rsidRPr="001663AE" w:rsidRDefault="00CA23FA" w:rsidP="006D375C">
      <w:pPr>
        <w:pStyle w:val="3"/>
        <w:jc w:val="left"/>
        <w:rPr>
          <w:rFonts w:ascii="新細明體" w:hAnsi="新細明體"/>
          <w:szCs w:val="20"/>
        </w:rPr>
      </w:pPr>
      <w:r w:rsidRPr="001663AE">
        <w:rPr>
          <w:rStyle w:val="af3"/>
          <w:rFonts w:ascii="新細明體" w:hAnsi="新細明體"/>
          <w:szCs w:val="20"/>
        </w:rPr>
        <w:footnoteRef/>
      </w:r>
      <w:r w:rsidRPr="001663AE">
        <w:rPr>
          <w:rFonts w:ascii="新細明體" w:hAnsi="新細明體"/>
          <w:szCs w:val="20"/>
        </w:rPr>
        <w:t xml:space="preserve"> </w:t>
      </w:r>
      <w:r w:rsidRPr="001663AE">
        <w:rPr>
          <w:rFonts w:ascii="新細明體" w:hAnsi="新細明體" w:hint="eastAsia"/>
          <w:szCs w:val="20"/>
        </w:rPr>
        <w:t>Yahoo(2015)，修憲在即，9議題34提案一次總整理，上網瀏覽時間：2015/07/02，</w:t>
      </w:r>
      <w:hyperlink r:id="rId301" w:history="1">
        <w:r w:rsidRPr="001663AE">
          <w:rPr>
            <w:rStyle w:val="a5"/>
            <w:szCs w:val="20"/>
          </w:rPr>
          <w:t>https://tw.news.yahoo.com/%E4%BF%AE%E6%86%B2%E5%9C%A8%E5%8D%B3-9%E8%AD%B0%E9%A1%8C34%E6%8F%90%E6%A1%88%E4%B8%80%E6%AC%A1%E7%B8%BD%E6%95%B4%E7%90%86-002033269.html</w:t>
        </w:r>
      </w:hyperlink>
      <w:r w:rsidRPr="001663AE">
        <w:rPr>
          <w:rFonts w:ascii="新細明體" w:hAnsi="新細明體"/>
          <w:szCs w:val="20"/>
        </w:rPr>
        <w:t>。</w:t>
      </w:r>
    </w:p>
    <w:p w14:paraId="1D5FBC2D" w14:textId="77777777" w:rsidR="00CA23FA" w:rsidRPr="001663AE" w:rsidRDefault="00CA23FA" w:rsidP="00D87D91">
      <w:pPr>
        <w:pStyle w:val="af1"/>
      </w:pPr>
    </w:p>
  </w:footnote>
  <w:footnote w:id="1038">
    <w:p w14:paraId="7CC2BC2C" w14:textId="77777777" w:rsidR="00CA23FA" w:rsidRPr="001663AE" w:rsidRDefault="00CA23FA" w:rsidP="00971142">
      <w:pPr>
        <w:pStyle w:val="3"/>
        <w:jc w:val="left"/>
      </w:pPr>
      <w:r w:rsidRPr="001663AE">
        <w:rPr>
          <w:rStyle w:val="af3"/>
          <w:rFonts w:ascii="新細明體" w:hAnsi="新細明體"/>
        </w:rPr>
        <w:footnoteRef/>
      </w:r>
      <w:r w:rsidRPr="001663AE">
        <w:rPr>
          <w:rFonts w:hint="eastAsia"/>
        </w:rPr>
        <w:t>東吳大學人權教育網，歐洲聯盟基本權利憲章，上網瀏覽時日：</w:t>
      </w:r>
      <w:r w:rsidRPr="001663AE">
        <w:rPr>
          <w:rFonts w:hint="eastAsia"/>
        </w:rPr>
        <w:t>2015/08/06</w:t>
      </w:r>
      <w:r w:rsidRPr="001663AE">
        <w:rPr>
          <w:rFonts w:hint="eastAsia"/>
        </w:rPr>
        <w:t>，</w:t>
      </w:r>
      <w:hyperlink r:id="rId302" w:history="1">
        <w:r w:rsidRPr="001663AE">
          <w:rPr>
            <w:rStyle w:val="a5"/>
          </w:rPr>
          <w:t>http://www.hrp.scu.edu.tw/library/literature/entry.jsp?id=1236571265852-bdbe8a11-3085-4049-8168-2129a906421b</w:t>
        </w:r>
      </w:hyperlink>
      <w:r w:rsidRPr="001663AE">
        <w:t>。</w:t>
      </w:r>
    </w:p>
  </w:footnote>
  <w:footnote w:id="1039">
    <w:p w14:paraId="55B9DC2B"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宣化上人</w:t>
      </w:r>
      <w:r w:rsidRPr="001663AE">
        <w:rPr>
          <w:rFonts w:hint="eastAsia"/>
        </w:rPr>
        <w:t>(1983)</w:t>
      </w:r>
      <w:r w:rsidRPr="001663AE">
        <w:rPr>
          <w:rFonts w:hint="eastAsia"/>
        </w:rPr>
        <w:t>，藥師琉璃光如來本願功德經淺釋</w:t>
      </w:r>
      <w:r w:rsidRPr="001663AE">
        <w:rPr>
          <w:rFonts w:hint="eastAsia"/>
        </w:rPr>
        <w:t>(</w:t>
      </w:r>
      <w:r w:rsidRPr="001663AE">
        <w:rPr>
          <w:rFonts w:hint="eastAsia"/>
        </w:rPr>
        <w:t>一九八三年於美國加州洛杉磯金輪聖寺</w:t>
      </w:r>
      <w:r w:rsidRPr="001663AE">
        <w:rPr>
          <w:rFonts w:hint="eastAsia"/>
        </w:rPr>
        <w:t>)</w:t>
      </w:r>
      <w:r w:rsidRPr="001663AE">
        <w:rPr>
          <w:rFonts w:hint="eastAsia"/>
        </w:rPr>
        <w:t>，上網瀏覽時間：</w:t>
      </w:r>
      <w:r w:rsidRPr="001663AE">
        <w:rPr>
          <w:rFonts w:hint="eastAsia"/>
        </w:rPr>
        <w:t>2015/06/25</w:t>
      </w:r>
      <w:r w:rsidRPr="001663AE">
        <w:rPr>
          <w:rFonts w:hint="eastAsia"/>
        </w:rPr>
        <w:t>，</w:t>
      </w:r>
      <w:hyperlink r:id="rId303" w:history="1">
        <w:r w:rsidRPr="001663AE">
          <w:rPr>
            <w:rStyle w:val="a5"/>
            <w:szCs w:val="20"/>
          </w:rPr>
          <w:t>http://book.bfnn.org/books3/2116.htm</w:t>
        </w:r>
      </w:hyperlink>
      <w:r w:rsidRPr="001663AE">
        <w:t>。</w:t>
      </w:r>
    </w:p>
    <w:p w14:paraId="564044F2" w14:textId="77777777" w:rsidR="00CA23FA" w:rsidRPr="001663AE" w:rsidRDefault="00CA23FA" w:rsidP="00D87D91">
      <w:pPr>
        <w:pStyle w:val="af1"/>
      </w:pPr>
    </w:p>
  </w:footnote>
  <w:footnote w:id="1040">
    <w:p w14:paraId="7AA1E442" w14:textId="77777777" w:rsidR="00CA23FA" w:rsidRPr="001663AE" w:rsidRDefault="00CA23FA" w:rsidP="00D87D91">
      <w:pPr>
        <w:pStyle w:val="3"/>
      </w:pPr>
      <w:r w:rsidRPr="001663AE">
        <w:rPr>
          <w:rStyle w:val="af3"/>
          <w:rFonts w:ascii="新細明體" w:hAnsi="新細明體"/>
        </w:rPr>
        <w:footnoteRef/>
      </w:r>
      <w:r w:rsidRPr="001663AE">
        <w:t xml:space="preserve"> Embryo</w:t>
      </w:r>
      <w:r w:rsidRPr="001663AE">
        <w:rPr>
          <w:rFonts w:hint="eastAsia"/>
        </w:rPr>
        <w:t>意指：胚胎。</w:t>
      </w:r>
      <w:r w:rsidRPr="001663AE">
        <w:t xml:space="preserve"> Schutz</w:t>
      </w:r>
      <w:r w:rsidRPr="001663AE">
        <w:rPr>
          <w:rFonts w:hint="eastAsia"/>
        </w:rPr>
        <w:t>意指：保護、守護。</w:t>
      </w:r>
      <w:r w:rsidRPr="001663AE">
        <w:t xml:space="preserve"> Gesetz</w:t>
      </w:r>
      <w:r w:rsidRPr="001663AE">
        <w:rPr>
          <w:rFonts w:hint="eastAsia"/>
        </w:rPr>
        <w:t>意指：法律。</w:t>
      </w:r>
    </w:p>
  </w:footnote>
  <w:footnote w:id="1041">
    <w:p w14:paraId="2FBEAAD8" w14:textId="77777777"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Article 2 [Personal freedoms]</w:t>
      </w:r>
      <w:r>
        <w:rPr>
          <w:lang w:bidi="bn-IN"/>
        </w:rPr>
        <w:t>〜</w:t>
      </w:r>
      <w:r w:rsidRPr="001663AE">
        <w:rPr>
          <w:lang w:bidi="bn-IN"/>
        </w:rPr>
        <w:t>-</w:t>
      </w:r>
    </w:p>
    <w:p w14:paraId="40ACE57A" w14:textId="77777777" w:rsidR="00CA23FA" w:rsidRPr="001663AE" w:rsidRDefault="00CA23FA" w:rsidP="00D87D91">
      <w:pPr>
        <w:pStyle w:val="3"/>
      </w:pPr>
      <w:r w:rsidRPr="001663AE">
        <w:rPr>
          <w:rFonts w:cs="Arial"/>
          <w:lang w:bidi="bn-IN"/>
        </w:rPr>
        <w:t xml:space="preserve">(1) </w:t>
      </w:r>
      <w:r w:rsidRPr="001663AE">
        <w:rPr>
          <w:lang w:bidi="bn-IN"/>
        </w:rPr>
        <w:t>Every person shall have the right to free development of his personality insofar as he does not violate the rights of others or offend against the constitutional order or the moral law.</w:t>
      </w:r>
    </w:p>
  </w:footnote>
  <w:footnote w:id="1042">
    <w:p w14:paraId="43EC5E53" w14:textId="77777777" w:rsidR="00CA23FA" w:rsidRPr="001663AE" w:rsidRDefault="00CA23FA" w:rsidP="00D87D91">
      <w:pPr>
        <w:pStyle w:val="3"/>
      </w:pPr>
      <w:r w:rsidRPr="001663AE">
        <w:rPr>
          <w:rStyle w:val="af3"/>
          <w:sz w:val="20"/>
          <w:szCs w:val="20"/>
        </w:rPr>
        <w:footnoteRef/>
      </w:r>
      <w:r w:rsidRPr="001663AE">
        <w:rPr>
          <w:rFonts w:hint="eastAsia"/>
        </w:rPr>
        <w:t>李震山</w:t>
      </w:r>
      <w:r w:rsidRPr="001663AE">
        <w:t>(2002)</w:t>
      </w:r>
      <w:r w:rsidRPr="001663AE">
        <w:rPr>
          <w:rFonts w:hint="eastAsia"/>
        </w:rPr>
        <w:t>，「複製人」科技發展對既有法律思維與制度之衝擊</w:t>
      </w:r>
      <w:r>
        <w:t>〜</w:t>
      </w:r>
      <w:r w:rsidRPr="001663AE">
        <w:rPr>
          <w:rFonts w:hint="eastAsia"/>
        </w:rPr>
        <w:t>以基本權利保障為例，上網瀏灠時間：</w:t>
      </w:r>
      <w:r w:rsidRPr="001663AE">
        <w:t>2013</w:t>
      </w:r>
      <w:r w:rsidRPr="001663AE">
        <w:rPr>
          <w:rFonts w:hint="eastAsia"/>
        </w:rPr>
        <w:t>年</w:t>
      </w:r>
      <w:r w:rsidRPr="001663AE">
        <w:t>4</w:t>
      </w:r>
      <w:r w:rsidRPr="001663AE">
        <w:rPr>
          <w:rFonts w:hint="eastAsia"/>
        </w:rPr>
        <w:t>月</w:t>
      </w:r>
      <w:r w:rsidRPr="001663AE">
        <w:t>23</w:t>
      </w:r>
      <w:r w:rsidRPr="001663AE">
        <w:rPr>
          <w:rFonts w:hint="eastAsia"/>
        </w:rPr>
        <w:t>日，</w:t>
      </w:r>
      <w:hyperlink r:id="rId304" w:history="1">
        <w:r w:rsidRPr="001663AE">
          <w:rPr>
            <w:rStyle w:val="a5"/>
            <w:szCs w:val="20"/>
          </w:rPr>
          <w:t>http://biolaw.myweb.hinet.net/data/data2/2002020001.htm</w:t>
        </w:r>
      </w:hyperlink>
      <w:r w:rsidRPr="001663AE">
        <w:rPr>
          <w:rFonts w:hint="eastAsia"/>
        </w:rPr>
        <w:t>。</w:t>
      </w:r>
      <w:r w:rsidRPr="001663AE">
        <w:t>Menschliches</w:t>
      </w:r>
      <w:r w:rsidRPr="001663AE">
        <w:rPr>
          <w:rFonts w:hint="eastAsia"/>
        </w:rPr>
        <w:t>意指：人類。</w:t>
      </w:r>
      <w:r w:rsidRPr="001663AE">
        <w:t xml:space="preserve"> Leben</w:t>
      </w:r>
      <w:r w:rsidRPr="001663AE">
        <w:rPr>
          <w:rFonts w:hint="eastAsia"/>
        </w:rPr>
        <w:t>意指：生命。</w:t>
      </w:r>
    </w:p>
  </w:footnote>
  <w:footnote w:id="1043">
    <w:p w14:paraId="5DEB6A4C"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包含由體細胞核轉殖技術所形成之人類胚胎，稱為</w:t>
      </w:r>
      <w:r w:rsidRPr="001663AE">
        <w:t>somatic cell nuclear transfer, SCNT</w:t>
      </w:r>
      <w:r w:rsidRPr="001663AE">
        <w:rPr>
          <w:rFonts w:hint="eastAsia"/>
        </w:rPr>
        <w:t>。</w:t>
      </w:r>
    </w:p>
  </w:footnote>
  <w:footnote w:id="1044">
    <w:p w14:paraId="2B59BEC7" w14:textId="77777777" w:rsidR="00CA23FA" w:rsidRPr="001663AE" w:rsidRDefault="00CA23FA" w:rsidP="00971142">
      <w:pPr>
        <w:pStyle w:val="3"/>
        <w:jc w:val="left"/>
      </w:pPr>
      <w:r w:rsidRPr="001663AE">
        <w:rPr>
          <w:rStyle w:val="af3"/>
          <w:rFonts w:ascii="新細明體" w:hAnsi="新細明體"/>
        </w:rPr>
        <w:footnoteRef/>
      </w:r>
      <w:r w:rsidRPr="001663AE">
        <w:t xml:space="preserve"> Nebraska Catholic Conference</w:t>
      </w:r>
      <w:r w:rsidRPr="001663AE">
        <w:t>，</w:t>
      </w:r>
      <w:r w:rsidRPr="001663AE">
        <w:t>IS THERE A SCIENTIFIC DIFFERENCE BETWEEN THERAPEUTIC CLONING AND REPRODUCTIVE CLONING?R</w:t>
      </w:r>
      <w:r w:rsidRPr="001663AE">
        <w:rPr>
          <w:rFonts w:hint="eastAsia"/>
        </w:rPr>
        <w:t>etrieved: 2015/06/26</w:t>
      </w:r>
      <w:r w:rsidRPr="001663AE">
        <w:rPr>
          <w:rFonts w:hint="eastAsia"/>
        </w:rPr>
        <w:t>，</w:t>
      </w:r>
      <w:hyperlink r:id="rId305" w:history="1">
        <w:r w:rsidRPr="001663AE">
          <w:rPr>
            <w:rStyle w:val="a5"/>
          </w:rPr>
          <w:t>http://www.nebcathcon.org/Website%20pages/cloning.htm</w:t>
        </w:r>
      </w:hyperlink>
      <w:r w:rsidRPr="001663AE">
        <w:t>。</w:t>
      </w:r>
    </w:p>
  </w:footnote>
  <w:footnote w:id="1045">
    <w:p w14:paraId="2CF8919D" w14:textId="77777777" w:rsidR="00CA23FA" w:rsidRPr="001663AE" w:rsidRDefault="00CA23FA" w:rsidP="00DE356D">
      <w:pPr>
        <w:pStyle w:val="3"/>
        <w:jc w:val="left"/>
      </w:pPr>
      <w:r w:rsidRPr="001663AE">
        <w:rPr>
          <w:rStyle w:val="af3"/>
          <w:rFonts w:ascii="新細明體" w:hAnsi="新細明體"/>
        </w:rPr>
        <w:footnoteRef/>
      </w:r>
      <w:r w:rsidRPr="001663AE">
        <w:rPr>
          <w:rFonts w:hint="eastAsia"/>
        </w:rPr>
        <w:t>文匯報</w:t>
      </w:r>
      <w:r w:rsidRPr="001663AE">
        <w:rPr>
          <w:rFonts w:hint="eastAsia"/>
        </w:rPr>
        <w:t>(2011)</w:t>
      </w:r>
      <w:r w:rsidRPr="001663AE">
        <w:rPr>
          <w:rFonts w:hint="eastAsia"/>
        </w:rPr>
        <w:t>，胚幹細胞培植成功，再掀複製人隱憂，上網瀏覽時間：</w:t>
      </w:r>
      <w:r w:rsidRPr="001663AE">
        <w:rPr>
          <w:rFonts w:hint="eastAsia"/>
        </w:rPr>
        <w:t>2015/06/26</w:t>
      </w:r>
      <w:r w:rsidRPr="001663AE">
        <w:rPr>
          <w:rFonts w:hint="eastAsia"/>
        </w:rPr>
        <w:t>，</w:t>
      </w:r>
      <w:hyperlink r:id="rId306" w:history="1">
        <w:r w:rsidRPr="001663AE">
          <w:rPr>
            <w:rStyle w:val="a5"/>
            <w:kern w:val="0"/>
          </w:rPr>
          <w:t>http://paper.wenweipo.com/2011/10/07/GJ1110070037.htm</w:t>
        </w:r>
      </w:hyperlink>
      <w:r w:rsidRPr="001663AE">
        <w:rPr>
          <w:kern w:val="0"/>
        </w:rPr>
        <w:t>。</w:t>
      </w:r>
    </w:p>
  </w:footnote>
  <w:footnote w:id="1046">
    <w:p w14:paraId="56F70C26"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公民與政治權利國際公約</w:t>
      </w:r>
      <w:r>
        <w:rPr>
          <w:rFonts w:hint="eastAsia"/>
        </w:rPr>
        <w:t>第</w:t>
      </w:r>
      <w:r w:rsidRPr="001663AE">
        <w:t xml:space="preserve">23 </w:t>
      </w:r>
      <w:r w:rsidRPr="001663AE">
        <w:rPr>
          <w:rFonts w:hint="eastAsia"/>
        </w:rPr>
        <w:t>條婚姻權及家庭權</w:t>
      </w:r>
      <w:r>
        <w:t>〜</w:t>
      </w:r>
    </w:p>
    <w:p w14:paraId="5E99FF05" w14:textId="77777777" w:rsidR="00CA23FA" w:rsidRPr="001663AE" w:rsidRDefault="00CA23FA" w:rsidP="00D87D91">
      <w:pPr>
        <w:pStyle w:val="3"/>
      </w:pPr>
      <w:r w:rsidRPr="001663AE">
        <w:rPr>
          <w:rFonts w:hint="eastAsia"/>
        </w:rPr>
        <w:t>一　家庭為社會之自然基本團體單位，應受社會及國家之保護。</w:t>
      </w:r>
    </w:p>
    <w:p w14:paraId="54D94E43" w14:textId="77777777" w:rsidR="00CA23FA" w:rsidRPr="001663AE" w:rsidRDefault="00CA23FA" w:rsidP="00D87D91">
      <w:pPr>
        <w:pStyle w:val="3"/>
      </w:pPr>
      <w:r w:rsidRPr="001663AE">
        <w:rPr>
          <w:rFonts w:hint="eastAsia"/>
        </w:rPr>
        <w:t>二　男女已達結婚年齡者，其結婚及成立家庭之權利應予確認。</w:t>
      </w:r>
    </w:p>
    <w:p w14:paraId="2F9C4C50" w14:textId="77777777" w:rsidR="00CA23FA" w:rsidRPr="001663AE" w:rsidRDefault="00CA23FA" w:rsidP="00D87D91">
      <w:pPr>
        <w:pStyle w:val="3"/>
      </w:pPr>
      <w:r w:rsidRPr="001663AE">
        <w:rPr>
          <w:rFonts w:hint="eastAsia"/>
        </w:rPr>
        <w:t>三　婚姻非經婚嫁雙方自由完全同意，不得締結。</w:t>
      </w:r>
    </w:p>
    <w:p w14:paraId="1A286917" w14:textId="77777777" w:rsidR="00CA23FA" w:rsidRPr="001663AE" w:rsidRDefault="00CA23FA" w:rsidP="00D87D91">
      <w:pPr>
        <w:pStyle w:val="3"/>
      </w:pPr>
      <w:r w:rsidRPr="001663AE">
        <w:rPr>
          <w:rFonts w:hint="eastAsia"/>
        </w:rPr>
        <w:t>四　本盟約締約國應採取適當步驟，確保夫妻在婚姻方面，在婚姻關係存續期間，以及在婚姻關係消滅時，雙方權利責任平等。婚姻關係消滅時，應訂定辦法，對子女予以必要之保護。</w:t>
      </w:r>
    </w:p>
  </w:footnote>
  <w:footnote w:id="1047">
    <w:p w14:paraId="1B544A89"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中國時報</w:t>
      </w:r>
      <w:r w:rsidRPr="001663AE">
        <w:t>(2013)</w:t>
      </w:r>
      <w:r w:rsidRPr="001663AE">
        <w:rPr>
          <w:rFonts w:hint="eastAsia"/>
        </w:rPr>
        <w:t>，認同同性婚姻國家，民國</w:t>
      </w:r>
      <w:r w:rsidRPr="001663AE">
        <w:t>102</w:t>
      </w:r>
      <w:r w:rsidRPr="001663AE">
        <w:rPr>
          <w:rFonts w:hint="eastAsia"/>
        </w:rPr>
        <w:t>年</w:t>
      </w:r>
      <w:r w:rsidRPr="001663AE">
        <w:t>7</w:t>
      </w:r>
      <w:r w:rsidRPr="001663AE">
        <w:rPr>
          <w:rFonts w:hint="eastAsia"/>
        </w:rPr>
        <w:t>月</w:t>
      </w:r>
      <w:r w:rsidRPr="001663AE">
        <w:t>12</w:t>
      </w:r>
      <w:r w:rsidRPr="001663AE">
        <w:rPr>
          <w:rFonts w:hint="eastAsia"/>
        </w:rPr>
        <w:t>日。</w:t>
      </w:r>
    </w:p>
  </w:footnote>
  <w:footnote w:id="1048">
    <w:p w14:paraId="0BBC1F92"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日本有關於憲法第</w:t>
      </w:r>
      <w:r w:rsidRPr="001663AE">
        <w:t>24</w:t>
      </w:r>
      <w:r w:rsidRPr="001663AE">
        <w:rPr>
          <w:rFonts w:hint="eastAsia"/>
        </w:rPr>
        <w:t>條婚姻權規定之演進歷史，如下所述：</w:t>
      </w:r>
    </w:p>
    <w:p w14:paraId="4B13E78D" w14:textId="77777777" w:rsidR="00CA23FA" w:rsidRPr="001663AE" w:rsidRDefault="00CA23FA" w:rsidP="00D87D91">
      <w:pPr>
        <w:pStyle w:val="3"/>
      </w:pPr>
      <w:r w:rsidRPr="001663AE">
        <w:rPr>
          <w:lang w:bidi="bn-IN"/>
        </w:rPr>
        <w:t>1</w:t>
      </w:r>
      <w:r w:rsidRPr="001663AE">
        <w:rPr>
          <w:rFonts w:hint="eastAsia"/>
          <w:lang w:bidi="bn-IN"/>
        </w:rPr>
        <w:t>、大日本帝國憲法</w:t>
      </w:r>
      <w:r>
        <w:rPr>
          <w:lang w:bidi="bn-IN"/>
        </w:rPr>
        <w:t>〜</w:t>
      </w:r>
      <w:r w:rsidRPr="001663AE">
        <w:rPr>
          <w:lang w:bidi="bn-IN"/>
        </w:rPr>
        <w:t>-</w:t>
      </w:r>
      <w:r w:rsidRPr="001663AE">
        <w:rPr>
          <w:rFonts w:hint="eastAsia"/>
        </w:rPr>
        <w:t>未規定婚姻權。</w:t>
      </w:r>
    </w:p>
    <w:p w14:paraId="55A6D8F3" w14:textId="77777777" w:rsidR="00CA23FA" w:rsidRPr="001663AE" w:rsidRDefault="00CA23FA" w:rsidP="00D87D91">
      <w:pPr>
        <w:pStyle w:val="3"/>
        <w:rPr>
          <w:lang w:eastAsia="ja-JP"/>
        </w:rPr>
      </w:pPr>
      <w:r w:rsidRPr="001663AE">
        <w:t>2</w:t>
      </w:r>
      <w:r w:rsidRPr="001663AE">
        <w:rPr>
          <w:lang w:eastAsia="ja-JP"/>
        </w:rPr>
        <w:t>、憲法改正草案要綱</w:t>
      </w:r>
      <w:r>
        <w:t>〜</w:t>
      </w:r>
      <w:r w:rsidRPr="001663AE">
        <w:t>--</w:t>
      </w:r>
      <w:r w:rsidRPr="001663AE">
        <w:rPr>
          <w:lang w:eastAsia="ja-JP"/>
        </w:rPr>
        <w:t>第二十二　婚姻ハ両性双方ノ合意ニ基キテノミ成立シ且夫婦ガ同等ノ権利ヲ有スルコトヲ基本トシ相互ノ協力ニ依リ維持セラルベキコト</w:t>
      </w:r>
      <w:r w:rsidRPr="001663AE">
        <w:rPr>
          <w:lang w:eastAsia="ja-JP"/>
        </w:rPr>
        <w:t xml:space="preserve"> </w:t>
      </w:r>
    </w:p>
    <w:p w14:paraId="7CDDBC1D" w14:textId="77777777" w:rsidR="00CA23FA" w:rsidRPr="001663AE" w:rsidRDefault="00CA23FA" w:rsidP="00D87D91">
      <w:pPr>
        <w:pStyle w:val="3"/>
        <w:rPr>
          <w:lang w:eastAsia="ja-JP"/>
        </w:rPr>
      </w:pPr>
      <w:r w:rsidRPr="001663AE">
        <w:rPr>
          <w:lang w:eastAsia="ja-JP"/>
        </w:rPr>
        <w:t>配偶ノ選択、財産権、相続、住所ノ選定、離婚並ニ婚姻及家族ニ関スル其ノ他ノ事項ニ関シ個人ノ権威及両性ノ本質的平等ニ立脚スル法律ヲ制定スベキコト</w:t>
      </w:r>
      <w:r w:rsidRPr="001663AE">
        <w:rPr>
          <w:lang w:eastAsia="ja-JP"/>
        </w:rPr>
        <w:t xml:space="preserve"> </w:t>
      </w:r>
    </w:p>
    <w:p w14:paraId="61869C92" w14:textId="77777777" w:rsidR="00CA23FA" w:rsidRPr="001663AE" w:rsidRDefault="00CA23FA" w:rsidP="00D87D91">
      <w:pPr>
        <w:pStyle w:val="3"/>
        <w:rPr>
          <w:lang w:eastAsia="ja-JP"/>
        </w:rPr>
      </w:pPr>
      <w:r w:rsidRPr="001663AE">
        <w:t>3</w:t>
      </w:r>
      <w:r w:rsidRPr="001663AE">
        <w:rPr>
          <w:lang w:eastAsia="ja-JP"/>
        </w:rPr>
        <w:t>、憲法改正草案</w:t>
      </w:r>
      <w:r>
        <w:t>〜</w:t>
      </w:r>
      <w:r w:rsidRPr="001663AE">
        <w:t>-</w:t>
      </w:r>
      <w:r w:rsidRPr="001663AE">
        <w:rPr>
          <w:lang w:eastAsia="ja-JP"/>
        </w:rPr>
        <w:t>第二十二条　婚姻は、両性の合意に基いてのみ成立し、夫婦が同等の権利を有することを基本として、相互の協力により、維持されなければならない。</w:t>
      </w:r>
      <w:r w:rsidRPr="001663AE">
        <w:rPr>
          <w:lang w:eastAsia="ja-JP"/>
        </w:rPr>
        <w:t xml:space="preserve"> </w:t>
      </w:r>
    </w:p>
    <w:p w14:paraId="04316695" w14:textId="77777777" w:rsidR="00CA23FA" w:rsidRPr="001663AE" w:rsidRDefault="00CA23FA" w:rsidP="00D87D91">
      <w:pPr>
        <w:pStyle w:val="3"/>
        <w:rPr>
          <w:lang w:eastAsia="ja-JP"/>
        </w:rPr>
      </w:pPr>
      <w:r w:rsidRPr="001663AE">
        <w:rPr>
          <w:lang w:eastAsia="ja-JP"/>
        </w:rPr>
        <w:t>配偶者の選択、財産権、相続、住居の選定、離婚並びに婚姻及び家族に関するその他の事項に関しては、法律は、個人の権威と両性の本質的平等に立脚して、制定されなければならない。</w:t>
      </w:r>
      <w:r w:rsidRPr="001663AE">
        <w:rPr>
          <w:lang w:eastAsia="ja-JP"/>
        </w:rPr>
        <w:t xml:space="preserve"> </w:t>
      </w:r>
    </w:p>
    <w:p w14:paraId="763917ED" w14:textId="77777777" w:rsidR="00CA23FA" w:rsidRPr="001663AE" w:rsidRDefault="00CA23FA" w:rsidP="00D87D91">
      <w:pPr>
        <w:pStyle w:val="3"/>
        <w:rPr>
          <w:lang w:eastAsia="ja-JP"/>
        </w:rPr>
      </w:pPr>
      <w:r w:rsidRPr="001663AE">
        <w:t>4</w:t>
      </w:r>
      <w:r w:rsidRPr="001663AE">
        <w:rPr>
          <w:lang w:eastAsia="ja-JP"/>
        </w:rPr>
        <w:t>、帝国憲法改正案</w:t>
      </w:r>
      <w:r>
        <w:t>〜</w:t>
      </w:r>
      <w:r w:rsidRPr="001663AE">
        <w:t>--</w:t>
      </w:r>
      <w:r w:rsidRPr="001663AE">
        <w:rPr>
          <w:lang w:eastAsia="ja-JP"/>
        </w:rPr>
        <w:t>第二十二条　婚姻は、両性の合意のみに基いて成立し、夫婦が同等の権利を有することを基本として、相互の協力により、維持されなければならない。</w:t>
      </w:r>
      <w:r w:rsidRPr="001663AE">
        <w:rPr>
          <w:lang w:eastAsia="ja-JP"/>
        </w:rPr>
        <w:t xml:space="preserve"> </w:t>
      </w:r>
    </w:p>
    <w:p w14:paraId="0757C8FA" w14:textId="77777777" w:rsidR="00CA23FA" w:rsidRPr="001663AE" w:rsidRDefault="00CA23FA" w:rsidP="00D87D91">
      <w:pPr>
        <w:pStyle w:val="3"/>
        <w:rPr>
          <w:lang w:eastAsia="ja-JP"/>
        </w:rPr>
      </w:pPr>
      <w:r w:rsidRPr="001663AE">
        <w:rPr>
          <w:lang w:eastAsia="ja-JP"/>
        </w:rPr>
        <w:t>配偶者の選択、財産権、相続、住居の選定、離婚並びに婚姻及び家族に関するその他の事項に関しては、法律は、個人の権威と両性の本質的平等に立脚して、制定されなければならない。</w:t>
      </w:r>
    </w:p>
    <w:p w14:paraId="4DC5C542" w14:textId="77777777" w:rsidR="00CA23FA" w:rsidRPr="001663AE" w:rsidRDefault="00CA23FA" w:rsidP="00D87D91">
      <w:pPr>
        <w:pStyle w:val="3"/>
        <w:rPr>
          <w:lang w:eastAsia="ja-JP"/>
        </w:rPr>
      </w:pPr>
      <w:r w:rsidRPr="001663AE">
        <w:t>5</w:t>
      </w:r>
      <w:r w:rsidRPr="001663AE">
        <w:rPr>
          <w:lang w:eastAsia="ja-JP"/>
        </w:rPr>
        <w:t>、憲法第</w:t>
      </w:r>
      <w:r w:rsidRPr="001663AE">
        <w:t>24</w:t>
      </w:r>
      <w:r w:rsidRPr="001663AE">
        <w:rPr>
          <w:lang w:eastAsia="ja-JP"/>
        </w:rPr>
        <w:t>条婚姻權</w:t>
      </w:r>
      <w:r>
        <w:t>〜</w:t>
      </w:r>
      <w:r w:rsidRPr="001663AE">
        <w:t>-</w:t>
      </w:r>
      <w:r w:rsidRPr="001663AE">
        <w:rPr>
          <w:lang w:eastAsia="ja-JP"/>
        </w:rPr>
        <w:t>第二十四条　婚姻は、両性の合意のみに基いて成立し、夫婦が同等の権利を有することを基本として、相互の協力により、維持されなければならない。</w:t>
      </w:r>
    </w:p>
    <w:p w14:paraId="372D55C9" w14:textId="77777777" w:rsidR="00CA23FA" w:rsidRPr="001663AE" w:rsidRDefault="00CA23FA" w:rsidP="00DE356D">
      <w:pPr>
        <w:pStyle w:val="3"/>
        <w:jc w:val="left"/>
      </w:pPr>
      <w:r w:rsidRPr="001663AE">
        <w:t>Article 24.</w:t>
      </w:r>
      <w:r w:rsidRPr="001663AE">
        <w:rPr>
          <w:rFonts w:hint="eastAsia"/>
        </w:rPr>
        <w:t xml:space="preserve">　</w:t>
      </w:r>
      <w:r w:rsidRPr="001663AE">
        <w:t xml:space="preserve">Marriage shall be based only on the mutual consent of both sexes and it shall be maintained through mutual cooperation with the equal rights of husband and wife as a basis. </w:t>
      </w:r>
      <w:r w:rsidRPr="001663AE">
        <w:rPr>
          <w:rFonts w:hint="eastAsia"/>
        </w:rPr>
        <w:t>以上，請參閱：維基百科</w:t>
      </w:r>
      <w:r w:rsidRPr="001663AE">
        <w:t>(2013)</w:t>
      </w:r>
      <w:r w:rsidRPr="001663AE">
        <w:rPr>
          <w:rFonts w:hint="eastAsia"/>
        </w:rPr>
        <w:t>，日本國憲法第</w:t>
      </w:r>
      <w:r w:rsidRPr="001663AE">
        <w:t>24</w:t>
      </w:r>
      <w:r w:rsidRPr="001663AE">
        <w:rPr>
          <w:rFonts w:hint="eastAsia"/>
        </w:rPr>
        <w:t>條，上網瀏灠時間：</w:t>
      </w:r>
      <w:r w:rsidRPr="001663AE">
        <w:t>2013</w:t>
      </w:r>
      <w:r w:rsidRPr="001663AE">
        <w:rPr>
          <w:rFonts w:hint="eastAsia"/>
        </w:rPr>
        <w:t>年</w:t>
      </w:r>
      <w:r w:rsidRPr="001663AE">
        <w:t>5</w:t>
      </w:r>
      <w:r w:rsidRPr="001663AE">
        <w:rPr>
          <w:rFonts w:hint="eastAsia"/>
        </w:rPr>
        <w:t>月</w:t>
      </w:r>
      <w:r w:rsidRPr="001663AE">
        <w:t>23</w:t>
      </w:r>
      <w:r w:rsidRPr="001663AE">
        <w:rPr>
          <w:rFonts w:hint="eastAsia"/>
        </w:rPr>
        <w:t>日，</w:t>
      </w:r>
      <w:hyperlink r:id="rId307" w:history="1">
        <w:r w:rsidRPr="001663AE">
          <w:rPr>
            <w:rStyle w:val="a5"/>
          </w:rPr>
          <w:t>http://ja.wikipedia.org/wiki/%E6%97%A5%E6%9C%AC%E5%9B%BD%E6%86%B2%E6%B3%95%E7%AC%AC24%E6%9D%A1</w:t>
        </w:r>
      </w:hyperlink>
      <w:r w:rsidRPr="001663AE">
        <w:rPr>
          <w:rFonts w:hint="eastAsia"/>
        </w:rPr>
        <w:t>。</w:t>
      </w:r>
    </w:p>
  </w:footnote>
  <w:footnote w:id="1049">
    <w:p w14:paraId="6140CD92" w14:textId="77777777" w:rsidR="00CA23FA" w:rsidRPr="001663AE" w:rsidRDefault="00CA23FA" w:rsidP="00DE356D">
      <w:pPr>
        <w:pStyle w:val="3"/>
        <w:jc w:val="left"/>
      </w:pPr>
      <w:r w:rsidRPr="001663AE">
        <w:rPr>
          <w:rStyle w:val="af3"/>
          <w:rFonts w:ascii="新細明體" w:hAnsi="新細明體"/>
        </w:rPr>
        <w:footnoteRef/>
      </w:r>
      <w:r w:rsidRPr="001663AE">
        <w:rPr>
          <w:rFonts w:hint="eastAsia"/>
        </w:rPr>
        <w:t>民法第</w:t>
      </w:r>
      <w:r w:rsidRPr="001663AE">
        <w:t>1072</w:t>
      </w:r>
      <w:r w:rsidRPr="001663AE">
        <w:rPr>
          <w:rFonts w:hint="eastAsia"/>
        </w:rPr>
        <w:t>條規定：「收養他人之子女為子女時，其收養者為養父或養母，被收養者為養子或養女。」</w:t>
      </w:r>
    </w:p>
  </w:footnote>
  <w:footnote w:id="1050">
    <w:p w14:paraId="0E1B33CE"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李靜芳</w:t>
      </w:r>
      <w:r w:rsidRPr="001663AE">
        <w:rPr>
          <w:lang w:bidi="bn-IN"/>
        </w:rPr>
        <w:t>(2008)</w:t>
      </w:r>
      <w:r w:rsidRPr="001663AE">
        <w:rPr>
          <w:rFonts w:hint="eastAsia"/>
          <w:lang w:bidi="bn-IN"/>
        </w:rPr>
        <w:t>，尊重生命</w:t>
      </w:r>
      <w:r>
        <w:rPr>
          <w:lang w:bidi="bn-IN"/>
        </w:rPr>
        <w:t>〜</w:t>
      </w:r>
      <w:r w:rsidRPr="001663AE">
        <w:rPr>
          <w:rFonts w:hint="eastAsia"/>
          <w:lang w:bidi="bn-IN"/>
        </w:rPr>
        <w:t>談安樂死與自然死，亞東學報第</w:t>
      </w:r>
      <w:r w:rsidRPr="001663AE">
        <w:rPr>
          <w:lang w:bidi="bn-IN"/>
        </w:rPr>
        <w:t>28</w:t>
      </w:r>
      <w:r w:rsidRPr="001663AE">
        <w:rPr>
          <w:rFonts w:hint="eastAsia"/>
          <w:lang w:bidi="bn-IN"/>
        </w:rPr>
        <w:t>期，頁</w:t>
      </w:r>
      <w:r w:rsidRPr="001663AE">
        <w:rPr>
          <w:lang w:bidi="bn-IN"/>
        </w:rPr>
        <w:t xml:space="preserve"> 113~116</w:t>
      </w:r>
      <w:r w:rsidRPr="001663AE">
        <w:rPr>
          <w:rFonts w:hint="eastAsia"/>
          <w:lang w:bidi="bn-IN"/>
        </w:rPr>
        <w:t>。</w:t>
      </w:r>
    </w:p>
  </w:footnote>
  <w:footnote w:id="1051">
    <w:p w14:paraId="449F308A" w14:textId="77777777" w:rsidR="00CA23FA" w:rsidRPr="001663AE" w:rsidRDefault="00CA23FA" w:rsidP="00D87D91">
      <w:pPr>
        <w:pStyle w:val="3"/>
      </w:pPr>
      <w:r w:rsidRPr="001663AE">
        <w:rPr>
          <w:rStyle w:val="af3"/>
          <w:rFonts w:ascii="新細明體" w:hAnsi="新細明體"/>
        </w:rPr>
        <w:footnoteRef/>
      </w:r>
      <w:r w:rsidRPr="001663AE">
        <w:rPr>
          <w:rFonts w:hint="eastAsia"/>
          <w:lang w:bidi="bn-IN"/>
        </w:rPr>
        <w:t>李靜芳</w:t>
      </w:r>
      <w:r w:rsidRPr="001663AE">
        <w:rPr>
          <w:lang w:bidi="bn-IN"/>
        </w:rPr>
        <w:t>(2008)</w:t>
      </w:r>
      <w:r w:rsidRPr="001663AE">
        <w:rPr>
          <w:rFonts w:hint="eastAsia"/>
          <w:lang w:bidi="bn-IN"/>
        </w:rPr>
        <w:t>，尊重生命</w:t>
      </w:r>
      <w:r>
        <w:rPr>
          <w:lang w:bidi="bn-IN"/>
        </w:rPr>
        <w:t>〜</w:t>
      </w:r>
      <w:r w:rsidRPr="001663AE">
        <w:rPr>
          <w:rFonts w:hint="eastAsia"/>
          <w:lang w:bidi="bn-IN"/>
        </w:rPr>
        <w:t>談安樂死與自然死，亞東學報第</w:t>
      </w:r>
      <w:r w:rsidRPr="001663AE">
        <w:rPr>
          <w:lang w:bidi="bn-IN"/>
        </w:rPr>
        <w:t>28</w:t>
      </w:r>
      <w:r w:rsidRPr="001663AE">
        <w:rPr>
          <w:rFonts w:hint="eastAsia"/>
          <w:lang w:bidi="bn-IN"/>
        </w:rPr>
        <w:t>期，頁</w:t>
      </w:r>
      <w:r w:rsidRPr="001663AE">
        <w:rPr>
          <w:lang w:bidi="bn-IN"/>
        </w:rPr>
        <w:t xml:space="preserve"> 113~116</w:t>
      </w:r>
      <w:r w:rsidRPr="001663AE">
        <w:rPr>
          <w:rFonts w:hint="eastAsia"/>
          <w:lang w:bidi="bn-IN"/>
        </w:rPr>
        <w:t>。</w:t>
      </w:r>
    </w:p>
  </w:footnote>
  <w:footnote w:id="1052">
    <w:p w14:paraId="2A15FBA5" w14:textId="77777777" w:rsidR="00CA23FA" w:rsidRPr="001663AE" w:rsidRDefault="00CA23FA" w:rsidP="00D87D91">
      <w:pPr>
        <w:pStyle w:val="3"/>
      </w:pPr>
      <w:r w:rsidRPr="001663AE">
        <w:rPr>
          <w:rStyle w:val="af3"/>
          <w:rFonts w:ascii="新細明體" w:hAnsi="新細明體"/>
        </w:rPr>
        <w:footnoteRef/>
      </w:r>
      <w:r w:rsidRPr="001663AE">
        <w:rPr>
          <w:rFonts w:hint="eastAsia"/>
        </w:rPr>
        <w:t>釋大寬</w:t>
      </w:r>
      <w:r w:rsidRPr="001663AE">
        <w:t>(2010)</w:t>
      </w:r>
      <w:r w:rsidRPr="001663AE">
        <w:rPr>
          <w:rFonts w:hint="eastAsia"/>
        </w:rPr>
        <w:t>，安樂死</w:t>
      </w:r>
      <w:r>
        <w:t>〜</w:t>
      </w:r>
      <w:r w:rsidRPr="001663AE">
        <w:t>-</w:t>
      </w:r>
      <w:r w:rsidRPr="001663AE">
        <w:rPr>
          <w:rFonts w:hint="eastAsia"/>
        </w:rPr>
        <w:t>依佛教的觀點</w:t>
      </w:r>
      <w:r w:rsidRPr="001663AE">
        <w:t>,</w:t>
      </w:r>
      <w:r w:rsidRPr="001663AE">
        <w:rPr>
          <w:rFonts w:hint="eastAsia"/>
        </w:rPr>
        <w:t>贊同安樂死嗎</w:t>
      </w:r>
      <w:r w:rsidRPr="001663AE">
        <w:t xml:space="preserve">? </w:t>
      </w:r>
      <w:r w:rsidRPr="001663AE">
        <w:rPr>
          <w:rFonts w:hint="eastAsia"/>
        </w:rPr>
        <w:t>上網瀏灠時間：</w:t>
      </w:r>
      <w:r w:rsidRPr="001663AE">
        <w:t>2013</w:t>
      </w:r>
      <w:r w:rsidRPr="001663AE">
        <w:rPr>
          <w:rFonts w:hint="eastAsia"/>
        </w:rPr>
        <w:t>年</w:t>
      </w:r>
      <w:r w:rsidRPr="001663AE">
        <w:t>5</w:t>
      </w:r>
      <w:r w:rsidRPr="001663AE">
        <w:rPr>
          <w:rFonts w:hint="eastAsia"/>
        </w:rPr>
        <w:t>月</w:t>
      </w:r>
      <w:r w:rsidRPr="001663AE">
        <w:t>29</w:t>
      </w:r>
      <w:r w:rsidRPr="001663AE">
        <w:rPr>
          <w:rFonts w:hint="eastAsia"/>
        </w:rPr>
        <w:t>日，</w:t>
      </w:r>
      <w:hyperlink r:id="rId308" w:history="1">
        <w:r w:rsidRPr="001663AE">
          <w:rPr>
            <w:rStyle w:val="a5"/>
          </w:rPr>
          <w:t>http://dakuan00.pixnet.net/blog/post/6619383-%E5%AE%89%E6%A8%82%E6%AD%BB...%E4%BE%9D%E4%BD%9B%E6%95%99%E7%9A%84%E8%A7%80%E9%BB%9E,%E8%B4%8A%E5%90%8C%E5%AE%89%E6%A8%82%E6%AD%BB%E5%97%8E%3F</w:t>
        </w:r>
      </w:hyperlink>
      <w:r w:rsidRPr="001663AE">
        <w:rPr>
          <w:rFonts w:hint="eastAsia"/>
        </w:rPr>
        <w:t>。</w:t>
      </w:r>
    </w:p>
  </w:footnote>
  <w:footnote w:id="1053">
    <w:p w14:paraId="2863B6CB" w14:textId="77777777" w:rsidR="00CA23FA" w:rsidRPr="001663AE" w:rsidRDefault="00CA23FA" w:rsidP="00D87D91">
      <w:pPr>
        <w:pStyle w:val="3"/>
      </w:pPr>
      <w:r w:rsidRPr="001663AE">
        <w:rPr>
          <w:rStyle w:val="af3"/>
          <w:rFonts w:ascii="新細明體" w:hAnsi="新細明體"/>
        </w:rPr>
        <w:footnoteRef/>
      </w:r>
      <w:r w:rsidRPr="001663AE">
        <w:rPr>
          <w:rFonts w:hint="eastAsia"/>
        </w:rPr>
        <w:t>陳澄和</w:t>
      </w:r>
      <w:r w:rsidRPr="001663AE">
        <w:t>(2012)</w:t>
      </w:r>
      <w:r w:rsidRPr="001663AE">
        <w:rPr>
          <w:rFonts w:hint="eastAsia"/>
        </w:rPr>
        <w:t>，支持安樂死／荷比盧</w:t>
      </w:r>
      <w:r w:rsidRPr="001663AE">
        <w:t xml:space="preserve"> </w:t>
      </w:r>
      <w:r w:rsidRPr="001663AE">
        <w:rPr>
          <w:rFonts w:hint="eastAsia"/>
        </w:rPr>
        <w:t>安樂死合法化，上網瀏灠時間：</w:t>
      </w:r>
      <w:r w:rsidRPr="001663AE">
        <w:t>2013</w:t>
      </w:r>
      <w:r w:rsidRPr="001663AE">
        <w:rPr>
          <w:rFonts w:hint="eastAsia"/>
        </w:rPr>
        <w:t>年</w:t>
      </w:r>
      <w:r w:rsidRPr="001663AE">
        <w:t>6</w:t>
      </w:r>
      <w:r w:rsidRPr="001663AE">
        <w:rPr>
          <w:rFonts w:hint="eastAsia"/>
        </w:rPr>
        <w:t>月</w:t>
      </w:r>
      <w:r w:rsidRPr="001663AE">
        <w:t>23</w:t>
      </w:r>
      <w:r w:rsidRPr="001663AE">
        <w:rPr>
          <w:rFonts w:hint="eastAsia"/>
        </w:rPr>
        <w:t>日，</w:t>
      </w:r>
      <w:hyperlink r:id="rId309" w:history="1">
        <w:r w:rsidRPr="001663AE">
          <w:rPr>
            <w:rStyle w:val="a5"/>
          </w:rPr>
          <w:t>http://mag.udn.com/mag/life/storypage.jsp?f_ART_ID=374444</w:t>
        </w:r>
      </w:hyperlink>
      <w:r w:rsidRPr="001663AE">
        <w:rPr>
          <w:rFonts w:hint="eastAsia"/>
        </w:rPr>
        <w:t>。</w:t>
      </w:r>
    </w:p>
  </w:footnote>
  <w:footnote w:id="1054">
    <w:p w14:paraId="14685906" w14:textId="77777777" w:rsidR="00CA23FA" w:rsidRPr="001663AE" w:rsidRDefault="00CA23FA" w:rsidP="00D87D91">
      <w:pPr>
        <w:pStyle w:val="3"/>
      </w:pPr>
      <w:r w:rsidRPr="001663AE">
        <w:rPr>
          <w:rStyle w:val="af3"/>
          <w:rFonts w:ascii="新細明體" w:hAnsi="新細明體"/>
        </w:rPr>
        <w:footnoteRef/>
      </w:r>
      <w:r w:rsidRPr="001663AE">
        <w:rPr>
          <w:rFonts w:hint="eastAsia"/>
        </w:rPr>
        <w:t>華夏經緯網</w:t>
      </w:r>
      <w:r w:rsidRPr="001663AE">
        <w:t>(2004)</w:t>
      </w:r>
      <w:r w:rsidRPr="001663AE">
        <w:rPr>
          <w:rFonts w:hint="eastAsia"/>
        </w:rPr>
        <w:t>，荷蘭老人出國躲避安樂死，上網瀏灠時間：</w:t>
      </w:r>
      <w:r w:rsidRPr="001663AE">
        <w:t>2013</w:t>
      </w:r>
      <w:r w:rsidRPr="001663AE">
        <w:rPr>
          <w:rFonts w:hint="eastAsia"/>
        </w:rPr>
        <w:t>年</w:t>
      </w:r>
      <w:r w:rsidRPr="001663AE">
        <w:t>5</w:t>
      </w:r>
      <w:r w:rsidRPr="001663AE">
        <w:rPr>
          <w:rFonts w:hint="eastAsia"/>
        </w:rPr>
        <w:t>月</w:t>
      </w:r>
      <w:r w:rsidRPr="001663AE">
        <w:t>3</w:t>
      </w:r>
      <w:r w:rsidRPr="001663AE">
        <w:rPr>
          <w:rFonts w:hint="eastAsia"/>
        </w:rPr>
        <w:t>日，</w:t>
      </w:r>
      <w:hyperlink r:id="rId310" w:history="1">
        <w:r w:rsidRPr="001663AE">
          <w:rPr>
            <w:rStyle w:val="a5"/>
          </w:rPr>
          <w:t>http://big5.huaxia.com/xw/hwwz/00175616.html</w:t>
        </w:r>
      </w:hyperlink>
      <w:r w:rsidRPr="001663AE">
        <w:rPr>
          <w:rFonts w:hint="eastAsia"/>
        </w:rPr>
        <w:t>。</w:t>
      </w:r>
    </w:p>
  </w:footnote>
  <w:footnote w:id="1055">
    <w:p w14:paraId="022BF567" w14:textId="77777777" w:rsidR="00CA23FA" w:rsidRPr="001663AE" w:rsidRDefault="00CA23FA" w:rsidP="00D87D91">
      <w:pPr>
        <w:pStyle w:val="3"/>
      </w:pPr>
      <w:r w:rsidRPr="001663AE">
        <w:rPr>
          <w:rStyle w:val="af3"/>
          <w:rFonts w:ascii="新細明體" w:hAnsi="新細明體"/>
        </w:rPr>
        <w:footnoteRef/>
      </w:r>
      <w:r w:rsidRPr="001663AE">
        <w:t xml:space="preserve"> Article 20 [Constitutional principles – Right of resistance]</w:t>
      </w:r>
    </w:p>
    <w:p w14:paraId="6B722910" w14:textId="77777777" w:rsidR="00CA23FA" w:rsidRPr="001663AE" w:rsidRDefault="00CA23FA" w:rsidP="00D87D91">
      <w:pPr>
        <w:pStyle w:val="3"/>
      </w:pPr>
      <w:r w:rsidRPr="001663AE">
        <w:t>(1) The Federal Republic of Germany is a democratic and social federal state.</w:t>
      </w:r>
    </w:p>
    <w:p w14:paraId="159E30F2" w14:textId="77777777" w:rsidR="00CA23FA" w:rsidRPr="001663AE" w:rsidRDefault="00CA23FA" w:rsidP="00D87D91">
      <w:pPr>
        <w:pStyle w:val="3"/>
      </w:pPr>
      <w:r w:rsidRPr="001663AE">
        <w:t>(2) All state authority is derived from the people. It shall be exercised by the people through elections and other votes and through specifi c legislative, executive and judicial bodies.</w:t>
      </w:r>
    </w:p>
    <w:p w14:paraId="70C86E21" w14:textId="77777777" w:rsidR="00CA23FA" w:rsidRPr="001663AE" w:rsidRDefault="00CA23FA" w:rsidP="00D87D91">
      <w:pPr>
        <w:pStyle w:val="3"/>
      </w:pPr>
      <w:r w:rsidRPr="001663AE">
        <w:t>(3) The legislature shall be bound by the constitutional order, the executive and the judiciary by law and justice.</w:t>
      </w:r>
    </w:p>
    <w:p w14:paraId="5435ED5C" w14:textId="77777777" w:rsidR="00CA23FA" w:rsidRPr="001663AE" w:rsidRDefault="00CA23FA" w:rsidP="00D87D91">
      <w:pPr>
        <w:pStyle w:val="3"/>
      </w:pPr>
      <w:r w:rsidRPr="001663AE">
        <w:t>(4) All Germans shall have the right to resist any person seeking to abolish this constitutional order, if no other remedy is available.</w:t>
      </w:r>
    </w:p>
  </w:footnote>
  <w:footnote w:id="1056">
    <w:p w14:paraId="33DFC88D" w14:textId="77777777" w:rsidR="00CA23FA" w:rsidRPr="001663AE" w:rsidRDefault="00CA23FA" w:rsidP="00D87D91">
      <w:pPr>
        <w:pStyle w:val="3"/>
        <w:rPr>
          <w:lang w:val="en-GB" w:eastAsia="en-US" w:bidi="bn-IN"/>
        </w:rPr>
      </w:pPr>
      <w:r w:rsidRPr="001663AE">
        <w:rPr>
          <w:rStyle w:val="af3"/>
          <w:rFonts w:ascii="新細明體" w:hAnsi="新細明體"/>
          <w:szCs w:val="20"/>
        </w:rPr>
        <w:footnoteRef/>
      </w:r>
      <w:r w:rsidRPr="001663AE">
        <w:t xml:space="preserve"> </w:t>
      </w:r>
      <w:r w:rsidRPr="001663AE">
        <w:rPr>
          <w:lang w:val="en-GB" w:eastAsia="en-US" w:bidi="bn-IN"/>
        </w:rPr>
        <w:t>The Constitution of the Republic of Estonia§ 54.</w:t>
      </w:r>
    </w:p>
    <w:p w14:paraId="2B1D92CE" w14:textId="77777777" w:rsidR="00CA23FA" w:rsidRPr="001663AE" w:rsidRDefault="00CA23FA" w:rsidP="00D87D91">
      <w:pPr>
        <w:pStyle w:val="3"/>
        <w:rPr>
          <w:lang w:val="en-GB" w:eastAsia="en-US" w:bidi="bn-IN"/>
        </w:rPr>
      </w:pPr>
      <w:r w:rsidRPr="001663AE">
        <w:rPr>
          <w:lang w:val="en-GB" w:eastAsia="en-US" w:bidi="bn-IN"/>
        </w:rPr>
        <w:t>An Estonian citizen has a duty to be loyal to the constitutional order and to defend the independence of Estonia.</w:t>
      </w:r>
    </w:p>
    <w:p w14:paraId="2895AA8D" w14:textId="77777777" w:rsidR="00CA23FA" w:rsidRPr="001663AE" w:rsidRDefault="00CA23FA" w:rsidP="00D87D91">
      <w:pPr>
        <w:pStyle w:val="3"/>
        <w:rPr>
          <w:lang w:val="en-GB" w:eastAsia="en-US" w:bidi="bn-IN"/>
        </w:rPr>
      </w:pPr>
      <w:r w:rsidRPr="001663AE">
        <w:rPr>
          <w:lang w:val="en-GB" w:eastAsia="en-US" w:bidi="bn-IN"/>
        </w:rPr>
        <w:t>If no other means are available, every Estonian citizen has the right to initiate resistance against a forcible change of the constitutional order.</w:t>
      </w:r>
    </w:p>
    <w:p w14:paraId="10BCA22A" w14:textId="77777777" w:rsidR="00CA23FA" w:rsidRPr="001663AE" w:rsidRDefault="00CA23FA" w:rsidP="00D87D91">
      <w:pPr>
        <w:pStyle w:val="3"/>
        <w:rPr>
          <w:lang w:val="en-GB"/>
        </w:rPr>
      </w:pPr>
    </w:p>
  </w:footnote>
  <w:footnote w:id="1057">
    <w:p w14:paraId="2FA5EEEA" w14:textId="77777777" w:rsidR="00CA23FA" w:rsidRPr="001663AE" w:rsidRDefault="00CA23FA" w:rsidP="00DE356D">
      <w:pPr>
        <w:pStyle w:val="3"/>
        <w:jc w:val="left"/>
      </w:pPr>
      <w:r w:rsidRPr="001663AE">
        <w:rPr>
          <w:rStyle w:val="af3"/>
          <w:rFonts w:ascii="新細明體" w:hAnsi="新細明體"/>
          <w:szCs w:val="20"/>
        </w:rPr>
        <w:footnoteRef/>
      </w:r>
      <w:r w:rsidRPr="001663AE">
        <w:rPr>
          <w:rFonts w:cs="細明體_HKSCS" w:hint="eastAsia"/>
        </w:rPr>
        <w:t xml:space="preserve"> </w:t>
      </w:r>
      <w:r w:rsidRPr="001663AE">
        <w:rPr>
          <w:rFonts w:cs="細明體_HKSCS" w:hint="eastAsia"/>
        </w:rPr>
        <w:t>於</w:t>
      </w:r>
      <w:r w:rsidRPr="001663AE">
        <w:rPr>
          <w:rFonts w:cs="細明體_HKSCS" w:hint="eastAsia"/>
        </w:rPr>
        <w:t>1986</w:t>
      </w:r>
      <w:r w:rsidRPr="001663AE">
        <w:rPr>
          <w:rFonts w:cs="細明體_HKSCS" w:hint="eastAsia"/>
        </w:rPr>
        <w:t>年之「發展權利宣言」之序言之中，明文地</w:t>
      </w:r>
      <w:r w:rsidRPr="001663AE">
        <w:rPr>
          <w:rFonts w:cs="T57" w:hint="eastAsia"/>
        </w:rPr>
        <w:t>確認</w:t>
      </w:r>
      <w:r w:rsidRPr="001663AE">
        <w:rPr>
          <w:rFonts w:hint="eastAsia"/>
        </w:rPr>
        <w:t>發</w:t>
      </w:r>
      <w:r w:rsidRPr="001663AE">
        <w:rPr>
          <w:rFonts w:cs="T48" w:hint="eastAsia"/>
        </w:rPr>
        <w:t>展</w:t>
      </w:r>
      <w:r w:rsidRPr="001663AE">
        <w:rPr>
          <w:rFonts w:hint="eastAsia"/>
        </w:rPr>
        <w:t>權利是一項不可剝奪的人權。該序言如下：</w:t>
      </w:r>
      <w:r w:rsidRPr="001663AE">
        <w:rPr>
          <w:rFonts w:cs="T57" w:hint="eastAsia"/>
        </w:rPr>
        <w:t>銘記</w:t>
      </w:r>
      <w:r w:rsidRPr="001663AE">
        <w:rPr>
          <w:rFonts w:cs="T48" w:hint="eastAsia"/>
        </w:rPr>
        <w:t>《</w:t>
      </w:r>
      <w:r w:rsidRPr="001663AE">
        <w:rPr>
          <w:rFonts w:hint="eastAsia"/>
        </w:rPr>
        <w:t>聯合國</w:t>
      </w:r>
      <w:r w:rsidRPr="001663AE">
        <w:rPr>
          <w:rFonts w:cs="T50" w:hint="eastAsia"/>
        </w:rPr>
        <w:t>憲章</w:t>
      </w:r>
      <w:r w:rsidRPr="001663AE">
        <w:rPr>
          <w:rFonts w:cs="T48" w:hint="eastAsia"/>
        </w:rPr>
        <w:t>》</w:t>
      </w:r>
      <w:r w:rsidRPr="001663AE">
        <w:rPr>
          <w:rFonts w:hint="eastAsia"/>
        </w:rPr>
        <w:t>中有關</w:t>
      </w:r>
      <w:r w:rsidRPr="001663AE">
        <w:rPr>
          <w:rFonts w:cs="T48" w:hint="eastAsia"/>
        </w:rPr>
        <w:t>促成</w:t>
      </w:r>
      <w:r w:rsidRPr="001663AE">
        <w:rPr>
          <w:rFonts w:hint="eastAsia"/>
        </w:rPr>
        <w:t>國際合</w:t>
      </w:r>
      <w:r w:rsidRPr="001663AE">
        <w:rPr>
          <w:rFonts w:cs="T48" w:hint="eastAsia"/>
        </w:rPr>
        <w:t>作以</w:t>
      </w:r>
      <w:r w:rsidRPr="001663AE">
        <w:rPr>
          <w:rFonts w:hint="eastAsia"/>
        </w:rPr>
        <w:t>解決屬於經濟、社會、文化或人</w:t>
      </w:r>
      <w:r w:rsidRPr="001663AE">
        <w:rPr>
          <w:rFonts w:cs="T48" w:hint="eastAsia"/>
        </w:rPr>
        <w:t>道</w:t>
      </w:r>
      <w:r w:rsidRPr="001663AE">
        <w:rPr>
          <w:rFonts w:hint="eastAsia"/>
        </w:rPr>
        <w:t>主</w:t>
      </w:r>
      <w:r w:rsidRPr="001663AE">
        <w:rPr>
          <w:rFonts w:cs="T48" w:hint="eastAsia"/>
        </w:rPr>
        <w:t>義性</w:t>
      </w:r>
      <w:r w:rsidRPr="001663AE">
        <w:rPr>
          <w:rFonts w:cs="T50" w:hint="eastAsia"/>
        </w:rPr>
        <w:t>質</w:t>
      </w:r>
      <w:r w:rsidRPr="001663AE">
        <w:rPr>
          <w:rFonts w:hint="eastAsia"/>
        </w:rPr>
        <w:t>的國際問題，</w:t>
      </w:r>
      <w:r w:rsidRPr="001663AE">
        <w:rPr>
          <w:rFonts w:cs="T50" w:hint="eastAsia"/>
        </w:rPr>
        <w:t>且</w:t>
      </w:r>
      <w:r w:rsidRPr="001663AE">
        <w:rPr>
          <w:rFonts w:hint="eastAsia"/>
        </w:rPr>
        <w:t>不</w:t>
      </w:r>
      <w:r w:rsidRPr="001663AE">
        <w:rPr>
          <w:rFonts w:cs="T48" w:hint="eastAsia"/>
        </w:rPr>
        <w:t>分</w:t>
      </w:r>
      <w:r w:rsidRPr="001663AE">
        <w:rPr>
          <w:rFonts w:hint="eastAsia"/>
        </w:rPr>
        <w:t>種族、</w:t>
      </w:r>
      <w:r w:rsidRPr="001663AE">
        <w:rPr>
          <w:rFonts w:cs="T48" w:hint="eastAsia"/>
        </w:rPr>
        <w:t>性別</w:t>
      </w:r>
      <w:r w:rsidRPr="001663AE">
        <w:rPr>
          <w:rFonts w:hint="eastAsia"/>
        </w:rPr>
        <w:t>、語言或宗教，</w:t>
      </w:r>
      <w:r w:rsidRPr="001663AE">
        <w:rPr>
          <w:rFonts w:cs="T48" w:hint="eastAsia"/>
        </w:rPr>
        <w:t>增進並</w:t>
      </w:r>
      <w:r w:rsidRPr="001663AE">
        <w:rPr>
          <w:rFonts w:cs="T49" w:hint="eastAsia"/>
        </w:rPr>
        <w:t>激</w:t>
      </w:r>
      <w:r w:rsidRPr="001663AE">
        <w:rPr>
          <w:rFonts w:cs="T50" w:hint="eastAsia"/>
        </w:rPr>
        <w:t>勵</w:t>
      </w:r>
      <w:r w:rsidRPr="001663AE">
        <w:rPr>
          <w:rFonts w:hint="eastAsia"/>
        </w:rPr>
        <w:t>對</w:t>
      </w:r>
      <w:r w:rsidRPr="001663AE">
        <w:rPr>
          <w:rFonts w:cs="T48" w:hint="eastAsia"/>
        </w:rPr>
        <w:t>全</w:t>
      </w:r>
      <w:r w:rsidRPr="001663AE">
        <w:rPr>
          <w:rFonts w:hint="eastAsia"/>
        </w:rPr>
        <w:t>體人</w:t>
      </w:r>
      <w:r w:rsidRPr="001663AE">
        <w:rPr>
          <w:rFonts w:cs="T48" w:hint="eastAsia"/>
        </w:rPr>
        <w:t>類</w:t>
      </w:r>
      <w:r w:rsidRPr="001663AE">
        <w:rPr>
          <w:rFonts w:hint="eastAsia"/>
        </w:rPr>
        <w:t>人權和基本自由的</w:t>
      </w:r>
      <w:r w:rsidRPr="001663AE">
        <w:rPr>
          <w:rFonts w:cs="T50" w:hint="eastAsia"/>
        </w:rPr>
        <w:t>尊</w:t>
      </w:r>
      <w:r w:rsidRPr="001663AE">
        <w:rPr>
          <w:rFonts w:cs="T48" w:hint="eastAsia"/>
        </w:rPr>
        <w:t>重</w:t>
      </w:r>
      <w:r w:rsidRPr="001663AE">
        <w:rPr>
          <w:rFonts w:hint="eastAsia"/>
        </w:rPr>
        <w:t>的宗旨和原則，</w:t>
      </w:r>
      <w:r w:rsidRPr="001663AE">
        <w:rPr>
          <w:rFonts w:cs="T57" w:hint="eastAsia"/>
        </w:rPr>
        <w:t>承認</w:t>
      </w:r>
      <w:r w:rsidRPr="001663AE">
        <w:rPr>
          <w:rFonts w:hint="eastAsia"/>
        </w:rPr>
        <w:t>發</w:t>
      </w:r>
      <w:r w:rsidRPr="001663AE">
        <w:rPr>
          <w:rFonts w:cs="T48" w:hint="eastAsia"/>
        </w:rPr>
        <w:t>展</w:t>
      </w:r>
      <w:r w:rsidRPr="001663AE">
        <w:rPr>
          <w:rFonts w:hint="eastAsia"/>
        </w:rPr>
        <w:t>是經濟、社會、文化和政治的</w:t>
      </w:r>
      <w:r w:rsidRPr="001663AE">
        <w:rPr>
          <w:rFonts w:cs="T48" w:hint="eastAsia"/>
        </w:rPr>
        <w:t>全面進程</w:t>
      </w:r>
      <w:r w:rsidRPr="001663AE">
        <w:rPr>
          <w:rFonts w:hint="eastAsia"/>
        </w:rPr>
        <w:t>，其</w:t>
      </w:r>
      <w:r w:rsidRPr="001663AE">
        <w:rPr>
          <w:rFonts w:cs="T48" w:hint="eastAsia"/>
        </w:rPr>
        <w:t>目</w:t>
      </w:r>
      <w:r w:rsidRPr="001663AE">
        <w:rPr>
          <w:rFonts w:hint="eastAsia"/>
        </w:rPr>
        <w:t>的是在</w:t>
      </w:r>
      <w:r w:rsidRPr="001663AE">
        <w:rPr>
          <w:rFonts w:cs="T48" w:hint="eastAsia"/>
        </w:rPr>
        <w:t>全</w:t>
      </w:r>
      <w:r w:rsidRPr="001663AE">
        <w:rPr>
          <w:rFonts w:hint="eastAsia"/>
        </w:rPr>
        <w:t>體人民和所有個人</w:t>
      </w:r>
      <w:r w:rsidRPr="001663AE">
        <w:rPr>
          <w:rFonts w:cs="T50" w:hint="eastAsia"/>
        </w:rPr>
        <w:t>積極</w:t>
      </w:r>
      <w:r w:rsidRPr="001663AE">
        <w:rPr>
          <w:rFonts w:hint="eastAsia"/>
        </w:rPr>
        <w:t>、自由和有</w:t>
      </w:r>
      <w:r w:rsidRPr="001663AE">
        <w:rPr>
          <w:rFonts w:cs="T48" w:hint="eastAsia"/>
        </w:rPr>
        <w:t>意義</w:t>
      </w:r>
      <w:r w:rsidRPr="001663AE">
        <w:rPr>
          <w:rFonts w:hint="eastAsia"/>
        </w:rPr>
        <w:t>地</w:t>
      </w:r>
      <w:r w:rsidRPr="001663AE">
        <w:rPr>
          <w:rFonts w:cs="T50" w:hint="eastAsia"/>
        </w:rPr>
        <w:t>參</w:t>
      </w:r>
      <w:r w:rsidRPr="001663AE">
        <w:rPr>
          <w:rFonts w:hint="eastAsia"/>
        </w:rPr>
        <w:t>與發</w:t>
      </w:r>
      <w:r w:rsidRPr="001663AE">
        <w:rPr>
          <w:rFonts w:cs="T48" w:hint="eastAsia"/>
        </w:rPr>
        <w:t>展</w:t>
      </w:r>
      <w:r w:rsidRPr="001663AE">
        <w:rPr>
          <w:rFonts w:hint="eastAsia"/>
        </w:rPr>
        <w:t>及其</w:t>
      </w:r>
      <w:r w:rsidRPr="001663AE">
        <w:rPr>
          <w:rFonts w:cs="T51" w:hint="eastAsia"/>
        </w:rPr>
        <w:t>帶</w:t>
      </w:r>
      <w:r w:rsidRPr="001663AE">
        <w:rPr>
          <w:rFonts w:cs="T48" w:hint="eastAsia"/>
        </w:rPr>
        <w:t>來</w:t>
      </w:r>
      <w:r w:rsidRPr="001663AE">
        <w:rPr>
          <w:rFonts w:hint="eastAsia"/>
        </w:rPr>
        <w:t>的利</w:t>
      </w:r>
      <w:r w:rsidRPr="001663AE">
        <w:rPr>
          <w:rFonts w:cs="T50" w:hint="eastAsia"/>
        </w:rPr>
        <w:t>益</w:t>
      </w:r>
      <w:r w:rsidRPr="001663AE">
        <w:rPr>
          <w:rFonts w:hint="eastAsia"/>
        </w:rPr>
        <w:t>的公</w:t>
      </w:r>
      <w:r w:rsidRPr="001663AE">
        <w:rPr>
          <w:rFonts w:cs="T48" w:hint="eastAsia"/>
        </w:rPr>
        <w:t>平分</w:t>
      </w:r>
      <w:r w:rsidRPr="001663AE">
        <w:rPr>
          <w:rFonts w:cs="T50" w:hint="eastAsia"/>
        </w:rPr>
        <w:t>配</w:t>
      </w:r>
      <w:r w:rsidRPr="001663AE">
        <w:rPr>
          <w:rFonts w:hint="eastAsia"/>
        </w:rPr>
        <w:t>的基</w:t>
      </w:r>
      <w:r w:rsidRPr="001663AE">
        <w:rPr>
          <w:rFonts w:cs="T48" w:hint="eastAsia"/>
        </w:rPr>
        <w:t>礎</w:t>
      </w:r>
      <w:r w:rsidRPr="001663AE">
        <w:rPr>
          <w:rFonts w:hint="eastAsia"/>
        </w:rPr>
        <w:t>上，不</w:t>
      </w:r>
      <w:r w:rsidRPr="001663AE">
        <w:rPr>
          <w:rFonts w:cs="T50" w:hint="eastAsia"/>
        </w:rPr>
        <w:t>斷</w:t>
      </w:r>
      <w:r w:rsidRPr="001663AE">
        <w:rPr>
          <w:rFonts w:hint="eastAsia"/>
        </w:rPr>
        <w:t>改善</w:t>
      </w:r>
      <w:r w:rsidRPr="001663AE">
        <w:rPr>
          <w:rFonts w:cs="T48" w:hint="eastAsia"/>
        </w:rPr>
        <w:t>全</w:t>
      </w:r>
      <w:r w:rsidRPr="001663AE">
        <w:rPr>
          <w:rFonts w:hint="eastAsia"/>
        </w:rPr>
        <w:t>體人民和所有個人的</w:t>
      </w:r>
      <w:r w:rsidRPr="001663AE">
        <w:rPr>
          <w:rFonts w:cs="T48" w:hint="eastAsia"/>
        </w:rPr>
        <w:t>福</w:t>
      </w:r>
      <w:r w:rsidRPr="001663AE">
        <w:rPr>
          <w:rFonts w:hint="eastAsia"/>
        </w:rPr>
        <w:t>利，</w:t>
      </w:r>
      <w:r w:rsidRPr="001663AE">
        <w:rPr>
          <w:rFonts w:cs="T57" w:hint="eastAsia"/>
        </w:rPr>
        <w:t>認為</w:t>
      </w:r>
      <w:r w:rsidRPr="001663AE">
        <w:rPr>
          <w:rFonts w:cs="T50" w:hint="eastAsia"/>
        </w:rPr>
        <w:t>根據</w:t>
      </w:r>
      <w:r w:rsidRPr="001663AE">
        <w:rPr>
          <w:rFonts w:cs="T48" w:hint="eastAsia"/>
        </w:rPr>
        <w:t>《</w:t>
      </w:r>
      <w:r w:rsidRPr="001663AE">
        <w:rPr>
          <w:rFonts w:hint="eastAsia"/>
        </w:rPr>
        <w:t>世界人權宣言</w:t>
      </w:r>
      <w:r w:rsidRPr="001663AE">
        <w:rPr>
          <w:rFonts w:cs="T48" w:hint="eastAsia"/>
        </w:rPr>
        <w:t>》</w:t>
      </w:r>
      <w:r w:rsidRPr="001663AE">
        <w:rPr>
          <w:rFonts w:hint="eastAsia"/>
        </w:rPr>
        <w:t>的規定，人人有權</w:t>
      </w:r>
      <w:r w:rsidRPr="001663AE">
        <w:rPr>
          <w:rFonts w:cs="T50" w:hint="eastAsia"/>
        </w:rPr>
        <w:t>要</w:t>
      </w:r>
      <w:r w:rsidRPr="001663AE">
        <w:rPr>
          <w:rFonts w:hint="eastAsia"/>
        </w:rPr>
        <w:t>求一種社會的和國際的</w:t>
      </w:r>
      <w:r w:rsidRPr="001663AE">
        <w:rPr>
          <w:rFonts w:cs="T50" w:hint="eastAsia"/>
        </w:rPr>
        <w:t>秩序</w:t>
      </w:r>
      <w:r w:rsidRPr="001663AE">
        <w:rPr>
          <w:rFonts w:hint="eastAsia"/>
        </w:rPr>
        <w:t>，在這種</w:t>
      </w:r>
      <w:r w:rsidRPr="001663AE">
        <w:rPr>
          <w:rFonts w:cs="T50" w:hint="eastAsia"/>
        </w:rPr>
        <w:t>秩序</w:t>
      </w:r>
      <w:r w:rsidRPr="001663AE">
        <w:rPr>
          <w:rFonts w:hint="eastAsia"/>
        </w:rPr>
        <w:t>中，本宣言所</w:t>
      </w:r>
      <w:r w:rsidRPr="001663AE">
        <w:rPr>
          <w:rFonts w:cs="T48" w:hint="eastAsia"/>
        </w:rPr>
        <w:t>載</w:t>
      </w:r>
      <w:r w:rsidRPr="001663AE">
        <w:rPr>
          <w:rFonts w:hint="eastAsia"/>
        </w:rPr>
        <w:t>的權利和自由可</w:t>
      </w:r>
      <w:r w:rsidRPr="001663AE">
        <w:rPr>
          <w:rFonts w:cs="T48" w:hint="eastAsia"/>
        </w:rPr>
        <w:t>得</w:t>
      </w:r>
      <w:r w:rsidRPr="001663AE">
        <w:rPr>
          <w:rFonts w:hint="eastAsia"/>
        </w:rPr>
        <w:t>到</w:t>
      </w:r>
      <w:r w:rsidRPr="001663AE">
        <w:rPr>
          <w:rFonts w:cs="T48" w:hint="eastAsia"/>
        </w:rPr>
        <w:t>充分實現</w:t>
      </w:r>
      <w:r w:rsidRPr="001663AE">
        <w:rPr>
          <w:rFonts w:hint="eastAsia"/>
        </w:rPr>
        <w:t>，</w:t>
      </w:r>
      <w:r w:rsidRPr="001663AE">
        <w:rPr>
          <w:rFonts w:cs="T57" w:hint="eastAsia"/>
        </w:rPr>
        <w:t>憶及</w:t>
      </w:r>
      <w:r w:rsidRPr="001663AE">
        <w:rPr>
          <w:rFonts w:cs="T48" w:hint="eastAsia"/>
        </w:rPr>
        <w:t>《</w:t>
      </w:r>
      <w:r w:rsidRPr="001663AE">
        <w:rPr>
          <w:rFonts w:hint="eastAsia"/>
        </w:rPr>
        <w:t>經濟、社會、文化權利國際盟約</w:t>
      </w:r>
      <w:r w:rsidRPr="001663AE">
        <w:rPr>
          <w:rFonts w:cs="T48" w:hint="eastAsia"/>
        </w:rPr>
        <w:t>》</w:t>
      </w:r>
      <w:r w:rsidRPr="001663AE">
        <w:rPr>
          <w:rFonts w:hint="eastAsia"/>
        </w:rPr>
        <w:t>和</w:t>
      </w:r>
      <w:r w:rsidRPr="001663AE">
        <w:rPr>
          <w:rFonts w:cs="T48" w:hint="eastAsia"/>
        </w:rPr>
        <w:t>《</w:t>
      </w:r>
      <w:r w:rsidRPr="001663AE">
        <w:rPr>
          <w:rFonts w:hint="eastAsia"/>
        </w:rPr>
        <w:t>公民權利和政治權利國際盟約</w:t>
      </w:r>
      <w:r w:rsidRPr="001663AE">
        <w:rPr>
          <w:rFonts w:cs="T48" w:hint="eastAsia"/>
        </w:rPr>
        <w:t>》</w:t>
      </w:r>
      <w:r w:rsidRPr="001663AE">
        <w:rPr>
          <w:rFonts w:hint="eastAsia"/>
        </w:rPr>
        <w:t>的規定，</w:t>
      </w:r>
      <w:r w:rsidRPr="001663AE">
        <w:rPr>
          <w:rFonts w:cs="T57" w:hint="eastAsia"/>
        </w:rPr>
        <w:t>還憶及</w:t>
      </w:r>
      <w:r w:rsidRPr="001663AE">
        <w:rPr>
          <w:rFonts w:hint="eastAsia"/>
        </w:rPr>
        <w:t>聯合國及其各</w:t>
      </w:r>
      <w:r w:rsidRPr="001663AE">
        <w:rPr>
          <w:rFonts w:cs="T48" w:hint="eastAsia"/>
        </w:rPr>
        <w:t>專</w:t>
      </w:r>
      <w:r w:rsidRPr="001663AE">
        <w:rPr>
          <w:rFonts w:cs="T50" w:hint="eastAsia"/>
        </w:rPr>
        <w:t>門</w:t>
      </w:r>
      <w:r w:rsidRPr="001663AE">
        <w:rPr>
          <w:rFonts w:hint="eastAsia"/>
        </w:rPr>
        <w:t>機</w:t>
      </w:r>
      <w:r w:rsidRPr="001663AE">
        <w:rPr>
          <w:rFonts w:cs="T48" w:hint="eastAsia"/>
        </w:rPr>
        <w:t>構</w:t>
      </w:r>
      <w:r w:rsidRPr="001663AE">
        <w:rPr>
          <w:rFonts w:hint="eastAsia"/>
        </w:rPr>
        <w:t>關於個人的</w:t>
      </w:r>
      <w:r w:rsidRPr="001663AE">
        <w:rPr>
          <w:rFonts w:cs="T48" w:hint="eastAsia"/>
        </w:rPr>
        <w:t>全面</w:t>
      </w:r>
      <w:r w:rsidRPr="001663AE">
        <w:rPr>
          <w:rFonts w:hint="eastAsia"/>
        </w:rPr>
        <w:t>發</w:t>
      </w:r>
      <w:r w:rsidRPr="001663AE">
        <w:rPr>
          <w:rFonts w:cs="T48" w:hint="eastAsia"/>
        </w:rPr>
        <w:t>展</w:t>
      </w:r>
      <w:r w:rsidRPr="001663AE">
        <w:rPr>
          <w:rFonts w:hint="eastAsia"/>
        </w:rPr>
        <w:t>和各國人民的經濟及社會</w:t>
      </w:r>
      <w:r w:rsidRPr="001663AE">
        <w:rPr>
          <w:rFonts w:cs="T48" w:hint="eastAsia"/>
        </w:rPr>
        <w:t>進步</w:t>
      </w:r>
      <w:r w:rsidRPr="001663AE">
        <w:rPr>
          <w:rFonts w:hint="eastAsia"/>
        </w:rPr>
        <w:t>和發</w:t>
      </w:r>
      <w:r w:rsidRPr="001663AE">
        <w:rPr>
          <w:rFonts w:cs="T48" w:hint="eastAsia"/>
        </w:rPr>
        <w:t>展</w:t>
      </w:r>
      <w:r w:rsidRPr="001663AE">
        <w:rPr>
          <w:rFonts w:hint="eastAsia"/>
        </w:rPr>
        <w:t>的有關</w:t>
      </w:r>
      <w:r w:rsidRPr="001663AE">
        <w:rPr>
          <w:rFonts w:cs="T50" w:hint="eastAsia"/>
        </w:rPr>
        <w:t>協</w:t>
      </w:r>
      <w:r w:rsidRPr="001663AE">
        <w:rPr>
          <w:rFonts w:hint="eastAsia"/>
        </w:rPr>
        <w:t>定、公約、決議、</w:t>
      </w:r>
      <w:r w:rsidRPr="001663AE">
        <w:rPr>
          <w:rFonts w:cs="T48" w:hint="eastAsia"/>
        </w:rPr>
        <w:t>建</w:t>
      </w:r>
      <w:r w:rsidRPr="001663AE">
        <w:rPr>
          <w:rFonts w:hint="eastAsia"/>
        </w:rPr>
        <w:t>議及其他文書，</w:t>
      </w:r>
      <w:r w:rsidRPr="001663AE">
        <w:rPr>
          <w:rFonts w:cs="T48" w:hint="eastAsia"/>
        </w:rPr>
        <w:t>包括</w:t>
      </w:r>
      <w:r w:rsidRPr="001663AE">
        <w:rPr>
          <w:rFonts w:hint="eastAsia"/>
        </w:rPr>
        <w:t>關於非殖民化、</w:t>
      </w:r>
      <w:r w:rsidRPr="001663AE">
        <w:rPr>
          <w:rFonts w:cs="T48" w:hint="eastAsia"/>
        </w:rPr>
        <w:t>防</w:t>
      </w:r>
      <w:r w:rsidRPr="001663AE">
        <w:rPr>
          <w:rFonts w:hint="eastAsia"/>
        </w:rPr>
        <w:t>止歧視、</w:t>
      </w:r>
      <w:r w:rsidRPr="001663AE">
        <w:rPr>
          <w:rFonts w:cs="T50" w:hint="eastAsia"/>
        </w:rPr>
        <w:t>尊</w:t>
      </w:r>
      <w:r w:rsidRPr="001663AE">
        <w:rPr>
          <w:rFonts w:cs="T48" w:hint="eastAsia"/>
        </w:rPr>
        <w:t>重</w:t>
      </w:r>
      <w:r w:rsidRPr="001663AE">
        <w:rPr>
          <w:rFonts w:hint="eastAsia"/>
        </w:rPr>
        <w:t>和</w:t>
      </w:r>
      <w:r w:rsidRPr="001663AE">
        <w:rPr>
          <w:rFonts w:cs="T50" w:hint="eastAsia"/>
        </w:rPr>
        <w:t>遵</w:t>
      </w:r>
      <w:r w:rsidRPr="001663AE">
        <w:rPr>
          <w:rFonts w:cs="T48" w:hint="eastAsia"/>
        </w:rPr>
        <w:t>守</w:t>
      </w:r>
      <w:r w:rsidRPr="001663AE">
        <w:rPr>
          <w:rFonts w:hint="eastAsia"/>
        </w:rPr>
        <w:t>人權和基本自由、</w:t>
      </w:r>
      <w:r w:rsidRPr="001663AE">
        <w:rPr>
          <w:rFonts w:cs="T50" w:hint="eastAsia"/>
        </w:rPr>
        <w:t>根據</w:t>
      </w:r>
      <w:r w:rsidRPr="001663AE">
        <w:rPr>
          <w:rFonts w:cs="T48" w:hint="eastAsia"/>
        </w:rPr>
        <w:t>《</w:t>
      </w:r>
      <w:r w:rsidRPr="001663AE">
        <w:rPr>
          <w:rFonts w:cs="T50" w:hint="eastAsia"/>
        </w:rPr>
        <w:t>憲章</w:t>
      </w:r>
      <w:r w:rsidRPr="001663AE">
        <w:rPr>
          <w:rFonts w:cs="T48" w:hint="eastAsia"/>
        </w:rPr>
        <w:t>》</w:t>
      </w:r>
      <w:r w:rsidRPr="001663AE">
        <w:rPr>
          <w:rFonts w:hint="eastAsia"/>
        </w:rPr>
        <w:t>維護國際和</w:t>
      </w:r>
      <w:r w:rsidRPr="001663AE">
        <w:rPr>
          <w:rFonts w:cs="T48" w:hint="eastAsia"/>
        </w:rPr>
        <w:t>平</w:t>
      </w:r>
      <w:r w:rsidRPr="001663AE">
        <w:rPr>
          <w:rFonts w:hint="eastAsia"/>
        </w:rPr>
        <w:t>與</w:t>
      </w:r>
      <w:r w:rsidRPr="001663AE">
        <w:rPr>
          <w:rFonts w:cs="T50" w:hint="eastAsia"/>
        </w:rPr>
        <w:t>安</w:t>
      </w:r>
      <w:r w:rsidRPr="001663AE">
        <w:rPr>
          <w:rFonts w:cs="T48" w:hint="eastAsia"/>
        </w:rPr>
        <w:t>全並進</w:t>
      </w:r>
      <w:r w:rsidRPr="001663AE">
        <w:rPr>
          <w:rFonts w:hint="eastAsia"/>
        </w:rPr>
        <w:t>一</w:t>
      </w:r>
      <w:r w:rsidRPr="001663AE">
        <w:rPr>
          <w:rFonts w:cs="T48" w:hint="eastAsia"/>
        </w:rPr>
        <w:t>步促進</w:t>
      </w:r>
      <w:r w:rsidRPr="001663AE">
        <w:rPr>
          <w:rFonts w:hint="eastAsia"/>
        </w:rPr>
        <w:t>各國間</w:t>
      </w:r>
      <w:r w:rsidRPr="001663AE">
        <w:rPr>
          <w:rFonts w:cs="T50" w:hint="eastAsia"/>
        </w:rPr>
        <w:t>友好</w:t>
      </w:r>
      <w:r w:rsidRPr="001663AE">
        <w:rPr>
          <w:rFonts w:hint="eastAsia"/>
        </w:rPr>
        <w:t>關</w:t>
      </w:r>
      <w:r w:rsidRPr="001663AE">
        <w:rPr>
          <w:rFonts w:cs="T48" w:hint="eastAsia"/>
        </w:rPr>
        <w:t>係</w:t>
      </w:r>
      <w:r w:rsidRPr="001663AE">
        <w:rPr>
          <w:rFonts w:hint="eastAsia"/>
        </w:rPr>
        <w:t>與合</w:t>
      </w:r>
      <w:r w:rsidRPr="001663AE">
        <w:rPr>
          <w:rFonts w:cs="T48" w:hint="eastAsia"/>
        </w:rPr>
        <w:t>作</w:t>
      </w:r>
      <w:r w:rsidRPr="001663AE">
        <w:rPr>
          <w:rFonts w:hint="eastAsia"/>
        </w:rPr>
        <w:t>的文書，</w:t>
      </w:r>
      <w:r w:rsidRPr="001663AE">
        <w:rPr>
          <w:rFonts w:cs="T57" w:hint="eastAsia"/>
        </w:rPr>
        <w:t>憶及</w:t>
      </w:r>
      <w:r w:rsidRPr="001663AE">
        <w:rPr>
          <w:rFonts w:hint="eastAsia"/>
        </w:rPr>
        <w:t>各國人民的自決權利，由於這種自決權利，各國人民有權自由決定他</w:t>
      </w:r>
      <w:r w:rsidRPr="001663AE">
        <w:rPr>
          <w:rFonts w:cs="T48" w:hint="eastAsia"/>
        </w:rPr>
        <w:t>們</w:t>
      </w:r>
      <w:r w:rsidRPr="001663AE">
        <w:rPr>
          <w:rFonts w:hint="eastAsia"/>
        </w:rPr>
        <w:t>的政治地</w:t>
      </w:r>
      <w:r w:rsidRPr="001663AE">
        <w:rPr>
          <w:rFonts w:cs="T48" w:hint="eastAsia"/>
        </w:rPr>
        <w:t>位</w:t>
      </w:r>
      <w:r w:rsidRPr="001663AE">
        <w:rPr>
          <w:rFonts w:hint="eastAsia"/>
        </w:rPr>
        <w:t>和</w:t>
      </w:r>
      <w:r w:rsidRPr="001663AE">
        <w:rPr>
          <w:rFonts w:cs="T50" w:hint="eastAsia"/>
        </w:rPr>
        <w:t>謀</w:t>
      </w:r>
      <w:r w:rsidRPr="001663AE">
        <w:rPr>
          <w:rFonts w:hint="eastAsia"/>
        </w:rPr>
        <w:t>求他</w:t>
      </w:r>
      <w:r w:rsidRPr="001663AE">
        <w:rPr>
          <w:rFonts w:cs="T48" w:hint="eastAsia"/>
        </w:rPr>
        <w:t>們</w:t>
      </w:r>
      <w:r w:rsidRPr="001663AE">
        <w:rPr>
          <w:rFonts w:hint="eastAsia"/>
        </w:rPr>
        <w:t>經濟、社會和文化的發</w:t>
      </w:r>
      <w:r w:rsidRPr="001663AE">
        <w:rPr>
          <w:rFonts w:cs="T48" w:hint="eastAsia"/>
        </w:rPr>
        <w:t>展</w:t>
      </w:r>
      <w:r w:rsidRPr="001663AE">
        <w:rPr>
          <w:rFonts w:hint="eastAsia"/>
        </w:rPr>
        <w:t>，</w:t>
      </w:r>
      <w:r w:rsidRPr="001663AE">
        <w:rPr>
          <w:rFonts w:cs="T57" w:hint="eastAsia"/>
        </w:rPr>
        <w:t>還憶及</w:t>
      </w:r>
      <w:r w:rsidRPr="001663AE">
        <w:rPr>
          <w:rFonts w:hint="eastAsia"/>
        </w:rPr>
        <w:t>各國人民有權在關於人權的</w:t>
      </w:r>
      <w:r w:rsidRPr="001663AE">
        <w:rPr>
          <w:rFonts w:cs="T48" w:hint="eastAsia"/>
        </w:rPr>
        <w:t>兩</w:t>
      </w:r>
      <w:r w:rsidRPr="001663AE">
        <w:rPr>
          <w:rFonts w:hint="eastAsia"/>
        </w:rPr>
        <w:t>項國際盟約有關規定的限制</w:t>
      </w:r>
      <w:r w:rsidRPr="001663AE">
        <w:rPr>
          <w:rFonts w:cs="T50" w:hint="eastAsia"/>
        </w:rPr>
        <w:t>下</w:t>
      </w:r>
      <w:r w:rsidRPr="001663AE">
        <w:rPr>
          <w:rFonts w:hint="eastAsia"/>
        </w:rPr>
        <w:t>對他</w:t>
      </w:r>
      <w:r w:rsidRPr="001663AE">
        <w:rPr>
          <w:rFonts w:cs="T48" w:hint="eastAsia"/>
        </w:rPr>
        <w:t>們</w:t>
      </w:r>
      <w:r w:rsidRPr="001663AE">
        <w:rPr>
          <w:rFonts w:hint="eastAsia"/>
        </w:rPr>
        <w:t>的所有自然資源和</w:t>
      </w:r>
      <w:r w:rsidRPr="001663AE">
        <w:rPr>
          <w:rFonts w:cs="T50" w:hint="eastAsia"/>
        </w:rPr>
        <w:t>財富</w:t>
      </w:r>
      <w:r w:rsidRPr="001663AE">
        <w:rPr>
          <w:rFonts w:hint="eastAsia"/>
        </w:rPr>
        <w:t>行使</w:t>
      </w:r>
      <w:r w:rsidRPr="001663AE">
        <w:rPr>
          <w:rFonts w:cs="T48" w:hint="eastAsia"/>
        </w:rPr>
        <w:t>充分</w:t>
      </w:r>
      <w:r w:rsidRPr="001663AE">
        <w:rPr>
          <w:rFonts w:hint="eastAsia"/>
        </w:rPr>
        <w:t>和</w:t>
      </w:r>
      <w:r w:rsidRPr="001663AE">
        <w:rPr>
          <w:rFonts w:cs="T48" w:hint="eastAsia"/>
        </w:rPr>
        <w:t>完全</w:t>
      </w:r>
      <w:r w:rsidRPr="001663AE">
        <w:rPr>
          <w:rFonts w:hint="eastAsia"/>
        </w:rPr>
        <w:t>的主權，</w:t>
      </w:r>
      <w:r w:rsidRPr="001663AE">
        <w:rPr>
          <w:rFonts w:cs="T57" w:hint="eastAsia"/>
        </w:rPr>
        <w:t>念及</w:t>
      </w:r>
      <w:r w:rsidRPr="001663AE">
        <w:rPr>
          <w:rFonts w:hint="eastAsia"/>
        </w:rPr>
        <w:t>各國</w:t>
      </w:r>
      <w:r w:rsidRPr="001663AE">
        <w:rPr>
          <w:rFonts w:cs="T50" w:hint="eastAsia"/>
        </w:rPr>
        <w:t>按照</w:t>
      </w:r>
      <w:r w:rsidRPr="001663AE">
        <w:rPr>
          <w:rFonts w:cs="T48" w:hint="eastAsia"/>
        </w:rPr>
        <w:t>《</w:t>
      </w:r>
      <w:r w:rsidRPr="001663AE">
        <w:rPr>
          <w:rFonts w:cs="T50" w:hint="eastAsia"/>
        </w:rPr>
        <w:t>憲章</w:t>
      </w:r>
      <w:r w:rsidRPr="001663AE">
        <w:rPr>
          <w:rFonts w:cs="T48" w:hint="eastAsia"/>
        </w:rPr>
        <w:t>》</w:t>
      </w:r>
      <w:r w:rsidRPr="001663AE">
        <w:rPr>
          <w:rFonts w:hint="eastAsia"/>
        </w:rPr>
        <w:t>的規定有</w:t>
      </w:r>
      <w:r w:rsidRPr="001663AE">
        <w:rPr>
          <w:rFonts w:cs="T48" w:hint="eastAsia"/>
        </w:rPr>
        <w:t>義務促進</w:t>
      </w:r>
      <w:r w:rsidRPr="001663AE">
        <w:rPr>
          <w:rFonts w:hint="eastAsia"/>
        </w:rPr>
        <w:t>對</w:t>
      </w:r>
      <w:r w:rsidRPr="001663AE">
        <w:rPr>
          <w:rFonts w:cs="T48" w:hint="eastAsia"/>
        </w:rPr>
        <w:t>全</w:t>
      </w:r>
      <w:r w:rsidRPr="001663AE">
        <w:rPr>
          <w:rFonts w:hint="eastAsia"/>
        </w:rPr>
        <w:t>體人</w:t>
      </w:r>
      <w:r w:rsidRPr="001663AE">
        <w:rPr>
          <w:rFonts w:cs="T48" w:hint="eastAsia"/>
        </w:rPr>
        <w:t>類</w:t>
      </w:r>
      <w:r w:rsidRPr="001663AE">
        <w:rPr>
          <w:rFonts w:hint="eastAsia"/>
        </w:rPr>
        <w:t>人權和基本自由的</w:t>
      </w:r>
      <w:r w:rsidRPr="001663AE">
        <w:rPr>
          <w:rFonts w:cs="T48" w:hint="eastAsia"/>
        </w:rPr>
        <w:t>普遍</w:t>
      </w:r>
      <w:r w:rsidRPr="001663AE">
        <w:rPr>
          <w:rFonts w:cs="T50" w:hint="eastAsia"/>
        </w:rPr>
        <w:t>尊</w:t>
      </w:r>
      <w:r w:rsidRPr="001663AE">
        <w:rPr>
          <w:rFonts w:cs="T48" w:hint="eastAsia"/>
        </w:rPr>
        <w:t>重</w:t>
      </w:r>
      <w:r w:rsidRPr="001663AE">
        <w:rPr>
          <w:rFonts w:hint="eastAsia"/>
        </w:rPr>
        <w:t>和</w:t>
      </w:r>
      <w:r w:rsidRPr="001663AE">
        <w:rPr>
          <w:rFonts w:cs="T50" w:hint="eastAsia"/>
        </w:rPr>
        <w:t>遵</w:t>
      </w:r>
      <w:r w:rsidRPr="001663AE">
        <w:rPr>
          <w:rFonts w:cs="T48" w:hint="eastAsia"/>
        </w:rPr>
        <w:t>守</w:t>
      </w:r>
      <w:r w:rsidRPr="001663AE">
        <w:rPr>
          <w:rFonts w:hint="eastAsia"/>
        </w:rPr>
        <w:t>，</w:t>
      </w:r>
      <w:r w:rsidRPr="001663AE">
        <w:rPr>
          <w:rFonts w:cs="T48" w:hint="eastAsia"/>
        </w:rPr>
        <w:t>而</w:t>
      </w:r>
      <w:r w:rsidRPr="001663AE">
        <w:rPr>
          <w:rFonts w:hint="eastAsia"/>
        </w:rPr>
        <w:t>不</w:t>
      </w:r>
      <w:r w:rsidRPr="001663AE">
        <w:rPr>
          <w:rFonts w:cs="T48" w:hint="eastAsia"/>
        </w:rPr>
        <w:t>分</w:t>
      </w:r>
      <w:r w:rsidRPr="001663AE">
        <w:rPr>
          <w:rFonts w:hint="eastAsia"/>
        </w:rPr>
        <w:t>種族、</w:t>
      </w:r>
      <w:r w:rsidRPr="001663AE">
        <w:rPr>
          <w:rFonts w:cs="T50" w:hint="eastAsia"/>
        </w:rPr>
        <w:t>膚</w:t>
      </w:r>
      <w:r w:rsidRPr="001663AE">
        <w:rPr>
          <w:rFonts w:hint="eastAsia"/>
        </w:rPr>
        <w:t>色、</w:t>
      </w:r>
      <w:r w:rsidRPr="001663AE">
        <w:rPr>
          <w:rFonts w:cs="T48" w:hint="eastAsia"/>
        </w:rPr>
        <w:t>性別</w:t>
      </w:r>
      <w:r w:rsidRPr="001663AE">
        <w:rPr>
          <w:rFonts w:hint="eastAsia"/>
        </w:rPr>
        <w:t>、語言、宗教、政治或其他見解、民族本源或社會</w:t>
      </w:r>
      <w:r w:rsidRPr="001663AE">
        <w:rPr>
          <w:rFonts w:cs="T48" w:hint="eastAsia"/>
        </w:rPr>
        <w:t>出</w:t>
      </w:r>
      <w:r w:rsidRPr="001663AE">
        <w:rPr>
          <w:rFonts w:cs="T50" w:hint="eastAsia"/>
        </w:rPr>
        <w:t>身</w:t>
      </w:r>
      <w:r w:rsidRPr="001663AE">
        <w:rPr>
          <w:rFonts w:hint="eastAsia"/>
        </w:rPr>
        <w:t>、</w:t>
      </w:r>
      <w:r w:rsidRPr="001663AE">
        <w:rPr>
          <w:rFonts w:cs="T50" w:hint="eastAsia"/>
        </w:rPr>
        <w:t>財產</w:t>
      </w:r>
      <w:r w:rsidRPr="001663AE">
        <w:rPr>
          <w:rFonts w:hint="eastAsia"/>
        </w:rPr>
        <w:t>、</w:t>
      </w:r>
      <w:r w:rsidRPr="001663AE">
        <w:rPr>
          <w:rFonts w:cs="T48" w:hint="eastAsia"/>
        </w:rPr>
        <w:t>出</w:t>
      </w:r>
      <w:r w:rsidRPr="001663AE">
        <w:rPr>
          <w:rFonts w:hint="eastAsia"/>
        </w:rPr>
        <w:t>生或其他</w:t>
      </w:r>
      <w:r w:rsidRPr="001663AE">
        <w:rPr>
          <w:rFonts w:cs="T50" w:hint="eastAsia"/>
        </w:rPr>
        <w:t>身</w:t>
      </w:r>
      <w:r w:rsidRPr="001663AE">
        <w:rPr>
          <w:rFonts w:cs="T48" w:hint="eastAsia"/>
        </w:rPr>
        <w:t>分</w:t>
      </w:r>
      <w:r w:rsidRPr="001663AE">
        <w:rPr>
          <w:rFonts w:hint="eastAsia"/>
        </w:rPr>
        <w:t>等任何</w:t>
      </w:r>
      <w:r w:rsidRPr="001663AE">
        <w:rPr>
          <w:rFonts w:cs="T48" w:hint="eastAsia"/>
        </w:rPr>
        <w:t>區別</w:t>
      </w:r>
      <w:r w:rsidRPr="001663AE">
        <w:rPr>
          <w:rFonts w:hint="eastAsia"/>
        </w:rPr>
        <w:t>，</w:t>
      </w:r>
      <w:r w:rsidRPr="001663AE">
        <w:rPr>
          <w:rFonts w:cs="T57" w:hint="eastAsia"/>
        </w:rPr>
        <w:t>認為</w:t>
      </w:r>
      <w:r w:rsidRPr="001663AE">
        <w:rPr>
          <w:rFonts w:hint="eastAsia"/>
        </w:rPr>
        <w:t>消除大規</w:t>
      </w:r>
      <w:r w:rsidRPr="001663AE">
        <w:rPr>
          <w:rFonts w:cs="T49" w:hint="eastAsia"/>
        </w:rPr>
        <w:t>模</w:t>
      </w:r>
      <w:r w:rsidRPr="001663AE">
        <w:rPr>
          <w:rFonts w:hint="eastAsia"/>
        </w:rPr>
        <w:t>公然</w:t>
      </w:r>
      <w:r w:rsidRPr="001663AE">
        <w:rPr>
          <w:rFonts w:cs="T51" w:hint="eastAsia"/>
        </w:rPr>
        <w:t>侵</w:t>
      </w:r>
      <w:r w:rsidRPr="001663AE">
        <w:rPr>
          <w:rFonts w:hint="eastAsia"/>
        </w:rPr>
        <w:t>犯受到</w:t>
      </w:r>
      <w:r w:rsidRPr="001663AE">
        <w:rPr>
          <w:rFonts w:cs="T50" w:hint="eastAsia"/>
        </w:rPr>
        <w:t>下</w:t>
      </w:r>
      <w:r w:rsidRPr="001663AE">
        <w:rPr>
          <w:rFonts w:cs="T48" w:hint="eastAsia"/>
        </w:rPr>
        <w:t>列</w:t>
      </w:r>
      <w:r w:rsidRPr="001663AE">
        <w:rPr>
          <w:rFonts w:hint="eastAsia"/>
        </w:rPr>
        <w:t>情</w:t>
      </w:r>
      <w:r w:rsidRPr="001663AE">
        <w:rPr>
          <w:rFonts w:cs="T48" w:hint="eastAsia"/>
        </w:rPr>
        <w:t>況</w:t>
      </w:r>
      <w:r w:rsidRPr="001663AE">
        <w:rPr>
          <w:rFonts w:cs="T50" w:hint="eastAsia"/>
        </w:rPr>
        <w:t>影響</w:t>
      </w:r>
      <w:r w:rsidRPr="001663AE">
        <w:rPr>
          <w:rFonts w:hint="eastAsia"/>
        </w:rPr>
        <w:t>的各國人民和個人人權的</w:t>
      </w:r>
      <w:r w:rsidRPr="001663AE">
        <w:rPr>
          <w:rFonts w:cs="T48" w:hint="eastAsia"/>
        </w:rPr>
        <w:t>現</w:t>
      </w:r>
      <w:r w:rsidRPr="001663AE">
        <w:rPr>
          <w:rFonts w:cs="T51" w:hint="eastAsia"/>
        </w:rPr>
        <w:t>象</w:t>
      </w:r>
      <w:r w:rsidRPr="001663AE">
        <w:rPr>
          <w:rFonts w:hint="eastAsia"/>
        </w:rPr>
        <w:t>，</w:t>
      </w:r>
      <w:r w:rsidRPr="001663AE">
        <w:rPr>
          <w:rFonts w:cs="T48" w:hint="eastAsia"/>
        </w:rPr>
        <w:t>將</w:t>
      </w:r>
      <w:r w:rsidRPr="001663AE">
        <w:rPr>
          <w:rFonts w:hint="eastAsia"/>
        </w:rPr>
        <w:t>有助於</w:t>
      </w:r>
      <w:r w:rsidRPr="001663AE">
        <w:rPr>
          <w:rFonts w:cs="T50" w:hint="eastAsia"/>
        </w:rPr>
        <w:t>創</w:t>
      </w:r>
      <w:r w:rsidRPr="001663AE">
        <w:rPr>
          <w:rFonts w:cs="T48" w:hint="eastAsia"/>
        </w:rPr>
        <w:t>造</w:t>
      </w:r>
      <w:r w:rsidRPr="001663AE">
        <w:rPr>
          <w:rFonts w:hint="eastAsia"/>
        </w:rPr>
        <w:t>有利</w:t>
      </w:r>
      <w:r w:rsidRPr="001663AE">
        <w:rPr>
          <w:rFonts w:cs="T48" w:hint="eastAsia"/>
        </w:rPr>
        <w:t>條</w:t>
      </w:r>
      <w:r w:rsidRPr="001663AE">
        <w:rPr>
          <w:rFonts w:hint="eastAsia"/>
        </w:rPr>
        <w:t>件，</w:t>
      </w:r>
      <w:r w:rsidRPr="001663AE">
        <w:rPr>
          <w:rFonts w:cs="T48" w:hint="eastAsia"/>
        </w:rPr>
        <w:t>以</w:t>
      </w:r>
      <w:r w:rsidRPr="001663AE">
        <w:rPr>
          <w:rFonts w:hint="eastAsia"/>
        </w:rPr>
        <w:t>利人</w:t>
      </w:r>
      <w:r w:rsidRPr="001663AE">
        <w:rPr>
          <w:rFonts w:cs="T48" w:hint="eastAsia"/>
        </w:rPr>
        <w:t>類</w:t>
      </w:r>
      <w:r w:rsidRPr="001663AE">
        <w:rPr>
          <w:rFonts w:hint="eastAsia"/>
        </w:rPr>
        <w:t>大</w:t>
      </w:r>
      <w:r w:rsidRPr="001663AE">
        <w:rPr>
          <w:rFonts w:cs="T48" w:hint="eastAsia"/>
        </w:rPr>
        <w:t>多</w:t>
      </w:r>
      <w:r w:rsidRPr="001663AE">
        <w:rPr>
          <w:rFonts w:hint="eastAsia"/>
        </w:rPr>
        <w:t>數的發</w:t>
      </w:r>
      <w:r w:rsidRPr="001663AE">
        <w:rPr>
          <w:rFonts w:cs="T48" w:hint="eastAsia"/>
        </w:rPr>
        <w:t>展</w:t>
      </w:r>
      <w:r w:rsidRPr="001663AE">
        <w:rPr>
          <w:rFonts w:hint="eastAsia"/>
        </w:rPr>
        <w:t>，這</w:t>
      </w:r>
      <w:r w:rsidRPr="001663AE">
        <w:rPr>
          <w:rFonts w:cs="T48" w:hint="eastAsia"/>
        </w:rPr>
        <w:t>些</w:t>
      </w:r>
      <w:r w:rsidRPr="001663AE">
        <w:rPr>
          <w:rFonts w:hint="eastAsia"/>
        </w:rPr>
        <w:t>情</w:t>
      </w:r>
      <w:r w:rsidRPr="001663AE">
        <w:rPr>
          <w:rFonts w:cs="T48" w:hint="eastAsia"/>
        </w:rPr>
        <w:t>況</w:t>
      </w:r>
      <w:r w:rsidRPr="001663AE">
        <w:rPr>
          <w:rFonts w:hint="eastAsia"/>
        </w:rPr>
        <w:t>是由於</w:t>
      </w:r>
      <w:r w:rsidRPr="001663AE">
        <w:rPr>
          <w:rFonts w:cs="T48" w:hint="eastAsia"/>
        </w:rPr>
        <w:t>新、</w:t>
      </w:r>
      <w:r w:rsidRPr="001663AE">
        <w:rPr>
          <w:rFonts w:hint="eastAsia"/>
        </w:rPr>
        <w:t>老殖民主</w:t>
      </w:r>
      <w:r w:rsidRPr="001663AE">
        <w:rPr>
          <w:rFonts w:cs="T48" w:hint="eastAsia"/>
        </w:rPr>
        <w:t>義</w:t>
      </w:r>
      <w:r w:rsidRPr="001663AE">
        <w:rPr>
          <w:rFonts w:hint="eastAsia"/>
        </w:rPr>
        <w:t>、種族</w:t>
      </w:r>
      <w:r w:rsidRPr="001663AE">
        <w:rPr>
          <w:rFonts w:cs="T51" w:hint="eastAsia"/>
        </w:rPr>
        <w:t>隔離</w:t>
      </w:r>
      <w:r w:rsidRPr="001663AE">
        <w:rPr>
          <w:rFonts w:hint="eastAsia"/>
        </w:rPr>
        <w:t>、一切形式的種族主</w:t>
      </w:r>
      <w:r w:rsidRPr="001663AE">
        <w:rPr>
          <w:rFonts w:cs="T48" w:hint="eastAsia"/>
        </w:rPr>
        <w:t>義</w:t>
      </w:r>
      <w:r w:rsidRPr="001663AE">
        <w:rPr>
          <w:rFonts w:hint="eastAsia"/>
        </w:rPr>
        <w:t>和種族歧視、</w:t>
      </w:r>
      <w:r w:rsidRPr="001663AE">
        <w:rPr>
          <w:rFonts w:cs="T48" w:hint="eastAsia"/>
        </w:rPr>
        <w:t>外</w:t>
      </w:r>
      <w:r w:rsidRPr="001663AE">
        <w:rPr>
          <w:rFonts w:hint="eastAsia"/>
        </w:rPr>
        <w:t>國</w:t>
      </w:r>
      <w:r w:rsidRPr="001663AE">
        <w:rPr>
          <w:rFonts w:cs="T48" w:hint="eastAsia"/>
        </w:rPr>
        <w:t>統</w:t>
      </w:r>
      <w:r w:rsidRPr="001663AE">
        <w:rPr>
          <w:rFonts w:hint="eastAsia"/>
        </w:rPr>
        <w:t>治和</w:t>
      </w:r>
      <w:r w:rsidRPr="001663AE">
        <w:rPr>
          <w:rFonts w:cs="T51" w:hint="eastAsia"/>
        </w:rPr>
        <w:t>佔</w:t>
      </w:r>
      <w:r w:rsidRPr="001663AE">
        <w:rPr>
          <w:rFonts w:hint="eastAsia"/>
        </w:rPr>
        <w:t>領、</w:t>
      </w:r>
      <w:r w:rsidRPr="001663AE">
        <w:rPr>
          <w:rFonts w:cs="T51" w:hint="eastAsia"/>
        </w:rPr>
        <w:t>侵</w:t>
      </w:r>
      <w:r w:rsidRPr="001663AE">
        <w:rPr>
          <w:rFonts w:cs="T49" w:hint="eastAsia"/>
        </w:rPr>
        <w:t>略</w:t>
      </w:r>
      <w:r w:rsidRPr="001663AE">
        <w:rPr>
          <w:rFonts w:hint="eastAsia"/>
        </w:rPr>
        <w:t>、對國家主權、國家</w:t>
      </w:r>
      <w:r w:rsidRPr="001663AE">
        <w:rPr>
          <w:rFonts w:cs="T48" w:hint="eastAsia"/>
        </w:rPr>
        <w:t>統</w:t>
      </w:r>
      <w:r w:rsidRPr="001663AE">
        <w:rPr>
          <w:rFonts w:hint="eastAsia"/>
        </w:rPr>
        <w:t>一和領土</w:t>
      </w:r>
      <w:r w:rsidRPr="001663AE">
        <w:rPr>
          <w:rFonts w:cs="T48" w:hint="eastAsia"/>
        </w:rPr>
        <w:t>完</w:t>
      </w:r>
      <w:r w:rsidRPr="001663AE">
        <w:rPr>
          <w:rFonts w:cs="T51" w:hint="eastAsia"/>
        </w:rPr>
        <w:t>整</w:t>
      </w:r>
      <w:r w:rsidRPr="001663AE">
        <w:rPr>
          <w:rFonts w:hint="eastAsia"/>
        </w:rPr>
        <w:t>的</w:t>
      </w:r>
      <w:r w:rsidRPr="001663AE">
        <w:rPr>
          <w:rFonts w:cs="T51" w:hint="eastAsia"/>
        </w:rPr>
        <w:t>威脅</w:t>
      </w:r>
      <w:r w:rsidRPr="001663AE">
        <w:rPr>
          <w:rFonts w:cs="T48" w:hint="eastAsia"/>
        </w:rPr>
        <w:t>以</w:t>
      </w:r>
      <w:r w:rsidRPr="001663AE">
        <w:rPr>
          <w:rFonts w:hint="eastAsia"/>
        </w:rPr>
        <w:t>及</w:t>
      </w:r>
      <w:r w:rsidRPr="001663AE">
        <w:rPr>
          <w:rFonts w:cs="T48" w:hint="eastAsia"/>
        </w:rPr>
        <w:t>戰</w:t>
      </w:r>
      <w:r w:rsidRPr="001663AE">
        <w:rPr>
          <w:rFonts w:hint="eastAsia"/>
        </w:rPr>
        <w:t>爭的</w:t>
      </w:r>
      <w:r w:rsidRPr="001663AE">
        <w:rPr>
          <w:rFonts w:cs="T51" w:hint="eastAsia"/>
        </w:rPr>
        <w:t>威脅</w:t>
      </w:r>
      <w:r w:rsidRPr="001663AE">
        <w:rPr>
          <w:rFonts w:hint="eastAsia"/>
        </w:rPr>
        <w:t>等所</w:t>
      </w:r>
      <w:r w:rsidRPr="001663AE">
        <w:rPr>
          <w:rFonts w:cs="T48" w:hint="eastAsia"/>
        </w:rPr>
        <w:t>造成</w:t>
      </w:r>
      <w:r w:rsidRPr="001663AE">
        <w:rPr>
          <w:rFonts w:hint="eastAsia"/>
        </w:rPr>
        <w:t>的，</w:t>
      </w:r>
      <w:r w:rsidRPr="001663AE">
        <w:rPr>
          <w:rFonts w:cs="T57" w:hint="eastAsia"/>
        </w:rPr>
        <w:t>關注</w:t>
      </w:r>
      <w:r w:rsidRPr="001663AE">
        <w:rPr>
          <w:rFonts w:cs="T51" w:hint="eastAsia"/>
        </w:rPr>
        <w:t>繼續</w:t>
      </w:r>
      <w:r w:rsidRPr="001663AE">
        <w:rPr>
          <w:rFonts w:cs="T48" w:hint="eastAsia"/>
        </w:rPr>
        <w:t>存</w:t>
      </w:r>
      <w:r w:rsidRPr="001663AE">
        <w:rPr>
          <w:rFonts w:hint="eastAsia"/>
        </w:rPr>
        <w:t>在著</w:t>
      </w:r>
      <w:r w:rsidRPr="001663AE">
        <w:rPr>
          <w:rFonts w:cs="T51" w:hint="eastAsia"/>
        </w:rPr>
        <w:t>阻礙</w:t>
      </w:r>
      <w:r w:rsidRPr="001663AE">
        <w:rPr>
          <w:rFonts w:hint="eastAsia"/>
        </w:rPr>
        <w:t>發</w:t>
      </w:r>
      <w:r w:rsidRPr="001663AE">
        <w:rPr>
          <w:rFonts w:cs="T48" w:hint="eastAsia"/>
        </w:rPr>
        <w:t>展</w:t>
      </w:r>
      <w:r w:rsidRPr="001663AE">
        <w:rPr>
          <w:rFonts w:hint="eastAsia"/>
        </w:rPr>
        <w:t>和</w:t>
      </w:r>
      <w:r w:rsidRPr="001663AE">
        <w:rPr>
          <w:rFonts w:cs="T49" w:hint="eastAsia"/>
        </w:rPr>
        <w:t>徹底</w:t>
      </w:r>
      <w:r w:rsidRPr="001663AE">
        <w:rPr>
          <w:rFonts w:cs="T48" w:hint="eastAsia"/>
        </w:rPr>
        <w:t>實現</w:t>
      </w:r>
      <w:r w:rsidRPr="001663AE">
        <w:rPr>
          <w:rFonts w:hint="eastAsia"/>
        </w:rPr>
        <w:t>所有個人和各國人民</w:t>
      </w:r>
      <w:r w:rsidRPr="001663AE">
        <w:rPr>
          <w:rFonts w:cs="T50" w:hint="eastAsia"/>
        </w:rPr>
        <w:t>願</w:t>
      </w:r>
      <w:r w:rsidRPr="001663AE">
        <w:rPr>
          <w:rFonts w:cs="T48" w:hint="eastAsia"/>
        </w:rPr>
        <w:t>望</w:t>
      </w:r>
      <w:r w:rsidRPr="001663AE">
        <w:rPr>
          <w:rFonts w:hint="eastAsia"/>
        </w:rPr>
        <w:t>的</w:t>
      </w:r>
      <w:r w:rsidRPr="001663AE">
        <w:rPr>
          <w:rFonts w:cs="T50" w:hint="eastAsia"/>
        </w:rPr>
        <w:t>嚴</w:t>
      </w:r>
      <w:r w:rsidRPr="001663AE">
        <w:rPr>
          <w:rFonts w:cs="T48" w:hint="eastAsia"/>
        </w:rPr>
        <w:t>重障</w:t>
      </w:r>
      <w:r w:rsidRPr="001663AE">
        <w:rPr>
          <w:rFonts w:cs="T51" w:hint="eastAsia"/>
        </w:rPr>
        <w:t>礙</w:t>
      </w:r>
      <w:r w:rsidRPr="001663AE">
        <w:rPr>
          <w:rFonts w:hint="eastAsia"/>
        </w:rPr>
        <w:t>，這是除其他</w:t>
      </w:r>
      <w:r w:rsidRPr="001663AE">
        <w:rPr>
          <w:rFonts w:cs="T48" w:hint="eastAsia"/>
        </w:rPr>
        <w:t>事</w:t>
      </w:r>
      <w:r w:rsidRPr="001663AE">
        <w:rPr>
          <w:rFonts w:hint="eastAsia"/>
        </w:rPr>
        <w:t>項</w:t>
      </w:r>
      <w:r w:rsidRPr="001663AE">
        <w:rPr>
          <w:rFonts w:cs="T48" w:hint="eastAsia"/>
        </w:rPr>
        <w:t>外</w:t>
      </w:r>
      <w:r w:rsidRPr="001663AE">
        <w:rPr>
          <w:rFonts w:hint="eastAsia"/>
        </w:rPr>
        <w:t>由於剝奪</w:t>
      </w:r>
      <w:r w:rsidRPr="001663AE">
        <w:rPr>
          <w:rFonts w:cs="T48" w:hint="eastAsia"/>
        </w:rPr>
        <w:t>了</w:t>
      </w:r>
      <w:r w:rsidRPr="001663AE">
        <w:rPr>
          <w:rFonts w:hint="eastAsia"/>
        </w:rPr>
        <w:t>公民、政治、經濟、社會和文化等權利所</w:t>
      </w:r>
      <w:r w:rsidRPr="001663AE">
        <w:rPr>
          <w:rFonts w:cs="T48" w:hint="eastAsia"/>
        </w:rPr>
        <w:t>造成</w:t>
      </w:r>
      <w:r w:rsidRPr="001663AE">
        <w:rPr>
          <w:rFonts w:hint="eastAsia"/>
        </w:rPr>
        <w:t>的，</w:t>
      </w:r>
      <w:r w:rsidRPr="001663AE">
        <w:rPr>
          <w:rFonts w:cs="T48" w:hint="eastAsia"/>
        </w:rPr>
        <w:t>認</w:t>
      </w:r>
      <w:r w:rsidRPr="001663AE">
        <w:rPr>
          <w:rFonts w:hint="eastAsia"/>
        </w:rPr>
        <w:t>為所有人權和基本自由都是不可</w:t>
      </w:r>
      <w:r w:rsidRPr="001663AE">
        <w:rPr>
          <w:rFonts w:cs="T48" w:hint="eastAsia"/>
        </w:rPr>
        <w:t>分割</w:t>
      </w:r>
      <w:r w:rsidRPr="001663AE">
        <w:rPr>
          <w:rFonts w:hint="eastAsia"/>
        </w:rPr>
        <w:t>和</w:t>
      </w:r>
      <w:r w:rsidRPr="001663AE">
        <w:rPr>
          <w:rFonts w:cs="T48" w:hint="eastAsia"/>
        </w:rPr>
        <w:t>相互依存</w:t>
      </w:r>
      <w:r w:rsidRPr="001663AE">
        <w:rPr>
          <w:rFonts w:hint="eastAsia"/>
        </w:rPr>
        <w:t>的，為</w:t>
      </w:r>
      <w:r w:rsidRPr="001663AE">
        <w:rPr>
          <w:rFonts w:cs="T48" w:hint="eastAsia"/>
        </w:rPr>
        <w:t>了促進</w:t>
      </w:r>
      <w:r w:rsidRPr="001663AE">
        <w:rPr>
          <w:rFonts w:hint="eastAsia"/>
        </w:rPr>
        <w:t>發</w:t>
      </w:r>
      <w:r w:rsidRPr="001663AE">
        <w:rPr>
          <w:rFonts w:cs="T48" w:hint="eastAsia"/>
        </w:rPr>
        <w:t>展</w:t>
      </w:r>
      <w:r w:rsidRPr="001663AE">
        <w:rPr>
          <w:rFonts w:hint="eastAsia"/>
        </w:rPr>
        <w:t>，</w:t>
      </w:r>
      <w:r w:rsidRPr="001663AE">
        <w:rPr>
          <w:rFonts w:cs="T50" w:hint="eastAsia"/>
        </w:rPr>
        <w:t>應當</w:t>
      </w:r>
      <w:r w:rsidRPr="001663AE">
        <w:rPr>
          <w:rFonts w:hint="eastAsia"/>
        </w:rPr>
        <w:t>一視同</w:t>
      </w:r>
      <w:r w:rsidRPr="001663AE">
        <w:rPr>
          <w:rFonts w:cs="T53" w:hint="eastAsia"/>
        </w:rPr>
        <w:t>仁</w:t>
      </w:r>
      <w:r w:rsidRPr="001663AE">
        <w:rPr>
          <w:rFonts w:hint="eastAsia"/>
        </w:rPr>
        <w:t>地</w:t>
      </w:r>
      <w:r w:rsidRPr="001663AE">
        <w:rPr>
          <w:rFonts w:cs="T48" w:hint="eastAsia"/>
        </w:rPr>
        <w:t>重</w:t>
      </w:r>
      <w:r w:rsidRPr="001663AE">
        <w:rPr>
          <w:rFonts w:hint="eastAsia"/>
        </w:rPr>
        <w:t>視和</w:t>
      </w:r>
      <w:r w:rsidRPr="001663AE">
        <w:rPr>
          <w:rFonts w:cs="T51" w:hint="eastAsia"/>
        </w:rPr>
        <w:t>緊急</w:t>
      </w:r>
      <w:r w:rsidRPr="001663AE">
        <w:rPr>
          <w:rFonts w:cs="T50" w:hint="eastAsia"/>
        </w:rPr>
        <w:t>考慮</w:t>
      </w:r>
      <w:r w:rsidRPr="001663AE">
        <w:rPr>
          <w:rFonts w:cs="T48" w:hint="eastAsia"/>
        </w:rPr>
        <w:t>實施</w:t>
      </w:r>
      <w:r w:rsidRPr="001663AE">
        <w:rPr>
          <w:rFonts w:hint="eastAsia"/>
        </w:rPr>
        <w:t>、</w:t>
      </w:r>
      <w:r w:rsidRPr="001663AE">
        <w:rPr>
          <w:rFonts w:cs="T48" w:hint="eastAsia"/>
        </w:rPr>
        <w:t>增進</w:t>
      </w:r>
      <w:r w:rsidRPr="001663AE">
        <w:rPr>
          <w:rFonts w:hint="eastAsia"/>
        </w:rPr>
        <w:t>和保護公民、政治、經濟、社會和文化等權利，因</w:t>
      </w:r>
      <w:r w:rsidRPr="001663AE">
        <w:rPr>
          <w:rFonts w:cs="T48" w:hint="eastAsia"/>
        </w:rPr>
        <w:t>而增進</w:t>
      </w:r>
      <w:r w:rsidRPr="001663AE">
        <w:rPr>
          <w:rFonts w:hint="eastAsia"/>
        </w:rPr>
        <w:t>、</w:t>
      </w:r>
      <w:r w:rsidRPr="001663AE">
        <w:rPr>
          <w:rFonts w:cs="T50" w:hint="eastAsia"/>
        </w:rPr>
        <w:t>尊</w:t>
      </w:r>
      <w:r w:rsidRPr="001663AE">
        <w:rPr>
          <w:rFonts w:cs="T48" w:hint="eastAsia"/>
        </w:rPr>
        <w:t>重</w:t>
      </w:r>
      <w:r w:rsidRPr="001663AE">
        <w:rPr>
          <w:rFonts w:hint="eastAsia"/>
        </w:rPr>
        <w:t>和</w:t>
      </w:r>
      <w:r w:rsidRPr="001663AE">
        <w:rPr>
          <w:rFonts w:cs="T48" w:hint="eastAsia"/>
        </w:rPr>
        <w:t>享</w:t>
      </w:r>
      <w:r w:rsidRPr="001663AE">
        <w:rPr>
          <w:rFonts w:hint="eastAsia"/>
        </w:rPr>
        <w:t>受</w:t>
      </w:r>
      <w:r w:rsidRPr="001663AE">
        <w:rPr>
          <w:rFonts w:cs="T50" w:hint="eastAsia"/>
        </w:rPr>
        <w:t>某</w:t>
      </w:r>
      <w:r w:rsidRPr="001663AE">
        <w:rPr>
          <w:rFonts w:cs="T48" w:hint="eastAsia"/>
        </w:rPr>
        <w:t>些</w:t>
      </w:r>
      <w:r w:rsidRPr="001663AE">
        <w:rPr>
          <w:rFonts w:hint="eastAsia"/>
        </w:rPr>
        <w:t>人權和基本自由不能</w:t>
      </w:r>
      <w:r w:rsidRPr="001663AE">
        <w:rPr>
          <w:rFonts w:cs="T48" w:hint="eastAsia"/>
        </w:rPr>
        <w:t>成</w:t>
      </w:r>
      <w:r w:rsidRPr="001663AE">
        <w:rPr>
          <w:rFonts w:hint="eastAsia"/>
        </w:rPr>
        <w:t>為剝奪其他人權和基本自由的</w:t>
      </w:r>
      <w:r w:rsidRPr="001663AE">
        <w:rPr>
          <w:rFonts w:cs="T48" w:hint="eastAsia"/>
        </w:rPr>
        <w:t>理</w:t>
      </w:r>
      <w:r w:rsidRPr="001663AE">
        <w:rPr>
          <w:rFonts w:hint="eastAsia"/>
        </w:rPr>
        <w:t>由，</w:t>
      </w:r>
      <w:r w:rsidRPr="001663AE">
        <w:rPr>
          <w:rFonts w:cs="T57" w:hint="eastAsia"/>
        </w:rPr>
        <w:t>認為</w:t>
      </w:r>
      <w:r w:rsidRPr="001663AE">
        <w:rPr>
          <w:rFonts w:hint="eastAsia"/>
        </w:rPr>
        <w:t>國際和</w:t>
      </w:r>
      <w:r w:rsidRPr="001663AE">
        <w:rPr>
          <w:rFonts w:cs="T48" w:hint="eastAsia"/>
        </w:rPr>
        <w:t>平</w:t>
      </w:r>
      <w:r w:rsidRPr="001663AE">
        <w:rPr>
          <w:rFonts w:hint="eastAsia"/>
        </w:rPr>
        <w:t>與</w:t>
      </w:r>
      <w:r w:rsidRPr="001663AE">
        <w:rPr>
          <w:rFonts w:cs="T50" w:hint="eastAsia"/>
        </w:rPr>
        <w:t>安</w:t>
      </w:r>
      <w:r w:rsidRPr="001663AE">
        <w:rPr>
          <w:rFonts w:cs="T48" w:hint="eastAsia"/>
        </w:rPr>
        <w:t>全</w:t>
      </w:r>
      <w:r w:rsidRPr="001663AE">
        <w:rPr>
          <w:rFonts w:hint="eastAsia"/>
        </w:rPr>
        <w:t>是</w:t>
      </w:r>
      <w:r w:rsidRPr="001663AE">
        <w:rPr>
          <w:rFonts w:cs="T48" w:hint="eastAsia"/>
        </w:rPr>
        <w:t>實現</w:t>
      </w:r>
      <w:r w:rsidRPr="001663AE">
        <w:rPr>
          <w:rFonts w:hint="eastAsia"/>
        </w:rPr>
        <w:t>發</w:t>
      </w:r>
      <w:r w:rsidRPr="001663AE">
        <w:rPr>
          <w:rFonts w:cs="T48" w:hint="eastAsia"/>
        </w:rPr>
        <w:t>展</w:t>
      </w:r>
      <w:r w:rsidRPr="001663AE">
        <w:rPr>
          <w:rFonts w:hint="eastAsia"/>
        </w:rPr>
        <w:t>權利的</w:t>
      </w:r>
      <w:r w:rsidRPr="001663AE">
        <w:rPr>
          <w:rFonts w:cs="T50" w:hint="eastAsia"/>
        </w:rPr>
        <w:t>必</w:t>
      </w:r>
      <w:r w:rsidRPr="001663AE">
        <w:rPr>
          <w:rFonts w:hint="eastAsia"/>
        </w:rPr>
        <w:t>不可少的因</w:t>
      </w:r>
      <w:r w:rsidRPr="001663AE">
        <w:rPr>
          <w:rFonts w:cs="T50" w:hint="eastAsia"/>
        </w:rPr>
        <w:t>素</w:t>
      </w:r>
      <w:r w:rsidRPr="001663AE">
        <w:rPr>
          <w:rFonts w:hint="eastAsia"/>
        </w:rPr>
        <w:t>，</w:t>
      </w:r>
      <w:r w:rsidRPr="001663AE">
        <w:rPr>
          <w:rFonts w:cs="T57" w:hint="eastAsia"/>
        </w:rPr>
        <w:t>重申</w:t>
      </w:r>
      <w:r w:rsidRPr="001663AE">
        <w:rPr>
          <w:rFonts w:cs="T51" w:hint="eastAsia"/>
        </w:rPr>
        <w:t>裁</w:t>
      </w:r>
      <w:r w:rsidRPr="001663AE">
        <w:rPr>
          <w:rFonts w:hint="eastAsia"/>
        </w:rPr>
        <w:t>軍與發</w:t>
      </w:r>
      <w:r w:rsidRPr="001663AE">
        <w:rPr>
          <w:rFonts w:cs="T48" w:hint="eastAsia"/>
        </w:rPr>
        <w:t>展之</w:t>
      </w:r>
      <w:r w:rsidRPr="001663AE">
        <w:rPr>
          <w:rFonts w:hint="eastAsia"/>
        </w:rPr>
        <w:t>間關</w:t>
      </w:r>
      <w:r w:rsidRPr="001663AE">
        <w:rPr>
          <w:rFonts w:cs="T48" w:hint="eastAsia"/>
        </w:rPr>
        <w:t>係</w:t>
      </w:r>
      <w:r w:rsidRPr="001663AE">
        <w:rPr>
          <w:rFonts w:cs="T51" w:hint="eastAsia"/>
        </w:rPr>
        <w:t>密</w:t>
      </w:r>
      <w:r w:rsidRPr="001663AE">
        <w:rPr>
          <w:rFonts w:hint="eastAsia"/>
        </w:rPr>
        <w:t>切，</w:t>
      </w:r>
      <w:r w:rsidRPr="001663AE">
        <w:rPr>
          <w:rFonts w:cs="T51" w:hint="eastAsia"/>
        </w:rPr>
        <w:t>裁</w:t>
      </w:r>
      <w:r w:rsidRPr="001663AE">
        <w:rPr>
          <w:rFonts w:hint="eastAsia"/>
        </w:rPr>
        <w:t>軍領</w:t>
      </w:r>
      <w:r w:rsidRPr="001663AE">
        <w:rPr>
          <w:rFonts w:cs="T48" w:hint="eastAsia"/>
        </w:rPr>
        <w:t>域</w:t>
      </w:r>
      <w:r w:rsidRPr="001663AE">
        <w:rPr>
          <w:rFonts w:hint="eastAsia"/>
        </w:rPr>
        <w:t>的</w:t>
      </w:r>
      <w:r w:rsidRPr="001663AE">
        <w:rPr>
          <w:rFonts w:cs="T48" w:hint="eastAsia"/>
        </w:rPr>
        <w:t>進展將</w:t>
      </w:r>
      <w:r w:rsidRPr="001663AE">
        <w:rPr>
          <w:rFonts w:hint="eastAsia"/>
        </w:rPr>
        <w:t>大大</w:t>
      </w:r>
      <w:r w:rsidRPr="001663AE">
        <w:rPr>
          <w:rFonts w:cs="T48" w:hint="eastAsia"/>
        </w:rPr>
        <w:t>促進</w:t>
      </w:r>
      <w:r w:rsidRPr="001663AE">
        <w:rPr>
          <w:rFonts w:hint="eastAsia"/>
        </w:rPr>
        <w:t>發</w:t>
      </w:r>
      <w:r w:rsidRPr="001663AE">
        <w:rPr>
          <w:rFonts w:cs="T48" w:hint="eastAsia"/>
        </w:rPr>
        <w:t>展</w:t>
      </w:r>
      <w:r w:rsidRPr="001663AE">
        <w:rPr>
          <w:rFonts w:hint="eastAsia"/>
        </w:rPr>
        <w:t>領</w:t>
      </w:r>
      <w:r w:rsidRPr="001663AE">
        <w:rPr>
          <w:rFonts w:cs="T48" w:hint="eastAsia"/>
        </w:rPr>
        <w:t>域</w:t>
      </w:r>
      <w:r w:rsidRPr="001663AE">
        <w:rPr>
          <w:rFonts w:hint="eastAsia"/>
        </w:rPr>
        <w:t>的</w:t>
      </w:r>
      <w:r w:rsidRPr="001663AE">
        <w:rPr>
          <w:rFonts w:cs="T48" w:hint="eastAsia"/>
        </w:rPr>
        <w:t>進展</w:t>
      </w:r>
      <w:r w:rsidRPr="001663AE">
        <w:rPr>
          <w:rFonts w:hint="eastAsia"/>
        </w:rPr>
        <w:t>，</w:t>
      </w:r>
      <w:r w:rsidRPr="001663AE">
        <w:rPr>
          <w:rFonts w:cs="T51" w:hint="eastAsia"/>
        </w:rPr>
        <w:t>裁</w:t>
      </w:r>
      <w:r w:rsidRPr="001663AE">
        <w:rPr>
          <w:rFonts w:hint="eastAsia"/>
        </w:rPr>
        <w:t>軍</w:t>
      </w:r>
      <w:r w:rsidRPr="001663AE">
        <w:rPr>
          <w:rFonts w:cs="T48" w:hint="eastAsia"/>
        </w:rPr>
        <w:t>措施</w:t>
      </w:r>
      <w:r w:rsidRPr="001663AE">
        <w:rPr>
          <w:rFonts w:cs="T52" w:hint="eastAsia"/>
        </w:rPr>
        <w:t>騰</w:t>
      </w:r>
      <w:r w:rsidRPr="001663AE">
        <w:rPr>
          <w:rFonts w:cs="T48" w:hint="eastAsia"/>
        </w:rPr>
        <w:t>出</w:t>
      </w:r>
      <w:r w:rsidRPr="001663AE">
        <w:rPr>
          <w:rFonts w:hint="eastAsia"/>
        </w:rPr>
        <w:t>的資源</w:t>
      </w:r>
      <w:r w:rsidRPr="001663AE">
        <w:rPr>
          <w:rFonts w:cs="T50" w:hint="eastAsia"/>
        </w:rPr>
        <w:t>應</w:t>
      </w:r>
      <w:r w:rsidRPr="001663AE">
        <w:rPr>
          <w:rFonts w:hint="eastAsia"/>
        </w:rPr>
        <w:t>用於各國人民的經濟及社會發</w:t>
      </w:r>
      <w:r w:rsidRPr="001663AE">
        <w:rPr>
          <w:rFonts w:cs="T48" w:hint="eastAsia"/>
        </w:rPr>
        <w:t>展</w:t>
      </w:r>
      <w:r w:rsidRPr="001663AE">
        <w:rPr>
          <w:rFonts w:hint="eastAsia"/>
        </w:rPr>
        <w:t>和</w:t>
      </w:r>
      <w:r w:rsidRPr="001663AE">
        <w:rPr>
          <w:rFonts w:cs="T48" w:hint="eastAsia"/>
        </w:rPr>
        <w:t>福</w:t>
      </w:r>
      <w:r w:rsidRPr="001663AE">
        <w:rPr>
          <w:rFonts w:hint="eastAsia"/>
        </w:rPr>
        <w:t>利，</w:t>
      </w:r>
      <w:r w:rsidRPr="001663AE">
        <w:rPr>
          <w:rFonts w:cs="T48" w:hint="eastAsia"/>
        </w:rPr>
        <w:t>特別</w:t>
      </w:r>
      <w:r w:rsidRPr="001663AE">
        <w:rPr>
          <w:rFonts w:hint="eastAsia"/>
        </w:rPr>
        <w:t>是發</w:t>
      </w:r>
      <w:r w:rsidRPr="001663AE">
        <w:rPr>
          <w:rFonts w:cs="T48" w:hint="eastAsia"/>
        </w:rPr>
        <w:t>展</w:t>
      </w:r>
      <w:r w:rsidRPr="001663AE">
        <w:rPr>
          <w:rFonts w:hint="eastAsia"/>
        </w:rPr>
        <w:t>中國家的這</w:t>
      </w:r>
      <w:r w:rsidRPr="001663AE">
        <w:rPr>
          <w:rFonts w:cs="T48" w:hint="eastAsia"/>
        </w:rPr>
        <w:t>些</w:t>
      </w:r>
      <w:r w:rsidRPr="001663AE">
        <w:rPr>
          <w:rFonts w:hint="eastAsia"/>
        </w:rPr>
        <w:t>發</w:t>
      </w:r>
      <w:r w:rsidRPr="001663AE">
        <w:rPr>
          <w:rFonts w:cs="T48" w:hint="eastAsia"/>
        </w:rPr>
        <w:t>展</w:t>
      </w:r>
      <w:r w:rsidRPr="001663AE">
        <w:rPr>
          <w:rFonts w:hint="eastAsia"/>
        </w:rPr>
        <w:t>和</w:t>
      </w:r>
      <w:r w:rsidRPr="001663AE">
        <w:rPr>
          <w:rFonts w:cs="T48" w:hint="eastAsia"/>
        </w:rPr>
        <w:t>福</w:t>
      </w:r>
      <w:r w:rsidRPr="001663AE">
        <w:rPr>
          <w:rFonts w:hint="eastAsia"/>
        </w:rPr>
        <w:t>利，</w:t>
      </w:r>
      <w:r w:rsidRPr="001663AE">
        <w:rPr>
          <w:rFonts w:cs="T57" w:hint="eastAsia"/>
        </w:rPr>
        <w:t>承認</w:t>
      </w:r>
      <w:r w:rsidRPr="001663AE">
        <w:rPr>
          <w:rFonts w:hint="eastAsia"/>
        </w:rPr>
        <w:t>人是發</w:t>
      </w:r>
      <w:r w:rsidRPr="001663AE">
        <w:rPr>
          <w:rFonts w:cs="T48" w:hint="eastAsia"/>
        </w:rPr>
        <w:t>展進程</w:t>
      </w:r>
      <w:r w:rsidRPr="001663AE">
        <w:rPr>
          <w:rFonts w:hint="eastAsia"/>
        </w:rPr>
        <w:t>的主體，因</w:t>
      </w:r>
      <w:r w:rsidRPr="001663AE">
        <w:rPr>
          <w:rFonts w:cs="T50" w:hint="eastAsia"/>
        </w:rPr>
        <w:t>此</w:t>
      </w:r>
      <w:r w:rsidRPr="001663AE">
        <w:rPr>
          <w:rFonts w:hint="eastAsia"/>
        </w:rPr>
        <w:t>，發</w:t>
      </w:r>
      <w:r w:rsidRPr="001663AE">
        <w:rPr>
          <w:rFonts w:cs="T48" w:hint="eastAsia"/>
        </w:rPr>
        <w:t>展</w:t>
      </w:r>
      <w:r w:rsidRPr="001663AE">
        <w:rPr>
          <w:rFonts w:hint="eastAsia"/>
        </w:rPr>
        <w:t>政</w:t>
      </w:r>
      <w:r w:rsidRPr="001663AE">
        <w:rPr>
          <w:rFonts w:cs="T48" w:hint="eastAsia"/>
        </w:rPr>
        <w:t>策</w:t>
      </w:r>
      <w:r w:rsidRPr="001663AE">
        <w:rPr>
          <w:rFonts w:cs="T50" w:hint="eastAsia"/>
        </w:rPr>
        <w:t>應</w:t>
      </w:r>
      <w:r w:rsidRPr="001663AE">
        <w:rPr>
          <w:rFonts w:hint="eastAsia"/>
        </w:rPr>
        <w:t>使人</w:t>
      </w:r>
      <w:r w:rsidRPr="001663AE">
        <w:rPr>
          <w:rFonts w:cs="T48" w:hint="eastAsia"/>
        </w:rPr>
        <w:t>成</w:t>
      </w:r>
      <w:r w:rsidRPr="001663AE">
        <w:rPr>
          <w:rFonts w:hint="eastAsia"/>
        </w:rPr>
        <w:t>為發</w:t>
      </w:r>
      <w:r w:rsidRPr="001663AE">
        <w:rPr>
          <w:rFonts w:cs="T48" w:hint="eastAsia"/>
        </w:rPr>
        <w:t>展</w:t>
      </w:r>
      <w:r w:rsidRPr="001663AE">
        <w:rPr>
          <w:rFonts w:hint="eastAsia"/>
        </w:rPr>
        <w:t>的主</w:t>
      </w:r>
      <w:r w:rsidRPr="001663AE">
        <w:rPr>
          <w:rFonts w:cs="T50" w:hint="eastAsia"/>
        </w:rPr>
        <w:t>要參</w:t>
      </w:r>
      <w:r w:rsidRPr="001663AE">
        <w:rPr>
          <w:rFonts w:hint="eastAsia"/>
        </w:rPr>
        <w:t>與者和受</w:t>
      </w:r>
      <w:r w:rsidRPr="001663AE">
        <w:rPr>
          <w:rFonts w:cs="T50" w:hint="eastAsia"/>
        </w:rPr>
        <w:t>益</w:t>
      </w:r>
      <w:r w:rsidRPr="001663AE">
        <w:rPr>
          <w:rFonts w:hint="eastAsia"/>
        </w:rPr>
        <w:t>者，</w:t>
      </w:r>
      <w:r w:rsidRPr="001663AE">
        <w:rPr>
          <w:rFonts w:cs="T57" w:hint="eastAsia"/>
        </w:rPr>
        <w:t>承認</w:t>
      </w:r>
      <w:r w:rsidRPr="001663AE">
        <w:rPr>
          <w:rFonts w:cs="T50" w:hint="eastAsia"/>
        </w:rPr>
        <w:t>創</w:t>
      </w:r>
      <w:r w:rsidRPr="001663AE">
        <w:rPr>
          <w:rFonts w:cs="T48" w:hint="eastAsia"/>
        </w:rPr>
        <w:t>造</w:t>
      </w:r>
      <w:r w:rsidRPr="001663AE">
        <w:rPr>
          <w:rFonts w:hint="eastAsia"/>
        </w:rPr>
        <w:t>有利於各國人民和個人發</w:t>
      </w:r>
      <w:r w:rsidRPr="001663AE">
        <w:rPr>
          <w:rFonts w:cs="T48" w:hint="eastAsia"/>
        </w:rPr>
        <w:t>展</w:t>
      </w:r>
      <w:r w:rsidRPr="001663AE">
        <w:rPr>
          <w:rFonts w:hint="eastAsia"/>
        </w:rPr>
        <w:t>的</w:t>
      </w:r>
      <w:r w:rsidRPr="001663AE">
        <w:rPr>
          <w:rFonts w:cs="T48" w:hint="eastAsia"/>
        </w:rPr>
        <w:t>條</w:t>
      </w:r>
      <w:r w:rsidRPr="001663AE">
        <w:rPr>
          <w:rFonts w:hint="eastAsia"/>
        </w:rPr>
        <w:t>件是國家的主</w:t>
      </w:r>
      <w:r w:rsidRPr="001663AE">
        <w:rPr>
          <w:rFonts w:cs="T50" w:hint="eastAsia"/>
        </w:rPr>
        <w:t>要</w:t>
      </w:r>
      <w:r w:rsidRPr="001663AE">
        <w:rPr>
          <w:rFonts w:hint="eastAsia"/>
        </w:rPr>
        <w:t>責任，</w:t>
      </w:r>
      <w:r w:rsidRPr="001663AE">
        <w:rPr>
          <w:rFonts w:cs="T57" w:hint="eastAsia"/>
        </w:rPr>
        <w:t>認識到</w:t>
      </w:r>
      <w:r w:rsidRPr="001663AE">
        <w:rPr>
          <w:rFonts w:hint="eastAsia"/>
        </w:rPr>
        <w:t>除</w:t>
      </w:r>
      <w:r w:rsidRPr="001663AE">
        <w:rPr>
          <w:rFonts w:cs="T48" w:hint="eastAsia"/>
        </w:rPr>
        <w:t>了</w:t>
      </w:r>
      <w:r w:rsidRPr="001663AE">
        <w:rPr>
          <w:rFonts w:hint="eastAsia"/>
        </w:rPr>
        <w:t>在國際一</w:t>
      </w:r>
      <w:r w:rsidRPr="001663AE">
        <w:rPr>
          <w:rFonts w:cs="T48" w:hint="eastAsia"/>
        </w:rPr>
        <w:t>級</w:t>
      </w:r>
      <w:r w:rsidRPr="001663AE">
        <w:rPr>
          <w:rFonts w:cs="T50" w:hint="eastAsia"/>
        </w:rPr>
        <w:t>努</w:t>
      </w:r>
      <w:r w:rsidRPr="001663AE">
        <w:rPr>
          <w:rFonts w:hint="eastAsia"/>
        </w:rPr>
        <w:t>力</w:t>
      </w:r>
      <w:r w:rsidRPr="001663AE">
        <w:rPr>
          <w:rFonts w:cs="T48" w:hint="eastAsia"/>
        </w:rPr>
        <w:t>增進</w:t>
      </w:r>
      <w:r w:rsidRPr="001663AE">
        <w:rPr>
          <w:rFonts w:hint="eastAsia"/>
        </w:rPr>
        <w:t>和保護人權</w:t>
      </w:r>
      <w:r w:rsidRPr="001663AE">
        <w:rPr>
          <w:rFonts w:cs="T48" w:hint="eastAsia"/>
        </w:rPr>
        <w:t>外</w:t>
      </w:r>
      <w:r w:rsidRPr="001663AE">
        <w:rPr>
          <w:rFonts w:hint="eastAsia"/>
        </w:rPr>
        <w:t>，同</w:t>
      </w:r>
      <w:r w:rsidRPr="001663AE">
        <w:rPr>
          <w:rFonts w:cs="T48" w:hint="eastAsia"/>
        </w:rPr>
        <w:t>時還</w:t>
      </w:r>
      <w:r w:rsidRPr="001663AE">
        <w:rPr>
          <w:rFonts w:cs="T50" w:hint="eastAsia"/>
        </w:rPr>
        <w:t>必須努</w:t>
      </w:r>
      <w:r w:rsidRPr="001663AE">
        <w:rPr>
          <w:rFonts w:hint="eastAsia"/>
        </w:rPr>
        <w:t>力</w:t>
      </w:r>
      <w:r w:rsidRPr="001663AE">
        <w:rPr>
          <w:rFonts w:cs="T48" w:hint="eastAsia"/>
        </w:rPr>
        <w:t>建</w:t>
      </w:r>
      <w:r w:rsidRPr="001663AE">
        <w:rPr>
          <w:rFonts w:hint="eastAsia"/>
        </w:rPr>
        <w:t>立一個</w:t>
      </w:r>
      <w:r w:rsidRPr="001663AE">
        <w:rPr>
          <w:rFonts w:cs="T48" w:hint="eastAsia"/>
        </w:rPr>
        <w:t>新</w:t>
      </w:r>
      <w:r w:rsidRPr="001663AE">
        <w:rPr>
          <w:rFonts w:hint="eastAsia"/>
        </w:rPr>
        <w:t>的國際經濟</w:t>
      </w:r>
      <w:r w:rsidRPr="001663AE">
        <w:rPr>
          <w:rFonts w:cs="T50" w:hint="eastAsia"/>
        </w:rPr>
        <w:t>秩序</w:t>
      </w:r>
      <w:r w:rsidRPr="001663AE">
        <w:rPr>
          <w:rFonts w:hint="eastAsia"/>
        </w:rPr>
        <w:t>，</w:t>
      </w:r>
      <w:r w:rsidRPr="001663AE">
        <w:rPr>
          <w:rFonts w:cs="T57" w:hint="eastAsia"/>
        </w:rPr>
        <w:t>確認</w:t>
      </w:r>
      <w:r w:rsidRPr="001663AE">
        <w:rPr>
          <w:rFonts w:hint="eastAsia"/>
        </w:rPr>
        <w:t>發</w:t>
      </w:r>
      <w:r w:rsidRPr="001663AE">
        <w:rPr>
          <w:rFonts w:cs="T48" w:hint="eastAsia"/>
        </w:rPr>
        <w:t>展</w:t>
      </w:r>
      <w:r w:rsidRPr="001663AE">
        <w:rPr>
          <w:rFonts w:hint="eastAsia"/>
        </w:rPr>
        <w:t>權利是一項不可剝奪的人權，發</w:t>
      </w:r>
      <w:r w:rsidRPr="001663AE">
        <w:rPr>
          <w:rFonts w:cs="T48" w:hint="eastAsia"/>
        </w:rPr>
        <w:t>展</w:t>
      </w:r>
      <w:r w:rsidRPr="001663AE">
        <w:rPr>
          <w:rFonts w:hint="eastAsia"/>
        </w:rPr>
        <w:t>機會均等是國家和</w:t>
      </w:r>
      <w:r w:rsidRPr="001663AE">
        <w:rPr>
          <w:rFonts w:cs="T48" w:hint="eastAsia"/>
        </w:rPr>
        <w:t>組成</w:t>
      </w:r>
      <w:r w:rsidRPr="001663AE">
        <w:rPr>
          <w:rFonts w:hint="eastAsia"/>
        </w:rPr>
        <w:t>國家的個人一項</w:t>
      </w:r>
      <w:r w:rsidRPr="001663AE">
        <w:rPr>
          <w:rFonts w:cs="T48" w:hint="eastAsia"/>
        </w:rPr>
        <w:t>特</w:t>
      </w:r>
      <w:r w:rsidRPr="001663AE">
        <w:rPr>
          <w:rFonts w:hint="eastAsia"/>
        </w:rPr>
        <w:t>有權利。</w:t>
      </w:r>
      <w:r w:rsidRPr="001663AE">
        <w:rPr>
          <w:rFonts w:hint="eastAsia"/>
        </w:rPr>
        <w:t xml:space="preserve"> </w:t>
      </w:r>
    </w:p>
  </w:footnote>
  <w:footnote w:id="1058">
    <w:p w14:paraId="0BCB4FB1" w14:textId="77777777" w:rsidR="00CA23FA" w:rsidRPr="001663AE" w:rsidRDefault="00CA23FA" w:rsidP="00DE356D">
      <w:pPr>
        <w:pStyle w:val="3"/>
        <w:jc w:val="left"/>
      </w:pPr>
      <w:r w:rsidRPr="001663AE">
        <w:rPr>
          <w:rStyle w:val="af3"/>
          <w:rFonts w:ascii="新細明體" w:hAnsi="新細明體"/>
        </w:rPr>
        <w:footnoteRef/>
      </w:r>
      <w:r w:rsidRPr="001663AE">
        <w:rPr>
          <w:rFonts w:hint="eastAsia"/>
        </w:rPr>
        <w:t>智庫</w:t>
      </w:r>
      <w:r w:rsidRPr="001663AE">
        <w:t>(2014)</w:t>
      </w:r>
      <w:r w:rsidRPr="001663AE">
        <w:rPr>
          <w:rFonts w:hint="eastAsia"/>
        </w:rPr>
        <w:t>，發展權</w:t>
      </w:r>
      <w:r w:rsidRPr="001663AE">
        <w:t>(Development Rights)</w:t>
      </w:r>
      <w:r w:rsidRPr="001663AE">
        <w:rPr>
          <w:rFonts w:hint="eastAsia"/>
        </w:rPr>
        <w:t>，上網瀏覽時間：</w:t>
      </w:r>
      <w:r w:rsidRPr="001663AE">
        <w:t>2015/02/17</w:t>
      </w:r>
      <w:r w:rsidRPr="001663AE">
        <w:rPr>
          <w:rFonts w:hint="eastAsia"/>
        </w:rPr>
        <w:t>，</w:t>
      </w:r>
      <w:hyperlink r:id="rId311" w:history="1">
        <w:r w:rsidRPr="001663AE">
          <w:rPr>
            <w:rStyle w:val="a5"/>
          </w:rPr>
          <w:t>http://wiki.mbalib.com/zh-tw/%E5%8F%91%E5%B1%95%E6%9D%83</w:t>
        </w:r>
      </w:hyperlink>
      <w:r w:rsidRPr="001663AE">
        <w:rPr>
          <w:rFonts w:hint="eastAsia"/>
        </w:rPr>
        <w:t>。</w:t>
      </w:r>
    </w:p>
    <w:p w14:paraId="11BCF41F" w14:textId="77777777" w:rsidR="00CA23FA" w:rsidRPr="001663AE" w:rsidRDefault="00CA23FA" w:rsidP="00DE356D">
      <w:pPr>
        <w:pStyle w:val="3"/>
        <w:jc w:val="left"/>
      </w:pPr>
      <w:r w:rsidRPr="001663AE">
        <w:rPr>
          <w:rFonts w:hint="eastAsia"/>
        </w:rPr>
        <w:t>新晨範文網，發展權憲法保障，上網瀏覽時間：</w:t>
      </w:r>
      <w:r w:rsidRPr="001663AE">
        <w:t>2015/02/17</w:t>
      </w:r>
      <w:r w:rsidRPr="001663AE">
        <w:rPr>
          <w:rFonts w:hint="eastAsia"/>
        </w:rPr>
        <w:t>，</w:t>
      </w:r>
      <w:hyperlink r:id="rId312" w:history="1">
        <w:r w:rsidRPr="001663AE">
          <w:rPr>
            <w:rStyle w:val="a5"/>
          </w:rPr>
          <w:t>http://www.xchen.com.cn/xzgl/xfyjlw/566568.html</w:t>
        </w:r>
      </w:hyperlink>
      <w:r w:rsidRPr="001663AE">
        <w:rPr>
          <w:rFonts w:hint="eastAsia"/>
        </w:rPr>
        <w:t>。</w:t>
      </w:r>
    </w:p>
  </w:footnote>
  <w:footnote w:id="1059">
    <w:p w14:paraId="18EE134B" w14:textId="77777777" w:rsidR="00CA23FA" w:rsidRPr="001663AE" w:rsidRDefault="00CA23FA" w:rsidP="00D87D91">
      <w:pPr>
        <w:pStyle w:val="3"/>
      </w:pPr>
      <w:r w:rsidRPr="001663AE">
        <w:rPr>
          <w:rStyle w:val="af3"/>
          <w:rFonts w:ascii="新細明體" w:hAnsi="新細明體"/>
          <w:szCs w:val="20"/>
        </w:rPr>
        <w:footnoteRef/>
      </w:r>
      <w:r w:rsidRPr="001663AE">
        <w:t xml:space="preserve"> DenmarkConstitutionSection 79[Freedom of Assembly]</w:t>
      </w:r>
    </w:p>
    <w:p w14:paraId="0066E969" w14:textId="77777777" w:rsidR="00CA23FA" w:rsidRPr="001663AE" w:rsidRDefault="00CA23FA" w:rsidP="00D87D91">
      <w:pPr>
        <w:pStyle w:val="3"/>
      </w:pPr>
      <w:r w:rsidRPr="001663AE">
        <w:t>The citizens shall without previous permission be entitled to assemble unarmed.The police shall be entitled to be present at public meetings.Open-air meetings may be prohibited when it is feared that they may constitute a danger to the public peace.</w:t>
      </w:r>
    </w:p>
  </w:footnote>
  <w:footnote w:id="1060">
    <w:p w14:paraId="0715075D" w14:textId="77777777" w:rsidR="00CA23FA" w:rsidRPr="001663AE" w:rsidRDefault="00CA23FA" w:rsidP="00D87D91">
      <w:pPr>
        <w:pStyle w:val="3"/>
        <w:rPr>
          <w:lang w:val="en-GB" w:eastAsia="en-US" w:bidi="bn-IN"/>
        </w:rPr>
      </w:pPr>
      <w:r w:rsidRPr="001663AE">
        <w:rPr>
          <w:rStyle w:val="af3"/>
          <w:rFonts w:ascii="新細明體" w:hAnsi="新細明體"/>
          <w:szCs w:val="20"/>
        </w:rPr>
        <w:footnoteRef/>
      </w:r>
      <w:r w:rsidRPr="001663AE">
        <w:t xml:space="preserve"> </w:t>
      </w:r>
      <w:r w:rsidRPr="001663AE">
        <w:rPr>
          <w:lang w:val="en-GB" w:eastAsia="en-US" w:bidi="bn-IN"/>
        </w:rPr>
        <w:t>The Constitution of the Republic of Estonia</w:t>
      </w:r>
      <w:r w:rsidRPr="001663AE">
        <w:rPr>
          <w:rFonts w:hint="eastAsia"/>
          <w:lang w:val="en-GB" w:bidi="bn-IN"/>
        </w:rPr>
        <w:t xml:space="preserve"> </w:t>
      </w:r>
      <w:r w:rsidRPr="001663AE">
        <w:rPr>
          <w:lang w:val="en-GB" w:eastAsia="en-US" w:bidi="bn-IN"/>
        </w:rPr>
        <w:t>§ 47.</w:t>
      </w:r>
    </w:p>
    <w:p w14:paraId="4CC82053" w14:textId="77777777" w:rsidR="00CA23FA" w:rsidRPr="001663AE" w:rsidRDefault="00CA23FA" w:rsidP="00D87D91">
      <w:pPr>
        <w:pStyle w:val="3"/>
        <w:rPr>
          <w:lang w:val="en-GB"/>
        </w:rPr>
      </w:pPr>
      <w:r w:rsidRPr="001663AE">
        <w:rPr>
          <w:lang w:val="en-GB" w:eastAsia="en-US" w:bidi="bn-IN"/>
        </w:rPr>
        <w:t>Everyone has the right, without prior permission, to assemble peacefully and to conduct meetings. This right may be restricted in the cases and pursuant to procedure provided by law to ensure national security, public order, morals, traffic safety, and the safety of participants in a meeting, or to prevent the spread of an infectious disease.</w:t>
      </w:r>
    </w:p>
  </w:footnote>
  <w:footnote w:id="1061">
    <w:p w14:paraId="348CF872" w14:textId="77777777" w:rsidR="00CA23FA" w:rsidRPr="001663AE" w:rsidRDefault="00CA23FA" w:rsidP="00D87D91">
      <w:pPr>
        <w:pStyle w:val="3"/>
      </w:pPr>
      <w:r w:rsidRPr="001663AE">
        <w:rPr>
          <w:rStyle w:val="af3"/>
          <w:rFonts w:ascii="新細明體" w:hAnsi="新細明體"/>
        </w:rPr>
        <w:footnoteRef/>
      </w:r>
      <w:r w:rsidRPr="001663AE">
        <w:t xml:space="preserve"> Section 13( Freedom of assembly and freedom of association )</w:t>
      </w:r>
      <w:r>
        <w:t>〜</w:t>
      </w:r>
    </w:p>
    <w:p w14:paraId="1F23F1FA" w14:textId="77777777" w:rsidR="00CA23FA" w:rsidRPr="001663AE" w:rsidRDefault="00CA23FA" w:rsidP="00244408">
      <w:pPr>
        <w:pStyle w:val="3"/>
        <w:jc w:val="left"/>
      </w:pPr>
      <w:r w:rsidRPr="001663AE">
        <w:t>Everyone has the right to arrange meetings and demonstrations without a permit, as well as the right to participate in them.</w:t>
      </w:r>
    </w:p>
  </w:footnote>
  <w:footnote w:id="1062">
    <w:p w14:paraId="4106BF04" w14:textId="77777777" w:rsidR="00CA23FA" w:rsidRPr="001663AE" w:rsidRDefault="00CA23FA" w:rsidP="00244408">
      <w:pPr>
        <w:pStyle w:val="3"/>
        <w:jc w:val="left"/>
      </w:pPr>
      <w:r w:rsidRPr="001663AE">
        <w:rPr>
          <w:rStyle w:val="af3"/>
          <w:rFonts w:ascii="新細明體" w:hAnsi="新細明體"/>
        </w:rPr>
        <w:footnoteRef/>
      </w:r>
      <w:r w:rsidRPr="001663AE">
        <w:t xml:space="preserve"> Article 8 [Freedom of assembly]</w:t>
      </w:r>
      <w:r>
        <w:t>〜</w:t>
      </w:r>
    </w:p>
    <w:p w14:paraId="3ADAC2F6" w14:textId="77777777" w:rsidR="00CA23FA" w:rsidRPr="001663AE" w:rsidRDefault="00CA23FA" w:rsidP="00244408">
      <w:pPr>
        <w:pStyle w:val="3"/>
        <w:jc w:val="left"/>
      </w:pPr>
      <w:r w:rsidRPr="001663AE">
        <w:t>(1) All Germans shall have the right to assemble peacefully and unarmed without prior notifi cation or permission.</w:t>
      </w:r>
    </w:p>
    <w:p w14:paraId="75762E48" w14:textId="77777777" w:rsidR="00CA23FA" w:rsidRPr="001663AE" w:rsidRDefault="00CA23FA" w:rsidP="00244408">
      <w:pPr>
        <w:pStyle w:val="3"/>
        <w:jc w:val="left"/>
      </w:pPr>
      <w:r w:rsidRPr="001663AE">
        <w:t>(2) In the case of outdoor assemblies, this right may be restricted by or pursuant to a law.</w:t>
      </w:r>
    </w:p>
  </w:footnote>
  <w:footnote w:id="1063">
    <w:p w14:paraId="51DA74F8" w14:textId="77777777"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3" w:history="1">
        <w:r w:rsidRPr="001663AE">
          <w:rPr>
            <w:rStyle w:val="a5"/>
          </w:rPr>
          <w:t>http://legal-dictionary.thefreedictionary.com/Due+Process+of+Law</w:t>
        </w:r>
      </w:hyperlink>
      <w:r w:rsidRPr="001663AE">
        <w:t>.</w:t>
      </w:r>
    </w:p>
  </w:footnote>
  <w:footnote w:id="1064">
    <w:p w14:paraId="44C62ED4" w14:textId="77777777"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4" w:history="1">
        <w:r w:rsidRPr="001663AE">
          <w:rPr>
            <w:rStyle w:val="a5"/>
          </w:rPr>
          <w:t>http://legal-dictionary.thefreedictionary.com/Due+Process+of+Law</w:t>
        </w:r>
      </w:hyperlink>
      <w:r w:rsidRPr="001663AE">
        <w:t>.</w:t>
      </w:r>
    </w:p>
  </w:footnote>
  <w:footnote w:id="1065">
    <w:p w14:paraId="01FF419A" w14:textId="77777777"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5" w:history="1">
        <w:r w:rsidRPr="001663AE">
          <w:rPr>
            <w:rStyle w:val="a5"/>
          </w:rPr>
          <w:t>http://legal-dictionary.thefreedictionary.com/Due+Process+of+Law</w:t>
        </w:r>
      </w:hyperlink>
      <w:r w:rsidRPr="001663AE">
        <w:t>.</w:t>
      </w:r>
    </w:p>
  </w:footnote>
  <w:footnote w:id="1066">
    <w:p w14:paraId="38846878" w14:textId="77777777"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6" w:history="1">
        <w:r w:rsidRPr="001663AE">
          <w:rPr>
            <w:rStyle w:val="a5"/>
          </w:rPr>
          <w:t>http://legal-dictionary.thefreedictionary.com/Due+Process+of+Law</w:t>
        </w:r>
      </w:hyperlink>
      <w:r w:rsidRPr="001663AE">
        <w:t>.</w:t>
      </w:r>
    </w:p>
  </w:footnote>
  <w:footnote w:id="1067">
    <w:p w14:paraId="4AA88DED" w14:textId="77777777" w:rsidR="00CA23FA" w:rsidRPr="001663AE" w:rsidRDefault="00CA23FA" w:rsidP="00244408">
      <w:pPr>
        <w:pStyle w:val="3"/>
        <w:jc w:val="left"/>
      </w:pPr>
      <w:r w:rsidRPr="001663AE">
        <w:rPr>
          <w:rStyle w:val="af3"/>
          <w:rFonts w:ascii="新細明體" w:hAnsi="新細明體"/>
        </w:rPr>
        <w:footnoteRef/>
      </w:r>
      <w:r w:rsidRPr="001663AE">
        <w:t xml:space="preserve"> Substantive Due Process, visited on 2013/08/18, </w:t>
      </w:r>
      <w:hyperlink r:id="rId317" w:history="1">
        <w:r w:rsidRPr="001663AE">
          <w:rPr>
            <w:rStyle w:val="a5"/>
          </w:rPr>
          <w:t>http://www.stanford.edu/group/psylawseminar/Substantive%20Due%20Process.htm</w:t>
        </w:r>
      </w:hyperlink>
      <w:r w:rsidRPr="001663AE">
        <w:rPr>
          <w:rFonts w:hint="eastAsia"/>
        </w:rPr>
        <w:t>。</w:t>
      </w:r>
    </w:p>
  </w:footnote>
  <w:footnote w:id="1068">
    <w:p w14:paraId="3F598EC5" w14:textId="77777777" w:rsidR="00CA23FA" w:rsidRPr="001663AE" w:rsidRDefault="00CA23FA" w:rsidP="00244408">
      <w:pPr>
        <w:pStyle w:val="3"/>
        <w:jc w:val="left"/>
      </w:pPr>
      <w:r w:rsidRPr="001663AE">
        <w:rPr>
          <w:rStyle w:val="af3"/>
          <w:rFonts w:ascii="新細明體" w:hAnsi="新細明體"/>
        </w:rPr>
        <w:footnoteRef/>
      </w:r>
      <w:r w:rsidRPr="001663AE">
        <w:t xml:space="preserve"> Substantive Due Process, visited on 2013/08/18, </w:t>
      </w:r>
      <w:hyperlink r:id="rId318" w:history="1">
        <w:r w:rsidRPr="001663AE">
          <w:rPr>
            <w:rStyle w:val="a5"/>
          </w:rPr>
          <w:t>http://www.stanford.edu/group/psylawseminar/Substantive%20Due%20Process.htm</w:t>
        </w:r>
      </w:hyperlink>
      <w:r w:rsidRPr="001663AE">
        <w:rPr>
          <w:rFonts w:hint="eastAsia"/>
        </w:rPr>
        <w:t>。</w:t>
      </w:r>
    </w:p>
  </w:footnote>
  <w:footnote w:id="1069">
    <w:p w14:paraId="69C6F4F4" w14:textId="77777777"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9" w:history="1">
        <w:r w:rsidRPr="001663AE">
          <w:rPr>
            <w:rStyle w:val="a5"/>
          </w:rPr>
          <w:t>http://legal-dictionary.thefreedictionary.com/Due+Process+of+Law</w:t>
        </w:r>
      </w:hyperlink>
      <w:r w:rsidRPr="001663AE">
        <w:t xml:space="preserve">. </w:t>
      </w:r>
    </w:p>
  </w:footnote>
  <w:footnote w:id="1070">
    <w:p w14:paraId="10B0293B" w14:textId="77777777"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http://legal-dictionary.thefreedictionary.com/Due+Process+of+Law.</w:t>
      </w:r>
    </w:p>
  </w:footnote>
  <w:footnote w:id="1071">
    <w:p w14:paraId="512A882F" w14:textId="77777777" w:rsidR="00CA23FA" w:rsidRPr="001663AE" w:rsidRDefault="00CA23FA" w:rsidP="00244408">
      <w:pPr>
        <w:pStyle w:val="3"/>
        <w:jc w:val="left"/>
      </w:pPr>
      <w:r w:rsidRPr="001663AE">
        <w:rPr>
          <w:rStyle w:val="af3"/>
          <w:rFonts w:ascii="新細明體" w:hAnsi="新細明體"/>
        </w:rPr>
        <w:footnoteRef/>
      </w:r>
      <w:r w:rsidRPr="001663AE">
        <w:t xml:space="preserve"> Substantive Due Process, visited on 2013/08/18, </w:t>
      </w:r>
      <w:hyperlink r:id="rId320" w:history="1">
        <w:r w:rsidRPr="001663AE">
          <w:rPr>
            <w:rStyle w:val="a5"/>
          </w:rPr>
          <w:t>http://www.stanford.edu/group/psylawseminar/Substantive%20Due%20Process.htm</w:t>
        </w:r>
      </w:hyperlink>
      <w:r w:rsidRPr="001663AE">
        <w:rPr>
          <w:rFonts w:hint="eastAsia"/>
        </w:rPr>
        <w:t>。</w:t>
      </w:r>
    </w:p>
  </w:footnote>
  <w:footnote w:id="1072">
    <w:p w14:paraId="67B7656A" w14:textId="77777777" w:rsidR="00CA23FA" w:rsidRPr="001663AE" w:rsidRDefault="00CA23FA" w:rsidP="00244408">
      <w:pPr>
        <w:pStyle w:val="3"/>
        <w:jc w:val="left"/>
      </w:pPr>
      <w:r w:rsidRPr="001663AE">
        <w:rPr>
          <w:rStyle w:val="af3"/>
          <w:rFonts w:ascii="新細明體" w:hAnsi="新細明體"/>
        </w:rPr>
        <w:footnoteRef/>
      </w:r>
      <w:r w:rsidRPr="001663AE">
        <w:rPr>
          <w:rFonts w:hint="eastAsia"/>
        </w:rPr>
        <w:t>徐正戎、張裕榮，國會自律與正當法律程序，</w:t>
      </w:r>
      <w:r w:rsidRPr="001663AE">
        <w:rPr>
          <w:rFonts w:hint="eastAsia"/>
          <w:lang w:val="it-IT"/>
        </w:rPr>
        <w:t>上網瀏覽時間</w:t>
      </w:r>
      <w:r w:rsidRPr="001663AE">
        <w:rPr>
          <w:rFonts w:hint="eastAsia"/>
        </w:rPr>
        <w:t>：</w:t>
      </w:r>
      <w:r w:rsidRPr="001663AE">
        <w:t>2013/08/02</w:t>
      </w:r>
      <w:r w:rsidRPr="001663AE">
        <w:rPr>
          <w:rFonts w:hint="eastAsia"/>
        </w:rPr>
        <w:t>，</w:t>
      </w:r>
      <w:hyperlink r:id="rId321" w:history="1">
        <w:r w:rsidRPr="001663AE">
          <w:rPr>
            <w:rStyle w:val="a5"/>
          </w:rPr>
          <w:t>http://www2.nsysu.edu.tw/sis/discuss/1A-1.pdf</w:t>
        </w:r>
      </w:hyperlink>
      <w:r w:rsidRPr="001663AE">
        <w:rPr>
          <w:rFonts w:hint="eastAsia"/>
        </w:rPr>
        <w:t>。</w:t>
      </w:r>
    </w:p>
  </w:footnote>
  <w:footnote w:id="1073">
    <w:p w14:paraId="01BA7465" w14:textId="77777777" w:rsidR="00CA23FA" w:rsidRPr="001663AE" w:rsidRDefault="00CA23FA" w:rsidP="00D87D91">
      <w:pPr>
        <w:pStyle w:val="3"/>
      </w:pPr>
      <w:r w:rsidRPr="001663AE">
        <w:rPr>
          <w:rStyle w:val="af3"/>
          <w:rFonts w:ascii="新細明體" w:hAnsi="新細明體"/>
        </w:rPr>
        <w:footnoteRef/>
      </w:r>
      <w:r w:rsidRPr="001663AE">
        <w:t xml:space="preserve"> Section 9 –(Freedom of movement )</w:t>
      </w:r>
      <w:r>
        <w:t>〜</w:t>
      </w:r>
      <w:r w:rsidRPr="001663AE">
        <w:t>-</w:t>
      </w:r>
    </w:p>
    <w:p w14:paraId="690FF4D8" w14:textId="77777777" w:rsidR="00CA23FA" w:rsidRPr="001663AE" w:rsidRDefault="00CA23FA" w:rsidP="00D87D91">
      <w:pPr>
        <w:pStyle w:val="3"/>
      </w:pPr>
      <w:r w:rsidRPr="001663AE">
        <w:t>Finnish citizens and foreigners legally resident in Finland have the right to freely move within the country and to choose their place of residence.</w:t>
      </w:r>
    </w:p>
    <w:p w14:paraId="2430FE7B" w14:textId="77777777" w:rsidR="00CA23FA" w:rsidRPr="001663AE" w:rsidRDefault="00CA23FA" w:rsidP="00D87D91">
      <w:pPr>
        <w:pStyle w:val="3"/>
      </w:pPr>
      <w:r w:rsidRPr="001663AE">
        <w:t>Everyone has the right to leave the country. Limitations on this right may be provided by an Act, if they are necessary for the purpose of safeguarding legal proceedings or for the enforcement of penalties or for the fulfillment of the duty of national defence.</w:t>
      </w:r>
    </w:p>
    <w:p w14:paraId="069F7068" w14:textId="77777777" w:rsidR="00CA23FA" w:rsidRPr="001663AE" w:rsidRDefault="00CA23FA" w:rsidP="00D87D91">
      <w:pPr>
        <w:pStyle w:val="3"/>
      </w:pPr>
      <w:r w:rsidRPr="001663AE">
        <w:t>Finnish citizens shall not be prevented from entering Finland or deported or extradited or transferred from Finland to another country against their will. However, it may be laid down by an Act that due to a criminal act, for the purpose of legal proceedings, or in order to enforce a decision concerning the custody or care of a child, a Finnish citizen can be extradited or transferred to a country in which his or her human rights and legal protection are guaranteed.</w:t>
      </w:r>
      <w:r>
        <w:t>(</w:t>
      </w:r>
      <w:r w:rsidRPr="001663AE">
        <w:t>802/2007, entry into force 1.10.2007)</w:t>
      </w:r>
    </w:p>
    <w:p w14:paraId="2DA7F058" w14:textId="77777777" w:rsidR="00CA23FA" w:rsidRPr="001663AE" w:rsidRDefault="00CA23FA" w:rsidP="00D87D91">
      <w:pPr>
        <w:pStyle w:val="3"/>
      </w:pPr>
      <w:r w:rsidRPr="001663AE">
        <w:t>The right of foreigners to enter Finland and to remain in the country is regulated by an Act. A foreigner shall not be deported, extradited or returned to another country, if in consequence he or she is in danger of a death sentence, torture or other treatment violating human dignity.</w:t>
      </w:r>
    </w:p>
  </w:footnote>
  <w:footnote w:id="1074">
    <w:p w14:paraId="1EBC1A0A"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一般而論，抽吸器的能力是普通家用吸塵機的二十五倍。引自：學佛網</w:t>
      </w:r>
      <w:r w:rsidRPr="001663AE">
        <w:t>(2013)</w:t>
      </w:r>
      <w:r w:rsidRPr="001663AE">
        <w:rPr>
          <w:rFonts w:hint="eastAsia"/>
        </w:rPr>
        <w:t>，墮胎真非小事，上網瀏覽時間：</w:t>
      </w:r>
      <w:r w:rsidRPr="001663AE">
        <w:t>2015/01/06</w:t>
      </w:r>
      <w:r w:rsidRPr="001663AE">
        <w:rPr>
          <w:rFonts w:hint="eastAsia"/>
        </w:rPr>
        <w:t>，</w:t>
      </w:r>
      <w:hyperlink r:id="rId322" w:history="1">
        <w:r w:rsidRPr="001663AE">
          <w:rPr>
            <w:rStyle w:val="a5"/>
          </w:rPr>
          <w:t>http://big5.xuefo.net/nr/article14/142380.html</w:t>
        </w:r>
      </w:hyperlink>
      <w:r w:rsidRPr="001663AE">
        <w:rPr>
          <w:rFonts w:hint="eastAsia"/>
        </w:rPr>
        <w:t>。</w:t>
      </w:r>
      <w:r w:rsidRPr="001663AE">
        <w:rPr>
          <w:rFonts w:hint="eastAsia"/>
        </w:rPr>
        <w:t xml:space="preserve"> </w:t>
      </w:r>
    </w:p>
  </w:footnote>
  <w:footnote w:id="1075">
    <w:p w14:paraId="313FC2B5" w14:textId="77777777" w:rsidR="00CA23FA" w:rsidRPr="001663AE" w:rsidRDefault="00CA23FA" w:rsidP="00244408">
      <w:pPr>
        <w:pStyle w:val="3"/>
        <w:jc w:val="left"/>
      </w:pPr>
      <w:r w:rsidRPr="001663AE">
        <w:rPr>
          <w:rStyle w:val="af3"/>
          <w:rFonts w:ascii="新細明體" w:hAnsi="新細明體"/>
        </w:rPr>
        <w:footnoteRef/>
      </w:r>
      <w:r w:rsidRPr="001663AE">
        <w:rPr>
          <w:rFonts w:hint="eastAsia"/>
        </w:rPr>
        <w:t>學佛網</w:t>
      </w:r>
      <w:r w:rsidRPr="001663AE">
        <w:t>(2013)</w:t>
      </w:r>
      <w:r w:rsidRPr="001663AE">
        <w:rPr>
          <w:rFonts w:hint="eastAsia"/>
        </w:rPr>
        <w:t>，墮胎真非小事，上網瀏覽時間：</w:t>
      </w:r>
      <w:r w:rsidRPr="001663AE">
        <w:t>2015/01/06</w:t>
      </w:r>
      <w:r w:rsidRPr="001663AE">
        <w:rPr>
          <w:rFonts w:hint="eastAsia"/>
        </w:rPr>
        <w:t>，</w:t>
      </w:r>
      <w:hyperlink r:id="rId323" w:history="1">
        <w:r w:rsidRPr="001663AE">
          <w:rPr>
            <w:rStyle w:val="a5"/>
          </w:rPr>
          <w:t>http://big5.xuefo.net/nr/article14/142380.html</w:t>
        </w:r>
      </w:hyperlink>
      <w:r w:rsidRPr="001663AE">
        <w:rPr>
          <w:rFonts w:hint="eastAsia"/>
        </w:rPr>
        <w:t>。</w:t>
      </w:r>
    </w:p>
  </w:footnote>
  <w:footnote w:id="1076">
    <w:p w14:paraId="761D61C2" w14:textId="77777777" w:rsidR="00CA23FA" w:rsidRPr="001663AE" w:rsidRDefault="00CA23FA" w:rsidP="00433BF1">
      <w:pPr>
        <w:pStyle w:val="3"/>
        <w:jc w:val="left"/>
      </w:pPr>
      <w:r w:rsidRPr="001663AE">
        <w:rPr>
          <w:rStyle w:val="af3"/>
          <w:rFonts w:ascii="新細明體" w:hAnsi="新細明體"/>
        </w:rPr>
        <w:footnoteRef/>
      </w:r>
      <w:r w:rsidRPr="001663AE">
        <w:rPr>
          <w:rFonts w:hint="eastAsia"/>
        </w:rPr>
        <w:t>佛緣網站</w:t>
      </w:r>
      <w:r w:rsidRPr="001663AE">
        <w:t>(2013)</w:t>
      </w:r>
      <w:r w:rsidRPr="001663AE">
        <w:rPr>
          <w:rFonts w:hint="eastAsia"/>
        </w:rPr>
        <w:t>，墮胎的罪惡，上網瀏覽時間：</w:t>
      </w:r>
      <w:r w:rsidRPr="001663AE">
        <w:t>2015/01/06</w:t>
      </w:r>
      <w:r w:rsidRPr="001663AE">
        <w:rPr>
          <w:rFonts w:hint="eastAsia"/>
        </w:rPr>
        <w:t>，</w:t>
      </w:r>
      <w:hyperlink r:id="rId324" w:history="1">
        <w:r w:rsidRPr="001663AE">
          <w:rPr>
            <w:rStyle w:val="a5"/>
          </w:rPr>
          <w:t>http://www.foyuan.net/article-861764-1.html</w:t>
        </w:r>
      </w:hyperlink>
      <w:r w:rsidRPr="001663AE">
        <w:rPr>
          <w:rFonts w:hint="eastAsia"/>
        </w:rPr>
        <w:t>。</w:t>
      </w:r>
    </w:p>
  </w:footnote>
  <w:footnote w:id="1077">
    <w:p w14:paraId="603C3EAB" w14:textId="77777777" w:rsidR="00CA23FA" w:rsidRPr="001663AE" w:rsidRDefault="00CA23FA" w:rsidP="00433BF1">
      <w:pPr>
        <w:pStyle w:val="3"/>
        <w:jc w:val="left"/>
      </w:pPr>
      <w:r w:rsidRPr="001663AE">
        <w:rPr>
          <w:rStyle w:val="af3"/>
          <w:rFonts w:ascii="新細明體" w:hAnsi="新細明體"/>
        </w:rPr>
        <w:footnoteRef/>
      </w:r>
      <w:r w:rsidRPr="001663AE">
        <w:rPr>
          <w:rFonts w:hint="eastAsia"/>
        </w:rPr>
        <w:t>佛緣網站</w:t>
      </w:r>
      <w:r w:rsidRPr="001663AE">
        <w:t>(2013)</w:t>
      </w:r>
      <w:r w:rsidRPr="001663AE">
        <w:rPr>
          <w:rFonts w:hint="eastAsia"/>
        </w:rPr>
        <w:t>，墮胎的罪惡，上網瀏覽時間：</w:t>
      </w:r>
      <w:r w:rsidRPr="001663AE">
        <w:t>2015/01/06</w:t>
      </w:r>
      <w:r w:rsidRPr="001663AE">
        <w:rPr>
          <w:rFonts w:hint="eastAsia"/>
        </w:rPr>
        <w:t>，</w:t>
      </w:r>
      <w:hyperlink r:id="rId325" w:history="1">
        <w:r w:rsidRPr="001663AE">
          <w:rPr>
            <w:rStyle w:val="a5"/>
          </w:rPr>
          <w:t>http://www.foyuan.net/article-861764-1.html</w:t>
        </w:r>
      </w:hyperlink>
      <w:r w:rsidRPr="001663AE">
        <w:rPr>
          <w:rFonts w:hint="eastAsia"/>
        </w:rPr>
        <w:t>。</w:t>
      </w:r>
    </w:p>
  </w:footnote>
  <w:footnote w:id="1078">
    <w:p w14:paraId="023D153E" w14:textId="77777777" w:rsidR="00CA23FA" w:rsidRPr="001663AE" w:rsidRDefault="00CA23FA" w:rsidP="00433BF1">
      <w:pPr>
        <w:pStyle w:val="3"/>
        <w:jc w:val="left"/>
      </w:pPr>
      <w:r w:rsidRPr="001663AE">
        <w:rPr>
          <w:rStyle w:val="af3"/>
          <w:rFonts w:ascii="新細明體" w:hAnsi="新細明體"/>
          <w:szCs w:val="20"/>
        </w:rPr>
        <w:footnoteRef/>
      </w:r>
      <w:r w:rsidRPr="001663AE">
        <w:t xml:space="preserve"> </w:t>
      </w:r>
      <w:r w:rsidRPr="001663AE">
        <w:rPr>
          <w:rFonts w:hint="eastAsia"/>
        </w:rPr>
        <w:t>此外，聖經經文</w:t>
      </w:r>
      <w:r w:rsidRPr="001663AE">
        <w:t>(</w:t>
      </w:r>
      <w:r w:rsidRPr="001663AE">
        <w:rPr>
          <w:rFonts w:hint="eastAsia"/>
        </w:rPr>
        <w:t>路</w:t>
      </w:r>
      <w:r w:rsidRPr="001663AE">
        <w:t>1:44)</w:t>
      </w:r>
      <w:r w:rsidRPr="001663AE">
        <w:rPr>
          <w:rFonts w:hint="eastAsia"/>
        </w:rPr>
        <w:t>亦提及，當施浸約翰尚還在以利沙伯之腹中時，一聽到馬利亞之問安，就在腹中歡喜跳動。由此，亦可得知施浸約翰胎兒確實具有人類所具有之意識與判別能力，能夠判斷是屬於馬利亞之問侯，而非他人之聲音。以上，請參閱：</w:t>
      </w:r>
      <w:r w:rsidRPr="001663AE">
        <w:t xml:space="preserve"> </w:t>
      </w:r>
      <w:r w:rsidRPr="001663AE">
        <w:rPr>
          <w:rFonts w:hint="eastAsia"/>
        </w:rPr>
        <w:t>牧師資訊分享</w:t>
      </w:r>
      <w:r w:rsidRPr="001663AE">
        <w:t>(2013)</w:t>
      </w:r>
      <w:r w:rsidRPr="001663AE">
        <w:rPr>
          <w:rFonts w:hint="eastAsia"/>
        </w:rPr>
        <w:t>，講題：基督徒倫理系列（一）</w:t>
      </w:r>
      <w:r>
        <w:t>〜</w:t>
      </w:r>
      <w:r w:rsidRPr="001663AE">
        <w:rPr>
          <w:rFonts w:hint="eastAsia"/>
        </w:rPr>
        <w:t>聖經允許墮胎嗎？經文：詩篇</w:t>
      </w:r>
      <w:r w:rsidRPr="001663AE">
        <w:t>139</w:t>
      </w:r>
      <w:r w:rsidRPr="001663AE">
        <w:rPr>
          <w:rFonts w:hint="eastAsia"/>
        </w:rPr>
        <w:t>篇</w:t>
      </w:r>
      <w:r w:rsidRPr="001663AE">
        <w:t>13-16</w:t>
      </w:r>
      <w:r w:rsidRPr="001663AE">
        <w:rPr>
          <w:rFonts w:hint="eastAsia"/>
        </w:rPr>
        <w:t>節，上網瀏覽時間：</w:t>
      </w:r>
      <w:r w:rsidRPr="001663AE">
        <w:t>2013/09/25</w:t>
      </w:r>
      <w:r w:rsidRPr="001663AE">
        <w:rPr>
          <w:rFonts w:hint="eastAsia"/>
        </w:rPr>
        <w:t>，</w:t>
      </w:r>
      <w:hyperlink r:id="rId326" w:history="1">
        <w:r w:rsidRPr="001663AE">
          <w:rPr>
            <w:rStyle w:val="a5"/>
            <w:szCs w:val="20"/>
          </w:rPr>
          <w:t>http://www.cccbc.net/message/ethics-1.html</w:t>
        </w:r>
      </w:hyperlink>
      <w:r w:rsidRPr="001663AE">
        <w:rPr>
          <w:rFonts w:hint="eastAsia"/>
        </w:rPr>
        <w:t>。</w:t>
      </w:r>
      <w:r w:rsidRPr="001663AE">
        <w:t xml:space="preserve"> </w:t>
      </w:r>
    </w:p>
  </w:footnote>
  <w:footnote w:id="1079">
    <w:p w14:paraId="7C64AD4F" w14:textId="77777777" w:rsidR="00CA23FA" w:rsidRPr="001663AE" w:rsidRDefault="00CA23FA" w:rsidP="00433BF1">
      <w:pPr>
        <w:pStyle w:val="3"/>
        <w:jc w:val="left"/>
      </w:pPr>
      <w:r w:rsidRPr="001663AE">
        <w:rPr>
          <w:rStyle w:val="af3"/>
          <w:rFonts w:ascii="新細明體" w:hAnsi="新細明體"/>
          <w:szCs w:val="20"/>
        </w:rPr>
        <w:footnoteRef/>
      </w:r>
      <w:r w:rsidRPr="001663AE">
        <w:t xml:space="preserve"> </w:t>
      </w:r>
      <w:r w:rsidRPr="001663AE">
        <w:rPr>
          <w:rFonts w:cs="新細明體" w:hint="eastAsia"/>
          <w:kern w:val="0"/>
          <w:lang w:bidi="bn-IN"/>
        </w:rPr>
        <w:t>維基百科</w:t>
      </w:r>
      <w:r w:rsidRPr="001663AE">
        <w:rPr>
          <w:rFonts w:cs="新細明體"/>
          <w:kern w:val="0"/>
          <w:lang w:bidi="bn-IN"/>
        </w:rPr>
        <w:t>(2013)</w:t>
      </w:r>
      <w:r w:rsidRPr="001663AE">
        <w:rPr>
          <w:rFonts w:cs="新細明體" w:hint="eastAsia"/>
          <w:kern w:val="0"/>
          <w:lang w:bidi="bn-IN"/>
        </w:rPr>
        <w:t>，</w:t>
      </w:r>
      <w:r w:rsidRPr="001663AE">
        <w:rPr>
          <w:rFonts w:hint="eastAsia"/>
        </w:rPr>
        <w:t>墮胎，上網瀏覽時間：</w:t>
      </w:r>
      <w:r w:rsidRPr="001663AE">
        <w:t>2013/09/25</w:t>
      </w:r>
      <w:r w:rsidRPr="001663AE">
        <w:rPr>
          <w:rFonts w:hint="eastAsia"/>
        </w:rPr>
        <w:t>，</w:t>
      </w:r>
      <w:hyperlink r:id="rId327" w:history="1">
        <w:r w:rsidRPr="001663AE">
          <w:rPr>
            <w:rStyle w:val="a5"/>
            <w:szCs w:val="20"/>
          </w:rPr>
          <w:t>http://zh.wikipedia.org/wiki/%E5%A0%95%E8%83%8E</w:t>
        </w:r>
      </w:hyperlink>
      <w:r w:rsidRPr="001663AE">
        <w:rPr>
          <w:rFonts w:hint="eastAsia"/>
        </w:rPr>
        <w:t>。</w:t>
      </w:r>
    </w:p>
  </w:footnote>
  <w:footnote w:id="1080">
    <w:p w14:paraId="3D599BF9" w14:textId="77777777" w:rsidR="00CA23FA" w:rsidRPr="001663AE" w:rsidRDefault="00CA23FA" w:rsidP="00433BF1">
      <w:pPr>
        <w:pStyle w:val="3"/>
        <w:jc w:val="left"/>
      </w:pPr>
      <w:r w:rsidRPr="001663AE">
        <w:rPr>
          <w:rStyle w:val="af3"/>
          <w:rFonts w:ascii="新細明體" w:hAnsi="新細明體"/>
        </w:rPr>
        <w:footnoteRef/>
      </w:r>
      <w:r w:rsidRPr="001663AE">
        <w:rPr>
          <w:rFonts w:hint="eastAsia"/>
        </w:rPr>
        <w:t>佛緣網站</w:t>
      </w:r>
      <w:r w:rsidRPr="001663AE">
        <w:t>(2013)</w:t>
      </w:r>
      <w:r w:rsidRPr="001663AE">
        <w:rPr>
          <w:rFonts w:hint="eastAsia"/>
        </w:rPr>
        <w:t>，墮胎的罪惡，上網瀏覽時間：</w:t>
      </w:r>
      <w:r w:rsidRPr="001663AE">
        <w:t>2015/01/06</w:t>
      </w:r>
      <w:r w:rsidRPr="001663AE">
        <w:rPr>
          <w:rFonts w:hint="eastAsia"/>
        </w:rPr>
        <w:t>，</w:t>
      </w:r>
      <w:hyperlink r:id="rId328" w:history="1">
        <w:r w:rsidRPr="001663AE">
          <w:rPr>
            <w:rStyle w:val="a5"/>
          </w:rPr>
          <w:t>http://www.foyuan.net/article-861764-1.html</w:t>
        </w:r>
      </w:hyperlink>
      <w:r w:rsidRPr="001663AE">
        <w:rPr>
          <w:rFonts w:hint="eastAsia"/>
        </w:rPr>
        <w:t>。</w:t>
      </w:r>
    </w:p>
  </w:footnote>
  <w:footnote w:id="1081">
    <w:p w14:paraId="31C17BFF" w14:textId="77777777" w:rsidR="00CA23FA" w:rsidRPr="001663AE" w:rsidRDefault="00CA23FA" w:rsidP="00433BF1">
      <w:pPr>
        <w:pStyle w:val="3"/>
        <w:jc w:val="left"/>
      </w:pPr>
      <w:r w:rsidRPr="001663AE">
        <w:rPr>
          <w:rStyle w:val="af3"/>
          <w:rFonts w:ascii="新細明體" w:hAnsi="新細明體"/>
        </w:rPr>
        <w:footnoteRef/>
      </w:r>
      <w:r w:rsidRPr="001663AE">
        <w:rPr>
          <w:rFonts w:hint="eastAsia"/>
        </w:rPr>
        <w:t>佛緣網站</w:t>
      </w:r>
      <w:r w:rsidRPr="001663AE">
        <w:t>(2013)</w:t>
      </w:r>
      <w:r w:rsidRPr="001663AE">
        <w:rPr>
          <w:rFonts w:hint="eastAsia"/>
        </w:rPr>
        <w:t>，墮胎的罪惡，上網瀏覽時間：</w:t>
      </w:r>
      <w:r w:rsidRPr="001663AE">
        <w:t>2015/01/06</w:t>
      </w:r>
      <w:r w:rsidRPr="001663AE">
        <w:rPr>
          <w:rFonts w:hint="eastAsia"/>
        </w:rPr>
        <w:t>，</w:t>
      </w:r>
      <w:hyperlink r:id="rId329" w:history="1">
        <w:r w:rsidRPr="001663AE">
          <w:rPr>
            <w:rStyle w:val="a5"/>
          </w:rPr>
          <w:t>http://www.foyuan.net/article-861764-1.html</w:t>
        </w:r>
      </w:hyperlink>
      <w:r w:rsidRPr="001663AE">
        <w:rPr>
          <w:rFonts w:hint="eastAsia"/>
        </w:rPr>
        <w:t>。</w:t>
      </w:r>
    </w:p>
  </w:footnote>
  <w:footnote w:id="1082">
    <w:p w14:paraId="66BEA5A0" w14:textId="77777777" w:rsidR="00CA23FA" w:rsidRPr="001663AE" w:rsidRDefault="00CA23FA" w:rsidP="00433BF1">
      <w:pPr>
        <w:pStyle w:val="3"/>
        <w:jc w:val="left"/>
      </w:pPr>
      <w:r w:rsidRPr="001663AE">
        <w:rPr>
          <w:rStyle w:val="af3"/>
          <w:rFonts w:ascii="新細明體" w:hAnsi="新細明體"/>
        </w:rPr>
        <w:footnoteRef/>
      </w:r>
      <w:r w:rsidRPr="001663AE">
        <w:t xml:space="preserve"> Giga Circle(2014)</w:t>
      </w:r>
      <w:r w:rsidRPr="001663AE">
        <w:rPr>
          <w:rFonts w:hint="eastAsia"/>
        </w:rPr>
        <w:t>，墮胎，情侶要是想，請三思。上網瀏覽時間：</w:t>
      </w:r>
      <w:r w:rsidRPr="001663AE">
        <w:t>2015/01/06</w:t>
      </w:r>
      <w:r w:rsidRPr="001663AE">
        <w:rPr>
          <w:rFonts w:hint="eastAsia"/>
        </w:rPr>
        <w:t>，</w:t>
      </w:r>
      <w:hyperlink r:id="rId330" w:history="1">
        <w:r w:rsidRPr="001663AE">
          <w:rPr>
            <w:rStyle w:val="a5"/>
          </w:rPr>
          <w:t>http://tw.gigacircle.com/2419362-1</w:t>
        </w:r>
      </w:hyperlink>
      <w:r w:rsidRPr="001663AE">
        <w:rPr>
          <w:rFonts w:hint="eastAsia"/>
        </w:rPr>
        <w:t>。</w:t>
      </w:r>
    </w:p>
  </w:footnote>
  <w:footnote w:id="1083">
    <w:p w14:paraId="3AE4C99C" w14:textId="77777777" w:rsidR="00CA23FA" w:rsidRPr="001663AE" w:rsidRDefault="00CA23FA" w:rsidP="007C58FB">
      <w:pPr>
        <w:pStyle w:val="3"/>
        <w:jc w:val="left"/>
      </w:pPr>
      <w:r w:rsidRPr="001663AE">
        <w:rPr>
          <w:rStyle w:val="af3"/>
          <w:rFonts w:ascii="新細明體" w:hAnsi="新細明體"/>
        </w:rPr>
        <w:footnoteRef/>
      </w:r>
      <w:r w:rsidRPr="001663AE">
        <w:rPr>
          <w:rFonts w:hint="eastAsia"/>
        </w:rPr>
        <w:t>莫小寶</w:t>
      </w:r>
      <w:r w:rsidRPr="001663AE">
        <w:t>(2013)</w:t>
      </w:r>
      <w:r w:rsidRPr="001663AE">
        <w:rPr>
          <w:rFonts w:hint="eastAsia"/>
        </w:rPr>
        <w:t>，不忍直視：血淋漓的墮胎場景，上網瀏覽時間：</w:t>
      </w:r>
      <w:r w:rsidRPr="001663AE">
        <w:t>2015/01/06</w:t>
      </w:r>
      <w:r w:rsidRPr="001663AE">
        <w:rPr>
          <w:rFonts w:hint="eastAsia"/>
        </w:rPr>
        <w:t>，</w:t>
      </w:r>
      <w:hyperlink r:id="rId331" w:history="1">
        <w:r w:rsidRPr="001663AE">
          <w:rPr>
            <w:rStyle w:val="a5"/>
          </w:rPr>
          <w:t>http://www.tiannv.com/a/MAMA_ME/Pregnancy/2013/144-12120-2.html</w:t>
        </w:r>
      </w:hyperlink>
      <w:r w:rsidRPr="001663AE">
        <w:rPr>
          <w:rFonts w:hint="eastAsia"/>
        </w:rPr>
        <w:t>。</w:t>
      </w:r>
    </w:p>
  </w:footnote>
  <w:footnote w:id="1084">
    <w:p w14:paraId="76174162" w14:textId="77777777" w:rsidR="00CA23FA" w:rsidRPr="001663AE" w:rsidRDefault="00CA23FA" w:rsidP="007C58FB">
      <w:pPr>
        <w:pStyle w:val="3"/>
        <w:jc w:val="left"/>
      </w:pPr>
      <w:r w:rsidRPr="001663AE">
        <w:rPr>
          <w:rStyle w:val="af3"/>
          <w:rFonts w:ascii="新細明體" w:hAnsi="新細明體"/>
        </w:rPr>
        <w:footnoteRef/>
      </w:r>
      <w:r w:rsidRPr="001663AE">
        <w:rPr>
          <w:rFonts w:hint="eastAsia"/>
        </w:rPr>
        <w:t>莫小寶</w:t>
      </w:r>
      <w:r w:rsidRPr="001663AE">
        <w:t>(2013)</w:t>
      </w:r>
      <w:r w:rsidRPr="001663AE">
        <w:rPr>
          <w:rFonts w:hint="eastAsia"/>
        </w:rPr>
        <w:t>，不忍直視：血淋漓的墮胎場景，上網瀏覽時間：</w:t>
      </w:r>
      <w:r w:rsidRPr="001663AE">
        <w:t>2015/01/06</w:t>
      </w:r>
      <w:r w:rsidRPr="001663AE">
        <w:rPr>
          <w:rFonts w:hint="eastAsia"/>
        </w:rPr>
        <w:t>，</w:t>
      </w:r>
      <w:hyperlink r:id="rId332" w:history="1">
        <w:r w:rsidRPr="001663AE">
          <w:rPr>
            <w:rStyle w:val="a5"/>
          </w:rPr>
          <w:t>http://www.tiannv.com/a/MAMA_ME/Pregnancy/2013/144-12120-2.html</w:t>
        </w:r>
      </w:hyperlink>
      <w:r w:rsidRPr="001663AE">
        <w:rPr>
          <w:rFonts w:hint="eastAsia"/>
        </w:rPr>
        <w:t>。</w:t>
      </w:r>
    </w:p>
  </w:footnote>
  <w:footnote w:id="1085">
    <w:p w14:paraId="75343307" w14:textId="77777777" w:rsidR="00CA23FA" w:rsidRPr="001663AE" w:rsidRDefault="00CA23FA" w:rsidP="007C58FB">
      <w:pPr>
        <w:pStyle w:val="3"/>
        <w:jc w:val="left"/>
      </w:pPr>
      <w:r w:rsidRPr="001663AE">
        <w:rPr>
          <w:rStyle w:val="af3"/>
          <w:rFonts w:ascii="新細明體" w:hAnsi="新細明體"/>
        </w:rPr>
        <w:footnoteRef/>
      </w:r>
      <w:r w:rsidRPr="001663AE">
        <w:rPr>
          <w:rFonts w:hint="eastAsia"/>
        </w:rPr>
        <w:t>莫小寶</w:t>
      </w:r>
      <w:r w:rsidRPr="001663AE">
        <w:t>(2013)</w:t>
      </w:r>
      <w:r w:rsidRPr="001663AE">
        <w:rPr>
          <w:rFonts w:hint="eastAsia"/>
        </w:rPr>
        <w:t>，不忍直視：血淋漓的墮胎場景，上網瀏覽時間：</w:t>
      </w:r>
      <w:r w:rsidRPr="001663AE">
        <w:t>2015/01/06</w:t>
      </w:r>
      <w:r w:rsidRPr="001663AE">
        <w:rPr>
          <w:rFonts w:hint="eastAsia"/>
        </w:rPr>
        <w:t>，</w:t>
      </w:r>
      <w:hyperlink r:id="rId333" w:history="1">
        <w:r w:rsidRPr="001663AE">
          <w:rPr>
            <w:rStyle w:val="a5"/>
          </w:rPr>
          <w:t>http://www.tiannv.com/a/MAMA_ME/Pregnancy/2013/144-12120-2.html</w:t>
        </w:r>
      </w:hyperlink>
      <w:r w:rsidRPr="001663AE">
        <w:rPr>
          <w:rFonts w:hint="eastAsia"/>
        </w:rPr>
        <w:t>。</w:t>
      </w:r>
    </w:p>
  </w:footnote>
  <w:footnote w:id="1086">
    <w:p w14:paraId="6E967911" w14:textId="77777777" w:rsidR="00CA23FA" w:rsidRPr="001663AE" w:rsidRDefault="00CA23FA" w:rsidP="007C58FB">
      <w:pPr>
        <w:pStyle w:val="3"/>
        <w:jc w:val="left"/>
      </w:pPr>
      <w:r w:rsidRPr="001663AE">
        <w:rPr>
          <w:rStyle w:val="af3"/>
          <w:rFonts w:ascii="新細明體" w:hAnsi="新細明體"/>
        </w:rPr>
        <w:footnoteRef/>
      </w:r>
      <w:r w:rsidRPr="001663AE">
        <w:rPr>
          <w:rFonts w:hint="eastAsia"/>
        </w:rPr>
        <w:t>莫小寶</w:t>
      </w:r>
      <w:r w:rsidRPr="001663AE">
        <w:t>(2013)</w:t>
      </w:r>
      <w:r w:rsidRPr="001663AE">
        <w:rPr>
          <w:rFonts w:hint="eastAsia"/>
        </w:rPr>
        <w:t>，不忍直視：血淋漓的墮胎場景，上網瀏覽時間：</w:t>
      </w:r>
      <w:r w:rsidRPr="001663AE">
        <w:t>2015/01/06</w:t>
      </w:r>
      <w:r w:rsidRPr="001663AE">
        <w:rPr>
          <w:rFonts w:hint="eastAsia"/>
        </w:rPr>
        <w:t>，</w:t>
      </w:r>
      <w:hyperlink r:id="rId334" w:history="1">
        <w:r w:rsidRPr="001663AE">
          <w:rPr>
            <w:rStyle w:val="a5"/>
          </w:rPr>
          <w:t>http://www.tiannv.com/a/MAMA_ME/Pregnancy/2013/144-12120-2.html</w:t>
        </w:r>
      </w:hyperlink>
      <w:r w:rsidRPr="001663AE">
        <w:rPr>
          <w:rFonts w:hint="eastAsia"/>
        </w:rPr>
        <w:t>。</w:t>
      </w:r>
    </w:p>
  </w:footnote>
  <w:footnote w:id="1087">
    <w:p w14:paraId="1DAF862D" w14:textId="77777777" w:rsidR="00CA23FA" w:rsidRPr="001663AE" w:rsidRDefault="00CA23FA" w:rsidP="007C58FB">
      <w:pPr>
        <w:pStyle w:val="3"/>
        <w:jc w:val="left"/>
      </w:pPr>
      <w:r w:rsidRPr="001663AE">
        <w:rPr>
          <w:rStyle w:val="af3"/>
          <w:rFonts w:ascii="新細明體" w:hAnsi="新細明體"/>
        </w:rPr>
        <w:footnoteRef/>
      </w:r>
      <w:r w:rsidRPr="001663AE">
        <w:t xml:space="preserve"> Anchalee Chaiworaporn(2002)</w:t>
      </w:r>
      <w:r w:rsidRPr="001663AE">
        <w:rPr>
          <w:rFonts w:hint="eastAsia"/>
        </w:rPr>
        <w:t>，上網瀏覽時間：</w:t>
      </w:r>
      <w:r w:rsidRPr="001663AE">
        <w:t>2015/01/06</w:t>
      </w:r>
      <w:r w:rsidRPr="001663AE">
        <w:rPr>
          <w:rFonts w:hint="eastAsia"/>
        </w:rPr>
        <w:t>，</w:t>
      </w:r>
      <w:hyperlink r:id="rId335" w:history="1">
        <w:r w:rsidRPr="001663AE">
          <w:rPr>
            <w:rStyle w:val="a5"/>
          </w:rPr>
          <w:t>http://www.thaicinema.org/kits295dek2002.php</w:t>
        </w:r>
      </w:hyperlink>
      <w:r w:rsidRPr="001663AE">
        <w:rPr>
          <w:rFonts w:hint="eastAsia"/>
        </w:rPr>
        <w:t>。</w:t>
      </w:r>
    </w:p>
  </w:footnote>
  <w:footnote w:id="1088">
    <w:p w14:paraId="71BB2FB5" w14:textId="77777777" w:rsidR="00CA23FA" w:rsidRPr="001663AE" w:rsidRDefault="00CA23FA" w:rsidP="007C58FB">
      <w:pPr>
        <w:pStyle w:val="3"/>
        <w:jc w:val="left"/>
      </w:pPr>
      <w:r w:rsidRPr="001663AE">
        <w:rPr>
          <w:rStyle w:val="af3"/>
          <w:rFonts w:ascii="新細明體" w:hAnsi="新細明體"/>
        </w:rPr>
        <w:footnoteRef/>
      </w:r>
      <w:r w:rsidRPr="001663AE">
        <w:t xml:space="preserve"> </w:t>
      </w:r>
      <w:r w:rsidRPr="001663AE">
        <w:rPr>
          <w:rFonts w:cs="Arial"/>
        </w:rPr>
        <w:t>TOM.COM(2013)</w:t>
      </w:r>
      <w:r w:rsidRPr="001663AE">
        <w:rPr>
          <w:rFonts w:cs="Arial" w:hint="eastAsia"/>
        </w:rPr>
        <w:t>，</w:t>
      </w:r>
      <w:r w:rsidRPr="001663AE">
        <w:rPr>
          <w:rFonts w:hint="eastAsia"/>
          <w:kern w:val="36"/>
        </w:rPr>
        <w:t>血淋淋的墮胎照片，謹慎觀看！</w:t>
      </w:r>
      <w:r w:rsidRPr="001663AE">
        <w:rPr>
          <w:kern w:val="36"/>
        </w:rPr>
        <w:t>(</w:t>
      </w:r>
      <w:r w:rsidRPr="001663AE">
        <w:rPr>
          <w:rFonts w:hint="eastAsia"/>
          <w:kern w:val="36"/>
        </w:rPr>
        <w:t>圖</w:t>
      </w:r>
      <w:r w:rsidRPr="001663AE">
        <w:rPr>
          <w:kern w:val="36"/>
        </w:rPr>
        <w:t>)</w:t>
      </w:r>
      <w:r w:rsidRPr="001663AE">
        <w:rPr>
          <w:rFonts w:hint="eastAsia"/>
          <w:kern w:val="36"/>
        </w:rPr>
        <w:t>，</w:t>
      </w:r>
      <w:r w:rsidRPr="001663AE">
        <w:rPr>
          <w:rFonts w:hint="eastAsia"/>
        </w:rPr>
        <w:t>上網瀏覽時間：</w:t>
      </w:r>
      <w:r w:rsidRPr="001663AE">
        <w:t>2015/01/06</w:t>
      </w:r>
      <w:r w:rsidRPr="001663AE">
        <w:rPr>
          <w:rFonts w:hint="eastAsia"/>
        </w:rPr>
        <w:t>，</w:t>
      </w:r>
      <w:hyperlink r:id="rId336" w:anchor="picchange" w:history="1">
        <w:r w:rsidRPr="001663AE">
          <w:rPr>
            <w:rStyle w:val="a5"/>
          </w:rPr>
          <w:t>http://slides.discovery.tom.com/vw/345806-1.html#picchange</w:t>
        </w:r>
      </w:hyperlink>
      <w:r w:rsidRPr="001663AE">
        <w:rPr>
          <w:rFonts w:hint="eastAsia"/>
        </w:rPr>
        <w:t>。</w:t>
      </w:r>
    </w:p>
  </w:footnote>
  <w:footnote w:id="1089">
    <w:p w14:paraId="352217E8"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學佛網</w:t>
      </w:r>
      <w:r w:rsidRPr="001663AE">
        <w:t>(2013)</w:t>
      </w:r>
      <w:r w:rsidRPr="001663AE">
        <w:rPr>
          <w:rFonts w:hint="eastAsia"/>
        </w:rPr>
        <w:t>，三思而後行，墮胎是惡行，一朝不慎行，萬劫贖罪行</w:t>
      </w:r>
      <w:r>
        <w:t>〜</w:t>
      </w:r>
      <w:r w:rsidRPr="001663AE">
        <w:rPr>
          <w:rFonts w:hint="eastAsia"/>
        </w:rPr>
        <w:t>墮胎真非小事，上網瀏覽時間：</w:t>
      </w:r>
      <w:r w:rsidRPr="001663AE">
        <w:t>2015/01/17</w:t>
      </w:r>
      <w:r w:rsidRPr="001663AE">
        <w:rPr>
          <w:rFonts w:hint="eastAsia"/>
        </w:rPr>
        <w:t>，</w:t>
      </w:r>
      <w:hyperlink r:id="rId337" w:history="1">
        <w:r w:rsidRPr="001663AE">
          <w:rPr>
            <w:rStyle w:val="a5"/>
            <w:szCs w:val="20"/>
          </w:rPr>
          <w:t>http://www.xuefo.net/nr/article14/142380.html</w:t>
        </w:r>
      </w:hyperlink>
      <w:r w:rsidRPr="001663AE">
        <w:rPr>
          <w:rFonts w:hint="eastAsia"/>
        </w:rPr>
        <w:t>。</w:t>
      </w:r>
    </w:p>
    <w:p w14:paraId="77FC0182" w14:textId="77777777" w:rsidR="00CA23FA" w:rsidRPr="001663AE" w:rsidRDefault="00CA23FA" w:rsidP="00D87D91">
      <w:pPr>
        <w:pStyle w:val="af1"/>
      </w:pPr>
    </w:p>
  </w:footnote>
  <w:footnote w:id="1090">
    <w:p w14:paraId="19D2DD74"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lang w:eastAsia="ja-JP"/>
        </w:rPr>
        <w:t>Yahoo Japan Corporation</w:t>
      </w:r>
      <w:r>
        <w:t>(</w:t>
      </w:r>
      <w:r w:rsidRPr="001663AE">
        <w:t>201</w:t>
      </w:r>
      <w:r w:rsidRPr="001663AE">
        <w:rPr>
          <w:rFonts w:hint="eastAsia"/>
        </w:rPr>
        <w:t>5</w:t>
      </w:r>
      <w:r w:rsidRPr="001663AE">
        <w:t>)</w:t>
      </w:r>
      <w:r w:rsidRPr="001663AE">
        <w:rPr>
          <w:rFonts w:hint="eastAsia"/>
        </w:rPr>
        <w:t>，赤ちゃんは中絶されるときに恐怖で逃げる，上網瀏覽時間：</w:t>
      </w:r>
      <w:r w:rsidRPr="001663AE">
        <w:t>2015/</w:t>
      </w:r>
      <w:r w:rsidRPr="001663AE">
        <w:rPr>
          <w:rFonts w:hint="eastAsia"/>
        </w:rPr>
        <w:t>08</w:t>
      </w:r>
      <w:r w:rsidRPr="001663AE">
        <w:t>/</w:t>
      </w:r>
      <w:r w:rsidRPr="001663AE">
        <w:rPr>
          <w:rFonts w:hint="eastAsia"/>
        </w:rPr>
        <w:t>01</w:t>
      </w:r>
      <w:r w:rsidRPr="001663AE">
        <w:rPr>
          <w:rFonts w:hint="eastAsia"/>
        </w:rPr>
        <w:t>，</w:t>
      </w:r>
      <w:hyperlink r:id="rId338" w:history="1">
        <w:r w:rsidRPr="00A45644">
          <w:rPr>
            <w:rStyle w:val="a5"/>
            <w:rFonts w:ascii="Arial Unicode MS" w:eastAsia="新細明體" w:hAnsi="Arial Unicode MS"/>
            <w:sz w:val="18"/>
          </w:rPr>
          <w:t>http://blogs.yahoo.co.jp/inoti333mamoru777/GALLERY/show_image.html?id=63109682&amp;no=2</w:t>
        </w:r>
      </w:hyperlink>
      <w:r w:rsidRPr="001663AE">
        <w:rPr>
          <w:rFonts w:hint="eastAsia"/>
        </w:rPr>
        <w:t>。站在胎兒之本身之觀點，其右腿被活活地翦離，應是痛不可支。</w:t>
      </w:r>
    </w:p>
  </w:footnote>
  <w:footnote w:id="1091">
    <w:p w14:paraId="49865D1E" w14:textId="77777777"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lang w:eastAsia="ja-JP"/>
        </w:rPr>
        <w:t>Yahoo Japan Corporation</w:t>
      </w:r>
      <w:r>
        <w:t>(</w:t>
      </w:r>
      <w:r w:rsidRPr="001663AE">
        <w:t>201</w:t>
      </w:r>
      <w:r w:rsidRPr="001663AE">
        <w:rPr>
          <w:rFonts w:hint="eastAsia"/>
        </w:rPr>
        <w:t>5</w:t>
      </w:r>
      <w:r w:rsidRPr="001663AE">
        <w:t>)</w:t>
      </w:r>
      <w:r w:rsidRPr="001663AE">
        <w:rPr>
          <w:rFonts w:hint="eastAsia"/>
        </w:rPr>
        <w:t>，赤ちゃんは中絶されるときに恐怖で逃げる，上網瀏覽時間：</w:t>
      </w:r>
      <w:r w:rsidRPr="001663AE">
        <w:t>2015/</w:t>
      </w:r>
      <w:r w:rsidRPr="001663AE">
        <w:rPr>
          <w:rFonts w:hint="eastAsia"/>
        </w:rPr>
        <w:t>08</w:t>
      </w:r>
      <w:r w:rsidRPr="001663AE">
        <w:t>/</w:t>
      </w:r>
      <w:r w:rsidRPr="001663AE">
        <w:rPr>
          <w:rFonts w:hint="eastAsia"/>
        </w:rPr>
        <w:t>01</w:t>
      </w:r>
      <w:r w:rsidRPr="001663AE">
        <w:rPr>
          <w:rFonts w:hint="eastAsia"/>
        </w:rPr>
        <w:t>，</w:t>
      </w:r>
      <w:hyperlink r:id="rId339" w:history="1">
        <w:r w:rsidRPr="00A45644">
          <w:rPr>
            <w:rStyle w:val="a5"/>
            <w:rFonts w:ascii="Arial Unicode MS" w:eastAsia="新細明體" w:hAnsi="Arial Unicode MS"/>
            <w:sz w:val="18"/>
          </w:rPr>
          <w:t>http://blogs.yahoo.co.jp/inoti333mamoru777/GALLERY/show_image.html?id=63109682&amp;no=2</w:t>
        </w:r>
      </w:hyperlink>
      <w:r w:rsidRPr="001663AE">
        <w:rPr>
          <w:rFonts w:hint="eastAsia"/>
        </w:rPr>
        <w:t>。站在胎兒之本身之觀點，其左腿、雙手被活活地翦離，應是痛不可支。</w:t>
      </w:r>
    </w:p>
  </w:footnote>
  <w:footnote w:id="1092">
    <w:p w14:paraId="42AF27A8" w14:textId="77777777" w:rsidR="00CA23FA" w:rsidRDefault="00CA23FA" w:rsidP="00D87D91">
      <w:pPr>
        <w:pStyle w:val="3"/>
      </w:pPr>
      <w:r w:rsidRPr="001663AE">
        <w:rPr>
          <w:rStyle w:val="af3"/>
          <w:rFonts w:ascii="新細明體" w:hAnsi="新細明體"/>
          <w:szCs w:val="20"/>
        </w:rPr>
        <w:footnoteRef/>
      </w:r>
      <w:r w:rsidRPr="001663AE">
        <w:t xml:space="preserve"> </w:t>
      </w:r>
      <w:r w:rsidRPr="001663AE">
        <w:rPr>
          <w:rFonts w:hint="eastAsia"/>
          <w:lang w:eastAsia="ja-JP"/>
        </w:rPr>
        <w:t>Yahoo Japan Corporation</w:t>
      </w:r>
      <w:r>
        <w:t>(</w:t>
      </w:r>
      <w:r w:rsidRPr="001663AE">
        <w:t>201</w:t>
      </w:r>
      <w:r w:rsidRPr="001663AE">
        <w:rPr>
          <w:rFonts w:hint="eastAsia"/>
        </w:rPr>
        <w:t>5</w:t>
      </w:r>
      <w:r w:rsidRPr="001663AE">
        <w:t>)</w:t>
      </w:r>
      <w:r w:rsidRPr="001663AE">
        <w:rPr>
          <w:rFonts w:hint="eastAsia"/>
        </w:rPr>
        <w:t>，赤ちゃんは中絶されるときに恐怖で逃げる，上網瀏覽時間：</w:t>
      </w:r>
      <w:r w:rsidRPr="001663AE">
        <w:t>2015/</w:t>
      </w:r>
      <w:r w:rsidRPr="001663AE">
        <w:rPr>
          <w:rFonts w:hint="eastAsia"/>
        </w:rPr>
        <w:t>08</w:t>
      </w:r>
      <w:r w:rsidRPr="001663AE">
        <w:t>/</w:t>
      </w:r>
      <w:r w:rsidRPr="001663AE">
        <w:rPr>
          <w:rFonts w:hint="eastAsia"/>
        </w:rPr>
        <w:t>01</w:t>
      </w:r>
      <w:r w:rsidRPr="001663AE">
        <w:rPr>
          <w:rFonts w:hint="eastAsia"/>
        </w:rPr>
        <w:t>，</w:t>
      </w:r>
      <w:hyperlink r:id="rId340" w:history="1">
        <w:r w:rsidRPr="00A45644">
          <w:rPr>
            <w:rStyle w:val="a5"/>
            <w:rFonts w:ascii="Arial Unicode MS" w:eastAsia="新細明體" w:hAnsi="Arial Unicode MS"/>
            <w:sz w:val="18"/>
          </w:rPr>
          <w:t>http://blogs.yahoo.co.jp/inoti333mamoru777/GALLERY/show_image.html?id=63109682&amp;no=2</w:t>
        </w:r>
      </w:hyperlink>
    </w:p>
    <w:p w14:paraId="5491371D" w14:textId="77777777" w:rsidR="00CA23FA" w:rsidRPr="001663AE" w:rsidRDefault="00CA23FA" w:rsidP="00D87D91">
      <w:pPr>
        <w:pStyle w:val="3"/>
      </w:pPr>
      <w:r w:rsidRPr="001663AE">
        <w:rPr>
          <w:rFonts w:hint="eastAsia"/>
        </w:rPr>
        <w:t>。站在胎兒之本身之觀點，其身體被活活地一部分、一部分地被翦離，應是痛不可支。</w:t>
      </w:r>
    </w:p>
  </w:footnote>
  <w:footnote w:id="1093">
    <w:p w14:paraId="61FC40A1" w14:textId="77777777" w:rsidR="00CA23FA" w:rsidRDefault="00CA23FA" w:rsidP="00D87D91">
      <w:pPr>
        <w:pStyle w:val="3"/>
      </w:pPr>
      <w:r w:rsidRPr="001663AE">
        <w:rPr>
          <w:rStyle w:val="af3"/>
          <w:rFonts w:ascii="新細明體" w:hAnsi="新細明體"/>
          <w:szCs w:val="20"/>
        </w:rPr>
        <w:footnoteRef/>
      </w:r>
      <w:r w:rsidRPr="001663AE">
        <w:t xml:space="preserve"> </w:t>
      </w:r>
      <w:r w:rsidRPr="001663AE">
        <w:rPr>
          <w:rFonts w:hint="eastAsia"/>
          <w:lang w:eastAsia="ja-JP"/>
        </w:rPr>
        <w:t>Yahoo Japan Corporation</w:t>
      </w:r>
      <w:r>
        <w:t>(</w:t>
      </w:r>
      <w:r w:rsidRPr="001663AE">
        <w:t>201</w:t>
      </w:r>
      <w:r w:rsidRPr="001663AE">
        <w:rPr>
          <w:rFonts w:hint="eastAsia"/>
        </w:rPr>
        <w:t>5</w:t>
      </w:r>
      <w:r w:rsidRPr="001663AE">
        <w:t>)</w:t>
      </w:r>
      <w:r w:rsidRPr="001663AE">
        <w:rPr>
          <w:rFonts w:hint="eastAsia"/>
        </w:rPr>
        <w:t>，赤ちゃんは中絶されるときに恐怖で逃げる，上網瀏覽時間：</w:t>
      </w:r>
      <w:r w:rsidRPr="001663AE">
        <w:t>2015/</w:t>
      </w:r>
      <w:r w:rsidRPr="001663AE">
        <w:rPr>
          <w:rFonts w:hint="eastAsia"/>
        </w:rPr>
        <w:t>08</w:t>
      </w:r>
      <w:r w:rsidRPr="001663AE">
        <w:t>/</w:t>
      </w:r>
      <w:r w:rsidRPr="001663AE">
        <w:rPr>
          <w:rFonts w:hint="eastAsia"/>
        </w:rPr>
        <w:t>01</w:t>
      </w:r>
      <w:r w:rsidRPr="001663AE">
        <w:rPr>
          <w:rFonts w:hint="eastAsia"/>
        </w:rPr>
        <w:t>，</w:t>
      </w:r>
      <w:hyperlink r:id="rId341" w:history="1">
        <w:r w:rsidRPr="00A45644">
          <w:rPr>
            <w:rStyle w:val="a5"/>
            <w:rFonts w:ascii="Arial Unicode MS" w:eastAsia="新細明體" w:hAnsi="Arial Unicode MS"/>
            <w:sz w:val="18"/>
          </w:rPr>
          <w:t>http://blogs.yahoo.co.jp/inoti333mamoru777/GALLERY/show_image.html?id=63109682&amp;no=2</w:t>
        </w:r>
      </w:hyperlink>
    </w:p>
    <w:p w14:paraId="25484C50" w14:textId="77777777" w:rsidR="00CA23FA" w:rsidRPr="008574A4" w:rsidRDefault="00CA23FA" w:rsidP="008574A4"/>
    <w:p w14:paraId="61A45B26" w14:textId="77777777" w:rsidR="00CA23FA" w:rsidRPr="001663AE" w:rsidRDefault="00CA23FA" w:rsidP="00D87D91">
      <w:pPr>
        <w:pStyle w:val="3"/>
      </w:pPr>
    </w:p>
  </w:footnote>
  <w:footnote w:id="1094">
    <w:p w14:paraId="7949A295" w14:textId="77777777" w:rsidR="00CA23FA" w:rsidRPr="001663AE" w:rsidRDefault="00CA23FA" w:rsidP="00D87D91">
      <w:pPr>
        <w:pStyle w:val="3"/>
      </w:pPr>
      <w:r w:rsidRPr="001663AE">
        <w:rPr>
          <w:rStyle w:val="af3"/>
          <w:rFonts w:ascii="新細明體" w:hAnsi="新細明體"/>
          <w:szCs w:val="20"/>
        </w:rPr>
        <w:footnoteRef/>
      </w:r>
      <w:r w:rsidRPr="001663AE">
        <w:t xml:space="preserve"> Residence ActSection 62</w:t>
      </w:r>
      <w:r>
        <w:t>(</w:t>
      </w:r>
      <w:r w:rsidRPr="001663AE">
        <w:t xml:space="preserve"> Custody awaiting deportation)</w:t>
      </w:r>
      <w:r w:rsidRPr="001663AE">
        <w:rPr>
          <w:rFonts w:hint="eastAsia"/>
        </w:rPr>
        <w:t>：</w:t>
      </w:r>
    </w:p>
    <w:p w14:paraId="18EF2FE8" w14:textId="77777777" w:rsidR="00CA23FA" w:rsidRPr="001663AE" w:rsidRDefault="00CA23FA" w:rsidP="00D87D91">
      <w:pPr>
        <w:pStyle w:val="3"/>
      </w:pPr>
      <w:r w:rsidRPr="001663AE">
        <w:t>(1) A foreigner shall be placed in custody by judicial order to enable the preparation of deportation, if a decision on deportation cannot be reached immediately and deportation would be complicated substantially or frustrated without such detainment</w:t>
      </w:r>
      <w:r>
        <w:t>(</w:t>
      </w:r>
      <w:r w:rsidRPr="001663AE">
        <w:t xml:space="preserve">custody to prepare deportation). The duration of custody to prepare deportation should not exceed six weeks. In case of expulsion, no new judicial order shall be required for the continuation of custody up to expiry of the ordered term of custody. </w:t>
      </w:r>
    </w:p>
    <w:p w14:paraId="2B0DA1D6" w14:textId="77777777" w:rsidR="00CA23FA" w:rsidRPr="001663AE" w:rsidRDefault="00CA23FA" w:rsidP="00D87D91">
      <w:pPr>
        <w:pStyle w:val="3"/>
      </w:pPr>
      <w:r w:rsidRPr="001663AE">
        <w:t>(2) A foreigner shall be placed in custody by judicial order for the purpose of safeguarding deportation</w:t>
      </w:r>
      <w:r>
        <w:t>(</w:t>
      </w:r>
      <w:r w:rsidRPr="001663AE">
        <w:t xml:space="preserve">detention pending deportation) if </w:t>
      </w:r>
    </w:p>
    <w:p w14:paraId="45065E51" w14:textId="77777777" w:rsidR="00CA23FA" w:rsidRPr="001663AE" w:rsidRDefault="00CA23FA" w:rsidP="00D87D91">
      <w:pPr>
        <w:pStyle w:val="3"/>
      </w:pPr>
      <w:r w:rsidRPr="001663AE">
        <w:t xml:space="preserve">1. the foreigner is enforceably required to leave the Federal territory on account of his or her having entered the territory unlawfully, </w:t>
      </w:r>
    </w:p>
    <w:p w14:paraId="205D1F85" w14:textId="77777777" w:rsidR="00CA23FA" w:rsidRPr="001663AE" w:rsidRDefault="00CA23FA" w:rsidP="00D87D91">
      <w:pPr>
        <w:pStyle w:val="3"/>
      </w:pPr>
      <w:r w:rsidRPr="001663AE">
        <w:t xml:space="preserve">1a. a deportation order has been issued pursuant to Section 58a but is not immediately enforceable, </w:t>
      </w:r>
    </w:p>
    <w:p w14:paraId="2F8EFFD8" w14:textId="77777777" w:rsidR="00CA23FA" w:rsidRPr="001663AE" w:rsidRDefault="00CA23FA" w:rsidP="00D87D91">
      <w:pPr>
        <w:pStyle w:val="3"/>
      </w:pPr>
      <w:r w:rsidRPr="001663AE">
        <w:t xml:space="preserve">2. the period allowed for departure has expired and the foreigner has changed his or her place of residence without notifying the foreigners authority of an address at which he or she can be reached, </w:t>
      </w:r>
    </w:p>
    <w:p w14:paraId="1BF9C2BC" w14:textId="77777777" w:rsidR="00CA23FA" w:rsidRPr="001663AE" w:rsidRDefault="00CA23FA" w:rsidP="00D87D91">
      <w:pPr>
        <w:pStyle w:val="3"/>
      </w:pPr>
      <w:r w:rsidRPr="001663AE">
        <w:t xml:space="preserve">3. he or she has failed to appear at the location stipulated by the foreigners authority on a date fixed for deportation, for reasons for which he or she is responsible </w:t>
      </w:r>
    </w:p>
    <w:p w14:paraId="57B061CA" w14:textId="77777777" w:rsidR="00CA23FA" w:rsidRPr="001663AE" w:rsidRDefault="00CA23FA" w:rsidP="00D87D91">
      <w:pPr>
        <w:pStyle w:val="3"/>
      </w:pPr>
      <w:r w:rsidRPr="001663AE">
        <w:t xml:space="preserve">4. he or she has evaded deportation by any other means or </w:t>
      </w:r>
    </w:p>
    <w:p w14:paraId="24A464C4" w14:textId="77777777" w:rsidR="00CA23FA" w:rsidRPr="001663AE" w:rsidRDefault="00CA23FA" w:rsidP="00D87D91">
      <w:pPr>
        <w:pStyle w:val="3"/>
      </w:pPr>
      <w:r w:rsidRPr="001663AE">
        <w:t xml:space="preserve">5. a well-founded suspicion exists that he or she intends to evade deportation. </w:t>
      </w:r>
    </w:p>
    <w:p w14:paraId="51BA79A3" w14:textId="77777777" w:rsidR="00CA23FA" w:rsidRPr="001663AE" w:rsidRDefault="00CA23FA" w:rsidP="00D87D91">
      <w:pPr>
        <w:pStyle w:val="3"/>
      </w:pPr>
      <w:r w:rsidRPr="001663AE">
        <w:t xml:space="preserve">The foreigner may be placed in detention pending deportation for a maximum of two weeks, if the period allowed for departure has expired and it has been established that deportation can be enforced. By way of exception, the order for detention pending deportation pursuant to sentence 1, no. 1 may be waived if the foreigner credibly asserts that he or she does not intend to evade deportation. Detention pending deportation shall not be permissible if it is established that it will not be possible to carry out deportation within the next three months for reasons for which the foreigner is not responsible. Where deportation has failed due to reasons for which the foreigner is responsible, the order pursuant to sentence 1 shall remain unaffected until expiry of the period stipulated in the order. </w:t>
      </w:r>
    </w:p>
    <w:p w14:paraId="79D93229" w14:textId="77777777" w:rsidR="00CA23FA" w:rsidRPr="001663AE" w:rsidRDefault="00CA23FA" w:rsidP="00D87D91">
      <w:pPr>
        <w:pStyle w:val="3"/>
      </w:pPr>
      <w:r w:rsidRPr="001663AE">
        <w:t xml:space="preserve">(3) Detention pending deportation may be ordered for up to six months. In cases in which the foreigner frustrates his or her deportation, it may be extended by a maximum of twelve months. A period of custody to prepare deportation shall count towards the overall duration of detention pending deportation. </w:t>
      </w:r>
    </w:p>
    <w:p w14:paraId="1C6647D5" w14:textId="77777777" w:rsidR="00CA23FA" w:rsidRPr="001663AE" w:rsidRDefault="00CA23FA" w:rsidP="00D87D91">
      <w:pPr>
        <w:pStyle w:val="3"/>
      </w:pPr>
      <w:r w:rsidRPr="001663AE">
        <w:t xml:space="preserve">(4) The authority responsible for the detention application may detain a foreigner without a prior judicial order and place such foreigner in temporary custody where </w:t>
      </w:r>
    </w:p>
    <w:p w14:paraId="1ADE7073" w14:textId="77777777" w:rsidR="00CA23FA" w:rsidRPr="001663AE" w:rsidRDefault="00CA23FA" w:rsidP="00D87D91">
      <w:pPr>
        <w:pStyle w:val="3"/>
      </w:pPr>
      <w:r w:rsidRPr="001663AE">
        <w:t xml:space="preserve">1. there is a strong suspicion that the conditions pursuant to sub-section 2, sentence 1 apply, </w:t>
      </w:r>
    </w:p>
    <w:p w14:paraId="628CBCD9" w14:textId="77777777" w:rsidR="00CA23FA" w:rsidRPr="001663AE" w:rsidRDefault="00CA23FA" w:rsidP="00D87D91">
      <w:pPr>
        <w:pStyle w:val="3"/>
      </w:pPr>
      <w:r w:rsidRPr="001663AE">
        <w:t xml:space="preserve">2. the judicial decision on the order for detention pending deportation is not obtainable beforehand and </w:t>
      </w:r>
    </w:p>
    <w:p w14:paraId="4C35BF33" w14:textId="77777777" w:rsidR="00CA23FA" w:rsidRPr="001663AE" w:rsidRDefault="00CA23FA" w:rsidP="00D87D91">
      <w:pPr>
        <w:pStyle w:val="3"/>
      </w:pPr>
      <w:r w:rsidRPr="001663AE">
        <w:t xml:space="preserve">3. there is a well-founded suspicion that the foreigner intends to evade the order for detention pending deportation. </w:t>
      </w:r>
    </w:p>
    <w:p w14:paraId="44F4F6B9" w14:textId="77777777" w:rsidR="00CA23FA" w:rsidRPr="001663AE" w:rsidRDefault="00CA23FA" w:rsidP="00D87D91">
      <w:pPr>
        <w:pStyle w:val="3"/>
      </w:pPr>
      <w:r w:rsidRPr="001663AE">
        <w:t>The foreigner shall be brought before the court forthwith for a decision on the order for detention pending deportation.</w:t>
      </w:r>
    </w:p>
  </w:footnote>
  <w:footnote w:id="1095">
    <w:p w14:paraId="04A9DFF7" w14:textId="77777777"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 xml:space="preserve">Article 104 [Deprivation of liberty] </w:t>
      </w:r>
    </w:p>
    <w:p w14:paraId="0401C886" w14:textId="77777777" w:rsidR="00CA23FA" w:rsidRPr="001663AE" w:rsidRDefault="00CA23FA" w:rsidP="00D87D91">
      <w:pPr>
        <w:pStyle w:val="3"/>
        <w:rPr>
          <w:lang w:bidi="bn-IN"/>
        </w:rPr>
      </w:pPr>
      <w:r w:rsidRPr="001663AE">
        <w:rPr>
          <w:rFonts w:cs="Arial"/>
          <w:lang w:bidi="bn-IN"/>
        </w:rPr>
        <w:t xml:space="preserve">(1) </w:t>
      </w:r>
      <w:r w:rsidRPr="001663AE">
        <w:rPr>
          <w:lang w:bidi="bn-IN"/>
        </w:rPr>
        <w:t>Liberty of the person may be restricted only pursuant to a formal law and only in compliance with the procedures prescribed therein. Persons in custody may not be subjected to mental or physical mistreatment.</w:t>
      </w:r>
    </w:p>
    <w:p w14:paraId="53765C39" w14:textId="77777777" w:rsidR="00CA23FA" w:rsidRPr="001663AE" w:rsidRDefault="00CA23FA" w:rsidP="00D87D91">
      <w:pPr>
        <w:pStyle w:val="3"/>
        <w:rPr>
          <w:lang w:bidi="bn-IN"/>
        </w:rPr>
      </w:pPr>
      <w:r w:rsidRPr="001663AE">
        <w:rPr>
          <w:rFonts w:cs="Arial"/>
          <w:lang w:bidi="bn-IN"/>
        </w:rPr>
        <w:t xml:space="preserve">(2) </w:t>
      </w:r>
      <w:r w:rsidRPr="001663AE">
        <w:rPr>
          <w:lang w:bidi="bn-IN"/>
        </w:rPr>
        <w:t>Only a judge may rule upon the permissibility or continuation of any deprivation of liberty. If such a deprivation is not based on a judicial order, a judicial decision shall be obtained without delay. The police may hold no one in custody on their own authority beyond the end of the day following the arrest. Details shall be regulated by a law.</w:t>
      </w:r>
    </w:p>
    <w:p w14:paraId="7EBCE29A" w14:textId="77777777" w:rsidR="00CA23FA" w:rsidRPr="001663AE" w:rsidRDefault="00CA23FA" w:rsidP="00D87D91">
      <w:pPr>
        <w:pStyle w:val="3"/>
        <w:rPr>
          <w:lang w:bidi="bn-IN"/>
        </w:rPr>
      </w:pPr>
      <w:r w:rsidRPr="001663AE">
        <w:rPr>
          <w:rFonts w:cs="Arial"/>
          <w:lang w:bidi="bn-IN"/>
        </w:rPr>
        <w:t xml:space="preserve">(3) </w:t>
      </w:r>
      <w:r w:rsidRPr="001663AE">
        <w:rPr>
          <w:lang w:bidi="bn-IN"/>
        </w:rPr>
        <w:t>Any person provisionally detained on suspicion of having committed a criminal offence shall be brought before a judge no later than the day following his arrest; the judge shall inform him of the reasons for the arrest, examine him, and give him an opportunity to raise objections. The judge shall, without delay, either issue a written arrest warrant setting forth the reasons therefor or order his release.</w:t>
      </w:r>
    </w:p>
    <w:p w14:paraId="2F4E1D5D" w14:textId="77777777" w:rsidR="00CA23FA" w:rsidRPr="001663AE" w:rsidRDefault="00CA23FA" w:rsidP="00D87D91">
      <w:pPr>
        <w:pStyle w:val="3"/>
      </w:pPr>
      <w:r w:rsidRPr="001663AE">
        <w:rPr>
          <w:rFonts w:cs="Arial"/>
          <w:lang w:bidi="bn-IN"/>
        </w:rPr>
        <w:t xml:space="preserve">(4) </w:t>
      </w:r>
      <w:r w:rsidRPr="001663AE">
        <w:rPr>
          <w:lang w:bidi="bn-IN"/>
        </w:rPr>
        <w:t>A relative or a person enjoying the confi dence of the person in custody shall be notifi ed without delay of any judicial decision imposing or continuing a deprivation of liberty.</w:t>
      </w:r>
    </w:p>
  </w:footnote>
  <w:footnote w:id="1096">
    <w:p w14:paraId="62C95685"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台灣人權促進會翻譯</w:t>
      </w:r>
      <w:r w:rsidRPr="001663AE">
        <w:t>(2013)</w:t>
      </w:r>
      <w:r w:rsidRPr="001663AE">
        <w:rPr>
          <w:rFonts w:hint="eastAsia"/>
        </w:rPr>
        <w:t>，替代收容</w:t>
      </w:r>
      <w:r>
        <w:t>〜</w:t>
      </w:r>
      <w:r w:rsidRPr="001663AE">
        <w:t>-</w:t>
      </w:r>
      <w:r w:rsidRPr="001663AE">
        <w:rPr>
          <w:rFonts w:hint="eastAsia"/>
        </w:rPr>
        <w:t>避免非必要的移工移民收容，各國經驗，臺北市：台灣人權促進會，頁</w:t>
      </w:r>
      <w:r w:rsidRPr="001663AE">
        <w:t>1-63</w:t>
      </w:r>
      <w:r w:rsidRPr="001663AE">
        <w:rPr>
          <w:rFonts w:hint="eastAsia"/>
        </w:rPr>
        <w:t>。</w:t>
      </w:r>
    </w:p>
    <w:p w14:paraId="61090F12" w14:textId="77777777" w:rsidR="00CA23FA" w:rsidRPr="001663AE" w:rsidRDefault="00CA23FA" w:rsidP="00D87D91">
      <w:pPr>
        <w:pStyle w:val="3"/>
      </w:pPr>
      <w:r w:rsidRPr="001663AE">
        <w:rPr>
          <w:rFonts w:hint="eastAsia"/>
        </w:rPr>
        <w:t>邱伊翎</w:t>
      </w:r>
      <w:r w:rsidRPr="001663AE">
        <w:t>(2013)</w:t>
      </w:r>
      <w:r w:rsidRPr="001663AE">
        <w:rPr>
          <w:rFonts w:hint="eastAsia"/>
        </w:rPr>
        <w:t>，難民、尋求庇護者與外國人收容，台灣人權促進會季刊春季版，頁</w:t>
      </w:r>
      <w:r w:rsidRPr="001663AE">
        <w:t>16-18</w:t>
      </w:r>
      <w:r w:rsidRPr="001663AE">
        <w:rPr>
          <w:rFonts w:hint="eastAsia"/>
        </w:rPr>
        <w:t>。在此一文章之中，邱伊翎氏並主張，目前我國對於外國人之</w:t>
      </w:r>
      <w:r w:rsidRPr="001663AE">
        <w:rPr>
          <w:rFonts w:cs="細明體_HKSCS" w:hint="eastAsia"/>
          <w:kern w:val="0"/>
        </w:rPr>
        <w:t>暫予</w:t>
      </w:r>
      <w:r w:rsidRPr="001663AE">
        <w:rPr>
          <w:rFonts w:hint="eastAsia"/>
        </w:rPr>
        <w:t>收容，無須經由法官之審理，恐不符合國際人權法之規定，筆者亦贊同邱伊翎氏之上述見解。</w:t>
      </w:r>
    </w:p>
  </w:footnote>
  <w:footnote w:id="1097">
    <w:p w14:paraId="33940ED0"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「台灣人權促進會」</w:t>
      </w:r>
      <w:r w:rsidRPr="001663AE">
        <w:rPr>
          <w:rFonts w:hint="eastAsia"/>
        </w:rPr>
        <w:t>(2011)</w:t>
      </w:r>
      <w:r w:rsidRPr="001663AE">
        <w:rPr>
          <w:rFonts w:hint="eastAsia"/>
        </w:rPr>
        <w:t>，「替代收容－避免非必要的移工移民收容：各國經驗」，台北：台灣人權促進會，第</w:t>
      </w:r>
      <w:r w:rsidRPr="001663AE">
        <w:rPr>
          <w:rFonts w:hint="eastAsia"/>
        </w:rPr>
        <w:t>20</w:t>
      </w:r>
      <w:r w:rsidRPr="001663AE">
        <w:rPr>
          <w:rFonts w:hint="eastAsia"/>
        </w:rPr>
        <w:t>頁。</w:t>
      </w:r>
      <w:r w:rsidRPr="001663AE">
        <w:rPr>
          <w:rFonts w:hint="eastAsia"/>
        </w:rPr>
        <w:t xml:space="preserve"> </w:t>
      </w:r>
    </w:p>
  </w:footnote>
  <w:footnote w:id="1098">
    <w:p w14:paraId="52092345"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「台灣人權促進會」</w:t>
      </w:r>
      <w:r w:rsidRPr="001663AE">
        <w:rPr>
          <w:rFonts w:hint="eastAsia"/>
        </w:rPr>
        <w:t>(2011)</w:t>
      </w:r>
      <w:r w:rsidRPr="001663AE">
        <w:rPr>
          <w:rFonts w:hint="eastAsia"/>
        </w:rPr>
        <w:t>，「替代收容－避免非必要的移工移民收容：各國經驗」，台北：台灣人權促進會，第</w:t>
      </w:r>
      <w:r w:rsidRPr="001663AE">
        <w:rPr>
          <w:rFonts w:hint="eastAsia"/>
        </w:rPr>
        <w:t>19-20</w:t>
      </w:r>
      <w:r w:rsidRPr="001663AE">
        <w:rPr>
          <w:rFonts w:hint="eastAsia"/>
        </w:rPr>
        <w:t>頁。</w:t>
      </w:r>
    </w:p>
  </w:footnote>
  <w:footnote w:id="1099">
    <w:p w14:paraId="439AE283" w14:textId="77777777" w:rsidR="00CA23FA" w:rsidRPr="007D50BB" w:rsidRDefault="00CA23FA" w:rsidP="00D87D91">
      <w:pPr>
        <w:pStyle w:val="3"/>
      </w:pPr>
      <w:r w:rsidRPr="007D50BB">
        <w:rPr>
          <w:rStyle w:val="af3"/>
          <w:rFonts w:ascii="新細明體" w:hAnsi="新細明體"/>
          <w:sz w:val="20"/>
          <w:szCs w:val="20"/>
        </w:rPr>
        <w:footnoteRef/>
      </w:r>
      <w:r w:rsidRPr="007D50BB">
        <w:rPr>
          <w:rFonts w:hint="eastAsia"/>
        </w:rPr>
        <w:t>林玲瑩（</w:t>
      </w:r>
      <w:r w:rsidRPr="007D50BB">
        <w:rPr>
          <w:rFonts w:hint="eastAsia"/>
        </w:rPr>
        <w:t>2013</w:t>
      </w:r>
      <w:r w:rsidRPr="007D50BB">
        <w:rPr>
          <w:rFonts w:hint="eastAsia"/>
        </w:rPr>
        <w:t>），替代收容論壇，逃跑外勞不必關？國際司空見慣，上網瀏覽時間：</w:t>
      </w:r>
      <w:r w:rsidRPr="007D50BB">
        <w:rPr>
          <w:rFonts w:hint="eastAsia"/>
        </w:rPr>
        <w:t>2015/04/13</w:t>
      </w:r>
      <w:r w:rsidRPr="007D50BB">
        <w:rPr>
          <w:rFonts w:hint="eastAsia"/>
        </w:rPr>
        <w:t>，</w:t>
      </w:r>
      <w:r w:rsidRPr="007D50BB">
        <w:t>http://pnn.pts.org.tw/main/2013/08/28/</w:t>
      </w:r>
      <w:r w:rsidRPr="007D50BB">
        <w:t>。</w:t>
      </w:r>
      <w:r w:rsidRPr="007D50BB">
        <w:rPr>
          <w:rFonts w:hint="eastAsia"/>
        </w:rPr>
        <w:t xml:space="preserve"> </w:t>
      </w:r>
    </w:p>
  </w:footnote>
  <w:footnote w:id="1100">
    <w:p w14:paraId="27F08A44" w14:textId="77777777" w:rsidR="00CA23FA" w:rsidRPr="007D50BB" w:rsidRDefault="00CA23FA" w:rsidP="00D87D91">
      <w:pPr>
        <w:pStyle w:val="3"/>
        <w:rPr>
          <w:lang w:bidi="bn-IN"/>
        </w:rPr>
      </w:pPr>
      <w:r w:rsidRPr="007D50BB">
        <w:rPr>
          <w:rStyle w:val="af3"/>
          <w:rFonts w:ascii="新細明體" w:hAnsi="新細明體"/>
          <w:sz w:val="20"/>
          <w:szCs w:val="20"/>
        </w:rPr>
        <w:footnoteRef/>
      </w:r>
      <w:r w:rsidRPr="007D50BB">
        <w:t xml:space="preserve"> </w:t>
      </w:r>
      <w:r w:rsidRPr="007D50BB">
        <w:rPr>
          <w:lang w:bidi="bn-IN"/>
        </w:rPr>
        <w:t xml:space="preserve">Article 16a[Right of asylum] </w:t>
      </w:r>
    </w:p>
    <w:p w14:paraId="51F521E7" w14:textId="77777777" w:rsidR="00CA23FA" w:rsidRPr="001663AE" w:rsidRDefault="00CA23FA" w:rsidP="00D87D91">
      <w:pPr>
        <w:pStyle w:val="3"/>
        <w:rPr>
          <w:lang w:bidi="bn-IN"/>
        </w:rPr>
      </w:pPr>
      <w:r w:rsidRPr="001663AE">
        <w:rPr>
          <w:rFonts w:cs="Arial"/>
          <w:lang w:bidi="bn-IN"/>
        </w:rPr>
        <w:t xml:space="preserve">(1) </w:t>
      </w:r>
      <w:r w:rsidRPr="001663AE">
        <w:rPr>
          <w:lang w:bidi="bn-IN"/>
        </w:rPr>
        <w:t xml:space="preserve">Persons persecuted on political grounds shall have the right of asylum. </w:t>
      </w:r>
    </w:p>
    <w:p w14:paraId="44227488" w14:textId="77777777" w:rsidR="00CA23FA" w:rsidRPr="001663AE" w:rsidRDefault="00CA23FA" w:rsidP="00D87D91">
      <w:pPr>
        <w:pStyle w:val="3"/>
        <w:rPr>
          <w:lang w:bidi="bn-IN"/>
        </w:rPr>
      </w:pPr>
      <w:r w:rsidRPr="001663AE">
        <w:rPr>
          <w:rFonts w:cs="Arial"/>
          <w:lang w:bidi="bn-IN"/>
        </w:rPr>
        <w:t xml:space="preserve">(2) </w:t>
      </w:r>
      <w:r w:rsidRPr="001663AE">
        <w:rPr>
          <w:lang w:bidi="bn-IN"/>
        </w:rPr>
        <w:t>Paragraph</w:t>
      </w:r>
      <w:r>
        <w:rPr>
          <w:lang w:bidi="bn-IN"/>
        </w:rPr>
        <w:t>(</w:t>
      </w:r>
      <w:r w:rsidRPr="001663AE">
        <w:rPr>
          <w:lang w:bidi="bn-IN"/>
        </w:rPr>
        <w:t>1) of this Article may not be invoked by a person who enters the federal territory from a member state of the European Communities or from another third state in which application of the Convention Relating to the Status of Refugees and of the Convention for the Protection of Human Rights and Fundamental Freedoms is assured. The states outside the European Communities to which the criteria of the fi rst sentence of this paragraph apply shall be specifi ed by a law requiring the consent of the Bundesrat. In the cases specified in the fi rst sentence of this paragraph, measures to terminate an applicant’s stay may be implemented without regard to any legal challenge that may have been instituted against them.</w:t>
      </w:r>
    </w:p>
    <w:p w14:paraId="78DD6889" w14:textId="77777777" w:rsidR="00CA23FA" w:rsidRPr="001663AE" w:rsidRDefault="00CA23FA" w:rsidP="00D87D91">
      <w:pPr>
        <w:pStyle w:val="3"/>
        <w:rPr>
          <w:rFonts w:cs="Arial"/>
          <w:lang w:bidi="bn-IN"/>
        </w:rPr>
      </w:pPr>
      <w:r w:rsidRPr="001663AE">
        <w:rPr>
          <w:rFonts w:cs="Arial"/>
          <w:lang w:bidi="bn-IN"/>
        </w:rPr>
        <w:t xml:space="preserve">(3) </w:t>
      </w:r>
      <w:r w:rsidRPr="001663AE">
        <w:rPr>
          <w:lang w:bidi="bn-IN"/>
        </w:rPr>
        <w:t>By a law requiring the consent of the Bundesrat, states may be specifi ed in which, on the basis of their laws, enforcement practices and general political conditions, it can be safely concluded that neither political persecution nor inhuman or degrading punishment or treatment exists. It shall be presumed that a foreigner from such a state is not persecuted, unless he presents evidence justifying the conclusion that, contrary to this presumption, he is persecuted on political grounds.</w:t>
      </w:r>
      <w:r w:rsidRPr="001663AE">
        <w:rPr>
          <w:rFonts w:cs="Arial"/>
          <w:lang w:bidi="bn-IN"/>
        </w:rPr>
        <w:t xml:space="preserve"> </w:t>
      </w:r>
    </w:p>
    <w:p w14:paraId="61003585" w14:textId="77777777" w:rsidR="00CA23FA" w:rsidRPr="001663AE" w:rsidRDefault="00CA23FA" w:rsidP="00D87D91">
      <w:pPr>
        <w:pStyle w:val="3"/>
        <w:rPr>
          <w:lang w:bidi="bn-IN"/>
        </w:rPr>
      </w:pPr>
      <w:r w:rsidRPr="001663AE">
        <w:rPr>
          <w:rFonts w:cs="Arial"/>
          <w:lang w:bidi="bn-IN"/>
        </w:rPr>
        <w:t xml:space="preserve">(4) </w:t>
      </w:r>
      <w:r w:rsidRPr="001663AE">
        <w:rPr>
          <w:lang w:bidi="bn-IN"/>
        </w:rPr>
        <w:t>In the cases specifi ed by paragraph</w:t>
      </w:r>
      <w:r>
        <w:rPr>
          <w:lang w:bidi="bn-IN"/>
        </w:rPr>
        <w:t>(</w:t>
      </w:r>
      <w:r w:rsidRPr="001663AE">
        <w:rPr>
          <w:lang w:bidi="bn-IN"/>
        </w:rPr>
        <w:t>3) of this Article and in other cases that are plainly unfounded or considered to be plainly unfounded, the implementation of measures to terminate an applicant’s stay may be suspended by a court only if serious doubts exist as to their legality; the scope of review may be limited, and tardy objections may be disregarded. Details shall be determined by a law.</w:t>
      </w:r>
    </w:p>
    <w:p w14:paraId="601222EE" w14:textId="77777777" w:rsidR="00CA23FA" w:rsidRPr="001663AE" w:rsidRDefault="00CA23FA" w:rsidP="00D87D91">
      <w:pPr>
        <w:pStyle w:val="3"/>
      </w:pPr>
      <w:r w:rsidRPr="001663AE">
        <w:rPr>
          <w:rFonts w:cs="Arial"/>
          <w:lang w:bidi="bn-IN"/>
        </w:rPr>
        <w:t xml:space="preserve">(5) </w:t>
      </w:r>
      <w:r w:rsidRPr="001663AE">
        <w:rPr>
          <w:lang w:bidi="bn-IN"/>
        </w:rPr>
        <w:t>Paragraphs</w:t>
      </w:r>
      <w:r>
        <w:rPr>
          <w:lang w:bidi="bn-IN"/>
        </w:rPr>
        <w:t>(</w:t>
      </w:r>
      <w:r w:rsidRPr="001663AE">
        <w:rPr>
          <w:lang w:bidi="bn-IN"/>
        </w:rPr>
        <w:t>1) to</w:t>
      </w:r>
      <w:r>
        <w:rPr>
          <w:lang w:bidi="bn-IN"/>
        </w:rPr>
        <w:t>(</w:t>
      </w:r>
      <w:r w:rsidRPr="001663AE">
        <w:rPr>
          <w:lang w:bidi="bn-IN"/>
        </w:rPr>
        <w:t>4) of this Article shall not preclude the conclusion of international agreements of member states of the European Communities with each other or with those third states which, with due regard for the obligations arising from the Convention Relating to the Status of Refugees and the Convention for the Protection of Human Rights and Fundamental Freedoms, whose enforcement must be assured in the contracting states, adopt rules conferring jurisdiction to decide on applications for asylum, including the reciprocal recognition of asylum decisions.</w:t>
      </w:r>
    </w:p>
    <w:p w14:paraId="32D2E8B7" w14:textId="77777777" w:rsidR="00CA23FA" w:rsidRPr="001663AE" w:rsidRDefault="00CA23FA" w:rsidP="00D87D91">
      <w:pPr>
        <w:pStyle w:val="3"/>
      </w:pPr>
    </w:p>
  </w:footnote>
  <w:footnote w:id="1101">
    <w:p w14:paraId="60368FAB" w14:textId="77777777"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 xml:space="preserve">Section 6 – Equality </w:t>
      </w:r>
    </w:p>
    <w:p w14:paraId="28326F23" w14:textId="77777777" w:rsidR="00CA23FA" w:rsidRPr="001663AE" w:rsidRDefault="00CA23FA" w:rsidP="00D87D91">
      <w:pPr>
        <w:pStyle w:val="3"/>
        <w:rPr>
          <w:lang w:bidi="bn-IN"/>
        </w:rPr>
      </w:pPr>
      <w:r w:rsidRPr="005E23E3">
        <w:rPr>
          <w:rFonts w:hint="eastAsia"/>
          <w:lang w:bidi="bn-IN"/>
        </w:rPr>
        <w:t>1</w:t>
      </w:r>
      <w:r w:rsidRPr="005E23E3">
        <w:rPr>
          <w:rFonts w:hint="eastAsia"/>
          <w:lang w:bidi="bn-IN"/>
        </w:rPr>
        <w:t>、</w:t>
      </w:r>
      <w:r w:rsidRPr="001663AE">
        <w:rPr>
          <w:lang w:bidi="bn-IN"/>
        </w:rPr>
        <w:t xml:space="preserve">Everyone is equal before the law. </w:t>
      </w:r>
    </w:p>
    <w:p w14:paraId="31DE474A" w14:textId="77777777" w:rsidR="00CA23FA" w:rsidRPr="001663AE" w:rsidRDefault="00CA23FA" w:rsidP="00D87D91">
      <w:pPr>
        <w:pStyle w:val="3"/>
        <w:rPr>
          <w:lang w:bidi="bn-IN"/>
        </w:rPr>
      </w:pPr>
      <w:r>
        <w:rPr>
          <w:rFonts w:hint="eastAsia"/>
          <w:lang w:bidi="bn-IN"/>
        </w:rPr>
        <w:t>2</w:t>
      </w:r>
      <w:r w:rsidRPr="005E23E3">
        <w:rPr>
          <w:rFonts w:hint="eastAsia"/>
          <w:lang w:bidi="bn-IN"/>
        </w:rPr>
        <w:t>、</w:t>
      </w:r>
      <w:r w:rsidRPr="001663AE">
        <w:rPr>
          <w:lang w:bidi="bn-IN"/>
        </w:rPr>
        <w:t>No one shall, without an acceptable reason, be treated differently from other persons on the ground of sex, age, origin, language, religion, conviction, opinion, health, disability or other reason that concerns his or her person.</w:t>
      </w:r>
    </w:p>
    <w:p w14:paraId="3761B6DA" w14:textId="77777777" w:rsidR="00CA23FA" w:rsidRPr="001663AE" w:rsidRDefault="00CA23FA" w:rsidP="00D87D91">
      <w:pPr>
        <w:pStyle w:val="3"/>
        <w:rPr>
          <w:lang w:bidi="bn-IN"/>
        </w:rPr>
      </w:pPr>
      <w:r>
        <w:rPr>
          <w:rFonts w:hint="eastAsia"/>
          <w:lang w:bidi="bn-IN"/>
        </w:rPr>
        <w:t>3</w:t>
      </w:r>
      <w:r w:rsidRPr="005E23E3">
        <w:rPr>
          <w:rFonts w:hint="eastAsia"/>
          <w:lang w:bidi="bn-IN"/>
        </w:rPr>
        <w:t>、</w:t>
      </w:r>
      <w:r w:rsidRPr="001663AE">
        <w:rPr>
          <w:lang w:bidi="bn-IN"/>
        </w:rPr>
        <w:t>Children shall be treated equally and as individuals and they shall be allowed to influence matters pertaining to themselves to a degree corresponding to their level of development.</w:t>
      </w:r>
    </w:p>
    <w:p w14:paraId="3AB0A249" w14:textId="77777777" w:rsidR="00CA23FA" w:rsidRPr="001663AE" w:rsidRDefault="00CA23FA" w:rsidP="00D87D91">
      <w:pPr>
        <w:pStyle w:val="3"/>
      </w:pPr>
      <w:r>
        <w:rPr>
          <w:rFonts w:hint="eastAsia"/>
          <w:lang w:bidi="bn-IN"/>
        </w:rPr>
        <w:t>4</w:t>
      </w:r>
      <w:r w:rsidRPr="005E23E3">
        <w:rPr>
          <w:rFonts w:hint="eastAsia"/>
          <w:lang w:bidi="bn-IN"/>
        </w:rPr>
        <w:t>、</w:t>
      </w:r>
      <w:r w:rsidRPr="001663AE">
        <w:rPr>
          <w:lang w:bidi="bn-IN"/>
        </w:rPr>
        <w:t>Equality of the sexes is promoted in societal activity and working life, especially in the determination of pay and the other terms of employment, as provided in more detail by an Act.</w:t>
      </w:r>
    </w:p>
    <w:p w14:paraId="254EA33D" w14:textId="77777777" w:rsidR="00CA23FA" w:rsidRPr="001663AE" w:rsidRDefault="00CA23FA" w:rsidP="00D87D91">
      <w:pPr>
        <w:pStyle w:val="af1"/>
      </w:pPr>
    </w:p>
  </w:footnote>
  <w:footnote w:id="1102">
    <w:p w14:paraId="54D91108" w14:textId="77777777"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Section 14 - Electoral and participatory rights</w:t>
      </w:r>
    </w:p>
    <w:p w14:paraId="266F50C0" w14:textId="77777777" w:rsidR="00CA23FA" w:rsidRPr="001663AE" w:rsidRDefault="00CA23FA" w:rsidP="00D87D91">
      <w:pPr>
        <w:pStyle w:val="3"/>
        <w:rPr>
          <w:lang w:bidi="bn-IN"/>
        </w:rPr>
      </w:pPr>
      <w:r w:rsidRPr="001663AE">
        <w:rPr>
          <w:lang w:bidi="bn-IN"/>
        </w:rPr>
        <w:t>14.1 Every Finnish citizen who has reached eighteen years of age has the right to vote in national elections and referendums. Specific provisions in this Constitution shall govern the eligibility to stand for office in national elections.</w:t>
      </w:r>
    </w:p>
    <w:p w14:paraId="17799E5C" w14:textId="77777777" w:rsidR="00CA23FA" w:rsidRPr="001663AE" w:rsidRDefault="00CA23FA" w:rsidP="00D87D91">
      <w:pPr>
        <w:pStyle w:val="3"/>
        <w:rPr>
          <w:lang w:bidi="bn-IN"/>
        </w:rPr>
      </w:pPr>
      <w:r w:rsidRPr="001663AE">
        <w:rPr>
          <w:lang w:bidi="bn-IN"/>
        </w:rPr>
        <w:t>14.2 Every Finnish citizen and every other citizen of the European Union resident in Finland, having attained eighteen years of age, has the right to vote in the European Parliamentary elections, as provided by an Act.</w:t>
      </w:r>
      <w:r>
        <w:rPr>
          <w:lang w:bidi="bn-IN"/>
        </w:rPr>
        <w:t>(</w:t>
      </w:r>
      <w:r w:rsidRPr="001663AE">
        <w:rPr>
          <w:lang w:bidi="bn-IN"/>
        </w:rPr>
        <w:t>1112/2011, entry into force 1.3.2012).</w:t>
      </w:r>
    </w:p>
    <w:p w14:paraId="2FBCE346" w14:textId="77777777" w:rsidR="00CA23FA" w:rsidRPr="001663AE" w:rsidRDefault="00CA23FA" w:rsidP="00D87D91">
      <w:pPr>
        <w:pStyle w:val="3"/>
        <w:rPr>
          <w:lang w:bidi="bn-IN"/>
        </w:rPr>
      </w:pPr>
      <w:r w:rsidRPr="001663AE">
        <w:rPr>
          <w:lang w:bidi="bn-IN"/>
        </w:rPr>
        <w:t>14.3 Every Finnish citizen and every foreigner permanently resident in Finland, having attained eighteen years of age, has the right to vote in municipal elections and municipal referendums, as provided by an Act. Provisions on the right to otherwise participate in municipal government are laid down by an Act.</w:t>
      </w:r>
    </w:p>
    <w:p w14:paraId="7C67C294" w14:textId="77777777" w:rsidR="00CA23FA" w:rsidRPr="001663AE" w:rsidRDefault="00CA23FA" w:rsidP="00D87D91">
      <w:pPr>
        <w:pStyle w:val="3"/>
      </w:pPr>
      <w:r w:rsidRPr="001663AE">
        <w:rPr>
          <w:lang w:bidi="bn-IN"/>
        </w:rPr>
        <w:t>14.4 The public authorities shall promote the opportunities for the individual to participate in societal activity and to influence the decisions that concern him or her.</w:t>
      </w:r>
    </w:p>
    <w:p w14:paraId="33A092EA" w14:textId="77777777" w:rsidR="00CA23FA" w:rsidRPr="001663AE" w:rsidRDefault="00CA23FA" w:rsidP="00D87D91">
      <w:pPr>
        <w:pStyle w:val="3"/>
      </w:pPr>
    </w:p>
  </w:footnote>
  <w:footnote w:id="1103">
    <w:p w14:paraId="3230EB42" w14:textId="77777777"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Fonts w:hint="eastAsia"/>
        </w:rPr>
        <w:t>基本法的第二十條之一：「在透過立法權之合憲秩序範圍內，根據法律以及行政權與司法權所賦與之權力，國家負有為未來之世世代代，保護其生存之自然基本條件，以及各種動物之責任。」，以上，請參閱：王榮輝</w:t>
      </w:r>
      <w:r w:rsidRPr="001663AE">
        <w:t>(2009)</w:t>
      </w:r>
      <w:r w:rsidRPr="001663AE">
        <w:rPr>
          <w:rFonts w:hint="eastAsia"/>
        </w:rPr>
        <w:t>，環保在德國，上網瀏灠時間：</w:t>
      </w:r>
      <w:r w:rsidRPr="001663AE">
        <w:t>2013</w:t>
      </w:r>
      <w:r w:rsidRPr="001663AE">
        <w:rPr>
          <w:rFonts w:hint="eastAsia"/>
        </w:rPr>
        <w:t>年</w:t>
      </w:r>
      <w:r w:rsidRPr="001663AE">
        <w:t>4</w:t>
      </w:r>
      <w:r w:rsidRPr="001663AE">
        <w:rPr>
          <w:rFonts w:hint="eastAsia"/>
        </w:rPr>
        <w:t>月</w:t>
      </w:r>
      <w:r w:rsidRPr="001663AE">
        <w:t>12</w:t>
      </w:r>
      <w:r w:rsidRPr="001663AE">
        <w:rPr>
          <w:rFonts w:hint="eastAsia"/>
        </w:rPr>
        <w:t>日，</w:t>
      </w:r>
      <w:r w:rsidRPr="001663AE">
        <w:t xml:space="preserve"> </w:t>
      </w:r>
      <w:hyperlink r:id="rId342" w:history="1">
        <w:r w:rsidRPr="001663AE">
          <w:rPr>
            <w:rStyle w:val="a5"/>
          </w:rPr>
          <w:t>http://www.goethe.de/ins/cn/lp/kul/mag/umw/cn5099932.htm</w:t>
        </w:r>
      </w:hyperlink>
      <w:r w:rsidRPr="001663AE">
        <w:rPr>
          <w:rFonts w:hint="eastAsia"/>
        </w:rPr>
        <w:t>。</w:t>
      </w:r>
    </w:p>
    <w:p w14:paraId="19BE0B0F" w14:textId="77777777" w:rsidR="00CA23FA" w:rsidRPr="001663AE" w:rsidRDefault="00CA23FA" w:rsidP="00D40983">
      <w:pPr>
        <w:pStyle w:val="3"/>
        <w:jc w:val="left"/>
      </w:pPr>
      <w:r w:rsidRPr="001663AE">
        <w:t>Article 20a [Protection of the natural foundations of life and animals]</w:t>
      </w:r>
      <w:r>
        <w:t>〜</w:t>
      </w:r>
    </w:p>
    <w:p w14:paraId="2ABB0E40" w14:textId="77777777" w:rsidR="00CA23FA" w:rsidRPr="001663AE" w:rsidRDefault="00CA23FA" w:rsidP="00D40983">
      <w:pPr>
        <w:pStyle w:val="3"/>
        <w:jc w:val="left"/>
      </w:pPr>
      <w:r w:rsidRPr="001663AE">
        <w:t>Mindful also of its responsibility toward future generations, the state shall protect the natural foundations of life and animals by legislation and, in accordance with law and justice, by executive and judicial action, all within the framework of the constitutional order.</w:t>
      </w:r>
    </w:p>
  </w:footnote>
  <w:footnote w:id="1104">
    <w:p w14:paraId="651E71E2" w14:textId="77777777" w:rsidR="00CA23FA" w:rsidRPr="001663AE" w:rsidRDefault="00CA23FA" w:rsidP="00D40983">
      <w:pPr>
        <w:pStyle w:val="3"/>
        <w:jc w:val="left"/>
        <w:rPr>
          <w:lang w:bidi="bn-IN"/>
        </w:rPr>
      </w:pPr>
      <w:r w:rsidRPr="001663AE">
        <w:rPr>
          <w:rStyle w:val="af3"/>
          <w:rFonts w:ascii="新細明體" w:hAnsi="新細明體"/>
          <w:szCs w:val="20"/>
        </w:rPr>
        <w:footnoteRef/>
      </w:r>
      <w:r w:rsidRPr="001663AE">
        <w:t xml:space="preserve"> </w:t>
      </w:r>
      <w:r w:rsidRPr="001663AE">
        <w:rPr>
          <w:lang w:bidi="bn-IN"/>
        </w:rPr>
        <w:t>Section 20 - Responsibility for the environment</w:t>
      </w:r>
      <w:r>
        <w:rPr>
          <w:lang w:bidi="bn-IN"/>
        </w:rPr>
        <w:t>〜</w:t>
      </w:r>
    </w:p>
    <w:p w14:paraId="5C03D3A0" w14:textId="77777777" w:rsidR="00CA23FA" w:rsidRPr="001663AE" w:rsidRDefault="00CA23FA" w:rsidP="00D40983">
      <w:pPr>
        <w:pStyle w:val="3"/>
        <w:jc w:val="left"/>
        <w:rPr>
          <w:lang w:bidi="bn-IN"/>
        </w:rPr>
      </w:pPr>
      <w:r w:rsidRPr="001663AE">
        <w:rPr>
          <w:lang w:bidi="bn-IN"/>
        </w:rPr>
        <w:t xml:space="preserve">Nature and its biodiversity, the environment and the national heritage are the responsibility of everyone. </w:t>
      </w:r>
    </w:p>
    <w:p w14:paraId="19DA89E1" w14:textId="77777777" w:rsidR="00CA23FA" w:rsidRPr="001663AE" w:rsidRDefault="00CA23FA" w:rsidP="00D40983">
      <w:pPr>
        <w:pStyle w:val="3"/>
        <w:jc w:val="left"/>
      </w:pPr>
      <w:r w:rsidRPr="001663AE">
        <w:rPr>
          <w:lang w:bidi="bn-IN"/>
        </w:rPr>
        <w:t>The public authorities shall endeavour to guarantee for everyone the right to a healthy environment and for everyone the possibility to influence the decisions that concern their own living environment.</w:t>
      </w:r>
    </w:p>
  </w:footnote>
  <w:footnote w:id="1105">
    <w:p w14:paraId="6FE82DAA" w14:textId="77777777" w:rsidR="00CA23FA" w:rsidRPr="00D40983" w:rsidRDefault="00CA23FA" w:rsidP="00D40983">
      <w:pPr>
        <w:pStyle w:val="3"/>
        <w:jc w:val="left"/>
        <w:rPr>
          <w:szCs w:val="18"/>
        </w:rPr>
      </w:pPr>
      <w:r w:rsidRPr="00D40983">
        <w:rPr>
          <w:rStyle w:val="af3"/>
          <w:rFonts w:ascii="新細明體" w:hAnsi="新細明體"/>
          <w:sz w:val="18"/>
          <w:szCs w:val="18"/>
        </w:rPr>
        <w:footnoteRef/>
      </w:r>
      <w:r w:rsidRPr="00D40983">
        <w:rPr>
          <w:rFonts w:hint="eastAsia"/>
          <w:szCs w:val="18"/>
          <w:lang w:val="en"/>
        </w:rPr>
        <w:t>樂狗</w:t>
      </w:r>
      <w:r w:rsidRPr="00D40983">
        <w:rPr>
          <w:rFonts w:hint="eastAsia"/>
          <w:szCs w:val="18"/>
          <w:lang w:val="en"/>
        </w:rPr>
        <w:t>Love House</w:t>
      </w:r>
      <w:r w:rsidRPr="00D40983">
        <w:rPr>
          <w:rFonts w:hint="eastAsia"/>
          <w:szCs w:val="18"/>
          <w:lang w:val="en"/>
        </w:rPr>
        <w:t>寵物自助澡堂</w:t>
      </w:r>
      <w:r w:rsidRPr="00D40983">
        <w:rPr>
          <w:rFonts w:hint="eastAsia"/>
          <w:szCs w:val="18"/>
          <w:lang w:val="en"/>
        </w:rPr>
        <w:t>(2015)</w:t>
      </w:r>
      <w:r w:rsidRPr="00D40983">
        <w:rPr>
          <w:rFonts w:hint="eastAsia"/>
          <w:szCs w:val="18"/>
          <w:lang w:val="en"/>
        </w:rPr>
        <w:t>，</w:t>
      </w:r>
      <w:r w:rsidRPr="00D40983">
        <w:rPr>
          <w:szCs w:val="18"/>
        </w:rPr>
        <w:t>支持動物權入憲，上網瀏覽時間：</w:t>
      </w:r>
      <w:r w:rsidRPr="00D40983">
        <w:rPr>
          <w:rFonts w:hint="eastAsia"/>
          <w:szCs w:val="18"/>
        </w:rPr>
        <w:t>2015/06/27</w:t>
      </w:r>
      <w:r w:rsidRPr="00D40983">
        <w:rPr>
          <w:rFonts w:hint="eastAsia"/>
          <w:szCs w:val="18"/>
        </w:rPr>
        <w:t>，</w:t>
      </w:r>
      <w:hyperlink r:id="rId343" w:history="1">
        <w:r w:rsidRPr="00D40983">
          <w:rPr>
            <w:rStyle w:val="a5"/>
            <w:sz w:val="18"/>
            <w:szCs w:val="18"/>
          </w:rPr>
          <w:t>https://www.facebook.com/love0909055295/posts/1597840743816106</w:t>
        </w:r>
      </w:hyperlink>
      <w:r w:rsidRPr="00D40983">
        <w:rPr>
          <w:szCs w:val="18"/>
        </w:rPr>
        <w:t>。</w:t>
      </w:r>
    </w:p>
  </w:footnote>
  <w:footnote w:id="1106">
    <w:p w14:paraId="392CC40D" w14:textId="77777777" w:rsidR="00CA23FA" w:rsidRPr="00D40983" w:rsidRDefault="00CA23FA" w:rsidP="00D40983">
      <w:pPr>
        <w:pStyle w:val="3"/>
        <w:rPr>
          <w:szCs w:val="18"/>
        </w:rPr>
      </w:pPr>
      <w:r w:rsidRPr="00D40983">
        <w:rPr>
          <w:rStyle w:val="af3"/>
          <w:rFonts w:ascii="新細明體" w:hAnsi="新細明體"/>
          <w:sz w:val="18"/>
          <w:szCs w:val="18"/>
        </w:rPr>
        <w:footnoteRef/>
      </w:r>
      <w:r w:rsidRPr="00D40983">
        <w:rPr>
          <w:rFonts w:hint="eastAsia"/>
          <w:szCs w:val="18"/>
          <w:lang w:val="en"/>
        </w:rPr>
        <w:t>樂狗</w:t>
      </w:r>
      <w:r w:rsidRPr="00D40983">
        <w:rPr>
          <w:rFonts w:hint="eastAsia"/>
          <w:szCs w:val="18"/>
          <w:lang w:val="en"/>
        </w:rPr>
        <w:t>Love House</w:t>
      </w:r>
      <w:r w:rsidRPr="00D40983">
        <w:rPr>
          <w:rFonts w:hint="eastAsia"/>
          <w:szCs w:val="18"/>
          <w:lang w:val="en"/>
        </w:rPr>
        <w:t>寵物自助澡堂</w:t>
      </w:r>
      <w:r w:rsidRPr="00D40983">
        <w:rPr>
          <w:rFonts w:hint="eastAsia"/>
          <w:szCs w:val="18"/>
          <w:lang w:val="en"/>
        </w:rPr>
        <w:t>(2015)</w:t>
      </w:r>
      <w:r w:rsidRPr="00D40983">
        <w:rPr>
          <w:rFonts w:hint="eastAsia"/>
          <w:szCs w:val="18"/>
          <w:lang w:val="en"/>
        </w:rPr>
        <w:t>，</w:t>
      </w:r>
      <w:r w:rsidRPr="00D40983">
        <w:rPr>
          <w:szCs w:val="18"/>
        </w:rPr>
        <w:t>支持動物權入憲，上網瀏覽時間：</w:t>
      </w:r>
      <w:r w:rsidRPr="00D40983">
        <w:rPr>
          <w:rFonts w:hint="eastAsia"/>
          <w:szCs w:val="18"/>
        </w:rPr>
        <w:t>2015/06/27</w:t>
      </w:r>
      <w:r w:rsidRPr="00D40983">
        <w:rPr>
          <w:rFonts w:hint="eastAsia"/>
          <w:szCs w:val="18"/>
        </w:rPr>
        <w:t>，</w:t>
      </w:r>
      <w:hyperlink r:id="rId344" w:history="1">
        <w:r w:rsidRPr="00D40983">
          <w:rPr>
            <w:rStyle w:val="a5"/>
            <w:sz w:val="18"/>
            <w:szCs w:val="18"/>
          </w:rPr>
          <w:t>https://www.facebook.com/love0909055295/posts/1597840743816106</w:t>
        </w:r>
      </w:hyperlink>
      <w:r w:rsidRPr="00D40983">
        <w:rPr>
          <w:szCs w:val="18"/>
        </w:rPr>
        <w:t>。</w:t>
      </w:r>
    </w:p>
  </w:footnote>
  <w:footnote w:id="1107">
    <w:p w14:paraId="0569F2C7" w14:textId="77777777" w:rsidR="00CA23FA" w:rsidRPr="00D40983" w:rsidRDefault="00CA23FA" w:rsidP="00D40983">
      <w:pPr>
        <w:pStyle w:val="3"/>
        <w:rPr>
          <w:szCs w:val="18"/>
        </w:rPr>
      </w:pPr>
      <w:r w:rsidRPr="00D40983">
        <w:rPr>
          <w:rStyle w:val="af3"/>
          <w:rFonts w:ascii="新細明體" w:hAnsi="新細明體"/>
          <w:sz w:val="18"/>
          <w:szCs w:val="18"/>
        </w:rPr>
        <w:footnoteRef/>
      </w:r>
      <w:r w:rsidRPr="00D40983">
        <w:rPr>
          <w:rFonts w:hint="eastAsia"/>
          <w:szCs w:val="18"/>
        </w:rPr>
        <w:t>世界人權宣言第二十九條：</w:t>
      </w:r>
      <w:r w:rsidRPr="00D40983">
        <w:rPr>
          <w:rFonts w:ascii="MS Mincho" w:eastAsia="MS Mincho" w:hAnsi="MS Mincho" w:cs="MS Mincho" w:hint="eastAsia"/>
          <w:szCs w:val="18"/>
        </w:rPr>
        <w:t>㈠</w:t>
      </w:r>
      <w:r w:rsidRPr="00D40983">
        <w:rPr>
          <w:szCs w:val="18"/>
        </w:rPr>
        <w:t xml:space="preserve"> </w:t>
      </w:r>
      <w:r w:rsidRPr="00D40983">
        <w:rPr>
          <w:rFonts w:hint="eastAsia"/>
          <w:szCs w:val="18"/>
        </w:rPr>
        <w:t>人人對社會負有義務，因為只有在社會中他的個性才可能得到自由和充分的發展。</w:t>
      </w:r>
    </w:p>
  </w:footnote>
  <w:footnote w:id="1108">
    <w:p w14:paraId="4C937DC8" w14:textId="77777777" w:rsidR="00CA23FA" w:rsidRPr="00D40983" w:rsidRDefault="00CA23FA" w:rsidP="00D40983">
      <w:pPr>
        <w:pStyle w:val="3"/>
        <w:rPr>
          <w:rStyle w:val="afc"/>
          <w:rFonts w:ascii="新細明體" w:hAnsi="新細明體"/>
          <w:bCs/>
          <w:szCs w:val="18"/>
        </w:rPr>
      </w:pPr>
      <w:r w:rsidRPr="00D40983">
        <w:rPr>
          <w:rStyle w:val="af3"/>
          <w:rFonts w:ascii="新細明體" w:hAnsi="新細明體"/>
          <w:sz w:val="18"/>
          <w:szCs w:val="18"/>
        </w:rPr>
        <w:footnoteRef/>
      </w:r>
      <w:r w:rsidRPr="00D40983">
        <w:rPr>
          <w:rStyle w:val="afc"/>
          <w:rFonts w:ascii="新細明體" w:hAnsi="新細明體" w:hint="eastAsia"/>
          <w:szCs w:val="18"/>
        </w:rPr>
        <w:t>德意志聯邦共和國基本法</w:t>
      </w:r>
      <w:r w:rsidRPr="00D40983">
        <w:rPr>
          <w:rFonts w:hint="eastAsia"/>
          <w:szCs w:val="18"/>
        </w:rPr>
        <w:t>第二十五條</w:t>
      </w:r>
      <w:r w:rsidRPr="00D40983">
        <w:rPr>
          <w:szCs w:val="18"/>
        </w:rPr>
        <w:t>〜</w:t>
      </w:r>
      <w:r w:rsidRPr="00D40983">
        <w:rPr>
          <w:szCs w:val="18"/>
        </w:rPr>
        <w:t>-</w:t>
      </w:r>
      <w:r w:rsidRPr="00D40983">
        <w:rPr>
          <w:rFonts w:hint="eastAsia"/>
          <w:szCs w:val="18"/>
        </w:rPr>
        <w:t>國際法之一般規則構成聯邦法律之一部分。此等規定之效力在法律上，並對聯邦領土內居民直接發生權利義務。請參閱：朱建民原譯、陳沖、張桐銳、林子平、李震山增譯</w:t>
      </w:r>
      <w:r w:rsidRPr="00D40983">
        <w:rPr>
          <w:szCs w:val="18"/>
        </w:rPr>
        <w:t>(2002)</w:t>
      </w:r>
      <w:r w:rsidRPr="00D40983">
        <w:rPr>
          <w:rFonts w:hint="eastAsia"/>
          <w:szCs w:val="18"/>
        </w:rPr>
        <w:t>，</w:t>
      </w:r>
      <w:r w:rsidRPr="00D40983">
        <w:rPr>
          <w:rStyle w:val="afc"/>
          <w:rFonts w:ascii="新細明體" w:hAnsi="新細明體" w:hint="eastAsia"/>
          <w:szCs w:val="18"/>
        </w:rPr>
        <w:t>德意志聯邦共和國基本法，</w:t>
      </w:r>
      <w:r w:rsidRPr="00D40983">
        <w:rPr>
          <w:rFonts w:hint="eastAsia"/>
          <w:szCs w:val="18"/>
        </w:rPr>
        <w:t>上網瀏灠時間：</w:t>
      </w:r>
      <w:r w:rsidRPr="00D40983">
        <w:rPr>
          <w:szCs w:val="18"/>
        </w:rPr>
        <w:t>2013</w:t>
      </w:r>
      <w:r w:rsidRPr="00D40983">
        <w:rPr>
          <w:rFonts w:hint="eastAsia"/>
          <w:szCs w:val="18"/>
        </w:rPr>
        <w:t>年</w:t>
      </w:r>
      <w:r w:rsidRPr="00D40983">
        <w:rPr>
          <w:szCs w:val="18"/>
        </w:rPr>
        <w:t>7</w:t>
      </w:r>
      <w:r w:rsidRPr="00D40983">
        <w:rPr>
          <w:rFonts w:hint="eastAsia"/>
          <w:szCs w:val="18"/>
        </w:rPr>
        <w:t>月</w:t>
      </w:r>
      <w:r w:rsidRPr="00D40983">
        <w:rPr>
          <w:szCs w:val="18"/>
        </w:rPr>
        <w:t>23</w:t>
      </w:r>
      <w:r w:rsidRPr="00D40983">
        <w:rPr>
          <w:rFonts w:hint="eastAsia"/>
          <w:szCs w:val="18"/>
        </w:rPr>
        <w:t>日，</w:t>
      </w:r>
      <w:hyperlink r:id="rId345" w:history="1">
        <w:r w:rsidRPr="00D40983">
          <w:rPr>
            <w:rStyle w:val="a5"/>
            <w:sz w:val="18"/>
            <w:szCs w:val="18"/>
          </w:rPr>
          <w:t>http://www.judicial.gov.tw/db/db04/%E5%BE%B7%E6%84%8F%E5%BF%97%E8%81%AF%E9%82%A6%E5%85%B1%E5%92%8C%E5%9C%8B%E5%9F%BA%E6%9C%AC%E6%B3%95.doc</w:t>
        </w:r>
      </w:hyperlink>
      <w:r w:rsidRPr="00D40983">
        <w:rPr>
          <w:rStyle w:val="afc"/>
          <w:rFonts w:ascii="新細明體" w:hAnsi="新細明體" w:hint="eastAsia"/>
          <w:szCs w:val="18"/>
        </w:rPr>
        <w:t>。</w:t>
      </w:r>
      <w:r w:rsidRPr="00D40983">
        <w:rPr>
          <w:rStyle w:val="afc"/>
          <w:rFonts w:ascii="新細明體" w:hAnsi="新細明體"/>
          <w:szCs w:val="18"/>
        </w:rPr>
        <w:t xml:space="preserve"> </w:t>
      </w:r>
    </w:p>
    <w:p w14:paraId="514D320E" w14:textId="77777777" w:rsidR="00CA23FA" w:rsidRPr="00D40983" w:rsidRDefault="00CA23FA" w:rsidP="00D40983">
      <w:pPr>
        <w:pStyle w:val="3"/>
        <w:rPr>
          <w:b/>
        </w:rPr>
      </w:pPr>
      <w:r w:rsidRPr="00D40983">
        <w:rPr>
          <w:rStyle w:val="afc"/>
          <w:rFonts w:ascii="新細明體" w:hAnsi="新細明體"/>
          <w:b w:val="0"/>
          <w:szCs w:val="18"/>
        </w:rPr>
        <w:t>Article 25 [Primacy of international law] 〜--The general rules of international law shall be an integral part of federal law. They shall take precedence over the laws and directly create rights and duties for the inhabitants of the federal territory.</w:t>
      </w:r>
    </w:p>
  </w:footnote>
  <w:footnote w:id="1109">
    <w:p w14:paraId="1986191B" w14:textId="77777777"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Fonts w:hint="eastAsia"/>
        </w:rPr>
        <w:t>此等之最高統治者，均擁有無限上揚之權力，及缺乏監控最高統治者之機制，然而絕對之權力，易造成絕對之獨裁與濫權，恐將國家推向滅亡之路。</w:t>
      </w:r>
    </w:p>
  </w:footnote>
  <w:footnote w:id="1110">
    <w:p w14:paraId="487DE85D" w14:textId="77777777" w:rsidR="00CA23FA" w:rsidRPr="001663AE" w:rsidRDefault="00CA23FA" w:rsidP="00D40983">
      <w:pPr>
        <w:pStyle w:val="3"/>
        <w:jc w:val="left"/>
      </w:pPr>
      <w:r w:rsidRPr="001663AE">
        <w:rPr>
          <w:rStyle w:val="af3"/>
          <w:rFonts w:ascii="新細明體" w:hAnsi="新細明體"/>
        </w:rPr>
        <w:footnoteRef/>
      </w:r>
      <w:r w:rsidRPr="001663AE">
        <w:rPr>
          <w:rFonts w:hint="eastAsia"/>
        </w:rPr>
        <w:t>維基百科，昭和天皇，上網瀏時間：</w:t>
      </w:r>
      <w:r w:rsidRPr="001663AE">
        <w:t>2015/02/09</w:t>
      </w:r>
      <w:r w:rsidRPr="001663AE">
        <w:rPr>
          <w:rFonts w:hint="eastAsia"/>
        </w:rPr>
        <w:t>，</w:t>
      </w:r>
      <w:hyperlink r:id="rId346" w:history="1">
        <w:r w:rsidRPr="001663AE">
          <w:rPr>
            <w:rStyle w:val="a5"/>
          </w:rPr>
          <w:t>http://zh.wikipedia.org/wiki/%E6%98%AD%E5%92%8C%E5%A4%A9%E7%9A%87</w:t>
        </w:r>
      </w:hyperlink>
      <w:r w:rsidRPr="001663AE">
        <w:rPr>
          <w:rFonts w:hint="eastAsia"/>
        </w:rPr>
        <w:t>。</w:t>
      </w:r>
    </w:p>
  </w:footnote>
  <w:footnote w:id="1111">
    <w:p w14:paraId="21482389" w14:textId="77777777" w:rsidR="00CA23FA" w:rsidRPr="001663AE" w:rsidRDefault="00CA23FA" w:rsidP="00D40983">
      <w:pPr>
        <w:pStyle w:val="3"/>
        <w:jc w:val="left"/>
      </w:pPr>
      <w:r w:rsidRPr="001663AE">
        <w:rPr>
          <w:rStyle w:val="af3"/>
          <w:rFonts w:ascii="新細明體" w:hAnsi="新細明體"/>
        </w:rPr>
        <w:footnoteRef/>
      </w:r>
      <w:r w:rsidRPr="001663AE">
        <w:rPr>
          <w:rFonts w:hint="eastAsia"/>
        </w:rPr>
        <w:t>多維</w:t>
      </w:r>
      <w:r w:rsidRPr="001663AE">
        <w:t>(2014)</w:t>
      </w:r>
      <w:r w:rsidRPr="001663AE">
        <w:rPr>
          <w:rFonts w:hint="eastAsia"/>
        </w:rPr>
        <w:t>，日軍自述南京大屠殺暴行：殺人時感覺如殺豬，上網瀏覽時間：</w:t>
      </w:r>
      <w:r w:rsidRPr="001663AE">
        <w:t>2015/02/09</w:t>
      </w:r>
      <w:r w:rsidRPr="001663AE">
        <w:rPr>
          <w:rFonts w:hint="eastAsia"/>
        </w:rPr>
        <w:t>，</w:t>
      </w:r>
      <w:hyperlink r:id="rId347" w:history="1">
        <w:r w:rsidRPr="001663AE">
          <w:rPr>
            <w:rStyle w:val="a5"/>
          </w:rPr>
          <w:t>http://www.naol.cc/news/world/2014/12/13-1.htm</w:t>
        </w:r>
      </w:hyperlink>
      <w:r w:rsidRPr="001663AE">
        <w:rPr>
          <w:rFonts w:hint="eastAsia"/>
        </w:rPr>
        <w:t>。</w:t>
      </w:r>
    </w:p>
  </w:footnote>
  <w:footnote w:id="1112">
    <w:p w14:paraId="6787F9E3" w14:textId="77777777" w:rsidR="00CA23FA" w:rsidRPr="001663AE" w:rsidRDefault="00CA23FA" w:rsidP="00D40983">
      <w:pPr>
        <w:pStyle w:val="3"/>
        <w:jc w:val="left"/>
      </w:pPr>
      <w:r w:rsidRPr="001663AE">
        <w:rPr>
          <w:rStyle w:val="af3"/>
          <w:rFonts w:ascii="新細明體" w:hAnsi="新細明體"/>
          <w:szCs w:val="20"/>
        </w:rPr>
        <w:footnoteRef/>
      </w:r>
      <w:r w:rsidRPr="001663AE">
        <w:rPr>
          <w:rFonts w:hint="eastAsia"/>
        </w:rPr>
        <w:t xml:space="preserve"> </w:t>
      </w:r>
      <w:r w:rsidRPr="001663AE">
        <w:rPr>
          <w:rFonts w:hint="eastAsia"/>
        </w:rPr>
        <w:t>明治</w:t>
      </w:r>
      <w:r w:rsidRPr="001663AE">
        <w:t>22</w:t>
      </w:r>
      <w:r w:rsidRPr="001663AE">
        <w:rPr>
          <w:rFonts w:hint="eastAsia"/>
        </w:rPr>
        <w:t>年（</w:t>
      </w:r>
      <w:r w:rsidRPr="001663AE">
        <w:t>1889</w:t>
      </w:r>
      <w:r w:rsidRPr="001663AE">
        <w:rPr>
          <w:rFonts w:hint="eastAsia"/>
        </w:rPr>
        <w:t>年）頒佈的《大日本帝國憲法》中，涉及天皇之權力，如下所述：</w:t>
      </w:r>
    </w:p>
    <w:p w14:paraId="668A5F5E" w14:textId="77777777" w:rsidR="00CA23FA" w:rsidRPr="001663AE" w:rsidRDefault="00CA23FA" w:rsidP="00D40983">
      <w:pPr>
        <w:pStyle w:val="3"/>
        <w:jc w:val="left"/>
      </w:pPr>
      <w:r w:rsidRPr="001663AE">
        <w:rPr>
          <w:rFonts w:hint="eastAsia"/>
        </w:rPr>
        <w:t>第一章天皇</w:t>
      </w:r>
    </w:p>
    <w:p w14:paraId="6579742F" w14:textId="77777777" w:rsidR="00CA23FA" w:rsidRPr="001663AE" w:rsidRDefault="00CA23FA" w:rsidP="00D40983">
      <w:pPr>
        <w:pStyle w:val="3"/>
        <w:jc w:val="left"/>
      </w:pPr>
      <w:r w:rsidRPr="001663AE">
        <w:rPr>
          <w:rFonts w:hint="eastAsia"/>
        </w:rPr>
        <w:t xml:space="preserve">　　第一條大日本帝國，由萬世一系之天皇統治之。</w:t>
      </w:r>
    </w:p>
    <w:p w14:paraId="7F6B2382" w14:textId="77777777" w:rsidR="00CA23FA" w:rsidRPr="001663AE" w:rsidRDefault="00CA23FA" w:rsidP="00D40983">
      <w:pPr>
        <w:pStyle w:val="3"/>
        <w:jc w:val="left"/>
      </w:pPr>
      <w:r w:rsidRPr="001663AE">
        <w:rPr>
          <w:rFonts w:hint="eastAsia"/>
        </w:rPr>
        <w:t xml:space="preserve">　　第二條皇位，依皇宗典範之規定，由皇族男系子孫繼承之。</w:t>
      </w:r>
    </w:p>
    <w:p w14:paraId="4C3E3CC5" w14:textId="77777777" w:rsidR="00CA23FA" w:rsidRPr="001663AE" w:rsidRDefault="00CA23FA" w:rsidP="00D40983">
      <w:pPr>
        <w:pStyle w:val="3"/>
        <w:jc w:val="left"/>
      </w:pPr>
      <w:r w:rsidRPr="001663AE">
        <w:rPr>
          <w:rFonts w:hint="eastAsia"/>
        </w:rPr>
        <w:t xml:space="preserve">　　第三條天皇神聖不可侵犯。</w:t>
      </w:r>
    </w:p>
    <w:p w14:paraId="0AAE25DD" w14:textId="77777777" w:rsidR="00CA23FA" w:rsidRPr="001663AE" w:rsidRDefault="00CA23FA" w:rsidP="00D40983">
      <w:pPr>
        <w:pStyle w:val="3"/>
        <w:jc w:val="left"/>
      </w:pPr>
      <w:r w:rsidRPr="001663AE">
        <w:rPr>
          <w:rFonts w:hint="eastAsia"/>
        </w:rPr>
        <w:t xml:space="preserve">　　第四條天皇為國家元首，總攬統治權，依本憲法規定實行之。</w:t>
      </w:r>
    </w:p>
    <w:p w14:paraId="55EF5006" w14:textId="77777777" w:rsidR="00CA23FA" w:rsidRPr="001663AE" w:rsidRDefault="00CA23FA" w:rsidP="00D40983">
      <w:pPr>
        <w:pStyle w:val="3"/>
        <w:jc w:val="left"/>
      </w:pPr>
      <w:r w:rsidRPr="001663AE">
        <w:rPr>
          <w:rFonts w:hint="eastAsia"/>
        </w:rPr>
        <w:t xml:space="preserve">　　第五條天皇依帝國議會之協贊，行使立法權。</w:t>
      </w:r>
    </w:p>
    <w:p w14:paraId="58DDCD9F" w14:textId="77777777" w:rsidR="00CA23FA" w:rsidRPr="001663AE" w:rsidRDefault="00CA23FA" w:rsidP="00D87D91">
      <w:pPr>
        <w:pStyle w:val="3"/>
      </w:pPr>
      <w:r w:rsidRPr="001663AE">
        <w:rPr>
          <w:rFonts w:hint="eastAsia"/>
        </w:rPr>
        <w:t xml:space="preserve">　　第六條天皇批准法律，命其公布及執行。</w:t>
      </w:r>
    </w:p>
    <w:p w14:paraId="502625A0" w14:textId="77777777" w:rsidR="00CA23FA" w:rsidRPr="001663AE" w:rsidRDefault="00CA23FA" w:rsidP="00D87D91">
      <w:pPr>
        <w:pStyle w:val="3"/>
      </w:pPr>
      <w:r w:rsidRPr="001663AE">
        <w:rPr>
          <w:rFonts w:hint="eastAsia"/>
        </w:rPr>
        <w:t xml:space="preserve">　　第七條天皇召集帝國議會，其開會、閉會、停會及眾議院之解散，皆以天皇之命行之。</w:t>
      </w:r>
    </w:p>
    <w:p w14:paraId="627E554C" w14:textId="77777777" w:rsidR="00CA23FA" w:rsidRPr="001663AE" w:rsidRDefault="00CA23FA" w:rsidP="00D87D91">
      <w:pPr>
        <w:pStyle w:val="3"/>
      </w:pPr>
      <w:r w:rsidRPr="001663AE">
        <w:rPr>
          <w:rFonts w:hint="eastAsia"/>
        </w:rPr>
        <w:t xml:space="preserve">　　第八條天皇為保持公共之安全或避免災厄，依緊急之需要，於帝國議會閉會期間，可發布代法律之敷令。</w:t>
      </w:r>
    </w:p>
    <w:p w14:paraId="239B2D36" w14:textId="77777777" w:rsidR="00CA23FA" w:rsidRPr="001663AE" w:rsidRDefault="00CA23FA" w:rsidP="00D87D91">
      <w:pPr>
        <w:pStyle w:val="3"/>
      </w:pPr>
      <w:r w:rsidRPr="001663AE">
        <w:rPr>
          <w:rFonts w:hint="eastAsia"/>
        </w:rPr>
        <w:t xml:space="preserve">　　此敷令應於下次會期提交帝國議會，若議會不承諾時，政府應公布其將失去效力。</w:t>
      </w:r>
    </w:p>
    <w:p w14:paraId="132239FA" w14:textId="77777777" w:rsidR="00CA23FA" w:rsidRPr="001663AE" w:rsidRDefault="00CA23FA" w:rsidP="00D87D91">
      <w:pPr>
        <w:pStyle w:val="3"/>
      </w:pPr>
      <w:r w:rsidRPr="005E23E3">
        <w:rPr>
          <w:rFonts w:hint="eastAsia"/>
        </w:rPr>
        <w:t xml:space="preserve">　　第九條天皇為執行法律或保持公共安寧秩序</w:t>
      </w:r>
      <w:r w:rsidRPr="005E23E3">
        <w:t xml:space="preserve"> </w:t>
      </w:r>
      <w:r w:rsidRPr="005E23E3">
        <w:rPr>
          <w:rFonts w:hint="eastAsia"/>
        </w:rPr>
        <w:t>及增進臣民之幸福，得發布或使令政府發布</w:t>
      </w:r>
      <w:r w:rsidRPr="001663AE">
        <w:rPr>
          <w:rFonts w:hint="eastAsia"/>
        </w:rPr>
        <w:t>必要之命令，但不得以命令改變法律。</w:t>
      </w:r>
    </w:p>
    <w:p w14:paraId="2316D8A1" w14:textId="77777777" w:rsidR="00CA23FA" w:rsidRPr="001663AE" w:rsidRDefault="00CA23FA" w:rsidP="00D87D91">
      <w:pPr>
        <w:pStyle w:val="3"/>
      </w:pPr>
      <w:r w:rsidRPr="001663AE">
        <w:rPr>
          <w:rFonts w:hint="eastAsia"/>
        </w:rPr>
        <w:t xml:space="preserve">　　第十條天皇規定行政部門之官制及文武官員之傣給，任免文武官員</w:t>
      </w:r>
      <w:r w:rsidRPr="001663AE">
        <w:t xml:space="preserve"> </w:t>
      </w:r>
      <w:r w:rsidRPr="001663AE">
        <w:rPr>
          <w:rFonts w:hint="eastAsia"/>
        </w:rPr>
        <w:t>，</w:t>
      </w:r>
      <w:r w:rsidRPr="001663AE">
        <w:t xml:space="preserve"> </w:t>
      </w:r>
      <w:r w:rsidRPr="001663AE">
        <w:rPr>
          <w:rFonts w:hint="eastAsia"/>
        </w:rPr>
        <w:t>但本憲法及其他法律有特殊規定者有特殊規定者，須各依其規定。</w:t>
      </w:r>
    </w:p>
    <w:p w14:paraId="3E8163CB" w14:textId="77777777" w:rsidR="00CA23FA" w:rsidRPr="001663AE" w:rsidRDefault="00CA23FA" w:rsidP="00D87D91">
      <w:pPr>
        <w:pStyle w:val="3"/>
      </w:pPr>
      <w:r w:rsidRPr="001663AE">
        <w:rPr>
          <w:rFonts w:hint="eastAsia"/>
        </w:rPr>
        <w:t xml:space="preserve">　　第十一條天皇統率陸海軍。</w:t>
      </w:r>
    </w:p>
    <w:p w14:paraId="04DE2B48" w14:textId="77777777" w:rsidR="00CA23FA" w:rsidRPr="001663AE" w:rsidRDefault="00CA23FA" w:rsidP="00D87D91">
      <w:pPr>
        <w:pStyle w:val="3"/>
      </w:pPr>
      <w:r w:rsidRPr="001663AE">
        <w:rPr>
          <w:rFonts w:hint="eastAsia"/>
        </w:rPr>
        <w:t xml:space="preserve">　　第十二條天皇規定陸海軍之編制及常備兵額。</w:t>
      </w:r>
    </w:p>
    <w:p w14:paraId="5A2F1609" w14:textId="77777777" w:rsidR="00CA23FA" w:rsidRPr="001663AE" w:rsidRDefault="00CA23FA" w:rsidP="00D87D91">
      <w:pPr>
        <w:pStyle w:val="3"/>
      </w:pPr>
      <w:r w:rsidRPr="001663AE">
        <w:rPr>
          <w:rFonts w:hint="eastAsia"/>
        </w:rPr>
        <w:t xml:space="preserve">　　第十三條天皇宣戰娟和及締結各項條約。</w:t>
      </w:r>
    </w:p>
    <w:p w14:paraId="5B6D4FE7" w14:textId="77777777" w:rsidR="00CA23FA" w:rsidRPr="001663AE" w:rsidRDefault="00CA23FA" w:rsidP="00D87D91">
      <w:pPr>
        <w:pStyle w:val="3"/>
      </w:pPr>
      <w:r w:rsidRPr="001663AE">
        <w:rPr>
          <w:rFonts w:hint="eastAsia"/>
        </w:rPr>
        <w:t xml:space="preserve">　　第十四條天皇宣告戒嚴。</w:t>
      </w:r>
    </w:p>
    <w:p w14:paraId="0B9F3BB2" w14:textId="77777777" w:rsidR="00CA23FA" w:rsidRPr="001663AE" w:rsidRDefault="00CA23FA" w:rsidP="00D87D91">
      <w:pPr>
        <w:pStyle w:val="3"/>
      </w:pPr>
      <w:r w:rsidRPr="001663AE">
        <w:rPr>
          <w:rFonts w:hint="eastAsia"/>
        </w:rPr>
        <w:t xml:space="preserve">　　戒嚴要件及效力，由法律規定之。</w:t>
      </w:r>
    </w:p>
    <w:p w14:paraId="76C1C8EB" w14:textId="77777777" w:rsidR="00CA23FA" w:rsidRPr="001663AE" w:rsidRDefault="00CA23FA" w:rsidP="00D87D91">
      <w:pPr>
        <w:pStyle w:val="3"/>
      </w:pPr>
      <w:r w:rsidRPr="001663AE">
        <w:rPr>
          <w:rFonts w:hint="eastAsia"/>
        </w:rPr>
        <w:t xml:space="preserve">　　第十五條天皇授與爵位、勳章及其他榮典。</w:t>
      </w:r>
    </w:p>
    <w:p w14:paraId="0345D47D" w14:textId="77777777" w:rsidR="00CA23FA" w:rsidRPr="001663AE" w:rsidRDefault="00CA23FA" w:rsidP="00D87D91">
      <w:pPr>
        <w:pStyle w:val="3"/>
      </w:pPr>
      <w:r w:rsidRPr="001663AE">
        <w:rPr>
          <w:rFonts w:hint="eastAsia"/>
        </w:rPr>
        <w:t xml:space="preserve">　　第十六條天皇命令大赦、特赦、減刑及複權。</w:t>
      </w:r>
    </w:p>
    <w:p w14:paraId="28F56F4B" w14:textId="77777777" w:rsidR="00CA23FA" w:rsidRPr="001663AE" w:rsidRDefault="00CA23FA" w:rsidP="00D87D91">
      <w:pPr>
        <w:pStyle w:val="3"/>
      </w:pPr>
      <w:r w:rsidRPr="001663AE">
        <w:rPr>
          <w:rFonts w:hint="eastAsia"/>
        </w:rPr>
        <w:t xml:space="preserve">　　第十七條置攝政依皇室典範之規定。</w:t>
      </w:r>
    </w:p>
    <w:p w14:paraId="6ABB4658" w14:textId="77777777" w:rsidR="00CA23FA" w:rsidRPr="001663AE" w:rsidRDefault="00CA23FA" w:rsidP="00D87D91">
      <w:pPr>
        <w:pStyle w:val="3"/>
      </w:pPr>
      <w:r w:rsidRPr="001663AE">
        <w:rPr>
          <w:rFonts w:hint="eastAsia"/>
        </w:rPr>
        <w:t xml:space="preserve">　　攝政以天皇名義行使大權。</w:t>
      </w:r>
    </w:p>
    <w:p w14:paraId="2D86945B" w14:textId="77777777" w:rsidR="00CA23FA" w:rsidRPr="001663AE" w:rsidRDefault="00CA23FA" w:rsidP="00D87D91">
      <w:pPr>
        <w:pStyle w:val="af1"/>
      </w:pPr>
    </w:p>
  </w:footnote>
  <w:footnote w:id="1113">
    <w:p w14:paraId="1EF6409A"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多維</w:t>
      </w:r>
      <w:r w:rsidRPr="001663AE">
        <w:t>(2014)</w:t>
      </w:r>
      <w:r w:rsidRPr="001663AE">
        <w:rPr>
          <w:rFonts w:hint="eastAsia"/>
        </w:rPr>
        <w:t>，日軍自述南京大屠殺暴行：殺人時感覺如殺豬，上網瀏覽時間：</w:t>
      </w:r>
      <w:r w:rsidRPr="001663AE">
        <w:t>2015/02/09</w:t>
      </w:r>
      <w:r w:rsidRPr="001663AE">
        <w:rPr>
          <w:rFonts w:hint="eastAsia"/>
        </w:rPr>
        <w:t>，</w:t>
      </w:r>
      <w:hyperlink r:id="rId348" w:history="1">
        <w:r w:rsidRPr="001663AE">
          <w:rPr>
            <w:rStyle w:val="a5"/>
          </w:rPr>
          <w:t>http://www.naol.cc/news/world/2014/12/13-1.htm</w:t>
        </w:r>
      </w:hyperlink>
      <w:r w:rsidRPr="001663AE">
        <w:rPr>
          <w:rFonts w:hint="eastAsia"/>
        </w:rPr>
        <w:t>。</w:t>
      </w:r>
    </w:p>
  </w:footnote>
  <w:footnote w:id="1114">
    <w:p w14:paraId="681909BE"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多維</w:t>
      </w:r>
      <w:r w:rsidRPr="001663AE">
        <w:t>(2014)</w:t>
      </w:r>
      <w:r w:rsidRPr="001663AE">
        <w:rPr>
          <w:rFonts w:hint="eastAsia"/>
        </w:rPr>
        <w:t>，日軍自述南京大屠殺暴行：殺人時感覺如殺豬，上網瀏覽時間：</w:t>
      </w:r>
      <w:r w:rsidRPr="001663AE">
        <w:t>2015/02/09</w:t>
      </w:r>
      <w:r w:rsidRPr="001663AE">
        <w:rPr>
          <w:rFonts w:hint="eastAsia"/>
        </w:rPr>
        <w:t>，</w:t>
      </w:r>
      <w:hyperlink r:id="rId349" w:history="1">
        <w:r w:rsidRPr="001663AE">
          <w:rPr>
            <w:rStyle w:val="a5"/>
          </w:rPr>
          <w:t>http://www.naol.cc/news/world/2014/12/13-1.htm</w:t>
        </w:r>
      </w:hyperlink>
      <w:r w:rsidRPr="001663AE">
        <w:rPr>
          <w:rFonts w:hint="eastAsia"/>
        </w:rPr>
        <w:t>。</w:t>
      </w:r>
      <w:r w:rsidRPr="0065661E">
        <w:rPr>
          <w:rFonts w:hint="eastAsia"/>
          <w:color w:val="FFFFFF" w:themeColor="background1"/>
          <w:sz w:val="22"/>
        </w:rPr>
        <w:t>◇◆</w:t>
      </w:r>
    </w:p>
  </w:footnote>
  <w:footnote w:id="1115">
    <w:p w14:paraId="2397A7E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多維</w:t>
      </w:r>
      <w:r w:rsidRPr="001663AE">
        <w:t>(2014)</w:t>
      </w:r>
      <w:r w:rsidRPr="001663AE">
        <w:rPr>
          <w:rFonts w:hint="eastAsia"/>
        </w:rPr>
        <w:t>，日軍自述南京大屠殺暴行：殺人時感覺如殺豬，上網瀏覽時間：</w:t>
      </w:r>
      <w:r w:rsidRPr="001663AE">
        <w:t>2015/02/09</w:t>
      </w:r>
      <w:r w:rsidRPr="001663AE">
        <w:rPr>
          <w:rFonts w:hint="eastAsia"/>
        </w:rPr>
        <w:t>，</w:t>
      </w:r>
      <w:hyperlink r:id="rId350" w:history="1">
        <w:r w:rsidRPr="001663AE">
          <w:rPr>
            <w:rStyle w:val="a5"/>
          </w:rPr>
          <w:t>http://www.naol.cc/news/world/2014/12/13-1.htm</w:t>
        </w:r>
      </w:hyperlink>
      <w:r w:rsidRPr="001663AE">
        <w:rPr>
          <w:rFonts w:hint="eastAsia"/>
        </w:rPr>
        <w:t>。</w:t>
      </w:r>
    </w:p>
  </w:footnote>
  <w:footnote w:id="1116">
    <w:p w14:paraId="0C10EF49"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請參閱：憲法增修條文第</w:t>
      </w:r>
      <w:r w:rsidRPr="001663AE">
        <w:t>2</w:t>
      </w:r>
      <w:r w:rsidRPr="001663AE">
        <w:rPr>
          <w:rFonts w:hint="eastAsia"/>
        </w:rPr>
        <w:t>條第</w:t>
      </w:r>
      <w:r w:rsidRPr="001663AE">
        <w:t>10</w:t>
      </w:r>
      <w:r w:rsidRPr="001663AE">
        <w:rPr>
          <w:rFonts w:hint="eastAsia"/>
        </w:rPr>
        <w:t>項、文第</w:t>
      </w:r>
      <w:r w:rsidRPr="001663AE">
        <w:t>4</w:t>
      </w:r>
      <w:r w:rsidRPr="001663AE">
        <w:rPr>
          <w:rFonts w:hint="eastAsia"/>
        </w:rPr>
        <w:t>條第</w:t>
      </w:r>
      <w:r w:rsidRPr="001663AE">
        <w:t>7</w:t>
      </w:r>
      <w:r w:rsidRPr="001663AE">
        <w:rPr>
          <w:rFonts w:hint="eastAsia"/>
        </w:rPr>
        <w:t>項。</w:t>
      </w:r>
    </w:p>
  </w:footnote>
  <w:footnote w:id="1117">
    <w:p w14:paraId="00B87700" w14:textId="77777777"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Fonts w:hint="eastAsia"/>
        </w:rPr>
        <w:t>Japan yahoo(2015)</w:t>
      </w:r>
      <w:r w:rsidRPr="001663AE">
        <w:rPr>
          <w:rFonts w:hint="eastAsia"/>
        </w:rPr>
        <w:t>，</w:t>
      </w:r>
      <w:r w:rsidRPr="001663AE">
        <w:t>6</w:t>
      </w:r>
      <w:r w:rsidRPr="001663AE">
        <w:rPr>
          <w:rFonts w:hint="eastAsia"/>
        </w:rPr>
        <w:t>時間目内閣</w:t>
      </w:r>
      <w:r w:rsidRPr="001663AE">
        <w:rPr>
          <w:rFonts w:hint="eastAsia"/>
          <w:lang w:eastAsia="ja-JP"/>
        </w:rPr>
        <w:t>，上網瀏覽時間：</w:t>
      </w:r>
      <w:r w:rsidRPr="001663AE">
        <w:rPr>
          <w:rFonts w:hint="eastAsia"/>
        </w:rPr>
        <w:t>2015/07/15</w:t>
      </w:r>
      <w:r w:rsidRPr="001663AE">
        <w:rPr>
          <w:rFonts w:hint="eastAsia"/>
        </w:rPr>
        <w:t>，</w:t>
      </w:r>
      <w:hyperlink r:id="rId351" w:history="1">
        <w:r w:rsidRPr="001663AE">
          <w:rPr>
            <w:rStyle w:val="a5"/>
            <w:bCs w:val="0"/>
          </w:rPr>
          <w:t>http://www.sangiin.go.jp/japanese/kids/html/shikumi/index.html</w:t>
        </w:r>
      </w:hyperlink>
      <w:r w:rsidRPr="001663AE">
        <w:t>。</w:t>
      </w:r>
    </w:p>
  </w:footnote>
  <w:footnote w:id="1118">
    <w:p w14:paraId="3FB9E64F" w14:textId="77777777" w:rsidR="00CA23FA" w:rsidRPr="001663AE" w:rsidRDefault="00CA23FA" w:rsidP="00D40983">
      <w:pPr>
        <w:pStyle w:val="3"/>
        <w:jc w:val="left"/>
      </w:pPr>
      <w:r w:rsidRPr="001663AE">
        <w:rPr>
          <w:rStyle w:val="af3"/>
          <w:rFonts w:ascii="新細明體" w:hAnsi="新細明體"/>
          <w:szCs w:val="20"/>
        </w:rPr>
        <w:footnoteRef/>
      </w:r>
      <w:r w:rsidRPr="001663AE">
        <w:rPr>
          <w:rFonts w:hint="eastAsia"/>
        </w:rPr>
        <w:t xml:space="preserve"> Japan yahoo(2015)</w:t>
      </w:r>
      <w:r w:rsidRPr="001663AE">
        <w:rPr>
          <w:rFonts w:hint="eastAsia"/>
        </w:rPr>
        <w:t>，</w:t>
      </w:r>
      <w:r w:rsidRPr="001663AE">
        <w:t>6</w:t>
      </w:r>
      <w:r w:rsidRPr="001663AE">
        <w:rPr>
          <w:rFonts w:hint="eastAsia"/>
        </w:rPr>
        <w:t>時間目内閣</w:t>
      </w:r>
      <w:r w:rsidRPr="001663AE">
        <w:rPr>
          <w:rFonts w:hint="eastAsia"/>
          <w:lang w:eastAsia="ja-JP"/>
        </w:rPr>
        <w:t>，上網瀏覽時間：</w:t>
      </w:r>
      <w:r w:rsidRPr="001663AE">
        <w:rPr>
          <w:rFonts w:hint="eastAsia"/>
        </w:rPr>
        <w:t>2015/07/15</w:t>
      </w:r>
      <w:r w:rsidRPr="001663AE">
        <w:rPr>
          <w:rFonts w:hint="eastAsia"/>
        </w:rPr>
        <w:t>，</w:t>
      </w:r>
      <w:hyperlink r:id="rId352" w:history="1">
        <w:r w:rsidRPr="001663AE">
          <w:rPr>
            <w:rStyle w:val="a5"/>
            <w:bCs w:val="0"/>
            <w:szCs w:val="20"/>
          </w:rPr>
          <w:t>http://www.sangiin.go.jp/japanese/kids/html/shikumi/index.html</w:t>
        </w:r>
      </w:hyperlink>
      <w:r w:rsidRPr="001663AE">
        <w:t>。</w:t>
      </w:r>
      <w:r w:rsidRPr="001663AE">
        <w:rPr>
          <w:rFonts w:hint="eastAsia"/>
        </w:rPr>
        <w:t xml:space="preserve"> </w:t>
      </w:r>
    </w:p>
  </w:footnote>
  <w:footnote w:id="1119">
    <w:p w14:paraId="59C53E17"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謝瑞智、謝世維</w:t>
      </w:r>
      <w:r w:rsidRPr="001663AE">
        <w:rPr>
          <w:rFonts w:hint="eastAsia"/>
        </w:rPr>
        <w:t>(2010)</w:t>
      </w:r>
      <w:r w:rsidRPr="001663AE">
        <w:rPr>
          <w:rFonts w:hint="eastAsia"/>
        </w:rPr>
        <w:t>，憲法概要，增訂</w:t>
      </w:r>
      <w:r w:rsidRPr="001663AE">
        <w:rPr>
          <w:rFonts w:hint="eastAsia"/>
        </w:rPr>
        <w:t>14</w:t>
      </w:r>
      <w:r w:rsidRPr="001663AE">
        <w:rPr>
          <w:rFonts w:hint="eastAsia"/>
        </w:rPr>
        <w:t>版，台北：文笙書局，第</w:t>
      </w:r>
      <w:r w:rsidRPr="001663AE">
        <w:rPr>
          <w:rFonts w:hint="eastAsia"/>
        </w:rPr>
        <w:t>161~162</w:t>
      </w:r>
      <w:r w:rsidRPr="001663AE">
        <w:rPr>
          <w:rFonts w:hint="eastAsia"/>
        </w:rPr>
        <w:t>頁。</w:t>
      </w:r>
    </w:p>
  </w:footnote>
  <w:footnote w:id="1120">
    <w:p w14:paraId="7EEBD20B" w14:textId="77777777"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蔡宗珍</w:t>
      </w:r>
      <w:r w:rsidRPr="001663AE">
        <w:rPr>
          <w:rFonts w:hint="eastAsia"/>
        </w:rPr>
        <w:t>(2006)</w:t>
      </w:r>
      <w:r w:rsidRPr="001663AE">
        <w:rPr>
          <w:rFonts w:hint="eastAsia"/>
        </w:rPr>
        <w:t>，中央政府體制改革的選擇（法理篇），收錄於憲改方向盤，台北：五南，第</w:t>
      </w:r>
      <w:r w:rsidRPr="001663AE">
        <w:rPr>
          <w:rFonts w:hint="eastAsia"/>
        </w:rPr>
        <w:t>94~95</w:t>
      </w:r>
      <w:r w:rsidRPr="001663AE">
        <w:rPr>
          <w:rFonts w:hint="eastAsia"/>
        </w:rPr>
        <w:t>頁。</w:t>
      </w:r>
    </w:p>
  </w:footnote>
  <w:footnote w:id="1121">
    <w:p w14:paraId="37E5DA18" w14:textId="77777777" w:rsidR="00CA23FA" w:rsidRPr="001663AE" w:rsidRDefault="00CA23FA" w:rsidP="00D87D91">
      <w:pPr>
        <w:pStyle w:val="3"/>
      </w:pPr>
      <w:r w:rsidRPr="001663AE">
        <w:rPr>
          <w:rStyle w:val="af3"/>
          <w:rFonts w:ascii="新細明體" w:hAnsi="新細明體"/>
          <w:szCs w:val="20"/>
        </w:rPr>
        <w:footnoteRef/>
      </w:r>
      <w:r w:rsidRPr="001663AE">
        <w:rPr>
          <w:rFonts w:cs="DFHeiMedium-B5" w:hint="eastAsia"/>
        </w:rPr>
        <w:t>周陽山</w:t>
      </w:r>
      <w:r w:rsidRPr="001663AE">
        <w:rPr>
          <w:rFonts w:cs="DFHeiMedium-B5" w:hint="eastAsia"/>
        </w:rPr>
        <w:t>(2006)</w:t>
      </w:r>
      <w:r w:rsidRPr="001663AE">
        <w:rPr>
          <w:rFonts w:cs="DFHeiMedium-B5" w:hint="eastAsia"/>
        </w:rPr>
        <w:t>，</w:t>
      </w:r>
      <w:r w:rsidRPr="001663AE">
        <w:rPr>
          <w:rFonts w:cs="DFLiHei-Bd" w:hint="eastAsia"/>
        </w:rPr>
        <w:t>修憲正當性與內容規劃</w:t>
      </w:r>
      <w:r w:rsidRPr="001663AE">
        <w:rPr>
          <w:rFonts w:cs="DFHeiMedium-B5" w:hint="eastAsia"/>
        </w:rPr>
        <w:t xml:space="preserve"> </w:t>
      </w:r>
      <w:r w:rsidRPr="001663AE">
        <w:rPr>
          <w:rFonts w:cs="DFHeiMedium-B5" w:hint="eastAsia"/>
        </w:rPr>
        <w:t>，</w:t>
      </w:r>
      <w:r w:rsidRPr="001663AE">
        <w:rPr>
          <w:rFonts w:hint="eastAsia"/>
        </w:rPr>
        <w:t>新世紀智庫論壇第</w:t>
      </w:r>
      <w:r w:rsidRPr="001663AE">
        <w:rPr>
          <w:rFonts w:cs="Arial"/>
        </w:rPr>
        <w:t>34</w:t>
      </w:r>
      <w:r w:rsidRPr="001663AE">
        <w:rPr>
          <w:rFonts w:hint="eastAsia"/>
        </w:rPr>
        <w:t>期，第</w:t>
      </w:r>
      <w:r w:rsidRPr="001663AE">
        <w:rPr>
          <w:rFonts w:hint="eastAsia"/>
        </w:rPr>
        <w:t>62-63</w:t>
      </w:r>
      <w:r w:rsidRPr="001663AE">
        <w:rPr>
          <w:rFonts w:hint="eastAsia"/>
        </w:rPr>
        <w:t>頁。</w:t>
      </w:r>
    </w:p>
  </w:footnote>
  <w:footnote w:id="1122">
    <w:p w14:paraId="07ECAC5B" w14:textId="77777777" w:rsidR="00CA23FA" w:rsidRPr="001663AE" w:rsidRDefault="00CA23FA" w:rsidP="00D87D91">
      <w:pPr>
        <w:pStyle w:val="3"/>
      </w:pPr>
      <w:r w:rsidRPr="001663AE">
        <w:rPr>
          <w:rStyle w:val="af3"/>
          <w:rFonts w:ascii="新細明體" w:hAnsi="新細明體"/>
          <w:szCs w:val="20"/>
        </w:rPr>
        <w:footnoteRef/>
      </w:r>
      <w:r w:rsidRPr="001663AE">
        <w:rPr>
          <w:rFonts w:cs="DFHeiMedium-B5" w:hint="eastAsia"/>
        </w:rPr>
        <w:t>周陽山</w:t>
      </w:r>
      <w:r w:rsidRPr="001663AE">
        <w:rPr>
          <w:rFonts w:cs="DFHeiMedium-B5" w:hint="eastAsia"/>
        </w:rPr>
        <w:t>(2006)</w:t>
      </w:r>
      <w:r w:rsidRPr="001663AE">
        <w:rPr>
          <w:rFonts w:cs="DFHeiMedium-B5" w:hint="eastAsia"/>
        </w:rPr>
        <w:t>，</w:t>
      </w:r>
      <w:r w:rsidRPr="001663AE">
        <w:rPr>
          <w:rFonts w:cs="DFLiHei-Bd" w:hint="eastAsia"/>
        </w:rPr>
        <w:t>修憲正當性與內容規劃</w:t>
      </w:r>
      <w:r w:rsidRPr="001663AE">
        <w:rPr>
          <w:rFonts w:cs="DFHeiMedium-B5" w:hint="eastAsia"/>
        </w:rPr>
        <w:t xml:space="preserve"> </w:t>
      </w:r>
      <w:r w:rsidRPr="001663AE">
        <w:rPr>
          <w:rFonts w:cs="DFHeiMedium-B5" w:hint="eastAsia"/>
        </w:rPr>
        <w:t>，</w:t>
      </w:r>
      <w:r w:rsidRPr="001663AE">
        <w:rPr>
          <w:rFonts w:hint="eastAsia"/>
        </w:rPr>
        <w:t>新世紀智庫論壇第</w:t>
      </w:r>
      <w:r w:rsidRPr="001663AE">
        <w:rPr>
          <w:rFonts w:cs="Arial"/>
        </w:rPr>
        <w:t>34</w:t>
      </w:r>
      <w:r w:rsidRPr="001663AE">
        <w:rPr>
          <w:rFonts w:hint="eastAsia"/>
        </w:rPr>
        <w:t>期，第</w:t>
      </w:r>
      <w:r w:rsidRPr="001663AE">
        <w:rPr>
          <w:rFonts w:hint="eastAsia"/>
        </w:rPr>
        <w:t>62-63</w:t>
      </w:r>
      <w:r w:rsidRPr="001663AE">
        <w:rPr>
          <w:rFonts w:hint="eastAsia"/>
        </w:rPr>
        <w:t>頁。</w:t>
      </w:r>
    </w:p>
  </w:footnote>
  <w:footnote w:id="1123">
    <w:p w14:paraId="1D9CC62C" w14:textId="77777777" w:rsidR="00CA23FA" w:rsidRPr="001663AE" w:rsidRDefault="00CA23FA" w:rsidP="00D87D91">
      <w:pPr>
        <w:pStyle w:val="3"/>
      </w:pPr>
      <w:r w:rsidRPr="001663AE">
        <w:rPr>
          <w:rStyle w:val="af3"/>
          <w:rFonts w:ascii="新細明體" w:hAnsi="新細明體"/>
        </w:rPr>
        <w:footnoteRef/>
      </w:r>
      <w:r w:rsidRPr="001663AE">
        <w:rPr>
          <w:rFonts w:hint="eastAsia"/>
        </w:rPr>
        <w:t>陳志華</w:t>
      </w:r>
      <w:r w:rsidRPr="001663AE">
        <w:t>(2012)</w:t>
      </w:r>
      <w:r w:rsidRPr="001663AE">
        <w:rPr>
          <w:rFonts w:hint="eastAsia"/>
        </w:rPr>
        <w:t>，中華民國憲法概要，修訂</w:t>
      </w:r>
      <w:r w:rsidRPr="001663AE">
        <w:t>5</w:t>
      </w:r>
      <w:r w:rsidRPr="001663AE">
        <w:rPr>
          <w:rFonts w:hint="eastAsia"/>
        </w:rPr>
        <w:t>版，臺北市：三民公司，頁</w:t>
      </w:r>
      <w:r w:rsidRPr="001663AE">
        <w:t>1-383</w:t>
      </w:r>
      <w:r w:rsidRPr="001663AE">
        <w:rPr>
          <w:rFonts w:hint="eastAsia"/>
        </w:rPr>
        <w:t>。</w:t>
      </w:r>
    </w:p>
  </w:footnote>
  <w:footnote w:id="1124">
    <w:p w14:paraId="226B58C8" w14:textId="77777777" w:rsidR="00CA23FA" w:rsidRPr="001663AE" w:rsidRDefault="00CA23FA" w:rsidP="00D87D91">
      <w:pPr>
        <w:pStyle w:val="3"/>
      </w:pPr>
      <w:r w:rsidRPr="001663AE">
        <w:rPr>
          <w:rStyle w:val="af3"/>
          <w:rFonts w:ascii="新細明體" w:hAnsi="新細明體"/>
          <w:szCs w:val="20"/>
        </w:rPr>
        <w:footnoteRef/>
      </w:r>
      <w:r w:rsidRPr="001663AE">
        <w:t xml:space="preserve">The Constitution of the United States of America </w:t>
      </w:r>
      <w:hyperlink r:id="rId353" w:history="1">
        <w:r w:rsidRPr="001663AE">
          <w:rPr>
            <w:rStyle w:val="a5"/>
            <w:szCs w:val="20"/>
          </w:rPr>
          <w:t>Article I</w:t>
        </w:r>
      </w:hyperlink>
      <w:r w:rsidRPr="001663AE">
        <w:t xml:space="preserve"> [The Legislative Branch]Sec. 5.</w:t>
      </w:r>
      <w:r>
        <w:t>(</w:t>
      </w:r>
      <w:r w:rsidRPr="001663AE">
        <w:t>2) Each House may determine the rules of its proceedings,punish its members for disorderly behavior, and, with the</w:t>
      </w:r>
      <w:r w:rsidRPr="001663AE">
        <w:rPr>
          <w:rFonts w:hint="eastAsia"/>
        </w:rPr>
        <w:t xml:space="preserve"> </w:t>
      </w:r>
      <w:r w:rsidRPr="001663AE">
        <w:t>concurrence of two-thirds of the whole number, expel a member.</w:t>
      </w:r>
      <w:r w:rsidRPr="001663AE">
        <w:rPr>
          <w:rFonts w:hint="eastAsia"/>
        </w:rPr>
        <w:t xml:space="preserve"> </w:t>
      </w:r>
    </w:p>
  </w:footnote>
  <w:footnote w:id="1125">
    <w:p w14:paraId="0B39BF7C" w14:textId="77777777" w:rsidR="00CA23FA" w:rsidRPr="001663AE" w:rsidRDefault="00CA23FA" w:rsidP="00D87D91">
      <w:pPr>
        <w:pStyle w:val="3"/>
      </w:pPr>
      <w:r w:rsidRPr="001663AE">
        <w:rPr>
          <w:rStyle w:val="af3"/>
          <w:rFonts w:ascii="新細明體" w:hAnsi="新細明體"/>
          <w:szCs w:val="20"/>
        </w:rPr>
        <w:footnoteRef/>
      </w:r>
      <w:r w:rsidRPr="001663AE">
        <w:rPr>
          <w:lang w:eastAsia="ja-JP"/>
        </w:rPr>
        <w:t>日本国憲法</w:t>
      </w:r>
      <w:r w:rsidRPr="001663AE">
        <w:rPr>
          <w:rFonts w:hint="eastAsia"/>
        </w:rPr>
        <w:t>(</w:t>
      </w:r>
      <w:r w:rsidRPr="001663AE">
        <w:rPr>
          <w:lang w:eastAsia="ja-JP"/>
        </w:rPr>
        <w:t>The Constitution of Japan</w:t>
      </w:r>
      <w:r w:rsidRPr="001663AE">
        <w:rPr>
          <w:rFonts w:hint="eastAsia"/>
        </w:rPr>
        <w:t>)</w:t>
      </w:r>
      <w:r w:rsidRPr="001663AE">
        <w:rPr>
          <w:lang w:eastAsia="ja-JP"/>
        </w:rPr>
        <w:t>第五十八条</w:t>
      </w:r>
    </w:p>
    <w:p w14:paraId="4173AED2" w14:textId="77777777" w:rsidR="00CA23FA" w:rsidRPr="001663AE" w:rsidRDefault="00CA23FA" w:rsidP="00D87D91">
      <w:pPr>
        <w:pStyle w:val="3"/>
        <w:rPr>
          <w:lang w:eastAsia="ja-JP"/>
        </w:rPr>
      </w:pPr>
      <w:r w:rsidRPr="001663AE">
        <w:rPr>
          <w:lang w:eastAsia="ja-JP"/>
        </w:rPr>
        <w:t>両議院は、各</w:t>
      </w:r>
      <w:r w:rsidRPr="001663AE">
        <w:rPr>
          <w:rFonts w:cs="MS Mincho" w:hint="eastAsia"/>
          <w:lang w:eastAsia="ja-JP"/>
        </w:rPr>
        <w:t>々</w:t>
      </w:r>
      <w:r w:rsidRPr="001663AE">
        <w:rPr>
          <w:lang w:eastAsia="ja-JP"/>
        </w:rPr>
        <w:t>その議長その他の役員を選任する。</w:t>
      </w:r>
    </w:p>
    <w:p w14:paraId="0E067FAA" w14:textId="77777777" w:rsidR="00CA23FA" w:rsidRPr="001663AE" w:rsidRDefault="00CA23FA" w:rsidP="00D87D91">
      <w:pPr>
        <w:pStyle w:val="3"/>
      </w:pPr>
      <w:r w:rsidRPr="001663AE">
        <w:t>Article 58.</w:t>
      </w:r>
      <w:r w:rsidRPr="001663AE">
        <w:t xml:space="preserve">　</w:t>
      </w:r>
      <w:r w:rsidRPr="001663AE">
        <w:t>Each House shall select its own president and other officials.</w:t>
      </w:r>
    </w:p>
    <w:p w14:paraId="2A5C5A47" w14:textId="77777777" w:rsidR="00CA23FA" w:rsidRPr="001663AE" w:rsidRDefault="00CA23FA" w:rsidP="00D87D91">
      <w:pPr>
        <w:pStyle w:val="3"/>
        <w:rPr>
          <w:lang w:eastAsia="ja-JP"/>
        </w:rPr>
      </w:pPr>
      <w:r w:rsidRPr="001663AE">
        <w:rPr>
          <w:lang w:eastAsia="ja-JP"/>
        </w:rPr>
        <w:t>両議院は、各</w:t>
      </w:r>
      <w:r w:rsidRPr="001663AE">
        <w:rPr>
          <w:rFonts w:cs="MS Mincho" w:hint="eastAsia"/>
          <w:lang w:eastAsia="ja-JP"/>
        </w:rPr>
        <w:t>々</w:t>
      </w:r>
      <w:r w:rsidRPr="001663AE">
        <w:rPr>
          <w:lang w:eastAsia="ja-JP"/>
        </w:rPr>
        <w:t>その会議その他の手続及び内部の規律に関する規則を定め、又、院内の秩序をみだした議員を懲罰することができる。但し、議員を除名するには、出席議員の三分の二以上の多数による議決を必要とする。</w:t>
      </w:r>
    </w:p>
    <w:p w14:paraId="34000E24" w14:textId="77777777" w:rsidR="00CA23FA" w:rsidRPr="001663AE" w:rsidRDefault="00CA23FA" w:rsidP="00D40983">
      <w:pPr>
        <w:pStyle w:val="3"/>
      </w:pPr>
      <w:r w:rsidRPr="001663AE">
        <w:t>Each House shall establish its rules pertaining to meetings, proceedings and internal discipline, and may punish members for disorderly conduct. However, in order to expel a member, a majority of two-thirds or more of those members present must pass a resolution thereon.</w:t>
      </w:r>
    </w:p>
  </w:footnote>
  <w:footnote w:id="1126">
    <w:p w14:paraId="012B4556" w14:textId="77777777"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Article 61[Impeachment before the Federal Constitutional Court]</w:t>
      </w:r>
    </w:p>
    <w:p w14:paraId="740FA7F1" w14:textId="77777777" w:rsidR="00CA23FA" w:rsidRPr="001663AE" w:rsidRDefault="00CA23FA" w:rsidP="00D87D91">
      <w:pPr>
        <w:pStyle w:val="3"/>
        <w:rPr>
          <w:lang w:bidi="bn-IN"/>
        </w:rPr>
      </w:pPr>
      <w:r w:rsidRPr="001663AE">
        <w:rPr>
          <w:lang w:bidi="bn-IN"/>
        </w:rPr>
        <w:t>(1) The Bundestag or the Bundesrat may impeach the Federal President before the Federal Constitutional Court for willful violation of this Basic Law or of any other federal law. The motion of impeachment must be supported by at least one quarter of the Members of the Bundestag or one quarter of the votes of the Bundesrat. The decision to impeach shall require a majority of two thirds of the Members of the Bundestag or of two thirds of the votes of the Bundesrat. The case for impeachment shall be presented before the Federal Constitutional Court by a person commissioned by the impeaching body.</w:t>
      </w:r>
    </w:p>
    <w:p w14:paraId="17AAAF22" w14:textId="77777777" w:rsidR="00CA23FA" w:rsidRPr="005E23E3" w:rsidRDefault="00CA23FA" w:rsidP="00D87D91">
      <w:pPr>
        <w:pStyle w:val="3"/>
        <w:rPr>
          <w:rFonts w:cs="細明體_HKSCS"/>
        </w:rPr>
      </w:pPr>
      <w:r w:rsidRPr="001663AE">
        <w:rPr>
          <w:lang w:bidi="bn-IN"/>
        </w:rPr>
        <w:t>(2) If the Federal Constitutional Court finds the Federal President guilty of a wilful violation of this Basic Law or of any other federal law, it may declare that he has forfeited his office. After the Federal President has been impeached, the Court may issue an interim order preventing him from exercising his functions.</w:t>
      </w:r>
    </w:p>
  </w:footnote>
  <w:footnote w:id="1127">
    <w:p w14:paraId="0A0D5DA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lang w:bidi="bn-IN"/>
        </w:rPr>
        <w:t>the Bundestag</w:t>
      </w:r>
      <w:r w:rsidRPr="001663AE">
        <w:rPr>
          <w:rFonts w:hint="eastAsia"/>
          <w:lang w:bidi="bn-IN"/>
        </w:rPr>
        <w:t>乃指聯邦眾議會。</w:t>
      </w:r>
    </w:p>
  </w:footnote>
  <w:footnote w:id="1128">
    <w:p w14:paraId="3DCDBEC2"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lang w:bidi="bn-IN"/>
        </w:rPr>
        <w:t>the Bundesrat</w:t>
      </w:r>
      <w:r w:rsidRPr="001663AE">
        <w:rPr>
          <w:rFonts w:hint="eastAsia"/>
          <w:lang w:bidi="bn-IN"/>
        </w:rPr>
        <w:t>乃指聯邦參議會。</w:t>
      </w:r>
    </w:p>
  </w:footnote>
  <w:footnote w:id="1129">
    <w:p w14:paraId="191BE714" w14:textId="77777777" w:rsidR="00CA23FA" w:rsidRPr="001663AE" w:rsidRDefault="00CA23FA" w:rsidP="00D40983">
      <w:pPr>
        <w:pStyle w:val="3"/>
        <w:jc w:val="left"/>
      </w:pPr>
      <w:r w:rsidRPr="001663AE">
        <w:rPr>
          <w:rStyle w:val="af3"/>
          <w:rFonts w:ascii="新細明體" w:hAnsi="新細明體"/>
          <w:szCs w:val="20"/>
        </w:rPr>
        <w:footnoteRef/>
      </w:r>
      <w:r w:rsidRPr="001663AE">
        <w:rPr>
          <w:rFonts w:hint="eastAsia"/>
        </w:rPr>
        <w:t>德國憲法法院</w:t>
      </w:r>
      <w:r w:rsidRPr="001663AE">
        <w:t>(Bundesverfassungsgericht</w:t>
      </w:r>
      <w:r w:rsidRPr="001663AE">
        <w:rPr>
          <w:rFonts w:hint="eastAsia"/>
        </w:rPr>
        <w:t>，簡稱</w:t>
      </w:r>
      <w:r w:rsidRPr="001663AE">
        <w:t>BVerfG</w:t>
      </w:r>
      <w:r w:rsidRPr="001663AE">
        <w:rPr>
          <w:rFonts w:hint="eastAsia"/>
        </w:rPr>
        <w:t>）法官之產生，在實務運作上，由德國聯邦參議院和德國聯邦議會</w:t>
      </w:r>
      <w:r w:rsidRPr="001663AE">
        <w:t>(</w:t>
      </w:r>
      <w:r w:rsidRPr="001663AE">
        <w:rPr>
          <w:rFonts w:hint="eastAsia"/>
        </w:rPr>
        <w:t>院</w:t>
      </w:r>
      <w:r w:rsidRPr="001663AE">
        <w:t>)</w:t>
      </w:r>
      <w:r w:rsidRPr="001663AE">
        <w:rPr>
          <w:rFonts w:hint="eastAsia"/>
        </w:rPr>
        <w:t>推選產生。聯邦憲法法院共有法官</w:t>
      </w:r>
      <w:r w:rsidRPr="001663AE">
        <w:t>16</w:t>
      </w:r>
      <w:r w:rsidRPr="001663AE">
        <w:rPr>
          <w:rFonts w:hint="eastAsia"/>
        </w:rPr>
        <w:t>名，須分別經由聯邦議院和聯邦參議院所有議員三分之二的多數通過，各推選出</w:t>
      </w:r>
      <w:r w:rsidRPr="001663AE">
        <w:t>8</w:t>
      </w:r>
      <w:r w:rsidRPr="001663AE">
        <w:rPr>
          <w:rFonts w:hint="eastAsia"/>
        </w:rPr>
        <w:t>名。以上，請參閱：維基百科</w:t>
      </w:r>
      <w:r w:rsidRPr="001663AE">
        <w:t>(2013)</w:t>
      </w:r>
      <w:r w:rsidRPr="001663AE">
        <w:rPr>
          <w:rFonts w:hint="eastAsia"/>
        </w:rPr>
        <w:t>，聯邦憲法法院，上網瀏灠時間：</w:t>
      </w:r>
      <w:r w:rsidRPr="001663AE">
        <w:t>2013</w:t>
      </w:r>
      <w:r w:rsidRPr="001663AE">
        <w:rPr>
          <w:rFonts w:hint="eastAsia"/>
        </w:rPr>
        <w:t>年</w:t>
      </w:r>
      <w:r w:rsidRPr="001663AE">
        <w:t>7</w:t>
      </w:r>
      <w:r w:rsidRPr="001663AE">
        <w:rPr>
          <w:rFonts w:hint="eastAsia"/>
        </w:rPr>
        <w:t>月</w:t>
      </w:r>
      <w:r w:rsidRPr="001663AE">
        <w:t>3</w:t>
      </w:r>
      <w:r w:rsidRPr="001663AE">
        <w:rPr>
          <w:rFonts w:hint="eastAsia"/>
        </w:rPr>
        <w:t>日，</w:t>
      </w:r>
      <w:hyperlink r:id="rId354" w:history="1">
        <w:r w:rsidRPr="001663AE">
          <w:rPr>
            <w:rStyle w:val="a5"/>
            <w:szCs w:val="20"/>
          </w:rPr>
          <w:t>http://zh.wikipedia.org/wiki/%E5%BE%B7%E5%9B%BD%E8%81%94%E9%82%A6%E5%AE%AA%E6%B3%95%E6%B3%95%E9%99%A2</w:t>
        </w:r>
      </w:hyperlink>
      <w:r w:rsidRPr="001663AE">
        <w:rPr>
          <w:rFonts w:hint="eastAsia"/>
        </w:rPr>
        <w:t>。</w:t>
      </w:r>
    </w:p>
    <w:p w14:paraId="5E7CB27F" w14:textId="77777777" w:rsidR="00CA23FA" w:rsidRPr="001663AE" w:rsidRDefault="00CA23FA" w:rsidP="00D40983">
      <w:pPr>
        <w:pStyle w:val="3"/>
        <w:jc w:val="left"/>
        <w:rPr>
          <w:lang w:eastAsia="zh-Hans"/>
        </w:rPr>
      </w:pPr>
      <w:r w:rsidRPr="001663AE">
        <w:t>Article 94 [Composition of the Federal Constitutional Court]</w:t>
      </w:r>
      <w:r>
        <w:t>〜</w:t>
      </w:r>
    </w:p>
    <w:p w14:paraId="70D88FDF" w14:textId="77777777" w:rsidR="00CA23FA" w:rsidRPr="001663AE" w:rsidRDefault="00CA23FA" w:rsidP="00D40983">
      <w:pPr>
        <w:pStyle w:val="3"/>
        <w:jc w:val="left"/>
      </w:pPr>
      <w:r w:rsidRPr="001663AE">
        <w:t>(1) The Federal Constitutional Court shall consist of federal judges and other members. Half the members of the Federal Constitutional Court shall be elected by the Bundestag and half by the Bundesrat. They may not be members of the Bundestag, of the Bundesrat, of the Federal Government, or of any of the corresponding bodies of a Land.</w:t>
      </w:r>
      <w:r w:rsidRPr="001663AE">
        <w:rPr>
          <w:lang w:eastAsia="zh-Hans"/>
        </w:rPr>
        <w:t xml:space="preserve"> </w:t>
      </w:r>
    </w:p>
  </w:footnote>
  <w:footnote w:id="1130">
    <w:p w14:paraId="3F1440C5" w14:textId="77777777"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Fonts w:hint="eastAsia"/>
        </w:rPr>
        <w:t>陳淑芳</w:t>
      </w:r>
      <w:r w:rsidRPr="001663AE">
        <w:t>(2003)</w:t>
      </w:r>
      <w:r w:rsidRPr="001663AE">
        <w:rPr>
          <w:rFonts w:hint="eastAsia"/>
        </w:rPr>
        <w:t>，德國聯邦憲法法院法官之選任，月旦法學雜誌</w:t>
      </w:r>
      <w:r w:rsidRPr="001663AE">
        <w:t>101</w:t>
      </w:r>
      <w:r w:rsidRPr="001663AE">
        <w:rPr>
          <w:rFonts w:hint="eastAsia"/>
        </w:rPr>
        <w:t>期。</w:t>
      </w:r>
    </w:p>
  </w:footnote>
  <w:footnote w:id="1131">
    <w:p w14:paraId="070588A2" w14:textId="77777777"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Style w:val="watch-title"/>
          <w:rFonts w:ascii="新細明體" w:hAnsi="新細明體" w:hint="eastAsia"/>
          <w:kern w:val="36"/>
          <w:lang w:val="en"/>
        </w:rPr>
        <w:t>You Tube(2015)，</w:t>
      </w:r>
      <w:r w:rsidRPr="001663AE">
        <w:rPr>
          <w:rStyle w:val="watch-title"/>
          <w:rFonts w:ascii="新細明體" w:hAnsi="新細明體"/>
          <w:kern w:val="36"/>
          <w:lang w:val="en"/>
        </w:rPr>
        <w:t>馬提名大法官人選</w:t>
      </w:r>
      <w:r w:rsidRPr="001663AE">
        <w:rPr>
          <w:rStyle w:val="watch-title"/>
          <w:rFonts w:ascii="新細明體" w:hAnsi="新細明體" w:hint="eastAsia"/>
          <w:kern w:val="36"/>
          <w:lang w:val="en"/>
        </w:rPr>
        <w:t>--</w:t>
      </w:r>
      <w:r w:rsidRPr="001663AE">
        <w:rPr>
          <w:rStyle w:val="watch-title"/>
          <w:rFonts w:ascii="新細明體" w:hAnsi="新細明體"/>
          <w:kern w:val="36"/>
          <w:lang w:val="en"/>
        </w:rPr>
        <w:t>專業大法官？酬庸大法官？上網瀏覽時間：</w:t>
      </w:r>
      <w:r w:rsidRPr="001663AE">
        <w:rPr>
          <w:rStyle w:val="watch-title"/>
          <w:rFonts w:ascii="新細明體" w:hAnsi="新細明體" w:hint="eastAsia"/>
          <w:kern w:val="36"/>
          <w:lang w:val="en"/>
        </w:rPr>
        <w:t>2015/07/10，</w:t>
      </w:r>
      <w:hyperlink r:id="rId355" w:history="1">
        <w:r w:rsidRPr="001663AE">
          <w:rPr>
            <w:rStyle w:val="a5"/>
            <w:kern w:val="36"/>
            <w:lang w:val="en"/>
          </w:rPr>
          <w:t>https://www.youtube.com/watch?v=YrQq9XK8nLg</w:t>
        </w:r>
      </w:hyperlink>
      <w:r w:rsidRPr="001663AE">
        <w:rPr>
          <w:rStyle w:val="watch-title"/>
          <w:rFonts w:ascii="新細明體" w:hAnsi="新細明體"/>
          <w:kern w:val="36"/>
          <w:lang w:val="en"/>
        </w:rPr>
        <w:t>。</w:t>
      </w:r>
    </w:p>
  </w:footnote>
  <w:footnote w:id="1132">
    <w:p w14:paraId="7A5751C4" w14:textId="77777777" w:rsidR="00CA23FA" w:rsidRPr="001663AE" w:rsidRDefault="00CA23FA" w:rsidP="00D40983">
      <w:pPr>
        <w:pStyle w:val="3"/>
        <w:jc w:val="left"/>
        <w:rPr>
          <w:kern w:val="0"/>
        </w:rPr>
      </w:pPr>
      <w:r w:rsidRPr="001663AE">
        <w:rPr>
          <w:rStyle w:val="af3"/>
          <w:rFonts w:ascii="新細明體" w:hAnsi="新細明體"/>
          <w:szCs w:val="20"/>
        </w:rPr>
        <w:footnoteRef/>
      </w:r>
      <w:r w:rsidRPr="001663AE">
        <w:rPr>
          <w:rFonts w:hint="eastAsia"/>
        </w:rPr>
        <w:t>德國聯邦憲法法院法</w:t>
      </w:r>
      <w:r w:rsidRPr="001663AE">
        <w:rPr>
          <w:rFonts w:hint="eastAsia"/>
          <w:kern w:val="0"/>
        </w:rPr>
        <w:t>第二條　（分庭）</w:t>
      </w:r>
    </w:p>
    <w:p w14:paraId="02E8BEC6" w14:textId="77777777" w:rsidR="00CA23FA" w:rsidRPr="001663AE" w:rsidRDefault="00CA23FA" w:rsidP="00D40983">
      <w:pPr>
        <w:pStyle w:val="3"/>
        <w:jc w:val="left"/>
      </w:pPr>
      <w:r w:rsidRPr="001663AE">
        <w:rPr>
          <w:rFonts w:hint="eastAsia"/>
        </w:rPr>
        <w:t>聯邦憲法法院由兩庭共同組成。</w:t>
      </w:r>
    </w:p>
    <w:p w14:paraId="35EB5B11" w14:textId="77777777" w:rsidR="00CA23FA" w:rsidRPr="001663AE" w:rsidRDefault="00CA23FA" w:rsidP="00D40983">
      <w:pPr>
        <w:pStyle w:val="3"/>
        <w:jc w:val="left"/>
      </w:pPr>
      <w:r w:rsidRPr="001663AE">
        <w:rPr>
          <w:rFonts w:hint="eastAsia"/>
        </w:rPr>
        <w:t>每庭各選任八名法官。</w:t>
      </w:r>
    </w:p>
    <w:p w14:paraId="21116A4E" w14:textId="77777777" w:rsidR="00CA23FA" w:rsidRPr="001663AE" w:rsidRDefault="00CA23FA" w:rsidP="00D40983">
      <w:pPr>
        <w:pStyle w:val="3"/>
        <w:jc w:val="left"/>
      </w:pPr>
      <w:r w:rsidRPr="001663AE">
        <w:rPr>
          <w:rFonts w:hint="eastAsia"/>
        </w:rPr>
        <w:t>每庭中之三位法官應選自聯邦最高等級法院之法官。其並應在聯邦最高等級法院服務三年以上。</w:t>
      </w:r>
    </w:p>
    <w:p w14:paraId="3427F59F" w14:textId="77777777" w:rsidR="00CA23FA" w:rsidRPr="001663AE" w:rsidRDefault="00CA23FA" w:rsidP="00D87D91">
      <w:pPr>
        <w:pStyle w:val="3"/>
      </w:pPr>
      <w:r w:rsidRPr="001663AE">
        <w:rPr>
          <w:rFonts w:hint="eastAsia"/>
        </w:rPr>
        <w:t>以上資料，引自：德國聯邦憲法法院法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footnote>
  <w:footnote w:id="1133">
    <w:p w14:paraId="7C06B2F1"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德國聯邦憲法法院法第五條　（選任機關）</w:t>
      </w:r>
    </w:p>
    <w:p w14:paraId="280BD41E" w14:textId="77777777" w:rsidR="00CA23FA" w:rsidRPr="001663AE" w:rsidRDefault="00CA23FA" w:rsidP="00D87D91">
      <w:pPr>
        <w:pStyle w:val="3"/>
      </w:pPr>
      <w:r w:rsidRPr="001663AE">
        <w:rPr>
          <w:rFonts w:hint="eastAsia"/>
        </w:rPr>
        <w:t>各庭法官由聯邦眾議院及聯邦參議院各選出半數。各庭中應由聯邦最高等級法院之職業法官中選任者，由聯邦眾議院選出一名，由聯邦參議院選出兩名，其餘法官由聯邦眾議院選任三名，由聯邦參議院選任二名。</w:t>
      </w:r>
    </w:p>
    <w:p w14:paraId="68D55372" w14:textId="77777777" w:rsidR="00CA23FA" w:rsidRPr="001663AE" w:rsidRDefault="00CA23FA" w:rsidP="00D87D91">
      <w:pPr>
        <w:pStyle w:val="3"/>
      </w:pPr>
      <w:r w:rsidRPr="001663AE">
        <w:rPr>
          <w:rFonts w:hint="eastAsia"/>
        </w:rPr>
        <w:t>法官最早在其前任法官任期屆滿三個月前選出，如聯邦眾議院在此期間被解散，應在聯邦眾議院第一次集會後的一個月內選出。</w:t>
      </w:r>
    </w:p>
    <w:p w14:paraId="5AEF205E" w14:textId="77777777" w:rsidR="00CA23FA" w:rsidRPr="001663AE" w:rsidRDefault="00CA23FA" w:rsidP="00D87D91">
      <w:pPr>
        <w:pStyle w:val="3"/>
      </w:pPr>
      <w:r w:rsidRPr="001663AE">
        <w:rPr>
          <w:rFonts w:hint="eastAsia"/>
        </w:rPr>
        <w:t>法官在任期未滿前離職時，應由選任該離職法官之原聯邦機關在一個月選出繼任者。</w:t>
      </w:r>
    </w:p>
    <w:p w14:paraId="22B99BD4" w14:textId="77777777" w:rsidR="00CA23FA" w:rsidRPr="001663AE" w:rsidRDefault="00CA23FA" w:rsidP="00D87D91">
      <w:pPr>
        <w:pStyle w:val="3"/>
      </w:pPr>
      <w:r w:rsidRPr="001663AE">
        <w:rPr>
          <w:rFonts w:hint="eastAsia"/>
        </w:rPr>
        <w:t>以上資料，引自：德國聯邦憲法法院法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footnote>
  <w:footnote w:id="1134">
    <w:p w14:paraId="459BDA26" w14:textId="77777777" w:rsidR="00CA23FA" w:rsidRPr="001663AE" w:rsidRDefault="00CA23FA" w:rsidP="00D87D91">
      <w:pPr>
        <w:pStyle w:val="3"/>
      </w:pPr>
      <w:r w:rsidRPr="001663AE">
        <w:rPr>
          <w:rStyle w:val="af3"/>
          <w:rFonts w:ascii="新細明體" w:hAnsi="新細明體"/>
        </w:rPr>
        <w:footnoteRef/>
      </w:r>
      <w:r w:rsidRPr="001663AE">
        <w:rPr>
          <w:rFonts w:hint="eastAsia"/>
        </w:rPr>
        <w:t>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footnote>
  <w:footnote w:id="1135">
    <w:p w14:paraId="070CBE3F"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德國聯邦憲法法院法第六條　（聯邦眾議院的選任程序）</w:t>
      </w:r>
    </w:p>
    <w:p w14:paraId="0EEB3395" w14:textId="77777777" w:rsidR="00CA23FA" w:rsidRPr="001663AE" w:rsidRDefault="00CA23FA" w:rsidP="00D87D91">
      <w:pPr>
        <w:pStyle w:val="3"/>
      </w:pPr>
      <w:r w:rsidRPr="001663AE">
        <w:rPr>
          <w:rFonts w:hint="eastAsia"/>
        </w:rPr>
        <w:t>由聯邦眾議院選任之職業法官，依間接選舉方式選出。</w:t>
      </w:r>
    </w:p>
    <w:p w14:paraId="7026938C" w14:textId="77777777" w:rsidR="00CA23FA" w:rsidRPr="001663AE" w:rsidRDefault="00CA23FA" w:rsidP="00D87D91">
      <w:pPr>
        <w:pStyle w:val="3"/>
      </w:pPr>
      <w:r w:rsidRPr="001663AE">
        <w:rPr>
          <w:rFonts w:hint="eastAsia"/>
        </w:rPr>
        <w:t>聯邦眾議院依比例選舉的規則選出十二名眾議院議員組成聯邦憲法法院法官選任委員會。聯邦眾議院內之每一黨團均得提出推薦名單。各名單上之當選人數，應就對各該名單所為之投票數，依最高得票計算法</w:t>
      </w:r>
      <w:r w:rsidRPr="001663AE">
        <w:rPr>
          <w:rFonts w:hint="eastAsia"/>
        </w:rPr>
        <w:t>(d</w:t>
      </w:r>
      <w:r w:rsidRPr="001663AE">
        <w:rPr>
          <w:rFonts w:hint="eastAsia"/>
        </w:rPr>
        <w:t>’</w:t>
      </w:r>
      <w:r w:rsidRPr="001663AE">
        <w:rPr>
          <w:rFonts w:hint="eastAsia"/>
        </w:rPr>
        <w:t>Hovdt)</w:t>
      </w:r>
      <w:r w:rsidRPr="001663AE">
        <w:rPr>
          <w:rFonts w:hint="eastAsia"/>
        </w:rPr>
        <w:t>計算之。當選者以在推薦名單上依順序排列有姓名者為限。選任委員會成員有退出或因故不能行使其選任權時，由同一推薦名單上之次一位遞補之。</w:t>
      </w:r>
    </w:p>
    <w:p w14:paraId="12F75973" w14:textId="77777777" w:rsidR="00CA23FA" w:rsidRPr="001663AE" w:rsidRDefault="00CA23FA" w:rsidP="00D87D91">
      <w:pPr>
        <w:pStyle w:val="3"/>
      </w:pPr>
      <w:r w:rsidRPr="001663AE">
        <w:rPr>
          <w:rFonts w:hint="eastAsia"/>
        </w:rPr>
        <w:t>選任委員會成員中之最年長者應在遵守一星期之召集期間的要求下，從速召集成員舉行選舉，並主持選任會議，至全部法官選出時為止。</w:t>
      </w:r>
    </w:p>
    <w:p w14:paraId="362F405C" w14:textId="77777777" w:rsidR="00CA23FA" w:rsidRPr="001663AE" w:rsidRDefault="00CA23FA" w:rsidP="00D87D91">
      <w:pPr>
        <w:pStyle w:val="3"/>
      </w:pPr>
      <w:r w:rsidRPr="001663AE">
        <w:rPr>
          <w:rFonts w:hint="eastAsia"/>
        </w:rPr>
        <w:t>選任委員會成員，對於因參加選任委員會活動所獲知關於候選人之個人關係，以及在選任委員會所為對候選人個人關係之討論，以及投票內容，均負保守秘密之義務。</w:t>
      </w:r>
    </w:p>
    <w:p w14:paraId="4DC4CA02" w14:textId="77777777" w:rsidR="00CA23FA" w:rsidRPr="001663AE" w:rsidRDefault="00CA23FA" w:rsidP="00D87D91">
      <w:pPr>
        <w:pStyle w:val="3"/>
      </w:pPr>
      <w:r w:rsidRPr="001663AE">
        <w:rPr>
          <w:rFonts w:hint="eastAsia"/>
        </w:rPr>
        <w:t>當選聯邦憲法法院法官至少應獲得八張選舉人票。</w:t>
      </w:r>
    </w:p>
    <w:p w14:paraId="11869E99" w14:textId="77777777" w:rsidR="00CA23FA" w:rsidRPr="001663AE" w:rsidRDefault="00CA23FA" w:rsidP="00D87D91">
      <w:pPr>
        <w:pStyle w:val="3"/>
      </w:pPr>
      <w:r w:rsidRPr="001663AE">
        <w:rPr>
          <w:rFonts w:hint="eastAsia"/>
        </w:rPr>
        <w:t>以上資料，引自：德國聯邦憲法法院法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footnote>
  <w:footnote w:id="1136">
    <w:p w14:paraId="747F0E53"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德國聯邦憲法法院法第七條　（聯邦參議院的選任程序）</w:t>
      </w:r>
    </w:p>
    <w:p w14:paraId="49556F94" w14:textId="77777777" w:rsidR="00CA23FA" w:rsidRPr="001663AE" w:rsidRDefault="00CA23FA" w:rsidP="00D87D91">
      <w:pPr>
        <w:pStyle w:val="3"/>
      </w:pPr>
      <w:r w:rsidRPr="001663AE">
        <w:rPr>
          <w:rFonts w:hint="eastAsia"/>
        </w:rPr>
        <w:t>由聯邦參議院選任之法官，應獲得聯邦參議院三分之二之票數始為當選。</w:t>
      </w:r>
    </w:p>
    <w:p w14:paraId="6DA64A1E" w14:textId="77777777" w:rsidR="00CA23FA" w:rsidRPr="001663AE" w:rsidRDefault="00CA23FA" w:rsidP="00D87D91">
      <w:pPr>
        <w:pStyle w:val="3"/>
      </w:pPr>
      <w:r w:rsidRPr="001663AE">
        <w:rPr>
          <w:rFonts w:hint="eastAsia"/>
        </w:rPr>
        <w:t>以上資料，引自：德國聯邦憲法法院法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p w14:paraId="1F765A6F" w14:textId="77777777" w:rsidR="00CA23FA" w:rsidRPr="001663AE" w:rsidRDefault="00CA23FA" w:rsidP="00D87D91">
      <w:pPr>
        <w:pStyle w:val="3"/>
      </w:pPr>
    </w:p>
    <w:p w14:paraId="1A781FC8" w14:textId="77777777" w:rsidR="00CA23FA" w:rsidRPr="001663AE" w:rsidRDefault="00CA23FA" w:rsidP="00D87D91">
      <w:pPr>
        <w:pStyle w:val="af1"/>
      </w:pPr>
    </w:p>
  </w:footnote>
  <w:footnote w:id="1137">
    <w:p w14:paraId="0D67EBC3" w14:textId="77777777" w:rsidR="00CA23FA" w:rsidRPr="001663AE" w:rsidRDefault="00CA23FA" w:rsidP="00D87D91">
      <w:pPr>
        <w:pStyle w:val="3"/>
      </w:pPr>
      <w:r w:rsidRPr="001663AE">
        <w:rPr>
          <w:rStyle w:val="af3"/>
          <w:rFonts w:ascii="新細明體" w:hAnsi="新細明體"/>
          <w:szCs w:val="20"/>
        </w:rPr>
        <w:footnoteRef/>
      </w:r>
      <w:r w:rsidRPr="001663AE">
        <w:t xml:space="preserve"> The Constitution of Finland Section 109(Duties of the Parliamentary Ombudsman)</w:t>
      </w:r>
      <w:r>
        <w:t>〜</w:t>
      </w:r>
    </w:p>
    <w:p w14:paraId="66CC62D7" w14:textId="77777777" w:rsidR="00CA23FA" w:rsidRPr="001663AE" w:rsidRDefault="00CA23FA" w:rsidP="00D87D91">
      <w:pPr>
        <w:pStyle w:val="3"/>
      </w:pPr>
      <w:r w:rsidRPr="001663AE">
        <w:t>The Ombudsman shall ensure that the courts of law, the other authorities and civil servants, public employees and other persons, when the latter are performing a public task, obey the law and fulfil their obligations. In the performance of his or her duties, the Ombudsman monitors the implementation of basic rights and liberties and human rights.</w:t>
      </w:r>
    </w:p>
    <w:p w14:paraId="49F8CB7D" w14:textId="77777777" w:rsidR="00CA23FA" w:rsidRPr="001663AE" w:rsidRDefault="00CA23FA" w:rsidP="00D87D91">
      <w:pPr>
        <w:pStyle w:val="3"/>
      </w:pPr>
      <w:r w:rsidRPr="001663AE">
        <w:t xml:space="preserve">The Ombudsman submits an annual report to the Parliament on his or her work, including observations on the state of the administration of justice and on any shortcomings in legislation. </w:t>
      </w:r>
    </w:p>
  </w:footnote>
  <w:footnote w:id="1138">
    <w:p w14:paraId="68A35E23" w14:textId="77777777" w:rsidR="00CA23FA" w:rsidRPr="001663AE" w:rsidRDefault="00CA23FA" w:rsidP="00D87D91">
      <w:pPr>
        <w:pStyle w:val="3"/>
      </w:pPr>
      <w:r w:rsidRPr="001663AE">
        <w:rPr>
          <w:rStyle w:val="af3"/>
          <w:rFonts w:ascii="新細明體" w:hAnsi="新細明體"/>
          <w:szCs w:val="20"/>
        </w:rPr>
        <w:footnoteRef/>
      </w:r>
      <w:r w:rsidRPr="001663AE">
        <w:t xml:space="preserve"> The Constitution of Finland Section 110(The right of the Chancellor of Justice and the Ombudsman to bring charges and the division of responsibilities between them)</w:t>
      </w:r>
      <w:r>
        <w:t>〜</w:t>
      </w:r>
      <w:r w:rsidRPr="001663AE">
        <w:t>-</w:t>
      </w:r>
    </w:p>
    <w:p w14:paraId="5E5F5BD9" w14:textId="77777777" w:rsidR="00CA23FA" w:rsidRPr="001663AE" w:rsidRDefault="00CA23FA" w:rsidP="00D87D91">
      <w:pPr>
        <w:pStyle w:val="3"/>
      </w:pPr>
      <w:r w:rsidRPr="001663AE">
        <w:t>A decision to bring charges against a judge for unlawful conduct in office is made by the Chancellor of Justice or the Ombudsman. The Chancellor of Justice and the Ombudsman may prosecute or order that charges be brought also in other matters falling within the purview of their supervision of legality.</w:t>
      </w:r>
    </w:p>
    <w:p w14:paraId="0B538CB2" w14:textId="77777777" w:rsidR="00CA23FA" w:rsidRPr="001663AE" w:rsidRDefault="00CA23FA" w:rsidP="00D87D91">
      <w:pPr>
        <w:pStyle w:val="3"/>
      </w:pPr>
      <w:r w:rsidRPr="001663AE">
        <w:t xml:space="preserve">Provisions on the division of responsibilities between the Chancellor of Justice and the Ombudsman may be laid down by an Act, without, however, restricting the competence of either of them in the supervision of legality. </w:t>
      </w:r>
    </w:p>
  </w:footnote>
  <w:footnote w:id="1139">
    <w:p w14:paraId="1F493B9E" w14:textId="77777777" w:rsidR="00CA23FA" w:rsidRPr="001663AE" w:rsidRDefault="00CA23FA" w:rsidP="00D87D91">
      <w:pPr>
        <w:pStyle w:val="3"/>
      </w:pPr>
      <w:r w:rsidRPr="001663AE">
        <w:rPr>
          <w:rStyle w:val="af3"/>
          <w:rFonts w:ascii="新細明體" w:hAnsi="新細明體"/>
          <w:szCs w:val="20"/>
        </w:rPr>
        <w:footnoteRef/>
      </w:r>
      <w:r w:rsidRPr="001663AE">
        <w:t xml:space="preserve"> The Constitution of Finland Section 111( The right of the Chancellor of Justice and Ombudsman to receive information )</w:t>
      </w:r>
      <w:r>
        <w:t>〜</w:t>
      </w:r>
    </w:p>
    <w:p w14:paraId="5780E3A7" w14:textId="77777777" w:rsidR="00CA23FA" w:rsidRPr="001663AE" w:rsidRDefault="00CA23FA" w:rsidP="00D87D91">
      <w:pPr>
        <w:pStyle w:val="3"/>
      </w:pPr>
      <w:r w:rsidRPr="001663AE">
        <w:t>The Chancellor of Justice and the Ombudsman have the right to receive from public authorities or others performing public duties the information needed for their supervision of legality.</w:t>
      </w:r>
    </w:p>
    <w:p w14:paraId="06AA73E9" w14:textId="77777777" w:rsidR="00CA23FA" w:rsidRPr="001663AE" w:rsidRDefault="00CA23FA" w:rsidP="00D87D91">
      <w:pPr>
        <w:pStyle w:val="3"/>
      </w:pPr>
      <w:r w:rsidRPr="001663AE">
        <w:t>The Chancellor of Justice shall be present at meetings of the Government and when matters are presented to the President of the Republic in a presidential meeting of the Government. The Ombudsman has the right to attend these meetings and presentations.</w:t>
      </w:r>
    </w:p>
  </w:footnote>
  <w:footnote w:id="1140">
    <w:p w14:paraId="542D56E2"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常律法師</w:t>
      </w:r>
      <w:r w:rsidRPr="001663AE">
        <w:t>(2008)</w:t>
      </w:r>
      <w:r w:rsidRPr="001663AE">
        <w:rPr>
          <w:rFonts w:hint="eastAsia"/>
        </w:rPr>
        <w:t>，治國之道</w:t>
      </w:r>
      <w:r>
        <w:t>〜</w:t>
      </w:r>
      <w:r w:rsidRPr="001663AE">
        <w:rPr>
          <w:rFonts w:hint="eastAsia"/>
        </w:rPr>
        <w:t>與馬英九淺談治國津要，上網瀏覽時間：</w:t>
      </w:r>
      <w:r w:rsidRPr="001663AE">
        <w:t>2015</w:t>
      </w:r>
      <w:r w:rsidRPr="001663AE">
        <w:rPr>
          <w:rFonts w:hint="eastAsia"/>
        </w:rPr>
        <w:t>年</w:t>
      </w:r>
      <w:r w:rsidRPr="001663AE">
        <w:t>1</w:t>
      </w:r>
      <w:r w:rsidRPr="001663AE">
        <w:rPr>
          <w:rFonts w:hint="eastAsia"/>
        </w:rPr>
        <w:t>月</w:t>
      </w:r>
      <w:r w:rsidRPr="001663AE">
        <w:t>13</w:t>
      </w:r>
      <w:r w:rsidRPr="001663AE">
        <w:rPr>
          <w:rFonts w:hint="eastAsia"/>
        </w:rPr>
        <w:t>日，</w:t>
      </w:r>
      <w:hyperlink r:id="rId356" w:history="1">
        <w:r w:rsidRPr="001663AE">
          <w:rPr>
            <w:rStyle w:val="a5"/>
            <w:szCs w:val="20"/>
          </w:rPr>
          <w:t>http://blog.roodo.com/cthci/archives/5950799.html</w:t>
        </w:r>
      </w:hyperlink>
      <w:r w:rsidRPr="001663AE">
        <w:rPr>
          <w:rFonts w:hint="eastAsia"/>
        </w:rPr>
        <w:t>。</w:t>
      </w:r>
    </w:p>
  </w:footnote>
  <w:footnote w:id="1141">
    <w:p w14:paraId="6A6B0081"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周陽山，王增華</w:t>
      </w:r>
      <w:r w:rsidRPr="001663AE">
        <w:rPr>
          <w:rFonts w:hint="eastAsia"/>
        </w:rPr>
        <w:t>(2015)</w:t>
      </w:r>
      <w:r w:rsidRPr="001663AE">
        <w:rPr>
          <w:rFonts w:hint="eastAsia"/>
        </w:rPr>
        <w:t>，監察權、監察使與監察院</w:t>
      </w:r>
      <w:r w:rsidRPr="001663AE">
        <w:t>—</w:t>
      </w:r>
      <w:r w:rsidRPr="001663AE">
        <w:rPr>
          <w:rFonts w:hint="eastAsia"/>
        </w:rPr>
        <w:t>監察功能的跨國分析，展望與探索，第</w:t>
      </w:r>
      <w:r w:rsidRPr="001663AE">
        <w:rPr>
          <w:rFonts w:hint="eastAsia"/>
        </w:rPr>
        <w:t>13</w:t>
      </w:r>
      <w:r w:rsidRPr="001663AE">
        <w:rPr>
          <w:rFonts w:hint="eastAsia"/>
        </w:rPr>
        <w:t>卷第</w:t>
      </w:r>
      <w:r w:rsidRPr="001663AE">
        <w:rPr>
          <w:rFonts w:hint="eastAsia"/>
        </w:rPr>
        <w:t>1</w:t>
      </w:r>
      <w:r w:rsidRPr="001663AE">
        <w:rPr>
          <w:rFonts w:hint="eastAsia"/>
        </w:rPr>
        <w:t>期，第</w:t>
      </w:r>
      <w:r w:rsidRPr="001663AE">
        <w:rPr>
          <w:rFonts w:hint="eastAsia"/>
        </w:rPr>
        <w:t>33~60</w:t>
      </w:r>
      <w:r w:rsidRPr="001663AE">
        <w:rPr>
          <w:rFonts w:hint="eastAsia"/>
        </w:rPr>
        <w:t>頁。</w:t>
      </w:r>
    </w:p>
  </w:footnote>
  <w:footnote w:id="1142">
    <w:p w14:paraId="25FF3DFD"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聯邦德國基本法（</w:t>
      </w:r>
      <w:r w:rsidRPr="001663AE">
        <w:t>GG</w:t>
      </w:r>
      <w:r w:rsidRPr="001663AE">
        <w:rPr>
          <w:rFonts w:hint="eastAsia"/>
        </w:rPr>
        <w:t>）第</w:t>
      </w:r>
      <w:r w:rsidRPr="001663AE">
        <w:rPr>
          <w:rFonts w:cs="TimesNewRoman,Bold"/>
        </w:rPr>
        <w:t>26</w:t>
      </w:r>
      <w:r w:rsidRPr="001663AE">
        <w:rPr>
          <w:rFonts w:hint="eastAsia"/>
        </w:rPr>
        <w:t>條</w:t>
      </w:r>
      <w:r w:rsidRPr="001663AE">
        <w:t xml:space="preserve"> </w:t>
      </w:r>
      <w:r w:rsidRPr="001663AE">
        <w:rPr>
          <w:rFonts w:hint="eastAsia"/>
        </w:rPr>
        <w:t>禁止侵略戰爭，戰爭武器</w:t>
      </w:r>
      <w:r>
        <w:rPr>
          <w:rFonts w:hint="eastAsia"/>
        </w:rPr>
        <w:t>〜</w:t>
      </w:r>
      <w:r w:rsidRPr="001663AE">
        <w:rPr>
          <w:rFonts w:hint="eastAsia"/>
        </w:rPr>
        <w:t>-</w:t>
      </w:r>
    </w:p>
    <w:p w14:paraId="4BF9E6AE" w14:textId="77777777" w:rsidR="00CA23FA" w:rsidRPr="001663AE" w:rsidRDefault="00CA23FA" w:rsidP="00D87D91">
      <w:pPr>
        <w:pStyle w:val="3"/>
      </w:pPr>
      <w:r w:rsidRPr="001663AE">
        <w:t xml:space="preserve">(1) </w:t>
      </w:r>
      <w:r w:rsidRPr="001663AE">
        <w:rPr>
          <w:rFonts w:hint="eastAsia"/>
        </w:rPr>
        <w:t>可能擾亂各國人民和平相處，和具有次種意圖的行為，特別是準備發動侵略戰爭的行動</w:t>
      </w:r>
      <w:r w:rsidRPr="001663AE">
        <w:rPr>
          <w:rFonts w:cs="TimesNewRoman"/>
        </w:rPr>
        <w:t>，</w:t>
      </w:r>
      <w:r w:rsidRPr="001663AE">
        <w:rPr>
          <w:rFonts w:hint="eastAsia"/>
        </w:rPr>
        <w:t>均屬違反憲法，對此種行為應予以懲處。</w:t>
      </w:r>
    </w:p>
    <w:p w14:paraId="4D137DE6" w14:textId="77777777" w:rsidR="00CA23FA" w:rsidRPr="001663AE" w:rsidRDefault="00CA23FA" w:rsidP="00D87D91">
      <w:pPr>
        <w:pStyle w:val="3"/>
      </w:pPr>
      <w:r w:rsidRPr="001663AE">
        <w:rPr>
          <w:rFonts w:hint="eastAsia"/>
        </w:rPr>
        <w:t>（</w:t>
      </w:r>
      <w:r w:rsidRPr="001663AE">
        <w:t>2</w:t>
      </w:r>
      <w:r w:rsidRPr="001663AE">
        <w:rPr>
          <w:rFonts w:hint="eastAsia"/>
        </w:rPr>
        <w:t>）只有經聯邦政府的批准，方可製造、運輸和銷售戰爭武器，具體由聯邦法律予以規定。</w:t>
      </w:r>
    </w:p>
  </w:footnote>
  <w:footnote w:id="1143">
    <w:p w14:paraId="7FD1AE7A"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聯合國憲章第</w:t>
      </w:r>
      <w:r w:rsidRPr="001663AE">
        <w:t>1</w:t>
      </w:r>
      <w:r w:rsidRPr="001663AE">
        <w:rPr>
          <w:rFonts w:hint="eastAsia"/>
        </w:rPr>
        <w:t>條</w:t>
      </w:r>
      <w:r w:rsidRPr="001663AE">
        <w:t xml:space="preserve"> </w:t>
      </w:r>
      <w:r w:rsidRPr="001663AE">
        <w:rPr>
          <w:rFonts w:hint="eastAsia"/>
        </w:rPr>
        <w:t xml:space="preserve">　　聯合國之宗旨為：</w:t>
      </w:r>
      <w:r w:rsidRPr="001663AE">
        <w:t xml:space="preserve"> </w:t>
      </w:r>
    </w:p>
    <w:p w14:paraId="2A1F7AED" w14:textId="77777777" w:rsidR="00CA23FA" w:rsidRPr="001663AE" w:rsidRDefault="00CA23FA" w:rsidP="00D87D91">
      <w:pPr>
        <w:pStyle w:val="3"/>
      </w:pPr>
      <w:r w:rsidRPr="001663AE">
        <w:rPr>
          <w:rFonts w:hint="eastAsia"/>
        </w:rPr>
        <w:t xml:space="preserve">　　一、維持國際和平及安全並；並為此目的：採取有效集體辦法，以防止且消除對於和平之威脅，制止侵略行為或其他和平之破壞；並以和平方法且依正義及國際法之原則，調整或解決足以破壞和平之國際爭端或情勢。</w:t>
      </w:r>
      <w:r w:rsidRPr="001663AE">
        <w:t xml:space="preserve"> </w:t>
      </w:r>
    </w:p>
    <w:p w14:paraId="14BBB2A3" w14:textId="77777777" w:rsidR="00CA23FA" w:rsidRPr="001663AE" w:rsidRDefault="00CA23FA" w:rsidP="00D87D91">
      <w:pPr>
        <w:pStyle w:val="3"/>
      </w:pPr>
      <w:r w:rsidRPr="001663AE">
        <w:rPr>
          <w:rFonts w:hint="eastAsia"/>
        </w:rPr>
        <w:t xml:space="preserve">　　二、發展國際間以尊重人民平等權利及自決原則為根據之友好關係，並採取其他適當辦法，以增強普遍和平。</w:t>
      </w:r>
      <w:r w:rsidRPr="001663AE">
        <w:t xml:space="preserve"> </w:t>
      </w:r>
    </w:p>
    <w:p w14:paraId="7FC0D733" w14:textId="77777777" w:rsidR="00CA23FA" w:rsidRPr="001663AE" w:rsidRDefault="00CA23FA" w:rsidP="00D87D91">
      <w:pPr>
        <w:pStyle w:val="3"/>
      </w:pPr>
      <w:r w:rsidRPr="001663AE">
        <w:rPr>
          <w:rFonts w:hint="eastAsia"/>
        </w:rPr>
        <w:t xml:space="preserve">　　三、促進國際合作，以解決國際間屬於經濟、社會、文化、及人類福利性質之國際問題，且不分種族、性別、語言、或宗教，增進並激勵對於全體人類之權及基本自由之尊重。</w:t>
      </w:r>
      <w:r w:rsidRPr="001663AE">
        <w:t xml:space="preserve"> </w:t>
      </w:r>
    </w:p>
    <w:p w14:paraId="240CC461" w14:textId="77777777" w:rsidR="00CA23FA" w:rsidRPr="001663AE" w:rsidRDefault="00CA23FA" w:rsidP="00D87D91">
      <w:pPr>
        <w:pStyle w:val="3"/>
      </w:pPr>
      <w:r w:rsidRPr="001663AE">
        <w:rPr>
          <w:rFonts w:hint="eastAsia"/>
        </w:rPr>
        <w:t xml:space="preserve">　　四、構成一協調各國行動之中心，以達成上述共同目的。</w:t>
      </w:r>
      <w:r w:rsidRPr="001663AE">
        <w:t xml:space="preserve"> </w:t>
      </w:r>
    </w:p>
  </w:footnote>
  <w:footnote w:id="1144">
    <w:p w14:paraId="18D672AA"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聯合國憲章第</w:t>
      </w:r>
      <w:r w:rsidRPr="001663AE">
        <w:t>33</w:t>
      </w:r>
      <w:r w:rsidRPr="001663AE">
        <w:rPr>
          <w:rFonts w:hint="eastAsia"/>
        </w:rPr>
        <w:t>條</w:t>
      </w:r>
      <w:r w:rsidRPr="001663AE">
        <w:t xml:space="preserve"> </w:t>
      </w:r>
    </w:p>
    <w:p w14:paraId="75F9AAC9" w14:textId="77777777" w:rsidR="00CA23FA" w:rsidRPr="001663AE" w:rsidRDefault="00CA23FA" w:rsidP="00D87D91">
      <w:pPr>
        <w:pStyle w:val="3"/>
      </w:pPr>
      <w:r w:rsidRPr="001663AE">
        <w:rPr>
          <w:rFonts w:hint="eastAsia"/>
        </w:rPr>
        <w:t xml:space="preserve">　　一、任何爭端之當事國，於爭端之繼續存在足以危及國際和平與安全之維持時，應儘先以談判、調查、調停、和解、公斷、司法解決、區域機關或區域辦法之利用、或各該國自行選擇之其他和平方法，求得解決。</w:t>
      </w:r>
      <w:r w:rsidRPr="001663AE">
        <w:t xml:space="preserve"> </w:t>
      </w:r>
    </w:p>
    <w:p w14:paraId="0619E8B8" w14:textId="77777777" w:rsidR="00CA23FA" w:rsidRPr="001663AE" w:rsidRDefault="00CA23FA" w:rsidP="00D87D91">
      <w:pPr>
        <w:pStyle w:val="3"/>
      </w:pPr>
      <w:r w:rsidRPr="001663AE">
        <w:rPr>
          <w:rFonts w:hint="eastAsia"/>
        </w:rPr>
        <w:t xml:space="preserve">　　二、安全理事會認為必要時，應促請各當事國以此項方法，解決其爭端。</w:t>
      </w:r>
    </w:p>
  </w:footnote>
  <w:footnote w:id="1145">
    <w:p w14:paraId="2B018C86" w14:textId="77777777"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聯合國憲章第</w:t>
      </w:r>
      <w:r w:rsidRPr="001663AE">
        <w:t>51</w:t>
      </w:r>
      <w:r w:rsidRPr="001663AE">
        <w:rPr>
          <w:rFonts w:hint="eastAsia"/>
        </w:rPr>
        <w:t>條聯合國任何會員國受武力政擊時，在安全理事會採取必要辦法，以維持國際和平及安全以前，本憲章不得認為禁止行使單獨或集體自衛之自然權利。會員國因行使此項自衛權而採取之辦法，應立向安全理事會報告，此項辦法於任何方面不得不影響該會按照本憲章隨時採取其所認為必要行動之權責，以維持或恢復國際和平及安全。</w:t>
      </w:r>
      <w:r w:rsidRPr="001663AE">
        <w:t xml:space="preserve"> </w:t>
      </w:r>
    </w:p>
  </w:footnote>
  <w:footnote w:id="1146">
    <w:p w14:paraId="7578B490" w14:textId="77777777" w:rsidR="00CA23FA" w:rsidRPr="001663AE" w:rsidRDefault="00CA23FA" w:rsidP="00D87D91">
      <w:pPr>
        <w:pStyle w:val="3"/>
      </w:pPr>
      <w:r w:rsidRPr="001663AE">
        <w:rPr>
          <w:rStyle w:val="af3"/>
          <w:rFonts w:ascii="新細明體" w:hAnsi="新細明體"/>
          <w:szCs w:val="20"/>
        </w:rPr>
        <w:footnoteRef/>
      </w:r>
      <w:r w:rsidRPr="001663AE">
        <w:rPr>
          <w:rFonts w:hint="eastAsia"/>
        </w:rPr>
        <w:t>常律法師</w:t>
      </w:r>
      <w:r w:rsidRPr="001663AE">
        <w:t>(2008)</w:t>
      </w:r>
      <w:r w:rsidRPr="001663AE">
        <w:rPr>
          <w:rFonts w:hint="eastAsia"/>
        </w:rPr>
        <w:t>，治國之道</w:t>
      </w:r>
      <w:r>
        <w:t>〜</w:t>
      </w:r>
      <w:r w:rsidRPr="001663AE">
        <w:rPr>
          <w:rFonts w:hint="eastAsia"/>
        </w:rPr>
        <w:t>與馬英九淺談治國津要，上網瀏覽時間：</w:t>
      </w:r>
      <w:r w:rsidRPr="001663AE">
        <w:t>2015</w:t>
      </w:r>
      <w:r w:rsidRPr="001663AE">
        <w:rPr>
          <w:rFonts w:hint="eastAsia"/>
        </w:rPr>
        <w:t>年</w:t>
      </w:r>
      <w:r w:rsidRPr="001663AE">
        <w:t>1</w:t>
      </w:r>
      <w:r w:rsidRPr="001663AE">
        <w:rPr>
          <w:rFonts w:hint="eastAsia"/>
        </w:rPr>
        <w:t>月</w:t>
      </w:r>
      <w:r w:rsidRPr="001663AE">
        <w:t>13</w:t>
      </w:r>
      <w:r w:rsidRPr="001663AE">
        <w:rPr>
          <w:rFonts w:hint="eastAsia"/>
        </w:rPr>
        <w:t>日，</w:t>
      </w:r>
      <w:hyperlink r:id="rId357" w:history="1">
        <w:r w:rsidRPr="001663AE">
          <w:rPr>
            <w:rStyle w:val="a5"/>
            <w:szCs w:val="20"/>
          </w:rPr>
          <w:t>http://blog.roodo.com/cthci/archives/5950799.html</w:t>
        </w:r>
      </w:hyperlink>
      <w:r w:rsidRPr="001663AE">
        <w:rPr>
          <w:rFonts w:hint="eastAsia"/>
        </w:rPr>
        <w:t>。</w:t>
      </w:r>
    </w:p>
  </w:footnote>
  <w:footnote w:id="1147">
    <w:p w14:paraId="32B3E7E2" w14:textId="77777777"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szCs w:val="18"/>
        </w:rPr>
        <w:t xml:space="preserve"> The Constitution of Finland Section 127( National defence obligation)</w:t>
      </w:r>
      <w:r w:rsidRPr="007443FD">
        <w:rPr>
          <w:szCs w:val="18"/>
        </w:rPr>
        <w:t>〜</w:t>
      </w:r>
    </w:p>
    <w:p w14:paraId="3AD38E69" w14:textId="77777777" w:rsidR="00CA23FA" w:rsidRPr="007443FD" w:rsidRDefault="00CA23FA" w:rsidP="007443FD">
      <w:pPr>
        <w:pStyle w:val="3"/>
        <w:jc w:val="left"/>
        <w:rPr>
          <w:szCs w:val="18"/>
        </w:rPr>
      </w:pPr>
      <w:r w:rsidRPr="007443FD">
        <w:rPr>
          <w:szCs w:val="18"/>
        </w:rPr>
        <w:t>Every Finnish citizen is obligated to participate or assist in national defence, as provided by an Act.</w:t>
      </w:r>
    </w:p>
    <w:p w14:paraId="610B2CA8" w14:textId="77777777" w:rsidR="00CA23FA" w:rsidRPr="007443FD" w:rsidRDefault="00CA23FA" w:rsidP="007443FD">
      <w:pPr>
        <w:pStyle w:val="3"/>
        <w:jc w:val="left"/>
        <w:rPr>
          <w:szCs w:val="18"/>
        </w:rPr>
      </w:pPr>
      <w:r w:rsidRPr="007443FD">
        <w:rPr>
          <w:szCs w:val="18"/>
        </w:rPr>
        <w:t>Provisions on the right to exemption, on grounds of conscience, from participation in military national defence are laid down by an Act.</w:t>
      </w:r>
    </w:p>
  </w:footnote>
  <w:footnote w:id="1148">
    <w:p w14:paraId="04BD130F" w14:textId="77777777"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14:paraId="6490DABF" w14:textId="77777777"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58"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14:paraId="2424C959" w14:textId="77777777" w:rsidR="00CA23FA" w:rsidRPr="007443FD" w:rsidRDefault="00076467" w:rsidP="007443FD">
      <w:pPr>
        <w:pStyle w:val="3"/>
        <w:jc w:val="left"/>
        <w:rPr>
          <w:szCs w:val="18"/>
        </w:rPr>
      </w:pPr>
      <w:hyperlink r:id="rId359" w:history="1">
        <w:r w:rsidR="00CA23FA" w:rsidRPr="007443FD">
          <w:rPr>
            <w:rStyle w:val="a5"/>
            <w:sz w:val="18"/>
            <w:szCs w:val="18"/>
          </w:rPr>
          <w:t>http://wapedia.mobi/en/Israel_Border_Police</w:t>
        </w:r>
      </w:hyperlink>
      <w:hyperlink r:id="rId360"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14:paraId="324D2DC1" w14:textId="77777777"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61"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49">
    <w:p w14:paraId="55E11775" w14:textId="77777777"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14:paraId="374DD53F" w14:textId="77777777"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62"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14:paraId="3FFAA163" w14:textId="77777777" w:rsidR="00CA23FA" w:rsidRPr="007443FD" w:rsidRDefault="00076467" w:rsidP="007443FD">
      <w:pPr>
        <w:pStyle w:val="3"/>
        <w:jc w:val="left"/>
        <w:rPr>
          <w:szCs w:val="18"/>
        </w:rPr>
      </w:pPr>
      <w:hyperlink r:id="rId363" w:history="1">
        <w:r w:rsidR="00CA23FA" w:rsidRPr="007443FD">
          <w:rPr>
            <w:rStyle w:val="a5"/>
            <w:sz w:val="18"/>
            <w:szCs w:val="18"/>
          </w:rPr>
          <w:t>http://wapedia.mobi/en/Israel_Border_Police</w:t>
        </w:r>
      </w:hyperlink>
      <w:hyperlink r:id="rId364"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14:paraId="0D0E2218" w14:textId="77777777" w:rsidR="00CA23FA" w:rsidRPr="001663AE" w:rsidRDefault="00CA23FA" w:rsidP="007443FD">
      <w:pPr>
        <w:pStyle w:val="3"/>
        <w:jc w:val="left"/>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65"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0">
    <w:p w14:paraId="723E9F00" w14:textId="77777777"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14:paraId="6766AA40" w14:textId="77777777"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66"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14:paraId="689E3EC7" w14:textId="77777777" w:rsidR="00CA23FA" w:rsidRPr="007443FD" w:rsidRDefault="00076467" w:rsidP="007443FD">
      <w:pPr>
        <w:pStyle w:val="3"/>
        <w:jc w:val="left"/>
        <w:rPr>
          <w:szCs w:val="18"/>
        </w:rPr>
      </w:pPr>
      <w:hyperlink r:id="rId367" w:history="1">
        <w:r w:rsidR="00CA23FA" w:rsidRPr="007443FD">
          <w:rPr>
            <w:rStyle w:val="a5"/>
            <w:sz w:val="18"/>
            <w:szCs w:val="18"/>
          </w:rPr>
          <w:t>http://wapedia.mobi/en/Israel_Border_Police</w:t>
        </w:r>
      </w:hyperlink>
      <w:hyperlink r:id="rId368"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14:paraId="19DB36DB" w14:textId="77777777"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69"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1">
    <w:p w14:paraId="09D42BE1" w14:textId="77777777"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14:paraId="2BA412AF" w14:textId="77777777"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70"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14:paraId="506D830A" w14:textId="77777777" w:rsidR="00CA23FA" w:rsidRPr="007443FD" w:rsidRDefault="00076467" w:rsidP="007443FD">
      <w:pPr>
        <w:pStyle w:val="3"/>
        <w:jc w:val="left"/>
        <w:rPr>
          <w:szCs w:val="18"/>
        </w:rPr>
      </w:pPr>
      <w:hyperlink r:id="rId371" w:history="1">
        <w:r w:rsidR="00CA23FA" w:rsidRPr="007443FD">
          <w:rPr>
            <w:rStyle w:val="a5"/>
            <w:sz w:val="18"/>
            <w:szCs w:val="18"/>
          </w:rPr>
          <w:t>http://wapedia.mobi/en/Israel_Border_Police</w:t>
        </w:r>
      </w:hyperlink>
      <w:hyperlink r:id="rId372"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14:paraId="1448EAB5" w14:textId="77777777"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73"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2">
    <w:p w14:paraId="4C60CD96" w14:textId="77777777"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14:paraId="38BBD74C" w14:textId="77777777"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74"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14:paraId="193F565A" w14:textId="77777777" w:rsidR="00CA23FA" w:rsidRPr="007443FD" w:rsidRDefault="00076467" w:rsidP="007443FD">
      <w:pPr>
        <w:pStyle w:val="3"/>
        <w:jc w:val="left"/>
        <w:rPr>
          <w:szCs w:val="18"/>
        </w:rPr>
      </w:pPr>
      <w:hyperlink r:id="rId375" w:history="1">
        <w:r w:rsidR="00CA23FA" w:rsidRPr="007443FD">
          <w:rPr>
            <w:rStyle w:val="a5"/>
            <w:sz w:val="18"/>
            <w:szCs w:val="18"/>
          </w:rPr>
          <w:t>http://wapedia.mobi/en/Israel_Border_Police</w:t>
        </w:r>
      </w:hyperlink>
      <w:hyperlink r:id="rId376"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14:paraId="2DE08912" w14:textId="77777777"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77"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3">
    <w:p w14:paraId="19F7513B" w14:textId="77777777"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14:paraId="3FF4082B" w14:textId="77777777"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78"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14:paraId="0FEA3B42" w14:textId="77777777" w:rsidR="00CA23FA" w:rsidRPr="007443FD" w:rsidRDefault="00076467" w:rsidP="007443FD">
      <w:pPr>
        <w:pStyle w:val="3"/>
        <w:jc w:val="left"/>
        <w:rPr>
          <w:szCs w:val="18"/>
        </w:rPr>
      </w:pPr>
      <w:hyperlink r:id="rId379" w:history="1">
        <w:r w:rsidR="00CA23FA" w:rsidRPr="007443FD">
          <w:rPr>
            <w:rStyle w:val="a5"/>
            <w:sz w:val="18"/>
            <w:szCs w:val="18"/>
          </w:rPr>
          <w:t>http://wapedia.mobi/en/Israel_Border_Police</w:t>
        </w:r>
      </w:hyperlink>
      <w:hyperlink r:id="rId380"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14:paraId="27EFFA17" w14:textId="77777777"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81"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4">
    <w:p w14:paraId="3C5A1727" w14:textId="77777777"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14:paraId="673701FE" w14:textId="77777777"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82"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14:paraId="44544A69" w14:textId="77777777" w:rsidR="00CA23FA" w:rsidRPr="007443FD" w:rsidRDefault="00076467" w:rsidP="007443FD">
      <w:pPr>
        <w:pStyle w:val="3"/>
        <w:jc w:val="left"/>
        <w:rPr>
          <w:szCs w:val="18"/>
        </w:rPr>
      </w:pPr>
      <w:hyperlink r:id="rId383" w:history="1">
        <w:r w:rsidR="00CA23FA" w:rsidRPr="007443FD">
          <w:rPr>
            <w:rStyle w:val="a5"/>
            <w:sz w:val="18"/>
            <w:szCs w:val="18"/>
          </w:rPr>
          <w:t>http://wapedia.mobi/en/Israel_Border_Police</w:t>
        </w:r>
      </w:hyperlink>
      <w:hyperlink r:id="rId384"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14:paraId="70B76F84" w14:textId="77777777"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85"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5">
    <w:p w14:paraId="483DFED5" w14:textId="77777777" w:rsidR="00CA23FA" w:rsidRPr="007443FD" w:rsidRDefault="00CA23FA" w:rsidP="007443FD">
      <w:pPr>
        <w:pStyle w:val="3"/>
        <w:jc w:val="left"/>
      </w:pPr>
      <w:r w:rsidRPr="007443FD">
        <w:rPr>
          <w:rStyle w:val="af3"/>
          <w:rFonts w:ascii="新細明體" w:hAnsi="新細明體"/>
          <w:szCs w:val="20"/>
        </w:rPr>
        <w:footnoteRef/>
      </w:r>
      <w:r w:rsidRPr="007443FD">
        <w:rPr>
          <w:rFonts w:hint="eastAsia"/>
        </w:rPr>
        <w:t>參考資料：</w:t>
      </w:r>
    </w:p>
    <w:p w14:paraId="0D66102B" w14:textId="77777777" w:rsidR="00CA23FA" w:rsidRPr="007443FD" w:rsidRDefault="00CA23FA" w:rsidP="007443FD">
      <w:pPr>
        <w:pStyle w:val="3"/>
        <w:jc w:val="left"/>
      </w:pPr>
      <w:r w:rsidRPr="007443FD">
        <w:t>W</w:t>
      </w:r>
      <w:r w:rsidRPr="007443FD">
        <w:rPr>
          <w:rFonts w:hint="eastAsia"/>
        </w:rPr>
        <w:t>iki(2010)</w:t>
      </w:r>
      <w:r w:rsidRPr="007443FD">
        <w:rPr>
          <w:rFonts w:hint="eastAsia"/>
        </w:rPr>
        <w:t>，</w:t>
      </w:r>
      <w:hyperlink r:id="rId386" w:history="1">
        <w:r w:rsidRPr="007443FD">
          <w:rPr>
            <w:rStyle w:val="a5"/>
            <w:szCs w:val="20"/>
          </w:rPr>
          <w:t>http://en.wikipedia.org/wiki/Israeli_Border_Police</w:t>
        </w:r>
        <w:r w:rsidRPr="007443FD">
          <w:rPr>
            <w:rStyle w:val="a5"/>
            <w:rFonts w:hint="eastAsia"/>
            <w:szCs w:val="20"/>
          </w:rPr>
          <w:t>(2010.03)</w:t>
        </w:r>
      </w:hyperlink>
      <w:r w:rsidRPr="007443FD">
        <w:rPr>
          <w:rFonts w:hint="eastAsia"/>
        </w:rPr>
        <w:t>。</w:t>
      </w:r>
    </w:p>
    <w:p w14:paraId="1F86EC7B" w14:textId="77777777" w:rsidR="00CA23FA" w:rsidRPr="007443FD" w:rsidRDefault="00076467" w:rsidP="007443FD">
      <w:pPr>
        <w:pStyle w:val="3"/>
        <w:jc w:val="left"/>
      </w:pPr>
      <w:hyperlink r:id="rId387" w:history="1">
        <w:r w:rsidR="00CA23FA" w:rsidRPr="007443FD">
          <w:rPr>
            <w:rStyle w:val="a5"/>
            <w:szCs w:val="20"/>
          </w:rPr>
          <w:t>http://wapedia.mobi/en/Israel_Border_Police</w:t>
        </w:r>
      </w:hyperlink>
      <w:hyperlink r:id="rId388" w:history="1">
        <w:r w:rsidR="00CA23FA" w:rsidRPr="007443FD">
          <w:rPr>
            <w:rStyle w:val="a5"/>
            <w:szCs w:val="20"/>
          </w:rPr>
          <w:t>http://en.wikipedia.org/wiki/Israeli_Border_Police</w:t>
        </w:r>
        <w:r w:rsidR="00CA23FA" w:rsidRPr="007443FD">
          <w:rPr>
            <w:rStyle w:val="a5"/>
            <w:rFonts w:hint="eastAsia"/>
            <w:szCs w:val="20"/>
          </w:rPr>
          <w:t>(2010.03)</w:t>
        </w:r>
      </w:hyperlink>
      <w:r w:rsidR="00CA23FA" w:rsidRPr="007443FD">
        <w:rPr>
          <w:rFonts w:hint="eastAsia"/>
        </w:rPr>
        <w:t>。</w:t>
      </w:r>
    </w:p>
    <w:p w14:paraId="162B00A1" w14:textId="77777777" w:rsidR="00CA23FA" w:rsidRPr="007443FD" w:rsidRDefault="00CA23FA" w:rsidP="007443FD">
      <w:pPr>
        <w:pStyle w:val="3"/>
        <w:jc w:val="left"/>
      </w:pPr>
      <w:r w:rsidRPr="007443FD">
        <w:t xml:space="preserve">AbsoluteAstronomy.com © 2015 </w:t>
      </w:r>
      <w:r w:rsidRPr="007443FD">
        <w:t>，</w:t>
      </w:r>
      <w:r w:rsidRPr="007443FD">
        <w:rPr>
          <w:rFonts w:cs="Arial"/>
        </w:rPr>
        <w:t>Israel Border Police</w:t>
      </w:r>
      <w:r w:rsidRPr="007443FD">
        <w:t xml:space="preserve"> </w:t>
      </w:r>
      <w:r w:rsidRPr="007443FD">
        <w:t>，</w:t>
      </w:r>
      <w:hyperlink r:id="rId389" w:history="1">
        <w:r w:rsidRPr="007443FD">
          <w:rPr>
            <w:rStyle w:val="a5"/>
            <w:szCs w:val="20"/>
          </w:rPr>
          <w:t>http://www.absoluteastronomy.com/topics/Israel_Border_Police</w:t>
        </w:r>
        <w:r w:rsidRPr="007443FD">
          <w:rPr>
            <w:rStyle w:val="a5"/>
            <w:rFonts w:hint="eastAsia"/>
            <w:szCs w:val="20"/>
          </w:rPr>
          <w:t>(2010.03)</w:t>
        </w:r>
      </w:hyperlink>
      <w:r w:rsidRPr="007443FD">
        <w:rPr>
          <w:rFonts w:hint="eastAsia"/>
        </w:rPr>
        <w:t>。</w:t>
      </w:r>
    </w:p>
  </w:footnote>
  <w:footnote w:id="1156">
    <w:p w14:paraId="0AC3E114" w14:textId="77777777" w:rsidR="00CA23FA" w:rsidRPr="007443FD" w:rsidRDefault="00CA23FA" w:rsidP="007443FD">
      <w:pPr>
        <w:pStyle w:val="3"/>
        <w:jc w:val="left"/>
      </w:pPr>
      <w:r w:rsidRPr="007443FD">
        <w:rPr>
          <w:rStyle w:val="af3"/>
          <w:rFonts w:ascii="新細明體" w:hAnsi="新細明體"/>
          <w:szCs w:val="20"/>
        </w:rPr>
        <w:footnoteRef/>
      </w:r>
      <w:r w:rsidRPr="007443FD">
        <w:rPr>
          <w:rFonts w:hint="eastAsia"/>
        </w:rPr>
        <w:t>參考資料：</w:t>
      </w:r>
    </w:p>
    <w:p w14:paraId="179E85C6" w14:textId="77777777" w:rsidR="00CA23FA" w:rsidRPr="007443FD" w:rsidRDefault="00CA23FA" w:rsidP="007443FD">
      <w:pPr>
        <w:pStyle w:val="3"/>
        <w:jc w:val="left"/>
        <w:rPr>
          <w:rFonts w:ascii="新細明體" w:hAnsi="新細明體"/>
          <w:szCs w:val="20"/>
        </w:rPr>
      </w:pPr>
      <w:r w:rsidRPr="007443FD">
        <w:rPr>
          <w:rFonts w:ascii="新細明體" w:hAnsi="新細明體"/>
          <w:szCs w:val="20"/>
        </w:rPr>
        <w:t>W</w:t>
      </w:r>
      <w:r w:rsidRPr="007443FD">
        <w:rPr>
          <w:rFonts w:ascii="新細明體" w:hAnsi="新細明體" w:hint="eastAsia"/>
          <w:szCs w:val="20"/>
        </w:rPr>
        <w:t>iki(2010)，</w:t>
      </w:r>
      <w:hyperlink r:id="rId390" w:history="1">
        <w:r w:rsidRPr="007443FD">
          <w:rPr>
            <w:rStyle w:val="a5"/>
            <w:szCs w:val="20"/>
          </w:rPr>
          <w:t>http://en.wikipedia.org/wiki/Israeli_Border_Police</w:t>
        </w:r>
        <w:r w:rsidRPr="007443FD">
          <w:rPr>
            <w:rStyle w:val="a5"/>
            <w:rFonts w:hint="eastAsia"/>
            <w:szCs w:val="20"/>
          </w:rPr>
          <w:t>(2010.03)</w:t>
        </w:r>
      </w:hyperlink>
      <w:r w:rsidRPr="007443FD">
        <w:rPr>
          <w:rFonts w:ascii="新細明體" w:hAnsi="新細明體" w:hint="eastAsia"/>
          <w:szCs w:val="20"/>
        </w:rPr>
        <w:t>。</w:t>
      </w:r>
    </w:p>
    <w:p w14:paraId="377EB7AD" w14:textId="77777777" w:rsidR="00CA23FA" w:rsidRPr="007443FD" w:rsidRDefault="00076467" w:rsidP="007443FD">
      <w:pPr>
        <w:pStyle w:val="3"/>
        <w:jc w:val="left"/>
        <w:rPr>
          <w:rFonts w:ascii="新細明體" w:hAnsi="新細明體"/>
          <w:szCs w:val="20"/>
        </w:rPr>
      </w:pPr>
      <w:hyperlink r:id="rId391" w:history="1">
        <w:r w:rsidR="00CA23FA" w:rsidRPr="007443FD">
          <w:rPr>
            <w:rStyle w:val="a5"/>
            <w:szCs w:val="20"/>
          </w:rPr>
          <w:t>http://wapedia.mobi/en/Israel_Border_Police</w:t>
        </w:r>
      </w:hyperlink>
      <w:hyperlink r:id="rId392" w:history="1">
        <w:r w:rsidR="00CA23FA" w:rsidRPr="007443FD">
          <w:rPr>
            <w:rStyle w:val="a5"/>
            <w:szCs w:val="20"/>
          </w:rPr>
          <w:t>http://en.wikipedia.org/wiki/Israeli_Border_Police</w:t>
        </w:r>
        <w:r w:rsidR="00CA23FA" w:rsidRPr="007443FD">
          <w:rPr>
            <w:rStyle w:val="a5"/>
            <w:rFonts w:hint="eastAsia"/>
            <w:szCs w:val="20"/>
          </w:rPr>
          <w:t>(2010.03)</w:t>
        </w:r>
      </w:hyperlink>
      <w:r w:rsidR="00CA23FA" w:rsidRPr="007443FD">
        <w:rPr>
          <w:rFonts w:ascii="新細明體" w:hAnsi="新細明體" w:hint="eastAsia"/>
          <w:szCs w:val="20"/>
        </w:rPr>
        <w:t>。</w:t>
      </w:r>
    </w:p>
    <w:p w14:paraId="13592AE9" w14:textId="77777777" w:rsidR="00CA23FA" w:rsidRPr="007443FD" w:rsidRDefault="00CA23FA" w:rsidP="007443FD">
      <w:pPr>
        <w:pStyle w:val="3"/>
        <w:jc w:val="left"/>
      </w:pPr>
      <w:r w:rsidRPr="007443FD">
        <w:t xml:space="preserve">AbsoluteAstronomy.com © 2015 </w:t>
      </w:r>
      <w:r w:rsidRPr="007443FD">
        <w:t>，</w:t>
      </w:r>
      <w:r w:rsidRPr="007443FD">
        <w:rPr>
          <w:rFonts w:cs="Arial"/>
        </w:rPr>
        <w:t>Israel Border Police</w:t>
      </w:r>
      <w:r w:rsidRPr="007443FD">
        <w:t xml:space="preserve"> </w:t>
      </w:r>
      <w:r w:rsidRPr="007443FD">
        <w:t>，</w:t>
      </w:r>
      <w:hyperlink r:id="rId393" w:history="1">
        <w:r w:rsidRPr="007443FD">
          <w:rPr>
            <w:rStyle w:val="a5"/>
            <w:szCs w:val="20"/>
          </w:rPr>
          <w:t>http://www.absoluteastronomy.com/topics/Israel_Border_Police</w:t>
        </w:r>
        <w:r w:rsidRPr="007443FD">
          <w:rPr>
            <w:rStyle w:val="a5"/>
            <w:rFonts w:hint="eastAsia"/>
            <w:szCs w:val="20"/>
          </w:rPr>
          <w:t>(2010.03)</w:t>
        </w:r>
      </w:hyperlink>
      <w:r w:rsidRPr="007443FD">
        <w:rPr>
          <w:rFonts w:hint="eastAsia"/>
        </w:rPr>
        <w:t>。</w:t>
      </w:r>
    </w:p>
  </w:footnote>
  <w:footnote w:id="1157">
    <w:p w14:paraId="5ECFF5EC" w14:textId="77777777" w:rsidR="00CA23FA" w:rsidRPr="001663AE" w:rsidRDefault="00CA23FA" w:rsidP="007443FD">
      <w:pPr>
        <w:pStyle w:val="3"/>
        <w:jc w:val="left"/>
      </w:pPr>
      <w:r w:rsidRPr="007443FD">
        <w:rPr>
          <w:rStyle w:val="af3"/>
          <w:rFonts w:ascii="新細明體" w:hAnsi="新細明體"/>
        </w:rPr>
        <w:footnoteRef/>
      </w:r>
      <w:r w:rsidRPr="007443FD">
        <w:t xml:space="preserve"> </w:t>
      </w:r>
      <w:r w:rsidRPr="007443FD">
        <w:rPr>
          <w:rFonts w:hint="eastAsia"/>
        </w:rPr>
        <w:t>維基百科</w:t>
      </w:r>
      <w:r w:rsidRPr="007443FD">
        <w:t>(2013)</w:t>
      </w:r>
      <w:r w:rsidRPr="007443FD">
        <w:rPr>
          <w:rFonts w:hint="eastAsia"/>
        </w:rPr>
        <w:t>，硫磺島戰役（</w:t>
      </w:r>
      <w:r w:rsidRPr="007443FD">
        <w:rPr>
          <w:rStyle w:val="langwithname"/>
          <w:rFonts w:ascii="新細明體" w:hAnsi="新細明體"/>
          <w:lang w:val="en"/>
        </w:rPr>
        <w:t>Battle of Iwo Jima</w:t>
      </w:r>
      <w:r w:rsidRPr="007443FD">
        <w:rPr>
          <w:rStyle w:val="langwithname"/>
          <w:rFonts w:ascii="新細明體" w:hAnsi="新細明體" w:hint="eastAsia"/>
          <w:lang w:val="en"/>
        </w:rPr>
        <w:t>）</w:t>
      </w:r>
      <w:r w:rsidRPr="007443FD">
        <w:rPr>
          <w:rFonts w:hint="eastAsia"/>
        </w:rPr>
        <w:t>，上網瀏灠時間：</w:t>
      </w:r>
      <w:r w:rsidRPr="007443FD">
        <w:t>2013</w:t>
      </w:r>
      <w:r w:rsidRPr="007443FD">
        <w:rPr>
          <w:rFonts w:hint="eastAsia"/>
        </w:rPr>
        <w:t>年</w:t>
      </w:r>
      <w:r w:rsidRPr="007443FD">
        <w:t>4</w:t>
      </w:r>
      <w:r w:rsidRPr="007443FD">
        <w:rPr>
          <w:rFonts w:hint="eastAsia"/>
        </w:rPr>
        <w:t>月</w:t>
      </w:r>
      <w:r w:rsidRPr="007443FD">
        <w:t>3</w:t>
      </w:r>
      <w:r w:rsidRPr="007443FD">
        <w:rPr>
          <w:rFonts w:hint="eastAsia"/>
        </w:rPr>
        <w:t>日，</w:t>
      </w:r>
      <w:hyperlink r:id="rId394" w:history="1">
        <w:r w:rsidRPr="007443FD">
          <w:rPr>
            <w:rStyle w:val="a5"/>
          </w:rPr>
          <w:t>http://zh.wikipedia.org/wiki/%E7%A1%AB%E7%A3%BA%E5%B2%9B%E6%88%98%E5%BD%B9</w:t>
        </w:r>
      </w:hyperlink>
      <w:r w:rsidRPr="007443FD">
        <w:rPr>
          <w:rFonts w:hint="eastAsia"/>
        </w:rPr>
        <w:t>。</w:t>
      </w:r>
    </w:p>
  </w:footnote>
  <w:footnote w:id="1158">
    <w:p w14:paraId="6B1A514C" w14:textId="77777777" w:rsidR="00CA23FA" w:rsidRPr="001663AE" w:rsidRDefault="00CA23FA" w:rsidP="00D87D91">
      <w:pPr>
        <w:pStyle w:val="3"/>
      </w:pPr>
      <w:r w:rsidRPr="001663AE">
        <w:rPr>
          <w:rStyle w:val="af3"/>
          <w:rFonts w:ascii="新細明體" w:hAnsi="新細明體"/>
        </w:rPr>
        <w:footnoteRef/>
      </w:r>
      <w:r w:rsidRPr="001663AE">
        <w:t xml:space="preserve"> Section 73 - Procedure for constitutional enactment</w:t>
      </w:r>
      <w:r>
        <w:t>〜</w:t>
      </w:r>
      <w:r w:rsidRPr="001663AE">
        <w:t>--</w:t>
      </w:r>
    </w:p>
    <w:p w14:paraId="6BADC665" w14:textId="77777777" w:rsidR="00CA23FA" w:rsidRPr="001663AE" w:rsidRDefault="00CA23FA" w:rsidP="00D87D91">
      <w:pPr>
        <w:pStyle w:val="3"/>
      </w:pPr>
      <w:r w:rsidRPr="001663AE">
        <w:t>A proposal on the enactment, amendment or repeal of the Constitution or on the enactment of a limited derogation of the Constitution shall in the second reading be left in abeyance, by a majority of the votes cast, until the first parliamentary session following parliamentary elections. The proposal shall then, once the Committee has issued its report, be adopted without material alterations in one reading in a plenary session by a decision supported by at least two thirds of the votes cast.</w:t>
      </w:r>
    </w:p>
    <w:p w14:paraId="04A0FF37" w14:textId="77777777" w:rsidR="00CA23FA" w:rsidRPr="001663AE" w:rsidRDefault="00CA23FA" w:rsidP="00D87D91">
      <w:pPr>
        <w:pStyle w:val="3"/>
      </w:pPr>
      <w:r w:rsidRPr="001663AE">
        <w:t xml:space="preserve">However, the proposal may be declared urgent by a decision that has been supported by at least five sixths of the votes cast. In this event, the proposal is not left in abeyance and it can be adopted by a decision supported by at least two thirds of the votes cast. </w:t>
      </w:r>
    </w:p>
  </w:footnote>
  <w:footnote w:id="1159">
    <w:p w14:paraId="2F6B9176" w14:textId="77777777" w:rsidR="00CA23FA" w:rsidRPr="007B5198" w:rsidRDefault="00CA23FA" w:rsidP="007B5198">
      <w:pPr>
        <w:pStyle w:val="3"/>
        <w:jc w:val="left"/>
        <w:rPr>
          <w:b/>
        </w:rPr>
      </w:pPr>
      <w:r w:rsidRPr="007B5198">
        <w:rPr>
          <w:rStyle w:val="af3"/>
          <w:rFonts w:ascii="新細明體" w:hAnsi="新細明體"/>
          <w:b/>
        </w:rPr>
        <w:footnoteRef/>
      </w:r>
      <w:r w:rsidRPr="007B5198">
        <w:rPr>
          <w:rFonts w:hint="eastAsia"/>
        </w:rPr>
        <w:t>朱建民原譯、陳沖、張桐銳、林子平、李震山增譯，</w:t>
      </w:r>
      <w:r w:rsidRPr="007B5198">
        <w:rPr>
          <w:rStyle w:val="afc"/>
          <w:rFonts w:ascii="新細明體" w:hAnsi="新細明體" w:hint="eastAsia"/>
          <w:b w:val="0"/>
        </w:rPr>
        <w:t>德意志聯邦共和國基本法，台北：司法院。</w:t>
      </w:r>
    </w:p>
  </w:footnote>
  <w:footnote w:id="1160">
    <w:p w14:paraId="4CB82359" w14:textId="77777777" w:rsidR="00CA23FA" w:rsidRPr="001663AE" w:rsidRDefault="00CA23FA" w:rsidP="007B5198">
      <w:pPr>
        <w:pStyle w:val="3"/>
        <w:jc w:val="left"/>
      </w:pPr>
      <w:r w:rsidRPr="001663AE">
        <w:rPr>
          <w:rStyle w:val="af3"/>
          <w:rFonts w:ascii="新細明體" w:hAnsi="新細明體"/>
          <w:szCs w:val="20"/>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p w14:paraId="4F30F21C" w14:textId="77777777" w:rsidR="00CA23FA" w:rsidRPr="001663AE" w:rsidRDefault="00CA23FA" w:rsidP="007B5198">
      <w:pPr>
        <w:pStyle w:val="3"/>
        <w:jc w:val="left"/>
      </w:pPr>
      <w:r w:rsidRPr="001663AE">
        <w:rPr>
          <w:rFonts w:hint="eastAsia"/>
        </w:rPr>
        <w:t>雷敦龢譯，</w:t>
      </w:r>
      <w:r w:rsidRPr="001663AE">
        <w:rPr>
          <w:rFonts w:cs="標楷體" w:hint="eastAsia"/>
        </w:rPr>
        <w:t>英國大憲章今譯，台北：</w:t>
      </w:r>
      <w:r w:rsidRPr="001663AE">
        <w:rPr>
          <w:rFonts w:hint="eastAsia"/>
        </w:rPr>
        <w:t>輔仁大學若望保祿二世和平研究中心。</w:t>
      </w:r>
    </w:p>
  </w:footnote>
  <w:footnote w:id="1161">
    <w:p w14:paraId="23C501C7" w14:textId="77777777" w:rsidR="00CA23FA" w:rsidRPr="001663AE" w:rsidRDefault="00CA23FA" w:rsidP="007B5198">
      <w:pPr>
        <w:pStyle w:val="3"/>
        <w:jc w:val="left"/>
      </w:pPr>
      <w:r w:rsidRPr="001663AE">
        <w:rPr>
          <w:rStyle w:val="af3"/>
          <w:rFonts w:ascii="新細明體" w:hAnsi="新細明體"/>
          <w:szCs w:val="20"/>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p w14:paraId="57E1EE75" w14:textId="77777777" w:rsidR="00CA23FA" w:rsidRPr="001663AE" w:rsidRDefault="00CA23FA" w:rsidP="007B5198">
      <w:pPr>
        <w:pStyle w:val="3"/>
        <w:jc w:val="left"/>
      </w:pPr>
      <w:r w:rsidRPr="001663AE">
        <w:rPr>
          <w:rFonts w:hint="eastAsia"/>
        </w:rPr>
        <w:t>雷敦龢譯，</w:t>
      </w:r>
      <w:r w:rsidRPr="001663AE">
        <w:rPr>
          <w:rFonts w:cs="標楷體" w:hint="eastAsia"/>
        </w:rPr>
        <w:t>英國大憲章今譯，台北：</w:t>
      </w:r>
      <w:r w:rsidRPr="001663AE">
        <w:rPr>
          <w:rFonts w:hint="eastAsia"/>
        </w:rPr>
        <w:t>輔仁大學若望保祿二世和平研究中心。</w:t>
      </w:r>
    </w:p>
  </w:footnote>
  <w:footnote w:id="1162">
    <w:p w14:paraId="1185DD11" w14:textId="77777777" w:rsidR="00CA23FA" w:rsidRPr="001663AE" w:rsidRDefault="00CA23FA" w:rsidP="007B5198">
      <w:pPr>
        <w:pStyle w:val="3"/>
        <w:jc w:val="left"/>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footnote>
  <w:footnote w:id="1163">
    <w:p w14:paraId="577E917E" w14:textId="77777777" w:rsidR="00CA23FA" w:rsidRPr="001663AE" w:rsidRDefault="00CA23FA" w:rsidP="007B5198">
      <w:pPr>
        <w:pStyle w:val="3"/>
        <w:jc w:val="left"/>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footnote>
  <w:footnote w:id="1164">
    <w:p w14:paraId="2DA07115" w14:textId="77777777" w:rsidR="00CA23FA" w:rsidRPr="001663AE" w:rsidRDefault="00CA23FA" w:rsidP="007B5198">
      <w:pPr>
        <w:pStyle w:val="3"/>
        <w:jc w:val="left"/>
      </w:pPr>
      <w:r w:rsidRPr="001663AE">
        <w:rPr>
          <w:rStyle w:val="af3"/>
          <w:rFonts w:ascii="新細明體" w:hAnsi="新細明體"/>
          <w:szCs w:val="20"/>
        </w:rPr>
        <w:footnoteRef/>
      </w:r>
      <w:r w:rsidRPr="001663AE">
        <w:t>司法院</w:t>
      </w:r>
      <w:r w:rsidRPr="001663AE">
        <w:t>(2012)</w:t>
      </w:r>
      <w:r w:rsidRPr="001663AE">
        <w:rPr>
          <w:rFonts w:hint="eastAsia"/>
        </w:rPr>
        <w:t>，</w:t>
      </w:r>
      <w:r w:rsidRPr="001663AE">
        <w:rPr>
          <w:rStyle w:val="afc"/>
          <w:rFonts w:ascii="新細明體" w:hAnsi="新細明體" w:hint="eastAsia"/>
          <w:szCs w:val="20"/>
        </w:rPr>
        <w:t>The Constitution of the United States of America(</w:t>
      </w:r>
      <w:r w:rsidRPr="001663AE">
        <w:rPr>
          <w:rFonts w:hint="eastAsia"/>
        </w:rPr>
        <w:t>美利堅合眾國憲法</w:t>
      </w:r>
      <w:r w:rsidRPr="001663AE">
        <w:rPr>
          <w:rFonts w:hint="eastAsia"/>
        </w:rPr>
        <w:t>)</w:t>
      </w:r>
      <w:r w:rsidRPr="001663AE">
        <w:rPr>
          <w:rFonts w:hint="eastAsia"/>
        </w:rPr>
        <w:t>，上網瀏覽時日：</w:t>
      </w:r>
      <w:r w:rsidRPr="001663AE">
        <w:t>2015/08/05</w:t>
      </w:r>
      <w:r w:rsidRPr="001663AE">
        <w:rPr>
          <w:rFonts w:hint="eastAsia"/>
        </w:rPr>
        <w:t>，</w:t>
      </w:r>
      <w:r w:rsidRPr="001663AE">
        <w:t>http://www.judicial.gov.tw/db/db04/db04-03.asp</w:t>
      </w:r>
      <w:r w:rsidRPr="001663AE">
        <w:rPr>
          <w:rFonts w:hint="eastAsia"/>
        </w:rPr>
        <w:t>。</w:t>
      </w:r>
    </w:p>
    <w:p w14:paraId="7F1EF217" w14:textId="77777777" w:rsidR="00CA23FA" w:rsidRPr="001663AE" w:rsidRDefault="00CA23FA" w:rsidP="007B5198">
      <w:pPr>
        <w:pStyle w:val="3"/>
        <w:jc w:val="left"/>
      </w:pPr>
      <w:r w:rsidRPr="001663AE">
        <w:rPr>
          <w:rFonts w:hint="eastAsia"/>
        </w:rPr>
        <w:t>鄒文海譯，美利堅合眾國憲法，收錄於國民大會秘書處，「世界各國憲法大全」。</w:t>
      </w:r>
    </w:p>
  </w:footnote>
  <w:footnote w:id="1165">
    <w:p w14:paraId="613A56C9" w14:textId="77777777" w:rsidR="00CA23FA" w:rsidRPr="001663AE" w:rsidRDefault="00CA23FA" w:rsidP="00BC66E8">
      <w:pPr>
        <w:pStyle w:val="3"/>
        <w:jc w:val="left"/>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footnote>
  <w:footnote w:id="1166">
    <w:p w14:paraId="162055BB" w14:textId="77777777" w:rsidR="00CA23FA" w:rsidRPr="00BC66E8" w:rsidRDefault="00CA23FA" w:rsidP="00BC66E8">
      <w:pPr>
        <w:pStyle w:val="3"/>
        <w:jc w:val="left"/>
      </w:pPr>
      <w:r w:rsidRPr="00BC66E8">
        <w:rPr>
          <w:rStyle w:val="af3"/>
          <w:rFonts w:ascii="新細明體" w:hAnsi="新細明體"/>
          <w:szCs w:val="20"/>
        </w:rPr>
        <w:footnoteRef/>
      </w:r>
      <w:r w:rsidRPr="00BC66E8">
        <w:rPr>
          <w:rFonts w:hint="eastAsia"/>
        </w:rPr>
        <w:t>朱建民原譯、陳沖、張桐銳、林子平、李震山增譯，</w:t>
      </w:r>
      <w:r w:rsidRPr="00BC66E8">
        <w:rPr>
          <w:rStyle w:val="afc"/>
          <w:rFonts w:ascii="新細明體" w:hAnsi="新細明體" w:hint="eastAsia"/>
          <w:b w:val="0"/>
          <w:szCs w:val="20"/>
        </w:rPr>
        <w:t>德意志聯邦共和國基本法，台北：司法院。</w:t>
      </w:r>
    </w:p>
  </w:footnote>
  <w:footnote w:id="1167">
    <w:p w14:paraId="7185B24F" w14:textId="77777777" w:rsidR="00CA23FA" w:rsidRPr="00BC66E8" w:rsidRDefault="00CA23FA" w:rsidP="00BC66E8">
      <w:pPr>
        <w:pStyle w:val="3"/>
        <w:jc w:val="left"/>
      </w:pPr>
      <w:r w:rsidRPr="00BC66E8">
        <w:rPr>
          <w:rStyle w:val="af3"/>
          <w:rFonts w:ascii="新細明體" w:hAnsi="新細明體"/>
          <w:szCs w:val="20"/>
        </w:rPr>
        <w:footnoteRef/>
      </w:r>
      <w:r w:rsidRPr="00BC66E8">
        <w:rPr>
          <w:rFonts w:hint="eastAsia"/>
        </w:rPr>
        <w:t>朱建民原譯、陳沖、張桐銳、林子平、李震山增譯，</w:t>
      </w:r>
      <w:r w:rsidRPr="00BC66E8">
        <w:rPr>
          <w:rStyle w:val="afc"/>
          <w:rFonts w:ascii="新細明體" w:hAnsi="新細明體" w:hint="eastAsia"/>
          <w:b w:val="0"/>
          <w:szCs w:val="20"/>
        </w:rPr>
        <w:t>德意志聯邦共和國基本法，台北：司法院。</w:t>
      </w:r>
    </w:p>
  </w:footnote>
  <w:footnote w:id="1168">
    <w:p w14:paraId="31167690" w14:textId="77777777" w:rsidR="00CA23FA" w:rsidRPr="00BC66E8" w:rsidRDefault="00CA23FA" w:rsidP="00BC66E8">
      <w:pPr>
        <w:pStyle w:val="3"/>
        <w:jc w:val="left"/>
      </w:pPr>
      <w:r w:rsidRPr="00BC66E8">
        <w:rPr>
          <w:rStyle w:val="af3"/>
          <w:rFonts w:ascii="新細明體" w:hAnsi="新細明體"/>
        </w:rPr>
        <w:footnoteRef/>
      </w:r>
      <w:r w:rsidRPr="00BC66E8">
        <w:t>監察院</w:t>
      </w:r>
      <w:r w:rsidRPr="00BC66E8">
        <w:rPr>
          <w:rFonts w:hint="eastAsia"/>
        </w:rPr>
        <w:t>(103)</w:t>
      </w:r>
      <w:r w:rsidRPr="00BC66E8">
        <w:rPr>
          <w:rFonts w:hint="eastAsia"/>
        </w:rPr>
        <w:t>，</w:t>
      </w:r>
      <w:r w:rsidRPr="00BC66E8">
        <w:t>鄭性澤殺警案偵辦過程重大違法瑕疵，監察院要求法務部轉請最高法院檢察署等研提非常上訴及再審，</w:t>
      </w:r>
      <w:r w:rsidRPr="00BC66E8">
        <w:rPr>
          <w:rFonts w:hint="eastAsia"/>
        </w:rPr>
        <w:t>上網瀏覽時日：</w:t>
      </w:r>
      <w:r w:rsidRPr="00BC66E8">
        <w:rPr>
          <w:rFonts w:hint="eastAsia"/>
        </w:rPr>
        <w:t>2015/08/06</w:t>
      </w:r>
      <w:r w:rsidRPr="00BC66E8">
        <w:rPr>
          <w:rFonts w:hint="eastAsia"/>
        </w:rPr>
        <w:t>，</w:t>
      </w:r>
      <w:hyperlink r:id="rId395" w:history="1">
        <w:r w:rsidRPr="00BC66E8">
          <w:rPr>
            <w:rStyle w:val="a5"/>
          </w:rPr>
          <w:t>http://www.cy.gov.tw/sp.asp?xdURL=./di/Message/message_1.asp&amp;ctNode=903&amp;msg_id=4849</w:t>
        </w:r>
      </w:hyperlink>
      <w:r w:rsidRPr="00BC66E8">
        <w:t>。</w:t>
      </w:r>
    </w:p>
  </w:footnote>
  <w:footnote w:id="1169">
    <w:p w14:paraId="45CF4183" w14:textId="77777777" w:rsidR="00CA23FA" w:rsidRPr="00BC66E8" w:rsidRDefault="00CA23FA" w:rsidP="00BC66E8">
      <w:pPr>
        <w:pStyle w:val="3"/>
        <w:jc w:val="left"/>
      </w:pPr>
      <w:r w:rsidRPr="00BC66E8">
        <w:rPr>
          <w:rStyle w:val="af3"/>
          <w:rFonts w:ascii="新細明體" w:hAnsi="新細明體"/>
          <w:szCs w:val="20"/>
        </w:rPr>
        <w:footnoteRef/>
      </w:r>
      <w:r w:rsidRPr="00BC66E8">
        <w:rPr>
          <w:rFonts w:hint="eastAsia"/>
        </w:rPr>
        <w:t>朱建民原譯、陳沖、張桐銳、林子平、李</w:t>
      </w:r>
      <w:r w:rsidRPr="00BC66E8">
        <w:rPr>
          <w:rFonts w:hint="eastAsia"/>
          <w:b/>
        </w:rPr>
        <w:t>震山增譯，</w:t>
      </w:r>
      <w:r w:rsidRPr="00BC66E8">
        <w:rPr>
          <w:rStyle w:val="afc"/>
          <w:rFonts w:ascii="新細明體" w:hAnsi="新細明體" w:hint="eastAsia"/>
          <w:b w:val="0"/>
          <w:szCs w:val="20"/>
        </w:rPr>
        <w:t>德意志聯邦共和國基本法，台北：司法院。</w:t>
      </w:r>
    </w:p>
    <w:p w14:paraId="3B111834" w14:textId="77777777" w:rsidR="00CA23FA" w:rsidRPr="00BF2553" w:rsidRDefault="00CA23FA" w:rsidP="00D87D91">
      <w:pPr>
        <w:pStyle w:val="3"/>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5B4FD62"/>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12B00DE"/>
    <w:multiLevelType w:val="hybridMultilevel"/>
    <w:tmpl w:val="F88A485A"/>
    <w:lvl w:ilvl="0" w:tplc="0409000F">
      <w:start w:val="1"/>
      <w:numFmt w:val="decimal"/>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 w15:restartNumberingAfterBreak="0">
    <w:nsid w:val="0D593951"/>
    <w:multiLevelType w:val="hybridMultilevel"/>
    <w:tmpl w:val="65224B72"/>
    <w:lvl w:ilvl="0" w:tplc="5F50037E">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 w15:restartNumberingAfterBreak="0">
    <w:nsid w:val="0F3A4441"/>
    <w:multiLevelType w:val="hybridMultilevel"/>
    <w:tmpl w:val="62269FF6"/>
    <w:lvl w:ilvl="0" w:tplc="0409000F">
      <w:start w:val="1"/>
      <w:numFmt w:val="decimal"/>
      <w:lvlText w:val="%1."/>
      <w:lvlJc w:val="left"/>
      <w:pPr>
        <w:ind w:left="960"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0C519C7"/>
    <w:multiLevelType w:val="hybridMultilevel"/>
    <w:tmpl w:val="E49A9F9C"/>
    <w:lvl w:ilvl="0" w:tplc="AFDADD1C">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58D76CF"/>
    <w:multiLevelType w:val="hybridMultilevel"/>
    <w:tmpl w:val="9DA09F40"/>
    <w:lvl w:ilvl="0" w:tplc="A6F476D0">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 w15:restartNumberingAfterBreak="0">
    <w:nsid w:val="164C18E0"/>
    <w:multiLevelType w:val="hybridMultilevel"/>
    <w:tmpl w:val="9A702BAC"/>
    <w:lvl w:ilvl="0" w:tplc="04090017">
      <w:start w:val="1"/>
      <w:numFmt w:val="ideographLegalTraditional"/>
      <w:lvlText w:val="%1、"/>
      <w:lvlJc w:val="left"/>
      <w:pPr>
        <w:tabs>
          <w:tab w:val="num" w:pos="480"/>
        </w:tabs>
        <w:ind w:left="480" w:hanging="480"/>
      </w:pPr>
      <w:rPr>
        <w:rFonts w:hint="default"/>
      </w:rPr>
    </w:lvl>
    <w:lvl w:ilvl="1" w:tplc="408C8B7C">
      <w:start w:val="1"/>
      <w:numFmt w:val="taiwaneseCountingThousand"/>
      <w:lvlText w:val="(%2)"/>
      <w:lvlJc w:val="left"/>
      <w:pPr>
        <w:tabs>
          <w:tab w:val="num" w:pos="958"/>
        </w:tabs>
        <w:ind w:left="958" w:hanging="390"/>
      </w:pPr>
      <w:rPr>
        <w:rFonts w:hint="default"/>
      </w:rPr>
    </w:lvl>
    <w:lvl w:ilvl="2" w:tplc="673499DE">
      <w:start w:val="1"/>
      <w:numFmt w:val="decimal"/>
      <w:lvlText w:val="%3."/>
      <w:lvlJc w:val="left"/>
      <w:pPr>
        <w:ind w:left="1320" w:hanging="360"/>
      </w:pPr>
      <w:rPr>
        <w:rFonts w:hint="default"/>
      </w:rPr>
    </w:lvl>
    <w:lvl w:ilvl="3" w:tplc="E3444636">
      <w:start w:val="1"/>
      <w:numFmt w:val="decimal"/>
      <w:lvlText w:val="%4、"/>
      <w:lvlJc w:val="left"/>
      <w:pPr>
        <w:ind w:left="2160" w:hanging="720"/>
      </w:pPr>
      <w:rPr>
        <w:rFonts w:hint="default"/>
        <w:sz w:val="40"/>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19BD1F62"/>
    <w:multiLevelType w:val="hybridMultilevel"/>
    <w:tmpl w:val="7A184B0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20562BEB"/>
    <w:multiLevelType w:val="hybridMultilevel"/>
    <w:tmpl w:val="C3981F16"/>
    <w:lvl w:ilvl="0" w:tplc="1842EA40">
      <w:start w:val="1"/>
      <w:numFmt w:val="decimal"/>
      <w:lvlText w:val="(%1)"/>
      <w:lvlJc w:val="left"/>
      <w:pPr>
        <w:tabs>
          <w:tab w:val="num" w:pos="870"/>
        </w:tabs>
        <w:ind w:left="870" w:hanging="390"/>
      </w:pPr>
      <w:rPr>
        <w:rFonts w:hint="default"/>
      </w:rPr>
    </w:lvl>
    <w:lvl w:ilvl="1" w:tplc="0FA20F78">
      <w:start w:val="1"/>
      <w:numFmt w:val="decimal"/>
      <w:lvlText w:val="%2."/>
      <w:lvlJc w:val="left"/>
      <w:pPr>
        <w:ind w:left="1320" w:hanging="360"/>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9" w15:restartNumberingAfterBreak="0">
    <w:nsid w:val="227D5FBA"/>
    <w:multiLevelType w:val="hybridMultilevel"/>
    <w:tmpl w:val="24D693D8"/>
    <w:lvl w:ilvl="0" w:tplc="77D496D4">
      <w:start w:val="1"/>
      <w:numFmt w:val="decimal"/>
      <w:lvlText w:val="%1、"/>
      <w:lvlJc w:val="left"/>
      <w:pPr>
        <w:ind w:left="480" w:hanging="480"/>
      </w:pPr>
      <w:rPr>
        <w:rFonts w:ascii="Times New Roman" w:hAnsi="Times New Roman" w:cs="Times New Roman" w:hint="default"/>
      </w:rPr>
    </w:lvl>
    <w:lvl w:ilvl="1" w:tplc="28327002">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239A016D"/>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67225A7"/>
    <w:multiLevelType w:val="hybridMultilevel"/>
    <w:tmpl w:val="8CA62AB4"/>
    <w:lvl w:ilvl="0" w:tplc="C2909EB2">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15:restartNumberingAfterBreak="0">
    <w:nsid w:val="2A1114DF"/>
    <w:multiLevelType w:val="hybridMultilevel"/>
    <w:tmpl w:val="E820B73C"/>
    <w:lvl w:ilvl="0" w:tplc="0409000F">
      <w:start w:val="1"/>
      <w:numFmt w:val="decimal"/>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3" w15:restartNumberingAfterBreak="0">
    <w:nsid w:val="2D7D581A"/>
    <w:multiLevelType w:val="hybridMultilevel"/>
    <w:tmpl w:val="5B1CB82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15C4A03"/>
    <w:multiLevelType w:val="hybridMultilevel"/>
    <w:tmpl w:val="C95416CE"/>
    <w:lvl w:ilvl="0" w:tplc="C608AF34">
      <w:start w:val="1"/>
      <w:numFmt w:val="decimal"/>
      <w:lvlText w:val="%1、"/>
      <w:lvlJc w:val="left"/>
      <w:pPr>
        <w:ind w:left="720" w:hanging="720"/>
      </w:pPr>
      <w:rPr>
        <w:rFonts w:hint="default"/>
        <w:color w:val="333333"/>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2866BD1"/>
    <w:multiLevelType w:val="hybridMultilevel"/>
    <w:tmpl w:val="DB0025AA"/>
    <w:lvl w:ilvl="0" w:tplc="29DC5A44">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15:restartNumberingAfterBreak="0">
    <w:nsid w:val="350D674C"/>
    <w:multiLevelType w:val="hybridMultilevel"/>
    <w:tmpl w:val="12CC6642"/>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15:restartNumberingAfterBreak="0">
    <w:nsid w:val="38246F87"/>
    <w:multiLevelType w:val="hybridMultilevel"/>
    <w:tmpl w:val="CE1A3C38"/>
    <w:lvl w:ilvl="0" w:tplc="634839DA">
      <w:start w:val="1"/>
      <w:numFmt w:val="decimal"/>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8A559B8"/>
    <w:multiLevelType w:val="hybridMultilevel"/>
    <w:tmpl w:val="18D86792"/>
    <w:lvl w:ilvl="0" w:tplc="DF28C4BC">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9" w15:restartNumberingAfterBreak="0">
    <w:nsid w:val="38E30ECF"/>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11F02FF"/>
    <w:multiLevelType w:val="hybridMultilevel"/>
    <w:tmpl w:val="11EC08D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23A65C1"/>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3431C83"/>
    <w:multiLevelType w:val="hybridMultilevel"/>
    <w:tmpl w:val="3FEEDF9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44466FF2"/>
    <w:multiLevelType w:val="hybridMultilevel"/>
    <w:tmpl w:val="80549B30"/>
    <w:lvl w:ilvl="0" w:tplc="A2AE57A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8BB7C60"/>
    <w:multiLevelType w:val="hybridMultilevel"/>
    <w:tmpl w:val="8236BC54"/>
    <w:lvl w:ilvl="0" w:tplc="EFC87156">
      <w:start w:val="1"/>
      <w:numFmt w:val="decimal"/>
      <w:lvlText w:val="%1、"/>
      <w:lvlJc w:val="left"/>
      <w:pPr>
        <w:tabs>
          <w:tab w:val="num" w:pos="2"/>
        </w:tabs>
        <w:ind w:left="541" w:hanging="541"/>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15:restartNumberingAfterBreak="0">
    <w:nsid w:val="48E411D3"/>
    <w:multiLevelType w:val="hybridMultilevel"/>
    <w:tmpl w:val="5E5681B0"/>
    <w:lvl w:ilvl="0" w:tplc="687A817E">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6" w15:restartNumberingAfterBreak="0">
    <w:nsid w:val="49C83674"/>
    <w:multiLevelType w:val="hybridMultilevel"/>
    <w:tmpl w:val="E162191E"/>
    <w:lvl w:ilvl="0" w:tplc="77C8B14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7" w15:restartNumberingAfterBreak="0">
    <w:nsid w:val="4AEF7231"/>
    <w:multiLevelType w:val="hybridMultilevel"/>
    <w:tmpl w:val="1A28D5C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4CAB77CA"/>
    <w:multiLevelType w:val="hybridMultilevel"/>
    <w:tmpl w:val="E6AA8752"/>
    <w:lvl w:ilvl="0" w:tplc="76F04860">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9" w15:restartNumberingAfterBreak="0">
    <w:nsid w:val="4E3F079A"/>
    <w:multiLevelType w:val="hybridMultilevel"/>
    <w:tmpl w:val="7A465FA4"/>
    <w:lvl w:ilvl="0" w:tplc="0409000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30" w15:restartNumberingAfterBreak="0">
    <w:nsid w:val="4E9C01C9"/>
    <w:multiLevelType w:val="hybridMultilevel"/>
    <w:tmpl w:val="C8784E18"/>
    <w:lvl w:ilvl="0" w:tplc="B3F658EC">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4F40160D"/>
    <w:multiLevelType w:val="hybridMultilevel"/>
    <w:tmpl w:val="30FEEF70"/>
    <w:lvl w:ilvl="0" w:tplc="1EAE83D8">
      <w:start w:val="1"/>
      <w:numFmt w:val="decimal"/>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15:restartNumberingAfterBreak="0">
    <w:nsid w:val="53AD55A3"/>
    <w:multiLevelType w:val="hybridMultilevel"/>
    <w:tmpl w:val="2EC22F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66E01D1"/>
    <w:multiLevelType w:val="hybridMultilevel"/>
    <w:tmpl w:val="E696CBBC"/>
    <w:lvl w:ilvl="0" w:tplc="A558AFD4">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4" w15:restartNumberingAfterBreak="0">
    <w:nsid w:val="57AB744C"/>
    <w:multiLevelType w:val="hybridMultilevel"/>
    <w:tmpl w:val="18FE2356"/>
    <w:lvl w:ilvl="0" w:tplc="1708DDE4">
      <w:start w:val="1"/>
      <w:numFmt w:val="taiwaneseCountingThousand"/>
      <w:lvlText w:val="(%1)"/>
      <w:lvlJc w:val="left"/>
      <w:pPr>
        <w:ind w:left="870" w:hanging="39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15:restartNumberingAfterBreak="0">
    <w:nsid w:val="58255319"/>
    <w:multiLevelType w:val="hybridMultilevel"/>
    <w:tmpl w:val="62A003D4"/>
    <w:lvl w:ilvl="0" w:tplc="56B84B62">
      <w:start w:val="1"/>
      <w:numFmt w:val="taiwaneseCountingThousand"/>
      <w:lvlText w:val="%1、"/>
      <w:lvlJc w:val="left"/>
      <w:pPr>
        <w:tabs>
          <w:tab w:val="num" w:pos="480"/>
        </w:tabs>
        <w:ind w:left="480" w:hanging="480"/>
      </w:pPr>
      <w:rPr>
        <w:rFonts w:cs="新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6" w15:restartNumberingAfterBreak="0">
    <w:nsid w:val="5B4D74A9"/>
    <w:multiLevelType w:val="hybridMultilevel"/>
    <w:tmpl w:val="A64074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5B59317A"/>
    <w:multiLevelType w:val="hybridMultilevel"/>
    <w:tmpl w:val="DC5A08D2"/>
    <w:lvl w:ilvl="0" w:tplc="30162FE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5D7C362F"/>
    <w:multiLevelType w:val="hybridMultilevel"/>
    <w:tmpl w:val="CC7AE45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9" w15:restartNumberingAfterBreak="0">
    <w:nsid w:val="62A77DC4"/>
    <w:multiLevelType w:val="hybridMultilevel"/>
    <w:tmpl w:val="32182DAA"/>
    <w:lvl w:ilvl="0" w:tplc="0409000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40" w15:restartNumberingAfterBreak="0">
    <w:nsid w:val="63D943F8"/>
    <w:multiLevelType w:val="hybridMultilevel"/>
    <w:tmpl w:val="AD6204F6"/>
    <w:lvl w:ilvl="0" w:tplc="E82677FE">
      <w:start w:val="1"/>
      <w:numFmt w:val="taiwaneseCountingThousand"/>
      <w:lvlText w:val="%1、"/>
      <w:lvlJc w:val="left"/>
      <w:pPr>
        <w:tabs>
          <w:tab w:val="num" w:pos="57"/>
        </w:tabs>
        <w:ind w:left="680" w:hanging="567"/>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41" w15:restartNumberingAfterBreak="0">
    <w:nsid w:val="6C47349F"/>
    <w:multiLevelType w:val="hybridMultilevel"/>
    <w:tmpl w:val="0C5C89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6D1478AF"/>
    <w:multiLevelType w:val="hybridMultilevel"/>
    <w:tmpl w:val="7D187412"/>
    <w:lvl w:ilvl="0" w:tplc="016E1E66">
      <w:start w:val="1"/>
      <w:numFmt w:val="taiwaneseCountingThousand"/>
      <w:lvlText w:val="(%1)"/>
      <w:lvlJc w:val="left"/>
      <w:pPr>
        <w:ind w:left="390" w:hanging="39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3" w15:restartNumberingAfterBreak="0">
    <w:nsid w:val="71CB5586"/>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745B22DB"/>
    <w:multiLevelType w:val="hybridMultilevel"/>
    <w:tmpl w:val="C408F400"/>
    <w:lvl w:ilvl="0" w:tplc="F02ED1C8">
      <w:start w:val="1"/>
      <w:numFmt w:val="taiwaneseCountingThousand"/>
      <w:lvlText w:val="%1、"/>
      <w:lvlJc w:val="left"/>
      <w:pPr>
        <w:tabs>
          <w:tab w:val="num" w:pos="885"/>
        </w:tabs>
        <w:ind w:left="885" w:hanging="885"/>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45" w15:restartNumberingAfterBreak="0">
    <w:nsid w:val="77D62174"/>
    <w:multiLevelType w:val="hybridMultilevel"/>
    <w:tmpl w:val="C49C1FA6"/>
    <w:lvl w:ilvl="0" w:tplc="115AF0DC">
      <w:start w:val="1"/>
      <w:numFmt w:val="decimal"/>
      <w:lvlText w:val="%1."/>
      <w:lvlJc w:val="left"/>
      <w:pPr>
        <w:ind w:left="360" w:hanging="360"/>
      </w:pPr>
      <w:rPr>
        <w:rFonts w:ascii="Calibri" w:eastAsia="新細明體" w:hAnsi="Calibri"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78632D6F"/>
    <w:multiLevelType w:val="hybridMultilevel"/>
    <w:tmpl w:val="6F348AEE"/>
    <w:lvl w:ilvl="0" w:tplc="CD8C1380">
      <w:start w:val="1"/>
      <w:numFmt w:val="taiwaneseCountingThousand"/>
      <w:lvlText w:val="(%1)"/>
      <w:lvlJc w:val="left"/>
      <w:pPr>
        <w:ind w:left="870" w:hanging="39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7" w15:restartNumberingAfterBreak="0">
    <w:nsid w:val="78F17C69"/>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7A2A6E04"/>
    <w:multiLevelType w:val="hybridMultilevel"/>
    <w:tmpl w:val="966E7CE2"/>
    <w:lvl w:ilvl="0" w:tplc="7D68719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9" w15:restartNumberingAfterBreak="0">
    <w:nsid w:val="7C3C6BA8"/>
    <w:multiLevelType w:val="hybridMultilevel"/>
    <w:tmpl w:val="AA6444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7E4C07C8"/>
    <w:multiLevelType w:val="hybridMultilevel"/>
    <w:tmpl w:val="8B2CA06C"/>
    <w:lvl w:ilvl="0" w:tplc="8F3A2C2A">
      <w:start w:val="1"/>
      <w:numFmt w:val="decimal"/>
      <w:lvlText w:val="%1."/>
      <w:lvlJc w:val="left"/>
      <w:pPr>
        <w:tabs>
          <w:tab w:val="num" w:pos="960"/>
        </w:tabs>
        <w:ind w:left="96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num w:numId="1">
    <w:abstractNumId w:val="6"/>
  </w:num>
  <w:num w:numId="2">
    <w:abstractNumId w:val="8"/>
  </w:num>
  <w:num w:numId="3">
    <w:abstractNumId w:val="24"/>
  </w:num>
  <w:num w:numId="4">
    <w:abstractNumId w:val="31"/>
  </w:num>
  <w:num w:numId="5">
    <w:abstractNumId w:val="16"/>
  </w:num>
  <w:num w:numId="6">
    <w:abstractNumId w:val="35"/>
  </w:num>
  <w:num w:numId="7">
    <w:abstractNumId w:val="15"/>
  </w:num>
  <w:num w:numId="8">
    <w:abstractNumId w:val="7"/>
  </w:num>
  <w:num w:numId="9">
    <w:abstractNumId w:val="0"/>
  </w:num>
  <w:num w:numId="1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num>
  <w:num w:numId="16">
    <w:abstractNumId w:val="21"/>
  </w:num>
  <w:num w:numId="17">
    <w:abstractNumId w:val="43"/>
  </w:num>
  <w:num w:numId="18">
    <w:abstractNumId w:val="9"/>
  </w:num>
  <w:num w:numId="19">
    <w:abstractNumId w:val="10"/>
  </w:num>
  <w:num w:numId="20">
    <w:abstractNumId w:val="19"/>
  </w:num>
  <w:num w:numId="21">
    <w:abstractNumId w:val="27"/>
  </w:num>
  <w:num w:numId="22">
    <w:abstractNumId w:val="47"/>
  </w:num>
  <w:num w:numId="23">
    <w:abstractNumId w:val="17"/>
  </w:num>
  <w:num w:numId="24">
    <w:abstractNumId w:val="1"/>
  </w:num>
  <w:num w:numId="25">
    <w:abstractNumId w:val="11"/>
  </w:num>
  <w:num w:numId="26">
    <w:abstractNumId w:val="28"/>
  </w:num>
  <w:num w:numId="27">
    <w:abstractNumId w:val="12"/>
  </w:num>
  <w:num w:numId="28">
    <w:abstractNumId w:val="38"/>
  </w:num>
  <w:num w:numId="29">
    <w:abstractNumId w:val="36"/>
  </w:num>
  <w:num w:numId="30">
    <w:abstractNumId w:val="3"/>
  </w:num>
  <w:num w:numId="31">
    <w:abstractNumId w:val="23"/>
  </w:num>
  <w:num w:numId="32">
    <w:abstractNumId w:val="45"/>
  </w:num>
  <w:num w:numId="33">
    <w:abstractNumId w:val="30"/>
  </w:num>
  <w:num w:numId="34">
    <w:abstractNumId w:val="37"/>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
  </w:num>
  <w:num w:numId="44">
    <w:abstractNumId w:val="34"/>
  </w:num>
  <w:num w:numId="45">
    <w:abstractNumId w:val="46"/>
  </w:num>
  <w:num w:numId="46">
    <w:abstractNumId w:val="22"/>
  </w:num>
  <w:num w:numId="47">
    <w:abstractNumId w:val="14"/>
  </w:num>
  <w:num w:numId="48">
    <w:abstractNumId w:val="49"/>
  </w:num>
  <w:num w:numId="49">
    <w:abstractNumId w:val="32"/>
  </w:num>
  <w:num w:numId="50">
    <w:abstractNumId w:val="13"/>
  </w:num>
  <w:num w:numId="51">
    <w:abstractNumId w:val="4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5425A"/>
    <w:rsid w:val="00000883"/>
    <w:rsid w:val="00003EB2"/>
    <w:rsid w:val="00017547"/>
    <w:rsid w:val="00021782"/>
    <w:rsid w:val="00026811"/>
    <w:rsid w:val="00026C6F"/>
    <w:rsid w:val="00026D0F"/>
    <w:rsid w:val="00027D54"/>
    <w:rsid w:val="00035C3E"/>
    <w:rsid w:val="00037D13"/>
    <w:rsid w:val="00041D68"/>
    <w:rsid w:val="00043F97"/>
    <w:rsid w:val="00044467"/>
    <w:rsid w:val="000453A4"/>
    <w:rsid w:val="0004558E"/>
    <w:rsid w:val="000509F5"/>
    <w:rsid w:val="00060676"/>
    <w:rsid w:val="000636BB"/>
    <w:rsid w:val="00066503"/>
    <w:rsid w:val="00076467"/>
    <w:rsid w:val="000810D6"/>
    <w:rsid w:val="000825DC"/>
    <w:rsid w:val="000950CC"/>
    <w:rsid w:val="000A2EC7"/>
    <w:rsid w:val="000A5999"/>
    <w:rsid w:val="000A6571"/>
    <w:rsid w:val="000B1683"/>
    <w:rsid w:val="000B35D7"/>
    <w:rsid w:val="000D79C4"/>
    <w:rsid w:val="000E25C7"/>
    <w:rsid w:val="000E62A5"/>
    <w:rsid w:val="00103A68"/>
    <w:rsid w:val="00104FBB"/>
    <w:rsid w:val="00105DEA"/>
    <w:rsid w:val="0011617C"/>
    <w:rsid w:val="001253E2"/>
    <w:rsid w:val="001408FD"/>
    <w:rsid w:val="00141330"/>
    <w:rsid w:val="00142D4A"/>
    <w:rsid w:val="00143B2D"/>
    <w:rsid w:val="00145751"/>
    <w:rsid w:val="001464F2"/>
    <w:rsid w:val="00146738"/>
    <w:rsid w:val="001475BC"/>
    <w:rsid w:val="00147E8C"/>
    <w:rsid w:val="001605C6"/>
    <w:rsid w:val="0016063F"/>
    <w:rsid w:val="00162A78"/>
    <w:rsid w:val="00166E2F"/>
    <w:rsid w:val="00167967"/>
    <w:rsid w:val="00170AAF"/>
    <w:rsid w:val="001711E1"/>
    <w:rsid w:val="00177B32"/>
    <w:rsid w:val="00182A9D"/>
    <w:rsid w:val="0018341E"/>
    <w:rsid w:val="0018463F"/>
    <w:rsid w:val="00191266"/>
    <w:rsid w:val="00193290"/>
    <w:rsid w:val="001A46D0"/>
    <w:rsid w:val="001B1539"/>
    <w:rsid w:val="001B53A5"/>
    <w:rsid w:val="001C1A86"/>
    <w:rsid w:val="001C3A2B"/>
    <w:rsid w:val="001C7001"/>
    <w:rsid w:val="001D50AD"/>
    <w:rsid w:val="001E23A9"/>
    <w:rsid w:val="001F1D62"/>
    <w:rsid w:val="001F5816"/>
    <w:rsid w:val="001F6A1B"/>
    <w:rsid w:val="00200AF7"/>
    <w:rsid w:val="00203F72"/>
    <w:rsid w:val="0020480E"/>
    <w:rsid w:val="002107CE"/>
    <w:rsid w:val="002143FF"/>
    <w:rsid w:val="00221570"/>
    <w:rsid w:val="00227FE7"/>
    <w:rsid w:val="00240BD8"/>
    <w:rsid w:val="0024309F"/>
    <w:rsid w:val="00244408"/>
    <w:rsid w:val="002459AD"/>
    <w:rsid w:val="002464E6"/>
    <w:rsid w:val="002503A3"/>
    <w:rsid w:val="0025067A"/>
    <w:rsid w:val="00253945"/>
    <w:rsid w:val="00254E32"/>
    <w:rsid w:val="002602D6"/>
    <w:rsid w:val="002609BD"/>
    <w:rsid w:val="002618BA"/>
    <w:rsid w:val="0026266A"/>
    <w:rsid w:val="00264F18"/>
    <w:rsid w:val="002673A4"/>
    <w:rsid w:val="00275731"/>
    <w:rsid w:val="00275BF1"/>
    <w:rsid w:val="00277BB9"/>
    <w:rsid w:val="0028357A"/>
    <w:rsid w:val="00290BC6"/>
    <w:rsid w:val="00291742"/>
    <w:rsid w:val="002A102E"/>
    <w:rsid w:val="002B1F3A"/>
    <w:rsid w:val="002C46BE"/>
    <w:rsid w:val="002D52D9"/>
    <w:rsid w:val="002D7C67"/>
    <w:rsid w:val="002E13E9"/>
    <w:rsid w:val="002E34D0"/>
    <w:rsid w:val="002E4FCF"/>
    <w:rsid w:val="002F3FE8"/>
    <w:rsid w:val="00302768"/>
    <w:rsid w:val="00306E89"/>
    <w:rsid w:val="00314E1E"/>
    <w:rsid w:val="00314F65"/>
    <w:rsid w:val="00322C68"/>
    <w:rsid w:val="00331EC1"/>
    <w:rsid w:val="00335523"/>
    <w:rsid w:val="0033679D"/>
    <w:rsid w:val="003420CC"/>
    <w:rsid w:val="003424E4"/>
    <w:rsid w:val="003443A8"/>
    <w:rsid w:val="00346509"/>
    <w:rsid w:val="00346D06"/>
    <w:rsid w:val="00350075"/>
    <w:rsid w:val="00351BFF"/>
    <w:rsid w:val="00353CFF"/>
    <w:rsid w:val="00364551"/>
    <w:rsid w:val="003658A9"/>
    <w:rsid w:val="00366B0C"/>
    <w:rsid w:val="00367D0C"/>
    <w:rsid w:val="00370112"/>
    <w:rsid w:val="0037077F"/>
    <w:rsid w:val="003740AF"/>
    <w:rsid w:val="00376F50"/>
    <w:rsid w:val="0038242A"/>
    <w:rsid w:val="00385B82"/>
    <w:rsid w:val="0039258A"/>
    <w:rsid w:val="00394075"/>
    <w:rsid w:val="00394F51"/>
    <w:rsid w:val="003A042C"/>
    <w:rsid w:val="003A0E3C"/>
    <w:rsid w:val="003A1085"/>
    <w:rsid w:val="003A1CEA"/>
    <w:rsid w:val="003B2F8E"/>
    <w:rsid w:val="003B41D4"/>
    <w:rsid w:val="003B623C"/>
    <w:rsid w:val="003D02B1"/>
    <w:rsid w:val="003E2214"/>
    <w:rsid w:val="003E240E"/>
    <w:rsid w:val="003E2825"/>
    <w:rsid w:val="003E43C4"/>
    <w:rsid w:val="00402015"/>
    <w:rsid w:val="00402475"/>
    <w:rsid w:val="00410BD1"/>
    <w:rsid w:val="00431391"/>
    <w:rsid w:val="00433BF1"/>
    <w:rsid w:val="004363CD"/>
    <w:rsid w:val="00437204"/>
    <w:rsid w:val="00441941"/>
    <w:rsid w:val="00444E21"/>
    <w:rsid w:val="00445210"/>
    <w:rsid w:val="00447DAE"/>
    <w:rsid w:val="00451727"/>
    <w:rsid w:val="00452A44"/>
    <w:rsid w:val="0045425A"/>
    <w:rsid w:val="00454C7D"/>
    <w:rsid w:val="00454FEF"/>
    <w:rsid w:val="00455911"/>
    <w:rsid w:val="004565E6"/>
    <w:rsid w:val="00456F6D"/>
    <w:rsid w:val="0046135A"/>
    <w:rsid w:val="004633CB"/>
    <w:rsid w:val="00464EB2"/>
    <w:rsid w:val="00464EE7"/>
    <w:rsid w:val="004651E8"/>
    <w:rsid w:val="00480296"/>
    <w:rsid w:val="00482FC4"/>
    <w:rsid w:val="00496A54"/>
    <w:rsid w:val="004A00A5"/>
    <w:rsid w:val="004A35C7"/>
    <w:rsid w:val="004A6E50"/>
    <w:rsid w:val="004B3827"/>
    <w:rsid w:val="004C03B2"/>
    <w:rsid w:val="004C0475"/>
    <w:rsid w:val="004C0D06"/>
    <w:rsid w:val="004D33F7"/>
    <w:rsid w:val="004D7EB1"/>
    <w:rsid w:val="004E1189"/>
    <w:rsid w:val="004E5F2E"/>
    <w:rsid w:val="004E6452"/>
    <w:rsid w:val="00504052"/>
    <w:rsid w:val="00515D85"/>
    <w:rsid w:val="00520F8A"/>
    <w:rsid w:val="00532A08"/>
    <w:rsid w:val="00541C0B"/>
    <w:rsid w:val="00545D58"/>
    <w:rsid w:val="0054661C"/>
    <w:rsid w:val="005532CF"/>
    <w:rsid w:val="00554D5E"/>
    <w:rsid w:val="00556E14"/>
    <w:rsid w:val="005576A4"/>
    <w:rsid w:val="00560B3F"/>
    <w:rsid w:val="0056107E"/>
    <w:rsid w:val="00562E2A"/>
    <w:rsid w:val="005670A4"/>
    <w:rsid w:val="00590258"/>
    <w:rsid w:val="005A1C1A"/>
    <w:rsid w:val="005A482C"/>
    <w:rsid w:val="005B5310"/>
    <w:rsid w:val="005B6FC7"/>
    <w:rsid w:val="005C4210"/>
    <w:rsid w:val="005C4326"/>
    <w:rsid w:val="005D3252"/>
    <w:rsid w:val="005D5A46"/>
    <w:rsid w:val="005D664B"/>
    <w:rsid w:val="005D6F38"/>
    <w:rsid w:val="005E0DDB"/>
    <w:rsid w:val="005E1EA8"/>
    <w:rsid w:val="005E23E3"/>
    <w:rsid w:val="005E4924"/>
    <w:rsid w:val="005E5AE3"/>
    <w:rsid w:val="005E7876"/>
    <w:rsid w:val="005E7DE2"/>
    <w:rsid w:val="00615247"/>
    <w:rsid w:val="00621F10"/>
    <w:rsid w:val="0062321B"/>
    <w:rsid w:val="006250F1"/>
    <w:rsid w:val="006312B1"/>
    <w:rsid w:val="00655114"/>
    <w:rsid w:val="0065661E"/>
    <w:rsid w:val="006635F4"/>
    <w:rsid w:val="00663B4B"/>
    <w:rsid w:val="00670577"/>
    <w:rsid w:val="0067282D"/>
    <w:rsid w:val="00673964"/>
    <w:rsid w:val="00686D2C"/>
    <w:rsid w:val="006879EB"/>
    <w:rsid w:val="00687A1E"/>
    <w:rsid w:val="00687BCD"/>
    <w:rsid w:val="00690E4D"/>
    <w:rsid w:val="006937CE"/>
    <w:rsid w:val="006943FF"/>
    <w:rsid w:val="00697741"/>
    <w:rsid w:val="006A1840"/>
    <w:rsid w:val="006A57F7"/>
    <w:rsid w:val="006B0FD6"/>
    <w:rsid w:val="006B2266"/>
    <w:rsid w:val="006B573C"/>
    <w:rsid w:val="006B7176"/>
    <w:rsid w:val="006C2B21"/>
    <w:rsid w:val="006C3453"/>
    <w:rsid w:val="006C53DB"/>
    <w:rsid w:val="006D375C"/>
    <w:rsid w:val="006D68CC"/>
    <w:rsid w:val="006E0E2F"/>
    <w:rsid w:val="006E37D4"/>
    <w:rsid w:val="006E4258"/>
    <w:rsid w:val="006E7FE9"/>
    <w:rsid w:val="006F42DC"/>
    <w:rsid w:val="00703176"/>
    <w:rsid w:val="00707676"/>
    <w:rsid w:val="007133BA"/>
    <w:rsid w:val="0072241A"/>
    <w:rsid w:val="007236E0"/>
    <w:rsid w:val="00723D4E"/>
    <w:rsid w:val="00741590"/>
    <w:rsid w:val="00741FAA"/>
    <w:rsid w:val="007443FD"/>
    <w:rsid w:val="007459D9"/>
    <w:rsid w:val="00746C75"/>
    <w:rsid w:val="00754152"/>
    <w:rsid w:val="007569BB"/>
    <w:rsid w:val="00762C2A"/>
    <w:rsid w:val="00767F37"/>
    <w:rsid w:val="007776F0"/>
    <w:rsid w:val="007815B7"/>
    <w:rsid w:val="007902BC"/>
    <w:rsid w:val="007955A2"/>
    <w:rsid w:val="007B2912"/>
    <w:rsid w:val="007B5198"/>
    <w:rsid w:val="007B59EF"/>
    <w:rsid w:val="007C2A42"/>
    <w:rsid w:val="007C58FB"/>
    <w:rsid w:val="007C6CF7"/>
    <w:rsid w:val="007D09C8"/>
    <w:rsid w:val="007D12E7"/>
    <w:rsid w:val="007D25E4"/>
    <w:rsid w:val="007D3217"/>
    <w:rsid w:val="007D336B"/>
    <w:rsid w:val="007D50BB"/>
    <w:rsid w:val="007D52D6"/>
    <w:rsid w:val="007D74AD"/>
    <w:rsid w:val="007E1B23"/>
    <w:rsid w:val="007E63A2"/>
    <w:rsid w:val="007F3288"/>
    <w:rsid w:val="007F4C46"/>
    <w:rsid w:val="007F512E"/>
    <w:rsid w:val="007F7377"/>
    <w:rsid w:val="00800CD7"/>
    <w:rsid w:val="008013F3"/>
    <w:rsid w:val="00804F3A"/>
    <w:rsid w:val="00815760"/>
    <w:rsid w:val="0082128B"/>
    <w:rsid w:val="00822C93"/>
    <w:rsid w:val="00823D9D"/>
    <w:rsid w:val="00844F61"/>
    <w:rsid w:val="00845281"/>
    <w:rsid w:val="008574A4"/>
    <w:rsid w:val="00857ADF"/>
    <w:rsid w:val="00861160"/>
    <w:rsid w:val="0086667E"/>
    <w:rsid w:val="008768C1"/>
    <w:rsid w:val="00881541"/>
    <w:rsid w:val="00884F83"/>
    <w:rsid w:val="008A1D8D"/>
    <w:rsid w:val="008A7C7F"/>
    <w:rsid w:val="008B0502"/>
    <w:rsid w:val="008B1A5A"/>
    <w:rsid w:val="008B1C88"/>
    <w:rsid w:val="008B3153"/>
    <w:rsid w:val="008B3555"/>
    <w:rsid w:val="008B621F"/>
    <w:rsid w:val="008E3061"/>
    <w:rsid w:val="008E7F36"/>
    <w:rsid w:val="008F066C"/>
    <w:rsid w:val="00904958"/>
    <w:rsid w:val="00907B83"/>
    <w:rsid w:val="009160CF"/>
    <w:rsid w:val="00930A55"/>
    <w:rsid w:val="0093705F"/>
    <w:rsid w:val="00943369"/>
    <w:rsid w:val="00953151"/>
    <w:rsid w:val="009534F2"/>
    <w:rsid w:val="00961D95"/>
    <w:rsid w:val="00967AED"/>
    <w:rsid w:val="00971142"/>
    <w:rsid w:val="00977D80"/>
    <w:rsid w:val="00981964"/>
    <w:rsid w:val="009915D5"/>
    <w:rsid w:val="00991652"/>
    <w:rsid w:val="00991D7A"/>
    <w:rsid w:val="009937E4"/>
    <w:rsid w:val="00993D73"/>
    <w:rsid w:val="009A2820"/>
    <w:rsid w:val="009A76DD"/>
    <w:rsid w:val="009B5E3C"/>
    <w:rsid w:val="009C68E0"/>
    <w:rsid w:val="009D621C"/>
    <w:rsid w:val="009E1FF0"/>
    <w:rsid w:val="009F6368"/>
    <w:rsid w:val="00A257D7"/>
    <w:rsid w:val="00A32AD8"/>
    <w:rsid w:val="00A360B5"/>
    <w:rsid w:val="00A50D6A"/>
    <w:rsid w:val="00A51C22"/>
    <w:rsid w:val="00A51D49"/>
    <w:rsid w:val="00A54DAC"/>
    <w:rsid w:val="00A5515A"/>
    <w:rsid w:val="00A5735A"/>
    <w:rsid w:val="00A61463"/>
    <w:rsid w:val="00A65CA6"/>
    <w:rsid w:val="00A8540C"/>
    <w:rsid w:val="00AA59B6"/>
    <w:rsid w:val="00AA7189"/>
    <w:rsid w:val="00AA7542"/>
    <w:rsid w:val="00AA7F55"/>
    <w:rsid w:val="00AB0A74"/>
    <w:rsid w:val="00AB72F0"/>
    <w:rsid w:val="00AB73B8"/>
    <w:rsid w:val="00AC00F5"/>
    <w:rsid w:val="00AC7348"/>
    <w:rsid w:val="00AD010C"/>
    <w:rsid w:val="00AD060F"/>
    <w:rsid w:val="00AD6CFF"/>
    <w:rsid w:val="00AE223E"/>
    <w:rsid w:val="00AE46A7"/>
    <w:rsid w:val="00AE653C"/>
    <w:rsid w:val="00B03E84"/>
    <w:rsid w:val="00B12EE9"/>
    <w:rsid w:val="00B1524D"/>
    <w:rsid w:val="00B167C2"/>
    <w:rsid w:val="00B16975"/>
    <w:rsid w:val="00B213D8"/>
    <w:rsid w:val="00B23D06"/>
    <w:rsid w:val="00B508E7"/>
    <w:rsid w:val="00B525CE"/>
    <w:rsid w:val="00B56AE1"/>
    <w:rsid w:val="00B612C2"/>
    <w:rsid w:val="00B74A31"/>
    <w:rsid w:val="00B76D62"/>
    <w:rsid w:val="00B941C0"/>
    <w:rsid w:val="00BC2F5A"/>
    <w:rsid w:val="00BC4811"/>
    <w:rsid w:val="00BC65F7"/>
    <w:rsid w:val="00BC66E8"/>
    <w:rsid w:val="00BD34CC"/>
    <w:rsid w:val="00BD43D3"/>
    <w:rsid w:val="00BE1B2A"/>
    <w:rsid w:val="00BE652C"/>
    <w:rsid w:val="00BF0D3C"/>
    <w:rsid w:val="00BF20E5"/>
    <w:rsid w:val="00BF2553"/>
    <w:rsid w:val="00C05BAB"/>
    <w:rsid w:val="00C15E9F"/>
    <w:rsid w:val="00C16BB8"/>
    <w:rsid w:val="00C348DE"/>
    <w:rsid w:val="00C35D4A"/>
    <w:rsid w:val="00C411D8"/>
    <w:rsid w:val="00C454F8"/>
    <w:rsid w:val="00C94B4E"/>
    <w:rsid w:val="00CA23FA"/>
    <w:rsid w:val="00CA2C52"/>
    <w:rsid w:val="00CA2E17"/>
    <w:rsid w:val="00CB20C4"/>
    <w:rsid w:val="00CC01C1"/>
    <w:rsid w:val="00CC3396"/>
    <w:rsid w:val="00CC341A"/>
    <w:rsid w:val="00CC3ABF"/>
    <w:rsid w:val="00D12E33"/>
    <w:rsid w:val="00D17570"/>
    <w:rsid w:val="00D27FE5"/>
    <w:rsid w:val="00D33D5A"/>
    <w:rsid w:val="00D40983"/>
    <w:rsid w:val="00D53F68"/>
    <w:rsid w:val="00D62F4A"/>
    <w:rsid w:val="00D73296"/>
    <w:rsid w:val="00D73718"/>
    <w:rsid w:val="00D774A2"/>
    <w:rsid w:val="00D868A5"/>
    <w:rsid w:val="00D87D91"/>
    <w:rsid w:val="00D92F56"/>
    <w:rsid w:val="00D935B9"/>
    <w:rsid w:val="00DA7551"/>
    <w:rsid w:val="00DB62EB"/>
    <w:rsid w:val="00DC1C0D"/>
    <w:rsid w:val="00DD235E"/>
    <w:rsid w:val="00DE356D"/>
    <w:rsid w:val="00DE58A8"/>
    <w:rsid w:val="00DE63F7"/>
    <w:rsid w:val="00DF0FFD"/>
    <w:rsid w:val="00DF3454"/>
    <w:rsid w:val="00DF409B"/>
    <w:rsid w:val="00DF7BD9"/>
    <w:rsid w:val="00E00F84"/>
    <w:rsid w:val="00E070CD"/>
    <w:rsid w:val="00E07281"/>
    <w:rsid w:val="00E108EB"/>
    <w:rsid w:val="00E11E41"/>
    <w:rsid w:val="00E1306F"/>
    <w:rsid w:val="00E13106"/>
    <w:rsid w:val="00E16174"/>
    <w:rsid w:val="00E25187"/>
    <w:rsid w:val="00E2576E"/>
    <w:rsid w:val="00E319A4"/>
    <w:rsid w:val="00E34FD1"/>
    <w:rsid w:val="00E37EEF"/>
    <w:rsid w:val="00E5108F"/>
    <w:rsid w:val="00E579D0"/>
    <w:rsid w:val="00E60AF2"/>
    <w:rsid w:val="00E77668"/>
    <w:rsid w:val="00E80116"/>
    <w:rsid w:val="00E91A5C"/>
    <w:rsid w:val="00E91F89"/>
    <w:rsid w:val="00E925C5"/>
    <w:rsid w:val="00EA60ED"/>
    <w:rsid w:val="00EA6DAC"/>
    <w:rsid w:val="00EB27D6"/>
    <w:rsid w:val="00EB4AA5"/>
    <w:rsid w:val="00EC4A11"/>
    <w:rsid w:val="00EC7AEC"/>
    <w:rsid w:val="00ED1D24"/>
    <w:rsid w:val="00ED34D8"/>
    <w:rsid w:val="00ED5438"/>
    <w:rsid w:val="00EE1E58"/>
    <w:rsid w:val="00EE39EE"/>
    <w:rsid w:val="00EE5C4A"/>
    <w:rsid w:val="00EE7383"/>
    <w:rsid w:val="00EF3193"/>
    <w:rsid w:val="00F0328A"/>
    <w:rsid w:val="00F04EEA"/>
    <w:rsid w:val="00F07452"/>
    <w:rsid w:val="00F2047D"/>
    <w:rsid w:val="00F2558E"/>
    <w:rsid w:val="00F272F6"/>
    <w:rsid w:val="00F35C5F"/>
    <w:rsid w:val="00F41963"/>
    <w:rsid w:val="00F5041D"/>
    <w:rsid w:val="00F5469C"/>
    <w:rsid w:val="00F66280"/>
    <w:rsid w:val="00F720E1"/>
    <w:rsid w:val="00F82426"/>
    <w:rsid w:val="00F84373"/>
    <w:rsid w:val="00F90600"/>
    <w:rsid w:val="00F90BE3"/>
    <w:rsid w:val="00F962A7"/>
    <w:rsid w:val="00FB6761"/>
    <w:rsid w:val="00FB75B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A738B10"/>
  <w15:docId w15:val="{111ED351-7A39-44E2-B214-03A29D08B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Bullet" w:uiPriority="99"/>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iPriority="99"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0">
    <w:name w:val="Normal"/>
    <w:qFormat/>
    <w:rsid w:val="00767F37"/>
    <w:pPr>
      <w:widowControl w:val="0"/>
      <w:jc w:val="both"/>
    </w:pPr>
    <w:rPr>
      <w:kern w:val="2"/>
      <w:sz w:val="22"/>
      <w:szCs w:val="22"/>
    </w:rPr>
  </w:style>
  <w:style w:type="paragraph" w:styleId="1">
    <w:name w:val="heading 1"/>
    <w:basedOn w:val="a0"/>
    <w:next w:val="a0"/>
    <w:link w:val="10"/>
    <w:uiPriority w:val="9"/>
    <w:qFormat/>
    <w:rsid w:val="00E13106"/>
    <w:pPr>
      <w:keepNext/>
      <w:adjustRightInd w:val="0"/>
      <w:snapToGrid w:val="0"/>
      <w:spacing w:beforeLines="30" w:before="72" w:afterLines="30" w:after="72"/>
      <w:outlineLvl w:val="0"/>
    </w:pPr>
    <w:rPr>
      <w:rFonts w:ascii="Arial" w:hAnsi="Arial"/>
      <w:b/>
      <w:bCs/>
      <w:color w:val="000080"/>
      <w:kern w:val="52"/>
      <w:sz w:val="24"/>
    </w:rPr>
  </w:style>
  <w:style w:type="paragraph" w:styleId="2">
    <w:name w:val="heading 2"/>
    <w:basedOn w:val="a0"/>
    <w:next w:val="a0"/>
    <w:link w:val="20"/>
    <w:unhideWhenUsed/>
    <w:qFormat/>
    <w:rsid w:val="00767F37"/>
    <w:pPr>
      <w:keepNext/>
      <w:adjustRightInd w:val="0"/>
      <w:snapToGrid w:val="0"/>
      <w:spacing w:before="100" w:beforeAutospacing="1" w:after="100" w:afterAutospacing="1"/>
      <w:jc w:val="left"/>
      <w:outlineLvl w:val="1"/>
    </w:pPr>
    <w:rPr>
      <w:rFonts w:ascii="Arial Unicode MS" w:eastAsiaTheme="majorEastAsia" w:hAnsi="Arial Unicode MS" w:cs="Arial Unicode MS"/>
      <w:b/>
      <w:bCs/>
      <w:color w:val="990000"/>
      <w:lang w:bidi="bn-IN"/>
    </w:rPr>
  </w:style>
  <w:style w:type="paragraph" w:styleId="3">
    <w:name w:val="heading 3"/>
    <w:basedOn w:val="a0"/>
    <w:next w:val="a0"/>
    <w:link w:val="30"/>
    <w:unhideWhenUsed/>
    <w:qFormat/>
    <w:rsid w:val="00B03E84"/>
    <w:pPr>
      <w:widowControl/>
      <w:adjustRightInd w:val="0"/>
      <w:snapToGrid w:val="0"/>
      <w:outlineLvl w:val="2"/>
    </w:pPr>
    <w:rPr>
      <w:rFonts w:ascii="Arial Unicode MS" w:hAnsi="Arial Unicode MS" w:cs="Arial Unicode MS"/>
      <w:bCs/>
      <w:color w:val="808000"/>
      <w:sz w:val="18"/>
    </w:rPr>
  </w:style>
  <w:style w:type="paragraph" w:styleId="4">
    <w:name w:val="heading 4"/>
    <w:basedOn w:val="a0"/>
    <w:next w:val="a0"/>
    <w:link w:val="40"/>
    <w:qFormat/>
    <w:rsid w:val="00203F72"/>
    <w:pPr>
      <w:keepNext/>
      <w:spacing w:line="720" w:lineRule="auto"/>
      <w:outlineLvl w:val="3"/>
    </w:pPr>
    <w:rPr>
      <w:rFonts w:ascii="Arial" w:hAnsi="Arial"/>
      <w:sz w:val="36"/>
      <w:szCs w:val="36"/>
    </w:rPr>
  </w:style>
  <w:style w:type="paragraph" w:styleId="5">
    <w:name w:val="heading 5"/>
    <w:basedOn w:val="a0"/>
    <w:next w:val="a0"/>
    <w:link w:val="50"/>
    <w:semiHidden/>
    <w:unhideWhenUsed/>
    <w:qFormat/>
    <w:rsid w:val="00203F72"/>
    <w:pPr>
      <w:keepNext/>
      <w:spacing w:line="720" w:lineRule="auto"/>
      <w:ind w:left="2551" w:hanging="850"/>
      <w:outlineLvl w:val="4"/>
    </w:pPr>
    <w:rPr>
      <w:rFonts w:ascii="Arial" w:hAnsi="Arial"/>
      <w:b/>
      <w:bCs/>
      <w:sz w:val="36"/>
      <w:szCs w:val="36"/>
    </w:rPr>
  </w:style>
  <w:style w:type="paragraph" w:styleId="6">
    <w:name w:val="heading 6"/>
    <w:basedOn w:val="a0"/>
    <w:next w:val="a0"/>
    <w:link w:val="60"/>
    <w:semiHidden/>
    <w:unhideWhenUsed/>
    <w:qFormat/>
    <w:rsid w:val="00203F72"/>
    <w:pPr>
      <w:keepNext/>
      <w:spacing w:line="720" w:lineRule="auto"/>
      <w:ind w:left="3260" w:hanging="1134"/>
      <w:outlineLvl w:val="5"/>
    </w:pPr>
    <w:rPr>
      <w:rFonts w:ascii="Arial" w:hAnsi="Arial"/>
      <w:sz w:val="36"/>
      <w:szCs w:val="36"/>
    </w:rPr>
  </w:style>
  <w:style w:type="paragraph" w:styleId="7">
    <w:name w:val="heading 7"/>
    <w:basedOn w:val="a0"/>
    <w:next w:val="a0"/>
    <w:link w:val="70"/>
    <w:uiPriority w:val="99"/>
    <w:semiHidden/>
    <w:unhideWhenUsed/>
    <w:qFormat/>
    <w:rsid w:val="00203F72"/>
    <w:pPr>
      <w:keepNext/>
      <w:spacing w:line="720" w:lineRule="auto"/>
      <w:ind w:left="3827" w:hanging="1276"/>
      <w:outlineLvl w:val="6"/>
    </w:pPr>
    <w:rPr>
      <w:rFonts w:ascii="Arial" w:hAnsi="Arial"/>
      <w:b/>
      <w:bCs/>
      <w:sz w:val="36"/>
      <w:szCs w:val="36"/>
    </w:rPr>
  </w:style>
  <w:style w:type="paragraph" w:styleId="8">
    <w:name w:val="heading 8"/>
    <w:basedOn w:val="a0"/>
    <w:next w:val="a0"/>
    <w:link w:val="80"/>
    <w:uiPriority w:val="99"/>
    <w:semiHidden/>
    <w:unhideWhenUsed/>
    <w:qFormat/>
    <w:rsid w:val="00203F72"/>
    <w:pPr>
      <w:keepNext/>
      <w:spacing w:line="720" w:lineRule="auto"/>
      <w:ind w:left="4394" w:hanging="1418"/>
      <w:outlineLvl w:val="7"/>
    </w:pPr>
    <w:rPr>
      <w:rFonts w:ascii="Arial" w:hAnsi="Arial"/>
      <w:sz w:val="36"/>
      <w:szCs w:val="36"/>
    </w:rPr>
  </w:style>
  <w:style w:type="paragraph" w:styleId="9">
    <w:name w:val="heading 9"/>
    <w:basedOn w:val="a1"/>
    <w:link w:val="90"/>
    <w:autoRedefine/>
    <w:uiPriority w:val="99"/>
    <w:semiHidden/>
    <w:unhideWhenUsed/>
    <w:qFormat/>
    <w:rsid w:val="00203F72"/>
    <w:pPr>
      <w:keepNext/>
      <w:spacing w:line="360" w:lineRule="auto"/>
      <w:ind w:left="5102" w:hanging="1700"/>
      <w:outlineLvl w:val="8"/>
    </w:pPr>
    <w:rPr>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標題 1 字元"/>
    <w:link w:val="1"/>
    <w:uiPriority w:val="9"/>
    <w:rsid w:val="00E13106"/>
    <w:rPr>
      <w:rFonts w:ascii="Arial" w:hAnsi="Arial"/>
      <w:b/>
      <w:bCs/>
      <w:color w:val="000080"/>
      <w:kern w:val="52"/>
      <w:sz w:val="24"/>
      <w:szCs w:val="24"/>
    </w:rPr>
  </w:style>
  <w:style w:type="character" w:customStyle="1" w:styleId="20">
    <w:name w:val="標題 2 字元"/>
    <w:link w:val="2"/>
    <w:rsid w:val="00767F37"/>
    <w:rPr>
      <w:rFonts w:ascii="Arial Unicode MS" w:eastAsiaTheme="majorEastAsia" w:hAnsi="Arial Unicode MS" w:cs="Arial Unicode MS"/>
      <w:b/>
      <w:bCs/>
      <w:color w:val="990000"/>
      <w:kern w:val="2"/>
      <w:sz w:val="22"/>
      <w:szCs w:val="22"/>
      <w:lang w:bidi="bn-IN"/>
    </w:rPr>
  </w:style>
  <w:style w:type="character" w:customStyle="1" w:styleId="30">
    <w:name w:val="標題 3 字元"/>
    <w:basedOn w:val="a2"/>
    <w:link w:val="3"/>
    <w:rsid w:val="00B03E84"/>
    <w:rPr>
      <w:rFonts w:ascii="Arial Unicode MS" w:hAnsi="Arial Unicode MS" w:cs="Arial Unicode MS"/>
      <w:bCs/>
      <w:color w:val="808000"/>
      <w:kern w:val="2"/>
      <w:sz w:val="18"/>
      <w:szCs w:val="22"/>
    </w:rPr>
  </w:style>
  <w:style w:type="character" w:styleId="a5">
    <w:name w:val="Hyperlink"/>
    <w:autoRedefine/>
    <w:uiPriority w:val="99"/>
    <w:rsid w:val="004A35C7"/>
    <w:rPr>
      <w:rFonts w:ascii="新細明體" w:eastAsiaTheme="minorEastAsia" w:hAnsi="新細明體"/>
      <w:color w:val="808000"/>
      <w:sz w:val="22"/>
      <w:u w:val="single"/>
    </w:rPr>
  </w:style>
  <w:style w:type="paragraph" w:styleId="HTML">
    <w:name w:val="HTML Preformatted"/>
    <w:basedOn w:val="a0"/>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Cs w:val="20"/>
    </w:rPr>
  </w:style>
  <w:style w:type="character" w:customStyle="1" w:styleId="HTML0">
    <w:name w:val="HTML 預設格式 字元"/>
    <w:link w:val="HTML"/>
    <w:rsid w:val="00203F72"/>
    <w:rPr>
      <w:rFonts w:ascii="Arial Unicode MS" w:eastAsia="Arial Unicode MS" w:hAnsi="Arial Unicode MS" w:cs="Arial Unicode MS"/>
    </w:rPr>
  </w:style>
  <w:style w:type="character" w:styleId="a6">
    <w:name w:val="FollowedHyperlink"/>
    <w:autoRedefine/>
    <w:rsid w:val="004A35C7"/>
    <w:rPr>
      <w:rFonts w:ascii="新細明體" w:eastAsiaTheme="minorEastAsia" w:hAnsi="新細明體"/>
      <w:color w:val="800080"/>
      <w:sz w:val="22"/>
      <w:u w:val="single"/>
    </w:rPr>
  </w:style>
  <w:style w:type="paragraph" w:styleId="a7">
    <w:name w:val="header"/>
    <w:basedOn w:val="a0"/>
    <w:link w:val="a8"/>
    <w:uiPriority w:val="99"/>
    <w:pPr>
      <w:tabs>
        <w:tab w:val="center" w:pos="4153"/>
        <w:tab w:val="right" w:pos="8306"/>
      </w:tabs>
      <w:snapToGrid w:val="0"/>
    </w:pPr>
    <w:rPr>
      <w:szCs w:val="20"/>
    </w:rPr>
  </w:style>
  <w:style w:type="character" w:customStyle="1" w:styleId="a8">
    <w:name w:val="頁首 字元"/>
    <w:link w:val="a7"/>
    <w:uiPriority w:val="99"/>
    <w:rsid w:val="00203F72"/>
    <w:rPr>
      <w:kern w:val="2"/>
    </w:rPr>
  </w:style>
  <w:style w:type="paragraph" w:styleId="a9">
    <w:name w:val="footer"/>
    <w:basedOn w:val="a0"/>
    <w:link w:val="aa"/>
    <w:uiPriority w:val="99"/>
    <w:pPr>
      <w:tabs>
        <w:tab w:val="center" w:pos="4153"/>
        <w:tab w:val="right" w:pos="8306"/>
      </w:tabs>
      <w:snapToGrid w:val="0"/>
    </w:pPr>
    <w:rPr>
      <w:szCs w:val="20"/>
    </w:rPr>
  </w:style>
  <w:style w:type="character" w:customStyle="1" w:styleId="aa">
    <w:name w:val="頁尾 字元"/>
    <w:link w:val="a9"/>
    <w:uiPriority w:val="99"/>
    <w:rsid w:val="00203F72"/>
    <w:rPr>
      <w:kern w:val="2"/>
    </w:rPr>
  </w:style>
  <w:style w:type="character" w:styleId="ab">
    <w:name w:val="page number"/>
    <w:basedOn w:val="a2"/>
  </w:style>
  <w:style w:type="paragraph" w:styleId="ac">
    <w:name w:val="Document Map"/>
    <w:basedOn w:val="a0"/>
    <w:link w:val="ad"/>
    <w:rsid w:val="00464EE7"/>
    <w:rPr>
      <w:rFonts w:ascii="新細明體" w:hAnsi="新細明體"/>
      <w:szCs w:val="18"/>
    </w:rPr>
  </w:style>
  <w:style w:type="character" w:customStyle="1" w:styleId="ad">
    <w:name w:val="文件引導模式 字元"/>
    <w:link w:val="ac"/>
    <w:rsid w:val="00464EE7"/>
    <w:rPr>
      <w:rFonts w:ascii="新細明體" w:hAnsi="新細明體"/>
      <w:kern w:val="2"/>
      <w:szCs w:val="18"/>
    </w:rPr>
  </w:style>
  <w:style w:type="paragraph" w:styleId="ae">
    <w:name w:val="Balloon Text"/>
    <w:basedOn w:val="a0"/>
    <w:link w:val="af"/>
    <w:uiPriority w:val="99"/>
    <w:rsid w:val="007D50BB"/>
    <w:rPr>
      <w:rFonts w:asciiTheme="majorHAnsi" w:eastAsiaTheme="majorEastAsia" w:hAnsiTheme="majorHAnsi" w:cstheme="majorBidi"/>
      <w:color w:val="F79646" w:themeColor="accent6"/>
      <w:sz w:val="20"/>
      <w:szCs w:val="18"/>
    </w:rPr>
  </w:style>
  <w:style w:type="character" w:customStyle="1" w:styleId="af">
    <w:name w:val="註解方塊文字 字元"/>
    <w:basedOn w:val="a2"/>
    <w:link w:val="ae"/>
    <w:uiPriority w:val="99"/>
    <w:rsid w:val="007D50BB"/>
    <w:rPr>
      <w:rFonts w:asciiTheme="majorHAnsi" w:eastAsiaTheme="majorEastAsia" w:hAnsiTheme="majorHAnsi" w:cstheme="majorBidi"/>
      <w:color w:val="F79646" w:themeColor="accent6"/>
      <w:kern w:val="2"/>
      <w:szCs w:val="18"/>
    </w:rPr>
  </w:style>
  <w:style w:type="character" w:customStyle="1" w:styleId="40">
    <w:name w:val="標題 4 字元"/>
    <w:basedOn w:val="a2"/>
    <w:link w:val="4"/>
    <w:rsid w:val="00203F72"/>
    <w:rPr>
      <w:rFonts w:ascii="Arial" w:hAnsi="Arial"/>
      <w:kern w:val="2"/>
      <w:sz w:val="36"/>
      <w:szCs w:val="36"/>
    </w:rPr>
  </w:style>
  <w:style w:type="character" w:customStyle="1" w:styleId="50">
    <w:name w:val="標題 5 字元"/>
    <w:basedOn w:val="a2"/>
    <w:link w:val="5"/>
    <w:semiHidden/>
    <w:rsid w:val="00203F72"/>
    <w:rPr>
      <w:rFonts w:ascii="Arial" w:hAnsi="Arial"/>
      <w:b/>
      <w:bCs/>
      <w:kern w:val="2"/>
      <w:sz w:val="36"/>
      <w:szCs w:val="36"/>
    </w:rPr>
  </w:style>
  <w:style w:type="character" w:customStyle="1" w:styleId="60">
    <w:name w:val="標題 6 字元"/>
    <w:basedOn w:val="a2"/>
    <w:link w:val="6"/>
    <w:semiHidden/>
    <w:rsid w:val="00203F72"/>
    <w:rPr>
      <w:rFonts w:ascii="Arial" w:hAnsi="Arial"/>
      <w:kern w:val="2"/>
      <w:sz w:val="36"/>
      <w:szCs w:val="36"/>
    </w:rPr>
  </w:style>
  <w:style w:type="character" w:customStyle="1" w:styleId="70">
    <w:name w:val="標題 7 字元"/>
    <w:basedOn w:val="a2"/>
    <w:link w:val="7"/>
    <w:uiPriority w:val="99"/>
    <w:semiHidden/>
    <w:rsid w:val="00203F72"/>
    <w:rPr>
      <w:rFonts w:ascii="Arial" w:hAnsi="Arial"/>
      <w:b/>
      <w:bCs/>
      <w:kern w:val="2"/>
      <w:sz w:val="36"/>
      <w:szCs w:val="36"/>
    </w:rPr>
  </w:style>
  <w:style w:type="character" w:customStyle="1" w:styleId="80">
    <w:name w:val="標題 8 字元"/>
    <w:basedOn w:val="a2"/>
    <w:link w:val="8"/>
    <w:uiPriority w:val="99"/>
    <w:semiHidden/>
    <w:rsid w:val="00203F72"/>
    <w:rPr>
      <w:rFonts w:ascii="Arial" w:hAnsi="Arial"/>
      <w:kern w:val="2"/>
      <w:sz w:val="36"/>
      <w:szCs w:val="36"/>
    </w:rPr>
  </w:style>
  <w:style w:type="character" w:customStyle="1" w:styleId="90">
    <w:name w:val="標題 9 字元"/>
    <w:basedOn w:val="a2"/>
    <w:link w:val="9"/>
    <w:uiPriority w:val="99"/>
    <w:semiHidden/>
    <w:rsid w:val="00203F72"/>
    <w:rPr>
      <w:rFonts w:ascii="Arial" w:hAnsi="Arial" w:cs="Arial"/>
      <w:b/>
      <w:bCs/>
      <w:kern w:val="2"/>
      <w:sz w:val="32"/>
      <w:szCs w:val="36"/>
    </w:rPr>
  </w:style>
  <w:style w:type="paragraph" w:styleId="a1">
    <w:name w:val="Title"/>
    <w:basedOn w:val="a0"/>
    <w:link w:val="af0"/>
    <w:uiPriority w:val="10"/>
    <w:qFormat/>
    <w:rsid w:val="00203F72"/>
    <w:pPr>
      <w:spacing w:before="240" w:after="60"/>
      <w:jc w:val="center"/>
      <w:outlineLvl w:val="0"/>
    </w:pPr>
    <w:rPr>
      <w:rFonts w:ascii="Arial" w:hAnsi="Arial" w:cs="Arial"/>
      <w:b/>
      <w:bCs/>
      <w:sz w:val="32"/>
      <w:szCs w:val="32"/>
    </w:rPr>
  </w:style>
  <w:style w:type="character" w:customStyle="1" w:styleId="af0">
    <w:name w:val="標題 字元"/>
    <w:basedOn w:val="a2"/>
    <w:link w:val="a1"/>
    <w:uiPriority w:val="10"/>
    <w:rsid w:val="00203F72"/>
    <w:rPr>
      <w:rFonts w:ascii="Arial" w:hAnsi="Arial" w:cs="Arial"/>
      <w:b/>
      <w:bCs/>
      <w:kern w:val="2"/>
      <w:sz w:val="32"/>
      <w:szCs w:val="32"/>
    </w:rPr>
  </w:style>
  <w:style w:type="paragraph" w:customStyle="1" w:styleId="41">
    <w:name w:val="樣式4"/>
    <w:basedOn w:val="2"/>
    <w:next w:val="2"/>
    <w:autoRedefine/>
    <w:uiPriority w:val="99"/>
    <w:rsid w:val="00203F72"/>
    <w:pPr>
      <w:tabs>
        <w:tab w:val="num" w:pos="1080"/>
      </w:tabs>
      <w:adjustRightInd/>
      <w:snapToGrid/>
      <w:spacing w:before="0" w:after="0" w:line="720" w:lineRule="auto"/>
    </w:pPr>
    <w:rPr>
      <w:rFonts w:ascii="Arial" w:eastAsia="標楷體" w:hAnsi="Arial" w:cs="Times New Roman"/>
      <w:color w:val="auto"/>
      <w:sz w:val="36"/>
    </w:rPr>
  </w:style>
  <w:style w:type="paragraph" w:styleId="af1">
    <w:name w:val="footnote text"/>
    <w:aliases w:val="註腳文字 字元1,註腳文字 字元 字元,註腳文字(論文) 字元1 字元,註腳文字(論文) 字元 字元 字元,註腳文字 字元2,註腳文字 字元 字元1,註腳文字 字元2 字元 字元,註腳文字 字元 字元1 字元 字元,註腳文字 字元2 字元 字元 字元 字元,註腳文字 字元 字元1 字元 字元 字元 字元,註腳文字 字元2 字元 字元 字元 字元 字元1 字元,註腳文字 字元 字元1 字元 字元 字元 字元 字元1 字元,字元 字元 字元1,註腳文字(論文) 字元2 字元,ftx,fn,FA"/>
    <w:basedOn w:val="a0"/>
    <w:link w:val="af2"/>
    <w:rsid w:val="007D50BB"/>
    <w:pPr>
      <w:snapToGrid w:val="0"/>
    </w:pPr>
    <w:rPr>
      <w:color w:val="F79646" w:themeColor="accent6"/>
      <w:szCs w:val="20"/>
    </w:rPr>
  </w:style>
  <w:style w:type="character" w:customStyle="1" w:styleId="af2">
    <w:name w:val="註腳文字 字元"/>
    <w:aliases w:val="註腳文字 字元1 字元,註腳文字 字元 字元 字元,註腳文字(論文) 字元1 字元 字元,註腳文字(論文) 字元 字元 字元 字元,註腳文字 字元2 字元,註腳文字 字元 字元1 字元,註腳文字 字元2 字元 字元 字元,註腳文字 字元 字元1 字元 字元 字元,註腳文字 字元2 字元 字元 字元 字元 字元,註腳文字 字元 字元1 字元 字元 字元 字元 字元,註腳文字 字元2 字元 字元 字元 字元 字元1 字元 字元,字元 字元 字元1 字元,註腳文字(論文) 字元2 字元 字元"/>
    <w:basedOn w:val="a2"/>
    <w:link w:val="af1"/>
    <w:rsid w:val="007D50BB"/>
    <w:rPr>
      <w:color w:val="F79646" w:themeColor="accent6"/>
      <w:kern w:val="2"/>
      <w:sz w:val="22"/>
    </w:rPr>
  </w:style>
  <w:style w:type="character" w:styleId="af3">
    <w:name w:val="footnote reference"/>
    <w:aliases w:val="註腳參照－碩,Footnote Reference Superscript,FR,FR1,FR2,FR3,FR4,FR5,FR6,Ref,de nota al pie,註腳內容,FZ"/>
    <w:rsid w:val="007D50BB"/>
    <w:rPr>
      <w:color w:val="F79646" w:themeColor="accent6"/>
      <w:sz w:val="22"/>
      <w:vertAlign w:val="superscript"/>
    </w:rPr>
  </w:style>
  <w:style w:type="paragraph" w:styleId="af4">
    <w:name w:val="No Spacing"/>
    <w:link w:val="af5"/>
    <w:uiPriority w:val="1"/>
    <w:qFormat/>
    <w:rsid w:val="00203F72"/>
    <w:pPr>
      <w:widowControl w:val="0"/>
    </w:pPr>
    <w:rPr>
      <w:rFonts w:ascii="Calibri" w:hAnsi="Calibri"/>
      <w:kern w:val="2"/>
      <w:sz w:val="24"/>
      <w:szCs w:val="22"/>
    </w:rPr>
  </w:style>
  <w:style w:type="character" w:customStyle="1" w:styleId="af5">
    <w:name w:val="無間距 字元"/>
    <w:link w:val="af4"/>
    <w:uiPriority w:val="1"/>
    <w:locked/>
    <w:rsid w:val="00203F72"/>
    <w:rPr>
      <w:rFonts w:ascii="Calibri" w:hAnsi="Calibri"/>
      <w:kern w:val="2"/>
      <w:sz w:val="24"/>
      <w:szCs w:val="22"/>
    </w:rPr>
  </w:style>
  <w:style w:type="character" w:customStyle="1" w:styleId="mw-headline">
    <w:name w:val="mw-headline"/>
    <w:basedOn w:val="a2"/>
    <w:rsid w:val="00203F72"/>
  </w:style>
  <w:style w:type="paragraph" w:styleId="af6">
    <w:name w:val="Salutation"/>
    <w:basedOn w:val="a0"/>
    <w:next w:val="a0"/>
    <w:link w:val="af7"/>
    <w:uiPriority w:val="99"/>
    <w:rsid w:val="00203F72"/>
    <w:rPr>
      <w:sz w:val="24"/>
    </w:rPr>
  </w:style>
  <w:style w:type="character" w:customStyle="1" w:styleId="af7">
    <w:name w:val="問候 字元"/>
    <w:basedOn w:val="a2"/>
    <w:link w:val="af6"/>
    <w:uiPriority w:val="99"/>
    <w:rsid w:val="00203F72"/>
    <w:rPr>
      <w:kern w:val="2"/>
      <w:sz w:val="24"/>
      <w:szCs w:val="24"/>
    </w:rPr>
  </w:style>
  <w:style w:type="paragraph" w:styleId="af8">
    <w:name w:val="Closing"/>
    <w:basedOn w:val="a0"/>
    <w:link w:val="af9"/>
    <w:rsid w:val="00203F72"/>
    <w:pPr>
      <w:ind w:leftChars="1800" w:left="100"/>
    </w:pPr>
    <w:rPr>
      <w:sz w:val="24"/>
    </w:rPr>
  </w:style>
  <w:style w:type="character" w:customStyle="1" w:styleId="af9">
    <w:name w:val="結語 字元"/>
    <w:basedOn w:val="a2"/>
    <w:link w:val="af8"/>
    <w:rsid w:val="00203F72"/>
    <w:rPr>
      <w:kern w:val="2"/>
      <w:sz w:val="24"/>
      <w:szCs w:val="24"/>
    </w:rPr>
  </w:style>
  <w:style w:type="character" w:customStyle="1" w:styleId="st1">
    <w:name w:val="st1"/>
    <w:basedOn w:val="a2"/>
    <w:rsid w:val="00203F72"/>
  </w:style>
  <w:style w:type="paragraph" w:styleId="11">
    <w:name w:val="toc 1"/>
    <w:basedOn w:val="a0"/>
    <w:next w:val="a0"/>
    <w:link w:val="12"/>
    <w:autoRedefine/>
    <w:uiPriority w:val="39"/>
    <w:qFormat/>
    <w:rsid w:val="00203F72"/>
    <w:pPr>
      <w:spacing w:before="120" w:after="120"/>
    </w:pPr>
    <w:rPr>
      <w:rFonts w:ascii="Calibri" w:hAnsi="Calibri"/>
      <w:b/>
      <w:bCs/>
      <w:caps/>
      <w:szCs w:val="20"/>
    </w:rPr>
  </w:style>
  <w:style w:type="character" w:customStyle="1" w:styleId="12">
    <w:name w:val="目錄 1 字元"/>
    <w:link w:val="11"/>
    <w:uiPriority w:val="39"/>
    <w:locked/>
    <w:rsid w:val="00203F72"/>
    <w:rPr>
      <w:rFonts w:ascii="Calibri" w:hAnsi="Calibri"/>
      <w:b/>
      <w:bCs/>
      <w:caps/>
      <w:kern w:val="2"/>
    </w:rPr>
  </w:style>
  <w:style w:type="paragraph" w:customStyle="1" w:styleId="Default">
    <w:name w:val="Default"/>
    <w:rsid w:val="00203F72"/>
    <w:pPr>
      <w:widowControl w:val="0"/>
      <w:autoSpaceDE w:val="0"/>
      <w:autoSpaceDN w:val="0"/>
      <w:adjustRightInd w:val="0"/>
    </w:pPr>
    <w:rPr>
      <w:color w:val="000000"/>
      <w:sz w:val="24"/>
      <w:szCs w:val="24"/>
    </w:rPr>
  </w:style>
  <w:style w:type="paragraph" w:customStyle="1" w:styleId="13">
    <w:name w:val="內文1."/>
    <w:basedOn w:val="a0"/>
    <w:link w:val="14"/>
    <w:rsid w:val="00203F72"/>
    <w:pPr>
      <w:autoSpaceDN w:val="0"/>
      <w:ind w:leftChars="165" w:left="315" w:hangingChars="150" w:hanging="150"/>
    </w:pPr>
    <w:rPr>
      <w:rFonts w:eastAsia="華康仿宋體"/>
      <w:sz w:val="23"/>
    </w:rPr>
  </w:style>
  <w:style w:type="character" w:customStyle="1" w:styleId="14">
    <w:name w:val="內文1. 字元"/>
    <w:link w:val="13"/>
    <w:rsid w:val="00203F72"/>
    <w:rPr>
      <w:rFonts w:eastAsia="華康仿宋體"/>
      <w:kern w:val="2"/>
      <w:sz w:val="23"/>
      <w:szCs w:val="24"/>
    </w:rPr>
  </w:style>
  <w:style w:type="paragraph" w:customStyle="1" w:styleId="en">
    <w:name w:val="条（en）"/>
    <w:basedOn w:val="a0"/>
    <w:rsid w:val="00203F72"/>
    <w:pPr>
      <w:autoSpaceDE w:val="0"/>
      <w:autoSpaceDN w:val="0"/>
      <w:adjustRightInd w:val="0"/>
      <w:ind w:left="219" w:hanging="219"/>
    </w:pPr>
    <w:rPr>
      <w:rFonts w:ascii="Century" w:eastAsia="Century" w:hAnsi="Century" w:cs="Century"/>
      <w:kern w:val="0"/>
      <w:szCs w:val="20"/>
      <w:lang w:eastAsia="ja-JP"/>
    </w:rPr>
  </w:style>
  <w:style w:type="paragraph" w:customStyle="1" w:styleId="en0">
    <w:name w:val="項（en）"/>
    <w:basedOn w:val="a0"/>
    <w:rsid w:val="00203F72"/>
    <w:pPr>
      <w:autoSpaceDE w:val="0"/>
      <w:autoSpaceDN w:val="0"/>
      <w:adjustRightInd w:val="0"/>
      <w:ind w:left="219" w:hanging="219"/>
    </w:pPr>
    <w:rPr>
      <w:rFonts w:ascii="Century" w:eastAsia="Century" w:hAnsi="Century" w:cs="Century"/>
      <w:kern w:val="0"/>
      <w:szCs w:val="20"/>
      <w:lang w:eastAsia="ja-JP"/>
    </w:rPr>
  </w:style>
  <w:style w:type="paragraph" w:customStyle="1" w:styleId="en1">
    <w:name w:val="号（en）"/>
    <w:basedOn w:val="a0"/>
    <w:rsid w:val="00203F72"/>
    <w:pPr>
      <w:autoSpaceDE w:val="0"/>
      <w:autoSpaceDN w:val="0"/>
      <w:adjustRightInd w:val="0"/>
      <w:ind w:left="439" w:hanging="219"/>
    </w:pPr>
    <w:rPr>
      <w:rFonts w:ascii="Century" w:eastAsia="Century" w:hAnsi="Century" w:cs="Century"/>
      <w:kern w:val="0"/>
      <w:szCs w:val="20"/>
      <w:lang w:eastAsia="ja-JP"/>
    </w:rPr>
  </w:style>
  <w:style w:type="paragraph" w:styleId="afa">
    <w:name w:val="Plain Text"/>
    <w:aliases w:val="字元3"/>
    <w:basedOn w:val="a0"/>
    <w:link w:val="afb"/>
    <w:uiPriority w:val="99"/>
    <w:rsid w:val="00203F72"/>
    <w:rPr>
      <w:rFonts w:ascii="細明體" w:eastAsia="細明體" w:hAnsi="Courier New" w:cs="Courier New"/>
      <w:sz w:val="24"/>
    </w:rPr>
  </w:style>
  <w:style w:type="character" w:customStyle="1" w:styleId="afb">
    <w:name w:val="純文字 字元"/>
    <w:aliases w:val="字元3 字元"/>
    <w:basedOn w:val="a2"/>
    <w:link w:val="afa"/>
    <w:uiPriority w:val="99"/>
    <w:rsid w:val="00203F72"/>
    <w:rPr>
      <w:rFonts w:ascii="細明體" w:eastAsia="細明體" w:hAnsi="Courier New" w:cs="Courier New"/>
      <w:kern w:val="2"/>
      <w:sz w:val="24"/>
      <w:szCs w:val="24"/>
    </w:rPr>
  </w:style>
  <w:style w:type="paragraph" w:styleId="Web">
    <w:name w:val="Normal (Web)"/>
    <w:basedOn w:val="a0"/>
    <w:rsid w:val="00203F72"/>
    <w:pPr>
      <w:widowControl/>
      <w:spacing w:before="100" w:beforeAutospacing="1" w:after="100" w:afterAutospacing="1"/>
    </w:pPr>
    <w:rPr>
      <w:rFonts w:ascii="新細明體" w:hAnsi="新細明體" w:cs="新細明體"/>
      <w:kern w:val="0"/>
      <w:sz w:val="24"/>
    </w:rPr>
  </w:style>
  <w:style w:type="character" w:styleId="afc">
    <w:name w:val="Strong"/>
    <w:qFormat/>
    <w:rsid w:val="00203F72"/>
    <w:rPr>
      <w:b/>
      <w:bCs/>
    </w:rPr>
  </w:style>
  <w:style w:type="character" w:customStyle="1" w:styleId="langwithname">
    <w:name w:val="langwithname"/>
    <w:basedOn w:val="a2"/>
    <w:rsid w:val="00203F72"/>
  </w:style>
  <w:style w:type="character" w:customStyle="1" w:styleId="googqs-tidbitgoogqs-tidbit-0">
    <w:name w:val="goog_qs-tidbit goog_qs-tidbit-0"/>
    <w:basedOn w:val="a2"/>
    <w:rsid w:val="00203F72"/>
  </w:style>
  <w:style w:type="character" w:customStyle="1" w:styleId="listcontent">
    <w:name w:val="list_content"/>
    <w:basedOn w:val="a2"/>
    <w:rsid w:val="00203F72"/>
  </w:style>
  <w:style w:type="character" w:customStyle="1" w:styleId="contenttxt">
    <w:name w:val="content_txt"/>
    <w:basedOn w:val="a2"/>
    <w:rsid w:val="00203F72"/>
  </w:style>
  <w:style w:type="character" w:customStyle="1" w:styleId="text">
    <w:name w:val="text"/>
    <w:basedOn w:val="a2"/>
    <w:rsid w:val="00203F72"/>
  </w:style>
  <w:style w:type="paragraph" w:customStyle="1" w:styleId="15">
    <w:name w:val="圖表目錄1 字元 字元"/>
    <w:basedOn w:val="afd"/>
    <w:next w:val="afd"/>
    <w:link w:val="16"/>
    <w:rsid w:val="00203F72"/>
    <w:pPr>
      <w:spacing w:line="0" w:lineRule="atLeast"/>
      <w:ind w:leftChars="0" w:left="480" w:firstLineChars="0" w:hanging="480"/>
    </w:pPr>
    <w:rPr>
      <w:rFonts w:ascii="標楷體" w:eastAsia="標楷體" w:hAnsi="標楷體"/>
      <w:bCs/>
      <w:sz w:val="32"/>
      <w:szCs w:val="20"/>
    </w:rPr>
  </w:style>
  <w:style w:type="paragraph" w:styleId="afd">
    <w:name w:val="table of figures"/>
    <w:basedOn w:val="a0"/>
    <w:next w:val="a0"/>
    <w:uiPriority w:val="99"/>
    <w:rsid w:val="00203F72"/>
    <w:pPr>
      <w:ind w:leftChars="400" w:left="400" w:hangingChars="200" w:hanging="200"/>
    </w:pPr>
    <w:rPr>
      <w:sz w:val="24"/>
    </w:rPr>
  </w:style>
  <w:style w:type="character" w:customStyle="1" w:styleId="16">
    <w:name w:val="圖表目錄1 字元 字元 字元"/>
    <w:link w:val="15"/>
    <w:rsid w:val="00203F72"/>
    <w:rPr>
      <w:rFonts w:ascii="標楷體" w:eastAsia="標楷體" w:hAnsi="標楷體"/>
      <w:bCs/>
      <w:kern w:val="2"/>
      <w:sz w:val="32"/>
    </w:rPr>
  </w:style>
  <w:style w:type="character" w:customStyle="1" w:styleId="lgtext1">
    <w:name w:val="lgtext1"/>
    <w:rsid w:val="00203F72"/>
    <w:rPr>
      <w:rFonts w:ascii="Arial" w:hAnsi="Arial" w:cs="Arial" w:hint="default"/>
      <w:b/>
      <w:bCs/>
      <w:color w:val="000000"/>
      <w:sz w:val="15"/>
      <w:szCs w:val="15"/>
    </w:rPr>
  </w:style>
  <w:style w:type="character" w:styleId="HTML1">
    <w:name w:val="HTML Acronym"/>
    <w:basedOn w:val="a2"/>
    <w:rsid w:val="00203F72"/>
  </w:style>
  <w:style w:type="character" w:customStyle="1" w:styleId="search2">
    <w:name w:val="search2"/>
    <w:basedOn w:val="a2"/>
    <w:rsid w:val="00203F72"/>
  </w:style>
  <w:style w:type="paragraph" w:styleId="afe">
    <w:name w:val="Body Text"/>
    <w:basedOn w:val="a0"/>
    <w:link w:val="aff"/>
    <w:uiPriority w:val="99"/>
    <w:rsid w:val="00203F72"/>
    <w:pPr>
      <w:adjustRightInd w:val="0"/>
      <w:spacing w:after="120" w:line="360" w:lineRule="atLeast"/>
      <w:textAlignment w:val="baseline"/>
    </w:pPr>
    <w:rPr>
      <w:rFonts w:eastAsia="細明體"/>
      <w:kern w:val="0"/>
      <w:sz w:val="24"/>
      <w:szCs w:val="20"/>
    </w:rPr>
  </w:style>
  <w:style w:type="character" w:customStyle="1" w:styleId="aff">
    <w:name w:val="本文 字元"/>
    <w:basedOn w:val="a2"/>
    <w:link w:val="afe"/>
    <w:uiPriority w:val="99"/>
    <w:rsid w:val="00203F72"/>
    <w:rPr>
      <w:rFonts w:eastAsia="細明體"/>
      <w:sz w:val="24"/>
    </w:rPr>
  </w:style>
  <w:style w:type="paragraph" w:styleId="aff0">
    <w:name w:val="Body Text Indent"/>
    <w:basedOn w:val="a0"/>
    <w:link w:val="aff1"/>
    <w:uiPriority w:val="99"/>
    <w:rsid w:val="00203F72"/>
    <w:pPr>
      <w:spacing w:after="120"/>
      <w:ind w:leftChars="200" w:left="480"/>
    </w:pPr>
    <w:rPr>
      <w:sz w:val="24"/>
    </w:rPr>
  </w:style>
  <w:style w:type="character" w:customStyle="1" w:styleId="aff1">
    <w:name w:val="本文縮排 字元"/>
    <w:basedOn w:val="a2"/>
    <w:link w:val="aff0"/>
    <w:uiPriority w:val="99"/>
    <w:rsid w:val="00203F72"/>
    <w:rPr>
      <w:kern w:val="2"/>
      <w:sz w:val="24"/>
      <w:szCs w:val="24"/>
    </w:rPr>
  </w:style>
  <w:style w:type="character" w:customStyle="1" w:styleId="A20">
    <w:name w:val="A2"/>
    <w:rsid w:val="00203F72"/>
    <w:rPr>
      <w:rFonts w:cs="DFMingUBold-B5"/>
      <w:color w:val="000000"/>
      <w:sz w:val="28"/>
      <w:szCs w:val="28"/>
    </w:rPr>
  </w:style>
  <w:style w:type="character" w:customStyle="1" w:styleId="A60">
    <w:name w:val="A6"/>
    <w:rsid w:val="00203F72"/>
    <w:rPr>
      <w:rFonts w:cs="DFMingUBold-B5"/>
      <w:color w:val="000000"/>
      <w:sz w:val="40"/>
      <w:szCs w:val="40"/>
    </w:rPr>
  </w:style>
  <w:style w:type="paragraph" w:styleId="21">
    <w:name w:val="toc 2"/>
    <w:basedOn w:val="a0"/>
    <w:next w:val="a0"/>
    <w:autoRedefine/>
    <w:uiPriority w:val="39"/>
    <w:qFormat/>
    <w:rsid w:val="00203F72"/>
    <w:pPr>
      <w:tabs>
        <w:tab w:val="right" w:leader="dot" w:pos="8269"/>
      </w:tabs>
      <w:spacing w:line="0" w:lineRule="atLeast"/>
      <w:ind w:left="238"/>
    </w:pPr>
    <w:rPr>
      <w:rFonts w:ascii="Calibri" w:hAnsi="Calibri"/>
      <w:smallCaps/>
      <w:szCs w:val="20"/>
    </w:rPr>
  </w:style>
  <w:style w:type="paragraph" w:styleId="31">
    <w:name w:val="toc 3"/>
    <w:basedOn w:val="a0"/>
    <w:next w:val="a0"/>
    <w:autoRedefine/>
    <w:uiPriority w:val="39"/>
    <w:qFormat/>
    <w:rsid w:val="00203F72"/>
    <w:pPr>
      <w:ind w:left="480"/>
    </w:pPr>
    <w:rPr>
      <w:rFonts w:ascii="Calibri" w:hAnsi="Calibri"/>
      <w:i/>
      <w:iCs/>
      <w:szCs w:val="20"/>
    </w:rPr>
  </w:style>
  <w:style w:type="paragraph" w:customStyle="1" w:styleId="inner15">
    <w:name w:val="inner15"/>
    <w:basedOn w:val="a0"/>
    <w:rsid w:val="00203F72"/>
    <w:pPr>
      <w:widowControl/>
      <w:spacing w:before="100" w:beforeAutospacing="1" w:after="100" w:afterAutospacing="1"/>
    </w:pPr>
    <w:rPr>
      <w:rFonts w:ascii="新細明體" w:hAnsi="新細明體" w:cs="新細明體"/>
      <w:kern w:val="0"/>
      <w:sz w:val="24"/>
      <w:lang w:bidi="bn-IN"/>
    </w:rPr>
  </w:style>
  <w:style w:type="paragraph" w:styleId="z-">
    <w:name w:val="HTML Top of Form"/>
    <w:basedOn w:val="a0"/>
    <w:next w:val="a0"/>
    <w:link w:val="z-0"/>
    <w:hidden/>
    <w:rsid w:val="00203F72"/>
    <w:pPr>
      <w:widowControl/>
      <w:pBdr>
        <w:bottom w:val="single" w:sz="6" w:space="1" w:color="auto"/>
      </w:pBdr>
      <w:jc w:val="center"/>
    </w:pPr>
    <w:rPr>
      <w:rFonts w:ascii="Arial" w:hAnsi="Arial" w:cs="新細明體"/>
      <w:vanish/>
      <w:kern w:val="0"/>
      <w:sz w:val="16"/>
      <w:szCs w:val="16"/>
      <w:lang w:bidi="bn-IN"/>
    </w:rPr>
  </w:style>
  <w:style w:type="character" w:customStyle="1" w:styleId="z-0">
    <w:name w:val="z-表單的頂端 字元"/>
    <w:basedOn w:val="a2"/>
    <w:link w:val="z-"/>
    <w:rsid w:val="00203F72"/>
    <w:rPr>
      <w:rFonts w:ascii="Arial" w:hAnsi="Arial" w:cs="新細明體"/>
      <w:vanish/>
      <w:sz w:val="16"/>
      <w:szCs w:val="16"/>
      <w:lang w:bidi="bn-IN"/>
    </w:rPr>
  </w:style>
  <w:style w:type="character" w:customStyle="1" w:styleId="z-1">
    <w:name w:val="z-表單的底部 字元"/>
    <w:basedOn w:val="a2"/>
    <w:link w:val="z-2"/>
    <w:rsid w:val="00203F72"/>
    <w:rPr>
      <w:rFonts w:ascii="Arial" w:hAnsi="Arial" w:cs="新細明體"/>
      <w:vanish/>
      <w:sz w:val="16"/>
      <w:szCs w:val="16"/>
      <w:lang w:bidi="bn-IN"/>
    </w:rPr>
  </w:style>
  <w:style w:type="paragraph" w:styleId="z-2">
    <w:name w:val="HTML Bottom of Form"/>
    <w:basedOn w:val="a0"/>
    <w:next w:val="a0"/>
    <w:link w:val="z-1"/>
    <w:hidden/>
    <w:rsid w:val="00203F72"/>
    <w:pPr>
      <w:widowControl/>
      <w:pBdr>
        <w:top w:val="single" w:sz="6" w:space="1" w:color="auto"/>
      </w:pBdr>
      <w:jc w:val="center"/>
    </w:pPr>
    <w:rPr>
      <w:rFonts w:ascii="Arial" w:hAnsi="Arial" w:cs="新細明體"/>
      <w:vanish/>
      <w:kern w:val="0"/>
      <w:sz w:val="16"/>
      <w:szCs w:val="16"/>
      <w:lang w:bidi="bn-IN"/>
    </w:rPr>
  </w:style>
  <w:style w:type="character" w:customStyle="1" w:styleId="url">
    <w:name w:val="url"/>
    <w:basedOn w:val="a2"/>
    <w:rsid w:val="00203F72"/>
  </w:style>
  <w:style w:type="character" w:styleId="HTML2">
    <w:name w:val="HTML Cite"/>
    <w:rsid w:val="00203F72"/>
    <w:rPr>
      <w:i w:val="0"/>
      <w:iCs w:val="0"/>
      <w:color w:val="009933"/>
    </w:rPr>
  </w:style>
  <w:style w:type="character" w:customStyle="1" w:styleId="url2">
    <w:name w:val="url2"/>
    <w:rsid w:val="00203F72"/>
    <w:rPr>
      <w:b w:val="0"/>
      <w:bCs w:val="0"/>
      <w:color w:val="008000"/>
      <w:sz w:val="24"/>
      <w:szCs w:val="24"/>
    </w:rPr>
  </w:style>
  <w:style w:type="paragraph" w:customStyle="1" w:styleId="17">
    <w:name w:val="註腳文字1"/>
    <w:basedOn w:val="af1"/>
    <w:link w:val="110"/>
    <w:rsid w:val="00203F72"/>
    <w:pPr>
      <w:autoSpaceDN w:val="0"/>
      <w:spacing w:line="280" w:lineRule="exact"/>
      <w:ind w:left="379" w:hangingChars="150" w:hanging="379"/>
    </w:pPr>
    <w:rPr>
      <w:sz w:val="19"/>
      <w:szCs w:val="24"/>
    </w:rPr>
  </w:style>
  <w:style w:type="character" w:customStyle="1" w:styleId="110">
    <w:name w:val="註腳文字1 字元1"/>
    <w:link w:val="17"/>
    <w:rsid w:val="00203F72"/>
    <w:rPr>
      <w:kern w:val="2"/>
      <w:sz w:val="19"/>
      <w:szCs w:val="24"/>
    </w:rPr>
  </w:style>
  <w:style w:type="character" w:customStyle="1" w:styleId="grame">
    <w:name w:val="grame"/>
    <w:rsid w:val="00203F72"/>
  </w:style>
  <w:style w:type="character" w:customStyle="1" w:styleId="aff2">
    <w:name w:val="註解文字 字元"/>
    <w:basedOn w:val="a2"/>
    <w:link w:val="aff3"/>
    <w:uiPriority w:val="99"/>
    <w:rsid w:val="00203F72"/>
    <w:rPr>
      <w:rFonts w:ascii="Calibri" w:hAnsi="Calibri"/>
      <w:kern w:val="2"/>
      <w:sz w:val="24"/>
      <w:szCs w:val="22"/>
    </w:rPr>
  </w:style>
  <w:style w:type="paragraph" w:styleId="aff3">
    <w:name w:val="annotation text"/>
    <w:basedOn w:val="a0"/>
    <w:link w:val="aff2"/>
    <w:uiPriority w:val="99"/>
    <w:unhideWhenUsed/>
    <w:rsid w:val="00203F72"/>
    <w:rPr>
      <w:rFonts w:ascii="Calibri" w:hAnsi="Calibri"/>
      <w:sz w:val="24"/>
    </w:rPr>
  </w:style>
  <w:style w:type="paragraph" w:styleId="aff4">
    <w:name w:val="caption"/>
    <w:basedOn w:val="a0"/>
    <w:next w:val="a0"/>
    <w:uiPriority w:val="35"/>
    <w:unhideWhenUsed/>
    <w:qFormat/>
    <w:rsid w:val="00203F72"/>
    <w:rPr>
      <w:szCs w:val="20"/>
    </w:rPr>
  </w:style>
  <w:style w:type="character" w:customStyle="1" w:styleId="aff5">
    <w:name w:val="章節附註文字 字元"/>
    <w:basedOn w:val="a2"/>
    <w:link w:val="aff6"/>
    <w:uiPriority w:val="99"/>
    <w:rsid w:val="00203F72"/>
    <w:rPr>
      <w:rFonts w:ascii="細明體" w:eastAsia="細明體" w:hAnsi="細明體"/>
      <w:kern w:val="2"/>
      <w:sz w:val="24"/>
      <w:szCs w:val="24"/>
    </w:rPr>
  </w:style>
  <w:style w:type="paragraph" w:styleId="aff6">
    <w:name w:val="endnote text"/>
    <w:basedOn w:val="a0"/>
    <w:link w:val="aff5"/>
    <w:uiPriority w:val="99"/>
    <w:unhideWhenUsed/>
    <w:rsid w:val="00203F72"/>
    <w:pPr>
      <w:snapToGrid w:val="0"/>
    </w:pPr>
    <w:rPr>
      <w:rFonts w:ascii="細明體" w:eastAsia="細明體" w:hAnsi="細明體"/>
      <w:sz w:val="24"/>
    </w:rPr>
  </w:style>
  <w:style w:type="paragraph" w:styleId="a">
    <w:name w:val="List Bullet"/>
    <w:basedOn w:val="a0"/>
    <w:uiPriority w:val="99"/>
    <w:unhideWhenUsed/>
    <w:rsid w:val="00203F72"/>
    <w:pPr>
      <w:numPr>
        <w:numId w:val="9"/>
      </w:numPr>
      <w:contextualSpacing/>
    </w:pPr>
    <w:rPr>
      <w:rFonts w:ascii="Calibri" w:hAnsi="Calibri"/>
      <w:sz w:val="24"/>
    </w:rPr>
  </w:style>
  <w:style w:type="character" w:customStyle="1" w:styleId="22">
    <w:name w:val="本文縮排 2 字元"/>
    <w:basedOn w:val="a2"/>
    <w:link w:val="23"/>
    <w:uiPriority w:val="99"/>
    <w:rsid w:val="00203F72"/>
    <w:rPr>
      <w:rFonts w:ascii="細明體" w:eastAsia="細明體" w:hAnsi="細明體"/>
      <w:kern w:val="2"/>
      <w:sz w:val="24"/>
      <w:szCs w:val="24"/>
    </w:rPr>
  </w:style>
  <w:style w:type="paragraph" w:styleId="23">
    <w:name w:val="Body Text Indent 2"/>
    <w:basedOn w:val="a0"/>
    <w:link w:val="22"/>
    <w:uiPriority w:val="99"/>
    <w:unhideWhenUsed/>
    <w:rsid w:val="00203F72"/>
    <w:pPr>
      <w:spacing w:after="120" w:line="480" w:lineRule="auto"/>
      <w:ind w:leftChars="200" w:left="480"/>
    </w:pPr>
    <w:rPr>
      <w:rFonts w:ascii="細明體" w:eastAsia="細明體" w:hAnsi="細明體"/>
      <w:sz w:val="24"/>
    </w:rPr>
  </w:style>
  <w:style w:type="character" w:customStyle="1" w:styleId="32">
    <w:name w:val="本文縮排 3 字元"/>
    <w:aliases w:val="參考書目縮排4 字元"/>
    <w:link w:val="33"/>
    <w:locked/>
    <w:rsid w:val="00203F72"/>
    <w:rPr>
      <w:rFonts w:ascii="新細明體" w:eastAsia="細明體"/>
      <w:kern w:val="2"/>
    </w:rPr>
  </w:style>
  <w:style w:type="paragraph" w:styleId="33">
    <w:name w:val="Body Text Indent 3"/>
    <w:aliases w:val="參考書目縮排4"/>
    <w:basedOn w:val="a0"/>
    <w:link w:val="32"/>
    <w:unhideWhenUsed/>
    <w:rsid w:val="00203F72"/>
    <w:pPr>
      <w:ind w:firstLine="482"/>
    </w:pPr>
    <w:rPr>
      <w:rFonts w:ascii="新細明體" w:eastAsia="細明體"/>
      <w:szCs w:val="20"/>
    </w:rPr>
  </w:style>
  <w:style w:type="character" w:customStyle="1" w:styleId="310">
    <w:name w:val="本文縮排 3 字元1"/>
    <w:aliases w:val="參考書目縮排4 字元1"/>
    <w:basedOn w:val="a2"/>
    <w:rsid w:val="00203F72"/>
    <w:rPr>
      <w:kern w:val="2"/>
      <w:sz w:val="16"/>
      <w:szCs w:val="16"/>
    </w:rPr>
  </w:style>
  <w:style w:type="character" w:customStyle="1" w:styleId="aff7">
    <w:name w:val="註解主旨 字元"/>
    <w:basedOn w:val="aff2"/>
    <w:link w:val="aff8"/>
    <w:uiPriority w:val="99"/>
    <w:rsid w:val="00203F72"/>
    <w:rPr>
      <w:rFonts w:ascii="Calibri" w:hAnsi="Calibri"/>
      <w:b/>
      <w:bCs/>
      <w:kern w:val="2"/>
      <w:sz w:val="24"/>
      <w:szCs w:val="22"/>
    </w:rPr>
  </w:style>
  <w:style w:type="paragraph" w:styleId="aff8">
    <w:name w:val="annotation subject"/>
    <w:basedOn w:val="aff3"/>
    <w:next w:val="aff3"/>
    <w:link w:val="aff7"/>
    <w:uiPriority w:val="99"/>
    <w:unhideWhenUsed/>
    <w:rsid w:val="00203F72"/>
    <w:rPr>
      <w:b/>
      <w:bCs/>
    </w:rPr>
  </w:style>
  <w:style w:type="paragraph" w:styleId="aff9">
    <w:name w:val="List Paragraph"/>
    <w:basedOn w:val="a0"/>
    <w:uiPriority w:val="34"/>
    <w:qFormat/>
    <w:rsid w:val="00203F72"/>
    <w:pPr>
      <w:ind w:leftChars="200" w:left="480"/>
    </w:pPr>
    <w:rPr>
      <w:rFonts w:ascii="Calibri" w:hAnsi="Calibri"/>
      <w:sz w:val="24"/>
    </w:rPr>
  </w:style>
  <w:style w:type="character" w:customStyle="1" w:styleId="affa">
    <w:name w:val="標題一 字元"/>
    <w:link w:val="affb"/>
    <w:locked/>
    <w:rsid w:val="00203F72"/>
    <w:rPr>
      <w:rFonts w:ascii="新細明體" w:hAnsi="新細明體" w:cs="新細明體"/>
      <w:b/>
      <w:bCs/>
      <w:color w:val="000000"/>
      <w:kern w:val="2"/>
      <w:sz w:val="32"/>
      <w:szCs w:val="32"/>
    </w:rPr>
  </w:style>
  <w:style w:type="paragraph" w:customStyle="1" w:styleId="affb">
    <w:name w:val="標題一"/>
    <w:basedOn w:val="11"/>
    <w:link w:val="affa"/>
    <w:autoRedefine/>
    <w:qFormat/>
    <w:rsid w:val="00203F72"/>
    <w:pPr>
      <w:tabs>
        <w:tab w:val="right" w:leader="dot" w:pos="8268"/>
      </w:tabs>
      <w:spacing w:beforeLines="50" w:line="0" w:lineRule="atLeast"/>
      <w:ind w:left="993" w:hanging="993"/>
      <w:jc w:val="center"/>
    </w:pPr>
    <w:rPr>
      <w:rFonts w:ascii="新細明體" w:hAnsi="新細明體" w:cs="新細明體"/>
      <w:caps w:val="0"/>
      <w:color w:val="000000"/>
      <w:sz w:val="32"/>
      <w:szCs w:val="32"/>
    </w:rPr>
  </w:style>
  <w:style w:type="character" w:customStyle="1" w:styleId="71">
    <w:name w:val="樣式7 字元"/>
    <w:link w:val="72"/>
    <w:locked/>
    <w:rsid w:val="00203F72"/>
    <w:rPr>
      <w:rFonts w:eastAsia="標楷體"/>
      <w:color w:val="000000"/>
      <w:kern w:val="2"/>
      <w:sz w:val="44"/>
      <w:szCs w:val="44"/>
    </w:rPr>
  </w:style>
  <w:style w:type="paragraph" w:customStyle="1" w:styleId="72">
    <w:name w:val="樣式7"/>
    <w:basedOn w:val="2"/>
    <w:link w:val="71"/>
    <w:rsid w:val="00203F72"/>
    <w:pPr>
      <w:tabs>
        <w:tab w:val="num" w:pos="960"/>
      </w:tabs>
      <w:spacing w:beforeLines="50" w:before="0" w:after="0"/>
      <w:jc w:val="center"/>
    </w:pPr>
    <w:rPr>
      <w:rFonts w:ascii="Times New Roman" w:eastAsia="標楷體" w:hAnsi="Times New Roman" w:cs="Times New Roman"/>
      <w:b w:val="0"/>
      <w:bCs w:val="0"/>
      <w:color w:val="000000"/>
      <w:sz w:val="44"/>
      <w:szCs w:val="44"/>
    </w:rPr>
  </w:style>
  <w:style w:type="character" w:customStyle="1" w:styleId="affc">
    <w:name w:val="標題１６ 字元"/>
    <w:link w:val="affd"/>
    <w:locked/>
    <w:rsid w:val="00203F72"/>
  </w:style>
  <w:style w:type="paragraph" w:customStyle="1" w:styleId="affd">
    <w:name w:val="標題１６"/>
    <w:basedOn w:val="affb"/>
    <w:next w:val="11"/>
    <w:link w:val="affc"/>
    <w:autoRedefine/>
    <w:qFormat/>
    <w:rsid w:val="00203F72"/>
    <w:rPr>
      <w:rFonts w:ascii="Times New Roman" w:hAnsi="Times New Roman" w:cs="Times New Roman"/>
      <w:b w:val="0"/>
      <w:bCs w:val="0"/>
      <w:color w:val="auto"/>
      <w:kern w:val="0"/>
      <w:sz w:val="20"/>
      <w:szCs w:val="20"/>
    </w:rPr>
  </w:style>
  <w:style w:type="character" w:customStyle="1" w:styleId="affe">
    <w:name w:val="標題１４ 字元"/>
    <w:link w:val="afff"/>
    <w:locked/>
    <w:rsid w:val="00203F72"/>
    <w:rPr>
      <w:rFonts w:ascii="新細明體" w:hAnsi="新細明體"/>
      <w:b/>
      <w:kern w:val="2"/>
      <w:sz w:val="28"/>
      <w:szCs w:val="28"/>
    </w:rPr>
  </w:style>
  <w:style w:type="paragraph" w:customStyle="1" w:styleId="afff">
    <w:name w:val="標題１４"/>
    <w:basedOn w:val="a0"/>
    <w:next w:val="21"/>
    <w:link w:val="affe"/>
    <w:autoRedefine/>
    <w:qFormat/>
    <w:rsid w:val="00203F72"/>
    <w:pPr>
      <w:widowControl/>
    </w:pPr>
    <w:rPr>
      <w:rFonts w:ascii="新細明體" w:hAnsi="新細明體"/>
      <w:b/>
      <w:sz w:val="28"/>
      <w:szCs w:val="28"/>
    </w:rPr>
  </w:style>
  <w:style w:type="character" w:customStyle="1" w:styleId="afff0">
    <w:name w:val="標題１２ 字元"/>
    <w:link w:val="afff1"/>
    <w:locked/>
    <w:rsid w:val="00203F72"/>
    <w:rPr>
      <w:rFonts w:hAnsi="新細明體"/>
      <w:b/>
      <w:kern w:val="2"/>
      <w:sz w:val="24"/>
      <w:szCs w:val="24"/>
    </w:rPr>
  </w:style>
  <w:style w:type="paragraph" w:customStyle="1" w:styleId="afff1">
    <w:name w:val="標題１２"/>
    <w:basedOn w:val="a0"/>
    <w:next w:val="31"/>
    <w:link w:val="afff0"/>
    <w:autoRedefine/>
    <w:qFormat/>
    <w:rsid w:val="00203F72"/>
    <w:pPr>
      <w:widowControl/>
      <w:ind w:leftChars="-1" w:left="-2"/>
    </w:pPr>
    <w:rPr>
      <w:rFonts w:hAnsi="新細明體"/>
      <w:b/>
      <w:sz w:val="24"/>
    </w:rPr>
  </w:style>
  <w:style w:type="paragraph" w:customStyle="1" w:styleId="afff2">
    <w:name w:val="標題１"/>
    <w:basedOn w:val="affb"/>
    <w:uiPriority w:val="99"/>
    <w:rsid w:val="00203F72"/>
    <w:pPr>
      <w:spacing w:beforeLines="0" w:line="500" w:lineRule="exact"/>
      <w:jc w:val="left"/>
    </w:pPr>
  </w:style>
  <w:style w:type="character" w:customStyle="1" w:styleId="afff3">
    <w:name w:val="表文 字元"/>
    <w:link w:val="afff4"/>
    <w:locked/>
    <w:rsid w:val="00203F72"/>
    <w:rPr>
      <w:rFonts w:eastAsia="標楷體" w:hAnsi="標楷體"/>
      <w:lang w:val="x-none" w:eastAsia="x-none"/>
    </w:rPr>
  </w:style>
  <w:style w:type="paragraph" w:customStyle="1" w:styleId="afff4">
    <w:name w:val="表文"/>
    <w:basedOn w:val="a0"/>
    <w:link w:val="afff3"/>
    <w:rsid w:val="00203F72"/>
    <w:pPr>
      <w:autoSpaceDE w:val="0"/>
      <w:autoSpaceDN w:val="0"/>
    </w:pPr>
    <w:rPr>
      <w:rFonts w:eastAsia="標楷體" w:hAnsi="標楷體"/>
      <w:kern w:val="0"/>
      <w:szCs w:val="20"/>
      <w:lang w:val="x-none" w:eastAsia="x-none"/>
    </w:rPr>
  </w:style>
  <w:style w:type="paragraph" w:customStyle="1" w:styleId="afff5">
    <w:name w:val="資料來源"/>
    <w:basedOn w:val="afff4"/>
    <w:uiPriority w:val="99"/>
    <w:rsid w:val="00203F72"/>
    <w:rPr>
      <w:szCs w:val="22"/>
    </w:rPr>
  </w:style>
  <w:style w:type="paragraph" w:customStyle="1" w:styleId="afff6">
    <w:name w:val="註文(一)"/>
    <w:basedOn w:val="af1"/>
    <w:uiPriority w:val="99"/>
    <w:rsid w:val="007D50BB"/>
    <w:pPr>
      <w:autoSpaceDN w:val="0"/>
      <w:adjustRightInd w:val="0"/>
      <w:spacing w:line="280" w:lineRule="exact"/>
      <w:ind w:leftChars="150" w:left="971" w:hangingChars="300" w:hanging="607"/>
    </w:pPr>
    <w:rPr>
      <w:sz w:val="20"/>
      <w:szCs w:val="24"/>
      <w:lang w:eastAsia="ja-JP"/>
    </w:rPr>
  </w:style>
  <w:style w:type="character" w:customStyle="1" w:styleId="A10">
    <w:name w:val="A10"/>
    <w:rsid w:val="00203F72"/>
    <w:rPr>
      <w:rFonts w:ascii="Myriad Pro" w:eastAsia="Myriad Pro" w:cs="Myriad Pro" w:hint="eastAsia"/>
      <w:color w:val="000000"/>
      <w:sz w:val="22"/>
      <w:szCs w:val="22"/>
      <w:u w:val="single"/>
    </w:rPr>
  </w:style>
  <w:style w:type="character" w:customStyle="1" w:styleId="alt-edited">
    <w:name w:val="alt-edited"/>
    <w:rsid w:val="00203F72"/>
  </w:style>
  <w:style w:type="character" w:customStyle="1" w:styleId="st">
    <w:name w:val="st"/>
    <w:rsid w:val="00203F72"/>
  </w:style>
  <w:style w:type="character" w:customStyle="1" w:styleId="hps">
    <w:name w:val="hps"/>
    <w:rsid w:val="00203F72"/>
  </w:style>
  <w:style w:type="paragraph" w:styleId="51">
    <w:name w:val="toc 5"/>
    <w:basedOn w:val="a0"/>
    <w:next w:val="a0"/>
    <w:autoRedefine/>
    <w:uiPriority w:val="39"/>
    <w:rsid w:val="00203F72"/>
    <w:pPr>
      <w:ind w:left="960"/>
    </w:pPr>
    <w:rPr>
      <w:rFonts w:ascii="Calibri" w:hAnsi="Calibri"/>
      <w:sz w:val="18"/>
      <w:szCs w:val="18"/>
    </w:rPr>
  </w:style>
  <w:style w:type="paragraph" w:styleId="91">
    <w:name w:val="toc 9"/>
    <w:basedOn w:val="a0"/>
    <w:next w:val="a0"/>
    <w:autoRedefine/>
    <w:uiPriority w:val="39"/>
    <w:rsid w:val="00203F72"/>
    <w:pPr>
      <w:ind w:left="1920"/>
    </w:pPr>
    <w:rPr>
      <w:rFonts w:ascii="Calibri" w:hAnsi="Calibri"/>
      <w:sz w:val="18"/>
      <w:szCs w:val="18"/>
    </w:rPr>
  </w:style>
  <w:style w:type="character" w:customStyle="1" w:styleId="longtext">
    <w:name w:val="long_text"/>
    <w:rsid w:val="00203F72"/>
  </w:style>
  <w:style w:type="paragraph" w:customStyle="1" w:styleId="111">
    <w:name w:val="圖表目錄1 字元 字元1"/>
    <w:basedOn w:val="afd"/>
    <w:next w:val="afd"/>
    <w:link w:val="112"/>
    <w:rsid w:val="00203F72"/>
    <w:pPr>
      <w:spacing w:line="0" w:lineRule="atLeast"/>
      <w:ind w:leftChars="0" w:left="480" w:firstLineChars="0" w:hanging="480"/>
    </w:pPr>
    <w:rPr>
      <w:rFonts w:ascii="標楷體" w:eastAsia="標楷體" w:hAnsi="標楷體"/>
      <w:bCs/>
      <w:sz w:val="32"/>
      <w:szCs w:val="20"/>
    </w:rPr>
  </w:style>
  <w:style w:type="character" w:customStyle="1" w:styleId="112">
    <w:name w:val="圖表目錄1 字元 字元 字元1"/>
    <w:link w:val="111"/>
    <w:rsid w:val="00203F72"/>
    <w:rPr>
      <w:rFonts w:ascii="標楷體" w:eastAsia="標楷體" w:hAnsi="標楷體"/>
      <w:bCs/>
      <w:kern w:val="2"/>
      <w:sz w:val="32"/>
    </w:rPr>
  </w:style>
  <w:style w:type="paragraph" w:customStyle="1" w:styleId="black34">
    <w:name w:val="black34"/>
    <w:basedOn w:val="a0"/>
    <w:rsid w:val="00203F72"/>
    <w:pPr>
      <w:widowControl/>
      <w:spacing w:before="100" w:beforeAutospacing="1" w:after="100" w:afterAutospacing="1" w:line="570" w:lineRule="atLeast"/>
    </w:pPr>
    <w:rPr>
      <w:rFonts w:ascii="新細明體" w:hAnsi="新細明體" w:cs="新細明體"/>
      <w:color w:val="000000"/>
      <w:kern w:val="0"/>
      <w:sz w:val="51"/>
      <w:szCs w:val="51"/>
    </w:rPr>
  </w:style>
  <w:style w:type="paragraph" w:customStyle="1" w:styleId="300">
    <w:name w:val="30"/>
    <w:basedOn w:val="a0"/>
    <w:rsid w:val="00203F72"/>
    <w:pPr>
      <w:autoSpaceDE w:val="0"/>
      <w:autoSpaceDN w:val="0"/>
      <w:adjustRightInd w:val="0"/>
      <w:snapToGrid w:val="0"/>
      <w:ind w:leftChars="100" w:left="100" w:firstLineChars="200" w:firstLine="200"/>
    </w:pPr>
    <w:rPr>
      <w:rFonts w:eastAsia="標楷體"/>
      <w:sz w:val="24"/>
      <w:szCs w:val="20"/>
      <w:u w:val="single"/>
    </w:rPr>
  </w:style>
  <w:style w:type="character" w:customStyle="1" w:styleId="bigtitle1">
    <w:name w:val="bigtitle1"/>
    <w:rsid w:val="00203F72"/>
    <w:rPr>
      <w:rFonts w:ascii="simsong" w:hAnsi="simsong" w:hint="default"/>
      <w:b/>
      <w:bCs/>
      <w:strike w:val="0"/>
      <w:dstrike w:val="0"/>
      <w:color w:val="1069B5"/>
      <w:sz w:val="18"/>
      <w:szCs w:val="18"/>
      <w:u w:val="none"/>
      <w:effect w:val="none"/>
    </w:rPr>
  </w:style>
  <w:style w:type="character" w:customStyle="1" w:styleId="lemmatitleh1">
    <w:name w:val="lemmatitleh1"/>
    <w:rsid w:val="00203F72"/>
  </w:style>
  <w:style w:type="character" w:customStyle="1" w:styleId="comma">
    <w:name w:val="comma"/>
    <w:rsid w:val="00203F72"/>
  </w:style>
  <w:style w:type="character" w:customStyle="1" w:styleId="key4">
    <w:name w:val="key4"/>
    <w:rsid w:val="00203F72"/>
    <w:rPr>
      <w:rFonts w:ascii="зũ" w:hAnsi="зũ" w:hint="default"/>
      <w:b/>
      <w:bCs/>
      <w:color w:val="FF0000"/>
    </w:rPr>
  </w:style>
  <w:style w:type="character" w:customStyle="1" w:styleId="watch-title">
    <w:name w:val="watch-title"/>
    <w:rsid w:val="00203F72"/>
  </w:style>
  <w:style w:type="character" w:styleId="afff7">
    <w:name w:val="Emphasis"/>
    <w:uiPriority w:val="20"/>
    <w:qFormat/>
    <w:rsid w:val="00203F72"/>
    <w:rPr>
      <w:b w:val="0"/>
      <w:bCs w:val="0"/>
      <w:i w:val="0"/>
      <w:iCs w:val="0"/>
      <w:color w:val="CC0033"/>
    </w:rPr>
  </w:style>
  <w:style w:type="paragraph" w:styleId="afff8">
    <w:name w:val="Date"/>
    <w:basedOn w:val="a0"/>
    <w:next w:val="a0"/>
    <w:link w:val="afff9"/>
    <w:rsid w:val="00203F72"/>
    <w:pPr>
      <w:jc w:val="right"/>
    </w:pPr>
    <w:rPr>
      <w:sz w:val="24"/>
    </w:rPr>
  </w:style>
  <w:style w:type="character" w:customStyle="1" w:styleId="afff9">
    <w:name w:val="日期 字元"/>
    <w:basedOn w:val="a2"/>
    <w:link w:val="afff8"/>
    <w:rsid w:val="00203F72"/>
    <w:rPr>
      <w:kern w:val="2"/>
      <w:sz w:val="24"/>
      <w:szCs w:val="24"/>
    </w:rPr>
  </w:style>
  <w:style w:type="character" w:customStyle="1" w:styleId="mw-mmv-title">
    <w:name w:val="mw-mmv-title"/>
    <w:rsid w:val="00203F72"/>
  </w:style>
  <w:style w:type="character" w:customStyle="1" w:styleId="ztag2">
    <w:name w:val="ztag2"/>
    <w:rsid w:val="00203F72"/>
  </w:style>
  <w:style w:type="character" w:customStyle="1" w:styleId="tcnt3">
    <w:name w:val="tcnt3"/>
    <w:rsid w:val="00203F72"/>
  </w:style>
  <w:style w:type="character" w:customStyle="1" w:styleId="reference-text">
    <w:name w:val="reference-text"/>
    <w:rsid w:val="00203F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3956479">
      <w:bodyDiv w:val="1"/>
      <w:marLeft w:val="0"/>
      <w:marRight w:val="0"/>
      <w:marTop w:val="0"/>
      <w:marBottom w:val="0"/>
      <w:divBdr>
        <w:top w:val="none" w:sz="0" w:space="0" w:color="auto"/>
        <w:left w:val="none" w:sz="0" w:space="0" w:color="auto"/>
        <w:bottom w:val="none" w:sz="0" w:space="0" w:color="auto"/>
        <w:right w:val="none" w:sz="0" w:space="0" w:color="auto"/>
      </w:divBdr>
    </w:div>
    <w:div w:id="1670985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www.6laws.net/6law/law2\&#20445;&#35703;&#25152;&#26377;&#31227;&#24473;&#24037;&#20154;&#21450;&#20854;&#23478;&#24237;&#25104;&#21729;&#27402;&#21033;&#22283;&#38555;&#20844;&#32004;.htm" TargetMode="External"/><Relationship Id="rId170" Type="http://schemas.openxmlformats.org/officeDocument/2006/relationships/hyperlink" Target="https://www.6laws.net/6law/law\&#33274;&#28771;&#22320;&#21312;&#33287;&#22823;&#38520;&#22320;&#21312;&#20154;&#27665;&#38364;&#20418;&#26781;&#20363;.htm" TargetMode="External"/><Relationship Id="rId987" Type="http://schemas.openxmlformats.org/officeDocument/2006/relationships/hyperlink" Target="https://www.6laws.net/6law/law\&#25010;&#27861;.htm" TargetMode="External"/><Relationship Id="rId2668" Type="http://schemas.openxmlformats.org/officeDocument/2006/relationships/hyperlink" Target="https://www.6laws.net/6law/law\&#25010;&#27861;.htm" TargetMode="External"/><Relationship Id="rId2875" Type="http://schemas.openxmlformats.org/officeDocument/2006/relationships/hyperlink" Target="http://europa.eu/rapid/press-release_MEMO-13-309_en.htm" TargetMode="External"/><Relationship Id="rId847" Type="http://schemas.openxmlformats.org/officeDocument/2006/relationships/hyperlink" Target="https://www.6laws.net/6law/law\&#25010;&#27861;.htm" TargetMode="External"/><Relationship Id="rId1477" Type="http://schemas.openxmlformats.org/officeDocument/2006/relationships/hyperlink" Target="https://www.6laws.net/6law/law\&#20013;&#33775;&#27665;&#22283;&#25010;&#27861;&#22686;&#20462;&#26781;&#25991;.htm" TargetMode="External"/><Relationship Id="rId1684" Type="http://schemas.openxmlformats.org/officeDocument/2006/relationships/hyperlink" Target="https://www.6laws.net/6law/law\&#27602;&#21697;&#21361;&#23475;&#38450;&#21046;&#26781;&#20363;.htm" TargetMode="External"/><Relationship Id="rId1891" Type="http://schemas.openxmlformats.org/officeDocument/2006/relationships/hyperlink" Target="https://www.6laws.net/6law/law2\&#20844;&#27665;&#33287;&#25919;&#27835;&#27402;&#21033;&#22283;&#38555;&#20844;&#32004;.htm" TargetMode="External"/><Relationship Id="rId2528" Type="http://schemas.openxmlformats.org/officeDocument/2006/relationships/hyperlink" Target="https://www.6laws.net/6law/law\&#22823;&#27861;&#23448;&#35299;&#37323;79-86&#24180;.htm" TargetMode="External"/><Relationship Id="rId2735" Type="http://schemas.openxmlformats.org/officeDocument/2006/relationships/hyperlink" Target="https://www.6laws.net/6law/law2\&#28040;&#38500;&#23565;&#23142;&#22899;&#19968;&#20999;&#24418;&#24335;&#27495;&#35222;&#20844;&#32004;.htm" TargetMode="External"/><Relationship Id="rId707" Type="http://schemas.openxmlformats.org/officeDocument/2006/relationships/hyperlink" Target="https://www.6laws.net/6law/law\&#31435;&#27861;&#38498;&#32887;&#27402;&#34892;&#20351;&#27861;.htm" TargetMode="External"/><Relationship Id="rId914" Type="http://schemas.openxmlformats.org/officeDocument/2006/relationships/hyperlink" Target="https://www.6laws.net/6law/law\&#25010;&#27861;.htm" TargetMode="External"/><Relationship Id="rId1337" Type="http://schemas.openxmlformats.org/officeDocument/2006/relationships/hyperlink" Target="https://www.6laws.net/6law/law\&#25010;&#27861;.htm" TargetMode="External"/><Relationship Id="rId1544" Type="http://schemas.openxmlformats.org/officeDocument/2006/relationships/hyperlink" Target="https://www.6laws.net/6law/law\&#20013;&#33775;&#27665;&#22283;&#25010;&#27861;&#22686;&#20462;&#26781;&#25991;.htm" TargetMode="External"/><Relationship Id="rId1751" Type="http://schemas.openxmlformats.org/officeDocument/2006/relationships/hyperlink" Target="https://www.6laws.net/6law/law\&#21214;&#21205;&#22522;&#28310;&#27861;.htm" TargetMode="External"/><Relationship Id="rId2802" Type="http://schemas.openxmlformats.org/officeDocument/2006/relationships/hyperlink" Target="http://www.naol.cc/news/world/2014/12/13-1.htm" TargetMode="External"/><Relationship Id="rId43" Type="http://schemas.openxmlformats.org/officeDocument/2006/relationships/hyperlink" Target="https://www.6laws.net/6law/law\&#25010;&#27861;.htm" TargetMode="External"/><Relationship Id="rId1404" Type="http://schemas.openxmlformats.org/officeDocument/2006/relationships/hyperlink" Target="https://www.6laws.net/6law/law\&#20013;&#33775;&#27665;&#22283;&#25010;&#27861;&#22686;&#20462;&#26781;&#25991;.htm" TargetMode="External"/><Relationship Id="rId1611" Type="http://schemas.openxmlformats.org/officeDocument/2006/relationships/hyperlink" Target="https://www.6laws.net/6law/law\&#25010;&#27861;.htm" TargetMode="External"/><Relationship Id="rId497" Type="http://schemas.openxmlformats.org/officeDocument/2006/relationships/hyperlink" Target="https://www.6laws.net/6law/law\&#20013;&#33775;&#27665;&#22283;&#25010;&#27861;&#22686;&#20462;&#26781;&#25991;.htm" TargetMode="External"/><Relationship Id="rId2178" Type="http://schemas.openxmlformats.org/officeDocument/2006/relationships/hyperlink" Target="https://www.6laws.net/6law/law\&#25010;&#27861;.htm" TargetMode="External"/><Relationship Id="rId2385" Type="http://schemas.openxmlformats.org/officeDocument/2006/relationships/hyperlink" Target="http://henmi42.cocolog-nifty.com/yijianyeye/2013/04/post-3ed0.html" TargetMode="External"/><Relationship Id="rId357" Type="http://schemas.openxmlformats.org/officeDocument/2006/relationships/hyperlink" Target="https://www.6laws.net/6law/law\&#22823;&#27861;&#23448;&#35299;&#37323;61-78&#24180;.htm" TargetMode="External"/><Relationship Id="rId1194" Type="http://schemas.openxmlformats.org/officeDocument/2006/relationships/hyperlink" Target="https://www.6laws.net/6law/law\&#25010;&#27861;.htm" TargetMode="External"/><Relationship Id="rId2038" Type="http://schemas.openxmlformats.org/officeDocument/2006/relationships/hyperlink" Target="https://www.6laws.net/6law/law2\&#20844;&#27665;&#33287;&#25919;&#27835;&#27402;&#21033;&#22283;&#38555;&#20844;&#32004;.htm" TargetMode="External"/><Relationship Id="rId2592" Type="http://schemas.openxmlformats.org/officeDocument/2006/relationships/hyperlink" Target="https://www.6laws.net/6law/law\&#22823;&#27861;&#23448;&#35299;&#37323;87-91&#24180;.htm" TargetMode="External"/><Relationship Id="rId217" Type="http://schemas.openxmlformats.org/officeDocument/2006/relationships/hyperlink" Target="https://www.6laws.net/6law/law\&#22823;&#27861;&#23448;&#35299;&#37323;87-91&#24180;.htm" TargetMode="External"/><Relationship Id="rId564" Type="http://schemas.openxmlformats.org/officeDocument/2006/relationships/hyperlink" Target="https://www.6laws.net/6law/law\&#25010;&#27861;.htm" TargetMode="External"/><Relationship Id="rId771" Type="http://schemas.openxmlformats.org/officeDocument/2006/relationships/hyperlink" Target="https://www.6laws.net/6law/law\&#25010;&#27861;.htm" TargetMode="External"/><Relationship Id="rId2245" Type="http://schemas.openxmlformats.org/officeDocument/2006/relationships/hyperlink" Target="https://www.6laws.net/6law/law2\&#32879;&#21512;&#22283;&#25010;&#31456;.htm" TargetMode="External"/><Relationship Id="rId2452" Type="http://schemas.openxmlformats.org/officeDocument/2006/relationships/hyperlink" Target="https://www.6laws.net/6law/law2\&#19990;&#30028;&#20154;&#27402;&#23459;&#35328;.htm" TargetMode="External"/><Relationship Id="rId424" Type="http://schemas.openxmlformats.org/officeDocument/2006/relationships/hyperlink" Target="https://www.6laws.net/6law/law\&#27665;&#27861;.htm" TargetMode="External"/><Relationship Id="rId631" Type="http://schemas.openxmlformats.org/officeDocument/2006/relationships/hyperlink" Target="https://www.6laws.net/6law/law\&#25010;&#27861;.htm" TargetMode="External"/><Relationship Id="rId1054" Type="http://schemas.openxmlformats.org/officeDocument/2006/relationships/hyperlink" Target="https://www.6laws.net/6law/law\&#22823;&#27861;&#23448;&#35299;&#37323;38-60&#24180;.htm" TargetMode="External"/><Relationship Id="rId1261" Type="http://schemas.openxmlformats.org/officeDocument/2006/relationships/hyperlink" Target="https://www.6laws.net/6law/law\&#37329;&#34701;&#36039;&#29986;&#35657;&#21048;&#21270;&#26781;&#20363;.htm" TargetMode="External"/><Relationship Id="rId2105" Type="http://schemas.openxmlformats.org/officeDocument/2006/relationships/hyperlink" Target="https://www.6laws.net/6law/law2\&#20844;&#27665;&#33287;&#25919;&#27835;&#27402;&#21033;&#22283;&#38555;&#20844;&#32004;.htm" TargetMode="External"/><Relationship Id="rId2312" Type="http://schemas.openxmlformats.org/officeDocument/2006/relationships/hyperlink" Target="https://www.6laws.net/6law/law-gb\&#21453;&#20998;&#35010;&#22283;&#23478;&#27861;.htm" TargetMode="External"/><Relationship Id="rId1121" Type="http://schemas.openxmlformats.org/officeDocument/2006/relationships/hyperlink" Target="https://www.6laws.net/6law/law\&#20013;&#33775;&#27665;&#22283;&#25010;&#27861;&#22686;&#20462;&#26781;&#25991;.htm" TargetMode="External"/><Relationship Id="rId1938" Type="http://schemas.openxmlformats.org/officeDocument/2006/relationships/hyperlink" Target="https://www.6laws.net/6law/law\&#20837;&#20986;&#22283;&#21450;&#31227;&#27665;&#27861;.htm" TargetMode="External"/><Relationship Id="rId281" Type="http://schemas.openxmlformats.org/officeDocument/2006/relationships/hyperlink" Target="https://www.6laws.net/6law/law\&#25010;&#27861;.htm" TargetMode="External"/><Relationship Id="rId141" Type="http://schemas.openxmlformats.org/officeDocument/2006/relationships/hyperlink" Target="https://www.6laws.net/6law/law\&#21009;&#20107;&#35380;&#35359;&#27861;.htm" TargetMode="External"/><Relationship Id="rId7" Type="http://schemas.openxmlformats.org/officeDocument/2006/relationships/endnotes" Target="endnotes.xml"/><Relationship Id="rId2779" Type="http://schemas.openxmlformats.org/officeDocument/2006/relationships/hyperlink" Target="https://www.6laws.net/6law/law2\&#19990;&#30028;&#20154;&#27402;&#23459;&#35328;.htm" TargetMode="External"/><Relationship Id="rId958" Type="http://schemas.openxmlformats.org/officeDocument/2006/relationships/hyperlink" Target="https://www.6laws.net/6law/law\&#30435;&#35430;&#27861;.htm" TargetMode="External"/><Relationship Id="rId1588" Type="http://schemas.openxmlformats.org/officeDocument/2006/relationships/hyperlink" Target="https://www.6laws.net/6law/law\&#20013;&#33775;&#27665;&#22283;&#25010;&#27861;&#22686;&#20462;&#26781;&#25991;.htm" TargetMode="External"/><Relationship Id="rId1795" Type="http://schemas.openxmlformats.org/officeDocument/2006/relationships/hyperlink" Target="https://www.6laws.net/6law/law\&#21214;&#21205;&#22522;&#28310;&#27861;.htm" TargetMode="External"/><Relationship Id="rId2639" Type="http://schemas.openxmlformats.org/officeDocument/2006/relationships/hyperlink" Target="https://www.6laws.net/6law/law\&#20778;&#29983;&#20445;&#20581;&#27861;.htm" TargetMode="External"/><Relationship Id="rId2846" Type="http://schemas.openxmlformats.org/officeDocument/2006/relationships/hyperlink" Target="http://en.wikipedia.org/wiki/Wadi_Ara" TargetMode="External"/><Relationship Id="rId87" Type="http://schemas.openxmlformats.org/officeDocument/2006/relationships/hyperlink" Target="https://www.6laws.net/6law/law2\&#20844;&#27665;&#33287;&#25919;&#27835;&#27402;&#21033;&#22283;&#38555;&#20844;&#32004;.htm" TargetMode="External"/><Relationship Id="rId818" Type="http://schemas.openxmlformats.org/officeDocument/2006/relationships/hyperlink" Target="https://www.6laws.net/6law/law\&#25010;&#27861;.htm" TargetMode="External"/><Relationship Id="rId1448" Type="http://schemas.openxmlformats.org/officeDocument/2006/relationships/image" Target="media/image23.png"/><Relationship Id="rId1655" Type="http://schemas.openxmlformats.org/officeDocument/2006/relationships/hyperlink" Target="https://www.6laws.net/6law/law\&#21009;&#27861;.htm" TargetMode="External"/><Relationship Id="rId2706" Type="http://schemas.openxmlformats.org/officeDocument/2006/relationships/hyperlink" Target="https://www.6laws.net/6law/law\&#22823;&#27861;&#23448;&#35299;&#37323;92-n&#24180;.htm" TargetMode="External"/><Relationship Id="rId1308" Type="http://schemas.openxmlformats.org/officeDocument/2006/relationships/hyperlink" Target="https://www.6laws.net/6law/law3\&#29518;&#21237;&#25237;&#36039;&#26781;&#20363;&#26045;&#34892;&#32048;&#21063;.htm" TargetMode="External"/><Relationship Id="rId1862" Type="http://schemas.openxmlformats.org/officeDocument/2006/relationships/hyperlink" Target="https://www.6laws.net/6law/law2\&#19990;&#30028;&#20154;&#27402;&#23459;&#35328;.htm" TargetMode="External"/><Relationship Id="rId2913" Type="http://schemas.openxmlformats.org/officeDocument/2006/relationships/hyperlink" Target="http://www.peacehall.com/news/gb/china/2004/06/200406161040.shtml" TargetMode="External"/><Relationship Id="rId1515" Type="http://schemas.openxmlformats.org/officeDocument/2006/relationships/hyperlink" Target="https://www.6laws.net/6law/law\&#20013;&#33775;&#27665;&#22283;&#25010;&#27861;&#22686;&#20462;&#26781;&#25991;.htm" TargetMode="External"/><Relationship Id="rId1722" Type="http://schemas.openxmlformats.org/officeDocument/2006/relationships/hyperlink" Target="https://www.6laws.net/6law/law\&#27602;&#21697;&#21361;&#23475;&#38450;&#21046;&#26781;&#20363;.htm" TargetMode="External"/><Relationship Id="rId14" Type="http://schemas.openxmlformats.org/officeDocument/2006/relationships/image" Target="media/image5.emf"/><Relationship Id="rId2289" Type="http://schemas.openxmlformats.org/officeDocument/2006/relationships/hyperlink" Target="https://www.6laws.net/6law/law-gb\&#21453;&#20998;&#35010;&#22283;&#23478;&#27861;.htm" TargetMode="External"/><Relationship Id="rId2496" Type="http://schemas.openxmlformats.org/officeDocument/2006/relationships/hyperlink" Target="https://www.6laws.net/6law/law2\&#20844;&#27665;&#33287;&#25919;&#27835;&#27402;&#21033;&#22283;&#38555;&#20844;&#32004;.htm" TargetMode="External"/><Relationship Id="rId468" Type="http://schemas.openxmlformats.org/officeDocument/2006/relationships/hyperlink" Target="https://zh.wikipedia.org/wiki/%E5%88%B6%E6%86%B2%E5%9C%8B%E6%B0%91%E5%A4%A7%E6%9C%83" TargetMode="External"/><Relationship Id="rId675" Type="http://schemas.openxmlformats.org/officeDocument/2006/relationships/hyperlink" Target="https://www.6laws.net/6law/law\&#31435;&#27861;&#38498;&#32887;&#27402;&#34892;&#20351;&#27861;.htm" TargetMode="External"/><Relationship Id="rId882" Type="http://schemas.openxmlformats.org/officeDocument/2006/relationships/hyperlink" Target="https://www.6laws.net/6law/law\&#22823;&#27861;&#23448;&#35299;&#37323;38-60&#24180;.htm" TargetMode="External"/><Relationship Id="rId1098" Type="http://schemas.openxmlformats.org/officeDocument/2006/relationships/hyperlink" Target="https://www.6laws.net/6law/law\&#22320;&#26041;&#21046;&#24230;&#27861;.htm" TargetMode="External"/><Relationship Id="rId2149" Type="http://schemas.openxmlformats.org/officeDocument/2006/relationships/hyperlink" Target="https://www.6laws.net/6law/law2\&#20844;&#27665;&#33287;&#25919;&#27835;&#27402;&#21033;&#22283;&#38555;&#20844;&#32004;.htm" TargetMode="External"/><Relationship Id="rId2356" Type="http://schemas.openxmlformats.org/officeDocument/2006/relationships/hyperlink" Target="https://www.6laws.net/6law/law\&#25010;&#27861;.htm" TargetMode="External"/><Relationship Id="rId2563" Type="http://schemas.openxmlformats.org/officeDocument/2006/relationships/hyperlink" Target="https://www.6laws.net/6law/law\&#20154;&#24037;&#29983;&#27542;&#27861;.htm" TargetMode="External"/><Relationship Id="rId2770" Type="http://schemas.openxmlformats.org/officeDocument/2006/relationships/hyperlink" Target="https://www.6laws.net/6law/law2\&#20818;&#31461;&#27402;&#21033;&#20844;&#32004;.htm" TargetMode="External"/><Relationship Id="rId328" Type="http://schemas.openxmlformats.org/officeDocument/2006/relationships/hyperlink" Target="https://www.6laws.net/6law/law\&#25010;&#27861;.htm" TargetMode="External"/><Relationship Id="rId535" Type="http://schemas.openxmlformats.org/officeDocument/2006/relationships/hyperlink" Target="https://www.6laws.net/6law/law\&#25010;&#27861;.htm" TargetMode="External"/><Relationship Id="rId742" Type="http://schemas.openxmlformats.org/officeDocument/2006/relationships/hyperlink" Target="https://www.6laws.net/6law/law\&#25010;&#27861;.htm" TargetMode="External"/><Relationship Id="rId1165" Type="http://schemas.openxmlformats.org/officeDocument/2006/relationships/hyperlink" Target="https://www.6laws.net/6law/law\&#22320;&#26041;&#21046;&#24230;&#27861;.htm" TargetMode="External"/><Relationship Id="rId1372" Type="http://schemas.openxmlformats.org/officeDocument/2006/relationships/hyperlink" Target="https://www.6laws.net/6law/law\&#34892;&#25919;&#27861;&#20154;&#27861;.htm" TargetMode="External"/><Relationship Id="rId2009" Type="http://schemas.openxmlformats.org/officeDocument/2006/relationships/hyperlink" Target="https://www.6laws.net/6law/law\&#25010;&#27861;.htm" TargetMode="External"/><Relationship Id="rId2216" Type="http://schemas.openxmlformats.org/officeDocument/2006/relationships/hyperlink" Target="http://www.state.gov/g/tip/rls/tiprpt/2010/index.htm" TargetMode="External"/><Relationship Id="rId2423" Type="http://schemas.openxmlformats.org/officeDocument/2006/relationships/hyperlink" Target="https://www.6laws.net/6law/law2\&#19990;&#30028;&#20154;&#27402;&#23459;&#35328;.htm" TargetMode="External"/><Relationship Id="rId2630" Type="http://schemas.openxmlformats.org/officeDocument/2006/relationships/hyperlink" Target="http://www.google.com.tw/url?sa=i&amp;rct=j&amp;q=&amp;esrc=s&amp;frm=1&amp;source=images&amp;cd=&amp;cad=rja&amp;uact=8&amp;ved=0CAcQjRw&amp;url=http://www.thaicinema.org/kits295dek2002.php&amp;ei=ZrnUVK3WHOWvmAWKt4HADA&amp;psig=AFQjCNFGGl6CqIupXWjZOX9hMCJTG58zDQ&amp;ust=1423311678010102" TargetMode="External"/><Relationship Id="rId602" Type="http://schemas.openxmlformats.org/officeDocument/2006/relationships/hyperlink" Target="https://www.6laws.net/6law/law\&#25010;&#27861;.htm" TargetMode="External"/><Relationship Id="rId1025" Type="http://schemas.openxmlformats.org/officeDocument/2006/relationships/hyperlink" Target="https://www.6laws.net/6law/law\&#25010;&#27861;.htm" TargetMode="External"/><Relationship Id="rId1232" Type="http://schemas.openxmlformats.org/officeDocument/2006/relationships/hyperlink" Target="https://www.6laws.net/6law/law2\&#32879;&#21512;&#22283;&#25010;&#31456;.htm" TargetMode="External"/><Relationship Id="rId185" Type="http://schemas.openxmlformats.org/officeDocument/2006/relationships/hyperlink" Target="https://www.6laws.net/6law/law\&#25010;&#27861;.htm" TargetMode="External"/><Relationship Id="rId1909" Type="http://schemas.openxmlformats.org/officeDocument/2006/relationships/hyperlink" Target="https://www.6laws.net/6law/law2\&#26377;&#38364;&#38627;&#27665;&#22320;&#20301;&#20844;&#32004;.htm" TargetMode="External"/><Relationship Id="rId392" Type="http://schemas.openxmlformats.org/officeDocument/2006/relationships/hyperlink" Target="https://www.6laws.net/6law/law\&#25010;&#27861;.htm" TargetMode="External"/><Relationship Id="rId2073" Type="http://schemas.openxmlformats.org/officeDocument/2006/relationships/hyperlink" Target="https://www.6laws.net/6law/law2\&#20844;&#27665;&#33287;&#25919;&#27835;&#27402;&#21033;&#22283;&#38555;&#20844;&#32004;.htm" TargetMode="External"/><Relationship Id="rId2280" Type="http://schemas.openxmlformats.org/officeDocument/2006/relationships/hyperlink" Target="https://www.6laws.net/6law/law-gb\&#21453;&#20998;&#35010;&#22283;&#23478;&#27861;.htm" TargetMode="External"/><Relationship Id="rId252" Type="http://schemas.openxmlformats.org/officeDocument/2006/relationships/hyperlink" Target="https://www.6laws.net/6law/law\&#21009;&#27861;.htm" TargetMode="External"/><Relationship Id="rId2140" Type="http://schemas.openxmlformats.org/officeDocument/2006/relationships/hyperlink" Target="https://www.6laws.net/6law/law2\&#19990;&#30028;&#20154;&#27402;&#23459;&#35328;.htm" TargetMode="External"/><Relationship Id="rId112" Type="http://schemas.openxmlformats.org/officeDocument/2006/relationships/hyperlink" Target="https://www.6laws.net/6law/law\&#22823;&#27861;&#23448;&#35299;&#37323;92-n&#24180;.htm" TargetMode="External"/><Relationship Id="rId1699" Type="http://schemas.openxmlformats.org/officeDocument/2006/relationships/hyperlink" Target="https://www.6laws.net/6law/law\&#25010;&#27861;.htm" TargetMode="External"/><Relationship Id="rId2000" Type="http://schemas.openxmlformats.org/officeDocument/2006/relationships/hyperlink" Target="https://www.6laws.net/6law/law2\&#32879;&#21512;&#22283;&#25010;&#31456;.htm" TargetMode="External"/><Relationship Id="rId929" Type="http://schemas.openxmlformats.org/officeDocument/2006/relationships/hyperlink" Target="https://www.6laws.net/6law/law\&#25010;&#27861;.htm" TargetMode="External"/><Relationship Id="rId1559" Type="http://schemas.openxmlformats.org/officeDocument/2006/relationships/hyperlink" Target="https://www.6laws.net/6law/law\&#25010;&#27861;.htm" TargetMode="External"/><Relationship Id="rId1766" Type="http://schemas.openxmlformats.org/officeDocument/2006/relationships/hyperlink" Target="https://www.6laws.net/6law/law2\&#20445;&#35703;&#25152;&#26377;&#31227;&#24473;&#24037;&#20154;&#21450;&#20854;&#23478;&#24237;&#25104;&#21729;&#27402;&#21033;&#22283;&#38555;&#20844;&#32004;.htm" TargetMode="External"/><Relationship Id="rId1973" Type="http://schemas.openxmlformats.org/officeDocument/2006/relationships/hyperlink" Target="https://www.6laws.net/6law/law2\&#20844;&#27665;&#33287;&#25919;&#27835;&#27402;&#21033;&#22283;&#38555;&#20844;&#32004;.htm" TargetMode="External"/><Relationship Id="rId2817" Type="http://schemas.openxmlformats.org/officeDocument/2006/relationships/hyperlink" Target="https://www.6laws.net/6law/law\&#22823;&#27861;&#23448;&#35299;&#37323;79-86&#24180;.htm" TargetMode="External"/><Relationship Id="rId58" Type="http://schemas.openxmlformats.org/officeDocument/2006/relationships/hyperlink" Target="https://www.6laws.net/6law/law\&#25010;&#27861;.htm" TargetMode="External"/><Relationship Id="rId1419" Type="http://schemas.openxmlformats.org/officeDocument/2006/relationships/hyperlink" Target="https://zh.wikipedia.org/wiki/&#20013;&#33775;&#27665;&#22283;&#25010;&#27861;" TargetMode="External"/><Relationship Id="rId1626" Type="http://schemas.openxmlformats.org/officeDocument/2006/relationships/hyperlink" Target="https://www.6laws.net/6law/law2\&#20818;&#31461;&#27402;&#21033;&#20844;&#32004;.htm" TargetMode="External"/><Relationship Id="rId1833" Type="http://schemas.openxmlformats.org/officeDocument/2006/relationships/hyperlink" Target="https://www.6laws.net/6law/law2\&#20445;&#35703;&#25152;&#26377;&#31227;&#24473;&#24037;&#20154;&#21450;&#20854;&#23478;&#24237;&#25104;&#21729;&#27402;&#21033;&#22283;&#38555;&#20844;&#32004;.htm" TargetMode="External"/><Relationship Id="rId1900" Type="http://schemas.openxmlformats.org/officeDocument/2006/relationships/hyperlink" Target="https://www.6laws.net/6law/law2\&#26377;&#38364;&#38627;&#27665;&#22320;&#20301;&#20844;&#32004;.htm" TargetMode="External"/><Relationship Id="rId579" Type="http://schemas.openxmlformats.org/officeDocument/2006/relationships/hyperlink" Target="https://www.6laws.net/6law/law\&#25010;&#27861;.htm" TargetMode="External"/><Relationship Id="rId786" Type="http://schemas.openxmlformats.org/officeDocument/2006/relationships/hyperlink" Target="https://www.6laws.net/6law/law\&#22823;&#27861;&#23448;&#35299;&#37323;79-86&#24180;.htm" TargetMode="External"/><Relationship Id="rId993" Type="http://schemas.openxmlformats.org/officeDocument/2006/relationships/hyperlink" Target="https://www.6laws.net/6law/law\&#25010;&#27861;.htm" TargetMode="External"/><Relationship Id="rId2467" Type="http://schemas.openxmlformats.org/officeDocument/2006/relationships/hyperlink" Target="https://www.6laws.net/6law/law2\&#19990;&#30028;&#20154;&#27402;&#23459;&#35328;.htm" TargetMode="External"/><Relationship Id="rId2674" Type="http://schemas.openxmlformats.org/officeDocument/2006/relationships/hyperlink" Target="https://www.6laws.net/6law/law\&#25010;&#27861;.htm" TargetMode="External"/><Relationship Id="rId439" Type="http://schemas.openxmlformats.org/officeDocument/2006/relationships/hyperlink" Target="https://www.6laws.net/6law/law\&#25010;&#27861;.htm" TargetMode="External"/><Relationship Id="rId646" Type="http://schemas.openxmlformats.org/officeDocument/2006/relationships/hyperlink" Target="https://www.6laws.net/6law/law3\&#34892;&#25919;&#38498;&#26371;&#35696;&#35696;&#20107;&#35215;&#21063;.htm" TargetMode="External"/><Relationship Id="rId1069" Type="http://schemas.openxmlformats.org/officeDocument/2006/relationships/hyperlink" Target="https://www.6laws.net/6law/law\&#25010;&#27861;.htm" TargetMode="External"/><Relationship Id="rId1276" Type="http://schemas.openxmlformats.org/officeDocument/2006/relationships/hyperlink" Target="https://www.6laws.net/6law/law\&#37329;&#34701;&#30435;&#30563;&#31649;&#29702;&#22996;&#21729;&#26371;&#32068;&#32340;&#27861;.htm" TargetMode="External"/><Relationship Id="rId1483" Type="http://schemas.openxmlformats.org/officeDocument/2006/relationships/hyperlink" Target="https://www.6laws.net/6law/law\&#25010;&#27861;.htm" TargetMode="External"/><Relationship Id="rId2327" Type="http://schemas.openxmlformats.org/officeDocument/2006/relationships/hyperlink" Target="https://www.6laws.net/6law/law-gb\&#21453;&#20998;&#35010;&#22283;&#23478;&#27861;.htm" TargetMode="External"/><Relationship Id="rId2881" Type="http://schemas.openxmlformats.org/officeDocument/2006/relationships/hyperlink" Target="http://www.reuters.com/article/idUSTRE68T2OT20100930" TargetMode="External"/><Relationship Id="rId506" Type="http://schemas.openxmlformats.org/officeDocument/2006/relationships/hyperlink" Target="https://www.6laws.net/6law/law\&#25010;&#27861;.htm" TargetMode="External"/><Relationship Id="rId853" Type="http://schemas.openxmlformats.org/officeDocument/2006/relationships/hyperlink" Target="https://www.6laws.net/6law/law\&#25010;&#27861;.htm" TargetMode="External"/><Relationship Id="rId1136" Type="http://schemas.openxmlformats.org/officeDocument/2006/relationships/hyperlink" Target="https://www.6laws.net/6law/law\&#25010;&#27861;.htm" TargetMode="External"/><Relationship Id="rId1690" Type="http://schemas.openxmlformats.org/officeDocument/2006/relationships/hyperlink" Target="https://www.6laws.net/6law/law\&#27602;&#21697;&#21361;&#23475;&#38450;&#21046;&#26781;&#20363;.htm" TargetMode="External"/><Relationship Id="rId2534" Type="http://schemas.openxmlformats.org/officeDocument/2006/relationships/hyperlink" Target="https://www.6laws.net/6law/law\&#22823;&#27861;&#23448;&#35299;&#37323;92-n&#24180;.htm" TargetMode="External"/><Relationship Id="rId2741" Type="http://schemas.openxmlformats.org/officeDocument/2006/relationships/hyperlink" Target="https://www.6laws.net/6law/law2\&#20818;&#31461;&#27402;&#21033;&#20844;&#32004;.htm" TargetMode="External"/><Relationship Id="rId713" Type="http://schemas.openxmlformats.org/officeDocument/2006/relationships/hyperlink" Target="https://www.6laws.net/6law/law\&#31435;&#27861;&#38498;&#32887;&#27402;&#34892;&#20351;&#27861;.htm" TargetMode="External"/><Relationship Id="rId920" Type="http://schemas.openxmlformats.org/officeDocument/2006/relationships/hyperlink" Target="https://www.6laws.net/6law/law\&#20013;&#33775;&#27665;&#22283;&#25010;&#27861;&#22686;&#20462;&#26781;&#25991;.htm" TargetMode="External"/><Relationship Id="rId1343" Type="http://schemas.openxmlformats.org/officeDocument/2006/relationships/hyperlink" Target="https://www.6laws.net/6law/law\&#25010;&#27861;.htm" TargetMode="External"/><Relationship Id="rId1550" Type="http://schemas.openxmlformats.org/officeDocument/2006/relationships/hyperlink" Target="https://www.6laws.net/6law/law\&#25010;&#27861;.htm" TargetMode="External"/><Relationship Id="rId2601" Type="http://schemas.openxmlformats.org/officeDocument/2006/relationships/hyperlink" Target="https://www.6laws.net/6law/law\&#22823;&#27861;&#23448;&#35299;&#37323;92-n&#24180;.htm" TargetMode="External"/><Relationship Id="rId1203" Type="http://schemas.openxmlformats.org/officeDocument/2006/relationships/hyperlink" Target="https://www.6laws.net/6law/law\&#25010;&#27861;.htm" TargetMode="External"/><Relationship Id="rId1410" Type="http://schemas.openxmlformats.org/officeDocument/2006/relationships/hyperlink" Target="https://www.6laws.net/6law/law\&#25010;&#27861;.htm" TargetMode="External"/><Relationship Id="rId296" Type="http://schemas.openxmlformats.org/officeDocument/2006/relationships/hyperlink" Target="https://www.6laws.net/6law/law\&#32317;&#32113;&#21103;&#32317;&#32113;&#36984;&#33289;&#32631;&#20813;&#27861;.htm" TargetMode="External"/><Relationship Id="rId2184" Type="http://schemas.openxmlformats.org/officeDocument/2006/relationships/hyperlink" Target="https://www.6laws.net/6law/law\&#20837;&#20986;&#22283;&#21450;&#31227;&#27665;&#27861;.htm" TargetMode="External"/><Relationship Id="rId2391" Type="http://schemas.openxmlformats.org/officeDocument/2006/relationships/hyperlink" Target="https://www.6laws.net/6law/law-gb\&#21453;&#20998;&#35010;&#22283;&#23478;&#27861;.htm" TargetMode="External"/><Relationship Id="rId156" Type="http://schemas.openxmlformats.org/officeDocument/2006/relationships/hyperlink" Target="https://www.6laws.net/6law/law\&#22823;&#27861;&#23448;&#35299;&#37323;92-n&#24180;.htm" TargetMode="External"/><Relationship Id="rId363" Type="http://schemas.openxmlformats.org/officeDocument/2006/relationships/hyperlink" Target="https://www.6laws.net/6law/law\&#22823;&#27861;&#23448;&#35299;&#37323;79-86&#24180;.htm" TargetMode="External"/><Relationship Id="rId570" Type="http://schemas.openxmlformats.org/officeDocument/2006/relationships/hyperlink" Target="https://www.6laws.net/6law/law\&#25010;&#27861;.htm" TargetMode="External"/><Relationship Id="rId2044" Type="http://schemas.openxmlformats.org/officeDocument/2006/relationships/hyperlink" Target="https://www.6laws.net/6law/law2\&#20844;&#27665;&#33287;&#25919;&#27835;&#27402;&#21033;&#22283;&#38555;&#20844;&#32004;.htm" TargetMode="External"/><Relationship Id="rId2251" Type="http://schemas.openxmlformats.org/officeDocument/2006/relationships/hyperlink" Target="https://www.6laws.net/6law/law-gb\&#21453;&#20998;&#35010;&#22283;&#23478;&#27861;.htm" TargetMode="External"/><Relationship Id="rId223" Type="http://schemas.openxmlformats.org/officeDocument/2006/relationships/hyperlink" Target="https://www.6laws.net/6law/law\&#22823;&#27861;&#23448;&#35299;&#37323;79-86&#24180;.htm" TargetMode="External"/><Relationship Id="rId430" Type="http://schemas.openxmlformats.org/officeDocument/2006/relationships/image" Target="media/image16.jpeg"/><Relationship Id="rId1060" Type="http://schemas.openxmlformats.org/officeDocument/2006/relationships/hyperlink" Target="https://www.6laws.net/6law/law\&#25010;&#27861;.htm" TargetMode="External"/><Relationship Id="rId2111" Type="http://schemas.openxmlformats.org/officeDocument/2006/relationships/hyperlink" Target="https://www.6laws.net/6law/law2\&#20844;&#27665;&#33287;&#25919;&#27835;&#27402;&#21033;&#22283;&#38555;&#20844;&#32004;.htm" TargetMode="External"/><Relationship Id="rId1877" Type="http://schemas.openxmlformats.org/officeDocument/2006/relationships/hyperlink" Target="https://www.6laws.net/6law/law2\&#19990;&#30028;&#20154;&#27402;&#23459;&#35328;.htm" TargetMode="External"/><Relationship Id="rId2928" Type="http://schemas.openxmlformats.org/officeDocument/2006/relationships/hyperlink" Target="http://www.fukushihoken.metro.tokyo.jp/" TargetMode="External"/><Relationship Id="rId1737" Type="http://schemas.openxmlformats.org/officeDocument/2006/relationships/hyperlink" Target="https://www.6laws.net/6law/law\&#23601;&#26989;&#26381;&#21209;&#27861;.htm" TargetMode="External"/><Relationship Id="rId1944" Type="http://schemas.openxmlformats.org/officeDocument/2006/relationships/hyperlink" Target="https://www.6laws.net/6law/law\&#22823;&#27861;&#23448;&#35299;&#37323;92-n&#24180;.htm" TargetMode="External"/><Relationship Id="rId29" Type="http://schemas.openxmlformats.org/officeDocument/2006/relationships/hyperlink" Target="https://zh.wikipedia.org/wiki/File:%E6%86%B2%E6%B3%95%E8%8D%89%E6%A1%88%E6%AD%A3%E6%96%87%E8%B5%B7%E8%8D%89%E8%80%85.jpg" TargetMode="External"/><Relationship Id="rId1804" Type="http://schemas.openxmlformats.org/officeDocument/2006/relationships/hyperlink" Target="https://www.6laws.net/6law/law2\&#19990;&#30028;&#20154;&#27402;&#23459;&#35328;.htm" TargetMode="External"/><Relationship Id="rId897" Type="http://schemas.openxmlformats.org/officeDocument/2006/relationships/hyperlink" Target="https://www.6laws.net/6law/law\&#20844;&#21209;&#20154;&#21729;&#20445;&#38556;&#26280;&#22521;&#35347;&#22996;&#21729;&#26371;&#32068;&#32340;&#27861;.htm" TargetMode="External"/><Relationship Id="rId2578" Type="http://schemas.openxmlformats.org/officeDocument/2006/relationships/hyperlink" Target="https://www.6laws.net/6law/law\&#38598;&#26371;&#36938;&#34892;&#27861;.htm" TargetMode="External"/><Relationship Id="rId2785" Type="http://schemas.openxmlformats.org/officeDocument/2006/relationships/hyperlink" Target="https://www.6laws.net/6law/law2\&#32147;&#28639;&#31038;&#26371;&#25991;&#21270;&#27402;&#21033;&#22283;&#38555;&#20844;&#32004;.htm" TargetMode="External"/><Relationship Id="rId757" Type="http://schemas.openxmlformats.org/officeDocument/2006/relationships/hyperlink" Target="https://www.6laws.net/6law/law\&#22823;&#27861;&#23448;&#35299;&#37323;87-91&#24180;.htm" TargetMode="External"/><Relationship Id="rId964" Type="http://schemas.openxmlformats.org/officeDocument/2006/relationships/hyperlink" Target="https://www.6laws.net/6law/law\&#30435;&#23519;&#27861;.htm" TargetMode="External"/><Relationship Id="rId1387" Type="http://schemas.openxmlformats.org/officeDocument/2006/relationships/hyperlink" Target="https://www.6laws.net/6law/law\&#25010;&#27861;.htm" TargetMode="External"/><Relationship Id="rId1594" Type="http://schemas.openxmlformats.org/officeDocument/2006/relationships/image" Target="media/image25.emf"/><Relationship Id="rId2438" Type="http://schemas.openxmlformats.org/officeDocument/2006/relationships/hyperlink" Target="https://www.6laws.net/6law/law2\&#20844;&#27665;&#33287;&#25919;&#27835;&#27402;&#21033;&#22283;&#38555;&#20844;&#32004;.htm" TargetMode="External"/><Relationship Id="rId2645" Type="http://schemas.openxmlformats.org/officeDocument/2006/relationships/hyperlink" Target="https://www.6laws.net/6law/law3\&#20778;&#29983;&#20445;&#20581;&#27861;&#26045;&#34892;&#32048;&#21063;.htm" TargetMode="External"/><Relationship Id="rId2852" Type="http://schemas.openxmlformats.org/officeDocument/2006/relationships/hyperlink" Target="https://www.6laws.net/6law/law\&#20013;&#33775;&#27665;&#22283;&#25010;&#27861;&#22686;&#20462;&#26781;&#25991;.htm" TargetMode="External"/><Relationship Id="rId93" Type="http://schemas.openxmlformats.org/officeDocument/2006/relationships/hyperlink" Target="https://www.6laws.net/6law/law2\&#20844;&#27665;&#33287;&#25919;&#27835;&#27402;&#21033;&#22283;&#38555;&#20844;&#32004;.htm" TargetMode="External"/><Relationship Id="rId617" Type="http://schemas.openxmlformats.org/officeDocument/2006/relationships/hyperlink" Target="https://www.6laws.net/6law/law\&#34892;&#25919;&#38498;&#32068;&#32340;&#27861;.htm" TargetMode="External"/><Relationship Id="rId824" Type="http://schemas.openxmlformats.org/officeDocument/2006/relationships/hyperlink" Target="https://www.6laws.net/6law/law\&#25010;&#27861;.htm" TargetMode="External"/><Relationship Id="rId1247" Type="http://schemas.openxmlformats.org/officeDocument/2006/relationships/hyperlink" Target="https://www.6laws.net/6law/law\&#22303;&#22320;&#27861;.htm" TargetMode="External"/><Relationship Id="rId1454" Type="http://schemas.openxmlformats.org/officeDocument/2006/relationships/hyperlink" Target="https://www.6laws.net/6law/law\&#25010;&#27861;.htm" TargetMode="External"/><Relationship Id="rId1661" Type="http://schemas.openxmlformats.org/officeDocument/2006/relationships/hyperlink" Target="https://www.6laws.net/6law/law\&#22823;&#27861;&#23448;&#35299;&#37323;79-86&#24180;.htm" TargetMode="External"/><Relationship Id="rId2505" Type="http://schemas.openxmlformats.org/officeDocument/2006/relationships/hyperlink" Target="https://www.6laws.net/6law/law\&#25010;&#27861;.htm" TargetMode="External"/><Relationship Id="rId2712" Type="http://schemas.openxmlformats.org/officeDocument/2006/relationships/hyperlink" Target="https://www.6laws.net/6law/law\&#22823;&#27861;&#23448;&#35299;&#37323;92-n&#24180;.htm" TargetMode="External"/><Relationship Id="rId1107" Type="http://schemas.openxmlformats.org/officeDocument/2006/relationships/hyperlink" Target="https://www.6laws.net/6law/law\&#22320;&#26041;&#21046;&#24230;&#27861;.htm" TargetMode="External"/><Relationship Id="rId1314" Type="http://schemas.openxmlformats.org/officeDocument/2006/relationships/hyperlink" Target="https://www.6laws.net/6law/law\&#25010;&#27861;.htm" TargetMode="External"/><Relationship Id="rId1521" Type="http://schemas.openxmlformats.org/officeDocument/2006/relationships/hyperlink" Target="https://www.6laws.net/6law/law\&#20013;&#33775;&#27665;&#22283;&#25010;&#27861;&#22686;&#20462;&#26781;&#25991;.htm" TargetMode="External"/><Relationship Id="rId20" Type="http://schemas.openxmlformats.org/officeDocument/2006/relationships/image" Target="media/image11.jpeg"/><Relationship Id="rId2088" Type="http://schemas.openxmlformats.org/officeDocument/2006/relationships/hyperlink" Target="https://www.6laws.net/6law/law2\&#20844;&#27665;&#33287;&#25919;&#27835;&#27402;&#21033;&#22283;&#38555;&#20844;&#32004;.htm" TargetMode="External"/><Relationship Id="rId2295" Type="http://schemas.openxmlformats.org/officeDocument/2006/relationships/hyperlink" Target="https://www.6laws.net/6law/law-gb\&#21453;&#20998;&#35010;&#22283;&#23478;&#27861;.htm" TargetMode="External"/><Relationship Id="rId267" Type="http://schemas.openxmlformats.org/officeDocument/2006/relationships/hyperlink" Target="https://www.6laws.net/6law/law\&#25010;&#27861;.htm" TargetMode="External"/><Relationship Id="rId474" Type="http://schemas.openxmlformats.org/officeDocument/2006/relationships/hyperlink" Target="https://www.6laws.net/6law/law\&#20013;&#33775;&#27665;&#22283;&#25010;&#27861;&#22686;&#20462;&#26781;&#25991;.htm" TargetMode="External"/><Relationship Id="rId2155" Type="http://schemas.openxmlformats.org/officeDocument/2006/relationships/hyperlink" Target="https://www.6laws.net/6law/law\&#22823;&#27861;&#23448;&#35299;&#37323;79-86&#24180;.htm" TargetMode="External"/><Relationship Id="rId127" Type="http://schemas.openxmlformats.org/officeDocument/2006/relationships/hyperlink" Target="https://www.6laws.net/6law/law\&#25010;&#27861;.htm" TargetMode="External"/><Relationship Id="rId681" Type="http://schemas.openxmlformats.org/officeDocument/2006/relationships/hyperlink" Target="https://www.6laws.net/6law/law\&#25010;&#27861;.htm" TargetMode="External"/><Relationship Id="rId2362" Type="http://schemas.openxmlformats.org/officeDocument/2006/relationships/hyperlink" Target="https://www.6laws.net/6law/law\&#25010;&#27861;.htm" TargetMode="External"/><Relationship Id="rId334" Type="http://schemas.openxmlformats.org/officeDocument/2006/relationships/hyperlink" Target="https://www.6laws.net/6law/law\&#25152;&#24471;&#31237;&#27861;.htm" TargetMode="External"/><Relationship Id="rId541" Type="http://schemas.openxmlformats.org/officeDocument/2006/relationships/hyperlink" Target="https://www.6laws.net/6law/law\&#20013;&#33775;&#27665;&#22283;&#25010;&#27861;&#22686;&#20462;&#26781;&#25991;.htm" TargetMode="External"/><Relationship Id="rId1171" Type="http://schemas.openxmlformats.org/officeDocument/2006/relationships/hyperlink" Target="https://www.6laws.net/6law/law3\&#22320;&#26041;&#31435;&#27861;&#27231;&#38364;&#32068;&#32340;&#28310;&#21063;.htm" TargetMode="External"/><Relationship Id="rId2015" Type="http://schemas.openxmlformats.org/officeDocument/2006/relationships/hyperlink" Target="https://www.6laws.net/6law/law\&#20837;&#20986;&#22283;&#21450;&#31227;&#27665;&#27861;.htm" TargetMode="External"/><Relationship Id="rId2222" Type="http://schemas.openxmlformats.org/officeDocument/2006/relationships/hyperlink" Target="https://www.6laws.net/6law/law\&#20154;&#21475;&#36009;&#36939;&#38450;&#21046;&#27861;.htm" TargetMode="External"/><Relationship Id="rId401" Type="http://schemas.openxmlformats.org/officeDocument/2006/relationships/hyperlink" Target="https://www.6laws.net/6law/law\&#25010;&#27861;.htm" TargetMode="External"/><Relationship Id="rId1031" Type="http://schemas.openxmlformats.org/officeDocument/2006/relationships/hyperlink" Target="https://www.6laws.net/6law/law\&#22823;&#27861;&#23448;&#35299;&#37323;38-60&#24180;.htm" TargetMode="External"/><Relationship Id="rId1988" Type="http://schemas.openxmlformats.org/officeDocument/2006/relationships/hyperlink" Target="https://www.6laws.net/6law/law2\&#20844;&#27665;&#33287;&#25919;&#27835;&#27402;&#21033;&#22283;&#38555;&#20844;&#32004;.htm" TargetMode="External"/><Relationship Id="rId1848" Type="http://schemas.openxmlformats.org/officeDocument/2006/relationships/hyperlink" Target="https://www.6laws.net/6law/law2\&#20445;&#35703;&#25152;&#26377;&#31227;&#24473;&#24037;&#20154;&#21450;&#20854;&#23478;&#24237;&#25104;&#21729;&#27402;&#21033;&#22283;&#38555;&#20844;&#32004;.htm" TargetMode="External"/><Relationship Id="rId191" Type="http://schemas.openxmlformats.org/officeDocument/2006/relationships/hyperlink" Target="https://www.6laws.net/6law/law\&#25010;&#27861;.htm" TargetMode="External"/><Relationship Id="rId1708" Type="http://schemas.openxmlformats.org/officeDocument/2006/relationships/hyperlink" Target="https://www.6laws.net/6law/law3\&#27602;&#21697;&#25106;&#30318;&#27835;&#30274;&#23526;&#26045;&#36774;&#27861;&#21450;&#23436;&#25104;&#27835;&#30274;&#35469;&#23450;&#27161;&#28310;.htm" TargetMode="External"/><Relationship Id="rId1915" Type="http://schemas.openxmlformats.org/officeDocument/2006/relationships/hyperlink" Target="https://www.6laws.net/6law/law2\&#26377;&#38364;&#38627;&#27665;&#22320;&#20301;&#20844;&#32004;.htm" TargetMode="External"/><Relationship Id="rId2689" Type="http://schemas.openxmlformats.org/officeDocument/2006/relationships/hyperlink" Target="https://www.6laws.net/6law/law\&#20837;&#20986;&#22283;&#21450;&#31227;&#27665;&#27861;.htm" TargetMode="External"/><Relationship Id="rId2896" Type="http://schemas.openxmlformats.org/officeDocument/2006/relationships/hyperlink" Target="http://en.wikipedia.org/wiki/Safe_injection_site" TargetMode="External"/><Relationship Id="rId868" Type="http://schemas.openxmlformats.org/officeDocument/2006/relationships/hyperlink" Target="https://www.6laws.net/6law/law\&#25010;&#27861;.htm" TargetMode="External"/><Relationship Id="rId1498" Type="http://schemas.openxmlformats.org/officeDocument/2006/relationships/hyperlink" Target="https://www.6laws.net/6law/law\&#20844;&#32887;&#20154;&#21729;&#36984;&#33289;&#32631;&#20813;&#27861;.htm" TargetMode="External"/><Relationship Id="rId2549" Type="http://schemas.openxmlformats.org/officeDocument/2006/relationships/hyperlink" Target="https://www.6laws.net/6law/law2\&#32147;&#28639;&#31038;&#26371;&#25991;&#21270;&#27402;&#21033;&#22283;&#38555;&#20844;&#32004;.htm" TargetMode="External"/><Relationship Id="rId2756" Type="http://schemas.openxmlformats.org/officeDocument/2006/relationships/hyperlink" Target="https://www.6laws.net/6law/law2\&#20818;&#31461;&#27402;&#21033;&#20844;&#32004;.htm" TargetMode="External"/><Relationship Id="rId728" Type="http://schemas.openxmlformats.org/officeDocument/2006/relationships/hyperlink" Target="https://www.6laws.net/6law/law\&#25010;&#27861;.htm" TargetMode="External"/><Relationship Id="rId935" Type="http://schemas.openxmlformats.org/officeDocument/2006/relationships/hyperlink" Target="https://zh.wikipedia.org/wiki/&#20013;&#33775;&#27665;&#22283;&#25010;&#27861;" TargetMode="External"/><Relationship Id="rId1358" Type="http://schemas.openxmlformats.org/officeDocument/2006/relationships/hyperlink" Target="https://www.6laws.net/6law/law\&#22823;&#27861;&#23448;&#35299;&#37323;87-91&#24180;.htm" TargetMode="External"/><Relationship Id="rId1565" Type="http://schemas.openxmlformats.org/officeDocument/2006/relationships/hyperlink" Target="https://www.6laws.net/6law/law\&#20013;&#33775;&#27665;&#22283;&#25010;&#27861;&#22686;&#20462;&#26781;&#25991;.htm" TargetMode="External"/><Relationship Id="rId1772" Type="http://schemas.openxmlformats.org/officeDocument/2006/relationships/hyperlink" Target="https://www.6laws.net/6law/law2\&#20445;&#35703;&#25152;&#26377;&#31227;&#24473;&#24037;&#20154;&#21450;&#20854;&#23478;&#24237;&#25104;&#21729;&#27402;&#21033;&#22283;&#38555;&#20844;&#32004;.htm" TargetMode="External"/><Relationship Id="rId2409" Type="http://schemas.openxmlformats.org/officeDocument/2006/relationships/hyperlink" Target="https://www.6laws.net/6law/law\&#25010;&#27861;.htm" TargetMode="External"/><Relationship Id="rId2616" Type="http://schemas.openxmlformats.org/officeDocument/2006/relationships/image" Target="media/image43.jpeg"/><Relationship Id="rId64" Type="http://schemas.openxmlformats.org/officeDocument/2006/relationships/hyperlink" Target="https://www.6laws.net/6law/law\&#25010;&#27861;.htm" TargetMode="External"/><Relationship Id="rId1218" Type="http://schemas.openxmlformats.org/officeDocument/2006/relationships/hyperlink" Target="https://www.6laws.net/6law/law\&#20844;&#27665;&#25237;&#31080;&#27861;.htm" TargetMode="External"/><Relationship Id="rId1425" Type="http://schemas.openxmlformats.org/officeDocument/2006/relationships/hyperlink" Target="https://www.6laws.net/6law/law\&#20013;&#33775;&#27665;&#22283;&#25010;&#27861;&#22686;&#20462;&#26781;&#25991;.htm" TargetMode="External"/><Relationship Id="rId2823" Type="http://schemas.openxmlformats.org/officeDocument/2006/relationships/hyperlink" Target="https://www.6laws.net/6law/law\&#20013;&#33775;&#27665;&#22283;&#25010;&#27861;&#22686;&#20462;&#26781;&#25991;.htm" TargetMode="External"/><Relationship Id="rId1632" Type="http://schemas.openxmlformats.org/officeDocument/2006/relationships/hyperlink" Target="https://www.6laws.net/6law/law2\&#32147;&#28639;&#31038;&#26371;&#25991;&#21270;&#27402;&#21033;&#22283;&#38555;&#20844;&#32004;.htm" TargetMode="External"/><Relationship Id="rId2199" Type="http://schemas.openxmlformats.org/officeDocument/2006/relationships/hyperlink" Target="https://www.6laws.net/6law/law\&#20844;&#27665;&#33287;&#25919;&#27835;&#27402;&#21033;&#22283;&#38555;&#20844;&#32004;&#21450;&#32147;&#28639;&#31038;&#26371;&#25991;&#21270;&#27402;&#21033;&#22283;&#38555;&#20844;&#32004;&#26045;&#34892;&#27861;.htm" TargetMode="External"/><Relationship Id="rId378" Type="http://schemas.openxmlformats.org/officeDocument/2006/relationships/hyperlink" Target="https://www.6laws.net/6law/law\&#25010;&#27861;.htm" TargetMode="External"/><Relationship Id="rId585" Type="http://schemas.openxmlformats.org/officeDocument/2006/relationships/hyperlink" Target="https://www.6laws.net/6law/law\&#25010;&#27861;.htm" TargetMode="External"/><Relationship Id="rId792" Type="http://schemas.openxmlformats.org/officeDocument/2006/relationships/hyperlink" Target="https://www.6laws.net/6law/law\&#25010;&#27861;.htm" TargetMode="External"/><Relationship Id="rId2059" Type="http://schemas.openxmlformats.org/officeDocument/2006/relationships/hyperlink" Target="https://www.6laws.net/6law/law2\&#20844;&#27665;&#33287;&#25919;&#27835;&#27402;&#21033;&#22283;&#38555;&#20844;&#32004;.htm" TargetMode="External"/><Relationship Id="rId2266" Type="http://schemas.openxmlformats.org/officeDocument/2006/relationships/hyperlink" Target="https://www.6laws.net/6law/law-gb\&#21453;&#20998;&#35010;&#22283;&#23478;&#27861;.htm" TargetMode="External"/><Relationship Id="rId2473" Type="http://schemas.openxmlformats.org/officeDocument/2006/relationships/hyperlink" Target="https://www.6laws.net/6law/law2\&#20844;&#27665;&#33287;&#25919;&#27835;&#27402;&#21033;&#22283;&#38555;&#20844;&#32004;.htm" TargetMode="External"/><Relationship Id="rId2680" Type="http://schemas.openxmlformats.org/officeDocument/2006/relationships/hyperlink" Target="https://www.6laws.net/6law/law\&#22823;&#27861;&#23448;&#35299;&#37323;92-n&#24180;.htm" TargetMode="External"/><Relationship Id="rId238" Type="http://schemas.openxmlformats.org/officeDocument/2006/relationships/hyperlink" Target="https://www.6laws.net/6law/law\&#25010;&#27861;.htm" TargetMode="External"/><Relationship Id="rId445" Type="http://schemas.openxmlformats.org/officeDocument/2006/relationships/hyperlink" Target="https://zh.wikipedia.org/wiki/%E5%88%B6%E6%86%B2%E5%9C%8B%E6%B0%91%E5%A4%A7%E6%9C%83" TargetMode="External"/><Relationship Id="rId652" Type="http://schemas.openxmlformats.org/officeDocument/2006/relationships/hyperlink" Target="https://www.6laws.net/6law/law\&#22823;&#27861;&#23448;&#35299;&#37323;79-86&#24180;.htm" TargetMode="External"/><Relationship Id="rId1075" Type="http://schemas.openxmlformats.org/officeDocument/2006/relationships/hyperlink" Target="https://www.6laws.net/6law/law\&#25010;&#27861;.htm" TargetMode="External"/><Relationship Id="rId1282" Type="http://schemas.openxmlformats.org/officeDocument/2006/relationships/hyperlink" Target="https://www.6laws.net/6law/law\&#25152;&#24471;&#31237;&#27861;.htm" TargetMode="External"/><Relationship Id="rId2126" Type="http://schemas.openxmlformats.org/officeDocument/2006/relationships/hyperlink" Target="https://www.6laws.net/6law/law2\&#20844;&#27665;&#33287;&#25919;&#27835;&#27402;&#21033;&#22283;&#38555;&#20844;&#32004;.htm" TargetMode="External"/><Relationship Id="rId2333" Type="http://schemas.openxmlformats.org/officeDocument/2006/relationships/hyperlink" Target="https://www.6laws.net/6law/law\&#25010;&#27861;.htm" TargetMode="External"/><Relationship Id="rId2540" Type="http://schemas.openxmlformats.org/officeDocument/2006/relationships/hyperlink" Target="https://www.6laws.net/6law/law2\&#32147;&#28639;&#31038;&#26371;&#25991;&#21270;&#27402;&#21033;&#22283;&#38555;&#20844;&#32004;.htm" TargetMode="External"/><Relationship Id="rId305" Type="http://schemas.openxmlformats.org/officeDocument/2006/relationships/hyperlink" Target="https://www.6laws.net/6law/law\&#25010;&#27861;.htm" TargetMode="External"/><Relationship Id="rId512" Type="http://schemas.openxmlformats.org/officeDocument/2006/relationships/hyperlink" Target="https://www.6laws.net/6law/law\&#20013;&#33775;&#27665;&#22283;&#25010;&#27861;&#22686;&#20462;&#26781;&#25991;.htm" TargetMode="External"/><Relationship Id="rId1142" Type="http://schemas.openxmlformats.org/officeDocument/2006/relationships/hyperlink" Target="https://www.6laws.net/6law/law\&#22320;&#26041;&#21046;&#24230;&#27861;.htm" TargetMode="External"/><Relationship Id="rId2400" Type="http://schemas.openxmlformats.org/officeDocument/2006/relationships/hyperlink" Target="https://www.6laws.net/6law/law\&#25010;&#27861;.htm" TargetMode="External"/><Relationship Id="rId1002" Type="http://schemas.openxmlformats.org/officeDocument/2006/relationships/hyperlink" Target="https://www.6laws.net/6law/law\&#25010;&#27861;.htm" TargetMode="External"/><Relationship Id="rId1959" Type="http://schemas.openxmlformats.org/officeDocument/2006/relationships/hyperlink" Target="https://www.6laws.net/6law/law\&#20837;&#20986;&#22283;&#21450;&#31227;&#27665;&#27861;.htm" TargetMode="External"/><Relationship Id="rId1819" Type="http://schemas.openxmlformats.org/officeDocument/2006/relationships/hyperlink" Target="https://www.6laws.net/6law/law\&#21214;&#21205;&#22522;&#28310;&#27861;.htm" TargetMode="External"/><Relationship Id="rId2190" Type="http://schemas.openxmlformats.org/officeDocument/2006/relationships/hyperlink" Target="https://www.6laws.net/6law/law2\&#20844;&#27665;&#33287;&#25919;&#27835;&#27402;&#21033;&#22283;&#38555;&#20844;&#32004;.htm" TargetMode="External"/><Relationship Id="rId162" Type="http://schemas.openxmlformats.org/officeDocument/2006/relationships/hyperlink" Target="https://www.6laws.net/6law/law\&#25010;&#27861;.htm" TargetMode="External"/><Relationship Id="rId2050" Type="http://schemas.openxmlformats.org/officeDocument/2006/relationships/hyperlink" Target="https://www.6laws.net/6law/law2\&#20844;&#27665;&#33287;&#25919;&#27835;&#27402;&#21033;&#22283;&#38555;&#20844;&#32004;.htm" TargetMode="External"/><Relationship Id="rId979" Type="http://schemas.openxmlformats.org/officeDocument/2006/relationships/hyperlink" Target="https://www.6laws.net/6law/law\&#25010;&#27861;.htm" TargetMode="External"/><Relationship Id="rId839" Type="http://schemas.openxmlformats.org/officeDocument/2006/relationships/hyperlink" Target="https://www.6laws.net/6law/law\&#25010;&#27861;.htm" TargetMode="External"/><Relationship Id="rId1469" Type="http://schemas.openxmlformats.org/officeDocument/2006/relationships/hyperlink" Target="https://www.6laws.net/6law/law\&#20013;&#33775;&#27665;&#22283;&#25010;&#27861;&#22686;&#20462;&#26781;&#25991;.htm" TargetMode="External"/><Relationship Id="rId2867" Type="http://schemas.openxmlformats.org/officeDocument/2006/relationships/hyperlink" Target="https://www.6laws.net/6law/law\&#25010;&#27861;.htm" TargetMode="External"/><Relationship Id="rId1676" Type="http://schemas.openxmlformats.org/officeDocument/2006/relationships/hyperlink" Target="https://www.6laws.net/6law/law\&#32901;&#28165;&#29017;&#27602;&#26781;&#20363;.htm" TargetMode="External"/><Relationship Id="rId1883" Type="http://schemas.openxmlformats.org/officeDocument/2006/relationships/hyperlink" Target="https://www.6laws.net/6law/law\&#22823;&#27861;&#23448;&#35299;&#37323;92-n&#24180;.htm" TargetMode="External"/><Relationship Id="rId2727" Type="http://schemas.openxmlformats.org/officeDocument/2006/relationships/hyperlink" Target="https://www.6laws.net/6law/law2\&#28040;&#38500;&#23565;&#23142;&#22899;&#19968;&#20999;&#24418;&#24335;&#27495;&#35222;&#20844;&#32004;.htm" TargetMode="External"/><Relationship Id="rId2934" Type="http://schemas.openxmlformats.org/officeDocument/2006/relationships/hyperlink" Target="http://big5.fmprc.gov.cn:89/gate/big5/www.fmcoprc.gov.hk/chn/szyw/t196102.htm" TargetMode="External"/><Relationship Id="rId906" Type="http://schemas.openxmlformats.org/officeDocument/2006/relationships/hyperlink" Target="https://www.6laws.net/6law/law\&#20013;&#33775;&#27665;&#22283;&#25010;&#27861;&#22686;&#20462;&#26781;&#25991;.htm" TargetMode="External"/><Relationship Id="rId1329" Type="http://schemas.openxmlformats.org/officeDocument/2006/relationships/hyperlink" Target="https://www.6laws.net/6law/law\&#36947;&#36335;&#20132;&#36890;&#31649;&#29702;&#34389;&#32624;&#26781;&#20363;.htm" TargetMode="External"/><Relationship Id="rId1536" Type="http://schemas.openxmlformats.org/officeDocument/2006/relationships/hyperlink" Target="https://www.6laws.net/6law/law\&#20013;&#33775;&#27665;&#22283;&#25010;&#27861;&#22686;&#20462;&#26781;&#25991;.htm" TargetMode="External"/><Relationship Id="rId1743" Type="http://schemas.openxmlformats.org/officeDocument/2006/relationships/hyperlink" Target="https://www.6laws.net/6law/law\&#23601;&#26989;&#26381;&#21209;&#27861;.htm" TargetMode="External"/><Relationship Id="rId1950" Type="http://schemas.openxmlformats.org/officeDocument/2006/relationships/hyperlink" Target="https://www.6laws.net/6law/law2\&#20844;&#27665;&#33287;&#25919;&#27835;&#27402;&#21033;&#22283;&#38555;&#20844;&#32004;.htm" TargetMode="External"/><Relationship Id="rId35" Type="http://schemas.openxmlformats.org/officeDocument/2006/relationships/hyperlink" Target="https://zh.wikipedia.org/wiki/&#20013;&#33775;&#27665;&#22283;&#25010;&#27861;" TargetMode="External"/><Relationship Id="rId1603" Type="http://schemas.openxmlformats.org/officeDocument/2006/relationships/image" Target="media/image30.png"/><Relationship Id="rId1810" Type="http://schemas.openxmlformats.org/officeDocument/2006/relationships/hyperlink" Target="https://www.6laws.net/6law/law2\&#19990;&#30028;&#20154;&#27402;&#23459;&#35328;.htm" TargetMode="External"/><Relationship Id="rId489" Type="http://schemas.openxmlformats.org/officeDocument/2006/relationships/hyperlink" Target="https://www.6laws.net/6law/law\&#25010;&#27861;.htm" TargetMode="External"/><Relationship Id="rId696" Type="http://schemas.openxmlformats.org/officeDocument/2006/relationships/hyperlink" Target="https://www.6laws.net/6law/law\&#20013;&#33775;&#27665;&#22283;&#25010;&#27861;&#22686;&#20462;&#26781;&#25991;.htm" TargetMode="External"/><Relationship Id="rId2377" Type="http://schemas.openxmlformats.org/officeDocument/2006/relationships/hyperlink" Target="https://www.6laws.net/6law/law\&#20013;&#33775;&#27665;&#22283;&#25010;&#27861;&#22686;&#20462;&#26781;&#25991;.htm" TargetMode="External"/><Relationship Id="rId2584" Type="http://schemas.openxmlformats.org/officeDocument/2006/relationships/hyperlink" Target="https://www.6laws.net/6law/law\&#25010;&#27861;.htm" TargetMode="External"/><Relationship Id="rId2791" Type="http://schemas.openxmlformats.org/officeDocument/2006/relationships/hyperlink" Target="https://www.6laws.net/6law/law\&#21214;&#21205;&#22522;&#28310;&#27861;.htm" TargetMode="External"/><Relationship Id="rId349" Type="http://schemas.openxmlformats.org/officeDocument/2006/relationships/hyperlink" Target="https://www.6laws.net/6law/law\&#20853;&#24441;&#27861;&#26045;&#34892;&#27861;.htm" TargetMode="External"/><Relationship Id="rId556" Type="http://schemas.openxmlformats.org/officeDocument/2006/relationships/hyperlink" Target="https://www.6laws.net/6law/law\&#25010;&#27861;.htm" TargetMode="External"/><Relationship Id="rId763" Type="http://schemas.openxmlformats.org/officeDocument/2006/relationships/hyperlink" Target="https://www.6laws.net/6law/law\&#25010;&#27861;.htm" TargetMode="External"/><Relationship Id="rId1186" Type="http://schemas.openxmlformats.org/officeDocument/2006/relationships/hyperlink" Target="https://www.6laws.net/6law/law\&#21496;&#27861;&#38498;&#22823;&#27861;&#23448;&#23529;&#29702;&#26696;&#20214;&#27861;.htm" TargetMode="External"/><Relationship Id="rId1393" Type="http://schemas.openxmlformats.org/officeDocument/2006/relationships/hyperlink" Target="https://www.6laws.net/6law/law\&#25010;&#27861;.htm" TargetMode="External"/><Relationship Id="rId2237" Type="http://schemas.openxmlformats.org/officeDocument/2006/relationships/hyperlink" Target="https://www.6laws.net/6law/law\&#20154;&#21475;&#36009;&#36939;&#38450;&#21046;&#27861;.htm" TargetMode="External"/><Relationship Id="rId2444" Type="http://schemas.openxmlformats.org/officeDocument/2006/relationships/hyperlink" Target="https://www.6laws.net/6law/law2\&#19990;&#30028;&#20154;&#27402;&#23459;&#35328;.htm" TargetMode="External"/><Relationship Id="rId209" Type="http://schemas.openxmlformats.org/officeDocument/2006/relationships/hyperlink" Target="https://www.6laws.net/6law/law\&#25010;&#27861;.htm" TargetMode="External"/><Relationship Id="rId416" Type="http://schemas.openxmlformats.org/officeDocument/2006/relationships/hyperlink" Target="https://www.6laws.net/6law/law3\&#22806;&#22283;&#20154;&#25910;&#23481;&#31649;&#29702;&#35215;&#21063;.htm" TargetMode="External"/><Relationship Id="rId970" Type="http://schemas.openxmlformats.org/officeDocument/2006/relationships/hyperlink" Target="https://www.6laws.net/6law/law\&#25010;&#27861;.htm" TargetMode="External"/><Relationship Id="rId1046" Type="http://schemas.openxmlformats.org/officeDocument/2006/relationships/hyperlink" Target="https://www.6laws.net/6law/law\&#25010;&#27861;.htm" TargetMode="External"/><Relationship Id="rId1253" Type="http://schemas.openxmlformats.org/officeDocument/2006/relationships/hyperlink" Target="https://www.6laws.net/6law/law\&#25010;&#27861;.htm" TargetMode="External"/><Relationship Id="rId2651" Type="http://schemas.openxmlformats.org/officeDocument/2006/relationships/hyperlink" Target="https://www.6laws.net/6law/law\&#20778;&#29983;&#20445;&#20581;&#27861;.htm" TargetMode="External"/><Relationship Id="rId623" Type="http://schemas.openxmlformats.org/officeDocument/2006/relationships/hyperlink" Target="https://www.6laws.net/6law/law\&#34892;&#25919;&#38498;&#32068;&#32340;&#27861;.htm" TargetMode="External"/><Relationship Id="rId830" Type="http://schemas.openxmlformats.org/officeDocument/2006/relationships/hyperlink" Target="https://www.6laws.net/6law/law\&#20013;&#33775;&#27665;&#22283;&#25010;&#27861;&#22686;&#20462;&#26781;&#25991;.htm" TargetMode="External"/><Relationship Id="rId1460" Type="http://schemas.openxmlformats.org/officeDocument/2006/relationships/hyperlink" Target="https://www.6laws.net/6law/law\&#22823;&#27861;&#23448;&#35299;&#37323;87-91&#24180;.htm" TargetMode="External"/><Relationship Id="rId2304" Type="http://schemas.openxmlformats.org/officeDocument/2006/relationships/hyperlink" Target="https://www.6laws.net/6law/law-gb\&#21453;&#20998;&#35010;&#22283;&#23478;&#27861;.htm" TargetMode="External"/><Relationship Id="rId2511" Type="http://schemas.openxmlformats.org/officeDocument/2006/relationships/hyperlink" Target="https://www.6laws.net/6law/law\&#22823;&#27861;&#23448;&#35299;&#37323;79-86&#24180;.htm" TargetMode="External"/><Relationship Id="rId1113" Type="http://schemas.openxmlformats.org/officeDocument/2006/relationships/hyperlink" Target="https://www.6laws.net/6law/law\&#22320;&#26041;&#21046;&#24230;&#27861;.htm" TargetMode="External"/><Relationship Id="rId1320" Type="http://schemas.openxmlformats.org/officeDocument/2006/relationships/hyperlink" Target="https://www.6laws.net/6law/law\&#25010;&#27861;.htm" TargetMode="External"/><Relationship Id="rId2094" Type="http://schemas.openxmlformats.org/officeDocument/2006/relationships/hyperlink" Target="https://www.6laws.net/6law/law2\&#20844;&#27665;&#33287;&#25919;&#27835;&#27402;&#21033;&#22283;&#38555;&#20844;&#32004;.htm" TargetMode="External"/><Relationship Id="rId273" Type="http://schemas.openxmlformats.org/officeDocument/2006/relationships/hyperlink" Target="https://www.6laws.net/6law/law\&#22823;&#27861;&#23448;&#35299;&#37323;79-86&#24180;.htm" TargetMode="External"/><Relationship Id="rId480" Type="http://schemas.openxmlformats.org/officeDocument/2006/relationships/hyperlink" Target="https://www.6laws.net/6law/law\&#25010;&#27861;.htm" TargetMode="External"/><Relationship Id="rId2161" Type="http://schemas.openxmlformats.org/officeDocument/2006/relationships/hyperlink" Target="https://www.6laws.net/6law/law\&#22823;&#27861;&#23448;&#35299;&#37323;92-n&#24180;.htm" TargetMode="External"/><Relationship Id="rId133" Type="http://schemas.openxmlformats.org/officeDocument/2006/relationships/hyperlink" Target="https://www.6laws.net/6law/law\&#25010;&#27861;.htm" TargetMode="External"/><Relationship Id="rId340" Type="http://schemas.openxmlformats.org/officeDocument/2006/relationships/hyperlink" Target="https://www.6laws.net/6law/law\&#20853;&#24441;&#27861;.htm" TargetMode="External"/><Relationship Id="rId2021" Type="http://schemas.openxmlformats.org/officeDocument/2006/relationships/hyperlink" Target="https://www.6laws.net/6law/law\&#20837;&#20986;&#22283;&#21450;&#31227;&#27665;&#27861;.htm" TargetMode="External"/><Relationship Id="rId200" Type="http://schemas.openxmlformats.org/officeDocument/2006/relationships/hyperlink" Target="https://www.6laws.net/6law/law\&#38520;&#28023;&#31354;&#36557;&#21009;&#27861;.htm" TargetMode="External"/><Relationship Id="rId1787" Type="http://schemas.openxmlformats.org/officeDocument/2006/relationships/hyperlink" Target="https://www.6laws.net/6law/law\&#27665;&#27861;.htm" TargetMode="External"/><Relationship Id="rId1994" Type="http://schemas.openxmlformats.org/officeDocument/2006/relationships/hyperlink" Target="https://www.6laws.net/6law/law\&#25010;&#27861;.htm" TargetMode="External"/><Relationship Id="rId2838" Type="http://schemas.openxmlformats.org/officeDocument/2006/relationships/hyperlink" Target="https://www.6laws.net/6law/law\&#25010;&#27861;.htm" TargetMode="External"/><Relationship Id="rId79" Type="http://schemas.openxmlformats.org/officeDocument/2006/relationships/hyperlink" Target="https://www.6laws.net/6law/law2\&#19990;&#30028;&#20154;&#27402;&#23459;&#35328;.htm" TargetMode="External"/><Relationship Id="rId1647" Type="http://schemas.openxmlformats.org/officeDocument/2006/relationships/hyperlink" Target="https://www.6laws.net/6law/law\&#25121;&#20098;&#26178;&#26399;&#32901;&#28165;&#29017;&#27602;&#26781;&#20363;.htm" TargetMode="External"/><Relationship Id="rId1854" Type="http://schemas.openxmlformats.org/officeDocument/2006/relationships/hyperlink" Target="https://www.6laws.net/6law/law2\&#20445;&#35703;&#25152;&#26377;&#31227;&#24473;&#24037;&#20154;&#21450;&#20854;&#23478;&#24237;&#25104;&#21729;&#27402;&#21033;&#22283;&#38555;&#20844;&#32004;.htm" TargetMode="External"/><Relationship Id="rId2905" Type="http://schemas.openxmlformats.org/officeDocument/2006/relationships/hyperlink" Target="http://www.sina.com.cn" TargetMode="External"/><Relationship Id="rId1507" Type="http://schemas.openxmlformats.org/officeDocument/2006/relationships/hyperlink" Target="https://www.6laws.net/6law/law\&#25010;&#27861;.htm" TargetMode="External"/><Relationship Id="rId1714" Type="http://schemas.openxmlformats.org/officeDocument/2006/relationships/hyperlink" Target="https://www.6laws.net/6law/law\&#21009;&#27861;.htm" TargetMode="External"/><Relationship Id="rId1921" Type="http://schemas.openxmlformats.org/officeDocument/2006/relationships/hyperlink" Target="https://www.6laws.net/6law/law\&#20837;&#20986;&#22283;&#21450;&#31227;&#27665;&#27861;.htm" TargetMode="External"/><Relationship Id="rId2488" Type="http://schemas.openxmlformats.org/officeDocument/2006/relationships/hyperlink" Target="https://www.6laws.net/6law/law2\&#20844;&#27665;&#33287;&#25919;&#27835;&#27402;&#21033;&#22283;&#38555;&#20844;&#32004;.htm" TargetMode="External"/><Relationship Id="rId1297" Type="http://schemas.openxmlformats.org/officeDocument/2006/relationships/hyperlink" Target="https://www.6laws.net/6law/law\&#22823;&#27861;&#23448;&#35299;&#37323;79-86&#24180;.htm" TargetMode="External"/><Relationship Id="rId2695" Type="http://schemas.openxmlformats.org/officeDocument/2006/relationships/hyperlink" Target="https://www.6laws.net/6law/law\&#20837;&#20986;&#22283;&#21450;&#31227;&#27665;&#27861;.htm" TargetMode="External"/><Relationship Id="rId667" Type="http://schemas.openxmlformats.org/officeDocument/2006/relationships/hyperlink" Target="https://www.6laws.net/6law/law\&#22823;&#27861;&#23448;&#35299;&#37323;79-86&#24180;.htm" TargetMode="External"/><Relationship Id="rId874" Type="http://schemas.openxmlformats.org/officeDocument/2006/relationships/hyperlink" Target="https://www.6laws.net/6law/law\&#25010;&#27861;.htm" TargetMode="External"/><Relationship Id="rId2348" Type="http://schemas.openxmlformats.org/officeDocument/2006/relationships/hyperlink" Target="https://www.6laws.net/6law/law\&#25010;&#27861;.htm" TargetMode="External"/><Relationship Id="rId2555" Type="http://schemas.openxmlformats.org/officeDocument/2006/relationships/hyperlink" Target="https://www.6laws.net/6law/law2\&#32147;&#28639;&#31038;&#26371;&#25991;&#21270;&#27402;&#21033;&#22283;&#38555;&#20844;&#32004;.htm" TargetMode="External"/><Relationship Id="rId2762" Type="http://schemas.openxmlformats.org/officeDocument/2006/relationships/hyperlink" Target="https://www.6laws.net/6law/law2\&#20818;&#31461;&#27402;&#21033;&#20844;&#32004;.htm" TargetMode="External"/><Relationship Id="rId527" Type="http://schemas.openxmlformats.org/officeDocument/2006/relationships/hyperlink" Target="https://www.6laws.net/6law/law\&#25010;&#27861;.htm" TargetMode="External"/><Relationship Id="rId734" Type="http://schemas.openxmlformats.org/officeDocument/2006/relationships/hyperlink" Target="https://www.6laws.net/6law/law\&#25010;&#27861;.htm" TargetMode="External"/><Relationship Id="rId941" Type="http://schemas.openxmlformats.org/officeDocument/2006/relationships/hyperlink" Target="https://www.6laws.net/6law/law\&#30435;&#23519;&#27861;.htm" TargetMode="External"/><Relationship Id="rId1157" Type="http://schemas.openxmlformats.org/officeDocument/2006/relationships/hyperlink" Target="https://www.6laws.net/6law/law\&#22823;&#27861;&#23448;&#35299;&#37323;87-91&#24180;.htm" TargetMode="External"/><Relationship Id="rId1364" Type="http://schemas.openxmlformats.org/officeDocument/2006/relationships/hyperlink" Target="https://www.6laws.net/6law/law\&#25945;&#32946;&#22522;&#26412;&#27861;.htm" TargetMode="External"/><Relationship Id="rId1571" Type="http://schemas.openxmlformats.org/officeDocument/2006/relationships/hyperlink" Target="aw\&#20013;&#33775;&#27665;&#22283;&#25010;&#27861;&#22686;&#20462;&#26781;&#25991;.htm" TargetMode="External"/><Relationship Id="rId2208" Type="http://schemas.openxmlformats.org/officeDocument/2006/relationships/hyperlink" Target="https://www.6laws.net/6law/law\&#20154;&#21475;&#36009;&#36939;&#38450;&#21046;&#27861;.htm" TargetMode="External"/><Relationship Id="rId2415" Type="http://schemas.openxmlformats.org/officeDocument/2006/relationships/hyperlink" Target="https://www.6laws.net/6law/law\&#25010;&#27861;.htm" TargetMode="External"/><Relationship Id="rId2622" Type="http://schemas.openxmlformats.org/officeDocument/2006/relationships/hyperlink" Target="http://www.tiannv.com/a/MAMA_ME/Pregnancy/2013/144-12120-2.html" TargetMode="External"/><Relationship Id="rId70" Type="http://schemas.openxmlformats.org/officeDocument/2006/relationships/hyperlink" Target="https://www.6laws.net/6law/law\&#20013;&#33775;&#27665;&#22283;&#25010;&#27861;&#22686;&#20462;&#26781;&#25991;.htm" TargetMode="External"/><Relationship Id="rId801" Type="http://schemas.openxmlformats.org/officeDocument/2006/relationships/hyperlink" Target="https://www.6laws.net/6law/law\&#25010;&#27861;.htm" TargetMode="External"/><Relationship Id="rId1017" Type="http://schemas.openxmlformats.org/officeDocument/2006/relationships/hyperlink" Target="https://www.6laws.net/6law/law\&#20013;&#33775;&#27665;&#22283;&#25010;&#27861;&#22686;&#20462;&#26781;&#25991;.htm" TargetMode="External"/><Relationship Id="rId1224" Type="http://schemas.openxmlformats.org/officeDocument/2006/relationships/hyperlink" Target="https://www.6laws.net/6law/law\&#38520;&#28023;&#31354;&#36557;&#36557;&#23448;&#22763;&#23448;&#26381;&#24441;&#26781;&#20363;.htm" TargetMode="External"/><Relationship Id="rId1431" Type="http://schemas.openxmlformats.org/officeDocument/2006/relationships/hyperlink" Target="https://www.6laws.net/6law/law\&#25010;&#27861;.htm" TargetMode="External"/><Relationship Id="rId177" Type="http://schemas.openxmlformats.org/officeDocument/2006/relationships/hyperlink" Target="https://www.6laws.net/6law/law\&#33274;&#28771;&#22320;&#21312;&#33287;&#22823;&#38520;&#22320;&#21312;&#20154;&#27665;&#38364;&#20418;&#26781;&#20363;.htm" TargetMode="External"/><Relationship Id="rId384" Type="http://schemas.openxmlformats.org/officeDocument/2006/relationships/hyperlink" Target="https://www.6laws.net/6law/law\&#22823;&#27861;&#23448;&#35299;&#37323;92-n&#24180;.htm" TargetMode="External"/><Relationship Id="rId591" Type="http://schemas.openxmlformats.org/officeDocument/2006/relationships/hyperlink" Target="https://www.6laws.net/6law/law\&#20013;&#33775;&#27665;&#22283;&#25010;&#27861;&#22686;&#20462;&#26781;&#25991;.htm" TargetMode="External"/><Relationship Id="rId2065" Type="http://schemas.openxmlformats.org/officeDocument/2006/relationships/hyperlink" Target="https://www.6laws.net/6law/law2\&#26377;&#38364;&#38627;&#27665;&#22320;&#20301;&#20844;&#32004;.htm" TargetMode="External"/><Relationship Id="rId2272" Type="http://schemas.openxmlformats.org/officeDocument/2006/relationships/hyperlink" Target="https://www.6laws.net/6law/law-gb\&#21453;&#20998;&#35010;&#22283;&#23478;&#27861;.htm" TargetMode="External"/><Relationship Id="rId244" Type="http://schemas.openxmlformats.org/officeDocument/2006/relationships/hyperlink" Target="https://www.6laws.net/6law/law\&#22823;&#27861;&#23448;&#35299;&#37323;92-n&#24180;.htm" TargetMode="External"/><Relationship Id="rId1081" Type="http://schemas.openxmlformats.org/officeDocument/2006/relationships/hyperlink" Target="https://www.6laws.net/6law/law\&#25010;&#27861;.htm" TargetMode="External"/><Relationship Id="rId451" Type="http://schemas.openxmlformats.org/officeDocument/2006/relationships/hyperlink" Target="https://www.6laws.net/6law/law\&#20013;&#33775;&#27665;&#22283;&#25010;&#27861;&#22686;&#20462;&#26781;&#25991;.htm" TargetMode="External"/><Relationship Id="rId2132" Type="http://schemas.openxmlformats.org/officeDocument/2006/relationships/hyperlink" Target="https://www.6laws.net/6law/law2\&#20844;&#27665;&#33287;&#25919;&#27835;&#27402;&#21033;&#22283;&#38555;&#20844;&#32004;.htm" TargetMode="External"/><Relationship Id="rId104" Type="http://schemas.openxmlformats.org/officeDocument/2006/relationships/hyperlink" Target="https://www.6laws.net/6law/law\&#25010;&#27861;.htm" TargetMode="External"/><Relationship Id="rId311" Type="http://schemas.openxmlformats.org/officeDocument/2006/relationships/hyperlink" Target="https://www.6laws.net/6law/law\&#22823;&#27861;&#23448;&#35299;&#37323;87-91&#24180;.htm" TargetMode="External"/><Relationship Id="rId1898" Type="http://schemas.openxmlformats.org/officeDocument/2006/relationships/hyperlink" Target="https://www.6laws.net/6law/law2\&#19990;&#30028;&#20154;&#27402;&#23459;&#35328;.htm" TargetMode="External"/><Relationship Id="rId1758" Type="http://schemas.openxmlformats.org/officeDocument/2006/relationships/hyperlink" Target="https://www.6laws.net/6law/law\&#21214;&#21205;&#22522;&#28310;&#27861;.htm" TargetMode="External"/><Relationship Id="rId2809" Type="http://schemas.openxmlformats.org/officeDocument/2006/relationships/hyperlink" Target="https://www.6laws.net/6law/law\&#25010;&#27861;.htm" TargetMode="External"/><Relationship Id="rId1965" Type="http://schemas.openxmlformats.org/officeDocument/2006/relationships/hyperlink" Target="https://www.6laws.net/6law/law\&#20837;&#20986;&#22283;&#21450;&#31227;&#27665;&#27861;.htm" TargetMode="External"/><Relationship Id="rId1618" Type="http://schemas.openxmlformats.org/officeDocument/2006/relationships/hyperlink" Target="https://www.6laws.net/6law/law\&#27602;&#21697;&#21361;&#23475;&#38450;&#21046;&#26781;&#20363;.htm" TargetMode="External"/><Relationship Id="rId1825" Type="http://schemas.openxmlformats.org/officeDocument/2006/relationships/hyperlink" Target="https://www.6laws.net/6law/law2\&#28040;&#38500;&#23565;&#23142;&#22899;&#19968;&#20999;&#24418;&#24335;&#27495;&#35222;&#20844;&#32004;.htm" TargetMode="External"/><Relationship Id="rId2599" Type="http://schemas.openxmlformats.org/officeDocument/2006/relationships/hyperlink" Target="https://www.6laws.net/6law/law\&#22823;&#27861;&#23448;&#35299;&#37323;92-n&#24180;.htm" TargetMode="External"/><Relationship Id="rId778" Type="http://schemas.openxmlformats.org/officeDocument/2006/relationships/hyperlink" Target="https://www.6laws.net/6law/law\&#22823;&#27861;&#23448;&#35299;&#37323;79-86&#24180;.htm" TargetMode="External"/><Relationship Id="rId985" Type="http://schemas.openxmlformats.org/officeDocument/2006/relationships/hyperlink" Target="https://www.6laws.net/6law/law\&#25010;&#27861;.htm" TargetMode="External"/><Relationship Id="rId2459" Type="http://schemas.openxmlformats.org/officeDocument/2006/relationships/hyperlink" Target="https://www.6laws.net/6law/law2\&#19990;&#30028;&#20154;&#27402;&#23459;&#35328;.htm" TargetMode="External"/><Relationship Id="rId2666" Type="http://schemas.openxmlformats.org/officeDocument/2006/relationships/hyperlink" Target="https://www.6laws.net/6law/law\&#20778;&#29983;&#20445;&#20581;&#27861;.htm" TargetMode="External"/><Relationship Id="rId2873" Type="http://schemas.openxmlformats.org/officeDocument/2006/relationships/hyperlink" Target="http://www.cbsnews.com/stories/2010/02/11/national/main6197466.shtml" TargetMode="External"/><Relationship Id="rId638" Type="http://schemas.openxmlformats.org/officeDocument/2006/relationships/hyperlink" Target="https://www.6laws.net/6law/law\&#25010;&#27861;.htm" TargetMode="External"/><Relationship Id="rId845" Type="http://schemas.openxmlformats.org/officeDocument/2006/relationships/hyperlink" Target="https://www.6laws.net/6law/law\&#25010;&#27861;.htm" TargetMode="External"/><Relationship Id="rId1268" Type="http://schemas.openxmlformats.org/officeDocument/2006/relationships/hyperlink" Target="https://www.6laws.net/6law/law\&#31080;&#21048;&#37329;&#34701;&#31649;&#29702;&#27861;.htm" TargetMode="External"/><Relationship Id="rId1475" Type="http://schemas.openxmlformats.org/officeDocument/2006/relationships/hyperlink" Target="https://www.6laws.net/6law/law\&#25010;&#27861;.htm" TargetMode="External"/><Relationship Id="rId1682" Type="http://schemas.openxmlformats.org/officeDocument/2006/relationships/hyperlink" Target="https://www.6laws.net/6law/law\&#27602;&#21697;&#21361;&#23475;&#38450;&#21046;&#26781;&#20363;.htm" TargetMode="External"/><Relationship Id="rId2319" Type="http://schemas.openxmlformats.org/officeDocument/2006/relationships/hyperlink" Target="https://www.6laws.net/6law/law-gb\&#21453;&#20998;&#35010;&#22283;&#23478;&#27861;.htm" TargetMode="External"/><Relationship Id="rId2526" Type="http://schemas.openxmlformats.org/officeDocument/2006/relationships/hyperlink" Target="https://www.6laws.net/6law/law\&#22823;&#27861;&#23448;&#35299;&#37323;79-86&#24180;.htm" TargetMode="External"/><Relationship Id="rId2733" Type="http://schemas.openxmlformats.org/officeDocument/2006/relationships/hyperlink" Target="https://www.6laws.net/6law/law2\&#28040;&#38500;&#23565;&#23142;&#22899;&#19968;&#20999;&#24418;&#24335;&#27495;&#35222;&#20844;&#32004;.htm" TargetMode="External"/><Relationship Id="rId705" Type="http://schemas.openxmlformats.org/officeDocument/2006/relationships/hyperlink" Target="https://www.6laws.net/6law/law\&#31435;&#27861;&#38498;&#32068;&#32340;&#27861;.htm" TargetMode="External"/><Relationship Id="rId1128" Type="http://schemas.openxmlformats.org/officeDocument/2006/relationships/hyperlink" Target="https://www.6laws.net/6law/law\&#25010;&#27861;.htm" TargetMode="External"/><Relationship Id="rId1335" Type="http://schemas.openxmlformats.org/officeDocument/2006/relationships/hyperlink" Target="https://www.6laws.net/6law/law\&#25010;&#27861;.htm" TargetMode="External"/><Relationship Id="rId1542" Type="http://schemas.openxmlformats.org/officeDocument/2006/relationships/hyperlink" Target="https://www.6laws.net/6law/law\&#20013;&#33775;&#27665;&#22283;&#25010;&#27861;&#22686;&#20462;&#26781;&#25991;.htm" TargetMode="External"/><Relationship Id="rId912" Type="http://schemas.openxmlformats.org/officeDocument/2006/relationships/hyperlink" Target="https://www.6laws.net/6law/law\&#20013;&#33775;&#27665;&#22283;&#25010;&#27861;&#22686;&#20462;&#26781;&#25991;.htm" TargetMode="External"/><Relationship Id="rId2800" Type="http://schemas.openxmlformats.org/officeDocument/2006/relationships/hyperlink" Target="http://www.naol.cc/news/world/2014/12/13-1.htm" TargetMode="External"/><Relationship Id="rId41" Type="http://schemas.openxmlformats.org/officeDocument/2006/relationships/hyperlink" Target="https://www.6laws.net/6law/law\&#25010;&#27861;.htm" TargetMode="External"/><Relationship Id="rId1402" Type="http://schemas.openxmlformats.org/officeDocument/2006/relationships/hyperlink" Target="https://www.6laws.net/6law/law\&#20013;&#33775;&#27665;&#22283;&#25010;&#27861;&#22686;&#20462;&#26781;&#25991;.htm" TargetMode="External"/><Relationship Id="rId288" Type="http://schemas.openxmlformats.org/officeDocument/2006/relationships/hyperlink" Target="https://www.6laws.net/6law/law\&#25010;&#27861;.htm" TargetMode="External"/><Relationship Id="rId495" Type="http://schemas.openxmlformats.org/officeDocument/2006/relationships/hyperlink" Target="https://www.6laws.net/6law/law\&#20013;&#33775;&#27665;&#22283;&#25010;&#27861;&#22686;&#20462;&#26781;&#25991;.htm" TargetMode="External"/><Relationship Id="rId2176" Type="http://schemas.openxmlformats.org/officeDocument/2006/relationships/hyperlink" Target="https://www.6laws.net/6law/law\&#22823;&#27861;&#23448;&#35299;&#37323;79-86&#24180;.htm" TargetMode="External"/><Relationship Id="rId2383" Type="http://schemas.openxmlformats.org/officeDocument/2006/relationships/image" Target="media/image34.jpeg"/><Relationship Id="rId2590" Type="http://schemas.openxmlformats.org/officeDocument/2006/relationships/hyperlink" Target="https://www.6laws.net/6law/law\&#38598;&#26371;&#36938;&#34892;&#27861;.htm" TargetMode="External"/><Relationship Id="rId148" Type="http://schemas.openxmlformats.org/officeDocument/2006/relationships/hyperlink" Target="https://www.6laws.net/6law/law\&#22823;&#27861;&#23448;&#35299;&#37323;79-86&#24180;.htm" TargetMode="External"/><Relationship Id="rId355" Type="http://schemas.openxmlformats.org/officeDocument/2006/relationships/hyperlink" Target="https://www.6laws.net/6law/law\&#22823;&#27861;&#23448;&#35299;&#37323;92-n&#24180;.htm" TargetMode="External"/><Relationship Id="rId562" Type="http://schemas.openxmlformats.org/officeDocument/2006/relationships/hyperlink" Target="https://www.6laws.net/6law/law\&#25010;&#27861;.htm" TargetMode="External"/><Relationship Id="rId1192" Type="http://schemas.openxmlformats.org/officeDocument/2006/relationships/hyperlink" Target="https://www.6laws.net/6law/law\&#25010;&#27861;.htm" TargetMode="External"/><Relationship Id="rId2036" Type="http://schemas.openxmlformats.org/officeDocument/2006/relationships/hyperlink" Target="https://www.6laws.net/6law/law2\&#20844;&#27665;&#33287;&#25919;&#27835;&#27402;&#21033;&#22283;&#38555;&#20844;&#32004;.htm" TargetMode="External"/><Relationship Id="rId2243" Type="http://schemas.openxmlformats.org/officeDocument/2006/relationships/hyperlink" Target="https://www.6laws.net/6law/law\&#25010;&#27861;.htm" TargetMode="External"/><Relationship Id="rId2450" Type="http://schemas.openxmlformats.org/officeDocument/2006/relationships/hyperlink" Target="https://www.6laws.net/6law/law2\&#19990;&#30028;&#20154;&#27402;&#23459;&#35328;.htm" TargetMode="External"/><Relationship Id="rId215" Type="http://schemas.openxmlformats.org/officeDocument/2006/relationships/hyperlink" Target="https://www.6laws.net/6law/law\&#22823;&#27861;&#23448;&#35299;&#37323;87-91&#24180;.htm" TargetMode="External"/><Relationship Id="rId422" Type="http://schemas.openxmlformats.org/officeDocument/2006/relationships/hyperlink" Target="https://www.6laws.net/6law/law\&#25010;&#27861;.htm" TargetMode="External"/><Relationship Id="rId1052" Type="http://schemas.openxmlformats.org/officeDocument/2006/relationships/hyperlink" Target="https://www.6laws.net/6law/law\&#23529;&#35336;&#27861;.htm" TargetMode="External"/><Relationship Id="rId2103" Type="http://schemas.openxmlformats.org/officeDocument/2006/relationships/hyperlink" Target="https://www.6laws.net/6law/law2\&#20844;&#27665;&#33287;&#25919;&#27835;&#27402;&#21033;&#22283;&#38555;&#20844;&#32004;.htm" TargetMode="External"/><Relationship Id="rId2310" Type="http://schemas.openxmlformats.org/officeDocument/2006/relationships/hyperlink" Target="https://www.6laws.net/6law/law-gb\&#21453;&#20998;&#35010;&#22283;&#23478;&#27861;.htm" TargetMode="External"/><Relationship Id="rId1869" Type="http://schemas.openxmlformats.org/officeDocument/2006/relationships/hyperlink" Target="https://www.6laws.net/6law/law2\&#20844;&#27665;&#33287;&#25919;&#27835;&#27402;&#21033;&#22283;&#38555;&#20844;&#32004;.htm" TargetMode="External"/><Relationship Id="rId1729" Type="http://schemas.openxmlformats.org/officeDocument/2006/relationships/hyperlink" Target="https://www.6laws.net/6law/law\&#21214;&#21205;&#22522;&#28310;&#27861;.htm" TargetMode="External"/><Relationship Id="rId1936" Type="http://schemas.openxmlformats.org/officeDocument/2006/relationships/hyperlink" Target="https://www.6laws.net/6law/law\&#25010;&#27861;.htm" TargetMode="External"/><Relationship Id="rId5" Type="http://schemas.openxmlformats.org/officeDocument/2006/relationships/webSettings" Target="webSettings.xml"/><Relationship Id="rId889" Type="http://schemas.openxmlformats.org/officeDocument/2006/relationships/hyperlink" Target="https://www.6laws.net/6law/law\&#25010;&#27861;.htm" TargetMode="External"/><Relationship Id="rId2777" Type="http://schemas.openxmlformats.org/officeDocument/2006/relationships/hyperlink" Target="https://www.6laws.net/6law/law2\&#20818;&#31461;&#27402;&#21033;&#20844;&#32004;.htm" TargetMode="External"/><Relationship Id="rId749" Type="http://schemas.openxmlformats.org/officeDocument/2006/relationships/hyperlink" Target="https://www.6laws.net/6law/law\&#25010;&#27861;.htm" TargetMode="External"/><Relationship Id="rId1379" Type="http://schemas.openxmlformats.org/officeDocument/2006/relationships/hyperlink" Target="https://www.6laws.net/6law/law\&#38928;&#31639;&#27861;.htm" TargetMode="External"/><Relationship Id="rId1586" Type="http://schemas.openxmlformats.org/officeDocument/2006/relationships/hyperlink" Target="aw\&#20013;&#33775;&#27665;&#22283;&#25010;&#27861;&#22686;&#20462;&#26781;&#25991;.htm" TargetMode="External"/><Relationship Id="rId609" Type="http://schemas.openxmlformats.org/officeDocument/2006/relationships/hyperlink" Target="https://www.6laws.net/6law/law\&#25010;&#27861;.htm" TargetMode="External"/><Relationship Id="rId956" Type="http://schemas.openxmlformats.org/officeDocument/2006/relationships/hyperlink" Target="https://www.6laws.net/6law/law\&#25010;&#27861;.htm" TargetMode="External"/><Relationship Id="rId1239" Type="http://schemas.openxmlformats.org/officeDocument/2006/relationships/hyperlink" Target="https://www.6laws.net/6law/law\&#27665;&#27861;.htm" TargetMode="External"/><Relationship Id="rId1793" Type="http://schemas.openxmlformats.org/officeDocument/2006/relationships/hyperlink" Target="https://www.6laws.net/6law/law\&#21214;&#21205;&#22522;&#28310;&#27861;.htm" TargetMode="External"/><Relationship Id="rId2637" Type="http://schemas.openxmlformats.org/officeDocument/2006/relationships/image" Target="media/image50.jpeg"/><Relationship Id="rId2844" Type="http://schemas.openxmlformats.org/officeDocument/2006/relationships/hyperlink" Target="http://en.wikipedia.org/wiki/Yamam" TargetMode="External"/><Relationship Id="rId85" Type="http://schemas.openxmlformats.org/officeDocument/2006/relationships/hyperlink" Target="https://www.6laws.net/6law/law2\&#20844;&#27665;&#33287;&#25919;&#27835;&#27402;&#21033;&#22283;&#38555;&#20844;&#32004;.htm" TargetMode="External"/><Relationship Id="rId816" Type="http://schemas.openxmlformats.org/officeDocument/2006/relationships/hyperlink" Target="https://www.6laws.net/6law/law\&#22823;&#27861;&#23448;&#35299;&#37323;79-86&#24180;.htm" TargetMode="External"/><Relationship Id="rId1446" Type="http://schemas.openxmlformats.org/officeDocument/2006/relationships/hyperlink" Target="https://www.6laws.net/6law/law\&#25010;&#27861;.htm" TargetMode="External"/><Relationship Id="rId1653" Type="http://schemas.openxmlformats.org/officeDocument/2006/relationships/hyperlink" Target="https://www.6laws.net/6law/law\&#25121;&#20098;&#26178;&#26399;&#32901;&#28165;&#29017;&#27602;&#26781;&#20363;.htm" TargetMode="External"/><Relationship Id="rId1860" Type="http://schemas.openxmlformats.org/officeDocument/2006/relationships/hyperlink" Target="https://www.6laws.net/6law/law\&#21214;&#21205;&#22522;&#28310;&#27861;.htm" TargetMode="External"/><Relationship Id="rId2704" Type="http://schemas.openxmlformats.org/officeDocument/2006/relationships/hyperlink" Target="https://www.6laws.net/6law/law\&#25010;&#27861;.htm" TargetMode="External"/><Relationship Id="rId2911" Type="http://schemas.openxmlformats.org/officeDocument/2006/relationships/hyperlink" Target="http://www.taitung.gov.tw/chinese/exotic/ex_eidetic-b.php" TargetMode="External"/><Relationship Id="rId1306" Type="http://schemas.openxmlformats.org/officeDocument/2006/relationships/hyperlink" Target="https://www.6laws.net/6law/law\&#25152;&#24471;&#31237;&#27861;.htm" TargetMode="External"/><Relationship Id="rId1513" Type="http://schemas.openxmlformats.org/officeDocument/2006/relationships/hyperlink" Target="https://www.6laws.net/6law/law\&#20844;&#32887;&#20154;&#21729;&#36984;&#33289;&#32631;&#20813;&#27861;.htm" TargetMode="External"/><Relationship Id="rId1720" Type="http://schemas.openxmlformats.org/officeDocument/2006/relationships/hyperlink" Target="https://www.6laws.net/6law/law\&#27602;&#21697;&#21361;&#23475;&#38450;&#21046;&#26781;&#20363;.htm" TargetMode="External"/><Relationship Id="rId12" Type="http://schemas.openxmlformats.org/officeDocument/2006/relationships/image" Target="media/image3.jpeg"/><Relationship Id="rId399" Type="http://schemas.openxmlformats.org/officeDocument/2006/relationships/hyperlink" Target="https://www.6laws.net/6law/law\&#25010;&#27861;.htm" TargetMode="External"/><Relationship Id="rId2287" Type="http://schemas.openxmlformats.org/officeDocument/2006/relationships/hyperlink" Target="https://www.6laws.net/6law/law-gb\&#21453;&#20998;&#35010;&#22283;&#23478;&#27861;.htm" TargetMode="External"/><Relationship Id="rId2494" Type="http://schemas.openxmlformats.org/officeDocument/2006/relationships/hyperlink" Target="https://www.6laws.net/6law/law2\&#20844;&#27665;&#33287;&#25919;&#27835;&#27402;&#21033;&#22283;&#38555;&#20844;&#32004;.htm" TargetMode="External"/><Relationship Id="rId259" Type="http://schemas.openxmlformats.org/officeDocument/2006/relationships/hyperlink" Target="https://www.6laws.net/6law/law\&#25010;&#27861;.htm" TargetMode="External"/><Relationship Id="rId466" Type="http://schemas.openxmlformats.org/officeDocument/2006/relationships/hyperlink" Target="https://zh.wikipedia.org/wiki/%E5%88%B6%E6%86%B2%E5%9C%8B%E6%B0%91%E5%A4%A7%E6%9C%83" TargetMode="External"/><Relationship Id="rId673" Type="http://schemas.openxmlformats.org/officeDocument/2006/relationships/hyperlink" Target="https://www.6laws.net/6law/law\&#25010;&#27861;.htm" TargetMode="External"/><Relationship Id="rId880" Type="http://schemas.openxmlformats.org/officeDocument/2006/relationships/hyperlink" Target="https://www.6laws.net/6law/law3\&#31435;&#27861;&#38498;&#35696;&#20107;&#35215;&#21063;.htm" TargetMode="External"/><Relationship Id="rId1096" Type="http://schemas.openxmlformats.org/officeDocument/2006/relationships/hyperlink" Target="https://www.6laws.net/6law/law\&#22823;&#27861;&#23448;&#35299;&#37323;87-91&#24180;.htm" TargetMode="External"/><Relationship Id="rId2147" Type="http://schemas.openxmlformats.org/officeDocument/2006/relationships/hyperlink" Target="https://www.6laws.net/6law/law\&#25010;&#27861;.htm" TargetMode="External"/><Relationship Id="rId2354" Type="http://schemas.openxmlformats.org/officeDocument/2006/relationships/hyperlink" Target="https://www.6laws.net/6law/law\&#25010;&#27861;.htm" TargetMode="External"/><Relationship Id="rId2561" Type="http://schemas.openxmlformats.org/officeDocument/2006/relationships/hyperlink" Target="https://www.6laws.net/6law/law\&#20154;&#24037;&#29983;&#27542;&#27861;.htm" TargetMode="External"/><Relationship Id="rId119" Type="http://schemas.openxmlformats.org/officeDocument/2006/relationships/hyperlink" Target="https://www.6laws.net/6law/law\&#22823;&#27861;&#23448;&#35299;&#37323;92-n&#24180;.htm" TargetMode="External"/><Relationship Id="rId326" Type="http://schemas.openxmlformats.org/officeDocument/2006/relationships/hyperlink" Target="https://www.6laws.net/6law/law\&#25010;&#27861;.htm" TargetMode="External"/><Relationship Id="rId533" Type="http://schemas.openxmlformats.org/officeDocument/2006/relationships/hyperlink" Target="https://www.6laws.net/6law/law\&#36198;&#20813;&#27861;.htm" TargetMode="External"/><Relationship Id="rId1163" Type="http://schemas.openxmlformats.org/officeDocument/2006/relationships/hyperlink" Target="https://www.6laws.net/6law/law\&#22320;&#26041;&#21046;&#24230;&#27861;.htm" TargetMode="External"/><Relationship Id="rId1370" Type="http://schemas.openxmlformats.org/officeDocument/2006/relationships/hyperlink" Target="https://www.6laws.net/6law/law\&#25010;&#27861;.htm" TargetMode="External"/><Relationship Id="rId2007" Type="http://schemas.openxmlformats.org/officeDocument/2006/relationships/hyperlink" Target="https://www.6laws.net/6law/law\&#20844;&#27665;&#33287;&#25919;&#27835;&#27402;&#21033;&#22283;&#38555;&#20844;&#32004;&#21450;&#32147;&#28639;&#31038;&#26371;&#25991;&#21270;&#27402;&#21033;&#22283;&#38555;&#20844;&#32004;&#26045;&#34892;&#27861;.htm" TargetMode="External"/><Relationship Id="rId2214" Type="http://schemas.openxmlformats.org/officeDocument/2006/relationships/hyperlink" Target="http://www.state.gov/g/tip/rls/tiprpt/2010/index.htm" TargetMode="External"/><Relationship Id="rId740" Type="http://schemas.openxmlformats.org/officeDocument/2006/relationships/hyperlink" Target="https://www.6laws.net/6law/law\&#22823;&#27861;&#23448;&#35299;&#37323;79-86&#24180;.htm" TargetMode="External"/><Relationship Id="rId1023" Type="http://schemas.openxmlformats.org/officeDocument/2006/relationships/hyperlink" Target="https://www.6laws.net/6law/law\&#25010;&#27861;.htm" TargetMode="External"/><Relationship Id="rId2421" Type="http://schemas.openxmlformats.org/officeDocument/2006/relationships/hyperlink" Target="https://www.6laws.net/6law/law2\&#19990;&#30028;&#20154;&#27402;&#23459;&#35328;.htm" TargetMode="External"/><Relationship Id="rId600" Type="http://schemas.openxmlformats.org/officeDocument/2006/relationships/hyperlink" Target="https://www.6laws.net/6law/law\&#25010;&#27861;.htm" TargetMode="External"/><Relationship Id="rId1230" Type="http://schemas.openxmlformats.org/officeDocument/2006/relationships/hyperlink" Target="https://www.6laws.net/6law/law2\&#32879;&#21512;&#22283;&#25010;&#31456;.htm" TargetMode="External"/><Relationship Id="rId183" Type="http://schemas.openxmlformats.org/officeDocument/2006/relationships/hyperlink" Target="https://www.6laws.net/6law/law\&#22823;&#27861;&#23448;&#35299;&#37323;79-86&#24180;.htm" TargetMode="External"/><Relationship Id="rId390" Type="http://schemas.openxmlformats.org/officeDocument/2006/relationships/hyperlink" Target="https://www.6laws.net/6law/law\&#25010;&#27861;.htm" TargetMode="External"/><Relationship Id="rId1907" Type="http://schemas.openxmlformats.org/officeDocument/2006/relationships/hyperlink" Target="https://www.6laws.net/6law/law\&#39321;&#28207;&#28595;&#38272;&#38364;&#20418;&#26781;&#20363;.htm" TargetMode="External"/><Relationship Id="rId2071" Type="http://schemas.openxmlformats.org/officeDocument/2006/relationships/hyperlink" Target="https://www.6laws.net/6law/law2\&#20844;&#27665;&#33287;&#25919;&#27835;&#27402;&#21033;&#22283;&#38555;&#20844;&#32004;.htm" TargetMode="External"/><Relationship Id="rId250" Type="http://schemas.openxmlformats.org/officeDocument/2006/relationships/hyperlink" Target="https://www.6laws.net/6law/law\&#38651;&#20449;&#27861;.htm" TargetMode="External"/><Relationship Id="rId110" Type="http://schemas.openxmlformats.org/officeDocument/2006/relationships/hyperlink" Target="https://www.6laws.net/6law/law\&#22823;&#27861;&#23448;&#35299;&#37323;92-n&#24180;.htm" TargetMode="External"/><Relationship Id="rId2888" Type="http://schemas.openxmlformats.org/officeDocument/2006/relationships/hyperlink" Target="http://www.state.gov/g/tip/rls/tiprpt/2011/" TargetMode="External"/><Relationship Id="rId1697" Type="http://schemas.openxmlformats.org/officeDocument/2006/relationships/hyperlink" Target="https://www.6laws.net/6law/law\&#27602;&#21697;&#21361;&#23475;&#38450;&#21046;&#26781;&#20363;.htm" TargetMode="External"/><Relationship Id="rId2748" Type="http://schemas.openxmlformats.org/officeDocument/2006/relationships/hyperlink" Target="https://www.6laws.net/6law/law2\&#20818;&#31461;&#27402;&#21033;&#20844;&#32004;.htm" TargetMode="External"/><Relationship Id="rId927" Type="http://schemas.openxmlformats.org/officeDocument/2006/relationships/hyperlink" Target="https://www.6laws.net/6law/law\&#20013;&#33775;&#27665;&#22283;&#25010;&#27861;&#22686;&#20462;&#26781;&#25991;.htm" TargetMode="External"/><Relationship Id="rId1557" Type="http://schemas.openxmlformats.org/officeDocument/2006/relationships/hyperlink" Target="https://www.6laws.net/6law/law\&#20013;&#33775;&#27665;&#22283;&#25010;&#27861;&#22686;&#20462;&#26781;&#25991;.htm" TargetMode="External"/><Relationship Id="rId1764" Type="http://schemas.openxmlformats.org/officeDocument/2006/relationships/hyperlink" Target="https://www.6laws.net/6law/law\&#21214;&#21205;&#22522;&#28310;&#27861;.htm" TargetMode="External"/><Relationship Id="rId1971" Type="http://schemas.openxmlformats.org/officeDocument/2006/relationships/hyperlink" Target="https://www.6laws.net/6law/law2\&#20844;&#27665;&#33287;&#25919;&#27835;&#27402;&#21033;&#22283;&#38555;&#20844;&#32004;.htm" TargetMode="External"/><Relationship Id="rId2608" Type="http://schemas.openxmlformats.org/officeDocument/2006/relationships/image" Target="media/image39.jpeg"/><Relationship Id="rId2815" Type="http://schemas.openxmlformats.org/officeDocument/2006/relationships/hyperlink" Target="https://www.6laws.net/6law/law\&#25010;&#27861;.htm" TargetMode="External"/><Relationship Id="rId56" Type="http://schemas.openxmlformats.org/officeDocument/2006/relationships/hyperlink" Target="https://www.6laws.net/6law/law\&#22823;&#27861;&#23448;&#35299;&#37323;87-91&#24180;.htm" TargetMode="External"/><Relationship Id="rId1417" Type="http://schemas.openxmlformats.org/officeDocument/2006/relationships/hyperlink" Target="https://www.6laws.net/6law/law\&#25010;&#27861;.htm" TargetMode="External"/><Relationship Id="rId1624" Type="http://schemas.openxmlformats.org/officeDocument/2006/relationships/hyperlink" Target="https://www.6laws.net/6law/law2\&#28040;&#38500;&#19968;&#20999;&#24418;&#24335;&#31278;&#26063;&#27495;&#35222;&#22283;&#38555;&#20844;&#32004;.htm" TargetMode="External"/><Relationship Id="rId1831" Type="http://schemas.openxmlformats.org/officeDocument/2006/relationships/hyperlink" Target="https://www.6laws.net/6law/law2\&#20445;&#35703;&#25152;&#26377;&#31227;&#24473;&#24037;&#20154;&#21450;&#20854;&#23478;&#24237;&#25104;&#21729;&#27402;&#21033;&#22283;&#38555;&#20844;&#32004;.htm" TargetMode="External"/><Relationship Id="rId2398" Type="http://schemas.openxmlformats.org/officeDocument/2006/relationships/hyperlink" Target="https://www.6laws.net/6law/law-gb\&#21453;&#20998;&#35010;&#22283;&#23478;&#27861;.htm" TargetMode="External"/><Relationship Id="rId577" Type="http://schemas.openxmlformats.org/officeDocument/2006/relationships/hyperlink" Target="https://www.6laws.net/6law/law\&#20013;&#33775;&#27665;&#22283;&#25010;&#27861;&#22686;&#20462;&#26781;&#25991;.htm" TargetMode="External"/><Relationship Id="rId2258" Type="http://schemas.openxmlformats.org/officeDocument/2006/relationships/hyperlink" Target="https://www.6laws.net/6law/law-gb\&#21453;&#20998;&#35010;&#22283;&#23478;&#27861;.htm" TargetMode="External"/><Relationship Id="rId784" Type="http://schemas.openxmlformats.org/officeDocument/2006/relationships/hyperlink" Target="https://www.6laws.net/6law/law\&#20013;&#33775;&#27665;&#22283;&#25010;&#27861;&#22686;&#20462;&#26781;&#25991;.htm" TargetMode="External"/><Relationship Id="rId991" Type="http://schemas.openxmlformats.org/officeDocument/2006/relationships/hyperlink" Target="https://www.6laws.net/6law/law\&#22823;&#27861;&#23448;&#35299;&#37323;79-86&#24180;.htm" TargetMode="External"/><Relationship Id="rId1067" Type="http://schemas.openxmlformats.org/officeDocument/2006/relationships/hyperlink" Target="https://www.6laws.net/6law/law\&#22320;&#26041;&#21046;&#24230;&#27861;.htm" TargetMode="External"/><Relationship Id="rId2465" Type="http://schemas.openxmlformats.org/officeDocument/2006/relationships/hyperlink" Target="https://www.6laws.net/6law/law2\&#19990;&#30028;&#20154;&#27402;&#23459;&#35328;.htm" TargetMode="External"/><Relationship Id="rId2672" Type="http://schemas.openxmlformats.org/officeDocument/2006/relationships/hyperlink" Target="https://www.6laws.net/6law/law\&#22823;&#27861;&#23448;&#35299;&#37323;79-86&#24180;.htm" TargetMode="External"/><Relationship Id="rId437" Type="http://schemas.openxmlformats.org/officeDocument/2006/relationships/hyperlink" Target="https://www.6laws.net/6law/law\&#25010;&#27861;.htm" TargetMode="External"/><Relationship Id="rId644" Type="http://schemas.openxmlformats.org/officeDocument/2006/relationships/hyperlink" Target="https://www.6laws.net/6law/law3\&#34892;&#25919;&#38498;&#26371;&#35696;&#35696;&#20107;&#35215;&#21063;.htm" TargetMode="External"/><Relationship Id="rId851" Type="http://schemas.openxmlformats.org/officeDocument/2006/relationships/hyperlink" Target="https://www.6laws.net/6law/law\&#20013;&#33775;&#27665;&#22283;&#25010;&#27861;&#22686;&#20462;&#26781;&#25991;.htm" TargetMode="External"/><Relationship Id="rId1274" Type="http://schemas.openxmlformats.org/officeDocument/2006/relationships/hyperlink" Target="https://www.6laws.net/6law/law\&#35657;&#21048;&#25237;&#36039;&#20154;&#21450;&#26399;&#36008;&#20132;&#26131;&#20154;&#20445;&#35703;&#27861;.htm" TargetMode="External"/><Relationship Id="rId1481" Type="http://schemas.openxmlformats.org/officeDocument/2006/relationships/hyperlink" Target="https://www.6laws.net/6law/law\&#20013;&#33775;&#27665;&#22283;&#25010;&#27861;&#22686;&#20462;&#26781;&#25991;.htm" TargetMode="External"/><Relationship Id="rId2118" Type="http://schemas.openxmlformats.org/officeDocument/2006/relationships/hyperlink" Target="https://www.6laws.net/6law/law2\&#20844;&#27665;&#33287;&#25919;&#27835;&#27402;&#21033;&#22283;&#38555;&#20844;&#32004;.htm" TargetMode="External"/><Relationship Id="rId2325" Type="http://schemas.openxmlformats.org/officeDocument/2006/relationships/hyperlink" Target="https://www.6laws.net/6law/law-gb\&#21453;&#20998;&#35010;&#22283;&#23478;&#27861;.htm" TargetMode="External"/><Relationship Id="rId2532" Type="http://schemas.openxmlformats.org/officeDocument/2006/relationships/hyperlink" Target="https://www.6laws.net/6law/law\&#22823;&#27861;&#23448;&#35299;&#37323;92-n&#24180;.htm" TargetMode="External"/><Relationship Id="rId504" Type="http://schemas.openxmlformats.org/officeDocument/2006/relationships/hyperlink" Target="https://www.6laws.net/6law/law\&#25010;&#27861;.htm" TargetMode="External"/><Relationship Id="rId711" Type="http://schemas.openxmlformats.org/officeDocument/2006/relationships/hyperlink" Target="https://www.6laws.net/6law/law\&#31435;&#27861;&#38498;&#32887;&#27402;&#34892;&#20351;&#27861;.htm" TargetMode="External"/><Relationship Id="rId1134" Type="http://schemas.openxmlformats.org/officeDocument/2006/relationships/hyperlink" Target="https://www.6laws.net/6law/law\&#25010;&#27861;.htm" TargetMode="External"/><Relationship Id="rId1341" Type="http://schemas.openxmlformats.org/officeDocument/2006/relationships/hyperlink" Target="https://www.6laws.net/6law/law\&#36786;&#26989;&#30332;&#23637;&#26781;&#20363;.htm" TargetMode="External"/><Relationship Id="rId1201" Type="http://schemas.openxmlformats.org/officeDocument/2006/relationships/hyperlink" Target="https://www.6laws.net/6law/law\&#25010;&#27861;.htm" TargetMode="External"/><Relationship Id="rId294" Type="http://schemas.openxmlformats.org/officeDocument/2006/relationships/hyperlink" Target="https://www.6laws.net/6law/law\&#22823;&#27861;&#23448;&#35299;&#37323;87-91&#24180;.htm" TargetMode="External"/><Relationship Id="rId2182" Type="http://schemas.openxmlformats.org/officeDocument/2006/relationships/hyperlink" Target="https://www.6laws.net/6law/law\&#20837;&#20986;&#22283;&#21450;&#31227;&#27665;&#27861;.htm" TargetMode="External"/><Relationship Id="rId154" Type="http://schemas.openxmlformats.org/officeDocument/2006/relationships/hyperlink" Target="https://www.6laws.net/6law/law\&#22823;&#27861;&#23448;&#35299;&#37323;92-n&#24180;.htm" TargetMode="External"/><Relationship Id="rId361" Type="http://schemas.openxmlformats.org/officeDocument/2006/relationships/hyperlink" Target="https://www.6laws.net/6law/law\&#27665;&#27861;.htm" TargetMode="External"/><Relationship Id="rId2042" Type="http://schemas.openxmlformats.org/officeDocument/2006/relationships/hyperlink" Target="https://www.6laws.net/6law/law2\&#20844;&#27665;&#33287;&#25919;&#27835;&#27402;&#21033;&#22283;&#38555;&#20844;&#32004;.htm" TargetMode="External"/><Relationship Id="rId221" Type="http://schemas.openxmlformats.org/officeDocument/2006/relationships/hyperlink" Target="https://www.6laws.net/6law/law\&#22823;&#27861;&#23448;&#35299;&#37323;79-86&#24180;.htm" TargetMode="External"/><Relationship Id="rId2859" Type="http://schemas.openxmlformats.org/officeDocument/2006/relationships/hyperlink" Target="https://www.6laws.net/6law/law\&#20013;&#33775;&#27665;&#22283;&#25010;&#27861;&#22686;&#20462;&#26781;&#25991;.htm" TargetMode="External"/><Relationship Id="rId1668" Type="http://schemas.openxmlformats.org/officeDocument/2006/relationships/hyperlink" Target="https://www.6laws.net/6law/law\&#21009;&#27861;.htm" TargetMode="External"/><Relationship Id="rId1875" Type="http://schemas.openxmlformats.org/officeDocument/2006/relationships/hyperlink" Target="https://www.6laws.net/6law/law2\&#19990;&#30028;&#20154;&#27402;&#23459;&#35328;.htm" TargetMode="External"/><Relationship Id="rId2719" Type="http://schemas.openxmlformats.org/officeDocument/2006/relationships/hyperlink" Target="https://www.6laws.net/6law/law2\&#28040;&#38500;&#23565;&#23142;&#22899;&#19968;&#20999;&#24418;&#24335;&#27495;&#35222;&#20844;&#32004;.htm" TargetMode="External"/><Relationship Id="rId1528" Type="http://schemas.openxmlformats.org/officeDocument/2006/relationships/hyperlink" Target="https://www.6laws.net/6law/law\&#20013;&#33775;&#27665;&#22283;&#25010;&#27861;&#22686;&#20462;&#26781;&#25991;.htm" TargetMode="External"/><Relationship Id="rId2926" Type="http://schemas.openxmlformats.org/officeDocument/2006/relationships/hyperlink" Target="http://www.gaya.org.tw/hkbi/topic/topic4.htm" TargetMode="External"/><Relationship Id="rId1735" Type="http://schemas.openxmlformats.org/officeDocument/2006/relationships/hyperlink" Target="https://www.6laws.net/6law/law\&#23601;&#26989;&#26381;&#21209;&#27861;.htm" TargetMode="External"/><Relationship Id="rId1942" Type="http://schemas.openxmlformats.org/officeDocument/2006/relationships/hyperlink" Target="https://www.6laws.net/6law/law\&#22823;&#27861;&#23448;&#35299;&#37323;92-n&#24180;.htm" TargetMode="External"/><Relationship Id="rId27" Type="http://schemas.openxmlformats.org/officeDocument/2006/relationships/hyperlink" Target="https://www.6laws.net/6law/law\&#25010;&#27861;.htm" TargetMode="External"/><Relationship Id="rId1802" Type="http://schemas.openxmlformats.org/officeDocument/2006/relationships/hyperlink" Target="https://www.6laws.net/6law/law2\&#19990;&#30028;&#20154;&#27402;&#23459;&#35328;.htm" TargetMode="External"/><Relationship Id="rId688" Type="http://schemas.openxmlformats.org/officeDocument/2006/relationships/hyperlink" Target="https://www.6laws.net/6law/law\&#25010;&#27861;.htm" TargetMode="External"/><Relationship Id="rId895" Type="http://schemas.openxmlformats.org/officeDocument/2006/relationships/hyperlink" Target="https://www.6laws.net/6law/law\&#32771;&#36984;&#37096;&#32068;&#32340;&#27861;.htm" TargetMode="External"/><Relationship Id="rId2369" Type="http://schemas.openxmlformats.org/officeDocument/2006/relationships/hyperlink" Target="https://www.6laws.net/6law/law\&#25010;&#27861;.htm" TargetMode="External"/><Relationship Id="rId2576" Type="http://schemas.openxmlformats.org/officeDocument/2006/relationships/hyperlink" Target="https://www.6laws.net/6law/law2\&#20844;&#27665;&#33287;&#25919;&#27835;&#27402;&#21033;&#22283;&#38555;&#20844;&#32004;.htm" TargetMode="External"/><Relationship Id="rId2783" Type="http://schemas.openxmlformats.org/officeDocument/2006/relationships/hyperlink" Target="https://www.6laws.net/6law/law2\&#20445;&#35703;&#25152;&#26377;&#31227;&#24473;&#24037;&#20154;&#21450;&#20854;&#23478;&#24237;&#25104;&#21729;&#27402;&#21033;&#22283;&#38555;&#20844;&#32004;.htm" TargetMode="External"/><Relationship Id="rId548" Type="http://schemas.openxmlformats.org/officeDocument/2006/relationships/hyperlink" Target="https://www.6laws.net/6law/law\&#25010;&#27861;.htm" TargetMode="External"/><Relationship Id="rId755" Type="http://schemas.openxmlformats.org/officeDocument/2006/relationships/hyperlink" Target="https://www.6laws.net/6law/law\&#22823;&#27861;&#23448;&#35299;&#37323;87-91&#24180;.htm" TargetMode="External"/><Relationship Id="rId962" Type="http://schemas.openxmlformats.org/officeDocument/2006/relationships/hyperlink" Target="https://www.6laws.net/6law/law\&#30435;&#23519;&#27861;.htm" TargetMode="External"/><Relationship Id="rId1178" Type="http://schemas.openxmlformats.org/officeDocument/2006/relationships/hyperlink" Target="https://www.6laws.net/6law/law\&#22320;&#26041;&#21046;&#24230;&#27861;.htm" TargetMode="External"/><Relationship Id="rId1385" Type="http://schemas.openxmlformats.org/officeDocument/2006/relationships/hyperlink" Target="https://www.6laws.net/6law/law\&#25010;&#27861;.htm" TargetMode="External"/><Relationship Id="rId1592" Type="http://schemas.openxmlformats.org/officeDocument/2006/relationships/hyperlink" Target="https://www.6laws.net/6law/law\&#25010;&#27861;.htm" TargetMode="External"/><Relationship Id="rId2229" Type="http://schemas.openxmlformats.org/officeDocument/2006/relationships/hyperlink" Target="https://www.6laws.net/6law/law\&#21009;&#27861;.htm" TargetMode="External"/><Relationship Id="rId2436" Type="http://schemas.openxmlformats.org/officeDocument/2006/relationships/hyperlink" Target="https://www.6laws.net/6law/law\&#22823;&#27861;&#23448;&#35299;&#37323;92-n&#24180;.htm" TargetMode="External"/><Relationship Id="rId2643" Type="http://schemas.openxmlformats.org/officeDocument/2006/relationships/hyperlink" Target="https://www.6laws.net/6law/law\&#20778;&#29983;&#20445;&#20581;&#27861;.htm" TargetMode="External"/><Relationship Id="rId2850" Type="http://schemas.openxmlformats.org/officeDocument/2006/relationships/hyperlink" Target="https://www.6laws.net/6law/law\&#25010;&#27861;.htm" TargetMode="External"/><Relationship Id="rId91" Type="http://schemas.openxmlformats.org/officeDocument/2006/relationships/hyperlink" Target="https://www.6laws.net/6law/law2\&#19990;&#30028;&#20154;&#27402;&#23459;&#35328;.htm" TargetMode="External"/><Relationship Id="rId408" Type="http://schemas.openxmlformats.org/officeDocument/2006/relationships/hyperlink" Target="https://www.6laws.net/6law/law\&#34892;&#25919;&#22519;&#34892;&#27861;.htm" TargetMode="External"/><Relationship Id="rId615" Type="http://schemas.openxmlformats.org/officeDocument/2006/relationships/hyperlink" Target="https://www.6laws.net/6law/law\&#34892;&#25919;&#38498;&#32068;&#32340;&#27861;.htm" TargetMode="External"/><Relationship Id="rId822" Type="http://schemas.openxmlformats.org/officeDocument/2006/relationships/hyperlink" Target="https://www.6laws.net/6law/law\&#25010;&#27861;.htm" TargetMode="External"/><Relationship Id="rId1038" Type="http://schemas.openxmlformats.org/officeDocument/2006/relationships/hyperlink" Target="https://www.6laws.net/6law/law\&#25010;&#27861;.htm" TargetMode="External"/><Relationship Id="rId1245" Type="http://schemas.openxmlformats.org/officeDocument/2006/relationships/hyperlink" Target="https://www.6laws.net/6law/law\&#22303;&#22320;&#27861;.htm" TargetMode="External"/><Relationship Id="rId1452" Type="http://schemas.openxmlformats.org/officeDocument/2006/relationships/hyperlink" Target="https://www.6laws.net/6law/law\&#20013;&#33775;&#27665;&#22283;&#25010;&#27861;&#22686;&#20462;&#26781;&#25991;.htm" TargetMode="External"/><Relationship Id="rId2503" Type="http://schemas.openxmlformats.org/officeDocument/2006/relationships/hyperlink" Target="https://www.6laws.net/6law/law\&#25010;&#27861;.htm" TargetMode="External"/><Relationship Id="rId1105" Type="http://schemas.openxmlformats.org/officeDocument/2006/relationships/hyperlink" Target="https://www.6laws.net/6law/law\&#22320;&#26041;&#21046;&#24230;&#27861;.htm" TargetMode="External"/><Relationship Id="rId1312" Type="http://schemas.openxmlformats.org/officeDocument/2006/relationships/hyperlink" Target="https://www.6laws.net/6law/law\&#25010;&#27861;.htm" TargetMode="External"/><Relationship Id="rId2710" Type="http://schemas.openxmlformats.org/officeDocument/2006/relationships/hyperlink" Target="https://www.6laws.net/6law/law\&#22823;&#27861;&#23448;&#35299;&#37323;92-n&#24180;.htm" TargetMode="External"/><Relationship Id="rId198" Type="http://schemas.openxmlformats.org/officeDocument/2006/relationships/hyperlink" Target="https://www.6laws.net/6law/law\&#38520;&#28023;&#31354;&#36557;&#21009;&#27861;.htm" TargetMode="External"/><Relationship Id="rId2086" Type="http://schemas.openxmlformats.org/officeDocument/2006/relationships/hyperlink" Target="https://www.6laws.net/6law/law2\&#20844;&#27665;&#33287;&#25919;&#27835;&#27402;&#21033;&#22283;&#38555;&#20844;&#32004;.htm" TargetMode="External"/><Relationship Id="rId2293" Type="http://schemas.openxmlformats.org/officeDocument/2006/relationships/hyperlink" Target="https://www.6laws.net/6law/law-gb\&#21453;&#20998;&#35010;&#22283;&#23478;&#27861;.htm" TargetMode="External"/><Relationship Id="rId265" Type="http://schemas.openxmlformats.org/officeDocument/2006/relationships/hyperlink" Target="https://www.6laws.net/6law/law\&#25010;&#27861;.htm" TargetMode="External"/><Relationship Id="rId472" Type="http://schemas.openxmlformats.org/officeDocument/2006/relationships/hyperlink" Target="https://www.6laws.net/6law/law\&#20013;&#33775;&#27665;&#22283;&#25010;&#27861;&#22686;&#20462;&#26781;&#25991;.htm" TargetMode="External"/><Relationship Id="rId2153" Type="http://schemas.openxmlformats.org/officeDocument/2006/relationships/hyperlink" Target="https://www.6laws.net/6law/law2\&#20844;&#27665;&#33287;&#25919;&#27835;&#27402;&#21033;&#22283;&#38555;&#20844;&#32004;.htm" TargetMode="External"/><Relationship Id="rId2360" Type="http://schemas.openxmlformats.org/officeDocument/2006/relationships/hyperlink" Target="https://www.6laws.net/6law/law\&#25010;&#27861;.htm" TargetMode="External"/><Relationship Id="rId125" Type="http://schemas.openxmlformats.org/officeDocument/2006/relationships/hyperlink" Target="https://www.6laws.net/6law/law\&#22823;&#27861;&#23448;&#35299;&#37323;92-n&#24180;.htm" TargetMode="External"/><Relationship Id="rId332" Type="http://schemas.openxmlformats.org/officeDocument/2006/relationships/hyperlink" Target="https://www.6laws.net/6law/law\&#22823;&#27861;&#23448;&#35299;&#37323;61-78&#24180;.htm" TargetMode="External"/><Relationship Id="rId2013" Type="http://schemas.openxmlformats.org/officeDocument/2006/relationships/hyperlink" Target="https://www.6laws.net/6law/law\&#20837;&#20986;&#22283;&#21450;&#31227;&#27665;&#27861;.htm" TargetMode="External"/><Relationship Id="rId2220" Type="http://schemas.openxmlformats.org/officeDocument/2006/relationships/hyperlink" Target="http://www.state.gov/g/tip/rls/tiprpt/2010/index.htm" TargetMode="External"/><Relationship Id="rId1779" Type="http://schemas.openxmlformats.org/officeDocument/2006/relationships/hyperlink" Target="https://www.6laws.net/6law/law\&#27665;&#27861;.htm" TargetMode="External"/><Relationship Id="rId1986" Type="http://schemas.openxmlformats.org/officeDocument/2006/relationships/hyperlink" Target="https://www.6laws.net/6law/law2\&#20844;&#27665;&#33287;&#25919;&#27835;&#27402;&#21033;&#22283;&#38555;&#20844;&#32004;.htm" TargetMode="External"/><Relationship Id="rId1639" Type="http://schemas.openxmlformats.org/officeDocument/2006/relationships/hyperlink" Target="http://202.197.69.8/taiwanweb/Catalog/bookcatalog.asp?bookno=83" TargetMode="External"/><Relationship Id="rId1846" Type="http://schemas.openxmlformats.org/officeDocument/2006/relationships/hyperlink" Target="https://www.6laws.net/6law/law2\&#20445;&#35703;&#25152;&#26377;&#31227;&#24473;&#24037;&#20154;&#21450;&#20854;&#23478;&#24237;&#25104;&#21729;&#27402;&#21033;&#22283;&#38555;&#20844;&#32004;.htm" TargetMode="External"/><Relationship Id="rId1706" Type="http://schemas.openxmlformats.org/officeDocument/2006/relationships/hyperlink" Target="https://www.6laws.net/6law/law\&#27602;&#21697;&#21361;&#23475;&#38450;&#21046;&#26781;&#20363;.htm" TargetMode="External"/><Relationship Id="rId1913" Type="http://schemas.openxmlformats.org/officeDocument/2006/relationships/hyperlink" Target="https://www.6laws.net/6law/law2\&#26377;&#38364;&#38627;&#27665;&#22320;&#20301;&#20844;&#32004;.htm" TargetMode="External"/><Relationship Id="rId799" Type="http://schemas.openxmlformats.org/officeDocument/2006/relationships/hyperlink" Target="https://www.6laws.net/6law/law\&#20013;&#33775;&#27665;&#22283;&#25010;&#27861;&#22686;&#20462;&#26781;&#25991;.htm" TargetMode="External"/><Relationship Id="rId2687" Type="http://schemas.openxmlformats.org/officeDocument/2006/relationships/hyperlink" Target="https://www.6laws.net/6law/law\&#20837;&#20986;&#22283;&#21450;&#31227;&#27665;&#27861;.htm" TargetMode="External"/><Relationship Id="rId2894" Type="http://schemas.openxmlformats.org/officeDocument/2006/relationships/hyperlink" Target="http://en.wikipedia.org/wiki/Illegal_immigration" TargetMode="External"/><Relationship Id="rId659" Type="http://schemas.openxmlformats.org/officeDocument/2006/relationships/hyperlink" Target="https://www.6laws.net/6law/law\&#34892;&#25919;&#38498;&#32068;&#32340;&#27861;.htm" TargetMode="External"/><Relationship Id="rId866" Type="http://schemas.openxmlformats.org/officeDocument/2006/relationships/hyperlink" Target="https://www.6laws.net/6law/law\&#25010;&#27861;.htm" TargetMode="External"/><Relationship Id="rId1289" Type="http://schemas.openxmlformats.org/officeDocument/2006/relationships/hyperlink" Target="https://www.6laws.net/6law/law\&#25152;&#24471;&#31237;&#27861;.htm" TargetMode="External"/><Relationship Id="rId1496" Type="http://schemas.openxmlformats.org/officeDocument/2006/relationships/hyperlink" Target="https://www.6laws.net/6law/law\&#22823;&#27861;&#23448;&#35299;&#37323;92-n&#24180;.htm" TargetMode="External"/><Relationship Id="rId2547" Type="http://schemas.openxmlformats.org/officeDocument/2006/relationships/hyperlink" Target="https://www.6laws.net/6law/law2\&#32147;&#28639;&#31038;&#26371;&#25991;&#21270;&#27402;&#21033;&#22283;&#38555;&#20844;&#32004;.htm" TargetMode="External"/><Relationship Id="rId519" Type="http://schemas.openxmlformats.org/officeDocument/2006/relationships/hyperlink" Target="https://www.6laws.net/6law/law\&#25010;&#27861;.htm" TargetMode="External"/><Relationship Id="rId1149" Type="http://schemas.openxmlformats.org/officeDocument/2006/relationships/hyperlink" Target="https://www.6laws.net/6law/law\&#22320;&#26041;&#21046;&#24230;&#27861;.htm" TargetMode="External"/><Relationship Id="rId1356" Type="http://schemas.openxmlformats.org/officeDocument/2006/relationships/hyperlink" Target="https://www.6laws.net/6law/law\&#25010;&#27861;.htm" TargetMode="External"/><Relationship Id="rId2754" Type="http://schemas.openxmlformats.org/officeDocument/2006/relationships/hyperlink" Target="https://www.6laws.net/6law/law2\&#20818;&#31461;&#27402;&#21033;&#20844;&#32004;.htm" TargetMode="External"/><Relationship Id="rId726" Type="http://schemas.openxmlformats.org/officeDocument/2006/relationships/hyperlink" Target="https://www.6laws.net/6law/law\&#25010;&#27861;.htm" TargetMode="External"/><Relationship Id="rId933" Type="http://schemas.openxmlformats.org/officeDocument/2006/relationships/hyperlink" Target="https://www.6laws.net/6law/law\&#25010;&#27861;.htm" TargetMode="External"/><Relationship Id="rId1009" Type="http://schemas.openxmlformats.org/officeDocument/2006/relationships/hyperlink" Target="https://www.6laws.net/6law/law\&#20013;&#33775;&#27665;&#22283;&#25010;&#27861;&#22686;&#20462;&#26781;&#25991;.htm" TargetMode="External"/><Relationship Id="rId1563" Type="http://schemas.openxmlformats.org/officeDocument/2006/relationships/hyperlink" Target="https://www.6laws.net/6law/law\&#20013;&#33775;&#27665;&#22283;&#25010;&#27861;&#22686;&#20462;&#26781;&#25991;.htm" TargetMode="External"/><Relationship Id="rId1770" Type="http://schemas.openxmlformats.org/officeDocument/2006/relationships/hyperlink" Target="https://www.6laws.net/6law/law2\&#20445;&#35703;&#25152;&#26377;&#31227;&#24473;&#24037;&#20154;&#21450;&#20854;&#23478;&#24237;&#25104;&#21729;&#27402;&#21033;&#22283;&#38555;&#20844;&#32004;.htm" TargetMode="External"/><Relationship Id="rId2407" Type="http://schemas.openxmlformats.org/officeDocument/2006/relationships/hyperlink" Target="https://www.6laws.net/6law/law\&#25010;&#27861;.htm" TargetMode="External"/><Relationship Id="rId2614" Type="http://schemas.openxmlformats.org/officeDocument/2006/relationships/image" Target="media/image42.jpeg"/><Relationship Id="rId2821" Type="http://schemas.openxmlformats.org/officeDocument/2006/relationships/hyperlink" Target="https://www.6laws.net/6law/law\&#20013;&#33775;&#27665;&#22283;&#25010;&#27861;&#22686;&#20462;&#26781;&#25991;.htm" TargetMode="External"/><Relationship Id="rId62" Type="http://schemas.openxmlformats.org/officeDocument/2006/relationships/hyperlink" Target="https://www.6laws.net/6law/law\&#25010;&#27861;.htm" TargetMode="External"/><Relationship Id="rId1216" Type="http://schemas.openxmlformats.org/officeDocument/2006/relationships/hyperlink" Target="https://www.6laws.net/6law/law\&#25010;&#27861;.htm" TargetMode="External"/><Relationship Id="rId1423" Type="http://schemas.openxmlformats.org/officeDocument/2006/relationships/hyperlink" Target="https://www.6laws.net/6law/law\&#25010;&#27861;.htm" TargetMode="External"/><Relationship Id="rId1630" Type="http://schemas.openxmlformats.org/officeDocument/2006/relationships/hyperlink" Target="https://www.6laws.net/6law/law2\&#32147;&#28639;&#31038;&#26371;&#25991;&#21270;&#27402;&#21033;&#22283;&#38555;&#20844;&#32004;.htm" TargetMode="External"/><Relationship Id="rId2197" Type="http://schemas.openxmlformats.org/officeDocument/2006/relationships/hyperlink" Target="https://www.6laws.net/6law/law2\&#20844;&#27665;&#33287;&#25919;&#27835;&#27402;&#21033;&#22283;&#38555;&#20844;&#32004;.htm" TargetMode="External"/><Relationship Id="rId169" Type="http://schemas.openxmlformats.org/officeDocument/2006/relationships/hyperlink" Target="https://www.6laws.net/6law/law\&#25010;&#27861;.htm" TargetMode="External"/><Relationship Id="rId376" Type="http://schemas.openxmlformats.org/officeDocument/2006/relationships/hyperlink" Target="https://www.6laws.net/6law/law\&#25010;&#27861;.htm" TargetMode="External"/><Relationship Id="rId583" Type="http://schemas.openxmlformats.org/officeDocument/2006/relationships/hyperlink" Target="https://www.6laws.net/6law/law\&#25010;&#27861;.htm" TargetMode="External"/><Relationship Id="rId790" Type="http://schemas.openxmlformats.org/officeDocument/2006/relationships/hyperlink" Target="https://www.6laws.net/6law/law\&#25010;&#27861;.htm" TargetMode="External"/><Relationship Id="rId2057" Type="http://schemas.openxmlformats.org/officeDocument/2006/relationships/hyperlink" Target="https://www.6laws.net/6law/law2\&#20844;&#27665;&#33287;&#25919;&#27835;&#27402;&#21033;&#22283;&#38555;&#20844;&#32004;.htm" TargetMode="External"/><Relationship Id="rId2264" Type="http://schemas.openxmlformats.org/officeDocument/2006/relationships/hyperlink" Target="https://www.6laws.net/6law/law-gb\&#21453;&#20998;&#35010;&#22283;&#23478;&#27861;.htm" TargetMode="External"/><Relationship Id="rId2471" Type="http://schemas.openxmlformats.org/officeDocument/2006/relationships/hyperlink" Target="https://www.6laws.net/6law/law2\&#20844;&#27665;&#33287;&#25919;&#27835;&#27402;&#21033;&#22283;&#38555;&#20844;&#32004;.htm" TargetMode="External"/><Relationship Id="rId236" Type="http://schemas.openxmlformats.org/officeDocument/2006/relationships/hyperlink" Target="https://www.6laws.net/6law/law\&#25010;&#27861;.htm" TargetMode="External"/><Relationship Id="rId443" Type="http://schemas.openxmlformats.org/officeDocument/2006/relationships/hyperlink" Target="https://www.6laws.net/6law/law\&#25010;&#27861;.htm" TargetMode="External"/><Relationship Id="rId650" Type="http://schemas.openxmlformats.org/officeDocument/2006/relationships/hyperlink" Target="https://www.6laws.net/6law/law\&#25010;&#27861;.htm" TargetMode="External"/><Relationship Id="rId1073" Type="http://schemas.openxmlformats.org/officeDocument/2006/relationships/hyperlink" Target="https://www.6laws.net/6law/law\&#25010;&#27861;.htm" TargetMode="External"/><Relationship Id="rId1280" Type="http://schemas.openxmlformats.org/officeDocument/2006/relationships/hyperlink" Target="https://www.6laws.net/6law/law\&#25010;&#27861;.htm" TargetMode="External"/><Relationship Id="rId2124" Type="http://schemas.openxmlformats.org/officeDocument/2006/relationships/hyperlink" Target="https://www.6laws.net/6law/law2\&#20844;&#27665;&#33287;&#25919;&#27835;&#27402;&#21033;&#22283;&#38555;&#20844;&#32004;.htm" TargetMode="External"/><Relationship Id="rId2331" Type="http://schemas.openxmlformats.org/officeDocument/2006/relationships/hyperlink" Target="https://www.6laws.net/6law/law-gb\&#21453;&#20998;&#35010;&#22283;&#23478;&#27861;.htm" TargetMode="External"/><Relationship Id="rId303" Type="http://schemas.openxmlformats.org/officeDocument/2006/relationships/hyperlink" Target="https://www.6laws.net/6law/law\&#35380;&#39000;&#27861;.htm" TargetMode="External"/><Relationship Id="rId1140" Type="http://schemas.openxmlformats.org/officeDocument/2006/relationships/hyperlink" Target="https://www.6laws.net/6law/law\&#25010;&#27861;.htm" TargetMode="External"/><Relationship Id="rId510" Type="http://schemas.openxmlformats.org/officeDocument/2006/relationships/hyperlink" Target="https://www.6laws.net/6law/law\&#20013;&#33775;&#27665;&#22283;&#25010;&#27861;&#22686;&#20462;&#26781;&#25991;.htm" TargetMode="External"/><Relationship Id="rId1000" Type="http://schemas.openxmlformats.org/officeDocument/2006/relationships/hyperlink" Target="https://www.6laws.net/6law/law\&#25010;&#27861;.htm" TargetMode="External"/><Relationship Id="rId1957" Type="http://schemas.openxmlformats.org/officeDocument/2006/relationships/hyperlink" Target="https://www.6laws.net/6law/law\&#20837;&#20986;&#22283;&#21450;&#31227;&#27665;&#27861;.htm" TargetMode="External"/><Relationship Id="rId1817" Type="http://schemas.openxmlformats.org/officeDocument/2006/relationships/hyperlink" Target="https://www.6laws.net/6law/law2\&#19990;&#30028;&#20154;&#27402;&#23459;&#35328;.htm" TargetMode="External"/><Relationship Id="rId160" Type="http://schemas.openxmlformats.org/officeDocument/2006/relationships/hyperlink" Target="https://www.6laws.net/6law/law\&#22823;&#27861;&#23448;&#35299;&#37323;79-86&#24180;.htm" TargetMode="External"/><Relationship Id="rId2798" Type="http://schemas.openxmlformats.org/officeDocument/2006/relationships/hyperlink" Target="http://www.google.com.tw/url?sa=i&amp;rct=j&amp;q=&amp;esrc=s&amp;frm=1&amp;source=images&amp;cd=&amp;cad=rja&amp;uact=8&amp;ved=0CAcQjRw&amp;url=http://www.naol.cc/news/world/2014/12/13-1.htm&amp;ei=RvTXVMGVMI258gXMtIHYAg&amp;psig=AFQjCNE-RMH2EnOzFhVyyge5rxXzc4i3BQ&amp;ust=1423524752630339" TargetMode="External"/><Relationship Id="rId977" Type="http://schemas.openxmlformats.org/officeDocument/2006/relationships/hyperlink" Target="https://www.6laws.net/6law/law\&#25010;&#27861;.htm" TargetMode="External"/><Relationship Id="rId2658" Type="http://schemas.openxmlformats.org/officeDocument/2006/relationships/hyperlink" Target="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zJTNGMTQyNzMwNjc2NSZpPTE-" TargetMode="External"/><Relationship Id="rId2865" Type="http://schemas.openxmlformats.org/officeDocument/2006/relationships/hyperlink" Target="https://www.6laws.net/6law/law\&#25010;&#27861;.htm" TargetMode="External"/><Relationship Id="rId837" Type="http://schemas.openxmlformats.org/officeDocument/2006/relationships/hyperlink" Target="https://www.6laws.net/6law/law\&#22823;&#27861;&#23448;&#35299;&#37323;79-86&#24180;.htm" TargetMode="External"/><Relationship Id="rId1467" Type="http://schemas.openxmlformats.org/officeDocument/2006/relationships/hyperlink" Target="https://www.6laws.net/6law/law\&#20013;&#33775;&#27665;&#22283;&#25010;&#27861;&#22686;&#20462;&#26781;&#25991;.htm" TargetMode="External"/><Relationship Id="rId1674" Type="http://schemas.openxmlformats.org/officeDocument/2006/relationships/hyperlink" Target="https://www.6laws.net/6law/law\&#32901;&#28165;&#29017;&#27602;&#26781;&#20363;.htm" TargetMode="External"/><Relationship Id="rId1881" Type="http://schemas.openxmlformats.org/officeDocument/2006/relationships/hyperlink" Target="https://www.6laws.net/6law/law\&#25010;&#27861;.htm" TargetMode="External"/><Relationship Id="rId2518" Type="http://schemas.openxmlformats.org/officeDocument/2006/relationships/hyperlink" Target="https://www.6laws.net/6law/law\&#22823;&#27861;&#23448;&#35299;&#37323;92-n&#24180;.htm" TargetMode="External"/><Relationship Id="rId2725" Type="http://schemas.openxmlformats.org/officeDocument/2006/relationships/hyperlink" Target="https://www.6laws.net/6law/law2\&#28040;&#38500;&#23565;&#23142;&#22899;&#19968;&#20999;&#24418;&#24335;&#27495;&#35222;&#20844;&#32004;.htm" TargetMode="External"/><Relationship Id="rId2932" Type="http://schemas.openxmlformats.org/officeDocument/2006/relationships/hyperlink" Target="http://www.ait.org.tw/zh/officialtext-ot1306.html" TargetMode="External"/><Relationship Id="rId904" Type="http://schemas.openxmlformats.org/officeDocument/2006/relationships/hyperlink" Target="https://www.6laws.net/6law/law\&#25010;&#27861;.htm" TargetMode="External"/><Relationship Id="rId1327" Type="http://schemas.openxmlformats.org/officeDocument/2006/relationships/hyperlink" Target="https://www.6laws.net/6law/law\&#22823;&#27861;&#23448;&#35299;&#37323;87-91&#24180;.htm" TargetMode="External"/><Relationship Id="rId1534" Type="http://schemas.openxmlformats.org/officeDocument/2006/relationships/hyperlink" Target="https://www.6laws.net/6law/law\&#20013;&#33775;&#27665;&#22283;&#25010;&#27861;&#22686;&#20462;&#26781;&#25991;.htm" TargetMode="External"/><Relationship Id="rId1741" Type="http://schemas.openxmlformats.org/officeDocument/2006/relationships/hyperlink" Target="https://www.6laws.net/6law/law\&#23601;&#26989;&#26381;&#21209;&#27861;.htm" TargetMode="External"/><Relationship Id="rId33" Type="http://schemas.openxmlformats.org/officeDocument/2006/relationships/image" Target="media/image14.jpeg"/><Relationship Id="rId1601" Type="http://schemas.openxmlformats.org/officeDocument/2006/relationships/image" Target="media/image29.jpeg"/><Relationship Id="rId487" Type="http://schemas.openxmlformats.org/officeDocument/2006/relationships/hyperlink" Target="https://www.6laws.net/6law/law\&#25010;&#27861;.htm" TargetMode="External"/><Relationship Id="rId694" Type="http://schemas.openxmlformats.org/officeDocument/2006/relationships/hyperlink" Target="https://www.6laws.net/6law/law\&#25010;&#27861;.htm" TargetMode="External"/><Relationship Id="rId2168" Type="http://schemas.openxmlformats.org/officeDocument/2006/relationships/hyperlink" Target="https://www.6laws.net/6law/law\&#25010;&#27861;.htm" TargetMode="External"/><Relationship Id="rId2375" Type="http://schemas.openxmlformats.org/officeDocument/2006/relationships/hyperlink" Target="https://www.6laws.net/6law/law\&#20013;&#33775;&#27665;&#22283;&#25010;&#27861;&#22686;&#20462;&#26781;&#25991;.htm" TargetMode="External"/><Relationship Id="rId347" Type="http://schemas.openxmlformats.org/officeDocument/2006/relationships/hyperlink" Target="https://www.6laws.net/6law/law\&#25010;&#27861;.htm" TargetMode="External"/><Relationship Id="rId1184" Type="http://schemas.openxmlformats.org/officeDocument/2006/relationships/hyperlink" Target="https://www.6laws.net/6law/law\&#22320;&#26041;&#21046;&#24230;&#27861;.htm" TargetMode="External"/><Relationship Id="rId2028" Type="http://schemas.openxmlformats.org/officeDocument/2006/relationships/hyperlink" Target="https://www.6laws.net/6law/law\&#25010;&#27861;.htm" TargetMode="External"/><Relationship Id="rId2582" Type="http://schemas.openxmlformats.org/officeDocument/2006/relationships/hyperlink" Target="https://www.6laws.net/6law/law\&#25010;&#27861;.htm" TargetMode="External"/><Relationship Id="rId554" Type="http://schemas.openxmlformats.org/officeDocument/2006/relationships/hyperlink" Target="https://www.6laws.net/6law/law\&#20013;&#33775;&#27665;&#22283;&#25010;&#27861;&#22686;&#20462;&#26781;&#25991;.htm" TargetMode="External"/><Relationship Id="rId761" Type="http://schemas.openxmlformats.org/officeDocument/2006/relationships/hyperlink" Target="https://www.6laws.net/6law/law\&#22823;&#27861;&#23448;&#35299;&#37323;87-91&#24180;.htm" TargetMode="External"/><Relationship Id="rId1391" Type="http://schemas.openxmlformats.org/officeDocument/2006/relationships/hyperlink" Target="https://www.6laws.net/6law/law\&#22823;&#27861;&#23448;&#35299;&#37323;61-78&#24180;.htm" TargetMode="External"/><Relationship Id="rId2235" Type="http://schemas.openxmlformats.org/officeDocument/2006/relationships/hyperlink" Target="https://www.6laws.net/6law/law\&#20154;&#21475;&#36009;&#36939;&#38450;&#21046;&#27861;.htm" TargetMode="External"/><Relationship Id="rId2442" Type="http://schemas.openxmlformats.org/officeDocument/2006/relationships/hyperlink" Target="https://www.6laws.net/6law/law2\&#19990;&#30028;&#20154;&#27402;&#23459;&#35328;.htm" TargetMode="External"/><Relationship Id="rId207" Type="http://schemas.openxmlformats.org/officeDocument/2006/relationships/hyperlink" Target="https://www.6laws.net/6law/law\&#25010;&#27861;.htm" TargetMode="External"/><Relationship Id="rId414" Type="http://schemas.openxmlformats.org/officeDocument/2006/relationships/hyperlink" Target="https://www.6laws.net/6law/law3\&#22823;&#30526;&#36939;&#36664;&#20107;&#26989;&#35036;&#36028;&#36774;&#27861;.htm" TargetMode="External"/><Relationship Id="rId621" Type="http://schemas.openxmlformats.org/officeDocument/2006/relationships/hyperlink" Target="https://www.6laws.net/6law/law\&#34892;&#25919;&#38498;&#32068;&#32340;&#27861;.htm" TargetMode="External"/><Relationship Id="rId1044" Type="http://schemas.openxmlformats.org/officeDocument/2006/relationships/hyperlink" Target="https://www.6laws.net/6law/law\&#25010;&#27861;.htm" TargetMode="External"/><Relationship Id="rId1251" Type="http://schemas.openxmlformats.org/officeDocument/2006/relationships/hyperlink" Target="https://www.6laws.net/6law/law\&#25010;&#27861;.htm" TargetMode="External"/><Relationship Id="rId2302" Type="http://schemas.openxmlformats.org/officeDocument/2006/relationships/hyperlink" Target="https://www.6laws.net/6law/law2\&#32879;&#21512;&#22283;&#25010;&#31456;.htm" TargetMode="External"/><Relationship Id="rId1111" Type="http://schemas.openxmlformats.org/officeDocument/2006/relationships/hyperlink" Target="https://www.6laws.net/6law/law\&#25010;&#27861;.htm" TargetMode="External"/><Relationship Id="rId1928" Type="http://schemas.openxmlformats.org/officeDocument/2006/relationships/hyperlink" Target="https://www.6laws.net/6law/law2\&#19990;&#30028;&#20154;&#27402;&#23459;&#35328;.htm" TargetMode="External"/><Relationship Id="rId2092" Type="http://schemas.openxmlformats.org/officeDocument/2006/relationships/hyperlink" Target="https://www.6laws.net/6law/law2\&#20844;&#27665;&#33287;&#25919;&#27835;&#27402;&#21033;&#22283;&#38555;&#20844;&#32004;.htm" TargetMode="External"/><Relationship Id="rId271" Type="http://schemas.openxmlformats.org/officeDocument/2006/relationships/hyperlink" Target="https://www.6laws.net/6law/law\&#22823;&#27861;&#23448;&#35299;&#37323;79-86&#24180;.htm" TargetMode="External"/><Relationship Id="rId131" Type="http://schemas.openxmlformats.org/officeDocument/2006/relationships/hyperlink" Target="https://www.6laws.net/6law/law\&#25010;&#27861;.htm" TargetMode="External"/><Relationship Id="rId2769" Type="http://schemas.openxmlformats.org/officeDocument/2006/relationships/hyperlink" Target="https://www.6laws.net/6law/law2\&#20818;&#31461;&#27402;&#21033;&#20844;&#32004;.htm" TargetMode="External"/><Relationship Id="rId948" Type="http://schemas.openxmlformats.org/officeDocument/2006/relationships/hyperlink" Target="https://www.6laws.net/6law/law\&#22823;&#27861;&#23448;&#35299;&#37323;92-n&#24180;.htm" TargetMode="External"/><Relationship Id="rId1578" Type="http://schemas.openxmlformats.org/officeDocument/2006/relationships/hyperlink" Target="aw\&#20013;&#33775;&#27665;&#22283;&#25010;&#27861;&#22686;&#20462;&#26781;&#25991;.htm" TargetMode="External"/><Relationship Id="rId1785" Type="http://schemas.openxmlformats.org/officeDocument/2006/relationships/hyperlink" Target="https://www.6laws.net/6law/law\&#27665;&#27861;.htm" TargetMode="External"/><Relationship Id="rId1992" Type="http://schemas.openxmlformats.org/officeDocument/2006/relationships/hyperlink" Target="https://www.6laws.net/6law/law\&#20837;&#20986;&#22283;&#21450;&#31227;&#27665;&#27861;.htm" TargetMode="External"/><Relationship Id="rId2629" Type="http://schemas.openxmlformats.org/officeDocument/2006/relationships/hyperlink" Target="http://www.tiannv.com/a/MAMA_ME/Pregnancy/2013/144-12120-2.html" TargetMode="External"/><Relationship Id="rId2836" Type="http://schemas.openxmlformats.org/officeDocument/2006/relationships/hyperlink" Target="https://www.6laws.net/6law/law\&#25010;&#27861;.htm" TargetMode="External"/><Relationship Id="rId77" Type="http://schemas.openxmlformats.org/officeDocument/2006/relationships/hyperlink" Target="https://www.6laws.net/6law/law\&#25010;&#27861;.htm" TargetMode="External"/><Relationship Id="rId808" Type="http://schemas.openxmlformats.org/officeDocument/2006/relationships/hyperlink" Target="https://www.6laws.net/6law/law\&#25010;&#27861;.htm" TargetMode="External"/><Relationship Id="rId1438" Type="http://schemas.openxmlformats.org/officeDocument/2006/relationships/hyperlink" Target="https://www.6laws.net/6law/law\&#25010;&#27861;.htm" TargetMode="External"/><Relationship Id="rId1645" Type="http://schemas.openxmlformats.org/officeDocument/2006/relationships/hyperlink" Target="https://www.6laws.net/6law/law\&#25121;&#20098;&#26178;&#26399;&#32901;&#28165;&#29017;&#27602;&#26781;&#20363;.htm" TargetMode="External"/><Relationship Id="rId1852" Type="http://schemas.openxmlformats.org/officeDocument/2006/relationships/hyperlink" Target="https://www.6laws.net/6law/law2\&#20445;&#35703;&#25152;&#26377;&#31227;&#24473;&#24037;&#20154;&#21450;&#20854;&#23478;&#24237;&#25104;&#21729;&#27402;&#21033;&#22283;&#38555;&#20844;&#32004;.htm" TargetMode="External"/><Relationship Id="rId2903" Type="http://schemas.openxmlformats.org/officeDocument/2006/relationships/hyperlink" Target="http://159.226.2.5:89/gate/big5/www.kepu.com.cn/gb/technology/nuclear/develop/200207300145.html" TargetMode="External"/><Relationship Id="rId1505" Type="http://schemas.openxmlformats.org/officeDocument/2006/relationships/hyperlink" Target="https://www.6laws.net/6law/law\&#25010;&#27861;.htm" TargetMode="External"/><Relationship Id="rId1712" Type="http://schemas.openxmlformats.org/officeDocument/2006/relationships/hyperlink" Target="https://www.6laws.net/6law/law\&#27602;&#21697;&#21361;&#23475;&#38450;&#21046;&#26781;&#20363;.htm" TargetMode="External"/><Relationship Id="rId598" Type="http://schemas.openxmlformats.org/officeDocument/2006/relationships/hyperlink" Target="https://www.6laws.net/6law/law\&#25010;&#27861;.htm" TargetMode="External"/><Relationship Id="rId2279" Type="http://schemas.openxmlformats.org/officeDocument/2006/relationships/hyperlink" Target="https://www.6laws.net/6law/law-gb\&#21453;&#20998;&#35010;&#22283;&#23478;&#27861;.htm" TargetMode="External"/><Relationship Id="rId2486" Type="http://schemas.openxmlformats.org/officeDocument/2006/relationships/hyperlink" Target="https://www.6laws.net/6law/law2\&#20844;&#27665;&#33287;&#25919;&#27835;&#27402;&#21033;&#22283;&#38555;&#20844;&#32004;.htm" TargetMode="External"/><Relationship Id="rId2693" Type="http://schemas.openxmlformats.org/officeDocument/2006/relationships/hyperlink" Target="https://www.6laws.net/6law/law\&#20837;&#20986;&#22283;&#21450;&#31227;&#27665;&#27861;.htm" TargetMode="External"/><Relationship Id="rId458" Type="http://schemas.openxmlformats.org/officeDocument/2006/relationships/hyperlink" Target="https://www.6laws.net/6law/law\&#20013;&#33775;&#27665;&#22283;&#25010;&#27861;&#22686;&#20462;&#26781;&#25991;.htm" TargetMode="External"/><Relationship Id="rId665" Type="http://schemas.openxmlformats.org/officeDocument/2006/relationships/hyperlink" Target="https://www.6laws.net/6law/law\&#22823;&#27861;&#23448;&#35299;&#37323;79-86&#24180;.htm" TargetMode="External"/><Relationship Id="rId872" Type="http://schemas.openxmlformats.org/officeDocument/2006/relationships/hyperlink" Target="https://www.6laws.net/6law/law\&#25010;&#27861;.htm" TargetMode="External"/><Relationship Id="rId1088" Type="http://schemas.openxmlformats.org/officeDocument/2006/relationships/hyperlink" Target="https://www.6laws.net/6law/law\&#25010;&#27861;.htm" TargetMode="External"/><Relationship Id="rId1295" Type="http://schemas.openxmlformats.org/officeDocument/2006/relationships/hyperlink" Target="https://www.6laws.net/6law/law\&#22823;&#27861;&#23448;&#35299;&#37323;61-78&#24180;.htm" TargetMode="External"/><Relationship Id="rId2139" Type="http://schemas.openxmlformats.org/officeDocument/2006/relationships/hyperlink" Target="https://www.6laws.net/6law/law2\&#32147;&#28639;&#31038;&#26371;&#25991;&#21270;&#27402;&#21033;&#22283;&#38555;&#20844;&#32004;.htm" TargetMode="External"/><Relationship Id="rId2346" Type="http://schemas.openxmlformats.org/officeDocument/2006/relationships/hyperlink" Target="https://www.6laws.net/6law/law\&#25010;&#27861;.htm" TargetMode="External"/><Relationship Id="rId2553" Type="http://schemas.openxmlformats.org/officeDocument/2006/relationships/hyperlink" Target="https://www.6laws.net/6law/law2\&#19990;&#30028;&#20154;&#27402;&#23459;&#35328;.htm" TargetMode="External"/><Relationship Id="rId2760" Type="http://schemas.openxmlformats.org/officeDocument/2006/relationships/hyperlink" Target="https://www.6laws.net/6law/law2\&#20818;&#31461;&#27402;&#21033;&#20844;&#32004;.htm" TargetMode="External"/><Relationship Id="rId318" Type="http://schemas.openxmlformats.org/officeDocument/2006/relationships/hyperlink" Target="https://www.6laws.net/6law/law\&#25010;&#27861;.htm" TargetMode="External"/><Relationship Id="rId525" Type="http://schemas.openxmlformats.org/officeDocument/2006/relationships/hyperlink" Target="https://www.6laws.net/6law/law\&#25010;&#27861;.htm" TargetMode="External"/><Relationship Id="rId732" Type="http://schemas.openxmlformats.org/officeDocument/2006/relationships/hyperlink" Target="https://www.6laws.net/6law/law\&#25010;&#27861;.htm" TargetMode="External"/><Relationship Id="rId1155" Type="http://schemas.openxmlformats.org/officeDocument/2006/relationships/hyperlink" Target="https://www.6laws.net/6law/law\&#22320;&#26041;&#21046;&#24230;&#27861;.htm" TargetMode="External"/><Relationship Id="rId1362" Type="http://schemas.openxmlformats.org/officeDocument/2006/relationships/hyperlink" Target="https://www.6laws.net/6law/law\&#25010;&#27861;.htm" TargetMode="External"/><Relationship Id="rId2206" Type="http://schemas.openxmlformats.org/officeDocument/2006/relationships/hyperlink" Target="https://www.6laws.net/6law/law\&#21214;&#21205;&#22522;&#28310;&#27861;.htm" TargetMode="External"/><Relationship Id="rId2413" Type="http://schemas.openxmlformats.org/officeDocument/2006/relationships/hyperlink" Target="https://www.6laws.net/6law/law\&#25010;&#27861;.htm" TargetMode="External"/><Relationship Id="rId2620" Type="http://schemas.openxmlformats.org/officeDocument/2006/relationships/hyperlink" Target="https://www.6laws.net/6law/law\&#20778;&#29983;&#20445;&#20581;&#27861;.htm" TargetMode="External"/><Relationship Id="rId1015" Type="http://schemas.openxmlformats.org/officeDocument/2006/relationships/hyperlink" Target="https://www.6laws.net/6law/law\&#25010;&#27861;.htm" TargetMode="External"/><Relationship Id="rId1222" Type="http://schemas.openxmlformats.org/officeDocument/2006/relationships/hyperlink" Target="https://www.6laws.net/6law/law\&#25010;&#27861;.htm" TargetMode="External"/><Relationship Id="rId1527" Type="http://schemas.openxmlformats.org/officeDocument/2006/relationships/hyperlink" Target="https://www.6laws.net/6law/law\&#25010;&#27861;.htm" TargetMode="External"/><Relationship Id="rId1734" Type="http://schemas.openxmlformats.org/officeDocument/2006/relationships/hyperlink" Target="https://www.6laws.net/6law/law\&#23601;&#26989;&#26381;&#21209;&#27861;.htm" TargetMode="External"/><Relationship Id="rId1941" Type="http://schemas.openxmlformats.org/officeDocument/2006/relationships/hyperlink" Target="https://www.6laws.net/6law/law\&#20837;&#20986;&#22283;&#21450;&#31227;&#27665;&#27861;.htm" TargetMode="External"/><Relationship Id="rId26" Type="http://schemas.openxmlformats.org/officeDocument/2006/relationships/image" Target="media/image12.png"/><Relationship Id="rId175" Type="http://schemas.openxmlformats.org/officeDocument/2006/relationships/hyperlink" Target="https://www.6laws.net/6law/law\&#33274;&#28771;&#22320;&#21312;&#33287;&#22823;&#38520;&#22320;&#21312;&#20154;&#27665;&#38364;&#20418;&#26781;&#20363;.htm" TargetMode="External"/><Relationship Id="rId1801" Type="http://schemas.openxmlformats.org/officeDocument/2006/relationships/hyperlink" Target="https://www.6laws.net/6law/law2\&#19990;&#30028;&#20154;&#27402;&#23459;&#35328;.htm" TargetMode="External"/><Relationship Id="rId382" Type="http://schemas.openxmlformats.org/officeDocument/2006/relationships/hyperlink" Target="https://www.6laws.net/6law/law\&#25010;&#27861;.htm" TargetMode="External"/><Relationship Id="rId687" Type="http://schemas.openxmlformats.org/officeDocument/2006/relationships/hyperlink" Target="https://www.6laws.net/6law/law\&#20013;&#33775;&#27665;&#22283;&#25010;&#27861;&#22686;&#20462;&#26781;&#25991;.htm" TargetMode="External"/><Relationship Id="rId2063" Type="http://schemas.openxmlformats.org/officeDocument/2006/relationships/hyperlink" Target="https://www.6laws.net/6law/law2\&#20844;&#27665;&#33287;&#25919;&#27835;&#27402;&#21033;&#22283;&#38555;&#20844;&#32004;.htm" TargetMode="External"/><Relationship Id="rId2270" Type="http://schemas.openxmlformats.org/officeDocument/2006/relationships/hyperlink" Target="https://www.6laws.net/6law/law-gb\&#21453;&#20998;&#35010;&#22283;&#23478;&#27861;.htm" TargetMode="External"/><Relationship Id="rId2368" Type="http://schemas.openxmlformats.org/officeDocument/2006/relationships/hyperlink" Target="https://www.6laws.net/6law/law\&#25010;&#27861;.htm" TargetMode="External"/><Relationship Id="rId242" Type="http://schemas.openxmlformats.org/officeDocument/2006/relationships/hyperlink" Target="https://www.6laws.net/6law/law\&#25010;&#27861;.htm" TargetMode="External"/><Relationship Id="rId894" Type="http://schemas.openxmlformats.org/officeDocument/2006/relationships/hyperlink" Target="https://www.6laws.net/6law/law\&#25010;&#27861;.htm" TargetMode="External"/><Relationship Id="rId1177" Type="http://schemas.openxmlformats.org/officeDocument/2006/relationships/hyperlink" Target="https://www.6laws.net/6law/law\&#22320;&#26041;&#21046;&#24230;&#27861;.htm" TargetMode="External"/><Relationship Id="rId2130" Type="http://schemas.openxmlformats.org/officeDocument/2006/relationships/hyperlink" Target="https://www.6laws.net/6law/law2\&#20844;&#27665;&#33287;&#25919;&#27835;&#27402;&#21033;&#22283;&#38555;&#20844;&#32004;.htm" TargetMode="External"/><Relationship Id="rId2575" Type="http://schemas.openxmlformats.org/officeDocument/2006/relationships/hyperlink" Target="https://www.6laws.net/6law/law\&#25010;&#27861;.htm" TargetMode="External"/><Relationship Id="rId2782" Type="http://schemas.openxmlformats.org/officeDocument/2006/relationships/hyperlink" Target="https://www.6laws.net/6law/law2\&#28040;&#38500;&#23565;&#23142;&#22899;&#19968;&#20999;&#24418;&#24335;&#27495;&#35222;&#20844;&#32004;.htm" TargetMode="External"/><Relationship Id="rId102" Type="http://schemas.openxmlformats.org/officeDocument/2006/relationships/hyperlink" Target="https://www.6laws.net/6law/law2\&#20844;&#27665;&#33287;&#25919;&#27835;&#27402;&#21033;&#22283;&#38555;&#20844;&#32004;.htm" TargetMode="External"/><Relationship Id="rId547" Type="http://schemas.openxmlformats.org/officeDocument/2006/relationships/hyperlink" Target="https://www.6laws.net/6law/law\&#20013;&#33775;&#27665;&#22283;&#25010;&#27861;&#22686;&#20462;&#26781;&#25991;.htm" TargetMode="External"/><Relationship Id="rId754" Type="http://schemas.openxmlformats.org/officeDocument/2006/relationships/hyperlink" Target="https://www.6laws.net/6law/law\&#22823;&#27861;&#23448;&#35299;&#37323;87-91&#24180;.htm" TargetMode="External"/><Relationship Id="rId961" Type="http://schemas.openxmlformats.org/officeDocument/2006/relationships/hyperlink" Target="https://www.6laws.net/6law/law\&#30435;&#23519;&#27861;.htm" TargetMode="External"/><Relationship Id="rId1384" Type="http://schemas.openxmlformats.org/officeDocument/2006/relationships/hyperlink" Target="https://www.6laws.net/6law/law\&#25010;&#27861;.htm" TargetMode="External"/><Relationship Id="rId1591" Type="http://schemas.openxmlformats.org/officeDocument/2006/relationships/hyperlink" Target="https://www.6laws.net/6law/law\&#39321;&#28207;&#28595;&#38272;&#38364;&#20418;&#26781;&#20363;.htm" TargetMode="External"/><Relationship Id="rId1689" Type="http://schemas.openxmlformats.org/officeDocument/2006/relationships/hyperlink" Target="https://www.6laws.net/6law/law\&#27602;&#21697;&#21361;&#23475;&#38450;&#21046;&#26781;&#20363;.htm" TargetMode="External"/><Relationship Id="rId2228" Type="http://schemas.openxmlformats.org/officeDocument/2006/relationships/hyperlink" Target="https://www.6laws.net/6law/law\&#21009;&#27861;.htm" TargetMode="External"/><Relationship Id="rId2435" Type="http://schemas.openxmlformats.org/officeDocument/2006/relationships/hyperlink" Target="https://www.6laws.net/6law/law2\&#20844;&#27665;&#33287;&#25919;&#27835;&#27402;&#21033;&#22283;&#38555;&#20844;&#32004;.htm" TargetMode="External"/><Relationship Id="rId2642" Type="http://schemas.openxmlformats.org/officeDocument/2006/relationships/hyperlink" Target="https://www.6laws.net/6law/law3\&#20778;&#29983;&#20445;&#20581;&#27861;&#26045;&#34892;&#32048;&#21063;.htm" TargetMode="External"/><Relationship Id="rId90" Type="http://schemas.openxmlformats.org/officeDocument/2006/relationships/hyperlink" Target="https://www.6laws.net/6law/law2\&#20844;&#27665;&#33287;&#25919;&#27835;&#27402;&#21033;&#22283;&#38555;&#20844;&#32004;.htm" TargetMode="External"/><Relationship Id="rId407" Type="http://schemas.openxmlformats.org/officeDocument/2006/relationships/hyperlink" Target="https://www.6laws.net/6law/law\&#34892;&#25919;&#31243;&#24207;&#27861;.htm" TargetMode="External"/><Relationship Id="rId614" Type="http://schemas.openxmlformats.org/officeDocument/2006/relationships/hyperlink" Target="https://www.6laws.net/6law/law\&#34892;&#25919;&#38498;&#32068;&#32340;&#27861;.htm" TargetMode="External"/><Relationship Id="rId821" Type="http://schemas.openxmlformats.org/officeDocument/2006/relationships/hyperlink" Target="https://www.6laws.net/6law/law\&#21496;&#27861;&#38498;&#32068;&#32340;&#27861;.htm" TargetMode="External"/><Relationship Id="rId1037" Type="http://schemas.openxmlformats.org/officeDocument/2006/relationships/hyperlink" Target="https://www.6laws.net/6law/law\&#25010;&#27861;.htm" TargetMode="External"/><Relationship Id="rId1244" Type="http://schemas.openxmlformats.org/officeDocument/2006/relationships/hyperlink" Target="https://www.6laws.net/6law/law\&#25010;&#27861;.htm" TargetMode="External"/><Relationship Id="rId1451" Type="http://schemas.openxmlformats.org/officeDocument/2006/relationships/hyperlink" Target="https://www.6laws.net/6law/law\&#20013;&#33775;&#27665;&#22283;&#25010;&#27861;&#22686;&#20462;&#26781;&#25991;.htm" TargetMode="External"/><Relationship Id="rId1896" Type="http://schemas.openxmlformats.org/officeDocument/2006/relationships/hyperlink" Target="https://www.6laws.net/6law/law2\&#20445;&#35703;&#25152;&#26377;&#31227;&#24473;&#24037;&#20154;&#21450;&#20854;&#23478;&#24237;&#25104;&#21729;&#27402;&#21033;&#22283;&#38555;&#20844;&#32004;.htm" TargetMode="External"/><Relationship Id="rId2502" Type="http://schemas.openxmlformats.org/officeDocument/2006/relationships/hyperlink" Target="https://www.6laws.net/6law/law\&#22823;&#27861;&#23448;&#35299;&#37323;79-86&#24180;.htm" TargetMode="External"/><Relationship Id="rId919" Type="http://schemas.openxmlformats.org/officeDocument/2006/relationships/hyperlink" Target="https://www.6laws.net/6law/law\&#25010;&#27861;.htm" TargetMode="External"/><Relationship Id="rId1104" Type="http://schemas.openxmlformats.org/officeDocument/2006/relationships/hyperlink" Target="https://www.6laws.net/6law/law\&#22320;&#26041;&#21046;&#24230;&#27861;.htm" TargetMode="External"/><Relationship Id="rId1311" Type="http://schemas.openxmlformats.org/officeDocument/2006/relationships/hyperlink" Target="https://www.6laws.net/6law/law\&#33775;&#20689;&#22238;&#22283;&#25237;&#36039;&#26781;&#20363;.htm" TargetMode="External"/><Relationship Id="rId1549" Type="http://schemas.openxmlformats.org/officeDocument/2006/relationships/hyperlink" Target="https://www.6laws.net/6law/law\&#25010;&#27861;.htm" TargetMode="External"/><Relationship Id="rId1756" Type="http://schemas.openxmlformats.org/officeDocument/2006/relationships/hyperlink" Target="https://www.6laws.net/6law/law\&#21214;&#21205;&#22522;&#28310;&#27861;.htm" TargetMode="External"/><Relationship Id="rId1963" Type="http://schemas.openxmlformats.org/officeDocument/2006/relationships/hyperlink" Target="https://www.6laws.net/6law/law\&#20837;&#20986;&#22283;&#21450;&#31227;&#27665;&#27861;.htm" TargetMode="External"/><Relationship Id="rId2807" Type="http://schemas.openxmlformats.org/officeDocument/2006/relationships/hyperlink" Target="http://www.sangiin.go.jp/japanese/kids/html/shikumi/index.html" TargetMode="External"/><Relationship Id="rId48" Type="http://schemas.openxmlformats.org/officeDocument/2006/relationships/hyperlink" Target="https://www.6laws.net/6law/law\&#25010;&#27861;.htm" TargetMode="External"/><Relationship Id="rId1409" Type="http://schemas.openxmlformats.org/officeDocument/2006/relationships/hyperlink" Target="https://www.6laws.net/6law/law\&#25010;&#27861;.htm" TargetMode="External"/><Relationship Id="rId1616" Type="http://schemas.openxmlformats.org/officeDocument/2006/relationships/hyperlink" Target="https://www.6laws.net/6law/law\&#25010;&#27861;.htm" TargetMode="External"/><Relationship Id="rId1823" Type="http://schemas.openxmlformats.org/officeDocument/2006/relationships/hyperlink" Target="https://www.6laws.net/6law/law2\&#20844;&#27665;&#33287;&#25919;&#27835;&#27402;&#21033;&#22283;&#38555;&#20844;&#32004;.htm" TargetMode="External"/><Relationship Id="rId197" Type="http://schemas.openxmlformats.org/officeDocument/2006/relationships/hyperlink" Target="https://www.6laws.net/6law/law\&#38520;&#28023;&#31354;&#36557;&#21009;&#27861;.htm" TargetMode="External"/><Relationship Id="rId2085" Type="http://schemas.openxmlformats.org/officeDocument/2006/relationships/hyperlink" Target="https://www.6laws.net/6law/law2\&#20844;&#27665;&#33287;&#25919;&#27835;&#27402;&#21033;&#22283;&#38555;&#20844;&#32004;.htm" TargetMode="External"/><Relationship Id="rId2292" Type="http://schemas.openxmlformats.org/officeDocument/2006/relationships/hyperlink" Target="https://www.6laws.net/6law/law-gb\&#21453;&#20998;&#35010;&#22283;&#23478;&#27861;.htm" TargetMode="External"/><Relationship Id="rId264" Type="http://schemas.openxmlformats.org/officeDocument/2006/relationships/hyperlink" Target="https://www.6laws.net/6law/law\&#25010;&#27861;.htm" TargetMode="External"/><Relationship Id="rId471" Type="http://schemas.openxmlformats.org/officeDocument/2006/relationships/hyperlink" Target="https://www.6laws.net/6law/law\&#25010;&#27861;.htm" TargetMode="External"/><Relationship Id="rId2152" Type="http://schemas.openxmlformats.org/officeDocument/2006/relationships/hyperlink" Target="https://www.6laws.net/6law/law\&#25010;&#27861;.htm" TargetMode="External"/><Relationship Id="rId2597" Type="http://schemas.openxmlformats.org/officeDocument/2006/relationships/hyperlink" Target="https://www.6laws.net/6law/law\&#25010;&#27861;.htm" TargetMode="External"/><Relationship Id="rId124" Type="http://schemas.openxmlformats.org/officeDocument/2006/relationships/hyperlink" Target="https://www.6laws.net/6law/law\&#22823;&#27861;&#23448;&#35299;&#37323;92-n&#24180;.htm" TargetMode="External"/><Relationship Id="rId569" Type="http://schemas.openxmlformats.org/officeDocument/2006/relationships/hyperlink" Target="https://www.6laws.net/6law/law\&#25010;&#27861;.htm" TargetMode="External"/><Relationship Id="rId776" Type="http://schemas.openxmlformats.org/officeDocument/2006/relationships/hyperlink" Target="https://www.6laws.net/6law/law\&#25010;&#27861;.htm" TargetMode="External"/><Relationship Id="rId983" Type="http://schemas.openxmlformats.org/officeDocument/2006/relationships/hyperlink" Target="https://www.6laws.net/6law/law\&#22823;&#27861;&#23448;&#35299;&#37323;38-60&#24180;.htm" TargetMode="External"/><Relationship Id="rId1199" Type="http://schemas.openxmlformats.org/officeDocument/2006/relationships/hyperlink" Target="https://www.6laws.net/6law/law\&#20013;&#33775;&#27665;&#22283;&#25010;&#27861;&#22686;&#20462;&#26781;&#25991;.htm" TargetMode="External"/><Relationship Id="rId2457" Type="http://schemas.openxmlformats.org/officeDocument/2006/relationships/hyperlink" Target="https://www.6laws.net/6law/law2\&#19990;&#30028;&#20154;&#27402;&#23459;&#35328;.htm" TargetMode="External"/><Relationship Id="rId2664" Type="http://schemas.openxmlformats.org/officeDocument/2006/relationships/hyperlink" Target="https://www.6laws.net/6law/law\&#20778;&#29983;&#20445;&#20581;&#27861;.htm" TargetMode="External"/><Relationship Id="rId331" Type="http://schemas.openxmlformats.org/officeDocument/2006/relationships/hyperlink" Target="https://www.6laws.net/6law/law\&#25010;&#27861;.htm" TargetMode="External"/><Relationship Id="rId429" Type="http://schemas.openxmlformats.org/officeDocument/2006/relationships/hyperlink" Target="https://www.6laws.net/6law/law\&#25010;&#27861;.htm" TargetMode="External"/><Relationship Id="rId636" Type="http://schemas.openxmlformats.org/officeDocument/2006/relationships/hyperlink" Target="https://www.6laws.net/6law/law\&#25010;&#27861;.htm" TargetMode="External"/><Relationship Id="rId1059" Type="http://schemas.openxmlformats.org/officeDocument/2006/relationships/hyperlink" Target="https://www.6laws.net/6law/law\&#22823;&#27861;&#23448;&#35299;&#37323;87-91&#24180;.htm" TargetMode="External"/><Relationship Id="rId1266" Type="http://schemas.openxmlformats.org/officeDocument/2006/relationships/hyperlink" Target="https://www.6laws.net/6law/law\&#30772;&#29986;&#27861;.htm" TargetMode="External"/><Relationship Id="rId1473" Type="http://schemas.openxmlformats.org/officeDocument/2006/relationships/hyperlink" Target="https://www.6laws.net/6law/law\&#25010;&#27861;.htm" TargetMode="External"/><Relationship Id="rId2012" Type="http://schemas.openxmlformats.org/officeDocument/2006/relationships/hyperlink" Target="https://www.6laws.net/6law/law\&#25010;&#27861;.htm" TargetMode="External"/><Relationship Id="rId2317" Type="http://schemas.openxmlformats.org/officeDocument/2006/relationships/hyperlink" Target="https://www.6laws.net/6law/law-gb\&#21453;&#20998;&#35010;&#22283;&#23478;&#27861;.htm" TargetMode="External"/><Relationship Id="rId2871" Type="http://schemas.openxmlformats.org/officeDocument/2006/relationships/hyperlink" Target="http://www.bbc.com/zhongwen/trad/world/2012/12/121206_us_census_immigration" TargetMode="External"/><Relationship Id="rId843" Type="http://schemas.openxmlformats.org/officeDocument/2006/relationships/hyperlink" Target="https://www.6laws.net/6law/law\&#25010;&#27861;.htm" TargetMode="External"/><Relationship Id="rId1126" Type="http://schemas.openxmlformats.org/officeDocument/2006/relationships/hyperlink" Target="https://www.6laws.net/6law/law\&#25010;&#27861;.htm" TargetMode="External"/><Relationship Id="rId1680" Type="http://schemas.openxmlformats.org/officeDocument/2006/relationships/hyperlink" Target="https://www.6laws.net/6law/law\&#27602;&#21697;&#21361;&#23475;&#38450;&#21046;&#26781;&#20363;.htm" TargetMode="External"/><Relationship Id="rId1778" Type="http://schemas.openxmlformats.org/officeDocument/2006/relationships/hyperlink" Target="https://www.6laws.net/6law/law\&#27665;&#27861;.htm" TargetMode="External"/><Relationship Id="rId1985" Type="http://schemas.openxmlformats.org/officeDocument/2006/relationships/hyperlink" Target="https://www.6laws.net/6law/law2\&#20844;&#27665;&#33287;&#25919;&#27835;&#27402;&#21033;&#22283;&#38555;&#20844;&#32004;.htm" TargetMode="External"/><Relationship Id="rId2524" Type="http://schemas.openxmlformats.org/officeDocument/2006/relationships/hyperlink" Target="https://www.6laws.net/6law/law\&#22823;&#27861;&#23448;&#35299;&#37323;79-86&#24180;.htm" TargetMode="External"/><Relationship Id="rId2731" Type="http://schemas.openxmlformats.org/officeDocument/2006/relationships/hyperlink" Target="https://www.6laws.net/6law/law2\&#28040;&#38500;&#23565;&#23142;&#22899;&#19968;&#20999;&#24418;&#24335;&#27495;&#35222;&#20844;&#32004;.htm" TargetMode="External"/><Relationship Id="rId2829" Type="http://schemas.openxmlformats.org/officeDocument/2006/relationships/hyperlink" Target="https://www.6laws.net/6law/law\&#36001;&#25919;&#25910;&#25903;&#21123;&#20998;&#27861;.htm" TargetMode="External"/><Relationship Id="rId703" Type="http://schemas.openxmlformats.org/officeDocument/2006/relationships/hyperlink" Target="https://www.6laws.net/6law/law\&#20013;&#33775;&#27665;&#22283;&#25010;&#27861;&#22686;&#20462;&#26781;&#25991;.htm" TargetMode="External"/><Relationship Id="rId910" Type="http://schemas.openxmlformats.org/officeDocument/2006/relationships/hyperlink" Target="https://www.6laws.net/6law/law\&#25010;&#27861;.htm" TargetMode="External"/><Relationship Id="rId1333" Type="http://schemas.openxmlformats.org/officeDocument/2006/relationships/hyperlink" Target="https://www.6laws.net/6law/law\&#21214;&#24037;&#23433;&#20840;&#34907;&#29983;&#27861;.htm" TargetMode="External"/><Relationship Id="rId1540" Type="http://schemas.openxmlformats.org/officeDocument/2006/relationships/hyperlink" Target="https://www.6laws.net/6law/law\&#25010;&#27861;.htm" TargetMode="External"/><Relationship Id="rId1638" Type="http://schemas.openxmlformats.org/officeDocument/2006/relationships/hyperlink" Target="https://www.6laws.net/6law/law2\&#32147;&#28639;&#31038;&#26371;&#25991;&#21270;&#27402;&#21033;&#22283;&#38555;&#20844;&#32004;.htm" TargetMode="External"/><Relationship Id="rId1400" Type="http://schemas.openxmlformats.org/officeDocument/2006/relationships/hyperlink" Target="https://www.6laws.net/6law/law\&#25010;&#27861;.htm" TargetMode="External"/><Relationship Id="rId1845" Type="http://schemas.openxmlformats.org/officeDocument/2006/relationships/hyperlink" Target="https://www.6laws.net/6law/law2\&#20445;&#35703;&#25152;&#26377;&#31227;&#24473;&#24037;&#20154;&#21450;&#20854;&#23478;&#24237;&#25104;&#21729;&#27402;&#21033;&#22283;&#38555;&#20844;&#32004;.htm" TargetMode="External"/><Relationship Id="rId1705" Type="http://schemas.openxmlformats.org/officeDocument/2006/relationships/hyperlink" Target="https://www.6laws.net/6law/law\&#27602;&#21697;&#21361;&#23475;&#38450;&#21046;&#26781;&#20363;.htm" TargetMode="External"/><Relationship Id="rId1912" Type="http://schemas.openxmlformats.org/officeDocument/2006/relationships/hyperlink" Target="https://www.6laws.net/6law/law2\&#26377;&#38364;&#38627;&#27665;&#22320;&#20301;&#20844;&#32004;.htm" TargetMode="External"/><Relationship Id="rId286" Type="http://schemas.openxmlformats.org/officeDocument/2006/relationships/hyperlink" Target="https://www.6laws.net/6law/law\&#25010;&#27861;.htm" TargetMode="External"/><Relationship Id="rId493" Type="http://schemas.openxmlformats.org/officeDocument/2006/relationships/hyperlink" Target="https://www.6laws.net/6law/law\&#25010;&#27861;.htm" TargetMode="External"/><Relationship Id="rId2174" Type="http://schemas.openxmlformats.org/officeDocument/2006/relationships/hyperlink" Target="https://www.6laws.net/6law/law\&#25010;&#27861;.htm" TargetMode="External"/><Relationship Id="rId2381" Type="http://schemas.openxmlformats.org/officeDocument/2006/relationships/image" Target="media/image33.png"/><Relationship Id="rId146" Type="http://schemas.openxmlformats.org/officeDocument/2006/relationships/hyperlink" Target="https://www.6laws.net/6law/law\&#25010;&#27861;.htm" TargetMode="External"/><Relationship Id="rId353" Type="http://schemas.openxmlformats.org/officeDocument/2006/relationships/hyperlink" Target="https://www.6laws.net/6law/law\&#25010;&#27861;.htm" TargetMode="External"/><Relationship Id="rId560" Type="http://schemas.openxmlformats.org/officeDocument/2006/relationships/hyperlink" Target="https://www.6laws.net/6law/law\&#25010;&#27861;.htm" TargetMode="External"/><Relationship Id="rId798" Type="http://schemas.openxmlformats.org/officeDocument/2006/relationships/hyperlink" Target="https://www.6laws.net/6law/law\&#20013;&#33775;&#27665;&#22283;&#25010;&#27861;&#22686;&#20462;&#26781;&#25991;.htm" TargetMode="External"/><Relationship Id="rId1190" Type="http://schemas.openxmlformats.org/officeDocument/2006/relationships/hyperlink" Target="https://www.6laws.net/6law/law\&#22320;&#26041;&#21046;&#24230;&#27861;.htm" TargetMode="External"/><Relationship Id="rId2034" Type="http://schemas.openxmlformats.org/officeDocument/2006/relationships/hyperlink" Target="https://www.6laws.net/6law/law2\&#20844;&#27665;&#33287;&#25919;&#27835;&#27402;&#21033;&#22283;&#38555;&#20844;&#32004;.htm" TargetMode="External"/><Relationship Id="rId2241" Type="http://schemas.openxmlformats.org/officeDocument/2006/relationships/hyperlink" Target="https://www.6laws.net/6law/law\&#20154;&#21475;&#36009;&#36939;&#38450;&#21046;&#27861;.htm" TargetMode="External"/><Relationship Id="rId2479" Type="http://schemas.openxmlformats.org/officeDocument/2006/relationships/hyperlink" Target="https://www.6laws.net/6law/law2\&#20844;&#27665;&#33287;&#25919;&#27835;&#27402;&#21033;&#22283;&#38555;&#20844;&#32004;.htm" TargetMode="External"/><Relationship Id="rId2686" Type="http://schemas.openxmlformats.org/officeDocument/2006/relationships/hyperlink" Target="https://www.6laws.net/6law/law\&#20837;&#20986;&#22283;&#21450;&#31227;&#27665;&#27861;.htm" TargetMode="External"/><Relationship Id="rId2893" Type="http://schemas.openxmlformats.org/officeDocument/2006/relationships/hyperlink" Target="http://www.state.gov/" TargetMode="External"/><Relationship Id="rId213" Type="http://schemas.openxmlformats.org/officeDocument/2006/relationships/hyperlink" Target="https://www.6laws.net/6law/law\&#25010;&#27861;.htm" TargetMode="External"/><Relationship Id="rId420" Type="http://schemas.openxmlformats.org/officeDocument/2006/relationships/hyperlink" Target="https://www.6laws.net/6law/law\&#22823;&#27861;&#23448;&#35299;&#37323;92-n&#24180;.htm" TargetMode="External"/><Relationship Id="rId658" Type="http://schemas.openxmlformats.org/officeDocument/2006/relationships/hyperlink" Target="https://www.6laws.net/6law/law\&#34892;&#25919;&#38498;&#32068;&#32340;&#27861;.htm" TargetMode="External"/><Relationship Id="rId865" Type="http://schemas.openxmlformats.org/officeDocument/2006/relationships/hyperlink" Target="https://www.6laws.net/6law/law\&#25010;&#27861;.htm" TargetMode="External"/><Relationship Id="rId1050" Type="http://schemas.openxmlformats.org/officeDocument/2006/relationships/hyperlink" Target="https://www.6laws.net/6law/law\&#23529;&#35336;&#27861;.htm" TargetMode="External"/><Relationship Id="rId1288" Type="http://schemas.openxmlformats.org/officeDocument/2006/relationships/hyperlink" Target="https://www.6laws.net/6law/law\&#20419;&#36914;&#29986;&#26989;&#21319;&#32026;&#26781;&#20363;.htm" TargetMode="External"/><Relationship Id="rId1495" Type="http://schemas.openxmlformats.org/officeDocument/2006/relationships/hyperlink" Target="https://www.6laws.net/6law/law\&#20013;&#33775;&#27665;&#22283;&#25010;&#27861;&#22686;&#20462;&#26781;&#25991;.htm" TargetMode="External"/><Relationship Id="rId2101" Type="http://schemas.openxmlformats.org/officeDocument/2006/relationships/hyperlink" Target="https://www.6laws.net/6law/law2\&#20844;&#27665;&#33287;&#25919;&#27835;&#27402;&#21033;&#22283;&#38555;&#20844;&#32004;.htm" TargetMode="External"/><Relationship Id="rId2339" Type="http://schemas.openxmlformats.org/officeDocument/2006/relationships/hyperlink" Target="https://www.6laws.net/6law/law\&#25010;&#27861;.htm" TargetMode="External"/><Relationship Id="rId2546" Type="http://schemas.openxmlformats.org/officeDocument/2006/relationships/hyperlink" Target="https://www.6laws.net/6law/law2\&#32147;&#28639;&#31038;&#26371;&#25991;&#21270;&#27402;&#21033;&#22283;&#38555;&#20844;&#32004;.htm" TargetMode="External"/><Relationship Id="rId2753" Type="http://schemas.openxmlformats.org/officeDocument/2006/relationships/hyperlink" Target="https://www.6laws.net/6law/law2\&#20818;&#31461;&#27402;&#21033;&#20844;&#32004;.htm" TargetMode="External"/><Relationship Id="rId518" Type="http://schemas.openxmlformats.org/officeDocument/2006/relationships/hyperlink" Target="https://www.6laws.net/6law/law\&#25010;&#27861;.htm" TargetMode="External"/><Relationship Id="rId725" Type="http://schemas.openxmlformats.org/officeDocument/2006/relationships/hyperlink" Target="https://www.6laws.net/6law/law\&#25010;&#27861;.htm" TargetMode="External"/><Relationship Id="rId932" Type="http://schemas.openxmlformats.org/officeDocument/2006/relationships/hyperlink" Target="https://www.6laws.net/6law/law\&#20013;&#33775;&#27665;&#22283;&#25010;&#27861;&#22686;&#20462;&#26781;&#25991;.htm" TargetMode="External"/><Relationship Id="rId1148" Type="http://schemas.openxmlformats.org/officeDocument/2006/relationships/hyperlink" Target="https://www.6laws.net/6law/law\&#22320;&#26041;&#21046;&#24230;&#27861;.htm" TargetMode="External"/><Relationship Id="rId1355" Type="http://schemas.openxmlformats.org/officeDocument/2006/relationships/hyperlink" Target="https://www.6laws.net/6law/law\&#25010;&#27861;.htm" TargetMode="External"/><Relationship Id="rId1562" Type="http://schemas.openxmlformats.org/officeDocument/2006/relationships/hyperlink" Target="https://www.6laws.net/6law/law\&#25010;&#27861;.htm" TargetMode="External"/><Relationship Id="rId2406" Type="http://schemas.openxmlformats.org/officeDocument/2006/relationships/hyperlink" Target="https://www.6laws.net/6law/law\&#25010;&#27861;.htm" TargetMode="External"/><Relationship Id="rId2613" Type="http://schemas.openxmlformats.org/officeDocument/2006/relationships/hyperlink" Target="http://www.foyuan.net/article-861764-1.html" TargetMode="External"/><Relationship Id="rId1008" Type="http://schemas.openxmlformats.org/officeDocument/2006/relationships/hyperlink" Target="https://www.6laws.net/6law/law\&#20013;&#33775;&#27665;&#22283;&#25010;&#27861;&#22686;&#20462;&#26781;&#25991;.htm" TargetMode="External"/><Relationship Id="rId1215" Type="http://schemas.openxmlformats.org/officeDocument/2006/relationships/hyperlink" Target="https://www.6laws.net/6law/law\&#25010;&#27861;.htm" TargetMode="External"/><Relationship Id="rId1422" Type="http://schemas.openxmlformats.org/officeDocument/2006/relationships/hyperlink" Target="https://www.6laws.net/6law/law\&#25010;&#27861;.htm" TargetMode="External"/><Relationship Id="rId1867" Type="http://schemas.openxmlformats.org/officeDocument/2006/relationships/hyperlink" Target="https://www.6laws.net/6law/law2\&#19990;&#30028;&#20154;&#27402;&#23459;&#35328;.htm" TargetMode="External"/><Relationship Id="rId2820" Type="http://schemas.openxmlformats.org/officeDocument/2006/relationships/hyperlink" Target="https://www.6laws.net/6law/law\&#25010;&#27861;.htm" TargetMode="External"/><Relationship Id="rId2918" Type="http://schemas.openxmlformats.org/officeDocument/2006/relationships/hyperlink" Target="http://www.un.org/chinese/peace/disarmament/nuclear.htm" TargetMode="External"/><Relationship Id="rId61" Type="http://schemas.openxmlformats.org/officeDocument/2006/relationships/hyperlink" Target="https://www.6laws.net/6law/law\&#25010;&#27861;.htm" TargetMode="External"/><Relationship Id="rId1727" Type="http://schemas.openxmlformats.org/officeDocument/2006/relationships/hyperlink" Target="https://www.6laws.net/6law/law\&#21214;&#21205;&#22522;&#28310;&#27861;.htm" TargetMode="External"/><Relationship Id="rId1934" Type="http://schemas.openxmlformats.org/officeDocument/2006/relationships/hyperlink" Target="https://www.6laws.net/6law/law\&#20837;&#20986;&#22283;&#21450;&#31227;&#27665;&#27861;.htm" TargetMode="External"/><Relationship Id="rId19" Type="http://schemas.openxmlformats.org/officeDocument/2006/relationships/image" Target="media/image10.jpeg"/><Relationship Id="rId2196" Type="http://schemas.openxmlformats.org/officeDocument/2006/relationships/hyperlink" Target="https://www.6laws.net/6law/law2\&#20844;&#27665;&#33287;&#25919;&#27835;&#27402;&#21033;&#22283;&#38555;&#20844;&#32004;.htm" TargetMode="External"/><Relationship Id="rId168" Type="http://schemas.openxmlformats.org/officeDocument/2006/relationships/hyperlink" Target="https://www.6laws.net/6law/law\&#33274;&#28771;&#22320;&#21312;&#33287;&#22823;&#38520;&#22320;&#21312;&#20154;&#27665;&#38364;&#20418;&#26781;&#20363;.htm" TargetMode="External"/><Relationship Id="rId375" Type="http://schemas.openxmlformats.org/officeDocument/2006/relationships/hyperlink" Target="https://www.6laws.net/6law/law\&#27665;&#27861;.htm" TargetMode="External"/><Relationship Id="rId582" Type="http://schemas.openxmlformats.org/officeDocument/2006/relationships/hyperlink" Target="https://www.6laws.net/6law/law\&#25010;&#27861;.htm" TargetMode="External"/><Relationship Id="rId2056" Type="http://schemas.openxmlformats.org/officeDocument/2006/relationships/hyperlink" Target="https://www.6laws.net/6law/law2\&#20844;&#27665;&#33287;&#25919;&#27835;&#27402;&#21033;&#22283;&#38555;&#20844;&#32004;.htm" TargetMode="External"/><Relationship Id="rId2263" Type="http://schemas.openxmlformats.org/officeDocument/2006/relationships/hyperlink" Target="https://www.6laws.net/6law/law-gb\&#21453;&#20998;&#35010;&#22283;&#23478;&#27861;.htm" TargetMode="External"/><Relationship Id="rId2470" Type="http://schemas.openxmlformats.org/officeDocument/2006/relationships/hyperlink" Target="https://www.6laws.net/6law/law2\&#19990;&#30028;&#20154;&#27402;&#23459;&#35328;.htm" TargetMode="External"/><Relationship Id="rId3" Type="http://schemas.openxmlformats.org/officeDocument/2006/relationships/styles" Target="styles.xml"/><Relationship Id="rId235" Type="http://schemas.openxmlformats.org/officeDocument/2006/relationships/hyperlink" Target="https://www.6laws.net/6law/law\&#25010;&#27861;.htm" TargetMode="External"/><Relationship Id="rId442" Type="http://schemas.openxmlformats.org/officeDocument/2006/relationships/hyperlink" Target="https://www.6laws.net/6law/law\&#25010;&#27861;.htm" TargetMode="External"/><Relationship Id="rId887" Type="http://schemas.openxmlformats.org/officeDocument/2006/relationships/hyperlink" Target="https://www.6laws.net/6law/law\&#25010;&#27861;.htm" TargetMode="External"/><Relationship Id="rId1072" Type="http://schemas.openxmlformats.org/officeDocument/2006/relationships/hyperlink" Target="https://www.6laws.net/6law/law\&#25010;&#27861;.htm" TargetMode="External"/><Relationship Id="rId2123" Type="http://schemas.openxmlformats.org/officeDocument/2006/relationships/hyperlink" Target="https://www.6laws.net/6law/law2\&#20844;&#27665;&#33287;&#25919;&#27835;&#27402;&#21033;&#22283;&#38555;&#20844;&#32004;.htm" TargetMode="External"/><Relationship Id="rId2330" Type="http://schemas.openxmlformats.org/officeDocument/2006/relationships/hyperlink" Target="https://www.6laws.net/6law/law-gb\&#21453;&#20998;&#35010;&#22283;&#23478;&#27861;.htm" TargetMode="External"/><Relationship Id="rId2568" Type="http://schemas.openxmlformats.org/officeDocument/2006/relationships/hyperlink" Target="https://www.6laws.net/6law/law2\&#20844;&#27665;&#33287;&#25919;&#27835;&#27402;&#21033;&#22283;&#38555;&#20844;&#32004;.htm" TargetMode="External"/><Relationship Id="rId2775" Type="http://schemas.openxmlformats.org/officeDocument/2006/relationships/hyperlink" Target="https://www.6laws.net/6law/law2\&#20818;&#31461;&#27402;&#21033;&#20844;&#32004;.htm" TargetMode="External"/><Relationship Id="rId302" Type="http://schemas.openxmlformats.org/officeDocument/2006/relationships/hyperlink" Target="https://www.6laws.net/6law/law\&#21496;&#27861;&#38498;&#35299;&#37323;-&#38498;&#23383;2.htm" TargetMode="External"/><Relationship Id="rId747" Type="http://schemas.openxmlformats.org/officeDocument/2006/relationships/hyperlink" Target="https://www.6laws.net/6law/law\&#22823;&#27861;&#23448;&#35299;&#37323;87-91&#24180;.htm" TargetMode="External"/><Relationship Id="rId954" Type="http://schemas.openxmlformats.org/officeDocument/2006/relationships/hyperlink" Target="https://www.6laws.net/6law/law\&#30435;&#23519;&#27861;.htm" TargetMode="External"/><Relationship Id="rId1377" Type="http://schemas.openxmlformats.org/officeDocument/2006/relationships/hyperlink" Target="https://www.6laws.net/6law/law\&#25010;&#27861;.htm" TargetMode="External"/><Relationship Id="rId1584" Type="http://schemas.openxmlformats.org/officeDocument/2006/relationships/hyperlink" Target="https://www.6laws.net/6law/law\&#20013;&#33775;&#27665;&#22283;&#25010;&#27861;&#22686;&#20462;&#26781;&#25991;.htm" TargetMode="External"/><Relationship Id="rId1791" Type="http://schemas.openxmlformats.org/officeDocument/2006/relationships/hyperlink" Target="https://www.6laws.net/6law/law\&#28040;&#36027;&#32773;&#20445;&#35703;&#27861;.htm" TargetMode="External"/><Relationship Id="rId2428" Type="http://schemas.openxmlformats.org/officeDocument/2006/relationships/hyperlink" Target="https://www.6laws.net/6law/law2\&#19990;&#30028;&#20154;&#27402;&#23459;&#35328;.htm" TargetMode="External"/><Relationship Id="rId2635" Type="http://schemas.openxmlformats.org/officeDocument/2006/relationships/hyperlink" Target="http://slides.discovery.tom.com/vw/345806-1.html" TargetMode="External"/><Relationship Id="rId2842" Type="http://schemas.openxmlformats.org/officeDocument/2006/relationships/hyperlink" Target="http://en.wikipedia.org/wiki/Sniper" TargetMode="External"/><Relationship Id="rId83" Type="http://schemas.openxmlformats.org/officeDocument/2006/relationships/hyperlink" Target="https://www.6laws.net/6law/law2\&#20844;&#27665;&#33287;&#25919;&#27835;&#27402;&#21033;&#22283;&#38555;&#20844;&#32004;.htm" TargetMode="External"/><Relationship Id="rId607" Type="http://schemas.openxmlformats.org/officeDocument/2006/relationships/hyperlink" Target="https://www.6laws.net/6law/law\&#25010;&#27861;.htm" TargetMode="External"/><Relationship Id="rId814" Type="http://schemas.openxmlformats.org/officeDocument/2006/relationships/hyperlink" Target="https://www.6laws.net/6law/law\&#25010;&#27861;.htm" TargetMode="External"/><Relationship Id="rId1237" Type="http://schemas.openxmlformats.org/officeDocument/2006/relationships/hyperlink" Target="https://www.6laws.net/6law/law\&#25010;&#27861;.htm" TargetMode="External"/><Relationship Id="rId1444" Type="http://schemas.openxmlformats.org/officeDocument/2006/relationships/hyperlink" Target="https://www.6laws.net/6law/law\&#20013;&#33775;&#27665;&#22283;&#25010;&#27861;&#22686;&#20462;&#26781;&#25991;.htm" TargetMode="External"/><Relationship Id="rId1651" Type="http://schemas.openxmlformats.org/officeDocument/2006/relationships/hyperlink" Target="https://www.6laws.net/6law/law\&#25121;&#20098;&#26178;&#26399;&#32901;&#28165;&#29017;&#27602;&#26781;&#20363;.htm" TargetMode="External"/><Relationship Id="rId1889" Type="http://schemas.openxmlformats.org/officeDocument/2006/relationships/hyperlink" Target="https://www.6laws.net/6law/law2\&#19990;&#30028;&#20154;&#27402;&#23459;&#35328;.htm" TargetMode="External"/><Relationship Id="rId2702" Type="http://schemas.openxmlformats.org/officeDocument/2006/relationships/hyperlink" Target="https://www.6laws.net/6law/law\&#25010;&#27861;.htm" TargetMode="External"/><Relationship Id="rId1304" Type="http://schemas.openxmlformats.org/officeDocument/2006/relationships/hyperlink" Target="https://www.6laws.net/6law/law\&#29518;&#21237;&#25237;&#36039;&#26781;&#20363;.htm" TargetMode="External"/><Relationship Id="rId1511" Type="http://schemas.openxmlformats.org/officeDocument/2006/relationships/hyperlink" Target="https://www.6laws.net/6law/law\&#20013;&#33775;&#27665;&#22283;&#25010;&#27861;&#22686;&#20462;&#26781;&#25991;.htm" TargetMode="External"/><Relationship Id="rId1749" Type="http://schemas.openxmlformats.org/officeDocument/2006/relationships/hyperlink" Target="https://www.6laws.net/6law/law\&#21214;&#21205;&#22522;&#28310;&#27861;.htm" TargetMode="External"/><Relationship Id="rId1956" Type="http://schemas.openxmlformats.org/officeDocument/2006/relationships/hyperlink" Target="https://www.6laws.net/6law/law\&#20837;&#20986;&#22283;&#21450;&#31227;&#27665;&#27861;.htm" TargetMode="External"/><Relationship Id="rId1609" Type="http://schemas.openxmlformats.org/officeDocument/2006/relationships/hyperlink" Target="https://www.6laws.net/6law/law\&#25010;&#27861;.htm" TargetMode="External"/><Relationship Id="rId1816" Type="http://schemas.openxmlformats.org/officeDocument/2006/relationships/hyperlink" Target="https://www.6laws.net/6law/law2\&#19990;&#30028;&#20154;&#27402;&#23459;&#35328;.htm" TargetMode="External"/><Relationship Id="rId10" Type="http://schemas.openxmlformats.org/officeDocument/2006/relationships/hyperlink" Target="https://www.6laws.net/6law/law\&#21009;&#27861;.htm" TargetMode="External"/><Relationship Id="rId397" Type="http://schemas.openxmlformats.org/officeDocument/2006/relationships/hyperlink" Target="https://www.6laws.net/6law/law\&#25010;&#27861;.htm" TargetMode="External"/><Relationship Id="rId2078" Type="http://schemas.openxmlformats.org/officeDocument/2006/relationships/hyperlink" Target="https://www.6laws.net/6law/law2\&#20844;&#27665;&#33287;&#25919;&#27835;&#27402;&#21033;&#22283;&#38555;&#20844;&#32004;.htm" TargetMode="External"/><Relationship Id="rId2285" Type="http://schemas.openxmlformats.org/officeDocument/2006/relationships/hyperlink" Target="https://www.6laws.net/6law/law-gb\&#21453;&#20998;&#35010;&#22283;&#23478;&#27861;.htm" TargetMode="External"/><Relationship Id="rId2492" Type="http://schemas.openxmlformats.org/officeDocument/2006/relationships/hyperlink" Target="https://www.6laws.net/6law/law2\&#20844;&#27665;&#33287;&#25919;&#27835;&#27402;&#21033;&#22283;&#38555;&#20844;&#32004;.htm" TargetMode="External"/><Relationship Id="rId257" Type="http://schemas.openxmlformats.org/officeDocument/2006/relationships/hyperlink" Target="https://www.6laws.net/6law/law\&#25010;&#27861;.htm" TargetMode="External"/><Relationship Id="rId464" Type="http://schemas.openxmlformats.org/officeDocument/2006/relationships/hyperlink" Target="https://www.6laws.net/6law/law\&#20013;&#33775;&#27665;&#22283;&#25010;&#27861;&#22686;&#20462;&#26781;&#25991;.htm" TargetMode="External"/><Relationship Id="rId1094" Type="http://schemas.openxmlformats.org/officeDocument/2006/relationships/hyperlink" Target="https://www.6laws.net/6law/law\&#21496;&#27861;&#38498;&#22823;&#27861;&#23448;&#23529;&#29702;&#26696;&#20214;&#27861;.htm" TargetMode="External"/><Relationship Id="rId2145" Type="http://schemas.openxmlformats.org/officeDocument/2006/relationships/hyperlink" Target="https://www.6laws.net/6law/law2\&#28040;&#38500;&#23565;&#23142;&#22899;&#19968;&#20999;&#24418;&#24335;&#27495;&#35222;&#20844;&#32004;.htm" TargetMode="External"/><Relationship Id="rId2797" Type="http://schemas.openxmlformats.org/officeDocument/2006/relationships/hyperlink" Target="https://zh.wikipedia.org/wiki/%E6%94%BF%E6%B2%BB%E5%8D%8F%E5%95%86%E4%BC%9A%E8%AE%AE%E5%AE%AA%E6%B3%95%E8%8D%89%E6%A1%88" TargetMode="External"/><Relationship Id="rId117" Type="http://schemas.openxmlformats.org/officeDocument/2006/relationships/hyperlink" Target="https://www.6laws.net/6law/law\&#22823;&#27861;&#23448;&#35299;&#37323;92-n&#24180;.htm" TargetMode="External"/><Relationship Id="rId671" Type="http://schemas.openxmlformats.org/officeDocument/2006/relationships/hyperlink" Target="https://www.6laws.net/6law/law\&#25010;&#27861;.htm" TargetMode="External"/><Relationship Id="rId769" Type="http://schemas.openxmlformats.org/officeDocument/2006/relationships/hyperlink" Target="https://www.6laws.net/6law/law\&#22823;&#27861;&#23448;&#35299;&#37323;79-86&#24180;.htm" TargetMode="External"/><Relationship Id="rId976" Type="http://schemas.openxmlformats.org/officeDocument/2006/relationships/hyperlink" Target="https://www.6laws.net/6law/law\&#25010;&#27861;.htm" TargetMode="External"/><Relationship Id="rId1399" Type="http://schemas.openxmlformats.org/officeDocument/2006/relationships/hyperlink" Target="https://www.6laws.net/6law/law\&#25010;&#27861;.htm" TargetMode="External"/><Relationship Id="rId2352" Type="http://schemas.openxmlformats.org/officeDocument/2006/relationships/hyperlink" Target="https://www.6laws.net/6law/law\&#25010;&#27861;.htm" TargetMode="External"/><Relationship Id="rId2657" Type="http://schemas.openxmlformats.org/officeDocument/2006/relationships/hyperlink" Target="http://blogs.yahoo.co.jp/inoti333mamoru777/GALLERY/show_image.html?id=63109682&amp;no=2" TargetMode="External"/><Relationship Id="rId324" Type="http://schemas.openxmlformats.org/officeDocument/2006/relationships/hyperlink" Target="https://www.6laws.net/6law/law\&#25010;&#27861;.htm" TargetMode="External"/><Relationship Id="rId531" Type="http://schemas.openxmlformats.org/officeDocument/2006/relationships/hyperlink" Target="https://www.6laws.net/6law/law\&#22823;&#27861;&#23448;&#35299;&#37323;79-86&#24180;.htm" TargetMode="External"/><Relationship Id="rId629" Type="http://schemas.openxmlformats.org/officeDocument/2006/relationships/hyperlink" Target="https://www.6laws.net/6law/law\&#25010;&#27861;.htm" TargetMode="External"/><Relationship Id="rId1161" Type="http://schemas.openxmlformats.org/officeDocument/2006/relationships/hyperlink" Target="https://www.6laws.net/6law/law\&#22320;&#26041;&#21046;&#24230;&#27861;.htm" TargetMode="External"/><Relationship Id="rId1259" Type="http://schemas.openxmlformats.org/officeDocument/2006/relationships/hyperlink" Target="https://www.6laws.net/6law/law\&#20844;&#24179;&#20132;&#26131;&#27861;.htm" TargetMode="External"/><Relationship Id="rId1466" Type="http://schemas.openxmlformats.org/officeDocument/2006/relationships/hyperlink" Target="https://www.6laws.net/6law/law\&#20013;&#33775;&#27665;&#22283;&#25010;&#27861;&#22686;&#20462;&#26781;&#25991;.htm" TargetMode="External"/><Relationship Id="rId2005" Type="http://schemas.openxmlformats.org/officeDocument/2006/relationships/hyperlink" Target="https://www.6laws.net/6law/law\&#20844;&#27665;&#33287;&#25919;&#27835;&#27402;&#21033;&#22283;&#38555;&#20844;&#32004;&#21450;&#32147;&#28639;&#31038;&#26371;&#25991;&#21270;&#27402;&#21033;&#22283;&#38555;&#20844;&#32004;&#26045;&#34892;&#27861;.htm" TargetMode="External"/><Relationship Id="rId2212" Type="http://schemas.openxmlformats.org/officeDocument/2006/relationships/hyperlink" Target="http://www.state.gov/g/tip/rls/tiprpt/2010/index.htm" TargetMode="External"/><Relationship Id="rId2864" Type="http://schemas.openxmlformats.org/officeDocument/2006/relationships/hyperlink" Target="https://www.6laws.net/6law/law\&#25010;&#27861;.htm" TargetMode="External"/><Relationship Id="rId836" Type="http://schemas.openxmlformats.org/officeDocument/2006/relationships/hyperlink" Target="https://www.6laws.net/6law/law\&#25010;&#27861;.htm" TargetMode="External"/><Relationship Id="rId1021" Type="http://schemas.openxmlformats.org/officeDocument/2006/relationships/hyperlink" Target="https://www.6laws.net/6law/law\&#22823;&#27861;&#23448;&#35299;&#37323;38-60&#24180;.htm" TargetMode="External"/><Relationship Id="rId1119" Type="http://schemas.openxmlformats.org/officeDocument/2006/relationships/hyperlink" Target="https://www.6laws.net/6law/law\&#22320;&#26041;&#21046;&#24230;&#27861;.htm" TargetMode="External"/><Relationship Id="rId1673" Type="http://schemas.openxmlformats.org/officeDocument/2006/relationships/hyperlink" Target="https://www.6laws.net/6law/law\&#32901;&#28165;&#29017;&#27602;&#26781;&#20363;.htm" TargetMode="External"/><Relationship Id="rId1880" Type="http://schemas.openxmlformats.org/officeDocument/2006/relationships/hyperlink" Target="https://www.6laws.net/6law/law\&#22823;&#27861;&#23448;&#35299;&#37323;92-n&#24180;.htm" TargetMode="External"/><Relationship Id="rId1978" Type="http://schemas.openxmlformats.org/officeDocument/2006/relationships/hyperlink" Target="https://www.6laws.net/6law/law2\&#20844;&#27665;&#33287;&#25919;&#27835;&#27402;&#21033;&#22283;&#38555;&#20844;&#32004;.htm" TargetMode="External"/><Relationship Id="rId2517" Type="http://schemas.openxmlformats.org/officeDocument/2006/relationships/hyperlink" Target="https://www.6laws.net/6law/law\&#22823;&#27861;&#23448;&#35299;&#37323;92-n&#24180;.htm" TargetMode="External"/><Relationship Id="rId2724" Type="http://schemas.openxmlformats.org/officeDocument/2006/relationships/hyperlink" Target="https://www.6laws.net/6law/law2\&#28040;&#38500;&#23565;&#23142;&#22899;&#19968;&#20999;&#24418;&#24335;&#27495;&#35222;&#20844;&#32004;.htm" TargetMode="External"/><Relationship Id="rId2931" Type="http://schemas.openxmlformats.org/officeDocument/2006/relationships/hyperlink" Target="http://www.ait.org.tw/zh/2014-trafficking-in-persons-report-taiwan.html" TargetMode="External"/><Relationship Id="rId903" Type="http://schemas.openxmlformats.org/officeDocument/2006/relationships/hyperlink" Target="https://www.6laws.net/6law/law\&#20013;&#33775;&#27665;&#22283;&#25010;&#27861;&#22686;&#20462;&#26781;&#25991;.htm" TargetMode="External"/><Relationship Id="rId1326" Type="http://schemas.openxmlformats.org/officeDocument/2006/relationships/hyperlink" Target="https://www.6laws.net/6law/law\&#22823;&#27861;&#23448;&#35299;&#37323;87-91&#24180;.htm" TargetMode="External"/><Relationship Id="rId1533" Type="http://schemas.openxmlformats.org/officeDocument/2006/relationships/hyperlink" Target="https://www.6laws.net/6law/law\&#21496;&#27861;&#38498;&#32068;&#32340;&#27861;.htm" TargetMode="External"/><Relationship Id="rId1740" Type="http://schemas.openxmlformats.org/officeDocument/2006/relationships/hyperlink" Target="https://www.6laws.net/6law/law\&#23601;&#26989;&#26381;&#21209;&#27861;.htm" TargetMode="External"/><Relationship Id="rId32" Type="http://schemas.openxmlformats.org/officeDocument/2006/relationships/hyperlink" Target="https://zh.wikipedia.org/wiki/File:Chungking_1946_Jan.jpg" TargetMode="External"/><Relationship Id="rId1600" Type="http://schemas.openxmlformats.org/officeDocument/2006/relationships/image" Target="media/image28.png"/><Relationship Id="rId1838" Type="http://schemas.openxmlformats.org/officeDocument/2006/relationships/hyperlink" Target="https://www.6laws.net/6law/law2\&#20445;&#35703;&#25152;&#26377;&#31227;&#24473;&#24037;&#20154;&#21450;&#20854;&#23478;&#24237;&#25104;&#21729;&#27402;&#21033;&#22283;&#38555;&#20844;&#32004;.htm" TargetMode="External"/><Relationship Id="rId181" Type="http://schemas.openxmlformats.org/officeDocument/2006/relationships/hyperlink" Target="https://www.6laws.net/6law/law\&#25010;&#27861;.htm" TargetMode="External"/><Relationship Id="rId1905" Type="http://schemas.openxmlformats.org/officeDocument/2006/relationships/hyperlink" Target="https://www.6laws.net/6law/law2\&#19990;&#30028;&#20154;&#27402;&#23459;&#35328;.htm" TargetMode="External"/><Relationship Id="rId279" Type="http://schemas.openxmlformats.org/officeDocument/2006/relationships/hyperlink" Target="https://www.6laws.net/6law/law\&#25010;&#27861;.htm" TargetMode="External"/><Relationship Id="rId486" Type="http://schemas.openxmlformats.org/officeDocument/2006/relationships/hyperlink" Target="https://www.6laws.net/6law/law\&#25010;&#27861;.htm" TargetMode="External"/><Relationship Id="rId693" Type="http://schemas.openxmlformats.org/officeDocument/2006/relationships/hyperlink" Target="https://www.6laws.net/6law/law\&#20013;&#33775;&#27665;&#22283;&#25010;&#27861;&#22686;&#20462;&#26781;&#25991;.htm" TargetMode="External"/><Relationship Id="rId2167" Type="http://schemas.openxmlformats.org/officeDocument/2006/relationships/hyperlink" Target="https://www.6laws.net/6law/law\&#25010;&#27861;.htm" TargetMode="External"/><Relationship Id="rId2374" Type="http://schemas.openxmlformats.org/officeDocument/2006/relationships/hyperlink" Target="https://www.6laws.net/6law/law\&#25010;&#27861;.htm" TargetMode="External"/><Relationship Id="rId2581" Type="http://schemas.openxmlformats.org/officeDocument/2006/relationships/hyperlink" Target="https://www.6laws.net/6law/law\&#22823;&#27861;&#23448;&#35299;&#37323;92-n&#24180;.htm" TargetMode="External"/><Relationship Id="rId139" Type="http://schemas.openxmlformats.org/officeDocument/2006/relationships/hyperlink" Target="https://www.6laws.net/6law/law\&#21009;&#27861;.htm" TargetMode="External"/><Relationship Id="rId346" Type="http://schemas.openxmlformats.org/officeDocument/2006/relationships/hyperlink" Target="https://www.6laws.net/6law/law\&#25010;&#27861;.htm" TargetMode="External"/><Relationship Id="rId553" Type="http://schemas.openxmlformats.org/officeDocument/2006/relationships/hyperlink" Target="https://www.6laws.net/6law/law\&#25010;&#27861;.htm" TargetMode="External"/><Relationship Id="rId760" Type="http://schemas.openxmlformats.org/officeDocument/2006/relationships/hyperlink" Target="https://www.6laws.net/6law/law\&#22823;&#27861;&#23448;&#35299;&#37323;87-91&#24180;.htm" TargetMode="External"/><Relationship Id="rId998" Type="http://schemas.openxmlformats.org/officeDocument/2006/relationships/hyperlink" Target="https://www.6laws.net/6law/law\&#25010;&#27861;.htm" TargetMode="External"/><Relationship Id="rId1183" Type="http://schemas.openxmlformats.org/officeDocument/2006/relationships/hyperlink" Target="https://www.6laws.net/6law/law\&#22320;&#26041;&#21046;&#24230;&#27861;.htm" TargetMode="External"/><Relationship Id="rId1390" Type="http://schemas.openxmlformats.org/officeDocument/2006/relationships/hyperlink" Target="https://www.6laws.net/6law/law\&#25010;&#27861;.htm" TargetMode="External"/><Relationship Id="rId2027" Type="http://schemas.openxmlformats.org/officeDocument/2006/relationships/hyperlink" Target="https://www.6laws.net/6law/law\&#22823;&#27861;&#23448;&#35299;&#37323;92-n&#24180;.htm" TargetMode="External"/><Relationship Id="rId2234" Type="http://schemas.openxmlformats.org/officeDocument/2006/relationships/hyperlink" Target="https://www.6laws.net/6law/law\&#20154;&#21475;&#36009;&#36939;&#38450;&#21046;&#27861;.htm" TargetMode="External"/><Relationship Id="rId2441" Type="http://schemas.openxmlformats.org/officeDocument/2006/relationships/hyperlink" Target="https://www.6laws.net/6law/law2\&#19990;&#30028;&#20154;&#27402;&#23459;&#35328;.htm" TargetMode="External"/><Relationship Id="rId2679" Type="http://schemas.openxmlformats.org/officeDocument/2006/relationships/hyperlink" Target="https://www.6laws.net/6law/law\&#36890;&#35338;&#20445;&#38556;&#21450;&#30435;&#23519;&#27861;.htm" TargetMode="External"/><Relationship Id="rId2886" Type="http://schemas.openxmlformats.org/officeDocument/2006/relationships/hyperlink" Target="http://en.wikipedia.org/wiki/Stem_cell" TargetMode="External"/><Relationship Id="rId206" Type="http://schemas.openxmlformats.org/officeDocument/2006/relationships/hyperlink" Target="https://www.6laws.net/6law/law\&#25010;&#27861;.htm" TargetMode="External"/><Relationship Id="rId413" Type="http://schemas.openxmlformats.org/officeDocument/2006/relationships/hyperlink" Target="https://www.6laws.net/6law/law3\&#20154;&#21475;&#36009;&#36939;&#34987;&#23475;&#20154;&#21450;&#30097;&#20284;&#20154;&#21475;&#36009;&#36939;&#34987;&#23475;&#20154;&#23433;&#32622;&#20445;&#35703;&#31649;&#29702;&#35215;&#21063;.htm" TargetMode="External"/><Relationship Id="rId858" Type="http://schemas.openxmlformats.org/officeDocument/2006/relationships/hyperlink" Target="https://www.6laws.net/6law/law\&#20013;&#33775;&#27665;&#22283;&#25010;&#27861;&#22686;&#20462;&#26781;&#25991;.htm" TargetMode="External"/><Relationship Id="rId1043" Type="http://schemas.openxmlformats.org/officeDocument/2006/relationships/hyperlink" Target="https://www.6laws.net/6law/law\&#25010;&#27861;.htm" TargetMode="External"/><Relationship Id="rId1488" Type="http://schemas.openxmlformats.org/officeDocument/2006/relationships/hyperlink" Target="https://www.6laws.net/6law/law\&#20013;&#33775;&#27665;&#22283;&#25010;&#27861;&#22686;&#20462;&#26781;&#25991;.htm" TargetMode="External"/><Relationship Id="rId1695" Type="http://schemas.openxmlformats.org/officeDocument/2006/relationships/hyperlink" Target="https://www.6laws.net/6law/law\&#27602;&#21697;&#21361;&#23475;&#38450;&#21046;&#26781;&#20363;.htm" TargetMode="External"/><Relationship Id="rId2539" Type="http://schemas.openxmlformats.org/officeDocument/2006/relationships/hyperlink" Target="https://www.6laws.net/6law/law2\&#32147;&#28639;&#31038;&#26371;&#25991;&#21270;&#27402;&#21033;&#22283;&#38555;&#20844;&#32004;.htm" TargetMode="External"/><Relationship Id="rId2746" Type="http://schemas.openxmlformats.org/officeDocument/2006/relationships/hyperlink" Target="https://www.6laws.net/6law/law2\&#20818;&#31461;&#27402;&#21033;&#20844;&#32004;.htm" TargetMode="External"/><Relationship Id="rId620" Type="http://schemas.openxmlformats.org/officeDocument/2006/relationships/hyperlink" Target="https://www.6laws.net/6law/law\&#34892;&#25919;&#38498;&#32068;&#32340;&#27861;.htm" TargetMode="External"/><Relationship Id="rId718" Type="http://schemas.openxmlformats.org/officeDocument/2006/relationships/hyperlink" Target="https://www.6laws.net/6law/law\&#25010;&#27861;.htm" TargetMode="External"/><Relationship Id="rId925" Type="http://schemas.openxmlformats.org/officeDocument/2006/relationships/hyperlink" Target="https://www.6laws.net/6law/law\&#25010;&#27861;.htm" TargetMode="External"/><Relationship Id="rId1250" Type="http://schemas.openxmlformats.org/officeDocument/2006/relationships/hyperlink" Target="https://www.6laws.net/6law/law\&#25010;&#27861;.htm" TargetMode="External"/><Relationship Id="rId1348" Type="http://schemas.openxmlformats.org/officeDocument/2006/relationships/hyperlink" Target="https://www.6laws.net/6law/law\&#25010;&#27861;.htm" TargetMode="External"/><Relationship Id="rId1555" Type="http://schemas.openxmlformats.org/officeDocument/2006/relationships/hyperlink" Target="https://www.6laws.net/6law/law\&#20013;&#33775;&#27665;&#22283;&#25010;&#27861;&#22686;&#20462;&#26781;&#25991;.htm" TargetMode="External"/><Relationship Id="rId1762" Type="http://schemas.openxmlformats.org/officeDocument/2006/relationships/hyperlink" Target="https://www.6laws.net/6law/law\&#21214;&#21205;&#22522;&#28310;&#27861;.htm" TargetMode="External"/><Relationship Id="rId2301" Type="http://schemas.openxmlformats.org/officeDocument/2006/relationships/hyperlink" Target="https://www.6laws.net/6law/law2\&#32879;&#21512;&#22283;&#25010;&#31456;.htm" TargetMode="External"/><Relationship Id="rId2606" Type="http://schemas.openxmlformats.org/officeDocument/2006/relationships/image" Target="media/image38.jpeg"/><Relationship Id="rId1110" Type="http://schemas.openxmlformats.org/officeDocument/2006/relationships/hyperlink" Target="https://www.6laws.net/6law/law\&#22320;&#26041;&#21046;&#24230;&#27861;.htm" TargetMode="External"/><Relationship Id="rId1208" Type="http://schemas.openxmlformats.org/officeDocument/2006/relationships/hyperlink" Target="https://www.6laws.net/6law/law\&#25010;&#27861;.htm" TargetMode="External"/><Relationship Id="rId1415" Type="http://schemas.openxmlformats.org/officeDocument/2006/relationships/hyperlink" Target="https://www.6laws.net/6law/law\&#25010;&#27861;.htm" TargetMode="External"/><Relationship Id="rId2813" Type="http://schemas.openxmlformats.org/officeDocument/2006/relationships/hyperlink" Target="https://www.6laws.net/6law/law\&#25010;&#27861;.htm" TargetMode="External"/><Relationship Id="rId54" Type="http://schemas.openxmlformats.org/officeDocument/2006/relationships/hyperlink" Target="https://www.6laws.net/6law/law\&#25010;&#27861;.htm" TargetMode="External"/><Relationship Id="rId1622" Type="http://schemas.openxmlformats.org/officeDocument/2006/relationships/hyperlink" Target="https://www.6laws.net/6law/law\&#27602;&#21697;&#21361;&#23475;&#38450;&#21046;&#26781;&#20363;.htm" TargetMode="External"/><Relationship Id="rId1927" Type="http://schemas.openxmlformats.org/officeDocument/2006/relationships/hyperlink" Target="https://www.6laws.net/6law/law2\&#19990;&#30028;&#20154;&#27402;&#23459;&#35328;.htm" TargetMode="External"/><Relationship Id="rId2091" Type="http://schemas.openxmlformats.org/officeDocument/2006/relationships/hyperlink" Target="https://www.6laws.net/6law/law2\&#20844;&#27665;&#33287;&#25919;&#27835;&#27402;&#21033;&#22283;&#38555;&#20844;&#32004;.htm" TargetMode="External"/><Relationship Id="rId2189" Type="http://schemas.openxmlformats.org/officeDocument/2006/relationships/hyperlink" Target="https://www.6laws.net/6law/law2\&#20844;&#27665;&#33287;&#25919;&#27835;&#27402;&#21033;&#22283;&#38555;&#20844;&#32004;.htm" TargetMode="External"/><Relationship Id="rId270" Type="http://schemas.openxmlformats.org/officeDocument/2006/relationships/hyperlink" Target="https://www.6laws.net/6law/law\&#25010;&#27861;.htm" TargetMode="External"/><Relationship Id="rId2396" Type="http://schemas.openxmlformats.org/officeDocument/2006/relationships/hyperlink" Target="https://www.6laws.net/6law/law-gb\&#21453;&#20998;&#35010;&#22283;&#23478;&#27861;.htm" TargetMode="External"/><Relationship Id="rId130" Type="http://schemas.openxmlformats.org/officeDocument/2006/relationships/hyperlink" Target="https://www.6laws.net/6law/law\&#25010;&#27861;.htm" TargetMode="External"/><Relationship Id="rId368" Type="http://schemas.openxmlformats.org/officeDocument/2006/relationships/hyperlink" Target="https://www.6laws.net/6law/law\&#22823;&#27861;&#23448;&#35299;&#37323;92-n&#24180;.htm" TargetMode="External"/><Relationship Id="rId575" Type="http://schemas.openxmlformats.org/officeDocument/2006/relationships/hyperlink" Target="https://www.6laws.net/6law/law\&#25010;&#27861;.htm" TargetMode="External"/><Relationship Id="rId782" Type="http://schemas.openxmlformats.org/officeDocument/2006/relationships/hyperlink" Target="https://www.6laws.net/6law/law\&#25010;&#27861;.htm" TargetMode="External"/><Relationship Id="rId2049" Type="http://schemas.openxmlformats.org/officeDocument/2006/relationships/hyperlink" Target="https://www.6laws.net/6law/law2\&#20844;&#27665;&#33287;&#25919;&#27835;&#27402;&#21033;&#22283;&#38555;&#20844;&#32004;.htm" TargetMode="External"/><Relationship Id="rId2256" Type="http://schemas.openxmlformats.org/officeDocument/2006/relationships/hyperlink" Target="https://www.6laws.net/6law/law2\&#32879;&#21512;&#22283;&#25010;&#31456;.htm" TargetMode="External"/><Relationship Id="rId2463" Type="http://schemas.openxmlformats.org/officeDocument/2006/relationships/hyperlink" Target="https://www.6laws.net/6law/law2\&#19990;&#30028;&#20154;&#27402;&#23459;&#35328;.htm" TargetMode="External"/><Relationship Id="rId2670" Type="http://schemas.openxmlformats.org/officeDocument/2006/relationships/hyperlink" Target="https://www.6laws.net/6law/law\&#25010;&#27861;.htm" TargetMode="External"/><Relationship Id="rId228" Type="http://schemas.openxmlformats.org/officeDocument/2006/relationships/hyperlink" Target="https://www.6laws.net/6law/law\&#25010;&#27861;.htm" TargetMode="External"/><Relationship Id="rId435" Type="http://schemas.openxmlformats.org/officeDocument/2006/relationships/hyperlink" Target="https://www.6laws.net/6law/law\&#25010;&#27861;.htm" TargetMode="External"/><Relationship Id="rId642" Type="http://schemas.openxmlformats.org/officeDocument/2006/relationships/hyperlink" Target="https://www.6laws.net/6law/law3\&#34892;&#25919;&#38498;&#26371;&#35696;&#35696;&#20107;&#35215;&#21063;.htm" TargetMode="External"/><Relationship Id="rId1065" Type="http://schemas.openxmlformats.org/officeDocument/2006/relationships/hyperlink" Target="https://www.6laws.net/6law/law\&#25010;&#27861;.htm" TargetMode="External"/><Relationship Id="rId1272" Type="http://schemas.openxmlformats.org/officeDocument/2006/relationships/hyperlink" Target="https://www.6laws.net/6law/law\&#37504;&#34892;&#27861;.htm" TargetMode="External"/><Relationship Id="rId2116" Type="http://schemas.openxmlformats.org/officeDocument/2006/relationships/hyperlink" Target="https://www.6laws.net/6law/law2\&#20844;&#27665;&#33287;&#25919;&#27835;&#27402;&#21033;&#22283;&#38555;&#20844;&#32004;.htm" TargetMode="External"/><Relationship Id="rId2323" Type="http://schemas.openxmlformats.org/officeDocument/2006/relationships/hyperlink" Target="https://www.6laws.net/6law/law-gb\&#21453;&#20998;&#35010;&#22283;&#23478;&#27861;.htm" TargetMode="External"/><Relationship Id="rId2530" Type="http://schemas.openxmlformats.org/officeDocument/2006/relationships/hyperlink" Target="https://www.6laws.net/6law/law\&#22823;&#27861;&#23448;&#35299;&#37323;79-86&#24180;.htm" TargetMode="External"/><Relationship Id="rId2768" Type="http://schemas.openxmlformats.org/officeDocument/2006/relationships/hyperlink" Target="https://www.6laws.net/6law/law2\&#20818;&#31461;&#27402;&#21033;&#20844;&#32004;.htm" TargetMode="External"/><Relationship Id="rId502" Type="http://schemas.openxmlformats.org/officeDocument/2006/relationships/hyperlink" Target="https://zh.wikipedia.org/wiki/&#20013;&#33775;&#27665;&#22283;&#25010;&#27861;" TargetMode="External"/><Relationship Id="rId947" Type="http://schemas.openxmlformats.org/officeDocument/2006/relationships/hyperlink" Target="https://www.6laws.net/6law/law\&#30435;&#23519;&#27861;.htm" TargetMode="External"/><Relationship Id="rId1132" Type="http://schemas.openxmlformats.org/officeDocument/2006/relationships/hyperlink" Target="https://www.6laws.net/6law/law\&#22823;&#27861;&#23448;&#35299;&#37323;87-91&#24180;.htm" TargetMode="External"/><Relationship Id="rId1577" Type="http://schemas.openxmlformats.org/officeDocument/2006/relationships/hyperlink" Target="aw\&#20013;&#33775;&#27665;&#22283;&#25010;&#27861;&#22686;&#20462;&#26781;&#25991;.htm" TargetMode="External"/><Relationship Id="rId1784" Type="http://schemas.openxmlformats.org/officeDocument/2006/relationships/hyperlink" Target="https://www.6laws.net/6law/law\&#27665;&#27861;.htm" TargetMode="External"/><Relationship Id="rId1991" Type="http://schemas.openxmlformats.org/officeDocument/2006/relationships/hyperlink" Target="https://www.6laws.net/6law/law2\&#32173;&#20063;&#32013;&#38936;&#20107;&#38364;&#20418;&#20844;&#32004;.htm" TargetMode="External"/><Relationship Id="rId2628" Type="http://schemas.openxmlformats.org/officeDocument/2006/relationships/image" Target="media/image47.jpeg"/><Relationship Id="rId2835" Type="http://schemas.openxmlformats.org/officeDocument/2006/relationships/hyperlink" Target="https://www.6laws.net/6law/law\&#25010;&#27861;.htm" TargetMode="External"/><Relationship Id="rId76" Type="http://schemas.openxmlformats.org/officeDocument/2006/relationships/hyperlink" Target="https://www.6laws.net/6law/law\&#25010;&#27861;.htm" TargetMode="External"/><Relationship Id="rId807" Type="http://schemas.openxmlformats.org/officeDocument/2006/relationships/hyperlink" Target="https://www.6laws.net/6law/law\&#22823;&#27861;&#23448;&#35299;&#37323;38-60&#24180;.htm" TargetMode="External"/><Relationship Id="rId1437" Type="http://schemas.openxmlformats.org/officeDocument/2006/relationships/hyperlink" Target="https://www.6laws.net/6law/law\&#25010;&#27861;.htm" TargetMode="External"/><Relationship Id="rId1644" Type="http://schemas.openxmlformats.org/officeDocument/2006/relationships/hyperlink" Target="https://www.6laws.net/6law/law\&#25121;&#20098;&#26178;&#26399;&#32901;&#28165;&#29017;&#27602;&#26781;&#20363;.htm" TargetMode="External"/><Relationship Id="rId1851" Type="http://schemas.openxmlformats.org/officeDocument/2006/relationships/hyperlink" Target="https://www.6laws.net/6law/law2\&#20445;&#35703;&#25152;&#26377;&#31227;&#24473;&#24037;&#20154;&#21450;&#20854;&#23478;&#24237;&#25104;&#21729;&#27402;&#21033;&#22283;&#38555;&#20844;&#32004;.htm" TargetMode="External"/><Relationship Id="rId2902" Type="http://schemas.openxmlformats.org/officeDocument/2006/relationships/hyperlink" Target="http://www.haongo.com/xingyujiankang/2014/0217/1919.html" TargetMode="External"/><Relationship Id="rId1504" Type="http://schemas.openxmlformats.org/officeDocument/2006/relationships/hyperlink" Target="https://www.6laws.net/6law/law\&#20013;&#33775;&#27665;&#22283;&#25010;&#27861;&#22686;&#20462;&#26781;&#25991;.htm" TargetMode="External"/><Relationship Id="rId1711" Type="http://schemas.openxmlformats.org/officeDocument/2006/relationships/hyperlink" Target="https://www.6laws.net/6law/law\&#27602;&#21697;&#21361;&#23475;&#38450;&#21046;&#26781;&#20363;.htm" TargetMode="External"/><Relationship Id="rId1949" Type="http://schemas.openxmlformats.org/officeDocument/2006/relationships/hyperlink" Target="https://www.6laws.net/6law/law2\&#20844;&#27665;&#33287;&#25919;&#27835;&#27402;&#21033;&#22283;&#38555;&#20844;&#32004;.htm" TargetMode="External"/><Relationship Id="rId292" Type="http://schemas.openxmlformats.org/officeDocument/2006/relationships/hyperlink" Target="https://www.6laws.net/6law/law\&#20844;&#32887;&#20154;&#21729;&#36984;&#33289;&#32631;&#20813;&#27861;.htm" TargetMode="External"/><Relationship Id="rId1809" Type="http://schemas.openxmlformats.org/officeDocument/2006/relationships/hyperlink" Target="https://www.6laws.net/6law/law2\&#19990;&#30028;&#20154;&#27402;&#23459;&#35328;.htm" TargetMode="External"/><Relationship Id="rId597" Type="http://schemas.openxmlformats.org/officeDocument/2006/relationships/hyperlink" Target="https://www.6laws.net/6law/law\&#25010;&#27861;.htm" TargetMode="External"/><Relationship Id="rId2180" Type="http://schemas.openxmlformats.org/officeDocument/2006/relationships/hyperlink" Target="https://www.6laws.net/6law/law\&#20837;&#20986;&#22283;&#21450;&#31227;&#27665;&#27861;.htm" TargetMode="External"/><Relationship Id="rId2278" Type="http://schemas.openxmlformats.org/officeDocument/2006/relationships/hyperlink" Target="https://www.6laws.net/6law/law-gb\&#21453;&#20998;&#35010;&#22283;&#23478;&#27861;.htm" TargetMode="External"/><Relationship Id="rId2485" Type="http://schemas.openxmlformats.org/officeDocument/2006/relationships/hyperlink" Target="https://www.6laws.net/6law/law2\&#20844;&#27665;&#33287;&#25919;&#27835;&#27402;&#21033;&#22283;&#38555;&#20844;&#32004;.htm" TargetMode="External"/><Relationship Id="rId152" Type="http://schemas.openxmlformats.org/officeDocument/2006/relationships/hyperlink" Target="https://www.6laws.net/6law/law\&#25010;&#27861;.htm" TargetMode="External"/><Relationship Id="rId457" Type="http://schemas.openxmlformats.org/officeDocument/2006/relationships/hyperlink" Target="https://www.6laws.net/6law/law\&#25010;&#27861;.htm" TargetMode="External"/><Relationship Id="rId1087" Type="http://schemas.openxmlformats.org/officeDocument/2006/relationships/hyperlink" Target="https://www.6laws.net/6law/law\&#20013;&#33775;&#27665;&#22283;&#25010;&#27861;&#22686;&#20462;&#26781;&#25991;.htm" TargetMode="External"/><Relationship Id="rId1294" Type="http://schemas.openxmlformats.org/officeDocument/2006/relationships/hyperlink" Target="https://www.6laws.net/6law/law\&#25010;&#27861;.htm" TargetMode="External"/><Relationship Id="rId2040" Type="http://schemas.openxmlformats.org/officeDocument/2006/relationships/hyperlink" Target="https://www.6laws.net/6law/law2\&#20844;&#27665;&#33287;&#25919;&#27835;&#27402;&#21033;&#22283;&#38555;&#20844;&#32004;.htm" TargetMode="External"/><Relationship Id="rId2138" Type="http://schemas.openxmlformats.org/officeDocument/2006/relationships/hyperlink" Target="https://www.6laws.net/6law/law2\&#20844;&#27665;&#33287;&#25919;&#27835;&#27402;&#21033;&#22283;&#38555;&#20844;&#32004;.htm" TargetMode="External"/><Relationship Id="rId2692" Type="http://schemas.openxmlformats.org/officeDocument/2006/relationships/hyperlink" Target="https://www.6laws.net/6law/law\&#20837;&#20986;&#22283;&#21450;&#31227;&#27665;&#27861;.htm" TargetMode="External"/><Relationship Id="rId664" Type="http://schemas.openxmlformats.org/officeDocument/2006/relationships/hyperlink" Target="https://www.6laws.net/6law/law\&#22823;&#27861;&#23448;&#35299;&#37323;38-60&#24180;.htm" TargetMode="External"/><Relationship Id="rId871" Type="http://schemas.openxmlformats.org/officeDocument/2006/relationships/hyperlink" Target="https://www.6laws.net/6law/law\&#25010;&#27861;.htm" TargetMode="External"/><Relationship Id="rId969" Type="http://schemas.openxmlformats.org/officeDocument/2006/relationships/hyperlink" Target="https://www.6laws.net/6law/law\&#25010;&#27861;.htm" TargetMode="External"/><Relationship Id="rId1599" Type="http://schemas.openxmlformats.org/officeDocument/2006/relationships/hyperlink" Target="http://scimonth.blogspot.tw/2014/01/blog-post_5206.html" TargetMode="External"/><Relationship Id="rId2345" Type="http://schemas.openxmlformats.org/officeDocument/2006/relationships/hyperlink" Target="https://www.6laws.net/6law/law\&#25010;&#27861;.htm" TargetMode="External"/><Relationship Id="rId2552" Type="http://schemas.openxmlformats.org/officeDocument/2006/relationships/hyperlink" Target="https://www.6laws.net/6law/law2\&#32147;&#28639;&#31038;&#26371;&#25991;&#21270;&#27402;&#21033;&#22283;&#38555;&#20844;&#32004;.htm" TargetMode="External"/><Relationship Id="rId317" Type="http://schemas.openxmlformats.org/officeDocument/2006/relationships/hyperlink" Target="https://www.6laws.net/6law/law\&#25010;&#27861;.htm" TargetMode="External"/><Relationship Id="rId524" Type="http://schemas.openxmlformats.org/officeDocument/2006/relationships/hyperlink" Target="https://www.6laws.net/6law/law\&#20013;&#33775;&#27665;&#22283;&#25010;&#27861;&#22686;&#20462;&#26781;&#25991;.htm" TargetMode="External"/><Relationship Id="rId731" Type="http://schemas.openxmlformats.org/officeDocument/2006/relationships/hyperlink" Target="https://www.6laws.net/6law/law\&#22823;&#27861;&#23448;&#35299;&#37323;79-86&#24180;.htm" TargetMode="External"/><Relationship Id="rId1154" Type="http://schemas.openxmlformats.org/officeDocument/2006/relationships/hyperlink" Target="https://www.6laws.net/6law/law\&#22320;&#26041;&#21046;&#24230;&#27861;.htm" TargetMode="External"/><Relationship Id="rId1361" Type="http://schemas.openxmlformats.org/officeDocument/2006/relationships/hyperlink" Target="https://www.6laws.net/6law/law\&#25010;&#27861;.htm" TargetMode="External"/><Relationship Id="rId1459" Type="http://schemas.openxmlformats.org/officeDocument/2006/relationships/hyperlink" Target="https://www.6laws.net/6law/law\&#20013;&#33775;&#27665;&#22283;&#25010;&#27861;&#22686;&#20462;&#26781;&#25991;.htm" TargetMode="External"/><Relationship Id="rId2205" Type="http://schemas.openxmlformats.org/officeDocument/2006/relationships/hyperlink" Target="https://www.6laws.net/6law/law\&#21009;&#27861;.htm" TargetMode="External"/><Relationship Id="rId2412" Type="http://schemas.openxmlformats.org/officeDocument/2006/relationships/hyperlink" Target="https://www.6laws.net/6law/law\&#25010;&#27861;.htm" TargetMode="External"/><Relationship Id="rId2857" Type="http://schemas.openxmlformats.org/officeDocument/2006/relationships/hyperlink" Target="https://www.6laws.net/6law/law\&#25010;&#27861;.htm" TargetMode="External"/><Relationship Id="rId98" Type="http://schemas.openxmlformats.org/officeDocument/2006/relationships/hyperlink" Target="https://www.6laws.net/6law/law2\&#20844;&#27665;&#33287;&#25919;&#27835;&#27402;&#21033;&#22283;&#38555;&#20844;&#32004;.htm" TargetMode="External"/><Relationship Id="rId829" Type="http://schemas.openxmlformats.org/officeDocument/2006/relationships/hyperlink" Target="https://www.6laws.net/6law/law\&#21496;&#27861;&#38498;&#22823;&#27861;&#23448;&#23529;&#29702;&#26696;&#20214;&#27861;.htm" TargetMode="External"/><Relationship Id="rId1014" Type="http://schemas.openxmlformats.org/officeDocument/2006/relationships/hyperlink" Target="https://www.6laws.net/6law/law\&#25010;&#27861;.htm" TargetMode="External"/><Relationship Id="rId1221" Type="http://schemas.openxmlformats.org/officeDocument/2006/relationships/hyperlink" Target="https://www.6laws.net/6law/law\&#25010;&#27861;.htm" TargetMode="External"/><Relationship Id="rId1666" Type="http://schemas.openxmlformats.org/officeDocument/2006/relationships/hyperlink" Target="https://www.6laws.net/6law/law\&#21009;&#27861;.htm" TargetMode="External"/><Relationship Id="rId1873" Type="http://schemas.openxmlformats.org/officeDocument/2006/relationships/hyperlink" Target="https://www.6laws.net/6law/law2\&#20844;&#27665;&#33287;&#25919;&#27835;&#27402;&#21033;&#22283;&#38555;&#20844;&#32004;.htm" TargetMode="External"/><Relationship Id="rId2717" Type="http://schemas.openxmlformats.org/officeDocument/2006/relationships/hyperlink" Target="https://www.6laws.net/6law/law\&#22823;&#27861;&#23448;&#35299;&#37323;92-n&#24180;.htm" TargetMode="External"/><Relationship Id="rId2924" Type="http://schemas.openxmlformats.org/officeDocument/2006/relationships/hyperlink" Target="http://proj3.sinica.edu.tw/~tea/images/stories/file/WP0074.pdf" TargetMode="External"/><Relationship Id="rId1319" Type="http://schemas.openxmlformats.org/officeDocument/2006/relationships/hyperlink" Target="https://www.6laws.net/6law/law\&#25010;&#27861;.htm" TargetMode="External"/><Relationship Id="rId1526" Type="http://schemas.openxmlformats.org/officeDocument/2006/relationships/hyperlink" Target="https://www.6laws.net/6law/law\&#25010;&#27861;.htm" TargetMode="External"/><Relationship Id="rId1733" Type="http://schemas.openxmlformats.org/officeDocument/2006/relationships/hyperlink" Target="https://www.6laws.net/6law/law\&#23601;&#26989;&#26381;&#21209;&#27861;.htm" TargetMode="External"/><Relationship Id="rId1940" Type="http://schemas.openxmlformats.org/officeDocument/2006/relationships/hyperlink" Target="https://www.6laws.net/6law/law\&#25010;&#27861;.htm" TargetMode="External"/><Relationship Id="rId25" Type="http://schemas.openxmlformats.org/officeDocument/2006/relationships/hyperlink" Target="https://www.6laws.net/6law/law\&#25010;&#27861;.htm" TargetMode="External"/><Relationship Id="rId1800" Type="http://schemas.openxmlformats.org/officeDocument/2006/relationships/hyperlink" Target="https://www.6laws.net/6law/law\&#21214;&#21205;&#22522;&#28310;&#27861;.htm" TargetMode="External"/><Relationship Id="rId174" Type="http://schemas.openxmlformats.org/officeDocument/2006/relationships/hyperlink" Target="https://www.6laws.net/6law/law\&#25010;&#27861;.htm" TargetMode="External"/><Relationship Id="rId381" Type="http://schemas.openxmlformats.org/officeDocument/2006/relationships/hyperlink" Target="https://www.6laws.net/6law/law\&#25010;&#27861;.htm" TargetMode="External"/><Relationship Id="rId2062" Type="http://schemas.openxmlformats.org/officeDocument/2006/relationships/hyperlink" Target="https://www.6laws.net/6law/law2\&#20844;&#27665;&#33287;&#25919;&#27835;&#27402;&#21033;&#22283;&#38555;&#20844;&#32004;.htm" TargetMode="External"/><Relationship Id="rId241" Type="http://schemas.openxmlformats.org/officeDocument/2006/relationships/hyperlink" Target="https://www.6laws.net/6law/law\&#22823;&#27861;&#23448;&#35299;&#37323;92-n&#24180;.htm" TargetMode="External"/><Relationship Id="rId479" Type="http://schemas.openxmlformats.org/officeDocument/2006/relationships/hyperlink" Target="https://www.6laws.net/6law/law\&#25010;&#27861;.htm" TargetMode="External"/><Relationship Id="rId686" Type="http://schemas.openxmlformats.org/officeDocument/2006/relationships/hyperlink" Target="https://www.6laws.net/6law/law\&#25010;&#27861;.htm" TargetMode="External"/><Relationship Id="rId893" Type="http://schemas.openxmlformats.org/officeDocument/2006/relationships/hyperlink" Target="https://www.6laws.net/6law/law\&#20013;&#33775;&#27665;&#22283;&#25010;&#27861;&#22686;&#20462;&#26781;&#25991;.htm" TargetMode="External"/><Relationship Id="rId2367" Type="http://schemas.openxmlformats.org/officeDocument/2006/relationships/hyperlink" Target="https://www.6laws.net/6law/law\&#25010;&#27861;.htm" TargetMode="External"/><Relationship Id="rId2574" Type="http://schemas.openxmlformats.org/officeDocument/2006/relationships/hyperlink" Target="https://www.6laws.net/6law/law2\&#20844;&#27665;&#33287;&#25919;&#27835;&#27402;&#21033;&#22283;&#38555;&#20844;&#32004;.htm" TargetMode="External"/><Relationship Id="rId2781" Type="http://schemas.openxmlformats.org/officeDocument/2006/relationships/hyperlink" Target="https://www.6laws.net/6law/law2\&#28040;&#38500;&#19968;&#20999;&#24418;&#24335;&#31278;&#26063;&#27495;&#35222;&#22283;&#38555;&#20844;&#32004;.htm" TargetMode="External"/><Relationship Id="rId339" Type="http://schemas.openxmlformats.org/officeDocument/2006/relationships/hyperlink" Target="https://www.6laws.net/6law/law\&#25010;&#27861;.htm" TargetMode="External"/><Relationship Id="rId546" Type="http://schemas.openxmlformats.org/officeDocument/2006/relationships/hyperlink" Target="https://www.6laws.net/6law/law\&#25010;&#27861;.htm" TargetMode="External"/><Relationship Id="rId753" Type="http://schemas.openxmlformats.org/officeDocument/2006/relationships/hyperlink" Target="https://www.6laws.net/6law/law\&#22823;&#27861;&#23448;&#35299;&#37323;87-91&#24180;.htm" TargetMode="External"/><Relationship Id="rId1176" Type="http://schemas.openxmlformats.org/officeDocument/2006/relationships/hyperlink" Target="https://www.6laws.net/6law/law\&#22320;&#26041;&#21046;&#24230;&#27861;.htm" TargetMode="External"/><Relationship Id="rId1383" Type="http://schemas.openxmlformats.org/officeDocument/2006/relationships/hyperlink" Target="https://www.6laws.net/6law/law\&#25010;&#27861;.htm" TargetMode="External"/><Relationship Id="rId2227" Type="http://schemas.openxmlformats.org/officeDocument/2006/relationships/hyperlink" Target="https://www.6laws.net/6law/law\&#21009;&#27861;.htm" TargetMode="External"/><Relationship Id="rId2434" Type="http://schemas.openxmlformats.org/officeDocument/2006/relationships/hyperlink" Target="https://www.6laws.net/6law/law2\&#32147;&#28639;&#31038;&#26371;&#25991;&#21270;&#27402;&#21033;&#22283;&#38555;&#20844;&#32004;.htm" TargetMode="External"/><Relationship Id="rId2879" Type="http://schemas.openxmlformats.org/officeDocument/2006/relationships/hyperlink" Target="http://www.mha.gov.sg/basic_content.aspx?pageid=81" TargetMode="External"/><Relationship Id="rId101" Type="http://schemas.openxmlformats.org/officeDocument/2006/relationships/hyperlink" Target="https://www.6laws.net/6law/law2\&#20844;&#27665;&#33287;&#25919;&#27835;&#27402;&#21033;&#22283;&#38555;&#20844;&#32004;.htm" TargetMode="External"/><Relationship Id="rId406" Type="http://schemas.openxmlformats.org/officeDocument/2006/relationships/hyperlink" Target="https://www.6laws.net/6law/law\&#25010;&#27861;.htm" TargetMode="External"/><Relationship Id="rId960" Type="http://schemas.openxmlformats.org/officeDocument/2006/relationships/hyperlink" Target="https://www.6laws.net/6law/law\&#30435;&#23519;&#27861;.htm" TargetMode="External"/><Relationship Id="rId1036" Type="http://schemas.openxmlformats.org/officeDocument/2006/relationships/hyperlink" Target="https://www.6laws.net/6law/law\&#22823;&#27861;&#23448;&#35299;&#37323;38-60&#24180;.htm" TargetMode="External"/><Relationship Id="rId1243" Type="http://schemas.openxmlformats.org/officeDocument/2006/relationships/hyperlink" Target="https://www.6laws.net/6law/law\&#22283;&#23478;&#36064;&#20767;&#27861;.htm" TargetMode="External"/><Relationship Id="rId1590" Type="http://schemas.openxmlformats.org/officeDocument/2006/relationships/hyperlink" Target="https://www.6laws.net/6law/law\&#33274;&#28771;&#22320;&#21312;&#33287;&#22823;&#38520;&#22320;&#21312;&#20154;&#27665;&#38364;&#20418;&#26781;&#20363;.htm" TargetMode="External"/><Relationship Id="rId1688" Type="http://schemas.openxmlformats.org/officeDocument/2006/relationships/hyperlink" Target="https://www.6laws.net/6law/law\&#27602;&#21697;&#21361;&#23475;&#38450;&#21046;&#26781;&#20363;.htm" TargetMode="External"/><Relationship Id="rId1895" Type="http://schemas.openxmlformats.org/officeDocument/2006/relationships/hyperlink" Target="https://www.6laws.net/6law/law2\&#20445;&#35703;&#25152;&#26377;&#31227;&#24473;&#24037;&#20154;&#21450;&#20854;&#23478;&#24237;&#25104;&#21729;&#27402;&#21033;&#22283;&#38555;&#20844;&#32004;.htm" TargetMode="External"/><Relationship Id="rId2641" Type="http://schemas.openxmlformats.org/officeDocument/2006/relationships/hyperlink" Target="https://www.6laws.net/6law/law\&#20778;&#29983;&#20445;&#20581;&#27861;.htm" TargetMode="External"/><Relationship Id="rId2739" Type="http://schemas.openxmlformats.org/officeDocument/2006/relationships/hyperlink" Target="https://www.6laws.net/6law/law2\&#28040;&#38500;&#23565;&#23142;&#22899;&#19968;&#20999;&#24418;&#24335;&#27495;&#35222;&#20844;&#32004;.htm" TargetMode="External"/><Relationship Id="rId613" Type="http://schemas.openxmlformats.org/officeDocument/2006/relationships/hyperlink" Target="https://www.6laws.net/6law/law\&#25010;&#27861;.htm" TargetMode="External"/><Relationship Id="rId820" Type="http://schemas.openxmlformats.org/officeDocument/2006/relationships/hyperlink" Target="https://www.6laws.net/6law/law\&#25010;&#27861;.htm" TargetMode="External"/><Relationship Id="rId918" Type="http://schemas.openxmlformats.org/officeDocument/2006/relationships/hyperlink" Target="https://www.6laws.net/6law/law\&#25010;&#27861;.htm" TargetMode="External"/><Relationship Id="rId1450" Type="http://schemas.openxmlformats.org/officeDocument/2006/relationships/hyperlink" Target="https://www.6laws.net/6law/law\&#20013;&#33775;&#27665;&#22283;&#25010;&#27861;&#22686;&#20462;&#26781;&#25991;.htm" TargetMode="External"/><Relationship Id="rId1548" Type="http://schemas.openxmlformats.org/officeDocument/2006/relationships/hyperlink" Target="https://www.6laws.net/6law/law\&#25010;&#27861;.htm" TargetMode="External"/><Relationship Id="rId1755" Type="http://schemas.openxmlformats.org/officeDocument/2006/relationships/hyperlink" Target="https://www.6laws.net/6law/law\&#21214;&#21205;&#22522;&#28310;&#27861;.htm" TargetMode="External"/><Relationship Id="rId2501" Type="http://schemas.openxmlformats.org/officeDocument/2006/relationships/hyperlink" Target="https://www.6laws.net/6law/law\&#22823;&#27861;&#23448;&#35299;&#37323;79-86&#24180;.htm" TargetMode="External"/><Relationship Id="rId1103" Type="http://schemas.openxmlformats.org/officeDocument/2006/relationships/hyperlink" Target="https://www.6laws.net/6law/law\&#22320;&#26041;&#21046;&#24230;&#27861;.htm" TargetMode="External"/><Relationship Id="rId1310" Type="http://schemas.openxmlformats.org/officeDocument/2006/relationships/hyperlink" Target="https://www.6laws.net/6law/law\&#22806;&#22283;&#20154;&#25237;&#36039;&#26781;&#20363;.htm" TargetMode="External"/><Relationship Id="rId1408" Type="http://schemas.openxmlformats.org/officeDocument/2006/relationships/hyperlink" Target="https://www.6laws.net/6law/law\&#20013;&#33775;&#27665;&#22283;&#25010;&#27861;&#22686;&#20462;&#26781;&#25991;.htm" TargetMode="External"/><Relationship Id="rId1962" Type="http://schemas.openxmlformats.org/officeDocument/2006/relationships/hyperlink" Target="https://www.6laws.net/6law/law\&#20837;&#20986;&#22283;&#21450;&#31227;&#27665;&#27861;.htm" TargetMode="External"/><Relationship Id="rId2806" Type="http://schemas.openxmlformats.org/officeDocument/2006/relationships/image" Target="media/image60.png"/><Relationship Id="rId47" Type="http://schemas.openxmlformats.org/officeDocument/2006/relationships/hyperlink" Target="https://www.6laws.net/6law/law\&#25010;&#27861;.htm" TargetMode="External"/><Relationship Id="rId1615" Type="http://schemas.openxmlformats.org/officeDocument/2006/relationships/hyperlink" Target="file:///C:\Users\anita\AppData\Roaming\Microsoft\Word\law2\&#32879;&#21512;&#22283;&#25010;&#31456;.docx" TargetMode="External"/><Relationship Id="rId1822" Type="http://schemas.openxmlformats.org/officeDocument/2006/relationships/hyperlink" Target="https://www.6laws.net/6law/law2\&#32147;&#28639;&#31038;&#26371;&#25991;&#21270;&#27402;&#21033;&#22283;&#38555;&#20844;&#32004;.htm" TargetMode="External"/><Relationship Id="rId196" Type="http://schemas.openxmlformats.org/officeDocument/2006/relationships/hyperlink" Target="https://www.6laws.net/6law/law\&#36557;&#20107;&#23529;&#21028;&#27861;.htm" TargetMode="External"/><Relationship Id="rId2084" Type="http://schemas.openxmlformats.org/officeDocument/2006/relationships/hyperlink" Target="https://www.6laws.net/6law/law2\&#20844;&#27665;&#33287;&#25919;&#27835;&#27402;&#21033;&#22283;&#38555;&#20844;&#32004;.htm" TargetMode="External"/><Relationship Id="rId2291" Type="http://schemas.openxmlformats.org/officeDocument/2006/relationships/hyperlink" Target="https://www.6laws.net/6law/law-gb\&#21453;&#20998;&#35010;&#22283;&#23478;&#27861;.htm" TargetMode="External"/><Relationship Id="rId263" Type="http://schemas.openxmlformats.org/officeDocument/2006/relationships/hyperlink" Target="https://www.6laws.net/6law/law\&#25010;&#27861;.htm" TargetMode="External"/><Relationship Id="rId470" Type="http://schemas.openxmlformats.org/officeDocument/2006/relationships/hyperlink" Target="https://www.6laws.net/6law/law\&#20013;&#33775;&#27665;&#22283;&#25010;&#27861;&#22686;&#20462;&#26781;&#25991;.htm" TargetMode="External"/><Relationship Id="rId2151" Type="http://schemas.openxmlformats.org/officeDocument/2006/relationships/hyperlink" Target="https://www.6laws.net/6law/law2\&#19990;&#30028;&#20154;&#27402;&#23459;&#35328;.htm" TargetMode="External"/><Relationship Id="rId2389" Type="http://schemas.openxmlformats.org/officeDocument/2006/relationships/hyperlink" Target="https://www.6laws.net/6law/law-gb\&#21453;&#20998;&#35010;&#22283;&#23478;&#27861;.htm" TargetMode="External"/><Relationship Id="rId2596" Type="http://schemas.openxmlformats.org/officeDocument/2006/relationships/hyperlink" Target="https://www.6laws.net/6law/law\&#38598;&#26371;&#36938;&#34892;&#27861;.htm" TargetMode="External"/><Relationship Id="rId123" Type="http://schemas.openxmlformats.org/officeDocument/2006/relationships/hyperlink" Target="https://www.6laws.net/6law/law\&#36008;&#29289;&#31237;&#26781;&#20363;.htm" TargetMode="External"/><Relationship Id="rId330" Type="http://schemas.openxmlformats.org/officeDocument/2006/relationships/hyperlink" Target="https://www.6laws.net/6law/law\&#25010;&#27861;.htm" TargetMode="External"/><Relationship Id="rId568" Type="http://schemas.openxmlformats.org/officeDocument/2006/relationships/hyperlink" Target="https://www.6laws.net/6law/law\&#25010;&#27861;.htm" TargetMode="External"/><Relationship Id="rId775" Type="http://schemas.openxmlformats.org/officeDocument/2006/relationships/hyperlink" Target="https://www.6laws.net/6law/law\&#20013;&#33775;&#27665;&#22283;&#25010;&#27861;&#22686;&#20462;&#26781;&#25991;.htm" TargetMode="External"/><Relationship Id="rId982" Type="http://schemas.openxmlformats.org/officeDocument/2006/relationships/hyperlink" Target="https://www.6laws.net/6law/law\&#25010;&#27861;.htm" TargetMode="External"/><Relationship Id="rId1198" Type="http://schemas.openxmlformats.org/officeDocument/2006/relationships/hyperlink" Target="https://www.6laws.net/6law/law\&#20013;&#33775;&#27665;&#22283;&#25010;&#27861;&#22686;&#20462;&#26781;&#25991;.htm" TargetMode="External"/><Relationship Id="rId2011" Type="http://schemas.openxmlformats.org/officeDocument/2006/relationships/hyperlink" Target="https://www.6laws.net/6law/law\&#22823;&#27861;&#23448;&#35299;&#37323;92-n&#24180;.htm" TargetMode="External"/><Relationship Id="rId2249" Type="http://schemas.openxmlformats.org/officeDocument/2006/relationships/hyperlink" Target="https://www.6laws.net/6law/law-gb\&#21453;&#20998;&#35010;&#22283;&#23478;&#27861;.htm" TargetMode="External"/><Relationship Id="rId2456" Type="http://schemas.openxmlformats.org/officeDocument/2006/relationships/hyperlink" Target="https://www.6laws.net/6law/law2\&#19990;&#30028;&#20154;&#27402;&#23459;&#35328;.htm" TargetMode="External"/><Relationship Id="rId2663" Type="http://schemas.openxmlformats.org/officeDocument/2006/relationships/hyperlink" Target="http://blogs.yahoo.co.jp/inoti333mamoru777/GALLERY/show_image.html?id=63109682&amp;no=2" TargetMode="External"/><Relationship Id="rId2870" Type="http://schemas.openxmlformats.org/officeDocument/2006/relationships/hyperlink" Target="https://www.6laws.net/6law/law\&#25010;&#27861;.htm" TargetMode="External"/><Relationship Id="rId428" Type="http://schemas.openxmlformats.org/officeDocument/2006/relationships/hyperlink" Target="https://www.6laws.net/6law/law\&#27665;&#27861;.htm" TargetMode="External"/><Relationship Id="rId635" Type="http://schemas.openxmlformats.org/officeDocument/2006/relationships/hyperlink" Target="https://www.6laws.net/6law/law\&#20013;&#33775;&#27665;&#22283;&#25010;&#27861;&#22686;&#20462;&#26781;&#25991;.htm" TargetMode="External"/><Relationship Id="rId842" Type="http://schemas.openxmlformats.org/officeDocument/2006/relationships/hyperlink" Target="https://www.6laws.net/6law/law\&#20013;&#33775;&#27665;&#22283;&#25010;&#27861;&#22686;&#20462;&#26781;&#25991;.htm" TargetMode="External"/><Relationship Id="rId1058" Type="http://schemas.openxmlformats.org/officeDocument/2006/relationships/hyperlink" Target="https://www.6laws.net/6law/law\&#25010;&#27861;.htm" TargetMode="External"/><Relationship Id="rId1265" Type="http://schemas.openxmlformats.org/officeDocument/2006/relationships/hyperlink" Target="https://www.6laws.net/6law/law\&#20445;&#38570;&#27861;.htm" TargetMode="External"/><Relationship Id="rId1472" Type="http://schemas.openxmlformats.org/officeDocument/2006/relationships/hyperlink" Target="https://www.6laws.net/6law/law\&#25010;&#27861;.htm" TargetMode="External"/><Relationship Id="rId2109" Type="http://schemas.openxmlformats.org/officeDocument/2006/relationships/hyperlink" Target="https://www.6laws.net/6law/law2\&#20844;&#27665;&#33287;&#25919;&#27835;&#27402;&#21033;&#22283;&#38555;&#20844;&#32004;.htm" TargetMode="External"/><Relationship Id="rId2316" Type="http://schemas.openxmlformats.org/officeDocument/2006/relationships/hyperlink" Target="https://www.6laws.net/6law/law-gb\&#21453;&#20998;&#35010;&#22283;&#23478;&#27861;.htm" TargetMode="External"/><Relationship Id="rId2523" Type="http://schemas.openxmlformats.org/officeDocument/2006/relationships/hyperlink" Target="https://www.6laws.net/6law/law\&#22823;&#27861;&#23448;&#35299;&#37323;87-91&#24180;.htm" TargetMode="External"/><Relationship Id="rId2730" Type="http://schemas.openxmlformats.org/officeDocument/2006/relationships/hyperlink" Target="https://www.6laws.net/6law/law2\&#28040;&#38500;&#23565;&#23142;&#22899;&#19968;&#20999;&#24418;&#24335;&#27495;&#35222;&#20844;&#32004;.htm" TargetMode="External"/><Relationship Id="rId702" Type="http://schemas.openxmlformats.org/officeDocument/2006/relationships/hyperlink" Target="https://www.6laws.net/6law/law\&#20013;&#33775;&#27665;&#22283;&#25010;&#27861;&#22686;&#20462;&#26781;&#25991;.htm" TargetMode="External"/><Relationship Id="rId1125" Type="http://schemas.openxmlformats.org/officeDocument/2006/relationships/hyperlink" Target="https://www.6laws.net/6law/law\&#25010;&#27861;.htm" TargetMode="External"/><Relationship Id="rId1332" Type="http://schemas.openxmlformats.org/officeDocument/2006/relationships/hyperlink" Target="https://www.6laws.net/6law/law\&#25010;&#27861;.htm" TargetMode="External"/><Relationship Id="rId1777" Type="http://schemas.openxmlformats.org/officeDocument/2006/relationships/hyperlink" Target="https://www.6laws.net/6law/law\&#27665;&#27861;.htm" TargetMode="External"/><Relationship Id="rId1984" Type="http://schemas.openxmlformats.org/officeDocument/2006/relationships/hyperlink" Target="https://www.6laws.net/6law/law2\&#20844;&#27665;&#33287;&#25919;&#27835;&#27402;&#21033;&#22283;&#38555;&#20844;&#32004;.htm" TargetMode="External"/><Relationship Id="rId2828" Type="http://schemas.openxmlformats.org/officeDocument/2006/relationships/hyperlink" Target="https://www.6laws.net/6law/law\&#36001;&#25919;&#25910;&#25903;&#21123;&#20998;&#27861;.htm" TargetMode="External"/><Relationship Id="rId69" Type="http://schemas.openxmlformats.org/officeDocument/2006/relationships/hyperlink" Target="https://www.6laws.net/6law/law\&#22823;&#27861;&#23448;&#35299;&#37323;79-86&#24180;.htm" TargetMode="External"/><Relationship Id="rId1637" Type="http://schemas.openxmlformats.org/officeDocument/2006/relationships/hyperlink" Target="https://www.6laws.net/6law/law2\&#32147;&#28639;&#31038;&#26371;&#25991;&#21270;&#27402;&#21033;&#22283;&#38555;&#20844;&#32004;.htm" TargetMode="External"/><Relationship Id="rId1844" Type="http://schemas.openxmlformats.org/officeDocument/2006/relationships/hyperlink" Target="https://www.6laws.net/6law/law2\&#20445;&#35703;&#25152;&#26377;&#31227;&#24473;&#24037;&#20154;&#21450;&#20854;&#23478;&#24237;&#25104;&#21729;&#27402;&#21033;&#22283;&#38555;&#20844;&#32004;.htm" TargetMode="External"/><Relationship Id="rId1704" Type="http://schemas.openxmlformats.org/officeDocument/2006/relationships/hyperlink" Target="https://www.6laws.net/6law/law\&#27602;&#21697;&#21361;&#23475;&#38450;&#21046;&#26781;&#20363;.htm" TargetMode="External"/><Relationship Id="rId285" Type="http://schemas.openxmlformats.org/officeDocument/2006/relationships/hyperlink" Target="https://www.6laws.net/6law/law\&#25010;&#27861;.htm" TargetMode="External"/><Relationship Id="rId1911" Type="http://schemas.openxmlformats.org/officeDocument/2006/relationships/hyperlink" Target="https://www.6laws.net/6law/law2\&#26377;&#38364;&#38627;&#27665;&#22320;&#20301;&#20844;&#32004;.htm" TargetMode="External"/><Relationship Id="rId492" Type="http://schemas.openxmlformats.org/officeDocument/2006/relationships/hyperlink" Target="https://www.6laws.net/6law/law\&#25010;&#27861;.htm" TargetMode="External"/><Relationship Id="rId797" Type="http://schemas.openxmlformats.org/officeDocument/2006/relationships/hyperlink" Target="https://www.6laws.net/6law/law\&#25010;&#27861;.htm" TargetMode="External"/><Relationship Id="rId2173" Type="http://schemas.openxmlformats.org/officeDocument/2006/relationships/hyperlink" Target="https://www.6laws.net/6law/law\&#25010;&#27861;.htm" TargetMode="External"/><Relationship Id="rId2380" Type="http://schemas.openxmlformats.org/officeDocument/2006/relationships/hyperlink" Target="https://www.6laws.net/6law/law\&#25010;&#27861;.htm" TargetMode="External"/><Relationship Id="rId2478" Type="http://schemas.openxmlformats.org/officeDocument/2006/relationships/hyperlink" Target="https://www.6laws.net/6law/law2\&#20844;&#27665;&#33287;&#25919;&#27835;&#27402;&#21033;&#22283;&#38555;&#20844;&#32004;.htm" TargetMode="External"/><Relationship Id="rId145" Type="http://schemas.openxmlformats.org/officeDocument/2006/relationships/hyperlink" Target="https://www.6laws.net/6law/law\&#22823;&#27861;&#23448;&#35299;&#37323;38-60&#24180;.htm" TargetMode="External"/><Relationship Id="rId352" Type="http://schemas.openxmlformats.org/officeDocument/2006/relationships/hyperlink" Target="https://www.6laws.net/6law/law\&#25010;&#27861;.htm" TargetMode="External"/><Relationship Id="rId1287" Type="http://schemas.openxmlformats.org/officeDocument/2006/relationships/hyperlink" Target="https://www.6laws.net/6law/law\&#22823;&#27861;&#23448;&#35299;&#37323;79-86&#24180;.htm" TargetMode="External"/><Relationship Id="rId2033" Type="http://schemas.openxmlformats.org/officeDocument/2006/relationships/hyperlink" Target="https://www.6laws.net/6law/law2\&#20844;&#27665;&#33287;&#25919;&#27835;&#27402;&#21033;&#22283;&#38555;&#20844;&#32004;.htm" TargetMode="External"/><Relationship Id="rId2240" Type="http://schemas.openxmlformats.org/officeDocument/2006/relationships/hyperlink" Target="https://www.6laws.net/6law/law\&#20154;&#21475;&#36009;&#36939;&#38450;&#21046;&#27861;.htm" TargetMode="External"/><Relationship Id="rId2685" Type="http://schemas.openxmlformats.org/officeDocument/2006/relationships/hyperlink" Target="https://www.6laws.net/6law/law\&#20837;&#20986;&#22283;&#21450;&#31227;&#27665;&#27861;.htm" TargetMode="External"/><Relationship Id="rId2892" Type="http://schemas.openxmlformats.org/officeDocument/2006/relationships/hyperlink" Target="http://www.state.gov/documents/organization/210737.pdf" TargetMode="External"/><Relationship Id="rId212" Type="http://schemas.openxmlformats.org/officeDocument/2006/relationships/hyperlink" Target="https://www.6laws.net/6law/law\&#33274;&#28771;&#22320;&#21312;&#33287;&#22823;&#38520;&#22320;&#21312;&#20154;&#27665;&#38364;&#20418;&#26781;&#20363;.htm" TargetMode="External"/><Relationship Id="rId657" Type="http://schemas.openxmlformats.org/officeDocument/2006/relationships/hyperlink" Target="https://www.6laws.net/6law/law\&#34892;&#25919;&#38498;&#32068;&#32340;&#27861;.htm" TargetMode="External"/><Relationship Id="rId864" Type="http://schemas.openxmlformats.org/officeDocument/2006/relationships/hyperlink" Target="https://www.6laws.net/6law/law\&#25010;&#27861;.htm" TargetMode="External"/><Relationship Id="rId1494" Type="http://schemas.openxmlformats.org/officeDocument/2006/relationships/hyperlink" Target="https://www.6laws.net/6law/law\&#25010;&#27861;.htm" TargetMode="External"/><Relationship Id="rId1799" Type="http://schemas.openxmlformats.org/officeDocument/2006/relationships/hyperlink" Target="https://www.6laws.net/6law/law2\&#19990;&#30028;&#20154;&#27402;&#23459;&#35328;.htm" TargetMode="External"/><Relationship Id="rId2100" Type="http://schemas.openxmlformats.org/officeDocument/2006/relationships/hyperlink" Target="https://www.6laws.net/6law/law2\&#20844;&#27665;&#33287;&#25919;&#27835;&#27402;&#21033;&#22283;&#38555;&#20844;&#32004;.htm" TargetMode="External"/><Relationship Id="rId2338" Type="http://schemas.openxmlformats.org/officeDocument/2006/relationships/hyperlink" Target="https://www.6laws.net/6law/law\&#25010;&#27861;.htm" TargetMode="External"/><Relationship Id="rId2545" Type="http://schemas.openxmlformats.org/officeDocument/2006/relationships/hyperlink" Target="https://www.6laws.net/6law/law2\&#32147;&#28639;&#31038;&#26371;&#25991;&#21270;&#27402;&#21033;&#22283;&#38555;&#20844;&#32004;.htm" TargetMode="External"/><Relationship Id="rId2752" Type="http://schemas.openxmlformats.org/officeDocument/2006/relationships/hyperlink" Target="https://www.6laws.net/6law/law2\&#20818;&#31461;&#27402;&#21033;&#20844;&#32004;.htm" TargetMode="External"/><Relationship Id="rId517" Type="http://schemas.openxmlformats.org/officeDocument/2006/relationships/hyperlink" Target="https://www.6laws.net/6law/law\&#25010;&#27861;.htm" TargetMode="External"/><Relationship Id="rId724" Type="http://schemas.openxmlformats.org/officeDocument/2006/relationships/hyperlink" Target="https://www.6laws.net/6law/law\&#20013;&#33775;&#27665;&#22283;&#25010;&#27861;&#22686;&#20462;&#26781;&#25991;.htm" TargetMode="External"/><Relationship Id="rId931" Type="http://schemas.openxmlformats.org/officeDocument/2006/relationships/hyperlink" Target="https://www.6laws.net/6law/law\&#25010;&#27861;.htm" TargetMode="External"/><Relationship Id="rId1147" Type="http://schemas.openxmlformats.org/officeDocument/2006/relationships/hyperlink" Target="https://www.6laws.net/6law/law\&#25010;&#27861;.htm" TargetMode="External"/><Relationship Id="rId1354" Type="http://schemas.openxmlformats.org/officeDocument/2006/relationships/hyperlink" Target="https://www.6laws.net/6law/law\&#22823;&#27861;&#23448;&#35299;&#37323;87-91&#24180;.htm" TargetMode="External"/><Relationship Id="rId1561" Type="http://schemas.openxmlformats.org/officeDocument/2006/relationships/hyperlink" Target="https://www.6laws.net/6law/law\&#25010;&#27861;.htm" TargetMode="External"/><Relationship Id="rId2405" Type="http://schemas.openxmlformats.org/officeDocument/2006/relationships/hyperlink" Target="https://www.6laws.net/6law/law\&#25010;&#27861;.htm" TargetMode="External"/><Relationship Id="rId2612" Type="http://schemas.openxmlformats.org/officeDocument/2006/relationships/image" Target="media/image41.jpeg"/><Relationship Id="rId60" Type="http://schemas.openxmlformats.org/officeDocument/2006/relationships/hyperlink" Target="https://www.6laws.net/6law/law\&#25010;&#27861;.htm" TargetMode="External"/><Relationship Id="rId1007" Type="http://schemas.openxmlformats.org/officeDocument/2006/relationships/hyperlink" Target="https://www.6laws.net/6law/law\&#20013;&#33775;&#27665;&#22283;&#25010;&#27861;&#22686;&#20462;&#26781;&#25991;.htm" TargetMode="External"/><Relationship Id="rId1214" Type="http://schemas.openxmlformats.org/officeDocument/2006/relationships/hyperlink" Target="https://www.6laws.net/6law/law\&#25010;&#27861;.htm" TargetMode="External"/><Relationship Id="rId1421" Type="http://schemas.openxmlformats.org/officeDocument/2006/relationships/hyperlink" Target="https://www.6laws.net/6law/law\&#25010;&#27861;.htm" TargetMode="External"/><Relationship Id="rId1659" Type="http://schemas.openxmlformats.org/officeDocument/2006/relationships/hyperlink" Target="https://www.6laws.net/6law/law\&#40635;&#37257;&#34277;&#21697;&#31649;&#29702;&#26781;&#20363;.htm" TargetMode="External"/><Relationship Id="rId1866" Type="http://schemas.openxmlformats.org/officeDocument/2006/relationships/hyperlink" Target="https://www.6laws.net/6law/law2\&#19990;&#30028;&#20154;&#27402;&#23459;&#35328;.htm" TargetMode="External"/><Relationship Id="rId2917" Type="http://schemas.openxmlformats.org/officeDocument/2006/relationships/hyperlink" Target="http://www.annian.net/show.aspx?id=19740&amp;cid=16" TargetMode="External"/><Relationship Id="rId1519" Type="http://schemas.openxmlformats.org/officeDocument/2006/relationships/hyperlink" Target="https://www.6laws.net/6law/law\&#20013;&#33775;&#27665;&#22283;&#25010;&#27861;&#22686;&#20462;&#26781;&#25991;.htm" TargetMode="External"/><Relationship Id="rId1726" Type="http://schemas.openxmlformats.org/officeDocument/2006/relationships/hyperlink" Target="https://www.6laws.net/6law/law\&#21214;&#21205;&#22522;&#28310;&#27861;.htm" TargetMode="External"/><Relationship Id="rId1933" Type="http://schemas.openxmlformats.org/officeDocument/2006/relationships/hyperlink" Target="https://www.6laws.net/6law/law2\&#20844;&#27665;&#33287;&#25919;&#27835;&#27402;&#21033;&#22283;&#38555;&#20844;&#32004;.htm" TargetMode="External"/><Relationship Id="rId18" Type="http://schemas.openxmlformats.org/officeDocument/2006/relationships/image" Target="media/image9.emf"/><Relationship Id="rId2195" Type="http://schemas.openxmlformats.org/officeDocument/2006/relationships/hyperlink" Target="https://www.6laws.net/6law/law2\&#20844;&#27665;&#33287;&#25919;&#27835;&#27402;&#21033;&#22283;&#38555;&#20844;&#32004;.htm" TargetMode="External"/><Relationship Id="rId167" Type="http://schemas.openxmlformats.org/officeDocument/2006/relationships/hyperlink" Target="https://www.6laws.net/6law/law\&#33274;&#28771;&#22320;&#21312;&#33287;&#22823;&#38520;&#22320;&#21312;&#20154;&#27665;&#38364;&#20418;&#26781;&#20363;.htm" TargetMode="External"/><Relationship Id="rId374" Type="http://schemas.openxmlformats.org/officeDocument/2006/relationships/hyperlink" Target="https://www.6laws.net/6law/law\&#22823;&#27861;&#23448;&#35299;&#37323;92-n&#24180;.htm" TargetMode="External"/><Relationship Id="rId581" Type="http://schemas.openxmlformats.org/officeDocument/2006/relationships/hyperlink" Target="https://www.6laws.net/6law/law\&#22823;&#27861;&#23448;&#35299;&#37323;92-n&#24180;.htm" TargetMode="External"/><Relationship Id="rId2055" Type="http://schemas.openxmlformats.org/officeDocument/2006/relationships/hyperlink" Target="https://www.6laws.net/6law/law2\&#20844;&#27665;&#33287;&#25919;&#27835;&#27402;&#21033;&#22283;&#38555;&#20844;&#32004;.htm" TargetMode="External"/><Relationship Id="rId2262" Type="http://schemas.openxmlformats.org/officeDocument/2006/relationships/hyperlink" Target="https://www.6laws.net/6law/law-gb\&#21453;&#20998;&#35010;&#22283;&#23478;&#27861;.htm" TargetMode="External"/><Relationship Id="rId234" Type="http://schemas.openxmlformats.org/officeDocument/2006/relationships/hyperlink" Target="https://www.6laws.net/6law/law\&#22823;&#27861;&#23448;&#35299;&#37323;92-n&#24180;.htm" TargetMode="External"/><Relationship Id="rId679" Type="http://schemas.openxmlformats.org/officeDocument/2006/relationships/hyperlink" Target="https://www.6laws.net/6law/law\&#25010;&#27861;.htm" TargetMode="External"/><Relationship Id="rId886" Type="http://schemas.openxmlformats.org/officeDocument/2006/relationships/hyperlink" Target="https://www.6laws.net/6law/law\&#25010;&#27861;.htm" TargetMode="External"/><Relationship Id="rId2567" Type="http://schemas.openxmlformats.org/officeDocument/2006/relationships/hyperlink" Target="https://www.6laws.net/6law/law2\&#20844;&#27665;&#33287;&#25919;&#27835;&#27402;&#21033;&#22283;&#38555;&#20844;&#32004;.htm" TargetMode="External"/><Relationship Id="rId2774" Type="http://schemas.openxmlformats.org/officeDocument/2006/relationships/hyperlink" Target="https://www.6laws.net/6law/law2\&#20818;&#31461;&#27402;&#21033;&#20844;&#32004;.htm" TargetMode="External"/><Relationship Id="rId2" Type="http://schemas.openxmlformats.org/officeDocument/2006/relationships/numbering" Target="numbering.xml"/><Relationship Id="rId441" Type="http://schemas.openxmlformats.org/officeDocument/2006/relationships/hyperlink" Target="https://www.6laws.net/6law/law\&#20013;&#33775;&#27665;&#22283;&#25010;&#27861;&#22686;&#20462;&#26781;&#25991;.htm" TargetMode="External"/><Relationship Id="rId539" Type="http://schemas.openxmlformats.org/officeDocument/2006/relationships/hyperlink" Target="https://www.6laws.net/6law/law\&#20013;&#33775;&#27665;&#22283;&#25010;&#27861;&#22686;&#20462;&#26781;&#25991;.htm" TargetMode="External"/><Relationship Id="rId746" Type="http://schemas.openxmlformats.org/officeDocument/2006/relationships/hyperlink" Target="https://www.6laws.net/6law/law\&#25010;&#27861;.htm" TargetMode="External"/><Relationship Id="rId1071" Type="http://schemas.openxmlformats.org/officeDocument/2006/relationships/hyperlink" Target="https://www.6laws.net/6law/law\&#25010;&#27861;.htm" TargetMode="External"/><Relationship Id="rId1169" Type="http://schemas.openxmlformats.org/officeDocument/2006/relationships/hyperlink" Target="https://www.6laws.net/6law/law3\&#22320;&#26041;&#31435;&#27861;&#27231;&#38364;&#32068;&#32340;&#28310;&#21063;.htm" TargetMode="External"/><Relationship Id="rId1376" Type="http://schemas.openxmlformats.org/officeDocument/2006/relationships/hyperlink" Target="https://www.6laws.net/6law/law\&#22823;&#27861;&#23448;&#35299;&#37323;38-60&#24180;.htm" TargetMode="External"/><Relationship Id="rId1583" Type="http://schemas.openxmlformats.org/officeDocument/2006/relationships/hyperlink" Target="https://www.6laws.net/6law/law-gb\&#21453;&#20998;&#35010;&#22283;&#23478;&#27861;.htm" TargetMode="External"/><Relationship Id="rId2122" Type="http://schemas.openxmlformats.org/officeDocument/2006/relationships/hyperlink" Target="https://www.6laws.net/6law/law2\&#20844;&#27665;&#33287;&#25919;&#27835;&#27402;&#21033;&#22283;&#38555;&#20844;&#32004;.htm" TargetMode="External"/><Relationship Id="rId2427" Type="http://schemas.openxmlformats.org/officeDocument/2006/relationships/hyperlink" Target="https://www.6laws.net/6law/law2\&#20844;&#27665;&#33287;&#25919;&#27835;&#27402;&#21033;&#22283;&#38555;&#20844;&#32004;.htm" TargetMode="External"/><Relationship Id="rId301" Type="http://schemas.openxmlformats.org/officeDocument/2006/relationships/hyperlink" Target="https://www.6laws.net/6law/law\&#21496;&#27861;&#38498;&#35299;&#37323;-&#38498;&#23383;2.htm" TargetMode="External"/><Relationship Id="rId953" Type="http://schemas.openxmlformats.org/officeDocument/2006/relationships/hyperlink" Target="https://www.6laws.net/6law/law\&#30435;&#23519;&#27861;.htm" TargetMode="External"/><Relationship Id="rId1029" Type="http://schemas.openxmlformats.org/officeDocument/2006/relationships/hyperlink" Target="https://www.6laws.net/6law/law\&#22823;&#27861;&#23448;&#35299;&#37323;38-60&#24180;.htm" TargetMode="External"/><Relationship Id="rId1236" Type="http://schemas.openxmlformats.org/officeDocument/2006/relationships/hyperlink" Target="https://www.6laws.net/6law/law\&#25010;&#27861;.htm" TargetMode="External"/><Relationship Id="rId1790" Type="http://schemas.openxmlformats.org/officeDocument/2006/relationships/hyperlink" Target="https://www.6laws.net/6law/law\&#27665;&#27861;.htm" TargetMode="External"/><Relationship Id="rId1888" Type="http://schemas.openxmlformats.org/officeDocument/2006/relationships/hyperlink" Target="https://www.6laws.net/6law/law2\&#20844;&#27665;&#33287;&#25919;&#27835;&#27402;&#21033;&#22283;&#38555;&#20844;&#32004;.htm" TargetMode="External"/><Relationship Id="rId2634" Type="http://schemas.openxmlformats.org/officeDocument/2006/relationships/image" Target="media/image49.jpeg"/><Relationship Id="rId2841" Type="http://schemas.openxmlformats.org/officeDocument/2006/relationships/hyperlink" Target="https://www.6laws.net/6law/law2\&#32879;&#21512;&#22283;&#25010;&#31456;.htm" TargetMode="External"/><Relationship Id="rId2939" Type="http://schemas.openxmlformats.org/officeDocument/2006/relationships/theme" Target="theme/theme1.xml"/><Relationship Id="rId82" Type="http://schemas.openxmlformats.org/officeDocument/2006/relationships/hyperlink" Target="https://www.6laws.net/6law/law2\&#19990;&#30028;&#20154;&#27402;&#23459;&#35328;.htm" TargetMode="External"/><Relationship Id="rId606" Type="http://schemas.openxmlformats.org/officeDocument/2006/relationships/hyperlink" Target="https://www.6laws.net/6law/law\&#20013;&#33775;&#27665;&#22283;&#25010;&#27861;&#22686;&#20462;&#26781;&#25991;.htm" TargetMode="External"/><Relationship Id="rId813" Type="http://schemas.openxmlformats.org/officeDocument/2006/relationships/hyperlink" Target="https://www.6laws.net/6law/law\&#25010;&#27861;.htm" TargetMode="External"/><Relationship Id="rId1443" Type="http://schemas.openxmlformats.org/officeDocument/2006/relationships/hyperlink" Target="https://www.6laws.net/6law/law\&#25010;&#27861;.htm" TargetMode="External"/><Relationship Id="rId1650" Type="http://schemas.openxmlformats.org/officeDocument/2006/relationships/hyperlink" Target="https://www.6laws.net/6law/law\&#25121;&#20098;&#26178;&#26399;&#32901;&#28165;&#29017;&#27602;&#26781;&#20363;.htm" TargetMode="External"/><Relationship Id="rId1748" Type="http://schemas.openxmlformats.org/officeDocument/2006/relationships/hyperlink" Target="https://www.6laws.net/6law/law\&#21214;&#21205;&#22522;&#28310;&#27861;.htm" TargetMode="External"/><Relationship Id="rId2701" Type="http://schemas.openxmlformats.org/officeDocument/2006/relationships/hyperlink" Target="https://www.6laws.net/6law/law\&#22823;&#27861;&#23448;&#35299;&#37323;92-n&#24180;.htm" TargetMode="External"/><Relationship Id="rId1303" Type="http://schemas.openxmlformats.org/officeDocument/2006/relationships/hyperlink" Target="https://www.6laws.net/6law/law\&#25152;&#24471;&#31237;&#27861;.htm" TargetMode="External"/><Relationship Id="rId1510" Type="http://schemas.openxmlformats.org/officeDocument/2006/relationships/hyperlink" Target="https://www.6laws.net/6law/law\&#20844;&#32887;&#20154;&#21729;&#36984;&#33289;&#32631;&#20813;&#27861;.htm" TargetMode="External"/><Relationship Id="rId1955" Type="http://schemas.openxmlformats.org/officeDocument/2006/relationships/hyperlink" Target="https://www.6laws.net/6law/law2\&#20844;&#27665;&#33287;&#25919;&#27835;&#27402;&#21033;&#22283;&#38555;&#20844;&#32004;.htm" TargetMode="External"/><Relationship Id="rId1608" Type="http://schemas.openxmlformats.org/officeDocument/2006/relationships/hyperlink" Target="https://www.6laws.net/6law/law2\&#32879;&#21512;&#22283;&#25010;&#31456;.htm" TargetMode="External"/><Relationship Id="rId1815" Type="http://schemas.openxmlformats.org/officeDocument/2006/relationships/hyperlink" Target="https://www.6laws.net/6law/law2\&#19990;&#30028;&#20154;&#27402;&#23459;&#35328;.htm" TargetMode="External"/><Relationship Id="rId189" Type="http://schemas.openxmlformats.org/officeDocument/2006/relationships/hyperlink" Target="https://www.6laws.net/6law/law\&#22823;&#27861;&#23448;&#35299;&#37323;79-86&#24180;.htm" TargetMode="External"/><Relationship Id="rId396" Type="http://schemas.openxmlformats.org/officeDocument/2006/relationships/hyperlink" Target="https://www.6laws.net/6law/law\&#25010;&#27861;.htm" TargetMode="External"/><Relationship Id="rId2077" Type="http://schemas.openxmlformats.org/officeDocument/2006/relationships/hyperlink" Target="https://www.6laws.net/6law/law2\&#20844;&#27665;&#33287;&#25919;&#27835;&#27402;&#21033;&#22283;&#38555;&#20844;&#32004;.htm" TargetMode="External"/><Relationship Id="rId2284" Type="http://schemas.openxmlformats.org/officeDocument/2006/relationships/hyperlink" Target="https://www.6laws.net/6law/law-gb\&#21453;&#20998;&#35010;&#22283;&#23478;&#27861;.htm" TargetMode="External"/><Relationship Id="rId2491" Type="http://schemas.openxmlformats.org/officeDocument/2006/relationships/hyperlink" Target="https://www.6laws.net/6law/law2\&#20844;&#27665;&#33287;&#25919;&#27835;&#27402;&#21033;&#22283;&#38555;&#20844;&#32004;.htm" TargetMode="External"/><Relationship Id="rId256" Type="http://schemas.openxmlformats.org/officeDocument/2006/relationships/hyperlink" Target="https://www.6laws.net/6law/law\&#22823;&#27861;&#23448;&#35299;&#37323;87-91&#24180;.htm" TargetMode="External"/><Relationship Id="rId463" Type="http://schemas.openxmlformats.org/officeDocument/2006/relationships/hyperlink" Target="https://www.6laws.net/6law/law\&#25010;&#27861;.htm" TargetMode="External"/><Relationship Id="rId670" Type="http://schemas.openxmlformats.org/officeDocument/2006/relationships/hyperlink" Target="https://www.6laws.net/6law/law\&#22823;&#27861;&#23448;&#35299;&#37323;79-86&#24180;.htm" TargetMode="External"/><Relationship Id="rId1093" Type="http://schemas.openxmlformats.org/officeDocument/2006/relationships/hyperlink" Target="https://www.6laws.net/6law/law\&#25010;&#27861;.htm" TargetMode="External"/><Relationship Id="rId2144" Type="http://schemas.openxmlformats.org/officeDocument/2006/relationships/hyperlink" Target="https://www.6laws.net/6law/law2\&#32147;&#28639;&#31038;&#26371;&#25991;&#21270;&#27402;&#21033;&#22283;&#38555;&#20844;&#32004;.htm" TargetMode="External"/><Relationship Id="rId2351" Type="http://schemas.openxmlformats.org/officeDocument/2006/relationships/hyperlink" Target="https://www.6laws.net/6law/law\&#25010;&#27861;.htm" TargetMode="External"/><Relationship Id="rId2589" Type="http://schemas.openxmlformats.org/officeDocument/2006/relationships/hyperlink" Target="https://www.6laws.net/6law/law\&#38598;&#26371;&#36938;&#34892;&#27861;.htm" TargetMode="External"/><Relationship Id="rId2796" Type="http://schemas.openxmlformats.org/officeDocument/2006/relationships/hyperlink" Target="https://www.6laws.net/6law/law2\&#19990;&#30028;&#20154;&#27402;&#23459;&#35328;.htm" TargetMode="External"/><Relationship Id="rId116" Type="http://schemas.openxmlformats.org/officeDocument/2006/relationships/hyperlink" Target="https://www.6laws.net/6law/law\&#22823;&#27861;&#23448;&#35299;&#37323;92-n&#24180;.htm" TargetMode="External"/><Relationship Id="rId323" Type="http://schemas.openxmlformats.org/officeDocument/2006/relationships/hyperlink" Target="https://www.6laws.net/6law/law\&#25010;&#27861;.htm" TargetMode="External"/><Relationship Id="rId530" Type="http://schemas.openxmlformats.org/officeDocument/2006/relationships/hyperlink" Target="https://www.6laws.net/6law/law\&#36198;&#20813;&#27861;.htm" TargetMode="External"/><Relationship Id="rId768" Type="http://schemas.openxmlformats.org/officeDocument/2006/relationships/hyperlink" Target="https://www.6laws.net/6law/law\&#25010;&#27861;.htm" TargetMode="External"/><Relationship Id="rId975" Type="http://schemas.openxmlformats.org/officeDocument/2006/relationships/hyperlink" Target="https://www.6laws.net/6law/law\&#20013;&#33775;&#27665;&#22283;&#25010;&#27861;&#22686;&#20462;&#26781;&#25991;.htm" TargetMode="External"/><Relationship Id="rId1160" Type="http://schemas.openxmlformats.org/officeDocument/2006/relationships/hyperlink" Target="https://www.6laws.net/6law/law\&#22320;&#26041;&#21046;&#24230;&#27861;.htm" TargetMode="External"/><Relationship Id="rId1398" Type="http://schemas.openxmlformats.org/officeDocument/2006/relationships/hyperlink" Target="https://www.6laws.net/6law/law\&#22823;&#27861;&#23448;&#35299;&#37323;79-86&#24180;.htm" TargetMode="External"/><Relationship Id="rId2004" Type="http://schemas.openxmlformats.org/officeDocument/2006/relationships/hyperlink" Target="https://www.6laws.net/6law/law2\&#20844;&#27665;&#33287;&#25919;&#27835;&#27402;&#21033;&#22283;&#38555;&#20844;&#32004;.htm" TargetMode="External"/><Relationship Id="rId2211" Type="http://schemas.openxmlformats.org/officeDocument/2006/relationships/hyperlink" Target="http://www.state.gov/documents/organization/210737.pdf" TargetMode="External"/><Relationship Id="rId2449" Type="http://schemas.openxmlformats.org/officeDocument/2006/relationships/hyperlink" Target="https://www.6laws.net/6law/law2\&#19990;&#30028;&#20154;&#27402;&#23459;&#35328;.htm" TargetMode="External"/><Relationship Id="rId2656" Type="http://schemas.openxmlformats.org/officeDocument/2006/relationships/image" Target="media/image52.jpeg"/><Relationship Id="rId2863" Type="http://schemas.openxmlformats.org/officeDocument/2006/relationships/hyperlink" Target="https://www.6laws.net/6law/law-gb\&#20013;&#33775;&#20154;&#27665;&#20849;&#21644;&#22283;&#25010;&#27861;.htm" TargetMode="External"/><Relationship Id="rId628" Type="http://schemas.openxmlformats.org/officeDocument/2006/relationships/hyperlink" Target="https://www.6laws.net/6law/law\&#20013;&#33775;&#27665;&#22283;&#25010;&#27861;&#22686;&#20462;&#26781;&#25991;.htm" TargetMode="External"/><Relationship Id="rId835" Type="http://schemas.openxmlformats.org/officeDocument/2006/relationships/hyperlink" Target="https://www.6laws.net/6law/law\&#25010;&#27861;.htm" TargetMode="External"/><Relationship Id="rId1258" Type="http://schemas.openxmlformats.org/officeDocument/2006/relationships/hyperlink" Target="https://www.6laws.net/6law/law\&#37329;&#34701;&#27231;&#27083;&#21512;&#20341;&#27861;.htm" TargetMode="External"/><Relationship Id="rId1465" Type="http://schemas.openxmlformats.org/officeDocument/2006/relationships/hyperlink" Target="https://www.6laws.net/6law/law\&#20013;&#33775;&#27665;&#22283;&#25010;&#27861;&#22686;&#20462;&#26781;&#25991;.htm" TargetMode="External"/><Relationship Id="rId1672" Type="http://schemas.openxmlformats.org/officeDocument/2006/relationships/hyperlink" Target="https://www.6laws.net/6law/law\&#27602;&#21697;&#21361;&#23475;&#38450;&#21046;&#26781;&#20363;.htm" TargetMode="External"/><Relationship Id="rId2309" Type="http://schemas.openxmlformats.org/officeDocument/2006/relationships/hyperlink" Target="https://www.6laws.net/6law/law-gb\&#21453;&#20998;&#35010;&#22283;&#23478;&#27861;.htm" TargetMode="External"/><Relationship Id="rId2516" Type="http://schemas.openxmlformats.org/officeDocument/2006/relationships/hyperlink" Target="https://www.6laws.net/6law/law\&#22823;&#27861;&#23448;&#35299;&#37323;92-n&#24180;.htm" TargetMode="External"/><Relationship Id="rId2723" Type="http://schemas.openxmlformats.org/officeDocument/2006/relationships/hyperlink" Target="https://www.6laws.net/6law/law2\&#28040;&#38500;&#23565;&#23142;&#22899;&#19968;&#20999;&#24418;&#24335;&#27495;&#35222;&#20844;&#32004;.htm" TargetMode="External"/><Relationship Id="rId1020" Type="http://schemas.openxmlformats.org/officeDocument/2006/relationships/hyperlink" Target="https://www.6laws.net/6law/law\&#25010;&#27861;.htm" TargetMode="External"/><Relationship Id="rId1118" Type="http://schemas.openxmlformats.org/officeDocument/2006/relationships/hyperlink" Target="https://www.6laws.net/6law/law\&#22320;&#26041;&#21046;&#24230;&#27861;.htm" TargetMode="External"/><Relationship Id="rId1325" Type="http://schemas.openxmlformats.org/officeDocument/2006/relationships/hyperlink" Target="https://www.6laws.net/6law/law\&#22823;&#27861;&#23448;&#35299;&#37323;87-91&#24180;.htm" TargetMode="External"/><Relationship Id="rId1532" Type="http://schemas.openxmlformats.org/officeDocument/2006/relationships/hyperlink" Target="https://www.6laws.net/6law/law\&#21496;&#27861;&#38498;&#32068;&#32340;&#27861;.htm" TargetMode="External"/><Relationship Id="rId1977" Type="http://schemas.openxmlformats.org/officeDocument/2006/relationships/hyperlink" Target="https://www.6laws.net/6law/law2\&#20844;&#27665;&#33287;&#25919;&#27835;&#27402;&#21033;&#22283;&#38555;&#20844;&#32004;.htm" TargetMode="External"/><Relationship Id="rId2930" Type="http://schemas.openxmlformats.org/officeDocument/2006/relationships/hyperlink" Target="http://www.voafanti.com/gate/big5/www.voanews.com/%20chinese/archive/2003-09/a--8-1.cfm" TargetMode="External"/><Relationship Id="rId902" Type="http://schemas.openxmlformats.org/officeDocument/2006/relationships/hyperlink" Target="https://www.6laws.net/6law/law\&#22823;&#27861;&#23448;&#35299;&#37323;79-86&#24180;.htm" TargetMode="External"/><Relationship Id="rId1837" Type="http://schemas.openxmlformats.org/officeDocument/2006/relationships/hyperlink" Target="https://www.6laws.net/6law/law2\&#20445;&#35703;&#25152;&#26377;&#31227;&#24473;&#24037;&#20154;&#21450;&#20854;&#23478;&#24237;&#25104;&#21729;&#27402;&#21033;&#22283;&#38555;&#20844;&#32004;.htm" TargetMode="External"/><Relationship Id="rId31" Type="http://schemas.openxmlformats.org/officeDocument/2006/relationships/hyperlink" Target="https://zh.wikipedia.org/wiki/&#20013;&#33775;&#27665;&#22283;&#25010;&#27861;" TargetMode="External"/><Relationship Id="rId2099" Type="http://schemas.openxmlformats.org/officeDocument/2006/relationships/hyperlink" Target="https://www.6laws.net/6law/law2\&#20844;&#27665;&#33287;&#25919;&#27835;&#27402;&#21033;&#22283;&#38555;&#20844;&#32004;.htm" TargetMode="External"/><Relationship Id="rId180" Type="http://schemas.openxmlformats.org/officeDocument/2006/relationships/hyperlink" Target="https://www.6laws.net/6law/law\&#22823;&#27861;&#23448;&#35299;&#37323;92-n&#24180;.htm" TargetMode="External"/><Relationship Id="rId278" Type="http://schemas.openxmlformats.org/officeDocument/2006/relationships/hyperlink" Target="https://www.6laws.net/6law/law\&#25010;&#27861;.htm" TargetMode="External"/><Relationship Id="rId1904" Type="http://schemas.openxmlformats.org/officeDocument/2006/relationships/hyperlink" Target="https://www.6laws.net/6law/law2\&#26377;&#38364;&#38627;&#27665;&#22320;&#20301;&#20844;&#32004;.htm" TargetMode="External"/><Relationship Id="rId485" Type="http://schemas.openxmlformats.org/officeDocument/2006/relationships/hyperlink" Target="https://www.6laws.net/6law/law\&#25010;&#27861;.htm" TargetMode="External"/><Relationship Id="rId692" Type="http://schemas.openxmlformats.org/officeDocument/2006/relationships/hyperlink" Target="https://www.6laws.net/6law/law\&#25010;&#27861;.htm" TargetMode="External"/><Relationship Id="rId2166" Type="http://schemas.openxmlformats.org/officeDocument/2006/relationships/hyperlink" Target="https://www.6laws.net/6law/law\&#25010;&#27861;.htm" TargetMode="External"/><Relationship Id="rId2373" Type="http://schemas.openxmlformats.org/officeDocument/2006/relationships/hyperlink" Target="https://www.6laws.net/6law/law\&#25010;&#27861;.htm" TargetMode="External"/><Relationship Id="rId2580" Type="http://schemas.openxmlformats.org/officeDocument/2006/relationships/hyperlink" Target="https://www.6laws.net/6law/law\&#22823;&#27861;&#23448;&#35299;&#37323;92-n&#24180;.htm" TargetMode="External"/><Relationship Id="rId138" Type="http://schemas.openxmlformats.org/officeDocument/2006/relationships/hyperlink" Target="https://www.6laws.net/6law/law\&#21009;&#27861;.htm" TargetMode="External"/><Relationship Id="rId345" Type="http://schemas.openxmlformats.org/officeDocument/2006/relationships/hyperlink" Target="https://www.6laws.net/6law/law\&#20853;&#24441;&#27861;.htm" TargetMode="External"/><Relationship Id="rId552" Type="http://schemas.openxmlformats.org/officeDocument/2006/relationships/hyperlink" Target="https://www.6laws.net/6law/law\&#25010;&#27861;.htm" TargetMode="External"/><Relationship Id="rId997" Type="http://schemas.openxmlformats.org/officeDocument/2006/relationships/hyperlink" Target="https://www.6laws.net/6law/law\&#25010;&#27861;.htm" TargetMode="External"/><Relationship Id="rId1182" Type="http://schemas.openxmlformats.org/officeDocument/2006/relationships/hyperlink" Target="https://www.6laws.net/6law/law\&#22320;&#26041;&#21046;&#24230;&#27861;.htm" TargetMode="External"/><Relationship Id="rId2026" Type="http://schemas.openxmlformats.org/officeDocument/2006/relationships/hyperlink" Target="https://www.6laws.net/6law/law\&#25010;&#27861;.htm" TargetMode="External"/><Relationship Id="rId2233" Type="http://schemas.openxmlformats.org/officeDocument/2006/relationships/hyperlink" Target="https://www.6laws.net/6law/law\&#20154;&#21475;&#36009;&#36939;&#38450;&#21046;&#27861;.htm" TargetMode="External"/><Relationship Id="rId2440" Type="http://schemas.openxmlformats.org/officeDocument/2006/relationships/hyperlink" Target="https://www.6laws.net/6law/law2\&#19990;&#30028;&#20154;&#27402;&#23459;&#35328;.htm" TargetMode="External"/><Relationship Id="rId2678" Type="http://schemas.openxmlformats.org/officeDocument/2006/relationships/hyperlink" Target="https://www.6laws.net/6law/law\&#36890;&#35338;&#20445;&#38556;&#21450;&#30435;&#23519;&#27861;.htm" TargetMode="External"/><Relationship Id="rId2885" Type="http://schemas.openxmlformats.org/officeDocument/2006/relationships/hyperlink" Target="http://statutes.agc.gov.sg/non_version/html/homepage.html" TargetMode="External"/><Relationship Id="rId205" Type="http://schemas.openxmlformats.org/officeDocument/2006/relationships/hyperlink" Target="https://www.6laws.net/6law/law\&#22823;&#27861;&#23448;&#35299;&#37323;79-86&#24180;.htm" TargetMode="External"/><Relationship Id="rId412" Type="http://schemas.openxmlformats.org/officeDocument/2006/relationships/hyperlink" Target="https://www.6laws.net/6law/law\&#19977;&#19968;&#20061;&#27085;&#25802;&#20107;&#20214;&#30495;&#30456;&#35519;&#26597;&#29305;&#21029;&#22996;&#21729;&#26371;&#26781;&#20363;.htm" TargetMode="External"/><Relationship Id="rId857" Type="http://schemas.openxmlformats.org/officeDocument/2006/relationships/hyperlink" Target="https://www.6laws.net/6law/law\&#22823;&#27861;&#23448;&#35299;&#37323;92-n&#24180;.htm" TargetMode="External"/><Relationship Id="rId1042" Type="http://schemas.openxmlformats.org/officeDocument/2006/relationships/hyperlink" Target="https://www.6laws.net/6law/law\&#25010;&#27861;.htm" TargetMode="External"/><Relationship Id="rId1487" Type="http://schemas.openxmlformats.org/officeDocument/2006/relationships/hyperlink" Target="https://www.6laws.net/6law/law\&#20013;&#33775;&#27665;&#22283;&#25010;&#27861;&#22686;&#20462;&#26781;&#25991;.htm" TargetMode="External"/><Relationship Id="rId1694" Type="http://schemas.openxmlformats.org/officeDocument/2006/relationships/hyperlink" Target="https://www.6laws.net/6law/law\&#27602;&#21697;&#21361;&#23475;&#38450;&#21046;&#26781;&#20363;.htm" TargetMode="External"/><Relationship Id="rId2300" Type="http://schemas.openxmlformats.org/officeDocument/2006/relationships/hyperlink" Target="https://www.6laws.net/6law/law-gb\&#21453;&#20998;&#35010;&#22283;&#23478;&#27861;.htm" TargetMode="External"/><Relationship Id="rId2538" Type="http://schemas.openxmlformats.org/officeDocument/2006/relationships/hyperlink" Target="https://www.6laws.net/6law/law2\&#32147;&#28639;&#31038;&#26371;&#25991;&#21270;&#27402;&#21033;&#22283;&#38555;&#20844;&#32004;.htm" TargetMode="External"/><Relationship Id="rId2745" Type="http://schemas.openxmlformats.org/officeDocument/2006/relationships/hyperlink" Target="https://www.6laws.net/6law/law2\&#20818;&#31461;&#27402;&#21033;&#20844;&#32004;.htm" TargetMode="External"/><Relationship Id="rId717" Type="http://schemas.openxmlformats.org/officeDocument/2006/relationships/hyperlink" Target="https://www.6laws.net/6law/law\&#25010;&#27861;.htm" TargetMode="External"/><Relationship Id="rId924" Type="http://schemas.openxmlformats.org/officeDocument/2006/relationships/hyperlink" Target="https://www.6laws.net/6law/law\&#20013;&#33775;&#27665;&#22283;&#25010;&#27861;&#22686;&#20462;&#26781;&#25991;.htm" TargetMode="External"/><Relationship Id="rId1347" Type="http://schemas.openxmlformats.org/officeDocument/2006/relationships/hyperlink" Target="https://www.6laws.net/6law/law\&#25010;&#27861;.htm" TargetMode="External"/><Relationship Id="rId1554" Type="http://schemas.openxmlformats.org/officeDocument/2006/relationships/hyperlink" Target="https://www.6laws.net/6law/law\&#20013;&#33775;&#27665;&#22283;&#25010;&#27861;&#22686;&#20462;&#26781;&#25991;.htm" TargetMode="External"/><Relationship Id="rId1761" Type="http://schemas.openxmlformats.org/officeDocument/2006/relationships/hyperlink" Target="https://www.6laws.net/6law/law\&#21214;&#21205;&#22522;&#28310;&#27861;.htm" TargetMode="External"/><Relationship Id="rId1999" Type="http://schemas.openxmlformats.org/officeDocument/2006/relationships/hyperlink" Target="https://www.6laws.net/6law/law\&#25010;&#27861;.htm" TargetMode="External"/><Relationship Id="rId2605" Type="http://schemas.openxmlformats.org/officeDocument/2006/relationships/hyperlink" Target="http://yourhope.info/modules/tadnews/index.php?nsn=1548" TargetMode="External"/><Relationship Id="rId2812" Type="http://schemas.openxmlformats.org/officeDocument/2006/relationships/hyperlink" Target="https://www.6laws.net/6law/law\&#20013;&#33775;&#27665;&#22283;&#25010;&#27861;&#22686;&#20462;&#26781;&#25991;.htm" TargetMode="External"/><Relationship Id="rId53" Type="http://schemas.openxmlformats.org/officeDocument/2006/relationships/hyperlink" Target="https://www.6laws.net/6law/law\&#25010;&#27861;.htm" TargetMode="External"/><Relationship Id="rId1207" Type="http://schemas.openxmlformats.org/officeDocument/2006/relationships/hyperlink" Target="https://www.6laws.net/6law/law\&#25010;&#27861;.htm" TargetMode="External"/><Relationship Id="rId1414" Type="http://schemas.openxmlformats.org/officeDocument/2006/relationships/hyperlink" Target="https://www.6laws.net/6law/law\&#20013;&#33775;&#27665;&#22283;&#25010;&#27861;&#22686;&#20462;&#26781;&#25991;.htm" TargetMode="External"/><Relationship Id="rId1621" Type="http://schemas.openxmlformats.org/officeDocument/2006/relationships/hyperlink" Target="https://www.6laws.net/6law/law\&#27602;&#21697;&#21361;&#23475;&#38450;&#21046;&#26781;&#20363;.htm" TargetMode="External"/><Relationship Id="rId1859" Type="http://schemas.openxmlformats.org/officeDocument/2006/relationships/hyperlink" Target="https://www.6laws.net/6law/law2\&#20445;&#35703;&#25152;&#26377;&#31227;&#24473;&#24037;&#20154;&#21450;&#20854;&#23478;&#24237;&#25104;&#21729;&#27402;&#21033;&#22283;&#38555;&#20844;&#32004;.htm" TargetMode="External"/><Relationship Id="rId1719" Type="http://schemas.openxmlformats.org/officeDocument/2006/relationships/hyperlink" Target="https://www.6laws.net/6law/law\&#27602;&#21697;&#21361;&#23475;&#38450;&#21046;&#26781;&#20363;.htm" TargetMode="External"/><Relationship Id="rId1926" Type="http://schemas.openxmlformats.org/officeDocument/2006/relationships/hyperlink" Target="https://www.6laws.net/6law/law2\&#19990;&#30028;&#20154;&#27402;&#23459;&#35328;.htm" TargetMode="External"/><Relationship Id="rId2090" Type="http://schemas.openxmlformats.org/officeDocument/2006/relationships/hyperlink" Target="https://www.6laws.net/6law/law2\&#20844;&#27665;&#33287;&#25919;&#27835;&#27402;&#21033;&#22283;&#38555;&#20844;&#32004;.htm" TargetMode="External"/><Relationship Id="rId2188" Type="http://schemas.openxmlformats.org/officeDocument/2006/relationships/hyperlink" Target="https://www.6laws.net/6law/law\&#33274;&#28771;&#22320;&#21312;&#33287;&#22823;&#38520;&#22320;&#21312;&#20154;&#27665;&#38364;&#20418;&#26781;&#20363;.htm" TargetMode="External"/><Relationship Id="rId2395" Type="http://schemas.openxmlformats.org/officeDocument/2006/relationships/hyperlink" Target="https://www.6laws.net/6law/law-gb\&#21453;&#20998;&#35010;&#22283;&#23478;&#27861;.htm" TargetMode="External"/><Relationship Id="rId367" Type="http://schemas.openxmlformats.org/officeDocument/2006/relationships/hyperlink" Target="https://www.6laws.net/6law/law\&#37504;&#34892;&#27861;.htm" TargetMode="External"/><Relationship Id="rId574" Type="http://schemas.openxmlformats.org/officeDocument/2006/relationships/hyperlink" Target="https://www.6laws.net/6law/law\&#21009;&#27861;.htm" TargetMode="External"/><Relationship Id="rId2048" Type="http://schemas.openxmlformats.org/officeDocument/2006/relationships/hyperlink" Target="https://www.6laws.net/6law/law2\&#20844;&#27665;&#33287;&#25919;&#27835;&#27402;&#21033;&#22283;&#38555;&#20844;&#32004;.htm" TargetMode="External"/><Relationship Id="rId2255" Type="http://schemas.openxmlformats.org/officeDocument/2006/relationships/hyperlink" Target="https://www.6laws.net/6law/law-gb\&#21453;&#20998;&#35010;&#22283;&#23478;&#27861;.htm" TargetMode="External"/><Relationship Id="rId227" Type="http://schemas.openxmlformats.org/officeDocument/2006/relationships/hyperlink" Target="https://www.6laws.net/6law/law\&#22823;&#27861;&#23448;&#35299;&#37323;87-91&#24180;.htm" TargetMode="External"/><Relationship Id="rId781" Type="http://schemas.openxmlformats.org/officeDocument/2006/relationships/hyperlink" Target="https://www.6laws.net/6law/law\&#22823;&#27861;&#23448;&#35299;&#37323;79-86&#24180;.htm" TargetMode="External"/><Relationship Id="rId879" Type="http://schemas.openxmlformats.org/officeDocument/2006/relationships/hyperlink" Target="https://www.6laws.net/6law/law3\&#31435;&#27861;&#38498;&#35696;&#20107;&#35215;&#21063;.htm" TargetMode="External"/><Relationship Id="rId2462" Type="http://schemas.openxmlformats.org/officeDocument/2006/relationships/hyperlink" Target="https://www.6laws.net/6law/law2\&#19990;&#30028;&#20154;&#27402;&#23459;&#35328;.htm" TargetMode="External"/><Relationship Id="rId2767" Type="http://schemas.openxmlformats.org/officeDocument/2006/relationships/hyperlink" Target="https://www.6laws.net/6law/law2\&#20818;&#31461;&#27402;&#21033;&#20844;&#32004;.htm" TargetMode="External"/><Relationship Id="rId434" Type="http://schemas.openxmlformats.org/officeDocument/2006/relationships/hyperlink" Target="https://www.6laws.net/6law/law\&#25010;&#27861;.htm" TargetMode="External"/><Relationship Id="rId641" Type="http://schemas.openxmlformats.org/officeDocument/2006/relationships/hyperlink" Target="https://www.6laws.net/6law/law\&#25010;&#27861;.htm" TargetMode="External"/><Relationship Id="rId739" Type="http://schemas.openxmlformats.org/officeDocument/2006/relationships/hyperlink" Target="https://www.6laws.net/6law/law\&#25010;&#27861;.htm" TargetMode="External"/><Relationship Id="rId1064" Type="http://schemas.openxmlformats.org/officeDocument/2006/relationships/hyperlink" Target="https://www.6laws.net/6law/law\&#22320;&#26041;&#21046;&#24230;&#27861;.htm" TargetMode="External"/><Relationship Id="rId1271" Type="http://schemas.openxmlformats.org/officeDocument/2006/relationships/hyperlink" Target="https://www.6laws.net/6law/law\&#31649;&#29702;&#22806;&#21295;&#26781;&#20363;.htm" TargetMode="External"/><Relationship Id="rId1369" Type="http://schemas.openxmlformats.org/officeDocument/2006/relationships/hyperlink" Target="https://www.6laws.net/6law/law\&#25010;&#27861;.htm" TargetMode="External"/><Relationship Id="rId1576" Type="http://schemas.openxmlformats.org/officeDocument/2006/relationships/hyperlink" Target="aw\&#20013;&#33775;&#27665;&#22283;&#25010;&#27861;&#22686;&#20462;&#26781;&#25991;.htm" TargetMode="External"/><Relationship Id="rId2115" Type="http://schemas.openxmlformats.org/officeDocument/2006/relationships/hyperlink" Target="https://www.6laws.net/6law/law2\&#20844;&#27665;&#33287;&#25919;&#27835;&#27402;&#21033;&#22283;&#38555;&#20844;&#32004;.htm" TargetMode="External"/><Relationship Id="rId2322" Type="http://schemas.openxmlformats.org/officeDocument/2006/relationships/hyperlink" Target="https://www.6laws.net/6law/law-gb\&#21453;&#20998;&#35010;&#22283;&#23478;&#27861;.htm" TargetMode="External"/><Relationship Id="rId501" Type="http://schemas.openxmlformats.org/officeDocument/2006/relationships/hyperlink" Target="https://www.6laws.net/6law/law\&#25010;&#27861;.htm" TargetMode="External"/><Relationship Id="rId946" Type="http://schemas.openxmlformats.org/officeDocument/2006/relationships/hyperlink" Target="https://www.6laws.net/6law/law\&#30435;&#23519;&#27861;.htm" TargetMode="External"/><Relationship Id="rId1131" Type="http://schemas.openxmlformats.org/officeDocument/2006/relationships/hyperlink" Target="https://www.6laws.net/6law/law\&#25010;&#27861;.htm" TargetMode="External"/><Relationship Id="rId1229" Type="http://schemas.openxmlformats.org/officeDocument/2006/relationships/hyperlink" Target="https://www.6laws.net/6law/law2\&#32879;&#21512;&#22283;&#25010;&#31456;.htm" TargetMode="External"/><Relationship Id="rId1783" Type="http://schemas.openxmlformats.org/officeDocument/2006/relationships/hyperlink" Target="https://www.6laws.net/6law/law2\&#20445;&#35703;&#25152;&#26377;&#31227;&#24473;&#24037;&#20154;&#21450;&#20854;&#23478;&#24237;&#25104;&#21729;&#27402;&#21033;&#22283;&#38555;&#20844;&#32004;.htm" TargetMode="External"/><Relationship Id="rId1990" Type="http://schemas.openxmlformats.org/officeDocument/2006/relationships/hyperlink" Target="https://www.6laws.net/6law/law2\&#20844;&#27665;&#33287;&#25919;&#27835;&#27402;&#21033;&#22283;&#38555;&#20844;&#32004;.htm" TargetMode="External"/><Relationship Id="rId2627" Type="http://schemas.openxmlformats.org/officeDocument/2006/relationships/hyperlink" Target="https://www.6laws.net/6law/law\&#20778;&#29983;&#20445;&#20581;&#27861;.htm" TargetMode="External"/><Relationship Id="rId2834" Type="http://schemas.openxmlformats.org/officeDocument/2006/relationships/hyperlink" Target="https://www.6laws.net/6law/law\&#25010;&#27861;.htm" TargetMode="External"/><Relationship Id="rId75" Type="http://schemas.openxmlformats.org/officeDocument/2006/relationships/hyperlink" Target="https://www.6laws.net/6law/law\&#25010;&#27861;.htm" TargetMode="External"/><Relationship Id="rId806" Type="http://schemas.openxmlformats.org/officeDocument/2006/relationships/hyperlink" Target="https://www.6laws.net/6law/law\&#25010;&#27861;.htm" TargetMode="External"/><Relationship Id="rId1436" Type="http://schemas.openxmlformats.org/officeDocument/2006/relationships/hyperlink" Target="https://www.6laws.net/6law/law\&#25010;&#27861;.htm" TargetMode="External"/><Relationship Id="rId1643" Type="http://schemas.openxmlformats.org/officeDocument/2006/relationships/hyperlink" Target="https://www.6laws.net/6law/law\&#21009;&#27861;.htm" TargetMode="External"/><Relationship Id="rId1850" Type="http://schemas.openxmlformats.org/officeDocument/2006/relationships/hyperlink" Target="https://www.6laws.net/6law/law2\&#20445;&#35703;&#25152;&#26377;&#31227;&#24473;&#24037;&#20154;&#21450;&#20854;&#23478;&#24237;&#25104;&#21729;&#27402;&#21033;&#22283;&#38555;&#20844;&#32004;.htm" TargetMode="External"/><Relationship Id="rId2901" Type="http://schemas.openxmlformats.org/officeDocument/2006/relationships/hyperlink" Target="http://www.peacehall.com/news/gb/china/2004/06/200406161040.shtml" TargetMode="External"/><Relationship Id="rId1503" Type="http://schemas.openxmlformats.org/officeDocument/2006/relationships/hyperlink" Target="https://www.6laws.net/6law/law\&#22823;&#27861;&#23448;&#35299;&#37323;87-91&#24180;.htm" TargetMode="External"/><Relationship Id="rId1710" Type="http://schemas.openxmlformats.org/officeDocument/2006/relationships/hyperlink" Target="https://www.6laws.net/6law/law\&#27602;&#21697;&#21361;&#23475;&#38450;&#21046;&#26781;&#20363;.htm" TargetMode="External"/><Relationship Id="rId1948" Type="http://schemas.openxmlformats.org/officeDocument/2006/relationships/hyperlink" Target="https://www.6laws.net/6law/law2\&#20844;&#27665;&#33287;&#25919;&#27835;&#27402;&#21033;&#22283;&#38555;&#20844;&#32004;.htm" TargetMode="External"/><Relationship Id="rId291" Type="http://schemas.openxmlformats.org/officeDocument/2006/relationships/hyperlink" Target="https://www.6laws.net/6law/law\&#22823;&#27861;&#23448;&#35299;&#37323;79-86&#24180;.htm" TargetMode="External"/><Relationship Id="rId1808" Type="http://schemas.openxmlformats.org/officeDocument/2006/relationships/hyperlink" Target="https://www.6laws.net/6law/law2\&#19990;&#30028;&#20154;&#27402;&#23459;&#35328;.htm" TargetMode="External"/><Relationship Id="rId151" Type="http://schemas.openxmlformats.org/officeDocument/2006/relationships/hyperlink" Target="https://www.6laws.net/6law/law\&#22823;&#27861;&#23448;&#35299;&#37323;79-86&#24180;.htm" TargetMode="External"/><Relationship Id="rId389" Type="http://schemas.openxmlformats.org/officeDocument/2006/relationships/hyperlink" Target="https://www.6laws.net/6law/law\&#22823;&#27861;&#23448;&#35299;&#37323;92-n&#24180;.htm" TargetMode="External"/><Relationship Id="rId596" Type="http://schemas.openxmlformats.org/officeDocument/2006/relationships/hyperlink" Target="https://www.6laws.net/6law/law\&#25010;&#27861;.htm" TargetMode="External"/><Relationship Id="rId2277" Type="http://schemas.openxmlformats.org/officeDocument/2006/relationships/hyperlink" Target="https://www.6laws.net/6law/law-gb\&#21453;&#20998;&#35010;&#22283;&#23478;&#27861;.htm" TargetMode="External"/><Relationship Id="rId2484" Type="http://schemas.openxmlformats.org/officeDocument/2006/relationships/hyperlink" Target="https://www.6laws.net/6law/law\&#21009;&#27861;.htm" TargetMode="External"/><Relationship Id="rId2691" Type="http://schemas.openxmlformats.org/officeDocument/2006/relationships/hyperlink" Target="https://www.6laws.net/6law/law\&#20837;&#20986;&#22283;&#21450;&#31227;&#27665;&#27861;.htm" TargetMode="External"/><Relationship Id="rId249" Type="http://schemas.openxmlformats.org/officeDocument/2006/relationships/hyperlink" Target="https://www.6laws.net/6law/law\&#38651;&#20449;&#27861;.htm" TargetMode="External"/><Relationship Id="rId456" Type="http://schemas.openxmlformats.org/officeDocument/2006/relationships/hyperlink" Target="https://zh.wikipedia.org/wiki/&#20013;&#33775;&#27665;&#22283;&#25010;&#27861;" TargetMode="External"/><Relationship Id="rId663" Type="http://schemas.openxmlformats.org/officeDocument/2006/relationships/hyperlink" Target="https://www.6laws.net/6law/law\&#22823;&#27861;&#23448;&#35299;&#37323;79-86&#24180;.htm" TargetMode="External"/><Relationship Id="rId870" Type="http://schemas.openxmlformats.org/officeDocument/2006/relationships/hyperlink" Target="https://www.6laws.net/6law/law\&#25010;&#27861;.htm" TargetMode="External"/><Relationship Id="rId1086" Type="http://schemas.openxmlformats.org/officeDocument/2006/relationships/hyperlink" Target="https://www.6laws.net/6law/law\&#25010;&#27861;.htm" TargetMode="External"/><Relationship Id="rId1293" Type="http://schemas.openxmlformats.org/officeDocument/2006/relationships/hyperlink" Target="https://www.6laws.net/6law/law\&#22823;&#27861;&#23448;&#35299;&#37323;61-78&#24180;.htm" TargetMode="External"/><Relationship Id="rId2137" Type="http://schemas.openxmlformats.org/officeDocument/2006/relationships/hyperlink" Target="https://www.6laws.net/6law/law2\&#19990;&#30028;&#20154;&#27402;&#23459;&#35328;.htm" TargetMode="External"/><Relationship Id="rId2344" Type="http://schemas.openxmlformats.org/officeDocument/2006/relationships/hyperlink" Target="https://www.6laws.net/6law/law\&#25010;&#27861;.htm" TargetMode="External"/><Relationship Id="rId2551" Type="http://schemas.openxmlformats.org/officeDocument/2006/relationships/hyperlink" Target="https://www.6laws.net/6law/law2\&#20844;&#27665;&#33287;&#25919;&#27835;&#27402;&#21033;&#22283;&#38555;&#20844;&#32004;.htm" TargetMode="External"/><Relationship Id="rId2789" Type="http://schemas.openxmlformats.org/officeDocument/2006/relationships/hyperlink" Target="https://www.6laws.net/6law/law2\&#19990;&#30028;&#20154;&#27402;&#23459;&#35328;.htm" TargetMode="External"/><Relationship Id="rId109" Type="http://schemas.openxmlformats.org/officeDocument/2006/relationships/hyperlink" Target="https://www.6laws.net/6law/law\&#22823;&#27861;&#23448;&#35299;&#37323;87-91&#24180;.htm" TargetMode="External"/><Relationship Id="rId316" Type="http://schemas.openxmlformats.org/officeDocument/2006/relationships/hyperlink" Target="https://www.6laws.net/6law/law\&#22823;&#27861;&#23448;&#35299;&#37323;38-60&#24180;.htm" TargetMode="External"/><Relationship Id="rId523" Type="http://schemas.openxmlformats.org/officeDocument/2006/relationships/hyperlink" Target="https://www.6laws.net/6law/law\&#25010;&#27861;.htm" TargetMode="External"/><Relationship Id="rId968" Type="http://schemas.openxmlformats.org/officeDocument/2006/relationships/hyperlink" Target="https://www.6laws.net/6law/law\&#22823;&#27861;&#23448;&#35299;&#37323;79-86&#24180;.htm" TargetMode="External"/><Relationship Id="rId1153" Type="http://schemas.openxmlformats.org/officeDocument/2006/relationships/hyperlink" Target="https://www.6laws.net/6law/law\&#22320;&#26041;&#21046;&#24230;&#27861;.htm" TargetMode="External"/><Relationship Id="rId1598" Type="http://schemas.openxmlformats.org/officeDocument/2006/relationships/image" Target="media/image27.jpeg"/><Relationship Id="rId2204" Type="http://schemas.openxmlformats.org/officeDocument/2006/relationships/hyperlink" Target="https://www.6laws.net/6law/law\&#20154;&#21475;&#36009;&#36939;&#38450;&#21046;&#27861;.htm" TargetMode="External"/><Relationship Id="rId2649" Type="http://schemas.openxmlformats.org/officeDocument/2006/relationships/hyperlink" Target="https://www.6laws.net/6law/law\&#20778;&#29983;&#20445;&#20581;&#27861;.htm" TargetMode="External"/><Relationship Id="rId2856" Type="http://schemas.openxmlformats.org/officeDocument/2006/relationships/hyperlink" Target="https://www.6laws.net/6law/law\&#20013;&#33775;&#27665;&#22283;&#25010;&#27861;&#22686;&#20462;&#26781;&#25991;.htm" TargetMode="External"/><Relationship Id="rId97" Type="http://schemas.openxmlformats.org/officeDocument/2006/relationships/hyperlink" Target="https://www.6laws.net/6law/law2\&#20844;&#27665;&#33287;&#25919;&#27835;&#27402;&#21033;&#22283;&#38555;&#20844;&#32004;.htm" TargetMode="External"/><Relationship Id="rId730" Type="http://schemas.openxmlformats.org/officeDocument/2006/relationships/hyperlink" Target="https://www.6laws.net/6law/law\&#25010;&#27861;.htm" TargetMode="External"/><Relationship Id="rId828" Type="http://schemas.openxmlformats.org/officeDocument/2006/relationships/hyperlink" Target="https://www.6laws.net/6law/law\&#21496;&#27861;&#38498;&#22823;&#27861;&#23448;&#23529;&#29702;&#26696;&#20214;&#27861;.htm" TargetMode="External"/><Relationship Id="rId1013" Type="http://schemas.openxmlformats.org/officeDocument/2006/relationships/hyperlink" Target="https://www.6laws.net/6law/law\&#20013;&#33775;&#27665;&#22283;&#25010;&#27861;&#22686;&#20462;&#26781;&#25991;.htm" TargetMode="External"/><Relationship Id="rId1360" Type="http://schemas.openxmlformats.org/officeDocument/2006/relationships/hyperlink" Target="https://www.6laws.net/6law/law\&#25010;&#27861;.htm" TargetMode="External"/><Relationship Id="rId1458" Type="http://schemas.openxmlformats.org/officeDocument/2006/relationships/hyperlink" Target="https://www.6laws.net/6law/law\&#25010;&#27861;.htm" TargetMode="External"/><Relationship Id="rId1665" Type="http://schemas.openxmlformats.org/officeDocument/2006/relationships/hyperlink" Target="https://www.6laws.net/6law/law\&#40635;&#37257;&#34277;&#21697;&#31649;&#29702;&#26781;&#20363;.htm" TargetMode="External"/><Relationship Id="rId1872" Type="http://schemas.openxmlformats.org/officeDocument/2006/relationships/hyperlink" Target="https://www.6laws.net/6law/law2\&#20844;&#27665;&#33287;&#25919;&#27835;&#27402;&#21033;&#22283;&#38555;&#20844;&#32004;.htm" TargetMode="External"/><Relationship Id="rId2411" Type="http://schemas.openxmlformats.org/officeDocument/2006/relationships/hyperlink" Target="https://www.6laws.net/6law/law\&#25010;&#27861;.htm" TargetMode="External"/><Relationship Id="rId2509" Type="http://schemas.openxmlformats.org/officeDocument/2006/relationships/hyperlink" Target="https://www.6laws.net/6law/law\&#22823;&#27861;&#23448;&#35299;&#37323;87-91&#24180;.htm" TargetMode="External"/><Relationship Id="rId2716" Type="http://schemas.openxmlformats.org/officeDocument/2006/relationships/hyperlink" Target="https://www.6laws.net/6law/law\&#22823;&#27861;&#23448;&#35299;&#37323;92-n&#24180;.htm" TargetMode="External"/><Relationship Id="rId1220" Type="http://schemas.openxmlformats.org/officeDocument/2006/relationships/hyperlink" Target="https://www.6laws.net/6law/law\&#25010;&#27861;.htm" TargetMode="External"/><Relationship Id="rId1318" Type="http://schemas.openxmlformats.org/officeDocument/2006/relationships/hyperlink" Target="https://www.6laws.net/6law/law\&#25010;&#27861;.htm" TargetMode="External"/><Relationship Id="rId1525" Type="http://schemas.openxmlformats.org/officeDocument/2006/relationships/hyperlink" Target="https://www.6laws.net/6law/law\&#25010;&#27861;.htm" TargetMode="External"/><Relationship Id="rId2923" Type="http://schemas.openxmlformats.org/officeDocument/2006/relationships/hyperlink" Target="https://groups.google.com/d/topic/yotu/tEX7zGxrBeE" TargetMode="External"/><Relationship Id="rId1732" Type="http://schemas.openxmlformats.org/officeDocument/2006/relationships/hyperlink" Target="https://www.6laws.net/6law/law\&#23601;&#26989;&#26381;&#21209;&#27861;.htm" TargetMode="External"/><Relationship Id="rId24" Type="http://schemas.openxmlformats.org/officeDocument/2006/relationships/hyperlink" Target="https://www.6laws.net/6law/law\&#20778;&#29983;&#20445;&#20581;&#27861;.htm" TargetMode="External"/><Relationship Id="rId2299" Type="http://schemas.openxmlformats.org/officeDocument/2006/relationships/hyperlink" Target="https://www.6laws.net/6law/law-gb\&#21453;&#20998;&#35010;&#22283;&#23478;&#27861;.htm" TargetMode="External"/><Relationship Id="rId173" Type="http://schemas.openxmlformats.org/officeDocument/2006/relationships/hyperlink" Target="https://www.6laws.net/6law/law\&#33274;&#28771;&#22320;&#21312;&#33287;&#22823;&#38520;&#22320;&#21312;&#20154;&#27665;&#38364;&#20418;&#26781;&#20363;.htm" TargetMode="External"/><Relationship Id="rId380" Type="http://schemas.openxmlformats.org/officeDocument/2006/relationships/hyperlink" Target="https://www.6laws.net/6law/law\&#22823;&#27861;&#23448;&#35299;&#37323;92-n&#24180;.htm" TargetMode="External"/><Relationship Id="rId2061" Type="http://schemas.openxmlformats.org/officeDocument/2006/relationships/hyperlink" Target="https://www.6laws.net/6law/law2\&#20844;&#27665;&#33287;&#25919;&#27835;&#27402;&#21033;&#22283;&#38555;&#20844;&#32004;.htm" TargetMode="External"/><Relationship Id="rId240" Type="http://schemas.openxmlformats.org/officeDocument/2006/relationships/hyperlink" Target="https://www.6laws.net/6law/law\&#25010;&#27861;.htm" TargetMode="External"/><Relationship Id="rId478" Type="http://schemas.openxmlformats.org/officeDocument/2006/relationships/hyperlink" Target="https://www.6laws.net/6law/law\&#25010;&#27861;.htm" TargetMode="External"/><Relationship Id="rId685" Type="http://schemas.openxmlformats.org/officeDocument/2006/relationships/hyperlink" Target="https://www.6laws.net/6law/law\&#20013;&#33775;&#27665;&#22283;&#25010;&#27861;&#22686;&#20462;&#26781;&#25991;.htm" TargetMode="External"/><Relationship Id="rId892" Type="http://schemas.openxmlformats.org/officeDocument/2006/relationships/hyperlink" Target="https://www.6laws.net/6law/law\&#25010;&#27861;.htm" TargetMode="External"/><Relationship Id="rId2159" Type="http://schemas.openxmlformats.org/officeDocument/2006/relationships/hyperlink" Target="https://www.6laws.net/6law/law\&#25010;&#27861;.htm" TargetMode="External"/><Relationship Id="rId2366" Type="http://schemas.openxmlformats.org/officeDocument/2006/relationships/hyperlink" Target="https://www.6laws.net/6law/law\&#25010;&#27861;.htm" TargetMode="External"/><Relationship Id="rId2573" Type="http://schemas.openxmlformats.org/officeDocument/2006/relationships/hyperlink" Target="https://www.6laws.net/6law/law\&#25010;&#27861;.htm" TargetMode="External"/><Relationship Id="rId2780" Type="http://schemas.openxmlformats.org/officeDocument/2006/relationships/hyperlink" Target="https://www.6laws.net/6law/law2&#20844;&#27665;&#33287;&#25919;&#27835;&#27402;&#21033;&#22283;&#38555;&#20844;&#32004;.htm" TargetMode="External"/><Relationship Id="rId100" Type="http://schemas.openxmlformats.org/officeDocument/2006/relationships/hyperlink" Target="https://www.6laws.net/6law/law2\&#20844;&#27665;&#33287;&#25919;&#27835;&#27402;&#21033;&#22283;&#38555;&#20844;&#32004;.htm" TargetMode="External"/><Relationship Id="rId338" Type="http://schemas.openxmlformats.org/officeDocument/2006/relationships/hyperlink" Target="https://www.6laws.net/6law/law\&#25152;&#24471;&#31237;&#27861;.htm" TargetMode="External"/><Relationship Id="rId545" Type="http://schemas.openxmlformats.org/officeDocument/2006/relationships/hyperlink" Target="https://www.6laws.net/6law/law\&#25010;&#27861;.htm" TargetMode="External"/><Relationship Id="rId752" Type="http://schemas.openxmlformats.org/officeDocument/2006/relationships/hyperlink" Target="https://www.6laws.net/6law/law\&#20013;&#33775;&#27665;&#22283;&#25010;&#27861;&#22686;&#20462;&#26781;&#25991;.htm" TargetMode="External"/><Relationship Id="rId1175" Type="http://schemas.openxmlformats.org/officeDocument/2006/relationships/hyperlink" Target="https://www.6laws.net/6law/law\&#22320;&#26041;&#21046;&#24230;&#27861;.htm" TargetMode="External"/><Relationship Id="rId1382" Type="http://schemas.openxmlformats.org/officeDocument/2006/relationships/hyperlink" Target="aw\&#20013;&#33775;&#27665;&#22283;&#25010;&#27861;&#22686;&#20462;&#26781;&#25991;.htm" TargetMode="External"/><Relationship Id="rId2019" Type="http://schemas.openxmlformats.org/officeDocument/2006/relationships/hyperlink" Target="https://www.6laws.net/6law/law\&#34892;&#25919;&#22519;&#34892;&#27861;.htm" TargetMode="External"/><Relationship Id="rId2226" Type="http://schemas.openxmlformats.org/officeDocument/2006/relationships/hyperlink" Target="https://www.6laws.net/6law/law\&#21009;&#27861;.htm" TargetMode="External"/><Relationship Id="rId2433" Type="http://schemas.openxmlformats.org/officeDocument/2006/relationships/hyperlink" Target="https://www.6laws.net/6law/law2\&#19990;&#30028;&#20154;&#27402;&#23459;&#35328;.htm" TargetMode="External"/><Relationship Id="rId2640" Type="http://schemas.openxmlformats.org/officeDocument/2006/relationships/hyperlink" Target="https://www.6laws.net/6law/law\&#20778;&#29983;&#20445;&#20581;&#27861;.htm" TargetMode="External"/><Relationship Id="rId2878" Type="http://schemas.openxmlformats.org/officeDocument/2006/relationships/hyperlink" Target="http://www.nytimes.com/2010/08/27/us/27immig.html?_r=1" TargetMode="External"/><Relationship Id="rId405" Type="http://schemas.openxmlformats.org/officeDocument/2006/relationships/hyperlink" Target="https://www.6laws.net/6law/law\&#21009;&#27861;.htm" TargetMode="External"/><Relationship Id="rId612" Type="http://schemas.openxmlformats.org/officeDocument/2006/relationships/hyperlink" Target="https://www.6laws.net/6law/law\&#34892;&#25919;&#38498;&#32068;&#32340;&#27861;.htm" TargetMode="External"/><Relationship Id="rId1035" Type="http://schemas.openxmlformats.org/officeDocument/2006/relationships/hyperlink" Target="https://www.6laws.net/6law/law\&#22823;&#27861;&#23448;&#35299;&#37323;38-60&#24180;.htm" TargetMode="External"/><Relationship Id="rId1242" Type="http://schemas.openxmlformats.org/officeDocument/2006/relationships/hyperlink" Target="https://www.6laws.net/6law/law\&#27665;&#27861;.htm" TargetMode="External"/><Relationship Id="rId1687" Type="http://schemas.openxmlformats.org/officeDocument/2006/relationships/hyperlink" Target="https://www.6laws.net/6law/law\&#27602;&#21697;&#21361;&#23475;&#38450;&#21046;&#26781;&#20363;.htm" TargetMode="External"/><Relationship Id="rId1894" Type="http://schemas.openxmlformats.org/officeDocument/2006/relationships/hyperlink" Target="https://www.6laws.net/6law/law2\&#20445;&#35703;&#25152;&#26377;&#31227;&#24473;&#24037;&#20154;&#21450;&#20854;&#23478;&#24237;&#25104;&#21729;&#27402;&#21033;&#22283;&#38555;&#20844;&#32004;.htm" TargetMode="External"/><Relationship Id="rId2500" Type="http://schemas.openxmlformats.org/officeDocument/2006/relationships/hyperlink" Target="https://www.6laws.net/6law/law2\&#19990;&#30028;&#20154;&#27402;&#23459;&#35328;.htm" TargetMode="External"/><Relationship Id="rId2738" Type="http://schemas.openxmlformats.org/officeDocument/2006/relationships/hyperlink" Target="aw\&#20013;&#33775;&#27665;&#22283;&#25010;&#27861;&#22686;&#20462;&#26781;&#25991;.htm" TargetMode="External"/><Relationship Id="rId917" Type="http://schemas.openxmlformats.org/officeDocument/2006/relationships/hyperlink" Target="https://www.6laws.net/6law/law\&#25010;&#27861;.htm" TargetMode="External"/><Relationship Id="rId1102" Type="http://schemas.openxmlformats.org/officeDocument/2006/relationships/hyperlink" Target="https://www.6laws.net/6law/law\&#21496;&#27861;&#38498;&#22823;&#27861;&#23448;&#23529;&#29702;&#26696;&#20214;&#27861;.htm" TargetMode="External"/><Relationship Id="rId1547" Type="http://schemas.openxmlformats.org/officeDocument/2006/relationships/hyperlink" Target="https://www.6laws.net/6law/law\&#25010;&#27861;.htm" TargetMode="External"/><Relationship Id="rId1754" Type="http://schemas.openxmlformats.org/officeDocument/2006/relationships/hyperlink" Target="https://www.6laws.net/6law/law\&#21214;&#21205;&#22522;&#28310;&#27861;.htm" TargetMode="External"/><Relationship Id="rId1961" Type="http://schemas.openxmlformats.org/officeDocument/2006/relationships/hyperlink" Target="https://www.6laws.net/6law/law\&#20837;&#20986;&#22283;&#21450;&#31227;&#27665;&#27861;.htm" TargetMode="External"/><Relationship Id="rId2805" Type="http://schemas.openxmlformats.org/officeDocument/2006/relationships/hyperlink" Target="https://zh.wikipedia.org/wiki/%E6%94%BF%E6%B2%BB%E5%8D%8F%E5%95%86%E4%BC%9A%E8%AE%AE%E5%AE%AA%E6%B3%95%E8%8D%89%E6%A1%88" TargetMode="External"/><Relationship Id="rId46" Type="http://schemas.openxmlformats.org/officeDocument/2006/relationships/hyperlink" Target="https://www.6laws.net/6law/law\&#25010;&#27861;.htm" TargetMode="External"/><Relationship Id="rId1407" Type="http://schemas.openxmlformats.org/officeDocument/2006/relationships/hyperlink" Target="https://www.6laws.net/6law/law\&#20013;&#33775;&#27665;&#22283;&#25010;&#27861;&#22686;&#20462;&#26781;&#25991;.htm" TargetMode="External"/><Relationship Id="rId1614" Type="http://schemas.openxmlformats.org/officeDocument/2006/relationships/hyperlink" Target="https://www.6laws.net/6law/law2\&#32879;&#21512;&#22283;&#25010;&#31456;.htm" TargetMode="External"/><Relationship Id="rId1821" Type="http://schemas.openxmlformats.org/officeDocument/2006/relationships/hyperlink" Target="https://www.6laws.net/6law/law2\&#19990;&#30028;&#20154;&#27402;&#23459;&#35328;.htm" TargetMode="External"/><Relationship Id="rId195" Type="http://schemas.openxmlformats.org/officeDocument/2006/relationships/hyperlink" Target="https://www.6laws.net/6law/law\&#36557;&#20107;&#23529;&#21028;&#27861;.htm" TargetMode="External"/><Relationship Id="rId1919" Type="http://schemas.openxmlformats.org/officeDocument/2006/relationships/hyperlink" Target="https://www.6laws.net/6law/law2\&#26377;&#38364;&#38627;&#27665;&#22320;&#20301;&#20844;&#32004;.htm" TargetMode="External"/><Relationship Id="rId2083" Type="http://schemas.openxmlformats.org/officeDocument/2006/relationships/hyperlink" Target="https://www.6laws.net/6law/law2\&#20844;&#27665;&#33287;&#25919;&#27835;&#27402;&#21033;&#22283;&#38555;&#20844;&#32004;.htm" TargetMode="External"/><Relationship Id="rId2290" Type="http://schemas.openxmlformats.org/officeDocument/2006/relationships/hyperlink" Target="https://www.6laws.net/6law/law-gb\&#21453;&#20998;&#35010;&#22283;&#23478;&#27861;.htm" TargetMode="External"/><Relationship Id="rId2388" Type="http://schemas.openxmlformats.org/officeDocument/2006/relationships/hyperlink" Target="https://www.6laws.net/6law/law-gb\&#21453;&#20998;&#35010;&#22283;&#23478;&#27861;.htm" TargetMode="External"/><Relationship Id="rId2595" Type="http://schemas.openxmlformats.org/officeDocument/2006/relationships/hyperlink" Target="https://www.6laws.net/6law/law\&#38598;&#26371;&#36938;&#34892;&#27861;.htm" TargetMode="External"/><Relationship Id="rId262" Type="http://schemas.openxmlformats.org/officeDocument/2006/relationships/hyperlink" Target="https://www.6laws.net/6law/law\&#25010;&#27861;.htm" TargetMode="External"/><Relationship Id="rId567" Type="http://schemas.openxmlformats.org/officeDocument/2006/relationships/hyperlink" Target="https://www.6laws.net/6law/law\&#25010;&#27861;.htm" TargetMode="External"/><Relationship Id="rId1197" Type="http://schemas.openxmlformats.org/officeDocument/2006/relationships/hyperlink" Target="https://www.6laws.net/6law/law\&#20844;&#32887;&#20154;&#21729;&#36984;&#33289;&#32631;&#20813;&#27861;.htm" TargetMode="External"/><Relationship Id="rId2150" Type="http://schemas.openxmlformats.org/officeDocument/2006/relationships/hyperlink" Target="https://www.6laws.net/6law/law2\&#32147;&#28639;&#31038;&#26371;&#25991;&#21270;&#27402;&#21033;&#22283;&#38555;&#20844;&#32004;.htm" TargetMode="External"/><Relationship Id="rId2248" Type="http://schemas.openxmlformats.org/officeDocument/2006/relationships/hyperlink" Target="https://www.6laws.net/6law/law-gb\&#21453;&#20998;&#35010;&#22283;&#23478;&#27861;.htm" TargetMode="External"/><Relationship Id="rId122" Type="http://schemas.openxmlformats.org/officeDocument/2006/relationships/hyperlink" Target="https://www.6laws.net/6law/law\&#22823;&#27861;&#23448;&#35299;&#37323;92-n&#24180;.htm" TargetMode="External"/><Relationship Id="rId774" Type="http://schemas.openxmlformats.org/officeDocument/2006/relationships/hyperlink" Target="https://www.6laws.net/6law/law\&#25010;&#27861;.htm" TargetMode="External"/><Relationship Id="rId981" Type="http://schemas.openxmlformats.org/officeDocument/2006/relationships/hyperlink" Target="https://www.6laws.net/6law/law\&#25010;&#27861;.htm" TargetMode="External"/><Relationship Id="rId1057" Type="http://schemas.openxmlformats.org/officeDocument/2006/relationships/hyperlink" Target="https://www.6laws.net/6law/law\&#25010;&#27861;.htm" TargetMode="External"/><Relationship Id="rId2010" Type="http://schemas.openxmlformats.org/officeDocument/2006/relationships/hyperlink" Target="https://www.6laws.net/6law/law\&#22823;&#27861;&#23448;&#35299;&#37323;92-n&#24180;.htm" TargetMode="External"/><Relationship Id="rId2455" Type="http://schemas.openxmlformats.org/officeDocument/2006/relationships/hyperlink" Target="https://www.6laws.net/6law/law2\&#19990;&#30028;&#20154;&#27402;&#23459;&#35328;.htm" TargetMode="External"/><Relationship Id="rId2662" Type="http://schemas.openxmlformats.org/officeDocument/2006/relationships/image" Target="media/image54.jpeg"/><Relationship Id="rId427" Type="http://schemas.openxmlformats.org/officeDocument/2006/relationships/hyperlink" Target="https://www.6laws.net/6law/law\&#20900;&#29508;&#36064;&#20767;&#27861;.htm" TargetMode="External"/><Relationship Id="rId634" Type="http://schemas.openxmlformats.org/officeDocument/2006/relationships/hyperlink" Target="https://www.6laws.net/6law/law\&#25010;&#27861;.htm" TargetMode="External"/><Relationship Id="rId841" Type="http://schemas.openxmlformats.org/officeDocument/2006/relationships/hyperlink" Target="https://www.6laws.net/6law/law\&#25010;&#27861;.htm" TargetMode="External"/><Relationship Id="rId1264" Type="http://schemas.openxmlformats.org/officeDocument/2006/relationships/hyperlink" Target="https://www.6laws.net/6law/law\&#20449;&#35351;&#27861;.htm" TargetMode="External"/><Relationship Id="rId1471" Type="http://schemas.openxmlformats.org/officeDocument/2006/relationships/hyperlink" Target="https://www.6laws.net/6law/law\&#20013;&#33775;&#27665;&#22283;&#25010;&#27861;&#22686;&#20462;&#26781;&#25991;.htm" TargetMode="External"/><Relationship Id="rId1569" Type="http://schemas.openxmlformats.org/officeDocument/2006/relationships/hyperlink" Target="https://www.6laws.net/6law/law\&#36001;&#25919;&#25910;&#25903;&#21123;&#20998;&#27861;.htm" TargetMode="External"/><Relationship Id="rId2108" Type="http://schemas.openxmlformats.org/officeDocument/2006/relationships/hyperlink" Target="https://www.6laws.net/6law/law2\&#20844;&#27665;&#33287;&#25919;&#27835;&#27402;&#21033;&#22283;&#38555;&#20844;&#32004;.htm" TargetMode="External"/><Relationship Id="rId2315" Type="http://schemas.openxmlformats.org/officeDocument/2006/relationships/hyperlink" Target="https://www.6laws.net/6law/law-gb\&#21453;&#20998;&#35010;&#22283;&#23478;&#27861;.htm" TargetMode="External"/><Relationship Id="rId2522" Type="http://schemas.openxmlformats.org/officeDocument/2006/relationships/hyperlink" Target="https://www.6laws.net/6law/law\&#22823;&#27861;&#23448;&#35299;&#37323;87-91&#24180;.htm" TargetMode="External"/><Relationship Id="rId701" Type="http://schemas.openxmlformats.org/officeDocument/2006/relationships/hyperlink" Target="https://www.6laws.net/6law/law\&#20013;&#33775;&#27665;&#22283;&#25010;&#27861;&#22686;&#20462;&#26781;&#25991;.htm" TargetMode="External"/><Relationship Id="rId939" Type="http://schemas.openxmlformats.org/officeDocument/2006/relationships/hyperlink" Target="https://www.6laws.net/6law/law\&#25010;&#27861;.htm" TargetMode="External"/><Relationship Id="rId1124" Type="http://schemas.openxmlformats.org/officeDocument/2006/relationships/hyperlink" Target="https://www.6laws.net/6law/law\&#22320;&#26041;&#21046;&#24230;&#27861;.htm" TargetMode="External"/><Relationship Id="rId1331" Type="http://schemas.openxmlformats.org/officeDocument/2006/relationships/hyperlink" Target="https://www.6laws.net/6law/law\&#25010;&#27861;.htm" TargetMode="External"/><Relationship Id="rId1776" Type="http://schemas.openxmlformats.org/officeDocument/2006/relationships/hyperlink" Target="https://www.6laws.net/6law/law\&#21214;&#21205;&#22522;&#28310;&#27861;.htm" TargetMode="External"/><Relationship Id="rId1983" Type="http://schemas.openxmlformats.org/officeDocument/2006/relationships/hyperlink" Target="https://www.6laws.net/6law/law2\&#20844;&#27665;&#33287;&#25919;&#27835;&#27402;&#21033;&#22283;&#38555;&#20844;&#32004;.htm" TargetMode="External"/><Relationship Id="rId2827" Type="http://schemas.openxmlformats.org/officeDocument/2006/relationships/hyperlink" Target="https://www.6laws.net/6law/law\&#36001;&#25919;&#25910;&#25903;&#21123;&#20998;&#27861;.htm" TargetMode="External"/><Relationship Id="rId68" Type="http://schemas.openxmlformats.org/officeDocument/2006/relationships/hyperlink" Target="https://www.6laws.net/6law/law\&#25010;&#27861;.htm" TargetMode="External"/><Relationship Id="rId1429" Type="http://schemas.openxmlformats.org/officeDocument/2006/relationships/hyperlink" Target="https://www.6laws.net/6law/law\&#25010;&#27861;.htm" TargetMode="External"/><Relationship Id="rId1636" Type="http://schemas.openxmlformats.org/officeDocument/2006/relationships/hyperlink" Target="https://www.6laws.net/6law/law2\&#32147;&#28639;&#31038;&#26371;&#25991;&#21270;&#27402;&#21033;&#22283;&#38555;&#20844;&#32004;.htm" TargetMode="External"/><Relationship Id="rId1843" Type="http://schemas.openxmlformats.org/officeDocument/2006/relationships/hyperlink" Target="https://www.6laws.net/6law/law2\&#20445;&#35703;&#25152;&#26377;&#31227;&#24473;&#24037;&#20154;&#21450;&#20854;&#23478;&#24237;&#25104;&#21729;&#27402;&#21033;&#22283;&#38555;&#20844;&#32004;.htm" TargetMode="External"/><Relationship Id="rId1703" Type="http://schemas.openxmlformats.org/officeDocument/2006/relationships/hyperlink" Target="https://www.6laws.net/6law/law\&#27602;&#21697;&#21361;&#23475;&#38450;&#21046;&#26781;&#20363;.htm" TargetMode="External"/><Relationship Id="rId1910" Type="http://schemas.openxmlformats.org/officeDocument/2006/relationships/hyperlink" Target="https://www.6laws.net/6law/law2\&#26377;&#38364;&#38627;&#27665;&#22320;&#20301;&#20844;&#32004;.htm" TargetMode="External"/><Relationship Id="rId284" Type="http://schemas.openxmlformats.org/officeDocument/2006/relationships/hyperlink" Target="https://www.6laws.net/6law/law\&#25010;&#27861;.htm" TargetMode="External"/><Relationship Id="rId491" Type="http://schemas.openxmlformats.org/officeDocument/2006/relationships/hyperlink" Target="https://www.6laws.net/6law/law\&#20013;&#33775;&#27665;&#22283;&#25010;&#27861;&#22686;&#20462;&#26781;&#25991;.htm" TargetMode="External"/><Relationship Id="rId2172" Type="http://schemas.openxmlformats.org/officeDocument/2006/relationships/hyperlink" Target="https://www.6laws.net/6law/law\&#20837;&#20986;&#22283;&#21450;&#31227;&#27665;&#27861;.htm" TargetMode="External"/><Relationship Id="rId144" Type="http://schemas.openxmlformats.org/officeDocument/2006/relationships/hyperlink" Target="https://www.6laws.net/6law/law\&#21009;&#20107;&#35380;&#35359;&#27861;.htm" TargetMode="External"/><Relationship Id="rId589" Type="http://schemas.openxmlformats.org/officeDocument/2006/relationships/hyperlink" Target="https://www.6laws.net/6law/law\&#20013;&#33775;&#27665;&#22283;&#25010;&#27861;&#22686;&#20462;&#26781;&#25991;.htm" TargetMode="External"/><Relationship Id="rId796" Type="http://schemas.openxmlformats.org/officeDocument/2006/relationships/hyperlink" Target="https://www.6laws.net/6law/law\&#25010;&#27861;.htm" TargetMode="External"/><Relationship Id="rId2477" Type="http://schemas.openxmlformats.org/officeDocument/2006/relationships/hyperlink" Target="https://www.6laws.net/6law/law2\&#20844;&#27665;&#33287;&#25919;&#27835;&#27402;&#21033;&#22283;&#38555;&#20844;&#32004;.htm" TargetMode="External"/><Relationship Id="rId2684" Type="http://schemas.openxmlformats.org/officeDocument/2006/relationships/hyperlink" Target="https://www.6laws.net/6law/law\&#25010;&#27861;.htm" TargetMode="External"/><Relationship Id="rId351" Type="http://schemas.openxmlformats.org/officeDocument/2006/relationships/hyperlink" Target="https://www.6laws.net/6law/law\&#25010;&#27861;.htm" TargetMode="External"/><Relationship Id="rId449" Type="http://schemas.openxmlformats.org/officeDocument/2006/relationships/hyperlink" Target="https://zh.wikipedia.org/wiki/%E5%88%B6%E6%86%B2%E5%9C%8B%E6%B0%91%E5%A4%A7%E6%9C%83" TargetMode="External"/><Relationship Id="rId656" Type="http://schemas.openxmlformats.org/officeDocument/2006/relationships/hyperlink" Target="https://www.6laws.net/6law/law\&#34892;&#25919;&#38498;&#32068;&#32340;&#27861;.htm" TargetMode="External"/><Relationship Id="rId863" Type="http://schemas.openxmlformats.org/officeDocument/2006/relationships/hyperlink" Target="https://www.6laws.net/6law/law\&#25010;&#27861;.htm" TargetMode="External"/><Relationship Id="rId1079" Type="http://schemas.openxmlformats.org/officeDocument/2006/relationships/hyperlink" Target="https://www.6laws.net/6law/law\&#22823;&#27861;&#23448;&#35299;&#37323;87-91&#24180;.htm" TargetMode="External"/><Relationship Id="rId1286" Type="http://schemas.openxmlformats.org/officeDocument/2006/relationships/hyperlink" Target="https://www.6laws.net/6law/law\&#22823;&#27861;&#23448;&#35299;&#37323;79-86&#24180;.htm" TargetMode="External"/><Relationship Id="rId1493" Type="http://schemas.openxmlformats.org/officeDocument/2006/relationships/hyperlink" Target="https://www.6laws.net/6law/law\&#20013;&#33775;&#27665;&#22283;&#25010;&#27861;&#22686;&#20462;&#26781;&#25991;.htm" TargetMode="External"/><Relationship Id="rId2032" Type="http://schemas.openxmlformats.org/officeDocument/2006/relationships/hyperlink" Target="https://www.6laws.net/6law/law2\&#20844;&#27665;&#33287;&#25919;&#27835;&#27402;&#21033;&#22283;&#38555;&#20844;&#32004;.htm" TargetMode="External"/><Relationship Id="rId2337" Type="http://schemas.openxmlformats.org/officeDocument/2006/relationships/hyperlink" Target="https://www.6laws.net/6law/law\&#25010;&#27861;.htm" TargetMode="External"/><Relationship Id="rId2544" Type="http://schemas.openxmlformats.org/officeDocument/2006/relationships/hyperlink" Target="https://www.6laws.net/6law/law2\&#32147;&#28639;&#31038;&#26371;&#25991;&#21270;&#27402;&#21033;&#22283;&#38555;&#20844;&#32004;.htm" TargetMode="External"/><Relationship Id="rId2891" Type="http://schemas.openxmlformats.org/officeDocument/2006/relationships/hyperlink" Target="http://www.state.gov/g/tip/rls/tiprpt/2010/142744.htm" TargetMode="External"/><Relationship Id="rId211" Type="http://schemas.openxmlformats.org/officeDocument/2006/relationships/hyperlink" Target="https://www.6laws.net/6law/law\&#22823;&#27861;&#23448;&#35299;&#37323;92-n&#24180;.htm" TargetMode="External"/><Relationship Id="rId309" Type="http://schemas.openxmlformats.org/officeDocument/2006/relationships/hyperlink" Target="https://www.6laws.net/6law/law\&#22823;&#27861;&#23448;&#35299;&#37323;38-60&#24180;.htm" TargetMode="External"/><Relationship Id="rId516" Type="http://schemas.openxmlformats.org/officeDocument/2006/relationships/hyperlink" Target="https://www.6laws.net/6law/law\&#22823;&#27861;&#23448;&#35299;&#37323;79-86&#24180;.htm" TargetMode="External"/><Relationship Id="rId1146" Type="http://schemas.openxmlformats.org/officeDocument/2006/relationships/hyperlink" Target="https://www.6laws.net/6law/law\&#20844;&#32887;&#20154;&#21729;&#36984;&#33289;&#32631;&#20813;&#27861;.htm" TargetMode="External"/><Relationship Id="rId1798" Type="http://schemas.openxmlformats.org/officeDocument/2006/relationships/hyperlink" Target="https://www.6laws.net/6law/law2\&#19990;&#30028;&#20154;&#27402;&#23459;&#35328;.htm" TargetMode="External"/><Relationship Id="rId2751" Type="http://schemas.openxmlformats.org/officeDocument/2006/relationships/hyperlink" Target="https://www.6laws.net/6law/law2\&#20818;&#31461;&#27402;&#21033;&#20844;&#32004;.htm" TargetMode="External"/><Relationship Id="rId2849" Type="http://schemas.openxmlformats.org/officeDocument/2006/relationships/hyperlink" Target="https://www.6laws.net/6law/law2\&#20844;&#27665;&#33287;&#25919;&#27835;&#27402;&#21033;&#22283;&#38555;&#20844;&#32004;.htm" TargetMode="External"/><Relationship Id="rId723" Type="http://schemas.openxmlformats.org/officeDocument/2006/relationships/hyperlink" Target="https://www.6laws.net/6law/law\&#25010;&#27861;.htm" TargetMode="External"/><Relationship Id="rId930" Type="http://schemas.openxmlformats.org/officeDocument/2006/relationships/hyperlink" Target="https://www.6laws.net/6law/law\&#25010;&#27861;.htm" TargetMode="External"/><Relationship Id="rId1006" Type="http://schemas.openxmlformats.org/officeDocument/2006/relationships/hyperlink" Target="https://www.6laws.net/6law/law\&#25010;&#27861;.htm" TargetMode="External"/><Relationship Id="rId1353" Type="http://schemas.openxmlformats.org/officeDocument/2006/relationships/hyperlink" Target="https://www.6laws.net/6law/law\&#25010;&#27861;.htm" TargetMode="External"/><Relationship Id="rId1560" Type="http://schemas.openxmlformats.org/officeDocument/2006/relationships/hyperlink" Target="https://www.6laws.net/6law/law\&#25010;&#27861;.htm" TargetMode="External"/><Relationship Id="rId1658" Type="http://schemas.openxmlformats.org/officeDocument/2006/relationships/hyperlink" Target="https://www.6laws.net/6law/law\&#25121;&#20098;&#26178;&#26399;&#32901;&#28165;&#29017;&#27602;&#26781;&#20363;.htm" TargetMode="External"/><Relationship Id="rId1865" Type="http://schemas.openxmlformats.org/officeDocument/2006/relationships/hyperlink" Target="https://www.6laws.net/6law/law2\&#19990;&#30028;&#20154;&#27402;&#23459;&#35328;.htm" TargetMode="External"/><Relationship Id="rId2404" Type="http://schemas.openxmlformats.org/officeDocument/2006/relationships/hyperlink" Target="https://www.6laws.net/6law/law\&#25010;&#27861;.htm" TargetMode="External"/><Relationship Id="rId2611" Type="http://schemas.openxmlformats.org/officeDocument/2006/relationships/hyperlink" Target="http://www.foyuan.net/article-861764-1.html" TargetMode="External"/><Relationship Id="rId2709" Type="http://schemas.openxmlformats.org/officeDocument/2006/relationships/hyperlink" Target="https://www.6laws.net/6law/law\&#22823;&#27861;&#23448;&#35299;&#37323;92-n&#24180;.htm" TargetMode="External"/><Relationship Id="rId1213" Type="http://schemas.openxmlformats.org/officeDocument/2006/relationships/hyperlink" Target="https://www.6laws.net/6law/law\&#25010;&#27861;.htm" TargetMode="External"/><Relationship Id="rId1420" Type="http://schemas.openxmlformats.org/officeDocument/2006/relationships/hyperlink" Target="https://www.6laws.net/6law/law\&#25010;&#27861;.htm" TargetMode="External"/><Relationship Id="rId1518" Type="http://schemas.openxmlformats.org/officeDocument/2006/relationships/hyperlink" Target="https://www.6laws.net/6law/law\&#20013;&#33775;&#27665;&#22283;&#25010;&#27861;&#22686;&#20462;&#26781;&#25991;.htm" TargetMode="External"/><Relationship Id="rId2916" Type="http://schemas.openxmlformats.org/officeDocument/2006/relationships/hyperlink" Target="http://www.gs.xinhuanet.com/gsgaw/2005-09/03/content_5043548.htm" TargetMode="External"/><Relationship Id="rId1725" Type="http://schemas.openxmlformats.org/officeDocument/2006/relationships/hyperlink" Target="https://www.6laws.net/6law/law\&#27602;&#21697;&#21361;&#23475;&#38450;&#21046;&#26781;&#20363;.htm" TargetMode="External"/><Relationship Id="rId1932" Type="http://schemas.openxmlformats.org/officeDocument/2006/relationships/hyperlink" Target="https://www.6laws.net/6law/law2\&#19990;&#30028;&#20154;&#27402;&#23459;&#35328;.htm" TargetMode="External"/><Relationship Id="rId17" Type="http://schemas.openxmlformats.org/officeDocument/2006/relationships/image" Target="media/image8.emf"/><Relationship Id="rId2194" Type="http://schemas.openxmlformats.org/officeDocument/2006/relationships/hyperlink" Target="https://www.6laws.net/6law/law2\&#20844;&#27665;&#33287;&#25919;&#27835;&#27402;&#21033;&#22283;&#38555;&#20844;&#32004;.htm" TargetMode="External"/><Relationship Id="rId166" Type="http://schemas.openxmlformats.org/officeDocument/2006/relationships/hyperlink" Target="https://www.6laws.net/6law/law\&#33274;&#28771;&#22320;&#21312;&#33287;&#22823;&#38520;&#22320;&#21312;&#20154;&#27665;&#38364;&#20418;&#26781;&#20363;.htm" TargetMode="External"/><Relationship Id="rId373" Type="http://schemas.openxmlformats.org/officeDocument/2006/relationships/hyperlink" Target="https://www.6laws.net/6law/law\&#22823;&#27861;&#23448;&#35299;&#37323;92-n&#24180;.htm" TargetMode="External"/><Relationship Id="rId580" Type="http://schemas.openxmlformats.org/officeDocument/2006/relationships/hyperlink" Target="https://www.6laws.net/6law/law\&#21009;&#27861;.htm" TargetMode="External"/><Relationship Id="rId2054" Type="http://schemas.openxmlformats.org/officeDocument/2006/relationships/hyperlink" Target="https://www.6laws.net/6law/law2\&#20844;&#27665;&#33287;&#25919;&#27835;&#27402;&#21033;&#22283;&#38555;&#20844;&#32004;.htm" TargetMode="External"/><Relationship Id="rId2261" Type="http://schemas.openxmlformats.org/officeDocument/2006/relationships/hyperlink" Target="https://www.6laws.net/6law/law-gb\&#21453;&#20998;&#35010;&#22283;&#23478;&#27861;.htm" TargetMode="External"/><Relationship Id="rId2499" Type="http://schemas.openxmlformats.org/officeDocument/2006/relationships/hyperlink" Target="https://www.6laws.net/6law/law2\&#20844;&#27665;&#33287;&#25919;&#27835;&#27402;&#21033;&#22283;&#38555;&#20844;&#32004;.htm" TargetMode="External"/><Relationship Id="rId1" Type="http://schemas.openxmlformats.org/officeDocument/2006/relationships/customXml" Target="../customXml/item1.xml"/><Relationship Id="rId233" Type="http://schemas.openxmlformats.org/officeDocument/2006/relationships/hyperlink" Target="https://www.6laws.net/6law/law\&#25010;&#27861;.htm" TargetMode="External"/><Relationship Id="rId440" Type="http://schemas.openxmlformats.org/officeDocument/2006/relationships/hyperlink" Target="https://www.6laws.net/6law/law\&#25010;&#27861;.htm" TargetMode="External"/><Relationship Id="rId678" Type="http://schemas.openxmlformats.org/officeDocument/2006/relationships/hyperlink" Target="https://www.6laws.net/6law/law\&#22823;&#27861;&#23448;&#35299;&#37323;79-86&#24180;.htm" TargetMode="External"/><Relationship Id="rId885" Type="http://schemas.openxmlformats.org/officeDocument/2006/relationships/hyperlink" Target="https://www.6laws.net/6law/law\&#25010;&#27861;.htm" TargetMode="External"/><Relationship Id="rId1070" Type="http://schemas.openxmlformats.org/officeDocument/2006/relationships/hyperlink" Target="https://www.6laws.net/6law/law\&#25010;&#27861;.htm" TargetMode="External"/><Relationship Id="rId2121" Type="http://schemas.openxmlformats.org/officeDocument/2006/relationships/hyperlink" Target="https://www.6laws.net/6law/law2\&#20844;&#27665;&#33287;&#25919;&#27835;&#27402;&#21033;&#22283;&#38555;&#20844;&#32004;.htm" TargetMode="External"/><Relationship Id="rId2359" Type="http://schemas.openxmlformats.org/officeDocument/2006/relationships/hyperlink" Target="https://www.6laws.net/6law/law\&#25010;&#27861;.htm" TargetMode="External"/><Relationship Id="rId2566" Type="http://schemas.openxmlformats.org/officeDocument/2006/relationships/hyperlink" Target="https://www.6laws.net/6law/law\&#25010;&#27861;.htm" TargetMode="External"/><Relationship Id="rId2773" Type="http://schemas.openxmlformats.org/officeDocument/2006/relationships/hyperlink" Target="https://www.6laws.net/6law/law2\&#20818;&#31461;&#27402;&#21033;&#20844;&#32004;.htm" TargetMode="External"/><Relationship Id="rId300" Type="http://schemas.openxmlformats.org/officeDocument/2006/relationships/hyperlink" Target="https://www.6laws.net/6law/law\&#22823;&#27861;&#23448;&#35299;&#37323;87-91&#24180;.htm" TargetMode="External"/><Relationship Id="rId538" Type="http://schemas.openxmlformats.org/officeDocument/2006/relationships/hyperlink" Target="https://www.6laws.net/6law/law\&#25010;&#27861;.htm" TargetMode="External"/><Relationship Id="rId745" Type="http://schemas.openxmlformats.org/officeDocument/2006/relationships/hyperlink" Target="https://www.6laws.net/6law/law\&#25010;&#27861;.htm" TargetMode="External"/><Relationship Id="rId952" Type="http://schemas.openxmlformats.org/officeDocument/2006/relationships/hyperlink" Target="https://www.6laws.net/6law/law\&#30435;&#23519;&#27861;.htm" TargetMode="External"/><Relationship Id="rId1168" Type="http://schemas.openxmlformats.org/officeDocument/2006/relationships/hyperlink" Target="https://www.6laws.net/6law/law3\&#22320;&#26041;&#31435;&#27861;&#27231;&#38364;&#32068;&#32340;&#28310;&#21063;.htm" TargetMode="External"/><Relationship Id="rId1375" Type="http://schemas.openxmlformats.org/officeDocument/2006/relationships/hyperlink" Target="https://www.6laws.net/6law/law\&#25010;&#27861;.htm" TargetMode="External"/><Relationship Id="rId1582" Type="http://schemas.openxmlformats.org/officeDocument/2006/relationships/hyperlink" Target="https://www.6laws.net/6law/law-gb\&#21453;&#20998;&#35010;&#22283;&#23478;&#27861;.htm" TargetMode="External"/><Relationship Id="rId2219" Type="http://schemas.openxmlformats.org/officeDocument/2006/relationships/hyperlink" Target="http://www.state.gov/documents/organization/210737.pdf" TargetMode="External"/><Relationship Id="rId2426" Type="http://schemas.openxmlformats.org/officeDocument/2006/relationships/hyperlink" Target="https://www.6laws.net/6law/law2\&#20844;&#27665;&#33287;&#25919;&#27835;&#27402;&#21033;&#22283;&#38555;&#20844;&#32004;.htm" TargetMode="External"/><Relationship Id="rId2633" Type="http://schemas.openxmlformats.org/officeDocument/2006/relationships/hyperlink" Target="http://slides.discovery.tom.com/vw/345806-1.html" TargetMode="External"/><Relationship Id="rId81" Type="http://schemas.openxmlformats.org/officeDocument/2006/relationships/hyperlink" Target="https://www.6laws.net/6law/law2\&#19990;&#30028;&#20154;&#27402;&#23459;&#35328;.htm" TargetMode="External"/><Relationship Id="rId605" Type="http://schemas.openxmlformats.org/officeDocument/2006/relationships/hyperlink" Target="https://www.6laws.net/6law/law\&#25010;&#27861;.htm" TargetMode="External"/><Relationship Id="rId812" Type="http://schemas.openxmlformats.org/officeDocument/2006/relationships/hyperlink" Target="https://www.6laws.net/6law/law\&#25010;&#27861;.htm" TargetMode="External"/><Relationship Id="rId1028" Type="http://schemas.openxmlformats.org/officeDocument/2006/relationships/hyperlink" Target="https://www.6laws.net/6law/law\&#22823;&#27861;&#23448;&#35299;&#37323;38-60&#24180;.htm" TargetMode="External"/><Relationship Id="rId1235" Type="http://schemas.openxmlformats.org/officeDocument/2006/relationships/hyperlink" Target="https://www.6laws.net/6law/law\&#25010;&#27861;.htm" TargetMode="External"/><Relationship Id="rId1442" Type="http://schemas.openxmlformats.org/officeDocument/2006/relationships/hyperlink" Target="https://www.6laws.net/6law/law\&#25010;&#27861;.htm" TargetMode="External"/><Relationship Id="rId1887" Type="http://schemas.openxmlformats.org/officeDocument/2006/relationships/hyperlink" Target="https://www.6laws.net/6law/law2\&#19990;&#30028;&#20154;&#27402;&#23459;&#35328;.htm" TargetMode="External"/><Relationship Id="rId2840" Type="http://schemas.openxmlformats.org/officeDocument/2006/relationships/hyperlink" Target="https://www.6laws.net/6law/law\&#25010;&#27861;.htm" TargetMode="External"/><Relationship Id="rId2938" Type="http://schemas.openxmlformats.org/officeDocument/2006/relationships/fontTable" Target="fontTable.xml"/><Relationship Id="rId1302" Type="http://schemas.openxmlformats.org/officeDocument/2006/relationships/hyperlink" Target="https://www.6laws.net/6law/law\&#20419;&#36914;&#29986;&#26989;&#21319;&#32026;&#26781;&#20363;.htm" TargetMode="External"/><Relationship Id="rId1747" Type="http://schemas.openxmlformats.org/officeDocument/2006/relationships/hyperlink" Target="https://www.6laws.net/6law/law\&#23601;&#26989;&#26381;&#21209;&#27861;.htm" TargetMode="External"/><Relationship Id="rId1954" Type="http://schemas.openxmlformats.org/officeDocument/2006/relationships/hyperlink" Target="https://www.6laws.net/6law/law2\&#20844;&#27665;&#33287;&#25919;&#27835;&#27402;&#21033;&#22283;&#38555;&#20844;&#32004;.htm" TargetMode="External"/><Relationship Id="rId2700" Type="http://schemas.openxmlformats.org/officeDocument/2006/relationships/hyperlink" Target="https://www.6laws.net/6law/law\&#22823;&#27861;&#23448;&#35299;&#37323;92-n&#24180;.htm" TargetMode="External"/><Relationship Id="rId39" Type="http://schemas.openxmlformats.org/officeDocument/2006/relationships/hyperlink" Target="https://www.6laws.net/6law/law\&#25010;&#27861;.htm" TargetMode="External"/><Relationship Id="rId1607" Type="http://schemas.openxmlformats.org/officeDocument/2006/relationships/hyperlink" Target="http://ge.tnua.edu.tw/zen/r7.htmhttp:/ge.tnua.edu.tw/zen/r7.htm" TargetMode="External"/><Relationship Id="rId1814" Type="http://schemas.openxmlformats.org/officeDocument/2006/relationships/hyperlink" Target="https://www.6laws.net/6law/law2\&#19990;&#30028;&#20154;&#27402;&#23459;&#35328;.htm" TargetMode="External"/><Relationship Id="rId188" Type="http://schemas.openxmlformats.org/officeDocument/2006/relationships/hyperlink" Target="https://www.6laws.net/6law/law\&#25010;&#27861;.htm" TargetMode="External"/><Relationship Id="rId395" Type="http://schemas.openxmlformats.org/officeDocument/2006/relationships/hyperlink" Target="https://www.6laws.net/6law/law\&#22823;&#27861;&#23448;&#35299;&#37323;79-86&#24180;.htm" TargetMode="External"/><Relationship Id="rId2076" Type="http://schemas.openxmlformats.org/officeDocument/2006/relationships/hyperlink" Target="https://www.6laws.net/6law/law2\&#20844;&#27665;&#33287;&#25919;&#27835;&#27402;&#21033;&#22283;&#38555;&#20844;&#32004;.htm" TargetMode="External"/><Relationship Id="rId2283" Type="http://schemas.openxmlformats.org/officeDocument/2006/relationships/hyperlink" Target="https://www.6laws.net/6law/law-gb\&#21453;&#20998;&#35010;&#22283;&#23478;&#27861;.htm" TargetMode="External"/><Relationship Id="rId2490" Type="http://schemas.openxmlformats.org/officeDocument/2006/relationships/hyperlink" Target="https://www.6laws.net/6law/law2\&#20844;&#27665;&#33287;&#25919;&#27835;&#27402;&#21033;&#22283;&#38555;&#20844;&#32004;.htm" TargetMode="External"/><Relationship Id="rId2588" Type="http://schemas.openxmlformats.org/officeDocument/2006/relationships/hyperlink" Target="https://www.6laws.net/6law/law\&#38598;&#26371;&#36938;&#34892;&#27861;.htm" TargetMode="External"/><Relationship Id="rId255" Type="http://schemas.openxmlformats.org/officeDocument/2006/relationships/hyperlink" Target="https://www.6laws.net/6law/law\&#25010;&#27861;.htm" TargetMode="External"/><Relationship Id="rId462" Type="http://schemas.openxmlformats.org/officeDocument/2006/relationships/hyperlink" Target="https://zh.wikipedia.org/wiki/%E5%9C%8B%E6%B0%91%E5%A4%A7%E6%9C%83" TargetMode="External"/><Relationship Id="rId1092" Type="http://schemas.openxmlformats.org/officeDocument/2006/relationships/hyperlink" Target="https://www.6laws.net/6law/law\&#25010;&#27861;.htm" TargetMode="External"/><Relationship Id="rId1397" Type="http://schemas.openxmlformats.org/officeDocument/2006/relationships/hyperlink" Target="https://www.6laws.net/6law/law\&#25010;&#27861;.htm" TargetMode="External"/><Relationship Id="rId2143" Type="http://schemas.openxmlformats.org/officeDocument/2006/relationships/hyperlink" Target="https://www.6laws.net/6law/law\&#20844;&#27665;&#33287;&#25919;&#27835;&#27402;&#21033;&#22283;&#38555;&#20844;&#32004;&#21450;&#32147;&#28639;&#31038;&#26371;&#25991;&#21270;&#27402;&#21033;&#22283;&#38555;&#20844;&#32004;&#26045;&#34892;&#27861;.htm" TargetMode="External"/><Relationship Id="rId2350" Type="http://schemas.openxmlformats.org/officeDocument/2006/relationships/hyperlink" Target="https://www.6laws.net/6law/law\&#25010;&#27861;.htm" TargetMode="External"/><Relationship Id="rId2795" Type="http://schemas.openxmlformats.org/officeDocument/2006/relationships/hyperlink" Target="http://blog.163.com/longmei_liyang/blog/static/532736512009102922222551/" TargetMode="External"/><Relationship Id="rId115" Type="http://schemas.openxmlformats.org/officeDocument/2006/relationships/hyperlink" Target="https://www.6laws.net/6law/law\&#22823;&#27861;&#23448;&#35299;&#37323;92-n&#24180;.htm" TargetMode="External"/><Relationship Id="rId322" Type="http://schemas.openxmlformats.org/officeDocument/2006/relationships/hyperlink" Target="https://www.6laws.net/6law/law\&#25010;&#27861;.htm" TargetMode="External"/><Relationship Id="rId767" Type="http://schemas.openxmlformats.org/officeDocument/2006/relationships/hyperlink" Target="https://www.6laws.net/6law/law\&#22823;&#27861;&#23448;&#35299;&#37323;79-86&#24180;.htm" TargetMode="External"/><Relationship Id="rId974" Type="http://schemas.openxmlformats.org/officeDocument/2006/relationships/hyperlink" Target="https://www.6laws.net/6law/law\&#25010;&#27861;.htm" TargetMode="External"/><Relationship Id="rId2003" Type="http://schemas.openxmlformats.org/officeDocument/2006/relationships/hyperlink" Target="https://www.6laws.net/6law/law2\&#32879;&#21512;&#22283;&#25010;&#31456;.htm" TargetMode="External"/><Relationship Id="rId2210" Type="http://schemas.openxmlformats.org/officeDocument/2006/relationships/hyperlink" Target="http://www.state.gov/g/tip/rls/tiprpt/2010/index.htm" TargetMode="External"/><Relationship Id="rId2448" Type="http://schemas.openxmlformats.org/officeDocument/2006/relationships/hyperlink" Target="https://www.6laws.net/6law/law2\&#19990;&#30028;&#20154;&#27402;&#23459;&#35328;.htm" TargetMode="External"/><Relationship Id="rId2655" Type="http://schemas.openxmlformats.org/officeDocument/2006/relationships/hyperlink" Target="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yJTNGMTQyNzMwNjc2NSZpPTE-" TargetMode="External"/><Relationship Id="rId2862" Type="http://schemas.openxmlformats.org/officeDocument/2006/relationships/hyperlink" Target="https://www.6laws.net/6law/law-gb\&#20013;&#33775;&#20154;&#27665;&#20849;&#21644;&#22283;&#25010;&#27861;.htm" TargetMode="External"/><Relationship Id="rId627" Type="http://schemas.openxmlformats.org/officeDocument/2006/relationships/hyperlink" Target="https://www.6laws.net/6law/law\&#25010;&#27861;.htm" TargetMode="External"/><Relationship Id="rId834" Type="http://schemas.openxmlformats.org/officeDocument/2006/relationships/hyperlink" Target="https://www.6laws.net/6law/law\&#20013;&#33775;&#27665;&#22283;&#25010;&#27861;&#22686;&#20462;&#26781;&#25991;.htm" TargetMode="External"/><Relationship Id="rId1257" Type="http://schemas.openxmlformats.org/officeDocument/2006/relationships/hyperlink" Target="https://www.6laws.net/6law/law\&#25010;&#27861;.htm" TargetMode="External"/><Relationship Id="rId1464" Type="http://schemas.openxmlformats.org/officeDocument/2006/relationships/hyperlink" Target="https://www.6laws.net/6law/law\&#20013;&#33775;&#27665;&#22283;&#25010;&#27861;&#22686;&#20462;&#26781;&#25991;.htm" TargetMode="External"/><Relationship Id="rId1671" Type="http://schemas.openxmlformats.org/officeDocument/2006/relationships/hyperlink" Target="https://www.6laws.net/6law/law\&#27602;&#21697;&#21361;&#23475;&#38450;&#21046;&#26781;&#20363;.htm" TargetMode="External"/><Relationship Id="rId2308" Type="http://schemas.openxmlformats.org/officeDocument/2006/relationships/hyperlink" Target="https://www.6laws.net/6law/law-gb\&#21453;&#20998;&#35010;&#22283;&#23478;&#27861;.htm" TargetMode="External"/><Relationship Id="rId2515" Type="http://schemas.openxmlformats.org/officeDocument/2006/relationships/hyperlink" Target="https://www.6laws.net/6law/law\&#22823;&#27861;&#23448;&#35299;&#37323;87-91&#24180;.htm" TargetMode="External"/><Relationship Id="rId2722" Type="http://schemas.openxmlformats.org/officeDocument/2006/relationships/hyperlink" Target="https://www.6laws.net/6law/law2\&#28040;&#38500;&#23565;&#23142;&#22899;&#19968;&#20999;&#24418;&#24335;&#27495;&#35222;&#20844;&#32004;.htm" TargetMode="External"/><Relationship Id="rId901" Type="http://schemas.openxmlformats.org/officeDocument/2006/relationships/hyperlink" Target="https://www.6laws.net/6law/law\&#22823;&#27861;&#23448;&#35299;&#37323;79-86&#24180;.htm" TargetMode="External"/><Relationship Id="rId1117" Type="http://schemas.openxmlformats.org/officeDocument/2006/relationships/hyperlink" Target="https://www.6laws.net/6law/law\&#22320;&#26041;&#21046;&#24230;&#27861;.htm" TargetMode="External"/><Relationship Id="rId1324" Type="http://schemas.openxmlformats.org/officeDocument/2006/relationships/hyperlink" Target="https://www.6laws.net/6law/law\&#22823;&#27861;&#23448;&#35299;&#37323;79-86&#24180;.htm" TargetMode="External"/><Relationship Id="rId1531" Type="http://schemas.openxmlformats.org/officeDocument/2006/relationships/hyperlink" Target="https://www.6laws.net/6law/law\&#21496;&#27861;&#38498;&#32068;&#32340;&#27861;.htm" TargetMode="External"/><Relationship Id="rId1769" Type="http://schemas.openxmlformats.org/officeDocument/2006/relationships/hyperlink" Target="https://www.6laws.net/6law/law2\&#20445;&#35703;&#25152;&#26377;&#31227;&#24473;&#24037;&#20154;&#21450;&#20854;&#23478;&#24237;&#25104;&#21729;&#27402;&#21033;&#22283;&#38555;&#20844;&#32004;.htm" TargetMode="External"/><Relationship Id="rId1976" Type="http://schemas.openxmlformats.org/officeDocument/2006/relationships/hyperlink" Target="https://www.6laws.net/6law/law2\&#20844;&#27665;&#33287;&#25919;&#27835;&#27402;&#21033;&#22283;&#38555;&#20844;&#32004;.htm" TargetMode="External"/><Relationship Id="rId30" Type="http://schemas.openxmlformats.org/officeDocument/2006/relationships/image" Target="media/image13.jpeg"/><Relationship Id="rId1629" Type="http://schemas.openxmlformats.org/officeDocument/2006/relationships/hyperlink" Target="https://www.6laws.net/6law/law2\&#32147;&#28639;&#31038;&#26371;&#25991;&#21270;&#27402;&#21033;&#22283;&#38555;&#20844;&#32004;.htm" TargetMode="External"/><Relationship Id="rId1836" Type="http://schemas.openxmlformats.org/officeDocument/2006/relationships/hyperlink" Target="https://www.6laws.net/6law/law2\&#20445;&#35703;&#25152;&#26377;&#31227;&#24473;&#24037;&#20154;&#21450;&#20854;&#23478;&#24237;&#25104;&#21729;&#27402;&#21033;&#22283;&#38555;&#20844;&#32004;.htm" TargetMode="External"/><Relationship Id="rId1903" Type="http://schemas.openxmlformats.org/officeDocument/2006/relationships/hyperlink" Target="https://www.6laws.net/6law/law2\&#26377;&#38364;&#38627;&#27665;&#22320;&#20301;&#20844;&#32004;.htm" TargetMode="External"/><Relationship Id="rId2098" Type="http://schemas.openxmlformats.org/officeDocument/2006/relationships/hyperlink" Target="https://www.6laws.net/6law/law2\&#20844;&#27665;&#33287;&#25919;&#27835;&#27402;&#21033;&#22283;&#38555;&#20844;&#32004;.htm" TargetMode="External"/><Relationship Id="rId277" Type="http://schemas.openxmlformats.org/officeDocument/2006/relationships/hyperlink" Target="https://www.6laws.net/6law/law\&#22823;&#27861;&#23448;&#35299;&#37323;92-n&#24180;.htm" TargetMode="External"/><Relationship Id="rId484" Type="http://schemas.openxmlformats.org/officeDocument/2006/relationships/hyperlink" Target="https://www.6laws.net/6law/law\&#25010;&#27861;.htm" TargetMode="External"/><Relationship Id="rId2165" Type="http://schemas.openxmlformats.org/officeDocument/2006/relationships/hyperlink" Target="https://www.6laws.net/6law/law\&#25010;&#27861;.htm" TargetMode="External"/><Relationship Id="rId137" Type="http://schemas.openxmlformats.org/officeDocument/2006/relationships/hyperlink" Target="https://www.6laws.net/6law/law\&#21009;&#20107;&#35380;&#35359;&#27861;.htm" TargetMode="External"/><Relationship Id="rId344" Type="http://schemas.openxmlformats.org/officeDocument/2006/relationships/hyperlink" Target="https://www.6laws.net/6law/law\&#25010;&#27861;.htm" TargetMode="External"/><Relationship Id="rId691" Type="http://schemas.openxmlformats.org/officeDocument/2006/relationships/hyperlink" Target="https://www.6laws.net/6law/law\&#25010;&#27861;.htm" TargetMode="External"/><Relationship Id="rId789" Type="http://schemas.openxmlformats.org/officeDocument/2006/relationships/hyperlink" Target="https://www.6laws.net/6law/law\&#25010;&#27861;.htm" TargetMode="External"/><Relationship Id="rId996" Type="http://schemas.openxmlformats.org/officeDocument/2006/relationships/hyperlink" Target="https://www.6laws.net/6law/law\&#25010;&#27861;.htm" TargetMode="External"/><Relationship Id="rId2025" Type="http://schemas.openxmlformats.org/officeDocument/2006/relationships/hyperlink" Target="https://www.6laws.net/6law/law\&#22823;&#27861;&#23448;&#35299;&#37323;92-n&#24180;.htm" TargetMode="External"/><Relationship Id="rId2372" Type="http://schemas.openxmlformats.org/officeDocument/2006/relationships/hyperlink" Target="https://www.6laws.net/6law/law\&#25010;&#27861;.htm" TargetMode="External"/><Relationship Id="rId2677" Type="http://schemas.openxmlformats.org/officeDocument/2006/relationships/hyperlink" Target="https://www.6laws.net/6law/law\&#22823;&#27861;&#23448;&#35299;&#37323;92-n&#24180;.htm" TargetMode="External"/><Relationship Id="rId2884" Type="http://schemas.openxmlformats.org/officeDocument/2006/relationships/hyperlink" Target="http://www.hrsdc.gc.ca/eng/workplaceskills/foreign_workers/communications/lcpnewchanges.shtml" TargetMode="External"/><Relationship Id="rId551" Type="http://schemas.openxmlformats.org/officeDocument/2006/relationships/hyperlink" Target="https://www.6laws.net/6law/law\&#25010;&#27861;.htm" TargetMode="External"/><Relationship Id="rId649" Type="http://schemas.openxmlformats.org/officeDocument/2006/relationships/hyperlink" Target="https://www.6laws.net/6law/law3\&#34892;&#25919;&#38498;&#26371;&#35696;&#35696;&#20107;&#35215;&#21063;.htm" TargetMode="External"/><Relationship Id="rId856" Type="http://schemas.openxmlformats.org/officeDocument/2006/relationships/hyperlink" Target="https://www.6laws.net/6law/law\&#25010;&#27861;.htm" TargetMode="External"/><Relationship Id="rId1181" Type="http://schemas.openxmlformats.org/officeDocument/2006/relationships/hyperlink" Target="https://www.6laws.net/6law/law\&#22823;&#27861;&#23448;&#35299;&#37323;87-91&#24180;.htm" TargetMode="External"/><Relationship Id="rId1279" Type="http://schemas.openxmlformats.org/officeDocument/2006/relationships/hyperlink" Target="https://www.6laws.net/6law/law\&#37329;&#34701;&#30435;&#30563;&#31649;&#29702;&#22996;&#21729;&#26371;&#20445;&#38570;&#23616;&#32068;&#32340;&#27861;.htm" TargetMode="External"/><Relationship Id="rId1486" Type="http://schemas.openxmlformats.org/officeDocument/2006/relationships/hyperlink" Target="https://www.6laws.net/6law/law\&#20013;&#33775;&#27665;&#22283;&#25010;&#27861;&#22686;&#20462;&#26781;&#25991;.htm" TargetMode="External"/><Relationship Id="rId2232" Type="http://schemas.openxmlformats.org/officeDocument/2006/relationships/hyperlink" Target="https://www.6laws.net/6law/law\&#20154;&#21475;&#36009;&#36939;&#38450;&#21046;&#27861;.htm" TargetMode="External"/><Relationship Id="rId2537" Type="http://schemas.openxmlformats.org/officeDocument/2006/relationships/hyperlink" Target="https://www.6laws.net/6law/law2\&#32147;&#28639;&#31038;&#26371;&#25991;&#21270;&#27402;&#21033;&#22283;&#38555;&#20844;&#32004;.htm" TargetMode="External"/><Relationship Id="rId204" Type="http://schemas.openxmlformats.org/officeDocument/2006/relationships/hyperlink" Target="https://www.6laws.net/6law/law\&#25010;&#27861;.htm" TargetMode="External"/><Relationship Id="rId411" Type="http://schemas.openxmlformats.org/officeDocument/2006/relationships/hyperlink" Target="https://www.6laws.net/6law/law\&#35686;&#23519;&#32887;&#27402;&#34892;&#20351;&#27861;.htm" TargetMode="External"/><Relationship Id="rId509" Type="http://schemas.openxmlformats.org/officeDocument/2006/relationships/hyperlink" Target="https://www.6laws.net/6law/law\&#25010;&#27861;.htm" TargetMode="External"/><Relationship Id="rId1041" Type="http://schemas.openxmlformats.org/officeDocument/2006/relationships/hyperlink" Target="https://www.6laws.net/6law/law\&#22823;&#27861;&#23448;&#35299;&#37323;38-60&#24180;.htm" TargetMode="External"/><Relationship Id="rId1139" Type="http://schemas.openxmlformats.org/officeDocument/2006/relationships/hyperlink" Target="https://www.6laws.net/6law/law\&#25010;&#27861;.htm" TargetMode="External"/><Relationship Id="rId1346" Type="http://schemas.openxmlformats.org/officeDocument/2006/relationships/hyperlink" Target="https://www.6laws.net/6law/law\&#22823;&#27861;&#23448;&#35299;&#37323;87-91&#24180;.htm" TargetMode="External"/><Relationship Id="rId1693" Type="http://schemas.openxmlformats.org/officeDocument/2006/relationships/hyperlink" Target="https://www.6laws.net/6law/law\&#25010;&#27861;.htm" TargetMode="External"/><Relationship Id="rId1998" Type="http://schemas.openxmlformats.org/officeDocument/2006/relationships/hyperlink" Target="https://www.6laws.net/6law/law\&#25010;&#27861;.htm" TargetMode="External"/><Relationship Id="rId2744" Type="http://schemas.openxmlformats.org/officeDocument/2006/relationships/hyperlink" Target="https://www.6laws.net/6law/law2\&#20818;&#31461;&#27402;&#21033;&#20844;&#32004;.htm" TargetMode="External"/><Relationship Id="rId716" Type="http://schemas.openxmlformats.org/officeDocument/2006/relationships/hyperlink" Target="https://www.6laws.net/6law/law\&#31435;&#27861;&#38498;&#32887;&#27402;&#34892;&#20351;&#27861;.htm" TargetMode="External"/><Relationship Id="rId923" Type="http://schemas.openxmlformats.org/officeDocument/2006/relationships/hyperlink" Target="https://www.6laws.net/6law/law\&#25010;&#27861;.htm" TargetMode="External"/><Relationship Id="rId1553" Type="http://schemas.openxmlformats.org/officeDocument/2006/relationships/hyperlink" Target="https://www.6laws.net/6law/law\&#20013;&#33775;&#27665;&#22283;&#25010;&#27861;&#22686;&#20462;&#26781;&#25991;.htm" TargetMode="External"/><Relationship Id="rId1760" Type="http://schemas.openxmlformats.org/officeDocument/2006/relationships/hyperlink" Target="https://www.6laws.net/6law/law\&#21214;&#21205;&#22522;&#28310;&#27861;.htm" TargetMode="External"/><Relationship Id="rId1858" Type="http://schemas.openxmlformats.org/officeDocument/2006/relationships/hyperlink" Target="https://www.6laws.net/6law/law2\&#20445;&#35703;&#25152;&#26377;&#31227;&#24473;&#24037;&#20154;&#21450;&#20854;&#23478;&#24237;&#25104;&#21729;&#27402;&#21033;&#22283;&#38555;&#20844;&#32004;.htm" TargetMode="External"/><Relationship Id="rId2604" Type="http://schemas.openxmlformats.org/officeDocument/2006/relationships/hyperlink" Target="http://big5.xuefo.net/nr/article14/142380.html" TargetMode="External"/><Relationship Id="rId2811" Type="http://schemas.openxmlformats.org/officeDocument/2006/relationships/hyperlink" Target="https://www.6laws.net/6law/law\&#20013;&#33775;&#27665;&#22283;&#25010;&#27861;&#22686;&#20462;&#26781;&#25991;.htm" TargetMode="External"/><Relationship Id="rId52" Type="http://schemas.openxmlformats.org/officeDocument/2006/relationships/hyperlink" Target="https://zh.wikipedia.org/wiki/&#20013;&#33775;&#27665;&#22283;&#25010;&#27861;" TargetMode="External"/><Relationship Id="rId1206" Type="http://schemas.openxmlformats.org/officeDocument/2006/relationships/hyperlink" Target="https://www.6laws.net/6law/law\&#25010;&#27861;.htm" TargetMode="External"/><Relationship Id="rId1413" Type="http://schemas.openxmlformats.org/officeDocument/2006/relationships/hyperlink" Target="https://www.6laws.net/6law/law\&#20013;&#33775;&#27665;&#22283;&#25010;&#27861;&#22686;&#20462;&#26781;&#25991;.htm" TargetMode="External"/><Relationship Id="rId1620" Type="http://schemas.openxmlformats.org/officeDocument/2006/relationships/hyperlink" Target="https://www.6laws.net/6law/law\&#27602;&#21697;&#21361;&#23475;&#38450;&#21046;&#26781;&#20363;.htm" TargetMode="External"/><Relationship Id="rId2909" Type="http://schemas.openxmlformats.org/officeDocument/2006/relationships/hyperlink" Target="http://www.houko.com/00/02/H07/343.HTM" TargetMode="External"/><Relationship Id="rId1718" Type="http://schemas.openxmlformats.org/officeDocument/2006/relationships/hyperlink" Target="https://www.6laws.net/6law/law\&#31649;&#21046;&#34277;&#21697;&#31649;&#29702;&#26781;&#20363;.htm" TargetMode="External"/><Relationship Id="rId1925" Type="http://schemas.openxmlformats.org/officeDocument/2006/relationships/hyperlink" Target="https://www.6laws.net/6law/law2\&#19990;&#30028;&#20154;&#27402;&#23459;&#35328;.htm" TargetMode="External"/><Relationship Id="rId299" Type="http://schemas.openxmlformats.org/officeDocument/2006/relationships/hyperlink" Target="https://www.6laws.net/6law/law3\&#32317;&#32113;&#21103;&#32317;&#32113;&#36984;&#33289;&#36899;&#32626;&#21450;&#26597;&#26680;&#36774;&#27861;.htm" TargetMode="External"/><Relationship Id="rId2187" Type="http://schemas.openxmlformats.org/officeDocument/2006/relationships/hyperlink" Target="https://www.6laws.net/6law/law\&#20837;&#20986;&#22283;&#21450;&#31227;&#27665;&#27861;.htm" TargetMode="External"/><Relationship Id="rId2394" Type="http://schemas.openxmlformats.org/officeDocument/2006/relationships/hyperlink" Target="https://www.6laws.net/6law/law-gb\&#21453;&#20998;&#35010;&#22283;&#23478;&#27861;.htm" TargetMode="External"/><Relationship Id="rId159" Type="http://schemas.openxmlformats.org/officeDocument/2006/relationships/hyperlink" Target="https://www.6laws.net/6law/law\&#25010;&#27861;.htm" TargetMode="External"/><Relationship Id="rId366" Type="http://schemas.openxmlformats.org/officeDocument/2006/relationships/hyperlink" Target="https://www.6laws.net/6law/law\&#22823;&#27861;&#23448;&#35299;&#37323;79-86&#24180;.htm" TargetMode="External"/><Relationship Id="rId573" Type="http://schemas.openxmlformats.org/officeDocument/2006/relationships/hyperlink" Target="https://www.6laws.net/6law/law\&#25010;&#27861;.htm" TargetMode="External"/><Relationship Id="rId780" Type="http://schemas.openxmlformats.org/officeDocument/2006/relationships/hyperlink" Target="https://www.6laws.net/6law/law\&#25010;&#27861;.htm" TargetMode="External"/><Relationship Id="rId2047" Type="http://schemas.openxmlformats.org/officeDocument/2006/relationships/hyperlink" Target="https://www.6laws.net/6law/law2\&#20844;&#27665;&#33287;&#25919;&#27835;&#27402;&#21033;&#22283;&#38555;&#20844;&#32004;.htm" TargetMode="External"/><Relationship Id="rId2254" Type="http://schemas.openxmlformats.org/officeDocument/2006/relationships/hyperlink" Target="https://www.6laws.net/6law/law-gb\&#21453;&#20998;&#35010;&#22283;&#23478;&#27861;.htm" TargetMode="External"/><Relationship Id="rId2461" Type="http://schemas.openxmlformats.org/officeDocument/2006/relationships/hyperlink" Target="https://www.6laws.net/6law/law2\&#19990;&#30028;&#20154;&#27402;&#23459;&#35328;.htm" TargetMode="External"/><Relationship Id="rId2699" Type="http://schemas.openxmlformats.org/officeDocument/2006/relationships/hyperlink" Target="https://www.6laws.net/6law/law\&#22823;&#27861;&#23448;&#35299;&#37323;92-n&#24180;.htm" TargetMode="External"/><Relationship Id="rId226" Type="http://schemas.openxmlformats.org/officeDocument/2006/relationships/hyperlink" Target="https://www.6laws.net/6law/law\&#22823;&#23416;&#27861;.htm" TargetMode="External"/><Relationship Id="rId433" Type="http://schemas.openxmlformats.org/officeDocument/2006/relationships/hyperlink" Target="https://www.6laws.net/6law/law\&#25010;&#27861;.htm" TargetMode="External"/><Relationship Id="rId878" Type="http://schemas.openxmlformats.org/officeDocument/2006/relationships/hyperlink" Target="https://www.6laws.net/6law/law\&#22823;&#27861;&#23448;&#35299;&#37323;61-78&#24180;.htm" TargetMode="External"/><Relationship Id="rId1063" Type="http://schemas.openxmlformats.org/officeDocument/2006/relationships/hyperlink" Target="https://www.6laws.net/6law/law\&#20013;&#33775;&#27665;&#22283;&#25010;&#27861;&#22686;&#20462;&#26781;&#25991;.htm" TargetMode="External"/><Relationship Id="rId1270" Type="http://schemas.openxmlformats.org/officeDocument/2006/relationships/hyperlink" Target="https://www.6laws.net/6law/law\&#36786;&#26989;&#37329;&#34701;&#27861;.htm" TargetMode="External"/><Relationship Id="rId2114" Type="http://schemas.openxmlformats.org/officeDocument/2006/relationships/hyperlink" Target="https://www.6laws.net/6law/law2\&#20844;&#27665;&#33287;&#25919;&#27835;&#27402;&#21033;&#22283;&#38555;&#20844;&#32004;.htm" TargetMode="External"/><Relationship Id="rId2559" Type="http://schemas.openxmlformats.org/officeDocument/2006/relationships/image" Target="media/image36.jpeg"/><Relationship Id="rId2766" Type="http://schemas.openxmlformats.org/officeDocument/2006/relationships/hyperlink" Target="https://www.6laws.net/6law/law2\&#20818;&#31461;&#27402;&#21033;&#20844;&#32004;.htm" TargetMode="External"/><Relationship Id="rId640" Type="http://schemas.openxmlformats.org/officeDocument/2006/relationships/hyperlink" Target="https://www.6laws.net/6law/law\&#25010;&#27861;.htm" TargetMode="External"/><Relationship Id="rId738" Type="http://schemas.openxmlformats.org/officeDocument/2006/relationships/hyperlink" Target="https://www.6laws.net/6law/law\&#25010;&#27861;.htm" TargetMode="External"/><Relationship Id="rId945" Type="http://schemas.openxmlformats.org/officeDocument/2006/relationships/hyperlink" Target="https://www.6laws.net/6law/law\&#30435;&#23519;&#27861;.htm" TargetMode="External"/><Relationship Id="rId1368" Type="http://schemas.openxmlformats.org/officeDocument/2006/relationships/hyperlink" Target="https://www.6laws.net/6law/law\&#25010;&#27861;.htm" TargetMode="External"/><Relationship Id="rId1575" Type="http://schemas.openxmlformats.org/officeDocument/2006/relationships/hyperlink" Target="aw\&#20013;&#33775;&#27665;&#22283;&#25010;&#27861;&#22686;&#20462;&#26781;&#25991;.htm" TargetMode="External"/><Relationship Id="rId1782" Type="http://schemas.openxmlformats.org/officeDocument/2006/relationships/hyperlink" Target="https://www.6laws.net/6law/law2\&#20445;&#35703;&#25152;&#26377;&#31227;&#24473;&#24037;&#20154;&#21450;&#20854;&#23478;&#24237;&#25104;&#21729;&#27402;&#21033;&#22283;&#38555;&#20844;&#32004;.htm" TargetMode="External"/><Relationship Id="rId2321" Type="http://schemas.openxmlformats.org/officeDocument/2006/relationships/hyperlink" Target="https://www.6laws.net/6law/law-gb\&#21453;&#20998;&#35010;&#22283;&#23478;&#27861;.htm" TargetMode="External"/><Relationship Id="rId2419" Type="http://schemas.openxmlformats.org/officeDocument/2006/relationships/hyperlink" Target="https://www.6laws.net/6law/law2\&#19990;&#30028;&#20154;&#27402;&#23459;&#35328;.htm" TargetMode="External"/><Relationship Id="rId2626" Type="http://schemas.openxmlformats.org/officeDocument/2006/relationships/hyperlink" Target="https://www.6laws.net/6law/law\&#20778;&#29983;&#20445;&#20581;&#27861;.htm" TargetMode="External"/><Relationship Id="rId2833" Type="http://schemas.openxmlformats.org/officeDocument/2006/relationships/hyperlink" Target="https://www.6laws.net/6law/law\&#25010;&#27861;.htm" TargetMode="External"/><Relationship Id="rId74" Type="http://schemas.openxmlformats.org/officeDocument/2006/relationships/hyperlink" Target="https://www.6laws.net/6law/law\&#25010;&#27861;.htm" TargetMode="External"/><Relationship Id="rId500" Type="http://schemas.openxmlformats.org/officeDocument/2006/relationships/hyperlink" Target="https://www.6laws.net/6law/law\&#20013;&#33775;&#27665;&#22283;&#25010;&#27861;&#22686;&#20462;&#26781;&#25991;.htm" TargetMode="External"/><Relationship Id="rId805" Type="http://schemas.openxmlformats.org/officeDocument/2006/relationships/hyperlink" Target="https://www.6laws.net/6law/law\&#22823;&#27861;&#23448;&#35299;&#37323;38-60&#24180;.htm" TargetMode="External"/><Relationship Id="rId1130" Type="http://schemas.openxmlformats.org/officeDocument/2006/relationships/hyperlink" Target="https://www.6laws.net/6law/law\&#25010;&#27861;.htm" TargetMode="External"/><Relationship Id="rId1228" Type="http://schemas.openxmlformats.org/officeDocument/2006/relationships/hyperlink" Target="https://www.6laws.net/6law/law\&#25010;&#27861;.htm" TargetMode="External"/><Relationship Id="rId1435" Type="http://schemas.openxmlformats.org/officeDocument/2006/relationships/hyperlink" Target="https://www.6laws.net/6law/law\&#25010;&#27861;.htm" TargetMode="External"/><Relationship Id="rId1642" Type="http://schemas.openxmlformats.org/officeDocument/2006/relationships/hyperlink" Target="https://www.6laws.net/6law/law\&#21009;&#27861;.htm" TargetMode="External"/><Relationship Id="rId1947" Type="http://schemas.openxmlformats.org/officeDocument/2006/relationships/hyperlink" Target="https://www.6laws.net/6law/law2\&#20844;&#27665;&#33287;&#25919;&#27835;&#27402;&#21033;&#22283;&#38555;&#20844;&#32004;.htm" TargetMode="External"/><Relationship Id="rId2900" Type="http://schemas.openxmlformats.org/officeDocument/2006/relationships/hyperlink" Target="http://twstudy.iis.sinica.edu.tw/twstatistic50/JUDI/Mt184.xls" TargetMode="External"/><Relationship Id="rId1502" Type="http://schemas.openxmlformats.org/officeDocument/2006/relationships/hyperlink" Target="https://www.6laws.net/6law/law\&#25010;&#27861;.htm" TargetMode="External"/><Relationship Id="rId1807" Type="http://schemas.openxmlformats.org/officeDocument/2006/relationships/hyperlink" Target="https://www.6laws.net/6law/law2\&#19990;&#30028;&#20154;&#27402;&#23459;&#35328;.htm" TargetMode="External"/><Relationship Id="rId290" Type="http://schemas.openxmlformats.org/officeDocument/2006/relationships/hyperlink" Target="https://www.6laws.net/6law/law\&#20844;&#32887;&#20154;&#21729;&#36984;&#33289;&#32631;&#20813;&#27861;.htm" TargetMode="External"/><Relationship Id="rId388" Type="http://schemas.openxmlformats.org/officeDocument/2006/relationships/hyperlink" Target="https://www.6laws.net/6law/law\&#22823;&#27861;&#23448;&#35299;&#37323;87-91&#24180;.htm" TargetMode="External"/><Relationship Id="rId2069" Type="http://schemas.openxmlformats.org/officeDocument/2006/relationships/hyperlink" Target="https://www.6laws.net/6law/law2\&#20844;&#27665;&#33287;&#25919;&#27835;&#27402;&#21033;&#22283;&#38555;&#20844;&#32004;.htm" TargetMode="External"/><Relationship Id="rId150" Type="http://schemas.openxmlformats.org/officeDocument/2006/relationships/hyperlink" Target="https://www.6laws.net/6law/law\&#25010;&#27861;.htm" TargetMode="External"/><Relationship Id="rId595" Type="http://schemas.openxmlformats.org/officeDocument/2006/relationships/hyperlink" Target="https://www.6laws.net/6law/law\&#25010;&#27861;.htm" TargetMode="External"/><Relationship Id="rId2276" Type="http://schemas.openxmlformats.org/officeDocument/2006/relationships/hyperlink" Target="https://www.6laws.net/6law/law-gb\&#21453;&#20998;&#35010;&#22283;&#23478;&#27861;.htm" TargetMode="External"/><Relationship Id="rId2483" Type="http://schemas.openxmlformats.org/officeDocument/2006/relationships/hyperlink" Target="https://www.6laws.net/6law/law2\&#20844;&#27665;&#33287;&#25919;&#27835;&#27402;&#21033;&#22283;&#38555;&#20844;&#32004;.htm" TargetMode="External"/><Relationship Id="rId2690" Type="http://schemas.openxmlformats.org/officeDocument/2006/relationships/hyperlink" Target="https://www.6laws.net/6law/law\&#20837;&#20986;&#22283;&#21450;&#31227;&#27665;&#27861;.htm" TargetMode="External"/><Relationship Id="rId248" Type="http://schemas.openxmlformats.org/officeDocument/2006/relationships/hyperlink" Target="https://www.6laws.net/6law/law\&#38651;&#20449;&#27861;.htm" TargetMode="External"/><Relationship Id="rId455" Type="http://schemas.openxmlformats.org/officeDocument/2006/relationships/hyperlink" Target="https://www.6laws.net/6law/law\&#20013;&#33775;&#27665;&#22283;&#25010;&#27861;&#22686;&#20462;&#26781;&#25991;.htm" TargetMode="External"/><Relationship Id="rId662" Type="http://schemas.openxmlformats.org/officeDocument/2006/relationships/image" Target="media/image20.png"/><Relationship Id="rId1085" Type="http://schemas.openxmlformats.org/officeDocument/2006/relationships/hyperlink" Target="https://www.6laws.net/6law/law\&#20013;&#33775;&#27665;&#22283;&#25010;&#27861;&#22686;&#20462;&#26781;&#25991;.htm" TargetMode="External"/><Relationship Id="rId1292" Type="http://schemas.openxmlformats.org/officeDocument/2006/relationships/hyperlink" Target="https://www.6laws.net/6law/law\&#25152;&#24471;&#31237;&#27861;.htm" TargetMode="External"/><Relationship Id="rId2136" Type="http://schemas.openxmlformats.org/officeDocument/2006/relationships/hyperlink" Target="https://www.6laws.net/6law/law2\&#19990;&#30028;&#20154;&#27402;&#23459;&#35328;.htm" TargetMode="External"/><Relationship Id="rId2343" Type="http://schemas.openxmlformats.org/officeDocument/2006/relationships/hyperlink" Target="https://www.6laws.net/6law/law\&#25010;&#27861;.htm" TargetMode="External"/><Relationship Id="rId2550" Type="http://schemas.openxmlformats.org/officeDocument/2006/relationships/hyperlink" Target="https://www.6laws.net/6law/law2\&#19990;&#30028;&#20154;&#27402;&#23459;&#35328;.htm" TargetMode="External"/><Relationship Id="rId2788" Type="http://schemas.openxmlformats.org/officeDocument/2006/relationships/hyperlink" Target="https://www.6laws.net/6law/law2\&#32147;&#28639;&#31038;&#26371;&#25991;&#21270;&#27402;&#21033;&#22283;&#38555;&#20844;&#32004;.htm" TargetMode="External"/><Relationship Id="rId108" Type="http://schemas.openxmlformats.org/officeDocument/2006/relationships/hyperlink" Target="https://www.6laws.net/6law/law\&#25010;&#27861;.htm" TargetMode="External"/><Relationship Id="rId315" Type="http://schemas.openxmlformats.org/officeDocument/2006/relationships/hyperlink" Target="https://www.6laws.net/6law/law\&#25010;&#27861;.htm" TargetMode="External"/><Relationship Id="rId522" Type="http://schemas.openxmlformats.org/officeDocument/2006/relationships/hyperlink" Target="https://www.6laws.net/6law/law\&#25010;&#27861;.htm" TargetMode="External"/><Relationship Id="rId967" Type="http://schemas.openxmlformats.org/officeDocument/2006/relationships/hyperlink" Target="https://www.6laws.net/6law/law\&#25010;&#27861;.htm" TargetMode="External"/><Relationship Id="rId1152" Type="http://schemas.openxmlformats.org/officeDocument/2006/relationships/hyperlink" Target="https://www.6laws.net/6law/law\&#25010;&#27861;.htm" TargetMode="External"/><Relationship Id="rId1597" Type="http://schemas.openxmlformats.org/officeDocument/2006/relationships/hyperlink" Target="http://2.bp.blogspot.com/-98zQGpG8r4k/UwQchoR652I/AAAAAAAACAc/N-FdUQYSD4g/s1600/%E5%9C%965-web.jpg" TargetMode="External"/><Relationship Id="rId2203" Type="http://schemas.openxmlformats.org/officeDocument/2006/relationships/hyperlink" Target="https://www.6laws.net/6law/law\&#20154;&#21475;&#36009;&#36939;&#38450;&#21046;&#27861;.htm" TargetMode="External"/><Relationship Id="rId2410" Type="http://schemas.openxmlformats.org/officeDocument/2006/relationships/hyperlink" Target="https://www.6laws.net/6law/law\&#25010;&#27861;.htm" TargetMode="External"/><Relationship Id="rId2648" Type="http://schemas.openxmlformats.org/officeDocument/2006/relationships/hyperlink" Target="https://www.6laws.net/6law/law\&#20778;&#29983;&#20445;&#20581;&#27861;.htm" TargetMode="External"/><Relationship Id="rId2855" Type="http://schemas.openxmlformats.org/officeDocument/2006/relationships/hyperlink" Target="https://www.6laws.net/6law/law\&#20013;&#33775;&#27665;&#22283;&#25010;&#27861;&#22686;&#20462;&#26781;&#25991;.htm" TargetMode="External"/><Relationship Id="rId96" Type="http://schemas.openxmlformats.org/officeDocument/2006/relationships/hyperlink" Target="https://www.6laws.net/6law/law2\&#20844;&#27665;&#33287;&#25919;&#27835;&#27402;&#21033;&#22283;&#38555;&#20844;&#32004;.htm" TargetMode="External"/><Relationship Id="rId827" Type="http://schemas.openxmlformats.org/officeDocument/2006/relationships/hyperlink" Target="https://www.6laws.net/6law/law\&#21496;&#27861;&#38498;&#22823;&#27861;&#23448;&#23529;&#29702;&#26696;&#20214;&#27861;.htm" TargetMode="External"/><Relationship Id="rId1012" Type="http://schemas.openxmlformats.org/officeDocument/2006/relationships/hyperlink" Target="https://www.6laws.net/6law/law\&#25010;&#27861;.htm" TargetMode="External"/><Relationship Id="rId1457" Type="http://schemas.openxmlformats.org/officeDocument/2006/relationships/hyperlink" Target="https://www.6laws.net/6law/law\&#20013;&#33775;&#27665;&#22283;&#25010;&#27861;&#22686;&#20462;&#26781;&#25991;.htm" TargetMode="External"/><Relationship Id="rId1664" Type="http://schemas.openxmlformats.org/officeDocument/2006/relationships/hyperlink" Target="https://www.6laws.net/6law/law\&#22823;&#27861;&#23448;&#35299;&#37323;79-86&#24180;.htm" TargetMode="External"/><Relationship Id="rId1871" Type="http://schemas.openxmlformats.org/officeDocument/2006/relationships/hyperlink" Target="https://www.6laws.net/6law/law2\&#20844;&#27665;&#33287;&#25919;&#27835;&#27402;&#21033;&#22283;&#38555;&#20844;&#32004;.htm" TargetMode="External"/><Relationship Id="rId2508" Type="http://schemas.openxmlformats.org/officeDocument/2006/relationships/hyperlink" Target="https://www.6laws.net/6law/law\&#22823;&#27861;&#23448;&#35299;&#37323;79-86&#24180;.htm" TargetMode="External"/><Relationship Id="rId2715" Type="http://schemas.openxmlformats.org/officeDocument/2006/relationships/hyperlink" Target="https://www.6laws.net/6law/law\&#20837;&#20986;&#22283;&#21450;&#31227;&#27665;&#27861;.htm" TargetMode="External"/><Relationship Id="rId2922" Type="http://schemas.openxmlformats.org/officeDocument/2006/relationships/hyperlink" Target="http://www.christianstudy.com/data/pastoral/euthanas06.html" TargetMode="External"/><Relationship Id="rId1317" Type="http://schemas.openxmlformats.org/officeDocument/2006/relationships/hyperlink" Target="https://www.6laws.net/6law/law\&#25010;&#27861;.htm" TargetMode="External"/><Relationship Id="rId1524" Type="http://schemas.openxmlformats.org/officeDocument/2006/relationships/hyperlink" Target="https://www.6laws.net/6law/law\&#20013;&#33775;&#27665;&#22283;&#25010;&#27861;&#22686;&#20462;&#26781;&#25991;.htm" TargetMode="External"/><Relationship Id="rId1731" Type="http://schemas.openxmlformats.org/officeDocument/2006/relationships/hyperlink" Target="https://www.6laws.net/6law/law\&#23601;&#26989;&#26381;&#21209;&#27861;.htm" TargetMode="External"/><Relationship Id="rId1969" Type="http://schemas.openxmlformats.org/officeDocument/2006/relationships/hyperlink" Target="https://www.6laws.net/6law/law\&#25010;&#27861;.htm" TargetMode="External"/><Relationship Id="rId23" Type="http://schemas.openxmlformats.org/officeDocument/2006/relationships/hyperlink" Target="https://www.6laws.net/6law/law\&#20778;&#29983;&#20445;&#20581;&#27861;.htm" TargetMode="External"/><Relationship Id="rId1829" Type="http://schemas.openxmlformats.org/officeDocument/2006/relationships/hyperlink" Target="https://www.6laws.net/6law/law2\&#20445;&#35703;&#25152;&#26377;&#31227;&#24473;&#24037;&#20154;&#21450;&#20854;&#23478;&#24237;&#25104;&#21729;&#27402;&#21033;&#22283;&#38555;&#20844;&#32004;.htm" TargetMode="External"/><Relationship Id="rId2298" Type="http://schemas.openxmlformats.org/officeDocument/2006/relationships/hyperlink" Target="https://www.6laws.net/6law/law-gb\&#21453;&#20998;&#35010;&#22283;&#23478;&#27861;.htm" TargetMode="External"/><Relationship Id="rId172" Type="http://schemas.openxmlformats.org/officeDocument/2006/relationships/hyperlink" Target="https://www.6laws.net/6law/law\&#25010;&#27861;.htm" TargetMode="External"/><Relationship Id="rId477" Type="http://schemas.openxmlformats.org/officeDocument/2006/relationships/hyperlink" Target="https://zh.wikipedia.org/wiki/&#31435;&#27861;&#38498;&#23565;&#34892;&#25919;&#38498;&#38498;&#38263;&#20043;&#19981;&#20449;&#20219;&#26696;" TargetMode="External"/><Relationship Id="rId684" Type="http://schemas.openxmlformats.org/officeDocument/2006/relationships/hyperlink" Target="https://www.6laws.net/6law/law\&#20013;&#33775;&#27665;&#22283;&#25010;&#27861;&#22686;&#20462;&#26781;&#25991;.htm" TargetMode="External"/><Relationship Id="rId2060" Type="http://schemas.openxmlformats.org/officeDocument/2006/relationships/hyperlink" Target="https://www.6laws.net/6law/law2\&#20844;&#27665;&#33287;&#25919;&#27835;&#27402;&#21033;&#22283;&#38555;&#20844;&#32004;.htm" TargetMode="External"/><Relationship Id="rId2158" Type="http://schemas.openxmlformats.org/officeDocument/2006/relationships/hyperlink" Target="https://www.6laws.net/6law/law\&#22823;&#27861;&#23448;&#35299;&#37323;92-n&#24180;.htm" TargetMode="External"/><Relationship Id="rId2365" Type="http://schemas.openxmlformats.org/officeDocument/2006/relationships/hyperlink" Target="https://www.6laws.net/6law/law\&#25010;&#27861;.htm" TargetMode="External"/><Relationship Id="rId337" Type="http://schemas.openxmlformats.org/officeDocument/2006/relationships/hyperlink" Target="https://www.6laws.net/6law/law\&#25152;&#24471;&#31237;&#27861;.htm" TargetMode="External"/><Relationship Id="rId891" Type="http://schemas.openxmlformats.org/officeDocument/2006/relationships/hyperlink" Target="https://www.6laws.net/6law/law\&#25010;&#27861;.htm" TargetMode="External"/><Relationship Id="rId989" Type="http://schemas.openxmlformats.org/officeDocument/2006/relationships/hyperlink" Target="https://www.6laws.net/6law/law\&#25010;&#27861;.htm" TargetMode="External"/><Relationship Id="rId2018" Type="http://schemas.openxmlformats.org/officeDocument/2006/relationships/hyperlink" Target="https://www.6laws.net/6law/law\&#20837;&#20986;&#22283;&#21450;&#31227;&#27665;&#27861;.htm" TargetMode="External"/><Relationship Id="rId2572" Type="http://schemas.openxmlformats.org/officeDocument/2006/relationships/hyperlink" Target="https://www.6laws.net/6law/law2\&#20844;&#27665;&#33287;&#25919;&#27835;&#27402;&#21033;&#22283;&#38555;&#20844;&#32004;.htm" TargetMode="External"/><Relationship Id="rId2877" Type="http://schemas.openxmlformats.org/officeDocument/2006/relationships/hyperlink" Target="http://www.hc-sc.gc.ca/ahc-asc/pubs/_sites-lieux/insite/index-eng.php" TargetMode="External"/><Relationship Id="rId544" Type="http://schemas.openxmlformats.org/officeDocument/2006/relationships/hyperlink" Target="https://www.6laws.net/6law/law\&#25010;&#27861;.htm" TargetMode="External"/><Relationship Id="rId751" Type="http://schemas.openxmlformats.org/officeDocument/2006/relationships/hyperlink" Target="https://www.6laws.net/6law/law\&#20013;&#33775;&#27665;&#22283;&#25010;&#27861;&#22686;&#20462;&#26781;&#25991;.htm" TargetMode="External"/><Relationship Id="rId849" Type="http://schemas.openxmlformats.org/officeDocument/2006/relationships/hyperlink" Target="https://www.6laws.net/6law/law\&#22823;&#27861;&#23448;&#35299;&#37323;92-n&#24180;.htm" TargetMode="External"/><Relationship Id="rId1174" Type="http://schemas.openxmlformats.org/officeDocument/2006/relationships/hyperlink" Target="https://www.6laws.net/6law/law\&#22320;&#26041;&#21046;&#24230;&#27861;.htm" TargetMode="External"/><Relationship Id="rId1381" Type="http://schemas.openxmlformats.org/officeDocument/2006/relationships/hyperlink" Target="https://www.6laws.net/6law/law\&#25010;&#27861;.htm" TargetMode="External"/><Relationship Id="rId1479" Type="http://schemas.openxmlformats.org/officeDocument/2006/relationships/hyperlink" Target="https://www.6laws.net/6law/law\&#20013;&#33775;&#27665;&#22283;&#25010;&#27861;&#22686;&#20462;&#26781;&#25991;.htm" TargetMode="External"/><Relationship Id="rId1686" Type="http://schemas.openxmlformats.org/officeDocument/2006/relationships/hyperlink" Target="https://www.6laws.net/6law/law\&#27602;&#21697;&#21361;&#23475;&#38450;&#21046;&#26781;&#20363;.htm" TargetMode="External"/><Relationship Id="rId2225" Type="http://schemas.openxmlformats.org/officeDocument/2006/relationships/hyperlink" Target="https://www.6laws.net/6law/law\&#20154;&#21475;&#36009;&#36939;&#38450;&#21046;&#27861;.htm" TargetMode="External"/><Relationship Id="rId2432" Type="http://schemas.openxmlformats.org/officeDocument/2006/relationships/hyperlink" Target="https://www.6laws.net/6law/law2\&#32879;&#21512;&#22283;&#25010;&#31456;.htm" TargetMode="External"/><Relationship Id="rId404" Type="http://schemas.openxmlformats.org/officeDocument/2006/relationships/hyperlink" Target="https://www.6laws.net/6law/law\&#25010;&#27861;.htm" TargetMode="External"/><Relationship Id="rId611" Type="http://schemas.openxmlformats.org/officeDocument/2006/relationships/hyperlink" Target="https://www.6laws.net/6law/law\&#25010;&#27861;.htm" TargetMode="External"/><Relationship Id="rId1034" Type="http://schemas.openxmlformats.org/officeDocument/2006/relationships/hyperlink" Target="https://www.6laws.net/6law/law\&#22823;&#27861;&#23448;&#35299;&#37323;38-60&#24180;.htm" TargetMode="External"/><Relationship Id="rId1241" Type="http://schemas.openxmlformats.org/officeDocument/2006/relationships/hyperlink" Target="https://www.6laws.net/6law/law\&#21009;&#27861;.htm" TargetMode="External"/><Relationship Id="rId1339" Type="http://schemas.openxmlformats.org/officeDocument/2006/relationships/hyperlink" Target="https://www.6laws.net/6law/law\&#20013;&#33775;&#27665;&#22283;&#25010;&#27861;&#22686;&#20462;&#26781;&#25991;.htm" TargetMode="External"/><Relationship Id="rId1893" Type="http://schemas.openxmlformats.org/officeDocument/2006/relationships/hyperlink" Target="https://www.6laws.net/6law/law2\&#20445;&#35703;&#25152;&#26377;&#31227;&#24473;&#24037;&#20154;&#21450;&#20854;&#23478;&#24237;&#25104;&#21729;&#27402;&#21033;&#22283;&#38555;&#20844;&#32004;.htm" TargetMode="External"/><Relationship Id="rId2737" Type="http://schemas.openxmlformats.org/officeDocument/2006/relationships/hyperlink" Target="aw\&#20013;&#33775;&#27665;&#22283;&#25010;&#27861;&#22686;&#20462;&#26781;&#25991;.htm" TargetMode="External"/><Relationship Id="rId709" Type="http://schemas.openxmlformats.org/officeDocument/2006/relationships/hyperlink" Target="https://www.6laws.net/6law/law\&#31435;&#27861;&#38498;&#32068;&#32340;&#27861;.htm" TargetMode="External"/><Relationship Id="rId916" Type="http://schemas.openxmlformats.org/officeDocument/2006/relationships/hyperlink" Target="https://www.6laws.net/6law/law\&#20013;&#33775;&#27665;&#22283;&#25010;&#27861;&#22686;&#20462;&#26781;&#25991;.htm" TargetMode="External"/><Relationship Id="rId1101" Type="http://schemas.openxmlformats.org/officeDocument/2006/relationships/hyperlink" Target="https://www.6laws.net/6law/law\&#21496;&#27861;&#38498;&#22823;&#27861;&#23448;&#23529;&#29702;&#26696;&#20214;&#27861;.htm" TargetMode="External"/><Relationship Id="rId1546" Type="http://schemas.openxmlformats.org/officeDocument/2006/relationships/hyperlink" Target="https://www.6laws.net/6law/law\&#25010;&#27861;.htm" TargetMode="External"/><Relationship Id="rId1753" Type="http://schemas.openxmlformats.org/officeDocument/2006/relationships/hyperlink" Target="https://www.6laws.net/6law/law\&#21214;&#21205;&#22522;&#28310;&#27861;.htm" TargetMode="External"/><Relationship Id="rId1960" Type="http://schemas.openxmlformats.org/officeDocument/2006/relationships/hyperlink" Target="https://www.6laws.net/6law/law\&#22823;&#27861;&#23448;&#35299;&#37323;92-n&#24180;.htm" TargetMode="External"/><Relationship Id="rId2804" Type="http://schemas.openxmlformats.org/officeDocument/2006/relationships/hyperlink" Target="http://www.naol.cc/news/world/2014/12/13-1.htm" TargetMode="External"/><Relationship Id="rId45" Type="http://schemas.openxmlformats.org/officeDocument/2006/relationships/hyperlink" Target="https://www.6laws.net/6law/law\&#25010;&#27861;.htm" TargetMode="External"/><Relationship Id="rId1406" Type="http://schemas.openxmlformats.org/officeDocument/2006/relationships/hyperlink" Target="https://www.6laws.net/6law/law\&#20013;&#33775;&#27665;&#22283;&#25010;&#27861;&#22686;&#20462;&#26781;&#25991;.htm" TargetMode="External"/><Relationship Id="rId1613" Type="http://schemas.openxmlformats.org/officeDocument/2006/relationships/hyperlink" Target="https://www.6laws.net/6law/law\&#25010;&#27861;.htm" TargetMode="External"/><Relationship Id="rId1820" Type="http://schemas.openxmlformats.org/officeDocument/2006/relationships/hyperlink" Target="https://www.6laws.net/6law/law\&#21214;&#21205;&#22522;&#28310;&#27861;.htm" TargetMode="External"/><Relationship Id="rId194" Type="http://schemas.openxmlformats.org/officeDocument/2006/relationships/hyperlink" Target="https://www.6laws.net/6law/law\&#36557;&#20107;&#23529;&#21028;&#27861;.htm" TargetMode="External"/><Relationship Id="rId1918" Type="http://schemas.openxmlformats.org/officeDocument/2006/relationships/hyperlink" Target="https://www.6laws.net/6law/law2\&#26377;&#38364;&#38627;&#27665;&#22320;&#20301;&#20844;&#32004;.htm" TargetMode="External"/><Relationship Id="rId2082" Type="http://schemas.openxmlformats.org/officeDocument/2006/relationships/hyperlink" Target="https://www.6laws.net/6law/law2\&#20844;&#27665;&#33287;&#25919;&#27835;&#27402;&#21033;&#22283;&#38555;&#20844;&#32004;.htm" TargetMode="External"/><Relationship Id="rId261" Type="http://schemas.openxmlformats.org/officeDocument/2006/relationships/hyperlink" Target="https://www.6laws.net/6law/law\&#25010;&#27861;.htm" TargetMode="External"/><Relationship Id="rId499" Type="http://schemas.openxmlformats.org/officeDocument/2006/relationships/hyperlink" Target="https://www.6laws.net/6law/law\&#20013;&#33775;&#27665;&#22283;&#25010;&#27861;&#22686;&#20462;&#26781;&#25991;.htm" TargetMode="External"/><Relationship Id="rId2387" Type="http://schemas.openxmlformats.org/officeDocument/2006/relationships/hyperlink" Target="https://www.6laws.net/6law/law-gb\&#21453;&#20998;&#35010;&#22283;&#23478;&#27861;.htm" TargetMode="External"/><Relationship Id="rId2594" Type="http://schemas.openxmlformats.org/officeDocument/2006/relationships/hyperlink" Target="https://www.6laws.net/6law/law\&#38598;&#26371;&#36938;&#34892;&#27861;.htm" TargetMode="External"/><Relationship Id="rId359" Type="http://schemas.openxmlformats.org/officeDocument/2006/relationships/hyperlink" Target="https://www.6laws.net/6law/law\&#25010;&#27861;.htm" TargetMode="External"/><Relationship Id="rId566" Type="http://schemas.openxmlformats.org/officeDocument/2006/relationships/hyperlink" Target="https://www.6laws.net/6law/law\&#20013;&#33775;&#27665;&#22283;&#25010;&#27861;&#22686;&#20462;&#26781;&#25991;.htm" TargetMode="External"/><Relationship Id="rId773" Type="http://schemas.openxmlformats.org/officeDocument/2006/relationships/hyperlink" Target="https://www.6laws.net/6law/law\&#25010;&#27861;.htm" TargetMode="External"/><Relationship Id="rId1196" Type="http://schemas.openxmlformats.org/officeDocument/2006/relationships/hyperlink" Target="https://www.6laws.net/6law/law\&#32317;&#32113;&#21103;&#32317;&#32113;&#36984;&#33289;&#32631;&#20813;&#27861;.htm" TargetMode="External"/><Relationship Id="rId2247" Type="http://schemas.openxmlformats.org/officeDocument/2006/relationships/hyperlink" Target="https://www.6laws.net/6law/law-gb\&#21453;&#20998;&#35010;&#22283;&#23478;&#27861;.htm" TargetMode="External"/><Relationship Id="rId2454" Type="http://schemas.openxmlformats.org/officeDocument/2006/relationships/hyperlink" Target="https://www.6laws.net/6law/law2\&#19990;&#30028;&#20154;&#27402;&#23459;&#35328;.htm" TargetMode="External"/><Relationship Id="rId2899" Type="http://schemas.openxmlformats.org/officeDocument/2006/relationships/hyperlink" Target="http://www.sinica.edu.tw/ftms-bin/ftmsw3?ukey=-1366032312&amp;rid=67" TargetMode="External"/><Relationship Id="rId121" Type="http://schemas.openxmlformats.org/officeDocument/2006/relationships/hyperlink" Target="https://www.6laws.net/6law/law\&#25010;&#27861;.htm" TargetMode="External"/><Relationship Id="rId219" Type="http://schemas.openxmlformats.org/officeDocument/2006/relationships/hyperlink" Target="https://www.6laws.net/6law/law\&#21009;&#27861;.htm" TargetMode="External"/><Relationship Id="rId426" Type="http://schemas.openxmlformats.org/officeDocument/2006/relationships/hyperlink" Target="https://www.6laws.net/6law/law\&#20900;&#29508;&#36064;&#20767;&#27861;.htm" TargetMode="External"/><Relationship Id="rId633" Type="http://schemas.openxmlformats.org/officeDocument/2006/relationships/hyperlink" Target="https://www.6laws.net/6law/law\&#25010;&#27861;.htm" TargetMode="External"/><Relationship Id="rId980" Type="http://schemas.openxmlformats.org/officeDocument/2006/relationships/hyperlink" Target="https://www.6laws.net/6law/law\&#20013;&#33775;&#27665;&#22283;&#25010;&#27861;&#22686;&#20462;&#26781;&#25991;.htm" TargetMode="External"/><Relationship Id="rId1056" Type="http://schemas.openxmlformats.org/officeDocument/2006/relationships/hyperlink" Target="https://zh.wikipedia.org/wiki/%E7%9B%A3%E5%AF%9F%E9%99%A2" TargetMode="External"/><Relationship Id="rId1263" Type="http://schemas.openxmlformats.org/officeDocument/2006/relationships/hyperlink" Target="https://www.6laws.net/6law/law\&#20449;&#35351;&#26989;&#27861;.htm" TargetMode="External"/><Relationship Id="rId2107" Type="http://schemas.openxmlformats.org/officeDocument/2006/relationships/hyperlink" Target="https://www.6laws.net/6law/law2\&#20844;&#27665;&#33287;&#25919;&#27835;&#27402;&#21033;&#22283;&#38555;&#20844;&#32004;.htm" TargetMode="External"/><Relationship Id="rId2314" Type="http://schemas.openxmlformats.org/officeDocument/2006/relationships/hyperlink" Target="https://www.6laws.net/6law/law-gb\&#21453;&#20998;&#35010;&#22283;&#23478;&#27861;.htm" TargetMode="External"/><Relationship Id="rId2661" Type="http://schemas.openxmlformats.org/officeDocument/2006/relationships/hyperlink" Target="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0JTNGMTQyNzMwNjc2NSZpPTE-" TargetMode="External"/><Relationship Id="rId2759" Type="http://schemas.openxmlformats.org/officeDocument/2006/relationships/hyperlink" Target="https://www.6laws.net/6law/law2\&#20818;&#31461;&#27402;&#21033;&#20844;&#32004;.htm" TargetMode="External"/><Relationship Id="rId840" Type="http://schemas.openxmlformats.org/officeDocument/2006/relationships/hyperlink" Target="https://www.6laws.net/6law/law\&#20013;&#33775;&#27665;&#22283;&#25010;&#27861;&#22686;&#20462;&#26781;&#25991;.htm" TargetMode="External"/><Relationship Id="rId938" Type="http://schemas.openxmlformats.org/officeDocument/2006/relationships/hyperlink" Target="https://www.6laws.net/6law/law\&#25010;&#27861;.htm" TargetMode="External"/><Relationship Id="rId1470" Type="http://schemas.openxmlformats.org/officeDocument/2006/relationships/hyperlink" Target="https://www.6laws.net/6law/law\&#20013;&#33775;&#27665;&#22283;&#25010;&#27861;&#22686;&#20462;&#26781;&#25991;.htm" TargetMode="External"/><Relationship Id="rId1568" Type="http://schemas.openxmlformats.org/officeDocument/2006/relationships/hyperlink" Target="https://www.6laws.net/6law/law\&#36001;&#25919;&#25910;&#25903;&#21123;&#20998;&#27861;.htm" TargetMode="External"/><Relationship Id="rId1775" Type="http://schemas.openxmlformats.org/officeDocument/2006/relationships/hyperlink" Target="https://www.6laws.net/6law/law\&#21214;&#21205;&#22522;&#28310;&#27861;.htm" TargetMode="External"/><Relationship Id="rId2521" Type="http://schemas.openxmlformats.org/officeDocument/2006/relationships/hyperlink" Target="https://www.6laws.net/6law/law\&#22823;&#27861;&#23448;&#35299;&#37323;79-86&#24180;.htm" TargetMode="External"/><Relationship Id="rId2619" Type="http://schemas.openxmlformats.org/officeDocument/2006/relationships/hyperlink" Target="http://www.tiannv.com/a/MAMA_ME/Pregnancy/2013/144-12120-2.html" TargetMode="External"/><Relationship Id="rId2826" Type="http://schemas.openxmlformats.org/officeDocument/2006/relationships/hyperlink" Target="https://www.6laws.net/6law/law\&#20013;&#33775;&#27665;&#22283;&#25010;&#27861;&#22686;&#20462;&#26781;&#25991;.htm" TargetMode="External"/><Relationship Id="rId67" Type="http://schemas.openxmlformats.org/officeDocument/2006/relationships/hyperlink" Target="https://www.6laws.net/6law/law\&#22823;&#27861;&#23448;&#35299;&#37323;79-86&#24180;.htm" TargetMode="External"/><Relationship Id="rId700" Type="http://schemas.openxmlformats.org/officeDocument/2006/relationships/hyperlink" Target="https://www.6laws.net/6law/law\&#20013;&#33775;&#27665;&#22283;&#25010;&#27861;&#22686;&#20462;&#26781;&#25991;.htm" TargetMode="External"/><Relationship Id="rId1123" Type="http://schemas.openxmlformats.org/officeDocument/2006/relationships/hyperlink" Target="https://www.6laws.net/6law/law\&#22320;&#26041;&#21046;&#24230;&#27861;.htm" TargetMode="External"/><Relationship Id="rId1330" Type="http://schemas.openxmlformats.org/officeDocument/2006/relationships/hyperlink" Target="https://www.6laws.net/6law/law\&#21009;&#27861;.htm" TargetMode="External"/><Relationship Id="rId1428" Type="http://schemas.openxmlformats.org/officeDocument/2006/relationships/hyperlink" Target="https://www.6laws.net/6law/law\&#20013;&#33775;&#27665;&#22283;&#25010;&#27861;&#22686;&#20462;&#26781;&#25991;.htm" TargetMode="External"/><Relationship Id="rId1635" Type="http://schemas.openxmlformats.org/officeDocument/2006/relationships/hyperlink" Target="https://www.6laws.net/6law/law2\&#32147;&#28639;&#31038;&#26371;&#25991;&#21270;&#27402;&#21033;&#22283;&#38555;&#20844;&#32004;.htm" TargetMode="External"/><Relationship Id="rId1982" Type="http://schemas.openxmlformats.org/officeDocument/2006/relationships/hyperlink" Target="https://www.6laws.net/6law/law2\&#20844;&#27665;&#33287;&#25919;&#27835;&#27402;&#21033;&#22283;&#38555;&#20844;&#32004;.htm" TargetMode="External"/><Relationship Id="rId1842" Type="http://schemas.openxmlformats.org/officeDocument/2006/relationships/hyperlink" Target="https://www.6laws.net/6law/law2\&#20445;&#35703;&#25152;&#26377;&#31227;&#24473;&#24037;&#20154;&#21450;&#20854;&#23478;&#24237;&#25104;&#21729;&#27402;&#21033;&#22283;&#38555;&#20844;&#32004;.htm" TargetMode="External"/><Relationship Id="rId1702" Type="http://schemas.openxmlformats.org/officeDocument/2006/relationships/hyperlink" Target="https://www.6laws.net/6law/law\&#27602;&#21697;&#21361;&#23475;&#38450;&#21046;&#26781;&#20363;.htm" TargetMode="External"/><Relationship Id="rId283" Type="http://schemas.openxmlformats.org/officeDocument/2006/relationships/hyperlink" Target="https://www.6laws.net/6law/law\&#20844;&#21209;&#21729;&#26381;&#21209;&#27861;.htm" TargetMode="External"/><Relationship Id="rId490" Type="http://schemas.openxmlformats.org/officeDocument/2006/relationships/hyperlink" Target="https://www.6laws.net/6law/law\&#25010;&#27861;.htm" TargetMode="External"/><Relationship Id="rId2171" Type="http://schemas.openxmlformats.org/officeDocument/2006/relationships/hyperlink" Target="https://www.6laws.net/6law/law\&#22823;&#27861;&#23448;&#35299;&#37323;92-n&#24180;.htm" TargetMode="External"/><Relationship Id="rId143" Type="http://schemas.openxmlformats.org/officeDocument/2006/relationships/hyperlink" Target="https://www.6laws.net/6law/law\&#21009;&#20107;&#35380;&#35359;&#27861;.htm" TargetMode="External"/><Relationship Id="rId350" Type="http://schemas.openxmlformats.org/officeDocument/2006/relationships/hyperlink" Target="https://www.6laws.net/6law/law\&#20853;&#24441;&#27861;.htm" TargetMode="External"/><Relationship Id="rId588" Type="http://schemas.openxmlformats.org/officeDocument/2006/relationships/hyperlink" Target="https://www.6laws.net/6law/law\&#25010;&#27861;.htm" TargetMode="External"/><Relationship Id="rId795" Type="http://schemas.openxmlformats.org/officeDocument/2006/relationships/hyperlink" Target="https://www.6laws.net/6law/law\&#20013;&#33775;&#27665;&#22283;&#25010;&#27861;&#22686;&#20462;&#26781;&#25991;.htm" TargetMode="External"/><Relationship Id="rId2031" Type="http://schemas.openxmlformats.org/officeDocument/2006/relationships/hyperlink" Target="https://www.6laws.net/6law/law\&#25010;&#27861;.htm" TargetMode="External"/><Relationship Id="rId2269" Type="http://schemas.openxmlformats.org/officeDocument/2006/relationships/hyperlink" Target="https://www.6laws.net/6law/law-gb\&#21453;&#20998;&#35010;&#22283;&#23478;&#27861;.htm" TargetMode="External"/><Relationship Id="rId2476" Type="http://schemas.openxmlformats.org/officeDocument/2006/relationships/hyperlink" Target="https://www.6laws.net/6law/law2\&#20844;&#27665;&#33287;&#25919;&#27835;&#27402;&#21033;&#22283;&#38555;&#20844;&#32004;.htm" TargetMode="External"/><Relationship Id="rId2683" Type="http://schemas.openxmlformats.org/officeDocument/2006/relationships/hyperlink" Target="https://www.6laws.net/6law/law\&#25010;&#27861;.htm" TargetMode="External"/><Relationship Id="rId2890" Type="http://schemas.openxmlformats.org/officeDocument/2006/relationships/hyperlink" Target="http://www.state.gov/g/tip/rls/tiprpt/2010/142744.htm" TargetMode="External"/><Relationship Id="rId9" Type="http://schemas.openxmlformats.org/officeDocument/2006/relationships/image" Target="media/image1.jpg"/><Relationship Id="rId210" Type="http://schemas.openxmlformats.org/officeDocument/2006/relationships/hyperlink" Target="https://www.6laws.net/6law/law\&#25010;&#27861;.htm" TargetMode="External"/><Relationship Id="rId448" Type="http://schemas.openxmlformats.org/officeDocument/2006/relationships/hyperlink" Target="https://zh.wikipedia.org/wiki/%E5%88%B6%E6%86%B2%E5%9C%8B%E6%B0%91%E5%A4%A7%E6%9C%83" TargetMode="External"/><Relationship Id="rId655" Type="http://schemas.openxmlformats.org/officeDocument/2006/relationships/hyperlink" Target="https://www.6laws.net/6law/law\&#25010;&#27861;.htm" TargetMode="External"/><Relationship Id="rId862" Type="http://schemas.openxmlformats.org/officeDocument/2006/relationships/hyperlink" Target="https://www.6laws.net/6law/law\&#25010;&#27861;.htm" TargetMode="External"/><Relationship Id="rId1078" Type="http://schemas.openxmlformats.org/officeDocument/2006/relationships/hyperlink" Target="https://www.6laws.net/6law/law\&#25010;&#27861;.htm" TargetMode="External"/><Relationship Id="rId1285" Type="http://schemas.openxmlformats.org/officeDocument/2006/relationships/hyperlink" Target="https://www.6laws.net/6law/law\&#25152;&#24471;&#31237;&#27861;.htm" TargetMode="External"/><Relationship Id="rId1492" Type="http://schemas.openxmlformats.org/officeDocument/2006/relationships/hyperlink" Target="https://www.6laws.net/6law/law\&#25010;&#27861;.htm" TargetMode="External"/><Relationship Id="rId2129" Type="http://schemas.openxmlformats.org/officeDocument/2006/relationships/hyperlink" Target="https://www.6laws.net/6law/law2\&#20844;&#27665;&#33287;&#25919;&#27835;&#27402;&#21033;&#22283;&#38555;&#20844;&#32004;.htm" TargetMode="External"/><Relationship Id="rId2336" Type="http://schemas.openxmlformats.org/officeDocument/2006/relationships/hyperlink" Target="https://www.6laws.net/6law/law\&#25010;&#27861;.htm" TargetMode="External"/><Relationship Id="rId2543" Type="http://schemas.openxmlformats.org/officeDocument/2006/relationships/hyperlink" Target="https://www.6laws.net/6law/law2\&#32147;&#28639;&#31038;&#26371;&#25991;&#21270;&#27402;&#21033;&#22283;&#38555;&#20844;&#32004;.htm" TargetMode="External"/><Relationship Id="rId2750" Type="http://schemas.openxmlformats.org/officeDocument/2006/relationships/hyperlink" Target="https://www.6laws.net/6law/law2\&#20818;&#31461;&#27402;&#21033;&#20844;&#32004;.htm" TargetMode="External"/><Relationship Id="rId308" Type="http://schemas.openxmlformats.org/officeDocument/2006/relationships/hyperlink" Target="https://www.6laws.net/6law/law\&#25010;&#27861;.htm" TargetMode="External"/><Relationship Id="rId515" Type="http://schemas.openxmlformats.org/officeDocument/2006/relationships/hyperlink" Target="https://www.6laws.net/6law/law\&#25010;&#27861;.htm" TargetMode="External"/><Relationship Id="rId722" Type="http://schemas.openxmlformats.org/officeDocument/2006/relationships/hyperlink" Target="https://www.6laws.net/6law/law\&#25010;&#27861;.htm" TargetMode="External"/><Relationship Id="rId1145" Type="http://schemas.openxmlformats.org/officeDocument/2006/relationships/hyperlink" Target="https://www.6laws.net/6law/law\&#20844;&#32887;&#20154;&#21729;&#36984;&#33289;&#32631;&#20813;&#27861;.htm" TargetMode="External"/><Relationship Id="rId1352" Type="http://schemas.openxmlformats.org/officeDocument/2006/relationships/hyperlink" Target="aw\&#20013;&#33775;&#27665;&#22283;&#25010;&#27861;&#22686;&#20462;&#26781;&#25991;.htm" TargetMode="External"/><Relationship Id="rId1797" Type="http://schemas.openxmlformats.org/officeDocument/2006/relationships/hyperlink" Target="https://www.6laws.net/6law/law2\&#19990;&#30028;&#20154;&#27402;&#23459;&#35328;.htm" TargetMode="External"/><Relationship Id="rId2403" Type="http://schemas.openxmlformats.org/officeDocument/2006/relationships/hyperlink" Target="https://www.6laws.net/6law/law\&#25010;&#27861;.htm" TargetMode="External"/><Relationship Id="rId2848" Type="http://schemas.openxmlformats.org/officeDocument/2006/relationships/hyperlink" Target="http://en.wikipedia.org/wiki/Yamam" TargetMode="External"/><Relationship Id="rId89" Type="http://schemas.openxmlformats.org/officeDocument/2006/relationships/hyperlink" Target="https://www.6laws.net/6law/law2\&#20844;&#27665;&#33287;&#25919;&#27835;&#27402;&#21033;&#22283;&#38555;&#20844;&#32004;.htm" TargetMode="External"/><Relationship Id="rId1005" Type="http://schemas.openxmlformats.org/officeDocument/2006/relationships/hyperlink" Target="https://www.6laws.net/6law/law\&#25010;&#27861;.htm" TargetMode="External"/><Relationship Id="rId1212" Type="http://schemas.openxmlformats.org/officeDocument/2006/relationships/hyperlink" Target="https://www.6laws.net/6law/law\&#25010;&#27861;.htm" TargetMode="External"/><Relationship Id="rId1657" Type="http://schemas.openxmlformats.org/officeDocument/2006/relationships/hyperlink" Target="https://www.6laws.net/6law/law\&#21009;&#27861;.htm" TargetMode="External"/><Relationship Id="rId1864" Type="http://schemas.openxmlformats.org/officeDocument/2006/relationships/hyperlink" Target="https://www.6laws.net/6law/law2\&#19990;&#30028;&#20154;&#27402;&#23459;&#35328;.htm" TargetMode="External"/><Relationship Id="rId2610" Type="http://schemas.openxmlformats.org/officeDocument/2006/relationships/image" Target="media/image40.jpeg"/><Relationship Id="rId2708" Type="http://schemas.openxmlformats.org/officeDocument/2006/relationships/hyperlink" Target="https://www.6laws.net/6law/law\&#22823;&#27861;&#23448;&#35299;&#37323;92-n&#24180;.htm" TargetMode="External"/><Relationship Id="rId2915" Type="http://schemas.openxmlformats.org/officeDocument/2006/relationships/hyperlink" Target="http://www.jrf.org.tw/newjrf/RTE/myform_detail2.asp?id=1463" TargetMode="External"/><Relationship Id="rId1517" Type="http://schemas.openxmlformats.org/officeDocument/2006/relationships/hyperlink" Target="https://www.6laws.net/6law/law\&#20013;&#33775;&#27665;&#22283;&#25010;&#27861;&#22686;&#20462;&#26781;&#25991;.htm" TargetMode="External"/><Relationship Id="rId1724" Type="http://schemas.openxmlformats.org/officeDocument/2006/relationships/hyperlink" Target="https://www.6laws.net/6law/law\&#27602;&#21697;&#21361;&#23475;&#38450;&#21046;&#26781;&#20363;.htm" TargetMode="External"/><Relationship Id="rId16" Type="http://schemas.openxmlformats.org/officeDocument/2006/relationships/image" Target="media/image7.emf"/><Relationship Id="rId1931" Type="http://schemas.openxmlformats.org/officeDocument/2006/relationships/hyperlink" Target="https://www.6laws.net/6law/law2\&#20844;&#27665;&#33287;&#25919;&#27835;&#27402;&#21033;&#22283;&#38555;&#20844;&#32004;.htm" TargetMode="External"/><Relationship Id="rId2193" Type="http://schemas.openxmlformats.org/officeDocument/2006/relationships/hyperlink" Target="https://www.6laws.net/6law/law2\&#20844;&#27665;&#33287;&#25919;&#27835;&#27402;&#21033;&#22283;&#38555;&#20844;&#32004;.htm" TargetMode="External"/><Relationship Id="rId2498" Type="http://schemas.openxmlformats.org/officeDocument/2006/relationships/hyperlink" Target="https://www.6laws.net/6law/law2\&#20844;&#27665;&#33287;&#25919;&#27835;&#27402;&#21033;&#22283;&#38555;&#20844;&#32004;.htm" TargetMode="External"/><Relationship Id="rId165" Type="http://schemas.openxmlformats.org/officeDocument/2006/relationships/hyperlink" Target="https://www.6laws.net/6law/law\&#33274;&#28771;&#22320;&#21312;&#33287;&#22823;&#38520;&#22320;&#21312;&#20154;&#27665;&#38364;&#20418;&#26781;&#20363;.htm" TargetMode="External"/><Relationship Id="rId372" Type="http://schemas.openxmlformats.org/officeDocument/2006/relationships/hyperlink" Target="https://www.6laws.net/6law/law\&#25010;&#27861;.htm" TargetMode="External"/><Relationship Id="rId677" Type="http://schemas.openxmlformats.org/officeDocument/2006/relationships/hyperlink" Target="https://www.6laws.net/6law/law\&#31435;&#27861;&#38498;&#32887;&#27402;&#34892;&#20351;&#27861;.htm" TargetMode="External"/><Relationship Id="rId2053" Type="http://schemas.openxmlformats.org/officeDocument/2006/relationships/hyperlink" Target="https://www.6laws.net/6law/law2\&#20844;&#27665;&#33287;&#25919;&#27835;&#27402;&#21033;&#22283;&#38555;&#20844;&#32004;.htm" TargetMode="External"/><Relationship Id="rId2260" Type="http://schemas.openxmlformats.org/officeDocument/2006/relationships/hyperlink" Target="https://www.6laws.net/6law/law-gb\&#21453;&#20998;&#35010;&#22283;&#23478;&#27861;.htm" TargetMode="External"/><Relationship Id="rId2358" Type="http://schemas.openxmlformats.org/officeDocument/2006/relationships/hyperlink" Target="https://www.6laws.net/6law/law\&#25010;&#27861;.htm" TargetMode="External"/><Relationship Id="rId232" Type="http://schemas.openxmlformats.org/officeDocument/2006/relationships/hyperlink" Target="https://www.6laws.net/6law/law\&#25010;&#27861;.htm" TargetMode="External"/><Relationship Id="rId884" Type="http://schemas.openxmlformats.org/officeDocument/2006/relationships/hyperlink" Target="https://www.6laws.net/6law/law\&#25010;&#27861;.htm" TargetMode="External"/><Relationship Id="rId2120" Type="http://schemas.openxmlformats.org/officeDocument/2006/relationships/hyperlink" Target="https://www.6laws.net/6law/law2\&#20844;&#27665;&#33287;&#25919;&#27835;&#27402;&#21033;&#22283;&#38555;&#20844;&#32004;.htm" TargetMode="External"/><Relationship Id="rId2565" Type="http://schemas.openxmlformats.org/officeDocument/2006/relationships/hyperlink" Target="https://www.6laws.net/6law/law\&#25010;&#27861;.htm" TargetMode="External"/><Relationship Id="rId2772" Type="http://schemas.openxmlformats.org/officeDocument/2006/relationships/hyperlink" Target="https://www.6laws.net/6law/law2\&#20818;&#31461;&#27402;&#21033;&#20844;&#32004;.htm" TargetMode="External"/><Relationship Id="rId537" Type="http://schemas.openxmlformats.org/officeDocument/2006/relationships/hyperlink" Target="https://www.6laws.net/6law/law\&#20013;&#33775;&#27665;&#22283;&#25010;&#27861;&#22686;&#20462;&#26781;&#25991;.htm" TargetMode="External"/><Relationship Id="rId744" Type="http://schemas.openxmlformats.org/officeDocument/2006/relationships/hyperlink" Target="https://www.6laws.net/6law/law\&#22823;&#27861;&#23448;&#35299;&#37323;87-91&#24180;.htm" TargetMode="External"/><Relationship Id="rId951" Type="http://schemas.openxmlformats.org/officeDocument/2006/relationships/hyperlink" Target="https://www.6laws.net/6law/law\&#30435;&#23519;&#27861;.htm" TargetMode="External"/><Relationship Id="rId1167" Type="http://schemas.openxmlformats.org/officeDocument/2006/relationships/hyperlink" Target="https://www.6laws.net/6law/law\&#25010;&#27861;.htm" TargetMode="External"/><Relationship Id="rId1374" Type="http://schemas.openxmlformats.org/officeDocument/2006/relationships/hyperlink" Target="https://www.6laws.net/6law/law\&#25010;&#27861;.htm" TargetMode="External"/><Relationship Id="rId1581" Type="http://schemas.openxmlformats.org/officeDocument/2006/relationships/hyperlink" Target="https://www.6laws.net/6law/law\&#20445;&#20840;&#26989;&#27861;.htm" TargetMode="External"/><Relationship Id="rId1679" Type="http://schemas.openxmlformats.org/officeDocument/2006/relationships/hyperlink" Target="https://www.6laws.net/6law/law\&#32901;&#28165;&#29017;&#27602;&#26781;&#20363;.htm" TargetMode="External"/><Relationship Id="rId2218" Type="http://schemas.openxmlformats.org/officeDocument/2006/relationships/hyperlink" Target="http://www.state.gov/g/tip/rls/tiprpt/2010/index.htm" TargetMode="External"/><Relationship Id="rId2425" Type="http://schemas.openxmlformats.org/officeDocument/2006/relationships/hyperlink" Target="https://www.6laws.net/6law/law2\&#20844;&#27665;&#33287;&#25919;&#27835;&#27402;&#21033;&#22283;&#38555;&#20844;&#32004;.htm" TargetMode="External"/><Relationship Id="rId2632" Type="http://schemas.openxmlformats.org/officeDocument/2006/relationships/hyperlink" Target="http://www.thaicinema.org/kits295dek2002.php" TargetMode="External"/><Relationship Id="rId80" Type="http://schemas.openxmlformats.org/officeDocument/2006/relationships/hyperlink" Target="https://www.6laws.net/6law/law2\&#19990;&#30028;&#20154;&#27402;&#23459;&#35328;.htm" TargetMode="External"/><Relationship Id="rId604" Type="http://schemas.openxmlformats.org/officeDocument/2006/relationships/hyperlink" Target="https://www.6laws.net/6law/law\&#25010;&#27861;.htm" TargetMode="External"/><Relationship Id="rId811" Type="http://schemas.openxmlformats.org/officeDocument/2006/relationships/hyperlink" Target="https://www.6laws.net/6law/law\&#25010;&#27861;.htm" TargetMode="External"/><Relationship Id="rId1027" Type="http://schemas.openxmlformats.org/officeDocument/2006/relationships/hyperlink" Target="https://www.6laws.net/6law/law\&#22823;&#27861;&#23448;&#35299;&#37323;38-60&#24180;.htm" TargetMode="External"/><Relationship Id="rId1234" Type="http://schemas.openxmlformats.org/officeDocument/2006/relationships/hyperlink" Target="https://www.6laws.net/6law/law\&#24179;&#22343;&#22320;&#27402;&#26781;&#20363;.htm" TargetMode="External"/><Relationship Id="rId1441" Type="http://schemas.openxmlformats.org/officeDocument/2006/relationships/hyperlink" Target="https://www.6laws.net/6law/law\&#25010;&#27861;.htm" TargetMode="External"/><Relationship Id="rId1886" Type="http://schemas.openxmlformats.org/officeDocument/2006/relationships/hyperlink" Target="https://www.6laws.net/6law/law2\&#19990;&#30028;&#20154;&#27402;&#23459;&#35328;.htm" TargetMode="External"/><Relationship Id="rId2937" Type="http://schemas.openxmlformats.org/officeDocument/2006/relationships/footer" Target="footer3.xml"/><Relationship Id="rId909" Type="http://schemas.openxmlformats.org/officeDocument/2006/relationships/hyperlink" Target="https://www.6laws.net/6law/law\&#25010;&#27861;.htm" TargetMode="External"/><Relationship Id="rId1301" Type="http://schemas.openxmlformats.org/officeDocument/2006/relationships/hyperlink" Target="https://www.6laws.net/6law/law\&#25152;&#24471;&#31237;&#27861;.htm" TargetMode="External"/><Relationship Id="rId1539" Type="http://schemas.openxmlformats.org/officeDocument/2006/relationships/hyperlink" Target="https://www.6laws.net/6law/law\&#25010;&#27861;.htm" TargetMode="External"/><Relationship Id="rId1746" Type="http://schemas.openxmlformats.org/officeDocument/2006/relationships/hyperlink" Target="https://www.6laws.net/6law/law\&#23601;&#26989;&#26381;&#21209;&#27861;.htm" TargetMode="External"/><Relationship Id="rId1953" Type="http://schemas.openxmlformats.org/officeDocument/2006/relationships/hyperlink" Target="https://www.6laws.net/6law/law2\&#20844;&#27665;&#33287;&#25919;&#27835;&#27402;&#21033;&#22283;&#38555;&#20844;&#32004;.htm" TargetMode="External"/><Relationship Id="rId38" Type="http://schemas.openxmlformats.org/officeDocument/2006/relationships/hyperlink" Target="https://www.6laws.net/6law/law\&#25010;&#27861;.htm" TargetMode="External"/><Relationship Id="rId1606" Type="http://schemas.openxmlformats.org/officeDocument/2006/relationships/image" Target="media/image32.jpeg"/><Relationship Id="rId1813" Type="http://schemas.openxmlformats.org/officeDocument/2006/relationships/hyperlink" Target="https://www.6laws.net/6law/law2\&#19990;&#30028;&#20154;&#27402;&#23459;&#35328;.htm" TargetMode="External"/><Relationship Id="rId187" Type="http://schemas.openxmlformats.org/officeDocument/2006/relationships/hyperlink" Target="https://www.6laws.net/6law/law\&#25010;&#27861;.htm" TargetMode="External"/><Relationship Id="rId394" Type="http://schemas.openxmlformats.org/officeDocument/2006/relationships/hyperlink" Target="https://www.6laws.net/6law/law\&#25010;&#27861;.htm" TargetMode="External"/><Relationship Id="rId2075" Type="http://schemas.openxmlformats.org/officeDocument/2006/relationships/hyperlink" Target="https://www.6laws.net/6law/law2\&#20844;&#27665;&#33287;&#25919;&#27835;&#27402;&#21033;&#22283;&#38555;&#20844;&#32004;.htm" TargetMode="External"/><Relationship Id="rId2282" Type="http://schemas.openxmlformats.org/officeDocument/2006/relationships/hyperlink" Target="https://www.6laws.net/6law/law-gb\&#21453;&#20998;&#35010;&#22283;&#23478;&#27861;.htm" TargetMode="External"/><Relationship Id="rId254" Type="http://schemas.openxmlformats.org/officeDocument/2006/relationships/hyperlink" Target="https://www.6laws.net/6law/law\&#21009;&#27861;.htm" TargetMode="External"/><Relationship Id="rId699" Type="http://schemas.openxmlformats.org/officeDocument/2006/relationships/hyperlink" Target="https://www.6laws.net/6law/law\&#20013;&#33775;&#27665;&#22283;&#25010;&#27861;&#22686;&#20462;&#26781;&#25991;.htm" TargetMode="External"/><Relationship Id="rId1091" Type="http://schemas.openxmlformats.org/officeDocument/2006/relationships/hyperlink" Target="https://www.6laws.net/6law/law\&#20013;&#33775;&#27665;&#22283;&#25010;&#27861;&#22686;&#20462;&#26781;&#25991;.htm" TargetMode="External"/><Relationship Id="rId2587" Type="http://schemas.openxmlformats.org/officeDocument/2006/relationships/hyperlink" Target="https://www.6laws.net/6law/law\&#22823;&#27861;&#23448;&#35299;&#37323;87-91&#24180;.htm" TargetMode="External"/><Relationship Id="rId2794" Type="http://schemas.openxmlformats.org/officeDocument/2006/relationships/image" Target="media/image56.jpeg"/><Relationship Id="rId114" Type="http://schemas.openxmlformats.org/officeDocument/2006/relationships/hyperlink" Target="https://www.6laws.net/6law/law\&#22823;&#27861;&#23448;&#35299;&#37323;92-n&#24180;.htm" TargetMode="External"/><Relationship Id="rId461" Type="http://schemas.openxmlformats.org/officeDocument/2006/relationships/hyperlink" Target="https://www.6laws.net/6law/law\&#20013;&#33775;&#27665;&#22283;&#25010;&#27861;&#22686;&#20462;&#26781;&#25991;.htm" TargetMode="External"/><Relationship Id="rId559" Type="http://schemas.openxmlformats.org/officeDocument/2006/relationships/hyperlink" Target="https://www.6laws.net/6law/law\&#20013;&#33775;&#27665;&#22283;&#25010;&#27861;&#22686;&#20462;&#26781;&#25991;.htm" TargetMode="External"/><Relationship Id="rId766" Type="http://schemas.openxmlformats.org/officeDocument/2006/relationships/hyperlink" Target="https://www.6laws.net/6law/law\&#25010;&#27861;.htm" TargetMode="External"/><Relationship Id="rId1189" Type="http://schemas.openxmlformats.org/officeDocument/2006/relationships/hyperlink" Target="https://www.6laws.net/6law/law\&#22320;&#26041;&#21046;&#24230;&#27861;.htm" TargetMode="External"/><Relationship Id="rId1396" Type="http://schemas.openxmlformats.org/officeDocument/2006/relationships/hyperlink" Target="https://www.6laws.net/6law/law\&#25010;&#27861;.htm" TargetMode="External"/><Relationship Id="rId2142" Type="http://schemas.openxmlformats.org/officeDocument/2006/relationships/hyperlink" Target="https://www.6laws.net/6law/law2\&#32879;&#21512;&#22283;&#25010;&#31456;.htm" TargetMode="External"/><Relationship Id="rId2447" Type="http://schemas.openxmlformats.org/officeDocument/2006/relationships/hyperlink" Target="https://www.6laws.net/6law/law2\&#19990;&#30028;&#20154;&#27402;&#23459;&#35328;.htm" TargetMode="External"/><Relationship Id="rId321" Type="http://schemas.openxmlformats.org/officeDocument/2006/relationships/hyperlink" Target="https://www.6laws.net/6law/law\&#25010;&#27861;.htm" TargetMode="External"/><Relationship Id="rId419" Type="http://schemas.openxmlformats.org/officeDocument/2006/relationships/hyperlink" Target="https://www.6laws.net/6law/law\&#27665;&#27861;.htm" TargetMode="External"/><Relationship Id="rId626" Type="http://schemas.openxmlformats.org/officeDocument/2006/relationships/hyperlink" Target="https://www.6laws.net/6law/law\&#25010;&#27861;.htm" TargetMode="External"/><Relationship Id="rId973" Type="http://schemas.openxmlformats.org/officeDocument/2006/relationships/hyperlink" Target="https://www.6laws.net/6law/law\&#25010;&#27861;.htm" TargetMode="External"/><Relationship Id="rId1049" Type="http://schemas.openxmlformats.org/officeDocument/2006/relationships/hyperlink" Target="https://www.6laws.net/6law/law\&#30435;&#23519;&#38498;&#32068;&#32340;&#27861;.htm" TargetMode="External"/><Relationship Id="rId1256" Type="http://schemas.openxmlformats.org/officeDocument/2006/relationships/hyperlink" Target="https://www.6laws.net/6law/law\&#25010;&#27861;.htm" TargetMode="External"/><Relationship Id="rId2002" Type="http://schemas.openxmlformats.org/officeDocument/2006/relationships/hyperlink" Target="https://www.6laws.net/6law/law2\&#32147;&#28639;&#31038;&#26371;&#25991;&#21270;&#27402;&#21033;&#22283;&#38555;&#20844;&#32004;.htm" TargetMode="External"/><Relationship Id="rId2307" Type="http://schemas.openxmlformats.org/officeDocument/2006/relationships/hyperlink" Target="https://www.6laws.net/6law/law-gb\&#21453;&#20998;&#35010;&#22283;&#23478;&#27861;.htm" TargetMode="External"/><Relationship Id="rId2654" Type="http://schemas.openxmlformats.org/officeDocument/2006/relationships/image" Target="media/image51.jpeg"/><Relationship Id="rId2861" Type="http://schemas.openxmlformats.org/officeDocument/2006/relationships/hyperlink" Target="https://www.6laws.net/6law/law-gb\&#20013;&#33775;&#20154;&#27665;&#20849;&#21644;&#22283;&#25010;&#27861;.htm" TargetMode="External"/><Relationship Id="rId833" Type="http://schemas.openxmlformats.org/officeDocument/2006/relationships/hyperlink" Target="https://www.6laws.net/6law/law\&#25010;&#27861;.htm" TargetMode="External"/><Relationship Id="rId1116" Type="http://schemas.openxmlformats.org/officeDocument/2006/relationships/hyperlink" Target="https://www.6laws.net/6law/law\&#25010;&#27861;.htm" TargetMode="External"/><Relationship Id="rId1463" Type="http://schemas.openxmlformats.org/officeDocument/2006/relationships/hyperlink" Target="https://www.6laws.net/6law/law\&#20013;&#33775;&#27665;&#22283;&#25010;&#27861;&#22686;&#20462;&#26781;&#25991;.htm" TargetMode="External"/><Relationship Id="rId1670" Type="http://schemas.openxmlformats.org/officeDocument/2006/relationships/hyperlink" Target="https://www.6laws.net/6law/law\&#32901;&#28165;&#29017;&#27602;&#26781;&#20363;.htm" TargetMode="External"/><Relationship Id="rId1768" Type="http://schemas.openxmlformats.org/officeDocument/2006/relationships/hyperlink" Target="https://www.6laws.net/6law/law2\&#20445;&#35703;&#25152;&#26377;&#31227;&#24473;&#24037;&#20154;&#21450;&#20854;&#23478;&#24237;&#25104;&#21729;&#27402;&#21033;&#22283;&#38555;&#20844;&#32004;.htm" TargetMode="External"/><Relationship Id="rId2514" Type="http://schemas.openxmlformats.org/officeDocument/2006/relationships/hyperlink" Target="https://www.6laws.net/6law/law\&#22823;&#27861;&#23448;&#35299;&#37323;87-91&#24180;.htm" TargetMode="External"/><Relationship Id="rId2721" Type="http://schemas.openxmlformats.org/officeDocument/2006/relationships/hyperlink" Target="https://www.6laws.net/6law/law2\&#28040;&#38500;&#23565;&#23142;&#22899;&#19968;&#20999;&#24418;&#24335;&#27495;&#35222;&#20844;&#32004;.htm" TargetMode="External"/><Relationship Id="rId2819" Type="http://schemas.openxmlformats.org/officeDocument/2006/relationships/hyperlink" Target="https://www.6laws.net/6law/law\&#20013;&#33775;&#27665;&#22283;&#25010;&#27861;&#22686;&#20462;&#26781;&#25991;.htm" TargetMode="External"/><Relationship Id="rId900" Type="http://schemas.openxmlformats.org/officeDocument/2006/relationships/hyperlink" Target="https://www.6laws.net/6law/law\&#22823;&#27861;&#23448;&#35299;&#37323;38-60&#24180;.htm" TargetMode="External"/><Relationship Id="rId1323" Type="http://schemas.openxmlformats.org/officeDocument/2006/relationships/hyperlink" Target="https://www.6laws.net/6law/law\&#22823;&#27861;&#23448;&#35299;&#37323;61-78&#24180;.htm" TargetMode="External"/><Relationship Id="rId1530" Type="http://schemas.openxmlformats.org/officeDocument/2006/relationships/hyperlink" Target="https://www.6laws.net/6law/law\&#21496;&#27861;&#38498;&#32068;&#32340;&#27861;.htm" TargetMode="External"/><Relationship Id="rId1628" Type="http://schemas.openxmlformats.org/officeDocument/2006/relationships/hyperlink" Target="https://www.6laws.net/6law/law2\&#32147;&#28639;&#31038;&#26371;&#25991;&#21270;&#27402;&#21033;&#22283;&#38555;&#20844;&#32004;.htm" TargetMode="External"/><Relationship Id="rId1975" Type="http://schemas.openxmlformats.org/officeDocument/2006/relationships/hyperlink" Target="https://www.6laws.net/6law/law2\&#20844;&#27665;&#33287;&#25919;&#27835;&#27402;&#21033;&#22283;&#38555;&#20844;&#32004;.htm" TargetMode="External"/><Relationship Id="rId1835" Type="http://schemas.openxmlformats.org/officeDocument/2006/relationships/hyperlink" Target="https://www.6laws.net/6law/law2\&#20445;&#35703;&#25152;&#26377;&#31227;&#24473;&#24037;&#20154;&#21450;&#20854;&#23478;&#24237;&#25104;&#21729;&#27402;&#21033;&#22283;&#38555;&#20844;&#32004;.htm" TargetMode="External"/><Relationship Id="rId1902" Type="http://schemas.openxmlformats.org/officeDocument/2006/relationships/hyperlink" Target="https://www.6laws.net/6law/law2\&#26377;&#38364;&#38627;&#27665;&#22320;&#20301;&#20844;&#32004;.htm" TargetMode="External"/><Relationship Id="rId2097" Type="http://schemas.openxmlformats.org/officeDocument/2006/relationships/hyperlink" Target="https://www.6laws.net/6law/law2\&#20844;&#27665;&#33287;&#25919;&#27835;&#27402;&#21033;&#22283;&#38555;&#20844;&#32004;.htm" TargetMode="External"/><Relationship Id="rId276" Type="http://schemas.openxmlformats.org/officeDocument/2006/relationships/hyperlink" Target="https://www.6laws.net/6law/law\&#22823;&#27861;&#23448;&#35299;&#37323;92-n&#24180;.htm" TargetMode="External"/><Relationship Id="rId483" Type="http://schemas.openxmlformats.org/officeDocument/2006/relationships/hyperlink" Target="https://www.6laws.net/6law/law\&#25010;&#27861;.htm" TargetMode="External"/><Relationship Id="rId690" Type="http://schemas.openxmlformats.org/officeDocument/2006/relationships/hyperlink" Target="https://www.6laws.net/6law/law\&#25010;&#27861;.htm" TargetMode="External"/><Relationship Id="rId2164" Type="http://schemas.openxmlformats.org/officeDocument/2006/relationships/hyperlink" Target="https://www.6laws.net/6law/law\&#22823;&#27861;&#23448;&#35299;&#37323;92-n&#24180;.htm" TargetMode="External"/><Relationship Id="rId2371" Type="http://schemas.openxmlformats.org/officeDocument/2006/relationships/hyperlink" Target="https://www.6laws.net/6law/law\&#25010;&#27861;.htm" TargetMode="External"/><Relationship Id="rId136" Type="http://schemas.openxmlformats.org/officeDocument/2006/relationships/hyperlink" Target="https://www.6laws.net/6law/law\&#21009;&#20107;&#35380;&#35359;&#27861;.htm" TargetMode="External"/><Relationship Id="rId343" Type="http://schemas.openxmlformats.org/officeDocument/2006/relationships/hyperlink" Target="https://www.6laws.net/6law/law\&#25010;&#27861;.htm" TargetMode="External"/><Relationship Id="rId550" Type="http://schemas.openxmlformats.org/officeDocument/2006/relationships/hyperlink" Target="https://www.6laws.net/6law/law\&#25010;&#27861;.htm" TargetMode="External"/><Relationship Id="rId788" Type="http://schemas.openxmlformats.org/officeDocument/2006/relationships/hyperlink" Target="https://www.6laws.net/6law/law\&#25010;&#27861;.htm" TargetMode="External"/><Relationship Id="rId995" Type="http://schemas.openxmlformats.org/officeDocument/2006/relationships/hyperlink" Target="https://www.6laws.net/6law/law\&#25010;&#27861;.htm" TargetMode="External"/><Relationship Id="rId1180" Type="http://schemas.openxmlformats.org/officeDocument/2006/relationships/hyperlink" Target="https://www.6laws.net/6law/law\&#25010;&#27861;.htm" TargetMode="External"/><Relationship Id="rId2024" Type="http://schemas.openxmlformats.org/officeDocument/2006/relationships/hyperlink" Target="https://www.6laws.net/6law/law\&#22823;&#27861;&#23448;&#35299;&#37323;92-n&#24180;.htm" TargetMode="External"/><Relationship Id="rId2231" Type="http://schemas.openxmlformats.org/officeDocument/2006/relationships/hyperlink" Target="https://www.6laws.net/6law/law\&#20154;&#21475;&#36009;&#36939;&#38450;&#21046;&#27861;.htm" TargetMode="External"/><Relationship Id="rId2469" Type="http://schemas.openxmlformats.org/officeDocument/2006/relationships/hyperlink" Target="https://www.6laws.net/6law/law2\&#19990;&#30028;&#20154;&#27402;&#23459;&#35328;.htm" TargetMode="External"/><Relationship Id="rId2676" Type="http://schemas.openxmlformats.org/officeDocument/2006/relationships/hyperlink" Target="https://www.6laws.net/6law/law\&#25010;&#27861;.htm" TargetMode="External"/><Relationship Id="rId2883" Type="http://schemas.openxmlformats.org/officeDocument/2006/relationships/hyperlink" Target="http://www.selectnannies.ca/03_caregiver/index.cfm" TargetMode="External"/><Relationship Id="rId203" Type="http://schemas.openxmlformats.org/officeDocument/2006/relationships/hyperlink" Target="https://www.6laws.net/6law/law\&#36557;&#20107;&#23529;&#21028;&#27861;.htm" TargetMode="External"/><Relationship Id="rId648" Type="http://schemas.openxmlformats.org/officeDocument/2006/relationships/hyperlink" Target="https://www.6laws.net/6law/law3\&#34892;&#25919;&#38498;&#26371;&#35696;&#35696;&#20107;&#35215;&#21063;.htm" TargetMode="External"/><Relationship Id="rId855" Type="http://schemas.openxmlformats.org/officeDocument/2006/relationships/hyperlink" Target="https://www.6laws.net/6law/law\&#25010;&#27861;.htm" TargetMode="External"/><Relationship Id="rId1040" Type="http://schemas.openxmlformats.org/officeDocument/2006/relationships/hyperlink" Target="https://www.6laws.net/6law/law\&#25010;&#27861;.htm" TargetMode="External"/><Relationship Id="rId1278" Type="http://schemas.openxmlformats.org/officeDocument/2006/relationships/hyperlink" Target="https://www.6laws.net/6law/law\&#37329;&#34701;&#30435;&#30563;&#31649;&#29702;&#22996;&#21729;&#26371;&#35657;&#21048;&#26399;&#36008;&#23616;&#32068;&#32340;&#27861;.htm" TargetMode="External"/><Relationship Id="rId1485" Type="http://schemas.openxmlformats.org/officeDocument/2006/relationships/hyperlink" Target="https://www.6laws.net/6law/law\&#20013;&#33775;&#27665;&#22283;&#25010;&#27861;&#22686;&#20462;&#26781;&#25991;.htm" TargetMode="External"/><Relationship Id="rId1692" Type="http://schemas.openxmlformats.org/officeDocument/2006/relationships/hyperlink" Target="https://www.6laws.net/6law/law\&#25010;&#27861;.htm" TargetMode="External"/><Relationship Id="rId2329" Type="http://schemas.openxmlformats.org/officeDocument/2006/relationships/hyperlink" Target="https://www.6laws.net/6law/law-gb\&#21453;&#20998;&#35010;&#22283;&#23478;&#27861;.htm" TargetMode="External"/><Relationship Id="rId2536" Type="http://schemas.openxmlformats.org/officeDocument/2006/relationships/hyperlink" Target="https://www.6laws.net/6law/law2\&#32147;&#28639;&#31038;&#26371;&#25991;&#21270;&#27402;&#21033;&#22283;&#38555;&#20844;&#32004;.htm" TargetMode="External"/><Relationship Id="rId2743" Type="http://schemas.openxmlformats.org/officeDocument/2006/relationships/hyperlink" Target="https://www.6laws.net/6law/law2\&#20818;&#31461;&#27402;&#21033;&#20844;&#32004;.htm" TargetMode="External"/><Relationship Id="rId410" Type="http://schemas.openxmlformats.org/officeDocument/2006/relationships/hyperlink" Target="https://www.6laws.net/6law/law\&#31038;&#26371;&#31209;&#24207;&#32173;&#35703;&#27861;.htm" TargetMode="External"/><Relationship Id="rId508" Type="http://schemas.openxmlformats.org/officeDocument/2006/relationships/hyperlink" Target="https://www.6laws.net/6law/law\&#20013;&#33775;&#27665;&#22283;&#25010;&#27861;&#22686;&#20462;&#26781;&#25991;.htm" TargetMode="External"/><Relationship Id="rId715" Type="http://schemas.openxmlformats.org/officeDocument/2006/relationships/hyperlink" Target="https://www.6laws.net/6law/law\&#31435;&#27861;&#38498;&#32887;&#27402;&#34892;&#20351;&#27861;.htm" TargetMode="External"/><Relationship Id="rId922" Type="http://schemas.openxmlformats.org/officeDocument/2006/relationships/hyperlink" Target="https://zh.wikipedia.org/wiki/&#20013;&#33775;&#27665;&#22283;&#25010;&#27861;" TargetMode="External"/><Relationship Id="rId1138" Type="http://schemas.openxmlformats.org/officeDocument/2006/relationships/hyperlink" Target="https://www.6laws.net/6law/law\&#22320;&#26041;&#21046;&#24230;&#27861;.htm" TargetMode="External"/><Relationship Id="rId1345" Type="http://schemas.openxmlformats.org/officeDocument/2006/relationships/hyperlink" Target="https://www.6laws.net/6law/law\&#25010;&#27861;.htm" TargetMode="External"/><Relationship Id="rId1552" Type="http://schemas.openxmlformats.org/officeDocument/2006/relationships/hyperlink" Target="https://www.6laws.net/6law/law\&#25010;&#27861;.htm" TargetMode="External"/><Relationship Id="rId1997" Type="http://schemas.openxmlformats.org/officeDocument/2006/relationships/hyperlink" Target="https://www.6laws.net/6law/law\&#25010;&#27861;.htm" TargetMode="External"/><Relationship Id="rId2603" Type="http://schemas.openxmlformats.org/officeDocument/2006/relationships/image" Target="media/image37.jpeg"/><Relationship Id="rId1205" Type="http://schemas.openxmlformats.org/officeDocument/2006/relationships/hyperlink" Target="https://www.6laws.net/6law/law\&#32317;&#32113;&#21103;&#32317;&#32113;&#36984;&#33289;&#32631;&#20813;&#27861;.htm" TargetMode="External"/><Relationship Id="rId1857" Type="http://schemas.openxmlformats.org/officeDocument/2006/relationships/hyperlink" Target="https://www.6laws.net/6law/law2\&#20445;&#35703;&#25152;&#26377;&#31227;&#24473;&#24037;&#20154;&#21450;&#20854;&#23478;&#24237;&#25104;&#21729;&#27402;&#21033;&#22283;&#38555;&#20844;&#32004;.htm" TargetMode="External"/><Relationship Id="rId2810" Type="http://schemas.openxmlformats.org/officeDocument/2006/relationships/hyperlink" Target="https://www.6laws.net/6law/law\&#20013;&#33775;&#27665;&#22283;&#25010;&#27861;&#22686;&#20462;&#26781;&#25991;.htm" TargetMode="External"/><Relationship Id="rId2908" Type="http://schemas.openxmlformats.org/officeDocument/2006/relationships/hyperlink" Target="http://www.houko.com/00/01/S28/014.HTM" TargetMode="External"/><Relationship Id="rId51" Type="http://schemas.openxmlformats.org/officeDocument/2006/relationships/image" Target="media/image15.jpeg"/><Relationship Id="rId1412" Type="http://schemas.openxmlformats.org/officeDocument/2006/relationships/hyperlink" Target="https://www.6laws.net/6law/law\&#22823;&#27861;&#23448;&#35299;&#37323;87-91&#24180;.htm" TargetMode="External"/><Relationship Id="rId1717" Type="http://schemas.openxmlformats.org/officeDocument/2006/relationships/hyperlink" Target="https://www.6laws.net/6law/law\&#27602;&#21697;&#21361;&#23475;&#38450;&#21046;&#26781;&#20363;.htm" TargetMode="External"/><Relationship Id="rId1924" Type="http://schemas.openxmlformats.org/officeDocument/2006/relationships/hyperlink" Target="https://www.6laws.net/6law/law2\&#19990;&#30028;&#20154;&#27402;&#23459;&#35328;.htm" TargetMode="External"/><Relationship Id="rId298" Type="http://schemas.openxmlformats.org/officeDocument/2006/relationships/hyperlink" Target="https://www.6laws.net/6law/law\&#32317;&#32113;&#21103;&#32317;&#32113;&#36984;&#33289;&#32631;&#20813;&#27861;.htm" TargetMode="External"/><Relationship Id="rId158" Type="http://schemas.openxmlformats.org/officeDocument/2006/relationships/hyperlink" Target="https://www.6laws.net/6law/law\&#22823;&#27861;&#23448;&#35299;&#37323;92-n&#24180;.htm" TargetMode="External"/><Relationship Id="rId2186" Type="http://schemas.openxmlformats.org/officeDocument/2006/relationships/hyperlink" Target="https://www.6laws.net/6law/law\&#20837;&#20986;&#22283;&#21450;&#31227;&#27665;&#27861;.htm" TargetMode="External"/><Relationship Id="rId2393" Type="http://schemas.openxmlformats.org/officeDocument/2006/relationships/hyperlink" Target="file:///C:\Users\anita\AppData\Roaming\Microsoft\Word\law-gb\&#21453;&#20998;&#35010;&#22283;&#23478;&#27861;.docx" TargetMode="External"/><Relationship Id="rId2698" Type="http://schemas.openxmlformats.org/officeDocument/2006/relationships/hyperlink" Target="https://www.6laws.net/6law/law\&#22823;&#27861;&#23448;&#35299;&#37323;92-n&#24180;.htm" TargetMode="External"/><Relationship Id="rId365" Type="http://schemas.openxmlformats.org/officeDocument/2006/relationships/hyperlink" Target="https://www.6laws.net/6law/law\&#22823;&#27861;&#23448;&#35299;&#37323;92-n&#24180;.htm" TargetMode="External"/><Relationship Id="rId572" Type="http://schemas.openxmlformats.org/officeDocument/2006/relationships/hyperlink" Target="https://www.6laws.net/6law/law\&#25010;&#27861;.htm" TargetMode="External"/><Relationship Id="rId2046" Type="http://schemas.openxmlformats.org/officeDocument/2006/relationships/hyperlink" Target="https://www.6laws.net/6law/law2\&#20844;&#27665;&#33287;&#25919;&#27835;&#27402;&#21033;&#22283;&#38555;&#20844;&#32004;.htm" TargetMode="External"/><Relationship Id="rId2253" Type="http://schemas.openxmlformats.org/officeDocument/2006/relationships/hyperlink" Target="https://www.6laws.net/6law/law-gb\&#21453;&#20998;&#35010;&#22283;&#23478;&#27861;.htm" TargetMode="External"/><Relationship Id="rId2460" Type="http://schemas.openxmlformats.org/officeDocument/2006/relationships/hyperlink" Target="https://www.6laws.net/6law/law2\&#19990;&#30028;&#20154;&#27402;&#23459;&#35328;.htm" TargetMode="External"/><Relationship Id="rId225" Type="http://schemas.openxmlformats.org/officeDocument/2006/relationships/hyperlink" Target="https://www.6laws.net/6law/law\&#22823;&#23416;&#27861;.htm" TargetMode="External"/><Relationship Id="rId432" Type="http://schemas.openxmlformats.org/officeDocument/2006/relationships/hyperlink" Target="https://www.6laws.net/6law/law\&#20013;&#33775;&#27665;&#22283;&#25010;&#27861;&#22686;&#20462;&#26781;&#25991;.htm" TargetMode="External"/><Relationship Id="rId877" Type="http://schemas.openxmlformats.org/officeDocument/2006/relationships/hyperlink" Target="https://www.6laws.net/6law/law\&#22823;&#27861;&#23448;&#35299;&#37323;38-60&#24180;.htm" TargetMode="External"/><Relationship Id="rId1062" Type="http://schemas.openxmlformats.org/officeDocument/2006/relationships/hyperlink" Target="https://www.6laws.net/6law/law\&#20013;&#33775;&#27665;&#22283;&#25010;&#27861;&#22686;&#20462;&#26781;&#25991;.htm" TargetMode="External"/><Relationship Id="rId2113" Type="http://schemas.openxmlformats.org/officeDocument/2006/relationships/hyperlink" Target="https://www.6laws.net/6law/law2\&#20844;&#27665;&#33287;&#25919;&#27835;&#27402;&#21033;&#22283;&#38555;&#20844;&#32004;.htm" TargetMode="External"/><Relationship Id="rId2320" Type="http://schemas.openxmlformats.org/officeDocument/2006/relationships/hyperlink" Target="https://www.6laws.net/6law/law-gb\&#21453;&#20998;&#35010;&#22283;&#23478;&#27861;.htm" TargetMode="External"/><Relationship Id="rId2558" Type="http://schemas.openxmlformats.org/officeDocument/2006/relationships/hyperlink" Target="http://www.nebcathcon.org/Website%20pages/cloning.htm" TargetMode="External"/><Relationship Id="rId2765" Type="http://schemas.openxmlformats.org/officeDocument/2006/relationships/hyperlink" Target="https://www.6laws.net/6law/law2\&#20818;&#31461;&#27402;&#21033;&#20844;&#32004;.htm" TargetMode="External"/><Relationship Id="rId737" Type="http://schemas.openxmlformats.org/officeDocument/2006/relationships/hyperlink" Target="https://www.6laws.net/6law/law\&#25010;&#27861;.htm" TargetMode="External"/><Relationship Id="rId944" Type="http://schemas.openxmlformats.org/officeDocument/2006/relationships/hyperlink" Target="https://www.6laws.net/6law/law\&#30435;&#23519;&#27861;.htm" TargetMode="External"/><Relationship Id="rId1367" Type="http://schemas.openxmlformats.org/officeDocument/2006/relationships/hyperlink" Target="https://www.6laws.net/6law/law\&#22283;&#27665;&#25945;&#32946;&#27861;.htm" TargetMode="External"/><Relationship Id="rId1574" Type="http://schemas.openxmlformats.org/officeDocument/2006/relationships/hyperlink" Target="aw\&#20013;&#33775;&#27665;&#22283;&#25010;&#27861;&#22686;&#20462;&#26781;&#25991;.htm" TargetMode="External"/><Relationship Id="rId1781" Type="http://schemas.openxmlformats.org/officeDocument/2006/relationships/hyperlink" Target="https://www.6laws.net/6law/law2\&#20445;&#35703;&#25152;&#26377;&#31227;&#24473;&#24037;&#20154;&#21450;&#20854;&#23478;&#24237;&#25104;&#21729;&#27402;&#21033;&#22283;&#38555;&#20844;&#32004;.htm" TargetMode="External"/><Relationship Id="rId2418" Type="http://schemas.openxmlformats.org/officeDocument/2006/relationships/hyperlink" Target="https://www.6laws.net/6law/law2\&#19990;&#30028;&#20154;&#27402;&#23459;&#35328;.htm" TargetMode="External"/><Relationship Id="rId2625" Type="http://schemas.openxmlformats.org/officeDocument/2006/relationships/hyperlink" Target="https://www.6laws.net/6law/law\&#20778;&#29983;&#20445;&#20581;&#27861;.htm" TargetMode="External"/><Relationship Id="rId2832" Type="http://schemas.openxmlformats.org/officeDocument/2006/relationships/hyperlink" Target="https://www.6laws.net/6law/law\&#25010;&#27861;.htm" TargetMode="External"/><Relationship Id="rId73" Type="http://schemas.openxmlformats.org/officeDocument/2006/relationships/hyperlink" Target="https://www.6laws.net/6law/law\&#20013;&#33775;&#27665;&#22283;&#25010;&#27861;&#22686;&#20462;&#26781;&#25991;.htm" TargetMode="External"/><Relationship Id="rId804" Type="http://schemas.openxmlformats.org/officeDocument/2006/relationships/hyperlink" Target="https://www.6laws.net/6law/law\&#25010;&#27861;.htm" TargetMode="External"/><Relationship Id="rId1227" Type="http://schemas.openxmlformats.org/officeDocument/2006/relationships/hyperlink" Target="https://www.6laws.net/6law/law\&#25010;&#27861;.htm" TargetMode="External"/><Relationship Id="rId1434" Type="http://schemas.openxmlformats.org/officeDocument/2006/relationships/hyperlink" Target="https://www.6laws.net/6law/law\&#25010;&#27861;.htm" TargetMode="External"/><Relationship Id="rId1641" Type="http://schemas.openxmlformats.org/officeDocument/2006/relationships/hyperlink" Target="https://www.6laws.net/6law/law\&#21009;&#27861;.htm" TargetMode="External"/><Relationship Id="rId1879" Type="http://schemas.openxmlformats.org/officeDocument/2006/relationships/hyperlink" Target="https://www.6laws.net/6law/law2\&#19990;&#30028;&#20154;&#27402;&#23459;&#35328;.htm" TargetMode="External"/><Relationship Id="rId1501" Type="http://schemas.openxmlformats.org/officeDocument/2006/relationships/hyperlink" Target="https://www.6laws.net/6law/law\&#25010;&#27861;.htm" TargetMode="External"/><Relationship Id="rId1739" Type="http://schemas.openxmlformats.org/officeDocument/2006/relationships/hyperlink" Target="https://www.6laws.net/6law/law3\&#38599;&#20027;&#32856;&#20721;&#22806;&#22283;&#20154;&#35377;&#21487;&#21450;&#31649;&#29702;&#36774;&#27861;.htm" TargetMode="External"/><Relationship Id="rId1946" Type="http://schemas.openxmlformats.org/officeDocument/2006/relationships/hyperlink" Target="https://www.6laws.net/6law/law2\&#20844;&#27665;&#33287;&#25919;&#27835;&#27402;&#21033;&#22283;&#38555;&#20844;&#32004;.htm" TargetMode="External"/><Relationship Id="rId1806" Type="http://schemas.openxmlformats.org/officeDocument/2006/relationships/hyperlink" Target="https://www.6laws.net/6law/law\&#21214;&#21205;&#22522;&#28310;&#27861;.htm" TargetMode="External"/><Relationship Id="rId387" Type="http://schemas.openxmlformats.org/officeDocument/2006/relationships/hyperlink" Target="https://www.6laws.net/6law/law\&#22823;&#27861;&#23448;&#35299;&#37323;87-91&#24180;.htm" TargetMode="External"/><Relationship Id="rId594" Type="http://schemas.openxmlformats.org/officeDocument/2006/relationships/hyperlink" Target="https://www.6laws.net/6law/law\&#25010;&#27861;.htm" TargetMode="External"/><Relationship Id="rId2068" Type="http://schemas.openxmlformats.org/officeDocument/2006/relationships/hyperlink" Target="https://www.6laws.net/6law/law2\&#20844;&#27665;&#33287;&#25919;&#27835;&#27402;&#21033;&#22283;&#38555;&#20844;&#32004;.htm" TargetMode="External"/><Relationship Id="rId2275" Type="http://schemas.openxmlformats.org/officeDocument/2006/relationships/hyperlink" Target="https://www.6laws.net/6law/law-gb\&#21453;&#20998;&#35010;&#22283;&#23478;&#27861;.htm" TargetMode="External"/><Relationship Id="rId247" Type="http://schemas.openxmlformats.org/officeDocument/2006/relationships/hyperlink" Target="https://www.6laws.net/6law/law\&#37109;&#25919;&#27861;.htm" TargetMode="External"/><Relationship Id="rId899" Type="http://schemas.openxmlformats.org/officeDocument/2006/relationships/hyperlink" Target="https://www.6laws.net/6law/law\&#22823;&#27861;&#23448;&#35299;&#37323;38-60&#24180;.htm" TargetMode="External"/><Relationship Id="rId1084" Type="http://schemas.openxmlformats.org/officeDocument/2006/relationships/hyperlink" Target="https://www.6laws.net/6law/law\&#25010;&#27861;.htm" TargetMode="External"/><Relationship Id="rId2482" Type="http://schemas.openxmlformats.org/officeDocument/2006/relationships/hyperlink" Target="https://www.6laws.net/6law/law2\&#20844;&#27665;&#33287;&#25919;&#27835;&#27402;&#21033;&#22283;&#38555;&#20844;&#32004;.htm" TargetMode="External"/><Relationship Id="rId2787" Type="http://schemas.openxmlformats.org/officeDocument/2006/relationships/hyperlink" Target="https://www.6laws.net/6law/law2\&#32147;&#28639;&#31038;&#26371;&#25991;&#21270;&#27402;&#21033;&#22283;&#38555;&#20844;&#32004;.htm" TargetMode="External"/><Relationship Id="rId107" Type="http://schemas.openxmlformats.org/officeDocument/2006/relationships/hyperlink" Target="https://www.6laws.net/6law/law\&#22823;&#27861;&#23448;&#35299;&#37323;92-n&#24180;.htm" TargetMode="External"/><Relationship Id="rId454" Type="http://schemas.openxmlformats.org/officeDocument/2006/relationships/hyperlink" Target="https://www.6laws.net/6law/law\&#25010;&#27861;.htm" TargetMode="External"/><Relationship Id="rId661" Type="http://schemas.openxmlformats.org/officeDocument/2006/relationships/hyperlink" Target="https://www.6laws.net/6law/law\&#22823;&#27861;&#23448;&#35299;&#37323;38-60&#24180;.htm" TargetMode="External"/><Relationship Id="rId759" Type="http://schemas.openxmlformats.org/officeDocument/2006/relationships/hyperlink" Target="https://www.6laws.net/6law/law\&#22823;&#27861;&#23448;&#35299;&#37323;87-91&#24180;.htm" TargetMode="External"/><Relationship Id="rId966" Type="http://schemas.openxmlformats.org/officeDocument/2006/relationships/hyperlink" Target="https://www.6laws.net/6law/law\&#20013;&#33775;&#27665;&#22283;&#25010;&#27861;&#22686;&#20462;&#26781;&#25991;.htm" TargetMode="External"/><Relationship Id="rId1291" Type="http://schemas.openxmlformats.org/officeDocument/2006/relationships/hyperlink" Target="https://www.6laws.net/6law/law\&#20419;&#36914;&#29986;&#26989;&#21319;&#32026;&#26781;&#20363;.htm" TargetMode="External"/><Relationship Id="rId1389" Type="http://schemas.openxmlformats.org/officeDocument/2006/relationships/hyperlink" Target="https://www.6laws.net/6law/law\&#25010;&#27861;.htm" TargetMode="External"/><Relationship Id="rId1596" Type="http://schemas.openxmlformats.org/officeDocument/2006/relationships/image" Target="media/image26.jpeg"/><Relationship Id="rId2135" Type="http://schemas.openxmlformats.org/officeDocument/2006/relationships/hyperlink" Target="https://www.6laws.net/6law/law2\&#19990;&#30028;&#20154;&#27402;&#23459;&#35328;.htm" TargetMode="External"/><Relationship Id="rId2342" Type="http://schemas.openxmlformats.org/officeDocument/2006/relationships/hyperlink" Target="https://www.6laws.net/6law/law\&#25010;&#27861;.htm" TargetMode="External"/><Relationship Id="rId2647" Type="http://schemas.openxmlformats.org/officeDocument/2006/relationships/hyperlink" Target="https://www.6laws.net/6law/law3\&#20778;&#29983;&#20445;&#20581;&#27861;&#26045;&#34892;&#32048;&#21063;.htm" TargetMode="External"/><Relationship Id="rId314" Type="http://schemas.openxmlformats.org/officeDocument/2006/relationships/hyperlink" Target="https://www.6laws.net/6law/law\&#25010;&#27861;.htm" TargetMode="External"/><Relationship Id="rId521" Type="http://schemas.openxmlformats.org/officeDocument/2006/relationships/hyperlink" Target="https://www.6laws.net/6law/law\&#25010;&#27861;.htm" TargetMode="External"/><Relationship Id="rId619" Type="http://schemas.openxmlformats.org/officeDocument/2006/relationships/hyperlink" Target="https://www.6laws.net/6law/law\&#34892;&#25919;&#38498;&#32068;&#32340;&#27861;.htm" TargetMode="External"/><Relationship Id="rId1151" Type="http://schemas.openxmlformats.org/officeDocument/2006/relationships/hyperlink" Target="https://www.6laws.net/6law/law\&#22320;&#26041;&#21046;&#24230;&#27861;.htm" TargetMode="External"/><Relationship Id="rId1249" Type="http://schemas.openxmlformats.org/officeDocument/2006/relationships/hyperlink" Target="https://www.6laws.net/6law/law\&#25010;&#27861;.htm" TargetMode="External"/><Relationship Id="rId2202" Type="http://schemas.openxmlformats.org/officeDocument/2006/relationships/hyperlink" Target="https://www.6laws.net/6law/law\&#20844;&#27665;&#33287;&#25919;&#27835;&#27402;&#21033;&#22283;&#38555;&#20844;&#32004;&#21450;&#32147;&#28639;&#31038;&#26371;&#25991;&#21270;&#27402;&#21033;&#22283;&#38555;&#20844;&#32004;&#26045;&#34892;&#27861;.htm" TargetMode="External"/><Relationship Id="rId2854" Type="http://schemas.openxmlformats.org/officeDocument/2006/relationships/hyperlink" Target="https://www.6laws.net/6law/law\&#20013;&#33775;&#27665;&#22283;&#25010;&#27861;&#22686;&#20462;&#26781;&#25991;.htm" TargetMode="External"/><Relationship Id="rId95" Type="http://schemas.openxmlformats.org/officeDocument/2006/relationships/hyperlink" Target="https://www.6laws.net/6law/law2\&#20844;&#27665;&#33287;&#25919;&#27835;&#27402;&#21033;&#22283;&#38555;&#20844;&#32004;.htm" TargetMode="External"/><Relationship Id="rId826" Type="http://schemas.openxmlformats.org/officeDocument/2006/relationships/hyperlink" Target="https://www.6laws.net/6law/law\&#21496;&#27861;&#38498;&#22823;&#27861;&#23448;&#23529;&#29702;&#26696;&#20214;&#27861;.htm" TargetMode="External"/><Relationship Id="rId1011" Type="http://schemas.openxmlformats.org/officeDocument/2006/relationships/hyperlink" Target="https://www.6laws.net/6law/law\&#25010;&#27861;.htm" TargetMode="External"/><Relationship Id="rId1109" Type="http://schemas.openxmlformats.org/officeDocument/2006/relationships/hyperlink" Target="https://www.6laws.net/6law/law\&#22823;&#27861;&#23448;&#35299;&#37323;87-91&#24180;.htm" TargetMode="External"/><Relationship Id="rId1456" Type="http://schemas.openxmlformats.org/officeDocument/2006/relationships/hyperlink" Target="https://www.6laws.net/6law/law\&#20013;&#33775;&#27665;&#22283;&#25010;&#27861;&#22686;&#20462;&#26781;&#25991;.htm" TargetMode="External"/><Relationship Id="rId1663" Type="http://schemas.openxmlformats.org/officeDocument/2006/relationships/hyperlink" Target="https://www.6laws.net/6law/law\&#22823;&#27861;&#23448;&#35299;&#37323;79-86&#24180;.htm" TargetMode="External"/><Relationship Id="rId1870" Type="http://schemas.openxmlformats.org/officeDocument/2006/relationships/hyperlink" Target="https://www.6laws.net/6law/law2\&#20844;&#27665;&#33287;&#25919;&#27835;&#27402;&#21033;&#22283;&#38555;&#20844;&#32004;.htm" TargetMode="External"/><Relationship Id="rId1968" Type="http://schemas.openxmlformats.org/officeDocument/2006/relationships/hyperlink" Target="https://www.6laws.net/6law/law\&#25010;&#27861;.htm" TargetMode="External"/><Relationship Id="rId2507" Type="http://schemas.openxmlformats.org/officeDocument/2006/relationships/hyperlink" Target="https://www.6laws.net/6law/law\&#22823;&#27861;&#23448;&#35299;&#37323;79-86&#24180;.htm" TargetMode="External"/><Relationship Id="rId2714" Type="http://schemas.openxmlformats.org/officeDocument/2006/relationships/hyperlink" Target="https://www.6laws.net/6law/law\&#20837;&#20986;&#22283;&#21450;&#31227;&#27665;&#27861;.htm" TargetMode="External"/><Relationship Id="rId2921" Type="http://schemas.openxmlformats.org/officeDocument/2006/relationships/hyperlink" Target="http://baike.baidu.com/view/3369566.htm" TargetMode="External"/><Relationship Id="rId1316" Type="http://schemas.openxmlformats.org/officeDocument/2006/relationships/hyperlink" Target="https://www.6laws.net/6law/law\&#25010;&#27861;.htm" TargetMode="External"/><Relationship Id="rId1523" Type="http://schemas.openxmlformats.org/officeDocument/2006/relationships/hyperlink" Target="https://www.6laws.net/6law/law\&#20013;&#33775;&#27665;&#22283;&#25010;&#27861;&#22686;&#20462;&#26781;&#25991;.htm" TargetMode="External"/><Relationship Id="rId1730" Type="http://schemas.openxmlformats.org/officeDocument/2006/relationships/hyperlink" Target="https://www.6laws.net/6law/law\&#21214;&#21205;&#22522;&#28310;&#27861;.htm" TargetMode="External"/><Relationship Id="rId22" Type="http://schemas.openxmlformats.org/officeDocument/2006/relationships/hyperlink" Target="https://www.6laws.net/6law/law\&#20778;&#29983;&#20445;&#20581;&#27861;.htm" TargetMode="External"/><Relationship Id="rId1828" Type="http://schemas.openxmlformats.org/officeDocument/2006/relationships/hyperlink" Target="https://www.6laws.net/6law/law2\&#20445;&#35703;&#25152;&#26377;&#31227;&#24473;&#24037;&#20154;&#21450;&#20854;&#23478;&#24237;&#25104;&#21729;&#27402;&#21033;&#22283;&#38555;&#20844;&#32004;.htm" TargetMode="External"/><Relationship Id="rId171" Type="http://schemas.openxmlformats.org/officeDocument/2006/relationships/hyperlink" Target="https://www.6laws.net/6law/law\&#33274;&#28771;&#22320;&#21312;&#33287;&#22823;&#38520;&#22320;&#21312;&#20154;&#27665;&#38364;&#20418;&#26781;&#20363;.htm" TargetMode="External"/><Relationship Id="rId2297" Type="http://schemas.openxmlformats.org/officeDocument/2006/relationships/hyperlink" Target="https://www.6laws.net/6law/law-gb\&#21453;&#20998;&#35010;&#22283;&#23478;&#27861;.htm" TargetMode="External"/><Relationship Id="rId269" Type="http://schemas.openxmlformats.org/officeDocument/2006/relationships/hyperlink" Target="https://www.6laws.net/6law/law\&#22823;&#27861;&#23448;&#35299;&#37323;92-n&#24180;.htm" TargetMode="External"/><Relationship Id="rId476" Type="http://schemas.openxmlformats.org/officeDocument/2006/relationships/image" Target="media/image19.jpeg"/><Relationship Id="rId683" Type="http://schemas.openxmlformats.org/officeDocument/2006/relationships/hyperlink" Target="https://www.6laws.net/6law/law\&#20013;&#33775;&#27665;&#22283;&#25010;&#27861;&#22686;&#20462;&#26781;&#25991;.htm" TargetMode="External"/><Relationship Id="rId890" Type="http://schemas.openxmlformats.org/officeDocument/2006/relationships/hyperlink" Target="https://www.6laws.net/6law/law\&#22823;&#27861;&#23448;&#35299;&#37323;79-86&#24180;.htm" TargetMode="External"/><Relationship Id="rId2157" Type="http://schemas.openxmlformats.org/officeDocument/2006/relationships/hyperlink" Target="https://www.6laws.net/6law/law\&#25010;&#27861;.htm" TargetMode="External"/><Relationship Id="rId2364" Type="http://schemas.openxmlformats.org/officeDocument/2006/relationships/hyperlink" Target="https://www.6laws.net/6law/law\&#25010;&#27861;.htm" TargetMode="External"/><Relationship Id="rId2571" Type="http://schemas.openxmlformats.org/officeDocument/2006/relationships/hyperlink" Target="https://www.6laws.net/6law/law2\&#20844;&#27665;&#33287;&#25919;&#27835;&#27402;&#21033;&#22283;&#38555;&#20844;&#32004;.htm" TargetMode="External"/><Relationship Id="rId129" Type="http://schemas.openxmlformats.org/officeDocument/2006/relationships/hyperlink" Target="https://www.6laws.net/6law/law\&#25010;&#27861;.htm" TargetMode="External"/><Relationship Id="rId336" Type="http://schemas.openxmlformats.org/officeDocument/2006/relationships/hyperlink" Target="https://www.6laws.net/6law/law\&#25152;&#24471;&#31237;&#27861;.htm" TargetMode="External"/><Relationship Id="rId543" Type="http://schemas.openxmlformats.org/officeDocument/2006/relationships/hyperlink" Target="https://www.6laws.net/6law/law\&#25010;&#27861;.htm" TargetMode="External"/><Relationship Id="rId988" Type="http://schemas.openxmlformats.org/officeDocument/2006/relationships/hyperlink" Target="https://www.6laws.net/6law/law\&#22823;&#27861;&#23448;&#35299;&#37323;38-60&#24180;.htm" TargetMode="External"/><Relationship Id="rId1173" Type="http://schemas.openxmlformats.org/officeDocument/2006/relationships/hyperlink" Target="https://www.6laws.net/6law/law\&#22320;&#26041;&#21046;&#24230;&#27861;.htm" TargetMode="External"/><Relationship Id="rId1380" Type="http://schemas.openxmlformats.org/officeDocument/2006/relationships/hyperlink" Target="https://www.6laws.net/6law/law\&#25010;&#27861;.htm" TargetMode="External"/><Relationship Id="rId2017" Type="http://schemas.openxmlformats.org/officeDocument/2006/relationships/hyperlink" Target="https://www.6laws.net/6law/law\&#21009;&#27861;.htm" TargetMode="External"/><Relationship Id="rId2224" Type="http://schemas.openxmlformats.org/officeDocument/2006/relationships/hyperlink" Target="https://www.6laws.net/6law/law\&#21009;&#27861;.htm" TargetMode="External"/><Relationship Id="rId2669" Type="http://schemas.openxmlformats.org/officeDocument/2006/relationships/hyperlink" Target="https://www.6laws.net/6law/law\&#25010;&#27861;.htm" TargetMode="External"/><Relationship Id="rId2876" Type="http://schemas.openxmlformats.org/officeDocument/2006/relationships/hyperlink" Target="http://ec.europa.eu/dgs/home-affairs/what-we-do/policies/borders-and-visas/schengen-information-system/index_en.htm" TargetMode="External"/><Relationship Id="rId403" Type="http://schemas.openxmlformats.org/officeDocument/2006/relationships/hyperlink" Target="https://www.6laws.net/6law/law\&#22823;&#27861;&#23448;&#35299;&#37323;92-n&#24180;.htm" TargetMode="External"/><Relationship Id="rId750" Type="http://schemas.openxmlformats.org/officeDocument/2006/relationships/hyperlink" Target="https://www.6laws.net/6law/law\&#25010;&#27861;.htm" TargetMode="External"/><Relationship Id="rId848" Type="http://schemas.openxmlformats.org/officeDocument/2006/relationships/hyperlink" Target="https://www.6laws.net/6law/law\&#25010;&#27861;.htm" TargetMode="External"/><Relationship Id="rId1033" Type="http://schemas.openxmlformats.org/officeDocument/2006/relationships/hyperlink" Target="https://www.6laws.net/6law/law\&#22823;&#27861;&#23448;&#35299;&#37323;38-60&#24180;.htm" TargetMode="External"/><Relationship Id="rId1478" Type="http://schemas.openxmlformats.org/officeDocument/2006/relationships/hyperlink" Target="https://www.6laws.net/6law/law\&#20013;&#33775;&#27665;&#22283;&#25010;&#27861;&#22686;&#20462;&#26781;&#25991;.htm" TargetMode="External"/><Relationship Id="rId1685" Type="http://schemas.openxmlformats.org/officeDocument/2006/relationships/hyperlink" Target="https://www.6laws.net/6law/law\&#27602;&#21697;&#21361;&#23475;&#38450;&#21046;&#26781;&#20363;.htm" TargetMode="External"/><Relationship Id="rId1892" Type="http://schemas.openxmlformats.org/officeDocument/2006/relationships/hyperlink" Target="https://www.6laws.net/6law/law2\&#20445;&#35703;&#25152;&#26377;&#31227;&#24473;&#24037;&#20154;&#21450;&#20854;&#23478;&#24237;&#25104;&#21729;&#27402;&#21033;&#22283;&#38555;&#20844;&#32004;.htm" TargetMode="External"/><Relationship Id="rId2431" Type="http://schemas.openxmlformats.org/officeDocument/2006/relationships/hyperlink" Target="https://www.6laws.net/6law/law\&#22823;&#27861;&#23448;&#35299;&#37323;92-n&#24180;.htm" TargetMode="External"/><Relationship Id="rId2529" Type="http://schemas.openxmlformats.org/officeDocument/2006/relationships/hyperlink" Target="https://www.6laws.net/6law/law\&#22823;&#27861;&#23448;&#35299;&#37323;87-91&#24180;.htm" TargetMode="External"/><Relationship Id="rId2736" Type="http://schemas.openxmlformats.org/officeDocument/2006/relationships/hyperlink" Target="https://www.6laws.net/6law/law\&#25010;&#27861;.htm" TargetMode="External"/><Relationship Id="rId610" Type="http://schemas.openxmlformats.org/officeDocument/2006/relationships/hyperlink" Target="https://www.6laws.net/6law/law\&#20013;&#33775;&#27665;&#22283;&#25010;&#27861;&#22686;&#20462;&#26781;&#25991;.htm" TargetMode="External"/><Relationship Id="rId708" Type="http://schemas.openxmlformats.org/officeDocument/2006/relationships/hyperlink" Target="https://www.6laws.net/6law/law\&#31435;&#27861;&#38498;&#32887;&#27402;&#34892;&#20351;&#27861;.htm" TargetMode="External"/><Relationship Id="rId915" Type="http://schemas.openxmlformats.org/officeDocument/2006/relationships/hyperlink" Target="https://www.6laws.net/6law/law\&#20013;&#33775;&#27665;&#22283;&#25010;&#27861;&#22686;&#20462;&#26781;&#25991;.htm" TargetMode="External"/><Relationship Id="rId1240" Type="http://schemas.openxmlformats.org/officeDocument/2006/relationships/hyperlink" Target="https://www.6laws.net/6law/law\&#22283;&#23478;&#36064;&#20767;&#27861;.htm" TargetMode="External"/><Relationship Id="rId1338" Type="http://schemas.openxmlformats.org/officeDocument/2006/relationships/hyperlink" Target="https://www.6laws.net/6law/law\&#25010;&#27861;.htm" TargetMode="External"/><Relationship Id="rId1545" Type="http://schemas.openxmlformats.org/officeDocument/2006/relationships/hyperlink" Target="https://www.6laws.net/6law/law\&#25010;&#27861;.htm" TargetMode="External"/><Relationship Id="rId1100" Type="http://schemas.openxmlformats.org/officeDocument/2006/relationships/hyperlink" Target="https://www.6laws.net/6law/law\&#22320;&#26041;&#21046;&#24230;&#27861;.htm" TargetMode="External"/><Relationship Id="rId1405" Type="http://schemas.openxmlformats.org/officeDocument/2006/relationships/hyperlink" Target="https://www.6laws.net/6law/law\&#20013;&#33775;&#27665;&#22283;&#25010;&#27861;&#22686;&#20462;&#26781;&#25991;.htm" TargetMode="External"/><Relationship Id="rId1752" Type="http://schemas.openxmlformats.org/officeDocument/2006/relationships/hyperlink" Target="https://www.6laws.net/6law/law\&#21214;&#21205;&#22522;&#28310;&#27861;.htm" TargetMode="External"/><Relationship Id="rId2803" Type="http://schemas.openxmlformats.org/officeDocument/2006/relationships/image" Target="media/image59.jpeg"/><Relationship Id="rId44" Type="http://schemas.openxmlformats.org/officeDocument/2006/relationships/hyperlink" Target="https://www.6laws.net/6law/law\&#25010;&#27861;.htm" TargetMode="External"/><Relationship Id="rId1612" Type="http://schemas.openxmlformats.org/officeDocument/2006/relationships/hyperlink" Target="https://www.6laws.net/6law/law\&#25010;&#27861;.htm" TargetMode="External"/><Relationship Id="rId1917" Type="http://schemas.openxmlformats.org/officeDocument/2006/relationships/hyperlink" Target="https://www.6laws.net/6law/law2\&#26377;&#38364;&#38627;&#27665;&#22320;&#20301;&#20844;&#32004;.htm" TargetMode="External"/><Relationship Id="rId193" Type="http://schemas.openxmlformats.org/officeDocument/2006/relationships/hyperlink" Target="https://www.6laws.net/6law/law\&#36557;&#20107;&#23529;&#21028;&#27861;.htm" TargetMode="External"/><Relationship Id="rId498" Type="http://schemas.openxmlformats.org/officeDocument/2006/relationships/hyperlink" Target="https://www.6laws.net/6law/law\&#20013;&#33775;&#27665;&#22283;&#25010;&#27861;&#22686;&#20462;&#26781;&#25991;.htm" TargetMode="External"/><Relationship Id="rId2081" Type="http://schemas.openxmlformats.org/officeDocument/2006/relationships/hyperlink" Target="https://www.6laws.net/6law/law2\&#20844;&#27665;&#33287;&#25919;&#27835;&#27402;&#21033;&#22283;&#38555;&#20844;&#32004;.htm" TargetMode="External"/><Relationship Id="rId2179" Type="http://schemas.openxmlformats.org/officeDocument/2006/relationships/hyperlink" Target="https://www.6laws.net/6law/law\&#20837;&#20986;&#22283;&#21450;&#31227;&#27665;&#27861;.htm" TargetMode="External"/><Relationship Id="rId260" Type="http://schemas.openxmlformats.org/officeDocument/2006/relationships/hyperlink" Target="https://www.6laws.net/6law/law\&#25010;&#27861;.htm" TargetMode="External"/><Relationship Id="rId2386" Type="http://schemas.openxmlformats.org/officeDocument/2006/relationships/hyperlink" Target="https://www.6laws.net/6law/law-gb\&#21453;&#20998;&#35010;&#22283;&#23478;&#27861;.htm" TargetMode="External"/><Relationship Id="rId2593" Type="http://schemas.openxmlformats.org/officeDocument/2006/relationships/hyperlink" Target="https://www.6laws.net/6law/law\&#25010;&#27861;.htm" TargetMode="External"/><Relationship Id="rId120" Type="http://schemas.openxmlformats.org/officeDocument/2006/relationships/hyperlink" Target="https://www.6laws.net/6law/law\&#22823;&#27861;&#23448;&#35299;&#37323;92-n&#24180;.htm" TargetMode="External"/><Relationship Id="rId358" Type="http://schemas.openxmlformats.org/officeDocument/2006/relationships/hyperlink" Target="https://www.6laws.net/6law/law\&#27665;&#27861;.htm" TargetMode="External"/><Relationship Id="rId565" Type="http://schemas.openxmlformats.org/officeDocument/2006/relationships/hyperlink" Target="https://www.6laws.net/6law/law\&#25010;&#27861;.htm" TargetMode="External"/><Relationship Id="rId772" Type="http://schemas.openxmlformats.org/officeDocument/2006/relationships/hyperlink" Target="https://www.6laws.net/6law/law\&#25010;&#27861;.htm" TargetMode="External"/><Relationship Id="rId1195" Type="http://schemas.openxmlformats.org/officeDocument/2006/relationships/hyperlink" Target="https://www.6laws.net/6law/law\&#25010;&#27861;.htm" TargetMode="External"/><Relationship Id="rId2039" Type="http://schemas.openxmlformats.org/officeDocument/2006/relationships/hyperlink" Target="https://www.6laws.net/6law/law2\&#20844;&#27665;&#33287;&#25919;&#27835;&#27402;&#21033;&#22283;&#38555;&#20844;&#32004;.htm" TargetMode="External"/><Relationship Id="rId2246" Type="http://schemas.openxmlformats.org/officeDocument/2006/relationships/hyperlink" Target="https://www.6laws.net/6law/law2\&#32879;&#21512;&#22283;&#25010;&#31456;.htm" TargetMode="External"/><Relationship Id="rId2453" Type="http://schemas.openxmlformats.org/officeDocument/2006/relationships/hyperlink" Target="https://www.6laws.net/6law/law2\&#19990;&#30028;&#20154;&#27402;&#23459;&#35328;.htm" TargetMode="External"/><Relationship Id="rId2660" Type="http://schemas.openxmlformats.org/officeDocument/2006/relationships/hyperlink" Target="http://blogs.yahoo.co.jp/inoti333mamoru777/GALLERY/show_image.html?id=63109682&amp;no=2" TargetMode="External"/><Relationship Id="rId2898" Type="http://schemas.openxmlformats.org/officeDocument/2006/relationships/hyperlink" Target="http://www.dart-wits.com.tw/_chinese/06_latestnews/02_newsdetail.aspx?NID=163" TargetMode="External"/><Relationship Id="rId218" Type="http://schemas.openxmlformats.org/officeDocument/2006/relationships/hyperlink" Target="https://www.6laws.net/6law/law\&#25010;&#27861;.htm" TargetMode="External"/><Relationship Id="rId425" Type="http://schemas.openxmlformats.org/officeDocument/2006/relationships/hyperlink" Target="https://www.6laws.net/6law/law\&#22283;&#23478;&#36064;&#20767;&#27861;.htm" TargetMode="External"/><Relationship Id="rId632" Type="http://schemas.openxmlformats.org/officeDocument/2006/relationships/hyperlink" Target="https://www.6laws.net/6law/law\&#25010;&#27861;.htm" TargetMode="External"/><Relationship Id="rId1055" Type="http://schemas.openxmlformats.org/officeDocument/2006/relationships/hyperlink" Target="https://www.6laws.net/6law/law\&#25010;&#27861;.htm" TargetMode="External"/><Relationship Id="rId1262" Type="http://schemas.openxmlformats.org/officeDocument/2006/relationships/hyperlink" Target="https://www.6laws.net/6law/law\&#20449;&#29992;&#21512;&#20316;&#31038;&#27861;.htm" TargetMode="External"/><Relationship Id="rId2106" Type="http://schemas.openxmlformats.org/officeDocument/2006/relationships/hyperlink" Target="https://www.6laws.net/6law/law2\&#20844;&#27665;&#33287;&#25919;&#27835;&#27402;&#21033;&#22283;&#38555;&#20844;&#32004;.htm" TargetMode="External"/><Relationship Id="rId2313" Type="http://schemas.openxmlformats.org/officeDocument/2006/relationships/hyperlink" Target="https://www.6laws.net/6law/law-gb\&#21453;&#20998;&#35010;&#22283;&#23478;&#27861;.htm" TargetMode="External"/><Relationship Id="rId2520" Type="http://schemas.openxmlformats.org/officeDocument/2006/relationships/hyperlink" Target="https://www.6laws.net/6law/law\&#22823;&#27861;&#23448;&#35299;&#37323;92-n&#24180;.htm" TargetMode="External"/><Relationship Id="rId2758" Type="http://schemas.openxmlformats.org/officeDocument/2006/relationships/hyperlink" Target="https://www.6laws.net/6law/law2\&#20818;&#31461;&#27402;&#21033;&#20844;&#32004;.htm" TargetMode="External"/><Relationship Id="rId937" Type="http://schemas.openxmlformats.org/officeDocument/2006/relationships/hyperlink" Target="https://www.6laws.net/6law/law\&#22823;&#27861;&#23448;&#35299;&#37323;79-86&#24180;.htm" TargetMode="External"/><Relationship Id="rId1122" Type="http://schemas.openxmlformats.org/officeDocument/2006/relationships/hyperlink" Target="https://www.6laws.net/6law/law\&#22320;&#26041;&#21046;&#24230;&#27861;.htm" TargetMode="External"/><Relationship Id="rId1567" Type="http://schemas.openxmlformats.org/officeDocument/2006/relationships/hyperlink" Target="https://www.6laws.net/6law/law\&#22320;&#26041;&#21046;&#24230;&#27861;.htm" TargetMode="External"/><Relationship Id="rId1774" Type="http://schemas.openxmlformats.org/officeDocument/2006/relationships/hyperlink" Target="https://www.6laws.net/6law/law2\&#20445;&#35703;&#25152;&#26377;&#31227;&#24473;&#24037;&#20154;&#21450;&#20854;&#23478;&#24237;&#25104;&#21729;&#27402;&#21033;&#22283;&#38555;&#20844;&#32004;.htm" TargetMode="External"/><Relationship Id="rId1981" Type="http://schemas.openxmlformats.org/officeDocument/2006/relationships/hyperlink" Target="https://www.6laws.net/6law/law2\&#20844;&#27665;&#33287;&#25919;&#27835;&#27402;&#21033;&#22283;&#38555;&#20844;&#32004;.htm" TargetMode="External"/><Relationship Id="rId2618" Type="http://schemas.openxmlformats.org/officeDocument/2006/relationships/image" Target="media/image44.jpeg"/><Relationship Id="rId2825" Type="http://schemas.openxmlformats.org/officeDocument/2006/relationships/hyperlink" Target="https://www.6laws.net/6law/law\&#25010;&#27861;.htm" TargetMode="External"/><Relationship Id="rId66" Type="http://schemas.openxmlformats.org/officeDocument/2006/relationships/hyperlink" Target="https://www.6laws.net/6law/law\&#25010;&#27861;.htm" TargetMode="External"/><Relationship Id="rId1427" Type="http://schemas.openxmlformats.org/officeDocument/2006/relationships/hyperlink" Target="https://www.6laws.net/6law/law\&#25010;&#27861;.htm" TargetMode="External"/><Relationship Id="rId1634" Type="http://schemas.openxmlformats.org/officeDocument/2006/relationships/hyperlink" Target="https://www.6laws.net/6law/law2\&#32147;&#28639;&#31038;&#26371;&#25991;&#21270;&#27402;&#21033;&#22283;&#38555;&#20844;&#32004;.htm" TargetMode="External"/><Relationship Id="rId1841" Type="http://schemas.openxmlformats.org/officeDocument/2006/relationships/hyperlink" Target="https://www.6laws.net/6law/law2\&#20445;&#35703;&#25152;&#26377;&#31227;&#24473;&#24037;&#20154;&#21450;&#20854;&#23478;&#24237;&#25104;&#21729;&#27402;&#21033;&#22283;&#38555;&#20844;&#32004;.htm" TargetMode="External"/><Relationship Id="rId1939" Type="http://schemas.openxmlformats.org/officeDocument/2006/relationships/hyperlink" Target="https://www.6laws.net/6law/law\&#22823;&#27861;&#23448;&#35299;&#37323;92-n&#24180;.htm" TargetMode="External"/><Relationship Id="rId1701" Type="http://schemas.openxmlformats.org/officeDocument/2006/relationships/hyperlink" Target="https://www.6laws.net/6law/law\&#27602;&#21697;&#21361;&#23475;&#38450;&#21046;&#26781;&#20363;.htm" TargetMode="External"/><Relationship Id="rId282" Type="http://schemas.openxmlformats.org/officeDocument/2006/relationships/hyperlink" Target="https://www.6laws.net/6law/law\&#22823;&#27861;&#23448;&#35299;&#37323;92-n&#24180;.htm" TargetMode="External"/><Relationship Id="rId587" Type="http://schemas.openxmlformats.org/officeDocument/2006/relationships/hyperlink" Target="https://www.6laws.net/6law/law\&#25010;&#27861;.htm" TargetMode="External"/><Relationship Id="rId2170" Type="http://schemas.openxmlformats.org/officeDocument/2006/relationships/hyperlink" Target="https://www.6laws.net/6law/law\&#25010;&#27861;.htm" TargetMode="External"/><Relationship Id="rId2268" Type="http://schemas.openxmlformats.org/officeDocument/2006/relationships/hyperlink" Target="https://www.6laws.net/6law/law-gb\&#21453;&#20998;&#35010;&#22283;&#23478;&#27861;.htm" TargetMode="External"/><Relationship Id="rId8" Type="http://schemas.openxmlformats.org/officeDocument/2006/relationships/hyperlink" Target="https://www.koko.url.tw/" TargetMode="External"/><Relationship Id="rId142" Type="http://schemas.openxmlformats.org/officeDocument/2006/relationships/hyperlink" Target="https://www.6laws.net/6law/law\&#21009;&#20107;&#35380;&#35359;&#27861;.htm" TargetMode="External"/><Relationship Id="rId447" Type="http://schemas.openxmlformats.org/officeDocument/2006/relationships/hyperlink" Target="https://www.6laws.net/6law/law\&#20013;&#33775;&#27665;&#22283;&#25010;&#27861;&#22686;&#20462;&#26781;&#25991;.htm" TargetMode="External"/><Relationship Id="rId794" Type="http://schemas.openxmlformats.org/officeDocument/2006/relationships/hyperlink" Target="https://www.6laws.net/6law/law\&#25010;&#27861;.htm" TargetMode="External"/><Relationship Id="rId1077" Type="http://schemas.openxmlformats.org/officeDocument/2006/relationships/hyperlink" Target="https://www.6laws.net/6law/law\&#25010;&#27861;.htm" TargetMode="External"/><Relationship Id="rId2030" Type="http://schemas.openxmlformats.org/officeDocument/2006/relationships/hyperlink" Target="https://www.6laws.net/6law/law\&#22823;&#27861;&#23448;&#35299;&#37323;92-n&#24180;.htm" TargetMode="External"/><Relationship Id="rId2128" Type="http://schemas.openxmlformats.org/officeDocument/2006/relationships/hyperlink" Target="https://www.6laws.net/6law/law2\&#20844;&#27665;&#33287;&#25919;&#27835;&#27402;&#21033;&#22283;&#38555;&#20844;&#32004;.htm" TargetMode="External"/><Relationship Id="rId2475" Type="http://schemas.openxmlformats.org/officeDocument/2006/relationships/hyperlink" Target="https://www.6laws.net/6law/law2\&#20844;&#27665;&#33287;&#25919;&#27835;&#27402;&#21033;&#22283;&#38555;&#20844;&#32004;.htm" TargetMode="External"/><Relationship Id="rId2682" Type="http://schemas.openxmlformats.org/officeDocument/2006/relationships/hyperlink" Target="https://www.6laws.net/6law/law\&#25010;&#27861;.htm" TargetMode="External"/><Relationship Id="rId654" Type="http://schemas.openxmlformats.org/officeDocument/2006/relationships/hyperlink" Target="https://www.6laws.net/6law/law\&#25010;&#27861;.htm" TargetMode="External"/><Relationship Id="rId861" Type="http://schemas.openxmlformats.org/officeDocument/2006/relationships/hyperlink" Target="https://www.6laws.net/6law/law\&#22823;&#27861;&#23448;&#35299;&#37323;92-n&#24180;.htm" TargetMode="External"/><Relationship Id="rId959" Type="http://schemas.openxmlformats.org/officeDocument/2006/relationships/hyperlink" Target="https://www.6laws.net/6law/law\&#20844;&#32887;&#20154;&#21729;&#36001;&#29986;&#30003;&#22577;&#27861;.htm" TargetMode="External"/><Relationship Id="rId1284" Type="http://schemas.openxmlformats.org/officeDocument/2006/relationships/hyperlink" Target="https://www.6laws.net/6law/law\&#20419;&#36914;&#29986;&#26989;&#21319;&#32026;&#26781;&#20363;.htm" TargetMode="External"/><Relationship Id="rId1491" Type="http://schemas.openxmlformats.org/officeDocument/2006/relationships/hyperlink" Target="https://www.6laws.net/6law/law\&#25010;&#27861;.htm" TargetMode="External"/><Relationship Id="rId1589" Type="http://schemas.openxmlformats.org/officeDocument/2006/relationships/hyperlink" Target="https://www.6laws.net/6law/law\&#20013;&#33775;&#27665;&#22283;&#25010;&#27861;&#22686;&#20462;&#26781;&#25991;.htm" TargetMode="External"/><Relationship Id="rId2335" Type="http://schemas.openxmlformats.org/officeDocument/2006/relationships/hyperlink" Target="https://www.6laws.net/6law/law\&#25010;&#27861;.htm" TargetMode="External"/><Relationship Id="rId2542" Type="http://schemas.openxmlformats.org/officeDocument/2006/relationships/hyperlink" Target="https://www.6laws.net/6law/law2\&#32147;&#28639;&#31038;&#26371;&#25991;&#21270;&#27402;&#21033;&#22283;&#38555;&#20844;&#32004;.htm" TargetMode="External"/><Relationship Id="rId307" Type="http://schemas.openxmlformats.org/officeDocument/2006/relationships/hyperlink" Target="https://www.6laws.net/6law/law\&#20844;&#27665;&#25237;&#31080;&#27861;.htm" TargetMode="External"/><Relationship Id="rId514" Type="http://schemas.openxmlformats.org/officeDocument/2006/relationships/hyperlink" Target="https://www.6laws.net/6law/law\&#25010;&#27861;.htm" TargetMode="External"/><Relationship Id="rId721" Type="http://schemas.openxmlformats.org/officeDocument/2006/relationships/hyperlink" Target="https://www.6laws.net/6law/law\&#25010;&#27861;.htm" TargetMode="External"/><Relationship Id="rId1144" Type="http://schemas.openxmlformats.org/officeDocument/2006/relationships/hyperlink" Target="https://www.6laws.net/6law/law\&#20844;&#32887;&#20154;&#21729;&#36984;&#33289;&#32631;&#20813;&#27861;.htm" TargetMode="External"/><Relationship Id="rId1351" Type="http://schemas.openxmlformats.org/officeDocument/2006/relationships/hyperlink" Target="https://www.6laws.net/6law/law\&#25010;&#27861;.htm" TargetMode="External"/><Relationship Id="rId1449" Type="http://schemas.openxmlformats.org/officeDocument/2006/relationships/image" Target="media/image24.png"/><Relationship Id="rId1796" Type="http://schemas.openxmlformats.org/officeDocument/2006/relationships/hyperlink" Target="https://www.6laws.net/6law/law\&#21214;&#21205;&#22522;&#28310;&#27861;.htm" TargetMode="External"/><Relationship Id="rId2402" Type="http://schemas.openxmlformats.org/officeDocument/2006/relationships/hyperlink" Target="https://www.6laws.net/6law/law\&#25010;&#27861;.htm" TargetMode="External"/><Relationship Id="rId2847" Type="http://schemas.openxmlformats.org/officeDocument/2006/relationships/hyperlink" Target="http://en.wikipedia.org/wiki/Kilogram" TargetMode="External"/><Relationship Id="rId88" Type="http://schemas.openxmlformats.org/officeDocument/2006/relationships/hyperlink" Target="https://www.6laws.net/6law/law2\&#20844;&#27665;&#33287;&#25919;&#27835;&#27402;&#21033;&#22283;&#38555;&#20844;&#32004;.htm" TargetMode="External"/><Relationship Id="rId819" Type="http://schemas.openxmlformats.org/officeDocument/2006/relationships/hyperlink" Target="https://www.6laws.net/6law/law\&#22823;&#27861;&#23448;&#35299;&#37323;79-86&#24180;.htm" TargetMode="External"/><Relationship Id="rId1004" Type="http://schemas.openxmlformats.org/officeDocument/2006/relationships/hyperlink" Target="https://www.6laws.net/6law/law\&#20013;&#33775;&#27665;&#22283;&#25010;&#27861;&#22686;&#20462;&#26781;&#25991;.htm" TargetMode="External"/><Relationship Id="rId1211" Type="http://schemas.openxmlformats.org/officeDocument/2006/relationships/hyperlink" Target="https://www.6laws.net/6law/law\&#20013;&#33775;&#27665;&#22283;&#25010;&#27861;&#22686;&#20462;&#26781;&#25991;.htm" TargetMode="External"/><Relationship Id="rId1656" Type="http://schemas.openxmlformats.org/officeDocument/2006/relationships/hyperlink" Target="https://www.6laws.net/6law/law\&#21009;&#27861;.htm" TargetMode="External"/><Relationship Id="rId1863" Type="http://schemas.openxmlformats.org/officeDocument/2006/relationships/hyperlink" Target="https://www.6laws.net/6law/law2\&#19990;&#30028;&#20154;&#27402;&#23459;&#35328;.htm" TargetMode="External"/><Relationship Id="rId2707" Type="http://schemas.openxmlformats.org/officeDocument/2006/relationships/hyperlink" Target="https://www.6laws.net/6law/law\&#22823;&#27861;&#23448;&#35299;&#37323;92-n&#24180;.htm" TargetMode="External"/><Relationship Id="rId2914" Type="http://schemas.openxmlformats.org/officeDocument/2006/relationships/hyperlink" Target="http://www.coolloud.org.tw/node/64902" TargetMode="External"/><Relationship Id="rId1309" Type="http://schemas.openxmlformats.org/officeDocument/2006/relationships/hyperlink" Target="https://www.6laws.net/6law/law\&#25152;&#24471;&#31237;&#27861;.htm" TargetMode="External"/><Relationship Id="rId1516" Type="http://schemas.openxmlformats.org/officeDocument/2006/relationships/hyperlink" Target="https://www.6laws.net/6law/law\&#20013;&#33775;&#27665;&#22283;&#25010;&#27861;&#22686;&#20462;&#26781;&#25991;.htm" TargetMode="External"/><Relationship Id="rId1723" Type="http://schemas.openxmlformats.org/officeDocument/2006/relationships/hyperlink" Target="https://www.6laws.net/6law/law\&#27602;&#21697;&#21361;&#23475;&#38450;&#21046;&#26781;&#20363;.htm" TargetMode="External"/><Relationship Id="rId1930" Type="http://schemas.openxmlformats.org/officeDocument/2006/relationships/hyperlink" Target="https://www.6laws.net/6law/law2\&#20844;&#27665;&#33287;&#25919;&#27835;&#27402;&#21033;&#22283;&#38555;&#20844;&#32004;.htm" TargetMode="External"/><Relationship Id="rId15" Type="http://schemas.openxmlformats.org/officeDocument/2006/relationships/image" Target="media/image6.emf"/><Relationship Id="rId2192" Type="http://schemas.openxmlformats.org/officeDocument/2006/relationships/hyperlink" Target="https://www.6laws.net/6law/law2\&#20844;&#27665;&#33287;&#25919;&#27835;&#27402;&#21033;&#22283;&#38555;&#20844;&#32004;.htm" TargetMode="External"/><Relationship Id="rId164" Type="http://schemas.openxmlformats.org/officeDocument/2006/relationships/hyperlink" Target="https://www.6laws.net/6law/law\&#33274;&#28771;&#22320;&#21312;&#33287;&#22823;&#38520;&#22320;&#21312;&#20154;&#27665;&#38364;&#20418;&#26781;&#20363;.htm" TargetMode="External"/><Relationship Id="rId371" Type="http://schemas.openxmlformats.org/officeDocument/2006/relationships/hyperlink" Target="https://www.6laws.net/6law/law\&#25010;&#27861;.htm" TargetMode="External"/><Relationship Id="rId2052" Type="http://schemas.openxmlformats.org/officeDocument/2006/relationships/hyperlink" Target="https://www.6laws.net/6law/law2\&#20844;&#27665;&#33287;&#25919;&#27835;&#27402;&#21033;&#22283;&#38555;&#20844;&#32004;.htm" TargetMode="External"/><Relationship Id="rId2497" Type="http://schemas.openxmlformats.org/officeDocument/2006/relationships/hyperlink" Target="https://www.6laws.net/6law/law2\&#20844;&#27665;&#33287;&#25919;&#27835;&#27402;&#21033;&#22283;&#38555;&#20844;&#32004;.htm" TargetMode="External"/><Relationship Id="rId469" Type="http://schemas.openxmlformats.org/officeDocument/2006/relationships/hyperlink" Target="https://www.6laws.net/6law/law\&#25010;&#27861;.htm" TargetMode="External"/><Relationship Id="rId676" Type="http://schemas.openxmlformats.org/officeDocument/2006/relationships/image" Target="media/image21.jpeg"/><Relationship Id="rId883" Type="http://schemas.openxmlformats.org/officeDocument/2006/relationships/hyperlink" Target="https://www.6laws.net/6law/law\&#25010;&#27861;.htm" TargetMode="External"/><Relationship Id="rId1099" Type="http://schemas.openxmlformats.org/officeDocument/2006/relationships/hyperlink" Target="https://www.6laws.net/6law/law\&#22320;&#26041;&#21046;&#24230;&#27861;.htm" TargetMode="External"/><Relationship Id="rId2357" Type="http://schemas.openxmlformats.org/officeDocument/2006/relationships/hyperlink" Target="https://www.6laws.net/6law/law\&#25010;&#27861;.htm" TargetMode="External"/><Relationship Id="rId2564" Type="http://schemas.openxmlformats.org/officeDocument/2006/relationships/hyperlink" Target="https://www.6laws.net/6law/law2\&#20844;&#27665;&#33287;&#25919;&#27835;&#27402;&#21033;&#22283;&#38555;&#20844;&#32004;.htm" TargetMode="External"/><Relationship Id="rId231" Type="http://schemas.openxmlformats.org/officeDocument/2006/relationships/hyperlink" Target="https://www.6laws.net/6law/law\&#22823;&#27861;&#23448;&#35299;&#37323;92-n&#24180;.htm" TargetMode="External"/><Relationship Id="rId329" Type="http://schemas.openxmlformats.org/officeDocument/2006/relationships/hyperlink" Target="https://www.6laws.net/6law/law\&#25010;&#27861;.htm" TargetMode="External"/><Relationship Id="rId536" Type="http://schemas.openxmlformats.org/officeDocument/2006/relationships/hyperlink" Target="https://www.6laws.net/6law/law\&#20013;&#33775;&#27665;&#22283;&#25010;&#27861;&#22686;&#20462;&#26781;&#25991;.htm" TargetMode="External"/><Relationship Id="rId1166" Type="http://schemas.openxmlformats.org/officeDocument/2006/relationships/hyperlink" Target="https://www.6laws.net/6law/law\&#25010;&#27861;.htm" TargetMode="External"/><Relationship Id="rId1373" Type="http://schemas.openxmlformats.org/officeDocument/2006/relationships/hyperlink" Target="https://www.6laws.net/6law/law\&#22823;&#23416;&#27861;.htm" TargetMode="External"/><Relationship Id="rId2217" Type="http://schemas.openxmlformats.org/officeDocument/2006/relationships/hyperlink" Target="http://www.state.gov/documents/organization/210737.pdf" TargetMode="External"/><Relationship Id="rId2771" Type="http://schemas.openxmlformats.org/officeDocument/2006/relationships/hyperlink" Target="https://www.6laws.net/6law/law2\&#20818;&#31461;&#27402;&#21033;&#20844;&#32004;.htm" TargetMode="External"/><Relationship Id="rId2869" Type="http://schemas.openxmlformats.org/officeDocument/2006/relationships/hyperlink" Target="https://www.6laws.net/6law/law\&#25010;&#27861;.htm" TargetMode="External"/><Relationship Id="rId743" Type="http://schemas.openxmlformats.org/officeDocument/2006/relationships/hyperlink" Target="https://www.6laws.net/6law/law\&#22823;&#27861;&#23448;&#35299;&#37323;87-91&#24180;.htm" TargetMode="External"/><Relationship Id="rId950" Type="http://schemas.openxmlformats.org/officeDocument/2006/relationships/hyperlink" Target="https://www.6laws.net/6law/law\&#30435;&#23519;&#27861;.htm" TargetMode="External"/><Relationship Id="rId1026" Type="http://schemas.openxmlformats.org/officeDocument/2006/relationships/hyperlink" Target="https://www.6laws.net/6law/law\&#25010;&#27861;.htm" TargetMode="External"/><Relationship Id="rId1580" Type="http://schemas.openxmlformats.org/officeDocument/2006/relationships/hyperlink" Target="https://www.6laws.net/6law/law\&#27665;&#29992;&#33322;&#31354;&#27861;.htm" TargetMode="External"/><Relationship Id="rId1678" Type="http://schemas.openxmlformats.org/officeDocument/2006/relationships/hyperlink" Target="https://www.6laws.net/6law/law\&#27602;&#21697;&#21361;&#23475;&#38450;&#21046;&#26781;&#20363;.htm" TargetMode="External"/><Relationship Id="rId1885" Type="http://schemas.openxmlformats.org/officeDocument/2006/relationships/hyperlink" Target="https://www.6laws.net/6law/law\&#20837;&#20986;&#22283;&#21450;&#31227;&#27665;&#27861;.htm" TargetMode="External"/><Relationship Id="rId2424" Type="http://schemas.openxmlformats.org/officeDocument/2006/relationships/hyperlink" Target="https://www.6laws.net/6law/law2\&#20844;&#27665;&#33287;&#25919;&#27835;&#27402;&#21033;&#22283;&#38555;&#20844;&#32004;.htm" TargetMode="External"/><Relationship Id="rId2631" Type="http://schemas.openxmlformats.org/officeDocument/2006/relationships/image" Target="media/image48.jpeg"/><Relationship Id="rId2729" Type="http://schemas.openxmlformats.org/officeDocument/2006/relationships/hyperlink" Target="https://www.6laws.net/6law/law2\&#28040;&#38500;&#23565;&#23142;&#22899;&#19968;&#20999;&#24418;&#24335;&#27495;&#35222;&#20844;&#32004;.htm" TargetMode="External"/><Relationship Id="rId2936" Type="http://schemas.openxmlformats.org/officeDocument/2006/relationships/footer" Target="footer2.xml"/><Relationship Id="rId603" Type="http://schemas.openxmlformats.org/officeDocument/2006/relationships/hyperlink" Target="https://www.6laws.net/6law/law\&#25010;&#27861;.htm" TargetMode="External"/><Relationship Id="rId810" Type="http://schemas.openxmlformats.org/officeDocument/2006/relationships/hyperlink" Target="https://www.6laws.net/6law/law\&#22823;&#27861;&#23448;&#35299;&#37323;38-60&#24180;.htm" TargetMode="External"/><Relationship Id="rId908" Type="http://schemas.openxmlformats.org/officeDocument/2006/relationships/hyperlink" Target="https://www.6laws.net/6law/law\&#22823;&#27861;&#23448;&#35299;&#37323;38-60&#24180;.htm" TargetMode="External"/><Relationship Id="rId1233" Type="http://schemas.openxmlformats.org/officeDocument/2006/relationships/hyperlink" Target="https://www.6laws.net/6law/law\&#25010;&#27861;.htm" TargetMode="External"/><Relationship Id="rId1440" Type="http://schemas.openxmlformats.org/officeDocument/2006/relationships/hyperlink" Target="https://www.6laws.net/6law/law\&#25010;&#27861;.htm" TargetMode="External"/><Relationship Id="rId1538" Type="http://schemas.openxmlformats.org/officeDocument/2006/relationships/hyperlink" Target="https://www.6laws.net/6law/law\&#25010;&#27861;.htm" TargetMode="External"/><Relationship Id="rId1300" Type="http://schemas.openxmlformats.org/officeDocument/2006/relationships/hyperlink" Target="https://www.6laws.net/6law/law\&#29518;&#21237;&#25237;&#36039;&#26781;&#20363;.htm" TargetMode="External"/><Relationship Id="rId1745" Type="http://schemas.openxmlformats.org/officeDocument/2006/relationships/hyperlink" Target="https://www.6laws.net/6law/law\&#23601;&#26989;&#26381;&#21209;&#27861;.htm" TargetMode="External"/><Relationship Id="rId1952" Type="http://schemas.openxmlformats.org/officeDocument/2006/relationships/hyperlink" Target="https://www.6laws.net/6law/law\&#20837;&#20986;&#22283;&#21450;&#31227;&#27665;&#27861;.htm" TargetMode="External"/><Relationship Id="rId37" Type="http://schemas.openxmlformats.org/officeDocument/2006/relationships/hyperlink" Target="https://www.6laws.net/6law/law\&#25010;&#27861;.htm" TargetMode="External"/><Relationship Id="rId1605" Type="http://schemas.openxmlformats.org/officeDocument/2006/relationships/image" Target="media/image31.png"/><Relationship Id="rId1812" Type="http://schemas.openxmlformats.org/officeDocument/2006/relationships/hyperlink" Target="https://www.6laws.net/6law/law2\&#19990;&#30028;&#20154;&#27402;&#23459;&#35328;.htm" TargetMode="External"/><Relationship Id="rId186" Type="http://schemas.openxmlformats.org/officeDocument/2006/relationships/hyperlink" Target="https://www.6laws.net/6law/law\&#25010;&#27861;.htm" TargetMode="External"/><Relationship Id="rId393" Type="http://schemas.openxmlformats.org/officeDocument/2006/relationships/hyperlink" Target="https://www.6laws.net/6law/law\&#25010;&#27861;.htm" TargetMode="External"/><Relationship Id="rId2074" Type="http://schemas.openxmlformats.org/officeDocument/2006/relationships/hyperlink" Target="https://www.6laws.net/6law/law2\&#20844;&#27665;&#33287;&#25919;&#27835;&#27402;&#21033;&#22283;&#38555;&#20844;&#32004;.htm" TargetMode="External"/><Relationship Id="rId2281" Type="http://schemas.openxmlformats.org/officeDocument/2006/relationships/hyperlink" Target="https://www.6laws.net/6law/law-gb\&#21453;&#20998;&#35010;&#22283;&#23478;&#27861;.htm" TargetMode="External"/><Relationship Id="rId253" Type="http://schemas.openxmlformats.org/officeDocument/2006/relationships/hyperlink" Target="https://www.6laws.net/6law/law\&#21009;&#27861;.htm" TargetMode="External"/><Relationship Id="rId460" Type="http://schemas.openxmlformats.org/officeDocument/2006/relationships/hyperlink" Target="https://www.6laws.net/6law/law\&#25010;&#27861;.htm" TargetMode="External"/><Relationship Id="rId698" Type="http://schemas.openxmlformats.org/officeDocument/2006/relationships/hyperlink" Target="https://www.6laws.net/6law/law\&#25010;&#27861;.htm" TargetMode="External"/><Relationship Id="rId1090" Type="http://schemas.openxmlformats.org/officeDocument/2006/relationships/hyperlink" Target="https://www.6laws.net/6law/law\&#25010;&#27861;.htm" TargetMode="External"/><Relationship Id="rId2141" Type="http://schemas.openxmlformats.org/officeDocument/2006/relationships/hyperlink" Target="https://www.6laws.net/6law/law2\&#20844;&#27665;&#33287;&#25919;&#27835;&#27402;&#21033;&#22283;&#38555;&#20844;&#32004;.htm" TargetMode="External"/><Relationship Id="rId2379" Type="http://schemas.openxmlformats.org/officeDocument/2006/relationships/hyperlink" Target="https://www.6laws.net/6law/law\&#25010;&#27861;.htm" TargetMode="External"/><Relationship Id="rId2586" Type="http://schemas.openxmlformats.org/officeDocument/2006/relationships/hyperlink" Target="https://www.6laws.net/6law/law\&#38598;&#26371;&#36938;&#34892;&#27861;.htm" TargetMode="External"/><Relationship Id="rId2793" Type="http://schemas.openxmlformats.org/officeDocument/2006/relationships/hyperlink" Target="http://wt7773601.pixnet.net/album/photo/498234393" TargetMode="External"/><Relationship Id="rId113" Type="http://schemas.openxmlformats.org/officeDocument/2006/relationships/hyperlink" Target="https://www.6laws.net/6law/law\&#22823;&#27861;&#23448;&#35299;&#37323;92-n&#24180;.htm" TargetMode="External"/><Relationship Id="rId320" Type="http://schemas.openxmlformats.org/officeDocument/2006/relationships/hyperlink" Target="https://www.6laws.net/6law/law\&#25010;&#27861;.htm" TargetMode="External"/><Relationship Id="rId558" Type="http://schemas.openxmlformats.org/officeDocument/2006/relationships/hyperlink" Target="https://www.6laws.net/6law/law\&#25010;&#27861;.htm" TargetMode="External"/><Relationship Id="rId765" Type="http://schemas.openxmlformats.org/officeDocument/2006/relationships/hyperlink" Target="https://www.6laws.net/6law/law\&#25010;&#27861;.htm" TargetMode="External"/><Relationship Id="rId972" Type="http://schemas.openxmlformats.org/officeDocument/2006/relationships/hyperlink" Target="https://www.6laws.net/6law/law\&#20013;&#33775;&#27665;&#22283;&#25010;&#27861;&#22686;&#20462;&#26781;&#25991;.htm" TargetMode="External"/><Relationship Id="rId1188" Type="http://schemas.openxmlformats.org/officeDocument/2006/relationships/hyperlink" Target="https://www.6laws.net/6law/law\&#22320;&#26041;&#21046;&#24230;&#27861;.htm" TargetMode="External"/><Relationship Id="rId1395" Type="http://schemas.openxmlformats.org/officeDocument/2006/relationships/hyperlink" Target="https://www.6laws.net/6law/law\&#22823;&#27861;&#23448;&#35299;&#37323;61-78&#24180;.htm" TargetMode="External"/><Relationship Id="rId2001" Type="http://schemas.openxmlformats.org/officeDocument/2006/relationships/hyperlink" Target="https://www.6laws.net/6law/law2\&#19990;&#30028;&#20154;&#27402;&#23459;&#35328;.htm" TargetMode="External"/><Relationship Id="rId2239" Type="http://schemas.openxmlformats.org/officeDocument/2006/relationships/hyperlink" Target="https://www.6laws.net/6law/law\&#25010;&#27861;.htm" TargetMode="External"/><Relationship Id="rId2446" Type="http://schemas.openxmlformats.org/officeDocument/2006/relationships/hyperlink" Target="https://www.6laws.net/6law/law2\&#19990;&#30028;&#20154;&#27402;&#23459;&#35328;.htm" TargetMode="External"/><Relationship Id="rId2653" Type="http://schemas.openxmlformats.org/officeDocument/2006/relationships/hyperlink" Target="http://blogs.yahoo.co.jp/inoti333mamoru777/GALLERY/show_image.html?id=63109682&amp;no=1" TargetMode="External"/><Relationship Id="rId2860" Type="http://schemas.openxmlformats.org/officeDocument/2006/relationships/hyperlink" Target="https://www.6laws.net/6law/law\&#25010;&#27861;.htm" TargetMode="External"/><Relationship Id="rId418" Type="http://schemas.openxmlformats.org/officeDocument/2006/relationships/hyperlink" Target="https://www.6laws.net/6law/law3\&#20840;&#27665;&#20581;&#24247;&#20445;&#38570;&#36039;&#26009;&#35519;&#38321;&#33287;&#26597;&#35426;&#21450;&#35370;&#26597;&#36774;&#27861;.htm" TargetMode="External"/><Relationship Id="rId625" Type="http://schemas.openxmlformats.org/officeDocument/2006/relationships/hyperlink" Target="https://www.6laws.net/6law/law\&#22823;&#27861;&#23448;&#35299;&#37323;79-86&#24180;.htm" TargetMode="External"/><Relationship Id="rId832" Type="http://schemas.openxmlformats.org/officeDocument/2006/relationships/hyperlink" Target="https://www.6laws.net/6law/law\&#25010;&#27861;.htm" TargetMode="External"/><Relationship Id="rId1048" Type="http://schemas.openxmlformats.org/officeDocument/2006/relationships/hyperlink" Target="https://www.6laws.net/6law/law\&#22823;&#27861;&#23448;&#35299;&#37323;79-86&#24180;.htm" TargetMode="External"/><Relationship Id="rId1255" Type="http://schemas.openxmlformats.org/officeDocument/2006/relationships/hyperlink" Target="https://www.6laws.net/6law/law\&#36001;&#25919;&#25910;&#25903;&#21123;&#20998;&#27861;.htm" TargetMode="External"/><Relationship Id="rId1462" Type="http://schemas.openxmlformats.org/officeDocument/2006/relationships/hyperlink" Target="https://www.6laws.net/6law/law\&#20013;&#33775;&#27665;&#22283;&#25010;&#27861;&#22686;&#20462;&#26781;&#25991;.htm" TargetMode="External"/><Relationship Id="rId2306" Type="http://schemas.openxmlformats.org/officeDocument/2006/relationships/hyperlink" Target="https://www.6laws.net/6law/law-gb\&#21453;&#20998;&#35010;&#22283;&#23478;&#27861;.htm" TargetMode="External"/><Relationship Id="rId2513" Type="http://schemas.openxmlformats.org/officeDocument/2006/relationships/hyperlink" Target="https://www.6laws.net/6law/law\&#22823;&#27861;&#23448;&#35299;&#37323;87-91&#24180;.htm" TargetMode="External"/><Relationship Id="rId1115" Type="http://schemas.openxmlformats.org/officeDocument/2006/relationships/hyperlink" Target="https://www.6laws.net/6law/law\&#22320;&#26041;&#21046;&#24230;&#27861;.htm" TargetMode="External"/><Relationship Id="rId1322" Type="http://schemas.openxmlformats.org/officeDocument/2006/relationships/hyperlink" Target="https://www.6laws.net/6law/law\&#25010;&#27861;.htm" TargetMode="External"/><Relationship Id="rId1767" Type="http://schemas.openxmlformats.org/officeDocument/2006/relationships/hyperlink" Target="https://www.6laws.net/6law/law2\&#20445;&#35703;&#25152;&#26377;&#31227;&#24473;&#24037;&#20154;&#21450;&#20854;&#23478;&#24237;&#25104;&#21729;&#27402;&#21033;&#22283;&#38555;&#20844;&#32004;.htm" TargetMode="External"/><Relationship Id="rId1974" Type="http://schemas.openxmlformats.org/officeDocument/2006/relationships/hyperlink" Target="https://www.6laws.net/6law/law2\&#20844;&#27665;&#33287;&#25919;&#27835;&#27402;&#21033;&#22283;&#38555;&#20844;&#32004;.htm" TargetMode="External"/><Relationship Id="rId2720" Type="http://schemas.openxmlformats.org/officeDocument/2006/relationships/hyperlink" Target="https://www.6laws.net/6law/law2\&#28040;&#38500;&#23565;&#23142;&#22899;&#19968;&#20999;&#24418;&#24335;&#27495;&#35222;&#20844;&#32004;.htm" TargetMode="External"/><Relationship Id="rId2818" Type="http://schemas.openxmlformats.org/officeDocument/2006/relationships/hyperlink" Target="https://www.6laws.net/6law/law\&#20013;&#33775;&#27665;&#22283;&#25010;&#27861;&#22686;&#20462;&#26781;&#25991;.htm" TargetMode="External"/><Relationship Id="rId59" Type="http://schemas.openxmlformats.org/officeDocument/2006/relationships/hyperlink" Target="https://zh.wikipedia.org/wiki/&#20013;&#33775;&#27665;&#22283;&#25010;&#27861;" TargetMode="External"/><Relationship Id="rId1627" Type="http://schemas.openxmlformats.org/officeDocument/2006/relationships/hyperlink" Target="https://www.6laws.net/6law/law2\&#32147;&#28639;&#31038;&#26371;&#25991;&#21270;&#27402;&#21033;&#22283;&#38555;&#20844;&#32004;.htm" TargetMode="External"/><Relationship Id="rId1834" Type="http://schemas.openxmlformats.org/officeDocument/2006/relationships/hyperlink" Target="https://www.6laws.net/6law/law2\&#20445;&#35703;&#25152;&#26377;&#31227;&#24473;&#24037;&#20154;&#21450;&#20854;&#23478;&#24237;&#25104;&#21729;&#27402;&#21033;&#22283;&#38555;&#20844;&#32004;.htm" TargetMode="External"/><Relationship Id="rId2096" Type="http://schemas.openxmlformats.org/officeDocument/2006/relationships/hyperlink" Target="https://www.6laws.net/6law/law2\&#20844;&#27665;&#33287;&#25919;&#27835;&#27402;&#21033;&#22283;&#38555;&#20844;&#32004;.htm" TargetMode="External"/><Relationship Id="rId1901" Type="http://schemas.openxmlformats.org/officeDocument/2006/relationships/hyperlink" Target="https://www.6laws.net/6law/law2\&#26377;&#38364;&#38627;&#27665;&#22320;&#20301;&#20844;&#32004;.htm" TargetMode="External"/><Relationship Id="rId275" Type="http://schemas.openxmlformats.org/officeDocument/2006/relationships/hyperlink" Target="https://www.6laws.net/6law/law\&#22823;&#27861;&#23448;&#35299;&#37323;87-91&#24180;.htm" TargetMode="External"/><Relationship Id="rId482" Type="http://schemas.openxmlformats.org/officeDocument/2006/relationships/hyperlink" Target="https://www.6laws.net/6law/law\&#25010;&#27861;.htm" TargetMode="External"/><Relationship Id="rId2163" Type="http://schemas.openxmlformats.org/officeDocument/2006/relationships/hyperlink" Target="https://www.6laws.net/6law/law\&#25010;&#27861;.htm" TargetMode="External"/><Relationship Id="rId2370" Type="http://schemas.openxmlformats.org/officeDocument/2006/relationships/hyperlink" Target="https://www.6laws.net/6law/law\&#25010;&#27861;.htm" TargetMode="External"/><Relationship Id="rId135" Type="http://schemas.openxmlformats.org/officeDocument/2006/relationships/hyperlink" Target="https://www.6laws.net/6law/law\&#25010;&#27861;.htm" TargetMode="External"/><Relationship Id="rId342" Type="http://schemas.openxmlformats.org/officeDocument/2006/relationships/hyperlink" Target="https://www.6laws.net/6law/law\&#22823;&#27861;&#23448;&#35299;&#37323;87-91&#24180;.htm" TargetMode="External"/><Relationship Id="rId787" Type="http://schemas.openxmlformats.org/officeDocument/2006/relationships/hyperlink" Target="https://www.6laws.net/6law/law\&#25010;&#27861;.htm" TargetMode="External"/><Relationship Id="rId994" Type="http://schemas.openxmlformats.org/officeDocument/2006/relationships/hyperlink" Target="https://www.6laws.net/6law/law\&#25010;&#27861;.htm" TargetMode="External"/><Relationship Id="rId2023" Type="http://schemas.openxmlformats.org/officeDocument/2006/relationships/hyperlink" Target="https://www.6laws.net/6law/law\&#25010;&#27861;.htm" TargetMode="External"/><Relationship Id="rId2230" Type="http://schemas.openxmlformats.org/officeDocument/2006/relationships/hyperlink" Target="https://www.6laws.net/6law/law\&#20154;&#21475;&#36009;&#36939;&#38450;&#21046;&#27861;.htm" TargetMode="External"/><Relationship Id="rId2468" Type="http://schemas.openxmlformats.org/officeDocument/2006/relationships/hyperlink" Target="https://www.6laws.net/6law/law2\&#19990;&#30028;&#20154;&#27402;&#23459;&#35328;.htm" TargetMode="External"/><Relationship Id="rId2675" Type="http://schemas.openxmlformats.org/officeDocument/2006/relationships/hyperlink" Target="https://www.6laws.net/6law/law\&#22823;&#27861;&#23448;&#35299;&#37323;92-n&#24180;.htm" TargetMode="External"/><Relationship Id="rId2882" Type="http://schemas.openxmlformats.org/officeDocument/2006/relationships/hyperlink" Target="http://www.labour.gov.on.ca/english/es/faqs/epfna.php" TargetMode="External"/><Relationship Id="rId202" Type="http://schemas.openxmlformats.org/officeDocument/2006/relationships/hyperlink" Target="https://www.6laws.net/6law/law\&#36557;&#20107;&#23529;&#21028;&#27861;.htm" TargetMode="External"/><Relationship Id="rId647" Type="http://schemas.openxmlformats.org/officeDocument/2006/relationships/hyperlink" Target="https://www.6laws.net/6law/law3\&#34892;&#25919;&#38498;&#26371;&#35696;&#35696;&#20107;&#35215;&#21063;.htm" TargetMode="External"/><Relationship Id="rId854" Type="http://schemas.openxmlformats.org/officeDocument/2006/relationships/hyperlink" Target="https://www.6laws.net/6law/law\&#20013;&#33775;&#27665;&#22283;&#25010;&#27861;&#22686;&#20462;&#26781;&#25991;.htm" TargetMode="External"/><Relationship Id="rId1277" Type="http://schemas.openxmlformats.org/officeDocument/2006/relationships/hyperlink" Target="https://www.6laws.net/6law/law\&#36001;&#25919;&#37096;&#35657;&#21048;&#26280;&#26399;&#36008;&#31649;&#29702;&#22996;&#21729;&#26371;&#32068;&#32340;&#26781;&#20363;.htm" TargetMode="External"/><Relationship Id="rId1484" Type="http://schemas.openxmlformats.org/officeDocument/2006/relationships/hyperlink" Target="https://www.6laws.net/6law/law\&#20013;&#33775;&#27665;&#22283;&#25010;&#27861;&#22686;&#20462;&#26781;&#25991;.htm" TargetMode="External"/><Relationship Id="rId1691" Type="http://schemas.openxmlformats.org/officeDocument/2006/relationships/hyperlink" Target="https://www.6laws.net/6law/law\&#21009;&#27861;.htm" TargetMode="External"/><Relationship Id="rId2328" Type="http://schemas.openxmlformats.org/officeDocument/2006/relationships/hyperlink" Target="https://www.6laws.net/6law/law-gb\&#21453;&#20998;&#35010;&#22283;&#23478;&#27861;.htm" TargetMode="External"/><Relationship Id="rId2535" Type="http://schemas.openxmlformats.org/officeDocument/2006/relationships/hyperlink" Target="https://www.6laws.net/6law/law2\&#32147;&#28639;&#31038;&#26371;&#25991;&#21270;&#27402;&#21033;&#22283;&#38555;&#20844;&#32004;.htm" TargetMode="External"/><Relationship Id="rId2742" Type="http://schemas.openxmlformats.org/officeDocument/2006/relationships/hyperlink" Target="https://www.6laws.net/6law/law2\&#20818;&#31461;&#27402;&#21033;&#20844;&#32004;.htm" TargetMode="External"/><Relationship Id="rId507" Type="http://schemas.openxmlformats.org/officeDocument/2006/relationships/hyperlink" Target="https://www.6laws.net/6law/law\&#25010;&#27861;.htm" TargetMode="External"/><Relationship Id="rId714" Type="http://schemas.openxmlformats.org/officeDocument/2006/relationships/hyperlink" Target="https://www.6laws.net/6law/law\&#31435;&#27861;&#38498;&#32887;&#27402;&#34892;&#20351;&#27861;.htm" TargetMode="External"/><Relationship Id="rId921" Type="http://schemas.openxmlformats.org/officeDocument/2006/relationships/hyperlink" Target="https://www.6laws.net/6law/law\&#25010;&#27861;.htm" TargetMode="External"/><Relationship Id="rId1137" Type="http://schemas.openxmlformats.org/officeDocument/2006/relationships/hyperlink" Target="https://www.6laws.net/6law/law\&#20013;&#33775;&#27665;&#22283;&#25010;&#27861;&#22686;&#20462;&#26781;&#25991;.htm" TargetMode="External"/><Relationship Id="rId1344" Type="http://schemas.openxmlformats.org/officeDocument/2006/relationships/hyperlink" Target="https://www.6laws.net/6law/law\&#21214;&#36039;&#29229;&#35696;&#34389;&#29702;&#27861;.htm" TargetMode="External"/><Relationship Id="rId1551" Type="http://schemas.openxmlformats.org/officeDocument/2006/relationships/hyperlink" Target="https://www.6laws.net/6law/law\&#25010;&#27861;.htm" TargetMode="External"/><Relationship Id="rId1789" Type="http://schemas.openxmlformats.org/officeDocument/2006/relationships/hyperlink" Target="https://www.6laws.net/6law/law\&#27665;&#27861;.htm" TargetMode="External"/><Relationship Id="rId1996" Type="http://schemas.openxmlformats.org/officeDocument/2006/relationships/hyperlink" Target="https://www.6laws.net/6law/law\&#25010;&#27861;.htm" TargetMode="External"/><Relationship Id="rId2602" Type="http://schemas.openxmlformats.org/officeDocument/2006/relationships/hyperlink" Target="http://www.google.com.tw/url?sa=i&amp;rct=j&amp;q=&amp;esrc=s&amp;frm=1&amp;source=images&amp;cd=&amp;cad=rja&amp;uact=8&amp;ved=0CAcQjRw&amp;url=http://share.youthwant.com.tw/D22029463.html&amp;ei=VBjUVLrBBeTwmAX12oHYCA&amp;psig=AFQjCNEWswa8msAbiMdqaWisOO7kY528Gg&amp;ust=1423271992792674" TargetMode="External"/><Relationship Id="rId50" Type="http://schemas.openxmlformats.org/officeDocument/2006/relationships/hyperlink" Target="https://www.6laws.net/6law/law\&#20013;&#33775;&#27665;&#22283;&#25010;&#27861;&#22686;&#20462;&#26781;&#25991;.htm" TargetMode="External"/><Relationship Id="rId1204" Type="http://schemas.openxmlformats.org/officeDocument/2006/relationships/hyperlink" Target="https://www.6laws.net/6law/law\&#20844;&#32887;&#20154;&#21729;&#36984;&#33289;&#32631;&#20813;&#27861;.htm" TargetMode="External"/><Relationship Id="rId1411" Type="http://schemas.openxmlformats.org/officeDocument/2006/relationships/hyperlink" Target="https://www.6laws.net/6law/law\&#25010;&#27861;.htm" TargetMode="External"/><Relationship Id="rId1649" Type="http://schemas.openxmlformats.org/officeDocument/2006/relationships/hyperlink" Target="https://www.6laws.net/6law/law\&#25121;&#20098;&#26178;&#26399;&#32901;&#28165;&#29017;&#27602;&#26781;&#20363;.htm" TargetMode="External"/><Relationship Id="rId1856" Type="http://schemas.openxmlformats.org/officeDocument/2006/relationships/hyperlink" Target="https://www.6laws.net/6law/law2\&#20445;&#35703;&#25152;&#26377;&#31227;&#24473;&#24037;&#20154;&#21450;&#20854;&#23478;&#24237;&#25104;&#21729;&#27402;&#21033;&#22283;&#38555;&#20844;&#32004;.htm" TargetMode="External"/><Relationship Id="rId2907" Type="http://schemas.openxmlformats.org/officeDocument/2006/relationships/hyperlink" Target="http://peacehall.com/forum/boxun2005a/223580.shtml" TargetMode="External"/><Relationship Id="rId1509" Type="http://schemas.openxmlformats.org/officeDocument/2006/relationships/hyperlink" Target="https://www.6laws.net/6law/law\&#25010;&#27861;.htm" TargetMode="External"/><Relationship Id="rId1716" Type="http://schemas.openxmlformats.org/officeDocument/2006/relationships/hyperlink" Target="https://www.6laws.net/6law/law\&#27602;&#21697;&#21361;&#23475;&#38450;&#21046;&#26781;&#20363;.htm" TargetMode="External"/><Relationship Id="rId1923" Type="http://schemas.openxmlformats.org/officeDocument/2006/relationships/hyperlink" Target="https://www.6laws.net/6law/law2\&#19990;&#30028;&#20154;&#27402;&#23459;&#35328;.htm" TargetMode="External"/><Relationship Id="rId297" Type="http://schemas.openxmlformats.org/officeDocument/2006/relationships/hyperlink" Target="https://www.6laws.net/6law/law\&#25010;&#27861;.htm" TargetMode="External"/><Relationship Id="rId2185" Type="http://schemas.openxmlformats.org/officeDocument/2006/relationships/hyperlink" Target="https://www.6laws.net/6law/law\&#33274;&#28771;&#22320;&#21312;&#33287;&#22823;&#38520;&#22320;&#21312;&#20154;&#27665;&#38364;&#20418;&#26781;&#20363;.htm" TargetMode="External"/><Relationship Id="rId2392" Type="http://schemas.openxmlformats.org/officeDocument/2006/relationships/hyperlink" Target="https://www.6laws.net/6law/law-gb\&#21453;&#20998;&#35010;&#22283;&#23478;&#27861;.htm" TargetMode="External"/><Relationship Id="rId157" Type="http://schemas.openxmlformats.org/officeDocument/2006/relationships/hyperlink" Target="https://www.6laws.net/6law/law\&#25010;&#27861;.htm" TargetMode="External"/><Relationship Id="rId364" Type="http://schemas.openxmlformats.org/officeDocument/2006/relationships/hyperlink" Target="https://www.6laws.net/6law/law\&#25010;&#27861;.htm" TargetMode="External"/><Relationship Id="rId2045" Type="http://schemas.openxmlformats.org/officeDocument/2006/relationships/hyperlink" Target="https://www.6laws.net/6law/law2\&#20844;&#27665;&#33287;&#25919;&#27835;&#27402;&#21033;&#22283;&#38555;&#20844;&#32004;.htm" TargetMode="External"/><Relationship Id="rId2697" Type="http://schemas.openxmlformats.org/officeDocument/2006/relationships/hyperlink" Target="https://www.6laws.net/6law/law\&#25010;&#27861;.htm" TargetMode="External"/><Relationship Id="rId571" Type="http://schemas.openxmlformats.org/officeDocument/2006/relationships/hyperlink" Target="https://www.6laws.net/6law/law\&#25010;&#27861;.htm" TargetMode="External"/><Relationship Id="rId669" Type="http://schemas.openxmlformats.org/officeDocument/2006/relationships/hyperlink" Target="https://www.6laws.net/6law/law\&#22823;&#27861;&#23448;&#35299;&#37323;79-86&#24180;.htm" TargetMode="External"/><Relationship Id="rId876" Type="http://schemas.openxmlformats.org/officeDocument/2006/relationships/hyperlink" Target="https://www.6laws.net/6law/law\&#25010;&#27861;.htm" TargetMode="External"/><Relationship Id="rId1299" Type="http://schemas.openxmlformats.org/officeDocument/2006/relationships/hyperlink" Target="https://www.6laws.net/6law/law\&#25152;&#24471;&#31237;&#27861;.htm" TargetMode="External"/><Relationship Id="rId2252" Type="http://schemas.openxmlformats.org/officeDocument/2006/relationships/hyperlink" Target="https://www.6laws.net/6law/law-gb\&#21453;&#20998;&#35010;&#22283;&#23478;&#27861;.htm" TargetMode="External"/><Relationship Id="rId2557" Type="http://schemas.openxmlformats.org/officeDocument/2006/relationships/image" Target="media/image35.png"/><Relationship Id="rId224" Type="http://schemas.openxmlformats.org/officeDocument/2006/relationships/hyperlink" Target="https://www.6laws.net/6law/law\&#25010;&#27861;.htm" TargetMode="External"/><Relationship Id="rId431" Type="http://schemas.openxmlformats.org/officeDocument/2006/relationships/hyperlink" Target="https://zh.wikipedia.org/wiki/&#20013;&#33775;&#27665;&#22283;&#25010;&#27861;" TargetMode="External"/><Relationship Id="rId529" Type="http://schemas.openxmlformats.org/officeDocument/2006/relationships/hyperlink" Target="https://www.6laws.net/6law/law\&#36198;&#20813;&#27861;.htm" TargetMode="External"/><Relationship Id="rId736" Type="http://schemas.openxmlformats.org/officeDocument/2006/relationships/hyperlink" Target="https://www.6laws.net/6law/law\&#22823;&#27861;&#23448;&#35299;&#37323;87-91&#24180;.htm" TargetMode="External"/><Relationship Id="rId1061" Type="http://schemas.openxmlformats.org/officeDocument/2006/relationships/hyperlink" Target="https://www.6laws.net/6law/law\&#22823;&#27861;&#23448;&#35299;&#37323;87-91&#24180;.htm" TargetMode="External"/><Relationship Id="rId1159" Type="http://schemas.openxmlformats.org/officeDocument/2006/relationships/hyperlink" Target="https://www.6laws.net/6law/law\&#25010;&#27861;.htm" TargetMode="External"/><Relationship Id="rId1366" Type="http://schemas.openxmlformats.org/officeDocument/2006/relationships/hyperlink" Target="https://www.6laws.net/6law/law\&#22283;&#27665;&#25945;&#32946;&#27861;.htm" TargetMode="External"/><Relationship Id="rId2112" Type="http://schemas.openxmlformats.org/officeDocument/2006/relationships/hyperlink" Target="https://www.6laws.net/6law/law2\&#20844;&#27665;&#33287;&#25919;&#27835;&#27402;&#21033;&#22283;&#38555;&#20844;&#32004;.htm" TargetMode="External"/><Relationship Id="rId2417" Type="http://schemas.openxmlformats.org/officeDocument/2006/relationships/hyperlink" Target="https://www.6laws.net/6law/law\&#25010;&#27861;.htm" TargetMode="External"/><Relationship Id="rId2764" Type="http://schemas.openxmlformats.org/officeDocument/2006/relationships/hyperlink" Target="https://www.6laws.net/6law/law2\&#20818;&#31461;&#27402;&#21033;&#20844;&#32004;.htm" TargetMode="External"/><Relationship Id="rId943" Type="http://schemas.openxmlformats.org/officeDocument/2006/relationships/hyperlink" Target="https://www.6laws.net/6law/law\&#30435;&#23519;&#27861;.htm" TargetMode="External"/><Relationship Id="rId1019" Type="http://schemas.openxmlformats.org/officeDocument/2006/relationships/hyperlink" Target="https://www.6laws.net/6law/law\&#25010;&#27861;.htm" TargetMode="External"/><Relationship Id="rId1573" Type="http://schemas.openxmlformats.org/officeDocument/2006/relationships/hyperlink" Target="aw\&#20013;&#33775;&#27665;&#22283;&#25010;&#27861;&#22686;&#20462;&#26781;&#25991;.htm" TargetMode="External"/><Relationship Id="rId1780" Type="http://schemas.openxmlformats.org/officeDocument/2006/relationships/hyperlink" Target="https://www.6laws.net/6law/law\&#27665;&#27861;.htm" TargetMode="External"/><Relationship Id="rId1878" Type="http://schemas.openxmlformats.org/officeDocument/2006/relationships/hyperlink" Target="https://www.6laws.net/6law/law2\&#19990;&#30028;&#20154;&#27402;&#23459;&#35328;.htm" TargetMode="External"/><Relationship Id="rId2624" Type="http://schemas.openxmlformats.org/officeDocument/2006/relationships/hyperlink" Target="http://www.tiannv.com/a/MAMA_ME/Pregnancy/2013/144-12120-2.html" TargetMode="External"/><Relationship Id="rId2831" Type="http://schemas.openxmlformats.org/officeDocument/2006/relationships/hyperlink" Target="https://www.6laws.net/6law/law\&#25010;&#27861;.htm" TargetMode="External"/><Relationship Id="rId2929" Type="http://schemas.openxmlformats.org/officeDocument/2006/relationships/hyperlink" Target="http://news.boxun.com/forum/201003/boxun2010/120700.shtml" TargetMode="External"/><Relationship Id="rId72" Type="http://schemas.openxmlformats.org/officeDocument/2006/relationships/hyperlink" Target="https://www.6laws.net/6law/law\&#25010;&#27861;.htm" TargetMode="External"/><Relationship Id="rId803" Type="http://schemas.openxmlformats.org/officeDocument/2006/relationships/hyperlink" Target="https://www.6laws.net/6law/law\&#25010;&#27861;.htm" TargetMode="External"/><Relationship Id="rId1226" Type="http://schemas.openxmlformats.org/officeDocument/2006/relationships/hyperlink" Target="https://www.6laws.net/6law/law\&#20853;&#24441;&#27861;.htm" TargetMode="External"/><Relationship Id="rId1433" Type="http://schemas.openxmlformats.org/officeDocument/2006/relationships/hyperlink" Target="https://www.6laws.net/6law/law\&#25010;&#27861;.htm" TargetMode="External"/><Relationship Id="rId1640" Type="http://schemas.openxmlformats.org/officeDocument/2006/relationships/hyperlink" Target="https://www.6laws.net/6law/law\&#21009;&#27861;.htm" TargetMode="External"/><Relationship Id="rId1738" Type="http://schemas.openxmlformats.org/officeDocument/2006/relationships/hyperlink" Target="https://www.6laws.net/6law/law\&#23601;&#26989;&#26381;&#21209;&#27861;.htm" TargetMode="External"/><Relationship Id="rId1500" Type="http://schemas.openxmlformats.org/officeDocument/2006/relationships/hyperlink" Target="https://www.6laws.net/6law/law\&#25010;&#27861;.htm" TargetMode="External"/><Relationship Id="rId1945" Type="http://schemas.openxmlformats.org/officeDocument/2006/relationships/hyperlink" Target="https://www.6laws.net/6law/law2\&#19990;&#30028;&#20154;&#27402;&#23459;&#35328;.htm" TargetMode="External"/><Relationship Id="rId1805" Type="http://schemas.openxmlformats.org/officeDocument/2006/relationships/hyperlink" Target="https://www.6laws.net/6law/law2\&#19990;&#30028;&#20154;&#27402;&#23459;&#35328;.htm" TargetMode="External"/><Relationship Id="rId179" Type="http://schemas.openxmlformats.org/officeDocument/2006/relationships/hyperlink" Target="https://www.6laws.net/6law/law\&#25010;&#27861;.htm" TargetMode="External"/><Relationship Id="rId386" Type="http://schemas.openxmlformats.org/officeDocument/2006/relationships/hyperlink" Target="https://www.6laws.net/6law/law\&#22823;&#27861;&#23448;&#35299;&#37323;79-86&#24180;.htm" TargetMode="External"/><Relationship Id="rId593" Type="http://schemas.openxmlformats.org/officeDocument/2006/relationships/hyperlink" Target="https://www.6laws.net/6law/law\&#20013;&#33775;&#27665;&#22283;&#25010;&#27861;&#22686;&#20462;&#26781;&#25991;.htm" TargetMode="External"/><Relationship Id="rId2067" Type="http://schemas.openxmlformats.org/officeDocument/2006/relationships/hyperlink" Target="https://www.6laws.net/6law/law2\&#20844;&#27665;&#33287;&#25919;&#27835;&#27402;&#21033;&#22283;&#38555;&#20844;&#32004;.htm" TargetMode="External"/><Relationship Id="rId2274" Type="http://schemas.openxmlformats.org/officeDocument/2006/relationships/hyperlink" Target="https://www.6laws.net/6law/law-gb\&#21453;&#20998;&#35010;&#22283;&#23478;&#27861;.htm" TargetMode="External"/><Relationship Id="rId2481" Type="http://schemas.openxmlformats.org/officeDocument/2006/relationships/hyperlink" Target="https://www.6laws.net/6law/law2\&#20844;&#27665;&#33287;&#25919;&#27835;&#27402;&#21033;&#22283;&#38555;&#20844;&#32004;.htm" TargetMode="External"/><Relationship Id="rId246" Type="http://schemas.openxmlformats.org/officeDocument/2006/relationships/hyperlink" Target="https://www.6laws.net/6law/law\&#37109;&#25919;&#27861;.htm" TargetMode="External"/><Relationship Id="rId453" Type="http://schemas.openxmlformats.org/officeDocument/2006/relationships/hyperlink" Target="https://www.6laws.net/6law/law\&#20013;&#33775;&#27665;&#22283;&#25010;&#27861;&#22686;&#20462;&#26781;&#25991;.htm" TargetMode="External"/><Relationship Id="rId660" Type="http://schemas.openxmlformats.org/officeDocument/2006/relationships/hyperlink" Target="https://www.6laws.net/6law/law\&#25010;&#27861;.htm" TargetMode="External"/><Relationship Id="rId898" Type="http://schemas.openxmlformats.org/officeDocument/2006/relationships/hyperlink" Target="https://www.6laws.net/6law/law\&#25010;&#27861;.htm" TargetMode="External"/><Relationship Id="rId1083" Type="http://schemas.openxmlformats.org/officeDocument/2006/relationships/hyperlink" Target="https://www.6laws.net/6law/law\&#20013;&#33775;&#27665;&#22283;&#25010;&#27861;&#22686;&#20462;&#26781;&#25991;.htm" TargetMode="External"/><Relationship Id="rId1290" Type="http://schemas.openxmlformats.org/officeDocument/2006/relationships/hyperlink" Target="https://www.6laws.net/6law/law\&#29518;&#21237;&#25237;&#36039;&#26781;&#20363;.htm" TargetMode="External"/><Relationship Id="rId2134" Type="http://schemas.openxmlformats.org/officeDocument/2006/relationships/hyperlink" Target="https://www.6laws.net/6law/law2\&#19990;&#30028;&#20154;&#27402;&#23459;&#35328;.htm" TargetMode="External"/><Relationship Id="rId2341" Type="http://schemas.openxmlformats.org/officeDocument/2006/relationships/hyperlink" Target="https://www.6laws.net/6law/law\&#25010;&#27861;.htm" TargetMode="External"/><Relationship Id="rId2579" Type="http://schemas.openxmlformats.org/officeDocument/2006/relationships/hyperlink" Target="https://www.6laws.net/6law/law\&#38598;&#26371;&#36938;&#34892;&#27861;.htm" TargetMode="External"/><Relationship Id="rId2786" Type="http://schemas.openxmlformats.org/officeDocument/2006/relationships/hyperlink" Target="https://www.6laws.net/6law/law2\&#32147;&#28639;&#31038;&#26371;&#25991;&#21270;&#27402;&#21033;&#22283;&#38555;&#20844;&#32004;.htm" TargetMode="External"/><Relationship Id="rId106" Type="http://schemas.openxmlformats.org/officeDocument/2006/relationships/hyperlink" Target="https://www.6laws.net/6law/law\&#22823;&#27861;&#23448;&#35299;&#37323;92-n&#24180;.htm" TargetMode="External"/><Relationship Id="rId313" Type="http://schemas.openxmlformats.org/officeDocument/2006/relationships/hyperlink" Target="https://www.6laws.net/6law/law\&#22823;&#27861;&#23448;&#35299;&#37323;92-n&#24180;.htm" TargetMode="External"/><Relationship Id="rId758" Type="http://schemas.openxmlformats.org/officeDocument/2006/relationships/hyperlink" Target="https://www.6laws.net/6law/law\&#25010;&#27861;.htm" TargetMode="External"/><Relationship Id="rId965" Type="http://schemas.openxmlformats.org/officeDocument/2006/relationships/hyperlink" Target="https://www.6laws.net/6law/law\&#25010;&#27861;.htm" TargetMode="External"/><Relationship Id="rId1150" Type="http://schemas.openxmlformats.org/officeDocument/2006/relationships/hyperlink" Target="https://www.6laws.net/6law/law\&#22320;&#26041;&#21046;&#24230;&#27861;.htm" TargetMode="External"/><Relationship Id="rId1388" Type="http://schemas.openxmlformats.org/officeDocument/2006/relationships/hyperlink" Target="https://www.6laws.net/6law/law\&#25010;&#27861;.htm" TargetMode="External"/><Relationship Id="rId1595" Type="http://schemas.openxmlformats.org/officeDocument/2006/relationships/hyperlink" Target="http://www.ccj.url.tw/VerfR/PDF/%E4%BF%AE%E6%86%B2%E7%A8%8B%E5%BA%8F.pdf" TargetMode="External"/><Relationship Id="rId2439" Type="http://schemas.openxmlformats.org/officeDocument/2006/relationships/hyperlink" Target="https://www.6laws.net/6law/law2\&#32147;&#28639;&#31038;&#26371;&#25991;&#21270;&#27402;&#21033;&#22283;&#38555;&#20844;&#32004;.htm" TargetMode="External"/><Relationship Id="rId2646" Type="http://schemas.openxmlformats.org/officeDocument/2006/relationships/hyperlink" Target="https://www.6laws.net/6law/law\&#20778;&#29983;&#20445;&#20581;&#27861;.htm" TargetMode="External"/><Relationship Id="rId2853" Type="http://schemas.openxmlformats.org/officeDocument/2006/relationships/hyperlink" Target="https://www.6laws.net/6law/law\&#20013;&#33775;&#27665;&#22283;&#25010;&#27861;&#22686;&#20462;&#26781;&#25991;.htm" TargetMode="External"/><Relationship Id="rId94" Type="http://schemas.openxmlformats.org/officeDocument/2006/relationships/hyperlink" Target="https://www.6laws.net/6law/law2\&#20844;&#27665;&#33287;&#25919;&#27835;&#27402;&#21033;&#22283;&#38555;&#20844;&#32004;.htm" TargetMode="External"/><Relationship Id="rId520" Type="http://schemas.openxmlformats.org/officeDocument/2006/relationships/hyperlink" Target="https://www.6laws.net/6law/law\&#25010;&#27861;.htm" TargetMode="External"/><Relationship Id="rId618" Type="http://schemas.openxmlformats.org/officeDocument/2006/relationships/hyperlink" Target="https://www.6laws.net/6law/law\&#34892;&#25919;&#38498;&#32068;&#32340;&#27861;.htm" TargetMode="External"/><Relationship Id="rId825" Type="http://schemas.openxmlformats.org/officeDocument/2006/relationships/hyperlink" Target="https://www.6laws.net/6law/law\&#21496;&#27861;&#38498;&#22823;&#27861;&#23448;&#23529;&#29702;&#26696;&#20214;&#27861;.htm" TargetMode="External"/><Relationship Id="rId1248" Type="http://schemas.openxmlformats.org/officeDocument/2006/relationships/hyperlink" Target="https://www.6laws.net/6law/law\&#25010;&#27861;.htm" TargetMode="External"/><Relationship Id="rId1455" Type="http://schemas.openxmlformats.org/officeDocument/2006/relationships/hyperlink" Target="https://www.6laws.net/6law/law\&#20013;&#33775;&#27665;&#22283;&#25010;&#27861;&#22686;&#20462;&#26781;&#25991;.htm" TargetMode="External"/><Relationship Id="rId1662" Type="http://schemas.openxmlformats.org/officeDocument/2006/relationships/hyperlink" Target="https://www.6laws.net/6law/law\&#22823;&#27861;&#23448;&#35299;&#37323;79-86&#24180;.htm" TargetMode="External"/><Relationship Id="rId2201" Type="http://schemas.openxmlformats.org/officeDocument/2006/relationships/hyperlink" Target="https://www.6laws.net/6law/law\&#20844;&#27665;&#33287;&#25919;&#27835;&#27402;&#21033;&#22283;&#38555;&#20844;&#32004;&#21450;&#32147;&#28639;&#31038;&#26371;&#25991;&#21270;&#27402;&#21033;&#22283;&#38555;&#20844;&#32004;&#26045;&#34892;&#27861;.htm" TargetMode="External"/><Relationship Id="rId2506" Type="http://schemas.openxmlformats.org/officeDocument/2006/relationships/hyperlink" Target="https://www.6laws.net/6law/law\&#25010;&#27861;.htm" TargetMode="External"/><Relationship Id="rId1010" Type="http://schemas.openxmlformats.org/officeDocument/2006/relationships/hyperlink" Target="https://www.6laws.net/6law/law\&#20013;&#33775;&#27665;&#22283;&#25010;&#27861;&#22686;&#20462;&#26781;&#25991;.htm" TargetMode="External"/><Relationship Id="rId1108" Type="http://schemas.openxmlformats.org/officeDocument/2006/relationships/hyperlink" Target="https://www.6laws.net/6law/law\&#22320;&#26041;&#21046;&#24230;&#27861;.htm" TargetMode="External"/><Relationship Id="rId1315" Type="http://schemas.openxmlformats.org/officeDocument/2006/relationships/hyperlink" Target="https://www.6laws.net/6law/law\&#25010;&#27861;.htm" TargetMode="External"/><Relationship Id="rId1967" Type="http://schemas.openxmlformats.org/officeDocument/2006/relationships/hyperlink" Target="https://www.6laws.net/6law/law\&#25010;&#27861;.htm" TargetMode="External"/><Relationship Id="rId2713" Type="http://schemas.openxmlformats.org/officeDocument/2006/relationships/hyperlink" Target="https://www.6laws.net/6law/law\&#20837;&#20986;&#22283;&#21450;&#31227;&#27665;&#27861;.htm" TargetMode="External"/><Relationship Id="rId2920" Type="http://schemas.openxmlformats.org/officeDocument/2006/relationships/hyperlink" Target="http://www.ahlawyer.com.cn/kanwu/2005/lx/lx3/200510/28130403032.html" TargetMode="External"/><Relationship Id="rId1522" Type="http://schemas.openxmlformats.org/officeDocument/2006/relationships/hyperlink" Target="https://www.6laws.net/6law/law\&#20013;&#33775;&#27665;&#22283;&#25010;&#27861;&#22686;&#20462;&#26781;&#25991;.htm" TargetMode="External"/><Relationship Id="rId21" Type="http://schemas.openxmlformats.org/officeDocument/2006/relationships/hyperlink" Target="https://www.6laws.net/6law/law\&#20778;&#29983;&#20445;&#20581;&#27861;.htm" TargetMode="External"/><Relationship Id="rId2089" Type="http://schemas.openxmlformats.org/officeDocument/2006/relationships/hyperlink" Target="https://www.6laws.net/6law/law2\&#20844;&#27665;&#33287;&#25919;&#27835;&#27402;&#21033;&#22283;&#38555;&#20844;&#32004;.htm" TargetMode="External"/><Relationship Id="rId2296" Type="http://schemas.openxmlformats.org/officeDocument/2006/relationships/hyperlink" Target="https://www.6laws.net/6law/law-gb\&#21453;&#20998;&#35010;&#22283;&#23478;&#27861;.htm" TargetMode="External"/><Relationship Id="rId268" Type="http://schemas.openxmlformats.org/officeDocument/2006/relationships/hyperlink" Target="https://www.6laws.net/6law/law\&#22823;&#27861;&#23448;&#35299;&#37323;92-n&#24180;.htm" TargetMode="External"/><Relationship Id="rId475" Type="http://schemas.openxmlformats.org/officeDocument/2006/relationships/hyperlink" Target="https://www.6laws.net/6law/law\&#25010;&#27861;.htm" TargetMode="External"/><Relationship Id="rId682" Type="http://schemas.openxmlformats.org/officeDocument/2006/relationships/hyperlink" Target="https://www.6laws.net/6law/law\&#20013;&#33775;&#27665;&#22283;&#25010;&#27861;&#22686;&#20462;&#26781;&#25991;.htm" TargetMode="External"/><Relationship Id="rId2156" Type="http://schemas.openxmlformats.org/officeDocument/2006/relationships/hyperlink" Target="https://www.6laws.net/6law/law\&#25010;&#27861;.htm" TargetMode="External"/><Relationship Id="rId2363" Type="http://schemas.openxmlformats.org/officeDocument/2006/relationships/hyperlink" Target="https://www.6laws.net/6law/law\&#25010;&#27861;.htm" TargetMode="External"/><Relationship Id="rId2570" Type="http://schemas.openxmlformats.org/officeDocument/2006/relationships/hyperlink" Target="https://www.6laws.net/6law/law2\&#20844;&#27665;&#33287;&#25919;&#27835;&#27402;&#21033;&#22283;&#38555;&#20844;&#32004;.htm" TargetMode="External"/><Relationship Id="rId128" Type="http://schemas.openxmlformats.org/officeDocument/2006/relationships/hyperlink" Target="https://www.6laws.net/6law/law\&#22823;&#27861;&#23448;&#35299;&#37323;79-86&#24180;.htm" TargetMode="External"/><Relationship Id="rId335" Type="http://schemas.openxmlformats.org/officeDocument/2006/relationships/hyperlink" Target="https://www.6laws.net/6law/law\&#25152;&#24471;&#31237;&#27861;.htm" TargetMode="External"/><Relationship Id="rId542" Type="http://schemas.openxmlformats.org/officeDocument/2006/relationships/hyperlink" Target="https://www.6laws.net/6law/law\&#25010;&#27861;.htm" TargetMode="External"/><Relationship Id="rId1172" Type="http://schemas.openxmlformats.org/officeDocument/2006/relationships/hyperlink" Target="https://www.6laws.net/6law/law\&#22320;&#26041;&#21046;&#24230;&#27861;.htm" TargetMode="External"/><Relationship Id="rId2016" Type="http://schemas.openxmlformats.org/officeDocument/2006/relationships/hyperlink" Target="https://www.6laws.net/6law/law\&#20837;&#20986;&#22283;&#21450;&#31227;&#27665;&#27861;.htm" TargetMode="External"/><Relationship Id="rId2223" Type="http://schemas.openxmlformats.org/officeDocument/2006/relationships/hyperlink" Target="https://www.6laws.net/6law/law\&#20154;&#21475;&#36009;&#36939;&#38450;&#21046;&#27861;.htm" TargetMode="External"/><Relationship Id="rId2430" Type="http://schemas.openxmlformats.org/officeDocument/2006/relationships/hyperlink" Target="https://www.6laws.net/6law/law2\&#32879;&#21512;&#22283;&#25010;&#31456;.htm" TargetMode="External"/><Relationship Id="rId402" Type="http://schemas.openxmlformats.org/officeDocument/2006/relationships/hyperlink" Target="https://www.6laws.net/6law/law\&#22823;&#27861;&#23448;&#35299;&#37323;92-n&#24180;.htm" TargetMode="External"/><Relationship Id="rId1032" Type="http://schemas.openxmlformats.org/officeDocument/2006/relationships/hyperlink" Target="https://www.6laws.net/6law/law\&#22823;&#27861;&#23448;&#35299;&#37323;38-60&#24180;.htm" TargetMode="External"/><Relationship Id="rId1989" Type="http://schemas.openxmlformats.org/officeDocument/2006/relationships/hyperlink" Target="https://www.6laws.net/6law/law2\&#20844;&#27665;&#33287;&#25919;&#27835;&#27402;&#21033;&#22283;&#38555;&#20844;&#32004;.htm" TargetMode="External"/><Relationship Id="rId1849" Type="http://schemas.openxmlformats.org/officeDocument/2006/relationships/hyperlink" Target="https://www.6laws.net/6law/law2\&#20445;&#35703;&#25152;&#26377;&#31227;&#24473;&#24037;&#20154;&#21450;&#20854;&#23478;&#24237;&#25104;&#21729;&#27402;&#21033;&#22283;&#38555;&#20844;&#32004;.htm" TargetMode="External"/><Relationship Id="rId192" Type="http://schemas.openxmlformats.org/officeDocument/2006/relationships/hyperlink" Target="https://www.6laws.net/6law/law\&#36557;&#20107;&#23529;&#21028;&#27861;.htm" TargetMode="External"/><Relationship Id="rId1709" Type="http://schemas.openxmlformats.org/officeDocument/2006/relationships/hyperlink" Target="https://www.6laws.net/6law/law\&#27602;&#21697;&#21361;&#23475;&#38450;&#21046;&#26781;&#20363;.htm" TargetMode="External"/><Relationship Id="rId1916" Type="http://schemas.openxmlformats.org/officeDocument/2006/relationships/hyperlink" Target="https://www.6laws.net/6law/law2\&#26377;&#38364;&#38627;&#27665;&#22320;&#20301;&#20844;&#32004;.htm" TargetMode="External"/><Relationship Id="rId2080" Type="http://schemas.openxmlformats.org/officeDocument/2006/relationships/hyperlink" Target="https://www.6laws.net/6law/law2\&#20844;&#27665;&#33287;&#25919;&#27835;&#27402;&#21033;&#22283;&#38555;&#20844;&#32004;.htm" TargetMode="External"/><Relationship Id="rId2897" Type="http://schemas.openxmlformats.org/officeDocument/2006/relationships/hyperlink" Target="http://www.dart-wits.com.tw/_chinese/06_latestnews/02_newsdetail.aspx?NID=170" TargetMode="External"/><Relationship Id="rId869" Type="http://schemas.openxmlformats.org/officeDocument/2006/relationships/hyperlink" Target="https://www.6laws.net/6law/law\&#25010;&#27861;.htm" TargetMode="External"/><Relationship Id="rId1499" Type="http://schemas.openxmlformats.org/officeDocument/2006/relationships/hyperlink" Target="https://www.6laws.net/6law/law\&#22823;&#27861;&#23448;&#35299;&#37323;92-n&#24180;.htm" TargetMode="External"/><Relationship Id="rId729" Type="http://schemas.openxmlformats.org/officeDocument/2006/relationships/hyperlink" Target="https://www.6laws.net/6law/law\&#25010;&#27861;.htm" TargetMode="External"/><Relationship Id="rId1359" Type="http://schemas.openxmlformats.org/officeDocument/2006/relationships/hyperlink" Target="aw\&#20013;&#33775;&#27665;&#22283;&#25010;&#27861;&#22686;&#20462;&#26781;&#25991;.htm" TargetMode="External"/><Relationship Id="rId2757" Type="http://schemas.openxmlformats.org/officeDocument/2006/relationships/hyperlink" Target="https://www.6laws.net/6law/law2\&#20818;&#31461;&#27402;&#21033;&#20844;&#32004;.htm" TargetMode="External"/><Relationship Id="rId936" Type="http://schemas.openxmlformats.org/officeDocument/2006/relationships/hyperlink" Target="https://www.6laws.net/6law/law\&#25010;&#27861;.htm" TargetMode="External"/><Relationship Id="rId1219" Type="http://schemas.openxmlformats.org/officeDocument/2006/relationships/hyperlink" Target="https://www.6laws.net/6law/law\&#25010;&#27861;.htm" TargetMode="External"/><Relationship Id="rId1566" Type="http://schemas.openxmlformats.org/officeDocument/2006/relationships/hyperlink" Target="https://www.6laws.net/6law/law\&#20013;&#33775;&#27665;&#22283;&#25010;&#27861;&#22686;&#20462;&#26781;&#25991;.htm" TargetMode="External"/><Relationship Id="rId1773" Type="http://schemas.openxmlformats.org/officeDocument/2006/relationships/hyperlink" Target="https://www.6laws.net/6law/law2\&#20445;&#35703;&#25152;&#26377;&#31227;&#24473;&#24037;&#20154;&#21450;&#20854;&#23478;&#24237;&#25104;&#21729;&#27402;&#21033;&#22283;&#38555;&#20844;&#32004;.htm" TargetMode="External"/><Relationship Id="rId1980" Type="http://schemas.openxmlformats.org/officeDocument/2006/relationships/hyperlink" Target="https://www.6laws.net/6law/law2\&#20844;&#27665;&#33287;&#25919;&#27835;&#27402;&#21033;&#22283;&#38555;&#20844;&#32004;.htm" TargetMode="External"/><Relationship Id="rId2617" Type="http://schemas.openxmlformats.org/officeDocument/2006/relationships/hyperlink" Target="http://tw.gigacircle.com/2419362-1" TargetMode="External"/><Relationship Id="rId2824" Type="http://schemas.openxmlformats.org/officeDocument/2006/relationships/hyperlink" Target="https://www.6laws.net/6law/law\&#20013;&#33775;&#27665;&#22283;&#25010;&#27861;&#22686;&#20462;&#26781;&#25991;.htm" TargetMode="External"/><Relationship Id="rId65" Type="http://schemas.openxmlformats.org/officeDocument/2006/relationships/hyperlink" Target="https://www.6laws.net/6law/law\&#22823;&#27861;&#23448;&#35299;&#37323;79-86&#24180;.htm" TargetMode="External"/><Relationship Id="rId1426" Type="http://schemas.openxmlformats.org/officeDocument/2006/relationships/hyperlink" Target="https://www.6laws.net/6law/law\&#25010;&#27861;.htm" TargetMode="External"/><Relationship Id="rId1633" Type="http://schemas.openxmlformats.org/officeDocument/2006/relationships/hyperlink" Target="https://www.6laws.net/6law/law2\&#32147;&#28639;&#31038;&#26371;&#25991;&#21270;&#27402;&#21033;&#22283;&#38555;&#20844;&#32004;.htm" TargetMode="External"/><Relationship Id="rId1840" Type="http://schemas.openxmlformats.org/officeDocument/2006/relationships/hyperlink" Target="https://www.6laws.net/6law/law2\&#20445;&#35703;&#25152;&#26377;&#31227;&#24473;&#24037;&#20154;&#21450;&#20854;&#23478;&#24237;&#25104;&#21729;&#27402;&#21033;&#22283;&#38555;&#20844;&#32004;.htm" TargetMode="External"/><Relationship Id="rId1700" Type="http://schemas.openxmlformats.org/officeDocument/2006/relationships/hyperlink" Target="https://www.6laws.net/6law/law\&#20900;&#29508;&#36064;&#20767;&#27861;.htm" TargetMode="External"/><Relationship Id="rId379" Type="http://schemas.openxmlformats.org/officeDocument/2006/relationships/hyperlink" Target="https://www.6laws.net/6law/law\&#27665;&#27861;.htm" TargetMode="External"/><Relationship Id="rId586" Type="http://schemas.openxmlformats.org/officeDocument/2006/relationships/hyperlink" Target="https://www.6laws.net/6law/law\&#34892;&#25919;&#38498;&#32068;&#32340;&#27861;.htm" TargetMode="External"/><Relationship Id="rId793" Type="http://schemas.openxmlformats.org/officeDocument/2006/relationships/hyperlink" Target="https://www.6laws.net/6law/law\&#25010;&#27861;.htm" TargetMode="External"/><Relationship Id="rId2267" Type="http://schemas.openxmlformats.org/officeDocument/2006/relationships/hyperlink" Target="https://www.6laws.net/6law/law-gb\&#21453;&#20998;&#35010;&#22283;&#23478;&#27861;.htm" TargetMode="External"/><Relationship Id="rId2474" Type="http://schemas.openxmlformats.org/officeDocument/2006/relationships/hyperlink" Target="https://www.6laws.net/6law/law2\&#20844;&#27665;&#33287;&#25919;&#27835;&#27402;&#21033;&#22283;&#38555;&#20844;&#32004;.htm" TargetMode="External"/><Relationship Id="rId2681" Type="http://schemas.openxmlformats.org/officeDocument/2006/relationships/hyperlink" Target="https://www.6laws.net/6law/law\&#30435;&#29508;&#34892;&#21009;&#27861;.htm" TargetMode="External"/><Relationship Id="rId239" Type="http://schemas.openxmlformats.org/officeDocument/2006/relationships/hyperlink" Target="https://www.6laws.net/6law/law\&#22823;&#27861;&#23448;&#35299;&#37323;92-n&#24180;.htm" TargetMode="External"/><Relationship Id="rId446" Type="http://schemas.openxmlformats.org/officeDocument/2006/relationships/hyperlink" Target="https://www.6laws.net/6law/law\&#25010;&#27861;.htm" TargetMode="External"/><Relationship Id="rId653" Type="http://schemas.openxmlformats.org/officeDocument/2006/relationships/hyperlink" Target="https://www.6laws.net/6law/law\&#25010;&#27861;.htm" TargetMode="External"/><Relationship Id="rId1076" Type="http://schemas.openxmlformats.org/officeDocument/2006/relationships/hyperlink" Target="https://www.6laws.net/6law/law\&#25010;&#27861;.htm" TargetMode="External"/><Relationship Id="rId1283" Type="http://schemas.openxmlformats.org/officeDocument/2006/relationships/hyperlink" Target="https://www.6laws.net/6law/law\&#29518;&#21237;&#25237;&#36039;&#26781;&#20363;.htm" TargetMode="External"/><Relationship Id="rId1490" Type="http://schemas.openxmlformats.org/officeDocument/2006/relationships/hyperlink" Target="https://www.6laws.net/6law/law\&#25010;&#27861;.htm" TargetMode="External"/><Relationship Id="rId2127" Type="http://schemas.openxmlformats.org/officeDocument/2006/relationships/hyperlink" Target="https://www.6laws.net/6law/law2\&#20844;&#27665;&#33287;&#25919;&#27835;&#27402;&#21033;&#22283;&#38555;&#20844;&#32004;.htm" TargetMode="External"/><Relationship Id="rId2334" Type="http://schemas.openxmlformats.org/officeDocument/2006/relationships/hyperlink" Target="https://www.6laws.net/6law/law\&#25010;&#27861;.htm" TargetMode="External"/><Relationship Id="rId306" Type="http://schemas.openxmlformats.org/officeDocument/2006/relationships/hyperlink" Target="https://www.6laws.net/6law/law\&#25010;&#27861;.htm" TargetMode="External"/><Relationship Id="rId860" Type="http://schemas.openxmlformats.org/officeDocument/2006/relationships/hyperlink" Target="https://www.6laws.net/6law/law\&#25010;&#27861;.htm" TargetMode="External"/><Relationship Id="rId1143" Type="http://schemas.openxmlformats.org/officeDocument/2006/relationships/hyperlink" Target="https://www.6laws.net/6law/law\&#22320;&#26041;&#21046;&#24230;&#27861;.htm" TargetMode="External"/><Relationship Id="rId2541" Type="http://schemas.openxmlformats.org/officeDocument/2006/relationships/hyperlink" Target="https://www.6laws.net/6law/law2\&#32147;&#28639;&#31038;&#26371;&#25991;&#21270;&#27402;&#21033;&#22283;&#38555;&#20844;&#32004;.htm" TargetMode="External"/><Relationship Id="rId513" Type="http://schemas.openxmlformats.org/officeDocument/2006/relationships/hyperlink" Target="https://www.6laws.net/6law/law\&#25010;&#27861;.htm" TargetMode="External"/><Relationship Id="rId720" Type="http://schemas.openxmlformats.org/officeDocument/2006/relationships/hyperlink" Target="https://www.6laws.net/6law/law\&#20013;&#33775;&#27665;&#22283;&#25010;&#27861;&#22686;&#20462;&#26781;&#25991;.htm" TargetMode="External"/><Relationship Id="rId1350" Type="http://schemas.openxmlformats.org/officeDocument/2006/relationships/hyperlink" Target="aw\&#20013;&#33775;&#27665;&#22283;&#25010;&#27861;&#22686;&#20462;&#26781;&#25991;.htm" TargetMode="External"/><Relationship Id="rId2401" Type="http://schemas.openxmlformats.org/officeDocument/2006/relationships/hyperlink" Target="https://www.6laws.net/6law/law\&#25010;&#27861;.htm" TargetMode="External"/><Relationship Id="rId1003" Type="http://schemas.openxmlformats.org/officeDocument/2006/relationships/hyperlink" Target="https://www.6laws.net/6law/law\&#25010;&#27861;.htm" TargetMode="External"/><Relationship Id="rId1210" Type="http://schemas.openxmlformats.org/officeDocument/2006/relationships/hyperlink" Target="https://www.6laws.net/6law/law\&#25010;&#27861;.htm" TargetMode="External"/><Relationship Id="rId2191" Type="http://schemas.openxmlformats.org/officeDocument/2006/relationships/hyperlink" Target="https://www.6laws.net/6law/law2\&#20844;&#27665;&#33287;&#25919;&#27835;&#27402;&#21033;&#22283;&#38555;&#20844;&#32004;.htm" TargetMode="External"/><Relationship Id="rId163" Type="http://schemas.openxmlformats.org/officeDocument/2006/relationships/hyperlink" Target="https://www.6laws.net/6law/law\&#20013;&#33775;&#27665;&#22283;&#25010;&#27861;&#22686;&#20462;&#26781;&#25991;.htm" TargetMode="External"/><Relationship Id="rId370" Type="http://schemas.openxmlformats.org/officeDocument/2006/relationships/hyperlink" Target="https://www.6laws.net/6law/law\&#22823;&#27861;&#23448;&#35299;&#37323;92-n&#24180;.htm" TargetMode="External"/><Relationship Id="rId2051" Type="http://schemas.openxmlformats.org/officeDocument/2006/relationships/hyperlink" Target="https://www.6laws.net/6law/law2\&#20844;&#27665;&#33287;&#25919;&#27835;&#27402;&#21033;&#22283;&#38555;&#20844;&#32004;.htm" TargetMode="External"/><Relationship Id="rId230" Type="http://schemas.openxmlformats.org/officeDocument/2006/relationships/hyperlink" Target="https://www.6laws.net/6law/law\&#22823;&#27861;&#23448;&#35299;&#37323;87-91&#24180;.htm" TargetMode="External"/><Relationship Id="rId2868" Type="http://schemas.openxmlformats.org/officeDocument/2006/relationships/hyperlink" Target="https://www.6laws.net/6law/law\&#25010;&#27861;.htm" TargetMode="External"/><Relationship Id="rId1677" Type="http://schemas.openxmlformats.org/officeDocument/2006/relationships/hyperlink" Target="https://www.6laws.net/6law/law\&#27602;&#21697;&#21361;&#23475;&#38450;&#21046;&#26781;&#20363;.htm" TargetMode="External"/><Relationship Id="rId1884" Type="http://schemas.openxmlformats.org/officeDocument/2006/relationships/hyperlink" Target="https://www.6laws.net/6law/law\&#22823;&#27861;&#23448;&#35299;&#37323;92-n&#24180;.htm" TargetMode="External"/><Relationship Id="rId2728" Type="http://schemas.openxmlformats.org/officeDocument/2006/relationships/hyperlink" Target="https://www.6laws.net/6law/law2\&#28040;&#38500;&#23565;&#23142;&#22899;&#19968;&#20999;&#24418;&#24335;&#27495;&#35222;&#20844;&#32004;.htm" TargetMode="External"/><Relationship Id="rId2935" Type="http://schemas.openxmlformats.org/officeDocument/2006/relationships/footer" Target="footer1.xml"/><Relationship Id="rId907" Type="http://schemas.openxmlformats.org/officeDocument/2006/relationships/hyperlink" Target="https://www.6laws.net/6law/law\&#22823;&#27861;&#23448;&#35299;&#37323;79-86&#24180;.htm" TargetMode="External"/><Relationship Id="rId1537" Type="http://schemas.openxmlformats.org/officeDocument/2006/relationships/hyperlink" Target="https://www.6laws.net/6law/law\&#20013;&#33775;&#27665;&#22283;&#25010;&#27861;&#22686;&#20462;&#26781;&#25991;.htm" TargetMode="External"/><Relationship Id="rId1744" Type="http://schemas.openxmlformats.org/officeDocument/2006/relationships/hyperlink" Target="https://www.6laws.net/6law/law\&#23601;&#26989;&#26381;&#21209;&#27861;.htm" TargetMode="External"/><Relationship Id="rId1951" Type="http://schemas.openxmlformats.org/officeDocument/2006/relationships/hyperlink" Target="https://www.6laws.net/6law/law\&#20837;&#20986;&#22283;&#21450;&#31227;&#27665;&#27861;.htm" TargetMode="External"/><Relationship Id="rId36" Type="http://schemas.openxmlformats.org/officeDocument/2006/relationships/hyperlink" Target="https://www.6laws.net/6law/law\&#25010;&#27861;.htm" TargetMode="External"/><Relationship Id="rId1604" Type="http://schemas.openxmlformats.org/officeDocument/2006/relationships/hyperlink" Target="http://get.aca.ntu.edu.tw/getcdb/handle/getcdb/308163" TargetMode="External"/><Relationship Id="rId1811" Type="http://schemas.openxmlformats.org/officeDocument/2006/relationships/hyperlink" Target="https://www.6laws.net/6law/law2\&#19990;&#30028;&#20154;&#27402;&#23459;&#35328;.htm" TargetMode="External"/><Relationship Id="rId697" Type="http://schemas.openxmlformats.org/officeDocument/2006/relationships/hyperlink" Target="https://www.6laws.net/6law/law\&#20013;&#33775;&#27665;&#22283;&#25010;&#27861;&#22686;&#20462;&#26781;&#25991;.htm" TargetMode="External"/><Relationship Id="rId2378" Type="http://schemas.openxmlformats.org/officeDocument/2006/relationships/hyperlink" Target="https://zh.wikipedia.org/wiki/&#20013;&#33775;&#27665;&#22283;&#25010;&#27861;" TargetMode="External"/><Relationship Id="rId1187" Type="http://schemas.openxmlformats.org/officeDocument/2006/relationships/hyperlink" Target="https://www.6laws.net/6law/law\&#22320;&#26041;&#21046;&#24230;&#27861;.htm" TargetMode="External"/><Relationship Id="rId2585" Type="http://schemas.openxmlformats.org/officeDocument/2006/relationships/hyperlink" Target="https://www.6laws.net/6law/law\&#38598;&#26371;&#36938;&#34892;&#27861;.htm" TargetMode="External"/><Relationship Id="rId2792" Type="http://schemas.openxmlformats.org/officeDocument/2006/relationships/image" Target="media/image55.jpeg"/><Relationship Id="rId557" Type="http://schemas.openxmlformats.org/officeDocument/2006/relationships/hyperlink" Target="https://www.6laws.net/6law/law\&#25010;&#27861;.htm" TargetMode="External"/><Relationship Id="rId764" Type="http://schemas.openxmlformats.org/officeDocument/2006/relationships/hyperlink" Target="https://www.6laws.net/6law/law\&#31435;&#27861;&#22996;&#21729;&#34892;&#28858;&#27861;.htm" TargetMode="External"/><Relationship Id="rId971" Type="http://schemas.openxmlformats.org/officeDocument/2006/relationships/hyperlink" Target="https://www.6laws.net/6law/law\&#25010;&#27861;.htm" TargetMode="External"/><Relationship Id="rId1394" Type="http://schemas.openxmlformats.org/officeDocument/2006/relationships/hyperlink" Target="https://www.6laws.net/6law/law\&#22823;&#27861;&#23448;&#35299;&#37323;61-78&#24180;.htm" TargetMode="External"/><Relationship Id="rId2238" Type="http://schemas.openxmlformats.org/officeDocument/2006/relationships/hyperlink" Target="https://www.6laws.net/6law/law\&#20154;&#21475;&#36009;&#36939;&#38450;&#21046;&#27861;.htm" TargetMode="External"/><Relationship Id="rId2445" Type="http://schemas.openxmlformats.org/officeDocument/2006/relationships/hyperlink" Target="https://www.6laws.net/6law/law2\&#19990;&#30028;&#20154;&#27402;&#23459;&#35328;.htm" TargetMode="External"/><Relationship Id="rId2652" Type="http://schemas.openxmlformats.org/officeDocument/2006/relationships/hyperlink" Target="https://www.6laws.net/6law/law\&#20778;&#29983;&#20445;&#20581;&#27861;.htm" TargetMode="External"/><Relationship Id="rId417" Type="http://schemas.openxmlformats.org/officeDocument/2006/relationships/hyperlink" Target="https://www.6laws.net/6law/law3\&#24037;&#26371;&#27861;&#26045;&#34892;&#32048;&#21063;.htm" TargetMode="External"/><Relationship Id="rId624" Type="http://schemas.openxmlformats.org/officeDocument/2006/relationships/hyperlink" Target="https://www.6laws.net/6law/law\&#25010;&#27861;.htm" TargetMode="External"/><Relationship Id="rId831" Type="http://schemas.openxmlformats.org/officeDocument/2006/relationships/hyperlink" Target="https://www.6laws.net/6law/law\&#25010;&#27861;.htm" TargetMode="External"/><Relationship Id="rId1047" Type="http://schemas.openxmlformats.org/officeDocument/2006/relationships/hyperlink" Target="https://www.6laws.net/6law/law\&#23529;&#35336;&#37096;&#32068;&#32340;&#27861;.htm" TargetMode="External"/><Relationship Id="rId1254" Type="http://schemas.openxmlformats.org/officeDocument/2006/relationships/hyperlink" Target="https://www.6laws.net/6law/law\&#36001;&#25919;&#25910;&#25903;&#21123;&#20998;&#27861;.htm" TargetMode="External"/><Relationship Id="rId1461" Type="http://schemas.openxmlformats.org/officeDocument/2006/relationships/hyperlink" Target="https://www.6laws.net/6law/law\&#20013;&#33775;&#27665;&#22283;&#25010;&#27861;&#22686;&#20462;&#26781;&#25991;.htm" TargetMode="External"/><Relationship Id="rId2305" Type="http://schemas.openxmlformats.org/officeDocument/2006/relationships/hyperlink" Target="https://www.6laws.net/6law/law-gb\&#21453;&#20998;&#35010;&#22283;&#23478;&#27861;.htm" TargetMode="External"/><Relationship Id="rId2512" Type="http://schemas.openxmlformats.org/officeDocument/2006/relationships/hyperlink" Target="https://www.6laws.net/6law/law\&#22823;&#27861;&#23448;&#35299;&#37323;79-86&#24180;.htm" TargetMode="External"/><Relationship Id="rId1114" Type="http://schemas.openxmlformats.org/officeDocument/2006/relationships/hyperlink" Target="https://www.6laws.net/6law/law\&#22320;&#26041;&#21046;&#24230;&#27861;.htm" TargetMode="External"/><Relationship Id="rId1321" Type="http://schemas.openxmlformats.org/officeDocument/2006/relationships/hyperlink" Target="https://www.6laws.net/6law/law\&#25010;&#27861;.htm" TargetMode="External"/><Relationship Id="rId2095" Type="http://schemas.openxmlformats.org/officeDocument/2006/relationships/hyperlink" Target="https://www.6laws.net/6law/law2\&#20844;&#27665;&#33287;&#25919;&#27835;&#27402;&#21033;&#22283;&#38555;&#20844;&#32004;.htm" TargetMode="External"/><Relationship Id="rId274" Type="http://schemas.openxmlformats.org/officeDocument/2006/relationships/hyperlink" Target="https://www.6laws.net/6law/law\&#22823;&#27861;&#23448;&#35299;&#37323;87-91&#24180;.htm" TargetMode="External"/><Relationship Id="rId481" Type="http://schemas.openxmlformats.org/officeDocument/2006/relationships/hyperlink" Target="https://www.6laws.net/6law/law\&#25010;&#27861;.htm" TargetMode="External"/><Relationship Id="rId2162" Type="http://schemas.openxmlformats.org/officeDocument/2006/relationships/hyperlink" Target="https://www.6laws.net/6law/law\&#20837;&#20986;&#22283;&#21450;&#31227;&#27665;&#27861;.htm" TargetMode="External"/><Relationship Id="rId134" Type="http://schemas.openxmlformats.org/officeDocument/2006/relationships/hyperlink" Target="https://www.6laws.net/6law/law\&#25010;&#27861;.htm" TargetMode="External"/><Relationship Id="rId341" Type="http://schemas.openxmlformats.org/officeDocument/2006/relationships/hyperlink" Target="https://www.6laws.net/6law/law\&#20853;&#24441;&#27861;.htm" TargetMode="External"/><Relationship Id="rId2022" Type="http://schemas.openxmlformats.org/officeDocument/2006/relationships/hyperlink" Target="https://www.6laws.net/6law/law\&#20837;&#20986;&#22283;&#21450;&#31227;&#27665;&#27861;.htm" TargetMode="External"/><Relationship Id="rId201" Type="http://schemas.openxmlformats.org/officeDocument/2006/relationships/hyperlink" Target="https://www.6laws.net/6law/law\&#38520;&#28023;&#31354;&#36557;&#21009;&#27861;.htm" TargetMode="External"/><Relationship Id="rId1788" Type="http://schemas.openxmlformats.org/officeDocument/2006/relationships/hyperlink" Target="https://www.6laws.net/6law/law\&#27665;&#27861;.htm" TargetMode="External"/><Relationship Id="rId1995" Type="http://schemas.openxmlformats.org/officeDocument/2006/relationships/hyperlink" Target="https://www.6laws.net/6law/law\&#25010;&#27861;.htm" TargetMode="External"/><Relationship Id="rId2839" Type="http://schemas.openxmlformats.org/officeDocument/2006/relationships/hyperlink" Target="https://www.6laws.net/6law/law\&#25010;&#27861;.htm" TargetMode="External"/><Relationship Id="rId1648" Type="http://schemas.openxmlformats.org/officeDocument/2006/relationships/hyperlink" Target="https://www.6laws.net/6law/law\&#25121;&#20098;&#26178;&#26399;&#32901;&#28165;&#29017;&#27602;&#26781;&#20363;.htm" TargetMode="External"/><Relationship Id="rId1508" Type="http://schemas.openxmlformats.org/officeDocument/2006/relationships/hyperlink" Target="https://www.6laws.net/6law/law\&#25010;&#27861;.htm" TargetMode="External"/><Relationship Id="rId1855" Type="http://schemas.openxmlformats.org/officeDocument/2006/relationships/hyperlink" Target="https://www.6laws.net/6law/law2\&#20445;&#35703;&#25152;&#26377;&#31227;&#24473;&#24037;&#20154;&#21450;&#20854;&#23478;&#24237;&#25104;&#21729;&#27402;&#21033;&#22283;&#38555;&#20844;&#32004;.htm" TargetMode="External"/><Relationship Id="rId2906" Type="http://schemas.openxmlformats.org/officeDocument/2006/relationships/hyperlink" Target="http://www.immigration.gov.tw/ct.asp?xItem=1241011&amp;ctNode=34815&amp;mp=mobmp1" TargetMode="External"/><Relationship Id="rId1715" Type="http://schemas.openxmlformats.org/officeDocument/2006/relationships/hyperlink" Target="https://www.6laws.net/6law/law\&#21009;&#27861;.htm" TargetMode="External"/><Relationship Id="rId1922" Type="http://schemas.openxmlformats.org/officeDocument/2006/relationships/hyperlink" Target="https://www.6laws.net/6law/law2\&#20445;&#35703;&#25152;&#26377;&#31227;&#24473;&#24037;&#20154;&#21450;&#20854;&#23478;&#24237;&#25104;&#21729;&#27402;&#21033;&#22283;&#38555;&#20844;&#32004;.htm" TargetMode="External"/><Relationship Id="rId2489" Type="http://schemas.openxmlformats.org/officeDocument/2006/relationships/hyperlink" Target="https://www.6laws.net/6law/law2\&#20844;&#27665;&#33287;&#25919;&#27835;&#27402;&#21033;&#22283;&#38555;&#20844;&#32004;.htm" TargetMode="External"/><Relationship Id="rId2696" Type="http://schemas.openxmlformats.org/officeDocument/2006/relationships/hyperlink" Target="https://www.6laws.net/6law/law\&#20837;&#20986;&#22283;&#21450;&#31227;&#27665;&#27861;.htm" TargetMode="External"/><Relationship Id="rId668" Type="http://schemas.openxmlformats.org/officeDocument/2006/relationships/hyperlink" Target="https://www.6laws.net/6law/law\&#22823;&#27861;&#23448;&#35299;&#37323;38-60&#24180;.htm" TargetMode="External"/><Relationship Id="rId875" Type="http://schemas.openxmlformats.org/officeDocument/2006/relationships/hyperlink" Target="https://www.6laws.net/6law/law\&#25010;&#27861;.htm" TargetMode="External"/><Relationship Id="rId1298" Type="http://schemas.openxmlformats.org/officeDocument/2006/relationships/hyperlink" Target="https://www.6laws.net/6law/law\&#29518;&#21237;&#25237;&#36039;&#26781;&#20363;.htm" TargetMode="External"/><Relationship Id="rId2349" Type="http://schemas.openxmlformats.org/officeDocument/2006/relationships/hyperlink" Target="https://www.6laws.net/6law/law\&#25010;&#27861;.htm" TargetMode="External"/><Relationship Id="rId2556" Type="http://schemas.openxmlformats.org/officeDocument/2006/relationships/hyperlink" Target="https://www.6laws.net/6law/law-book\&#34277;&#24107;&#26412;&#39000;&#32147;.htm" TargetMode="External"/><Relationship Id="rId2763" Type="http://schemas.openxmlformats.org/officeDocument/2006/relationships/hyperlink" Target="https://www.6laws.net/6law/law2\&#20818;&#31461;&#27402;&#21033;&#20844;&#32004;.htm" TargetMode="External"/><Relationship Id="rId528" Type="http://schemas.openxmlformats.org/officeDocument/2006/relationships/hyperlink" Target="https://www.6laws.net/6law/law\&#25010;&#27861;.htm" TargetMode="External"/><Relationship Id="rId735" Type="http://schemas.openxmlformats.org/officeDocument/2006/relationships/hyperlink" Target="https://www.6laws.net/6law/law\&#25010;&#27861;.htm" TargetMode="External"/><Relationship Id="rId942" Type="http://schemas.openxmlformats.org/officeDocument/2006/relationships/hyperlink" Target="https://www.6laws.net/6law/law\&#30435;&#23519;&#27861;.htm" TargetMode="External"/><Relationship Id="rId1158" Type="http://schemas.openxmlformats.org/officeDocument/2006/relationships/hyperlink" Target="https://www.6laws.net/6law/law\&#25010;&#27861;.htm" TargetMode="External"/><Relationship Id="rId1365" Type="http://schemas.openxmlformats.org/officeDocument/2006/relationships/hyperlink" Target="https://www.6laws.net/6law/law\&#25010;&#27861;.htm" TargetMode="External"/><Relationship Id="rId1572" Type="http://schemas.openxmlformats.org/officeDocument/2006/relationships/hyperlink" Target="aw\&#20013;&#33775;&#27665;&#22283;&#25010;&#27861;&#22686;&#20462;&#26781;&#25991;.htm" TargetMode="External"/><Relationship Id="rId2209" Type="http://schemas.openxmlformats.org/officeDocument/2006/relationships/hyperlink" Target="https://www.6laws.net/6law/law\&#20154;&#21475;&#36009;&#36939;&#38450;&#21046;&#27861;.htm" TargetMode="External"/><Relationship Id="rId2416" Type="http://schemas.openxmlformats.org/officeDocument/2006/relationships/hyperlink" Target="https://www.6laws.net/6law/law\&#25010;&#27861;.htm" TargetMode="External"/><Relationship Id="rId2623" Type="http://schemas.openxmlformats.org/officeDocument/2006/relationships/image" Target="media/image46.jpeg"/><Relationship Id="rId1018" Type="http://schemas.openxmlformats.org/officeDocument/2006/relationships/hyperlink" Target="https://www.6laws.net/6law/law\&#25010;&#27861;.htm" TargetMode="External"/><Relationship Id="rId1225" Type="http://schemas.openxmlformats.org/officeDocument/2006/relationships/hyperlink" Target="https://www.6laws.net/6law/law3\&#38520;&#28023;&#31354;&#36557;&#36557;&#23448;&#22763;&#23448;&#26381;&#24441;&#26781;&#20363;&#26045;&#34892;&#32048;&#21063;.htm" TargetMode="External"/><Relationship Id="rId1432" Type="http://schemas.openxmlformats.org/officeDocument/2006/relationships/hyperlink" Target="https://www.6laws.net/6law/law\&#25010;&#27861;.htm" TargetMode="External"/><Relationship Id="rId2830" Type="http://schemas.openxmlformats.org/officeDocument/2006/relationships/hyperlink" Target="https://www.6laws.net/6law/law\&#36001;&#25919;&#25910;&#25903;&#21123;&#20998;&#27861;.htm" TargetMode="External"/><Relationship Id="rId71" Type="http://schemas.openxmlformats.org/officeDocument/2006/relationships/hyperlink" Target="https://www.6laws.net/6law/law\&#25010;&#27861;.htm" TargetMode="External"/><Relationship Id="rId802" Type="http://schemas.openxmlformats.org/officeDocument/2006/relationships/hyperlink" Target="https://www.6laws.net/6law/law\&#25010;&#27861;.htm" TargetMode="External"/><Relationship Id="rId178" Type="http://schemas.openxmlformats.org/officeDocument/2006/relationships/hyperlink" Target="https://www.6laws.net/6law/law\&#25010;&#27861;.htm" TargetMode="External"/><Relationship Id="rId385" Type="http://schemas.openxmlformats.org/officeDocument/2006/relationships/hyperlink" Target="https://www.6laws.net/6law/law\&#22823;&#27861;&#23448;&#35299;&#37323;92-n&#24180;.htm" TargetMode="External"/><Relationship Id="rId592" Type="http://schemas.openxmlformats.org/officeDocument/2006/relationships/hyperlink" Target="https://www.6laws.net/6law/law\&#20013;&#33775;&#27665;&#22283;&#25010;&#27861;&#22686;&#20462;&#26781;&#25991;.htm" TargetMode="External"/><Relationship Id="rId2066" Type="http://schemas.openxmlformats.org/officeDocument/2006/relationships/hyperlink" Target="https://www.6laws.net/6law/law2\&#20844;&#27665;&#33287;&#25919;&#27835;&#27402;&#21033;&#22283;&#38555;&#20844;&#32004;.htm" TargetMode="External"/><Relationship Id="rId2273" Type="http://schemas.openxmlformats.org/officeDocument/2006/relationships/hyperlink" Target="https://www.6laws.net/6law/law-gb\&#21453;&#20998;&#35010;&#22283;&#23478;&#27861;.htm" TargetMode="External"/><Relationship Id="rId2480" Type="http://schemas.openxmlformats.org/officeDocument/2006/relationships/hyperlink" Target="https://www.6laws.net/6law/law2\&#20844;&#27665;&#33287;&#25919;&#27835;&#27402;&#21033;&#22283;&#38555;&#20844;&#32004;.htm" TargetMode="External"/><Relationship Id="rId245" Type="http://schemas.openxmlformats.org/officeDocument/2006/relationships/hyperlink" Target="https://www.6laws.net/6law/law\&#36890;&#35338;&#20445;&#38556;&#21450;&#30435;&#23519;&#27861;.htm" TargetMode="External"/><Relationship Id="rId452" Type="http://schemas.openxmlformats.org/officeDocument/2006/relationships/hyperlink" Target="https://www.6laws.net/6law/law\&#20013;&#33775;&#27665;&#22283;&#25010;&#27861;&#22686;&#20462;&#26781;&#25991;.htm" TargetMode="External"/><Relationship Id="rId1082" Type="http://schemas.openxmlformats.org/officeDocument/2006/relationships/hyperlink" Target="https://www.6laws.net/6law/law\&#22823;&#27861;&#23448;&#35299;&#37323;87-91&#24180;.htm" TargetMode="External"/><Relationship Id="rId2133" Type="http://schemas.openxmlformats.org/officeDocument/2006/relationships/hyperlink" Target="https://www.6laws.net/6law/law2\&#19990;&#30028;&#20154;&#27402;&#23459;&#35328;.htm" TargetMode="External"/><Relationship Id="rId2340" Type="http://schemas.openxmlformats.org/officeDocument/2006/relationships/hyperlink" Target="https://www.6laws.net/6law/law\&#25010;&#27861;.htm" TargetMode="External"/><Relationship Id="rId105" Type="http://schemas.openxmlformats.org/officeDocument/2006/relationships/hyperlink" Target="https://www.6laws.net/6law/law\&#22823;&#27861;&#23448;&#35299;&#37323;92-n&#24180;.htm" TargetMode="External"/><Relationship Id="rId312" Type="http://schemas.openxmlformats.org/officeDocument/2006/relationships/hyperlink" Target="https://www.6laws.net/6law/law\&#25010;&#27861;.htm" TargetMode="External"/><Relationship Id="rId2200" Type="http://schemas.openxmlformats.org/officeDocument/2006/relationships/hyperlink" Target="https://www.6laws.net/6law/law\&#20844;&#27665;&#33287;&#25919;&#27835;&#27402;&#21033;&#22283;&#38555;&#20844;&#32004;&#21450;&#32147;&#28639;&#31038;&#26371;&#25991;&#21270;&#27402;&#21033;&#22283;&#38555;&#20844;&#32004;&#26045;&#34892;&#27861;.htm" TargetMode="External"/><Relationship Id="rId1899" Type="http://schemas.openxmlformats.org/officeDocument/2006/relationships/hyperlink" Target="https://www.6laws.net/6law/law2\&#26377;&#38364;&#38627;&#27665;&#22320;&#20301;&#20844;&#32004;.htm" TargetMode="External"/><Relationship Id="rId1759" Type="http://schemas.openxmlformats.org/officeDocument/2006/relationships/hyperlink" Target="https://www.6laws.net/6law/law\&#21214;&#21205;&#22522;&#28310;&#27861;.htm" TargetMode="External"/><Relationship Id="rId1966" Type="http://schemas.openxmlformats.org/officeDocument/2006/relationships/hyperlink" Target="https://www.6laws.net/6law/law2\&#20844;&#27665;&#33287;&#25919;&#27835;&#27402;&#21033;&#22283;&#38555;&#20844;&#32004;.htm" TargetMode="External"/><Relationship Id="rId1619" Type="http://schemas.openxmlformats.org/officeDocument/2006/relationships/hyperlink" Target="https://www.6laws.net/6law/law\&#32901;&#28165;&#29017;&#27602;&#26781;&#20363;.htm" TargetMode="External"/><Relationship Id="rId1826" Type="http://schemas.openxmlformats.org/officeDocument/2006/relationships/hyperlink" Target="https://www.6laws.net/6law/law2\&#20818;&#31461;&#27402;&#21033;&#20844;&#32004;.htm" TargetMode="External"/><Relationship Id="rId779" Type="http://schemas.openxmlformats.org/officeDocument/2006/relationships/hyperlink" Target="https://www.6laws.net/6law/law\&#22823;&#27861;&#23448;&#35299;&#37323;79-86&#24180;.htm" TargetMode="External"/><Relationship Id="rId986" Type="http://schemas.openxmlformats.org/officeDocument/2006/relationships/hyperlink" Target="https://www.6laws.net/6law/law\&#25010;&#27861;.htm" TargetMode="External"/><Relationship Id="rId2667" Type="http://schemas.openxmlformats.org/officeDocument/2006/relationships/hyperlink" Target="https://www.6laws.net/6law/law\&#20778;&#29983;&#20445;&#20581;&#27861;.htm" TargetMode="External"/><Relationship Id="rId639" Type="http://schemas.openxmlformats.org/officeDocument/2006/relationships/hyperlink" Target="https://www.6laws.net/6law/law\&#20013;&#33775;&#27665;&#22283;&#25010;&#27861;&#22686;&#20462;&#26781;&#25991;.htm" TargetMode="External"/><Relationship Id="rId1269" Type="http://schemas.openxmlformats.org/officeDocument/2006/relationships/hyperlink" Target="https://www.6laws.net/6law/law\&#26399;&#36008;&#20132;&#26131;&#27861;.htm" TargetMode="External"/><Relationship Id="rId1476" Type="http://schemas.openxmlformats.org/officeDocument/2006/relationships/hyperlink" Target="https://www.6laws.net/6law/law\&#20013;&#33775;&#27665;&#22283;&#25010;&#27861;&#22686;&#20462;&#26781;&#25991;.htm" TargetMode="External"/><Relationship Id="rId2874" Type="http://schemas.openxmlformats.org/officeDocument/2006/relationships/hyperlink" Target="http://washingtonindependent.com/95926/ice-halts-some-deportation-proceedings" TargetMode="External"/><Relationship Id="rId846" Type="http://schemas.openxmlformats.org/officeDocument/2006/relationships/hyperlink" Target="https://www.6laws.net/6law/law\&#25010;&#27861;.htm" TargetMode="External"/><Relationship Id="rId1129" Type="http://schemas.openxmlformats.org/officeDocument/2006/relationships/hyperlink" Target="https://www.6laws.net/6law/law\&#25010;&#27861;.htm" TargetMode="External"/><Relationship Id="rId1683" Type="http://schemas.openxmlformats.org/officeDocument/2006/relationships/hyperlink" Target="https://www.6laws.net/6law/law\&#27602;&#21697;&#21361;&#23475;&#38450;&#21046;&#26781;&#20363;.htm" TargetMode="External"/><Relationship Id="rId1890" Type="http://schemas.openxmlformats.org/officeDocument/2006/relationships/hyperlink" Target="https://www.6laws.net/6law/law2\&#20844;&#27665;&#33287;&#25919;&#27835;&#27402;&#21033;&#22283;&#38555;&#20844;&#32004;.htm" TargetMode="External"/><Relationship Id="rId2527" Type="http://schemas.openxmlformats.org/officeDocument/2006/relationships/hyperlink" Target="https://www.6laws.net/6law/law\&#22823;&#27861;&#23448;&#35299;&#37323;87-91&#24180;.htm" TargetMode="External"/><Relationship Id="rId2734" Type="http://schemas.openxmlformats.org/officeDocument/2006/relationships/hyperlink" Target="https://www.6laws.net/6law/law2\&#28040;&#38500;&#23565;&#23142;&#22899;&#19968;&#20999;&#24418;&#24335;&#27495;&#35222;&#20844;&#32004;.htm" TargetMode="External"/><Relationship Id="rId706" Type="http://schemas.openxmlformats.org/officeDocument/2006/relationships/hyperlink" Target="https://www.6laws.net/6law/law\&#31435;&#27861;&#38498;&#32887;&#27402;&#34892;&#20351;&#27861;.htm" TargetMode="External"/><Relationship Id="rId913" Type="http://schemas.openxmlformats.org/officeDocument/2006/relationships/hyperlink" Target="https://www.6laws.net/6law/law\&#25010;&#27861;.htm" TargetMode="External"/><Relationship Id="rId1336" Type="http://schemas.openxmlformats.org/officeDocument/2006/relationships/hyperlink" Target="https://www.6laws.net/6law/law\&#25010;&#27861;.htm" TargetMode="External"/><Relationship Id="rId1543" Type="http://schemas.openxmlformats.org/officeDocument/2006/relationships/hyperlink" Target="https://www.6laws.net/6law/law\&#20013;&#33775;&#27665;&#22283;&#25010;&#27861;&#22686;&#20462;&#26781;&#25991;.htm" TargetMode="External"/><Relationship Id="rId1750" Type="http://schemas.openxmlformats.org/officeDocument/2006/relationships/hyperlink" Target="https://www.6laws.net/6law/law\&#21214;&#21205;&#22522;&#28310;&#27861;.htm" TargetMode="External"/><Relationship Id="rId2801" Type="http://schemas.openxmlformats.org/officeDocument/2006/relationships/image" Target="media/image58.jpeg"/><Relationship Id="rId42" Type="http://schemas.openxmlformats.org/officeDocument/2006/relationships/hyperlink" Target="https://www.6laws.net/6law/law\&#25010;&#27861;.htm" TargetMode="External"/><Relationship Id="rId1403" Type="http://schemas.openxmlformats.org/officeDocument/2006/relationships/hyperlink" Target="https://www.6laws.net/6law/law\&#25010;&#27861;.htm" TargetMode="External"/><Relationship Id="rId1610" Type="http://schemas.openxmlformats.org/officeDocument/2006/relationships/hyperlink" Target="https://www.6laws.net/6law/law\&#25010;&#27861;.htm" TargetMode="External"/><Relationship Id="rId289" Type="http://schemas.openxmlformats.org/officeDocument/2006/relationships/hyperlink" Target="https://www.6laws.net/6law/law\&#22823;&#27861;&#23448;&#35299;&#37323;79-86&#24180;.htm" TargetMode="External"/><Relationship Id="rId496" Type="http://schemas.openxmlformats.org/officeDocument/2006/relationships/hyperlink" Target="https://www.6laws.net/6law/law\&#25010;&#27861;.htm" TargetMode="External"/><Relationship Id="rId2177" Type="http://schemas.openxmlformats.org/officeDocument/2006/relationships/hyperlink" Target="https://www.6laws.net/6law/law\&#25010;&#27861;.htm" TargetMode="External"/><Relationship Id="rId2384" Type="http://schemas.openxmlformats.org/officeDocument/2006/relationships/hyperlink" Target="http://henmi42.cocolog-nifty.com/yijianyeye/" TargetMode="External"/><Relationship Id="rId2591" Type="http://schemas.openxmlformats.org/officeDocument/2006/relationships/hyperlink" Target="https://www.6laws.net/6law/law\&#38598;&#26371;&#36938;&#34892;&#27861;.htm" TargetMode="External"/><Relationship Id="rId149" Type="http://schemas.openxmlformats.org/officeDocument/2006/relationships/hyperlink" Target="https://www.6laws.net/6law/law\&#25010;&#27861;.htm" TargetMode="External"/><Relationship Id="rId356" Type="http://schemas.openxmlformats.org/officeDocument/2006/relationships/hyperlink" Target="https://www.6laws.net/6law/law\&#25010;&#27861;.htm" TargetMode="External"/><Relationship Id="rId563" Type="http://schemas.openxmlformats.org/officeDocument/2006/relationships/hyperlink" Target="https://www.6laws.net/6law/law\&#25010;&#27861;.htm" TargetMode="External"/><Relationship Id="rId770" Type="http://schemas.openxmlformats.org/officeDocument/2006/relationships/hyperlink" Target="https://www.6laws.net/6law/law\&#25010;&#27861;.htm" TargetMode="External"/><Relationship Id="rId1193" Type="http://schemas.openxmlformats.org/officeDocument/2006/relationships/hyperlink" Target="https://www.6laws.net/6law/law\&#25010;&#27861;.htm" TargetMode="External"/><Relationship Id="rId2037" Type="http://schemas.openxmlformats.org/officeDocument/2006/relationships/hyperlink" Target="https://www.6laws.net/6law/law2\&#20844;&#27665;&#33287;&#25919;&#27835;&#27402;&#21033;&#22283;&#38555;&#20844;&#32004;.htm" TargetMode="External"/><Relationship Id="rId2244" Type="http://schemas.openxmlformats.org/officeDocument/2006/relationships/hyperlink" Target="https://www.6laws.net/6law/law\&#21009;&#27861;.htm" TargetMode="External"/><Relationship Id="rId2451" Type="http://schemas.openxmlformats.org/officeDocument/2006/relationships/hyperlink" Target="https://www.6laws.net/6law/law2\&#19990;&#30028;&#20154;&#27402;&#23459;&#35328;.htm" TargetMode="External"/><Relationship Id="rId216" Type="http://schemas.openxmlformats.org/officeDocument/2006/relationships/hyperlink" Target="https://www.6laws.net/6law/law\&#25010;&#27861;.htm" TargetMode="External"/><Relationship Id="rId423" Type="http://schemas.openxmlformats.org/officeDocument/2006/relationships/hyperlink" Target="https://www.6laws.net/6law/law\&#21009;&#27861;.htm" TargetMode="External"/><Relationship Id="rId1053" Type="http://schemas.openxmlformats.org/officeDocument/2006/relationships/hyperlink" Target="https://www.6laws.net/6law/law\&#25010;&#27861;.htm" TargetMode="External"/><Relationship Id="rId1260" Type="http://schemas.openxmlformats.org/officeDocument/2006/relationships/hyperlink" Target="https://www.6laws.net/6law/law\&#37329;&#34701;&#25511;&#32929;&#20844;&#21496;&#27861;.htm" TargetMode="External"/><Relationship Id="rId2104" Type="http://schemas.openxmlformats.org/officeDocument/2006/relationships/hyperlink" Target="https://www.6laws.net/6law/law2\&#20844;&#27665;&#33287;&#25919;&#27835;&#27402;&#21033;&#22283;&#38555;&#20844;&#32004;.htm" TargetMode="External"/><Relationship Id="rId630" Type="http://schemas.openxmlformats.org/officeDocument/2006/relationships/hyperlink" Target="https://www.6laws.net/6law/law\&#25010;&#27861;.htm" TargetMode="External"/><Relationship Id="rId2311" Type="http://schemas.openxmlformats.org/officeDocument/2006/relationships/hyperlink" Target="https://www.6laws.net/6law/law-gb\&#21453;&#20998;&#35010;&#22283;&#23478;&#27861;.htm" TargetMode="External"/><Relationship Id="rId1120" Type="http://schemas.openxmlformats.org/officeDocument/2006/relationships/hyperlink" Target="https://www.6laws.net/6law/law\&#25010;&#27861;.htm" TargetMode="External"/><Relationship Id="rId1937" Type="http://schemas.openxmlformats.org/officeDocument/2006/relationships/hyperlink" Target="https://www.6laws.net/6law/law\&#22823;&#27861;&#23448;&#35299;&#37323;79-86&#24180;.htm" TargetMode="External"/><Relationship Id="rId280" Type="http://schemas.openxmlformats.org/officeDocument/2006/relationships/hyperlink" Target="https://www.6laws.net/6law/law\&#22823;&#27861;&#23448;&#35299;&#37323;92-n&#24180;.htm" TargetMode="External"/><Relationship Id="rId140" Type="http://schemas.openxmlformats.org/officeDocument/2006/relationships/hyperlink" Target="https://www.6laws.net/6law/law\&#21009;&#20107;&#35380;&#35359;&#27861;.htm" TargetMode="External"/><Relationship Id="rId6" Type="http://schemas.openxmlformats.org/officeDocument/2006/relationships/footnotes" Target="footnotes.xml"/><Relationship Id="rId2778" Type="http://schemas.openxmlformats.org/officeDocument/2006/relationships/hyperlink" Target="https://www.6laws.net/6law/law2\&#20818;&#31461;&#27402;&#21033;&#20844;&#32004;.htm" TargetMode="External"/><Relationship Id="rId957" Type="http://schemas.openxmlformats.org/officeDocument/2006/relationships/hyperlink" Target="https://www.6laws.net/6law/law\&#30435;&#23519;&#27861;.htm" TargetMode="External"/><Relationship Id="rId1587" Type="http://schemas.openxmlformats.org/officeDocument/2006/relationships/hyperlink" Target="https://www.6laws.net/6law/law\&#20013;&#33775;&#27665;&#22283;&#25010;&#27861;&#22686;&#20462;&#26781;&#25991;.htm" TargetMode="External"/><Relationship Id="rId1794" Type="http://schemas.openxmlformats.org/officeDocument/2006/relationships/hyperlink" Target="https://www.6laws.net/6law/law\&#21214;&#21205;&#22522;&#28310;&#27861;.htm" TargetMode="External"/><Relationship Id="rId2638" Type="http://schemas.openxmlformats.org/officeDocument/2006/relationships/hyperlink" Target="http://www.xuefo.net/nr/article14/142380.html" TargetMode="External"/><Relationship Id="rId2845" Type="http://schemas.openxmlformats.org/officeDocument/2006/relationships/hyperlink" Target="http://en.wikipedia.org/wiki/Yamam" TargetMode="External"/><Relationship Id="rId86" Type="http://schemas.openxmlformats.org/officeDocument/2006/relationships/hyperlink" Target="https://www.6laws.net/6law/law2\&#20844;&#27665;&#33287;&#25919;&#27835;&#27402;&#21033;&#22283;&#38555;&#20844;&#32004;.htm" TargetMode="External"/><Relationship Id="rId817" Type="http://schemas.openxmlformats.org/officeDocument/2006/relationships/hyperlink" Target="https://www.6laws.net/6law/law\&#31435;&#27861;&#38498;&#32887;&#27402;&#34892;&#20351;&#27861;.htm" TargetMode="External"/><Relationship Id="rId1447" Type="http://schemas.openxmlformats.org/officeDocument/2006/relationships/image" Target="media/image22.jpeg"/><Relationship Id="rId1654" Type="http://schemas.openxmlformats.org/officeDocument/2006/relationships/hyperlink" Target="https://www.6laws.net/6law/law\&#21009;&#27861;.htm" TargetMode="External"/><Relationship Id="rId1861" Type="http://schemas.openxmlformats.org/officeDocument/2006/relationships/hyperlink" Target="https://www.6laws.net/6law/law2\&#19990;&#30028;&#20154;&#27402;&#23459;&#35328;.htm" TargetMode="External"/><Relationship Id="rId2705" Type="http://schemas.openxmlformats.org/officeDocument/2006/relationships/hyperlink" Target="https://www.6laws.net/6law/law\&#25010;&#27861;.htm" TargetMode="External"/><Relationship Id="rId2912" Type="http://schemas.openxmlformats.org/officeDocument/2006/relationships/hyperlink" Target="http://www.chilicity.com/cgi-bin/bigate.cgi/b/x/g/http@www.chilicity.com/publishhtml/5/2006-05-26/20060526054336.html" TargetMode="External"/><Relationship Id="rId1307" Type="http://schemas.openxmlformats.org/officeDocument/2006/relationships/hyperlink" Target="https://www.6laws.net/6law/law\&#29518;&#21237;&#25237;&#36039;&#26781;&#20363;.htm" TargetMode="External"/><Relationship Id="rId1514" Type="http://schemas.openxmlformats.org/officeDocument/2006/relationships/hyperlink" Target="https://www.6laws.net/6law/law\&#20013;&#33775;&#27665;&#22283;&#25010;&#27861;&#22686;&#20462;&#26781;&#25991;.htm" TargetMode="External"/><Relationship Id="rId1721" Type="http://schemas.openxmlformats.org/officeDocument/2006/relationships/hyperlink" Target="https://www.6laws.net/6law/law\&#27602;&#21697;&#21361;&#23475;&#38450;&#21046;&#26781;&#20363;.htm" TargetMode="External"/><Relationship Id="rId13" Type="http://schemas.openxmlformats.org/officeDocument/2006/relationships/image" Target="media/image4.jpeg"/><Relationship Id="rId2288" Type="http://schemas.openxmlformats.org/officeDocument/2006/relationships/hyperlink" Target="https://www.6laws.net/6law/law-gb\&#21453;&#20998;&#35010;&#22283;&#23478;&#27861;.htm" TargetMode="External"/><Relationship Id="rId2495" Type="http://schemas.openxmlformats.org/officeDocument/2006/relationships/hyperlink" Target="https://www.6laws.net/6law/law2\&#20844;&#27665;&#33287;&#25919;&#27835;&#27402;&#21033;&#22283;&#38555;&#20844;&#32004;.htm" TargetMode="External"/><Relationship Id="rId467" Type="http://schemas.openxmlformats.org/officeDocument/2006/relationships/image" Target="media/image18.jpeg"/><Relationship Id="rId1097" Type="http://schemas.openxmlformats.org/officeDocument/2006/relationships/hyperlink" Target="https://www.6laws.net/6law/law\&#22320;&#26041;&#21046;&#24230;&#27861;.htm" TargetMode="External"/><Relationship Id="rId2148" Type="http://schemas.openxmlformats.org/officeDocument/2006/relationships/hyperlink" Target="https://www.6laws.net/6law/law\&#20837;&#20986;&#22283;&#21450;&#31227;&#27665;&#27861;.htm" TargetMode="External"/><Relationship Id="rId674" Type="http://schemas.openxmlformats.org/officeDocument/2006/relationships/hyperlink" Target="https://www.6laws.net/6law/law\&#31435;&#27861;&#38498;&#32887;&#27402;&#34892;&#20351;&#27861;.htm" TargetMode="External"/><Relationship Id="rId881" Type="http://schemas.openxmlformats.org/officeDocument/2006/relationships/hyperlink" Target="https://www.6laws.net/6law/law\&#31435;&#27861;&#38498;&#32887;&#27402;&#34892;&#20351;&#27861;.htm" TargetMode="External"/><Relationship Id="rId2355" Type="http://schemas.openxmlformats.org/officeDocument/2006/relationships/hyperlink" Target="https://www.6laws.net/6law/law\&#25010;&#27861;.htm" TargetMode="External"/><Relationship Id="rId2562" Type="http://schemas.openxmlformats.org/officeDocument/2006/relationships/hyperlink" Target="https://www.6laws.net/6law/law\&#20154;&#24037;&#29983;&#27542;&#27861;.htm" TargetMode="External"/><Relationship Id="rId327" Type="http://schemas.openxmlformats.org/officeDocument/2006/relationships/hyperlink" Target="https://www.6laws.net/6law/law\&#25010;&#27861;.htm" TargetMode="External"/><Relationship Id="rId534" Type="http://schemas.openxmlformats.org/officeDocument/2006/relationships/hyperlink" Target="https://www.6laws.net/6law/law\&#36198;&#20813;&#27861;.htm" TargetMode="External"/><Relationship Id="rId741" Type="http://schemas.openxmlformats.org/officeDocument/2006/relationships/hyperlink" Target="https://www.6laws.net/6law/law\&#22823;&#27861;&#23448;&#35299;&#37323;92-n&#24180;.htm" TargetMode="External"/><Relationship Id="rId1164" Type="http://schemas.openxmlformats.org/officeDocument/2006/relationships/hyperlink" Target="https://www.6laws.net/6law/law\&#22320;&#26041;&#21046;&#24230;&#27861;.htm" TargetMode="External"/><Relationship Id="rId1371" Type="http://schemas.openxmlformats.org/officeDocument/2006/relationships/hyperlink" Target="https://www.6laws.net/6law/law\&#22823;&#23416;&#27861;.htm" TargetMode="External"/><Relationship Id="rId2008" Type="http://schemas.openxmlformats.org/officeDocument/2006/relationships/hyperlink" Target="https://www.6laws.net/6law/law\&#25010;&#27861;.htm" TargetMode="External"/><Relationship Id="rId2215" Type="http://schemas.openxmlformats.org/officeDocument/2006/relationships/hyperlink" Target="http://www.state.gov/documents/organization/210737.pdf" TargetMode="External"/><Relationship Id="rId2422" Type="http://schemas.openxmlformats.org/officeDocument/2006/relationships/hyperlink" Target="https://www.6laws.net/6law/law2\&#19990;&#30028;&#20154;&#27402;&#23459;&#35328;.htm" TargetMode="External"/><Relationship Id="rId601" Type="http://schemas.openxmlformats.org/officeDocument/2006/relationships/hyperlink" Target="https://www.6laws.net/6law/law\&#20013;&#33775;&#27665;&#22283;&#25010;&#27861;&#22686;&#20462;&#26781;&#25991;.htm" TargetMode="External"/><Relationship Id="rId1024" Type="http://schemas.openxmlformats.org/officeDocument/2006/relationships/hyperlink" Target="https://www.6laws.net/6law/law\&#22823;&#27861;&#23448;&#35299;&#37323;38-60&#24180;.htm" TargetMode="External"/><Relationship Id="rId1231" Type="http://schemas.openxmlformats.org/officeDocument/2006/relationships/hyperlink" Target="https://www.6laws.net/6law/law2\&#32879;&#21512;&#22283;&#25010;&#31456;.htm" TargetMode="External"/><Relationship Id="rId184" Type="http://schemas.openxmlformats.org/officeDocument/2006/relationships/hyperlink" Target="https://www.6laws.net/6law/law\&#25010;&#27861;.htm" TargetMode="External"/><Relationship Id="rId391" Type="http://schemas.openxmlformats.org/officeDocument/2006/relationships/hyperlink" Target="https://www.6laws.net/6law/law\&#25010;&#27861;.htm" TargetMode="External"/><Relationship Id="rId1908" Type="http://schemas.openxmlformats.org/officeDocument/2006/relationships/hyperlink" Target="https://www.6laws.net/6law/law2\&#26377;&#38364;&#38627;&#27665;&#22320;&#20301;&#20844;&#32004;.htm" TargetMode="External"/><Relationship Id="rId2072" Type="http://schemas.openxmlformats.org/officeDocument/2006/relationships/hyperlink" Target="https://www.6laws.net/6law/law2\&#20844;&#27665;&#33287;&#25919;&#27835;&#27402;&#21033;&#22283;&#38555;&#20844;&#32004;.htm" TargetMode="External"/><Relationship Id="rId251" Type="http://schemas.openxmlformats.org/officeDocument/2006/relationships/hyperlink" Target="https://www.6laws.net/6law/law\&#38651;&#20449;&#27861;.htm" TargetMode="External"/><Relationship Id="rId2889" Type="http://schemas.openxmlformats.org/officeDocument/2006/relationships/hyperlink" Target="http://esa.un.org/migration/p2k0data.asp" TargetMode="External"/><Relationship Id="rId111" Type="http://schemas.openxmlformats.org/officeDocument/2006/relationships/hyperlink" Target="https://www.6laws.net/6law/law\&#22823;&#27861;&#23448;&#35299;&#37323;92-n&#24180;.htm" TargetMode="External"/><Relationship Id="rId1698" Type="http://schemas.openxmlformats.org/officeDocument/2006/relationships/hyperlink" Target="https://www.6laws.net/6law/law\&#27602;&#21697;&#21361;&#23475;&#38450;&#21046;&#26781;&#20363;.htm" TargetMode="External"/><Relationship Id="rId2749" Type="http://schemas.openxmlformats.org/officeDocument/2006/relationships/hyperlink" Target="https://www.6laws.net/6law/law2\&#20818;&#31461;&#27402;&#21033;&#20844;&#32004;.htm" TargetMode="External"/><Relationship Id="rId928" Type="http://schemas.openxmlformats.org/officeDocument/2006/relationships/hyperlink" Target="https://www.6laws.net/6law/law\&#25010;&#27861;.htm" TargetMode="External"/><Relationship Id="rId1558" Type="http://schemas.openxmlformats.org/officeDocument/2006/relationships/hyperlink" Target="https://www.6laws.net/6law/law\&#20013;&#33775;&#27665;&#22283;&#25010;&#27861;&#22686;&#20462;&#26781;&#25991;.htm" TargetMode="External"/><Relationship Id="rId1765" Type="http://schemas.openxmlformats.org/officeDocument/2006/relationships/hyperlink" Target="https://www.6laws.net/6law/law2\&#20445;&#35703;&#25152;&#26377;&#31227;&#24473;&#24037;&#20154;&#21450;&#20854;&#23478;&#24237;&#25104;&#21729;&#27402;&#21033;&#22283;&#38555;&#20844;&#32004;.htm" TargetMode="External"/><Relationship Id="rId2609" Type="http://schemas.openxmlformats.org/officeDocument/2006/relationships/hyperlink" Target="http://www.foyuan.net/article-861764-1.html" TargetMode="External"/><Relationship Id="rId57" Type="http://schemas.openxmlformats.org/officeDocument/2006/relationships/hyperlink" Target="https://www.6laws.net/6law/law\&#25010;&#27861;.htm" TargetMode="External"/><Relationship Id="rId1418" Type="http://schemas.openxmlformats.org/officeDocument/2006/relationships/hyperlink" Target="https://www.6laws.net/6law/law\&#25010;&#27861;.htm" TargetMode="External"/><Relationship Id="rId1972" Type="http://schemas.openxmlformats.org/officeDocument/2006/relationships/hyperlink" Target="https://www.6laws.net/6law/law2\&#20844;&#27665;&#33287;&#25919;&#27835;&#27402;&#21033;&#22283;&#38555;&#20844;&#32004;.htm" TargetMode="External"/><Relationship Id="rId2816" Type="http://schemas.openxmlformats.org/officeDocument/2006/relationships/hyperlink" Target="https://www.6laws.net/6law/law\&#22823;&#27861;&#23448;&#35299;&#37323;79-86&#24180;.htm" TargetMode="External"/><Relationship Id="rId1625" Type="http://schemas.openxmlformats.org/officeDocument/2006/relationships/hyperlink" Target="https://www.6laws.net/6law/law2\&#28040;&#38500;&#23565;&#23142;&#22899;&#19968;&#20999;&#24418;&#24335;&#27495;&#35222;&#20844;&#32004;.htm" TargetMode="External"/><Relationship Id="rId1832" Type="http://schemas.openxmlformats.org/officeDocument/2006/relationships/hyperlink" Target="https://www.6laws.net/6law/law2\&#20445;&#35703;&#25152;&#26377;&#31227;&#24473;&#24037;&#20154;&#21450;&#20854;&#23478;&#24237;&#25104;&#21729;&#27402;&#21033;&#22283;&#38555;&#20844;&#32004;.htm" TargetMode="External"/><Relationship Id="rId2399" Type="http://schemas.openxmlformats.org/officeDocument/2006/relationships/hyperlink" Target="https://www.6laws.net/6law/law-gb\&#21453;&#20998;&#35010;&#22283;&#23478;&#27861;.htm" TargetMode="External"/><Relationship Id="rId578" Type="http://schemas.openxmlformats.org/officeDocument/2006/relationships/hyperlink" Target="https://www.6laws.net/6law/law\&#22823;&#27861;&#23448;&#35299;&#37323;79-86&#24180;.htm" TargetMode="External"/><Relationship Id="rId785" Type="http://schemas.openxmlformats.org/officeDocument/2006/relationships/hyperlink" Target="https://www.6laws.net/6law/law\&#20844;&#32887;&#20154;&#21729;&#36984;&#33289;&#32631;&#20813;&#27861;.htm" TargetMode="External"/><Relationship Id="rId992" Type="http://schemas.openxmlformats.org/officeDocument/2006/relationships/hyperlink" Target="https://www.6laws.net/6law/law\&#38520;&#28023;&#31354;&#36557;&#25074;&#32624;&#27861;.htm" TargetMode="External"/><Relationship Id="rId2259" Type="http://schemas.openxmlformats.org/officeDocument/2006/relationships/hyperlink" Target="https://www.6laws.net/6law/law-gb\&#21453;&#20998;&#35010;&#22283;&#23478;&#27861;.htm" TargetMode="External"/><Relationship Id="rId2466" Type="http://schemas.openxmlformats.org/officeDocument/2006/relationships/hyperlink" Target="https://www.6laws.net/6law/law2\&#19990;&#30028;&#20154;&#27402;&#23459;&#35328;.htm" TargetMode="External"/><Relationship Id="rId2673" Type="http://schemas.openxmlformats.org/officeDocument/2006/relationships/hyperlink" Target="https://www.6laws.net/6law/law\&#36949;&#35686;&#32624;&#27861;.htm" TargetMode="External"/><Relationship Id="rId2880" Type="http://schemas.openxmlformats.org/officeDocument/2006/relationships/hyperlink" Target="http://www.nytimes.com/2010/04/24/us/politics/24immig.html" TargetMode="External"/><Relationship Id="rId438" Type="http://schemas.openxmlformats.org/officeDocument/2006/relationships/hyperlink" Target="https://www.6laws.net/6law/law\&#25010;&#27861;.htm" TargetMode="External"/><Relationship Id="rId645" Type="http://schemas.openxmlformats.org/officeDocument/2006/relationships/hyperlink" Target="https://www.6laws.net/6law/law3\&#34892;&#25919;&#38498;&#26371;&#35696;&#35696;&#20107;&#35215;&#21063;.htm" TargetMode="External"/><Relationship Id="rId852" Type="http://schemas.openxmlformats.org/officeDocument/2006/relationships/hyperlink" Target="https://www.6laws.net/6law/law\&#25010;&#27861;.htm" TargetMode="External"/><Relationship Id="rId1068" Type="http://schemas.openxmlformats.org/officeDocument/2006/relationships/hyperlink" Target="https://www.6laws.net/6law/law\&#22320;&#26041;&#21046;&#24230;&#27861;.htm" TargetMode="External"/><Relationship Id="rId1275" Type="http://schemas.openxmlformats.org/officeDocument/2006/relationships/hyperlink" Target="https://www.6laws.net/6law/law\&#35657;&#21048;&#25237;&#36039;&#20449;&#35351;&#21450;&#39015;&#21839;&#27861;.htm" TargetMode="External"/><Relationship Id="rId1482" Type="http://schemas.openxmlformats.org/officeDocument/2006/relationships/hyperlink" Target="https://www.6laws.net/6law/law\&#20013;&#33775;&#27665;&#22283;&#25010;&#27861;&#22686;&#20462;&#26781;&#25991;.htm" TargetMode="External"/><Relationship Id="rId2119" Type="http://schemas.openxmlformats.org/officeDocument/2006/relationships/hyperlink" Target="https://www.6laws.net/6law/law2\&#20844;&#27665;&#33287;&#25919;&#27835;&#27402;&#21033;&#22283;&#38555;&#20844;&#32004;.htm" TargetMode="External"/><Relationship Id="rId2326" Type="http://schemas.openxmlformats.org/officeDocument/2006/relationships/hyperlink" Target="https://www.6laws.net/6law/law-gb\&#21453;&#20998;&#35010;&#22283;&#23478;&#27861;.htm" TargetMode="External"/><Relationship Id="rId2533" Type="http://schemas.openxmlformats.org/officeDocument/2006/relationships/hyperlink" Target="https://www.6laws.net/6law/law\&#22823;&#27861;&#23448;&#35299;&#37323;92-n&#24180;.htm" TargetMode="External"/><Relationship Id="rId2740" Type="http://schemas.openxmlformats.org/officeDocument/2006/relationships/hyperlink" Target="https://www.6laws.net/6law/law2\&#20818;&#31461;&#27402;&#21033;&#20844;&#32004;.htm" TargetMode="External"/><Relationship Id="rId505" Type="http://schemas.openxmlformats.org/officeDocument/2006/relationships/hyperlink" Target="https://www.6laws.net/6law/law\&#25010;&#27861;.htm" TargetMode="External"/><Relationship Id="rId712" Type="http://schemas.openxmlformats.org/officeDocument/2006/relationships/hyperlink" Target="https://www.6laws.net/6law/law\&#31435;&#27861;&#38498;&#32887;&#27402;&#34892;&#20351;&#27861;.htm" TargetMode="External"/><Relationship Id="rId1135" Type="http://schemas.openxmlformats.org/officeDocument/2006/relationships/hyperlink" Target="https://www.6laws.net/6law/law\&#25010;&#27861;.htm" TargetMode="External"/><Relationship Id="rId1342" Type="http://schemas.openxmlformats.org/officeDocument/2006/relationships/hyperlink" Target="https://www.6laws.net/6law/law\&#24615;&#21029;&#24037;&#20316;&#24179;&#31561;&#27861;.htm" TargetMode="External"/><Relationship Id="rId1202" Type="http://schemas.openxmlformats.org/officeDocument/2006/relationships/hyperlink" Target="https://www.6laws.net/6law/law\&#25010;&#27861;.htm" TargetMode="External"/><Relationship Id="rId2600" Type="http://schemas.openxmlformats.org/officeDocument/2006/relationships/hyperlink" Target="https://www.6laws.net/6law/law\&#22823;&#27861;&#23448;&#35299;&#37323;92-n&#24180;.htm" TargetMode="External"/><Relationship Id="rId295" Type="http://schemas.openxmlformats.org/officeDocument/2006/relationships/hyperlink" Target="https://www.6laws.net/6law/law\&#25010;&#27861;.htm" TargetMode="External"/><Relationship Id="rId2183" Type="http://schemas.openxmlformats.org/officeDocument/2006/relationships/hyperlink" Target="https://www.6laws.net/6law/law\&#33274;&#28771;&#22320;&#21312;&#33287;&#22823;&#38520;&#22320;&#21312;&#20154;&#27665;&#38364;&#20418;&#26781;&#20363;.htm" TargetMode="External"/><Relationship Id="rId2390" Type="http://schemas.openxmlformats.org/officeDocument/2006/relationships/hyperlink" Target="https://www.6laws.net/6law/law-gb\&#21453;&#20998;&#35010;&#22283;&#23478;&#27861;.htm" TargetMode="External"/><Relationship Id="rId155" Type="http://schemas.openxmlformats.org/officeDocument/2006/relationships/hyperlink" Target="https://www.6laws.net/6law/law\&#25010;&#27861;.htm" TargetMode="External"/><Relationship Id="rId362" Type="http://schemas.openxmlformats.org/officeDocument/2006/relationships/hyperlink" Target="https://www.6laws.net/6law/law\&#25010;&#27861;.htm" TargetMode="External"/><Relationship Id="rId2043" Type="http://schemas.openxmlformats.org/officeDocument/2006/relationships/hyperlink" Target="https://www.6laws.net/6law/law2\&#20844;&#27665;&#33287;&#25919;&#27835;&#27402;&#21033;&#22283;&#38555;&#20844;&#32004;.htm" TargetMode="External"/><Relationship Id="rId2250" Type="http://schemas.openxmlformats.org/officeDocument/2006/relationships/hyperlink" Target="https://www.6laws.net/6law/law-gb\&#21453;&#20998;&#35010;&#22283;&#23478;&#27861;.htm" TargetMode="External"/><Relationship Id="rId222" Type="http://schemas.openxmlformats.org/officeDocument/2006/relationships/hyperlink" Target="https://www.6laws.net/6law/law\&#25010;&#27861;.htm" TargetMode="External"/><Relationship Id="rId2110" Type="http://schemas.openxmlformats.org/officeDocument/2006/relationships/hyperlink" Target="https://www.6laws.net/6law/law2\&#20844;&#27665;&#33287;&#25919;&#27835;&#27402;&#21033;&#22283;&#38555;&#20844;&#32004;.htm" TargetMode="External"/><Relationship Id="rId1669" Type="http://schemas.openxmlformats.org/officeDocument/2006/relationships/hyperlink" Target="https://www.6laws.net/6law/law\&#27602;&#21697;&#21361;&#23475;&#38450;&#21046;&#26781;&#20363;.htm" TargetMode="External"/><Relationship Id="rId1876" Type="http://schemas.openxmlformats.org/officeDocument/2006/relationships/hyperlink" Target="https://www.6laws.net/6law/law2\&#19990;&#30028;&#20154;&#27402;&#23459;&#35328;.htm" TargetMode="External"/><Relationship Id="rId2927" Type="http://schemas.openxmlformats.org/officeDocument/2006/relationships/hyperlink" Target="http://www.buddedu.com/liaowu/yhkl/yhkl-40.htm" TargetMode="External"/><Relationship Id="rId1529" Type="http://schemas.openxmlformats.org/officeDocument/2006/relationships/hyperlink" Target="https://www.6laws.net/6law/law\&#21496;&#27861;&#38498;&#32068;&#32340;&#27861;.htm" TargetMode="External"/><Relationship Id="rId1736" Type="http://schemas.openxmlformats.org/officeDocument/2006/relationships/hyperlink" Target="https://www.6laws.net/6law/law\&#23601;&#26989;&#26381;&#21209;&#27861;.htm" TargetMode="External"/><Relationship Id="rId1943" Type="http://schemas.openxmlformats.org/officeDocument/2006/relationships/hyperlink" Target="https://www.6laws.net/6law/law2\&#19990;&#30028;&#20154;&#27402;&#23459;&#35328;.htm" TargetMode="External"/><Relationship Id="rId28" Type="http://schemas.openxmlformats.org/officeDocument/2006/relationships/hyperlink" Target="https://zh.wikipedia.org/wiki/&#20013;&#33775;&#27665;&#22283;&#25010;&#27861;" TargetMode="External"/><Relationship Id="rId1803" Type="http://schemas.openxmlformats.org/officeDocument/2006/relationships/hyperlink" Target="https://www.6laws.net/6law/law2\&#19990;&#30028;&#20154;&#27402;&#23459;&#35328;.htm" TargetMode="External"/><Relationship Id="rId689" Type="http://schemas.openxmlformats.org/officeDocument/2006/relationships/hyperlink" Target="https://www.6laws.net/6law/law\&#25010;&#27861;.htm" TargetMode="External"/><Relationship Id="rId896" Type="http://schemas.openxmlformats.org/officeDocument/2006/relationships/hyperlink" Target="https://www.6laws.net/6law/law\&#37523;&#25944;&#37096;&#32068;&#32340;&#27861;.htm" TargetMode="External"/><Relationship Id="rId2577" Type="http://schemas.openxmlformats.org/officeDocument/2006/relationships/hyperlink" Target="https://www.6laws.net/6law/law\&#25010;&#27861;.htm" TargetMode="External"/><Relationship Id="rId2784" Type="http://schemas.openxmlformats.org/officeDocument/2006/relationships/hyperlink" Target="https://www.6laws.net/6law/law2\&#32147;&#28639;&#31038;&#26371;&#25991;&#21270;&#27402;&#21033;&#22283;&#38555;&#20844;&#32004;.htm" TargetMode="External"/><Relationship Id="rId549" Type="http://schemas.openxmlformats.org/officeDocument/2006/relationships/hyperlink" Target="https://www.6laws.net/6law/law\&#25010;&#27861;.htm" TargetMode="External"/><Relationship Id="rId756" Type="http://schemas.openxmlformats.org/officeDocument/2006/relationships/hyperlink" Target="https://www.6laws.net/6law/law\&#25010;&#27861;.htm" TargetMode="External"/><Relationship Id="rId1179" Type="http://schemas.openxmlformats.org/officeDocument/2006/relationships/hyperlink" Target="https://www.6laws.net/6law/law\&#22320;&#26041;&#21046;&#24230;&#27861;.htm" TargetMode="External"/><Relationship Id="rId1386" Type="http://schemas.openxmlformats.org/officeDocument/2006/relationships/hyperlink" Target="https://www.6laws.net/6law/law\&#25010;&#27861;.htm" TargetMode="External"/><Relationship Id="rId1593" Type="http://schemas.openxmlformats.org/officeDocument/2006/relationships/hyperlink" Target="https://www.6laws.net/6law/law\&#20013;&#33775;&#27665;&#22283;&#25010;&#27861;&#22686;&#20462;&#26781;&#25991;.htm" TargetMode="External"/><Relationship Id="rId2437" Type="http://schemas.openxmlformats.org/officeDocument/2006/relationships/hyperlink" Target="https://www.6laws.net/6law/law2\&#19990;&#30028;&#20154;&#27402;&#23459;&#35328;.htm" TargetMode="External"/><Relationship Id="rId409" Type="http://schemas.openxmlformats.org/officeDocument/2006/relationships/hyperlink" Target="https://www.6laws.net/6law/law\&#38598;&#26371;&#36938;&#34892;&#27861;.htm" TargetMode="External"/><Relationship Id="rId963" Type="http://schemas.openxmlformats.org/officeDocument/2006/relationships/hyperlink" Target="https://www.6laws.net/6law/law\&#30435;&#23519;&#27861;.htm" TargetMode="External"/><Relationship Id="rId1039" Type="http://schemas.openxmlformats.org/officeDocument/2006/relationships/hyperlink" Target="https://www.6laws.net/6law/law\&#22823;&#27861;&#23448;&#35299;&#37323;38-60&#24180;.htm" TargetMode="External"/><Relationship Id="rId1246" Type="http://schemas.openxmlformats.org/officeDocument/2006/relationships/hyperlink" Target="https://www.6laws.net/6law/law\&#22303;&#22320;&#27861;.htm" TargetMode="External"/><Relationship Id="rId2644" Type="http://schemas.openxmlformats.org/officeDocument/2006/relationships/hyperlink" Target="https://www.6laws.net/6law/law\&#20778;&#29983;&#20445;&#20581;&#27861;.htm" TargetMode="External"/><Relationship Id="rId2851" Type="http://schemas.openxmlformats.org/officeDocument/2006/relationships/hyperlink" Target="https://www.6laws.net/6law/law2\&#20844;&#27665;&#33287;&#25919;&#27835;&#27402;&#21033;&#22283;&#38555;&#20844;&#32004;.htm" TargetMode="External"/><Relationship Id="rId92" Type="http://schemas.openxmlformats.org/officeDocument/2006/relationships/hyperlink" Target="https://www.6laws.net/6law/law2\&#20844;&#27665;&#33287;&#25919;&#27835;&#27402;&#21033;&#22283;&#38555;&#20844;&#32004;.htm" TargetMode="External"/><Relationship Id="rId616" Type="http://schemas.openxmlformats.org/officeDocument/2006/relationships/hyperlink" Target="https://www.6laws.net/6law/law\&#34892;&#25919;&#38498;&#32068;&#32340;&#27861;.htm" TargetMode="External"/><Relationship Id="rId823" Type="http://schemas.openxmlformats.org/officeDocument/2006/relationships/hyperlink" Target="https://www.6laws.net/6law/law\&#22823;&#27861;&#23448;&#35299;&#37323;79-86&#24180;.htm" TargetMode="External"/><Relationship Id="rId1453" Type="http://schemas.openxmlformats.org/officeDocument/2006/relationships/hyperlink" Target="https://www.6laws.net/6law/law\&#20013;&#33775;&#27665;&#22283;&#25010;&#27861;&#22686;&#20462;&#26781;&#25991;.htm" TargetMode="External"/><Relationship Id="rId1660" Type="http://schemas.openxmlformats.org/officeDocument/2006/relationships/hyperlink" Target="https://www.6laws.net/6law/law\&#22823;&#27861;&#23448;&#35299;&#37323;79-86&#24180;.htm" TargetMode="External"/><Relationship Id="rId2504" Type="http://schemas.openxmlformats.org/officeDocument/2006/relationships/hyperlink" Target="https://www.6laws.net/6law/law\&#22823;&#27861;&#23448;&#35299;&#37323;87-91&#24180;.htm" TargetMode="External"/><Relationship Id="rId2711" Type="http://schemas.openxmlformats.org/officeDocument/2006/relationships/hyperlink" Target="https://www.6laws.net/6law/law\&#22823;&#27861;&#23448;&#35299;&#37323;92-n&#24180;.htm" TargetMode="External"/><Relationship Id="rId1106" Type="http://schemas.openxmlformats.org/officeDocument/2006/relationships/hyperlink" Target="https://www.6laws.net/6law/law\&#22320;&#26041;&#21046;&#24230;&#27861;.htm" TargetMode="External"/><Relationship Id="rId1313" Type="http://schemas.openxmlformats.org/officeDocument/2006/relationships/hyperlink" Target="https://www.6laws.net/6law/law\&#25010;&#27861;.htm" TargetMode="External"/><Relationship Id="rId1520" Type="http://schemas.openxmlformats.org/officeDocument/2006/relationships/hyperlink" Target="https://www.6laws.net/6law/law\&#20013;&#33775;&#27665;&#22283;&#25010;&#27861;&#22686;&#20462;&#26781;&#25991;.htm" TargetMode="External"/><Relationship Id="rId199" Type="http://schemas.openxmlformats.org/officeDocument/2006/relationships/hyperlink" Target="https://www.6laws.net/6law/law\&#38520;&#28023;&#31354;&#36557;&#21009;&#27861;.htm" TargetMode="External"/><Relationship Id="rId2087" Type="http://schemas.openxmlformats.org/officeDocument/2006/relationships/hyperlink" Target="https://www.6laws.net/6law/law2\&#20844;&#27665;&#33287;&#25919;&#27835;&#27402;&#21033;&#22283;&#38555;&#20844;&#32004;.htm" TargetMode="External"/><Relationship Id="rId2294" Type="http://schemas.openxmlformats.org/officeDocument/2006/relationships/hyperlink" Target="https://www.6laws.net/6law/law-gb\&#21453;&#20998;&#35010;&#22283;&#23478;&#27861;.htm" TargetMode="External"/><Relationship Id="rId266" Type="http://schemas.openxmlformats.org/officeDocument/2006/relationships/hyperlink" Target="https://www.6laws.net/6law/law\&#25010;&#27861;.htm" TargetMode="External"/><Relationship Id="rId473" Type="http://schemas.openxmlformats.org/officeDocument/2006/relationships/hyperlink" Target="https://www.6laws.net/6law/law\&#25010;&#27861;.htm" TargetMode="External"/><Relationship Id="rId680" Type="http://schemas.openxmlformats.org/officeDocument/2006/relationships/hyperlink" Target="https://www.6laws.net/6law/law\&#25010;&#27861;.htm" TargetMode="External"/><Relationship Id="rId2154" Type="http://schemas.openxmlformats.org/officeDocument/2006/relationships/hyperlink" Target="https://www.6laws.net/6law/law\&#25010;&#27861;.htm" TargetMode="External"/><Relationship Id="rId2361" Type="http://schemas.openxmlformats.org/officeDocument/2006/relationships/hyperlink" Target="https://www.6laws.net/6law/law\&#25010;&#27861;.htm" TargetMode="External"/><Relationship Id="rId126" Type="http://schemas.openxmlformats.org/officeDocument/2006/relationships/hyperlink" Target="https://www.6laws.net/6law/law\&#22823;&#27861;&#23448;&#35299;&#37323;92-n&#24180;.htm" TargetMode="External"/><Relationship Id="rId333" Type="http://schemas.openxmlformats.org/officeDocument/2006/relationships/hyperlink" Target="https://www.6laws.net/6law/law\&#25010;&#27861;.htm" TargetMode="External"/><Relationship Id="rId540" Type="http://schemas.openxmlformats.org/officeDocument/2006/relationships/hyperlink" Target="https://www.6laws.net/6law/law\&#20013;&#33775;&#27665;&#22283;&#25010;&#27861;&#22686;&#20462;&#26781;&#25991;.htm" TargetMode="External"/><Relationship Id="rId1170" Type="http://schemas.openxmlformats.org/officeDocument/2006/relationships/hyperlink" Target="https://www.6laws.net/6law/law3\&#22320;&#26041;&#31435;&#27861;&#27231;&#38364;&#32068;&#32340;&#28310;&#21063;.htm" TargetMode="External"/><Relationship Id="rId2014" Type="http://schemas.openxmlformats.org/officeDocument/2006/relationships/hyperlink" Target="https://www.6laws.net/6law/law\&#20837;&#20986;&#22283;&#21450;&#31227;&#27665;&#27861;.htm" TargetMode="External"/><Relationship Id="rId2221" Type="http://schemas.openxmlformats.org/officeDocument/2006/relationships/hyperlink" Target="http://www.state.gov/documents/organization/210737.pdf" TargetMode="External"/><Relationship Id="rId1030" Type="http://schemas.openxmlformats.org/officeDocument/2006/relationships/hyperlink" Target="https://www.6laws.net/6law/law\&#22823;&#27861;&#23448;&#35299;&#37323;38-60&#24180;.htm" TargetMode="External"/><Relationship Id="rId400" Type="http://schemas.openxmlformats.org/officeDocument/2006/relationships/hyperlink" Target="https://www.6laws.net/6law/law\&#25010;&#27861;.htm" TargetMode="External"/><Relationship Id="rId1987" Type="http://schemas.openxmlformats.org/officeDocument/2006/relationships/hyperlink" Target="https://www.6laws.net/6law/law2\&#20844;&#27665;&#33287;&#25919;&#27835;&#27402;&#21033;&#22283;&#38555;&#20844;&#32004;.htm" TargetMode="External"/><Relationship Id="rId1847" Type="http://schemas.openxmlformats.org/officeDocument/2006/relationships/hyperlink" Target="https://www.6laws.net/6law/law2\&#20445;&#35703;&#25152;&#26377;&#31227;&#24473;&#24037;&#20154;&#21450;&#20854;&#23478;&#24237;&#25104;&#21729;&#27402;&#21033;&#22283;&#38555;&#20844;&#32004;.htm" TargetMode="External"/><Relationship Id="rId1707" Type="http://schemas.openxmlformats.org/officeDocument/2006/relationships/hyperlink" Target="https://www.6laws.net/6law/law\&#27602;&#21697;&#21361;&#23475;&#38450;&#21046;&#26781;&#20363;.htm" TargetMode="External"/><Relationship Id="rId190" Type="http://schemas.openxmlformats.org/officeDocument/2006/relationships/hyperlink" Target="https://www.6laws.net/6law/law\&#38520;&#28023;&#31354;&#36557;&#25074;&#32624;&#27861;.htm" TargetMode="External"/><Relationship Id="rId1914" Type="http://schemas.openxmlformats.org/officeDocument/2006/relationships/hyperlink" Target="https://www.6laws.net/6law/law2\&#26377;&#38364;&#38627;&#27665;&#22320;&#20301;&#20844;&#32004;.htm" TargetMode="External"/><Relationship Id="rId2688" Type="http://schemas.openxmlformats.org/officeDocument/2006/relationships/hyperlink" Target="https://www.6laws.net/6law/law\&#20837;&#20986;&#22283;&#21450;&#31227;&#27665;&#27861;.htm" TargetMode="External"/><Relationship Id="rId2895" Type="http://schemas.openxmlformats.org/officeDocument/2006/relationships/hyperlink" Target="http://en.wikipedia.org/wiki/Employment_Standards_Act" TargetMode="External"/><Relationship Id="rId867" Type="http://schemas.openxmlformats.org/officeDocument/2006/relationships/hyperlink" Target="https://www.6laws.net/6law/law\&#25010;&#27861;.htm" TargetMode="External"/><Relationship Id="rId1497" Type="http://schemas.openxmlformats.org/officeDocument/2006/relationships/hyperlink" Target="https://www.6laws.net/6law/law\&#20013;&#33775;&#27665;&#22283;&#25010;&#27861;&#22686;&#20462;&#26781;&#25991;.htm" TargetMode="External"/><Relationship Id="rId2548" Type="http://schemas.openxmlformats.org/officeDocument/2006/relationships/hyperlink" Target="https://www.6laws.net/6law/law2\&#32147;&#28639;&#31038;&#26371;&#25991;&#21270;&#27402;&#21033;&#22283;&#38555;&#20844;&#32004;.htm" TargetMode="External"/><Relationship Id="rId2755" Type="http://schemas.openxmlformats.org/officeDocument/2006/relationships/hyperlink" Target="https://www.6laws.net/6law/law2\&#20818;&#31461;&#27402;&#21033;&#20844;&#32004;.htm" TargetMode="External"/><Relationship Id="rId727" Type="http://schemas.openxmlformats.org/officeDocument/2006/relationships/hyperlink" Target="https://www.6laws.net/6law/law\&#20844;&#32887;&#20154;&#21729;&#36984;&#33289;&#32631;&#20813;&#27861;.htm" TargetMode="External"/><Relationship Id="rId934" Type="http://schemas.openxmlformats.org/officeDocument/2006/relationships/hyperlink" Target="https://www.6laws.net/6law/law\&#25010;&#27861;.htm" TargetMode="External"/><Relationship Id="rId1357" Type="http://schemas.openxmlformats.org/officeDocument/2006/relationships/hyperlink" Target="https://www.6laws.net/6law/law\&#20013;&#33775;&#27665;&#22283;&#25010;&#27861;&#22686;&#20462;&#26781;&#25991;.htm" TargetMode="External"/><Relationship Id="rId1564" Type="http://schemas.openxmlformats.org/officeDocument/2006/relationships/hyperlink" Target="https://www.6laws.net/6law/law\&#22320;&#26041;&#21046;&#24230;&#27861;.htm" TargetMode="External"/><Relationship Id="rId1771" Type="http://schemas.openxmlformats.org/officeDocument/2006/relationships/hyperlink" Target="https://www.6laws.net/6law/law2\&#20445;&#35703;&#25152;&#26377;&#31227;&#24473;&#24037;&#20154;&#21450;&#20854;&#23478;&#24237;&#25104;&#21729;&#27402;&#21033;&#22283;&#38555;&#20844;&#32004;.htm" TargetMode="External"/><Relationship Id="rId2408" Type="http://schemas.openxmlformats.org/officeDocument/2006/relationships/hyperlink" Target="https://www.6laws.net/6law/law\&#25010;&#27861;.htm" TargetMode="External"/><Relationship Id="rId2615" Type="http://schemas.openxmlformats.org/officeDocument/2006/relationships/hyperlink" Target="http://www.foyuan.net/article-861764-1.html" TargetMode="External"/><Relationship Id="rId2822" Type="http://schemas.openxmlformats.org/officeDocument/2006/relationships/hyperlink" Target="https://www.6laws.net/6law/law\&#20013;&#33775;&#27665;&#22283;&#25010;&#27861;&#22686;&#20462;&#26781;&#25991;.htm" TargetMode="External"/><Relationship Id="rId63" Type="http://schemas.openxmlformats.org/officeDocument/2006/relationships/hyperlink" Target="https://www.6laws.net/6law/law\&#25010;&#27861;.htm" TargetMode="External"/><Relationship Id="rId1217" Type="http://schemas.openxmlformats.org/officeDocument/2006/relationships/hyperlink" Target="https://www.6laws.net/6law/law\&#20844;&#27665;&#25237;&#31080;&#27861;.htm" TargetMode="External"/><Relationship Id="rId1424" Type="http://schemas.openxmlformats.org/officeDocument/2006/relationships/hyperlink" Target="https://www.6laws.net/6law/law\&#20013;&#33775;&#27665;&#22283;&#25010;&#27861;&#22686;&#20462;&#26781;&#25991;.htm" TargetMode="External"/><Relationship Id="rId1631" Type="http://schemas.openxmlformats.org/officeDocument/2006/relationships/hyperlink" Target="https://www.6laws.net/6law/law2\&#32147;&#28639;&#31038;&#26371;&#25991;&#21270;&#27402;&#21033;&#22283;&#38555;&#20844;&#32004;.htm" TargetMode="External"/><Relationship Id="rId2198" Type="http://schemas.openxmlformats.org/officeDocument/2006/relationships/hyperlink" Target="https://www.6laws.net/6law/law\&#20844;&#27665;&#33287;&#25919;&#27835;&#27402;&#21033;&#22283;&#38555;&#20844;&#32004;&#21450;&#32147;&#28639;&#31038;&#26371;&#25991;&#21270;&#27402;&#21033;&#22283;&#38555;&#20844;&#32004;&#26045;&#34892;&#27861;.htm" TargetMode="External"/><Relationship Id="rId377" Type="http://schemas.openxmlformats.org/officeDocument/2006/relationships/hyperlink" Target="https://www.6laws.net/6law/law\&#22823;&#27861;&#23448;&#35299;&#37323;92-n&#24180;.htm" TargetMode="External"/><Relationship Id="rId584" Type="http://schemas.openxmlformats.org/officeDocument/2006/relationships/hyperlink" Target="https://www.6laws.net/6law/law\&#20013;&#33775;&#27665;&#22283;&#25010;&#27861;&#22686;&#20462;&#26781;&#25991;.htm" TargetMode="External"/><Relationship Id="rId2058" Type="http://schemas.openxmlformats.org/officeDocument/2006/relationships/hyperlink" Target="https://www.6laws.net/6law/law2\&#20844;&#27665;&#33287;&#25919;&#27835;&#27402;&#21033;&#22283;&#38555;&#20844;&#32004;.htm" TargetMode="External"/><Relationship Id="rId2265" Type="http://schemas.openxmlformats.org/officeDocument/2006/relationships/hyperlink" Target="https://www.6laws.net/6law/law-gb\&#21453;&#20998;&#35010;&#22283;&#23478;&#27861;.htm" TargetMode="External"/><Relationship Id="rId237" Type="http://schemas.openxmlformats.org/officeDocument/2006/relationships/hyperlink" Target="https://www.6laws.net/6law/law\&#22823;&#27861;&#23448;&#35299;&#37323;79-86&#24180;.htm" TargetMode="External"/><Relationship Id="rId791" Type="http://schemas.openxmlformats.org/officeDocument/2006/relationships/hyperlink" Target="https://www.6laws.net/6law/law\&#25010;&#27861;.htm" TargetMode="External"/><Relationship Id="rId1074" Type="http://schemas.openxmlformats.org/officeDocument/2006/relationships/hyperlink" Target="https://www.6laws.net/6law/law\&#25010;&#27861;.htm" TargetMode="External"/><Relationship Id="rId2472" Type="http://schemas.openxmlformats.org/officeDocument/2006/relationships/hyperlink" Target="https://www.6laws.net/6law/law2\&#20844;&#27665;&#33287;&#25919;&#27835;&#27402;&#21033;&#22283;&#38555;&#20844;&#32004;.htm" TargetMode="External"/><Relationship Id="rId444" Type="http://schemas.openxmlformats.org/officeDocument/2006/relationships/hyperlink" Target="https://www.6laws.net/6law/law\&#20013;&#33775;&#27665;&#22283;&#25010;&#27861;&#22686;&#20462;&#26781;&#25991;.htm" TargetMode="External"/><Relationship Id="rId651" Type="http://schemas.openxmlformats.org/officeDocument/2006/relationships/hyperlink" Target="https://www.6laws.net/6law/law\&#25010;&#27861;.htm" TargetMode="External"/><Relationship Id="rId1281" Type="http://schemas.openxmlformats.org/officeDocument/2006/relationships/hyperlink" Target="https://www.6laws.net/6law/law\&#25010;&#27861;.htm" TargetMode="External"/><Relationship Id="rId2125" Type="http://schemas.openxmlformats.org/officeDocument/2006/relationships/hyperlink" Target="https://www.6laws.net/6law/law2\&#20844;&#27665;&#33287;&#25919;&#27835;&#27402;&#21033;&#22283;&#38555;&#20844;&#32004;.htm" TargetMode="External"/><Relationship Id="rId2332" Type="http://schemas.openxmlformats.org/officeDocument/2006/relationships/hyperlink" Target="https://www.6laws.net/6law/law\&#20013;&#33775;&#27665;&#22283;&#25010;&#27861;&#22686;&#20462;&#26781;&#25991;.htm" TargetMode="External"/><Relationship Id="rId304" Type="http://schemas.openxmlformats.org/officeDocument/2006/relationships/hyperlink" Target="https://www.6laws.net/6law/law\&#35380;&#39000;&#27861;.htm" TargetMode="External"/><Relationship Id="rId511" Type="http://schemas.openxmlformats.org/officeDocument/2006/relationships/hyperlink" Target="https://www.6laws.net/6law/law\&#20013;&#33775;&#27665;&#22283;&#25010;&#27861;&#22686;&#20462;&#26781;&#25991;.htm" TargetMode="External"/><Relationship Id="rId1141" Type="http://schemas.openxmlformats.org/officeDocument/2006/relationships/hyperlink" Target="https://www.6laws.net/6law/law\&#25010;&#27861;.htm" TargetMode="External"/><Relationship Id="rId1001" Type="http://schemas.openxmlformats.org/officeDocument/2006/relationships/hyperlink" Target="https://www.6laws.net/6law/law\&#20013;&#33775;&#27665;&#22283;&#25010;&#27861;&#22686;&#20462;&#26781;&#25991;.htm" TargetMode="External"/><Relationship Id="rId1958" Type="http://schemas.openxmlformats.org/officeDocument/2006/relationships/hyperlink" Target="https://www.6laws.net/6law/law\&#22823;&#27861;&#23448;&#35299;&#37323;92-n&#24180;.htm" TargetMode="External"/><Relationship Id="rId1818" Type="http://schemas.openxmlformats.org/officeDocument/2006/relationships/hyperlink" Target="https://www.6laws.net/6law/law\&#21214;&#21205;&#22522;&#28310;&#27861;.htm" TargetMode="External"/><Relationship Id="rId161" Type="http://schemas.openxmlformats.org/officeDocument/2006/relationships/hyperlink" Target="https://www.6laws.net/6law/law\&#25010;&#27861;.htm" TargetMode="External"/><Relationship Id="rId2799" Type="http://schemas.openxmlformats.org/officeDocument/2006/relationships/image" Target="media/image57.jpeg"/><Relationship Id="rId978" Type="http://schemas.openxmlformats.org/officeDocument/2006/relationships/hyperlink" Target="https://www.6laws.net/6law/law\&#25010;&#27861;.htm" TargetMode="External"/><Relationship Id="rId2659" Type="http://schemas.openxmlformats.org/officeDocument/2006/relationships/image" Target="media/image53.jpeg"/><Relationship Id="rId2866" Type="http://schemas.openxmlformats.org/officeDocument/2006/relationships/hyperlink" Target="https://www.6laws.net/6law/law\&#21009;&#27861;.htm" TargetMode="External"/><Relationship Id="rId838" Type="http://schemas.openxmlformats.org/officeDocument/2006/relationships/hyperlink" Target="https://www.6laws.net/6law/law\&#25010;&#27861;.htm" TargetMode="External"/><Relationship Id="rId1468" Type="http://schemas.openxmlformats.org/officeDocument/2006/relationships/hyperlink" Target="https://www.6laws.net/6law/law\&#20013;&#33775;&#27665;&#22283;&#25010;&#27861;&#22686;&#20462;&#26781;&#25991;.htm" TargetMode="External"/><Relationship Id="rId1675" Type="http://schemas.openxmlformats.org/officeDocument/2006/relationships/hyperlink" Target="https://www.6laws.net/6law/law\&#32901;&#28165;&#29017;&#27602;&#26781;&#20363;.htm" TargetMode="External"/><Relationship Id="rId1882" Type="http://schemas.openxmlformats.org/officeDocument/2006/relationships/hyperlink" Target="https://www.6laws.net/6law/law\&#25010;&#27861;.htm" TargetMode="External"/><Relationship Id="rId2519" Type="http://schemas.openxmlformats.org/officeDocument/2006/relationships/hyperlink" Target="https://www.6laws.net/6law/law\&#22823;&#27861;&#23448;&#35299;&#37323;87-91&#24180;.htm" TargetMode="External"/><Relationship Id="rId2726" Type="http://schemas.openxmlformats.org/officeDocument/2006/relationships/hyperlink" Target="https://www.6laws.net/6law/law2\&#28040;&#38500;&#23565;&#23142;&#22899;&#19968;&#20999;&#24418;&#24335;&#27495;&#35222;&#20844;&#32004;.htm" TargetMode="External"/><Relationship Id="rId1328" Type="http://schemas.openxmlformats.org/officeDocument/2006/relationships/hyperlink" Target="https://www.6laws.net/6law/law\&#22823;&#27861;&#23448;&#35299;&#37323;92-n&#24180;.htm" TargetMode="External"/><Relationship Id="rId1535" Type="http://schemas.openxmlformats.org/officeDocument/2006/relationships/hyperlink" Target="https://www.6laws.net/6law/law\&#20013;&#33775;&#27665;&#22283;&#25010;&#27861;&#22686;&#20462;&#26781;&#25991;.htm" TargetMode="External"/><Relationship Id="rId2933" Type="http://schemas.openxmlformats.org/officeDocument/2006/relationships/hyperlink" Target="http://www.tpg.gov.tw/" TargetMode="External"/><Relationship Id="rId905" Type="http://schemas.openxmlformats.org/officeDocument/2006/relationships/hyperlink" Target="https://www.6laws.net/6law/law\&#25010;&#27861;.htm" TargetMode="External"/><Relationship Id="rId1742" Type="http://schemas.openxmlformats.org/officeDocument/2006/relationships/hyperlink" Target="https://www.6laws.net/6law/law\&#23601;&#26989;&#26381;&#21209;&#27861;.htm" TargetMode="External"/><Relationship Id="rId34" Type="http://schemas.openxmlformats.org/officeDocument/2006/relationships/hyperlink" Target="https://zh.wikipedia.org/wiki/&#20013;&#33775;&#27665;&#22283;&#25010;&#27861;" TargetMode="External"/><Relationship Id="rId1602" Type="http://schemas.openxmlformats.org/officeDocument/2006/relationships/hyperlink" Target="http://paper.wenweipo.com/2011/01/14/HK1101140009.htm" TargetMode="External"/><Relationship Id="rId488" Type="http://schemas.openxmlformats.org/officeDocument/2006/relationships/hyperlink" Target="https://www.6laws.net/6law/law\&#25010;&#27861;.htm" TargetMode="External"/><Relationship Id="rId695" Type="http://schemas.openxmlformats.org/officeDocument/2006/relationships/hyperlink" Target="https://www.6laws.net/6law/law\&#22823;&#27861;&#23448;&#35299;&#37323;79-86&#24180;.htm" TargetMode="External"/><Relationship Id="rId2169" Type="http://schemas.openxmlformats.org/officeDocument/2006/relationships/hyperlink" Target="https://www.6laws.net/6law/law\&#20837;&#20986;&#22283;&#21450;&#31227;&#27665;&#27861;.htm" TargetMode="External"/><Relationship Id="rId2376" Type="http://schemas.openxmlformats.org/officeDocument/2006/relationships/hyperlink" Target="https://www.6laws.net/6law/law\&#25010;&#27861;.htm" TargetMode="External"/><Relationship Id="rId2583" Type="http://schemas.openxmlformats.org/officeDocument/2006/relationships/hyperlink" Target="https://www.6laws.net/6law/law\&#22823;&#27861;&#23448;&#35299;&#37323;87-91&#24180;.htm" TargetMode="External"/><Relationship Id="rId2790" Type="http://schemas.openxmlformats.org/officeDocument/2006/relationships/hyperlink" Target="https://www.6laws.net/6law/law2\&#32147;&#28639;&#31038;&#26371;&#25991;&#21270;&#27402;&#21033;&#22283;&#38555;&#20844;&#32004;.htm" TargetMode="External"/><Relationship Id="rId348" Type="http://schemas.openxmlformats.org/officeDocument/2006/relationships/hyperlink" Target="https://www.6laws.net/6law/law\&#20853;&#24441;&#27861;&#26045;&#34892;&#27861;.htm" TargetMode="External"/><Relationship Id="rId555" Type="http://schemas.openxmlformats.org/officeDocument/2006/relationships/hyperlink" Target="https://zh.wikipedia.org/wiki/&#20013;&#33775;&#27665;&#22283;&#25010;&#27861;" TargetMode="External"/><Relationship Id="rId762" Type="http://schemas.openxmlformats.org/officeDocument/2006/relationships/hyperlink" Target="https://www.6laws.net/6law/law\&#22823;&#27861;&#23448;&#35299;&#37323;87-91&#24180;.htm" TargetMode="External"/><Relationship Id="rId1185" Type="http://schemas.openxmlformats.org/officeDocument/2006/relationships/hyperlink" Target="https://www.6laws.net/6law/law\&#22320;&#26041;&#21046;&#24230;&#27861;.htm" TargetMode="External"/><Relationship Id="rId1392" Type="http://schemas.openxmlformats.org/officeDocument/2006/relationships/hyperlink" Target="https://www.6laws.net/6law/law\&#25010;&#27861;.htm" TargetMode="External"/><Relationship Id="rId2029" Type="http://schemas.openxmlformats.org/officeDocument/2006/relationships/hyperlink" Target="https://www.6laws.net/6law/law\&#22823;&#27861;&#23448;&#35299;&#37323;92-n&#24180;.htm" TargetMode="External"/><Relationship Id="rId2236" Type="http://schemas.openxmlformats.org/officeDocument/2006/relationships/hyperlink" Target="https://www.6laws.net/6law/law\&#20154;&#21475;&#36009;&#36939;&#38450;&#21046;&#27861;.htm" TargetMode="External"/><Relationship Id="rId2443" Type="http://schemas.openxmlformats.org/officeDocument/2006/relationships/hyperlink" Target="https://www.6laws.net/6law/law2\&#19990;&#30028;&#20154;&#27402;&#23459;&#35328;.htm" TargetMode="External"/><Relationship Id="rId2650" Type="http://schemas.openxmlformats.org/officeDocument/2006/relationships/hyperlink" Target="https://www.6laws.net/6law/law\&#20778;&#29983;&#20445;&#20581;&#27861;.htm" TargetMode="External"/><Relationship Id="rId208" Type="http://schemas.openxmlformats.org/officeDocument/2006/relationships/hyperlink" Target="https://www.6laws.net/6law/law\&#22823;&#27861;&#23448;&#35299;&#37323;87-91&#24180;.htm" TargetMode="External"/><Relationship Id="rId415" Type="http://schemas.openxmlformats.org/officeDocument/2006/relationships/hyperlink" Target="https://www.6laws.net/6law/law3\&#22823;&#38520;&#22320;&#21312;&#20154;&#27665;&#21450;&#39321;&#28207;&#28595;&#38272;&#23621;&#27665;&#25910;&#23481;&#34389;&#25152;&#35373;&#32622;&#21450;&#31649;&#29702;&#36774;&#27861;.htm" TargetMode="External"/><Relationship Id="rId622" Type="http://schemas.openxmlformats.org/officeDocument/2006/relationships/hyperlink" Target="https://www.6laws.net/6law/law\&#34892;&#25919;&#38498;&#32068;&#32340;&#27861;.htm" TargetMode="External"/><Relationship Id="rId1045" Type="http://schemas.openxmlformats.org/officeDocument/2006/relationships/hyperlink" Target="https://www.6laws.net/6law/law\&#22823;&#27861;&#23448;&#35299;&#37323;79-86&#24180;.htm" TargetMode="External"/><Relationship Id="rId1252" Type="http://schemas.openxmlformats.org/officeDocument/2006/relationships/hyperlink" Target="https://www.6laws.net/6law/law\&#25010;&#27861;.htm" TargetMode="External"/><Relationship Id="rId2303" Type="http://schemas.openxmlformats.org/officeDocument/2006/relationships/hyperlink" Target="https://www.6laws.net/6law/law-gb\&#21453;&#20998;&#35010;&#22283;&#23478;&#27861;.htm" TargetMode="External"/><Relationship Id="rId2510" Type="http://schemas.openxmlformats.org/officeDocument/2006/relationships/hyperlink" Target="https://www.6laws.net/6law/law\&#22823;&#27861;&#23448;&#35299;&#37323;92-n&#24180;.htm" TargetMode="External"/><Relationship Id="rId1112" Type="http://schemas.openxmlformats.org/officeDocument/2006/relationships/hyperlink" Target="https://www.6laws.net/6law/law\&#22823;&#27861;&#23448;&#35299;&#37323;87-91&#24180;.htm" TargetMode="External"/><Relationship Id="rId1929" Type="http://schemas.openxmlformats.org/officeDocument/2006/relationships/hyperlink" Target="https://www.6laws.net/6law/law2\&#20844;&#27665;&#33287;&#25919;&#27835;&#27402;&#21033;&#22283;&#38555;&#20844;&#32004;.htm" TargetMode="External"/><Relationship Id="rId2093" Type="http://schemas.openxmlformats.org/officeDocument/2006/relationships/hyperlink" Target="https://www.6laws.net/6law/law2\&#20844;&#27665;&#33287;&#25919;&#27835;&#27402;&#21033;&#22283;&#38555;&#20844;&#32004;.htm" TargetMode="External"/><Relationship Id="rId272" Type="http://schemas.openxmlformats.org/officeDocument/2006/relationships/hyperlink" Target="https://www.6laws.net/6law/law\&#22823;&#27861;&#23448;&#35299;&#37323;79-86&#24180;.htm" TargetMode="External"/><Relationship Id="rId2160" Type="http://schemas.openxmlformats.org/officeDocument/2006/relationships/hyperlink" Target="https://www.6laws.net/6law/law\&#22823;&#27861;&#23448;&#35299;&#37323;92-n&#24180;.htm" TargetMode="External"/><Relationship Id="rId132" Type="http://schemas.openxmlformats.org/officeDocument/2006/relationships/hyperlink" Target="https://www.6laws.net/6law/law\&#25010;&#27861;.htm" TargetMode="External"/><Relationship Id="rId2020" Type="http://schemas.openxmlformats.org/officeDocument/2006/relationships/hyperlink" Target="https://www.6laws.net/6law/law\&#20837;&#20986;&#22283;&#21450;&#31227;&#27665;&#27861;.htm" TargetMode="External"/><Relationship Id="rId1579" Type="http://schemas.openxmlformats.org/officeDocument/2006/relationships/hyperlink" Target="https://www.6laws.net/6law/law\&#27665;&#29992;&#33322;&#31354;&#27861;.htm" TargetMode="External"/><Relationship Id="rId949" Type="http://schemas.openxmlformats.org/officeDocument/2006/relationships/hyperlink" Target="https://www.6laws.net/6law/law\&#25010;&#27861;.htm" TargetMode="External"/><Relationship Id="rId1786" Type="http://schemas.openxmlformats.org/officeDocument/2006/relationships/hyperlink" Target="https://www.6laws.net/6law/law\&#27665;&#27861;.htm" TargetMode="External"/><Relationship Id="rId1993" Type="http://schemas.openxmlformats.org/officeDocument/2006/relationships/hyperlink" Target="https://www.6laws.net/6law/law\&#20837;&#20986;&#22283;&#21450;&#31227;&#27665;&#27861;.htm" TargetMode="External"/><Relationship Id="rId2837" Type="http://schemas.openxmlformats.org/officeDocument/2006/relationships/hyperlink" Target="https://www.6laws.net/6law/law\&#25010;&#27861;.htm" TargetMode="External"/><Relationship Id="rId78" Type="http://schemas.openxmlformats.org/officeDocument/2006/relationships/hyperlink" Target="https://www.6laws.net/6law/law\&#25010;&#27861;.htm" TargetMode="External"/><Relationship Id="rId809" Type="http://schemas.openxmlformats.org/officeDocument/2006/relationships/hyperlink" Target="https://www.6laws.net/6law/law\&#25010;&#27861;.htm" TargetMode="External"/><Relationship Id="rId1439" Type="http://schemas.openxmlformats.org/officeDocument/2006/relationships/hyperlink" Target="https://www.6laws.net/6law/law\&#25010;&#27861;.htm" TargetMode="External"/><Relationship Id="rId1646" Type="http://schemas.openxmlformats.org/officeDocument/2006/relationships/hyperlink" Target="https://www.6laws.net/6law/law\&#25121;&#20098;&#26178;&#26399;&#32901;&#28165;&#29017;&#27602;&#26781;&#20363;.htm" TargetMode="External"/><Relationship Id="rId1853" Type="http://schemas.openxmlformats.org/officeDocument/2006/relationships/hyperlink" Target="https://www.6laws.net/6law/law2\&#20445;&#35703;&#25152;&#26377;&#31227;&#24473;&#24037;&#20154;&#21450;&#20854;&#23478;&#24237;&#25104;&#21729;&#27402;&#21033;&#22283;&#38555;&#20844;&#32004;.htm" TargetMode="External"/><Relationship Id="rId2904" Type="http://schemas.openxmlformats.org/officeDocument/2006/relationships/hyperlink" Target="http://www.sina.com.cn" TargetMode="External"/><Relationship Id="rId1506" Type="http://schemas.openxmlformats.org/officeDocument/2006/relationships/hyperlink" Target="https://www.6laws.net/6law/law\&#25010;&#27861;.htm" TargetMode="External"/><Relationship Id="rId1713" Type="http://schemas.openxmlformats.org/officeDocument/2006/relationships/hyperlink" Target="http://en.wikipedia.org/wiki/Drug_injection" TargetMode="External"/><Relationship Id="rId1920" Type="http://schemas.openxmlformats.org/officeDocument/2006/relationships/hyperlink" Target="https://www.6laws.net/6law/law\&#20837;&#20986;&#22283;&#21450;&#31227;&#27665;&#27861;.htm" TargetMode="External"/><Relationship Id="rId599" Type="http://schemas.openxmlformats.org/officeDocument/2006/relationships/hyperlink" Target="https://www.6laws.net/6law/law\&#25010;&#27861;.htm" TargetMode="External"/><Relationship Id="rId2487" Type="http://schemas.openxmlformats.org/officeDocument/2006/relationships/hyperlink" Target="https://www.6laws.net/6law/law2\&#20844;&#27665;&#33287;&#25919;&#27835;&#27402;&#21033;&#22283;&#38555;&#20844;&#32004;.htm" TargetMode="External"/><Relationship Id="rId2694" Type="http://schemas.openxmlformats.org/officeDocument/2006/relationships/hyperlink" Target="https://www.6laws.net/6law/law\&#20837;&#20986;&#22283;&#21450;&#31227;&#27665;&#27861;.htm" TargetMode="External"/><Relationship Id="rId459" Type="http://schemas.openxmlformats.org/officeDocument/2006/relationships/hyperlink" Target="https://www.6laws.net/6law/law\&#25010;&#27861;.htm" TargetMode="External"/><Relationship Id="rId666" Type="http://schemas.openxmlformats.org/officeDocument/2006/relationships/hyperlink" Target="https://www.6laws.net/6law/law\&#22823;&#27861;&#23448;&#35299;&#37323;87-91&#24180;.htm" TargetMode="External"/><Relationship Id="rId873" Type="http://schemas.openxmlformats.org/officeDocument/2006/relationships/hyperlink" Target="https://zh.wikipedia.org/wiki/%E5%88%B6%E6%86%B2%E5%9C%8B%E6%B0%91%E5%A4%A7%E6%9C%83" TargetMode="External"/><Relationship Id="rId1089" Type="http://schemas.openxmlformats.org/officeDocument/2006/relationships/hyperlink" Target="https://www.6laws.net/6law/law\&#20013;&#33775;&#27665;&#22283;&#25010;&#27861;&#22686;&#20462;&#26781;&#25991;.htm" TargetMode="External"/><Relationship Id="rId1296" Type="http://schemas.openxmlformats.org/officeDocument/2006/relationships/hyperlink" Target="https://www.6laws.net/6law/law\&#22823;&#27861;&#23448;&#35299;&#37323;79-86&#24180;.htm" TargetMode="External"/><Relationship Id="rId2347" Type="http://schemas.openxmlformats.org/officeDocument/2006/relationships/hyperlink" Target="https://www.6laws.net/6law/law\&#25010;&#27861;.htm" TargetMode="External"/><Relationship Id="rId2554" Type="http://schemas.openxmlformats.org/officeDocument/2006/relationships/hyperlink" Target="https://www.6laws.net/6law/law2\&#20844;&#27665;&#33287;&#25919;&#27835;&#27402;&#21033;&#22283;&#38555;&#20844;&#32004;.htm" TargetMode="External"/><Relationship Id="rId319" Type="http://schemas.openxmlformats.org/officeDocument/2006/relationships/hyperlink" Target="https://www.6laws.net/6law/law\&#20013;&#33775;&#27665;&#22283;&#25010;&#27861;&#22686;&#20462;&#26781;&#25991;.htm" TargetMode="External"/><Relationship Id="rId526" Type="http://schemas.openxmlformats.org/officeDocument/2006/relationships/hyperlink" Target="https://www.6laws.net/6law/law\&#36198;&#20813;&#27861;.htm" TargetMode="External"/><Relationship Id="rId1156" Type="http://schemas.openxmlformats.org/officeDocument/2006/relationships/hyperlink" Target="https://www.6laws.net/6law/law\&#22320;&#26041;&#21046;&#24230;&#27861;.htm" TargetMode="External"/><Relationship Id="rId1363" Type="http://schemas.openxmlformats.org/officeDocument/2006/relationships/hyperlink" Target="https://www.6laws.net/6law/law\&#25945;&#32946;&#22522;&#26412;&#27861;.htm" TargetMode="External"/><Relationship Id="rId2207" Type="http://schemas.openxmlformats.org/officeDocument/2006/relationships/hyperlink" Target="https://www.6laws.net/6law/law\&#20818;&#31461;&#21450;&#23569;&#24180;&#24615;&#20132;&#26131;&#38450;&#21046;&#26781;&#20363;.htm" TargetMode="External"/><Relationship Id="rId2761" Type="http://schemas.openxmlformats.org/officeDocument/2006/relationships/hyperlink" Target="https://www.6laws.net/6law/law2\&#20818;&#31461;&#27402;&#21033;&#20844;&#32004;.htm" TargetMode="External"/><Relationship Id="rId733" Type="http://schemas.openxmlformats.org/officeDocument/2006/relationships/hyperlink" Target="https://www.6laws.net/6law/law\&#25010;&#27861;.htm" TargetMode="External"/><Relationship Id="rId940" Type="http://schemas.openxmlformats.org/officeDocument/2006/relationships/hyperlink" Target="https://www.6laws.net/6law/law\&#30435;&#23519;&#27861;.htm" TargetMode="External"/><Relationship Id="rId1016" Type="http://schemas.openxmlformats.org/officeDocument/2006/relationships/hyperlink" Target="https://www.6laws.net/6law/law\&#25010;&#27861;.htm" TargetMode="External"/><Relationship Id="rId1570" Type="http://schemas.openxmlformats.org/officeDocument/2006/relationships/hyperlink" Target="https://www.6laws.net/6law/law\&#25010;&#27861;.htm" TargetMode="External"/><Relationship Id="rId2414" Type="http://schemas.openxmlformats.org/officeDocument/2006/relationships/hyperlink" Target="https://www.6laws.net/6law/law\&#25010;&#27861;.htm" TargetMode="External"/><Relationship Id="rId2621" Type="http://schemas.openxmlformats.org/officeDocument/2006/relationships/image" Target="media/image45.jpeg"/><Relationship Id="rId800" Type="http://schemas.openxmlformats.org/officeDocument/2006/relationships/hyperlink" Target="https://www.6laws.net/6law/law\&#25010;&#27861;.htm" TargetMode="External"/><Relationship Id="rId1223" Type="http://schemas.openxmlformats.org/officeDocument/2006/relationships/hyperlink" Target="https://www.6laws.net/6law/law\&#22823;&#27861;&#23448;&#35299;&#37323;79-86&#24180;.htm" TargetMode="External"/><Relationship Id="rId1430" Type="http://schemas.openxmlformats.org/officeDocument/2006/relationships/hyperlink" Target="https://www.6laws.net/6law/law\&#25010;&#27861;.htm" TargetMode="External"/><Relationship Id="rId176" Type="http://schemas.openxmlformats.org/officeDocument/2006/relationships/hyperlink" Target="https://www.6laws.net/6law/law\&#25010;&#27861;.htm" TargetMode="External"/><Relationship Id="rId383" Type="http://schemas.openxmlformats.org/officeDocument/2006/relationships/hyperlink" Target="https://www.6laws.net/6law/law\&#22823;&#27861;&#23448;&#35299;&#37323;79-86&#24180;.htm" TargetMode="External"/><Relationship Id="rId590" Type="http://schemas.openxmlformats.org/officeDocument/2006/relationships/hyperlink" Target="https://www.6laws.net/6law/law\&#25010;&#27861;.htm" TargetMode="External"/><Relationship Id="rId2064" Type="http://schemas.openxmlformats.org/officeDocument/2006/relationships/hyperlink" Target="https://www.6laws.net/6law/law2\&#26377;&#38364;&#38627;&#27665;&#22320;&#20301;&#20844;&#32004;.htm" TargetMode="External"/><Relationship Id="rId2271" Type="http://schemas.openxmlformats.org/officeDocument/2006/relationships/hyperlink" Target="https://www.6laws.net/6law/law-gb\&#21453;&#20998;&#35010;&#22283;&#23478;&#27861;.htm" TargetMode="External"/><Relationship Id="rId243" Type="http://schemas.openxmlformats.org/officeDocument/2006/relationships/hyperlink" Target="https://www.6laws.net/6law/law\&#25010;&#27861;.htm" TargetMode="External"/><Relationship Id="rId450" Type="http://schemas.openxmlformats.org/officeDocument/2006/relationships/hyperlink" Target="https://www.6laws.net/6law/law\&#20013;&#33775;&#27665;&#22283;&#25010;&#27861;&#22686;&#20462;&#26781;&#25991;.htm" TargetMode="External"/><Relationship Id="rId1080" Type="http://schemas.openxmlformats.org/officeDocument/2006/relationships/hyperlink" Target="https://www.6laws.net/6law/law\&#25010;&#27861;.htm" TargetMode="External"/><Relationship Id="rId2131" Type="http://schemas.openxmlformats.org/officeDocument/2006/relationships/hyperlink" Target="https://www.6laws.net/6law/law2\&#20844;&#27665;&#33287;&#25919;&#27835;&#27402;&#21033;&#22283;&#38555;&#20844;&#32004;.htm" TargetMode="External"/><Relationship Id="rId103" Type="http://schemas.openxmlformats.org/officeDocument/2006/relationships/hyperlink" Target="https://www.6laws.net/6law/law\&#22823;&#27861;&#23448;&#35299;&#37323;92-n&#24180;.htm" TargetMode="External"/><Relationship Id="rId310" Type="http://schemas.openxmlformats.org/officeDocument/2006/relationships/hyperlink" Target="https://www.6laws.net/6law/law\&#25010;&#27861;.htm" TargetMode="External"/><Relationship Id="rId1897" Type="http://schemas.openxmlformats.org/officeDocument/2006/relationships/hyperlink" Target="https://www.6laws.net/6law/law2\&#19990;&#30028;&#20154;&#27402;&#23459;&#35328;.htm" TargetMode="External"/><Relationship Id="rId1757" Type="http://schemas.openxmlformats.org/officeDocument/2006/relationships/hyperlink" Target="https://www.6laws.net/6law/law\&#21214;&#21205;&#22522;&#28310;&#27861;.htm" TargetMode="External"/><Relationship Id="rId1964" Type="http://schemas.openxmlformats.org/officeDocument/2006/relationships/hyperlink" Target="https://www.6laws.net/6law/law2\&#20844;&#27665;&#33287;&#25919;&#27835;&#27402;&#21033;&#22283;&#38555;&#20844;&#32004;.htm" TargetMode="External"/><Relationship Id="rId2808" Type="http://schemas.openxmlformats.org/officeDocument/2006/relationships/hyperlink" Target="https://www.6laws.net/6law/law\&#25010;&#27861;.htm" TargetMode="External"/><Relationship Id="rId49" Type="http://schemas.openxmlformats.org/officeDocument/2006/relationships/hyperlink" Target="https://www.6laws.net/6law/law\&#25010;&#27861;.htm" TargetMode="External"/><Relationship Id="rId1617" Type="http://schemas.openxmlformats.org/officeDocument/2006/relationships/hyperlink" Target="https://www.6laws.net/6law/law\&#27602;&#21697;&#21361;&#23475;&#38450;&#21046;&#26781;&#20363;.htm" TargetMode="External"/><Relationship Id="rId1824" Type="http://schemas.openxmlformats.org/officeDocument/2006/relationships/hyperlink" Target="https://www.6laws.net/6law/law2\&#28040;&#38500;&#19968;&#20999;&#24418;&#24335;&#31278;&#26063;&#27495;&#35222;&#22283;&#38555;&#20844;&#32004;.htm" TargetMode="External"/><Relationship Id="rId2598" Type="http://schemas.openxmlformats.org/officeDocument/2006/relationships/hyperlink" Target="https://www.6laws.net/6law/law\&#25010;&#27861;.htm" TargetMode="External"/><Relationship Id="rId777" Type="http://schemas.openxmlformats.org/officeDocument/2006/relationships/hyperlink" Target="https://www.6laws.net/6law/law\&#25010;&#27861;.htm" TargetMode="External"/><Relationship Id="rId984" Type="http://schemas.openxmlformats.org/officeDocument/2006/relationships/hyperlink" Target="https://www.6laws.net/6law/law\&#25010;&#27861;.htm" TargetMode="External"/><Relationship Id="rId2458" Type="http://schemas.openxmlformats.org/officeDocument/2006/relationships/hyperlink" Target="https://www.6laws.net/6law/law2\&#19990;&#30028;&#20154;&#27402;&#23459;&#35328;.htm" TargetMode="External"/><Relationship Id="rId2665" Type="http://schemas.openxmlformats.org/officeDocument/2006/relationships/hyperlink" Target="https://www.6laws.net/6law/law\&#20778;&#29983;&#20445;&#20581;&#27861;.htm" TargetMode="External"/><Relationship Id="rId2872" Type="http://schemas.openxmlformats.org/officeDocument/2006/relationships/hyperlink" Target="http://www.labour.gov.on.ca/english/es/faqs/epfna.php" TargetMode="External"/><Relationship Id="rId637" Type="http://schemas.openxmlformats.org/officeDocument/2006/relationships/hyperlink" Target="https://www.6laws.net/6law/law\&#20013;&#33775;&#27665;&#22283;&#25010;&#27861;&#22686;&#20462;&#26781;&#25991;.htm" TargetMode="External"/><Relationship Id="rId844" Type="http://schemas.openxmlformats.org/officeDocument/2006/relationships/hyperlink" Target="https://www.6laws.net/6law/law\&#25010;&#27861;.htm" TargetMode="External"/><Relationship Id="rId1267" Type="http://schemas.openxmlformats.org/officeDocument/2006/relationships/hyperlink" Target="https://www.6laws.net/6law/law\&#21830;&#26989;&#26371;&#35336;&#27861;.htm" TargetMode="External"/><Relationship Id="rId1474" Type="http://schemas.openxmlformats.org/officeDocument/2006/relationships/hyperlink" Target="https://www.6laws.net/6law/law\&#20013;&#33775;&#27665;&#22283;&#25010;&#27861;&#22686;&#20462;&#26781;&#25991;.htm" TargetMode="External"/><Relationship Id="rId1681" Type="http://schemas.openxmlformats.org/officeDocument/2006/relationships/hyperlink" Target="https://www.6laws.net/6law/law\&#32901;&#28165;&#29017;&#27602;&#26781;&#20363;.htm" TargetMode="External"/><Relationship Id="rId2318" Type="http://schemas.openxmlformats.org/officeDocument/2006/relationships/hyperlink" Target="https://www.6laws.net/6law/law-gb\&#21453;&#20998;&#35010;&#22283;&#23478;&#27861;.htm" TargetMode="External"/><Relationship Id="rId2525" Type="http://schemas.openxmlformats.org/officeDocument/2006/relationships/hyperlink" Target="https://www.6laws.net/6law/law\&#22823;&#27861;&#23448;&#35299;&#37323;92-n&#24180;.htm" TargetMode="External"/><Relationship Id="rId2732" Type="http://schemas.openxmlformats.org/officeDocument/2006/relationships/hyperlink" Target="https://www.6laws.net/6law/law2\&#28040;&#38500;&#23565;&#23142;&#22899;&#19968;&#20999;&#24418;&#24335;&#27495;&#35222;&#20844;&#32004;.htm" TargetMode="External"/><Relationship Id="rId704" Type="http://schemas.openxmlformats.org/officeDocument/2006/relationships/hyperlink" Target="https://www.6laws.net/6law/law\&#22823;&#27861;&#23448;&#35299;&#37323;92-n&#24180;.htm" TargetMode="External"/><Relationship Id="rId911" Type="http://schemas.openxmlformats.org/officeDocument/2006/relationships/hyperlink" Target="https://www.6laws.net/6law/law\&#22823;&#27861;&#23448;&#35299;&#37323;79-86&#24180;.htm" TargetMode="External"/><Relationship Id="rId1127" Type="http://schemas.openxmlformats.org/officeDocument/2006/relationships/hyperlink" Target="https://zh.wikipedia.org/wiki/%E5%88%B6%E6%86%B2%E5%9C%8B%E6%B0%91%E5%A4%A7%E6%9C%83" TargetMode="External"/><Relationship Id="rId1334" Type="http://schemas.openxmlformats.org/officeDocument/2006/relationships/hyperlink" Target="https://www.6laws.net/6law/law\&#25010;&#27861;.htm" TargetMode="External"/><Relationship Id="rId1541" Type="http://schemas.openxmlformats.org/officeDocument/2006/relationships/hyperlink" Target="https://www.6laws.net/6law/law\&#20013;&#33775;&#27665;&#22283;&#25010;&#27861;&#22686;&#20462;&#26781;&#25991;.htm" TargetMode="External"/><Relationship Id="rId40" Type="http://schemas.openxmlformats.org/officeDocument/2006/relationships/hyperlink" Target="https://www.6laws.net/6law/law\&#25010;&#27861;.htm" TargetMode="External"/><Relationship Id="rId1401" Type="http://schemas.openxmlformats.org/officeDocument/2006/relationships/hyperlink" Target="https://www.6laws.net/6law/law\&#25010;&#27861;.htm" TargetMode="External"/><Relationship Id="rId287" Type="http://schemas.openxmlformats.org/officeDocument/2006/relationships/hyperlink" Target="https://www.6laws.net/6law/law\&#25010;&#27861;.htm" TargetMode="External"/><Relationship Id="rId494" Type="http://schemas.openxmlformats.org/officeDocument/2006/relationships/hyperlink" Target="https://www.6laws.net/6law/law\&#25010;&#27861;.htm" TargetMode="External"/><Relationship Id="rId2175" Type="http://schemas.openxmlformats.org/officeDocument/2006/relationships/hyperlink" Target="https://www.6laws.net/6law/law\&#25010;&#27861;.htm" TargetMode="External"/><Relationship Id="rId2382" Type="http://schemas.openxmlformats.org/officeDocument/2006/relationships/hyperlink" Target="https://zh.wikipedia.org/wiki/%E8%87%BA%E6%97%A5%E6%BC%81%E6%A5%AD%E5%8D%94%E8%AD%B0" TargetMode="External"/><Relationship Id="rId147" Type="http://schemas.openxmlformats.org/officeDocument/2006/relationships/hyperlink" Target="https://www.6laws.net/6law/law\&#22823;&#27861;&#23448;&#35299;&#37323;87-91&#24180;.htm" TargetMode="External"/><Relationship Id="rId354" Type="http://schemas.openxmlformats.org/officeDocument/2006/relationships/hyperlink" Target="file:///C:\law\&#25010;&#27861;.htm" TargetMode="External"/><Relationship Id="rId1191" Type="http://schemas.openxmlformats.org/officeDocument/2006/relationships/hyperlink" Target="https://www.6laws.net/6law/law\&#22320;&#26041;&#21046;&#24230;&#27861;.htm" TargetMode="External"/><Relationship Id="rId2035" Type="http://schemas.openxmlformats.org/officeDocument/2006/relationships/hyperlink" Target="https://www.6laws.net/6law/law2\&#20844;&#27665;&#33287;&#25919;&#27835;&#27402;&#21033;&#22283;&#38555;&#20844;&#32004;.htm" TargetMode="External"/><Relationship Id="rId561" Type="http://schemas.openxmlformats.org/officeDocument/2006/relationships/hyperlink" Target="https://www.6laws.net/6law/law\&#25010;&#27861;.htm" TargetMode="External"/><Relationship Id="rId2242" Type="http://schemas.openxmlformats.org/officeDocument/2006/relationships/hyperlink" Target="https://www.6laws.net/6law/law\&#21214;&#21205;&#22522;&#28310;&#27861;.htm" TargetMode="External"/><Relationship Id="rId214" Type="http://schemas.openxmlformats.org/officeDocument/2006/relationships/hyperlink" Target="https://www.6laws.net/6law/law\&#25010;&#27861;.htm" TargetMode="External"/><Relationship Id="rId421" Type="http://schemas.openxmlformats.org/officeDocument/2006/relationships/hyperlink" Target="https://www.6laws.net/6law/law\&#22823;&#27861;&#23448;&#35299;&#37323;92-n&#24180;.htm" TargetMode="External"/><Relationship Id="rId1051" Type="http://schemas.openxmlformats.org/officeDocument/2006/relationships/hyperlink" Target="https://www.6laws.net/6law/law\&#23529;&#35336;&#37096;&#32068;&#32340;&#27861;.htm" TargetMode="External"/><Relationship Id="rId2102" Type="http://schemas.openxmlformats.org/officeDocument/2006/relationships/hyperlink" Target="https://www.6laws.net/6law/law2\&#20844;&#27665;&#33287;&#25919;&#27835;&#27402;&#21033;&#22283;&#38555;&#20844;&#32004;.htm" TargetMode="External"/><Relationship Id="rId1868" Type="http://schemas.openxmlformats.org/officeDocument/2006/relationships/hyperlink" Target="https://www.6laws.net/6law/law2\&#19990;&#30028;&#20154;&#27402;&#23459;&#35328;.htm" TargetMode="External"/><Relationship Id="rId2919" Type="http://schemas.openxmlformats.org/officeDocument/2006/relationships/hyperlink" Target="http://www.un.org/chinese/radio/story.asp?NewsID=1438" TargetMode="External"/><Relationship Id="rId1728" Type="http://schemas.openxmlformats.org/officeDocument/2006/relationships/hyperlink" Target="https://www.6laws.net/6law/law\&#21214;&#21205;&#22522;&#28310;&#27861;.htm" TargetMode="External"/><Relationship Id="rId1935" Type="http://schemas.openxmlformats.org/officeDocument/2006/relationships/hyperlink" Target="https://www.6laws.net/6law/law\&#20837;&#20986;&#22283;&#21450;&#31227;&#27665;&#27861;.htm" TargetMode="External"/><Relationship Id="rId4" Type="http://schemas.openxmlformats.org/officeDocument/2006/relationships/settings" Target="settings.xml"/><Relationship Id="rId888" Type="http://schemas.openxmlformats.org/officeDocument/2006/relationships/hyperlink" Target="https://www.6laws.net/6law/law\&#25010;&#27861;.htm" TargetMode="External"/><Relationship Id="rId2569" Type="http://schemas.openxmlformats.org/officeDocument/2006/relationships/hyperlink" Target="https://www.6laws.net/6law/law2\&#20844;&#27665;&#33287;&#25919;&#27835;&#27402;&#21033;&#22283;&#38555;&#20844;&#32004;.htm" TargetMode="External"/><Relationship Id="rId2776" Type="http://schemas.openxmlformats.org/officeDocument/2006/relationships/hyperlink" Target="https://www.6laws.net/6law/law2\&#20818;&#31461;&#27402;&#21033;&#20844;&#32004;.htm" TargetMode="External"/><Relationship Id="rId748" Type="http://schemas.openxmlformats.org/officeDocument/2006/relationships/hyperlink" Target="https://www.6laws.net/6law/law\&#20013;&#33775;&#27665;&#22283;&#25010;&#27861;&#22686;&#20462;&#26781;&#25991;.htm" TargetMode="External"/><Relationship Id="rId955" Type="http://schemas.openxmlformats.org/officeDocument/2006/relationships/hyperlink" Target="https://www.6laws.net/6law/law\&#25010;&#27861;.htm" TargetMode="External"/><Relationship Id="rId1378" Type="http://schemas.openxmlformats.org/officeDocument/2006/relationships/hyperlink" Target="https://www.6laws.net/6law/law\&#38928;&#31639;&#27861;.htm" TargetMode="External"/><Relationship Id="rId1585" Type="http://schemas.openxmlformats.org/officeDocument/2006/relationships/hyperlink" Target="https://www.6laws.net/6law/law\&#20013;&#33775;&#27665;&#22283;&#25010;&#27861;&#22686;&#20462;&#26781;&#25991;.htm" TargetMode="External"/><Relationship Id="rId1792" Type="http://schemas.openxmlformats.org/officeDocument/2006/relationships/hyperlink" Target="https://www.6laws.net/6law/law\&#28040;&#36027;&#32773;&#20445;&#35703;&#27861;.htm" TargetMode="External"/><Relationship Id="rId2429" Type="http://schemas.openxmlformats.org/officeDocument/2006/relationships/hyperlink" Target="https://www.6laws.net/6law/law2\&#20844;&#27665;&#33287;&#25919;&#27835;&#27402;&#21033;&#22283;&#38555;&#20844;&#32004;.htm" TargetMode="External"/><Relationship Id="rId2636" Type="http://schemas.openxmlformats.org/officeDocument/2006/relationships/hyperlink" Target="http://www.google.com.tw/url?sa=i&amp;rct=j&amp;q=&amp;esrc=s&amp;frm=1&amp;source=images&amp;cd=&amp;cad=rja&amp;uact=8&amp;ved=0CAcQjRw&amp;url=http://www.xuefo.net/nr/article14/142380.html&amp;ei=8BfjVJafK8TEmAWmyIKADQ&amp;psig=AFQjCNG8C9RlTa-E31L7WUxCKxDbuMEcSQ&amp;ust=1424255224097605" TargetMode="External"/><Relationship Id="rId2843" Type="http://schemas.openxmlformats.org/officeDocument/2006/relationships/hyperlink" Target="http://en.wikipedia.org/wiki/Bomb_squad" TargetMode="External"/><Relationship Id="rId84" Type="http://schemas.openxmlformats.org/officeDocument/2006/relationships/hyperlink" Target="https://www.6laws.net/6law/law2\&#19990;&#30028;&#20154;&#27402;&#23459;&#35328;.htm" TargetMode="External"/><Relationship Id="rId608" Type="http://schemas.openxmlformats.org/officeDocument/2006/relationships/hyperlink" Target="https://www.6laws.net/6law/law\&#20013;&#33775;&#27665;&#22283;&#25010;&#27861;&#22686;&#20462;&#26781;&#25991;.htm" TargetMode="External"/><Relationship Id="rId815" Type="http://schemas.openxmlformats.org/officeDocument/2006/relationships/hyperlink" Target="https://www.6laws.net/6law/law\&#25010;&#27861;.htm" TargetMode="External"/><Relationship Id="rId1238" Type="http://schemas.openxmlformats.org/officeDocument/2006/relationships/hyperlink" Target="https://www.6laws.net/6law/law\&#21009;&#27861;.htm" TargetMode="External"/><Relationship Id="rId1445" Type="http://schemas.openxmlformats.org/officeDocument/2006/relationships/hyperlink" Target="https://www.6laws.net/6law/law\&#20013;&#33775;&#27665;&#22283;&#25010;&#27861;&#22686;&#20462;&#26781;&#25991;.htm" TargetMode="External"/><Relationship Id="rId1652" Type="http://schemas.openxmlformats.org/officeDocument/2006/relationships/hyperlink" Target="https://www.6laws.net/6law/law\&#25121;&#20098;&#26178;&#26399;&#32901;&#28165;&#29017;&#27602;&#26781;&#20363;.htm" TargetMode="External"/><Relationship Id="rId1305" Type="http://schemas.openxmlformats.org/officeDocument/2006/relationships/hyperlink" Target="https://www.6laws.net/6law/law\&#26368;&#39640;&#34892;&#25919;&#27861;&#38498;&#21028;&#20363;&#24409;&#32232;61-90&#24180;.htm" TargetMode="External"/><Relationship Id="rId2703" Type="http://schemas.openxmlformats.org/officeDocument/2006/relationships/hyperlink" Target="https://www.6laws.net/6law/law\&#22823;&#27861;&#23448;&#35299;&#37323;92-n&#24180;.htm" TargetMode="External"/><Relationship Id="rId2910" Type="http://schemas.openxmlformats.org/officeDocument/2006/relationships/hyperlink" Target="http://www.chinatopnews.com/MainNews/Opinion/2005_4_15_7_53_34_622.html" TargetMode="External"/><Relationship Id="rId1512" Type="http://schemas.openxmlformats.org/officeDocument/2006/relationships/hyperlink" Target="https://www.6laws.net/6law/law\&#20013;&#33775;&#27665;&#22283;&#25010;&#27861;&#22686;&#20462;&#26781;&#25991;.htm" TargetMode="External"/><Relationship Id="rId11" Type="http://schemas.openxmlformats.org/officeDocument/2006/relationships/image" Target="media/image2.emf"/><Relationship Id="rId398" Type="http://schemas.openxmlformats.org/officeDocument/2006/relationships/hyperlink" Target="https://www.6laws.net/6law/law\&#25010;&#27861;.htm" TargetMode="External"/><Relationship Id="rId2079" Type="http://schemas.openxmlformats.org/officeDocument/2006/relationships/hyperlink" Target="https://www.6laws.net/6law/law2\&#20844;&#27665;&#33287;&#25919;&#27835;&#27402;&#21033;&#22283;&#38555;&#20844;&#32004;.htm" TargetMode="External"/><Relationship Id="rId2286" Type="http://schemas.openxmlformats.org/officeDocument/2006/relationships/hyperlink" Target="https://www.6laws.net/6law/law-gb\&#21453;&#20998;&#35010;&#22283;&#23478;&#27861;.htm" TargetMode="External"/><Relationship Id="rId2493" Type="http://schemas.openxmlformats.org/officeDocument/2006/relationships/hyperlink" Target="https://www.6laws.net/6law/law2\&#20844;&#27665;&#33287;&#25919;&#27835;&#27402;&#21033;&#22283;&#38555;&#20844;&#32004;.htm" TargetMode="External"/><Relationship Id="rId258" Type="http://schemas.openxmlformats.org/officeDocument/2006/relationships/hyperlink" Target="https://www.6laws.net/6law/law\&#22823;&#27861;&#23448;&#35299;&#37323;87-91&#24180;.htm" TargetMode="External"/><Relationship Id="rId465" Type="http://schemas.openxmlformats.org/officeDocument/2006/relationships/image" Target="media/image17.jpeg"/><Relationship Id="rId672" Type="http://schemas.openxmlformats.org/officeDocument/2006/relationships/hyperlink" Target="https://www.6laws.net/6law/law\&#31435;&#27861;&#38498;&#32887;&#27402;&#34892;&#20351;&#27861;.htm" TargetMode="External"/><Relationship Id="rId1095" Type="http://schemas.openxmlformats.org/officeDocument/2006/relationships/hyperlink" Target="https://www.6laws.net/6law/law\&#22320;&#26041;&#21046;&#24230;&#27861;.htm" TargetMode="External"/><Relationship Id="rId2146" Type="http://schemas.openxmlformats.org/officeDocument/2006/relationships/hyperlink" Target="https://www.6laws.net/6law/law2\&#20818;&#31461;&#27402;&#21033;&#20844;&#32004;.htm" TargetMode="External"/><Relationship Id="rId2353" Type="http://schemas.openxmlformats.org/officeDocument/2006/relationships/hyperlink" Target="https://www.6laws.net/6law/law\&#25010;&#27861;.htm" TargetMode="External"/><Relationship Id="rId2560" Type="http://schemas.openxmlformats.org/officeDocument/2006/relationships/hyperlink" Target="http://paper.wenweipo.com/2011/10/07/GJ1110070037.htm" TargetMode="External"/><Relationship Id="rId118" Type="http://schemas.openxmlformats.org/officeDocument/2006/relationships/hyperlink" Target="https://www.6laws.net/6law/law\&#22823;&#27861;&#23448;&#35299;&#37323;92-n&#24180;.htm" TargetMode="External"/><Relationship Id="rId325" Type="http://schemas.openxmlformats.org/officeDocument/2006/relationships/hyperlink" Target="https://www.6laws.net/6law/law\&#25010;&#27861;.htm" TargetMode="External"/><Relationship Id="rId532" Type="http://schemas.openxmlformats.org/officeDocument/2006/relationships/hyperlink" Target="https://www.6laws.net/6law/law\&#25010;&#27861;.htm" TargetMode="External"/><Relationship Id="rId1162" Type="http://schemas.openxmlformats.org/officeDocument/2006/relationships/hyperlink" Target="https://www.6laws.net/6law/law\&#22320;&#26041;&#21046;&#24230;&#27861;.htm" TargetMode="External"/><Relationship Id="rId2006" Type="http://schemas.openxmlformats.org/officeDocument/2006/relationships/hyperlink" Target="https://www.6laws.net/6law/law\&#20844;&#27665;&#33287;&#25919;&#27835;&#27402;&#21033;&#22283;&#38555;&#20844;&#32004;&#21450;&#32147;&#28639;&#31038;&#26371;&#25991;&#21270;&#27402;&#21033;&#22283;&#38555;&#20844;&#32004;&#26045;&#34892;&#27861;.htm" TargetMode="External"/><Relationship Id="rId2213" Type="http://schemas.openxmlformats.org/officeDocument/2006/relationships/hyperlink" Target="http://www.state.gov/documents/organization/210737.pdf" TargetMode="External"/><Relationship Id="rId2420" Type="http://schemas.openxmlformats.org/officeDocument/2006/relationships/hyperlink" Target="https://www.6laws.net/6law/law2\&#19990;&#30028;&#20154;&#27402;&#23459;&#35328;.htm" TargetMode="External"/><Relationship Id="rId1022" Type="http://schemas.openxmlformats.org/officeDocument/2006/relationships/hyperlink" Target="https://www.6laws.net/6law/law\&#25010;&#27861;.htm" TargetMode="External"/><Relationship Id="rId1979" Type="http://schemas.openxmlformats.org/officeDocument/2006/relationships/hyperlink" Target="https://www.6laws.net/6law/law2\&#20844;&#27665;&#33287;&#25919;&#27835;&#27402;&#21033;&#22283;&#38555;&#20844;&#32004;.htm" TargetMode="External"/><Relationship Id="rId1839" Type="http://schemas.openxmlformats.org/officeDocument/2006/relationships/hyperlink" Target="https://www.6laws.net/6law/law2\&#20445;&#35703;&#25152;&#26377;&#31227;&#24473;&#24037;&#20154;&#21450;&#20854;&#23478;&#24237;&#25104;&#21729;&#27402;&#21033;&#22283;&#38555;&#20844;&#32004;.htm" TargetMode="External"/><Relationship Id="rId182" Type="http://schemas.openxmlformats.org/officeDocument/2006/relationships/hyperlink" Target="https://www.6laws.net/6law/law\&#25010;&#27861;.htm" TargetMode="External"/><Relationship Id="rId1906" Type="http://schemas.openxmlformats.org/officeDocument/2006/relationships/hyperlink" Target="https://www.6laws.net/6law/law\&#33274;&#28771;&#22320;&#21312;&#33287;&#22823;&#38520;&#22320;&#21312;&#20154;&#27665;&#38364;&#20418;&#26781;&#20363;.htm" TargetMode="External"/><Relationship Id="rId2070" Type="http://schemas.openxmlformats.org/officeDocument/2006/relationships/hyperlink" Target="https://www.6laws.net/6law/law2\&#20844;&#27665;&#33287;&#25919;&#27835;&#27402;&#21033;&#22283;&#38555;&#20844;&#32004;.htm" TargetMode="External"/><Relationship Id="rId999" Type="http://schemas.openxmlformats.org/officeDocument/2006/relationships/hyperlink" Target="https://www.6laws.net/6law/law\&#25010;&#27861;.htm" TargetMode="External"/><Relationship Id="rId2887" Type="http://schemas.openxmlformats.org/officeDocument/2006/relationships/hyperlink" Target="http://articles.latimes.com/2010/feb/11/local/la-me-immig11-2010feb11" TargetMode="External"/><Relationship Id="rId859" Type="http://schemas.openxmlformats.org/officeDocument/2006/relationships/hyperlink" Target="https://www.6laws.net/6law/law\&#25010;&#27861;.htm" TargetMode="External"/><Relationship Id="rId1489" Type="http://schemas.openxmlformats.org/officeDocument/2006/relationships/hyperlink" Target="https://www.6laws.net/6law/law\&#25010;&#27861;.htm" TargetMode="External"/><Relationship Id="rId1696" Type="http://schemas.openxmlformats.org/officeDocument/2006/relationships/hyperlink" Target="https://www.6laws.net/6law/law\&#27602;&#21697;&#21361;&#23475;&#38450;&#21046;&#26781;&#20363;.htm" TargetMode="External"/><Relationship Id="rId1349" Type="http://schemas.openxmlformats.org/officeDocument/2006/relationships/hyperlink" Target="https://www.6laws.net/6law/law\&#20013;&#33775;&#27665;&#22283;&#25010;&#27861;&#22686;&#20462;&#26781;&#25991;.htm" TargetMode="External"/><Relationship Id="rId2747" Type="http://schemas.openxmlformats.org/officeDocument/2006/relationships/hyperlink" Target="https://www.6laws.net/6law/law2\&#20818;&#31461;&#27402;&#21033;&#20844;&#32004;.htm" TargetMode="External"/><Relationship Id="rId719" Type="http://schemas.openxmlformats.org/officeDocument/2006/relationships/hyperlink" Target="https://www.6laws.net/6law/law\&#25010;&#27861;.htm" TargetMode="External"/><Relationship Id="rId926" Type="http://schemas.openxmlformats.org/officeDocument/2006/relationships/hyperlink" Target="https://www.6laws.net/6law/law\&#25010;&#27861;.htm" TargetMode="External"/><Relationship Id="rId1556" Type="http://schemas.openxmlformats.org/officeDocument/2006/relationships/hyperlink" Target="https://www.6laws.net/6law/law\&#20013;&#33775;&#27665;&#22283;&#25010;&#27861;&#22686;&#20462;&#26781;&#25991;.htm" TargetMode="External"/><Relationship Id="rId1763" Type="http://schemas.openxmlformats.org/officeDocument/2006/relationships/hyperlink" Target="https://www.6laws.net/6law/law\&#21214;&#21205;&#22522;&#28310;&#27861;.htm" TargetMode="External"/><Relationship Id="rId1970" Type="http://schemas.openxmlformats.org/officeDocument/2006/relationships/hyperlink" Target="https://www.6laws.net/6law/law2\&#20844;&#27665;&#33287;&#25919;&#27835;&#27402;&#21033;&#22283;&#38555;&#20844;&#32004;.htm" TargetMode="External"/><Relationship Id="rId2607" Type="http://schemas.openxmlformats.org/officeDocument/2006/relationships/hyperlink" Target="http://big5.xuefo.net/nr/article14/142380.html" TargetMode="External"/><Relationship Id="rId2814" Type="http://schemas.openxmlformats.org/officeDocument/2006/relationships/hyperlink" Target="https://www.6laws.net/6law/law\&#20013;&#33775;&#27665;&#22283;&#25010;&#27861;&#22686;&#20462;&#26781;&#25991;.htm" TargetMode="External"/><Relationship Id="rId55" Type="http://schemas.openxmlformats.org/officeDocument/2006/relationships/hyperlink" Target="https://www.6laws.net/6law/law\&#25010;&#27861;.htm" TargetMode="External"/><Relationship Id="rId1209" Type="http://schemas.openxmlformats.org/officeDocument/2006/relationships/hyperlink" Target="https://www.6laws.net/6law/law\&#25010;&#27861;.htm" TargetMode="External"/><Relationship Id="rId1416" Type="http://schemas.openxmlformats.org/officeDocument/2006/relationships/hyperlink" Target="https://www.6laws.net/6law/law\&#25010;&#27861;.htm" TargetMode="External"/><Relationship Id="rId1623" Type="http://schemas.openxmlformats.org/officeDocument/2006/relationships/hyperlink" Target="https://www.6laws.net/6law/law2\&#19990;&#30028;&#20154;&#27402;&#23459;&#35328;.htm" TargetMode="External"/><Relationship Id="rId1830" Type="http://schemas.openxmlformats.org/officeDocument/2006/relationships/hyperlink" Target="https://www.6laws.net/6law/law2\&#20445;&#35703;&#25152;&#26377;&#31227;&#24473;&#24037;&#20154;&#21450;&#20854;&#23478;&#24237;&#25104;&#21729;&#27402;&#21033;&#22283;&#38555;&#20844;&#32004;.htm" TargetMode="External"/><Relationship Id="rId2397" Type="http://schemas.openxmlformats.org/officeDocument/2006/relationships/hyperlink" Target="https://www.6laws.net/6law/law-gb\&#21453;&#20998;&#35010;&#22283;&#23478;&#27861;.htm" TargetMode="External"/><Relationship Id="rId369" Type="http://schemas.openxmlformats.org/officeDocument/2006/relationships/hyperlink" Target="https://www.6laws.net/6law/law\&#25010;&#27861;.htm" TargetMode="External"/><Relationship Id="rId576" Type="http://schemas.openxmlformats.org/officeDocument/2006/relationships/hyperlink" Target="https://www.6laws.net/6law/law\&#22823;&#27861;&#23448;&#35299;&#37323;79-86&#24180;.htm" TargetMode="External"/><Relationship Id="rId783" Type="http://schemas.openxmlformats.org/officeDocument/2006/relationships/hyperlink" Target="https://www.6laws.net/6law/law\&#22823;&#27861;&#23448;&#35299;&#37323;79-86&#24180;.htm" TargetMode="External"/><Relationship Id="rId990" Type="http://schemas.openxmlformats.org/officeDocument/2006/relationships/hyperlink" Target="https://www.6laws.net/6law/law\&#25010;&#27861;.htm" TargetMode="External"/><Relationship Id="rId2257" Type="http://schemas.openxmlformats.org/officeDocument/2006/relationships/hyperlink" Target="https://www.6laws.net/6law/law-gb\&#21453;&#20998;&#35010;&#22283;&#23478;&#27861;.htm" TargetMode="External"/><Relationship Id="rId2464" Type="http://schemas.openxmlformats.org/officeDocument/2006/relationships/hyperlink" Target="https://www.6laws.net/6law/law2\&#19990;&#30028;&#20154;&#27402;&#23459;&#35328;.htm" TargetMode="External"/><Relationship Id="rId2671" Type="http://schemas.openxmlformats.org/officeDocument/2006/relationships/hyperlink" Target="https://www.6laws.net/6law/law\&#25010;&#27861;.htm" TargetMode="External"/><Relationship Id="rId229" Type="http://schemas.openxmlformats.org/officeDocument/2006/relationships/hyperlink" Target="https://www.6laws.net/6law/law\&#22823;&#27861;&#23448;&#35299;&#37323;79-86&#24180;.htm" TargetMode="External"/><Relationship Id="rId436" Type="http://schemas.openxmlformats.org/officeDocument/2006/relationships/hyperlink" Target="https://www.6laws.net/6law/law\&#20013;&#33775;&#27665;&#22283;&#25010;&#27861;&#22686;&#20462;&#26781;&#25991;.htm" TargetMode="External"/><Relationship Id="rId643" Type="http://schemas.openxmlformats.org/officeDocument/2006/relationships/hyperlink" Target="https://www.6laws.net/6law/law\&#25010;&#27861;.htm" TargetMode="External"/><Relationship Id="rId1066" Type="http://schemas.openxmlformats.org/officeDocument/2006/relationships/hyperlink" Target="https://www.6laws.net/6law/law\&#22823;&#27861;&#23448;&#35299;&#37323;87-91&#24180;.htm" TargetMode="External"/><Relationship Id="rId1273" Type="http://schemas.openxmlformats.org/officeDocument/2006/relationships/hyperlink" Target="https://www.6laws.net/6law/law\&#35657;&#21048;&#20132;&#26131;&#27861;.htm" TargetMode="External"/><Relationship Id="rId1480" Type="http://schemas.openxmlformats.org/officeDocument/2006/relationships/hyperlink" Target="https://www.6laws.net/6law/law\&#20013;&#33775;&#27665;&#22283;&#25010;&#27861;&#22686;&#20462;&#26781;&#25991;.htm" TargetMode="External"/><Relationship Id="rId2117" Type="http://schemas.openxmlformats.org/officeDocument/2006/relationships/hyperlink" Target="https://www.6laws.net/6law/law2\&#20844;&#27665;&#33287;&#25919;&#27835;&#27402;&#21033;&#22283;&#38555;&#20844;&#32004;.htm" TargetMode="External"/><Relationship Id="rId2324" Type="http://schemas.openxmlformats.org/officeDocument/2006/relationships/hyperlink" Target="https://www.6laws.net/6law/law-gb\&#21453;&#20998;&#35010;&#22283;&#23478;&#27861;.htm" TargetMode="External"/><Relationship Id="rId850" Type="http://schemas.openxmlformats.org/officeDocument/2006/relationships/hyperlink" Target="https://www.6laws.net/6law/law\&#25010;&#27861;.htm" TargetMode="External"/><Relationship Id="rId1133" Type="http://schemas.openxmlformats.org/officeDocument/2006/relationships/hyperlink" Target="https://www.6laws.net/6law/law\&#25010;&#27861;.htm" TargetMode="External"/><Relationship Id="rId2531" Type="http://schemas.openxmlformats.org/officeDocument/2006/relationships/hyperlink" Target="https://www.6laws.net/6law/law\&#22823;&#27861;&#23448;&#35299;&#37323;79-86&#24180;.htm" TargetMode="External"/><Relationship Id="rId503" Type="http://schemas.openxmlformats.org/officeDocument/2006/relationships/hyperlink" Target="https://www.6laws.net/6law/law\&#25010;&#27861;.htm" TargetMode="External"/><Relationship Id="rId710" Type="http://schemas.openxmlformats.org/officeDocument/2006/relationships/hyperlink" Target="https://www.6laws.net/6law/law\&#31435;&#27861;&#38498;&#32887;&#27402;&#34892;&#20351;&#27861;.htm" TargetMode="External"/><Relationship Id="rId1340" Type="http://schemas.openxmlformats.org/officeDocument/2006/relationships/hyperlink" Target="https://www.6laws.net/6law/law\&#36786;&#26989;&#30332;&#23637;&#26781;&#20363;.htm" TargetMode="External"/><Relationship Id="rId1200" Type="http://schemas.openxmlformats.org/officeDocument/2006/relationships/hyperlink" Target="https://www.6laws.net/6law/law\&#25010;&#27861;.htm" TargetMode="External"/><Relationship Id="rId293" Type="http://schemas.openxmlformats.org/officeDocument/2006/relationships/hyperlink" Target="https://www.6laws.net/6law/law\&#25010;&#27861;.htm" TargetMode="External"/><Relationship Id="rId2181" Type="http://schemas.openxmlformats.org/officeDocument/2006/relationships/hyperlink" Target="https://www.6laws.net/6law/law\&#20844;&#27665;&#33287;&#25919;&#27835;&#27402;&#21033;&#22283;&#38555;&#20844;&#32004;&#21450;&#32147;&#28639;&#31038;&#26371;&#25991;&#21270;&#27402;&#21033;&#22283;&#38555;&#20844;&#32004;&#26045;&#34892;&#27861;.htm" TargetMode="External"/><Relationship Id="rId153" Type="http://schemas.openxmlformats.org/officeDocument/2006/relationships/hyperlink" Target="https://www.6laws.net/6law/law\&#22823;&#27861;&#23448;&#35299;&#37323;92-n&#24180;.htm" TargetMode="External"/><Relationship Id="rId360" Type="http://schemas.openxmlformats.org/officeDocument/2006/relationships/hyperlink" Target="https://www.6laws.net/6law/law\&#22823;&#27861;&#23448;&#35299;&#37323;79-86&#24180;.htm" TargetMode="External"/><Relationship Id="rId2041" Type="http://schemas.openxmlformats.org/officeDocument/2006/relationships/hyperlink" Target="https://www.6laws.net/6law/law2\&#20844;&#27665;&#33287;&#25919;&#27835;&#27402;&#21033;&#22283;&#38555;&#20844;&#32004;.htm" TargetMode="External"/><Relationship Id="rId220" Type="http://schemas.openxmlformats.org/officeDocument/2006/relationships/hyperlink" Target="https://www.6laws.net/6law/law\&#25010;&#27861;.htm" TargetMode="External"/><Relationship Id="rId2858" Type="http://schemas.openxmlformats.org/officeDocument/2006/relationships/hyperlink" Target="https://www.6laws.net/6law/law\&#22283;&#27665;&#22823;&#26371;&#32887;&#27402;&#34892;&#20351;&#27861;.htm" TargetMode="External"/><Relationship Id="rId99" Type="http://schemas.openxmlformats.org/officeDocument/2006/relationships/hyperlink" Target="https://www.6laws.net/6law/law2\&#20844;&#27665;&#33287;&#25919;&#27835;&#27402;&#21033;&#22283;&#38555;&#20844;&#32004;.htm" TargetMode="External"/><Relationship Id="rId1667" Type="http://schemas.openxmlformats.org/officeDocument/2006/relationships/hyperlink" Target="https://www.6laws.net/6law/law\&#21009;&#27861;.htm" TargetMode="External"/><Relationship Id="rId1874" Type="http://schemas.openxmlformats.org/officeDocument/2006/relationships/hyperlink" Target="https://www.6laws.net/6law/law2\&#20844;&#27665;&#33287;&#25919;&#27835;&#27402;&#21033;&#22283;&#38555;&#20844;&#32004;.htm" TargetMode="External"/><Relationship Id="rId2718" Type="http://schemas.openxmlformats.org/officeDocument/2006/relationships/hyperlink" Target="https://www.6laws.net/6law/law2\&#28040;&#38500;&#23565;&#23142;&#22899;&#19968;&#20999;&#24418;&#24335;&#27495;&#35222;&#20844;&#32004;.htm" TargetMode="External"/><Relationship Id="rId2925" Type="http://schemas.openxmlformats.org/officeDocument/2006/relationships/hyperlink" Target="http://www.jrf.org.tw/newjrf/RTE/myform_detail.asp?id=1664"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www.peacehall.com/news/gb/china/2004/06/200406161040.shtml" TargetMode="External"/><Relationship Id="rId299" Type="http://schemas.openxmlformats.org/officeDocument/2006/relationships/hyperlink" Target="http://www.chinatopnews.com/MainNews/Opinion/2005_4_15_7_53_34_622.html" TargetMode="External"/><Relationship Id="rId21" Type="http://schemas.openxmlformats.org/officeDocument/2006/relationships/hyperlink" Target="http://www.tpg.gov.tw/" TargetMode="External"/><Relationship Id="rId63" Type="http://schemas.openxmlformats.org/officeDocument/2006/relationships/hyperlink" Target="http://www.mod.go.jp/j/publication/wp/wp2013/pc/2013/index.html" TargetMode="External"/><Relationship Id="rId159" Type="http://schemas.openxmlformats.org/officeDocument/2006/relationships/hyperlink" Target="http://www.jstage.jst.go.jp/search/?typej=on&amp;typep=on&amp;typer=on&amp;d3=au&amp;dp3=Li+Fan&amp;ca=999999&amp;alang=all&amp;rev=all&amp;pl=20&amp;search=%8C%9F%8D%F5%8E%C0%8Ds" TargetMode="External"/><Relationship Id="rId324" Type="http://schemas.openxmlformats.org/officeDocument/2006/relationships/hyperlink" Target="http://www.foyuan.net/article-861764-1.html" TargetMode="External"/><Relationship Id="rId366" Type="http://schemas.openxmlformats.org/officeDocument/2006/relationships/hyperlink" Target="http://en.wikipedia.org/wiki/Israeli_Border_Police(2010.03)" TargetMode="External"/><Relationship Id="rId170" Type="http://schemas.openxmlformats.org/officeDocument/2006/relationships/hyperlink" Target="http://www.selectnannies.ca/03_caregiver/index.cfm(2011/09/10)" TargetMode="External"/><Relationship Id="rId226" Type="http://schemas.openxmlformats.org/officeDocument/2006/relationships/hyperlink" Target="http://www.state.gov/documents/organization/210737.pdf" TargetMode="External"/><Relationship Id="rId268" Type="http://schemas.openxmlformats.org/officeDocument/2006/relationships/hyperlink" Target="http://big5.fmprc.gov.cn:89/gate/big5/www.fmcoprc.gov.hk/chn/szyw/t196102.htm" TargetMode="External"/><Relationship Id="rId32" Type="http://schemas.openxmlformats.org/officeDocument/2006/relationships/hyperlink" Target="http://www.npf.org.tw/post/1/11716" TargetMode="External"/><Relationship Id="rId74" Type="http://schemas.openxmlformats.org/officeDocument/2006/relationships/hyperlink" Target="http://scimonth.blogspot.tw/2014/01/blog-post_5206.html" TargetMode="External"/><Relationship Id="rId128" Type="http://schemas.openxmlformats.org/officeDocument/2006/relationships/hyperlink" Target="http://www.mofa.gov.tw/webapp/ct.asp?xItem=11427&amp;ctNode=295&amp;mp=1" TargetMode="External"/><Relationship Id="rId335" Type="http://schemas.openxmlformats.org/officeDocument/2006/relationships/hyperlink" Target="http://www.thaicinema.org/kits295dek2002.php" TargetMode="External"/><Relationship Id="rId377" Type="http://schemas.openxmlformats.org/officeDocument/2006/relationships/hyperlink" Target="http://www.absoluteastronomy.com/topics/Israel_Border_Police(2010.03)" TargetMode="External"/><Relationship Id="rId5" Type="http://schemas.openxmlformats.org/officeDocument/2006/relationships/hyperlink" Target="https://zh.wikipedia.org/wiki/%E8%81%AF%E5%90%88%E5%9C%8B%E4%BA%BA%E6%AC%8A%E7%90%86%E4%BA%8B%E6%9C%83" TargetMode="External"/><Relationship Id="rId181" Type="http://schemas.openxmlformats.org/officeDocument/2006/relationships/hyperlink" Target="http://mag.udn.com/mag/edu/storypage.jsp?f_ART_ID=80967" TargetMode="External"/><Relationship Id="rId237" Type="http://schemas.openxmlformats.org/officeDocument/2006/relationships/hyperlink" Target="http://www.ait.org.tw/zh/officialtext-ot1306.html" TargetMode="External"/><Relationship Id="rId279" Type="http://schemas.openxmlformats.org/officeDocument/2006/relationships/hyperlink" Target="http://www.un.org/chinese/radio/story.asp?NewsID=1438" TargetMode="External"/><Relationship Id="rId43" Type="http://schemas.openxmlformats.org/officeDocument/2006/relationships/hyperlink" Target="https://zh.wikipedia.org/wiki/%E8%A7%A3%E6%95%A3%E5%9B%BD%E4%BC%9A" TargetMode="External"/><Relationship Id="rId139" Type="http://schemas.openxmlformats.org/officeDocument/2006/relationships/hyperlink" Target="http://www.peacehall.com/news/gb/china/2004/06/200406161040.shtml(2006.08" TargetMode="External"/><Relationship Id="rId290" Type="http://schemas.openxmlformats.org/officeDocument/2006/relationships/hyperlink" Target="http://big5.fmprc.gov.cn:89/gate/big5/www.fmcoprc.gov.hk/chn/szyw/t196102.htm" TargetMode="External"/><Relationship Id="rId304" Type="http://schemas.openxmlformats.org/officeDocument/2006/relationships/hyperlink" Target="http://biolaw.myweb.hinet.net/data/data2/2002020001.htm" TargetMode="External"/><Relationship Id="rId346" Type="http://schemas.openxmlformats.org/officeDocument/2006/relationships/hyperlink" Target="http://zh.wikipedia.org/wiki/%E6%98%AD%E5%92%8C%E5%A4%A9%E7%9A%87" TargetMode="External"/><Relationship Id="rId388" Type="http://schemas.openxmlformats.org/officeDocument/2006/relationships/hyperlink" Target="http://en.wikipedia.org/wiki/Israeli_Border_Police(2010.03)" TargetMode="External"/><Relationship Id="rId85" Type="http://schemas.openxmlformats.org/officeDocument/2006/relationships/hyperlink" Target="http://zh.wikipedia.org/wiki/%E4%BA%BA%E5%B7%A5%E5%A4%9A%E8%83%BD%E5%B9%B2%E7%BB%86%E8%83%9E" TargetMode="External"/><Relationship Id="rId150" Type="http://schemas.openxmlformats.org/officeDocument/2006/relationships/hyperlink" Target="http://www.houko.com/00/02/H07/343.HTM(2006.08)" TargetMode="External"/><Relationship Id="rId192" Type="http://schemas.openxmlformats.org/officeDocument/2006/relationships/hyperlink" Target="http://www.epochtimes.com/b5" TargetMode="External"/><Relationship Id="rId206" Type="http://schemas.openxmlformats.org/officeDocument/2006/relationships/hyperlink" Target="http://www.amnesty.tw/?p=939" TargetMode="External"/><Relationship Id="rId248" Type="http://schemas.openxmlformats.org/officeDocument/2006/relationships/hyperlink" Target="http://www.buddedu.com/liaowu/yhkl/yhkl-40.htm" TargetMode="External"/><Relationship Id="rId12" Type="http://schemas.openxmlformats.org/officeDocument/2006/relationships/hyperlink" Target="http://web.cec.gov.tw/files/11-1000-1612.php?Lang=zh-TW" TargetMode="External"/><Relationship Id="rId108" Type="http://schemas.openxmlformats.org/officeDocument/2006/relationships/hyperlink" Target="http://www.peacehall.com/news/gb/china/2004/06/200406161040.shtml(2006.08" TargetMode="External"/><Relationship Id="rId315" Type="http://schemas.openxmlformats.org/officeDocument/2006/relationships/hyperlink" Target="http://legal-dictionary.thefreedictionary.com/Due+Process+of+Law" TargetMode="External"/><Relationship Id="rId357" Type="http://schemas.openxmlformats.org/officeDocument/2006/relationships/hyperlink" Target="http://blog.roodo.com/cthci/archives/5950799.html" TargetMode="External"/><Relationship Id="rId54" Type="http://schemas.openxmlformats.org/officeDocument/2006/relationships/hyperlink" Target="http://zh.wikipedia.org/zh-tw/%E6%A9%9F%E5%A0%B4%E4%BF%9D%E5%AE%89%E6%9C%89%E9%99%90%E5%85%AC%E5%8F%B8" TargetMode="External"/><Relationship Id="rId96" Type="http://schemas.openxmlformats.org/officeDocument/2006/relationships/hyperlink" Target="http://www.awker.com/ethics/data/data041030.htm" TargetMode="External"/><Relationship Id="rId161" Type="http://schemas.openxmlformats.org/officeDocument/2006/relationships/hyperlink" Target="http://www.viha.ca/NR/rdonlyres/9C3846B7-4836-4F1C-8CE2-952273E3A439/0/carbc_feasibility_study.pdf" TargetMode="External"/><Relationship Id="rId217" Type="http://schemas.openxmlformats.org/officeDocument/2006/relationships/hyperlink" Target="http://www.state.gov/g/tip/rls/tiprpt/2010/index.htm" TargetMode="External"/><Relationship Id="rId259" Type="http://schemas.openxmlformats.org/officeDocument/2006/relationships/hyperlink" Target="http://webcast.china.com.cn/webcast/created/451/4_1_0101_asc.htm" TargetMode="External"/><Relationship Id="rId23" Type="http://schemas.openxmlformats.org/officeDocument/2006/relationships/hyperlink" Target="http://www.tpg.gov.tw/" TargetMode="External"/><Relationship Id="rId119" Type="http://schemas.openxmlformats.org/officeDocument/2006/relationships/hyperlink" Target="http://www.peacehall.com/news/gb/china/2004/06/200406161040.shtml" TargetMode="External"/><Relationship Id="rId270" Type="http://schemas.openxmlformats.org/officeDocument/2006/relationships/hyperlink" Target="http://www.unhchr.ch/html/menu3/b/94.htm" TargetMode="External"/><Relationship Id="rId326" Type="http://schemas.openxmlformats.org/officeDocument/2006/relationships/hyperlink" Target="http://www.cccbc.net/message/ethics-1.html" TargetMode="External"/><Relationship Id="rId65" Type="http://schemas.openxmlformats.org/officeDocument/2006/relationships/hyperlink" Target="http://www.mod.go.jp/j/publication/wp/wp2013/pc/2013/index.html" TargetMode="External"/><Relationship Id="rId130" Type="http://schemas.openxmlformats.org/officeDocument/2006/relationships/hyperlink" Target="http://www.un.org/chinese/documents/decl-con/geneva_protocol_2.htm" TargetMode="External"/><Relationship Id="rId368" Type="http://schemas.openxmlformats.org/officeDocument/2006/relationships/hyperlink" Target="http://en.wikipedia.org/wiki/Israeli_Border_Police(2010.03)" TargetMode="External"/><Relationship Id="rId172" Type="http://schemas.openxmlformats.org/officeDocument/2006/relationships/hyperlink" Target="http://en.wikipedia.org/wiki/Employment_Standards_Act(2011/09/20)" TargetMode="External"/><Relationship Id="rId228" Type="http://schemas.openxmlformats.org/officeDocument/2006/relationships/hyperlink" Target="http://www.state.gov/documents/organization/210737.pdf" TargetMode="External"/><Relationship Id="rId281" Type="http://schemas.openxmlformats.org/officeDocument/2006/relationships/hyperlink" Target="http://www.un.org/chinese/radio/story.asp?NewsID=1438" TargetMode="External"/><Relationship Id="rId337" Type="http://schemas.openxmlformats.org/officeDocument/2006/relationships/hyperlink" Target="http://www.xuefo.net/nr/article14/142380.html" TargetMode="External"/><Relationship Id="rId34" Type="http://schemas.openxmlformats.org/officeDocument/2006/relationships/hyperlink" Target="http://www.moea.gov.tw/Mns/otn/content/wHandMenuFile.ashx?menu_id=5709" TargetMode="External"/><Relationship Id="rId76" Type="http://schemas.openxmlformats.org/officeDocument/2006/relationships/hyperlink" Target="http://behold.oc.org/?p=27167" TargetMode="External"/><Relationship Id="rId141" Type="http://schemas.openxmlformats.org/officeDocument/2006/relationships/hyperlink" Target="http://www.peacehall.com/news/gb/china/2004/06/200406161040.shtml(2006.08" TargetMode="External"/><Relationship Id="rId379" Type="http://schemas.openxmlformats.org/officeDocument/2006/relationships/hyperlink" Target="http://wapedia.mobi/en/Israel_Border_Police" TargetMode="External"/><Relationship Id="rId7" Type="http://schemas.openxmlformats.org/officeDocument/2006/relationships/hyperlink" Target="http://tw.knowledge.yahoo.com/question/question?qid=1306022521296" TargetMode="External"/><Relationship Id="rId183" Type="http://schemas.openxmlformats.org/officeDocument/2006/relationships/hyperlink" Target="http://www.cla.gov.tw/cgi-bin/Message/MM_msg_control?mode=viewnews&amp;ts=4b9a0c0f:76c5&amp;theme=(2011/11/25)" TargetMode="External"/><Relationship Id="rId239" Type="http://schemas.openxmlformats.org/officeDocument/2006/relationships/hyperlink" Target="http://news.rti.org.tw/index_newsContent.aspx?nid=471644" TargetMode="External"/><Relationship Id="rId390" Type="http://schemas.openxmlformats.org/officeDocument/2006/relationships/hyperlink" Target="http://en.wikipedia.org/wiki/Israeli_Border_Police(2010.03)" TargetMode="External"/><Relationship Id="rId250" Type="http://schemas.openxmlformats.org/officeDocument/2006/relationships/hyperlink" Target="http://news.xinhuanet.com/newscenter/2005-03/14/content_2694168.htm" TargetMode="External"/><Relationship Id="rId292" Type="http://schemas.openxmlformats.org/officeDocument/2006/relationships/hyperlink" Target="http://baike.baidu.com/view/3369566.htm" TargetMode="External"/><Relationship Id="rId306" Type="http://schemas.openxmlformats.org/officeDocument/2006/relationships/hyperlink" Target="http://paper.wenweipo.com/2011/10/07/GJ1110070037.htm" TargetMode="External"/><Relationship Id="rId45" Type="http://schemas.openxmlformats.org/officeDocument/2006/relationships/hyperlink" Target="http://www.sangiin.go.jp/japanese/kids/html/shikumi/index.html" TargetMode="External"/><Relationship Id="rId87" Type="http://schemas.openxmlformats.org/officeDocument/2006/relationships/hyperlink" Target="http://www.religiousconsultation.org/News_Tracker/European_court_denies_fetus_rights_ruling.htm" TargetMode="External"/><Relationship Id="rId110" Type="http://schemas.openxmlformats.org/officeDocument/2006/relationships/hyperlink" Target="http://www.peacehall.com/news/gb/china/2004/06/200406161040.shtml(2006.08" TargetMode="External"/><Relationship Id="rId348" Type="http://schemas.openxmlformats.org/officeDocument/2006/relationships/hyperlink" Target="http://www.naol.cc/news/world/2014/12/13-1.htm" TargetMode="External"/><Relationship Id="rId152" Type="http://schemas.openxmlformats.org/officeDocument/2006/relationships/hyperlink" Target="http://www.houko.com/00/01/S28/014.HTM" TargetMode="External"/><Relationship Id="rId194" Type="http://schemas.openxmlformats.org/officeDocument/2006/relationships/hyperlink" Target="http://dailynews.sina.com/bg/tw/twpolitics/cna/20100909/06061817706.html" TargetMode="External"/><Relationship Id="rId208" Type="http://schemas.openxmlformats.org/officeDocument/2006/relationships/hyperlink" Target="http://www.state.gov/g/tip/rls/tiprpt/2010/142744.htm" TargetMode="External"/><Relationship Id="rId261" Type="http://schemas.openxmlformats.org/officeDocument/2006/relationships/hyperlink" Target="http://peacehall.com/forum/boxun2005a/223580.shtml" TargetMode="External"/><Relationship Id="rId14" Type="http://schemas.openxmlformats.org/officeDocument/2006/relationships/hyperlink" Target="https://zh.wikipedia.org/wiki/&#20013;&#33775;&#27665;&#22283;&#25010;&#27861;" TargetMode="External"/><Relationship Id="rId56" Type="http://schemas.openxmlformats.org/officeDocument/2006/relationships/hyperlink" Target="http://www.sb.gov.hk/chi/links/avsecc/avsecc.html" TargetMode="External"/><Relationship Id="rId317" Type="http://schemas.openxmlformats.org/officeDocument/2006/relationships/hyperlink" Target="http://www.stanford.edu/group/psylawseminar/Substantive%20Due%20Process.htm" TargetMode="External"/><Relationship Id="rId359" Type="http://schemas.openxmlformats.org/officeDocument/2006/relationships/hyperlink" Target="http://wapedia.mobi/en/Israel_Border_Police" TargetMode="External"/><Relationship Id="rId98" Type="http://schemas.openxmlformats.org/officeDocument/2006/relationships/hyperlink" Target="http://www.visembryo.com/baby/index.html" TargetMode="External"/><Relationship Id="rId121" Type="http://schemas.openxmlformats.org/officeDocument/2006/relationships/hyperlink" Target="http://www.peacehall.com/news/gb/china/2004/06/200406161040.shtml" TargetMode="External"/><Relationship Id="rId163" Type="http://schemas.openxmlformats.org/officeDocument/2006/relationships/hyperlink" Target="http://www.jstage.jst.go.jp/search/?typej=on&amp;typep=on&amp;typer=on&amp;d3=au&amp;dp3=Li+Fan&amp;ca=999999&amp;alang=all&amp;rev=all&amp;pl=20&amp;search=%8C%9F%8D%F5%8E%C0%8Ds" TargetMode="External"/><Relationship Id="rId219" Type="http://schemas.openxmlformats.org/officeDocument/2006/relationships/hyperlink" Target="http://www.state.gov/g/tip/rls/tiprpt/2010/index.htm" TargetMode="External"/><Relationship Id="rId370" Type="http://schemas.openxmlformats.org/officeDocument/2006/relationships/hyperlink" Target="http://en.wikipedia.org/wiki/Israeli_Border_Police(2010.03)" TargetMode="External"/><Relationship Id="rId230" Type="http://schemas.openxmlformats.org/officeDocument/2006/relationships/hyperlink" Target="http://www.state.gov/documents/organization/210737.pdf" TargetMode="External"/><Relationship Id="rId25" Type="http://schemas.openxmlformats.org/officeDocument/2006/relationships/hyperlink" Target="http://www.moi.gov.tw/dca/02place_001.aspx" TargetMode="External"/><Relationship Id="rId67" Type="http://schemas.openxmlformats.org/officeDocument/2006/relationships/hyperlink" Target="http://www.mod.go.jp/j/publication/wp/wp2013/pc/2013/index.html" TargetMode="External"/><Relationship Id="rId272" Type="http://schemas.openxmlformats.org/officeDocument/2006/relationships/hyperlink" Target="http://www.sina.com.cn" TargetMode="External"/><Relationship Id="rId328" Type="http://schemas.openxmlformats.org/officeDocument/2006/relationships/hyperlink" Target="http://www.foyuan.net/article-861764-1.html" TargetMode="External"/><Relationship Id="rId132" Type="http://schemas.openxmlformats.org/officeDocument/2006/relationships/hyperlink" Target="http://news.xinhuanet.com/world/2004-12/12/content_2324294.htm" TargetMode="External"/><Relationship Id="rId174" Type="http://schemas.openxmlformats.org/officeDocument/2006/relationships/hyperlink" Target="http://www.labour.gov.on.ca/english/es/pubs/is_fn_epfn.php(2011/09/10)" TargetMode="External"/><Relationship Id="rId381" Type="http://schemas.openxmlformats.org/officeDocument/2006/relationships/hyperlink" Target="http://www.absoluteastronomy.com/topics/Israel_Border_Police(2010.03)" TargetMode="External"/><Relationship Id="rId241" Type="http://schemas.openxmlformats.org/officeDocument/2006/relationships/hyperlink" Target="http://news.sina.com.tw/article/20090113/1278291.html" TargetMode="External"/><Relationship Id="rId36" Type="http://schemas.openxmlformats.org/officeDocument/2006/relationships/hyperlink" Target="http://law.moj.gov.tw/LawClass/LawAll.aspx?PCode=H0020045" TargetMode="External"/><Relationship Id="rId283" Type="http://schemas.openxmlformats.org/officeDocument/2006/relationships/hyperlink" Target="http://big5.china.com.cn/chinese/2001/Mar/25486.htm(2006.07.22" TargetMode="External"/><Relationship Id="rId339" Type="http://schemas.openxmlformats.org/officeDocument/2006/relationships/hyperlink" Target="http://blogs.yahoo.co.jp/inoti333mamoru777/GALLERY/show_image.html?id=63109682&amp;no=2" TargetMode="External"/><Relationship Id="rId78" Type="http://schemas.openxmlformats.org/officeDocument/2006/relationships/hyperlink" Target="http://behold.oc.org/?p=27167" TargetMode="External"/><Relationship Id="rId101" Type="http://schemas.openxmlformats.org/officeDocument/2006/relationships/hyperlink" Target="http://ge.tnua.edu.tw/~huimin/paper/29-cloning/29-CLONING.HTM" TargetMode="External"/><Relationship Id="rId143" Type="http://schemas.openxmlformats.org/officeDocument/2006/relationships/hyperlink" Target="http://www.china247.com/news/2007-04-27/121859.shtml" TargetMode="External"/><Relationship Id="rId185" Type="http://schemas.openxmlformats.org/officeDocument/2006/relationships/hyperlink" Target="http://blog.xuite.net/kesia/annie/41826013(2011/11/25)" TargetMode="External"/><Relationship Id="rId350" Type="http://schemas.openxmlformats.org/officeDocument/2006/relationships/hyperlink" Target="http://www.naol.cc/news/world/2014/12/13-1.htm" TargetMode="External"/><Relationship Id="rId9" Type="http://schemas.openxmlformats.org/officeDocument/2006/relationships/hyperlink" Target="http://www.jrf.org.tw/newjrf/RTE/myform_detail.asp?id=1664" TargetMode="External"/><Relationship Id="rId210" Type="http://schemas.openxmlformats.org/officeDocument/2006/relationships/hyperlink" Target="http://www.state.gov/documents/organization/210737.pdf" TargetMode="External"/><Relationship Id="rId392" Type="http://schemas.openxmlformats.org/officeDocument/2006/relationships/hyperlink" Target="http://en.wikipedia.org/wiki/Israeli_Border_Police(2010.03)" TargetMode="External"/><Relationship Id="rId252" Type="http://schemas.openxmlformats.org/officeDocument/2006/relationships/hyperlink" Target="http://news.xinhuanet.com/newscenter/2005-03/14/content_2694168.htm" TargetMode="External"/><Relationship Id="rId294" Type="http://schemas.openxmlformats.org/officeDocument/2006/relationships/hyperlink" Target="https://zh.wikipedia.org/wiki/%E8%87%BA%E6%97%A5%E6%BC%81%E6%A5%AD%E5%8D%94%E8%AD%B0" TargetMode="External"/><Relationship Id="rId308" Type="http://schemas.openxmlformats.org/officeDocument/2006/relationships/hyperlink" Target="http://dakuan00.pixnet.net/blog/post/6619383-%E5%AE%89%E6%A8%82%E6%AD%BB...%E4%BE%9D%E4%BD%9B%E6%95%99%E7%9A%84%E8%A7%80%E9%BB%9E,%E8%B4%8A%E5%90%8C%E5%AE%89%E6%A8%82%E6%AD%BB%E5%97%8E%3F" TargetMode="External"/><Relationship Id="rId47" Type="http://schemas.openxmlformats.org/officeDocument/2006/relationships/hyperlink" Target="https://www.nikkei4946.com/knowledgebank/index.aspx?Sakuin2=571&amp;p=kaisetsu" TargetMode="External"/><Relationship Id="rId89" Type="http://schemas.openxmlformats.org/officeDocument/2006/relationships/hyperlink" Target="http://www.religiousconsultation.org/News_Tracker/European_court_denies_fetus_rights_ruling.htm" TargetMode="External"/><Relationship Id="rId112" Type="http://schemas.openxmlformats.org/officeDocument/2006/relationships/hyperlink" Target="http://www.peacehall.com/news/gb/china/2004/06/200406161040.shtml(2006.08" TargetMode="External"/><Relationship Id="rId154" Type="http://schemas.openxmlformats.org/officeDocument/2006/relationships/hyperlink" Target="http://www.houko.com/00/01/S28/014.HTM" TargetMode="External"/><Relationship Id="rId361" Type="http://schemas.openxmlformats.org/officeDocument/2006/relationships/hyperlink" Target="http://www.absoluteastronomy.com/topics/Israel_Border_Police(2010.03)" TargetMode="External"/><Relationship Id="rId196" Type="http://schemas.openxmlformats.org/officeDocument/2006/relationships/hyperlink" Target="http://news.cts.com.tw/cna/politics/201009/201009090559343.html" TargetMode="External"/><Relationship Id="rId16" Type="http://schemas.openxmlformats.org/officeDocument/2006/relationships/hyperlink" Target="http://old.npf.org.tw/PUBLICATION/CL/092/CL-R-092-025.htm" TargetMode="External"/><Relationship Id="rId221" Type="http://schemas.openxmlformats.org/officeDocument/2006/relationships/hyperlink" Target="http://www.state.gov/g/tip/rls/tiprpt/2010/index.htm" TargetMode="External"/><Relationship Id="rId242" Type="http://schemas.openxmlformats.org/officeDocument/2006/relationships/hyperlink" Target="http://ec.europa.eu/dgs/home-affairs/what-we-do/policies/borders-and-visas/schengen-information-system/index_en.htm" TargetMode="External"/><Relationship Id="rId263" Type="http://schemas.openxmlformats.org/officeDocument/2006/relationships/hyperlink" Target="http://www.chinatopnews.com/MainNews/Opinion/2005_4_15_7_53_34_622.html" TargetMode="External"/><Relationship Id="rId284" Type="http://schemas.openxmlformats.org/officeDocument/2006/relationships/hyperlink" Target="http://big5.china.com.cn/chinese/2001/Mar/25486.htm(2006.07.22" TargetMode="External"/><Relationship Id="rId319" Type="http://schemas.openxmlformats.org/officeDocument/2006/relationships/hyperlink" Target="http://legal-dictionary.thefreedictionary.com/Due+Process+of+Law" TargetMode="External"/><Relationship Id="rId37" Type="http://schemas.openxmlformats.org/officeDocument/2006/relationships/hyperlink" Target="http://law.moj.gov.tw/LawClass/LawAll.aspx?PCode=H0070001" TargetMode="External"/><Relationship Id="rId58" Type="http://schemas.openxmlformats.org/officeDocument/2006/relationships/hyperlink" Target="http://www.mod.go.jp/j/publication/wp/wp2013/pc/2013/index.html" TargetMode="External"/><Relationship Id="rId79" Type="http://schemas.openxmlformats.org/officeDocument/2006/relationships/hyperlink" Target="http://www.nature.com/nbt/journal/v29/n8/fig_tab/nbt.1933_F1.html" TargetMode="External"/><Relationship Id="rId102" Type="http://schemas.openxmlformats.org/officeDocument/2006/relationships/hyperlink" Target="http://ge.tnua.edu.tw/~huimin/paper/29-cloning/29-CLONING.HTM" TargetMode="External"/><Relationship Id="rId123" Type="http://schemas.openxmlformats.org/officeDocument/2006/relationships/hyperlink" Target="http://www.peacehall.com/news/gb/china/2004/06/200406161040.shtml(2006.08" TargetMode="External"/><Relationship Id="rId144" Type="http://schemas.openxmlformats.org/officeDocument/2006/relationships/hyperlink" Target="http://www1.umn.edu/humanrts/chinese/CHgencomm/CHgencomment14.htm" TargetMode="External"/><Relationship Id="rId330" Type="http://schemas.openxmlformats.org/officeDocument/2006/relationships/hyperlink" Target="http://tw.gigacircle.com/2419362-1" TargetMode="External"/><Relationship Id="rId90" Type="http://schemas.openxmlformats.org/officeDocument/2006/relationships/hyperlink" Target="http://news.webs-tv.net/trackback/375901" TargetMode="External"/><Relationship Id="rId165" Type="http://schemas.openxmlformats.org/officeDocument/2006/relationships/hyperlink" Target="http://www.hc-sc.gc.ca/ahc-asc/pubs/_sites-lieux/insite/index-eng.php" TargetMode="External"/><Relationship Id="rId186" Type="http://schemas.openxmlformats.org/officeDocument/2006/relationships/hyperlink" Target="http://humanrights.cy.gov.tw/dl.asp?fileName=0113010351671.pdf(2011/12/10)" TargetMode="External"/><Relationship Id="rId351" Type="http://schemas.openxmlformats.org/officeDocument/2006/relationships/hyperlink" Target="http://www.sangiin.go.jp/japanese/kids/html/shikumi/index.html" TargetMode="External"/><Relationship Id="rId372" Type="http://schemas.openxmlformats.org/officeDocument/2006/relationships/hyperlink" Target="http://en.wikipedia.org/wiki/Israeli_Border_Police(2010.03)" TargetMode="External"/><Relationship Id="rId393" Type="http://schemas.openxmlformats.org/officeDocument/2006/relationships/hyperlink" Target="http://www.absoluteastronomy.com/topics/Israel_Border_Police(2010.03)" TargetMode="External"/><Relationship Id="rId211" Type="http://schemas.openxmlformats.org/officeDocument/2006/relationships/hyperlink" Target="http://www.state.gov/g/tip/rls/tiprpt/2010/index.htm" TargetMode="External"/><Relationship Id="rId232" Type="http://schemas.openxmlformats.org/officeDocument/2006/relationships/hyperlink" Target="http://www.state.gov/documents/organization/210737.pdf" TargetMode="External"/><Relationship Id="rId253" Type="http://schemas.openxmlformats.org/officeDocument/2006/relationships/hyperlink" Target="http://www.ahlawyer.com.cn/kanwu/2005/lx/lx3/200510/28130403032.html" TargetMode="External"/><Relationship Id="rId274" Type="http://schemas.openxmlformats.org/officeDocument/2006/relationships/hyperlink" Target="http://www.un.org/chinese/work/law/Roma1997.htm" TargetMode="External"/><Relationship Id="rId295" Type="http://schemas.openxmlformats.org/officeDocument/2006/relationships/hyperlink" Target="https://zh.wikipedia.org/wiki/%E8%87%BA%E6%97%A5%E6%BC%81%E6%A5%AD%E5%8D%94%E8%AD%B0" TargetMode="External"/><Relationship Id="rId309" Type="http://schemas.openxmlformats.org/officeDocument/2006/relationships/hyperlink" Target="http://mag.udn.com/mag/life/storypage.jsp?f_ART_ID=374444" TargetMode="External"/><Relationship Id="rId27" Type="http://schemas.openxmlformats.org/officeDocument/2006/relationships/hyperlink" Target="http://zh.wikipedia.org/wiki/%E4%B8%AD%E8%8F%AF%E6%B0%91%E5%9C%8B%E6%94%BF%E5%BA%9C" TargetMode="External"/><Relationship Id="rId48" Type="http://schemas.openxmlformats.org/officeDocument/2006/relationships/hyperlink" Target="http://www2.pccu.edu.tw/cryaps/cn/events/08conf/agenda/06.pdf" TargetMode="External"/><Relationship Id="rId69" Type="http://schemas.openxmlformats.org/officeDocument/2006/relationships/hyperlink" Target="http://www.mod.go.jp/j/publication/wp/wp2013/pc/2013/index.html" TargetMode="External"/><Relationship Id="rId113" Type="http://schemas.openxmlformats.org/officeDocument/2006/relationships/hyperlink" Target="http://big5.huaxia.com/tw/sdbd/js/00210850.html" TargetMode="External"/><Relationship Id="rId134" Type="http://schemas.openxmlformats.org/officeDocument/2006/relationships/hyperlink" Target="http://www.unhchr.ch/html/menu3/b/94.htm" TargetMode="External"/><Relationship Id="rId320" Type="http://schemas.openxmlformats.org/officeDocument/2006/relationships/hyperlink" Target="http://www.stanford.edu/group/psylawseminar/Substantive%20Due%20Process.htm" TargetMode="External"/><Relationship Id="rId80" Type="http://schemas.openxmlformats.org/officeDocument/2006/relationships/hyperlink" Target="http://www.nature.com/nbt/journal/v29/n8/fig_tab/nbt.1933_F1.html" TargetMode="External"/><Relationship Id="rId155" Type="http://schemas.openxmlformats.org/officeDocument/2006/relationships/hyperlink" Target="http://www.fukushihoken.metro.tokyo.jp/(2011.05)" TargetMode="External"/><Relationship Id="rId176" Type="http://schemas.openxmlformats.org/officeDocument/2006/relationships/hyperlink" Target="http://bbs.51ielts.com/thread-615734-1-1.html" TargetMode="External"/><Relationship Id="rId197" Type="http://schemas.openxmlformats.org/officeDocument/2006/relationships/hyperlink" Target="http://lafbcb.blogspot.tw/2010/01/blog-post_1514.html" TargetMode="External"/><Relationship Id="rId341" Type="http://schemas.openxmlformats.org/officeDocument/2006/relationships/hyperlink" Target="http://blogs.yahoo.co.jp/inoti333mamoru777/GALLERY/show_image.html?id=63109682&amp;no=2" TargetMode="External"/><Relationship Id="rId362" Type="http://schemas.openxmlformats.org/officeDocument/2006/relationships/hyperlink" Target="http://en.wikipedia.org/wiki/Israeli_Border_Police(2010.03)" TargetMode="External"/><Relationship Id="rId383" Type="http://schemas.openxmlformats.org/officeDocument/2006/relationships/hyperlink" Target="http://wapedia.mobi/en/Israel_Border_Police" TargetMode="External"/><Relationship Id="rId201" Type="http://schemas.openxmlformats.org/officeDocument/2006/relationships/hyperlink" Target="http://www.tahr.org.tw/files/newsletter" TargetMode="External"/><Relationship Id="rId222" Type="http://schemas.openxmlformats.org/officeDocument/2006/relationships/hyperlink" Target="http://www.state.gov/documents/organization/210737.pdf" TargetMode="External"/><Relationship Id="rId243" Type="http://schemas.openxmlformats.org/officeDocument/2006/relationships/hyperlink" Target="http://europa.eu/rapid/press-release_MEMO-13-309_en.htm" TargetMode="External"/><Relationship Id="rId264" Type="http://schemas.openxmlformats.org/officeDocument/2006/relationships/hyperlink" Target="http://www.chinatopnews.com/MainNews/Opinion/2005_4_15_7_53_34_622.html" TargetMode="External"/><Relationship Id="rId285" Type="http://schemas.openxmlformats.org/officeDocument/2006/relationships/hyperlink" Target="http://www.un.org/chinese/peace/disarmament/nuclear.htm" TargetMode="External"/><Relationship Id="rId17" Type="http://schemas.openxmlformats.org/officeDocument/2006/relationships/hyperlink" Target="http://www.ly.gov.tw/02_introduce/0201_intro/introView.action?id=4&amp;itemno=02010400" TargetMode="External"/><Relationship Id="rId38" Type="http://schemas.openxmlformats.org/officeDocument/2006/relationships/hyperlink" Target="https://tw.news.yahoo.com/%E4%BF%AE%E6%86%B2%E5%9C%A8%E5%8D%B3-9%E8%AD%B0%E9%A1%8C34%E6%8F%90%E6%A1%88%E4%B8%80%E6%AC%A1%E7%B8%BD%E6%95%B4%E7%90%86-002033269.html" TargetMode="External"/><Relationship Id="rId59" Type="http://schemas.openxmlformats.org/officeDocument/2006/relationships/hyperlink" Target="http://www.mod.go.jp/j/publication/wp/wp2013/pc/2013/index.html" TargetMode="External"/><Relationship Id="rId103" Type="http://schemas.openxmlformats.org/officeDocument/2006/relationships/hyperlink" Target="http://ge.tnua.edu.tw/~huimin/paper/29-cloning/29-CLONING.HTM" TargetMode="External"/><Relationship Id="rId124" Type="http://schemas.openxmlformats.org/officeDocument/2006/relationships/hyperlink" Target="http://www.mnd.gov.tw/publication/subject.aspx?TopicID=415" TargetMode="External"/><Relationship Id="rId310" Type="http://schemas.openxmlformats.org/officeDocument/2006/relationships/hyperlink" Target="http://big5.huaxia.com/xw/hwwz/00175616.html" TargetMode="External"/><Relationship Id="rId70" Type="http://schemas.openxmlformats.org/officeDocument/2006/relationships/hyperlink" Target="http://www.mod.go.jp/j/publication/wp/wp2013/pc/2013/index.html" TargetMode="External"/><Relationship Id="rId91" Type="http://schemas.openxmlformats.org/officeDocument/2006/relationships/hyperlink" Target="http://news.webs-tv.net/index.php?category=9&amp;channel=9&amp;show=375901" TargetMode="External"/><Relationship Id="rId145" Type="http://schemas.openxmlformats.org/officeDocument/2006/relationships/hyperlink" Target="http://www.gs.xinhuanet.com/gsgaw/2005-09/03/content_5043548.htm(2006.08)" TargetMode="External"/><Relationship Id="rId166" Type="http://schemas.openxmlformats.org/officeDocument/2006/relationships/hyperlink" Target="http://jianlyu.blogspot.com/2012/12/20-23-20-23.html" TargetMode="External"/><Relationship Id="rId187" Type="http://schemas.openxmlformats.org/officeDocument/2006/relationships/hyperlink" Target="http://www.coolloud.org.tw/node/64902(2011/12/20)" TargetMode="External"/><Relationship Id="rId331" Type="http://schemas.openxmlformats.org/officeDocument/2006/relationships/hyperlink" Target="http://www.tiannv.com/a/MAMA_ME/Pregnancy/2013/144-12120-2.html" TargetMode="External"/><Relationship Id="rId352" Type="http://schemas.openxmlformats.org/officeDocument/2006/relationships/hyperlink" Target="http://www.sangiin.go.jp/japanese/kids/html/shikumi/index.html" TargetMode="External"/><Relationship Id="rId373" Type="http://schemas.openxmlformats.org/officeDocument/2006/relationships/hyperlink" Target="http://www.absoluteastronomy.com/topics/Israel_Border_Police(2010.03)" TargetMode="External"/><Relationship Id="rId394" Type="http://schemas.openxmlformats.org/officeDocument/2006/relationships/hyperlink" Target="http://zh.wikipedia.org/wiki/%E7%A1%AB%E7%A3%BA%E5%B2%9B%E6%88%98%E5%BD%B9" TargetMode="External"/><Relationship Id="rId1" Type="http://schemas.openxmlformats.org/officeDocument/2006/relationships/hyperlink" Target="https://zh.wikipedia.org/wiki/&#20013;&#33775;&#27665;&#22283;&#25010;&#27861;" TargetMode="External"/><Relationship Id="rId212" Type="http://schemas.openxmlformats.org/officeDocument/2006/relationships/hyperlink" Target="http://www.state.gov/g/tip/rls/tiprpt/2010/142744.htm(2010.11)" TargetMode="External"/><Relationship Id="rId233" Type="http://schemas.openxmlformats.org/officeDocument/2006/relationships/hyperlink" Target="http://www.state.gov/g/tip/rls/tiprpt/2010/index.htm" TargetMode="External"/><Relationship Id="rId254" Type="http://schemas.openxmlformats.org/officeDocument/2006/relationships/hyperlink" Target="http://www.ahlawyer.com.cn/kanwu/2005/lx/lx3/200510/28130403032.html" TargetMode="External"/><Relationship Id="rId28" Type="http://schemas.openxmlformats.org/officeDocument/2006/relationships/hyperlink" Target="http://taiwanpedia.culture.tw/web/content?ID=100360" TargetMode="External"/><Relationship Id="rId49" Type="http://schemas.openxmlformats.org/officeDocument/2006/relationships/hyperlink" Target="http://www2.pccu.edu.tw/cryaps/cn/events/08conf/agenda/06.pdf" TargetMode="External"/><Relationship Id="rId114" Type="http://schemas.openxmlformats.org/officeDocument/2006/relationships/hyperlink" Target="http://www.gaforum.org/archive/index.php/t-88898.html" TargetMode="External"/><Relationship Id="rId275" Type="http://schemas.openxmlformats.org/officeDocument/2006/relationships/hyperlink" Target="http://www.un.org/chinese/work/law/Roma1997.htm" TargetMode="External"/><Relationship Id="rId296" Type="http://schemas.openxmlformats.org/officeDocument/2006/relationships/hyperlink" Target="http://henmi42.cocolog-nifty.com/yijianyeye/" TargetMode="External"/><Relationship Id="rId300" Type="http://schemas.openxmlformats.org/officeDocument/2006/relationships/hyperlink" Target="http://www.mofa.gov.tw/cp.aspx?n=B73275F3D7E4D908" TargetMode="External"/><Relationship Id="rId60" Type="http://schemas.openxmlformats.org/officeDocument/2006/relationships/hyperlink" Target="http://www.mod.go.jp/j/publication/wp/wp2013/pc/2013/index.html" TargetMode="External"/><Relationship Id="rId81" Type="http://schemas.openxmlformats.org/officeDocument/2006/relationships/hyperlink" Target="http://www.nature.com/nbt/journal/v29/n8/fig_tab/nbt.1933_F1.html" TargetMode="External"/><Relationship Id="rId135" Type="http://schemas.openxmlformats.org/officeDocument/2006/relationships/hyperlink" Target="http://www.unhchr.ch/html/menu3/b/94.htm" TargetMode="External"/><Relationship Id="rId156" Type="http://schemas.openxmlformats.org/officeDocument/2006/relationships/hyperlink" Target="http://www.fukushihoken.metro.tokyo.jp/(2011.05)" TargetMode="External"/><Relationship Id="rId177" Type="http://schemas.openxmlformats.org/officeDocument/2006/relationships/hyperlink" Target="http://bbs.51ielts.com/thread-615734-1-1.html(2011/09/03)" TargetMode="External"/><Relationship Id="rId198" Type="http://schemas.openxmlformats.org/officeDocument/2006/relationships/hyperlink" Target="http://enews.url.com.tw/human/54882" TargetMode="External"/><Relationship Id="rId321" Type="http://schemas.openxmlformats.org/officeDocument/2006/relationships/hyperlink" Target="http://www2.nsysu.edu.tw/sis/discuss/1A-1.pdf" TargetMode="External"/><Relationship Id="rId342" Type="http://schemas.openxmlformats.org/officeDocument/2006/relationships/hyperlink" Target="http://www.goethe.de/ins/cn/lp/kul/mag/umw/cn5099932.htm" TargetMode="External"/><Relationship Id="rId363" Type="http://schemas.openxmlformats.org/officeDocument/2006/relationships/hyperlink" Target="http://wapedia.mobi/en/Israel_Border_Police" TargetMode="External"/><Relationship Id="rId384" Type="http://schemas.openxmlformats.org/officeDocument/2006/relationships/hyperlink" Target="http://en.wikipedia.org/wiki/Israeli_Border_Police(2010.03)" TargetMode="External"/><Relationship Id="rId202" Type="http://schemas.openxmlformats.org/officeDocument/2006/relationships/hyperlink" Target="http://www.ntpu.edu.tw/pa/news/94news/attachment/950221/1-2" TargetMode="External"/><Relationship Id="rId223" Type="http://schemas.openxmlformats.org/officeDocument/2006/relationships/hyperlink" Target="http://www.state.gov/g/tip/rls/tiprpt/2010/index.htm" TargetMode="External"/><Relationship Id="rId244" Type="http://schemas.openxmlformats.org/officeDocument/2006/relationships/hyperlink" Target="http://blog.udn.com/bluest1937/3496910" TargetMode="External"/><Relationship Id="rId18" Type="http://schemas.openxmlformats.org/officeDocument/2006/relationships/hyperlink" Target="http://www.judicial.gov.tw/constitutionalcourt/p01_01_02.asp" TargetMode="External"/><Relationship Id="rId39" Type="http://schemas.openxmlformats.org/officeDocument/2006/relationships/hyperlink" Target="http://linkage.ngo.tw/youth/youth0601.htm" TargetMode="External"/><Relationship Id="rId265" Type="http://schemas.openxmlformats.org/officeDocument/2006/relationships/hyperlink" Target="http://big5.fmprc.gov.cn:89/gate/big5/www.fmcoprc.gov.hk/chn/szyw/t196102.htm" TargetMode="External"/><Relationship Id="rId286" Type="http://schemas.openxmlformats.org/officeDocument/2006/relationships/hyperlink" Target="http://www.un.org/chinese/peace/disarmament/t8.htm" TargetMode="External"/><Relationship Id="rId50" Type="http://schemas.openxmlformats.org/officeDocument/2006/relationships/hyperlink" Target="http://www.judicial.gov.tw/db/db04/%E5%BE%B7%E6%84%8F%E5%BF%97%E8%81%AF%E9%82%A6%E5%85%B1%E5%92%8C%E5%9C%8B%E5%9F%BA%E6%9C%AC%E6%B3%95.doc" TargetMode="External"/><Relationship Id="rId104" Type="http://schemas.openxmlformats.org/officeDocument/2006/relationships/hyperlink" Target="http://www.christianstudy.com/data/pastoral/euthanas06.html" TargetMode="External"/><Relationship Id="rId125" Type="http://schemas.openxmlformats.org/officeDocument/2006/relationships/hyperlink" Target="http://www.peacehall.com/news/gb/china/2004/06/200406161040.shtml(2006.08" TargetMode="External"/><Relationship Id="rId146" Type="http://schemas.openxmlformats.org/officeDocument/2006/relationships/hyperlink" Target="http://www.sinica.edu.tw/ftms-bin/ftmsw3?ukey=-1366032312&amp;rid=67(2010.08)" TargetMode="External"/><Relationship Id="rId167" Type="http://schemas.openxmlformats.org/officeDocument/2006/relationships/hyperlink" Target="http://www.state.gov/g/tip/rls/tiprpt/2011/(2011/12/20)" TargetMode="External"/><Relationship Id="rId188" Type="http://schemas.openxmlformats.org/officeDocument/2006/relationships/hyperlink" Target="http://labor.kcg.gov.tw/epaper/share/tmp/files/p9-3.pdf(2011/12/09)" TargetMode="External"/><Relationship Id="rId311" Type="http://schemas.openxmlformats.org/officeDocument/2006/relationships/hyperlink" Target="http://wiki.mbalib.com/zh-tw/%E5%8F%91%E5%B1%95%E6%9D%83" TargetMode="External"/><Relationship Id="rId332" Type="http://schemas.openxmlformats.org/officeDocument/2006/relationships/hyperlink" Target="http://www.tiannv.com/a/MAMA_ME/Pregnancy/2013/144-12120-2.html" TargetMode="External"/><Relationship Id="rId353" Type="http://schemas.openxmlformats.org/officeDocument/2006/relationships/hyperlink" Target="http://www.law.cornell.edu/constitution/articlei" TargetMode="External"/><Relationship Id="rId374" Type="http://schemas.openxmlformats.org/officeDocument/2006/relationships/hyperlink" Target="http://en.wikipedia.org/wiki/Israeli_Border_Police(2010.03)" TargetMode="External"/><Relationship Id="rId395" Type="http://schemas.openxmlformats.org/officeDocument/2006/relationships/hyperlink" Target="http://www.cy.gov.tw/sp.asp?xdURL=./di/Message/message_1.asp&amp;ctNode=903&amp;msg_id=4849" TargetMode="External"/><Relationship Id="rId71" Type="http://schemas.openxmlformats.org/officeDocument/2006/relationships/hyperlink" Target="http://www.mod.go.jp/j/publication/wp/wp2013/pc/2013/index.html" TargetMode="External"/><Relationship Id="rId92" Type="http://schemas.openxmlformats.org/officeDocument/2006/relationships/hyperlink" Target="http://www.awker.com/hongshi/mag/79/79-1.htm" TargetMode="External"/><Relationship Id="rId213" Type="http://schemas.openxmlformats.org/officeDocument/2006/relationships/hyperlink" Target="http://www.state.gov/g/tip/rls/tiprpt/2010/index.htm" TargetMode="External"/><Relationship Id="rId234" Type="http://schemas.openxmlformats.org/officeDocument/2006/relationships/hyperlink" Target="http://www.state.gov/documents/organization/210737.pdf" TargetMode="External"/><Relationship Id="rId2" Type="http://schemas.openxmlformats.org/officeDocument/2006/relationships/hyperlink" Target="https://zh.wikipedia.org/wiki/&#20013;&#33775;&#27665;&#22283;&#25010;&#27861;" TargetMode="External"/><Relationship Id="rId29" Type="http://schemas.openxmlformats.org/officeDocument/2006/relationships/hyperlink" Target="http://120.126.122.251/ntpu_dep/user_file/001250.pdf" TargetMode="External"/><Relationship Id="rId255" Type="http://schemas.openxmlformats.org/officeDocument/2006/relationships/hyperlink" Target="http://blog.cersp.com/59961/409997.aspx" TargetMode="External"/><Relationship Id="rId276" Type="http://schemas.openxmlformats.org/officeDocument/2006/relationships/hyperlink" Target="http://www.npc.gov.cn/cwh/common/zw.jsp?label=WXZLK&amp;id=338173&amp;pdmc=fywj" TargetMode="External"/><Relationship Id="rId297" Type="http://schemas.openxmlformats.org/officeDocument/2006/relationships/hyperlink" Target="http://henmi42.cocolog-nifty.com/yijianyeye/2013/04/post-3ed0.html" TargetMode="External"/><Relationship Id="rId40" Type="http://schemas.openxmlformats.org/officeDocument/2006/relationships/hyperlink" Target="http://taipei.law119.com.tw/lawnewsview.asp?idnostr=%BBO%ABn%A5%AB%BC%FA%C0y%A8p%A4H%BF%B3&amp;idno=23068&amp;keywords=&#65292;&#28687;&#28768;&#26085;&#26399;2013/7/3" TargetMode="External"/><Relationship Id="rId115" Type="http://schemas.openxmlformats.org/officeDocument/2006/relationships/hyperlink" Target="http://www.peacehall.com/news/gb/china/2004/06/200406161040.shtml(2006.08" TargetMode="External"/><Relationship Id="rId136" Type="http://schemas.openxmlformats.org/officeDocument/2006/relationships/hyperlink" Target="http://www.un.org/chinese/documents/decl-con/geneva_protocol_2.htm" TargetMode="External"/><Relationship Id="rId157" Type="http://schemas.openxmlformats.org/officeDocument/2006/relationships/hyperlink" Target="http://en.wikipedia.org/wiki/Safe_injection_site(2011.05)" TargetMode="External"/><Relationship Id="rId178" Type="http://schemas.openxmlformats.org/officeDocument/2006/relationships/hyperlink" Target="http://www.labour.gov.on.ca/english/es/faqs/epfna.php(2011/09/02)" TargetMode="External"/><Relationship Id="rId301" Type="http://schemas.openxmlformats.org/officeDocument/2006/relationships/hyperlink" Target="https://tw.news.yahoo.com/%E4%BF%AE%E6%86%B2%E5%9C%A8%E5%8D%B3-9%E8%AD%B0%E9%A1%8C34%E6%8F%90%E6%A1%88%E4%B8%80%E6%AC%A1%E7%B8%BD%E6%95%B4%E7%90%86-002033269.html" TargetMode="External"/><Relationship Id="rId322" Type="http://schemas.openxmlformats.org/officeDocument/2006/relationships/hyperlink" Target="http://big5.xuefo.net/nr/article14/142380.html" TargetMode="External"/><Relationship Id="rId343" Type="http://schemas.openxmlformats.org/officeDocument/2006/relationships/hyperlink" Target="https://www.facebook.com/love0909055295/posts/1597840743816106" TargetMode="External"/><Relationship Id="rId364" Type="http://schemas.openxmlformats.org/officeDocument/2006/relationships/hyperlink" Target="http://en.wikipedia.org/wiki/Israeli_Border_Police(2010.03)" TargetMode="External"/><Relationship Id="rId61" Type="http://schemas.openxmlformats.org/officeDocument/2006/relationships/hyperlink" Target="http://www.mod.go.jp/j/publication/wp/wp2013/pc/2013/index.html" TargetMode="External"/><Relationship Id="rId82" Type="http://schemas.openxmlformats.org/officeDocument/2006/relationships/hyperlink" Target="http://www.nature.com/nbt/journal/v29/n8/fig_tab/nbt.1933_F1.html" TargetMode="External"/><Relationship Id="rId199" Type="http://schemas.openxmlformats.org/officeDocument/2006/relationships/hyperlink" Target="http://enews.url.com.tw/human/54882" TargetMode="External"/><Relationship Id="rId203" Type="http://schemas.openxmlformats.org/officeDocument/2006/relationships/hyperlink" Target="http://www.lawtw.com/article.php?template=article" TargetMode="External"/><Relationship Id="rId385" Type="http://schemas.openxmlformats.org/officeDocument/2006/relationships/hyperlink" Target="http://www.absoluteastronomy.com/topics/Israel_Border_Police(2010.03)" TargetMode="External"/><Relationship Id="rId19" Type="http://schemas.openxmlformats.org/officeDocument/2006/relationships/hyperlink" Target="https://zh.wikipedia.org/wiki/&#20013;&#33775;&#27665;&#22283;&#25010;&#27861;" TargetMode="External"/><Relationship Id="rId224" Type="http://schemas.openxmlformats.org/officeDocument/2006/relationships/hyperlink" Target="http://www.state.gov/documents/organization/210737.pdf" TargetMode="External"/><Relationship Id="rId245" Type="http://schemas.openxmlformats.org/officeDocument/2006/relationships/hyperlink" Target="http://news.boxun.com/forum/201003/boxun2010/120700.shtml" TargetMode="External"/><Relationship Id="rId266" Type="http://schemas.openxmlformats.org/officeDocument/2006/relationships/hyperlink" Target="http://big5.fmprc.gov.cn:89/gate/big5/www.fmcoprc.gov.hk/chn/szyw/t196102.htm" TargetMode="External"/><Relationship Id="rId287" Type="http://schemas.openxmlformats.org/officeDocument/2006/relationships/hyperlink" Target="http://www.un.org/chinese/peace/disarmament/t8.htm" TargetMode="External"/><Relationship Id="rId30" Type="http://schemas.openxmlformats.org/officeDocument/2006/relationships/hyperlink" Target="http://120.126.122.251/ntpu_dep/user_file/001250.pdf" TargetMode="External"/><Relationship Id="rId105" Type="http://schemas.openxmlformats.org/officeDocument/2006/relationships/hyperlink" Target="http://www.christianstudy.com/data/pastoral/euthanas06.html" TargetMode="External"/><Relationship Id="rId126" Type="http://schemas.openxmlformats.org/officeDocument/2006/relationships/hyperlink" Target="http://www.un.org/chinese/documents/decl-con/geneva_protocol_1.htm" TargetMode="External"/><Relationship Id="rId147" Type="http://schemas.openxmlformats.org/officeDocument/2006/relationships/hyperlink" Target="http://twstudy.iis.sinica.edu.tw/twstatistic50/JUDI/Mt184.xls(2006.08)" TargetMode="External"/><Relationship Id="rId168" Type="http://schemas.openxmlformats.org/officeDocument/2006/relationships/hyperlink" Target="http://www.state.gov/g/tip/rls/tiprpt/2011/(2011/12/20)" TargetMode="External"/><Relationship Id="rId312" Type="http://schemas.openxmlformats.org/officeDocument/2006/relationships/hyperlink" Target="http://www.xchen.com.cn/xzgl/xfyjlw/566568.html" TargetMode="External"/><Relationship Id="rId333" Type="http://schemas.openxmlformats.org/officeDocument/2006/relationships/hyperlink" Target="http://www.tiannv.com/a/MAMA_ME/Pregnancy/2013/144-12120-2.html" TargetMode="External"/><Relationship Id="rId354" Type="http://schemas.openxmlformats.org/officeDocument/2006/relationships/hyperlink" Target="http://zh.wikipedia.org/wiki/%E5%BE%B7%E5%9B%BD%E8%81%94%E9%82%A6%E5%AE%AA%E6%B3%95%E6%B3%95%E9%99%A2" TargetMode="External"/><Relationship Id="rId51" Type="http://schemas.openxmlformats.org/officeDocument/2006/relationships/hyperlink" Target="http://www.judicial.gov.tw/db/db04/%E5%BE%B7%E6%84%8F%E5%BF%97%E8%81%AF%E9%82%A6%E5%85%B1%E5%92%8C%E5%9C%8B%E5%9F%BA%E6%9C%AC%E6%B3%95.doc" TargetMode="External"/><Relationship Id="rId72" Type="http://schemas.openxmlformats.org/officeDocument/2006/relationships/hyperlink" Target="http://www.ccj.url.tw/VerfR/PDF/%E4%BF%AE%E6%86%B2%E7%A8%8B%E5%BA%8F.pdf" TargetMode="External"/><Relationship Id="rId93" Type="http://schemas.openxmlformats.org/officeDocument/2006/relationships/hyperlink" Target="http://www.awker.com/ethics/data/data041030.htm" TargetMode="External"/><Relationship Id="rId189" Type="http://schemas.openxmlformats.org/officeDocument/2006/relationships/hyperlink" Target="http://www.tiwa.org.tw/?itemid=456(2011/12/05)" TargetMode="External"/><Relationship Id="rId375" Type="http://schemas.openxmlformats.org/officeDocument/2006/relationships/hyperlink" Target="http://wapedia.mobi/en/Israel_Border_Police" TargetMode="External"/><Relationship Id="rId3" Type="http://schemas.openxmlformats.org/officeDocument/2006/relationships/hyperlink" Target="https://zh.wikipedia.org/wiki/&#20013;&#33775;&#27665;&#22283;&#25010;&#27861;" TargetMode="External"/><Relationship Id="rId214" Type="http://schemas.openxmlformats.org/officeDocument/2006/relationships/hyperlink" Target="http://www.state.gov/g/tip/rls/tiprpt/2010/142744.htm(2010.11)" TargetMode="External"/><Relationship Id="rId235" Type="http://schemas.openxmlformats.org/officeDocument/2006/relationships/hyperlink" Target="http://www.state.gov/g/tip/rls/tiprpt/2010/index.htm" TargetMode="External"/><Relationship Id="rId256" Type="http://schemas.openxmlformats.org/officeDocument/2006/relationships/hyperlink" Target="http://blog.cersp.com/59961/409997.aspx" TargetMode="External"/><Relationship Id="rId277" Type="http://schemas.openxmlformats.org/officeDocument/2006/relationships/hyperlink" Target="http://www.un.org/chinese/peace/disarmament/t8.htm" TargetMode="External"/><Relationship Id="rId298" Type="http://schemas.openxmlformats.org/officeDocument/2006/relationships/hyperlink" Target="http://www.mod.go.jp/j/publication/wp/wp2013/pc/2013/index.html" TargetMode="External"/><Relationship Id="rId116" Type="http://schemas.openxmlformats.org/officeDocument/2006/relationships/hyperlink" Target="http://tt.mop.com/club/read_197169.html" TargetMode="External"/><Relationship Id="rId137" Type="http://schemas.openxmlformats.org/officeDocument/2006/relationships/hyperlink" Target="http://www.peacehall.com/news/gb/china/2004/06/200406161040.shtml(2006.08" TargetMode="External"/><Relationship Id="rId158" Type="http://schemas.openxmlformats.org/officeDocument/2006/relationships/hyperlink" Target="http://www.viha.ca/NR/rdonlyres/9C3846B7-4836-4F1C-8CE2-952273E3A439/0/carbc_feasibility_study.pdf" TargetMode="External"/><Relationship Id="rId302" Type="http://schemas.openxmlformats.org/officeDocument/2006/relationships/hyperlink" Target="http://www.hrp.scu.edu.tw/library/literature/entry.jsp?id=1236571265852-bdbe8a11-3085-4049-8168-2129a906421b" TargetMode="External"/><Relationship Id="rId323" Type="http://schemas.openxmlformats.org/officeDocument/2006/relationships/hyperlink" Target="http://big5.xuefo.net/nr/article14/142380.html" TargetMode="External"/><Relationship Id="rId344" Type="http://schemas.openxmlformats.org/officeDocument/2006/relationships/hyperlink" Target="https://www.facebook.com/love0909055295/posts/1597840743816106" TargetMode="External"/><Relationship Id="rId20" Type="http://schemas.openxmlformats.org/officeDocument/2006/relationships/hyperlink" Target="https://zh.wikipedia.org/wiki/&#20013;&#33775;&#27665;&#22283;&#25010;&#27861;" TargetMode="External"/><Relationship Id="rId41" Type="http://schemas.openxmlformats.org/officeDocument/2006/relationships/hyperlink" Target="http://www.judicial.gov.tw/constitutionalcourt/p03_01.asp?expno=193" TargetMode="External"/><Relationship Id="rId62" Type="http://schemas.openxmlformats.org/officeDocument/2006/relationships/hyperlink" Target="http://www.mod.go.jp/j/publication/wp/wp2013/pc/2013/index.html" TargetMode="External"/><Relationship Id="rId83" Type="http://schemas.openxmlformats.org/officeDocument/2006/relationships/hyperlink" Target="http://paper.wenweipo.com/2011/01/14/HK1101140009.htm" TargetMode="External"/><Relationship Id="rId179" Type="http://schemas.openxmlformats.org/officeDocument/2006/relationships/hyperlink" Target="http://www.labour.gov.on.ca/english/es/pubs/is_fn_esa.php(2011/09/05)" TargetMode="External"/><Relationship Id="rId365" Type="http://schemas.openxmlformats.org/officeDocument/2006/relationships/hyperlink" Target="http://www.absoluteastronomy.com/topics/Israel_Border_Police(2010.03)" TargetMode="External"/><Relationship Id="rId386" Type="http://schemas.openxmlformats.org/officeDocument/2006/relationships/hyperlink" Target="http://en.wikipedia.org/wiki/Israeli_Border_Police(2010.03)" TargetMode="External"/><Relationship Id="rId190" Type="http://schemas.openxmlformats.org/officeDocument/2006/relationships/hyperlink" Target="http://www.oceantaiwan.com/eyereach/20010430.htm(2001)" TargetMode="External"/><Relationship Id="rId204" Type="http://schemas.openxmlformats.org/officeDocument/2006/relationships/hyperlink" Target="http://www.tahr.org.tw/node/1206" TargetMode="External"/><Relationship Id="rId225" Type="http://schemas.openxmlformats.org/officeDocument/2006/relationships/hyperlink" Target="http://www.state.gov/g/tip/rls/tiprpt/2010/index.htm" TargetMode="External"/><Relationship Id="rId246" Type="http://schemas.openxmlformats.org/officeDocument/2006/relationships/hyperlink" Target="http://blog.udn.com/bluest1937/3496910" TargetMode="External"/><Relationship Id="rId267" Type="http://schemas.openxmlformats.org/officeDocument/2006/relationships/hyperlink" Target="http://big5.fmprc.gov.cn:89/gate/big5/www.fmcoprc.gov.hk/chn/szyw/t196102.htm" TargetMode="External"/><Relationship Id="rId288" Type="http://schemas.openxmlformats.org/officeDocument/2006/relationships/hyperlink" Target="http://disarmament.un.org/wmd/ctbt/index.html" TargetMode="External"/><Relationship Id="rId106" Type="http://schemas.openxmlformats.org/officeDocument/2006/relationships/hyperlink" Target="http://sa.ylib.com/read/readshow.asp?FDocNo=489&amp;DocNo=789" TargetMode="External"/><Relationship Id="rId127" Type="http://schemas.openxmlformats.org/officeDocument/2006/relationships/hyperlink" Target="http://www.peacehall.com/news/gb/china/2004/06/200406161040.shtml" TargetMode="External"/><Relationship Id="rId313" Type="http://schemas.openxmlformats.org/officeDocument/2006/relationships/hyperlink" Target="http://legal-dictionary.thefreedictionary.com/Due+Process+of+Law" TargetMode="External"/><Relationship Id="rId10" Type="http://schemas.openxmlformats.org/officeDocument/2006/relationships/hyperlink" Target="http://www.moj.gov.tw/content.asp?cuItem=315176" TargetMode="External"/><Relationship Id="rId31" Type="http://schemas.openxmlformats.org/officeDocument/2006/relationships/hyperlink" Target="https://www.6laws.net/6law/law/%E5%9C%8B%E9%98%B2%E9%83%A8%E7%B5%84%E7%B9%94%E6%B3%95.htm" TargetMode="External"/><Relationship Id="rId52" Type="http://schemas.openxmlformats.org/officeDocument/2006/relationships/hyperlink" Target="http://www.judicial.gov.tw/db/db04/%E5%BE%B7%E6%84%8F%E5%BF%97%E8%81%AF%E9%82%A6%E5%85%B1%E5%92%8C%E5%9C%8B%E5%9F%BA%E6%9C%AC%E6%B3%95.doc" TargetMode="External"/><Relationship Id="rId73" Type="http://schemas.openxmlformats.org/officeDocument/2006/relationships/hyperlink" Target="http://www.baike.com" TargetMode="External"/><Relationship Id="rId94" Type="http://schemas.openxmlformats.org/officeDocument/2006/relationships/hyperlink" Target="http://www.awker.com/ethics/data/data041030.htm" TargetMode="External"/><Relationship Id="rId148" Type="http://schemas.openxmlformats.org/officeDocument/2006/relationships/hyperlink" Target="http://5550555.tw/chinanews/2007/08/20/03/007.htm" TargetMode="External"/><Relationship Id="rId169" Type="http://schemas.openxmlformats.org/officeDocument/2006/relationships/hyperlink" Target="http://www.hrsdc.gc.ca/eng/workplaceskills/foreign_workers/communications/lcpnewchanges.shtml(2011/09/03)" TargetMode="External"/><Relationship Id="rId334" Type="http://schemas.openxmlformats.org/officeDocument/2006/relationships/hyperlink" Target="http://www.tiannv.com/a/MAMA_ME/Pregnancy/2013/144-12120-2.html" TargetMode="External"/><Relationship Id="rId355" Type="http://schemas.openxmlformats.org/officeDocument/2006/relationships/hyperlink" Target="https://www.youtube.com/watch?v=YrQq9XK8nLg" TargetMode="External"/><Relationship Id="rId376" Type="http://schemas.openxmlformats.org/officeDocument/2006/relationships/hyperlink" Target="http://en.wikipedia.org/wiki/Israeli_Border_Police(2010.03)" TargetMode="External"/><Relationship Id="rId4" Type="http://schemas.openxmlformats.org/officeDocument/2006/relationships/hyperlink" Target="https://zh.wikipedia.org/wiki/&#20013;&#33775;&#27665;&#22283;&#25010;&#27861;" TargetMode="External"/><Relationship Id="rId180" Type="http://schemas.openxmlformats.org/officeDocument/2006/relationships/hyperlink" Target="http://en.wikipedia.org/wiki/Employment_Standards_Act(2011/09/20)" TargetMode="External"/><Relationship Id="rId215" Type="http://schemas.openxmlformats.org/officeDocument/2006/relationships/hyperlink" Target="http://www.state.gov/g/tip/rls/tiprpt/2010/index.htm" TargetMode="External"/><Relationship Id="rId236" Type="http://schemas.openxmlformats.org/officeDocument/2006/relationships/hyperlink" Target="http://www.state.gov/documents/organization/210737.pdf" TargetMode="External"/><Relationship Id="rId257" Type="http://schemas.openxmlformats.org/officeDocument/2006/relationships/hyperlink" Target="http://blog.cersp.com/59961/409997.aspx" TargetMode="External"/><Relationship Id="rId278" Type="http://schemas.openxmlformats.org/officeDocument/2006/relationships/hyperlink" Target="http://www.un.org/chinese/peace/disarmament/t8.htm" TargetMode="External"/><Relationship Id="rId303" Type="http://schemas.openxmlformats.org/officeDocument/2006/relationships/hyperlink" Target="http://book.bfnn.org/books3/2116.htm" TargetMode="External"/><Relationship Id="rId42" Type="http://schemas.openxmlformats.org/officeDocument/2006/relationships/hyperlink" Target="http://www.judicial.gov.tw/constitutionalcourt/p06_03_01.asp" TargetMode="External"/><Relationship Id="rId84" Type="http://schemas.openxmlformats.org/officeDocument/2006/relationships/hyperlink" Target="http://en.wikipedia.org/wiki/Stem_cell" TargetMode="External"/><Relationship Id="rId138" Type="http://schemas.openxmlformats.org/officeDocument/2006/relationships/hyperlink" Target="http://www.un.org/chinese/documents/decl-con/geneva_protocol_2.htm" TargetMode="External"/><Relationship Id="rId345" Type="http://schemas.openxmlformats.org/officeDocument/2006/relationships/hyperlink" Target="http://www.judicial.gov.tw/db/db04/%E5%BE%B7%E6%84%8F%E5%BF%97%E8%81%AF%E9%82%A6%E5%85%B1%E5%92%8C%E5%9C%8B%E5%9F%BA%E6%9C%AC%E6%B3%95.doc" TargetMode="External"/><Relationship Id="rId387" Type="http://schemas.openxmlformats.org/officeDocument/2006/relationships/hyperlink" Target="http://wapedia.mobi/en/Israel_Border_Police" TargetMode="External"/><Relationship Id="rId191" Type="http://schemas.openxmlformats.org/officeDocument/2006/relationships/hyperlink" Target="http://www.epochtimes.com/b5" TargetMode="External"/><Relationship Id="rId205" Type="http://schemas.openxmlformats.org/officeDocument/2006/relationships/hyperlink" Target="http://www.tahr.org.tw/node/" TargetMode="External"/><Relationship Id="rId247" Type="http://schemas.openxmlformats.org/officeDocument/2006/relationships/hyperlink" Target="http://www.haongo.com/xingyujiankang/2014/0217/1919.html" TargetMode="External"/><Relationship Id="rId107" Type="http://schemas.openxmlformats.org/officeDocument/2006/relationships/hyperlink" Target="http://forums.chinatimes.com/special/japan/index.htm" TargetMode="External"/><Relationship Id="rId289" Type="http://schemas.openxmlformats.org/officeDocument/2006/relationships/hyperlink" Target="http://159.226.2.5:89/gate/big5/www.kepu.com.cn/gb/technology/nuclear/develop/200207300145.html" TargetMode="External"/><Relationship Id="rId11" Type="http://schemas.openxmlformats.org/officeDocument/2006/relationships/hyperlink" Target="http://zh.wikipedia.org/wiki/%E6%AF%94%E4%BE%8B%E5%8E%9F%E5%89%87" TargetMode="External"/><Relationship Id="rId53" Type="http://schemas.openxmlformats.org/officeDocument/2006/relationships/hyperlink" Target="http://www.judicial.gov.tw/db/db04/%E5%BE%B7%E6%84%8F%E5%BF%97%E8%81%AF%E9%82%A6%E5%85%B1%E5%92%8C%E5%9C%8B%E5%9F%BA%E6%9C%AC%E6%B3%95.doc" TargetMode="External"/><Relationship Id="rId149" Type="http://schemas.openxmlformats.org/officeDocument/2006/relationships/hyperlink" Target="http://5550555.tw/chinanews/2007/08/20/03/007.htm" TargetMode="External"/><Relationship Id="rId314" Type="http://schemas.openxmlformats.org/officeDocument/2006/relationships/hyperlink" Target="http://legal-dictionary.thefreedictionary.com/Due+Process+of+Law" TargetMode="External"/><Relationship Id="rId356" Type="http://schemas.openxmlformats.org/officeDocument/2006/relationships/hyperlink" Target="http://blog.roodo.com/cthci/archives/5950799.html" TargetMode="External"/><Relationship Id="rId95" Type="http://schemas.openxmlformats.org/officeDocument/2006/relationships/hyperlink" Target="http://www.awker.com/ethics/data/data041030.htm" TargetMode="External"/><Relationship Id="rId160" Type="http://schemas.openxmlformats.org/officeDocument/2006/relationships/hyperlink" Target="http://www.jstage.jst.go.jp/search/?typej=on&amp;typep=on&amp;typer=on&amp;d3=au&amp;dp3=Yong+Huang&amp;ca=999999&amp;alang=all&amp;rev=all&amp;pl=20&amp;search=%8C%9F%8D%F5%8E%C0%8Ds" TargetMode="External"/><Relationship Id="rId216" Type="http://schemas.openxmlformats.org/officeDocument/2006/relationships/hyperlink" Target="http://www.state.gov/documents/organization/210737.pdf" TargetMode="External"/><Relationship Id="rId258" Type="http://schemas.openxmlformats.org/officeDocument/2006/relationships/hyperlink" Target="http://www.chinatopnews.com/MainNews/Opinion/2005_4_15_7_53_34_622.html" TargetMode="External"/><Relationship Id="rId22" Type="http://schemas.openxmlformats.org/officeDocument/2006/relationships/hyperlink" Target="http://www.tpg.gov.tw/" TargetMode="External"/><Relationship Id="rId64" Type="http://schemas.openxmlformats.org/officeDocument/2006/relationships/hyperlink" Target="http://www.mod.go.jp/j/publication/wp/wp2013/pc/2013/index.html" TargetMode="External"/><Relationship Id="rId118" Type="http://schemas.openxmlformats.org/officeDocument/2006/relationships/hyperlink" Target="http://www.mnd.gov.tw/publication/subject.aspx?TopicID=415" TargetMode="External"/><Relationship Id="rId325" Type="http://schemas.openxmlformats.org/officeDocument/2006/relationships/hyperlink" Target="http://www.foyuan.net/article-861764-1.html" TargetMode="External"/><Relationship Id="rId367" Type="http://schemas.openxmlformats.org/officeDocument/2006/relationships/hyperlink" Target="http://wapedia.mobi/en/Israel_Border_Police" TargetMode="External"/><Relationship Id="rId171" Type="http://schemas.openxmlformats.org/officeDocument/2006/relationships/hyperlink" Target="http://www.labour.gov.on.ca/english/es/pubs/is_fn_esa.php(2011/09/05)" TargetMode="External"/><Relationship Id="rId227" Type="http://schemas.openxmlformats.org/officeDocument/2006/relationships/hyperlink" Target="http://www.state.gov/g/tip/rls/tiprpt/2010/index.htm" TargetMode="External"/><Relationship Id="rId269" Type="http://schemas.openxmlformats.org/officeDocument/2006/relationships/hyperlink" Target="http://www.unhchr.ch/html/menu3/b/94.htm" TargetMode="External"/><Relationship Id="rId33" Type="http://schemas.openxmlformats.org/officeDocument/2006/relationships/hyperlink" Target="http://coop.moi.gov.tw/moi-introduction/moi-p2.html" TargetMode="External"/><Relationship Id="rId129" Type="http://schemas.openxmlformats.org/officeDocument/2006/relationships/hyperlink" Target="http://www.mofa.gov.tw/webapp/ct.asp?xItem=11427&amp;ctNode=295&amp;mp=1" TargetMode="External"/><Relationship Id="rId280" Type="http://schemas.openxmlformats.org/officeDocument/2006/relationships/hyperlink" Target="http://www.un.org/chinese/radio/story.asp?NewsID=1438" TargetMode="External"/><Relationship Id="rId336" Type="http://schemas.openxmlformats.org/officeDocument/2006/relationships/hyperlink" Target="http://slides.discovery.tom.com/vw/345806-1.html" TargetMode="External"/><Relationship Id="rId75" Type="http://schemas.openxmlformats.org/officeDocument/2006/relationships/hyperlink" Target="http://behold.oc.org/?p=27167" TargetMode="External"/><Relationship Id="rId140" Type="http://schemas.openxmlformats.org/officeDocument/2006/relationships/hyperlink" Target="http://www.chinaeweekly.com" TargetMode="External"/><Relationship Id="rId182" Type="http://schemas.openxmlformats.org/officeDocument/2006/relationships/hyperlink" Target="http://www.cla.gov.tw/cgi-bin/Message/MM_msg_control?mode=viewnews&amp;ts=4e55f722:3d8c&amp;theme=(2011/12/08)" TargetMode="External"/><Relationship Id="rId378" Type="http://schemas.openxmlformats.org/officeDocument/2006/relationships/hyperlink" Target="http://en.wikipedia.org/wiki/Israeli_Border_Police(2010.03)" TargetMode="External"/><Relationship Id="rId6" Type="http://schemas.openxmlformats.org/officeDocument/2006/relationships/hyperlink" Target="https://en.wikipedia.org/wiki/Universal_Periodic_Review" TargetMode="External"/><Relationship Id="rId238" Type="http://schemas.openxmlformats.org/officeDocument/2006/relationships/hyperlink" Target="http://www.immigration.gov.tw/ct.asp?%20xItem=1241011&amp;ctNode=34815&amp;mp=mobmp1" TargetMode="External"/><Relationship Id="rId291" Type="http://schemas.openxmlformats.org/officeDocument/2006/relationships/hyperlink" Target="http://159.226.2.5:89/gate/big5/www.kepu.com.cn/gb/technology/nuclear/develop/200207300145.html" TargetMode="External"/><Relationship Id="rId305" Type="http://schemas.openxmlformats.org/officeDocument/2006/relationships/hyperlink" Target="http://www.nebcathcon.org/Website%20pages/cloning.htm" TargetMode="External"/><Relationship Id="rId347" Type="http://schemas.openxmlformats.org/officeDocument/2006/relationships/hyperlink" Target="http://www.naol.cc/news/world/2014/12/13-1.htm" TargetMode="External"/><Relationship Id="rId44" Type="http://schemas.openxmlformats.org/officeDocument/2006/relationships/hyperlink" Target="http://know01.com/tigai-2-2817" TargetMode="External"/><Relationship Id="rId86" Type="http://schemas.openxmlformats.org/officeDocument/2006/relationships/hyperlink" Target="http://www.religiousconsultation.org/News_Tracker/European_court_denies_fetus_rights_ruling.htm" TargetMode="External"/><Relationship Id="rId151" Type="http://schemas.openxmlformats.org/officeDocument/2006/relationships/hyperlink" Target="http://www.houko.com/00/01/S28/014.HTM" TargetMode="External"/><Relationship Id="rId389" Type="http://schemas.openxmlformats.org/officeDocument/2006/relationships/hyperlink" Target="http://www.absoluteastronomy.com/topics/Israel_Border_Police(2010.03)" TargetMode="External"/><Relationship Id="rId193" Type="http://schemas.openxmlformats.org/officeDocument/2006/relationships/hyperlink" Target="http://www.jrf.org.tw/newjrf/RTE/myform_detail2.asp?id=1463" TargetMode="External"/><Relationship Id="rId207" Type="http://schemas.openxmlformats.org/officeDocument/2006/relationships/hyperlink" Target="http://www.state.gov/g/tip/rls/tiprpt/2010/index.htm" TargetMode="External"/><Relationship Id="rId249" Type="http://schemas.openxmlformats.org/officeDocument/2006/relationships/hyperlink" Target="http://www.newchinacity.com/bbs/redirect.php?fid=25&amp;tid=19356&amp;goto=nextnewset" TargetMode="External"/><Relationship Id="rId13" Type="http://schemas.openxmlformats.org/officeDocument/2006/relationships/hyperlink" Target="http://web.cec.gov.tw/files/11-1000-1612.php?Lang=zh-TW" TargetMode="External"/><Relationship Id="rId109" Type="http://schemas.openxmlformats.org/officeDocument/2006/relationships/hyperlink" Target="http://tornado.ly.gov.tw/tornado/draft/final/word/05/04/20/LCIDB01_05042001.doc" TargetMode="External"/><Relationship Id="rId260" Type="http://schemas.openxmlformats.org/officeDocument/2006/relationships/hyperlink" Target="http://peacehall.com/forum/boxun2005a/223580.shtml" TargetMode="External"/><Relationship Id="rId316" Type="http://schemas.openxmlformats.org/officeDocument/2006/relationships/hyperlink" Target="http://legal-dictionary.thefreedictionary.com/Due+Process+of+Law" TargetMode="External"/><Relationship Id="rId55" Type="http://schemas.openxmlformats.org/officeDocument/2006/relationships/hyperlink" Target="http://zh.wikipedia.org/zh-tw/%E6%A9%9F%E5%A0%B4%E4%BF%9D%E5%AE%89%E6%9C%89%E9%99%90%E5%85%AC%E5%8F%B8" TargetMode="External"/><Relationship Id="rId97" Type="http://schemas.openxmlformats.org/officeDocument/2006/relationships/hyperlink" Target="http://www.gaya.org.tw/hkbi/topic/topic4.htm" TargetMode="External"/><Relationship Id="rId120" Type="http://schemas.openxmlformats.org/officeDocument/2006/relationships/hyperlink" Target="http://redcross.qingdao.gov.cn/cn/episteme_4.asp?tmpId=17" TargetMode="External"/><Relationship Id="rId358" Type="http://schemas.openxmlformats.org/officeDocument/2006/relationships/hyperlink" Target="http://en.wikipedia.org/wiki/Israeli_Border_Police(2010.03)" TargetMode="External"/><Relationship Id="rId162" Type="http://schemas.openxmlformats.org/officeDocument/2006/relationships/hyperlink" Target="http://www.hc-sc.gc.ca/ahc-asc/pubs/_sites-lieux/insite/index-eng.php" TargetMode="External"/><Relationship Id="rId218" Type="http://schemas.openxmlformats.org/officeDocument/2006/relationships/hyperlink" Target="http://www.state.gov/documents/organization/210737.pdf" TargetMode="External"/><Relationship Id="rId271" Type="http://schemas.openxmlformats.org/officeDocument/2006/relationships/hyperlink" Target="http://www.un.org/chinese/documents/decl-con/geneva_protocol_2.htm" TargetMode="External"/><Relationship Id="rId24" Type="http://schemas.openxmlformats.org/officeDocument/2006/relationships/hyperlink" Target="http://www.tpg.gov.tw/" TargetMode="External"/><Relationship Id="rId66" Type="http://schemas.openxmlformats.org/officeDocument/2006/relationships/hyperlink" Target="http://www.mod.go.jp/j/publication/wp/wp2013/pc/2013/index.html" TargetMode="External"/><Relationship Id="rId131" Type="http://schemas.openxmlformats.org/officeDocument/2006/relationships/hyperlink" Target="http://www.peacehall.com/news/gb/china/2004/06/200406161040.shtml(2006.08" TargetMode="External"/><Relationship Id="rId327" Type="http://schemas.openxmlformats.org/officeDocument/2006/relationships/hyperlink" Target="http://zh.wikipedia.org/wiki/%E5%A0%95%E8%83%8E" TargetMode="External"/><Relationship Id="rId369" Type="http://schemas.openxmlformats.org/officeDocument/2006/relationships/hyperlink" Target="http://www.absoluteastronomy.com/topics/Israel_Border_Police(2010.03)" TargetMode="External"/><Relationship Id="rId173" Type="http://schemas.openxmlformats.org/officeDocument/2006/relationships/hyperlink" Target="http://www.labour.gov.on.ca/english/es/faqs/epfna.php(2011/09/20)" TargetMode="External"/><Relationship Id="rId229" Type="http://schemas.openxmlformats.org/officeDocument/2006/relationships/hyperlink" Target="http://www.state.gov/g/tip/rls/tiprpt/2010/index.htm" TargetMode="External"/><Relationship Id="rId380" Type="http://schemas.openxmlformats.org/officeDocument/2006/relationships/hyperlink" Target="http://en.wikipedia.org/wiki/Israeli_Border_Police(2010.03)" TargetMode="External"/><Relationship Id="rId240" Type="http://schemas.openxmlformats.org/officeDocument/2006/relationships/hyperlink" Target="http://www.ait.org.tw/zh/2014-trafficking-in-persons-report-taiwan.html" TargetMode="External"/><Relationship Id="rId35" Type="http://schemas.openxmlformats.org/officeDocument/2006/relationships/hyperlink" Target="http://www.npf.org.tw/post/3/11770" TargetMode="External"/><Relationship Id="rId77" Type="http://schemas.openxmlformats.org/officeDocument/2006/relationships/hyperlink" Target="http://behold.oc.org/?p=27167" TargetMode="External"/><Relationship Id="rId100" Type="http://schemas.openxmlformats.org/officeDocument/2006/relationships/hyperlink" Target="http://ge.tnua.edu.tw/~huimin/paper/29-cloning/29-CLONING.HTM" TargetMode="External"/><Relationship Id="rId282" Type="http://schemas.openxmlformats.org/officeDocument/2006/relationships/hyperlink" Target="http://www.un.org/chinese/peace/disarmament/nuclear.htm" TargetMode="External"/><Relationship Id="rId338" Type="http://schemas.openxmlformats.org/officeDocument/2006/relationships/hyperlink" Target="http://blogs.yahoo.co.jp/inoti333mamoru777/GALLERY/show_image.html?id=63109682&amp;no=2" TargetMode="External"/><Relationship Id="rId8" Type="http://schemas.openxmlformats.org/officeDocument/2006/relationships/hyperlink" Target="http://tw.knowledge.yahoo.com/question/question?qid=1306022521296" TargetMode="External"/><Relationship Id="rId142" Type="http://schemas.openxmlformats.org/officeDocument/2006/relationships/hyperlink" Target="http://www.peacehall.com/news/gb/china/2004/06/200406161040.shtml(2006.08" TargetMode="External"/><Relationship Id="rId184" Type="http://schemas.openxmlformats.org/officeDocument/2006/relationships/hyperlink" Target="http://www.tiwa.org.tw/?itemid=456(2011/12/05)" TargetMode="External"/><Relationship Id="rId391" Type="http://schemas.openxmlformats.org/officeDocument/2006/relationships/hyperlink" Target="http://wapedia.mobi/en/Israel_Border_Police" TargetMode="External"/><Relationship Id="rId251" Type="http://schemas.openxmlformats.org/officeDocument/2006/relationships/hyperlink" Target="http://news.xinhuanet.com/newscenter/2005-03/14/content_2694168.htm" TargetMode="External"/><Relationship Id="rId46" Type="http://schemas.openxmlformats.org/officeDocument/2006/relationships/hyperlink" Target="http://know01.com/tigai-2-2817" TargetMode="External"/><Relationship Id="rId293" Type="http://schemas.openxmlformats.org/officeDocument/2006/relationships/hyperlink" Target="https://zh.wikipedia.org/wiki/%E8%87%BA%E6%97%A5%E6%BC%81%E6%A5%AD%E5%8D%94%E8%AD%B0" TargetMode="External"/><Relationship Id="rId307" Type="http://schemas.openxmlformats.org/officeDocument/2006/relationships/hyperlink" Target="http://ja.wikipedia.org/wiki/%E6%97%A5%E6%9C%AC%E5%9B%BD%E6%86%B2%E6%B3%95%E7%AC%AC24%E6%9D%A1" TargetMode="External"/><Relationship Id="rId349" Type="http://schemas.openxmlformats.org/officeDocument/2006/relationships/hyperlink" Target="http://www.naol.cc/news/world/2014/12/13-1.htm" TargetMode="External"/><Relationship Id="rId88" Type="http://schemas.openxmlformats.org/officeDocument/2006/relationships/hyperlink" Target="http://www.religiousconsultation.org/News_Tracker/European_court_denies_fetus_rights_ruling.htm" TargetMode="External"/><Relationship Id="rId111" Type="http://schemas.openxmlformats.org/officeDocument/2006/relationships/hyperlink" Target="http://www.chilicity.com/cgi-bin/bigate.cgi/b/x/g/http@www.chilicity.com/publishhtml/5/2006-05-26/20060526054336.html" TargetMode="External"/><Relationship Id="rId153" Type="http://schemas.openxmlformats.org/officeDocument/2006/relationships/hyperlink" Target="http://www.houko.com/00/01/S28/014.HTM" TargetMode="External"/><Relationship Id="rId195" Type="http://schemas.openxmlformats.org/officeDocument/2006/relationships/hyperlink" Target="http://www.jrf.org.tw/newjrf/RTE/myform_detail2.asp?id=1463" TargetMode="External"/><Relationship Id="rId209" Type="http://schemas.openxmlformats.org/officeDocument/2006/relationships/hyperlink" Target="http://www.state.gov/g/tip/rls/tiprpt/2010/index.htm" TargetMode="External"/><Relationship Id="rId360" Type="http://schemas.openxmlformats.org/officeDocument/2006/relationships/hyperlink" Target="http://en.wikipedia.org/wiki/Israeli_Border_Police(2010.03)" TargetMode="External"/><Relationship Id="rId220" Type="http://schemas.openxmlformats.org/officeDocument/2006/relationships/hyperlink" Target="http://www.state.gov/documents/organization/210737.pdf" TargetMode="External"/><Relationship Id="rId15" Type="http://schemas.openxmlformats.org/officeDocument/2006/relationships/hyperlink" Target="http://www.ly.gov.tw/02_introduce/0201_intro/introView.action?id=4&amp;itemno=02010400" TargetMode="External"/><Relationship Id="rId57" Type="http://schemas.openxmlformats.org/officeDocument/2006/relationships/hyperlink" Target="http://ja.wikipedia.org/wiki/%E7%A9%BA%E6%B8%AF%E8%AD%A6%E5%82%99" TargetMode="External"/><Relationship Id="rId262" Type="http://schemas.openxmlformats.org/officeDocument/2006/relationships/hyperlink" Target="http://www.sina.com.cn" TargetMode="External"/><Relationship Id="rId318" Type="http://schemas.openxmlformats.org/officeDocument/2006/relationships/hyperlink" Target="http://www.stanford.edu/group/psylawseminar/Substantive%20Due%20Process.htm" TargetMode="External"/><Relationship Id="rId99" Type="http://schemas.openxmlformats.org/officeDocument/2006/relationships/hyperlink" Target="http://sravakabhumi.blogspot.tw/2012/12/blog-post_2216.html" TargetMode="External"/><Relationship Id="rId122" Type="http://schemas.openxmlformats.org/officeDocument/2006/relationships/hyperlink" Target="http://www.un.org/chinese/documents/decl-con/geneva_protocol_2.htm" TargetMode="External"/><Relationship Id="rId164" Type="http://schemas.openxmlformats.org/officeDocument/2006/relationships/hyperlink" Target="http://www.jstage.jst.go.jp/search/?typej=on&amp;typep=on&amp;typer=on&amp;d3=au&amp;dp3=Yong+Huang&amp;ca=999999&amp;alang=all&amp;rev=all&amp;pl=20&amp;search=%8C%9F%8D%F5%8E%C0%8Ds" TargetMode="External"/><Relationship Id="rId371" Type="http://schemas.openxmlformats.org/officeDocument/2006/relationships/hyperlink" Target="http://wapedia.mobi/en/Israel_Border_Police" TargetMode="External"/><Relationship Id="rId26" Type="http://schemas.openxmlformats.org/officeDocument/2006/relationships/hyperlink" Target="http://zh.wikipedia.org/wiki/%E4%B8%AD%E8%8F%AF%E6%B0%91%E5%9C%8B%E7%96%86%E5%9F%9F" TargetMode="External"/><Relationship Id="rId231" Type="http://schemas.openxmlformats.org/officeDocument/2006/relationships/hyperlink" Target="http://www.state.gov/g/tip/rls/tiprpt/2010/index.htm" TargetMode="External"/><Relationship Id="rId273" Type="http://schemas.openxmlformats.org/officeDocument/2006/relationships/hyperlink" Target="http://www.un.org/chinese/work/law/Roma1997.htm" TargetMode="External"/><Relationship Id="rId329" Type="http://schemas.openxmlformats.org/officeDocument/2006/relationships/hyperlink" Target="http://www.foyuan.net/article-861764-1.html" TargetMode="External"/><Relationship Id="rId68" Type="http://schemas.openxmlformats.org/officeDocument/2006/relationships/hyperlink" Target="http://www.mod.go.jp/j/publication/wp/wp2013/pc/2013/index.html" TargetMode="External"/><Relationship Id="rId133" Type="http://schemas.openxmlformats.org/officeDocument/2006/relationships/hyperlink" Target="http://zh.wikipedia.org/wiki/%E5%9C%8B%E9%9A%9B%E4%BA%BA%E9%81%93%E6%B3%95" TargetMode="External"/><Relationship Id="rId175" Type="http://schemas.openxmlformats.org/officeDocument/2006/relationships/hyperlink" Target="http://www.51ielts.com" TargetMode="External"/><Relationship Id="rId340" Type="http://schemas.openxmlformats.org/officeDocument/2006/relationships/hyperlink" Target="http://blogs.yahoo.co.jp/inoti333mamoru777/GALLERY/show_image.html?id=63109682&amp;no=2" TargetMode="External"/><Relationship Id="rId200" Type="http://schemas.openxmlformats.org/officeDocument/2006/relationships/hyperlink" Target="http://dailynews.sina.com/bg/tw/twpolitics/cna/20100909/06061817706.html" TargetMode="External"/><Relationship Id="rId382" Type="http://schemas.openxmlformats.org/officeDocument/2006/relationships/hyperlink" Target="http://en.wikipedia.org/wiki/Israeli_Border_Police(2010.03)"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C65565-AB5F-4529-B88A-C2246C4FC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52</Pages>
  <Words>130612</Words>
  <Characters>744492</Characters>
  <Application>Microsoft Office Word</Application>
  <DocSecurity>0</DocSecurity>
  <Lines>6204</Lines>
  <Paragraphs>1746</Paragraphs>
  <ScaleCrop>false</ScaleCrop>
  <Company/>
  <LinksUpToDate>false</LinksUpToDate>
  <CharactersWithSpaces>873358</CharactersWithSpaces>
  <SharedDoc>false</SharedDoc>
  <HLinks>
    <vt:vector size="108" baseType="variant">
      <vt:variant>
        <vt:i4>2949124</vt:i4>
      </vt:variant>
      <vt:variant>
        <vt:i4>51</vt:i4>
      </vt:variant>
      <vt:variant>
        <vt:i4>0</vt:i4>
      </vt:variant>
      <vt:variant>
        <vt:i4>5</vt:i4>
      </vt:variant>
      <vt:variant>
        <vt:lpwstr>mailto:anita399646@hotmail.com</vt:lpwstr>
      </vt:variant>
      <vt:variant>
        <vt:lpwstr/>
      </vt:variant>
      <vt:variant>
        <vt:i4>8192049</vt:i4>
      </vt:variant>
      <vt:variant>
        <vt:i4>48</vt:i4>
      </vt:variant>
      <vt:variant>
        <vt:i4>0</vt:i4>
      </vt:variant>
      <vt:variant>
        <vt:i4>5</vt:i4>
      </vt:variant>
      <vt:variant>
        <vt:lpwstr>http://law.moj.gov.tw/</vt:lpwstr>
      </vt:variant>
      <vt:variant>
        <vt:lpwstr/>
      </vt:variant>
      <vt:variant>
        <vt:i4>6225996</vt:i4>
      </vt:variant>
      <vt:variant>
        <vt:i4>45</vt:i4>
      </vt:variant>
      <vt:variant>
        <vt:i4>0</vt:i4>
      </vt:variant>
      <vt:variant>
        <vt:i4>5</vt:i4>
      </vt:variant>
      <vt:variant>
        <vt:lpwstr>http://www.ly.gov.tw/</vt:lpwstr>
      </vt:variant>
      <vt:variant>
        <vt:lpwstr/>
      </vt:variant>
      <vt:variant>
        <vt:i4>786499</vt:i4>
      </vt:variant>
      <vt:variant>
        <vt:i4>42</vt:i4>
      </vt:variant>
      <vt:variant>
        <vt:i4>0</vt:i4>
      </vt:variant>
      <vt:variant>
        <vt:i4>5</vt:i4>
      </vt:variant>
      <vt:variant>
        <vt:lpwstr>http://www.president.gov.tw/</vt:lpwstr>
      </vt:variant>
      <vt:variant>
        <vt:lpwstr/>
      </vt:variant>
      <vt:variant>
        <vt:i4>7274612</vt:i4>
      </vt:variant>
      <vt:variant>
        <vt:i4>38</vt:i4>
      </vt:variant>
      <vt:variant>
        <vt:i4>0</vt:i4>
      </vt:variant>
      <vt:variant>
        <vt:i4>5</vt:i4>
      </vt:variant>
      <vt:variant>
        <vt:lpwstr/>
      </vt:variant>
      <vt:variant>
        <vt:lpwstr>top</vt:lpwstr>
      </vt:variant>
      <vt:variant>
        <vt:i4>7274612</vt:i4>
      </vt:variant>
      <vt:variant>
        <vt:i4>36</vt:i4>
      </vt:variant>
      <vt:variant>
        <vt:i4>0</vt:i4>
      </vt:variant>
      <vt:variant>
        <vt:i4>5</vt:i4>
      </vt:variant>
      <vt:variant>
        <vt:lpwstr/>
      </vt:variant>
      <vt:variant>
        <vt:lpwstr>top</vt:lpwstr>
      </vt:variant>
      <vt:variant>
        <vt:i4>-1593185076</vt:i4>
      </vt:variant>
      <vt:variant>
        <vt:i4>33</vt:i4>
      </vt:variant>
      <vt:variant>
        <vt:i4>0</vt:i4>
      </vt:variant>
      <vt:variant>
        <vt:i4>5</vt:i4>
      </vt:variant>
      <vt:variant>
        <vt:lpwstr>..\law\國民體育法.doc</vt:lpwstr>
      </vt:variant>
      <vt:variant>
        <vt:lpwstr>a16</vt:lpwstr>
      </vt:variant>
      <vt:variant>
        <vt:i4>-1593185076</vt:i4>
      </vt:variant>
      <vt:variant>
        <vt:i4>30</vt:i4>
      </vt:variant>
      <vt:variant>
        <vt:i4>0</vt:i4>
      </vt:variant>
      <vt:variant>
        <vt:i4>5</vt:i4>
      </vt:variant>
      <vt:variant>
        <vt:lpwstr>..\law\國民體育法.doc</vt:lpwstr>
      </vt:variant>
      <vt:variant>
        <vt:lpwstr>a18</vt:lpwstr>
      </vt:variant>
      <vt:variant>
        <vt:i4>-1593185076</vt:i4>
      </vt:variant>
      <vt:variant>
        <vt:i4>27</vt:i4>
      </vt:variant>
      <vt:variant>
        <vt:i4>0</vt:i4>
      </vt:variant>
      <vt:variant>
        <vt:i4>5</vt:i4>
      </vt:variant>
      <vt:variant>
        <vt:lpwstr>..\law\國民體育法.doc</vt:lpwstr>
      </vt:variant>
      <vt:variant>
        <vt:lpwstr>a11</vt:lpwstr>
      </vt:variant>
      <vt:variant>
        <vt:i4>-1593185076</vt:i4>
      </vt:variant>
      <vt:variant>
        <vt:i4>24</vt:i4>
      </vt:variant>
      <vt:variant>
        <vt:i4>0</vt:i4>
      </vt:variant>
      <vt:variant>
        <vt:i4>5</vt:i4>
      </vt:variant>
      <vt:variant>
        <vt:lpwstr>..\law\國民體育法.doc</vt:lpwstr>
      </vt:variant>
      <vt:variant>
        <vt:lpwstr>a10</vt:lpwstr>
      </vt:variant>
      <vt:variant>
        <vt:i4>-1593774900</vt:i4>
      </vt:variant>
      <vt:variant>
        <vt:i4>21</vt:i4>
      </vt:variant>
      <vt:variant>
        <vt:i4>0</vt:i4>
      </vt:variant>
      <vt:variant>
        <vt:i4>5</vt:i4>
      </vt:variant>
      <vt:variant>
        <vt:lpwstr>..\law\國民體育法.doc</vt:lpwstr>
      </vt:variant>
      <vt:variant>
        <vt:lpwstr>a8</vt:lpwstr>
      </vt:variant>
      <vt:variant>
        <vt:i4>-1593054004</vt:i4>
      </vt:variant>
      <vt:variant>
        <vt:i4>18</vt:i4>
      </vt:variant>
      <vt:variant>
        <vt:i4>0</vt:i4>
      </vt:variant>
      <vt:variant>
        <vt:i4>5</vt:i4>
      </vt:variant>
      <vt:variant>
        <vt:lpwstr>..\law\國民體育法.doc</vt:lpwstr>
      </vt:variant>
      <vt:variant>
        <vt:lpwstr>a3</vt:lpwstr>
      </vt:variant>
      <vt:variant>
        <vt:i4>-1593119540</vt:i4>
      </vt:variant>
      <vt:variant>
        <vt:i4>15</vt:i4>
      </vt:variant>
      <vt:variant>
        <vt:i4>0</vt:i4>
      </vt:variant>
      <vt:variant>
        <vt:i4>5</vt:i4>
      </vt:variant>
      <vt:variant>
        <vt:lpwstr>..\law\國民體育法.doc</vt:lpwstr>
      </vt:variant>
      <vt:variant>
        <vt:lpwstr>a21</vt:lpwstr>
      </vt:variant>
      <vt:variant>
        <vt:i4>2067919956</vt:i4>
      </vt:variant>
      <vt:variant>
        <vt:i4>12</vt:i4>
      </vt:variant>
      <vt:variant>
        <vt:i4>0</vt:i4>
      </vt:variant>
      <vt:variant>
        <vt:i4>5</vt:i4>
      </vt:variant>
      <vt:variant>
        <vt:lpwstr>http://www.6law.idv.tw/6law/law3/國民體育法施行細則.htm</vt:lpwstr>
      </vt:variant>
      <vt:variant>
        <vt:lpwstr/>
      </vt:variant>
      <vt:variant>
        <vt:i4>-421115192</vt:i4>
      </vt:variant>
      <vt:variant>
        <vt:i4>9</vt:i4>
      </vt:variant>
      <vt:variant>
        <vt:i4>0</vt:i4>
      </vt:variant>
      <vt:variant>
        <vt:i4>5</vt:i4>
      </vt:variant>
      <vt:variant>
        <vt:lpwstr>../S-link電子六法總索引.doc</vt:lpwstr>
      </vt:variant>
      <vt:variant>
        <vt:lpwstr/>
      </vt:variant>
      <vt:variant>
        <vt:i4>91</vt:i4>
      </vt:variant>
      <vt:variant>
        <vt:i4>6</vt:i4>
      </vt:variant>
      <vt:variant>
        <vt:i4>0</vt:i4>
      </vt:variant>
      <vt:variant>
        <vt:i4>5</vt:i4>
      </vt:variant>
      <vt:variant>
        <vt:lpwstr>http://www.facebook.com/anita6law</vt:lpwstr>
      </vt:variant>
      <vt:variant>
        <vt:lpwstr/>
      </vt:variant>
      <vt:variant>
        <vt:i4>5242899</vt:i4>
      </vt:variant>
      <vt:variant>
        <vt:i4>3</vt:i4>
      </vt:variant>
      <vt:variant>
        <vt:i4>0</vt:i4>
      </vt:variant>
      <vt:variant>
        <vt:i4>5</vt:i4>
      </vt:variant>
      <vt:variant>
        <vt:lpwstr>http://www.6law.idv.tw/update.htm</vt:lpwstr>
      </vt:variant>
      <vt:variant>
        <vt:lpwstr/>
      </vt:variant>
      <vt:variant>
        <vt:i4>7274528</vt:i4>
      </vt:variant>
      <vt:variant>
        <vt:i4>0</vt:i4>
      </vt:variant>
      <vt:variant>
        <vt:i4>0</vt:i4>
      </vt:variant>
      <vt:variant>
        <vt:i4>5</vt:i4>
      </vt:variant>
      <vt:variant>
        <vt:lpwstr>http://www.6law.idv.tw/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憲法逐條釋義與人權保障</dc:title>
  <dc:creator>S-link 電子六法-黃婉玲</dc:creator>
  <cp:lastModifiedBy>黃婉玲 S-link電子六法</cp:lastModifiedBy>
  <cp:revision>23</cp:revision>
  <cp:lastPrinted>2019-02-05T15:45:00Z</cp:lastPrinted>
  <dcterms:created xsi:type="dcterms:W3CDTF">2017-01-23T06:05:00Z</dcterms:created>
  <dcterms:modified xsi:type="dcterms:W3CDTF">2019-02-05T15:47:00Z</dcterms:modified>
</cp:coreProperties>
</file>